
<file path=[Content_Types].xml><?xml version="1.0" encoding="utf-8"?>
<Types xmlns="http://schemas.openxmlformats.org/package/2006/content-types">
  <Default Extension="png" ContentType="image/png"/>
  <Default Extension="svg" ContentType="image/svg+xml"/>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DB1AC" w14:textId="71DAF30F" w:rsidR="006B087E" w:rsidRPr="00DE264C" w:rsidRDefault="004329F8" w:rsidP="004329F8">
      <w:pPr>
        <w:pStyle w:val="Pagedecouverture"/>
        <w:rPr>
          <w:noProof/>
        </w:rPr>
      </w:pPr>
      <w:bookmarkStart w:id="0" w:name="LW_BM_COVERPAGE"/>
      <w:r>
        <w:rPr>
          <w:noProof/>
        </w:rPr>
        <w:pict w14:anchorId="089C76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8989F737-3EF5-480D-9155-7F223478CAFE" style="width:455.25pt;height:427.5pt">
            <v:imagedata r:id="rId12" o:title=""/>
          </v:shape>
        </w:pict>
      </w:r>
    </w:p>
    <w:bookmarkEnd w:id="0"/>
    <w:p w14:paraId="63260D17" w14:textId="77777777" w:rsidR="006B087E" w:rsidRPr="00DE264C" w:rsidRDefault="006B087E" w:rsidP="000E3086">
      <w:pPr>
        <w:pStyle w:val="TOCHeading"/>
        <w:rPr>
          <w:noProof/>
        </w:rPr>
        <w:sectPr w:rsidR="006B087E" w:rsidRPr="00DE264C" w:rsidSect="004329F8">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26"/>
        </w:sectPr>
      </w:pPr>
    </w:p>
    <w:bookmarkStart w:id="1" w:name="_GoBack" w:displacedByCustomXml="next"/>
    <w:bookmarkEnd w:id="1" w:displacedByCustomXml="next"/>
    <w:sdt>
      <w:sdtPr>
        <w:rPr>
          <w:rFonts w:eastAsiaTheme="minorHAnsi"/>
          <w:b w:val="0"/>
          <w:bCs w:val="0"/>
          <w:noProof/>
        </w:rPr>
        <w:id w:val="219793885"/>
        <w:docPartObj>
          <w:docPartGallery w:val="Table of Contents"/>
          <w:docPartUnique/>
        </w:docPartObj>
      </w:sdtPr>
      <w:sdtEndPr/>
      <w:sdtContent>
        <w:p w14:paraId="1F0D8259" w14:textId="539580CE" w:rsidR="0071775D" w:rsidRDefault="0071775D">
          <w:pPr>
            <w:pStyle w:val="TOCHeading"/>
            <w:rPr>
              <w:noProof/>
            </w:rPr>
          </w:pPr>
          <w:r>
            <w:rPr>
              <w:noProof/>
            </w:rPr>
            <w:t>Contents</w:t>
          </w:r>
        </w:p>
        <w:p w14:paraId="0A051FEF" w14:textId="66011D50" w:rsidR="0071775D" w:rsidRDefault="0071775D">
          <w:pPr>
            <w:pStyle w:val="TOC1"/>
            <w:rPr>
              <w:rFonts w:asciiTheme="minorHAnsi" w:eastAsiaTheme="minorEastAsia" w:hAnsiTheme="minorHAnsi" w:cstheme="minorBidi"/>
              <w:caps w:val="0"/>
              <w:noProof/>
              <w:kern w:val="2"/>
              <w:sz w:val="24"/>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19718136" w:history="1">
            <w:r w:rsidRPr="00CE2C6C">
              <w:rPr>
                <w:rStyle w:val="Hyperlink"/>
                <w:noProof/>
              </w:rPr>
              <w:t>1.</w:t>
            </w:r>
            <w:r>
              <w:rPr>
                <w:rFonts w:asciiTheme="minorHAnsi" w:eastAsiaTheme="minorEastAsia" w:hAnsiTheme="minorHAnsi" w:cstheme="minorBidi"/>
                <w:caps w:val="0"/>
                <w:noProof/>
                <w:kern w:val="2"/>
                <w:sz w:val="24"/>
                <w:szCs w:val="24"/>
                <w:lang w:val="en-IE" w:eastAsia="en-IE"/>
                <w14:ligatures w14:val="standardContextual"/>
              </w:rPr>
              <w:tab/>
            </w:r>
            <w:r w:rsidRPr="00CE2C6C">
              <w:rPr>
                <w:rStyle w:val="Hyperlink"/>
                <w:noProof/>
              </w:rPr>
              <w:t>Introduction: Political and legal context</w:t>
            </w:r>
            <w:r>
              <w:rPr>
                <w:noProof/>
                <w:webHidden/>
              </w:rPr>
              <w:tab/>
            </w:r>
            <w:r>
              <w:rPr>
                <w:noProof/>
                <w:webHidden/>
              </w:rPr>
              <w:fldChar w:fldCharType="begin"/>
            </w:r>
            <w:r>
              <w:rPr>
                <w:noProof/>
                <w:webHidden/>
              </w:rPr>
              <w:instrText xml:space="preserve"> PAGEREF _Toc219718136 \h </w:instrText>
            </w:r>
            <w:r>
              <w:rPr>
                <w:noProof/>
                <w:webHidden/>
              </w:rPr>
            </w:r>
            <w:r>
              <w:rPr>
                <w:noProof/>
                <w:webHidden/>
              </w:rPr>
              <w:fldChar w:fldCharType="separate"/>
            </w:r>
            <w:r>
              <w:rPr>
                <w:noProof/>
                <w:webHidden/>
              </w:rPr>
              <w:t>10</w:t>
            </w:r>
            <w:r>
              <w:rPr>
                <w:noProof/>
                <w:webHidden/>
              </w:rPr>
              <w:fldChar w:fldCharType="end"/>
            </w:r>
          </w:hyperlink>
        </w:p>
        <w:p w14:paraId="01A6D025" w14:textId="6A8B36DA" w:rsidR="0071775D" w:rsidRDefault="004329F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137" w:history="1">
            <w:r w:rsidR="0071775D" w:rsidRPr="00CE2C6C">
              <w:rPr>
                <w:rStyle w:val="Hyperlink"/>
                <w:noProof/>
              </w:rPr>
              <w:t>2.</w:t>
            </w:r>
            <w:r w:rsidR="0071775D">
              <w:rPr>
                <w:rFonts w:asciiTheme="minorHAnsi" w:eastAsiaTheme="minorEastAsia" w:hAnsiTheme="minorHAnsi" w:cstheme="minorBidi"/>
                <w:caps w:val="0"/>
                <w:noProof/>
                <w:kern w:val="2"/>
                <w:sz w:val="24"/>
                <w:szCs w:val="24"/>
                <w:lang w:val="en-IE" w:eastAsia="en-IE"/>
                <w14:ligatures w14:val="standardContextual"/>
              </w:rPr>
              <w:tab/>
            </w:r>
            <w:r w:rsidR="0071775D" w:rsidRPr="00CE2C6C">
              <w:rPr>
                <w:rStyle w:val="Hyperlink"/>
                <w:noProof/>
              </w:rPr>
              <w:t>Problem definition</w:t>
            </w:r>
            <w:r w:rsidR="0071775D">
              <w:rPr>
                <w:noProof/>
                <w:webHidden/>
              </w:rPr>
              <w:tab/>
            </w:r>
            <w:r w:rsidR="0071775D">
              <w:rPr>
                <w:noProof/>
                <w:webHidden/>
              </w:rPr>
              <w:fldChar w:fldCharType="begin"/>
            </w:r>
            <w:r w:rsidR="0071775D">
              <w:rPr>
                <w:noProof/>
                <w:webHidden/>
              </w:rPr>
              <w:instrText xml:space="preserve"> PAGEREF _Toc219718137 \h </w:instrText>
            </w:r>
            <w:r w:rsidR="0071775D">
              <w:rPr>
                <w:noProof/>
                <w:webHidden/>
              </w:rPr>
            </w:r>
            <w:r w:rsidR="0071775D">
              <w:rPr>
                <w:noProof/>
                <w:webHidden/>
              </w:rPr>
              <w:fldChar w:fldCharType="separate"/>
            </w:r>
            <w:r w:rsidR="0071775D">
              <w:rPr>
                <w:noProof/>
                <w:webHidden/>
              </w:rPr>
              <w:t>14</w:t>
            </w:r>
            <w:r w:rsidR="0071775D">
              <w:rPr>
                <w:noProof/>
                <w:webHidden/>
              </w:rPr>
              <w:fldChar w:fldCharType="end"/>
            </w:r>
          </w:hyperlink>
        </w:p>
        <w:p w14:paraId="778BD762" w14:textId="1C3C7C1D"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38" w:history="1">
            <w:r w:rsidR="0071775D" w:rsidRPr="00CE2C6C">
              <w:rPr>
                <w:rStyle w:val="Hyperlink"/>
                <w:noProof/>
              </w:rPr>
              <w:t>2.1.</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What are the problems?</w:t>
            </w:r>
            <w:r w:rsidR="0071775D">
              <w:rPr>
                <w:noProof/>
                <w:webHidden/>
              </w:rPr>
              <w:tab/>
            </w:r>
            <w:r w:rsidR="0071775D">
              <w:rPr>
                <w:noProof/>
                <w:webHidden/>
              </w:rPr>
              <w:fldChar w:fldCharType="begin"/>
            </w:r>
            <w:r w:rsidR="0071775D">
              <w:rPr>
                <w:noProof/>
                <w:webHidden/>
              </w:rPr>
              <w:instrText xml:space="preserve"> PAGEREF _Toc219718138 \h </w:instrText>
            </w:r>
            <w:r w:rsidR="0071775D">
              <w:rPr>
                <w:noProof/>
                <w:webHidden/>
              </w:rPr>
            </w:r>
            <w:r w:rsidR="0071775D">
              <w:rPr>
                <w:noProof/>
                <w:webHidden/>
              </w:rPr>
              <w:fldChar w:fldCharType="separate"/>
            </w:r>
            <w:r w:rsidR="0071775D">
              <w:rPr>
                <w:noProof/>
                <w:webHidden/>
              </w:rPr>
              <w:t>15</w:t>
            </w:r>
            <w:r w:rsidR="0071775D">
              <w:rPr>
                <w:noProof/>
                <w:webHidden/>
              </w:rPr>
              <w:fldChar w:fldCharType="end"/>
            </w:r>
          </w:hyperlink>
        </w:p>
        <w:p w14:paraId="4AD2B06E" w14:textId="7C2DDABA" w:rsidR="0071775D" w:rsidRDefault="004329F8" w:rsidP="0071775D">
          <w:pPr>
            <w:pStyle w:val="TOC3"/>
            <w:rPr>
              <w:rFonts w:asciiTheme="minorHAnsi" w:eastAsiaTheme="minorEastAsia" w:hAnsiTheme="minorHAnsi" w:cstheme="minorBidi"/>
              <w:noProof/>
              <w:kern w:val="2"/>
              <w:lang w:val="en-IE" w:eastAsia="en-IE"/>
              <w14:ligatures w14:val="standardContextual"/>
            </w:rPr>
          </w:pPr>
          <w:hyperlink w:anchor="_Toc219718139" w:history="1">
            <w:r w:rsidR="0071775D" w:rsidRPr="00CE2C6C">
              <w:rPr>
                <w:rStyle w:val="Hyperlink"/>
                <w:bCs/>
                <w:noProof/>
              </w:rPr>
              <w:t>2.1.1.</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Fixed networks: Slow deployment and adoption of fibre networks and services</w:t>
            </w:r>
            <w:r w:rsidR="0071775D">
              <w:rPr>
                <w:noProof/>
                <w:webHidden/>
              </w:rPr>
              <w:tab/>
            </w:r>
            <w:r w:rsidR="0071775D">
              <w:rPr>
                <w:noProof/>
                <w:webHidden/>
              </w:rPr>
              <w:fldChar w:fldCharType="begin"/>
            </w:r>
            <w:r w:rsidR="0071775D">
              <w:rPr>
                <w:noProof/>
                <w:webHidden/>
              </w:rPr>
              <w:instrText xml:space="preserve"> PAGEREF _Toc219718139 \h </w:instrText>
            </w:r>
            <w:r w:rsidR="0071775D">
              <w:rPr>
                <w:noProof/>
                <w:webHidden/>
              </w:rPr>
            </w:r>
            <w:r w:rsidR="0071775D">
              <w:rPr>
                <w:noProof/>
                <w:webHidden/>
              </w:rPr>
              <w:fldChar w:fldCharType="separate"/>
            </w:r>
            <w:r w:rsidR="0071775D">
              <w:rPr>
                <w:noProof/>
                <w:webHidden/>
              </w:rPr>
              <w:t>15</w:t>
            </w:r>
            <w:r w:rsidR="0071775D">
              <w:rPr>
                <w:noProof/>
                <w:webHidden/>
              </w:rPr>
              <w:fldChar w:fldCharType="end"/>
            </w:r>
          </w:hyperlink>
        </w:p>
        <w:p w14:paraId="0FC74BA6" w14:textId="3D70C0CA"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40" w:history="1">
            <w:r w:rsidR="0071775D" w:rsidRPr="00CE2C6C">
              <w:rPr>
                <w:rStyle w:val="Hyperlink"/>
                <w:bCs/>
                <w:noProof/>
              </w:rPr>
              <w:t>2.1.2.</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Mobile networks: insufficient investments in high quality mobile connectivity</w:t>
            </w:r>
            <w:r w:rsidR="0071775D">
              <w:rPr>
                <w:noProof/>
                <w:webHidden/>
              </w:rPr>
              <w:tab/>
            </w:r>
            <w:r w:rsidR="0071775D">
              <w:rPr>
                <w:noProof/>
                <w:webHidden/>
              </w:rPr>
              <w:fldChar w:fldCharType="begin"/>
            </w:r>
            <w:r w:rsidR="0071775D">
              <w:rPr>
                <w:noProof/>
                <w:webHidden/>
              </w:rPr>
              <w:instrText xml:space="preserve"> PAGEREF _Toc219718140 \h </w:instrText>
            </w:r>
            <w:r w:rsidR="0071775D">
              <w:rPr>
                <w:noProof/>
                <w:webHidden/>
              </w:rPr>
            </w:r>
            <w:r w:rsidR="0071775D">
              <w:rPr>
                <w:noProof/>
                <w:webHidden/>
              </w:rPr>
              <w:fldChar w:fldCharType="separate"/>
            </w:r>
            <w:r w:rsidR="0071775D">
              <w:rPr>
                <w:noProof/>
                <w:webHidden/>
              </w:rPr>
              <w:t>19</w:t>
            </w:r>
            <w:r w:rsidR="0071775D">
              <w:rPr>
                <w:noProof/>
                <w:webHidden/>
              </w:rPr>
              <w:fldChar w:fldCharType="end"/>
            </w:r>
          </w:hyperlink>
        </w:p>
        <w:p w14:paraId="6BADD10E" w14:textId="72B61FD7"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41" w:history="1">
            <w:r w:rsidR="0071775D" w:rsidRPr="00CE2C6C">
              <w:rPr>
                <w:rStyle w:val="Hyperlink"/>
                <w:bCs/>
                <w:noProof/>
              </w:rPr>
              <w:t>2.1.3.</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Lack of pan-European networks and services</w:t>
            </w:r>
            <w:r w:rsidR="0071775D">
              <w:rPr>
                <w:noProof/>
                <w:webHidden/>
              </w:rPr>
              <w:tab/>
            </w:r>
            <w:r w:rsidR="0071775D">
              <w:rPr>
                <w:noProof/>
                <w:webHidden/>
              </w:rPr>
              <w:fldChar w:fldCharType="begin"/>
            </w:r>
            <w:r w:rsidR="0071775D">
              <w:rPr>
                <w:noProof/>
                <w:webHidden/>
              </w:rPr>
              <w:instrText xml:space="preserve"> PAGEREF _Toc219718141 \h </w:instrText>
            </w:r>
            <w:r w:rsidR="0071775D">
              <w:rPr>
                <w:noProof/>
                <w:webHidden/>
              </w:rPr>
            </w:r>
            <w:r w:rsidR="0071775D">
              <w:rPr>
                <w:noProof/>
                <w:webHidden/>
              </w:rPr>
              <w:fldChar w:fldCharType="separate"/>
            </w:r>
            <w:r w:rsidR="0071775D">
              <w:rPr>
                <w:noProof/>
                <w:webHidden/>
              </w:rPr>
              <w:t>22</w:t>
            </w:r>
            <w:r w:rsidR="0071775D">
              <w:rPr>
                <w:noProof/>
                <w:webHidden/>
              </w:rPr>
              <w:fldChar w:fldCharType="end"/>
            </w:r>
          </w:hyperlink>
        </w:p>
        <w:p w14:paraId="0639F74E" w14:textId="790E3EAD"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42" w:history="1">
            <w:r w:rsidR="0071775D" w:rsidRPr="00CE2C6C">
              <w:rPr>
                <w:rStyle w:val="Hyperlink"/>
                <w:bCs/>
                <w:noProof/>
                <w:lang w:val="en-IE"/>
              </w:rPr>
              <w:t>2.1.4.</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Governance structure not fully suited to serve the requirements of the single market</w:t>
            </w:r>
            <w:r w:rsidR="0071775D">
              <w:rPr>
                <w:noProof/>
                <w:webHidden/>
              </w:rPr>
              <w:tab/>
            </w:r>
            <w:r w:rsidR="0071775D">
              <w:rPr>
                <w:noProof/>
                <w:webHidden/>
              </w:rPr>
              <w:fldChar w:fldCharType="begin"/>
            </w:r>
            <w:r w:rsidR="0071775D">
              <w:rPr>
                <w:noProof/>
                <w:webHidden/>
              </w:rPr>
              <w:instrText xml:space="preserve"> PAGEREF _Toc219718142 \h </w:instrText>
            </w:r>
            <w:r w:rsidR="0071775D">
              <w:rPr>
                <w:noProof/>
                <w:webHidden/>
              </w:rPr>
            </w:r>
            <w:r w:rsidR="0071775D">
              <w:rPr>
                <w:noProof/>
                <w:webHidden/>
              </w:rPr>
              <w:fldChar w:fldCharType="separate"/>
            </w:r>
            <w:r w:rsidR="0071775D">
              <w:rPr>
                <w:noProof/>
                <w:webHidden/>
              </w:rPr>
              <w:t>29</w:t>
            </w:r>
            <w:r w:rsidR="0071775D">
              <w:rPr>
                <w:noProof/>
                <w:webHidden/>
              </w:rPr>
              <w:fldChar w:fldCharType="end"/>
            </w:r>
          </w:hyperlink>
        </w:p>
        <w:p w14:paraId="78D1307E" w14:textId="08781C2B"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43" w:history="1">
            <w:r w:rsidR="0071775D" w:rsidRPr="00CE2C6C">
              <w:rPr>
                <w:rStyle w:val="Hyperlink"/>
                <w:noProof/>
              </w:rPr>
              <w:t>2.2.</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What are the problem drivers?</w:t>
            </w:r>
            <w:r w:rsidR="0071775D">
              <w:rPr>
                <w:noProof/>
                <w:webHidden/>
              </w:rPr>
              <w:tab/>
            </w:r>
            <w:r w:rsidR="0071775D">
              <w:rPr>
                <w:noProof/>
                <w:webHidden/>
              </w:rPr>
              <w:fldChar w:fldCharType="begin"/>
            </w:r>
            <w:r w:rsidR="0071775D">
              <w:rPr>
                <w:noProof/>
                <w:webHidden/>
              </w:rPr>
              <w:instrText xml:space="preserve"> PAGEREF _Toc219718143 \h </w:instrText>
            </w:r>
            <w:r w:rsidR="0071775D">
              <w:rPr>
                <w:noProof/>
                <w:webHidden/>
              </w:rPr>
            </w:r>
            <w:r w:rsidR="0071775D">
              <w:rPr>
                <w:noProof/>
                <w:webHidden/>
              </w:rPr>
              <w:fldChar w:fldCharType="separate"/>
            </w:r>
            <w:r w:rsidR="0071775D">
              <w:rPr>
                <w:noProof/>
                <w:webHidden/>
              </w:rPr>
              <w:t>33</w:t>
            </w:r>
            <w:r w:rsidR="0071775D">
              <w:rPr>
                <w:noProof/>
                <w:webHidden/>
              </w:rPr>
              <w:fldChar w:fldCharType="end"/>
            </w:r>
          </w:hyperlink>
        </w:p>
        <w:p w14:paraId="0C3E44B8" w14:textId="46372790"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44" w:history="1">
            <w:r w:rsidR="0071775D" w:rsidRPr="00CE2C6C">
              <w:rPr>
                <w:rStyle w:val="Hyperlink"/>
                <w:bCs/>
                <w:noProof/>
              </w:rPr>
              <w:t>2.2.1.</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Fixed networks</w:t>
            </w:r>
            <w:r w:rsidR="0071775D">
              <w:rPr>
                <w:noProof/>
                <w:webHidden/>
              </w:rPr>
              <w:tab/>
            </w:r>
            <w:r w:rsidR="0071775D">
              <w:rPr>
                <w:noProof/>
                <w:webHidden/>
              </w:rPr>
              <w:fldChar w:fldCharType="begin"/>
            </w:r>
            <w:r w:rsidR="0071775D">
              <w:rPr>
                <w:noProof/>
                <w:webHidden/>
              </w:rPr>
              <w:instrText xml:space="preserve"> PAGEREF _Toc219718144 \h </w:instrText>
            </w:r>
            <w:r w:rsidR="0071775D">
              <w:rPr>
                <w:noProof/>
                <w:webHidden/>
              </w:rPr>
            </w:r>
            <w:r w:rsidR="0071775D">
              <w:rPr>
                <w:noProof/>
                <w:webHidden/>
              </w:rPr>
              <w:fldChar w:fldCharType="separate"/>
            </w:r>
            <w:r w:rsidR="0071775D">
              <w:rPr>
                <w:noProof/>
                <w:webHidden/>
              </w:rPr>
              <w:t>33</w:t>
            </w:r>
            <w:r w:rsidR="0071775D">
              <w:rPr>
                <w:noProof/>
                <w:webHidden/>
              </w:rPr>
              <w:fldChar w:fldCharType="end"/>
            </w:r>
          </w:hyperlink>
        </w:p>
        <w:p w14:paraId="4BDEEC88" w14:textId="23EC9C2E"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45" w:history="1">
            <w:r w:rsidR="0071775D" w:rsidRPr="00CE2C6C">
              <w:rPr>
                <w:rStyle w:val="Hyperlink"/>
                <w:bCs/>
                <w:noProof/>
              </w:rPr>
              <w:t>2.2.2.</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Mobile networks: Spectrum regulation and market factors slowing down investment in high quality mobile connectivity</w:t>
            </w:r>
            <w:r w:rsidR="0071775D">
              <w:rPr>
                <w:noProof/>
                <w:webHidden/>
              </w:rPr>
              <w:tab/>
            </w:r>
            <w:r w:rsidR="0071775D">
              <w:rPr>
                <w:noProof/>
                <w:webHidden/>
              </w:rPr>
              <w:fldChar w:fldCharType="begin"/>
            </w:r>
            <w:r w:rsidR="0071775D">
              <w:rPr>
                <w:noProof/>
                <w:webHidden/>
              </w:rPr>
              <w:instrText xml:space="preserve"> PAGEREF _Toc219718145 \h </w:instrText>
            </w:r>
            <w:r w:rsidR="0071775D">
              <w:rPr>
                <w:noProof/>
                <w:webHidden/>
              </w:rPr>
            </w:r>
            <w:r w:rsidR="0071775D">
              <w:rPr>
                <w:noProof/>
                <w:webHidden/>
              </w:rPr>
              <w:fldChar w:fldCharType="separate"/>
            </w:r>
            <w:r w:rsidR="0071775D">
              <w:rPr>
                <w:noProof/>
                <w:webHidden/>
              </w:rPr>
              <w:t>37</w:t>
            </w:r>
            <w:r w:rsidR="0071775D">
              <w:rPr>
                <w:noProof/>
                <w:webHidden/>
              </w:rPr>
              <w:fldChar w:fldCharType="end"/>
            </w:r>
          </w:hyperlink>
        </w:p>
        <w:p w14:paraId="42250542" w14:textId="2A5F10F7"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46" w:history="1">
            <w:r w:rsidR="0071775D" w:rsidRPr="00CE2C6C">
              <w:rPr>
                <w:rStyle w:val="Hyperlink"/>
                <w:bCs/>
                <w:noProof/>
              </w:rPr>
              <w:t>2.2.3.</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Fragmented authorisation conditions, not allowing to operate across the EU</w:t>
            </w:r>
            <w:r w:rsidR="0071775D">
              <w:rPr>
                <w:noProof/>
                <w:webHidden/>
              </w:rPr>
              <w:tab/>
            </w:r>
            <w:r w:rsidR="0071775D">
              <w:rPr>
                <w:noProof/>
                <w:webHidden/>
              </w:rPr>
              <w:fldChar w:fldCharType="begin"/>
            </w:r>
            <w:r w:rsidR="0071775D">
              <w:rPr>
                <w:noProof/>
                <w:webHidden/>
              </w:rPr>
              <w:instrText xml:space="preserve"> PAGEREF _Toc219718146 \h </w:instrText>
            </w:r>
            <w:r w:rsidR="0071775D">
              <w:rPr>
                <w:noProof/>
                <w:webHidden/>
              </w:rPr>
            </w:r>
            <w:r w:rsidR="0071775D">
              <w:rPr>
                <w:noProof/>
                <w:webHidden/>
              </w:rPr>
              <w:fldChar w:fldCharType="separate"/>
            </w:r>
            <w:r w:rsidR="0071775D">
              <w:rPr>
                <w:noProof/>
                <w:webHidden/>
              </w:rPr>
              <w:t>50</w:t>
            </w:r>
            <w:r w:rsidR="0071775D">
              <w:rPr>
                <w:noProof/>
                <w:webHidden/>
              </w:rPr>
              <w:fldChar w:fldCharType="end"/>
            </w:r>
          </w:hyperlink>
        </w:p>
        <w:p w14:paraId="21478560" w14:textId="7B2FDD66"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47" w:history="1">
            <w:r w:rsidR="0071775D" w:rsidRPr="00CE2C6C">
              <w:rPr>
                <w:rStyle w:val="Hyperlink"/>
                <w:bCs/>
                <w:noProof/>
              </w:rPr>
              <w:t>2.2.4.</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Insufficient cooperation and fragmented regulatory approaches</w:t>
            </w:r>
            <w:r w:rsidR="0071775D">
              <w:rPr>
                <w:noProof/>
                <w:webHidden/>
              </w:rPr>
              <w:tab/>
            </w:r>
            <w:r w:rsidR="0071775D">
              <w:rPr>
                <w:noProof/>
                <w:webHidden/>
              </w:rPr>
              <w:fldChar w:fldCharType="begin"/>
            </w:r>
            <w:r w:rsidR="0071775D">
              <w:rPr>
                <w:noProof/>
                <w:webHidden/>
              </w:rPr>
              <w:instrText xml:space="preserve"> PAGEREF _Toc219718147 \h </w:instrText>
            </w:r>
            <w:r w:rsidR="0071775D">
              <w:rPr>
                <w:noProof/>
                <w:webHidden/>
              </w:rPr>
            </w:r>
            <w:r w:rsidR="0071775D">
              <w:rPr>
                <w:noProof/>
                <w:webHidden/>
              </w:rPr>
              <w:fldChar w:fldCharType="separate"/>
            </w:r>
            <w:r w:rsidR="0071775D">
              <w:rPr>
                <w:noProof/>
                <w:webHidden/>
              </w:rPr>
              <w:t>53</w:t>
            </w:r>
            <w:r w:rsidR="0071775D">
              <w:rPr>
                <w:noProof/>
                <w:webHidden/>
              </w:rPr>
              <w:fldChar w:fldCharType="end"/>
            </w:r>
          </w:hyperlink>
        </w:p>
        <w:p w14:paraId="4FD489E4" w14:textId="728351FF"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48" w:history="1">
            <w:r w:rsidR="0071775D" w:rsidRPr="00CE2C6C">
              <w:rPr>
                <w:rStyle w:val="Hyperlink"/>
                <w:noProof/>
              </w:rPr>
              <w:t>2.3.</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How likely are the problems to persist?</w:t>
            </w:r>
            <w:r w:rsidR="0071775D">
              <w:rPr>
                <w:noProof/>
                <w:webHidden/>
              </w:rPr>
              <w:tab/>
            </w:r>
            <w:r w:rsidR="0071775D">
              <w:rPr>
                <w:noProof/>
                <w:webHidden/>
              </w:rPr>
              <w:fldChar w:fldCharType="begin"/>
            </w:r>
            <w:r w:rsidR="0071775D">
              <w:rPr>
                <w:noProof/>
                <w:webHidden/>
              </w:rPr>
              <w:instrText xml:space="preserve"> PAGEREF _Toc219718148 \h </w:instrText>
            </w:r>
            <w:r w:rsidR="0071775D">
              <w:rPr>
                <w:noProof/>
                <w:webHidden/>
              </w:rPr>
            </w:r>
            <w:r w:rsidR="0071775D">
              <w:rPr>
                <w:noProof/>
                <w:webHidden/>
              </w:rPr>
              <w:fldChar w:fldCharType="separate"/>
            </w:r>
            <w:r w:rsidR="0071775D">
              <w:rPr>
                <w:noProof/>
                <w:webHidden/>
              </w:rPr>
              <w:t>54</w:t>
            </w:r>
            <w:r w:rsidR="0071775D">
              <w:rPr>
                <w:noProof/>
                <w:webHidden/>
              </w:rPr>
              <w:fldChar w:fldCharType="end"/>
            </w:r>
          </w:hyperlink>
        </w:p>
        <w:p w14:paraId="27BADDC0" w14:textId="4A5609A9"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49" w:history="1">
            <w:r w:rsidR="0071775D" w:rsidRPr="00CE2C6C">
              <w:rPr>
                <w:rStyle w:val="Hyperlink"/>
                <w:bCs/>
                <w:noProof/>
              </w:rPr>
              <w:t>2.3.1.</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Fixed networks: Slow deployment and adoption of fibre networks and services</w:t>
            </w:r>
            <w:r w:rsidR="0071775D">
              <w:rPr>
                <w:noProof/>
                <w:webHidden/>
              </w:rPr>
              <w:tab/>
            </w:r>
            <w:r w:rsidR="0071775D">
              <w:rPr>
                <w:noProof/>
                <w:webHidden/>
              </w:rPr>
              <w:fldChar w:fldCharType="begin"/>
            </w:r>
            <w:r w:rsidR="0071775D">
              <w:rPr>
                <w:noProof/>
                <w:webHidden/>
              </w:rPr>
              <w:instrText xml:space="preserve"> PAGEREF _Toc219718149 \h </w:instrText>
            </w:r>
            <w:r w:rsidR="0071775D">
              <w:rPr>
                <w:noProof/>
                <w:webHidden/>
              </w:rPr>
            </w:r>
            <w:r w:rsidR="0071775D">
              <w:rPr>
                <w:noProof/>
                <w:webHidden/>
              </w:rPr>
              <w:fldChar w:fldCharType="separate"/>
            </w:r>
            <w:r w:rsidR="0071775D">
              <w:rPr>
                <w:noProof/>
                <w:webHidden/>
              </w:rPr>
              <w:t>54</w:t>
            </w:r>
            <w:r w:rsidR="0071775D">
              <w:rPr>
                <w:noProof/>
                <w:webHidden/>
              </w:rPr>
              <w:fldChar w:fldCharType="end"/>
            </w:r>
          </w:hyperlink>
        </w:p>
        <w:p w14:paraId="46D9D422" w14:textId="1C6EC425"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50" w:history="1">
            <w:r w:rsidR="0071775D" w:rsidRPr="00CE2C6C">
              <w:rPr>
                <w:rStyle w:val="Hyperlink"/>
                <w:bCs/>
                <w:noProof/>
              </w:rPr>
              <w:t>2.3.2.</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Mobile networks: lack of investment in high quality mobile connectivity</w:t>
            </w:r>
            <w:r w:rsidR="0071775D">
              <w:rPr>
                <w:noProof/>
                <w:webHidden/>
              </w:rPr>
              <w:tab/>
            </w:r>
            <w:r w:rsidR="0071775D">
              <w:rPr>
                <w:noProof/>
                <w:webHidden/>
              </w:rPr>
              <w:fldChar w:fldCharType="begin"/>
            </w:r>
            <w:r w:rsidR="0071775D">
              <w:rPr>
                <w:noProof/>
                <w:webHidden/>
              </w:rPr>
              <w:instrText xml:space="preserve"> PAGEREF _Toc219718150 \h </w:instrText>
            </w:r>
            <w:r w:rsidR="0071775D">
              <w:rPr>
                <w:noProof/>
                <w:webHidden/>
              </w:rPr>
            </w:r>
            <w:r w:rsidR="0071775D">
              <w:rPr>
                <w:noProof/>
                <w:webHidden/>
              </w:rPr>
              <w:fldChar w:fldCharType="separate"/>
            </w:r>
            <w:r w:rsidR="0071775D">
              <w:rPr>
                <w:noProof/>
                <w:webHidden/>
              </w:rPr>
              <w:t>57</w:t>
            </w:r>
            <w:r w:rsidR="0071775D">
              <w:rPr>
                <w:noProof/>
                <w:webHidden/>
              </w:rPr>
              <w:fldChar w:fldCharType="end"/>
            </w:r>
          </w:hyperlink>
        </w:p>
        <w:p w14:paraId="2DABFDD6" w14:textId="4E5E4C21"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51" w:history="1">
            <w:r w:rsidR="0071775D" w:rsidRPr="00CE2C6C">
              <w:rPr>
                <w:rStyle w:val="Hyperlink"/>
                <w:bCs/>
                <w:noProof/>
              </w:rPr>
              <w:t>2.3.3.</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Lack of pan-European networks and services</w:t>
            </w:r>
            <w:r w:rsidR="0071775D">
              <w:rPr>
                <w:noProof/>
                <w:webHidden/>
              </w:rPr>
              <w:tab/>
            </w:r>
            <w:r w:rsidR="0071775D">
              <w:rPr>
                <w:noProof/>
                <w:webHidden/>
              </w:rPr>
              <w:fldChar w:fldCharType="begin"/>
            </w:r>
            <w:r w:rsidR="0071775D">
              <w:rPr>
                <w:noProof/>
                <w:webHidden/>
              </w:rPr>
              <w:instrText xml:space="preserve"> PAGEREF _Toc219718151 \h </w:instrText>
            </w:r>
            <w:r w:rsidR="0071775D">
              <w:rPr>
                <w:noProof/>
                <w:webHidden/>
              </w:rPr>
            </w:r>
            <w:r w:rsidR="0071775D">
              <w:rPr>
                <w:noProof/>
                <w:webHidden/>
              </w:rPr>
              <w:fldChar w:fldCharType="separate"/>
            </w:r>
            <w:r w:rsidR="0071775D">
              <w:rPr>
                <w:noProof/>
                <w:webHidden/>
              </w:rPr>
              <w:t>58</w:t>
            </w:r>
            <w:r w:rsidR="0071775D">
              <w:rPr>
                <w:noProof/>
                <w:webHidden/>
              </w:rPr>
              <w:fldChar w:fldCharType="end"/>
            </w:r>
          </w:hyperlink>
        </w:p>
        <w:p w14:paraId="3A35BA48" w14:textId="4A1705F7" w:rsidR="0071775D" w:rsidRDefault="004329F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152" w:history="1">
            <w:r w:rsidR="0071775D" w:rsidRPr="00CE2C6C">
              <w:rPr>
                <w:rStyle w:val="Hyperlink"/>
                <w:noProof/>
              </w:rPr>
              <w:t>3.</w:t>
            </w:r>
            <w:r w:rsidR="0071775D">
              <w:rPr>
                <w:rFonts w:asciiTheme="minorHAnsi" w:eastAsiaTheme="minorEastAsia" w:hAnsiTheme="minorHAnsi" w:cstheme="minorBidi"/>
                <w:caps w:val="0"/>
                <w:noProof/>
                <w:kern w:val="2"/>
                <w:sz w:val="24"/>
                <w:szCs w:val="24"/>
                <w:lang w:val="en-IE" w:eastAsia="en-IE"/>
                <w14:ligatures w14:val="standardContextual"/>
              </w:rPr>
              <w:tab/>
            </w:r>
            <w:r w:rsidR="0071775D" w:rsidRPr="00CE2C6C">
              <w:rPr>
                <w:rStyle w:val="Hyperlink"/>
                <w:noProof/>
              </w:rPr>
              <w:t>Why should the EU act?</w:t>
            </w:r>
            <w:r w:rsidR="0071775D">
              <w:rPr>
                <w:noProof/>
                <w:webHidden/>
              </w:rPr>
              <w:tab/>
            </w:r>
            <w:r w:rsidR="0071775D">
              <w:rPr>
                <w:noProof/>
                <w:webHidden/>
              </w:rPr>
              <w:fldChar w:fldCharType="begin"/>
            </w:r>
            <w:r w:rsidR="0071775D">
              <w:rPr>
                <w:noProof/>
                <w:webHidden/>
              </w:rPr>
              <w:instrText xml:space="preserve"> PAGEREF _Toc219718152 \h </w:instrText>
            </w:r>
            <w:r w:rsidR="0071775D">
              <w:rPr>
                <w:noProof/>
                <w:webHidden/>
              </w:rPr>
            </w:r>
            <w:r w:rsidR="0071775D">
              <w:rPr>
                <w:noProof/>
                <w:webHidden/>
              </w:rPr>
              <w:fldChar w:fldCharType="separate"/>
            </w:r>
            <w:r w:rsidR="0071775D">
              <w:rPr>
                <w:noProof/>
                <w:webHidden/>
              </w:rPr>
              <w:t>60</w:t>
            </w:r>
            <w:r w:rsidR="0071775D">
              <w:rPr>
                <w:noProof/>
                <w:webHidden/>
              </w:rPr>
              <w:fldChar w:fldCharType="end"/>
            </w:r>
          </w:hyperlink>
        </w:p>
        <w:p w14:paraId="3A383732" w14:textId="42168A78"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53" w:history="1">
            <w:r w:rsidR="0071775D" w:rsidRPr="00CE2C6C">
              <w:rPr>
                <w:rStyle w:val="Hyperlink"/>
                <w:noProof/>
              </w:rPr>
              <w:t>3.1.</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Subsidiarity: Necessity of EU action</w:t>
            </w:r>
            <w:r w:rsidR="0071775D">
              <w:rPr>
                <w:noProof/>
                <w:webHidden/>
              </w:rPr>
              <w:tab/>
            </w:r>
            <w:r w:rsidR="0071775D">
              <w:rPr>
                <w:noProof/>
                <w:webHidden/>
              </w:rPr>
              <w:fldChar w:fldCharType="begin"/>
            </w:r>
            <w:r w:rsidR="0071775D">
              <w:rPr>
                <w:noProof/>
                <w:webHidden/>
              </w:rPr>
              <w:instrText xml:space="preserve"> PAGEREF _Toc219718153 \h </w:instrText>
            </w:r>
            <w:r w:rsidR="0071775D">
              <w:rPr>
                <w:noProof/>
                <w:webHidden/>
              </w:rPr>
            </w:r>
            <w:r w:rsidR="0071775D">
              <w:rPr>
                <w:noProof/>
                <w:webHidden/>
              </w:rPr>
              <w:fldChar w:fldCharType="separate"/>
            </w:r>
            <w:r w:rsidR="0071775D">
              <w:rPr>
                <w:noProof/>
                <w:webHidden/>
              </w:rPr>
              <w:t>60</w:t>
            </w:r>
            <w:r w:rsidR="0071775D">
              <w:rPr>
                <w:noProof/>
                <w:webHidden/>
              </w:rPr>
              <w:fldChar w:fldCharType="end"/>
            </w:r>
          </w:hyperlink>
        </w:p>
        <w:p w14:paraId="19AA473E" w14:textId="79E5E7E3"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54" w:history="1">
            <w:r w:rsidR="0071775D" w:rsidRPr="00CE2C6C">
              <w:rPr>
                <w:rStyle w:val="Hyperlink"/>
                <w:noProof/>
              </w:rPr>
              <w:t>3.2.</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Legal basis</w:t>
            </w:r>
            <w:r w:rsidR="0071775D">
              <w:rPr>
                <w:noProof/>
                <w:webHidden/>
              </w:rPr>
              <w:tab/>
            </w:r>
            <w:r w:rsidR="0071775D">
              <w:rPr>
                <w:noProof/>
                <w:webHidden/>
              </w:rPr>
              <w:fldChar w:fldCharType="begin"/>
            </w:r>
            <w:r w:rsidR="0071775D">
              <w:rPr>
                <w:noProof/>
                <w:webHidden/>
              </w:rPr>
              <w:instrText xml:space="preserve"> PAGEREF _Toc219718154 \h </w:instrText>
            </w:r>
            <w:r w:rsidR="0071775D">
              <w:rPr>
                <w:noProof/>
                <w:webHidden/>
              </w:rPr>
            </w:r>
            <w:r w:rsidR="0071775D">
              <w:rPr>
                <w:noProof/>
                <w:webHidden/>
              </w:rPr>
              <w:fldChar w:fldCharType="separate"/>
            </w:r>
            <w:r w:rsidR="0071775D">
              <w:rPr>
                <w:noProof/>
                <w:webHidden/>
              </w:rPr>
              <w:t>60</w:t>
            </w:r>
            <w:r w:rsidR="0071775D">
              <w:rPr>
                <w:noProof/>
                <w:webHidden/>
              </w:rPr>
              <w:fldChar w:fldCharType="end"/>
            </w:r>
          </w:hyperlink>
        </w:p>
        <w:p w14:paraId="347BD357" w14:textId="27698CE8"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55" w:history="1">
            <w:r w:rsidR="0071775D" w:rsidRPr="00CE2C6C">
              <w:rPr>
                <w:rStyle w:val="Hyperlink"/>
                <w:noProof/>
              </w:rPr>
              <w:t>3.3.</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Subsidiarity: Added value of EU action</w:t>
            </w:r>
            <w:r w:rsidR="0071775D">
              <w:rPr>
                <w:noProof/>
                <w:webHidden/>
              </w:rPr>
              <w:tab/>
            </w:r>
            <w:r w:rsidR="0071775D">
              <w:rPr>
                <w:noProof/>
                <w:webHidden/>
              </w:rPr>
              <w:fldChar w:fldCharType="begin"/>
            </w:r>
            <w:r w:rsidR="0071775D">
              <w:rPr>
                <w:noProof/>
                <w:webHidden/>
              </w:rPr>
              <w:instrText xml:space="preserve"> PAGEREF _Toc219718155 \h </w:instrText>
            </w:r>
            <w:r w:rsidR="0071775D">
              <w:rPr>
                <w:noProof/>
                <w:webHidden/>
              </w:rPr>
            </w:r>
            <w:r w:rsidR="0071775D">
              <w:rPr>
                <w:noProof/>
                <w:webHidden/>
              </w:rPr>
              <w:fldChar w:fldCharType="separate"/>
            </w:r>
            <w:r w:rsidR="0071775D">
              <w:rPr>
                <w:noProof/>
                <w:webHidden/>
              </w:rPr>
              <w:t>61</w:t>
            </w:r>
            <w:r w:rsidR="0071775D">
              <w:rPr>
                <w:noProof/>
                <w:webHidden/>
              </w:rPr>
              <w:fldChar w:fldCharType="end"/>
            </w:r>
          </w:hyperlink>
        </w:p>
        <w:p w14:paraId="0D6784D4" w14:textId="7B734FFA" w:rsidR="0071775D" w:rsidRDefault="004329F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156" w:history="1">
            <w:r w:rsidR="0071775D" w:rsidRPr="00CE2C6C">
              <w:rPr>
                <w:rStyle w:val="Hyperlink"/>
                <w:noProof/>
              </w:rPr>
              <w:t>4.</w:t>
            </w:r>
            <w:r w:rsidR="0071775D">
              <w:rPr>
                <w:rFonts w:asciiTheme="minorHAnsi" w:eastAsiaTheme="minorEastAsia" w:hAnsiTheme="minorHAnsi" w:cstheme="minorBidi"/>
                <w:caps w:val="0"/>
                <w:noProof/>
                <w:kern w:val="2"/>
                <w:sz w:val="24"/>
                <w:szCs w:val="24"/>
                <w:lang w:val="en-IE" w:eastAsia="en-IE"/>
                <w14:ligatures w14:val="standardContextual"/>
              </w:rPr>
              <w:tab/>
            </w:r>
            <w:r w:rsidR="0071775D" w:rsidRPr="00CE2C6C">
              <w:rPr>
                <w:rStyle w:val="Hyperlink"/>
                <w:noProof/>
              </w:rPr>
              <w:t>Objectives: What is to be achieved?</w:t>
            </w:r>
            <w:r w:rsidR="0071775D">
              <w:rPr>
                <w:noProof/>
                <w:webHidden/>
              </w:rPr>
              <w:tab/>
            </w:r>
            <w:r w:rsidR="0071775D">
              <w:rPr>
                <w:noProof/>
                <w:webHidden/>
              </w:rPr>
              <w:fldChar w:fldCharType="begin"/>
            </w:r>
            <w:r w:rsidR="0071775D">
              <w:rPr>
                <w:noProof/>
                <w:webHidden/>
              </w:rPr>
              <w:instrText xml:space="preserve"> PAGEREF _Toc219718156 \h </w:instrText>
            </w:r>
            <w:r w:rsidR="0071775D">
              <w:rPr>
                <w:noProof/>
                <w:webHidden/>
              </w:rPr>
            </w:r>
            <w:r w:rsidR="0071775D">
              <w:rPr>
                <w:noProof/>
                <w:webHidden/>
              </w:rPr>
              <w:fldChar w:fldCharType="separate"/>
            </w:r>
            <w:r w:rsidR="0071775D">
              <w:rPr>
                <w:noProof/>
                <w:webHidden/>
              </w:rPr>
              <w:t>61</w:t>
            </w:r>
            <w:r w:rsidR="0071775D">
              <w:rPr>
                <w:noProof/>
                <w:webHidden/>
              </w:rPr>
              <w:fldChar w:fldCharType="end"/>
            </w:r>
          </w:hyperlink>
        </w:p>
        <w:p w14:paraId="575F72C9" w14:textId="271EB130"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57" w:history="1">
            <w:r w:rsidR="0071775D" w:rsidRPr="00CE2C6C">
              <w:rPr>
                <w:rStyle w:val="Hyperlink"/>
                <w:noProof/>
              </w:rPr>
              <w:t>4.1.</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General objective</w:t>
            </w:r>
            <w:r w:rsidR="0071775D">
              <w:rPr>
                <w:noProof/>
                <w:webHidden/>
              </w:rPr>
              <w:tab/>
            </w:r>
            <w:r w:rsidR="0071775D">
              <w:rPr>
                <w:noProof/>
                <w:webHidden/>
              </w:rPr>
              <w:fldChar w:fldCharType="begin"/>
            </w:r>
            <w:r w:rsidR="0071775D">
              <w:rPr>
                <w:noProof/>
                <w:webHidden/>
              </w:rPr>
              <w:instrText xml:space="preserve"> PAGEREF _Toc219718157 \h </w:instrText>
            </w:r>
            <w:r w:rsidR="0071775D">
              <w:rPr>
                <w:noProof/>
                <w:webHidden/>
              </w:rPr>
            </w:r>
            <w:r w:rsidR="0071775D">
              <w:rPr>
                <w:noProof/>
                <w:webHidden/>
              </w:rPr>
              <w:fldChar w:fldCharType="separate"/>
            </w:r>
            <w:r w:rsidR="0071775D">
              <w:rPr>
                <w:noProof/>
                <w:webHidden/>
              </w:rPr>
              <w:t>62</w:t>
            </w:r>
            <w:r w:rsidR="0071775D">
              <w:rPr>
                <w:noProof/>
                <w:webHidden/>
              </w:rPr>
              <w:fldChar w:fldCharType="end"/>
            </w:r>
          </w:hyperlink>
        </w:p>
        <w:p w14:paraId="03C36496" w14:textId="6B0755AB"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58" w:history="1">
            <w:r w:rsidR="0071775D" w:rsidRPr="00CE2C6C">
              <w:rPr>
                <w:rStyle w:val="Hyperlink"/>
                <w:noProof/>
              </w:rPr>
              <w:t>4.2.</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Specific objectives</w:t>
            </w:r>
            <w:r w:rsidR="0071775D">
              <w:rPr>
                <w:noProof/>
                <w:webHidden/>
              </w:rPr>
              <w:tab/>
            </w:r>
            <w:r w:rsidR="0071775D">
              <w:rPr>
                <w:noProof/>
                <w:webHidden/>
              </w:rPr>
              <w:fldChar w:fldCharType="begin"/>
            </w:r>
            <w:r w:rsidR="0071775D">
              <w:rPr>
                <w:noProof/>
                <w:webHidden/>
              </w:rPr>
              <w:instrText xml:space="preserve"> PAGEREF _Toc219718158 \h </w:instrText>
            </w:r>
            <w:r w:rsidR="0071775D">
              <w:rPr>
                <w:noProof/>
                <w:webHidden/>
              </w:rPr>
            </w:r>
            <w:r w:rsidR="0071775D">
              <w:rPr>
                <w:noProof/>
                <w:webHidden/>
              </w:rPr>
              <w:fldChar w:fldCharType="separate"/>
            </w:r>
            <w:r w:rsidR="0071775D">
              <w:rPr>
                <w:noProof/>
                <w:webHidden/>
              </w:rPr>
              <w:t>63</w:t>
            </w:r>
            <w:r w:rsidR="0071775D">
              <w:rPr>
                <w:noProof/>
                <w:webHidden/>
              </w:rPr>
              <w:fldChar w:fldCharType="end"/>
            </w:r>
          </w:hyperlink>
        </w:p>
        <w:p w14:paraId="79F6809E" w14:textId="2440DF4C"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59" w:history="1">
            <w:r w:rsidR="0071775D" w:rsidRPr="00CE2C6C">
              <w:rPr>
                <w:rStyle w:val="Hyperlink"/>
                <w:bCs/>
                <w:noProof/>
              </w:rPr>
              <w:t>4.2.1.</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Swift roll-out and take-up of fibre</w:t>
            </w:r>
            <w:r w:rsidR="0071775D">
              <w:rPr>
                <w:noProof/>
                <w:webHidden/>
              </w:rPr>
              <w:tab/>
            </w:r>
            <w:r w:rsidR="0071775D">
              <w:rPr>
                <w:noProof/>
                <w:webHidden/>
              </w:rPr>
              <w:fldChar w:fldCharType="begin"/>
            </w:r>
            <w:r w:rsidR="0071775D">
              <w:rPr>
                <w:noProof/>
                <w:webHidden/>
              </w:rPr>
              <w:instrText xml:space="preserve"> PAGEREF _Toc219718159 \h </w:instrText>
            </w:r>
            <w:r w:rsidR="0071775D">
              <w:rPr>
                <w:noProof/>
                <w:webHidden/>
              </w:rPr>
            </w:r>
            <w:r w:rsidR="0071775D">
              <w:rPr>
                <w:noProof/>
                <w:webHidden/>
              </w:rPr>
              <w:fldChar w:fldCharType="separate"/>
            </w:r>
            <w:r w:rsidR="0071775D">
              <w:rPr>
                <w:noProof/>
                <w:webHidden/>
              </w:rPr>
              <w:t>63</w:t>
            </w:r>
            <w:r w:rsidR="0071775D">
              <w:rPr>
                <w:noProof/>
                <w:webHidden/>
              </w:rPr>
              <w:fldChar w:fldCharType="end"/>
            </w:r>
          </w:hyperlink>
        </w:p>
        <w:p w14:paraId="00B11B19" w14:textId="73A4CF6E"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60" w:history="1">
            <w:r w:rsidR="0071775D" w:rsidRPr="00CE2C6C">
              <w:rPr>
                <w:rStyle w:val="Hyperlink"/>
                <w:bCs/>
                <w:noProof/>
                <w:lang w:val="en-IE"/>
              </w:rPr>
              <w:t>4.2.2.</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Close the gap with competing regions in the quality of mobile networks</w:t>
            </w:r>
            <w:r w:rsidR="0071775D">
              <w:rPr>
                <w:noProof/>
                <w:webHidden/>
              </w:rPr>
              <w:tab/>
            </w:r>
            <w:r w:rsidR="0071775D">
              <w:rPr>
                <w:noProof/>
                <w:webHidden/>
              </w:rPr>
              <w:fldChar w:fldCharType="begin"/>
            </w:r>
            <w:r w:rsidR="0071775D">
              <w:rPr>
                <w:noProof/>
                <w:webHidden/>
              </w:rPr>
              <w:instrText xml:space="preserve"> PAGEREF _Toc219718160 \h </w:instrText>
            </w:r>
            <w:r w:rsidR="0071775D">
              <w:rPr>
                <w:noProof/>
                <w:webHidden/>
              </w:rPr>
            </w:r>
            <w:r w:rsidR="0071775D">
              <w:rPr>
                <w:noProof/>
                <w:webHidden/>
              </w:rPr>
              <w:fldChar w:fldCharType="separate"/>
            </w:r>
            <w:r w:rsidR="0071775D">
              <w:rPr>
                <w:noProof/>
                <w:webHidden/>
              </w:rPr>
              <w:t>63</w:t>
            </w:r>
            <w:r w:rsidR="0071775D">
              <w:rPr>
                <w:noProof/>
                <w:webHidden/>
              </w:rPr>
              <w:fldChar w:fldCharType="end"/>
            </w:r>
          </w:hyperlink>
        </w:p>
        <w:p w14:paraId="25693E90" w14:textId="3C429FF2"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61" w:history="1">
            <w:r w:rsidR="0071775D" w:rsidRPr="00CE2C6C">
              <w:rPr>
                <w:rStyle w:val="Hyperlink"/>
                <w:bCs/>
                <w:noProof/>
              </w:rPr>
              <w:t>4.2.3.</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Increase pan-European network operation and service provision</w:t>
            </w:r>
            <w:r w:rsidR="0071775D">
              <w:rPr>
                <w:noProof/>
                <w:webHidden/>
              </w:rPr>
              <w:tab/>
            </w:r>
            <w:r w:rsidR="0071775D">
              <w:rPr>
                <w:noProof/>
                <w:webHidden/>
              </w:rPr>
              <w:fldChar w:fldCharType="begin"/>
            </w:r>
            <w:r w:rsidR="0071775D">
              <w:rPr>
                <w:noProof/>
                <w:webHidden/>
              </w:rPr>
              <w:instrText xml:space="preserve"> PAGEREF _Toc219718161 \h </w:instrText>
            </w:r>
            <w:r w:rsidR="0071775D">
              <w:rPr>
                <w:noProof/>
                <w:webHidden/>
              </w:rPr>
            </w:r>
            <w:r w:rsidR="0071775D">
              <w:rPr>
                <w:noProof/>
                <w:webHidden/>
              </w:rPr>
              <w:fldChar w:fldCharType="separate"/>
            </w:r>
            <w:r w:rsidR="0071775D">
              <w:rPr>
                <w:noProof/>
                <w:webHidden/>
              </w:rPr>
              <w:t>63</w:t>
            </w:r>
            <w:r w:rsidR="0071775D">
              <w:rPr>
                <w:noProof/>
                <w:webHidden/>
              </w:rPr>
              <w:fldChar w:fldCharType="end"/>
            </w:r>
          </w:hyperlink>
        </w:p>
        <w:p w14:paraId="5191E1CB" w14:textId="6A38632F"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62" w:history="1">
            <w:r w:rsidR="0071775D" w:rsidRPr="00CE2C6C">
              <w:rPr>
                <w:rStyle w:val="Hyperlink"/>
                <w:bCs/>
                <w:noProof/>
              </w:rPr>
              <w:t>4.2.4.</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Deepen the Single Market for connectivity through adjustment of regulatory competences and roles</w:t>
            </w:r>
            <w:r w:rsidR="0071775D">
              <w:rPr>
                <w:noProof/>
                <w:webHidden/>
              </w:rPr>
              <w:tab/>
            </w:r>
            <w:r w:rsidR="0071775D">
              <w:rPr>
                <w:noProof/>
                <w:webHidden/>
              </w:rPr>
              <w:fldChar w:fldCharType="begin"/>
            </w:r>
            <w:r w:rsidR="0071775D">
              <w:rPr>
                <w:noProof/>
                <w:webHidden/>
              </w:rPr>
              <w:instrText xml:space="preserve"> PAGEREF _Toc219718162 \h </w:instrText>
            </w:r>
            <w:r w:rsidR="0071775D">
              <w:rPr>
                <w:noProof/>
                <w:webHidden/>
              </w:rPr>
            </w:r>
            <w:r w:rsidR="0071775D">
              <w:rPr>
                <w:noProof/>
                <w:webHidden/>
              </w:rPr>
              <w:fldChar w:fldCharType="separate"/>
            </w:r>
            <w:r w:rsidR="0071775D">
              <w:rPr>
                <w:noProof/>
                <w:webHidden/>
              </w:rPr>
              <w:t>64</w:t>
            </w:r>
            <w:r w:rsidR="0071775D">
              <w:rPr>
                <w:noProof/>
                <w:webHidden/>
              </w:rPr>
              <w:fldChar w:fldCharType="end"/>
            </w:r>
          </w:hyperlink>
        </w:p>
        <w:p w14:paraId="64901906" w14:textId="5238D578" w:rsidR="0071775D" w:rsidRDefault="004329F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163" w:history="1">
            <w:r w:rsidR="0071775D" w:rsidRPr="00CE2C6C">
              <w:rPr>
                <w:rStyle w:val="Hyperlink"/>
                <w:noProof/>
              </w:rPr>
              <w:t>5.</w:t>
            </w:r>
            <w:r w:rsidR="0071775D">
              <w:rPr>
                <w:rFonts w:asciiTheme="minorHAnsi" w:eastAsiaTheme="minorEastAsia" w:hAnsiTheme="minorHAnsi" w:cstheme="minorBidi"/>
                <w:caps w:val="0"/>
                <w:noProof/>
                <w:kern w:val="2"/>
                <w:sz w:val="24"/>
                <w:szCs w:val="24"/>
                <w:lang w:val="en-IE" w:eastAsia="en-IE"/>
                <w14:ligatures w14:val="standardContextual"/>
              </w:rPr>
              <w:tab/>
            </w:r>
            <w:r w:rsidR="0071775D" w:rsidRPr="00CE2C6C">
              <w:rPr>
                <w:rStyle w:val="Hyperlink"/>
                <w:noProof/>
              </w:rPr>
              <w:t>What are the available policy options?</w:t>
            </w:r>
            <w:r w:rsidR="0071775D">
              <w:rPr>
                <w:noProof/>
                <w:webHidden/>
              </w:rPr>
              <w:tab/>
            </w:r>
            <w:r w:rsidR="0071775D">
              <w:rPr>
                <w:noProof/>
                <w:webHidden/>
              </w:rPr>
              <w:fldChar w:fldCharType="begin"/>
            </w:r>
            <w:r w:rsidR="0071775D">
              <w:rPr>
                <w:noProof/>
                <w:webHidden/>
              </w:rPr>
              <w:instrText xml:space="preserve"> PAGEREF _Toc219718163 \h </w:instrText>
            </w:r>
            <w:r w:rsidR="0071775D">
              <w:rPr>
                <w:noProof/>
                <w:webHidden/>
              </w:rPr>
            </w:r>
            <w:r w:rsidR="0071775D">
              <w:rPr>
                <w:noProof/>
                <w:webHidden/>
              </w:rPr>
              <w:fldChar w:fldCharType="separate"/>
            </w:r>
            <w:r w:rsidR="0071775D">
              <w:rPr>
                <w:noProof/>
                <w:webHidden/>
              </w:rPr>
              <w:t>65</w:t>
            </w:r>
            <w:r w:rsidR="0071775D">
              <w:rPr>
                <w:noProof/>
                <w:webHidden/>
              </w:rPr>
              <w:fldChar w:fldCharType="end"/>
            </w:r>
          </w:hyperlink>
        </w:p>
        <w:p w14:paraId="071CEF79" w14:textId="4258DB47"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64" w:history="1">
            <w:r w:rsidR="0071775D" w:rsidRPr="00CE2C6C">
              <w:rPr>
                <w:rStyle w:val="Hyperlink"/>
                <w:noProof/>
              </w:rPr>
              <w:t>5.1.</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What is the baseline from which options are assessed?</w:t>
            </w:r>
            <w:r w:rsidR="0071775D">
              <w:rPr>
                <w:noProof/>
                <w:webHidden/>
              </w:rPr>
              <w:tab/>
            </w:r>
            <w:r w:rsidR="0071775D">
              <w:rPr>
                <w:noProof/>
                <w:webHidden/>
              </w:rPr>
              <w:fldChar w:fldCharType="begin"/>
            </w:r>
            <w:r w:rsidR="0071775D">
              <w:rPr>
                <w:noProof/>
                <w:webHidden/>
              </w:rPr>
              <w:instrText xml:space="preserve"> PAGEREF _Toc219718164 \h </w:instrText>
            </w:r>
            <w:r w:rsidR="0071775D">
              <w:rPr>
                <w:noProof/>
                <w:webHidden/>
              </w:rPr>
            </w:r>
            <w:r w:rsidR="0071775D">
              <w:rPr>
                <w:noProof/>
                <w:webHidden/>
              </w:rPr>
              <w:fldChar w:fldCharType="separate"/>
            </w:r>
            <w:r w:rsidR="0071775D">
              <w:rPr>
                <w:noProof/>
                <w:webHidden/>
              </w:rPr>
              <w:t>65</w:t>
            </w:r>
            <w:r w:rsidR="0071775D">
              <w:rPr>
                <w:noProof/>
                <w:webHidden/>
              </w:rPr>
              <w:fldChar w:fldCharType="end"/>
            </w:r>
          </w:hyperlink>
        </w:p>
        <w:p w14:paraId="7C1BA4D5" w14:textId="305E7629"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65" w:history="1">
            <w:r w:rsidR="0071775D" w:rsidRPr="00CE2C6C">
              <w:rPr>
                <w:rStyle w:val="Hyperlink"/>
                <w:bCs/>
                <w:noProof/>
              </w:rPr>
              <w:t>5.1.1.</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Transition to fibre</w:t>
            </w:r>
            <w:r w:rsidR="0071775D">
              <w:rPr>
                <w:noProof/>
                <w:webHidden/>
              </w:rPr>
              <w:tab/>
            </w:r>
            <w:r w:rsidR="0071775D">
              <w:rPr>
                <w:noProof/>
                <w:webHidden/>
              </w:rPr>
              <w:fldChar w:fldCharType="begin"/>
            </w:r>
            <w:r w:rsidR="0071775D">
              <w:rPr>
                <w:noProof/>
                <w:webHidden/>
              </w:rPr>
              <w:instrText xml:space="preserve"> PAGEREF _Toc219718165 \h </w:instrText>
            </w:r>
            <w:r w:rsidR="0071775D">
              <w:rPr>
                <w:noProof/>
                <w:webHidden/>
              </w:rPr>
            </w:r>
            <w:r w:rsidR="0071775D">
              <w:rPr>
                <w:noProof/>
                <w:webHidden/>
              </w:rPr>
              <w:fldChar w:fldCharType="separate"/>
            </w:r>
            <w:r w:rsidR="0071775D">
              <w:rPr>
                <w:noProof/>
                <w:webHidden/>
              </w:rPr>
              <w:t>65</w:t>
            </w:r>
            <w:r w:rsidR="0071775D">
              <w:rPr>
                <w:noProof/>
                <w:webHidden/>
              </w:rPr>
              <w:fldChar w:fldCharType="end"/>
            </w:r>
          </w:hyperlink>
        </w:p>
        <w:p w14:paraId="4B8F8234" w14:textId="3E8847E8"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66" w:history="1">
            <w:r w:rsidR="0071775D" w:rsidRPr="00CE2C6C">
              <w:rPr>
                <w:rStyle w:val="Hyperlink"/>
                <w:bCs/>
                <w:noProof/>
              </w:rPr>
              <w:t>5.1.2.</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Spectrum</w:t>
            </w:r>
            <w:r w:rsidR="0071775D">
              <w:rPr>
                <w:noProof/>
                <w:webHidden/>
              </w:rPr>
              <w:tab/>
            </w:r>
            <w:r w:rsidR="0071775D">
              <w:rPr>
                <w:noProof/>
                <w:webHidden/>
              </w:rPr>
              <w:fldChar w:fldCharType="begin"/>
            </w:r>
            <w:r w:rsidR="0071775D">
              <w:rPr>
                <w:noProof/>
                <w:webHidden/>
              </w:rPr>
              <w:instrText xml:space="preserve"> PAGEREF _Toc219718166 \h </w:instrText>
            </w:r>
            <w:r w:rsidR="0071775D">
              <w:rPr>
                <w:noProof/>
                <w:webHidden/>
              </w:rPr>
            </w:r>
            <w:r w:rsidR="0071775D">
              <w:rPr>
                <w:noProof/>
                <w:webHidden/>
              </w:rPr>
              <w:fldChar w:fldCharType="separate"/>
            </w:r>
            <w:r w:rsidR="0071775D">
              <w:rPr>
                <w:noProof/>
                <w:webHidden/>
              </w:rPr>
              <w:t>70</w:t>
            </w:r>
            <w:r w:rsidR="0071775D">
              <w:rPr>
                <w:noProof/>
                <w:webHidden/>
              </w:rPr>
              <w:fldChar w:fldCharType="end"/>
            </w:r>
          </w:hyperlink>
        </w:p>
        <w:p w14:paraId="5B82E46C" w14:textId="5AB3F944"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67" w:history="1">
            <w:r w:rsidR="0071775D" w:rsidRPr="00CE2C6C">
              <w:rPr>
                <w:rStyle w:val="Hyperlink"/>
                <w:bCs/>
                <w:noProof/>
                <w:lang w:val="en-US"/>
              </w:rPr>
              <w:t>5.1.3.</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Authorisation</w:t>
            </w:r>
            <w:r w:rsidR="0071775D">
              <w:rPr>
                <w:noProof/>
                <w:webHidden/>
              </w:rPr>
              <w:tab/>
            </w:r>
            <w:r w:rsidR="0071775D">
              <w:rPr>
                <w:noProof/>
                <w:webHidden/>
              </w:rPr>
              <w:fldChar w:fldCharType="begin"/>
            </w:r>
            <w:r w:rsidR="0071775D">
              <w:rPr>
                <w:noProof/>
                <w:webHidden/>
              </w:rPr>
              <w:instrText xml:space="preserve"> PAGEREF _Toc219718167 \h </w:instrText>
            </w:r>
            <w:r w:rsidR="0071775D">
              <w:rPr>
                <w:noProof/>
                <w:webHidden/>
              </w:rPr>
            </w:r>
            <w:r w:rsidR="0071775D">
              <w:rPr>
                <w:noProof/>
                <w:webHidden/>
              </w:rPr>
              <w:fldChar w:fldCharType="separate"/>
            </w:r>
            <w:r w:rsidR="0071775D">
              <w:rPr>
                <w:noProof/>
                <w:webHidden/>
              </w:rPr>
              <w:t>72</w:t>
            </w:r>
            <w:r w:rsidR="0071775D">
              <w:rPr>
                <w:noProof/>
                <w:webHidden/>
              </w:rPr>
              <w:fldChar w:fldCharType="end"/>
            </w:r>
          </w:hyperlink>
        </w:p>
        <w:p w14:paraId="4781F3C7" w14:textId="58BF8B49"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68" w:history="1">
            <w:r w:rsidR="0071775D" w:rsidRPr="00CE2C6C">
              <w:rPr>
                <w:rStyle w:val="Hyperlink"/>
                <w:bCs/>
                <w:noProof/>
              </w:rPr>
              <w:t>5.1.4.</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Governance</w:t>
            </w:r>
            <w:r w:rsidR="0071775D">
              <w:rPr>
                <w:noProof/>
                <w:webHidden/>
              </w:rPr>
              <w:tab/>
            </w:r>
            <w:r w:rsidR="0071775D">
              <w:rPr>
                <w:noProof/>
                <w:webHidden/>
              </w:rPr>
              <w:fldChar w:fldCharType="begin"/>
            </w:r>
            <w:r w:rsidR="0071775D">
              <w:rPr>
                <w:noProof/>
                <w:webHidden/>
              </w:rPr>
              <w:instrText xml:space="preserve"> PAGEREF _Toc219718168 \h </w:instrText>
            </w:r>
            <w:r w:rsidR="0071775D">
              <w:rPr>
                <w:noProof/>
                <w:webHidden/>
              </w:rPr>
            </w:r>
            <w:r w:rsidR="0071775D">
              <w:rPr>
                <w:noProof/>
                <w:webHidden/>
              </w:rPr>
              <w:fldChar w:fldCharType="separate"/>
            </w:r>
            <w:r w:rsidR="0071775D">
              <w:rPr>
                <w:noProof/>
                <w:webHidden/>
              </w:rPr>
              <w:t>74</w:t>
            </w:r>
            <w:r w:rsidR="0071775D">
              <w:rPr>
                <w:noProof/>
                <w:webHidden/>
              </w:rPr>
              <w:fldChar w:fldCharType="end"/>
            </w:r>
          </w:hyperlink>
        </w:p>
        <w:p w14:paraId="5F71EC63" w14:textId="3E0B8D66"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69" w:history="1">
            <w:r w:rsidR="0071775D" w:rsidRPr="00CE2C6C">
              <w:rPr>
                <w:rStyle w:val="Hyperlink"/>
                <w:noProof/>
              </w:rPr>
              <w:t>5.2.</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Description of the policy options</w:t>
            </w:r>
            <w:r w:rsidR="0071775D">
              <w:rPr>
                <w:noProof/>
                <w:webHidden/>
              </w:rPr>
              <w:tab/>
            </w:r>
            <w:r w:rsidR="0071775D">
              <w:rPr>
                <w:noProof/>
                <w:webHidden/>
              </w:rPr>
              <w:fldChar w:fldCharType="begin"/>
            </w:r>
            <w:r w:rsidR="0071775D">
              <w:rPr>
                <w:noProof/>
                <w:webHidden/>
              </w:rPr>
              <w:instrText xml:space="preserve"> PAGEREF _Toc219718169 \h </w:instrText>
            </w:r>
            <w:r w:rsidR="0071775D">
              <w:rPr>
                <w:noProof/>
                <w:webHidden/>
              </w:rPr>
            </w:r>
            <w:r w:rsidR="0071775D">
              <w:rPr>
                <w:noProof/>
                <w:webHidden/>
              </w:rPr>
              <w:fldChar w:fldCharType="separate"/>
            </w:r>
            <w:r w:rsidR="0071775D">
              <w:rPr>
                <w:noProof/>
                <w:webHidden/>
              </w:rPr>
              <w:t>75</w:t>
            </w:r>
            <w:r w:rsidR="0071775D">
              <w:rPr>
                <w:noProof/>
                <w:webHidden/>
              </w:rPr>
              <w:fldChar w:fldCharType="end"/>
            </w:r>
          </w:hyperlink>
        </w:p>
        <w:p w14:paraId="30867CAA" w14:textId="3E718008"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70" w:history="1">
            <w:r w:rsidR="0071775D" w:rsidRPr="00CE2C6C">
              <w:rPr>
                <w:rStyle w:val="Hyperlink"/>
                <w:bCs/>
                <w:noProof/>
              </w:rPr>
              <w:t>5.2.1.</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Transition to fibre</w:t>
            </w:r>
            <w:r w:rsidR="0071775D">
              <w:rPr>
                <w:noProof/>
                <w:webHidden/>
              </w:rPr>
              <w:tab/>
            </w:r>
            <w:r w:rsidR="0071775D">
              <w:rPr>
                <w:noProof/>
                <w:webHidden/>
              </w:rPr>
              <w:fldChar w:fldCharType="begin"/>
            </w:r>
            <w:r w:rsidR="0071775D">
              <w:rPr>
                <w:noProof/>
                <w:webHidden/>
              </w:rPr>
              <w:instrText xml:space="preserve"> PAGEREF _Toc219718170 \h </w:instrText>
            </w:r>
            <w:r w:rsidR="0071775D">
              <w:rPr>
                <w:noProof/>
                <w:webHidden/>
              </w:rPr>
            </w:r>
            <w:r w:rsidR="0071775D">
              <w:rPr>
                <w:noProof/>
                <w:webHidden/>
              </w:rPr>
              <w:fldChar w:fldCharType="separate"/>
            </w:r>
            <w:r w:rsidR="0071775D">
              <w:rPr>
                <w:noProof/>
                <w:webHidden/>
              </w:rPr>
              <w:t>75</w:t>
            </w:r>
            <w:r w:rsidR="0071775D">
              <w:rPr>
                <w:noProof/>
                <w:webHidden/>
              </w:rPr>
              <w:fldChar w:fldCharType="end"/>
            </w:r>
          </w:hyperlink>
        </w:p>
        <w:p w14:paraId="32695269" w14:textId="53CC6598"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71" w:history="1">
            <w:r w:rsidR="0071775D" w:rsidRPr="00CE2C6C">
              <w:rPr>
                <w:rStyle w:val="Hyperlink"/>
                <w:bCs/>
                <w:noProof/>
              </w:rPr>
              <w:t>5.2.2.</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Spectrum</w:t>
            </w:r>
            <w:r w:rsidR="0071775D">
              <w:rPr>
                <w:noProof/>
                <w:webHidden/>
              </w:rPr>
              <w:tab/>
            </w:r>
            <w:r w:rsidR="0071775D">
              <w:rPr>
                <w:noProof/>
                <w:webHidden/>
              </w:rPr>
              <w:fldChar w:fldCharType="begin"/>
            </w:r>
            <w:r w:rsidR="0071775D">
              <w:rPr>
                <w:noProof/>
                <w:webHidden/>
              </w:rPr>
              <w:instrText xml:space="preserve"> PAGEREF _Toc219718171 \h </w:instrText>
            </w:r>
            <w:r w:rsidR="0071775D">
              <w:rPr>
                <w:noProof/>
                <w:webHidden/>
              </w:rPr>
            </w:r>
            <w:r w:rsidR="0071775D">
              <w:rPr>
                <w:noProof/>
                <w:webHidden/>
              </w:rPr>
              <w:fldChar w:fldCharType="separate"/>
            </w:r>
            <w:r w:rsidR="0071775D">
              <w:rPr>
                <w:noProof/>
                <w:webHidden/>
              </w:rPr>
              <w:t>79</w:t>
            </w:r>
            <w:r w:rsidR="0071775D">
              <w:rPr>
                <w:noProof/>
                <w:webHidden/>
              </w:rPr>
              <w:fldChar w:fldCharType="end"/>
            </w:r>
          </w:hyperlink>
        </w:p>
        <w:p w14:paraId="0D8B5905" w14:textId="615ECB59"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72" w:history="1">
            <w:r w:rsidR="0071775D" w:rsidRPr="00CE2C6C">
              <w:rPr>
                <w:rStyle w:val="Hyperlink"/>
                <w:bCs/>
                <w:noProof/>
              </w:rPr>
              <w:t>5.2.3.</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Authorisation</w:t>
            </w:r>
            <w:r w:rsidR="0071775D">
              <w:rPr>
                <w:noProof/>
                <w:webHidden/>
              </w:rPr>
              <w:tab/>
            </w:r>
            <w:r w:rsidR="0071775D">
              <w:rPr>
                <w:noProof/>
                <w:webHidden/>
              </w:rPr>
              <w:fldChar w:fldCharType="begin"/>
            </w:r>
            <w:r w:rsidR="0071775D">
              <w:rPr>
                <w:noProof/>
                <w:webHidden/>
              </w:rPr>
              <w:instrText xml:space="preserve"> PAGEREF _Toc219718172 \h </w:instrText>
            </w:r>
            <w:r w:rsidR="0071775D">
              <w:rPr>
                <w:noProof/>
                <w:webHidden/>
              </w:rPr>
            </w:r>
            <w:r w:rsidR="0071775D">
              <w:rPr>
                <w:noProof/>
                <w:webHidden/>
              </w:rPr>
              <w:fldChar w:fldCharType="separate"/>
            </w:r>
            <w:r w:rsidR="0071775D">
              <w:rPr>
                <w:noProof/>
                <w:webHidden/>
              </w:rPr>
              <w:t>85</w:t>
            </w:r>
            <w:r w:rsidR="0071775D">
              <w:rPr>
                <w:noProof/>
                <w:webHidden/>
              </w:rPr>
              <w:fldChar w:fldCharType="end"/>
            </w:r>
          </w:hyperlink>
        </w:p>
        <w:p w14:paraId="35E2C43F" w14:textId="6618F9E6"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73" w:history="1">
            <w:r w:rsidR="0071775D" w:rsidRPr="00CE2C6C">
              <w:rPr>
                <w:rStyle w:val="Hyperlink"/>
                <w:bCs/>
                <w:noProof/>
              </w:rPr>
              <w:t>5.2.4.</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Governance</w:t>
            </w:r>
            <w:r w:rsidR="0071775D">
              <w:rPr>
                <w:noProof/>
                <w:webHidden/>
              </w:rPr>
              <w:tab/>
            </w:r>
            <w:r w:rsidR="0071775D">
              <w:rPr>
                <w:noProof/>
                <w:webHidden/>
              </w:rPr>
              <w:fldChar w:fldCharType="begin"/>
            </w:r>
            <w:r w:rsidR="0071775D">
              <w:rPr>
                <w:noProof/>
                <w:webHidden/>
              </w:rPr>
              <w:instrText xml:space="preserve"> PAGEREF _Toc219718173 \h </w:instrText>
            </w:r>
            <w:r w:rsidR="0071775D">
              <w:rPr>
                <w:noProof/>
                <w:webHidden/>
              </w:rPr>
            </w:r>
            <w:r w:rsidR="0071775D">
              <w:rPr>
                <w:noProof/>
                <w:webHidden/>
              </w:rPr>
              <w:fldChar w:fldCharType="separate"/>
            </w:r>
            <w:r w:rsidR="0071775D">
              <w:rPr>
                <w:noProof/>
                <w:webHidden/>
              </w:rPr>
              <w:t>87</w:t>
            </w:r>
            <w:r w:rsidR="0071775D">
              <w:rPr>
                <w:noProof/>
                <w:webHidden/>
              </w:rPr>
              <w:fldChar w:fldCharType="end"/>
            </w:r>
          </w:hyperlink>
        </w:p>
        <w:p w14:paraId="578F7DE7" w14:textId="0D7FFB7E"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74" w:history="1">
            <w:r w:rsidR="0071775D" w:rsidRPr="00CE2C6C">
              <w:rPr>
                <w:rStyle w:val="Hyperlink"/>
                <w:bCs/>
                <w:noProof/>
              </w:rPr>
              <w:t>5.2.5.</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Options discarded at an early stage</w:t>
            </w:r>
            <w:r w:rsidR="0071775D">
              <w:rPr>
                <w:noProof/>
                <w:webHidden/>
              </w:rPr>
              <w:tab/>
            </w:r>
            <w:r w:rsidR="0071775D">
              <w:rPr>
                <w:noProof/>
                <w:webHidden/>
              </w:rPr>
              <w:fldChar w:fldCharType="begin"/>
            </w:r>
            <w:r w:rsidR="0071775D">
              <w:rPr>
                <w:noProof/>
                <w:webHidden/>
              </w:rPr>
              <w:instrText xml:space="preserve"> PAGEREF _Toc219718174 \h </w:instrText>
            </w:r>
            <w:r w:rsidR="0071775D">
              <w:rPr>
                <w:noProof/>
                <w:webHidden/>
              </w:rPr>
            </w:r>
            <w:r w:rsidR="0071775D">
              <w:rPr>
                <w:noProof/>
                <w:webHidden/>
              </w:rPr>
              <w:fldChar w:fldCharType="separate"/>
            </w:r>
            <w:r w:rsidR="0071775D">
              <w:rPr>
                <w:noProof/>
                <w:webHidden/>
              </w:rPr>
              <w:t>89</w:t>
            </w:r>
            <w:r w:rsidR="0071775D">
              <w:rPr>
                <w:noProof/>
                <w:webHidden/>
              </w:rPr>
              <w:fldChar w:fldCharType="end"/>
            </w:r>
          </w:hyperlink>
        </w:p>
        <w:p w14:paraId="36DDD8AA" w14:textId="3B791F93" w:rsidR="0071775D" w:rsidRDefault="004329F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175" w:history="1">
            <w:r w:rsidR="0071775D" w:rsidRPr="00CE2C6C">
              <w:rPr>
                <w:rStyle w:val="Hyperlink"/>
                <w:noProof/>
              </w:rPr>
              <w:t>6.</w:t>
            </w:r>
            <w:r w:rsidR="0071775D">
              <w:rPr>
                <w:rFonts w:asciiTheme="minorHAnsi" w:eastAsiaTheme="minorEastAsia" w:hAnsiTheme="minorHAnsi" w:cstheme="minorBidi"/>
                <w:caps w:val="0"/>
                <w:noProof/>
                <w:kern w:val="2"/>
                <w:sz w:val="24"/>
                <w:szCs w:val="24"/>
                <w:lang w:val="en-IE" w:eastAsia="en-IE"/>
                <w14:ligatures w14:val="standardContextual"/>
              </w:rPr>
              <w:tab/>
            </w:r>
            <w:r w:rsidR="0071775D" w:rsidRPr="00CE2C6C">
              <w:rPr>
                <w:rStyle w:val="Hyperlink"/>
                <w:noProof/>
              </w:rPr>
              <w:t>What are the impacts of the policy options?</w:t>
            </w:r>
            <w:r w:rsidR="0071775D">
              <w:rPr>
                <w:noProof/>
                <w:webHidden/>
              </w:rPr>
              <w:tab/>
            </w:r>
            <w:r w:rsidR="0071775D">
              <w:rPr>
                <w:noProof/>
                <w:webHidden/>
              </w:rPr>
              <w:fldChar w:fldCharType="begin"/>
            </w:r>
            <w:r w:rsidR="0071775D">
              <w:rPr>
                <w:noProof/>
                <w:webHidden/>
              </w:rPr>
              <w:instrText xml:space="preserve"> PAGEREF _Toc219718175 \h </w:instrText>
            </w:r>
            <w:r w:rsidR="0071775D">
              <w:rPr>
                <w:noProof/>
                <w:webHidden/>
              </w:rPr>
            </w:r>
            <w:r w:rsidR="0071775D">
              <w:rPr>
                <w:noProof/>
                <w:webHidden/>
              </w:rPr>
              <w:fldChar w:fldCharType="separate"/>
            </w:r>
            <w:r w:rsidR="0071775D">
              <w:rPr>
                <w:noProof/>
                <w:webHidden/>
              </w:rPr>
              <w:t>91</w:t>
            </w:r>
            <w:r w:rsidR="0071775D">
              <w:rPr>
                <w:noProof/>
                <w:webHidden/>
              </w:rPr>
              <w:fldChar w:fldCharType="end"/>
            </w:r>
          </w:hyperlink>
        </w:p>
        <w:p w14:paraId="77CDD21D" w14:textId="0D598C85"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76" w:history="1">
            <w:r w:rsidR="0071775D" w:rsidRPr="00CE2C6C">
              <w:rPr>
                <w:rStyle w:val="Hyperlink"/>
                <w:noProof/>
              </w:rPr>
              <w:t>6.1.</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Transition to fibre</w:t>
            </w:r>
            <w:r w:rsidR="0071775D">
              <w:rPr>
                <w:noProof/>
                <w:webHidden/>
              </w:rPr>
              <w:tab/>
            </w:r>
            <w:r w:rsidR="0071775D">
              <w:rPr>
                <w:noProof/>
                <w:webHidden/>
              </w:rPr>
              <w:fldChar w:fldCharType="begin"/>
            </w:r>
            <w:r w:rsidR="0071775D">
              <w:rPr>
                <w:noProof/>
                <w:webHidden/>
              </w:rPr>
              <w:instrText xml:space="preserve"> PAGEREF _Toc219718176 \h </w:instrText>
            </w:r>
            <w:r w:rsidR="0071775D">
              <w:rPr>
                <w:noProof/>
                <w:webHidden/>
              </w:rPr>
            </w:r>
            <w:r w:rsidR="0071775D">
              <w:rPr>
                <w:noProof/>
                <w:webHidden/>
              </w:rPr>
              <w:fldChar w:fldCharType="separate"/>
            </w:r>
            <w:r w:rsidR="0071775D">
              <w:rPr>
                <w:noProof/>
                <w:webHidden/>
              </w:rPr>
              <w:t>91</w:t>
            </w:r>
            <w:r w:rsidR="0071775D">
              <w:rPr>
                <w:noProof/>
                <w:webHidden/>
              </w:rPr>
              <w:fldChar w:fldCharType="end"/>
            </w:r>
          </w:hyperlink>
        </w:p>
        <w:p w14:paraId="2E029301" w14:textId="4BEB1571"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77" w:history="1">
            <w:r w:rsidR="0071775D" w:rsidRPr="00CE2C6C">
              <w:rPr>
                <w:rStyle w:val="Hyperlink"/>
                <w:bCs/>
                <w:noProof/>
              </w:rPr>
              <w:t>6.1.1.</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Option 1: Non-binding copper switch-off and updated access regulation</w:t>
            </w:r>
            <w:r w:rsidR="0071775D">
              <w:rPr>
                <w:noProof/>
                <w:webHidden/>
              </w:rPr>
              <w:tab/>
            </w:r>
            <w:r w:rsidR="0071775D">
              <w:rPr>
                <w:noProof/>
                <w:webHidden/>
              </w:rPr>
              <w:fldChar w:fldCharType="begin"/>
            </w:r>
            <w:r w:rsidR="0071775D">
              <w:rPr>
                <w:noProof/>
                <w:webHidden/>
              </w:rPr>
              <w:instrText xml:space="preserve"> PAGEREF _Toc219718177 \h </w:instrText>
            </w:r>
            <w:r w:rsidR="0071775D">
              <w:rPr>
                <w:noProof/>
                <w:webHidden/>
              </w:rPr>
            </w:r>
            <w:r w:rsidR="0071775D">
              <w:rPr>
                <w:noProof/>
                <w:webHidden/>
              </w:rPr>
              <w:fldChar w:fldCharType="separate"/>
            </w:r>
            <w:r w:rsidR="0071775D">
              <w:rPr>
                <w:noProof/>
                <w:webHidden/>
              </w:rPr>
              <w:t>95</w:t>
            </w:r>
            <w:r w:rsidR="0071775D">
              <w:rPr>
                <w:noProof/>
                <w:webHidden/>
              </w:rPr>
              <w:fldChar w:fldCharType="end"/>
            </w:r>
          </w:hyperlink>
        </w:p>
        <w:p w14:paraId="33CE5991" w14:textId="7288D1B3"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78" w:history="1">
            <w:r w:rsidR="0071775D" w:rsidRPr="00CE2C6C">
              <w:rPr>
                <w:rStyle w:val="Hyperlink"/>
                <w:bCs/>
                <w:noProof/>
              </w:rPr>
              <w:t>6.1.2.</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Option 2: Conditional copper switch-off and updated access regulation</w:t>
            </w:r>
            <w:r w:rsidR="0071775D">
              <w:rPr>
                <w:noProof/>
                <w:webHidden/>
              </w:rPr>
              <w:tab/>
            </w:r>
            <w:r w:rsidR="0071775D">
              <w:rPr>
                <w:noProof/>
                <w:webHidden/>
              </w:rPr>
              <w:fldChar w:fldCharType="begin"/>
            </w:r>
            <w:r w:rsidR="0071775D">
              <w:rPr>
                <w:noProof/>
                <w:webHidden/>
              </w:rPr>
              <w:instrText xml:space="preserve"> PAGEREF _Toc219718178 \h </w:instrText>
            </w:r>
            <w:r w:rsidR="0071775D">
              <w:rPr>
                <w:noProof/>
                <w:webHidden/>
              </w:rPr>
            </w:r>
            <w:r w:rsidR="0071775D">
              <w:rPr>
                <w:noProof/>
                <w:webHidden/>
              </w:rPr>
              <w:fldChar w:fldCharType="separate"/>
            </w:r>
            <w:r w:rsidR="0071775D">
              <w:rPr>
                <w:noProof/>
                <w:webHidden/>
              </w:rPr>
              <w:t>96</w:t>
            </w:r>
            <w:r w:rsidR="0071775D">
              <w:rPr>
                <w:noProof/>
                <w:webHidden/>
              </w:rPr>
              <w:fldChar w:fldCharType="end"/>
            </w:r>
          </w:hyperlink>
        </w:p>
        <w:p w14:paraId="0E4EDF1A" w14:textId="28DFED33"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79" w:history="1">
            <w:r w:rsidR="0071775D" w:rsidRPr="00CE2C6C">
              <w:rPr>
                <w:rStyle w:val="Hyperlink"/>
                <w:bCs/>
                <w:noProof/>
              </w:rPr>
              <w:t>6.1.3.</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Option 3: Market driven copper switch-off and bottleneck-based access regulation</w:t>
            </w:r>
            <w:r w:rsidR="0071775D">
              <w:rPr>
                <w:noProof/>
                <w:webHidden/>
              </w:rPr>
              <w:tab/>
            </w:r>
            <w:r w:rsidR="0071775D">
              <w:rPr>
                <w:noProof/>
                <w:webHidden/>
              </w:rPr>
              <w:fldChar w:fldCharType="begin"/>
            </w:r>
            <w:r w:rsidR="0071775D">
              <w:rPr>
                <w:noProof/>
                <w:webHidden/>
              </w:rPr>
              <w:instrText xml:space="preserve"> PAGEREF _Toc219718179 \h </w:instrText>
            </w:r>
            <w:r w:rsidR="0071775D">
              <w:rPr>
                <w:noProof/>
                <w:webHidden/>
              </w:rPr>
            </w:r>
            <w:r w:rsidR="0071775D">
              <w:rPr>
                <w:noProof/>
                <w:webHidden/>
              </w:rPr>
              <w:fldChar w:fldCharType="separate"/>
            </w:r>
            <w:r w:rsidR="0071775D">
              <w:rPr>
                <w:noProof/>
                <w:webHidden/>
              </w:rPr>
              <w:t>96</w:t>
            </w:r>
            <w:r w:rsidR="0071775D">
              <w:rPr>
                <w:noProof/>
                <w:webHidden/>
              </w:rPr>
              <w:fldChar w:fldCharType="end"/>
            </w:r>
          </w:hyperlink>
        </w:p>
        <w:p w14:paraId="02D1B09B" w14:textId="2DD43DB6"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80" w:history="1">
            <w:r w:rsidR="0071775D" w:rsidRPr="00CE2C6C">
              <w:rPr>
                <w:rStyle w:val="Hyperlink"/>
                <w:bCs/>
                <w:noProof/>
              </w:rPr>
              <w:t>6.1.4.</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Option 4: Mandatory copper switch-off and symmetric regulation</w:t>
            </w:r>
            <w:r w:rsidR="0071775D">
              <w:rPr>
                <w:noProof/>
                <w:webHidden/>
              </w:rPr>
              <w:tab/>
            </w:r>
            <w:r w:rsidR="0071775D">
              <w:rPr>
                <w:noProof/>
                <w:webHidden/>
              </w:rPr>
              <w:fldChar w:fldCharType="begin"/>
            </w:r>
            <w:r w:rsidR="0071775D">
              <w:rPr>
                <w:noProof/>
                <w:webHidden/>
              </w:rPr>
              <w:instrText xml:space="preserve"> PAGEREF _Toc219718180 \h </w:instrText>
            </w:r>
            <w:r w:rsidR="0071775D">
              <w:rPr>
                <w:noProof/>
                <w:webHidden/>
              </w:rPr>
            </w:r>
            <w:r w:rsidR="0071775D">
              <w:rPr>
                <w:noProof/>
                <w:webHidden/>
              </w:rPr>
              <w:fldChar w:fldCharType="separate"/>
            </w:r>
            <w:r w:rsidR="0071775D">
              <w:rPr>
                <w:noProof/>
                <w:webHidden/>
              </w:rPr>
              <w:t>96</w:t>
            </w:r>
            <w:r w:rsidR="0071775D">
              <w:rPr>
                <w:noProof/>
                <w:webHidden/>
              </w:rPr>
              <w:fldChar w:fldCharType="end"/>
            </w:r>
          </w:hyperlink>
        </w:p>
        <w:p w14:paraId="4170DAB6" w14:textId="64A4D358"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81" w:history="1">
            <w:r w:rsidR="0071775D" w:rsidRPr="00CE2C6C">
              <w:rPr>
                <w:rStyle w:val="Hyperlink"/>
                <w:noProof/>
              </w:rPr>
              <w:t>6.2.</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Spectrum</w:t>
            </w:r>
            <w:r w:rsidR="0071775D">
              <w:rPr>
                <w:noProof/>
                <w:webHidden/>
              </w:rPr>
              <w:tab/>
            </w:r>
            <w:r w:rsidR="0071775D">
              <w:rPr>
                <w:noProof/>
                <w:webHidden/>
              </w:rPr>
              <w:fldChar w:fldCharType="begin"/>
            </w:r>
            <w:r w:rsidR="0071775D">
              <w:rPr>
                <w:noProof/>
                <w:webHidden/>
              </w:rPr>
              <w:instrText xml:space="preserve"> PAGEREF _Toc219718181 \h </w:instrText>
            </w:r>
            <w:r w:rsidR="0071775D">
              <w:rPr>
                <w:noProof/>
                <w:webHidden/>
              </w:rPr>
            </w:r>
            <w:r w:rsidR="0071775D">
              <w:rPr>
                <w:noProof/>
                <w:webHidden/>
              </w:rPr>
              <w:fldChar w:fldCharType="separate"/>
            </w:r>
            <w:r w:rsidR="0071775D">
              <w:rPr>
                <w:noProof/>
                <w:webHidden/>
              </w:rPr>
              <w:t>97</w:t>
            </w:r>
            <w:r w:rsidR="0071775D">
              <w:rPr>
                <w:noProof/>
                <w:webHidden/>
              </w:rPr>
              <w:fldChar w:fldCharType="end"/>
            </w:r>
          </w:hyperlink>
        </w:p>
        <w:p w14:paraId="21835F00" w14:textId="20D26EE8"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82" w:history="1">
            <w:r w:rsidR="0071775D" w:rsidRPr="00CE2C6C">
              <w:rPr>
                <w:rStyle w:val="Hyperlink"/>
                <w:bCs/>
                <w:noProof/>
              </w:rPr>
              <w:t>6.2.1.</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Option 1: Soft harmonisation</w:t>
            </w:r>
            <w:r w:rsidR="0071775D">
              <w:rPr>
                <w:noProof/>
                <w:webHidden/>
              </w:rPr>
              <w:tab/>
            </w:r>
            <w:r w:rsidR="0071775D">
              <w:rPr>
                <w:noProof/>
                <w:webHidden/>
              </w:rPr>
              <w:fldChar w:fldCharType="begin"/>
            </w:r>
            <w:r w:rsidR="0071775D">
              <w:rPr>
                <w:noProof/>
                <w:webHidden/>
              </w:rPr>
              <w:instrText xml:space="preserve"> PAGEREF _Toc219718182 \h </w:instrText>
            </w:r>
            <w:r w:rsidR="0071775D">
              <w:rPr>
                <w:noProof/>
                <w:webHidden/>
              </w:rPr>
            </w:r>
            <w:r w:rsidR="0071775D">
              <w:rPr>
                <w:noProof/>
                <w:webHidden/>
              </w:rPr>
              <w:fldChar w:fldCharType="separate"/>
            </w:r>
            <w:r w:rsidR="0071775D">
              <w:rPr>
                <w:noProof/>
                <w:webHidden/>
              </w:rPr>
              <w:t>97</w:t>
            </w:r>
            <w:r w:rsidR="0071775D">
              <w:rPr>
                <w:noProof/>
                <w:webHidden/>
              </w:rPr>
              <w:fldChar w:fldCharType="end"/>
            </w:r>
          </w:hyperlink>
        </w:p>
        <w:p w14:paraId="47E0362D" w14:textId="26F46F8A"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83" w:history="1">
            <w:r w:rsidR="0071775D" w:rsidRPr="00CE2C6C">
              <w:rPr>
                <w:rStyle w:val="Hyperlink"/>
                <w:bCs/>
                <w:noProof/>
              </w:rPr>
              <w:t>6.2.2.</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Option 2: More Single Market to enhance investment and innovation</w:t>
            </w:r>
            <w:r w:rsidR="0071775D">
              <w:rPr>
                <w:noProof/>
                <w:webHidden/>
              </w:rPr>
              <w:tab/>
            </w:r>
            <w:r w:rsidR="0071775D">
              <w:rPr>
                <w:noProof/>
                <w:webHidden/>
              </w:rPr>
              <w:fldChar w:fldCharType="begin"/>
            </w:r>
            <w:r w:rsidR="0071775D">
              <w:rPr>
                <w:noProof/>
                <w:webHidden/>
              </w:rPr>
              <w:instrText xml:space="preserve"> PAGEREF _Toc219718183 \h </w:instrText>
            </w:r>
            <w:r w:rsidR="0071775D">
              <w:rPr>
                <w:noProof/>
                <w:webHidden/>
              </w:rPr>
            </w:r>
            <w:r w:rsidR="0071775D">
              <w:rPr>
                <w:noProof/>
                <w:webHidden/>
              </w:rPr>
              <w:fldChar w:fldCharType="separate"/>
            </w:r>
            <w:r w:rsidR="0071775D">
              <w:rPr>
                <w:noProof/>
                <w:webHidden/>
              </w:rPr>
              <w:t>99</w:t>
            </w:r>
            <w:r w:rsidR="0071775D">
              <w:rPr>
                <w:noProof/>
                <w:webHidden/>
              </w:rPr>
              <w:fldChar w:fldCharType="end"/>
            </w:r>
          </w:hyperlink>
        </w:p>
        <w:p w14:paraId="7F8B3882" w14:textId="126E9B0C"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84" w:history="1">
            <w:r w:rsidR="0071775D" w:rsidRPr="00CE2C6C">
              <w:rPr>
                <w:rStyle w:val="Hyperlink"/>
                <w:bCs/>
                <w:noProof/>
              </w:rPr>
              <w:t>6.2.3.</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Option 3: Strong harmonisation and EU level awards</w:t>
            </w:r>
            <w:r w:rsidR="0071775D">
              <w:rPr>
                <w:noProof/>
                <w:webHidden/>
              </w:rPr>
              <w:tab/>
            </w:r>
            <w:r w:rsidR="0071775D">
              <w:rPr>
                <w:noProof/>
                <w:webHidden/>
              </w:rPr>
              <w:fldChar w:fldCharType="begin"/>
            </w:r>
            <w:r w:rsidR="0071775D">
              <w:rPr>
                <w:noProof/>
                <w:webHidden/>
              </w:rPr>
              <w:instrText xml:space="preserve"> PAGEREF _Toc219718184 \h </w:instrText>
            </w:r>
            <w:r w:rsidR="0071775D">
              <w:rPr>
                <w:noProof/>
                <w:webHidden/>
              </w:rPr>
            </w:r>
            <w:r w:rsidR="0071775D">
              <w:rPr>
                <w:noProof/>
                <w:webHidden/>
              </w:rPr>
              <w:fldChar w:fldCharType="separate"/>
            </w:r>
            <w:r w:rsidR="0071775D">
              <w:rPr>
                <w:noProof/>
                <w:webHidden/>
              </w:rPr>
              <w:t>103</w:t>
            </w:r>
            <w:r w:rsidR="0071775D">
              <w:rPr>
                <w:noProof/>
                <w:webHidden/>
              </w:rPr>
              <w:fldChar w:fldCharType="end"/>
            </w:r>
          </w:hyperlink>
        </w:p>
        <w:p w14:paraId="1B03BD1A" w14:textId="789FDE37"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85" w:history="1">
            <w:r w:rsidR="0071775D" w:rsidRPr="00CE2C6C">
              <w:rPr>
                <w:rStyle w:val="Hyperlink"/>
                <w:noProof/>
              </w:rPr>
              <w:t>6.3.</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Authorisation</w:t>
            </w:r>
            <w:r w:rsidR="0071775D">
              <w:rPr>
                <w:noProof/>
                <w:webHidden/>
              </w:rPr>
              <w:tab/>
            </w:r>
            <w:r w:rsidR="0071775D">
              <w:rPr>
                <w:noProof/>
                <w:webHidden/>
              </w:rPr>
              <w:fldChar w:fldCharType="begin"/>
            </w:r>
            <w:r w:rsidR="0071775D">
              <w:rPr>
                <w:noProof/>
                <w:webHidden/>
              </w:rPr>
              <w:instrText xml:space="preserve"> PAGEREF _Toc219718185 \h </w:instrText>
            </w:r>
            <w:r w:rsidR="0071775D">
              <w:rPr>
                <w:noProof/>
                <w:webHidden/>
              </w:rPr>
            </w:r>
            <w:r w:rsidR="0071775D">
              <w:rPr>
                <w:noProof/>
                <w:webHidden/>
              </w:rPr>
              <w:fldChar w:fldCharType="separate"/>
            </w:r>
            <w:r w:rsidR="0071775D">
              <w:rPr>
                <w:noProof/>
                <w:webHidden/>
              </w:rPr>
              <w:t>106</w:t>
            </w:r>
            <w:r w:rsidR="0071775D">
              <w:rPr>
                <w:noProof/>
                <w:webHidden/>
              </w:rPr>
              <w:fldChar w:fldCharType="end"/>
            </w:r>
          </w:hyperlink>
        </w:p>
        <w:p w14:paraId="797A5B3E" w14:textId="7C525E4A"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86" w:history="1">
            <w:r w:rsidR="0071775D" w:rsidRPr="00CE2C6C">
              <w:rPr>
                <w:rStyle w:val="Hyperlink"/>
                <w:bCs/>
                <w:noProof/>
                <w:lang w:val="en-US"/>
              </w:rPr>
              <w:t>6.3.1.</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Option 1: Partial harmonisation of authorisation (general and satellite)</w:t>
            </w:r>
            <w:r w:rsidR="0071775D">
              <w:rPr>
                <w:noProof/>
                <w:webHidden/>
              </w:rPr>
              <w:tab/>
            </w:r>
            <w:r w:rsidR="0071775D">
              <w:rPr>
                <w:noProof/>
                <w:webHidden/>
              </w:rPr>
              <w:fldChar w:fldCharType="begin"/>
            </w:r>
            <w:r w:rsidR="0071775D">
              <w:rPr>
                <w:noProof/>
                <w:webHidden/>
              </w:rPr>
              <w:instrText xml:space="preserve"> PAGEREF _Toc219718186 \h </w:instrText>
            </w:r>
            <w:r w:rsidR="0071775D">
              <w:rPr>
                <w:noProof/>
                <w:webHidden/>
              </w:rPr>
            </w:r>
            <w:r w:rsidR="0071775D">
              <w:rPr>
                <w:noProof/>
                <w:webHidden/>
              </w:rPr>
              <w:fldChar w:fldCharType="separate"/>
            </w:r>
            <w:r w:rsidR="0071775D">
              <w:rPr>
                <w:noProof/>
                <w:webHidden/>
              </w:rPr>
              <w:t>106</w:t>
            </w:r>
            <w:r w:rsidR="0071775D">
              <w:rPr>
                <w:noProof/>
                <w:webHidden/>
              </w:rPr>
              <w:fldChar w:fldCharType="end"/>
            </w:r>
          </w:hyperlink>
        </w:p>
        <w:p w14:paraId="660B60B1" w14:textId="33902369"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87" w:history="1">
            <w:r w:rsidR="0071775D" w:rsidRPr="00CE2C6C">
              <w:rPr>
                <w:rStyle w:val="Hyperlink"/>
                <w:bCs/>
                <w:noProof/>
              </w:rPr>
              <w:t>6.3.2.</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Option 2: Single “passport” for other networks and services than satellite and an EU-level authorisation for satellite spectrum</w:t>
            </w:r>
            <w:r w:rsidR="0071775D">
              <w:rPr>
                <w:noProof/>
                <w:webHidden/>
              </w:rPr>
              <w:tab/>
            </w:r>
            <w:r w:rsidR="0071775D">
              <w:rPr>
                <w:noProof/>
                <w:webHidden/>
              </w:rPr>
              <w:fldChar w:fldCharType="begin"/>
            </w:r>
            <w:r w:rsidR="0071775D">
              <w:rPr>
                <w:noProof/>
                <w:webHidden/>
              </w:rPr>
              <w:instrText xml:space="preserve"> PAGEREF _Toc219718187 \h </w:instrText>
            </w:r>
            <w:r w:rsidR="0071775D">
              <w:rPr>
                <w:noProof/>
                <w:webHidden/>
              </w:rPr>
            </w:r>
            <w:r w:rsidR="0071775D">
              <w:rPr>
                <w:noProof/>
                <w:webHidden/>
              </w:rPr>
              <w:fldChar w:fldCharType="separate"/>
            </w:r>
            <w:r w:rsidR="0071775D">
              <w:rPr>
                <w:noProof/>
                <w:webHidden/>
              </w:rPr>
              <w:t>107</w:t>
            </w:r>
            <w:r w:rsidR="0071775D">
              <w:rPr>
                <w:noProof/>
                <w:webHidden/>
              </w:rPr>
              <w:fldChar w:fldCharType="end"/>
            </w:r>
          </w:hyperlink>
        </w:p>
        <w:p w14:paraId="5D895A37" w14:textId="0FAF6915"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88" w:history="1">
            <w:r w:rsidR="0071775D" w:rsidRPr="00CE2C6C">
              <w:rPr>
                <w:rStyle w:val="Hyperlink"/>
                <w:bCs/>
                <w:noProof/>
              </w:rPr>
              <w:t>6.3.3.</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Option 3: Country of Origin regime for cross border/B2B providers</w:t>
            </w:r>
            <w:r w:rsidR="0071775D">
              <w:rPr>
                <w:noProof/>
                <w:webHidden/>
              </w:rPr>
              <w:tab/>
            </w:r>
            <w:r w:rsidR="0071775D">
              <w:rPr>
                <w:noProof/>
                <w:webHidden/>
              </w:rPr>
              <w:fldChar w:fldCharType="begin"/>
            </w:r>
            <w:r w:rsidR="0071775D">
              <w:rPr>
                <w:noProof/>
                <w:webHidden/>
              </w:rPr>
              <w:instrText xml:space="preserve"> PAGEREF _Toc219718188 \h </w:instrText>
            </w:r>
            <w:r w:rsidR="0071775D">
              <w:rPr>
                <w:noProof/>
                <w:webHidden/>
              </w:rPr>
            </w:r>
            <w:r w:rsidR="0071775D">
              <w:rPr>
                <w:noProof/>
                <w:webHidden/>
              </w:rPr>
              <w:fldChar w:fldCharType="separate"/>
            </w:r>
            <w:r w:rsidR="0071775D">
              <w:rPr>
                <w:noProof/>
                <w:webHidden/>
              </w:rPr>
              <w:t>111</w:t>
            </w:r>
            <w:r w:rsidR="0071775D">
              <w:rPr>
                <w:noProof/>
                <w:webHidden/>
              </w:rPr>
              <w:fldChar w:fldCharType="end"/>
            </w:r>
          </w:hyperlink>
        </w:p>
        <w:p w14:paraId="7956C9BE" w14:textId="5B5CD9D3"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89" w:history="1">
            <w:r w:rsidR="0071775D" w:rsidRPr="00CE2C6C">
              <w:rPr>
                <w:rStyle w:val="Hyperlink"/>
                <w:noProof/>
              </w:rPr>
              <w:t>6.4.</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Governance</w:t>
            </w:r>
            <w:r w:rsidR="0071775D">
              <w:rPr>
                <w:noProof/>
                <w:webHidden/>
              </w:rPr>
              <w:tab/>
            </w:r>
            <w:r w:rsidR="0071775D">
              <w:rPr>
                <w:noProof/>
                <w:webHidden/>
              </w:rPr>
              <w:fldChar w:fldCharType="begin"/>
            </w:r>
            <w:r w:rsidR="0071775D">
              <w:rPr>
                <w:noProof/>
                <w:webHidden/>
              </w:rPr>
              <w:instrText xml:space="preserve"> PAGEREF _Toc219718189 \h </w:instrText>
            </w:r>
            <w:r w:rsidR="0071775D">
              <w:rPr>
                <w:noProof/>
                <w:webHidden/>
              </w:rPr>
            </w:r>
            <w:r w:rsidR="0071775D">
              <w:rPr>
                <w:noProof/>
                <w:webHidden/>
              </w:rPr>
              <w:fldChar w:fldCharType="separate"/>
            </w:r>
            <w:r w:rsidR="0071775D">
              <w:rPr>
                <w:noProof/>
                <w:webHidden/>
              </w:rPr>
              <w:t>112</w:t>
            </w:r>
            <w:r w:rsidR="0071775D">
              <w:rPr>
                <w:noProof/>
                <w:webHidden/>
              </w:rPr>
              <w:fldChar w:fldCharType="end"/>
            </w:r>
          </w:hyperlink>
        </w:p>
        <w:p w14:paraId="11866F18" w14:textId="15B5FD67"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90" w:history="1">
            <w:r w:rsidR="0071775D" w:rsidRPr="00CE2C6C">
              <w:rPr>
                <w:rStyle w:val="Hyperlink"/>
                <w:bCs/>
                <w:noProof/>
              </w:rPr>
              <w:t>6.4.1.</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Option 1 - BEREC and RSPG as two separate bodies supported by the BEREC Office</w:t>
            </w:r>
            <w:r w:rsidR="0071775D">
              <w:rPr>
                <w:noProof/>
                <w:webHidden/>
              </w:rPr>
              <w:tab/>
            </w:r>
            <w:r w:rsidR="0071775D">
              <w:rPr>
                <w:noProof/>
                <w:webHidden/>
              </w:rPr>
              <w:fldChar w:fldCharType="begin"/>
            </w:r>
            <w:r w:rsidR="0071775D">
              <w:rPr>
                <w:noProof/>
                <w:webHidden/>
              </w:rPr>
              <w:instrText xml:space="preserve"> PAGEREF _Toc219718190 \h </w:instrText>
            </w:r>
            <w:r w:rsidR="0071775D">
              <w:rPr>
                <w:noProof/>
                <w:webHidden/>
              </w:rPr>
            </w:r>
            <w:r w:rsidR="0071775D">
              <w:rPr>
                <w:noProof/>
                <w:webHidden/>
              </w:rPr>
              <w:fldChar w:fldCharType="separate"/>
            </w:r>
            <w:r w:rsidR="0071775D">
              <w:rPr>
                <w:noProof/>
                <w:webHidden/>
              </w:rPr>
              <w:t>112</w:t>
            </w:r>
            <w:r w:rsidR="0071775D">
              <w:rPr>
                <w:noProof/>
                <w:webHidden/>
              </w:rPr>
              <w:fldChar w:fldCharType="end"/>
            </w:r>
          </w:hyperlink>
        </w:p>
        <w:p w14:paraId="6D60A2F0" w14:textId="7D63B49B"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91" w:history="1">
            <w:r w:rsidR="0071775D" w:rsidRPr="00CE2C6C">
              <w:rPr>
                <w:rStyle w:val="Hyperlink"/>
                <w:bCs/>
                <w:noProof/>
              </w:rPr>
              <w:t>6.4.2.</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Option 2 - EU Agency (BEREC and BEREC Office), supporting also the RSPG as Spectrum office</w:t>
            </w:r>
            <w:r w:rsidR="0071775D">
              <w:rPr>
                <w:noProof/>
                <w:webHidden/>
              </w:rPr>
              <w:tab/>
            </w:r>
            <w:r w:rsidR="0071775D">
              <w:rPr>
                <w:noProof/>
                <w:webHidden/>
              </w:rPr>
              <w:fldChar w:fldCharType="begin"/>
            </w:r>
            <w:r w:rsidR="0071775D">
              <w:rPr>
                <w:noProof/>
                <w:webHidden/>
              </w:rPr>
              <w:instrText xml:space="preserve"> PAGEREF _Toc219718191 \h </w:instrText>
            </w:r>
            <w:r w:rsidR="0071775D">
              <w:rPr>
                <w:noProof/>
                <w:webHidden/>
              </w:rPr>
            </w:r>
            <w:r w:rsidR="0071775D">
              <w:rPr>
                <w:noProof/>
                <w:webHidden/>
              </w:rPr>
              <w:fldChar w:fldCharType="separate"/>
            </w:r>
            <w:r w:rsidR="0071775D">
              <w:rPr>
                <w:noProof/>
                <w:webHidden/>
              </w:rPr>
              <w:t>114</w:t>
            </w:r>
            <w:r w:rsidR="0071775D">
              <w:rPr>
                <w:noProof/>
                <w:webHidden/>
              </w:rPr>
              <w:fldChar w:fldCharType="end"/>
            </w:r>
          </w:hyperlink>
        </w:p>
        <w:p w14:paraId="2F57CC5F" w14:textId="6E54BF87"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192" w:history="1">
            <w:r w:rsidR="0071775D" w:rsidRPr="00CE2C6C">
              <w:rPr>
                <w:rStyle w:val="Hyperlink"/>
                <w:bCs/>
                <w:noProof/>
              </w:rPr>
              <w:t>6.4.3.</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Option 3 - Two separate agencies – (BEREC + BEREC Office) &amp; RSPG</w:t>
            </w:r>
            <w:r w:rsidR="0071775D">
              <w:rPr>
                <w:noProof/>
                <w:webHidden/>
              </w:rPr>
              <w:tab/>
            </w:r>
            <w:r w:rsidR="0071775D">
              <w:rPr>
                <w:noProof/>
                <w:webHidden/>
              </w:rPr>
              <w:fldChar w:fldCharType="begin"/>
            </w:r>
            <w:r w:rsidR="0071775D">
              <w:rPr>
                <w:noProof/>
                <w:webHidden/>
              </w:rPr>
              <w:instrText xml:space="preserve"> PAGEREF _Toc219718192 \h </w:instrText>
            </w:r>
            <w:r w:rsidR="0071775D">
              <w:rPr>
                <w:noProof/>
                <w:webHidden/>
              </w:rPr>
            </w:r>
            <w:r w:rsidR="0071775D">
              <w:rPr>
                <w:noProof/>
                <w:webHidden/>
              </w:rPr>
              <w:fldChar w:fldCharType="separate"/>
            </w:r>
            <w:r w:rsidR="0071775D">
              <w:rPr>
                <w:noProof/>
                <w:webHidden/>
              </w:rPr>
              <w:t>115</w:t>
            </w:r>
            <w:r w:rsidR="0071775D">
              <w:rPr>
                <w:noProof/>
                <w:webHidden/>
              </w:rPr>
              <w:fldChar w:fldCharType="end"/>
            </w:r>
          </w:hyperlink>
        </w:p>
        <w:p w14:paraId="564823AA" w14:textId="6AE04CCE" w:rsidR="0071775D" w:rsidRDefault="004329F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193" w:history="1">
            <w:r w:rsidR="0071775D" w:rsidRPr="00CE2C6C">
              <w:rPr>
                <w:rStyle w:val="Hyperlink"/>
                <w:noProof/>
              </w:rPr>
              <w:t>7.</w:t>
            </w:r>
            <w:r w:rsidR="0071775D">
              <w:rPr>
                <w:rFonts w:asciiTheme="minorHAnsi" w:eastAsiaTheme="minorEastAsia" w:hAnsiTheme="minorHAnsi" w:cstheme="minorBidi"/>
                <w:caps w:val="0"/>
                <w:noProof/>
                <w:kern w:val="2"/>
                <w:sz w:val="24"/>
                <w:szCs w:val="24"/>
                <w:lang w:val="en-IE" w:eastAsia="en-IE"/>
                <w14:ligatures w14:val="standardContextual"/>
              </w:rPr>
              <w:tab/>
            </w:r>
            <w:r w:rsidR="0071775D" w:rsidRPr="00CE2C6C">
              <w:rPr>
                <w:rStyle w:val="Hyperlink"/>
                <w:noProof/>
              </w:rPr>
              <w:t>How do the options compare?</w:t>
            </w:r>
            <w:r w:rsidR="0071775D">
              <w:rPr>
                <w:noProof/>
                <w:webHidden/>
              </w:rPr>
              <w:tab/>
            </w:r>
            <w:r w:rsidR="0071775D">
              <w:rPr>
                <w:noProof/>
                <w:webHidden/>
              </w:rPr>
              <w:fldChar w:fldCharType="begin"/>
            </w:r>
            <w:r w:rsidR="0071775D">
              <w:rPr>
                <w:noProof/>
                <w:webHidden/>
              </w:rPr>
              <w:instrText xml:space="preserve"> PAGEREF _Toc219718193 \h </w:instrText>
            </w:r>
            <w:r w:rsidR="0071775D">
              <w:rPr>
                <w:noProof/>
                <w:webHidden/>
              </w:rPr>
            </w:r>
            <w:r w:rsidR="0071775D">
              <w:rPr>
                <w:noProof/>
                <w:webHidden/>
              </w:rPr>
              <w:fldChar w:fldCharType="separate"/>
            </w:r>
            <w:r w:rsidR="0071775D">
              <w:rPr>
                <w:noProof/>
                <w:webHidden/>
              </w:rPr>
              <w:t>116</w:t>
            </w:r>
            <w:r w:rsidR="0071775D">
              <w:rPr>
                <w:noProof/>
                <w:webHidden/>
              </w:rPr>
              <w:fldChar w:fldCharType="end"/>
            </w:r>
          </w:hyperlink>
        </w:p>
        <w:p w14:paraId="288D11B7" w14:textId="3180913E"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94" w:history="1">
            <w:r w:rsidR="0071775D" w:rsidRPr="00CE2C6C">
              <w:rPr>
                <w:rStyle w:val="Hyperlink"/>
                <w:noProof/>
              </w:rPr>
              <w:t>7.1.</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Transition to fibre</w:t>
            </w:r>
            <w:r w:rsidR="0071775D">
              <w:rPr>
                <w:noProof/>
                <w:webHidden/>
              </w:rPr>
              <w:tab/>
            </w:r>
            <w:r w:rsidR="0071775D">
              <w:rPr>
                <w:noProof/>
                <w:webHidden/>
              </w:rPr>
              <w:fldChar w:fldCharType="begin"/>
            </w:r>
            <w:r w:rsidR="0071775D">
              <w:rPr>
                <w:noProof/>
                <w:webHidden/>
              </w:rPr>
              <w:instrText xml:space="preserve"> PAGEREF _Toc219718194 \h </w:instrText>
            </w:r>
            <w:r w:rsidR="0071775D">
              <w:rPr>
                <w:noProof/>
                <w:webHidden/>
              </w:rPr>
            </w:r>
            <w:r w:rsidR="0071775D">
              <w:rPr>
                <w:noProof/>
                <w:webHidden/>
              </w:rPr>
              <w:fldChar w:fldCharType="separate"/>
            </w:r>
            <w:r w:rsidR="0071775D">
              <w:rPr>
                <w:noProof/>
                <w:webHidden/>
              </w:rPr>
              <w:t>116</w:t>
            </w:r>
            <w:r w:rsidR="0071775D">
              <w:rPr>
                <w:noProof/>
                <w:webHidden/>
              </w:rPr>
              <w:fldChar w:fldCharType="end"/>
            </w:r>
          </w:hyperlink>
        </w:p>
        <w:p w14:paraId="46ED74F8" w14:textId="5D9FD921"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95" w:history="1">
            <w:r w:rsidR="0071775D" w:rsidRPr="00CE2C6C">
              <w:rPr>
                <w:rStyle w:val="Hyperlink"/>
                <w:noProof/>
              </w:rPr>
              <w:t>7.2.</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Spectrum</w:t>
            </w:r>
            <w:r w:rsidR="0071775D">
              <w:rPr>
                <w:noProof/>
                <w:webHidden/>
              </w:rPr>
              <w:tab/>
            </w:r>
            <w:r w:rsidR="0071775D">
              <w:rPr>
                <w:noProof/>
                <w:webHidden/>
              </w:rPr>
              <w:fldChar w:fldCharType="begin"/>
            </w:r>
            <w:r w:rsidR="0071775D">
              <w:rPr>
                <w:noProof/>
                <w:webHidden/>
              </w:rPr>
              <w:instrText xml:space="preserve"> PAGEREF _Toc219718195 \h </w:instrText>
            </w:r>
            <w:r w:rsidR="0071775D">
              <w:rPr>
                <w:noProof/>
                <w:webHidden/>
              </w:rPr>
            </w:r>
            <w:r w:rsidR="0071775D">
              <w:rPr>
                <w:noProof/>
                <w:webHidden/>
              </w:rPr>
              <w:fldChar w:fldCharType="separate"/>
            </w:r>
            <w:r w:rsidR="0071775D">
              <w:rPr>
                <w:noProof/>
                <w:webHidden/>
              </w:rPr>
              <w:t>123</w:t>
            </w:r>
            <w:r w:rsidR="0071775D">
              <w:rPr>
                <w:noProof/>
                <w:webHidden/>
              </w:rPr>
              <w:fldChar w:fldCharType="end"/>
            </w:r>
          </w:hyperlink>
        </w:p>
        <w:p w14:paraId="1EAD1F9E" w14:textId="2EB4A08C"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96" w:history="1">
            <w:r w:rsidR="0071775D" w:rsidRPr="00CE2C6C">
              <w:rPr>
                <w:rStyle w:val="Hyperlink"/>
                <w:noProof/>
              </w:rPr>
              <w:t>7.3.</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Authorisation</w:t>
            </w:r>
            <w:r w:rsidR="0071775D">
              <w:rPr>
                <w:noProof/>
                <w:webHidden/>
              </w:rPr>
              <w:tab/>
            </w:r>
            <w:r w:rsidR="0071775D">
              <w:rPr>
                <w:noProof/>
                <w:webHidden/>
              </w:rPr>
              <w:fldChar w:fldCharType="begin"/>
            </w:r>
            <w:r w:rsidR="0071775D">
              <w:rPr>
                <w:noProof/>
                <w:webHidden/>
              </w:rPr>
              <w:instrText xml:space="preserve"> PAGEREF _Toc219718196 \h </w:instrText>
            </w:r>
            <w:r w:rsidR="0071775D">
              <w:rPr>
                <w:noProof/>
                <w:webHidden/>
              </w:rPr>
            </w:r>
            <w:r w:rsidR="0071775D">
              <w:rPr>
                <w:noProof/>
                <w:webHidden/>
              </w:rPr>
              <w:fldChar w:fldCharType="separate"/>
            </w:r>
            <w:r w:rsidR="0071775D">
              <w:rPr>
                <w:noProof/>
                <w:webHidden/>
              </w:rPr>
              <w:t>134</w:t>
            </w:r>
            <w:r w:rsidR="0071775D">
              <w:rPr>
                <w:noProof/>
                <w:webHidden/>
              </w:rPr>
              <w:fldChar w:fldCharType="end"/>
            </w:r>
          </w:hyperlink>
        </w:p>
        <w:p w14:paraId="72A2BBD9" w14:textId="1B890560"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97" w:history="1">
            <w:r w:rsidR="0071775D" w:rsidRPr="00CE2C6C">
              <w:rPr>
                <w:rStyle w:val="Hyperlink"/>
                <w:noProof/>
              </w:rPr>
              <w:t>7.4.</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Governance</w:t>
            </w:r>
            <w:r w:rsidR="0071775D">
              <w:rPr>
                <w:noProof/>
                <w:webHidden/>
              </w:rPr>
              <w:tab/>
            </w:r>
            <w:r w:rsidR="0071775D">
              <w:rPr>
                <w:noProof/>
                <w:webHidden/>
              </w:rPr>
              <w:fldChar w:fldCharType="begin"/>
            </w:r>
            <w:r w:rsidR="0071775D">
              <w:rPr>
                <w:noProof/>
                <w:webHidden/>
              </w:rPr>
              <w:instrText xml:space="preserve"> PAGEREF _Toc219718197 \h </w:instrText>
            </w:r>
            <w:r w:rsidR="0071775D">
              <w:rPr>
                <w:noProof/>
                <w:webHidden/>
              </w:rPr>
            </w:r>
            <w:r w:rsidR="0071775D">
              <w:rPr>
                <w:noProof/>
                <w:webHidden/>
              </w:rPr>
              <w:fldChar w:fldCharType="separate"/>
            </w:r>
            <w:r w:rsidR="0071775D">
              <w:rPr>
                <w:noProof/>
                <w:webHidden/>
              </w:rPr>
              <w:t>144</w:t>
            </w:r>
            <w:r w:rsidR="0071775D">
              <w:rPr>
                <w:noProof/>
                <w:webHidden/>
              </w:rPr>
              <w:fldChar w:fldCharType="end"/>
            </w:r>
          </w:hyperlink>
        </w:p>
        <w:p w14:paraId="680D70A9" w14:textId="332A9C6B" w:rsidR="0071775D" w:rsidRDefault="004329F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198" w:history="1">
            <w:r w:rsidR="0071775D" w:rsidRPr="00CE2C6C">
              <w:rPr>
                <w:rStyle w:val="Hyperlink"/>
                <w:noProof/>
              </w:rPr>
              <w:t>8.</w:t>
            </w:r>
            <w:r w:rsidR="0071775D">
              <w:rPr>
                <w:rFonts w:asciiTheme="minorHAnsi" w:eastAsiaTheme="minorEastAsia" w:hAnsiTheme="minorHAnsi" w:cstheme="minorBidi"/>
                <w:caps w:val="0"/>
                <w:noProof/>
                <w:kern w:val="2"/>
                <w:sz w:val="24"/>
                <w:szCs w:val="24"/>
                <w:lang w:val="en-IE" w:eastAsia="en-IE"/>
                <w14:ligatures w14:val="standardContextual"/>
              </w:rPr>
              <w:tab/>
            </w:r>
            <w:r w:rsidR="0071775D" w:rsidRPr="00CE2C6C">
              <w:rPr>
                <w:rStyle w:val="Hyperlink"/>
                <w:noProof/>
              </w:rPr>
              <w:t>Preferred option</w:t>
            </w:r>
            <w:r w:rsidR="0071775D">
              <w:rPr>
                <w:noProof/>
                <w:webHidden/>
              </w:rPr>
              <w:tab/>
            </w:r>
            <w:r w:rsidR="0071775D">
              <w:rPr>
                <w:noProof/>
                <w:webHidden/>
              </w:rPr>
              <w:fldChar w:fldCharType="begin"/>
            </w:r>
            <w:r w:rsidR="0071775D">
              <w:rPr>
                <w:noProof/>
                <w:webHidden/>
              </w:rPr>
              <w:instrText xml:space="preserve"> PAGEREF _Toc219718198 \h </w:instrText>
            </w:r>
            <w:r w:rsidR="0071775D">
              <w:rPr>
                <w:noProof/>
                <w:webHidden/>
              </w:rPr>
            </w:r>
            <w:r w:rsidR="0071775D">
              <w:rPr>
                <w:noProof/>
                <w:webHidden/>
              </w:rPr>
              <w:fldChar w:fldCharType="separate"/>
            </w:r>
            <w:r w:rsidR="0071775D">
              <w:rPr>
                <w:noProof/>
                <w:webHidden/>
              </w:rPr>
              <w:t>150</w:t>
            </w:r>
            <w:r w:rsidR="0071775D">
              <w:rPr>
                <w:noProof/>
                <w:webHidden/>
              </w:rPr>
              <w:fldChar w:fldCharType="end"/>
            </w:r>
          </w:hyperlink>
        </w:p>
        <w:p w14:paraId="66A7F4E9" w14:textId="5D21036D"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199" w:history="1">
            <w:r w:rsidR="0071775D" w:rsidRPr="00CE2C6C">
              <w:rPr>
                <w:rStyle w:val="Hyperlink"/>
                <w:noProof/>
              </w:rPr>
              <w:t>8.1.</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Preferred options</w:t>
            </w:r>
            <w:r w:rsidR="0071775D">
              <w:rPr>
                <w:noProof/>
                <w:webHidden/>
              </w:rPr>
              <w:tab/>
            </w:r>
            <w:r w:rsidR="0071775D">
              <w:rPr>
                <w:noProof/>
                <w:webHidden/>
              </w:rPr>
              <w:fldChar w:fldCharType="begin"/>
            </w:r>
            <w:r w:rsidR="0071775D">
              <w:rPr>
                <w:noProof/>
                <w:webHidden/>
              </w:rPr>
              <w:instrText xml:space="preserve"> PAGEREF _Toc219718199 \h </w:instrText>
            </w:r>
            <w:r w:rsidR="0071775D">
              <w:rPr>
                <w:noProof/>
                <w:webHidden/>
              </w:rPr>
            </w:r>
            <w:r w:rsidR="0071775D">
              <w:rPr>
                <w:noProof/>
                <w:webHidden/>
              </w:rPr>
              <w:fldChar w:fldCharType="separate"/>
            </w:r>
            <w:r w:rsidR="0071775D">
              <w:rPr>
                <w:noProof/>
                <w:webHidden/>
              </w:rPr>
              <w:t>150</w:t>
            </w:r>
            <w:r w:rsidR="0071775D">
              <w:rPr>
                <w:noProof/>
                <w:webHidden/>
              </w:rPr>
              <w:fldChar w:fldCharType="end"/>
            </w:r>
          </w:hyperlink>
        </w:p>
        <w:p w14:paraId="546B6F9A" w14:textId="593E700B"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200" w:history="1">
            <w:r w:rsidR="0071775D" w:rsidRPr="00CE2C6C">
              <w:rPr>
                <w:rStyle w:val="Hyperlink"/>
                <w:bCs/>
                <w:noProof/>
              </w:rPr>
              <w:t>8.1.1.</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Transition to fibre</w:t>
            </w:r>
            <w:r w:rsidR="0071775D">
              <w:rPr>
                <w:noProof/>
                <w:webHidden/>
              </w:rPr>
              <w:tab/>
            </w:r>
            <w:r w:rsidR="0071775D">
              <w:rPr>
                <w:noProof/>
                <w:webHidden/>
              </w:rPr>
              <w:fldChar w:fldCharType="begin"/>
            </w:r>
            <w:r w:rsidR="0071775D">
              <w:rPr>
                <w:noProof/>
                <w:webHidden/>
              </w:rPr>
              <w:instrText xml:space="preserve"> PAGEREF _Toc219718200 \h </w:instrText>
            </w:r>
            <w:r w:rsidR="0071775D">
              <w:rPr>
                <w:noProof/>
                <w:webHidden/>
              </w:rPr>
            </w:r>
            <w:r w:rsidR="0071775D">
              <w:rPr>
                <w:noProof/>
                <w:webHidden/>
              </w:rPr>
              <w:fldChar w:fldCharType="separate"/>
            </w:r>
            <w:r w:rsidR="0071775D">
              <w:rPr>
                <w:noProof/>
                <w:webHidden/>
              </w:rPr>
              <w:t>150</w:t>
            </w:r>
            <w:r w:rsidR="0071775D">
              <w:rPr>
                <w:noProof/>
                <w:webHidden/>
              </w:rPr>
              <w:fldChar w:fldCharType="end"/>
            </w:r>
          </w:hyperlink>
        </w:p>
        <w:p w14:paraId="38A5426F" w14:textId="08CC3F0A"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201" w:history="1">
            <w:r w:rsidR="0071775D" w:rsidRPr="00CE2C6C">
              <w:rPr>
                <w:rStyle w:val="Hyperlink"/>
                <w:bCs/>
                <w:noProof/>
              </w:rPr>
              <w:t>8.1.2.</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Spectrum</w:t>
            </w:r>
            <w:r w:rsidR="0071775D">
              <w:rPr>
                <w:noProof/>
                <w:webHidden/>
              </w:rPr>
              <w:tab/>
            </w:r>
            <w:r w:rsidR="0071775D">
              <w:rPr>
                <w:noProof/>
                <w:webHidden/>
              </w:rPr>
              <w:fldChar w:fldCharType="begin"/>
            </w:r>
            <w:r w:rsidR="0071775D">
              <w:rPr>
                <w:noProof/>
                <w:webHidden/>
              </w:rPr>
              <w:instrText xml:space="preserve"> PAGEREF _Toc219718201 \h </w:instrText>
            </w:r>
            <w:r w:rsidR="0071775D">
              <w:rPr>
                <w:noProof/>
                <w:webHidden/>
              </w:rPr>
            </w:r>
            <w:r w:rsidR="0071775D">
              <w:rPr>
                <w:noProof/>
                <w:webHidden/>
              </w:rPr>
              <w:fldChar w:fldCharType="separate"/>
            </w:r>
            <w:r w:rsidR="0071775D">
              <w:rPr>
                <w:noProof/>
                <w:webHidden/>
              </w:rPr>
              <w:t>151</w:t>
            </w:r>
            <w:r w:rsidR="0071775D">
              <w:rPr>
                <w:noProof/>
                <w:webHidden/>
              </w:rPr>
              <w:fldChar w:fldCharType="end"/>
            </w:r>
          </w:hyperlink>
        </w:p>
        <w:p w14:paraId="36F26DD9" w14:textId="47CCD972"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202" w:history="1">
            <w:r w:rsidR="0071775D" w:rsidRPr="00CE2C6C">
              <w:rPr>
                <w:rStyle w:val="Hyperlink"/>
                <w:bCs/>
                <w:noProof/>
              </w:rPr>
              <w:t>8.1.3.</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Authorisation</w:t>
            </w:r>
            <w:r w:rsidR="0071775D">
              <w:rPr>
                <w:noProof/>
                <w:webHidden/>
              </w:rPr>
              <w:tab/>
            </w:r>
            <w:r w:rsidR="0071775D">
              <w:rPr>
                <w:noProof/>
                <w:webHidden/>
              </w:rPr>
              <w:fldChar w:fldCharType="begin"/>
            </w:r>
            <w:r w:rsidR="0071775D">
              <w:rPr>
                <w:noProof/>
                <w:webHidden/>
              </w:rPr>
              <w:instrText xml:space="preserve"> PAGEREF _Toc219718202 \h </w:instrText>
            </w:r>
            <w:r w:rsidR="0071775D">
              <w:rPr>
                <w:noProof/>
                <w:webHidden/>
              </w:rPr>
            </w:r>
            <w:r w:rsidR="0071775D">
              <w:rPr>
                <w:noProof/>
                <w:webHidden/>
              </w:rPr>
              <w:fldChar w:fldCharType="separate"/>
            </w:r>
            <w:r w:rsidR="0071775D">
              <w:rPr>
                <w:noProof/>
                <w:webHidden/>
              </w:rPr>
              <w:t>152</w:t>
            </w:r>
            <w:r w:rsidR="0071775D">
              <w:rPr>
                <w:noProof/>
                <w:webHidden/>
              </w:rPr>
              <w:fldChar w:fldCharType="end"/>
            </w:r>
          </w:hyperlink>
        </w:p>
        <w:p w14:paraId="0D6CE94A" w14:textId="4DA84AC2" w:rsidR="0071775D" w:rsidRDefault="004329F8">
          <w:pPr>
            <w:pStyle w:val="TOC3"/>
            <w:tabs>
              <w:tab w:val="left" w:pos="1440"/>
              <w:tab w:val="right" w:leader="dot" w:pos="9060"/>
            </w:tabs>
            <w:rPr>
              <w:rFonts w:asciiTheme="minorHAnsi" w:eastAsiaTheme="minorEastAsia" w:hAnsiTheme="minorHAnsi" w:cstheme="minorBidi"/>
              <w:noProof/>
              <w:kern w:val="2"/>
              <w:lang w:val="en-IE" w:eastAsia="en-IE"/>
              <w14:ligatures w14:val="standardContextual"/>
            </w:rPr>
          </w:pPr>
          <w:hyperlink w:anchor="_Toc219718203" w:history="1">
            <w:r w:rsidR="0071775D" w:rsidRPr="00CE2C6C">
              <w:rPr>
                <w:rStyle w:val="Hyperlink"/>
                <w:bCs/>
                <w:noProof/>
              </w:rPr>
              <w:t>8.1.4.</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Governance</w:t>
            </w:r>
            <w:r w:rsidR="0071775D">
              <w:rPr>
                <w:noProof/>
                <w:webHidden/>
              </w:rPr>
              <w:tab/>
            </w:r>
            <w:r w:rsidR="0071775D">
              <w:rPr>
                <w:noProof/>
                <w:webHidden/>
              </w:rPr>
              <w:fldChar w:fldCharType="begin"/>
            </w:r>
            <w:r w:rsidR="0071775D">
              <w:rPr>
                <w:noProof/>
                <w:webHidden/>
              </w:rPr>
              <w:instrText xml:space="preserve"> PAGEREF _Toc219718203 \h </w:instrText>
            </w:r>
            <w:r w:rsidR="0071775D">
              <w:rPr>
                <w:noProof/>
                <w:webHidden/>
              </w:rPr>
            </w:r>
            <w:r w:rsidR="0071775D">
              <w:rPr>
                <w:noProof/>
                <w:webHidden/>
              </w:rPr>
              <w:fldChar w:fldCharType="separate"/>
            </w:r>
            <w:r w:rsidR="0071775D">
              <w:rPr>
                <w:noProof/>
                <w:webHidden/>
              </w:rPr>
              <w:t>153</w:t>
            </w:r>
            <w:r w:rsidR="0071775D">
              <w:rPr>
                <w:noProof/>
                <w:webHidden/>
              </w:rPr>
              <w:fldChar w:fldCharType="end"/>
            </w:r>
          </w:hyperlink>
        </w:p>
        <w:p w14:paraId="263E6BFD" w14:textId="23DB2D8B"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204" w:history="1">
            <w:r w:rsidR="0071775D" w:rsidRPr="00CE2C6C">
              <w:rPr>
                <w:rStyle w:val="Hyperlink"/>
                <w:noProof/>
              </w:rPr>
              <w:t>8.2.</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REFIT (simplification and improved efficiency)</w:t>
            </w:r>
            <w:r w:rsidR="0071775D">
              <w:rPr>
                <w:noProof/>
                <w:webHidden/>
              </w:rPr>
              <w:tab/>
            </w:r>
            <w:r w:rsidR="0071775D">
              <w:rPr>
                <w:noProof/>
                <w:webHidden/>
              </w:rPr>
              <w:fldChar w:fldCharType="begin"/>
            </w:r>
            <w:r w:rsidR="0071775D">
              <w:rPr>
                <w:noProof/>
                <w:webHidden/>
              </w:rPr>
              <w:instrText xml:space="preserve"> PAGEREF _Toc219718204 \h </w:instrText>
            </w:r>
            <w:r w:rsidR="0071775D">
              <w:rPr>
                <w:noProof/>
                <w:webHidden/>
              </w:rPr>
            </w:r>
            <w:r w:rsidR="0071775D">
              <w:rPr>
                <w:noProof/>
                <w:webHidden/>
              </w:rPr>
              <w:fldChar w:fldCharType="separate"/>
            </w:r>
            <w:r w:rsidR="0071775D">
              <w:rPr>
                <w:noProof/>
                <w:webHidden/>
              </w:rPr>
              <w:t>153</w:t>
            </w:r>
            <w:r w:rsidR="0071775D">
              <w:rPr>
                <w:noProof/>
                <w:webHidden/>
              </w:rPr>
              <w:fldChar w:fldCharType="end"/>
            </w:r>
          </w:hyperlink>
        </w:p>
        <w:p w14:paraId="43C193EA" w14:textId="21D74EA7" w:rsidR="0071775D" w:rsidRDefault="004329F8">
          <w:pPr>
            <w:pStyle w:val="TOC2"/>
            <w:tabs>
              <w:tab w:val="left" w:pos="1200"/>
            </w:tabs>
            <w:rPr>
              <w:rFonts w:asciiTheme="minorHAnsi" w:eastAsiaTheme="minorEastAsia" w:hAnsiTheme="minorHAnsi" w:cstheme="minorBidi"/>
              <w:noProof/>
              <w:kern w:val="2"/>
              <w:lang w:val="en-IE" w:eastAsia="en-IE"/>
              <w14:ligatures w14:val="standardContextual"/>
            </w:rPr>
          </w:pPr>
          <w:hyperlink w:anchor="_Toc219718205" w:history="1">
            <w:r w:rsidR="0071775D" w:rsidRPr="00CE2C6C">
              <w:rPr>
                <w:rStyle w:val="Hyperlink"/>
                <w:noProof/>
              </w:rPr>
              <w:t>8.3.</w:t>
            </w:r>
            <w:r w:rsidR="0071775D">
              <w:rPr>
                <w:rFonts w:asciiTheme="minorHAnsi" w:eastAsiaTheme="minorEastAsia" w:hAnsiTheme="minorHAnsi" w:cstheme="minorBidi"/>
                <w:noProof/>
                <w:kern w:val="2"/>
                <w:lang w:val="en-IE" w:eastAsia="en-IE"/>
                <w14:ligatures w14:val="standardContextual"/>
              </w:rPr>
              <w:tab/>
            </w:r>
            <w:r w:rsidR="0071775D" w:rsidRPr="00CE2C6C">
              <w:rPr>
                <w:rStyle w:val="Hyperlink"/>
                <w:noProof/>
              </w:rPr>
              <w:t>Application of the ‘one in, one out’ approach</w:t>
            </w:r>
            <w:r w:rsidR="0071775D">
              <w:rPr>
                <w:noProof/>
                <w:webHidden/>
              </w:rPr>
              <w:tab/>
            </w:r>
            <w:r w:rsidR="0071775D">
              <w:rPr>
                <w:noProof/>
                <w:webHidden/>
              </w:rPr>
              <w:fldChar w:fldCharType="begin"/>
            </w:r>
            <w:r w:rsidR="0071775D">
              <w:rPr>
                <w:noProof/>
                <w:webHidden/>
              </w:rPr>
              <w:instrText xml:space="preserve"> PAGEREF _Toc219718205 \h </w:instrText>
            </w:r>
            <w:r w:rsidR="0071775D">
              <w:rPr>
                <w:noProof/>
                <w:webHidden/>
              </w:rPr>
            </w:r>
            <w:r w:rsidR="0071775D">
              <w:rPr>
                <w:noProof/>
                <w:webHidden/>
              </w:rPr>
              <w:fldChar w:fldCharType="separate"/>
            </w:r>
            <w:r w:rsidR="0071775D">
              <w:rPr>
                <w:noProof/>
                <w:webHidden/>
              </w:rPr>
              <w:t>155</w:t>
            </w:r>
            <w:r w:rsidR="0071775D">
              <w:rPr>
                <w:noProof/>
                <w:webHidden/>
              </w:rPr>
              <w:fldChar w:fldCharType="end"/>
            </w:r>
          </w:hyperlink>
        </w:p>
        <w:p w14:paraId="74544B07" w14:textId="5721E7FD" w:rsidR="0071775D" w:rsidRDefault="004329F8">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718206" w:history="1">
            <w:r w:rsidR="0071775D" w:rsidRPr="00CE2C6C">
              <w:rPr>
                <w:rStyle w:val="Hyperlink"/>
                <w:noProof/>
              </w:rPr>
              <w:t>9.</w:t>
            </w:r>
            <w:r w:rsidR="0071775D">
              <w:rPr>
                <w:rFonts w:asciiTheme="minorHAnsi" w:eastAsiaTheme="minorEastAsia" w:hAnsiTheme="minorHAnsi" w:cstheme="minorBidi"/>
                <w:caps w:val="0"/>
                <w:noProof/>
                <w:kern w:val="2"/>
                <w:sz w:val="24"/>
                <w:szCs w:val="24"/>
                <w:lang w:val="en-IE" w:eastAsia="en-IE"/>
                <w14:ligatures w14:val="standardContextual"/>
              </w:rPr>
              <w:tab/>
            </w:r>
            <w:r w:rsidR="0071775D" w:rsidRPr="00CE2C6C">
              <w:rPr>
                <w:rStyle w:val="Hyperlink"/>
                <w:noProof/>
              </w:rPr>
              <w:t>How will actual impacts be monitored and evaluated?</w:t>
            </w:r>
            <w:r w:rsidR="0071775D">
              <w:rPr>
                <w:noProof/>
                <w:webHidden/>
              </w:rPr>
              <w:tab/>
            </w:r>
            <w:r w:rsidR="0071775D">
              <w:rPr>
                <w:noProof/>
                <w:webHidden/>
              </w:rPr>
              <w:fldChar w:fldCharType="begin"/>
            </w:r>
            <w:r w:rsidR="0071775D">
              <w:rPr>
                <w:noProof/>
                <w:webHidden/>
              </w:rPr>
              <w:instrText xml:space="preserve"> PAGEREF _Toc219718206 \h </w:instrText>
            </w:r>
            <w:r w:rsidR="0071775D">
              <w:rPr>
                <w:noProof/>
                <w:webHidden/>
              </w:rPr>
            </w:r>
            <w:r w:rsidR="0071775D">
              <w:rPr>
                <w:noProof/>
                <w:webHidden/>
              </w:rPr>
              <w:fldChar w:fldCharType="separate"/>
            </w:r>
            <w:r w:rsidR="0071775D">
              <w:rPr>
                <w:noProof/>
                <w:webHidden/>
              </w:rPr>
              <w:t>156</w:t>
            </w:r>
            <w:r w:rsidR="0071775D">
              <w:rPr>
                <w:noProof/>
                <w:webHidden/>
              </w:rPr>
              <w:fldChar w:fldCharType="end"/>
            </w:r>
          </w:hyperlink>
        </w:p>
        <w:p w14:paraId="644E4D9F" w14:textId="4ACDC899" w:rsidR="0071775D" w:rsidRDefault="0071775D">
          <w:pPr>
            <w:rPr>
              <w:noProof/>
            </w:rPr>
          </w:pPr>
          <w:r>
            <w:rPr>
              <w:b/>
              <w:bCs/>
              <w:noProof/>
            </w:rPr>
            <w:fldChar w:fldCharType="end"/>
          </w:r>
        </w:p>
      </w:sdtContent>
    </w:sdt>
    <w:p w14:paraId="502CE15C" w14:textId="0ADCB013" w:rsidR="009E255E" w:rsidRPr="00DE264C" w:rsidRDefault="009E255E" w:rsidP="002D668E">
      <w:pPr>
        <w:rPr>
          <w:noProof/>
        </w:rPr>
      </w:pPr>
      <w:r w:rsidRPr="00DE264C">
        <w:rPr>
          <w:noProof/>
        </w:rPr>
        <w:br w:type="page"/>
      </w:r>
    </w:p>
    <w:p w14:paraId="6D5371C8" w14:textId="0349A153" w:rsidR="002D668E" w:rsidRDefault="002D668E" w:rsidP="002D668E">
      <w:pPr>
        <w:pStyle w:val="TOCHeading"/>
        <w:rPr>
          <w:noProof/>
        </w:rPr>
      </w:pPr>
      <w:r>
        <w:rPr>
          <w:noProof/>
        </w:rPr>
        <w:t>Table of Figures</w:t>
      </w:r>
    </w:p>
    <w:p w14:paraId="1A65CAAB" w14:textId="39FC742B" w:rsidR="00E942BD" w:rsidRDefault="00A363FF">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r>
        <w:rPr>
          <w:noProof/>
        </w:rPr>
        <w:fldChar w:fldCharType="begin"/>
      </w:r>
      <w:r>
        <w:rPr>
          <w:noProof/>
        </w:rPr>
        <w:instrText xml:space="preserve"> TOC \h \z \c "Figure" </w:instrText>
      </w:r>
      <w:r>
        <w:rPr>
          <w:noProof/>
        </w:rPr>
        <w:fldChar w:fldCharType="separate"/>
      </w:r>
      <w:hyperlink w:anchor="_Toc219539758" w:history="1">
        <w:r w:rsidR="00E942BD" w:rsidRPr="00255742">
          <w:rPr>
            <w:rStyle w:val="Hyperlink"/>
            <w:noProof/>
          </w:rPr>
          <w:t>Figure 1: Current acquis on electronic communications networks and services and the DNA</w:t>
        </w:r>
        <w:r w:rsidR="00E942BD">
          <w:rPr>
            <w:noProof/>
            <w:webHidden/>
          </w:rPr>
          <w:tab/>
        </w:r>
        <w:r w:rsidR="00E942BD">
          <w:rPr>
            <w:noProof/>
            <w:webHidden/>
          </w:rPr>
          <w:fldChar w:fldCharType="begin"/>
        </w:r>
        <w:r w:rsidR="00E942BD">
          <w:rPr>
            <w:noProof/>
            <w:webHidden/>
          </w:rPr>
          <w:instrText xml:space="preserve"> PAGEREF _Toc219539758 \h </w:instrText>
        </w:r>
        <w:r w:rsidR="00E942BD">
          <w:rPr>
            <w:noProof/>
            <w:webHidden/>
          </w:rPr>
        </w:r>
        <w:r w:rsidR="00E942BD">
          <w:rPr>
            <w:noProof/>
            <w:webHidden/>
          </w:rPr>
          <w:fldChar w:fldCharType="separate"/>
        </w:r>
        <w:r w:rsidR="00E942BD">
          <w:rPr>
            <w:noProof/>
            <w:webHidden/>
          </w:rPr>
          <w:t>13</w:t>
        </w:r>
        <w:r w:rsidR="00E942BD">
          <w:rPr>
            <w:noProof/>
            <w:webHidden/>
          </w:rPr>
          <w:fldChar w:fldCharType="end"/>
        </w:r>
      </w:hyperlink>
    </w:p>
    <w:p w14:paraId="4E1CC0FC" w14:textId="46A0C74A"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59" w:history="1">
        <w:r w:rsidR="00E942BD" w:rsidRPr="00255742">
          <w:rPr>
            <w:rStyle w:val="Hyperlink"/>
            <w:noProof/>
          </w:rPr>
          <w:t>Figure 2: Digital Networks Act Problem tree</w:t>
        </w:r>
        <w:r w:rsidR="00E942BD">
          <w:rPr>
            <w:noProof/>
            <w:webHidden/>
          </w:rPr>
          <w:tab/>
        </w:r>
        <w:r w:rsidR="00E942BD">
          <w:rPr>
            <w:noProof/>
            <w:webHidden/>
          </w:rPr>
          <w:fldChar w:fldCharType="begin"/>
        </w:r>
        <w:r w:rsidR="00E942BD">
          <w:rPr>
            <w:noProof/>
            <w:webHidden/>
          </w:rPr>
          <w:instrText xml:space="preserve"> PAGEREF _Toc219539759 \h </w:instrText>
        </w:r>
        <w:r w:rsidR="00E942BD">
          <w:rPr>
            <w:noProof/>
            <w:webHidden/>
          </w:rPr>
        </w:r>
        <w:r w:rsidR="00E942BD">
          <w:rPr>
            <w:noProof/>
            <w:webHidden/>
          </w:rPr>
          <w:fldChar w:fldCharType="separate"/>
        </w:r>
        <w:r w:rsidR="00E942BD">
          <w:rPr>
            <w:noProof/>
            <w:webHidden/>
          </w:rPr>
          <w:t>15</w:t>
        </w:r>
        <w:r w:rsidR="00E942BD">
          <w:rPr>
            <w:noProof/>
            <w:webHidden/>
          </w:rPr>
          <w:fldChar w:fldCharType="end"/>
        </w:r>
      </w:hyperlink>
    </w:p>
    <w:p w14:paraId="40246C99" w14:textId="597CD791"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60" w:history="1">
        <w:r w:rsidR="00E942BD" w:rsidRPr="00255742">
          <w:rPr>
            <w:rStyle w:val="Hyperlink"/>
            <w:noProof/>
          </w:rPr>
          <w:t>Figure 3: FTTP coverage in % of households in EU 27 (2024)</w:t>
        </w:r>
        <w:r w:rsidR="00E942BD">
          <w:rPr>
            <w:noProof/>
            <w:webHidden/>
          </w:rPr>
          <w:tab/>
        </w:r>
        <w:r w:rsidR="00E942BD">
          <w:rPr>
            <w:noProof/>
            <w:webHidden/>
          </w:rPr>
          <w:fldChar w:fldCharType="begin"/>
        </w:r>
        <w:r w:rsidR="00E942BD">
          <w:rPr>
            <w:noProof/>
            <w:webHidden/>
          </w:rPr>
          <w:instrText xml:space="preserve"> PAGEREF _Toc219539760 \h </w:instrText>
        </w:r>
        <w:r w:rsidR="00E942BD">
          <w:rPr>
            <w:noProof/>
            <w:webHidden/>
          </w:rPr>
        </w:r>
        <w:r w:rsidR="00E942BD">
          <w:rPr>
            <w:noProof/>
            <w:webHidden/>
          </w:rPr>
          <w:fldChar w:fldCharType="separate"/>
        </w:r>
        <w:r w:rsidR="00E942BD">
          <w:rPr>
            <w:noProof/>
            <w:webHidden/>
          </w:rPr>
          <w:t>17</w:t>
        </w:r>
        <w:r w:rsidR="00E942BD">
          <w:rPr>
            <w:noProof/>
            <w:webHidden/>
          </w:rPr>
          <w:fldChar w:fldCharType="end"/>
        </w:r>
      </w:hyperlink>
    </w:p>
    <w:p w14:paraId="5066F662" w14:textId="0066C9AA"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61" w:history="1">
        <w:r w:rsidR="00E942BD" w:rsidRPr="00255742">
          <w:rPr>
            <w:rStyle w:val="Hyperlink"/>
            <w:noProof/>
          </w:rPr>
          <w:t>Figure 4: Broadband Penetration differentiated by bandwidth in EU 27 Countries, 2023</w:t>
        </w:r>
        <w:r w:rsidR="00E942BD">
          <w:rPr>
            <w:noProof/>
            <w:webHidden/>
          </w:rPr>
          <w:tab/>
        </w:r>
        <w:r w:rsidR="00E942BD">
          <w:rPr>
            <w:noProof/>
            <w:webHidden/>
          </w:rPr>
          <w:fldChar w:fldCharType="begin"/>
        </w:r>
        <w:r w:rsidR="00E942BD">
          <w:rPr>
            <w:noProof/>
            <w:webHidden/>
          </w:rPr>
          <w:instrText xml:space="preserve"> PAGEREF _Toc219539761 \h </w:instrText>
        </w:r>
        <w:r w:rsidR="00E942BD">
          <w:rPr>
            <w:noProof/>
            <w:webHidden/>
          </w:rPr>
        </w:r>
        <w:r w:rsidR="00E942BD">
          <w:rPr>
            <w:noProof/>
            <w:webHidden/>
          </w:rPr>
          <w:fldChar w:fldCharType="separate"/>
        </w:r>
        <w:r w:rsidR="00E942BD">
          <w:rPr>
            <w:noProof/>
            <w:webHidden/>
          </w:rPr>
          <w:t>18</w:t>
        </w:r>
        <w:r w:rsidR="00E942BD">
          <w:rPr>
            <w:noProof/>
            <w:webHidden/>
          </w:rPr>
          <w:fldChar w:fldCharType="end"/>
        </w:r>
      </w:hyperlink>
    </w:p>
    <w:p w14:paraId="1906EE69" w14:textId="148229CD"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62" w:history="1">
        <w:r w:rsidR="00E942BD" w:rsidRPr="00255742">
          <w:rPr>
            <w:rStyle w:val="Hyperlink"/>
            <w:noProof/>
          </w:rPr>
          <w:t>Figure 5: Enterprises with fixed broadband connection, by speed and size class in the EU (2024)</w:t>
        </w:r>
        <w:r w:rsidR="00E942BD">
          <w:rPr>
            <w:noProof/>
            <w:webHidden/>
          </w:rPr>
          <w:tab/>
        </w:r>
        <w:r w:rsidR="00E942BD">
          <w:rPr>
            <w:noProof/>
            <w:webHidden/>
          </w:rPr>
          <w:fldChar w:fldCharType="begin"/>
        </w:r>
        <w:r w:rsidR="00E942BD">
          <w:rPr>
            <w:noProof/>
            <w:webHidden/>
          </w:rPr>
          <w:instrText xml:space="preserve"> PAGEREF _Toc219539762 \h </w:instrText>
        </w:r>
        <w:r w:rsidR="00E942BD">
          <w:rPr>
            <w:noProof/>
            <w:webHidden/>
          </w:rPr>
        </w:r>
        <w:r w:rsidR="00E942BD">
          <w:rPr>
            <w:noProof/>
            <w:webHidden/>
          </w:rPr>
          <w:fldChar w:fldCharType="separate"/>
        </w:r>
        <w:r w:rsidR="00E942BD">
          <w:rPr>
            <w:noProof/>
            <w:webHidden/>
          </w:rPr>
          <w:t>18</w:t>
        </w:r>
        <w:r w:rsidR="00E942BD">
          <w:rPr>
            <w:noProof/>
            <w:webHidden/>
          </w:rPr>
          <w:fldChar w:fldCharType="end"/>
        </w:r>
      </w:hyperlink>
    </w:p>
    <w:p w14:paraId="39F4FFB2" w14:textId="370C6DB4"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63" w:history="1">
        <w:r w:rsidR="00E942BD" w:rsidRPr="00255742">
          <w:rPr>
            <w:rStyle w:val="Hyperlink"/>
            <w:noProof/>
          </w:rPr>
          <w:t>Figure 6: Share of businesses with Gigabit connection (download speed of at least 1 Gbit/s, 2024)</w:t>
        </w:r>
        <w:r w:rsidR="00E942BD">
          <w:rPr>
            <w:noProof/>
            <w:webHidden/>
          </w:rPr>
          <w:tab/>
        </w:r>
        <w:r w:rsidR="00E942BD">
          <w:rPr>
            <w:noProof/>
            <w:webHidden/>
          </w:rPr>
          <w:fldChar w:fldCharType="begin"/>
        </w:r>
        <w:r w:rsidR="00E942BD">
          <w:rPr>
            <w:noProof/>
            <w:webHidden/>
          </w:rPr>
          <w:instrText xml:space="preserve"> PAGEREF _Toc219539763 \h </w:instrText>
        </w:r>
        <w:r w:rsidR="00E942BD">
          <w:rPr>
            <w:noProof/>
            <w:webHidden/>
          </w:rPr>
        </w:r>
        <w:r w:rsidR="00E942BD">
          <w:rPr>
            <w:noProof/>
            <w:webHidden/>
          </w:rPr>
          <w:fldChar w:fldCharType="separate"/>
        </w:r>
        <w:r w:rsidR="00E942BD">
          <w:rPr>
            <w:noProof/>
            <w:webHidden/>
          </w:rPr>
          <w:t>19</w:t>
        </w:r>
        <w:r w:rsidR="00E942BD">
          <w:rPr>
            <w:noProof/>
            <w:webHidden/>
          </w:rPr>
          <w:fldChar w:fldCharType="end"/>
        </w:r>
      </w:hyperlink>
    </w:p>
    <w:p w14:paraId="0702296F" w14:textId="39C6C860"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64" w:history="1">
        <w:r w:rsidR="00E942BD" w:rsidRPr="00255742">
          <w:rPr>
            <w:rStyle w:val="Hyperlink"/>
            <w:noProof/>
          </w:rPr>
          <w:t>Figure 7: 5G SA coverage, by region, 3Q 2024, Source Analysys Mason, 2024</w:t>
        </w:r>
        <w:r w:rsidR="00E942BD">
          <w:rPr>
            <w:noProof/>
            <w:webHidden/>
          </w:rPr>
          <w:tab/>
        </w:r>
        <w:r w:rsidR="00E942BD">
          <w:rPr>
            <w:noProof/>
            <w:webHidden/>
          </w:rPr>
          <w:fldChar w:fldCharType="begin"/>
        </w:r>
        <w:r w:rsidR="00E942BD">
          <w:rPr>
            <w:noProof/>
            <w:webHidden/>
          </w:rPr>
          <w:instrText xml:space="preserve"> PAGEREF _Toc219539764 \h </w:instrText>
        </w:r>
        <w:r w:rsidR="00E942BD">
          <w:rPr>
            <w:noProof/>
            <w:webHidden/>
          </w:rPr>
        </w:r>
        <w:r w:rsidR="00E942BD">
          <w:rPr>
            <w:noProof/>
            <w:webHidden/>
          </w:rPr>
          <w:fldChar w:fldCharType="separate"/>
        </w:r>
        <w:r w:rsidR="00E942BD">
          <w:rPr>
            <w:noProof/>
            <w:webHidden/>
          </w:rPr>
          <w:t>21</w:t>
        </w:r>
        <w:r w:rsidR="00E942BD">
          <w:rPr>
            <w:noProof/>
            <w:webHidden/>
          </w:rPr>
          <w:fldChar w:fldCharType="end"/>
        </w:r>
      </w:hyperlink>
    </w:p>
    <w:p w14:paraId="78FC2BA9" w14:textId="3BDDA0E0"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65" w:history="1">
        <w:r w:rsidR="00E942BD" w:rsidRPr="00255742">
          <w:rPr>
            <w:rStyle w:val="Hyperlink"/>
            <w:noProof/>
          </w:rPr>
          <w:t>Figure 8: Broadband Internet, D2D and IoT satellite constellations in terms of total number of launched and planned country/region</w:t>
        </w:r>
        <w:r w:rsidR="00E942BD">
          <w:rPr>
            <w:noProof/>
            <w:webHidden/>
          </w:rPr>
          <w:tab/>
        </w:r>
        <w:r w:rsidR="00E942BD">
          <w:rPr>
            <w:noProof/>
            <w:webHidden/>
          </w:rPr>
          <w:fldChar w:fldCharType="begin"/>
        </w:r>
        <w:r w:rsidR="00E942BD">
          <w:rPr>
            <w:noProof/>
            <w:webHidden/>
          </w:rPr>
          <w:instrText xml:space="preserve"> PAGEREF _Toc219539765 \h </w:instrText>
        </w:r>
        <w:r w:rsidR="00E942BD">
          <w:rPr>
            <w:noProof/>
            <w:webHidden/>
          </w:rPr>
        </w:r>
        <w:r w:rsidR="00E942BD">
          <w:rPr>
            <w:noProof/>
            <w:webHidden/>
          </w:rPr>
          <w:fldChar w:fldCharType="separate"/>
        </w:r>
        <w:r w:rsidR="00E942BD">
          <w:rPr>
            <w:noProof/>
            <w:webHidden/>
          </w:rPr>
          <w:t>28</w:t>
        </w:r>
        <w:r w:rsidR="00E942BD">
          <w:rPr>
            <w:noProof/>
            <w:webHidden/>
          </w:rPr>
          <w:fldChar w:fldCharType="end"/>
        </w:r>
      </w:hyperlink>
    </w:p>
    <w:p w14:paraId="7D23F644" w14:textId="676EABA4"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66" w:history="1">
        <w:r w:rsidR="00E942BD" w:rsidRPr="00255742">
          <w:rPr>
            <w:rStyle w:val="Hyperlink"/>
            <w:noProof/>
          </w:rPr>
          <w:t>Figure 9: FTTP and FTTC coverage per Member State</w:t>
        </w:r>
        <w:r w:rsidR="00E942BD">
          <w:rPr>
            <w:noProof/>
            <w:webHidden/>
          </w:rPr>
          <w:tab/>
        </w:r>
        <w:r w:rsidR="00E942BD">
          <w:rPr>
            <w:noProof/>
            <w:webHidden/>
          </w:rPr>
          <w:fldChar w:fldCharType="begin"/>
        </w:r>
        <w:r w:rsidR="00E942BD">
          <w:rPr>
            <w:noProof/>
            <w:webHidden/>
          </w:rPr>
          <w:instrText xml:space="preserve"> PAGEREF _Toc219539766 \h </w:instrText>
        </w:r>
        <w:r w:rsidR="00E942BD">
          <w:rPr>
            <w:noProof/>
            <w:webHidden/>
          </w:rPr>
        </w:r>
        <w:r w:rsidR="00E942BD">
          <w:rPr>
            <w:noProof/>
            <w:webHidden/>
          </w:rPr>
          <w:fldChar w:fldCharType="separate"/>
        </w:r>
        <w:r w:rsidR="00E942BD">
          <w:rPr>
            <w:noProof/>
            <w:webHidden/>
          </w:rPr>
          <w:t>38</w:t>
        </w:r>
        <w:r w:rsidR="00E942BD">
          <w:rPr>
            <w:noProof/>
            <w:webHidden/>
          </w:rPr>
          <w:fldChar w:fldCharType="end"/>
        </w:r>
      </w:hyperlink>
    </w:p>
    <w:p w14:paraId="67AB82EA" w14:textId="519F12D1"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67" w:history="1">
        <w:r w:rsidR="00E942BD" w:rsidRPr="00255742">
          <w:rPr>
            <w:rStyle w:val="Hyperlink"/>
            <w:noProof/>
          </w:rPr>
          <w:t>Figure 10: Consumer Prices, Mid-Band Coverage and Quality of Service across EU Member States</w:t>
        </w:r>
        <w:r w:rsidR="00E942BD">
          <w:rPr>
            <w:noProof/>
            <w:webHidden/>
          </w:rPr>
          <w:tab/>
        </w:r>
        <w:r w:rsidR="00E942BD">
          <w:rPr>
            <w:noProof/>
            <w:webHidden/>
          </w:rPr>
          <w:fldChar w:fldCharType="begin"/>
        </w:r>
        <w:r w:rsidR="00E942BD">
          <w:rPr>
            <w:noProof/>
            <w:webHidden/>
          </w:rPr>
          <w:instrText xml:space="preserve"> PAGEREF _Toc219539767 \h </w:instrText>
        </w:r>
        <w:r w:rsidR="00E942BD">
          <w:rPr>
            <w:noProof/>
            <w:webHidden/>
          </w:rPr>
        </w:r>
        <w:r w:rsidR="00E942BD">
          <w:rPr>
            <w:noProof/>
            <w:webHidden/>
          </w:rPr>
          <w:fldChar w:fldCharType="separate"/>
        </w:r>
        <w:r w:rsidR="00E942BD">
          <w:rPr>
            <w:noProof/>
            <w:webHidden/>
          </w:rPr>
          <w:t>41</w:t>
        </w:r>
        <w:r w:rsidR="00E942BD">
          <w:rPr>
            <w:noProof/>
            <w:webHidden/>
          </w:rPr>
          <w:fldChar w:fldCharType="end"/>
        </w:r>
      </w:hyperlink>
    </w:p>
    <w:p w14:paraId="39CA40B9" w14:textId="0D1EAD53"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68" w:history="1">
        <w:r w:rsidR="00E942BD" w:rsidRPr="00255742">
          <w:rPr>
            <w:rStyle w:val="Hyperlink"/>
            <w:noProof/>
          </w:rPr>
          <w:t>Figure 11: Overall mid-band performance and Consumer Prices in Relation to Mid-Band Coverage &amp; Quality of Service</w:t>
        </w:r>
        <w:r w:rsidR="00E942BD">
          <w:rPr>
            <w:noProof/>
            <w:webHidden/>
          </w:rPr>
          <w:tab/>
        </w:r>
        <w:r w:rsidR="00E942BD">
          <w:rPr>
            <w:noProof/>
            <w:webHidden/>
          </w:rPr>
          <w:fldChar w:fldCharType="begin"/>
        </w:r>
        <w:r w:rsidR="00E942BD">
          <w:rPr>
            <w:noProof/>
            <w:webHidden/>
          </w:rPr>
          <w:instrText xml:space="preserve"> PAGEREF _Toc219539768 \h </w:instrText>
        </w:r>
        <w:r w:rsidR="00E942BD">
          <w:rPr>
            <w:noProof/>
            <w:webHidden/>
          </w:rPr>
        </w:r>
        <w:r w:rsidR="00E942BD">
          <w:rPr>
            <w:noProof/>
            <w:webHidden/>
          </w:rPr>
          <w:fldChar w:fldCharType="separate"/>
        </w:r>
        <w:r w:rsidR="00E942BD">
          <w:rPr>
            <w:noProof/>
            <w:webHidden/>
          </w:rPr>
          <w:t>42</w:t>
        </w:r>
        <w:r w:rsidR="00E942BD">
          <w:rPr>
            <w:noProof/>
            <w:webHidden/>
          </w:rPr>
          <w:fldChar w:fldCharType="end"/>
        </w:r>
      </w:hyperlink>
    </w:p>
    <w:p w14:paraId="1F21BA66" w14:textId="66832CF3"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69" w:history="1">
        <w:r w:rsidR="00E942BD" w:rsidRPr="00255742">
          <w:rPr>
            <w:rStyle w:val="Hyperlink"/>
            <w:noProof/>
          </w:rPr>
          <w:t>Figure 12 Regulatory Design and Market Outcomes in the 3.6 GHz and 700 MHz Bands</w:t>
        </w:r>
        <w:r w:rsidR="00E942BD">
          <w:rPr>
            <w:noProof/>
            <w:webHidden/>
          </w:rPr>
          <w:tab/>
        </w:r>
        <w:r w:rsidR="00E942BD">
          <w:rPr>
            <w:noProof/>
            <w:webHidden/>
          </w:rPr>
          <w:fldChar w:fldCharType="begin"/>
        </w:r>
        <w:r w:rsidR="00E942BD">
          <w:rPr>
            <w:noProof/>
            <w:webHidden/>
          </w:rPr>
          <w:instrText xml:space="preserve"> PAGEREF _Toc219539769 \h </w:instrText>
        </w:r>
        <w:r w:rsidR="00E942BD">
          <w:rPr>
            <w:noProof/>
            <w:webHidden/>
          </w:rPr>
        </w:r>
        <w:r w:rsidR="00E942BD">
          <w:rPr>
            <w:noProof/>
            <w:webHidden/>
          </w:rPr>
          <w:fldChar w:fldCharType="separate"/>
        </w:r>
        <w:r w:rsidR="00E942BD">
          <w:rPr>
            <w:noProof/>
            <w:webHidden/>
          </w:rPr>
          <w:t>43</w:t>
        </w:r>
        <w:r w:rsidR="00E942BD">
          <w:rPr>
            <w:noProof/>
            <w:webHidden/>
          </w:rPr>
          <w:fldChar w:fldCharType="end"/>
        </w:r>
      </w:hyperlink>
    </w:p>
    <w:p w14:paraId="6BF88F94" w14:textId="4BA668AA"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70" w:history="1">
        <w:r w:rsidR="00E942BD" w:rsidRPr="00255742">
          <w:rPr>
            <w:rStyle w:val="Hyperlink"/>
            <w:noProof/>
          </w:rPr>
          <w:t>Figure 13 International ARPU trends</w:t>
        </w:r>
        <w:r w:rsidR="00E942BD">
          <w:rPr>
            <w:noProof/>
            <w:webHidden/>
          </w:rPr>
          <w:tab/>
        </w:r>
        <w:r w:rsidR="00E942BD">
          <w:rPr>
            <w:noProof/>
            <w:webHidden/>
          </w:rPr>
          <w:fldChar w:fldCharType="begin"/>
        </w:r>
        <w:r w:rsidR="00E942BD">
          <w:rPr>
            <w:noProof/>
            <w:webHidden/>
          </w:rPr>
          <w:instrText xml:space="preserve"> PAGEREF _Toc219539770 \h </w:instrText>
        </w:r>
        <w:r w:rsidR="00E942BD">
          <w:rPr>
            <w:noProof/>
            <w:webHidden/>
          </w:rPr>
        </w:r>
        <w:r w:rsidR="00E942BD">
          <w:rPr>
            <w:noProof/>
            <w:webHidden/>
          </w:rPr>
          <w:fldChar w:fldCharType="separate"/>
        </w:r>
        <w:r w:rsidR="00E942BD">
          <w:rPr>
            <w:noProof/>
            <w:webHidden/>
          </w:rPr>
          <w:t>46</w:t>
        </w:r>
        <w:r w:rsidR="00E942BD">
          <w:rPr>
            <w:noProof/>
            <w:webHidden/>
          </w:rPr>
          <w:fldChar w:fldCharType="end"/>
        </w:r>
      </w:hyperlink>
    </w:p>
    <w:p w14:paraId="39A90745" w14:textId="294DE723"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71" w:history="1">
        <w:r w:rsidR="00E942BD" w:rsidRPr="00255742">
          <w:rPr>
            <w:rStyle w:val="Hyperlink"/>
            <w:noProof/>
          </w:rPr>
          <w:t>Figure 14: Bandwidth demand of EU27 in 2035 in the absence of constraints</w:t>
        </w:r>
        <w:r w:rsidR="00E942BD">
          <w:rPr>
            <w:noProof/>
            <w:webHidden/>
          </w:rPr>
          <w:tab/>
        </w:r>
        <w:r w:rsidR="00E942BD">
          <w:rPr>
            <w:noProof/>
            <w:webHidden/>
          </w:rPr>
          <w:fldChar w:fldCharType="begin"/>
        </w:r>
        <w:r w:rsidR="00E942BD">
          <w:rPr>
            <w:noProof/>
            <w:webHidden/>
          </w:rPr>
          <w:instrText xml:space="preserve"> PAGEREF _Toc219539771 \h </w:instrText>
        </w:r>
        <w:r w:rsidR="00E942BD">
          <w:rPr>
            <w:noProof/>
            <w:webHidden/>
          </w:rPr>
        </w:r>
        <w:r w:rsidR="00E942BD">
          <w:rPr>
            <w:noProof/>
            <w:webHidden/>
          </w:rPr>
          <w:fldChar w:fldCharType="separate"/>
        </w:r>
        <w:r w:rsidR="00E942BD">
          <w:rPr>
            <w:noProof/>
            <w:webHidden/>
          </w:rPr>
          <w:t>57</w:t>
        </w:r>
        <w:r w:rsidR="00E942BD">
          <w:rPr>
            <w:noProof/>
            <w:webHidden/>
          </w:rPr>
          <w:fldChar w:fldCharType="end"/>
        </w:r>
      </w:hyperlink>
    </w:p>
    <w:p w14:paraId="2488A820" w14:textId="03509B3D"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72" w:history="1">
        <w:r w:rsidR="00E942BD" w:rsidRPr="00255742">
          <w:rPr>
            <w:rStyle w:val="Hyperlink"/>
            <w:noProof/>
          </w:rPr>
          <w:t>Figure 15: Digital Networks Act high level intervention logic</w:t>
        </w:r>
        <w:r w:rsidR="00E942BD">
          <w:rPr>
            <w:noProof/>
            <w:webHidden/>
          </w:rPr>
          <w:tab/>
        </w:r>
        <w:r w:rsidR="00E942BD">
          <w:rPr>
            <w:noProof/>
            <w:webHidden/>
          </w:rPr>
          <w:fldChar w:fldCharType="begin"/>
        </w:r>
        <w:r w:rsidR="00E942BD">
          <w:rPr>
            <w:noProof/>
            <w:webHidden/>
          </w:rPr>
          <w:instrText xml:space="preserve"> PAGEREF _Toc219539772 \h </w:instrText>
        </w:r>
        <w:r w:rsidR="00E942BD">
          <w:rPr>
            <w:noProof/>
            <w:webHidden/>
          </w:rPr>
        </w:r>
        <w:r w:rsidR="00E942BD">
          <w:rPr>
            <w:noProof/>
            <w:webHidden/>
          </w:rPr>
          <w:fldChar w:fldCharType="separate"/>
        </w:r>
        <w:r w:rsidR="00E942BD">
          <w:rPr>
            <w:noProof/>
            <w:webHidden/>
          </w:rPr>
          <w:t>63</w:t>
        </w:r>
        <w:r w:rsidR="00E942BD">
          <w:rPr>
            <w:noProof/>
            <w:webHidden/>
          </w:rPr>
          <w:fldChar w:fldCharType="end"/>
        </w:r>
      </w:hyperlink>
    </w:p>
    <w:p w14:paraId="29A6A719" w14:textId="20561C80"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73" w:history="1">
        <w:r w:rsidR="00E942BD" w:rsidRPr="00255742">
          <w:rPr>
            <w:rStyle w:val="Hyperlink"/>
            <w:noProof/>
          </w:rPr>
          <w:t>Figure 16: EU VHCN and FTTH coverage (% households), Actual data to 2024 and Forecasts</w:t>
        </w:r>
        <w:r w:rsidR="00E942BD">
          <w:rPr>
            <w:noProof/>
            <w:webHidden/>
          </w:rPr>
          <w:tab/>
        </w:r>
        <w:r w:rsidR="00E942BD">
          <w:rPr>
            <w:noProof/>
            <w:webHidden/>
          </w:rPr>
          <w:fldChar w:fldCharType="begin"/>
        </w:r>
        <w:r w:rsidR="00E942BD">
          <w:rPr>
            <w:noProof/>
            <w:webHidden/>
          </w:rPr>
          <w:instrText xml:space="preserve"> PAGEREF _Toc219539773 \h </w:instrText>
        </w:r>
        <w:r w:rsidR="00E942BD">
          <w:rPr>
            <w:noProof/>
            <w:webHidden/>
          </w:rPr>
        </w:r>
        <w:r w:rsidR="00E942BD">
          <w:rPr>
            <w:noProof/>
            <w:webHidden/>
          </w:rPr>
          <w:fldChar w:fldCharType="separate"/>
        </w:r>
        <w:r w:rsidR="00E942BD">
          <w:rPr>
            <w:noProof/>
            <w:webHidden/>
          </w:rPr>
          <w:t>67</w:t>
        </w:r>
        <w:r w:rsidR="00E942BD">
          <w:rPr>
            <w:noProof/>
            <w:webHidden/>
          </w:rPr>
          <w:fldChar w:fldCharType="end"/>
        </w:r>
      </w:hyperlink>
    </w:p>
    <w:p w14:paraId="79652AE4" w14:textId="6B561A73"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74" w:history="1">
        <w:r w:rsidR="00E942BD" w:rsidRPr="00255742">
          <w:rPr>
            <w:rStyle w:val="Hyperlink"/>
            <w:noProof/>
          </w:rPr>
          <w:t>Figure 17: Estimated FTTH coverage (excl. FTTB) in Austria, Belgium, Czechia, Germany and Greece in 2035 under the status quo (in % of HH)</w:t>
        </w:r>
        <w:r w:rsidR="00E942BD">
          <w:rPr>
            <w:noProof/>
            <w:webHidden/>
          </w:rPr>
          <w:tab/>
        </w:r>
        <w:r w:rsidR="00E942BD">
          <w:rPr>
            <w:noProof/>
            <w:webHidden/>
          </w:rPr>
          <w:fldChar w:fldCharType="begin"/>
        </w:r>
        <w:r w:rsidR="00E942BD">
          <w:rPr>
            <w:noProof/>
            <w:webHidden/>
          </w:rPr>
          <w:instrText xml:space="preserve"> PAGEREF _Toc219539774 \h </w:instrText>
        </w:r>
        <w:r w:rsidR="00E942BD">
          <w:rPr>
            <w:noProof/>
            <w:webHidden/>
          </w:rPr>
        </w:r>
        <w:r w:rsidR="00E942BD">
          <w:rPr>
            <w:noProof/>
            <w:webHidden/>
          </w:rPr>
          <w:fldChar w:fldCharType="separate"/>
        </w:r>
        <w:r w:rsidR="00E942BD">
          <w:rPr>
            <w:noProof/>
            <w:webHidden/>
          </w:rPr>
          <w:t>67</w:t>
        </w:r>
        <w:r w:rsidR="00E942BD">
          <w:rPr>
            <w:noProof/>
            <w:webHidden/>
          </w:rPr>
          <w:fldChar w:fldCharType="end"/>
        </w:r>
      </w:hyperlink>
    </w:p>
    <w:p w14:paraId="392B719A" w14:textId="71A49408"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75" w:history="1">
        <w:r w:rsidR="00E942BD" w:rsidRPr="00255742">
          <w:rPr>
            <w:rStyle w:val="Hyperlink"/>
            <w:noProof/>
          </w:rPr>
          <w:t>Figure 18: Projected EU technology mix to 2035: status quo (in % of broadband subscriptions)</w:t>
        </w:r>
        <w:r w:rsidR="00E942BD">
          <w:rPr>
            <w:noProof/>
            <w:webHidden/>
          </w:rPr>
          <w:tab/>
        </w:r>
        <w:r w:rsidR="00E942BD">
          <w:rPr>
            <w:noProof/>
            <w:webHidden/>
          </w:rPr>
          <w:fldChar w:fldCharType="begin"/>
        </w:r>
        <w:r w:rsidR="00E942BD">
          <w:rPr>
            <w:noProof/>
            <w:webHidden/>
          </w:rPr>
          <w:instrText xml:space="preserve"> PAGEREF _Toc219539775 \h </w:instrText>
        </w:r>
        <w:r w:rsidR="00E942BD">
          <w:rPr>
            <w:noProof/>
            <w:webHidden/>
          </w:rPr>
        </w:r>
        <w:r w:rsidR="00E942BD">
          <w:rPr>
            <w:noProof/>
            <w:webHidden/>
          </w:rPr>
          <w:fldChar w:fldCharType="separate"/>
        </w:r>
        <w:r w:rsidR="00E942BD">
          <w:rPr>
            <w:noProof/>
            <w:webHidden/>
          </w:rPr>
          <w:t>68</w:t>
        </w:r>
        <w:r w:rsidR="00E942BD">
          <w:rPr>
            <w:noProof/>
            <w:webHidden/>
          </w:rPr>
          <w:fldChar w:fldCharType="end"/>
        </w:r>
      </w:hyperlink>
    </w:p>
    <w:p w14:paraId="52B1F5B0" w14:textId="50667882"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76" w:history="1">
        <w:r w:rsidR="00E942BD" w:rsidRPr="00255742">
          <w:rPr>
            <w:rStyle w:val="Hyperlink"/>
            <w:noProof/>
          </w:rPr>
          <w:t>Figure 19: Potential for removal by article: stakeholder perspectives</w:t>
        </w:r>
        <w:r w:rsidR="00E942BD">
          <w:rPr>
            <w:noProof/>
            <w:webHidden/>
          </w:rPr>
          <w:tab/>
        </w:r>
        <w:r w:rsidR="00E942BD">
          <w:rPr>
            <w:noProof/>
            <w:webHidden/>
          </w:rPr>
          <w:fldChar w:fldCharType="begin"/>
        </w:r>
        <w:r w:rsidR="00E942BD">
          <w:rPr>
            <w:noProof/>
            <w:webHidden/>
          </w:rPr>
          <w:instrText xml:space="preserve"> PAGEREF _Toc219539776 \h </w:instrText>
        </w:r>
        <w:r w:rsidR="00E942BD">
          <w:rPr>
            <w:noProof/>
            <w:webHidden/>
          </w:rPr>
        </w:r>
        <w:r w:rsidR="00E942BD">
          <w:rPr>
            <w:noProof/>
            <w:webHidden/>
          </w:rPr>
          <w:fldChar w:fldCharType="separate"/>
        </w:r>
        <w:r w:rsidR="00E942BD">
          <w:rPr>
            <w:noProof/>
            <w:webHidden/>
          </w:rPr>
          <w:t>154</w:t>
        </w:r>
        <w:r w:rsidR="00E942BD">
          <w:rPr>
            <w:noProof/>
            <w:webHidden/>
          </w:rPr>
          <w:fldChar w:fldCharType="end"/>
        </w:r>
      </w:hyperlink>
    </w:p>
    <w:p w14:paraId="102B4B7D" w14:textId="6340ED18" w:rsidR="00E942BD" w:rsidRDefault="004329F8">
      <w:pPr>
        <w:pStyle w:val="TableofFigures"/>
        <w:tabs>
          <w:tab w:val="right" w:leader="dot" w:pos="9060"/>
        </w:tabs>
        <w:rPr>
          <w:rFonts w:asciiTheme="minorHAnsi" w:eastAsiaTheme="minorEastAsia" w:hAnsiTheme="minorHAnsi" w:cstheme="minorBidi"/>
          <w:noProof/>
          <w:kern w:val="2"/>
          <w:lang w:val="fr-BE" w:eastAsia="fr-BE"/>
          <w14:ligatures w14:val="standardContextual"/>
        </w:rPr>
      </w:pPr>
      <w:hyperlink w:anchor="_Toc219539777" w:history="1">
        <w:r w:rsidR="00E942BD" w:rsidRPr="00255742">
          <w:rPr>
            <w:rStyle w:val="Hyperlink"/>
            <w:noProof/>
          </w:rPr>
          <w:t>Figure 20 : Potential for removal by article: perspective of telecom providers</w:t>
        </w:r>
        <w:r w:rsidR="00E942BD">
          <w:rPr>
            <w:noProof/>
            <w:webHidden/>
          </w:rPr>
          <w:tab/>
        </w:r>
        <w:r w:rsidR="00E942BD">
          <w:rPr>
            <w:noProof/>
            <w:webHidden/>
          </w:rPr>
          <w:fldChar w:fldCharType="begin"/>
        </w:r>
        <w:r w:rsidR="00E942BD">
          <w:rPr>
            <w:noProof/>
            <w:webHidden/>
          </w:rPr>
          <w:instrText xml:space="preserve"> PAGEREF _Toc219539777 \h </w:instrText>
        </w:r>
        <w:r w:rsidR="00E942BD">
          <w:rPr>
            <w:noProof/>
            <w:webHidden/>
          </w:rPr>
        </w:r>
        <w:r w:rsidR="00E942BD">
          <w:rPr>
            <w:noProof/>
            <w:webHidden/>
          </w:rPr>
          <w:fldChar w:fldCharType="separate"/>
        </w:r>
        <w:r w:rsidR="00E942BD">
          <w:rPr>
            <w:noProof/>
            <w:webHidden/>
          </w:rPr>
          <w:t>154</w:t>
        </w:r>
        <w:r w:rsidR="00E942BD">
          <w:rPr>
            <w:noProof/>
            <w:webHidden/>
          </w:rPr>
          <w:fldChar w:fldCharType="end"/>
        </w:r>
      </w:hyperlink>
    </w:p>
    <w:p w14:paraId="22AF79F9" w14:textId="7935B9CC" w:rsidR="00185CCA" w:rsidRPr="00185CCA" w:rsidRDefault="00A363FF" w:rsidP="00185CCA">
      <w:pPr>
        <w:rPr>
          <w:noProof/>
        </w:rPr>
      </w:pPr>
      <w:r>
        <w:rPr>
          <w:noProof/>
        </w:rPr>
        <w:fldChar w:fldCharType="end"/>
      </w:r>
    </w:p>
    <w:p w14:paraId="5F2580B0" w14:textId="77777777" w:rsidR="002D668E" w:rsidRDefault="002D668E" w:rsidP="00236E38">
      <w:pPr>
        <w:spacing w:after="200"/>
        <w:jc w:val="left"/>
        <w:rPr>
          <w:noProof/>
        </w:rPr>
      </w:pPr>
      <w:r>
        <w:rPr>
          <w:noProof/>
        </w:rPr>
        <w:br w:type="page"/>
      </w:r>
    </w:p>
    <w:p w14:paraId="6F8771C2" w14:textId="77777777" w:rsidR="006B087E" w:rsidRPr="00DE264C" w:rsidRDefault="006B087E" w:rsidP="00FB6BF3">
      <w:pPr>
        <w:tabs>
          <w:tab w:val="left" w:pos="9072"/>
        </w:tabs>
        <w:rPr>
          <w:b/>
          <w:bCs/>
          <w:noProof/>
        </w:rPr>
      </w:pPr>
      <w:r w:rsidRPr="00DE264C">
        <w:rPr>
          <w:b/>
          <w:bCs/>
          <w:noProof/>
        </w:rPr>
        <w:t>Glossary</w:t>
      </w:r>
    </w:p>
    <w:tbl>
      <w:tblPr>
        <w:tblStyle w:val="TableGrid"/>
        <w:tblW w:w="0" w:type="auto"/>
        <w:tblInd w:w="-108" w:type="dxa"/>
        <w:tblLook w:val="04A0" w:firstRow="1" w:lastRow="0" w:firstColumn="1" w:lastColumn="0" w:noHBand="0" w:noVBand="1"/>
      </w:tblPr>
      <w:tblGrid>
        <w:gridCol w:w="3152"/>
        <w:gridCol w:w="6026"/>
      </w:tblGrid>
      <w:tr w:rsidR="005C6769" w:rsidRPr="00DE264C" w14:paraId="22BF0E77" w14:textId="77777777" w:rsidTr="00F17DC9">
        <w:trPr>
          <w:tblHeader/>
        </w:trPr>
        <w:tc>
          <w:tcPr>
            <w:tcW w:w="3227" w:type="dxa"/>
            <w:tcBorders>
              <w:bottom w:val="double" w:sz="4" w:space="0" w:color="auto"/>
            </w:tcBorders>
            <w:shd w:val="clear" w:color="auto" w:fill="F2F2F2" w:themeFill="background1" w:themeFillShade="F2"/>
            <w:vAlign w:val="center"/>
          </w:tcPr>
          <w:p w14:paraId="3A241B69" w14:textId="77777777" w:rsidR="006B087E" w:rsidRPr="00DE264C" w:rsidRDefault="006B087E" w:rsidP="00452335">
            <w:pPr>
              <w:spacing w:after="0"/>
              <w:jc w:val="left"/>
              <w:rPr>
                <w:noProof/>
              </w:rPr>
            </w:pPr>
            <w:r w:rsidRPr="00DE264C">
              <w:rPr>
                <w:noProof/>
              </w:rPr>
              <w:t>Term or acronym</w:t>
            </w:r>
          </w:p>
        </w:tc>
        <w:tc>
          <w:tcPr>
            <w:tcW w:w="6378" w:type="dxa"/>
            <w:tcBorders>
              <w:bottom w:val="double" w:sz="4" w:space="0" w:color="auto"/>
            </w:tcBorders>
            <w:shd w:val="clear" w:color="auto" w:fill="F2F2F2" w:themeFill="background1" w:themeFillShade="F2"/>
            <w:vAlign w:val="center"/>
          </w:tcPr>
          <w:p w14:paraId="163C4F68" w14:textId="77777777" w:rsidR="006B087E" w:rsidRPr="00DE264C" w:rsidRDefault="006B087E" w:rsidP="00452335">
            <w:pPr>
              <w:spacing w:after="0"/>
              <w:jc w:val="left"/>
              <w:rPr>
                <w:noProof/>
              </w:rPr>
            </w:pPr>
            <w:r w:rsidRPr="00DE264C">
              <w:rPr>
                <w:noProof/>
              </w:rPr>
              <w:t>Meaning or definition</w:t>
            </w:r>
          </w:p>
        </w:tc>
      </w:tr>
      <w:tr w:rsidR="00FD5F7F" w:rsidRPr="00DE264C" w14:paraId="0BF4054D" w14:textId="77777777" w:rsidTr="00F17DC9">
        <w:tc>
          <w:tcPr>
            <w:tcW w:w="3227" w:type="dxa"/>
            <w:tcBorders>
              <w:top w:val="double" w:sz="4" w:space="0" w:color="auto"/>
            </w:tcBorders>
            <w:tcMar>
              <w:top w:w="85" w:type="dxa"/>
              <w:left w:w="57" w:type="dxa"/>
              <w:bottom w:w="85" w:type="dxa"/>
              <w:right w:w="57" w:type="dxa"/>
            </w:tcMar>
          </w:tcPr>
          <w:p w14:paraId="25DA24E3" w14:textId="6BC7814D" w:rsidR="004E5EEE" w:rsidRPr="00292895" w:rsidRDefault="00367CCC" w:rsidP="00F17DC9">
            <w:pPr>
              <w:spacing w:after="0"/>
              <w:jc w:val="left"/>
              <w:rPr>
                <w:noProof/>
              </w:rPr>
            </w:pPr>
            <w:r w:rsidRPr="00DE264C">
              <w:rPr>
                <w:noProof/>
                <w:color w:val="000000" w:themeColor="text1"/>
              </w:rPr>
              <w:t xml:space="preserve">Advanced high capacity </w:t>
            </w:r>
            <w:r w:rsidR="00F17DC9" w:rsidRPr="00D201DA">
              <w:rPr>
                <w:noProof/>
                <w:color w:val="000000" w:themeColor="text1"/>
              </w:rPr>
              <w:br/>
            </w:r>
            <w:r w:rsidRPr="00DE264C">
              <w:rPr>
                <w:noProof/>
                <w:color w:val="000000" w:themeColor="text1"/>
              </w:rPr>
              <w:t>5G networks</w:t>
            </w:r>
          </w:p>
        </w:tc>
        <w:tc>
          <w:tcPr>
            <w:tcW w:w="6378" w:type="dxa"/>
            <w:tcBorders>
              <w:top w:val="double" w:sz="4" w:space="0" w:color="auto"/>
            </w:tcBorders>
            <w:tcMar>
              <w:top w:w="85" w:type="dxa"/>
              <w:left w:w="57" w:type="dxa"/>
              <w:bottom w:w="85" w:type="dxa"/>
              <w:right w:w="57" w:type="dxa"/>
            </w:tcMar>
          </w:tcPr>
          <w:p w14:paraId="3CC5D11C" w14:textId="2562583E" w:rsidR="00367CCC" w:rsidRPr="00DE264C" w:rsidRDefault="00B16289" w:rsidP="00452335">
            <w:pPr>
              <w:spacing w:after="0"/>
              <w:rPr>
                <w:noProof/>
              </w:rPr>
            </w:pPr>
            <w:r w:rsidRPr="00DE264C">
              <w:rPr>
                <w:noProof/>
              </w:rPr>
              <w:t>Term which includes 5G stand-alone networks</w:t>
            </w:r>
            <w:r w:rsidR="00DE5486" w:rsidRPr="00DE264C">
              <w:rPr>
                <w:noProof/>
              </w:rPr>
              <w:t>, with significant densification and</w:t>
            </w:r>
            <w:r w:rsidRPr="00DE264C">
              <w:rPr>
                <w:noProof/>
              </w:rPr>
              <w:t xml:space="preserve"> using mid</w:t>
            </w:r>
            <w:r w:rsidR="00C87526" w:rsidRPr="00DE264C">
              <w:rPr>
                <w:noProof/>
              </w:rPr>
              <w:t>-band spectrum</w:t>
            </w:r>
            <w:r w:rsidR="00CF3F64" w:rsidRPr="00DE264C">
              <w:rPr>
                <w:noProof/>
              </w:rPr>
              <w:t xml:space="preserve"> and advanced </w:t>
            </w:r>
            <w:r w:rsidR="0077308C" w:rsidRPr="00DE264C">
              <w:rPr>
                <w:noProof/>
              </w:rPr>
              <w:t>network management</w:t>
            </w:r>
            <w:r w:rsidR="00592DCF" w:rsidRPr="00DE264C">
              <w:rPr>
                <w:noProof/>
              </w:rPr>
              <w:t xml:space="preserve"> technologies</w:t>
            </w:r>
            <w:r w:rsidR="00EB185F" w:rsidRPr="00DE264C">
              <w:rPr>
                <w:noProof/>
              </w:rPr>
              <w:t>.</w:t>
            </w:r>
          </w:p>
        </w:tc>
      </w:tr>
      <w:tr w:rsidR="00581A7B" w:rsidRPr="00DE264C" w14:paraId="4C1F3AF8" w14:textId="77777777" w:rsidTr="00F17DC9">
        <w:tc>
          <w:tcPr>
            <w:tcW w:w="3227" w:type="dxa"/>
            <w:tcBorders>
              <w:top w:val="double" w:sz="4" w:space="0" w:color="auto"/>
            </w:tcBorders>
            <w:tcMar>
              <w:top w:w="85" w:type="dxa"/>
              <w:left w:w="57" w:type="dxa"/>
              <w:bottom w:w="85" w:type="dxa"/>
              <w:right w:w="57" w:type="dxa"/>
            </w:tcMar>
          </w:tcPr>
          <w:p w14:paraId="0BF35544" w14:textId="2762FB46" w:rsidR="00581A7B" w:rsidRPr="00DE264C" w:rsidRDefault="00581A7B" w:rsidP="00452335">
            <w:pPr>
              <w:spacing w:after="0"/>
              <w:rPr>
                <w:noProof/>
                <w:color w:val="000000" w:themeColor="text1"/>
              </w:rPr>
            </w:pPr>
            <w:r w:rsidRPr="00DE264C">
              <w:rPr>
                <w:noProof/>
                <w:color w:val="000000" w:themeColor="text1"/>
              </w:rPr>
              <w:t>Alternative operators (ANOs)</w:t>
            </w:r>
          </w:p>
        </w:tc>
        <w:tc>
          <w:tcPr>
            <w:tcW w:w="6378" w:type="dxa"/>
            <w:tcBorders>
              <w:top w:val="double" w:sz="4" w:space="0" w:color="auto"/>
            </w:tcBorders>
            <w:tcMar>
              <w:top w:w="85" w:type="dxa"/>
              <w:left w:w="57" w:type="dxa"/>
              <w:bottom w:w="85" w:type="dxa"/>
              <w:right w:w="57" w:type="dxa"/>
            </w:tcMar>
          </w:tcPr>
          <w:p w14:paraId="111ACC60" w14:textId="68160369" w:rsidR="00581A7B" w:rsidRPr="00DE264C" w:rsidRDefault="00A0264C" w:rsidP="00452335">
            <w:pPr>
              <w:spacing w:after="0"/>
              <w:rPr>
                <w:noProof/>
              </w:rPr>
            </w:pPr>
            <w:r w:rsidRPr="00DE264C">
              <w:rPr>
                <w:noProof/>
              </w:rPr>
              <w:t>Term defining operators other than the traditional ex-monopolist operator, referred to as the incumbent operator</w:t>
            </w:r>
          </w:p>
        </w:tc>
      </w:tr>
      <w:tr w:rsidR="00CC2180" w:rsidRPr="00DE264C" w14:paraId="508FB114" w14:textId="77777777" w:rsidTr="00F17DC9">
        <w:tc>
          <w:tcPr>
            <w:tcW w:w="3227" w:type="dxa"/>
            <w:tcBorders>
              <w:top w:val="double" w:sz="4" w:space="0" w:color="auto"/>
            </w:tcBorders>
            <w:tcMar>
              <w:top w:w="85" w:type="dxa"/>
              <w:left w:w="57" w:type="dxa"/>
              <w:bottom w:w="85" w:type="dxa"/>
              <w:right w:w="57" w:type="dxa"/>
            </w:tcMar>
          </w:tcPr>
          <w:p w14:paraId="0429B2B8" w14:textId="613E1EEB" w:rsidR="00CC2180" w:rsidRPr="00DE264C" w:rsidRDefault="00CC2180" w:rsidP="00452335">
            <w:pPr>
              <w:spacing w:after="0"/>
              <w:rPr>
                <w:noProof/>
                <w:color w:val="000000" w:themeColor="text1"/>
              </w:rPr>
            </w:pPr>
            <w:r w:rsidRPr="00DE264C">
              <w:rPr>
                <w:noProof/>
                <w:color w:val="000000" w:themeColor="text1"/>
              </w:rPr>
              <w:t>ACM</w:t>
            </w:r>
          </w:p>
        </w:tc>
        <w:tc>
          <w:tcPr>
            <w:tcW w:w="6378" w:type="dxa"/>
            <w:tcBorders>
              <w:top w:val="double" w:sz="4" w:space="0" w:color="auto"/>
            </w:tcBorders>
            <w:tcMar>
              <w:top w:w="85" w:type="dxa"/>
              <w:left w:w="57" w:type="dxa"/>
              <w:bottom w:w="85" w:type="dxa"/>
              <w:right w:w="57" w:type="dxa"/>
            </w:tcMar>
          </w:tcPr>
          <w:p w14:paraId="4EB9FF9B" w14:textId="3B05CF46" w:rsidR="00CC2180" w:rsidRPr="00DE264C" w:rsidRDefault="00216191" w:rsidP="00452335">
            <w:pPr>
              <w:spacing w:after="0"/>
              <w:rPr>
                <w:noProof/>
              </w:rPr>
            </w:pPr>
            <w:r w:rsidRPr="00DE264C">
              <w:rPr>
                <w:noProof/>
              </w:rPr>
              <w:t>The Netherlands Authority for Consumers and Markets</w:t>
            </w:r>
          </w:p>
        </w:tc>
      </w:tr>
      <w:tr w:rsidR="00DE0FF3" w:rsidRPr="00DE264C" w14:paraId="6058FB63" w14:textId="77777777" w:rsidTr="00F17DC9">
        <w:tc>
          <w:tcPr>
            <w:tcW w:w="3227" w:type="dxa"/>
            <w:tcBorders>
              <w:top w:val="double" w:sz="4" w:space="0" w:color="auto"/>
            </w:tcBorders>
            <w:tcMar>
              <w:top w:w="85" w:type="dxa"/>
              <w:left w:w="57" w:type="dxa"/>
              <w:bottom w:w="85" w:type="dxa"/>
              <w:right w:w="57" w:type="dxa"/>
            </w:tcMar>
          </w:tcPr>
          <w:p w14:paraId="056312A7" w14:textId="2C0A1A64" w:rsidR="00DE0FF3" w:rsidRPr="00DE264C" w:rsidRDefault="00DE0FF3" w:rsidP="00452335">
            <w:pPr>
              <w:spacing w:after="0"/>
              <w:rPr>
                <w:noProof/>
                <w:color w:val="000000" w:themeColor="text1"/>
              </w:rPr>
            </w:pPr>
            <w:r w:rsidRPr="00DE264C">
              <w:rPr>
                <w:noProof/>
                <w:color w:val="000000" w:themeColor="text1"/>
              </w:rPr>
              <w:t>AI</w:t>
            </w:r>
          </w:p>
        </w:tc>
        <w:tc>
          <w:tcPr>
            <w:tcW w:w="6378" w:type="dxa"/>
            <w:tcBorders>
              <w:top w:val="double" w:sz="4" w:space="0" w:color="auto"/>
            </w:tcBorders>
            <w:tcMar>
              <w:top w:w="85" w:type="dxa"/>
              <w:left w:w="57" w:type="dxa"/>
              <w:bottom w:w="85" w:type="dxa"/>
              <w:right w:w="57" w:type="dxa"/>
            </w:tcMar>
          </w:tcPr>
          <w:p w14:paraId="44CF50BB" w14:textId="11378CF9" w:rsidR="00DE0FF3" w:rsidRPr="00DE264C" w:rsidRDefault="00DE0FF3" w:rsidP="00452335">
            <w:pPr>
              <w:spacing w:after="0"/>
              <w:rPr>
                <w:noProof/>
              </w:rPr>
            </w:pPr>
            <w:r w:rsidRPr="00DE264C">
              <w:rPr>
                <w:noProof/>
              </w:rPr>
              <w:t xml:space="preserve">Artificial </w:t>
            </w:r>
            <w:r w:rsidR="5520D788" w:rsidRPr="00DE264C">
              <w:rPr>
                <w:noProof/>
              </w:rPr>
              <w:t>I</w:t>
            </w:r>
            <w:r w:rsidRPr="00DE264C">
              <w:rPr>
                <w:noProof/>
              </w:rPr>
              <w:t xml:space="preserve">ntelligence </w:t>
            </w:r>
          </w:p>
        </w:tc>
      </w:tr>
      <w:tr w:rsidR="37255C01" w:rsidRPr="00DE264C" w14:paraId="4746F7FF" w14:textId="77777777" w:rsidTr="00F17DC9">
        <w:trPr>
          <w:trHeight w:val="300"/>
        </w:trPr>
        <w:tc>
          <w:tcPr>
            <w:tcW w:w="3227" w:type="dxa"/>
            <w:tcBorders>
              <w:top w:val="double" w:sz="4" w:space="0" w:color="auto"/>
            </w:tcBorders>
            <w:tcMar>
              <w:top w:w="85" w:type="dxa"/>
              <w:left w:w="57" w:type="dxa"/>
              <w:bottom w:w="85" w:type="dxa"/>
              <w:right w:w="57" w:type="dxa"/>
            </w:tcMar>
          </w:tcPr>
          <w:p w14:paraId="2F88E83C" w14:textId="5A8D0C58" w:rsidR="5A262FCD" w:rsidRPr="00DE264C" w:rsidRDefault="5A262FCD" w:rsidP="00452335">
            <w:pPr>
              <w:spacing w:after="0"/>
              <w:rPr>
                <w:noProof/>
                <w:color w:val="000000" w:themeColor="text1"/>
              </w:rPr>
            </w:pPr>
            <w:r w:rsidRPr="00DE264C">
              <w:rPr>
                <w:noProof/>
                <w:color w:val="000000" w:themeColor="text1"/>
              </w:rPr>
              <w:t>API</w:t>
            </w:r>
          </w:p>
        </w:tc>
        <w:tc>
          <w:tcPr>
            <w:tcW w:w="6378" w:type="dxa"/>
            <w:tcBorders>
              <w:top w:val="double" w:sz="4" w:space="0" w:color="auto"/>
            </w:tcBorders>
            <w:tcMar>
              <w:top w:w="85" w:type="dxa"/>
              <w:left w:w="57" w:type="dxa"/>
              <w:bottom w:w="85" w:type="dxa"/>
              <w:right w:w="57" w:type="dxa"/>
            </w:tcMar>
          </w:tcPr>
          <w:p w14:paraId="0EEABEC2" w14:textId="0AB43A4F" w:rsidR="37255C01" w:rsidRPr="00DE264C" w:rsidRDefault="33116840" w:rsidP="00452335">
            <w:pPr>
              <w:spacing w:after="0"/>
              <w:rPr>
                <w:noProof/>
              </w:rPr>
            </w:pPr>
            <w:r w:rsidRPr="00DE264C">
              <w:rPr>
                <w:noProof/>
              </w:rPr>
              <w:t>Application Program Interface is a type of software interface, offering a service to other pieces of software. The term API may refer either to the specification or to the implementation.</w:t>
            </w:r>
          </w:p>
        </w:tc>
      </w:tr>
      <w:tr w:rsidR="000C1975" w:rsidRPr="00DE264C" w14:paraId="1DC45AB4" w14:textId="77777777" w:rsidTr="00F17DC9">
        <w:trPr>
          <w:trHeight w:val="300"/>
        </w:trPr>
        <w:tc>
          <w:tcPr>
            <w:tcW w:w="3227" w:type="dxa"/>
            <w:tcBorders>
              <w:top w:val="double" w:sz="4" w:space="0" w:color="auto"/>
            </w:tcBorders>
            <w:tcMar>
              <w:top w:w="85" w:type="dxa"/>
              <w:left w:w="57" w:type="dxa"/>
              <w:bottom w:w="85" w:type="dxa"/>
              <w:right w:w="57" w:type="dxa"/>
            </w:tcMar>
          </w:tcPr>
          <w:p w14:paraId="0BF61BB5" w14:textId="2468716B" w:rsidR="000C1975" w:rsidRPr="00DE264C" w:rsidRDefault="000C1975" w:rsidP="00452335">
            <w:pPr>
              <w:spacing w:after="0"/>
              <w:rPr>
                <w:noProof/>
                <w:color w:val="000000" w:themeColor="text1"/>
              </w:rPr>
            </w:pPr>
            <w:r w:rsidRPr="00DE264C">
              <w:rPr>
                <w:noProof/>
                <w:color w:val="000000" w:themeColor="text1"/>
              </w:rPr>
              <w:t>BEREC</w:t>
            </w:r>
          </w:p>
        </w:tc>
        <w:tc>
          <w:tcPr>
            <w:tcW w:w="6378" w:type="dxa"/>
            <w:tcBorders>
              <w:top w:val="double" w:sz="4" w:space="0" w:color="auto"/>
            </w:tcBorders>
            <w:tcMar>
              <w:top w:w="85" w:type="dxa"/>
              <w:left w:w="57" w:type="dxa"/>
              <w:bottom w:w="85" w:type="dxa"/>
              <w:right w:w="57" w:type="dxa"/>
            </w:tcMar>
          </w:tcPr>
          <w:p w14:paraId="7B91A719" w14:textId="55D3DC27" w:rsidR="000C1975" w:rsidRPr="00DE264C" w:rsidRDefault="000C1975" w:rsidP="00452335">
            <w:pPr>
              <w:spacing w:after="0"/>
              <w:rPr>
                <w:noProof/>
              </w:rPr>
            </w:pPr>
            <w:r w:rsidRPr="00DE264C">
              <w:rPr>
                <w:noProof/>
              </w:rPr>
              <w:t>Body of European Regulators for Electronic Communications</w:t>
            </w:r>
          </w:p>
        </w:tc>
      </w:tr>
      <w:tr w:rsidR="000C1975" w:rsidRPr="00DE264C" w14:paraId="4A0C51EA" w14:textId="77777777" w:rsidTr="00F17DC9">
        <w:trPr>
          <w:trHeight w:val="300"/>
        </w:trPr>
        <w:tc>
          <w:tcPr>
            <w:tcW w:w="3227" w:type="dxa"/>
            <w:tcBorders>
              <w:top w:val="double" w:sz="4" w:space="0" w:color="auto"/>
            </w:tcBorders>
            <w:tcMar>
              <w:top w:w="85" w:type="dxa"/>
              <w:left w:w="57" w:type="dxa"/>
              <w:bottom w:w="85" w:type="dxa"/>
              <w:right w:w="57" w:type="dxa"/>
            </w:tcMar>
          </w:tcPr>
          <w:p w14:paraId="54CB553B" w14:textId="380E185F" w:rsidR="000C1975" w:rsidRPr="00DE264C" w:rsidRDefault="000C1975" w:rsidP="00452335">
            <w:pPr>
              <w:spacing w:after="0"/>
              <w:rPr>
                <w:noProof/>
                <w:color w:val="000000" w:themeColor="text1"/>
              </w:rPr>
            </w:pPr>
            <w:r w:rsidRPr="00DE264C">
              <w:rPr>
                <w:noProof/>
                <w:color w:val="000000" w:themeColor="text1"/>
              </w:rPr>
              <w:t xml:space="preserve">BEREC Office </w:t>
            </w:r>
          </w:p>
        </w:tc>
        <w:tc>
          <w:tcPr>
            <w:tcW w:w="6378" w:type="dxa"/>
            <w:tcBorders>
              <w:top w:val="double" w:sz="4" w:space="0" w:color="auto"/>
            </w:tcBorders>
            <w:tcMar>
              <w:top w:w="85" w:type="dxa"/>
              <w:left w:w="57" w:type="dxa"/>
              <w:bottom w:w="85" w:type="dxa"/>
              <w:right w:w="57" w:type="dxa"/>
            </w:tcMar>
          </w:tcPr>
          <w:p w14:paraId="1791A8FB" w14:textId="5229D790" w:rsidR="000C1975" w:rsidRPr="00DE264C" w:rsidRDefault="000C1975" w:rsidP="00452335">
            <w:pPr>
              <w:spacing w:after="0"/>
              <w:rPr>
                <w:noProof/>
              </w:rPr>
            </w:pPr>
            <w:r w:rsidRPr="00DE264C">
              <w:rPr>
                <w:noProof/>
              </w:rPr>
              <w:t>Agency for Support for BEREC</w:t>
            </w:r>
          </w:p>
        </w:tc>
      </w:tr>
      <w:tr w:rsidR="001C08F9" w:rsidRPr="00DE264C" w14:paraId="1EADB279" w14:textId="77777777" w:rsidTr="00F17DC9">
        <w:tc>
          <w:tcPr>
            <w:tcW w:w="3227" w:type="dxa"/>
            <w:tcBorders>
              <w:top w:val="double" w:sz="4" w:space="0" w:color="auto"/>
            </w:tcBorders>
            <w:tcMar>
              <w:top w:w="85" w:type="dxa"/>
              <w:left w:w="57" w:type="dxa"/>
              <w:bottom w:w="85" w:type="dxa"/>
              <w:right w:w="57" w:type="dxa"/>
            </w:tcMar>
          </w:tcPr>
          <w:p w14:paraId="71ABD2B1" w14:textId="057974AF" w:rsidR="001C08F9" w:rsidRPr="00DE264C" w:rsidRDefault="001C08F9" w:rsidP="00452335">
            <w:pPr>
              <w:spacing w:after="0"/>
              <w:rPr>
                <w:noProof/>
                <w:color w:val="000000" w:themeColor="text1"/>
              </w:rPr>
            </w:pPr>
            <w:r w:rsidRPr="00DE264C">
              <w:rPr>
                <w:noProof/>
              </w:rPr>
              <w:t>Bitstream</w:t>
            </w:r>
          </w:p>
        </w:tc>
        <w:tc>
          <w:tcPr>
            <w:tcW w:w="6378" w:type="dxa"/>
            <w:tcBorders>
              <w:top w:val="double" w:sz="4" w:space="0" w:color="auto"/>
            </w:tcBorders>
            <w:tcMar>
              <w:top w:w="85" w:type="dxa"/>
              <w:left w:w="57" w:type="dxa"/>
              <w:bottom w:w="85" w:type="dxa"/>
              <w:right w:w="57" w:type="dxa"/>
            </w:tcMar>
          </w:tcPr>
          <w:p w14:paraId="67BED2E6" w14:textId="6D218ACF" w:rsidR="001C08F9" w:rsidRPr="00DE264C" w:rsidRDefault="00D674CB" w:rsidP="00452335">
            <w:pPr>
              <w:spacing w:after="0"/>
              <w:rPr>
                <w:noProof/>
              </w:rPr>
            </w:pPr>
            <w:r w:rsidRPr="00DE264C">
              <w:rPr>
                <w:noProof/>
              </w:rPr>
              <w:t>A</w:t>
            </w:r>
            <w:r w:rsidR="001C08F9" w:rsidRPr="00DE264C">
              <w:rPr>
                <w:noProof/>
              </w:rPr>
              <w:t>ctive access to a network, usually at a regional or national level (not at local level). Word usually used for access over a copper network, but that can also be used for fibre networks.</w:t>
            </w:r>
          </w:p>
        </w:tc>
      </w:tr>
      <w:tr w:rsidR="00E058A6" w:rsidRPr="00DE264C" w14:paraId="14EA3E84" w14:textId="77777777" w:rsidTr="00F17DC9">
        <w:tc>
          <w:tcPr>
            <w:tcW w:w="3227" w:type="dxa"/>
            <w:tcBorders>
              <w:top w:val="double" w:sz="4" w:space="0" w:color="auto"/>
            </w:tcBorders>
            <w:tcMar>
              <w:top w:w="85" w:type="dxa"/>
              <w:left w:w="57" w:type="dxa"/>
              <w:bottom w:w="85" w:type="dxa"/>
              <w:right w:w="57" w:type="dxa"/>
            </w:tcMar>
          </w:tcPr>
          <w:p w14:paraId="55D780D3" w14:textId="24330077" w:rsidR="00E058A6" w:rsidRPr="00DE264C" w:rsidRDefault="00E058A6" w:rsidP="00452335">
            <w:pPr>
              <w:spacing w:after="0"/>
              <w:rPr>
                <w:noProof/>
              </w:rPr>
            </w:pPr>
            <w:r w:rsidRPr="00DE264C">
              <w:rPr>
                <w:noProof/>
              </w:rPr>
              <w:t>CAP</w:t>
            </w:r>
          </w:p>
        </w:tc>
        <w:tc>
          <w:tcPr>
            <w:tcW w:w="6378" w:type="dxa"/>
            <w:tcBorders>
              <w:top w:val="double" w:sz="4" w:space="0" w:color="auto"/>
            </w:tcBorders>
            <w:tcMar>
              <w:top w:w="85" w:type="dxa"/>
              <w:left w:w="57" w:type="dxa"/>
              <w:bottom w:w="85" w:type="dxa"/>
              <w:right w:w="57" w:type="dxa"/>
            </w:tcMar>
          </w:tcPr>
          <w:p w14:paraId="4775FFFC" w14:textId="607D94E3" w:rsidR="00E058A6" w:rsidRPr="00DE264C" w:rsidRDefault="00E058A6" w:rsidP="00452335">
            <w:pPr>
              <w:spacing w:after="0"/>
              <w:rPr>
                <w:noProof/>
              </w:rPr>
            </w:pPr>
            <w:r w:rsidRPr="00DE264C">
              <w:rPr>
                <w:noProof/>
              </w:rPr>
              <w:t>Content and application provider</w:t>
            </w:r>
          </w:p>
        </w:tc>
      </w:tr>
      <w:tr w:rsidR="420DAB44" w:rsidRPr="00DE264C" w14:paraId="47E08970" w14:textId="77777777" w:rsidTr="00F17DC9">
        <w:trPr>
          <w:trHeight w:val="300"/>
        </w:trPr>
        <w:tc>
          <w:tcPr>
            <w:tcW w:w="3227" w:type="dxa"/>
            <w:tcBorders>
              <w:top w:val="double" w:sz="4" w:space="0" w:color="auto"/>
            </w:tcBorders>
            <w:tcMar>
              <w:top w:w="85" w:type="dxa"/>
              <w:left w:w="57" w:type="dxa"/>
              <w:bottom w:w="85" w:type="dxa"/>
              <w:right w:w="57" w:type="dxa"/>
            </w:tcMar>
          </w:tcPr>
          <w:p w14:paraId="266F22D1" w14:textId="69C9FA96" w:rsidR="3A8BBA6F" w:rsidRPr="00DE264C" w:rsidRDefault="3A8BBA6F" w:rsidP="00452335">
            <w:pPr>
              <w:spacing w:after="0"/>
              <w:rPr>
                <w:noProof/>
              </w:rPr>
            </w:pPr>
            <w:r w:rsidRPr="00DE264C">
              <w:rPr>
                <w:noProof/>
              </w:rPr>
              <w:t>CAMARA</w:t>
            </w:r>
          </w:p>
        </w:tc>
        <w:tc>
          <w:tcPr>
            <w:tcW w:w="6378" w:type="dxa"/>
            <w:tcBorders>
              <w:top w:val="double" w:sz="4" w:space="0" w:color="auto"/>
            </w:tcBorders>
            <w:tcMar>
              <w:top w:w="85" w:type="dxa"/>
              <w:left w:w="57" w:type="dxa"/>
              <w:bottom w:w="85" w:type="dxa"/>
              <w:right w:w="57" w:type="dxa"/>
            </w:tcMar>
          </w:tcPr>
          <w:p w14:paraId="2639CB78" w14:textId="2D98C49C" w:rsidR="420DAB44" w:rsidRPr="00DE264C" w:rsidRDefault="6F6231E6" w:rsidP="00452335">
            <w:pPr>
              <w:spacing w:after="0"/>
              <w:rPr>
                <w:noProof/>
              </w:rPr>
            </w:pPr>
            <w:r w:rsidRPr="00DE264C">
              <w:rPr>
                <w:noProof/>
              </w:rPr>
              <w:t xml:space="preserve">Common API Marketplace </w:t>
            </w:r>
            <w:r w:rsidR="7F9A5A3F" w:rsidRPr="00DE264C">
              <w:rPr>
                <w:noProof/>
              </w:rPr>
              <w:t>A</w:t>
            </w:r>
            <w:r w:rsidRPr="00DE264C">
              <w:rPr>
                <w:noProof/>
              </w:rPr>
              <w:t xml:space="preserve">nd Repository Architecture is </w:t>
            </w:r>
            <w:r w:rsidR="0EADC530" w:rsidRPr="00DE264C">
              <w:rPr>
                <w:noProof/>
              </w:rPr>
              <w:t xml:space="preserve">an </w:t>
            </w:r>
            <w:r w:rsidRPr="00DE264C">
              <w:rPr>
                <w:noProof/>
              </w:rPr>
              <w:t xml:space="preserve">open-source project. Its primary goal is to bridge the gap between telecom networks and application developers by creating a uniform </w:t>
            </w:r>
            <w:r w:rsidR="3A8BBA6F" w:rsidRPr="00DE264C">
              <w:rPr>
                <w:noProof/>
              </w:rPr>
              <w:t>set of APIs for the mobile ecosystem</w:t>
            </w:r>
            <w:r w:rsidRPr="00DE264C">
              <w:rPr>
                <w:noProof/>
              </w:rPr>
              <w:t>.</w:t>
            </w:r>
          </w:p>
        </w:tc>
      </w:tr>
      <w:tr w:rsidR="00C32E51" w:rsidRPr="00DE264C" w14:paraId="49BB8DCB" w14:textId="77777777" w:rsidTr="00F17DC9">
        <w:tc>
          <w:tcPr>
            <w:tcW w:w="3227" w:type="dxa"/>
            <w:tcBorders>
              <w:top w:val="double" w:sz="4" w:space="0" w:color="auto"/>
            </w:tcBorders>
            <w:tcMar>
              <w:top w:w="85" w:type="dxa"/>
              <w:left w:w="57" w:type="dxa"/>
              <w:bottom w:w="85" w:type="dxa"/>
              <w:right w:w="57" w:type="dxa"/>
            </w:tcMar>
          </w:tcPr>
          <w:p w14:paraId="013BA848" w14:textId="54511539" w:rsidR="00C32E51" w:rsidRPr="00DE264C" w:rsidRDefault="00C32E51">
            <w:pPr>
              <w:spacing w:after="0"/>
              <w:rPr>
                <w:noProof/>
                <w:color w:val="000000" w:themeColor="text1"/>
              </w:rPr>
            </w:pPr>
            <w:r w:rsidRPr="00DE264C">
              <w:rPr>
                <w:noProof/>
              </w:rPr>
              <w:t>CEPT</w:t>
            </w:r>
          </w:p>
        </w:tc>
        <w:tc>
          <w:tcPr>
            <w:tcW w:w="6378" w:type="dxa"/>
            <w:tcBorders>
              <w:top w:val="double" w:sz="4" w:space="0" w:color="auto"/>
            </w:tcBorders>
            <w:tcMar>
              <w:top w:w="85" w:type="dxa"/>
              <w:left w:w="57" w:type="dxa"/>
              <w:bottom w:w="85" w:type="dxa"/>
              <w:right w:w="57" w:type="dxa"/>
            </w:tcMar>
          </w:tcPr>
          <w:p w14:paraId="68B38328" w14:textId="29E1A562" w:rsidR="00C32E51" w:rsidRPr="00DE264C" w:rsidRDefault="00C32E51">
            <w:pPr>
              <w:spacing w:after="0"/>
              <w:rPr>
                <w:noProof/>
              </w:rPr>
            </w:pPr>
            <w:r w:rsidRPr="00DE264C">
              <w:rPr>
                <w:noProof/>
              </w:rPr>
              <w:t>European Conference of Postal and Telecommunications Administrations</w:t>
            </w:r>
            <w:r w:rsidR="00211A4F" w:rsidRPr="00DE264C">
              <w:rPr>
                <w:noProof/>
              </w:rPr>
              <w:t>. 46 European countries are members of CEPT</w:t>
            </w:r>
            <w:r w:rsidR="00F17DC9">
              <w:rPr>
                <w:noProof/>
              </w:rPr>
              <w:t>.</w:t>
            </w:r>
          </w:p>
        </w:tc>
      </w:tr>
      <w:tr w:rsidR="00E001AE" w:rsidRPr="00DE264C" w14:paraId="6DA15AF0" w14:textId="77777777" w:rsidTr="00F17DC9">
        <w:tc>
          <w:tcPr>
            <w:tcW w:w="3227" w:type="dxa"/>
            <w:tcBorders>
              <w:top w:val="double" w:sz="4" w:space="0" w:color="auto"/>
            </w:tcBorders>
            <w:tcMar>
              <w:top w:w="85" w:type="dxa"/>
              <w:left w:w="57" w:type="dxa"/>
              <w:bottom w:w="85" w:type="dxa"/>
              <w:right w:w="57" w:type="dxa"/>
            </w:tcMar>
          </w:tcPr>
          <w:p w14:paraId="51C5E1AE" w14:textId="20A260E6" w:rsidR="00463021" w:rsidRPr="00DE264C" w:rsidRDefault="00463021">
            <w:pPr>
              <w:spacing w:after="0"/>
              <w:rPr>
                <w:noProof/>
              </w:rPr>
            </w:pPr>
            <w:r>
              <w:rPr>
                <w:noProof/>
              </w:rPr>
              <w:t>CGC</w:t>
            </w:r>
          </w:p>
        </w:tc>
        <w:tc>
          <w:tcPr>
            <w:tcW w:w="6378" w:type="dxa"/>
            <w:tcBorders>
              <w:top w:val="double" w:sz="4" w:space="0" w:color="auto"/>
            </w:tcBorders>
            <w:tcMar>
              <w:top w:w="85" w:type="dxa"/>
              <w:left w:w="57" w:type="dxa"/>
              <w:bottom w:w="85" w:type="dxa"/>
              <w:right w:w="57" w:type="dxa"/>
            </w:tcMar>
          </w:tcPr>
          <w:p w14:paraId="2F6FC33A" w14:textId="33B1FC8F" w:rsidR="00463021" w:rsidRPr="00DE264C" w:rsidRDefault="00463021">
            <w:pPr>
              <w:spacing w:after="0"/>
              <w:rPr>
                <w:noProof/>
              </w:rPr>
            </w:pPr>
            <w:r>
              <w:rPr>
                <w:noProof/>
              </w:rPr>
              <w:t>Complementary Ground Component</w:t>
            </w:r>
            <w:r w:rsidR="00E116FA">
              <w:rPr>
                <w:noProof/>
              </w:rPr>
              <w:t>:</w:t>
            </w:r>
            <w:r w:rsidR="00DB7BEB">
              <w:rPr>
                <w:noProof/>
              </w:rPr>
              <w:t xml:space="preserve"> </w:t>
            </w:r>
            <w:r w:rsidR="00C86B63" w:rsidRPr="00C86B63">
              <w:rPr>
                <w:noProof/>
              </w:rPr>
              <w:t>Satellite systems consist of a space segment and a ground segment, which includes the complementary ground components which are ground-based infrastructure that assist, extends, or complements satellites to improve coverage, capacity, reliability, or service quality.</w:t>
            </w:r>
            <w:r w:rsidR="00DB7BEB">
              <w:rPr>
                <w:noProof/>
              </w:rPr>
              <w:t xml:space="preserve"> </w:t>
            </w:r>
            <w:r w:rsidR="00C86B63" w:rsidRPr="00C86B63">
              <w:rPr>
                <w:noProof/>
              </w:rPr>
              <w:t>The proposed regulatory intervention includes measures that address both the space segment and the ground segment.</w:t>
            </w:r>
          </w:p>
        </w:tc>
      </w:tr>
      <w:tr w:rsidR="001C08F9" w:rsidRPr="00DE264C" w14:paraId="0702647D" w14:textId="77777777" w:rsidTr="00F17DC9">
        <w:tc>
          <w:tcPr>
            <w:tcW w:w="3227" w:type="dxa"/>
            <w:tcBorders>
              <w:top w:val="double" w:sz="4" w:space="0" w:color="auto"/>
            </w:tcBorders>
            <w:tcMar>
              <w:top w:w="85" w:type="dxa"/>
              <w:left w:w="57" w:type="dxa"/>
              <w:bottom w:w="85" w:type="dxa"/>
              <w:right w:w="57" w:type="dxa"/>
            </w:tcMar>
          </w:tcPr>
          <w:p w14:paraId="3E1BD99A" w14:textId="6E9EBC58" w:rsidR="001C08F9" w:rsidRPr="00DE264C" w:rsidRDefault="001C08F9" w:rsidP="00452335">
            <w:pPr>
              <w:spacing w:after="0"/>
              <w:rPr>
                <w:noProof/>
                <w:color w:val="000000" w:themeColor="text1"/>
              </w:rPr>
            </w:pPr>
            <w:r w:rsidRPr="00DE264C">
              <w:rPr>
                <w:noProof/>
                <w:color w:val="000000" w:themeColor="text1"/>
              </w:rPr>
              <w:t>Copper network</w:t>
            </w:r>
          </w:p>
        </w:tc>
        <w:tc>
          <w:tcPr>
            <w:tcW w:w="6378" w:type="dxa"/>
            <w:tcBorders>
              <w:top w:val="double" w:sz="4" w:space="0" w:color="auto"/>
            </w:tcBorders>
            <w:tcMar>
              <w:top w:w="85" w:type="dxa"/>
              <w:left w:w="57" w:type="dxa"/>
              <w:bottom w:w="85" w:type="dxa"/>
              <w:right w:w="57" w:type="dxa"/>
            </w:tcMar>
          </w:tcPr>
          <w:p w14:paraId="4D77C661" w14:textId="3343A743" w:rsidR="001C08F9" w:rsidRPr="00DE264C" w:rsidRDefault="001C08F9" w:rsidP="00452335">
            <w:pPr>
              <w:spacing w:after="0"/>
              <w:rPr>
                <w:noProof/>
              </w:rPr>
            </w:pPr>
            <w:r w:rsidRPr="00DE264C">
              <w:rPr>
                <w:noProof/>
              </w:rPr>
              <w:t>The earliest of the three main types of telecommunications network</w:t>
            </w:r>
            <w:r w:rsidR="179A70D7" w:rsidRPr="00DE264C">
              <w:rPr>
                <w:noProof/>
              </w:rPr>
              <w:t>s</w:t>
            </w:r>
            <w:r w:rsidRPr="00DE264C">
              <w:rPr>
                <w:noProof/>
              </w:rPr>
              <w:t>. Mostly built between the 1900s and the 1980s, usually as a national public monopoly, it was primarily designed and used for the provision of telephone services. It was subsequently used for provision of TV and/or internet services (xDSL). The core of the network has nowadays usually been replaced with fibre but copper remains very widespread for the terminal segment of the network. Wholesale access to the copper network can be provided in the form of active or passive access, at local or central access. An important feature of copper is that that the speed achievable depends heavily on the length of the copper loop, decreasing with the loop’s length. </w:t>
            </w:r>
          </w:p>
        </w:tc>
      </w:tr>
      <w:tr w:rsidR="006C6020" w:rsidRPr="00DE264C" w14:paraId="33DD4B10" w14:textId="77777777" w:rsidTr="00F17DC9">
        <w:tc>
          <w:tcPr>
            <w:tcW w:w="3227" w:type="dxa"/>
            <w:tcBorders>
              <w:top w:val="double" w:sz="4" w:space="0" w:color="auto"/>
            </w:tcBorders>
            <w:tcMar>
              <w:top w:w="85" w:type="dxa"/>
              <w:left w:w="57" w:type="dxa"/>
              <w:bottom w:w="85" w:type="dxa"/>
              <w:right w:w="57" w:type="dxa"/>
            </w:tcMar>
          </w:tcPr>
          <w:p w14:paraId="40C7EED7" w14:textId="50938461" w:rsidR="006C6020" w:rsidRPr="00DE264C" w:rsidRDefault="006C6020" w:rsidP="00452335">
            <w:pPr>
              <w:spacing w:after="0"/>
              <w:rPr>
                <w:noProof/>
                <w:color w:val="000000" w:themeColor="text1"/>
              </w:rPr>
            </w:pPr>
            <w:r w:rsidRPr="00DE264C">
              <w:rPr>
                <w:noProof/>
                <w:color w:val="000000" w:themeColor="text1"/>
              </w:rPr>
              <w:t>CSO</w:t>
            </w:r>
          </w:p>
        </w:tc>
        <w:tc>
          <w:tcPr>
            <w:tcW w:w="6378" w:type="dxa"/>
            <w:tcBorders>
              <w:top w:val="double" w:sz="4" w:space="0" w:color="auto"/>
            </w:tcBorders>
            <w:tcMar>
              <w:top w:w="85" w:type="dxa"/>
              <w:left w:w="57" w:type="dxa"/>
              <w:bottom w:w="85" w:type="dxa"/>
              <w:right w:w="57" w:type="dxa"/>
            </w:tcMar>
          </w:tcPr>
          <w:p w14:paraId="512281E0" w14:textId="1F0D22FB" w:rsidR="006C6020" w:rsidRPr="00DE264C" w:rsidRDefault="006C6020" w:rsidP="00452335">
            <w:pPr>
              <w:spacing w:after="0"/>
              <w:rPr>
                <w:noProof/>
              </w:rPr>
            </w:pPr>
            <w:r w:rsidRPr="00DE264C">
              <w:rPr>
                <w:noProof/>
              </w:rPr>
              <w:t>Copper switch-off</w:t>
            </w:r>
          </w:p>
        </w:tc>
      </w:tr>
      <w:tr w:rsidR="003A515E" w:rsidRPr="00DE264C" w14:paraId="5E4B5636" w14:textId="77777777" w:rsidTr="00F17DC9">
        <w:tc>
          <w:tcPr>
            <w:tcW w:w="3227" w:type="dxa"/>
            <w:tcBorders>
              <w:top w:val="double" w:sz="4" w:space="0" w:color="auto"/>
            </w:tcBorders>
            <w:tcMar>
              <w:top w:w="85" w:type="dxa"/>
              <w:left w:w="57" w:type="dxa"/>
              <w:bottom w:w="85" w:type="dxa"/>
              <w:right w:w="57" w:type="dxa"/>
            </w:tcMar>
          </w:tcPr>
          <w:p w14:paraId="6550134B" w14:textId="485CE0E8" w:rsidR="003A515E" w:rsidRPr="00DE264C" w:rsidRDefault="003A515E">
            <w:pPr>
              <w:spacing w:after="0"/>
              <w:rPr>
                <w:noProof/>
                <w:color w:val="000000" w:themeColor="text1"/>
              </w:rPr>
            </w:pPr>
            <w:r w:rsidRPr="00DE264C">
              <w:rPr>
                <w:noProof/>
                <w:color w:val="000000" w:themeColor="text1"/>
              </w:rPr>
              <w:t>DDPP</w:t>
            </w:r>
          </w:p>
        </w:tc>
        <w:tc>
          <w:tcPr>
            <w:tcW w:w="6378" w:type="dxa"/>
            <w:tcBorders>
              <w:top w:val="double" w:sz="4" w:space="0" w:color="auto"/>
            </w:tcBorders>
            <w:tcMar>
              <w:top w:w="85" w:type="dxa"/>
              <w:left w:w="57" w:type="dxa"/>
              <w:bottom w:w="85" w:type="dxa"/>
              <w:right w:w="57" w:type="dxa"/>
            </w:tcMar>
          </w:tcPr>
          <w:p w14:paraId="4C0105E1" w14:textId="0B01718F" w:rsidR="003A515E" w:rsidRPr="00DE264C" w:rsidRDefault="003A515E">
            <w:pPr>
              <w:spacing w:after="0"/>
              <w:rPr>
                <w:noProof/>
              </w:rPr>
            </w:pPr>
            <w:r w:rsidRPr="00DE264C">
              <w:rPr>
                <w:noProof/>
              </w:rPr>
              <w:t>Digital Decade Policy Programme</w:t>
            </w:r>
          </w:p>
        </w:tc>
      </w:tr>
      <w:tr w:rsidR="00FB3594" w:rsidRPr="00DE264C" w14:paraId="513A9D77" w14:textId="77777777" w:rsidTr="00F17DC9">
        <w:tc>
          <w:tcPr>
            <w:tcW w:w="3227" w:type="dxa"/>
            <w:tcBorders>
              <w:top w:val="double" w:sz="4" w:space="0" w:color="auto"/>
            </w:tcBorders>
            <w:tcMar>
              <w:top w:w="85" w:type="dxa"/>
              <w:left w:w="57" w:type="dxa"/>
              <w:bottom w:w="85" w:type="dxa"/>
              <w:right w:w="57" w:type="dxa"/>
            </w:tcMar>
          </w:tcPr>
          <w:p w14:paraId="09FA6557" w14:textId="50B7C807" w:rsidR="00FB3594" w:rsidRPr="00DE264C" w:rsidRDefault="00FB3594" w:rsidP="00452335">
            <w:pPr>
              <w:spacing w:after="0"/>
              <w:rPr>
                <w:noProof/>
                <w:color w:val="000000" w:themeColor="text1"/>
              </w:rPr>
            </w:pPr>
            <w:r w:rsidRPr="00DE264C">
              <w:rPr>
                <w:noProof/>
              </w:rPr>
              <w:t>D2D (Direct-to-Device)</w:t>
            </w:r>
          </w:p>
        </w:tc>
        <w:tc>
          <w:tcPr>
            <w:tcW w:w="6378" w:type="dxa"/>
            <w:tcBorders>
              <w:top w:val="double" w:sz="4" w:space="0" w:color="auto"/>
            </w:tcBorders>
            <w:tcMar>
              <w:top w:w="85" w:type="dxa"/>
              <w:left w:w="57" w:type="dxa"/>
              <w:bottom w:w="85" w:type="dxa"/>
              <w:right w:w="57" w:type="dxa"/>
            </w:tcMar>
          </w:tcPr>
          <w:p w14:paraId="660E64B7" w14:textId="4A37A560" w:rsidR="00FB3594" w:rsidRPr="00DE264C" w:rsidRDefault="004845D6" w:rsidP="00452335">
            <w:pPr>
              <w:spacing w:after="0"/>
              <w:rPr>
                <w:noProof/>
              </w:rPr>
            </w:pPr>
            <w:r w:rsidRPr="00DE264C">
              <w:rPr>
                <w:noProof/>
              </w:rPr>
              <w:t>Direct-to-device (D2D) refers to</w:t>
            </w:r>
            <w:r w:rsidR="00EB185F" w:rsidRPr="00DE264C">
              <w:rPr>
                <w:noProof/>
              </w:rPr>
              <w:t xml:space="preserve"> </w:t>
            </w:r>
            <w:r w:rsidRPr="00DE264C">
              <w:rPr>
                <w:noProof/>
              </w:rPr>
              <w:t>the ability of standard smartphones and other devices to connect directly to satellites for communication, without the need for specialized hardware like external antennas or dongles.</w:t>
            </w:r>
          </w:p>
        </w:tc>
      </w:tr>
      <w:tr w:rsidR="00B97BD2" w:rsidRPr="00DE264C" w14:paraId="1CBBA167" w14:textId="77777777" w:rsidTr="00F17DC9">
        <w:tc>
          <w:tcPr>
            <w:tcW w:w="3227" w:type="dxa"/>
            <w:tcBorders>
              <w:top w:val="double" w:sz="4" w:space="0" w:color="auto"/>
            </w:tcBorders>
            <w:tcMar>
              <w:top w:w="85" w:type="dxa"/>
              <w:left w:w="57" w:type="dxa"/>
              <w:bottom w:w="85" w:type="dxa"/>
              <w:right w:w="57" w:type="dxa"/>
            </w:tcMar>
          </w:tcPr>
          <w:p w14:paraId="56B1BA36" w14:textId="667B573C" w:rsidR="00B97BD2" w:rsidRPr="00DE264C" w:rsidRDefault="00B97BD2" w:rsidP="00452335">
            <w:pPr>
              <w:spacing w:after="0"/>
              <w:rPr>
                <w:noProof/>
                <w:color w:val="000000" w:themeColor="text1"/>
              </w:rPr>
            </w:pPr>
            <w:r w:rsidRPr="00DE264C">
              <w:rPr>
                <w:noProof/>
                <w:color w:val="000000" w:themeColor="text1"/>
              </w:rPr>
              <w:t>ECN</w:t>
            </w:r>
          </w:p>
        </w:tc>
        <w:tc>
          <w:tcPr>
            <w:tcW w:w="6378" w:type="dxa"/>
            <w:tcBorders>
              <w:top w:val="double" w:sz="4" w:space="0" w:color="auto"/>
            </w:tcBorders>
            <w:tcMar>
              <w:top w:w="85" w:type="dxa"/>
              <w:left w:w="57" w:type="dxa"/>
              <w:bottom w:w="85" w:type="dxa"/>
              <w:right w:w="57" w:type="dxa"/>
            </w:tcMar>
          </w:tcPr>
          <w:p w14:paraId="7B418C98" w14:textId="4F78D155" w:rsidR="00B97BD2" w:rsidRPr="00DE264C" w:rsidRDefault="00726B37" w:rsidP="00452335">
            <w:pPr>
              <w:spacing w:after="0"/>
              <w:rPr>
                <w:noProof/>
              </w:rPr>
            </w:pPr>
            <w:r w:rsidRPr="00DE264C">
              <w:rPr>
                <w:noProof/>
              </w:rPr>
              <w:t>‘Electronic Communications Network’ means transmission systems, whether or not based on a permanent infrastructure or centralised administration capacity, and, where applicable, switching or routing equipment and other resources, including network elements which are not active, which permit the conveyance of signals by wire, radio, optical or other electromagnetic means, including satellite networks, fixed (circuit- and packet-switched, including internet) and mobile networks, electricity cable systems, to the extent that they are used for the purpose of transmitting signals, networks used for radio and television broadcasting, and cable television networks, irrespective of the type of information conveyed</w:t>
            </w:r>
            <w:r w:rsidR="00F9523B" w:rsidRPr="00DE264C">
              <w:rPr>
                <w:noProof/>
              </w:rPr>
              <w:t>.</w:t>
            </w:r>
          </w:p>
        </w:tc>
      </w:tr>
      <w:tr w:rsidR="00D11A2B" w:rsidRPr="00DE264C" w14:paraId="3732E79F" w14:textId="77777777" w:rsidTr="00F17DC9">
        <w:tc>
          <w:tcPr>
            <w:tcW w:w="3227" w:type="dxa"/>
            <w:tcBorders>
              <w:top w:val="double" w:sz="4" w:space="0" w:color="auto"/>
            </w:tcBorders>
            <w:tcMar>
              <w:top w:w="85" w:type="dxa"/>
              <w:left w:w="57" w:type="dxa"/>
              <w:bottom w:w="85" w:type="dxa"/>
              <w:right w:w="57" w:type="dxa"/>
            </w:tcMar>
          </w:tcPr>
          <w:p w14:paraId="0718B4BF" w14:textId="3376169D" w:rsidR="00D11A2B" w:rsidRPr="00DE264C" w:rsidRDefault="00D11A2B" w:rsidP="00452335">
            <w:pPr>
              <w:spacing w:after="0"/>
              <w:rPr>
                <w:noProof/>
                <w:color w:val="000000" w:themeColor="text1"/>
              </w:rPr>
            </w:pPr>
            <w:r w:rsidRPr="00DE264C">
              <w:rPr>
                <w:noProof/>
                <w:color w:val="000000" w:themeColor="text1"/>
              </w:rPr>
              <w:t>ECS</w:t>
            </w:r>
          </w:p>
        </w:tc>
        <w:tc>
          <w:tcPr>
            <w:tcW w:w="6378" w:type="dxa"/>
            <w:tcBorders>
              <w:top w:val="double" w:sz="4" w:space="0" w:color="auto"/>
            </w:tcBorders>
            <w:tcMar>
              <w:top w:w="85" w:type="dxa"/>
              <w:left w:w="57" w:type="dxa"/>
              <w:bottom w:w="85" w:type="dxa"/>
              <w:right w:w="57" w:type="dxa"/>
            </w:tcMar>
          </w:tcPr>
          <w:p w14:paraId="59DABA88" w14:textId="28B64CB8" w:rsidR="00D11A2B" w:rsidRPr="00DE264C" w:rsidRDefault="00D11A2B" w:rsidP="00452335">
            <w:pPr>
              <w:spacing w:after="0"/>
              <w:rPr>
                <w:noProof/>
              </w:rPr>
            </w:pPr>
            <w:r w:rsidRPr="00DE264C">
              <w:rPr>
                <w:noProof/>
              </w:rPr>
              <w:t xml:space="preserve">Electronic Communications Service </w:t>
            </w:r>
          </w:p>
        </w:tc>
      </w:tr>
      <w:tr w:rsidR="00F170EA" w:rsidRPr="00DE264C" w14:paraId="2B264EA9" w14:textId="77777777" w:rsidTr="00F17DC9">
        <w:tc>
          <w:tcPr>
            <w:tcW w:w="3227" w:type="dxa"/>
            <w:tcBorders>
              <w:top w:val="double" w:sz="4" w:space="0" w:color="auto"/>
            </w:tcBorders>
            <w:tcMar>
              <w:top w:w="85" w:type="dxa"/>
              <w:left w:w="57" w:type="dxa"/>
              <w:bottom w:w="85" w:type="dxa"/>
              <w:right w:w="57" w:type="dxa"/>
            </w:tcMar>
          </w:tcPr>
          <w:p w14:paraId="14EC4038" w14:textId="793CC061" w:rsidR="00F170EA" w:rsidRPr="00DE264C" w:rsidRDefault="00F170EA" w:rsidP="00452335">
            <w:pPr>
              <w:spacing w:after="0"/>
              <w:rPr>
                <w:noProof/>
                <w:color w:val="000000" w:themeColor="text1"/>
              </w:rPr>
            </w:pPr>
            <w:r w:rsidRPr="00DE264C">
              <w:rPr>
                <w:noProof/>
                <w:color w:val="000000" w:themeColor="text1"/>
              </w:rPr>
              <w:t>EECC</w:t>
            </w:r>
          </w:p>
        </w:tc>
        <w:tc>
          <w:tcPr>
            <w:tcW w:w="6378" w:type="dxa"/>
            <w:tcBorders>
              <w:top w:val="double" w:sz="4" w:space="0" w:color="auto"/>
            </w:tcBorders>
            <w:tcMar>
              <w:top w:w="85" w:type="dxa"/>
              <w:left w:w="57" w:type="dxa"/>
              <w:bottom w:w="85" w:type="dxa"/>
              <w:right w:w="57" w:type="dxa"/>
            </w:tcMar>
          </w:tcPr>
          <w:p w14:paraId="46685233" w14:textId="7F287C56" w:rsidR="00F170EA" w:rsidRPr="00DE264C" w:rsidRDefault="00F170EA" w:rsidP="00452335">
            <w:pPr>
              <w:spacing w:after="0"/>
              <w:rPr>
                <w:noProof/>
              </w:rPr>
            </w:pPr>
            <w:r w:rsidRPr="00DE264C">
              <w:rPr>
                <w:noProof/>
              </w:rPr>
              <w:t>European Electronic Communications Code</w:t>
            </w:r>
          </w:p>
        </w:tc>
      </w:tr>
      <w:tr w:rsidR="00956E90" w:rsidRPr="00DE264C" w14:paraId="27523C39" w14:textId="77777777" w:rsidTr="00F17DC9">
        <w:tc>
          <w:tcPr>
            <w:tcW w:w="3227" w:type="dxa"/>
            <w:tcBorders>
              <w:top w:val="double" w:sz="4" w:space="0" w:color="auto"/>
            </w:tcBorders>
            <w:tcMar>
              <w:top w:w="85" w:type="dxa"/>
              <w:left w:w="57" w:type="dxa"/>
              <w:bottom w:w="85" w:type="dxa"/>
              <w:right w:w="57" w:type="dxa"/>
            </w:tcMar>
          </w:tcPr>
          <w:p w14:paraId="4CC2FC19" w14:textId="38A7FBD6" w:rsidR="00956E90" w:rsidRPr="00DE264C" w:rsidRDefault="00956E90" w:rsidP="00452335">
            <w:pPr>
              <w:spacing w:after="0"/>
              <w:rPr>
                <w:noProof/>
                <w:color w:val="000000" w:themeColor="text1"/>
              </w:rPr>
            </w:pPr>
            <w:r w:rsidRPr="00DE264C">
              <w:rPr>
                <w:noProof/>
                <w:color w:val="000000" w:themeColor="text1"/>
              </w:rPr>
              <w:t>Fibreco</w:t>
            </w:r>
          </w:p>
        </w:tc>
        <w:tc>
          <w:tcPr>
            <w:tcW w:w="6378" w:type="dxa"/>
            <w:tcBorders>
              <w:top w:val="double" w:sz="4" w:space="0" w:color="auto"/>
            </w:tcBorders>
            <w:tcMar>
              <w:top w:w="85" w:type="dxa"/>
              <w:left w:w="57" w:type="dxa"/>
              <w:bottom w:w="85" w:type="dxa"/>
              <w:right w:w="57" w:type="dxa"/>
            </w:tcMar>
          </w:tcPr>
          <w:p w14:paraId="6F4E3B9F" w14:textId="255D0CB8" w:rsidR="00956E90" w:rsidRPr="00DE264C" w:rsidRDefault="00051CB5" w:rsidP="00452335">
            <w:pPr>
              <w:spacing w:after="0"/>
              <w:rPr>
                <w:noProof/>
              </w:rPr>
            </w:pPr>
            <w:r w:rsidRPr="00DE264C">
              <w:rPr>
                <w:noProof/>
              </w:rPr>
              <w:t>Fibre company</w:t>
            </w:r>
          </w:p>
        </w:tc>
      </w:tr>
      <w:tr w:rsidR="00EE3176" w:rsidRPr="00DE264C" w14:paraId="279BF7FF" w14:textId="77777777" w:rsidTr="00F17DC9">
        <w:tc>
          <w:tcPr>
            <w:tcW w:w="3227" w:type="dxa"/>
            <w:tcBorders>
              <w:top w:val="double" w:sz="4" w:space="0" w:color="auto"/>
            </w:tcBorders>
            <w:tcMar>
              <w:top w:w="85" w:type="dxa"/>
              <w:left w:w="57" w:type="dxa"/>
              <w:bottom w:w="85" w:type="dxa"/>
              <w:right w:w="57" w:type="dxa"/>
            </w:tcMar>
          </w:tcPr>
          <w:p w14:paraId="22E113E3" w14:textId="2585C063" w:rsidR="00EE3176" w:rsidRPr="00DE264C" w:rsidRDefault="00EE3176" w:rsidP="00452335">
            <w:pPr>
              <w:spacing w:after="0"/>
              <w:rPr>
                <w:noProof/>
                <w:color w:val="000000" w:themeColor="text1"/>
              </w:rPr>
            </w:pPr>
            <w:r w:rsidRPr="00DE264C">
              <w:rPr>
                <w:noProof/>
              </w:rPr>
              <w:t>FSS (Fixed Satellite Service)</w:t>
            </w:r>
          </w:p>
        </w:tc>
        <w:tc>
          <w:tcPr>
            <w:tcW w:w="6378" w:type="dxa"/>
            <w:tcBorders>
              <w:top w:val="double" w:sz="4" w:space="0" w:color="auto"/>
            </w:tcBorders>
            <w:tcMar>
              <w:top w:w="85" w:type="dxa"/>
              <w:left w:w="57" w:type="dxa"/>
              <w:bottom w:w="85" w:type="dxa"/>
              <w:right w:w="57" w:type="dxa"/>
            </w:tcMar>
          </w:tcPr>
          <w:p w14:paraId="2FC4AFE0" w14:textId="62DAF4D4" w:rsidR="00EE3176" w:rsidRPr="00DE264C" w:rsidRDefault="00793D12" w:rsidP="00452335">
            <w:pPr>
              <w:spacing w:after="0"/>
              <w:rPr>
                <w:noProof/>
              </w:rPr>
            </w:pPr>
            <w:r w:rsidRPr="00DE264C">
              <w:rPr>
                <w:noProof/>
              </w:rPr>
              <w:t>Fixed Satellite Service (FSS) is a radiocommunication service that uses satellites to ensure communication between fixed earth stations.</w:t>
            </w:r>
          </w:p>
        </w:tc>
      </w:tr>
      <w:tr w:rsidR="00256771" w:rsidRPr="00DE264C" w14:paraId="7C0B8388" w14:textId="77777777" w:rsidTr="00F17DC9">
        <w:tc>
          <w:tcPr>
            <w:tcW w:w="3227" w:type="dxa"/>
            <w:tcBorders>
              <w:top w:val="double" w:sz="4" w:space="0" w:color="auto"/>
            </w:tcBorders>
            <w:tcMar>
              <w:top w:w="85" w:type="dxa"/>
              <w:left w:w="57" w:type="dxa"/>
              <w:bottom w:w="85" w:type="dxa"/>
              <w:right w:w="57" w:type="dxa"/>
            </w:tcMar>
          </w:tcPr>
          <w:p w14:paraId="1C962365" w14:textId="679F9F02" w:rsidR="00256771" w:rsidRPr="00DE264C" w:rsidRDefault="00256771" w:rsidP="00452335">
            <w:pPr>
              <w:spacing w:after="0"/>
              <w:rPr>
                <w:noProof/>
                <w:color w:val="000000" w:themeColor="text1"/>
              </w:rPr>
            </w:pPr>
            <w:r w:rsidRPr="00DE264C">
              <w:rPr>
                <w:noProof/>
                <w:color w:val="000000" w:themeColor="text1"/>
              </w:rPr>
              <w:t>FTE</w:t>
            </w:r>
          </w:p>
        </w:tc>
        <w:tc>
          <w:tcPr>
            <w:tcW w:w="6378" w:type="dxa"/>
            <w:tcBorders>
              <w:top w:val="double" w:sz="4" w:space="0" w:color="auto"/>
            </w:tcBorders>
            <w:tcMar>
              <w:top w:w="85" w:type="dxa"/>
              <w:left w:w="57" w:type="dxa"/>
              <w:bottom w:w="85" w:type="dxa"/>
              <w:right w:w="57" w:type="dxa"/>
            </w:tcMar>
          </w:tcPr>
          <w:p w14:paraId="46D888F9" w14:textId="245F42BB" w:rsidR="00256771" w:rsidRPr="00DE264C" w:rsidRDefault="00256771" w:rsidP="00452335">
            <w:pPr>
              <w:spacing w:after="0"/>
              <w:rPr>
                <w:noProof/>
              </w:rPr>
            </w:pPr>
            <w:r w:rsidRPr="00DE264C">
              <w:rPr>
                <w:noProof/>
              </w:rPr>
              <w:t>Full Time Employee</w:t>
            </w:r>
          </w:p>
        </w:tc>
      </w:tr>
      <w:tr w:rsidR="00256771" w:rsidRPr="00DE264C" w14:paraId="7415EFE0" w14:textId="77777777" w:rsidTr="00F17DC9">
        <w:tc>
          <w:tcPr>
            <w:tcW w:w="3227" w:type="dxa"/>
            <w:tcBorders>
              <w:top w:val="double" w:sz="4" w:space="0" w:color="auto"/>
            </w:tcBorders>
            <w:tcMar>
              <w:top w:w="85" w:type="dxa"/>
              <w:left w:w="57" w:type="dxa"/>
              <w:bottom w:w="85" w:type="dxa"/>
              <w:right w:w="57" w:type="dxa"/>
            </w:tcMar>
          </w:tcPr>
          <w:p w14:paraId="12D55AD0" w14:textId="24823A8F" w:rsidR="00256771" w:rsidRPr="00DE264C" w:rsidRDefault="00256771" w:rsidP="00452335">
            <w:pPr>
              <w:spacing w:after="0"/>
              <w:rPr>
                <w:noProof/>
                <w:color w:val="000000" w:themeColor="text1"/>
              </w:rPr>
            </w:pPr>
            <w:r w:rsidRPr="00DE264C">
              <w:rPr>
                <w:noProof/>
                <w:color w:val="000000" w:themeColor="text1"/>
              </w:rPr>
              <w:t>FTTB</w:t>
            </w:r>
          </w:p>
        </w:tc>
        <w:tc>
          <w:tcPr>
            <w:tcW w:w="6378" w:type="dxa"/>
            <w:tcBorders>
              <w:top w:val="double" w:sz="4" w:space="0" w:color="auto"/>
            </w:tcBorders>
            <w:tcMar>
              <w:top w:w="85" w:type="dxa"/>
              <w:left w:w="57" w:type="dxa"/>
              <w:bottom w:w="85" w:type="dxa"/>
              <w:right w:w="57" w:type="dxa"/>
            </w:tcMar>
          </w:tcPr>
          <w:p w14:paraId="1E09ABF1" w14:textId="77DDD81D" w:rsidR="00256771" w:rsidRPr="00DE264C" w:rsidRDefault="00254A15" w:rsidP="00452335">
            <w:pPr>
              <w:spacing w:after="0"/>
              <w:rPr>
                <w:noProof/>
                <w:color w:val="000000" w:themeColor="text1"/>
                <w:lang w:val="en-IE"/>
              </w:rPr>
            </w:pPr>
            <w:r w:rsidRPr="00D201DA">
              <w:rPr>
                <w:noProof/>
                <w:color w:val="000000" w:themeColor="text1"/>
              </w:rPr>
              <w:t>‘</w:t>
            </w:r>
            <w:r w:rsidR="00256771" w:rsidRPr="00D201DA">
              <w:rPr>
                <w:noProof/>
                <w:color w:val="000000" w:themeColor="text1"/>
              </w:rPr>
              <w:t>Fibre to the Building</w:t>
            </w:r>
            <w:r w:rsidRPr="00D201DA">
              <w:rPr>
                <w:noProof/>
                <w:color w:val="000000" w:themeColor="text1"/>
              </w:rPr>
              <w:t>’ means that</w:t>
            </w:r>
            <w:r w:rsidR="002850F2" w:rsidRPr="00D201DA">
              <w:rPr>
                <w:noProof/>
                <w:color w:val="000000" w:themeColor="text1"/>
              </w:rPr>
              <w:t xml:space="preserve"> </w:t>
            </w:r>
            <w:r w:rsidR="00A81385" w:rsidRPr="00D201DA">
              <w:rPr>
                <w:noProof/>
                <w:color w:val="000000" w:themeColor="text1"/>
              </w:rPr>
              <w:t xml:space="preserve">fibre </w:t>
            </w:r>
            <w:r w:rsidR="004A2E96" w:rsidRPr="00D201DA">
              <w:rPr>
                <w:noProof/>
                <w:color w:val="000000" w:themeColor="text1"/>
              </w:rPr>
              <w:t>optics are terminated in</w:t>
            </w:r>
            <w:r w:rsidR="00A81385" w:rsidRPr="00D201DA">
              <w:rPr>
                <w:noProof/>
                <w:color w:val="000000" w:themeColor="text1"/>
              </w:rPr>
              <w:t xml:space="preserve"> </w:t>
            </w:r>
            <w:r w:rsidR="002850F2" w:rsidRPr="00D201DA">
              <w:rPr>
                <w:noProof/>
                <w:color w:val="000000" w:themeColor="text1"/>
              </w:rPr>
              <w:t>the building’s basement</w:t>
            </w:r>
            <w:r w:rsidR="009F29C8" w:rsidRPr="00D201DA">
              <w:rPr>
                <w:noProof/>
                <w:color w:val="000000" w:themeColor="text1"/>
              </w:rPr>
              <w:t>.</w:t>
            </w:r>
          </w:p>
        </w:tc>
      </w:tr>
      <w:tr w:rsidR="00FF6B29" w:rsidRPr="00DE264C" w14:paraId="2BAC73C0" w14:textId="77777777" w:rsidTr="00F17DC9">
        <w:tc>
          <w:tcPr>
            <w:tcW w:w="3227" w:type="dxa"/>
            <w:tcBorders>
              <w:top w:val="double" w:sz="4" w:space="0" w:color="auto"/>
            </w:tcBorders>
            <w:tcMar>
              <w:top w:w="85" w:type="dxa"/>
              <w:left w:w="57" w:type="dxa"/>
              <w:bottom w:w="85" w:type="dxa"/>
              <w:right w:w="57" w:type="dxa"/>
            </w:tcMar>
          </w:tcPr>
          <w:p w14:paraId="32B19C2D" w14:textId="1B5E2103" w:rsidR="00FF6B29" w:rsidRPr="00DE264C" w:rsidRDefault="00FF6B29" w:rsidP="00452335">
            <w:pPr>
              <w:spacing w:after="0"/>
              <w:rPr>
                <w:noProof/>
                <w:color w:val="000000" w:themeColor="text1"/>
              </w:rPr>
            </w:pPr>
            <w:r w:rsidRPr="00DE264C">
              <w:rPr>
                <w:noProof/>
                <w:color w:val="000000" w:themeColor="text1"/>
              </w:rPr>
              <w:t>FTTC</w:t>
            </w:r>
          </w:p>
        </w:tc>
        <w:tc>
          <w:tcPr>
            <w:tcW w:w="6378" w:type="dxa"/>
            <w:tcBorders>
              <w:top w:val="double" w:sz="4" w:space="0" w:color="auto"/>
            </w:tcBorders>
            <w:tcMar>
              <w:top w:w="85" w:type="dxa"/>
              <w:left w:w="57" w:type="dxa"/>
              <w:bottom w:w="85" w:type="dxa"/>
              <w:right w:w="57" w:type="dxa"/>
            </w:tcMar>
          </w:tcPr>
          <w:p w14:paraId="62C14622" w14:textId="27A88F83" w:rsidR="00FF6B29" w:rsidRPr="00DE264C" w:rsidRDefault="001F767E" w:rsidP="00452335">
            <w:pPr>
              <w:spacing w:after="0"/>
              <w:rPr>
                <w:noProof/>
                <w:color w:val="000000" w:themeColor="text1"/>
              </w:rPr>
            </w:pPr>
            <w:r w:rsidRPr="00DE264C">
              <w:rPr>
                <w:noProof/>
                <w:color w:val="000000" w:themeColor="text1"/>
              </w:rPr>
              <w:t>‘</w:t>
            </w:r>
            <w:r w:rsidR="00EE09A7" w:rsidRPr="00DE264C">
              <w:rPr>
                <w:noProof/>
                <w:color w:val="000000" w:themeColor="text1"/>
              </w:rPr>
              <w:t>Fib</w:t>
            </w:r>
            <w:r w:rsidR="00A70EF9" w:rsidRPr="00DE264C">
              <w:rPr>
                <w:noProof/>
                <w:color w:val="000000" w:themeColor="text1"/>
              </w:rPr>
              <w:t>re</w:t>
            </w:r>
            <w:r w:rsidR="00EE09A7" w:rsidRPr="00DE264C">
              <w:rPr>
                <w:noProof/>
                <w:color w:val="000000" w:themeColor="text1"/>
              </w:rPr>
              <w:t xml:space="preserve"> to the Cabinet</w:t>
            </w:r>
            <w:r w:rsidRPr="00DE264C">
              <w:rPr>
                <w:noProof/>
                <w:color w:val="000000" w:themeColor="text1"/>
              </w:rPr>
              <w:t>’ means that</w:t>
            </w:r>
            <w:r w:rsidR="004A2E96" w:rsidRPr="00DE264C">
              <w:rPr>
                <w:noProof/>
                <w:color w:val="000000" w:themeColor="text1"/>
              </w:rPr>
              <w:t xml:space="preserve"> </w:t>
            </w:r>
            <w:r w:rsidR="00852B92" w:rsidRPr="00DE264C">
              <w:rPr>
                <w:noProof/>
                <w:color w:val="000000" w:themeColor="text1"/>
              </w:rPr>
              <w:t>the fibr</w:t>
            </w:r>
            <w:r w:rsidR="004A2E96" w:rsidRPr="00DE264C">
              <w:rPr>
                <w:noProof/>
                <w:color w:val="000000" w:themeColor="text1"/>
              </w:rPr>
              <w:t>e</w:t>
            </w:r>
            <w:r w:rsidR="00852B92" w:rsidRPr="00DE264C">
              <w:rPr>
                <w:noProof/>
                <w:color w:val="000000" w:themeColor="text1"/>
              </w:rPr>
              <w:t xml:space="preserve"> optics are terminated in the distribution cabinets on the curb. The "last mile" to the individual households is still covered using existing copper pairs</w:t>
            </w:r>
            <w:r w:rsidR="004A2E96" w:rsidRPr="00DE264C">
              <w:rPr>
                <w:noProof/>
                <w:color w:val="000000" w:themeColor="text1"/>
              </w:rPr>
              <w:t>.</w:t>
            </w:r>
          </w:p>
        </w:tc>
      </w:tr>
      <w:tr w:rsidR="00256771" w:rsidRPr="00DE264C" w14:paraId="2204103D" w14:textId="77777777" w:rsidTr="00F17DC9">
        <w:tc>
          <w:tcPr>
            <w:tcW w:w="3227" w:type="dxa"/>
            <w:tcBorders>
              <w:top w:val="double" w:sz="4" w:space="0" w:color="auto"/>
            </w:tcBorders>
            <w:tcMar>
              <w:top w:w="85" w:type="dxa"/>
              <w:left w:w="57" w:type="dxa"/>
              <w:bottom w:w="85" w:type="dxa"/>
              <w:right w:w="57" w:type="dxa"/>
            </w:tcMar>
          </w:tcPr>
          <w:p w14:paraId="15016983" w14:textId="1B523169" w:rsidR="00256771" w:rsidRPr="00DE264C" w:rsidRDefault="00256771" w:rsidP="00452335">
            <w:pPr>
              <w:spacing w:after="0"/>
              <w:rPr>
                <w:noProof/>
                <w:color w:val="000000" w:themeColor="text1"/>
              </w:rPr>
            </w:pPr>
            <w:r w:rsidRPr="00DE264C">
              <w:rPr>
                <w:noProof/>
                <w:color w:val="000000" w:themeColor="text1"/>
              </w:rPr>
              <w:t>FTTH</w:t>
            </w:r>
          </w:p>
        </w:tc>
        <w:tc>
          <w:tcPr>
            <w:tcW w:w="6378" w:type="dxa"/>
            <w:tcBorders>
              <w:top w:val="double" w:sz="4" w:space="0" w:color="auto"/>
            </w:tcBorders>
            <w:tcMar>
              <w:top w:w="85" w:type="dxa"/>
              <w:left w:w="57" w:type="dxa"/>
              <w:bottom w:w="85" w:type="dxa"/>
              <w:right w:w="57" w:type="dxa"/>
            </w:tcMar>
          </w:tcPr>
          <w:p w14:paraId="723979D7" w14:textId="684D268F" w:rsidR="00256771" w:rsidRPr="00DE264C" w:rsidRDefault="002F630A" w:rsidP="00452335">
            <w:pPr>
              <w:spacing w:after="0"/>
              <w:rPr>
                <w:noProof/>
              </w:rPr>
            </w:pPr>
            <w:r w:rsidRPr="00DE264C">
              <w:rPr>
                <w:noProof/>
              </w:rPr>
              <w:t>‘</w:t>
            </w:r>
            <w:r w:rsidR="00256771" w:rsidRPr="00DE264C">
              <w:rPr>
                <w:noProof/>
              </w:rPr>
              <w:t>Fibre to the Home</w:t>
            </w:r>
            <w:r w:rsidRPr="00DE264C">
              <w:rPr>
                <w:noProof/>
              </w:rPr>
              <w:t>’ means</w:t>
            </w:r>
            <w:r w:rsidR="00573F52" w:rsidRPr="00DE264C">
              <w:rPr>
                <w:noProof/>
              </w:rPr>
              <w:t xml:space="preserve"> a network line serving residential end consumers, consisting wholly in fibre.</w:t>
            </w:r>
          </w:p>
        </w:tc>
      </w:tr>
      <w:tr w:rsidR="00D06A40" w:rsidRPr="00DE264C" w14:paraId="576DB062" w14:textId="77777777" w:rsidTr="00F17DC9">
        <w:tc>
          <w:tcPr>
            <w:tcW w:w="3227" w:type="dxa"/>
            <w:tcBorders>
              <w:top w:val="double" w:sz="4" w:space="0" w:color="auto"/>
            </w:tcBorders>
            <w:tcMar>
              <w:top w:w="85" w:type="dxa"/>
              <w:left w:w="57" w:type="dxa"/>
              <w:bottom w:w="85" w:type="dxa"/>
              <w:right w:w="57" w:type="dxa"/>
            </w:tcMar>
          </w:tcPr>
          <w:p w14:paraId="6B5F4C1C" w14:textId="3AD71E99" w:rsidR="00D06A40" w:rsidRPr="00DE264C" w:rsidRDefault="00BC4D6A" w:rsidP="00452335">
            <w:pPr>
              <w:spacing w:after="0"/>
              <w:rPr>
                <w:noProof/>
                <w:color w:val="000000" w:themeColor="text1"/>
              </w:rPr>
            </w:pPr>
            <w:r w:rsidRPr="00DE264C">
              <w:rPr>
                <w:noProof/>
                <w:color w:val="000000" w:themeColor="text1"/>
              </w:rPr>
              <w:t>FTTP</w:t>
            </w:r>
          </w:p>
        </w:tc>
        <w:tc>
          <w:tcPr>
            <w:tcW w:w="6378" w:type="dxa"/>
            <w:tcBorders>
              <w:top w:val="double" w:sz="4" w:space="0" w:color="auto"/>
            </w:tcBorders>
            <w:tcMar>
              <w:top w:w="85" w:type="dxa"/>
              <w:left w:w="57" w:type="dxa"/>
              <w:bottom w:w="85" w:type="dxa"/>
              <w:right w:w="57" w:type="dxa"/>
            </w:tcMar>
          </w:tcPr>
          <w:p w14:paraId="41F7B87F" w14:textId="69BDAB52" w:rsidR="00D06A40" w:rsidRPr="00DE264C" w:rsidRDefault="00BC4D6A" w:rsidP="00452335">
            <w:pPr>
              <w:spacing w:after="0"/>
              <w:rPr>
                <w:noProof/>
              </w:rPr>
            </w:pPr>
            <w:r w:rsidRPr="00DE264C">
              <w:rPr>
                <w:noProof/>
              </w:rPr>
              <w:t xml:space="preserve">’Fibre to the Premises” </w:t>
            </w:r>
            <w:r w:rsidR="0063242A" w:rsidRPr="00DE264C">
              <w:rPr>
                <w:noProof/>
              </w:rPr>
              <w:t>include</w:t>
            </w:r>
            <w:r w:rsidR="00660F3F" w:rsidRPr="00DE264C">
              <w:rPr>
                <w:noProof/>
              </w:rPr>
              <w:t xml:space="preserve">s </w:t>
            </w:r>
            <w:r w:rsidR="00BA0F28" w:rsidRPr="00DE264C">
              <w:rPr>
                <w:noProof/>
              </w:rPr>
              <w:t>both</w:t>
            </w:r>
            <w:r w:rsidR="00660F3F" w:rsidRPr="00DE264C">
              <w:rPr>
                <w:noProof/>
              </w:rPr>
              <w:t xml:space="preserve"> FTTH and FTTB</w:t>
            </w:r>
            <w:r w:rsidR="00FF6D4E" w:rsidRPr="00DE264C">
              <w:rPr>
                <w:noProof/>
              </w:rPr>
              <w:t>.</w:t>
            </w:r>
          </w:p>
        </w:tc>
      </w:tr>
      <w:tr w:rsidR="00BC4D6A" w:rsidRPr="00DE264C" w14:paraId="70065C18" w14:textId="77777777" w:rsidTr="00F17DC9">
        <w:tc>
          <w:tcPr>
            <w:tcW w:w="3227" w:type="dxa"/>
            <w:tcBorders>
              <w:top w:val="double" w:sz="4" w:space="0" w:color="auto"/>
            </w:tcBorders>
            <w:tcMar>
              <w:top w:w="85" w:type="dxa"/>
              <w:left w:w="57" w:type="dxa"/>
              <w:bottom w:w="85" w:type="dxa"/>
              <w:right w:w="57" w:type="dxa"/>
            </w:tcMar>
          </w:tcPr>
          <w:p w14:paraId="76966304" w14:textId="798C998F" w:rsidR="00BC4D6A" w:rsidRPr="00DE264C" w:rsidRDefault="00BC4D6A">
            <w:pPr>
              <w:spacing w:after="0"/>
              <w:rPr>
                <w:noProof/>
                <w:color w:val="000000" w:themeColor="text1"/>
              </w:rPr>
            </w:pPr>
            <w:r w:rsidRPr="00DE264C">
              <w:rPr>
                <w:noProof/>
                <w:color w:val="000000" w:themeColor="text1"/>
              </w:rPr>
              <w:t>FWA</w:t>
            </w:r>
          </w:p>
        </w:tc>
        <w:tc>
          <w:tcPr>
            <w:tcW w:w="6378" w:type="dxa"/>
            <w:tcBorders>
              <w:top w:val="double" w:sz="4" w:space="0" w:color="auto"/>
            </w:tcBorders>
            <w:tcMar>
              <w:top w:w="85" w:type="dxa"/>
              <w:left w:w="57" w:type="dxa"/>
              <w:bottom w:w="85" w:type="dxa"/>
              <w:right w:w="57" w:type="dxa"/>
            </w:tcMar>
          </w:tcPr>
          <w:p w14:paraId="0261765C" w14:textId="222B884C" w:rsidR="00BC4D6A" w:rsidRPr="00DE264C" w:rsidRDefault="00BC4D6A">
            <w:pPr>
              <w:spacing w:after="0"/>
              <w:rPr>
                <w:noProof/>
              </w:rPr>
            </w:pPr>
            <w:r w:rsidRPr="00DE264C">
              <w:rPr>
                <w:noProof/>
              </w:rPr>
              <w:t>Fixed Wireless Access</w:t>
            </w:r>
          </w:p>
        </w:tc>
      </w:tr>
      <w:tr w:rsidR="00F17DC9" w:rsidRPr="00DE264C" w14:paraId="699F27FF" w14:textId="77777777" w:rsidTr="00F17DC9">
        <w:tc>
          <w:tcPr>
            <w:tcW w:w="3227" w:type="dxa"/>
            <w:tcBorders>
              <w:top w:val="double" w:sz="4" w:space="0" w:color="auto"/>
            </w:tcBorders>
            <w:tcMar>
              <w:top w:w="85" w:type="dxa"/>
              <w:left w:w="57" w:type="dxa"/>
              <w:bottom w:w="85" w:type="dxa"/>
              <w:right w:w="57" w:type="dxa"/>
            </w:tcMar>
          </w:tcPr>
          <w:p w14:paraId="5B132A30" w14:textId="7A1D3362" w:rsidR="00F17DC9" w:rsidRPr="00DE264C" w:rsidRDefault="00F17DC9" w:rsidP="007121B0">
            <w:pPr>
              <w:spacing w:after="0"/>
              <w:jc w:val="left"/>
              <w:rPr>
                <w:noProof/>
                <w:color w:val="000000" w:themeColor="text1"/>
              </w:rPr>
            </w:pPr>
            <w:r w:rsidRPr="00DE264C">
              <w:rPr>
                <w:noProof/>
                <w:color w:val="000000" w:themeColor="text1"/>
              </w:rPr>
              <w:t>5G Fixed Wireless Access (FWA)</w:t>
            </w:r>
          </w:p>
        </w:tc>
        <w:tc>
          <w:tcPr>
            <w:tcW w:w="6378" w:type="dxa"/>
            <w:tcBorders>
              <w:top w:val="double" w:sz="4" w:space="0" w:color="auto"/>
            </w:tcBorders>
            <w:tcMar>
              <w:top w:w="85" w:type="dxa"/>
              <w:left w:w="57" w:type="dxa"/>
              <w:bottom w:w="85" w:type="dxa"/>
              <w:right w:w="57" w:type="dxa"/>
            </w:tcMar>
          </w:tcPr>
          <w:p w14:paraId="09465107" w14:textId="4D49281E" w:rsidR="00F17DC9" w:rsidRPr="00DE264C" w:rsidRDefault="00F17DC9" w:rsidP="00F17DC9">
            <w:pPr>
              <w:spacing w:after="0"/>
              <w:rPr>
                <w:noProof/>
              </w:rPr>
            </w:pPr>
            <w:r w:rsidRPr="00DE264C">
              <w:rPr>
                <w:noProof/>
              </w:rPr>
              <w:t>5G Fixed Wireless Access (FWA) is a technology that provides high-speed internet to homes and businesses using 5G's wireless network infrastructure.</w:t>
            </w:r>
          </w:p>
        </w:tc>
      </w:tr>
      <w:tr w:rsidR="00581A03" w:rsidRPr="00DE264C" w14:paraId="45DB6AA1" w14:textId="77777777" w:rsidTr="00F17DC9">
        <w:tc>
          <w:tcPr>
            <w:tcW w:w="3227" w:type="dxa"/>
            <w:tcBorders>
              <w:top w:val="double" w:sz="4" w:space="0" w:color="auto"/>
            </w:tcBorders>
            <w:tcMar>
              <w:top w:w="85" w:type="dxa"/>
              <w:left w:w="57" w:type="dxa"/>
              <w:bottom w:w="85" w:type="dxa"/>
              <w:right w:w="57" w:type="dxa"/>
            </w:tcMar>
          </w:tcPr>
          <w:p w14:paraId="4445E13D" w14:textId="5325EA64" w:rsidR="00581A03" w:rsidRPr="007C312B" w:rsidRDefault="00581A03" w:rsidP="007121B0">
            <w:pPr>
              <w:spacing w:after="0"/>
              <w:jc w:val="left"/>
              <w:rPr>
                <w:noProof/>
                <w:lang w:val="it-IT"/>
              </w:rPr>
            </w:pPr>
            <w:r w:rsidRPr="000F3C83">
              <w:rPr>
                <w:noProof/>
                <w:lang w:val="it-IT"/>
              </w:rPr>
              <w:t>5G Non-Standalone (5G NSA)</w:t>
            </w:r>
          </w:p>
        </w:tc>
        <w:tc>
          <w:tcPr>
            <w:tcW w:w="6378" w:type="dxa"/>
            <w:tcBorders>
              <w:top w:val="double" w:sz="4" w:space="0" w:color="auto"/>
            </w:tcBorders>
            <w:tcMar>
              <w:top w:w="85" w:type="dxa"/>
              <w:left w:w="57" w:type="dxa"/>
              <w:bottom w:w="85" w:type="dxa"/>
              <w:right w:w="57" w:type="dxa"/>
            </w:tcMar>
          </w:tcPr>
          <w:p w14:paraId="47DEB53B" w14:textId="3B72D097" w:rsidR="00581A03" w:rsidRPr="00DE264C" w:rsidRDefault="00581A03" w:rsidP="00581A03">
            <w:pPr>
              <w:spacing w:after="0"/>
              <w:rPr>
                <w:noProof/>
              </w:rPr>
            </w:pPr>
            <w:r w:rsidRPr="00D201DA">
              <w:rPr>
                <w:noProof/>
              </w:rPr>
              <w:t xml:space="preserve">5G Non-Standalone (5G NSA) refers to a 5G network where a core network relies on 4G/LTE infrastructure but uses radio antennas that are based on 5G specifications. </w:t>
            </w:r>
          </w:p>
        </w:tc>
      </w:tr>
      <w:tr w:rsidR="00E001AE" w:rsidRPr="00DE264C" w14:paraId="183E7915" w14:textId="77777777" w:rsidTr="00F17DC9">
        <w:tc>
          <w:tcPr>
            <w:tcW w:w="3227" w:type="dxa"/>
            <w:tcBorders>
              <w:top w:val="double" w:sz="4" w:space="0" w:color="auto"/>
            </w:tcBorders>
            <w:tcMar>
              <w:top w:w="85" w:type="dxa"/>
              <w:left w:w="57" w:type="dxa"/>
              <w:bottom w:w="85" w:type="dxa"/>
              <w:right w:w="57" w:type="dxa"/>
            </w:tcMar>
          </w:tcPr>
          <w:p w14:paraId="78E59255" w14:textId="31063C9A" w:rsidR="00581A03" w:rsidRPr="00DE264C" w:rsidRDefault="00581A03" w:rsidP="00581A03">
            <w:pPr>
              <w:spacing w:after="0"/>
              <w:rPr>
                <w:noProof/>
              </w:rPr>
            </w:pPr>
            <w:r w:rsidRPr="00DE264C">
              <w:rPr>
                <w:noProof/>
              </w:rPr>
              <w:t>5G Standalone (5G SA)</w:t>
            </w:r>
          </w:p>
          <w:p w14:paraId="5CDEE234" w14:textId="0AF81DD3" w:rsidR="00581A03" w:rsidRPr="00DE264C" w:rsidRDefault="00581A03" w:rsidP="00581A03">
            <w:pPr>
              <w:spacing w:after="0"/>
              <w:rPr>
                <w:noProof/>
                <w:color w:val="000000" w:themeColor="text1"/>
              </w:rPr>
            </w:pPr>
          </w:p>
        </w:tc>
        <w:tc>
          <w:tcPr>
            <w:tcW w:w="6378" w:type="dxa"/>
            <w:tcBorders>
              <w:top w:val="double" w:sz="4" w:space="0" w:color="auto"/>
            </w:tcBorders>
            <w:tcMar>
              <w:top w:w="85" w:type="dxa"/>
              <w:left w:w="57" w:type="dxa"/>
              <w:bottom w:w="85" w:type="dxa"/>
              <w:right w:w="57" w:type="dxa"/>
            </w:tcMar>
          </w:tcPr>
          <w:p w14:paraId="6D98C15A" w14:textId="08B439AA" w:rsidR="00581A03" w:rsidRPr="00DE264C" w:rsidRDefault="00581A03" w:rsidP="00581A03">
            <w:pPr>
              <w:spacing w:after="0"/>
              <w:rPr>
                <w:noProof/>
              </w:rPr>
            </w:pPr>
            <w:r w:rsidRPr="00DE264C">
              <w:rPr>
                <w:noProof/>
              </w:rPr>
              <w:t>5G Standalone (5G SA) refers to</w:t>
            </w:r>
            <w:r w:rsidR="00A907F2">
              <w:rPr>
                <w:noProof/>
              </w:rPr>
              <w:t xml:space="preserve"> </w:t>
            </w:r>
            <w:r w:rsidRPr="00DE264C">
              <w:rPr>
                <w:noProof/>
              </w:rPr>
              <w:t>a 5G network that is entirely built on the 5G specifications, including it</w:t>
            </w:r>
            <w:r>
              <w:rPr>
                <w:noProof/>
              </w:rPr>
              <w:t xml:space="preserve"> </w:t>
            </w:r>
            <w:r w:rsidRPr="00DE264C">
              <w:rPr>
                <w:noProof/>
              </w:rPr>
              <w:t>dedicated 5G core network and radio antennas.</w:t>
            </w:r>
            <w:r w:rsidRPr="00DE264C" w:rsidDel="00822C12">
              <w:rPr>
                <w:noProof/>
              </w:rPr>
              <w:t xml:space="preserve"> </w:t>
            </w:r>
            <w:r w:rsidRPr="00DE264C">
              <w:rPr>
                <w:noProof/>
              </w:rPr>
              <w:t>5G SA offers lower latency, faster speeds, and enhanced reliability compared to 5G NSA.</w:t>
            </w:r>
          </w:p>
        </w:tc>
      </w:tr>
      <w:tr w:rsidR="00E001AE" w:rsidRPr="00DE264C" w14:paraId="652CF72A" w14:textId="77777777" w:rsidTr="00F17DC9">
        <w:tc>
          <w:tcPr>
            <w:tcW w:w="3227" w:type="dxa"/>
            <w:tcBorders>
              <w:top w:val="double" w:sz="4" w:space="0" w:color="auto"/>
            </w:tcBorders>
            <w:tcMar>
              <w:top w:w="85" w:type="dxa"/>
              <w:left w:w="57" w:type="dxa"/>
              <w:bottom w:w="85" w:type="dxa"/>
              <w:right w:w="57" w:type="dxa"/>
            </w:tcMar>
          </w:tcPr>
          <w:p w14:paraId="432C6EB0" w14:textId="4F2C4E2C" w:rsidR="00581A03" w:rsidRPr="00DE264C" w:rsidRDefault="00581A03" w:rsidP="00581A03">
            <w:pPr>
              <w:spacing w:after="0"/>
              <w:rPr>
                <w:noProof/>
                <w:color w:val="000000" w:themeColor="text1"/>
              </w:rPr>
            </w:pPr>
            <w:r w:rsidRPr="00DE264C">
              <w:rPr>
                <w:noProof/>
                <w:color w:val="000000" w:themeColor="text1"/>
              </w:rPr>
              <w:t>G</w:t>
            </w:r>
            <w:r w:rsidRPr="00DE264C">
              <w:rPr>
                <w:noProof/>
              </w:rPr>
              <w:t>eneral authorisation</w:t>
            </w:r>
          </w:p>
        </w:tc>
        <w:tc>
          <w:tcPr>
            <w:tcW w:w="6378" w:type="dxa"/>
            <w:tcBorders>
              <w:top w:val="double" w:sz="4" w:space="0" w:color="auto"/>
            </w:tcBorders>
            <w:tcMar>
              <w:top w:w="85" w:type="dxa"/>
              <w:left w:w="57" w:type="dxa"/>
              <w:bottom w:w="85" w:type="dxa"/>
              <w:right w:w="57" w:type="dxa"/>
            </w:tcMar>
          </w:tcPr>
          <w:p w14:paraId="1A9F1D1F" w14:textId="7C5C4038" w:rsidR="00581A03" w:rsidRPr="00DE264C" w:rsidRDefault="00581A03" w:rsidP="00581A03">
            <w:pPr>
              <w:spacing w:after="0"/>
              <w:rPr>
                <w:noProof/>
              </w:rPr>
            </w:pPr>
            <w:r w:rsidRPr="00DE264C">
              <w:rPr>
                <w:noProof/>
              </w:rPr>
              <w:t xml:space="preserve">Legal framework established by a Member State ensuring rights for the provision of electronic communications networks or services and laying down sector-specific obligations that may apply to all or to specific types of electronic communications networks and services, in accordance with the EECC. </w:t>
            </w:r>
          </w:p>
        </w:tc>
      </w:tr>
      <w:tr w:rsidR="00E001AE" w:rsidRPr="00DE264C" w14:paraId="2E2C53A3" w14:textId="77777777" w:rsidTr="00F17DC9">
        <w:tc>
          <w:tcPr>
            <w:tcW w:w="3227" w:type="dxa"/>
            <w:tcBorders>
              <w:top w:val="double" w:sz="4" w:space="0" w:color="auto"/>
            </w:tcBorders>
            <w:tcMar>
              <w:top w:w="85" w:type="dxa"/>
              <w:left w:w="57" w:type="dxa"/>
              <w:bottom w:w="85" w:type="dxa"/>
              <w:right w:w="57" w:type="dxa"/>
            </w:tcMar>
          </w:tcPr>
          <w:p w14:paraId="0A94AE6E" w14:textId="7A189495" w:rsidR="00581A03" w:rsidRPr="00DE264C" w:rsidRDefault="00581A03" w:rsidP="00581A03">
            <w:pPr>
              <w:spacing w:after="0"/>
              <w:rPr>
                <w:noProof/>
                <w:color w:val="000000" w:themeColor="text1"/>
              </w:rPr>
            </w:pPr>
            <w:r>
              <w:rPr>
                <w:noProof/>
                <w:color w:val="000000" w:themeColor="text1"/>
              </w:rPr>
              <w:t xml:space="preserve">GADB  </w:t>
            </w:r>
          </w:p>
        </w:tc>
        <w:tc>
          <w:tcPr>
            <w:tcW w:w="6378" w:type="dxa"/>
            <w:tcBorders>
              <w:top w:val="double" w:sz="4" w:space="0" w:color="auto"/>
            </w:tcBorders>
            <w:tcMar>
              <w:top w:w="85" w:type="dxa"/>
              <w:left w:w="57" w:type="dxa"/>
              <w:bottom w:w="85" w:type="dxa"/>
              <w:right w:w="57" w:type="dxa"/>
            </w:tcMar>
          </w:tcPr>
          <w:p w14:paraId="04F460A5" w14:textId="1C091C3B" w:rsidR="00581A03" w:rsidRPr="00DE264C" w:rsidRDefault="00581A03" w:rsidP="00581A03">
            <w:pPr>
              <w:spacing w:after="0"/>
              <w:rPr>
                <w:noProof/>
              </w:rPr>
            </w:pPr>
            <w:r>
              <w:rPr>
                <w:noProof/>
              </w:rPr>
              <w:t xml:space="preserve">BEREC </w:t>
            </w:r>
            <w:r w:rsidRPr="007F3795">
              <w:rPr>
                <w:noProof/>
              </w:rPr>
              <w:t>General Authorisation Data</w:t>
            </w:r>
            <w:r>
              <w:rPr>
                <w:noProof/>
              </w:rPr>
              <w:t>b</w:t>
            </w:r>
            <w:r w:rsidRPr="007F3795">
              <w:rPr>
                <w:noProof/>
              </w:rPr>
              <w:t xml:space="preserve">ase </w:t>
            </w:r>
          </w:p>
        </w:tc>
      </w:tr>
      <w:tr w:rsidR="00E001AE" w:rsidRPr="00DE264C" w14:paraId="1B777DD1" w14:textId="77777777" w:rsidTr="00F17DC9">
        <w:tc>
          <w:tcPr>
            <w:tcW w:w="3227" w:type="dxa"/>
            <w:tcBorders>
              <w:top w:val="double" w:sz="4" w:space="0" w:color="auto"/>
            </w:tcBorders>
            <w:tcMar>
              <w:top w:w="85" w:type="dxa"/>
              <w:left w:w="57" w:type="dxa"/>
              <w:bottom w:w="85" w:type="dxa"/>
              <w:right w:w="57" w:type="dxa"/>
            </w:tcMar>
          </w:tcPr>
          <w:p w14:paraId="54643A90" w14:textId="248CBFE7" w:rsidR="00581A03" w:rsidRPr="00DE264C" w:rsidRDefault="00581A03" w:rsidP="00581A03">
            <w:pPr>
              <w:spacing w:after="0"/>
              <w:rPr>
                <w:noProof/>
                <w:color w:val="000000" w:themeColor="text1"/>
              </w:rPr>
            </w:pPr>
            <w:r w:rsidRPr="00DE264C">
              <w:rPr>
                <w:noProof/>
                <w:color w:val="000000" w:themeColor="text1"/>
              </w:rPr>
              <w:t>Gbit</w:t>
            </w:r>
          </w:p>
        </w:tc>
        <w:tc>
          <w:tcPr>
            <w:tcW w:w="6378" w:type="dxa"/>
            <w:tcBorders>
              <w:top w:val="double" w:sz="4" w:space="0" w:color="auto"/>
            </w:tcBorders>
            <w:tcMar>
              <w:top w:w="85" w:type="dxa"/>
              <w:left w:w="57" w:type="dxa"/>
              <w:bottom w:w="85" w:type="dxa"/>
              <w:right w:w="57" w:type="dxa"/>
            </w:tcMar>
          </w:tcPr>
          <w:p w14:paraId="2427871F" w14:textId="46AACACC" w:rsidR="00581A03" w:rsidRPr="00DE264C" w:rsidRDefault="00581A03" w:rsidP="00581A03">
            <w:pPr>
              <w:spacing w:after="0"/>
              <w:rPr>
                <w:noProof/>
              </w:rPr>
            </w:pPr>
            <w:r w:rsidRPr="00DE264C">
              <w:rPr>
                <w:noProof/>
              </w:rPr>
              <w:t>Gigabit</w:t>
            </w:r>
          </w:p>
        </w:tc>
      </w:tr>
      <w:tr w:rsidR="00E001AE" w:rsidRPr="00DE264C" w14:paraId="31CA2C12" w14:textId="77777777" w:rsidTr="00F17DC9">
        <w:tc>
          <w:tcPr>
            <w:tcW w:w="3227" w:type="dxa"/>
            <w:tcBorders>
              <w:top w:val="double" w:sz="4" w:space="0" w:color="auto"/>
            </w:tcBorders>
            <w:tcMar>
              <w:top w:w="85" w:type="dxa"/>
              <w:left w:w="57" w:type="dxa"/>
              <w:bottom w:w="85" w:type="dxa"/>
              <w:right w:w="57" w:type="dxa"/>
            </w:tcMar>
          </w:tcPr>
          <w:p w14:paraId="2134E1D9" w14:textId="2132D1B2" w:rsidR="00581A03" w:rsidRPr="00DE264C" w:rsidRDefault="00581A03" w:rsidP="00581A03">
            <w:pPr>
              <w:spacing w:after="0"/>
              <w:rPr>
                <w:noProof/>
                <w:color w:val="000000" w:themeColor="text1"/>
              </w:rPr>
            </w:pPr>
            <w:r w:rsidRPr="00DE264C">
              <w:rPr>
                <w:noProof/>
                <w:color w:val="000000" w:themeColor="text1"/>
              </w:rPr>
              <w:t>GDP</w:t>
            </w:r>
          </w:p>
        </w:tc>
        <w:tc>
          <w:tcPr>
            <w:tcW w:w="6378" w:type="dxa"/>
            <w:tcBorders>
              <w:top w:val="double" w:sz="4" w:space="0" w:color="auto"/>
            </w:tcBorders>
            <w:tcMar>
              <w:top w:w="85" w:type="dxa"/>
              <w:left w:w="57" w:type="dxa"/>
              <w:bottom w:w="85" w:type="dxa"/>
              <w:right w:w="57" w:type="dxa"/>
            </w:tcMar>
          </w:tcPr>
          <w:p w14:paraId="04C918D4" w14:textId="35A36E7C" w:rsidR="00581A03" w:rsidRPr="00DE264C" w:rsidRDefault="00581A03" w:rsidP="00581A03">
            <w:pPr>
              <w:spacing w:after="0"/>
              <w:rPr>
                <w:noProof/>
              </w:rPr>
            </w:pPr>
            <w:r w:rsidRPr="00DE264C">
              <w:rPr>
                <w:noProof/>
              </w:rPr>
              <w:t>Gross Domestic Product</w:t>
            </w:r>
          </w:p>
        </w:tc>
      </w:tr>
      <w:tr w:rsidR="00E001AE" w:rsidRPr="00DE264C" w14:paraId="61D7E399" w14:textId="77777777" w:rsidTr="00F17DC9">
        <w:tc>
          <w:tcPr>
            <w:tcW w:w="3227" w:type="dxa"/>
            <w:tcBorders>
              <w:top w:val="double" w:sz="4" w:space="0" w:color="auto"/>
            </w:tcBorders>
            <w:tcMar>
              <w:top w:w="85" w:type="dxa"/>
              <w:left w:w="57" w:type="dxa"/>
              <w:bottom w:w="85" w:type="dxa"/>
              <w:right w:w="57" w:type="dxa"/>
            </w:tcMar>
          </w:tcPr>
          <w:p w14:paraId="2640DB37" w14:textId="59D25633" w:rsidR="00581A03" w:rsidRPr="00DE264C" w:rsidRDefault="00581A03" w:rsidP="00581A03">
            <w:pPr>
              <w:spacing w:after="0"/>
              <w:rPr>
                <w:noProof/>
                <w:color w:val="000000" w:themeColor="text1"/>
              </w:rPr>
            </w:pPr>
            <w:r w:rsidRPr="00DE264C">
              <w:rPr>
                <w:noProof/>
                <w:color w:val="000000" w:themeColor="text1"/>
              </w:rPr>
              <w:t>GIA</w:t>
            </w:r>
          </w:p>
        </w:tc>
        <w:tc>
          <w:tcPr>
            <w:tcW w:w="6378" w:type="dxa"/>
            <w:tcBorders>
              <w:top w:val="double" w:sz="4" w:space="0" w:color="auto"/>
            </w:tcBorders>
            <w:tcMar>
              <w:top w:w="85" w:type="dxa"/>
              <w:left w:w="57" w:type="dxa"/>
              <w:bottom w:w="85" w:type="dxa"/>
              <w:right w:w="57" w:type="dxa"/>
            </w:tcMar>
          </w:tcPr>
          <w:p w14:paraId="2126A014" w14:textId="7541C37B" w:rsidR="00581A03" w:rsidRPr="00DE264C" w:rsidRDefault="00581A03" w:rsidP="00581A03">
            <w:pPr>
              <w:spacing w:after="0"/>
              <w:rPr>
                <w:noProof/>
              </w:rPr>
            </w:pPr>
            <w:r w:rsidRPr="00DE264C">
              <w:rPr>
                <w:noProof/>
              </w:rPr>
              <w:t>Gigabit Infrastructure Act</w:t>
            </w:r>
          </w:p>
        </w:tc>
      </w:tr>
      <w:tr w:rsidR="00E001AE" w:rsidRPr="00DE264C" w14:paraId="15C4B888" w14:textId="77777777" w:rsidTr="00F17DC9">
        <w:tc>
          <w:tcPr>
            <w:tcW w:w="3227" w:type="dxa"/>
            <w:tcBorders>
              <w:top w:val="double" w:sz="4" w:space="0" w:color="auto"/>
            </w:tcBorders>
            <w:tcMar>
              <w:top w:w="85" w:type="dxa"/>
              <w:left w:w="57" w:type="dxa"/>
              <w:bottom w:w="85" w:type="dxa"/>
              <w:right w:w="57" w:type="dxa"/>
            </w:tcMar>
          </w:tcPr>
          <w:p w14:paraId="33D3CDFC" w14:textId="61E06FC4" w:rsidR="00581A03" w:rsidRPr="00581A03" w:rsidRDefault="00581A03" w:rsidP="00581A03">
            <w:pPr>
              <w:spacing w:after="0"/>
              <w:rPr>
                <w:noProof/>
                <w:color w:val="000000" w:themeColor="text1"/>
              </w:rPr>
            </w:pPr>
            <w:r w:rsidRPr="00DE264C">
              <w:rPr>
                <w:noProof/>
                <w:color w:val="000000" w:themeColor="text1"/>
              </w:rPr>
              <w:t>G.fast</w:t>
            </w:r>
          </w:p>
        </w:tc>
        <w:tc>
          <w:tcPr>
            <w:tcW w:w="6378" w:type="dxa"/>
            <w:tcBorders>
              <w:top w:val="double" w:sz="4" w:space="0" w:color="auto"/>
            </w:tcBorders>
            <w:tcMar>
              <w:top w:w="85" w:type="dxa"/>
              <w:left w:w="57" w:type="dxa"/>
              <w:bottom w:w="85" w:type="dxa"/>
              <w:right w:w="57" w:type="dxa"/>
            </w:tcMar>
          </w:tcPr>
          <w:p w14:paraId="5F9211D0" w14:textId="252B7420" w:rsidR="00581A03" w:rsidRPr="00581A03" w:rsidRDefault="00581A03" w:rsidP="00581A03">
            <w:pPr>
              <w:spacing w:after="0"/>
              <w:rPr>
                <w:noProof/>
              </w:rPr>
            </w:pPr>
            <w:r w:rsidRPr="00DE264C">
              <w:rPr>
                <w:noProof/>
              </w:rPr>
              <w:t>‘G.fast’ is a broadband access technology that delivers ultrafast internet speeds over existing copper lines, typically in combination with fibre (FTTC) for the last segment to homes or businesses.</w:t>
            </w:r>
          </w:p>
        </w:tc>
      </w:tr>
      <w:tr w:rsidR="00E001AE" w:rsidRPr="00DE264C" w14:paraId="0F36B6E8" w14:textId="77777777" w:rsidTr="00F17DC9">
        <w:tc>
          <w:tcPr>
            <w:tcW w:w="3227" w:type="dxa"/>
            <w:tcBorders>
              <w:top w:val="double" w:sz="4" w:space="0" w:color="auto"/>
            </w:tcBorders>
            <w:tcMar>
              <w:top w:w="85" w:type="dxa"/>
              <w:left w:w="57" w:type="dxa"/>
              <w:bottom w:w="85" w:type="dxa"/>
              <w:right w:w="57" w:type="dxa"/>
            </w:tcMar>
          </w:tcPr>
          <w:p w14:paraId="6557CA32" w14:textId="3A822A4E" w:rsidR="00581A03" w:rsidRPr="00DE264C" w:rsidRDefault="00581A03" w:rsidP="00581A03">
            <w:pPr>
              <w:spacing w:after="0"/>
              <w:rPr>
                <w:noProof/>
                <w:color w:val="000000" w:themeColor="text1"/>
              </w:rPr>
            </w:pPr>
            <w:r w:rsidRPr="001B0D2D">
              <w:rPr>
                <w:noProof/>
                <w:color w:val="000000" w:themeColor="text1"/>
              </w:rPr>
              <w:t>IMT</w:t>
            </w:r>
          </w:p>
        </w:tc>
        <w:tc>
          <w:tcPr>
            <w:tcW w:w="6378" w:type="dxa"/>
            <w:tcBorders>
              <w:top w:val="double" w:sz="4" w:space="0" w:color="auto"/>
            </w:tcBorders>
            <w:tcMar>
              <w:top w:w="85" w:type="dxa"/>
              <w:left w:w="57" w:type="dxa"/>
              <w:bottom w:w="85" w:type="dxa"/>
              <w:right w:w="57" w:type="dxa"/>
            </w:tcMar>
          </w:tcPr>
          <w:p w14:paraId="73F4D0EE" w14:textId="62C84522" w:rsidR="00581A03" w:rsidRPr="00DE264C" w:rsidRDefault="00581A03" w:rsidP="00581A03">
            <w:pPr>
              <w:spacing w:after="0"/>
              <w:rPr>
                <w:noProof/>
              </w:rPr>
            </w:pPr>
            <w:r w:rsidRPr="001B0D2D">
              <w:rPr>
                <w:noProof/>
              </w:rPr>
              <w:t>International Mobile Telecommunications</w:t>
            </w:r>
          </w:p>
        </w:tc>
      </w:tr>
      <w:tr w:rsidR="00E001AE" w:rsidRPr="00DE264C" w14:paraId="030047E4" w14:textId="77777777" w:rsidTr="00F17DC9">
        <w:tc>
          <w:tcPr>
            <w:tcW w:w="3227" w:type="dxa"/>
            <w:tcBorders>
              <w:top w:val="double" w:sz="4" w:space="0" w:color="auto"/>
            </w:tcBorders>
            <w:tcMar>
              <w:top w:w="85" w:type="dxa"/>
              <w:left w:w="57" w:type="dxa"/>
              <w:bottom w:w="85" w:type="dxa"/>
              <w:right w:w="57" w:type="dxa"/>
            </w:tcMar>
          </w:tcPr>
          <w:p w14:paraId="3535203A" w14:textId="020C9E73" w:rsidR="00581A03" w:rsidRPr="00DE264C" w:rsidRDefault="00581A03" w:rsidP="00581A03">
            <w:pPr>
              <w:spacing w:after="0"/>
              <w:rPr>
                <w:noProof/>
                <w:color w:val="000000" w:themeColor="text1"/>
              </w:rPr>
            </w:pPr>
            <w:r w:rsidRPr="00DE264C">
              <w:rPr>
                <w:noProof/>
                <w:color w:val="000000" w:themeColor="text1"/>
              </w:rPr>
              <w:t>IoT</w:t>
            </w:r>
          </w:p>
        </w:tc>
        <w:tc>
          <w:tcPr>
            <w:tcW w:w="6378" w:type="dxa"/>
            <w:tcBorders>
              <w:top w:val="double" w:sz="4" w:space="0" w:color="auto"/>
            </w:tcBorders>
            <w:tcMar>
              <w:top w:w="85" w:type="dxa"/>
              <w:left w:w="57" w:type="dxa"/>
              <w:bottom w:w="85" w:type="dxa"/>
              <w:right w:w="57" w:type="dxa"/>
            </w:tcMar>
          </w:tcPr>
          <w:p w14:paraId="5222255D" w14:textId="3F5694C2" w:rsidR="00581A03" w:rsidRPr="00DE264C" w:rsidRDefault="00581A03" w:rsidP="00581A03">
            <w:pPr>
              <w:spacing w:after="0"/>
              <w:rPr>
                <w:noProof/>
              </w:rPr>
            </w:pPr>
            <w:r w:rsidRPr="00DE264C">
              <w:rPr>
                <w:noProof/>
              </w:rPr>
              <w:t>Internet of Things</w:t>
            </w:r>
          </w:p>
        </w:tc>
      </w:tr>
      <w:tr w:rsidR="00E001AE" w:rsidRPr="00DE264C" w14:paraId="60F45372" w14:textId="77777777" w:rsidTr="00F17DC9">
        <w:tc>
          <w:tcPr>
            <w:tcW w:w="3227" w:type="dxa"/>
            <w:tcBorders>
              <w:top w:val="double" w:sz="4" w:space="0" w:color="auto"/>
            </w:tcBorders>
            <w:tcMar>
              <w:top w:w="85" w:type="dxa"/>
              <w:left w:w="57" w:type="dxa"/>
              <w:bottom w:w="85" w:type="dxa"/>
              <w:right w:w="57" w:type="dxa"/>
            </w:tcMar>
          </w:tcPr>
          <w:p w14:paraId="7211614E" w14:textId="59C66810" w:rsidR="00581A03" w:rsidRPr="00DE264C" w:rsidRDefault="00581A03" w:rsidP="00581A03">
            <w:pPr>
              <w:spacing w:after="0"/>
              <w:rPr>
                <w:noProof/>
                <w:color w:val="000000" w:themeColor="text1"/>
              </w:rPr>
            </w:pPr>
            <w:r w:rsidRPr="00DE264C">
              <w:rPr>
                <w:noProof/>
                <w:color w:val="000000" w:themeColor="text1"/>
              </w:rPr>
              <w:t>ISP</w:t>
            </w:r>
          </w:p>
        </w:tc>
        <w:tc>
          <w:tcPr>
            <w:tcW w:w="6378" w:type="dxa"/>
            <w:tcBorders>
              <w:top w:val="double" w:sz="4" w:space="0" w:color="auto"/>
            </w:tcBorders>
            <w:tcMar>
              <w:top w:w="85" w:type="dxa"/>
              <w:left w:w="57" w:type="dxa"/>
              <w:bottom w:w="85" w:type="dxa"/>
              <w:right w:w="57" w:type="dxa"/>
            </w:tcMar>
          </w:tcPr>
          <w:p w14:paraId="1FCEF0B0" w14:textId="45B50F7A" w:rsidR="00581A03" w:rsidRPr="00DE264C" w:rsidRDefault="00581A03" w:rsidP="00581A03">
            <w:pPr>
              <w:spacing w:after="0"/>
              <w:rPr>
                <w:noProof/>
              </w:rPr>
            </w:pPr>
            <w:r w:rsidRPr="00DE264C">
              <w:rPr>
                <w:noProof/>
              </w:rPr>
              <w:t xml:space="preserve">Internet Service Provider </w:t>
            </w:r>
          </w:p>
        </w:tc>
      </w:tr>
      <w:tr w:rsidR="005C6769" w:rsidRPr="00DE264C" w14:paraId="50F3995A"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233BBAC6" w14:textId="7AB6C734" w:rsidR="00581A03" w:rsidRPr="00DE264C" w:rsidRDefault="00581A03" w:rsidP="00581A03">
            <w:pPr>
              <w:spacing w:after="0"/>
              <w:rPr>
                <w:noProof/>
                <w:lang w:val="en-IE"/>
              </w:rPr>
            </w:pPr>
            <w:r w:rsidRPr="00D201DA">
              <w:rPr>
                <w:noProof/>
              </w:rPr>
              <w:t>High quality 5G network</w:t>
            </w:r>
          </w:p>
        </w:tc>
        <w:tc>
          <w:tcPr>
            <w:tcW w:w="6378" w:type="dxa"/>
            <w:tcBorders>
              <w:top w:val="double" w:sz="4" w:space="0" w:color="auto"/>
              <w:bottom w:val="double" w:sz="4" w:space="0" w:color="auto"/>
            </w:tcBorders>
            <w:tcMar>
              <w:top w:w="85" w:type="dxa"/>
              <w:left w:w="57" w:type="dxa"/>
              <w:bottom w:w="85" w:type="dxa"/>
              <w:right w:w="57" w:type="dxa"/>
            </w:tcMar>
          </w:tcPr>
          <w:p w14:paraId="457913A6" w14:textId="78B18D6D" w:rsidR="00581A03" w:rsidRPr="00DE264C" w:rsidRDefault="00581A03" w:rsidP="00581A03">
            <w:pPr>
              <w:spacing w:after="0"/>
              <w:rPr>
                <w:noProof/>
              </w:rPr>
            </w:pPr>
            <w:r w:rsidRPr="00D201DA">
              <w:rPr>
                <w:noProof/>
              </w:rPr>
              <w:t xml:space="preserve">High quality 5G network refers to a 5G SA network that provides a high quality of service in terms of latency, data speeds and reliability, and enables the full range of 5G usage scenarios, such as enhanced mobile broadband (EBB), </w:t>
            </w:r>
            <w:r w:rsidRPr="00DE264C">
              <w:rPr>
                <w:noProof/>
              </w:rPr>
              <w:t xml:space="preserve">ultra-reliable low-latency communications (URLLC), and massive machine-type communications (mMTC), as well as network </w:t>
            </w:r>
            <w:r w:rsidR="007F61EC" w:rsidRPr="00DE264C">
              <w:rPr>
                <w:noProof/>
              </w:rPr>
              <w:t>slicing</w:t>
            </w:r>
            <w:r w:rsidRPr="00DE264C">
              <w:rPr>
                <w:noProof/>
              </w:rPr>
              <w:t>.</w:t>
            </w:r>
          </w:p>
        </w:tc>
      </w:tr>
      <w:tr w:rsidR="00DA0C79" w:rsidRPr="00DE264C" w14:paraId="125FABF3"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56F1DD43" w14:textId="560AECC5" w:rsidR="00DA0C79" w:rsidRPr="00292895" w:rsidRDefault="00DA0C79" w:rsidP="00581A03">
            <w:pPr>
              <w:spacing w:after="0"/>
              <w:rPr>
                <w:noProof/>
                <w:lang w:val="en-IE"/>
              </w:rPr>
            </w:pPr>
            <w:r w:rsidRPr="00DE264C">
              <w:rPr>
                <w:noProof/>
              </w:rPr>
              <w:t>Low Earth Orbit (LEO) satellite</w:t>
            </w:r>
          </w:p>
        </w:tc>
        <w:tc>
          <w:tcPr>
            <w:tcW w:w="6378" w:type="dxa"/>
            <w:tcBorders>
              <w:top w:val="double" w:sz="4" w:space="0" w:color="auto"/>
              <w:bottom w:val="double" w:sz="4" w:space="0" w:color="auto"/>
            </w:tcBorders>
            <w:tcMar>
              <w:top w:w="85" w:type="dxa"/>
              <w:left w:w="57" w:type="dxa"/>
              <w:bottom w:w="85" w:type="dxa"/>
              <w:right w:w="57" w:type="dxa"/>
            </w:tcMar>
          </w:tcPr>
          <w:p w14:paraId="17C241B6" w14:textId="7B7F96DF" w:rsidR="00DA0C79" w:rsidRPr="00DE264C" w:rsidRDefault="00DA0C79" w:rsidP="00581A03">
            <w:pPr>
              <w:spacing w:after="0"/>
              <w:rPr>
                <w:noProof/>
                <w:lang w:val="en-IE"/>
              </w:rPr>
            </w:pPr>
            <w:r w:rsidRPr="00DE264C">
              <w:rPr>
                <w:noProof/>
              </w:rPr>
              <w:t>A LEO satellite orbits the Earth at a relatively low altitude, typically between 500 and 2,000 kilometres.</w:t>
            </w:r>
            <w:r w:rsidR="00D15D2B">
              <w:rPr>
                <w:noProof/>
              </w:rPr>
              <w:t xml:space="preserve"> </w:t>
            </w:r>
            <w:r w:rsidRPr="00DE264C">
              <w:rPr>
                <w:noProof/>
              </w:rPr>
              <w:t>Close proximity to Earth allows for lower latency, faster internet speeds, and higher resolution imaging.</w:t>
            </w:r>
          </w:p>
        </w:tc>
      </w:tr>
      <w:tr w:rsidR="00284150" w:rsidRPr="00DE264C" w14:paraId="39F18EC1"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16CAA445" w14:textId="30386CF6" w:rsidR="00284150" w:rsidRPr="00DE264C" w:rsidRDefault="00284150" w:rsidP="00CA0EFB">
            <w:pPr>
              <w:spacing w:after="0"/>
              <w:jc w:val="left"/>
              <w:rPr>
                <w:noProof/>
              </w:rPr>
            </w:pPr>
            <w:r w:rsidRPr="00D201DA">
              <w:rPr>
                <w:noProof/>
                <w:color w:val="000000" w:themeColor="text1"/>
              </w:rPr>
              <w:t>Market shaping measures in spectrum assignments</w:t>
            </w:r>
          </w:p>
        </w:tc>
        <w:tc>
          <w:tcPr>
            <w:tcW w:w="6378" w:type="dxa"/>
            <w:tcBorders>
              <w:top w:val="double" w:sz="4" w:space="0" w:color="auto"/>
              <w:bottom w:val="double" w:sz="4" w:space="0" w:color="auto"/>
            </w:tcBorders>
            <w:tcMar>
              <w:top w:w="85" w:type="dxa"/>
              <w:left w:w="57" w:type="dxa"/>
              <w:bottom w:w="85" w:type="dxa"/>
              <w:right w:w="57" w:type="dxa"/>
            </w:tcMar>
          </w:tcPr>
          <w:p w14:paraId="770C9D0A" w14:textId="022CDAC5" w:rsidR="00284150" w:rsidRPr="00DE264C" w:rsidRDefault="00284150" w:rsidP="00284150">
            <w:pPr>
              <w:spacing w:after="0"/>
              <w:rPr>
                <w:noProof/>
              </w:rPr>
            </w:pPr>
            <w:r w:rsidRPr="00DE264C">
              <w:rPr>
                <w:noProof/>
              </w:rPr>
              <w:t>Market shaping measures are measures such as one provided in art. 52(2) of EECC such as: spectrum caps, reservations, floors, conditions prohibiting transfers, or the accumulation of rights of</w:t>
            </w:r>
            <w:r w:rsidR="00B32DA3">
              <w:rPr>
                <w:noProof/>
              </w:rPr>
              <w:t xml:space="preserve"> M</w:t>
            </w:r>
            <w:r w:rsidRPr="00DE264C">
              <w:rPr>
                <w:noProof/>
              </w:rPr>
              <w:t>SS (Mobile Satellite Service).</w:t>
            </w:r>
          </w:p>
        </w:tc>
      </w:tr>
      <w:tr w:rsidR="0078521B" w:rsidRPr="00DE264C" w14:paraId="5336F114"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38FD6967" w14:textId="2B4E8278" w:rsidR="0078521B" w:rsidRPr="00DE264C" w:rsidRDefault="0078521B" w:rsidP="0078521B">
            <w:pPr>
              <w:spacing w:after="0"/>
              <w:rPr>
                <w:noProof/>
              </w:rPr>
            </w:pPr>
            <w:r w:rsidRPr="00D201DA">
              <w:rPr>
                <w:noProof/>
              </w:rPr>
              <w:t>mMTC</w:t>
            </w:r>
          </w:p>
        </w:tc>
        <w:tc>
          <w:tcPr>
            <w:tcW w:w="6378" w:type="dxa"/>
            <w:tcBorders>
              <w:top w:val="double" w:sz="4" w:space="0" w:color="auto"/>
              <w:bottom w:val="double" w:sz="4" w:space="0" w:color="auto"/>
            </w:tcBorders>
            <w:tcMar>
              <w:top w:w="85" w:type="dxa"/>
              <w:left w:w="57" w:type="dxa"/>
              <w:bottom w:w="85" w:type="dxa"/>
              <w:right w:w="57" w:type="dxa"/>
            </w:tcMar>
          </w:tcPr>
          <w:p w14:paraId="6CC16B1C" w14:textId="7DF00191" w:rsidR="0078521B" w:rsidRPr="00DE264C" w:rsidRDefault="0078521B" w:rsidP="0078521B">
            <w:pPr>
              <w:spacing w:after="0"/>
              <w:rPr>
                <w:noProof/>
              </w:rPr>
            </w:pPr>
            <w:r w:rsidRPr="00D201DA">
              <w:rPr>
                <w:noProof/>
              </w:rPr>
              <w:t xml:space="preserve">Massive machine-type communications </w:t>
            </w:r>
          </w:p>
        </w:tc>
      </w:tr>
      <w:tr w:rsidR="0078521B" w:rsidRPr="00DE264C" w14:paraId="1CE71C1F"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4EF3AB0D" w14:textId="7479B3E2" w:rsidR="0078521B" w:rsidRPr="00DE264C" w:rsidRDefault="0078521B" w:rsidP="0078521B">
            <w:pPr>
              <w:spacing w:after="0"/>
              <w:rPr>
                <w:noProof/>
              </w:rPr>
            </w:pPr>
            <w:r w:rsidRPr="00DE264C">
              <w:rPr>
                <w:noProof/>
              </w:rPr>
              <w:t>Mbps</w:t>
            </w:r>
          </w:p>
        </w:tc>
        <w:tc>
          <w:tcPr>
            <w:tcW w:w="6378" w:type="dxa"/>
            <w:tcBorders>
              <w:top w:val="double" w:sz="4" w:space="0" w:color="auto"/>
              <w:bottom w:val="double" w:sz="4" w:space="0" w:color="auto"/>
            </w:tcBorders>
            <w:tcMar>
              <w:top w:w="85" w:type="dxa"/>
              <w:left w:w="57" w:type="dxa"/>
              <w:bottom w:w="85" w:type="dxa"/>
              <w:right w:w="57" w:type="dxa"/>
            </w:tcMar>
          </w:tcPr>
          <w:p w14:paraId="74F6033C" w14:textId="7BF6C8FA" w:rsidR="0078521B" w:rsidRPr="00DE264C" w:rsidRDefault="0078521B" w:rsidP="0078521B">
            <w:pPr>
              <w:spacing w:after="0"/>
              <w:rPr>
                <w:noProof/>
              </w:rPr>
            </w:pPr>
            <w:r w:rsidRPr="00DE264C">
              <w:rPr>
                <w:noProof/>
              </w:rPr>
              <w:t>Megabits per second</w:t>
            </w:r>
          </w:p>
        </w:tc>
      </w:tr>
      <w:tr w:rsidR="0078521B" w:rsidRPr="00DE264C" w14:paraId="64CABE67"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60E4C189" w14:textId="458923F8" w:rsidR="0078521B" w:rsidRPr="00DE264C" w:rsidRDefault="0078521B" w:rsidP="0078521B">
            <w:pPr>
              <w:spacing w:after="0"/>
              <w:rPr>
                <w:noProof/>
              </w:rPr>
            </w:pPr>
            <w:r w:rsidRPr="00DE264C">
              <w:rPr>
                <w:noProof/>
              </w:rPr>
              <w:t>MSS (Mobile Satellite Service)</w:t>
            </w:r>
          </w:p>
        </w:tc>
        <w:tc>
          <w:tcPr>
            <w:tcW w:w="6378" w:type="dxa"/>
            <w:tcBorders>
              <w:top w:val="double" w:sz="4" w:space="0" w:color="auto"/>
              <w:bottom w:val="double" w:sz="4" w:space="0" w:color="auto"/>
            </w:tcBorders>
            <w:tcMar>
              <w:top w:w="85" w:type="dxa"/>
              <w:left w:w="57" w:type="dxa"/>
              <w:bottom w:w="85" w:type="dxa"/>
              <w:right w:w="57" w:type="dxa"/>
            </w:tcMar>
          </w:tcPr>
          <w:p w14:paraId="42E1A02D" w14:textId="3935B264" w:rsidR="0078521B" w:rsidRPr="00DE264C" w:rsidRDefault="0078521B" w:rsidP="0078521B">
            <w:pPr>
              <w:spacing w:after="0"/>
              <w:rPr>
                <w:noProof/>
              </w:rPr>
            </w:pPr>
            <w:r w:rsidRPr="00DE264C">
              <w:rPr>
                <w:noProof/>
              </w:rPr>
              <w:t>A radiocommunication service that uses satellites to connect to ground stations that move and are not fixed in place.</w:t>
            </w:r>
          </w:p>
        </w:tc>
      </w:tr>
      <w:tr w:rsidR="0078521B" w:rsidRPr="00DE264C" w14:paraId="3A83B061"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479D3CD6" w14:textId="5C09833D" w:rsidR="0078521B" w:rsidRPr="00DE264C" w:rsidRDefault="0078521B" w:rsidP="0078521B">
            <w:pPr>
              <w:spacing w:after="0"/>
              <w:rPr>
                <w:noProof/>
              </w:rPr>
            </w:pPr>
            <w:r w:rsidRPr="00DE264C">
              <w:rPr>
                <w:noProof/>
              </w:rPr>
              <w:t>MNO</w:t>
            </w:r>
          </w:p>
        </w:tc>
        <w:tc>
          <w:tcPr>
            <w:tcW w:w="6378" w:type="dxa"/>
            <w:tcBorders>
              <w:top w:val="double" w:sz="4" w:space="0" w:color="auto"/>
              <w:bottom w:val="double" w:sz="4" w:space="0" w:color="auto"/>
            </w:tcBorders>
            <w:tcMar>
              <w:top w:w="85" w:type="dxa"/>
              <w:left w:w="57" w:type="dxa"/>
              <w:bottom w:w="85" w:type="dxa"/>
              <w:right w:w="57" w:type="dxa"/>
            </w:tcMar>
          </w:tcPr>
          <w:p w14:paraId="7633C118" w14:textId="73FC9DFD" w:rsidR="0078521B" w:rsidRPr="00DE264C" w:rsidRDefault="0078521B" w:rsidP="0078521B">
            <w:pPr>
              <w:spacing w:after="0"/>
              <w:rPr>
                <w:noProof/>
              </w:rPr>
            </w:pPr>
            <w:r w:rsidRPr="00DE264C">
              <w:rPr>
                <w:noProof/>
              </w:rPr>
              <w:t>Mobile Network Operator</w:t>
            </w:r>
          </w:p>
        </w:tc>
      </w:tr>
      <w:tr w:rsidR="0078521B" w:rsidRPr="00DE264C" w14:paraId="5361A334" w14:textId="77777777" w:rsidTr="00F17DC9">
        <w:tc>
          <w:tcPr>
            <w:tcW w:w="3227" w:type="dxa"/>
            <w:tcMar>
              <w:top w:w="85" w:type="dxa"/>
              <w:left w:w="57" w:type="dxa"/>
              <w:bottom w:w="85" w:type="dxa"/>
              <w:right w:w="57" w:type="dxa"/>
            </w:tcMar>
          </w:tcPr>
          <w:p w14:paraId="7A7708B1" w14:textId="3D282CE7" w:rsidR="0078521B" w:rsidRPr="00DE264C" w:rsidRDefault="0078521B" w:rsidP="0078521B">
            <w:pPr>
              <w:spacing w:after="0"/>
              <w:rPr>
                <w:noProof/>
                <w:lang w:val="it-IT"/>
              </w:rPr>
            </w:pPr>
            <w:r w:rsidRPr="00DE264C">
              <w:rPr>
                <w:noProof/>
              </w:rPr>
              <w:t>MVNO</w:t>
            </w:r>
          </w:p>
        </w:tc>
        <w:tc>
          <w:tcPr>
            <w:tcW w:w="6378" w:type="dxa"/>
            <w:tcBorders>
              <w:bottom w:val="double" w:sz="4" w:space="0" w:color="auto"/>
            </w:tcBorders>
            <w:tcMar>
              <w:top w:w="85" w:type="dxa"/>
              <w:left w:w="57" w:type="dxa"/>
              <w:bottom w:w="85" w:type="dxa"/>
              <w:right w:w="57" w:type="dxa"/>
            </w:tcMar>
          </w:tcPr>
          <w:p w14:paraId="4395581A" w14:textId="096EBBC3" w:rsidR="0078521B" w:rsidRPr="00DE264C" w:rsidRDefault="0078521B" w:rsidP="0078521B">
            <w:pPr>
              <w:spacing w:after="0"/>
              <w:rPr>
                <w:noProof/>
                <w:lang w:val="en-IE"/>
              </w:rPr>
            </w:pPr>
            <w:r w:rsidRPr="00DE264C">
              <w:rPr>
                <w:noProof/>
              </w:rPr>
              <w:t>Mobile virtual network operator</w:t>
            </w:r>
          </w:p>
        </w:tc>
      </w:tr>
      <w:tr w:rsidR="0078521B" w:rsidRPr="00DE264C" w14:paraId="46EFE755" w14:textId="77777777" w:rsidTr="00F17DC9">
        <w:tc>
          <w:tcPr>
            <w:tcW w:w="3227" w:type="dxa"/>
            <w:tcBorders>
              <w:top w:val="double" w:sz="4" w:space="0" w:color="auto"/>
            </w:tcBorders>
            <w:tcMar>
              <w:top w:w="85" w:type="dxa"/>
              <w:left w:w="57" w:type="dxa"/>
              <w:bottom w:w="85" w:type="dxa"/>
              <w:right w:w="57" w:type="dxa"/>
            </w:tcMar>
          </w:tcPr>
          <w:p w14:paraId="15CF197C" w14:textId="57C74711" w:rsidR="0078521B" w:rsidRPr="00292895" w:rsidRDefault="0078521B" w:rsidP="0078521B">
            <w:pPr>
              <w:spacing w:after="0"/>
              <w:rPr>
                <w:noProof/>
                <w:lang w:val="en-IE"/>
              </w:rPr>
            </w:pPr>
            <w:r w:rsidRPr="00DE264C">
              <w:rPr>
                <w:noProof/>
              </w:rPr>
              <w:t>Network-as-a-Service (NaaS)</w:t>
            </w:r>
          </w:p>
        </w:tc>
        <w:tc>
          <w:tcPr>
            <w:tcW w:w="6378" w:type="dxa"/>
            <w:tcBorders>
              <w:bottom w:val="double" w:sz="4" w:space="0" w:color="auto"/>
            </w:tcBorders>
            <w:tcMar>
              <w:top w:w="85" w:type="dxa"/>
              <w:left w:w="57" w:type="dxa"/>
              <w:bottom w:w="85" w:type="dxa"/>
              <w:right w:w="57" w:type="dxa"/>
            </w:tcMar>
          </w:tcPr>
          <w:p w14:paraId="4511622B" w14:textId="54DACA21" w:rsidR="0078521B" w:rsidRPr="00DE264C" w:rsidRDefault="0078521B" w:rsidP="0078521B">
            <w:pPr>
              <w:spacing w:after="0"/>
              <w:rPr>
                <w:noProof/>
                <w:lang w:val="en-IE"/>
              </w:rPr>
            </w:pPr>
            <w:r w:rsidRPr="00527034">
              <w:rPr>
                <w:noProof/>
              </w:rPr>
              <w:t xml:space="preserve">Provision of computer networking technology to an organisation as an integrated service. It underpins the optimization of resource allocations by considering network and computing resources as a unified </w:t>
            </w:r>
            <w:r w:rsidR="00D63B66" w:rsidRPr="00DE264C">
              <w:rPr>
                <w:noProof/>
              </w:rPr>
              <w:t>whole.</w:t>
            </w:r>
          </w:p>
        </w:tc>
      </w:tr>
      <w:tr w:rsidR="0078521B" w:rsidRPr="00DE264C" w14:paraId="098C2696" w14:textId="77777777" w:rsidTr="00F17DC9">
        <w:tc>
          <w:tcPr>
            <w:tcW w:w="3227" w:type="dxa"/>
            <w:tcBorders>
              <w:top w:val="double" w:sz="4" w:space="0" w:color="auto"/>
            </w:tcBorders>
            <w:tcMar>
              <w:top w:w="85" w:type="dxa"/>
              <w:left w:w="57" w:type="dxa"/>
              <w:bottom w:w="85" w:type="dxa"/>
              <w:right w:w="57" w:type="dxa"/>
            </w:tcMar>
          </w:tcPr>
          <w:p w14:paraId="64955318" w14:textId="54672749" w:rsidR="0078521B" w:rsidRPr="00DE264C" w:rsidRDefault="0078521B" w:rsidP="0078521B">
            <w:pPr>
              <w:spacing w:after="0"/>
              <w:rPr>
                <w:noProof/>
              </w:rPr>
            </w:pPr>
            <w:r w:rsidRPr="00DE264C">
              <w:rPr>
                <w:noProof/>
              </w:rPr>
              <w:t>NRAs</w:t>
            </w:r>
          </w:p>
        </w:tc>
        <w:tc>
          <w:tcPr>
            <w:tcW w:w="6378" w:type="dxa"/>
            <w:tcBorders>
              <w:bottom w:val="double" w:sz="4" w:space="0" w:color="auto"/>
            </w:tcBorders>
            <w:tcMar>
              <w:top w:w="85" w:type="dxa"/>
              <w:left w:w="57" w:type="dxa"/>
              <w:bottom w:w="85" w:type="dxa"/>
              <w:right w:w="57" w:type="dxa"/>
            </w:tcMar>
          </w:tcPr>
          <w:p w14:paraId="4FA1B43B" w14:textId="145AEE2B" w:rsidR="0078521B" w:rsidRPr="00DE264C" w:rsidRDefault="0078521B" w:rsidP="0078521B">
            <w:pPr>
              <w:spacing w:after="0"/>
              <w:rPr>
                <w:noProof/>
              </w:rPr>
            </w:pPr>
            <w:r w:rsidRPr="00DE264C">
              <w:rPr>
                <w:noProof/>
              </w:rPr>
              <w:t>National Regulatory Authorities</w:t>
            </w:r>
          </w:p>
        </w:tc>
      </w:tr>
      <w:tr w:rsidR="0078521B" w:rsidRPr="00DE264C" w14:paraId="0A2B3769" w14:textId="77777777" w:rsidTr="00F17DC9">
        <w:tc>
          <w:tcPr>
            <w:tcW w:w="3227" w:type="dxa"/>
            <w:tcBorders>
              <w:top w:val="double" w:sz="4" w:space="0" w:color="auto"/>
            </w:tcBorders>
            <w:tcMar>
              <w:top w:w="85" w:type="dxa"/>
              <w:left w:w="57" w:type="dxa"/>
              <w:bottom w:w="85" w:type="dxa"/>
              <w:right w:w="57" w:type="dxa"/>
            </w:tcMar>
          </w:tcPr>
          <w:p w14:paraId="0E0A003A" w14:textId="7F6FA881" w:rsidR="0078521B" w:rsidRPr="00DE264C" w:rsidRDefault="0078521B" w:rsidP="0078521B">
            <w:pPr>
              <w:spacing w:after="0"/>
              <w:rPr>
                <w:noProof/>
              </w:rPr>
            </w:pPr>
            <w:r w:rsidRPr="00DE264C">
              <w:rPr>
                <w:noProof/>
              </w:rPr>
              <w:t>NTN</w:t>
            </w:r>
          </w:p>
        </w:tc>
        <w:tc>
          <w:tcPr>
            <w:tcW w:w="6378" w:type="dxa"/>
            <w:tcBorders>
              <w:bottom w:val="double" w:sz="4" w:space="0" w:color="auto"/>
            </w:tcBorders>
            <w:tcMar>
              <w:top w:w="85" w:type="dxa"/>
              <w:left w:w="57" w:type="dxa"/>
              <w:bottom w:w="85" w:type="dxa"/>
              <w:right w:w="57" w:type="dxa"/>
            </w:tcMar>
          </w:tcPr>
          <w:p w14:paraId="30B77C60" w14:textId="690072A8" w:rsidR="0078521B" w:rsidRPr="00DE264C" w:rsidRDefault="0078521B" w:rsidP="0078521B">
            <w:pPr>
              <w:spacing w:after="0"/>
              <w:rPr>
                <w:noProof/>
              </w:rPr>
            </w:pPr>
            <w:r w:rsidRPr="00DE264C">
              <w:rPr>
                <w:noProof/>
              </w:rPr>
              <w:t xml:space="preserve">Non-terrestrial </w:t>
            </w:r>
            <w:r w:rsidR="008E6B4E">
              <w:rPr>
                <w:noProof/>
              </w:rPr>
              <w:t>Networks</w:t>
            </w:r>
          </w:p>
        </w:tc>
      </w:tr>
      <w:tr w:rsidR="00EE244A" w:rsidRPr="00DE264C" w14:paraId="7A132A19" w14:textId="77777777" w:rsidTr="00F17DC9">
        <w:tc>
          <w:tcPr>
            <w:tcW w:w="3227" w:type="dxa"/>
            <w:tcBorders>
              <w:top w:val="double" w:sz="4" w:space="0" w:color="auto"/>
            </w:tcBorders>
            <w:tcMar>
              <w:top w:w="85" w:type="dxa"/>
              <w:left w:w="57" w:type="dxa"/>
              <w:bottom w:w="85" w:type="dxa"/>
              <w:right w:w="57" w:type="dxa"/>
            </w:tcMar>
          </w:tcPr>
          <w:p w14:paraId="7CEE3496" w14:textId="211169F2" w:rsidR="00EE244A" w:rsidRPr="00DE264C" w:rsidRDefault="00EE244A" w:rsidP="00EE244A">
            <w:pPr>
              <w:spacing w:after="0"/>
              <w:rPr>
                <w:noProof/>
              </w:rPr>
            </w:pPr>
            <w:r w:rsidRPr="00DE264C">
              <w:rPr>
                <w:noProof/>
              </w:rPr>
              <w:t>(NI-ICS)</w:t>
            </w:r>
          </w:p>
        </w:tc>
        <w:tc>
          <w:tcPr>
            <w:tcW w:w="6378" w:type="dxa"/>
            <w:tcBorders>
              <w:bottom w:val="double" w:sz="4" w:space="0" w:color="auto"/>
            </w:tcBorders>
            <w:tcMar>
              <w:top w:w="85" w:type="dxa"/>
              <w:left w:w="57" w:type="dxa"/>
              <w:bottom w:w="85" w:type="dxa"/>
              <w:right w:w="57" w:type="dxa"/>
            </w:tcMar>
          </w:tcPr>
          <w:p w14:paraId="59645B65" w14:textId="4D856E33" w:rsidR="00EE244A" w:rsidRPr="00DE264C" w:rsidRDefault="00EE244A" w:rsidP="00EE244A">
            <w:pPr>
              <w:spacing w:after="0"/>
              <w:rPr>
                <w:noProof/>
              </w:rPr>
            </w:pPr>
            <w:r w:rsidRPr="00DE264C">
              <w:rPr>
                <w:noProof/>
              </w:rPr>
              <w:t>Number-independent</w:t>
            </w:r>
            <w:r>
              <w:rPr>
                <w:noProof/>
              </w:rPr>
              <w:t xml:space="preserve"> </w:t>
            </w:r>
            <w:r w:rsidRPr="00DE264C">
              <w:rPr>
                <w:noProof/>
              </w:rPr>
              <w:t xml:space="preserve">Interpersonal Communication Services </w:t>
            </w:r>
          </w:p>
        </w:tc>
      </w:tr>
      <w:tr w:rsidR="00EE244A" w:rsidRPr="00DE264C" w14:paraId="6F071134" w14:textId="77777777" w:rsidTr="00F17DC9">
        <w:tc>
          <w:tcPr>
            <w:tcW w:w="3227" w:type="dxa"/>
            <w:tcBorders>
              <w:top w:val="double" w:sz="4" w:space="0" w:color="auto"/>
            </w:tcBorders>
            <w:tcMar>
              <w:top w:w="85" w:type="dxa"/>
              <w:left w:w="57" w:type="dxa"/>
              <w:bottom w:w="85" w:type="dxa"/>
              <w:right w:w="57" w:type="dxa"/>
            </w:tcMar>
          </w:tcPr>
          <w:p w14:paraId="1B9DDCBD" w14:textId="2FCC2B76" w:rsidR="00EE244A" w:rsidRPr="00DE264C" w:rsidRDefault="00EE244A" w:rsidP="00EE244A">
            <w:pPr>
              <w:spacing w:after="0"/>
              <w:rPr>
                <w:noProof/>
              </w:rPr>
            </w:pPr>
            <w:r w:rsidRPr="00DE264C">
              <w:rPr>
                <w:noProof/>
              </w:rPr>
              <w:t>OECD</w:t>
            </w:r>
          </w:p>
        </w:tc>
        <w:tc>
          <w:tcPr>
            <w:tcW w:w="6378" w:type="dxa"/>
            <w:tcBorders>
              <w:bottom w:val="double" w:sz="4" w:space="0" w:color="auto"/>
            </w:tcBorders>
            <w:tcMar>
              <w:top w:w="85" w:type="dxa"/>
              <w:left w:w="57" w:type="dxa"/>
              <w:bottom w:w="85" w:type="dxa"/>
              <w:right w:w="57" w:type="dxa"/>
            </w:tcMar>
          </w:tcPr>
          <w:p w14:paraId="1229F775" w14:textId="46AC0E3B" w:rsidR="00EE244A" w:rsidRPr="00DE264C" w:rsidRDefault="00EE244A" w:rsidP="00EE244A">
            <w:pPr>
              <w:spacing w:after="0"/>
              <w:rPr>
                <w:noProof/>
              </w:rPr>
            </w:pPr>
            <w:r w:rsidRPr="00DE264C">
              <w:rPr>
                <w:noProof/>
              </w:rPr>
              <w:t>Organisation for Economic Cooperation and Development</w:t>
            </w:r>
          </w:p>
        </w:tc>
      </w:tr>
      <w:tr w:rsidR="00EE244A" w:rsidRPr="00DE264C" w14:paraId="2D62F35A" w14:textId="77777777" w:rsidTr="00F17DC9">
        <w:tc>
          <w:tcPr>
            <w:tcW w:w="3227" w:type="dxa"/>
            <w:tcBorders>
              <w:top w:val="double" w:sz="4" w:space="0" w:color="auto"/>
            </w:tcBorders>
            <w:tcMar>
              <w:top w:w="85" w:type="dxa"/>
              <w:left w:w="57" w:type="dxa"/>
              <w:bottom w:w="85" w:type="dxa"/>
              <w:right w:w="57" w:type="dxa"/>
            </w:tcMar>
          </w:tcPr>
          <w:p w14:paraId="782B62D7" w14:textId="51AAC865" w:rsidR="00EE244A" w:rsidRPr="00DE264C" w:rsidRDefault="00EE244A" w:rsidP="00EE244A">
            <w:pPr>
              <w:spacing w:after="0"/>
              <w:rPr>
                <w:noProof/>
              </w:rPr>
            </w:pPr>
            <w:r w:rsidRPr="00DE264C">
              <w:rPr>
                <w:noProof/>
              </w:rPr>
              <w:t>Open Gateway</w:t>
            </w:r>
          </w:p>
        </w:tc>
        <w:tc>
          <w:tcPr>
            <w:tcW w:w="6378" w:type="dxa"/>
            <w:tcBorders>
              <w:bottom w:val="double" w:sz="4" w:space="0" w:color="auto"/>
            </w:tcBorders>
            <w:tcMar>
              <w:top w:w="85" w:type="dxa"/>
              <w:left w:w="57" w:type="dxa"/>
              <w:bottom w:w="85" w:type="dxa"/>
              <w:right w:w="57" w:type="dxa"/>
            </w:tcMar>
          </w:tcPr>
          <w:p w14:paraId="337BBF34" w14:textId="372BC05E" w:rsidR="00EE244A" w:rsidRPr="00DE264C" w:rsidRDefault="00EE244A" w:rsidP="00EE244A">
            <w:pPr>
              <w:spacing w:after="0"/>
              <w:rPr>
                <w:noProof/>
              </w:rPr>
            </w:pPr>
            <w:r w:rsidRPr="00DE264C">
              <w:rPr>
                <w:noProof/>
              </w:rPr>
              <w:t>A project that aims to transform communications networks into platforms. It supports application portability and seamless u</w:t>
            </w:r>
            <w:r w:rsidRPr="00F20A15">
              <w:rPr>
                <w:noProof/>
              </w:rPr>
              <w:t>ser experiences through standardized open APIs</w:t>
            </w:r>
            <w:r w:rsidR="00024E3C">
              <w:rPr>
                <w:noProof/>
              </w:rPr>
              <w:t>.</w:t>
            </w:r>
          </w:p>
        </w:tc>
      </w:tr>
      <w:tr w:rsidR="00EE244A" w:rsidRPr="00DE264C" w14:paraId="153E0199" w14:textId="77777777" w:rsidTr="00024E3C">
        <w:tc>
          <w:tcPr>
            <w:tcW w:w="3227" w:type="dxa"/>
            <w:tcBorders>
              <w:top w:val="double" w:sz="4" w:space="0" w:color="auto"/>
              <w:bottom w:val="double" w:sz="4" w:space="0" w:color="auto"/>
            </w:tcBorders>
            <w:tcMar>
              <w:top w:w="85" w:type="dxa"/>
              <w:left w:w="57" w:type="dxa"/>
              <w:bottom w:w="85" w:type="dxa"/>
              <w:right w:w="57" w:type="dxa"/>
            </w:tcMar>
          </w:tcPr>
          <w:p w14:paraId="6603FB6C" w14:textId="0B63E533" w:rsidR="00EE244A" w:rsidRPr="00DE264C" w:rsidRDefault="00EE244A" w:rsidP="00EE244A">
            <w:pPr>
              <w:spacing w:after="0"/>
              <w:rPr>
                <w:noProof/>
              </w:rPr>
            </w:pPr>
            <w:r w:rsidRPr="00DE264C">
              <w:rPr>
                <w:noProof/>
              </w:rPr>
              <w:t>OIR</w:t>
            </w:r>
          </w:p>
        </w:tc>
        <w:tc>
          <w:tcPr>
            <w:tcW w:w="6378" w:type="dxa"/>
            <w:tcBorders>
              <w:bottom w:val="double" w:sz="4" w:space="0" w:color="auto"/>
            </w:tcBorders>
            <w:tcMar>
              <w:top w:w="85" w:type="dxa"/>
              <w:left w:w="57" w:type="dxa"/>
              <w:bottom w:w="85" w:type="dxa"/>
              <w:right w:w="57" w:type="dxa"/>
            </w:tcMar>
          </w:tcPr>
          <w:p w14:paraId="41D14B2E" w14:textId="125C8303" w:rsidR="00EE244A" w:rsidRPr="00DE264C" w:rsidRDefault="00EE244A" w:rsidP="00EE244A">
            <w:pPr>
              <w:spacing w:after="0"/>
              <w:rPr>
                <w:noProof/>
              </w:rPr>
            </w:pPr>
            <w:r w:rsidRPr="00DE264C">
              <w:rPr>
                <w:noProof/>
              </w:rPr>
              <w:t xml:space="preserve">Open Internet Regulation </w:t>
            </w:r>
          </w:p>
        </w:tc>
      </w:tr>
      <w:tr w:rsidR="00EE244A" w:rsidRPr="00DE264C" w14:paraId="25E9471A" w14:textId="77777777" w:rsidTr="00024E3C">
        <w:tc>
          <w:tcPr>
            <w:tcW w:w="3227" w:type="dxa"/>
            <w:tcBorders>
              <w:top w:val="double" w:sz="4" w:space="0" w:color="auto"/>
              <w:bottom w:val="double" w:sz="4" w:space="0" w:color="auto"/>
            </w:tcBorders>
            <w:tcMar>
              <w:top w:w="85" w:type="dxa"/>
              <w:left w:w="57" w:type="dxa"/>
              <w:bottom w:w="85" w:type="dxa"/>
              <w:right w:w="57" w:type="dxa"/>
            </w:tcMar>
          </w:tcPr>
          <w:p w14:paraId="7E42809E" w14:textId="5070BB4B" w:rsidR="00EE244A" w:rsidRPr="00DE264C" w:rsidRDefault="00EE244A" w:rsidP="00EE244A">
            <w:pPr>
              <w:spacing w:after="0"/>
              <w:rPr>
                <w:noProof/>
              </w:rPr>
            </w:pPr>
            <w:r w:rsidRPr="00DE264C">
              <w:rPr>
                <w:noProof/>
              </w:rPr>
              <w:t>PIA</w:t>
            </w:r>
          </w:p>
        </w:tc>
        <w:tc>
          <w:tcPr>
            <w:tcW w:w="6378" w:type="dxa"/>
            <w:tcBorders>
              <w:top w:val="double" w:sz="4" w:space="0" w:color="auto"/>
              <w:bottom w:val="double" w:sz="4" w:space="0" w:color="auto"/>
            </w:tcBorders>
            <w:tcMar>
              <w:top w:w="85" w:type="dxa"/>
              <w:left w:w="57" w:type="dxa"/>
              <w:bottom w:w="85" w:type="dxa"/>
              <w:right w:w="57" w:type="dxa"/>
            </w:tcMar>
          </w:tcPr>
          <w:p w14:paraId="584D3B50" w14:textId="0FCE050A" w:rsidR="00EE244A" w:rsidRPr="00DE264C" w:rsidRDefault="00EE244A" w:rsidP="00EE244A">
            <w:pPr>
              <w:spacing w:after="0"/>
              <w:rPr>
                <w:noProof/>
              </w:rPr>
            </w:pPr>
            <w:r w:rsidRPr="00DE264C">
              <w:rPr>
                <w:noProof/>
              </w:rPr>
              <w:t>Passive Infrastructure Access</w:t>
            </w:r>
          </w:p>
        </w:tc>
      </w:tr>
      <w:tr w:rsidR="005C6769" w:rsidRPr="00DE264C" w14:paraId="2052359F" w14:textId="77777777" w:rsidTr="00796E38">
        <w:trPr>
          <w:trHeight w:val="690"/>
        </w:trPr>
        <w:tc>
          <w:tcPr>
            <w:tcW w:w="3227" w:type="dxa"/>
            <w:tcBorders>
              <w:top w:val="double" w:sz="4" w:space="0" w:color="auto"/>
              <w:bottom w:val="double" w:sz="4" w:space="0" w:color="auto"/>
            </w:tcBorders>
            <w:tcMar>
              <w:top w:w="85" w:type="dxa"/>
              <w:left w:w="57" w:type="dxa"/>
              <w:bottom w:w="85" w:type="dxa"/>
              <w:right w:w="57" w:type="dxa"/>
            </w:tcMar>
          </w:tcPr>
          <w:p w14:paraId="7F2448C6" w14:textId="1192C80B" w:rsidR="00EE244A" w:rsidRPr="00DE264C" w:rsidRDefault="00EE244A" w:rsidP="00EE244A">
            <w:pPr>
              <w:spacing w:after="0"/>
              <w:rPr>
                <w:noProof/>
                <w:color w:val="000000" w:themeColor="text1"/>
              </w:rPr>
            </w:pPr>
            <w:r w:rsidRPr="00DE264C">
              <w:rPr>
                <w:noProof/>
                <w:color w:val="000000" w:themeColor="text1"/>
              </w:rPr>
              <w:t>RSPG</w:t>
            </w:r>
          </w:p>
        </w:tc>
        <w:tc>
          <w:tcPr>
            <w:tcW w:w="6378" w:type="dxa"/>
            <w:tcBorders>
              <w:top w:val="double" w:sz="4" w:space="0" w:color="auto"/>
              <w:bottom w:val="double" w:sz="4" w:space="0" w:color="auto"/>
            </w:tcBorders>
            <w:tcMar>
              <w:top w:w="85" w:type="dxa"/>
              <w:left w:w="57" w:type="dxa"/>
              <w:bottom w:w="85" w:type="dxa"/>
              <w:right w:w="57" w:type="dxa"/>
            </w:tcMar>
          </w:tcPr>
          <w:p w14:paraId="2E08BD48" w14:textId="554D8196" w:rsidR="00EE244A" w:rsidRPr="00DE264C" w:rsidRDefault="00EE244A" w:rsidP="00EE244A">
            <w:pPr>
              <w:spacing w:after="0"/>
              <w:rPr>
                <w:noProof/>
              </w:rPr>
            </w:pPr>
            <w:r w:rsidRPr="00DE264C">
              <w:rPr>
                <w:noProof/>
              </w:rPr>
              <w:t>Radio Spectrum Policy Group is the European Commission high level advisory group on spectrum policy</w:t>
            </w:r>
          </w:p>
        </w:tc>
      </w:tr>
      <w:tr w:rsidR="005C6769" w:rsidRPr="00DE264C" w14:paraId="0EDDECE9" w14:textId="77777777" w:rsidTr="00796E38">
        <w:trPr>
          <w:trHeight w:val="236"/>
        </w:trPr>
        <w:tc>
          <w:tcPr>
            <w:tcW w:w="3227" w:type="dxa"/>
            <w:tcBorders>
              <w:top w:val="double" w:sz="4" w:space="0" w:color="auto"/>
            </w:tcBorders>
            <w:tcMar>
              <w:top w:w="85" w:type="dxa"/>
              <w:left w:w="57" w:type="dxa"/>
              <w:bottom w:w="85" w:type="dxa"/>
              <w:right w:w="57" w:type="dxa"/>
            </w:tcMar>
          </w:tcPr>
          <w:p w14:paraId="65D28EEF" w14:textId="7980584E" w:rsidR="00EE244A" w:rsidRPr="00DE264C" w:rsidRDefault="00EE244A" w:rsidP="00EE244A">
            <w:pPr>
              <w:spacing w:after="0"/>
              <w:rPr>
                <w:noProof/>
                <w:color w:val="000000" w:themeColor="text1"/>
              </w:rPr>
            </w:pPr>
            <w:r w:rsidRPr="00DE264C">
              <w:rPr>
                <w:noProof/>
                <w:color w:val="000000" w:themeColor="text1"/>
              </w:rPr>
              <w:t>RSPP</w:t>
            </w:r>
          </w:p>
        </w:tc>
        <w:tc>
          <w:tcPr>
            <w:tcW w:w="6378" w:type="dxa"/>
            <w:tcBorders>
              <w:top w:val="double" w:sz="4" w:space="0" w:color="auto"/>
            </w:tcBorders>
            <w:tcMar>
              <w:top w:w="85" w:type="dxa"/>
              <w:left w:w="57" w:type="dxa"/>
              <w:bottom w:w="85" w:type="dxa"/>
              <w:right w:w="57" w:type="dxa"/>
            </w:tcMar>
          </w:tcPr>
          <w:p w14:paraId="59C25258" w14:textId="40D4D5FA" w:rsidR="00EE244A" w:rsidRPr="00DE264C" w:rsidRDefault="00EE244A" w:rsidP="00EE244A">
            <w:pPr>
              <w:spacing w:after="0"/>
              <w:rPr>
                <w:noProof/>
              </w:rPr>
            </w:pPr>
            <w:r w:rsidRPr="00DE264C">
              <w:rPr>
                <w:noProof/>
              </w:rPr>
              <w:t xml:space="preserve">Radio Spectrum Policy </w:t>
            </w:r>
            <w:r w:rsidRPr="00F20A15">
              <w:rPr>
                <w:noProof/>
              </w:rPr>
              <w:t>Prog</w:t>
            </w:r>
            <w:r w:rsidR="00F20A15" w:rsidRPr="00F20A15">
              <w:rPr>
                <w:noProof/>
              </w:rPr>
              <w:t>ramme</w:t>
            </w:r>
            <w:r w:rsidRPr="00DE264C">
              <w:rPr>
                <w:noProof/>
              </w:rPr>
              <w:t xml:space="preserve"> </w:t>
            </w:r>
          </w:p>
        </w:tc>
      </w:tr>
      <w:tr w:rsidR="005C6769" w:rsidRPr="00DE264C" w14:paraId="6EC8D410"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6110ED88" w14:textId="2E3FBCAE" w:rsidR="00EE244A" w:rsidRPr="00DE264C" w:rsidRDefault="00EE244A" w:rsidP="00EE244A">
            <w:pPr>
              <w:spacing w:after="0"/>
              <w:rPr>
                <w:noProof/>
              </w:rPr>
            </w:pPr>
            <w:r w:rsidRPr="00DE264C">
              <w:rPr>
                <w:noProof/>
              </w:rPr>
              <w:t>Radio Access Network (RAN)</w:t>
            </w:r>
          </w:p>
        </w:tc>
        <w:tc>
          <w:tcPr>
            <w:tcW w:w="6378" w:type="dxa"/>
            <w:tcBorders>
              <w:top w:val="double" w:sz="4" w:space="0" w:color="auto"/>
              <w:bottom w:val="double" w:sz="4" w:space="0" w:color="auto"/>
            </w:tcBorders>
            <w:tcMar>
              <w:top w:w="85" w:type="dxa"/>
              <w:left w:w="57" w:type="dxa"/>
              <w:bottom w:w="85" w:type="dxa"/>
              <w:right w:w="57" w:type="dxa"/>
            </w:tcMar>
          </w:tcPr>
          <w:p w14:paraId="61755EF5" w14:textId="4A00E681" w:rsidR="00EE244A" w:rsidRPr="00DE264C" w:rsidRDefault="00EE244A" w:rsidP="00EE244A">
            <w:pPr>
              <w:spacing w:after="0"/>
              <w:rPr>
                <w:noProof/>
              </w:rPr>
            </w:pPr>
            <w:r w:rsidRPr="00DE264C">
              <w:rPr>
                <w:noProof/>
              </w:rPr>
              <w:t>A Radio Access Network (RAN) is</w:t>
            </w:r>
            <w:r w:rsidR="00A969D0">
              <w:rPr>
                <w:noProof/>
              </w:rPr>
              <w:t xml:space="preserve"> </w:t>
            </w:r>
            <w:r w:rsidRPr="00DE264C">
              <w:rPr>
                <w:noProof/>
              </w:rPr>
              <w:t>the core component of a cellular network that connects user devices (like smartphones and tablets) to the core network, enabling wireless communication.</w:t>
            </w:r>
            <w:r w:rsidR="00A5035B">
              <w:rPr>
                <w:noProof/>
              </w:rPr>
              <w:t xml:space="preserve"> </w:t>
            </w:r>
            <w:r w:rsidRPr="00DE264C">
              <w:rPr>
                <w:noProof/>
              </w:rPr>
              <w:t>It acts as the bridge between user equipment and the larger mobile network, facilitating data transmission and connectiv</w:t>
            </w:r>
            <w:r w:rsidR="00E001AE">
              <w:rPr>
                <w:noProof/>
              </w:rPr>
              <w:t xml:space="preserve">ity </w:t>
            </w:r>
            <w:r w:rsidRPr="00D201DA">
              <w:rPr>
                <w:noProof/>
                <w:color w:val="000000" w:themeColor="text1"/>
              </w:rPr>
              <w:t>Market shaping measures in spectrum assignments</w:t>
            </w:r>
            <w:r w:rsidRPr="00DE264C">
              <w:rPr>
                <w:noProof/>
              </w:rPr>
              <w:t>.</w:t>
            </w:r>
          </w:p>
        </w:tc>
      </w:tr>
      <w:tr w:rsidR="005C6769" w:rsidRPr="00DE264C" w14:paraId="635CF6E2"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09AD87CE" w14:textId="03249CBE" w:rsidR="00EE244A" w:rsidRPr="00DE264C" w:rsidRDefault="00EE244A" w:rsidP="00EE244A">
            <w:pPr>
              <w:spacing w:after="0"/>
              <w:rPr>
                <w:noProof/>
              </w:rPr>
            </w:pPr>
            <w:r w:rsidRPr="00DE264C">
              <w:rPr>
                <w:noProof/>
              </w:rPr>
              <w:t>RRM</w:t>
            </w:r>
          </w:p>
        </w:tc>
        <w:tc>
          <w:tcPr>
            <w:tcW w:w="6378" w:type="dxa"/>
            <w:tcBorders>
              <w:top w:val="double" w:sz="4" w:space="0" w:color="auto"/>
              <w:bottom w:val="double" w:sz="4" w:space="0" w:color="auto"/>
            </w:tcBorders>
            <w:tcMar>
              <w:top w:w="85" w:type="dxa"/>
              <w:left w:w="57" w:type="dxa"/>
              <w:bottom w:w="85" w:type="dxa"/>
              <w:right w:w="57" w:type="dxa"/>
            </w:tcMar>
          </w:tcPr>
          <w:p w14:paraId="613FB057" w14:textId="0B64FD13" w:rsidR="00EE244A" w:rsidRPr="00DE264C" w:rsidRDefault="00EE244A" w:rsidP="00EE244A">
            <w:pPr>
              <w:spacing w:after="0"/>
              <w:rPr>
                <w:noProof/>
              </w:rPr>
            </w:pPr>
            <w:r w:rsidRPr="00DE264C">
              <w:rPr>
                <w:noProof/>
              </w:rPr>
              <w:t>Recommendation on Relevant Markets</w:t>
            </w:r>
          </w:p>
        </w:tc>
      </w:tr>
      <w:tr w:rsidR="005C6769" w:rsidRPr="00DE264C" w14:paraId="46309F68"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6622D774" w14:textId="48487DD9" w:rsidR="00EE244A" w:rsidRPr="00DE264C" w:rsidRDefault="00EE244A" w:rsidP="00EE244A">
            <w:pPr>
              <w:spacing w:after="0"/>
              <w:rPr>
                <w:noProof/>
              </w:rPr>
            </w:pPr>
            <w:r w:rsidRPr="00DE264C">
              <w:rPr>
                <w:noProof/>
              </w:rPr>
              <w:t>SME</w:t>
            </w:r>
          </w:p>
        </w:tc>
        <w:tc>
          <w:tcPr>
            <w:tcW w:w="6378" w:type="dxa"/>
            <w:tcBorders>
              <w:top w:val="double" w:sz="4" w:space="0" w:color="auto"/>
              <w:bottom w:val="double" w:sz="4" w:space="0" w:color="auto"/>
            </w:tcBorders>
            <w:tcMar>
              <w:top w:w="85" w:type="dxa"/>
              <w:left w:w="57" w:type="dxa"/>
              <w:bottom w:w="85" w:type="dxa"/>
              <w:right w:w="57" w:type="dxa"/>
            </w:tcMar>
          </w:tcPr>
          <w:p w14:paraId="61B05EC5" w14:textId="3C821F42" w:rsidR="00EE244A" w:rsidRPr="00DE264C" w:rsidRDefault="00EE244A" w:rsidP="00EE244A">
            <w:pPr>
              <w:spacing w:after="0"/>
              <w:rPr>
                <w:noProof/>
              </w:rPr>
            </w:pPr>
            <w:r w:rsidRPr="00DE264C">
              <w:rPr>
                <w:noProof/>
              </w:rPr>
              <w:t xml:space="preserve">Small and Medium </w:t>
            </w:r>
            <w:r w:rsidRPr="00B32DA3">
              <w:rPr>
                <w:noProof/>
              </w:rPr>
              <w:t>Enter</w:t>
            </w:r>
            <w:r w:rsidR="00B32DA3" w:rsidRPr="00292895">
              <w:rPr>
                <w:noProof/>
              </w:rPr>
              <w:t>prise</w:t>
            </w:r>
            <w:r w:rsidR="00E001AE">
              <w:rPr>
                <w:noProof/>
              </w:rPr>
              <w:t>s</w:t>
            </w:r>
          </w:p>
        </w:tc>
      </w:tr>
      <w:tr w:rsidR="005C6769" w:rsidRPr="00DE264C" w14:paraId="785DD05C"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3EF48609" w14:textId="21674A80" w:rsidR="00EE244A" w:rsidRPr="00DE264C" w:rsidRDefault="00EE244A" w:rsidP="00EE244A">
            <w:pPr>
              <w:spacing w:after="0"/>
              <w:rPr>
                <w:noProof/>
              </w:rPr>
            </w:pPr>
            <w:r w:rsidRPr="00DE264C">
              <w:rPr>
                <w:noProof/>
              </w:rPr>
              <w:t>SMP</w:t>
            </w:r>
          </w:p>
        </w:tc>
        <w:tc>
          <w:tcPr>
            <w:tcW w:w="6378" w:type="dxa"/>
            <w:tcBorders>
              <w:top w:val="double" w:sz="4" w:space="0" w:color="auto"/>
              <w:bottom w:val="double" w:sz="4" w:space="0" w:color="auto"/>
            </w:tcBorders>
            <w:tcMar>
              <w:top w:w="85" w:type="dxa"/>
              <w:left w:w="57" w:type="dxa"/>
              <w:bottom w:w="85" w:type="dxa"/>
              <w:right w:w="57" w:type="dxa"/>
            </w:tcMar>
          </w:tcPr>
          <w:p w14:paraId="45C6D81E" w14:textId="541F887F" w:rsidR="00EE244A" w:rsidRPr="00DE264C" w:rsidRDefault="00EE244A" w:rsidP="00EE244A">
            <w:pPr>
              <w:spacing w:after="0"/>
              <w:rPr>
                <w:noProof/>
              </w:rPr>
            </w:pPr>
            <w:r w:rsidRPr="00DE264C">
              <w:rPr>
                <w:noProof/>
              </w:rPr>
              <w:t>Significant Market Power</w:t>
            </w:r>
          </w:p>
        </w:tc>
      </w:tr>
      <w:tr w:rsidR="005C6769" w:rsidRPr="00DE264C" w14:paraId="230CCA18"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7843251E" w14:textId="2E40701E" w:rsidR="00EE244A" w:rsidRPr="00DE264C" w:rsidRDefault="00EE244A" w:rsidP="00EE244A">
            <w:pPr>
              <w:spacing w:after="0"/>
              <w:rPr>
                <w:noProof/>
              </w:rPr>
            </w:pPr>
            <w:r w:rsidRPr="00D201DA">
              <w:rPr>
                <w:noProof/>
                <w:color w:val="000000" w:themeColor="text1"/>
              </w:rPr>
              <w:t>Spectrum caps</w:t>
            </w:r>
          </w:p>
        </w:tc>
        <w:tc>
          <w:tcPr>
            <w:tcW w:w="6378" w:type="dxa"/>
            <w:tcBorders>
              <w:top w:val="double" w:sz="4" w:space="0" w:color="auto"/>
              <w:bottom w:val="double" w:sz="4" w:space="0" w:color="auto"/>
            </w:tcBorders>
            <w:tcMar>
              <w:top w:w="85" w:type="dxa"/>
              <w:left w:w="57" w:type="dxa"/>
              <w:bottom w:w="85" w:type="dxa"/>
              <w:right w:w="57" w:type="dxa"/>
            </w:tcMar>
          </w:tcPr>
          <w:p w14:paraId="42F3EE61" w14:textId="0727DB7F" w:rsidR="00EE244A" w:rsidRPr="00DE264C" w:rsidRDefault="00EE244A" w:rsidP="00EE244A">
            <w:pPr>
              <w:spacing w:after="0"/>
              <w:rPr>
                <w:noProof/>
              </w:rPr>
            </w:pPr>
            <w:r w:rsidRPr="00DE264C">
              <w:rPr>
                <w:noProof/>
              </w:rPr>
              <w:t>Terms in spectrum auctions prohibiting participants from acquiring more than a specific amount of rights of use of Spectrum reservation</w:t>
            </w:r>
          </w:p>
        </w:tc>
      </w:tr>
      <w:tr w:rsidR="005C6769" w:rsidRPr="00DE264C" w14:paraId="6A20F2B4"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44E5FF3F" w14:textId="153BCF42" w:rsidR="00EE244A" w:rsidRPr="00DE264C" w:rsidRDefault="00EE244A" w:rsidP="00EE244A">
            <w:pPr>
              <w:spacing w:after="0"/>
              <w:rPr>
                <w:noProof/>
              </w:rPr>
            </w:pPr>
            <w:r w:rsidRPr="00DE264C">
              <w:rPr>
                <w:noProof/>
              </w:rPr>
              <w:t>Spectrum floors</w:t>
            </w:r>
          </w:p>
        </w:tc>
        <w:tc>
          <w:tcPr>
            <w:tcW w:w="6378" w:type="dxa"/>
            <w:tcBorders>
              <w:top w:val="double" w:sz="4" w:space="0" w:color="auto"/>
              <w:bottom w:val="double" w:sz="4" w:space="0" w:color="auto"/>
            </w:tcBorders>
            <w:tcMar>
              <w:top w:w="85" w:type="dxa"/>
              <w:left w:w="57" w:type="dxa"/>
              <w:bottom w:w="85" w:type="dxa"/>
              <w:right w:w="57" w:type="dxa"/>
            </w:tcMar>
          </w:tcPr>
          <w:p w14:paraId="467DFB5D" w14:textId="6D92A00C" w:rsidR="00EE244A" w:rsidRPr="00DE264C" w:rsidRDefault="00EE244A" w:rsidP="00EE244A">
            <w:pPr>
              <w:spacing w:after="0"/>
              <w:rPr>
                <w:noProof/>
              </w:rPr>
            </w:pPr>
            <w:r w:rsidRPr="00DE264C">
              <w:rPr>
                <w:noProof/>
              </w:rPr>
              <w:t>Terms in spectrum auctions setting a minimum amount of rights of use of spectrum a participant may acquire (to prevent fragmentation of spectrum)</w:t>
            </w:r>
          </w:p>
        </w:tc>
      </w:tr>
      <w:tr w:rsidR="005C6769" w:rsidRPr="00DE264C" w14:paraId="2FED204C"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116F45CB" w14:textId="2C625D87" w:rsidR="00EE244A" w:rsidRPr="00DE264C" w:rsidRDefault="00EE244A" w:rsidP="00EE244A">
            <w:pPr>
              <w:spacing w:after="0"/>
              <w:rPr>
                <w:noProof/>
              </w:rPr>
            </w:pPr>
            <w:r w:rsidRPr="00DE264C">
              <w:rPr>
                <w:noProof/>
              </w:rPr>
              <w:t>Spectrum reservation</w:t>
            </w:r>
          </w:p>
        </w:tc>
        <w:tc>
          <w:tcPr>
            <w:tcW w:w="6378" w:type="dxa"/>
            <w:tcBorders>
              <w:top w:val="double" w:sz="4" w:space="0" w:color="auto"/>
              <w:bottom w:val="double" w:sz="4" w:space="0" w:color="auto"/>
            </w:tcBorders>
            <w:tcMar>
              <w:top w:w="85" w:type="dxa"/>
              <w:left w:w="57" w:type="dxa"/>
              <w:bottom w:w="85" w:type="dxa"/>
              <w:right w:w="57" w:type="dxa"/>
            </w:tcMar>
          </w:tcPr>
          <w:p w14:paraId="74D524AE" w14:textId="59080378" w:rsidR="00EE244A" w:rsidRPr="00DE264C" w:rsidRDefault="00EE244A" w:rsidP="00EE244A">
            <w:pPr>
              <w:spacing w:after="0"/>
              <w:rPr>
                <w:noProof/>
              </w:rPr>
            </w:pPr>
            <w:r w:rsidRPr="008D7B90">
              <w:rPr>
                <w:noProof/>
              </w:rPr>
              <w:t>Term in spectrum auctions reserving part of the available spectrum for a new entrant or for a specific category of participants (e.g. verticals)</w:t>
            </w:r>
          </w:p>
        </w:tc>
      </w:tr>
      <w:tr w:rsidR="00EE244A" w:rsidRPr="00DE264C" w14:paraId="7A3016E6"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64E2E55B" w14:textId="52F8993F" w:rsidR="00EE244A" w:rsidRPr="00DE264C" w:rsidRDefault="00EE244A" w:rsidP="00EE244A">
            <w:pPr>
              <w:spacing w:after="0"/>
              <w:rPr>
                <w:noProof/>
              </w:rPr>
            </w:pPr>
            <w:r w:rsidRPr="00DE264C">
              <w:rPr>
                <w:noProof/>
              </w:rPr>
              <w:t>URLLC</w:t>
            </w:r>
          </w:p>
        </w:tc>
        <w:tc>
          <w:tcPr>
            <w:tcW w:w="6378" w:type="dxa"/>
            <w:tcBorders>
              <w:top w:val="double" w:sz="4" w:space="0" w:color="auto"/>
              <w:bottom w:val="double" w:sz="4" w:space="0" w:color="auto"/>
            </w:tcBorders>
            <w:tcMar>
              <w:top w:w="85" w:type="dxa"/>
              <w:left w:w="57" w:type="dxa"/>
              <w:bottom w:w="85" w:type="dxa"/>
              <w:right w:w="57" w:type="dxa"/>
            </w:tcMar>
          </w:tcPr>
          <w:p w14:paraId="6F85C6FF" w14:textId="6192BBAB" w:rsidR="00EE244A" w:rsidRPr="00DE264C" w:rsidRDefault="00EE244A" w:rsidP="00EE244A">
            <w:pPr>
              <w:spacing w:after="0"/>
              <w:rPr>
                <w:noProof/>
              </w:rPr>
            </w:pPr>
            <w:r w:rsidRPr="00DE264C">
              <w:rPr>
                <w:noProof/>
              </w:rPr>
              <w:t>Ultra-reliable</w:t>
            </w:r>
            <w:r w:rsidR="00E001AE">
              <w:rPr>
                <w:noProof/>
              </w:rPr>
              <w:t xml:space="preserve"> and</w:t>
            </w:r>
            <w:r>
              <w:rPr>
                <w:noProof/>
              </w:rPr>
              <w:t xml:space="preserve"> </w:t>
            </w:r>
            <w:r w:rsidRPr="00DE264C">
              <w:rPr>
                <w:noProof/>
              </w:rPr>
              <w:t xml:space="preserve">low-latency </w:t>
            </w:r>
            <w:r w:rsidRPr="00E001AE">
              <w:rPr>
                <w:noProof/>
              </w:rPr>
              <w:t>communica</w:t>
            </w:r>
            <w:r w:rsidR="00E001AE" w:rsidRPr="00E001AE">
              <w:rPr>
                <w:noProof/>
              </w:rPr>
              <w:t>tion</w:t>
            </w:r>
            <w:r w:rsidR="00E001AE">
              <w:rPr>
                <w:noProof/>
              </w:rPr>
              <w:t>s</w:t>
            </w:r>
            <w:r w:rsidR="00E001AE" w:rsidRPr="00E001AE">
              <w:rPr>
                <w:noProof/>
              </w:rPr>
              <w:t xml:space="preserve"> </w:t>
            </w:r>
          </w:p>
        </w:tc>
      </w:tr>
      <w:tr w:rsidR="00EE244A" w:rsidRPr="00DE264C" w14:paraId="4857ECE0"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116CC142" w14:textId="15268279" w:rsidR="00EE244A" w:rsidRPr="00DE264C" w:rsidRDefault="00EE244A" w:rsidP="00EE244A">
            <w:pPr>
              <w:spacing w:after="0"/>
              <w:rPr>
                <w:noProof/>
              </w:rPr>
            </w:pPr>
            <w:r w:rsidRPr="00DE264C">
              <w:rPr>
                <w:noProof/>
              </w:rPr>
              <w:t>Unbundling/unbundled access</w:t>
            </w:r>
          </w:p>
        </w:tc>
        <w:tc>
          <w:tcPr>
            <w:tcW w:w="6378" w:type="dxa"/>
            <w:tcBorders>
              <w:top w:val="double" w:sz="4" w:space="0" w:color="auto"/>
              <w:bottom w:val="double" w:sz="4" w:space="0" w:color="auto"/>
            </w:tcBorders>
            <w:tcMar>
              <w:top w:w="85" w:type="dxa"/>
              <w:left w:w="57" w:type="dxa"/>
              <w:bottom w:w="85" w:type="dxa"/>
              <w:right w:w="57" w:type="dxa"/>
            </w:tcMar>
          </w:tcPr>
          <w:p w14:paraId="016807F2" w14:textId="37DAAF8E" w:rsidR="00EE244A" w:rsidRPr="00DE264C" w:rsidRDefault="00EE244A" w:rsidP="00EE244A">
            <w:pPr>
              <w:spacing w:after="0"/>
              <w:rPr>
                <w:noProof/>
              </w:rPr>
            </w:pPr>
            <w:r w:rsidRPr="00DE264C">
              <w:rPr>
                <w:noProof/>
              </w:rPr>
              <w:t>It often:</w:t>
            </w:r>
          </w:p>
          <w:p w14:paraId="0F0573EF" w14:textId="77777777" w:rsidR="00EE244A" w:rsidRPr="00DE264C" w:rsidRDefault="00EE244A" w:rsidP="00EE244A">
            <w:pPr>
              <w:numPr>
                <w:ilvl w:val="0"/>
                <w:numId w:val="6"/>
              </w:numPr>
              <w:spacing w:after="0"/>
              <w:rPr>
                <w:noProof/>
              </w:rPr>
            </w:pPr>
            <w:r w:rsidRPr="00DE264C">
              <w:rPr>
                <w:noProof/>
              </w:rPr>
              <w:t>is mandated by the NRA. </w:t>
            </w:r>
          </w:p>
          <w:p w14:paraId="5F3D40F6" w14:textId="77777777" w:rsidR="00EE244A" w:rsidRPr="00DE264C" w:rsidRDefault="00EE244A" w:rsidP="00EE244A">
            <w:pPr>
              <w:numPr>
                <w:ilvl w:val="0"/>
                <w:numId w:val="7"/>
              </w:numPr>
              <w:spacing w:after="0"/>
              <w:rPr>
                <w:noProof/>
              </w:rPr>
            </w:pPr>
            <w:r w:rsidRPr="00DE264C">
              <w:rPr>
                <w:noProof/>
              </w:rPr>
              <w:t>concerns the terminal part of the network (local access).</w:t>
            </w:r>
          </w:p>
          <w:p w14:paraId="143ECD55" w14:textId="4AD27686" w:rsidR="00EE244A" w:rsidRPr="00DE264C" w:rsidRDefault="00EE244A" w:rsidP="00AE51C2">
            <w:pPr>
              <w:spacing w:after="0"/>
              <w:rPr>
                <w:noProof/>
              </w:rPr>
            </w:pPr>
            <w:r w:rsidRPr="00DE264C">
              <w:rPr>
                <w:noProof/>
              </w:rPr>
              <w:t>When “Unbundling” is used without an adjective, it refers to a passive type of access. By contrast, “Virtual Unbundling” (usually of Local Access, or VULA) refers to a type of active access that is designed to replicate as much as possible a passive type of access (with regards to the degree of control of the access seeker).</w:t>
            </w:r>
            <w:r w:rsidR="00AE51C2">
              <w:rPr>
                <w:noProof/>
              </w:rPr>
              <w:t xml:space="preserve"> </w:t>
            </w:r>
            <w:r w:rsidRPr="00DE264C">
              <w:rPr>
                <w:noProof/>
              </w:rPr>
              <w:t>When unbundling concerns the copper network (most frequent case), it is referred to as local loop unbundling (LLU) or Sub-loop unbundling (SLU) depending on whether it concerns the entire local loop or only the sub local loop. Unbundling is also possible on a fibre P2P network. In case of a fibre GPON, only a VULA type of access can be provided.</w:t>
            </w:r>
          </w:p>
        </w:tc>
      </w:tr>
      <w:tr w:rsidR="004574A4" w:rsidRPr="002B7E8B" w14:paraId="2A409180"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4166F98D" w14:textId="75CA6ADF" w:rsidR="004574A4" w:rsidRDefault="004574A4" w:rsidP="00EE244A">
            <w:pPr>
              <w:spacing w:after="0"/>
              <w:rPr>
                <w:noProof/>
              </w:rPr>
            </w:pPr>
            <w:r>
              <w:rPr>
                <w:noProof/>
              </w:rPr>
              <w:t>5G</w:t>
            </w:r>
            <w:r w:rsidR="005F6613">
              <w:rPr>
                <w:noProof/>
              </w:rPr>
              <w:t xml:space="preserve">-6G </w:t>
            </w:r>
            <w:r>
              <w:rPr>
                <w:noProof/>
              </w:rPr>
              <w:t xml:space="preserve">Verticals </w:t>
            </w:r>
          </w:p>
        </w:tc>
        <w:tc>
          <w:tcPr>
            <w:tcW w:w="6378" w:type="dxa"/>
            <w:tcBorders>
              <w:top w:val="double" w:sz="4" w:space="0" w:color="auto"/>
              <w:bottom w:val="double" w:sz="4" w:space="0" w:color="auto"/>
            </w:tcBorders>
            <w:tcMar>
              <w:top w:w="85" w:type="dxa"/>
              <w:left w:w="57" w:type="dxa"/>
              <w:bottom w:w="85" w:type="dxa"/>
              <w:right w:w="57" w:type="dxa"/>
            </w:tcMar>
          </w:tcPr>
          <w:p w14:paraId="26807CCD" w14:textId="40DC5BFF" w:rsidR="005F6613" w:rsidRPr="002B7E8B" w:rsidRDefault="005F6613" w:rsidP="00EE244A">
            <w:pPr>
              <w:spacing w:after="0"/>
              <w:rPr>
                <w:noProof/>
              </w:rPr>
            </w:pPr>
            <w:r w:rsidRPr="002B7E8B">
              <w:rPr>
                <w:rStyle w:val="Strong"/>
                <w:b w:val="0"/>
                <w:bCs w:val="0"/>
                <w:noProof/>
              </w:rPr>
              <w:t>5G</w:t>
            </w:r>
            <w:r w:rsidRPr="002B7E8B">
              <w:rPr>
                <w:rStyle w:val="Strong"/>
                <w:rFonts w:eastAsiaTheme="majorEastAsia"/>
                <w:b w:val="0"/>
                <w:bCs w:val="0"/>
                <w:noProof/>
              </w:rPr>
              <w:t>/6G</w:t>
            </w:r>
            <w:r w:rsidRPr="002B7E8B">
              <w:rPr>
                <w:rStyle w:val="Strong"/>
                <w:b w:val="0"/>
                <w:bCs w:val="0"/>
                <w:noProof/>
              </w:rPr>
              <w:t xml:space="preserve"> verticals</w:t>
            </w:r>
            <w:r w:rsidRPr="002B7E8B">
              <w:rPr>
                <w:noProof/>
              </w:rPr>
              <w:t xml:space="preserve"> are distinct industry sectors that leverage 5G’s advanced features—like high speed, low latency, massive and immerse connectivity —to create new applications and improve service efficiency. Notably, verticals include, Automotive (connected and autonomous driving, enhanced navigation); Smart Farming (IoT sensors for soil and crop health, drone monitoring, automated irrigation); eHealth (remote surgery, telemedicine, wearable health devices, real-time patient monitoring); Energy (Smart grids, real-time monitoring of infrastructure, automated control systems), Industry 4.0 (automated factories, robotics, real-time monitoring, predictive maintenance); Smart Cities</w:t>
            </w:r>
            <w:r w:rsidR="00D15D06">
              <w:rPr>
                <w:noProof/>
              </w:rPr>
              <w:t xml:space="preserve"> </w:t>
            </w:r>
            <w:r w:rsidR="00D15D06" w:rsidRPr="002B7E8B">
              <w:rPr>
                <w:noProof/>
              </w:rPr>
              <w:t xml:space="preserve">(intelligent traffic management, smart lighting, public safety, etc); and </w:t>
            </w:r>
            <w:r w:rsidR="00D15D06" w:rsidRPr="002B7E8B">
              <w:rPr>
                <w:rStyle w:val="Strong"/>
                <w:b w:val="0"/>
                <w:bCs w:val="0"/>
                <w:noProof/>
              </w:rPr>
              <w:t>Entertainment and Media</w:t>
            </w:r>
            <w:r w:rsidR="00D15D06" w:rsidRPr="002B7E8B">
              <w:rPr>
                <w:noProof/>
              </w:rPr>
              <w:t xml:space="preserve"> (augmented reality, virtual reality, cloud gaming)</w:t>
            </w:r>
          </w:p>
        </w:tc>
      </w:tr>
      <w:tr w:rsidR="005C6769" w:rsidRPr="00DE264C" w14:paraId="475C2D50"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0F365AD3" w14:textId="7D822A4F" w:rsidR="005C6769" w:rsidRPr="00DE264C" w:rsidRDefault="00E001AE" w:rsidP="00EE244A">
            <w:pPr>
              <w:spacing w:after="0"/>
              <w:rPr>
                <w:noProof/>
              </w:rPr>
            </w:pPr>
            <w:r>
              <w:rPr>
                <w:noProof/>
              </w:rPr>
              <w:t>VDSL</w:t>
            </w:r>
          </w:p>
        </w:tc>
        <w:tc>
          <w:tcPr>
            <w:tcW w:w="6378" w:type="dxa"/>
            <w:tcBorders>
              <w:top w:val="double" w:sz="4" w:space="0" w:color="auto"/>
              <w:bottom w:val="double" w:sz="4" w:space="0" w:color="auto"/>
            </w:tcBorders>
            <w:tcMar>
              <w:top w:w="85" w:type="dxa"/>
              <w:left w:w="57" w:type="dxa"/>
              <w:bottom w:w="85" w:type="dxa"/>
              <w:right w:w="57" w:type="dxa"/>
            </w:tcMar>
          </w:tcPr>
          <w:p w14:paraId="33470A20" w14:textId="056C3BBB" w:rsidR="005C6769" w:rsidRPr="00DE264C" w:rsidRDefault="005C6769" w:rsidP="00EE244A">
            <w:pPr>
              <w:spacing w:after="0"/>
              <w:rPr>
                <w:noProof/>
              </w:rPr>
            </w:pPr>
            <w:r w:rsidRPr="00DE264C">
              <w:rPr>
                <w:noProof/>
              </w:rPr>
              <w:t>Very High Speed Digital Subscriber Line is a type of internet connection that uses copper wires to deliver high-speed internet. It is an improved version of DSL technologies like ADSL, using the same copper wires but transmitting data at higher frequencies and faster sp</w:t>
            </w:r>
            <w:r w:rsidR="00F21282">
              <w:rPr>
                <w:noProof/>
              </w:rPr>
              <w:t>eeds.</w:t>
            </w:r>
          </w:p>
        </w:tc>
      </w:tr>
      <w:tr w:rsidR="005C6769" w:rsidRPr="00DE264C" w14:paraId="796A05FA" w14:textId="77777777" w:rsidTr="00F17DC9">
        <w:tc>
          <w:tcPr>
            <w:tcW w:w="3227" w:type="dxa"/>
            <w:tcBorders>
              <w:top w:val="double" w:sz="4" w:space="0" w:color="auto"/>
              <w:bottom w:val="double" w:sz="4" w:space="0" w:color="auto"/>
            </w:tcBorders>
            <w:tcMar>
              <w:top w:w="85" w:type="dxa"/>
              <w:left w:w="57" w:type="dxa"/>
              <w:bottom w:w="85" w:type="dxa"/>
              <w:right w:w="57" w:type="dxa"/>
            </w:tcMar>
          </w:tcPr>
          <w:p w14:paraId="3E7A1E9E" w14:textId="78274039" w:rsidR="005C6769" w:rsidRPr="00DE264C" w:rsidRDefault="005C6769" w:rsidP="005C6769">
            <w:pPr>
              <w:spacing w:after="0"/>
              <w:rPr>
                <w:noProof/>
              </w:rPr>
            </w:pPr>
            <w:r w:rsidRPr="00DE264C">
              <w:rPr>
                <w:noProof/>
              </w:rPr>
              <w:t>Virtual Unbundled Local Access</w:t>
            </w:r>
            <w:r w:rsidR="00796E38">
              <w:rPr>
                <w:noProof/>
              </w:rPr>
              <w:t xml:space="preserve"> (VULA)</w:t>
            </w:r>
            <w:r w:rsidRPr="00DE264C">
              <w:rPr>
                <w:noProof/>
              </w:rPr>
              <w:t xml:space="preserve"> </w:t>
            </w:r>
          </w:p>
        </w:tc>
        <w:tc>
          <w:tcPr>
            <w:tcW w:w="6378" w:type="dxa"/>
            <w:tcBorders>
              <w:top w:val="double" w:sz="4" w:space="0" w:color="auto"/>
              <w:bottom w:val="double" w:sz="4" w:space="0" w:color="auto"/>
            </w:tcBorders>
            <w:tcMar>
              <w:top w:w="85" w:type="dxa"/>
              <w:left w:w="57" w:type="dxa"/>
              <w:bottom w:w="85" w:type="dxa"/>
              <w:right w:w="57" w:type="dxa"/>
            </w:tcMar>
          </w:tcPr>
          <w:p w14:paraId="6BB0BEFA" w14:textId="77777777" w:rsidR="005C6769" w:rsidRPr="00DE264C" w:rsidRDefault="005C6769" w:rsidP="005C6769">
            <w:pPr>
              <w:spacing w:after="0"/>
              <w:rPr>
                <w:noProof/>
              </w:rPr>
            </w:pPr>
            <w:r w:rsidRPr="00DE264C">
              <w:rPr>
                <w:noProof/>
              </w:rPr>
              <w:t>VULA is a virtual product, however it should be functionally equivalent to physical unbundling. Key characteristics of VULA products:</w:t>
            </w:r>
          </w:p>
          <w:p w14:paraId="769B6139" w14:textId="499356CF" w:rsidR="005C6769" w:rsidRPr="00DE264C" w:rsidRDefault="005C6769" w:rsidP="005C6769">
            <w:pPr>
              <w:numPr>
                <w:ilvl w:val="0"/>
                <w:numId w:val="5"/>
              </w:numPr>
              <w:spacing w:after="0"/>
              <w:rPr>
                <w:noProof/>
              </w:rPr>
            </w:pPr>
            <w:r w:rsidRPr="00DE264C">
              <w:rPr>
                <w:noProof/>
              </w:rPr>
              <w:t>occur locally (point of handover);</w:t>
            </w:r>
          </w:p>
          <w:p w14:paraId="41EDB0D5" w14:textId="34761147" w:rsidR="005C6769" w:rsidRPr="00DE264C" w:rsidRDefault="005C6769" w:rsidP="005C6769">
            <w:pPr>
              <w:numPr>
                <w:ilvl w:val="0"/>
                <w:numId w:val="5"/>
              </w:numPr>
              <w:spacing w:after="0"/>
              <w:rPr>
                <w:noProof/>
              </w:rPr>
            </w:pPr>
            <w:r w:rsidRPr="00DE264C">
              <w:rPr>
                <w:noProof/>
              </w:rPr>
              <w:t xml:space="preserve">be generic and provide access seekers with a service-agnostic transmission capacity which is uncontended in practice; </w:t>
            </w:r>
          </w:p>
          <w:p w14:paraId="6FAFEDCE" w14:textId="77777777" w:rsidR="003B6591" w:rsidRPr="003B6591" w:rsidRDefault="005C6769" w:rsidP="005C6769">
            <w:pPr>
              <w:numPr>
                <w:ilvl w:val="0"/>
                <w:numId w:val="5"/>
              </w:numPr>
              <w:spacing w:after="0"/>
              <w:rPr>
                <w:noProof/>
                <w:lang w:val="en-IE"/>
              </w:rPr>
            </w:pPr>
            <w:r w:rsidRPr="00D201DA">
              <w:rPr>
                <w:noProof/>
              </w:rPr>
              <w:t>provide access seekers with sufficient control over the transmission network to allow for product differentiation and innovation similar to local loop unbundling (LLU);</w:t>
            </w:r>
          </w:p>
          <w:p w14:paraId="6DF55FD3" w14:textId="3C151481" w:rsidR="005C6769" w:rsidRPr="00DE264C" w:rsidRDefault="003B6591" w:rsidP="003B6591">
            <w:pPr>
              <w:numPr>
                <w:ilvl w:val="0"/>
                <w:numId w:val="5"/>
              </w:numPr>
              <w:spacing w:after="0"/>
              <w:rPr>
                <w:noProof/>
              </w:rPr>
            </w:pPr>
            <w:r w:rsidRPr="00DE264C">
              <w:rPr>
                <w:noProof/>
              </w:rPr>
              <w:t>be provided with pricing that facilitates its use in a similar manner to physical unbundling; and</w:t>
            </w:r>
            <w:r>
              <w:rPr>
                <w:noProof/>
              </w:rPr>
              <w:t xml:space="preserve"> </w:t>
            </w:r>
            <w:r w:rsidRPr="00DE264C">
              <w:rPr>
                <w:noProof/>
              </w:rPr>
              <w:t>be provided with effective migration processes towards VULA from physical unbundling to foster take-up, and</w:t>
            </w:r>
            <w:r w:rsidR="00DC7867">
              <w:rPr>
                <w:noProof/>
              </w:rPr>
              <w:t xml:space="preserve"> </w:t>
            </w:r>
            <w:r w:rsidRPr="00DE264C">
              <w:rPr>
                <w:noProof/>
              </w:rPr>
              <w:t>ensure that competition is preserved where technological solutions force migration from unbundled access to VULA</w:t>
            </w:r>
            <w:r w:rsidR="005C6769" w:rsidRPr="00DE264C">
              <w:rPr>
                <w:noProof/>
              </w:rPr>
              <w:t>.</w:t>
            </w:r>
          </w:p>
        </w:tc>
      </w:tr>
      <w:tr w:rsidR="005C6769" w:rsidRPr="00DE264C" w14:paraId="17925AA7" w14:textId="77777777" w:rsidTr="00F17DC9">
        <w:tc>
          <w:tcPr>
            <w:tcW w:w="3227" w:type="dxa"/>
            <w:tcBorders>
              <w:top w:val="double" w:sz="4" w:space="0" w:color="auto"/>
            </w:tcBorders>
            <w:tcMar>
              <w:top w:w="85" w:type="dxa"/>
              <w:left w:w="57" w:type="dxa"/>
              <w:bottom w:w="85" w:type="dxa"/>
              <w:right w:w="57" w:type="dxa"/>
            </w:tcMar>
          </w:tcPr>
          <w:p w14:paraId="7285E75E" w14:textId="626CD3C0" w:rsidR="005C6769" w:rsidRPr="00DE264C" w:rsidRDefault="005C6769" w:rsidP="005C6769">
            <w:pPr>
              <w:spacing w:after="0"/>
              <w:rPr>
                <w:noProof/>
              </w:rPr>
            </w:pPr>
            <w:r w:rsidRPr="00DE264C">
              <w:rPr>
                <w:noProof/>
              </w:rPr>
              <w:t>VHCN</w:t>
            </w:r>
          </w:p>
        </w:tc>
        <w:tc>
          <w:tcPr>
            <w:tcW w:w="6378" w:type="dxa"/>
            <w:tcBorders>
              <w:top w:val="double" w:sz="4" w:space="0" w:color="auto"/>
              <w:bottom w:val="double" w:sz="4" w:space="0" w:color="auto"/>
            </w:tcBorders>
            <w:tcMar>
              <w:top w:w="85" w:type="dxa"/>
              <w:left w:w="57" w:type="dxa"/>
              <w:bottom w:w="85" w:type="dxa"/>
              <w:right w:w="57" w:type="dxa"/>
            </w:tcMar>
          </w:tcPr>
          <w:p w14:paraId="1609F896" w14:textId="36D3A24D" w:rsidR="005C6769" w:rsidRPr="00DE264C" w:rsidRDefault="005C6769" w:rsidP="005C6769">
            <w:pPr>
              <w:spacing w:after="0"/>
              <w:rPr>
                <w:noProof/>
              </w:rPr>
            </w:pPr>
            <w:r w:rsidRPr="00DE264C">
              <w:rPr>
                <w:noProof/>
              </w:rPr>
              <w:t>Very High Capacity Networks means either an electronic communications network which consists wholly of optical fibre elements at least up to the distribution point at the serving location, or an electronic communications network which is capable of delivering, under usual peak-time conditions, similar network performance in terms of available downlink and uplink bandwidth, resilience, error-related parameters, and latency and its variation; network performance can be considered similar regardless of whether the end-user experience varies due to the inherently different characteristics of the medium by which the network ultimately connects with the network termination point;</w:t>
            </w:r>
          </w:p>
        </w:tc>
      </w:tr>
      <w:tr w:rsidR="00E001AE" w:rsidRPr="00DE264C" w14:paraId="79476952" w14:textId="77777777" w:rsidTr="00F17DC9">
        <w:tc>
          <w:tcPr>
            <w:tcW w:w="3227" w:type="dxa"/>
            <w:tcBorders>
              <w:top w:val="double" w:sz="4" w:space="0" w:color="auto"/>
            </w:tcBorders>
            <w:tcMar>
              <w:top w:w="85" w:type="dxa"/>
              <w:left w:w="57" w:type="dxa"/>
              <w:bottom w:w="85" w:type="dxa"/>
              <w:right w:w="57" w:type="dxa"/>
            </w:tcMar>
          </w:tcPr>
          <w:p w14:paraId="4F9571B2" w14:textId="03C143AD" w:rsidR="005C6769" w:rsidRPr="00DE264C" w:rsidRDefault="005C6769" w:rsidP="005C6769">
            <w:pPr>
              <w:spacing w:after="0"/>
              <w:rPr>
                <w:noProof/>
              </w:rPr>
            </w:pPr>
          </w:p>
        </w:tc>
        <w:tc>
          <w:tcPr>
            <w:tcW w:w="6378" w:type="dxa"/>
            <w:tcBorders>
              <w:top w:val="double" w:sz="4" w:space="0" w:color="auto"/>
            </w:tcBorders>
            <w:tcMar>
              <w:top w:w="85" w:type="dxa"/>
              <w:left w:w="57" w:type="dxa"/>
              <w:bottom w:w="85" w:type="dxa"/>
              <w:right w:w="57" w:type="dxa"/>
            </w:tcMar>
          </w:tcPr>
          <w:p w14:paraId="3337A87C" w14:textId="284DE917" w:rsidR="005C6769" w:rsidRPr="00DE264C" w:rsidRDefault="005C6769" w:rsidP="005C6769">
            <w:pPr>
              <w:spacing w:after="0"/>
              <w:rPr>
                <w:noProof/>
              </w:rPr>
            </w:pPr>
          </w:p>
        </w:tc>
      </w:tr>
    </w:tbl>
    <w:p w14:paraId="45396DD4" w14:textId="77777777" w:rsidR="006B087E" w:rsidRPr="00DE264C" w:rsidRDefault="006B087E" w:rsidP="000E3086">
      <w:pPr>
        <w:rPr>
          <w:noProof/>
        </w:rPr>
      </w:pPr>
      <w:r w:rsidRPr="00DE264C">
        <w:rPr>
          <w:noProof/>
        </w:rPr>
        <w:br w:type="page"/>
      </w:r>
    </w:p>
    <w:p w14:paraId="473747AA" w14:textId="6C822373" w:rsidR="006B087E" w:rsidRPr="00DE264C" w:rsidRDefault="006B087E" w:rsidP="000E3086">
      <w:pPr>
        <w:pStyle w:val="Heading1"/>
        <w:rPr>
          <w:noProof/>
        </w:rPr>
      </w:pPr>
      <w:bookmarkStart w:id="2" w:name="_Toc208396189"/>
      <w:bookmarkStart w:id="3" w:name="_Toc214467685"/>
      <w:bookmarkStart w:id="4" w:name="_Toc215083713"/>
      <w:bookmarkStart w:id="5" w:name="_Toc219212481"/>
      <w:bookmarkStart w:id="6" w:name="_Toc219718136"/>
      <w:r w:rsidRPr="00DE264C">
        <w:rPr>
          <w:noProof/>
        </w:rPr>
        <w:t>Introduction: Political and legal context</w:t>
      </w:r>
      <w:bookmarkEnd w:id="2"/>
      <w:bookmarkEnd w:id="3"/>
      <w:bookmarkEnd w:id="4"/>
      <w:bookmarkEnd w:id="5"/>
      <w:bookmarkEnd w:id="6"/>
    </w:p>
    <w:p w14:paraId="698E91AA" w14:textId="3445F629" w:rsidR="005973D8" w:rsidRPr="00DE264C" w:rsidRDefault="00AE33F6" w:rsidP="00F87C05">
      <w:pPr>
        <w:spacing w:line="240" w:lineRule="auto"/>
        <w:rPr>
          <w:rFonts w:eastAsia="Times New Roman"/>
          <w:i/>
          <w:noProof/>
          <w:color w:val="000000" w:themeColor="text1"/>
        </w:rPr>
      </w:pPr>
      <w:r w:rsidRPr="00DE264C">
        <w:rPr>
          <w:rFonts w:eastAsia="Times New Roman"/>
          <w:i/>
          <w:noProof/>
          <w:color w:val="000000" w:themeColor="text1"/>
        </w:rPr>
        <w:t xml:space="preserve">Lack of a genuine </w:t>
      </w:r>
      <w:r w:rsidR="006D59CF" w:rsidRPr="00DE264C">
        <w:rPr>
          <w:rFonts w:eastAsia="Times New Roman"/>
          <w:i/>
          <w:noProof/>
          <w:color w:val="000000" w:themeColor="text1"/>
        </w:rPr>
        <w:t>s</w:t>
      </w:r>
      <w:r w:rsidRPr="00DE264C">
        <w:rPr>
          <w:rFonts w:eastAsia="Times New Roman"/>
          <w:i/>
          <w:noProof/>
          <w:color w:val="000000" w:themeColor="text1"/>
        </w:rPr>
        <w:t xml:space="preserve">ingle </w:t>
      </w:r>
      <w:r w:rsidR="006D59CF" w:rsidRPr="00DE264C">
        <w:rPr>
          <w:rFonts w:eastAsia="Times New Roman"/>
          <w:i/>
          <w:noProof/>
          <w:color w:val="000000" w:themeColor="text1"/>
        </w:rPr>
        <w:t>m</w:t>
      </w:r>
      <w:r w:rsidRPr="00DE264C">
        <w:rPr>
          <w:rFonts w:eastAsia="Times New Roman"/>
          <w:i/>
          <w:noProof/>
          <w:color w:val="000000" w:themeColor="text1"/>
        </w:rPr>
        <w:t xml:space="preserve">arket </w:t>
      </w:r>
      <w:r w:rsidR="006D59CF" w:rsidRPr="00DE264C">
        <w:rPr>
          <w:rFonts w:eastAsia="Times New Roman"/>
          <w:i/>
          <w:noProof/>
          <w:color w:val="000000" w:themeColor="text1"/>
        </w:rPr>
        <w:t>for electronic communications</w:t>
      </w:r>
    </w:p>
    <w:p w14:paraId="2E1CD4CA" w14:textId="6349CD69" w:rsidR="007E72BE" w:rsidRDefault="00B24C3F" w:rsidP="00F87C05">
      <w:pPr>
        <w:spacing w:line="240" w:lineRule="auto"/>
        <w:rPr>
          <w:noProof/>
        </w:rPr>
      </w:pPr>
      <w:r w:rsidRPr="00DE264C">
        <w:rPr>
          <w:noProof/>
        </w:rPr>
        <w:t>The EU</w:t>
      </w:r>
      <w:r w:rsidR="007E67B8" w:rsidRPr="00DE264C">
        <w:rPr>
          <w:noProof/>
        </w:rPr>
        <w:t xml:space="preserve"> has taken a number of initiative</w:t>
      </w:r>
      <w:r w:rsidRPr="00DE264C">
        <w:rPr>
          <w:noProof/>
        </w:rPr>
        <w:t xml:space="preserve">s </w:t>
      </w:r>
      <w:r w:rsidR="007E67B8" w:rsidRPr="00DE264C">
        <w:rPr>
          <w:noProof/>
        </w:rPr>
        <w:t xml:space="preserve">to ensure that </w:t>
      </w:r>
      <w:r w:rsidRPr="00DE264C">
        <w:rPr>
          <w:noProof/>
        </w:rPr>
        <w:t xml:space="preserve">Europe </w:t>
      </w:r>
      <w:r w:rsidR="007E67B8" w:rsidRPr="00DE264C">
        <w:rPr>
          <w:noProof/>
        </w:rPr>
        <w:t xml:space="preserve">is </w:t>
      </w:r>
      <w:r w:rsidRPr="00DE264C">
        <w:rPr>
          <w:noProof/>
        </w:rPr>
        <w:t xml:space="preserve">the most connected continent by 2030. </w:t>
      </w:r>
      <w:r w:rsidR="00B52DCE" w:rsidRPr="00DE264C">
        <w:rPr>
          <w:noProof/>
        </w:rPr>
        <w:t>Adopted in 2018, the current framework for regulatin</w:t>
      </w:r>
      <w:r w:rsidR="001D4AE5" w:rsidRPr="00DE264C">
        <w:rPr>
          <w:noProof/>
        </w:rPr>
        <w:t>g</w:t>
      </w:r>
      <w:r w:rsidR="00B52DCE" w:rsidRPr="00DE264C">
        <w:rPr>
          <w:noProof/>
        </w:rPr>
        <w:t xml:space="preserve"> electronic communications in the EU, the European Electronic Communications Code</w:t>
      </w:r>
      <w:r w:rsidR="00422169" w:rsidRPr="00DE264C">
        <w:rPr>
          <w:noProof/>
        </w:rPr>
        <w:t xml:space="preserve"> (EECC)</w:t>
      </w:r>
      <w:r w:rsidR="00D94336">
        <w:rPr>
          <w:rStyle w:val="FootnoteReference"/>
          <w:noProof/>
        </w:rPr>
        <w:footnoteReference w:id="2"/>
      </w:r>
      <w:r w:rsidR="00B52DCE" w:rsidRPr="00DE264C">
        <w:rPr>
          <w:noProof/>
        </w:rPr>
        <w:t xml:space="preserve"> ha</w:t>
      </w:r>
      <w:r w:rsidR="0015534E" w:rsidRPr="00DE264C">
        <w:rPr>
          <w:noProof/>
        </w:rPr>
        <w:t>d</w:t>
      </w:r>
      <w:r w:rsidR="00B52DCE" w:rsidRPr="00DE264C">
        <w:rPr>
          <w:noProof/>
        </w:rPr>
        <w:t xml:space="preserve"> the objective to </w:t>
      </w:r>
      <w:r w:rsidR="5E9F8847" w:rsidRPr="00DE264C">
        <w:rPr>
          <w:noProof/>
        </w:rPr>
        <w:t>promot</w:t>
      </w:r>
      <w:r w:rsidR="181C5233" w:rsidRPr="00DE264C">
        <w:rPr>
          <w:noProof/>
        </w:rPr>
        <w:t xml:space="preserve">e </w:t>
      </w:r>
      <w:r w:rsidR="3371EDBD" w:rsidRPr="00DE264C">
        <w:rPr>
          <w:noProof/>
        </w:rPr>
        <w:t>connectivity and access to</w:t>
      </w:r>
      <w:r w:rsidR="5E504BEE" w:rsidRPr="00DE264C">
        <w:rPr>
          <w:noProof/>
        </w:rPr>
        <w:t>, and take-up of very high-capacity networks, to promote</w:t>
      </w:r>
      <w:r w:rsidR="00B52DCE" w:rsidRPr="00DE264C">
        <w:rPr>
          <w:noProof/>
        </w:rPr>
        <w:t xml:space="preserve"> competition, drive innovation, boost consumer rights within the European single market. </w:t>
      </w:r>
      <w:r w:rsidR="212FB09F" w:rsidRPr="00DE264C">
        <w:rPr>
          <w:noProof/>
        </w:rPr>
        <w:t xml:space="preserve">For </w:t>
      </w:r>
      <w:r w:rsidR="00B52DCE" w:rsidRPr="00DE264C">
        <w:rPr>
          <w:noProof/>
        </w:rPr>
        <w:t>Europeans</w:t>
      </w:r>
      <w:r w:rsidR="10D0FF51" w:rsidRPr="00DE264C">
        <w:rPr>
          <w:noProof/>
        </w:rPr>
        <w:t>,</w:t>
      </w:r>
      <w:r w:rsidR="00B52DCE" w:rsidRPr="00DE264C">
        <w:rPr>
          <w:noProof/>
        </w:rPr>
        <w:t xml:space="preserve"> an internet connection </w:t>
      </w:r>
      <w:r w:rsidR="6E7D9ADC" w:rsidRPr="00DE264C">
        <w:rPr>
          <w:noProof/>
        </w:rPr>
        <w:t xml:space="preserve">of high quality </w:t>
      </w:r>
      <w:r w:rsidR="00B52DCE" w:rsidRPr="00DE264C">
        <w:rPr>
          <w:noProof/>
        </w:rPr>
        <w:t xml:space="preserve">that is fast and reliable </w:t>
      </w:r>
      <w:r w:rsidR="0BC9E2EA" w:rsidRPr="00DE264C">
        <w:rPr>
          <w:noProof/>
        </w:rPr>
        <w:t xml:space="preserve">has become a pre-condition </w:t>
      </w:r>
      <w:r w:rsidR="429E046A" w:rsidRPr="00DE264C">
        <w:rPr>
          <w:noProof/>
        </w:rPr>
        <w:t>f</w:t>
      </w:r>
      <w:r w:rsidR="181C5233" w:rsidRPr="00DE264C">
        <w:rPr>
          <w:noProof/>
        </w:rPr>
        <w:t>o</w:t>
      </w:r>
      <w:r w:rsidR="53A56F87" w:rsidRPr="00DE264C">
        <w:rPr>
          <w:noProof/>
        </w:rPr>
        <w:t>r</w:t>
      </w:r>
      <w:r w:rsidR="181C5233" w:rsidRPr="00DE264C">
        <w:rPr>
          <w:noProof/>
        </w:rPr>
        <w:t xml:space="preserve"> participat</w:t>
      </w:r>
      <w:r w:rsidR="3F537DAE" w:rsidRPr="00DE264C">
        <w:rPr>
          <w:noProof/>
        </w:rPr>
        <w:t>ion</w:t>
      </w:r>
      <w:r w:rsidR="00B52DCE" w:rsidRPr="00DE264C">
        <w:rPr>
          <w:noProof/>
        </w:rPr>
        <w:t xml:space="preserve"> in today’s economy and society. </w:t>
      </w:r>
      <w:r w:rsidR="00CE7DC8" w:rsidRPr="00DE264C">
        <w:rPr>
          <w:noProof/>
        </w:rPr>
        <w:t xml:space="preserve">Building on the </w:t>
      </w:r>
      <w:r w:rsidR="00E20A44">
        <w:rPr>
          <w:noProof/>
        </w:rPr>
        <w:t>EECC</w:t>
      </w:r>
      <w:r w:rsidR="00CE7DC8" w:rsidRPr="00DE264C">
        <w:rPr>
          <w:noProof/>
        </w:rPr>
        <w:t>, t</w:t>
      </w:r>
      <w:r w:rsidR="00B52DCE" w:rsidRPr="00DE264C">
        <w:rPr>
          <w:noProof/>
        </w:rPr>
        <w:t xml:space="preserve">he </w:t>
      </w:r>
      <w:r w:rsidR="000D29FA" w:rsidRPr="00DE264C">
        <w:rPr>
          <w:noProof/>
        </w:rPr>
        <w:t>202</w:t>
      </w:r>
      <w:r w:rsidR="00303B74" w:rsidRPr="00DE264C">
        <w:rPr>
          <w:noProof/>
        </w:rPr>
        <w:t>2</w:t>
      </w:r>
      <w:r w:rsidR="00B52DCE" w:rsidRPr="00DE264C">
        <w:rPr>
          <w:noProof/>
        </w:rPr>
        <w:t xml:space="preserve"> Digital Decade </w:t>
      </w:r>
      <w:r w:rsidR="00FE24E5" w:rsidRPr="00DE264C">
        <w:rPr>
          <w:noProof/>
        </w:rPr>
        <w:t xml:space="preserve">Policy Programme </w:t>
      </w:r>
      <w:r w:rsidR="008905CD" w:rsidRPr="00DE264C">
        <w:rPr>
          <w:noProof/>
        </w:rPr>
        <w:t>(‘DDPP’)</w:t>
      </w:r>
      <w:r w:rsidR="0026331A" w:rsidRPr="00DE264C">
        <w:rPr>
          <w:rStyle w:val="FootnoteReference"/>
          <w:noProof/>
        </w:rPr>
        <w:footnoteReference w:id="3"/>
      </w:r>
      <w:r w:rsidR="008905CD" w:rsidRPr="00DE264C">
        <w:rPr>
          <w:noProof/>
        </w:rPr>
        <w:t xml:space="preserve"> </w:t>
      </w:r>
      <w:r w:rsidR="00FC2DCA" w:rsidRPr="00DE264C">
        <w:rPr>
          <w:noProof/>
        </w:rPr>
        <w:t>prepares</w:t>
      </w:r>
      <w:r w:rsidR="00B52DCE" w:rsidRPr="00DE264C">
        <w:rPr>
          <w:noProof/>
        </w:rPr>
        <w:t xml:space="preserve"> Europe t</w:t>
      </w:r>
      <w:r w:rsidR="00FC2DCA" w:rsidRPr="00DE264C">
        <w:rPr>
          <w:noProof/>
        </w:rPr>
        <w:t xml:space="preserve">o </w:t>
      </w:r>
      <w:r w:rsidR="00B52DCE" w:rsidRPr="00DE264C">
        <w:rPr>
          <w:noProof/>
        </w:rPr>
        <w:t>take full advantage of the digital transformation</w:t>
      </w:r>
      <w:r w:rsidR="00207086" w:rsidRPr="00DE264C">
        <w:rPr>
          <w:noProof/>
        </w:rPr>
        <w:t xml:space="preserve"> by, amongst others</w:t>
      </w:r>
      <w:r w:rsidR="00B52DCE" w:rsidRPr="00DE264C">
        <w:rPr>
          <w:noProof/>
        </w:rPr>
        <w:t>, aiming to have gigabit connectivity and 5G across Europe by 2030.</w:t>
      </w:r>
      <w:r w:rsidR="00E85EF3" w:rsidRPr="00DE264C">
        <w:rPr>
          <w:noProof/>
        </w:rPr>
        <w:t xml:space="preserve"> </w:t>
      </w:r>
    </w:p>
    <w:p w14:paraId="30978A72" w14:textId="20D3D0FD" w:rsidR="00B52DCE" w:rsidRPr="00DE264C" w:rsidRDefault="00B52DCE" w:rsidP="00F87C05">
      <w:pPr>
        <w:spacing w:line="240" w:lineRule="auto"/>
        <w:rPr>
          <w:noProof/>
        </w:rPr>
      </w:pPr>
      <w:r w:rsidRPr="00DE264C">
        <w:rPr>
          <w:noProof/>
        </w:rPr>
        <w:t>As laid out in the Letta</w:t>
      </w:r>
      <w:r w:rsidR="00CD35A9" w:rsidRPr="00DE264C">
        <w:rPr>
          <w:rStyle w:val="FootnoteReference"/>
          <w:noProof/>
        </w:rPr>
        <w:footnoteReference w:id="4"/>
      </w:r>
      <w:r w:rsidRPr="00DE264C">
        <w:rPr>
          <w:noProof/>
        </w:rPr>
        <w:t xml:space="preserve"> and Draghi</w:t>
      </w:r>
      <w:r w:rsidR="00072837" w:rsidRPr="00DE264C">
        <w:rPr>
          <w:rStyle w:val="FootnoteReference"/>
          <w:noProof/>
        </w:rPr>
        <w:footnoteReference w:id="5"/>
      </w:r>
      <w:r w:rsidRPr="00DE264C">
        <w:rPr>
          <w:noProof/>
        </w:rPr>
        <w:t xml:space="preserve"> reports</w:t>
      </w:r>
      <w:r w:rsidR="00303B74" w:rsidRPr="00DE264C">
        <w:rPr>
          <w:noProof/>
        </w:rPr>
        <w:t xml:space="preserve"> in 2024</w:t>
      </w:r>
      <w:r w:rsidRPr="00DE264C">
        <w:rPr>
          <w:noProof/>
        </w:rPr>
        <w:t xml:space="preserve">, a cutting-edge digital network infrastructure is critical for the future competitiveness of Europe’s economy and social welfare. The availability of high-quality, reliable and secure connectivity for end-users as well as for key economic sectors is a must. Driven by the increasing importance of performance and security requirements for such services, digital networks are undergoing a technological transformation where cloud and edge computing capabilities are becoming an integral part of connectivity infrastructure. </w:t>
      </w:r>
      <w:r w:rsidR="00344757" w:rsidRPr="00DE264C">
        <w:rPr>
          <w:noProof/>
        </w:rPr>
        <w:t xml:space="preserve">Furthermore, both reports identify the need to complete the single market for electronic communications, pointing towards fragmentation as one of the main obstacles for competitiveness. </w:t>
      </w:r>
      <w:r w:rsidRPr="00DE264C">
        <w:rPr>
          <w:noProof/>
        </w:rPr>
        <w:t>A modern and simplified legal framework that incentivises the transition from legacy networks to fibre, 5G</w:t>
      </w:r>
      <w:r w:rsidR="00EC7DA0" w:rsidRPr="00DE264C">
        <w:rPr>
          <w:noProof/>
        </w:rPr>
        <w:t>/6G</w:t>
      </w:r>
      <w:r w:rsidRPr="00DE264C">
        <w:rPr>
          <w:noProof/>
        </w:rPr>
        <w:t xml:space="preserve"> and cloud-based infrastructures as well as an increased cross-border operation and service provision is key. </w:t>
      </w:r>
    </w:p>
    <w:p w14:paraId="73B424BE" w14:textId="1B9E2FCF" w:rsidR="00B52DCE" w:rsidRPr="00DE264C" w:rsidRDefault="00B52DCE" w:rsidP="00F87C05">
      <w:pPr>
        <w:spacing w:line="240" w:lineRule="auto"/>
        <w:rPr>
          <w:noProof/>
          <w:lang w:val="en-IE"/>
        </w:rPr>
      </w:pPr>
      <w:r w:rsidRPr="00DE264C">
        <w:rPr>
          <w:noProof/>
          <w:lang w:val="en-IE"/>
        </w:rPr>
        <w:t xml:space="preserve">The </w:t>
      </w:r>
      <w:r w:rsidR="00FA3C4F" w:rsidRPr="00DE264C">
        <w:rPr>
          <w:noProof/>
          <w:lang w:val="en-IE"/>
        </w:rPr>
        <w:t>202</w:t>
      </w:r>
      <w:r w:rsidR="00544851" w:rsidRPr="00DE264C">
        <w:rPr>
          <w:noProof/>
          <w:lang w:val="en-IE"/>
        </w:rPr>
        <w:t>4</w:t>
      </w:r>
      <w:r w:rsidRPr="00DE264C">
        <w:rPr>
          <w:noProof/>
          <w:lang w:val="en-IE"/>
        </w:rPr>
        <w:t xml:space="preserve"> Niinistö</w:t>
      </w:r>
      <w:r w:rsidR="003574A1" w:rsidRPr="00DE264C">
        <w:rPr>
          <w:rStyle w:val="FootnoteReference"/>
          <w:noProof/>
          <w:lang w:val="en-IE"/>
        </w:rPr>
        <w:footnoteReference w:id="6"/>
      </w:r>
      <w:r w:rsidRPr="00DE264C">
        <w:rPr>
          <w:noProof/>
          <w:lang w:val="en-IE"/>
        </w:rPr>
        <w:t xml:space="preserve"> report stressed the need for the EU to ensure the continuity of its </w:t>
      </w:r>
      <w:r w:rsidR="5C079982" w:rsidRPr="00DE264C">
        <w:rPr>
          <w:noProof/>
          <w:lang w:val="en-IE"/>
        </w:rPr>
        <w:t xml:space="preserve">key </w:t>
      </w:r>
      <w:r w:rsidRPr="00DE264C">
        <w:rPr>
          <w:noProof/>
          <w:lang w:val="en-IE"/>
        </w:rPr>
        <w:t xml:space="preserve">functions, such as the Single Market, </w:t>
      </w:r>
      <w:r w:rsidR="11DB8203" w:rsidRPr="00DE264C">
        <w:rPr>
          <w:noProof/>
          <w:lang w:val="en-IE"/>
        </w:rPr>
        <w:t xml:space="preserve">and essential services such as </w:t>
      </w:r>
      <w:r w:rsidR="55EDEF0A" w:rsidRPr="00DE264C">
        <w:rPr>
          <w:noProof/>
          <w:lang w:val="en-IE"/>
        </w:rPr>
        <w:t>e</w:t>
      </w:r>
      <w:r w:rsidR="181C5233" w:rsidRPr="00DE264C">
        <w:rPr>
          <w:noProof/>
          <w:lang w:val="en-IE"/>
        </w:rPr>
        <w:t>lec</w:t>
      </w:r>
      <w:r w:rsidR="108D9D18" w:rsidRPr="00DE264C">
        <w:rPr>
          <w:noProof/>
          <w:lang w:val="en-IE"/>
        </w:rPr>
        <w:t>tronic c</w:t>
      </w:r>
      <w:r w:rsidR="181C5233" w:rsidRPr="00DE264C">
        <w:rPr>
          <w:noProof/>
          <w:lang w:val="en-IE"/>
        </w:rPr>
        <w:t>ommunications</w:t>
      </w:r>
      <w:r w:rsidRPr="00DE264C">
        <w:rPr>
          <w:noProof/>
          <w:lang w:val="en-IE"/>
        </w:rPr>
        <w:t>, including satellite-based services</w:t>
      </w:r>
      <w:r w:rsidR="4B295EFD" w:rsidRPr="00DE264C">
        <w:rPr>
          <w:noProof/>
          <w:lang w:val="en-IE"/>
        </w:rPr>
        <w:t>, critical communication</w:t>
      </w:r>
      <w:r w:rsidRPr="00DE264C">
        <w:rPr>
          <w:noProof/>
          <w:lang w:val="en-IE"/>
        </w:rPr>
        <w:t xml:space="preserve"> and digital services. The European Preparedness </w:t>
      </w:r>
      <w:r w:rsidR="002427E5" w:rsidRPr="00DE264C">
        <w:rPr>
          <w:noProof/>
          <w:lang w:val="en-IE"/>
        </w:rPr>
        <w:t>Union</w:t>
      </w:r>
      <w:r w:rsidRPr="00DE264C">
        <w:rPr>
          <w:noProof/>
          <w:lang w:val="en-IE"/>
        </w:rPr>
        <w:t xml:space="preserve"> strategy</w:t>
      </w:r>
      <w:r w:rsidR="009B79E3" w:rsidRPr="00DE264C">
        <w:rPr>
          <w:noProof/>
          <w:lang w:val="en-IE"/>
        </w:rPr>
        <w:t xml:space="preserve"> presented in March 2025</w:t>
      </w:r>
      <w:r w:rsidRPr="00DE264C">
        <w:rPr>
          <w:noProof/>
          <w:lang w:val="en-IE"/>
        </w:rPr>
        <w:t xml:space="preserve"> highlighted the need to protect citizens and </w:t>
      </w:r>
      <w:r w:rsidR="1FA4B8B1" w:rsidRPr="00DE264C">
        <w:rPr>
          <w:noProof/>
          <w:lang w:val="en-IE"/>
        </w:rPr>
        <w:t xml:space="preserve">as well to </w:t>
      </w:r>
      <w:r w:rsidR="299F5972" w:rsidRPr="00DE264C">
        <w:rPr>
          <w:noProof/>
          <w:lang w:val="en-IE"/>
        </w:rPr>
        <w:t xml:space="preserve">ensure </w:t>
      </w:r>
      <w:r w:rsidR="16C7AA12" w:rsidRPr="00DE264C">
        <w:rPr>
          <w:noProof/>
          <w:lang w:val="en-IE"/>
        </w:rPr>
        <w:t>vital</w:t>
      </w:r>
      <w:r w:rsidRPr="00DE264C">
        <w:rPr>
          <w:noProof/>
          <w:lang w:val="en-IE"/>
        </w:rPr>
        <w:t xml:space="preserve"> societal functions</w:t>
      </w:r>
      <w:r w:rsidR="4F3339B7" w:rsidRPr="00DE264C">
        <w:rPr>
          <w:noProof/>
          <w:lang w:val="en-IE"/>
        </w:rPr>
        <w:t>, while the Protect</w:t>
      </w:r>
      <w:r w:rsidR="3454212B" w:rsidRPr="00DE264C">
        <w:rPr>
          <w:noProof/>
          <w:lang w:val="en-IE"/>
        </w:rPr>
        <w:t xml:space="preserve"> </w:t>
      </w:r>
      <w:r w:rsidR="4F3339B7" w:rsidRPr="00DE264C">
        <w:rPr>
          <w:noProof/>
          <w:lang w:val="en-IE"/>
        </w:rPr>
        <w:t>EU Internal Security Strategy further outlined measures to increase security of critical infrastructure and respond to security threats, including in the</w:t>
      </w:r>
      <w:r w:rsidR="1983A192" w:rsidRPr="00DE264C">
        <w:rPr>
          <w:noProof/>
          <w:lang w:val="en-IE"/>
        </w:rPr>
        <w:t xml:space="preserve"> digital domain.</w:t>
      </w:r>
      <w:r w:rsidR="4F3339B7" w:rsidRPr="00DE264C">
        <w:rPr>
          <w:noProof/>
          <w:lang w:val="en-IE"/>
        </w:rPr>
        <w:t xml:space="preserve"> </w:t>
      </w:r>
      <w:r w:rsidR="6A0C4C1E" w:rsidRPr="00DE264C">
        <w:rPr>
          <w:noProof/>
          <w:lang w:val="en-IE"/>
        </w:rPr>
        <w:t>S</w:t>
      </w:r>
      <w:r w:rsidRPr="00DE264C">
        <w:rPr>
          <w:noProof/>
          <w:lang w:val="en-IE"/>
        </w:rPr>
        <w:t xml:space="preserve">ecurity, </w:t>
      </w:r>
      <w:r w:rsidRPr="00DE264C">
        <w:rPr>
          <w:noProof/>
        </w:rPr>
        <w:t>defence</w:t>
      </w:r>
      <w:r w:rsidRPr="00DE264C">
        <w:rPr>
          <w:noProof/>
          <w:lang w:val="en-IE"/>
        </w:rPr>
        <w:t xml:space="preserve"> and economy rely on the existence of cutting-edge fixed and wireless systems, </w:t>
      </w:r>
      <w:r w:rsidR="64752A1E" w:rsidRPr="00DE264C">
        <w:rPr>
          <w:noProof/>
          <w:lang w:val="en-IE"/>
        </w:rPr>
        <w:t xml:space="preserve">and </w:t>
      </w:r>
      <w:r w:rsidRPr="00DE264C">
        <w:rPr>
          <w:noProof/>
          <w:lang w:val="en-IE"/>
        </w:rPr>
        <w:t xml:space="preserve">on sufficient access to radio spectrum. However, the connectivity infrastructure of the Union is not ready to address the current and future challenges of the data-driven society and economy the growing geopolitical tensions and conflicts and the future needs of all end-users. In this situation, the </w:t>
      </w:r>
      <w:r w:rsidR="00AA5482" w:rsidRPr="00DE264C">
        <w:rPr>
          <w:noProof/>
          <w:lang w:val="en-IE"/>
        </w:rPr>
        <w:t xml:space="preserve">June 2025 </w:t>
      </w:r>
      <w:r w:rsidR="00D2209E" w:rsidRPr="00DE264C">
        <w:rPr>
          <w:noProof/>
          <w:lang w:val="en-IE"/>
        </w:rPr>
        <w:t xml:space="preserve">Telecommunications </w:t>
      </w:r>
      <w:r w:rsidRPr="00DE264C">
        <w:rPr>
          <w:noProof/>
          <w:lang w:val="en-IE"/>
        </w:rPr>
        <w:t>Council called</w:t>
      </w:r>
      <w:r w:rsidR="006670E7" w:rsidRPr="00DE264C">
        <w:rPr>
          <w:noProof/>
          <w:lang w:val="en-IE"/>
        </w:rPr>
        <w:t xml:space="preserve"> on</w:t>
      </w:r>
      <w:r w:rsidRPr="00DE264C">
        <w:rPr>
          <w:noProof/>
          <w:lang w:val="en-IE"/>
        </w:rPr>
        <w:t xml:space="preserve"> the EU to ensure secure, reliable and resilient connectivity, including wireless (mobile, satellite)</w:t>
      </w:r>
      <w:r w:rsidRPr="00DE264C">
        <w:rPr>
          <w:rStyle w:val="FootnoteReference"/>
          <w:noProof/>
          <w:lang w:val="en-IE"/>
        </w:rPr>
        <w:footnoteReference w:id="7"/>
      </w:r>
      <w:r w:rsidRPr="00DE264C">
        <w:rPr>
          <w:noProof/>
          <w:lang w:val="en-IE"/>
        </w:rPr>
        <w:t>.</w:t>
      </w:r>
    </w:p>
    <w:p w14:paraId="42F5D2BE" w14:textId="541A66CE" w:rsidR="00632A43" w:rsidRPr="00DE264C" w:rsidRDefault="00632A43" w:rsidP="00F87C05">
      <w:pPr>
        <w:spacing w:line="240" w:lineRule="auto"/>
        <w:rPr>
          <w:noProof/>
          <w:lang w:val="en-IE"/>
        </w:rPr>
      </w:pPr>
      <w:r w:rsidRPr="00DE264C">
        <w:rPr>
          <w:noProof/>
        </w:rPr>
        <w:t>In the 2025 State of the Union Speech, President von der L</w:t>
      </w:r>
      <w:r w:rsidR="388889EB" w:rsidRPr="00DE264C">
        <w:rPr>
          <w:noProof/>
        </w:rPr>
        <w:t>e</w:t>
      </w:r>
      <w:r w:rsidRPr="00DE264C">
        <w:rPr>
          <w:noProof/>
        </w:rPr>
        <w:t xml:space="preserve">yen </w:t>
      </w:r>
      <w:r w:rsidR="56BD8D41" w:rsidRPr="00DE264C">
        <w:rPr>
          <w:noProof/>
        </w:rPr>
        <w:t>announced the</w:t>
      </w:r>
      <w:r w:rsidRPr="00DE264C">
        <w:rPr>
          <w:noProof/>
        </w:rPr>
        <w:t xml:space="preserve"> Single Market Roadmap </w:t>
      </w:r>
      <w:r w:rsidR="3FDD0AD6" w:rsidRPr="00DE264C">
        <w:rPr>
          <w:noProof/>
        </w:rPr>
        <w:t xml:space="preserve">2028 </w:t>
      </w:r>
      <w:r w:rsidRPr="00DE264C">
        <w:rPr>
          <w:noProof/>
        </w:rPr>
        <w:t xml:space="preserve">encompassing energy, capital </w:t>
      </w:r>
      <w:r w:rsidR="05C7C8F8" w:rsidRPr="00DE264C">
        <w:rPr>
          <w:noProof/>
        </w:rPr>
        <w:t xml:space="preserve">market </w:t>
      </w:r>
      <w:r w:rsidRPr="00DE264C">
        <w:rPr>
          <w:noProof/>
        </w:rPr>
        <w:t>union, and telecommunications. The</w:t>
      </w:r>
      <w:r w:rsidR="00614601">
        <w:rPr>
          <w:noProof/>
        </w:rPr>
        <w:t xml:space="preserve"> current initiative </w:t>
      </w:r>
      <w:r w:rsidR="7B9513FB">
        <w:rPr>
          <w:noProof/>
        </w:rPr>
        <w:t>is intended to</w:t>
      </w:r>
      <w:r w:rsidRPr="00DE264C">
        <w:rPr>
          <w:noProof/>
        </w:rPr>
        <w:t xml:space="preserve"> deliver on that promise.</w:t>
      </w:r>
    </w:p>
    <w:p w14:paraId="3B182A56" w14:textId="20EF8680" w:rsidR="005150D7" w:rsidRPr="00DE264C" w:rsidRDefault="005150D7" w:rsidP="00F87C05">
      <w:pPr>
        <w:spacing w:line="240" w:lineRule="auto"/>
        <w:rPr>
          <w:rFonts w:eastAsia="Times New Roman"/>
          <w:i/>
          <w:noProof/>
          <w:color w:val="000000" w:themeColor="text1"/>
        </w:rPr>
      </w:pPr>
      <w:r w:rsidRPr="00DE264C">
        <w:rPr>
          <w:rFonts w:eastAsia="Times New Roman"/>
          <w:i/>
          <w:noProof/>
          <w:color w:val="000000" w:themeColor="text1"/>
        </w:rPr>
        <w:t xml:space="preserve">The components </w:t>
      </w:r>
      <w:r w:rsidR="008C2B92">
        <w:rPr>
          <w:rFonts w:eastAsia="Times New Roman"/>
          <w:i/>
          <w:noProof/>
          <w:color w:val="000000" w:themeColor="text1"/>
        </w:rPr>
        <w:t xml:space="preserve">considered for </w:t>
      </w:r>
      <w:r w:rsidRPr="00DE264C">
        <w:rPr>
          <w:rFonts w:eastAsia="Times New Roman"/>
          <w:i/>
          <w:noProof/>
          <w:color w:val="000000" w:themeColor="text1"/>
        </w:rPr>
        <w:t>DNA</w:t>
      </w:r>
    </w:p>
    <w:p w14:paraId="4C20A12D" w14:textId="4513D36C" w:rsidR="005150D7" w:rsidRPr="00DE264C" w:rsidRDefault="005150D7" w:rsidP="00F87C05">
      <w:pPr>
        <w:spacing w:line="240" w:lineRule="auto"/>
        <w:rPr>
          <w:rFonts w:eastAsia="Times New Roman"/>
          <w:noProof/>
          <w:lang w:eastAsia="en-IE"/>
        </w:rPr>
      </w:pPr>
      <w:r w:rsidRPr="00DE264C">
        <w:rPr>
          <w:rFonts w:eastAsia="Times New Roman"/>
          <w:noProof/>
          <w:lang w:eastAsia="en-IE"/>
        </w:rPr>
        <w:t xml:space="preserve">The </w:t>
      </w:r>
      <w:r w:rsidR="349BD08E" w:rsidRPr="7AC71608">
        <w:rPr>
          <w:rFonts w:eastAsia="Times New Roman"/>
          <w:noProof/>
        </w:rPr>
        <w:t>Digital Networks Act</w:t>
      </w:r>
      <w:r w:rsidR="349BD08E" w:rsidRPr="7AC71608">
        <w:rPr>
          <w:rFonts w:eastAsia="Times New Roman"/>
          <w:noProof/>
          <w:lang w:eastAsia="en-IE"/>
        </w:rPr>
        <w:t xml:space="preserve"> (</w:t>
      </w:r>
      <w:r w:rsidRPr="00DE264C">
        <w:rPr>
          <w:rFonts w:eastAsia="Times New Roman"/>
          <w:noProof/>
          <w:lang w:eastAsia="en-IE"/>
        </w:rPr>
        <w:t>DNA</w:t>
      </w:r>
      <w:r w:rsidR="07ABA640" w:rsidRPr="7AC71608">
        <w:rPr>
          <w:rFonts w:eastAsia="Times New Roman"/>
          <w:noProof/>
          <w:lang w:eastAsia="en-IE"/>
        </w:rPr>
        <w:t>)</w:t>
      </w:r>
      <w:r w:rsidRPr="00DE264C">
        <w:rPr>
          <w:rFonts w:eastAsia="Times New Roman"/>
          <w:noProof/>
          <w:lang w:eastAsia="en-IE"/>
        </w:rPr>
        <w:t xml:space="preserve"> is planned to replace multiple existing legal acts currently in place in the EU acquis regulating the connectivity ecosystem</w:t>
      </w:r>
      <w:r w:rsidR="468861F3" w:rsidRPr="7AC71608">
        <w:rPr>
          <w:rFonts w:eastAsia="Times New Roman"/>
          <w:noProof/>
          <w:lang w:eastAsia="en-IE"/>
        </w:rPr>
        <w:t>.</w:t>
      </w:r>
      <w:r w:rsidRPr="00DE264C">
        <w:rPr>
          <w:rFonts w:eastAsia="Times New Roman"/>
          <w:noProof/>
          <w:lang w:eastAsia="en-IE"/>
        </w:rPr>
        <w:t xml:space="preserve"> With a view to set the conditions for providers to operate and innovate in the Single Market, these elements need to reinforce each other. Providers need simplified and consistent authorisation rules (EECC</w:t>
      </w:r>
      <w:r w:rsidR="468861F3" w:rsidRPr="7AC71608">
        <w:rPr>
          <w:rFonts w:eastAsia="Times New Roman"/>
          <w:noProof/>
          <w:lang w:eastAsia="en-IE"/>
        </w:rPr>
        <w:t>)</w:t>
      </w:r>
      <w:r w:rsidR="718E1BD5" w:rsidRPr="7AC71608">
        <w:rPr>
          <w:rFonts w:eastAsia="Times New Roman"/>
          <w:noProof/>
          <w:lang w:eastAsia="en-IE"/>
        </w:rPr>
        <w:t>,</w:t>
      </w:r>
      <w:r w:rsidRPr="00DE264C">
        <w:rPr>
          <w:rFonts w:eastAsia="Times New Roman"/>
          <w:noProof/>
          <w:lang w:eastAsia="en-IE"/>
        </w:rPr>
        <w:t xml:space="preserve"> access to fixed networks and spectrum resources (EECC, RSPP, MSS) and a simplified and harmonised set of rules for networks and services (EECC, OIR). Finally, the governance regime needs to support and enable the Single Market. The Evaluation report (see Annex 11) </w:t>
      </w:r>
      <w:r w:rsidR="78F2A703" w:rsidRPr="7AC71608">
        <w:rPr>
          <w:rFonts w:eastAsia="Times New Roman"/>
          <w:noProof/>
          <w:lang w:eastAsia="en-IE"/>
        </w:rPr>
        <w:t>reviews</w:t>
      </w:r>
      <w:r w:rsidRPr="00DE264C">
        <w:rPr>
          <w:rFonts w:eastAsia="Times New Roman"/>
          <w:noProof/>
          <w:lang w:eastAsia="en-IE"/>
        </w:rPr>
        <w:t xml:space="preserve"> all these current acts to be merged in the DNA, while the Impact Assessment </w:t>
      </w:r>
      <w:r w:rsidR="468861F3" w:rsidRPr="7AC71608">
        <w:rPr>
          <w:rFonts w:eastAsia="Times New Roman"/>
          <w:noProof/>
          <w:lang w:eastAsia="en-IE"/>
        </w:rPr>
        <w:t>analyse</w:t>
      </w:r>
      <w:r w:rsidR="159FAE3E" w:rsidRPr="7AC71608">
        <w:rPr>
          <w:rFonts w:eastAsia="Times New Roman"/>
          <w:noProof/>
          <w:lang w:eastAsia="en-IE"/>
        </w:rPr>
        <w:t>s</w:t>
      </w:r>
      <w:r w:rsidRPr="00DE264C">
        <w:rPr>
          <w:rFonts w:eastAsia="Times New Roman"/>
          <w:noProof/>
          <w:lang w:eastAsia="en-IE"/>
        </w:rPr>
        <w:t xml:space="preserve"> the most important changes </w:t>
      </w:r>
      <w:r w:rsidR="33D88FD8" w:rsidRPr="7AC71608">
        <w:rPr>
          <w:rFonts w:eastAsia="Times New Roman"/>
          <w:noProof/>
          <w:lang w:eastAsia="en-IE"/>
        </w:rPr>
        <w:t xml:space="preserve">necessary to </w:t>
      </w:r>
      <w:r w:rsidRPr="00DE264C">
        <w:rPr>
          <w:rFonts w:eastAsia="Times New Roman"/>
          <w:noProof/>
          <w:lang w:eastAsia="en-IE"/>
        </w:rPr>
        <w:t>address the identified problems</w:t>
      </w:r>
      <w:r w:rsidR="00EF3B26">
        <w:rPr>
          <w:rFonts w:eastAsia="Times New Roman"/>
          <w:noProof/>
          <w:lang w:eastAsia="en-IE"/>
        </w:rPr>
        <w:t xml:space="preserve">, </w:t>
      </w:r>
      <w:r w:rsidR="021A8C69" w:rsidRPr="7AC71608">
        <w:rPr>
          <w:rFonts w:eastAsia="Times New Roman"/>
          <w:noProof/>
          <w:lang w:eastAsia="en-IE"/>
        </w:rPr>
        <w:t xml:space="preserve">more </w:t>
      </w:r>
      <w:r w:rsidR="00B94431" w:rsidRPr="7AC71608">
        <w:rPr>
          <w:rFonts w:eastAsia="Times New Roman"/>
          <w:noProof/>
          <w:lang w:eastAsia="en-IE"/>
        </w:rPr>
        <w:t>precisely</w:t>
      </w:r>
      <w:r w:rsidR="021A8C69" w:rsidRPr="7AC71608">
        <w:rPr>
          <w:rFonts w:eastAsia="Times New Roman"/>
          <w:noProof/>
          <w:lang w:eastAsia="en-IE"/>
        </w:rPr>
        <w:t xml:space="preserve"> </w:t>
      </w:r>
      <w:r w:rsidR="00EF3B26">
        <w:rPr>
          <w:rFonts w:eastAsia="Times New Roman"/>
          <w:noProof/>
          <w:lang w:eastAsia="en-IE"/>
        </w:rPr>
        <w:t>in</w:t>
      </w:r>
      <w:r w:rsidRPr="00DE264C">
        <w:rPr>
          <w:rFonts w:eastAsia="Times New Roman"/>
          <w:noProof/>
          <w:lang w:eastAsia="en-IE"/>
        </w:rPr>
        <w:t>:</w:t>
      </w:r>
    </w:p>
    <w:p w14:paraId="1AD416B0" w14:textId="0C82D19F" w:rsidR="005150D7" w:rsidRPr="00DE264C" w:rsidRDefault="005150D7" w:rsidP="00F87C05">
      <w:pPr>
        <w:pStyle w:val="ListParagraph"/>
        <w:numPr>
          <w:ilvl w:val="0"/>
          <w:numId w:val="91"/>
        </w:numPr>
        <w:spacing w:line="240" w:lineRule="auto"/>
        <w:rPr>
          <w:rFonts w:eastAsiaTheme="minorEastAsia"/>
          <w:iCs/>
          <w:noProof/>
          <w:color w:val="000000" w:themeColor="text1"/>
        </w:rPr>
      </w:pPr>
      <w:r w:rsidRPr="00DE264C">
        <w:rPr>
          <w:rFonts w:eastAsiaTheme="minorEastAsia"/>
          <w:iCs/>
          <w:noProof/>
          <w:color w:val="000000" w:themeColor="text1"/>
        </w:rPr>
        <w:t>Current Article</w:t>
      </w:r>
      <w:r w:rsidR="00A907F2">
        <w:rPr>
          <w:rFonts w:eastAsiaTheme="minorEastAsia"/>
          <w:iCs/>
          <w:noProof/>
          <w:color w:val="000000" w:themeColor="text1"/>
        </w:rPr>
        <w:t> </w:t>
      </w:r>
      <w:r w:rsidRPr="00DE264C">
        <w:rPr>
          <w:rFonts w:eastAsiaTheme="minorEastAsia"/>
          <w:iCs/>
          <w:noProof/>
          <w:color w:val="000000" w:themeColor="text1"/>
        </w:rPr>
        <w:t xml:space="preserve">81 of the EECC, which deals with migration </w:t>
      </w:r>
      <w:r w:rsidR="40C29313" w:rsidRPr="18864199">
        <w:rPr>
          <w:rFonts w:eastAsiaTheme="minorEastAsia"/>
          <w:noProof/>
          <w:color w:val="000000" w:themeColor="text1"/>
        </w:rPr>
        <w:t>from a wholesale access perspective,</w:t>
      </w:r>
      <w:r w:rsidR="468861F3" w:rsidRPr="18864199">
        <w:rPr>
          <w:rFonts w:eastAsiaTheme="minorEastAsia"/>
          <w:noProof/>
          <w:color w:val="000000" w:themeColor="text1"/>
        </w:rPr>
        <w:t xml:space="preserve"> </w:t>
      </w:r>
      <w:r w:rsidRPr="00DE264C">
        <w:rPr>
          <w:rFonts w:eastAsiaTheme="minorEastAsia"/>
          <w:iCs/>
          <w:noProof/>
          <w:color w:val="000000" w:themeColor="text1"/>
        </w:rPr>
        <w:t>but does not incentivise copper switch-off.</w:t>
      </w:r>
    </w:p>
    <w:p w14:paraId="55772186" w14:textId="3800CA00" w:rsidR="005150D7" w:rsidRPr="00DE264C" w:rsidRDefault="005150D7" w:rsidP="00F87C05">
      <w:pPr>
        <w:pStyle w:val="ListParagraph"/>
        <w:numPr>
          <w:ilvl w:val="0"/>
          <w:numId w:val="91"/>
        </w:numPr>
        <w:spacing w:line="240" w:lineRule="auto"/>
        <w:rPr>
          <w:rFonts w:eastAsiaTheme="minorEastAsia"/>
          <w:iCs/>
          <w:noProof/>
          <w:color w:val="000000" w:themeColor="text1"/>
        </w:rPr>
      </w:pPr>
      <w:r w:rsidRPr="00DE264C">
        <w:rPr>
          <w:rFonts w:eastAsiaTheme="minorEastAsia"/>
          <w:iCs/>
          <w:noProof/>
          <w:color w:val="000000" w:themeColor="text1"/>
        </w:rPr>
        <w:t>Spectrum Articles</w:t>
      </w:r>
      <w:r w:rsidR="00A907F2">
        <w:rPr>
          <w:rFonts w:eastAsiaTheme="minorEastAsia"/>
          <w:iCs/>
          <w:noProof/>
          <w:color w:val="000000" w:themeColor="text1"/>
        </w:rPr>
        <w:t> </w:t>
      </w:r>
      <w:r w:rsidRPr="00DE264C">
        <w:rPr>
          <w:rFonts w:eastAsiaTheme="minorEastAsia"/>
          <w:iCs/>
          <w:noProof/>
          <w:color w:val="000000" w:themeColor="text1"/>
        </w:rPr>
        <w:t>4, 28, 29, 35-37, 42, 45-55</w:t>
      </w:r>
      <w:r w:rsidR="2ED59DAB" w:rsidRPr="18864199">
        <w:rPr>
          <w:rFonts w:eastAsiaTheme="minorEastAsia"/>
          <w:noProof/>
          <w:color w:val="000000" w:themeColor="text1"/>
        </w:rPr>
        <w:t xml:space="preserve"> EECC</w:t>
      </w:r>
      <w:r w:rsidRPr="00DE264C">
        <w:rPr>
          <w:rFonts w:eastAsiaTheme="minorEastAsia"/>
          <w:iCs/>
          <w:noProof/>
          <w:color w:val="000000" w:themeColor="text1"/>
        </w:rPr>
        <w:t>.</w:t>
      </w:r>
    </w:p>
    <w:p w14:paraId="564DE560" w14:textId="7B5252E4" w:rsidR="005150D7" w:rsidRPr="00DE264C" w:rsidRDefault="005150D7" w:rsidP="00F87C05">
      <w:pPr>
        <w:pStyle w:val="ListParagraph"/>
        <w:numPr>
          <w:ilvl w:val="0"/>
          <w:numId w:val="91"/>
        </w:numPr>
        <w:spacing w:line="240" w:lineRule="auto"/>
        <w:rPr>
          <w:rFonts w:eastAsiaTheme="minorEastAsia"/>
          <w:iCs/>
          <w:noProof/>
          <w:color w:val="000000" w:themeColor="text1"/>
        </w:rPr>
      </w:pPr>
      <w:r w:rsidRPr="00DE264C">
        <w:rPr>
          <w:rFonts w:eastAsiaTheme="minorEastAsia"/>
          <w:iCs/>
          <w:noProof/>
          <w:color w:val="000000" w:themeColor="text1"/>
        </w:rPr>
        <w:t>Articles of the EECC dealing with authorisation, and the MSS Decision dealing with satellite services.</w:t>
      </w:r>
    </w:p>
    <w:p w14:paraId="05656999" w14:textId="294880E7" w:rsidR="005150D7" w:rsidRPr="00DE264C" w:rsidRDefault="273D3DA2" w:rsidP="00F87C05">
      <w:pPr>
        <w:pStyle w:val="ListParagraph"/>
        <w:numPr>
          <w:ilvl w:val="0"/>
          <w:numId w:val="91"/>
        </w:numPr>
        <w:spacing w:line="240" w:lineRule="auto"/>
        <w:rPr>
          <w:rFonts w:eastAsiaTheme="minorEastAsia"/>
          <w:iCs/>
          <w:noProof/>
          <w:color w:val="000000" w:themeColor="text1"/>
        </w:rPr>
      </w:pPr>
      <w:r w:rsidRPr="18864199">
        <w:rPr>
          <w:rFonts w:eastAsiaTheme="minorEastAsia"/>
          <w:noProof/>
          <w:color w:val="000000" w:themeColor="text1"/>
        </w:rPr>
        <w:t>A</w:t>
      </w:r>
      <w:r w:rsidR="468861F3" w:rsidRPr="18864199">
        <w:rPr>
          <w:rFonts w:eastAsiaTheme="minorEastAsia"/>
          <w:noProof/>
          <w:color w:val="000000" w:themeColor="text1"/>
        </w:rPr>
        <w:t>rticles</w:t>
      </w:r>
      <w:r w:rsidR="005150D7" w:rsidRPr="00DE264C">
        <w:rPr>
          <w:rFonts w:eastAsiaTheme="minorEastAsia"/>
          <w:iCs/>
          <w:noProof/>
          <w:color w:val="000000" w:themeColor="text1"/>
        </w:rPr>
        <w:t xml:space="preserve"> of EECC, RSPP and BEREC Regulation describing the objectives, the tasks and competences, and the mandate of regulatory bodies.</w:t>
      </w:r>
    </w:p>
    <w:p w14:paraId="6B34CB20" w14:textId="7E211A05" w:rsidR="00164278" w:rsidRPr="00DE264C" w:rsidRDefault="0C9CDDC8" w:rsidP="00F87C05">
      <w:pPr>
        <w:pStyle w:val="ListParagraph"/>
        <w:numPr>
          <w:ilvl w:val="0"/>
          <w:numId w:val="91"/>
        </w:numPr>
        <w:spacing w:line="240" w:lineRule="auto"/>
        <w:rPr>
          <w:rFonts w:eastAsiaTheme="minorEastAsia"/>
          <w:noProof/>
          <w:color w:val="000000" w:themeColor="text1"/>
        </w:rPr>
      </w:pPr>
      <w:r w:rsidRPr="18864199">
        <w:rPr>
          <w:rFonts w:eastAsiaTheme="minorEastAsia"/>
          <w:noProof/>
          <w:color w:val="000000" w:themeColor="text1"/>
        </w:rPr>
        <w:t>A</w:t>
      </w:r>
      <w:r w:rsidR="60AFCB3F" w:rsidRPr="18864199">
        <w:rPr>
          <w:rFonts w:eastAsiaTheme="minorEastAsia"/>
          <w:noProof/>
          <w:color w:val="000000" w:themeColor="text1"/>
        </w:rPr>
        <w:t>rticles</w:t>
      </w:r>
      <w:r w:rsidR="00164278" w:rsidRPr="00DE264C">
        <w:rPr>
          <w:rFonts w:eastAsiaTheme="minorEastAsia"/>
          <w:noProof/>
          <w:color w:val="000000" w:themeColor="text1"/>
        </w:rPr>
        <w:t xml:space="preserve"> on access regime (Articles</w:t>
      </w:r>
      <w:r w:rsidR="00A907F2">
        <w:rPr>
          <w:rFonts w:eastAsiaTheme="minorEastAsia"/>
          <w:noProof/>
          <w:color w:val="000000" w:themeColor="text1"/>
        </w:rPr>
        <w:t> </w:t>
      </w:r>
      <w:r w:rsidR="00164278" w:rsidRPr="00DE264C">
        <w:rPr>
          <w:rFonts w:eastAsiaTheme="minorEastAsia"/>
          <w:noProof/>
          <w:color w:val="000000" w:themeColor="text1"/>
        </w:rPr>
        <w:t>76 (co-investment), 77 and 78 (mandated and voluntary separation), Article</w:t>
      </w:r>
      <w:r w:rsidR="00A907F2">
        <w:rPr>
          <w:rFonts w:eastAsiaTheme="minorEastAsia"/>
          <w:noProof/>
          <w:color w:val="000000" w:themeColor="text1"/>
        </w:rPr>
        <w:t> </w:t>
      </w:r>
      <w:r w:rsidR="00164278" w:rsidRPr="00DE264C">
        <w:rPr>
          <w:rFonts w:eastAsiaTheme="minorEastAsia"/>
          <w:noProof/>
          <w:color w:val="000000" w:themeColor="text1"/>
        </w:rPr>
        <w:t>61(3) (symmetric regulation) and Article</w:t>
      </w:r>
      <w:r w:rsidR="00A907F2">
        <w:rPr>
          <w:rFonts w:eastAsiaTheme="minorEastAsia"/>
          <w:noProof/>
          <w:color w:val="000000" w:themeColor="text1"/>
        </w:rPr>
        <w:t> </w:t>
      </w:r>
      <w:r w:rsidR="00164278" w:rsidRPr="00DE264C">
        <w:rPr>
          <w:rFonts w:eastAsiaTheme="minorEastAsia"/>
          <w:noProof/>
          <w:color w:val="000000" w:themeColor="text1"/>
        </w:rPr>
        <w:t xml:space="preserve">79 </w:t>
      </w:r>
      <w:r w:rsidR="5D8F9CD4" w:rsidRPr="18864199">
        <w:rPr>
          <w:rFonts w:eastAsiaTheme="minorEastAsia"/>
          <w:noProof/>
          <w:color w:val="000000" w:themeColor="text1"/>
        </w:rPr>
        <w:t xml:space="preserve">EECC </w:t>
      </w:r>
      <w:r w:rsidR="00164278" w:rsidRPr="00DE264C">
        <w:rPr>
          <w:rFonts w:eastAsiaTheme="minorEastAsia"/>
          <w:noProof/>
          <w:color w:val="000000" w:themeColor="text1"/>
        </w:rPr>
        <w:t>(regulatory commitments)</w:t>
      </w:r>
      <w:r w:rsidR="00F7052F">
        <w:rPr>
          <w:rFonts w:eastAsiaTheme="minorEastAsia"/>
          <w:noProof/>
          <w:color w:val="000000" w:themeColor="text1"/>
        </w:rPr>
        <w:t>)</w:t>
      </w:r>
      <w:r w:rsidR="00D21A25">
        <w:rPr>
          <w:rFonts w:eastAsiaTheme="minorEastAsia"/>
          <w:noProof/>
          <w:color w:val="000000" w:themeColor="text1"/>
        </w:rPr>
        <w:t xml:space="preserve"> </w:t>
      </w:r>
      <w:r w:rsidR="00164278" w:rsidRPr="00DE264C">
        <w:rPr>
          <w:rFonts w:eastAsiaTheme="minorEastAsia"/>
          <w:noProof/>
          <w:color w:val="000000" w:themeColor="text1"/>
        </w:rPr>
        <w:t xml:space="preserve">to be eliminated, streamlined or updated/amended as needed. </w:t>
      </w:r>
    </w:p>
    <w:p w14:paraId="1CA61775" w14:textId="41B83867" w:rsidR="005150D7" w:rsidRPr="00B34AE0" w:rsidRDefault="005150D7" w:rsidP="00F87C05">
      <w:pPr>
        <w:spacing w:line="240" w:lineRule="auto"/>
        <w:rPr>
          <w:rFonts w:eastAsia="Times New Roman"/>
          <w:noProof/>
          <w:lang w:eastAsia="en-IE"/>
        </w:rPr>
      </w:pPr>
      <w:r w:rsidRPr="00DE264C">
        <w:rPr>
          <w:rFonts w:eastAsia="Times New Roman"/>
          <w:noProof/>
          <w:lang w:eastAsia="en-IE"/>
        </w:rPr>
        <w:t xml:space="preserve">The below figure summarises the various elements of the DNA, describing the main components assessed and the remaining ones not targeted. </w:t>
      </w:r>
    </w:p>
    <w:p w14:paraId="31E00C92" w14:textId="56F0220F" w:rsidR="005150D7" w:rsidRPr="00B65A41" w:rsidRDefault="00752CCB" w:rsidP="003E0F8E">
      <w:pPr>
        <w:pStyle w:val="Caption"/>
        <w:keepNext/>
        <w:keepLines/>
        <w:rPr>
          <w:noProof/>
          <w:sz w:val="20"/>
          <w:szCs w:val="20"/>
        </w:rPr>
      </w:pPr>
      <w:bookmarkStart w:id="7" w:name="_Toc215084135"/>
      <w:bookmarkStart w:id="8" w:name="_Toc219539758"/>
      <w:r>
        <w:rPr>
          <w:noProof/>
        </w:rPr>
        <w:t xml:space="preserve">Figure </w:t>
      </w:r>
      <w:r w:rsidR="00F1710D">
        <w:rPr>
          <w:noProof/>
        </w:rPr>
        <w:fldChar w:fldCharType="begin"/>
      </w:r>
      <w:r w:rsidR="00F1710D">
        <w:rPr>
          <w:noProof/>
        </w:rPr>
        <w:instrText xml:space="preserve"> SEQ Figure \* ARABIC </w:instrText>
      </w:r>
      <w:r w:rsidR="00F1710D">
        <w:rPr>
          <w:noProof/>
        </w:rPr>
        <w:fldChar w:fldCharType="separate"/>
      </w:r>
      <w:r w:rsidR="00E942BD">
        <w:rPr>
          <w:noProof/>
        </w:rPr>
        <w:t>1</w:t>
      </w:r>
      <w:r w:rsidR="00F1710D">
        <w:rPr>
          <w:noProof/>
        </w:rPr>
        <w:fldChar w:fldCharType="end"/>
      </w:r>
      <w:r w:rsidR="005150D7" w:rsidRPr="00B65A41">
        <w:rPr>
          <w:noProof/>
          <w:color w:val="auto"/>
          <w:sz w:val="20"/>
          <w:szCs w:val="20"/>
        </w:rPr>
        <w:t xml:space="preserve">: </w:t>
      </w:r>
      <w:r w:rsidR="008B3B83" w:rsidRPr="00B65A41">
        <w:rPr>
          <w:noProof/>
          <w:color w:val="auto"/>
          <w:sz w:val="20"/>
          <w:szCs w:val="20"/>
        </w:rPr>
        <w:t xml:space="preserve">Current acquis on </w:t>
      </w:r>
      <w:r w:rsidR="00DB6A76" w:rsidRPr="00B65A41">
        <w:rPr>
          <w:noProof/>
          <w:color w:val="auto"/>
          <w:sz w:val="20"/>
          <w:szCs w:val="20"/>
        </w:rPr>
        <w:t>electronic</w:t>
      </w:r>
      <w:r w:rsidR="008B3B83" w:rsidRPr="00B65A41">
        <w:rPr>
          <w:noProof/>
          <w:color w:val="auto"/>
          <w:sz w:val="20"/>
          <w:szCs w:val="20"/>
        </w:rPr>
        <w:t xml:space="preserve"> communications networks and services and the DNA</w:t>
      </w:r>
      <w:bookmarkEnd w:id="7"/>
      <w:bookmarkEnd w:id="8"/>
    </w:p>
    <w:p w14:paraId="7B4F1D05" w14:textId="1F84EED3" w:rsidR="005150D7" w:rsidRPr="00DE264C" w:rsidRDefault="00A23C17" w:rsidP="005150D7">
      <w:pPr>
        <w:spacing w:before="120" w:after="120"/>
        <w:rPr>
          <w:rFonts w:eastAsiaTheme="minorEastAsia"/>
          <w:noProof/>
          <w:color w:val="000000" w:themeColor="text1"/>
          <w:lang w:val="en-IE"/>
        </w:rPr>
      </w:pPr>
      <w:r w:rsidRPr="00B7396E">
        <w:rPr>
          <w:noProof/>
          <w:lang w:eastAsia="en-GB"/>
        </w:rPr>
        <w:drawing>
          <wp:inline distT="0" distB="0" distL="0" distR="0" wp14:anchorId="5D82BE95" wp14:editId="468D8AB7">
            <wp:extent cx="4099037" cy="2280285"/>
            <wp:effectExtent l="0" t="0" r="0" b="5715"/>
            <wp:docPr id="3987096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03836" cy="2282955"/>
                    </a:xfrm>
                    <a:prstGeom prst="rect">
                      <a:avLst/>
                    </a:prstGeom>
                    <a:noFill/>
                  </pic:spPr>
                </pic:pic>
              </a:graphicData>
            </a:graphic>
          </wp:inline>
        </w:drawing>
      </w:r>
    </w:p>
    <w:p w14:paraId="0AA3E701" w14:textId="08782E53" w:rsidR="00C8164F" w:rsidRPr="00DE264C" w:rsidRDefault="00C8164F" w:rsidP="00F87C05">
      <w:pPr>
        <w:spacing w:line="240" w:lineRule="auto"/>
        <w:rPr>
          <w:rFonts w:eastAsia="Times New Roman"/>
          <w:i/>
          <w:noProof/>
          <w:color w:val="000000" w:themeColor="text1"/>
        </w:rPr>
      </w:pPr>
      <w:r w:rsidRPr="00B7396E">
        <w:rPr>
          <w:noProof/>
        </w:rPr>
        <w:t xml:space="preserve">It should be noted that simplification measures foreseen under the DNA are specific for </w:t>
      </w:r>
      <w:r w:rsidR="52D702F0">
        <w:rPr>
          <w:noProof/>
        </w:rPr>
        <w:t>the electronic communication</w:t>
      </w:r>
      <w:r w:rsidR="3D8D2D01">
        <w:rPr>
          <w:noProof/>
        </w:rPr>
        <w:t>s</w:t>
      </w:r>
      <w:r w:rsidRPr="00B7396E">
        <w:rPr>
          <w:noProof/>
        </w:rPr>
        <w:t xml:space="preserve"> sector. They are complementary and mutually reinforcing with the Digital Omnibus, which is a horizontal simplification tool designed to streamline reporting requirements also for ECN and ECS providers resulting from other digital acts.</w:t>
      </w:r>
    </w:p>
    <w:p w14:paraId="7E7D269E" w14:textId="5FF75FEC" w:rsidR="005150D7" w:rsidRPr="00DE264C" w:rsidRDefault="005150D7" w:rsidP="00F87C05">
      <w:pPr>
        <w:spacing w:line="240" w:lineRule="auto"/>
        <w:rPr>
          <w:rFonts w:eastAsiaTheme="minorEastAsia"/>
          <w:i/>
          <w:iCs/>
          <w:noProof/>
          <w:color w:val="000000" w:themeColor="text1"/>
          <w:lang w:val="en-IE"/>
        </w:rPr>
      </w:pPr>
      <w:r w:rsidRPr="00C016F5">
        <w:rPr>
          <w:rFonts w:eastAsia="Times New Roman"/>
          <w:noProof/>
          <w:lang w:eastAsia="en-IE"/>
        </w:rPr>
        <w:t xml:space="preserve">The initiative on the </w:t>
      </w:r>
      <w:r w:rsidR="2CC274BB" w:rsidRPr="18864199">
        <w:rPr>
          <w:rFonts w:eastAsia="Times New Roman"/>
          <w:noProof/>
        </w:rPr>
        <w:t xml:space="preserve">DNA </w:t>
      </w:r>
      <w:r w:rsidRPr="00C016F5">
        <w:rPr>
          <w:rFonts w:eastAsia="Times New Roman"/>
          <w:noProof/>
          <w:lang w:eastAsia="en-IE"/>
        </w:rPr>
        <w:t xml:space="preserve">is complementary to and closely coordinated with other ongoing EU initiatives listed </w:t>
      </w:r>
      <w:r w:rsidR="00597B6C" w:rsidRPr="00C016F5">
        <w:rPr>
          <w:rFonts w:eastAsia="Times New Roman"/>
          <w:noProof/>
          <w:lang w:eastAsia="en-IE"/>
        </w:rPr>
        <w:t>below</w:t>
      </w:r>
      <w:r w:rsidRPr="00C016F5">
        <w:rPr>
          <w:rFonts w:eastAsia="Times New Roman"/>
          <w:noProof/>
          <w:lang w:eastAsia="en-IE"/>
        </w:rPr>
        <w:t xml:space="preserve">. In particular, the achievement of EU technological capacities across the broader value chain is only possible if externally coherent with other major initiatives in the </w:t>
      </w:r>
      <w:r w:rsidR="77B14D90" w:rsidRPr="18864199">
        <w:rPr>
          <w:rFonts w:eastAsia="Times New Roman"/>
          <w:noProof/>
        </w:rPr>
        <w:t>domain</w:t>
      </w:r>
      <w:r w:rsidRPr="00C016F5">
        <w:rPr>
          <w:rFonts w:eastAsia="Times New Roman"/>
          <w:noProof/>
          <w:lang w:eastAsia="en-IE"/>
        </w:rPr>
        <w:t xml:space="preserve"> of cloud, AI, data and cybersecurity. These Acts regulate different components in the digital ecosystem of the EU.</w:t>
      </w:r>
    </w:p>
    <w:p w14:paraId="57977386" w14:textId="4C86E7A7" w:rsidR="00D61F79" w:rsidRPr="00DE264C" w:rsidRDefault="00EB1FC9" w:rsidP="00F87C05">
      <w:pPr>
        <w:spacing w:line="240" w:lineRule="auto"/>
        <w:rPr>
          <w:rFonts w:eastAsia="Times New Roman"/>
          <w:i/>
          <w:noProof/>
          <w:color w:val="000000" w:themeColor="text1"/>
        </w:rPr>
      </w:pPr>
      <w:r w:rsidRPr="00DE264C">
        <w:rPr>
          <w:rFonts w:eastAsia="Times New Roman"/>
          <w:i/>
          <w:noProof/>
          <w:color w:val="000000" w:themeColor="text1"/>
        </w:rPr>
        <w:t>The digital ecosystem</w:t>
      </w:r>
    </w:p>
    <w:p w14:paraId="1B04C1AA" w14:textId="19317773" w:rsidR="008F598C" w:rsidRPr="00DE264C" w:rsidRDefault="051DA6C7" w:rsidP="006A3DDC">
      <w:pPr>
        <w:spacing w:line="240" w:lineRule="auto"/>
        <w:rPr>
          <w:rFonts w:eastAsia="Times New Roman"/>
          <w:noProof/>
          <w:color w:val="000000" w:themeColor="text1"/>
        </w:rPr>
      </w:pPr>
      <w:r w:rsidRPr="7AC71608">
        <w:rPr>
          <w:rFonts w:eastAsia="Times New Roman"/>
          <w:noProof/>
          <w:color w:val="000000" w:themeColor="text1"/>
        </w:rPr>
        <w:t>T</w:t>
      </w:r>
      <w:r w:rsidR="3936055C" w:rsidRPr="7AC71608">
        <w:rPr>
          <w:rFonts w:eastAsia="Times New Roman"/>
          <w:noProof/>
          <w:color w:val="000000" w:themeColor="text1"/>
        </w:rPr>
        <w:t>he</w:t>
      </w:r>
      <w:r w:rsidR="39A92826" w:rsidRPr="7AC71608">
        <w:rPr>
          <w:rFonts w:eastAsia="Times New Roman"/>
          <w:noProof/>
          <w:color w:val="000000" w:themeColor="text1"/>
        </w:rPr>
        <w:t>re</w:t>
      </w:r>
      <w:r w:rsidR="001140C0" w:rsidRPr="00DE264C">
        <w:rPr>
          <w:rFonts w:eastAsia="Times New Roman"/>
          <w:noProof/>
          <w:color w:val="000000" w:themeColor="text1"/>
        </w:rPr>
        <w:t xml:space="preserve"> </w:t>
      </w:r>
      <w:r w:rsidR="5072D60C" w:rsidRPr="00DE264C">
        <w:rPr>
          <w:rFonts w:eastAsia="Times New Roman"/>
          <w:noProof/>
          <w:color w:val="000000" w:themeColor="text1"/>
        </w:rPr>
        <w:t xml:space="preserve">is a </w:t>
      </w:r>
      <w:r w:rsidR="00D61F79" w:rsidRPr="00DE264C">
        <w:rPr>
          <w:rFonts w:eastAsia="Times New Roman"/>
          <w:noProof/>
          <w:color w:val="000000" w:themeColor="text1"/>
        </w:rPr>
        <w:t xml:space="preserve">growing </w:t>
      </w:r>
      <w:r w:rsidR="2E283359" w:rsidRPr="00DE264C">
        <w:rPr>
          <w:rFonts w:eastAsia="Times New Roman"/>
          <w:noProof/>
          <w:color w:val="000000" w:themeColor="text1"/>
        </w:rPr>
        <w:t>interplay</w:t>
      </w:r>
      <w:r w:rsidR="00D61F79" w:rsidRPr="00DE264C">
        <w:rPr>
          <w:rFonts w:eastAsia="Times New Roman"/>
          <w:noProof/>
          <w:color w:val="000000" w:themeColor="text1"/>
        </w:rPr>
        <w:t xml:space="preserve"> between telecom networks and cloud/edge computing </w:t>
      </w:r>
      <w:r w:rsidR="39B5217A" w:rsidRPr="00DE264C">
        <w:rPr>
          <w:rFonts w:eastAsia="Times New Roman"/>
          <w:noProof/>
          <w:color w:val="000000" w:themeColor="text1"/>
        </w:rPr>
        <w:t>which</w:t>
      </w:r>
      <w:r w:rsidR="00D61F79" w:rsidRPr="00DE264C">
        <w:rPr>
          <w:rFonts w:eastAsia="Times New Roman"/>
          <w:noProof/>
          <w:color w:val="000000" w:themeColor="text1"/>
        </w:rPr>
        <w:t xml:space="preserve"> requires a close coordination</w:t>
      </w:r>
      <w:r w:rsidR="009C794E">
        <w:rPr>
          <w:rFonts w:eastAsia="Times New Roman"/>
          <w:noProof/>
          <w:color w:val="000000" w:themeColor="text1"/>
        </w:rPr>
        <w:t>.</w:t>
      </w:r>
      <w:r w:rsidR="00D61F79" w:rsidRPr="00DE264C">
        <w:rPr>
          <w:rFonts w:eastAsia="Times New Roman"/>
          <w:noProof/>
          <w:color w:val="000000" w:themeColor="text1"/>
        </w:rPr>
        <w:t xml:space="preserve"> </w:t>
      </w:r>
      <w:r w:rsidR="009C794E">
        <w:rPr>
          <w:rFonts w:eastAsia="Times New Roman"/>
          <w:noProof/>
          <w:color w:val="000000" w:themeColor="text1"/>
        </w:rPr>
        <w:t>T</w:t>
      </w:r>
      <w:r w:rsidR="00D61F79" w:rsidRPr="00DE264C">
        <w:rPr>
          <w:rFonts w:eastAsia="Times New Roman"/>
          <w:noProof/>
          <w:color w:val="000000" w:themeColor="text1"/>
        </w:rPr>
        <w:t xml:space="preserve">he </w:t>
      </w:r>
      <w:r w:rsidR="009C794E">
        <w:rPr>
          <w:rFonts w:eastAsia="Times New Roman"/>
          <w:noProof/>
          <w:color w:val="000000" w:themeColor="text1"/>
        </w:rPr>
        <w:t xml:space="preserve">planned </w:t>
      </w:r>
      <w:r w:rsidR="00D61F79" w:rsidRPr="7AC71608">
        <w:rPr>
          <w:rFonts w:eastAsia="Times New Roman"/>
          <w:b/>
          <w:bCs/>
          <w:noProof/>
          <w:color w:val="000000" w:themeColor="text1"/>
        </w:rPr>
        <w:t>Cloud and AI Development Act (CADA)</w:t>
      </w:r>
      <w:r w:rsidR="00D61F79" w:rsidRPr="00DE264C">
        <w:rPr>
          <w:rFonts w:eastAsia="Times New Roman"/>
          <w:noProof/>
          <w:color w:val="000000" w:themeColor="text1"/>
        </w:rPr>
        <w:t xml:space="preserve"> aims to boost </w:t>
      </w:r>
      <w:r w:rsidR="0A219647" w:rsidRPr="00DE264C">
        <w:rPr>
          <w:rFonts w:eastAsia="Times New Roman"/>
          <w:noProof/>
          <w:color w:val="000000" w:themeColor="text1"/>
        </w:rPr>
        <w:t>EU’s cloud and edge</w:t>
      </w:r>
      <w:r w:rsidR="00D61F79" w:rsidRPr="00DE264C">
        <w:rPr>
          <w:rFonts w:eastAsia="Times New Roman"/>
          <w:noProof/>
          <w:color w:val="000000" w:themeColor="text1"/>
        </w:rPr>
        <w:t xml:space="preserve"> capacity by streamlining investment rules, speeding up permits, and ensuring access to land, finance, and energy for sustainable data centres. </w:t>
      </w:r>
      <w:r w:rsidR="0B977508" w:rsidRPr="00DE264C">
        <w:rPr>
          <w:rFonts w:eastAsia="Times New Roman"/>
          <w:noProof/>
          <w:color w:val="000000" w:themeColor="text1"/>
        </w:rPr>
        <w:t>Furthermore, several initiatives have been launched, or are planned in the area of A</w:t>
      </w:r>
      <w:r w:rsidR="00EA186D" w:rsidRPr="00DE264C">
        <w:rPr>
          <w:rFonts w:eastAsia="Times New Roman"/>
          <w:noProof/>
          <w:color w:val="000000" w:themeColor="text1"/>
        </w:rPr>
        <w:t xml:space="preserve">rtificial </w:t>
      </w:r>
      <w:r w:rsidR="0B977508" w:rsidRPr="00DE264C">
        <w:rPr>
          <w:rFonts w:eastAsia="Times New Roman"/>
          <w:noProof/>
          <w:color w:val="000000" w:themeColor="text1"/>
        </w:rPr>
        <w:t>I</w:t>
      </w:r>
      <w:r w:rsidR="00EA186D" w:rsidRPr="00DE264C">
        <w:rPr>
          <w:rFonts w:eastAsia="Times New Roman"/>
          <w:noProof/>
          <w:color w:val="000000" w:themeColor="text1"/>
        </w:rPr>
        <w:t>ntelligence</w:t>
      </w:r>
      <w:r w:rsidR="0B977508" w:rsidRPr="00DE264C">
        <w:rPr>
          <w:rFonts w:eastAsia="Times New Roman"/>
          <w:noProof/>
          <w:color w:val="000000" w:themeColor="text1"/>
        </w:rPr>
        <w:t xml:space="preserve">. Under the </w:t>
      </w:r>
      <w:r w:rsidR="0B977508" w:rsidRPr="00DE264C">
        <w:rPr>
          <w:rFonts w:eastAsia="Times New Roman"/>
          <w:b/>
          <w:bCs/>
          <w:noProof/>
          <w:color w:val="000000" w:themeColor="text1"/>
        </w:rPr>
        <w:t>AI Continent initiative</w:t>
      </w:r>
      <w:r w:rsidR="0B977508" w:rsidRPr="00DE264C">
        <w:rPr>
          <w:rFonts w:eastAsia="Times New Roman"/>
          <w:noProof/>
          <w:color w:val="000000" w:themeColor="text1"/>
        </w:rPr>
        <w:t xml:space="preserve">, the EU </w:t>
      </w:r>
      <w:r w:rsidR="568714AA" w:rsidRPr="00DE264C">
        <w:rPr>
          <w:rFonts w:eastAsia="Times New Roman"/>
          <w:noProof/>
          <w:color w:val="000000" w:themeColor="text1"/>
        </w:rPr>
        <w:t>has</w:t>
      </w:r>
      <w:r w:rsidR="0B977508" w:rsidRPr="00DE264C">
        <w:rPr>
          <w:rFonts w:eastAsia="Times New Roman"/>
          <w:noProof/>
          <w:color w:val="000000" w:themeColor="text1"/>
        </w:rPr>
        <w:t xml:space="preserve"> launch</w:t>
      </w:r>
      <w:r w:rsidR="49A78A21" w:rsidRPr="00DE264C">
        <w:rPr>
          <w:rFonts w:eastAsia="Times New Roman"/>
          <w:noProof/>
          <w:color w:val="000000" w:themeColor="text1"/>
        </w:rPr>
        <w:t>ed</w:t>
      </w:r>
      <w:r w:rsidR="0B977508" w:rsidRPr="00DE264C">
        <w:rPr>
          <w:rFonts w:eastAsia="Times New Roman"/>
          <w:noProof/>
          <w:color w:val="000000" w:themeColor="text1"/>
        </w:rPr>
        <w:t xml:space="preserve"> an Action Plan to improve access to AI data and infrastructure, support sectoral AI applications, including a specific call to support generative AI in the sector of connectivity. </w:t>
      </w:r>
      <w:r w:rsidR="42A044A4" w:rsidRPr="00DE264C">
        <w:rPr>
          <w:rFonts w:eastAsia="Times New Roman"/>
          <w:noProof/>
          <w:color w:val="000000" w:themeColor="text1"/>
        </w:rPr>
        <w:t xml:space="preserve">The </w:t>
      </w:r>
      <w:r w:rsidR="1B4F0F71" w:rsidRPr="00DE264C">
        <w:rPr>
          <w:rFonts w:eastAsia="Times New Roman"/>
          <w:noProof/>
          <w:color w:val="000000" w:themeColor="text1"/>
        </w:rPr>
        <w:t xml:space="preserve">informal </w:t>
      </w:r>
      <w:r w:rsidR="42A044A4" w:rsidRPr="00DE264C">
        <w:rPr>
          <w:rFonts w:eastAsia="Times New Roman"/>
          <w:noProof/>
          <w:color w:val="000000" w:themeColor="text1"/>
        </w:rPr>
        <w:t xml:space="preserve">call for </w:t>
      </w:r>
      <w:r w:rsidR="6D02F68E" w:rsidRPr="00DE264C">
        <w:rPr>
          <w:rFonts w:eastAsia="Times New Roman"/>
          <w:noProof/>
          <w:color w:val="000000" w:themeColor="text1"/>
        </w:rPr>
        <w:t>expression of interest</w:t>
      </w:r>
      <w:r w:rsidR="42A044A4" w:rsidRPr="00DE264C">
        <w:rPr>
          <w:rFonts w:eastAsia="Times New Roman"/>
          <w:noProof/>
          <w:color w:val="000000" w:themeColor="text1"/>
        </w:rPr>
        <w:t xml:space="preserve"> </w:t>
      </w:r>
      <w:r w:rsidR="009262B5" w:rsidRPr="00DE264C">
        <w:rPr>
          <w:rFonts w:eastAsia="Times New Roman"/>
          <w:noProof/>
          <w:color w:val="000000" w:themeColor="text1"/>
        </w:rPr>
        <w:t xml:space="preserve">for AI Gigafactories </w:t>
      </w:r>
      <w:r w:rsidR="42A044A4" w:rsidRPr="00DE264C">
        <w:rPr>
          <w:rFonts w:eastAsia="Times New Roman"/>
          <w:noProof/>
          <w:color w:val="000000" w:themeColor="text1"/>
        </w:rPr>
        <w:t>has seen strong response</w:t>
      </w:r>
      <w:r w:rsidR="17EFDFA9" w:rsidRPr="00DE264C">
        <w:rPr>
          <w:rFonts w:eastAsia="Times New Roman"/>
          <w:noProof/>
          <w:color w:val="000000" w:themeColor="text1"/>
        </w:rPr>
        <w:t>,</w:t>
      </w:r>
      <w:r w:rsidR="42A044A4" w:rsidRPr="00DE264C">
        <w:rPr>
          <w:rFonts w:eastAsia="Times New Roman"/>
          <w:noProof/>
          <w:color w:val="000000" w:themeColor="text1"/>
        </w:rPr>
        <w:t xml:space="preserve"> including fro</w:t>
      </w:r>
      <w:r w:rsidR="006A3DDC">
        <w:rPr>
          <w:rFonts w:eastAsia="Times New Roman"/>
          <w:noProof/>
          <w:color w:val="000000" w:themeColor="text1"/>
        </w:rPr>
        <w:t xml:space="preserve">m </w:t>
      </w:r>
      <w:r w:rsidR="6D02F68E" w:rsidRPr="00DE264C">
        <w:rPr>
          <w:rFonts w:eastAsia="Times New Roman"/>
          <w:noProof/>
          <w:color w:val="000000" w:themeColor="text1"/>
        </w:rPr>
        <w:t>tel</w:t>
      </w:r>
      <w:r w:rsidR="00E2716F" w:rsidRPr="00DE264C">
        <w:rPr>
          <w:rFonts w:eastAsia="Times New Roman"/>
          <w:noProof/>
          <w:color w:val="000000" w:themeColor="text1"/>
        </w:rPr>
        <w:t>e</w:t>
      </w:r>
      <w:r w:rsidR="6D02F68E" w:rsidRPr="00DE264C">
        <w:rPr>
          <w:rFonts w:eastAsia="Times New Roman"/>
          <w:noProof/>
          <w:color w:val="000000" w:themeColor="text1"/>
        </w:rPr>
        <w:t>co</w:t>
      </w:r>
      <w:r w:rsidR="00E2716F" w:rsidRPr="00DE264C">
        <w:rPr>
          <w:rFonts w:eastAsia="Times New Roman"/>
          <w:noProof/>
          <w:color w:val="000000" w:themeColor="text1"/>
        </w:rPr>
        <w:t>m operator</w:t>
      </w:r>
      <w:r w:rsidR="6D02F68E" w:rsidRPr="00DE264C">
        <w:rPr>
          <w:rFonts w:eastAsia="Times New Roman"/>
          <w:noProof/>
          <w:color w:val="000000" w:themeColor="text1"/>
        </w:rPr>
        <w:t>s</w:t>
      </w:r>
      <w:r w:rsidR="0A6CDDEE" w:rsidRPr="00DE264C">
        <w:rPr>
          <w:rFonts w:eastAsia="Times New Roman"/>
          <w:noProof/>
          <w:color w:val="000000" w:themeColor="text1"/>
        </w:rPr>
        <w:t xml:space="preserve">, </w:t>
      </w:r>
      <w:r w:rsidR="17EFDFA9" w:rsidRPr="00DE264C">
        <w:rPr>
          <w:rFonts w:eastAsia="Times New Roman"/>
          <w:noProof/>
          <w:color w:val="000000" w:themeColor="text1"/>
        </w:rPr>
        <w:t xml:space="preserve">which is </w:t>
      </w:r>
      <w:r w:rsidR="0A6CDDEE" w:rsidRPr="00DE264C">
        <w:rPr>
          <w:rFonts w:eastAsia="Times New Roman"/>
          <w:noProof/>
          <w:color w:val="000000" w:themeColor="text1"/>
        </w:rPr>
        <w:t xml:space="preserve">another indicator </w:t>
      </w:r>
      <w:r w:rsidR="609C0232" w:rsidRPr="00DE264C">
        <w:rPr>
          <w:rFonts w:eastAsia="Times New Roman"/>
          <w:noProof/>
          <w:color w:val="000000" w:themeColor="text1"/>
        </w:rPr>
        <w:t>of</w:t>
      </w:r>
      <w:r w:rsidR="0A6CDDEE" w:rsidRPr="00DE264C">
        <w:rPr>
          <w:rFonts w:eastAsia="Times New Roman"/>
          <w:noProof/>
          <w:color w:val="000000" w:themeColor="text1"/>
        </w:rPr>
        <w:t xml:space="preserve"> the transition of digital networks towards cloud</w:t>
      </w:r>
      <w:r w:rsidR="1F088F03" w:rsidRPr="00DE264C">
        <w:rPr>
          <w:rFonts w:eastAsia="Times New Roman"/>
          <w:noProof/>
          <w:color w:val="000000" w:themeColor="text1"/>
        </w:rPr>
        <w:t>-</w:t>
      </w:r>
      <w:r w:rsidR="0A6CDDEE" w:rsidRPr="00DE264C">
        <w:rPr>
          <w:rFonts w:eastAsia="Times New Roman"/>
          <w:noProof/>
          <w:color w:val="000000" w:themeColor="text1"/>
        </w:rPr>
        <w:t xml:space="preserve">based and </w:t>
      </w:r>
      <w:r w:rsidR="38597A77" w:rsidRPr="00DE264C">
        <w:rPr>
          <w:rFonts w:eastAsia="Times New Roman"/>
          <w:noProof/>
          <w:color w:val="000000" w:themeColor="text1"/>
        </w:rPr>
        <w:t xml:space="preserve">AI-powered </w:t>
      </w:r>
      <w:r w:rsidR="0A6CDDEE" w:rsidRPr="00DE264C">
        <w:rPr>
          <w:rFonts w:eastAsia="Times New Roman"/>
          <w:noProof/>
          <w:color w:val="000000" w:themeColor="text1"/>
        </w:rPr>
        <w:t>infrastructures and services</w:t>
      </w:r>
      <w:r w:rsidR="0B977508" w:rsidRPr="00DE264C">
        <w:rPr>
          <w:rStyle w:val="FootnoteReference"/>
          <w:noProof/>
          <w:lang w:val="en-IE"/>
        </w:rPr>
        <w:footnoteReference w:id="8"/>
      </w:r>
      <w:r w:rsidR="0A6CDDEE" w:rsidRPr="00DE264C">
        <w:rPr>
          <w:rFonts w:eastAsia="Times New Roman"/>
          <w:noProof/>
          <w:color w:val="000000" w:themeColor="text1"/>
        </w:rPr>
        <w:t>.</w:t>
      </w:r>
      <w:r w:rsidR="6D02F68E" w:rsidRPr="00DE264C">
        <w:rPr>
          <w:rFonts w:eastAsia="Times New Roman"/>
          <w:noProof/>
          <w:color w:val="000000" w:themeColor="text1"/>
        </w:rPr>
        <w:t xml:space="preserve"> </w:t>
      </w:r>
    </w:p>
    <w:p w14:paraId="188F3DA1" w14:textId="59997007" w:rsidR="005F412A" w:rsidRDefault="4E0051B7" w:rsidP="006A3DDC">
      <w:pPr>
        <w:spacing w:line="240" w:lineRule="auto"/>
        <w:rPr>
          <w:rFonts w:eastAsia="Times New Roman"/>
          <w:noProof/>
          <w:color w:val="000000" w:themeColor="text1"/>
        </w:rPr>
      </w:pPr>
      <w:r w:rsidRPr="00DE264C">
        <w:rPr>
          <w:noProof/>
        </w:rPr>
        <w:t>Moreover</w:t>
      </w:r>
      <w:r w:rsidRPr="00DE264C">
        <w:rPr>
          <w:rFonts w:eastAsia="Times New Roman"/>
          <w:noProof/>
          <w:color w:val="000000" w:themeColor="text1"/>
        </w:rPr>
        <w:t xml:space="preserve">, in connection with </w:t>
      </w:r>
      <w:r w:rsidR="34C2A58C" w:rsidRPr="00DE264C">
        <w:rPr>
          <w:rFonts w:eastAsia="Times New Roman"/>
          <w:noProof/>
          <w:color w:val="000000" w:themeColor="text1"/>
        </w:rPr>
        <w:t xml:space="preserve">the </w:t>
      </w:r>
      <w:r w:rsidR="009C794E">
        <w:rPr>
          <w:rFonts w:eastAsia="Times New Roman"/>
          <w:noProof/>
          <w:color w:val="000000" w:themeColor="text1"/>
        </w:rPr>
        <w:t xml:space="preserve">recently published </w:t>
      </w:r>
      <w:r w:rsidR="6DE7A0A1" w:rsidRPr="00DE264C">
        <w:rPr>
          <w:rFonts w:eastAsia="Times New Roman"/>
          <w:noProof/>
          <w:color w:val="000000" w:themeColor="text1"/>
        </w:rPr>
        <w:t>Appl</w:t>
      </w:r>
      <w:r w:rsidR="67D8F9FF" w:rsidRPr="00DE264C">
        <w:rPr>
          <w:rFonts w:eastAsia="Times New Roman"/>
          <w:noProof/>
          <w:color w:val="000000" w:themeColor="text1"/>
        </w:rPr>
        <w:t>y</w:t>
      </w:r>
      <w:r w:rsidR="6DE7A0A1" w:rsidRPr="00DE264C">
        <w:rPr>
          <w:rFonts w:eastAsia="Times New Roman"/>
          <w:noProof/>
          <w:color w:val="000000" w:themeColor="text1"/>
        </w:rPr>
        <w:t xml:space="preserve"> AI strategy, t</w:t>
      </w:r>
      <w:r w:rsidRPr="00DE264C">
        <w:rPr>
          <w:rFonts w:eastAsia="Times New Roman"/>
          <w:noProof/>
          <w:color w:val="000000" w:themeColor="text1"/>
        </w:rPr>
        <w:t xml:space="preserve">he </w:t>
      </w:r>
      <w:r w:rsidRPr="00DE264C">
        <w:rPr>
          <w:rFonts w:eastAsia="Times New Roman"/>
          <w:b/>
          <w:bCs/>
          <w:noProof/>
          <w:color w:val="000000" w:themeColor="text1"/>
        </w:rPr>
        <w:t>Data Union Strategy</w:t>
      </w:r>
      <w:r w:rsidRPr="00DE264C">
        <w:rPr>
          <w:rFonts w:eastAsia="Times New Roman"/>
          <w:noProof/>
          <w:color w:val="000000" w:themeColor="text1"/>
        </w:rPr>
        <w:t xml:space="preserve"> will boost access to high-quality data, invest in infrastructure, simplify regulation, and address international data flows. </w:t>
      </w:r>
    </w:p>
    <w:p w14:paraId="492692A5" w14:textId="2BF511B8" w:rsidR="00753C7F" w:rsidRPr="00DE264C" w:rsidRDefault="00EF30EA" w:rsidP="006A3DDC">
      <w:pPr>
        <w:spacing w:line="240" w:lineRule="auto"/>
        <w:rPr>
          <w:rFonts w:eastAsia="Times New Roman"/>
          <w:noProof/>
        </w:rPr>
      </w:pPr>
      <w:r w:rsidRPr="00DE264C">
        <w:rPr>
          <w:rFonts w:eastAsia="Times New Roman"/>
          <w:noProof/>
          <w:color w:val="000000" w:themeColor="text1"/>
        </w:rPr>
        <w:t xml:space="preserve">The present initiative </w:t>
      </w:r>
      <w:r w:rsidR="41635D2C" w:rsidRPr="18864199">
        <w:rPr>
          <w:rFonts w:eastAsia="Times New Roman"/>
          <w:noProof/>
          <w:color w:val="000000" w:themeColor="text1"/>
        </w:rPr>
        <w:t>complemen</w:t>
      </w:r>
      <w:r w:rsidR="0B977508" w:rsidRPr="00DE264C">
        <w:rPr>
          <w:rFonts w:eastAsia="Times New Roman"/>
          <w:noProof/>
          <w:color w:val="000000" w:themeColor="text1"/>
        </w:rPr>
        <w:t>ts these efforts by improving</w:t>
      </w:r>
      <w:r w:rsidR="0B977508" w:rsidRPr="00DE264C">
        <w:rPr>
          <w:rFonts w:eastAsia="Times New Roman"/>
          <w:noProof/>
        </w:rPr>
        <w:t xml:space="preserve"> access to secure, fast, and reliable connectivity </w:t>
      </w:r>
      <w:r w:rsidR="005F412A">
        <w:rPr>
          <w:rFonts w:eastAsia="Times New Roman"/>
          <w:noProof/>
        </w:rPr>
        <w:t xml:space="preserve">that is essential </w:t>
      </w:r>
      <w:r w:rsidR="0B977508" w:rsidRPr="00DE264C">
        <w:rPr>
          <w:rFonts w:eastAsia="Times New Roman"/>
          <w:noProof/>
        </w:rPr>
        <w:t>for the transition towards cloud-based infrastructure</w:t>
      </w:r>
      <w:r w:rsidR="00FE1B5E">
        <w:rPr>
          <w:rFonts w:eastAsia="Times New Roman"/>
          <w:noProof/>
        </w:rPr>
        <w:t>, data flows</w:t>
      </w:r>
      <w:r w:rsidR="0B977508" w:rsidRPr="00DE264C">
        <w:rPr>
          <w:rFonts w:eastAsia="Times New Roman"/>
          <w:noProof/>
        </w:rPr>
        <w:t xml:space="preserve"> and AI. </w:t>
      </w:r>
    </w:p>
    <w:p w14:paraId="3B8953BD" w14:textId="242F547C" w:rsidR="00A1289B" w:rsidRPr="00DE264C" w:rsidRDefault="00A1289B" w:rsidP="006A3DDC">
      <w:pPr>
        <w:spacing w:line="240" w:lineRule="auto"/>
        <w:rPr>
          <w:rFonts w:eastAsia="Times New Roman"/>
          <w:noProof/>
        </w:rPr>
      </w:pPr>
      <w:r>
        <w:rPr>
          <w:noProof/>
          <w:lang w:val="en-IE"/>
        </w:rPr>
        <w:t xml:space="preserve">Assessing the investment needs in the sections 2.1.1 and 2.1.2 </w:t>
      </w:r>
      <w:r w:rsidRPr="00380A07">
        <w:rPr>
          <w:noProof/>
          <w:lang w:val="en-IE"/>
        </w:rPr>
        <w:t xml:space="preserve">is notably based on the technological situation </w:t>
      </w:r>
      <w:r>
        <w:rPr>
          <w:noProof/>
          <w:lang w:val="en-IE"/>
        </w:rPr>
        <w:t xml:space="preserve">as </w:t>
      </w:r>
      <w:r w:rsidR="09F26727" w:rsidRPr="7AC71608">
        <w:rPr>
          <w:noProof/>
          <w:lang w:val="en-IE"/>
        </w:rPr>
        <w:t>it</w:t>
      </w:r>
      <w:r w:rsidRPr="00380A07">
        <w:rPr>
          <w:noProof/>
          <w:lang w:val="en-IE"/>
        </w:rPr>
        <w:t xml:space="preserve"> is known today. The more </w:t>
      </w:r>
      <w:r>
        <w:rPr>
          <w:noProof/>
          <w:lang w:val="en-IE"/>
        </w:rPr>
        <w:t>any analysis</w:t>
      </w:r>
      <w:r w:rsidRPr="00380A07">
        <w:rPr>
          <w:noProof/>
          <w:lang w:val="en-IE"/>
        </w:rPr>
        <w:t xml:space="preserve"> goes into the future the more blurred the picture becomes as technological</w:t>
      </w:r>
      <w:r>
        <w:rPr>
          <w:noProof/>
          <w:lang w:val="en-IE"/>
        </w:rPr>
        <w:t>,</w:t>
      </w:r>
      <w:r w:rsidRPr="00380A07">
        <w:rPr>
          <w:noProof/>
          <w:lang w:val="en-IE"/>
        </w:rPr>
        <w:t xml:space="preserve"> in particular</w:t>
      </w:r>
      <w:r>
        <w:rPr>
          <w:noProof/>
          <w:lang w:val="en-IE"/>
        </w:rPr>
        <w:t>,</w:t>
      </w:r>
      <w:r w:rsidRPr="00380A07">
        <w:rPr>
          <w:noProof/>
          <w:lang w:val="en-IE"/>
        </w:rPr>
        <w:t xml:space="preserve"> developments create new conditions. Indicatively, the advent of AI</w:t>
      </w:r>
      <w:r>
        <w:rPr>
          <w:noProof/>
          <w:lang w:val="en-IE"/>
        </w:rPr>
        <w:t xml:space="preserve"> (the importance of which for Europe’s competitiveness and sovereignty is raised, among others, in the Draghi report</w:t>
      </w:r>
      <w:r>
        <w:rPr>
          <w:rStyle w:val="FootnoteReference"/>
          <w:noProof/>
          <w:lang w:val="en-IE"/>
        </w:rPr>
        <w:footnoteReference w:id="9"/>
      </w:r>
      <w:r>
        <w:rPr>
          <w:noProof/>
          <w:lang w:val="en-IE"/>
        </w:rPr>
        <w:t xml:space="preserve">) </w:t>
      </w:r>
      <w:r w:rsidRPr="00380A07">
        <w:rPr>
          <w:noProof/>
          <w:lang w:val="en-IE"/>
        </w:rPr>
        <w:t xml:space="preserve">is expected to not only enable a new generation of smart </w:t>
      </w:r>
      <w:r>
        <w:rPr>
          <w:noProof/>
          <w:lang w:val="en-IE"/>
        </w:rPr>
        <w:t xml:space="preserve">connectivity </w:t>
      </w:r>
      <w:r w:rsidRPr="00380A07">
        <w:rPr>
          <w:noProof/>
          <w:lang w:val="en-IE"/>
        </w:rPr>
        <w:t>services but to also radically transform the network infrastructure and its operations compared to what is in place today. The</w:t>
      </w:r>
      <w:r w:rsidRPr="00380A07" w:rsidDel="00563B27">
        <w:rPr>
          <w:noProof/>
          <w:lang w:val="en-IE"/>
        </w:rPr>
        <w:t xml:space="preserve"> </w:t>
      </w:r>
      <w:r w:rsidRPr="7AC71608">
        <w:rPr>
          <w:b/>
          <w:bCs/>
          <w:noProof/>
          <w:lang w:val="en-IE"/>
        </w:rPr>
        <w:t>Apply AI strategy</w:t>
      </w:r>
      <w:r w:rsidRPr="00380A07">
        <w:rPr>
          <w:noProof/>
          <w:lang w:val="en-IE"/>
        </w:rPr>
        <w:t xml:space="preserve"> of the Commission</w:t>
      </w:r>
      <w:r>
        <w:rPr>
          <w:rStyle w:val="FootnoteReference"/>
          <w:noProof/>
          <w:lang w:val="en-IE"/>
        </w:rPr>
        <w:footnoteReference w:id="10"/>
      </w:r>
      <w:r w:rsidR="00563B27">
        <w:rPr>
          <w:noProof/>
          <w:lang w:val="en-IE"/>
        </w:rPr>
        <w:t xml:space="preserve"> of </w:t>
      </w:r>
      <w:r w:rsidR="00563B27" w:rsidRPr="00380A07">
        <w:rPr>
          <w:noProof/>
          <w:lang w:val="en-IE"/>
        </w:rPr>
        <w:t>8 October 2025</w:t>
      </w:r>
      <w:r w:rsidRPr="00380A07">
        <w:rPr>
          <w:noProof/>
          <w:lang w:val="en-IE"/>
        </w:rPr>
        <w:t xml:space="preserve"> selects the area of electronic communications among the </w:t>
      </w:r>
      <w:r>
        <w:rPr>
          <w:noProof/>
          <w:lang w:val="en-IE"/>
        </w:rPr>
        <w:t>eleven</w:t>
      </w:r>
      <w:r w:rsidRPr="00380A07">
        <w:rPr>
          <w:noProof/>
          <w:lang w:val="en-IE"/>
        </w:rPr>
        <w:t xml:space="preserve"> key deployment/driver sectors of AI. This</w:t>
      </w:r>
      <w:r>
        <w:rPr>
          <w:noProof/>
          <w:lang w:val="en-IE"/>
        </w:rPr>
        <w:t xml:space="preserve"> event</w:t>
      </w:r>
      <w:r w:rsidRPr="00380A07">
        <w:rPr>
          <w:noProof/>
          <w:lang w:val="en-IE"/>
        </w:rPr>
        <w:t xml:space="preserve"> is expected</w:t>
      </w:r>
      <w:r>
        <w:rPr>
          <w:noProof/>
          <w:lang w:val="en-IE"/>
        </w:rPr>
        <w:t>, in turn,</w:t>
      </w:r>
      <w:r w:rsidRPr="00380A07">
        <w:rPr>
          <w:noProof/>
          <w:lang w:val="en-IE"/>
        </w:rPr>
        <w:t xml:space="preserve"> to </w:t>
      </w:r>
      <w:r w:rsidR="374CA695" w:rsidRPr="7AC71608">
        <w:rPr>
          <w:noProof/>
          <w:lang w:val="en-IE"/>
        </w:rPr>
        <w:t>requir</w:t>
      </w:r>
      <w:r w:rsidRPr="00380A07">
        <w:rPr>
          <w:noProof/>
          <w:lang w:val="en-IE"/>
        </w:rPr>
        <w:t xml:space="preserve">e significant </w:t>
      </w:r>
      <w:r>
        <w:rPr>
          <w:noProof/>
          <w:lang w:val="en-IE"/>
        </w:rPr>
        <w:t>investment</w:t>
      </w:r>
      <w:r w:rsidRPr="00380A07">
        <w:rPr>
          <w:noProof/>
          <w:lang w:val="en-IE"/>
        </w:rPr>
        <w:t xml:space="preserve"> (which given the early stages of AI cannot </w:t>
      </w:r>
      <w:r>
        <w:rPr>
          <w:noProof/>
          <w:lang w:val="en-IE"/>
        </w:rPr>
        <w:t xml:space="preserve">be </w:t>
      </w:r>
      <w:r w:rsidRPr="00380A07">
        <w:rPr>
          <w:noProof/>
          <w:lang w:val="en-IE"/>
        </w:rPr>
        <w:t xml:space="preserve">reliably assessed yet) as history shows that </w:t>
      </w:r>
      <w:r>
        <w:rPr>
          <w:noProof/>
          <w:lang w:val="en-IE"/>
        </w:rPr>
        <w:t>big</w:t>
      </w:r>
      <w:r w:rsidRPr="00380A07">
        <w:rPr>
          <w:noProof/>
          <w:lang w:val="en-IE"/>
        </w:rPr>
        <w:t xml:space="preserve"> transformations are typically linked </w:t>
      </w:r>
      <w:r>
        <w:rPr>
          <w:noProof/>
          <w:lang w:val="en-IE"/>
        </w:rPr>
        <w:t>to</w:t>
      </w:r>
      <w:r w:rsidRPr="00380A07">
        <w:rPr>
          <w:noProof/>
          <w:lang w:val="en-IE"/>
        </w:rPr>
        <w:t xml:space="preserve"> high upfront costs</w:t>
      </w:r>
      <w:r>
        <w:rPr>
          <w:noProof/>
          <w:lang w:val="en-IE"/>
        </w:rPr>
        <w:t>.</w:t>
      </w:r>
      <w:r w:rsidRPr="00380A07">
        <w:rPr>
          <w:noProof/>
          <w:lang w:val="en-IE"/>
        </w:rPr>
        <w:t xml:space="preserve"> </w:t>
      </w:r>
      <w:r>
        <w:rPr>
          <w:noProof/>
          <w:lang w:val="en-IE"/>
        </w:rPr>
        <w:t xml:space="preserve">The Apply AI Strategy discusses such investment needs </w:t>
      </w:r>
      <w:r w:rsidR="5F3297D6" w:rsidRPr="7AC71608">
        <w:rPr>
          <w:noProof/>
          <w:lang w:val="en-IE"/>
        </w:rPr>
        <w:t>with respect to</w:t>
      </w:r>
      <w:r w:rsidRPr="00380A07">
        <w:rPr>
          <w:noProof/>
          <w:lang w:val="en-IE"/>
        </w:rPr>
        <w:t xml:space="preserve"> new infrastructure </w:t>
      </w:r>
      <w:r>
        <w:rPr>
          <w:noProof/>
          <w:lang w:val="en-IE"/>
        </w:rPr>
        <w:t>(</w:t>
      </w:r>
      <w:r w:rsidRPr="00380A07">
        <w:rPr>
          <w:noProof/>
          <w:lang w:val="en-IE"/>
        </w:rPr>
        <w:t>e.g. data centres</w:t>
      </w:r>
      <w:r>
        <w:rPr>
          <w:noProof/>
          <w:lang w:val="en-IE"/>
        </w:rPr>
        <w:t>)</w:t>
      </w:r>
      <w:r w:rsidRPr="00380A07">
        <w:rPr>
          <w:noProof/>
          <w:lang w:val="en-IE"/>
        </w:rPr>
        <w:t>, skills, access to datasets, and sustainability</w:t>
      </w:r>
      <w:r>
        <w:rPr>
          <w:noProof/>
          <w:lang w:val="en-IE"/>
        </w:rPr>
        <w:t xml:space="preserve"> considerations</w:t>
      </w:r>
      <w:r w:rsidRPr="00380A07">
        <w:rPr>
          <w:noProof/>
          <w:lang w:val="en-IE"/>
        </w:rPr>
        <w:t xml:space="preserve">. </w:t>
      </w:r>
      <w:r>
        <w:rPr>
          <w:noProof/>
          <w:lang w:val="en-IE"/>
        </w:rPr>
        <w:t xml:space="preserve">This </w:t>
      </w:r>
      <w:r w:rsidR="2EDC35E8" w:rsidRPr="7AC71608">
        <w:rPr>
          <w:noProof/>
          <w:lang w:val="en-IE"/>
        </w:rPr>
        <w:t>fast-changing</w:t>
      </w:r>
      <w:r>
        <w:rPr>
          <w:noProof/>
          <w:lang w:val="en-IE"/>
        </w:rPr>
        <w:t xml:space="preserve"> digital environment </w:t>
      </w:r>
      <w:r w:rsidR="19DC7578" w:rsidRPr="7AC71608">
        <w:rPr>
          <w:noProof/>
          <w:lang w:val="en-IE"/>
        </w:rPr>
        <w:t>reinforc</w:t>
      </w:r>
      <w:r w:rsidR="49DD4406" w:rsidRPr="7AC71608">
        <w:rPr>
          <w:noProof/>
          <w:lang w:val="en-IE"/>
        </w:rPr>
        <w:t xml:space="preserve">es </w:t>
      </w:r>
      <w:r w:rsidR="3FC48C7F" w:rsidRPr="7AC71608">
        <w:rPr>
          <w:noProof/>
          <w:lang w:val="en-IE"/>
        </w:rPr>
        <w:t>the</w:t>
      </w:r>
      <w:r>
        <w:rPr>
          <w:noProof/>
          <w:lang w:val="en-IE"/>
        </w:rPr>
        <w:t xml:space="preserve"> need for the new electronic communications legislation to be future proof </w:t>
      </w:r>
      <w:r w:rsidR="00773A26">
        <w:rPr>
          <w:noProof/>
          <w:lang w:val="en-IE"/>
        </w:rPr>
        <w:t>(</w:t>
      </w:r>
      <w:r>
        <w:rPr>
          <w:noProof/>
          <w:lang w:val="en-IE"/>
        </w:rPr>
        <w:t xml:space="preserve">including </w:t>
      </w:r>
      <w:r w:rsidR="00773A26" w:rsidRPr="00773A26">
        <w:rPr>
          <w:noProof/>
          <w:lang w:val="en-IE"/>
        </w:rPr>
        <w:t xml:space="preserve">removing any barriers in </w:t>
      </w:r>
      <w:r>
        <w:rPr>
          <w:noProof/>
          <w:lang w:val="en-IE"/>
        </w:rPr>
        <w:t xml:space="preserve">the creation of scale </w:t>
      </w:r>
      <w:r w:rsidR="00773A26" w:rsidRPr="00773A26">
        <w:rPr>
          <w:noProof/>
          <w:lang w:val="en-IE"/>
        </w:rPr>
        <w:t>as appropriate - as per the Draghi report recommendations and further evidence</w:t>
      </w:r>
      <w:r>
        <w:rPr>
          <w:rStyle w:val="FootnoteReference"/>
          <w:noProof/>
          <w:lang w:val="en-IE"/>
        </w:rPr>
        <w:footnoteReference w:id="11"/>
      </w:r>
      <w:r w:rsidR="00773A26">
        <w:rPr>
          <w:noProof/>
          <w:lang w:val="en-IE"/>
        </w:rPr>
        <w:t>)</w:t>
      </w:r>
      <w:r>
        <w:rPr>
          <w:noProof/>
          <w:lang w:val="en-IE"/>
        </w:rPr>
        <w:t>.</w:t>
      </w:r>
    </w:p>
    <w:p w14:paraId="7CDA75C2" w14:textId="48730429" w:rsidR="00E2716F" w:rsidRPr="00DE264C" w:rsidRDefault="003116E9" w:rsidP="006A3DDC">
      <w:pPr>
        <w:spacing w:line="240" w:lineRule="auto"/>
        <w:rPr>
          <w:rFonts w:eastAsia="Times New Roman"/>
          <w:noProof/>
          <w:color w:val="000000" w:themeColor="text1"/>
        </w:rPr>
      </w:pPr>
      <w:r w:rsidRPr="00DE264C">
        <w:rPr>
          <w:rFonts w:eastAsia="Times New Roman"/>
          <w:i/>
          <w:iCs/>
          <w:noProof/>
          <w:color w:val="000000" w:themeColor="text1"/>
        </w:rPr>
        <w:t>Risks to the resilience of the EU telecommunication sector</w:t>
      </w:r>
    </w:p>
    <w:p w14:paraId="7E71F23F" w14:textId="66C35869" w:rsidR="00E2716F" w:rsidRPr="00DE264C" w:rsidRDefault="0040608F" w:rsidP="006A3DDC">
      <w:pPr>
        <w:spacing w:line="240" w:lineRule="auto"/>
        <w:rPr>
          <w:rFonts w:eastAsia="Times New Roman"/>
          <w:noProof/>
          <w:color w:val="000000" w:themeColor="text1"/>
        </w:rPr>
      </w:pPr>
      <w:r w:rsidRPr="00DE264C">
        <w:rPr>
          <w:rFonts w:eastAsia="Times New Roman"/>
          <w:noProof/>
          <w:color w:val="000000" w:themeColor="text1"/>
        </w:rPr>
        <w:t>To address the resilience risks,</w:t>
      </w:r>
      <w:r w:rsidR="00D61F79" w:rsidRPr="00DE264C">
        <w:rPr>
          <w:rFonts w:eastAsia="Times New Roman"/>
          <w:noProof/>
          <w:color w:val="000000" w:themeColor="text1"/>
        </w:rPr>
        <w:t xml:space="preserve"> the </w:t>
      </w:r>
      <w:r w:rsidR="00D61F79" w:rsidRPr="00DE264C">
        <w:rPr>
          <w:noProof/>
        </w:rPr>
        <w:t>EU</w:t>
      </w:r>
      <w:r w:rsidR="00D61F79" w:rsidRPr="00DE264C">
        <w:rPr>
          <w:rFonts w:eastAsia="Times New Roman"/>
          <w:noProof/>
          <w:color w:val="000000" w:themeColor="text1"/>
        </w:rPr>
        <w:t xml:space="preserve"> aims to restrict </w:t>
      </w:r>
      <w:r w:rsidR="00D61F79" w:rsidRPr="00DE264C">
        <w:rPr>
          <w:rFonts w:eastAsia="Times New Roman"/>
          <w:b/>
          <w:noProof/>
          <w:color w:val="000000" w:themeColor="text1"/>
        </w:rPr>
        <w:t>high-risk suppliers</w:t>
      </w:r>
      <w:r w:rsidR="00D61F79" w:rsidRPr="00DE264C">
        <w:rPr>
          <w:rFonts w:eastAsia="Times New Roman"/>
          <w:noProof/>
          <w:color w:val="000000" w:themeColor="text1"/>
        </w:rPr>
        <w:t xml:space="preserve"> in 5G. </w:t>
      </w:r>
      <w:r w:rsidR="00A37FE7" w:rsidRPr="00DE264C">
        <w:rPr>
          <w:rFonts w:eastAsia="Times New Roman"/>
          <w:noProof/>
          <w:color w:val="000000" w:themeColor="text1"/>
        </w:rPr>
        <w:t>However, d</w:t>
      </w:r>
      <w:r w:rsidR="00D61F79" w:rsidRPr="00DE264C">
        <w:rPr>
          <w:rFonts w:eastAsia="Times New Roman"/>
          <w:noProof/>
          <w:color w:val="000000" w:themeColor="text1"/>
        </w:rPr>
        <w:t>espite the 2021 5G Cybersecurity Toolbox, only 13 Member States have acted</w:t>
      </w:r>
      <w:r w:rsidR="00B032EB" w:rsidRPr="00DE264C">
        <w:rPr>
          <w:rFonts w:eastAsia="Times New Roman"/>
          <w:noProof/>
          <w:color w:val="000000" w:themeColor="text1"/>
        </w:rPr>
        <w:t xml:space="preserve"> in this regard</w:t>
      </w:r>
      <w:r w:rsidR="00D61F79" w:rsidRPr="00DE264C">
        <w:rPr>
          <w:rFonts w:eastAsia="Times New Roman"/>
          <w:noProof/>
          <w:color w:val="000000" w:themeColor="text1"/>
        </w:rPr>
        <w:t>. Dependencies remain across 4G/5G, fixed networks, submarine cables, cloud, and critical sectors. The planned</w:t>
      </w:r>
      <w:r w:rsidR="00055C39">
        <w:rPr>
          <w:rFonts w:eastAsia="Times New Roman"/>
          <w:noProof/>
          <w:color w:val="000000" w:themeColor="text1"/>
        </w:rPr>
        <w:t xml:space="preserve"> </w:t>
      </w:r>
      <w:r w:rsidR="00D61F79" w:rsidRPr="00DE264C">
        <w:rPr>
          <w:rFonts w:eastAsia="Times New Roman"/>
          <w:b/>
          <w:noProof/>
          <w:color w:val="000000" w:themeColor="text1"/>
        </w:rPr>
        <w:t>Cybersecurity Act revision</w:t>
      </w:r>
      <w:r w:rsidR="00D61F79" w:rsidRPr="00DE264C">
        <w:rPr>
          <w:rFonts w:eastAsia="Times New Roman"/>
          <w:noProof/>
          <w:color w:val="000000" w:themeColor="text1"/>
        </w:rPr>
        <w:t xml:space="preserve"> offers a chance to tackle </w:t>
      </w:r>
      <w:r w:rsidR="003A1AA8" w:rsidRPr="00DE264C">
        <w:rPr>
          <w:rFonts w:eastAsia="Times New Roman"/>
          <w:noProof/>
          <w:color w:val="000000" w:themeColor="text1"/>
        </w:rPr>
        <w:t xml:space="preserve">ICT </w:t>
      </w:r>
      <w:r w:rsidR="00D61F79" w:rsidRPr="00DE264C">
        <w:rPr>
          <w:rFonts w:eastAsia="Times New Roman"/>
          <w:noProof/>
          <w:color w:val="000000" w:themeColor="text1"/>
        </w:rPr>
        <w:t xml:space="preserve">supply chain risks with targeted measures addressing </w:t>
      </w:r>
      <w:r w:rsidR="00297F0C" w:rsidRPr="00DE264C">
        <w:rPr>
          <w:rFonts w:eastAsia="Times New Roman"/>
          <w:noProof/>
          <w:color w:val="000000" w:themeColor="text1"/>
        </w:rPr>
        <w:t xml:space="preserve">both </w:t>
      </w:r>
      <w:r w:rsidR="00D61F79" w:rsidRPr="00DE264C">
        <w:rPr>
          <w:rFonts w:eastAsia="Times New Roman"/>
          <w:noProof/>
          <w:color w:val="000000" w:themeColor="text1"/>
        </w:rPr>
        <w:t xml:space="preserve">technical </w:t>
      </w:r>
      <w:r w:rsidR="00297F0C" w:rsidRPr="00DE264C">
        <w:rPr>
          <w:rFonts w:eastAsia="Times New Roman"/>
          <w:noProof/>
          <w:color w:val="000000" w:themeColor="text1"/>
        </w:rPr>
        <w:t xml:space="preserve">and </w:t>
      </w:r>
      <w:r w:rsidR="00D61F79" w:rsidRPr="00DE264C">
        <w:rPr>
          <w:rFonts w:eastAsia="Times New Roman"/>
          <w:noProof/>
          <w:color w:val="000000" w:themeColor="text1"/>
        </w:rPr>
        <w:t>non-technical threats linked to third countries. Th</w:t>
      </w:r>
      <w:r w:rsidR="00D25938">
        <w:rPr>
          <w:rFonts w:eastAsia="Times New Roman"/>
          <w:noProof/>
          <w:color w:val="000000" w:themeColor="text1"/>
        </w:rPr>
        <w:t>is</w:t>
      </w:r>
      <w:r w:rsidR="00D61F79" w:rsidRPr="00DE264C">
        <w:rPr>
          <w:rFonts w:eastAsia="Times New Roman"/>
          <w:noProof/>
          <w:color w:val="000000" w:themeColor="text1"/>
        </w:rPr>
        <w:t xml:space="preserve"> initiative </w:t>
      </w:r>
      <w:r w:rsidR="00D25938">
        <w:rPr>
          <w:rFonts w:eastAsia="Times New Roman"/>
          <w:noProof/>
          <w:color w:val="000000" w:themeColor="text1"/>
        </w:rPr>
        <w:t>is</w:t>
      </w:r>
      <w:r w:rsidR="006919B6">
        <w:rPr>
          <w:rFonts w:eastAsia="Times New Roman"/>
          <w:noProof/>
          <w:color w:val="000000" w:themeColor="text1"/>
        </w:rPr>
        <w:t xml:space="preserve"> </w:t>
      </w:r>
      <w:r w:rsidR="00D61F79" w:rsidRPr="00DE264C">
        <w:rPr>
          <w:rFonts w:eastAsia="Times New Roman"/>
          <w:noProof/>
          <w:color w:val="000000" w:themeColor="text1"/>
        </w:rPr>
        <w:t xml:space="preserve">closely coordinated and mutually interlinked with the </w:t>
      </w:r>
      <w:r w:rsidR="00C3084B" w:rsidRPr="00DE264C">
        <w:rPr>
          <w:rFonts w:eastAsia="Times New Roman"/>
          <w:noProof/>
          <w:color w:val="000000" w:themeColor="text1"/>
        </w:rPr>
        <w:t>present initiative</w:t>
      </w:r>
      <w:r w:rsidR="00D0502B" w:rsidRPr="00DE264C">
        <w:rPr>
          <w:rFonts w:eastAsia="Times New Roman"/>
          <w:noProof/>
          <w:color w:val="000000" w:themeColor="text1"/>
        </w:rPr>
        <w:t xml:space="preserve"> which will </w:t>
      </w:r>
      <w:r w:rsidR="004560AF" w:rsidRPr="00DE264C">
        <w:rPr>
          <w:rFonts w:eastAsia="Times New Roman"/>
          <w:noProof/>
          <w:color w:val="000000" w:themeColor="text1"/>
        </w:rPr>
        <w:t xml:space="preserve">reinforce </w:t>
      </w:r>
      <w:r w:rsidR="00472462" w:rsidRPr="00DE264C">
        <w:rPr>
          <w:rFonts w:eastAsia="Times New Roman"/>
          <w:noProof/>
          <w:color w:val="000000" w:themeColor="text1"/>
        </w:rPr>
        <w:t>security and resilience aspects related to networks</w:t>
      </w:r>
      <w:r w:rsidR="001776C8" w:rsidRPr="00DE264C">
        <w:rPr>
          <w:rFonts w:eastAsia="Times New Roman"/>
          <w:noProof/>
          <w:color w:val="000000" w:themeColor="text1"/>
        </w:rPr>
        <w:t>.</w:t>
      </w:r>
      <w:r w:rsidR="00D61F79" w:rsidRPr="00DE264C">
        <w:rPr>
          <w:rFonts w:eastAsia="Times New Roman"/>
          <w:noProof/>
          <w:color w:val="000000" w:themeColor="text1"/>
        </w:rPr>
        <w:t xml:space="preserve"> </w:t>
      </w:r>
    </w:p>
    <w:p w14:paraId="326C71BE" w14:textId="34724F1B" w:rsidR="00422169" w:rsidRPr="00DE264C" w:rsidRDefault="00422169" w:rsidP="006A3DDC">
      <w:pPr>
        <w:spacing w:line="240" w:lineRule="auto"/>
        <w:rPr>
          <w:rFonts w:eastAsia="Times New Roman"/>
          <w:noProof/>
          <w:color w:val="000000" w:themeColor="text1"/>
        </w:rPr>
      </w:pPr>
      <w:r w:rsidRPr="00DE264C">
        <w:rPr>
          <w:rFonts w:eastAsia="Times New Roman"/>
          <w:noProof/>
          <w:color w:val="000000" w:themeColor="text1"/>
        </w:rPr>
        <w:t xml:space="preserve">The EECC does not explicitly address network resilience, with cybersecurity and resilience obligations now largely covered by </w:t>
      </w:r>
      <w:r w:rsidR="2D1BFC8F" w:rsidRPr="7AC71608">
        <w:rPr>
          <w:rFonts w:eastAsia="Times New Roman"/>
          <w:noProof/>
          <w:color w:val="000000" w:themeColor="text1"/>
        </w:rPr>
        <w:t xml:space="preserve">the </w:t>
      </w:r>
      <w:r w:rsidR="00E3267D" w:rsidRPr="00DE264C">
        <w:rPr>
          <w:rFonts w:eastAsia="Times New Roman"/>
          <w:noProof/>
          <w:color w:val="000000" w:themeColor="text1"/>
        </w:rPr>
        <w:t xml:space="preserve">Network and Information Systems Security </w:t>
      </w:r>
      <w:r w:rsidR="5A7B54A4" w:rsidRPr="7AC71608">
        <w:rPr>
          <w:rFonts w:eastAsia="Times New Roman"/>
          <w:noProof/>
          <w:color w:val="000000" w:themeColor="text1"/>
        </w:rPr>
        <w:t xml:space="preserve">Directive </w:t>
      </w:r>
      <w:r w:rsidR="00E3267D" w:rsidRPr="00DE264C">
        <w:rPr>
          <w:rFonts w:eastAsia="Times New Roman"/>
          <w:noProof/>
          <w:color w:val="000000" w:themeColor="text1"/>
        </w:rPr>
        <w:t>(</w:t>
      </w:r>
      <w:r w:rsidRPr="00DE264C">
        <w:rPr>
          <w:rFonts w:eastAsia="Times New Roman"/>
          <w:noProof/>
          <w:color w:val="000000" w:themeColor="text1"/>
        </w:rPr>
        <w:t>NIS2</w:t>
      </w:r>
      <w:r w:rsidR="00E3267D" w:rsidRPr="00DE264C">
        <w:rPr>
          <w:rFonts w:eastAsia="Times New Roman"/>
          <w:noProof/>
          <w:color w:val="000000" w:themeColor="text1"/>
        </w:rPr>
        <w:t>)</w:t>
      </w:r>
      <w:r w:rsidRPr="00DE264C">
        <w:rPr>
          <w:rStyle w:val="FootnoteReference"/>
          <w:rFonts w:eastAsia="Times New Roman"/>
          <w:noProof/>
          <w:color w:val="000000" w:themeColor="text1"/>
        </w:rPr>
        <w:footnoteReference w:id="12"/>
      </w:r>
      <w:r w:rsidRPr="00DE264C">
        <w:rPr>
          <w:rFonts w:eastAsia="Times New Roman"/>
          <w:noProof/>
          <w:color w:val="000000" w:themeColor="text1"/>
        </w:rPr>
        <w:t xml:space="preserve"> and under the </w:t>
      </w:r>
      <w:r w:rsidR="00FB279D" w:rsidRPr="00DE264C">
        <w:rPr>
          <w:rFonts w:eastAsia="Times New Roman"/>
          <w:noProof/>
          <w:color w:val="000000" w:themeColor="text1"/>
        </w:rPr>
        <w:t>Critical Entities Resilience (</w:t>
      </w:r>
      <w:r w:rsidRPr="00DE264C">
        <w:rPr>
          <w:rFonts w:eastAsia="Times New Roman"/>
          <w:noProof/>
          <w:color w:val="000000" w:themeColor="text1"/>
        </w:rPr>
        <w:t>CER</w:t>
      </w:r>
      <w:r w:rsidR="00FB279D" w:rsidRPr="00DE264C">
        <w:rPr>
          <w:rFonts w:eastAsia="Times New Roman"/>
          <w:noProof/>
          <w:color w:val="000000" w:themeColor="text1"/>
        </w:rPr>
        <w:t>)</w:t>
      </w:r>
      <w:r w:rsidRPr="00DE264C">
        <w:rPr>
          <w:rFonts w:eastAsia="Times New Roman"/>
          <w:noProof/>
          <w:color w:val="000000" w:themeColor="text1"/>
        </w:rPr>
        <w:t xml:space="preserve"> Directive</w:t>
      </w:r>
      <w:r w:rsidRPr="00DE264C">
        <w:rPr>
          <w:rStyle w:val="FootnoteReference"/>
          <w:rFonts w:eastAsia="Times New Roman"/>
          <w:noProof/>
          <w:color w:val="000000" w:themeColor="text1"/>
        </w:rPr>
        <w:footnoteReference w:id="13"/>
      </w:r>
      <w:r w:rsidRPr="00DE264C">
        <w:rPr>
          <w:rFonts w:eastAsia="Times New Roman"/>
          <w:noProof/>
          <w:color w:val="000000" w:themeColor="text1"/>
        </w:rPr>
        <w:t xml:space="preserve">. However, there is room for harmonisation </w:t>
      </w:r>
      <w:r w:rsidR="005C6BA1" w:rsidRPr="00DE264C">
        <w:rPr>
          <w:rFonts w:eastAsia="Times New Roman"/>
          <w:noProof/>
          <w:color w:val="000000" w:themeColor="text1"/>
        </w:rPr>
        <w:t xml:space="preserve">and coordination as </w:t>
      </w:r>
      <w:r w:rsidRPr="00DE264C">
        <w:rPr>
          <w:rFonts w:eastAsia="Times New Roman"/>
          <w:noProof/>
          <w:color w:val="000000" w:themeColor="text1"/>
        </w:rPr>
        <w:t xml:space="preserve">concerns the resilience in the </w:t>
      </w:r>
      <w:r w:rsidR="002F4C6E" w:rsidRPr="00DE264C">
        <w:rPr>
          <w:rFonts w:eastAsia="Times New Roman"/>
          <w:noProof/>
          <w:color w:val="000000" w:themeColor="text1"/>
        </w:rPr>
        <w:t xml:space="preserve">electronic </w:t>
      </w:r>
      <w:r w:rsidRPr="00DE264C">
        <w:rPr>
          <w:rFonts w:eastAsia="Times New Roman"/>
          <w:noProof/>
          <w:color w:val="000000" w:themeColor="text1"/>
        </w:rPr>
        <w:t>communications sector. Although ENISA and CERT-EU support coordination, they are not sector-specific bodies and lack operational authority. A centralised European overview of preparedness and crisis management through coordination, data collection, early-warning mechanisms (e.g., IP flow disruption alerts), and resilience mapping</w:t>
      </w:r>
      <w:r w:rsidR="00D0441D" w:rsidRPr="00DE264C">
        <w:rPr>
          <w:rFonts w:eastAsia="Times New Roman"/>
          <w:noProof/>
          <w:color w:val="000000" w:themeColor="text1"/>
        </w:rPr>
        <w:t xml:space="preserve"> in </w:t>
      </w:r>
      <w:r w:rsidR="001C3D7C" w:rsidRPr="00DE264C">
        <w:rPr>
          <w:rFonts w:eastAsia="Times New Roman"/>
          <w:noProof/>
          <w:color w:val="000000" w:themeColor="text1"/>
        </w:rPr>
        <w:t xml:space="preserve">electronic </w:t>
      </w:r>
      <w:r w:rsidR="00BE2EA3" w:rsidRPr="00DE264C">
        <w:rPr>
          <w:rFonts w:eastAsia="Times New Roman"/>
          <w:noProof/>
          <w:color w:val="000000" w:themeColor="text1"/>
        </w:rPr>
        <w:t>communications</w:t>
      </w:r>
      <w:r w:rsidRPr="00DE264C">
        <w:rPr>
          <w:rFonts w:eastAsia="Times New Roman"/>
          <w:noProof/>
          <w:color w:val="000000" w:themeColor="text1"/>
        </w:rPr>
        <w:t xml:space="preserve"> is missing.</w:t>
      </w:r>
    </w:p>
    <w:p w14:paraId="23325317" w14:textId="5C2FCF77" w:rsidR="001716A4" w:rsidRPr="00DE264C" w:rsidRDefault="00D61F79" w:rsidP="006A3DDC">
      <w:pPr>
        <w:spacing w:line="240" w:lineRule="auto"/>
        <w:rPr>
          <w:rFonts w:eastAsia="Times New Roman"/>
          <w:noProof/>
        </w:rPr>
      </w:pPr>
      <w:r w:rsidRPr="00DE264C">
        <w:rPr>
          <w:rFonts w:eastAsia="Times New Roman"/>
          <w:noProof/>
          <w:color w:val="000000" w:themeColor="text1"/>
        </w:rPr>
        <w:t xml:space="preserve">An </w:t>
      </w:r>
      <w:r w:rsidRPr="00DE264C">
        <w:rPr>
          <w:noProof/>
        </w:rPr>
        <w:t>important</w:t>
      </w:r>
      <w:r w:rsidRPr="00DE264C">
        <w:rPr>
          <w:rFonts w:eastAsia="Times New Roman"/>
          <w:noProof/>
          <w:color w:val="000000" w:themeColor="text1"/>
        </w:rPr>
        <w:t xml:space="preserve"> element of the aspects related to connectivity provided by satellites is closely coordinated with and complements measures proposed under the </w:t>
      </w:r>
      <w:r w:rsidRPr="00DE264C">
        <w:rPr>
          <w:rFonts w:eastAsia="Times New Roman"/>
          <w:b/>
          <w:noProof/>
          <w:color w:val="000000" w:themeColor="text1"/>
        </w:rPr>
        <w:t>EU Space Act</w:t>
      </w:r>
      <w:r w:rsidRPr="00DE264C">
        <w:rPr>
          <w:rFonts w:eastAsia="Times New Roman"/>
          <w:noProof/>
          <w:color w:val="000000" w:themeColor="text1"/>
        </w:rPr>
        <w:t xml:space="preserve">, which aims to </w:t>
      </w:r>
      <w:r w:rsidRPr="00DE264C">
        <w:rPr>
          <w:rFonts w:eastAsia="Times New Roman"/>
          <w:noProof/>
        </w:rPr>
        <w:t xml:space="preserve">create a </w:t>
      </w:r>
      <w:r w:rsidR="4C9491DC" w:rsidRPr="18864199">
        <w:rPr>
          <w:rFonts w:eastAsia="Times New Roman"/>
          <w:noProof/>
        </w:rPr>
        <w:t>harmoni</w:t>
      </w:r>
      <w:r w:rsidR="2FA83BA7" w:rsidRPr="18864199">
        <w:rPr>
          <w:rFonts w:eastAsia="Times New Roman"/>
          <w:noProof/>
        </w:rPr>
        <w:t>s</w:t>
      </w:r>
      <w:r w:rsidR="4C9491DC" w:rsidRPr="18864199">
        <w:rPr>
          <w:rFonts w:eastAsia="Times New Roman"/>
          <w:noProof/>
        </w:rPr>
        <w:t>ed</w:t>
      </w:r>
      <w:r w:rsidRPr="00DE264C">
        <w:rPr>
          <w:rFonts w:eastAsia="Times New Roman"/>
          <w:noProof/>
        </w:rPr>
        <w:t xml:space="preserve"> legal framework for space activities across the European Union and with the EU support to IRIS2 constellation to increase EU satellite sovereignty.</w:t>
      </w:r>
      <w:r w:rsidR="00E2716F" w:rsidRPr="00DE264C">
        <w:rPr>
          <w:rFonts w:eastAsia="Times New Roman"/>
          <w:noProof/>
        </w:rPr>
        <w:t xml:space="preserve"> This is </w:t>
      </w:r>
      <w:r w:rsidR="56389128" w:rsidRPr="00DE264C">
        <w:rPr>
          <w:rFonts w:eastAsia="Times New Roman"/>
          <w:noProof/>
        </w:rPr>
        <w:t xml:space="preserve">an </w:t>
      </w:r>
      <w:r w:rsidR="00E2716F" w:rsidRPr="00DE264C">
        <w:rPr>
          <w:rFonts w:eastAsia="Times New Roman"/>
          <w:noProof/>
        </w:rPr>
        <w:t>important development and closely linked with the proposed initiative which responds to the ongoing integration between terrestrial and non-terrestrial connectivity.</w:t>
      </w:r>
      <w:r w:rsidR="06DEC0D9" w:rsidRPr="00DE264C">
        <w:rPr>
          <w:rFonts w:eastAsia="Times New Roman"/>
          <w:noProof/>
          <w:color w:val="000000" w:themeColor="text1"/>
        </w:rPr>
        <w:t xml:space="preserve"> </w:t>
      </w:r>
      <w:r w:rsidR="006E6E2D" w:rsidRPr="00DE264C">
        <w:rPr>
          <w:rFonts w:eastAsia="Times New Roman"/>
          <w:noProof/>
          <w:color w:val="000000" w:themeColor="text1"/>
        </w:rPr>
        <w:t xml:space="preserve"> </w:t>
      </w:r>
    </w:p>
    <w:p w14:paraId="56D2D476" w14:textId="77777777" w:rsidR="00231222" w:rsidRPr="00DE264C" w:rsidRDefault="0040608F" w:rsidP="006A3DDC">
      <w:pPr>
        <w:spacing w:line="240" w:lineRule="auto"/>
        <w:rPr>
          <w:rFonts w:eastAsia="Times New Roman"/>
          <w:noProof/>
        </w:rPr>
      </w:pPr>
      <w:r w:rsidRPr="00DE264C">
        <w:rPr>
          <w:rFonts w:eastAsia="Times New Roman"/>
          <w:noProof/>
        </w:rPr>
        <w:t>Finally, t</w:t>
      </w:r>
      <w:r w:rsidR="001716A4" w:rsidRPr="00DE264C">
        <w:rPr>
          <w:rFonts w:eastAsia="Times New Roman"/>
          <w:noProof/>
        </w:rPr>
        <w:t xml:space="preserve">o </w:t>
      </w:r>
      <w:r w:rsidR="001716A4" w:rsidRPr="00DE264C">
        <w:rPr>
          <w:rFonts w:eastAsia="Times New Roman"/>
          <w:noProof/>
          <w:color w:val="000000" w:themeColor="text1"/>
        </w:rPr>
        <w:t>ensure</w:t>
      </w:r>
      <w:r w:rsidR="001716A4" w:rsidRPr="00DE264C">
        <w:rPr>
          <w:rFonts w:eastAsia="Times New Roman"/>
          <w:noProof/>
        </w:rPr>
        <w:t xml:space="preserve"> the capacity of the EU to react to security threats and any type of crises, the European Critical Communication System (EUCCS) will be realised by 2030. It will provide broadband-based communication and services for public authorities across the EU and Schengen area, notably law enforcement, firefighters, medical emergency responders. </w:t>
      </w:r>
    </w:p>
    <w:p w14:paraId="58E4E5D5" w14:textId="4EACD0CB" w:rsidR="001E4B59" w:rsidRPr="00DE264C" w:rsidRDefault="009154DE" w:rsidP="006A3DDC">
      <w:pPr>
        <w:spacing w:line="240" w:lineRule="auto"/>
        <w:rPr>
          <w:rFonts w:eastAsia="Times New Roman"/>
          <w:i/>
          <w:iCs/>
          <w:noProof/>
          <w:color w:val="000000" w:themeColor="text1"/>
        </w:rPr>
      </w:pPr>
      <w:r w:rsidRPr="00DE264C">
        <w:rPr>
          <w:rFonts w:eastAsia="Times New Roman"/>
          <w:i/>
          <w:iCs/>
          <w:noProof/>
          <w:color w:val="000000" w:themeColor="text1"/>
        </w:rPr>
        <w:t>Role of Digital Decade Policy Program in promoting connectivity</w:t>
      </w:r>
    </w:p>
    <w:p w14:paraId="4DD44E42" w14:textId="1B7FBED5" w:rsidR="002D379B" w:rsidRPr="00DE264C" w:rsidRDefault="009154DE" w:rsidP="006A3DDC">
      <w:pPr>
        <w:spacing w:line="240" w:lineRule="auto"/>
        <w:rPr>
          <w:rFonts w:eastAsia="Times New Roman"/>
          <w:noProof/>
          <w:lang w:val="en-IE"/>
        </w:rPr>
      </w:pPr>
      <w:r w:rsidRPr="00B7396E">
        <w:rPr>
          <w:noProof/>
        </w:rPr>
        <w:t xml:space="preserve">The DDPP recognises the importance of fixed </w:t>
      </w:r>
      <w:r w:rsidR="00362F26" w:rsidRPr="00B7396E">
        <w:rPr>
          <w:noProof/>
        </w:rPr>
        <w:t xml:space="preserve">and mobile </w:t>
      </w:r>
      <w:r w:rsidRPr="00B7396E">
        <w:rPr>
          <w:noProof/>
        </w:rPr>
        <w:t>networks for achieving the European Union’s digital targets, particularly in terms of providing gigabit connectivity</w:t>
      </w:r>
      <w:r w:rsidR="00D63160" w:rsidRPr="00B7396E">
        <w:rPr>
          <w:noProof/>
        </w:rPr>
        <w:t xml:space="preserve"> and 5G coverage</w:t>
      </w:r>
      <w:r w:rsidRPr="00B7396E">
        <w:rPr>
          <w:noProof/>
        </w:rPr>
        <w:t xml:space="preserve"> to all Europeans by 2030. </w:t>
      </w:r>
      <w:r w:rsidR="00874B69" w:rsidRPr="00B7396E">
        <w:rPr>
          <w:noProof/>
        </w:rPr>
        <w:t>Through the DDPP,</w:t>
      </w:r>
      <w:r w:rsidRPr="00B7396E">
        <w:rPr>
          <w:noProof/>
        </w:rPr>
        <w:t xml:space="preserve"> </w:t>
      </w:r>
      <w:r w:rsidR="00874B69" w:rsidRPr="00B7396E">
        <w:rPr>
          <w:noProof/>
        </w:rPr>
        <w:t>t</w:t>
      </w:r>
      <w:r w:rsidRPr="00B7396E">
        <w:rPr>
          <w:noProof/>
        </w:rPr>
        <w:t xml:space="preserve">he European Commission and Member States have expressed strong political support for the deployment of fibre </w:t>
      </w:r>
      <w:r w:rsidR="00362F26" w:rsidRPr="00B7396E">
        <w:rPr>
          <w:noProof/>
        </w:rPr>
        <w:t xml:space="preserve">and 5G </w:t>
      </w:r>
      <w:r w:rsidRPr="00B7396E">
        <w:rPr>
          <w:noProof/>
        </w:rPr>
        <w:t xml:space="preserve">networks, recognizing their crucial role in achieving the Union’s digital ambitions. By prioritizing the development and deployment of fibre </w:t>
      </w:r>
      <w:r w:rsidR="00362F26" w:rsidRPr="00B7396E">
        <w:rPr>
          <w:noProof/>
        </w:rPr>
        <w:t xml:space="preserve">and mobile </w:t>
      </w:r>
      <w:r w:rsidRPr="00B7396E">
        <w:rPr>
          <w:noProof/>
        </w:rPr>
        <w:t xml:space="preserve">networks, the European Union can ensure that all citizens and businesses have access to high-quality digital infrastructure, bridging the digital divide and unlocking the full </w:t>
      </w:r>
      <w:r w:rsidR="0013472E">
        <w:rPr>
          <w:noProof/>
        </w:rPr>
        <w:t xml:space="preserve">al </w:t>
      </w:r>
      <w:r w:rsidRPr="00B7396E">
        <w:rPr>
          <w:noProof/>
        </w:rPr>
        <w:t>al of the digital economy. However, the targets under the DDPP are not binding on the Member States and, although the annual reporting</w:t>
      </w:r>
      <w:r w:rsidR="00874B69" w:rsidRPr="00B7396E">
        <w:rPr>
          <w:noProof/>
        </w:rPr>
        <w:t xml:space="preserve"> </w:t>
      </w:r>
      <w:r w:rsidR="00B86FB5" w:rsidRPr="00B7396E">
        <w:rPr>
          <w:noProof/>
        </w:rPr>
        <w:t xml:space="preserve">and recommendations issued by the Commission </w:t>
      </w:r>
      <w:r w:rsidR="00874B69" w:rsidRPr="00B7396E">
        <w:rPr>
          <w:noProof/>
        </w:rPr>
        <w:t>help to monitor progress</w:t>
      </w:r>
      <w:r w:rsidRPr="00B7396E">
        <w:rPr>
          <w:noProof/>
        </w:rPr>
        <w:t xml:space="preserve"> towards the targets, </w:t>
      </w:r>
      <w:r w:rsidR="7A1EEC92" w:rsidRPr="00B7396E">
        <w:rPr>
          <w:noProof/>
        </w:rPr>
        <w:t xml:space="preserve">they </w:t>
      </w:r>
      <w:r w:rsidRPr="00B7396E">
        <w:rPr>
          <w:noProof/>
        </w:rPr>
        <w:t>do not oblige Member States to achieve the targets</w:t>
      </w:r>
      <w:r w:rsidR="00CF0C3D" w:rsidRPr="00B7396E">
        <w:rPr>
          <w:noProof/>
        </w:rPr>
        <w:t xml:space="preserve"> at the same speed</w:t>
      </w:r>
      <w:r w:rsidRPr="00B7396E">
        <w:rPr>
          <w:noProof/>
        </w:rPr>
        <w:t>.</w:t>
      </w:r>
      <w:r w:rsidR="00710CBA" w:rsidRPr="00B7396E">
        <w:rPr>
          <w:noProof/>
        </w:rPr>
        <w:t xml:space="preserve"> The current initiative will provide regulatory incentives to facilitate the deployment and take up of gigabit connectivity and </w:t>
      </w:r>
      <w:r w:rsidR="009479F3" w:rsidRPr="00B7396E">
        <w:rPr>
          <w:noProof/>
        </w:rPr>
        <w:t>5G high quality networks.</w:t>
      </w:r>
    </w:p>
    <w:p w14:paraId="5BDA5DC0" w14:textId="77777777" w:rsidR="006B087E" w:rsidRPr="00DE264C" w:rsidRDefault="006B087E" w:rsidP="00B01767">
      <w:pPr>
        <w:pStyle w:val="Heading1"/>
        <w:ind w:left="482" w:hanging="482"/>
        <w:rPr>
          <w:noProof/>
        </w:rPr>
      </w:pPr>
      <w:bookmarkStart w:id="9" w:name="_Toc208396190"/>
      <w:bookmarkStart w:id="10" w:name="_Toc214467686"/>
      <w:bookmarkStart w:id="11" w:name="_Toc215083714"/>
      <w:bookmarkStart w:id="12" w:name="_Toc219212482"/>
      <w:bookmarkStart w:id="13" w:name="_Toc219718137"/>
      <w:r w:rsidRPr="00DE264C">
        <w:rPr>
          <w:noProof/>
        </w:rPr>
        <w:t>Problem definition</w:t>
      </w:r>
      <w:bookmarkEnd w:id="9"/>
      <w:bookmarkEnd w:id="10"/>
      <w:bookmarkEnd w:id="11"/>
      <w:bookmarkEnd w:id="12"/>
      <w:bookmarkEnd w:id="13"/>
    </w:p>
    <w:p w14:paraId="650E9096" w14:textId="76F65E03" w:rsidR="00D57E6E" w:rsidRPr="00DE264C" w:rsidRDefault="00D57E6E" w:rsidP="006A3DDC">
      <w:pPr>
        <w:spacing w:line="240" w:lineRule="auto"/>
        <w:rPr>
          <w:noProof/>
        </w:rPr>
      </w:pPr>
      <w:r w:rsidRPr="00DE264C">
        <w:rPr>
          <w:noProof/>
        </w:rPr>
        <w:t xml:space="preserve">Figure </w:t>
      </w:r>
      <w:r w:rsidR="00BD6150">
        <w:rPr>
          <w:noProof/>
        </w:rPr>
        <w:t>2</w:t>
      </w:r>
      <w:r w:rsidRPr="00DE264C">
        <w:rPr>
          <w:noProof/>
        </w:rPr>
        <w:t xml:space="preserve"> </w:t>
      </w:r>
      <w:r w:rsidRPr="00DE264C">
        <w:rPr>
          <w:rFonts w:eastAsia="Times New Roman"/>
          <w:noProof/>
          <w:color w:val="000000" w:themeColor="text1"/>
        </w:rPr>
        <w:t>illustrates</w:t>
      </w:r>
      <w:r w:rsidRPr="00DE264C">
        <w:rPr>
          <w:noProof/>
        </w:rPr>
        <w:t xml:space="preserve"> the problems underpinning the review of the electronic communications framework and describes the problem drivers (with market and regulatory failures further elaborated in section 2.2 and in Annex </w:t>
      </w:r>
      <w:r w:rsidR="0086589F" w:rsidRPr="00DE264C">
        <w:rPr>
          <w:noProof/>
        </w:rPr>
        <w:t>7</w:t>
      </w:r>
      <w:r w:rsidRPr="00DE264C">
        <w:rPr>
          <w:noProof/>
        </w:rPr>
        <w:t>), the problems themselves (presented below) and the consequences of those problems</w:t>
      </w:r>
      <w:r w:rsidR="52FC28B1" w:rsidRPr="00DE264C">
        <w:rPr>
          <w:noProof/>
        </w:rPr>
        <w:t>.</w:t>
      </w:r>
      <w:r w:rsidRPr="00DE264C">
        <w:rPr>
          <w:noProof/>
        </w:rPr>
        <w:t xml:space="preserve"> </w:t>
      </w:r>
      <w:r w:rsidR="00DF5FF7" w:rsidRPr="00DE264C">
        <w:rPr>
          <w:noProof/>
        </w:rPr>
        <w:t>P</w:t>
      </w:r>
      <w:r w:rsidRPr="00DE264C">
        <w:rPr>
          <w:noProof/>
        </w:rPr>
        <w:t xml:space="preserve">roblems are interrelated and tend to have similar drivers </w:t>
      </w:r>
      <w:r w:rsidR="00627B33" w:rsidRPr="00DE264C">
        <w:rPr>
          <w:noProof/>
        </w:rPr>
        <w:t>and/</w:t>
      </w:r>
      <w:r w:rsidRPr="00DE264C">
        <w:rPr>
          <w:noProof/>
        </w:rPr>
        <w:t>or consequences.</w:t>
      </w:r>
    </w:p>
    <w:p w14:paraId="3FB02F2C" w14:textId="5557772F" w:rsidR="00D57E6E" w:rsidRPr="00B65A41" w:rsidRDefault="00716CC4" w:rsidP="00716CC4">
      <w:pPr>
        <w:pStyle w:val="Caption"/>
        <w:rPr>
          <w:noProof/>
          <w:color w:val="auto"/>
          <w:sz w:val="20"/>
          <w:szCs w:val="20"/>
        </w:rPr>
      </w:pPr>
      <w:bookmarkStart w:id="14" w:name="_Toc209612979"/>
      <w:bookmarkStart w:id="15" w:name="_Toc215084136"/>
      <w:bookmarkStart w:id="16" w:name="_Toc219539759"/>
      <w:r>
        <w:rPr>
          <w:noProof/>
        </w:rPr>
        <w:t xml:space="preserve">Figure </w:t>
      </w:r>
      <w:r w:rsidR="00F1710D">
        <w:rPr>
          <w:noProof/>
        </w:rPr>
        <w:fldChar w:fldCharType="begin"/>
      </w:r>
      <w:r w:rsidR="00F1710D">
        <w:rPr>
          <w:noProof/>
        </w:rPr>
        <w:instrText xml:space="preserve"> SEQ Figure \* ARABIC </w:instrText>
      </w:r>
      <w:r w:rsidR="00F1710D">
        <w:rPr>
          <w:noProof/>
        </w:rPr>
        <w:fldChar w:fldCharType="separate"/>
      </w:r>
      <w:r w:rsidR="00D9624D">
        <w:rPr>
          <w:noProof/>
        </w:rPr>
        <w:t>2</w:t>
      </w:r>
      <w:r w:rsidR="00F1710D">
        <w:rPr>
          <w:noProof/>
        </w:rPr>
        <w:fldChar w:fldCharType="end"/>
      </w:r>
      <w:r w:rsidR="00C974B8" w:rsidRPr="00B65A41">
        <w:rPr>
          <w:noProof/>
          <w:color w:val="auto"/>
          <w:sz w:val="20"/>
          <w:szCs w:val="20"/>
        </w:rPr>
        <w:t>:</w:t>
      </w:r>
      <w:r w:rsidR="005C5C81" w:rsidRPr="00B65A41">
        <w:rPr>
          <w:noProof/>
          <w:color w:val="auto"/>
          <w:sz w:val="20"/>
          <w:szCs w:val="20"/>
        </w:rPr>
        <w:t xml:space="preserve"> </w:t>
      </w:r>
      <w:r w:rsidR="00D57E6E" w:rsidRPr="00B65A41">
        <w:rPr>
          <w:noProof/>
          <w:color w:val="auto"/>
          <w:sz w:val="20"/>
          <w:szCs w:val="20"/>
        </w:rPr>
        <w:t>Digital Network</w:t>
      </w:r>
      <w:r w:rsidR="00213551" w:rsidRPr="00B65A41">
        <w:rPr>
          <w:noProof/>
          <w:color w:val="auto"/>
          <w:sz w:val="20"/>
          <w:szCs w:val="20"/>
        </w:rPr>
        <w:t>s</w:t>
      </w:r>
      <w:r w:rsidR="00D57E6E" w:rsidRPr="00B65A41">
        <w:rPr>
          <w:noProof/>
          <w:color w:val="auto"/>
          <w:sz w:val="20"/>
          <w:szCs w:val="20"/>
        </w:rPr>
        <w:t xml:space="preserve"> Act Problem tree</w:t>
      </w:r>
      <w:bookmarkEnd w:id="14"/>
      <w:bookmarkEnd w:id="15"/>
      <w:bookmarkEnd w:id="16"/>
    </w:p>
    <w:p w14:paraId="7985A074" w14:textId="16BF7F4E" w:rsidR="000631DB" w:rsidRPr="00DE264C" w:rsidRDefault="006F4F36" w:rsidP="00452335">
      <w:pPr>
        <w:pStyle w:val="Text1"/>
        <w:ind w:left="0"/>
        <w:jc w:val="left"/>
        <w:rPr>
          <w:noProof/>
        </w:rPr>
      </w:pPr>
      <w:r>
        <w:rPr>
          <w:noProof/>
          <w:lang w:eastAsia="en-GB"/>
        </w:rPr>
        <w:drawing>
          <wp:inline distT="0" distB="0" distL="0" distR="0" wp14:anchorId="41254244" wp14:editId="6917D596">
            <wp:extent cx="5267325" cy="3386760"/>
            <wp:effectExtent l="0" t="0" r="0" b="4445"/>
            <wp:docPr id="849712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5023" cy="3391709"/>
                    </a:xfrm>
                    <a:prstGeom prst="rect">
                      <a:avLst/>
                    </a:prstGeom>
                    <a:noFill/>
                  </pic:spPr>
                </pic:pic>
              </a:graphicData>
            </a:graphic>
          </wp:inline>
        </w:drawing>
      </w:r>
    </w:p>
    <w:p w14:paraId="634B85A9" w14:textId="79F70E81" w:rsidR="006B087E" w:rsidRPr="00DE264C" w:rsidRDefault="006B087E" w:rsidP="00B7396E">
      <w:pPr>
        <w:pStyle w:val="Heading2"/>
        <w:rPr>
          <w:noProof/>
        </w:rPr>
      </w:pPr>
      <w:bookmarkStart w:id="17" w:name="_Toc214467687"/>
      <w:bookmarkStart w:id="18" w:name="_Toc215083715"/>
      <w:bookmarkStart w:id="19" w:name="_Toc219212483"/>
      <w:bookmarkStart w:id="20" w:name="_Toc219718138"/>
      <w:r w:rsidRPr="00DE264C">
        <w:rPr>
          <w:noProof/>
        </w:rPr>
        <w:t>What are the problems?</w:t>
      </w:r>
      <w:bookmarkEnd w:id="17"/>
      <w:bookmarkEnd w:id="18"/>
      <w:bookmarkEnd w:id="19"/>
      <w:bookmarkEnd w:id="20"/>
    </w:p>
    <w:p w14:paraId="3F66CFCE" w14:textId="4EF0530E" w:rsidR="002817BB" w:rsidRPr="00DE264C" w:rsidDel="00997A56" w:rsidRDefault="3F08B223" w:rsidP="002F4082">
      <w:pPr>
        <w:pStyle w:val="Heading3"/>
        <w:tabs>
          <w:tab w:val="num" w:pos="7088"/>
        </w:tabs>
        <w:ind w:left="709"/>
        <w:rPr>
          <w:noProof/>
        </w:rPr>
      </w:pPr>
      <w:bookmarkStart w:id="21" w:name="_Toc214467688"/>
      <w:bookmarkStart w:id="22" w:name="_Toc215083716"/>
      <w:bookmarkStart w:id="23" w:name="_Toc219212484"/>
      <w:bookmarkStart w:id="24" w:name="_Toc219718139"/>
      <w:r w:rsidRPr="00DE264C">
        <w:rPr>
          <w:noProof/>
        </w:rPr>
        <w:t xml:space="preserve">Fixed networks: Slow deployment and adoption of </w:t>
      </w:r>
      <w:r w:rsidR="00FB660D" w:rsidRPr="00DE264C">
        <w:rPr>
          <w:noProof/>
        </w:rPr>
        <w:t>fibre</w:t>
      </w:r>
      <w:r w:rsidRPr="00DE264C">
        <w:rPr>
          <w:noProof/>
        </w:rPr>
        <w:t xml:space="preserve"> networks and </w:t>
      </w:r>
      <w:r w:rsidR="059BF7F2" w:rsidRPr="00DE264C">
        <w:rPr>
          <w:noProof/>
        </w:rPr>
        <w:t>services</w:t>
      </w:r>
      <w:bookmarkEnd w:id="21"/>
      <w:bookmarkEnd w:id="22"/>
      <w:bookmarkEnd w:id="23"/>
      <w:bookmarkEnd w:id="24"/>
    </w:p>
    <w:p w14:paraId="56DC1D83" w14:textId="74102135" w:rsidR="004E231B" w:rsidRPr="00DE264C" w:rsidRDefault="004E231B" w:rsidP="006A3DDC">
      <w:pPr>
        <w:spacing w:line="240" w:lineRule="auto"/>
        <w:rPr>
          <w:rFonts w:eastAsia="Times New Roman"/>
          <w:noProof/>
          <w:lang w:val="en-IE" w:eastAsia="en-IE"/>
        </w:rPr>
      </w:pPr>
      <w:r w:rsidRPr="00DE264C">
        <w:rPr>
          <w:rFonts w:eastAsia="Times New Roman"/>
          <w:noProof/>
          <w:color w:val="000000" w:themeColor="text1"/>
        </w:rPr>
        <w:t xml:space="preserve">Without modern fibre optic networks, the economic and social benefits of digitalisation cannot materialise, and the EU will be at a competitive disadvantage in the digital sphere. </w:t>
      </w:r>
      <w:r w:rsidR="7321132C" w:rsidRPr="18864199">
        <w:rPr>
          <w:rFonts w:eastAsia="Times New Roman"/>
          <w:noProof/>
          <w:color w:val="000000" w:themeColor="text1"/>
        </w:rPr>
        <w:t>At the same</w:t>
      </w:r>
      <w:r w:rsidR="00556B27">
        <w:rPr>
          <w:rFonts w:eastAsia="Times New Roman"/>
          <w:noProof/>
          <w:color w:val="000000" w:themeColor="text1"/>
        </w:rPr>
        <w:t xml:space="preserve"> </w:t>
      </w:r>
      <w:r w:rsidR="7321132C" w:rsidRPr="18864199">
        <w:rPr>
          <w:rFonts w:eastAsia="Times New Roman"/>
          <w:noProof/>
          <w:color w:val="000000" w:themeColor="text1"/>
        </w:rPr>
        <w:t>time</w:t>
      </w:r>
      <w:r w:rsidR="009E62DD" w:rsidRPr="00DE264C">
        <w:rPr>
          <w:rFonts w:eastAsia="Times New Roman"/>
          <w:noProof/>
          <w:color w:val="000000" w:themeColor="text1"/>
        </w:rPr>
        <w:t>,</w:t>
      </w:r>
      <w:r w:rsidR="006919B6">
        <w:rPr>
          <w:rFonts w:eastAsia="Times New Roman"/>
          <w:noProof/>
          <w:color w:val="000000" w:themeColor="text1"/>
        </w:rPr>
        <w:t xml:space="preserve"> </w:t>
      </w:r>
      <w:r w:rsidRPr="00B7396E">
        <w:rPr>
          <w:noProof/>
        </w:rPr>
        <w:t>we observe slow deployment and adoption of fibr</w:t>
      </w:r>
      <w:r w:rsidR="00602D15" w:rsidRPr="00B7396E">
        <w:rPr>
          <w:noProof/>
        </w:rPr>
        <w:t>e</w:t>
      </w:r>
      <w:r w:rsidRPr="00B7396E">
        <w:rPr>
          <w:noProof/>
        </w:rPr>
        <w:t xml:space="preserve"> networks and services.</w:t>
      </w:r>
    </w:p>
    <w:p w14:paraId="38EDD2EB" w14:textId="48E34A84" w:rsidR="00FA21CB" w:rsidRPr="00292895" w:rsidRDefault="000C7C70" w:rsidP="006A3DDC">
      <w:pPr>
        <w:spacing w:line="240" w:lineRule="auto"/>
        <w:rPr>
          <w:noProof/>
          <w:color w:val="000000" w:themeColor="text1"/>
          <w:lang w:val="en-IE"/>
        </w:rPr>
      </w:pPr>
      <w:r w:rsidRPr="00B7396E">
        <w:rPr>
          <w:noProof/>
        </w:rPr>
        <w:t>Deployment/coverage</w:t>
      </w:r>
    </w:p>
    <w:p w14:paraId="00C72020" w14:textId="6B74A33E" w:rsidR="00EB0768" w:rsidRDefault="00171CF8" w:rsidP="006A3DDC">
      <w:pPr>
        <w:spacing w:line="240" w:lineRule="auto"/>
        <w:rPr>
          <w:rFonts w:eastAsia="Times New Roman"/>
          <w:noProof/>
          <w:color w:val="000000" w:themeColor="text1"/>
          <w:lang w:val="en-IE"/>
        </w:rPr>
      </w:pPr>
      <w:r w:rsidRPr="00DE264C">
        <w:rPr>
          <w:rFonts w:eastAsia="Times New Roman"/>
          <w:noProof/>
          <w:color w:val="000000" w:themeColor="text1"/>
          <w:lang w:val="en-IE"/>
        </w:rPr>
        <w:t xml:space="preserve">The </w:t>
      </w:r>
      <w:r w:rsidR="008B0763" w:rsidRPr="00DE264C">
        <w:rPr>
          <w:rFonts w:eastAsia="Times New Roman"/>
          <w:noProof/>
          <w:color w:val="000000" w:themeColor="text1"/>
          <w:lang w:val="en-IE"/>
        </w:rPr>
        <w:t>20</w:t>
      </w:r>
      <w:r w:rsidR="00E50A26" w:rsidRPr="00DE264C">
        <w:rPr>
          <w:rFonts w:eastAsia="Times New Roman"/>
          <w:noProof/>
          <w:color w:val="000000" w:themeColor="text1"/>
          <w:lang w:val="en-IE"/>
        </w:rPr>
        <w:t>25</w:t>
      </w:r>
      <w:r w:rsidR="0079638E" w:rsidRPr="00DE264C">
        <w:rPr>
          <w:rFonts w:eastAsia="Times New Roman"/>
          <w:noProof/>
          <w:color w:val="000000" w:themeColor="text1"/>
          <w:lang w:val="en-IE"/>
        </w:rPr>
        <w:t xml:space="preserve"> </w:t>
      </w:r>
      <w:r w:rsidRPr="00DE264C">
        <w:rPr>
          <w:rFonts w:eastAsia="Times New Roman"/>
          <w:noProof/>
          <w:color w:val="000000" w:themeColor="text1"/>
          <w:lang w:val="en-IE"/>
        </w:rPr>
        <w:t xml:space="preserve">DDPP report </w:t>
      </w:r>
      <w:r w:rsidR="00E50A26" w:rsidRPr="00DE264C">
        <w:rPr>
          <w:rFonts w:eastAsia="Times New Roman"/>
          <w:noProof/>
          <w:color w:val="000000" w:themeColor="text1"/>
          <w:lang w:val="en-IE"/>
        </w:rPr>
        <w:t xml:space="preserve">shows that the </w:t>
      </w:r>
      <w:r w:rsidR="005400D3" w:rsidRPr="00DE264C">
        <w:rPr>
          <w:rFonts w:eastAsia="Times New Roman"/>
          <w:noProof/>
          <w:color w:val="000000" w:themeColor="text1"/>
          <w:lang w:val="en-IE"/>
        </w:rPr>
        <w:t>G</w:t>
      </w:r>
      <w:r w:rsidR="003F4DF9" w:rsidRPr="00DE264C">
        <w:rPr>
          <w:rFonts w:eastAsia="Times New Roman"/>
          <w:noProof/>
          <w:color w:val="000000" w:themeColor="text1"/>
          <w:lang w:val="en-IE"/>
        </w:rPr>
        <w:t>igabit connectivity measured by Fib</w:t>
      </w:r>
      <w:r w:rsidR="00A70EF9" w:rsidRPr="00DE264C">
        <w:rPr>
          <w:rFonts w:eastAsia="Times New Roman"/>
          <w:noProof/>
          <w:color w:val="000000" w:themeColor="text1"/>
          <w:lang w:val="en-IE"/>
        </w:rPr>
        <w:t>re</w:t>
      </w:r>
      <w:r w:rsidR="00214958" w:rsidRPr="00DE264C">
        <w:rPr>
          <w:rFonts w:eastAsia="Times New Roman"/>
          <w:noProof/>
          <w:color w:val="000000" w:themeColor="text1"/>
          <w:lang w:val="en-IE"/>
        </w:rPr>
        <w:t>-</w:t>
      </w:r>
      <w:r w:rsidR="003F4DF9" w:rsidRPr="00DE264C">
        <w:rPr>
          <w:rFonts w:eastAsia="Times New Roman"/>
          <w:noProof/>
          <w:color w:val="000000" w:themeColor="text1"/>
          <w:lang w:val="en-IE"/>
        </w:rPr>
        <w:t>to</w:t>
      </w:r>
      <w:r w:rsidR="00214958" w:rsidRPr="00DE264C">
        <w:rPr>
          <w:rFonts w:eastAsia="Times New Roman"/>
          <w:noProof/>
          <w:color w:val="000000" w:themeColor="text1"/>
          <w:lang w:val="en-IE"/>
        </w:rPr>
        <w:t>-</w:t>
      </w:r>
      <w:r w:rsidR="003F4DF9" w:rsidRPr="00DE264C">
        <w:rPr>
          <w:rFonts w:eastAsia="Times New Roman"/>
          <w:noProof/>
          <w:color w:val="000000" w:themeColor="text1"/>
          <w:lang w:val="en-IE"/>
        </w:rPr>
        <w:t>the</w:t>
      </w:r>
      <w:r w:rsidR="00214958" w:rsidRPr="00DE264C">
        <w:rPr>
          <w:rFonts w:eastAsia="Times New Roman"/>
          <w:noProof/>
          <w:color w:val="000000" w:themeColor="text1"/>
          <w:lang w:val="en-IE"/>
        </w:rPr>
        <w:t>-</w:t>
      </w:r>
      <w:r w:rsidR="003F4DF9" w:rsidRPr="00DE264C">
        <w:rPr>
          <w:rFonts w:eastAsia="Times New Roman"/>
          <w:noProof/>
          <w:color w:val="000000" w:themeColor="text1"/>
          <w:lang w:val="en-IE"/>
        </w:rPr>
        <w:t>Premises (FTTP)</w:t>
      </w:r>
      <w:r w:rsidR="00D2550E">
        <w:rPr>
          <w:rStyle w:val="FootnoteReference"/>
          <w:rFonts w:eastAsia="Times New Roman"/>
          <w:noProof/>
          <w:color w:val="000000" w:themeColor="text1"/>
          <w:lang w:val="en-IE"/>
        </w:rPr>
        <w:footnoteReference w:id="14"/>
      </w:r>
      <w:r w:rsidR="00880AB9" w:rsidRPr="00DE264C">
        <w:rPr>
          <w:rFonts w:eastAsia="Times New Roman"/>
          <w:noProof/>
          <w:color w:val="000000" w:themeColor="text1"/>
          <w:lang w:val="en-IE"/>
        </w:rPr>
        <w:t xml:space="preserve">, which includes </w:t>
      </w:r>
      <w:r w:rsidR="003E1EE9" w:rsidRPr="00DE264C">
        <w:rPr>
          <w:rFonts w:eastAsia="Times New Roman"/>
          <w:noProof/>
          <w:color w:val="000000" w:themeColor="text1"/>
          <w:lang w:val="en-IE"/>
        </w:rPr>
        <w:t>Fibre-to-the</w:t>
      </w:r>
      <w:r w:rsidR="00B40A96" w:rsidRPr="00DE264C">
        <w:rPr>
          <w:rFonts w:eastAsia="Times New Roman"/>
          <w:noProof/>
          <w:color w:val="000000" w:themeColor="text1"/>
          <w:lang w:val="en-IE"/>
        </w:rPr>
        <w:t>-</w:t>
      </w:r>
      <w:r w:rsidR="003E1EE9" w:rsidRPr="00DE264C">
        <w:rPr>
          <w:rFonts w:eastAsia="Times New Roman"/>
          <w:noProof/>
          <w:color w:val="000000" w:themeColor="text1"/>
          <w:lang w:val="en-IE"/>
        </w:rPr>
        <w:t>Home (FTTH) and Fibre-to-the</w:t>
      </w:r>
      <w:r w:rsidR="00B40A96" w:rsidRPr="00DE264C">
        <w:rPr>
          <w:rFonts w:eastAsia="Times New Roman"/>
          <w:noProof/>
          <w:color w:val="000000" w:themeColor="text1"/>
          <w:lang w:val="en-IE"/>
        </w:rPr>
        <w:t>-</w:t>
      </w:r>
      <w:r w:rsidR="003E1EE9" w:rsidRPr="00DE264C">
        <w:rPr>
          <w:rFonts w:eastAsia="Times New Roman"/>
          <w:noProof/>
          <w:color w:val="000000" w:themeColor="text1"/>
          <w:lang w:val="en-IE"/>
        </w:rPr>
        <w:t>Building (FTTB),</w:t>
      </w:r>
      <w:r w:rsidR="00BA12DC" w:rsidRPr="00DE264C">
        <w:rPr>
          <w:rFonts w:eastAsia="Times New Roman"/>
          <w:noProof/>
          <w:color w:val="000000" w:themeColor="text1"/>
          <w:lang w:val="en-IE"/>
        </w:rPr>
        <w:t xml:space="preserve"> </w:t>
      </w:r>
      <w:r w:rsidR="0065C432" w:rsidRPr="7AC71608">
        <w:rPr>
          <w:rFonts w:eastAsia="Times New Roman"/>
          <w:noProof/>
          <w:color w:val="000000" w:themeColor="text1"/>
          <w:lang w:val="en-IE"/>
        </w:rPr>
        <w:t>stands</w:t>
      </w:r>
      <w:r w:rsidR="00AA1430" w:rsidRPr="00DE264C">
        <w:rPr>
          <w:rFonts w:eastAsia="Times New Roman"/>
          <w:noProof/>
          <w:color w:val="000000" w:themeColor="text1"/>
          <w:lang w:val="en-IE"/>
        </w:rPr>
        <w:t xml:space="preserve"> currently at 6</w:t>
      </w:r>
      <w:r w:rsidR="004B07D0" w:rsidRPr="00DE264C">
        <w:rPr>
          <w:rFonts w:eastAsia="Times New Roman"/>
          <w:noProof/>
          <w:color w:val="000000" w:themeColor="text1"/>
          <w:lang w:val="en-IE"/>
        </w:rPr>
        <w:t>9%</w:t>
      </w:r>
      <w:r w:rsidR="00FC0048" w:rsidRPr="00DE264C">
        <w:rPr>
          <w:rFonts w:eastAsia="Times New Roman"/>
          <w:noProof/>
          <w:color w:val="000000" w:themeColor="text1"/>
          <w:lang w:val="en-IE"/>
        </w:rPr>
        <w:t xml:space="preserve"> (2024 data)</w:t>
      </w:r>
      <w:r w:rsidR="003A6619" w:rsidRPr="00DE264C">
        <w:rPr>
          <w:rFonts w:eastAsia="Times New Roman"/>
          <w:noProof/>
          <w:color w:val="000000" w:themeColor="text1"/>
          <w:lang w:val="en-IE"/>
        </w:rPr>
        <w:t xml:space="preserve">. </w:t>
      </w:r>
      <w:r w:rsidR="00CB0903" w:rsidRPr="00DE264C">
        <w:rPr>
          <w:rFonts w:eastAsia="Times New Roman"/>
          <w:noProof/>
          <w:color w:val="000000" w:themeColor="text1"/>
          <w:lang w:val="en-IE"/>
        </w:rPr>
        <w:t>The percentage of premises reached by fibr</w:t>
      </w:r>
      <w:r w:rsidR="00602D15" w:rsidRPr="00DE264C">
        <w:rPr>
          <w:rFonts w:eastAsia="Times New Roman"/>
          <w:noProof/>
          <w:color w:val="000000" w:themeColor="text1"/>
          <w:lang w:val="en-IE"/>
        </w:rPr>
        <w:t>e</w:t>
      </w:r>
      <w:r w:rsidR="00F3101C" w:rsidRPr="00DE264C">
        <w:rPr>
          <w:rFonts w:eastAsia="Times New Roman"/>
          <w:noProof/>
          <w:color w:val="000000" w:themeColor="text1"/>
          <w:lang w:val="en-IE"/>
        </w:rPr>
        <w:t xml:space="preserve"> rose by 5</w:t>
      </w:r>
      <w:r w:rsidR="00902FE7">
        <w:rPr>
          <w:rFonts w:eastAsia="Times New Roman"/>
          <w:noProof/>
          <w:color w:val="000000" w:themeColor="text1"/>
          <w:lang w:val="en-IE"/>
        </w:rPr>
        <w:t xml:space="preserve"> p.p. </w:t>
      </w:r>
      <w:r w:rsidR="00F3101C" w:rsidRPr="00DE264C">
        <w:rPr>
          <w:rFonts w:eastAsia="Times New Roman"/>
          <w:noProof/>
          <w:color w:val="000000" w:themeColor="text1"/>
          <w:lang w:val="en-IE"/>
        </w:rPr>
        <w:t>from 64% in 2023 to 69% in 2024</w:t>
      </w:r>
      <w:r w:rsidR="00611C6D" w:rsidRPr="00DE264C">
        <w:rPr>
          <w:rStyle w:val="FootnoteReference"/>
          <w:rFonts w:eastAsia="Times New Roman"/>
          <w:noProof/>
          <w:color w:val="000000" w:themeColor="text1"/>
          <w:lang w:val="en-IE"/>
        </w:rPr>
        <w:footnoteReference w:id="15"/>
      </w:r>
      <w:r w:rsidR="00F578BF">
        <w:rPr>
          <w:rFonts w:eastAsia="Times New Roman"/>
          <w:noProof/>
          <w:color w:val="000000" w:themeColor="text1"/>
          <w:lang w:val="en-IE"/>
        </w:rPr>
        <w:t>.</w:t>
      </w:r>
      <w:r w:rsidR="003808E0" w:rsidRPr="00DE264C">
        <w:rPr>
          <w:rFonts w:eastAsia="Times New Roman"/>
          <w:noProof/>
          <w:color w:val="000000" w:themeColor="text1"/>
          <w:lang w:val="en-IE"/>
        </w:rPr>
        <w:t xml:space="preserve"> </w:t>
      </w:r>
      <w:r w:rsidR="008E5BB9" w:rsidRPr="00DE264C">
        <w:rPr>
          <w:rFonts w:eastAsia="Times New Roman"/>
          <w:noProof/>
          <w:color w:val="000000" w:themeColor="text1"/>
        </w:rPr>
        <w:t>According to</w:t>
      </w:r>
      <w:r w:rsidR="00307ADD" w:rsidRPr="00DE264C">
        <w:rPr>
          <w:rFonts w:eastAsia="Times New Roman"/>
          <w:noProof/>
          <w:color w:val="000000" w:themeColor="text1"/>
        </w:rPr>
        <w:t xml:space="preserve"> the same report,</w:t>
      </w:r>
      <w:r w:rsidR="00DF1B2D" w:rsidRPr="00DE264C">
        <w:rPr>
          <w:rFonts w:eastAsia="Times New Roman"/>
          <w:noProof/>
          <w:color w:val="000000" w:themeColor="text1"/>
        </w:rPr>
        <w:t xml:space="preserve"> </w:t>
      </w:r>
      <w:r w:rsidR="00DF1B2D" w:rsidRPr="00DE264C">
        <w:rPr>
          <w:rFonts w:eastAsia="Times New Roman"/>
          <w:noProof/>
          <w:color w:val="000000" w:themeColor="text1"/>
          <w:lang w:val="en-IE"/>
        </w:rPr>
        <w:t xml:space="preserve">by 2030 around 90% of premises will be reached by </w:t>
      </w:r>
      <w:r w:rsidR="1219A641" w:rsidRPr="56D23329">
        <w:rPr>
          <w:rFonts w:eastAsia="Times New Roman"/>
          <w:noProof/>
          <w:color w:val="000000" w:themeColor="text1"/>
          <w:lang w:val="en-IE"/>
        </w:rPr>
        <w:t>FTTP</w:t>
      </w:r>
      <w:r w:rsidR="00E557BE" w:rsidRPr="74E2EAD3">
        <w:rPr>
          <w:rFonts w:eastAsia="Times New Roman"/>
          <w:noProof/>
          <w:color w:val="000000" w:themeColor="text1"/>
          <w:lang w:val="en-IE"/>
        </w:rPr>
        <w:t xml:space="preserve">, </w:t>
      </w:r>
      <w:r w:rsidR="006138B9" w:rsidRPr="74E2EAD3">
        <w:rPr>
          <w:rFonts w:eastAsia="Times New Roman"/>
          <w:noProof/>
          <w:color w:val="000000" w:themeColor="text1"/>
          <w:lang w:val="en-IE"/>
        </w:rPr>
        <w:t>but full</w:t>
      </w:r>
      <w:r w:rsidR="00E557BE" w:rsidRPr="74E2EAD3">
        <w:rPr>
          <w:rFonts w:eastAsia="Times New Roman"/>
          <w:noProof/>
          <w:color w:val="000000" w:themeColor="text1"/>
          <w:lang w:val="en-IE"/>
        </w:rPr>
        <w:t xml:space="preserve"> </w:t>
      </w:r>
      <w:r w:rsidR="006138B9" w:rsidRPr="74E2EAD3">
        <w:rPr>
          <w:rFonts w:eastAsia="Times New Roman"/>
          <w:noProof/>
          <w:color w:val="000000" w:themeColor="text1"/>
          <w:lang w:val="en-IE"/>
        </w:rPr>
        <w:t>(</w:t>
      </w:r>
      <w:r w:rsidR="00E557BE" w:rsidRPr="74E2EAD3">
        <w:rPr>
          <w:rFonts w:eastAsia="Times New Roman"/>
          <w:noProof/>
          <w:color w:val="000000" w:themeColor="text1"/>
          <w:lang w:val="en-IE"/>
        </w:rPr>
        <w:t>100%</w:t>
      </w:r>
      <w:r w:rsidR="006138B9" w:rsidRPr="74E2EAD3">
        <w:rPr>
          <w:rFonts w:eastAsia="Times New Roman"/>
          <w:noProof/>
          <w:color w:val="000000" w:themeColor="text1"/>
          <w:lang w:val="en-IE"/>
        </w:rPr>
        <w:t>)</w:t>
      </w:r>
      <w:r w:rsidR="00E557BE" w:rsidRPr="74E2EAD3">
        <w:rPr>
          <w:rFonts w:eastAsia="Times New Roman"/>
          <w:noProof/>
          <w:color w:val="000000" w:themeColor="text1"/>
          <w:lang w:val="en-IE"/>
        </w:rPr>
        <w:t xml:space="preserve"> coverage </w:t>
      </w:r>
      <w:r w:rsidR="001060B9" w:rsidRPr="74E2EAD3">
        <w:rPr>
          <w:rFonts w:eastAsia="Times New Roman"/>
          <w:noProof/>
          <w:color w:val="000000" w:themeColor="text1"/>
          <w:lang w:val="en-IE"/>
        </w:rPr>
        <w:t>is projected to</w:t>
      </w:r>
      <w:r w:rsidR="00E557BE" w:rsidRPr="74E2EAD3">
        <w:rPr>
          <w:rFonts w:eastAsia="Times New Roman"/>
          <w:noProof/>
          <w:color w:val="000000" w:themeColor="text1"/>
          <w:lang w:val="en-IE"/>
        </w:rPr>
        <w:t xml:space="preserve"> be only achieved in 2051</w:t>
      </w:r>
      <w:r w:rsidR="1219A641" w:rsidRPr="74E2EAD3">
        <w:rPr>
          <w:rFonts w:eastAsia="Times New Roman"/>
          <w:noProof/>
          <w:color w:val="000000" w:themeColor="text1"/>
          <w:lang w:val="en-IE"/>
        </w:rPr>
        <w:t xml:space="preserve">. </w:t>
      </w:r>
    </w:p>
    <w:p w14:paraId="4E45953C" w14:textId="350DC6F9" w:rsidR="00FA21CB" w:rsidRPr="00292895" w:rsidRDefault="3755CA9F" w:rsidP="006A3DDC">
      <w:pPr>
        <w:spacing w:line="240" w:lineRule="auto"/>
        <w:rPr>
          <w:rFonts w:eastAsia="Times New Roman"/>
          <w:noProof/>
          <w:color w:val="000000" w:themeColor="text1"/>
        </w:rPr>
      </w:pPr>
      <w:r w:rsidRPr="1A0E78BA">
        <w:rPr>
          <w:rFonts w:eastAsia="Times New Roman"/>
          <w:noProof/>
          <w:color w:val="000000" w:themeColor="text1"/>
        </w:rPr>
        <w:t xml:space="preserve">The coverage gaps are problematic as they further deepen the existing </w:t>
      </w:r>
      <w:r w:rsidR="783079DE" w:rsidRPr="1A0E78BA">
        <w:rPr>
          <w:rFonts w:eastAsia="Times New Roman"/>
          <w:noProof/>
          <w:color w:val="000000" w:themeColor="text1"/>
        </w:rPr>
        <w:t xml:space="preserve">geographical </w:t>
      </w:r>
      <w:r w:rsidRPr="1A0E78BA">
        <w:rPr>
          <w:rFonts w:eastAsia="Times New Roman"/>
          <w:noProof/>
          <w:color w:val="000000" w:themeColor="text1"/>
        </w:rPr>
        <w:t xml:space="preserve">digital divide between rural and urban population </w:t>
      </w:r>
      <w:r w:rsidR="7903BCB4" w:rsidRPr="1A0E78BA">
        <w:rPr>
          <w:rFonts w:eastAsia="Times New Roman"/>
          <w:noProof/>
          <w:color w:val="000000" w:themeColor="text1"/>
        </w:rPr>
        <w:t>in Europe (</w:t>
      </w:r>
      <w:r w:rsidR="7B9271C9" w:rsidRPr="1A0E78BA">
        <w:rPr>
          <w:rFonts w:eastAsia="Times New Roman"/>
          <w:noProof/>
          <w:color w:val="000000" w:themeColor="text1"/>
        </w:rPr>
        <w:t>only</w:t>
      </w:r>
      <w:r w:rsidR="7903BCB4" w:rsidRPr="1A0E78BA">
        <w:rPr>
          <w:rFonts w:eastAsia="Times New Roman"/>
          <w:noProof/>
          <w:color w:val="000000" w:themeColor="text1"/>
        </w:rPr>
        <w:t xml:space="preserve"> </w:t>
      </w:r>
      <w:r w:rsidR="521AEC5F" w:rsidRPr="1A0E78BA">
        <w:rPr>
          <w:rFonts w:eastAsia="Times New Roman"/>
          <w:noProof/>
        </w:rPr>
        <w:t xml:space="preserve">58.8% of households living </w:t>
      </w:r>
      <w:r w:rsidR="7903BCB4" w:rsidRPr="1A0E78BA">
        <w:rPr>
          <w:rFonts w:eastAsia="Times New Roman"/>
          <w:noProof/>
        </w:rPr>
        <w:t xml:space="preserve">in </w:t>
      </w:r>
      <w:r w:rsidR="521AEC5F" w:rsidRPr="1A0E78BA">
        <w:rPr>
          <w:rFonts w:eastAsia="Times New Roman"/>
          <w:noProof/>
        </w:rPr>
        <w:t xml:space="preserve">rural areas were reached by fibre in </w:t>
      </w:r>
      <w:r w:rsidR="7903BCB4" w:rsidRPr="1A0E78BA">
        <w:rPr>
          <w:rFonts w:eastAsia="Times New Roman"/>
          <w:noProof/>
        </w:rPr>
        <w:t>2024</w:t>
      </w:r>
      <w:r w:rsidR="00171CF8" w:rsidRPr="00292895">
        <w:rPr>
          <w:rFonts w:eastAsia="Times New Roman"/>
          <w:noProof/>
          <w:vertAlign w:val="superscript"/>
        </w:rPr>
        <w:footnoteReference w:id="16"/>
      </w:r>
      <w:r w:rsidR="5DE76D3B" w:rsidRPr="1A0E78BA">
        <w:rPr>
          <w:rFonts w:eastAsia="Times New Roman"/>
          <w:noProof/>
        </w:rPr>
        <w:t>)</w:t>
      </w:r>
      <w:r w:rsidR="249036EA" w:rsidRPr="1A0E78BA">
        <w:rPr>
          <w:rFonts w:eastAsia="Times New Roman"/>
          <w:noProof/>
        </w:rPr>
        <w:t xml:space="preserve">. </w:t>
      </w:r>
      <w:r w:rsidR="42EC0250" w:rsidRPr="1A0E78BA">
        <w:rPr>
          <w:rFonts w:eastAsia="Times New Roman"/>
          <w:noProof/>
        </w:rPr>
        <w:t>Bridging the digital divide ensures that some areas of the Union are not left behind</w:t>
      </w:r>
      <w:r w:rsidR="2BE756B0" w:rsidRPr="1A0E78BA">
        <w:rPr>
          <w:rFonts w:eastAsia="Times New Roman"/>
          <w:noProof/>
        </w:rPr>
        <w:t xml:space="preserve"> and that EU citizens benefit of high quality of services and can achieve better productivity across the Union.</w:t>
      </w:r>
    </w:p>
    <w:p w14:paraId="31EB2692" w14:textId="2CF93CA2" w:rsidR="002B0E6F" w:rsidRPr="00DE264C" w:rsidRDefault="00EB0768" w:rsidP="006A3DDC">
      <w:pPr>
        <w:spacing w:line="240" w:lineRule="auto"/>
        <w:rPr>
          <w:rFonts w:eastAsia="Times New Roman"/>
          <w:noProof/>
          <w:color w:val="000000" w:themeColor="text1"/>
        </w:rPr>
      </w:pPr>
      <w:r w:rsidRPr="006736FC">
        <w:rPr>
          <w:noProof/>
          <w:color w:val="000000" w:themeColor="text1"/>
        </w:rPr>
        <w:t>Furthermore</w:t>
      </w:r>
      <w:r w:rsidR="00A02E1D" w:rsidRPr="006736FC">
        <w:rPr>
          <w:noProof/>
          <w:color w:val="000000" w:themeColor="text1"/>
        </w:rPr>
        <w:t>,</w:t>
      </w:r>
      <w:r w:rsidRPr="006736FC">
        <w:rPr>
          <w:noProof/>
          <w:color w:val="000000" w:themeColor="text1"/>
        </w:rPr>
        <w:t xml:space="preserve"> the FTTP coverage across the EU differs significantly undermining the single market dimension. </w:t>
      </w:r>
      <w:r>
        <w:rPr>
          <w:rFonts w:eastAsia="Times New Roman"/>
          <w:noProof/>
          <w:color w:val="000000" w:themeColor="text1"/>
        </w:rPr>
        <w:t>T</w:t>
      </w:r>
      <w:r w:rsidR="009A45C8" w:rsidRPr="00DE264C">
        <w:rPr>
          <w:rFonts w:eastAsia="Times New Roman"/>
          <w:noProof/>
          <w:color w:val="000000" w:themeColor="text1"/>
        </w:rPr>
        <w:t xml:space="preserve">here is </w:t>
      </w:r>
      <w:r w:rsidR="006536A4" w:rsidRPr="00DE264C">
        <w:rPr>
          <w:rFonts w:eastAsia="Times New Roman"/>
          <w:noProof/>
          <w:color w:val="000000" w:themeColor="text1"/>
        </w:rPr>
        <w:t xml:space="preserve">insufficient </w:t>
      </w:r>
      <w:r w:rsidR="009A45C8" w:rsidRPr="00DE264C">
        <w:rPr>
          <w:rFonts w:eastAsia="Times New Roman"/>
          <w:noProof/>
          <w:color w:val="000000" w:themeColor="text1"/>
        </w:rPr>
        <w:t>coverage of FTT</w:t>
      </w:r>
      <w:r w:rsidR="00C64587">
        <w:rPr>
          <w:rFonts w:eastAsia="Times New Roman"/>
          <w:noProof/>
          <w:color w:val="000000" w:themeColor="text1"/>
        </w:rPr>
        <w:t>P</w:t>
      </w:r>
      <w:r w:rsidR="3B05D9FC" w:rsidRPr="00DE264C">
        <w:rPr>
          <w:rFonts w:eastAsia="Times New Roman"/>
          <w:noProof/>
          <w:color w:val="000000" w:themeColor="text1"/>
        </w:rPr>
        <w:t xml:space="preserve"> </w:t>
      </w:r>
      <w:r w:rsidR="009A45C8" w:rsidRPr="00DE264C">
        <w:rPr>
          <w:rFonts w:eastAsia="Times New Roman"/>
          <w:noProof/>
          <w:color w:val="000000" w:themeColor="text1"/>
        </w:rPr>
        <w:t xml:space="preserve">in </w:t>
      </w:r>
      <w:r w:rsidR="0056385C" w:rsidRPr="00DE264C">
        <w:rPr>
          <w:rFonts w:eastAsia="Times New Roman"/>
          <w:noProof/>
          <w:color w:val="000000" w:themeColor="text1"/>
        </w:rPr>
        <w:t>several Member States</w:t>
      </w:r>
      <w:r w:rsidR="009A45C8" w:rsidRPr="00DE264C">
        <w:rPr>
          <w:rFonts w:eastAsia="Times New Roman"/>
          <w:noProof/>
          <w:color w:val="000000" w:themeColor="text1"/>
        </w:rPr>
        <w:t xml:space="preserve"> – in particular Austria, Greece, Czechia, Germany and Belgium</w:t>
      </w:r>
      <w:r w:rsidR="07098EBD" w:rsidRPr="00DE264C">
        <w:rPr>
          <w:rFonts w:eastAsia="Times New Roman"/>
          <w:noProof/>
          <w:color w:val="000000" w:themeColor="text1"/>
        </w:rPr>
        <w:t xml:space="preserve"> </w:t>
      </w:r>
      <w:r w:rsidR="04A2E6BC" w:rsidRPr="00DE264C">
        <w:rPr>
          <w:rFonts w:eastAsia="Times New Roman"/>
          <w:noProof/>
          <w:color w:val="000000" w:themeColor="text1"/>
        </w:rPr>
        <w:t>- which results in a significant proportion of EU population not having access to fib</w:t>
      </w:r>
      <w:r w:rsidR="28025E7A" w:rsidRPr="00DE264C">
        <w:rPr>
          <w:rFonts w:eastAsia="Times New Roman"/>
          <w:noProof/>
          <w:color w:val="000000" w:themeColor="text1"/>
        </w:rPr>
        <w:t>r</w:t>
      </w:r>
      <w:r w:rsidR="00F2738C" w:rsidRPr="00DE264C">
        <w:rPr>
          <w:rFonts w:eastAsia="Times New Roman"/>
          <w:noProof/>
          <w:color w:val="000000" w:themeColor="text1"/>
        </w:rPr>
        <w:t>e</w:t>
      </w:r>
      <w:r w:rsidR="04A2E6BC" w:rsidRPr="00DE264C">
        <w:rPr>
          <w:rFonts w:eastAsia="Times New Roman"/>
          <w:noProof/>
          <w:color w:val="000000" w:themeColor="text1"/>
        </w:rPr>
        <w:t xml:space="preserve"> networks</w:t>
      </w:r>
      <w:r w:rsidR="009A45C8" w:rsidRPr="00DE264C">
        <w:rPr>
          <w:rFonts w:eastAsia="Times New Roman"/>
          <w:noProof/>
          <w:color w:val="000000" w:themeColor="text1"/>
        </w:rPr>
        <w:t xml:space="preserve">. </w:t>
      </w:r>
    </w:p>
    <w:p w14:paraId="2DFDEDB8" w14:textId="178428D5" w:rsidR="000034C1" w:rsidRPr="00B65A41" w:rsidRDefault="00716CC4" w:rsidP="00044C7C">
      <w:pPr>
        <w:pStyle w:val="Caption"/>
        <w:keepNext/>
        <w:keepLines/>
        <w:rPr>
          <w:noProof/>
          <w:color w:val="auto"/>
          <w:sz w:val="20"/>
          <w:szCs w:val="20"/>
        </w:rPr>
      </w:pPr>
      <w:bookmarkStart w:id="25" w:name="_Toc209612980"/>
      <w:bookmarkStart w:id="26" w:name="_Toc209640138"/>
      <w:bookmarkStart w:id="27" w:name="_Toc215084137"/>
      <w:bookmarkStart w:id="28" w:name="_Toc219539760"/>
      <w:r w:rsidRPr="00044C7C">
        <w:rPr>
          <w:noProof/>
          <w:color w:val="auto"/>
        </w:rPr>
        <w:t xml:space="preserve">Figure </w:t>
      </w:r>
      <w:r w:rsidR="00F1710D" w:rsidRPr="00044C7C">
        <w:rPr>
          <w:noProof/>
          <w:color w:val="auto"/>
        </w:rPr>
        <w:fldChar w:fldCharType="begin"/>
      </w:r>
      <w:r w:rsidR="00F1710D" w:rsidRPr="00044C7C">
        <w:rPr>
          <w:noProof/>
          <w:color w:val="auto"/>
        </w:rPr>
        <w:instrText xml:space="preserve"> SEQ Figure \* ARABIC </w:instrText>
      </w:r>
      <w:r w:rsidR="00F1710D" w:rsidRPr="00044C7C">
        <w:rPr>
          <w:noProof/>
          <w:color w:val="auto"/>
        </w:rPr>
        <w:fldChar w:fldCharType="separate"/>
      </w:r>
      <w:r w:rsidR="00D9624D">
        <w:rPr>
          <w:noProof/>
          <w:color w:val="auto"/>
        </w:rPr>
        <w:t>3</w:t>
      </w:r>
      <w:r w:rsidR="00F1710D" w:rsidRPr="00044C7C">
        <w:rPr>
          <w:noProof/>
          <w:color w:val="auto"/>
        </w:rPr>
        <w:fldChar w:fldCharType="end"/>
      </w:r>
      <w:r w:rsidR="000034C1" w:rsidRPr="008D0C6B">
        <w:rPr>
          <w:noProof/>
          <w:color w:val="auto"/>
          <w:sz w:val="20"/>
          <w:szCs w:val="20"/>
        </w:rPr>
        <w:t>:</w:t>
      </w:r>
      <w:r w:rsidR="006729DC" w:rsidRPr="008D0C6B">
        <w:rPr>
          <w:noProof/>
          <w:color w:val="auto"/>
          <w:sz w:val="20"/>
          <w:szCs w:val="20"/>
        </w:rPr>
        <w:t xml:space="preserve"> </w:t>
      </w:r>
      <w:r w:rsidR="000034C1" w:rsidRPr="00B65A41">
        <w:rPr>
          <w:noProof/>
          <w:color w:val="auto"/>
          <w:sz w:val="20"/>
          <w:szCs w:val="20"/>
        </w:rPr>
        <w:t xml:space="preserve">FTTP </w:t>
      </w:r>
      <w:bookmarkStart w:id="29" w:name="_Toc208240207"/>
      <w:r w:rsidR="000034C1" w:rsidRPr="00B65A41">
        <w:rPr>
          <w:noProof/>
          <w:color w:val="auto"/>
          <w:sz w:val="20"/>
          <w:szCs w:val="20"/>
        </w:rPr>
        <w:t xml:space="preserve">coverage in % of </w:t>
      </w:r>
      <w:r w:rsidR="00D529AE" w:rsidRPr="00B65A41">
        <w:rPr>
          <w:noProof/>
          <w:color w:val="auto"/>
          <w:sz w:val="20"/>
          <w:szCs w:val="20"/>
        </w:rPr>
        <w:t>households</w:t>
      </w:r>
      <w:r w:rsidR="000034C1" w:rsidRPr="00B65A41">
        <w:rPr>
          <w:noProof/>
          <w:color w:val="auto"/>
          <w:sz w:val="20"/>
          <w:szCs w:val="20"/>
        </w:rPr>
        <w:t xml:space="preserve"> in EU 27 (2024)</w:t>
      </w:r>
      <w:bookmarkEnd w:id="25"/>
      <w:bookmarkEnd w:id="26"/>
      <w:bookmarkEnd w:id="27"/>
      <w:bookmarkEnd w:id="28"/>
      <w:bookmarkEnd w:id="29"/>
    </w:p>
    <w:p w14:paraId="0195756D" w14:textId="77777777" w:rsidR="000034C1" w:rsidRPr="00DE264C" w:rsidRDefault="000034C1" w:rsidP="000034C1">
      <w:pPr>
        <w:keepNext/>
        <w:spacing w:after="120"/>
        <w:jc w:val="left"/>
        <w:rPr>
          <w:noProof/>
        </w:rPr>
      </w:pPr>
      <w:r w:rsidRPr="00DE264C">
        <w:rPr>
          <w:noProof/>
          <w:lang w:eastAsia="en-GB"/>
        </w:rPr>
        <w:drawing>
          <wp:inline distT="0" distB="0" distL="0" distR="0" wp14:anchorId="26CDF401" wp14:editId="2FA39562">
            <wp:extent cx="4610100" cy="2154973"/>
            <wp:effectExtent l="0" t="0" r="0" b="0"/>
            <wp:docPr id="186363844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38446" name="Grafik 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3487" b="4119"/>
                    <a:stretch/>
                  </pic:blipFill>
                  <pic:spPr bwMode="auto">
                    <a:xfrm>
                      <a:off x="0" y="0"/>
                      <a:ext cx="4641962" cy="2169867"/>
                    </a:xfrm>
                    <a:prstGeom prst="rect">
                      <a:avLst/>
                    </a:prstGeom>
                    <a:noFill/>
                    <a:ln>
                      <a:noFill/>
                    </a:ln>
                    <a:extLst>
                      <a:ext uri="{53640926-AAD7-44D8-BBD7-CCE9431645EC}">
                        <a14:shadowObscured xmlns:a14="http://schemas.microsoft.com/office/drawing/2010/main"/>
                      </a:ext>
                    </a:extLst>
                  </pic:spPr>
                </pic:pic>
              </a:graphicData>
            </a:graphic>
          </wp:inline>
        </w:drawing>
      </w:r>
    </w:p>
    <w:p w14:paraId="5DC6984F" w14:textId="544CA0F7" w:rsidR="000034C1" w:rsidRPr="00B65A41" w:rsidRDefault="000034C1" w:rsidP="00452335">
      <w:pPr>
        <w:pStyle w:val="Quelle"/>
        <w:spacing w:after="120"/>
        <w:rPr>
          <w:rFonts w:ascii="Times New Roman" w:hAnsi="Times New Roman"/>
          <w:noProof/>
          <w:sz w:val="20"/>
        </w:rPr>
      </w:pPr>
      <w:r w:rsidRPr="7AC71608">
        <w:rPr>
          <w:rFonts w:ascii="Times New Roman" w:hAnsi="Times New Roman"/>
          <w:noProof/>
          <w:sz w:val="20"/>
          <w:szCs w:val="20"/>
        </w:rPr>
        <w:t>Source:</w:t>
      </w:r>
      <w:r w:rsidRPr="00B65A41">
        <w:rPr>
          <w:rFonts w:ascii="Times New Roman" w:hAnsi="Times New Roman"/>
          <w:noProof/>
          <w:sz w:val="20"/>
        </w:rPr>
        <w:tab/>
      </w:r>
      <w:r w:rsidRPr="00B65A41">
        <w:rPr>
          <w:rFonts w:ascii="Times New Roman" w:hAnsi="Times New Roman"/>
          <w:noProof/>
          <w:sz w:val="20"/>
        </w:rPr>
        <w:tab/>
      </w:r>
      <w:r w:rsidRPr="7AC71608">
        <w:rPr>
          <w:rFonts w:ascii="Times New Roman" w:hAnsi="Times New Roman"/>
          <w:noProof/>
          <w:sz w:val="20"/>
          <w:szCs w:val="20"/>
        </w:rPr>
        <w:t>European Commission (2025)</w:t>
      </w:r>
      <w:r w:rsidRPr="7AC71608">
        <w:rPr>
          <w:rStyle w:val="FootnoteReference"/>
          <w:noProof/>
          <w:sz w:val="20"/>
          <w:szCs w:val="20"/>
        </w:rPr>
        <w:footnoteReference w:id="17"/>
      </w:r>
    </w:p>
    <w:p w14:paraId="2972CF1D" w14:textId="478BF326" w:rsidR="00EB0768" w:rsidRPr="00292895" w:rsidRDefault="00EB0768" w:rsidP="006A3DDC">
      <w:pPr>
        <w:spacing w:line="240" w:lineRule="auto"/>
        <w:rPr>
          <w:rFonts w:eastAsia="Times New Roman"/>
          <w:noProof/>
          <w:color w:val="000000" w:themeColor="text1"/>
        </w:rPr>
      </w:pPr>
      <w:r w:rsidRPr="006736FC">
        <w:rPr>
          <w:noProof/>
          <w:color w:val="000000" w:themeColor="text1"/>
        </w:rPr>
        <w:t>In addition</w:t>
      </w:r>
      <w:r w:rsidR="0077513D" w:rsidRPr="006736FC">
        <w:rPr>
          <w:noProof/>
          <w:color w:val="000000" w:themeColor="text1"/>
        </w:rPr>
        <w:t>,</w:t>
      </w:r>
      <w:r w:rsidRPr="006736FC">
        <w:rPr>
          <w:noProof/>
          <w:color w:val="000000" w:themeColor="text1"/>
        </w:rPr>
        <w:t xml:space="preserve"> it should be noted that the data refers to FTTP coverage, which includes a significant proportion of FTTB. </w:t>
      </w:r>
      <w:r w:rsidRPr="00DE264C" w:rsidDel="00CE4DA5">
        <w:rPr>
          <w:rFonts w:eastAsia="Times New Roman"/>
          <w:noProof/>
          <w:color w:val="000000" w:themeColor="text1"/>
        </w:rPr>
        <w:t>FTTH coverage, which is fully fibre-based and is the most future-proof and high-quality fixed connectivity option, in the EU has been also expanding but not fast enough.</w:t>
      </w:r>
      <w:r w:rsidRPr="00EB0768">
        <w:rPr>
          <w:rFonts w:eastAsia="Times New Roman"/>
          <w:noProof/>
          <w:color w:val="000000" w:themeColor="text1"/>
        </w:rPr>
        <w:t xml:space="preserve"> </w:t>
      </w:r>
      <w:r>
        <w:rPr>
          <w:rFonts w:eastAsia="Times New Roman"/>
          <w:noProof/>
          <w:color w:val="000000" w:themeColor="text1"/>
        </w:rPr>
        <w:t xml:space="preserve">This means that </w:t>
      </w:r>
      <w:r w:rsidRPr="00DE264C">
        <w:rPr>
          <w:rFonts w:eastAsia="Times New Roman"/>
          <w:noProof/>
          <w:color w:val="000000" w:themeColor="text1"/>
        </w:rPr>
        <w:t>even Member States with high FTTP coverage have significant gaps in FTTH coverage.</w:t>
      </w:r>
    </w:p>
    <w:p w14:paraId="3DA4FE3C" w14:textId="0272027F" w:rsidR="000C7C70" w:rsidRPr="00292895" w:rsidRDefault="000C7C70" w:rsidP="006A3DDC">
      <w:pPr>
        <w:spacing w:line="240" w:lineRule="auto"/>
        <w:rPr>
          <w:rFonts w:eastAsia="Times New Roman"/>
          <w:noProof/>
          <w:lang w:val="en-IE" w:eastAsia="en-IE"/>
        </w:rPr>
      </w:pPr>
      <w:r w:rsidRPr="006736FC">
        <w:rPr>
          <w:noProof/>
        </w:rPr>
        <w:t>Demand/uptake</w:t>
      </w:r>
    </w:p>
    <w:p w14:paraId="1F8367B0" w14:textId="4D9A03BA" w:rsidR="0067602E" w:rsidRDefault="0077513D" w:rsidP="006A3DDC">
      <w:pPr>
        <w:spacing w:line="240" w:lineRule="auto"/>
        <w:rPr>
          <w:rFonts w:eastAsia="Times New Roman"/>
          <w:noProof/>
          <w:color w:val="000000" w:themeColor="text1"/>
        </w:rPr>
      </w:pPr>
      <w:r>
        <w:rPr>
          <w:rFonts w:eastAsia="Times New Roman"/>
          <w:noProof/>
          <w:color w:val="000000" w:themeColor="text1"/>
        </w:rPr>
        <w:t>At</w:t>
      </w:r>
      <w:r w:rsidR="006C5BE9">
        <w:rPr>
          <w:rFonts w:eastAsia="Times New Roman"/>
          <w:noProof/>
          <w:color w:val="000000" w:themeColor="text1"/>
        </w:rPr>
        <w:t xml:space="preserve"> the same time, </w:t>
      </w:r>
      <w:r w:rsidR="009B764D">
        <w:rPr>
          <w:rFonts w:eastAsia="Times New Roman"/>
          <w:noProof/>
          <w:color w:val="000000" w:themeColor="text1"/>
        </w:rPr>
        <w:t>d</w:t>
      </w:r>
      <w:r w:rsidR="004734C6" w:rsidRPr="00DE264C">
        <w:rPr>
          <w:rFonts w:eastAsia="Times New Roman"/>
          <w:noProof/>
          <w:color w:val="000000" w:themeColor="text1"/>
        </w:rPr>
        <w:t>emand for bandwidth is increasing rapidly across the EU</w:t>
      </w:r>
      <w:r w:rsidR="00E720A0" w:rsidRPr="00DE264C">
        <w:rPr>
          <w:rFonts w:eastAsia="Times New Roman"/>
          <w:noProof/>
          <w:color w:val="000000" w:themeColor="text1"/>
        </w:rPr>
        <w:t xml:space="preserve"> and</w:t>
      </w:r>
      <w:r w:rsidR="004734C6" w:rsidRPr="00DE264C">
        <w:rPr>
          <w:rFonts w:eastAsia="Times New Roman"/>
          <w:noProof/>
          <w:color w:val="000000" w:themeColor="text1"/>
        </w:rPr>
        <w:t xml:space="preserve"> fixed broadband traffic increased more than 2.5 times from 2019 to 2024</w:t>
      </w:r>
      <w:r w:rsidR="004734C6" w:rsidRPr="00DE264C">
        <w:rPr>
          <w:rStyle w:val="FootnoteReference"/>
          <w:rFonts w:eastAsia="Times New Roman"/>
          <w:noProof/>
          <w:color w:val="000000" w:themeColor="text1"/>
        </w:rPr>
        <w:footnoteReference w:id="18"/>
      </w:r>
      <w:r w:rsidR="006B31FC">
        <w:rPr>
          <w:rFonts w:eastAsia="Times New Roman"/>
          <w:noProof/>
          <w:color w:val="000000" w:themeColor="text1"/>
        </w:rPr>
        <w:t>.</w:t>
      </w:r>
      <w:r w:rsidR="004734C6" w:rsidRPr="00DE264C">
        <w:rPr>
          <w:rFonts w:eastAsia="Times New Roman"/>
          <w:noProof/>
          <w:color w:val="000000" w:themeColor="text1"/>
        </w:rPr>
        <w:t xml:space="preserve"> </w:t>
      </w:r>
      <w:r w:rsidR="00FA6F39" w:rsidRPr="00DE264C">
        <w:rPr>
          <w:rFonts w:eastAsia="Times New Roman"/>
          <w:noProof/>
          <w:color w:val="000000" w:themeColor="text1"/>
        </w:rPr>
        <w:t>T</w:t>
      </w:r>
      <w:r w:rsidR="00787F48" w:rsidRPr="00DE264C">
        <w:rPr>
          <w:rFonts w:eastAsia="Times New Roman"/>
          <w:noProof/>
          <w:color w:val="000000" w:themeColor="text1"/>
        </w:rPr>
        <w:t>he 2025 DDPP report shows</w:t>
      </w:r>
      <w:r w:rsidR="00787F48" w:rsidRPr="00DE264C">
        <w:rPr>
          <w:rStyle w:val="FootnoteReference"/>
          <w:rFonts w:eastAsia="Times New Roman"/>
          <w:noProof/>
          <w:color w:val="000000" w:themeColor="text1"/>
        </w:rPr>
        <w:footnoteReference w:id="19"/>
      </w:r>
      <w:r w:rsidR="00787F48" w:rsidRPr="00DE264C">
        <w:rPr>
          <w:rFonts w:eastAsia="Times New Roman"/>
          <w:noProof/>
          <w:color w:val="000000" w:themeColor="text1"/>
        </w:rPr>
        <w:t xml:space="preserve"> that t</w:t>
      </w:r>
      <w:r w:rsidR="00556E45" w:rsidRPr="00DE264C">
        <w:rPr>
          <w:rFonts w:eastAsia="Times New Roman"/>
          <w:noProof/>
          <w:color w:val="000000" w:themeColor="text1"/>
        </w:rPr>
        <w:t xml:space="preserve">he share of fixed broadband subscriptions </w:t>
      </w:r>
      <w:r w:rsidR="0012380F" w:rsidRPr="0012380F">
        <w:rPr>
          <w:rFonts w:eastAsia="Times New Roman"/>
          <w:noProof/>
          <w:color w:val="000000" w:themeColor="text1"/>
        </w:rPr>
        <w:t xml:space="preserve">at speeds of </w:t>
      </w:r>
      <w:r w:rsidR="00556E45" w:rsidRPr="00DE264C">
        <w:rPr>
          <w:rFonts w:eastAsia="Times New Roman"/>
          <w:noProof/>
          <w:color w:val="000000" w:themeColor="text1"/>
        </w:rPr>
        <w:t>1</w:t>
      </w:r>
      <w:r w:rsidR="00797DE7">
        <w:rPr>
          <w:rFonts w:eastAsia="Times New Roman"/>
          <w:noProof/>
          <w:color w:val="000000" w:themeColor="text1"/>
        </w:rPr>
        <w:t xml:space="preserve"> </w:t>
      </w:r>
      <w:r w:rsidR="00556E45" w:rsidRPr="00DE264C">
        <w:rPr>
          <w:rFonts w:eastAsia="Times New Roman"/>
          <w:noProof/>
          <w:color w:val="000000" w:themeColor="text1"/>
        </w:rPr>
        <w:t>Gbps</w:t>
      </w:r>
      <w:r w:rsidR="0012380F">
        <w:rPr>
          <w:rFonts w:eastAsia="Times New Roman"/>
          <w:noProof/>
          <w:color w:val="000000" w:themeColor="text1"/>
        </w:rPr>
        <w:t xml:space="preserve"> </w:t>
      </w:r>
      <w:r w:rsidR="0012380F" w:rsidRPr="0012380F">
        <w:rPr>
          <w:rFonts w:eastAsia="Times New Roman"/>
          <w:noProof/>
          <w:color w:val="000000" w:themeColor="text1"/>
        </w:rPr>
        <w:t>or highe</w:t>
      </w:r>
      <w:r w:rsidR="0012380F">
        <w:rPr>
          <w:rFonts w:eastAsia="Times New Roman"/>
          <w:noProof/>
          <w:color w:val="000000" w:themeColor="text1"/>
        </w:rPr>
        <w:t xml:space="preserve">r (Gigabit </w:t>
      </w:r>
      <w:r w:rsidR="006503C5">
        <w:rPr>
          <w:rFonts w:eastAsia="Times New Roman"/>
          <w:noProof/>
          <w:color w:val="000000" w:themeColor="text1"/>
        </w:rPr>
        <w:t>connection</w:t>
      </w:r>
      <w:r w:rsidR="00556E45" w:rsidRPr="00DE264C">
        <w:rPr>
          <w:rFonts w:eastAsia="Times New Roman"/>
          <w:noProof/>
          <w:color w:val="000000" w:themeColor="text1"/>
        </w:rPr>
        <w:t xml:space="preserve">) </w:t>
      </w:r>
      <w:r w:rsidR="003E6096" w:rsidRPr="00DE264C">
        <w:rPr>
          <w:rFonts w:eastAsia="Times New Roman"/>
          <w:noProof/>
          <w:color w:val="000000" w:themeColor="text1"/>
        </w:rPr>
        <w:t>has</w:t>
      </w:r>
      <w:r w:rsidR="00556E45" w:rsidRPr="00DE264C">
        <w:rPr>
          <w:rFonts w:eastAsia="Times New Roman"/>
          <w:noProof/>
          <w:color w:val="000000" w:themeColor="text1"/>
        </w:rPr>
        <w:t xml:space="preserve"> </w:t>
      </w:r>
      <w:r w:rsidR="00D5345D" w:rsidRPr="00DE264C">
        <w:rPr>
          <w:rFonts w:eastAsia="Times New Roman"/>
          <w:noProof/>
          <w:color w:val="000000" w:themeColor="text1"/>
        </w:rPr>
        <w:t>been</w:t>
      </w:r>
      <w:r w:rsidR="00556E45" w:rsidRPr="00DE264C">
        <w:rPr>
          <w:rFonts w:eastAsia="Times New Roman"/>
          <w:noProof/>
          <w:color w:val="000000" w:themeColor="text1"/>
        </w:rPr>
        <w:t xml:space="preserve"> increasing </w:t>
      </w:r>
      <w:r w:rsidR="00BE2C0A" w:rsidRPr="00DE264C">
        <w:rPr>
          <w:rFonts w:eastAsia="Times New Roman"/>
          <w:noProof/>
          <w:color w:val="000000" w:themeColor="text1"/>
        </w:rPr>
        <w:t>(</w:t>
      </w:r>
      <w:r w:rsidR="00346933" w:rsidRPr="00DE264C">
        <w:rPr>
          <w:rFonts w:eastAsia="Times New Roman"/>
          <w:noProof/>
          <w:color w:val="000000" w:themeColor="text1"/>
        </w:rPr>
        <w:t>20% between 2023 and 20</w:t>
      </w:r>
      <w:r w:rsidR="00AC4DD6" w:rsidRPr="00DE264C">
        <w:rPr>
          <w:rFonts w:eastAsia="Times New Roman"/>
          <w:noProof/>
          <w:color w:val="000000" w:themeColor="text1"/>
        </w:rPr>
        <w:t xml:space="preserve">24) </w:t>
      </w:r>
      <w:r w:rsidR="00A93E4D" w:rsidRPr="00DE264C">
        <w:rPr>
          <w:rFonts w:eastAsia="Times New Roman"/>
          <w:noProof/>
          <w:color w:val="000000" w:themeColor="text1"/>
        </w:rPr>
        <w:t>but</w:t>
      </w:r>
      <w:r w:rsidR="00556E45" w:rsidRPr="00DE264C">
        <w:rPr>
          <w:rFonts w:eastAsia="Times New Roman"/>
          <w:noProof/>
          <w:color w:val="000000" w:themeColor="text1"/>
        </w:rPr>
        <w:t xml:space="preserve"> </w:t>
      </w:r>
      <w:r w:rsidR="6685E4D8" w:rsidRPr="00DE264C">
        <w:rPr>
          <w:rFonts w:eastAsia="Times New Roman"/>
          <w:noProof/>
          <w:color w:val="000000" w:themeColor="text1"/>
        </w:rPr>
        <w:t>represent</w:t>
      </w:r>
      <w:r w:rsidR="00F32409">
        <w:rPr>
          <w:rFonts w:eastAsia="Times New Roman"/>
          <w:noProof/>
          <w:color w:val="000000" w:themeColor="text1"/>
        </w:rPr>
        <w:t>ed</w:t>
      </w:r>
      <w:r w:rsidR="6685E4D8" w:rsidRPr="00DE264C">
        <w:rPr>
          <w:rFonts w:eastAsia="Times New Roman"/>
          <w:noProof/>
          <w:color w:val="000000" w:themeColor="text1"/>
        </w:rPr>
        <w:t xml:space="preserve"> </w:t>
      </w:r>
      <w:r w:rsidR="00556E45" w:rsidRPr="00DE264C">
        <w:rPr>
          <w:rFonts w:eastAsia="Times New Roman"/>
          <w:noProof/>
          <w:color w:val="000000" w:themeColor="text1"/>
        </w:rPr>
        <w:t>only 22% of total broadband subscriptions in 2024.</w:t>
      </w:r>
      <w:r w:rsidR="00BF7489" w:rsidRPr="00DE264C">
        <w:rPr>
          <w:rFonts w:eastAsia="Times New Roman"/>
          <w:noProof/>
          <w:color w:val="000000" w:themeColor="text1"/>
        </w:rPr>
        <w:t xml:space="preserve"> </w:t>
      </w:r>
    </w:p>
    <w:p w14:paraId="7A94B277" w14:textId="03B6B0A7" w:rsidR="006A3DDC" w:rsidRPr="00DE264C" w:rsidRDefault="00C73668" w:rsidP="006A3DDC">
      <w:pPr>
        <w:pStyle w:val="Text2"/>
        <w:spacing w:line="240" w:lineRule="auto"/>
        <w:ind w:left="0"/>
        <w:rPr>
          <w:noProof/>
        </w:rPr>
      </w:pPr>
      <w:r w:rsidRPr="00DE264C">
        <w:rPr>
          <w:noProof/>
        </w:rPr>
        <w:t>So far, there is limited take-up of Gigabit broadband with significant variations across the EU</w:t>
      </w:r>
      <w:r>
        <w:rPr>
          <w:noProof/>
        </w:rPr>
        <w:t xml:space="preserve"> as illustrated below</w:t>
      </w:r>
      <w:r w:rsidRPr="00DE264C">
        <w:rPr>
          <w:noProof/>
        </w:rPr>
        <w:t>.</w:t>
      </w:r>
      <w:r w:rsidRPr="00C73668">
        <w:rPr>
          <w:noProof/>
        </w:rPr>
        <w:t xml:space="preserve"> </w:t>
      </w:r>
      <w:r w:rsidRPr="00DE264C">
        <w:rPr>
          <w:noProof/>
        </w:rPr>
        <w:t>Average actual broadband speeds also vary and are often lower in countries with a lower take-up of FTTH.</w:t>
      </w:r>
    </w:p>
    <w:p w14:paraId="065BA508" w14:textId="441F364A" w:rsidR="00C73668" w:rsidRPr="00B65A41" w:rsidRDefault="00716CC4" w:rsidP="00044C7C">
      <w:pPr>
        <w:pStyle w:val="Caption"/>
        <w:keepNext/>
        <w:keepLines/>
        <w:rPr>
          <w:noProof/>
          <w:color w:val="auto"/>
          <w:sz w:val="20"/>
          <w:szCs w:val="20"/>
          <w:lang w:val="en-IE"/>
        </w:rPr>
      </w:pPr>
      <w:bookmarkStart w:id="30" w:name="_Toc215084138"/>
      <w:bookmarkStart w:id="31" w:name="_Toc219539761"/>
      <w:r w:rsidRPr="00044C7C">
        <w:rPr>
          <w:noProof/>
          <w:color w:val="auto"/>
        </w:rPr>
        <w:t xml:space="preserve">Figure </w:t>
      </w:r>
      <w:r w:rsidR="00F1710D" w:rsidRPr="00044C7C">
        <w:rPr>
          <w:noProof/>
          <w:color w:val="auto"/>
        </w:rPr>
        <w:fldChar w:fldCharType="begin"/>
      </w:r>
      <w:r w:rsidR="00F1710D" w:rsidRPr="00044C7C">
        <w:rPr>
          <w:noProof/>
          <w:color w:val="auto"/>
        </w:rPr>
        <w:instrText xml:space="preserve"> SEQ Figure \* ARABIC </w:instrText>
      </w:r>
      <w:r w:rsidR="00F1710D" w:rsidRPr="00044C7C">
        <w:rPr>
          <w:noProof/>
          <w:color w:val="auto"/>
        </w:rPr>
        <w:fldChar w:fldCharType="separate"/>
      </w:r>
      <w:r w:rsidR="00D9624D">
        <w:rPr>
          <w:noProof/>
          <w:color w:val="auto"/>
        </w:rPr>
        <w:t>4</w:t>
      </w:r>
      <w:r w:rsidR="00F1710D" w:rsidRPr="00044C7C">
        <w:rPr>
          <w:noProof/>
          <w:color w:val="auto"/>
        </w:rPr>
        <w:fldChar w:fldCharType="end"/>
      </w:r>
      <w:r w:rsidR="00C63769" w:rsidRPr="008D0C6B">
        <w:rPr>
          <w:noProof/>
          <w:color w:val="auto"/>
          <w:sz w:val="20"/>
          <w:szCs w:val="20"/>
        </w:rPr>
        <w:t>:</w:t>
      </w:r>
      <w:r w:rsidR="00C73668" w:rsidRPr="008D0C6B">
        <w:rPr>
          <w:noProof/>
          <w:color w:val="auto"/>
          <w:sz w:val="20"/>
          <w:szCs w:val="20"/>
        </w:rPr>
        <w:t xml:space="preserve"> </w:t>
      </w:r>
      <w:r w:rsidR="00C73668" w:rsidRPr="006736FC">
        <w:rPr>
          <w:noProof/>
          <w:color w:val="auto"/>
          <w:sz w:val="20"/>
        </w:rPr>
        <w:t>Broadband Penetration differentiated by bandwidth in EU 27 Countries, 2023</w:t>
      </w:r>
      <w:bookmarkEnd w:id="30"/>
      <w:bookmarkEnd w:id="31"/>
    </w:p>
    <w:p w14:paraId="04D6C63A" w14:textId="77777777" w:rsidR="00C73668" w:rsidRPr="00DE264C" w:rsidRDefault="00C73668" w:rsidP="00292895">
      <w:pPr>
        <w:rPr>
          <w:noProof/>
        </w:rPr>
      </w:pPr>
      <w:r w:rsidRPr="00DE264C">
        <w:rPr>
          <w:noProof/>
          <w:lang w:eastAsia="en-GB"/>
        </w:rPr>
        <w:drawing>
          <wp:inline distT="0" distB="0" distL="0" distR="0" wp14:anchorId="71264214" wp14:editId="63C1EC34">
            <wp:extent cx="5282662" cy="3288145"/>
            <wp:effectExtent l="0" t="0" r="0" b="7620"/>
            <wp:docPr id="348148110" name="Grafik 6" descr="Ein Bild, das Text, Screenshot, Reihe, parall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657780" name="Grafik 6" descr="Ein Bild, das Text, Screenshot, Reihe, parallel enthält.&#10;&#10;KI-generierte Inhalte können fehlerhaft sein."/>
                    <pic:cNvPicPr>
                      <a:picLocks noChangeAspect="1" noChangeArrowheads="1"/>
                    </pic:cNvPicPr>
                  </pic:nvPicPr>
                  <pic:blipFill rotWithShape="1">
                    <a:blip r:embed="rId22">
                      <a:extLst>
                        <a:ext uri="{28A0092B-C50C-407E-A947-70E740481C1C}">
                          <a14:useLocalDpi xmlns:a14="http://schemas.microsoft.com/office/drawing/2010/main" val="0"/>
                        </a:ext>
                      </a:extLst>
                    </a:blip>
                    <a:srcRect l="1191" t="1344" r="1382" b="2989"/>
                    <a:stretch/>
                  </pic:blipFill>
                  <pic:spPr bwMode="auto">
                    <a:xfrm>
                      <a:off x="0" y="0"/>
                      <a:ext cx="5290437" cy="3292985"/>
                    </a:xfrm>
                    <a:prstGeom prst="rect">
                      <a:avLst/>
                    </a:prstGeom>
                    <a:noFill/>
                    <a:ln>
                      <a:noFill/>
                    </a:ln>
                    <a:extLst>
                      <a:ext uri="{53640926-AAD7-44D8-BBD7-CCE9431645EC}">
                        <a14:shadowObscured xmlns:a14="http://schemas.microsoft.com/office/drawing/2010/main"/>
                      </a:ext>
                    </a:extLst>
                  </pic:spPr>
                </pic:pic>
              </a:graphicData>
            </a:graphic>
          </wp:inline>
        </w:drawing>
      </w:r>
    </w:p>
    <w:p w14:paraId="2BC25D16" w14:textId="44169DCF" w:rsidR="00C73668" w:rsidRPr="00292895" w:rsidRDefault="00C73668" w:rsidP="00292895">
      <w:pPr>
        <w:pStyle w:val="Text2"/>
        <w:ind w:left="0"/>
        <w:rPr>
          <w:noProof/>
          <w:sz w:val="20"/>
        </w:rPr>
      </w:pPr>
      <w:r w:rsidRPr="00DE264C">
        <w:rPr>
          <w:noProof/>
          <w:sz w:val="20"/>
        </w:rPr>
        <w:t xml:space="preserve">Source: </w:t>
      </w:r>
      <w:r w:rsidR="00C62EE5" w:rsidRPr="00C62EE5">
        <w:rPr>
          <w:noProof/>
          <w:sz w:val="20"/>
        </w:rPr>
        <w:t>Study on Access Regulation</w:t>
      </w:r>
      <w:r w:rsidRPr="00DE264C">
        <w:rPr>
          <w:noProof/>
          <w:sz w:val="20"/>
        </w:rPr>
        <w:t xml:space="preserve"> </w:t>
      </w:r>
    </w:p>
    <w:p w14:paraId="068A4DD4" w14:textId="4DA0DF3C" w:rsidR="00716CC4" w:rsidRDefault="00BF7489" w:rsidP="006A3DDC">
      <w:pPr>
        <w:spacing w:line="240" w:lineRule="auto"/>
        <w:rPr>
          <w:rFonts w:eastAsia="Times New Roman"/>
          <w:noProof/>
          <w:color w:val="000000" w:themeColor="text1"/>
        </w:rPr>
      </w:pPr>
      <w:r w:rsidRPr="00DE264C">
        <w:rPr>
          <w:rFonts w:eastAsia="Times New Roman"/>
          <w:noProof/>
          <w:color w:val="000000" w:themeColor="text1"/>
        </w:rPr>
        <w:t>What is also worrying is that o</w:t>
      </w:r>
      <w:r w:rsidR="00120400" w:rsidRPr="00DE264C">
        <w:rPr>
          <w:rFonts w:eastAsia="Times New Roman"/>
          <w:noProof/>
          <w:color w:val="000000" w:themeColor="text1"/>
        </w:rPr>
        <w:t xml:space="preserve">nly a small proportion of SMEs (lower than for residential consumers) take up Gigabit connections, </w:t>
      </w:r>
      <w:r w:rsidR="006D087D" w:rsidRPr="00DE264C">
        <w:rPr>
          <w:rFonts w:eastAsia="Times New Roman"/>
          <w:noProof/>
          <w:color w:val="000000" w:themeColor="text1"/>
        </w:rPr>
        <w:t>and</w:t>
      </w:r>
      <w:r w:rsidR="00120400" w:rsidRPr="00DE264C">
        <w:rPr>
          <w:rFonts w:eastAsia="Times New Roman"/>
          <w:noProof/>
          <w:color w:val="000000" w:themeColor="text1"/>
        </w:rPr>
        <w:t xml:space="preserve"> even for large enterprises, the proportion with a Gigabit connection is less than 40%.</w:t>
      </w:r>
    </w:p>
    <w:p w14:paraId="02D86CED" w14:textId="7C729696" w:rsidR="00843859" w:rsidRPr="00B65A41" w:rsidRDefault="00716CC4" w:rsidP="00044C7C">
      <w:pPr>
        <w:pStyle w:val="Caption"/>
        <w:keepNext/>
        <w:keepLines/>
        <w:rPr>
          <w:noProof/>
          <w:color w:val="auto"/>
          <w:sz w:val="20"/>
          <w:szCs w:val="20"/>
        </w:rPr>
      </w:pPr>
      <w:bookmarkStart w:id="32" w:name="_Toc209612981"/>
      <w:bookmarkStart w:id="33" w:name="_Toc215084139"/>
      <w:bookmarkStart w:id="34" w:name="_Toc219539762"/>
      <w:r w:rsidRPr="00044C7C">
        <w:rPr>
          <w:noProof/>
          <w:color w:val="auto"/>
        </w:rPr>
        <w:t xml:space="preserve">Figure </w:t>
      </w:r>
      <w:r w:rsidR="00F1710D" w:rsidRPr="00044C7C">
        <w:rPr>
          <w:noProof/>
          <w:color w:val="auto"/>
        </w:rPr>
        <w:fldChar w:fldCharType="begin"/>
      </w:r>
      <w:r w:rsidR="00F1710D" w:rsidRPr="00044C7C">
        <w:rPr>
          <w:noProof/>
          <w:color w:val="auto"/>
        </w:rPr>
        <w:instrText xml:space="preserve"> SEQ Figure \* ARABIC </w:instrText>
      </w:r>
      <w:r w:rsidR="00F1710D" w:rsidRPr="00044C7C">
        <w:rPr>
          <w:noProof/>
          <w:color w:val="auto"/>
        </w:rPr>
        <w:fldChar w:fldCharType="separate"/>
      </w:r>
      <w:r w:rsidR="00D9624D">
        <w:rPr>
          <w:noProof/>
          <w:color w:val="auto"/>
        </w:rPr>
        <w:t>5</w:t>
      </w:r>
      <w:r w:rsidR="00F1710D" w:rsidRPr="00044C7C">
        <w:rPr>
          <w:noProof/>
          <w:color w:val="auto"/>
        </w:rPr>
        <w:fldChar w:fldCharType="end"/>
      </w:r>
      <w:r w:rsidR="00C63769" w:rsidRPr="008D0C6B">
        <w:rPr>
          <w:noProof/>
          <w:color w:val="auto"/>
          <w:sz w:val="20"/>
          <w:szCs w:val="20"/>
        </w:rPr>
        <w:t>:</w:t>
      </w:r>
      <w:r w:rsidR="00843859" w:rsidRPr="008D0C6B">
        <w:rPr>
          <w:noProof/>
          <w:color w:val="auto"/>
          <w:sz w:val="20"/>
          <w:szCs w:val="20"/>
        </w:rPr>
        <w:t xml:space="preserve"> </w:t>
      </w:r>
      <w:r w:rsidR="00843859" w:rsidRPr="00B65A41">
        <w:rPr>
          <w:noProof/>
          <w:color w:val="auto"/>
          <w:sz w:val="20"/>
          <w:szCs w:val="20"/>
        </w:rPr>
        <w:t>Enterprises with fixed broadband connection, by speed and size class in the EU (2024)</w:t>
      </w:r>
      <w:bookmarkEnd w:id="32"/>
      <w:bookmarkEnd w:id="33"/>
      <w:bookmarkEnd w:id="34"/>
    </w:p>
    <w:p w14:paraId="43D76856" w14:textId="77777777" w:rsidR="00120400" w:rsidRPr="00DE264C" w:rsidRDefault="00120400" w:rsidP="00120400">
      <w:pPr>
        <w:rPr>
          <w:rFonts w:eastAsia="Times New Roman"/>
          <w:noProof/>
          <w:color w:val="000000" w:themeColor="text1"/>
        </w:rPr>
      </w:pPr>
      <w:r w:rsidRPr="00DE264C">
        <w:rPr>
          <w:noProof/>
          <w:lang w:eastAsia="en-GB"/>
        </w:rPr>
        <w:drawing>
          <wp:inline distT="0" distB="0" distL="0" distR="0" wp14:anchorId="12CC99CC" wp14:editId="4E34E261">
            <wp:extent cx="5439615" cy="2910061"/>
            <wp:effectExtent l="0" t="0" r="0" b="5080"/>
            <wp:docPr id="805045169" name="Grafik 2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508966" name="Grafik 21" descr="A screenshot of a video game&#10;&#10;AI-generated content may be incorrect."/>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970" b="6512"/>
                    <a:stretch/>
                  </pic:blipFill>
                  <pic:spPr bwMode="auto">
                    <a:xfrm>
                      <a:off x="0" y="0"/>
                      <a:ext cx="5440045" cy="2910291"/>
                    </a:xfrm>
                    <a:prstGeom prst="rect">
                      <a:avLst/>
                    </a:prstGeom>
                    <a:noFill/>
                    <a:ln>
                      <a:noFill/>
                    </a:ln>
                    <a:extLst>
                      <a:ext uri="{53640926-AAD7-44D8-BBD7-CCE9431645EC}">
                        <a14:shadowObscured xmlns:a14="http://schemas.microsoft.com/office/drawing/2010/main"/>
                      </a:ext>
                    </a:extLst>
                  </pic:spPr>
                </pic:pic>
              </a:graphicData>
            </a:graphic>
          </wp:inline>
        </w:drawing>
      </w:r>
    </w:p>
    <w:p w14:paraId="39CA737A" w14:textId="77777777" w:rsidR="00120400" w:rsidRPr="00DE264C" w:rsidRDefault="00120400" w:rsidP="006A3DDC">
      <w:pPr>
        <w:spacing w:line="240" w:lineRule="auto"/>
        <w:rPr>
          <w:rFonts w:eastAsia="Times New Roman"/>
          <w:noProof/>
          <w:color w:val="000000" w:themeColor="text1"/>
        </w:rPr>
      </w:pPr>
      <w:r w:rsidRPr="00DE264C">
        <w:rPr>
          <w:rFonts w:eastAsia="Times New Roman"/>
          <w:noProof/>
          <w:color w:val="000000" w:themeColor="text1"/>
        </w:rPr>
        <w:t>Data further shows that there are wide variations in the use of Gigabit connectivity amongst businesses, with take-up below 10% in a number of countries.</w:t>
      </w:r>
    </w:p>
    <w:p w14:paraId="26BCDDB2" w14:textId="5307F34C" w:rsidR="00120400" w:rsidRPr="00B65A41" w:rsidRDefault="00C87759" w:rsidP="00B65A41">
      <w:pPr>
        <w:pStyle w:val="Caption"/>
        <w:keepNext/>
        <w:keepLines/>
        <w:spacing w:after="120"/>
        <w:rPr>
          <w:noProof/>
          <w:color w:val="auto"/>
          <w:sz w:val="20"/>
          <w:szCs w:val="20"/>
        </w:rPr>
      </w:pPr>
      <w:bookmarkStart w:id="35" w:name="_Toc215084140"/>
      <w:bookmarkStart w:id="36" w:name="_Toc219539763"/>
      <w:r w:rsidRPr="00027CDB">
        <w:rPr>
          <w:noProof/>
        </w:rPr>
        <w:t xml:space="preserve">Figure </w:t>
      </w:r>
      <w:r w:rsidR="00F1710D" w:rsidRPr="00027CDB">
        <w:rPr>
          <w:noProof/>
        </w:rPr>
        <w:fldChar w:fldCharType="begin"/>
      </w:r>
      <w:r w:rsidR="00F1710D" w:rsidRPr="00027CDB">
        <w:rPr>
          <w:noProof/>
        </w:rPr>
        <w:instrText xml:space="preserve"> SEQ Figure \* ARABIC </w:instrText>
      </w:r>
      <w:r w:rsidR="00F1710D" w:rsidRPr="00027CDB">
        <w:rPr>
          <w:noProof/>
        </w:rPr>
        <w:fldChar w:fldCharType="separate"/>
      </w:r>
      <w:r w:rsidR="00D9624D">
        <w:rPr>
          <w:noProof/>
        </w:rPr>
        <w:t>6</w:t>
      </w:r>
      <w:r w:rsidR="00F1710D" w:rsidRPr="00027CDB">
        <w:rPr>
          <w:noProof/>
        </w:rPr>
        <w:fldChar w:fldCharType="end"/>
      </w:r>
      <w:r w:rsidR="00C63769" w:rsidRPr="00027CDB">
        <w:rPr>
          <w:noProof/>
        </w:rPr>
        <w:t>:</w:t>
      </w:r>
      <w:r w:rsidR="00F80DC5" w:rsidRPr="00B65A41">
        <w:rPr>
          <w:noProof/>
          <w:color w:val="auto"/>
          <w:sz w:val="20"/>
          <w:szCs w:val="20"/>
        </w:rPr>
        <w:t xml:space="preserve"> </w:t>
      </w:r>
      <w:r w:rsidR="00120400" w:rsidRPr="00B65A41">
        <w:rPr>
          <w:noProof/>
          <w:color w:val="auto"/>
          <w:sz w:val="20"/>
          <w:szCs w:val="20"/>
        </w:rPr>
        <w:t xml:space="preserve">Share of businesses with </w:t>
      </w:r>
      <w:r w:rsidR="00E05A4A" w:rsidRPr="00B65A41">
        <w:rPr>
          <w:noProof/>
          <w:color w:val="auto"/>
          <w:sz w:val="20"/>
          <w:szCs w:val="20"/>
        </w:rPr>
        <w:t>Gigabit connection (</w:t>
      </w:r>
      <w:r w:rsidR="00120400" w:rsidRPr="00B65A41">
        <w:rPr>
          <w:noProof/>
          <w:color w:val="auto"/>
          <w:sz w:val="20"/>
          <w:szCs w:val="20"/>
        </w:rPr>
        <w:t xml:space="preserve">download speed </w:t>
      </w:r>
      <w:r w:rsidR="00085B95" w:rsidRPr="00B65A41">
        <w:rPr>
          <w:noProof/>
          <w:color w:val="auto"/>
          <w:sz w:val="20"/>
          <w:szCs w:val="20"/>
        </w:rPr>
        <w:t xml:space="preserve">of </w:t>
      </w:r>
      <w:r w:rsidR="00120400" w:rsidRPr="00B65A41">
        <w:rPr>
          <w:noProof/>
          <w:color w:val="auto"/>
          <w:sz w:val="20"/>
          <w:szCs w:val="20"/>
        </w:rPr>
        <w:t>at least 1 Gbit/s</w:t>
      </w:r>
      <w:r w:rsidR="006503C5" w:rsidRPr="00B65A41">
        <w:rPr>
          <w:noProof/>
          <w:color w:val="auto"/>
          <w:sz w:val="20"/>
          <w:szCs w:val="20"/>
        </w:rPr>
        <w:t>,</w:t>
      </w:r>
      <w:r w:rsidR="00120400" w:rsidRPr="00B65A41">
        <w:rPr>
          <w:noProof/>
          <w:color w:val="auto"/>
          <w:sz w:val="20"/>
          <w:szCs w:val="20"/>
        </w:rPr>
        <w:t xml:space="preserve"> 2024)</w:t>
      </w:r>
      <w:bookmarkEnd w:id="35"/>
      <w:bookmarkEnd w:id="36"/>
    </w:p>
    <w:p w14:paraId="3691CF5B" w14:textId="77777777" w:rsidR="00120400" w:rsidRPr="00DE264C" w:rsidRDefault="00120400" w:rsidP="00120400">
      <w:pPr>
        <w:rPr>
          <w:rFonts w:eastAsia="Times New Roman"/>
          <w:noProof/>
          <w:color w:val="000000" w:themeColor="text1"/>
        </w:rPr>
      </w:pPr>
      <w:r>
        <w:rPr>
          <w:noProof/>
          <w:lang w:eastAsia="en-GB"/>
        </w:rPr>
        <w:drawing>
          <wp:inline distT="0" distB="0" distL="0" distR="0" wp14:anchorId="5DDD70B6" wp14:editId="50CAFA9D">
            <wp:extent cx="3262236" cy="2114093"/>
            <wp:effectExtent l="0" t="0" r="0" b="0"/>
            <wp:docPr id="501383842" name="Grafik 10" descr="A graph with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521862" name="Grafik 10" descr="A graph with numbers and letters&#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302134" cy="2139949"/>
                    </a:xfrm>
                    <a:prstGeom prst="rect">
                      <a:avLst/>
                    </a:prstGeom>
                    <a:noFill/>
                  </pic:spPr>
                </pic:pic>
              </a:graphicData>
            </a:graphic>
          </wp:inline>
        </w:drawing>
      </w:r>
    </w:p>
    <w:p w14:paraId="0451BF91" w14:textId="77777777" w:rsidR="00CE342B" w:rsidRPr="00DE264C" w:rsidRDefault="00CE342B" w:rsidP="006A3DDC">
      <w:pPr>
        <w:spacing w:line="240" w:lineRule="auto"/>
        <w:rPr>
          <w:rFonts w:eastAsia="Times New Roman"/>
          <w:noProof/>
          <w:color w:val="000000" w:themeColor="text1"/>
        </w:rPr>
      </w:pPr>
      <w:r>
        <w:rPr>
          <w:rFonts w:eastAsia="Times New Roman"/>
          <w:noProof/>
          <w:color w:val="000000" w:themeColor="text1"/>
        </w:rPr>
        <w:t>Investments/costs</w:t>
      </w:r>
    </w:p>
    <w:p w14:paraId="4F2ED4F9" w14:textId="666FA6E3" w:rsidR="00CE342B" w:rsidRDefault="00CE342B" w:rsidP="006A3DDC">
      <w:pPr>
        <w:spacing w:line="240" w:lineRule="auto"/>
        <w:rPr>
          <w:rFonts w:eastAsia="Times New Roman"/>
          <w:noProof/>
          <w:color w:val="000000" w:themeColor="text1"/>
        </w:rPr>
      </w:pPr>
      <w:r w:rsidRPr="002D4A79">
        <w:rPr>
          <w:rFonts w:eastAsia="Times New Roman"/>
          <w:noProof/>
          <w:color w:val="000000" w:themeColor="text1"/>
        </w:rPr>
        <w:t>To achieve (close to) full fibre coverage will ultimately require investments. According to a study by WIK-Consult</w:t>
      </w:r>
      <w:r>
        <w:rPr>
          <w:rStyle w:val="FootnoteReference"/>
          <w:rFonts w:eastAsia="Times New Roman"/>
          <w:noProof/>
          <w:color w:val="000000" w:themeColor="text1"/>
        </w:rPr>
        <w:footnoteReference w:id="20"/>
      </w:r>
      <w:r w:rsidRPr="002D4A79">
        <w:rPr>
          <w:rFonts w:eastAsia="Times New Roman"/>
          <w:noProof/>
          <w:color w:val="000000" w:themeColor="text1"/>
        </w:rPr>
        <w:t xml:space="preserve"> (based on data from 2021), the capital expenditure (Capex) required to achieve 100% Fibr</w:t>
      </w:r>
      <w:r w:rsidR="00DD03CC">
        <w:rPr>
          <w:rFonts w:eastAsia="Times New Roman"/>
          <w:noProof/>
          <w:color w:val="000000" w:themeColor="text1"/>
        </w:rPr>
        <w:t>e</w:t>
      </w:r>
      <w:r w:rsidRPr="002D4A79">
        <w:rPr>
          <w:rFonts w:eastAsia="Times New Roman"/>
          <w:noProof/>
          <w:color w:val="000000" w:themeColor="text1"/>
        </w:rPr>
        <w:t>-to-the-Premise (FTTP) coverage across the EU is approximately EUR</w:t>
      </w:r>
      <w:r w:rsidR="00B81682">
        <w:rPr>
          <w:rFonts w:eastAsia="Times New Roman"/>
          <w:noProof/>
          <w:color w:val="000000" w:themeColor="text1"/>
        </w:rPr>
        <w:t> </w:t>
      </w:r>
      <w:r w:rsidRPr="002D4A79">
        <w:rPr>
          <w:rFonts w:eastAsia="Times New Roman"/>
          <w:noProof/>
          <w:color w:val="000000" w:themeColor="text1"/>
        </w:rPr>
        <w:t>114 billion. Of that, EUR</w:t>
      </w:r>
      <w:r w:rsidR="00B81682">
        <w:rPr>
          <w:rFonts w:eastAsia="Times New Roman"/>
          <w:noProof/>
          <w:color w:val="000000" w:themeColor="text1"/>
        </w:rPr>
        <w:t> </w:t>
      </w:r>
      <w:r w:rsidRPr="002D4A79">
        <w:rPr>
          <w:rFonts w:eastAsia="Times New Roman"/>
          <w:noProof/>
          <w:color w:val="000000" w:themeColor="text1"/>
        </w:rPr>
        <w:t>74 billion was estimated to be economically viable without subsidies in a situation of no network duplication. The remaining ‘investment gap’ (i.e. total investments needed minus available private funding) is EUR</w:t>
      </w:r>
      <w:r w:rsidR="00B81682">
        <w:rPr>
          <w:rFonts w:eastAsia="Times New Roman"/>
          <w:noProof/>
          <w:color w:val="000000" w:themeColor="text1"/>
        </w:rPr>
        <w:t> </w:t>
      </w:r>
      <w:r w:rsidRPr="002D4A79">
        <w:rPr>
          <w:rFonts w:eastAsia="Times New Roman"/>
          <w:noProof/>
          <w:color w:val="000000" w:themeColor="text1"/>
        </w:rPr>
        <w:t>40 billion. The total investment figure would be reduced to around EUR</w:t>
      </w:r>
      <w:r w:rsidR="00B81682">
        <w:rPr>
          <w:rFonts w:eastAsia="Times New Roman"/>
          <w:noProof/>
          <w:color w:val="000000" w:themeColor="text1"/>
        </w:rPr>
        <w:t> </w:t>
      </w:r>
      <w:r w:rsidRPr="002D4A79">
        <w:rPr>
          <w:rFonts w:eastAsia="Times New Roman"/>
          <w:noProof/>
          <w:color w:val="000000" w:themeColor="text1"/>
        </w:rPr>
        <w:t>108 billion, of which around EUR</w:t>
      </w:r>
      <w:r w:rsidR="00B81682">
        <w:rPr>
          <w:rFonts w:eastAsia="Times New Roman"/>
          <w:noProof/>
          <w:color w:val="000000" w:themeColor="text1"/>
        </w:rPr>
        <w:t> </w:t>
      </w:r>
      <w:r w:rsidRPr="002D4A79">
        <w:rPr>
          <w:rFonts w:eastAsia="Times New Roman"/>
          <w:noProof/>
          <w:color w:val="000000" w:themeColor="text1"/>
        </w:rPr>
        <w:t>29 billion would be needed in subsidies, if 5G FWA is used for the most remote households</w:t>
      </w:r>
      <w:r>
        <w:rPr>
          <w:rFonts w:eastAsia="Times New Roman"/>
          <w:noProof/>
          <w:color w:val="000000" w:themeColor="text1"/>
        </w:rPr>
        <w:t>.</w:t>
      </w:r>
    </w:p>
    <w:p w14:paraId="52AD303E" w14:textId="4C10BA6C" w:rsidR="00CE342B" w:rsidRPr="00A65CCB" w:rsidRDefault="00CE342B" w:rsidP="006A3DDC">
      <w:pPr>
        <w:spacing w:line="240" w:lineRule="auto"/>
        <w:rPr>
          <w:noProof/>
        </w:rPr>
      </w:pPr>
      <w:r w:rsidRPr="00535B61">
        <w:rPr>
          <w:noProof/>
        </w:rPr>
        <w:t xml:space="preserve">Based on the </w:t>
      </w:r>
      <w:r>
        <w:rPr>
          <w:noProof/>
        </w:rPr>
        <w:t xml:space="preserve">most recent </w:t>
      </w:r>
      <w:r w:rsidRPr="00535B61">
        <w:rPr>
          <w:noProof/>
        </w:rPr>
        <w:t xml:space="preserve">Digital Decade data, FTTP coverage has increased from 50% </w:t>
      </w:r>
      <w:r>
        <w:rPr>
          <w:noProof/>
        </w:rPr>
        <w:t xml:space="preserve">(in 2021) </w:t>
      </w:r>
      <w:r w:rsidRPr="00535B61">
        <w:rPr>
          <w:noProof/>
        </w:rPr>
        <w:t>to 69% (in 2024). The remaining investment needed to achieve full FTT</w:t>
      </w:r>
      <w:r>
        <w:rPr>
          <w:noProof/>
        </w:rPr>
        <w:t>P</w:t>
      </w:r>
      <w:r w:rsidRPr="00535B61">
        <w:rPr>
          <w:noProof/>
        </w:rPr>
        <w:t xml:space="preserve"> coverage would therefore be significantly less than estimated </w:t>
      </w:r>
      <w:r>
        <w:rPr>
          <w:noProof/>
        </w:rPr>
        <w:t>by WIK</w:t>
      </w:r>
      <w:r w:rsidRPr="00535B61">
        <w:rPr>
          <w:noProof/>
        </w:rPr>
        <w:t xml:space="preserve">. However, the shortfall cannot be calculated with precision. This is because the Capex required to deploy </w:t>
      </w:r>
      <w:r>
        <w:rPr>
          <w:noProof/>
        </w:rPr>
        <w:t xml:space="preserve">FTTP or </w:t>
      </w:r>
      <w:r w:rsidRPr="00535B61">
        <w:rPr>
          <w:noProof/>
        </w:rPr>
        <w:t>FTTH varies widely depending on a variety of factors</w:t>
      </w:r>
      <w:r>
        <w:rPr>
          <w:noProof/>
        </w:rPr>
        <w:t xml:space="preserve">. </w:t>
      </w:r>
      <w:r w:rsidRPr="000534FF">
        <w:rPr>
          <w:noProof/>
        </w:rPr>
        <w:t>As an example of complexity of estimating Capex requirements, in Germany, fibre deployment costs range from about EUR</w:t>
      </w:r>
      <w:r w:rsidR="00B81682">
        <w:rPr>
          <w:noProof/>
        </w:rPr>
        <w:t> </w:t>
      </w:r>
      <w:r w:rsidRPr="000534FF">
        <w:rPr>
          <w:noProof/>
        </w:rPr>
        <w:t>1</w:t>
      </w:r>
      <w:r>
        <w:rPr>
          <w:noProof/>
        </w:rPr>
        <w:t> </w:t>
      </w:r>
      <w:r w:rsidRPr="000534FF">
        <w:rPr>
          <w:noProof/>
        </w:rPr>
        <w:t>310 per line in the densest areas to EUR 4</w:t>
      </w:r>
      <w:r>
        <w:rPr>
          <w:noProof/>
        </w:rPr>
        <w:t> </w:t>
      </w:r>
      <w:r w:rsidRPr="000534FF">
        <w:rPr>
          <w:noProof/>
        </w:rPr>
        <w:t>350 in the least dense, where subsidies are often needed</w:t>
      </w:r>
      <w:r>
        <w:rPr>
          <w:rStyle w:val="FootnoteReference"/>
          <w:noProof/>
        </w:rPr>
        <w:footnoteReference w:id="21"/>
      </w:r>
      <w:r w:rsidR="006B31FC">
        <w:rPr>
          <w:noProof/>
        </w:rPr>
        <w:t>.</w:t>
      </w:r>
      <w:r w:rsidRPr="000534FF">
        <w:rPr>
          <w:noProof/>
        </w:rPr>
        <w:t xml:space="preserve"> </w:t>
      </w:r>
      <w:r>
        <w:rPr>
          <w:noProof/>
        </w:rPr>
        <w:t>A</w:t>
      </w:r>
      <w:r w:rsidRPr="004A4894">
        <w:rPr>
          <w:noProof/>
        </w:rPr>
        <w:t xml:space="preserve"> study</w:t>
      </w:r>
      <w:r>
        <w:rPr>
          <w:rStyle w:val="FootnoteReference"/>
          <w:noProof/>
        </w:rPr>
        <w:footnoteReference w:id="22"/>
      </w:r>
      <w:r w:rsidRPr="004A4894">
        <w:rPr>
          <w:noProof/>
        </w:rPr>
        <w:t xml:space="preserve"> on the investment gap for the deployment of VHCN in Czechia estimates that average cost for one FTTH connection (in 2030) </w:t>
      </w:r>
      <w:r w:rsidR="6373EB19">
        <w:rPr>
          <w:noProof/>
        </w:rPr>
        <w:t xml:space="preserve">stand </w:t>
      </w:r>
      <w:r w:rsidRPr="004A4894">
        <w:rPr>
          <w:noProof/>
        </w:rPr>
        <w:t>at around EUR</w:t>
      </w:r>
      <w:r w:rsidR="00D71662">
        <w:rPr>
          <w:noProof/>
        </w:rPr>
        <w:t> </w:t>
      </w:r>
      <w:r w:rsidRPr="004A4894">
        <w:rPr>
          <w:noProof/>
        </w:rPr>
        <w:t>945 in case of 90% coverage and around EUR</w:t>
      </w:r>
      <w:r w:rsidR="00F623D1">
        <w:rPr>
          <w:noProof/>
        </w:rPr>
        <w:t> </w:t>
      </w:r>
      <w:r w:rsidRPr="004A4894">
        <w:rPr>
          <w:noProof/>
        </w:rPr>
        <w:t>1 308 in case of 100% coverage.</w:t>
      </w:r>
      <w:r>
        <w:rPr>
          <w:noProof/>
        </w:rPr>
        <w:t xml:space="preserve"> This shows also the difficulty of covering the remaining 10% due to significant increase in costs.</w:t>
      </w:r>
    </w:p>
    <w:p w14:paraId="378C40F2" w14:textId="45E0141E" w:rsidR="00D57A35" w:rsidRDefault="00FD0684" w:rsidP="006A3DDC">
      <w:pPr>
        <w:spacing w:line="240" w:lineRule="auto"/>
        <w:rPr>
          <w:noProof/>
        </w:rPr>
      </w:pPr>
      <w:r w:rsidRPr="00FD0684">
        <w:rPr>
          <w:noProof/>
        </w:rPr>
        <w:t xml:space="preserve">The table below summarises the main findings of the evaluation on </w:t>
      </w:r>
      <w:r>
        <w:rPr>
          <w:noProof/>
        </w:rPr>
        <w:t>fixed</w:t>
      </w:r>
      <w:r w:rsidRPr="00FD0684">
        <w:rPr>
          <w:noProof/>
        </w:rPr>
        <w:t xml:space="preserve"> </w:t>
      </w:r>
      <w:r>
        <w:rPr>
          <w:noProof/>
        </w:rPr>
        <w:t>networks</w:t>
      </w:r>
      <w:r w:rsidRPr="00FD0684">
        <w:rPr>
          <w:noProof/>
        </w:rPr>
        <w:t>, with references to the relevant Sections of Annex 11.</w:t>
      </w:r>
    </w:p>
    <w:p w14:paraId="51425295" w14:textId="677F302A" w:rsidR="00D732B2" w:rsidRPr="003048DC" w:rsidRDefault="00D732B2" w:rsidP="0060083F">
      <w:pPr>
        <w:keepNext/>
        <w:keepLines/>
        <w:rPr>
          <w:i/>
          <w:noProof/>
          <w:u w:val="single"/>
        </w:rPr>
      </w:pPr>
      <w:r w:rsidRPr="003048DC">
        <w:rPr>
          <w:i/>
          <w:noProof/>
          <w:u w:val="single"/>
        </w:rPr>
        <w:t xml:space="preserve">Table </w:t>
      </w:r>
      <w:r w:rsidR="005B122A" w:rsidRPr="003048DC">
        <w:rPr>
          <w:i/>
          <w:noProof/>
          <w:u w:val="single"/>
        </w:rPr>
        <w:t>1</w:t>
      </w:r>
      <w:r w:rsidRPr="003048DC">
        <w:rPr>
          <w:i/>
          <w:noProof/>
          <w:u w:val="single"/>
        </w:rPr>
        <w:t>: Evaluation report findings on fixed networks</w:t>
      </w:r>
    </w:p>
    <w:tbl>
      <w:tblPr>
        <w:tblStyle w:val="TableGrid"/>
        <w:tblW w:w="96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265"/>
      </w:tblGrid>
      <w:tr w:rsidR="00D732B2" w:rsidRPr="00D732B2" w14:paraId="571C7D08" w14:textId="77777777" w:rsidTr="009F641D">
        <w:trPr>
          <w:trHeight w:val="338"/>
          <w:tblHeader/>
        </w:trPr>
        <w:tc>
          <w:tcPr>
            <w:tcW w:w="6345" w:type="dxa"/>
          </w:tcPr>
          <w:p w14:paraId="786702AE" w14:textId="6CD11CC3" w:rsidR="00D732B2" w:rsidRPr="00292895" w:rsidRDefault="009F641D" w:rsidP="009F641D">
            <w:pPr>
              <w:spacing w:after="120"/>
              <w:jc w:val="center"/>
              <w:rPr>
                <w:noProof/>
                <w:sz w:val="20"/>
                <w:szCs w:val="20"/>
              </w:rPr>
            </w:pPr>
            <w:r w:rsidRPr="00292895">
              <w:rPr>
                <w:noProof/>
                <w:sz w:val="20"/>
                <w:szCs w:val="20"/>
              </w:rPr>
              <w:t>EVALUATION REPORT FINDINGS:</w:t>
            </w:r>
          </w:p>
        </w:tc>
        <w:tc>
          <w:tcPr>
            <w:tcW w:w="3265" w:type="dxa"/>
          </w:tcPr>
          <w:p w14:paraId="22DEC446" w14:textId="730D9FB8" w:rsidR="00D732B2" w:rsidRPr="00292895" w:rsidRDefault="00D732B2" w:rsidP="009F641D">
            <w:pPr>
              <w:spacing w:after="120"/>
              <w:jc w:val="center"/>
              <w:rPr>
                <w:noProof/>
                <w:sz w:val="20"/>
                <w:szCs w:val="20"/>
              </w:rPr>
            </w:pPr>
            <w:r w:rsidRPr="00292895">
              <w:rPr>
                <w:noProof/>
                <w:sz w:val="20"/>
                <w:szCs w:val="20"/>
              </w:rPr>
              <w:t>SECTIONS IN ANNEX</w:t>
            </w:r>
            <w:r w:rsidR="00DB7BEB">
              <w:rPr>
                <w:noProof/>
                <w:sz w:val="20"/>
                <w:szCs w:val="20"/>
              </w:rPr>
              <w:t xml:space="preserve"> </w:t>
            </w:r>
            <w:r w:rsidRPr="00292895">
              <w:rPr>
                <w:noProof/>
                <w:sz w:val="20"/>
                <w:szCs w:val="20"/>
              </w:rPr>
              <w:t>11</w:t>
            </w:r>
          </w:p>
        </w:tc>
      </w:tr>
      <w:tr w:rsidR="00D732B2" w:rsidRPr="00D732B2" w14:paraId="5F8364D7" w14:textId="77777777">
        <w:trPr>
          <w:trHeight w:val="612"/>
        </w:trPr>
        <w:tc>
          <w:tcPr>
            <w:tcW w:w="6345" w:type="dxa"/>
          </w:tcPr>
          <w:p w14:paraId="7AF5804F" w14:textId="77777777" w:rsidR="00D732B2" w:rsidRPr="00292895" w:rsidRDefault="00D732B2" w:rsidP="009F641D">
            <w:pPr>
              <w:spacing w:after="120"/>
              <w:rPr>
                <w:noProof/>
                <w:sz w:val="20"/>
                <w:szCs w:val="20"/>
              </w:rPr>
            </w:pPr>
            <w:r w:rsidRPr="00292895">
              <w:rPr>
                <w:noProof/>
                <w:sz w:val="20"/>
                <w:szCs w:val="20"/>
              </w:rPr>
              <w:t xml:space="preserve">Limitations of the current copper switch-off regulation </w:t>
            </w:r>
          </w:p>
          <w:p w14:paraId="37483FD3" w14:textId="77777777" w:rsidR="00D732B2" w:rsidRPr="00292895" w:rsidRDefault="00D732B2" w:rsidP="009F641D">
            <w:pPr>
              <w:numPr>
                <w:ilvl w:val="0"/>
                <w:numId w:val="5"/>
              </w:numPr>
              <w:spacing w:after="120"/>
              <w:rPr>
                <w:noProof/>
                <w:sz w:val="20"/>
                <w:szCs w:val="20"/>
              </w:rPr>
            </w:pPr>
            <w:r w:rsidRPr="00292895">
              <w:rPr>
                <w:noProof/>
                <w:sz w:val="20"/>
                <w:szCs w:val="20"/>
              </w:rPr>
              <w:t>The process covers only SMP operators.</w:t>
            </w:r>
          </w:p>
          <w:p w14:paraId="526DCCCA" w14:textId="06EF9410" w:rsidR="00D732B2" w:rsidRPr="009F641D" w:rsidRDefault="00D732B2" w:rsidP="009F641D">
            <w:pPr>
              <w:numPr>
                <w:ilvl w:val="0"/>
                <w:numId w:val="5"/>
              </w:numPr>
              <w:spacing w:after="120"/>
              <w:rPr>
                <w:noProof/>
                <w:sz w:val="20"/>
                <w:szCs w:val="20"/>
              </w:rPr>
            </w:pPr>
            <w:r w:rsidRPr="00292895">
              <w:rPr>
                <w:noProof/>
                <w:sz w:val="20"/>
                <w:szCs w:val="20"/>
              </w:rPr>
              <w:t xml:space="preserve">The process as designed in EECC was not aimed and did not contribute in any fashion to accelerate the </w:t>
            </w:r>
            <w:r w:rsidR="00855236">
              <w:rPr>
                <w:noProof/>
                <w:sz w:val="20"/>
                <w:szCs w:val="20"/>
              </w:rPr>
              <w:t xml:space="preserve">transition </w:t>
            </w:r>
            <w:r w:rsidRPr="00292895">
              <w:rPr>
                <w:noProof/>
                <w:sz w:val="20"/>
                <w:szCs w:val="20"/>
              </w:rPr>
              <w:t>from copper to fibre, as it only gave the means to regulators to govern the process for the switch off.</w:t>
            </w:r>
          </w:p>
        </w:tc>
        <w:tc>
          <w:tcPr>
            <w:tcW w:w="3265" w:type="dxa"/>
          </w:tcPr>
          <w:p w14:paraId="5956518D" w14:textId="77777777" w:rsidR="00D732B2" w:rsidRPr="00292895" w:rsidRDefault="00D732B2" w:rsidP="009F641D">
            <w:pPr>
              <w:spacing w:after="120"/>
              <w:rPr>
                <w:noProof/>
                <w:sz w:val="20"/>
                <w:szCs w:val="20"/>
              </w:rPr>
            </w:pPr>
            <w:r w:rsidRPr="00292895">
              <w:rPr>
                <w:noProof/>
                <w:sz w:val="20"/>
                <w:szCs w:val="20"/>
              </w:rPr>
              <w:t>See Annex 11 – Section 4.3.1 Overview and evaluation of access provisions - Effectiveness</w:t>
            </w:r>
          </w:p>
        </w:tc>
      </w:tr>
      <w:tr w:rsidR="00D732B2" w:rsidRPr="00D732B2" w14:paraId="6C21CED6" w14:textId="77777777">
        <w:trPr>
          <w:trHeight w:val="612"/>
        </w:trPr>
        <w:tc>
          <w:tcPr>
            <w:tcW w:w="6345" w:type="dxa"/>
          </w:tcPr>
          <w:p w14:paraId="4EC0650B" w14:textId="77777777" w:rsidR="00D732B2" w:rsidRPr="00292895" w:rsidRDefault="00D732B2" w:rsidP="009F641D">
            <w:pPr>
              <w:spacing w:after="120"/>
              <w:rPr>
                <w:noProof/>
                <w:sz w:val="20"/>
                <w:szCs w:val="20"/>
              </w:rPr>
            </w:pPr>
            <w:r w:rsidRPr="00292895">
              <w:rPr>
                <w:noProof/>
                <w:sz w:val="20"/>
                <w:szCs w:val="20"/>
              </w:rPr>
              <w:t>Significant differences in availability and take-up of fibre in different Member States</w:t>
            </w:r>
          </w:p>
          <w:p w14:paraId="45F14823" w14:textId="77777777" w:rsidR="00D732B2" w:rsidRPr="00292895" w:rsidRDefault="00D732B2" w:rsidP="009F641D">
            <w:pPr>
              <w:numPr>
                <w:ilvl w:val="0"/>
                <w:numId w:val="5"/>
              </w:numPr>
              <w:spacing w:after="120"/>
              <w:rPr>
                <w:noProof/>
                <w:sz w:val="20"/>
                <w:szCs w:val="20"/>
              </w:rPr>
            </w:pPr>
            <w:r w:rsidRPr="00292895">
              <w:rPr>
                <w:noProof/>
                <w:sz w:val="20"/>
                <w:szCs w:val="20"/>
              </w:rPr>
              <w:t>Whereas 11 MS exceeded 80% of coverage, 8 MS have a fibre coverage between 70 and 80% and another 4 have reached more than 50% of households. 5 MS have a fibre coverage below 50%</w:t>
            </w:r>
          </w:p>
          <w:p w14:paraId="54694B31" w14:textId="473CA8CD" w:rsidR="00D732B2" w:rsidRPr="00292895" w:rsidRDefault="00D732B2" w:rsidP="009F641D">
            <w:pPr>
              <w:numPr>
                <w:ilvl w:val="0"/>
                <w:numId w:val="5"/>
              </w:numPr>
              <w:spacing w:after="120"/>
              <w:rPr>
                <w:noProof/>
                <w:sz w:val="20"/>
                <w:szCs w:val="20"/>
              </w:rPr>
            </w:pPr>
            <w:r w:rsidRPr="00292895">
              <w:rPr>
                <w:noProof/>
                <w:sz w:val="20"/>
                <w:szCs w:val="20"/>
              </w:rPr>
              <w:t xml:space="preserve">Whereas most </w:t>
            </w:r>
            <w:r w:rsidRPr="006736FC">
              <w:rPr>
                <w:noProof/>
                <w:sz w:val="20"/>
              </w:rPr>
              <w:t>European consumers have a choice of multiple providers of VHCN services, this is based on a combination of own service providers’ network (often supported by regulated access to ducts and poles) and often regulated wholesale access to copper or fibre networks</w:t>
            </w:r>
          </w:p>
        </w:tc>
        <w:tc>
          <w:tcPr>
            <w:tcW w:w="3265" w:type="dxa"/>
          </w:tcPr>
          <w:p w14:paraId="667686E4" w14:textId="12113348" w:rsidR="00D732B2" w:rsidRPr="00292895" w:rsidRDefault="00D732B2" w:rsidP="009F641D">
            <w:pPr>
              <w:spacing w:after="120"/>
              <w:rPr>
                <w:noProof/>
                <w:sz w:val="20"/>
                <w:szCs w:val="20"/>
              </w:rPr>
            </w:pPr>
            <w:r w:rsidRPr="00292895">
              <w:rPr>
                <w:noProof/>
                <w:sz w:val="20"/>
                <w:szCs w:val="20"/>
              </w:rPr>
              <w:t>See Annex 11 -Section 4.2. – Market developments</w:t>
            </w:r>
            <w:r w:rsidR="009A5F3D">
              <w:rPr>
                <w:rFonts w:eastAsiaTheme="minorHAnsi"/>
                <w:noProof/>
                <w:sz w:val="20"/>
                <w:szCs w:val="20"/>
              </w:rPr>
              <w:t>.</w:t>
            </w:r>
          </w:p>
        </w:tc>
      </w:tr>
    </w:tbl>
    <w:p w14:paraId="1E5CD128" w14:textId="08A8F6FB" w:rsidR="003D66F5" w:rsidRDefault="003D66F5" w:rsidP="005B122A">
      <w:pPr>
        <w:spacing w:after="120"/>
        <w:rPr>
          <w:rStyle w:val="FootnoteReference"/>
          <w:rFonts w:eastAsia="Times New Roman"/>
          <w:noProof/>
          <w:color w:val="000000" w:themeColor="text1"/>
        </w:rPr>
      </w:pPr>
    </w:p>
    <w:p w14:paraId="05B49A9C" w14:textId="0E9E0AD9" w:rsidR="004E1213" w:rsidRPr="00DE264C" w:rsidRDefault="004E1213" w:rsidP="00292895">
      <w:pPr>
        <w:pStyle w:val="Heading3"/>
        <w:tabs>
          <w:tab w:val="num" w:pos="7088"/>
        </w:tabs>
        <w:ind w:left="709"/>
        <w:rPr>
          <w:noProof/>
        </w:rPr>
      </w:pPr>
      <w:bookmarkStart w:id="37" w:name="_Toc215083717"/>
      <w:bookmarkStart w:id="38" w:name="_Toc219212485"/>
      <w:bookmarkStart w:id="39" w:name="_Toc219718140"/>
      <w:bookmarkStart w:id="40" w:name="_Toc214467689"/>
      <w:r w:rsidRPr="006736FC">
        <w:rPr>
          <w:noProof/>
        </w:rPr>
        <w:t>Mobile</w:t>
      </w:r>
      <w:r w:rsidR="00F55639" w:rsidRPr="006736FC">
        <w:rPr>
          <w:noProof/>
        </w:rPr>
        <w:t xml:space="preserve"> </w:t>
      </w:r>
      <w:r w:rsidRPr="006736FC">
        <w:rPr>
          <w:noProof/>
        </w:rPr>
        <w:t xml:space="preserve">networks: </w:t>
      </w:r>
      <w:r w:rsidR="00915D63" w:rsidRPr="006736FC">
        <w:rPr>
          <w:noProof/>
        </w:rPr>
        <w:t>insufficient</w:t>
      </w:r>
      <w:r w:rsidRPr="006736FC" w:rsidDel="003B5B31">
        <w:rPr>
          <w:noProof/>
        </w:rPr>
        <w:t xml:space="preserve"> </w:t>
      </w:r>
      <w:r w:rsidR="00915D63" w:rsidRPr="006736FC">
        <w:rPr>
          <w:noProof/>
        </w:rPr>
        <w:t>investments</w:t>
      </w:r>
      <w:r w:rsidR="003A7AE6" w:rsidRPr="006736FC">
        <w:rPr>
          <w:noProof/>
        </w:rPr>
        <w:t xml:space="preserve"> </w:t>
      </w:r>
      <w:r w:rsidR="140DD4DE" w:rsidRPr="006736FC">
        <w:rPr>
          <w:noProof/>
        </w:rPr>
        <w:t>in high</w:t>
      </w:r>
      <w:r w:rsidR="003A7AE6" w:rsidRPr="006736FC">
        <w:rPr>
          <w:noProof/>
        </w:rPr>
        <w:t xml:space="preserve"> </w:t>
      </w:r>
      <w:r w:rsidR="003A7AE6" w:rsidRPr="003E14C2">
        <w:rPr>
          <w:noProof/>
        </w:rPr>
        <w:t>quality</w:t>
      </w:r>
      <w:r w:rsidR="003A7AE6" w:rsidRPr="006736FC">
        <w:rPr>
          <w:noProof/>
        </w:rPr>
        <w:t xml:space="preserve"> mobile connectivity</w:t>
      </w:r>
      <w:bookmarkEnd w:id="37"/>
      <w:bookmarkEnd w:id="38"/>
      <w:bookmarkEnd w:id="39"/>
      <w:r w:rsidR="003A7AE6" w:rsidRPr="006736FC">
        <w:rPr>
          <w:noProof/>
        </w:rPr>
        <w:t xml:space="preserve"> </w:t>
      </w:r>
      <w:bookmarkEnd w:id="40"/>
    </w:p>
    <w:p w14:paraId="2A4F2DF4" w14:textId="77777777" w:rsidR="00DA6AAA" w:rsidRPr="005C544D" w:rsidDel="00ED389D" w:rsidRDefault="00DA6AAA" w:rsidP="006A3DDC">
      <w:pPr>
        <w:pStyle w:val="NormalWeb"/>
        <w:spacing w:line="240" w:lineRule="auto"/>
        <w:jc w:val="both"/>
        <w:rPr>
          <w:noProof/>
          <w:color w:val="000000" w:themeColor="text1"/>
          <w:lang w:val="en-GB"/>
        </w:rPr>
      </w:pPr>
      <w:r w:rsidRPr="005C544D">
        <w:rPr>
          <w:noProof/>
          <w:lang w:val="en-GB"/>
        </w:rPr>
        <w:t>High-quality mobile connectivity in Europe remains underdeveloped</w:t>
      </w:r>
      <w:r w:rsidRPr="005C544D">
        <w:rPr>
          <w:noProof/>
          <w:color w:val="000000" w:themeColor="text1"/>
          <w:lang w:val="en-GB"/>
        </w:rPr>
        <w:t xml:space="preserve">, with slower deployment, low 5G SA take-up and weaker performance, </w:t>
      </w:r>
      <w:r w:rsidRPr="009D1ED7">
        <w:rPr>
          <w:noProof/>
          <w:color w:val="000000" w:themeColor="text1"/>
          <w:lang w:val="en-GB"/>
        </w:rPr>
        <w:t>all highlighting the need for additional private investment.</w:t>
      </w:r>
    </w:p>
    <w:p w14:paraId="3AA2AC41" w14:textId="59455651" w:rsidR="00DA6AAA" w:rsidRPr="005C544D" w:rsidDel="00ED389D" w:rsidRDefault="00DA6AAA" w:rsidP="006A3DDC">
      <w:pPr>
        <w:pStyle w:val="NormalWeb"/>
        <w:spacing w:line="240" w:lineRule="auto"/>
        <w:jc w:val="both"/>
        <w:rPr>
          <w:noProof/>
          <w:color w:val="000000" w:themeColor="text1"/>
          <w:lang w:val="en-GB"/>
        </w:rPr>
      </w:pPr>
      <w:r w:rsidRPr="005C544D">
        <w:rPr>
          <w:noProof/>
          <w:color w:val="000000" w:themeColor="text1"/>
          <w:lang w:val="en-GB"/>
        </w:rPr>
        <w:t>Basic (4G-based)</w:t>
      </w:r>
      <w:r w:rsidRPr="005C544D" w:rsidDel="00132FE0">
        <w:rPr>
          <w:noProof/>
          <w:color w:val="000000" w:themeColor="text1"/>
          <w:lang w:val="en-GB"/>
        </w:rPr>
        <w:t xml:space="preserve"> </w:t>
      </w:r>
      <w:r w:rsidRPr="005C544D">
        <w:rPr>
          <w:b/>
          <w:bCs/>
          <w:noProof/>
          <w:color w:val="000000" w:themeColor="text1"/>
          <w:lang w:val="en-GB"/>
        </w:rPr>
        <w:t>5G deployment</w:t>
      </w:r>
      <w:r w:rsidRPr="005C544D">
        <w:rPr>
          <w:noProof/>
          <w:color w:val="000000" w:themeColor="text1"/>
          <w:lang w:val="en-GB"/>
        </w:rPr>
        <w:t xml:space="preserve"> </w:t>
      </w:r>
      <w:r w:rsidRPr="005C544D" w:rsidDel="00CC751C">
        <w:rPr>
          <w:noProof/>
          <w:color w:val="000000" w:themeColor="text1"/>
          <w:lang w:val="en-GB"/>
        </w:rPr>
        <w:t>in</w:t>
      </w:r>
      <w:r w:rsidRPr="005C544D" w:rsidDel="00132FE0">
        <w:rPr>
          <w:noProof/>
          <w:color w:val="000000" w:themeColor="text1"/>
          <w:lang w:val="en-GB"/>
        </w:rPr>
        <w:t xml:space="preserve"> </w:t>
      </w:r>
      <w:r w:rsidRPr="005C544D">
        <w:rPr>
          <w:noProof/>
          <w:color w:val="000000" w:themeColor="text1"/>
          <w:lang w:val="en-GB"/>
        </w:rPr>
        <w:t>Europe, currently reaching 94.3% population coverage</w:t>
      </w:r>
      <w:r w:rsidRPr="005C544D">
        <w:rPr>
          <w:noProof/>
          <w:color w:val="000000" w:themeColor="text1"/>
          <w:vertAlign w:val="superscript"/>
          <w:lang w:val="en-GB"/>
        </w:rPr>
        <w:footnoteReference w:id="23"/>
      </w:r>
      <w:r w:rsidRPr="005C544D">
        <w:rPr>
          <w:noProof/>
          <w:color w:val="000000" w:themeColor="text1"/>
          <w:lang w:val="en-GB"/>
        </w:rPr>
        <w:t>, is comparable to competing economies and expected to reach the Digital Decade target of 100%</w:t>
      </w:r>
      <w:r w:rsidRPr="005C544D">
        <w:rPr>
          <w:noProof/>
          <w:color w:val="000000" w:themeColor="text1"/>
          <w:vertAlign w:val="superscript"/>
          <w:lang w:val="en-GB"/>
        </w:rPr>
        <w:footnoteReference w:id="24"/>
      </w:r>
      <w:r w:rsidRPr="005C544D">
        <w:rPr>
          <w:noProof/>
          <w:color w:val="000000" w:themeColor="text1"/>
          <w:lang w:val="en-GB"/>
        </w:rPr>
        <w:t xml:space="preserve"> by 2027, i.e. ahead of the 2030 deadline.</w:t>
      </w:r>
      <w:r w:rsidRPr="005C544D">
        <w:rPr>
          <w:noProof/>
          <w:color w:val="000000" w:themeColor="text1"/>
          <w:vertAlign w:val="superscript"/>
          <w:lang w:val="en-GB"/>
        </w:rPr>
        <w:footnoteReference w:id="25"/>
      </w:r>
      <w:r w:rsidRPr="005C544D">
        <w:rPr>
          <w:noProof/>
          <w:color w:val="000000" w:themeColor="text1"/>
          <w:lang w:val="en-GB"/>
        </w:rPr>
        <w:t xml:space="preserve"> However, </w:t>
      </w:r>
      <w:r w:rsidRPr="005C544D">
        <w:rPr>
          <w:b/>
          <w:bCs/>
          <w:noProof/>
          <w:color w:val="000000" w:themeColor="text1"/>
          <w:lang w:val="en-GB"/>
        </w:rPr>
        <w:t>Europe</w:t>
      </w:r>
      <w:r w:rsidRPr="005C544D">
        <w:rPr>
          <w:noProof/>
          <w:color w:val="000000" w:themeColor="text1"/>
          <w:lang w:val="en-GB"/>
        </w:rPr>
        <w:t xml:space="preserve"> is still </w:t>
      </w:r>
      <w:r w:rsidRPr="005C544D">
        <w:rPr>
          <w:b/>
          <w:bCs/>
          <w:noProof/>
          <w:color w:val="000000" w:themeColor="text1"/>
          <w:lang w:val="en-GB"/>
        </w:rPr>
        <w:t>lagging behind</w:t>
      </w:r>
      <w:r w:rsidRPr="005C544D">
        <w:rPr>
          <w:noProof/>
          <w:color w:val="000000" w:themeColor="text1"/>
          <w:lang w:val="en-GB"/>
        </w:rPr>
        <w:t xml:space="preserve"> in the deployment of high-quality 5G. 5G mid-band coverage in Europe (50%) is significantly lower than in China (95%), India (95%) and the US (90%).</w:t>
      </w:r>
      <w:r w:rsidRPr="005C544D">
        <w:rPr>
          <w:noProof/>
          <w:color w:val="000000" w:themeColor="text1"/>
          <w:vertAlign w:val="superscript"/>
          <w:lang w:val="en-GB"/>
        </w:rPr>
        <w:footnoteReference w:id="26"/>
      </w:r>
      <w:r w:rsidRPr="005C544D">
        <w:rPr>
          <w:noProof/>
          <w:color w:val="000000" w:themeColor="text1"/>
          <w:lang w:val="en-GB"/>
        </w:rPr>
        <w:t xml:space="preserve"> </w:t>
      </w:r>
      <w:r w:rsidR="00930510">
        <w:rPr>
          <w:noProof/>
          <w:color w:val="000000" w:themeColor="text1"/>
          <w:lang w:val="en-GB"/>
        </w:rPr>
        <w:t xml:space="preserve">As </w:t>
      </w:r>
      <w:r w:rsidR="00B47AFC">
        <w:rPr>
          <w:noProof/>
          <w:color w:val="000000" w:themeColor="text1"/>
          <w:lang w:val="en-GB"/>
        </w:rPr>
        <w:t xml:space="preserve">illustrated by </w:t>
      </w:r>
      <w:r w:rsidR="003201C0">
        <w:rPr>
          <w:noProof/>
          <w:color w:val="000000" w:themeColor="text1"/>
          <w:lang w:val="en-GB"/>
        </w:rPr>
        <w:fldChar w:fldCharType="begin"/>
      </w:r>
      <w:r w:rsidR="003201C0">
        <w:rPr>
          <w:noProof/>
          <w:color w:val="000000" w:themeColor="text1"/>
          <w:lang w:val="en-GB"/>
        </w:rPr>
        <w:instrText xml:space="preserve"> REF _Ref217392256 \h </w:instrText>
      </w:r>
      <w:r w:rsidR="006A3DDC">
        <w:rPr>
          <w:noProof/>
          <w:color w:val="000000" w:themeColor="text1"/>
          <w:lang w:val="en-GB"/>
        </w:rPr>
        <w:instrText xml:space="preserve"> \* MERGEFORMAT </w:instrText>
      </w:r>
      <w:r w:rsidR="003201C0">
        <w:rPr>
          <w:noProof/>
          <w:color w:val="000000" w:themeColor="text1"/>
          <w:lang w:val="en-GB"/>
        </w:rPr>
      </w:r>
      <w:r w:rsidR="003201C0">
        <w:rPr>
          <w:noProof/>
          <w:color w:val="000000" w:themeColor="text1"/>
          <w:lang w:val="en-GB"/>
        </w:rPr>
        <w:fldChar w:fldCharType="separate"/>
      </w:r>
      <w:r w:rsidR="00D9624D" w:rsidRPr="00044C7C">
        <w:rPr>
          <w:noProof/>
        </w:rPr>
        <w:t xml:space="preserve">Figure </w:t>
      </w:r>
      <w:r w:rsidR="00D9624D">
        <w:rPr>
          <w:noProof/>
        </w:rPr>
        <w:t>7</w:t>
      </w:r>
      <w:r w:rsidR="003201C0">
        <w:rPr>
          <w:noProof/>
          <w:color w:val="000000" w:themeColor="text1"/>
          <w:lang w:val="en-GB"/>
        </w:rPr>
        <w:fldChar w:fldCharType="end"/>
      </w:r>
      <w:r w:rsidR="00B47AFC">
        <w:rPr>
          <w:noProof/>
          <w:color w:val="000000" w:themeColor="text1"/>
          <w:lang w:val="en-GB"/>
        </w:rPr>
        <w:t xml:space="preserve">, </w:t>
      </w:r>
      <w:r w:rsidRPr="005C544D">
        <w:rPr>
          <w:noProof/>
          <w:color w:val="000000" w:themeColor="text1"/>
          <w:lang w:val="en-GB"/>
        </w:rPr>
        <w:t>5G Standalone (SA) coverage is at around 40% in Europe, compared with 45% in Asia Pacific and 91% in North America.</w:t>
      </w:r>
      <w:r w:rsidRPr="005C544D">
        <w:rPr>
          <w:noProof/>
          <w:color w:val="000000" w:themeColor="text1"/>
          <w:vertAlign w:val="superscript"/>
          <w:lang w:val="en-GB"/>
        </w:rPr>
        <w:footnoteReference w:id="27"/>
      </w:r>
      <w:r w:rsidRPr="005C544D">
        <w:rPr>
          <w:noProof/>
          <w:color w:val="000000" w:themeColor="text1"/>
          <w:lang w:val="en-GB"/>
        </w:rPr>
        <w:t xml:space="preserve"> Recent data indicate an accelerated shift to 5G SA coverage in the UK, with 83% of areas outside of premises covered by at least one MNO at high confidence level.</w:t>
      </w:r>
      <w:r w:rsidRPr="005C544D">
        <w:rPr>
          <w:rStyle w:val="FootnoteReference"/>
          <w:noProof/>
          <w:color w:val="000000" w:themeColor="text1"/>
          <w:lang w:val="en-GB"/>
        </w:rPr>
        <w:footnoteReference w:id="28"/>
      </w:r>
      <w:r w:rsidRPr="005C544D">
        <w:rPr>
          <w:noProof/>
          <w:color w:val="000000" w:themeColor="text1"/>
          <w:lang w:val="en-GB"/>
        </w:rPr>
        <w:t xml:space="preserve"> </w:t>
      </w:r>
    </w:p>
    <w:p w14:paraId="51DFD0FC" w14:textId="6CB5525F" w:rsidR="008475C1" w:rsidRPr="004D7BEA" w:rsidRDefault="00205972" w:rsidP="004D7BEA">
      <w:pPr>
        <w:pStyle w:val="Caption"/>
        <w:keepNext/>
        <w:keepLines/>
        <w:spacing w:after="120"/>
        <w:rPr>
          <w:noProof/>
        </w:rPr>
      </w:pPr>
      <w:bookmarkStart w:id="41" w:name="_Ref217392256"/>
      <w:bookmarkStart w:id="42" w:name="_Toc209104644"/>
      <w:bookmarkStart w:id="43" w:name="_Toc209105889"/>
      <w:bookmarkStart w:id="44" w:name="_Toc209612982"/>
      <w:bookmarkStart w:id="45" w:name="_Toc209640139"/>
      <w:bookmarkStart w:id="46" w:name="_Toc215084141"/>
      <w:bookmarkStart w:id="47" w:name="_Toc219539764"/>
      <w:r w:rsidRPr="00044C7C">
        <w:rPr>
          <w:noProof/>
          <w:color w:val="auto"/>
        </w:rPr>
        <w:t xml:space="preserve">Figure </w:t>
      </w:r>
      <w:r w:rsidR="00F1710D" w:rsidRPr="00044C7C">
        <w:rPr>
          <w:noProof/>
          <w:color w:val="auto"/>
        </w:rPr>
        <w:fldChar w:fldCharType="begin"/>
      </w:r>
      <w:r w:rsidR="00F1710D" w:rsidRPr="00044C7C">
        <w:rPr>
          <w:noProof/>
          <w:color w:val="auto"/>
        </w:rPr>
        <w:instrText xml:space="preserve"> SEQ Figure \* ARABIC </w:instrText>
      </w:r>
      <w:r w:rsidR="00F1710D" w:rsidRPr="00044C7C">
        <w:rPr>
          <w:noProof/>
          <w:color w:val="auto"/>
        </w:rPr>
        <w:fldChar w:fldCharType="separate"/>
      </w:r>
      <w:r w:rsidR="00D9624D">
        <w:rPr>
          <w:noProof/>
          <w:color w:val="auto"/>
        </w:rPr>
        <w:t>7</w:t>
      </w:r>
      <w:r w:rsidR="00F1710D" w:rsidRPr="00044C7C">
        <w:rPr>
          <w:noProof/>
          <w:color w:val="auto"/>
        </w:rPr>
        <w:fldChar w:fldCharType="end"/>
      </w:r>
      <w:bookmarkEnd w:id="41"/>
      <w:r w:rsidR="008475C1" w:rsidRPr="00044C7C">
        <w:rPr>
          <w:noProof/>
          <w:color w:val="auto"/>
        </w:rPr>
        <w:t xml:space="preserve">: </w:t>
      </w:r>
      <w:r w:rsidR="008475C1" w:rsidRPr="00486AB4">
        <w:rPr>
          <w:noProof/>
          <w:color w:val="auto"/>
          <w:sz w:val="20"/>
          <w:szCs w:val="20"/>
        </w:rPr>
        <w:t>5G SA coverage, by region, 3Q 2024, Source Analysys Mason, 2024</w:t>
      </w:r>
      <w:bookmarkEnd w:id="42"/>
      <w:bookmarkEnd w:id="43"/>
      <w:bookmarkEnd w:id="44"/>
      <w:bookmarkEnd w:id="45"/>
      <w:bookmarkEnd w:id="46"/>
      <w:bookmarkEnd w:id="47"/>
    </w:p>
    <w:p w14:paraId="12612A2B" w14:textId="3DB64454" w:rsidR="008475C1" w:rsidRPr="00DE264C" w:rsidRDefault="008475C1" w:rsidP="008475C1">
      <w:pPr>
        <w:rPr>
          <w:noProof/>
        </w:rPr>
      </w:pPr>
      <w:r w:rsidRPr="00DE264C">
        <w:rPr>
          <w:noProof/>
          <w:lang w:eastAsia="en-GB"/>
        </w:rPr>
        <w:drawing>
          <wp:inline distT="0" distB="0" distL="0" distR="0" wp14:anchorId="68234F0A" wp14:editId="5856AE65">
            <wp:extent cx="3587791" cy="1755648"/>
            <wp:effectExtent l="0" t="0" r="0" b="0"/>
            <wp:docPr id="1091169949" name="Picture 1" descr="A graph of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169949" name="Picture 1" descr="A graph of different countries/regions&#10;&#10;AI-generated content may be incorrect."/>
                    <pic:cNvPicPr/>
                  </pic:nvPicPr>
                  <pic:blipFill rotWithShape="1">
                    <a:blip r:embed="rId25">
                      <a:extLst>
                        <a:ext uri="{28A0092B-C50C-407E-A947-70E740481C1C}">
                          <a14:useLocalDpi xmlns:a14="http://schemas.microsoft.com/office/drawing/2010/main" val="0"/>
                        </a:ext>
                      </a:extLst>
                    </a:blip>
                    <a:srcRect l="5714" t="11149" r="7080" b="10163"/>
                    <a:stretch/>
                  </pic:blipFill>
                  <pic:spPr bwMode="auto">
                    <a:xfrm>
                      <a:off x="0" y="0"/>
                      <a:ext cx="3689903" cy="1805615"/>
                    </a:xfrm>
                    <a:prstGeom prst="rect">
                      <a:avLst/>
                    </a:prstGeom>
                    <a:ln>
                      <a:noFill/>
                    </a:ln>
                    <a:extLst>
                      <a:ext uri="{53640926-AAD7-44D8-BBD7-CCE9431645EC}">
                        <a14:shadowObscured xmlns:a14="http://schemas.microsoft.com/office/drawing/2010/main"/>
                      </a:ext>
                    </a:extLst>
                  </pic:spPr>
                </pic:pic>
              </a:graphicData>
            </a:graphic>
          </wp:inline>
        </w:drawing>
      </w:r>
    </w:p>
    <w:p w14:paraId="2E2BE4CA" w14:textId="12946AD5" w:rsidR="00714EF5" w:rsidRPr="00602574" w:rsidDel="00FD1FC0" w:rsidRDefault="00714EF5" w:rsidP="006A3DDC">
      <w:pPr>
        <w:spacing w:line="240" w:lineRule="auto"/>
        <w:rPr>
          <w:noProof/>
        </w:rPr>
      </w:pPr>
      <w:r w:rsidRPr="005C544D">
        <w:rPr>
          <w:rFonts w:eastAsia="Times New Roman"/>
          <w:noProof/>
          <w:color w:val="000000" w:themeColor="text1"/>
        </w:rPr>
        <w:t xml:space="preserve">Europe is also significantly lagging behind in </w:t>
      </w:r>
      <w:r w:rsidRPr="005C544D">
        <w:rPr>
          <w:rFonts w:eastAsia="Times New Roman"/>
          <w:b/>
          <w:bCs/>
          <w:noProof/>
          <w:color w:val="000000" w:themeColor="text1"/>
        </w:rPr>
        <w:t>5G SA</w:t>
      </w:r>
      <w:r w:rsidRPr="005C544D">
        <w:rPr>
          <w:rFonts w:eastAsia="Times New Roman"/>
          <w:noProof/>
          <w:color w:val="000000" w:themeColor="text1"/>
        </w:rPr>
        <w:t xml:space="preserve"> </w:t>
      </w:r>
      <w:r w:rsidRPr="005C544D">
        <w:rPr>
          <w:rFonts w:eastAsia="Times New Roman"/>
          <w:b/>
          <w:noProof/>
          <w:color w:val="000000" w:themeColor="text1"/>
        </w:rPr>
        <w:t>take-up</w:t>
      </w:r>
      <w:r w:rsidRPr="005C544D">
        <w:rPr>
          <w:rFonts w:eastAsia="Times New Roman"/>
          <w:noProof/>
          <w:color w:val="000000" w:themeColor="text1"/>
        </w:rPr>
        <w:t>. Only about 2% of 5G users in Europe are connected via 5G SA networks, compared with 24% in the United States, 25% in India and 77% in China.</w:t>
      </w:r>
      <w:r w:rsidRPr="005C544D">
        <w:rPr>
          <w:rFonts w:eastAsia="Times New Roman"/>
          <w:noProof/>
          <w:color w:val="000000" w:themeColor="text1"/>
          <w:vertAlign w:val="superscript"/>
        </w:rPr>
        <w:footnoteReference w:id="29"/>
      </w:r>
      <w:r w:rsidRPr="005C544D">
        <w:rPr>
          <w:rFonts w:eastAsia="Times New Roman"/>
          <w:noProof/>
          <w:color w:val="000000" w:themeColor="text1"/>
        </w:rPr>
        <w:t xml:space="preserve"> In the UK, take-up of 5G SA already represents one third of total 5G traffic, reflecting an acceleration in the transition from earlier 5G NSA deployment.</w:t>
      </w:r>
      <w:r w:rsidRPr="005C544D">
        <w:rPr>
          <w:rStyle w:val="FootnoteReference"/>
          <w:rFonts w:eastAsia="Times New Roman"/>
          <w:noProof/>
          <w:color w:val="000000" w:themeColor="text1"/>
        </w:rPr>
        <w:footnoteReference w:id="30"/>
      </w:r>
      <w:r w:rsidRPr="005C544D">
        <w:rPr>
          <w:rFonts w:eastAsia="Times New Roman"/>
          <w:noProof/>
          <w:color w:val="000000" w:themeColor="text1"/>
        </w:rPr>
        <w:t xml:space="preserve"> </w:t>
      </w:r>
      <w:r w:rsidRPr="00602574">
        <w:rPr>
          <w:rFonts w:eastAsia="Times New Roman"/>
          <w:noProof/>
          <w:color w:val="000000" w:themeColor="text1"/>
        </w:rPr>
        <w:t xml:space="preserve">The slow pace of 5G SA adoption in Europe has direct repercussions for the </w:t>
      </w:r>
      <w:r w:rsidRPr="005C544D">
        <w:rPr>
          <w:rFonts w:eastAsia="Times New Roman"/>
          <w:b/>
          <w:bCs/>
          <w:noProof/>
          <w:color w:val="000000" w:themeColor="text1"/>
        </w:rPr>
        <w:t>quality</w:t>
      </w:r>
      <w:r w:rsidRPr="00602574">
        <w:rPr>
          <w:rFonts w:eastAsia="Times New Roman"/>
          <w:noProof/>
          <w:color w:val="000000" w:themeColor="text1"/>
        </w:rPr>
        <w:t xml:space="preserve"> of user experience. </w:t>
      </w:r>
      <w:r w:rsidRPr="005C544D">
        <w:rPr>
          <w:rFonts w:eastAsia="Times New Roman"/>
          <w:noProof/>
          <w:color w:val="000000" w:themeColor="text1"/>
        </w:rPr>
        <w:t>The EU27 average download speed of 69.9 Mbps is lower than of South Korea (162.2 Mbps),</w:t>
      </w:r>
      <w:r w:rsidRPr="005C544D" w:rsidDel="00132FE0">
        <w:rPr>
          <w:rFonts w:eastAsia="Times New Roman"/>
          <w:noProof/>
          <w:color w:val="000000" w:themeColor="text1"/>
        </w:rPr>
        <w:t xml:space="preserve"> </w:t>
      </w:r>
      <w:r w:rsidRPr="005C544D">
        <w:rPr>
          <w:rFonts w:eastAsia="Times New Roman"/>
          <w:noProof/>
          <w:color w:val="000000" w:themeColor="text1"/>
        </w:rPr>
        <w:t xml:space="preserve">the US (129.3 Mbps) and China (100 Mbps), and also below </w:t>
      </w:r>
      <w:r w:rsidRPr="00602574">
        <w:rPr>
          <w:rFonts w:eastAsia="Times New Roman"/>
          <w:noProof/>
          <w:color w:val="000000" w:themeColor="text1"/>
        </w:rPr>
        <w:t xml:space="preserve">the population-weighted global average </w:t>
      </w:r>
      <w:r w:rsidRPr="005C544D">
        <w:rPr>
          <w:rFonts w:eastAsia="Times New Roman"/>
          <w:noProof/>
          <w:color w:val="000000" w:themeColor="text1"/>
        </w:rPr>
        <w:t>(70.4 Mbps)</w:t>
      </w:r>
      <w:r w:rsidRPr="005C544D">
        <w:rPr>
          <w:rFonts w:eastAsia="Times New Roman"/>
          <w:noProof/>
        </w:rPr>
        <w:t>.</w:t>
      </w:r>
      <w:r w:rsidRPr="005C544D">
        <w:rPr>
          <w:rStyle w:val="FootnoteReference"/>
          <w:rFonts w:eastAsia="Times New Roman"/>
          <w:noProof/>
          <w:color w:val="000000" w:themeColor="text1"/>
        </w:rPr>
        <w:footnoteReference w:id="31"/>
      </w:r>
      <w:r w:rsidRPr="005C544D">
        <w:rPr>
          <w:rFonts w:eastAsia="Times New Roman"/>
          <w:noProof/>
        </w:rPr>
        <w:t xml:space="preserve"> Other sources likewise confirm that</w:t>
      </w:r>
      <w:r w:rsidR="005D2E68">
        <w:rPr>
          <w:rFonts w:eastAsia="Times New Roman"/>
          <w:noProof/>
        </w:rPr>
        <w:t>, despite recent improvement,</w:t>
      </w:r>
      <w:r w:rsidRPr="005C544D">
        <w:rPr>
          <w:rFonts w:eastAsia="Times New Roman"/>
          <w:noProof/>
        </w:rPr>
        <w:t xml:space="preserve"> Europe continues to lag behind in 5G SA take-up and speed performance.</w:t>
      </w:r>
      <w:r w:rsidRPr="00602574">
        <w:rPr>
          <w:rStyle w:val="FootnoteReference"/>
          <w:noProof/>
          <w:color w:val="000000" w:themeColor="text1"/>
        </w:rPr>
        <w:footnoteReference w:id="32"/>
      </w:r>
    </w:p>
    <w:p w14:paraId="3CBF67B1" w14:textId="7100290F" w:rsidR="008D0915" w:rsidRPr="005C544D" w:rsidRDefault="008D0915" w:rsidP="006A3DDC">
      <w:pPr>
        <w:spacing w:line="240" w:lineRule="auto"/>
        <w:rPr>
          <w:rFonts w:eastAsia="Times New Roman"/>
          <w:noProof/>
          <w:color w:val="000000" w:themeColor="text1"/>
        </w:rPr>
      </w:pPr>
      <w:r w:rsidRPr="00602574">
        <w:rPr>
          <w:rFonts w:eastAsia="Times New Roman"/>
          <w:noProof/>
          <w:color w:val="000000" w:themeColor="text1"/>
        </w:rPr>
        <w:t>It was further estimated</w:t>
      </w:r>
      <w:r w:rsidRPr="00602574">
        <w:rPr>
          <w:rFonts w:eastAsia="Times New Roman"/>
          <w:noProof/>
          <w:color w:val="000000" w:themeColor="text1"/>
          <w:vertAlign w:val="superscript"/>
        </w:rPr>
        <w:footnoteReference w:id="33"/>
      </w:r>
      <w:r w:rsidRPr="00602574">
        <w:rPr>
          <w:rFonts w:eastAsia="Times New Roman"/>
          <w:noProof/>
          <w:color w:val="000000" w:themeColor="text1"/>
        </w:rPr>
        <w:t xml:space="preserve"> that </w:t>
      </w:r>
      <w:r w:rsidRPr="00602574">
        <w:rPr>
          <w:rFonts w:eastAsia="Times New Roman"/>
          <w:b/>
          <w:bCs/>
          <w:noProof/>
          <w:color w:val="000000" w:themeColor="text1"/>
        </w:rPr>
        <w:t>investments</w:t>
      </w:r>
      <w:r w:rsidRPr="00602574">
        <w:rPr>
          <w:rFonts w:eastAsia="Times New Roman"/>
          <w:noProof/>
          <w:color w:val="000000" w:themeColor="text1"/>
        </w:rPr>
        <w:t xml:space="preserve"> of around EUR 33.5 billion would be needed for densification, i.e. for the installation of additional base stations and small cells needed to achieve high quality 5G deployment.</w:t>
      </w:r>
      <w:r w:rsidRPr="00602574">
        <w:rPr>
          <w:rStyle w:val="FootnoteReference"/>
          <w:rFonts w:eastAsia="Times New Roman"/>
          <w:noProof/>
          <w:color w:val="000000" w:themeColor="text1"/>
        </w:rPr>
        <w:footnoteReference w:id="34"/>
      </w:r>
      <w:r w:rsidRPr="00602574">
        <w:rPr>
          <w:rFonts w:eastAsia="Times New Roman"/>
          <w:noProof/>
          <w:color w:val="000000" w:themeColor="text1"/>
        </w:rPr>
        <w:t xml:space="preserve"> An additional amount of EUR 26–79 billion would be needed to cover the main transport paths. These 5G investment needs are expected to be met mainly through private funding, as public funding for 5G is considerably lower than for fibre: State aid is justified only where a market failure has been clearly demonstrated and, historically, public intervention in mobile networks has been exceptional</w:t>
      </w:r>
      <w:r w:rsidR="001E0280">
        <w:rPr>
          <w:rStyle w:val="FootnoteReference"/>
          <w:rFonts w:eastAsia="Times New Roman"/>
          <w:noProof/>
          <w:color w:val="000000" w:themeColor="text1"/>
        </w:rPr>
        <w:footnoteReference w:id="35"/>
      </w:r>
      <w:r w:rsidRPr="00602574">
        <w:rPr>
          <w:rFonts w:eastAsia="Times New Roman"/>
          <w:noProof/>
          <w:color w:val="000000" w:themeColor="text1"/>
        </w:rPr>
        <w:t xml:space="preserve">. Funds available under CEF Digital (a dedicated budget of EUR 227 million for the programming period 2021–2027 and an additional EUR 106 million transferred from other strands) have focused on early 5G deployments for socio-economic drivers and on enhancing coverage along key transport corridors, and the available resources are already fully committed. Other public funding allocated to the rollout of 5G SA networks is limited and insufficient to achieve high quality mobile connectivity. It is thus crucial that the regulatory and market framework ensure the right conditions and </w:t>
      </w:r>
      <w:r w:rsidRPr="00602574">
        <w:rPr>
          <w:rFonts w:eastAsia="Times New Roman"/>
          <w:b/>
          <w:bCs/>
          <w:noProof/>
          <w:color w:val="000000" w:themeColor="text1"/>
        </w:rPr>
        <w:t>incentives for private investment</w:t>
      </w:r>
      <w:r w:rsidRPr="00602574">
        <w:rPr>
          <w:rFonts w:eastAsia="Times New Roman"/>
          <w:noProof/>
          <w:color w:val="000000" w:themeColor="text1"/>
        </w:rPr>
        <w:t xml:space="preserve"> in high-quality 5G deployment, such as SA.</w:t>
      </w:r>
    </w:p>
    <w:p w14:paraId="15F9CC6B" w14:textId="77777777" w:rsidR="008D0915" w:rsidRPr="00602574" w:rsidRDefault="008D0915" w:rsidP="006A3DDC">
      <w:pPr>
        <w:spacing w:line="240" w:lineRule="auto"/>
        <w:rPr>
          <w:noProof/>
        </w:rPr>
      </w:pPr>
      <w:r w:rsidRPr="00602574">
        <w:rPr>
          <w:rFonts w:eastAsia="Times New Roman"/>
          <w:noProof/>
          <w:color w:val="000000" w:themeColor="text1"/>
        </w:rPr>
        <w:t>As there are significant differences between the performance and capabilities of 5G Non-Standalone (NSA) and 5G SA, l</w:t>
      </w:r>
      <w:r w:rsidRPr="00602574">
        <w:rPr>
          <w:noProof/>
        </w:rPr>
        <w:t xml:space="preserve">ack of investment in high quality 5G </w:t>
      </w:r>
      <w:r w:rsidRPr="00602574">
        <w:rPr>
          <w:rFonts w:eastAsia="Times New Roman"/>
          <w:noProof/>
          <w:color w:val="000000" w:themeColor="text1"/>
        </w:rPr>
        <w:t xml:space="preserve">affects broader EU industrial innovation and competitiveness, particularly for EU industries requiring </w:t>
      </w:r>
      <w:r w:rsidRPr="00602574">
        <w:rPr>
          <w:noProof/>
        </w:rPr>
        <w:t>advanced, quality-assured services.</w:t>
      </w:r>
      <w:r w:rsidRPr="00602574">
        <w:rPr>
          <w:rFonts w:eastAsia="Times New Roman"/>
          <w:noProof/>
          <w:color w:val="000000" w:themeColor="text1"/>
          <w:vertAlign w:val="superscript"/>
        </w:rPr>
        <w:footnoteReference w:id="36"/>
      </w:r>
      <w:r w:rsidRPr="00602574">
        <w:rPr>
          <w:b/>
          <w:bCs/>
          <w:noProof/>
        </w:rPr>
        <w:t xml:space="preserve"> </w:t>
      </w:r>
      <w:r w:rsidRPr="00602574">
        <w:rPr>
          <w:rFonts w:eastAsia="Times New Roman"/>
          <w:noProof/>
          <w:color w:val="000000" w:themeColor="text1"/>
        </w:rPr>
        <w:t>An EU study confirms that</w:t>
      </w:r>
      <w:r w:rsidRPr="00602574">
        <w:rPr>
          <w:rFonts w:eastAsia="Times New Roman"/>
          <w:b/>
          <w:bCs/>
          <w:noProof/>
          <w:color w:val="000000" w:themeColor="text1"/>
        </w:rPr>
        <w:t xml:space="preserve"> </w:t>
      </w:r>
      <w:r w:rsidRPr="00602574">
        <w:rPr>
          <w:b/>
          <w:bCs/>
          <w:noProof/>
        </w:rPr>
        <w:t>insufficient investment in high quality 5G</w:t>
      </w:r>
      <w:r w:rsidRPr="00602574">
        <w:rPr>
          <w:noProof/>
        </w:rPr>
        <w:t>, including network densification and the deployment of fibre backhaul, is likely to limit</w:t>
      </w:r>
      <w:r w:rsidRPr="00602574">
        <w:rPr>
          <w:b/>
          <w:bCs/>
          <w:noProof/>
        </w:rPr>
        <w:t xml:space="preserve"> </w:t>
      </w:r>
      <w:r w:rsidRPr="00602574">
        <w:rPr>
          <w:noProof/>
        </w:rPr>
        <w:t>mobile service quality</w:t>
      </w:r>
      <w:r w:rsidRPr="00602574">
        <w:rPr>
          <w:b/>
          <w:bCs/>
          <w:noProof/>
        </w:rPr>
        <w:t xml:space="preserve"> </w:t>
      </w:r>
      <w:r w:rsidRPr="00602574">
        <w:rPr>
          <w:noProof/>
        </w:rPr>
        <w:t>and the availability of quality-assured services requiring high bandwidths and/or low latency. This contrasts with countries such as South Korea, where considerably higher mobile data usage coincides with greater investment in 5G networks, including small cells.</w:t>
      </w:r>
      <w:r w:rsidRPr="00602574">
        <w:rPr>
          <w:rStyle w:val="FootnoteReference"/>
          <w:rFonts w:eastAsia="Times New Roman"/>
          <w:noProof/>
          <w:color w:val="000000" w:themeColor="text1"/>
        </w:rPr>
        <w:footnoteReference w:id="37"/>
      </w:r>
      <w:r w:rsidRPr="00602574">
        <w:rPr>
          <w:rFonts w:eastAsia="Times New Roman"/>
          <w:noProof/>
          <w:color w:val="000000" w:themeColor="text1"/>
        </w:rPr>
        <w:t xml:space="preserve"> Noting that the uptake of 5G use cases is expected to deliver a range of </w:t>
      </w:r>
      <w:r w:rsidRPr="00602574">
        <w:rPr>
          <w:rFonts w:eastAsia="Times New Roman"/>
          <w:b/>
          <w:bCs/>
          <w:noProof/>
          <w:color w:val="000000" w:themeColor="text1"/>
        </w:rPr>
        <w:t>socio-economic benefits</w:t>
      </w:r>
      <w:r w:rsidRPr="00602574">
        <w:rPr>
          <w:rFonts w:eastAsia="Times New Roman"/>
          <w:noProof/>
          <w:color w:val="000000" w:themeColor="text1"/>
        </w:rPr>
        <w:t>, such as enabling safer mobility, BEREC also called for 5G SA deployment to exploit the maximum digitalisation potential of 5G.</w:t>
      </w:r>
      <w:r w:rsidRPr="00602574">
        <w:rPr>
          <w:rStyle w:val="FootnoteReference"/>
          <w:rFonts w:eastAsia="Times New Roman"/>
          <w:noProof/>
          <w:color w:val="000000" w:themeColor="text1"/>
        </w:rPr>
        <w:footnoteReference w:id="38"/>
      </w:r>
    </w:p>
    <w:p w14:paraId="2B23D38E" w14:textId="2AACA8B9" w:rsidR="008D0915" w:rsidRPr="005C544D" w:rsidRDefault="008D0915" w:rsidP="006A3DDC">
      <w:pPr>
        <w:spacing w:line="240" w:lineRule="auto"/>
        <w:rPr>
          <w:noProof/>
        </w:rPr>
      </w:pPr>
      <w:r w:rsidRPr="005C544D">
        <w:rPr>
          <w:rFonts w:eastAsia="Times New Roman"/>
          <w:noProof/>
          <w:color w:val="000000" w:themeColor="text1"/>
        </w:rPr>
        <w:t>A report</w:t>
      </w:r>
      <w:r w:rsidRPr="005C544D">
        <w:rPr>
          <w:rStyle w:val="FootnoteReference"/>
          <w:rFonts w:eastAsia="Times New Roman"/>
          <w:noProof/>
          <w:color w:val="000000" w:themeColor="text1"/>
        </w:rPr>
        <w:footnoteReference w:id="39"/>
      </w:r>
      <w:r w:rsidRPr="005C544D">
        <w:rPr>
          <w:rFonts w:eastAsia="Times New Roman"/>
          <w:noProof/>
          <w:color w:val="000000" w:themeColor="text1"/>
        </w:rPr>
        <w:t xml:space="preserve"> analysing 5G-enabled digitization across different use cases, such as smart factories, mining and healthcare, found that full 5G networks can support a wide range of possible innovations in different market and industrial sectors. It estimated that 5G networks in Europe can deliver around </w:t>
      </w:r>
      <w:r w:rsidRPr="005C544D">
        <w:rPr>
          <w:rFonts w:eastAsia="Times New Roman"/>
          <w:b/>
          <w:bCs/>
          <w:noProof/>
          <w:color w:val="000000" w:themeColor="text1"/>
        </w:rPr>
        <w:t>EUR 210 billion in benefits at a cost of EUR</w:t>
      </w:r>
      <w:r w:rsidRPr="00602574">
        <w:rPr>
          <w:rFonts w:eastAsia="Times New Roman"/>
          <w:b/>
          <w:bCs/>
          <w:noProof/>
          <w:color w:val="000000" w:themeColor="text1"/>
        </w:rPr>
        <w:t> </w:t>
      </w:r>
      <w:r w:rsidRPr="005C544D">
        <w:rPr>
          <w:rFonts w:eastAsia="Times New Roman"/>
          <w:b/>
          <w:bCs/>
          <w:noProof/>
          <w:color w:val="000000" w:themeColor="text1"/>
        </w:rPr>
        <w:t>46 billion approximately</w:t>
      </w:r>
      <w:r w:rsidRPr="005C544D">
        <w:rPr>
          <w:rFonts w:eastAsia="Times New Roman"/>
          <w:noProof/>
          <w:color w:val="000000" w:themeColor="text1"/>
        </w:rPr>
        <w:t xml:space="preserve"> (which equates to a cost–benefit ratio, CBR, of 4.5).</w:t>
      </w:r>
    </w:p>
    <w:p w14:paraId="1877A849" w14:textId="3CD18BE9" w:rsidR="008D0915" w:rsidRPr="005C544D" w:rsidRDefault="008D0915" w:rsidP="006A3DDC">
      <w:pPr>
        <w:spacing w:line="240" w:lineRule="auto"/>
        <w:rPr>
          <w:noProof/>
          <w:color w:val="000000" w:themeColor="text1"/>
        </w:rPr>
      </w:pPr>
      <w:r w:rsidRPr="00BC5C51">
        <w:rPr>
          <w:rFonts w:eastAsia="EYInterstate Light"/>
          <w:noProof/>
        </w:rPr>
        <w:t xml:space="preserve">However, </w:t>
      </w:r>
      <w:r w:rsidRPr="00BC5C51">
        <w:rPr>
          <w:noProof/>
          <w:color w:val="000000" w:themeColor="text1"/>
        </w:rPr>
        <w:t>due</w:t>
      </w:r>
      <w:r w:rsidRPr="00BC5C51" w:rsidDel="00421A30">
        <w:rPr>
          <w:noProof/>
          <w:color w:val="000000" w:themeColor="text1"/>
        </w:rPr>
        <w:t xml:space="preserve"> to fast technological developments in networking technology since the adoption of the Open Internet Regulation (OIR</w:t>
      </w:r>
      <w:r w:rsidRPr="005C544D" w:rsidDel="00421A30">
        <w:rPr>
          <w:noProof/>
          <w:color w:val="000000" w:themeColor="text1"/>
        </w:rPr>
        <w:t>)</w:t>
      </w:r>
      <w:r w:rsidRPr="00BC5C51" w:rsidDel="00421A30">
        <w:rPr>
          <w:noProof/>
          <w:color w:val="000000" w:themeColor="text1"/>
        </w:rPr>
        <w:t xml:space="preserve">, </w:t>
      </w:r>
      <w:r w:rsidRPr="00BC5C51" w:rsidDel="00421A30">
        <w:rPr>
          <w:b/>
          <w:noProof/>
          <w:color w:val="000000" w:themeColor="text1"/>
        </w:rPr>
        <w:t>legal uncertainty</w:t>
      </w:r>
      <w:r w:rsidRPr="00BC5C51" w:rsidDel="00421A30">
        <w:rPr>
          <w:noProof/>
          <w:color w:val="000000" w:themeColor="text1"/>
        </w:rPr>
        <w:t xml:space="preserve"> has arisen </w:t>
      </w:r>
      <w:r w:rsidRPr="00BC5C51">
        <w:rPr>
          <w:noProof/>
          <w:color w:val="000000" w:themeColor="text1"/>
        </w:rPr>
        <w:t>regarding</w:t>
      </w:r>
      <w:r w:rsidRPr="00BC5C51" w:rsidDel="00421A30">
        <w:rPr>
          <w:noProof/>
          <w:color w:val="000000" w:themeColor="text1"/>
        </w:rPr>
        <w:t xml:space="preserve"> the interpretation of the OIR provisions </w:t>
      </w:r>
      <w:r w:rsidRPr="00BC5C51">
        <w:rPr>
          <w:noProof/>
          <w:color w:val="000000" w:themeColor="text1"/>
        </w:rPr>
        <w:t>on</w:t>
      </w:r>
      <w:r w:rsidRPr="00BC5C51" w:rsidDel="00421A30">
        <w:rPr>
          <w:noProof/>
          <w:color w:val="000000" w:themeColor="text1"/>
        </w:rPr>
        <w:t xml:space="preserve"> </w:t>
      </w:r>
      <w:r w:rsidRPr="00BC5C51">
        <w:rPr>
          <w:noProof/>
          <w:color w:val="000000" w:themeColor="text1"/>
        </w:rPr>
        <w:t xml:space="preserve">high quality </w:t>
      </w:r>
      <w:r w:rsidRPr="00BC5C51" w:rsidDel="00421A30">
        <w:rPr>
          <w:noProof/>
          <w:color w:val="000000" w:themeColor="text1"/>
        </w:rPr>
        <w:t xml:space="preserve">specialised services. Stakeholders </w:t>
      </w:r>
      <w:r w:rsidRPr="00BC5C51">
        <w:rPr>
          <w:noProof/>
          <w:color w:val="000000" w:themeColor="text1"/>
        </w:rPr>
        <w:t>report</w:t>
      </w:r>
      <w:r w:rsidRPr="00BC5C51" w:rsidDel="00421A30">
        <w:rPr>
          <w:noProof/>
          <w:color w:val="000000" w:themeColor="text1"/>
        </w:rPr>
        <w:t xml:space="preserve"> difficulties in assessing ex</w:t>
      </w:r>
      <w:r w:rsidRPr="00BC5C51">
        <w:rPr>
          <w:noProof/>
          <w:color w:val="000000" w:themeColor="text1"/>
        </w:rPr>
        <w:t xml:space="preserve"> </w:t>
      </w:r>
      <w:r w:rsidRPr="00BC5C51" w:rsidDel="00421A30">
        <w:rPr>
          <w:noProof/>
          <w:color w:val="000000" w:themeColor="text1"/>
        </w:rPr>
        <w:t xml:space="preserve">ante whether an innovative service would </w:t>
      </w:r>
      <w:r w:rsidRPr="00BC5C51">
        <w:rPr>
          <w:noProof/>
          <w:color w:val="000000" w:themeColor="text1"/>
        </w:rPr>
        <w:t>comply</w:t>
      </w:r>
      <w:r w:rsidRPr="00BC5C51" w:rsidDel="00421A30">
        <w:rPr>
          <w:noProof/>
          <w:color w:val="000000" w:themeColor="text1"/>
        </w:rPr>
        <w:t xml:space="preserve"> with the OIR</w:t>
      </w:r>
      <w:r w:rsidRPr="00BC5C51">
        <w:rPr>
          <w:noProof/>
          <w:color w:val="000000" w:themeColor="text1"/>
        </w:rPr>
        <w:t>.</w:t>
      </w:r>
      <w:r w:rsidRPr="00BC5C51" w:rsidDel="00421A30">
        <w:rPr>
          <w:noProof/>
          <w:color w:val="000000" w:themeColor="text1"/>
        </w:rPr>
        <w:t xml:space="preserve"> </w:t>
      </w:r>
      <w:r w:rsidRPr="00BC5C51">
        <w:rPr>
          <w:noProof/>
          <w:color w:val="000000" w:themeColor="text1"/>
        </w:rPr>
        <w:t>Consequently, they highlight</w:t>
      </w:r>
      <w:r w:rsidRPr="00BC5C51" w:rsidDel="00421A30">
        <w:rPr>
          <w:noProof/>
          <w:color w:val="000000" w:themeColor="text1"/>
        </w:rPr>
        <w:t xml:space="preserve"> the need </w:t>
      </w:r>
      <w:r w:rsidRPr="00BC5C51">
        <w:rPr>
          <w:noProof/>
          <w:color w:val="000000" w:themeColor="text1"/>
        </w:rPr>
        <w:t>for</w:t>
      </w:r>
      <w:r w:rsidRPr="00BC5C51" w:rsidDel="00421A30">
        <w:rPr>
          <w:noProof/>
          <w:color w:val="000000" w:themeColor="text1"/>
        </w:rPr>
        <w:t xml:space="preserve"> more guidance and predictability in order to minimise a </w:t>
      </w:r>
      <w:r w:rsidRPr="00BC5C51" w:rsidDel="00421A30">
        <w:rPr>
          <w:b/>
          <w:noProof/>
          <w:color w:val="000000" w:themeColor="text1"/>
        </w:rPr>
        <w:t>chilling effect on investments and innovation</w:t>
      </w:r>
      <w:r w:rsidRPr="00BC5C51" w:rsidDel="00421A30">
        <w:rPr>
          <w:noProof/>
          <w:color w:val="000000" w:themeColor="text1"/>
        </w:rPr>
        <w:t xml:space="preserve">, particularly </w:t>
      </w:r>
      <w:r w:rsidRPr="00BC5C51">
        <w:rPr>
          <w:noProof/>
          <w:color w:val="000000" w:themeColor="text1"/>
        </w:rPr>
        <w:t>in relation</w:t>
      </w:r>
      <w:r w:rsidRPr="00BC5C51" w:rsidDel="00421A30">
        <w:rPr>
          <w:noProof/>
          <w:color w:val="000000" w:themeColor="text1"/>
        </w:rPr>
        <w:t xml:space="preserve"> to network slicing used to implement specialised services</w:t>
      </w:r>
      <w:r w:rsidRPr="00BC5C51">
        <w:rPr>
          <w:noProof/>
          <w:color w:val="000000" w:themeColor="text1"/>
        </w:rPr>
        <w:t>.</w:t>
      </w:r>
    </w:p>
    <w:p w14:paraId="417FA6C0" w14:textId="03260286" w:rsidR="008D0915" w:rsidRPr="00602574" w:rsidRDefault="008D0915" w:rsidP="006A3DDC">
      <w:pPr>
        <w:pStyle w:val="Text1"/>
        <w:spacing w:line="240" w:lineRule="auto"/>
        <w:ind w:left="0" w:right="141"/>
        <w:rPr>
          <w:noProof/>
          <w:sz w:val="20"/>
        </w:rPr>
      </w:pPr>
      <w:r w:rsidRPr="00602574">
        <w:rPr>
          <w:rFonts w:eastAsia="EYInterstate Light"/>
          <w:noProof/>
        </w:rPr>
        <w:t xml:space="preserve">The speed of 5G deployment and the quality of service also depend on </w:t>
      </w:r>
      <w:r w:rsidRPr="00602574">
        <w:rPr>
          <w:rFonts w:eastAsia="EYInterstate Light"/>
          <w:b/>
          <w:noProof/>
        </w:rPr>
        <w:t>the availability of sufficient spectrum</w:t>
      </w:r>
      <w:r w:rsidRPr="00602574">
        <w:rPr>
          <w:rFonts w:eastAsia="EYInterstate Light"/>
          <w:noProof/>
        </w:rPr>
        <w:t xml:space="preserve">. </w:t>
      </w:r>
      <w:r w:rsidRPr="005C544D">
        <w:rPr>
          <w:noProof/>
        </w:rPr>
        <w:t xml:space="preserve">The amount of spectrum used by mobile networks has doubled </w:t>
      </w:r>
      <w:r w:rsidR="0091029E">
        <w:rPr>
          <w:noProof/>
        </w:rPr>
        <w:t xml:space="preserve">in the </w:t>
      </w:r>
      <w:r w:rsidR="00377F13">
        <w:rPr>
          <w:noProof/>
        </w:rPr>
        <w:t>period 2014</w:t>
      </w:r>
      <w:r w:rsidR="001864DB" w:rsidRPr="00602574">
        <w:rPr>
          <w:noProof/>
          <w:color w:val="000000" w:themeColor="text1"/>
        </w:rPr>
        <w:t>–</w:t>
      </w:r>
      <w:r w:rsidR="00377F13">
        <w:rPr>
          <w:noProof/>
        </w:rPr>
        <w:t xml:space="preserve">2024 </w:t>
      </w:r>
      <w:r w:rsidRPr="005C544D">
        <w:rPr>
          <w:noProof/>
        </w:rPr>
        <w:t>to ensure higher service quality</w:t>
      </w:r>
      <w:r w:rsidR="00CC6747">
        <w:rPr>
          <w:noProof/>
        </w:rPr>
        <w:t xml:space="preserve"> and </w:t>
      </w:r>
      <w:r w:rsidR="005765BD" w:rsidRPr="00F87B9B" w:rsidDel="00B83E97">
        <w:rPr>
          <w:noProof/>
        </w:rPr>
        <w:t>to bring 4G and 5G to consumers</w:t>
      </w:r>
      <w:r w:rsidRPr="005C544D">
        <w:rPr>
          <w:rStyle w:val="FootnoteReference"/>
          <w:noProof/>
        </w:rPr>
        <w:footnoteReference w:id="40"/>
      </w:r>
      <w:r w:rsidRPr="005C544D">
        <w:rPr>
          <w:noProof/>
        </w:rPr>
        <w:t>. The growing demand for wireless services in general is increasing spectrum scarcity</w:t>
      </w:r>
      <w:r w:rsidRPr="005C544D">
        <w:rPr>
          <w:rStyle w:val="FootnoteReference"/>
          <w:noProof/>
        </w:rPr>
        <w:footnoteReference w:id="41"/>
      </w:r>
      <w:r w:rsidRPr="005C544D">
        <w:rPr>
          <w:noProof/>
        </w:rPr>
        <w:t>, especially in low and mid-bands needed for coverage and capacity. To access additional spectrum, MNOs compete with potential or incumbent spectrum users, such as broadcasters or the Wi-Fi industry. In addition, new players have entered the 5G ecosystem, like industrial verticals and wholesale only operators, including tower operators, with their own spectrum needs or ambitions. The lack of sufficient spectrum is also linked to limited deployment of private high quality mobile networks, with EU trailing other parts of the world</w:t>
      </w:r>
      <w:r w:rsidRPr="00602574">
        <w:rPr>
          <w:noProof/>
          <w:sz w:val="20"/>
        </w:rPr>
        <w:t>.</w:t>
      </w:r>
    </w:p>
    <w:p w14:paraId="592CF05C" w14:textId="3830C422" w:rsidR="008D0915" w:rsidRPr="005C544D" w:rsidRDefault="005974F6" w:rsidP="006A3DDC">
      <w:pPr>
        <w:spacing w:line="240" w:lineRule="auto"/>
        <w:rPr>
          <w:noProof/>
        </w:rPr>
      </w:pPr>
      <w:r>
        <w:rPr>
          <w:noProof/>
        </w:rPr>
        <w:t xml:space="preserve">Table 2 </w:t>
      </w:r>
      <w:r w:rsidR="008D0915" w:rsidRPr="00602574">
        <w:rPr>
          <w:noProof/>
        </w:rPr>
        <w:t xml:space="preserve">summarises the main findings of the evaluation on mobile connectivity and private networks spectrum sharing, with references to the detailed analysis in the relevant </w:t>
      </w:r>
      <w:r w:rsidR="00090D82">
        <w:rPr>
          <w:noProof/>
        </w:rPr>
        <w:t>s</w:t>
      </w:r>
      <w:r w:rsidR="00090D82" w:rsidRPr="00602574">
        <w:rPr>
          <w:noProof/>
        </w:rPr>
        <w:t xml:space="preserve">ections </w:t>
      </w:r>
      <w:r w:rsidR="008D0915" w:rsidRPr="00602574">
        <w:rPr>
          <w:noProof/>
        </w:rPr>
        <w:t>of Annex 11. The main evaluation evidence linked to lack of predictability, fragmentation and lack of Single Market</w:t>
      </w:r>
      <w:r w:rsidR="00241050">
        <w:rPr>
          <w:noProof/>
        </w:rPr>
        <w:t>,</w:t>
      </w:r>
      <w:r w:rsidR="000065C4">
        <w:rPr>
          <w:noProof/>
        </w:rPr>
        <w:t xml:space="preserve"> </w:t>
      </w:r>
      <w:r w:rsidR="008D0915" w:rsidRPr="00602574">
        <w:rPr>
          <w:noProof/>
        </w:rPr>
        <w:t xml:space="preserve">low financial attractiveness of 5G projects </w:t>
      </w:r>
      <w:r w:rsidR="00241050">
        <w:rPr>
          <w:noProof/>
        </w:rPr>
        <w:t xml:space="preserve">and inefficient use of spectrum </w:t>
      </w:r>
      <w:r w:rsidR="008D0915" w:rsidRPr="00602574">
        <w:rPr>
          <w:noProof/>
        </w:rPr>
        <w:t xml:space="preserve">are presented in </w:t>
      </w:r>
      <w:r w:rsidR="00090D82">
        <w:rPr>
          <w:noProof/>
        </w:rPr>
        <w:t xml:space="preserve">section </w:t>
      </w:r>
      <w:r w:rsidR="009E2153">
        <w:rPr>
          <w:noProof/>
        </w:rPr>
        <w:t>2.2.2</w:t>
      </w:r>
      <w:r w:rsidR="001864DB">
        <w:rPr>
          <w:noProof/>
        </w:rPr>
        <w:t>,</w:t>
      </w:r>
      <w:r w:rsidR="009E2153">
        <w:rPr>
          <w:noProof/>
        </w:rPr>
        <w:t xml:space="preserve"> Table</w:t>
      </w:r>
      <w:r w:rsidR="00833622">
        <w:rPr>
          <w:noProof/>
        </w:rPr>
        <w:t>s</w:t>
      </w:r>
      <w:r w:rsidR="009E2153">
        <w:rPr>
          <w:noProof/>
        </w:rPr>
        <w:t xml:space="preserve"> 8</w:t>
      </w:r>
      <w:r w:rsidR="00833622" w:rsidRPr="00602574">
        <w:rPr>
          <w:rFonts w:eastAsia="Times New Roman"/>
          <w:noProof/>
          <w:color w:val="000000" w:themeColor="text1"/>
        </w:rPr>
        <w:t>–</w:t>
      </w:r>
      <w:r w:rsidR="00241050">
        <w:rPr>
          <w:noProof/>
        </w:rPr>
        <w:t>10</w:t>
      </w:r>
      <w:r w:rsidR="00BD664E">
        <w:rPr>
          <w:noProof/>
        </w:rPr>
        <w:t>.</w:t>
      </w:r>
    </w:p>
    <w:p w14:paraId="116C8429" w14:textId="672F3BA1" w:rsidR="00735C0E" w:rsidRPr="0060773D" w:rsidRDefault="00E61B98" w:rsidP="0087683B">
      <w:pPr>
        <w:keepNext/>
        <w:keepLines/>
        <w:spacing w:after="120"/>
        <w:rPr>
          <w:i/>
          <w:noProof/>
        </w:rPr>
      </w:pPr>
      <w:r w:rsidRPr="0060773D">
        <w:rPr>
          <w:i/>
          <w:noProof/>
        </w:rPr>
        <w:t>Table</w:t>
      </w:r>
      <w:r w:rsidR="003E778E" w:rsidRPr="0060773D">
        <w:rPr>
          <w:i/>
          <w:noProof/>
        </w:rPr>
        <w:t xml:space="preserve"> </w:t>
      </w:r>
      <w:r w:rsidR="005B122A" w:rsidRPr="0060773D">
        <w:rPr>
          <w:i/>
          <w:noProof/>
        </w:rPr>
        <w:t>2</w:t>
      </w:r>
      <w:r w:rsidRPr="0060773D">
        <w:rPr>
          <w:i/>
          <w:noProof/>
        </w:rPr>
        <w:t>: Evaluation report findings on connectivity achievements</w:t>
      </w:r>
      <w:r w:rsidR="000613F5" w:rsidRPr="0060773D">
        <w:rPr>
          <w:i/>
          <w:noProof/>
        </w:rPr>
        <w:t xml:space="preserve"> and</w:t>
      </w:r>
      <w:r w:rsidRPr="0060773D">
        <w:rPr>
          <w:i/>
          <w:noProof/>
        </w:rPr>
        <w:t xml:space="preserve"> private networks</w:t>
      </w:r>
    </w:p>
    <w:tbl>
      <w:tblPr>
        <w:tblStyle w:val="TableGrid"/>
        <w:tblW w:w="96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265"/>
      </w:tblGrid>
      <w:tr w:rsidR="008564DA" w:rsidRPr="00DE264C" w14:paraId="5A37829E" w14:textId="77777777" w:rsidTr="00164278">
        <w:trPr>
          <w:trHeight w:val="478"/>
        </w:trPr>
        <w:tc>
          <w:tcPr>
            <w:tcW w:w="6345" w:type="dxa"/>
          </w:tcPr>
          <w:p w14:paraId="2C9CE150" w14:textId="27B89D7D" w:rsidR="00446388" w:rsidRPr="00DE264C" w:rsidRDefault="00446388" w:rsidP="009F641D">
            <w:pPr>
              <w:pStyle w:val="Text1"/>
              <w:spacing w:after="120"/>
              <w:ind w:left="0"/>
              <w:jc w:val="center"/>
              <w:rPr>
                <w:noProof/>
                <w:color w:val="000000" w:themeColor="text1"/>
                <w:sz w:val="20"/>
              </w:rPr>
            </w:pPr>
            <w:r w:rsidRPr="00DE264C">
              <w:rPr>
                <w:caps/>
                <w:noProof/>
                <w:sz w:val="20"/>
              </w:rPr>
              <w:t>Evaluation report findings:</w:t>
            </w:r>
          </w:p>
        </w:tc>
        <w:tc>
          <w:tcPr>
            <w:tcW w:w="3265" w:type="dxa"/>
          </w:tcPr>
          <w:p w14:paraId="197C8CF0" w14:textId="6F9846FF" w:rsidR="00446388" w:rsidRPr="00DE264C" w:rsidRDefault="002D3DB6" w:rsidP="009F641D">
            <w:pPr>
              <w:spacing w:after="120"/>
              <w:jc w:val="center"/>
              <w:rPr>
                <w:noProof/>
                <w:sz w:val="20"/>
                <w:szCs w:val="20"/>
              </w:rPr>
            </w:pPr>
            <w:r w:rsidRPr="00DE264C">
              <w:rPr>
                <w:noProof/>
                <w:sz w:val="20"/>
                <w:szCs w:val="20"/>
              </w:rPr>
              <w:t>SECTION</w:t>
            </w:r>
            <w:r w:rsidR="00E86CF4" w:rsidRPr="00DE264C">
              <w:rPr>
                <w:noProof/>
                <w:sz w:val="20"/>
                <w:szCs w:val="20"/>
              </w:rPr>
              <w:t>S</w:t>
            </w:r>
            <w:r w:rsidRPr="00DE264C">
              <w:rPr>
                <w:noProof/>
                <w:sz w:val="20"/>
                <w:szCs w:val="20"/>
              </w:rPr>
              <w:t xml:space="preserve"> IN </w:t>
            </w:r>
            <w:r w:rsidR="00446388" w:rsidRPr="00DE264C">
              <w:rPr>
                <w:noProof/>
                <w:sz w:val="20"/>
                <w:szCs w:val="20"/>
              </w:rPr>
              <w:t>ANNEX 7</w:t>
            </w:r>
            <w:r w:rsidR="0051390D" w:rsidRPr="00DE264C">
              <w:rPr>
                <w:noProof/>
                <w:sz w:val="20"/>
                <w:szCs w:val="20"/>
              </w:rPr>
              <w:t xml:space="preserve"> </w:t>
            </w:r>
            <w:r w:rsidR="00326D7C" w:rsidRPr="00DE264C">
              <w:rPr>
                <w:noProof/>
                <w:sz w:val="20"/>
                <w:szCs w:val="20"/>
              </w:rPr>
              <w:t>AND</w:t>
            </w:r>
            <w:r w:rsidR="0051390D" w:rsidRPr="00DE264C">
              <w:rPr>
                <w:noProof/>
                <w:sz w:val="20"/>
                <w:szCs w:val="20"/>
              </w:rPr>
              <w:t xml:space="preserve"> 11 </w:t>
            </w:r>
          </w:p>
        </w:tc>
      </w:tr>
      <w:tr w:rsidR="008564DA" w:rsidRPr="00DE264C" w14:paraId="34A85D74" w14:textId="77777777" w:rsidTr="00164278">
        <w:trPr>
          <w:trHeight w:val="612"/>
        </w:trPr>
        <w:tc>
          <w:tcPr>
            <w:tcW w:w="6345" w:type="dxa"/>
          </w:tcPr>
          <w:p w14:paraId="2CE8A0F3" w14:textId="59560471" w:rsidR="00847AC4" w:rsidRPr="00DE264C" w:rsidRDefault="009D3214" w:rsidP="009F641D">
            <w:pPr>
              <w:pStyle w:val="Text1"/>
              <w:spacing w:after="120"/>
              <w:ind w:left="0" w:right="417"/>
              <w:rPr>
                <w:noProof/>
                <w:color w:val="000000" w:themeColor="text1"/>
                <w:sz w:val="20"/>
              </w:rPr>
            </w:pPr>
            <w:r w:rsidRPr="007F477A">
              <w:rPr>
                <w:b/>
                <w:noProof/>
                <w:color w:val="000000" w:themeColor="text1"/>
                <w:sz w:val="20"/>
              </w:rPr>
              <w:t xml:space="preserve">Insufficient </w:t>
            </w:r>
            <w:r w:rsidR="00D23416" w:rsidRPr="007F477A">
              <w:rPr>
                <w:b/>
                <w:noProof/>
                <w:color w:val="000000" w:themeColor="text1"/>
                <w:sz w:val="20"/>
              </w:rPr>
              <w:t xml:space="preserve">5G mobile </w:t>
            </w:r>
            <w:r w:rsidRPr="007F477A">
              <w:rPr>
                <w:b/>
                <w:noProof/>
                <w:color w:val="000000" w:themeColor="text1"/>
                <w:sz w:val="20"/>
              </w:rPr>
              <w:t xml:space="preserve">connectivity </w:t>
            </w:r>
            <w:r w:rsidR="00D23416" w:rsidRPr="007F477A">
              <w:rPr>
                <w:b/>
                <w:noProof/>
                <w:color w:val="000000" w:themeColor="text1"/>
                <w:sz w:val="20"/>
              </w:rPr>
              <w:t>achievements</w:t>
            </w:r>
          </w:p>
          <w:p w14:paraId="2C20D5DD" w14:textId="2253649B" w:rsidR="00EA1A52" w:rsidRPr="00DE264C" w:rsidRDefault="1EB8E7D9" w:rsidP="009F641D">
            <w:pPr>
              <w:pStyle w:val="Text1"/>
              <w:numPr>
                <w:ilvl w:val="0"/>
                <w:numId w:val="5"/>
              </w:numPr>
              <w:spacing w:after="120"/>
              <w:ind w:right="417"/>
              <w:rPr>
                <w:noProof/>
                <w:sz w:val="20"/>
              </w:rPr>
            </w:pPr>
            <w:r w:rsidRPr="00DE264C">
              <w:rPr>
                <w:noProof/>
                <w:sz w:val="20"/>
              </w:rPr>
              <w:t xml:space="preserve">European </w:t>
            </w:r>
            <w:r w:rsidR="734E7E70" w:rsidRPr="00DE264C">
              <w:rPr>
                <w:noProof/>
                <w:sz w:val="20"/>
              </w:rPr>
              <w:t xml:space="preserve">High quality </w:t>
            </w:r>
            <w:r w:rsidRPr="00DE264C">
              <w:rPr>
                <w:noProof/>
                <w:sz w:val="20"/>
              </w:rPr>
              <w:t xml:space="preserve">5G </w:t>
            </w:r>
            <w:r w:rsidR="734E7E70" w:rsidRPr="00DE264C">
              <w:rPr>
                <w:noProof/>
                <w:sz w:val="20"/>
              </w:rPr>
              <w:t xml:space="preserve">Coverage </w:t>
            </w:r>
            <w:r w:rsidRPr="00DE264C">
              <w:rPr>
                <w:noProof/>
                <w:sz w:val="20"/>
              </w:rPr>
              <w:t>(mid-band and S</w:t>
            </w:r>
            <w:r w:rsidR="043EBE3E" w:rsidRPr="00DE264C">
              <w:rPr>
                <w:noProof/>
                <w:sz w:val="20"/>
              </w:rPr>
              <w:t>A</w:t>
            </w:r>
            <w:r w:rsidRPr="00DE264C">
              <w:rPr>
                <w:noProof/>
                <w:sz w:val="20"/>
              </w:rPr>
              <w:t>) below leading world economies</w:t>
            </w:r>
          </w:p>
          <w:p w14:paraId="6A516382" w14:textId="705CB468" w:rsidR="00847AC4" w:rsidRPr="00DE264C" w:rsidRDefault="1EB8E7D9" w:rsidP="009F641D">
            <w:pPr>
              <w:pStyle w:val="Text1"/>
              <w:numPr>
                <w:ilvl w:val="0"/>
                <w:numId w:val="5"/>
              </w:numPr>
              <w:spacing w:after="120"/>
              <w:ind w:right="141"/>
              <w:rPr>
                <w:noProof/>
                <w:color w:val="000000" w:themeColor="text1"/>
                <w:sz w:val="20"/>
              </w:rPr>
            </w:pPr>
            <w:r w:rsidRPr="00DE264C">
              <w:rPr>
                <w:noProof/>
                <w:sz w:val="20"/>
              </w:rPr>
              <w:t>Equally</w:t>
            </w:r>
            <w:r w:rsidRPr="00DE264C">
              <w:rPr>
                <w:noProof/>
                <w:color w:val="000000" w:themeColor="text1"/>
                <w:sz w:val="20"/>
              </w:rPr>
              <w:t xml:space="preserve"> low </w:t>
            </w:r>
            <w:r w:rsidR="73A3B64D" w:rsidRPr="00DE264C">
              <w:rPr>
                <w:noProof/>
                <w:color w:val="000000" w:themeColor="text1"/>
                <w:sz w:val="20"/>
              </w:rPr>
              <w:t xml:space="preserve">availability and </w:t>
            </w:r>
            <w:r w:rsidR="0085439F" w:rsidRPr="00DE264C">
              <w:rPr>
                <w:noProof/>
                <w:color w:val="000000" w:themeColor="text1"/>
                <w:sz w:val="20"/>
              </w:rPr>
              <w:t>take-</w:t>
            </w:r>
            <w:r w:rsidR="73A3B64D" w:rsidRPr="00DE264C">
              <w:rPr>
                <w:noProof/>
                <w:color w:val="000000" w:themeColor="text1"/>
                <w:sz w:val="20"/>
              </w:rPr>
              <w:t>up and lower download speeds.</w:t>
            </w:r>
          </w:p>
        </w:tc>
        <w:tc>
          <w:tcPr>
            <w:tcW w:w="3265" w:type="dxa"/>
          </w:tcPr>
          <w:p w14:paraId="0D1BD8A1" w14:textId="77777777" w:rsidR="00ED1C95" w:rsidRDefault="00ED1C95" w:rsidP="009F641D">
            <w:pPr>
              <w:spacing w:after="120"/>
              <w:ind w:left="146"/>
              <w:jc w:val="left"/>
              <w:rPr>
                <w:rFonts w:eastAsiaTheme="minorHAnsi"/>
                <w:noProof/>
                <w:sz w:val="20"/>
                <w:szCs w:val="20"/>
              </w:rPr>
            </w:pPr>
          </w:p>
          <w:p w14:paraId="4F636F0E" w14:textId="118C3417" w:rsidR="00847AC4" w:rsidRPr="00DE264C" w:rsidRDefault="00446388" w:rsidP="009F641D">
            <w:pPr>
              <w:spacing w:after="120"/>
              <w:ind w:left="146"/>
              <w:jc w:val="left"/>
              <w:rPr>
                <w:noProof/>
                <w:sz w:val="20"/>
                <w:szCs w:val="20"/>
              </w:rPr>
            </w:pPr>
            <w:r w:rsidRPr="00DE264C">
              <w:rPr>
                <w:rFonts w:eastAsiaTheme="minorHAnsi"/>
                <w:noProof/>
                <w:sz w:val="20"/>
                <w:szCs w:val="20"/>
              </w:rPr>
              <w:t xml:space="preserve">See </w:t>
            </w:r>
            <w:r w:rsidR="00187377" w:rsidRPr="00DE264C">
              <w:rPr>
                <w:rFonts w:eastAsiaTheme="minorHAnsi"/>
                <w:noProof/>
                <w:sz w:val="20"/>
                <w:szCs w:val="20"/>
              </w:rPr>
              <w:t xml:space="preserve">Annex </w:t>
            </w:r>
            <w:r w:rsidR="00933F15" w:rsidRPr="00DE264C">
              <w:rPr>
                <w:rFonts w:eastAsiaTheme="minorHAnsi"/>
                <w:noProof/>
                <w:sz w:val="20"/>
                <w:szCs w:val="20"/>
              </w:rPr>
              <w:t>11</w:t>
            </w:r>
            <w:r w:rsidR="00660496">
              <w:rPr>
                <w:rFonts w:eastAsiaTheme="minorHAnsi"/>
                <w:noProof/>
                <w:sz w:val="20"/>
                <w:szCs w:val="20"/>
              </w:rPr>
              <w:t>, s</w:t>
            </w:r>
            <w:r w:rsidR="00713774" w:rsidRPr="00DE264C">
              <w:rPr>
                <w:rFonts w:eastAsiaTheme="minorHAnsi"/>
                <w:noProof/>
                <w:sz w:val="20"/>
                <w:szCs w:val="20"/>
              </w:rPr>
              <w:t xml:space="preserve">ection </w:t>
            </w:r>
            <w:r w:rsidR="00D23416" w:rsidRPr="00DE264C">
              <w:rPr>
                <w:rFonts w:eastAsiaTheme="minorHAnsi"/>
                <w:noProof/>
                <w:sz w:val="20"/>
                <w:szCs w:val="20"/>
              </w:rPr>
              <w:t>5.4.</w:t>
            </w:r>
            <w:r w:rsidR="00AD66EE" w:rsidRPr="00DE264C" w:rsidDel="00AD66EE">
              <w:rPr>
                <w:rFonts w:eastAsiaTheme="minorHAnsi"/>
                <w:noProof/>
                <w:sz w:val="20"/>
                <w:szCs w:val="20"/>
              </w:rPr>
              <w:t xml:space="preserve"> </w:t>
            </w:r>
            <w:r w:rsidR="00D23416" w:rsidRPr="00DE264C">
              <w:rPr>
                <w:rFonts w:eastAsiaTheme="minorHAnsi"/>
                <w:noProof/>
                <w:sz w:val="20"/>
                <w:szCs w:val="20"/>
              </w:rPr>
              <w:t xml:space="preserve">1. </w:t>
            </w:r>
            <w:r w:rsidR="00833622">
              <w:rPr>
                <w:rFonts w:eastAsiaTheme="minorHAnsi"/>
                <w:noProof/>
                <w:sz w:val="20"/>
                <w:szCs w:val="20"/>
              </w:rPr>
              <w:br/>
            </w:r>
            <w:r w:rsidR="00D23416" w:rsidRPr="00DE264C">
              <w:rPr>
                <w:rFonts w:eastAsiaTheme="minorHAnsi"/>
                <w:noProof/>
                <w:sz w:val="20"/>
                <w:szCs w:val="20"/>
              </w:rPr>
              <w:t>5G Connectivity achievements</w:t>
            </w:r>
          </w:p>
        </w:tc>
      </w:tr>
      <w:tr w:rsidR="008564DA" w:rsidRPr="00DE264C" w14:paraId="2A416331" w14:textId="77777777" w:rsidTr="00164278">
        <w:trPr>
          <w:trHeight w:val="612"/>
        </w:trPr>
        <w:tc>
          <w:tcPr>
            <w:tcW w:w="6345" w:type="dxa"/>
          </w:tcPr>
          <w:p w14:paraId="7026191F" w14:textId="3BF1E184" w:rsidR="00016911" w:rsidRPr="00DE264C" w:rsidRDefault="00016911" w:rsidP="009F641D">
            <w:pPr>
              <w:pStyle w:val="Text1"/>
              <w:spacing w:after="120"/>
              <w:ind w:left="0" w:right="141"/>
              <w:rPr>
                <w:noProof/>
                <w:sz w:val="20"/>
              </w:rPr>
            </w:pPr>
            <w:r w:rsidRPr="007F477A">
              <w:rPr>
                <w:b/>
                <w:noProof/>
                <w:sz w:val="20"/>
              </w:rPr>
              <w:t>Limited uptake of</w:t>
            </w:r>
            <w:r w:rsidRPr="00DE264C">
              <w:rPr>
                <w:noProof/>
                <w:sz w:val="20"/>
              </w:rPr>
              <w:t xml:space="preserve"> </w:t>
            </w:r>
            <w:r w:rsidRPr="007F477A">
              <w:rPr>
                <w:b/>
                <w:noProof/>
                <w:sz w:val="20"/>
              </w:rPr>
              <w:t>private networks</w:t>
            </w:r>
            <w:r w:rsidR="002C166E" w:rsidRPr="00DE264C">
              <w:rPr>
                <w:noProof/>
                <w:sz w:val="20"/>
              </w:rPr>
              <w:t xml:space="preserve"> with EU trailing other parts of the world </w:t>
            </w:r>
          </w:p>
          <w:p w14:paraId="56BF88C6" w14:textId="1F68EE00" w:rsidR="00016911" w:rsidRPr="00DE264C" w:rsidRDefault="00016911" w:rsidP="009F641D">
            <w:pPr>
              <w:pStyle w:val="Text1"/>
              <w:numPr>
                <w:ilvl w:val="0"/>
                <w:numId w:val="5"/>
              </w:numPr>
              <w:spacing w:after="120"/>
              <w:ind w:right="141"/>
              <w:rPr>
                <w:noProof/>
                <w:sz w:val="20"/>
              </w:rPr>
            </w:pPr>
            <w:r w:rsidRPr="00DE264C">
              <w:rPr>
                <w:noProof/>
                <w:sz w:val="20"/>
              </w:rPr>
              <w:t>Spectrum access remains uneven, due to lack of spectrum sharing between public and private networks, with only a few Member States offering transparent and affordable local licensing regimes.</w:t>
            </w:r>
          </w:p>
          <w:p w14:paraId="02B066AE" w14:textId="7AD04442" w:rsidR="00765462" w:rsidRPr="00DE264C" w:rsidRDefault="00593F50" w:rsidP="009F641D">
            <w:pPr>
              <w:pStyle w:val="ListParagraph"/>
              <w:numPr>
                <w:ilvl w:val="0"/>
                <w:numId w:val="5"/>
              </w:numPr>
              <w:spacing w:after="120"/>
              <w:ind w:right="141"/>
              <w:rPr>
                <w:noProof/>
                <w:color w:val="000000" w:themeColor="text1"/>
                <w:sz w:val="20"/>
                <w:szCs w:val="20"/>
              </w:rPr>
            </w:pPr>
            <w:r w:rsidRPr="00DE264C">
              <w:rPr>
                <w:rFonts w:eastAsiaTheme="minorHAnsi"/>
                <w:noProof/>
                <w:sz w:val="20"/>
                <w:szCs w:val="20"/>
              </w:rPr>
              <w:t>R</w:t>
            </w:r>
            <w:r w:rsidR="00765462" w:rsidRPr="00DE264C">
              <w:rPr>
                <w:rFonts w:eastAsiaTheme="minorHAnsi"/>
                <w:noProof/>
                <w:sz w:val="20"/>
                <w:szCs w:val="20"/>
              </w:rPr>
              <w:t xml:space="preserve">egulatory challenges </w:t>
            </w:r>
            <w:r w:rsidR="00F128F7" w:rsidRPr="00DE264C">
              <w:rPr>
                <w:rFonts w:eastAsiaTheme="minorHAnsi"/>
                <w:noProof/>
                <w:sz w:val="20"/>
                <w:szCs w:val="20"/>
              </w:rPr>
              <w:t xml:space="preserve">for </w:t>
            </w:r>
            <w:r w:rsidR="00765462" w:rsidRPr="00DE264C">
              <w:rPr>
                <w:rFonts w:eastAsiaTheme="minorHAnsi"/>
                <w:noProof/>
                <w:sz w:val="20"/>
                <w:szCs w:val="20"/>
              </w:rPr>
              <w:t xml:space="preserve">private 5G networks </w:t>
            </w:r>
            <w:r w:rsidR="00EA4379" w:rsidRPr="00DE264C">
              <w:rPr>
                <w:noProof/>
                <w:sz w:val="20"/>
                <w:szCs w:val="20"/>
              </w:rPr>
              <w:t xml:space="preserve">deployment </w:t>
            </w:r>
            <w:r w:rsidR="00954C27" w:rsidRPr="00DE264C">
              <w:rPr>
                <w:noProof/>
                <w:sz w:val="20"/>
                <w:szCs w:val="20"/>
              </w:rPr>
              <w:t>(</w:t>
            </w:r>
            <w:r w:rsidR="00765462" w:rsidRPr="00DE264C">
              <w:rPr>
                <w:rFonts w:eastAsiaTheme="minorHAnsi"/>
                <w:noProof/>
                <w:sz w:val="20"/>
                <w:szCs w:val="20"/>
              </w:rPr>
              <w:t>inconsistent availability of dedicated frequency bands, large variety of technical or administrative requirements</w:t>
            </w:r>
            <w:r w:rsidR="00954C27" w:rsidRPr="00DE264C">
              <w:rPr>
                <w:rFonts w:eastAsiaTheme="minorHAnsi"/>
                <w:noProof/>
                <w:sz w:val="20"/>
                <w:szCs w:val="20"/>
              </w:rPr>
              <w:t xml:space="preserve">, </w:t>
            </w:r>
            <w:r w:rsidR="00765462" w:rsidRPr="00DE264C">
              <w:rPr>
                <w:rFonts w:eastAsiaTheme="minorHAnsi"/>
                <w:noProof/>
                <w:sz w:val="20"/>
                <w:szCs w:val="20"/>
              </w:rPr>
              <w:t xml:space="preserve">complexity </w:t>
            </w:r>
            <w:r w:rsidR="00954C27" w:rsidRPr="00DE264C">
              <w:rPr>
                <w:rFonts w:eastAsiaTheme="minorHAnsi"/>
                <w:noProof/>
                <w:sz w:val="20"/>
                <w:szCs w:val="20"/>
              </w:rPr>
              <w:t>of the</w:t>
            </w:r>
            <w:r w:rsidR="00765462" w:rsidRPr="00DE264C">
              <w:rPr>
                <w:rFonts w:eastAsiaTheme="minorHAnsi"/>
                <w:noProof/>
                <w:sz w:val="20"/>
                <w:szCs w:val="20"/>
              </w:rPr>
              <w:t xml:space="preserve"> licensing procedure and price variations</w:t>
            </w:r>
            <w:r w:rsidR="00954C27" w:rsidRPr="00DE264C">
              <w:rPr>
                <w:rFonts w:eastAsiaTheme="minorHAnsi"/>
                <w:noProof/>
                <w:sz w:val="20"/>
                <w:szCs w:val="20"/>
              </w:rPr>
              <w:t>)</w:t>
            </w:r>
            <w:r w:rsidR="006D5D97" w:rsidRPr="00DE264C">
              <w:rPr>
                <w:rFonts w:eastAsiaTheme="minorHAnsi"/>
                <w:noProof/>
                <w:sz w:val="20"/>
                <w:szCs w:val="20"/>
              </w:rPr>
              <w:t>.</w:t>
            </w:r>
          </w:p>
        </w:tc>
        <w:tc>
          <w:tcPr>
            <w:tcW w:w="3265" w:type="dxa"/>
          </w:tcPr>
          <w:p w14:paraId="2599EA90" w14:textId="4AB70B7B" w:rsidR="0046414E" w:rsidRPr="00DE264C" w:rsidRDefault="00446388" w:rsidP="00236E38">
            <w:pPr>
              <w:pStyle w:val="Heading6"/>
              <w:spacing w:before="0" w:after="120"/>
              <w:ind w:left="150"/>
              <w:jc w:val="left"/>
              <w:outlineLvl w:val="5"/>
              <w:rPr>
                <w:noProof/>
                <w:sz w:val="20"/>
                <w:szCs w:val="20"/>
              </w:rPr>
            </w:pPr>
            <w:bookmarkStart w:id="48" w:name="_Toc208940849"/>
            <w:r w:rsidRPr="00E979EE">
              <w:rPr>
                <w:rFonts w:ascii="Times New Roman" w:hAnsi="Times New Roman"/>
                <w:noProof/>
                <w:color w:val="auto"/>
                <w:sz w:val="20"/>
              </w:rPr>
              <w:t xml:space="preserve">See </w:t>
            </w:r>
            <w:r w:rsidR="00593252" w:rsidRPr="00E979EE">
              <w:rPr>
                <w:rFonts w:ascii="Times New Roman" w:hAnsi="Times New Roman"/>
                <w:noProof/>
                <w:color w:val="auto"/>
                <w:sz w:val="20"/>
              </w:rPr>
              <w:t>Annex 11</w:t>
            </w:r>
            <w:r w:rsidR="00833622">
              <w:rPr>
                <w:rFonts w:ascii="Times New Roman" w:hAnsi="Times New Roman"/>
                <w:noProof/>
                <w:color w:val="auto"/>
                <w:sz w:val="20"/>
              </w:rPr>
              <w:t>,</w:t>
            </w:r>
            <w:r w:rsidR="00593252" w:rsidRPr="00E979EE">
              <w:rPr>
                <w:rFonts w:ascii="Times New Roman" w:hAnsi="Times New Roman"/>
                <w:noProof/>
                <w:color w:val="auto"/>
                <w:sz w:val="20"/>
              </w:rPr>
              <w:t xml:space="preserve"> </w:t>
            </w:r>
            <w:r w:rsidR="00833622">
              <w:rPr>
                <w:rFonts w:ascii="Times New Roman" w:hAnsi="Times New Roman"/>
                <w:noProof/>
                <w:color w:val="auto"/>
                <w:sz w:val="20"/>
              </w:rPr>
              <w:t>s</w:t>
            </w:r>
            <w:r w:rsidR="00713774" w:rsidRPr="00E979EE">
              <w:rPr>
                <w:rFonts w:ascii="Times New Roman" w:hAnsi="Times New Roman"/>
                <w:noProof/>
                <w:color w:val="auto"/>
                <w:sz w:val="20"/>
              </w:rPr>
              <w:t>ection</w:t>
            </w:r>
            <w:r w:rsidR="00F44D83" w:rsidRPr="00E979EE">
              <w:rPr>
                <w:rFonts w:ascii="Times New Roman" w:hAnsi="Times New Roman"/>
                <w:noProof/>
                <w:color w:val="auto"/>
                <w:sz w:val="20"/>
              </w:rPr>
              <w:t xml:space="preserve"> </w:t>
            </w:r>
            <w:r w:rsidR="0010385F" w:rsidRPr="00E979EE">
              <w:rPr>
                <w:rFonts w:ascii="Times New Roman" w:hAnsi="Times New Roman"/>
                <w:noProof/>
                <w:color w:val="auto"/>
                <w:sz w:val="20"/>
              </w:rPr>
              <w:t>5.4.</w:t>
            </w:r>
            <w:r w:rsidR="00422D5D" w:rsidRPr="00E979EE" w:rsidDel="00422D5D">
              <w:rPr>
                <w:rFonts w:ascii="Times New Roman" w:hAnsi="Times New Roman"/>
                <w:noProof/>
                <w:color w:val="auto"/>
                <w:sz w:val="20"/>
              </w:rPr>
              <w:t xml:space="preserve"> </w:t>
            </w:r>
            <w:r w:rsidR="00D175F7" w:rsidRPr="00E979EE">
              <w:rPr>
                <w:rFonts w:ascii="Times New Roman" w:hAnsi="Times New Roman"/>
                <w:noProof/>
                <w:color w:val="auto"/>
                <w:sz w:val="20"/>
              </w:rPr>
              <w:t>3</w:t>
            </w:r>
            <w:r w:rsidR="0010385F" w:rsidRPr="00E979EE">
              <w:rPr>
                <w:rFonts w:ascii="Times New Roman" w:hAnsi="Times New Roman"/>
                <w:noProof/>
                <w:color w:val="auto"/>
                <w:sz w:val="20"/>
              </w:rPr>
              <w:t>. Spectrum for industry: verticals and private networks</w:t>
            </w:r>
            <w:bookmarkEnd w:id="48"/>
          </w:p>
          <w:p w14:paraId="445FCCD2" w14:textId="1AC59FB6" w:rsidR="00F43C65" w:rsidRPr="00DE264C" w:rsidRDefault="001F60DF" w:rsidP="009F641D">
            <w:pPr>
              <w:spacing w:after="120"/>
              <w:ind w:left="150"/>
              <w:rPr>
                <w:noProof/>
                <w:sz w:val="20"/>
                <w:szCs w:val="20"/>
              </w:rPr>
            </w:pPr>
            <w:r w:rsidRPr="00DE264C">
              <w:rPr>
                <w:rFonts w:eastAsiaTheme="minorHAnsi"/>
                <w:noProof/>
                <w:sz w:val="20"/>
                <w:szCs w:val="20"/>
              </w:rPr>
              <w:t xml:space="preserve">Annex </w:t>
            </w:r>
            <w:r w:rsidR="00593252" w:rsidRPr="00DE264C">
              <w:rPr>
                <w:rFonts w:eastAsiaTheme="minorHAnsi"/>
                <w:noProof/>
                <w:sz w:val="20"/>
                <w:szCs w:val="20"/>
              </w:rPr>
              <w:t>7</w:t>
            </w:r>
            <w:r w:rsidR="00833622">
              <w:rPr>
                <w:rFonts w:eastAsiaTheme="minorHAnsi"/>
                <w:noProof/>
                <w:sz w:val="20"/>
                <w:szCs w:val="20"/>
              </w:rPr>
              <w:t>, s</w:t>
            </w:r>
            <w:r w:rsidR="00594807" w:rsidRPr="00DE264C">
              <w:rPr>
                <w:rFonts w:eastAsiaTheme="minorHAnsi"/>
                <w:noProof/>
                <w:sz w:val="20"/>
                <w:szCs w:val="20"/>
              </w:rPr>
              <w:t>ection 1.</w:t>
            </w:r>
            <w:r w:rsidR="00BF310B" w:rsidRPr="00DE264C">
              <w:rPr>
                <w:rFonts w:eastAsiaTheme="minorHAnsi"/>
                <w:noProof/>
                <w:sz w:val="20"/>
                <w:szCs w:val="20"/>
              </w:rPr>
              <w:t>2</w:t>
            </w:r>
            <w:r w:rsidR="00594807" w:rsidRPr="00DE264C">
              <w:rPr>
                <w:rFonts w:eastAsiaTheme="minorHAnsi"/>
                <w:noProof/>
                <w:sz w:val="20"/>
                <w:szCs w:val="20"/>
              </w:rPr>
              <w:t>.</w:t>
            </w:r>
            <w:r w:rsidR="00071911">
              <w:rPr>
                <w:rFonts w:eastAsiaTheme="minorHAnsi"/>
                <w:noProof/>
                <w:sz w:val="20"/>
                <w:szCs w:val="20"/>
              </w:rPr>
              <w:t>1</w:t>
            </w:r>
            <w:r w:rsidR="00071911" w:rsidRPr="00DE264C">
              <w:rPr>
                <w:rFonts w:eastAsiaTheme="minorHAnsi"/>
                <w:noProof/>
                <w:sz w:val="20"/>
                <w:szCs w:val="20"/>
              </w:rPr>
              <w:t xml:space="preserve"> </w:t>
            </w:r>
            <w:r w:rsidR="00F43C65" w:rsidRPr="00DE264C">
              <w:rPr>
                <w:rFonts w:eastAsiaTheme="minorHAnsi"/>
                <w:noProof/>
                <w:sz w:val="20"/>
                <w:szCs w:val="20"/>
              </w:rPr>
              <w:t xml:space="preserve">and BEREC </w:t>
            </w:r>
            <w:hyperlink r:id="rId26">
              <w:r w:rsidR="778A344B" w:rsidRPr="18864199">
                <w:rPr>
                  <w:rStyle w:val="Hyperlink"/>
                  <w:rFonts w:eastAsiaTheme="minorEastAsia"/>
                  <w:noProof/>
                  <w:color w:val="auto"/>
                  <w:sz w:val="20"/>
                  <w:szCs w:val="20"/>
                </w:rPr>
                <w:t>Report</w:t>
              </w:r>
            </w:hyperlink>
            <w:r w:rsidR="00F43C65" w:rsidRPr="00DE264C">
              <w:rPr>
                <w:rFonts w:eastAsiaTheme="minorHAnsi"/>
                <w:noProof/>
                <w:sz w:val="20"/>
                <w:szCs w:val="20"/>
              </w:rPr>
              <w:t xml:space="preserve"> on the evolution of private 5G networks and interrelation with public networks in Europe (BoR (25) 33</w:t>
            </w:r>
            <w:r w:rsidR="004C3C13" w:rsidRPr="00DE264C">
              <w:rPr>
                <w:rFonts w:eastAsiaTheme="minorHAnsi"/>
                <w:noProof/>
                <w:sz w:val="20"/>
                <w:szCs w:val="20"/>
              </w:rPr>
              <w:t>)</w:t>
            </w:r>
          </w:p>
        </w:tc>
      </w:tr>
    </w:tbl>
    <w:p w14:paraId="08A0AED1" w14:textId="5D73002A" w:rsidR="00DD110F" w:rsidRPr="00DE264C" w:rsidRDefault="0060561E" w:rsidP="00292895">
      <w:pPr>
        <w:pStyle w:val="Heading3"/>
        <w:tabs>
          <w:tab w:val="num" w:pos="7088"/>
        </w:tabs>
        <w:spacing w:before="120"/>
        <w:ind w:left="709"/>
        <w:rPr>
          <w:noProof/>
        </w:rPr>
      </w:pPr>
      <w:bookmarkStart w:id="49" w:name="_Toc214467690"/>
      <w:bookmarkStart w:id="50" w:name="_Toc215083718"/>
      <w:bookmarkStart w:id="51" w:name="_Toc219212486"/>
      <w:bookmarkStart w:id="52" w:name="_Toc219718141"/>
      <w:r w:rsidRPr="00292895">
        <w:rPr>
          <w:noProof/>
        </w:rPr>
        <w:t>Lack of pan-European networks and services</w:t>
      </w:r>
      <w:bookmarkEnd w:id="49"/>
      <w:bookmarkEnd w:id="50"/>
      <w:bookmarkEnd w:id="51"/>
      <w:bookmarkEnd w:id="52"/>
    </w:p>
    <w:p w14:paraId="66319E12" w14:textId="2E8ED2D6" w:rsidR="6517CD5F" w:rsidRPr="00DE264C" w:rsidRDefault="005E44A8" w:rsidP="00292895">
      <w:pPr>
        <w:pStyle w:val="Heading4"/>
        <w:rPr>
          <w:noProof/>
          <w:color w:val="000000" w:themeColor="text1"/>
        </w:rPr>
      </w:pPr>
      <w:r w:rsidRPr="6ED5AAF5">
        <w:rPr>
          <w:i/>
          <w:iCs/>
          <w:noProof/>
          <w:color w:val="000000" w:themeColor="text1"/>
        </w:rPr>
        <w:t>Barriers</w:t>
      </w:r>
      <w:r w:rsidR="3D7A67C2" w:rsidRPr="63F0A538">
        <w:rPr>
          <w:i/>
          <w:iCs/>
          <w:noProof/>
          <w:color w:val="000000" w:themeColor="text1"/>
        </w:rPr>
        <w:t xml:space="preserve"> </w:t>
      </w:r>
      <w:r w:rsidR="51F53EEF" w:rsidRPr="00DE264C">
        <w:rPr>
          <w:i/>
          <w:noProof/>
          <w:color w:val="000000" w:themeColor="text1"/>
        </w:rPr>
        <w:t xml:space="preserve">to cross-border </w:t>
      </w:r>
      <w:r w:rsidR="11347CAE" w:rsidRPr="00DE264C">
        <w:rPr>
          <w:i/>
          <w:noProof/>
          <w:color w:val="000000" w:themeColor="text1"/>
        </w:rPr>
        <w:t xml:space="preserve">innovative </w:t>
      </w:r>
      <w:r w:rsidR="6A7FE223" w:rsidRPr="63F0A538">
        <w:rPr>
          <w:i/>
          <w:iCs/>
          <w:noProof/>
          <w:color w:val="000000" w:themeColor="text1"/>
        </w:rPr>
        <w:t xml:space="preserve">networks and </w:t>
      </w:r>
      <w:r w:rsidR="11347CAE" w:rsidRPr="63F0A538">
        <w:rPr>
          <w:i/>
          <w:iCs/>
          <w:noProof/>
          <w:color w:val="000000" w:themeColor="text1"/>
        </w:rPr>
        <w:t>services</w:t>
      </w:r>
      <w:r w:rsidR="11347CAE" w:rsidRPr="00DE264C">
        <w:rPr>
          <w:i/>
          <w:noProof/>
          <w:color w:val="000000" w:themeColor="text1"/>
        </w:rPr>
        <w:t xml:space="preserve"> </w:t>
      </w:r>
    </w:p>
    <w:p w14:paraId="6D8D1065" w14:textId="6D4BC1D4" w:rsidR="40B8249F" w:rsidRDefault="3561BF25" w:rsidP="006A3DDC">
      <w:pPr>
        <w:spacing w:line="240" w:lineRule="auto"/>
        <w:rPr>
          <w:noProof/>
          <w:color w:val="000000" w:themeColor="text1"/>
          <w:vertAlign w:val="superscript"/>
        </w:rPr>
      </w:pPr>
      <w:r w:rsidRPr="15B50C0E">
        <w:rPr>
          <w:noProof/>
          <w:color w:val="000000" w:themeColor="text1"/>
        </w:rPr>
        <w:t xml:space="preserve">Developments </w:t>
      </w:r>
      <w:r w:rsidR="02A4CA17" w:rsidRPr="15B50C0E">
        <w:rPr>
          <w:noProof/>
          <w:color w:val="000000" w:themeColor="text1"/>
        </w:rPr>
        <w:t>such as</w:t>
      </w:r>
      <w:r w:rsidRPr="27F714C4">
        <w:rPr>
          <w:rFonts w:eastAsia="Times New Roman"/>
          <w:noProof/>
        </w:rPr>
        <w:t xml:space="preserve"> IoT, AI, </w:t>
      </w:r>
      <w:r w:rsidR="5D5D428A" w:rsidRPr="27F714C4">
        <w:rPr>
          <w:rFonts w:eastAsia="Times New Roman"/>
          <w:noProof/>
        </w:rPr>
        <w:t>cloud and edge computing</w:t>
      </w:r>
      <w:r w:rsidRPr="15B50C0E">
        <w:rPr>
          <w:rFonts w:eastAsia="Times New Roman"/>
          <w:noProof/>
        </w:rPr>
        <w:t>, data analytics, and content delivery networks are transforming the connectivity from a vertical sector into a highly converged ecosystem with newly emerging business models. As networks virtualise and shift to the cloud and edge, traditional telecoms, cloud, content, and software providers seamlessly integrate processing across the entire infrastructure</w:t>
      </w:r>
      <w:r w:rsidR="40B8249F" w:rsidRPr="15B50C0E">
        <w:rPr>
          <w:noProof/>
          <w:color w:val="000000" w:themeColor="text1"/>
          <w:vertAlign w:val="superscript"/>
        </w:rPr>
        <w:footnoteReference w:id="42"/>
      </w:r>
      <w:r w:rsidRPr="15B50C0E">
        <w:rPr>
          <w:rFonts w:eastAsia="Times New Roman"/>
          <w:noProof/>
        </w:rPr>
        <w:t xml:space="preserve">. </w:t>
      </w:r>
      <w:r w:rsidR="076C0E4E" w:rsidRPr="59C62136">
        <w:rPr>
          <w:rFonts w:eastAsia="Times New Roman"/>
          <w:noProof/>
        </w:rPr>
        <w:t>Fragmentation</w:t>
      </w:r>
      <w:r w:rsidRPr="59C62136">
        <w:rPr>
          <w:rFonts w:eastAsia="Times New Roman"/>
          <w:noProof/>
        </w:rPr>
        <w:t xml:space="preserve"> of rules</w:t>
      </w:r>
      <w:r w:rsidR="2C9C94C7" w:rsidRPr="59C62136">
        <w:rPr>
          <w:rFonts w:eastAsia="Times New Roman"/>
          <w:noProof/>
        </w:rPr>
        <w:t xml:space="preserve"> in such a converged ecosystem</w:t>
      </w:r>
      <w:r w:rsidRPr="59C62136">
        <w:rPr>
          <w:rFonts w:eastAsia="Times New Roman"/>
          <w:noProof/>
        </w:rPr>
        <w:t xml:space="preserve"> </w:t>
      </w:r>
      <w:r w:rsidR="076C0E4E" w:rsidRPr="59C62136">
        <w:rPr>
          <w:rFonts w:eastAsia="Times New Roman"/>
          <w:noProof/>
        </w:rPr>
        <w:t>prevents</w:t>
      </w:r>
      <w:r w:rsidRPr="15B50C0E">
        <w:rPr>
          <w:noProof/>
          <w:lang w:val="en-IE"/>
        </w:rPr>
        <w:t xml:space="preserve"> scale economies and </w:t>
      </w:r>
      <w:r w:rsidR="3AD2C373" w:rsidRPr="59C62136">
        <w:rPr>
          <w:noProof/>
          <w:lang w:val="en-IE"/>
        </w:rPr>
        <w:t>results</w:t>
      </w:r>
      <w:r w:rsidRPr="15B50C0E">
        <w:rPr>
          <w:noProof/>
          <w:lang w:val="en-IE"/>
        </w:rPr>
        <w:t xml:space="preserve"> in </w:t>
      </w:r>
      <w:r w:rsidR="3AD2C373" w:rsidRPr="59C62136">
        <w:rPr>
          <w:noProof/>
          <w:lang w:val="en-IE"/>
        </w:rPr>
        <w:t xml:space="preserve">sub-optimal </w:t>
      </w:r>
      <w:r w:rsidRPr="59C62136">
        <w:rPr>
          <w:noProof/>
          <w:lang w:val="en-IE"/>
        </w:rPr>
        <w:t>investment</w:t>
      </w:r>
      <w:r w:rsidR="5B160D49" w:rsidRPr="59C62136">
        <w:rPr>
          <w:noProof/>
          <w:lang w:val="en-IE"/>
        </w:rPr>
        <w:t>s</w:t>
      </w:r>
      <w:r w:rsidRPr="59C62136">
        <w:rPr>
          <w:noProof/>
          <w:lang w:val="en-IE"/>
        </w:rPr>
        <w:t xml:space="preserve"> in </w:t>
      </w:r>
      <w:r w:rsidRPr="15B50C0E">
        <w:rPr>
          <w:noProof/>
          <w:lang w:val="en-IE"/>
        </w:rPr>
        <w:t xml:space="preserve">next-generation connectivity. This is especially hindering for innovative services such as Network-as-a-Service (NaaS), network slicing, edge computing, and IoT-based industrial connectivity, which can only achieve viability as pan-European services. Their business models depend on seamless interoperability, cloud integration, and continuous data flows across Member States. </w:t>
      </w:r>
      <w:r w:rsidRPr="59C62136">
        <w:rPr>
          <w:noProof/>
          <w:lang w:val="en-IE"/>
        </w:rPr>
        <w:t>Wit</w:t>
      </w:r>
      <w:r w:rsidR="798ED8D1" w:rsidRPr="59C62136">
        <w:rPr>
          <w:noProof/>
          <w:lang w:val="en-IE"/>
        </w:rPr>
        <w:t>h fragmented</w:t>
      </w:r>
      <w:r w:rsidRPr="21F59E4E">
        <w:rPr>
          <w:noProof/>
          <w:lang w:val="en-IE"/>
        </w:rPr>
        <w:t xml:space="preserve"> </w:t>
      </w:r>
      <w:r w:rsidR="13871953" w:rsidRPr="56BD9E53">
        <w:rPr>
          <w:noProof/>
          <w:lang w:val="en-IE"/>
        </w:rPr>
        <w:t>market</w:t>
      </w:r>
      <w:r w:rsidRPr="15B50C0E">
        <w:rPr>
          <w:noProof/>
          <w:lang w:val="en-IE"/>
        </w:rPr>
        <w:t xml:space="preserve"> entry conditions, </w:t>
      </w:r>
      <w:r w:rsidR="1A97107D" w:rsidRPr="4812FB93">
        <w:rPr>
          <w:noProof/>
          <w:lang w:val="en-IE"/>
        </w:rPr>
        <w:t>divergent</w:t>
      </w:r>
      <w:r w:rsidRPr="15B50C0E">
        <w:rPr>
          <w:noProof/>
          <w:lang w:val="en-IE"/>
        </w:rPr>
        <w:t xml:space="preserve"> compliance rules across the EU and </w:t>
      </w:r>
      <w:r w:rsidR="0FAE2219" w:rsidRPr="4812FB93">
        <w:rPr>
          <w:noProof/>
          <w:lang w:val="en-IE"/>
        </w:rPr>
        <w:t>un</w:t>
      </w:r>
      <w:r w:rsidRPr="4812FB93">
        <w:rPr>
          <w:noProof/>
          <w:lang w:val="en-IE"/>
        </w:rPr>
        <w:t>predictable</w:t>
      </w:r>
      <w:r w:rsidRPr="15B50C0E">
        <w:rPr>
          <w:noProof/>
          <w:lang w:val="en-IE"/>
        </w:rPr>
        <w:t xml:space="preserve"> regulation, these services remain confined within national markets, preventing operators from achieving economies of scale and end-users from accessing new digital solutions. </w:t>
      </w:r>
    </w:p>
    <w:p w14:paraId="633A0361" w14:textId="73AD6A94" w:rsidR="40B8249F" w:rsidRDefault="3561BF25" w:rsidP="006A3DDC">
      <w:pPr>
        <w:spacing w:line="240" w:lineRule="auto"/>
        <w:rPr>
          <w:rStyle w:val="normaltextrun"/>
          <w:rFonts w:eastAsia="Times New Roman"/>
          <w:noProof/>
          <w:color w:val="000000" w:themeColor="text1"/>
        </w:rPr>
      </w:pPr>
      <w:r w:rsidRPr="1AB2D116">
        <w:rPr>
          <w:noProof/>
          <w:lang w:val="en-IE"/>
        </w:rPr>
        <w:t>The economic potential of these services is substantial. The network slicing market</w:t>
      </w:r>
      <w:r w:rsidRPr="7AC71608">
        <w:rPr>
          <w:noProof/>
          <w:lang w:val="en-IE"/>
        </w:rPr>
        <w:t xml:space="preserve"> </w:t>
      </w:r>
      <w:r w:rsidR="6666AC93" w:rsidRPr="7AC71608">
        <w:rPr>
          <w:noProof/>
          <w:lang w:val="en-IE"/>
        </w:rPr>
        <w:t>alone</w:t>
      </w:r>
      <w:r w:rsidR="2A0C7987" w:rsidRPr="7AC71608">
        <w:rPr>
          <w:noProof/>
          <w:lang w:val="en-IE"/>
        </w:rPr>
        <w:t xml:space="preserve"> </w:t>
      </w:r>
      <w:r w:rsidR="16528C24" w:rsidRPr="5CD3F119">
        <w:rPr>
          <w:noProof/>
          <w:lang w:val="en-IE"/>
        </w:rPr>
        <w:t>could</w:t>
      </w:r>
      <w:r w:rsidRPr="1AB2D116">
        <w:rPr>
          <w:noProof/>
          <w:lang w:val="en-IE"/>
        </w:rPr>
        <w:t xml:space="preserve"> grow globally from EUR</w:t>
      </w:r>
      <w:r w:rsidR="00B9456D">
        <w:rPr>
          <w:rFonts w:eastAsia="Times New Roman"/>
          <w:noProof/>
          <w:color w:val="000000" w:themeColor="text1"/>
        </w:rPr>
        <w:t> </w:t>
      </w:r>
      <w:r w:rsidRPr="1AB2D116">
        <w:rPr>
          <w:noProof/>
          <w:lang w:val="en-IE"/>
        </w:rPr>
        <w:t>1.8 billion in 2025 to EUR</w:t>
      </w:r>
      <w:r w:rsidR="00B9456D">
        <w:rPr>
          <w:rFonts w:eastAsia="Times New Roman"/>
          <w:noProof/>
          <w:color w:val="000000" w:themeColor="text1"/>
        </w:rPr>
        <w:t> </w:t>
      </w:r>
      <w:r w:rsidRPr="1AB2D116">
        <w:rPr>
          <w:noProof/>
          <w:lang w:val="en-IE"/>
        </w:rPr>
        <w:t>12.6 billion in 2030</w:t>
      </w:r>
      <w:r w:rsidR="40B8249F" w:rsidRPr="15B50C0E">
        <w:rPr>
          <w:rStyle w:val="FootnoteReference"/>
          <w:noProof/>
          <w:lang w:val="en-IE"/>
        </w:rPr>
        <w:footnoteReference w:id="43"/>
      </w:r>
      <w:r w:rsidRPr="1AB2D116">
        <w:rPr>
          <w:noProof/>
          <w:lang w:val="en-IE"/>
        </w:rPr>
        <w:t>, while the NaaS market is expected to expand from EUR</w:t>
      </w:r>
      <w:r w:rsidR="00B9456D">
        <w:rPr>
          <w:rFonts w:eastAsia="Times New Roman"/>
          <w:noProof/>
          <w:color w:val="000000" w:themeColor="text1"/>
        </w:rPr>
        <w:t> </w:t>
      </w:r>
      <w:r w:rsidRPr="1AB2D116">
        <w:rPr>
          <w:noProof/>
          <w:lang w:val="en-IE"/>
        </w:rPr>
        <w:t>28.13 billion in 2025 to EUR</w:t>
      </w:r>
      <w:r w:rsidR="00B9456D">
        <w:rPr>
          <w:rFonts w:eastAsia="Times New Roman"/>
          <w:noProof/>
          <w:color w:val="000000" w:themeColor="text1"/>
        </w:rPr>
        <w:t> </w:t>
      </w:r>
      <w:r w:rsidRPr="1AB2D116">
        <w:rPr>
          <w:noProof/>
          <w:lang w:val="en-IE"/>
        </w:rPr>
        <w:t>140</w:t>
      </w:r>
      <w:r w:rsidR="00833622">
        <w:rPr>
          <w:noProof/>
          <w:lang w:val="en-IE"/>
        </w:rPr>
        <w:t>.</w:t>
      </w:r>
      <w:r w:rsidRPr="1AB2D116">
        <w:rPr>
          <w:noProof/>
          <w:lang w:val="en-IE"/>
        </w:rPr>
        <w:t>45 billion in 2032</w:t>
      </w:r>
      <w:r w:rsidR="40B8249F" w:rsidRPr="15B50C0E">
        <w:rPr>
          <w:rStyle w:val="FootnoteReference"/>
          <w:noProof/>
          <w:lang w:val="en-IE"/>
        </w:rPr>
        <w:footnoteReference w:id="44"/>
      </w:r>
      <w:r w:rsidRPr="1AB2D116">
        <w:rPr>
          <w:noProof/>
          <w:lang w:val="en-IE"/>
        </w:rPr>
        <w:t>. Europe currently holds the second-largest global market share and could capture 20–25% of global revenues</w:t>
      </w:r>
      <w:r w:rsidR="456F847E" w:rsidRPr="7AC71608">
        <w:rPr>
          <w:noProof/>
          <w:lang w:val="en-IE"/>
        </w:rPr>
        <w:t xml:space="preserve"> from </w:t>
      </w:r>
      <w:r w:rsidR="456F847E">
        <w:rPr>
          <w:noProof/>
        </w:rPr>
        <w:t>network application programme interfaces (APIs)</w:t>
      </w:r>
      <w:r w:rsidR="2A0C7987" w:rsidRPr="7AC71608">
        <w:rPr>
          <w:noProof/>
          <w:lang w:val="en-IE"/>
        </w:rPr>
        <w:t>,</w:t>
      </w:r>
      <w:r w:rsidRPr="1AB2D116">
        <w:rPr>
          <w:noProof/>
          <w:lang w:val="en-IE"/>
        </w:rPr>
        <w:t xml:space="preserve"> equivalent to EUR</w:t>
      </w:r>
      <w:r w:rsidRPr="1AB2D116">
        <w:rPr>
          <w:rFonts w:eastAsia="Times New Roman"/>
          <w:noProof/>
          <w:color w:val="000000" w:themeColor="text1"/>
        </w:rPr>
        <w:t> </w:t>
      </w:r>
      <w:r w:rsidRPr="1AB2D116">
        <w:rPr>
          <w:noProof/>
          <w:lang w:val="en-IE"/>
        </w:rPr>
        <w:t>1.5</w:t>
      </w:r>
      <w:r w:rsidR="00833622" w:rsidRPr="1AB2D116">
        <w:rPr>
          <w:noProof/>
          <w:lang w:val="en-IE"/>
        </w:rPr>
        <w:t>–</w:t>
      </w:r>
      <w:r w:rsidRPr="1AB2D116">
        <w:rPr>
          <w:noProof/>
          <w:lang w:val="en-IE"/>
        </w:rPr>
        <w:t xml:space="preserve">7.5 billion by 2030, if the potential is unlocked through an enabling regulatory framework, removing potential </w:t>
      </w:r>
      <w:r w:rsidR="28CB1432" w:rsidRPr="07EFB5C5">
        <w:rPr>
          <w:noProof/>
          <w:lang w:val="en-IE"/>
        </w:rPr>
        <w:t>barriers</w:t>
      </w:r>
      <w:r w:rsidR="40B8249F" w:rsidRPr="15B50C0E">
        <w:rPr>
          <w:rStyle w:val="FootnoteReference"/>
          <w:noProof/>
          <w:lang w:val="en-IE"/>
        </w:rPr>
        <w:footnoteReference w:id="45"/>
      </w:r>
      <w:r w:rsidRPr="07EFB5C5">
        <w:rPr>
          <w:noProof/>
          <w:lang w:val="en-IE"/>
        </w:rPr>
        <w:t>.</w:t>
      </w:r>
    </w:p>
    <w:p w14:paraId="753CBEDB" w14:textId="1E6DE1B9" w:rsidR="00A61732" w:rsidRDefault="620BD561" w:rsidP="006A3DDC">
      <w:pPr>
        <w:spacing w:line="240" w:lineRule="auto"/>
        <w:rPr>
          <w:rStyle w:val="normaltextrun"/>
          <w:rFonts w:eastAsia="Times New Roman"/>
          <w:noProof/>
          <w:color w:val="000000" w:themeColor="text1"/>
        </w:rPr>
      </w:pPr>
      <w:r w:rsidRPr="00DE264C">
        <w:rPr>
          <w:rStyle w:val="normaltextrun"/>
          <w:rFonts w:eastAsia="Times New Roman"/>
          <w:noProof/>
          <w:color w:val="000000" w:themeColor="text1"/>
        </w:rPr>
        <w:t xml:space="preserve">The </w:t>
      </w:r>
      <w:r w:rsidRPr="00DE264C">
        <w:rPr>
          <w:noProof/>
        </w:rPr>
        <w:t>evaluation</w:t>
      </w:r>
      <w:r w:rsidRPr="00DE264C">
        <w:rPr>
          <w:rStyle w:val="normaltextrun"/>
          <w:rFonts w:eastAsia="Times New Roman"/>
          <w:noProof/>
          <w:color w:val="000000" w:themeColor="text1"/>
        </w:rPr>
        <w:t xml:space="preserve"> report (</w:t>
      </w:r>
      <w:r w:rsidR="00FE5C0A">
        <w:rPr>
          <w:rStyle w:val="normaltextrun"/>
          <w:rFonts w:eastAsia="Times New Roman"/>
          <w:noProof/>
          <w:color w:val="000000" w:themeColor="text1"/>
        </w:rPr>
        <w:t>A</w:t>
      </w:r>
      <w:r w:rsidRPr="00DE264C">
        <w:rPr>
          <w:rStyle w:val="normaltextrun"/>
          <w:rFonts w:eastAsia="Times New Roman"/>
          <w:noProof/>
          <w:color w:val="000000" w:themeColor="text1"/>
        </w:rPr>
        <w:t xml:space="preserve">nnex </w:t>
      </w:r>
      <w:r w:rsidR="00470D5E" w:rsidRPr="00DE264C">
        <w:rPr>
          <w:rStyle w:val="normaltextrun"/>
          <w:rFonts w:eastAsia="Times New Roman"/>
          <w:noProof/>
          <w:color w:val="000000" w:themeColor="text1"/>
        </w:rPr>
        <w:t>11</w:t>
      </w:r>
      <w:r w:rsidRPr="00DE264C">
        <w:rPr>
          <w:rStyle w:val="normaltextrun"/>
          <w:rFonts w:eastAsia="Times New Roman"/>
          <w:noProof/>
          <w:color w:val="000000" w:themeColor="text1"/>
        </w:rPr>
        <w:t>) conclude</w:t>
      </w:r>
      <w:r w:rsidR="00D60305" w:rsidRPr="00DE264C">
        <w:rPr>
          <w:rStyle w:val="normaltextrun"/>
          <w:rFonts w:eastAsia="Times New Roman"/>
          <w:noProof/>
          <w:color w:val="000000" w:themeColor="text1"/>
        </w:rPr>
        <w:t>s</w:t>
      </w:r>
      <w:r w:rsidRPr="00DE264C">
        <w:rPr>
          <w:rStyle w:val="normaltextrun"/>
          <w:rFonts w:eastAsia="Times New Roman"/>
          <w:noProof/>
          <w:color w:val="000000" w:themeColor="text1"/>
        </w:rPr>
        <w:t xml:space="preserve"> that the fragmentation of rules, </w:t>
      </w:r>
      <w:r w:rsidR="436B1299" w:rsidRPr="7AC71608">
        <w:rPr>
          <w:rStyle w:val="normaltextrun"/>
          <w:rFonts w:eastAsia="Times New Roman"/>
          <w:noProof/>
          <w:color w:val="000000" w:themeColor="text1"/>
        </w:rPr>
        <w:t>particularly</w:t>
      </w:r>
      <w:r w:rsidRPr="00DE264C">
        <w:rPr>
          <w:rStyle w:val="normaltextrun"/>
          <w:rFonts w:eastAsia="Times New Roman"/>
          <w:noProof/>
          <w:color w:val="000000" w:themeColor="text1"/>
        </w:rPr>
        <w:t xml:space="preserve"> the </w:t>
      </w:r>
      <w:r w:rsidR="4C477526" w:rsidRPr="00DE264C">
        <w:rPr>
          <w:rStyle w:val="normaltextrun"/>
          <w:rFonts w:eastAsia="Times New Roman"/>
          <w:noProof/>
          <w:color w:val="000000" w:themeColor="text1"/>
        </w:rPr>
        <w:t>rules for market entry (</w:t>
      </w:r>
      <w:r w:rsidR="538E2A41" w:rsidRPr="00DE264C">
        <w:rPr>
          <w:rStyle w:val="normaltextrun"/>
          <w:rFonts w:eastAsia="Times New Roman"/>
          <w:noProof/>
          <w:color w:val="000000" w:themeColor="text1"/>
        </w:rPr>
        <w:t>the national approach</w:t>
      </w:r>
      <w:r w:rsidR="4D25C46F" w:rsidRPr="00DE264C">
        <w:rPr>
          <w:rStyle w:val="normaltextrun"/>
          <w:rFonts w:eastAsia="Times New Roman"/>
          <w:noProof/>
          <w:color w:val="000000" w:themeColor="text1"/>
        </w:rPr>
        <w:t>es</w:t>
      </w:r>
      <w:r w:rsidR="538E2A41" w:rsidRPr="00DE264C">
        <w:rPr>
          <w:rStyle w:val="normaltextrun"/>
          <w:rFonts w:eastAsia="Times New Roman"/>
          <w:noProof/>
          <w:color w:val="000000" w:themeColor="text1"/>
        </w:rPr>
        <w:t xml:space="preserve"> on the </w:t>
      </w:r>
      <w:r w:rsidRPr="00DE264C">
        <w:rPr>
          <w:rStyle w:val="normaltextrun"/>
          <w:rFonts w:eastAsia="Times New Roman"/>
          <w:noProof/>
          <w:color w:val="000000" w:themeColor="text1"/>
        </w:rPr>
        <w:t xml:space="preserve">conditions </w:t>
      </w:r>
      <w:r w:rsidR="77776735" w:rsidRPr="00DE264C">
        <w:rPr>
          <w:rStyle w:val="normaltextrun"/>
          <w:rFonts w:eastAsia="Times New Roman"/>
          <w:noProof/>
          <w:color w:val="000000" w:themeColor="text1"/>
        </w:rPr>
        <w:t xml:space="preserve">that may be </w:t>
      </w:r>
      <w:r w:rsidR="08DE1258" w:rsidRPr="00DE264C">
        <w:rPr>
          <w:rStyle w:val="normaltextrun"/>
          <w:rFonts w:eastAsia="Times New Roman"/>
          <w:noProof/>
          <w:color w:val="000000" w:themeColor="text1"/>
        </w:rPr>
        <w:t xml:space="preserve">attached </w:t>
      </w:r>
      <w:r w:rsidRPr="00DE264C">
        <w:rPr>
          <w:rStyle w:val="normaltextrun"/>
          <w:rFonts w:eastAsia="Times New Roman"/>
          <w:noProof/>
          <w:color w:val="000000" w:themeColor="text1"/>
        </w:rPr>
        <w:t xml:space="preserve">under the </w:t>
      </w:r>
      <w:r w:rsidR="0079131A" w:rsidRPr="7AC71608">
        <w:rPr>
          <w:rStyle w:val="normaltextrun"/>
          <w:rFonts w:eastAsia="Times New Roman"/>
          <w:b/>
          <w:bCs/>
          <w:noProof/>
          <w:color w:val="000000" w:themeColor="text1"/>
        </w:rPr>
        <w:t xml:space="preserve">general </w:t>
      </w:r>
      <w:r w:rsidRPr="7AC71608">
        <w:rPr>
          <w:rStyle w:val="normaltextrun"/>
          <w:rFonts w:eastAsia="Times New Roman"/>
          <w:b/>
          <w:bCs/>
          <w:noProof/>
          <w:color w:val="000000" w:themeColor="text1"/>
        </w:rPr>
        <w:t xml:space="preserve">authorisation </w:t>
      </w:r>
      <w:r w:rsidR="0003331A" w:rsidRPr="7AC71608">
        <w:rPr>
          <w:rStyle w:val="normaltextrun"/>
          <w:rFonts w:eastAsia="Times New Roman"/>
          <w:b/>
          <w:bCs/>
          <w:noProof/>
          <w:color w:val="000000" w:themeColor="text1"/>
        </w:rPr>
        <w:t xml:space="preserve">(GA) </w:t>
      </w:r>
      <w:r w:rsidRPr="7AC71608">
        <w:rPr>
          <w:rStyle w:val="normaltextrun"/>
          <w:rFonts w:eastAsia="Times New Roman"/>
          <w:b/>
          <w:bCs/>
          <w:noProof/>
          <w:color w:val="000000" w:themeColor="text1"/>
        </w:rPr>
        <w:t>regime</w:t>
      </w:r>
      <w:r w:rsidRPr="00DE264C">
        <w:rPr>
          <w:rStyle w:val="normaltextrun"/>
          <w:rFonts w:eastAsia="Times New Roman"/>
          <w:noProof/>
          <w:color w:val="000000" w:themeColor="text1"/>
          <w:vertAlign w:val="superscript"/>
        </w:rPr>
        <w:footnoteReference w:id="46"/>
      </w:r>
      <w:r w:rsidR="001C5BD3" w:rsidRPr="00DE264C">
        <w:rPr>
          <w:rStyle w:val="normaltextrun"/>
          <w:rFonts w:eastAsia="Times New Roman"/>
          <w:noProof/>
          <w:color w:val="000000" w:themeColor="text1"/>
        </w:rPr>
        <w:t>)</w:t>
      </w:r>
      <w:r w:rsidR="00DB7BEB">
        <w:rPr>
          <w:rStyle w:val="normaltextrun"/>
          <w:rFonts w:eastAsia="Times New Roman"/>
          <w:noProof/>
          <w:color w:val="000000" w:themeColor="text1"/>
          <w:vertAlign w:val="superscript"/>
        </w:rPr>
        <w:t xml:space="preserve"> </w:t>
      </w:r>
      <w:r w:rsidR="006A2C51" w:rsidRPr="00D979D9">
        <w:rPr>
          <w:rFonts w:eastAsia="Times New Roman"/>
          <w:noProof/>
          <w:color w:val="000000" w:themeColor="text1"/>
          <w:lang w:val="en-IE"/>
        </w:rPr>
        <w:t>prevent undertakings from deploying</w:t>
      </w:r>
      <w:r w:rsidR="006A2C51" w:rsidRPr="006A2C51">
        <w:rPr>
          <w:rFonts w:eastAsia="Times New Roman"/>
          <w:noProof/>
          <w:color w:val="000000" w:themeColor="text1"/>
          <w:lang w:val="en-IE"/>
        </w:rPr>
        <w:t xml:space="preserve"> </w:t>
      </w:r>
      <w:r w:rsidR="006A2C51" w:rsidRPr="00D979D9">
        <w:rPr>
          <w:rFonts w:eastAsia="Times New Roman"/>
          <w:noProof/>
          <w:color w:val="000000" w:themeColor="text1"/>
          <w:lang w:val="en-IE"/>
        </w:rPr>
        <w:t>pan-European</w:t>
      </w:r>
      <w:r w:rsidR="00A61732" w:rsidRPr="00D979D9">
        <w:rPr>
          <w:noProof/>
          <w:lang w:val="en-IE"/>
        </w:rPr>
        <w:t xml:space="preserve"> innovative services</w:t>
      </w:r>
      <w:r w:rsidR="006A2C51" w:rsidRPr="00DE264C">
        <w:rPr>
          <w:rStyle w:val="FootnoteReference"/>
          <w:rFonts w:eastAsia="Times New Roman"/>
          <w:noProof/>
          <w:color w:val="000000" w:themeColor="text1"/>
          <w:lang w:val="en-IE"/>
        </w:rPr>
        <w:footnoteReference w:id="47"/>
      </w:r>
      <w:r w:rsidR="006A2C51" w:rsidRPr="00DE264C">
        <w:rPr>
          <w:rFonts w:eastAsia="Times New Roman"/>
          <w:noProof/>
          <w:color w:val="000000" w:themeColor="text1"/>
          <w:lang w:val="en-IE"/>
        </w:rPr>
        <w:t xml:space="preserve">. </w:t>
      </w:r>
      <w:r w:rsidR="00A61732">
        <w:rPr>
          <w:rStyle w:val="normaltextrun"/>
          <w:rFonts w:eastAsia="Times New Roman"/>
          <w:noProof/>
          <w:color w:val="000000" w:themeColor="text1"/>
        </w:rPr>
        <w:t xml:space="preserve">These rules </w:t>
      </w:r>
      <w:r w:rsidR="3267CDEC" w:rsidRPr="00DE264C">
        <w:rPr>
          <w:rStyle w:val="normaltextrun"/>
          <w:rFonts w:eastAsia="Times New Roman"/>
          <w:noProof/>
          <w:color w:val="000000" w:themeColor="text1"/>
        </w:rPr>
        <w:t>vary</w:t>
      </w:r>
      <w:r w:rsidRPr="00DE264C" w:rsidDel="620BD561">
        <w:rPr>
          <w:rStyle w:val="normaltextrun"/>
          <w:rFonts w:eastAsia="Times New Roman"/>
          <w:noProof/>
          <w:color w:val="000000" w:themeColor="text1"/>
        </w:rPr>
        <w:t xml:space="preserve"> </w:t>
      </w:r>
      <w:r w:rsidR="09B66A0F" w:rsidRPr="00DE264C">
        <w:rPr>
          <w:rStyle w:val="normaltextrun"/>
          <w:rFonts w:eastAsia="Times New Roman"/>
          <w:noProof/>
          <w:color w:val="000000" w:themeColor="text1"/>
        </w:rPr>
        <w:t>considerably</w:t>
      </w:r>
      <w:r w:rsidR="0044388A" w:rsidRPr="00DE264C">
        <w:rPr>
          <w:rStyle w:val="FootnoteReference"/>
          <w:rFonts w:eastAsia="Times New Roman"/>
          <w:noProof/>
          <w:color w:val="000000" w:themeColor="text1"/>
        </w:rPr>
        <w:footnoteReference w:id="48"/>
      </w:r>
      <w:r w:rsidR="004E78E1">
        <w:rPr>
          <w:rStyle w:val="normaltextrun"/>
          <w:rFonts w:eastAsia="Times New Roman"/>
          <w:noProof/>
          <w:color w:val="000000" w:themeColor="text1"/>
        </w:rPr>
        <w:t>.</w:t>
      </w:r>
      <w:r w:rsidRPr="00DE264C">
        <w:rPr>
          <w:rStyle w:val="normaltextrun"/>
          <w:rFonts w:eastAsia="Times New Roman"/>
          <w:noProof/>
          <w:color w:val="000000" w:themeColor="text1"/>
        </w:rPr>
        <w:t xml:space="preserve"> </w:t>
      </w:r>
    </w:p>
    <w:p w14:paraId="02D3D1FF" w14:textId="245E0862" w:rsidR="0003331A" w:rsidRPr="00D35A43" w:rsidRDefault="7FBE7403" w:rsidP="006A3DDC">
      <w:pPr>
        <w:spacing w:line="240" w:lineRule="auto"/>
        <w:rPr>
          <w:noProof/>
          <w:lang w:val="en-IE"/>
        </w:rPr>
      </w:pPr>
      <w:r w:rsidRPr="00DE264C">
        <w:rPr>
          <w:rStyle w:val="normaltextrun"/>
          <w:rFonts w:eastAsia="Times New Roman"/>
          <w:noProof/>
          <w:color w:val="000000" w:themeColor="text1"/>
        </w:rPr>
        <w:t xml:space="preserve">The most </w:t>
      </w:r>
      <w:r w:rsidR="620BD561" w:rsidRPr="00DE264C">
        <w:rPr>
          <w:rStyle w:val="normaltextrun"/>
          <w:rFonts w:eastAsia="Times New Roman"/>
          <w:noProof/>
          <w:color w:val="000000" w:themeColor="text1"/>
        </w:rPr>
        <w:t xml:space="preserve">diverging rules </w:t>
      </w:r>
      <w:r w:rsidR="0885FF05" w:rsidRPr="00DE264C">
        <w:rPr>
          <w:rStyle w:val="normaltextrun"/>
          <w:rFonts w:eastAsia="Times New Roman"/>
          <w:noProof/>
          <w:color w:val="000000" w:themeColor="text1"/>
        </w:rPr>
        <w:t>are</w:t>
      </w:r>
      <w:r w:rsidR="620BD561" w:rsidRPr="00DE264C">
        <w:rPr>
          <w:rStyle w:val="normaltextrun"/>
          <w:rFonts w:eastAsia="Times New Roman"/>
          <w:noProof/>
          <w:color w:val="000000" w:themeColor="text1"/>
        </w:rPr>
        <w:t xml:space="preserve"> in the area of end-user protection as well as law</w:t>
      </w:r>
      <w:r w:rsidR="3AE49C39" w:rsidRPr="00DE264C">
        <w:rPr>
          <w:rStyle w:val="normaltextrun"/>
          <w:rFonts w:eastAsia="Times New Roman"/>
          <w:noProof/>
          <w:color w:val="000000" w:themeColor="text1"/>
        </w:rPr>
        <w:t>ful access to data</w:t>
      </w:r>
      <w:r w:rsidR="620BD561" w:rsidRPr="00DE264C">
        <w:rPr>
          <w:rStyle w:val="normaltextrun"/>
          <w:rFonts w:eastAsia="Times New Roman"/>
          <w:noProof/>
          <w:color w:val="000000" w:themeColor="text1"/>
          <w:lang w:val="en-IE"/>
        </w:rPr>
        <w:t xml:space="preserve">, </w:t>
      </w:r>
      <w:r w:rsidR="00D528C3" w:rsidRPr="00DE264C">
        <w:rPr>
          <w:rStyle w:val="normaltextrun"/>
          <w:rFonts w:eastAsia="Times New Roman"/>
          <w:noProof/>
          <w:color w:val="000000" w:themeColor="text1"/>
          <w:lang w:val="en-IE"/>
        </w:rPr>
        <w:t xml:space="preserve">data retention, </w:t>
      </w:r>
      <w:r w:rsidR="620BD561" w:rsidRPr="00DE264C">
        <w:rPr>
          <w:rStyle w:val="normaltextrun"/>
          <w:rFonts w:eastAsia="Times New Roman"/>
          <w:noProof/>
          <w:color w:val="000000" w:themeColor="text1"/>
          <w:lang w:val="en-IE"/>
        </w:rPr>
        <w:t>cybersecurity or privacy</w:t>
      </w:r>
      <w:r w:rsidR="32C76939" w:rsidRPr="00DE264C">
        <w:rPr>
          <w:rStyle w:val="normaltextrun"/>
          <w:rFonts w:eastAsia="Times New Roman"/>
          <w:noProof/>
          <w:color w:val="000000" w:themeColor="text1"/>
          <w:lang w:val="en-IE"/>
        </w:rPr>
        <w:t>,</w:t>
      </w:r>
      <w:r w:rsidR="620BD561" w:rsidRPr="00DE264C">
        <w:rPr>
          <w:rStyle w:val="normaltextrun"/>
          <w:rFonts w:eastAsia="Times New Roman"/>
          <w:noProof/>
          <w:color w:val="000000" w:themeColor="text1"/>
          <w:lang w:val="en-IE"/>
        </w:rPr>
        <w:t xml:space="preserve"> </w:t>
      </w:r>
      <w:r w:rsidR="6AB13E98" w:rsidRPr="00DE264C">
        <w:rPr>
          <w:rStyle w:val="normaltextrun"/>
          <w:rFonts w:eastAsia="Times New Roman"/>
          <w:noProof/>
          <w:color w:val="000000" w:themeColor="text1"/>
          <w:lang w:val="en-IE"/>
        </w:rPr>
        <w:t>as well as s</w:t>
      </w:r>
      <w:r w:rsidR="6AB13E98" w:rsidRPr="363937C1">
        <w:rPr>
          <w:rFonts w:eastAsia="Times New Roman"/>
          <w:noProof/>
          <w:color w:val="000000" w:themeColor="text1"/>
          <w:lang w:val="en-IE"/>
        </w:rPr>
        <w:t xml:space="preserve">pecific national requirements such as different reporting formats and frequencies, notification of the beginning of the activity in national languages varying rules on digital identity </w:t>
      </w:r>
      <w:r w:rsidR="6AB13E98" w:rsidRPr="00D979D9">
        <w:rPr>
          <w:rFonts w:eastAsia="Times New Roman"/>
          <w:noProof/>
          <w:lang w:val="en-IE"/>
        </w:rPr>
        <w:t xml:space="preserve">verification. </w:t>
      </w:r>
      <w:r w:rsidR="00844C79" w:rsidRPr="00D979D9">
        <w:rPr>
          <w:rFonts w:eastAsia="Times New Roman"/>
          <w:noProof/>
          <w:lang w:val="en-IE"/>
        </w:rPr>
        <w:t>The</w:t>
      </w:r>
      <w:r w:rsidR="387E7A88" w:rsidRPr="7AC71608">
        <w:rPr>
          <w:rFonts w:eastAsia="Times New Roman"/>
          <w:noProof/>
          <w:lang w:val="en-IE"/>
        </w:rPr>
        <w:t>s</w:t>
      </w:r>
      <w:r w:rsidR="4D2B39E0" w:rsidRPr="7AC71608">
        <w:rPr>
          <w:rFonts w:eastAsia="Times New Roman"/>
          <w:noProof/>
          <w:lang w:val="en-IE"/>
        </w:rPr>
        <w:t>e</w:t>
      </w:r>
      <w:r w:rsidR="00844C79" w:rsidRPr="00D979D9">
        <w:rPr>
          <w:rFonts w:eastAsia="Times New Roman"/>
          <w:noProof/>
          <w:lang w:val="en-IE"/>
        </w:rPr>
        <w:t xml:space="preserve"> existing divergences in national notifications, different </w:t>
      </w:r>
      <w:r w:rsidR="6D796F02" w:rsidRPr="00D979D9">
        <w:rPr>
          <w:rFonts w:eastAsia="Times New Roman"/>
          <w:noProof/>
          <w:lang w:val="en-IE"/>
        </w:rPr>
        <w:t xml:space="preserve">national requirements </w:t>
      </w:r>
      <w:r w:rsidR="00844C79" w:rsidRPr="00D979D9">
        <w:rPr>
          <w:rFonts w:eastAsia="Times New Roman"/>
          <w:noProof/>
          <w:lang w:val="en-IE"/>
        </w:rPr>
        <w:t>laid down by pieces of national law different from electronic communications legislation caus</w:t>
      </w:r>
      <w:r w:rsidR="1BC4E97E" w:rsidRPr="7AC71608">
        <w:rPr>
          <w:rStyle w:val="normaltextrun"/>
          <w:rFonts w:eastAsia="Times New Roman"/>
          <w:noProof/>
          <w:color w:val="000000" w:themeColor="text1"/>
        </w:rPr>
        <w:t>e</w:t>
      </w:r>
      <w:r w:rsidR="387E7A88" w:rsidRPr="7AC71608">
        <w:rPr>
          <w:rFonts w:eastAsia="Times New Roman"/>
          <w:noProof/>
          <w:lang w:val="en-IE"/>
        </w:rPr>
        <w:t xml:space="preserve"> </w:t>
      </w:r>
      <w:r w:rsidR="5395596E" w:rsidRPr="7AC71608">
        <w:rPr>
          <w:rStyle w:val="normaltextrun"/>
          <w:rFonts w:eastAsia="Times New Roman"/>
          <w:noProof/>
          <w:color w:val="000000" w:themeColor="text1"/>
        </w:rPr>
        <w:t>barrier</w:t>
      </w:r>
      <w:r w:rsidR="387E7A88" w:rsidRPr="7AC71608">
        <w:rPr>
          <w:rFonts w:eastAsia="Times New Roman"/>
          <w:noProof/>
          <w:lang w:val="en-IE"/>
        </w:rPr>
        <w:t>s</w:t>
      </w:r>
      <w:r w:rsidR="00844C79" w:rsidRPr="00D979D9">
        <w:rPr>
          <w:rFonts w:eastAsia="Times New Roman"/>
          <w:noProof/>
          <w:lang w:val="en-IE"/>
        </w:rPr>
        <w:t xml:space="preserve"> to the Single Market </w:t>
      </w:r>
      <w:r w:rsidR="7A9531C4" w:rsidRPr="7AC71608">
        <w:rPr>
          <w:rFonts w:eastAsia="Times New Roman"/>
          <w:noProof/>
          <w:lang w:val="en-IE"/>
        </w:rPr>
        <w:t xml:space="preserve">and </w:t>
      </w:r>
      <w:r w:rsidR="00844C79" w:rsidRPr="00D979D9">
        <w:rPr>
          <w:rFonts w:eastAsia="Times New Roman"/>
          <w:noProof/>
          <w:lang w:val="en-IE"/>
        </w:rPr>
        <w:t>were noted by BEREC</w:t>
      </w:r>
      <w:r w:rsidR="620BD561" w:rsidRPr="0027565A">
        <w:rPr>
          <w:rStyle w:val="FootnoteReference"/>
          <w:noProof/>
        </w:rPr>
        <w:footnoteReference w:id="49"/>
      </w:r>
      <w:r w:rsidR="2D50526F" w:rsidRPr="0027565A">
        <w:rPr>
          <w:rFonts w:eastAsia="Times New Roman"/>
          <w:noProof/>
          <w:lang w:val="en-IE"/>
        </w:rPr>
        <w:t>.</w:t>
      </w:r>
      <w:r w:rsidR="6D796F02" w:rsidRPr="0027565A">
        <w:rPr>
          <w:rFonts w:eastAsia="Times New Roman"/>
          <w:noProof/>
          <w:lang w:val="en-IE"/>
        </w:rPr>
        <w:t xml:space="preserve"> </w:t>
      </w:r>
      <w:r w:rsidR="0040606E" w:rsidRPr="00DE264C">
        <w:rPr>
          <w:rFonts w:eastAsia="Times New Roman"/>
          <w:noProof/>
          <w:color w:val="333333"/>
          <w:lang w:val="en-IE"/>
        </w:rPr>
        <w:t>Th</w:t>
      </w:r>
      <w:r w:rsidR="496320FE" w:rsidRPr="00DE264C">
        <w:rPr>
          <w:rFonts w:eastAsia="Times New Roman"/>
          <w:noProof/>
          <w:color w:val="333333"/>
          <w:lang w:val="en-IE"/>
        </w:rPr>
        <w:t>e</w:t>
      </w:r>
      <w:r w:rsidR="0040606E" w:rsidRPr="00DE264C">
        <w:rPr>
          <w:rFonts w:eastAsia="Times New Roman"/>
          <w:noProof/>
          <w:color w:val="333333"/>
          <w:lang w:val="en-IE"/>
        </w:rPr>
        <w:t xml:space="preserve"> </w:t>
      </w:r>
      <w:r w:rsidR="620BD561" w:rsidRPr="00DE264C">
        <w:rPr>
          <w:rFonts w:eastAsia="Times New Roman"/>
          <w:noProof/>
          <w:color w:val="000000" w:themeColor="text1"/>
          <w:lang w:val="en-IE"/>
        </w:rPr>
        <w:t xml:space="preserve">patchwork of </w:t>
      </w:r>
      <w:r w:rsidR="00C6507C" w:rsidRPr="00DE264C">
        <w:rPr>
          <w:rFonts w:eastAsia="Times New Roman"/>
          <w:noProof/>
          <w:color w:val="000000" w:themeColor="text1"/>
          <w:lang w:val="en-IE"/>
        </w:rPr>
        <w:t xml:space="preserve">rules means that identical </w:t>
      </w:r>
      <w:r w:rsidR="00651506" w:rsidRPr="00DE264C">
        <w:rPr>
          <w:rFonts w:eastAsia="Times New Roman"/>
          <w:noProof/>
          <w:color w:val="000000" w:themeColor="text1"/>
          <w:lang w:val="en-IE"/>
        </w:rPr>
        <w:t xml:space="preserve">services can face entirely different </w:t>
      </w:r>
      <w:r w:rsidR="620BD561" w:rsidRPr="00DE264C">
        <w:rPr>
          <w:rFonts w:eastAsia="Times New Roman"/>
          <w:noProof/>
          <w:color w:val="000000" w:themeColor="text1"/>
          <w:lang w:val="en-IE"/>
        </w:rPr>
        <w:t xml:space="preserve">compliance </w:t>
      </w:r>
      <w:r w:rsidR="00651506" w:rsidRPr="00DE264C">
        <w:rPr>
          <w:rFonts w:eastAsia="Times New Roman"/>
          <w:noProof/>
          <w:color w:val="000000" w:themeColor="text1"/>
          <w:lang w:val="en-IE"/>
        </w:rPr>
        <w:t xml:space="preserve">requirements </w:t>
      </w:r>
      <w:r w:rsidR="00003D45" w:rsidRPr="00DE264C">
        <w:rPr>
          <w:rFonts w:eastAsia="Times New Roman"/>
          <w:noProof/>
          <w:color w:val="000000" w:themeColor="text1"/>
          <w:lang w:val="en-IE"/>
        </w:rPr>
        <w:t xml:space="preserve">depending on </w:t>
      </w:r>
      <w:r w:rsidR="42FED8AE" w:rsidRPr="7AC71608">
        <w:rPr>
          <w:rStyle w:val="normaltextrun"/>
          <w:rFonts w:eastAsia="Times New Roman"/>
          <w:noProof/>
          <w:color w:val="000000" w:themeColor="text1"/>
        </w:rPr>
        <w:t>th</w:t>
      </w:r>
      <w:r w:rsidR="6406AD1F" w:rsidRPr="7AC71608">
        <w:rPr>
          <w:rFonts w:eastAsia="Times New Roman"/>
          <w:noProof/>
          <w:color w:val="000000" w:themeColor="text1"/>
          <w:lang w:val="en-IE"/>
        </w:rPr>
        <w:t xml:space="preserve">e </w:t>
      </w:r>
      <w:r w:rsidR="7EAABBCB" w:rsidRPr="7AC71608">
        <w:rPr>
          <w:rFonts w:eastAsia="Times New Roman"/>
          <w:noProof/>
          <w:color w:val="000000" w:themeColor="text1"/>
          <w:lang w:val="en-IE"/>
        </w:rPr>
        <w:t>Member State(s) in which</w:t>
      </w:r>
      <w:r w:rsidR="00003D45" w:rsidRPr="7AC71608">
        <w:rPr>
          <w:rFonts w:eastAsia="Times New Roman"/>
          <w:noProof/>
          <w:color w:val="000000" w:themeColor="text1"/>
          <w:lang w:val="en-IE"/>
        </w:rPr>
        <w:t xml:space="preserve"> </w:t>
      </w:r>
      <w:r w:rsidR="00003D45" w:rsidRPr="00DE264C">
        <w:rPr>
          <w:rFonts w:eastAsia="Times New Roman"/>
          <w:noProof/>
          <w:color w:val="000000" w:themeColor="text1"/>
          <w:lang w:val="en-IE"/>
        </w:rPr>
        <w:t>they are offered</w:t>
      </w:r>
      <w:r w:rsidR="29971049" w:rsidRPr="7AC71608">
        <w:rPr>
          <w:rStyle w:val="normaltextrun"/>
          <w:rFonts w:eastAsia="Times New Roman"/>
          <w:noProof/>
          <w:color w:val="000000" w:themeColor="text1"/>
        </w:rPr>
        <w:t>. This</w:t>
      </w:r>
      <w:r w:rsidR="000B3836" w:rsidRPr="00DE264C">
        <w:rPr>
          <w:rFonts w:eastAsia="Times New Roman"/>
          <w:noProof/>
          <w:color w:val="000000" w:themeColor="text1"/>
          <w:lang w:val="en-IE"/>
        </w:rPr>
        <w:t xml:space="preserve"> </w:t>
      </w:r>
      <w:r w:rsidR="0035698E" w:rsidRPr="00DE264C">
        <w:rPr>
          <w:rFonts w:eastAsia="Times New Roman"/>
          <w:noProof/>
          <w:color w:val="000000" w:themeColor="text1"/>
          <w:lang w:val="en-IE"/>
        </w:rPr>
        <w:t>raises</w:t>
      </w:r>
      <w:r w:rsidR="00C170C2" w:rsidRPr="00DE264C">
        <w:rPr>
          <w:rFonts w:eastAsia="Times New Roman"/>
          <w:noProof/>
          <w:color w:val="000000" w:themeColor="text1"/>
          <w:lang w:val="en-IE"/>
        </w:rPr>
        <w:t xml:space="preserve"> </w:t>
      </w:r>
      <w:r w:rsidR="620BD561" w:rsidRPr="00DE264C">
        <w:rPr>
          <w:rFonts w:eastAsia="Times New Roman"/>
          <w:noProof/>
          <w:color w:val="000000" w:themeColor="text1"/>
          <w:lang w:val="en-IE"/>
        </w:rPr>
        <w:t>costs</w:t>
      </w:r>
      <w:r w:rsidR="00512274" w:rsidRPr="00DE264C">
        <w:rPr>
          <w:rFonts w:eastAsia="Times New Roman"/>
          <w:noProof/>
          <w:color w:val="000000" w:themeColor="text1"/>
          <w:lang w:val="en-IE"/>
        </w:rPr>
        <w:t xml:space="preserve">, </w:t>
      </w:r>
      <w:r w:rsidR="1D3522E4" w:rsidRPr="7AC71608">
        <w:rPr>
          <w:rStyle w:val="normaltextrun"/>
          <w:rFonts w:eastAsia="Times New Roman"/>
          <w:noProof/>
          <w:color w:val="000000" w:themeColor="text1"/>
        </w:rPr>
        <w:t>delay</w:t>
      </w:r>
      <w:r w:rsidR="49CAF8F1" w:rsidRPr="7AC71608">
        <w:rPr>
          <w:rFonts w:eastAsia="Times New Roman"/>
          <w:noProof/>
          <w:color w:val="000000" w:themeColor="text1"/>
          <w:lang w:val="en-IE"/>
        </w:rPr>
        <w:t>s</w:t>
      </w:r>
      <w:r w:rsidR="00512274" w:rsidRPr="00DE264C">
        <w:rPr>
          <w:rFonts w:eastAsia="Times New Roman"/>
          <w:noProof/>
          <w:color w:val="000000" w:themeColor="text1"/>
          <w:lang w:val="en-IE"/>
        </w:rPr>
        <w:t xml:space="preserve"> market entr</w:t>
      </w:r>
      <w:r w:rsidR="00E104CE" w:rsidRPr="00DE264C">
        <w:rPr>
          <w:rFonts w:eastAsia="Times New Roman"/>
          <w:noProof/>
          <w:color w:val="000000" w:themeColor="text1"/>
          <w:lang w:val="en-IE"/>
        </w:rPr>
        <w:t>y</w:t>
      </w:r>
      <w:r w:rsidR="61ED7F2C" w:rsidRPr="7AC71608">
        <w:rPr>
          <w:rFonts w:eastAsia="Times New Roman"/>
          <w:noProof/>
          <w:color w:val="000000" w:themeColor="text1"/>
          <w:lang w:val="en-IE"/>
        </w:rPr>
        <w:t xml:space="preserve"> and</w:t>
      </w:r>
      <w:r w:rsidR="00E104CE" w:rsidRPr="00DE264C">
        <w:rPr>
          <w:rFonts w:eastAsia="Times New Roman"/>
          <w:noProof/>
          <w:color w:val="000000" w:themeColor="text1"/>
          <w:lang w:val="en-IE"/>
        </w:rPr>
        <w:t xml:space="preserve"> deters innovation</w:t>
      </w:r>
      <w:r w:rsidR="28BF9813" w:rsidRPr="7AC71608">
        <w:rPr>
          <w:rFonts w:eastAsia="Times New Roman"/>
          <w:noProof/>
          <w:color w:val="000000" w:themeColor="text1"/>
          <w:lang w:val="en-IE"/>
        </w:rPr>
        <w:t>,</w:t>
      </w:r>
      <w:r w:rsidR="620BD561" w:rsidRPr="00DE264C">
        <w:rPr>
          <w:rFonts w:eastAsia="Times New Roman"/>
          <w:noProof/>
          <w:color w:val="000000" w:themeColor="text1"/>
          <w:lang w:val="en-IE"/>
        </w:rPr>
        <w:t xml:space="preserve"> </w:t>
      </w:r>
      <w:r w:rsidR="00D038C6" w:rsidRPr="00DE264C">
        <w:rPr>
          <w:rFonts w:eastAsia="Times New Roman"/>
          <w:noProof/>
          <w:color w:val="000000" w:themeColor="text1"/>
          <w:lang w:val="en-IE"/>
        </w:rPr>
        <w:t xml:space="preserve">particularly for SMEs and providers </w:t>
      </w:r>
      <w:r w:rsidR="001A1D3A" w:rsidRPr="00DE264C">
        <w:rPr>
          <w:rFonts w:eastAsia="Times New Roman"/>
          <w:noProof/>
          <w:color w:val="000000" w:themeColor="text1"/>
          <w:lang w:val="en-IE"/>
        </w:rPr>
        <w:t xml:space="preserve">with a footprint in several Member States who must </w:t>
      </w:r>
      <w:r w:rsidR="003D5E14" w:rsidRPr="00DE264C">
        <w:rPr>
          <w:rFonts w:eastAsia="Times New Roman"/>
          <w:noProof/>
          <w:color w:val="000000" w:themeColor="text1"/>
          <w:lang w:val="en-IE"/>
        </w:rPr>
        <w:t xml:space="preserve">tailor their </w:t>
      </w:r>
      <w:r w:rsidR="004C4ECF" w:rsidRPr="00DE264C">
        <w:rPr>
          <w:rFonts w:eastAsia="Times New Roman"/>
          <w:noProof/>
          <w:color w:val="000000" w:themeColor="text1"/>
          <w:lang w:val="en-IE"/>
        </w:rPr>
        <w:t>services to each jurisdiction</w:t>
      </w:r>
      <w:r w:rsidR="620BD561" w:rsidRPr="00D67FF6">
        <w:rPr>
          <w:rStyle w:val="FootnoteReference"/>
          <w:noProof/>
        </w:rPr>
        <w:footnoteReference w:id="50"/>
      </w:r>
      <w:r w:rsidR="00DE3CBB">
        <w:rPr>
          <w:rFonts w:eastAsia="Times New Roman"/>
          <w:noProof/>
          <w:color w:val="000000" w:themeColor="text1"/>
          <w:lang w:val="en-IE"/>
        </w:rPr>
        <w:t>.</w:t>
      </w:r>
      <w:r w:rsidR="00E47071" w:rsidRPr="0027565A">
        <w:rPr>
          <w:rStyle w:val="FootnoteReference"/>
          <w:noProof/>
        </w:rPr>
        <w:t xml:space="preserve"> </w:t>
      </w:r>
      <w:r w:rsidR="0082224B" w:rsidRPr="00DE264C">
        <w:rPr>
          <w:rFonts w:eastAsia="Times New Roman"/>
          <w:noProof/>
          <w:color w:val="000000" w:themeColor="text1"/>
          <w:lang w:val="en-IE"/>
        </w:rPr>
        <w:t xml:space="preserve">The optional </w:t>
      </w:r>
      <w:r w:rsidR="00956E16" w:rsidRPr="00DE264C">
        <w:rPr>
          <w:rFonts w:eastAsia="Times New Roman"/>
          <w:noProof/>
          <w:color w:val="000000" w:themeColor="text1"/>
          <w:lang w:val="en-IE"/>
        </w:rPr>
        <w:t xml:space="preserve">or selective application </w:t>
      </w:r>
      <w:r w:rsidR="33FA7C54" w:rsidRPr="7AC71608">
        <w:rPr>
          <w:rStyle w:val="normaltextrun"/>
          <w:rFonts w:eastAsia="Times New Roman"/>
          <w:noProof/>
          <w:color w:val="000000" w:themeColor="text1"/>
        </w:rPr>
        <w:t>GA</w:t>
      </w:r>
      <w:r w:rsidR="51E91105" w:rsidRPr="7AC71608">
        <w:rPr>
          <w:rFonts w:eastAsia="Times New Roman"/>
          <w:noProof/>
          <w:color w:val="000000" w:themeColor="text1"/>
          <w:lang w:val="en-IE"/>
        </w:rPr>
        <w:t xml:space="preserve"> </w:t>
      </w:r>
      <w:r w:rsidR="1102DB0F" w:rsidRPr="7AC71608">
        <w:rPr>
          <w:rFonts w:eastAsia="Times New Roman"/>
          <w:noProof/>
          <w:color w:val="000000" w:themeColor="text1"/>
          <w:lang w:val="en-IE"/>
        </w:rPr>
        <w:t>conditions</w:t>
      </w:r>
      <w:r w:rsidR="00956E16" w:rsidRPr="7AC71608">
        <w:rPr>
          <w:rFonts w:eastAsia="Times New Roman"/>
          <w:noProof/>
          <w:color w:val="000000" w:themeColor="text1"/>
          <w:lang w:val="en-IE"/>
        </w:rPr>
        <w:t xml:space="preserve"> </w:t>
      </w:r>
      <w:r w:rsidR="00956E16" w:rsidRPr="00DE264C">
        <w:rPr>
          <w:rFonts w:eastAsia="Times New Roman"/>
          <w:noProof/>
          <w:color w:val="000000" w:themeColor="text1"/>
          <w:lang w:val="en-IE"/>
        </w:rPr>
        <w:t xml:space="preserve">to various providers </w:t>
      </w:r>
      <w:r w:rsidR="00124B11" w:rsidRPr="00DE264C">
        <w:rPr>
          <w:rFonts w:eastAsia="Times New Roman"/>
          <w:noProof/>
          <w:color w:val="000000" w:themeColor="text1"/>
          <w:lang w:val="en-IE"/>
        </w:rPr>
        <w:t xml:space="preserve">further distorts competition and fragments the Single Market, creating </w:t>
      </w:r>
      <w:r w:rsidR="00F379B4" w:rsidRPr="00DE264C">
        <w:rPr>
          <w:rFonts w:eastAsia="Times New Roman"/>
          <w:noProof/>
          <w:color w:val="000000" w:themeColor="text1"/>
          <w:lang w:val="en-IE"/>
        </w:rPr>
        <w:t xml:space="preserve">an uneven level playing field </w:t>
      </w:r>
      <w:r w:rsidR="620BD561" w:rsidRPr="00DE264C">
        <w:rPr>
          <w:rFonts w:eastAsia="Times New Roman"/>
          <w:noProof/>
          <w:color w:val="000000" w:themeColor="text1"/>
          <w:lang w:val="en-IE"/>
        </w:rPr>
        <w:t>and delay</w:t>
      </w:r>
      <w:r w:rsidR="007F16B2" w:rsidRPr="00DE264C">
        <w:rPr>
          <w:rFonts w:eastAsia="Times New Roman"/>
          <w:noProof/>
          <w:color w:val="000000" w:themeColor="text1"/>
          <w:lang w:val="en-IE"/>
        </w:rPr>
        <w:t>ing</w:t>
      </w:r>
      <w:r w:rsidR="620BD561" w:rsidRPr="00DE264C">
        <w:rPr>
          <w:rFonts w:eastAsia="Times New Roman"/>
          <w:noProof/>
          <w:color w:val="000000" w:themeColor="text1"/>
          <w:lang w:val="en-IE"/>
        </w:rPr>
        <w:t xml:space="preserve"> the introduction of new </w:t>
      </w:r>
      <w:r w:rsidR="49F24949" w:rsidRPr="00DE264C">
        <w:rPr>
          <w:rFonts w:eastAsia="Times New Roman"/>
          <w:noProof/>
          <w:color w:val="000000" w:themeColor="text1"/>
          <w:lang w:val="en-IE"/>
        </w:rPr>
        <w:t>services</w:t>
      </w:r>
      <w:r w:rsidR="620BD561" w:rsidRPr="00DE264C">
        <w:rPr>
          <w:rFonts w:eastAsia="Times New Roman"/>
          <w:noProof/>
          <w:color w:val="000000" w:themeColor="text1"/>
          <w:vertAlign w:val="superscript"/>
          <w:lang w:val="en-IE"/>
        </w:rPr>
        <w:footnoteReference w:id="51"/>
      </w:r>
      <w:r w:rsidR="00D4138C">
        <w:rPr>
          <w:rFonts w:eastAsia="Times New Roman"/>
          <w:noProof/>
          <w:color w:val="000000" w:themeColor="text1"/>
          <w:lang w:val="en-IE"/>
        </w:rPr>
        <w:t>.</w:t>
      </w:r>
      <w:r w:rsidR="00333941">
        <w:rPr>
          <w:noProof/>
          <w:lang w:val="en-IE"/>
        </w:rPr>
        <w:t xml:space="preserve"> </w:t>
      </w:r>
    </w:p>
    <w:p w14:paraId="562F953E" w14:textId="44FE7936" w:rsidR="1FD3F637" w:rsidRDefault="1FD3F637" w:rsidP="006A3DDC">
      <w:pPr>
        <w:spacing w:line="240" w:lineRule="auto"/>
        <w:rPr>
          <w:rFonts w:eastAsia="Times New Roman"/>
          <w:noProof/>
        </w:rPr>
      </w:pPr>
      <w:r w:rsidRPr="14F5325D">
        <w:rPr>
          <w:rFonts w:eastAsia="Times New Roman"/>
          <w:noProof/>
        </w:rPr>
        <w:t>The absence of a harmonised regulatory regime limit</w:t>
      </w:r>
      <w:r w:rsidR="20DED941" w:rsidRPr="18864199">
        <w:rPr>
          <w:rFonts w:eastAsia="Times New Roman"/>
          <w:noProof/>
        </w:rPr>
        <w:t>s</w:t>
      </w:r>
      <w:r w:rsidRPr="14F5325D">
        <w:rPr>
          <w:rFonts w:eastAsia="Times New Roman"/>
          <w:noProof/>
        </w:rPr>
        <w:t xml:space="preserve"> the ability of European operators and other actors in the value chain, such as hardware and software suppliers, to fully exploit growth opportunities </w:t>
      </w:r>
      <w:r w:rsidR="1F18EE8F" w:rsidRPr="18864199">
        <w:rPr>
          <w:rFonts w:eastAsia="Times New Roman"/>
          <w:noProof/>
        </w:rPr>
        <w:t>and to up</w:t>
      </w:r>
      <w:r w:rsidR="5B6510C8" w:rsidRPr="18864199">
        <w:rPr>
          <w:rFonts w:eastAsia="Times New Roman"/>
          <w:noProof/>
        </w:rPr>
        <w:t>scale</w:t>
      </w:r>
      <w:r w:rsidRPr="14F5325D">
        <w:rPr>
          <w:rFonts w:eastAsia="Times New Roman"/>
          <w:noProof/>
        </w:rPr>
        <w:t xml:space="preserve"> innovative, investment-intensive digital services </w:t>
      </w:r>
      <w:r w:rsidR="4EED2EA6" w:rsidRPr="18864199">
        <w:rPr>
          <w:rFonts w:eastAsia="Times New Roman"/>
          <w:noProof/>
        </w:rPr>
        <w:t>consistently and</w:t>
      </w:r>
      <w:r w:rsidR="5B6510C8" w:rsidRPr="18864199">
        <w:rPr>
          <w:rFonts w:eastAsia="Times New Roman"/>
          <w:noProof/>
        </w:rPr>
        <w:t xml:space="preserve"> </w:t>
      </w:r>
      <w:r w:rsidR="22F08F6F" w:rsidRPr="18864199">
        <w:rPr>
          <w:rFonts w:eastAsia="Times New Roman"/>
          <w:noProof/>
        </w:rPr>
        <w:t>uniforml</w:t>
      </w:r>
      <w:r w:rsidR="109D56AD" w:rsidRPr="18864199">
        <w:rPr>
          <w:rFonts w:eastAsia="Times New Roman"/>
          <w:noProof/>
        </w:rPr>
        <w:t xml:space="preserve">y </w:t>
      </w:r>
      <w:r w:rsidRPr="14F5325D">
        <w:rPr>
          <w:rFonts w:eastAsia="Times New Roman"/>
          <w:noProof/>
        </w:rPr>
        <w:t>across the Union. The ongoing technological developments are increasing interdependencies within the digital ecosystem, yet collaboration among key actors (ECN providers, cloud services, CAPs, AI developers, device manufacturers, etc.) remains insufficient to address emerging challenges related to traffic efficiency, coordinated network capacity planning, sustainability, and the delivery of innovative services.</w:t>
      </w:r>
    </w:p>
    <w:p w14:paraId="0654F993" w14:textId="78794A6C" w:rsidR="00E37191" w:rsidRPr="00DE264C" w:rsidRDefault="2E7A0DFA" w:rsidP="006A3DDC">
      <w:pPr>
        <w:spacing w:line="240" w:lineRule="auto"/>
        <w:rPr>
          <w:noProof/>
          <w:color w:val="000000" w:themeColor="text1"/>
        </w:rPr>
      </w:pPr>
      <w:bookmarkStart w:id="53" w:name="_Hlk219135659"/>
      <w:r w:rsidRPr="7AC71608">
        <w:rPr>
          <w:rFonts w:eastAsia="Times New Roman"/>
          <w:noProof/>
          <w:color w:val="000000" w:themeColor="text1"/>
          <w:lang w:val="en-IE"/>
        </w:rPr>
        <w:t>C</w:t>
      </w:r>
      <w:r w:rsidR="223B668E" w:rsidRPr="7AC71608">
        <w:rPr>
          <w:rFonts w:eastAsia="Times New Roman"/>
          <w:noProof/>
          <w:color w:val="000000" w:themeColor="text1"/>
          <w:lang w:val="en-IE"/>
        </w:rPr>
        <w:t>ombined</w:t>
      </w:r>
      <w:r w:rsidR="4E594138" w:rsidRPr="00DE264C">
        <w:rPr>
          <w:rFonts w:eastAsia="Times New Roman"/>
          <w:noProof/>
          <w:color w:val="000000" w:themeColor="text1"/>
          <w:lang w:val="en-IE"/>
        </w:rPr>
        <w:t xml:space="preserve"> re</w:t>
      </w:r>
      <w:r w:rsidR="60D271D3" w:rsidRPr="00DE264C">
        <w:rPr>
          <w:rFonts w:eastAsia="Times New Roman"/>
          <w:noProof/>
          <w:color w:val="000000" w:themeColor="text1"/>
          <w:lang w:val="en-IE"/>
        </w:rPr>
        <w:t>c</w:t>
      </w:r>
      <w:r w:rsidR="4E594138" w:rsidRPr="18508E87">
        <w:rPr>
          <w:rFonts w:eastAsia="Times New Roman"/>
          <w:noProof/>
          <w:color w:val="000000" w:themeColor="text1"/>
          <w:lang w:val="en-IE"/>
        </w:rPr>
        <w:t xml:space="preserve">urrent and variable </w:t>
      </w:r>
      <w:r w:rsidR="60D271D3" w:rsidRPr="18508E87">
        <w:rPr>
          <w:rFonts w:eastAsia="Times New Roman"/>
          <w:noProof/>
          <w:color w:val="000000" w:themeColor="text1"/>
          <w:lang w:val="en-IE"/>
        </w:rPr>
        <w:t>costs</w:t>
      </w:r>
      <w:r w:rsidR="00465AA0" w:rsidRPr="00DE264C">
        <w:rPr>
          <w:rFonts w:eastAsia="Times New Roman"/>
          <w:noProof/>
          <w:color w:val="000000" w:themeColor="text1"/>
          <w:lang w:val="en-IE"/>
        </w:rPr>
        <w:t xml:space="preserve"> </w:t>
      </w:r>
      <w:r w:rsidR="4845660D" w:rsidRPr="00DE264C">
        <w:rPr>
          <w:rFonts w:eastAsia="Times New Roman"/>
          <w:noProof/>
          <w:color w:val="000000" w:themeColor="text1"/>
          <w:lang w:val="en-IE"/>
        </w:rPr>
        <w:t xml:space="preserve">for </w:t>
      </w:r>
      <w:r w:rsidR="32E67060" w:rsidRPr="00DE264C">
        <w:rPr>
          <w:rFonts w:eastAsia="Times New Roman"/>
          <w:noProof/>
          <w:color w:val="000000" w:themeColor="text1"/>
          <w:lang w:val="en-IE"/>
        </w:rPr>
        <w:t>a</w:t>
      </w:r>
      <w:r w:rsidR="4845660D" w:rsidRPr="00DE264C">
        <w:rPr>
          <w:rFonts w:eastAsia="Times New Roman"/>
          <w:noProof/>
          <w:color w:val="000000" w:themeColor="text1"/>
          <w:lang w:val="en-IE"/>
        </w:rPr>
        <w:t xml:space="preserve"> cross-</w:t>
      </w:r>
      <w:r w:rsidR="4845660D" w:rsidRPr="52BB9364">
        <w:rPr>
          <w:rFonts w:eastAsia="Times New Roman"/>
          <w:noProof/>
          <w:color w:val="000000" w:themeColor="text1"/>
          <w:lang w:val="en-IE"/>
        </w:rPr>
        <w:t>b</w:t>
      </w:r>
      <w:r w:rsidR="4BD25C58" w:rsidRPr="52BB9364">
        <w:rPr>
          <w:rFonts w:eastAsia="Times New Roman"/>
          <w:noProof/>
          <w:color w:val="000000" w:themeColor="text1"/>
          <w:lang w:val="en-IE"/>
        </w:rPr>
        <w:t>or</w:t>
      </w:r>
      <w:r w:rsidR="4845660D" w:rsidRPr="52BB9364">
        <w:rPr>
          <w:rFonts w:eastAsia="Times New Roman"/>
          <w:noProof/>
          <w:color w:val="000000" w:themeColor="text1"/>
          <w:lang w:val="en-IE"/>
        </w:rPr>
        <w:t>der</w:t>
      </w:r>
      <w:r w:rsidR="4845660D" w:rsidRPr="00DE264C">
        <w:rPr>
          <w:rFonts w:eastAsia="Times New Roman"/>
          <w:noProof/>
          <w:color w:val="000000" w:themeColor="text1"/>
          <w:lang w:val="en-IE"/>
        </w:rPr>
        <w:t xml:space="preserve"> provider</w:t>
      </w:r>
      <w:r w:rsidR="00465AA0" w:rsidRPr="00DE264C">
        <w:rPr>
          <w:rFonts w:eastAsia="Times New Roman"/>
          <w:noProof/>
          <w:color w:val="000000" w:themeColor="text1"/>
          <w:lang w:val="en-IE"/>
        </w:rPr>
        <w:t xml:space="preserve"> </w:t>
      </w:r>
      <w:r w:rsidR="00886E24" w:rsidRPr="00DE264C">
        <w:rPr>
          <w:rFonts w:eastAsia="Times New Roman"/>
          <w:noProof/>
          <w:color w:val="000000" w:themeColor="text1"/>
          <w:lang w:val="en-IE"/>
        </w:rPr>
        <w:t xml:space="preserve">could </w:t>
      </w:r>
      <w:r w:rsidR="00183DA0" w:rsidRPr="00DE264C">
        <w:rPr>
          <w:rFonts w:eastAsia="Times New Roman"/>
          <w:noProof/>
          <w:color w:val="000000" w:themeColor="text1"/>
          <w:lang w:val="en-IE"/>
        </w:rPr>
        <w:t xml:space="preserve">range from </w:t>
      </w:r>
      <w:r w:rsidR="00855E4E" w:rsidRPr="00DE264C">
        <w:rPr>
          <w:rFonts w:eastAsia="Times New Roman"/>
          <w:noProof/>
          <w:color w:val="000000" w:themeColor="text1"/>
          <w:lang w:val="en-IE"/>
        </w:rPr>
        <w:t>EUR</w:t>
      </w:r>
      <w:r w:rsidR="00C06997">
        <w:rPr>
          <w:rFonts w:eastAsia="Times New Roman"/>
          <w:noProof/>
          <w:color w:val="000000" w:themeColor="text1"/>
        </w:rPr>
        <w:t> </w:t>
      </w:r>
      <w:r w:rsidR="00183DA0" w:rsidRPr="00DE264C">
        <w:rPr>
          <w:rFonts w:eastAsia="Times New Roman"/>
          <w:noProof/>
          <w:color w:val="000000" w:themeColor="text1"/>
          <w:lang w:val="en-IE"/>
        </w:rPr>
        <w:t xml:space="preserve">15 million to </w:t>
      </w:r>
      <w:r w:rsidR="00855E4E" w:rsidRPr="00DE264C">
        <w:rPr>
          <w:rFonts w:eastAsia="Times New Roman"/>
          <w:noProof/>
          <w:color w:val="000000" w:themeColor="text1"/>
          <w:lang w:val="en-IE"/>
        </w:rPr>
        <w:t>EUR</w:t>
      </w:r>
      <w:r w:rsidR="00A90CD1">
        <w:rPr>
          <w:rFonts w:eastAsia="Times New Roman"/>
          <w:noProof/>
          <w:color w:val="000000" w:themeColor="text1"/>
          <w:lang w:val="en-IE"/>
        </w:rPr>
        <w:t> </w:t>
      </w:r>
      <w:r w:rsidR="00183DA0" w:rsidRPr="00DE264C">
        <w:rPr>
          <w:rFonts w:eastAsia="Times New Roman"/>
          <w:noProof/>
          <w:color w:val="000000" w:themeColor="text1"/>
          <w:lang w:val="en-IE"/>
        </w:rPr>
        <w:t>25 million</w:t>
      </w:r>
      <w:bookmarkEnd w:id="53"/>
      <w:r w:rsidR="3C2274E6" w:rsidRPr="00DE264C">
        <w:rPr>
          <w:rFonts w:eastAsia="Times New Roman"/>
          <w:noProof/>
          <w:color w:val="000000" w:themeColor="text1"/>
          <w:lang w:val="en-IE"/>
        </w:rPr>
        <w:t>, with</w:t>
      </w:r>
      <w:r w:rsidR="00183DA0" w:rsidRPr="00DE264C">
        <w:rPr>
          <w:rFonts w:eastAsia="Times New Roman"/>
          <w:noProof/>
          <w:color w:val="000000" w:themeColor="text1"/>
          <w:lang w:val="en-IE"/>
        </w:rPr>
        <w:t xml:space="preserve"> expenditure that is pure overhead, providing no competitive advantage or service improvement</w:t>
      </w:r>
      <w:r w:rsidR="00465AA0" w:rsidRPr="009A07FB">
        <w:rPr>
          <w:rFonts w:eastAsia="Times New Roman"/>
          <w:noProof/>
          <w:color w:val="000000" w:themeColor="text1"/>
          <w:vertAlign w:val="superscript"/>
          <w:lang w:val="en-IE"/>
        </w:rPr>
        <w:footnoteReference w:id="52"/>
      </w:r>
      <w:r w:rsidR="616765B0" w:rsidRPr="00DE264C">
        <w:rPr>
          <w:rFonts w:eastAsia="Times New Roman"/>
          <w:noProof/>
          <w:color w:val="000000" w:themeColor="text1"/>
          <w:lang w:val="en-IE"/>
        </w:rPr>
        <w:t>.</w:t>
      </w:r>
      <w:r w:rsidR="00CC02AE" w:rsidRPr="00DE264C">
        <w:rPr>
          <w:rFonts w:eastAsia="Times New Roman"/>
          <w:noProof/>
          <w:color w:val="000000" w:themeColor="text1"/>
          <w:lang w:val="en-IE"/>
        </w:rPr>
        <w:t xml:space="preserve"> </w:t>
      </w:r>
      <w:r w:rsidR="2B19AB2D" w:rsidRPr="00DE264C">
        <w:rPr>
          <w:rFonts w:eastAsia="Times New Roman"/>
          <w:noProof/>
          <w:color w:val="000000" w:themeColor="text1"/>
          <w:lang w:val="en-IE"/>
        </w:rPr>
        <w:t>D</w:t>
      </w:r>
      <w:r w:rsidR="00183DA0" w:rsidRPr="00DE264C">
        <w:rPr>
          <w:rFonts w:eastAsia="Times New Roman"/>
          <w:noProof/>
          <w:color w:val="000000" w:themeColor="text1"/>
          <w:lang w:val="en-IE"/>
        </w:rPr>
        <w:t>etail</w:t>
      </w:r>
      <w:r w:rsidR="484A5282" w:rsidRPr="00DE264C">
        <w:rPr>
          <w:rFonts w:eastAsia="Times New Roman"/>
          <w:noProof/>
          <w:color w:val="000000" w:themeColor="text1"/>
          <w:lang w:val="en-IE"/>
        </w:rPr>
        <w:t>ed breakdown of this cost</w:t>
      </w:r>
      <w:r w:rsidR="7971D6CC" w:rsidRPr="00DE264C">
        <w:rPr>
          <w:rFonts w:eastAsia="Times New Roman"/>
          <w:noProof/>
          <w:color w:val="000000" w:themeColor="text1"/>
          <w:lang w:val="en-IE"/>
        </w:rPr>
        <w:t xml:space="preserve"> estimate</w:t>
      </w:r>
      <w:r w:rsidR="00183DA0" w:rsidRPr="00DE264C">
        <w:rPr>
          <w:rFonts w:eastAsia="Times New Roman"/>
          <w:noProof/>
          <w:color w:val="000000" w:themeColor="text1"/>
          <w:lang w:val="en-IE"/>
        </w:rPr>
        <w:t xml:space="preserve"> </w:t>
      </w:r>
      <w:r w:rsidR="1A25CBF0" w:rsidRPr="00DE264C">
        <w:rPr>
          <w:rFonts w:eastAsia="Times New Roman"/>
          <w:noProof/>
          <w:color w:val="000000" w:themeColor="text1"/>
          <w:lang w:val="en-IE"/>
        </w:rPr>
        <w:t xml:space="preserve">is </w:t>
      </w:r>
      <w:r w:rsidR="00183DA0" w:rsidRPr="00DE264C">
        <w:rPr>
          <w:rFonts w:eastAsia="Times New Roman"/>
          <w:noProof/>
          <w:color w:val="000000" w:themeColor="text1"/>
          <w:lang w:val="en-IE"/>
        </w:rPr>
        <w:t xml:space="preserve">provided in </w:t>
      </w:r>
      <w:r w:rsidR="0088546E">
        <w:rPr>
          <w:rFonts w:eastAsia="Times New Roman"/>
          <w:noProof/>
          <w:color w:val="000000" w:themeColor="text1"/>
          <w:lang w:val="en-IE"/>
        </w:rPr>
        <w:t xml:space="preserve">section </w:t>
      </w:r>
      <w:r w:rsidR="005F763A">
        <w:rPr>
          <w:rFonts w:eastAsia="Times New Roman"/>
          <w:noProof/>
          <w:color w:val="000000" w:themeColor="text1"/>
          <w:lang w:val="en-IE"/>
        </w:rPr>
        <w:t>7.3 of</w:t>
      </w:r>
      <w:r w:rsidR="00183DA0" w:rsidRPr="00DE264C">
        <w:rPr>
          <w:rFonts w:eastAsia="Times New Roman"/>
          <w:noProof/>
          <w:color w:val="000000" w:themeColor="text1"/>
          <w:lang w:val="en-IE"/>
        </w:rPr>
        <w:t xml:space="preserve"> this report.</w:t>
      </w:r>
      <w:r w:rsidR="57AB8EFC" w:rsidRPr="00DE264C">
        <w:rPr>
          <w:rFonts w:eastAsia="Times New Roman"/>
          <w:noProof/>
          <w:color w:val="000000" w:themeColor="text1"/>
          <w:lang w:val="en-IE"/>
        </w:rPr>
        <w:t xml:space="preserve"> </w:t>
      </w:r>
      <w:r w:rsidR="375419B4" w:rsidRPr="7AC71608">
        <w:rPr>
          <w:rFonts w:eastAsia="Times New Roman"/>
          <w:noProof/>
          <w:color w:val="000000" w:themeColor="text1"/>
          <w:lang w:val="en-IE"/>
        </w:rPr>
        <w:t>A</w:t>
      </w:r>
      <w:r w:rsidR="4501582A" w:rsidRPr="7AC71608">
        <w:rPr>
          <w:rFonts w:eastAsia="Times New Roman"/>
          <w:noProof/>
          <w:color w:val="000000" w:themeColor="text1"/>
          <w:lang w:val="en-IE"/>
        </w:rPr>
        <w:t>pproximately</w:t>
      </w:r>
      <w:r w:rsidR="57AB8EFC" w:rsidRPr="00DE264C">
        <w:rPr>
          <w:rFonts w:eastAsia="Times New Roman"/>
          <w:noProof/>
          <w:color w:val="000000" w:themeColor="text1"/>
          <w:lang w:val="en-IE"/>
        </w:rPr>
        <w:t xml:space="preserve"> </w:t>
      </w:r>
      <w:r w:rsidR="57AB8EFC" w:rsidRPr="00A247B4">
        <w:rPr>
          <w:noProof/>
          <w:color w:val="000000" w:themeColor="text1"/>
        </w:rPr>
        <w:t>EUR</w:t>
      </w:r>
      <w:r w:rsidR="00D35A43">
        <w:rPr>
          <w:noProof/>
          <w:color w:val="000000" w:themeColor="text1"/>
        </w:rPr>
        <w:t> </w:t>
      </w:r>
      <w:r w:rsidR="0311C8A6" w:rsidRPr="00A247B4">
        <w:rPr>
          <w:noProof/>
          <w:color w:val="000000" w:themeColor="text1"/>
        </w:rPr>
        <w:t>0</w:t>
      </w:r>
      <w:r w:rsidR="0311C8A6" w:rsidRPr="00A247B4">
        <w:rPr>
          <w:rFonts w:eastAsia="Times New Roman"/>
          <w:noProof/>
          <w:color w:val="000000" w:themeColor="text1"/>
          <w:lang w:val="en-IE"/>
        </w:rPr>
        <w:t xml:space="preserve">.40–0.70 million </w:t>
      </w:r>
      <w:r w:rsidR="0D21F004" w:rsidRPr="7AC71608">
        <w:rPr>
          <w:rFonts w:eastAsia="Times New Roman"/>
          <w:noProof/>
          <w:color w:val="000000" w:themeColor="text1"/>
          <w:lang w:val="en-IE"/>
        </w:rPr>
        <w:t xml:space="preserve">of the combined costs </w:t>
      </w:r>
      <w:r w:rsidR="3BC8D8B0" w:rsidRPr="00A247B4">
        <w:rPr>
          <w:rFonts w:eastAsia="Times New Roman"/>
          <w:noProof/>
          <w:color w:val="000000" w:themeColor="text1"/>
          <w:lang w:val="en-IE"/>
        </w:rPr>
        <w:t xml:space="preserve">are </w:t>
      </w:r>
      <w:r w:rsidR="73CF3FC8" w:rsidRPr="7AC71608">
        <w:rPr>
          <w:rFonts w:eastAsia="Times New Roman"/>
          <w:noProof/>
          <w:color w:val="000000" w:themeColor="text1"/>
          <w:lang w:val="en-IE"/>
        </w:rPr>
        <w:t xml:space="preserve">related to </w:t>
      </w:r>
      <w:r w:rsidR="7ADC0EF3" w:rsidRPr="7AC71608">
        <w:rPr>
          <w:rFonts w:eastAsia="Times New Roman"/>
          <w:noProof/>
          <w:color w:val="000000" w:themeColor="text1"/>
          <w:lang w:val="en-IE"/>
        </w:rPr>
        <w:t>GA</w:t>
      </w:r>
      <w:r w:rsidR="001F38DB">
        <w:rPr>
          <w:rFonts w:eastAsia="Times New Roman"/>
          <w:noProof/>
          <w:color w:val="000000" w:themeColor="text1"/>
          <w:lang w:val="en-IE"/>
        </w:rPr>
        <w:t xml:space="preserve"> </w:t>
      </w:r>
      <w:r w:rsidR="0311C8A6" w:rsidRPr="00A247B4">
        <w:rPr>
          <w:rFonts w:eastAsia="Times New Roman"/>
          <w:noProof/>
          <w:color w:val="000000" w:themeColor="text1"/>
          <w:lang w:val="en-IE"/>
        </w:rPr>
        <w:t>(to apply for GA</w:t>
      </w:r>
      <w:r w:rsidR="1EAAE10E" w:rsidRPr="00A247B4">
        <w:rPr>
          <w:rFonts w:eastAsia="Times New Roman"/>
          <w:noProof/>
          <w:color w:val="000000" w:themeColor="text1"/>
          <w:lang w:val="en-IE"/>
        </w:rPr>
        <w:t xml:space="preserve">, </w:t>
      </w:r>
      <w:r w:rsidR="0311C8A6" w:rsidRPr="00A247B4">
        <w:rPr>
          <w:rFonts w:eastAsia="Times New Roman"/>
          <w:noProof/>
          <w:color w:val="000000" w:themeColor="text1"/>
          <w:lang w:val="en-IE"/>
        </w:rPr>
        <w:t>notify NRAs</w:t>
      </w:r>
      <w:r w:rsidR="767B3FBF" w:rsidRPr="00A247B4">
        <w:rPr>
          <w:rFonts w:eastAsia="Times New Roman"/>
          <w:noProof/>
          <w:color w:val="000000" w:themeColor="text1"/>
          <w:lang w:val="en-IE"/>
        </w:rPr>
        <w:t xml:space="preserve"> and competent authorities</w:t>
      </w:r>
      <w:r w:rsidR="0311C8A6" w:rsidRPr="00A247B4">
        <w:rPr>
          <w:rFonts w:eastAsia="Times New Roman"/>
          <w:noProof/>
          <w:color w:val="000000" w:themeColor="text1"/>
          <w:lang w:val="en-IE"/>
        </w:rPr>
        <w:t xml:space="preserve"> and provide relevant updates if required, separately across 27 Member States). </w:t>
      </w:r>
      <w:r w:rsidR="7160C122" w:rsidRPr="7AC71608">
        <w:rPr>
          <w:rFonts w:eastAsia="Times New Roman"/>
          <w:noProof/>
          <w:color w:val="000000" w:themeColor="text1"/>
          <w:lang w:val="en-IE"/>
        </w:rPr>
        <w:t>Combined with</w:t>
      </w:r>
      <w:r w:rsidR="0311C8A6" w:rsidRPr="00A247B4">
        <w:rPr>
          <w:rFonts w:eastAsia="Times New Roman"/>
          <w:noProof/>
          <w:color w:val="000000" w:themeColor="text1"/>
          <w:lang w:val="en-IE"/>
        </w:rPr>
        <w:t xml:space="preserve"> the total annual operational costs for compliance </w:t>
      </w:r>
      <w:r w:rsidR="190EFB2D" w:rsidRPr="00A247B4">
        <w:rPr>
          <w:rFonts w:eastAsia="Times New Roman"/>
          <w:noProof/>
          <w:color w:val="000000" w:themeColor="text1"/>
          <w:lang w:val="en-IE"/>
        </w:rPr>
        <w:t>with</w:t>
      </w:r>
      <w:r w:rsidR="0311C8A6" w:rsidRPr="00A247B4">
        <w:rPr>
          <w:rFonts w:eastAsia="Times New Roman"/>
          <w:noProof/>
          <w:color w:val="000000" w:themeColor="text1"/>
          <w:lang w:val="en-IE"/>
        </w:rPr>
        <w:t xml:space="preserve"> legal obligations, the </w:t>
      </w:r>
      <w:r w:rsidR="1AF42BEF" w:rsidRPr="7AC71608">
        <w:rPr>
          <w:rFonts w:eastAsia="Times New Roman"/>
          <w:noProof/>
          <w:color w:val="000000" w:themeColor="text1"/>
          <w:lang w:val="en-IE"/>
        </w:rPr>
        <w:t>total cost</w:t>
      </w:r>
      <w:r w:rsidR="7A6DEC18" w:rsidRPr="7AC71608">
        <w:rPr>
          <w:rFonts w:eastAsia="Times New Roman"/>
          <w:noProof/>
          <w:color w:val="000000" w:themeColor="text1"/>
          <w:lang w:val="en-IE"/>
        </w:rPr>
        <w:t xml:space="preserve"> </w:t>
      </w:r>
      <w:r w:rsidR="11936348" w:rsidRPr="7AC71608">
        <w:rPr>
          <w:rFonts w:eastAsia="Times New Roman"/>
          <w:noProof/>
          <w:color w:val="000000" w:themeColor="text1"/>
          <w:lang w:val="en-IE"/>
        </w:rPr>
        <w:t>w</w:t>
      </w:r>
      <w:r w:rsidR="7A6DEC18" w:rsidRPr="7AC71608">
        <w:rPr>
          <w:rFonts w:eastAsia="Times New Roman"/>
          <w:noProof/>
          <w:color w:val="000000" w:themeColor="text1"/>
          <w:lang w:val="en-IE"/>
        </w:rPr>
        <w:t>ould</w:t>
      </w:r>
      <w:r w:rsidR="0311C8A6" w:rsidRPr="00A247B4">
        <w:rPr>
          <w:rFonts w:eastAsia="Times New Roman"/>
          <w:noProof/>
          <w:color w:val="000000" w:themeColor="text1"/>
          <w:lang w:val="en-IE"/>
        </w:rPr>
        <w:t xml:space="preserve"> </w:t>
      </w:r>
      <w:r w:rsidR="4FFEA64F" w:rsidRPr="7AC71608">
        <w:rPr>
          <w:rFonts w:eastAsia="Times New Roman"/>
          <w:noProof/>
          <w:color w:val="000000" w:themeColor="text1"/>
          <w:lang w:val="en-IE"/>
        </w:rPr>
        <w:t>be in the order of</w:t>
      </w:r>
      <w:r w:rsidR="0311C8A6" w:rsidRPr="00A247B4">
        <w:rPr>
          <w:rFonts w:eastAsia="Times New Roman"/>
          <w:noProof/>
          <w:color w:val="000000" w:themeColor="text1"/>
          <w:lang w:val="en-IE"/>
        </w:rPr>
        <w:t xml:space="preserve"> </w:t>
      </w:r>
      <w:r w:rsidR="699938C5" w:rsidRPr="00A247B4">
        <w:rPr>
          <w:rFonts w:eastAsia="Times New Roman"/>
          <w:noProof/>
          <w:color w:val="000000" w:themeColor="text1"/>
          <w:lang w:val="en-IE"/>
        </w:rPr>
        <w:t>EUR</w:t>
      </w:r>
      <w:r w:rsidR="00C06997">
        <w:rPr>
          <w:rFonts w:eastAsia="Times New Roman"/>
          <w:noProof/>
          <w:color w:val="000000" w:themeColor="text1"/>
        </w:rPr>
        <w:t> </w:t>
      </w:r>
      <w:r w:rsidR="0311C8A6" w:rsidRPr="00A247B4">
        <w:rPr>
          <w:rFonts w:eastAsia="Times New Roman"/>
          <w:noProof/>
          <w:color w:val="000000" w:themeColor="text1"/>
          <w:lang w:val="en-IE"/>
        </w:rPr>
        <w:t>0.50–1.20 million</w:t>
      </w:r>
      <w:r w:rsidR="620BD561" w:rsidRPr="00A90CD1">
        <w:rPr>
          <w:noProof/>
          <w:color w:val="000000" w:themeColor="text1"/>
          <w:vertAlign w:val="superscript"/>
          <w:lang w:val="en-IE"/>
        </w:rPr>
        <w:footnoteReference w:id="53"/>
      </w:r>
      <w:r w:rsidR="00D4138C">
        <w:rPr>
          <w:rFonts w:eastAsia="Times New Roman"/>
          <w:noProof/>
          <w:color w:val="000000" w:themeColor="text1"/>
          <w:lang w:val="en-IE"/>
        </w:rPr>
        <w:t>.</w:t>
      </w:r>
    </w:p>
    <w:p w14:paraId="2700FDF1" w14:textId="23803C93" w:rsidR="00A01CE5" w:rsidRPr="00DE264C" w:rsidRDefault="00E82482" w:rsidP="006A3DDC">
      <w:pPr>
        <w:spacing w:line="240" w:lineRule="auto"/>
        <w:rPr>
          <w:noProof/>
          <w:color w:val="000000" w:themeColor="text1"/>
        </w:rPr>
      </w:pPr>
      <w:r>
        <w:rPr>
          <w:noProof/>
          <w:color w:val="000000" w:themeColor="text1"/>
        </w:rPr>
        <w:t xml:space="preserve">Currently there is no </w:t>
      </w:r>
      <w:r w:rsidR="1278CAFF" w:rsidRPr="00DE264C">
        <w:rPr>
          <w:noProof/>
          <w:color w:val="000000" w:themeColor="text1"/>
        </w:rPr>
        <w:t xml:space="preserve">coherent </w:t>
      </w:r>
      <w:r>
        <w:rPr>
          <w:noProof/>
          <w:color w:val="000000" w:themeColor="text1"/>
        </w:rPr>
        <w:t>and harmonised</w:t>
      </w:r>
      <w:r w:rsidR="1278CAFF" w:rsidRPr="00DE264C">
        <w:rPr>
          <w:noProof/>
          <w:color w:val="000000" w:themeColor="text1"/>
        </w:rPr>
        <w:t xml:space="preserve"> approach</w:t>
      </w:r>
      <w:r w:rsidR="6B2EE514" w:rsidRPr="7AC71608">
        <w:rPr>
          <w:noProof/>
          <w:color w:val="000000" w:themeColor="text1"/>
        </w:rPr>
        <w:t xml:space="preserve"> fostering the extension of </w:t>
      </w:r>
      <w:r w:rsidR="6B2EE514" w:rsidRPr="00D35A43">
        <w:rPr>
          <w:b/>
          <w:bCs/>
          <w:noProof/>
          <w:color w:val="000000" w:themeColor="text1"/>
        </w:rPr>
        <w:t>network resilience</w:t>
      </w:r>
      <w:r w:rsidR="1278CAFF" w:rsidRPr="00DE264C">
        <w:rPr>
          <w:noProof/>
          <w:color w:val="000000" w:themeColor="text1"/>
        </w:rPr>
        <w:t>, given that threats</w:t>
      </w:r>
      <w:r w:rsidR="00C219B6">
        <w:rPr>
          <w:noProof/>
          <w:color w:val="000000" w:themeColor="text1"/>
        </w:rPr>
        <w:t xml:space="preserve"> </w:t>
      </w:r>
      <w:r w:rsidR="00C219B6" w:rsidRPr="1AB2D116">
        <w:rPr>
          <w:noProof/>
          <w:lang w:val="en-IE"/>
        </w:rPr>
        <w:t>–</w:t>
      </w:r>
      <w:r w:rsidR="00C219B6">
        <w:rPr>
          <w:noProof/>
          <w:lang w:val="en-IE"/>
        </w:rPr>
        <w:t xml:space="preserve"> </w:t>
      </w:r>
      <w:r w:rsidR="1278CAFF" w:rsidRPr="00DE264C">
        <w:rPr>
          <w:noProof/>
          <w:color w:val="000000" w:themeColor="text1"/>
        </w:rPr>
        <w:t>whether cyberattacks, physical disruptions, or natural disasters</w:t>
      </w:r>
      <w:r w:rsidR="00C219B6">
        <w:rPr>
          <w:noProof/>
          <w:color w:val="000000" w:themeColor="text1"/>
        </w:rPr>
        <w:t xml:space="preserve"> </w:t>
      </w:r>
      <w:r w:rsidR="00C219B6" w:rsidRPr="1AB2D116">
        <w:rPr>
          <w:noProof/>
          <w:lang w:val="en-IE"/>
        </w:rPr>
        <w:t>–</w:t>
      </w:r>
      <w:r w:rsidR="00C219B6">
        <w:rPr>
          <w:noProof/>
          <w:lang w:val="en-IE"/>
        </w:rPr>
        <w:t xml:space="preserve"> </w:t>
      </w:r>
      <w:r w:rsidR="4332DC28" w:rsidRPr="7AC71608">
        <w:rPr>
          <w:noProof/>
          <w:color w:val="000000" w:themeColor="text1"/>
        </w:rPr>
        <w:t>hav</w:t>
      </w:r>
      <w:r w:rsidR="225B7093" w:rsidRPr="7AC71608">
        <w:rPr>
          <w:noProof/>
          <w:color w:val="000000" w:themeColor="text1"/>
        </w:rPr>
        <w:t>e</w:t>
      </w:r>
      <w:r w:rsidR="1278CAFF" w:rsidRPr="00DE264C">
        <w:rPr>
          <w:noProof/>
          <w:color w:val="000000" w:themeColor="text1"/>
        </w:rPr>
        <w:t xml:space="preserve"> increasingly </w:t>
      </w:r>
      <w:r w:rsidR="41A0A8C4" w:rsidRPr="7AC71608">
        <w:rPr>
          <w:noProof/>
          <w:color w:val="000000" w:themeColor="text1"/>
        </w:rPr>
        <w:t xml:space="preserve">cross-border </w:t>
      </w:r>
      <w:r w:rsidR="1278CAFF" w:rsidRPr="00DE264C">
        <w:rPr>
          <w:noProof/>
          <w:color w:val="000000" w:themeColor="text1"/>
        </w:rPr>
        <w:t xml:space="preserve">effects. </w:t>
      </w:r>
      <w:r w:rsidR="12305B44" w:rsidRPr="7AC71608">
        <w:rPr>
          <w:noProof/>
          <w:color w:val="000000" w:themeColor="text1"/>
        </w:rPr>
        <w:t>A</w:t>
      </w:r>
      <w:r w:rsidR="225B7093" w:rsidRPr="7AC71608">
        <w:rPr>
          <w:noProof/>
          <w:color w:val="000000" w:themeColor="text1"/>
        </w:rPr>
        <w:t>nnual</w:t>
      </w:r>
      <w:r w:rsidR="1278CAFF" w:rsidRPr="00DE264C">
        <w:rPr>
          <w:noProof/>
          <w:color w:val="000000" w:themeColor="text1"/>
        </w:rPr>
        <w:t xml:space="preserve"> cost of network outages for companies in Europe is estimated in the order of hundreds of millions</w:t>
      </w:r>
      <w:r w:rsidR="1278CAFF" w:rsidRPr="00DE264C">
        <w:rPr>
          <w:noProof/>
          <w:color w:val="000000" w:themeColor="text1"/>
          <w:vertAlign w:val="superscript"/>
        </w:rPr>
        <w:footnoteReference w:id="54"/>
      </w:r>
      <w:r w:rsidR="1278CAFF" w:rsidRPr="00DE264C">
        <w:rPr>
          <w:noProof/>
          <w:color w:val="000000" w:themeColor="text1"/>
        </w:rPr>
        <w:t xml:space="preserve">. The societal implications go far beyond </w:t>
      </w:r>
      <w:r w:rsidR="25C7551F" w:rsidRPr="7AC71608">
        <w:rPr>
          <w:noProof/>
          <w:color w:val="000000" w:themeColor="text1"/>
        </w:rPr>
        <w:t>costs for companies</w:t>
      </w:r>
      <w:r w:rsidR="225B7093" w:rsidRPr="7AC71608">
        <w:rPr>
          <w:noProof/>
          <w:color w:val="000000" w:themeColor="text1"/>
        </w:rPr>
        <w:t xml:space="preserve"> a</w:t>
      </w:r>
      <w:r w:rsidR="44D27E30" w:rsidRPr="7AC71608">
        <w:rPr>
          <w:noProof/>
          <w:color w:val="000000" w:themeColor="text1"/>
        </w:rPr>
        <w:t>s</w:t>
      </w:r>
      <w:r w:rsidR="1278CAFF" w:rsidRPr="00DE264C">
        <w:rPr>
          <w:noProof/>
          <w:color w:val="000000" w:themeColor="text1"/>
        </w:rPr>
        <w:t xml:space="preserve"> network outage </w:t>
      </w:r>
      <w:r w:rsidR="7BC94E1D" w:rsidRPr="7AC71608">
        <w:rPr>
          <w:noProof/>
          <w:color w:val="000000" w:themeColor="text1"/>
        </w:rPr>
        <w:t>mean</w:t>
      </w:r>
      <w:r w:rsidR="225B7093" w:rsidRPr="7AC71608">
        <w:rPr>
          <w:noProof/>
          <w:color w:val="000000" w:themeColor="text1"/>
        </w:rPr>
        <w:t>s</w:t>
      </w:r>
      <w:r w:rsidR="1278CAFF" w:rsidRPr="00DE264C">
        <w:rPr>
          <w:noProof/>
          <w:color w:val="000000" w:themeColor="text1"/>
        </w:rPr>
        <w:t xml:space="preserve"> unavailability of emergency calls, potentially leading to loss of life and threat to public safety</w:t>
      </w:r>
      <w:r w:rsidR="1278CAFF" w:rsidRPr="00DE264C">
        <w:rPr>
          <w:noProof/>
          <w:color w:val="000000" w:themeColor="text1"/>
          <w:vertAlign w:val="superscript"/>
        </w:rPr>
        <w:footnoteReference w:id="55"/>
      </w:r>
      <w:r w:rsidR="1278CAFF" w:rsidRPr="00DE264C">
        <w:rPr>
          <w:noProof/>
          <w:color w:val="000000" w:themeColor="text1"/>
        </w:rPr>
        <w:t xml:space="preserve">. </w:t>
      </w:r>
    </w:p>
    <w:p w14:paraId="2BFD9C30" w14:textId="4E4EE3D8" w:rsidR="005B122A" w:rsidRPr="003048DC" w:rsidRDefault="005B122A" w:rsidP="00CD5218">
      <w:pPr>
        <w:keepNext/>
        <w:keepLines/>
        <w:spacing w:after="120"/>
        <w:rPr>
          <w:i/>
          <w:noProof/>
          <w:u w:val="single"/>
        </w:rPr>
      </w:pPr>
      <w:r w:rsidRPr="003048DC">
        <w:rPr>
          <w:i/>
          <w:noProof/>
          <w:u w:val="single"/>
        </w:rPr>
        <w:t xml:space="preserve">Table </w:t>
      </w:r>
      <w:r w:rsidR="001034B1" w:rsidRPr="003048DC">
        <w:rPr>
          <w:i/>
          <w:noProof/>
          <w:u w:val="single"/>
        </w:rPr>
        <w:t>3</w:t>
      </w:r>
      <w:r w:rsidRPr="003048DC">
        <w:rPr>
          <w:i/>
          <w:noProof/>
          <w:u w:val="single"/>
        </w:rPr>
        <w:t>: Evaluation report findings on resilience, general authorisation and end users</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5"/>
        <w:gridCol w:w="2573"/>
      </w:tblGrid>
      <w:tr w:rsidR="3B054737" w:rsidRPr="00DE264C" w14:paraId="3E850BBE" w14:textId="77777777" w:rsidTr="009F641D">
        <w:trPr>
          <w:trHeight w:val="342"/>
          <w:tblHeader/>
        </w:trPr>
        <w:tc>
          <w:tcPr>
            <w:tcW w:w="6907" w:type="dxa"/>
          </w:tcPr>
          <w:p w14:paraId="4AC0EE6D" w14:textId="6785361A" w:rsidR="3B054737" w:rsidRPr="00DE264C" w:rsidRDefault="3B054737" w:rsidP="009F641D">
            <w:pPr>
              <w:spacing w:after="120"/>
              <w:jc w:val="center"/>
              <w:rPr>
                <w:noProof/>
                <w:color w:val="000000" w:themeColor="text1"/>
                <w:sz w:val="20"/>
                <w:szCs w:val="20"/>
                <w:lang w:eastAsia="en-US"/>
              </w:rPr>
            </w:pPr>
            <w:r w:rsidRPr="00DE264C">
              <w:rPr>
                <w:noProof/>
                <w:color w:val="000000" w:themeColor="text1"/>
                <w:sz w:val="20"/>
                <w:szCs w:val="20"/>
              </w:rPr>
              <w:t xml:space="preserve">EVALUATION </w:t>
            </w:r>
            <w:r w:rsidR="00B50A5B" w:rsidRPr="00DE264C">
              <w:rPr>
                <w:noProof/>
                <w:color w:val="000000" w:themeColor="text1"/>
                <w:sz w:val="20"/>
                <w:szCs w:val="20"/>
              </w:rPr>
              <w:t>FINDINGS</w:t>
            </w:r>
          </w:p>
        </w:tc>
        <w:tc>
          <w:tcPr>
            <w:tcW w:w="2688" w:type="dxa"/>
          </w:tcPr>
          <w:p w14:paraId="46B7DBEB" w14:textId="4969803B" w:rsidR="3B054737" w:rsidRPr="00DE264C" w:rsidRDefault="00613C00" w:rsidP="009F641D">
            <w:pPr>
              <w:spacing w:after="120"/>
              <w:jc w:val="center"/>
              <w:rPr>
                <w:noProof/>
                <w:color w:val="000000" w:themeColor="text1"/>
                <w:sz w:val="20"/>
                <w:szCs w:val="20"/>
                <w:lang w:eastAsia="en-US"/>
              </w:rPr>
            </w:pPr>
            <w:r w:rsidRPr="00DE264C">
              <w:rPr>
                <w:noProof/>
                <w:sz w:val="20"/>
                <w:szCs w:val="20"/>
              </w:rPr>
              <w:t>SECTIONS IN AN</w:t>
            </w:r>
            <w:r w:rsidR="045734B9" w:rsidRPr="00DE264C">
              <w:rPr>
                <w:noProof/>
                <w:sz w:val="20"/>
                <w:szCs w:val="20"/>
              </w:rPr>
              <w:t>NEX</w:t>
            </w:r>
            <w:r w:rsidRPr="00DE264C">
              <w:rPr>
                <w:noProof/>
                <w:sz w:val="20"/>
                <w:szCs w:val="20"/>
              </w:rPr>
              <w:t xml:space="preserve"> 11</w:t>
            </w:r>
          </w:p>
        </w:tc>
      </w:tr>
      <w:tr w:rsidR="3B054737" w:rsidRPr="00DE264C" w14:paraId="07B028B7" w14:textId="77777777" w:rsidTr="009F641D">
        <w:trPr>
          <w:trHeight w:val="300"/>
        </w:trPr>
        <w:tc>
          <w:tcPr>
            <w:tcW w:w="6907" w:type="dxa"/>
          </w:tcPr>
          <w:p w14:paraId="62C7E667" w14:textId="1ED9B696" w:rsidR="7E9B9ACB" w:rsidRPr="00DE264C" w:rsidRDefault="4AAD64F4" w:rsidP="009F641D">
            <w:pPr>
              <w:spacing w:after="120"/>
              <w:rPr>
                <w:b/>
                <w:noProof/>
                <w:sz w:val="20"/>
                <w:szCs w:val="20"/>
              </w:rPr>
            </w:pPr>
            <w:r w:rsidRPr="00DE264C">
              <w:rPr>
                <w:b/>
                <w:noProof/>
                <w:sz w:val="20"/>
                <w:szCs w:val="20"/>
              </w:rPr>
              <w:t>Lacking pan-European approach to preparedness and resilience of connectivity networks:</w:t>
            </w:r>
          </w:p>
          <w:p w14:paraId="2C5DE32A" w14:textId="637861C8" w:rsidR="3B054737" w:rsidRPr="009F641D" w:rsidRDefault="5E7343F4" w:rsidP="009F641D">
            <w:pPr>
              <w:pStyle w:val="ListParagraph"/>
              <w:numPr>
                <w:ilvl w:val="0"/>
                <w:numId w:val="75"/>
              </w:numPr>
              <w:spacing w:after="120"/>
              <w:ind w:left="714" w:hanging="357"/>
              <w:rPr>
                <w:noProof/>
                <w:sz w:val="20"/>
                <w:szCs w:val="20"/>
              </w:rPr>
            </w:pPr>
            <w:r w:rsidRPr="00DE264C">
              <w:rPr>
                <w:noProof/>
                <w:color w:val="000000" w:themeColor="text1"/>
                <w:sz w:val="20"/>
                <w:szCs w:val="20"/>
              </w:rPr>
              <w:t xml:space="preserve">Resilience of integrated electronic communications infrastructures (terrestrial, non-terrestrial/satellite, submarine) </w:t>
            </w:r>
            <w:r w:rsidR="3D42B8E2" w:rsidRPr="6CF5329C">
              <w:rPr>
                <w:noProof/>
                <w:color w:val="000000" w:themeColor="text1"/>
                <w:sz w:val="20"/>
                <w:szCs w:val="20"/>
              </w:rPr>
              <w:t>ha</w:t>
            </w:r>
            <w:r w:rsidR="6DD1008D" w:rsidRPr="6CF5329C">
              <w:rPr>
                <w:noProof/>
                <w:color w:val="000000" w:themeColor="text1"/>
                <w:sz w:val="20"/>
                <w:szCs w:val="20"/>
              </w:rPr>
              <w:t>s</w:t>
            </w:r>
            <w:r w:rsidRPr="00DE264C">
              <w:rPr>
                <w:noProof/>
                <w:color w:val="000000" w:themeColor="text1"/>
                <w:sz w:val="20"/>
                <w:szCs w:val="20"/>
              </w:rPr>
              <w:t xml:space="preserve"> become an important concern which had not been addressed by the EECC, only partially and in a limited manner</w:t>
            </w:r>
            <w:r w:rsidR="786FACC9" w:rsidRPr="585E65EE">
              <w:rPr>
                <w:noProof/>
                <w:color w:val="000000" w:themeColor="text1"/>
                <w:sz w:val="20"/>
                <w:szCs w:val="20"/>
              </w:rPr>
              <w:t>.</w:t>
            </w:r>
            <w:r w:rsidR="009F641D">
              <w:rPr>
                <w:noProof/>
                <w:color w:val="000000" w:themeColor="text1"/>
                <w:sz w:val="20"/>
                <w:szCs w:val="20"/>
              </w:rPr>
              <w:t xml:space="preserve"> </w:t>
            </w:r>
            <w:r w:rsidR="0CDE9E22" w:rsidRPr="009F641D">
              <w:rPr>
                <w:noProof/>
                <w:color w:val="000000" w:themeColor="text1"/>
                <w:sz w:val="20"/>
                <w:szCs w:val="20"/>
              </w:rPr>
              <w:t xml:space="preserve">Resilience </w:t>
            </w:r>
            <w:r w:rsidR="6881A3F4" w:rsidRPr="009F641D">
              <w:rPr>
                <w:noProof/>
                <w:color w:val="000000" w:themeColor="text1"/>
                <w:sz w:val="20"/>
                <w:szCs w:val="20"/>
              </w:rPr>
              <w:t xml:space="preserve">is </w:t>
            </w:r>
            <w:r w:rsidR="0CDE9E22" w:rsidRPr="009F641D">
              <w:rPr>
                <w:noProof/>
                <w:color w:val="000000" w:themeColor="text1"/>
                <w:sz w:val="20"/>
                <w:szCs w:val="20"/>
              </w:rPr>
              <w:t>only considered in EECC in the context of availability of services</w:t>
            </w:r>
            <w:r w:rsidR="15ADC7AB" w:rsidRPr="009F641D">
              <w:rPr>
                <w:noProof/>
                <w:color w:val="000000" w:themeColor="text1"/>
                <w:sz w:val="20"/>
                <w:szCs w:val="20"/>
              </w:rPr>
              <w:t>.</w:t>
            </w:r>
          </w:p>
        </w:tc>
        <w:tc>
          <w:tcPr>
            <w:tcW w:w="2688" w:type="dxa"/>
          </w:tcPr>
          <w:p w14:paraId="44DE3477" w14:textId="51551CB3" w:rsidR="412A87BD" w:rsidRPr="00DE264C" w:rsidRDefault="412A87BD" w:rsidP="009F641D">
            <w:pPr>
              <w:spacing w:after="120"/>
              <w:rPr>
                <w:noProof/>
                <w:color w:val="000000" w:themeColor="text1"/>
                <w:lang w:eastAsia="en-US"/>
              </w:rPr>
            </w:pPr>
          </w:p>
          <w:p w14:paraId="0E3FDFA5" w14:textId="5D0689AB" w:rsidR="3B054737" w:rsidRPr="009F641D" w:rsidRDefault="5E7343F4" w:rsidP="009F641D">
            <w:pPr>
              <w:spacing w:after="120"/>
              <w:ind w:left="137"/>
              <w:rPr>
                <w:noProof/>
                <w:color w:val="000000" w:themeColor="text1"/>
                <w:sz w:val="20"/>
                <w:szCs w:val="20"/>
                <w:lang w:eastAsia="en-US"/>
              </w:rPr>
            </w:pPr>
            <w:r w:rsidRPr="009F641D">
              <w:rPr>
                <w:noProof/>
                <w:color w:val="000000" w:themeColor="text1"/>
                <w:sz w:val="20"/>
                <w:szCs w:val="20"/>
                <w:lang w:eastAsia="en-US"/>
              </w:rPr>
              <w:t xml:space="preserve">Annex </w:t>
            </w:r>
            <w:r w:rsidR="72CD8BA1" w:rsidRPr="009F641D">
              <w:rPr>
                <w:noProof/>
                <w:color w:val="000000" w:themeColor="text1"/>
                <w:sz w:val="20"/>
                <w:szCs w:val="20"/>
                <w:lang w:eastAsia="en-US"/>
              </w:rPr>
              <w:t>11</w:t>
            </w:r>
            <w:r w:rsidRPr="009F641D">
              <w:rPr>
                <w:noProof/>
                <w:color w:val="000000" w:themeColor="text1"/>
                <w:sz w:val="20"/>
                <w:szCs w:val="20"/>
                <w:lang w:eastAsia="en-US"/>
              </w:rPr>
              <w:t>, section 3.4 General objectives</w:t>
            </w:r>
          </w:p>
        </w:tc>
      </w:tr>
      <w:tr w:rsidR="5D5D4874" w:rsidRPr="00DE264C" w14:paraId="5F2BA8A4" w14:textId="77777777" w:rsidTr="009F641D">
        <w:trPr>
          <w:trHeight w:val="300"/>
        </w:trPr>
        <w:tc>
          <w:tcPr>
            <w:tcW w:w="6907" w:type="dxa"/>
          </w:tcPr>
          <w:p w14:paraId="2AEBF9F5" w14:textId="48FCBC90" w:rsidR="6DDB3409" w:rsidRPr="00DE264C" w:rsidRDefault="6DDB3409" w:rsidP="009F641D">
            <w:pPr>
              <w:spacing w:after="120"/>
              <w:contextualSpacing/>
              <w:rPr>
                <w:b/>
                <w:bCs/>
                <w:noProof/>
                <w:sz w:val="20"/>
                <w:szCs w:val="20"/>
              </w:rPr>
            </w:pPr>
            <w:r w:rsidRPr="00DE264C">
              <w:rPr>
                <w:b/>
                <w:bCs/>
                <w:noProof/>
                <w:sz w:val="20"/>
                <w:szCs w:val="20"/>
              </w:rPr>
              <w:t>General authorisation:</w:t>
            </w:r>
          </w:p>
          <w:p w14:paraId="1410823F" w14:textId="39C5B51F" w:rsidR="5D5D4874" w:rsidRPr="00DE264C" w:rsidRDefault="61F0939C" w:rsidP="009F641D">
            <w:pPr>
              <w:pStyle w:val="ListParagraph"/>
              <w:numPr>
                <w:ilvl w:val="0"/>
                <w:numId w:val="80"/>
              </w:numPr>
              <w:spacing w:after="120"/>
              <w:rPr>
                <w:noProof/>
                <w:sz w:val="20"/>
                <w:szCs w:val="20"/>
              </w:rPr>
            </w:pPr>
            <w:r w:rsidRPr="00DE264C">
              <w:rPr>
                <w:noProof/>
                <w:sz w:val="20"/>
                <w:szCs w:val="20"/>
              </w:rPr>
              <w:t xml:space="preserve">The EECC general authorisation regime successfully lowered barriers to market entry, enhanced transparency, and promoted consistency across the EU. However, divergences in national implementation and </w:t>
            </w:r>
            <w:r w:rsidR="000802F0" w:rsidRPr="00DE264C">
              <w:rPr>
                <w:noProof/>
                <w:sz w:val="20"/>
                <w:szCs w:val="20"/>
              </w:rPr>
              <w:t xml:space="preserve">BEREC </w:t>
            </w:r>
            <w:r w:rsidR="007F558F" w:rsidRPr="00DE264C">
              <w:rPr>
                <w:noProof/>
                <w:sz w:val="20"/>
                <w:szCs w:val="20"/>
              </w:rPr>
              <w:t xml:space="preserve">general authorisation </w:t>
            </w:r>
            <w:r w:rsidRPr="00DE264C">
              <w:rPr>
                <w:noProof/>
                <w:sz w:val="20"/>
                <w:szCs w:val="20"/>
              </w:rPr>
              <w:t>database management (e.g., duplicate notifications, different templates, varying update practices) still create obstacles, particularly for cross-border operators.</w:t>
            </w:r>
          </w:p>
          <w:p w14:paraId="0C341BC8" w14:textId="0A5C59B5" w:rsidR="5D5D4874" w:rsidRPr="00DE264C" w:rsidRDefault="61F0939C" w:rsidP="009F641D">
            <w:pPr>
              <w:pStyle w:val="ListParagraph"/>
              <w:numPr>
                <w:ilvl w:val="0"/>
                <w:numId w:val="80"/>
              </w:numPr>
              <w:spacing w:after="120"/>
              <w:rPr>
                <w:noProof/>
                <w:sz w:val="20"/>
                <w:szCs w:val="20"/>
              </w:rPr>
            </w:pPr>
            <w:r w:rsidRPr="00DE264C">
              <w:rPr>
                <w:noProof/>
                <w:sz w:val="20"/>
                <w:szCs w:val="20"/>
              </w:rPr>
              <w:t>Compliance costs under Art</w:t>
            </w:r>
            <w:r w:rsidR="00BC012D" w:rsidRPr="00DE264C">
              <w:rPr>
                <w:noProof/>
                <w:sz w:val="20"/>
                <w:szCs w:val="20"/>
              </w:rPr>
              <w:t>.</w:t>
            </w:r>
            <w:r w:rsidRPr="00DE264C">
              <w:rPr>
                <w:noProof/>
                <w:sz w:val="20"/>
                <w:szCs w:val="20"/>
              </w:rPr>
              <w:t xml:space="preserve"> 12 and 16 EECC are generally considered low and proportionate by both governments and stakeholders. Still, differences in national implementation (e.g., varying reporting obligations) impose extra administrative burdens, especially on smaller operators.</w:t>
            </w:r>
          </w:p>
          <w:p w14:paraId="74316933" w14:textId="28CECD50" w:rsidR="5D5D4874" w:rsidRPr="00DE264C" w:rsidRDefault="61F0939C" w:rsidP="009F641D">
            <w:pPr>
              <w:pStyle w:val="ListParagraph"/>
              <w:numPr>
                <w:ilvl w:val="0"/>
                <w:numId w:val="80"/>
              </w:numPr>
              <w:spacing w:after="120"/>
              <w:rPr>
                <w:noProof/>
                <w:sz w:val="20"/>
                <w:szCs w:val="20"/>
              </w:rPr>
            </w:pPr>
            <w:r w:rsidRPr="00DE264C">
              <w:rPr>
                <w:noProof/>
                <w:sz w:val="20"/>
                <w:szCs w:val="20"/>
              </w:rPr>
              <w:t xml:space="preserve">While internally coherent, the </w:t>
            </w:r>
            <w:r w:rsidR="009610E5" w:rsidRPr="00DE264C">
              <w:rPr>
                <w:noProof/>
                <w:sz w:val="20"/>
                <w:szCs w:val="20"/>
              </w:rPr>
              <w:t xml:space="preserve">general authorisation </w:t>
            </w:r>
            <w:r w:rsidRPr="00DE264C">
              <w:rPr>
                <w:noProof/>
                <w:sz w:val="20"/>
                <w:szCs w:val="20"/>
              </w:rPr>
              <w:t>framework lacks external coherence with other EU/national rules (cybersecurity, lawful interception, data retention, e-privacy). This undermines the single market and highlights the need for further harmonisation and coordinated security conditions.</w:t>
            </w:r>
          </w:p>
          <w:p w14:paraId="44296C67" w14:textId="52F338AA" w:rsidR="5D5D4874" w:rsidRPr="00DE264C" w:rsidRDefault="61F0939C" w:rsidP="009F641D">
            <w:pPr>
              <w:pStyle w:val="ListParagraph"/>
              <w:numPr>
                <w:ilvl w:val="0"/>
                <w:numId w:val="80"/>
              </w:numPr>
              <w:spacing w:after="120"/>
              <w:rPr>
                <w:noProof/>
                <w:sz w:val="20"/>
                <w:szCs w:val="20"/>
              </w:rPr>
            </w:pPr>
            <w:r w:rsidRPr="00DE264C">
              <w:rPr>
                <w:noProof/>
                <w:sz w:val="20"/>
                <w:szCs w:val="20"/>
              </w:rPr>
              <w:t xml:space="preserve">The </w:t>
            </w:r>
            <w:r w:rsidR="00972588" w:rsidRPr="05077A6B">
              <w:rPr>
                <w:noProof/>
                <w:sz w:val="20"/>
                <w:szCs w:val="20"/>
              </w:rPr>
              <w:t>authorisation</w:t>
            </w:r>
            <w:r w:rsidR="47961082" w:rsidRPr="05077A6B">
              <w:rPr>
                <w:noProof/>
                <w:sz w:val="20"/>
                <w:szCs w:val="20"/>
              </w:rPr>
              <w:t xml:space="preserve"> </w:t>
            </w:r>
            <w:r w:rsidRPr="05077A6B">
              <w:rPr>
                <w:noProof/>
                <w:sz w:val="20"/>
                <w:szCs w:val="20"/>
              </w:rPr>
              <w:t>regime</w:t>
            </w:r>
            <w:r w:rsidRPr="00DE264C">
              <w:rPr>
                <w:noProof/>
                <w:sz w:val="20"/>
                <w:szCs w:val="20"/>
              </w:rPr>
              <w:t xml:space="preserve"> remains relevant, facilitating market entry and enabling NRAs to monitor compliance. However, some stakeholders call for expanding its scope (e.g., to NI-ICS providers) to ensure fair competition and consistent end-user protection. </w:t>
            </w:r>
          </w:p>
          <w:p w14:paraId="7463C9ED" w14:textId="34C7573F" w:rsidR="5D5D4874" w:rsidRPr="00DE264C" w:rsidRDefault="61F0939C" w:rsidP="009F641D">
            <w:pPr>
              <w:pStyle w:val="ListParagraph"/>
              <w:numPr>
                <w:ilvl w:val="0"/>
                <w:numId w:val="80"/>
              </w:numPr>
              <w:spacing w:after="120"/>
              <w:ind w:left="714" w:hanging="357"/>
              <w:contextualSpacing w:val="0"/>
              <w:rPr>
                <w:noProof/>
                <w:sz w:val="20"/>
                <w:szCs w:val="20"/>
              </w:rPr>
            </w:pPr>
            <w:r w:rsidRPr="00DE264C">
              <w:rPr>
                <w:noProof/>
                <w:sz w:val="20"/>
                <w:szCs w:val="20"/>
              </w:rPr>
              <w:t>The evaluation also found a need for simplification</w:t>
            </w:r>
            <w:r w:rsidR="5C2C5FE6" w:rsidRPr="00DE264C">
              <w:rPr>
                <w:noProof/>
                <w:sz w:val="20"/>
                <w:szCs w:val="20"/>
              </w:rPr>
              <w:t>,</w:t>
            </w:r>
            <w:r w:rsidRPr="00DE264C">
              <w:rPr>
                <w:noProof/>
                <w:sz w:val="20"/>
                <w:szCs w:val="20"/>
              </w:rPr>
              <w:t xml:space="preserve"> </w:t>
            </w:r>
            <w:r w:rsidR="11F2184A" w:rsidRPr="00DE264C">
              <w:rPr>
                <w:noProof/>
                <w:sz w:val="20"/>
                <w:szCs w:val="20"/>
              </w:rPr>
              <w:t>further</w:t>
            </w:r>
            <w:r w:rsidRPr="00DE264C">
              <w:rPr>
                <w:noProof/>
                <w:sz w:val="20"/>
                <w:szCs w:val="20"/>
              </w:rPr>
              <w:t xml:space="preserve"> harmonisation </w:t>
            </w:r>
            <w:r w:rsidR="0412699E" w:rsidRPr="00DE264C">
              <w:rPr>
                <w:noProof/>
                <w:sz w:val="20"/>
                <w:szCs w:val="20"/>
              </w:rPr>
              <w:t>and consistency</w:t>
            </w:r>
            <w:r w:rsidRPr="00DE264C">
              <w:rPr>
                <w:noProof/>
                <w:sz w:val="20"/>
                <w:szCs w:val="20"/>
              </w:rPr>
              <w:t xml:space="preserve"> to reduce administrative burdens and support new, </w:t>
            </w:r>
            <w:r w:rsidR="7E81C12E" w:rsidRPr="00DE264C">
              <w:rPr>
                <w:noProof/>
                <w:sz w:val="20"/>
                <w:szCs w:val="20"/>
              </w:rPr>
              <w:t xml:space="preserve">more software-based networks and </w:t>
            </w:r>
            <w:r w:rsidRPr="00DE264C">
              <w:rPr>
                <w:noProof/>
                <w:sz w:val="20"/>
                <w:szCs w:val="20"/>
              </w:rPr>
              <w:t>virtualised communications services.</w:t>
            </w:r>
          </w:p>
        </w:tc>
        <w:tc>
          <w:tcPr>
            <w:tcW w:w="2688" w:type="dxa"/>
          </w:tcPr>
          <w:p w14:paraId="20844F71" w14:textId="79B2205C" w:rsidR="5D5D4874" w:rsidRPr="00446724" w:rsidRDefault="61F0939C" w:rsidP="009F641D">
            <w:pPr>
              <w:pStyle w:val="ListParagraph"/>
              <w:spacing w:after="120"/>
              <w:ind w:left="137"/>
              <w:rPr>
                <w:noProof/>
                <w:color w:val="000000" w:themeColor="text1"/>
                <w:sz w:val="20"/>
                <w:szCs w:val="20"/>
                <w:lang w:val="fr-FR" w:eastAsia="en-US"/>
              </w:rPr>
            </w:pPr>
            <w:r w:rsidRPr="000F3C83">
              <w:rPr>
                <w:noProof/>
                <w:color w:val="000000" w:themeColor="text1"/>
                <w:sz w:val="20"/>
                <w:lang w:val="fr-FR"/>
              </w:rPr>
              <w:t xml:space="preserve">Annex 11, section 6.1., </w:t>
            </w:r>
          </w:p>
          <w:p w14:paraId="3834748B" w14:textId="0B09D089" w:rsidR="5D5D4874" w:rsidRPr="00446724" w:rsidRDefault="61F0939C" w:rsidP="009F641D">
            <w:pPr>
              <w:pStyle w:val="ListParagraph"/>
              <w:spacing w:after="120"/>
              <w:ind w:left="137"/>
              <w:rPr>
                <w:noProof/>
                <w:color w:val="000000" w:themeColor="text1"/>
                <w:sz w:val="20"/>
                <w:szCs w:val="20"/>
                <w:lang w:val="fr-FR" w:eastAsia="en-US"/>
              </w:rPr>
            </w:pPr>
            <w:r w:rsidRPr="000F3C83">
              <w:rPr>
                <w:noProof/>
                <w:color w:val="000000" w:themeColor="text1"/>
                <w:sz w:val="20"/>
                <w:lang w:val="fr-FR"/>
              </w:rPr>
              <w:t>Annex 11, section 6.2,</w:t>
            </w:r>
          </w:p>
          <w:p w14:paraId="71DA9D3C" w14:textId="42CF4A8A" w:rsidR="5D5D4874" w:rsidRPr="00446724" w:rsidRDefault="61F0939C" w:rsidP="009F641D">
            <w:pPr>
              <w:pStyle w:val="ListParagraph"/>
              <w:spacing w:after="120"/>
              <w:ind w:left="137"/>
              <w:rPr>
                <w:noProof/>
                <w:color w:val="000000" w:themeColor="text1"/>
                <w:sz w:val="20"/>
                <w:szCs w:val="20"/>
                <w:lang w:val="fr-FR" w:eastAsia="en-US"/>
              </w:rPr>
            </w:pPr>
            <w:r w:rsidRPr="000F3C83">
              <w:rPr>
                <w:noProof/>
                <w:color w:val="000000" w:themeColor="text1"/>
                <w:sz w:val="20"/>
                <w:lang w:val="fr-FR"/>
              </w:rPr>
              <w:t>Annex 11, section 6.3,</w:t>
            </w:r>
          </w:p>
          <w:p w14:paraId="1803C102" w14:textId="0BF108C4" w:rsidR="5D5D4874" w:rsidRPr="00DE264C" w:rsidRDefault="61F0939C" w:rsidP="009F641D">
            <w:pPr>
              <w:pStyle w:val="ListParagraph"/>
              <w:spacing w:after="120"/>
              <w:ind w:left="137"/>
              <w:rPr>
                <w:noProof/>
                <w:color w:val="000000" w:themeColor="text1"/>
                <w:sz w:val="20"/>
                <w:szCs w:val="20"/>
                <w:lang w:eastAsia="en-US"/>
              </w:rPr>
            </w:pPr>
            <w:r w:rsidRPr="00DE264C">
              <w:rPr>
                <w:noProof/>
                <w:color w:val="000000" w:themeColor="text1"/>
                <w:sz w:val="20"/>
                <w:szCs w:val="20"/>
                <w:lang w:eastAsia="en-US"/>
              </w:rPr>
              <w:t>Annex 11, section 6.4</w:t>
            </w:r>
            <w:r w:rsidR="63794769" w:rsidRPr="085161EE">
              <w:rPr>
                <w:noProof/>
                <w:color w:val="000000" w:themeColor="text1"/>
                <w:sz w:val="20"/>
                <w:szCs w:val="20"/>
                <w:lang w:eastAsia="en-US"/>
              </w:rPr>
              <w:t xml:space="preserve"> </w:t>
            </w:r>
            <w:r w:rsidR="63794769" w:rsidRPr="4195ABDA">
              <w:rPr>
                <w:noProof/>
                <w:color w:val="000000" w:themeColor="text1"/>
                <w:sz w:val="20"/>
                <w:szCs w:val="20"/>
                <w:lang w:eastAsia="en-US"/>
              </w:rPr>
              <w:t>and 6.5</w:t>
            </w:r>
            <w:r w:rsidRPr="00DE264C">
              <w:rPr>
                <w:noProof/>
                <w:color w:val="000000" w:themeColor="text1"/>
                <w:sz w:val="20"/>
                <w:szCs w:val="20"/>
                <w:lang w:eastAsia="en-US"/>
              </w:rPr>
              <w:t>.</w:t>
            </w:r>
          </w:p>
        </w:tc>
      </w:tr>
      <w:tr w:rsidR="3B054737" w:rsidRPr="00DE264C" w14:paraId="1E575B9B" w14:textId="77777777" w:rsidTr="009F641D">
        <w:trPr>
          <w:trHeight w:val="300"/>
        </w:trPr>
        <w:tc>
          <w:tcPr>
            <w:tcW w:w="6907" w:type="dxa"/>
          </w:tcPr>
          <w:p w14:paraId="4248C475" w14:textId="6C0D803D" w:rsidR="00E51F37" w:rsidRPr="00DE264C" w:rsidRDefault="009C622B" w:rsidP="009F641D">
            <w:pPr>
              <w:spacing w:after="120"/>
              <w:contextualSpacing/>
              <w:rPr>
                <w:b/>
                <w:noProof/>
                <w:color w:val="000000" w:themeColor="text1"/>
                <w:sz w:val="20"/>
                <w:szCs w:val="20"/>
                <w:lang w:val="en-IE" w:eastAsia="en-US"/>
              </w:rPr>
            </w:pPr>
            <w:r w:rsidRPr="00CD172B">
              <w:rPr>
                <w:b/>
                <w:noProof/>
                <w:color w:val="000000" w:themeColor="text1"/>
                <w:sz w:val="20"/>
              </w:rPr>
              <w:t>End-Users:</w:t>
            </w:r>
          </w:p>
          <w:p w14:paraId="31819921" w14:textId="65C7DE51" w:rsidR="009C622B" w:rsidRPr="00DE264C" w:rsidRDefault="001B02B2" w:rsidP="009F641D">
            <w:pPr>
              <w:pStyle w:val="ListParagraph"/>
              <w:numPr>
                <w:ilvl w:val="0"/>
                <w:numId w:val="80"/>
              </w:numPr>
              <w:spacing w:after="120"/>
              <w:rPr>
                <w:noProof/>
                <w:color w:val="000000" w:themeColor="text1"/>
                <w:sz w:val="20"/>
                <w:szCs w:val="20"/>
                <w:lang w:val="en-IE" w:eastAsia="en-US"/>
              </w:rPr>
            </w:pPr>
            <w:r w:rsidRPr="00CD172B">
              <w:rPr>
                <w:noProof/>
                <w:color w:val="000000" w:themeColor="text1"/>
                <w:sz w:val="20"/>
              </w:rPr>
              <w:t>The evaluation report found that t</w:t>
            </w:r>
            <w:r w:rsidR="004E303C" w:rsidRPr="00CD172B">
              <w:rPr>
                <w:noProof/>
                <w:color w:val="000000" w:themeColor="text1"/>
                <w:sz w:val="20"/>
              </w:rPr>
              <w:t>he current sector</w:t>
            </w:r>
            <w:r w:rsidR="00E574E8" w:rsidRPr="00CD172B">
              <w:rPr>
                <w:noProof/>
                <w:color w:val="000000" w:themeColor="text1"/>
                <w:sz w:val="20"/>
              </w:rPr>
              <w:t xml:space="preserve"> specific rules are largely satisfactory and while </w:t>
            </w:r>
            <w:r w:rsidRPr="00CD172B">
              <w:rPr>
                <w:noProof/>
                <w:color w:val="000000" w:themeColor="text1"/>
                <w:sz w:val="20"/>
              </w:rPr>
              <w:t>they</w:t>
            </w:r>
            <w:r w:rsidR="007C4149" w:rsidRPr="00CD172B">
              <w:rPr>
                <w:noProof/>
                <w:color w:val="000000" w:themeColor="text1"/>
                <w:sz w:val="20"/>
              </w:rPr>
              <w:t xml:space="preserve"> provide </w:t>
            </w:r>
            <w:r w:rsidR="00DD676D" w:rsidRPr="00CD172B">
              <w:rPr>
                <w:noProof/>
                <w:color w:val="000000" w:themeColor="text1"/>
                <w:sz w:val="20"/>
              </w:rPr>
              <w:t>for maximum harmonisation</w:t>
            </w:r>
            <w:r w:rsidR="00B1084E" w:rsidRPr="00CD172B">
              <w:rPr>
                <w:noProof/>
                <w:color w:val="000000" w:themeColor="text1"/>
                <w:sz w:val="20"/>
              </w:rPr>
              <w:t>, the</w:t>
            </w:r>
            <w:r w:rsidRPr="00CD172B">
              <w:rPr>
                <w:noProof/>
                <w:color w:val="000000" w:themeColor="text1"/>
                <w:sz w:val="20"/>
              </w:rPr>
              <w:t>ir</w:t>
            </w:r>
            <w:r w:rsidR="00B1084E" w:rsidRPr="00CD172B">
              <w:rPr>
                <w:noProof/>
                <w:color w:val="000000" w:themeColor="text1"/>
                <w:sz w:val="20"/>
              </w:rPr>
              <w:t xml:space="preserve"> effectiveness is </w:t>
            </w:r>
            <w:r w:rsidR="00B519B6" w:rsidRPr="00CD172B">
              <w:rPr>
                <w:noProof/>
                <w:color w:val="000000" w:themeColor="text1"/>
                <w:sz w:val="20"/>
              </w:rPr>
              <w:t>reduced by the</w:t>
            </w:r>
            <w:r w:rsidR="00DD676D" w:rsidRPr="00CD172B">
              <w:rPr>
                <w:noProof/>
                <w:color w:val="000000" w:themeColor="text1"/>
                <w:sz w:val="20"/>
              </w:rPr>
              <w:t xml:space="preserve"> </w:t>
            </w:r>
            <w:r w:rsidR="00595AF5" w:rsidRPr="00CD172B">
              <w:rPr>
                <w:noProof/>
                <w:color w:val="000000" w:themeColor="text1"/>
                <w:sz w:val="20"/>
              </w:rPr>
              <w:t>possibilities of derogation included in the articles;</w:t>
            </w:r>
          </w:p>
          <w:p w14:paraId="2C2513E0" w14:textId="7F42C535" w:rsidR="3B054737" w:rsidRPr="00DE264C" w:rsidRDefault="001B02B2" w:rsidP="009F641D">
            <w:pPr>
              <w:pStyle w:val="ListParagraph"/>
              <w:numPr>
                <w:ilvl w:val="0"/>
                <w:numId w:val="80"/>
              </w:numPr>
              <w:spacing w:after="120"/>
              <w:rPr>
                <w:noProof/>
                <w:color w:val="000000" w:themeColor="text1"/>
                <w:sz w:val="20"/>
                <w:szCs w:val="20"/>
                <w:lang w:eastAsia="en-US"/>
              </w:rPr>
            </w:pPr>
            <w:r w:rsidRPr="111AB3DD">
              <w:rPr>
                <w:noProof/>
                <w:color w:val="000000" w:themeColor="text1"/>
                <w:sz w:val="20"/>
                <w:szCs w:val="20"/>
                <w:lang w:eastAsia="en-US"/>
              </w:rPr>
              <w:t>The use by Member States of the possibili</w:t>
            </w:r>
            <w:r w:rsidR="00473417" w:rsidRPr="111AB3DD">
              <w:rPr>
                <w:noProof/>
                <w:color w:val="000000" w:themeColor="text1"/>
                <w:sz w:val="20"/>
                <w:szCs w:val="20"/>
                <w:lang w:eastAsia="en-US"/>
              </w:rPr>
              <w:t xml:space="preserve">ty to derogate from sector </w:t>
            </w:r>
            <w:r w:rsidR="059815FF" w:rsidRPr="111AB3DD">
              <w:rPr>
                <w:noProof/>
                <w:color w:val="000000" w:themeColor="text1"/>
                <w:sz w:val="20"/>
                <w:szCs w:val="20"/>
                <w:lang w:eastAsia="en-US"/>
              </w:rPr>
              <w:t>specific</w:t>
            </w:r>
            <w:r w:rsidR="5D57A343" w:rsidRPr="111AB3DD">
              <w:rPr>
                <w:noProof/>
                <w:color w:val="000000" w:themeColor="text1"/>
                <w:sz w:val="20"/>
                <w:szCs w:val="20"/>
                <w:lang w:eastAsia="en-US"/>
              </w:rPr>
              <w:t xml:space="preserve"> </w:t>
            </w:r>
            <w:r w:rsidR="059815FF" w:rsidRPr="111AB3DD">
              <w:rPr>
                <w:noProof/>
                <w:color w:val="000000" w:themeColor="text1"/>
                <w:sz w:val="20"/>
                <w:szCs w:val="20"/>
                <w:lang w:eastAsia="en-US"/>
              </w:rPr>
              <w:t>rules</w:t>
            </w:r>
            <w:r w:rsidR="00473417" w:rsidRPr="111AB3DD">
              <w:rPr>
                <w:noProof/>
                <w:color w:val="000000" w:themeColor="text1"/>
                <w:sz w:val="20"/>
                <w:szCs w:val="20"/>
                <w:lang w:eastAsia="en-US"/>
              </w:rPr>
              <w:t xml:space="preserve"> has </w:t>
            </w:r>
            <w:r w:rsidR="00A776DB" w:rsidRPr="111AB3DD">
              <w:rPr>
                <w:noProof/>
                <w:color w:val="000000" w:themeColor="text1"/>
                <w:sz w:val="20"/>
                <w:szCs w:val="20"/>
                <w:lang w:eastAsia="en-US"/>
              </w:rPr>
              <w:t xml:space="preserve">increased regulatory fragmentation of the consumer protection rules </w:t>
            </w:r>
            <w:r w:rsidR="00413CCF" w:rsidRPr="111AB3DD">
              <w:rPr>
                <w:noProof/>
                <w:color w:val="000000" w:themeColor="text1"/>
                <w:sz w:val="20"/>
                <w:szCs w:val="20"/>
                <w:lang w:eastAsia="en-US"/>
              </w:rPr>
              <w:t xml:space="preserve">and </w:t>
            </w:r>
            <w:r w:rsidR="4B96C677" w:rsidRPr="111AB3DD">
              <w:rPr>
                <w:noProof/>
                <w:color w:val="000000" w:themeColor="text1"/>
                <w:sz w:val="20"/>
                <w:szCs w:val="20"/>
                <w:lang w:eastAsia="en-US"/>
              </w:rPr>
              <w:t>ha</w:t>
            </w:r>
            <w:r w:rsidR="007435F8" w:rsidRPr="111AB3DD">
              <w:rPr>
                <w:noProof/>
                <w:color w:val="000000" w:themeColor="text1"/>
                <w:sz w:val="20"/>
                <w:szCs w:val="20"/>
                <w:lang w:eastAsia="en-US"/>
              </w:rPr>
              <w:t>s</w:t>
            </w:r>
            <w:r w:rsidR="00413CCF" w:rsidRPr="111AB3DD">
              <w:rPr>
                <w:noProof/>
                <w:color w:val="000000" w:themeColor="text1"/>
                <w:sz w:val="20"/>
                <w:szCs w:val="20"/>
                <w:lang w:eastAsia="en-US"/>
              </w:rPr>
              <w:t xml:space="preserve"> been mentioned as a barrier to </w:t>
            </w:r>
            <w:r w:rsidR="00661071" w:rsidRPr="111AB3DD">
              <w:rPr>
                <w:noProof/>
                <w:color w:val="000000" w:themeColor="text1"/>
                <w:sz w:val="20"/>
                <w:szCs w:val="20"/>
                <w:lang w:eastAsia="en-US"/>
              </w:rPr>
              <w:t xml:space="preserve">the Single Market preventing </w:t>
            </w:r>
            <w:r w:rsidR="00A92BF2" w:rsidRPr="111AB3DD">
              <w:rPr>
                <w:noProof/>
                <w:color w:val="000000" w:themeColor="text1"/>
                <w:sz w:val="20"/>
                <w:szCs w:val="20"/>
                <w:lang w:eastAsia="en-US"/>
              </w:rPr>
              <w:t xml:space="preserve">operators to operate at scale </w:t>
            </w:r>
            <w:r w:rsidR="002516D2" w:rsidRPr="111AB3DD">
              <w:rPr>
                <w:noProof/>
                <w:color w:val="000000" w:themeColor="text1"/>
                <w:sz w:val="20"/>
                <w:szCs w:val="20"/>
                <w:lang w:eastAsia="en-US"/>
              </w:rPr>
              <w:t xml:space="preserve">or </w:t>
            </w:r>
            <w:r w:rsidR="48EBE492" w:rsidRPr="111AB3DD">
              <w:rPr>
                <w:noProof/>
                <w:color w:val="000000" w:themeColor="text1"/>
                <w:sz w:val="20"/>
                <w:szCs w:val="20"/>
                <w:lang w:eastAsia="en-US"/>
              </w:rPr>
              <w:t xml:space="preserve">provide </w:t>
            </w:r>
            <w:r w:rsidR="002516D2" w:rsidRPr="111AB3DD">
              <w:rPr>
                <w:noProof/>
                <w:color w:val="000000" w:themeColor="text1"/>
                <w:sz w:val="20"/>
                <w:szCs w:val="20"/>
                <w:lang w:eastAsia="en-US"/>
              </w:rPr>
              <w:t>consistent cross border services</w:t>
            </w:r>
            <w:r w:rsidR="501B153B" w:rsidRPr="111AB3DD">
              <w:rPr>
                <w:noProof/>
                <w:color w:val="000000" w:themeColor="text1"/>
                <w:sz w:val="20"/>
                <w:szCs w:val="20"/>
                <w:lang w:eastAsia="en-US"/>
              </w:rPr>
              <w:t>.</w:t>
            </w:r>
            <w:r w:rsidR="00661071" w:rsidRPr="111AB3DD">
              <w:rPr>
                <w:noProof/>
                <w:color w:val="000000" w:themeColor="text1"/>
                <w:sz w:val="20"/>
                <w:szCs w:val="20"/>
                <w:lang w:eastAsia="en-US"/>
              </w:rPr>
              <w:t>;</w:t>
            </w:r>
          </w:p>
        </w:tc>
        <w:tc>
          <w:tcPr>
            <w:tcW w:w="2688" w:type="dxa"/>
          </w:tcPr>
          <w:p w14:paraId="344614E8" w14:textId="01456007" w:rsidR="3B054737" w:rsidRPr="00DE264C" w:rsidRDefault="3B054737" w:rsidP="009F641D">
            <w:pPr>
              <w:spacing w:after="120"/>
              <w:rPr>
                <w:noProof/>
                <w:color w:val="000000" w:themeColor="text1"/>
                <w:sz w:val="20"/>
                <w:szCs w:val="20"/>
                <w:lang w:eastAsia="en-US"/>
              </w:rPr>
            </w:pPr>
          </w:p>
        </w:tc>
      </w:tr>
    </w:tbl>
    <w:p w14:paraId="7A934C5F" w14:textId="74A828D9" w:rsidR="34417BF0" w:rsidRPr="00E83668" w:rsidRDefault="00DD235C" w:rsidP="009F641D">
      <w:pPr>
        <w:pStyle w:val="Heading4"/>
        <w:spacing w:before="240"/>
        <w:rPr>
          <w:i/>
          <w:iCs/>
          <w:noProof/>
          <w:color w:val="000000" w:themeColor="text1"/>
        </w:rPr>
      </w:pPr>
      <w:r w:rsidRPr="00E83668">
        <w:rPr>
          <w:rFonts w:eastAsiaTheme="minorHAnsi"/>
          <w:i/>
          <w:noProof/>
          <w:color w:val="000000" w:themeColor="text1"/>
        </w:rPr>
        <w:t>Barriers</w:t>
      </w:r>
      <w:r w:rsidRPr="00E83668">
        <w:rPr>
          <w:i/>
          <w:iCs/>
          <w:noProof/>
          <w:color w:val="000000" w:themeColor="text1"/>
        </w:rPr>
        <w:t xml:space="preserve"> to</w:t>
      </w:r>
      <w:r w:rsidR="00F7387D" w:rsidRPr="00E83668">
        <w:rPr>
          <w:i/>
          <w:iCs/>
          <w:noProof/>
          <w:color w:val="000000" w:themeColor="text1"/>
        </w:rPr>
        <w:t xml:space="preserve"> </w:t>
      </w:r>
      <w:r w:rsidR="008A3E89" w:rsidRPr="00E83668">
        <w:rPr>
          <w:i/>
          <w:iCs/>
          <w:noProof/>
          <w:color w:val="000000" w:themeColor="text1"/>
        </w:rPr>
        <w:t xml:space="preserve">pan-European </w:t>
      </w:r>
      <w:r w:rsidR="00FA3D55" w:rsidRPr="00E83668">
        <w:rPr>
          <w:i/>
          <w:iCs/>
          <w:noProof/>
          <w:color w:val="000000" w:themeColor="text1"/>
        </w:rPr>
        <w:t>s</w:t>
      </w:r>
      <w:r w:rsidR="34417BF0" w:rsidRPr="00E83668">
        <w:rPr>
          <w:i/>
          <w:iCs/>
          <w:noProof/>
          <w:color w:val="000000" w:themeColor="text1"/>
        </w:rPr>
        <w:t>atellite services</w:t>
      </w:r>
    </w:p>
    <w:p w14:paraId="519D3B5D" w14:textId="004D4AB4" w:rsidR="00826ECA" w:rsidRPr="00DE264C" w:rsidRDefault="00EB76D7" w:rsidP="006A3DDC">
      <w:pPr>
        <w:spacing w:line="240" w:lineRule="auto"/>
        <w:rPr>
          <w:rFonts w:eastAsia="Times New Roman"/>
          <w:noProof/>
        </w:rPr>
      </w:pPr>
      <w:r w:rsidRPr="00DE264C">
        <w:rPr>
          <w:rFonts w:eastAsia="Times New Roman"/>
          <w:noProof/>
        </w:rPr>
        <w:t>S</w:t>
      </w:r>
      <w:r w:rsidR="003B54E5" w:rsidRPr="00DE264C">
        <w:rPr>
          <w:rFonts w:eastAsia="Times New Roman"/>
          <w:noProof/>
        </w:rPr>
        <w:t xml:space="preserve">atellite systems provide </w:t>
      </w:r>
      <w:r w:rsidR="00167A93" w:rsidRPr="00DE264C">
        <w:rPr>
          <w:rFonts w:eastAsia="Times New Roman"/>
          <w:noProof/>
        </w:rPr>
        <w:t xml:space="preserve">broad </w:t>
      </w:r>
      <w:r w:rsidR="00A97D7B">
        <w:rPr>
          <w:noProof/>
          <w:color w:val="000000" w:themeColor="text1"/>
        </w:rPr>
        <w:t>regional or global</w:t>
      </w:r>
      <w:r w:rsidR="00BB15BE" w:rsidRPr="00DE264C">
        <w:rPr>
          <w:rFonts w:eastAsia="Times New Roman"/>
          <w:noProof/>
        </w:rPr>
        <w:t xml:space="preserve"> coverage</w:t>
      </w:r>
      <w:r w:rsidR="003A744F" w:rsidRPr="00DE264C">
        <w:rPr>
          <w:rFonts w:eastAsia="Times New Roman"/>
          <w:noProof/>
        </w:rPr>
        <w:t xml:space="preserve"> and have </w:t>
      </w:r>
      <w:r w:rsidR="00643FFB" w:rsidRPr="00DE264C">
        <w:rPr>
          <w:noProof/>
        </w:rPr>
        <w:t>inherent</w:t>
      </w:r>
      <w:r w:rsidR="006712AF" w:rsidRPr="00DE264C">
        <w:rPr>
          <w:rFonts w:eastAsia="Times New Roman"/>
          <w:noProof/>
        </w:rPr>
        <w:t xml:space="preserve"> cross-border</w:t>
      </w:r>
      <w:r w:rsidR="00643FFB" w:rsidRPr="00DE264C">
        <w:rPr>
          <w:noProof/>
        </w:rPr>
        <w:t xml:space="preserve"> nature </w:t>
      </w:r>
      <w:r w:rsidR="00FB4A63" w:rsidRPr="00DE264C">
        <w:rPr>
          <w:noProof/>
        </w:rPr>
        <w:t>and</w:t>
      </w:r>
      <w:r w:rsidR="00962767" w:rsidRPr="00DE264C">
        <w:rPr>
          <w:rFonts w:eastAsia="Times New Roman"/>
          <w:noProof/>
        </w:rPr>
        <w:t xml:space="preserve"> pan-European </w:t>
      </w:r>
      <w:r w:rsidR="000014DA" w:rsidRPr="00DE264C">
        <w:rPr>
          <w:noProof/>
        </w:rPr>
        <w:t xml:space="preserve">(or global) </w:t>
      </w:r>
      <w:r w:rsidR="00D70D4F" w:rsidRPr="00DE264C">
        <w:rPr>
          <w:rFonts w:eastAsia="Times New Roman"/>
          <w:noProof/>
        </w:rPr>
        <w:t>potential</w:t>
      </w:r>
      <w:r w:rsidR="00461C28" w:rsidRPr="00DE264C">
        <w:rPr>
          <w:rFonts w:eastAsia="Times New Roman"/>
          <w:noProof/>
        </w:rPr>
        <w:t xml:space="preserve">, </w:t>
      </w:r>
      <w:r w:rsidR="00307529" w:rsidRPr="00DE264C">
        <w:rPr>
          <w:rFonts w:eastAsia="Times New Roman"/>
          <w:noProof/>
        </w:rPr>
        <w:t xml:space="preserve">as opposed </w:t>
      </w:r>
      <w:r w:rsidR="00461C28" w:rsidRPr="00DE264C">
        <w:rPr>
          <w:rFonts w:eastAsia="Times New Roman"/>
          <w:noProof/>
        </w:rPr>
        <w:t xml:space="preserve">to </w:t>
      </w:r>
      <w:r w:rsidR="00A93B67" w:rsidRPr="00DE264C">
        <w:rPr>
          <w:rFonts w:eastAsia="Times New Roman"/>
          <w:noProof/>
        </w:rPr>
        <w:t xml:space="preserve">terrestrial </w:t>
      </w:r>
      <w:r w:rsidR="00461C28" w:rsidRPr="00DE264C">
        <w:rPr>
          <w:rFonts w:eastAsia="Times New Roman"/>
          <w:noProof/>
        </w:rPr>
        <w:t>mobile networks</w:t>
      </w:r>
      <w:r w:rsidR="003B54E5" w:rsidRPr="00DE264C">
        <w:rPr>
          <w:rFonts w:eastAsia="Times New Roman"/>
          <w:noProof/>
        </w:rPr>
        <w:t>.</w:t>
      </w:r>
      <w:r w:rsidR="00561D26" w:rsidRPr="00DE264C">
        <w:rPr>
          <w:rFonts w:eastAsia="Times New Roman"/>
          <w:noProof/>
        </w:rPr>
        <w:t xml:space="preserve"> </w:t>
      </w:r>
      <w:r w:rsidR="00831BE1" w:rsidRPr="00C77632">
        <w:rPr>
          <w:rFonts w:eastAsia="Times New Roman"/>
          <w:noProof/>
        </w:rPr>
        <w:t xml:space="preserve">In </w:t>
      </w:r>
      <w:r w:rsidR="00DA0057">
        <w:rPr>
          <w:rFonts w:eastAsia="Times New Roman"/>
          <w:noProof/>
        </w:rPr>
        <w:t>times</w:t>
      </w:r>
      <w:r w:rsidR="00831BE1" w:rsidRPr="00C77632">
        <w:rPr>
          <w:rFonts w:eastAsia="Times New Roman"/>
          <w:noProof/>
        </w:rPr>
        <w:t xml:space="preserve"> of rapid </w:t>
      </w:r>
      <w:r w:rsidR="005447FD" w:rsidRPr="00C77632">
        <w:rPr>
          <w:rFonts w:eastAsia="Times New Roman"/>
          <w:noProof/>
        </w:rPr>
        <w:t>expan</w:t>
      </w:r>
      <w:r w:rsidR="005447FD">
        <w:rPr>
          <w:rFonts w:eastAsia="Times New Roman"/>
          <w:noProof/>
        </w:rPr>
        <w:t>sion</w:t>
      </w:r>
      <w:r w:rsidR="00831BE1" w:rsidRPr="00C77632">
        <w:rPr>
          <w:rFonts w:eastAsia="Times New Roman"/>
          <w:noProof/>
        </w:rPr>
        <w:t xml:space="preserve"> </w:t>
      </w:r>
      <w:r w:rsidR="00365364">
        <w:rPr>
          <w:rFonts w:eastAsia="Times New Roman"/>
          <w:noProof/>
        </w:rPr>
        <w:t xml:space="preserve">of </w:t>
      </w:r>
      <w:r w:rsidR="00831BE1" w:rsidRPr="00C77632">
        <w:rPr>
          <w:rFonts w:eastAsia="Times New Roman"/>
          <w:noProof/>
        </w:rPr>
        <w:t xml:space="preserve">innovative </w:t>
      </w:r>
      <w:r w:rsidR="14505D98" w:rsidRPr="18864199">
        <w:rPr>
          <w:rFonts w:eastAsia="Times New Roman"/>
          <w:noProof/>
        </w:rPr>
        <w:t>direct-to-device (</w:t>
      </w:r>
      <w:r w:rsidR="00831BE1" w:rsidRPr="00C77632">
        <w:rPr>
          <w:rFonts w:eastAsia="Times New Roman"/>
          <w:noProof/>
        </w:rPr>
        <w:t>D2D</w:t>
      </w:r>
      <w:r w:rsidR="0BEC5555" w:rsidRPr="18864199">
        <w:rPr>
          <w:rFonts w:eastAsia="Times New Roman"/>
          <w:noProof/>
        </w:rPr>
        <w:t>)</w:t>
      </w:r>
      <w:r w:rsidR="00831BE1" w:rsidRPr="00C77632">
        <w:rPr>
          <w:rFonts w:eastAsia="Times New Roman"/>
          <w:noProof/>
        </w:rPr>
        <w:t xml:space="preserve"> services and </w:t>
      </w:r>
      <w:r w:rsidR="7174C030" w:rsidRPr="18864199">
        <w:rPr>
          <w:rFonts w:eastAsia="Times New Roman"/>
          <w:noProof/>
        </w:rPr>
        <w:t xml:space="preserve">related </w:t>
      </w:r>
      <w:r w:rsidR="00831BE1" w:rsidRPr="00C77632">
        <w:rPr>
          <w:rFonts w:eastAsia="Times New Roman"/>
          <w:noProof/>
        </w:rPr>
        <w:t xml:space="preserve">satellite constellations, the existing </w:t>
      </w:r>
      <w:r w:rsidR="0091020C">
        <w:rPr>
          <w:rFonts w:eastAsia="Times New Roman"/>
          <w:noProof/>
        </w:rPr>
        <w:t xml:space="preserve">EU </w:t>
      </w:r>
      <w:r w:rsidR="00831BE1" w:rsidRPr="00C77632">
        <w:rPr>
          <w:rFonts w:eastAsia="Times New Roman"/>
          <w:noProof/>
        </w:rPr>
        <w:t xml:space="preserve">framework based exclusively on </w:t>
      </w:r>
      <w:r w:rsidR="00831BE1" w:rsidRPr="00763AEE">
        <w:rPr>
          <w:rFonts w:eastAsia="Times New Roman"/>
          <w:noProof/>
        </w:rPr>
        <w:t>national authorisation</w:t>
      </w:r>
      <w:r w:rsidR="00831BE1" w:rsidRPr="00C77632">
        <w:rPr>
          <w:rFonts w:eastAsia="Times New Roman"/>
          <w:noProof/>
        </w:rPr>
        <w:t xml:space="preserve"> of satellite services and </w:t>
      </w:r>
      <w:r w:rsidR="1F552936" w:rsidRPr="18864199">
        <w:rPr>
          <w:rFonts w:eastAsia="Times New Roman"/>
          <w:noProof/>
        </w:rPr>
        <w:t xml:space="preserve">on national </w:t>
      </w:r>
      <w:r w:rsidR="00831BE1" w:rsidRPr="00C77632">
        <w:rPr>
          <w:rFonts w:eastAsia="Times New Roman"/>
          <w:noProof/>
        </w:rPr>
        <w:t xml:space="preserve">spectrum resources </w:t>
      </w:r>
      <w:r w:rsidR="0091020C">
        <w:rPr>
          <w:rFonts w:eastAsia="Times New Roman"/>
          <w:noProof/>
        </w:rPr>
        <w:t xml:space="preserve">creates barriers </w:t>
      </w:r>
      <w:r w:rsidR="007D168B">
        <w:rPr>
          <w:rFonts w:eastAsia="Times New Roman"/>
          <w:noProof/>
        </w:rPr>
        <w:t>to the provision of</w:t>
      </w:r>
      <w:r w:rsidR="0091020C">
        <w:rPr>
          <w:rFonts w:eastAsia="Times New Roman"/>
          <w:noProof/>
        </w:rPr>
        <w:t xml:space="preserve"> pan-European services and </w:t>
      </w:r>
      <w:r w:rsidR="003A608E">
        <w:rPr>
          <w:rFonts w:eastAsia="Times New Roman"/>
          <w:noProof/>
        </w:rPr>
        <w:t>force</w:t>
      </w:r>
      <w:r w:rsidR="00A271B9">
        <w:rPr>
          <w:rFonts w:eastAsia="Times New Roman"/>
          <w:noProof/>
        </w:rPr>
        <w:t>s</w:t>
      </w:r>
      <w:r w:rsidR="003A608E">
        <w:rPr>
          <w:rFonts w:eastAsia="Times New Roman"/>
          <w:noProof/>
        </w:rPr>
        <w:t xml:space="preserve"> </w:t>
      </w:r>
      <w:r w:rsidR="00F67670">
        <w:rPr>
          <w:rFonts w:eastAsia="Times New Roman"/>
          <w:noProof/>
        </w:rPr>
        <w:t>satellite operators to respect</w:t>
      </w:r>
      <w:r w:rsidR="00E86F29">
        <w:rPr>
          <w:rFonts w:eastAsia="Times New Roman"/>
          <w:noProof/>
        </w:rPr>
        <w:t xml:space="preserve"> </w:t>
      </w:r>
      <w:r w:rsidR="79650AE9" w:rsidRPr="18864199">
        <w:rPr>
          <w:rFonts w:eastAsia="Times New Roman"/>
          <w:noProof/>
        </w:rPr>
        <w:t xml:space="preserve">unnecessary </w:t>
      </w:r>
      <w:r w:rsidR="6B444808" w:rsidRPr="18864199">
        <w:rPr>
          <w:rFonts w:eastAsia="Times New Roman"/>
          <w:noProof/>
        </w:rPr>
        <w:t>differen</w:t>
      </w:r>
      <w:r w:rsidR="3F00775D" w:rsidRPr="18864199">
        <w:rPr>
          <w:rFonts w:eastAsia="Times New Roman"/>
          <w:noProof/>
        </w:rPr>
        <w:t>ces</w:t>
      </w:r>
      <w:r w:rsidR="0B66C724" w:rsidRPr="18864199">
        <w:rPr>
          <w:rFonts w:eastAsia="Times New Roman"/>
          <w:noProof/>
        </w:rPr>
        <w:t xml:space="preserve"> </w:t>
      </w:r>
      <w:r w:rsidR="212D8793" w:rsidRPr="18864199">
        <w:rPr>
          <w:rFonts w:eastAsia="Times New Roman"/>
          <w:noProof/>
        </w:rPr>
        <w:t>in</w:t>
      </w:r>
      <w:r w:rsidR="00D7778A">
        <w:rPr>
          <w:rFonts w:eastAsia="Times New Roman"/>
          <w:noProof/>
        </w:rPr>
        <w:t xml:space="preserve"> authorisation rules </w:t>
      </w:r>
      <w:r w:rsidR="0059452F">
        <w:rPr>
          <w:rFonts w:eastAsia="Times New Roman"/>
          <w:noProof/>
        </w:rPr>
        <w:t xml:space="preserve">and conditions </w:t>
      </w:r>
      <w:r w:rsidR="00915B35">
        <w:rPr>
          <w:rFonts w:eastAsia="Times New Roman"/>
          <w:noProof/>
        </w:rPr>
        <w:t xml:space="preserve">in countries </w:t>
      </w:r>
      <w:r w:rsidR="008827B7">
        <w:rPr>
          <w:rFonts w:eastAsia="Times New Roman"/>
          <w:noProof/>
        </w:rPr>
        <w:t xml:space="preserve">where they provide satellite services. </w:t>
      </w:r>
      <w:r w:rsidR="003D0309" w:rsidRPr="00DE264C">
        <w:rPr>
          <w:rFonts w:eastAsia="Times New Roman"/>
          <w:noProof/>
        </w:rPr>
        <w:t>Consequently, f</w:t>
      </w:r>
      <w:r w:rsidR="0011485E" w:rsidRPr="00DE264C">
        <w:rPr>
          <w:rFonts w:eastAsia="Times New Roman"/>
          <w:noProof/>
        </w:rPr>
        <w:t xml:space="preserve">ragmentation of authorisation </w:t>
      </w:r>
      <w:r w:rsidR="34F2E7EE" w:rsidRPr="18864199">
        <w:rPr>
          <w:rFonts w:eastAsia="Times New Roman"/>
          <w:noProof/>
        </w:rPr>
        <w:t>rules</w:t>
      </w:r>
      <w:r w:rsidR="7E21E93B" w:rsidRPr="18864199">
        <w:rPr>
          <w:rFonts w:eastAsia="Times New Roman"/>
          <w:noProof/>
        </w:rPr>
        <w:t xml:space="preserve"> </w:t>
      </w:r>
      <w:r w:rsidR="00EF3F8B" w:rsidRPr="00CD172B">
        <w:rPr>
          <w:noProof/>
        </w:rPr>
        <w:t>ha</w:t>
      </w:r>
      <w:r w:rsidR="0011485E" w:rsidRPr="00CD172B">
        <w:rPr>
          <w:noProof/>
        </w:rPr>
        <w:t>s</w:t>
      </w:r>
      <w:r w:rsidR="00EF3F8B" w:rsidRPr="00CD172B">
        <w:rPr>
          <w:noProof/>
        </w:rPr>
        <w:t xml:space="preserve"> a greater negative impact </w:t>
      </w:r>
      <w:r w:rsidR="00131DE2" w:rsidRPr="00CD172B">
        <w:rPr>
          <w:noProof/>
        </w:rPr>
        <w:t>o</w:t>
      </w:r>
      <w:r w:rsidR="00EF3F8B" w:rsidRPr="00CD172B">
        <w:rPr>
          <w:noProof/>
        </w:rPr>
        <w:t>n satellite</w:t>
      </w:r>
      <w:r w:rsidR="003D0309" w:rsidRPr="00CD172B">
        <w:rPr>
          <w:noProof/>
        </w:rPr>
        <w:t xml:space="preserve"> </w:t>
      </w:r>
      <w:r w:rsidR="00131DE2" w:rsidRPr="00CD172B">
        <w:rPr>
          <w:noProof/>
        </w:rPr>
        <w:t>than on terrestrial</w:t>
      </w:r>
      <w:r w:rsidR="14005DB3" w:rsidRPr="00CD172B">
        <w:rPr>
          <w:noProof/>
        </w:rPr>
        <w:t xml:space="preserve"> networks</w:t>
      </w:r>
      <w:r w:rsidR="00131DE2" w:rsidRPr="00CD172B">
        <w:rPr>
          <w:noProof/>
        </w:rPr>
        <w:t xml:space="preserve">, </w:t>
      </w:r>
      <w:r w:rsidR="00B044AC" w:rsidRPr="00CD172B">
        <w:rPr>
          <w:noProof/>
        </w:rPr>
        <w:t xml:space="preserve">as </w:t>
      </w:r>
      <w:r w:rsidR="003D0309" w:rsidRPr="00CD172B">
        <w:rPr>
          <w:noProof/>
        </w:rPr>
        <w:t xml:space="preserve">it </w:t>
      </w:r>
      <w:r w:rsidR="00AF1646" w:rsidRPr="00CD172B">
        <w:rPr>
          <w:noProof/>
        </w:rPr>
        <w:t xml:space="preserve">substantially </w:t>
      </w:r>
      <w:r w:rsidR="00EB795D" w:rsidRPr="00CD172B">
        <w:rPr>
          <w:noProof/>
        </w:rPr>
        <w:t>limit</w:t>
      </w:r>
      <w:r w:rsidR="003D0309" w:rsidRPr="00CD172B">
        <w:rPr>
          <w:noProof/>
        </w:rPr>
        <w:t>s</w:t>
      </w:r>
      <w:r w:rsidR="00EB795D" w:rsidRPr="00CD172B">
        <w:rPr>
          <w:noProof/>
        </w:rPr>
        <w:t xml:space="preserve"> the provision of </w:t>
      </w:r>
      <w:r w:rsidR="00AF1646" w:rsidRPr="00CD172B">
        <w:rPr>
          <w:noProof/>
        </w:rPr>
        <w:t xml:space="preserve">pan-European satellite services, </w:t>
      </w:r>
      <w:r w:rsidR="00886CA5" w:rsidRPr="00CD172B">
        <w:rPr>
          <w:noProof/>
        </w:rPr>
        <w:t>challenging</w:t>
      </w:r>
      <w:r w:rsidR="000E7E2D" w:rsidRPr="00CD172B">
        <w:rPr>
          <w:noProof/>
        </w:rPr>
        <w:t xml:space="preserve"> </w:t>
      </w:r>
      <w:r w:rsidR="00972CE2" w:rsidRPr="00CD172B">
        <w:rPr>
          <w:noProof/>
        </w:rPr>
        <w:t>the economic viability of satellite projects,</w:t>
      </w:r>
      <w:r w:rsidR="007B43C2" w:rsidRPr="00DE264C">
        <w:rPr>
          <w:rFonts w:eastAsia="Times New Roman"/>
          <w:noProof/>
        </w:rPr>
        <w:t xml:space="preserve"> and </w:t>
      </w:r>
      <w:r w:rsidR="005970A0" w:rsidRPr="00DE264C">
        <w:rPr>
          <w:rFonts w:eastAsia="Times New Roman"/>
          <w:noProof/>
        </w:rPr>
        <w:t xml:space="preserve">ultimately, </w:t>
      </w:r>
      <w:r w:rsidR="00871AF4" w:rsidRPr="00DE264C">
        <w:rPr>
          <w:rFonts w:eastAsia="Times New Roman"/>
          <w:noProof/>
        </w:rPr>
        <w:t>undermining</w:t>
      </w:r>
      <w:r w:rsidR="00871AF4">
        <w:rPr>
          <w:rFonts w:eastAsia="Times New Roman"/>
          <w:noProof/>
        </w:rPr>
        <w:t xml:space="preserve"> the</w:t>
      </w:r>
      <w:r w:rsidR="00F47955">
        <w:rPr>
          <w:rFonts w:eastAsia="Times New Roman"/>
          <w:noProof/>
        </w:rPr>
        <w:t xml:space="preserve"> </w:t>
      </w:r>
      <w:r w:rsidR="00D17556" w:rsidRPr="00DE264C">
        <w:rPr>
          <w:rFonts w:eastAsia="Times New Roman"/>
          <w:noProof/>
        </w:rPr>
        <w:t xml:space="preserve">EU global competitiveness and innovation capacity in satellite </w:t>
      </w:r>
      <w:r w:rsidR="00332ACB" w:rsidRPr="00DE264C">
        <w:rPr>
          <w:rFonts w:eastAsia="Times New Roman"/>
          <w:noProof/>
        </w:rPr>
        <w:t>connectivity</w:t>
      </w:r>
      <w:r w:rsidR="00C80070" w:rsidRPr="00DE264C">
        <w:rPr>
          <w:rFonts w:eastAsia="Times New Roman"/>
          <w:noProof/>
        </w:rPr>
        <w:t>.</w:t>
      </w:r>
    </w:p>
    <w:p w14:paraId="42020791" w14:textId="0723D964" w:rsidR="00D01FE3" w:rsidRPr="00DE264C" w:rsidRDefault="00590557" w:rsidP="006A3DDC">
      <w:pPr>
        <w:spacing w:line="240" w:lineRule="auto"/>
        <w:rPr>
          <w:rFonts w:eastAsia="Times New Roman"/>
          <w:iCs/>
          <w:noProof/>
          <w:szCs w:val="20"/>
        </w:rPr>
      </w:pPr>
      <w:r>
        <w:rPr>
          <w:rFonts w:eastAsia="Times New Roman"/>
          <w:noProof/>
        </w:rPr>
        <w:t>I</w:t>
      </w:r>
      <w:r w:rsidR="000023C0" w:rsidRPr="00DE264C">
        <w:rPr>
          <w:rFonts w:eastAsia="Times New Roman"/>
          <w:noProof/>
        </w:rPr>
        <w:t>n particular</w:t>
      </w:r>
      <w:r w:rsidR="00D95923">
        <w:rPr>
          <w:rFonts w:eastAsia="Times New Roman"/>
          <w:noProof/>
        </w:rPr>
        <w:t>,</w:t>
      </w:r>
      <w:r w:rsidR="008B4E73" w:rsidRPr="00DE264C">
        <w:rPr>
          <w:rFonts w:eastAsia="Times New Roman"/>
          <w:noProof/>
        </w:rPr>
        <w:t xml:space="preserve"> Low Earth Orbit</w:t>
      </w:r>
      <w:r w:rsidR="00782F37" w:rsidRPr="00DE264C">
        <w:rPr>
          <w:rFonts w:eastAsia="Times New Roman"/>
          <w:noProof/>
        </w:rPr>
        <w:t xml:space="preserve"> (LEO)</w:t>
      </w:r>
      <w:r w:rsidR="008B4E73" w:rsidRPr="00DE264C">
        <w:rPr>
          <w:rFonts w:eastAsia="Times New Roman"/>
          <w:noProof/>
        </w:rPr>
        <w:t xml:space="preserve"> </w:t>
      </w:r>
      <w:r w:rsidR="00F464ED">
        <w:rPr>
          <w:rFonts w:eastAsia="Times New Roman"/>
          <w:noProof/>
        </w:rPr>
        <w:t>constellations</w:t>
      </w:r>
      <w:r w:rsidR="008B4E73" w:rsidRPr="00DE264C">
        <w:rPr>
          <w:rFonts w:eastAsia="Times New Roman"/>
          <w:noProof/>
        </w:rPr>
        <w:t xml:space="preserve"> </w:t>
      </w:r>
      <w:r w:rsidR="00D30E01" w:rsidRPr="00DE264C">
        <w:rPr>
          <w:rFonts w:eastAsia="Times New Roman"/>
          <w:noProof/>
        </w:rPr>
        <w:t>for hybrid terrestrial-satellite systems</w:t>
      </w:r>
      <w:r w:rsidR="000665FA" w:rsidRPr="00DE264C">
        <w:rPr>
          <w:rFonts w:eastAsia="Times New Roman"/>
          <w:noProof/>
        </w:rPr>
        <w:t xml:space="preserve"> (</w:t>
      </w:r>
      <w:r w:rsidR="00D30E01" w:rsidRPr="00DE264C">
        <w:rPr>
          <w:rFonts w:eastAsia="Times New Roman"/>
          <w:noProof/>
        </w:rPr>
        <w:t xml:space="preserve">Non-Terrestrial Networks </w:t>
      </w:r>
      <w:r w:rsidR="000665FA" w:rsidRPr="00DE264C">
        <w:rPr>
          <w:rFonts w:eastAsia="Times New Roman"/>
          <w:noProof/>
        </w:rPr>
        <w:t xml:space="preserve">- </w:t>
      </w:r>
      <w:r w:rsidR="00D30E01" w:rsidRPr="00DE264C">
        <w:rPr>
          <w:rFonts w:eastAsia="Times New Roman"/>
          <w:noProof/>
        </w:rPr>
        <w:t>NTN)</w:t>
      </w:r>
      <w:r w:rsidR="001137A5">
        <w:rPr>
          <w:rFonts w:eastAsia="Times New Roman"/>
          <w:noProof/>
        </w:rPr>
        <w:t xml:space="preserve"> </w:t>
      </w:r>
      <w:r w:rsidR="004179B5" w:rsidRPr="00DE264C">
        <w:rPr>
          <w:rFonts w:eastAsia="Times New Roman"/>
          <w:noProof/>
        </w:rPr>
        <w:t>are emerging as the modern equivalent of traditional mobile communication towers, offering Direct-to-Device (D2D) connectivity</w:t>
      </w:r>
      <w:r w:rsidR="004179B5" w:rsidRPr="00DE264C">
        <w:rPr>
          <w:rStyle w:val="FootnoteReference"/>
          <w:rFonts w:eastAsia="Times New Roman"/>
          <w:noProof/>
        </w:rPr>
        <w:footnoteReference w:id="56"/>
      </w:r>
      <w:r w:rsidR="001137A5">
        <w:rPr>
          <w:rFonts w:eastAsia="Times New Roman"/>
          <w:noProof/>
        </w:rPr>
        <w:t xml:space="preserve"> and </w:t>
      </w:r>
      <w:r w:rsidR="00D30E01" w:rsidRPr="00DE264C">
        <w:rPr>
          <w:rFonts w:eastAsia="Times New Roman"/>
          <w:noProof/>
        </w:rPr>
        <w:t>will be an essential element of the 6G mobile networks</w:t>
      </w:r>
      <w:r w:rsidR="00D30E01" w:rsidRPr="00DE264C">
        <w:rPr>
          <w:rStyle w:val="FootnoteReference"/>
          <w:rFonts w:eastAsia="Times New Roman"/>
          <w:noProof/>
        </w:rPr>
        <w:footnoteReference w:id="57"/>
      </w:r>
      <w:r w:rsidR="00D30E01" w:rsidRPr="00DE264C">
        <w:rPr>
          <w:rFonts w:eastAsia="Times New Roman"/>
          <w:noProof/>
        </w:rPr>
        <w:t>.</w:t>
      </w:r>
      <w:r w:rsidR="00933E6B" w:rsidRPr="00DE264C">
        <w:rPr>
          <w:rFonts w:eastAsia="Times New Roman"/>
          <w:noProof/>
        </w:rPr>
        <w:t xml:space="preserve"> </w:t>
      </w:r>
      <w:r w:rsidR="69756F2B" w:rsidRPr="00DE264C">
        <w:rPr>
          <w:rFonts w:eastAsia="Times New Roman"/>
          <w:noProof/>
        </w:rPr>
        <w:t>This infrastructure is vital for ensuring equitable access to high-speed internet, particularly in underserved and remote regions, while also strengthening European capabilities in critical communications (emergency and defence)</w:t>
      </w:r>
      <w:r w:rsidR="00231D9E" w:rsidRPr="00DE264C">
        <w:rPr>
          <w:rFonts w:eastAsia="Times New Roman"/>
          <w:noProof/>
          <w:vertAlign w:val="superscript"/>
        </w:rPr>
        <w:footnoteReference w:id="58"/>
      </w:r>
      <w:r w:rsidR="004754B9" w:rsidRPr="00DE264C">
        <w:rPr>
          <w:rFonts w:eastAsia="Times New Roman"/>
          <w:noProof/>
        </w:rPr>
        <w:t xml:space="preserve">, </w:t>
      </w:r>
      <w:r w:rsidR="00510048">
        <w:rPr>
          <w:rFonts w:eastAsia="Times New Roman"/>
          <w:noProof/>
        </w:rPr>
        <w:t>and</w:t>
      </w:r>
      <w:r w:rsidR="00956C61" w:rsidRPr="00DE264C">
        <w:rPr>
          <w:rFonts w:eastAsia="Times New Roman"/>
          <w:noProof/>
        </w:rPr>
        <w:t xml:space="preserve"> </w:t>
      </w:r>
      <w:r w:rsidR="00D01FE3" w:rsidRPr="00DE264C">
        <w:rPr>
          <w:rFonts w:eastAsia="Times New Roman"/>
          <w:noProof/>
        </w:rPr>
        <w:t>a key</w:t>
      </w:r>
      <w:r w:rsidR="00FE2B5F" w:rsidRPr="00DE264C">
        <w:rPr>
          <w:rFonts w:eastAsia="Times New Roman"/>
          <w:noProof/>
        </w:rPr>
        <w:t xml:space="preserve"> component of resilient communication </w:t>
      </w:r>
      <w:r w:rsidR="00FE2B5F" w:rsidRPr="00DE264C">
        <w:rPr>
          <w:noProof/>
          <w:color w:val="000000" w:themeColor="text1"/>
        </w:rPr>
        <w:t>networks</w:t>
      </w:r>
      <w:r w:rsidR="00FE2B5F" w:rsidRPr="00DE264C">
        <w:rPr>
          <w:rFonts w:eastAsia="Times New Roman"/>
          <w:noProof/>
        </w:rPr>
        <w:t xml:space="preserve"> enabling continuous connectivity under challenging conditions. </w:t>
      </w:r>
      <w:r w:rsidR="00FE2B5F" w:rsidRPr="7FF0CB12">
        <w:rPr>
          <w:rFonts w:eastAsia="Times New Roman"/>
          <w:noProof/>
        </w:rPr>
        <w:t xml:space="preserve"> </w:t>
      </w:r>
    </w:p>
    <w:p w14:paraId="1680FA3F" w14:textId="218A534B" w:rsidR="000F0D68" w:rsidRPr="00DE264C" w:rsidRDefault="00053C55" w:rsidP="006A3DDC">
      <w:pPr>
        <w:spacing w:line="240" w:lineRule="auto"/>
        <w:rPr>
          <w:rFonts w:eastAsia="Times New Roman"/>
          <w:noProof/>
          <w:lang w:val="en-IE"/>
        </w:rPr>
      </w:pPr>
      <w:r w:rsidRPr="00DE264C">
        <w:rPr>
          <w:rFonts w:eastAsia="Times New Roman"/>
          <w:noProof/>
          <w:lang w:val="en-IE"/>
        </w:rPr>
        <w:t>A</w:t>
      </w:r>
      <w:r w:rsidR="00B9430C" w:rsidRPr="00DE264C">
        <w:rPr>
          <w:rFonts w:eastAsia="Times New Roman"/>
          <w:noProof/>
          <w:lang w:val="en-IE"/>
        </w:rPr>
        <w:t>lthough Europe used to be a frontrunner in satellite communications, it has failed to anticipate the innovation potential of this market and was slow to invest in LEO constellation deployment</w:t>
      </w:r>
      <w:r w:rsidR="00B9430C" w:rsidRPr="00DE264C">
        <w:rPr>
          <w:rFonts w:eastAsia="Times New Roman"/>
          <w:noProof/>
          <w:vertAlign w:val="superscript"/>
          <w:lang w:val="en-IE"/>
        </w:rPr>
        <w:footnoteReference w:id="59"/>
      </w:r>
      <w:r w:rsidR="00B9430C" w:rsidRPr="00DE264C">
        <w:rPr>
          <w:rFonts w:eastAsia="Times New Roman"/>
          <w:noProof/>
          <w:lang w:val="en-IE"/>
        </w:rPr>
        <w:t xml:space="preserve">. </w:t>
      </w:r>
      <w:r w:rsidR="00830D10" w:rsidRPr="00DE264C">
        <w:rPr>
          <w:rFonts w:eastAsia="Times New Roman"/>
          <w:noProof/>
          <w:lang w:val="en-IE"/>
        </w:rPr>
        <w:t xml:space="preserve">With only 773 LEO satellites launched and 3120 planned, the EU </w:t>
      </w:r>
      <w:r w:rsidR="73C87CC1" w:rsidRPr="7AC71608">
        <w:rPr>
          <w:rFonts w:eastAsia="Times New Roman"/>
          <w:noProof/>
          <w:lang w:val="en-IE"/>
        </w:rPr>
        <w:t>lags</w:t>
      </w:r>
      <w:r w:rsidR="00830D10" w:rsidRPr="00DE264C">
        <w:rPr>
          <w:rFonts w:eastAsia="Times New Roman"/>
          <w:noProof/>
          <w:lang w:val="en-IE"/>
        </w:rPr>
        <w:t xml:space="preserve"> China (i.e. 220 launched, 27198 planned) and the USA (i.e. 7633 launched, </w:t>
      </w:r>
      <w:r w:rsidR="00C92F88">
        <w:rPr>
          <w:rFonts w:eastAsia="Times New Roman"/>
          <w:noProof/>
          <w:lang w:val="en-IE"/>
        </w:rPr>
        <w:t>33</w:t>
      </w:r>
      <w:r w:rsidR="00830D10" w:rsidRPr="00DE264C">
        <w:rPr>
          <w:rFonts w:eastAsia="Times New Roman"/>
          <w:noProof/>
          <w:lang w:val="en-IE"/>
        </w:rPr>
        <w:t>397 planned)</w:t>
      </w:r>
      <w:r w:rsidR="005E0D16">
        <w:rPr>
          <w:rFonts w:eastAsia="Times New Roman"/>
          <w:noProof/>
          <w:lang w:val="en-IE"/>
        </w:rPr>
        <w:t xml:space="preserve"> as </w:t>
      </w:r>
      <w:r w:rsidR="00C541C2">
        <w:rPr>
          <w:rFonts w:eastAsia="Times New Roman"/>
          <w:noProof/>
          <w:lang w:val="en-IE"/>
        </w:rPr>
        <w:t>reported</w:t>
      </w:r>
      <w:r w:rsidR="00FE13A4">
        <w:rPr>
          <w:rFonts w:eastAsia="Times New Roman"/>
          <w:noProof/>
          <w:lang w:val="en-IE"/>
        </w:rPr>
        <w:t xml:space="preserve"> in the Commission Study on the MSS</w:t>
      </w:r>
      <w:r w:rsidR="00702391">
        <w:rPr>
          <w:rFonts w:eastAsia="Times New Roman"/>
          <w:noProof/>
          <w:lang w:val="en-IE"/>
        </w:rPr>
        <w:t xml:space="preserve"> in the 2</w:t>
      </w:r>
      <w:r w:rsidR="00615EDA">
        <w:rPr>
          <w:rFonts w:eastAsia="Times New Roman"/>
          <w:noProof/>
          <w:lang w:val="en-IE"/>
        </w:rPr>
        <w:t xml:space="preserve"> </w:t>
      </w:r>
      <w:r w:rsidR="00702391">
        <w:rPr>
          <w:rFonts w:eastAsia="Times New Roman"/>
          <w:noProof/>
          <w:lang w:val="en-IE"/>
        </w:rPr>
        <w:t>GHz band</w:t>
      </w:r>
      <w:r w:rsidR="00501E37">
        <w:rPr>
          <w:rStyle w:val="FootnoteReference"/>
          <w:rFonts w:eastAsia="Times New Roman"/>
          <w:noProof/>
          <w:lang w:val="en-IE"/>
        </w:rPr>
        <w:footnoteReference w:id="60"/>
      </w:r>
      <w:r w:rsidR="00830D10" w:rsidRPr="00DE264C">
        <w:rPr>
          <w:rFonts w:eastAsia="Times New Roman"/>
          <w:noProof/>
          <w:lang w:val="en-IE"/>
        </w:rPr>
        <w:t xml:space="preserve">. </w:t>
      </w:r>
    </w:p>
    <w:p w14:paraId="636FC194" w14:textId="319ED227" w:rsidR="00B9430C" w:rsidRPr="00DE264C" w:rsidRDefault="000F0D68" w:rsidP="006A3DDC">
      <w:pPr>
        <w:spacing w:line="240" w:lineRule="auto"/>
        <w:rPr>
          <w:rFonts w:eastAsia="Times New Roman"/>
          <w:noProof/>
        </w:rPr>
      </w:pPr>
      <w:r w:rsidRPr="00CD172B">
        <w:rPr>
          <w:noProof/>
        </w:rPr>
        <w:t>A</w:t>
      </w:r>
      <w:r w:rsidR="008C1316" w:rsidRPr="00CD172B">
        <w:rPr>
          <w:noProof/>
        </w:rPr>
        <w:t>ccording to</w:t>
      </w:r>
      <w:r w:rsidR="00F72249" w:rsidRPr="00CD172B">
        <w:rPr>
          <w:noProof/>
        </w:rPr>
        <w:t xml:space="preserve"> the Draghi report, s</w:t>
      </w:r>
      <w:r w:rsidRPr="00CD172B">
        <w:rPr>
          <w:noProof/>
        </w:rPr>
        <w:t>atellite connectivity is increasingly vital for the EU's technological sovereignty, playing a crucial role in fulfilling the communication needs of citizens, businesses, and governments</w:t>
      </w:r>
      <w:r w:rsidR="002642EE" w:rsidRPr="00CD172B">
        <w:rPr>
          <w:noProof/>
        </w:rPr>
        <w:t>;</w:t>
      </w:r>
      <w:r w:rsidR="00625994" w:rsidRPr="00CD172B">
        <w:rPr>
          <w:noProof/>
        </w:rPr>
        <w:t xml:space="preserve"> yet this domain is</w:t>
      </w:r>
      <w:r w:rsidR="00A055C1" w:rsidRPr="00CD172B">
        <w:rPr>
          <w:noProof/>
        </w:rPr>
        <w:t xml:space="preserve"> </w:t>
      </w:r>
      <w:r w:rsidR="245D029B" w:rsidRPr="18864199">
        <w:rPr>
          <w:rFonts w:eastAsia="Times New Roman"/>
          <w:noProof/>
        </w:rPr>
        <w:t>increasing</w:t>
      </w:r>
      <w:r w:rsidR="4C52B9A2" w:rsidRPr="18864199">
        <w:rPr>
          <w:rFonts w:eastAsia="Times New Roman"/>
          <w:noProof/>
        </w:rPr>
        <w:t>ly</w:t>
      </w:r>
      <w:r w:rsidR="00A055C1" w:rsidRPr="00CD172B">
        <w:rPr>
          <w:noProof/>
        </w:rPr>
        <w:t xml:space="preserve"> com</w:t>
      </w:r>
      <w:r w:rsidR="2ED5A55D" w:rsidRPr="18864199">
        <w:rPr>
          <w:rFonts w:eastAsia="Times New Roman"/>
          <w:noProof/>
        </w:rPr>
        <w:t>ing</w:t>
      </w:r>
      <w:r w:rsidR="00A055C1" w:rsidRPr="00CD172B">
        <w:rPr>
          <w:noProof/>
        </w:rPr>
        <w:t xml:space="preserve"> under the </w:t>
      </w:r>
      <w:r w:rsidR="00775AAB" w:rsidRPr="00CD172B">
        <w:rPr>
          <w:noProof/>
        </w:rPr>
        <w:t xml:space="preserve">dominance of </w:t>
      </w:r>
      <w:r w:rsidR="00625994" w:rsidRPr="00CD172B">
        <w:rPr>
          <w:noProof/>
        </w:rPr>
        <w:t>non-EU players</w:t>
      </w:r>
      <w:r w:rsidR="00C82B79" w:rsidRPr="00CD172B">
        <w:rPr>
          <w:noProof/>
        </w:rPr>
        <w:t xml:space="preserve">. </w:t>
      </w:r>
      <w:r w:rsidR="49B280D1" w:rsidRPr="18864199">
        <w:rPr>
          <w:rFonts w:eastAsia="Times New Roman"/>
          <w:noProof/>
        </w:rPr>
        <w:t>I</w:t>
      </w:r>
      <w:r w:rsidR="45662D1F" w:rsidRPr="18864199">
        <w:rPr>
          <w:rFonts w:eastAsia="Times New Roman"/>
          <w:noProof/>
        </w:rPr>
        <w:t>ncreasing</w:t>
      </w:r>
      <w:r w:rsidR="00B9430C" w:rsidRPr="00CD172B">
        <w:rPr>
          <w:noProof/>
        </w:rPr>
        <w:t xml:space="preserve"> dependence on third country constellations raises concerns around lock-in effects, creates the risk of </w:t>
      </w:r>
      <w:r w:rsidR="0BB2612C" w:rsidRPr="18864199">
        <w:rPr>
          <w:rFonts w:eastAsia="Times New Roman"/>
          <w:noProof/>
        </w:rPr>
        <w:t xml:space="preserve">arbitrary and voluntary </w:t>
      </w:r>
      <w:r w:rsidR="00B9430C" w:rsidRPr="00CD172B">
        <w:rPr>
          <w:noProof/>
        </w:rPr>
        <w:t xml:space="preserve">“shut </w:t>
      </w:r>
      <w:r w:rsidR="45662D1F" w:rsidRPr="18864199">
        <w:rPr>
          <w:rFonts w:eastAsia="Times New Roman"/>
          <w:noProof/>
        </w:rPr>
        <w:t>down</w:t>
      </w:r>
      <w:r w:rsidR="3E0C99FC" w:rsidRPr="18864199">
        <w:rPr>
          <w:rFonts w:eastAsia="Times New Roman"/>
          <w:noProof/>
        </w:rPr>
        <w:t>s</w:t>
      </w:r>
      <w:r w:rsidR="00B9430C" w:rsidRPr="00CD172B">
        <w:rPr>
          <w:noProof/>
        </w:rPr>
        <w:t>”</w:t>
      </w:r>
      <w:r w:rsidR="00B0182B" w:rsidRPr="00CD172B">
        <w:rPr>
          <w:noProof/>
        </w:rPr>
        <w:t>,</w:t>
      </w:r>
      <w:r w:rsidR="00B9430C" w:rsidRPr="00CD172B">
        <w:rPr>
          <w:noProof/>
        </w:rPr>
        <w:t xml:space="preserve"> and challenges European security and strategic autonomy</w:t>
      </w:r>
      <w:r w:rsidR="0022680C" w:rsidRPr="00CD172B">
        <w:rPr>
          <w:noProof/>
        </w:rPr>
        <w:t xml:space="preserve">, including its access to </w:t>
      </w:r>
      <w:r w:rsidR="00234C87" w:rsidRPr="00CD172B">
        <w:rPr>
          <w:noProof/>
        </w:rPr>
        <w:t>satellite orbits and spectrum resources</w:t>
      </w:r>
      <w:r w:rsidR="00B9430C" w:rsidRPr="00CD172B">
        <w:rPr>
          <w:noProof/>
        </w:rPr>
        <w:t xml:space="preserve">. </w:t>
      </w:r>
    </w:p>
    <w:p w14:paraId="194F73A6" w14:textId="09A08C80" w:rsidR="0059733B" w:rsidRPr="00B65A41" w:rsidRDefault="0059733B" w:rsidP="0059733B">
      <w:pPr>
        <w:pStyle w:val="Caption"/>
        <w:rPr>
          <w:noProof/>
          <w:color w:val="auto"/>
          <w:sz w:val="20"/>
          <w:szCs w:val="20"/>
        </w:rPr>
      </w:pPr>
      <w:bookmarkStart w:id="54" w:name="_Toc219539765"/>
      <w:r w:rsidRPr="00531B1F">
        <w:rPr>
          <w:noProof/>
          <w:color w:val="auto"/>
        </w:rPr>
        <w:t xml:space="preserve">Figure </w:t>
      </w:r>
      <w:r w:rsidRPr="00531B1F">
        <w:rPr>
          <w:noProof/>
          <w:color w:val="auto"/>
        </w:rPr>
        <w:fldChar w:fldCharType="begin"/>
      </w:r>
      <w:r w:rsidRPr="00531B1F">
        <w:rPr>
          <w:noProof/>
          <w:color w:val="auto"/>
        </w:rPr>
        <w:instrText xml:space="preserve"> SEQ Figure \* ARABIC </w:instrText>
      </w:r>
      <w:r w:rsidRPr="00531B1F">
        <w:rPr>
          <w:noProof/>
          <w:color w:val="auto"/>
        </w:rPr>
        <w:fldChar w:fldCharType="separate"/>
      </w:r>
      <w:r w:rsidR="00D9624D">
        <w:rPr>
          <w:noProof/>
          <w:color w:val="auto"/>
        </w:rPr>
        <w:t>8</w:t>
      </w:r>
      <w:r w:rsidRPr="00531B1F">
        <w:rPr>
          <w:noProof/>
          <w:color w:val="auto"/>
        </w:rPr>
        <w:fldChar w:fldCharType="end"/>
      </w:r>
      <w:r w:rsidRPr="00531B1F">
        <w:rPr>
          <w:noProof/>
          <w:color w:val="auto"/>
        </w:rPr>
        <w:t>: Broadband Internet, D2D and IoT satellite constellations in terms of total number of launched and planned country/region</w:t>
      </w:r>
      <w:bookmarkStart w:id="55" w:name="_Toc215084143"/>
      <w:r w:rsidRPr="00B65A41">
        <w:rPr>
          <w:noProof/>
          <w:color w:val="auto"/>
          <w:sz w:val="20"/>
          <w:szCs w:val="20"/>
          <w:vertAlign w:val="superscript"/>
        </w:rPr>
        <w:footnoteReference w:id="61"/>
      </w:r>
      <w:bookmarkEnd w:id="54"/>
      <w:bookmarkEnd w:id="55"/>
    </w:p>
    <w:p w14:paraId="03FF1AF5" w14:textId="1732D2DA" w:rsidR="00B9430C" w:rsidRPr="00DE264C" w:rsidRDefault="00B9430C" w:rsidP="00456EF6">
      <w:pPr>
        <w:rPr>
          <w:rFonts w:eastAsia="Times New Roman"/>
          <w:noProof/>
          <w:lang w:val="en-IE"/>
        </w:rPr>
      </w:pPr>
      <w:r w:rsidRPr="00DE264C">
        <w:rPr>
          <w:noProof/>
          <w:lang w:eastAsia="en-GB"/>
        </w:rPr>
        <w:drawing>
          <wp:inline distT="0" distB="0" distL="0" distR="0" wp14:anchorId="5E0BE3BC" wp14:editId="092C933E">
            <wp:extent cx="5106325" cy="2291861"/>
            <wp:effectExtent l="0" t="0" r="0" b="0"/>
            <wp:docPr id="507617393" name="Picture 2" descr="Immagine che contiene testo, schermata, software, Icona del computer&#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35894" name="Picture 2" descr="Immagine che contiene testo, schermata, software, Icona del computer&#10;&#10;Il contenuto generato dall'IA potrebbe non essere corretto."/>
                    <pic:cNvPicPr/>
                  </pic:nvPicPr>
                  <pic:blipFill>
                    <a:blip r:embed="rId27">
                      <a:extLst>
                        <a:ext uri="{28A0092B-C50C-407E-A947-70E740481C1C}">
                          <a14:useLocalDpi xmlns:a14="http://schemas.microsoft.com/office/drawing/2010/main" val="0"/>
                        </a:ext>
                      </a:extLst>
                    </a:blip>
                    <a:stretch>
                      <a:fillRect/>
                    </a:stretch>
                  </pic:blipFill>
                  <pic:spPr>
                    <a:xfrm>
                      <a:off x="0" y="0"/>
                      <a:ext cx="5110445" cy="2293710"/>
                    </a:xfrm>
                    <a:prstGeom prst="rect">
                      <a:avLst/>
                    </a:prstGeom>
                  </pic:spPr>
                </pic:pic>
              </a:graphicData>
            </a:graphic>
          </wp:inline>
        </w:drawing>
      </w:r>
    </w:p>
    <w:p w14:paraId="502200A4" w14:textId="491CE563" w:rsidR="00E672A0" w:rsidRPr="00CD172B" w:rsidRDefault="00F827A3" w:rsidP="00053713">
      <w:pPr>
        <w:spacing w:line="240" w:lineRule="auto"/>
        <w:rPr>
          <w:noProof/>
          <w:u w:val="single"/>
        </w:rPr>
      </w:pPr>
      <w:r w:rsidRPr="00DE264C">
        <w:rPr>
          <w:rFonts w:eastAsia="Times New Roman"/>
          <w:noProof/>
          <w:lang w:val="en-IE"/>
        </w:rPr>
        <w:t>In the coming years, t</w:t>
      </w:r>
      <w:r w:rsidR="005C68B6" w:rsidRPr="00DE264C">
        <w:rPr>
          <w:rFonts w:eastAsia="Times New Roman"/>
          <w:noProof/>
          <w:lang w:val="en-IE"/>
        </w:rPr>
        <w:t>he number of authorisation</w:t>
      </w:r>
      <w:r w:rsidR="00210C78" w:rsidRPr="00DE264C">
        <w:rPr>
          <w:rFonts w:eastAsia="Times New Roman"/>
          <w:noProof/>
          <w:lang w:val="en-IE"/>
        </w:rPr>
        <w:t>s</w:t>
      </w:r>
      <w:r w:rsidR="005C68B6" w:rsidRPr="00DE264C">
        <w:rPr>
          <w:rFonts w:eastAsia="Times New Roman"/>
          <w:noProof/>
          <w:lang w:val="en-IE"/>
        </w:rPr>
        <w:t xml:space="preserve"> </w:t>
      </w:r>
      <w:r w:rsidR="00F77018" w:rsidRPr="00DE264C">
        <w:rPr>
          <w:rFonts w:eastAsia="Times New Roman"/>
          <w:noProof/>
        </w:rPr>
        <w:t>is</w:t>
      </w:r>
      <w:r w:rsidR="2D3C312C" w:rsidRPr="00DE264C">
        <w:rPr>
          <w:rFonts w:eastAsia="Times New Roman"/>
          <w:noProof/>
        </w:rPr>
        <w:t xml:space="preserve"> expected to </w:t>
      </w:r>
      <w:r w:rsidR="00F44921">
        <w:rPr>
          <w:rFonts w:eastAsia="Times New Roman"/>
          <w:noProof/>
        </w:rPr>
        <w:t xml:space="preserve">increase </w:t>
      </w:r>
      <w:r w:rsidR="008C1EC9">
        <w:rPr>
          <w:rFonts w:eastAsia="Times New Roman"/>
          <w:noProof/>
          <w:lang w:val="en-IE"/>
        </w:rPr>
        <w:t>significantly</w:t>
      </w:r>
      <w:r w:rsidR="0078020A" w:rsidRPr="00DE264C">
        <w:rPr>
          <w:rFonts w:eastAsia="Times New Roman"/>
          <w:noProof/>
          <w:lang w:val="en-IE"/>
        </w:rPr>
        <w:t xml:space="preserve">, resulting in </w:t>
      </w:r>
      <w:r w:rsidR="00F44921">
        <w:rPr>
          <w:rFonts w:eastAsia="Times New Roman"/>
          <w:noProof/>
          <w:lang w:val="en-IE"/>
        </w:rPr>
        <w:t>subsequent</w:t>
      </w:r>
      <w:r w:rsidR="0078020A" w:rsidRPr="00DE264C">
        <w:rPr>
          <w:rFonts w:eastAsia="Times New Roman"/>
          <w:noProof/>
          <w:lang w:val="en-IE"/>
        </w:rPr>
        <w:t xml:space="preserve"> </w:t>
      </w:r>
      <w:r w:rsidR="3EB25C1B" w:rsidRPr="7AC71608">
        <w:rPr>
          <w:rFonts w:eastAsia="Times New Roman"/>
          <w:noProof/>
          <w:lang w:val="en-IE"/>
        </w:rPr>
        <w:t>increase</w:t>
      </w:r>
      <w:r w:rsidR="6984BD8B" w:rsidRPr="7AC71608">
        <w:rPr>
          <w:rFonts w:eastAsia="Times New Roman"/>
          <w:noProof/>
          <w:lang w:val="en-IE"/>
        </w:rPr>
        <w:t>s</w:t>
      </w:r>
      <w:r w:rsidR="0078020A" w:rsidRPr="00DE264C">
        <w:rPr>
          <w:rFonts w:eastAsia="Times New Roman"/>
          <w:noProof/>
          <w:lang w:val="en-IE"/>
        </w:rPr>
        <w:t xml:space="preserve"> </w:t>
      </w:r>
      <w:r w:rsidR="6CC891E3" w:rsidRPr="7AC71608">
        <w:rPr>
          <w:rFonts w:eastAsia="Times New Roman"/>
          <w:noProof/>
          <w:lang w:val="en-IE"/>
        </w:rPr>
        <w:t xml:space="preserve">of compliance costs </w:t>
      </w:r>
      <w:r w:rsidR="005C68B6" w:rsidRPr="00DE264C">
        <w:rPr>
          <w:rFonts w:eastAsia="Times New Roman"/>
          <w:noProof/>
          <w:lang w:val="en-IE"/>
        </w:rPr>
        <w:t xml:space="preserve">for operators </w:t>
      </w:r>
      <w:r w:rsidR="1FE24FE1" w:rsidRPr="7AC71608">
        <w:rPr>
          <w:rFonts w:eastAsia="Times New Roman"/>
          <w:noProof/>
          <w:lang w:val="en-IE"/>
        </w:rPr>
        <w:t xml:space="preserve">and </w:t>
      </w:r>
      <w:r w:rsidR="73629EA6" w:rsidRPr="7AC71608">
        <w:rPr>
          <w:rFonts w:eastAsia="Times New Roman"/>
          <w:noProof/>
          <w:lang w:val="en-IE"/>
        </w:rPr>
        <w:t>enforce</w:t>
      </w:r>
      <w:r w:rsidR="58A88A16" w:rsidRPr="7AC71608">
        <w:rPr>
          <w:rFonts w:eastAsia="Times New Roman"/>
          <w:noProof/>
          <w:lang w:val="en-IE"/>
        </w:rPr>
        <w:t>ment</w:t>
      </w:r>
      <w:r w:rsidR="49C1720F" w:rsidRPr="7AC71608">
        <w:rPr>
          <w:rFonts w:eastAsia="Times New Roman"/>
          <w:noProof/>
          <w:lang w:val="en-IE"/>
        </w:rPr>
        <w:t xml:space="preserve"> </w:t>
      </w:r>
      <w:r w:rsidR="7B13DC85" w:rsidRPr="7AC71608">
        <w:rPr>
          <w:rFonts w:eastAsia="Times New Roman"/>
          <w:noProof/>
          <w:lang w:val="en-IE"/>
        </w:rPr>
        <w:t>costs for authorities</w:t>
      </w:r>
      <w:r w:rsidR="005C68B6" w:rsidRPr="00DE264C">
        <w:rPr>
          <w:rStyle w:val="FootnoteReference"/>
          <w:rFonts w:eastAsia="Times New Roman"/>
          <w:noProof/>
          <w:lang w:val="en-IE"/>
        </w:rPr>
        <w:footnoteReference w:id="62"/>
      </w:r>
      <w:r w:rsidR="03617225" w:rsidRPr="7AC71608">
        <w:rPr>
          <w:rFonts w:eastAsia="Times New Roman"/>
          <w:noProof/>
          <w:lang w:val="en-IE"/>
        </w:rPr>
        <w:t>.</w:t>
      </w:r>
      <w:r w:rsidR="005C68B6" w:rsidRPr="00DE264C">
        <w:rPr>
          <w:rFonts w:eastAsia="Times New Roman"/>
          <w:noProof/>
          <w:lang w:val="en-IE"/>
        </w:rPr>
        <w:t xml:space="preserve"> </w:t>
      </w:r>
      <w:r w:rsidR="004076C2" w:rsidRPr="00DE264C">
        <w:rPr>
          <w:rFonts w:eastAsia="Times New Roman"/>
          <w:noProof/>
          <w:lang w:val="en-IE"/>
        </w:rPr>
        <w:t>C</w:t>
      </w:r>
      <w:r w:rsidR="004076C2" w:rsidRPr="00DE264C">
        <w:rPr>
          <w:rFonts w:eastAsia="Times New Roman"/>
          <w:noProof/>
        </w:rPr>
        <w:t>ontinuation</w:t>
      </w:r>
      <w:r w:rsidR="001815D6" w:rsidRPr="00DE264C">
        <w:rPr>
          <w:rFonts w:eastAsia="Times New Roman"/>
          <w:noProof/>
        </w:rPr>
        <w:t xml:space="preserve"> of the current complex division of competences </w:t>
      </w:r>
      <w:r w:rsidR="006C178B">
        <w:rPr>
          <w:rFonts w:eastAsia="Times New Roman"/>
          <w:noProof/>
        </w:rPr>
        <w:t xml:space="preserve">and fragmented authorisation approaches </w:t>
      </w:r>
      <w:r w:rsidR="46257425" w:rsidRPr="00DE264C">
        <w:rPr>
          <w:rFonts w:eastAsia="Times New Roman"/>
          <w:noProof/>
        </w:rPr>
        <w:t xml:space="preserve">risks </w:t>
      </w:r>
      <w:r w:rsidR="001815D6" w:rsidRPr="00DE264C">
        <w:rPr>
          <w:rFonts w:eastAsia="Times New Roman"/>
          <w:noProof/>
        </w:rPr>
        <w:t>delay</w:t>
      </w:r>
      <w:r w:rsidR="365CA5E8" w:rsidRPr="00DE264C">
        <w:rPr>
          <w:rFonts w:eastAsia="Times New Roman"/>
          <w:noProof/>
        </w:rPr>
        <w:t>ing</w:t>
      </w:r>
      <w:r w:rsidR="001815D6" w:rsidRPr="00DE264C">
        <w:rPr>
          <w:rFonts w:eastAsia="Times New Roman"/>
          <w:noProof/>
        </w:rPr>
        <w:t xml:space="preserve"> deployment of innovative satellite </w:t>
      </w:r>
      <w:r w:rsidR="00042C6F">
        <w:rPr>
          <w:rFonts w:eastAsia="Times New Roman"/>
          <w:noProof/>
        </w:rPr>
        <w:t>D2D</w:t>
      </w:r>
      <w:r w:rsidR="001815D6" w:rsidRPr="00DE264C">
        <w:rPr>
          <w:rFonts w:eastAsia="Times New Roman"/>
          <w:noProof/>
        </w:rPr>
        <w:t xml:space="preserve"> services.</w:t>
      </w:r>
      <w:r w:rsidR="001815D6" w:rsidRPr="009D1ED7">
        <w:rPr>
          <w:rFonts w:eastAsia="Times New Roman"/>
          <w:noProof/>
        </w:rPr>
        <w:t xml:space="preserve"> </w:t>
      </w:r>
      <w:r w:rsidR="75AA6618" w:rsidRPr="009D1ED7">
        <w:rPr>
          <w:rFonts w:eastAsia="Times New Roman"/>
          <w:noProof/>
        </w:rPr>
        <w:t xml:space="preserve">In addition to their own compliance costs, </w:t>
      </w:r>
      <w:r w:rsidR="4A3E76C7" w:rsidRPr="7AC71608">
        <w:rPr>
          <w:rFonts w:eastAsia="Times New Roman"/>
          <w:noProof/>
        </w:rPr>
        <w:t xml:space="preserve">new </w:t>
      </w:r>
      <w:r w:rsidR="73455CB3" w:rsidRPr="7AC71608">
        <w:rPr>
          <w:rFonts w:eastAsia="Times New Roman"/>
          <w:noProof/>
        </w:rPr>
        <w:t xml:space="preserve">Union-wide </w:t>
      </w:r>
      <w:r w:rsidR="63FA4D3C" w:rsidRPr="7AC71608">
        <w:rPr>
          <w:rFonts w:eastAsia="Times New Roman"/>
          <w:noProof/>
        </w:rPr>
        <w:t xml:space="preserve">satellite operators </w:t>
      </w:r>
      <w:r w:rsidR="209BD627" w:rsidRPr="7AC71608">
        <w:rPr>
          <w:rFonts w:eastAsia="Times New Roman"/>
          <w:noProof/>
        </w:rPr>
        <w:t>would</w:t>
      </w:r>
      <w:r w:rsidR="63FA4D3C" w:rsidRPr="7AC71608">
        <w:rPr>
          <w:rFonts w:eastAsia="Times New Roman"/>
          <w:noProof/>
        </w:rPr>
        <w:t xml:space="preserve"> face varying administrative costs depending on the specific Member State in which they operate. One-off administrative fees for authorisations (general and individual) rang</w:t>
      </w:r>
      <w:r w:rsidR="0C032338" w:rsidRPr="7AC71608">
        <w:rPr>
          <w:rFonts w:eastAsia="Times New Roman"/>
          <w:noProof/>
        </w:rPr>
        <w:t>e</w:t>
      </w:r>
      <w:r w:rsidR="63FA4D3C" w:rsidRPr="7AC71608">
        <w:rPr>
          <w:rFonts w:eastAsia="Times New Roman"/>
          <w:noProof/>
        </w:rPr>
        <w:t xml:space="preserve"> from a few thousand up to around EUR</w:t>
      </w:r>
      <w:r w:rsidR="63FA4D3C" w:rsidRPr="7AC71608">
        <w:rPr>
          <w:rFonts w:eastAsia="Times New Roman"/>
          <w:noProof/>
          <w:color w:val="000000" w:themeColor="text1"/>
        </w:rPr>
        <w:t> </w:t>
      </w:r>
      <w:r w:rsidR="63FA4D3C" w:rsidRPr="7AC71608">
        <w:rPr>
          <w:rFonts w:eastAsia="Times New Roman"/>
          <w:noProof/>
        </w:rPr>
        <w:t xml:space="preserve">110 000, plus annual fees </w:t>
      </w:r>
      <w:r w:rsidR="22CCACBF" w:rsidRPr="7AC71608">
        <w:rPr>
          <w:rFonts w:eastAsia="Times New Roman"/>
          <w:noProof/>
        </w:rPr>
        <w:t>typically</w:t>
      </w:r>
      <w:r w:rsidR="63FA4D3C" w:rsidRPr="7AC71608">
        <w:rPr>
          <w:rFonts w:eastAsia="Times New Roman"/>
          <w:noProof/>
        </w:rPr>
        <w:t xml:space="preserve"> between EUR</w:t>
      </w:r>
      <w:r w:rsidR="63FA4D3C" w:rsidRPr="7AC71608">
        <w:rPr>
          <w:rFonts w:eastAsia="Times New Roman"/>
          <w:noProof/>
          <w:color w:val="000000" w:themeColor="text1"/>
        </w:rPr>
        <w:t> </w:t>
      </w:r>
      <w:r w:rsidR="63FA4D3C" w:rsidRPr="7AC71608">
        <w:rPr>
          <w:rFonts w:eastAsia="Times New Roman"/>
          <w:noProof/>
        </w:rPr>
        <w:t>10 000 and 50 000. In addition, site authorisations for ground stations may entail a one-off permit cost of up to EUR</w:t>
      </w:r>
      <w:r w:rsidR="63FA4D3C" w:rsidRPr="7AC71608">
        <w:rPr>
          <w:rFonts w:eastAsia="Times New Roman"/>
          <w:noProof/>
          <w:color w:val="000000" w:themeColor="text1"/>
        </w:rPr>
        <w:t> </w:t>
      </w:r>
      <w:r w:rsidR="63FA4D3C" w:rsidRPr="7AC71608">
        <w:rPr>
          <w:rFonts w:eastAsia="Times New Roman"/>
          <w:noProof/>
        </w:rPr>
        <w:t>130 000 per site and annual administrative costs of EUR</w:t>
      </w:r>
      <w:r w:rsidR="63FA4D3C" w:rsidRPr="7AC71608">
        <w:rPr>
          <w:rFonts w:eastAsia="Times New Roman"/>
          <w:noProof/>
          <w:color w:val="000000" w:themeColor="text1"/>
        </w:rPr>
        <w:t> </w:t>
      </w:r>
      <w:r w:rsidR="63FA4D3C" w:rsidRPr="7AC71608">
        <w:rPr>
          <w:rFonts w:eastAsia="Times New Roman"/>
          <w:noProof/>
        </w:rPr>
        <w:t>5 000–30 000, while spectrum usage charges can reach EUR</w:t>
      </w:r>
      <w:r w:rsidR="63FA4D3C" w:rsidRPr="7AC71608">
        <w:rPr>
          <w:rFonts w:eastAsia="Times New Roman"/>
          <w:noProof/>
          <w:color w:val="000000" w:themeColor="text1"/>
        </w:rPr>
        <w:t> </w:t>
      </w:r>
      <w:r w:rsidR="63FA4D3C" w:rsidRPr="7AC71608">
        <w:rPr>
          <w:rFonts w:eastAsia="Times New Roman"/>
          <w:noProof/>
        </w:rPr>
        <w:t>1000–10 000 per site annually.</w:t>
      </w:r>
    </w:p>
    <w:p w14:paraId="31E55762" w14:textId="630625FC" w:rsidR="11F57EAC" w:rsidRDefault="11F57EAC" w:rsidP="00053713">
      <w:pPr>
        <w:spacing w:line="240" w:lineRule="auto"/>
        <w:rPr>
          <w:rFonts w:eastAsia="Times New Roman"/>
          <w:noProof/>
        </w:rPr>
      </w:pPr>
      <w:r w:rsidRPr="18864199">
        <w:rPr>
          <w:rFonts w:eastAsia="Times New Roman"/>
          <w:noProof/>
        </w:rPr>
        <w:t>Historically, access to spectrum for satellite services has been largely guaranteed at low fees given relatively low spectrum scarcity</w:t>
      </w:r>
      <w:r w:rsidR="0C9D1BC5" w:rsidRPr="18864199">
        <w:rPr>
          <w:rFonts w:eastAsia="Times New Roman"/>
          <w:noProof/>
        </w:rPr>
        <w:t xml:space="preserve"> (</w:t>
      </w:r>
      <w:r w:rsidRPr="18864199">
        <w:rPr>
          <w:rFonts w:eastAsia="Times New Roman"/>
          <w:noProof/>
        </w:rPr>
        <w:t>particularly in the high frequency bands Ku and Ka</w:t>
      </w:r>
      <w:r w:rsidR="263F2BFB" w:rsidRPr="18864199">
        <w:rPr>
          <w:rFonts w:eastAsia="Times New Roman"/>
          <w:noProof/>
        </w:rPr>
        <w:t xml:space="preserve">), </w:t>
      </w:r>
      <w:r w:rsidRPr="18864199">
        <w:rPr>
          <w:rFonts w:eastAsia="Times New Roman"/>
          <w:noProof/>
        </w:rPr>
        <w:t xml:space="preserve">the limited number of operators and end-users and the possibility of </w:t>
      </w:r>
      <w:r w:rsidR="3EB959FA" w:rsidRPr="2F287E6B">
        <w:rPr>
          <w:rFonts w:eastAsia="Times New Roman"/>
          <w:noProof/>
        </w:rPr>
        <w:t xml:space="preserve">spectrum </w:t>
      </w:r>
      <w:r w:rsidRPr="18864199">
        <w:rPr>
          <w:rFonts w:eastAsia="Times New Roman"/>
          <w:noProof/>
        </w:rPr>
        <w:t>sharing (See Annex 10</w:t>
      </w:r>
      <w:r w:rsidR="004F43F7">
        <w:rPr>
          <w:rFonts w:eastAsia="Times New Roman"/>
          <w:noProof/>
        </w:rPr>
        <w:t>,</w:t>
      </w:r>
      <w:r w:rsidRPr="18864199">
        <w:rPr>
          <w:rFonts w:eastAsia="Times New Roman"/>
          <w:noProof/>
        </w:rPr>
        <w:t xml:space="preserve"> section 1 Spectrum </w:t>
      </w:r>
      <w:r w:rsidR="001D746E">
        <w:rPr>
          <w:rFonts w:eastAsia="Times New Roman"/>
          <w:noProof/>
        </w:rPr>
        <w:t>e</w:t>
      </w:r>
      <w:r w:rsidRPr="2F287E6B">
        <w:rPr>
          <w:rFonts w:eastAsia="Times New Roman"/>
          <w:noProof/>
        </w:rPr>
        <w:t>ssentials).</w:t>
      </w:r>
      <w:r w:rsidRPr="18864199">
        <w:rPr>
          <w:rFonts w:eastAsia="Times New Roman"/>
          <w:noProof/>
        </w:rPr>
        <w:t xml:space="preserve"> Satellite spectrum was hence assigned on a first come first served basis at a low fee or assigned in comparative selection procedures.</w:t>
      </w:r>
    </w:p>
    <w:p w14:paraId="7BB4F0F2" w14:textId="377B254F" w:rsidR="00DA46C7" w:rsidRPr="00DE264C" w:rsidRDefault="00C372C2" w:rsidP="00053713">
      <w:pPr>
        <w:spacing w:line="240" w:lineRule="auto"/>
        <w:rPr>
          <w:rFonts w:eastAsia="Times New Roman"/>
          <w:noProof/>
          <w:lang w:val="en-IE"/>
        </w:rPr>
      </w:pPr>
      <w:r>
        <w:rPr>
          <w:rFonts w:eastAsia="Times New Roman"/>
          <w:noProof/>
        </w:rPr>
        <w:t xml:space="preserve">There is </w:t>
      </w:r>
      <w:r w:rsidRPr="00DE264C">
        <w:rPr>
          <w:rFonts w:eastAsia="Times New Roman"/>
          <w:noProof/>
          <w:lang w:val="en-IE"/>
        </w:rPr>
        <w:t>an important economic potential</w:t>
      </w:r>
      <w:r w:rsidRPr="00DE264C">
        <w:rPr>
          <w:rFonts w:eastAsia="Times New Roman"/>
          <w:noProof/>
        </w:rPr>
        <w:t xml:space="preserve"> </w:t>
      </w:r>
      <w:r w:rsidR="00043EB3">
        <w:rPr>
          <w:rFonts w:eastAsia="Times New Roman"/>
          <w:noProof/>
        </w:rPr>
        <w:t>re</w:t>
      </w:r>
      <w:r w:rsidR="007F2272">
        <w:rPr>
          <w:rFonts w:eastAsia="Times New Roman"/>
          <w:noProof/>
        </w:rPr>
        <w:t>lated to</w:t>
      </w:r>
      <w:r w:rsidR="001D4AA3" w:rsidRPr="00DE264C">
        <w:rPr>
          <w:rFonts w:eastAsia="Times New Roman"/>
          <w:noProof/>
        </w:rPr>
        <w:t xml:space="preserve"> </w:t>
      </w:r>
      <w:r w:rsidR="00A06D15" w:rsidRPr="00DE264C">
        <w:rPr>
          <w:noProof/>
        </w:rPr>
        <w:t>D2D connectivity</w:t>
      </w:r>
      <w:r w:rsidR="008B2267">
        <w:rPr>
          <w:noProof/>
        </w:rPr>
        <w:t>. I</w:t>
      </w:r>
      <w:r w:rsidR="00A06D15" w:rsidRPr="00DE264C">
        <w:rPr>
          <w:rFonts w:eastAsia="Times New Roman"/>
          <w:noProof/>
          <w:lang w:val="en-IE"/>
        </w:rPr>
        <w:t>t has been estimated that satellite D2D market could generate EUR</w:t>
      </w:r>
      <w:r w:rsidR="001F3576">
        <w:rPr>
          <w:rFonts w:eastAsia="Times New Roman"/>
          <w:noProof/>
          <w:color w:val="000000" w:themeColor="text1"/>
        </w:rPr>
        <w:t> </w:t>
      </w:r>
      <w:r w:rsidR="00A06D15" w:rsidRPr="00DE264C">
        <w:rPr>
          <w:rFonts w:eastAsia="Times New Roman"/>
          <w:noProof/>
          <w:lang w:val="en-IE"/>
        </w:rPr>
        <w:t>116.6 billion in total worldwide service revenue between 2022 and 2032</w:t>
      </w:r>
      <w:r w:rsidR="00A06D15" w:rsidRPr="00DE264C">
        <w:rPr>
          <w:rFonts w:eastAsia="Times New Roman"/>
          <w:noProof/>
          <w:vertAlign w:val="superscript"/>
          <w:lang w:val="en-IE"/>
        </w:rPr>
        <w:footnoteReference w:id="63"/>
      </w:r>
      <w:r w:rsidR="00A06D15" w:rsidRPr="00DE264C">
        <w:rPr>
          <w:rFonts w:eastAsia="Times New Roman"/>
          <w:noProof/>
          <w:lang w:val="en-IE"/>
        </w:rPr>
        <w:t xml:space="preserve">. </w:t>
      </w:r>
    </w:p>
    <w:p w14:paraId="5164F055" w14:textId="6F3ACDB5" w:rsidR="00152B9D" w:rsidRPr="00DE264C" w:rsidRDefault="00152B9D" w:rsidP="00053713">
      <w:pPr>
        <w:spacing w:line="240" w:lineRule="auto"/>
        <w:rPr>
          <w:rFonts w:eastAsia="Times New Roman"/>
          <w:noProof/>
        </w:rPr>
      </w:pPr>
      <w:r w:rsidRPr="70AED222">
        <w:rPr>
          <w:rFonts w:eastAsia="Times New Roman"/>
          <w:noProof/>
        </w:rPr>
        <w:t xml:space="preserve">Consequently, investment priorities in the satellite sector have historically concentrated on the development of space and ground infrastructure, including launch capabilities, while spectrum acquisition </w:t>
      </w:r>
      <w:r w:rsidR="7F301A42" w:rsidRPr="18864199">
        <w:rPr>
          <w:rFonts w:eastAsia="Times New Roman"/>
          <w:noProof/>
        </w:rPr>
        <w:t>represent</w:t>
      </w:r>
      <w:r w:rsidR="35750035" w:rsidRPr="18864199">
        <w:rPr>
          <w:rFonts w:eastAsia="Times New Roman"/>
          <w:noProof/>
        </w:rPr>
        <w:t>ed</w:t>
      </w:r>
      <w:r w:rsidRPr="70AED222">
        <w:rPr>
          <w:rFonts w:eastAsia="Times New Roman"/>
          <w:noProof/>
        </w:rPr>
        <w:t xml:space="preserve"> only a fraction of the cost</w:t>
      </w:r>
      <w:r w:rsidR="005B65D8">
        <w:rPr>
          <w:rFonts w:eastAsia="Times New Roman"/>
          <w:noProof/>
        </w:rPr>
        <w:t>. T</w:t>
      </w:r>
      <w:r w:rsidR="56D4DA82" w:rsidRPr="137254E0">
        <w:rPr>
          <w:rFonts w:eastAsia="Times New Roman"/>
          <w:noProof/>
        </w:rPr>
        <w:t>his</w:t>
      </w:r>
      <w:r w:rsidR="5D1C1D5C" w:rsidRPr="137254E0">
        <w:rPr>
          <w:rFonts w:eastAsia="Times New Roman"/>
          <w:noProof/>
        </w:rPr>
        <w:t xml:space="preserve"> contrast</w:t>
      </w:r>
      <w:r w:rsidR="7F4BE42F" w:rsidRPr="137254E0">
        <w:rPr>
          <w:rFonts w:eastAsia="Times New Roman"/>
          <w:noProof/>
        </w:rPr>
        <w:t>s</w:t>
      </w:r>
      <w:r w:rsidR="5D1C1D5C" w:rsidRPr="137254E0">
        <w:rPr>
          <w:rFonts w:eastAsia="Times New Roman"/>
          <w:noProof/>
        </w:rPr>
        <w:t xml:space="preserve"> </w:t>
      </w:r>
      <w:r w:rsidR="4860BCD8" w:rsidRPr="137254E0">
        <w:rPr>
          <w:rFonts w:eastAsia="Times New Roman"/>
          <w:noProof/>
        </w:rPr>
        <w:t>with</w:t>
      </w:r>
      <w:r w:rsidRPr="70AED222">
        <w:rPr>
          <w:rFonts w:eastAsia="Times New Roman"/>
          <w:noProof/>
        </w:rPr>
        <w:t xml:space="preserve"> the</w:t>
      </w:r>
      <w:r w:rsidR="7F301A42" w:rsidRPr="18864199">
        <w:rPr>
          <w:rFonts w:eastAsia="Times New Roman"/>
          <w:noProof/>
        </w:rPr>
        <w:t xml:space="preserve"> </w:t>
      </w:r>
      <w:r w:rsidR="57964B99" w:rsidRPr="18864199">
        <w:rPr>
          <w:rFonts w:eastAsia="Times New Roman"/>
          <w:noProof/>
        </w:rPr>
        <w:t>terrestrial</w:t>
      </w:r>
      <w:r w:rsidRPr="70AED222">
        <w:rPr>
          <w:rFonts w:eastAsia="Times New Roman"/>
          <w:noProof/>
        </w:rPr>
        <w:t xml:space="preserve"> mobile sector</w:t>
      </w:r>
      <w:r w:rsidR="0380165A" w:rsidRPr="137254E0">
        <w:rPr>
          <w:rFonts w:eastAsia="Times New Roman"/>
          <w:noProof/>
        </w:rPr>
        <w:t xml:space="preserve"> where</w:t>
      </w:r>
      <w:r w:rsidRPr="70AED222">
        <w:rPr>
          <w:rFonts w:eastAsia="Times New Roman"/>
          <w:noProof/>
        </w:rPr>
        <w:t xml:space="preserve"> access to spectrum constitutes a key investment asset</w:t>
      </w:r>
      <w:r w:rsidR="00751863">
        <w:rPr>
          <w:rFonts w:eastAsia="Times New Roman"/>
          <w:noProof/>
        </w:rPr>
        <w:t>,</w:t>
      </w:r>
      <w:r w:rsidR="5D1C1D5C" w:rsidRPr="137254E0">
        <w:rPr>
          <w:rFonts w:eastAsia="Times New Roman"/>
          <w:noProof/>
        </w:rPr>
        <w:t xml:space="preserve"> </w:t>
      </w:r>
      <w:r w:rsidR="00C64E44" w:rsidRPr="00CD172B">
        <w:rPr>
          <w:noProof/>
        </w:rPr>
        <w:t>represent</w:t>
      </w:r>
      <w:r w:rsidR="00901114" w:rsidRPr="00CD172B">
        <w:rPr>
          <w:noProof/>
        </w:rPr>
        <w:t xml:space="preserve">ing a </w:t>
      </w:r>
      <w:r w:rsidRPr="00CD172B">
        <w:rPr>
          <w:noProof/>
        </w:rPr>
        <w:t xml:space="preserve">cost </w:t>
      </w:r>
      <w:r w:rsidR="00901114" w:rsidRPr="00CD172B">
        <w:rPr>
          <w:noProof/>
        </w:rPr>
        <w:t>of</w:t>
      </w:r>
      <w:r w:rsidR="3F21579C" w:rsidRPr="00CD172B">
        <w:rPr>
          <w:noProof/>
        </w:rPr>
        <w:t xml:space="preserve"> </w:t>
      </w:r>
      <w:r w:rsidRPr="00CD172B">
        <w:rPr>
          <w:noProof/>
        </w:rPr>
        <w:t>around 7% of mobile service revenues and about 35</w:t>
      </w:r>
      <w:r w:rsidR="005D7F18" w:rsidRPr="7AC71608">
        <w:rPr>
          <w:rFonts w:eastAsia="Times New Roman"/>
          <w:noProof/>
        </w:rPr>
        <w:t>–</w:t>
      </w:r>
      <w:r w:rsidRPr="00CD172B">
        <w:rPr>
          <w:noProof/>
        </w:rPr>
        <w:t>40% of Capex</w:t>
      </w:r>
      <w:r w:rsidRPr="70AED222">
        <w:rPr>
          <w:rFonts w:eastAsia="Times New Roman"/>
          <w:noProof/>
        </w:rPr>
        <w:t xml:space="preserve"> and </w:t>
      </w:r>
      <w:r w:rsidR="71D3B945" w:rsidRPr="6209F563">
        <w:rPr>
          <w:rFonts w:eastAsia="Times New Roman"/>
          <w:noProof/>
        </w:rPr>
        <w:t>is c</w:t>
      </w:r>
      <w:r w:rsidR="00990BAE">
        <w:rPr>
          <w:rFonts w:eastAsia="Times New Roman"/>
          <w:noProof/>
        </w:rPr>
        <w:t>ou</w:t>
      </w:r>
      <w:r w:rsidR="71D3B945" w:rsidRPr="6209F563">
        <w:rPr>
          <w:rFonts w:eastAsia="Times New Roman"/>
          <w:noProof/>
        </w:rPr>
        <w:t xml:space="preserve">pled with </w:t>
      </w:r>
      <w:r w:rsidRPr="70AED222">
        <w:rPr>
          <w:rFonts w:eastAsia="Times New Roman"/>
          <w:noProof/>
        </w:rPr>
        <w:t>regulatory obligations related to coverage and quality of service.</w:t>
      </w:r>
      <w:r>
        <w:rPr>
          <w:noProof/>
        </w:rPr>
        <w:t xml:space="preserve"> Since satellite </w:t>
      </w:r>
      <w:r w:rsidR="10A5ED97">
        <w:rPr>
          <w:noProof/>
        </w:rPr>
        <w:t>spectrum in general</w:t>
      </w:r>
      <w:r>
        <w:rPr>
          <w:noProof/>
        </w:rPr>
        <w:t xml:space="preserve"> </w:t>
      </w:r>
      <w:r w:rsidR="394C03DA">
        <w:rPr>
          <w:noProof/>
        </w:rPr>
        <w:t xml:space="preserve">is </w:t>
      </w:r>
      <w:r>
        <w:rPr>
          <w:noProof/>
        </w:rPr>
        <w:t xml:space="preserve">authorised </w:t>
      </w:r>
      <w:r w:rsidR="005B65D8">
        <w:rPr>
          <w:noProof/>
        </w:rPr>
        <w:t>at</w:t>
      </w:r>
      <w:r>
        <w:rPr>
          <w:noProof/>
        </w:rPr>
        <w:t xml:space="preserve"> a much </w:t>
      </w:r>
      <w:r w:rsidR="49342939">
        <w:rPr>
          <w:noProof/>
        </w:rPr>
        <w:t>low</w:t>
      </w:r>
      <w:r>
        <w:rPr>
          <w:noProof/>
        </w:rPr>
        <w:t xml:space="preserve">er price than terrestrial mobile bands, the associated investment costs for satellite spectrum </w:t>
      </w:r>
      <w:r w:rsidR="003F2C25">
        <w:rPr>
          <w:noProof/>
        </w:rPr>
        <w:t>are</w:t>
      </w:r>
      <w:r>
        <w:rPr>
          <w:noProof/>
        </w:rPr>
        <w:t xml:space="preserve"> far less than 7%.</w:t>
      </w:r>
      <w:r w:rsidRPr="70AED222">
        <w:rPr>
          <w:rFonts w:eastAsia="Times New Roman"/>
          <w:noProof/>
        </w:rPr>
        <w:t xml:space="preserve"> This is expected to change in the future with the development of D2D services, </w:t>
      </w:r>
      <w:r w:rsidRPr="3BA2527F">
        <w:rPr>
          <w:rFonts w:eastAsia="Times New Roman"/>
          <w:noProof/>
        </w:rPr>
        <w:t>intensif</w:t>
      </w:r>
      <w:r w:rsidR="00721B6D">
        <w:rPr>
          <w:rFonts w:eastAsia="Times New Roman"/>
          <w:noProof/>
        </w:rPr>
        <w:t>y</w:t>
      </w:r>
      <w:r w:rsidRPr="3BA2527F">
        <w:rPr>
          <w:rFonts w:eastAsia="Times New Roman"/>
          <w:noProof/>
        </w:rPr>
        <w:t>i</w:t>
      </w:r>
      <w:r w:rsidR="632B90D8" w:rsidRPr="3BA2527F">
        <w:rPr>
          <w:rFonts w:eastAsia="Times New Roman"/>
          <w:noProof/>
        </w:rPr>
        <w:t>ng</w:t>
      </w:r>
      <w:r w:rsidRPr="70AED222">
        <w:rPr>
          <w:rFonts w:eastAsia="Times New Roman"/>
          <w:noProof/>
        </w:rPr>
        <w:t xml:space="preserve"> competition to access valuable spectrum </w:t>
      </w:r>
      <w:r w:rsidR="00721B6D">
        <w:rPr>
          <w:rFonts w:eastAsia="Times New Roman"/>
          <w:noProof/>
        </w:rPr>
        <w:t>in</w:t>
      </w:r>
      <w:r w:rsidRPr="70AED222">
        <w:rPr>
          <w:rFonts w:eastAsia="Times New Roman"/>
          <w:noProof/>
        </w:rPr>
        <w:t xml:space="preserve"> lower satellite bands, such as the 2 GHz MSS band.</w:t>
      </w:r>
    </w:p>
    <w:p w14:paraId="02219479" w14:textId="727865A9" w:rsidR="009A20A0" w:rsidRPr="00DE264C" w:rsidRDefault="002F0B3C" w:rsidP="00053713">
      <w:pPr>
        <w:spacing w:line="240" w:lineRule="auto"/>
        <w:rPr>
          <w:rFonts w:eastAsia="Times New Roman"/>
          <w:noProof/>
          <w:lang w:val="en-IE"/>
        </w:rPr>
      </w:pPr>
      <w:r>
        <w:rPr>
          <w:rFonts w:eastAsia="Times New Roman"/>
          <w:noProof/>
        </w:rPr>
        <w:t>Finally</w:t>
      </w:r>
      <w:r w:rsidR="1040CBC4" w:rsidRPr="00DE264C">
        <w:rPr>
          <w:rFonts w:eastAsia="Times New Roman"/>
          <w:noProof/>
        </w:rPr>
        <w:t>, a</w:t>
      </w:r>
      <w:r w:rsidR="00773D7E" w:rsidRPr="00DE264C">
        <w:rPr>
          <w:rFonts w:eastAsia="Times New Roman"/>
          <w:noProof/>
        </w:rPr>
        <w:t xml:space="preserve">gainst this background of proliferation of constellations and </w:t>
      </w:r>
      <w:r w:rsidR="7F41E25D" w:rsidRPr="00DE264C">
        <w:rPr>
          <w:rFonts w:eastAsia="Times New Roman"/>
          <w:noProof/>
        </w:rPr>
        <w:t>of</w:t>
      </w:r>
      <w:r w:rsidR="00773D7E" w:rsidRPr="00DE264C">
        <w:rPr>
          <w:rFonts w:eastAsia="Times New Roman"/>
          <w:noProof/>
        </w:rPr>
        <w:t xml:space="preserve"> regulatory fragmentation</w:t>
      </w:r>
      <w:r w:rsidR="00304757" w:rsidRPr="00DE264C">
        <w:rPr>
          <w:rFonts w:eastAsia="Times New Roman"/>
          <w:noProof/>
        </w:rPr>
        <w:t>,</w:t>
      </w:r>
      <w:r w:rsidR="008B7942" w:rsidRPr="00DE264C">
        <w:rPr>
          <w:rFonts w:eastAsia="Times New Roman"/>
          <w:noProof/>
        </w:rPr>
        <w:t xml:space="preserve"> </w:t>
      </w:r>
      <w:r w:rsidR="002F233C" w:rsidRPr="00DE264C">
        <w:rPr>
          <w:rFonts w:eastAsia="Times New Roman"/>
          <w:noProof/>
        </w:rPr>
        <w:t>the</w:t>
      </w:r>
      <w:r w:rsidR="008B7942" w:rsidRPr="00DE264C">
        <w:rPr>
          <w:rFonts w:eastAsia="Times New Roman"/>
          <w:noProof/>
        </w:rPr>
        <w:t xml:space="preserve"> enforcement of </w:t>
      </w:r>
      <w:r w:rsidR="001914B8" w:rsidRPr="00DE264C">
        <w:rPr>
          <w:rFonts w:eastAsia="Times New Roman"/>
          <w:noProof/>
        </w:rPr>
        <w:t xml:space="preserve">ITU rules </w:t>
      </w:r>
      <w:r w:rsidR="002F233C" w:rsidRPr="00DE264C">
        <w:rPr>
          <w:rFonts w:eastAsia="Times New Roman"/>
          <w:noProof/>
        </w:rPr>
        <w:t>against harmful</w:t>
      </w:r>
      <w:r w:rsidR="00773D7E" w:rsidRPr="00DE264C">
        <w:rPr>
          <w:rFonts w:eastAsia="Times New Roman"/>
          <w:noProof/>
        </w:rPr>
        <w:t xml:space="preserve"> radio frequency</w:t>
      </w:r>
      <w:r w:rsidR="001914B8" w:rsidRPr="00DE264C">
        <w:rPr>
          <w:rFonts w:eastAsia="Times New Roman"/>
          <w:noProof/>
        </w:rPr>
        <w:t xml:space="preserve"> </w:t>
      </w:r>
      <w:r w:rsidR="002F233C" w:rsidRPr="00DE264C">
        <w:rPr>
          <w:rFonts w:eastAsia="Times New Roman"/>
          <w:noProof/>
        </w:rPr>
        <w:t xml:space="preserve">interference </w:t>
      </w:r>
      <w:r w:rsidR="00F224E5" w:rsidRPr="00DE264C">
        <w:rPr>
          <w:rFonts w:eastAsia="Times New Roman"/>
          <w:noProof/>
        </w:rPr>
        <w:t>represent</w:t>
      </w:r>
      <w:r w:rsidR="00773D7E" w:rsidRPr="00DE264C">
        <w:rPr>
          <w:rFonts w:eastAsia="Times New Roman"/>
          <w:noProof/>
        </w:rPr>
        <w:t>s</w:t>
      </w:r>
      <w:r w:rsidR="008B7942" w:rsidRPr="00DE264C">
        <w:rPr>
          <w:rFonts w:eastAsia="Times New Roman"/>
          <w:noProof/>
        </w:rPr>
        <w:t xml:space="preserve"> a </w:t>
      </w:r>
      <w:r w:rsidR="00773D7E" w:rsidRPr="00DE264C">
        <w:rPr>
          <w:rFonts w:eastAsia="Times New Roman"/>
          <w:noProof/>
        </w:rPr>
        <w:t>challenge</w:t>
      </w:r>
      <w:r w:rsidR="002A2F02" w:rsidRPr="00DE264C">
        <w:rPr>
          <w:rStyle w:val="FootnoteReference"/>
          <w:rFonts w:eastAsia="Times New Roman"/>
          <w:noProof/>
        </w:rPr>
        <w:footnoteReference w:id="64"/>
      </w:r>
      <w:r w:rsidR="001914B8" w:rsidRPr="00DE264C">
        <w:rPr>
          <w:rFonts w:eastAsia="Times New Roman"/>
          <w:noProof/>
        </w:rPr>
        <w:t>.</w:t>
      </w:r>
      <w:r w:rsidR="008B7942" w:rsidRPr="00DE264C">
        <w:rPr>
          <w:rFonts w:eastAsia="Times New Roman"/>
          <w:noProof/>
        </w:rPr>
        <w:t xml:space="preserve"> </w:t>
      </w:r>
      <w:r w:rsidR="00D74BAC" w:rsidRPr="00D74BAC">
        <w:rPr>
          <w:rFonts w:eastAsia="Times New Roman"/>
          <w:noProof/>
        </w:rPr>
        <w:t>Unlike terrestrial communications, the spectrum used for satellite communications requires a higher degree of international and national coordination</w:t>
      </w:r>
      <w:r w:rsidR="00B54B6A">
        <w:rPr>
          <w:rFonts w:eastAsia="Times New Roman"/>
          <w:noProof/>
        </w:rPr>
        <w:t xml:space="preserve"> </w:t>
      </w:r>
      <w:r w:rsidR="00D74BAC" w:rsidRPr="00D74BAC">
        <w:rPr>
          <w:rFonts w:eastAsia="Times New Roman"/>
          <w:noProof/>
        </w:rPr>
        <w:t>because satellites operate across multiple countries and regions</w:t>
      </w:r>
      <w:r w:rsidR="00C95E8D">
        <w:rPr>
          <w:rFonts w:eastAsia="Times New Roman"/>
          <w:noProof/>
        </w:rPr>
        <w:t>.</w:t>
      </w:r>
      <w:r w:rsidR="00882425">
        <w:rPr>
          <w:rFonts w:eastAsia="Times New Roman"/>
          <w:noProof/>
        </w:rPr>
        <w:t xml:space="preserve"> </w:t>
      </w:r>
      <w:r w:rsidR="79CCDA0D" w:rsidRPr="06B7E905">
        <w:rPr>
          <w:rFonts w:eastAsia="Times New Roman"/>
          <w:noProof/>
        </w:rPr>
        <w:t>T</w:t>
      </w:r>
      <w:r w:rsidR="008F13D0" w:rsidRPr="00DE264C">
        <w:rPr>
          <w:rFonts w:eastAsia="Times New Roman"/>
          <w:noProof/>
        </w:rPr>
        <w:t xml:space="preserve">he </w:t>
      </w:r>
      <w:r w:rsidR="00372590" w:rsidRPr="00DE264C">
        <w:rPr>
          <w:rFonts w:eastAsia="Times New Roman"/>
          <w:noProof/>
        </w:rPr>
        <w:t xml:space="preserve">growing demand for </w:t>
      </w:r>
      <w:r w:rsidR="004D3A31" w:rsidRPr="00DE264C">
        <w:rPr>
          <w:rFonts w:eastAsia="Times New Roman"/>
          <w:noProof/>
        </w:rPr>
        <w:t>LEO</w:t>
      </w:r>
      <w:r w:rsidR="00372590" w:rsidRPr="00DE264C">
        <w:rPr>
          <w:rFonts w:eastAsia="Times New Roman"/>
          <w:noProof/>
        </w:rPr>
        <w:t xml:space="preserve"> satellite</w:t>
      </w:r>
      <w:r w:rsidR="087CC347" w:rsidRPr="00DE264C">
        <w:rPr>
          <w:rFonts w:eastAsia="Times New Roman"/>
          <w:noProof/>
        </w:rPr>
        <w:t>s</w:t>
      </w:r>
      <w:r w:rsidR="00372590" w:rsidRPr="00DE264C">
        <w:rPr>
          <w:rFonts w:eastAsia="Times New Roman"/>
          <w:noProof/>
        </w:rPr>
        <w:t xml:space="preserve"> </w:t>
      </w:r>
      <w:r w:rsidR="008F13D0" w:rsidRPr="00DE264C">
        <w:rPr>
          <w:rFonts w:eastAsia="Times New Roman"/>
          <w:noProof/>
        </w:rPr>
        <w:t>to</w:t>
      </w:r>
      <w:r w:rsidR="00372590" w:rsidRPr="00DE264C">
        <w:rPr>
          <w:rFonts w:eastAsia="Times New Roman"/>
          <w:noProof/>
        </w:rPr>
        <w:t xml:space="preserve"> access spectrum</w:t>
      </w:r>
      <w:r w:rsidR="008E3492" w:rsidRPr="00DE264C">
        <w:rPr>
          <w:rFonts w:eastAsia="Times New Roman"/>
          <w:noProof/>
        </w:rPr>
        <w:t xml:space="preserve"> significantly </w:t>
      </w:r>
      <w:r w:rsidR="00BB1197" w:rsidRPr="00DE264C">
        <w:rPr>
          <w:rFonts w:eastAsia="Times New Roman"/>
          <w:noProof/>
        </w:rPr>
        <w:t>increases the risk of interferences</w:t>
      </w:r>
      <w:r w:rsidR="00372590" w:rsidRPr="00DE264C">
        <w:rPr>
          <w:rFonts w:eastAsia="Times New Roman"/>
          <w:noProof/>
        </w:rPr>
        <w:t xml:space="preserve">. </w:t>
      </w:r>
      <w:r w:rsidR="660EC418" w:rsidRPr="00DE264C">
        <w:rPr>
          <w:rFonts w:eastAsia="Times New Roman"/>
          <w:noProof/>
        </w:rPr>
        <w:t>However, t</w:t>
      </w:r>
      <w:r w:rsidR="18B364AF" w:rsidRPr="00DE264C">
        <w:rPr>
          <w:rFonts w:eastAsia="Times New Roman"/>
          <w:noProof/>
        </w:rPr>
        <w:t xml:space="preserve">he current tools for addressing bilaterally satellite interference at the level of ITU </w:t>
      </w:r>
      <w:r w:rsidR="00007FF4" w:rsidRPr="551687C0">
        <w:rPr>
          <w:rFonts w:eastAsia="Times New Roman"/>
          <w:noProof/>
        </w:rPr>
        <w:t>are</w:t>
      </w:r>
      <w:r w:rsidR="18B364AF" w:rsidRPr="00DE264C">
        <w:rPr>
          <w:rFonts w:eastAsia="Times New Roman"/>
          <w:noProof/>
        </w:rPr>
        <w:t xml:space="preserve"> slow and inefficient and</w:t>
      </w:r>
      <w:r w:rsidR="5E512BCD" w:rsidRPr="00DE264C">
        <w:rPr>
          <w:rFonts w:eastAsia="Times New Roman"/>
          <w:noProof/>
        </w:rPr>
        <w:t xml:space="preserve"> </w:t>
      </w:r>
      <w:r w:rsidR="02348E55" w:rsidRPr="00DE264C">
        <w:rPr>
          <w:rFonts w:eastAsia="Times New Roman"/>
          <w:noProof/>
        </w:rPr>
        <w:t>do not allow to leverage the strength of the internal market</w:t>
      </w:r>
      <w:r w:rsidR="49C3DFF4" w:rsidRPr="00DE264C">
        <w:rPr>
          <w:rFonts w:eastAsia="Times New Roman"/>
          <w:noProof/>
        </w:rPr>
        <w:t xml:space="preserve">, e.g. threat </w:t>
      </w:r>
      <w:r w:rsidR="4C45433E" w:rsidRPr="00DE264C">
        <w:rPr>
          <w:rFonts w:eastAsia="Times New Roman"/>
          <w:noProof/>
        </w:rPr>
        <w:t>of</w:t>
      </w:r>
      <w:r w:rsidR="49C3DFF4" w:rsidRPr="00DE264C">
        <w:rPr>
          <w:rFonts w:eastAsia="Times New Roman"/>
          <w:noProof/>
        </w:rPr>
        <w:t xml:space="preserve"> block</w:t>
      </w:r>
      <w:r w:rsidR="2776A067" w:rsidRPr="00DE264C">
        <w:rPr>
          <w:rFonts w:eastAsia="Times New Roman"/>
          <w:noProof/>
        </w:rPr>
        <w:t>ing</w:t>
      </w:r>
      <w:r w:rsidR="49C3DFF4" w:rsidRPr="00DE264C">
        <w:rPr>
          <w:rFonts w:eastAsia="Times New Roman"/>
          <w:noProof/>
        </w:rPr>
        <w:t xml:space="preserve"> access to the internal market</w:t>
      </w:r>
      <w:r w:rsidR="02348E55" w:rsidRPr="00DE264C">
        <w:rPr>
          <w:rFonts w:eastAsia="Times New Roman"/>
          <w:noProof/>
        </w:rPr>
        <w:t xml:space="preserve">. </w:t>
      </w:r>
      <w:r w:rsidR="53EC59D9" w:rsidRPr="00DE264C">
        <w:rPr>
          <w:rFonts w:eastAsia="Times New Roman"/>
          <w:noProof/>
        </w:rPr>
        <w:t>T</w:t>
      </w:r>
      <w:r w:rsidR="00372590" w:rsidRPr="00DE264C">
        <w:rPr>
          <w:rFonts w:eastAsia="Times New Roman"/>
          <w:noProof/>
        </w:rPr>
        <w:t>his shift</w:t>
      </w:r>
      <w:r w:rsidR="00C32638" w:rsidRPr="00DE264C">
        <w:rPr>
          <w:rFonts w:eastAsia="Times New Roman"/>
          <w:noProof/>
        </w:rPr>
        <w:t xml:space="preserve"> of regulatory parad</w:t>
      </w:r>
      <w:r w:rsidR="00FC36DB" w:rsidRPr="00DE264C">
        <w:rPr>
          <w:rFonts w:eastAsia="Times New Roman"/>
          <w:noProof/>
        </w:rPr>
        <w:t>igms</w:t>
      </w:r>
      <w:r w:rsidR="00372590" w:rsidRPr="00DE264C">
        <w:rPr>
          <w:rFonts w:eastAsia="Times New Roman"/>
          <w:noProof/>
        </w:rPr>
        <w:t xml:space="preserve"> requires stronger EU coordination to develop </w:t>
      </w:r>
      <w:r w:rsidR="00525F3C" w:rsidRPr="00DE264C">
        <w:rPr>
          <w:rFonts w:eastAsia="Times New Roman"/>
          <w:noProof/>
        </w:rPr>
        <w:t xml:space="preserve">and enforce </w:t>
      </w:r>
      <w:r w:rsidR="0535EEE1" w:rsidRPr="00DE264C">
        <w:rPr>
          <w:rFonts w:eastAsia="Times New Roman"/>
          <w:noProof/>
        </w:rPr>
        <w:t>efficiently</w:t>
      </w:r>
      <w:r w:rsidR="00525F3C" w:rsidRPr="00DE264C">
        <w:rPr>
          <w:rFonts w:eastAsia="Times New Roman"/>
          <w:noProof/>
        </w:rPr>
        <w:t xml:space="preserve"> </w:t>
      </w:r>
      <w:r w:rsidR="00372590" w:rsidRPr="00DE264C">
        <w:rPr>
          <w:rFonts w:eastAsia="Times New Roman"/>
          <w:noProof/>
        </w:rPr>
        <w:t>common rules supporting the single market and advocat</w:t>
      </w:r>
      <w:r w:rsidR="0C45DC41" w:rsidRPr="00DE264C">
        <w:rPr>
          <w:rFonts w:eastAsia="Times New Roman"/>
          <w:noProof/>
        </w:rPr>
        <w:t>e</w:t>
      </w:r>
      <w:r w:rsidR="00372590" w:rsidRPr="00DE264C">
        <w:rPr>
          <w:rFonts w:eastAsia="Times New Roman"/>
          <w:noProof/>
        </w:rPr>
        <w:t xml:space="preserve"> for them internationally</w:t>
      </w:r>
      <w:r w:rsidR="002C060F" w:rsidRPr="00DE264C">
        <w:rPr>
          <w:rStyle w:val="FootnoteReference"/>
          <w:rFonts w:eastAsia="Times New Roman"/>
          <w:noProof/>
        </w:rPr>
        <w:footnoteReference w:id="65"/>
      </w:r>
      <w:r w:rsidR="00671485" w:rsidRPr="00DE264C">
        <w:rPr>
          <w:rFonts w:eastAsia="Times New Roman"/>
          <w:noProof/>
          <w:lang w:val="en-IE"/>
        </w:rPr>
        <w:t>.</w:t>
      </w:r>
    </w:p>
    <w:p w14:paraId="0D535DFD" w14:textId="1E7E2534" w:rsidR="00A96AFF" w:rsidRDefault="00C514F6" w:rsidP="00053713">
      <w:pPr>
        <w:spacing w:line="240" w:lineRule="auto"/>
        <w:rPr>
          <w:noProof/>
          <w:lang w:val="en-IE"/>
        </w:rPr>
      </w:pPr>
      <w:bookmarkStart w:id="56" w:name="_Hlk209517196"/>
      <w:r w:rsidRPr="00DE264C">
        <w:rPr>
          <w:noProof/>
          <w:lang w:val="en-IE"/>
        </w:rPr>
        <w:t xml:space="preserve">The table below presents the main </w:t>
      </w:r>
      <w:r w:rsidR="000F3412" w:rsidRPr="00DE264C">
        <w:rPr>
          <w:noProof/>
          <w:lang w:val="en-IE"/>
        </w:rPr>
        <w:t xml:space="preserve">barriers </w:t>
      </w:r>
      <w:r w:rsidRPr="00DE264C">
        <w:rPr>
          <w:noProof/>
          <w:lang w:val="en-IE"/>
        </w:rPr>
        <w:t xml:space="preserve">analysed in further detail in </w:t>
      </w:r>
      <w:r w:rsidR="00090D82">
        <w:rPr>
          <w:noProof/>
          <w:lang w:val="en-IE"/>
        </w:rPr>
        <w:t>s</w:t>
      </w:r>
      <w:r w:rsidR="00090D82" w:rsidRPr="00DE264C">
        <w:rPr>
          <w:noProof/>
          <w:lang w:val="en-IE"/>
        </w:rPr>
        <w:t xml:space="preserve">ection </w:t>
      </w:r>
      <w:r w:rsidR="00CE2D74" w:rsidRPr="00DE264C">
        <w:rPr>
          <w:noProof/>
          <w:lang w:val="en-IE"/>
        </w:rPr>
        <w:t xml:space="preserve">2.2.4 </w:t>
      </w:r>
      <w:r w:rsidR="00DE77DC" w:rsidRPr="00DE264C">
        <w:rPr>
          <w:noProof/>
          <w:lang w:val="en-IE"/>
        </w:rPr>
        <w:t>of</w:t>
      </w:r>
      <w:r w:rsidRPr="00DE264C">
        <w:rPr>
          <w:rFonts w:eastAsia="Times New Roman"/>
          <w:noProof/>
        </w:rPr>
        <w:t xml:space="preserve"> </w:t>
      </w:r>
      <w:r w:rsidR="00A96AFF" w:rsidRPr="00DE264C">
        <w:rPr>
          <w:noProof/>
          <w:lang w:val="en-IE"/>
        </w:rPr>
        <w:t>the evaluation report</w:t>
      </w:r>
      <w:r w:rsidR="00BD0B82" w:rsidRPr="00DE264C">
        <w:rPr>
          <w:noProof/>
          <w:lang w:val="en-IE"/>
        </w:rPr>
        <w:t xml:space="preserve">, </w:t>
      </w:r>
      <w:r w:rsidR="00B22C1A" w:rsidRPr="00DE264C">
        <w:rPr>
          <w:noProof/>
          <w:lang w:val="en-IE"/>
        </w:rPr>
        <w:t>in</w:t>
      </w:r>
      <w:r w:rsidR="00F96F22" w:rsidRPr="00DE264C">
        <w:rPr>
          <w:noProof/>
          <w:lang w:val="en-IE"/>
        </w:rPr>
        <w:t xml:space="preserve"> relevant </w:t>
      </w:r>
      <w:r w:rsidR="005B15B8" w:rsidRPr="00DE264C">
        <w:rPr>
          <w:noProof/>
          <w:lang w:val="en-IE"/>
        </w:rPr>
        <w:t>studies</w:t>
      </w:r>
      <w:r w:rsidR="00A96AFF" w:rsidRPr="00DE264C">
        <w:rPr>
          <w:noProof/>
          <w:vertAlign w:val="superscript"/>
          <w:lang w:val="en-IE"/>
        </w:rPr>
        <w:footnoteReference w:id="66"/>
      </w:r>
      <w:r w:rsidR="00A96AFF" w:rsidRPr="00DE264C">
        <w:rPr>
          <w:noProof/>
          <w:lang w:val="en-IE"/>
        </w:rPr>
        <w:t xml:space="preserve"> and </w:t>
      </w:r>
      <w:r w:rsidR="00DF3810" w:rsidRPr="00DE264C">
        <w:rPr>
          <w:noProof/>
          <w:lang w:val="en-IE"/>
        </w:rPr>
        <w:t xml:space="preserve">in </w:t>
      </w:r>
      <w:r w:rsidR="00A96AFF" w:rsidRPr="00DE264C">
        <w:rPr>
          <w:noProof/>
          <w:lang w:val="en-IE"/>
        </w:rPr>
        <w:t xml:space="preserve">Annex </w:t>
      </w:r>
      <w:r w:rsidR="00DB34E8" w:rsidRPr="00DE264C">
        <w:rPr>
          <w:noProof/>
          <w:lang w:val="en-IE"/>
        </w:rPr>
        <w:t>7</w:t>
      </w:r>
      <w:r w:rsidR="00090D82">
        <w:rPr>
          <w:noProof/>
          <w:lang w:val="en-IE"/>
        </w:rPr>
        <w:t>,</w:t>
      </w:r>
      <w:r w:rsidR="006B043F" w:rsidRPr="00DE264C">
        <w:rPr>
          <w:noProof/>
          <w:lang w:val="en-IE"/>
        </w:rPr>
        <w:t xml:space="preserve"> </w:t>
      </w:r>
      <w:r w:rsidR="00090D82">
        <w:rPr>
          <w:noProof/>
          <w:lang w:val="en-IE"/>
        </w:rPr>
        <w:t>s</w:t>
      </w:r>
      <w:r w:rsidR="00640640" w:rsidRPr="00DE264C">
        <w:rPr>
          <w:noProof/>
          <w:lang w:val="en-IE"/>
        </w:rPr>
        <w:t xml:space="preserve">ection </w:t>
      </w:r>
      <w:r w:rsidR="00B656B3" w:rsidRPr="00DE264C">
        <w:rPr>
          <w:noProof/>
          <w:lang w:val="en-IE"/>
        </w:rPr>
        <w:t>1.</w:t>
      </w:r>
      <w:r w:rsidR="00640640" w:rsidRPr="00DE264C">
        <w:rPr>
          <w:noProof/>
          <w:lang w:val="en-IE"/>
        </w:rPr>
        <w:t>3</w:t>
      </w:r>
      <w:r w:rsidR="00B656B3" w:rsidRPr="00DE264C">
        <w:rPr>
          <w:noProof/>
          <w:lang w:val="en-IE"/>
        </w:rPr>
        <w:t>.3</w:t>
      </w:r>
      <w:r w:rsidR="00A936D6" w:rsidRPr="00DE264C">
        <w:rPr>
          <w:noProof/>
          <w:lang w:val="en-IE"/>
        </w:rPr>
        <w:t xml:space="preserve"> </w:t>
      </w:r>
      <w:r w:rsidR="000F3412" w:rsidRPr="00DE264C">
        <w:rPr>
          <w:noProof/>
          <w:lang w:val="en-IE"/>
        </w:rPr>
        <w:t>(</w:t>
      </w:r>
      <w:r w:rsidR="00A96AFF" w:rsidRPr="00DE264C">
        <w:rPr>
          <w:noProof/>
          <w:lang w:val="en-IE"/>
        </w:rPr>
        <w:t xml:space="preserve">Table </w:t>
      </w:r>
      <w:r w:rsidR="00F10707" w:rsidRPr="00DE264C">
        <w:rPr>
          <w:noProof/>
          <w:lang w:val="en-IE"/>
        </w:rPr>
        <w:t xml:space="preserve">on </w:t>
      </w:r>
      <w:r w:rsidR="002F0E4D" w:rsidRPr="00DE264C">
        <w:rPr>
          <w:noProof/>
          <w:lang w:val="en-IE"/>
        </w:rPr>
        <w:t xml:space="preserve">satellite spectrum </w:t>
      </w:r>
      <w:r w:rsidR="00F10707" w:rsidRPr="00DE264C">
        <w:rPr>
          <w:noProof/>
          <w:lang w:val="en-IE"/>
        </w:rPr>
        <w:t>fees</w:t>
      </w:r>
      <w:r w:rsidR="00A96AFF" w:rsidRPr="00DE264C">
        <w:rPr>
          <w:noProof/>
          <w:lang w:val="en-IE"/>
        </w:rPr>
        <w:t xml:space="preserve">), that negatively affect the deployment of pan-European </w:t>
      </w:r>
      <w:r w:rsidR="000014C6" w:rsidRPr="00DE264C">
        <w:rPr>
          <w:noProof/>
          <w:lang w:val="en-IE"/>
        </w:rPr>
        <w:t xml:space="preserve">satellite </w:t>
      </w:r>
      <w:r w:rsidR="00A96AFF" w:rsidRPr="00DE264C">
        <w:rPr>
          <w:noProof/>
          <w:lang w:val="en-IE"/>
        </w:rPr>
        <w:t xml:space="preserve">services in the 2 GHz band. </w:t>
      </w:r>
    </w:p>
    <w:p w14:paraId="15A82FC2" w14:textId="43B8CC21" w:rsidR="005B122A" w:rsidRPr="003048DC" w:rsidRDefault="005B122A" w:rsidP="00BE6492">
      <w:pPr>
        <w:keepNext/>
        <w:keepLines/>
        <w:spacing w:after="120"/>
        <w:rPr>
          <w:i/>
          <w:noProof/>
          <w:u w:val="single"/>
        </w:rPr>
      </w:pPr>
      <w:r w:rsidRPr="003048DC">
        <w:rPr>
          <w:i/>
          <w:noProof/>
          <w:u w:val="single"/>
        </w:rPr>
        <w:t xml:space="preserve">Table </w:t>
      </w:r>
      <w:r w:rsidR="001034B1" w:rsidRPr="003048DC">
        <w:rPr>
          <w:i/>
          <w:noProof/>
          <w:u w:val="single"/>
        </w:rPr>
        <w:t>4</w:t>
      </w:r>
      <w:r w:rsidRPr="003048DC">
        <w:rPr>
          <w:i/>
          <w:noProof/>
          <w:u w:val="single"/>
        </w:rPr>
        <w:t>: Evaluation report findings on satellite connectivity</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2"/>
        <w:gridCol w:w="2876"/>
      </w:tblGrid>
      <w:tr w:rsidR="00C220C1" w:rsidRPr="00DE264C" w14:paraId="5CA5539D" w14:textId="77777777" w:rsidTr="005B122A">
        <w:trPr>
          <w:trHeight w:val="612"/>
          <w:tblHeader/>
        </w:trPr>
        <w:tc>
          <w:tcPr>
            <w:tcW w:w="6603" w:type="dxa"/>
          </w:tcPr>
          <w:p w14:paraId="0B2E4ACF" w14:textId="0308040D" w:rsidR="00C220C1" w:rsidRPr="00DE264C" w:rsidRDefault="00637DBC" w:rsidP="009F641D">
            <w:pPr>
              <w:pStyle w:val="Text1"/>
              <w:spacing w:after="120"/>
              <w:ind w:left="0"/>
              <w:jc w:val="center"/>
              <w:rPr>
                <w:caps/>
                <w:noProof/>
                <w:sz w:val="20"/>
              </w:rPr>
            </w:pPr>
            <w:r w:rsidRPr="00DE264C">
              <w:rPr>
                <w:caps/>
                <w:noProof/>
                <w:sz w:val="20"/>
              </w:rPr>
              <w:t xml:space="preserve">EVALUATION </w:t>
            </w:r>
            <w:r w:rsidR="00C220C1" w:rsidRPr="00DE264C">
              <w:rPr>
                <w:caps/>
                <w:noProof/>
                <w:sz w:val="20"/>
              </w:rPr>
              <w:t>findings:</w:t>
            </w:r>
          </w:p>
        </w:tc>
        <w:tc>
          <w:tcPr>
            <w:tcW w:w="2992" w:type="dxa"/>
          </w:tcPr>
          <w:p w14:paraId="222766F4" w14:textId="46D666CB" w:rsidR="00C220C1" w:rsidRPr="00DE264C" w:rsidRDefault="00C220C1" w:rsidP="009F641D">
            <w:pPr>
              <w:spacing w:after="120"/>
              <w:jc w:val="center"/>
              <w:rPr>
                <w:noProof/>
                <w:sz w:val="20"/>
                <w:szCs w:val="20"/>
              </w:rPr>
            </w:pPr>
            <w:r w:rsidRPr="00DE264C">
              <w:rPr>
                <w:noProof/>
                <w:sz w:val="20"/>
                <w:szCs w:val="20"/>
              </w:rPr>
              <w:t>ANNEX</w:t>
            </w:r>
            <w:r w:rsidR="00A54065" w:rsidRPr="00DE264C">
              <w:rPr>
                <w:noProof/>
                <w:sz w:val="20"/>
                <w:szCs w:val="20"/>
              </w:rPr>
              <w:t>ES SECTIONS</w:t>
            </w:r>
          </w:p>
        </w:tc>
      </w:tr>
      <w:tr w:rsidR="00C220C1" w:rsidRPr="00DE264C" w14:paraId="21183CE9" w14:textId="77777777" w:rsidTr="00164278">
        <w:tc>
          <w:tcPr>
            <w:tcW w:w="6603" w:type="dxa"/>
          </w:tcPr>
          <w:p w14:paraId="08CED985" w14:textId="052F24CB" w:rsidR="001F23C3" w:rsidRPr="00DE264C" w:rsidRDefault="009D5590" w:rsidP="009F641D">
            <w:pPr>
              <w:pStyle w:val="Text1"/>
              <w:spacing w:after="120"/>
              <w:ind w:left="0"/>
              <w:rPr>
                <w:noProof/>
                <w:sz w:val="20"/>
              </w:rPr>
            </w:pPr>
            <w:r w:rsidRPr="00DE264C">
              <w:rPr>
                <w:noProof/>
                <w:sz w:val="20"/>
              </w:rPr>
              <w:t>T</w:t>
            </w:r>
            <w:r w:rsidR="001F23C3" w:rsidRPr="00DE264C">
              <w:rPr>
                <w:noProof/>
                <w:sz w:val="20"/>
              </w:rPr>
              <w:t>echnical and legal obstacles to the provision of cross-border satellite services:</w:t>
            </w:r>
          </w:p>
          <w:p w14:paraId="163AC40D" w14:textId="77777777" w:rsidR="00142E13" w:rsidRPr="00DE264C" w:rsidRDefault="009D7A69" w:rsidP="009F641D">
            <w:pPr>
              <w:pStyle w:val="Text1"/>
              <w:spacing w:after="120"/>
              <w:ind w:left="0"/>
              <w:rPr>
                <w:noProof/>
                <w:sz w:val="20"/>
              </w:rPr>
            </w:pPr>
            <w:r w:rsidRPr="00DE264C">
              <w:rPr>
                <w:noProof/>
                <w:sz w:val="20"/>
              </w:rPr>
              <w:t xml:space="preserve">The spectrum framework has been ineffective </w:t>
            </w:r>
            <w:r w:rsidR="00E77613" w:rsidRPr="00DE264C">
              <w:rPr>
                <w:noProof/>
                <w:sz w:val="20"/>
              </w:rPr>
              <w:t>in ensuring a harmonized approach</w:t>
            </w:r>
            <w:r w:rsidR="00292799" w:rsidRPr="00DE264C">
              <w:rPr>
                <w:noProof/>
                <w:sz w:val="20"/>
              </w:rPr>
              <w:t xml:space="preserve"> for satellite</w:t>
            </w:r>
            <w:r w:rsidR="00422D6B" w:rsidRPr="00DE264C">
              <w:rPr>
                <w:noProof/>
                <w:sz w:val="20"/>
              </w:rPr>
              <w:t xml:space="preserve">: </w:t>
            </w:r>
            <w:r w:rsidR="00E01C90" w:rsidRPr="00DE264C">
              <w:rPr>
                <w:noProof/>
                <w:sz w:val="20"/>
              </w:rPr>
              <w:t xml:space="preserve">great variability in </w:t>
            </w:r>
          </w:p>
          <w:p w14:paraId="27A79B03" w14:textId="0FE0EE32" w:rsidR="00142E13" w:rsidRPr="00DE264C" w:rsidRDefault="00787178" w:rsidP="009D1ED7">
            <w:pPr>
              <w:pStyle w:val="Text1"/>
              <w:numPr>
                <w:ilvl w:val="0"/>
                <w:numId w:val="5"/>
              </w:numPr>
              <w:spacing w:after="120"/>
              <w:ind w:left="534" w:hanging="357"/>
              <w:contextualSpacing/>
              <w:rPr>
                <w:noProof/>
                <w:sz w:val="20"/>
              </w:rPr>
            </w:pPr>
            <w:r>
              <w:rPr>
                <w:noProof/>
                <w:sz w:val="20"/>
              </w:rPr>
              <w:t xml:space="preserve"> </w:t>
            </w:r>
            <w:r w:rsidR="00E01C90" w:rsidRPr="00DE264C">
              <w:rPr>
                <w:noProof/>
                <w:sz w:val="20"/>
              </w:rPr>
              <w:t xml:space="preserve">the </w:t>
            </w:r>
            <w:r w:rsidR="003C5052" w:rsidRPr="00DE264C">
              <w:rPr>
                <w:noProof/>
                <w:sz w:val="20"/>
              </w:rPr>
              <w:t>form</w:t>
            </w:r>
            <w:r w:rsidR="00E01C90" w:rsidRPr="00DE264C">
              <w:rPr>
                <w:noProof/>
                <w:sz w:val="20"/>
              </w:rPr>
              <w:t xml:space="preserve"> </w:t>
            </w:r>
            <w:r w:rsidR="00FC09A5" w:rsidRPr="00DE264C">
              <w:rPr>
                <w:noProof/>
                <w:sz w:val="20"/>
              </w:rPr>
              <w:t xml:space="preserve">and conditions </w:t>
            </w:r>
            <w:r w:rsidR="00E01C90" w:rsidRPr="00DE264C">
              <w:rPr>
                <w:noProof/>
                <w:sz w:val="20"/>
              </w:rPr>
              <w:t xml:space="preserve">of authorisation </w:t>
            </w:r>
            <w:r w:rsidR="003C5052" w:rsidRPr="00DE264C">
              <w:rPr>
                <w:noProof/>
                <w:sz w:val="20"/>
              </w:rPr>
              <w:t>(general authorisation or individual rights of use)</w:t>
            </w:r>
            <w:r w:rsidR="00E01C90" w:rsidRPr="00DE264C">
              <w:rPr>
                <w:noProof/>
                <w:sz w:val="20"/>
              </w:rPr>
              <w:t xml:space="preserve"> and spectrum assignment, </w:t>
            </w:r>
          </w:p>
          <w:p w14:paraId="1B164B2D" w14:textId="431EB9EC" w:rsidR="00142E13" w:rsidRPr="00DE264C" w:rsidRDefault="006E0D9D" w:rsidP="009D1ED7">
            <w:pPr>
              <w:pStyle w:val="Text1"/>
              <w:numPr>
                <w:ilvl w:val="0"/>
                <w:numId w:val="5"/>
              </w:numPr>
              <w:spacing w:after="120"/>
              <w:ind w:left="534" w:hanging="357"/>
              <w:contextualSpacing/>
              <w:rPr>
                <w:noProof/>
                <w:sz w:val="20"/>
              </w:rPr>
            </w:pPr>
            <w:r w:rsidRPr="00DE264C">
              <w:rPr>
                <w:noProof/>
                <w:sz w:val="20"/>
              </w:rPr>
              <w:t>timing of authorisation</w:t>
            </w:r>
            <w:r w:rsidR="00E01C90" w:rsidRPr="00DE264C">
              <w:rPr>
                <w:noProof/>
                <w:sz w:val="20"/>
              </w:rPr>
              <w:t xml:space="preserve">, </w:t>
            </w:r>
          </w:p>
          <w:p w14:paraId="286EC821" w14:textId="0CCF70B3" w:rsidR="00142E13" w:rsidRPr="00DE264C" w:rsidRDefault="00E01C90" w:rsidP="009D1ED7">
            <w:pPr>
              <w:pStyle w:val="Text1"/>
              <w:numPr>
                <w:ilvl w:val="0"/>
                <w:numId w:val="5"/>
              </w:numPr>
              <w:spacing w:after="120"/>
              <w:ind w:left="534" w:hanging="357"/>
              <w:contextualSpacing/>
              <w:rPr>
                <w:noProof/>
                <w:sz w:val="20"/>
              </w:rPr>
            </w:pPr>
            <w:r w:rsidRPr="00DE264C">
              <w:rPr>
                <w:noProof/>
                <w:sz w:val="20"/>
              </w:rPr>
              <w:t xml:space="preserve">the fees </w:t>
            </w:r>
            <w:r w:rsidR="001F2CD1" w:rsidRPr="00DE264C">
              <w:rPr>
                <w:noProof/>
                <w:sz w:val="20"/>
              </w:rPr>
              <w:t>charged</w:t>
            </w:r>
            <w:r w:rsidR="00FC09A5" w:rsidRPr="00DE264C">
              <w:rPr>
                <w:noProof/>
                <w:sz w:val="20"/>
              </w:rPr>
              <w:t xml:space="preserve"> (</w:t>
            </w:r>
            <w:r w:rsidR="00FC09A5" w:rsidRPr="676BC803">
              <w:rPr>
                <w:noProof/>
                <w:sz w:val="20"/>
              </w:rPr>
              <w:t>no</w:t>
            </w:r>
            <w:r w:rsidR="2BCE6B71" w:rsidRPr="676BC803">
              <w:rPr>
                <w:noProof/>
                <w:sz w:val="20"/>
              </w:rPr>
              <w:t xml:space="preserve"> </w:t>
            </w:r>
            <w:r w:rsidR="00FC09A5" w:rsidRPr="676BC803">
              <w:rPr>
                <w:noProof/>
                <w:kern w:val="12"/>
                <w:sz w:val="20"/>
              </w:rPr>
              <w:t xml:space="preserve">fees, </w:t>
            </w:r>
            <w:r w:rsidR="00FC09A5" w:rsidRPr="00DE264C">
              <w:rPr>
                <w:noProof/>
                <w:kern w:val="12"/>
                <w:sz w:val="20"/>
              </w:rPr>
              <w:t>One-time administrative/ application fee. Annual radio spectrum use</w:t>
            </w:r>
            <w:r w:rsidR="00855773">
              <w:rPr>
                <w:noProof/>
                <w:kern w:val="12"/>
                <w:sz w:val="20"/>
              </w:rPr>
              <w:t>r</w:t>
            </w:r>
            <w:r w:rsidR="00FC09A5" w:rsidRPr="00DE264C">
              <w:rPr>
                <w:noProof/>
                <w:kern w:val="12"/>
                <w:sz w:val="20"/>
              </w:rPr>
              <w:t xml:space="preserve"> fees, Fixed amount etc.)</w:t>
            </w:r>
          </w:p>
          <w:p w14:paraId="3BDD10E4" w14:textId="399B6DA0" w:rsidR="00142E13" w:rsidRPr="00DE264C" w:rsidRDefault="00C55048" w:rsidP="009D1ED7">
            <w:pPr>
              <w:pStyle w:val="Text1"/>
              <w:numPr>
                <w:ilvl w:val="0"/>
                <w:numId w:val="5"/>
              </w:numPr>
              <w:spacing w:after="120"/>
              <w:ind w:left="534" w:hanging="357"/>
              <w:contextualSpacing/>
              <w:rPr>
                <w:noProof/>
                <w:sz w:val="20"/>
              </w:rPr>
            </w:pPr>
            <w:r w:rsidRPr="00DE264C">
              <w:rPr>
                <w:noProof/>
                <w:sz w:val="20"/>
              </w:rPr>
              <w:t xml:space="preserve">inconsistent reporting obligations </w:t>
            </w:r>
            <w:r w:rsidR="00E01C90" w:rsidRPr="00DE264C">
              <w:rPr>
                <w:noProof/>
                <w:sz w:val="20"/>
              </w:rPr>
              <w:t xml:space="preserve">and </w:t>
            </w:r>
          </w:p>
          <w:p w14:paraId="6C78A27C" w14:textId="5E53993C" w:rsidR="00E01C90" w:rsidRPr="00DE264C" w:rsidRDefault="00E01C90" w:rsidP="009D1ED7">
            <w:pPr>
              <w:pStyle w:val="Text1"/>
              <w:numPr>
                <w:ilvl w:val="0"/>
                <w:numId w:val="5"/>
              </w:numPr>
              <w:spacing w:after="120"/>
              <w:ind w:left="534" w:hanging="357"/>
              <w:contextualSpacing/>
              <w:rPr>
                <w:noProof/>
                <w:sz w:val="20"/>
              </w:rPr>
            </w:pPr>
            <w:r w:rsidRPr="00DE264C">
              <w:rPr>
                <w:noProof/>
                <w:sz w:val="20"/>
              </w:rPr>
              <w:t xml:space="preserve">the </w:t>
            </w:r>
            <w:r w:rsidR="001F2CD1" w:rsidRPr="00DE264C">
              <w:rPr>
                <w:noProof/>
                <w:sz w:val="20"/>
              </w:rPr>
              <w:t>treatment</w:t>
            </w:r>
            <w:r w:rsidRPr="00DE264C">
              <w:rPr>
                <w:noProof/>
                <w:sz w:val="20"/>
              </w:rPr>
              <w:t xml:space="preserve"> of CGCs</w:t>
            </w:r>
            <w:r w:rsidR="004335B4" w:rsidRPr="00DE264C">
              <w:rPr>
                <w:noProof/>
                <w:sz w:val="20"/>
              </w:rPr>
              <w:t xml:space="preserve"> (separately or not)</w:t>
            </w:r>
            <w:r w:rsidRPr="00DE264C">
              <w:rPr>
                <w:noProof/>
                <w:sz w:val="20"/>
              </w:rPr>
              <w:t>.</w:t>
            </w:r>
          </w:p>
          <w:p w14:paraId="263F8A3E" w14:textId="1FAA6E79" w:rsidR="00C220C1" w:rsidRPr="00DF2576" w:rsidRDefault="004B0246" w:rsidP="009D1ED7">
            <w:pPr>
              <w:pStyle w:val="Text1"/>
              <w:numPr>
                <w:ilvl w:val="0"/>
                <w:numId w:val="5"/>
              </w:numPr>
              <w:spacing w:after="120"/>
              <w:ind w:left="534"/>
              <w:rPr>
                <w:noProof/>
                <w:sz w:val="20"/>
              </w:rPr>
            </w:pPr>
            <w:r>
              <w:rPr>
                <w:noProof/>
                <w:sz w:val="20"/>
              </w:rPr>
              <w:t>r</w:t>
            </w:r>
            <w:r w:rsidR="001F23C3" w:rsidRPr="00DF2576">
              <w:rPr>
                <w:noProof/>
                <w:sz w:val="20"/>
              </w:rPr>
              <w:t>isk that the service is not authorised in all M</w:t>
            </w:r>
            <w:r>
              <w:rPr>
                <w:noProof/>
                <w:sz w:val="20"/>
              </w:rPr>
              <w:t>em</w:t>
            </w:r>
            <w:r w:rsidR="00263417">
              <w:rPr>
                <w:noProof/>
                <w:sz w:val="20"/>
              </w:rPr>
              <w:t xml:space="preserve">ber </w:t>
            </w:r>
            <w:r w:rsidR="001F23C3" w:rsidRPr="00DF2576">
              <w:rPr>
                <w:noProof/>
                <w:sz w:val="20"/>
              </w:rPr>
              <w:t>S</w:t>
            </w:r>
            <w:r w:rsidR="00263417">
              <w:rPr>
                <w:noProof/>
                <w:sz w:val="20"/>
              </w:rPr>
              <w:t>tates</w:t>
            </w:r>
            <w:r w:rsidR="004335B4" w:rsidRPr="00DF2576">
              <w:rPr>
                <w:noProof/>
                <w:sz w:val="20"/>
              </w:rPr>
              <w:t>, i.e. coverage gaps</w:t>
            </w:r>
            <w:r w:rsidR="001F23C3" w:rsidRPr="00DF2576">
              <w:rPr>
                <w:noProof/>
                <w:sz w:val="20"/>
              </w:rPr>
              <w:t>.</w:t>
            </w:r>
          </w:p>
        </w:tc>
        <w:tc>
          <w:tcPr>
            <w:tcW w:w="2992" w:type="dxa"/>
          </w:tcPr>
          <w:p w14:paraId="4C13319A" w14:textId="2DE9A94A" w:rsidR="00C220C1" w:rsidRPr="00236E38" w:rsidRDefault="00815607" w:rsidP="00236E38">
            <w:pPr>
              <w:pStyle w:val="Heading6"/>
              <w:spacing w:before="0" w:after="120"/>
              <w:ind w:left="0"/>
              <w:outlineLvl w:val="5"/>
              <w:rPr>
                <w:rFonts w:ascii="Times New Roman" w:hAnsi="Times New Roman"/>
                <w:noProof/>
                <w:color w:val="auto"/>
                <w:sz w:val="20"/>
                <w:lang w:val="en-GB"/>
              </w:rPr>
            </w:pPr>
            <w:r w:rsidRPr="00CD172B">
              <w:rPr>
                <w:rFonts w:ascii="Times New Roman" w:hAnsi="Times New Roman"/>
                <w:noProof/>
                <w:color w:val="auto"/>
                <w:sz w:val="20"/>
              </w:rPr>
              <w:t xml:space="preserve">Annex </w:t>
            </w:r>
            <w:r w:rsidR="00A3209B" w:rsidRPr="00CD172B">
              <w:rPr>
                <w:rFonts w:ascii="Times New Roman" w:hAnsi="Times New Roman"/>
                <w:noProof/>
                <w:color w:val="auto"/>
                <w:sz w:val="20"/>
              </w:rPr>
              <w:t>7</w:t>
            </w:r>
            <w:r w:rsidR="0010444F">
              <w:rPr>
                <w:rFonts w:ascii="Times New Roman" w:hAnsi="Times New Roman"/>
                <w:noProof/>
                <w:color w:val="auto"/>
                <w:sz w:val="20"/>
              </w:rPr>
              <w:t>,</w:t>
            </w:r>
            <w:r w:rsidRPr="00CD172B">
              <w:rPr>
                <w:rFonts w:ascii="Times New Roman" w:hAnsi="Times New Roman"/>
                <w:noProof/>
                <w:color w:val="auto"/>
                <w:sz w:val="20"/>
              </w:rPr>
              <w:t xml:space="preserve"> </w:t>
            </w:r>
            <w:r w:rsidR="0010444F">
              <w:rPr>
                <w:rFonts w:ascii="Times New Roman" w:hAnsi="Times New Roman"/>
                <w:noProof/>
                <w:color w:val="auto"/>
                <w:sz w:val="20"/>
              </w:rPr>
              <w:t>s</w:t>
            </w:r>
            <w:r w:rsidRPr="00CD172B">
              <w:rPr>
                <w:rFonts w:ascii="Times New Roman" w:hAnsi="Times New Roman"/>
                <w:noProof/>
                <w:color w:val="auto"/>
                <w:sz w:val="20"/>
              </w:rPr>
              <w:t xml:space="preserve">ection </w:t>
            </w:r>
            <w:r w:rsidR="00D64F1F" w:rsidRPr="00CD172B">
              <w:rPr>
                <w:rFonts w:ascii="Times New Roman" w:hAnsi="Times New Roman"/>
                <w:noProof/>
                <w:color w:val="auto"/>
                <w:sz w:val="20"/>
              </w:rPr>
              <w:t>1.3.</w:t>
            </w:r>
            <w:r w:rsidR="000A05DC" w:rsidRPr="00CD172B">
              <w:rPr>
                <w:rFonts w:ascii="Times New Roman" w:hAnsi="Times New Roman"/>
                <w:noProof/>
                <w:color w:val="auto"/>
                <w:sz w:val="20"/>
              </w:rPr>
              <w:t xml:space="preserve"> </w:t>
            </w:r>
            <w:r w:rsidR="00645C1D" w:rsidRPr="006B0CE3">
              <w:rPr>
                <w:rFonts w:ascii="Times New Roman" w:hAnsi="Times New Roman"/>
                <w:noProof/>
                <w:color w:val="auto"/>
                <w:sz w:val="20"/>
              </w:rPr>
              <w:t>Barriers to the development of advanced &amp; resilient sat connectivity</w:t>
            </w:r>
          </w:p>
          <w:p w14:paraId="14EA3552" w14:textId="24D25619" w:rsidR="00942D91" w:rsidRPr="00DE264C" w:rsidRDefault="009D7A69" w:rsidP="00236E38">
            <w:pPr>
              <w:pStyle w:val="Heading6"/>
              <w:spacing w:before="0" w:after="120"/>
              <w:ind w:left="0"/>
              <w:outlineLvl w:val="5"/>
              <w:rPr>
                <w:noProof/>
                <w:sz w:val="20"/>
                <w:szCs w:val="20"/>
              </w:rPr>
            </w:pPr>
            <w:bookmarkStart w:id="57" w:name="_Toc208940857"/>
            <w:r w:rsidRPr="006B0CE3">
              <w:rPr>
                <w:rFonts w:ascii="Times New Roman" w:hAnsi="Times New Roman"/>
                <w:noProof/>
                <w:color w:val="auto"/>
                <w:sz w:val="20"/>
              </w:rPr>
              <w:t xml:space="preserve">Annex </w:t>
            </w:r>
            <w:r w:rsidR="006B043F" w:rsidRPr="006B0CE3">
              <w:rPr>
                <w:rFonts w:ascii="Times New Roman" w:hAnsi="Times New Roman"/>
                <w:noProof/>
                <w:color w:val="auto"/>
                <w:sz w:val="20"/>
              </w:rPr>
              <w:t>11</w:t>
            </w:r>
            <w:r w:rsidR="0010444F">
              <w:rPr>
                <w:rFonts w:ascii="Times New Roman" w:hAnsi="Times New Roman"/>
                <w:noProof/>
                <w:color w:val="auto"/>
                <w:sz w:val="20"/>
              </w:rPr>
              <w:t>,</w:t>
            </w:r>
            <w:r w:rsidRPr="006B0CE3">
              <w:rPr>
                <w:rFonts w:ascii="Times New Roman" w:hAnsi="Times New Roman"/>
                <w:noProof/>
                <w:color w:val="auto"/>
                <w:sz w:val="20"/>
              </w:rPr>
              <w:t xml:space="preserve"> </w:t>
            </w:r>
            <w:r w:rsidR="0010444F">
              <w:rPr>
                <w:rStyle w:val="Heading3Char"/>
                <w:rFonts w:eastAsiaTheme="majorEastAsia"/>
                <w:i w:val="0"/>
                <w:noProof/>
                <w:color w:val="auto"/>
                <w:sz w:val="20"/>
              </w:rPr>
              <w:t>se</w:t>
            </w:r>
            <w:r w:rsidRPr="00236E38">
              <w:rPr>
                <w:rStyle w:val="Heading3Char"/>
                <w:rFonts w:eastAsiaTheme="majorEastAsia"/>
                <w:i w:val="0"/>
                <w:noProof/>
                <w:color w:val="auto"/>
                <w:sz w:val="20"/>
              </w:rPr>
              <w:t xml:space="preserve">ction </w:t>
            </w:r>
            <w:r w:rsidR="00942D91" w:rsidRPr="006B0CE3">
              <w:rPr>
                <w:rStyle w:val="Heading3Char"/>
                <w:rFonts w:eastAsiaTheme="majorEastAsia"/>
                <w:i w:val="0"/>
                <w:noProof/>
                <w:color w:val="auto"/>
                <w:sz w:val="20"/>
              </w:rPr>
              <w:t>5.5.4. Supporting satellite EU-wide connectivity</w:t>
            </w:r>
            <w:bookmarkEnd w:id="57"/>
            <w:r w:rsidR="00942D91" w:rsidRPr="006B0CE3">
              <w:rPr>
                <w:rFonts w:ascii="Times New Roman" w:hAnsi="Times New Roman"/>
                <w:noProof/>
                <w:color w:val="auto"/>
                <w:sz w:val="20"/>
              </w:rPr>
              <w:t xml:space="preserve"> </w:t>
            </w:r>
            <w:r w:rsidR="00633DA6" w:rsidRPr="006B0CE3">
              <w:rPr>
                <w:rFonts w:ascii="Times New Roman" w:hAnsi="Times New Roman"/>
                <w:noProof/>
                <w:color w:val="auto"/>
                <w:sz w:val="20"/>
              </w:rPr>
              <w:t xml:space="preserve">IA </w:t>
            </w:r>
            <w:r w:rsidR="0010444F">
              <w:rPr>
                <w:rFonts w:ascii="Times New Roman" w:hAnsi="Times New Roman"/>
                <w:noProof/>
                <w:color w:val="auto"/>
                <w:sz w:val="20"/>
              </w:rPr>
              <w:t>s</w:t>
            </w:r>
            <w:r w:rsidR="0010444F" w:rsidRPr="00236E38">
              <w:rPr>
                <w:rFonts w:ascii="Times New Roman" w:hAnsi="Times New Roman"/>
                <w:noProof/>
                <w:color w:val="auto"/>
                <w:sz w:val="20"/>
              </w:rPr>
              <w:t xml:space="preserve">ection </w:t>
            </w:r>
            <w:r w:rsidR="00B5010E" w:rsidRPr="00236E38">
              <w:rPr>
                <w:rFonts w:ascii="Times New Roman" w:hAnsi="Times New Roman"/>
                <w:noProof/>
                <w:color w:val="auto"/>
                <w:sz w:val="20"/>
              </w:rPr>
              <w:t>2.2.4 on Fragmentation of spectrum authorisation conditions for satellite services</w:t>
            </w:r>
          </w:p>
          <w:p w14:paraId="6EA73E91" w14:textId="40689011" w:rsidR="00A325A2" w:rsidRPr="00DE264C" w:rsidRDefault="00A65408" w:rsidP="009F641D">
            <w:pPr>
              <w:spacing w:after="120"/>
              <w:rPr>
                <w:noProof/>
                <w:sz w:val="20"/>
                <w:szCs w:val="20"/>
              </w:rPr>
            </w:pPr>
            <w:r w:rsidRPr="00DE264C">
              <w:rPr>
                <w:rFonts w:eastAsiaTheme="minorHAnsi"/>
                <w:noProof/>
                <w:sz w:val="20"/>
                <w:szCs w:val="20"/>
              </w:rPr>
              <w:t xml:space="preserve">Annex </w:t>
            </w:r>
            <w:r w:rsidR="00374967" w:rsidRPr="00DE264C">
              <w:rPr>
                <w:rFonts w:eastAsiaTheme="minorHAnsi"/>
                <w:noProof/>
                <w:sz w:val="20"/>
                <w:szCs w:val="20"/>
              </w:rPr>
              <w:t>7</w:t>
            </w:r>
            <w:r w:rsidR="0010444F">
              <w:rPr>
                <w:rFonts w:eastAsiaTheme="minorHAnsi"/>
                <w:noProof/>
                <w:sz w:val="20"/>
                <w:szCs w:val="20"/>
              </w:rPr>
              <w:t>,</w:t>
            </w:r>
            <w:r w:rsidRPr="00DE264C">
              <w:rPr>
                <w:rFonts w:eastAsiaTheme="minorHAnsi"/>
                <w:noProof/>
                <w:sz w:val="20"/>
                <w:szCs w:val="20"/>
              </w:rPr>
              <w:t xml:space="preserve"> </w:t>
            </w:r>
            <w:r w:rsidR="00521035" w:rsidRPr="00DE264C">
              <w:rPr>
                <w:rFonts w:eastAsiaTheme="minorHAnsi"/>
                <w:noProof/>
                <w:sz w:val="20"/>
                <w:szCs w:val="20"/>
              </w:rPr>
              <w:t xml:space="preserve">section </w:t>
            </w:r>
            <w:r w:rsidR="008C599B" w:rsidRPr="00DE264C">
              <w:rPr>
                <w:rFonts w:eastAsiaTheme="minorHAnsi"/>
                <w:noProof/>
                <w:sz w:val="20"/>
                <w:szCs w:val="20"/>
              </w:rPr>
              <w:t>1.3.</w:t>
            </w:r>
            <w:r w:rsidR="00374967" w:rsidRPr="00DE264C">
              <w:rPr>
                <w:rFonts w:eastAsiaTheme="minorHAnsi"/>
                <w:noProof/>
                <w:sz w:val="20"/>
                <w:szCs w:val="20"/>
              </w:rPr>
              <w:t>3</w:t>
            </w:r>
            <w:r w:rsidR="008C599B" w:rsidRPr="00DE264C">
              <w:rPr>
                <w:rFonts w:eastAsiaTheme="minorHAnsi"/>
                <w:noProof/>
                <w:sz w:val="20"/>
                <w:szCs w:val="20"/>
              </w:rPr>
              <w:t xml:space="preserve"> </w:t>
            </w:r>
            <w:r w:rsidR="00AD5892" w:rsidRPr="00DE264C">
              <w:rPr>
                <w:rFonts w:eastAsiaTheme="minorHAnsi"/>
                <w:noProof/>
                <w:sz w:val="20"/>
                <w:szCs w:val="20"/>
              </w:rPr>
              <w:t>Fragmentation in sat authorisation</w:t>
            </w:r>
            <w:r w:rsidR="008C599B" w:rsidRPr="00DE264C">
              <w:rPr>
                <w:rFonts w:eastAsiaTheme="minorHAnsi"/>
                <w:noProof/>
                <w:sz w:val="20"/>
                <w:szCs w:val="20"/>
              </w:rPr>
              <w:t xml:space="preserve"> - </w:t>
            </w:r>
            <w:r w:rsidR="00A325A2" w:rsidRPr="00DE264C">
              <w:rPr>
                <w:rFonts w:eastAsiaTheme="minorHAnsi"/>
                <w:noProof/>
                <w:sz w:val="20"/>
                <w:szCs w:val="20"/>
              </w:rPr>
              <w:t xml:space="preserve">Table on </w:t>
            </w:r>
            <w:r w:rsidR="000C36FD" w:rsidRPr="00DE264C">
              <w:rPr>
                <w:rFonts w:eastAsiaTheme="minorHAnsi"/>
                <w:noProof/>
                <w:sz w:val="20"/>
                <w:szCs w:val="20"/>
              </w:rPr>
              <w:t xml:space="preserve">fragmentation </w:t>
            </w:r>
            <w:r w:rsidR="00A325A2" w:rsidRPr="00DE264C">
              <w:rPr>
                <w:rFonts w:eastAsiaTheme="minorHAnsi"/>
                <w:noProof/>
                <w:sz w:val="20"/>
                <w:szCs w:val="20"/>
              </w:rPr>
              <w:t>MSS Fees</w:t>
            </w:r>
          </w:p>
        </w:tc>
      </w:tr>
      <w:tr w:rsidR="00C220C1" w:rsidRPr="00BE337F" w14:paraId="1A791601" w14:textId="77777777" w:rsidTr="00164278">
        <w:tc>
          <w:tcPr>
            <w:tcW w:w="6603" w:type="dxa"/>
          </w:tcPr>
          <w:p w14:paraId="32166E12" w14:textId="412FE930" w:rsidR="00353FFA" w:rsidRPr="009F641D" w:rsidRDefault="002A6C08" w:rsidP="009F641D">
            <w:pPr>
              <w:spacing w:after="120"/>
              <w:rPr>
                <w:noProof/>
                <w:sz w:val="20"/>
              </w:rPr>
            </w:pPr>
            <w:r w:rsidRPr="009F641D">
              <w:rPr>
                <w:rFonts w:eastAsiaTheme="minorHAnsi"/>
                <w:noProof/>
                <w:sz w:val="20"/>
                <w:szCs w:val="20"/>
              </w:rPr>
              <w:t>I</w:t>
            </w:r>
            <w:r w:rsidR="001F23C3" w:rsidRPr="009F641D">
              <w:rPr>
                <w:rFonts w:eastAsiaTheme="minorHAnsi"/>
                <w:noProof/>
                <w:sz w:val="20"/>
                <w:szCs w:val="20"/>
              </w:rPr>
              <w:t xml:space="preserve">ncreasing risk of </w:t>
            </w:r>
            <w:r w:rsidR="002B18CF" w:rsidRPr="009F641D">
              <w:rPr>
                <w:rFonts w:eastAsiaTheme="minorHAnsi"/>
                <w:noProof/>
                <w:sz w:val="20"/>
                <w:szCs w:val="20"/>
              </w:rPr>
              <w:t xml:space="preserve">future </w:t>
            </w:r>
            <w:r w:rsidR="001F23C3" w:rsidRPr="009F641D">
              <w:rPr>
                <w:rFonts w:eastAsiaTheme="minorHAnsi"/>
                <w:noProof/>
                <w:sz w:val="20"/>
                <w:szCs w:val="20"/>
              </w:rPr>
              <w:t>interference that can distort competition especially if enforcement mechanisms are not effective, and do not ensure a level playing field in accessing spectrum resources leading to inefficient use of resources.</w:t>
            </w:r>
          </w:p>
        </w:tc>
        <w:tc>
          <w:tcPr>
            <w:tcW w:w="2992" w:type="dxa"/>
          </w:tcPr>
          <w:p w14:paraId="1FC088ED" w14:textId="066BAD7A" w:rsidR="00C220C1" w:rsidRPr="00BE337F" w:rsidRDefault="000415A1" w:rsidP="00236E38">
            <w:pPr>
              <w:pStyle w:val="Heading6"/>
              <w:spacing w:before="0" w:after="120"/>
              <w:ind w:left="0"/>
              <w:outlineLvl w:val="5"/>
              <w:rPr>
                <w:rFonts w:ascii="Times New Roman" w:hAnsi="Times New Roman"/>
                <w:noProof/>
                <w:color w:val="auto"/>
                <w:sz w:val="20"/>
                <w:lang w:val="fr-BE"/>
              </w:rPr>
            </w:pPr>
            <w:r w:rsidRPr="00BE337F">
              <w:rPr>
                <w:rFonts w:ascii="Times New Roman" w:hAnsi="Times New Roman"/>
                <w:noProof/>
                <w:color w:val="auto"/>
                <w:sz w:val="20"/>
                <w:lang w:val="fr-BE"/>
              </w:rPr>
              <w:t xml:space="preserve">Annex </w:t>
            </w:r>
            <w:r w:rsidR="00A3209B" w:rsidRPr="00BE337F">
              <w:rPr>
                <w:rFonts w:ascii="Times New Roman" w:hAnsi="Times New Roman"/>
                <w:noProof/>
                <w:color w:val="auto"/>
                <w:sz w:val="20"/>
                <w:lang w:val="fr-BE"/>
              </w:rPr>
              <w:t>11</w:t>
            </w:r>
            <w:r w:rsidR="0010444F" w:rsidRPr="00BE337F">
              <w:rPr>
                <w:rFonts w:ascii="Times New Roman" w:hAnsi="Times New Roman"/>
                <w:noProof/>
                <w:color w:val="auto"/>
                <w:sz w:val="20"/>
                <w:lang w:val="fr-BE"/>
              </w:rPr>
              <w:t>,</w:t>
            </w:r>
            <w:r w:rsidRPr="00BE337F">
              <w:rPr>
                <w:rFonts w:ascii="Times New Roman" w:hAnsi="Times New Roman"/>
                <w:noProof/>
                <w:color w:val="auto"/>
                <w:sz w:val="20"/>
                <w:lang w:val="fr-BE"/>
              </w:rPr>
              <w:t xml:space="preserve"> </w:t>
            </w:r>
            <w:r w:rsidR="00C8186B" w:rsidRPr="00BE337F">
              <w:rPr>
                <w:rFonts w:ascii="Times New Roman" w:hAnsi="Times New Roman"/>
                <w:noProof/>
                <w:color w:val="auto"/>
                <w:sz w:val="20"/>
                <w:lang w:val="fr-BE"/>
              </w:rPr>
              <w:t>Appendix</w:t>
            </w:r>
            <w:r w:rsidRPr="00BE337F">
              <w:rPr>
                <w:rFonts w:ascii="Times New Roman" w:hAnsi="Times New Roman"/>
                <w:noProof/>
                <w:color w:val="auto"/>
                <w:sz w:val="20"/>
                <w:lang w:val="fr-BE"/>
              </w:rPr>
              <w:t xml:space="preserve"> </w:t>
            </w:r>
            <w:r w:rsidR="00943C90" w:rsidRPr="00BE337F">
              <w:rPr>
                <w:rFonts w:ascii="Times New Roman" w:hAnsi="Times New Roman"/>
                <w:noProof/>
                <w:color w:val="auto"/>
                <w:sz w:val="20"/>
                <w:lang w:val="fr-BE"/>
              </w:rPr>
              <w:t>IIB</w:t>
            </w:r>
          </w:p>
          <w:p w14:paraId="3327D73D" w14:textId="6BEAD7DE" w:rsidR="00FD63FF" w:rsidRPr="00BE337F" w:rsidRDefault="00FD63FF" w:rsidP="009F641D">
            <w:pPr>
              <w:spacing w:after="120"/>
              <w:rPr>
                <w:noProof/>
                <w:sz w:val="20"/>
                <w:szCs w:val="20"/>
                <w:lang w:val="fr-BE"/>
              </w:rPr>
            </w:pPr>
            <w:r w:rsidRPr="00BE337F">
              <w:rPr>
                <w:noProof/>
                <w:sz w:val="20"/>
                <w:lang w:val="fr-BE"/>
              </w:rPr>
              <w:t xml:space="preserve">Annex </w:t>
            </w:r>
            <w:r w:rsidR="00A3209B" w:rsidRPr="00BE337F">
              <w:rPr>
                <w:noProof/>
                <w:sz w:val="20"/>
                <w:lang w:val="fr-BE"/>
              </w:rPr>
              <w:t>7</w:t>
            </w:r>
            <w:r w:rsidR="0010444F" w:rsidRPr="00BE337F">
              <w:rPr>
                <w:noProof/>
                <w:sz w:val="20"/>
                <w:lang w:val="fr-BE"/>
              </w:rPr>
              <w:t>,</w:t>
            </w:r>
            <w:r w:rsidR="00236263" w:rsidRPr="00BE337F">
              <w:rPr>
                <w:noProof/>
                <w:sz w:val="20"/>
                <w:lang w:val="fr-BE"/>
              </w:rPr>
              <w:t xml:space="preserve"> </w:t>
            </w:r>
            <w:r w:rsidR="0010444F" w:rsidRPr="00BE337F">
              <w:rPr>
                <w:noProof/>
                <w:sz w:val="20"/>
                <w:lang w:val="fr-BE"/>
              </w:rPr>
              <w:t>s</w:t>
            </w:r>
            <w:r w:rsidR="00236263" w:rsidRPr="00BE337F">
              <w:rPr>
                <w:noProof/>
                <w:sz w:val="20"/>
                <w:lang w:val="fr-BE"/>
              </w:rPr>
              <w:t>ection 1.3.</w:t>
            </w:r>
            <w:r w:rsidR="00C618A1" w:rsidRPr="00BE337F">
              <w:rPr>
                <w:noProof/>
                <w:sz w:val="20"/>
                <w:lang w:val="fr-BE"/>
              </w:rPr>
              <w:t>2</w:t>
            </w:r>
          </w:p>
        </w:tc>
      </w:tr>
    </w:tbl>
    <w:p w14:paraId="67F5A9DD" w14:textId="5BF9EB97" w:rsidR="005B2B47" w:rsidRPr="00DE264C" w:rsidRDefault="004941EF" w:rsidP="00C44743">
      <w:pPr>
        <w:pStyle w:val="Heading3"/>
        <w:spacing w:before="240"/>
        <w:ind w:left="709"/>
        <w:rPr>
          <w:noProof/>
          <w:lang w:val="en-IE"/>
        </w:rPr>
      </w:pPr>
      <w:bookmarkStart w:id="58" w:name="_Toc209528572"/>
      <w:bookmarkStart w:id="59" w:name="_Toc209528689"/>
      <w:bookmarkStart w:id="60" w:name="_Toc209535035"/>
      <w:bookmarkStart w:id="61" w:name="_Toc209535133"/>
      <w:bookmarkStart w:id="62" w:name="_Toc209595942"/>
      <w:bookmarkStart w:id="63" w:name="_Toc215083719"/>
      <w:bookmarkStart w:id="64" w:name="_Toc219212487"/>
      <w:bookmarkStart w:id="65" w:name="_Toc219718142"/>
      <w:bookmarkStart w:id="66" w:name="_Toc214467691"/>
      <w:bookmarkEnd w:id="56"/>
      <w:bookmarkEnd w:id="58"/>
      <w:bookmarkEnd w:id="59"/>
      <w:bookmarkEnd w:id="60"/>
      <w:bookmarkEnd w:id="61"/>
      <w:bookmarkEnd w:id="62"/>
      <w:r w:rsidRPr="006B0CE3">
        <w:rPr>
          <w:noProof/>
        </w:rPr>
        <w:t>Governance structure not fully suited to serve the requirements of the single market</w:t>
      </w:r>
      <w:bookmarkEnd w:id="63"/>
      <w:bookmarkEnd w:id="64"/>
      <w:bookmarkEnd w:id="65"/>
      <w:r w:rsidRPr="006B0CE3">
        <w:rPr>
          <w:noProof/>
        </w:rPr>
        <w:t xml:space="preserve"> </w:t>
      </w:r>
      <w:bookmarkEnd w:id="66"/>
    </w:p>
    <w:p w14:paraId="482B6105" w14:textId="7BCE5B2C" w:rsidR="003F00E5" w:rsidRPr="00DE264C" w:rsidRDefault="00B26CA4" w:rsidP="00053713">
      <w:pPr>
        <w:spacing w:line="240" w:lineRule="auto"/>
        <w:rPr>
          <w:rFonts w:eastAsia="Times New Roman"/>
          <w:noProof/>
        </w:rPr>
      </w:pPr>
      <w:r w:rsidRPr="00DE264C">
        <w:rPr>
          <w:rFonts w:eastAsia="Calibri"/>
          <w:noProof/>
        </w:rPr>
        <w:t xml:space="preserve">The evaluation </w:t>
      </w:r>
      <w:r w:rsidR="006C6CD3" w:rsidRPr="00DE264C">
        <w:rPr>
          <w:rFonts w:eastAsia="Calibri"/>
          <w:noProof/>
        </w:rPr>
        <w:t>(</w:t>
      </w:r>
      <w:r w:rsidR="00CA529A" w:rsidRPr="00DE264C">
        <w:rPr>
          <w:noProof/>
        </w:rPr>
        <w:t>Annex 11</w:t>
      </w:r>
      <w:r w:rsidR="006C6CD3" w:rsidRPr="00DE264C">
        <w:rPr>
          <w:rFonts w:eastAsia="Calibri"/>
          <w:noProof/>
        </w:rPr>
        <w:t xml:space="preserve">) </w:t>
      </w:r>
      <w:r w:rsidRPr="00DE264C">
        <w:rPr>
          <w:rFonts w:eastAsia="Calibri"/>
          <w:noProof/>
        </w:rPr>
        <w:t>show</w:t>
      </w:r>
      <w:r w:rsidR="00B11720" w:rsidRPr="00DE264C">
        <w:rPr>
          <w:rFonts w:eastAsia="Calibri"/>
          <w:noProof/>
        </w:rPr>
        <w:t>ed</w:t>
      </w:r>
      <w:r w:rsidRPr="00DE264C">
        <w:rPr>
          <w:rFonts w:eastAsia="Calibri"/>
          <w:noProof/>
        </w:rPr>
        <w:t xml:space="preserve"> that </w:t>
      </w:r>
      <w:r w:rsidR="00E045C4">
        <w:rPr>
          <w:rFonts w:eastAsia="Calibri"/>
          <w:noProof/>
        </w:rPr>
        <w:t xml:space="preserve">whilst </w:t>
      </w:r>
      <w:r w:rsidR="00720D20" w:rsidRPr="00DE264C">
        <w:rPr>
          <w:rFonts w:eastAsia="Calibri"/>
          <w:noProof/>
        </w:rPr>
        <w:t xml:space="preserve">significant progress in harmonisation has been made over time, the EU legal framework and the governance structure did not result in achieving a full Single Market in the </w:t>
      </w:r>
      <w:r w:rsidR="00695E5E" w:rsidRPr="00DE264C">
        <w:rPr>
          <w:rFonts w:eastAsia="Calibri"/>
          <w:noProof/>
        </w:rPr>
        <w:t xml:space="preserve">electronic communications </w:t>
      </w:r>
      <w:r w:rsidR="00720D20" w:rsidRPr="00DE264C">
        <w:rPr>
          <w:rFonts w:eastAsia="Calibri"/>
          <w:noProof/>
        </w:rPr>
        <w:t>sector</w:t>
      </w:r>
      <w:r w:rsidR="004103EB">
        <w:rPr>
          <w:rFonts w:eastAsia="Calibri"/>
          <w:noProof/>
        </w:rPr>
        <w:t xml:space="preserve">, and the </w:t>
      </w:r>
      <w:r w:rsidR="00720D20" w:rsidRPr="00DE264C">
        <w:rPr>
          <w:rFonts w:eastAsia="Calibri"/>
          <w:noProof/>
        </w:rPr>
        <w:t>EU is still characterised by fragmented national markets</w:t>
      </w:r>
      <w:r w:rsidR="004103EB">
        <w:rPr>
          <w:rFonts w:eastAsia="Calibri"/>
          <w:noProof/>
        </w:rPr>
        <w:t>.</w:t>
      </w:r>
      <w:r w:rsidR="0015795C" w:rsidRPr="00DE264C">
        <w:rPr>
          <w:rFonts w:eastAsia="Calibri"/>
          <w:noProof/>
        </w:rPr>
        <w:t xml:space="preserve"> </w:t>
      </w:r>
      <w:r w:rsidR="25EF664A" w:rsidRPr="00DE264C">
        <w:rPr>
          <w:rFonts w:eastAsia="Times New Roman"/>
          <w:noProof/>
        </w:rPr>
        <w:t xml:space="preserve"> </w:t>
      </w:r>
    </w:p>
    <w:p w14:paraId="50912DA9" w14:textId="54330543" w:rsidR="00720D20" w:rsidRPr="00DE264C" w:rsidRDefault="00720D20" w:rsidP="00053713">
      <w:pPr>
        <w:spacing w:line="240" w:lineRule="auto"/>
        <w:rPr>
          <w:rFonts w:eastAsia="Times New Roman"/>
          <w:noProof/>
        </w:rPr>
      </w:pPr>
      <w:r w:rsidRPr="00DE264C">
        <w:rPr>
          <w:rFonts w:eastAsia="Times New Roman"/>
          <w:noProof/>
        </w:rPr>
        <w:t xml:space="preserve">The articulation of competences and roles of </w:t>
      </w:r>
      <w:r w:rsidR="00412492" w:rsidRPr="00DE264C">
        <w:rPr>
          <w:rFonts w:eastAsia="Times New Roman"/>
          <w:noProof/>
        </w:rPr>
        <w:t xml:space="preserve">the </w:t>
      </w:r>
      <w:r w:rsidR="001B1BBD" w:rsidRPr="00DE264C">
        <w:rPr>
          <w:rFonts w:eastAsia="Times New Roman"/>
          <w:noProof/>
        </w:rPr>
        <w:t>actors involved in the governance system</w:t>
      </w:r>
      <w:r w:rsidR="00CC55D6">
        <w:rPr>
          <w:rFonts w:eastAsia="Times New Roman"/>
          <w:noProof/>
        </w:rPr>
        <w:t xml:space="preserve"> (</w:t>
      </w:r>
      <w:r w:rsidR="00F856B9" w:rsidRPr="00DE264C">
        <w:rPr>
          <w:rFonts w:eastAsia="Times New Roman"/>
          <w:noProof/>
        </w:rPr>
        <w:t>the European</w:t>
      </w:r>
      <w:r w:rsidR="00412492" w:rsidRPr="00DE264C">
        <w:rPr>
          <w:rFonts w:eastAsia="Times New Roman"/>
          <w:noProof/>
        </w:rPr>
        <w:t xml:space="preserve"> Commission, </w:t>
      </w:r>
      <w:r w:rsidRPr="00DE264C">
        <w:rPr>
          <w:rFonts w:eastAsia="Times New Roman"/>
          <w:noProof/>
        </w:rPr>
        <w:t xml:space="preserve">NRAs, </w:t>
      </w:r>
      <w:r w:rsidR="000335E3" w:rsidRPr="00DE264C">
        <w:rPr>
          <w:rFonts w:eastAsia="Times New Roman"/>
          <w:noProof/>
        </w:rPr>
        <w:t xml:space="preserve">and other competent authorities for </w:t>
      </w:r>
      <w:r w:rsidRPr="00DE264C">
        <w:rPr>
          <w:rFonts w:eastAsia="Times New Roman"/>
          <w:noProof/>
        </w:rPr>
        <w:t>spectrum</w:t>
      </w:r>
      <w:r w:rsidR="000335E3" w:rsidRPr="00DE264C">
        <w:rPr>
          <w:rFonts w:eastAsia="Times New Roman"/>
          <w:noProof/>
        </w:rPr>
        <w:t xml:space="preserve"> and other specific areas,</w:t>
      </w:r>
      <w:r w:rsidRPr="00DE264C">
        <w:rPr>
          <w:rFonts w:eastAsia="Times New Roman"/>
          <w:noProof/>
        </w:rPr>
        <w:t xml:space="preserve"> BEREC, </w:t>
      </w:r>
      <w:r w:rsidR="00FF16A6" w:rsidRPr="00DE264C">
        <w:rPr>
          <w:rFonts w:eastAsia="Times New Roman"/>
          <w:noProof/>
        </w:rPr>
        <w:t xml:space="preserve">and </w:t>
      </w:r>
      <w:r w:rsidRPr="00DE264C">
        <w:rPr>
          <w:rFonts w:eastAsia="Times New Roman"/>
          <w:noProof/>
        </w:rPr>
        <w:t>RSPG</w:t>
      </w:r>
      <w:r w:rsidR="00CC55D6">
        <w:rPr>
          <w:rFonts w:eastAsia="Times New Roman"/>
          <w:noProof/>
        </w:rPr>
        <w:t>)</w:t>
      </w:r>
      <w:r w:rsidRPr="00DE264C">
        <w:rPr>
          <w:rFonts w:eastAsia="Times New Roman"/>
          <w:noProof/>
        </w:rPr>
        <w:t xml:space="preserve"> is </w:t>
      </w:r>
      <w:r w:rsidR="00084D94" w:rsidRPr="00DE264C">
        <w:rPr>
          <w:rFonts w:eastAsia="Times New Roman"/>
          <w:noProof/>
        </w:rPr>
        <w:t>complex</w:t>
      </w:r>
      <w:r w:rsidR="00084D94" w:rsidRPr="00DE264C" w:rsidDel="006F364C">
        <w:rPr>
          <w:rFonts w:eastAsia="Times New Roman"/>
          <w:noProof/>
        </w:rPr>
        <w:t xml:space="preserve">, </w:t>
      </w:r>
      <w:r w:rsidRPr="00DE264C">
        <w:rPr>
          <w:rFonts w:eastAsia="Times New Roman"/>
          <w:noProof/>
        </w:rPr>
        <w:t>not sufficiently clear for stakeholder</w:t>
      </w:r>
      <w:r w:rsidRPr="00DE264C" w:rsidDel="0090003D">
        <w:rPr>
          <w:rFonts w:eastAsia="Times New Roman"/>
          <w:noProof/>
        </w:rPr>
        <w:t>s</w:t>
      </w:r>
      <w:r w:rsidR="00B315B7" w:rsidRPr="00DE264C">
        <w:rPr>
          <w:rFonts w:eastAsia="Times New Roman"/>
          <w:noProof/>
        </w:rPr>
        <w:t xml:space="preserve">, </w:t>
      </w:r>
      <w:r w:rsidR="006F364C" w:rsidRPr="00DE264C">
        <w:rPr>
          <w:rFonts w:eastAsia="Times New Roman"/>
          <w:noProof/>
        </w:rPr>
        <w:t xml:space="preserve">and not fully suited to support </w:t>
      </w:r>
      <w:r w:rsidR="00794C0B" w:rsidRPr="00DE264C">
        <w:rPr>
          <w:rFonts w:eastAsia="Times New Roman"/>
          <w:noProof/>
        </w:rPr>
        <w:t xml:space="preserve">the Single Market. </w:t>
      </w:r>
      <w:r w:rsidR="00051B7D" w:rsidRPr="00DE264C">
        <w:rPr>
          <w:rFonts w:eastAsia="Times New Roman"/>
          <w:noProof/>
          <w:lang w:val="en-IE"/>
        </w:rPr>
        <w:t>While all institutional actors pursue the general objectives as set out in Article</w:t>
      </w:r>
      <w:r w:rsidR="00A907F2">
        <w:rPr>
          <w:rFonts w:eastAsia="Times New Roman"/>
          <w:noProof/>
          <w:lang w:val="en-IE"/>
        </w:rPr>
        <w:t> </w:t>
      </w:r>
      <w:r w:rsidR="00051B7D" w:rsidRPr="00DE264C">
        <w:rPr>
          <w:rFonts w:eastAsia="Times New Roman"/>
          <w:noProof/>
          <w:lang w:val="en-IE"/>
        </w:rPr>
        <w:t xml:space="preserve">3 EECC, BEREC was established to ensure greater harmonisation of practices among the NRAs, promote an effective internal market in this sector, and act as an exclusive forum for cooperation among NRAs, and between </w:t>
      </w:r>
      <w:r w:rsidR="0086520C" w:rsidRPr="00DE264C">
        <w:rPr>
          <w:rFonts w:eastAsia="Times New Roman"/>
          <w:noProof/>
          <w:lang w:val="en-IE"/>
        </w:rPr>
        <w:t xml:space="preserve">them and </w:t>
      </w:r>
      <w:r w:rsidR="00051B7D" w:rsidRPr="00DE264C">
        <w:rPr>
          <w:rFonts w:eastAsia="Times New Roman"/>
          <w:noProof/>
          <w:lang w:val="en-IE"/>
        </w:rPr>
        <w:t>the Commission. Moreover, according to Article</w:t>
      </w:r>
      <w:r w:rsidR="00A907F2">
        <w:rPr>
          <w:rFonts w:eastAsia="Times New Roman"/>
          <w:noProof/>
          <w:lang w:val="en-IE"/>
        </w:rPr>
        <w:t> </w:t>
      </w:r>
      <w:r w:rsidR="00051B7D" w:rsidRPr="00DE264C">
        <w:rPr>
          <w:rFonts w:eastAsia="Times New Roman"/>
          <w:noProof/>
          <w:lang w:val="en-IE"/>
        </w:rPr>
        <w:t xml:space="preserve">3 of the BEREC Regulation, BEREC must ensure </w:t>
      </w:r>
      <w:r w:rsidR="76D62A51" w:rsidRPr="7AC71608">
        <w:rPr>
          <w:rFonts w:eastAsia="Times New Roman"/>
          <w:noProof/>
          <w:lang w:val="en-IE"/>
        </w:rPr>
        <w:t>a</w:t>
      </w:r>
      <w:r w:rsidR="00051B7D" w:rsidRPr="00DE264C">
        <w:rPr>
          <w:rFonts w:eastAsia="Times New Roman"/>
          <w:noProof/>
          <w:lang w:val="en-IE"/>
        </w:rPr>
        <w:t xml:space="preserve"> consistent implementation of the regulatory framework for electronic communications</w:t>
      </w:r>
      <w:r w:rsidR="00F3349A" w:rsidRPr="00DE264C">
        <w:rPr>
          <w:rStyle w:val="FootnoteReference"/>
          <w:rFonts w:eastAsia="Times New Roman"/>
          <w:noProof/>
          <w:lang w:val="en-IE"/>
        </w:rPr>
        <w:footnoteReference w:id="67"/>
      </w:r>
      <w:r w:rsidR="00051B7D" w:rsidRPr="00DE264C">
        <w:rPr>
          <w:rFonts w:eastAsia="Times New Roman"/>
          <w:noProof/>
          <w:lang w:val="en-IE"/>
        </w:rPr>
        <w:t xml:space="preserve">. </w:t>
      </w:r>
    </w:p>
    <w:p w14:paraId="67D4ABA4" w14:textId="3E91B8BE" w:rsidR="00720D20" w:rsidRPr="006B0CE3" w:rsidRDefault="00CC55D6" w:rsidP="00053713">
      <w:pPr>
        <w:spacing w:line="240" w:lineRule="auto"/>
        <w:rPr>
          <w:noProof/>
          <w:lang w:val="en-IE"/>
        </w:rPr>
      </w:pPr>
      <w:r>
        <w:rPr>
          <w:rFonts w:eastAsia="Times New Roman"/>
          <w:noProof/>
          <w:lang w:val="en-IE"/>
        </w:rPr>
        <w:t xml:space="preserve">As the results of evaluation show, </w:t>
      </w:r>
      <w:r w:rsidR="00720D20" w:rsidRPr="00DE264C">
        <w:rPr>
          <w:rFonts w:eastAsia="Times New Roman"/>
          <w:noProof/>
          <w:lang w:val="en-IE"/>
        </w:rPr>
        <w:t xml:space="preserve">BEREC remains a platform for coordination among NRAs, </w:t>
      </w:r>
      <w:r w:rsidR="00A11A8A" w:rsidRPr="00DE264C">
        <w:rPr>
          <w:rFonts w:eastAsia="Times New Roman"/>
          <w:noProof/>
          <w:lang w:val="en-IE"/>
        </w:rPr>
        <w:t>but</w:t>
      </w:r>
      <w:r w:rsidR="00720D20" w:rsidRPr="00DE264C">
        <w:rPr>
          <w:rFonts w:eastAsia="Times New Roman"/>
          <w:noProof/>
          <w:lang w:val="en-IE"/>
        </w:rPr>
        <w:t xml:space="preserve"> </w:t>
      </w:r>
      <w:r w:rsidR="001D5AC8" w:rsidRPr="00DE264C">
        <w:rPr>
          <w:rFonts w:eastAsia="Times New Roman"/>
          <w:noProof/>
          <w:lang w:val="en-IE"/>
        </w:rPr>
        <w:t xml:space="preserve">while </w:t>
      </w:r>
      <w:r w:rsidR="00720D20" w:rsidRPr="00DE264C">
        <w:rPr>
          <w:rFonts w:eastAsia="Times New Roman"/>
          <w:noProof/>
          <w:lang w:val="en-IE"/>
        </w:rPr>
        <w:t>it strives to achieve a common EU approach</w:t>
      </w:r>
      <w:r w:rsidR="001D5AC8" w:rsidRPr="00DE264C">
        <w:rPr>
          <w:rFonts w:eastAsia="Times New Roman"/>
          <w:noProof/>
          <w:lang w:val="en-IE"/>
        </w:rPr>
        <w:t>,</w:t>
      </w:r>
      <w:r w:rsidR="00720D20" w:rsidRPr="00DE264C">
        <w:rPr>
          <w:rFonts w:eastAsia="Times New Roman"/>
          <w:noProof/>
          <w:lang w:val="en-IE"/>
        </w:rPr>
        <w:t xml:space="preserve"> </w:t>
      </w:r>
      <w:r w:rsidR="001D5AC8" w:rsidRPr="00DE264C">
        <w:rPr>
          <w:rFonts w:eastAsia="Times New Roman"/>
          <w:noProof/>
          <w:lang w:val="en-IE"/>
        </w:rPr>
        <w:t xml:space="preserve">its </w:t>
      </w:r>
      <w:r w:rsidR="00720D20" w:rsidRPr="00DE264C">
        <w:rPr>
          <w:rFonts w:eastAsia="Times New Roman"/>
          <w:noProof/>
          <w:lang w:val="en-IE"/>
        </w:rPr>
        <w:t xml:space="preserve">positions </w:t>
      </w:r>
      <w:r w:rsidR="00483840" w:rsidRPr="00DE264C">
        <w:rPr>
          <w:rFonts w:eastAsia="Times New Roman"/>
          <w:noProof/>
          <w:lang w:val="en-IE"/>
        </w:rPr>
        <w:t xml:space="preserve">in some cases </w:t>
      </w:r>
      <w:r w:rsidR="00720D20" w:rsidRPr="00DE264C">
        <w:rPr>
          <w:rFonts w:eastAsia="Times New Roman"/>
          <w:noProof/>
          <w:lang w:val="en-IE"/>
        </w:rPr>
        <w:t>remain influenced by national perspectives</w:t>
      </w:r>
      <w:r w:rsidR="001D5AC8" w:rsidRPr="00DE264C">
        <w:rPr>
          <w:rFonts w:eastAsia="Times New Roman"/>
          <w:noProof/>
          <w:lang w:val="en-IE"/>
        </w:rPr>
        <w:t xml:space="preserve">. Consequently, </w:t>
      </w:r>
      <w:r w:rsidR="00D03610" w:rsidRPr="00DE264C">
        <w:rPr>
          <w:rFonts w:eastAsia="Times New Roman"/>
          <w:noProof/>
          <w:lang w:val="en-IE"/>
        </w:rPr>
        <w:t xml:space="preserve">its outputs often </w:t>
      </w:r>
      <w:r w:rsidR="00720D20" w:rsidRPr="00DE264C">
        <w:rPr>
          <w:rFonts w:eastAsia="Times New Roman"/>
          <w:noProof/>
          <w:lang w:val="en-IE"/>
        </w:rPr>
        <w:t xml:space="preserve">leave space for inconsistent implementation of the regulatory framework, diminishing </w:t>
      </w:r>
      <w:r w:rsidR="00483840" w:rsidRPr="00DE264C">
        <w:rPr>
          <w:rFonts w:eastAsia="Times New Roman"/>
          <w:noProof/>
          <w:lang w:val="en-IE"/>
        </w:rPr>
        <w:t>their</w:t>
      </w:r>
      <w:r w:rsidR="00720D20" w:rsidRPr="00DE264C">
        <w:rPr>
          <w:rFonts w:eastAsia="Times New Roman"/>
          <w:noProof/>
          <w:lang w:val="en-IE"/>
        </w:rPr>
        <w:t xml:space="preserve"> impact on harmonisation of rules for the internal market</w:t>
      </w:r>
      <w:r w:rsidR="00720D20" w:rsidRPr="00DE264C">
        <w:rPr>
          <w:rFonts w:eastAsia="Times New Roman"/>
          <w:noProof/>
          <w:vertAlign w:val="superscript"/>
          <w:lang w:val="en-IE"/>
        </w:rPr>
        <w:footnoteReference w:id="68"/>
      </w:r>
      <w:r w:rsidR="00720D20" w:rsidRPr="00DE264C">
        <w:rPr>
          <w:rFonts w:eastAsia="Times New Roman"/>
          <w:noProof/>
          <w:lang w:val="en-IE"/>
        </w:rPr>
        <w:t xml:space="preserve">. </w:t>
      </w:r>
      <w:r w:rsidR="00BA6004" w:rsidRPr="00DE264C">
        <w:rPr>
          <w:rFonts w:eastAsia="Times New Roman"/>
          <w:noProof/>
          <w:lang w:val="en-IE"/>
        </w:rPr>
        <w:t xml:space="preserve">For example, although the electronic communication networks and services are provided under </w:t>
      </w:r>
      <w:r w:rsidR="7FE0E304" w:rsidRPr="7AC71608">
        <w:rPr>
          <w:rFonts w:eastAsia="Times New Roman"/>
          <w:noProof/>
        </w:rPr>
        <w:t>GA</w:t>
      </w:r>
      <w:r w:rsidR="00BA6004" w:rsidRPr="00DE264C">
        <w:rPr>
          <w:rFonts w:eastAsia="Times New Roman"/>
          <w:noProof/>
          <w:lang w:val="en-IE"/>
        </w:rPr>
        <w:t>, i.e.</w:t>
      </w:r>
      <w:r w:rsidR="00CA38B4">
        <w:rPr>
          <w:rFonts w:eastAsia="Times New Roman"/>
          <w:noProof/>
          <w:lang w:val="en-IE"/>
        </w:rPr>
        <w:t>,</w:t>
      </w:r>
      <w:r w:rsidR="00BA6004" w:rsidRPr="00DE264C">
        <w:rPr>
          <w:rFonts w:eastAsia="Times New Roman"/>
          <w:noProof/>
          <w:lang w:val="en-IE"/>
        </w:rPr>
        <w:t xml:space="preserve"> without prior authorisation, the </w:t>
      </w:r>
      <w:r w:rsidR="44535C65" w:rsidRPr="7AC71608">
        <w:rPr>
          <w:rFonts w:eastAsia="Times New Roman"/>
          <w:noProof/>
          <w:lang w:val="en-IE"/>
        </w:rPr>
        <w:t xml:space="preserve">GA </w:t>
      </w:r>
      <w:r w:rsidR="00BA6004" w:rsidRPr="00DE264C">
        <w:rPr>
          <w:rFonts w:eastAsia="Times New Roman"/>
          <w:noProof/>
          <w:lang w:val="en-IE"/>
        </w:rPr>
        <w:t>notification template</w:t>
      </w:r>
      <w:r w:rsidR="003831F8" w:rsidRPr="00DE264C">
        <w:rPr>
          <w:rFonts w:eastAsia="Times New Roman"/>
          <w:noProof/>
          <w:lang w:val="en-IE"/>
        </w:rPr>
        <w:t>s</w:t>
      </w:r>
      <w:r w:rsidR="00BA6004" w:rsidRPr="00DE264C">
        <w:rPr>
          <w:rFonts w:eastAsia="Times New Roman"/>
          <w:noProof/>
          <w:lang w:val="en-IE"/>
        </w:rPr>
        <w:t xml:space="preserve"> differ significantly</w:t>
      </w:r>
      <w:r w:rsidR="00BA6004" w:rsidRPr="00DE264C">
        <w:rPr>
          <w:rStyle w:val="FootnoteReference"/>
          <w:rFonts w:eastAsia="Times New Roman"/>
          <w:noProof/>
          <w:lang w:val="en-IE"/>
        </w:rPr>
        <w:footnoteReference w:id="69"/>
      </w:r>
      <w:r w:rsidR="00BA6004" w:rsidRPr="00DE264C">
        <w:rPr>
          <w:rFonts w:eastAsia="Times New Roman"/>
          <w:noProof/>
          <w:lang w:val="en-IE"/>
        </w:rPr>
        <w:t xml:space="preserve">. </w:t>
      </w:r>
      <w:r w:rsidR="00DB4D1F" w:rsidRPr="00DE264C">
        <w:rPr>
          <w:rFonts w:eastAsia="Times New Roman"/>
          <w:noProof/>
          <w:lang w:val="en-IE"/>
        </w:rPr>
        <w:t>In some cases,</w:t>
      </w:r>
      <w:r w:rsidR="00720D20" w:rsidRPr="00DE264C">
        <w:rPr>
          <w:rFonts w:eastAsia="Times New Roman"/>
          <w:noProof/>
          <w:lang w:val="en-IE"/>
        </w:rPr>
        <w:t xml:space="preserve"> consensual elaboration and adoption </w:t>
      </w:r>
      <w:r w:rsidR="00236412" w:rsidRPr="00DE264C">
        <w:rPr>
          <w:rFonts w:eastAsia="Times New Roman"/>
          <w:noProof/>
          <w:lang w:val="en-IE"/>
        </w:rPr>
        <w:t>of</w:t>
      </w:r>
      <w:r w:rsidR="00720D20" w:rsidRPr="00DE264C">
        <w:rPr>
          <w:rFonts w:eastAsia="Times New Roman"/>
          <w:noProof/>
          <w:lang w:val="en-IE"/>
        </w:rPr>
        <w:t xml:space="preserve"> </w:t>
      </w:r>
      <w:r w:rsidR="00B24F23" w:rsidRPr="00DE264C">
        <w:rPr>
          <w:rFonts w:eastAsia="Times New Roman"/>
          <w:noProof/>
          <w:lang w:val="en-IE"/>
        </w:rPr>
        <w:t>BEREC</w:t>
      </w:r>
      <w:r w:rsidR="00720D20" w:rsidRPr="00DE264C">
        <w:rPr>
          <w:rFonts w:eastAsia="Times New Roman"/>
          <w:noProof/>
          <w:lang w:val="en-IE"/>
        </w:rPr>
        <w:t xml:space="preserve"> guidelines </w:t>
      </w:r>
      <w:r w:rsidR="30EC1857" w:rsidRPr="7AC71608">
        <w:rPr>
          <w:rFonts w:eastAsia="Times New Roman"/>
          <w:noProof/>
          <w:lang w:val="en-IE"/>
        </w:rPr>
        <w:t>on GA conditions and GA not</w:t>
      </w:r>
      <w:r w:rsidR="6669AD8D" w:rsidRPr="7AC71608">
        <w:rPr>
          <w:rFonts w:eastAsia="Times New Roman"/>
          <w:noProof/>
        </w:rPr>
        <w:t>i</w:t>
      </w:r>
      <w:r w:rsidR="30EC1857" w:rsidRPr="7AC71608">
        <w:rPr>
          <w:rFonts w:eastAsia="Times New Roman"/>
          <w:noProof/>
          <w:lang w:val="en-IE"/>
        </w:rPr>
        <w:t>fication template</w:t>
      </w:r>
      <w:r w:rsidR="048704DD" w:rsidRPr="7AC71608">
        <w:rPr>
          <w:rFonts w:eastAsia="Times New Roman"/>
          <w:noProof/>
          <w:lang w:val="en-IE"/>
        </w:rPr>
        <w:t xml:space="preserve">s </w:t>
      </w:r>
      <w:r w:rsidR="00720D20" w:rsidRPr="00DE264C">
        <w:rPr>
          <w:rFonts w:eastAsia="Times New Roman"/>
          <w:noProof/>
          <w:lang w:val="en-IE"/>
        </w:rPr>
        <w:t xml:space="preserve">or common positions result in </w:t>
      </w:r>
      <w:r w:rsidR="00DB4D1F" w:rsidRPr="00DE264C">
        <w:rPr>
          <w:rFonts w:eastAsia="Times New Roman"/>
          <w:noProof/>
          <w:lang w:val="en-IE"/>
        </w:rPr>
        <w:t xml:space="preserve">either </w:t>
      </w:r>
      <w:r w:rsidR="001C3B30" w:rsidRPr="00DE264C">
        <w:rPr>
          <w:rFonts w:eastAsia="Times New Roman"/>
          <w:noProof/>
          <w:lang w:val="en-IE"/>
        </w:rPr>
        <w:t xml:space="preserve">guidance that is </w:t>
      </w:r>
      <w:r w:rsidR="21218157" w:rsidRPr="7AC71608">
        <w:rPr>
          <w:rFonts w:eastAsia="Times New Roman"/>
          <w:noProof/>
          <w:lang w:val="en-IE"/>
        </w:rPr>
        <w:t xml:space="preserve">either </w:t>
      </w:r>
      <w:r w:rsidR="00914DB7" w:rsidRPr="00DE264C">
        <w:rPr>
          <w:rFonts w:eastAsia="Times New Roman"/>
          <w:noProof/>
          <w:lang w:val="en-IE"/>
        </w:rPr>
        <w:t>overly</w:t>
      </w:r>
      <w:r w:rsidR="00DB4D1F" w:rsidRPr="00DE264C">
        <w:rPr>
          <w:rFonts w:eastAsia="Times New Roman"/>
          <w:noProof/>
          <w:lang w:val="en-IE"/>
        </w:rPr>
        <w:t xml:space="preserve"> </w:t>
      </w:r>
      <w:r w:rsidR="00720D20" w:rsidRPr="00DE264C">
        <w:rPr>
          <w:rFonts w:eastAsia="Times New Roman"/>
          <w:noProof/>
          <w:lang w:val="en-IE"/>
        </w:rPr>
        <w:t>complex</w:t>
      </w:r>
      <w:r w:rsidR="00DB4D1F" w:rsidRPr="00DE264C">
        <w:rPr>
          <w:rFonts w:eastAsia="Times New Roman"/>
          <w:noProof/>
          <w:lang w:val="en-IE"/>
        </w:rPr>
        <w:t>, or too general and not specific</w:t>
      </w:r>
      <w:r w:rsidR="00F42D3C" w:rsidRPr="00DE264C">
        <w:rPr>
          <w:rFonts w:eastAsia="Times New Roman"/>
          <w:noProof/>
          <w:lang w:val="en-IE"/>
        </w:rPr>
        <w:t xml:space="preserve"> enough</w:t>
      </w:r>
      <w:r w:rsidR="00380EF9" w:rsidRPr="00DE264C">
        <w:rPr>
          <w:rStyle w:val="FootnoteReference"/>
          <w:rFonts w:eastAsia="Times New Roman"/>
          <w:noProof/>
          <w:lang w:val="en-IE"/>
        </w:rPr>
        <w:footnoteReference w:id="70"/>
      </w:r>
      <w:r w:rsidR="002003F8">
        <w:rPr>
          <w:rFonts w:eastAsia="Times New Roman"/>
          <w:noProof/>
          <w:lang w:val="en-IE"/>
        </w:rPr>
        <w:t>.</w:t>
      </w:r>
      <w:r w:rsidR="00720D20" w:rsidRPr="00DE264C" w:rsidDel="002003F8">
        <w:rPr>
          <w:rFonts w:eastAsia="Times New Roman"/>
          <w:noProof/>
          <w:lang w:val="en-IE"/>
        </w:rPr>
        <w:t xml:space="preserve"> </w:t>
      </w:r>
      <w:r w:rsidR="006C22A2">
        <w:rPr>
          <w:rFonts w:eastAsia="Times New Roman"/>
          <w:noProof/>
          <w:lang w:val="en-IE"/>
        </w:rPr>
        <w:t>T</w:t>
      </w:r>
      <w:r w:rsidR="438AEDA2" w:rsidRPr="00DE264C">
        <w:rPr>
          <w:rFonts w:eastAsia="Times New Roman"/>
          <w:noProof/>
          <w:lang w:val="en-IE"/>
        </w:rPr>
        <w:t>he BEREC Office has only administrative/support functions</w:t>
      </w:r>
      <w:r w:rsidR="006E4C83">
        <w:rPr>
          <w:rFonts w:eastAsia="Times New Roman"/>
          <w:noProof/>
          <w:lang w:val="en-IE"/>
        </w:rPr>
        <w:t>,</w:t>
      </w:r>
      <w:r w:rsidR="438AEDA2" w:rsidRPr="00DE264C">
        <w:rPr>
          <w:rFonts w:eastAsia="Times New Roman"/>
          <w:noProof/>
          <w:lang w:val="en-IE"/>
        </w:rPr>
        <w:t xml:space="preserve"> </w:t>
      </w:r>
      <w:r w:rsidR="00B2567E">
        <w:rPr>
          <w:rFonts w:eastAsia="Times New Roman"/>
          <w:noProof/>
          <w:lang w:val="en-IE"/>
        </w:rPr>
        <w:t xml:space="preserve">and hence </w:t>
      </w:r>
      <w:r w:rsidR="438AEDA2" w:rsidRPr="00DE264C">
        <w:rPr>
          <w:rFonts w:eastAsia="Times New Roman"/>
          <w:noProof/>
          <w:lang w:val="en-IE"/>
        </w:rPr>
        <w:t>its potential to provide more support on substantial matter</w:t>
      </w:r>
      <w:r w:rsidR="007B622A">
        <w:rPr>
          <w:rFonts w:eastAsia="Times New Roman"/>
          <w:noProof/>
          <w:lang w:val="en-IE"/>
        </w:rPr>
        <w:t>s</w:t>
      </w:r>
      <w:r w:rsidR="006E4C83">
        <w:rPr>
          <w:rFonts w:eastAsia="Times New Roman"/>
          <w:noProof/>
          <w:lang w:val="en-IE"/>
        </w:rPr>
        <w:t>,</w:t>
      </w:r>
      <w:r w:rsidR="438AEDA2" w:rsidRPr="00DE264C">
        <w:rPr>
          <w:rFonts w:eastAsia="Times New Roman"/>
          <w:noProof/>
          <w:lang w:val="en-IE"/>
        </w:rPr>
        <w:t xml:space="preserve"> injecting thus a more neutral position in the development of B</w:t>
      </w:r>
      <w:r w:rsidR="00DE63DE">
        <w:rPr>
          <w:rFonts w:eastAsia="Times New Roman"/>
          <w:noProof/>
          <w:lang w:val="en-IE"/>
        </w:rPr>
        <w:t>EREC</w:t>
      </w:r>
      <w:r w:rsidR="438AEDA2" w:rsidRPr="00DE264C">
        <w:rPr>
          <w:rFonts w:eastAsia="Times New Roman"/>
          <w:noProof/>
          <w:lang w:val="en-IE"/>
        </w:rPr>
        <w:t xml:space="preserve"> preparatory work, remains underutilised as it is the smallest EU decentralised agency (yet with staff overru</w:t>
      </w:r>
      <w:r w:rsidR="66E45CE2" w:rsidRPr="00DE264C">
        <w:rPr>
          <w:rFonts w:eastAsia="Times New Roman"/>
          <w:noProof/>
          <w:lang w:val="en-IE"/>
        </w:rPr>
        <w:t>n</w:t>
      </w:r>
      <w:r w:rsidR="438AEDA2" w:rsidRPr="00DE264C">
        <w:rPr>
          <w:rFonts w:eastAsia="Times New Roman"/>
          <w:noProof/>
          <w:lang w:val="en-IE"/>
        </w:rPr>
        <w:t>n</w:t>
      </w:r>
      <w:r w:rsidR="000F1AFB" w:rsidRPr="00DE264C">
        <w:rPr>
          <w:rFonts w:eastAsia="Times New Roman"/>
          <w:noProof/>
          <w:lang w:val="en-IE"/>
        </w:rPr>
        <w:t>ing</w:t>
      </w:r>
      <w:r w:rsidR="438AEDA2" w:rsidRPr="00DE264C">
        <w:rPr>
          <w:rFonts w:eastAsia="Times New Roman"/>
          <w:noProof/>
          <w:lang w:val="en-IE"/>
        </w:rPr>
        <w:t xml:space="preserve"> the authorised budgetary levels).</w:t>
      </w:r>
    </w:p>
    <w:p w14:paraId="66A72327" w14:textId="2AC8AAC3" w:rsidR="00DF0B83" w:rsidRPr="00DE264C" w:rsidRDefault="002813D2" w:rsidP="00053713">
      <w:pPr>
        <w:spacing w:line="240" w:lineRule="auto"/>
        <w:rPr>
          <w:noProof/>
        </w:rPr>
      </w:pPr>
      <w:r w:rsidRPr="00DE264C">
        <w:rPr>
          <w:noProof/>
        </w:rPr>
        <w:t>As for</w:t>
      </w:r>
      <w:r w:rsidR="00720D20" w:rsidRPr="00DE264C">
        <w:rPr>
          <w:noProof/>
        </w:rPr>
        <w:t xml:space="preserve"> spectrum governance, </w:t>
      </w:r>
      <w:r w:rsidR="00B2567E">
        <w:rPr>
          <w:noProof/>
        </w:rPr>
        <w:t>results of evaluation show that</w:t>
      </w:r>
      <w:r w:rsidR="00720D20" w:rsidRPr="00DE264C">
        <w:rPr>
          <w:noProof/>
        </w:rPr>
        <w:t xml:space="preserve"> </w:t>
      </w:r>
      <w:r w:rsidR="00A95698" w:rsidRPr="00DE264C">
        <w:rPr>
          <w:noProof/>
        </w:rPr>
        <w:t>fragmented national authorisation processes for satellite services across the EU creat</w:t>
      </w:r>
      <w:r w:rsidR="2EEEC728">
        <w:rPr>
          <w:noProof/>
        </w:rPr>
        <w:t>e</w:t>
      </w:r>
      <w:r w:rsidR="00A95698" w:rsidRPr="00DE264C">
        <w:rPr>
          <w:noProof/>
        </w:rPr>
        <w:t xml:space="preserve"> significant barriers to </w:t>
      </w:r>
      <w:r w:rsidR="12F1994D">
        <w:rPr>
          <w:noProof/>
        </w:rPr>
        <w:t xml:space="preserve">swift and </w:t>
      </w:r>
      <w:r w:rsidR="00A95698" w:rsidRPr="00DE264C">
        <w:rPr>
          <w:noProof/>
        </w:rPr>
        <w:t>efficient service rollout. The</w:t>
      </w:r>
      <w:r w:rsidR="7C9B3191">
        <w:rPr>
          <w:noProof/>
        </w:rPr>
        <w:t>se</w:t>
      </w:r>
      <w:r w:rsidR="00A95698" w:rsidRPr="00DE264C">
        <w:rPr>
          <w:noProof/>
        </w:rPr>
        <w:t xml:space="preserve"> inefficiencies inflate costs and administrative burden without delivering added value to customers, ultimately undermining the competitiveness of EU satellite services and slowing down innovation.</w:t>
      </w:r>
    </w:p>
    <w:p w14:paraId="04C05AA0" w14:textId="5D972DDE" w:rsidR="00360599" w:rsidRDefault="00DF0B83" w:rsidP="00053713">
      <w:pPr>
        <w:spacing w:line="240" w:lineRule="auto"/>
        <w:rPr>
          <w:rFonts w:eastAsia="Times New Roman"/>
          <w:noProof/>
        </w:rPr>
      </w:pPr>
      <w:r w:rsidRPr="00DE264C">
        <w:rPr>
          <w:noProof/>
        </w:rPr>
        <w:t>T</w:t>
      </w:r>
      <w:r w:rsidR="00720D20" w:rsidRPr="00DE264C">
        <w:rPr>
          <w:noProof/>
        </w:rPr>
        <w:t>he RSPG</w:t>
      </w:r>
      <w:r w:rsidR="00510043" w:rsidRPr="00DE264C">
        <w:rPr>
          <w:noProof/>
          <w:lang w:val="en-IE"/>
        </w:rPr>
        <w:t xml:space="preserve"> </w:t>
      </w:r>
      <w:r w:rsidR="00720D20" w:rsidRPr="00DE264C">
        <w:rPr>
          <w:noProof/>
        </w:rPr>
        <w:t xml:space="preserve">advises the Commission and other EU institutions on issues related to radio spectrum policy, including on the EU position </w:t>
      </w:r>
      <w:r w:rsidR="003122B2" w:rsidRPr="00DE264C">
        <w:rPr>
          <w:noProof/>
        </w:rPr>
        <w:t>in view of</w:t>
      </w:r>
      <w:r w:rsidR="00720D20" w:rsidRPr="00DE264C">
        <w:rPr>
          <w:noProof/>
        </w:rPr>
        <w:t xml:space="preserve"> the </w:t>
      </w:r>
      <w:r w:rsidR="007359A9" w:rsidRPr="00DE264C">
        <w:rPr>
          <w:noProof/>
        </w:rPr>
        <w:t xml:space="preserve">periodic </w:t>
      </w:r>
      <w:r w:rsidR="00720D20" w:rsidRPr="00DE264C">
        <w:rPr>
          <w:noProof/>
        </w:rPr>
        <w:t xml:space="preserve">World Radiocommunications Conferences. </w:t>
      </w:r>
      <w:r w:rsidR="007363E6" w:rsidRPr="00DE264C">
        <w:rPr>
          <w:noProof/>
          <w:lang w:val="en-IE"/>
        </w:rPr>
        <w:t xml:space="preserve">Although valuable, </w:t>
      </w:r>
      <w:r w:rsidR="00720D20" w:rsidRPr="00DE264C">
        <w:rPr>
          <w:noProof/>
        </w:rPr>
        <w:t xml:space="preserve">RSPG opinions tend to </w:t>
      </w:r>
      <w:r w:rsidR="005C7A3F" w:rsidRPr="00DE264C">
        <w:rPr>
          <w:noProof/>
        </w:rPr>
        <w:t>focus on</w:t>
      </w:r>
      <w:r w:rsidR="007363E6" w:rsidRPr="00DE264C">
        <w:rPr>
          <w:noProof/>
          <w:lang w:val="en-IE"/>
        </w:rPr>
        <w:t xml:space="preserve"> </w:t>
      </w:r>
      <w:r w:rsidR="00720D20" w:rsidRPr="00DE264C">
        <w:rPr>
          <w:noProof/>
        </w:rPr>
        <w:t>technical</w:t>
      </w:r>
      <w:r w:rsidR="005C7A3F" w:rsidRPr="00DE264C">
        <w:rPr>
          <w:noProof/>
        </w:rPr>
        <w:t xml:space="preserve"> aspects</w:t>
      </w:r>
      <w:r w:rsidR="00286A1B" w:rsidRPr="00DE264C">
        <w:rPr>
          <w:noProof/>
        </w:rPr>
        <w:t xml:space="preserve">. </w:t>
      </w:r>
      <w:r w:rsidR="00C75D3A" w:rsidRPr="00DE264C">
        <w:rPr>
          <w:noProof/>
        </w:rPr>
        <w:t>Inter alia</w:t>
      </w:r>
      <w:r w:rsidR="00286A1B" w:rsidRPr="00DE264C">
        <w:rPr>
          <w:noProof/>
        </w:rPr>
        <w:t xml:space="preserve"> due to the lack of a proper support structure (a small secretariat function is provided by DG CNECT</w:t>
      </w:r>
      <w:r w:rsidR="00286A1B" w:rsidRPr="00DE264C">
        <w:rPr>
          <w:noProof/>
          <w:lang w:val="en-IE"/>
        </w:rPr>
        <w:t xml:space="preserve">, </w:t>
      </w:r>
      <w:r w:rsidR="00C75D3A" w:rsidRPr="00DE264C">
        <w:rPr>
          <w:noProof/>
          <w:lang w:val="en-IE"/>
        </w:rPr>
        <w:t>with</w:t>
      </w:r>
      <w:r w:rsidR="00286A1B" w:rsidRPr="00DE264C">
        <w:rPr>
          <w:noProof/>
          <w:lang w:val="en-IE"/>
        </w:rPr>
        <w:t xml:space="preserve"> the majority of the substance work based on resources of national </w:t>
      </w:r>
      <w:r w:rsidR="00C75D3A" w:rsidRPr="00DE264C">
        <w:rPr>
          <w:noProof/>
          <w:lang w:val="en-IE"/>
        </w:rPr>
        <w:t>authorities</w:t>
      </w:r>
      <w:r w:rsidR="00286A1B" w:rsidRPr="00DE264C">
        <w:rPr>
          <w:noProof/>
        </w:rPr>
        <w:t>)</w:t>
      </w:r>
      <w:r w:rsidR="00720D20" w:rsidRPr="00DE264C">
        <w:rPr>
          <w:noProof/>
        </w:rPr>
        <w:t xml:space="preserve"> </w:t>
      </w:r>
      <w:r w:rsidR="00286A1B" w:rsidRPr="00DE264C">
        <w:rPr>
          <w:noProof/>
        </w:rPr>
        <w:t>the RSPG is</w:t>
      </w:r>
      <w:r w:rsidR="00720D20" w:rsidRPr="00DE264C">
        <w:rPr>
          <w:noProof/>
        </w:rPr>
        <w:t xml:space="preserve"> </w:t>
      </w:r>
      <w:r w:rsidR="007363E6" w:rsidRPr="00DE264C">
        <w:rPr>
          <w:noProof/>
          <w:lang w:val="en-IE"/>
        </w:rPr>
        <w:t xml:space="preserve">not fully exploring </w:t>
      </w:r>
      <w:r w:rsidR="00720D20" w:rsidRPr="00DE264C">
        <w:rPr>
          <w:noProof/>
        </w:rPr>
        <w:t>its mandate to advise EU institutions on broader aspects of radio spectrum policy in general (e</w:t>
      </w:r>
      <w:r w:rsidR="00090492" w:rsidRPr="00DE264C">
        <w:rPr>
          <w:noProof/>
        </w:rPr>
        <w:t>.</w:t>
      </w:r>
      <w:r w:rsidR="00720D20" w:rsidRPr="00DE264C">
        <w:rPr>
          <w:noProof/>
        </w:rPr>
        <w:t xml:space="preserve">g. economic, political, cultural, strategic, </w:t>
      </w:r>
      <w:r w:rsidR="0BC031E6" w:rsidRPr="00DE264C">
        <w:rPr>
          <w:noProof/>
          <w:lang w:val="en-IE"/>
        </w:rPr>
        <w:t>security,</w:t>
      </w:r>
      <w:r w:rsidR="00720D20" w:rsidRPr="00DE264C">
        <w:rPr>
          <w:noProof/>
          <w:lang w:val="en-IE"/>
        </w:rPr>
        <w:t xml:space="preserve"> </w:t>
      </w:r>
      <w:r w:rsidR="00720D20" w:rsidRPr="00DE264C">
        <w:rPr>
          <w:noProof/>
        </w:rPr>
        <w:t>health and social issues)</w:t>
      </w:r>
      <w:r w:rsidR="00475694" w:rsidRPr="00DE264C">
        <w:rPr>
          <w:noProof/>
          <w:lang w:val="en-IE"/>
        </w:rPr>
        <w:t>.</w:t>
      </w:r>
      <w:r w:rsidR="49D19B0C" w:rsidRPr="00DE264C">
        <w:rPr>
          <w:rFonts w:eastAsia="Times New Roman"/>
          <w:noProof/>
        </w:rPr>
        <w:t xml:space="preserve"> </w:t>
      </w:r>
      <w:r w:rsidR="100AABC1" w:rsidRPr="00DE264C">
        <w:rPr>
          <w:rFonts w:eastAsia="Times New Roman"/>
          <w:noProof/>
        </w:rPr>
        <w:t xml:space="preserve">There is furthermore </w:t>
      </w:r>
      <w:r w:rsidR="00522A2D" w:rsidRPr="00DE264C">
        <w:rPr>
          <w:rFonts w:eastAsia="Times New Roman"/>
          <w:noProof/>
        </w:rPr>
        <w:t>untapped</w:t>
      </w:r>
      <w:r w:rsidR="100AABC1" w:rsidRPr="00DE264C">
        <w:rPr>
          <w:rFonts w:eastAsia="Times New Roman"/>
          <w:noProof/>
        </w:rPr>
        <w:t xml:space="preserve"> potential to more systematically include the input of other expert groups for the formulation of RSPG</w:t>
      </w:r>
      <w:r w:rsidR="00475694" w:rsidRPr="00DE264C">
        <w:rPr>
          <w:rFonts w:eastAsia="Times New Roman"/>
          <w:noProof/>
        </w:rPr>
        <w:t xml:space="preserve"> </w:t>
      </w:r>
      <w:r w:rsidR="100AABC1" w:rsidRPr="00DE264C">
        <w:rPr>
          <w:rFonts w:eastAsia="Times New Roman"/>
          <w:noProof/>
        </w:rPr>
        <w:t>positions.</w:t>
      </w:r>
      <w:r w:rsidR="00475694" w:rsidRPr="00DE264C">
        <w:rPr>
          <w:rFonts w:eastAsia="Times New Roman"/>
          <w:noProof/>
        </w:rPr>
        <w:t xml:space="preserve"> </w:t>
      </w:r>
      <w:r w:rsidR="00AF6784" w:rsidRPr="00DE264C">
        <w:rPr>
          <w:rFonts w:eastAsia="Times New Roman"/>
          <w:noProof/>
        </w:rPr>
        <w:t>The voluntary mechanisms, such a</w:t>
      </w:r>
      <w:r w:rsidR="00017FA5" w:rsidRPr="00DE264C">
        <w:rPr>
          <w:rFonts w:eastAsia="Times New Roman"/>
          <w:noProof/>
        </w:rPr>
        <w:t xml:space="preserve">s a </w:t>
      </w:r>
      <w:r w:rsidR="00AF6784" w:rsidRPr="00DE264C">
        <w:rPr>
          <w:rFonts w:eastAsia="Times New Roman"/>
          <w:noProof/>
        </w:rPr>
        <w:t xml:space="preserve">peer review </w:t>
      </w:r>
      <w:r w:rsidR="00017FA5" w:rsidRPr="00DE264C">
        <w:rPr>
          <w:rFonts w:eastAsia="Times New Roman"/>
          <w:noProof/>
        </w:rPr>
        <w:t>u</w:t>
      </w:r>
      <w:r w:rsidR="00AF6784" w:rsidRPr="00DE264C">
        <w:rPr>
          <w:rFonts w:eastAsia="Times New Roman"/>
          <w:noProof/>
        </w:rPr>
        <w:t>nder Article</w:t>
      </w:r>
      <w:r w:rsidR="00A907F2">
        <w:rPr>
          <w:rFonts w:eastAsia="Times New Roman"/>
          <w:noProof/>
        </w:rPr>
        <w:t> </w:t>
      </w:r>
      <w:r w:rsidR="00AF6784" w:rsidRPr="00DE264C">
        <w:rPr>
          <w:rFonts w:eastAsia="Times New Roman"/>
          <w:noProof/>
        </w:rPr>
        <w:t>35 EECC</w:t>
      </w:r>
      <w:r w:rsidR="00F05ACE">
        <w:rPr>
          <w:rFonts w:eastAsia="Times New Roman"/>
          <w:noProof/>
        </w:rPr>
        <w:t>,</w:t>
      </w:r>
      <w:r w:rsidR="00017FA5" w:rsidRPr="00DE264C">
        <w:rPr>
          <w:rFonts w:eastAsia="Times New Roman"/>
          <w:noProof/>
        </w:rPr>
        <w:t xml:space="preserve"> have not been sufficient </w:t>
      </w:r>
      <w:r w:rsidR="00F6333B" w:rsidRPr="00DE264C">
        <w:rPr>
          <w:rFonts w:eastAsia="Times New Roman"/>
          <w:noProof/>
        </w:rPr>
        <w:t>for strengthening</w:t>
      </w:r>
      <w:r w:rsidR="00AF6784" w:rsidRPr="00DE264C">
        <w:rPr>
          <w:rFonts w:eastAsia="Times New Roman"/>
          <w:noProof/>
        </w:rPr>
        <w:t xml:space="preserve"> the </w:t>
      </w:r>
      <w:r w:rsidR="00F6333B" w:rsidRPr="00DE264C">
        <w:rPr>
          <w:rFonts w:eastAsia="Times New Roman"/>
          <w:noProof/>
        </w:rPr>
        <w:t>Single Market</w:t>
      </w:r>
      <w:r w:rsidR="00F6333B" w:rsidRPr="00DE264C">
        <w:rPr>
          <w:rStyle w:val="FootnoteReference"/>
          <w:rFonts w:eastAsia="Times New Roman"/>
          <w:noProof/>
        </w:rPr>
        <w:footnoteReference w:id="71"/>
      </w:r>
      <w:r w:rsidR="00F6333B" w:rsidRPr="00DE264C">
        <w:rPr>
          <w:rFonts w:eastAsia="Times New Roman"/>
          <w:noProof/>
        </w:rPr>
        <w:t>.</w:t>
      </w:r>
      <w:r w:rsidR="00AF6784" w:rsidRPr="00DE264C">
        <w:rPr>
          <w:rFonts w:eastAsia="Times New Roman"/>
          <w:noProof/>
        </w:rPr>
        <w:t xml:space="preserve"> </w:t>
      </w:r>
    </w:p>
    <w:p w14:paraId="72BCDA3F" w14:textId="540EE95F" w:rsidR="003F6014" w:rsidRDefault="58AC4569" w:rsidP="00053713">
      <w:pPr>
        <w:spacing w:line="240" w:lineRule="auto"/>
        <w:rPr>
          <w:noProof/>
        </w:rPr>
      </w:pPr>
      <w:r w:rsidRPr="00DE264C">
        <w:rPr>
          <w:rFonts w:eastAsia="Times New Roman"/>
          <w:noProof/>
        </w:rPr>
        <w:t xml:space="preserve">Moreover, </w:t>
      </w:r>
      <w:r w:rsidR="00360599">
        <w:rPr>
          <w:rFonts w:eastAsia="Times New Roman"/>
          <w:noProof/>
        </w:rPr>
        <w:t>even though</w:t>
      </w:r>
      <w:r w:rsidRPr="00DE264C">
        <w:rPr>
          <w:rFonts w:eastAsia="Times New Roman"/>
          <w:noProof/>
        </w:rPr>
        <w:t xml:space="preserve"> the EECC requires close cooperation between </w:t>
      </w:r>
      <w:r w:rsidR="000453D1" w:rsidRPr="00DE264C">
        <w:rPr>
          <w:rFonts w:eastAsia="Times New Roman"/>
          <w:noProof/>
        </w:rPr>
        <w:t>BEREC and RSPG</w:t>
      </w:r>
      <w:r w:rsidRPr="00DE264C">
        <w:rPr>
          <w:rFonts w:eastAsia="Times New Roman"/>
          <w:noProof/>
        </w:rPr>
        <w:t xml:space="preserve"> where spectrum issues have regulatory implication</w:t>
      </w:r>
      <w:r w:rsidR="5C17E450" w:rsidRPr="00DE264C">
        <w:rPr>
          <w:rFonts w:eastAsia="Times New Roman"/>
          <w:noProof/>
        </w:rPr>
        <w:t>s</w:t>
      </w:r>
      <w:r w:rsidRPr="00DE264C">
        <w:rPr>
          <w:rFonts w:eastAsia="Times New Roman"/>
          <w:noProof/>
        </w:rPr>
        <w:t xml:space="preserve">, in practice this coordination has been limited to few joint </w:t>
      </w:r>
      <w:r w:rsidR="581B7502" w:rsidRPr="7AC71608">
        <w:rPr>
          <w:rFonts w:eastAsia="Times New Roman"/>
          <w:noProof/>
        </w:rPr>
        <w:t>opinion</w:t>
      </w:r>
      <w:r w:rsidR="2F9A7BBE" w:rsidRPr="7AC71608">
        <w:rPr>
          <w:rFonts w:eastAsia="Times New Roman"/>
          <w:noProof/>
        </w:rPr>
        <w:t>s</w:t>
      </w:r>
      <w:r w:rsidRPr="00DE264C">
        <w:rPr>
          <w:rFonts w:eastAsia="Times New Roman"/>
          <w:noProof/>
        </w:rPr>
        <w:t xml:space="preserve"> or reports.</w:t>
      </w:r>
      <w:r w:rsidR="00FE3664" w:rsidRPr="00DE264C">
        <w:rPr>
          <w:rFonts w:eastAsia="Times New Roman"/>
          <w:noProof/>
        </w:rPr>
        <w:t xml:space="preserve"> </w:t>
      </w:r>
      <w:r w:rsidR="00953985" w:rsidRPr="00DE264C">
        <w:rPr>
          <w:rFonts w:eastAsia="Times New Roman"/>
          <w:noProof/>
        </w:rPr>
        <w:t>R</w:t>
      </w:r>
      <w:r w:rsidR="009527A8" w:rsidRPr="00DE264C">
        <w:rPr>
          <w:rFonts w:eastAsia="Times New Roman"/>
          <w:noProof/>
        </w:rPr>
        <w:t>egarding other issues</w:t>
      </w:r>
      <w:r w:rsidR="00382D9A" w:rsidRPr="00DE264C">
        <w:rPr>
          <w:rFonts w:eastAsia="Times New Roman"/>
          <w:noProof/>
        </w:rPr>
        <w:t>,</w:t>
      </w:r>
      <w:r w:rsidR="009527A8" w:rsidRPr="00DE264C">
        <w:rPr>
          <w:rFonts w:eastAsia="Times New Roman"/>
          <w:noProof/>
        </w:rPr>
        <w:t xml:space="preserve"> </w:t>
      </w:r>
      <w:r w:rsidR="000C55B5" w:rsidRPr="00DE264C">
        <w:rPr>
          <w:rFonts w:eastAsia="Times New Roman"/>
          <w:noProof/>
        </w:rPr>
        <w:t xml:space="preserve">the synergies </w:t>
      </w:r>
      <w:r w:rsidR="00034B8F" w:rsidRPr="00DE264C">
        <w:rPr>
          <w:rFonts w:eastAsia="Times New Roman"/>
          <w:noProof/>
        </w:rPr>
        <w:t xml:space="preserve">between </w:t>
      </w:r>
      <w:r w:rsidR="00953985" w:rsidRPr="00DE264C">
        <w:rPr>
          <w:rFonts w:eastAsia="Times New Roman"/>
          <w:noProof/>
        </w:rPr>
        <w:t xml:space="preserve">BEREC and RSPG </w:t>
      </w:r>
      <w:r w:rsidR="00FB3256" w:rsidRPr="00DE264C">
        <w:rPr>
          <w:rFonts w:eastAsia="Times New Roman"/>
          <w:noProof/>
        </w:rPr>
        <w:t>also remain unexploited</w:t>
      </w:r>
      <w:r w:rsidR="00034B8F" w:rsidRPr="00DE264C">
        <w:rPr>
          <w:rFonts w:eastAsia="Times New Roman"/>
          <w:noProof/>
        </w:rPr>
        <w:t xml:space="preserve"> </w:t>
      </w:r>
      <w:r w:rsidR="00FB3256" w:rsidRPr="00DE264C">
        <w:rPr>
          <w:rFonts w:eastAsia="Times New Roman"/>
          <w:noProof/>
        </w:rPr>
        <w:t xml:space="preserve">resulting </w:t>
      </w:r>
      <w:r w:rsidR="00286CC1" w:rsidRPr="00DE264C">
        <w:rPr>
          <w:rFonts w:eastAsia="Times New Roman"/>
          <w:noProof/>
        </w:rPr>
        <w:t xml:space="preserve">in non-holistic </w:t>
      </w:r>
      <w:r w:rsidR="00F85740" w:rsidRPr="00DE264C">
        <w:rPr>
          <w:rFonts w:eastAsia="Times New Roman"/>
          <w:noProof/>
        </w:rPr>
        <w:t>RSPG opinions</w:t>
      </w:r>
      <w:r w:rsidR="00EA4E8B" w:rsidRPr="00DE264C">
        <w:rPr>
          <w:rFonts w:eastAsia="Times New Roman"/>
          <w:noProof/>
        </w:rPr>
        <w:t xml:space="preserve">, like is the case of </w:t>
      </w:r>
      <w:r w:rsidR="00526895" w:rsidRPr="00DE264C">
        <w:rPr>
          <w:rFonts w:eastAsia="Times New Roman"/>
          <w:noProof/>
        </w:rPr>
        <w:t xml:space="preserve">the </w:t>
      </w:r>
      <w:r w:rsidR="641FB31E" w:rsidRPr="7AC71608">
        <w:rPr>
          <w:rFonts w:eastAsia="Times New Roman"/>
          <w:noProof/>
        </w:rPr>
        <w:t>D2D</w:t>
      </w:r>
      <w:r w:rsidR="00AC48FB" w:rsidRPr="00DE264C">
        <w:rPr>
          <w:rFonts w:eastAsia="Times New Roman"/>
          <w:noProof/>
        </w:rPr>
        <w:t xml:space="preserve"> </w:t>
      </w:r>
      <w:r w:rsidR="00324CA4" w:rsidRPr="00DE264C">
        <w:rPr>
          <w:rFonts w:eastAsia="Times New Roman"/>
          <w:noProof/>
        </w:rPr>
        <w:t>satellite service</w:t>
      </w:r>
      <w:r w:rsidR="000D663B" w:rsidRPr="00DE264C">
        <w:rPr>
          <w:rStyle w:val="FootnoteReference"/>
          <w:rFonts w:eastAsia="Times New Roman"/>
          <w:noProof/>
        </w:rPr>
        <w:footnoteReference w:id="72"/>
      </w:r>
      <w:r w:rsidR="001D0F2D" w:rsidRPr="00DE264C">
        <w:rPr>
          <w:rFonts w:eastAsia="Times New Roman"/>
          <w:noProof/>
        </w:rPr>
        <w:t xml:space="preserve">, </w:t>
      </w:r>
      <w:r w:rsidR="006D78C8" w:rsidRPr="00DE264C">
        <w:rPr>
          <w:rFonts w:eastAsia="Times New Roman"/>
          <w:noProof/>
        </w:rPr>
        <w:t xml:space="preserve">where RSPG </w:t>
      </w:r>
      <w:r w:rsidR="00EE03B0" w:rsidRPr="00DE264C">
        <w:rPr>
          <w:rFonts w:eastAsia="Times New Roman"/>
          <w:noProof/>
        </w:rPr>
        <w:t xml:space="preserve">signalled that </w:t>
      </w:r>
      <w:r w:rsidR="00086AFB" w:rsidRPr="00DE264C">
        <w:rPr>
          <w:rFonts w:eastAsia="Times New Roman"/>
          <w:noProof/>
        </w:rPr>
        <w:t xml:space="preserve">some of the issues </w:t>
      </w:r>
      <w:r w:rsidR="00EA68B2" w:rsidRPr="00DE264C">
        <w:rPr>
          <w:rFonts w:eastAsia="Times New Roman"/>
          <w:noProof/>
        </w:rPr>
        <w:t xml:space="preserve">need to be addressed by BEREC. </w:t>
      </w:r>
      <w:r w:rsidR="0094074E" w:rsidRPr="00DE264C">
        <w:rPr>
          <w:noProof/>
        </w:rPr>
        <w:t>Both</w:t>
      </w:r>
      <w:r w:rsidR="006B26D8" w:rsidRPr="00DE264C">
        <w:rPr>
          <w:noProof/>
          <w:lang w:val="en-IE"/>
        </w:rPr>
        <w:t xml:space="preserve"> BEREC and </w:t>
      </w:r>
      <w:r w:rsidR="006B26D8" w:rsidRPr="00DE264C">
        <w:rPr>
          <w:noProof/>
        </w:rPr>
        <w:t xml:space="preserve">RSPG </w:t>
      </w:r>
      <w:r w:rsidR="006B26D8" w:rsidRPr="00DE264C">
        <w:rPr>
          <w:noProof/>
          <w:lang w:val="en-IE"/>
        </w:rPr>
        <w:t>are adopting their opinions</w:t>
      </w:r>
      <w:r w:rsidR="006B26D8" w:rsidRPr="00DE264C">
        <w:rPr>
          <w:noProof/>
        </w:rPr>
        <w:t xml:space="preserve"> aim</w:t>
      </w:r>
      <w:r w:rsidR="006B26D8" w:rsidRPr="00DE264C">
        <w:rPr>
          <w:noProof/>
          <w:lang w:val="en-IE"/>
        </w:rPr>
        <w:t>ing</w:t>
      </w:r>
      <w:r w:rsidR="006B26D8" w:rsidRPr="00DE264C">
        <w:rPr>
          <w:noProof/>
        </w:rPr>
        <w:t xml:space="preserve"> for compromise on sensitive issues, accommodating different national </w:t>
      </w:r>
      <w:r w:rsidR="003A5572" w:rsidRPr="00DE264C">
        <w:rPr>
          <w:noProof/>
        </w:rPr>
        <w:t>views</w:t>
      </w:r>
      <w:r w:rsidR="006B26D8" w:rsidRPr="00DE264C">
        <w:rPr>
          <w:noProof/>
        </w:rPr>
        <w:t xml:space="preserve">, </w:t>
      </w:r>
      <w:r w:rsidR="005A662E" w:rsidRPr="00DE264C">
        <w:rPr>
          <w:noProof/>
        </w:rPr>
        <w:t>in some cases</w:t>
      </w:r>
      <w:r w:rsidR="006B26D8" w:rsidRPr="00DE264C">
        <w:rPr>
          <w:noProof/>
        </w:rPr>
        <w:t xml:space="preserve"> to the detriment of the broader EU perspective. Both BEREC and RSPG rely on the resources of their members for the work on substance, which bears certain limitations</w:t>
      </w:r>
      <w:r w:rsidR="006B26D8" w:rsidRPr="00DE264C">
        <w:rPr>
          <w:rStyle w:val="FootnoteReference"/>
          <w:noProof/>
        </w:rPr>
        <w:footnoteReference w:id="73"/>
      </w:r>
      <w:r w:rsidR="006B26D8" w:rsidRPr="00DE264C">
        <w:rPr>
          <w:noProof/>
        </w:rPr>
        <w:t xml:space="preserve">. </w:t>
      </w:r>
    </w:p>
    <w:p w14:paraId="48356A59" w14:textId="685CE55B" w:rsidR="003B4291" w:rsidRDefault="0027781D" w:rsidP="00053713">
      <w:pPr>
        <w:spacing w:line="240" w:lineRule="auto"/>
        <w:rPr>
          <w:noProof/>
          <w:color w:val="000000" w:themeColor="text1"/>
        </w:rPr>
      </w:pPr>
      <w:r w:rsidRPr="00873486">
        <w:rPr>
          <w:noProof/>
          <w:color w:val="000000" w:themeColor="text1"/>
        </w:rPr>
        <w:t xml:space="preserve">Furthermore, </w:t>
      </w:r>
      <w:r w:rsidR="00FF0A19">
        <w:rPr>
          <w:noProof/>
          <w:color w:val="000000" w:themeColor="text1"/>
        </w:rPr>
        <w:t xml:space="preserve">a </w:t>
      </w:r>
      <w:r w:rsidRPr="00873486">
        <w:rPr>
          <w:noProof/>
          <w:color w:val="000000" w:themeColor="text1"/>
        </w:rPr>
        <w:t>g</w:t>
      </w:r>
      <w:r w:rsidR="003B4291" w:rsidRPr="00873486">
        <w:rPr>
          <w:noProof/>
          <w:color w:val="000000" w:themeColor="text1"/>
        </w:rPr>
        <w:t>overnance set up with multiple layers and involvement of different authorities at national and EU level affect</w:t>
      </w:r>
      <w:r w:rsidR="0039749C" w:rsidRPr="00873486">
        <w:rPr>
          <w:noProof/>
          <w:color w:val="000000" w:themeColor="text1"/>
        </w:rPr>
        <w:t>s</w:t>
      </w:r>
      <w:r w:rsidR="003B4291" w:rsidRPr="00873486">
        <w:rPr>
          <w:noProof/>
          <w:color w:val="000000" w:themeColor="text1"/>
        </w:rPr>
        <w:t xml:space="preserve"> also </w:t>
      </w:r>
      <w:r w:rsidR="00D72A7F" w:rsidRPr="00873486">
        <w:rPr>
          <w:noProof/>
          <w:color w:val="000000" w:themeColor="text1"/>
        </w:rPr>
        <w:t>the</w:t>
      </w:r>
      <w:r w:rsidR="003B4291" w:rsidRPr="00873486">
        <w:rPr>
          <w:noProof/>
          <w:color w:val="000000" w:themeColor="text1"/>
        </w:rPr>
        <w:t xml:space="preserve"> ability of the actors to have a</w:t>
      </w:r>
      <w:r w:rsidR="00C732DD" w:rsidRPr="00873486">
        <w:rPr>
          <w:noProof/>
          <w:color w:val="000000" w:themeColor="text1"/>
        </w:rPr>
        <w:t xml:space="preserve"> full</w:t>
      </w:r>
      <w:r w:rsidR="003B4291" w:rsidRPr="00873486">
        <w:rPr>
          <w:noProof/>
          <w:color w:val="000000" w:themeColor="text1"/>
        </w:rPr>
        <w:t xml:space="preserve"> overview of </w:t>
      </w:r>
      <w:r w:rsidR="00D72A7F" w:rsidRPr="00873486">
        <w:rPr>
          <w:noProof/>
          <w:color w:val="000000" w:themeColor="text1"/>
        </w:rPr>
        <w:t xml:space="preserve">all aspects of </w:t>
      </w:r>
      <w:r w:rsidR="003B4291" w:rsidRPr="00873486">
        <w:rPr>
          <w:noProof/>
          <w:color w:val="000000" w:themeColor="text1"/>
        </w:rPr>
        <w:t xml:space="preserve">the market. For example, as regards network resilience, although NIS2 and CER harmonise minimum requirements for risk management by digital infrastructure entities, enforcement is left to the Member States. Approaches that focus on risks at the national level </w:t>
      </w:r>
      <w:r w:rsidR="11755794" w:rsidRPr="7AC71608">
        <w:rPr>
          <w:noProof/>
          <w:color w:val="000000" w:themeColor="text1"/>
        </w:rPr>
        <w:t>tend to over</w:t>
      </w:r>
      <w:r w:rsidR="184DB994" w:rsidRPr="7AC71608">
        <w:rPr>
          <w:noProof/>
          <w:color w:val="000000" w:themeColor="text1"/>
        </w:rPr>
        <w:t>look</w:t>
      </w:r>
      <w:r w:rsidR="003B4291" w:rsidRPr="00873486">
        <w:rPr>
          <w:noProof/>
          <w:color w:val="000000" w:themeColor="text1"/>
        </w:rPr>
        <w:t xml:space="preserve"> interdependencies affecting multiple Member States simultaneously. There is lack of sufficient strategic coordination </w:t>
      </w:r>
      <w:r w:rsidR="009A387F" w:rsidRPr="00873486">
        <w:rPr>
          <w:noProof/>
          <w:color w:val="000000" w:themeColor="text1"/>
        </w:rPr>
        <w:t>when it comes to network resilience and prepar</w:t>
      </w:r>
      <w:r w:rsidR="004E4BB7" w:rsidRPr="00873486">
        <w:rPr>
          <w:noProof/>
          <w:color w:val="000000" w:themeColor="text1"/>
        </w:rPr>
        <w:t>e</w:t>
      </w:r>
      <w:r w:rsidR="009A387F" w:rsidRPr="00873486">
        <w:rPr>
          <w:noProof/>
          <w:color w:val="000000" w:themeColor="text1"/>
        </w:rPr>
        <w:t>dness</w:t>
      </w:r>
      <w:r w:rsidR="003B4291" w:rsidRPr="00873486">
        <w:rPr>
          <w:noProof/>
          <w:color w:val="000000" w:themeColor="text1"/>
          <w:vertAlign w:val="superscript"/>
        </w:rPr>
        <w:footnoteReference w:id="74"/>
      </w:r>
      <w:r w:rsidR="003B4291" w:rsidRPr="00DE264C">
        <w:rPr>
          <w:noProof/>
          <w:color w:val="000000" w:themeColor="text1"/>
        </w:rPr>
        <w:t>.</w:t>
      </w:r>
      <w:r w:rsidR="003B4291" w:rsidRPr="2A4B9DA2">
        <w:rPr>
          <w:noProof/>
          <w:color w:val="000000" w:themeColor="text1"/>
        </w:rPr>
        <w:t xml:space="preserve"> </w:t>
      </w:r>
    </w:p>
    <w:p w14:paraId="1E1BF4AC" w14:textId="69CC671C" w:rsidR="006B26D8" w:rsidRPr="00DE264C" w:rsidRDefault="0031273C" w:rsidP="00053713">
      <w:pPr>
        <w:spacing w:line="240" w:lineRule="auto"/>
        <w:rPr>
          <w:noProof/>
          <w:color w:val="000000" w:themeColor="text1"/>
          <w:lang w:val="en-IE"/>
        </w:rPr>
      </w:pPr>
      <w:r w:rsidRPr="006B0CE3">
        <w:rPr>
          <w:noProof/>
          <w:color w:val="000000" w:themeColor="text1"/>
        </w:rPr>
        <w:t xml:space="preserve">The identified flaws affect the functioning of the </w:t>
      </w:r>
      <w:r w:rsidR="185315E7" w:rsidRPr="18864199">
        <w:rPr>
          <w:noProof/>
          <w:color w:val="000000" w:themeColor="text1"/>
        </w:rPr>
        <w:t>market, as</w:t>
      </w:r>
      <w:r w:rsidRPr="006B0CE3">
        <w:rPr>
          <w:noProof/>
          <w:color w:val="000000" w:themeColor="text1"/>
        </w:rPr>
        <w:t xml:space="preserve"> the governance set up </w:t>
      </w:r>
      <w:r w:rsidRPr="00DE264C">
        <w:rPr>
          <w:noProof/>
          <w:color w:val="000000" w:themeColor="text1"/>
        </w:rPr>
        <w:t xml:space="preserve">has impact on how </w:t>
      </w:r>
      <w:r w:rsidRPr="006B0CE3">
        <w:rPr>
          <w:noProof/>
          <w:color w:val="000000" w:themeColor="text1"/>
        </w:rPr>
        <w:t xml:space="preserve">and at what level regulatory decisions are being taken. The governance determines which authorities and to what extent </w:t>
      </w:r>
      <w:r w:rsidRPr="00DE264C">
        <w:rPr>
          <w:noProof/>
          <w:color w:val="000000" w:themeColor="text1"/>
        </w:rPr>
        <w:t>c</w:t>
      </w:r>
      <w:r w:rsidRPr="006B0CE3">
        <w:rPr>
          <w:noProof/>
          <w:color w:val="000000" w:themeColor="text1"/>
        </w:rPr>
        <w:t>an influence those decisions, whose impacts on connectivity, investment and competition are intertwined</w:t>
      </w:r>
      <w:r w:rsidR="00C66A92" w:rsidRPr="006B0CE3">
        <w:rPr>
          <w:noProof/>
          <w:color w:val="000000" w:themeColor="text1"/>
        </w:rPr>
        <w:t xml:space="preserve">, and – as observed </w:t>
      </w:r>
      <w:r w:rsidR="002620F6" w:rsidRPr="006B0CE3">
        <w:rPr>
          <w:noProof/>
          <w:color w:val="000000" w:themeColor="text1"/>
        </w:rPr>
        <w:t>in the</w:t>
      </w:r>
      <w:r w:rsidR="00C66A92" w:rsidRPr="006B0CE3">
        <w:rPr>
          <w:noProof/>
          <w:color w:val="000000" w:themeColor="text1"/>
        </w:rPr>
        <w:t xml:space="preserve"> Letta </w:t>
      </w:r>
      <w:r w:rsidR="002620F6" w:rsidRPr="006B0CE3">
        <w:rPr>
          <w:noProof/>
          <w:color w:val="000000" w:themeColor="text1"/>
        </w:rPr>
        <w:t>report –</w:t>
      </w:r>
      <w:r w:rsidR="00C66A92" w:rsidRPr="006B0CE3">
        <w:rPr>
          <w:noProof/>
          <w:color w:val="000000" w:themeColor="text1"/>
        </w:rPr>
        <w:t xml:space="preserve"> </w:t>
      </w:r>
      <w:r w:rsidR="00F8288A" w:rsidRPr="006B0CE3">
        <w:rPr>
          <w:noProof/>
          <w:color w:val="000000" w:themeColor="text1"/>
        </w:rPr>
        <w:t xml:space="preserve">the divergences in the approaches of the involved authorities at different </w:t>
      </w:r>
      <w:r w:rsidR="002620F6" w:rsidRPr="006B0CE3">
        <w:rPr>
          <w:noProof/>
          <w:color w:val="000000" w:themeColor="text1"/>
        </w:rPr>
        <w:t xml:space="preserve">regulatory </w:t>
      </w:r>
      <w:r w:rsidR="00F8288A" w:rsidRPr="006B0CE3">
        <w:rPr>
          <w:noProof/>
          <w:color w:val="000000" w:themeColor="text1"/>
        </w:rPr>
        <w:t>levels hinder the long-term objective of a genuine Single Market</w:t>
      </w:r>
      <w:r w:rsidRPr="006B0CE3">
        <w:rPr>
          <w:noProof/>
          <w:color w:val="000000" w:themeColor="text1"/>
        </w:rPr>
        <w:t xml:space="preserve">. </w:t>
      </w:r>
    </w:p>
    <w:p w14:paraId="73A939CA" w14:textId="10A41E73" w:rsidR="00487676" w:rsidRPr="00DE264C" w:rsidRDefault="00487676" w:rsidP="00053713">
      <w:pPr>
        <w:spacing w:line="240" w:lineRule="auto"/>
        <w:rPr>
          <w:noProof/>
          <w:color w:val="000000" w:themeColor="text1"/>
          <w:lang w:val="en-IE"/>
        </w:rPr>
      </w:pPr>
      <w:r w:rsidRPr="006B0CE3">
        <w:rPr>
          <w:noProof/>
          <w:color w:val="000000" w:themeColor="text1"/>
        </w:rPr>
        <w:t xml:space="preserve">The above analysis is further supported </w:t>
      </w:r>
      <w:r w:rsidR="00735DF9" w:rsidRPr="006B0CE3">
        <w:rPr>
          <w:noProof/>
          <w:color w:val="000000" w:themeColor="text1"/>
        </w:rPr>
        <w:t>by the findings of the evaluation report, as summarised in the below table.</w:t>
      </w:r>
    </w:p>
    <w:p w14:paraId="237C2BD1" w14:textId="50EB98F0" w:rsidR="005B122A" w:rsidRPr="003048DC" w:rsidRDefault="005B122A" w:rsidP="005F50E7">
      <w:pPr>
        <w:keepNext/>
        <w:keepLines/>
        <w:spacing w:after="120"/>
        <w:rPr>
          <w:i/>
          <w:noProof/>
          <w:u w:val="single"/>
        </w:rPr>
      </w:pPr>
      <w:r w:rsidRPr="003048DC">
        <w:rPr>
          <w:i/>
          <w:noProof/>
          <w:u w:val="single"/>
        </w:rPr>
        <w:t xml:space="preserve">Table </w:t>
      </w:r>
      <w:r w:rsidR="001034B1" w:rsidRPr="003048DC">
        <w:rPr>
          <w:i/>
          <w:noProof/>
          <w:u w:val="single"/>
        </w:rPr>
        <w:t>5</w:t>
      </w:r>
      <w:r w:rsidRPr="003048DC">
        <w:rPr>
          <w:i/>
          <w:noProof/>
          <w:u w:val="single"/>
        </w:rPr>
        <w:t>: Evaluation report findings on governance</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4"/>
        <w:gridCol w:w="2874"/>
      </w:tblGrid>
      <w:tr w:rsidR="69A7CBEC" w14:paraId="4D6C8B3D" w14:textId="77777777" w:rsidTr="001034B1">
        <w:trPr>
          <w:trHeight w:val="340"/>
          <w:tblHeader/>
        </w:trPr>
        <w:tc>
          <w:tcPr>
            <w:tcW w:w="6603" w:type="dxa"/>
          </w:tcPr>
          <w:p w14:paraId="26871BFD" w14:textId="0308040D" w:rsidR="69A7CBEC" w:rsidRDefault="69A7CBEC" w:rsidP="009F641D">
            <w:pPr>
              <w:pStyle w:val="Text1"/>
              <w:spacing w:after="120"/>
              <w:ind w:left="0"/>
              <w:contextualSpacing/>
              <w:jc w:val="center"/>
              <w:rPr>
                <w:caps/>
                <w:noProof/>
                <w:sz w:val="20"/>
              </w:rPr>
            </w:pPr>
            <w:r w:rsidRPr="69A7CBEC">
              <w:rPr>
                <w:caps/>
                <w:noProof/>
                <w:sz w:val="20"/>
              </w:rPr>
              <w:t>EVALUATION findings:</w:t>
            </w:r>
          </w:p>
        </w:tc>
        <w:tc>
          <w:tcPr>
            <w:tcW w:w="2992" w:type="dxa"/>
          </w:tcPr>
          <w:p w14:paraId="71D14515" w14:textId="46D666CB" w:rsidR="69A7CBEC" w:rsidRDefault="69A7CBEC" w:rsidP="009F641D">
            <w:pPr>
              <w:spacing w:after="120"/>
              <w:contextualSpacing/>
              <w:jc w:val="center"/>
              <w:rPr>
                <w:noProof/>
                <w:sz w:val="20"/>
                <w:szCs w:val="20"/>
              </w:rPr>
            </w:pPr>
            <w:r w:rsidRPr="69A7CBEC">
              <w:rPr>
                <w:noProof/>
                <w:sz w:val="20"/>
                <w:szCs w:val="20"/>
              </w:rPr>
              <w:t>ANNEXES SECTIONS</w:t>
            </w:r>
          </w:p>
        </w:tc>
      </w:tr>
      <w:tr w:rsidR="69A7CBEC" w14:paraId="12B056A2" w14:textId="77777777" w:rsidTr="69A7CBEC">
        <w:trPr>
          <w:trHeight w:val="300"/>
        </w:trPr>
        <w:tc>
          <w:tcPr>
            <w:tcW w:w="6603" w:type="dxa"/>
          </w:tcPr>
          <w:p w14:paraId="0C18FE3A" w14:textId="73BDA434" w:rsidR="69A7CBEC" w:rsidRDefault="3BB85C71" w:rsidP="009F641D">
            <w:pPr>
              <w:pStyle w:val="Text1"/>
              <w:spacing w:after="120"/>
              <w:ind w:left="0"/>
              <w:contextualSpacing/>
              <w:rPr>
                <w:noProof/>
                <w:sz w:val="20"/>
              </w:rPr>
            </w:pPr>
            <w:r w:rsidRPr="0A65545A">
              <w:rPr>
                <w:noProof/>
                <w:sz w:val="20"/>
              </w:rPr>
              <w:t>Independence of NRAs</w:t>
            </w:r>
            <w:r w:rsidR="2A02D7D4" w:rsidRPr="1DACC6C4">
              <w:rPr>
                <w:noProof/>
                <w:sz w:val="20"/>
              </w:rPr>
              <w:t>:</w:t>
            </w:r>
          </w:p>
          <w:p w14:paraId="5829CFD6" w14:textId="0E625344" w:rsidR="1DACC6C4" w:rsidRDefault="03BA6044" w:rsidP="009F641D">
            <w:pPr>
              <w:pStyle w:val="Text1"/>
              <w:numPr>
                <w:ilvl w:val="0"/>
                <w:numId w:val="144"/>
              </w:numPr>
              <w:spacing w:after="120"/>
              <w:contextualSpacing/>
              <w:rPr>
                <w:noProof/>
                <w:sz w:val="20"/>
              </w:rPr>
            </w:pPr>
            <w:r w:rsidRPr="497E3247">
              <w:rPr>
                <w:noProof/>
                <w:sz w:val="20"/>
              </w:rPr>
              <w:t>The EECC introduces stronger formal safeguards for NRA independence, especially concerning the appointment and dismissal of leadership.</w:t>
            </w:r>
          </w:p>
          <w:p w14:paraId="13AD4174" w14:textId="778D2EDD" w:rsidR="009F641D" w:rsidRDefault="03BA6044" w:rsidP="009F641D">
            <w:pPr>
              <w:pStyle w:val="Text1"/>
              <w:numPr>
                <w:ilvl w:val="0"/>
                <w:numId w:val="144"/>
              </w:numPr>
              <w:spacing w:after="120"/>
              <w:contextualSpacing/>
              <w:rPr>
                <w:noProof/>
                <w:sz w:val="20"/>
              </w:rPr>
            </w:pPr>
            <w:r w:rsidRPr="2A1B58D7">
              <w:rPr>
                <w:noProof/>
                <w:sz w:val="20"/>
              </w:rPr>
              <w:t>Member States retain substantial discretion in implementing these provisions, resulting in varied national approaches.</w:t>
            </w:r>
            <w:r w:rsidR="6E77C2D5" w:rsidRPr="5EAE1969">
              <w:rPr>
                <w:noProof/>
                <w:sz w:val="20"/>
              </w:rPr>
              <w:t xml:space="preserve"> </w:t>
            </w:r>
          </w:p>
          <w:p w14:paraId="194D2A70" w14:textId="0658E61F" w:rsidR="009F641D" w:rsidRDefault="03BA6044" w:rsidP="009F641D">
            <w:pPr>
              <w:pStyle w:val="Text1"/>
              <w:numPr>
                <w:ilvl w:val="0"/>
                <w:numId w:val="144"/>
              </w:numPr>
              <w:spacing w:after="120"/>
              <w:contextualSpacing/>
              <w:rPr>
                <w:noProof/>
                <w:sz w:val="20"/>
              </w:rPr>
            </w:pPr>
            <w:r w:rsidRPr="009F641D">
              <w:rPr>
                <w:noProof/>
                <w:sz w:val="20"/>
              </w:rPr>
              <w:t>Despite a harmonised EU-level framework, both de jure and de facto independence of NRAs continue to differ across countries.</w:t>
            </w:r>
          </w:p>
          <w:p w14:paraId="65BB77A2" w14:textId="691B41AF" w:rsidR="69A7CBEC" w:rsidRPr="009F641D" w:rsidRDefault="03BA6044" w:rsidP="009F641D">
            <w:pPr>
              <w:pStyle w:val="Text1"/>
              <w:numPr>
                <w:ilvl w:val="0"/>
                <w:numId w:val="144"/>
              </w:numPr>
              <w:spacing w:after="120"/>
              <w:contextualSpacing/>
              <w:rPr>
                <w:noProof/>
                <w:sz w:val="20"/>
              </w:rPr>
            </w:pPr>
            <w:r w:rsidRPr="009F641D">
              <w:rPr>
                <w:noProof/>
                <w:sz w:val="20"/>
              </w:rPr>
              <w:t>Adequate financial and human resources for NRAs remain essential to ensure effective performance and contribution to EU-wide regulatory coordination through BEREC.</w:t>
            </w:r>
          </w:p>
        </w:tc>
        <w:tc>
          <w:tcPr>
            <w:tcW w:w="2992" w:type="dxa"/>
          </w:tcPr>
          <w:p w14:paraId="0040F498" w14:textId="6B04AE38" w:rsidR="69A7CBEC" w:rsidRPr="00236E38" w:rsidRDefault="4CF3C934" w:rsidP="00236E38">
            <w:pPr>
              <w:pStyle w:val="Heading6"/>
              <w:spacing w:before="0" w:after="120"/>
              <w:ind w:left="0"/>
              <w:contextualSpacing/>
              <w:outlineLvl w:val="5"/>
              <w:rPr>
                <w:rFonts w:ascii="Times New Roman" w:hAnsi="Times New Roman"/>
                <w:noProof/>
                <w:color w:val="auto"/>
                <w:sz w:val="20"/>
                <w:lang w:val="en-GB"/>
              </w:rPr>
            </w:pPr>
            <w:r w:rsidRPr="006B0CE3">
              <w:rPr>
                <w:rFonts w:ascii="Times New Roman" w:hAnsi="Times New Roman"/>
                <w:noProof/>
                <w:color w:val="auto"/>
                <w:sz w:val="20"/>
              </w:rPr>
              <w:t>Annex 11, section 9</w:t>
            </w:r>
            <w:r w:rsidR="28666C12" w:rsidRPr="006B0CE3">
              <w:rPr>
                <w:rFonts w:ascii="Times New Roman" w:hAnsi="Times New Roman"/>
                <w:noProof/>
                <w:color w:val="auto"/>
                <w:sz w:val="20"/>
              </w:rPr>
              <w:t>.1</w:t>
            </w:r>
          </w:p>
        </w:tc>
      </w:tr>
      <w:tr w:rsidR="69A7CBEC" w14:paraId="750CBD96" w14:textId="77777777" w:rsidTr="69A7CBEC">
        <w:trPr>
          <w:trHeight w:val="300"/>
        </w:trPr>
        <w:tc>
          <w:tcPr>
            <w:tcW w:w="6603" w:type="dxa"/>
          </w:tcPr>
          <w:p w14:paraId="73A7F9CE" w14:textId="3FCD4ACA" w:rsidR="69A7CBEC" w:rsidRDefault="28666C12" w:rsidP="009F641D">
            <w:pPr>
              <w:spacing w:after="120"/>
              <w:contextualSpacing/>
              <w:rPr>
                <w:rFonts w:eastAsiaTheme="minorEastAsia"/>
                <w:noProof/>
                <w:sz w:val="20"/>
                <w:szCs w:val="20"/>
              </w:rPr>
            </w:pPr>
            <w:r w:rsidRPr="0A65545A">
              <w:rPr>
                <w:rFonts w:eastAsiaTheme="minorEastAsia"/>
                <w:noProof/>
                <w:sz w:val="20"/>
                <w:szCs w:val="20"/>
              </w:rPr>
              <w:t>BEREC and BEREC Office</w:t>
            </w:r>
            <w:r w:rsidR="377D2F05" w:rsidRPr="7EDFC94C">
              <w:rPr>
                <w:rFonts w:eastAsiaTheme="minorEastAsia"/>
                <w:noProof/>
                <w:sz w:val="20"/>
                <w:szCs w:val="20"/>
              </w:rPr>
              <w:t>:</w:t>
            </w:r>
          </w:p>
          <w:p w14:paraId="64E681FC" w14:textId="41BA9B5A" w:rsidR="69A7CBEC" w:rsidRDefault="29DFB4A5" w:rsidP="009F641D">
            <w:pPr>
              <w:pStyle w:val="ListParagraph"/>
              <w:numPr>
                <w:ilvl w:val="0"/>
                <w:numId w:val="159"/>
              </w:numPr>
              <w:spacing w:after="120"/>
              <w:rPr>
                <w:rFonts w:eastAsia="MS Mincho"/>
                <w:noProof/>
                <w:sz w:val="20"/>
                <w:szCs w:val="20"/>
              </w:rPr>
            </w:pPr>
            <w:r w:rsidRPr="64194805">
              <w:rPr>
                <w:rFonts w:eastAsia="MS Mincho"/>
                <w:noProof/>
                <w:sz w:val="20"/>
                <w:szCs w:val="20"/>
              </w:rPr>
              <w:t>BEREC has effectively delivered on its core objectives and guidelines, though these alone cannot fully drive single-market integration due to necessary national flexibility.</w:t>
            </w:r>
          </w:p>
          <w:p w14:paraId="580424F3" w14:textId="5BA732AF" w:rsidR="69A7CBEC" w:rsidRDefault="29DFB4A5" w:rsidP="009F641D">
            <w:pPr>
              <w:pStyle w:val="ListParagraph"/>
              <w:numPr>
                <w:ilvl w:val="0"/>
                <w:numId w:val="159"/>
              </w:numPr>
              <w:spacing w:after="120"/>
              <w:rPr>
                <w:rFonts w:eastAsia="MS Mincho"/>
                <w:noProof/>
                <w:sz w:val="20"/>
                <w:szCs w:val="20"/>
              </w:rPr>
            </w:pPr>
            <w:r w:rsidRPr="64194805">
              <w:rPr>
                <w:rFonts w:eastAsia="MS Mincho"/>
                <w:noProof/>
                <w:sz w:val="20"/>
                <w:szCs w:val="20"/>
              </w:rPr>
              <w:t xml:space="preserve">Rapid expansion of EU digital regulation—including the </w:t>
            </w:r>
            <w:r w:rsidR="000B2EFA">
              <w:rPr>
                <w:rFonts w:eastAsia="MS Mincho"/>
                <w:noProof/>
                <w:sz w:val="20"/>
                <w:szCs w:val="20"/>
              </w:rPr>
              <w:t>D</w:t>
            </w:r>
            <w:r w:rsidRPr="64194805">
              <w:rPr>
                <w:rFonts w:eastAsia="MS Mincho"/>
                <w:noProof/>
                <w:sz w:val="20"/>
                <w:szCs w:val="20"/>
              </w:rPr>
              <w:t>SA</w:t>
            </w:r>
            <w:r w:rsidRPr="391E16D5">
              <w:rPr>
                <w:rFonts w:eastAsia="MS Mincho"/>
                <w:noProof/>
                <w:sz w:val="20"/>
                <w:szCs w:val="20"/>
              </w:rPr>
              <w:t xml:space="preserve">, </w:t>
            </w:r>
            <w:r w:rsidRPr="64194805">
              <w:rPr>
                <w:rFonts w:eastAsia="MS Mincho"/>
                <w:noProof/>
                <w:sz w:val="20"/>
                <w:szCs w:val="20"/>
              </w:rPr>
              <w:t>DMA</w:t>
            </w:r>
            <w:r w:rsidRPr="391E16D5">
              <w:rPr>
                <w:rFonts w:eastAsia="MS Mincho"/>
                <w:noProof/>
                <w:sz w:val="20"/>
                <w:szCs w:val="20"/>
              </w:rPr>
              <w:t>,</w:t>
            </w:r>
            <w:r w:rsidRPr="64194805">
              <w:rPr>
                <w:rFonts w:eastAsia="MS Mincho"/>
                <w:noProof/>
                <w:sz w:val="20"/>
                <w:szCs w:val="20"/>
              </w:rPr>
              <w:t xml:space="preserve"> Data Act, Data Governance Act, and AI Act—has created new responsibilities for national authorities that are not reflected in BEREC’s mandate, limiting coherent EU-wide action.</w:t>
            </w:r>
          </w:p>
          <w:p w14:paraId="0CC1C873" w14:textId="737959B4" w:rsidR="69A7CBEC" w:rsidRDefault="29DFB4A5" w:rsidP="009F641D">
            <w:pPr>
              <w:pStyle w:val="ListParagraph"/>
              <w:numPr>
                <w:ilvl w:val="0"/>
                <w:numId w:val="159"/>
              </w:numPr>
              <w:spacing w:after="120"/>
              <w:rPr>
                <w:rFonts w:eastAsia="MS Mincho"/>
                <w:noProof/>
                <w:sz w:val="20"/>
                <w:szCs w:val="20"/>
              </w:rPr>
            </w:pPr>
            <w:r w:rsidRPr="64194805">
              <w:rPr>
                <w:rFonts w:eastAsia="MS Mincho"/>
                <w:noProof/>
                <w:sz w:val="20"/>
                <w:szCs w:val="20"/>
              </w:rPr>
              <w:t>NRAs lack many of the powers needed in new digital areas, making BEREC increasingly dependent on structured cooperation with other authorities and on developing new skills.</w:t>
            </w:r>
          </w:p>
          <w:p w14:paraId="18F990BE" w14:textId="11211512" w:rsidR="69A7CBEC" w:rsidRDefault="29DFB4A5" w:rsidP="009F641D">
            <w:pPr>
              <w:pStyle w:val="ListParagraph"/>
              <w:numPr>
                <w:ilvl w:val="0"/>
                <w:numId w:val="159"/>
              </w:numPr>
              <w:spacing w:after="120"/>
              <w:rPr>
                <w:rFonts w:eastAsia="MS Mincho"/>
                <w:noProof/>
                <w:sz w:val="20"/>
                <w:szCs w:val="20"/>
              </w:rPr>
            </w:pPr>
            <w:r w:rsidRPr="64194805">
              <w:rPr>
                <w:rFonts w:eastAsia="MS Mincho"/>
                <w:noProof/>
                <w:sz w:val="20"/>
                <w:szCs w:val="20"/>
              </w:rPr>
              <w:t>Technological convergence involving cloud, edge computing and AI requires BEREC to broaden its expertise and adapt to a more EU-focused governance approach addressing resilience and sustainability.</w:t>
            </w:r>
          </w:p>
          <w:p w14:paraId="4F5ED39E" w14:textId="12B615E0" w:rsidR="2636CDE9" w:rsidRDefault="2636CDE9" w:rsidP="009F641D">
            <w:pPr>
              <w:pStyle w:val="ListParagraph"/>
              <w:numPr>
                <w:ilvl w:val="0"/>
                <w:numId w:val="159"/>
              </w:numPr>
              <w:spacing w:after="120"/>
              <w:rPr>
                <w:rFonts w:eastAsia="MS Mincho"/>
                <w:noProof/>
                <w:sz w:val="20"/>
                <w:szCs w:val="20"/>
              </w:rPr>
            </w:pPr>
            <w:r w:rsidRPr="46DB7924">
              <w:rPr>
                <w:rFonts w:eastAsia="MS Mincho"/>
                <w:noProof/>
                <w:sz w:val="20"/>
                <w:szCs w:val="20"/>
              </w:rPr>
              <w:t xml:space="preserve">Even when taking into account existing instruments addressing the physical or cyber resilience of infrastructures, not sufficient emphasis is given to the EU preparedness for crisis and to the role of national regulatory authorities and BEREC in enhancing the EU preparedness based on an EU networks’ contingency plan.  </w:t>
            </w:r>
          </w:p>
          <w:p w14:paraId="11F4C50A" w14:textId="3DDD869F" w:rsidR="69A7CBEC" w:rsidRDefault="29DFB4A5" w:rsidP="009F641D">
            <w:pPr>
              <w:pStyle w:val="ListParagraph"/>
              <w:numPr>
                <w:ilvl w:val="0"/>
                <w:numId w:val="159"/>
              </w:numPr>
              <w:spacing w:after="120"/>
              <w:rPr>
                <w:rFonts w:eastAsia="MS Mincho"/>
                <w:noProof/>
                <w:sz w:val="20"/>
                <w:szCs w:val="20"/>
              </w:rPr>
            </w:pPr>
            <w:r w:rsidRPr="64194805">
              <w:rPr>
                <w:rFonts w:eastAsia="MS Mincho"/>
                <w:noProof/>
                <w:sz w:val="20"/>
                <w:szCs w:val="20"/>
              </w:rPr>
              <w:t>The BEREC Office provides solid support but needs stronger analytical, data and professional capacities to meet growing regulatory and technological challenges.</w:t>
            </w:r>
          </w:p>
          <w:p w14:paraId="0BAE742C" w14:textId="243EADBD" w:rsidR="69A7CBEC" w:rsidRDefault="29DFB4A5" w:rsidP="009F641D">
            <w:pPr>
              <w:pStyle w:val="ListParagraph"/>
              <w:numPr>
                <w:ilvl w:val="0"/>
                <w:numId w:val="159"/>
              </w:numPr>
              <w:spacing w:after="120"/>
              <w:rPr>
                <w:rFonts w:eastAsia="MS Mincho"/>
                <w:noProof/>
                <w:sz w:val="20"/>
                <w:szCs w:val="20"/>
              </w:rPr>
            </w:pPr>
            <w:r w:rsidRPr="64194805">
              <w:rPr>
                <w:rFonts w:eastAsia="MS Mincho"/>
                <w:noProof/>
                <w:sz w:val="20"/>
                <w:szCs w:val="20"/>
              </w:rPr>
              <w:t>Efficiency is hindered by reliance on larger NRAs, uneven expertise across authorities, high staff turnover in the BEREC Office, and insufficient IT tools; providing more content-related support could improve balance and the quality of outputs.</w:t>
            </w:r>
          </w:p>
          <w:p w14:paraId="4C2BCCA0" w14:textId="353C522C" w:rsidR="69A7CBEC" w:rsidRDefault="29DFB4A5" w:rsidP="009F641D">
            <w:pPr>
              <w:pStyle w:val="ListParagraph"/>
              <w:numPr>
                <w:ilvl w:val="0"/>
                <w:numId w:val="159"/>
              </w:numPr>
              <w:spacing w:after="120"/>
              <w:rPr>
                <w:rFonts w:eastAsia="MS Mincho"/>
                <w:noProof/>
                <w:sz w:val="20"/>
                <w:szCs w:val="20"/>
              </w:rPr>
            </w:pPr>
            <w:r w:rsidRPr="64194805">
              <w:rPr>
                <w:rFonts w:eastAsia="MS Mincho"/>
                <w:noProof/>
                <w:sz w:val="20"/>
                <w:szCs w:val="20"/>
              </w:rPr>
              <w:t>BEREC’s ability to produce coherent outputs would improve through deeper work on emerging topics such as AI, cybersecurity, sustainability and spectrum, particularly for cross-border satellite services.</w:t>
            </w:r>
          </w:p>
          <w:p w14:paraId="0ED898B8" w14:textId="1C1B9AE5" w:rsidR="69A7CBEC" w:rsidRDefault="29DFB4A5" w:rsidP="009F641D">
            <w:pPr>
              <w:pStyle w:val="ListParagraph"/>
              <w:numPr>
                <w:ilvl w:val="0"/>
                <w:numId w:val="159"/>
              </w:numPr>
              <w:spacing w:after="120"/>
              <w:rPr>
                <w:rFonts w:eastAsia="MS Mincho"/>
                <w:noProof/>
                <w:sz w:val="20"/>
                <w:szCs w:val="20"/>
              </w:rPr>
            </w:pPr>
            <w:r w:rsidRPr="64194805">
              <w:rPr>
                <w:rFonts w:eastAsia="MS Mincho"/>
                <w:noProof/>
                <w:sz w:val="20"/>
                <w:szCs w:val="20"/>
              </w:rPr>
              <w:t>Although BEREC brings clear EU added value, its consensus-driven structure and limited mandate restrict its role in advancing harmonisation and ensuring relevance as markets become more pan-European and complex.</w:t>
            </w:r>
          </w:p>
        </w:tc>
        <w:tc>
          <w:tcPr>
            <w:tcW w:w="2992" w:type="dxa"/>
          </w:tcPr>
          <w:p w14:paraId="4D6EA4E1" w14:textId="4C959C32" w:rsidR="69A7CBEC" w:rsidRPr="00236E38" w:rsidRDefault="28666C12" w:rsidP="00236E38">
            <w:pPr>
              <w:pStyle w:val="Heading6"/>
              <w:spacing w:before="0" w:after="120"/>
              <w:ind w:left="0"/>
              <w:contextualSpacing/>
              <w:outlineLvl w:val="5"/>
              <w:rPr>
                <w:rFonts w:ascii="Times New Roman" w:hAnsi="Times New Roman"/>
                <w:noProof/>
                <w:color w:val="auto"/>
                <w:sz w:val="20"/>
                <w:lang w:val="en-US"/>
              </w:rPr>
            </w:pPr>
            <w:r w:rsidRPr="00236E38">
              <w:rPr>
                <w:rFonts w:ascii="Times New Roman" w:hAnsi="Times New Roman"/>
                <w:noProof/>
                <w:color w:val="auto"/>
                <w:sz w:val="20"/>
              </w:rPr>
              <w:t>Annex 11, section 9.2</w:t>
            </w:r>
            <w:r w:rsidR="26CD6401" w:rsidRPr="00236E38">
              <w:rPr>
                <w:rFonts w:ascii="Times New Roman" w:hAnsi="Times New Roman"/>
                <w:noProof/>
                <w:color w:val="auto"/>
                <w:sz w:val="20"/>
              </w:rPr>
              <w:t xml:space="preserve"> and appendix III </w:t>
            </w:r>
            <w:r w:rsidR="26CD6401" w:rsidRPr="006B0CE3">
              <w:rPr>
                <w:rFonts w:ascii="Times New Roman" w:hAnsi="Times New Roman"/>
                <w:noProof/>
                <w:color w:val="auto"/>
                <w:sz w:val="20"/>
              </w:rPr>
              <w:t>to the Evaluation Report</w:t>
            </w:r>
            <w:r w:rsidRPr="00236E38">
              <w:rPr>
                <w:rFonts w:ascii="Times New Roman" w:hAnsi="Times New Roman"/>
                <w:noProof/>
                <w:color w:val="auto"/>
                <w:sz w:val="20"/>
              </w:rPr>
              <w:t>.</w:t>
            </w:r>
          </w:p>
          <w:p w14:paraId="04746C5A" w14:textId="1304BFB6" w:rsidR="69A7CBEC" w:rsidRPr="00292895" w:rsidRDefault="69A7CBEC" w:rsidP="009F641D">
            <w:pPr>
              <w:spacing w:after="120"/>
              <w:contextualSpacing/>
              <w:rPr>
                <w:noProof/>
              </w:rPr>
            </w:pPr>
          </w:p>
          <w:p w14:paraId="1225E98C" w14:textId="703B0287" w:rsidR="69A7CBEC" w:rsidRDefault="69A7CBEC" w:rsidP="009F641D">
            <w:pPr>
              <w:spacing w:after="120"/>
              <w:contextualSpacing/>
              <w:rPr>
                <w:noProof/>
              </w:rPr>
            </w:pPr>
          </w:p>
          <w:p w14:paraId="43FCDEA9" w14:textId="1F2FE795" w:rsidR="69A7CBEC" w:rsidRDefault="69A7CBEC" w:rsidP="009F641D">
            <w:pPr>
              <w:spacing w:after="120"/>
              <w:contextualSpacing/>
              <w:rPr>
                <w:noProof/>
              </w:rPr>
            </w:pPr>
          </w:p>
          <w:p w14:paraId="25720B51" w14:textId="6D6F648B" w:rsidR="69A7CBEC" w:rsidRDefault="69A7CBEC" w:rsidP="009F641D">
            <w:pPr>
              <w:spacing w:after="120"/>
              <w:contextualSpacing/>
              <w:rPr>
                <w:noProof/>
              </w:rPr>
            </w:pPr>
          </w:p>
          <w:p w14:paraId="5074FC8B" w14:textId="0CE8923D" w:rsidR="69A7CBEC" w:rsidRDefault="69A7CBEC" w:rsidP="009F641D">
            <w:pPr>
              <w:spacing w:after="120"/>
              <w:contextualSpacing/>
              <w:rPr>
                <w:noProof/>
              </w:rPr>
            </w:pPr>
          </w:p>
          <w:p w14:paraId="5FAC7F68" w14:textId="0BDB70A4" w:rsidR="69A7CBEC" w:rsidRDefault="0B140E36" w:rsidP="009F641D">
            <w:pPr>
              <w:spacing w:after="120"/>
              <w:contextualSpacing/>
              <w:rPr>
                <w:noProof/>
                <w:sz w:val="20"/>
                <w:szCs w:val="20"/>
              </w:rPr>
            </w:pPr>
            <w:r w:rsidRPr="217737EC">
              <w:rPr>
                <w:noProof/>
                <w:sz w:val="20"/>
                <w:szCs w:val="20"/>
              </w:rPr>
              <w:t xml:space="preserve">Annex 11, section 3.4 General objectives </w:t>
            </w:r>
            <w:r w:rsidR="7541E080" w:rsidRPr="78C34EBF">
              <w:rPr>
                <w:noProof/>
                <w:sz w:val="20"/>
                <w:szCs w:val="20"/>
              </w:rPr>
              <w:t>(</w:t>
            </w:r>
            <w:r w:rsidR="7541E080" w:rsidRPr="64BD94F3">
              <w:rPr>
                <w:noProof/>
                <w:sz w:val="20"/>
                <w:szCs w:val="20"/>
              </w:rPr>
              <w:t xml:space="preserve">on the </w:t>
            </w:r>
            <w:r w:rsidR="7541E080" w:rsidRPr="6B0D5E5D">
              <w:rPr>
                <w:noProof/>
                <w:sz w:val="20"/>
                <w:szCs w:val="20"/>
              </w:rPr>
              <w:t>resilience of infrastructures)</w:t>
            </w:r>
          </w:p>
          <w:p w14:paraId="77B511F6" w14:textId="3E04B049" w:rsidR="69A7CBEC" w:rsidRPr="00292895" w:rsidRDefault="69A7CBEC" w:rsidP="009F641D">
            <w:pPr>
              <w:spacing w:after="120"/>
              <w:contextualSpacing/>
              <w:rPr>
                <w:noProof/>
              </w:rPr>
            </w:pPr>
          </w:p>
        </w:tc>
      </w:tr>
      <w:tr w:rsidR="0A65545A" w14:paraId="676CB79E" w14:textId="77777777" w:rsidTr="0A65545A">
        <w:trPr>
          <w:trHeight w:val="300"/>
        </w:trPr>
        <w:tc>
          <w:tcPr>
            <w:tcW w:w="6603" w:type="dxa"/>
          </w:tcPr>
          <w:p w14:paraId="343DDD23" w14:textId="25C1DB01" w:rsidR="307519D5" w:rsidRPr="00FC5AB8" w:rsidRDefault="28666C12" w:rsidP="009F641D">
            <w:pPr>
              <w:spacing w:after="120"/>
              <w:contextualSpacing/>
              <w:rPr>
                <w:rFonts w:eastAsiaTheme="minorEastAsia"/>
                <w:noProof/>
                <w:sz w:val="20"/>
                <w:szCs w:val="20"/>
              </w:rPr>
            </w:pPr>
            <w:r w:rsidRPr="00FC5AB8">
              <w:rPr>
                <w:rFonts w:eastAsiaTheme="minorEastAsia"/>
                <w:noProof/>
                <w:sz w:val="20"/>
                <w:szCs w:val="20"/>
              </w:rPr>
              <w:t>RSPG</w:t>
            </w:r>
            <w:r w:rsidR="7658D392" w:rsidRPr="00FC5AB8">
              <w:rPr>
                <w:rFonts w:eastAsiaTheme="minorEastAsia"/>
                <w:noProof/>
                <w:sz w:val="20"/>
                <w:szCs w:val="20"/>
              </w:rPr>
              <w:t>:</w:t>
            </w:r>
          </w:p>
          <w:p w14:paraId="6888D65D" w14:textId="25FDAFD1" w:rsidR="307519D5" w:rsidRPr="009B032B" w:rsidRDefault="6A09817C" w:rsidP="009F641D">
            <w:pPr>
              <w:pStyle w:val="ListParagraph"/>
              <w:numPr>
                <w:ilvl w:val="0"/>
                <w:numId w:val="159"/>
              </w:numPr>
              <w:spacing w:after="120"/>
              <w:rPr>
                <w:rFonts w:eastAsia="MS Mincho"/>
                <w:noProof/>
                <w:sz w:val="20"/>
                <w:szCs w:val="20"/>
              </w:rPr>
            </w:pPr>
            <w:r w:rsidRPr="1E17F779">
              <w:rPr>
                <w:rFonts w:eastAsia="MS Mincho"/>
                <w:noProof/>
                <w:sz w:val="20"/>
                <w:szCs w:val="20"/>
              </w:rPr>
              <w:t>The RSPG provides high added value to EU spectrum policymaking through its opinions, reports, and strong contribution to WRC preparations, despite operating with very limited administrative resources.</w:t>
            </w:r>
          </w:p>
          <w:p w14:paraId="437508B1" w14:textId="385056D1" w:rsidR="00683A1A" w:rsidRPr="00A84376" w:rsidRDefault="00160F1F" w:rsidP="009F641D">
            <w:pPr>
              <w:pStyle w:val="ListParagraph"/>
              <w:numPr>
                <w:ilvl w:val="0"/>
                <w:numId w:val="159"/>
              </w:numPr>
              <w:spacing w:after="120"/>
              <w:rPr>
                <w:rFonts w:eastAsia="MS Mincho"/>
                <w:noProof/>
                <w:sz w:val="20"/>
                <w:szCs w:val="20"/>
              </w:rPr>
            </w:pPr>
            <w:r w:rsidRPr="00292895">
              <w:rPr>
                <w:rFonts w:eastAsia="MS Mincho"/>
                <w:noProof/>
                <w:sz w:val="20"/>
                <w:szCs w:val="20"/>
              </w:rPr>
              <w:t>T</w:t>
            </w:r>
            <w:r w:rsidR="00A84376" w:rsidRPr="00292895">
              <w:rPr>
                <w:rFonts w:eastAsia="MS Mincho"/>
                <w:noProof/>
                <w:sz w:val="20"/>
                <w:szCs w:val="20"/>
              </w:rPr>
              <w:t xml:space="preserve">he </w:t>
            </w:r>
            <w:r w:rsidR="00A84376" w:rsidRPr="00292895">
              <w:rPr>
                <w:noProof/>
                <w:sz w:val="20"/>
                <w:szCs w:val="20"/>
              </w:rPr>
              <w:t>RSPG</w:t>
            </w:r>
            <w:r w:rsidR="00D162C8" w:rsidRPr="00292895">
              <w:rPr>
                <w:noProof/>
                <w:sz w:val="20"/>
                <w:szCs w:val="20"/>
              </w:rPr>
              <w:t xml:space="preserve"> has </w:t>
            </w:r>
            <w:r w:rsidR="00D162C8" w:rsidRPr="00292895">
              <w:rPr>
                <w:rFonts w:eastAsia="MS Mincho"/>
                <w:noProof/>
                <w:sz w:val="20"/>
                <w:szCs w:val="20"/>
              </w:rPr>
              <w:t>a</w:t>
            </w:r>
            <w:r w:rsidR="00A84376" w:rsidRPr="00292895">
              <w:rPr>
                <w:noProof/>
                <w:sz w:val="20"/>
                <w:szCs w:val="20"/>
              </w:rPr>
              <w:t xml:space="preserve"> tendenc</w:t>
            </w:r>
            <w:r w:rsidR="00A84376" w:rsidRPr="00292895">
              <w:rPr>
                <w:rFonts w:eastAsia="MS Mincho"/>
                <w:noProof/>
                <w:sz w:val="20"/>
                <w:szCs w:val="20"/>
              </w:rPr>
              <w:t>y</w:t>
            </w:r>
            <w:r w:rsidR="00A84376" w:rsidRPr="00292895">
              <w:rPr>
                <w:noProof/>
                <w:sz w:val="20"/>
                <w:szCs w:val="20"/>
              </w:rPr>
              <w:t xml:space="preserve"> to focus mainly on technical issues</w:t>
            </w:r>
            <w:r w:rsidR="00FE7721" w:rsidRPr="00292895">
              <w:rPr>
                <w:noProof/>
                <w:sz w:val="20"/>
                <w:szCs w:val="20"/>
              </w:rPr>
              <w:t xml:space="preserve">, and to </w:t>
            </w:r>
            <w:r w:rsidR="00A84376" w:rsidRPr="00292895">
              <w:rPr>
                <w:rFonts w:eastAsia="MS Mincho"/>
                <w:noProof/>
                <w:sz w:val="20"/>
                <w:szCs w:val="20"/>
              </w:rPr>
              <w:t>a le</w:t>
            </w:r>
            <w:r w:rsidR="00A84376" w:rsidRPr="00292895">
              <w:rPr>
                <w:noProof/>
                <w:sz w:val="20"/>
                <w:szCs w:val="20"/>
              </w:rPr>
              <w:t xml:space="preserve">sser degree </w:t>
            </w:r>
            <w:r w:rsidR="00E25089" w:rsidRPr="00292895">
              <w:rPr>
                <w:rFonts w:eastAsia="MS Mincho"/>
                <w:noProof/>
                <w:sz w:val="20"/>
                <w:szCs w:val="20"/>
              </w:rPr>
              <w:t xml:space="preserve">on </w:t>
            </w:r>
            <w:r w:rsidR="00A84376" w:rsidRPr="00292895">
              <w:rPr>
                <w:noProof/>
                <w:sz w:val="20"/>
                <w:szCs w:val="20"/>
              </w:rPr>
              <w:t>economic, political, cultural, strategic, health and social considerations</w:t>
            </w:r>
            <w:r w:rsidR="00E25089" w:rsidRPr="00292895">
              <w:rPr>
                <w:noProof/>
                <w:sz w:val="20"/>
                <w:szCs w:val="20"/>
              </w:rPr>
              <w:t xml:space="preserve">, which are also part </w:t>
            </w:r>
            <w:r w:rsidR="00854809" w:rsidRPr="00292895">
              <w:rPr>
                <w:noProof/>
                <w:sz w:val="20"/>
                <w:szCs w:val="20"/>
              </w:rPr>
              <w:t xml:space="preserve">of its mandate. </w:t>
            </w:r>
            <w:r w:rsidR="009F0C32" w:rsidRPr="00292895">
              <w:rPr>
                <w:noProof/>
                <w:sz w:val="20"/>
                <w:szCs w:val="20"/>
              </w:rPr>
              <w:t xml:space="preserve">Sometimes, </w:t>
            </w:r>
            <w:r w:rsidR="00A03E5A" w:rsidRPr="00292895">
              <w:rPr>
                <w:noProof/>
                <w:sz w:val="20"/>
                <w:szCs w:val="20"/>
              </w:rPr>
              <w:t xml:space="preserve">the opinions </w:t>
            </w:r>
            <w:r w:rsidR="00CD4523" w:rsidRPr="00292895">
              <w:rPr>
                <w:noProof/>
                <w:sz w:val="20"/>
                <w:szCs w:val="20"/>
              </w:rPr>
              <w:t xml:space="preserve">lack </w:t>
            </w:r>
            <w:r w:rsidR="0097084F" w:rsidRPr="00292895">
              <w:rPr>
                <w:noProof/>
                <w:sz w:val="20"/>
                <w:szCs w:val="20"/>
              </w:rPr>
              <w:t>the EU vision</w:t>
            </w:r>
            <w:r w:rsidR="00BA3402">
              <w:rPr>
                <w:noProof/>
                <w:sz w:val="20"/>
                <w:szCs w:val="20"/>
              </w:rPr>
              <w:t>.</w:t>
            </w:r>
            <w:r w:rsidR="0097084F" w:rsidRPr="00292895">
              <w:rPr>
                <w:noProof/>
                <w:sz w:val="20"/>
                <w:szCs w:val="20"/>
              </w:rPr>
              <w:t xml:space="preserve"> </w:t>
            </w:r>
          </w:p>
          <w:p w14:paraId="1F685B1F" w14:textId="7BC94A53" w:rsidR="00B1744B" w:rsidRDefault="00B419C9" w:rsidP="009F641D">
            <w:pPr>
              <w:pStyle w:val="ListParagraph"/>
              <w:numPr>
                <w:ilvl w:val="0"/>
                <w:numId w:val="159"/>
              </w:numPr>
              <w:spacing w:after="120"/>
              <w:rPr>
                <w:rFonts w:eastAsia="MS Mincho"/>
                <w:noProof/>
                <w:sz w:val="20"/>
                <w:szCs w:val="20"/>
              </w:rPr>
            </w:pPr>
            <w:r>
              <w:rPr>
                <w:rFonts w:eastAsia="MS Mincho"/>
                <w:noProof/>
                <w:sz w:val="20"/>
                <w:szCs w:val="20"/>
              </w:rPr>
              <w:t>E</w:t>
            </w:r>
            <w:r w:rsidR="6A09817C" w:rsidRPr="34FE8594">
              <w:rPr>
                <w:rFonts w:eastAsia="MS Mincho"/>
                <w:noProof/>
                <w:sz w:val="20"/>
                <w:szCs w:val="20"/>
              </w:rPr>
              <w:t xml:space="preserve">ffectiveness </w:t>
            </w:r>
            <w:r>
              <w:rPr>
                <w:rFonts w:eastAsia="MS Mincho"/>
                <w:noProof/>
                <w:sz w:val="20"/>
                <w:szCs w:val="20"/>
              </w:rPr>
              <w:t>of its</w:t>
            </w:r>
            <w:r w:rsidR="008528CA">
              <w:rPr>
                <w:rFonts w:eastAsia="MS Mincho"/>
                <w:noProof/>
                <w:sz w:val="20"/>
                <w:szCs w:val="20"/>
              </w:rPr>
              <w:t xml:space="preserve"> </w:t>
            </w:r>
            <w:r w:rsidR="00B1744B">
              <w:rPr>
                <w:rFonts w:eastAsia="MS Mincho"/>
                <w:noProof/>
                <w:sz w:val="20"/>
                <w:szCs w:val="20"/>
              </w:rPr>
              <w:t>peer re</w:t>
            </w:r>
            <w:r w:rsidR="007E0284">
              <w:rPr>
                <w:rFonts w:eastAsia="MS Mincho"/>
                <w:noProof/>
                <w:sz w:val="20"/>
                <w:szCs w:val="20"/>
              </w:rPr>
              <w:t xml:space="preserve">view </w:t>
            </w:r>
            <w:r w:rsidR="00CC61D4">
              <w:rPr>
                <w:rFonts w:eastAsia="MS Mincho"/>
                <w:noProof/>
                <w:sz w:val="20"/>
                <w:szCs w:val="20"/>
              </w:rPr>
              <w:t>mechanism</w:t>
            </w:r>
            <w:r w:rsidR="00636DED" w:rsidRPr="34FE8594">
              <w:rPr>
                <w:rFonts w:eastAsia="MS Mincho"/>
                <w:noProof/>
                <w:sz w:val="20"/>
                <w:szCs w:val="20"/>
              </w:rPr>
              <w:t xml:space="preserve"> </w:t>
            </w:r>
            <w:r w:rsidR="008528CA">
              <w:rPr>
                <w:rFonts w:eastAsia="MS Mincho"/>
                <w:noProof/>
                <w:sz w:val="20"/>
                <w:szCs w:val="20"/>
              </w:rPr>
              <w:t>is</w:t>
            </w:r>
            <w:r w:rsidR="00496A3F" w:rsidRPr="34FE8594">
              <w:rPr>
                <w:rFonts w:eastAsia="MS Mincho"/>
                <w:noProof/>
                <w:sz w:val="20"/>
                <w:szCs w:val="20"/>
              </w:rPr>
              <w:t xml:space="preserve"> </w:t>
            </w:r>
            <w:r w:rsidR="6A09817C" w:rsidRPr="34FE8594">
              <w:rPr>
                <w:rFonts w:eastAsia="MS Mincho"/>
                <w:noProof/>
                <w:sz w:val="20"/>
                <w:szCs w:val="20"/>
              </w:rPr>
              <w:t xml:space="preserve">increasingly constrained: </w:t>
            </w:r>
            <w:r w:rsidR="007E0284">
              <w:rPr>
                <w:rFonts w:eastAsia="MS Mincho"/>
                <w:noProof/>
                <w:sz w:val="20"/>
                <w:szCs w:val="20"/>
              </w:rPr>
              <w:t xml:space="preserve">it </w:t>
            </w:r>
            <w:r w:rsidR="6A09817C" w:rsidRPr="34FE8594">
              <w:rPr>
                <w:rFonts w:eastAsia="MS Mincho"/>
                <w:noProof/>
                <w:sz w:val="20"/>
                <w:szCs w:val="20"/>
              </w:rPr>
              <w:t>has not influenced national authorisation practices, and voluntary participation prevents consistent alignment with EECC objectives</w:t>
            </w:r>
            <w:r w:rsidR="00BA3402">
              <w:rPr>
                <w:rFonts w:eastAsia="MS Mincho"/>
                <w:noProof/>
                <w:sz w:val="20"/>
                <w:szCs w:val="20"/>
              </w:rPr>
              <w:t>.</w:t>
            </w:r>
            <w:r w:rsidR="00B7690E">
              <w:rPr>
                <w:rFonts w:eastAsia="MS Mincho"/>
                <w:noProof/>
                <w:sz w:val="20"/>
                <w:szCs w:val="20"/>
              </w:rPr>
              <w:t xml:space="preserve"> </w:t>
            </w:r>
          </w:p>
          <w:p w14:paraId="387FA90A" w14:textId="7435416B" w:rsidR="307519D5" w:rsidRDefault="00B1744B" w:rsidP="009F641D">
            <w:pPr>
              <w:pStyle w:val="ListParagraph"/>
              <w:numPr>
                <w:ilvl w:val="0"/>
                <w:numId w:val="159"/>
              </w:numPr>
              <w:spacing w:after="120"/>
              <w:rPr>
                <w:rFonts w:eastAsia="MS Mincho"/>
                <w:noProof/>
                <w:sz w:val="20"/>
                <w:szCs w:val="20"/>
              </w:rPr>
            </w:pPr>
            <w:r>
              <w:rPr>
                <w:rFonts w:eastAsia="MS Mincho"/>
                <w:noProof/>
                <w:sz w:val="20"/>
                <w:szCs w:val="20"/>
              </w:rPr>
              <w:t>The RSPG</w:t>
            </w:r>
            <w:r w:rsidR="00B7690E">
              <w:rPr>
                <w:rFonts w:eastAsia="MS Mincho"/>
                <w:noProof/>
                <w:sz w:val="20"/>
                <w:szCs w:val="20"/>
              </w:rPr>
              <w:t xml:space="preserve"> Good Offices </w:t>
            </w:r>
            <w:r w:rsidR="008B45D7">
              <w:rPr>
                <w:rFonts w:eastAsia="MS Mincho"/>
                <w:noProof/>
                <w:sz w:val="20"/>
                <w:szCs w:val="20"/>
              </w:rPr>
              <w:t xml:space="preserve">lack appropriate tools </w:t>
            </w:r>
            <w:r w:rsidR="00382DB2">
              <w:rPr>
                <w:rFonts w:eastAsia="MS Mincho"/>
                <w:noProof/>
                <w:sz w:val="20"/>
                <w:szCs w:val="20"/>
              </w:rPr>
              <w:t xml:space="preserve">for solving interference </w:t>
            </w:r>
            <w:r w:rsidR="0015751B" w:rsidRPr="0015751B">
              <w:rPr>
                <w:rFonts w:eastAsia="MS Mincho"/>
                <w:noProof/>
                <w:sz w:val="20"/>
                <w:szCs w:val="20"/>
              </w:rPr>
              <w:t>issues with third countries or, between Member States involving the non-EU harmonised spectrum</w:t>
            </w:r>
            <w:r w:rsidR="00BA3402">
              <w:rPr>
                <w:rFonts w:eastAsia="MS Mincho"/>
                <w:noProof/>
                <w:sz w:val="20"/>
                <w:szCs w:val="20"/>
              </w:rPr>
              <w:t>.</w:t>
            </w:r>
          </w:p>
          <w:p w14:paraId="5475FEE9" w14:textId="3A1B9C09" w:rsidR="0075729C" w:rsidRDefault="6A09817C" w:rsidP="009F641D">
            <w:pPr>
              <w:pStyle w:val="ListParagraph"/>
              <w:numPr>
                <w:ilvl w:val="0"/>
                <w:numId w:val="159"/>
              </w:numPr>
              <w:spacing w:after="120"/>
              <w:rPr>
                <w:rFonts w:eastAsia="MS Mincho"/>
                <w:noProof/>
                <w:sz w:val="20"/>
                <w:szCs w:val="20"/>
              </w:rPr>
            </w:pPr>
            <w:r w:rsidRPr="34FE8594">
              <w:rPr>
                <w:rFonts w:eastAsia="MS Mincho"/>
                <w:noProof/>
                <w:sz w:val="20"/>
                <w:szCs w:val="20"/>
              </w:rPr>
              <w:t>Member State participation and engagement vary significantly, with smaller administrations often unable to contribute across all workstreams, limiting the group’s ability to produce balanced and comprehensive outputs.</w:t>
            </w:r>
          </w:p>
          <w:p w14:paraId="64DEAD6A" w14:textId="6D7A6B50" w:rsidR="28666C12" w:rsidRPr="0075729C" w:rsidRDefault="6A09817C" w:rsidP="009F641D">
            <w:pPr>
              <w:pStyle w:val="ListParagraph"/>
              <w:numPr>
                <w:ilvl w:val="0"/>
                <w:numId w:val="155"/>
              </w:numPr>
              <w:spacing w:after="120"/>
              <w:ind w:left="672" w:hanging="312"/>
              <w:rPr>
                <w:rFonts w:eastAsia="MS Mincho"/>
                <w:noProof/>
              </w:rPr>
            </w:pPr>
            <w:r w:rsidRPr="00BA1661">
              <w:rPr>
                <w:rFonts w:eastAsia="MS Mincho"/>
                <w:noProof/>
                <w:sz w:val="20"/>
                <w:szCs w:val="20"/>
              </w:rPr>
              <w:t>Cooperation with other EU bodies—especially BEREC—is insufficient, hindering the development of holistic, cross-sector spectrum policies and weakening coherence across the governance framework.</w:t>
            </w:r>
          </w:p>
        </w:tc>
        <w:tc>
          <w:tcPr>
            <w:tcW w:w="2992" w:type="dxa"/>
          </w:tcPr>
          <w:p w14:paraId="77CEA358" w14:textId="59ED22C2" w:rsidR="28666C12" w:rsidRDefault="28666C12" w:rsidP="00236E38">
            <w:pPr>
              <w:pStyle w:val="Heading6"/>
              <w:spacing w:before="0" w:after="120"/>
              <w:ind w:left="0"/>
              <w:contextualSpacing/>
              <w:outlineLvl w:val="5"/>
              <w:rPr>
                <w:noProof/>
                <w:sz w:val="20"/>
                <w:szCs w:val="20"/>
                <w:lang w:val="fr-FR"/>
              </w:rPr>
            </w:pPr>
            <w:r w:rsidRPr="006B0CE3">
              <w:rPr>
                <w:rFonts w:ascii="Times New Roman" w:hAnsi="Times New Roman"/>
                <w:noProof/>
                <w:color w:val="auto"/>
                <w:sz w:val="20"/>
              </w:rPr>
              <w:t>Annex 11, section 9.3.</w:t>
            </w:r>
          </w:p>
        </w:tc>
      </w:tr>
    </w:tbl>
    <w:p w14:paraId="76CC75CC" w14:textId="71796851" w:rsidR="00A02FB1" w:rsidRPr="00DE264C" w:rsidRDefault="00A02FB1" w:rsidP="009B117E">
      <w:pPr>
        <w:rPr>
          <w:noProof/>
          <w:color w:val="000000" w:themeColor="text1"/>
          <w:lang w:val="en-IE"/>
        </w:rPr>
      </w:pPr>
    </w:p>
    <w:p w14:paraId="16A2A403" w14:textId="77777777" w:rsidR="006B087E" w:rsidRPr="00DE264C" w:rsidRDefault="006B087E" w:rsidP="006B0CE3">
      <w:pPr>
        <w:pStyle w:val="Heading2"/>
        <w:rPr>
          <w:noProof/>
        </w:rPr>
      </w:pPr>
      <w:bookmarkStart w:id="67" w:name="_Toc214467693"/>
      <w:bookmarkStart w:id="68" w:name="_Toc215083720"/>
      <w:bookmarkStart w:id="69" w:name="_Toc219212488"/>
      <w:bookmarkStart w:id="70" w:name="_Toc219718143"/>
      <w:r w:rsidRPr="00DE264C">
        <w:rPr>
          <w:noProof/>
        </w:rPr>
        <w:t>What are the problem drivers?</w:t>
      </w:r>
      <w:bookmarkEnd w:id="67"/>
      <w:bookmarkEnd w:id="68"/>
      <w:bookmarkEnd w:id="69"/>
      <w:bookmarkEnd w:id="70"/>
    </w:p>
    <w:p w14:paraId="5AB40688" w14:textId="683979C1" w:rsidR="008D0B47" w:rsidRPr="00DE264C" w:rsidRDefault="00C404B6" w:rsidP="00053713">
      <w:pPr>
        <w:pStyle w:val="Heading3"/>
        <w:ind w:left="709" w:hanging="709"/>
        <w:rPr>
          <w:noProof/>
        </w:rPr>
      </w:pPr>
      <w:bookmarkStart w:id="71" w:name="_Toc214467694"/>
      <w:bookmarkStart w:id="72" w:name="_Toc215083721"/>
      <w:bookmarkStart w:id="73" w:name="_Toc219212489"/>
      <w:bookmarkStart w:id="74" w:name="_Toc219718144"/>
      <w:r>
        <w:rPr>
          <w:noProof/>
        </w:rPr>
        <w:t>Fixed network</w:t>
      </w:r>
      <w:r w:rsidR="001E3F20">
        <w:rPr>
          <w:noProof/>
        </w:rPr>
        <w:t>s</w:t>
      </w:r>
      <w:bookmarkEnd w:id="71"/>
      <w:bookmarkEnd w:id="72"/>
      <w:bookmarkEnd w:id="73"/>
      <w:bookmarkEnd w:id="74"/>
    </w:p>
    <w:p w14:paraId="47EACF29" w14:textId="0F5BCEFE" w:rsidR="00A6537F" w:rsidRDefault="00A6537F" w:rsidP="00053713">
      <w:pPr>
        <w:spacing w:line="240" w:lineRule="auto"/>
        <w:rPr>
          <w:noProof/>
        </w:rPr>
      </w:pPr>
      <w:r>
        <w:rPr>
          <w:noProof/>
        </w:rPr>
        <w:t xml:space="preserve">The deployment of fibre networks and the take-up of fibre-based services has developed differently across the EU. </w:t>
      </w:r>
    </w:p>
    <w:p w14:paraId="161A363B" w14:textId="77777777" w:rsidR="00A6537F" w:rsidRDefault="00A6537F" w:rsidP="00053713">
      <w:pPr>
        <w:spacing w:line="240" w:lineRule="auto"/>
        <w:rPr>
          <w:noProof/>
        </w:rPr>
      </w:pPr>
      <w:r>
        <w:rPr>
          <w:noProof/>
        </w:rPr>
        <w:t>Regulatory approaches and business choices have had a significant but varied influence on fibre deployment and on the FTTH coverage achieved to date. The first section below presents the effects of the various regulatory approaches and business choices on fibre deployment. The second section describes why the persistence of copper networks has been detrimental to fibre deployment and take-up.</w:t>
      </w:r>
    </w:p>
    <w:p w14:paraId="37CD6161" w14:textId="7DA18F44" w:rsidR="00A6537F" w:rsidRPr="00DE264C" w:rsidRDefault="00A6537F" w:rsidP="00053713">
      <w:pPr>
        <w:spacing w:line="240" w:lineRule="auto"/>
        <w:rPr>
          <w:noProof/>
        </w:rPr>
      </w:pPr>
      <w:r>
        <w:rPr>
          <w:noProof/>
        </w:rPr>
        <w:t xml:space="preserve">It should be mentioned that other aspects are also relevant but are not analysed </w:t>
      </w:r>
      <w:r w:rsidR="003869A9">
        <w:rPr>
          <w:noProof/>
        </w:rPr>
        <w:t xml:space="preserve">in detail </w:t>
      </w:r>
      <w:r>
        <w:rPr>
          <w:noProof/>
        </w:rPr>
        <w:t xml:space="preserve">because they cannot be </w:t>
      </w:r>
      <w:r w:rsidR="00F94B1D">
        <w:rPr>
          <w:noProof/>
        </w:rPr>
        <w:t xml:space="preserve">directly </w:t>
      </w:r>
      <w:r>
        <w:rPr>
          <w:noProof/>
        </w:rPr>
        <w:t>addressed by policy interventions. These are for example, consumer inertia, social/cultural preference for fibre technology</w:t>
      </w:r>
      <w:r w:rsidR="00E75C83">
        <w:rPr>
          <w:noProof/>
        </w:rPr>
        <w:t>, income levels</w:t>
      </w:r>
      <w:r>
        <w:rPr>
          <w:noProof/>
        </w:rPr>
        <w:t xml:space="preserve"> and price sensitivity.</w:t>
      </w:r>
    </w:p>
    <w:p w14:paraId="2D2BB6E1" w14:textId="7A874FD5" w:rsidR="006929E6" w:rsidRDefault="006929E6" w:rsidP="00053713">
      <w:pPr>
        <w:spacing w:line="240" w:lineRule="auto"/>
        <w:rPr>
          <w:noProof/>
        </w:rPr>
      </w:pPr>
      <w:r>
        <w:rPr>
          <w:noProof/>
        </w:rPr>
        <w:t xml:space="preserve">The table below provides a </w:t>
      </w:r>
      <w:r w:rsidR="000B6ECF">
        <w:rPr>
          <w:noProof/>
        </w:rPr>
        <w:t>concise overview</w:t>
      </w:r>
      <w:r>
        <w:rPr>
          <w:noProof/>
        </w:rPr>
        <w:t xml:space="preserve"> of the problem drivers and how they relate to the core issue</w:t>
      </w:r>
      <w:r w:rsidR="00D80887">
        <w:rPr>
          <w:noProof/>
        </w:rPr>
        <w:t xml:space="preserve"> i.e., slow deployment and adoption of fibre</w:t>
      </w:r>
      <w:r>
        <w:rPr>
          <w:noProof/>
        </w:rPr>
        <w:t xml:space="preserve">. </w:t>
      </w:r>
    </w:p>
    <w:p w14:paraId="01138EB0" w14:textId="333764FC" w:rsidR="006929E6" w:rsidRPr="003048DC" w:rsidRDefault="006929E6" w:rsidP="00F11E3F">
      <w:pPr>
        <w:keepNext/>
        <w:keepLines/>
        <w:spacing w:before="240" w:after="160" w:line="259" w:lineRule="auto"/>
        <w:rPr>
          <w:i/>
          <w:noProof/>
          <w:u w:val="single"/>
        </w:rPr>
      </w:pPr>
      <w:r w:rsidRPr="003048DC">
        <w:rPr>
          <w:i/>
          <w:noProof/>
          <w:u w:val="single"/>
        </w:rPr>
        <w:t>T</w:t>
      </w:r>
      <w:r w:rsidR="00077D8A" w:rsidRPr="003048DC">
        <w:rPr>
          <w:i/>
          <w:noProof/>
          <w:u w:val="single"/>
        </w:rPr>
        <w:t xml:space="preserve">able </w:t>
      </w:r>
      <w:r w:rsidR="001034B1" w:rsidRPr="003048DC">
        <w:rPr>
          <w:i/>
          <w:noProof/>
          <w:u w:val="single"/>
        </w:rPr>
        <w:t>6</w:t>
      </w:r>
      <w:r w:rsidRPr="003048DC">
        <w:rPr>
          <w:i/>
          <w:noProof/>
          <w:u w:val="single"/>
        </w:rPr>
        <w:t xml:space="preserve">: </w:t>
      </w:r>
      <w:r w:rsidR="00077D8A" w:rsidRPr="003048DC">
        <w:rPr>
          <w:i/>
          <w:noProof/>
          <w:u w:val="single"/>
        </w:rPr>
        <w:t>Causal link between root causes/problem drivers and problem</w:t>
      </w:r>
    </w:p>
    <w:tbl>
      <w:tblPr>
        <w:tblStyle w:val="TableGrid"/>
        <w:tblW w:w="0" w:type="auto"/>
        <w:tblInd w:w="-108" w:type="dxa"/>
        <w:tblLook w:val="04A0" w:firstRow="1" w:lastRow="0" w:firstColumn="1" w:lastColumn="0" w:noHBand="0" w:noVBand="1"/>
      </w:tblPr>
      <w:tblGrid>
        <w:gridCol w:w="3931"/>
        <w:gridCol w:w="5193"/>
      </w:tblGrid>
      <w:tr w:rsidR="006929E6" w:rsidRPr="00DE264C" w14:paraId="3BD9CBF1" w14:textId="77777777">
        <w:trPr>
          <w:trHeight w:val="300"/>
          <w:tblHeader/>
        </w:trPr>
        <w:tc>
          <w:tcPr>
            <w:tcW w:w="3931" w:type="dxa"/>
            <w:tcBorders>
              <w:top w:val="single" w:sz="4" w:space="0" w:color="auto"/>
              <w:left w:val="single" w:sz="4" w:space="0" w:color="auto"/>
              <w:bottom w:val="single" w:sz="4" w:space="0" w:color="auto"/>
              <w:right w:val="single" w:sz="4" w:space="0" w:color="auto"/>
            </w:tcBorders>
          </w:tcPr>
          <w:p w14:paraId="6655AB36" w14:textId="3D6C2296" w:rsidR="006929E6" w:rsidRPr="00DE264C" w:rsidRDefault="006929E6" w:rsidP="006F3101">
            <w:pPr>
              <w:spacing w:after="120"/>
              <w:jc w:val="center"/>
              <w:rPr>
                <w:b/>
                <w:noProof/>
                <w:sz w:val="20"/>
                <w:szCs w:val="20"/>
              </w:rPr>
            </w:pPr>
            <w:r w:rsidRPr="00DE264C">
              <w:rPr>
                <w:b/>
                <w:noProof/>
                <w:sz w:val="20"/>
                <w:szCs w:val="20"/>
              </w:rPr>
              <w:t>Problem driver</w:t>
            </w:r>
            <w:r w:rsidR="00077D8A">
              <w:rPr>
                <w:b/>
                <w:noProof/>
                <w:sz w:val="20"/>
                <w:szCs w:val="20"/>
              </w:rPr>
              <w:t>s</w:t>
            </w:r>
            <w:r w:rsidRPr="00DE264C">
              <w:rPr>
                <w:b/>
                <w:noProof/>
                <w:sz w:val="20"/>
                <w:szCs w:val="20"/>
              </w:rPr>
              <w:t>/root causes</w:t>
            </w:r>
          </w:p>
        </w:tc>
        <w:tc>
          <w:tcPr>
            <w:tcW w:w="5193" w:type="dxa"/>
            <w:tcBorders>
              <w:top w:val="single" w:sz="4" w:space="0" w:color="auto"/>
              <w:left w:val="single" w:sz="4" w:space="0" w:color="auto"/>
              <w:bottom w:val="single" w:sz="4" w:space="0" w:color="auto"/>
              <w:right w:val="single" w:sz="4" w:space="0" w:color="auto"/>
            </w:tcBorders>
          </w:tcPr>
          <w:p w14:paraId="7F961613" w14:textId="77777777" w:rsidR="006929E6" w:rsidRPr="00DE264C" w:rsidRDefault="006929E6" w:rsidP="006F3101">
            <w:pPr>
              <w:spacing w:after="120"/>
              <w:jc w:val="center"/>
              <w:rPr>
                <w:b/>
                <w:noProof/>
                <w:sz w:val="20"/>
                <w:szCs w:val="20"/>
              </w:rPr>
            </w:pPr>
            <w:r w:rsidRPr="00DE264C">
              <w:rPr>
                <w:b/>
                <w:noProof/>
                <w:sz w:val="20"/>
                <w:szCs w:val="20"/>
              </w:rPr>
              <w:t xml:space="preserve">Causal link with </w:t>
            </w:r>
            <w:r w:rsidRPr="00861353">
              <w:rPr>
                <w:b/>
                <w:noProof/>
                <w:sz w:val="20"/>
                <w:szCs w:val="20"/>
              </w:rPr>
              <w:t>slow deployment and adoption of fibre</w:t>
            </w:r>
          </w:p>
        </w:tc>
      </w:tr>
      <w:tr w:rsidR="006929E6" w:rsidRPr="00DE264C" w14:paraId="31DEACB3" w14:textId="77777777">
        <w:trPr>
          <w:trHeight w:val="300"/>
        </w:trPr>
        <w:tc>
          <w:tcPr>
            <w:tcW w:w="3931" w:type="dxa"/>
            <w:tcBorders>
              <w:top w:val="single" w:sz="4" w:space="0" w:color="auto"/>
              <w:left w:val="single" w:sz="4" w:space="0" w:color="auto"/>
              <w:bottom w:val="single" w:sz="4" w:space="0" w:color="auto"/>
              <w:right w:val="single" w:sz="4" w:space="0" w:color="auto"/>
            </w:tcBorders>
          </w:tcPr>
          <w:p w14:paraId="2D71ABE7" w14:textId="77777777" w:rsidR="006929E6" w:rsidRPr="00DE264C" w:rsidRDefault="006929E6" w:rsidP="006F3101">
            <w:pPr>
              <w:spacing w:after="120"/>
              <w:jc w:val="left"/>
              <w:rPr>
                <w:noProof/>
                <w:sz w:val="20"/>
                <w:szCs w:val="20"/>
              </w:rPr>
            </w:pPr>
            <w:r w:rsidRPr="00DE264C">
              <w:rPr>
                <w:noProof/>
                <w:sz w:val="20"/>
                <w:szCs w:val="20"/>
              </w:rPr>
              <w:t xml:space="preserve">1) </w:t>
            </w:r>
            <w:r w:rsidRPr="00F869B0">
              <w:rPr>
                <w:noProof/>
                <w:sz w:val="20"/>
                <w:szCs w:val="20"/>
              </w:rPr>
              <w:t>Regulatory approaches</w:t>
            </w:r>
            <w:r>
              <w:rPr>
                <w:noProof/>
                <w:sz w:val="20"/>
                <w:szCs w:val="20"/>
              </w:rPr>
              <w:t xml:space="preserve"> and</w:t>
            </w:r>
            <w:r w:rsidRPr="00F869B0">
              <w:rPr>
                <w:noProof/>
                <w:sz w:val="20"/>
                <w:szCs w:val="20"/>
              </w:rPr>
              <w:t xml:space="preserve"> business choices</w:t>
            </w:r>
          </w:p>
        </w:tc>
        <w:tc>
          <w:tcPr>
            <w:tcW w:w="5193" w:type="dxa"/>
            <w:tcBorders>
              <w:top w:val="single" w:sz="4" w:space="0" w:color="auto"/>
              <w:left w:val="single" w:sz="4" w:space="0" w:color="auto"/>
              <w:bottom w:val="single" w:sz="4" w:space="0" w:color="auto"/>
              <w:right w:val="single" w:sz="4" w:space="0" w:color="auto"/>
            </w:tcBorders>
          </w:tcPr>
          <w:p w14:paraId="7CDC7E1A" w14:textId="77777777" w:rsidR="006929E6" w:rsidRPr="00DE264C" w:rsidRDefault="006929E6" w:rsidP="006F3101">
            <w:pPr>
              <w:spacing w:after="120"/>
              <w:rPr>
                <w:noProof/>
                <w:sz w:val="20"/>
                <w:szCs w:val="20"/>
              </w:rPr>
            </w:pPr>
            <w:r w:rsidRPr="00F869B0">
              <w:rPr>
                <w:noProof/>
                <w:sz w:val="20"/>
                <w:szCs w:val="20"/>
              </w:rPr>
              <w:t xml:space="preserve">The delay in regulating </w:t>
            </w:r>
            <w:r>
              <w:rPr>
                <w:noProof/>
                <w:sz w:val="20"/>
                <w:szCs w:val="20"/>
              </w:rPr>
              <w:t>ducts and poles,</w:t>
            </w:r>
            <w:r w:rsidRPr="00F869B0">
              <w:rPr>
                <w:noProof/>
                <w:sz w:val="20"/>
                <w:szCs w:val="20"/>
              </w:rPr>
              <w:t xml:space="preserve"> the technology choices made by incumbents</w:t>
            </w:r>
            <w:r>
              <w:rPr>
                <w:noProof/>
                <w:sz w:val="20"/>
                <w:szCs w:val="20"/>
              </w:rPr>
              <w:t xml:space="preserve"> and </w:t>
            </w:r>
            <w:r w:rsidRPr="10893C87">
              <w:rPr>
                <w:noProof/>
                <w:sz w:val="20"/>
                <w:szCs w:val="20"/>
              </w:rPr>
              <w:t xml:space="preserve">the </w:t>
            </w:r>
            <w:r>
              <w:rPr>
                <w:noProof/>
                <w:sz w:val="20"/>
                <w:szCs w:val="20"/>
              </w:rPr>
              <w:t>incentives for FTTC deployment</w:t>
            </w:r>
            <w:r w:rsidRPr="00F869B0">
              <w:rPr>
                <w:noProof/>
                <w:sz w:val="20"/>
                <w:szCs w:val="20"/>
              </w:rPr>
              <w:t xml:space="preserve"> have reduced FTTH investment</w:t>
            </w:r>
            <w:r>
              <w:rPr>
                <w:noProof/>
                <w:sz w:val="20"/>
                <w:szCs w:val="20"/>
              </w:rPr>
              <w:t xml:space="preserve">s </w:t>
            </w:r>
            <w:r w:rsidRPr="00F869B0">
              <w:rPr>
                <w:noProof/>
                <w:sz w:val="20"/>
                <w:szCs w:val="20"/>
              </w:rPr>
              <w:t xml:space="preserve">in certain countries. </w:t>
            </w:r>
          </w:p>
        </w:tc>
      </w:tr>
      <w:tr w:rsidR="006929E6" w:rsidRPr="00DE264C" w14:paraId="23E51293" w14:textId="77777777">
        <w:trPr>
          <w:trHeight w:val="300"/>
        </w:trPr>
        <w:tc>
          <w:tcPr>
            <w:tcW w:w="3931" w:type="dxa"/>
            <w:tcBorders>
              <w:top w:val="single" w:sz="4" w:space="0" w:color="auto"/>
              <w:left w:val="single" w:sz="4" w:space="0" w:color="auto"/>
              <w:bottom w:val="single" w:sz="4" w:space="0" w:color="auto"/>
              <w:right w:val="single" w:sz="4" w:space="0" w:color="auto"/>
            </w:tcBorders>
          </w:tcPr>
          <w:p w14:paraId="46940F3E" w14:textId="77777777" w:rsidR="006929E6" w:rsidRPr="00DE264C" w:rsidRDefault="006929E6" w:rsidP="006F3101">
            <w:pPr>
              <w:spacing w:after="120"/>
              <w:jc w:val="left"/>
              <w:rPr>
                <w:noProof/>
                <w:sz w:val="20"/>
                <w:szCs w:val="20"/>
              </w:rPr>
            </w:pPr>
            <w:r w:rsidRPr="00DE264C">
              <w:rPr>
                <w:noProof/>
                <w:sz w:val="20"/>
                <w:szCs w:val="20"/>
              </w:rPr>
              <w:t xml:space="preserve">2) </w:t>
            </w:r>
            <w:r w:rsidRPr="00F869B0">
              <w:rPr>
                <w:noProof/>
                <w:sz w:val="20"/>
                <w:szCs w:val="20"/>
              </w:rPr>
              <w:t>Persistence of copper networks</w:t>
            </w:r>
          </w:p>
        </w:tc>
        <w:tc>
          <w:tcPr>
            <w:tcW w:w="5193" w:type="dxa"/>
            <w:tcBorders>
              <w:top w:val="single" w:sz="4" w:space="0" w:color="auto"/>
              <w:left w:val="single" w:sz="4" w:space="0" w:color="auto"/>
              <w:bottom w:val="single" w:sz="4" w:space="0" w:color="auto"/>
              <w:right w:val="single" w:sz="4" w:space="0" w:color="auto"/>
            </w:tcBorders>
          </w:tcPr>
          <w:p w14:paraId="39198A8D" w14:textId="77777777" w:rsidR="006929E6" w:rsidRPr="00DE264C" w:rsidRDefault="006929E6" w:rsidP="006F3101">
            <w:pPr>
              <w:spacing w:after="120"/>
              <w:rPr>
                <w:noProof/>
                <w:sz w:val="20"/>
                <w:szCs w:val="20"/>
              </w:rPr>
            </w:pPr>
            <w:r w:rsidRPr="00F869B0">
              <w:rPr>
                <w:noProof/>
                <w:sz w:val="20"/>
                <w:szCs w:val="20"/>
              </w:rPr>
              <w:t xml:space="preserve">The persistence of legacy copper infrastructures decreases operators’ incentives to deploy FTTH networks and, where FTTH exists, </w:t>
            </w:r>
            <w:r w:rsidRPr="00A340AF">
              <w:rPr>
                <w:noProof/>
                <w:sz w:val="20"/>
                <w:szCs w:val="20"/>
              </w:rPr>
              <w:t>end-users' willingness to adopt fibre services</w:t>
            </w:r>
            <w:r w:rsidRPr="00F869B0">
              <w:rPr>
                <w:noProof/>
                <w:sz w:val="20"/>
                <w:szCs w:val="20"/>
              </w:rPr>
              <w:t>.</w:t>
            </w:r>
          </w:p>
        </w:tc>
      </w:tr>
    </w:tbl>
    <w:p w14:paraId="77D79AC4" w14:textId="53ED9455" w:rsidR="003D0C42" w:rsidRPr="00DE264C" w:rsidRDefault="00FC0260" w:rsidP="00F11E3F">
      <w:pPr>
        <w:pStyle w:val="Heading4"/>
        <w:keepNext w:val="0"/>
        <w:spacing w:before="240"/>
        <w:rPr>
          <w:noProof/>
        </w:rPr>
      </w:pPr>
      <w:r w:rsidRPr="00DE264C">
        <w:rPr>
          <w:noProof/>
        </w:rPr>
        <w:t>Regulatory approaches</w:t>
      </w:r>
      <w:r w:rsidR="00863978">
        <w:rPr>
          <w:noProof/>
        </w:rPr>
        <w:t xml:space="preserve"> and</w:t>
      </w:r>
      <w:r w:rsidRPr="00DE264C">
        <w:rPr>
          <w:noProof/>
        </w:rPr>
        <w:t xml:space="preserve"> business choices</w:t>
      </w:r>
    </w:p>
    <w:p w14:paraId="055B0710" w14:textId="07AFDA59" w:rsidR="00541821" w:rsidRDefault="003D6E1A" w:rsidP="00053713">
      <w:pPr>
        <w:spacing w:line="240" w:lineRule="auto"/>
        <w:rPr>
          <w:noProof/>
        </w:rPr>
      </w:pPr>
      <w:r>
        <w:rPr>
          <w:noProof/>
        </w:rPr>
        <w:t xml:space="preserve">The current EU regulatory framework </w:t>
      </w:r>
      <w:r w:rsidR="005459FA" w:rsidRPr="005459FA">
        <w:rPr>
          <w:noProof/>
        </w:rPr>
        <w:t xml:space="preserve">aims at creating a pro-competitive and investment-friendly regulatory environment. </w:t>
      </w:r>
      <w:r w:rsidR="005459FA">
        <w:rPr>
          <w:noProof/>
        </w:rPr>
        <w:t>One of the</w:t>
      </w:r>
      <w:r w:rsidR="005459FA" w:rsidRPr="005459FA">
        <w:rPr>
          <w:noProof/>
        </w:rPr>
        <w:t xml:space="preserve"> objective</w:t>
      </w:r>
      <w:r w:rsidR="005459FA">
        <w:rPr>
          <w:noProof/>
        </w:rPr>
        <w:t>s</w:t>
      </w:r>
      <w:r w:rsidR="005459FA" w:rsidRPr="005459FA">
        <w:rPr>
          <w:noProof/>
        </w:rPr>
        <w:t xml:space="preserve"> </w:t>
      </w:r>
      <w:r w:rsidR="005459FA">
        <w:rPr>
          <w:noProof/>
        </w:rPr>
        <w:t>is the</w:t>
      </w:r>
      <w:r w:rsidR="005459FA" w:rsidRPr="005459FA">
        <w:rPr>
          <w:noProof/>
        </w:rPr>
        <w:t xml:space="preserve"> promot</w:t>
      </w:r>
      <w:r w:rsidR="005459FA">
        <w:rPr>
          <w:noProof/>
        </w:rPr>
        <w:t>ion of</w:t>
      </w:r>
      <w:r w:rsidR="005459FA" w:rsidRPr="005459FA">
        <w:rPr>
          <w:noProof/>
        </w:rPr>
        <w:t xml:space="preserve"> connectivity and access to and take up of VHCN</w:t>
      </w:r>
      <w:r w:rsidR="0021151D">
        <w:rPr>
          <w:noProof/>
        </w:rPr>
        <w:t>.</w:t>
      </w:r>
      <w:r>
        <w:rPr>
          <w:noProof/>
        </w:rPr>
        <w:t xml:space="preserve"> </w:t>
      </w:r>
      <w:r w:rsidR="00836A56" w:rsidRPr="00836A56">
        <w:rPr>
          <w:noProof/>
        </w:rPr>
        <w:t xml:space="preserve">The market environment has changed dramatically as a consequence of investments required to replace the copper </w:t>
      </w:r>
      <w:r w:rsidR="00BB4A40">
        <w:rPr>
          <w:noProof/>
        </w:rPr>
        <w:t>networks</w:t>
      </w:r>
      <w:r w:rsidR="00836A56" w:rsidRPr="00836A56">
        <w:rPr>
          <w:noProof/>
        </w:rPr>
        <w:t xml:space="preserve"> by fibre and the emergence of players other than the historic telecom incumbents that are deploying FTTH </w:t>
      </w:r>
      <w:r w:rsidR="00836A56">
        <w:rPr>
          <w:noProof/>
        </w:rPr>
        <w:t xml:space="preserve">networks. </w:t>
      </w:r>
      <w:r w:rsidR="00616C5C">
        <w:rPr>
          <w:noProof/>
        </w:rPr>
        <w:t>Nevertheless, t</w:t>
      </w:r>
      <w:r w:rsidR="00034581">
        <w:rPr>
          <w:noProof/>
        </w:rPr>
        <w:t>he EECC</w:t>
      </w:r>
      <w:r w:rsidR="00B96A1A">
        <w:rPr>
          <w:noProof/>
        </w:rPr>
        <w:t xml:space="preserve"> </w:t>
      </w:r>
      <w:r w:rsidR="00315542">
        <w:rPr>
          <w:noProof/>
        </w:rPr>
        <w:t>has</w:t>
      </w:r>
      <w:r w:rsidR="00721751">
        <w:rPr>
          <w:noProof/>
        </w:rPr>
        <w:t xml:space="preserve"> no</w:t>
      </w:r>
      <w:r w:rsidR="00BC3F91">
        <w:rPr>
          <w:noProof/>
        </w:rPr>
        <w:t xml:space="preserve"> </w:t>
      </w:r>
      <w:r w:rsidR="00C92142">
        <w:rPr>
          <w:noProof/>
        </w:rPr>
        <w:t xml:space="preserve">provisions </w:t>
      </w:r>
      <w:r w:rsidR="001609E4">
        <w:rPr>
          <w:noProof/>
        </w:rPr>
        <w:t xml:space="preserve">specifically </w:t>
      </w:r>
      <w:r w:rsidR="00B12E4E">
        <w:rPr>
          <w:noProof/>
        </w:rPr>
        <w:t xml:space="preserve">promoting </w:t>
      </w:r>
      <w:r w:rsidR="00836A56">
        <w:rPr>
          <w:noProof/>
        </w:rPr>
        <w:t>FTTH</w:t>
      </w:r>
      <w:r w:rsidR="00034581">
        <w:rPr>
          <w:noProof/>
        </w:rPr>
        <w:t xml:space="preserve"> investments</w:t>
      </w:r>
      <w:r w:rsidR="001609E4">
        <w:rPr>
          <w:noProof/>
        </w:rPr>
        <w:t>.</w:t>
      </w:r>
    </w:p>
    <w:p w14:paraId="264C89D9" w14:textId="4A73214B" w:rsidR="003D6E1A" w:rsidRDefault="00BB4A40" w:rsidP="00053713">
      <w:pPr>
        <w:spacing w:line="240" w:lineRule="auto"/>
        <w:rPr>
          <w:noProof/>
        </w:rPr>
      </w:pPr>
      <w:r>
        <w:rPr>
          <w:noProof/>
        </w:rPr>
        <w:t>However,</w:t>
      </w:r>
      <w:r w:rsidR="003D6E1A">
        <w:rPr>
          <w:noProof/>
        </w:rPr>
        <w:t xml:space="preserve"> the various national implementation by NRAs, choices by other national authorities as well as business choices by operators led to differentiated results across and did not ensure the implementation of strategies to achieve (close to) full FTTH coverage across the UE</w:t>
      </w:r>
      <w:r w:rsidR="00BB01EC">
        <w:rPr>
          <w:noProof/>
        </w:rPr>
        <w:t xml:space="preserve"> as defined in the DDPP</w:t>
      </w:r>
      <w:r w:rsidR="003D6E1A">
        <w:rPr>
          <w:noProof/>
        </w:rPr>
        <w:t>.</w:t>
      </w:r>
    </w:p>
    <w:p w14:paraId="6150FF7B" w14:textId="43906088" w:rsidR="003D6E1A" w:rsidRDefault="003D6E1A" w:rsidP="00053713">
      <w:pPr>
        <w:spacing w:line="240" w:lineRule="auto"/>
        <w:rPr>
          <w:noProof/>
        </w:rPr>
      </w:pPr>
      <w:r w:rsidRPr="006E7F30">
        <w:rPr>
          <w:bCs/>
          <w:noProof/>
        </w:rPr>
        <w:t xml:space="preserve">Overall, the regulatory approaches described </w:t>
      </w:r>
      <w:r>
        <w:rPr>
          <w:bCs/>
          <w:noProof/>
        </w:rPr>
        <w:t xml:space="preserve">below </w:t>
      </w:r>
      <w:r w:rsidRPr="006E7F30">
        <w:rPr>
          <w:bCs/>
          <w:noProof/>
        </w:rPr>
        <w:t xml:space="preserve">do not offer an EU-wide solution to </w:t>
      </w:r>
      <w:r>
        <w:rPr>
          <w:noProof/>
        </w:rPr>
        <w:t xml:space="preserve">rapidly </w:t>
      </w:r>
      <w:r w:rsidRPr="006E7F30">
        <w:rPr>
          <w:bCs/>
          <w:noProof/>
        </w:rPr>
        <w:t xml:space="preserve">and effectively increase </w:t>
      </w:r>
      <w:r>
        <w:rPr>
          <w:bCs/>
          <w:noProof/>
        </w:rPr>
        <w:t>FTTH</w:t>
      </w:r>
      <w:r w:rsidRPr="006E7F30">
        <w:rPr>
          <w:bCs/>
          <w:noProof/>
        </w:rPr>
        <w:t xml:space="preserve"> coverage and take-up</w:t>
      </w:r>
      <w:r w:rsidR="00BB01EC">
        <w:rPr>
          <w:bCs/>
          <w:noProof/>
        </w:rPr>
        <w:t xml:space="preserve"> but provide overview of which practices seem to </w:t>
      </w:r>
      <w:r w:rsidR="00ED321C">
        <w:rPr>
          <w:bCs/>
          <w:noProof/>
        </w:rPr>
        <w:t>have</w:t>
      </w:r>
      <w:r w:rsidR="00BB01EC">
        <w:rPr>
          <w:bCs/>
          <w:noProof/>
        </w:rPr>
        <w:t xml:space="preserve"> worked in which specific circumstances.</w:t>
      </w:r>
    </w:p>
    <w:p w14:paraId="2383FEFC" w14:textId="08E73D46" w:rsidR="3793DEC7" w:rsidRPr="00BA3402" w:rsidRDefault="4F80B504" w:rsidP="00053713">
      <w:pPr>
        <w:spacing w:line="240" w:lineRule="auto"/>
        <w:rPr>
          <w:noProof/>
        </w:rPr>
      </w:pPr>
      <w:r w:rsidRPr="00292895">
        <w:rPr>
          <w:noProof/>
        </w:rPr>
        <w:t>A more detailed description of the different countries and the various regulatory approaches can be found in Annex 7.</w:t>
      </w:r>
    </w:p>
    <w:p w14:paraId="19128D67" w14:textId="0314A230" w:rsidR="0023139D" w:rsidRPr="00292895" w:rsidRDefault="0023139D" w:rsidP="00053713">
      <w:pPr>
        <w:spacing w:line="240" w:lineRule="auto"/>
        <w:rPr>
          <w:b/>
          <w:bCs/>
          <w:noProof/>
        </w:rPr>
      </w:pPr>
      <w:r w:rsidRPr="00292895">
        <w:rPr>
          <w:b/>
          <w:bCs/>
          <w:noProof/>
        </w:rPr>
        <w:t>Competition driven fibre deployment</w:t>
      </w:r>
    </w:p>
    <w:p w14:paraId="77C76016" w14:textId="030535FB" w:rsidR="0023139D" w:rsidRDefault="0023139D" w:rsidP="00053713">
      <w:pPr>
        <w:spacing w:line="240" w:lineRule="auto"/>
        <w:rPr>
          <w:noProof/>
        </w:rPr>
      </w:pPr>
      <w:r>
        <w:rPr>
          <w:noProof/>
        </w:rPr>
        <w:t xml:space="preserve">Bulgaria and Romania have achieved high fibre (FTTP coverage above 90%) through competition driven fibre deployment. Alternative network operators did not use wholesale access to the incumbent’s copper network; they grew through investing into their own network. In Romania, the main alternative operator initially invested in coax and afterwards replaced its network with fibre. In Bulgaria, numerous local operators of LAN (local access networks) and coax networks (DOCSIS 3.0), replaced their networks with fibre in response to the increased demand, indirectly incentivising the incumbent to deploy fibre networks as well. Hereby, low deployment costs was a crucial factor enabling this strategy, especially due to commercial access to poles and less stringent rules </w:t>
      </w:r>
      <w:r w:rsidR="00F95588">
        <w:rPr>
          <w:noProof/>
        </w:rPr>
        <w:t>(</w:t>
      </w:r>
      <w:r>
        <w:rPr>
          <w:noProof/>
        </w:rPr>
        <w:t xml:space="preserve">regarding deployment) in Romania, and the effective access to physical infrastructure (initially as a remedy </w:t>
      </w:r>
      <w:r w:rsidR="00F95588">
        <w:rPr>
          <w:noProof/>
        </w:rPr>
        <w:t>under SMP regulation</w:t>
      </w:r>
      <w:r>
        <w:rPr>
          <w:noProof/>
        </w:rPr>
        <w:t xml:space="preserve">, and afterwards through </w:t>
      </w:r>
      <w:r w:rsidR="00F95588">
        <w:rPr>
          <w:noProof/>
        </w:rPr>
        <w:t xml:space="preserve">symmetric rules under </w:t>
      </w:r>
      <w:r w:rsidR="00016424">
        <w:rPr>
          <w:noProof/>
        </w:rPr>
        <w:t>the</w:t>
      </w:r>
      <w:r w:rsidR="00B72EBA">
        <w:rPr>
          <w:noProof/>
        </w:rPr>
        <w:t xml:space="preserve"> </w:t>
      </w:r>
      <w:r w:rsidR="00016424">
        <w:rPr>
          <w:noProof/>
        </w:rPr>
        <w:t xml:space="preserve">Broadband Cost Reduction Directive </w:t>
      </w:r>
      <w:r>
        <w:rPr>
          <w:noProof/>
        </w:rPr>
        <w:t>BCRD</w:t>
      </w:r>
      <w:r w:rsidR="005D0383">
        <w:rPr>
          <w:rStyle w:val="FootnoteReference"/>
          <w:noProof/>
        </w:rPr>
        <w:footnoteReference w:id="75"/>
      </w:r>
      <w:r>
        <w:rPr>
          <w:noProof/>
        </w:rPr>
        <w:t>) in Bulgaria.</w:t>
      </w:r>
    </w:p>
    <w:p w14:paraId="36BE2A9F" w14:textId="77777777" w:rsidR="0023139D" w:rsidRDefault="0023139D" w:rsidP="00053713">
      <w:pPr>
        <w:spacing w:line="240" w:lineRule="auto"/>
        <w:rPr>
          <w:noProof/>
        </w:rPr>
      </w:pPr>
      <w:r>
        <w:rPr>
          <w:noProof/>
        </w:rPr>
        <w:t>In Poland and the Baltic states, fibre deployment has been primarily driven by competition from hybrid coax-fibre networks. In large cities in Poland, the presence of upgraded cable networks with good service quality forced the incumbent to replace its copper network with fibre. Similarly, in large cities in Latvia and Estonia infrastructure-based competition drove the incumbent to invest into fibre. However, since infrastructure competition emerged mainly in densely populated urban areas, full fibre coverage is unlikely to be achieved solely based on this type of competition.</w:t>
      </w:r>
    </w:p>
    <w:p w14:paraId="3875EEB4" w14:textId="77777777" w:rsidR="0023139D" w:rsidRDefault="0023139D" w:rsidP="00053713">
      <w:pPr>
        <w:spacing w:line="240" w:lineRule="auto"/>
        <w:rPr>
          <w:noProof/>
        </w:rPr>
      </w:pPr>
      <w:r>
        <w:rPr>
          <w:noProof/>
        </w:rPr>
        <w:t xml:space="preserve">Countries characterised by the historic presence of two nationwide parallel networks i.e. a copper and a cable network are Belgium, the Netherlands and Malta. While there are some similarities in market structure (i.e. nationwide duopoly), there are significant differences in outcome. </w:t>
      </w:r>
    </w:p>
    <w:p w14:paraId="03BBC25E" w14:textId="22C3EA73" w:rsidR="007C55B2" w:rsidRDefault="0023139D" w:rsidP="00053713">
      <w:pPr>
        <w:spacing w:line="240" w:lineRule="auto"/>
        <w:rPr>
          <w:noProof/>
        </w:rPr>
      </w:pPr>
      <w:r>
        <w:rPr>
          <w:noProof/>
        </w:rPr>
        <w:t>In the Netherlands and Malta, competition between the copper and cable networks has led to fibre deployment by the operators. However, a similar starting situation in Belgium (presence of parallel copper and cable network) has not yet led to significant fibre deployment, possibly due to higher deployment costs.</w:t>
      </w:r>
    </w:p>
    <w:p w14:paraId="673EF400" w14:textId="03A95BC5" w:rsidR="006A3869" w:rsidRPr="00292895" w:rsidRDefault="006A3869" w:rsidP="00053713">
      <w:pPr>
        <w:spacing w:line="240" w:lineRule="auto"/>
        <w:rPr>
          <w:b/>
          <w:noProof/>
        </w:rPr>
      </w:pPr>
      <w:r w:rsidRPr="00292895">
        <w:rPr>
          <w:b/>
          <w:noProof/>
        </w:rPr>
        <w:t>Access to physical infrastructure (PIA)</w:t>
      </w:r>
    </w:p>
    <w:p w14:paraId="752391FE" w14:textId="430B06BE" w:rsidR="006A3869" w:rsidRDefault="006A3869" w:rsidP="00053713">
      <w:pPr>
        <w:spacing w:line="240" w:lineRule="auto"/>
        <w:rPr>
          <w:noProof/>
        </w:rPr>
      </w:pPr>
      <w:r>
        <w:rPr>
          <w:noProof/>
        </w:rPr>
        <w:t xml:space="preserve">Access to PIA, especially a well-developed duct system can greatly facilitate fibre deployment. The Spanish regulator decided early on to regulate access to the ducts and copper network but left newly deployed networks unregulated. As a result, alternative operators could </w:t>
      </w:r>
      <w:r w:rsidR="007679E9">
        <w:rPr>
          <w:noProof/>
        </w:rPr>
        <w:t>receive</w:t>
      </w:r>
      <w:r>
        <w:rPr>
          <w:noProof/>
        </w:rPr>
        <w:t xml:space="preserve"> wholesale access to the copper network to start developing their business (short term solution) and deploy their own fibre network in the ducts as a longer-term strategy. The success of this approach relied on the extensive duct system of the incumbent (117 000 km of ducts were used by network operators) and the fact that access seekers use only regulated passive networks of Telef</w:t>
      </w:r>
      <w:r w:rsidR="00234E51">
        <w:rPr>
          <w:noProof/>
        </w:rPr>
        <w:t>ó</w:t>
      </w:r>
      <w:r>
        <w:rPr>
          <w:noProof/>
        </w:rPr>
        <w:t xml:space="preserve">nica to deploy own fibre. </w:t>
      </w:r>
    </w:p>
    <w:p w14:paraId="70A4AFFC" w14:textId="77777777" w:rsidR="006A3869" w:rsidRDefault="006A3869" w:rsidP="00053713">
      <w:pPr>
        <w:spacing w:line="240" w:lineRule="auto"/>
        <w:rPr>
          <w:noProof/>
        </w:rPr>
      </w:pPr>
      <w:r>
        <w:rPr>
          <w:noProof/>
        </w:rPr>
        <w:t xml:space="preserve">The approach in Portugal has also been based on the promotion of access to PIA, which allowed for partial deregulation of wholesale access. </w:t>
      </w:r>
    </w:p>
    <w:p w14:paraId="79005A58" w14:textId="77777777" w:rsidR="006A3869" w:rsidRDefault="006A3869" w:rsidP="00053713">
      <w:pPr>
        <w:spacing w:line="240" w:lineRule="auto"/>
        <w:rPr>
          <w:noProof/>
        </w:rPr>
      </w:pPr>
      <w:r>
        <w:rPr>
          <w:noProof/>
        </w:rPr>
        <w:t xml:space="preserve">The French regulatory model (since 2009) relies strongly on access to Orange’s PIA (instead of access to the fibre network). This is combined with symmetric access to the in-building wiring or to cables going beyond the building (depending on the area). </w:t>
      </w:r>
    </w:p>
    <w:p w14:paraId="1D96CF4B" w14:textId="6CCB735C" w:rsidR="006A3869" w:rsidRDefault="006A3869" w:rsidP="00053713">
      <w:pPr>
        <w:spacing w:line="240" w:lineRule="auto"/>
        <w:rPr>
          <w:noProof/>
        </w:rPr>
      </w:pPr>
      <w:r>
        <w:rPr>
          <w:noProof/>
        </w:rPr>
        <w:t>In all the above cases, access to the SMP operator’s PIA was a crucial element. However, even with the presence of a well-developed PIA, State aid and a long-time horizon (at least 10 years) was necessary to reach a high level of fibre coverage.</w:t>
      </w:r>
    </w:p>
    <w:p w14:paraId="3D9B2452" w14:textId="038BCBDD" w:rsidR="006A3869" w:rsidRPr="00292895" w:rsidRDefault="006A3869" w:rsidP="00053713">
      <w:pPr>
        <w:spacing w:line="240" w:lineRule="auto"/>
        <w:rPr>
          <w:b/>
          <w:noProof/>
        </w:rPr>
      </w:pPr>
      <w:r w:rsidRPr="00292895">
        <w:rPr>
          <w:b/>
          <w:noProof/>
        </w:rPr>
        <w:t>Fibre deployment by municipal or public companies</w:t>
      </w:r>
    </w:p>
    <w:p w14:paraId="03CD40D9" w14:textId="77777777" w:rsidR="006A3869" w:rsidRDefault="006A3869" w:rsidP="00053713">
      <w:pPr>
        <w:spacing w:line="240" w:lineRule="auto"/>
        <w:rPr>
          <w:noProof/>
        </w:rPr>
      </w:pPr>
      <w:r>
        <w:rPr>
          <w:noProof/>
        </w:rPr>
        <w:t xml:space="preserve">In the Nordic countries, public and local authorities have invested in fibre deployment via their utility companies. Those networks were built in parallel with the existing infrastructures of the local incumbent operators. Part of these networks is based on a wholesale-only model, meaning the network operator has no downstream retail business but offers wholesale access to its network. Access seekers can use the utilities’ fibre networks and do not need to invest in their own networks. </w:t>
      </w:r>
    </w:p>
    <w:p w14:paraId="743D7D40" w14:textId="5415805D" w:rsidR="006A3869" w:rsidRDefault="006A3869" w:rsidP="00053713">
      <w:pPr>
        <w:spacing w:line="240" w:lineRule="auto"/>
        <w:rPr>
          <w:noProof/>
        </w:rPr>
      </w:pPr>
      <w:r>
        <w:rPr>
          <w:noProof/>
        </w:rPr>
        <w:t xml:space="preserve">In Ireland, the joint venture between an energy company (SIRO) and an alternative operator (Vodafone) has been deploying a fibre wholesale-only network. The vertically integrated incumbent has also been rolling out a fibre network. </w:t>
      </w:r>
    </w:p>
    <w:p w14:paraId="75FAF7D5" w14:textId="520373CF" w:rsidR="006A3869" w:rsidRPr="00292895" w:rsidRDefault="006A3869" w:rsidP="00053713">
      <w:pPr>
        <w:spacing w:line="240" w:lineRule="auto"/>
        <w:rPr>
          <w:b/>
          <w:bCs/>
          <w:noProof/>
        </w:rPr>
      </w:pPr>
      <w:r w:rsidRPr="00292895">
        <w:rPr>
          <w:b/>
          <w:bCs/>
          <w:noProof/>
        </w:rPr>
        <w:t>Choice of FTTC over FTTH</w:t>
      </w:r>
    </w:p>
    <w:p w14:paraId="3802A2B0" w14:textId="77777777" w:rsidR="006A3869" w:rsidRDefault="006A3869" w:rsidP="00053713">
      <w:pPr>
        <w:spacing w:line="240" w:lineRule="auto"/>
        <w:rPr>
          <w:noProof/>
        </w:rPr>
      </w:pPr>
      <w:r>
        <w:rPr>
          <w:noProof/>
        </w:rPr>
        <w:t>The incumbent operators in Germany, Italy, Greece, Belgium, Czechia and Austria followed a partial network upgrade strategy. They have replaced the copper wires with fibre until the street cabinet (fibre-to-the-cabinet or FTTC) but left copper for the final part. Such a network, combined with vectoring (a technology allowing to increase the speed over copper at relatively low costs) provides better level of services for end-users. The business choice of the incumbents was influenced by the topology of the network, the specificities of the countries concerned and the motivation to improve service quality quickly and cheaply. However, the short-term success of the strategy reduced the incumbents’ incentives to invest into FTTH and has resulted in very low FTTH coverage in the mentioned countries.</w:t>
      </w:r>
    </w:p>
    <w:p w14:paraId="400CFC51" w14:textId="5827FA99" w:rsidR="006A3869" w:rsidRDefault="006A3869" w:rsidP="00053713">
      <w:pPr>
        <w:spacing w:line="240" w:lineRule="auto"/>
        <w:rPr>
          <w:noProof/>
        </w:rPr>
      </w:pPr>
      <w:r>
        <w:rPr>
          <w:noProof/>
        </w:rPr>
        <w:t>Regulators in these countries did not adopt measures to effectively incentivise FTTH deployment. In particular, they did not give access to PIA (or imposed this only recently), but mandated access to active products. This allowed for service-based competition at retail level but did not stimulate infrastructure competition and fibre deployment.</w:t>
      </w:r>
    </w:p>
    <w:p w14:paraId="0CECC0A2" w14:textId="42E7BDAB" w:rsidR="4BDDE9C1" w:rsidRDefault="00E6708C" w:rsidP="00053713">
      <w:pPr>
        <w:spacing w:line="240" w:lineRule="auto"/>
        <w:rPr>
          <w:noProof/>
        </w:rPr>
      </w:pPr>
      <w:r>
        <w:rPr>
          <w:noProof/>
        </w:rPr>
        <w:t xml:space="preserve">Based on </w:t>
      </w:r>
      <w:r w:rsidR="00B72EBA">
        <w:rPr>
          <w:noProof/>
        </w:rPr>
        <w:t xml:space="preserve">the </w:t>
      </w:r>
      <w:r>
        <w:rPr>
          <w:noProof/>
        </w:rPr>
        <w:t xml:space="preserve">above analysis (more detailed in </w:t>
      </w:r>
      <w:r w:rsidR="00FE5C0A">
        <w:rPr>
          <w:noProof/>
        </w:rPr>
        <w:t>A</w:t>
      </w:r>
      <w:r>
        <w:rPr>
          <w:noProof/>
        </w:rPr>
        <w:t>nnex 7)</w:t>
      </w:r>
      <w:r w:rsidR="008B30D2">
        <w:rPr>
          <w:noProof/>
        </w:rPr>
        <w:t xml:space="preserve">, although there is no </w:t>
      </w:r>
      <w:r w:rsidR="00B44187">
        <w:rPr>
          <w:noProof/>
        </w:rPr>
        <w:t xml:space="preserve">one solution fitting all circumstances, some general trends can be identified, for example countries that chose upgrading the legacy </w:t>
      </w:r>
      <w:r w:rsidR="009F0279">
        <w:rPr>
          <w:noProof/>
        </w:rPr>
        <w:t xml:space="preserve">copper </w:t>
      </w:r>
      <w:r w:rsidR="00B44187">
        <w:rPr>
          <w:noProof/>
        </w:rPr>
        <w:t xml:space="preserve">networks </w:t>
      </w:r>
      <w:r w:rsidR="6C0EEAAD">
        <w:rPr>
          <w:noProof/>
        </w:rPr>
        <w:t xml:space="preserve">(FTTC) </w:t>
      </w:r>
      <w:r w:rsidR="00565808">
        <w:rPr>
          <w:noProof/>
        </w:rPr>
        <w:t xml:space="preserve">currently lag behind with </w:t>
      </w:r>
      <w:r w:rsidR="00AE284D">
        <w:rPr>
          <w:noProof/>
        </w:rPr>
        <w:t>fibre</w:t>
      </w:r>
      <w:r w:rsidR="00565808">
        <w:rPr>
          <w:noProof/>
        </w:rPr>
        <w:t xml:space="preserve"> deployment</w:t>
      </w:r>
      <w:r w:rsidR="20102231">
        <w:rPr>
          <w:noProof/>
        </w:rPr>
        <w:t>. When it comes to access regulation</w:t>
      </w:r>
      <w:r w:rsidR="00565808">
        <w:rPr>
          <w:noProof/>
        </w:rPr>
        <w:t xml:space="preserve">, countries </w:t>
      </w:r>
      <w:r w:rsidR="50B2DDE9">
        <w:rPr>
          <w:noProof/>
        </w:rPr>
        <w:t xml:space="preserve">where regulators </w:t>
      </w:r>
      <w:r w:rsidR="7912E8C7">
        <w:rPr>
          <w:noProof/>
        </w:rPr>
        <w:t xml:space="preserve">followed the incumbent’s choice </w:t>
      </w:r>
      <w:r w:rsidR="469D7E8B">
        <w:rPr>
          <w:noProof/>
        </w:rPr>
        <w:t xml:space="preserve">of FTTC are </w:t>
      </w:r>
      <w:r w:rsidR="10A23DDB">
        <w:rPr>
          <w:noProof/>
        </w:rPr>
        <w:t>characterized</w:t>
      </w:r>
      <w:r w:rsidR="469D7E8B">
        <w:rPr>
          <w:noProof/>
        </w:rPr>
        <w:t xml:space="preserve"> by persist</w:t>
      </w:r>
      <w:r w:rsidR="009C1076">
        <w:rPr>
          <w:noProof/>
        </w:rPr>
        <w:t>e</w:t>
      </w:r>
      <w:r w:rsidR="469D7E8B">
        <w:rPr>
          <w:noProof/>
        </w:rPr>
        <w:t xml:space="preserve">nce of copper networks and </w:t>
      </w:r>
      <w:r w:rsidR="71065344">
        <w:rPr>
          <w:noProof/>
        </w:rPr>
        <w:t xml:space="preserve">slow deployment of </w:t>
      </w:r>
      <w:r w:rsidR="00AE284D">
        <w:rPr>
          <w:noProof/>
        </w:rPr>
        <w:t>fibre</w:t>
      </w:r>
      <w:r w:rsidR="71065344">
        <w:rPr>
          <w:noProof/>
        </w:rPr>
        <w:t xml:space="preserve">. Conversely, countries in which NRAs </w:t>
      </w:r>
      <w:r w:rsidR="003B1070">
        <w:rPr>
          <w:noProof/>
        </w:rPr>
        <w:t xml:space="preserve">decided to facilitate access to </w:t>
      </w:r>
      <w:r w:rsidR="76234C4A">
        <w:rPr>
          <w:noProof/>
        </w:rPr>
        <w:t>civil infrastructures</w:t>
      </w:r>
      <w:r w:rsidR="003B1070">
        <w:rPr>
          <w:noProof/>
        </w:rPr>
        <w:t xml:space="preserve"> ha</w:t>
      </w:r>
      <w:r w:rsidR="196A84B6">
        <w:rPr>
          <w:noProof/>
        </w:rPr>
        <w:t>ve</w:t>
      </w:r>
      <w:r w:rsidR="003B1070">
        <w:rPr>
          <w:noProof/>
        </w:rPr>
        <w:t xml:space="preserve"> been more successful in </w:t>
      </w:r>
      <w:r w:rsidR="00227678">
        <w:rPr>
          <w:noProof/>
        </w:rPr>
        <w:t>fibre</w:t>
      </w:r>
      <w:r w:rsidR="003B1070">
        <w:rPr>
          <w:noProof/>
        </w:rPr>
        <w:t xml:space="preserve"> deployment.</w:t>
      </w:r>
    </w:p>
    <w:p w14:paraId="64175576" w14:textId="2F65B933" w:rsidR="64170606" w:rsidRDefault="3F19029C" w:rsidP="00053713">
      <w:pPr>
        <w:spacing w:line="240" w:lineRule="auto"/>
        <w:rPr>
          <w:rFonts w:eastAsia="Times New Roman"/>
          <w:noProof/>
        </w:rPr>
      </w:pPr>
      <w:r w:rsidRPr="00292895">
        <w:rPr>
          <w:rFonts w:eastAsia="Times New Roman"/>
          <w:noProof/>
          <w:color w:val="000000" w:themeColor="text1"/>
        </w:rPr>
        <w:t xml:space="preserve">In addition, </w:t>
      </w:r>
      <w:r w:rsidR="3CB9DF17" w:rsidRPr="00292895">
        <w:rPr>
          <w:rFonts w:eastAsia="Times New Roman"/>
          <w:noProof/>
          <w:color w:val="000000" w:themeColor="text1"/>
        </w:rPr>
        <w:t xml:space="preserve">the following factors were key for </w:t>
      </w:r>
      <w:r w:rsidR="731BA545" w:rsidRPr="1C16A0EA">
        <w:rPr>
          <w:rFonts w:eastAsia="Times New Roman"/>
          <w:noProof/>
          <w:color w:val="000000" w:themeColor="text1"/>
        </w:rPr>
        <w:t>the</w:t>
      </w:r>
      <w:r w:rsidR="3CB9DF17" w:rsidRPr="00292895">
        <w:rPr>
          <w:rFonts w:eastAsia="Times New Roman"/>
          <w:noProof/>
          <w:color w:val="000000" w:themeColor="text1"/>
        </w:rPr>
        <w:t xml:space="preserve"> </w:t>
      </w:r>
      <w:r w:rsidR="6C019562" w:rsidRPr="1C16A0EA">
        <w:rPr>
          <w:rFonts w:eastAsia="Times New Roman"/>
          <w:noProof/>
          <w:color w:val="000000" w:themeColor="text1"/>
        </w:rPr>
        <w:t>r</w:t>
      </w:r>
      <w:r w:rsidR="3CB9DF17" w:rsidRPr="00292895">
        <w:rPr>
          <w:rFonts w:eastAsia="Times New Roman"/>
          <w:noProof/>
          <w:color w:val="000000" w:themeColor="text1"/>
        </w:rPr>
        <w:t xml:space="preserve">oll out of </w:t>
      </w:r>
      <w:r w:rsidR="00AE284D" w:rsidRPr="00292895">
        <w:rPr>
          <w:rFonts w:eastAsia="Times New Roman"/>
          <w:noProof/>
          <w:color w:val="000000" w:themeColor="text1"/>
        </w:rPr>
        <w:t>fibre</w:t>
      </w:r>
      <w:r w:rsidR="3CB9DF17" w:rsidRPr="00292895">
        <w:rPr>
          <w:rFonts w:eastAsia="Times New Roman"/>
          <w:noProof/>
          <w:color w:val="000000" w:themeColor="text1"/>
        </w:rPr>
        <w:t>: 1</w:t>
      </w:r>
      <w:r w:rsidR="00393424">
        <w:rPr>
          <w:rFonts w:eastAsia="Times New Roman"/>
          <w:noProof/>
          <w:color w:val="000000" w:themeColor="text1"/>
        </w:rPr>
        <w:t>)</w:t>
      </w:r>
      <w:r w:rsidR="3CB9DF17" w:rsidRPr="00292895">
        <w:rPr>
          <w:rFonts w:eastAsia="Times New Roman"/>
          <w:noProof/>
          <w:color w:val="000000" w:themeColor="text1"/>
        </w:rPr>
        <w:t xml:space="preserve"> </w:t>
      </w:r>
      <w:r w:rsidRPr="00292895">
        <w:rPr>
          <w:rFonts w:eastAsia="Times New Roman"/>
          <w:noProof/>
          <w:color w:val="000000" w:themeColor="text1"/>
        </w:rPr>
        <w:t xml:space="preserve">central planning </w:t>
      </w:r>
      <w:r w:rsidR="221BFC09" w:rsidRPr="1C16A0EA">
        <w:rPr>
          <w:rFonts w:eastAsia="Times New Roman"/>
          <w:noProof/>
          <w:color w:val="000000" w:themeColor="text1"/>
        </w:rPr>
        <w:t>based on</w:t>
      </w:r>
      <w:r w:rsidRPr="00292895">
        <w:rPr>
          <w:rFonts w:eastAsia="Times New Roman"/>
          <w:noProof/>
          <w:color w:val="000000" w:themeColor="text1"/>
        </w:rPr>
        <w:t xml:space="preserve"> geographic surveys</w:t>
      </w:r>
      <w:r w:rsidR="14D719BF" w:rsidRPr="1C16A0EA">
        <w:rPr>
          <w:rFonts w:eastAsia="Times New Roman"/>
          <w:noProof/>
          <w:color w:val="000000" w:themeColor="text1"/>
        </w:rPr>
        <w:t xml:space="preserve"> (e.g. France)</w:t>
      </w:r>
      <w:r w:rsidR="16BD26EF" w:rsidRPr="00292895">
        <w:rPr>
          <w:rFonts w:eastAsia="Times New Roman"/>
          <w:noProof/>
          <w:color w:val="000000" w:themeColor="text1"/>
        </w:rPr>
        <w:t>; 2</w:t>
      </w:r>
      <w:r w:rsidR="00393424">
        <w:rPr>
          <w:rFonts w:eastAsia="Times New Roman"/>
          <w:noProof/>
          <w:color w:val="000000" w:themeColor="text1"/>
        </w:rPr>
        <w:t>)</w:t>
      </w:r>
      <w:r w:rsidRPr="00292895">
        <w:rPr>
          <w:rFonts w:eastAsia="Times New Roman"/>
          <w:noProof/>
          <w:color w:val="000000" w:themeColor="text1"/>
        </w:rPr>
        <w:t xml:space="preserve"> </w:t>
      </w:r>
      <w:r w:rsidR="4EA0FC7B" w:rsidRPr="1C16A0EA">
        <w:rPr>
          <w:rFonts w:eastAsia="Times New Roman"/>
          <w:noProof/>
          <w:color w:val="000000" w:themeColor="text1"/>
        </w:rPr>
        <w:t xml:space="preserve">the use of </w:t>
      </w:r>
      <w:r w:rsidRPr="00292895">
        <w:rPr>
          <w:rFonts w:eastAsia="Times New Roman"/>
          <w:noProof/>
          <w:color w:val="000000" w:themeColor="text1"/>
        </w:rPr>
        <w:t xml:space="preserve">symmetric </w:t>
      </w:r>
      <w:r w:rsidR="5ECA6FE9" w:rsidRPr="1C16A0EA">
        <w:rPr>
          <w:rFonts w:eastAsia="Times New Roman"/>
          <w:noProof/>
          <w:color w:val="000000" w:themeColor="text1"/>
        </w:rPr>
        <w:t>measures</w:t>
      </w:r>
      <w:r w:rsidRPr="00292895">
        <w:rPr>
          <w:rFonts w:eastAsia="Times New Roman"/>
          <w:noProof/>
          <w:color w:val="000000" w:themeColor="text1"/>
        </w:rPr>
        <w:t>. Public authorities support either by state aids or by direct investment via publicly owned company has also played an important role.</w:t>
      </w:r>
    </w:p>
    <w:p w14:paraId="4E4D8F20" w14:textId="0028B18E" w:rsidR="1C144BA8" w:rsidRDefault="3B223A82" w:rsidP="00053713">
      <w:pPr>
        <w:spacing w:line="240" w:lineRule="auto"/>
        <w:rPr>
          <w:noProof/>
        </w:rPr>
      </w:pPr>
      <w:r>
        <w:rPr>
          <w:noProof/>
        </w:rPr>
        <w:t>Finally</w:t>
      </w:r>
      <w:r w:rsidR="6EE2AD52">
        <w:rPr>
          <w:noProof/>
        </w:rPr>
        <w:t>,</w:t>
      </w:r>
      <w:r>
        <w:rPr>
          <w:noProof/>
        </w:rPr>
        <w:t xml:space="preserve"> the Evaluation </w:t>
      </w:r>
      <w:r w:rsidR="00221A58">
        <w:rPr>
          <w:noProof/>
        </w:rPr>
        <w:t>report</w:t>
      </w:r>
      <w:r>
        <w:rPr>
          <w:noProof/>
        </w:rPr>
        <w:t xml:space="preserve"> (Annex 11) underline</w:t>
      </w:r>
      <w:r w:rsidR="00221A58">
        <w:rPr>
          <w:noProof/>
        </w:rPr>
        <w:t>s</w:t>
      </w:r>
      <w:r>
        <w:rPr>
          <w:noProof/>
        </w:rPr>
        <w:t xml:space="preserve"> that</w:t>
      </w:r>
      <w:r w:rsidR="6EA9BF8A">
        <w:rPr>
          <w:noProof/>
        </w:rPr>
        <w:t xml:space="preserve"> the provisions of the EECC setting out the conditions for copper switch off by operators having significant market powe</w:t>
      </w:r>
      <w:r w:rsidR="236E5EB8">
        <w:rPr>
          <w:noProof/>
        </w:rPr>
        <w:t xml:space="preserve">r were not aimed at facilitating copper switch off and in many cases </w:t>
      </w:r>
      <w:r w:rsidR="2FC35137">
        <w:rPr>
          <w:noProof/>
        </w:rPr>
        <w:t>delayed the process</w:t>
      </w:r>
      <w:r w:rsidR="236E5EB8">
        <w:rPr>
          <w:noProof/>
        </w:rPr>
        <w:t>.</w:t>
      </w:r>
      <w:r>
        <w:rPr>
          <w:noProof/>
        </w:rPr>
        <w:t xml:space="preserve"> </w:t>
      </w:r>
    </w:p>
    <w:p w14:paraId="01359A8D" w14:textId="067AC409" w:rsidR="001A088D" w:rsidRPr="00DE264C" w:rsidRDefault="00C773BD" w:rsidP="00292895">
      <w:pPr>
        <w:pStyle w:val="Heading4"/>
        <w:rPr>
          <w:noProof/>
        </w:rPr>
      </w:pPr>
      <w:r>
        <w:rPr>
          <w:noProof/>
        </w:rPr>
        <w:t xml:space="preserve"> </w:t>
      </w:r>
      <w:r w:rsidR="00596549" w:rsidRPr="00DE264C">
        <w:rPr>
          <w:noProof/>
        </w:rPr>
        <w:t>Persi</w:t>
      </w:r>
      <w:r w:rsidR="00D1646A" w:rsidRPr="00DE264C">
        <w:rPr>
          <w:noProof/>
        </w:rPr>
        <w:t>stence of c</w:t>
      </w:r>
      <w:r w:rsidR="001A088D" w:rsidRPr="00DE264C">
        <w:rPr>
          <w:noProof/>
        </w:rPr>
        <w:t>opper networks</w:t>
      </w:r>
    </w:p>
    <w:p w14:paraId="30BDE915" w14:textId="2D70248F" w:rsidR="009B5F84" w:rsidRPr="00DE264C" w:rsidRDefault="00DA22DA" w:rsidP="00053713">
      <w:pPr>
        <w:spacing w:line="240" w:lineRule="auto"/>
        <w:rPr>
          <w:rFonts w:eastAsia="Times New Roman"/>
          <w:noProof/>
          <w:color w:val="000000" w:themeColor="text1"/>
        </w:rPr>
      </w:pPr>
      <w:r w:rsidRPr="00DE264C">
        <w:rPr>
          <w:rFonts w:eastAsia="Times New Roman"/>
          <w:noProof/>
          <w:color w:val="000000" w:themeColor="text1"/>
        </w:rPr>
        <w:t xml:space="preserve">The persistence of legacy copper infrastructures decreases operators’ incentives </w:t>
      </w:r>
      <w:r w:rsidR="00B5363B" w:rsidRPr="00DE264C">
        <w:rPr>
          <w:rFonts w:eastAsia="Times New Roman"/>
          <w:noProof/>
          <w:color w:val="000000" w:themeColor="text1"/>
        </w:rPr>
        <w:t>to</w:t>
      </w:r>
      <w:r w:rsidRPr="00DE264C">
        <w:rPr>
          <w:rFonts w:eastAsia="Times New Roman"/>
          <w:noProof/>
          <w:color w:val="000000" w:themeColor="text1"/>
        </w:rPr>
        <w:t xml:space="preserve"> deploy FTTH </w:t>
      </w:r>
      <w:r w:rsidR="009F2507" w:rsidRPr="00DE264C">
        <w:rPr>
          <w:rFonts w:eastAsia="Times New Roman"/>
          <w:noProof/>
          <w:color w:val="000000" w:themeColor="text1"/>
        </w:rPr>
        <w:t xml:space="preserve">networks </w:t>
      </w:r>
      <w:r w:rsidR="00097B15" w:rsidRPr="00DE264C">
        <w:rPr>
          <w:rFonts w:eastAsia="Times New Roman"/>
          <w:noProof/>
          <w:color w:val="000000" w:themeColor="text1"/>
        </w:rPr>
        <w:t>and</w:t>
      </w:r>
      <w:r w:rsidR="00316E5D" w:rsidRPr="00DE264C">
        <w:rPr>
          <w:rFonts w:eastAsia="Times New Roman"/>
          <w:noProof/>
          <w:color w:val="000000" w:themeColor="text1"/>
        </w:rPr>
        <w:t>,</w:t>
      </w:r>
      <w:r w:rsidR="00097B15" w:rsidRPr="00DE264C">
        <w:rPr>
          <w:rFonts w:eastAsia="Times New Roman"/>
          <w:noProof/>
          <w:color w:val="000000" w:themeColor="text1"/>
        </w:rPr>
        <w:t xml:space="preserve"> </w:t>
      </w:r>
      <w:r w:rsidR="00316E5D" w:rsidRPr="00DE264C">
        <w:rPr>
          <w:rFonts w:eastAsia="Times New Roman"/>
          <w:noProof/>
          <w:color w:val="000000" w:themeColor="text1"/>
        </w:rPr>
        <w:t xml:space="preserve">where FTTH exists, </w:t>
      </w:r>
      <w:r w:rsidR="000F1CC0" w:rsidRPr="00DE264C">
        <w:rPr>
          <w:rFonts w:eastAsia="Times New Roman"/>
          <w:noProof/>
          <w:color w:val="000000" w:themeColor="text1"/>
        </w:rPr>
        <w:t xml:space="preserve">adoption of </w:t>
      </w:r>
      <w:r w:rsidR="005404E2" w:rsidRPr="00DE264C">
        <w:rPr>
          <w:rFonts w:eastAsia="Times New Roman"/>
          <w:noProof/>
          <w:color w:val="000000" w:themeColor="text1"/>
        </w:rPr>
        <w:t>fibre-based services</w:t>
      </w:r>
      <w:r w:rsidR="002E52BE" w:rsidRPr="00DE264C">
        <w:rPr>
          <w:rFonts w:eastAsia="Times New Roman"/>
          <w:noProof/>
          <w:color w:val="000000" w:themeColor="text1"/>
        </w:rPr>
        <w:t xml:space="preserve"> </w:t>
      </w:r>
      <w:r w:rsidRPr="00DE264C">
        <w:rPr>
          <w:rFonts w:eastAsia="Times New Roman"/>
          <w:noProof/>
          <w:color w:val="000000" w:themeColor="text1"/>
        </w:rPr>
        <w:t xml:space="preserve">by </w:t>
      </w:r>
      <w:r w:rsidR="002E52BE" w:rsidRPr="00DE264C">
        <w:rPr>
          <w:rFonts w:eastAsia="Times New Roman"/>
          <w:noProof/>
          <w:color w:val="000000" w:themeColor="text1"/>
        </w:rPr>
        <w:t>end-users</w:t>
      </w:r>
      <w:r w:rsidR="005404E2" w:rsidRPr="00DE264C">
        <w:rPr>
          <w:rFonts w:eastAsia="Times New Roman"/>
          <w:noProof/>
          <w:color w:val="000000" w:themeColor="text1"/>
        </w:rPr>
        <w:t xml:space="preserve">. </w:t>
      </w:r>
    </w:p>
    <w:p w14:paraId="555F3BB6" w14:textId="131231D6" w:rsidR="00A44B4E" w:rsidRPr="00DE264C" w:rsidRDefault="000547DE" w:rsidP="00053713">
      <w:pPr>
        <w:pStyle w:val="Text2"/>
        <w:spacing w:line="240" w:lineRule="auto"/>
        <w:ind w:left="0"/>
        <w:rPr>
          <w:noProof/>
        </w:rPr>
      </w:pPr>
      <w:r w:rsidRPr="00DE264C">
        <w:rPr>
          <w:noProof/>
        </w:rPr>
        <w:t>In general</w:t>
      </w:r>
      <w:r w:rsidR="005419B7">
        <w:rPr>
          <w:noProof/>
        </w:rPr>
        <w:t>,</w:t>
      </w:r>
      <w:r w:rsidRPr="00DE264C">
        <w:rPr>
          <w:noProof/>
        </w:rPr>
        <w:t xml:space="preserve"> countries with a high share of copper networks have </w:t>
      </w:r>
      <w:r w:rsidR="001005AC">
        <w:rPr>
          <w:noProof/>
        </w:rPr>
        <w:t>lower</w:t>
      </w:r>
      <w:r w:rsidR="001005AC" w:rsidRPr="00DE264C">
        <w:rPr>
          <w:noProof/>
        </w:rPr>
        <w:t xml:space="preserve"> </w:t>
      </w:r>
      <w:r w:rsidRPr="00DE264C">
        <w:rPr>
          <w:noProof/>
        </w:rPr>
        <w:t xml:space="preserve">fibre </w:t>
      </w:r>
      <w:r w:rsidR="001005AC">
        <w:rPr>
          <w:noProof/>
        </w:rPr>
        <w:t>coverage</w:t>
      </w:r>
      <w:r w:rsidRPr="00DE264C">
        <w:rPr>
          <w:noProof/>
        </w:rPr>
        <w:t xml:space="preserve"> than those with a low share</w:t>
      </w:r>
      <w:r w:rsidRPr="00DE264C">
        <w:rPr>
          <w:rStyle w:val="FootnoteReference"/>
          <w:noProof/>
        </w:rPr>
        <w:footnoteReference w:id="76"/>
      </w:r>
      <w:r w:rsidR="00393424">
        <w:rPr>
          <w:noProof/>
        </w:rPr>
        <w:t>.</w:t>
      </w:r>
      <w:r w:rsidR="002E3E51" w:rsidRPr="00DE264C">
        <w:rPr>
          <w:noProof/>
        </w:rPr>
        <w:t xml:space="preserve"> </w:t>
      </w:r>
      <w:r w:rsidR="00844A68" w:rsidRPr="00DE264C">
        <w:rPr>
          <w:noProof/>
        </w:rPr>
        <w:t>One of the reasons for that is that t</w:t>
      </w:r>
      <w:r w:rsidR="001A088D" w:rsidRPr="00DE264C">
        <w:rPr>
          <w:noProof/>
        </w:rPr>
        <w:t xml:space="preserve">he presence of a copper network reduces the incentives of </w:t>
      </w:r>
      <w:r w:rsidR="001A088D" w:rsidRPr="7AC71608">
        <w:rPr>
          <w:b/>
          <w:bCs/>
          <w:noProof/>
        </w:rPr>
        <w:t>deploying</w:t>
      </w:r>
      <w:r w:rsidR="001A088D" w:rsidRPr="00DE264C">
        <w:rPr>
          <w:noProof/>
        </w:rPr>
        <w:t xml:space="preserve"> a fibre network in the same area. Deploying a new fibre network is capital intensive, therefore it is crucial that the new network attracts significant number of customers within a relatively short period. To reduce the risk of not </w:t>
      </w:r>
      <w:r w:rsidR="004454B1" w:rsidRPr="00DE264C">
        <w:rPr>
          <w:noProof/>
        </w:rPr>
        <w:t>reaching a critical number of</w:t>
      </w:r>
      <w:r w:rsidR="001A088D" w:rsidRPr="00DE264C">
        <w:rPr>
          <w:noProof/>
        </w:rPr>
        <w:t xml:space="preserve"> customers (demand risk), network operators typically </w:t>
      </w:r>
      <w:r w:rsidR="006D30F4" w:rsidRPr="00DE264C">
        <w:rPr>
          <w:noProof/>
        </w:rPr>
        <w:t xml:space="preserve">collect </w:t>
      </w:r>
      <w:r w:rsidR="00F35B8E" w:rsidRPr="00DE264C">
        <w:rPr>
          <w:noProof/>
        </w:rPr>
        <w:t>commitment</w:t>
      </w:r>
      <w:r w:rsidR="006D30F4" w:rsidRPr="00DE264C">
        <w:rPr>
          <w:noProof/>
        </w:rPr>
        <w:t>s</w:t>
      </w:r>
      <w:r w:rsidR="00F35B8E" w:rsidRPr="00DE264C">
        <w:rPr>
          <w:noProof/>
        </w:rPr>
        <w:t xml:space="preserve"> </w:t>
      </w:r>
      <w:r w:rsidR="00DD2D33" w:rsidRPr="00DE264C">
        <w:rPr>
          <w:noProof/>
        </w:rPr>
        <w:t>from</w:t>
      </w:r>
      <w:r w:rsidR="00F35B8E" w:rsidRPr="00DE264C">
        <w:rPr>
          <w:noProof/>
        </w:rPr>
        <w:t xml:space="preserve"> </w:t>
      </w:r>
      <w:r w:rsidR="001A088D" w:rsidRPr="00DE264C">
        <w:rPr>
          <w:noProof/>
        </w:rPr>
        <w:t xml:space="preserve">a </w:t>
      </w:r>
      <w:r w:rsidR="00F05995" w:rsidRPr="00DE264C">
        <w:rPr>
          <w:noProof/>
        </w:rPr>
        <w:t xml:space="preserve">minimum </w:t>
      </w:r>
      <w:r w:rsidR="001A088D" w:rsidRPr="00DE264C">
        <w:rPr>
          <w:noProof/>
        </w:rPr>
        <w:t>number of potential customers to subscrib</w:t>
      </w:r>
      <w:r w:rsidR="001F1A75" w:rsidRPr="00DE264C">
        <w:rPr>
          <w:noProof/>
        </w:rPr>
        <w:t>e</w:t>
      </w:r>
      <w:r w:rsidR="001A088D" w:rsidRPr="00DE264C">
        <w:rPr>
          <w:noProof/>
        </w:rPr>
        <w:t xml:space="preserve"> to fibre-based services before they go ahead with deployment. In areas covered by a copper network, </w:t>
      </w:r>
      <w:r w:rsidR="00F95D1C" w:rsidRPr="00DE264C">
        <w:rPr>
          <w:noProof/>
        </w:rPr>
        <w:t>end-users</w:t>
      </w:r>
      <w:r w:rsidR="000078C5" w:rsidRPr="00DE264C">
        <w:rPr>
          <w:noProof/>
        </w:rPr>
        <w:t>’</w:t>
      </w:r>
      <w:r w:rsidR="001A088D" w:rsidRPr="00DE264C">
        <w:rPr>
          <w:noProof/>
        </w:rPr>
        <w:t xml:space="preserve"> incentives to commit to subscribe to fibre-based services is lower than in areas w</w:t>
      </w:r>
      <w:r w:rsidR="004F6813" w:rsidRPr="00DE264C">
        <w:rPr>
          <w:noProof/>
        </w:rPr>
        <w:t>ith</w:t>
      </w:r>
      <w:r w:rsidR="00CD5EDE" w:rsidRPr="00DE264C">
        <w:rPr>
          <w:noProof/>
        </w:rPr>
        <w:t>out</w:t>
      </w:r>
      <w:r w:rsidR="00E55793" w:rsidRPr="00DE264C">
        <w:rPr>
          <w:noProof/>
        </w:rPr>
        <w:t xml:space="preserve"> </w:t>
      </w:r>
      <w:r w:rsidR="000B36CD" w:rsidRPr="00DE264C">
        <w:rPr>
          <w:noProof/>
        </w:rPr>
        <w:t>a copper network</w:t>
      </w:r>
      <w:r w:rsidR="0051053B" w:rsidRPr="00DE264C">
        <w:rPr>
          <w:noProof/>
        </w:rPr>
        <w:t xml:space="preserve">, especially if the </w:t>
      </w:r>
      <w:r w:rsidR="00163BB3" w:rsidRPr="00DE264C">
        <w:rPr>
          <w:noProof/>
        </w:rPr>
        <w:t xml:space="preserve">copper network </w:t>
      </w:r>
      <w:r w:rsidR="001C31B4" w:rsidRPr="00DE264C">
        <w:rPr>
          <w:noProof/>
        </w:rPr>
        <w:t xml:space="preserve">can </w:t>
      </w:r>
      <w:r w:rsidR="00163BB3" w:rsidRPr="00DE264C">
        <w:rPr>
          <w:noProof/>
        </w:rPr>
        <w:t xml:space="preserve">provide </w:t>
      </w:r>
      <w:r w:rsidR="000E06A5" w:rsidRPr="00DE264C">
        <w:rPr>
          <w:noProof/>
        </w:rPr>
        <w:t xml:space="preserve">speeds </w:t>
      </w:r>
      <w:r w:rsidR="00161009" w:rsidRPr="00DE264C">
        <w:rPr>
          <w:noProof/>
        </w:rPr>
        <w:t>above</w:t>
      </w:r>
      <w:r w:rsidR="004B02D8" w:rsidRPr="00DE264C">
        <w:rPr>
          <w:noProof/>
        </w:rPr>
        <w:t xml:space="preserve"> </w:t>
      </w:r>
      <w:r w:rsidR="008C25C6" w:rsidRPr="00DE264C">
        <w:rPr>
          <w:noProof/>
        </w:rPr>
        <w:t>100 M</w:t>
      </w:r>
      <w:r w:rsidR="004B02D8" w:rsidRPr="00DE264C">
        <w:rPr>
          <w:noProof/>
        </w:rPr>
        <w:t>b</w:t>
      </w:r>
      <w:r w:rsidR="008C25C6" w:rsidRPr="00DE264C">
        <w:rPr>
          <w:noProof/>
        </w:rPr>
        <w:t>ps)</w:t>
      </w:r>
      <w:r w:rsidR="001A088D" w:rsidRPr="00DE264C">
        <w:rPr>
          <w:noProof/>
        </w:rPr>
        <w:t>. This can translate into insufficient demand at the stage of assessing the economic feasibility of deployment</w:t>
      </w:r>
      <w:r w:rsidR="00C83323" w:rsidRPr="00DE264C">
        <w:rPr>
          <w:noProof/>
        </w:rPr>
        <w:t xml:space="preserve"> and </w:t>
      </w:r>
      <w:r w:rsidR="006329F1" w:rsidRPr="00DE264C">
        <w:rPr>
          <w:noProof/>
        </w:rPr>
        <w:t>ultimately result</w:t>
      </w:r>
      <w:r w:rsidR="001A088D" w:rsidRPr="00DE264C">
        <w:rPr>
          <w:noProof/>
        </w:rPr>
        <w:t xml:space="preserve"> in no or delayed deployment of the </w:t>
      </w:r>
      <w:r w:rsidR="00E83864" w:rsidRPr="00DE264C">
        <w:rPr>
          <w:noProof/>
        </w:rPr>
        <w:t xml:space="preserve">FTTH </w:t>
      </w:r>
      <w:r w:rsidR="001A088D" w:rsidRPr="00DE264C">
        <w:rPr>
          <w:noProof/>
        </w:rPr>
        <w:t>network.</w:t>
      </w:r>
    </w:p>
    <w:p w14:paraId="3E7421E6" w14:textId="11AFE903" w:rsidR="00710096" w:rsidRPr="00DE264C" w:rsidRDefault="001A088D" w:rsidP="00053713">
      <w:pPr>
        <w:pStyle w:val="Text2"/>
        <w:spacing w:line="240" w:lineRule="auto"/>
        <w:ind w:left="0"/>
        <w:rPr>
          <w:noProof/>
        </w:rPr>
      </w:pPr>
      <w:r w:rsidRPr="00DE264C">
        <w:rPr>
          <w:noProof/>
        </w:rPr>
        <w:t xml:space="preserve">The </w:t>
      </w:r>
      <w:r w:rsidR="0031287E">
        <w:rPr>
          <w:noProof/>
        </w:rPr>
        <w:t xml:space="preserve">link between the </w:t>
      </w:r>
      <w:r w:rsidRPr="00DE264C">
        <w:rPr>
          <w:noProof/>
        </w:rPr>
        <w:t xml:space="preserve">presence of a copper network </w:t>
      </w:r>
      <w:r w:rsidR="0031287E">
        <w:rPr>
          <w:noProof/>
        </w:rPr>
        <w:t xml:space="preserve">and </w:t>
      </w:r>
      <w:r w:rsidR="6E321998" w:rsidRPr="00DE264C">
        <w:rPr>
          <w:noProof/>
        </w:rPr>
        <w:t xml:space="preserve">the </w:t>
      </w:r>
      <w:r w:rsidR="7716A5AB" w:rsidRPr="7AC71608">
        <w:rPr>
          <w:b/>
          <w:bCs/>
          <w:noProof/>
        </w:rPr>
        <w:t>adoption</w:t>
      </w:r>
      <w:r w:rsidR="7716A5AB" w:rsidRPr="00DE264C">
        <w:rPr>
          <w:noProof/>
        </w:rPr>
        <w:t xml:space="preserve"> </w:t>
      </w:r>
      <w:r w:rsidR="6E321998" w:rsidRPr="00DE264C">
        <w:rPr>
          <w:noProof/>
        </w:rPr>
        <w:t>of</w:t>
      </w:r>
      <w:r w:rsidRPr="00DE264C">
        <w:rPr>
          <w:noProof/>
        </w:rPr>
        <w:t xml:space="preserve"> fibre-based services</w:t>
      </w:r>
      <w:r w:rsidR="0074375F">
        <w:rPr>
          <w:noProof/>
        </w:rPr>
        <w:t xml:space="preserve"> is </w:t>
      </w:r>
      <w:r w:rsidR="007B7656">
        <w:rPr>
          <w:noProof/>
        </w:rPr>
        <w:t>more direct than with deployment</w:t>
      </w:r>
      <w:r w:rsidRPr="00DE264C">
        <w:rPr>
          <w:noProof/>
        </w:rPr>
        <w:t xml:space="preserve">. </w:t>
      </w:r>
      <w:r w:rsidR="00C04484">
        <w:rPr>
          <w:noProof/>
        </w:rPr>
        <w:t>C</w:t>
      </w:r>
      <w:r w:rsidRPr="00DE264C">
        <w:rPr>
          <w:noProof/>
        </w:rPr>
        <w:t xml:space="preserve">ustomers </w:t>
      </w:r>
      <w:r w:rsidR="00C04484">
        <w:rPr>
          <w:noProof/>
        </w:rPr>
        <w:t>on copper network</w:t>
      </w:r>
      <w:r w:rsidR="006D5CC6">
        <w:rPr>
          <w:noProof/>
        </w:rPr>
        <w:t>s</w:t>
      </w:r>
      <w:r w:rsidRPr="00DE264C">
        <w:rPr>
          <w:noProof/>
        </w:rPr>
        <w:t xml:space="preserve"> may delay the migration </w:t>
      </w:r>
      <w:r w:rsidR="00335EC3">
        <w:rPr>
          <w:noProof/>
        </w:rPr>
        <w:t>to fibre</w:t>
      </w:r>
      <w:r w:rsidRPr="00DE264C">
        <w:rPr>
          <w:noProof/>
        </w:rPr>
        <w:t xml:space="preserve"> due to inertia, higher price</w:t>
      </w:r>
      <w:r w:rsidR="1A87E4FE" w:rsidRPr="00DE264C">
        <w:rPr>
          <w:noProof/>
        </w:rPr>
        <w:t xml:space="preserve">, the possible works needed </w:t>
      </w:r>
      <w:r w:rsidR="6A2F09D4" w:rsidRPr="00DE264C">
        <w:rPr>
          <w:noProof/>
        </w:rPr>
        <w:t xml:space="preserve">for </w:t>
      </w:r>
      <w:r w:rsidR="1A87E4FE" w:rsidRPr="00DE264C">
        <w:rPr>
          <w:noProof/>
        </w:rPr>
        <w:t xml:space="preserve">bringing </w:t>
      </w:r>
      <w:r w:rsidR="00E55793" w:rsidRPr="00DE264C">
        <w:rPr>
          <w:noProof/>
        </w:rPr>
        <w:t>fibre</w:t>
      </w:r>
      <w:r w:rsidR="1A87E4FE" w:rsidRPr="00DE264C">
        <w:rPr>
          <w:noProof/>
        </w:rPr>
        <w:t xml:space="preserve"> </w:t>
      </w:r>
      <w:r w:rsidR="00BA42AA">
        <w:rPr>
          <w:noProof/>
        </w:rPr>
        <w:t>to</w:t>
      </w:r>
      <w:r w:rsidR="00BA42AA" w:rsidRPr="00DE264C">
        <w:rPr>
          <w:noProof/>
        </w:rPr>
        <w:t xml:space="preserve"> </w:t>
      </w:r>
      <w:r w:rsidR="1A87E4FE" w:rsidRPr="00DE264C">
        <w:rPr>
          <w:noProof/>
        </w:rPr>
        <w:t>the</w:t>
      </w:r>
      <w:r w:rsidR="00BA42AA">
        <w:rPr>
          <w:noProof/>
        </w:rPr>
        <w:t>ir homes</w:t>
      </w:r>
      <w:r w:rsidRPr="00DE264C">
        <w:rPr>
          <w:noProof/>
        </w:rPr>
        <w:t xml:space="preserve"> or (perceived) lack of need. This can result in low take-up of fibre-based services</w:t>
      </w:r>
      <w:r w:rsidR="6A5671A0" w:rsidRPr="00DE264C">
        <w:rPr>
          <w:noProof/>
        </w:rPr>
        <w:t xml:space="preserve"> </w:t>
      </w:r>
      <w:r w:rsidR="00C014DA" w:rsidRPr="00DE264C">
        <w:rPr>
          <w:noProof/>
        </w:rPr>
        <w:t xml:space="preserve">(39% of </w:t>
      </w:r>
      <w:r w:rsidR="00EB6198" w:rsidRPr="00DE264C">
        <w:rPr>
          <w:noProof/>
        </w:rPr>
        <w:t xml:space="preserve">broadband </w:t>
      </w:r>
      <w:r w:rsidR="00D1233C" w:rsidRPr="00DE264C">
        <w:rPr>
          <w:noProof/>
        </w:rPr>
        <w:t>subscriptions in 2025)</w:t>
      </w:r>
      <w:r w:rsidR="00D1233C" w:rsidRPr="00DE264C">
        <w:rPr>
          <w:rStyle w:val="FootnoteReference"/>
          <w:noProof/>
          <w:color w:val="000000" w:themeColor="text1"/>
        </w:rPr>
        <w:footnoteReference w:id="77"/>
      </w:r>
      <w:r w:rsidR="00D1233C" w:rsidRPr="00DE264C">
        <w:rPr>
          <w:rStyle w:val="FootnoteReference"/>
          <w:noProof/>
          <w:color w:val="000000" w:themeColor="text1"/>
        </w:rPr>
        <w:t xml:space="preserve"> </w:t>
      </w:r>
      <w:r w:rsidRPr="00DE264C">
        <w:rPr>
          <w:noProof/>
        </w:rPr>
        <w:t>and insufficient revenues for the fibre network operator</w:t>
      </w:r>
      <w:r w:rsidR="36E7C845" w:rsidRPr="00DE264C">
        <w:rPr>
          <w:noProof/>
        </w:rPr>
        <w:t>.</w:t>
      </w:r>
      <w:r w:rsidRPr="00DE264C">
        <w:rPr>
          <w:noProof/>
        </w:rPr>
        <w:t xml:space="preserve"> </w:t>
      </w:r>
      <w:r w:rsidR="0C63EA86" w:rsidRPr="00DE264C">
        <w:rPr>
          <w:noProof/>
        </w:rPr>
        <w:t xml:space="preserve">In turn, </w:t>
      </w:r>
      <w:r w:rsidR="2ED5DC1C" w:rsidRPr="00DE264C">
        <w:rPr>
          <w:noProof/>
        </w:rPr>
        <w:t>th</w:t>
      </w:r>
      <w:r w:rsidR="236ED287" w:rsidRPr="00DE264C">
        <w:rPr>
          <w:noProof/>
        </w:rPr>
        <w:t>e low take-up</w:t>
      </w:r>
      <w:r w:rsidR="2ED5DC1C" w:rsidRPr="00DE264C">
        <w:rPr>
          <w:noProof/>
        </w:rPr>
        <w:t xml:space="preserve"> can </w:t>
      </w:r>
      <w:r w:rsidR="12665D8D" w:rsidRPr="00DE264C">
        <w:rPr>
          <w:noProof/>
        </w:rPr>
        <w:t xml:space="preserve">lead to </w:t>
      </w:r>
      <w:r w:rsidR="561EA491" w:rsidRPr="00DE264C">
        <w:rPr>
          <w:noProof/>
        </w:rPr>
        <w:t>charging relatively high</w:t>
      </w:r>
      <w:r w:rsidR="283A8B14" w:rsidRPr="00DE264C">
        <w:rPr>
          <w:noProof/>
        </w:rPr>
        <w:t xml:space="preserve"> </w:t>
      </w:r>
      <w:r w:rsidR="175CE6B2" w:rsidRPr="00DE264C">
        <w:rPr>
          <w:noProof/>
        </w:rPr>
        <w:t xml:space="preserve">prices </w:t>
      </w:r>
      <w:r w:rsidR="561EA491" w:rsidRPr="00DE264C">
        <w:rPr>
          <w:noProof/>
        </w:rPr>
        <w:t>for</w:t>
      </w:r>
      <w:r w:rsidR="5DC5CFC5" w:rsidRPr="00DE264C">
        <w:rPr>
          <w:noProof/>
        </w:rPr>
        <w:t xml:space="preserve"> fibre </w:t>
      </w:r>
      <w:r w:rsidR="225C4ACE" w:rsidRPr="00DE264C">
        <w:rPr>
          <w:noProof/>
        </w:rPr>
        <w:t>services</w:t>
      </w:r>
      <w:r w:rsidR="1C22EBC3" w:rsidRPr="00DE264C">
        <w:rPr>
          <w:noProof/>
        </w:rPr>
        <w:t xml:space="preserve"> to cover </w:t>
      </w:r>
      <w:r w:rsidR="38D6CC8E" w:rsidRPr="00DE264C">
        <w:rPr>
          <w:noProof/>
        </w:rPr>
        <w:t>investment costs</w:t>
      </w:r>
      <w:r w:rsidR="00EB1AF3" w:rsidRPr="00DE264C">
        <w:rPr>
          <w:rStyle w:val="FootnoteReference"/>
          <w:noProof/>
          <w:color w:val="000000" w:themeColor="text1"/>
        </w:rPr>
        <w:footnoteReference w:id="78"/>
      </w:r>
      <w:r w:rsidR="0009387F">
        <w:rPr>
          <w:noProof/>
        </w:rPr>
        <w:t>.</w:t>
      </w:r>
      <w:r w:rsidR="00EB1AF3" w:rsidRPr="00DE264C">
        <w:rPr>
          <w:noProof/>
        </w:rPr>
        <w:t xml:space="preserve"> </w:t>
      </w:r>
      <w:r w:rsidR="3A48B65A" w:rsidRPr="00DE264C">
        <w:rPr>
          <w:noProof/>
        </w:rPr>
        <w:t>Higher prices will further reduce demand and take</w:t>
      </w:r>
      <w:r w:rsidR="00A54304">
        <w:rPr>
          <w:noProof/>
        </w:rPr>
        <w:t>-</w:t>
      </w:r>
      <w:r w:rsidR="3A48B65A" w:rsidRPr="00DE264C">
        <w:rPr>
          <w:noProof/>
        </w:rPr>
        <w:t xml:space="preserve">up. </w:t>
      </w:r>
      <w:r w:rsidRPr="00DE264C">
        <w:rPr>
          <w:noProof/>
        </w:rPr>
        <w:t xml:space="preserve">If new fibre networks turn out to be unprofitable, investors will be unwilling or at least less likely to finance the deployment of new fibre networks. This means that the low take-up on existing fibre networks </w:t>
      </w:r>
      <w:r w:rsidR="32032887" w:rsidRPr="00DE264C">
        <w:rPr>
          <w:noProof/>
        </w:rPr>
        <w:t xml:space="preserve">can </w:t>
      </w:r>
      <w:r w:rsidR="2D2A473D" w:rsidRPr="00DE264C">
        <w:rPr>
          <w:noProof/>
        </w:rPr>
        <w:t>also</w:t>
      </w:r>
      <w:r w:rsidRPr="00DE264C">
        <w:rPr>
          <w:noProof/>
        </w:rPr>
        <w:t xml:space="preserve"> slow down </w:t>
      </w:r>
      <w:r w:rsidR="001E00B0" w:rsidRPr="00DE264C">
        <w:rPr>
          <w:noProof/>
        </w:rPr>
        <w:t xml:space="preserve">further </w:t>
      </w:r>
      <w:r w:rsidRPr="00DE264C">
        <w:rPr>
          <w:noProof/>
        </w:rPr>
        <w:t>fibre deployment.</w:t>
      </w:r>
      <w:r w:rsidR="00800FE9" w:rsidRPr="00DE264C">
        <w:rPr>
          <w:noProof/>
        </w:rPr>
        <w:t xml:space="preserve"> </w:t>
      </w:r>
    </w:p>
    <w:p w14:paraId="589EFB99" w14:textId="005E82BD" w:rsidR="0053400B" w:rsidRPr="00DE264C" w:rsidRDefault="0053400B" w:rsidP="00053713">
      <w:pPr>
        <w:spacing w:line="240" w:lineRule="auto"/>
        <w:rPr>
          <w:rFonts w:eastAsia="Times New Roman"/>
          <w:noProof/>
          <w:color w:val="000000" w:themeColor="text1"/>
        </w:rPr>
      </w:pPr>
      <w:r w:rsidRPr="00DE264C">
        <w:rPr>
          <w:rFonts w:eastAsia="Times New Roman"/>
          <w:noProof/>
          <w:color w:val="000000" w:themeColor="text1"/>
        </w:rPr>
        <w:t xml:space="preserve">As can be seen from the following chart, a common factor amongst the countries </w:t>
      </w:r>
      <w:r w:rsidR="00FD2990" w:rsidRPr="00DE264C">
        <w:rPr>
          <w:rFonts w:eastAsia="Times New Roman"/>
          <w:noProof/>
          <w:color w:val="000000" w:themeColor="text1"/>
        </w:rPr>
        <w:t>with the lowest</w:t>
      </w:r>
      <w:r w:rsidRPr="00DE264C">
        <w:rPr>
          <w:rFonts w:eastAsia="Times New Roman"/>
          <w:noProof/>
          <w:color w:val="000000" w:themeColor="text1"/>
        </w:rPr>
        <w:t xml:space="preserve"> </w:t>
      </w:r>
      <w:r w:rsidR="00F51384" w:rsidRPr="00DE264C">
        <w:rPr>
          <w:rFonts w:eastAsia="Times New Roman"/>
          <w:noProof/>
          <w:color w:val="000000" w:themeColor="text1"/>
        </w:rPr>
        <w:t xml:space="preserve">fibre </w:t>
      </w:r>
      <w:r w:rsidRPr="00DE264C">
        <w:rPr>
          <w:rFonts w:eastAsia="Times New Roman"/>
          <w:noProof/>
          <w:color w:val="000000" w:themeColor="text1"/>
        </w:rPr>
        <w:t xml:space="preserve">deployment </w:t>
      </w:r>
      <w:r w:rsidR="008E74B6" w:rsidRPr="00DE264C">
        <w:rPr>
          <w:rFonts w:eastAsia="Times New Roman"/>
          <w:noProof/>
          <w:color w:val="000000" w:themeColor="text1"/>
        </w:rPr>
        <w:t xml:space="preserve">(Greece, </w:t>
      </w:r>
      <w:r w:rsidR="00823FDB" w:rsidRPr="00DE264C">
        <w:rPr>
          <w:rFonts w:eastAsia="Times New Roman"/>
          <w:noProof/>
          <w:color w:val="000000" w:themeColor="text1"/>
        </w:rPr>
        <w:t>Austria, Czechia, German</w:t>
      </w:r>
      <w:r w:rsidR="21BE31E2" w:rsidRPr="00DE264C">
        <w:rPr>
          <w:rFonts w:eastAsia="Times New Roman"/>
          <w:noProof/>
          <w:color w:val="000000" w:themeColor="text1"/>
        </w:rPr>
        <w:t>y</w:t>
      </w:r>
      <w:r w:rsidR="00823FDB" w:rsidRPr="00DE264C">
        <w:rPr>
          <w:rFonts w:eastAsia="Times New Roman"/>
          <w:noProof/>
          <w:color w:val="000000" w:themeColor="text1"/>
        </w:rPr>
        <w:t>, Belgium</w:t>
      </w:r>
      <w:r w:rsidR="73F4506F" w:rsidRPr="00DE264C">
        <w:rPr>
          <w:rFonts w:eastAsia="Times New Roman"/>
          <w:noProof/>
          <w:color w:val="000000" w:themeColor="text1"/>
        </w:rPr>
        <w:t xml:space="preserve"> and Italy</w:t>
      </w:r>
      <w:r w:rsidR="1EC0FA59" w:rsidRPr="5B3ED757">
        <w:rPr>
          <w:rFonts w:eastAsia="Times New Roman"/>
          <w:noProof/>
          <w:color w:val="000000" w:themeColor="text1"/>
        </w:rPr>
        <w:t>)</w:t>
      </w:r>
      <w:r w:rsidR="75959C80" w:rsidRPr="00DE264C">
        <w:rPr>
          <w:rFonts w:eastAsia="Times New Roman"/>
          <w:noProof/>
          <w:color w:val="000000" w:themeColor="text1"/>
        </w:rPr>
        <w:t xml:space="preserve"> </w:t>
      </w:r>
      <w:r w:rsidRPr="00DE264C">
        <w:rPr>
          <w:rFonts w:eastAsia="Times New Roman"/>
          <w:noProof/>
          <w:color w:val="000000" w:themeColor="text1"/>
        </w:rPr>
        <w:t xml:space="preserve">is </w:t>
      </w:r>
      <w:r w:rsidR="00332616" w:rsidRPr="00DE264C">
        <w:rPr>
          <w:rFonts w:eastAsia="Times New Roman"/>
          <w:noProof/>
          <w:color w:val="000000" w:themeColor="text1"/>
        </w:rPr>
        <w:t xml:space="preserve">the </w:t>
      </w:r>
      <w:r w:rsidR="00A67724" w:rsidRPr="00DE264C">
        <w:rPr>
          <w:rFonts w:eastAsia="Times New Roman"/>
          <w:noProof/>
          <w:color w:val="000000" w:themeColor="text1"/>
        </w:rPr>
        <w:t>high share</w:t>
      </w:r>
      <w:r w:rsidR="00332616" w:rsidRPr="00DE264C">
        <w:rPr>
          <w:rFonts w:eastAsia="Times New Roman"/>
          <w:noProof/>
          <w:color w:val="000000" w:themeColor="text1"/>
        </w:rPr>
        <w:t xml:space="preserve"> of </w:t>
      </w:r>
      <w:r w:rsidRPr="00DE264C">
        <w:rPr>
          <w:rFonts w:eastAsia="Times New Roman"/>
          <w:noProof/>
          <w:color w:val="000000" w:themeColor="text1"/>
        </w:rPr>
        <w:t xml:space="preserve">upgraded copper networks </w:t>
      </w:r>
      <w:r w:rsidR="00A67724" w:rsidRPr="00DE264C">
        <w:rPr>
          <w:rFonts w:eastAsia="Times New Roman"/>
          <w:noProof/>
          <w:color w:val="000000" w:themeColor="text1"/>
        </w:rPr>
        <w:t>(</w:t>
      </w:r>
      <w:r w:rsidR="00424248" w:rsidRPr="00DE264C">
        <w:rPr>
          <w:rFonts w:eastAsia="Times New Roman"/>
          <w:noProof/>
          <w:color w:val="000000" w:themeColor="text1"/>
        </w:rPr>
        <w:t>specifically FTTC)</w:t>
      </w:r>
      <w:r w:rsidRPr="00DE264C">
        <w:rPr>
          <w:rFonts w:eastAsia="Times New Roman"/>
          <w:noProof/>
          <w:color w:val="000000" w:themeColor="text1"/>
        </w:rPr>
        <w:t xml:space="preserve">. </w:t>
      </w:r>
      <w:r w:rsidR="4553E95A" w:rsidRPr="4A4AFF0A">
        <w:rPr>
          <w:rFonts w:eastAsia="Times New Roman"/>
          <w:noProof/>
          <w:color w:val="000000" w:themeColor="text1"/>
        </w:rPr>
        <w:t>As previously</w:t>
      </w:r>
      <w:r w:rsidR="4553E95A" w:rsidRPr="5B3ED757">
        <w:rPr>
          <w:rFonts w:eastAsia="Times New Roman"/>
          <w:noProof/>
          <w:color w:val="000000" w:themeColor="text1"/>
        </w:rPr>
        <w:t xml:space="preserve"> explained</w:t>
      </w:r>
      <w:r w:rsidR="4553E95A" w:rsidRPr="4A4AFF0A">
        <w:rPr>
          <w:rFonts w:eastAsia="Times New Roman"/>
          <w:noProof/>
          <w:color w:val="000000" w:themeColor="text1"/>
        </w:rPr>
        <w:t xml:space="preserve">, </w:t>
      </w:r>
      <w:r w:rsidR="6100D332" w:rsidRPr="18498F75">
        <w:rPr>
          <w:rFonts w:eastAsia="Times New Roman"/>
          <w:noProof/>
          <w:color w:val="000000" w:themeColor="text1"/>
        </w:rPr>
        <w:t xml:space="preserve">FTTC </w:t>
      </w:r>
      <w:r w:rsidR="6100D332" w:rsidRPr="18508E87">
        <w:rPr>
          <w:rFonts w:eastAsia="Times New Roman"/>
          <w:noProof/>
          <w:color w:val="000000" w:themeColor="text1"/>
        </w:rPr>
        <w:t>deployment</w:t>
      </w:r>
      <w:r w:rsidR="4553E95A" w:rsidRPr="0A7E61CD">
        <w:rPr>
          <w:rFonts w:eastAsia="Times New Roman"/>
          <w:noProof/>
          <w:color w:val="000000" w:themeColor="text1"/>
        </w:rPr>
        <w:t>, which</w:t>
      </w:r>
      <w:r w:rsidRPr="0A7E61CD">
        <w:rPr>
          <w:rFonts w:eastAsia="Times New Roman"/>
          <w:noProof/>
          <w:color w:val="000000" w:themeColor="text1"/>
        </w:rPr>
        <w:t xml:space="preserve"> </w:t>
      </w:r>
      <w:r w:rsidR="7BE6FC78" w:rsidRPr="4647393A">
        <w:rPr>
          <w:rFonts w:eastAsia="Times New Roman"/>
          <w:noProof/>
          <w:color w:val="000000" w:themeColor="text1"/>
        </w:rPr>
        <w:t>allows for</w:t>
      </w:r>
      <w:r w:rsidRPr="00DE264C">
        <w:rPr>
          <w:rFonts w:eastAsia="Times New Roman"/>
          <w:noProof/>
          <w:color w:val="000000" w:themeColor="text1"/>
        </w:rPr>
        <w:t xml:space="preserve"> the </w:t>
      </w:r>
      <w:r w:rsidR="7BE6FC78" w:rsidRPr="4647393A">
        <w:rPr>
          <w:rFonts w:eastAsia="Times New Roman"/>
          <w:noProof/>
          <w:color w:val="000000" w:themeColor="text1"/>
        </w:rPr>
        <w:t>achievement</w:t>
      </w:r>
      <w:r w:rsidRPr="00DE264C">
        <w:rPr>
          <w:rFonts w:eastAsia="Times New Roman"/>
          <w:noProof/>
          <w:color w:val="000000" w:themeColor="text1"/>
        </w:rPr>
        <w:t xml:space="preserve"> of </w:t>
      </w:r>
      <w:r w:rsidR="7BE6FC78" w:rsidRPr="4647393A">
        <w:rPr>
          <w:rFonts w:eastAsia="Times New Roman"/>
          <w:noProof/>
          <w:color w:val="000000" w:themeColor="text1"/>
        </w:rPr>
        <w:t>increased speed with</w:t>
      </w:r>
      <w:r w:rsidRPr="4647393A">
        <w:rPr>
          <w:rFonts w:eastAsia="Times New Roman"/>
          <w:noProof/>
          <w:color w:val="000000" w:themeColor="text1"/>
        </w:rPr>
        <w:t xml:space="preserve"> </w:t>
      </w:r>
      <w:r w:rsidR="00B5712B">
        <w:rPr>
          <w:rFonts w:eastAsia="Times New Roman"/>
          <w:noProof/>
          <w:color w:val="000000" w:themeColor="text1"/>
        </w:rPr>
        <w:t>relatively</w:t>
      </w:r>
      <w:r w:rsidR="00E52FCA">
        <w:rPr>
          <w:rFonts w:eastAsia="Times New Roman"/>
          <w:noProof/>
          <w:color w:val="000000" w:themeColor="text1"/>
        </w:rPr>
        <w:t xml:space="preserve"> </w:t>
      </w:r>
      <w:r w:rsidRPr="00DE264C">
        <w:rPr>
          <w:rFonts w:eastAsia="Times New Roman"/>
          <w:noProof/>
          <w:color w:val="000000" w:themeColor="text1"/>
        </w:rPr>
        <w:t xml:space="preserve">low capital </w:t>
      </w:r>
      <w:r w:rsidR="00E52FCA">
        <w:rPr>
          <w:rFonts w:eastAsia="Times New Roman"/>
          <w:noProof/>
          <w:color w:val="000000" w:themeColor="text1"/>
        </w:rPr>
        <w:t>investment</w:t>
      </w:r>
      <w:r w:rsidR="64D5DF7D" w:rsidRPr="4647393A">
        <w:rPr>
          <w:rFonts w:eastAsia="Times New Roman"/>
          <w:noProof/>
          <w:color w:val="000000" w:themeColor="text1"/>
        </w:rPr>
        <w:t>,</w:t>
      </w:r>
      <w:r w:rsidR="00324E38">
        <w:rPr>
          <w:rFonts w:eastAsia="Times New Roman"/>
          <w:noProof/>
          <w:color w:val="000000" w:themeColor="text1"/>
        </w:rPr>
        <w:t xml:space="preserve"> appears to have reduced the </w:t>
      </w:r>
      <w:r w:rsidR="228C614A" w:rsidRPr="18508E87">
        <w:rPr>
          <w:rFonts w:eastAsia="Times New Roman"/>
          <w:noProof/>
          <w:color w:val="000000" w:themeColor="text1"/>
        </w:rPr>
        <w:t xml:space="preserve">relevant </w:t>
      </w:r>
      <w:r w:rsidR="00324E38" w:rsidRPr="18498F75">
        <w:rPr>
          <w:rFonts w:eastAsia="Times New Roman"/>
          <w:noProof/>
          <w:color w:val="000000" w:themeColor="text1"/>
        </w:rPr>
        <w:t>operators</w:t>
      </w:r>
      <w:r w:rsidR="24417689" w:rsidRPr="18498F75">
        <w:rPr>
          <w:rFonts w:eastAsia="Times New Roman"/>
          <w:noProof/>
          <w:color w:val="000000" w:themeColor="text1"/>
        </w:rPr>
        <w:t>’</w:t>
      </w:r>
      <w:r w:rsidR="00324E38" w:rsidRPr="18498F75">
        <w:rPr>
          <w:rFonts w:eastAsia="Times New Roman"/>
          <w:noProof/>
          <w:color w:val="000000" w:themeColor="text1"/>
        </w:rPr>
        <w:t xml:space="preserve"> </w:t>
      </w:r>
      <w:r w:rsidR="00895372">
        <w:rPr>
          <w:rFonts w:eastAsia="Times New Roman"/>
          <w:noProof/>
          <w:color w:val="000000" w:themeColor="text1"/>
        </w:rPr>
        <w:t>incentives to invest into FTTH</w:t>
      </w:r>
      <w:r w:rsidRPr="00DE264C">
        <w:rPr>
          <w:rFonts w:eastAsia="Times New Roman"/>
          <w:noProof/>
          <w:color w:val="000000" w:themeColor="text1"/>
        </w:rPr>
        <w:t>.</w:t>
      </w:r>
    </w:p>
    <w:p w14:paraId="7A318C90" w14:textId="14FB09FA" w:rsidR="00024A4B" w:rsidRPr="00DE264C" w:rsidRDefault="006F17EC" w:rsidP="00053713">
      <w:pPr>
        <w:spacing w:line="240" w:lineRule="auto"/>
        <w:rPr>
          <w:rFonts w:eastAsia="Times New Roman"/>
          <w:noProof/>
          <w:color w:val="000000" w:themeColor="text1"/>
        </w:rPr>
      </w:pPr>
      <w:r w:rsidRPr="00DE264C">
        <w:rPr>
          <w:rFonts w:eastAsia="Times New Roman"/>
          <w:noProof/>
          <w:color w:val="000000" w:themeColor="text1"/>
        </w:rPr>
        <w:t>In the absence of any rules to limit an incumbent from discriminating against alternative networks in the copper switch-off process, the incumbent’s business case for fibre deployment is considerably stronger than that of entrants. This is particularly true for wholesale only companies which lack any retail customer base of their own, but is also true for alternative operators, which typically have lower broadband retail market shares than that of the incumbent, and therefore a smaller customer base which could be transferred to a new fibre network.</w:t>
      </w:r>
      <w:r w:rsidR="00DD6703" w:rsidRPr="00DE264C">
        <w:rPr>
          <w:rFonts w:eastAsia="Times New Roman"/>
          <w:noProof/>
          <w:color w:val="000000" w:themeColor="text1"/>
        </w:rPr>
        <w:t xml:space="preserve"> Indeed,</w:t>
      </w:r>
      <w:r w:rsidR="00DD6703" w:rsidRPr="00DE264C">
        <w:rPr>
          <w:rFonts w:ascii="Arial" w:hAnsi="Arial" w:cs="Arial"/>
          <w:noProof/>
          <w:lang w:eastAsia="de-DE"/>
        </w:rPr>
        <w:t xml:space="preserve"> </w:t>
      </w:r>
      <w:r w:rsidR="00DD6703" w:rsidRPr="00DE264C">
        <w:rPr>
          <w:rFonts w:eastAsia="Times New Roman"/>
          <w:noProof/>
          <w:color w:val="000000" w:themeColor="text1"/>
        </w:rPr>
        <w:t>fibre networks that were deployed by alternative fibre investors in countries where there is widespread persisting competition from legacy upgraded copper (FTTC) or cable networks have struggled to reach profitability, due to the low take-up on the new fibre networks, which restricted the revenues needed to make a return on the levels of capex invested.</w:t>
      </w:r>
    </w:p>
    <w:p w14:paraId="1F41FD67" w14:textId="0BC78AE6" w:rsidR="005F6AC7" w:rsidRPr="00531B1F" w:rsidRDefault="005F6AC7" w:rsidP="005F6AC7">
      <w:pPr>
        <w:pStyle w:val="Caption"/>
        <w:keepNext/>
        <w:rPr>
          <w:noProof/>
          <w:color w:val="auto"/>
        </w:rPr>
      </w:pPr>
      <w:bookmarkStart w:id="75" w:name="_Toc219539766"/>
      <w:r w:rsidRPr="00531B1F">
        <w:rPr>
          <w:noProof/>
          <w:color w:val="auto"/>
        </w:rPr>
        <w:t xml:space="preserve">Figure </w:t>
      </w:r>
      <w:r w:rsidRPr="00531B1F">
        <w:rPr>
          <w:noProof/>
          <w:color w:val="auto"/>
        </w:rPr>
        <w:fldChar w:fldCharType="begin"/>
      </w:r>
      <w:r w:rsidRPr="00531B1F">
        <w:rPr>
          <w:noProof/>
          <w:color w:val="auto"/>
        </w:rPr>
        <w:instrText xml:space="preserve"> SEQ Figure \* ARABIC </w:instrText>
      </w:r>
      <w:r w:rsidRPr="00531B1F">
        <w:rPr>
          <w:noProof/>
          <w:color w:val="auto"/>
        </w:rPr>
        <w:fldChar w:fldCharType="separate"/>
      </w:r>
      <w:r w:rsidR="00D9624D">
        <w:rPr>
          <w:noProof/>
          <w:color w:val="auto"/>
        </w:rPr>
        <w:t>9</w:t>
      </w:r>
      <w:r w:rsidRPr="00531B1F">
        <w:rPr>
          <w:noProof/>
          <w:color w:val="auto"/>
        </w:rPr>
        <w:fldChar w:fldCharType="end"/>
      </w:r>
      <w:r w:rsidRPr="00531B1F">
        <w:rPr>
          <w:noProof/>
          <w:color w:val="auto"/>
        </w:rPr>
        <w:t>: FTTP and FTTC coverage per Member State</w:t>
      </w:r>
      <w:bookmarkEnd w:id="75"/>
    </w:p>
    <w:p w14:paraId="00AE5490" w14:textId="08DB5BD3" w:rsidR="0053400B" w:rsidRPr="00DE264C" w:rsidRDefault="0053400B" w:rsidP="0053400B">
      <w:pPr>
        <w:rPr>
          <w:rFonts w:eastAsia="Times New Roman"/>
          <w:noProof/>
          <w:color w:val="000000" w:themeColor="text1"/>
        </w:rPr>
      </w:pPr>
      <w:r w:rsidRPr="00DE264C">
        <w:rPr>
          <w:noProof/>
          <w:lang w:eastAsia="en-GB"/>
        </w:rPr>
        <w:drawing>
          <wp:inline distT="0" distB="0" distL="0" distR="0" wp14:anchorId="15D5A1DD" wp14:editId="6F8E5429">
            <wp:extent cx="5406887" cy="2638502"/>
            <wp:effectExtent l="0" t="0" r="3810" b="0"/>
            <wp:docPr id="1614753513" name="Grafik 5" descr="A graph of blue and whit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753513" name="Grafik 5" descr="A graph of blue and white bars&#10;&#10;AI-generated content may be incorrect."/>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030" r="1424" b="1961"/>
                    <a:stretch/>
                  </pic:blipFill>
                  <pic:spPr bwMode="auto">
                    <a:xfrm>
                      <a:off x="0" y="0"/>
                      <a:ext cx="5417152" cy="2643511"/>
                    </a:xfrm>
                    <a:prstGeom prst="rect">
                      <a:avLst/>
                    </a:prstGeom>
                    <a:noFill/>
                    <a:ln>
                      <a:noFill/>
                    </a:ln>
                    <a:extLst>
                      <a:ext uri="{53640926-AAD7-44D8-BBD7-CCE9431645EC}">
                        <a14:shadowObscured xmlns:a14="http://schemas.microsoft.com/office/drawing/2010/main"/>
                      </a:ext>
                    </a:extLst>
                  </pic:spPr>
                </pic:pic>
              </a:graphicData>
            </a:graphic>
          </wp:inline>
        </w:drawing>
      </w:r>
    </w:p>
    <w:p w14:paraId="784A0C78" w14:textId="7758339B" w:rsidR="00FD38AE" w:rsidRPr="00B65A41" w:rsidRDefault="0053400B" w:rsidP="00FD38AE">
      <w:pPr>
        <w:rPr>
          <w:rFonts w:eastAsia="Times New Roman"/>
          <w:noProof/>
          <w:color w:val="000000" w:themeColor="text1"/>
          <w:sz w:val="20"/>
          <w:szCs w:val="20"/>
          <w:vertAlign w:val="superscript"/>
        </w:rPr>
      </w:pPr>
      <w:r w:rsidRPr="00B65A41">
        <w:rPr>
          <w:rFonts w:eastAsia="Times New Roman"/>
          <w:noProof/>
          <w:color w:val="000000" w:themeColor="text1"/>
          <w:sz w:val="20"/>
          <w:szCs w:val="20"/>
        </w:rPr>
        <w:t>Source: WIK based on European Commission / OMDIA and Point Topic (2025).</w:t>
      </w:r>
      <w:r w:rsidRPr="00B65A41">
        <w:rPr>
          <w:rFonts w:eastAsia="Times New Roman"/>
          <w:noProof/>
          <w:color w:val="000000" w:themeColor="text1"/>
          <w:sz w:val="20"/>
          <w:szCs w:val="20"/>
          <w:vertAlign w:val="superscript"/>
        </w:rPr>
        <w:footnoteReference w:id="79"/>
      </w:r>
      <w:r w:rsidRPr="00B65A41" w:rsidDel="00031F23">
        <w:rPr>
          <w:rFonts w:eastAsia="Times New Roman"/>
          <w:noProof/>
          <w:color w:val="000000" w:themeColor="text1"/>
          <w:sz w:val="20"/>
          <w:szCs w:val="20"/>
          <w:vertAlign w:val="superscript"/>
        </w:rPr>
        <w:t xml:space="preserve"> </w:t>
      </w:r>
    </w:p>
    <w:p w14:paraId="6CAC9141" w14:textId="5D498A0D" w:rsidR="001A088D" w:rsidRPr="00DE264C" w:rsidRDefault="007A21D3" w:rsidP="00053713">
      <w:pPr>
        <w:pStyle w:val="Heading3"/>
        <w:ind w:left="709" w:hanging="709"/>
        <w:rPr>
          <w:noProof/>
        </w:rPr>
      </w:pPr>
      <w:bookmarkStart w:id="76" w:name="_Toc214467695"/>
      <w:bookmarkStart w:id="77" w:name="_Toc215083722"/>
      <w:bookmarkStart w:id="78" w:name="_Toc219212490"/>
      <w:bookmarkStart w:id="79" w:name="_Toc219718145"/>
      <w:r>
        <w:rPr>
          <w:noProof/>
        </w:rPr>
        <w:t xml:space="preserve">Mobile networks: </w:t>
      </w:r>
      <w:r w:rsidR="005C5199">
        <w:rPr>
          <w:noProof/>
        </w:rPr>
        <w:t xml:space="preserve">Spectrum </w:t>
      </w:r>
      <w:r w:rsidR="00F83285">
        <w:rPr>
          <w:noProof/>
        </w:rPr>
        <w:t>r</w:t>
      </w:r>
      <w:r w:rsidR="00F83285" w:rsidRPr="00DE264C">
        <w:rPr>
          <w:noProof/>
        </w:rPr>
        <w:t>egulat</w:t>
      </w:r>
      <w:r w:rsidR="00F83285">
        <w:rPr>
          <w:noProof/>
        </w:rPr>
        <w:t>ion</w:t>
      </w:r>
      <w:r w:rsidR="00F83285" w:rsidRPr="00DE264C">
        <w:rPr>
          <w:noProof/>
        </w:rPr>
        <w:t xml:space="preserve"> </w:t>
      </w:r>
      <w:r w:rsidR="008C100B" w:rsidRPr="00DE264C">
        <w:rPr>
          <w:noProof/>
        </w:rPr>
        <w:t xml:space="preserve">and market </w:t>
      </w:r>
      <w:r w:rsidR="00BE56F8" w:rsidRPr="00DE264C">
        <w:rPr>
          <w:noProof/>
        </w:rPr>
        <w:t xml:space="preserve">factors </w:t>
      </w:r>
      <w:r w:rsidR="00B07E98" w:rsidRPr="00DE264C">
        <w:rPr>
          <w:noProof/>
        </w:rPr>
        <w:t>slowing down</w:t>
      </w:r>
      <w:r w:rsidR="00BE56F8" w:rsidRPr="00DE264C">
        <w:rPr>
          <w:noProof/>
        </w:rPr>
        <w:t xml:space="preserve"> invest</w:t>
      </w:r>
      <w:r w:rsidR="00B07E98" w:rsidRPr="00DE264C">
        <w:rPr>
          <w:noProof/>
        </w:rPr>
        <w:t>ment</w:t>
      </w:r>
      <w:r w:rsidR="00BE56F8" w:rsidRPr="00DE264C">
        <w:rPr>
          <w:noProof/>
        </w:rPr>
        <w:t xml:space="preserve"> in </w:t>
      </w:r>
      <w:r w:rsidR="002F168B" w:rsidRPr="00DE264C">
        <w:rPr>
          <w:noProof/>
        </w:rPr>
        <w:t>high</w:t>
      </w:r>
      <w:r w:rsidR="004F1062">
        <w:rPr>
          <w:noProof/>
        </w:rPr>
        <w:t xml:space="preserve"> quality</w:t>
      </w:r>
      <w:r w:rsidR="00370772" w:rsidRPr="00DE264C">
        <w:rPr>
          <w:noProof/>
        </w:rPr>
        <w:t xml:space="preserve"> </w:t>
      </w:r>
      <w:r w:rsidR="00FD05B2" w:rsidRPr="00DE264C">
        <w:rPr>
          <w:noProof/>
        </w:rPr>
        <w:t xml:space="preserve">mobile </w:t>
      </w:r>
      <w:bookmarkEnd w:id="76"/>
      <w:r w:rsidR="00FD1A26">
        <w:rPr>
          <w:noProof/>
        </w:rPr>
        <w:t>connect</w:t>
      </w:r>
      <w:r w:rsidR="00BB1FDF">
        <w:rPr>
          <w:noProof/>
        </w:rPr>
        <w:t>ivity</w:t>
      </w:r>
      <w:bookmarkEnd w:id="77"/>
      <w:bookmarkEnd w:id="78"/>
      <w:bookmarkEnd w:id="79"/>
    </w:p>
    <w:p w14:paraId="59C9CF51" w14:textId="77777777" w:rsidR="000062C1" w:rsidRPr="00602574" w:rsidRDefault="000062C1" w:rsidP="00053713">
      <w:pPr>
        <w:spacing w:line="240" w:lineRule="auto"/>
        <w:rPr>
          <w:noProof/>
          <w:color w:val="000000" w:themeColor="text1"/>
        </w:rPr>
      </w:pPr>
      <w:r w:rsidRPr="00602574">
        <w:rPr>
          <w:noProof/>
          <w:color w:val="000000" w:themeColor="text1"/>
        </w:rPr>
        <w:t xml:space="preserve">Currently, </w:t>
      </w:r>
      <w:r w:rsidRPr="005C544D">
        <w:rPr>
          <w:b/>
          <w:bCs/>
          <w:noProof/>
          <w:color w:val="000000" w:themeColor="text1"/>
        </w:rPr>
        <w:t>investment incentives</w:t>
      </w:r>
      <w:r w:rsidRPr="00602574">
        <w:rPr>
          <w:noProof/>
          <w:color w:val="000000" w:themeColor="text1"/>
        </w:rPr>
        <w:t xml:space="preserve"> for high-quality 5G deployment are </w:t>
      </w:r>
      <w:r w:rsidRPr="005C544D">
        <w:rPr>
          <w:b/>
          <w:bCs/>
          <w:noProof/>
          <w:color w:val="000000" w:themeColor="text1"/>
        </w:rPr>
        <w:t>negatively affected by</w:t>
      </w:r>
      <w:r w:rsidRPr="00602574">
        <w:rPr>
          <w:noProof/>
          <w:color w:val="000000" w:themeColor="text1"/>
        </w:rPr>
        <w:t xml:space="preserve"> several interrelated </w:t>
      </w:r>
      <w:r w:rsidRPr="005C544D">
        <w:rPr>
          <w:b/>
          <w:bCs/>
          <w:noProof/>
          <w:color w:val="000000" w:themeColor="text1"/>
        </w:rPr>
        <w:t>problem drivers and root causes,</w:t>
      </w:r>
      <w:r w:rsidRPr="00602574">
        <w:rPr>
          <w:noProof/>
          <w:color w:val="000000" w:themeColor="text1"/>
        </w:rPr>
        <w:t xml:space="preserve"> most notably market factors limiting monetisation opportunities and fragmented, </w:t>
      </w:r>
      <w:r>
        <w:rPr>
          <w:noProof/>
          <w:color w:val="000000" w:themeColor="text1"/>
        </w:rPr>
        <w:t>insufficiently</w:t>
      </w:r>
      <w:r w:rsidRPr="00602574">
        <w:rPr>
          <w:noProof/>
          <w:color w:val="000000" w:themeColor="text1"/>
        </w:rPr>
        <w:t xml:space="preserve"> investment-</w:t>
      </w:r>
      <w:r>
        <w:rPr>
          <w:noProof/>
          <w:color w:val="000000" w:themeColor="text1"/>
        </w:rPr>
        <w:t>conducive</w:t>
      </w:r>
      <w:r w:rsidRPr="00602574">
        <w:rPr>
          <w:noProof/>
          <w:color w:val="000000" w:themeColor="text1"/>
        </w:rPr>
        <w:t xml:space="preserve"> spectrum regulation.</w:t>
      </w:r>
      <w:r w:rsidRPr="00602574">
        <w:rPr>
          <w:noProof/>
        </w:rPr>
        <w:t xml:space="preserve"> Table 7 summarises these drivers and their link to insufficient investment in high-quality mobile connectivity.</w:t>
      </w:r>
    </w:p>
    <w:p w14:paraId="117A275B" w14:textId="1D564907" w:rsidR="004A55E4" w:rsidRPr="0045745F" w:rsidRDefault="004A55E4" w:rsidP="004A55E4">
      <w:pPr>
        <w:keepNext/>
        <w:keepLines/>
        <w:spacing w:before="240" w:after="160" w:line="259" w:lineRule="auto"/>
        <w:rPr>
          <w:i/>
          <w:noProof/>
          <w:sz w:val="22"/>
          <w:szCs w:val="22"/>
        </w:rPr>
      </w:pPr>
      <w:r w:rsidRPr="0045745F">
        <w:rPr>
          <w:i/>
          <w:noProof/>
          <w:sz w:val="22"/>
          <w:szCs w:val="22"/>
        </w:rPr>
        <w:t>T</w:t>
      </w:r>
      <w:r w:rsidR="008B1175" w:rsidRPr="0045745F">
        <w:rPr>
          <w:i/>
          <w:noProof/>
          <w:sz w:val="22"/>
          <w:szCs w:val="22"/>
        </w:rPr>
        <w:t>able</w:t>
      </w:r>
      <w:r w:rsidRPr="0045745F">
        <w:rPr>
          <w:i/>
          <w:noProof/>
          <w:sz w:val="22"/>
          <w:szCs w:val="22"/>
        </w:rPr>
        <w:t xml:space="preserve"> 7: </w:t>
      </w:r>
      <w:r w:rsidR="00227581" w:rsidRPr="0045745F">
        <w:rPr>
          <w:i/>
          <w:noProof/>
          <w:sz w:val="22"/>
          <w:szCs w:val="22"/>
        </w:rPr>
        <w:t>Causal link between Root causes/Problem drivers and Problems</w:t>
      </w:r>
      <w:r w:rsidR="00BD664E">
        <w:rPr>
          <w:i/>
          <w:noProof/>
          <w:sz w:val="22"/>
          <w:szCs w:val="22"/>
        </w:rPr>
        <w:t xml:space="preserve"> for mobile networks</w:t>
      </w:r>
    </w:p>
    <w:tbl>
      <w:tblPr>
        <w:tblStyle w:val="TableGrid"/>
        <w:tblW w:w="0" w:type="auto"/>
        <w:tblInd w:w="-5" w:type="dxa"/>
        <w:tblLook w:val="04A0" w:firstRow="1" w:lastRow="0" w:firstColumn="1" w:lastColumn="0" w:noHBand="0" w:noVBand="1"/>
      </w:tblPr>
      <w:tblGrid>
        <w:gridCol w:w="2715"/>
        <w:gridCol w:w="6350"/>
      </w:tblGrid>
      <w:tr w:rsidR="0068199E" w:rsidRPr="00602574" w14:paraId="4057FF0D" w14:textId="77777777" w:rsidTr="00BE337F">
        <w:trPr>
          <w:tblHeader/>
        </w:trPr>
        <w:tc>
          <w:tcPr>
            <w:tcW w:w="2835" w:type="dxa"/>
            <w:tcBorders>
              <w:top w:val="single" w:sz="4" w:space="0" w:color="auto"/>
              <w:left w:val="single" w:sz="4" w:space="0" w:color="auto"/>
              <w:bottom w:val="single" w:sz="4" w:space="0" w:color="auto"/>
              <w:right w:val="single" w:sz="4" w:space="0" w:color="auto"/>
            </w:tcBorders>
            <w:tcMar>
              <w:left w:w="57" w:type="dxa"/>
              <w:right w:w="57" w:type="dxa"/>
            </w:tcMar>
          </w:tcPr>
          <w:p w14:paraId="1B48E90F" w14:textId="77777777" w:rsidR="00302CE3" w:rsidRPr="00602574" w:rsidRDefault="00302CE3">
            <w:pPr>
              <w:spacing w:after="120"/>
              <w:jc w:val="center"/>
              <w:rPr>
                <w:b/>
                <w:noProof/>
                <w:sz w:val="20"/>
                <w:szCs w:val="20"/>
              </w:rPr>
            </w:pPr>
            <w:r w:rsidRPr="00602574">
              <w:rPr>
                <w:b/>
                <w:noProof/>
                <w:sz w:val="20"/>
                <w:szCs w:val="20"/>
              </w:rPr>
              <w:t>Problem driver/root causes</w:t>
            </w:r>
          </w:p>
        </w:tc>
        <w:tc>
          <w:tcPr>
            <w:tcW w:w="6765" w:type="dxa"/>
            <w:tcBorders>
              <w:top w:val="single" w:sz="4" w:space="0" w:color="auto"/>
              <w:left w:val="single" w:sz="4" w:space="0" w:color="auto"/>
              <w:bottom w:val="single" w:sz="4" w:space="0" w:color="auto"/>
              <w:right w:val="single" w:sz="4" w:space="0" w:color="auto"/>
            </w:tcBorders>
            <w:tcMar>
              <w:left w:w="57" w:type="dxa"/>
              <w:right w:w="57" w:type="dxa"/>
            </w:tcMar>
          </w:tcPr>
          <w:p w14:paraId="5721A230" w14:textId="77777777" w:rsidR="00302CE3" w:rsidRPr="00602574" w:rsidRDefault="00302CE3">
            <w:pPr>
              <w:spacing w:after="120"/>
              <w:jc w:val="center"/>
              <w:rPr>
                <w:b/>
                <w:noProof/>
                <w:sz w:val="20"/>
                <w:szCs w:val="20"/>
              </w:rPr>
            </w:pPr>
            <w:r w:rsidRPr="00602574">
              <w:rPr>
                <w:b/>
                <w:noProof/>
                <w:sz w:val="20"/>
                <w:szCs w:val="20"/>
              </w:rPr>
              <w:t>Causal link with the underinvestment problem</w:t>
            </w:r>
          </w:p>
        </w:tc>
      </w:tr>
      <w:tr w:rsidR="0068199E" w:rsidRPr="00602574" w14:paraId="61D77598" w14:textId="77777777" w:rsidTr="00BE337F">
        <w:tc>
          <w:tcPr>
            <w:tcW w:w="2835" w:type="dxa"/>
            <w:tcBorders>
              <w:top w:val="single" w:sz="4" w:space="0" w:color="auto"/>
              <w:left w:val="single" w:sz="4" w:space="0" w:color="auto"/>
              <w:bottom w:val="single" w:sz="4" w:space="0" w:color="auto"/>
              <w:right w:val="single" w:sz="4" w:space="0" w:color="auto"/>
            </w:tcBorders>
            <w:tcMar>
              <w:left w:w="57" w:type="dxa"/>
              <w:right w:w="57" w:type="dxa"/>
            </w:tcMar>
          </w:tcPr>
          <w:p w14:paraId="0AE079FB" w14:textId="77777777" w:rsidR="00302CE3" w:rsidRPr="00602574" w:rsidRDefault="00302CE3">
            <w:pPr>
              <w:spacing w:after="120"/>
              <w:rPr>
                <w:noProof/>
                <w:sz w:val="20"/>
                <w:szCs w:val="20"/>
              </w:rPr>
            </w:pPr>
            <w:r>
              <w:rPr>
                <w:noProof/>
                <w:sz w:val="20"/>
                <w:szCs w:val="20"/>
              </w:rPr>
              <w:t>1</w:t>
            </w:r>
            <w:r w:rsidRPr="00602574">
              <w:rPr>
                <w:noProof/>
                <w:sz w:val="20"/>
                <w:szCs w:val="20"/>
              </w:rPr>
              <w:t xml:space="preserve">) Spectrum related </w:t>
            </w:r>
            <w:r w:rsidRPr="005C544D">
              <w:rPr>
                <w:b/>
                <w:bCs/>
                <w:noProof/>
                <w:sz w:val="20"/>
                <w:szCs w:val="20"/>
              </w:rPr>
              <w:t>r</w:t>
            </w:r>
            <w:r w:rsidRPr="005C544D" w:rsidDel="005A76AD">
              <w:rPr>
                <w:b/>
                <w:bCs/>
                <w:noProof/>
                <w:sz w:val="20"/>
                <w:szCs w:val="20"/>
              </w:rPr>
              <w:t xml:space="preserve">egulatory fragmentation </w:t>
            </w:r>
            <w:r w:rsidRPr="005C544D">
              <w:rPr>
                <w:b/>
                <w:bCs/>
                <w:noProof/>
                <w:sz w:val="20"/>
                <w:szCs w:val="20"/>
              </w:rPr>
              <w:t>and disincentives</w:t>
            </w:r>
            <w:r w:rsidRPr="00602574">
              <w:rPr>
                <w:noProof/>
                <w:sz w:val="20"/>
                <w:szCs w:val="20"/>
              </w:rPr>
              <w:t xml:space="preserve"> to invest in high quality mobile connectivity</w:t>
            </w:r>
          </w:p>
        </w:tc>
        <w:tc>
          <w:tcPr>
            <w:tcW w:w="6765" w:type="dxa"/>
            <w:tcBorders>
              <w:top w:val="single" w:sz="4" w:space="0" w:color="auto"/>
              <w:left w:val="single" w:sz="4" w:space="0" w:color="auto"/>
              <w:bottom w:val="single" w:sz="4" w:space="0" w:color="auto"/>
              <w:right w:val="single" w:sz="4" w:space="0" w:color="auto"/>
            </w:tcBorders>
            <w:tcMar>
              <w:left w:w="57" w:type="dxa"/>
              <w:right w:w="57" w:type="dxa"/>
            </w:tcMar>
          </w:tcPr>
          <w:p w14:paraId="60B44702" w14:textId="77777777" w:rsidR="00302CE3" w:rsidRPr="005C544D" w:rsidRDefault="00302CE3">
            <w:pPr>
              <w:spacing w:after="120"/>
              <w:rPr>
                <w:noProof/>
                <w:sz w:val="20"/>
                <w:szCs w:val="20"/>
              </w:rPr>
            </w:pPr>
            <w:r w:rsidRPr="005C544D">
              <w:rPr>
                <w:noProof/>
                <w:sz w:val="20"/>
                <w:szCs w:val="20"/>
              </w:rPr>
              <w:t xml:space="preserve">The </w:t>
            </w:r>
            <w:r w:rsidRPr="005C544D">
              <w:rPr>
                <w:b/>
                <w:bCs/>
                <w:noProof/>
                <w:sz w:val="20"/>
                <w:szCs w:val="20"/>
              </w:rPr>
              <w:t>discrepancy in assignment timelines, auction conditions</w:t>
            </w:r>
            <w:r w:rsidRPr="005C544D">
              <w:rPr>
                <w:noProof/>
                <w:sz w:val="20"/>
                <w:szCs w:val="20"/>
              </w:rPr>
              <w:t xml:space="preserve"> (market shaping measures, coverage obligations, reserve prices, insufficient flexibility for spectrum sharing) </w:t>
            </w:r>
            <w:r w:rsidRPr="005C544D">
              <w:rPr>
                <w:b/>
                <w:bCs/>
                <w:noProof/>
                <w:sz w:val="20"/>
                <w:szCs w:val="20"/>
              </w:rPr>
              <w:t>negatively affects predictability and leads to different market outcomes</w:t>
            </w:r>
            <w:r w:rsidRPr="005C544D">
              <w:rPr>
                <w:noProof/>
                <w:sz w:val="20"/>
                <w:szCs w:val="20"/>
              </w:rPr>
              <w:t xml:space="preserve"> (in terms of spectrum costs per MHz, investment, mid-band coverage (from 30% to 100%) and network speeds. </w:t>
            </w:r>
          </w:p>
          <w:p w14:paraId="7F14F3BC" w14:textId="77777777" w:rsidR="00302CE3" w:rsidRPr="00602574" w:rsidRDefault="00302CE3">
            <w:pPr>
              <w:spacing w:after="120"/>
              <w:rPr>
                <w:noProof/>
                <w:sz w:val="20"/>
                <w:szCs w:val="20"/>
              </w:rPr>
            </w:pPr>
            <w:r w:rsidRPr="005C544D">
              <w:rPr>
                <w:b/>
                <w:bCs/>
                <w:noProof/>
                <w:sz w:val="20"/>
                <w:szCs w:val="20"/>
              </w:rPr>
              <w:t>Cost of spectrum</w:t>
            </w:r>
            <w:r w:rsidRPr="00602574">
              <w:rPr>
                <w:noProof/>
                <w:sz w:val="20"/>
                <w:szCs w:val="20"/>
              </w:rPr>
              <w:t xml:space="preserve"> rights could be </w:t>
            </w:r>
            <w:r w:rsidRPr="005C544D">
              <w:rPr>
                <w:b/>
                <w:bCs/>
                <w:noProof/>
                <w:sz w:val="20"/>
                <w:szCs w:val="20"/>
              </w:rPr>
              <w:t>artificially inflated</w:t>
            </w:r>
            <w:r w:rsidRPr="00602574">
              <w:rPr>
                <w:noProof/>
                <w:sz w:val="20"/>
                <w:szCs w:val="20"/>
              </w:rPr>
              <w:t xml:space="preserve"> by e.g. limiting the amount of auctioned spectrum, use of market shaping measures, </w:t>
            </w:r>
            <w:r w:rsidRPr="005C544D">
              <w:rPr>
                <w:b/>
                <w:bCs/>
                <w:noProof/>
                <w:sz w:val="20"/>
                <w:szCs w:val="20"/>
              </w:rPr>
              <w:t>negatively affecting mobile operators’ investment capacity</w:t>
            </w:r>
            <w:r w:rsidRPr="00602574">
              <w:rPr>
                <w:noProof/>
                <w:sz w:val="20"/>
                <w:szCs w:val="20"/>
              </w:rPr>
              <w:t xml:space="preserve">. Cost of capital employed for new spectrum rights’ acquisition or retaining the existing ones </w:t>
            </w:r>
            <w:r w:rsidRPr="005C544D">
              <w:rPr>
                <w:b/>
                <w:bCs/>
                <w:noProof/>
                <w:sz w:val="20"/>
                <w:szCs w:val="20"/>
              </w:rPr>
              <w:t>without guaranteeing adequate return</w:t>
            </w:r>
            <w:r w:rsidRPr="00602574">
              <w:rPr>
                <w:noProof/>
                <w:sz w:val="20"/>
                <w:szCs w:val="20"/>
              </w:rPr>
              <w:t xml:space="preserve"> could impede mobile operators to invest more in the network deployment. </w:t>
            </w:r>
          </w:p>
        </w:tc>
      </w:tr>
      <w:tr w:rsidR="0068199E" w:rsidRPr="00602574" w14:paraId="5159211C" w14:textId="77777777" w:rsidTr="00BE337F">
        <w:tc>
          <w:tcPr>
            <w:tcW w:w="2835" w:type="dxa"/>
            <w:tcBorders>
              <w:top w:val="single" w:sz="4" w:space="0" w:color="auto"/>
              <w:left w:val="single" w:sz="4" w:space="0" w:color="auto"/>
              <w:bottom w:val="single" w:sz="4" w:space="0" w:color="auto"/>
              <w:right w:val="single" w:sz="4" w:space="0" w:color="auto"/>
            </w:tcBorders>
            <w:tcMar>
              <w:left w:w="57" w:type="dxa"/>
              <w:right w:w="57" w:type="dxa"/>
            </w:tcMar>
          </w:tcPr>
          <w:p w14:paraId="21C743A1" w14:textId="3A859F5D" w:rsidR="00302CE3" w:rsidRDefault="00302CE3">
            <w:pPr>
              <w:spacing w:after="120"/>
              <w:rPr>
                <w:b/>
                <w:bCs/>
                <w:noProof/>
                <w:sz w:val="20"/>
                <w:szCs w:val="20"/>
              </w:rPr>
            </w:pPr>
            <w:r>
              <w:rPr>
                <w:noProof/>
                <w:sz w:val="20"/>
                <w:szCs w:val="20"/>
              </w:rPr>
              <w:t>2</w:t>
            </w:r>
            <w:r w:rsidRPr="00602574">
              <w:rPr>
                <w:noProof/>
                <w:sz w:val="20"/>
                <w:szCs w:val="20"/>
              </w:rPr>
              <w:t xml:space="preserve">) </w:t>
            </w:r>
            <w:r w:rsidR="0054766A">
              <w:rPr>
                <w:noProof/>
                <w:sz w:val="20"/>
                <w:szCs w:val="20"/>
              </w:rPr>
              <w:t>L</w:t>
            </w:r>
            <w:r w:rsidRPr="00602574">
              <w:rPr>
                <w:noProof/>
                <w:sz w:val="20"/>
                <w:szCs w:val="20"/>
              </w:rPr>
              <w:t xml:space="preserve">ack of </w:t>
            </w:r>
            <w:r w:rsidRPr="005C544D">
              <w:rPr>
                <w:b/>
                <w:bCs/>
                <w:noProof/>
                <w:sz w:val="20"/>
                <w:szCs w:val="20"/>
              </w:rPr>
              <w:t>financial attractiveness and predictability</w:t>
            </w:r>
          </w:p>
          <w:p w14:paraId="747A312E" w14:textId="77777777" w:rsidR="00302CE3" w:rsidRPr="00602574" w:rsidRDefault="00302CE3">
            <w:pPr>
              <w:spacing w:after="120"/>
              <w:rPr>
                <w:noProof/>
                <w:sz w:val="20"/>
                <w:szCs w:val="20"/>
              </w:rPr>
            </w:pPr>
          </w:p>
        </w:tc>
        <w:tc>
          <w:tcPr>
            <w:tcW w:w="6765" w:type="dxa"/>
            <w:tcBorders>
              <w:top w:val="single" w:sz="4" w:space="0" w:color="auto"/>
              <w:left w:val="single" w:sz="4" w:space="0" w:color="auto"/>
              <w:bottom w:val="single" w:sz="4" w:space="0" w:color="auto"/>
              <w:right w:val="single" w:sz="4" w:space="0" w:color="auto"/>
            </w:tcBorders>
            <w:tcMar>
              <w:left w:w="57" w:type="dxa"/>
              <w:right w:w="57" w:type="dxa"/>
            </w:tcMar>
          </w:tcPr>
          <w:p w14:paraId="0EBDACAC" w14:textId="77777777" w:rsidR="00302CE3" w:rsidRPr="00602574" w:rsidRDefault="00302CE3">
            <w:pPr>
              <w:spacing w:after="120"/>
              <w:rPr>
                <w:noProof/>
                <w:sz w:val="20"/>
                <w:szCs w:val="20"/>
              </w:rPr>
            </w:pPr>
            <w:r w:rsidRPr="005C544D">
              <w:rPr>
                <w:b/>
                <w:bCs/>
                <w:noProof/>
                <w:sz w:val="20"/>
                <w:szCs w:val="20"/>
              </w:rPr>
              <w:t>Uncertainty</w:t>
            </w:r>
            <w:r w:rsidRPr="00602574">
              <w:rPr>
                <w:noProof/>
                <w:sz w:val="20"/>
                <w:szCs w:val="20"/>
              </w:rPr>
              <w:t xml:space="preserve"> about </w:t>
            </w:r>
            <w:r w:rsidRPr="005C544D">
              <w:rPr>
                <w:b/>
                <w:bCs/>
                <w:noProof/>
                <w:sz w:val="20"/>
                <w:szCs w:val="20"/>
              </w:rPr>
              <w:t>revenue opportunities</w:t>
            </w:r>
            <w:r w:rsidRPr="00602574">
              <w:rPr>
                <w:noProof/>
                <w:sz w:val="20"/>
                <w:szCs w:val="20"/>
              </w:rPr>
              <w:t xml:space="preserve"> for mobile network operators: Operators do not deploy if they are not certain to monetise investments, especially if average revenue per user (ARPU) levels are already low compared to international competitors (see comparison in Annex </w:t>
            </w:r>
            <w:r w:rsidRPr="00602574">
              <w:rPr>
                <w:noProof/>
                <w:sz w:val="20"/>
              </w:rPr>
              <w:t>11</w:t>
            </w:r>
            <w:r w:rsidRPr="00602574">
              <w:rPr>
                <w:noProof/>
                <w:sz w:val="20"/>
                <w:szCs w:val="20"/>
              </w:rPr>
              <w:t xml:space="preserve">). </w:t>
            </w:r>
          </w:p>
          <w:p w14:paraId="1D95F8CF" w14:textId="77777777" w:rsidR="00302CE3" w:rsidRPr="00602574" w:rsidRDefault="00302CE3">
            <w:pPr>
              <w:spacing w:after="120"/>
              <w:rPr>
                <w:noProof/>
                <w:sz w:val="20"/>
                <w:szCs w:val="20"/>
              </w:rPr>
            </w:pPr>
            <w:r w:rsidRPr="005C544D">
              <w:rPr>
                <w:b/>
                <w:bCs/>
                <w:noProof/>
                <w:sz w:val="20"/>
                <w:szCs w:val="20"/>
              </w:rPr>
              <w:t>Decreasing revenues</w:t>
            </w:r>
            <w:r w:rsidRPr="00602574">
              <w:rPr>
                <w:noProof/>
                <w:sz w:val="20"/>
                <w:szCs w:val="20"/>
              </w:rPr>
              <w:t xml:space="preserve"> per MHz, compared to the </w:t>
            </w:r>
            <w:r w:rsidRPr="005C544D">
              <w:rPr>
                <w:b/>
                <w:bCs/>
                <w:noProof/>
                <w:sz w:val="20"/>
                <w:szCs w:val="20"/>
              </w:rPr>
              <w:t>increasing amount of spectrum needed</w:t>
            </w:r>
            <w:r w:rsidRPr="00602574">
              <w:rPr>
                <w:noProof/>
                <w:sz w:val="20"/>
                <w:szCs w:val="20"/>
              </w:rPr>
              <w:t xml:space="preserve"> to provide high quality 5G services. </w:t>
            </w:r>
          </w:p>
          <w:p w14:paraId="1D76EB21" w14:textId="77777777" w:rsidR="00302CE3" w:rsidRPr="00602574" w:rsidRDefault="00302CE3">
            <w:pPr>
              <w:spacing w:after="120"/>
              <w:rPr>
                <w:noProof/>
                <w:sz w:val="20"/>
                <w:szCs w:val="20"/>
              </w:rPr>
            </w:pPr>
            <w:r w:rsidRPr="005C544D">
              <w:rPr>
                <w:b/>
                <w:bCs/>
                <w:noProof/>
                <w:sz w:val="20"/>
                <w:szCs w:val="20"/>
              </w:rPr>
              <w:t>Financial investors are reluctant to support mobile projects</w:t>
            </w:r>
            <w:r w:rsidRPr="00602574">
              <w:rPr>
                <w:noProof/>
                <w:sz w:val="20"/>
                <w:szCs w:val="20"/>
              </w:rPr>
              <w:t xml:space="preserve"> due to risks related to </w:t>
            </w:r>
            <w:r w:rsidRPr="005C544D">
              <w:rPr>
                <w:b/>
                <w:bCs/>
                <w:noProof/>
                <w:sz w:val="20"/>
                <w:szCs w:val="20"/>
              </w:rPr>
              <w:t>low predictability</w:t>
            </w:r>
            <w:r w:rsidRPr="00602574">
              <w:rPr>
                <w:noProof/>
                <w:sz w:val="20"/>
                <w:szCs w:val="20"/>
              </w:rPr>
              <w:t xml:space="preserve"> (recurrent spectrum reauctioning with unpredictable auction conditions, insufficiently long licences).</w:t>
            </w:r>
          </w:p>
          <w:p w14:paraId="762700DD" w14:textId="77777777" w:rsidR="00302CE3" w:rsidRPr="00602574" w:rsidRDefault="00302CE3">
            <w:pPr>
              <w:spacing w:after="120"/>
              <w:rPr>
                <w:noProof/>
                <w:sz w:val="20"/>
                <w:szCs w:val="20"/>
              </w:rPr>
            </w:pPr>
            <w:r w:rsidRPr="00602574">
              <w:rPr>
                <w:noProof/>
                <w:sz w:val="20"/>
                <w:szCs w:val="20"/>
              </w:rPr>
              <w:t xml:space="preserve">Low predictability of 5G SA projects </w:t>
            </w:r>
            <w:r w:rsidRPr="005C544D">
              <w:rPr>
                <w:b/>
                <w:bCs/>
                <w:noProof/>
                <w:sz w:val="20"/>
                <w:szCs w:val="20"/>
              </w:rPr>
              <w:t>affecting cost of capital.</w:t>
            </w:r>
          </w:p>
        </w:tc>
      </w:tr>
      <w:tr w:rsidR="0068199E" w:rsidRPr="00602574" w14:paraId="59BF46EB" w14:textId="77777777" w:rsidTr="00BE337F">
        <w:tc>
          <w:tcPr>
            <w:tcW w:w="2835" w:type="dxa"/>
            <w:tcBorders>
              <w:top w:val="single" w:sz="4" w:space="0" w:color="auto"/>
              <w:left w:val="single" w:sz="4" w:space="0" w:color="auto"/>
              <w:bottom w:val="single" w:sz="4" w:space="0" w:color="auto"/>
              <w:right w:val="single" w:sz="4" w:space="0" w:color="auto"/>
            </w:tcBorders>
            <w:tcMar>
              <w:left w:w="57" w:type="dxa"/>
              <w:right w:w="57" w:type="dxa"/>
            </w:tcMar>
          </w:tcPr>
          <w:p w14:paraId="63580EB4" w14:textId="0AE781D5" w:rsidR="00302CE3" w:rsidRPr="00602574" w:rsidRDefault="00302CE3">
            <w:pPr>
              <w:spacing w:after="120"/>
              <w:rPr>
                <w:noProof/>
                <w:sz w:val="20"/>
                <w:szCs w:val="20"/>
              </w:rPr>
            </w:pPr>
            <w:r>
              <w:rPr>
                <w:noProof/>
                <w:sz w:val="20"/>
                <w:szCs w:val="20"/>
              </w:rPr>
              <w:t>3</w:t>
            </w:r>
            <w:r w:rsidRPr="00602574">
              <w:rPr>
                <w:noProof/>
                <w:sz w:val="20"/>
                <w:szCs w:val="20"/>
              </w:rPr>
              <w:t xml:space="preserve">) </w:t>
            </w:r>
            <w:r w:rsidR="000C2EBD">
              <w:rPr>
                <w:noProof/>
                <w:sz w:val="20"/>
                <w:szCs w:val="20"/>
              </w:rPr>
              <w:t>L</w:t>
            </w:r>
            <w:r w:rsidRPr="005C544D">
              <w:rPr>
                <w:b/>
                <w:bCs/>
                <w:noProof/>
                <w:sz w:val="20"/>
                <w:szCs w:val="20"/>
              </w:rPr>
              <w:t>ow demand</w:t>
            </w:r>
            <w:r w:rsidRPr="00602574">
              <w:rPr>
                <w:noProof/>
                <w:sz w:val="20"/>
                <w:szCs w:val="20"/>
              </w:rPr>
              <w:t xml:space="preserve"> for high quality 5G connectivity and “chicken and egg” effect</w:t>
            </w:r>
          </w:p>
        </w:tc>
        <w:tc>
          <w:tcPr>
            <w:tcW w:w="6765" w:type="dxa"/>
            <w:tcBorders>
              <w:top w:val="single" w:sz="4" w:space="0" w:color="auto"/>
              <w:left w:val="single" w:sz="4" w:space="0" w:color="auto"/>
              <w:bottom w:val="single" w:sz="4" w:space="0" w:color="auto"/>
              <w:right w:val="single" w:sz="4" w:space="0" w:color="auto"/>
            </w:tcBorders>
            <w:tcMar>
              <w:left w:w="57" w:type="dxa"/>
              <w:right w:w="57" w:type="dxa"/>
            </w:tcMar>
          </w:tcPr>
          <w:p w14:paraId="4438FFEF" w14:textId="77777777" w:rsidR="00302CE3" w:rsidRPr="00602574" w:rsidRDefault="00302CE3">
            <w:pPr>
              <w:spacing w:after="120"/>
              <w:rPr>
                <w:noProof/>
                <w:sz w:val="20"/>
                <w:szCs w:val="20"/>
              </w:rPr>
            </w:pPr>
            <w:r w:rsidRPr="00602574">
              <w:rPr>
                <w:noProof/>
                <w:sz w:val="20"/>
                <w:szCs w:val="20"/>
              </w:rPr>
              <w:t xml:space="preserve">There is </w:t>
            </w:r>
            <w:r w:rsidRPr="005C544D">
              <w:rPr>
                <w:b/>
                <w:bCs/>
                <w:noProof/>
                <w:sz w:val="20"/>
                <w:szCs w:val="20"/>
              </w:rPr>
              <w:t>low take up</w:t>
            </w:r>
            <w:r w:rsidRPr="00602574">
              <w:rPr>
                <w:noProof/>
                <w:sz w:val="20"/>
                <w:szCs w:val="20"/>
              </w:rPr>
              <w:t xml:space="preserve"> of bandwidth-intensive quality assured services which would offer </w:t>
            </w:r>
            <w:r w:rsidRPr="005C544D">
              <w:rPr>
                <w:b/>
                <w:bCs/>
                <w:noProof/>
                <w:sz w:val="20"/>
                <w:szCs w:val="20"/>
              </w:rPr>
              <w:t>monetisation opportunities</w:t>
            </w:r>
            <w:r w:rsidRPr="00602574">
              <w:rPr>
                <w:noProof/>
                <w:sz w:val="20"/>
                <w:szCs w:val="20"/>
              </w:rPr>
              <w:t xml:space="preserve"> through network</w:t>
            </w:r>
            <w:r w:rsidRPr="005C544D">
              <w:rPr>
                <w:b/>
                <w:bCs/>
                <w:noProof/>
                <w:sz w:val="20"/>
                <w:szCs w:val="20"/>
              </w:rPr>
              <w:t xml:space="preserve"> </w:t>
            </w:r>
            <w:r w:rsidRPr="00602574">
              <w:rPr>
                <w:noProof/>
                <w:sz w:val="20"/>
                <w:szCs w:val="20"/>
              </w:rPr>
              <w:t xml:space="preserve">slicing, but demand also does not develop due to </w:t>
            </w:r>
            <w:r w:rsidRPr="005C544D">
              <w:rPr>
                <w:b/>
                <w:bCs/>
                <w:noProof/>
                <w:sz w:val="20"/>
                <w:szCs w:val="20"/>
              </w:rPr>
              <w:t>lack of availability of quality assured services</w:t>
            </w:r>
            <w:r w:rsidRPr="00602574">
              <w:rPr>
                <w:noProof/>
                <w:sz w:val="20"/>
                <w:szCs w:val="20"/>
              </w:rPr>
              <w:t>.</w:t>
            </w:r>
          </w:p>
        </w:tc>
      </w:tr>
      <w:tr w:rsidR="0068199E" w:rsidRPr="00602574" w14:paraId="5DE05DAC" w14:textId="77777777" w:rsidTr="00BE337F">
        <w:tc>
          <w:tcPr>
            <w:tcW w:w="2835" w:type="dxa"/>
            <w:tcBorders>
              <w:top w:val="single" w:sz="4" w:space="0" w:color="auto"/>
              <w:left w:val="single" w:sz="4" w:space="0" w:color="auto"/>
              <w:bottom w:val="single" w:sz="4" w:space="0" w:color="auto"/>
              <w:right w:val="single" w:sz="4" w:space="0" w:color="auto"/>
            </w:tcBorders>
            <w:tcMar>
              <w:left w:w="57" w:type="dxa"/>
              <w:right w:w="57" w:type="dxa"/>
            </w:tcMar>
          </w:tcPr>
          <w:p w14:paraId="1A109012" w14:textId="77777777" w:rsidR="00302CE3" w:rsidRPr="00602574" w:rsidRDefault="00302CE3">
            <w:pPr>
              <w:spacing w:after="120"/>
              <w:rPr>
                <w:noProof/>
                <w:sz w:val="20"/>
                <w:szCs w:val="20"/>
              </w:rPr>
            </w:pPr>
            <w:r w:rsidRPr="00602574">
              <w:rPr>
                <w:noProof/>
                <w:sz w:val="20"/>
                <w:szCs w:val="20"/>
              </w:rPr>
              <w:t xml:space="preserve">4) </w:t>
            </w:r>
            <w:r w:rsidRPr="005C544D">
              <w:rPr>
                <w:b/>
                <w:bCs/>
                <w:noProof/>
                <w:sz w:val="20"/>
                <w:szCs w:val="20"/>
              </w:rPr>
              <w:t>Inefficient spectrum use</w:t>
            </w:r>
            <w:r w:rsidRPr="00602574">
              <w:rPr>
                <w:noProof/>
                <w:sz w:val="20"/>
                <w:szCs w:val="20"/>
              </w:rPr>
              <w:t xml:space="preserve"> due to insufficient sharing</w:t>
            </w:r>
          </w:p>
        </w:tc>
        <w:tc>
          <w:tcPr>
            <w:tcW w:w="6765" w:type="dxa"/>
            <w:tcBorders>
              <w:top w:val="single" w:sz="4" w:space="0" w:color="auto"/>
              <w:left w:val="single" w:sz="4" w:space="0" w:color="auto"/>
              <w:bottom w:val="single" w:sz="4" w:space="0" w:color="auto"/>
              <w:right w:val="single" w:sz="4" w:space="0" w:color="auto"/>
            </w:tcBorders>
            <w:tcMar>
              <w:left w:w="57" w:type="dxa"/>
              <w:right w:w="57" w:type="dxa"/>
            </w:tcMar>
          </w:tcPr>
          <w:p w14:paraId="0873CF32" w14:textId="77777777" w:rsidR="00302CE3" w:rsidRPr="005C544D" w:rsidRDefault="00302CE3">
            <w:pPr>
              <w:spacing w:after="120"/>
              <w:rPr>
                <w:noProof/>
                <w:sz w:val="20"/>
                <w:szCs w:val="20"/>
              </w:rPr>
            </w:pPr>
            <w:r w:rsidRPr="005C544D">
              <w:rPr>
                <w:rFonts w:eastAsiaTheme="minorEastAsia"/>
                <w:b/>
                <w:bCs/>
                <w:noProof/>
                <w:sz w:val="20"/>
                <w:szCs w:val="20"/>
              </w:rPr>
              <w:t>Unexploited potential of sharing</w:t>
            </w:r>
            <w:r w:rsidRPr="005C544D">
              <w:rPr>
                <w:rFonts w:eastAsiaTheme="minorEastAsia"/>
                <w:noProof/>
                <w:sz w:val="20"/>
                <w:szCs w:val="20"/>
              </w:rPr>
              <w:t xml:space="preserve">, </w:t>
            </w:r>
            <w:r w:rsidRPr="005C544D">
              <w:rPr>
                <w:rFonts w:eastAsiaTheme="minorEastAsia"/>
                <w:b/>
                <w:bCs/>
                <w:noProof/>
                <w:sz w:val="20"/>
                <w:szCs w:val="20"/>
              </w:rPr>
              <w:t>secondary spectrum trading</w:t>
            </w:r>
            <w:r w:rsidRPr="005C544D">
              <w:rPr>
                <w:rFonts w:eastAsiaTheme="minorEastAsia"/>
                <w:noProof/>
                <w:sz w:val="20"/>
                <w:szCs w:val="20"/>
              </w:rPr>
              <w:t xml:space="preserve"> and </w:t>
            </w:r>
            <w:r w:rsidRPr="005C544D">
              <w:rPr>
                <w:rFonts w:eastAsiaTheme="minorEastAsia"/>
                <w:b/>
                <w:bCs/>
                <w:noProof/>
                <w:sz w:val="20"/>
                <w:szCs w:val="20"/>
              </w:rPr>
              <w:t>local licencing</w:t>
            </w:r>
            <w:r w:rsidRPr="005C544D">
              <w:rPr>
                <w:rFonts w:eastAsiaTheme="minorEastAsia"/>
                <w:noProof/>
                <w:sz w:val="20"/>
                <w:szCs w:val="20"/>
              </w:rPr>
              <w:t xml:space="preserve"> have led to underutilisation of spectrum &amp; inefficiencies inhibiting optimal spectrum reallocation, despite increasing spectrum needs, including from private networks</w:t>
            </w:r>
          </w:p>
        </w:tc>
      </w:tr>
      <w:tr w:rsidR="0068199E" w:rsidRPr="00602574" w14:paraId="6AA22FF2" w14:textId="77777777" w:rsidTr="00BE337F">
        <w:tc>
          <w:tcPr>
            <w:tcW w:w="2835" w:type="dxa"/>
            <w:tcBorders>
              <w:top w:val="single" w:sz="4" w:space="0" w:color="auto"/>
              <w:left w:val="single" w:sz="4" w:space="0" w:color="auto"/>
              <w:bottom w:val="single" w:sz="4" w:space="0" w:color="auto"/>
              <w:right w:val="single" w:sz="4" w:space="0" w:color="auto"/>
            </w:tcBorders>
            <w:tcMar>
              <w:left w:w="57" w:type="dxa"/>
              <w:right w:w="57" w:type="dxa"/>
            </w:tcMar>
          </w:tcPr>
          <w:p w14:paraId="03766548" w14:textId="77777777" w:rsidR="00302CE3" w:rsidRPr="00602574" w:rsidRDefault="00302CE3">
            <w:pPr>
              <w:spacing w:after="120"/>
              <w:rPr>
                <w:noProof/>
                <w:sz w:val="20"/>
                <w:szCs w:val="20"/>
              </w:rPr>
            </w:pPr>
            <w:r w:rsidRPr="00602574">
              <w:rPr>
                <w:noProof/>
                <w:sz w:val="20"/>
                <w:szCs w:val="20"/>
              </w:rPr>
              <w:t xml:space="preserve">5) </w:t>
            </w:r>
            <w:r w:rsidRPr="005C544D">
              <w:rPr>
                <w:b/>
                <w:bCs/>
                <w:noProof/>
                <w:sz w:val="20"/>
                <w:szCs w:val="20"/>
              </w:rPr>
              <w:t>High cost</w:t>
            </w:r>
            <w:r w:rsidRPr="00602574">
              <w:rPr>
                <w:noProof/>
                <w:sz w:val="20"/>
                <w:szCs w:val="20"/>
              </w:rPr>
              <w:t xml:space="preserve"> of high quality 5G/6G and </w:t>
            </w:r>
            <w:r w:rsidRPr="005C544D">
              <w:rPr>
                <w:b/>
                <w:bCs/>
                <w:noProof/>
                <w:sz w:val="20"/>
                <w:szCs w:val="20"/>
              </w:rPr>
              <w:t>unexploited economies of scale</w:t>
            </w:r>
            <w:r w:rsidRPr="00602574">
              <w:rPr>
                <w:noProof/>
                <w:sz w:val="20"/>
                <w:szCs w:val="20"/>
              </w:rPr>
              <w:t xml:space="preserve"> </w:t>
            </w:r>
          </w:p>
        </w:tc>
        <w:tc>
          <w:tcPr>
            <w:tcW w:w="6765" w:type="dxa"/>
            <w:tcBorders>
              <w:top w:val="single" w:sz="4" w:space="0" w:color="auto"/>
              <w:left w:val="single" w:sz="4" w:space="0" w:color="auto"/>
              <w:bottom w:val="single" w:sz="4" w:space="0" w:color="auto"/>
              <w:right w:val="single" w:sz="4" w:space="0" w:color="auto"/>
            </w:tcBorders>
            <w:tcMar>
              <w:left w:w="57" w:type="dxa"/>
              <w:right w:w="57" w:type="dxa"/>
            </w:tcMar>
          </w:tcPr>
          <w:p w14:paraId="70182DCE" w14:textId="77777777" w:rsidR="00302CE3" w:rsidRPr="00602574" w:rsidRDefault="00302CE3">
            <w:pPr>
              <w:spacing w:after="120"/>
              <w:rPr>
                <w:noProof/>
                <w:sz w:val="20"/>
                <w:szCs w:val="20"/>
              </w:rPr>
            </w:pPr>
            <w:r w:rsidRPr="00602574">
              <w:rPr>
                <w:noProof/>
                <w:sz w:val="20"/>
                <w:szCs w:val="20"/>
              </w:rPr>
              <w:t xml:space="preserve">Investment decisions are more difficult when </w:t>
            </w:r>
            <w:r w:rsidRPr="005C544D">
              <w:rPr>
                <w:b/>
                <w:bCs/>
                <w:noProof/>
                <w:sz w:val="20"/>
                <w:szCs w:val="20"/>
              </w:rPr>
              <w:t>investments costs</w:t>
            </w:r>
            <w:r w:rsidRPr="00602574">
              <w:rPr>
                <w:noProof/>
                <w:sz w:val="20"/>
                <w:szCs w:val="20"/>
              </w:rPr>
              <w:t xml:space="preserve"> for high quality 5G deployment are </w:t>
            </w:r>
            <w:r w:rsidRPr="005C544D">
              <w:rPr>
                <w:b/>
                <w:bCs/>
                <w:noProof/>
                <w:sz w:val="20"/>
                <w:szCs w:val="20"/>
              </w:rPr>
              <w:t>increasing</w:t>
            </w:r>
            <w:r w:rsidRPr="00602574">
              <w:rPr>
                <w:noProof/>
                <w:sz w:val="20"/>
                <w:szCs w:val="20"/>
              </w:rPr>
              <w:t xml:space="preserve">, as for example for network </w:t>
            </w:r>
            <w:r w:rsidRPr="005C544D">
              <w:rPr>
                <w:b/>
                <w:bCs/>
                <w:noProof/>
                <w:sz w:val="20"/>
                <w:szCs w:val="20"/>
              </w:rPr>
              <w:t>densification and economies of scale</w:t>
            </w:r>
            <w:r w:rsidRPr="00602574">
              <w:rPr>
                <w:noProof/>
                <w:sz w:val="20"/>
                <w:szCs w:val="20"/>
              </w:rPr>
              <w:t xml:space="preserve"> are not exploited. </w:t>
            </w:r>
          </w:p>
        </w:tc>
      </w:tr>
    </w:tbl>
    <w:p w14:paraId="37F62123" w14:textId="77777777" w:rsidR="00605C6F" w:rsidRPr="00602574" w:rsidRDefault="00605C6F" w:rsidP="00053713">
      <w:pPr>
        <w:spacing w:before="240" w:line="240" w:lineRule="auto"/>
        <w:rPr>
          <w:noProof/>
        </w:rPr>
      </w:pPr>
      <w:r w:rsidRPr="00602574">
        <w:rPr>
          <w:noProof/>
        </w:rPr>
        <w:t xml:space="preserve">The problem drivers summarised above and further analysed below aim to provide a comprehensive picture of the main factors leading to insufficient investment in high-quality mobile connectivity. However, while low demand and limited monetisation opportunities are significant contributors to underinvestment in high-quality 5G, </w:t>
      </w:r>
      <w:r w:rsidRPr="005C544D">
        <w:rPr>
          <w:b/>
          <w:bCs/>
          <w:noProof/>
        </w:rPr>
        <w:t>spectrum regulation</w:t>
      </w:r>
      <w:r w:rsidRPr="00602574">
        <w:rPr>
          <w:noProof/>
        </w:rPr>
        <w:t xml:space="preserve"> remains primarily a </w:t>
      </w:r>
      <w:r w:rsidRPr="005C544D">
        <w:rPr>
          <w:b/>
          <w:bCs/>
          <w:noProof/>
        </w:rPr>
        <w:t>supply-side intervention</w:t>
      </w:r>
      <w:r w:rsidRPr="00602574">
        <w:rPr>
          <w:noProof/>
        </w:rPr>
        <w:t xml:space="preserve">. Consequently, spectrum options presented in section 6.2. address supply-side drivers, namely regulatory fragmentation, limited predictability and inefficient spectrum use. </w:t>
      </w:r>
      <w:r w:rsidRPr="005C544D">
        <w:rPr>
          <w:noProof/>
        </w:rPr>
        <w:t xml:space="preserve">Nonetheless, spectrum </w:t>
      </w:r>
      <w:r w:rsidRPr="00602574">
        <w:rPr>
          <w:noProof/>
        </w:rPr>
        <w:t xml:space="preserve">measures may also generate </w:t>
      </w:r>
      <w:r w:rsidRPr="005C544D">
        <w:rPr>
          <w:b/>
          <w:bCs/>
          <w:noProof/>
        </w:rPr>
        <w:t>demand-side effects</w:t>
      </w:r>
      <w:r w:rsidRPr="00602574">
        <w:rPr>
          <w:noProof/>
        </w:rPr>
        <w:t xml:space="preserve">: Improved quality of service, wider network coverage and, potentially, lower retail prices (to the extent they depend on spectrum costs) </w:t>
      </w:r>
      <w:r w:rsidRPr="005C544D">
        <w:rPr>
          <w:noProof/>
        </w:rPr>
        <w:t xml:space="preserve">can stimulate demand, e.g. by enabling quality assured services and addressing the “chicken and egg” issue. </w:t>
      </w:r>
      <w:r w:rsidRPr="00602574">
        <w:rPr>
          <w:noProof/>
        </w:rPr>
        <w:t>The options also aim</w:t>
      </w:r>
      <w:r w:rsidRPr="005C544D">
        <w:rPr>
          <w:noProof/>
        </w:rPr>
        <w:t xml:space="preserve"> to broaden access for specific private and temporary use cases. Demand is further expected to be supported by the ongoing spectrum harmonisation for private networks.</w:t>
      </w:r>
    </w:p>
    <w:p w14:paraId="222296F3" w14:textId="597C0D97" w:rsidR="00040081" w:rsidRPr="00292895" w:rsidRDefault="000269BE" w:rsidP="00040081">
      <w:pPr>
        <w:pStyle w:val="Heading4"/>
        <w:rPr>
          <w:rFonts w:eastAsia="EYInterstate Light"/>
          <w:noProof/>
          <w:lang w:val="en-IE"/>
        </w:rPr>
      </w:pPr>
      <w:r>
        <w:rPr>
          <w:noProof/>
        </w:rPr>
        <w:t xml:space="preserve"> </w:t>
      </w:r>
      <w:r w:rsidR="00040081" w:rsidRPr="0015519D">
        <w:rPr>
          <w:noProof/>
        </w:rPr>
        <w:t xml:space="preserve">Spectrum related </w:t>
      </w:r>
      <w:r w:rsidR="00040081" w:rsidRPr="0015519D">
        <w:rPr>
          <w:rFonts w:eastAsiaTheme="minorHAnsi"/>
          <w:noProof/>
        </w:rPr>
        <w:t>r</w:t>
      </w:r>
      <w:r w:rsidR="00040081" w:rsidRPr="0041470B" w:rsidDel="005A76AD">
        <w:rPr>
          <w:rFonts w:eastAsiaTheme="minorHAnsi"/>
          <w:noProof/>
        </w:rPr>
        <w:t>egulatory</w:t>
      </w:r>
      <w:r w:rsidR="00040081" w:rsidRPr="0041470B" w:rsidDel="005A76AD">
        <w:rPr>
          <w:noProof/>
        </w:rPr>
        <w:t xml:space="preserve"> fragmentation </w:t>
      </w:r>
      <w:r w:rsidR="00040081" w:rsidRPr="0041470B">
        <w:rPr>
          <w:noProof/>
        </w:rPr>
        <w:t xml:space="preserve">and </w:t>
      </w:r>
      <w:r w:rsidR="00040081">
        <w:rPr>
          <w:noProof/>
        </w:rPr>
        <w:t>lack of predictability</w:t>
      </w:r>
    </w:p>
    <w:p w14:paraId="14878B9B" w14:textId="77777777" w:rsidR="008E0035" w:rsidRDefault="008E0035" w:rsidP="00053713">
      <w:pPr>
        <w:spacing w:line="240" w:lineRule="auto"/>
        <w:rPr>
          <w:noProof/>
          <w:color w:val="000000" w:themeColor="text1"/>
        </w:rPr>
      </w:pPr>
      <w:r w:rsidRPr="0057287A">
        <w:rPr>
          <w:noProof/>
        </w:rPr>
        <w:t xml:space="preserve">The speed of 5G deployment and the quality of service also depend on the availability of sufficient spectrum accessible under </w:t>
      </w:r>
      <w:r w:rsidRPr="0057287A">
        <w:rPr>
          <w:b/>
          <w:bCs/>
          <w:noProof/>
        </w:rPr>
        <w:t>predictable, investment-friendly conditions.</w:t>
      </w:r>
      <w:r w:rsidRPr="0057287A">
        <w:rPr>
          <w:noProof/>
        </w:rPr>
        <w:t xml:space="preserve"> In this context, the Draghi report highlights a problem of fragmented</w:t>
      </w:r>
      <w:r w:rsidRPr="0057287A">
        <w:rPr>
          <w:i/>
          <w:iCs/>
          <w:noProof/>
        </w:rPr>
        <w:t xml:space="preserve">, </w:t>
      </w:r>
      <w:r w:rsidRPr="0057287A">
        <w:rPr>
          <w:noProof/>
        </w:rPr>
        <w:t>“uncoordinated spectrum policies across Member States mostly designed to maximise frequencies pricing”.</w:t>
      </w:r>
      <w:r w:rsidRPr="0057287A">
        <w:rPr>
          <w:b/>
          <w:bCs/>
          <w:noProof/>
        </w:rPr>
        <w:t xml:space="preserve"> </w:t>
      </w:r>
      <w:r w:rsidRPr="0057287A">
        <w:rPr>
          <w:noProof/>
        </w:rPr>
        <w:t>This is contrasted with the situation in the US, where centralised spectrum governance supports large-scale, nationally coordinated auctions with uniform licensing conditions, thereby facilitating rapid deployment of new technologies and cross-border service provision.</w:t>
      </w:r>
      <w:r w:rsidRPr="00602574">
        <w:rPr>
          <w:noProof/>
          <w:vertAlign w:val="superscript"/>
        </w:rPr>
        <w:footnoteReference w:id="80"/>
      </w:r>
      <w:r w:rsidRPr="0057287A">
        <w:rPr>
          <w:noProof/>
        </w:rPr>
        <w:t xml:space="preserve"> The Draghi report further stresses the “costly proliferation of different obligations for EU telecom operators, with limited consideration for investment commitments, service quality or innovation”.</w:t>
      </w:r>
      <w:r w:rsidRPr="00602574">
        <w:rPr>
          <w:iCs/>
          <w:noProof/>
          <w:color w:val="000000" w:themeColor="text1"/>
        </w:rPr>
        <w:t xml:space="preserve"> Although the EECC harmonised certain aspects of assignment of 5G spectrum</w:t>
      </w:r>
      <w:r w:rsidRPr="00602574">
        <w:rPr>
          <w:noProof/>
          <w:color w:val="000000" w:themeColor="text1"/>
        </w:rPr>
        <w:t>, Member States still retain a significant degree of discretion over auction design and conditions attached to spectrum use rights. This has led to</w:t>
      </w:r>
      <w:r w:rsidRPr="00602574">
        <w:rPr>
          <w:iCs/>
          <w:noProof/>
          <w:color w:val="000000" w:themeColor="text1"/>
        </w:rPr>
        <w:t xml:space="preserve"> </w:t>
      </w:r>
      <w:r w:rsidRPr="00602574">
        <w:rPr>
          <w:noProof/>
          <w:color w:val="000000" w:themeColor="text1"/>
        </w:rPr>
        <w:t>significant</w:t>
      </w:r>
      <w:r w:rsidRPr="00602574">
        <w:rPr>
          <w:iCs/>
          <w:noProof/>
          <w:color w:val="000000" w:themeColor="text1"/>
        </w:rPr>
        <w:t xml:space="preserve"> </w:t>
      </w:r>
      <w:r w:rsidRPr="0057287A">
        <w:rPr>
          <w:noProof/>
        </w:rPr>
        <w:t xml:space="preserve">discrepancies in assignment timelines and </w:t>
      </w:r>
      <w:r w:rsidRPr="0057287A">
        <w:rPr>
          <w:b/>
          <w:bCs/>
          <w:noProof/>
        </w:rPr>
        <w:t>fragmented application of award and authorisation conditions</w:t>
      </w:r>
      <w:r w:rsidRPr="0057287A">
        <w:rPr>
          <w:noProof/>
        </w:rPr>
        <w:t xml:space="preserve"> </w:t>
      </w:r>
      <w:r w:rsidRPr="0057287A">
        <w:rPr>
          <w:b/>
          <w:bCs/>
          <w:noProof/>
        </w:rPr>
        <w:t xml:space="preserve">associated with different outcomes in terms of </w:t>
      </w:r>
      <w:r w:rsidRPr="0057287A">
        <w:rPr>
          <w:b/>
          <w:bCs/>
          <w:noProof/>
          <w:color w:val="000000" w:themeColor="text1"/>
        </w:rPr>
        <w:t>5G coverage, quality of service and underlying investment</w:t>
      </w:r>
      <w:r w:rsidRPr="00602574">
        <w:rPr>
          <w:noProof/>
          <w:color w:val="000000" w:themeColor="text1"/>
        </w:rPr>
        <w:t>.</w:t>
      </w:r>
      <w:r w:rsidRPr="00602574">
        <w:rPr>
          <w:rStyle w:val="FootnoteReference"/>
          <w:noProof/>
          <w:color w:val="000000" w:themeColor="text1"/>
        </w:rPr>
        <w:footnoteReference w:id="81"/>
      </w:r>
    </w:p>
    <w:p w14:paraId="49C8810C" w14:textId="77777777" w:rsidR="002C1138" w:rsidRPr="0057287A" w:rsidRDefault="002C1138" w:rsidP="00053713">
      <w:pPr>
        <w:spacing w:before="240" w:line="240" w:lineRule="auto"/>
        <w:rPr>
          <w:noProof/>
        </w:rPr>
      </w:pPr>
      <w:r w:rsidRPr="0057287A">
        <w:rPr>
          <w:b/>
          <w:bCs/>
          <w:noProof/>
        </w:rPr>
        <w:t>Fragmentation</w:t>
      </w:r>
      <w:r w:rsidRPr="0057287A">
        <w:rPr>
          <w:noProof/>
        </w:rPr>
        <w:t xml:space="preserve"> </w:t>
      </w:r>
      <w:r w:rsidRPr="0057287A">
        <w:rPr>
          <w:b/>
          <w:bCs/>
          <w:noProof/>
        </w:rPr>
        <w:t>in spectrum regulatory approaches</w:t>
      </w:r>
      <w:r w:rsidRPr="0057287A">
        <w:rPr>
          <w:noProof/>
        </w:rPr>
        <w:t xml:space="preserve"> outlined above is reflected in </w:t>
      </w:r>
      <w:r w:rsidRPr="0057287A">
        <w:rPr>
          <w:b/>
          <w:bCs/>
          <w:noProof/>
        </w:rPr>
        <w:t>substantial</w:t>
      </w:r>
      <w:r w:rsidRPr="0057287A">
        <w:rPr>
          <w:noProof/>
        </w:rPr>
        <w:t xml:space="preserve"> </w:t>
      </w:r>
      <w:r w:rsidRPr="0057287A">
        <w:rPr>
          <w:b/>
          <w:bCs/>
          <w:noProof/>
        </w:rPr>
        <w:t>differences in market outcomes</w:t>
      </w:r>
      <w:r w:rsidRPr="0057287A">
        <w:rPr>
          <w:noProof/>
        </w:rPr>
        <w:t xml:space="preserve"> across the EU in terms of 5G mid-band coverage, download speeds, upload speeds, latency and consumer prices. The box below </w:t>
      </w:r>
      <w:r w:rsidRPr="00602574">
        <w:rPr>
          <w:noProof/>
        </w:rPr>
        <w:t>summarises the analysis of regulatory design in 5G auctions and its relationship with market outcomes and investment incentives.</w:t>
      </w:r>
    </w:p>
    <w:p w14:paraId="055AAB5B" w14:textId="77777777" w:rsidR="0065088A" w:rsidRPr="0065088A" w:rsidRDefault="0065088A" w:rsidP="0065088A">
      <w:pPr>
        <w:spacing w:before="240" w:line="240" w:lineRule="auto"/>
        <w:rPr>
          <w:i/>
          <w:noProof/>
        </w:rPr>
      </w:pPr>
      <w:r w:rsidRPr="0065088A">
        <w:rPr>
          <w:i/>
          <w:noProof/>
        </w:rPr>
        <w:t>Evidence of regulatory fragmentation and lack of predictability in EU spectrum assignment</w:t>
      </w:r>
    </w:p>
    <w:p w14:paraId="026C75EA" w14:textId="068BABC2" w:rsidR="0065088A" w:rsidRPr="0065088A" w:rsidRDefault="0065088A" w:rsidP="0065088A">
      <w:pPr>
        <w:spacing w:before="240" w:line="240" w:lineRule="auto"/>
        <w:rPr>
          <w:noProof/>
        </w:rPr>
      </w:pPr>
      <w:r w:rsidRPr="0065088A">
        <w:rPr>
          <w:noProof/>
        </w:rPr>
        <w:t xml:space="preserve">The fragmented nature of European spectrum governance was particularly evident in the </w:t>
      </w:r>
      <w:r w:rsidRPr="0065088A">
        <w:rPr>
          <w:b/>
          <w:noProof/>
        </w:rPr>
        <w:t>assignment of the 5G pioneer bands</w:t>
      </w:r>
      <w:r w:rsidRPr="0065088A">
        <w:rPr>
          <w:noProof/>
        </w:rPr>
        <w:t xml:space="preserve"> (700</w:t>
      </w:r>
      <w:r w:rsidR="003559D9">
        <w:rPr>
          <w:noProof/>
        </w:rPr>
        <w:t xml:space="preserve"> </w:t>
      </w:r>
      <w:r w:rsidRPr="0065088A">
        <w:rPr>
          <w:noProof/>
        </w:rPr>
        <w:t>MHz, 3.6 and 26 GHz). These bands were made available at different times across the EU.</w:t>
      </w:r>
      <w:r w:rsidRPr="0065088A">
        <w:rPr>
          <w:noProof/>
          <w:vertAlign w:val="superscript"/>
        </w:rPr>
        <w:footnoteReference w:id="82"/>
      </w:r>
      <w:r w:rsidRPr="0065088A">
        <w:rPr>
          <w:noProof/>
        </w:rPr>
        <w:t xml:space="preserve"> The overall authorisation process spanned over a decade and about half of Member States did not meet the deadline of 31 December 2020. Some auctions applied demanding coverage and quality of service obligations as well as reasonable spectrum prices aligned with investment needs, while others pursued higher revenues, resulting in weaker coverage outcomes. </w:t>
      </w:r>
      <w:r w:rsidRPr="0065088A">
        <w:rPr>
          <w:b/>
          <w:noProof/>
        </w:rPr>
        <w:t>Auction designs reflecting long-term infrastructure goals</w:t>
      </w:r>
      <w:r w:rsidRPr="0065088A">
        <w:rPr>
          <w:noProof/>
        </w:rPr>
        <w:t xml:space="preserve"> have proven more effective in promoting rapid deployment.</w:t>
      </w:r>
      <w:r w:rsidRPr="0065088A">
        <w:rPr>
          <w:noProof/>
          <w:vertAlign w:val="superscript"/>
        </w:rPr>
        <w:footnoteReference w:id="83"/>
      </w:r>
      <w:r w:rsidRPr="0065088A">
        <w:rPr>
          <w:noProof/>
        </w:rPr>
        <w:t xml:space="preserve"> In some Member States, </w:t>
      </w:r>
      <w:r w:rsidRPr="0065088A">
        <w:rPr>
          <w:b/>
          <w:noProof/>
        </w:rPr>
        <w:t>market-shaping measures</w:t>
      </w:r>
      <w:r w:rsidRPr="0065088A">
        <w:rPr>
          <w:noProof/>
        </w:rPr>
        <w:t xml:space="preserve"> intended to promote competition, such as spectrum reservations and set-asides for new entrants and vertical users, instead deprived operators of spectrum needed to ensure quality of service and contributed to higher spectrum prices, reducing operators’ investment capacity.</w:t>
      </w:r>
      <w:r w:rsidRPr="0065088A">
        <w:rPr>
          <w:noProof/>
          <w:vertAlign w:val="superscript"/>
        </w:rPr>
        <w:footnoteReference w:id="84"/>
      </w:r>
      <w:r w:rsidRPr="0065088A">
        <w:rPr>
          <w:noProof/>
        </w:rPr>
        <w:t xml:space="preserve"> At the same time, increasing cost of new 5G and 6G deployment appears to reduce the feasibility of maintaining several parallel infrastructures, thereby weakening the potential of set-asides to sustain infrastructure-based competition.</w:t>
      </w:r>
    </w:p>
    <w:p w14:paraId="15F439CC" w14:textId="716DB91A" w:rsidR="0065088A" w:rsidRPr="0065088A" w:rsidRDefault="0065088A" w:rsidP="0065088A">
      <w:pPr>
        <w:spacing w:before="240" w:line="240" w:lineRule="auto"/>
        <w:rPr>
          <w:noProof/>
        </w:rPr>
      </w:pPr>
      <w:r w:rsidRPr="0065088A">
        <w:rPr>
          <w:noProof/>
        </w:rPr>
        <w:t xml:space="preserve">Fragmentation is also evident in the wide divergence of </w:t>
      </w:r>
      <w:r w:rsidRPr="0065088A">
        <w:rPr>
          <w:b/>
          <w:noProof/>
        </w:rPr>
        <w:t>average spectrum prices</w:t>
      </w:r>
      <w:r w:rsidRPr="0065088A">
        <w:rPr>
          <w:noProof/>
        </w:rPr>
        <w:t xml:space="preserve"> (€/MHz/pop).</w:t>
      </w:r>
      <w:r w:rsidRPr="0065088A">
        <w:rPr>
          <w:b/>
          <w:noProof/>
        </w:rPr>
        <w:t xml:space="preserve"> </w:t>
      </w:r>
      <w:r w:rsidRPr="0065088A">
        <w:rPr>
          <w:noProof/>
        </w:rPr>
        <w:t>For the 700MHz band, prices range from €0.08 per MHz per population in Croatia and Estonia to more than €0.69 in France. For the 3.6 GHz band, values range from below €0.01 in Romania and Bulgaria to €0.38 in Italy. Lowest prices, generally below €0.002, are observed in the 26 GHz band due to limited range and early market stage. Although many factors influence auction prices, including broader economic conditions and competitive dynamics, national regulatory choices such as market-shaping measures and reserve prices also play a role. Such interventions may distort price formation in the auction process and push final prices above economically sustainable levels, reducing the resources for network investment.</w:t>
      </w:r>
    </w:p>
    <w:p w14:paraId="201C9991" w14:textId="53579E05" w:rsidR="0065088A" w:rsidRPr="00E10BD2" w:rsidRDefault="0065088A" w:rsidP="0065088A">
      <w:pPr>
        <w:spacing w:before="240" w:line="240" w:lineRule="auto"/>
        <w:rPr>
          <w:noProof/>
        </w:rPr>
      </w:pPr>
      <w:r w:rsidRPr="00E10BD2">
        <w:rPr>
          <w:noProof/>
        </w:rPr>
        <w:t xml:space="preserve">Fragmentation also extends to licence duration and renewal conditions, </w:t>
      </w:r>
      <w:r w:rsidRPr="00E10BD2">
        <w:rPr>
          <w:b/>
          <w:noProof/>
        </w:rPr>
        <w:t>limiting predictability and creating uncertainty for long-term investment.</w:t>
      </w:r>
      <w:r w:rsidRPr="00E10BD2">
        <w:rPr>
          <w:noProof/>
        </w:rPr>
        <w:t xml:space="preserve"> The EECC required Member States to ensure at least 20 years of regulatory predictability for wireless broadband services by granting licences with a minimum duration of 15 years, plus a possible 5-year extension based on clear criteria relating to spectrum utilisation and competition. In practice, Member States have interpreted and implemented this requirement in different ways. While 92% of pioneer band licenses from 2020 onwards were issued for 15 years or more, the duration of licenses has often been insufficient to ensure adequate return on investments or to encourage more ambitious deployment of high-quality 5G networks and services.</w:t>
      </w:r>
      <w:r w:rsidRPr="00E10BD2">
        <w:rPr>
          <w:noProof/>
          <w:vertAlign w:val="superscript"/>
        </w:rPr>
        <w:footnoteReference w:id="85"/>
      </w:r>
      <w:r w:rsidRPr="00E10BD2">
        <w:rPr>
          <w:noProof/>
        </w:rPr>
        <w:t xml:space="preserve"> The need for operators to obtain licences in several bands, combined with limited licence duration, requires participation in frequent re-auctioning, which increases uncertainty about the ability to reacquire existing rights and reduces operators’ incentives for long-term network investment as well as the attractiveness to investors. According to GSMA, approximately 500 licences will expire in the next decade. Stakeholders increasingly call for longer durations, automatic renewals or indefinite licences with clear revocation safeguards and incentives for secondary trading. In the US, the FCC streamlined and harmonised licence renewal and service-continuity rules in 2017 to provide a consistent framework and predictable, expedited renewals where licensees continue to meet the initial requirements and use the band at or above those levels.</w:t>
      </w:r>
      <w:r w:rsidRPr="00E10BD2">
        <w:rPr>
          <w:noProof/>
          <w:vertAlign w:val="superscript"/>
        </w:rPr>
        <w:footnoteReference w:id="86"/>
      </w:r>
    </w:p>
    <w:p w14:paraId="47B779C9" w14:textId="355F6A76" w:rsidR="00923C5E" w:rsidRPr="00923C5E" w:rsidRDefault="00923C5E" w:rsidP="00923C5E">
      <w:pPr>
        <w:spacing w:before="240" w:line="240" w:lineRule="auto"/>
        <w:rPr>
          <w:i/>
          <w:noProof/>
        </w:rPr>
      </w:pPr>
      <w:r w:rsidRPr="00923C5E">
        <w:rPr>
          <w:i/>
          <w:noProof/>
        </w:rPr>
        <w:t>Analysis of the link between market outcomes and regulatory approaches on 5G auction design</w:t>
      </w:r>
    </w:p>
    <w:p w14:paraId="64C7F8CC" w14:textId="0128C8B4" w:rsidR="00923C5E" w:rsidRPr="00923C5E" w:rsidRDefault="00923C5E" w:rsidP="00923C5E">
      <w:pPr>
        <w:spacing w:before="240" w:line="240" w:lineRule="auto"/>
        <w:rPr>
          <w:noProof/>
        </w:rPr>
      </w:pPr>
      <w:r w:rsidRPr="00923C5E">
        <w:rPr>
          <w:noProof/>
        </w:rPr>
        <w:t>As regards the effects of regulatory approaches on investment incentives, several conclusions can be drawn from the comparison of market outcomes and auction design across Member States. EU mobile markets are largely competitive, typically with three to four MNOs and consumer prices remaining relatively low by international standards. For example, EU mobile broadband prices are significantly lower than in the US.</w:t>
      </w:r>
      <w:r w:rsidRPr="00923C5E">
        <w:rPr>
          <w:noProof/>
          <w:vertAlign w:val="superscript"/>
        </w:rPr>
        <w:footnoteReference w:id="87"/>
      </w:r>
      <w:r w:rsidRPr="00923C5E">
        <w:rPr>
          <w:noProof/>
        </w:rPr>
        <w:t xml:space="preserve"> Yet, consumer prices vary considerably across the EU. A similarly diverse picture emerges for Mid-band coverage and Quality of service: a combined indicator (based on mid-band coverage, latency, download and upload speeds) reveals substantial differences between Member States. The left panel of </w:t>
      </w:r>
      <w:r w:rsidR="00A740FE">
        <w:rPr>
          <w:noProof/>
        </w:rPr>
        <w:fldChar w:fldCharType="begin"/>
      </w:r>
      <w:r w:rsidR="00A740FE">
        <w:rPr>
          <w:noProof/>
        </w:rPr>
        <w:instrText xml:space="preserve"> REF _Ref219365509 \h </w:instrText>
      </w:r>
      <w:r w:rsidR="00A740FE">
        <w:rPr>
          <w:noProof/>
        </w:rPr>
      </w:r>
      <w:r w:rsidR="00A740FE">
        <w:rPr>
          <w:noProof/>
        </w:rPr>
        <w:fldChar w:fldCharType="separate"/>
      </w:r>
      <w:r w:rsidR="00A740FE" w:rsidRPr="00C52D66">
        <w:rPr>
          <w:noProof/>
        </w:rPr>
        <w:t xml:space="preserve">Figure </w:t>
      </w:r>
      <w:r w:rsidR="00A740FE">
        <w:rPr>
          <w:noProof/>
        </w:rPr>
        <w:t>10</w:t>
      </w:r>
      <w:r w:rsidR="00A740FE">
        <w:rPr>
          <w:noProof/>
        </w:rPr>
        <w:fldChar w:fldCharType="end"/>
      </w:r>
      <w:r w:rsidRPr="00923C5E">
        <w:rPr>
          <w:noProof/>
        </w:rPr>
        <w:t xml:space="preserve"> presents average consumer mobile prices across three usage baskets, with stacked bars indicating the contribution of each basket to the overall average. The right panel reports normalised mid-band coverage and quality-of-service scores, showing their respective contributions.</w:t>
      </w:r>
    </w:p>
    <w:p w14:paraId="66A08FB6" w14:textId="14A85D90" w:rsidR="00923C5E" w:rsidRPr="00C52D66" w:rsidRDefault="00923C5E" w:rsidP="00C67128">
      <w:pPr>
        <w:pStyle w:val="Caption"/>
        <w:rPr>
          <w:i w:val="0"/>
          <w:noProof/>
          <w:color w:val="auto"/>
        </w:rPr>
      </w:pPr>
      <w:bookmarkStart w:id="80" w:name="_Ref217393736"/>
      <w:bookmarkStart w:id="81" w:name="_Ref219365509"/>
      <w:bookmarkStart w:id="82" w:name="_Toc218410955"/>
      <w:bookmarkStart w:id="83" w:name="_Toc219539767"/>
      <w:r w:rsidRPr="00C52D66">
        <w:rPr>
          <w:noProof/>
          <w:color w:val="auto"/>
        </w:rPr>
        <w:t xml:space="preserve">Figure </w:t>
      </w:r>
      <w:bookmarkEnd w:id="80"/>
      <w:r>
        <w:rPr>
          <w:noProof/>
          <w:color w:val="auto"/>
        </w:rPr>
        <w:fldChar w:fldCharType="begin"/>
      </w:r>
      <w:r w:rsidRPr="00C52D66">
        <w:rPr>
          <w:noProof/>
          <w:color w:val="auto"/>
        </w:rPr>
        <w:instrText xml:space="preserve"> SEQ Figure \* ARABIC </w:instrText>
      </w:r>
      <w:r>
        <w:rPr>
          <w:noProof/>
          <w:color w:val="auto"/>
        </w:rPr>
        <w:fldChar w:fldCharType="separate"/>
      </w:r>
      <w:r w:rsidR="00D9624D">
        <w:rPr>
          <w:noProof/>
          <w:color w:val="auto"/>
        </w:rPr>
        <w:t>10</w:t>
      </w:r>
      <w:r>
        <w:rPr>
          <w:noProof/>
          <w:color w:val="auto"/>
        </w:rPr>
        <w:fldChar w:fldCharType="end"/>
      </w:r>
      <w:bookmarkEnd w:id="81"/>
      <w:r w:rsidR="00C67128" w:rsidRPr="00C52D66">
        <w:rPr>
          <w:i w:val="0"/>
          <w:noProof/>
          <w:color w:val="auto"/>
        </w:rPr>
        <w:t>:</w:t>
      </w:r>
      <w:r w:rsidR="008E2BEE" w:rsidRPr="00C52D66">
        <w:rPr>
          <w:noProof/>
          <w:color w:val="auto"/>
        </w:rPr>
        <w:t xml:space="preserve"> </w:t>
      </w:r>
      <w:r w:rsidRPr="00C52D66">
        <w:rPr>
          <w:noProof/>
          <w:color w:val="auto"/>
        </w:rPr>
        <w:t xml:space="preserve">Consumer </w:t>
      </w:r>
      <w:r w:rsidRPr="00C67128">
        <w:rPr>
          <w:noProof/>
          <w:color w:val="auto"/>
        </w:rPr>
        <w:t>Prices</w:t>
      </w:r>
      <w:r w:rsidRPr="00C52D66">
        <w:rPr>
          <w:noProof/>
          <w:color w:val="auto"/>
        </w:rPr>
        <w:t>, Mid-Band Coverage and Quality of Service across EU Member States</w:t>
      </w:r>
      <w:bookmarkEnd w:id="82"/>
      <w:bookmarkEnd w:id="83"/>
    </w:p>
    <w:p w14:paraId="38B61EA5" w14:textId="77777777" w:rsidR="00923C5E" w:rsidRPr="00923C5E" w:rsidRDefault="00923C5E" w:rsidP="00923C5E">
      <w:pPr>
        <w:spacing w:before="240" w:line="240" w:lineRule="auto"/>
        <w:rPr>
          <w:noProof/>
        </w:rPr>
      </w:pPr>
      <w:r w:rsidRPr="00923C5E">
        <w:rPr>
          <w:noProof/>
          <w:lang w:eastAsia="en-GB"/>
        </w:rPr>
        <w:drawing>
          <wp:inline distT="0" distB="0" distL="0" distR="0" wp14:anchorId="697EA877" wp14:editId="78B2A738">
            <wp:extent cx="6123526" cy="2417197"/>
            <wp:effectExtent l="0" t="0" r="0" b="2540"/>
            <wp:docPr id="1145116829" name="Picture 2"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116829" name="Picture 2" descr="A comparison of a graph&#10;&#10;AI-generated content may be incorrect."/>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bwMode="auto">
                    <a:xfrm>
                      <a:off x="0" y="0"/>
                      <a:ext cx="6123526" cy="2417197"/>
                    </a:xfrm>
                    <a:prstGeom prst="rect">
                      <a:avLst/>
                    </a:prstGeom>
                    <a:noFill/>
                  </pic:spPr>
                </pic:pic>
              </a:graphicData>
            </a:graphic>
          </wp:inline>
        </w:drawing>
      </w:r>
    </w:p>
    <w:p w14:paraId="3DC27E80" w14:textId="72DBEBA3" w:rsidR="00923C5E" w:rsidRPr="00923C5E" w:rsidRDefault="00923C5E" w:rsidP="00923C5E">
      <w:pPr>
        <w:spacing w:before="240" w:line="240" w:lineRule="auto"/>
        <w:rPr>
          <w:noProof/>
        </w:rPr>
      </w:pPr>
      <w:r w:rsidRPr="00923C5E">
        <w:rPr>
          <w:noProof/>
        </w:rPr>
        <w:t>Left panel of Figure 11 shows overall mid-band performance by decomposing</w:t>
      </w:r>
      <w:r w:rsidR="00A51F00">
        <w:rPr>
          <w:noProof/>
        </w:rPr>
        <w:t xml:space="preserve"> </w:t>
      </w:r>
      <w:r w:rsidR="00AF1720">
        <w:rPr>
          <w:noProof/>
        </w:rPr>
        <w:t xml:space="preserve">market </w:t>
      </w:r>
      <w:r w:rsidRPr="00923C5E">
        <w:rPr>
          <w:noProof/>
        </w:rPr>
        <w:t xml:space="preserve">outcomes into </w:t>
      </w:r>
      <w:r w:rsidR="00590E92">
        <w:rPr>
          <w:noProof/>
        </w:rPr>
        <w:t xml:space="preserve">normalised </w:t>
      </w:r>
      <w:r w:rsidRPr="00923C5E">
        <w:rPr>
          <w:noProof/>
        </w:rPr>
        <w:t xml:space="preserve">coverage, quality and consumer price components (with higher price bars indicating lower prices here). The right panel plots </w:t>
      </w:r>
      <w:r w:rsidR="00FC0B63">
        <w:rPr>
          <w:noProof/>
        </w:rPr>
        <w:t xml:space="preserve">z-standardised </w:t>
      </w:r>
      <w:r w:rsidRPr="00923C5E">
        <w:rPr>
          <w:noProof/>
        </w:rPr>
        <w:t xml:space="preserve">average prices against </w:t>
      </w:r>
      <w:r w:rsidR="00AF47BB">
        <w:rPr>
          <w:noProof/>
        </w:rPr>
        <w:t xml:space="preserve">z-standardised </w:t>
      </w:r>
      <w:r w:rsidRPr="00923C5E">
        <w:rPr>
          <w:noProof/>
        </w:rPr>
        <w:t>coverage and quality</w:t>
      </w:r>
      <w:r w:rsidR="00CA424C">
        <w:rPr>
          <w:noProof/>
        </w:rPr>
        <w:t xml:space="preserve"> scores</w:t>
      </w:r>
      <w:r w:rsidRPr="00923C5E">
        <w:rPr>
          <w:noProof/>
        </w:rPr>
        <w:t>, highlighting the diverse performance patterns observed across the EU.</w:t>
      </w:r>
    </w:p>
    <w:p w14:paraId="6C5987FD" w14:textId="1A1A16D2" w:rsidR="00374CA2" w:rsidRPr="00CD7E51" w:rsidRDefault="00923C5E" w:rsidP="00374CA2">
      <w:pPr>
        <w:pStyle w:val="Caption"/>
        <w:keepNext/>
        <w:rPr>
          <w:noProof/>
          <w:color w:val="auto"/>
          <w:sz w:val="20"/>
          <w:szCs w:val="20"/>
        </w:rPr>
      </w:pPr>
      <w:bookmarkStart w:id="84" w:name="_Toc219539768"/>
      <w:r w:rsidRPr="00CD7E51">
        <w:rPr>
          <w:noProof/>
          <w:color w:val="auto"/>
          <w:sz w:val="20"/>
          <w:szCs w:val="20"/>
        </w:rPr>
        <w:t xml:space="preserve">Figure </w:t>
      </w:r>
      <w:r w:rsidRPr="00CD7E51">
        <w:rPr>
          <w:noProof/>
          <w:color w:val="auto"/>
          <w:sz w:val="20"/>
          <w:szCs w:val="20"/>
        </w:rPr>
        <w:fldChar w:fldCharType="begin"/>
      </w:r>
      <w:r w:rsidRPr="00CD7E51">
        <w:rPr>
          <w:i w:val="0"/>
          <w:noProof/>
          <w:color w:val="auto"/>
          <w:sz w:val="20"/>
          <w:szCs w:val="20"/>
        </w:rPr>
        <w:instrText xml:space="preserve"> SEQ Figure \* ARABIC </w:instrText>
      </w:r>
      <w:r w:rsidRPr="00CD7E51">
        <w:rPr>
          <w:noProof/>
          <w:color w:val="auto"/>
          <w:sz w:val="20"/>
          <w:szCs w:val="20"/>
        </w:rPr>
        <w:fldChar w:fldCharType="separate"/>
      </w:r>
      <w:r w:rsidR="00D9624D">
        <w:rPr>
          <w:noProof/>
          <w:color w:val="auto"/>
          <w:sz w:val="20"/>
          <w:szCs w:val="20"/>
        </w:rPr>
        <w:t>11</w:t>
      </w:r>
      <w:r w:rsidRPr="00CD7E51">
        <w:rPr>
          <w:noProof/>
          <w:color w:val="auto"/>
          <w:sz w:val="20"/>
          <w:szCs w:val="20"/>
        </w:rPr>
        <w:fldChar w:fldCharType="end"/>
      </w:r>
      <w:r w:rsidR="00374CA2" w:rsidRPr="00CD7E51">
        <w:rPr>
          <w:noProof/>
          <w:color w:val="auto"/>
          <w:sz w:val="20"/>
          <w:szCs w:val="20"/>
        </w:rPr>
        <w:t xml:space="preserve">: </w:t>
      </w:r>
      <w:r w:rsidR="00AF7C66">
        <w:rPr>
          <w:noProof/>
          <w:color w:val="auto"/>
          <w:sz w:val="20"/>
          <w:szCs w:val="20"/>
        </w:rPr>
        <w:t>Overall</w:t>
      </w:r>
      <w:r w:rsidR="00B74B79">
        <w:rPr>
          <w:noProof/>
          <w:color w:val="auto"/>
          <w:sz w:val="20"/>
          <w:szCs w:val="20"/>
        </w:rPr>
        <w:t xml:space="preserve"> mid-band performance and </w:t>
      </w:r>
      <w:r w:rsidR="00374CA2" w:rsidRPr="00CD7E51">
        <w:rPr>
          <w:noProof/>
          <w:color w:val="auto"/>
          <w:sz w:val="20"/>
          <w:szCs w:val="20"/>
        </w:rPr>
        <w:t xml:space="preserve">Consumer Prices in Relation to Mid-Band Coverage </w:t>
      </w:r>
      <w:r w:rsidR="00B74B79">
        <w:rPr>
          <w:noProof/>
          <w:color w:val="auto"/>
          <w:sz w:val="20"/>
          <w:szCs w:val="20"/>
        </w:rPr>
        <w:t>&amp;</w:t>
      </w:r>
      <w:r w:rsidR="00374CA2" w:rsidRPr="00CD7E51">
        <w:rPr>
          <w:noProof/>
          <w:color w:val="auto"/>
          <w:sz w:val="20"/>
          <w:szCs w:val="20"/>
        </w:rPr>
        <w:t xml:space="preserve"> Quality of Service</w:t>
      </w:r>
      <w:bookmarkEnd w:id="84"/>
    </w:p>
    <w:p w14:paraId="4EFAE204" w14:textId="77777777" w:rsidR="00923C5E" w:rsidRPr="00923C5E" w:rsidRDefault="00923C5E" w:rsidP="00923C5E">
      <w:pPr>
        <w:spacing w:before="240" w:line="240" w:lineRule="auto"/>
        <w:rPr>
          <w:noProof/>
        </w:rPr>
      </w:pPr>
      <w:r w:rsidRPr="00923C5E">
        <w:rPr>
          <w:noProof/>
          <w:lang w:eastAsia="en-GB"/>
        </w:rPr>
        <w:drawing>
          <wp:inline distT="0" distB="0" distL="0" distR="0" wp14:anchorId="3762FD41" wp14:editId="5B2932EE">
            <wp:extent cx="6105525" cy="2497667"/>
            <wp:effectExtent l="0" t="0" r="0" b="0"/>
            <wp:docPr id="1051563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563031"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6116634" cy="2502211"/>
                    </a:xfrm>
                    <a:prstGeom prst="rect">
                      <a:avLst/>
                    </a:prstGeom>
                    <a:noFill/>
                  </pic:spPr>
                </pic:pic>
              </a:graphicData>
            </a:graphic>
          </wp:inline>
        </w:drawing>
      </w:r>
    </w:p>
    <w:p w14:paraId="5E44AAF5" w14:textId="377B8D7C" w:rsidR="006861E9" w:rsidRDefault="00923C5E" w:rsidP="00BE337F">
      <w:pPr>
        <w:spacing w:before="240" w:line="240" w:lineRule="auto"/>
        <w:rPr>
          <w:noProof/>
        </w:rPr>
      </w:pPr>
      <w:r w:rsidRPr="00923C5E">
        <w:rPr>
          <w:noProof/>
        </w:rPr>
        <w:t xml:space="preserve">Differences in consumer prices, coverage and quality of service may be linked, alongside other factors such as demand, competition and GDP per capita, to Member States’ diverse regulatory approaches to 5G spectrum assignment. The following analysis examines the </w:t>
      </w:r>
      <w:r w:rsidRPr="00923C5E">
        <w:rPr>
          <w:b/>
          <w:noProof/>
        </w:rPr>
        <w:t>potential relation between market outcomes and key elements of regulatory design</w:t>
      </w:r>
      <w:r w:rsidRPr="00923C5E">
        <w:rPr>
          <w:noProof/>
        </w:rPr>
        <w:t xml:space="preserve"> in the 3.6 GHz and 700 MHz auctions. For initial insights, </w:t>
      </w:r>
      <w:r w:rsidR="008304AC" w:rsidRPr="008304AC">
        <w:rPr>
          <w:noProof/>
        </w:rPr>
        <w:fldChar w:fldCharType="begin"/>
      </w:r>
      <w:r w:rsidR="008304AC" w:rsidRPr="008304AC">
        <w:rPr>
          <w:noProof/>
        </w:rPr>
        <w:instrText xml:space="preserve"> REF _Ref219451801 \h </w:instrText>
      </w:r>
      <w:r w:rsidR="008304AC">
        <w:rPr>
          <w:noProof/>
        </w:rPr>
        <w:instrText xml:space="preserve"> \* MERGEFORMAT </w:instrText>
      </w:r>
      <w:r w:rsidR="008304AC" w:rsidRPr="008304AC">
        <w:rPr>
          <w:noProof/>
        </w:rPr>
      </w:r>
      <w:r w:rsidR="008304AC" w:rsidRPr="008304AC">
        <w:rPr>
          <w:noProof/>
        </w:rPr>
        <w:fldChar w:fldCharType="separate"/>
      </w:r>
      <w:r w:rsidR="008304AC" w:rsidRPr="008304AC">
        <w:rPr>
          <w:noProof/>
        </w:rPr>
        <w:t>Figure 12</w:t>
      </w:r>
      <w:r w:rsidR="008304AC" w:rsidRPr="008304AC">
        <w:rPr>
          <w:noProof/>
        </w:rPr>
        <w:fldChar w:fldCharType="end"/>
      </w:r>
      <w:r w:rsidRPr="00923C5E">
        <w:rPr>
          <w:noProof/>
        </w:rPr>
        <w:t xml:space="preserve"> compares a composite measure of market outcomes, based on consumer prices, mid-band coverage and quality of service, with a composite measure of regulatory design that reflects spectrum caps, access obligations, auction prices and reservations or set-asides for new entrants and vertical users.</w:t>
      </w:r>
      <w:r w:rsidRPr="00923C5E">
        <w:rPr>
          <w:noProof/>
          <w:vertAlign w:val="superscript"/>
        </w:rPr>
        <w:footnoteReference w:id="88"/>
      </w:r>
      <w:r w:rsidRPr="00923C5E">
        <w:rPr>
          <w:noProof/>
        </w:rPr>
        <w:t xml:space="preserve"> The </w:t>
      </w:r>
      <w:r w:rsidRPr="00923C5E">
        <w:rPr>
          <w:b/>
          <w:noProof/>
        </w:rPr>
        <w:t>visual analysis</w:t>
      </w:r>
      <w:r w:rsidRPr="00923C5E">
        <w:rPr>
          <w:noProof/>
        </w:rPr>
        <w:t xml:space="preserve"> suggests that more interventionist regulatory approaches may</w:t>
      </w:r>
      <w:r w:rsidR="00C20A05">
        <w:rPr>
          <w:noProof/>
        </w:rPr>
        <w:t>, in some cases,</w:t>
      </w:r>
      <w:r w:rsidR="00030524">
        <w:rPr>
          <w:noProof/>
        </w:rPr>
        <w:t xml:space="preserve"> </w:t>
      </w:r>
      <w:r w:rsidRPr="00923C5E">
        <w:rPr>
          <w:noProof/>
        </w:rPr>
        <w:t xml:space="preserve">be associated with less favourable market outcomes, particularly in the 700 MHz band. This might indicate that the more </w:t>
      </w:r>
      <w:r w:rsidR="003304C4" w:rsidRPr="00923C5E">
        <w:rPr>
          <w:noProof/>
        </w:rPr>
        <w:t>in</w:t>
      </w:r>
      <w:r w:rsidR="003304C4">
        <w:rPr>
          <w:noProof/>
        </w:rPr>
        <w:t>trusive</w:t>
      </w:r>
      <w:r w:rsidR="003304C4" w:rsidRPr="00923C5E">
        <w:rPr>
          <w:noProof/>
        </w:rPr>
        <w:t xml:space="preserve"> </w:t>
      </w:r>
      <w:r w:rsidRPr="00923C5E">
        <w:rPr>
          <w:noProof/>
        </w:rPr>
        <w:t xml:space="preserve">and less investment-oriented auction and award conditions currently applied in certain Member States may be linked to more limited coverage and quality of service as well as higher consumer prices. At the same time, the patterns observed in this simplified descriptive representation are not conclusive and do not amount to a statistical correlation. Rather, they motivate the </w:t>
      </w:r>
      <w:r w:rsidR="001955EF">
        <w:rPr>
          <w:noProof/>
        </w:rPr>
        <w:t>subsequent</w:t>
      </w:r>
      <w:r w:rsidRPr="00923C5E">
        <w:rPr>
          <w:noProof/>
        </w:rPr>
        <w:t xml:space="preserve"> regression analysis.</w:t>
      </w:r>
      <w:r w:rsidRPr="6BEF19DA">
        <w:rPr>
          <w:rFonts w:asciiTheme="minorHAnsi" w:eastAsiaTheme="minorEastAsia" w:hAnsiTheme="minorHAnsi" w:cstheme="minorBidi"/>
          <w:noProof/>
          <w:vertAlign w:val="superscript"/>
        </w:rPr>
        <w:footnoteReference w:id="89"/>
      </w:r>
      <w:r w:rsidRPr="00923C5E">
        <w:rPr>
          <w:noProof/>
        </w:rPr>
        <w:t xml:space="preserve"> </w:t>
      </w:r>
    </w:p>
    <w:p w14:paraId="24D8EC60" w14:textId="6D47B6E7" w:rsidR="00A363FF" w:rsidRPr="00BE337F" w:rsidRDefault="00A363FF" w:rsidP="00BE337F">
      <w:pPr>
        <w:pStyle w:val="Caption"/>
        <w:keepNext/>
        <w:rPr>
          <w:noProof/>
          <w:color w:val="000000" w:themeColor="text1"/>
        </w:rPr>
      </w:pPr>
      <w:bookmarkStart w:id="85" w:name="_Toc219539769"/>
      <w:r w:rsidRPr="00BE337F">
        <w:rPr>
          <w:noProof/>
          <w:color w:val="000000" w:themeColor="text1"/>
        </w:rPr>
        <w:t xml:space="preserve">Figure </w:t>
      </w:r>
      <w:r w:rsidRPr="00BE337F">
        <w:rPr>
          <w:noProof/>
          <w:color w:val="000000" w:themeColor="text1"/>
        </w:rPr>
        <w:fldChar w:fldCharType="begin"/>
      </w:r>
      <w:r w:rsidRPr="00BE337F">
        <w:rPr>
          <w:noProof/>
          <w:color w:val="000000" w:themeColor="text1"/>
        </w:rPr>
        <w:instrText xml:space="preserve"> SEQ Figure \* ARABIC </w:instrText>
      </w:r>
      <w:r w:rsidRPr="00BE337F">
        <w:rPr>
          <w:noProof/>
          <w:color w:val="000000" w:themeColor="text1"/>
        </w:rPr>
        <w:fldChar w:fldCharType="separate"/>
      </w:r>
      <w:r w:rsidRPr="00BE337F">
        <w:rPr>
          <w:noProof/>
          <w:color w:val="000000" w:themeColor="text1"/>
        </w:rPr>
        <w:t>12</w:t>
      </w:r>
      <w:r w:rsidRPr="00BE337F">
        <w:rPr>
          <w:noProof/>
          <w:color w:val="000000" w:themeColor="text1"/>
        </w:rPr>
        <w:fldChar w:fldCharType="end"/>
      </w:r>
      <w:r w:rsidRPr="00BE337F">
        <w:rPr>
          <w:noProof/>
          <w:color w:val="000000" w:themeColor="text1"/>
        </w:rPr>
        <w:t xml:space="preserve"> Regulatory Design and Market Outcomes in the 3.6 GHz and 700 MHz Bands</w:t>
      </w:r>
      <w:bookmarkEnd w:id="85"/>
    </w:p>
    <w:p w14:paraId="3AF00A44" w14:textId="77777777" w:rsidR="00923C5E" w:rsidRPr="00923C5E" w:rsidRDefault="00923C5E" w:rsidP="00923C5E">
      <w:pPr>
        <w:spacing w:before="240" w:line="240" w:lineRule="auto"/>
        <w:rPr>
          <w:noProof/>
        </w:rPr>
      </w:pPr>
      <w:r w:rsidRPr="00923C5E">
        <w:rPr>
          <w:noProof/>
          <w:lang w:eastAsia="en-GB"/>
        </w:rPr>
        <w:drawing>
          <wp:inline distT="0" distB="0" distL="0" distR="0" wp14:anchorId="2269A65D" wp14:editId="2ED2A987">
            <wp:extent cx="6105681" cy="2304107"/>
            <wp:effectExtent l="0" t="0" r="0" b="1270"/>
            <wp:docPr id="1049603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603479" name="Picture 1"/>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6111673" cy="2306368"/>
                    </a:xfrm>
                    <a:prstGeom prst="rect">
                      <a:avLst/>
                    </a:prstGeom>
                    <a:noFill/>
                  </pic:spPr>
                </pic:pic>
              </a:graphicData>
            </a:graphic>
          </wp:inline>
        </w:drawing>
      </w:r>
    </w:p>
    <w:p w14:paraId="25C6B682" w14:textId="77777777" w:rsidR="00923C5E" w:rsidRPr="00923C5E" w:rsidRDefault="00923C5E" w:rsidP="00923C5E">
      <w:pPr>
        <w:spacing w:before="240" w:line="240" w:lineRule="auto"/>
        <w:rPr>
          <w:noProof/>
        </w:rPr>
      </w:pPr>
      <w:r w:rsidRPr="00923C5E">
        <w:rPr>
          <w:noProof/>
        </w:rPr>
        <w:t xml:space="preserve">The </w:t>
      </w:r>
      <w:r w:rsidRPr="00923C5E">
        <w:rPr>
          <w:b/>
          <w:noProof/>
        </w:rPr>
        <w:t>regression analysis</w:t>
      </w:r>
      <w:r w:rsidRPr="00923C5E">
        <w:rPr>
          <w:noProof/>
          <w:vertAlign w:val="superscript"/>
        </w:rPr>
        <w:footnoteReference w:id="90"/>
      </w:r>
      <w:r w:rsidRPr="00923C5E">
        <w:rPr>
          <w:noProof/>
        </w:rPr>
        <w:t xml:space="preserve"> performed for this impact assessment confirms that some elements of regulatory design are associated with material differences in market outcomes. While non-regulatory factors such as GDP per capita, population density, rural share and competitive structure – which are controlled for in the regression specifications – remain important determinants of investment and performance, several regulatory choices show consistent correlation with both operator incentives and end-user outcomes. Across the different model specifications, spectrum reservations and set-asides emerge as the regulatory variable most consistently associated with weaker outcomes. Higher set-aside and reservation shares tend to coincide with higher auction prices (€/MHz/pop), higher consumer prices, and lower 5G download speeds. Given that regulatory choices may also react to pre-existing market conditions, these results do not establish a causal link. Nonetheless, the observed associations are consistent with the intuition that restricting the effective supply of spectrum increases cost pressure on operators, dampens investment incentives and leads to weaker quality of service and higher consumer prices. While targeted access obligations may lower consumer prices, they also display a marginally significant negative correlation with overall 5G coverage, indicating a potential trade-off between affordability and investment incentives. Spectrum caps, although potentially useful for safeguarding competition when appropriately applied, do not appear to be systematically associated with differences in market outcomes. Coverage obligations also display little explanatory capacity for the observed variation in market outcomes, which, however, may reflect the difficulty of comparing such obligations across Member States given their diverse design, geographic context and implementation conditions. </w:t>
      </w:r>
    </w:p>
    <w:p w14:paraId="535470F7" w14:textId="77777777" w:rsidR="00923C5E" w:rsidRPr="00923C5E" w:rsidRDefault="00923C5E" w:rsidP="00923C5E">
      <w:pPr>
        <w:spacing w:before="240" w:line="240" w:lineRule="auto"/>
        <w:rPr>
          <w:noProof/>
        </w:rPr>
      </w:pPr>
      <w:r w:rsidRPr="00923C5E">
        <w:rPr>
          <w:noProof/>
        </w:rPr>
        <w:t>The results suggest that certain auction and award conditions may provide insufficient incentives for investment in high quality mobile networks, as reflected in weaker outcomes in terms of coverage, consumer prices and quality of service, particularly where spectrum availability is restricted, or obligations reduce operational flexibility.</w:t>
      </w:r>
      <w:r w:rsidRPr="00923C5E">
        <w:rPr>
          <w:noProof/>
          <w:vertAlign w:val="superscript"/>
        </w:rPr>
        <w:footnoteReference w:id="91"/>
      </w:r>
      <w:r w:rsidRPr="00923C5E">
        <w:rPr>
          <w:noProof/>
        </w:rPr>
        <w:t xml:space="preserve"> Our findings broadly align with recent empirical literature. Jung and Katz (2022) show that flexible and predictable spectrum policies, such as secondary markets and sharing frameworks, support higher investment, improved coverage and lower prices. Bahia and Castells (2022) link greater spectrum availability to higher coverage and faster download speeds. Zagdanski, Castells and Bahia (2025) find that higher spectrum prices correlate with weaker coverage and lower speeds. Sridhar and Prasad (2021) demonstrate that restricted spectrum supply and high reserve prices tend to elevate spectrum prices.</w:t>
      </w:r>
    </w:p>
    <w:p w14:paraId="12782E84" w14:textId="46AA0891" w:rsidR="00040081" w:rsidRDefault="00F10CD6" w:rsidP="00053713">
      <w:pPr>
        <w:spacing w:before="240"/>
        <w:rPr>
          <w:noProof/>
        </w:rPr>
      </w:pPr>
      <w:r w:rsidRPr="00602574">
        <w:rPr>
          <w:noProof/>
        </w:rPr>
        <w:t>The above driver is supported by the analysis in the evaluation report as summarised in Table 9.</w:t>
      </w:r>
    </w:p>
    <w:p w14:paraId="279D2657" w14:textId="6D25D960" w:rsidR="00040081" w:rsidRPr="003D0B34" w:rsidRDefault="00040081" w:rsidP="00040081">
      <w:pPr>
        <w:keepNext/>
        <w:keepLines/>
        <w:spacing w:before="240" w:after="120"/>
        <w:rPr>
          <w:i/>
          <w:noProof/>
          <w:u w:val="single"/>
        </w:rPr>
      </w:pPr>
      <w:r w:rsidRPr="003D0B34">
        <w:rPr>
          <w:i/>
          <w:noProof/>
          <w:u w:val="single"/>
        </w:rPr>
        <w:t xml:space="preserve">Table </w:t>
      </w:r>
      <w:r w:rsidR="00BD664E">
        <w:rPr>
          <w:i/>
          <w:noProof/>
          <w:u w:val="single"/>
        </w:rPr>
        <w:t>8</w:t>
      </w:r>
      <w:r w:rsidRPr="003D0B34">
        <w:rPr>
          <w:i/>
          <w:noProof/>
          <w:u w:val="single"/>
        </w:rPr>
        <w:t>: Evaluation report findings on limited predictability</w:t>
      </w:r>
      <w:r w:rsidR="000E2CE9">
        <w:rPr>
          <w:i/>
          <w:noProof/>
          <w:u w:val="single"/>
        </w:rPr>
        <w:t>, fragmentation, lack of Single Market</w:t>
      </w:r>
    </w:p>
    <w:tbl>
      <w:tblPr>
        <w:tblStyle w:val="TableGrid"/>
        <w:tblW w:w="96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5"/>
        <w:gridCol w:w="2415"/>
      </w:tblGrid>
      <w:tr w:rsidR="0068199E" w:rsidRPr="00602574" w14:paraId="47511D1D" w14:textId="77777777" w:rsidTr="00BE337F">
        <w:trPr>
          <w:trHeight w:val="416"/>
          <w:tblHeader/>
        </w:trPr>
        <w:tc>
          <w:tcPr>
            <w:tcW w:w="7333" w:type="dxa"/>
            <w:tcBorders>
              <w:bottom w:val="single" w:sz="4" w:space="0" w:color="auto"/>
            </w:tcBorders>
            <w:tcMar>
              <w:left w:w="57" w:type="dxa"/>
              <w:right w:w="57" w:type="dxa"/>
            </w:tcMar>
          </w:tcPr>
          <w:p w14:paraId="06FB0CBA" w14:textId="77777777" w:rsidR="00F77F43" w:rsidRPr="00602574" w:rsidRDefault="00F77F43">
            <w:pPr>
              <w:pStyle w:val="Text1"/>
              <w:spacing w:after="120"/>
              <w:ind w:left="0" w:right="141"/>
              <w:jc w:val="center"/>
              <w:rPr>
                <w:rFonts w:eastAsia="EYInterstate Light"/>
                <w:noProof/>
                <w:sz w:val="20"/>
              </w:rPr>
            </w:pPr>
            <w:r w:rsidRPr="00602574">
              <w:rPr>
                <w:rFonts w:eastAsia="EYInterstate Light"/>
                <w:noProof/>
                <w:sz w:val="20"/>
              </w:rPr>
              <w:t>EVALUATION FINDINGS</w:t>
            </w:r>
          </w:p>
        </w:tc>
        <w:tc>
          <w:tcPr>
            <w:tcW w:w="2277" w:type="dxa"/>
            <w:tcBorders>
              <w:bottom w:val="single" w:sz="4" w:space="0" w:color="auto"/>
            </w:tcBorders>
            <w:tcMar>
              <w:left w:w="57" w:type="dxa"/>
              <w:right w:w="57" w:type="dxa"/>
            </w:tcMar>
          </w:tcPr>
          <w:p w14:paraId="6823FA95" w14:textId="77777777" w:rsidR="00F77F43" w:rsidRPr="00602574" w:rsidRDefault="00F77F43">
            <w:pPr>
              <w:pStyle w:val="Heading6"/>
              <w:spacing w:before="0" w:after="120"/>
              <w:ind w:left="150"/>
              <w:jc w:val="left"/>
              <w:outlineLvl w:val="5"/>
              <w:rPr>
                <w:rFonts w:ascii="Times New Roman" w:hAnsi="Times New Roman" w:cs="Times New Roman"/>
                <w:noProof/>
                <w:color w:val="auto"/>
                <w:sz w:val="20"/>
                <w:szCs w:val="20"/>
                <w:lang w:val="en-GB"/>
              </w:rPr>
            </w:pPr>
            <w:r w:rsidRPr="00602574">
              <w:rPr>
                <w:rFonts w:ascii="Times New Roman" w:hAnsi="Times New Roman" w:cs="Times New Roman"/>
                <w:noProof/>
                <w:color w:val="auto"/>
                <w:sz w:val="20"/>
                <w:szCs w:val="20"/>
                <w:lang w:val="en-GB"/>
              </w:rPr>
              <w:t>ANNEX SECTIONS</w:t>
            </w:r>
          </w:p>
        </w:tc>
      </w:tr>
      <w:tr w:rsidR="0068199E" w:rsidRPr="00602574" w14:paraId="2A562EC0" w14:textId="77777777" w:rsidTr="00BE337F">
        <w:trPr>
          <w:trHeight w:val="1037"/>
        </w:trPr>
        <w:tc>
          <w:tcPr>
            <w:tcW w:w="7333" w:type="dxa"/>
            <w:tcBorders>
              <w:bottom w:val="single" w:sz="4" w:space="0" w:color="auto"/>
            </w:tcBorders>
            <w:tcMar>
              <w:left w:w="57" w:type="dxa"/>
              <w:right w:w="57" w:type="dxa"/>
            </w:tcMar>
          </w:tcPr>
          <w:p w14:paraId="0DD6CC76" w14:textId="77777777" w:rsidR="00F77F43" w:rsidRPr="0057287A" w:rsidRDefault="00F77F43">
            <w:pPr>
              <w:pStyle w:val="Text1"/>
              <w:spacing w:after="120"/>
              <w:ind w:left="0" w:right="141"/>
              <w:rPr>
                <w:rFonts w:eastAsia="EYInterstate Light"/>
                <w:b/>
                <w:bCs/>
                <w:noProof/>
                <w:sz w:val="20"/>
              </w:rPr>
            </w:pPr>
            <w:r w:rsidRPr="0057287A">
              <w:rPr>
                <w:rFonts w:eastAsia="EYInterstate Light"/>
                <w:b/>
                <w:bCs/>
                <w:noProof/>
                <w:sz w:val="20"/>
              </w:rPr>
              <w:t>Limited Predictability</w:t>
            </w:r>
          </w:p>
          <w:p w14:paraId="046E8611" w14:textId="77777777" w:rsidR="00F77F43" w:rsidRPr="00602574" w:rsidRDefault="00F77F43">
            <w:pPr>
              <w:pStyle w:val="Text1"/>
              <w:spacing w:after="120"/>
              <w:ind w:left="0" w:right="141"/>
              <w:rPr>
                <w:rFonts w:eastAsia="EYInterstate Light"/>
                <w:noProof/>
                <w:sz w:val="20"/>
              </w:rPr>
            </w:pPr>
            <w:r w:rsidRPr="00602574">
              <w:rPr>
                <w:rFonts w:eastAsia="EYInterstate Light"/>
                <w:noProof/>
                <w:sz w:val="20"/>
              </w:rPr>
              <w:t xml:space="preserve">EECC's goal of ensuring 20-year predictability and enhancing investment certainty and business efficiency by supporting long-term planning has been only partially met </w:t>
            </w:r>
          </w:p>
          <w:p w14:paraId="1F19DA53" w14:textId="77777777" w:rsidR="00F77F43" w:rsidRPr="00602574" w:rsidRDefault="00F77F43">
            <w:pPr>
              <w:pStyle w:val="Text1"/>
              <w:spacing w:after="120"/>
              <w:ind w:left="0" w:right="141"/>
              <w:rPr>
                <w:rFonts w:eastAsia="EYInterstate Light"/>
                <w:noProof/>
                <w:sz w:val="20"/>
              </w:rPr>
            </w:pPr>
            <w:r w:rsidRPr="00602574">
              <w:rPr>
                <w:rFonts w:eastAsia="EYInterstate Light"/>
                <w:noProof/>
                <w:sz w:val="20"/>
              </w:rPr>
              <w:t>Insufficient licence duration and insufficient guarantees for renewals</w:t>
            </w:r>
          </w:p>
          <w:p w14:paraId="35237E5D" w14:textId="77777777" w:rsidR="00546F9A" w:rsidRDefault="00F77F43">
            <w:pPr>
              <w:pStyle w:val="Text1"/>
              <w:spacing w:after="120"/>
              <w:ind w:left="0" w:right="141"/>
              <w:rPr>
                <w:rFonts w:eastAsia="EYInterstate Light"/>
                <w:noProof/>
                <w:sz w:val="20"/>
              </w:rPr>
            </w:pPr>
            <w:r w:rsidRPr="00602574">
              <w:rPr>
                <w:rFonts w:eastAsia="EYInterstate Light"/>
                <w:noProof/>
                <w:sz w:val="20"/>
              </w:rPr>
              <w:t>Increased spectrum needs and need to participate to periodic spectrum re-auctioning under uncoordinated conditions</w:t>
            </w:r>
            <w:r w:rsidR="00546F9A">
              <w:rPr>
                <w:rFonts w:eastAsia="EYInterstate Light"/>
                <w:noProof/>
                <w:sz w:val="20"/>
              </w:rPr>
              <w:t>.</w:t>
            </w:r>
          </w:p>
          <w:p w14:paraId="3DD952B5" w14:textId="2A95D4D4" w:rsidR="00F77F43" w:rsidRPr="0060773D" w:rsidRDefault="00F77F43" w:rsidP="0060773D">
            <w:pPr>
              <w:rPr>
                <w:noProof/>
                <w:sz w:val="20"/>
                <w:szCs w:val="20"/>
              </w:rPr>
            </w:pPr>
          </w:p>
        </w:tc>
        <w:tc>
          <w:tcPr>
            <w:tcW w:w="2277" w:type="dxa"/>
            <w:tcBorders>
              <w:bottom w:val="single" w:sz="4" w:space="0" w:color="auto"/>
            </w:tcBorders>
            <w:tcMar>
              <w:left w:w="57" w:type="dxa"/>
              <w:right w:w="57" w:type="dxa"/>
            </w:tcMar>
          </w:tcPr>
          <w:p w14:paraId="5546B834" w14:textId="77777777" w:rsidR="00F77F43" w:rsidRPr="00602574" w:rsidRDefault="00F77F43">
            <w:pPr>
              <w:pStyle w:val="Heading6"/>
              <w:spacing w:before="0" w:after="120"/>
              <w:ind w:left="150"/>
              <w:jc w:val="left"/>
              <w:outlineLvl w:val="5"/>
              <w:rPr>
                <w:rFonts w:ascii="Times New Roman" w:hAnsi="Times New Roman" w:cs="Times New Roman"/>
                <w:noProof/>
                <w:color w:val="auto"/>
                <w:sz w:val="20"/>
                <w:szCs w:val="20"/>
                <w:lang w:val="en-GB"/>
              </w:rPr>
            </w:pPr>
          </w:p>
          <w:p w14:paraId="1515838D" w14:textId="2034A76D" w:rsidR="00F77F43" w:rsidRPr="006E5D63" w:rsidRDefault="00F77F43">
            <w:pPr>
              <w:pStyle w:val="Heading6"/>
              <w:spacing w:before="0" w:after="120"/>
              <w:ind w:left="150"/>
              <w:jc w:val="left"/>
              <w:outlineLvl w:val="5"/>
              <w:rPr>
                <w:noProof/>
                <w:sz w:val="20"/>
                <w:szCs w:val="20"/>
              </w:rPr>
            </w:pPr>
            <w:r w:rsidRPr="0057287A">
              <w:rPr>
                <w:rFonts w:ascii="Times New Roman" w:hAnsi="Times New Roman" w:cs="Times New Roman"/>
                <w:noProof/>
                <w:color w:val="auto"/>
                <w:kern w:val="2"/>
                <w:sz w:val="20"/>
                <w:szCs w:val="20"/>
                <w:lang w:val="en-GB"/>
              </w:rPr>
              <w:t xml:space="preserve">See Annex 11, </w:t>
            </w:r>
            <w:r w:rsidR="00D03C6C">
              <w:rPr>
                <w:rFonts w:ascii="Times New Roman" w:hAnsi="Times New Roman" w:cs="Times New Roman"/>
                <w:noProof/>
                <w:color w:val="auto"/>
                <w:kern w:val="2"/>
                <w:sz w:val="20"/>
                <w:szCs w:val="20"/>
                <w:lang w:val="en-GB"/>
              </w:rPr>
              <w:t>s</w:t>
            </w:r>
            <w:r w:rsidR="00D03C6C" w:rsidRPr="00BE337F">
              <w:rPr>
                <w:rFonts w:ascii="Times New Roman" w:hAnsi="Times New Roman" w:cs="Times New Roman"/>
                <w:noProof/>
                <w:color w:val="auto"/>
                <w:kern w:val="2"/>
                <w:sz w:val="20"/>
                <w:szCs w:val="20"/>
                <w:lang w:val="en-GB"/>
              </w:rPr>
              <w:t xml:space="preserve">ection </w:t>
            </w:r>
            <w:r w:rsidRPr="0057287A">
              <w:rPr>
                <w:rFonts w:ascii="Times New Roman" w:hAnsi="Times New Roman" w:cs="Times New Roman"/>
                <w:noProof/>
                <w:color w:val="auto"/>
                <w:kern w:val="2"/>
                <w:sz w:val="20"/>
                <w:szCs w:val="20"/>
                <w:lang w:val="en-GB"/>
              </w:rPr>
              <w:t>5.4.4. Conditions of assignment (duration, coverage, price)</w:t>
            </w:r>
          </w:p>
          <w:p w14:paraId="756477D5" w14:textId="77777777" w:rsidR="00F77F43" w:rsidRPr="00602574" w:rsidRDefault="00F77F43">
            <w:pPr>
              <w:pStyle w:val="Heading6"/>
              <w:spacing w:before="0" w:after="120"/>
              <w:ind w:left="150"/>
              <w:jc w:val="left"/>
              <w:outlineLvl w:val="5"/>
              <w:rPr>
                <w:rFonts w:ascii="Times New Roman" w:hAnsi="Times New Roman" w:cs="Times New Roman"/>
                <w:noProof/>
                <w:color w:val="auto"/>
                <w:sz w:val="20"/>
                <w:szCs w:val="20"/>
                <w:lang w:val="en-GB"/>
              </w:rPr>
            </w:pPr>
          </w:p>
        </w:tc>
      </w:tr>
      <w:tr w:rsidR="0068199E" w:rsidRPr="00602574" w14:paraId="1321982C" w14:textId="77777777" w:rsidTr="00BE337F">
        <w:trPr>
          <w:trHeight w:val="1037"/>
        </w:trPr>
        <w:tc>
          <w:tcPr>
            <w:tcW w:w="7333" w:type="dxa"/>
            <w:tcBorders>
              <w:bottom w:val="single" w:sz="4" w:space="0" w:color="auto"/>
            </w:tcBorders>
            <w:tcMar>
              <w:left w:w="57" w:type="dxa"/>
              <w:right w:w="57" w:type="dxa"/>
            </w:tcMar>
          </w:tcPr>
          <w:p w14:paraId="474C45B4" w14:textId="77777777" w:rsidR="00F77F43" w:rsidRPr="0057287A" w:rsidRDefault="00F77F43">
            <w:pPr>
              <w:pStyle w:val="Text1"/>
              <w:spacing w:after="120"/>
              <w:ind w:left="0" w:right="141"/>
              <w:rPr>
                <w:rFonts w:eastAsia="EYInterstate Light"/>
                <w:b/>
                <w:bCs/>
                <w:noProof/>
                <w:sz w:val="20"/>
              </w:rPr>
            </w:pPr>
            <w:r w:rsidRPr="0057287A">
              <w:rPr>
                <w:rFonts w:eastAsia="EYInterstate Light"/>
                <w:b/>
                <w:bCs/>
                <w:noProof/>
                <w:sz w:val="20"/>
              </w:rPr>
              <w:t>Significant delays in the assignment of all three 5G pioneer bands</w:t>
            </w:r>
          </w:p>
          <w:p w14:paraId="541AEEF2" w14:textId="77777777" w:rsidR="00F77F43" w:rsidRPr="00602574" w:rsidRDefault="00F77F43">
            <w:pPr>
              <w:pStyle w:val="Text1"/>
              <w:numPr>
                <w:ilvl w:val="0"/>
                <w:numId w:val="5"/>
              </w:numPr>
              <w:spacing w:after="120"/>
              <w:ind w:left="714" w:right="142" w:hanging="357"/>
              <w:contextualSpacing/>
              <w:rPr>
                <w:noProof/>
                <w:sz w:val="20"/>
              </w:rPr>
            </w:pPr>
            <w:r w:rsidRPr="00602574">
              <w:rPr>
                <w:rFonts w:eastAsia="EYInterstate Light"/>
                <w:noProof/>
                <w:sz w:val="20"/>
              </w:rPr>
              <w:t>authorisation of 5G pioneer spectrum across the EU spanning over 10 years</w:t>
            </w:r>
          </w:p>
          <w:p w14:paraId="284D8A9D" w14:textId="77777777" w:rsidR="00F77F43" w:rsidRPr="00602574" w:rsidRDefault="00F77F43">
            <w:pPr>
              <w:pStyle w:val="Text1"/>
              <w:numPr>
                <w:ilvl w:val="0"/>
                <w:numId w:val="5"/>
              </w:numPr>
              <w:spacing w:after="120"/>
              <w:ind w:left="714" w:right="142" w:hanging="357"/>
              <w:contextualSpacing/>
              <w:rPr>
                <w:rFonts w:eastAsia="EYInterstate Light"/>
                <w:noProof/>
                <w:sz w:val="20"/>
              </w:rPr>
            </w:pPr>
            <w:r w:rsidRPr="00602574">
              <w:rPr>
                <w:rFonts w:eastAsia="EYInterstate Light"/>
                <w:noProof/>
                <w:sz w:val="20"/>
              </w:rPr>
              <w:t xml:space="preserve">about half of MSs has not met the overall deadline of 31 December 2020 </w:t>
            </w:r>
          </w:p>
          <w:p w14:paraId="41CB7490" w14:textId="77777777" w:rsidR="00F77F43" w:rsidRPr="00602574" w:rsidRDefault="00F77F43">
            <w:pPr>
              <w:pStyle w:val="Text1"/>
              <w:numPr>
                <w:ilvl w:val="0"/>
                <w:numId w:val="5"/>
              </w:numPr>
              <w:spacing w:after="120"/>
              <w:ind w:right="141"/>
              <w:rPr>
                <w:noProof/>
                <w:sz w:val="20"/>
              </w:rPr>
            </w:pPr>
            <w:r w:rsidRPr="00602574">
              <w:rPr>
                <w:rFonts w:eastAsia="EYInterstate Light"/>
                <w:noProof/>
                <w:sz w:val="20"/>
              </w:rPr>
              <w:t>correlation exists between time of 5G spectrum assignment and 5G deployment and 5G population coverage</w:t>
            </w:r>
          </w:p>
        </w:tc>
        <w:tc>
          <w:tcPr>
            <w:tcW w:w="2277" w:type="dxa"/>
            <w:tcBorders>
              <w:bottom w:val="single" w:sz="4" w:space="0" w:color="auto"/>
            </w:tcBorders>
            <w:tcMar>
              <w:left w:w="57" w:type="dxa"/>
              <w:right w:w="57" w:type="dxa"/>
            </w:tcMar>
          </w:tcPr>
          <w:p w14:paraId="354395C0" w14:textId="77777777" w:rsidR="00F77F43" w:rsidRPr="00602574" w:rsidRDefault="00F77F43">
            <w:pPr>
              <w:pStyle w:val="Heading6"/>
              <w:spacing w:before="0" w:after="120"/>
              <w:ind w:left="150"/>
              <w:jc w:val="left"/>
              <w:outlineLvl w:val="5"/>
              <w:rPr>
                <w:rFonts w:ascii="Times New Roman" w:hAnsi="Times New Roman" w:cs="Times New Roman"/>
                <w:noProof/>
                <w:color w:val="auto"/>
                <w:sz w:val="20"/>
                <w:szCs w:val="20"/>
                <w:lang w:val="en-GB"/>
              </w:rPr>
            </w:pPr>
          </w:p>
          <w:p w14:paraId="7CD4ADA1" w14:textId="7889E847" w:rsidR="00F77F43" w:rsidRPr="00602574" w:rsidRDefault="00F77F43">
            <w:pPr>
              <w:pStyle w:val="Heading6"/>
              <w:spacing w:before="0" w:after="120"/>
              <w:ind w:left="150"/>
              <w:jc w:val="left"/>
              <w:outlineLvl w:val="5"/>
              <w:rPr>
                <w:rFonts w:ascii="Times New Roman" w:hAnsi="Times New Roman" w:cs="Times New Roman"/>
                <w:noProof/>
                <w:color w:val="auto"/>
                <w:sz w:val="20"/>
                <w:szCs w:val="20"/>
                <w:lang w:val="en-GB"/>
              </w:rPr>
            </w:pPr>
            <w:r w:rsidRPr="00602574">
              <w:rPr>
                <w:rFonts w:ascii="Times New Roman" w:hAnsi="Times New Roman" w:cs="Times New Roman"/>
                <w:noProof/>
                <w:color w:val="auto"/>
                <w:sz w:val="20"/>
                <w:szCs w:val="20"/>
                <w:lang w:val="en-GB"/>
              </w:rPr>
              <w:t>See Annex 11</w:t>
            </w:r>
            <w:r w:rsidR="00D03C6C">
              <w:rPr>
                <w:rFonts w:ascii="Times New Roman" w:hAnsi="Times New Roman" w:cs="Times New Roman"/>
                <w:noProof/>
                <w:color w:val="auto"/>
                <w:sz w:val="20"/>
                <w:szCs w:val="20"/>
                <w:lang w:val="en-GB"/>
              </w:rPr>
              <w:t>,</w:t>
            </w:r>
            <w:r w:rsidRPr="00602574">
              <w:rPr>
                <w:rFonts w:ascii="Times New Roman" w:hAnsi="Times New Roman" w:cs="Times New Roman"/>
                <w:noProof/>
                <w:color w:val="auto"/>
                <w:sz w:val="20"/>
                <w:szCs w:val="20"/>
                <w:lang w:val="en-GB"/>
              </w:rPr>
              <w:t xml:space="preserve"> </w:t>
            </w:r>
            <w:r w:rsidR="00D03C6C">
              <w:rPr>
                <w:rFonts w:ascii="Times New Roman" w:hAnsi="Times New Roman" w:cs="Times New Roman"/>
                <w:noProof/>
                <w:color w:val="auto"/>
                <w:sz w:val="20"/>
                <w:szCs w:val="20"/>
                <w:lang w:val="en-GB"/>
              </w:rPr>
              <w:t>s</w:t>
            </w:r>
            <w:r w:rsidRPr="00602574">
              <w:rPr>
                <w:rFonts w:ascii="Times New Roman" w:hAnsi="Times New Roman" w:cs="Times New Roman"/>
                <w:noProof/>
                <w:color w:val="auto"/>
                <w:sz w:val="20"/>
                <w:szCs w:val="20"/>
                <w:lang w:val="en-GB"/>
              </w:rPr>
              <w:t>ection</w:t>
            </w:r>
            <w:r w:rsidR="00D03C6C">
              <w:rPr>
                <w:rFonts w:ascii="Times New Roman" w:hAnsi="Times New Roman" w:cs="Times New Roman"/>
                <w:noProof/>
                <w:color w:val="auto"/>
                <w:sz w:val="20"/>
                <w:szCs w:val="20"/>
                <w:lang w:val="en-GB"/>
              </w:rPr>
              <w:t> </w:t>
            </w:r>
            <w:r w:rsidRPr="00602574">
              <w:rPr>
                <w:rFonts w:ascii="Times New Roman" w:hAnsi="Times New Roman" w:cs="Times New Roman"/>
                <w:noProof/>
                <w:color w:val="auto"/>
                <w:sz w:val="20"/>
                <w:szCs w:val="20"/>
                <w:lang w:val="en-GB"/>
              </w:rPr>
              <w:t>5.4.2. Delays in 5G pioneer band assignment</w:t>
            </w:r>
          </w:p>
          <w:p w14:paraId="0615F340" w14:textId="77777777" w:rsidR="00F77F43" w:rsidRPr="00602574" w:rsidRDefault="00F77F43">
            <w:pPr>
              <w:pStyle w:val="Text1"/>
              <w:spacing w:after="120"/>
              <w:ind w:left="150"/>
              <w:jc w:val="left"/>
              <w:rPr>
                <w:noProof/>
                <w:sz w:val="20"/>
              </w:rPr>
            </w:pPr>
          </w:p>
        </w:tc>
      </w:tr>
      <w:tr w:rsidR="0068199E" w:rsidRPr="00602574" w14:paraId="3A6B84A8" w14:textId="77777777" w:rsidTr="00BE337F">
        <w:tc>
          <w:tcPr>
            <w:tcW w:w="7333" w:type="dxa"/>
            <w:tcBorders>
              <w:top w:val="single" w:sz="4" w:space="0" w:color="auto"/>
              <w:left w:val="single" w:sz="4" w:space="0" w:color="auto"/>
              <w:bottom w:val="single" w:sz="4" w:space="0" w:color="auto"/>
              <w:right w:val="single" w:sz="4" w:space="0" w:color="auto"/>
            </w:tcBorders>
            <w:tcMar>
              <w:left w:w="57" w:type="dxa"/>
              <w:right w:w="57" w:type="dxa"/>
            </w:tcMar>
          </w:tcPr>
          <w:p w14:paraId="0AD79320" w14:textId="77777777" w:rsidR="00F77F43" w:rsidRPr="00602574" w:rsidRDefault="00F77F43">
            <w:pPr>
              <w:spacing w:after="120"/>
              <w:rPr>
                <w:noProof/>
                <w:sz w:val="20"/>
                <w:szCs w:val="20"/>
              </w:rPr>
            </w:pPr>
            <w:r w:rsidRPr="0060773D">
              <w:rPr>
                <w:b/>
                <w:bCs/>
                <w:noProof/>
                <w:sz w:val="20"/>
                <w:szCs w:val="20"/>
              </w:rPr>
              <w:t>Fragmented authorisation conditions across MS</w:t>
            </w:r>
            <w:r w:rsidRPr="00602574">
              <w:rPr>
                <w:noProof/>
                <w:sz w:val="20"/>
                <w:szCs w:val="20"/>
              </w:rPr>
              <w:t>, however auction designs aligning spectrum awards with long-term infrastructure goals more effective in promoting rapid deployment.</w:t>
            </w:r>
          </w:p>
          <w:p w14:paraId="0B33DC83" w14:textId="77777777" w:rsidR="00F77F43" w:rsidRPr="00602574" w:rsidRDefault="00F77F43">
            <w:pPr>
              <w:spacing w:after="120"/>
              <w:rPr>
                <w:noProof/>
                <w:sz w:val="20"/>
                <w:szCs w:val="20"/>
              </w:rPr>
            </w:pPr>
            <w:r w:rsidRPr="00602574">
              <w:rPr>
                <w:noProof/>
                <w:sz w:val="20"/>
                <w:szCs w:val="20"/>
              </w:rPr>
              <w:t>Market shaping measures leading to occasionally very high spectrum prices hampering operators’ investment capacity.</w:t>
            </w:r>
          </w:p>
          <w:p w14:paraId="5F9F55AB" w14:textId="77777777" w:rsidR="00F77F43" w:rsidRPr="00602574" w:rsidRDefault="00F77F43">
            <w:pPr>
              <w:spacing w:after="120"/>
              <w:rPr>
                <w:noProof/>
                <w:sz w:val="20"/>
                <w:szCs w:val="20"/>
              </w:rPr>
            </w:pPr>
            <w:r w:rsidRPr="00602574">
              <w:rPr>
                <w:noProof/>
                <w:sz w:val="20"/>
                <w:szCs w:val="20"/>
              </w:rPr>
              <w:t>Reserve prices, leading to occasionally very high spectrum prices.</w:t>
            </w:r>
          </w:p>
          <w:p w14:paraId="7EA67748" w14:textId="77777777" w:rsidR="00F77F43" w:rsidRPr="00602574" w:rsidRDefault="00F77F43">
            <w:pPr>
              <w:spacing w:after="120"/>
              <w:rPr>
                <w:rFonts w:eastAsia="EYInterstate Light"/>
                <w:noProof/>
                <w:sz w:val="20"/>
                <w:szCs w:val="20"/>
              </w:rPr>
            </w:pPr>
            <w:r w:rsidRPr="00602574">
              <w:rPr>
                <w:noProof/>
                <w:sz w:val="20"/>
                <w:szCs w:val="20"/>
              </w:rPr>
              <w:t>Cost of spectrum: Average spectrum prices (€/MHz/pop) for 5G band (700 MHz, 3.3–3.8 GHz) in MS show a significant discrepancy in prices per MHz per population</w:t>
            </w:r>
            <w:r w:rsidRPr="00602574">
              <w:rPr>
                <w:rFonts w:eastAsia="EYInterstate Light"/>
                <w:noProof/>
                <w:sz w:val="20"/>
                <w:szCs w:val="20"/>
              </w:rPr>
              <w:t>:</w:t>
            </w:r>
          </w:p>
          <w:p w14:paraId="533AF027" w14:textId="5E6017A7" w:rsidR="00F77F43" w:rsidRPr="00602574" w:rsidRDefault="00F77F43" w:rsidP="0060773D">
            <w:pPr>
              <w:rPr>
                <w:noProof/>
                <w:sz w:val="20"/>
                <w:szCs w:val="20"/>
              </w:rPr>
            </w:pPr>
            <w:r w:rsidRPr="00602574">
              <w:rPr>
                <w:rFonts w:eastAsia="EYInterstate Light"/>
                <w:noProof/>
                <w:sz w:val="20"/>
                <w:szCs w:val="20"/>
              </w:rPr>
              <w:t xml:space="preserve">For 700 MHz, from €0.08 </w:t>
            </w:r>
            <w:r w:rsidRPr="00602574">
              <w:rPr>
                <w:noProof/>
                <w:sz w:val="20"/>
                <w:szCs w:val="20"/>
              </w:rPr>
              <w:t xml:space="preserve">(€/MHz/pop) </w:t>
            </w:r>
            <w:r w:rsidRPr="00602574">
              <w:rPr>
                <w:rFonts w:eastAsia="EYInterstate Light"/>
                <w:noProof/>
                <w:sz w:val="20"/>
                <w:szCs w:val="20"/>
              </w:rPr>
              <w:t xml:space="preserve">(Croatia, Estonia) to over €0.69 (France). For mid-band (3.3–3.8 GHz), prices vary widely, from under €0.01 (Romania, Bulgaria) to €0.38 </w:t>
            </w:r>
            <w:r w:rsidRPr="00602574">
              <w:rPr>
                <w:noProof/>
                <w:sz w:val="20"/>
                <w:szCs w:val="20"/>
              </w:rPr>
              <w:t xml:space="preserve">(€/MHz/pop) </w:t>
            </w:r>
            <w:r w:rsidRPr="00602574">
              <w:rPr>
                <w:rFonts w:eastAsia="EYInterstate Light"/>
                <w:noProof/>
                <w:sz w:val="20"/>
                <w:szCs w:val="20"/>
              </w:rPr>
              <w:t>in Italy, highlighting differing national auction strategies and demand levels.</w:t>
            </w:r>
            <w:r w:rsidR="00D2733D" w:rsidRPr="00F87B9B">
              <w:rPr>
                <w:noProof/>
                <w:sz w:val="20"/>
                <w:szCs w:val="20"/>
              </w:rPr>
              <w:t xml:space="preserve"> </w:t>
            </w:r>
          </w:p>
        </w:tc>
        <w:tc>
          <w:tcPr>
            <w:tcW w:w="2277" w:type="dxa"/>
            <w:tcBorders>
              <w:top w:val="single" w:sz="4" w:space="0" w:color="auto"/>
              <w:left w:val="single" w:sz="4" w:space="0" w:color="auto"/>
              <w:bottom w:val="single" w:sz="4" w:space="0" w:color="auto"/>
              <w:right w:val="single" w:sz="4" w:space="0" w:color="auto"/>
            </w:tcBorders>
            <w:tcMar>
              <w:left w:w="57" w:type="dxa"/>
              <w:right w:w="57" w:type="dxa"/>
            </w:tcMar>
          </w:tcPr>
          <w:p w14:paraId="171BF0B2" w14:textId="21E2DC8D" w:rsidR="00F77F43" w:rsidRPr="0057287A" w:rsidRDefault="00F77F43">
            <w:pPr>
              <w:spacing w:after="120"/>
              <w:rPr>
                <w:rFonts w:eastAsiaTheme="majorEastAsia"/>
                <w:noProof/>
                <w:kern w:val="2"/>
                <w:sz w:val="20"/>
                <w:szCs w:val="20"/>
              </w:rPr>
            </w:pPr>
            <w:r w:rsidRPr="0057287A">
              <w:rPr>
                <w:rFonts w:eastAsiaTheme="majorEastAsia"/>
                <w:noProof/>
                <w:kern w:val="2"/>
                <w:sz w:val="20"/>
                <w:szCs w:val="20"/>
              </w:rPr>
              <w:t>See Annex 11</w:t>
            </w:r>
            <w:r w:rsidR="00BD3526">
              <w:rPr>
                <w:rFonts w:eastAsiaTheme="majorEastAsia"/>
                <w:noProof/>
                <w:kern w:val="2"/>
                <w:sz w:val="20"/>
                <w:szCs w:val="20"/>
              </w:rPr>
              <w:t>, section</w:t>
            </w:r>
            <w:r w:rsidRPr="0057287A">
              <w:rPr>
                <w:rFonts w:eastAsiaTheme="majorEastAsia"/>
                <w:noProof/>
                <w:kern w:val="2"/>
                <w:sz w:val="20"/>
                <w:szCs w:val="20"/>
              </w:rPr>
              <w:t xml:space="preserve"> 5.4.</w:t>
            </w:r>
            <w:r w:rsidRPr="0057287A" w:rsidDel="00B02F7C">
              <w:rPr>
                <w:rFonts w:eastAsiaTheme="majorEastAsia"/>
                <w:noProof/>
                <w:kern w:val="2"/>
                <w:sz w:val="20"/>
                <w:szCs w:val="20"/>
              </w:rPr>
              <w:t>7</w:t>
            </w:r>
            <w:r w:rsidRPr="0057287A">
              <w:rPr>
                <w:rFonts w:eastAsiaTheme="majorEastAsia"/>
                <w:noProof/>
                <w:kern w:val="2"/>
                <w:sz w:val="20"/>
                <w:szCs w:val="20"/>
              </w:rPr>
              <w:t>. Market shaping measures</w:t>
            </w:r>
          </w:p>
          <w:p w14:paraId="25ED9F0D" w14:textId="73CE1E9E" w:rsidR="00F77F43" w:rsidRPr="0057287A" w:rsidRDefault="00F77F43">
            <w:pPr>
              <w:spacing w:after="120"/>
              <w:rPr>
                <w:rFonts w:eastAsiaTheme="majorEastAsia"/>
                <w:noProof/>
                <w:kern w:val="2"/>
                <w:sz w:val="20"/>
                <w:szCs w:val="20"/>
              </w:rPr>
            </w:pPr>
            <w:r w:rsidRPr="0057287A">
              <w:rPr>
                <w:rFonts w:eastAsiaTheme="majorEastAsia"/>
                <w:noProof/>
                <w:kern w:val="2"/>
                <w:sz w:val="20"/>
                <w:szCs w:val="20"/>
              </w:rPr>
              <w:t>See Annex 11</w:t>
            </w:r>
            <w:r w:rsidR="00BD3526">
              <w:rPr>
                <w:rFonts w:eastAsiaTheme="majorEastAsia"/>
                <w:noProof/>
                <w:kern w:val="2"/>
                <w:sz w:val="20"/>
                <w:szCs w:val="20"/>
              </w:rPr>
              <w:t>, section</w:t>
            </w:r>
            <w:r w:rsidRPr="0057287A">
              <w:rPr>
                <w:rFonts w:eastAsiaTheme="majorEastAsia"/>
                <w:noProof/>
                <w:kern w:val="2"/>
                <w:sz w:val="20"/>
                <w:szCs w:val="20"/>
              </w:rPr>
              <w:t xml:space="preserve"> 5.6.3. Reserve prices for the 5G auctions</w:t>
            </w:r>
          </w:p>
          <w:p w14:paraId="27FB8D04" w14:textId="77777777" w:rsidR="00F77F43" w:rsidRPr="0057287A" w:rsidRDefault="00F77F43">
            <w:pPr>
              <w:spacing w:after="120"/>
              <w:rPr>
                <w:rFonts w:eastAsiaTheme="majorEastAsia"/>
                <w:noProof/>
                <w:kern w:val="2"/>
                <w:sz w:val="20"/>
                <w:szCs w:val="20"/>
              </w:rPr>
            </w:pPr>
          </w:p>
          <w:p w14:paraId="785D9D61" w14:textId="60DBD540" w:rsidR="00F77F43" w:rsidRPr="0057287A" w:rsidRDefault="00F77F43">
            <w:pPr>
              <w:spacing w:after="120"/>
              <w:rPr>
                <w:rFonts w:eastAsiaTheme="majorEastAsia"/>
                <w:noProof/>
                <w:kern w:val="2"/>
                <w:sz w:val="20"/>
                <w:szCs w:val="20"/>
              </w:rPr>
            </w:pPr>
            <w:r w:rsidRPr="00602574">
              <w:rPr>
                <w:rFonts w:eastAsiaTheme="majorEastAsia"/>
                <w:noProof/>
                <w:kern w:val="2"/>
                <w:sz w:val="20"/>
                <w:szCs w:val="20"/>
              </w:rPr>
              <w:t xml:space="preserve">See </w:t>
            </w:r>
            <w:r w:rsidRPr="0057287A">
              <w:rPr>
                <w:rFonts w:eastAsiaTheme="majorEastAsia"/>
                <w:noProof/>
                <w:kern w:val="2"/>
                <w:sz w:val="20"/>
                <w:szCs w:val="20"/>
              </w:rPr>
              <w:t>Annex 11</w:t>
            </w:r>
            <w:r w:rsidR="00BD3526">
              <w:rPr>
                <w:rFonts w:eastAsiaTheme="majorEastAsia"/>
                <w:noProof/>
                <w:kern w:val="2"/>
                <w:sz w:val="20"/>
                <w:szCs w:val="20"/>
              </w:rPr>
              <w:t>, section</w:t>
            </w:r>
            <w:r w:rsidRPr="0057287A">
              <w:rPr>
                <w:rFonts w:eastAsiaTheme="majorEastAsia"/>
                <w:noProof/>
                <w:kern w:val="2"/>
                <w:sz w:val="20"/>
                <w:szCs w:val="20"/>
              </w:rPr>
              <w:t xml:space="preserve"> </w:t>
            </w:r>
            <w:r w:rsidRPr="00602574">
              <w:rPr>
                <w:rFonts w:eastAsiaTheme="majorEastAsia"/>
                <w:noProof/>
                <w:kern w:val="2"/>
                <w:sz w:val="20"/>
                <w:szCs w:val="20"/>
              </w:rPr>
              <w:t>5.6.2. Spectrum costs</w:t>
            </w:r>
          </w:p>
        </w:tc>
      </w:tr>
      <w:tr w:rsidR="0068199E" w:rsidRPr="00602574" w14:paraId="267048E7" w14:textId="77777777" w:rsidTr="00BE337F">
        <w:tc>
          <w:tcPr>
            <w:tcW w:w="7333" w:type="dxa"/>
            <w:tcBorders>
              <w:top w:val="single" w:sz="4" w:space="0" w:color="auto"/>
              <w:left w:val="single" w:sz="4" w:space="0" w:color="auto"/>
              <w:bottom w:val="single" w:sz="4" w:space="0" w:color="auto"/>
              <w:right w:val="single" w:sz="4" w:space="0" w:color="auto"/>
            </w:tcBorders>
            <w:tcMar>
              <w:left w:w="57" w:type="dxa"/>
              <w:right w:w="57" w:type="dxa"/>
            </w:tcMar>
          </w:tcPr>
          <w:p w14:paraId="49CCE298" w14:textId="77777777" w:rsidR="00F77F43" w:rsidRPr="0057287A" w:rsidRDefault="00F77F43">
            <w:pPr>
              <w:spacing w:after="120"/>
              <w:rPr>
                <w:b/>
                <w:bCs/>
                <w:noProof/>
                <w:sz w:val="20"/>
                <w:szCs w:val="20"/>
              </w:rPr>
            </w:pPr>
            <w:r w:rsidRPr="0057287A">
              <w:rPr>
                <w:b/>
                <w:bCs/>
                <w:noProof/>
                <w:sz w:val="20"/>
                <w:szCs w:val="20"/>
              </w:rPr>
              <w:t>Lack of Single Market approach</w:t>
            </w:r>
          </w:p>
          <w:p w14:paraId="541DB896" w14:textId="662EDA89" w:rsidR="00F77F43" w:rsidRPr="00602574" w:rsidRDefault="00F77F43">
            <w:pPr>
              <w:spacing w:after="120"/>
              <w:rPr>
                <w:noProof/>
                <w:sz w:val="20"/>
                <w:szCs w:val="20"/>
              </w:rPr>
            </w:pPr>
            <w:r w:rsidRPr="00602574">
              <w:rPr>
                <w:noProof/>
                <w:sz w:val="20"/>
                <w:szCs w:val="20"/>
              </w:rPr>
              <w:t>Ineffective assignment harmonisation due to voluntary peer review with limited impact</w:t>
            </w:r>
            <w:r w:rsidR="00A957FD">
              <w:rPr>
                <w:noProof/>
                <w:sz w:val="20"/>
                <w:szCs w:val="20"/>
              </w:rPr>
              <w:t>.</w:t>
            </w:r>
          </w:p>
          <w:p w14:paraId="133F2464" w14:textId="4ADB731A" w:rsidR="00F77F43" w:rsidRPr="0057287A" w:rsidRDefault="00F77F43">
            <w:pPr>
              <w:spacing w:after="120"/>
              <w:rPr>
                <w:rFonts w:eastAsia="EYInterstate Light"/>
                <w:noProof/>
                <w:sz w:val="20"/>
                <w:szCs w:val="20"/>
              </w:rPr>
            </w:pPr>
            <w:r w:rsidRPr="00602574">
              <w:rPr>
                <w:noProof/>
                <w:sz w:val="20"/>
                <w:szCs w:val="20"/>
              </w:rPr>
              <w:t xml:space="preserve">Unused voluntary </w:t>
            </w:r>
            <w:r w:rsidRPr="00602574">
              <w:rPr>
                <w:rFonts w:eastAsia="EYInterstate Light"/>
                <w:noProof/>
                <w:sz w:val="20"/>
                <w:szCs w:val="20"/>
              </w:rPr>
              <w:t xml:space="preserve">joint authorisation procedure, </w:t>
            </w:r>
            <w:r w:rsidR="00ED072A">
              <w:rPr>
                <w:rFonts w:eastAsia="EYInterstate Light"/>
                <w:noProof/>
                <w:sz w:val="20"/>
                <w:szCs w:val="20"/>
              </w:rPr>
              <w:t>as</w:t>
            </w:r>
            <w:r w:rsidRPr="00602574">
              <w:rPr>
                <w:rFonts w:eastAsia="EYInterstate Light"/>
                <w:noProof/>
                <w:sz w:val="20"/>
                <w:szCs w:val="20"/>
              </w:rPr>
              <w:t xml:space="preserve"> prospective users have </w:t>
            </w:r>
            <w:r w:rsidR="006D5565">
              <w:rPr>
                <w:rFonts w:eastAsia="EYInterstate Light"/>
                <w:noProof/>
                <w:sz w:val="20"/>
                <w:szCs w:val="20"/>
              </w:rPr>
              <w:t>cannot</w:t>
            </w:r>
            <w:r w:rsidRPr="00602574">
              <w:rPr>
                <w:rFonts w:eastAsia="EYInterstate Light"/>
                <w:noProof/>
                <w:sz w:val="20"/>
                <w:szCs w:val="20"/>
              </w:rPr>
              <w:t xml:space="preserve"> </w:t>
            </w:r>
            <w:r w:rsidR="001F3A85">
              <w:rPr>
                <w:rFonts w:eastAsia="EYInterstate Light"/>
                <w:noProof/>
                <w:sz w:val="20"/>
                <w:szCs w:val="20"/>
              </w:rPr>
              <w:t>request</w:t>
            </w:r>
            <w:r w:rsidRPr="00602574">
              <w:rPr>
                <w:rFonts w:eastAsia="EYInterstate Light"/>
                <w:noProof/>
                <w:sz w:val="20"/>
                <w:szCs w:val="20"/>
              </w:rPr>
              <w:t xml:space="preserve"> it.</w:t>
            </w:r>
          </w:p>
          <w:p w14:paraId="7863D842" w14:textId="77777777" w:rsidR="00F77F43" w:rsidRPr="00602574" w:rsidRDefault="00F77F43">
            <w:pPr>
              <w:spacing w:after="120"/>
              <w:rPr>
                <w:noProof/>
                <w:sz w:val="20"/>
                <w:szCs w:val="20"/>
              </w:rPr>
            </w:pPr>
            <w:r w:rsidRPr="00602574">
              <w:rPr>
                <w:rFonts w:eastAsia="EYInterstate Light"/>
                <w:noProof/>
                <w:sz w:val="20"/>
                <w:szCs w:val="20"/>
              </w:rPr>
              <w:t xml:space="preserve">Insufficiently effective support and solidarity provided by the EU and Member States in case of interference caused by a third country. </w:t>
            </w:r>
          </w:p>
          <w:p w14:paraId="296C4434" w14:textId="4B98A34D" w:rsidR="00F77F43" w:rsidRPr="00602574" w:rsidRDefault="00F77F43">
            <w:pPr>
              <w:spacing w:after="120"/>
              <w:rPr>
                <w:noProof/>
                <w:sz w:val="20"/>
                <w:szCs w:val="20"/>
              </w:rPr>
            </w:pPr>
            <w:r w:rsidRPr="00602574">
              <w:rPr>
                <w:rFonts w:eastAsia="EYInterstate Light"/>
                <w:noProof/>
                <w:sz w:val="20"/>
                <w:szCs w:val="20"/>
              </w:rPr>
              <w:t>RSPG good offices mechanism has not been fully effective in tackling cross-border harmful interferences (do</w:t>
            </w:r>
            <w:r w:rsidR="006A41A2">
              <w:rPr>
                <w:rFonts w:eastAsia="EYInterstate Light"/>
                <w:noProof/>
                <w:sz w:val="20"/>
                <w:szCs w:val="20"/>
              </w:rPr>
              <w:t>es</w:t>
            </w:r>
            <w:r w:rsidRPr="00602574">
              <w:rPr>
                <w:rFonts w:eastAsia="EYInterstate Light"/>
                <w:noProof/>
                <w:sz w:val="20"/>
                <w:szCs w:val="20"/>
              </w:rPr>
              <w:t xml:space="preserve"> not apply for non-harmonised bands &amp; missing legal basis for coordination issues linked to interferences with third countries). </w:t>
            </w:r>
          </w:p>
          <w:p w14:paraId="39814BD8" w14:textId="77777777" w:rsidR="00F77F43" w:rsidRPr="00602574" w:rsidRDefault="00F77F43">
            <w:pPr>
              <w:spacing w:after="120"/>
              <w:rPr>
                <w:noProof/>
                <w:sz w:val="20"/>
                <w:szCs w:val="20"/>
              </w:rPr>
            </w:pPr>
            <w:r w:rsidRPr="00602574">
              <w:rPr>
                <w:rFonts w:eastAsia="EYInterstate Light"/>
                <w:noProof/>
                <w:sz w:val="20"/>
                <w:szCs w:val="20"/>
              </w:rPr>
              <w:t>Spectrum sharing is voluntary and has seldom been used and there has only been a limited and fragmented secondary trading market.</w:t>
            </w:r>
          </w:p>
        </w:tc>
        <w:tc>
          <w:tcPr>
            <w:tcW w:w="2277" w:type="dxa"/>
            <w:tcBorders>
              <w:top w:val="single" w:sz="4" w:space="0" w:color="auto"/>
              <w:left w:val="single" w:sz="4" w:space="0" w:color="auto"/>
              <w:bottom w:val="single" w:sz="4" w:space="0" w:color="auto"/>
              <w:right w:val="single" w:sz="4" w:space="0" w:color="auto"/>
            </w:tcBorders>
            <w:tcMar>
              <w:left w:w="57" w:type="dxa"/>
              <w:right w:w="57" w:type="dxa"/>
            </w:tcMar>
          </w:tcPr>
          <w:p w14:paraId="304765DA" w14:textId="7F9BFDA0" w:rsidR="00F77F43" w:rsidRPr="00602574" w:rsidRDefault="00F77F43">
            <w:pPr>
              <w:spacing w:after="120"/>
              <w:rPr>
                <w:noProof/>
                <w:sz w:val="20"/>
                <w:szCs w:val="20"/>
              </w:rPr>
            </w:pPr>
            <w:r w:rsidRPr="00602574">
              <w:rPr>
                <w:noProof/>
                <w:sz w:val="20"/>
                <w:szCs w:val="20"/>
              </w:rPr>
              <w:t>See Annex 11</w:t>
            </w:r>
            <w:r w:rsidR="00BD3526">
              <w:rPr>
                <w:noProof/>
                <w:sz w:val="20"/>
                <w:szCs w:val="20"/>
              </w:rPr>
              <w:t>, section</w:t>
            </w:r>
            <w:r w:rsidRPr="00602574">
              <w:rPr>
                <w:noProof/>
                <w:sz w:val="20"/>
                <w:szCs w:val="20"/>
              </w:rPr>
              <w:t xml:space="preserve"> </w:t>
            </w:r>
            <w:r w:rsidRPr="00602574">
              <w:rPr>
                <w:rStyle w:val="Heading3Char"/>
                <w:rFonts w:eastAsiaTheme="majorEastAsia"/>
                <w:noProof/>
                <w:sz w:val="20"/>
              </w:rPr>
              <w:t xml:space="preserve">5.5.1. Coordination/harmonization of assignments - Peer review </w:t>
            </w:r>
            <w:r w:rsidRPr="00602574">
              <w:rPr>
                <w:rFonts w:eastAsiaTheme="majorEastAsia"/>
                <w:noProof/>
                <w:sz w:val="20"/>
                <w:szCs w:val="20"/>
              </w:rPr>
              <w:t>Annex 11</w:t>
            </w:r>
            <w:r w:rsidR="00BD3526">
              <w:rPr>
                <w:rFonts w:eastAsiaTheme="majorEastAsia"/>
                <w:noProof/>
                <w:sz w:val="20"/>
                <w:szCs w:val="20"/>
              </w:rPr>
              <w:t>, s</w:t>
            </w:r>
            <w:r w:rsidRPr="00602574">
              <w:rPr>
                <w:rFonts w:eastAsiaTheme="majorEastAsia"/>
                <w:noProof/>
                <w:sz w:val="20"/>
                <w:szCs w:val="20"/>
              </w:rPr>
              <w:t xml:space="preserve">ection 5.6.3. on the Cost of Peer review </w:t>
            </w:r>
          </w:p>
          <w:p w14:paraId="3E1B2181" w14:textId="62FC660E" w:rsidR="00F77F43" w:rsidRPr="00602574" w:rsidRDefault="00F77F43">
            <w:pPr>
              <w:spacing w:after="120"/>
              <w:rPr>
                <w:noProof/>
                <w:sz w:val="20"/>
                <w:szCs w:val="20"/>
              </w:rPr>
            </w:pPr>
            <w:r w:rsidRPr="00602574">
              <w:rPr>
                <w:noProof/>
                <w:sz w:val="20"/>
                <w:szCs w:val="20"/>
              </w:rPr>
              <w:t>See Annex 11</w:t>
            </w:r>
            <w:r w:rsidR="00BD3526">
              <w:rPr>
                <w:noProof/>
                <w:sz w:val="20"/>
                <w:szCs w:val="20"/>
              </w:rPr>
              <w:t>, section</w:t>
            </w:r>
            <w:r w:rsidRPr="00602574">
              <w:rPr>
                <w:noProof/>
                <w:sz w:val="20"/>
                <w:szCs w:val="20"/>
              </w:rPr>
              <w:t xml:space="preserve"> 5.5.2 Spectrum coordination and addressing cross border harmful interferences</w:t>
            </w:r>
          </w:p>
          <w:p w14:paraId="31E12C61" w14:textId="5022F828" w:rsidR="00F77F43" w:rsidRPr="00602574" w:rsidRDefault="00F77F43">
            <w:pPr>
              <w:spacing w:after="120"/>
              <w:rPr>
                <w:noProof/>
                <w:sz w:val="20"/>
                <w:szCs w:val="20"/>
              </w:rPr>
            </w:pPr>
            <w:r w:rsidRPr="00602574">
              <w:rPr>
                <w:noProof/>
                <w:sz w:val="20"/>
                <w:szCs w:val="20"/>
              </w:rPr>
              <w:t>See Annex 11</w:t>
            </w:r>
            <w:r w:rsidR="00BD3526">
              <w:rPr>
                <w:noProof/>
                <w:sz w:val="20"/>
                <w:szCs w:val="20"/>
              </w:rPr>
              <w:t>, section</w:t>
            </w:r>
            <w:r w:rsidRPr="00602574">
              <w:rPr>
                <w:noProof/>
                <w:sz w:val="20"/>
                <w:szCs w:val="20"/>
              </w:rPr>
              <w:t xml:space="preserve"> </w:t>
            </w:r>
            <w:r w:rsidRPr="00602574">
              <w:rPr>
                <w:rFonts w:eastAsiaTheme="majorEastAsia"/>
                <w:noProof/>
                <w:sz w:val="20"/>
                <w:szCs w:val="20"/>
              </w:rPr>
              <w:t xml:space="preserve">5.5.3. Spectrum sharing, transfer and leasing </w:t>
            </w:r>
          </w:p>
        </w:tc>
      </w:tr>
    </w:tbl>
    <w:p w14:paraId="03D678B0" w14:textId="77777777" w:rsidR="00040081" w:rsidRPr="00DE264C" w:rsidRDefault="00040081" w:rsidP="00040081">
      <w:pPr>
        <w:spacing w:after="160" w:line="259" w:lineRule="auto"/>
        <w:rPr>
          <w:noProof/>
          <w:color w:val="0070C0"/>
        </w:rPr>
      </w:pPr>
    </w:p>
    <w:p w14:paraId="7BCC4DF2" w14:textId="07FFA8F5" w:rsidR="00F05097" w:rsidRPr="008265AB" w:rsidRDefault="000269BE">
      <w:pPr>
        <w:pStyle w:val="Heading4"/>
        <w:rPr>
          <w:noProof/>
        </w:rPr>
      </w:pPr>
      <w:r>
        <w:rPr>
          <w:noProof/>
        </w:rPr>
        <w:t xml:space="preserve"> </w:t>
      </w:r>
      <w:r w:rsidR="005049BD">
        <w:rPr>
          <w:noProof/>
        </w:rPr>
        <w:t>Lack of financial attractiveness</w:t>
      </w:r>
    </w:p>
    <w:p w14:paraId="2661413F" w14:textId="1D706B53" w:rsidR="00FA39D6" w:rsidRPr="009D3929" w:rsidRDefault="00E87363" w:rsidP="00053713">
      <w:pPr>
        <w:pStyle w:val="EYBodytextwithparaspace"/>
        <w:spacing w:before="0" w:line="240" w:lineRule="auto"/>
        <w:rPr>
          <w:rFonts w:ascii="Times New Roman" w:hAnsi="Times New Roman"/>
          <w:noProof/>
        </w:rPr>
      </w:pPr>
      <w:r w:rsidRPr="0060773D">
        <w:rPr>
          <w:rFonts w:ascii="Times New Roman" w:hAnsi="Times New Roman"/>
          <w:noProof/>
        </w:rPr>
        <w:t>Investment incentives for high-quality 5G are weakened by limited monetisation prospects and low demand for advanced mobile services. European mobile markets continue to generate considerably lower average revenue per user (ARPU) than major international peers,</w:t>
      </w:r>
      <w:r w:rsidR="00694358" w:rsidRPr="009D3929">
        <w:rPr>
          <w:rStyle w:val="FootnoteReference"/>
          <w:noProof/>
        </w:rPr>
        <w:t xml:space="preserve"> </w:t>
      </w:r>
      <w:r w:rsidR="00694358" w:rsidRPr="009D3929">
        <w:rPr>
          <w:rStyle w:val="FootnoteReference"/>
          <w:noProof/>
        </w:rPr>
        <w:footnoteReference w:id="92"/>
      </w:r>
      <w:r w:rsidR="00694358" w:rsidRPr="0060773D">
        <w:rPr>
          <w:rFonts w:ascii="Times New Roman" w:hAnsi="Times New Roman"/>
          <w:noProof/>
        </w:rPr>
        <w:t xml:space="preserve"> </w:t>
      </w:r>
      <w:r w:rsidRPr="0060773D">
        <w:rPr>
          <w:rFonts w:ascii="Times New Roman" w:hAnsi="Times New Roman"/>
          <w:noProof/>
        </w:rPr>
        <w:t xml:space="preserve">possibly </w:t>
      </w:r>
      <w:r w:rsidR="0021680F" w:rsidRPr="0060773D">
        <w:rPr>
          <w:rFonts w:ascii="Times New Roman" w:hAnsi="Times New Roman"/>
          <w:noProof/>
        </w:rPr>
        <w:t>due to</w:t>
      </w:r>
      <w:r w:rsidRPr="0060773D">
        <w:rPr>
          <w:rFonts w:ascii="Times New Roman" w:hAnsi="Times New Roman"/>
          <w:noProof/>
        </w:rPr>
        <w:t xml:space="preserve"> high</w:t>
      </w:r>
      <w:r w:rsidR="00D83D0E" w:rsidRPr="0060773D">
        <w:rPr>
          <w:rFonts w:ascii="Times New Roman" w:hAnsi="Times New Roman"/>
          <w:noProof/>
        </w:rPr>
        <w:t>ly</w:t>
      </w:r>
      <w:r w:rsidRPr="0060773D">
        <w:rPr>
          <w:rFonts w:ascii="Times New Roman" w:hAnsi="Times New Roman"/>
          <w:noProof/>
        </w:rPr>
        <w:t xml:space="preserve"> competitive</w:t>
      </w:r>
      <w:r w:rsidR="00D83D0E" w:rsidRPr="0060773D">
        <w:rPr>
          <w:rFonts w:ascii="Times New Roman" w:hAnsi="Times New Roman"/>
          <w:noProof/>
        </w:rPr>
        <w:t>, low-</w:t>
      </w:r>
      <w:r w:rsidRPr="0060773D">
        <w:rPr>
          <w:rFonts w:ascii="Times New Roman" w:hAnsi="Times New Roman"/>
          <w:noProof/>
        </w:rPr>
        <w:t>pr</w:t>
      </w:r>
      <w:r w:rsidR="00D83D0E" w:rsidRPr="0060773D">
        <w:rPr>
          <w:rFonts w:ascii="Times New Roman" w:hAnsi="Times New Roman"/>
          <w:noProof/>
        </w:rPr>
        <w:t>ice</w:t>
      </w:r>
      <w:r w:rsidRPr="0060773D">
        <w:rPr>
          <w:rFonts w:ascii="Times New Roman" w:hAnsi="Times New Roman"/>
          <w:noProof/>
        </w:rPr>
        <w:t xml:space="preserve"> Europe</w:t>
      </w:r>
      <w:r w:rsidR="00FE4228" w:rsidRPr="0060773D">
        <w:rPr>
          <w:rFonts w:ascii="Times New Roman" w:hAnsi="Times New Roman"/>
          <w:noProof/>
        </w:rPr>
        <w:t>an markets</w:t>
      </w:r>
      <w:r w:rsidRPr="0060773D">
        <w:rPr>
          <w:rFonts w:ascii="Times New Roman" w:hAnsi="Times New Roman"/>
          <w:noProof/>
        </w:rPr>
        <w:t>.</w:t>
      </w:r>
      <w:r w:rsidR="00054A3F" w:rsidRPr="009D3929">
        <w:rPr>
          <w:rStyle w:val="FootnoteReference"/>
          <w:noProof/>
        </w:rPr>
        <w:footnoteReference w:id="93"/>
      </w:r>
      <w:r w:rsidR="00694358" w:rsidRPr="0060773D">
        <w:rPr>
          <w:rFonts w:ascii="Times New Roman" w:hAnsi="Times New Roman"/>
          <w:noProof/>
        </w:rPr>
        <w:t xml:space="preserve"> </w:t>
      </w:r>
      <w:r w:rsidRPr="0060773D">
        <w:rPr>
          <w:rFonts w:ascii="Times New Roman" w:hAnsi="Times New Roman"/>
          <w:noProof/>
        </w:rPr>
        <w:t>The Draghi Report similarly notes that revenues per subscriber are less than half of the levels observed in the US and Japan.</w:t>
      </w:r>
      <w:r w:rsidRPr="009D3929">
        <w:rPr>
          <w:rStyle w:val="FootnoteReference"/>
          <w:noProof/>
        </w:rPr>
        <w:footnoteReference w:id="94"/>
      </w:r>
      <w:r w:rsidRPr="0060773D">
        <w:rPr>
          <w:rFonts w:ascii="Times New Roman" w:hAnsi="Times New Roman"/>
          <w:noProof/>
        </w:rPr>
        <w:t xml:space="preserve"> Moreover, revenue per MHz in Europe has declined sharply over the past decade, with GSMA data showing a 58% decrease between 2014 and 2024. The absence of tailored 5G offers based on network slicing further limits the revenue opportunities originally envisaged when operators bid for the 5G pioneer bands. At the same time, spectrum represents a substantial cost, accounting for around 7% of mobile service revenues and about 35–40% of capital expenditure, and operators’ spectrum needs for delivering high-quality 5G are rising.</w:t>
      </w:r>
      <w:r w:rsidRPr="009D3929">
        <w:rPr>
          <w:rStyle w:val="FootnoteReference"/>
          <w:noProof/>
        </w:rPr>
        <w:footnoteReference w:id="95"/>
      </w:r>
      <w:r w:rsidRPr="0060773D">
        <w:rPr>
          <w:rFonts w:ascii="Times New Roman" w:hAnsi="Times New Roman"/>
          <w:noProof/>
        </w:rPr>
        <w:t xml:space="preserve"> In addition, fragmented or insufficiently predictable spectrum conditions, including divergent licence durations and the need to participate frequently in re-auctioning processes</w:t>
      </w:r>
      <w:r w:rsidRPr="009D3929">
        <w:rPr>
          <w:rStyle w:val="FootnoteReference"/>
          <w:noProof/>
        </w:rPr>
        <w:footnoteReference w:id="96"/>
      </w:r>
      <w:r w:rsidRPr="0060773D">
        <w:rPr>
          <w:rFonts w:ascii="Times New Roman" w:hAnsi="Times New Roman"/>
          <w:noProof/>
        </w:rPr>
        <w:t xml:space="preserve"> increase investment risk and constrain operator’s ability to secure necessary financing. </w:t>
      </w:r>
      <w:r w:rsidR="00FA39D6" w:rsidRPr="009D3929">
        <w:rPr>
          <w:rFonts w:ascii="Times New Roman" w:hAnsi="Times New Roman"/>
          <w:noProof/>
        </w:rPr>
        <w:t>Financial investors echoed these concerns, highlighting the high and uncertain costs and demand risks associated with 5G</w:t>
      </w:r>
      <w:r w:rsidR="0022412F" w:rsidRPr="009D3929">
        <w:rPr>
          <w:rFonts w:ascii="Times New Roman" w:hAnsi="Times New Roman"/>
          <w:noProof/>
        </w:rPr>
        <w:t xml:space="preserve"> </w:t>
      </w:r>
      <w:r w:rsidR="00B92B1A" w:rsidRPr="0060773D">
        <w:rPr>
          <w:rFonts w:ascii="Times New Roman" w:hAnsi="Times New Roman"/>
          <w:noProof/>
        </w:rPr>
        <w:t>deployments</w:t>
      </w:r>
      <w:r w:rsidR="00BD3526">
        <w:rPr>
          <w:rFonts w:ascii="Times New Roman" w:hAnsi="Times New Roman"/>
          <w:noProof/>
        </w:rPr>
        <w:t>.</w:t>
      </w:r>
      <w:r w:rsidR="00FA39D6" w:rsidRPr="009D3929">
        <w:rPr>
          <w:rFonts w:ascii="Times New Roman" w:hAnsi="Times New Roman"/>
          <w:noProof/>
          <w:vertAlign w:val="superscript"/>
        </w:rPr>
        <w:footnoteReference w:id="97"/>
      </w:r>
      <w:r w:rsidR="00FA39D6" w:rsidRPr="009D3929">
        <w:rPr>
          <w:rFonts w:ascii="Times New Roman" w:hAnsi="Times New Roman"/>
          <w:noProof/>
        </w:rPr>
        <w:t xml:space="preserve"> This contrasts with more positive attitudes to FTTH, which has attracted significant investments from long-term infrastructure funds.</w:t>
      </w:r>
    </w:p>
    <w:p w14:paraId="498BBDC3" w14:textId="06000BC4" w:rsidR="006D5565" w:rsidRPr="009D3929" w:rsidRDefault="00E87363" w:rsidP="00053713">
      <w:pPr>
        <w:spacing w:line="240" w:lineRule="auto"/>
        <w:rPr>
          <w:noProof/>
        </w:rPr>
      </w:pPr>
      <w:r w:rsidRPr="009D3929">
        <w:rPr>
          <w:noProof/>
        </w:rPr>
        <w:t>This combination of low expected returns, uncertain monetisation prospects and non-negligible investment risk weakens operators’ incentives and capacity to invest in high-quality 5G.</w:t>
      </w:r>
      <w:r w:rsidRPr="009D3929">
        <w:rPr>
          <w:rStyle w:val="FootnoteReference"/>
          <w:noProof/>
        </w:rPr>
        <w:footnoteReference w:id="98"/>
      </w:r>
    </w:p>
    <w:p w14:paraId="7735CA8C" w14:textId="3DD0E695" w:rsidR="007F158C" w:rsidRPr="00947421" w:rsidRDefault="007F158C" w:rsidP="00531B1F">
      <w:pPr>
        <w:pStyle w:val="Caption"/>
        <w:keepNext/>
        <w:keepLines/>
        <w:rPr>
          <w:noProof/>
          <w:color w:val="auto"/>
        </w:rPr>
      </w:pPr>
    </w:p>
    <w:p w14:paraId="11F744AC" w14:textId="77777777" w:rsidR="00A363FF" w:rsidRDefault="007F158C" w:rsidP="007F158C">
      <w:pPr>
        <w:jc w:val="center"/>
        <w:rPr>
          <w:noProof/>
        </w:rPr>
      </w:pPr>
      <w:r w:rsidRPr="00534028">
        <w:rPr>
          <w:noProof/>
          <w:lang w:eastAsia="en-GB"/>
        </w:rPr>
        <mc:AlternateContent>
          <mc:Choice Requires="wps">
            <w:drawing>
              <wp:anchor distT="0" distB="0" distL="114300" distR="114300" simplePos="0" relativeHeight="251658240" behindDoc="0" locked="0" layoutInCell="1" allowOverlap="1" wp14:anchorId="2B23C049" wp14:editId="15948B1C">
                <wp:simplePos x="0" y="0"/>
                <wp:positionH relativeFrom="column">
                  <wp:posOffset>4690745</wp:posOffset>
                </wp:positionH>
                <wp:positionV relativeFrom="paragraph">
                  <wp:posOffset>1188286</wp:posOffset>
                </wp:positionV>
                <wp:extent cx="958850" cy="247650"/>
                <wp:effectExtent l="0" t="0" r="0" b="0"/>
                <wp:wrapNone/>
                <wp:docPr id="141556974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8850" cy="247650"/>
                        </a:xfrm>
                        <a:prstGeom prst="rect">
                          <a:avLst/>
                        </a:prstGeom>
                        <a:solidFill>
                          <a:srgbClr val="FFFFFF"/>
                        </a:solidFill>
                        <a:ln w="9525">
                          <a:solidFill>
                            <a:srgbClr val="000000"/>
                          </a:solidFill>
                          <a:miter lim="800000"/>
                          <a:headEnd/>
                          <a:tailEnd/>
                        </a:ln>
                      </wps:spPr>
                      <wps:txbx>
                        <w:txbxContent>
                          <w:p w14:paraId="0103508C" w14:textId="77777777" w:rsidR="007F158C" w:rsidRPr="00AE5CCE" w:rsidRDefault="007F158C" w:rsidP="007F158C">
                            <w:pPr>
                              <w:rPr>
                                <w:sz w:val="20"/>
                                <w:szCs w:val="20"/>
                              </w:rPr>
                            </w:pPr>
                            <w:r w:rsidRPr="00AE5CCE">
                              <w:rPr>
                                <w:sz w:val="20"/>
                                <w:szCs w:val="20"/>
                              </w:rPr>
                              <w:t>EEA Average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23C049" id="Rectangle 2" o:spid="_x0000_s1026" style="position:absolute;left:0;text-align:left;margin-left:369.35pt;margin-top:93.55pt;width:75.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">
                <v:textbox>
                  <w:txbxContent>
                    <w:p w14:paraId="0103508C" w14:textId="77777777" w:rsidR="007F158C" w:rsidRPr="00AE5CCE" w:rsidRDefault="007F158C" w:rsidP="007F158C">
                      <w:pPr>
                        <w:rPr>
                          <w:sz w:val="20"/>
                          <w:szCs w:val="20"/>
                        </w:rPr>
                      </w:pPr>
                      <w:r w:rsidRPr="00AE5CCE">
                        <w:rPr>
                          <w:sz w:val="20"/>
                          <w:szCs w:val="20"/>
                        </w:rPr>
                        <w:t>EEA Average</w:t>
                      </w:r>
                    </w:p>
                  </w:txbxContent>
                </v:textbox>
              </v:rect>
            </w:pict>
          </mc:Fallback>
        </mc:AlternateContent>
      </w:r>
    </w:p>
    <w:p w14:paraId="56124676" w14:textId="071C3B90" w:rsidR="00A363FF" w:rsidRPr="00BE337F" w:rsidRDefault="00A363FF" w:rsidP="00BE337F">
      <w:pPr>
        <w:pStyle w:val="Caption"/>
        <w:keepNext/>
        <w:jc w:val="left"/>
        <w:rPr>
          <w:noProof/>
          <w:color w:val="000000" w:themeColor="text1"/>
        </w:rPr>
      </w:pPr>
      <w:bookmarkStart w:id="86" w:name="_Toc219539770"/>
      <w:r w:rsidRPr="00BE337F">
        <w:rPr>
          <w:noProof/>
          <w:color w:val="000000" w:themeColor="text1"/>
        </w:rPr>
        <w:t xml:space="preserve">Figure </w:t>
      </w:r>
      <w:r w:rsidRPr="00BE337F">
        <w:rPr>
          <w:noProof/>
          <w:color w:val="000000" w:themeColor="text1"/>
        </w:rPr>
        <w:fldChar w:fldCharType="begin"/>
      </w:r>
      <w:r w:rsidRPr="00BE337F">
        <w:rPr>
          <w:noProof/>
          <w:color w:val="000000" w:themeColor="text1"/>
        </w:rPr>
        <w:instrText xml:space="preserve"> SEQ Figure \* ARABIC </w:instrText>
      </w:r>
      <w:r w:rsidRPr="00BE337F">
        <w:rPr>
          <w:noProof/>
          <w:color w:val="000000" w:themeColor="text1"/>
        </w:rPr>
        <w:fldChar w:fldCharType="separate"/>
      </w:r>
      <w:r w:rsidRPr="00BE337F">
        <w:rPr>
          <w:noProof/>
          <w:color w:val="000000" w:themeColor="text1"/>
        </w:rPr>
        <w:t>13</w:t>
      </w:r>
      <w:r w:rsidRPr="00BE337F">
        <w:rPr>
          <w:noProof/>
          <w:color w:val="000000" w:themeColor="text1"/>
        </w:rPr>
        <w:fldChar w:fldCharType="end"/>
      </w:r>
      <w:r w:rsidRPr="00BE337F">
        <w:rPr>
          <w:noProof/>
          <w:color w:val="000000" w:themeColor="text1"/>
        </w:rPr>
        <w:t xml:space="preserve"> International ARPU trends</w:t>
      </w:r>
      <w:bookmarkEnd w:id="86"/>
    </w:p>
    <w:p w14:paraId="65A845D5" w14:textId="305397E7" w:rsidR="007F158C" w:rsidRPr="00534028" w:rsidRDefault="007F158C" w:rsidP="007F158C">
      <w:pPr>
        <w:jc w:val="center"/>
        <w:rPr>
          <w:noProof/>
        </w:rPr>
      </w:pPr>
      <w:r w:rsidRPr="00534028">
        <w:rPr>
          <w:noProof/>
          <w:lang w:eastAsia="en-GB"/>
        </w:rPr>
        <w:drawing>
          <wp:inline distT="0" distB="0" distL="0" distR="0" wp14:anchorId="7EA97BCC" wp14:editId="5233682D">
            <wp:extent cx="3350361" cy="2002153"/>
            <wp:effectExtent l="0" t="0" r="2540" b="0"/>
            <wp:docPr id="556976764" name="Grafik 986075024" descr="Immagine che contiene schermata, testo, Diagramm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976764" name="Grafik 986075024" descr="Immagine che contiene schermata, testo, Diagramma, Carattere&#10;&#10;Il contenuto generato dall'IA potrebbe non essere corretto."/>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50361" cy="2002153"/>
                    </a:xfrm>
                    <a:prstGeom prst="rect">
                      <a:avLst/>
                    </a:prstGeom>
                    <a:noFill/>
                  </pic:spPr>
                </pic:pic>
              </a:graphicData>
            </a:graphic>
          </wp:inline>
        </w:drawing>
      </w:r>
    </w:p>
    <w:p w14:paraId="038BF431" w14:textId="4440F3D3" w:rsidR="007F158C" w:rsidRPr="00151C26" w:rsidRDefault="007F158C" w:rsidP="007F158C">
      <w:pPr>
        <w:rPr>
          <w:noProof/>
          <w:sz w:val="18"/>
          <w:szCs w:val="18"/>
        </w:rPr>
      </w:pPr>
      <w:r w:rsidRPr="00151C26">
        <w:rPr>
          <w:noProof/>
          <w:sz w:val="18"/>
          <w:szCs w:val="18"/>
        </w:rPr>
        <w:t>Source</w:t>
      </w:r>
      <w:r w:rsidR="00B65A41" w:rsidRPr="00151C26">
        <w:rPr>
          <w:noProof/>
          <w:sz w:val="18"/>
          <w:szCs w:val="18"/>
        </w:rPr>
        <w:t>:</w:t>
      </w:r>
      <w:r w:rsidRPr="00151C26">
        <w:rPr>
          <w:noProof/>
          <w:sz w:val="18"/>
          <w:szCs w:val="18"/>
        </w:rPr>
        <w:t xml:space="preserve"> BEREC International Roaming Benchmark Data for EU, Connect Europe for China, Japan, South Korea and the US, Canadian Radio-television and Telecommunications Commission (CRTC): Communications Market Reports, Current Trends - Mobile Wireless</w:t>
      </w:r>
    </w:p>
    <w:p w14:paraId="6050123D" w14:textId="5C0C06EB" w:rsidR="002477A1" w:rsidRPr="00602574" w:rsidDel="009D139F" w:rsidRDefault="002477A1" w:rsidP="00053713">
      <w:pPr>
        <w:spacing w:line="240" w:lineRule="auto"/>
        <w:rPr>
          <w:noProof/>
        </w:rPr>
      </w:pPr>
      <w:r w:rsidRPr="00602574">
        <w:rPr>
          <w:noProof/>
        </w:rPr>
        <w:t xml:space="preserve">The above driver is supported by the analysis in the </w:t>
      </w:r>
      <w:r w:rsidRPr="005C544D">
        <w:rPr>
          <w:b/>
          <w:bCs/>
          <w:noProof/>
        </w:rPr>
        <w:t>evaluation report</w:t>
      </w:r>
      <w:r w:rsidRPr="00602574">
        <w:rPr>
          <w:noProof/>
        </w:rPr>
        <w:t xml:space="preserve"> as summarised in Table </w:t>
      </w:r>
      <w:r w:rsidR="00053713">
        <w:rPr>
          <w:noProof/>
        </w:rPr>
        <w:t>9</w:t>
      </w:r>
      <w:r w:rsidRPr="00602574">
        <w:rPr>
          <w:noProof/>
        </w:rPr>
        <w:t>.</w:t>
      </w:r>
    </w:p>
    <w:p w14:paraId="4F2BF5B3" w14:textId="5F6CD8D2" w:rsidR="001034B1" w:rsidRPr="0060773D" w:rsidRDefault="001034B1" w:rsidP="00947421">
      <w:pPr>
        <w:pStyle w:val="Caption"/>
        <w:rPr>
          <w:noProof/>
          <w:color w:val="auto"/>
          <w:sz w:val="24"/>
          <w:szCs w:val="24"/>
        </w:rPr>
      </w:pPr>
      <w:r w:rsidRPr="0060773D">
        <w:rPr>
          <w:noProof/>
          <w:color w:val="auto"/>
          <w:sz w:val="24"/>
          <w:szCs w:val="24"/>
        </w:rPr>
        <w:t xml:space="preserve">Table </w:t>
      </w:r>
      <w:r w:rsidR="00241050">
        <w:rPr>
          <w:noProof/>
          <w:color w:val="auto"/>
          <w:sz w:val="24"/>
          <w:szCs w:val="24"/>
        </w:rPr>
        <w:t>9</w:t>
      </w:r>
      <w:r w:rsidRPr="0060773D">
        <w:rPr>
          <w:noProof/>
          <w:color w:val="auto"/>
          <w:sz w:val="24"/>
          <w:szCs w:val="24"/>
        </w:rPr>
        <w:t>: Evaluation report findings on financial attractiveness of 5G projects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3"/>
        <w:gridCol w:w="2787"/>
      </w:tblGrid>
      <w:tr w:rsidR="0068199E" w:rsidRPr="00602574" w14:paraId="5326C35F" w14:textId="77777777">
        <w:trPr>
          <w:trHeight w:val="414"/>
          <w:tblHeader/>
        </w:trPr>
        <w:tc>
          <w:tcPr>
            <w:tcW w:w="6598" w:type="dxa"/>
          </w:tcPr>
          <w:p w14:paraId="0128A36F" w14:textId="77777777" w:rsidR="003A3A6C" w:rsidRPr="005C544D" w:rsidRDefault="003A3A6C">
            <w:pPr>
              <w:spacing w:before="60" w:after="60"/>
              <w:jc w:val="left"/>
              <w:rPr>
                <w:b/>
                <w:bCs/>
                <w:noProof/>
                <w:sz w:val="20"/>
                <w:szCs w:val="20"/>
              </w:rPr>
            </w:pPr>
            <w:r w:rsidRPr="005C544D">
              <w:rPr>
                <w:b/>
                <w:bCs/>
                <w:noProof/>
                <w:sz w:val="20"/>
                <w:szCs w:val="20"/>
              </w:rPr>
              <w:t>EVALUATION REPORT FINDINGS:</w:t>
            </w:r>
          </w:p>
        </w:tc>
        <w:tc>
          <w:tcPr>
            <w:tcW w:w="2889" w:type="dxa"/>
          </w:tcPr>
          <w:p w14:paraId="0F127BDF" w14:textId="77777777" w:rsidR="003A3A6C" w:rsidRPr="005C544D" w:rsidRDefault="003A3A6C">
            <w:pPr>
              <w:spacing w:before="60" w:after="60"/>
              <w:jc w:val="left"/>
              <w:rPr>
                <w:b/>
                <w:bCs/>
                <w:noProof/>
                <w:sz w:val="20"/>
                <w:szCs w:val="20"/>
              </w:rPr>
            </w:pPr>
            <w:r w:rsidRPr="005C544D">
              <w:rPr>
                <w:b/>
                <w:bCs/>
                <w:noProof/>
                <w:sz w:val="20"/>
                <w:szCs w:val="20"/>
              </w:rPr>
              <w:t>ANNEX SECTIONS</w:t>
            </w:r>
            <w:r w:rsidRPr="00602574">
              <w:rPr>
                <w:b/>
                <w:bCs/>
                <w:noProof/>
                <w:sz w:val="20"/>
                <w:szCs w:val="20"/>
              </w:rPr>
              <w:t>:</w:t>
            </w:r>
          </w:p>
        </w:tc>
      </w:tr>
      <w:tr w:rsidR="0068199E" w:rsidRPr="00602574" w14:paraId="12D1FA49" w14:textId="77777777">
        <w:tc>
          <w:tcPr>
            <w:tcW w:w="6598" w:type="dxa"/>
          </w:tcPr>
          <w:p w14:paraId="1122030C" w14:textId="77777777" w:rsidR="003A3A6C" w:rsidRPr="00602574" w:rsidRDefault="003A3A6C">
            <w:pPr>
              <w:spacing w:after="120"/>
              <w:rPr>
                <w:b/>
                <w:bCs/>
                <w:noProof/>
                <w:sz w:val="20"/>
                <w:szCs w:val="20"/>
              </w:rPr>
            </w:pPr>
            <w:r w:rsidRPr="00602574">
              <w:rPr>
                <w:b/>
                <w:bCs/>
                <w:noProof/>
                <w:sz w:val="20"/>
                <w:szCs w:val="20"/>
              </w:rPr>
              <w:t>Low financial attractiveness of 5G projects:</w:t>
            </w:r>
          </w:p>
          <w:p w14:paraId="60DB91F7" w14:textId="77777777" w:rsidR="003A3A6C" w:rsidRPr="00602574" w:rsidRDefault="003A3A6C">
            <w:pPr>
              <w:spacing w:after="120"/>
              <w:rPr>
                <w:noProof/>
                <w:sz w:val="20"/>
                <w:szCs w:val="20"/>
              </w:rPr>
            </w:pPr>
            <w:r w:rsidRPr="00602574">
              <w:rPr>
                <w:noProof/>
                <w:sz w:val="20"/>
                <w:szCs w:val="20"/>
              </w:rPr>
              <w:t>Limited and decreasing mobile profitability /ARPU.</w:t>
            </w:r>
          </w:p>
          <w:p w14:paraId="627B89D2" w14:textId="77777777" w:rsidR="003A3A6C" w:rsidRPr="00602574" w:rsidRDefault="003A3A6C">
            <w:pPr>
              <w:spacing w:after="120"/>
              <w:rPr>
                <w:noProof/>
                <w:sz w:val="20"/>
                <w:szCs w:val="20"/>
              </w:rPr>
            </w:pPr>
            <w:r w:rsidRPr="00602574">
              <w:rPr>
                <w:noProof/>
                <w:sz w:val="20"/>
                <w:szCs w:val="20"/>
              </w:rPr>
              <w:t>Relatively high spectrum prices if compared to declining/low mobile revenues.</w:t>
            </w:r>
          </w:p>
          <w:p w14:paraId="38631601" w14:textId="006D8823" w:rsidR="003A3A6C" w:rsidRPr="00602574" w:rsidRDefault="003A3A6C">
            <w:pPr>
              <w:spacing w:after="120"/>
              <w:rPr>
                <w:noProof/>
                <w:sz w:val="20"/>
                <w:szCs w:val="20"/>
              </w:rPr>
            </w:pPr>
            <w:r w:rsidRPr="00602574">
              <w:rPr>
                <w:noProof/>
                <w:sz w:val="20"/>
                <w:szCs w:val="20"/>
              </w:rPr>
              <w:t xml:space="preserve">While spectrum needs have increased over the last decade, average revenue per MHz in Europe declined by 58% between 2014 and 2024. </w:t>
            </w:r>
          </w:p>
          <w:p w14:paraId="4C500099" w14:textId="77777777" w:rsidR="003A3A6C" w:rsidRPr="00602574" w:rsidRDefault="003A3A6C">
            <w:pPr>
              <w:spacing w:after="120"/>
              <w:rPr>
                <w:noProof/>
                <w:sz w:val="20"/>
                <w:szCs w:val="20"/>
              </w:rPr>
            </w:pPr>
            <w:r w:rsidRPr="00602574">
              <w:rPr>
                <w:noProof/>
                <w:sz w:val="20"/>
                <w:szCs w:val="20"/>
              </w:rPr>
              <w:t>Spectrum costs account for some 7% of mobile service revenues across Europe with spectrum costs represent about 35-40% of their capital expenditures.</w:t>
            </w:r>
          </w:p>
          <w:p w14:paraId="3433DE6D" w14:textId="2D6ED6B0" w:rsidR="003A3A6C" w:rsidRPr="00602574" w:rsidRDefault="003A3A6C" w:rsidP="007E5258">
            <w:pPr>
              <w:spacing w:after="120"/>
              <w:rPr>
                <w:noProof/>
                <w:sz w:val="20"/>
                <w:szCs w:val="20"/>
              </w:rPr>
            </w:pPr>
            <w:r w:rsidRPr="00602574">
              <w:rPr>
                <w:noProof/>
                <w:sz w:val="20"/>
                <w:szCs w:val="20"/>
              </w:rPr>
              <w:t>Spectrum cost negatively impacts coverage, speeds and services provided to end users: 10-percentage point (p.p.) higher spectrum cost to recurring revenue ratio decreased 4G and 5G coverage by up to 6 p. p. and average speeds by up to 8%.</w:t>
            </w:r>
          </w:p>
        </w:tc>
        <w:tc>
          <w:tcPr>
            <w:tcW w:w="2889" w:type="dxa"/>
          </w:tcPr>
          <w:p w14:paraId="44E8C434" w14:textId="77777777" w:rsidR="003A3A6C" w:rsidRPr="00602574" w:rsidRDefault="003A3A6C">
            <w:pPr>
              <w:spacing w:after="120"/>
              <w:rPr>
                <w:noProof/>
                <w:sz w:val="20"/>
                <w:szCs w:val="20"/>
              </w:rPr>
            </w:pPr>
          </w:p>
          <w:p w14:paraId="30BBD91B" w14:textId="2D50F4C3" w:rsidR="003A3A6C" w:rsidRPr="00602574" w:rsidRDefault="003A3A6C">
            <w:pPr>
              <w:spacing w:after="120"/>
              <w:rPr>
                <w:noProof/>
                <w:sz w:val="20"/>
                <w:szCs w:val="20"/>
              </w:rPr>
            </w:pPr>
            <w:r w:rsidRPr="00602574">
              <w:rPr>
                <w:noProof/>
                <w:sz w:val="20"/>
                <w:szCs w:val="20"/>
              </w:rPr>
              <w:t xml:space="preserve">See Annex 11, </w:t>
            </w:r>
            <w:r w:rsidR="005912E6">
              <w:rPr>
                <w:noProof/>
                <w:sz w:val="20"/>
                <w:szCs w:val="20"/>
              </w:rPr>
              <w:t xml:space="preserve">section </w:t>
            </w:r>
            <w:r w:rsidRPr="00602574">
              <w:rPr>
                <w:noProof/>
                <w:sz w:val="20"/>
                <w:szCs w:val="20"/>
              </w:rPr>
              <w:t xml:space="preserve">5.4.6. Mobile profitability and financial attractiveness </w:t>
            </w:r>
          </w:p>
          <w:p w14:paraId="4A38D827" w14:textId="77777777" w:rsidR="003A3A6C" w:rsidRPr="00602574" w:rsidRDefault="003A3A6C">
            <w:pPr>
              <w:spacing w:after="120"/>
              <w:rPr>
                <w:noProof/>
                <w:sz w:val="20"/>
                <w:szCs w:val="20"/>
              </w:rPr>
            </w:pPr>
          </w:p>
          <w:p w14:paraId="01C92045" w14:textId="55715E30" w:rsidR="003A3A6C" w:rsidRPr="00602574" w:rsidRDefault="003A3A6C">
            <w:pPr>
              <w:spacing w:after="120"/>
              <w:rPr>
                <w:noProof/>
                <w:sz w:val="20"/>
                <w:szCs w:val="20"/>
              </w:rPr>
            </w:pPr>
            <w:r w:rsidRPr="00602574">
              <w:rPr>
                <w:noProof/>
                <w:sz w:val="20"/>
                <w:szCs w:val="20"/>
              </w:rPr>
              <w:t xml:space="preserve">Annex 11, </w:t>
            </w:r>
            <w:r w:rsidR="005912E6">
              <w:rPr>
                <w:noProof/>
                <w:sz w:val="20"/>
                <w:szCs w:val="20"/>
              </w:rPr>
              <w:t xml:space="preserve">section </w:t>
            </w:r>
            <w:r w:rsidRPr="00602574">
              <w:rPr>
                <w:rStyle w:val="Heading3Char"/>
                <w:rFonts w:eastAsiaTheme="majorEastAsia"/>
                <w:i w:val="0"/>
                <w:noProof/>
                <w:sz w:val="20"/>
              </w:rPr>
              <w:t>5.6.2. Spectrum cost</w:t>
            </w:r>
          </w:p>
          <w:p w14:paraId="1BE7B137" w14:textId="77777777" w:rsidR="003A3A6C" w:rsidRPr="00602574" w:rsidRDefault="003A3A6C">
            <w:pPr>
              <w:spacing w:after="120"/>
              <w:rPr>
                <w:noProof/>
                <w:sz w:val="20"/>
                <w:szCs w:val="20"/>
              </w:rPr>
            </w:pPr>
          </w:p>
          <w:p w14:paraId="22863CAA" w14:textId="77777777" w:rsidR="003A3A6C" w:rsidRPr="00602574" w:rsidRDefault="003A3A6C">
            <w:pPr>
              <w:spacing w:after="120"/>
              <w:rPr>
                <w:noProof/>
                <w:sz w:val="20"/>
                <w:szCs w:val="20"/>
              </w:rPr>
            </w:pPr>
          </w:p>
        </w:tc>
      </w:tr>
    </w:tbl>
    <w:p w14:paraId="18906672" w14:textId="7CC08B84" w:rsidR="00104AF8" w:rsidRPr="00DE264C" w:rsidRDefault="00104AF8" w:rsidP="00292895">
      <w:pPr>
        <w:rPr>
          <w:noProof/>
        </w:rPr>
      </w:pPr>
    </w:p>
    <w:p w14:paraId="59047485" w14:textId="22F61597" w:rsidR="00D868EF" w:rsidRPr="00DE264C" w:rsidRDefault="00ED79BE" w:rsidP="00292895">
      <w:pPr>
        <w:pStyle w:val="Heading4"/>
        <w:rPr>
          <w:noProof/>
        </w:rPr>
      </w:pPr>
      <w:r w:rsidRPr="00DE264C">
        <w:rPr>
          <w:noProof/>
        </w:rPr>
        <w:t xml:space="preserve"> </w:t>
      </w:r>
      <w:r w:rsidR="00F20769" w:rsidRPr="00E313B8">
        <w:rPr>
          <w:noProof/>
        </w:rPr>
        <w:t>L</w:t>
      </w:r>
      <w:r w:rsidRPr="00E313B8">
        <w:rPr>
          <w:noProof/>
        </w:rPr>
        <w:t xml:space="preserve">ow demand </w:t>
      </w:r>
      <w:r w:rsidR="00461A2D" w:rsidRPr="00E313B8">
        <w:rPr>
          <w:noProof/>
        </w:rPr>
        <w:t xml:space="preserve">for high quality 5G connectivity </w:t>
      </w:r>
      <w:r w:rsidR="00574E20" w:rsidRPr="00E313B8">
        <w:rPr>
          <w:noProof/>
        </w:rPr>
        <w:t xml:space="preserve">and </w:t>
      </w:r>
      <w:r w:rsidR="00A554C4" w:rsidRPr="00E313B8">
        <w:rPr>
          <w:noProof/>
        </w:rPr>
        <w:t>“</w:t>
      </w:r>
      <w:r w:rsidR="001A030E" w:rsidRPr="00E313B8">
        <w:rPr>
          <w:noProof/>
        </w:rPr>
        <w:t>chicken and egg</w:t>
      </w:r>
      <w:r w:rsidR="00A554C4" w:rsidRPr="00E313B8">
        <w:rPr>
          <w:noProof/>
        </w:rPr>
        <w:t>”</w:t>
      </w:r>
      <w:r w:rsidR="001A030E" w:rsidRPr="00E313B8">
        <w:rPr>
          <w:noProof/>
        </w:rPr>
        <w:t xml:space="preserve"> effect</w:t>
      </w:r>
    </w:p>
    <w:p w14:paraId="27A455B7" w14:textId="122AC9E8" w:rsidR="000269BE" w:rsidRPr="005C544D" w:rsidRDefault="000269BE" w:rsidP="00053713">
      <w:pPr>
        <w:spacing w:line="240" w:lineRule="auto"/>
        <w:rPr>
          <w:rFonts w:eastAsia="Times New Roman"/>
          <w:noProof/>
          <w:vertAlign w:val="superscript"/>
        </w:rPr>
      </w:pPr>
      <w:r w:rsidRPr="00602574">
        <w:rPr>
          <w:noProof/>
        </w:rPr>
        <w:t xml:space="preserve">Demand-side conditions, including relatively </w:t>
      </w:r>
      <w:r w:rsidRPr="0060773D">
        <w:rPr>
          <w:noProof/>
        </w:rPr>
        <w:t>low 5G take-up and low consumer willingness to pay</w:t>
      </w:r>
      <w:r w:rsidRPr="00602574">
        <w:rPr>
          <w:b/>
          <w:bCs/>
          <w:noProof/>
        </w:rPr>
        <w:t xml:space="preserve"> </w:t>
      </w:r>
      <w:r w:rsidRPr="00602574">
        <w:rPr>
          <w:noProof/>
        </w:rPr>
        <w:t>for high-quality 5G, reinforce these challenges. Only around 40% of mobile data connections in Europe were 5G-based in 2025,</w:t>
      </w:r>
      <w:r w:rsidRPr="00602574">
        <w:rPr>
          <w:rStyle w:val="FootnoteReference"/>
          <w:noProof/>
        </w:rPr>
        <w:footnoteReference w:id="99"/>
      </w:r>
      <w:r w:rsidRPr="00602574">
        <w:rPr>
          <w:noProof/>
        </w:rPr>
        <w:t xml:space="preserve"> and full take-up is not expected before 2035.</w:t>
      </w:r>
      <w:r w:rsidRPr="00602574">
        <w:rPr>
          <w:rStyle w:val="FootnoteReference"/>
          <w:noProof/>
        </w:rPr>
        <w:footnoteReference w:id="100"/>
      </w:r>
      <w:r w:rsidRPr="00602574">
        <w:rPr>
          <w:noProof/>
        </w:rPr>
        <w:t xml:space="preserve"> This is partly due to operators initially deploying 5G largely in NSA mode in lower spectrum bands and </w:t>
      </w:r>
      <w:r w:rsidRPr="005C544D">
        <w:rPr>
          <w:noProof/>
        </w:rPr>
        <w:t>delaying the launch of high-quality 5G networks</w:t>
      </w:r>
      <w:r w:rsidRPr="00602574">
        <w:rPr>
          <w:noProof/>
        </w:rPr>
        <w:t xml:space="preserve">. As a result, </w:t>
      </w:r>
      <w:r w:rsidRPr="005C544D">
        <w:rPr>
          <w:b/>
          <w:bCs/>
          <w:noProof/>
        </w:rPr>
        <w:t>users often</w:t>
      </w:r>
      <w:r w:rsidRPr="00602574">
        <w:rPr>
          <w:noProof/>
        </w:rPr>
        <w:t xml:space="preserve"> </w:t>
      </w:r>
      <w:r w:rsidRPr="005C544D">
        <w:rPr>
          <w:b/>
          <w:bCs/>
          <w:noProof/>
        </w:rPr>
        <w:t xml:space="preserve">experience </w:t>
      </w:r>
      <w:r w:rsidRPr="00602574">
        <w:rPr>
          <w:b/>
          <w:bCs/>
          <w:noProof/>
        </w:rPr>
        <w:t>limited performance</w:t>
      </w:r>
      <w:r w:rsidRPr="005C544D">
        <w:rPr>
          <w:noProof/>
        </w:rPr>
        <w:t xml:space="preserve"> </w:t>
      </w:r>
      <w:r w:rsidRPr="00602574">
        <w:rPr>
          <w:b/>
          <w:bCs/>
          <w:noProof/>
        </w:rPr>
        <w:t>improvements</w:t>
      </w:r>
      <w:r w:rsidRPr="005C544D">
        <w:rPr>
          <w:noProof/>
        </w:rPr>
        <w:t xml:space="preserve"> compared with 4G</w:t>
      </w:r>
      <w:r w:rsidRPr="00602574">
        <w:rPr>
          <w:noProof/>
        </w:rPr>
        <w:t xml:space="preserve"> and are sceptical about the potential advantages of high-quality 5G. Concerns about pricing of high quality 5G connectivity and insufficient information on expected download and upload speeds further limit consumers’ willingness to upgrade. Demand for high-quality 5G is also held back by extensive off-loading of bandwidth-intensive content on mobile devices to Wi-Fi,</w:t>
      </w:r>
      <w:r w:rsidRPr="00602574">
        <w:rPr>
          <w:noProof/>
          <w:vertAlign w:val="superscript"/>
        </w:rPr>
        <w:footnoteReference w:id="101"/>
      </w:r>
      <w:r w:rsidRPr="00602574">
        <w:rPr>
          <w:rFonts w:eastAsia="Times New Roman"/>
          <w:noProof/>
          <w:vertAlign w:val="superscript"/>
        </w:rPr>
        <w:t xml:space="preserve"> </w:t>
      </w:r>
      <w:r w:rsidRPr="00602574">
        <w:rPr>
          <w:rFonts w:eastAsia="Times New Roman"/>
          <w:noProof/>
        </w:rPr>
        <w:t xml:space="preserve">limited involvement of </w:t>
      </w:r>
      <w:r w:rsidRPr="00602574">
        <w:rPr>
          <w:noProof/>
        </w:rPr>
        <w:t>SMEs as main beneficiaries in pilot projects for enhanced services</w:t>
      </w:r>
      <w:r w:rsidRPr="00602574">
        <w:rPr>
          <w:rFonts w:eastAsia="Times New Roman"/>
          <w:noProof/>
        </w:rPr>
        <w:t>,</w:t>
      </w:r>
      <w:r w:rsidRPr="00602574">
        <w:rPr>
          <w:noProof/>
          <w:vertAlign w:val="superscript"/>
        </w:rPr>
        <w:footnoteReference w:id="102"/>
      </w:r>
      <w:r w:rsidRPr="00602574">
        <w:rPr>
          <w:rFonts w:eastAsia="Times New Roman"/>
          <w:noProof/>
        </w:rPr>
        <w:t xml:space="preserve"> and low adoption </w:t>
      </w:r>
      <w:r w:rsidRPr="005C544D">
        <w:rPr>
          <w:rFonts w:eastAsia="Times New Roman"/>
          <w:noProof/>
        </w:rPr>
        <w:t>in</w:t>
      </w:r>
      <w:r w:rsidRPr="00602574">
        <w:rPr>
          <w:rFonts w:eastAsia="Times New Roman"/>
          <w:noProof/>
        </w:rPr>
        <w:t xml:space="preserve"> the public sector.</w:t>
      </w:r>
      <w:r w:rsidRPr="00602574">
        <w:rPr>
          <w:noProof/>
          <w:vertAlign w:val="superscript"/>
        </w:rPr>
        <w:footnoteReference w:id="103"/>
      </w:r>
      <w:r w:rsidRPr="00602574">
        <w:rPr>
          <w:noProof/>
        </w:rPr>
        <w:t xml:space="preserve"> BEREC likewise identifies low demand and delayed availability of 5G SA as an important factor contributing to the slow 5G take-up in Europe.</w:t>
      </w:r>
      <w:r w:rsidRPr="00602574">
        <w:rPr>
          <w:rStyle w:val="FootnoteReference"/>
          <w:noProof/>
        </w:rPr>
        <w:footnoteReference w:id="104"/>
      </w:r>
      <w:r w:rsidRPr="00602574">
        <w:rPr>
          <w:noProof/>
        </w:rPr>
        <w:t xml:space="preserve"> </w:t>
      </w:r>
    </w:p>
    <w:p w14:paraId="6679078C" w14:textId="77777777" w:rsidR="000269BE" w:rsidRPr="00602574" w:rsidRDefault="000269BE" w:rsidP="00053713">
      <w:pPr>
        <w:spacing w:line="240" w:lineRule="auto"/>
        <w:rPr>
          <w:rFonts w:eastAsia="Times New Roman"/>
          <w:noProof/>
        </w:rPr>
      </w:pPr>
      <w:r w:rsidRPr="00602574">
        <w:rPr>
          <w:noProof/>
        </w:rPr>
        <w:t>As confirmed by the WIK Financial Study,</w:t>
      </w:r>
      <w:r w:rsidRPr="00602574">
        <w:rPr>
          <w:noProof/>
          <w:vertAlign w:val="superscript"/>
        </w:rPr>
        <w:footnoteReference w:id="105"/>
      </w:r>
      <w:r w:rsidRPr="00602574">
        <w:rPr>
          <w:rFonts w:eastAsia="EYInterstate Light"/>
          <w:noProof/>
        </w:rPr>
        <w:t xml:space="preserve"> this creates a clear </w:t>
      </w:r>
      <w:r w:rsidRPr="005C544D">
        <w:rPr>
          <w:rFonts w:eastAsia="EYInterstate Light"/>
          <w:b/>
          <w:bCs/>
          <w:noProof/>
        </w:rPr>
        <w:t>“chicken-and-egg” dynamic</w:t>
      </w:r>
      <w:r w:rsidRPr="00602574">
        <w:rPr>
          <w:rFonts w:eastAsia="EYInterstate Light"/>
          <w:noProof/>
        </w:rPr>
        <w:t>:</w:t>
      </w:r>
      <w:r w:rsidRPr="005C544D">
        <w:rPr>
          <w:rFonts w:eastAsia="EYInterstate Light"/>
          <w:b/>
          <w:bCs/>
          <w:noProof/>
        </w:rPr>
        <w:t xml:space="preserve"> </w:t>
      </w:r>
      <w:r w:rsidRPr="00602574">
        <w:rPr>
          <w:rFonts w:eastAsia="EYInterstate Light"/>
          <w:noProof/>
        </w:rPr>
        <w:t>On the one hand, operators hesitate to deploy high-quality 5G beyond mandatory (coverage) obligations where demand is uncertain and revenue prospects are limited. On the other hand, the absence of widespread high-quality 5G is a key factor behind the low take-up of bandwidth-intensive, quality-assured services, which would otherwise offer monetisation opportunities for operators.</w:t>
      </w:r>
      <w:r w:rsidRPr="00602574">
        <w:rPr>
          <w:rFonts w:eastAsia="Times New Roman"/>
          <w:noProof/>
        </w:rPr>
        <w:t xml:space="preserve"> </w:t>
      </w:r>
    </w:p>
    <w:p w14:paraId="218DD9AE" w14:textId="3FF32974" w:rsidR="00CE3D84" w:rsidRPr="00DE264C" w:rsidRDefault="000269BE" w:rsidP="00292895">
      <w:pPr>
        <w:pStyle w:val="Heading4"/>
        <w:rPr>
          <w:noProof/>
        </w:rPr>
      </w:pPr>
      <w:r>
        <w:rPr>
          <w:noProof/>
        </w:rPr>
        <w:t xml:space="preserve"> </w:t>
      </w:r>
      <w:r w:rsidR="005E386A" w:rsidRPr="00292895">
        <w:rPr>
          <w:rFonts w:eastAsiaTheme="minorHAnsi"/>
          <w:noProof/>
        </w:rPr>
        <w:t>I</w:t>
      </w:r>
      <w:r w:rsidR="00CE3D84" w:rsidRPr="00292895">
        <w:rPr>
          <w:rFonts w:eastAsiaTheme="minorHAnsi"/>
          <w:noProof/>
        </w:rPr>
        <w:t>nefficient</w:t>
      </w:r>
      <w:r w:rsidR="00CE3D84" w:rsidRPr="00B24D84">
        <w:rPr>
          <w:noProof/>
        </w:rPr>
        <w:t xml:space="preserve"> spectrum </w:t>
      </w:r>
      <w:r w:rsidR="00F74594" w:rsidRPr="00B24D84">
        <w:rPr>
          <w:noProof/>
        </w:rPr>
        <w:t>use</w:t>
      </w:r>
      <w:r w:rsidR="005E386A" w:rsidRPr="00B24D84">
        <w:rPr>
          <w:noProof/>
        </w:rPr>
        <w:t xml:space="preserve"> due to insufficient sharing</w:t>
      </w:r>
    </w:p>
    <w:p w14:paraId="2FB2FB34" w14:textId="77777777" w:rsidR="00C15DC7" w:rsidRPr="005C544D" w:rsidRDefault="00C15DC7" w:rsidP="00053713">
      <w:pPr>
        <w:spacing w:line="240" w:lineRule="auto"/>
        <w:rPr>
          <w:rFonts w:eastAsia="Times New Roman"/>
          <w:noProof/>
        </w:rPr>
      </w:pPr>
      <w:r w:rsidRPr="00602574">
        <w:rPr>
          <w:rFonts w:eastAsia="Times New Roman"/>
          <w:noProof/>
        </w:rPr>
        <w:t>A further driver of insufficient investment in high-quality mobile connectivity is the additional cost created by inefficient spectrum use. This inefficiency results from growing spectrum demand and scarcity, suboptimal use of sharing and trading mechanisms and fragmented local access frameworks.</w:t>
      </w:r>
    </w:p>
    <w:p w14:paraId="005BB96F" w14:textId="1CE8C1D6" w:rsidR="00C15DC7" w:rsidRPr="00602574" w:rsidRDefault="00C15DC7" w:rsidP="00053713">
      <w:pPr>
        <w:spacing w:line="240" w:lineRule="auto"/>
        <w:rPr>
          <w:rFonts w:eastAsia="Times New Roman"/>
          <w:noProof/>
        </w:rPr>
      </w:pPr>
      <w:r w:rsidRPr="005C544D">
        <w:rPr>
          <w:rFonts w:eastAsia="Times New Roman"/>
          <w:noProof/>
        </w:rPr>
        <w:t xml:space="preserve">Growing demand for wireless services is making access to spectrum increasingly difficult. </w:t>
      </w:r>
      <w:r w:rsidRPr="005C544D">
        <w:rPr>
          <w:rFonts w:eastAsia="Times New Roman"/>
          <w:b/>
          <w:bCs/>
          <w:noProof/>
        </w:rPr>
        <w:t>Spectrum scarcity</w:t>
      </w:r>
      <w:r w:rsidRPr="005C544D">
        <w:rPr>
          <w:rFonts w:eastAsia="Times New Roman"/>
          <w:noProof/>
        </w:rPr>
        <w:t xml:space="preserve"> reduces spectrum utilisation, limits opportunities for new entrants, and delays the roll-out of high-quality 5G and other innovative services. </w:t>
      </w:r>
      <w:r w:rsidRPr="00602574">
        <w:rPr>
          <w:rFonts w:eastAsia="Times New Roman"/>
          <w:noProof/>
        </w:rPr>
        <w:t>Where operators cannot obtain sufficient spectrum, they must densify their networks to maintain quality of service, increasing their investment needs.</w:t>
      </w:r>
      <w:r w:rsidRPr="005C544D">
        <w:rPr>
          <w:rStyle w:val="FootnoteReference"/>
          <w:rFonts w:eastAsia="Times New Roman"/>
          <w:noProof/>
        </w:rPr>
        <w:footnoteReference w:id="106"/>
      </w:r>
      <w:r w:rsidRPr="00602574">
        <w:rPr>
          <w:rFonts w:eastAsia="Times New Roman"/>
          <w:noProof/>
        </w:rPr>
        <w:t xml:space="preserve"> At a time of increasing spectrum scarcity, spectrum use is also hindered by inflexible authorisation conditions that complicate and increase the cost of spectrum sharing, transfers and leasing.</w:t>
      </w:r>
    </w:p>
    <w:p w14:paraId="59E58BFF" w14:textId="77777777" w:rsidR="00C15DC7" w:rsidRPr="00602574" w:rsidRDefault="00C15DC7" w:rsidP="00053713">
      <w:pPr>
        <w:spacing w:line="240" w:lineRule="auto"/>
        <w:rPr>
          <w:rFonts w:eastAsia="Times New Roman"/>
          <w:noProof/>
        </w:rPr>
      </w:pPr>
      <w:r w:rsidRPr="00602574">
        <w:rPr>
          <w:rFonts w:eastAsia="Times New Roman"/>
          <w:noProof/>
        </w:rPr>
        <w:t xml:space="preserve">Despite its recognised benefits and practicality, </w:t>
      </w:r>
      <w:r w:rsidRPr="005C544D">
        <w:rPr>
          <w:rFonts w:eastAsia="Times New Roman"/>
          <w:b/>
          <w:bCs/>
          <w:noProof/>
        </w:rPr>
        <w:t>spectrum sharing</w:t>
      </w:r>
      <w:r w:rsidRPr="00602574">
        <w:rPr>
          <w:rFonts w:eastAsia="Times New Roman"/>
          <w:noProof/>
        </w:rPr>
        <w:t xml:space="preserve"> in the EU remains limited.</w:t>
      </w:r>
      <w:r w:rsidRPr="00602574">
        <w:rPr>
          <w:rStyle w:val="FootnoteReference"/>
          <w:rFonts w:eastAsia="Times New Roman"/>
          <w:noProof/>
        </w:rPr>
        <w:footnoteReference w:id="107"/>
      </w:r>
      <w:r w:rsidRPr="00602574">
        <w:rPr>
          <w:rFonts w:eastAsia="Times New Roman"/>
          <w:noProof/>
        </w:rPr>
        <w:t xml:space="preserve"> Where applied, it is typically implemented in static rather than more flexible dynamic forms.</w:t>
      </w:r>
      <w:r w:rsidRPr="005C544D">
        <w:rPr>
          <w:rStyle w:val="FootnoteReference"/>
          <w:rFonts w:eastAsia="Times New Roman"/>
          <w:noProof/>
        </w:rPr>
        <w:footnoteReference w:id="108"/>
      </w:r>
      <w:r w:rsidRPr="00602574">
        <w:rPr>
          <w:rFonts w:eastAsia="Times New Roman"/>
          <w:noProof/>
        </w:rPr>
        <w:t xml:space="preserve"> Often, unclear compliance requirements for coverage and quality-of-service obligations further discourage shared-use arrangements.</w:t>
      </w:r>
      <w:r w:rsidRPr="005C544D">
        <w:rPr>
          <w:rFonts w:eastAsia="Times New Roman"/>
          <w:noProof/>
        </w:rPr>
        <w:t xml:space="preserve"> </w:t>
      </w:r>
      <w:r w:rsidRPr="00602574">
        <w:rPr>
          <w:rFonts w:eastAsia="Times New Roman"/>
          <w:noProof/>
        </w:rPr>
        <w:t xml:space="preserve">Although the EECC promotes the </w:t>
      </w:r>
      <w:r w:rsidRPr="00602574">
        <w:rPr>
          <w:rFonts w:eastAsia="Times New Roman"/>
          <w:b/>
          <w:bCs/>
          <w:noProof/>
        </w:rPr>
        <w:t>transfer and lease</w:t>
      </w:r>
      <w:r w:rsidRPr="005C544D">
        <w:rPr>
          <w:rFonts w:eastAsia="Times New Roman"/>
          <w:b/>
          <w:bCs/>
          <w:noProof/>
        </w:rPr>
        <w:t xml:space="preserve"> of spectrum usage rights</w:t>
      </w:r>
      <w:r w:rsidRPr="00602574">
        <w:rPr>
          <w:rFonts w:eastAsia="Times New Roman"/>
          <w:noProof/>
        </w:rPr>
        <w:t xml:space="preserve">, inconsistent national implementation and the absence of centralised guidance have kept their uptake low. Feasibility and value of these mechanisms are often reduced by delays and additional costs arising from burdensome approval requirements and licence conditions, such as strict coverage obligations or short licence durations. While some Member States have introduced more flexible spectrum leasing models, others maintain rigid frameworks that hinder optimal reallocation. As a result, </w:t>
      </w:r>
      <w:r w:rsidRPr="005C544D">
        <w:rPr>
          <w:rFonts w:eastAsia="Times New Roman"/>
          <w:b/>
          <w:bCs/>
          <w:noProof/>
        </w:rPr>
        <w:t>secondary spectrum trading</w:t>
      </w:r>
      <w:r w:rsidRPr="00602574">
        <w:rPr>
          <w:rFonts w:eastAsia="Times New Roman"/>
          <w:noProof/>
        </w:rPr>
        <w:t xml:space="preserve"> remains rare, with only a few transactions in recent years.</w:t>
      </w:r>
      <w:r w:rsidRPr="00602574">
        <w:rPr>
          <w:rStyle w:val="FootnoteReference"/>
          <w:rFonts w:eastAsia="Times New Roman"/>
          <w:noProof/>
        </w:rPr>
        <w:footnoteReference w:id="109"/>
      </w:r>
      <w:r w:rsidRPr="00602574">
        <w:rPr>
          <w:rFonts w:eastAsia="Times New Roman"/>
          <w:noProof/>
        </w:rPr>
        <w:t xml:space="preserve"> </w:t>
      </w:r>
    </w:p>
    <w:p w14:paraId="5638AA13" w14:textId="77777777" w:rsidR="00C15DC7" w:rsidRPr="005C544D" w:rsidRDefault="00C15DC7" w:rsidP="00053713">
      <w:pPr>
        <w:spacing w:line="240" w:lineRule="auto"/>
        <w:rPr>
          <w:noProof/>
        </w:rPr>
      </w:pPr>
      <w:r w:rsidRPr="00602574">
        <w:rPr>
          <w:noProof/>
        </w:rPr>
        <w:t xml:space="preserve">In addition, </w:t>
      </w:r>
      <w:r w:rsidRPr="005C544D">
        <w:rPr>
          <w:b/>
          <w:bCs/>
          <w:noProof/>
        </w:rPr>
        <w:t>nationwide licences</w:t>
      </w:r>
      <w:r w:rsidRPr="00602574">
        <w:rPr>
          <w:noProof/>
        </w:rPr>
        <w:t xml:space="preserve"> remain the norm in the EU. While appropriate for MNOs serving the mass market, this limits industrial verticals such as manufacturers, ports or airports from obtaining spectrum rights on a location basis, often necessary for </w:t>
      </w:r>
      <w:r w:rsidRPr="005C544D">
        <w:rPr>
          <w:noProof/>
        </w:rPr>
        <w:t>5G high-quality assured service or reliability requirements</w:t>
      </w:r>
      <w:r w:rsidRPr="00602574">
        <w:rPr>
          <w:noProof/>
        </w:rPr>
        <w:t xml:space="preserve">. Where </w:t>
      </w:r>
      <w:r w:rsidRPr="005C544D">
        <w:rPr>
          <w:b/>
          <w:bCs/>
          <w:noProof/>
        </w:rPr>
        <w:t>local access</w:t>
      </w:r>
      <w:r w:rsidRPr="00602574">
        <w:rPr>
          <w:noProof/>
        </w:rPr>
        <w:t xml:space="preserve"> exists, it remains fragmented: At least 13 Member States have made spectrum available for local use, but in different frequency bands, through different procedures </w:t>
      </w:r>
      <w:r w:rsidRPr="005C544D">
        <w:rPr>
          <w:noProof/>
        </w:rPr>
        <w:t xml:space="preserve">(auctions or on a first-come, first-served basis) </w:t>
      </w:r>
      <w:r w:rsidRPr="00602574">
        <w:rPr>
          <w:noProof/>
        </w:rPr>
        <w:t xml:space="preserve">and under diverse conditions, including variation in prices and licence durations </w:t>
      </w:r>
      <w:r w:rsidRPr="005C544D">
        <w:rPr>
          <w:noProof/>
        </w:rPr>
        <w:t>(ranging from 5 to 20 years)</w:t>
      </w:r>
      <w:r w:rsidRPr="00602574">
        <w:rPr>
          <w:noProof/>
        </w:rPr>
        <w:t>.</w:t>
      </w:r>
      <w:r w:rsidRPr="005C544D">
        <w:rPr>
          <w:rStyle w:val="FootnoteReference"/>
          <w:noProof/>
        </w:rPr>
        <w:footnoteReference w:id="110"/>
      </w:r>
      <w:r w:rsidRPr="00602574">
        <w:rPr>
          <w:noProof/>
        </w:rPr>
        <w:t xml:space="preserve"> With no united EU framework in place, divergent national rules create uncertainty, limit economies of scale for equipment and replication of vertical use solutions and ultimately discourage investment in high-quality industrial 5G use cases.</w:t>
      </w:r>
    </w:p>
    <w:p w14:paraId="56E18D77" w14:textId="77777777" w:rsidR="00C15DC7" w:rsidRPr="005C544D" w:rsidRDefault="00C15DC7" w:rsidP="00053713">
      <w:pPr>
        <w:spacing w:line="240" w:lineRule="auto"/>
        <w:rPr>
          <w:noProof/>
        </w:rPr>
      </w:pPr>
      <w:r w:rsidRPr="005C544D">
        <w:rPr>
          <w:noProof/>
        </w:rPr>
        <w:t xml:space="preserve">Given the limited uptake of sharing and trading mechanisms and constrained local spectrum access, spectrum remains underused. </w:t>
      </w:r>
      <w:r w:rsidRPr="00602574">
        <w:rPr>
          <w:noProof/>
        </w:rPr>
        <w:t xml:space="preserve">This underutilisation is further reinforced by weak enforcement of tools such as </w:t>
      </w:r>
      <w:r w:rsidRPr="005C544D">
        <w:rPr>
          <w:b/>
          <w:bCs/>
          <w:noProof/>
        </w:rPr>
        <w:t>“use-it-or-share-it-or-lose-it”</w:t>
      </w:r>
      <w:r w:rsidRPr="00602574">
        <w:rPr>
          <w:noProof/>
        </w:rPr>
        <w:t xml:space="preserve"> provisions, intended to enable regulators to revoke or reassign unused spectrum to prevent hoarding.</w:t>
      </w:r>
      <w:r w:rsidRPr="005C544D">
        <w:rPr>
          <w:rStyle w:val="FootnoteReference"/>
          <w:rFonts w:eastAsiaTheme="minorEastAsia"/>
          <w:noProof/>
        </w:rPr>
        <w:footnoteReference w:id="111"/>
      </w:r>
      <w:r w:rsidRPr="00602574">
        <w:rPr>
          <w:noProof/>
        </w:rPr>
        <w:t xml:space="preserve"> </w:t>
      </w:r>
      <w:r w:rsidRPr="005C544D">
        <w:rPr>
          <w:rFonts w:eastAsiaTheme="minorEastAsia"/>
          <w:noProof/>
        </w:rPr>
        <w:t>Their implementation varies across Member States. While Germany includes clear rollout obligations in some licences, others (e.g. Poland, Slovakia, Hungary) apply the principle more cautiously. In several states the clauses exist in legislation, but enforcement is poorly documented, raising uncertainty about their effectiveness. Outside the EU, “use-it-or-lose-it" rules are applied more consistently, with active enforcement in the UK, Canada and Australia.</w:t>
      </w:r>
      <w:r w:rsidRPr="005C544D">
        <w:rPr>
          <w:rStyle w:val="FootnoteReference"/>
          <w:rFonts w:eastAsiaTheme="minorEastAsia"/>
          <w:noProof/>
        </w:rPr>
        <w:footnoteReference w:id="112"/>
      </w:r>
    </w:p>
    <w:p w14:paraId="25FD0405" w14:textId="77777777" w:rsidR="00C15DC7" w:rsidRPr="005C544D" w:rsidRDefault="00C15DC7" w:rsidP="00053713">
      <w:pPr>
        <w:spacing w:line="240" w:lineRule="auto"/>
        <w:rPr>
          <w:rFonts w:eastAsiaTheme="minorEastAsia"/>
          <w:noProof/>
        </w:rPr>
      </w:pPr>
      <w:r w:rsidRPr="005C544D">
        <w:rPr>
          <w:rFonts w:eastAsiaTheme="minorEastAsia"/>
          <w:noProof/>
        </w:rPr>
        <w:t xml:space="preserve">Tailored local or shared-access regimes in other jurisdictions illustrate that more </w:t>
      </w:r>
      <w:r w:rsidRPr="005C544D">
        <w:rPr>
          <w:rFonts w:eastAsiaTheme="minorEastAsia"/>
          <w:b/>
          <w:bCs/>
          <w:noProof/>
        </w:rPr>
        <w:t>flexible approaches</w:t>
      </w:r>
      <w:r w:rsidRPr="005C544D">
        <w:rPr>
          <w:rFonts w:eastAsiaTheme="minorEastAsia"/>
          <w:noProof/>
        </w:rPr>
        <w:t xml:space="preserve"> can </w:t>
      </w:r>
      <w:r w:rsidRPr="00602574">
        <w:rPr>
          <w:rFonts w:eastAsiaTheme="minorEastAsia"/>
          <w:noProof/>
        </w:rPr>
        <w:t xml:space="preserve">unlock previously suppressed demand. </w:t>
      </w:r>
      <w:r w:rsidRPr="005C544D">
        <w:rPr>
          <w:rFonts w:eastAsiaTheme="minorEastAsia"/>
          <w:noProof/>
        </w:rPr>
        <w:t xml:space="preserve">Several </w:t>
      </w:r>
      <w:r w:rsidRPr="005C544D">
        <w:rPr>
          <w:rFonts w:eastAsiaTheme="minorEastAsia"/>
          <w:b/>
          <w:bCs/>
          <w:noProof/>
        </w:rPr>
        <w:t>g</w:t>
      </w:r>
      <w:r w:rsidRPr="005C544D">
        <w:rPr>
          <w:b/>
          <w:bCs/>
          <w:noProof/>
        </w:rPr>
        <w:t>lobal peers</w:t>
      </w:r>
      <w:r w:rsidRPr="005C544D">
        <w:rPr>
          <w:noProof/>
        </w:rPr>
        <w:t xml:space="preserve"> are taking advantage of </w:t>
      </w:r>
      <w:r w:rsidRPr="005C544D">
        <w:rPr>
          <w:b/>
          <w:bCs/>
          <w:noProof/>
        </w:rPr>
        <w:t>innovative technological tools</w:t>
      </w:r>
      <w:r w:rsidRPr="005C544D">
        <w:rPr>
          <w:noProof/>
        </w:rPr>
        <w:t xml:space="preserve"> such as AI and real-time databases to</w:t>
      </w:r>
      <w:r w:rsidRPr="00602574">
        <w:rPr>
          <w:rFonts w:eastAsiaTheme="minorEastAsia"/>
          <w:noProof/>
        </w:rPr>
        <w:t xml:space="preserve"> improve spectrum utilisation</w:t>
      </w:r>
      <w:r w:rsidRPr="005C544D">
        <w:rPr>
          <w:noProof/>
        </w:rPr>
        <w:t xml:space="preserve">. </w:t>
      </w:r>
      <w:r w:rsidRPr="005C544D">
        <w:rPr>
          <w:rFonts w:eastAsiaTheme="minorEastAsia"/>
          <w:noProof/>
        </w:rPr>
        <w:t xml:space="preserve">In the UK, Ofcom’s shared-access licences across several bands (1.8 GHz, 2.3 GHz, 3.8–4.2 GHz, 26 GHz) offer low administrative burden and affordable fees, attracting nearly 900 licensees by July 2024 and encouraging further expansion. In the US, the Citizens Broadband Radio Service (CBRS) framework enables dynamic sharing in the 3.5 GHz band among licensed, unlicensed and </w:t>
      </w:r>
      <w:r w:rsidRPr="00602574">
        <w:rPr>
          <w:rFonts w:eastAsia="Times New Roman"/>
          <w:noProof/>
        </w:rPr>
        <w:t>government users (e.g. maritime military radar)</w:t>
      </w:r>
      <w:r w:rsidRPr="005C544D">
        <w:rPr>
          <w:rFonts w:eastAsiaTheme="minorEastAsia"/>
          <w:noProof/>
        </w:rPr>
        <w:t>, supporting thousands of deployments by 2023 and unlocking significant economic benefits.</w:t>
      </w:r>
      <w:r w:rsidRPr="005C544D">
        <w:rPr>
          <w:rStyle w:val="FootnoteReference"/>
          <w:rFonts w:eastAsiaTheme="minorEastAsia"/>
          <w:noProof/>
        </w:rPr>
        <w:footnoteReference w:id="113"/>
      </w:r>
      <w:r w:rsidRPr="005C544D">
        <w:rPr>
          <w:rFonts w:eastAsiaTheme="minorEastAsia"/>
          <w:noProof/>
        </w:rPr>
        <w:t xml:space="preserve"> </w:t>
      </w:r>
      <w:r w:rsidRPr="005C544D">
        <w:rPr>
          <w:noProof/>
        </w:rPr>
        <w:t>By lowering entry barriers, CBRS has opened previously underutilised spectrum to a wide range of applications, including private enterprise networks, industrial sites and rural broadband, with estimated annual consumer surplus of USD 8–26 billion</w:t>
      </w:r>
      <w:r w:rsidRPr="005C544D">
        <w:rPr>
          <w:rStyle w:val="FootnoteReference"/>
          <w:noProof/>
        </w:rPr>
        <w:footnoteReference w:id="114"/>
      </w:r>
      <w:r w:rsidRPr="005C544D">
        <w:rPr>
          <w:noProof/>
        </w:rPr>
        <w:t xml:space="preserve">. </w:t>
      </w:r>
    </w:p>
    <w:p w14:paraId="768FFBF8" w14:textId="77777777" w:rsidR="00C15DC7" w:rsidRPr="00602574" w:rsidRDefault="00C15DC7" w:rsidP="00053713">
      <w:pPr>
        <w:spacing w:line="240" w:lineRule="auto"/>
        <w:rPr>
          <w:noProof/>
        </w:rPr>
      </w:pPr>
      <w:r w:rsidRPr="00602574">
        <w:rPr>
          <w:noProof/>
        </w:rPr>
        <w:t>The above driver is supported by the analysis in the evaluation report as summarised in Table 10.</w:t>
      </w:r>
    </w:p>
    <w:p w14:paraId="5A4DA7AE" w14:textId="07D7381A" w:rsidR="000B6CAF" w:rsidRPr="003D0B34" w:rsidRDefault="001034B1" w:rsidP="006E19D5">
      <w:pPr>
        <w:keepNext/>
        <w:keepLines/>
        <w:spacing w:after="120"/>
        <w:rPr>
          <w:rFonts w:eastAsiaTheme="minorEastAsia"/>
          <w:i/>
          <w:noProof/>
          <w:u w:val="single"/>
          <w:lang w:val="en-IE"/>
        </w:rPr>
      </w:pPr>
      <w:r w:rsidRPr="003D0B34">
        <w:rPr>
          <w:i/>
          <w:noProof/>
          <w:u w:val="single"/>
        </w:rPr>
        <w:t>Table 10: Evaluation report findings on inefficient use of spectrum</w:t>
      </w:r>
    </w:p>
    <w:tbl>
      <w:tblPr>
        <w:tblStyle w:val="TableGrid"/>
        <w:tblW w:w="96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7"/>
        <w:gridCol w:w="3553"/>
      </w:tblGrid>
      <w:tr w:rsidR="0068199E" w:rsidRPr="00602574" w14:paraId="5409982B" w14:textId="77777777">
        <w:trPr>
          <w:trHeight w:val="416"/>
          <w:tblHeader/>
        </w:trPr>
        <w:tc>
          <w:tcPr>
            <w:tcW w:w="6057" w:type="dxa"/>
            <w:tcBorders>
              <w:bottom w:val="single" w:sz="4" w:space="0" w:color="auto"/>
            </w:tcBorders>
          </w:tcPr>
          <w:p w14:paraId="07FC5CD5" w14:textId="77777777" w:rsidR="00524CCD" w:rsidRPr="00602574" w:rsidRDefault="00524CCD">
            <w:pPr>
              <w:pStyle w:val="Text1"/>
              <w:spacing w:after="120"/>
              <w:ind w:left="0" w:right="141"/>
              <w:jc w:val="center"/>
              <w:rPr>
                <w:rFonts w:eastAsia="EYInterstate Light"/>
                <w:noProof/>
                <w:sz w:val="20"/>
              </w:rPr>
            </w:pPr>
            <w:r w:rsidRPr="00602574">
              <w:rPr>
                <w:rFonts w:eastAsia="EYInterstate Light"/>
                <w:noProof/>
                <w:sz w:val="20"/>
              </w:rPr>
              <w:t>EVALUATION FINDINGS</w:t>
            </w:r>
          </w:p>
        </w:tc>
        <w:tc>
          <w:tcPr>
            <w:tcW w:w="3553" w:type="dxa"/>
            <w:tcBorders>
              <w:bottom w:val="single" w:sz="4" w:space="0" w:color="auto"/>
            </w:tcBorders>
          </w:tcPr>
          <w:p w14:paraId="7782126B" w14:textId="77777777" w:rsidR="00524CCD" w:rsidRPr="00602574" w:rsidRDefault="00524CCD">
            <w:pPr>
              <w:pStyle w:val="Heading6"/>
              <w:spacing w:before="0" w:after="120"/>
              <w:ind w:left="150"/>
              <w:jc w:val="left"/>
              <w:outlineLvl w:val="5"/>
              <w:rPr>
                <w:rFonts w:ascii="Times New Roman" w:hAnsi="Times New Roman" w:cs="Times New Roman"/>
                <w:noProof/>
                <w:color w:val="auto"/>
                <w:sz w:val="20"/>
                <w:szCs w:val="20"/>
                <w:lang w:val="en-GB"/>
              </w:rPr>
            </w:pPr>
            <w:r w:rsidRPr="00602574">
              <w:rPr>
                <w:rFonts w:ascii="Times New Roman" w:hAnsi="Times New Roman" w:cs="Times New Roman"/>
                <w:noProof/>
                <w:color w:val="auto"/>
                <w:sz w:val="20"/>
                <w:szCs w:val="20"/>
                <w:lang w:val="en-GB"/>
              </w:rPr>
              <w:t>ANNEX SECTIONS</w:t>
            </w:r>
          </w:p>
        </w:tc>
      </w:tr>
      <w:tr w:rsidR="0068199E" w:rsidRPr="00602574" w14:paraId="32DAC9E4" w14:textId="77777777">
        <w:tc>
          <w:tcPr>
            <w:tcW w:w="6057" w:type="dxa"/>
          </w:tcPr>
          <w:p w14:paraId="0F1F88DC" w14:textId="77777777" w:rsidR="00524CCD" w:rsidRPr="00602574" w:rsidRDefault="00524CCD">
            <w:pPr>
              <w:pStyle w:val="Text1"/>
              <w:spacing w:after="120"/>
              <w:ind w:left="0" w:right="141"/>
              <w:rPr>
                <w:b/>
                <w:noProof/>
                <w:sz w:val="20"/>
              </w:rPr>
            </w:pPr>
            <w:r w:rsidRPr="00602574">
              <w:rPr>
                <w:b/>
                <w:bCs/>
                <w:noProof/>
                <w:sz w:val="20"/>
              </w:rPr>
              <w:t>Inefficient use of spectrum</w:t>
            </w:r>
          </w:p>
          <w:p w14:paraId="47D20E3A" w14:textId="77777777" w:rsidR="00524CCD" w:rsidRPr="00602574" w:rsidRDefault="00524CCD">
            <w:pPr>
              <w:pStyle w:val="Text1"/>
              <w:numPr>
                <w:ilvl w:val="0"/>
                <w:numId w:val="5"/>
              </w:numPr>
              <w:spacing w:after="120"/>
              <w:ind w:right="141"/>
              <w:rPr>
                <w:noProof/>
                <w:sz w:val="20"/>
              </w:rPr>
            </w:pPr>
            <w:r w:rsidRPr="00602574">
              <w:rPr>
                <w:rFonts w:eastAsia="EYInterstate Light"/>
                <w:noProof/>
                <w:sz w:val="20"/>
              </w:rPr>
              <w:t>Massive</w:t>
            </w:r>
            <w:r w:rsidRPr="00602574">
              <w:rPr>
                <w:noProof/>
                <w:sz w:val="20"/>
              </w:rPr>
              <w:t xml:space="preserve"> </w:t>
            </w:r>
            <w:r w:rsidRPr="005C544D">
              <w:rPr>
                <w:b/>
                <w:bCs/>
                <w:noProof/>
                <w:sz w:val="20"/>
              </w:rPr>
              <w:t>increased needs of spectrum</w:t>
            </w:r>
            <w:r w:rsidRPr="00602574">
              <w:rPr>
                <w:noProof/>
                <w:sz w:val="20"/>
              </w:rPr>
              <w:t xml:space="preserve"> to provide higher quality of mobile services and to satisfy </w:t>
            </w:r>
            <w:r w:rsidRPr="00602574">
              <w:rPr>
                <w:rFonts w:eastAsia="EYInterstate Light"/>
                <w:noProof/>
                <w:sz w:val="20"/>
              </w:rPr>
              <w:t>needs beyond the electronic communications sector.</w:t>
            </w:r>
          </w:p>
          <w:p w14:paraId="6078AAA6" w14:textId="77777777" w:rsidR="00524CCD" w:rsidRPr="00602574" w:rsidRDefault="00524CCD">
            <w:pPr>
              <w:pStyle w:val="Text1"/>
              <w:numPr>
                <w:ilvl w:val="0"/>
                <w:numId w:val="5"/>
              </w:numPr>
              <w:spacing w:after="120"/>
              <w:ind w:right="141"/>
              <w:rPr>
                <w:noProof/>
                <w:sz w:val="20"/>
              </w:rPr>
            </w:pPr>
            <w:r w:rsidRPr="005C544D">
              <w:rPr>
                <w:b/>
                <w:bCs/>
                <w:noProof/>
                <w:sz w:val="20"/>
              </w:rPr>
              <w:t>Insufficient network sharing and</w:t>
            </w:r>
            <w:r w:rsidRPr="005C544D">
              <w:rPr>
                <w:rFonts w:eastAsia="EYInterstate Light"/>
                <w:b/>
                <w:bCs/>
                <w:noProof/>
                <w:sz w:val="20"/>
              </w:rPr>
              <w:t xml:space="preserve"> fragmented secondary market </w:t>
            </w:r>
            <w:r w:rsidRPr="00602574">
              <w:rPr>
                <w:rFonts w:eastAsia="EYInterstate Light"/>
                <w:noProof/>
                <w:sz w:val="20"/>
              </w:rPr>
              <w:t>across the EU with limited uptake of spectrum trading/leasing, with restrictive national policies inhibiting optimal spectrum reallocation.</w:t>
            </w:r>
            <w:r w:rsidRPr="00602574">
              <w:rPr>
                <w:noProof/>
                <w:sz w:val="20"/>
              </w:rPr>
              <w:t xml:space="preserve"> Growing importance of interservice spectrum sharing, i.e. between different users providing different services.</w:t>
            </w:r>
          </w:p>
        </w:tc>
        <w:tc>
          <w:tcPr>
            <w:tcW w:w="3553" w:type="dxa"/>
          </w:tcPr>
          <w:p w14:paraId="10378B82" w14:textId="0E9092B7" w:rsidR="00524CCD" w:rsidRPr="00602574" w:rsidRDefault="00524CCD">
            <w:pPr>
              <w:pStyle w:val="Heading6"/>
              <w:spacing w:before="0" w:after="120"/>
              <w:ind w:left="147"/>
              <w:outlineLvl w:val="5"/>
              <w:rPr>
                <w:rFonts w:ascii="Times New Roman" w:hAnsi="Times New Roman" w:cs="Times New Roman"/>
                <w:noProof/>
                <w:color w:val="auto"/>
                <w:sz w:val="20"/>
                <w:szCs w:val="20"/>
                <w:lang w:val="en-GB"/>
              </w:rPr>
            </w:pPr>
            <w:r w:rsidRPr="00602574">
              <w:rPr>
                <w:rFonts w:ascii="Times New Roman" w:hAnsi="Times New Roman" w:cs="Times New Roman"/>
                <w:noProof/>
                <w:color w:val="auto"/>
                <w:sz w:val="20"/>
                <w:szCs w:val="20"/>
                <w:lang w:val="en-GB"/>
              </w:rPr>
              <w:t>Annex 7</w:t>
            </w:r>
            <w:r w:rsidR="0005320D">
              <w:rPr>
                <w:rFonts w:ascii="Times New Roman" w:hAnsi="Times New Roman" w:cs="Times New Roman"/>
                <w:noProof/>
                <w:color w:val="auto"/>
                <w:sz w:val="20"/>
                <w:szCs w:val="20"/>
                <w:lang w:val="en-GB"/>
              </w:rPr>
              <w:t>,</w:t>
            </w:r>
            <w:r w:rsidRPr="00602574">
              <w:rPr>
                <w:rFonts w:ascii="Times New Roman" w:hAnsi="Times New Roman" w:cs="Times New Roman"/>
                <w:noProof/>
                <w:color w:val="auto"/>
                <w:sz w:val="20"/>
                <w:szCs w:val="20"/>
                <w:lang w:val="en-GB"/>
              </w:rPr>
              <w:t xml:space="preserve"> </w:t>
            </w:r>
            <w:r w:rsidR="0005320D">
              <w:rPr>
                <w:rFonts w:ascii="Times New Roman" w:hAnsi="Times New Roman" w:cs="Times New Roman"/>
                <w:noProof/>
                <w:color w:val="auto"/>
                <w:sz w:val="20"/>
                <w:szCs w:val="20"/>
                <w:lang w:val="en-GB"/>
              </w:rPr>
              <w:t>s</w:t>
            </w:r>
            <w:r w:rsidRPr="00602574">
              <w:rPr>
                <w:rFonts w:ascii="Times New Roman" w:hAnsi="Times New Roman" w:cs="Times New Roman"/>
                <w:noProof/>
                <w:color w:val="auto"/>
                <w:sz w:val="20"/>
                <w:szCs w:val="20"/>
                <w:lang w:val="en-GB"/>
              </w:rPr>
              <w:t xml:space="preserve">ection </w:t>
            </w:r>
            <w:r w:rsidR="00682B77">
              <w:rPr>
                <w:rFonts w:ascii="Times New Roman" w:hAnsi="Times New Roman" w:cs="Times New Roman"/>
                <w:noProof/>
                <w:color w:val="auto"/>
                <w:sz w:val="20"/>
                <w:szCs w:val="20"/>
                <w:lang w:val="en-GB"/>
              </w:rPr>
              <w:t>2.2.1.</w:t>
            </w:r>
            <w:r w:rsidRPr="00602574">
              <w:rPr>
                <w:rFonts w:ascii="Times New Roman" w:hAnsi="Times New Roman" w:cs="Times New Roman"/>
                <w:noProof/>
                <w:color w:val="auto"/>
                <w:sz w:val="20"/>
                <w:szCs w:val="20"/>
                <w:lang w:val="en-GB"/>
              </w:rPr>
              <w:t xml:space="preserve"> Inefficient use of spectrum: difficulty to satisfy increased demand due to spectrum scarcity.</w:t>
            </w:r>
          </w:p>
          <w:p w14:paraId="3DEFAE9A" w14:textId="5B592A41" w:rsidR="00524CCD" w:rsidRPr="005C544D" w:rsidRDefault="00524CCD">
            <w:pPr>
              <w:pStyle w:val="Heading6"/>
              <w:spacing w:before="0" w:after="120"/>
              <w:ind w:left="147"/>
              <w:jc w:val="left"/>
              <w:outlineLvl w:val="5"/>
              <w:rPr>
                <w:rFonts w:ascii="Times New Roman" w:hAnsi="Times New Roman" w:cs="Times New Roman"/>
                <w:i/>
                <w:noProof/>
                <w:color w:val="auto"/>
                <w:sz w:val="20"/>
                <w:szCs w:val="20"/>
                <w:lang w:val="en-GB"/>
              </w:rPr>
            </w:pPr>
            <w:r w:rsidRPr="00602574">
              <w:rPr>
                <w:rFonts w:ascii="Times New Roman" w:hAnsi="Times New Roman" w:cs="Times New Roman"/>
                <w:noProof/>
                <w:color w:val="auto"/>
                <w:sz w:val="20"/>
                <w:szCs w:val="20"/>
                <w:lang w:val="en-GB"/>
              </w:rPr>
              <w:t>Annex 11</w:t>
            </w:r>
            <w:r w:rsidR="0005320D">
              <w:rPr>
                <w:rFonts w:ascii="Times New Roman" w:hAnsi="Times New Roman" w:cs="Times New Roman"/>
                <w:noProof/>
                <w:color w:val="auto"/>
                <w:sz w:val="20"/>
                <w:szCs w:val="20"/>
                <w:lang w:val="en-GB"/>
              </w:rPr>
              <w:t>, section</w:t>
            </w:r>
            <w:r w:rsidRPr="00602574">
              <w:rPr>
                <w:rFonts w:ascii="Times New Roman" w:hAnsi="Times New Roman" w:cs="Times New Roman"/>
                <w:noProof/>
                <w:color w:val="auto"/>
                <w:sz w:val="20"/>
                <w:szCs w:val="20"/>
                <w:lang w:val="en-GB"/>
              </w:rPr>
              <w:t xml:space="preserve"> 5.4.3. Spectrum for industry: verticals and private networks, and </w:t>
            </w:r>
            <w:r w:rsidR="004856ED">
              <w:rPr>
                <w:rFonts w:ascii="Times New Roman" w:hAnsi="Times New Roman" w:cs="Times New Roman"/>
                <w:noProof/>
                <w:color w:val="auto"/>
                <w:sz w:val="20"/>
                <w:szCs w:val="20"/>
                <w:lang w:val="en-GB"/>
              </w:rPr>
              <w:t>s</w:t>
            </w:r>
            <w:r w:rsidR="004856ED" w:rsidRPr="00602574">
              <w:rPr>
                <w:rFonts w:ascii="Times New Roman" w:hAnsi="Times New Roman" w:cs="Times New Roman"/>
                <w:noProof/>
                <w:color w:val="auto"/>
                <w:sz w:val="20"/>
                <w:szCs w:val="20"/>
                <w:lang w:val="en-GB"/>
              </w:rPr>
              <w:t xml:space="preserve">ection </w:t>
            </w:r>
            <w:r w:rsidRPr="00602574">
              <w:rPr>
                <w:rFonts w:ascii="Times New Roman" w:hAnsi="Times New Roman" w:cs="Times New Roman"/>
                <w:noProof/>
                <w:color w:val="auto"/>
                <w:sz w:val="20"/>
                <w:szCs w:val="20"/>
                <w:lang w:val="en-GB"/>
              </w:rPr>
              <w:t>5.5.3. Spectrum sharing, transfer and leasing</w:t>
            </w:r>
            <w:r w:rsidRPr="005C544D">
              <w:rPr>
                <w:rFonts w:ascii="Times New Roman" w:hAnsi="Times New Roman" w:cs="Times New Roman"/>
                <w:noProof/>
                <w:color w:val="auto"/>
                <w:sz w:val="20"/>
                <w:szCs w:val="20"/>
                <w:lang w:val="en-GB"/>
              </w:rPr>
              <w:t xml:space="preserve"> and Use it or lose it principle. </w:t>
            </w:r>
          </w:p>
          <w:p w14:paraId="2F0A2283" w14:textId="5FA48031" w:rsidR="00524CCD" w:rsidRPr="00602574" w:rsidRDefault="00524CCD">
            <w:pPr>
              <w:pStyle w:val="Heading6"/>
              <w:spacing w:before="0" w:after="120"/>
              <w:ind w:left="147"/>
              <w:jc w:val="left"/>
              <w:outlineLvl w:val="5"/>
              <w:rPr>
                <w:rFonts w:ascii="Times New Roman" w:hAnsi="Times New Roman" w:cs="Times New Roman"/>
                <w:noProof/>
                <w:color w:val="auto"/>
                <w:sz w:val="20"/>
                <w:szCs w:val="20"/>
                <w:lang w:val="en-GB"/>
              </w:rPr>
            </w:pPr>
            <w:r w:rsidRPr="00602574">
              <w:rPr>
                <w:rFonts w:ascii="Times New Roman" w:hAnsi="Times New Roman" w:cs="Times New Roman"/>
                <w:noProof/>
                <w:color w:val="auto"/>
                <w:sz w:val="20"/>
                <w:szCs w:val="20"/>
                <w:lang w:val="en-GB"/>
              </w:rPr>
              <w:t>Annex 7</w:t>
            </w:r>
            <w:r w:rsidR="0005320D">
              <w:rPr>
                <w:rFonts w:ascii="Times New Roman" w:hAnsi="Times New Roman" w:cs="Times New Roman"/>
                <w:noProof/>
                <w:color w:val="auto"/>
                <w:sz w:val="20"/>
                <w:szCs w:val="20"/>
                <w:lang w:val="en-GB"/>
              </w:rPr>
              <w:t>, s</w:t>
            </w:r>
            <w:r w:rsidRPr="00602574">
              <w:rPr>
                <w:rFonts w:ascii="Times New Roman" w:hAnsi="Times New Roman" w:cs="Times New Roman"/>
                <w:noProof/>
                <w:color w:val="auto"/>
                <w:sz w:val="20"/>
                <w:szCs w:val="20"/>
                <w:lang w:val="en-GB"/>
              </w:rPr>
              <w:t xml:space="preserve">ection </w:t>
            </w:r>
            <w:r w:rsidR="00F23596">
              <w:rPr>
                <w:rFonts w:ascii="Times New Roman" w:hAnsi="Times New Roman" w:cs="Times New Roman"/>
                <w:noProof/>
                <w:color w:val="auto"/>
                <w:sz w:val="20"/>
                <w:szCs w:val="20"/>
                <w:lang w:val="en-GB"/>
              </w:rPr>
              <w:t>2.2.2.</w:t>
            </w:r>
            <w:r w:rsidR="00DB7BEB">
              <w:rPr>
                <w:rFonts w:ascii="Times New Roman" w:hAnsi="Times New Roman" w:cs="Times New Roman"/>
                <w:noProof/>
                <w:color w:val="auto"/>
                <w:sz w:val="20"/>
                <w:szCs w:val="20"/>
                <w:lang w:val="en-GB"/>
              </w:rPr>
              <w:t xml:space="preserve"> </w:t>
            </w:r>
            <w:r w:rsidRPr="00602574">
              <w:rPr>
                <w:rFonts w:ascii="Times New Roman" w:hAnsi="Times New Roman" w:cs="Times New Roman"/>
                <w:noProof/>
                <w:color w:val="auto"/>
                <w:sz w:val="20"/>
                <w:szCs w:val="20"/>
                <w:lang w:val="en-GB"/>
              </w:rPr>
              <w:t>Insufficient flexibility for interservice and intra service sharing.</w:t>
            </w:r>
          </w:p>
        </w:tc>
      </w:tr>
    </w:tbl>
    <w:p w14:paraId="062D7DC2" w14:textId="77777777" w:rsidR="006D513E" w:rsidRPr="00DE264C" w:rsidRDefault="006D513E" w:rsidP="00C6381F">
      <w:pPr>
        <w:spacing w:before="120" w:after="120"/>
        <w:rPr>
          <w:rFonts w:eastAsiaTheme="minorEastAsia"/>
          <w:noProof/>
          <w:lang w:val="en-IE"/>
        </w:rPr>
      </w:pPr>
    </w:p>
    <w:p w14:paraId="682528AF" w14:textId="1DE6417C" w:rsidR="00591A79" w:rsidRPr="00DE264C" w:rsidRDefault="00046632" w:rsidP="00292895">
      <w:pPr>
        <w:pStyle w:val="Heading4"/>
        <w:rPr>
          <w:noProof/>
        </w:rPr>
      </w:pPr>
      <w:r w:rsidRPr="00DE264C">
        <w:rPr>
          <w:noProof/>
        </w:rPr>
        <w:t xml:space="preserve"> </w:t>
      </w:r>
      <w:r w:rsidR="00301B76">
        <w:rPr>
          <w:noProof/>
        </w:rPr>
        <w:t>High cost of networks and</w:t>
      </w:r>
      <w:r w:rsidRPr="00DE264C">
        <w:rPr>
          <w:noProof/>
        </w:rPr>
        <w:t xml:space="preserve"> </w:t>
      </w:r>
      <w:r w:rsidR="00DC695F" w:rsidRPr="00142B20">
        <w:rPr>
          <w:noProof/>
        </w:rPr>
        <w:t>u</w:t>
      </w:r>
      <w:r w:rsidR="00545722" w:rsidRPr="00142B20">
        <w:rPr>
          <w:noProof/>
        </w:rPr>
        <w:t>nexploited economies of scale</w:t>
      </w:r>
      <w:r w:rsidR="00545722" w:rsidRPr="00DE264C">
        <w:rPr>
          <w:noProof/>
        </w:rPr>
        <w:t xml:space="preserve"> </w:t>
      </w:r>
    </w:p>
    <w:p w14:paraId="1C6A1CCF" w14:textId="77777777" w:rsidR="006B12D0" w:rsidRPr="005C544D" w:rsidRDefault="006B12D0" w:rsidP="00053713">
      <w:pPr>
        <w:spacing w:line="240" w:lineRule="auto"/>
        <w:rPr>
          <w:noProof/>
        </w:rPr>
      </w:pPr>
      <w:r w:rsidRPr="00602574">
        <w:rPr>
          <w:noProof/>
        </w:rPr>
        <w:t>Further factors limiting investment in high-quality mobile connectivity are the high cost of deploying advanced networks and the limited scope for economies of scale in the EU, where several MNOs in each Member State operate largely parallel infrastructures under fragmented regulatory conditions.</w:t>
      </w:r>
    </w:p>
    <w:p w14:paraId="2DDFFF5A" w14:textId="4B0AB63F" w:rsidR="006B12D0" w:rsidRPr="005C544D" w:rsidRDefault="006B12D0" w:rsidP="00053713">
      <w:pPr>
        <w:spacing w:line="240" w:lineRule="auto"/>
        <w:rPr>
          <w:noProof/>
        </w:rPr>
      </w:pPr>
      <w:r w:rsidRPr="005C544D">
        <w:rPr>
          <w:noProof/>
        </w:rPr>
        <w:t xml:space="preserve">High-quality 5G networks as well as future 6G networks are </w:t>
      </w:r>
      <w:r w:rsidRPr="005C544D">
        <w:rPr>
          <w:b/>
          <w:bCs/>
          <w:noProof/>
        </w:rPr>
        <w:t>significantly more costly to deploy than previous generations</w:t>
      </w:r>
      <w:r w:rsidRPr="005C544D">
        <w:rPr>
          <w:noProof/>
        </w:rPr>
        <w:t>. A major cost driver is network densification required to deliver high-quality service in terms of latency, data speeds and reliability.</w:t>
      </w:r>
      <w:r w:rsidRPr="005C544D">
        <w:rPr>
          <w:rStyle w:val="FootnoteReference"/>
          <w:noProof/>
        </w:rPr>
        <w:footnoteReference w:id="115"/>
      </w:r>
      <w:r w:rsidRPr="005C544D">
        <w:rPr>
          <w:noProof/>
        </w:rPr>
        <w:t xml:space="preserve"> </w:t>
      </w:r>
      <w:r w:rsidRPr="00602574">
        <w:rPr>
          <w:noProof/>
        </w:rPr>
        <w:t>The need for densification stems from the use of mid-band and high-band spectrum, which can carry large volumes of data but provide limited coverage because of their propagation characteristics.</w:t>
      </w:r>
      <w:r w:rsidRPr="00602574">
        <w:rPr>
          <w:rStyle w:val="FootnoteReference"/>
          <w:noProof/>
        </w:rPr>
        <w:footnoteReference w:id="116"/>
      </w:r>
      <w:r w:rsidRPr="00602574">
        <w:rPr>
          <w:noProof/>
        </w:rPr>
        <w:t xml:space="preserve"> To cover the same area, operators must deploy many more base stations and cells. In addition, many existing 4G base stations and backhaul links are insufficient for 5G performance, requiring operators to upgrade backhaul capacity, often through new fibre deployment or other high-capacity links. Standalone 5G also requires a new core network (“5GC”). These densification efforts, backhaul upgrades and the rollout of a virtualised 5G core with cloud-native functions substantially increase investment needs</w:t>
      </w:r>
      <w:r w:rsidR="008564DA" w:rsidRPr="008564DA">
        <w:rPr>
          <w:noProof/>
        </w:rPr>
        <w:t xml:space="preserve"> </w:t>
      </w:r>
      <w:r w:rsidR="1AF4EBD9">
        <w:rPr>
          <w:noProof/>
        </w:rPr>
        <w:t>w</w:t>
      </w:r>
      <w:r w:rsidR="1AF4EBD9" w:rsidRPr="00602574">
        <w:rPr>
          <w:noProof/>
        </w:rPr>
        <w:t>i</w:t>
      </w:r>
      <w:r w:rsidR="1AF4EBD9">
        <w:rPr>
          <w:noProof/>
        </w:rPr>
        <w:t>t</w:t>
      </w:r>
      <w:r w:rsidR="5EA7C1A3">
        <w:rPr>
          <w:noProof/>
        </w:rPr>
        <w:t>h</w:t>
      </w:r>
      <w:r w:rsidR="008564DA" w:rsidRPr="00602574">
        <w:rPr>
          <w:noProof/>
        </w:rPr>
        <w:t xml:space="preserve"> the cost increase</w:t>
      </w:r>
      <w:r w:rsidR="00835D3C">
        <w:rPr>
          <w:noProof/>
        </w:rPr>
        <w:t>,</w:t>
      </w:r>
      <w:r w:rsidR="008564DA">
        <w:rPr>
          <w:noProof/>
        </w:rPr>
        <w:t xml:space="preserve"> </w:t>
      </w:r>
      <w:r w:rsidR="1AF4EBD9">
        <w:rPr>
          <w:noProof/>
        </w:rPr>
        <w:t>depend</w:t>
      </w:r>
      <w:r w:rsidR="140B8CFC">
        <w:rPr>
          <w:noProof/>
        </w:rPr>
        <w:t>ing</w:t>
      </w:r>
      <w:r w:rsidR="008564DA" w:rsidRPr="00602574">
        <w:rPr>
          <w:noProof/>
        </w:rPr>
        <w:t xml:space="preserve"> on the deployment strategy</w:t>
      </w:r>
      <w:r w:rsidRPr="00602574">
        <w:rPr>
          <w:noProof/>
        </w:rPr>
        <w:t>.</w:t>
      </w:r>
      <w:r w:rsidRPr="00602574">
        <w:rPr>
          <w:rStyle w:val="FootnoteReference"/>
          <w:noProof/>
        </w:rPr>
        <w:footnoteReference w:id="117"/>
      </w:r>
      <w:r w:rsidRPr="00602574">
        <w:rPr>
          <w:noProof/>
        </w:rPr>
        <w:t xml:space="preserve"> Precise cost estimates for 6G deployment are not yet available. Nevertheless, many of the structural drivers</w:t>
      </w:r>
      <w:r w:rsidRPr="00602574">
        <w:rPr>
          <w:rStyle w:val="FootnoteReference"/>
          <w:noProof/>
        </w:rPr>
        <w:footnoteReference w:id="118"/>
      </w:r>
      <w:r w:rsidRPr="00602574">
        <w:rPr>
          <w:noProof/>
        </w:rPr>
        <w:t xml:space="preserve"> of higher 5G costs are likely to persist, suggesting that deployment costs will remain high. Moreover, operating multiple network generations simultaneously (2G/3G/4G before switch-off, alongside 5G SA and later 6G) entails parallel infrastructure and maintenance costs. </w:t>
      </w:r>
    </w:p>
    <w:p w14:paraId="0553E47C" w14:textId="57F63CE6" w:rsidR="006B12D0" w:rsidRPr="00602574" w:rsidRDefault="006B12D0" w:rsidP="00053713">
      <w:pPr>
        <w:spacing w:line="240" w:lineRule="auto"/>
        <w:rPr>
          <w:noProof/>
        </w:rPr>
      </w:pPr>
      <w:r w:rsidRPr="005C544D">
        <w:rPr>
          <w:noProof/>
        </w:rPr>
        <w:t>The high fixed costs associated with deploying advanced networks also increase the relevance of</w:t>
      </w:r>
      <w:r w:rsidRPr="005C544D">
        <w:rPr>
          <w:b/>
          <w:bCs/>
          <w:noProof/>
        </w:rPr>
        <w:t xml:space="preserve"> economies of scales</w:t>
      </w:r>
      <w:r w:rsidRPr="005C544D">
        <w:rPr>
          <w:noProof/>
        </w:rPr>
        <w:t xml:space="preserve">. Traditionally, economies of scale have been assumed less pronounced in mobile than in fixed markets, where infrastructure duplication is typically uneconomical. Spectrum policy for mobile networks was therefore designed on the expectation </w:t>
      </w:r>
      <w:r w:rsidRPr="00602574">
        <w:rPr>
          <w:noProof/>
        </w:rPr>
        <w:t>that several parallel mobile networks could be viably sustained. Currently, three to four MNOs are present in most Member States.</w:t>
      </w:r>
      <w:r w:rsidRPr="00602574">
        <w:rPr>
          <w:rStyle w:val="FootnoteReference"/>
          <w:noProof/>
        </w:rPr>
        <w:footnoteReference w:id="119"/>
      </w:r>
      <w:r w:rsidRPr="00602574">
        <w:rPr>
          <w:noProof/>
        </w:rPr>
        <w:t xml:space="preserve"> With the cost-intensive transition to high-quality 5G, however, recovering fixed investments over each operator’s customer base has become more challenging, weakening the business case for full 5G roll-out, particularly in less densely populated and lower-revenue areas.</w:t>
      </w:r>
      <w:r w:rsidRPr="00602574">
        <w:rPr>
          <w:rStyle w:val="FootnoteReference"/>
          <w:noProof/>
        </w:rPr>
        <w:footnoteReference w:id="120"/>
      </w:r>
      <w:r w:rsidRPr="00602574">
        <w:rPr>
          <w:noProof/>
        </w:rPr>
        <w:t xml:space="preserve"> Several studies confirm that limited economies of scale arising from the high fixed costs of 5G deployment can constrain the number of economically viable parallel networks.</w:t>
      </w:r>
      <w:r w:rsidRPr="00602574">
        <w:rPr>
          <w:rStyle w:val="FootnoteReference"/>
          <w:noProof/>
        </w:rPr>
        <w:footnoteReference w:id="121"/>
      </w:r>
      <w:r w:rsidRPr="00602574">
        <w:rPr>
          <w:noProof/>
        </w:rPr>
        <w:t xml:space="preserve"> A WIK study on 5G network development in Denmark highlights the economic challenges of replicating full 5G infrastructures across multiple operators.</w:t>
      </w:r>
      <w:r w:rsidRPr="00602574">
        <w:rPr>
          <w:rStyle w:val="FootnoteReference"/>
          <w:noProof/>
        </w:rPr>
        <w:footnoteReference w:id="122"/>
      </w:r>
      <w:r w:rsidRPr="00602574">
        <w:rPr>
          <w:noProof/>
        </w:rPr>
        <w:t xml:space="preserve"> An EU study suggests that regulatory attempts to achieve four-player mobile markets through, inter alia, spectrum reservations or caps may have weakened investment incentives by assuming levels of duplication that are not sustainable under the cost structure of full 5G.</w:t>
      </w:r>
      <w:r w:rsidRPr="00602574">
        <w:rPr>
          <w:rStyle w:val="FootnoteReference"/>
          <w:noProof/>
        </w:rPr>
        <w:footnoteReference w:id="123"/>
      </w:r>
    </w:p>
    <w:p w14:paraId="7E7112C7" w14:textId="2C684B4B" w:rsidR="006B12D0" w:rsidRPr="00602574" w:rsidRDefault="006B12D0" w:rsidP="00053713">
      <w:pPr>
        <w:spacing w:line="240" w:lineRule="auto"/>
        <w:rPr>
          <w:noProof/>
        </w:rPr>
      </w:pPr>
      <w:r w:rsidRPr="00602574">
        <w:rPr>
          <w:noProof/>
        </w:rPr>
        <w:t xml:space="preserve">A comparison with the U.S. illustrates how </w:t>
      </w:r>
      <w:r w:rsidRPr="005C544D">
        <w:rPr>
          <w:b/>
          <w:bCs/>
          <w:noProof/>
        </w:rPr>
        <w:t>centralised spectrum governance facilitate</w:t>
      </w:r>
      <w:r w:rsidRPr="00602574">
        <w:rPr>
          <w:b/>
          <w:bCs/>
          <w:noProof/>
        </w:rPr>
        <w:t>s</w:t>
      </w:r>
      <w:r w:rsidRPr="005C544D">
        <w:rPr>
          <w:b/>
          <w:bCs/>
          <w:noProof/>
        </w:rPr>
        <w:t xml:space="preserve"> economies of scale</w:t>
      </w:r>
      <w:r w:rsidRPr="00602574">
        <w:rPr>
          <w:noProof/>
        </w:rPr>
        <w:t xml:space="preserve">, while </w:t>
      </w:r>
      <w:r w:rsidRPr="005C544D">
        <w:rPr>
          <w:b/>
          <w:bCs/>
          <w:noProof/>
        </w:rPr>
        <w:t>regulatory fragmentation limits the scope for similar efficiencies in the EU</w:t>
      </w:r>
      <w:r w:rsidRPr="00602574">
        <w:rPr>
          <w:noProof/>
        </w:rPr>
        <w:t>. In the USA, three nationwide mobile service providers – AT&amp;T, T-Mobile and Verizon – collectively account for around 371 million connections</w:t>
      </w:r>
      <w:r w:rsidR="00194206">
        <w:rPr>
          <w:noProof/>
        </w:rPr>
        <w:t xml:space="preserve"> </w:t>
      </w:r>
      <w:r w:rsidRPr="00602574">
        <w:rPr>
          <w:noProof/>
        </w:rPr>
        <w:t>and hold approximately 82% of spectrum available to</w:t>
      </w:r>
      <w:r w:rsidR="001518FB">
        <w:rPr>
          <w:noProof/>
        </w:rPr>
        <w:t xml:space="preserve"> </w:t>
      </w:r>
      <w:r w:rsidRPr="00602574">
        <w:rPr>
          <w:noProof/>
        </w:rPr>
        <w:t>mobile communication.</w:t>
      </w:r>
      <w:r w:rsidRPr="00602574">
        <w:rPr>
          <w:rStyle w:val="FootnoteReference"/>
          <w:noProof/>
        </w:rPr>
        <w:footnoteReference w:id="124"/>
      </w:r>
      <w:r w:rsidRPr="00602574">
        <w:rPr>
          <w:noProof/>
        </w:rPr>
        <w:t xml:space="preserve"> Together with smaller operators, they benefit from a highly centralised spectrum governance system: A single federal licensing regime, uniform coverage conditions and centralised interference management reduce transaction costs and allow consolidation of compliance, engineering and legal tasks, thereby supporting nationwide planning and investment.</w:t>
      </w:r>
      <w:r w:rsidRPr="00602574">
        <w:rPr>
          <w:rStyle w:val="FootnoteReference"/>
          <w:noProof/>
        </w:rPr>
        <w:footnoteReference w:id="125"/>
      </w:r>
      <w:r w:rsidRPr="00602574">
        <w:rPr>
          <w:noProof/>
        </w:rPr>
        <w:t xml:space="preserve"> In the EU, similar economies of scale cannot be fully replicated. Even if new spectrum were assigned at EU level or under fully harmonised authorisation conditions, other regulatory frameworks such as </w:t>
      </w:r>
      <w:r w:rsidR="004A4D6B" w:rsidRPr="00602574">
        <w:rPr>
          <w:noProof/>
        </w:rPr>
        <w:t xml:space="preserve">data protection </w:t>
      </w:r>
      <w:r w:rsidRPr="00602574">
        <w:rPr>
          <w:noProof/>
        </w:rPr>
        <w:t>security, privacy, lawful interception, data retention and end-user protection would remain nationally fragmented. These divergent requirements result in higher compliance costs and the need to address national specificities, limiting operators’ ability to achieve comparable efficiencies.</w:t>
      </w:r>
      <w:r w:rsidRPr="00602574">
        <w:rPr>
          <w:rStyle w:val="FootnoteReference"/>
          <w:noProof/>
        </w:rPr>
        <w:footnoteReference w:id="126"/>
      </w:r>
    </w:p>
    <w:p w14:paraId="547F15E9" w14:textId="25533E1B" w:rsidR="001A088D" w:rsidRPr="00DE264C" w:rsidRDefault="0013021D" w:rsidP="00164C8F">
      <w:pPr>
        <w:pStyle w:val="Heading3"/>
        <w:tabs>
          <w:tab w:val="num" w:pos="7088"/>
        </w:tabs>
        <w:ind w:left="709"/>
        <w:rPr>
          <w:noProof/>
        </w:rPr>
      </w:pPr>
      <w:bookmarkStart w:id="87" w:name="_Toc214282968"/>
      <w:bookmarkStart w:id="88" w:name="_Toc214282969"/>
      <w:bookmarkStart w:id="89" w:name="_Toc214467697"/>
      <w:bookmarkStart w:id="90" w:name="_Toc215083723"/>
      <w:bookmarkStart w:id="91" w:name="_Toc219212491"/>
      <w:bookmarkStart w:id="92" w:name="_Toc219718146"/>
      <w:bookmarkEnd w:id="87"/>
      <w:bookmarkEnd w:id="88"/>
      <w:r w:rsidRPr="00DE264C">
        <w:rPr>
          <w:noProof/>
        </w:rPr>
        <w:t>F</w:t>
      </w:r>
      <w:r w:rsidR="001A088D" w:rsidRPr="00DE264C">
        <w:rPr>
          <w:noProof/>
        </w:rPr>
        <w:t xml:space="preserve">ragmented </w:t>
      </w:r>
      <w:r w:rsidRPr="00DE264C">
        <w:rPr>
          <w:noProof/>
        </w:rPr>
        <w:t>authori</w:t>
      </w:r>
      <w:r w:rsidR="00D97818" w:rsidRPr="00DE264C">
        <w:rPr>
          <w:noProof/>
        </w:rPr>
        <w:t>s</w:t>
      </w:r>
      <w:r w:rsidRPr="00DE264C">
        <w:rPr>
          <w:noProof/>
        </w:rPr>
        <w:t>ation</w:t>
      </w:r>
      <w:r w:rsidR="59405B11">
        <w:rPr>
          <w:noProof/>
        </w:rPr>
        <w:t xml:space="preserve"> conditions</w:t>
      </w:r>
      <w:r w:rsidR="003D7142">
        <w:rPr>
          <w:noProof/>
        </w:rPr>
        <w:t>,</w:t>
      </w:r>
      <w:r w:rsidRPr="00DE264C">
        <w:rPr>
          <w:noProof/>
        </w:rPr>
        <w:t xml:space="preserve"> </w:t>
      </w:r>
      <w:r w:rsidR="00313F45" w:rsidRPr="00DE264C">
        <w:rPr>
          <w:noProof/>
        </w:rPr>
        <w:t xml:space="preserve">not allowing </w:t>
      </w:r>
      <w:r w:rsidR="00E8293F" w:rsidRPr="00DE264C">
        <w:rPr>
          <w:noProof/>
        </w:rPr>
        <w:t xml:space="preserve">to operate </w:t>
      </w:r>
      <w:r w:rsidR="00313F45" w:rsidRPr="00DE264C">
        <w:rPr>
          <w:noProof/>
        </w:rPr>
        <w:t>across</w:t>
      </w:r>
      <w:r w:rsidR="00E8293F" w:rsidRPr="00DE264C">
        <w:rPr>
          <w:noProof/>
        </w:rPr>
        <w:t xml:space="preserve"> the </w:t>
      </w:r>
      <w:r w:rsidR="005E729A" w:rsidRPr="00DE264C">
        <w:rPr>
          <w:noProof/>
        </w:rPr>
        <w:t>EU</w:t>
      </w:r>
      <w:bookmarkEnd w:id="89"/>
      <w:bookmarkEnd w:id="90"/>
      <w:bookmarkEnd w:id="91"/>
      <w:bookmarkEnd w:id="92"/>
    </w:p>
    <w:p w14:paraId="242D3528" w14:textId="0FDDC35A" w:rsidR="00A0184B" w:rsidRPr="00722E67" w:rsidRDefault="00444E0D" w:rsidP="00292895">
      <w:pPr>
        <w:pStyle w:val="Heading4"/>
        <w:rPr>
          <w:noProof/>
        </w:rPr>
      </w:pPr>
      <w:r>
        <w:rPr>
          <w:rFonts w:eastAsiaTheme="minorHAnsi"/>
          <w:bCs/>
          <w:noProof/>
        </w:rPr>
        <w:t xml:space="preserve"> </w:t>
      </w:r>
      <w:r w:rsidR="0061214A" w:rsidRPr="00292895">
        <w:rPr>
          <w:rFonts w:eastAsiaTheme="minorHAnsi"/>
          <w:bCs/>
          <w:noProof/>
        </w:rPr>
        <w:t xml:space="preserve">Fragmented </w:t>
      </w:r>
      <w:r w:rsidR="00EF16B9">
        <w:rPr>
          <w:rFonts w:eastAsiaTheme="minorHAnsi"/>
          <w:bCs/>
          <w:noProof/>
        </w:rPr>
        <w:t>g</w:t>
      </w:r>
      <w:r w:rsidR="00A0184B" w:rsidRPr="00292895">
        <w:rPr>
          <w:rFonts w:eastAsiaTheme="minorHAnsi"/>
          <w:bCs/>
          <w:noProof/>
        </w:rPr>
        <w:t xml:space="preserve">eneral </w:t>
      </w:r>
      <w:r w:rsidR="00EF16B9">
        <w:rPr>
          <w:rFonts w:eastAsiaTheme="minorHAnsi"/>
          <w:bCs/>
          <w:noProof/>
        </w:rPr>
        <w:t>a</w:t>
      </w:r>
      <w:r w:rsidR="00A0184B" w:rsidRPr="00292895">
        <w:rPr>
          <w:rFonts w:eastAsiaTheme="minorHAnsi"/>
          <w:bCs/>
          <w:noProof/>
        </w:rPr>
        <w:t>uthorisation</w:t>
      </w:r>
      <w:r w:rsidR="0061214A" w:rsidRPr="00292895">
        <w:rPr>
          <w:rFonts w:eastAsiaTheme="minorHAnsi"/>
          <w:bCs/>
          <w:noProof/>
        </w:rPr>
        <w:t xml:space="preserve"> conditions</w:t>
      </w:r>
    </w:p>
    <w:p w14:paraId="529F1FE1" w14:textId="204E735A" w:rsidR="0024474F" w:rsidRPr="00DE264C" w:rsidRDefault="001A088D" w:rsidP="004B2949">
      <w:pPr>
        <w:spacing w:line="240" w:lineRule="auto"/>
        <w:rPr>
          <w:rFonts w:eastAsia="Times New Roman"/>
          <w:noProof/>
        </w:rPr>
      </w:pPr>
      <w:r w:rsidRPr="00DE264C">
        <w:rPr>
          <w:noProof/>
        </w:rPr>
        <w:t xml:space="preserve">The key drivers of problems with the </w:t>
      </w:r>
      <w:r w:rsidRPr="7AC71608">
        <w:rPr>
          <w:b/>
          <w:bCs/>
          <w:noProof/>
        </w:rPr>
        <w:t>general authorisation (GA)</w:t>
      </w:r>
      <w:r w:rsidRPr="00DE264C">
        <w:rPr>
          <w:noProof/>
        </w:rPr>
        <w:t xml:space="preserve"> regime in the EU </w:t>
      </w:r>
      <w:r w:rsidR="71865CFB" w:rsidRPr="00DE264C">
        <w:rPr>
          <w:noProof/>
        </w:rPr>
        <w:t>electronic communications</w:t>
      </w:r>
      <w:r w:rsidRPr="00DE264C">
        <w:rPr>
          <w:noProof/>
        </w:rPr>
        <w:t xml:space="preserve"> sector</w:t>
      </w:r>
      <w:r w:rsidR="102AC0DF" w:rsidRPr="00DE264C">
        <w:rPr>
          <w:noProof/>
        </w:rPr>
        <w:t xml:space="preserve"> arise </w:t>
      </w:r>
      <w:r w:rsidRPr="00DE264C">
        <w:rPr>
          <w:noProof/>
        </w:rPr>
        <w:t xml:space="preserve">from </w:t>
      </w:r>
      <w:r w:rsidR="6184D3EC" w:rsidRPr="00DE264C">
        <w:rPr>
          <w:noProof/>
        </w:rPr>
        <w:t xml:space="preserve">the Directive’s </w:t>
      </w:r>
      <w:r w:rsidRPr="00DE264C">
        <w:rPr>
          <w:noProof/>
        </w:rPr>
        <w:t>regulatory flexibility</w:t>
      </w:r>
      <w:r w:rsidR="53F018C9" w:rsidRPr="00DE264C">
        <w:rPr>
          <w:noProof/>
        </w:rPr>
        <w:t>,</w:t>
      </w:r>
      <w:r w:rsidRPr="00DE264C">
        <w:rPr>
          <w:noProof/>
        </w:rPr>
        <w:t xml:space="preserve"> which </w:t>
      </w:r>
      <w:r w:rsidR="0EB8282C" w:rsidRPr="00DE264C">
        <w:rPr>
          <w:noProof/>
        </w:rPr>
        <w:t xml:space="preserve">has led to </w:t>
      </w:r>
      <w:r w:rsidRPr="00DE264C">
        <w:rPr>
          <w:noProof/>
        </w:rPr>
        <w:t>fragmentation and inconsisten</w:t>
      </w:r>
      <w:r w:rsidR="01BE2FCE" w:rsidRPr="00DE264C">
        <w:rPr>
          <w:noProof/>
        </w:rPr>
        <w:t>t</w:t>
      </w:r>
      <w:r w:rsidRPr="00DE264C">
        <w:rPr>
          <w:noProof/>
        </w:rPr>
        <w:t xml:space="preserve"> applica</w:t>
      </w:r>
      <w:r w:rsidR="21C9BFED" w:rsidRPr="00DE264C">
        <w:rPr>
          <w:noProof/>
        </w:rPr>
        <w:t>tion of</w:t>
      </w:r>
      <w:r w:rsidRPr="00DE264C">
        <w:rPr>
          <w:noProof/>
        </w:rPr>
        <w:t xml:space="preserve"> </w:t>
      </w:r>
      <w:r w:rsidR="11966552" w:rsidRPr="00DE264C">
        <w:rPr>
          <w:noProof/>
        </w:rPr>
        <w:t xml:space="preserve">the </w:t>
      </w:r>
      <w:r w:rsidRPr="00DE264C">
        <w:rPr>
          <w:noProof/>
        </w:rPr>
        <w:t xml:space="preserve">GA conditions. </w:t>
      </w:r>
      <w:r w:rsidR="1CD353D7" w:rsidRPr="00DE264C">
        <w:rPr>
          <w:noProof/>
        </w:rPr>
        <w:t>T</w:t>
      </w:r>
      <w:r w:rsidR="11BA038A" w:rsidRPr="00DE264C">
        <w:rPr>
          <w:noProof/>
        </w:rPr>
        <w:t xml:space="preserve">he </w:t>
      </w:r>
      <w:r w:rsidR="73F0A8EA" w:rsidRPr="00DE264C">
        <w:rPr>
          <w:noProof/>
        </w:rPr>
        <w:t>EECC</w:t>
      </w:r>
      <w:r w:rsidR="11BA038A" w:rsidRPr="00DE264C">
        <w:rPr>
          <w:noProof/>
        </w:rPr>
        <w:t xml:space="preserve"> </w:t>
      </w:r>
      <w:r w:rsidR="679EF96B" w:rsidRPr="00DE264C">
        <w:rPr>
          <w:noProof/>
        </w:rPr>
        <w:t>harmonised the list of possible GA conditions, but it remained</w:t>
      </w:r>
      <w:r w:rsidR="62CF83B6" w:rsidRPr="00DE264C">
        <w:rPr>
          <w:noProof/>
        </w:rPr>
        <w:t xml:space="preserve"> m</w:t>
      </w:r>
      <w:r w:rsidR="6E6897FC" w:rsidRPr="00DE264C">
        <w:rPr>
          <w:noProof/>
        </w:rPr>
        <w:t>ax</w:t>
      </w:r>
      <w:r w:rsidR="62CF83B6" w:rsidRPr="00DE264C">
        <w:rPr>
          <w:noProof/>
        </w:rPr>
        <w:t xml:space="preserve">imum and national discretion </w:t>
      </w:r>
      <w:r w:rsidR="1F693248" w:rsidRPr="00DE264C">
        <w:rPr>
          <w:noProof/>
        </w:rPr>
        <w:t>was kept</w:t>
      </w:r>
      <w:r w:rsidR="62CF83B6" w:rsidRPr="00DE264C">
        <w:rPr>
          <w:noProof/>
        </w:rPr>
        <w:t xml:space="preserve"> on attaching the cond</w:t>
      </w:r>
      <w:r w:rsidR="1937CD41" w:rsidRPr="00DE264C">
        <w:rPr>
          <w:noProof/>
        </w:rPr>
        <w:t>itions</w:t>
      </w:r>
      <w:r w:rsidR="479C55BF" w:rsidRPr="00DE264C">
        <w:rPr>
          <w:noProof/>
        </w:rPr>
        <w:t xml:space="preserve">. </w:t>
      </w:r>
      <w:r w:rsidR="3ADA18F9" w:rsidRPr="00DE264C">
        <w:rPr>
          <w:noProof/>
        </w:rPr>
        <w:t>Consequently</w:t>
      </w:r>
      <w:r w:rsidR="1937CD41" w:rsidRPr="00DE264C">
        <w:rPr>
          <w:noProof/>
        </w:rPr>
        <w:t>,</w:t>
      </w:r>
      <w:r w:rsidR="679EF96B" w:rsidRPr="00DE264C">
        <w:rPr>
          <w:noProof/>
        </w:rPr>
        <w:t xml:space="preserve"> </w:t>
      </w:r>
      <w:r w:rsidR="756F33AE" w:rsidRPr="00DE264C">
        <w:rPr>
          <w:noProof/>
        </w:rPr>
        <w:t>M</w:t>
      </w:r>
      <w:r w:rsidR="00D52DA2" w:rsidRPr="00DE264C">
        <w:rPr>
          <w:noProof/>
        </w:rPr>
        <w:t xml:space="preserve">ember </w:t>
      </w:r>
      <w:r w:rsidR="756F33AE" w:rsidRPr="00DE264C">
        <w:rPr>
          <w:noProof/>
        </w:rPr>
        <w:t>S</w:t>
      </w:r>
      <w:r w:rsidR="00D52DA2" w:rsidRPr="00DE264C">
        <w:rPr>
          <w:noProof/>
        </w:rPr>
        <w:t>tates</w:t>
      </w:r>
      <w:r w:rsidR="756F33AE" w:rsidRPr="00DE264C">
        <w:rPr>
          <w:noProof/>
        </w:rPr>
        <w:t xml:space="preserve"> </w:t>
      </w:r>
      <w:r w:rsidR="30B87D18" w:rsidRPr="00DE264C">
        <w:rPr>
          <w:noProof/>
        </w:rPr>
        <w:t xml:space="preserve">did not take a uniform approach to GA regime and </w:t>
      </w:r>
      <w:r w:rsidR="756F33AE" w:rsidRPr="00DE264C">
        <w:rPr>
          <w:noProof/>
        </w:rPr>
        <w:t>introduced divergent</w:t>
      </w:r>
      <w:r w:rsidR="00E342F3" w:rsidRPr="00DE264C">
        <w:rPr>
          <w:noProof/>
        </w:rPr>
        <w:t xml:space="preserve"> secondary legislation </w:t>
      </w:r>
      <w:r w:rsidR="38127F31" w:rsidRPr="00DE264C">
        <w:rPr>
          <w:noProof/>
        </w:rPr>
        <w:t>and</w:t>
      </w:r>
      <w:r w:rsidR="00190140" w:rsidRPr="00DE264C">
        <w:rPr>
          <w:noProof/>
        </w:rPr>
        <w:t>/</w:t>
      </w:r>
      <w:r w:rsidR="00E342F3" w:rsidRPr="00DE264C">
        <w:rPr>
          <w:noProof/>
        </w:rPr>
        <w:t>or administrative (regulatory) decisions</w:t>
      </w:r>
      <w:r w:rsidR="7B8F26D9" w:rsidRPr="00DE264C">
        <w:rPr>
          <w:noProof/>
        </w:rPr>
        <w:t xml:space="preserve"> to further specify the conditions</w:t>
      </w:r>
      <w:r w:rsidR="00F97126" w:rsidRPr="00DE264C">
        <w:rPr>
          <w:noProof/>
        </w:rPr>
        <w:t>.</w:t>
      </w:r>
      <w:r w:rsidR="00E342F3" w:rsidRPr="00DE264C">
        <w:rPr>
          <w:noProof/>
        </w:rPr>
        <w:t xml:space="preserve"> </w:t>
      </w:r>
      <w:r w:rsidR="00F97126" w:rsidRPr="00DE264C">
        <w:rPr>
          <w:noProof/>
        </w:rPr>
        <w:t xml:space="preserve">This situation </w:t>
      </w:r>
      <w:r w:rsidR="55BBC95C" w:rsidRPr="00DE264C">
        <w:rPr>
          <w:noProof/>
        </w:rPr>
        <w:t>result</w:t>
      </w:r>
      <w:r w:rsidR="00F97126" w:rsidRPr="00DE264C">
        <w:rPr>
          <w:noProof/>
        </w:rPr>
        <w:t>s</w:t>
      </w:r>
      <w:r w:rsidR="00E342F3" w:rsidRPr="00DE264C">
        <w:rPr>
          <w:noProof/>
        </w:rPr>
        <w:t xml:space="preserve"> </w:t>
      </w:r>
      <w:r w:rsidR="55BBC95C" w:rsidRPr="00DE264C">
        <w:rPr>
          <w:noProof/>
        </w:rPr>
        <w:t xml:space="preserve">in </w:t>
      </w:r>
      <w:r w:rsidR="00F97126" w:rsidRPr="00DE264C">
        <w:rPr>
          <w:noProof/>
        </w:rPr>
        <w:t>potentially</w:t>
      </w:r>
      <w:r w:rsidR="55BBC95C" w:rsidRPr="00DE264C">
        <w:rPr>
          <w:noProof/>
        </w:rPr>
        <w:t xml:space="preserve"> </w:t>
      </w:r>
      <w:r w:rsidR="00E342F3" w:rsidRPr="00DE264C">
        <w:rPr>
          <w:noProof/>
        </w:rPr>
        <w:t>up to 1</w:t>
      </w:r>
      <w:r w:rsidR="005542A9">
        <w:rPr>
          <w:noProof/>
        </w:rPr>
        <w:t> </w:t>
      </w:r>
      <w:r w:rsidR="00E342F3" w:rsidRPr="00DE264C">
        <w:rPr>
          <w:noProof/>
        </w:rPr>
        <w:t xml:space="preserve">053 </w:t>
      </w:r>
      <w:r w:rsidR="00053B39" w:rsidRPr="00DE264C">
        <w:rPr>
          <w:noProof/>
        </w:rPr>
        <w:t>co</w:t>
      </w:r>
      <w:r w:rsidR="004A540E" w:rsidRPr="00DE264C">
        <w:rPr>
          <w:noProof/>
        </w:rPr>
        <w:t xml:space="preserve">nditions </w:t>
      </w:r>
      <w:r w:rsidR="4C422995" w:rsidRPr="00DE264C">
        <w:rPr>
          <w:noProof/>
        </w:rPr>
        <w:t xml:space="preserve">specified at national </w:t>
      </w:r>
      <w:r w:rsidRPr="00DE264C">
        <w:rPr>
          <w:noProof/>
        </w:rPr>
        <w:t>level</w:t>
      </w:r>
      <w:r w:rsidR="5A28F8BB" w:rsidRPr="00DE264C">
        <w:rPr>
          <w:noProof/>
        </w:rPr>
        <w:t>s</w:t>
      </w:r>
      <w:r w:rsidR="4C422995" w:rsidRPr="00DE264C">
        <w:rPr>
          <w:noProof/>
        </w:rPr>
        <w:t xml:space="preserve">, </w:t>
      </w:r>
      <w:r w:rsidR="004A540E" w:rsidRPr="00DE264C">
        <w:rPr>
          <w:noProof/>
        </w:rPr>
        <w:t>a</w:t>
      </w:r>
      <w:r w:rsidR="00AC7B24" w:rsidRPr="00DE264C">
        <w:rPr>
          <w:noProof/>
        </w:rPr>
        <w:t xml:space="preserve"> </w:t>
      </w:r>
      <w:r w:rsidR="004D539A" w:rsidRPr="00DE264C">
        <w:rPr>
          <w:noProof/>
        </w:rPr>
        <w:t xml:space="preserve">cross-border </w:t>
      </w:r>
      <w:r w:rsidR="004A540E" w:rsidRPr="00DE264C">
        <w:rPr>
          <w:noProof/>
        </w:rPr>
        <w:t xml:space="preserve">operator </w:t>
      </w:r>
      <w:r w:rsidR="00663C78" w:rsidRPr="00DE264C">
        <w:rPr>
          <w:noProof/>
        </w:rPr>
        <w:t>(</w:t>
      </w:r>
      <w:r w:rsidR="004D539A" w:rsidRPr="00DE264C">
        <w:rPr>
          <w:noProof/>
        </w:rPr>
        <w:t xml:space="preserve">present </w:t>
      </w:r>
      <w:r w:rsidR="004C7E7C" w:rsidRPr="00DE264C">
        <w:rPr>
          <w:noProof/>
        </w:rPr>
        <w:t xml:space="preserve">or with a regulatory </w:t>
      </w:r>
      <w:r w:rsidR="000471FB" w:rsidRPr="00DE264C">
        <w:rPr>
          <w:noProof/>
        </w:rPr>
        <w:t xml:space="preserve">footprint </w:t>
      </w:r>
      <w:r w:rsidR="004D539A" w:rsidRPr="00DE264C">
        <w:rPr>
          <w:noProof/>
        </w:rPr>
        <w:t>in 27 Member States</w:t>
      </w:r>
      <w:r w:rsidR="00663C78" w:rsidRPr="00DE264C">
        <w:rPr>
          <w:noProof/>
        </w:rPr>
        <w:t>)</w:t>
      </w:r>
      <w:r w:rsidR="004D539A" w:rsidRPr="00DE264C">
        <w:rPr>
          <w:noProof/>
        </w:rPr>
        <w:t xml:space="preserve"> </w:t>
      </w:r>
      <w:r w:rsidR="004D103A" w:rsidRPr="00DE264C">
        <w:rPr>
          <w:noProof/>
        </w:rPr>
        <w:t>c</w:t>
      </w:r>
      <w:r w:rsidR="00721D40" w:rsidRPr="00DE264C">
        <w:rPr>
          <w:noProof/>
        </w:rPr>
        <w:t xml:space="preserve">ould </w:t>
      </w:r>
      <w:r w:rsidR="004D103A" w:rsidRPr="00DE264C">
        <w:rPr>
          <w:noProof/>
        </w:rPr>
        <w:t xml:space="preserve">be required </w:t>
      </w:r>
      <w:r w:rsidR="00721D40" w:rsidRPr="00DE264C">
        <w:rPr>
          <w:noProof/>
        </w:rPr>
        <w:t>to comply with</w:t>
      </w:r>
      <w:r w:rsidR="18440751" w:rsidRPr="00DE264C">
        <w:rPr>
          <w:noProof/>
        </w:rPr>
        <w:t xml:space="preserve">. This complexity makes </w:t>
      </w:r>
      <w:r w:rsidR="00E342F3" w:rsidRPr="00DE264C">
        <w:rPr>
          <w:noProof/>
        </w:rPr>
        <w:t>compliance burdensome</w:t>
      </w:r>
      <w:r w:rsidR="00831B29" w:rsidRPr="00DE264C">
        <w:rPr>
          <w:noProof/>
        </w:rPr>
        <w:t xml:space="preserve"> and </w:t>
      </w:r>
      <w:r w:rsidR="00A93E7C" w:rsidRPr="00DE264C">
        <w:rPr>
          <w:noProof/>
        </w:rPr>
        <w:t xml:space="preserve">fragmentation costs </w:t>
      </w:r>
      <w:r w:rsidR="3CDA7489" w:rsidRPr="00DE264C">
        <w:rPr>
          <w:noProof/>
        </w:rPr>
        <w:t xml:space="preserve">linked to GA, for </w:t>
      </w:r>
      <w:r w:rsidR="00477469" w:rsidRPr="00DE264C">
        <w:rPr>
          <w:noProof/>
        </w:rPr>
        <w:t>staff necessary</w:t>
      </w:r>
      <w:r w:rsidR="3CDA7489" w:rsidRPr="00DE264C">
        <w:rPr>
          <w:noProof/>
        </w:rPr>
        <w:t xml:space="preserve"> for compliance with the divergent conditions</w:t>
      </w:r>
      <w:r w:rsidR="00A93E7C" w:rsidRPr="00DE264C">
        <w:rPr>
          <w:noProof/>
        </w:rPr>
        <w:t xml:space="preserve"> </w:t>
      </w:r>
      <w:r w:rsidR="00E75306" w:rsidRPr="00DE264C">
        <w:rPr>
          <w:noProof/>
        </w:rPr>
        <w:t xml:space="preserve">for such an operator </w:t>
      </w:r>
      <w:r w:rsidR="00A93E7C" w:rsidRPr="00DE264C">
        <w:rPr>
          <w:noProof/>
        </w:rPr>
        <w:t xml:space="preserve">could range between </w:t>
      </w:r>
      <w:r w:rsidR="00D77FAC" w:rsidRPr="00DE264C">
        <w:rPr>
          <w:noProof/>
        </w:rPr>
        <w:t>EUR</w:t>
      </w:r>
      <w:r w:rsidR="00482040">
        <w:rPr>
          <w:noProof/>
        </w:rPr>
        <w:t> </w:t>
      </w:r>
      <w:r w:rsidR="6068767D" w:rsidRPr="00DE264C">
        <w:rPr>
          <w:noProof/>
        </w:rPr>
        <w:t>0</w:t>
      </w:r>
      <w:r w:rsidR="005542A9">
        <w:rPr>
          <w:noProof/>
        </w:rPr>
        <w:t>.</w:t>
      </w:r>
      <w:r w:rsidR="6068767D" w:rsidRPr="00DE264C">
        <w:rPr>
          <w:noProof/>
        </w:rPr>
        <w:t>50</w:t>
      </w:r>
      <w:r w:rsidR="4B5212D7" w:rsidRPr="00DE264C">
        <w:rPr>
          <w:noProof/>
        </w:rPr>
        <w:t>–1</w:t>
      </w:r>
      <w:r w:rsidR="005542A9">
        <w:rPr>
          <w:noProof/>
        </w:rPr>
        <w:t>.</w:t>
      </w:r>
      <w:r w:rsidR="4B5212D7" w:rsidRPr="00DE264C">
        <w:rPr>
          <w:noProof/>
        </w:rPr>
        <w:t xml:space="preserve">20 </w:t>
      </w:r>
      <w:r w:rsidR="00A93E7C" w:rsidRPr="00DE264C">
        <w:rPr>
          <w:noProof/>
        </w:rPr>
        <w:t>million per year</w:t>
      </w:r>
      <w:r w:rsidR="7385E3B3" w:rsidRPr="00DE264C">
        <w:rPr>
          <w:noProof/>
        </w:rPr>
        <w:t xml:space="preserve">, or even up to </w:t>
      </w:r>
      <w:r w:rsidR="131EB4E7">
        <w:rPr>
          <w:noProof/>
        </w:rPr>
        <w:t>EUR</w:t>
      </w:r>
      <w:r w:rsidR="00482040">
        <w:rPr>
          <w:noProof/>
        </w:rPr>
        <w:t> </w:t>
      </w:r>
      <w:r w:rsidR="131EB4E7">
        <w:rPr>
          <w:noProof/>
        </w:rPr>
        <w:t>6</w:t>
      </w:r>
      <w:r w:rsidR="005542A9">
        <w:rPr>
          <w:noProof/>
        </w:rPr>
        <w:t>–</w:t>
      </w:r>
      <w:r w:rsidR="131EB4E7">
        <w:rPr>
          <w:noProof/>
        </w:rPr>
        <w:t>11 million per year</w:t>
      </w:r>
      <w:r w:rsidR="3C8F65E0">
        <w:rPr>
          <w:noProof/>
        </w:rPr>
        <w:t>/</w:t>
      </w:r>
      <w:r w:rsidR="131EB4E7">
        <w:rPr>
          <w:noProof/>
        </w:rPr>
        <w:t xml:space="preserve">operator if the totality of compliance costs </w:t>
      </w:r>
      <w:r w:rsidR="06486265">
        <w:rPr>
          <w:noProof/>
        </w:rPr>
        <w:t>(the need to align with all the natio</w:t>
      </w:r>
      <w:r w:rsidR="0625D855">
        <w:rPr>
          <w:noProof/>
        </w:rPr>
        <w:t>nal conditions</w:t>
      </w:r>
      <w:r w:rsidR="0BD68B12">
        <w:rPr>
          <w:noProof/>
        </w:rPr>
        <w:t>)</w:t>
      </w:r>
      <w:r w:rsidR="131EB4E7" w:rsidRPr="19D612A4">
        <w:rPr>
          <w:rFonts w:eastAsia="Times New Roman"/>
          <w:noProof/>
        </w:rPr>
        <w:t xml:space="preserve"> </w:t>
      </w:r>
      <w:r w:rsidR="090F225D" w:rsidRPr="1796C77A">
        <w:rPr>
          <w:rFonts w:eastAsia="Times New Roman"/>
          <w:noProof/>
        </w:rPr>
        <w:t xml:space="preserve">is </w:t>
      </w:r>
      <w:r w:rsidR="00C87594">
        <w:rPr>
          <w:rFonts w:eastAsia="Times New Roman"/>
          <w:noProof/>
        </w:rPr>
        <w:t>taken into account</w:t>
      </w:r>
      <w:r w:rsidR="090F225D" w:rsidRPr="1796C77A">
        <w:rPr>
          <w:rFonts w:eastAsia="Times New Roman"/>
          <w:noProof/>
        </w:rPr>
        <w:t>.</w:t>
      </w:r>
      <w:r w:rsidRPr="009C7CBE">
        <w:rPr>
          <w:rStyle w:val="FootnoteReference"/>
          <w:noProof/>
        </w:rPr>
        <w:footnoteReference w:id="127"/>
      </w:r>
    </w:p>
    <w:p w14:paraId="03643C2B" w14:textId="41D711DE" w:rsidR="003C3CB0" w:rsidRPr="00DE264C" w:rsidRDefault="6812C831" w:rsidP="004B2949">
      <w:pPr>
        <w:spacing w:line="240" w:lineRule="auto"/>
        <w:rPr>
          <w:noProof/>
          <w:lang w:val="en-IE"/>
        </w:rPr>
      </w:pPr>
      <w:r w:rsidRPr="00DE264C">
        <w:rPr>
          <w:noProof/>
        </w:rPr>
        <w:t>Additionally</w:t>
      </w:r>
      <w:r w:rsidR="001A088D" w:rsidRPr="00DE264C">
        <w:rPr>
          <w:noProof/>
        </w:rPr>
        <w:t>, diverging security, data-related and privacy requirements further complicate operations for cross-border providers, particularly due to differences in rules on data retention, lawful interception, and network localisation. For instance</w:t>
      </w:r>
      <w:r w:rsidR="00320D7D" w:rsidRPr="00DE264C">
        <w:rPr>
          <w:noProof/>
        </w:rPr>
        <w:t>, according to the EECC</w:t>
      </w:r>
      <w:r w:rsidR="00320D7D" w:rsidRPr="00DE264C">
        <w:rPr>
          <w:rStyle w:val="FootnoteReference"/>
          <w:noProof/>
        </w:rPr>
        <w:footnoteReference w:id="128"/>
      </w:r>
      <w:r w:rsidR="001A088D" w:rsidRPr="00DE264C">
        <w:rPr>
          <w:noProof/>
        </w:rPr>
        <w:t xml:space="preserve"> NI-ICS are exempted from the condition for enabling lawful interception and hence, </w:t>
      </w:r>
      <w:r w:rsidR="00320D7D" w:rsidRPr="00DE264C">
        <w:rPr>
          <w:noProof/>
        </w:rPr>
        <w:t xml:space="preserve">some </w:t>
      </w:r>
      <w:r w:rsidR="001A088D" w:rsidRPr="00DE264C">
        <w:rPr>
          <w:noProof/>
        </w:rPr>
        <w:t>Member States took a different approach towards such services providers</w:t>
      </w:r>
      <w:r w:rsidR="00320D7D" w:rsidRPr="00DE264C">
        <w:rPr>
          <w:rStyle w:val="FootnoteReference"/>
          <w:noProof/>
        </w:rPr>
        <w:footnoteReference w:id="129"/>
      </w:r>
      <w:r w:rsidR="001A088D" w:rsidRPr="00DE264C">
        <w:rPr>
          <w:noProof/>
        </w:rPr>
        <w:t>. Next, procedural inconsistencies, such as the non-mandatory use of BEREC’s notification template or no notification requirement at all</w:t>
      </w:r>
      <w:r w:rsidR="00415E17" w:rsidRPr="00DE264C">
        <w:rPr>
          <w:rStyle w:val="FootnoteReference"/>
          <w:noProof/>
        </w:rPr>
        <w:footnoteReference w:id="130"/>
      </w:r>
      <w:r w:rsidR="001A088D" w:rsidRPr="00DE264C">
        <w:rPr>
          <w:noProof/>
        </w:rPr>
        <w:t xml:space="preserve"> and the lack of standardised reporting formats, lead to varied administrative obligations across Member States.</w:t>
      </w:r>
      <w:r w:rsidR="00694843" w:rsidRPr="00DE264C">
        <w:rPr>
          <w:noProof/>
        </w:rPr>
        <w:t xml:space="preserve"> </w:t>
      </w:r>
      <w:r w:rsidR="755EC79A" w:rsidRPr="00DE264C">
        <w:rPr>
          <w:rFonts w:eastAsia="EYInterstate Light"/>
          <w:noProof/>
          <w:lang w:val="en-IE"/>
        </w:rPr>
        <w:t>F</w:t>
      </w:r>
      <w:r w:rsidR="595056B9" w:rsidRPr="00DE264C">
        <w:rPr>
          <w:rFonts w:eastAsia="EYInterstate Light"/>
          <w:noProof/>
          <w:lang w:val="en-IE"/>
        </w:rPr>
        <w:t xml:space="preserve">or a detailed analysis and evidence see evaluation </w:t>
      </w:r>
      <w:r w:rsidR="47263E3E" w:rsidRPr="00DE264C">
        <w:rPr>
          <w:rFonts w:eastAsia="EYInterstate Light"/>
          <w:noProof/>
          <w:lang w:val="en-IE"/>
        </w:rPr>
        <w:t xml:space="preserve">report, </w:t>
      </w:r>
      <w:r w:rsidR="595056B9" w:rsidRPr="00DE264C">
        <w:rPr>
          <w:rFonts w:eastAsia="EYInterstate Light"/>
          <w:noProof/>
          <w:lang w:val="en-IE"/>
        </w:rPr>
        <w:t xml:space="preserve">Annex </w:t>
      </w:r>
      <w:r w:rsidR="3D9EC850" w:rsidRPr="00DE264C">
        <w:rPr>
          <w:rFonts w:eastAsia="EYInterstate Light"/>
          <w:noProof/>
          <w:lang w:val="en-IE"/>
        </w:rPr>
        <w:t>11</w:t>
      </w:r>
      <w:r w:rsidR="595056B9" w:rsidRPr="00DE264C">
        <w:rPr>
          <w:rFonts w:eastAsia="EYInterstate Light"/>
          <w:noProof/>
          <w:lang w:val="en-IE"/>
        </w:rPr>
        <w:t>.</w:t>
      </w:r>
    </w:p>
    <w:p w14:paraId="408B9985" w14:textId="025B2A0E" w:rsidR="00220C09" w:rsidRPr="00DE264C" w:rsidRDefault="45B167C7" w:rsidP="004B2949">
      <w:pPr>
        <w:spacing w:line="240" w:lineRule="auto"/>
        <w:rPr>
          <w:noProof/>
          <w:lang w:val="en-IE"/>
        </w:rPr>
      </w:pPr>
      <w:r w:rsidRPr="004F6362">
        <w:rPr>
          <w:noProof/>
        </w:rPr>
        <w:t>The lack of Single Market is becoming more evident especially with the ongoing technological and market transformation taking place in the electronic communications sector.</w:t>
      </w:r>
      <w:r w:rsidR="00220C09" w:rsidRPr="004F6362">
        <w:rPr>
          <w:noProof/>
        </w:rPr>
        <w:t xml:space="preserve"> </w:t>
      </w:r>
      <w:r w:rsidR="1130415D" w:rsidRPr="004F6362">
        <w:rPr>
          <w:noProof/>
        </w:rPr>
        <w:t xml:space="preserve">Content and Application </w:t>
      </w:r>
      <w:r w:rsidR="5A4AC254" w:rsidRPr="004F6362">
        <w:rPr>
          <w:noProof/>
        </w:rPr>
        <w:t>Providers (CAPs)</w:t>
      </w:r>
      <w:r w:rsidR="1130415D" w:rsidRPr="004F6362">
        <w:rPr>
          <w:noProof/>
        </w:rPr>
        <w:t xml:space="preserve"> </w:t>
      </w:r>
      <w:r w:rsidR="65076FAC" w:rsidRPr="004F6362">
        <w:rPr>
          <w:noProof/>
        </w:rPr>
        <w:t xml:space="preserve">and cloud providers </w:t>
      </w:r>
      <w:r w:rsidR="5285F93B" w:rsidRPr="004F6362">
        <w:rPr>
          <w:noProof/>
        </w:rPr>
        <w:t>are increasingly entering</w:t>
      </w:r>
      <w:r w:rsidR="65076FAC" w:rsidRPr="004F6362">
        <w:rPr>
          <w:noProof/>
        </w:rPr>
        <w:t xml:space="preserve"> the electronic communication</w:t>
      </w:r>
      <w:r w:rsidR="1130415D" w:rsidRPr="004F6362">
        <w:rPr>
          <w:noProof/>
        </w:rPr>
        <w:t xml:space="preserve"> </w:t>
      </w:r>
      <w:r w:rsidR="7648A2BC" w:rsidRPr="004F6362">
        <w:rPr>
          <w:noProof/>
        </w:rPr>
        <w:t>networks</w:t>
      </w:r>
      <w:r w:rsidR="74BFB741" w:rsidRPr="004F6362">
        <w:rPr>
          <w:noProof/>
        </w:rPr>
        <w:t xml:space="preserve"> market</w:t>
      </w:r>
      <w:r w:rsidR="7648A2BC" w:rsidRPr="004F6362">
        <w:rPr>
          <w:noProof/>
        </w:rPr>
        <w:t xml:space="preserve"> </w:t>
      </w:r>
      <w:r w:rsidR="207675BC" w:rsidRPr="004F6362">
        <w:rPr>
          <w:noProof/>
        </w:rPr>
        <w:t xml:space="preserve">with investments into </w:t>
      </w:r>
      <w:r w:rsidR="00220C09" w:rsidRPr="004F6362">
        <w:rPr>
          <w:noProof/>
        </w:rPr>
        <w:t>content delivery networks, submarine cables, backbone networks, and edge/cloud platforms</w:t>
      </w:r>
      <w:r w:rsidR="2319A977" w:rsidRPr="004F6362">
        <w:rPr>
          <w:noProof/>
        </w:rPr>
        <w:t>; however</w:t>
      </w:r>
      <w:r w:rsidR="002228C8" w:rsidRPr="004F6362">
        <w:rPr>
          <w:noProof/>
        </w:rPr>
        <w:t>,</w:t>
      </w:r>
      <w:r w:rsidR="2319A977" w:rsidRPr="004F6362">
        <w:rPr>
          <w:noProof/>
        </w:rPr>
        <w:t xml:space="preserve"> they</w:t>
      </w:r>
      <w:r w:rsidR="00003D7E" w:rsidRPr="004F6362">
        <w:rPr>
          <w:noProof/>
        </w:rPr>
        <w:t xml:space="preserve"> </w:t>
      </w:r>
      <w:r w:rsidR="00220C09" w:rsidRPr="004F6362">
        <w:rPr>
          <w:noProof/>
        </w:rPr>
        <w:t>benefit from a ‘Country of origin’ regime for their operations, while traditional telecom players currently need to comply with 27 sets of rules, as further detailed in section 2.2.4. and are hence disincentivised from providing cross-border services. This leads to limited deployment of advanced and resilient connectivity and opportunity cost of foregone innovation (for examples of innovative services see section 2.1.3). Similarly, lack of cooperation between actors in this extended connectivity ecosystem limits the delivery of such innovative services. Moreover, the provision of such services (e.g. network slicing to provide “specialized services” under the OIR) may require further regulatory predictability</w:t>
      </w:r>
      <w:r w:rsidR="7B38D649" w:rsidRPr="004F6362">
        <w:rPr>
          <w:noProof/>
        </w:rPr>
        <w:t>.</w:t>
      </w:r>
    </w:p>
    <w:p w14:paraId="1548BD4F" w14:textId="5705F0CC" w:rsidR="4FFEA776" w:rsidRPr="0060773D" w:rsidRDefault="00EB1BDF" w:rsidP="1DDA0F85">
      <w:pPr>
        <w:spacing w:after="0"/>
        <w:rPr>
          <w:rFonts w:eastAsia="Times New Roman"/>
          <w:i/>
          <w:noProof/>
          <w:u w:val="single"/>
          <w:lang w:val="en-IE"/>
        </w:rPr>
      </w:pPr>
      <w:r w:rsidRPr="0060773D">
        <w:rPr>
          <w:rFonts w:eastAsia="Times New Roman"/>
          <w:i/>
          <w:noProof/>
          <w:u w:val="single"/>
        </w:rPr>
        <w:t>Table 11: Causal link between root causes/problem drivers and problems</w:t>
      </w:r>
      <w:r w:rsidRPr="0060773D">
        <w:rPr>
          <w:rFonts w:eastAsia="Times New Roman"/>
          <w:i/>
          <w:strike/>
          <w:noProof/>
          <w:color w:val="498205"/>
          <w:u w:val="single"/>
        </w:rPr>
        <w:t xml:space="preserve"> </w:t>
      </w:r>
      <w:r w:rsidRPr="0060773D">
        <w:rPr>
          <w:i/>
          <w:noProof/>
          <w:u w:val="single"/>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649"/>
        <w:gridCol w:w="4401"/>
      </w:tblGrid>
      <w:tr w:rsidR="1DDA0F85" w14:paraId="7B1B4135" w14:textId="77777777" w:rsidTr="1DDA0F85">
        <w:trPr>
          <w:trHeight w:val="300"/>
        </w:trPr>
        <w:tc>
          <w:tcPr>
            <w:tcW w:w="4935" w:type="dxa"/>
            <w:tcBorders>
              <w:top w:val="single" w:sz="8" w:space="0" w:color="auto"/>
              <w:left w:val="single" w:sz="8" w:space="0" w:color="auto"/>
              <w:bottom w:val="single" w:sz="8" w:space="0" w:color="auto"/>
              <w:right w:val="single" w:sz="8" w:space="0" w:color="auto"/>
            </w:tcBorders>
          </w:tcPr>
          <w:p w14:paraId="4ECC52CB" w14:textId="50DC4B7F" w:rsidR="1DDA0F85" w:rsidRDefault="1DDA0F85" w:rsidP="00EF16B9">
            <w:pPr>
              <w:spacing w:after="120"/>
              <w:jc w:val="center"/>
              <w:rPr>
                <w:rFonts w:eastAsia="Times New Roman"/>
                <w:noProof/>
                <w:sz w:val="20"/>
                <w:szCs w:val="20"/>
              </w:rPr>
            </w:pPr>
            <w:r w:rsidRPr="1DDA0F85">
              <w:rPr>
                <w:rFonts w:eastAsia="Times New Roman"/>
                <w:b/>
                <w:bCs/>
                <w:noProof/>
                <w:sz w:val="20"/>
                <w:szCs w:val="20"/>
              </w:rPr>
              <w:t>Problem driver/root causes</w:t>
            </w:r>
            <w:r w:rsidRPr="1DDA0F85">
              <w:rPr>
                <w:rFonts w:eastAsia="Times New Roman"/>
                <w:noProof/>
                <w:sz w:val="20"/>
                <w:szCs w:val="20"/>
              </w:rPr>
              <w:t xml:space="preserve"> </w:t>
            </w:r>
          </w:p>
        </w:tc>
        <w:tc>
          <w:tcPr>
            <w:tcW w:w="4650" w:type="dxa"/>
            <w:tcBorders>
              <w:top w:val="single" w:sz="8" w:space="0" w:color="auto"/>
              <w:left w:val="single" w:sz="8" w:space="0" w:color="auto"/>
              <w:bottom w:val="single" w:sz="8" w:space="0" w:color="auto"/>
              <w:right w:val="single" w:sz="8" w:space="0" w:color="auto"/>
            </w:tcBorders>
          </w:tcPr>
          <w:p w14:paraId="71285EF9" w14:textId="0FE40D7E" w:rsidR="1DDA0F85" w:rsidRDefault="1DDA0F85" w:rsidP="00EF16B9">
            <w:pPr>
              <w:spacing w:after="120"/>
              <w:jc w:val="center"/>
              <w:rPr>
                <w:rFonts w:eastAsia="Times New Roman"/>
                <w:noProof/>
                <w:sz w:val="20"/>
                <w:szCs w:val="20"/>
              </w:rPr>
            </w:pPr>
            <w:r w:rsidRPr="1DDA0F85">
              <w:rPr>
                <w:rFonts w:eastAsia="Times New Roman"/>
                <w:b/>
                <w:bCs/>
                <w:noProof/>
                <w:sz w:val="20"/>
                <w:szCs w:val="20"/>
              </w:rPr>
              <w:t xml:space="preserve">Causal link with the </w:t>
            </w:r>
            <w:r w:rsidR="093D5033" w:rsidRPr="1DDA0F85">
              <w:rPr>
                <w:rFonts w:eastAsia="Times New Roman"/>
                <w:b/>
                <w:bCs/>
                <w:noProof/>
                <w:sz w:val="20"/>
                <w:szCs w:val="20"/>
              </w:rPr>
              <w:t xml:space="preserve">general </w:t>
            </w:r>
            <w:r w:rsidRPr="1DDA0F85">
              <w:rPr>
                <w:rFonts w:eastAsia="Times New Roman"/>
                <w:b/>
                <w:bCs/>
                <w:noProof/>
                <w:sz w:val="20"/>
                <w:szCs w:val="20"/>
              </w:rPr>
              <w:t>authorisation problem</w:t>
            </w:r>
            <w:r w:rsidRPr="1DDA0F85">
              <w:rPr>
                <w:rFonts w:eastAsia="Times New Roman"/>
                <w:noProof/>
                <w:sz w:val="20"/>
                <w:szCs w:val="20"/>
              </w:rPr>
              <w:t xml:space="preserve"> </w:t>
            </w:r>
          </w:p>
        </w:tc>
      </w:tr>
      <w:tr w:rsidR="701B42F5" w14:paraId="32C600FD" w14:textId="77777777" w:rsidTr="701B42F5">
        <w:trPr>
          <w:trHeight w:val="300"/>
        </w:trPr>
        <w:tc>
          <w:tcPr>
            <w:tcW w:w="4935" w:type="dxa"/>
            <w:tcBorders>
              <w:top w:val="single" w:sz="8" w:space="0" w:color="auto"/>
              <w:left w:val="single" w:sz="8" w:space="0" w:color="auto"/>
              <w:bottom w:val="single" w:sz="8" w:space="0" w:color="auto"/>
              <w:right w:val="single" w:sz="8" w:space="0" w:color="auto"/>
            </w:tcBorders>
          </w:tcPr>
          <w:p w14:paraId="73C3A8E5" w14:textId="7B9FBED0" w:rsidR="701B42F5" w:rsidRDefault="78C9133F" w:rsidP="00EF16B9">
            <w:pPr>
              <w:spacing w:after="120"/>
              <w:rPr>
                <w:rFonts w:eastAsia="Times New Roman"/>
                <w:noProof/>
                <w:sz w:val="20"/>
                <w:szCs w:val="20"/>
              </w:rPr>
            </w:pPr>
            <w:r w:rsidRPr="5E13BF27">
              <w:rPr>
                <w:rFonts w:eastAsia="Times New Roman"/>
                <w:noProof/>
                <w:sz w:val="20"/>
                <w:szCs w:val="20"/>
              </w:rPr>
              <w:t>Divergent national implementation of GA rules</w:t>
            </w:r>
          </w:p>
        </w:tc>
        <w:tc>
          <w:tcPr>
            <w:tcW w:w="4650" w:type="dxa"/>
            <w:tcBorders>
              <w:top w:val="single" w:sz="8" w:space="0" w:color="auto"/>
              <w:left w:val="single" w:sz="8" w:space="0" w:color="auto"/>
              <w:bottom w:val="single" w:sz="8" w:space="0" w:color="auto"/>
              <w:right w:val="single" w:sz="8" w:space="0" w:color="auto"/>
            </w:tcBorders>
          </w:tcPr>
          <w:p w14:paraId="438DFE41" w14:textId="0CA8701A" w:rsidR="701B42F5" w:rsidRDefault="78C9133F" w:rsidP="00EF16B9">
            <w:pPr>
              <w:spacing w:after="120"/>
              <w:rPr>
                <w:rFonts w:eastAsia="Times New Roman"/>
                <w:noProof/>
                <w:sz w:val="20"/>
                <w:szCs w:val="20"/>
              </w:rPr>
            </w:pPr>
            <w:r w:rsidRPr="2F97AF0D">
              <w:rPr>
                <w:rFonts w:eastAsia="Times New Roman"/>
                <w:noProof/>
                <w:sz w:val="20"/>
                <w:szCs w:val="20"/>
              </w:rPr>
              <w:t>Produces inconsistent conditions and fragmented authorisation practices across the EU.</w:t>
            </w:r>
          </w:p>
        </w:tc>
      </w:tr>
      <w:tr w:rsidR="701B42F5" w14:paraId="05DCA831" w14:textId="77777777" w:rsidTr="701B42F5">
        <w:trPr>
          <w:trHeight w:val="300"/>
        </w:trPr>
        <w:tc>
          <w:tcPr>
            <w:tcW w:w="4935" w:type="dxa"/>
            <w:tcBorders>
              <w:top w:val="single" w:sz="8" w:space="0" w:color="auto"/>
              <w:left w:val="single" w:sz="8" w:space="0" w:color="auto"/>
              <w:bottom w:val="single" w:sz="8" w:space="0" w:color="auto"/>
              <w:right w:val="single" w:sz="8" w:space="0" w:color="auto"/>
            </w:tcBorders>
          </w:tcPr>
          <w:p w14:paraId="5FD29298" w14:textId="47A39C78" w:rsidR="701B42F5" w:rsidRDefault="78C9133F" w:rsidP="00EF16B9">
            <w:pPr>
              <w:spacing w:after="120"/>
              <w:rPr>
                <w:rFonts w:eastAsia="Times New Roman"/>
                <w:noProof/>
                <w:sz w:val="20"/>
                <w:szCs w:val="20"/>
              </w:rPr>
            </w:pPr>
            <w:r w:rsidRPr="2F97AF0D">
              <w:rPr>
                <w:rFonts w:eastAsia="Times New Roman"/>
                <w:noProof/>
                <w:sz w:val="20"/>
                <w:szCs w:val="20"/>
              </w:rPr>
              <w:t>Limited coordination and inconsistent procedures</w:t>
            </w:r>
          </w:p>
        </w:tc>
        <w:tc>
          <w:tcPr>
            <w:tcW w:w="4650" w:type="dxa"/>
            <w:tcBorders>
              <w:top w:val="single" w:sz="8" w:space="0" w:color="auto"/>
              <w:left w:val="single" w:sz="8" w:space="0" w:color="auto"/>
              <w:bottom w:val="single" w:sz="8" w:space="0" w:color="auto"/>
              <w:right w:val="single" w:sz="8" w:space="0" w:color="auto"/>
            </w:tcBorders>
          </w:tcPr>
          <w:p w14:paraId="4DA7CA7B" w14:textId="2EB00606" w:rsidR="701B42F5" w:rsidRDefault="78C9133F" w:rsidP="00EF16B9">
            <w:pPr>
              <w:spacing w:after="120"/>
              <w:rPr>
                <w:rFonts w:eastAsia="Times New Roman"/>
                <w:noProof/>
                <w:sz w:val="20"/>
                <w:szCs w:val="20"/>
              </w:rPr>
            </w:pPr>
            <w:r w:rsidRPr="3BE7D29A">
              <w:rPr>
                <w:rFonts w:eastAsia="Times New Roman"/>
                <w:noProof/>
                <w:sz w:val="20"/>
                <w:szCs w:val="20"/>
              </w:rPr>
              <w:t>Leads to varying notification and reporting obligations, reducing predictability for operators.</w:t>
            </w:r>
          </w:p>
        </w:tc>
      </w:tr>
      <w:tr w:rsidR="1DDA0F85" w14:paraId="228205F9" w14:textId="77777777" w:rsidTr="1DDA0F85">
        <w:trPr>
          <w:trHeight w:val="300"/>
        </w:trPr>
        <w:tc>
          <w:tcPr>
            <w:tcW w:w="4935" w:type="dxa"/>
            <w:tcBorders>
              <w:top w:val="single" w:sz="8" w:space="0" w:color="auto"/>
              <w:left w:val="single" w:sz="8" w:space="0" w:color="auto"/>
              <w:bottom w:val="single" w:sz="8" w:space="0" w:color="auto"/>
              <w:right w:val="single" w:sz="8" w:space="0" w:color="auto"/>
            </w:tcBorders>
          </w:tcPr>
          <w:p w14:paraId="57DAF21F" w14:textId="2E3DC2C3" w:rsidR="1DDA0F85" w:rsidRDefault="78C9133F" w:rsidP="00EF16B9">
            <w:pPr>
              <w:spacing w:after="120"/>
              <w:rPr>
                <w:rFonts w:eastAsia="Times New Roman"/>
                <w:noProof/>
                <w:sz w:val="20"/>
                <w:szCs w:val="20"/>
              </w:rPr>
            </w:pPr>
            <w:r w:rsidRPr="3BE7D29A">
              <w:rPr>
                <w:rFonts w:eastAsia="Times New Roman"/>
                <w:noProof/>
                <w:sz w:val="20"/>
                <w:szCs w:val="20"/>
              </w:rPr>
              <w:t xml:space="preserve">Insufficient EU-level oversight and alignment mechanisms  </w:t>
            </w:r>
          </w:p>
        </w:tc>
        <w:tc>
          <w:tcPr>
            <w:tcW w:w="4650" w:type="dxa"/>
            <w:tcBorders>
              <w:top w:val="single" w:sz="8" w:space="0" w:color="auto"/>
              <w:left w:val="single" w:sz="8" w:space="0" w:color="auto"/>
              <w:bottom w:val="single" w:sz="8" w:space="0" w:color="auto"/>
              <w:right w:val="single" w:sz="8" w:space="0" w:color="auto"/>
            </w:tcBorders>
          </w:tcPr>
          <w:p w14:paraId="24B17ACD" w14:textId="05726E87" w:rsidR="1DDA0F85" w:rsidRDefault="78C9133F" w:rsidP="00EF16B9">
            <w:pPr>
              <w:spacing w:after="120"/>
              <w:rPr>
                <w:rFonts w:eastAsia="Times New Roman"/>
                <w:noProof/>
                <w:sz w:val="20"/>
                <w:szCs w:val="20"/>
              </w:rPr>
            </w:pPr>
            <w:r w:rsidRPr="22C76BEC">
              <w:rPr>
                <w:rFonts w:eastAsia="Times New Roman"/>
                <w:noProof/>
                <w:sz w:val="20"/>
                <w:szCs w:val="20"/>
              </w:rPr>
              <w:t>Allows divergence to persist over time, maintaining complexity and compliance burdens.</w:t>
            </w:r>
          </w:p>
        </w:tc>
      </w:tr>
      <w:tr w:rsidR="701B42F5" w14:paraId="48272B6F" w14:textId="77777777" w:rsidTr="701B42F5">
        <w:trPr>
          <w:trHeight w:val="300"/>
        </w:trPr>
        <w:tc>
          <w:tcPr>
            <w:tcW w:w="4935" w:type="dxa"/>
            <w:tcBorders>
              <w:top w:val="single" w:sz="8" w:space="0" w:color="auto"/>
              <w:left w:val="single" w:sz="8" w:space="0" w:color="auto"/>
              <w:bottom w:val="single" w:sz="8" w:space="0" w:color="auto"/>
              <w:right w:val="single" w:sz="8" w:space="0" w:color="auto"/>
            </w:tcBorders>
          </w:tcPr>
          <w:p w14:paraId="6FFD7F29" w14:textId="0F4073A9" w:rsidR="701B42F5" w:rsidRDefault="78C9133F" w:rsidP="00EF16B9">
            <w:pPr>
              <w:spacing w:after="120"/>
              <w:rPr>
                <w:rFonts w:eastAsia="Times New Roman"/>
                <w:noProof/>
                <w:sz w:val="20"/>
                <w:szCs w:val="20"/>
              </w:rPr>
            </w:pPr>
            <w:r w:rsidRPr="22C76BEC">
              <w:rPr>
                <w:rFonts w:eastAsia="Times New Roman"/>
                <w:noProof/>
                <w:sz w:val="20"/>
                <w:szCs w:val="20"/>
              </w:rPr>
              <w:t xml:space="preserve">Asymmetry with CAPs/cloud providers and weak cooperation within the connectivity ecosystem  </w:t>
            </w:r>
          </w:p>
        </w:tc>
        <w:tc>
          <w:tcPr>
            <w:tcW w:w="4650" w:type="dxa"/>
            <w:tcBorders>
              <w:top w:val="single" w:sz="8" w:space="0" w:color="auto"/>
              <w:left w:val="single" w:sz="8" w:space="0" w:color="auto"/>
              <w:bottom w:val="single" w:sz="8" w:space="0" w:color="auto"/>
              <w:right w:val="single" w:sz="8" w:space="0" w:color="auto"/>
            </w:tcBorders>
          </w:tcPr>
          <w:p w14:paraId="6D4BB08A" w14:textId="70D206FE" w:rsidR="701B42F5" w:rsidRDefault="78C9133F" w:rsidP="00EF16B9">
            <w:pPr>
              <w:spacing w:after="120"/>
              <w:rPr>
                <w:rFonts w:eastAsia="Times New Roman"/>
                <w:noProof/>
                <w:sz w:val="20"/>
                <w:szCs w:val="20"/>
              </w:rPr>
            </w:pPr>
            <w:r w:rsidRPr="15E6F169">
              <w:rPr>
                <w:rFonts w:eastAsia="Times New Roman"/>
                <w:noProof/>
                <w:sz w:val="20"/>
                <w:szCs w:val="20"/>
              </w:rPr>
              <w:t>Creates unequal treatment, hampers coherent development of cross-border/innovative services, and discourages telecom operators from scaling across the Single Market.</w:t>
            </w:r>
          </w:p>
        </w:tc>
      </w:tr>
      <w:tr w:rsidR="0C465F17" w14:paraId="7C0874DB" w14:textId="77777777" w:rsidTr="0C465F17">
        <w:trPr>
          <w:trHeight w:val="300"/>
        </w:trPr>
        <w:tc>
          <w:tcPr>
            <w:tcW w:w="4935" w:type="dxa"/>
            <w:tcBorders>
              <w:top w:val="single" w:sz="8" w:space="0" w:color="auto"/>
              <w:left w:val="single" w:sz="8" w:space="0" w:color="auto"/>
              <w:bottom w:val="single" w:sz="8" w:space="0" w:color="auto"/>
              <w:right w:val="single" w:sz="8" w:space="0" w:color="auto"/>
            </w:tcBorders>
          </w:tcPr>
          <w:p w14:paraId="7B408C1D" w14:textId="44035F61" w:rsidR="0C465F17" w:rsidRDefault="4C0562D2" w:rsidP="00EF16B9">
            <w:pPr>
              <w:spacing w:after="120"/>
              <w:rPr>
                <w:rFonts w:eastAsia="Times New Roman"/>
                <w:noProof/>
                <w:sz w:val="20"/>
                <w:szCs w:val="20"/>
              </w:rPr>
            </w:pPr>
            <w:r w:rsidRPr="6BF7B7AF">
              <w:rPr>
                <w:rFonts w:eastAsia="Times New Roman"/>
                <w:noProof/>
                <w:sz w:val="20"/>
                <w:szCs w:val="20"/>
              </w:rPr>
              <w:t>Lack of mechanisms for gradual alignment of national rules,</w:t>
            </w:r>
          </w:p>
        </w:tc>
        <w:tc>
          <w:tcPr>
            <w:tcW w:w="4650" w:type="dxa"/>
            <w:tcBorders>
              <w:top w:val="single" w:sz="8" w:space="0" w:color="auto"/>
              <w:left w:val="single" w:sz="8" w:space="0" w:color="auto"/>
              <w:bottom w:val="single" w:sz="8" w:space="0" w:color="auto"/>
              <w:right w:val="single" w:sz="8" w:space="0" w:color="auto"/>
            </w:tcBorders>
          </w:tcPr>
          <w:p w14:paraId="736D59FF" w14:textId="10C703EF" w:rsidR="0C465F17" w:rsidRDefault="4C0562D2" w:rsidP="00EF16B9">
            <w:pPr>
              <w:spacing w:after="120"/>
              <w:rPr>
                <w:rFonts w:eastAsia="Times New Roman"/>
                <w:noProof/>
                <w:sz w:val="20"/>
                <w:szCs w:val="20"/>
              </w:rPr>
            </w:pPr>
            <w:r w:rsidRPr="6BF7B7AF">
              <w:rPr>
                <w:rFonts w:eastAsia="Times New Roman"/>
                <w:noProof/>
                <w:sz w:val="20"/>
                <w:szCs w:val="20"/>
              </w:rPr>
              <w:t>Prevents convergence over time and maintains high compliance burdens for multi-country operators</w:t>
            </w:r>
          </w:p>
        </w:tc>
      </w:tr>
    </w:tbl>
    <w:p w14:paraId="6D5AB9C2" w14:textId="6ABE870B" w:rsidR="7E88EE38" w:rsidRDefault="7E88EE38" w:rsidP="7E88EE38">
      <w:pPr>
        <w:rPr>
          <w:noProof/>
          <w:sz w:val="20"/>
          <w:szCs w:val="20"/>
          <w:lang w:val="en-IE"/>
        </w:rPr>
      </w:pPr>
    </w:p>
    <w:p w14:paraId="4951EF6E" w14:textId="23E12616" w:rsidR="00A0184B" w:rsidRPr="00DE264C" w:rsidRDefault="003009D2" w:rsidP="00292895">
      <w:pPr>
        <w:pStyle w:val="Heading4"/>
        <w:rPr>
          <w:noProof/>
          <w:lang w:val="en-IE"/>
        </w:rPr>
      </w:pPr>
      <w:r>
        <w:rPr>
          <w:rFonts w:eastAsiaTheme="minorHAnsi"/>
          <w:b/>
          <w:noProof/>
        </w:rPr>
        <w:t xml:space="preserve"> </w:t>
      </w:r>
      <w:r w:rsidR="0061214A" w:rsidRPr="00494707">
        <w:rPr>
          <w:rFonts w:eastAsiaTheme="minorHAnsi"/>
          <w:noProof/>
        </w:rPr>
        <w:t>Fragmented</w:t>
      </w:r>
      <w:r w:rsidR="0061214A" w:rsidRPr="004F6362">
        <w:rPr>
          <w:noProof/>
        </w:rPr>
        <w:t xml:space="preserve"> </w:t>
      </w:r>
      <w:r w:rsidR="00DD05B8" w:rsidRPr="004F6362">
        <w:rPr>
          <w:noProof/>
        </w:rPr>
        <w:t>satellite authorisation</w:t>
      </w:r>
      <w:r w:rsidR="0061214A" w:rsidRPr="004F6362">
        <w:rPr>
          <w:noProof/>
        </w:rPr>
        <w:t xml:space="preserve"> conditions</w:t>
      </w:r>
    </w:p>
    <w:p w14:paraId="180B1907" w14:textId="2C18CA88" w:rsidR="00F21CFD" w:rsidRPr="0060773D" w:rsidRDefault="00F21CFD" w:rsidP="00F21CFD">
      <w:pPr>
        <w:spacing w:after="0"/>
        <w:rPr>
          <w:rFonts w:eastAsia="Times New Roman"/>
          <w:b/>
          <w:noProof/>
          <w:lang w:val="en-IE"/>
        </w:rPr>
      </w:pPr>
      <w:r w:rsidRPr="0060773D">
        <w:rPr>
          <w:rFonts w:eastAsia="Times New Roman"/>
          <w:i/>
          <w:noProof/>
          <w:u w:val="single"/>
        </w:rPr>
        <w:t>T</w:t>
      </w:r>
      <w:r w:rsidR="00DD05B8" w:rsidRPr="0060773D">
        <w:rPr>
          <w:rFonts w:eastAsia="Times New Roman"/>
          <w:i/>
          <w:noProof/>
          <w:u w:val="single"/>
        </w:rPr>
        <w:t>able</w:t>
      </w:r>
      <w:r w:rsidRPr="0060773D">
        <w:rPr>
          <w:rFonts w:eastAsia="Times New Roman"/>
          <w:i/>
          <w:noProof/>
          <w:u w:val="single"/>
        </w:rPr>
        <w:t xml:space="preserve"> </w:t>
      </w:r>
      <w:r w:rsidR="008B2C0C" w:rsidRPr="0060773D">
        <w:rPr>
          <w:rFonts w:eastAsia="Times New Roman"/>
          <w:i/>
          <w:noProof/>
          <w:u w:val="single"/>
        </w:rPr>
        <w:t>1</w:t>
      </w:r>
      <w:r w:rsidR="009332DC" w:rsidRPr="0060773D">
        <w:rPr>
          <w:rFonts w:eastAsia="Times New Roman"/>
          <w:i/>
          <w:noProof/>
          <w:u w:val="single"/>
        </w:rPr>
        <w:t>2</w:t>
      </w:r>
      <w:r w:rsidRPr="0060773D">
        <w:rPr>
          <w:rFonts w:eastAsia="Times New Roman"/>
          <w:i/>
          <w:noProof/>
          <w:u w:val="single"/>
        </w:rPr>
        <w:t xml:space="preserve">: </w:t>
      </w:r>
      <w:r w:rsidR="005D1CA4" w:rsidRPr="0060773D">
        <w:rPr>
          <w:rFonts w:eastAsia="Times New Roman"/>
          <w:i/>
          <w:noProof/>
          <w:u w:val="single"/>
        </w:rPr>
        <w:t>Causal link between root causes/problem drivers and problems</w:t>
      </w:r>
      <w:r w:rsidR="005D1CA4" w:rsidRPr="0060773D">
        <w:rPr>
          <w:rFonts w:eastAsia="Times New Roman"/>
          <w:i/>
          <w:strike/>
          <w:noProof/>
          <w:u w:val="single"/>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840"/>
        <w:gridCol w:w="5210"/>
      </w:tblGrid>
      <w:tr w:rsidR="00F21CFD" w:rsidRPr="009134A0" w14:paraId="632EBB65" w14:textId="77777777" w:rsidTr="002855F3">
        <w:trPr>
          <w:trHeight w:val="300"/>
        </w:trPr>
        <w:tc>
          <w:tcPr>
            <w:tcW w:w="3936" w:type="dxa"/>
            <w:tcBorders>
              <w:top w:val="single" w:sz="8" w:space="0" w:color="auto"/>
              <w:left w:val="single" w:sz="8" w:space="0" w:color="auto"/>
              <w:bottom w:val="single" w:sz="8" w:space="0" w:color="auto"/>
              <w:right w:val="single" w:sz="8" w:space="0" w:color="auto"/>
            </w:tcBorders>
          </w:tcPr>
          <w:p w14:paraId="7CCBE7E6" w14:textId="77777777" w:rsidR="00F21CFD" w:rsidRPr="009134A0" w:rsidRDefault="00F21CFD" w:rsidP="00EF16B9">
            <w:pPr>
              <w:spacing w:after="120"/>
              <w:jc w:val="center"/>
              <w:rPr>
                <w:rFonts w:eastAsia="Times New Roman"/>
                <w:noProof/>
                <w:sz w:val="20"/>
                <w:szCs w:val="20"/>
              </w:rPr>
            </w:pPr>
            <w:r w:rsidRPr="009134A0">
              <w:rPr>
                <w:rFonts w:eastAsia="Times New Roman"/>
                <w:b/>
                <w:bCs/>
                <w:noProof/>
                <w:sz w:val="20"/>
                <w:szCs w:val="20"/>
              </w:rPr>
              <w:t>Problem driver/root causes</w:t>
            </w:r>
            <w:r w:rsidRPr="009134A0">
              <w:rPr>
                <w:rFonts w:eastAsia="Times New Roman"/>
                <w:noProof/>
                <w:sz w:val="20"/>
                <w:szCs w:val="20"/>
              </w:rPr>
              <w:t xml:space="preserve"> </w:t>
            </w:r>
          </w:p>
        </w:tc>
        <w:tc>
          <w:tcPr>
            <w:tcW w:w="5352" w:type="dxa"/>
            <w:tcBorders>
              <w:top w:val="single" w:sz="8" w:space="0" w:color="auto"/>
              <w:left w:val="single" w:sz="8" w:space="0" w:color="auto"/>
              <w:bottom w:val="single" w:sz="8" w:space="0" w:color="auto"/>
              <w:right w:val="single" w:sz="8" w:space="0" w:color="auto"/>
            </w:tcBorders>
          </w:tcPr>
          <w:p w14:paraId="358C51E6" w14:textId="77777777" w:rsidR="00F21CFD" w:rsidRPr="009134A0" w:rsidRDefault="00F21CFD" w:rsidP="00EF16B9">
            <w:pPr>
              <w:spacing w:after="120"/>
              <w:jc w:val="center"/>
              <w:rPr>
                <w:rFonts w:eastAsia="Times New Roman"/>
                <w:noProof/>
                <w:sz w:val="20"/>
                <w:szCs w:val="20"/>
              </w:rPr>
            </w:pPr>
            <w:r w:rsidRPr="009134A0">
              <w:rPr>
                <w:rFonts w:eastAsia="Times New Roman"/>
                <w:b/>
                <w:bCs/>
                <w:noProof/>
                <w:sz w:val="20"/>
                <w:szCs w:val="20"/>
              </w:rPr>
              <w:t>Causal link with the satellite authorisation problem</w:t>
            </w:r>
            <w:r w:rsidRPr="009134A0">
              <w:rPr>
                <w:rFonts w:eastAsia="Times New Roman"/>
                <w:noProof/>
                <w:sz w:val="20"/>
                <w:szCs w:val="20"/>
              </w:rPr>
              <w:t xml:space="preserve"> </w:t>
            </w:r>
          </w:p>
        </w:tc>
      </w:tr>
      <w:tr w:rsidR="00F21CFD" w:rsidRPr="009134A0" w14:paraId="70285376" w14:textId="77777777" w:rsidTr="002855F3">
        <w:trPr>
          <w:trHeight w:val="300"/>
        </w:trPr>
        <w:tc>
          <w:tcPr>
            <w:tcW w:w="3936" w:type="dxa"/>
            <w:tcBorders>
              <w:top w:val="single" w:sz="8" w:space="0" w:color="auto"/>
              <w:left w:val="single" w:sz="8" w:space="0" w:color="auto"/>
              <w:bottom w:val="single" w:sz="8" w:space="0" w:color="auto"/>
              <w:right w:val="single" w:sz="8" w:space="0" w:color="auto"/>
            </w:tcBorders>
          </w:tcPr>
          <w:p w14:paraId="12D7FF8A" w14:textId="046D5419" w:rsidR="00F21CFD" w:rsidRPr="009134A0" w:rsidRDefault="00F21CFD" w:rsidP="00EF16B9">
            <w:pPr>
              <w:spacing w:after="120"/>
              <w:rPr>
                <w:rFonts w:eastAsia="Times New Roman"/>
                <w:noProof/>
                <w:sz w:val="20"/>
                <w:szCs w:val="20"/>
              </w:rPr>
            </w:pPr>
            <w:r w:rsidRPr="009134A0">
              <w:rPr>
                <w:rFonts w:eastAsia="Times New Roman"/>
                <w:noProof/>
                <w:sz w:val="20"/>
                <w:szCs w:val="20"/>
              </w:rPr>
              <w:t xml:space="preserve">Diverse satellite </w:t>
            </w:r>
            <w:r w:rsidR="00793F9F">
              <w:rPr>
                <w:rFonts w:eastAsia="Times New Roman"/>
                <w:noProof/>
                <w:sz w:val="20"/>
                <w:szCs w:val="20"/>
              </w:rPr>
              <w:t xml:space="preserve">selection and spectrum </w:t>
            </w:r>
            <w:r w:rsidRPr="009134A0">
              <w:rPr>
                <w:rFonts w:eastAsia="Times New Roman"/>
                <w:noProof/>
                <w:sz w:val="20"/>
                <w:szCs w:val="20"/>
              </w:rPr>
              <w:t>authorisation</w:t>
            </w:r>
            <w:r w:rsidR="0059379E">
              <w:rPr>
                <w:rFonts w:eastAsia="Times New Roman"/>
                <w:noProof/>
                <w:sz w:val="20"/>
                <w:szCs w:val="20"/>
              </w:rPr>
              <w:t xml:space="preserve"> </w:t>
            </w:r>
            <w:r w:rsidR="00DC618B">
              <w:rPr>
                <w:rFonts w:eastAsia="Times New Roman"/>
                <w:noProof/>
                <w:sz w:val="20"/>
                <w:szCs w:val="20"/>
              </w:rPr>
              <w:t xml:space="preserve">and </w:t>
            </w:r>
            <w:r w:rsidR="0059379E">
              <w:rPr>
                <w:rFonts w:eastAsia="Times New Roman"/>
                <w:noProof/>
                <w:sz w:val="20"/>
                <w:szCs w:val="20"/>
              </w:rPr>
              <w:t>procedures</w:t>
            </w:r>
            <w:r w:rsidRPr="009134A0">
              <w:rPr>
                <w:rFonts w:eastAsia="Times New Roman"/>
                <w:noProof/>
                <w:sz w:val="20"/>
                <w:szCs w:val="20"/>
              </w:rPr>
              <w:t xml:space="preserve"> </w:t>
            </w:r>
            <w:r w:rsidR="002855F3">
              <w:rPr>
                <w:rFonts w:eastAsia="Times New Roman"/>
                <w:noProof/>
                <w:sz w:val="20"/>
                <w:szCs w:val="20"/>
              </w:rPr>
              <w:t>inadequate to address D2D challenges</w:t>
            </w:r>
            <w:r w:rsidR="00DF5CB2">
              <w:rPr>
                <w:rFonts w:eastAsia="Times New Roman"/>
                <w:noProof/>
                <w:sz w:val="20"/>
                <w:szCs w:val="20"/>
              </w:rPr>
              <w:t xml:space="preserve"> </w:t>
            </w:r>
          </w:p>
        </w:tc>
        <w:tc>
          <w:tcPr>
            <w:tcW w:w="5352" w:type="dxa"/>
            <w:tcBorders>
              <w:top w:val="single" w:sz="8" w:space="0" w:color="auto"/>
              <w:left w:val="single" w:sz="8" w:space="0" w:color="auto"/>
              <w:bottom w:val="single" w:sz="8" w:space="0" w:color="auto"/>
              <w:right w:val="single" w:sz="8" w:space="0" w:color="auto"/>
            </w:tcBorders>
          </w:tcPr>
          <w:p w14:paraId="03730F8D" w14:textId="59415543" w:rsidR="005478D5" w:rsidRPr="009134A0" w:rsidRDefault="00F21CFD" w:rsidP="00EF16B9">
            <w:pPr>
              <w:spacing w:after="120"/>
              <w:rPr>
                <w:rFonts w:eastAsia="Times New Roman"/>
                <w:noProof/>
                <w:sz w:val="20"/>
                <w:szCs w:val="20"/>
              </w:rPr>
            </w:pPr>
            <w:r w:rsidRPr="009134A0">
              <w:rPr>
                <w:rFonts w:eastAsia="Times New Roman"/>
                <w:noProof/>
                <w:sz w:val="20"/>
                <w:szCs w:val="20"/>
              </w:rPr>
              <w:t>Delay</w:t>
            </w:r>
            <w:r w:rsidR="002C14E4">
              <w:rPr>
                <w:rFonts w:eastAsia="Times New Roman"/>
                <w:noProof/>
                <w:sz w:val="20"/>
                <w:szCs w:val="20"/>
              </w:rPr>
              <w:t>s</w:t>
            </w:r>
            <w:r w:rsidRPr="009134A0">
              <w:rPr>
                <w:rFonts w:eastAsia="Times New Roman"/>
                <w:noProof/>
                <w:sz w:val="20"/>
                <w:szCs w:val="20"/>
              </w:rPr>
              <w:t xml:space="preserve"> </w:t>
            </w:r>
            <w:r w:rsidR="002C14E4">
              <w:rPr>
                <w:rFonts w:eastAsia="Times New Roman"/>
                <w:noProof/>
                <w:sz w:val="20"/>
                <w:szCs w:val="20"/>
              </w:rPr>
              <w:t>in</w:t>
            </w:r>
            <w:r w:rsidRPr="009134A0">
              <w:rPr>
                <w:rFonts w:eastAsia="Times New Roman"/>
                <w:noProof/>
                <w:sz w:val="20"/>
                <w:szCs w:val="20"/>
              </w:rPr>
              <w:t xml:space="preserve"> the provision of pan-European satellite services</w:t>
            </w:r>
            <w:r w:rsidR="00DC618B">
              <w:rPr>
                <w:rFonts w:eastAsia="Times New Roman"/>
                <w:noProof/>
                <w:sz w:val="20"/>
                <w:szCs w:val="20"/>
              </w:rPr>
              <w:t xml:space="preserve">, lack of EU </w:t>
            </w:r>
            <w:r w:rsidR="00793F9F">
              <w:rPr>
                <w:rFonts w:eastAsia="Times New Roman"/>
                <w:noProof/>
                <w:sz w:val="20"/>
                <w:szCs w:val="20"/>
              </w:rPr>
              <w:t xml:space="preserve">satellite spectrum </w:t>
            </w:r>
            <w:r w:rsidR="00DC618B">
              <w:rPr>
                <w:rFonts w:eastAsia="Times New Roman"/>
                <w:noProof/>
                <w:sz w:val="20"/>
                <w:szCs w:val="20"/>
              </w:rPr>
              <w:t xml:space="preserve">selection procedures representing a </w:t>
            </w:r>
            <w:r w:rsidR="003368F4">
              <w:rPr>
                <w:rFonts w:eastAsia="Times New Roman"/>
                <w:noProof/>
                <w:sz w:val="20"/>
                <w:szCs w:val="20"/>
              </w:rPr>
              <w:t xml:space="preserve">potential </w:t>
            </w:r>
            <w:r w:rsidR="00DC618B">
              <w:rPr>
                <w:rFonts w:eastAsia="Times New Roman"/>
                <w:noProof/>
                <w:sz w:val="20"/>
                <w:szCs w:val="20"/>
              </w:rPr>
              <w:t>barrier</w:t>
            </w:r>
            <w:r w:rsidR="003368F4">
              <w:rPr>
                <w:rFonts w:eastAsia="Times New Roman"/>
                <w:noProof/>
                <w:sz w:val="20"/>
                <w:szCs w:val="20"/>
              </w:rPr>
              <w:t xml:space="preserve"> to EU provision of certain services</w:t>
            </w:r>
            <w:r w:rsidR="00C70E9D" w:rsidRPr="009134A0">
              <w:rPr>
                <w:rFonts w:eastAsia="Times New Roman"/>
                <w:noProof/>
                <w:sz w:val="20"/>
                <w:szCs w:val="20"/>
              </w:rPr>
              <w:t xml:space="preserve"> undermining EU global competitiveness in satellite connectivity</w:t>
            </w:r>
          </w:p>
        </w:tc>
      </w:tr>
      <w:tr w:rsidR="008D5904" w:rsidRPr="009134A0" w14:paraId="48C1F721" w14:textId="77777777" w:rsidTr="002855F3">
        <w:trPr>
          <w:trHeight w:val="300"/>
        </w:trPr>
        <w:tc>
          <w:tcPr>
            <w:tcW w:w="3936" w:type="dxa"/>
            <w:tcBorders>
              <w:top w:val="single" w:sz="8" w:space="0" w:color="auto"/>
              <w:left w:val="single" w:sz="8" w:space="0" w:color="auto"/>
              <w:bottom w:val="single" w:sz="8" w:space="0" w:color="auto"/>
              <w:right w:val="single" w:sz="8" w:space="0" w:color="auto"/>
            </w:tcBorders>
          </w:tcPr>
          <w:p w14:paraId="0EE13E4D" w14:textId="242B6341" w:rsidR="008D5904" w:rsidRPr="009134A0" w:rsidRDefault="002244E8" w:rsidP="00EF16B9">
            <w:pPr>
              <w:spacing w:after="120"/>
              <w:rPr>
                <w:rFonts w:eastAsia="Times New Roman"/>
                <w:noProof/>
                <w:sz w:val="20"/>
                <w:szCs w:val="20"/>
              </w:rPr>
            </w:pPr>
            <w:r>
              <w:rPr>
                <w:rFonts w:eastAsia="Times New Roman"/>
                <w:noProof/>
                <w:sz w:val="20"/>
                <w:szCs w:val="20"/>
              </w:rPr>
              <w:t xml:space="preserve">Unexploited economies of scale due to fragmented </w:t>
            </w:r>
            <w:r w:rsidR="00793F9F">
              <w:rPr>
                <w:rFonts w:eastAsia="Times New Roman"/>
                <w:noProof/>
                <w:sz w:val="20"/>
                <w:szCs w:val="20"/>
              </w:rPr>
              <w:t xml:space="preserve">satellite spectrum </w:t>
            </w:r>
            <w:r>
              <w:rPr>
                <w:rFonts w:eastAsia="Times New Roman"/>
                <w:noProof/>
                <w:sz w:val="20"/>
                <w:szCs w:val="20"/>
              </w:rPr>
              <w:t>authorisation conditions</w:t>
            </w:r>
          </w:p>
        </w:tc>
        <w:tc>
          <w:tcPr>
            <w:tcW w:w="5352" w:type="dxa"/>
            <w:tcBorders>
              <w:top w:val="single" w:sz="8" w:space="0" w:color="auto"/>
              <w:left w:val="single" w:sz="8" w:space="0" w:color="auto"/>
              <w:bottom w:val="single" w:sz="8" w:space="0" w:color="auto"/>
              <w:right w:val="single" w:sz="8" w:space="0" w:color="auto"/>
            </w:tcBorders>
          </w:tcPr>
          <w:p w14:paraId="721FCB2A" w14:textId="6A0B3069" w:rsidR="008D5904" w:rsidRPr="009134A0" w:rsidRDefault="00795EF9" w:rsidP="00EF16B9">
            <w:pPr>
              <w:spacing w:after="120"/>
              <w:rPr>
                <w:rFonts w:eastAsia="Times New Roman"/>
                <w:noProof/>
                <w:sz w:val="20"/>
                <w:szCs w:val="20"/>
              </w:rPr>
            </w:pPr>
            <w:r>
              <w:rPr>
                <w:rFonts w:eastAsia="Times New Roman"/>
                <w:noProof/>
                <w:sz w:val="20"/>
                <w:szCs w:val="20"/>
              </w:rPr>
              <w:t xml:space="preserve">Cost of dealing with </w:t>
            </w:r>
            <w:r w:rsidR="00F5720D">
              <w:rPr>
                <w:rFonts w:eastAsia="Times New Roman"/>
                <w:noProof/>
                <w:sz w:val="20"/>
                <w:szCs w:val="20"/>
              </w:rPr>
              <w:t>fragmented</w:t>
            </w:r>
            <w:r>
              <w:rPr>
                <w:rFonts w:eastAsia="Times New Roman"/>
                <w:noProof/>
                <w:sz w:val="20"/>
                <w:szCs w:val="20"/>
              </w:rPr>
              <w:t xml:space="preserve"> </w:t>
            </w:r>
            <w:r w:rsidR="00793F9F">
              <w:rPr>
                <w:rFonts w:eastAsia="Times New Roman"/>
                <w:noProof/>
                <w:sz w:val="20"/>
                <w:szCs w:val="20"/>
              </w:rPr>
              <w:t>satellite spectrum authorisation</w:t>
            </w:r>
            <w:r>
              <w:rPr>
                <w:rFonts w:eastAsia="Times New Roman"/>
                <w:noProof/>
                <w:sz w:val="20"/>
                <w:szCs w:val="20"/>
              </w:rPr>
              <w:t xml:space="preserve"> processes and conditions in 27 MS</w:t>
            </w:r>
            <w:r w:rsidR="005F6C20">
              <w:rPr>
                <w:rFonts w:eastAsia="Times New Roman"/>
                <w:noProof/>
                <w:sz w:val="20"/>
                <w:szCs w:val="20"/>
              </w:rPr>
              <w:t>, and risk of having authorisation gaps</w:t>
            </w:r>
            <w:r w:rsidR="002244E8">
              <w:rPr>
                <w:rFonts w:eastAsia="Times New Roman"/>
                <w:noProof/>
                <w:sz w:val="20"/>
                <w:szCs w:val="20"/>
              </w:rPr>
              <w:t xml:space="preserve"> in some </w:t>
            </w:r>
            <w:r w:rsidR="00CE6E10">
              <w:rPr>
                <w:rFonts w:eastAsia="Times New Roman"/>
                <w:noProof/>
                <w:sz w:val="20"/>
                <w:szCs w:val="20"/>
              </w:rPr>
              <w:t>MS, represent</w:t>
            </w:r>
            <w:r w:rsidR="005F6C20">
              <w:rPr>
                <w:rFonts w:eastAsia="Times New Roman"/>
                <w:noProof/>
                <w:sz w:val="20"/>
                <w:szCs w:val="20"/>
              </w:rPr>
              <w:t xml:space="preserve"> </w:t>
            </w:r>
            <w:r w:rsidR="005F6C20" w:rsidRPr="00EB1F77">
              <w:rPr>
                <w:rFonts w:eastAsia="Times New Roman"/>
                <w:noProof/>
                <w:sz w:val="20"/>
                <w:szCs w:val="20"/>
              </w:rPr>
              <w:t>a</w:t>
            </w:r>
            <w:r w:rsidR="00950650">
              <w:rPr>
                <w:rFonts w:eastAsia="Times New Roman"/>
                <w:noProof/>
                <w:sz w:val="20"/>
                <w:szCs w:val="20"/>
              </w:rPr>
              <w:t>n operational</w:t>
            </w:r>
            <w:r w:rsidR="005F6C20">
              <w:rPr>
                <w:rFonts w:eastAsia="Times New Roman"/>
                <w:noProof/>
                <w:sz w:val="20"/>
                <w:szCs w:val="20"/>
              </w:rPr>
              <w:t xml:space="preserve"> barrier to</w:t>
            </w:r>
            <w:r w:rsidR="008D5651" w:rsidRPr="00EB1F77">
              <w:rPr>
                <w:noProof/>
                <w:sz w:val="20"/>
                <w:szCs w:val="20"/>
              </w:rPr>
              <w:t xml:space="preserve"> scale up and ensure </w:t>
            </w:r>
            <w:r w:rsidR="00EA40C6">
              <w:rPr>
                <w:rFonts w:eastAsia="Times New Roman"/>
                <w:noProof/>
                <w:sz w:val="20"/>
                <w:szCs w:val="20"/>
              </w:rPr>
              <w:t>pan-European provision of services</w:t>
            </w:r>
            <w:r w:rsidR="00635F71">
              <w:rPr>
                <w:rFonts w:eastAsia="Times New Roman"/>
                <w:noProof/>
                <w:sz w:val="20"/>
                <w:szCs w:val="20"/>
              </w:rPr>
              <w:t xml:space="preserve"> </w:t>
            </w:r>
            <w:r w:rsidR="00B332E4">
              <w:rPr>
                <w:rFonts w:eastAsia="Times New Roman"/>
                <w:noProof/>
                <w:sz w:val="20"/>
                <w:szCs w:val="20"/>
              </w:rPr>
              <w:t xml:space="preserve">constraining </w:t>
            </w:r>
            <w:r w:rsidR="001A2DBA">
              <w:rPr>
                <w:rFonts w:eastAsia="Times New Roman"/>
                <w:noProof/>
                <w:sz w:val="20"/>
                <w:szCs w:val="20"/>
              </w:rPr>
              <w:t>the EU</w:t>
            </w:r>
            <w:r w:rsidR="00796BBE">
              <w:rPr>
                <w:rFonts w:eastAsia="Times New Roman"/>
                <w:noProof/>
                <w:sz w:val="20"/>
                <w:szCs w:val="20"/>
              </w:rPr>
              <w:t>’s ability t</w:t>
            </w:r>
            <w:r w:rsidR="0058316F">
              <w:rPr>
                <w:rFonts w:eastAsia="Times New Roman"/>
                <w:noProof/>
                <w:sz w:val="20"/>
                <w:szCs w:val="20"/>
              </w:rPr>
              <w:t xml:space="preserve">o act </w:t>
            </w:r>
            <w:r w:rsidR="009F0B32">
              <w:rPr>
                <w:rFonts w:eastAsia="Times New Roman"/>
                <w:noProof/>
                <w:sz w:val="20"/>
                <w:szCs w:val="20"/>
              </w:rPr>
              <w:t>on</w:t>
            </w:r>
            <w:r w:rsidR="00B332E4">
              <w:rPr>
                <w:rFonts w:eastAsia="Times New Roman"/>
                <w:noProof/>
                <w:sz w:val="20"/>
                <w:szCs w:val="20"/>
              </w:rPr>
              <w:t xml:space="preserve"> a global </w:t>
            </w:r>
            <w:r w:rsidR="009F0B32">
              <w:rPr>
                <w:rFonts w:eastAsia="Times New Roman"/>
                <w:noProof/>
                <w:sz w:val="20"/>
                <w:szCs w:val="20"/>
              </w:rPr>
              <w:t>stage</w:t>
            </w:r>
            <w:r w:rsidR="00B332E4">
              <w:rPr>
                <w:rFonts w:eastAsia="Times New Roman"/>
                <w:noProof/>
                <w:sz w:val="20"/>
                <w:szCs w:val="20"/>
              </w:rPr>
              <w:t>.</w:t>
            </w:r>
            <w:r w:rsidR="008D5651">
              <w:rPr>
                <w:rFonts w:eastAsia="Times New Roman"/>
                <w:noProof/>
                <w:sz w:val="20"/>
                <w:szCs w:val="20"/>
              </w:rPr>
              <w:t xml:space="preserve"> </w:t>
            </w:r>
          </w:p>
        </w:tc>
      </w:tr>
      <w:tr w:rsidR="00F21CFD" w:rsidRPr="009134A0" w14:paraId="7CDA5BA7" w14:textId="77777777" w:rsidTr="002855F3">
        <w:trPr>
          <w:trHeight w:val="300"/>
        </w:trPr>
        <w:tc>
          <w:tcPr>
            <w:tcW w:w="3936" w:type="dxa"/>
            <w:tcBorders>
              <w:top w:val="single" w:sz="8" w:space="0" w:color="auto"/>
              <w:left w:val="single" w:sz="8" w:space="0" w:color="auto"/>
              <w:bottom w:val="single" w:sz="8" w:space="0" w:color="auto"/>
              <w:right w:val="single" w:sz="8" w:space="0" w:color="auto"/>
            </w:tcBorders>
          </w:tcPr>
          <w:p w14:paraId="5616BB65" w14:textId="4A4D1857" w:rsidR="00F21CFD" w:rsidRPr="009134A0" w:rsidRDefault="00F21CFD" w:rsidP="00EF16B9">
            <w:pPr>
              <w:spacing w:after="120"/>
              <w:rPr>
                <w:rFonts w:eastAsia="Times New Roman"/>
                <w:noProof/>
                <w:sz w:val="20"/>
                <w:szCs w:val="20"/>
              </w:rPr>
            </w:pPr>
            <w:r>
              <w:rPr>
                <w:rFonts w:eastAsia="Times New Roman"/>
                <w:noProof/>
                <w:sz w:val="20"/>
                <w:szCs w:val="20"/>
              </w:rPr>
              <w:t>I</w:t>
            </w:r>
            <w:r w:rsidRPr="009134A0">
              <w:rPr>
                <w:rFonts w:eastAsia="Times New Roman"/>
                <w:noProof/>
                <w:sz w:val="20"/>
                <w:szCs w:val="20"/>
              </w:rPr>
              <w:t>ncreased number of the new LEO constellations</w:t>
            </w:r>
            <w:r>
              <w:rPr>
                <w:rFonts w:eastAsia="Times New Roman"/>
                <w:noProof/>
                <w:sz w:val="20"/>
                <w:szCs w:val="20"/>
              </w:rPr>
              <w:t xml:space="preserve"> and </w:t>
            </w:r>
            <w:r w:rsidR="00060422">
              <w:rPr>
                <w:rFonts w:eastAsia="Times New Roman"/>
                <w:noProof/>
                <w:sz w:val="20"/>
                <w:szCs w:val="20"/>
              </w:rPr>
              <w:t>related</w:t>
            </w:r>
            <w:r w:rsidR="003346CA">
              <w:rPr>
                <w:rFonts w:eastAsia="Times New Roman"/>
                <w:noProof/>
                <w:sz w:val="20"/>
                <w:szCs w:val="20"/>
              </w:rPr>
              <w:t xml:space="preserve"> expected</w:t>
            </w:r>
            <w:r w:rsidRPr="009134A0">
              <w:rPr>
                <w:rFonts w:eastAsia="Times New Roman"/>
                <w:noProof/>
                <w:sz w:val="20"/>
                <w:szCs w:val="20"/>
              </w:rPr>
              <w:t xml:space="preserve"> </w:t>
            </w:r>
            <w:r w:rsidR="00B91B8D">
              <w:rPr>
                <w:rFonts w:eastAsia="Times New Roman"/>
                <w:noProof/>
                <w:sz w:val="20"/>
                <w:szCs w:val="20"/>
              </w:rPr>
              <w:t>increase</w:t>
            </w:r>
            <w:r w:rsidRPr="009134A0">
              <w:rPr>
                <w:rFonts w:eastAsia="Times New Roman"/>
                <w:noProof/>
                <w:sz w:val="20"/>
                <w:szCs w:val="20"/>
              </w:rPr>
              <w:t xml:space="preserve"> of</w:t>
            </w:r>
            <w:r w:rsidR="003346CA">
              <w:rPr>
                <w:rFonts w:eastAsia="Times New Roman"/>
                <w:noProof/>
                <w:sz w:val="20"/>
                <w:szCs w:val="20"/>
              </w:rPr>
              <w:t xml:space="preserve"> EU satellite spectrum</w:t>
            </w:r>
            <w:r w:rsidRPr="009134A0">
              <w:rPr>
                <w:rFonts w:eastAsia="Times New Roman"/>
                <w:noProof/>
                <w:sz w:val="20"/>
                <w:szCs w:val="20"/>
              </w:rPr>
              <w:t xml:space="preserve"> authorisation requests </w:t>
            </w:r>
          </w:p>
        </w:tc>
        <w:tc>
          <w:tcPr>
            <w:tcW w:w="5352" w:type="dxa"/>
            <w:tcBorders>
              <w:top w:val="single" w:sz="8" w:space="0" w:color="auto"/>
              <w:left w:val="single" w:sz="8" w:space="0" w:color="auto"/>
              <w:bottom w:val="single" w:sz="8" w:space="0" w:color="auto"/>
              <w:right w:val="single" w:sz="8" w:space="0" w:color="auto"/>
            </w:tcBorders>
          </w:tcPr>
          <w:p w14:paraId="411FF053" w14:textId="0B2DD130" w:rsidR="00F21CFD" w:rsidRDefault="00F21CFD" w:rsidP="00EF16B9">
            <w:pPr>
              <w:spacing w:after="120"/>
              <w:rPr>
                <w:rFonts w:eastAsia="Times New Roman"/>
                <w:noProof/>
                <w:sz w:val="20"/>
                <w:szCs w:val="20"/>
              </w:rPr>
            </w:pPr>
            <w:r>
              <w:rPr>
                <w:rFonts w:eastAsia="Times New Roman"/>
                <w:noProof/>
                <w:sz w:val="20"/>
                <w:szCs w:val="20"/>
              </w:rPr>
              <w:t>I</w:t>
            </w:r>
            <w:r w:rsidRPr="009134A0">
              <w:rPr>
                <w:rFonts w:eastAsia="Times New Roman"/>
                <w:noProof/>
                <w:sz w:val="20"/>
                <w:szCs w:val="20"/>
              </w:rPr>
              <w:t xml:space="preserve">ncrease of cost for </w:t>
            </w:r>
            <w:r>
              <w:rPr>
                <w:rFonts w:eastAsia="Times New Roman"/>
                <w:noProof/>
                <w:sz w:val="20"/>
                <w:szCs w:val="20"/>
              </w:rPr>
              <w:t xml:space="preserve">authorities </w:t>
            </w:r>
            <w:r w:rsidRPr="009134A0">
              <w:rPr>
                <w:rFonts w:eastAsia="Times New Roman"/>
                <w:noProof/>
                <w:sz w:val="20"/>
                <w:szCs w:val="20"/>
              </w:rPr>
              <w:t xml:space="preserve">to </w:t>
            </w:r>
            <w:r>
              <w:rPr>
                <w:rFonts w:eastAsia="Times New Roman"/>
                <w:noProof/>
                <w:sz w:val="20"/>
                <w:szCs w:val="20"/>
              </w:rPr>
              <w:t xml:space="preserve">process </w:t>
            </w:r>
            <w:r w:rsidR="00E81F5B">
              <w:rPr>
                <w:rFonts w:eastAsia="Times New Roman"/>
                <w:noProof/>
                <w:sz w:val="20"/>
                <w:szCs w:val="20"/>
              </w:rPr>
              <w:t xml:space="preserve">satellite </w:t>
            </w:r>
            <w:r>
              <w:rPr>
                <w:rFonts w:eastAsia="Times New Roman"/>
                <w:noProof/>
                <w:sz w:val="20"/>
                <w:szCs w:val="20"/>
              </w:rPr>
              <w:t xml:space="preserve">authorisation requests and for enforcement and increased cost for operators to </w:t>
            </w:r>
            <w:r w:rsidRPr="009134A0">
              <w:rPr>
                <w:rFonts w:eastAsia="Times New Roman"/>
                <w:noProof/>
                <w:sz w:val="20"/>
                <w:szCs w:val="20"/>
              </w:rPr>
              <w:t>comply with authorisation conditions</w:t>
            </w:r>
          </w:p>
          <w:p w14:paraId="015389CE" w14:textId="4ED7C640" w:rsidR="00F21CFD" w:rsidRPr="009134A0" w:rsidRDefault="00B13A42" w:rsidP="00EF16B9">
            <w:pPr>
              <w:spacing w:after="120"/>
              <w:rPr>
                <w:rFonts w:eastAsia="Times New Roman"/>
                <w:noProof/>
                <w:sz w:val="20"/>
                <w:szCs w:val="20"/>
              </w:rPr>
            </w:pPr>
            <w:r>
              <w:rPr>
                <w:rFonts w:eastAsia="Times New Roman"/>
                <w:noProof/>
                <w:sz w:val="20"/>
                <w:szCs w:val="20"/>
              </w:rPr>
              <w:t>I</w:t>
            </w:r>
            <w:r w:rsidR="00F21CFD">
              <w:rPr>
                <w:rFonts w:eastAsia="Times New Roman"/>
                <w:noProof/>
                <w:sz w:val="20"/>
                <w:szCs w:val="20"/>
              </w:rPr>
              <w:t xml:space="preserve">ncreased risk of harmful interferences due to increasing </w:t>
            </w:r>
            <w:r w:rsidR="004660BE">
              <w:rPr>
                <w:rFonts w:eastAsia="Times New Roman"/>
                <w:noProof/>
                <w:sz w:val="20"/>
                <w:szCs w:val="20"/>
              </w:rPr>
              <w:t xml:space="preserve">connectivity provided via </w:t>
            </w:r>
            <w:r w:rsidR="00F21CFD">
              <w:rPr>
                <w:rFonts w:eastAsia="Times New Roman"/>
                <w:noProof/>
                <w:sz w:val="20"/>
                <w:szCs w:val="20"/>
              </w:rPr>
              <w:t>LEO satellite</w:t>
            </w:r>
            <w:r w:rsidR="00014886">
              <w:rPr>
                <w:rFonts w:eastAsia="Times New Roman"/>
                <w:noProof/>
                <w:sz w:val="20"/>
                <w:szCs w:val="20"/>
              </w:rPr>
              <w:t xml:space="preserve"> networks</w:t>
            </w:r>
          </w:p>
        </w:tc>
      </w:tr>
      <w:tr w:rsidR="00F21CFD" w:rsidRPr="009134A0" w14:paraId="529C4802" w14:textId="77777777" w:rsidTr="002855F3">
        <w:trPr>
          <w:trHeight w:val="300"/>
        </w:trPr>
        <w:tc>
          <w:tcPr>
            <w:tcW w:w="3936" w:type="dxa"/>
            <w:tcBorders>
              <w:top w:val="single" w:sz="8" w:space="0" w:color="auto"/>
              <w:left w:val="single" w:sz="8" w:space="0" w:color="auto"/>
              <w:bottom w:val="single" w:sz="8" w:space="0" w:color="auto"/>
              <w:right w:val="single" w:sz="8" w:space="0" w:color="auto"/>
            </w:tcBorders>
          </w:tcPr>
          <w:p w14:paraId="5FFB223C" w14:textId="6EBCE78E" w:rsidR="00F21CFD" w:rsidRPr="009134A0" w:rsidRDefault="00F21CFD" w:rsidP="00EF16B9">
            <w:pPr>
              <w:spacing w:after="120"/>
              <w:rPr>
                <w:rFonts w:eastAsia="Times New Roman"/>
                <w:noProof/>
                <w:sz w:val="20"/>
                <w:szCs w:val="20"/>
              </w:rPr>
            </w:pPr>
            <w:r w:rsidRPr="009134A0">
              <w:rPr>
                <w:rFonts w:eastAsia="Times New Roman"/>
                <w:noProof/>
                <w:sz w:val="20"/>
                <w:szCs w:val="20"/>
              </w:rPr>
              <w:t xml:space="preserve">Inefficient enforcement of ITU rules against harmful interference </w:t>
            </w:r>
            <w:r w:rsidR="00AE16F9">
              <w:rPr>
                <w:rFonts w:eastAsia="Times New Roman"/>
                <w:noProof/>
                <w:sz w:val="20"/>
                <w:szCs w:val="20"/>
              </w:rPr>
              <w:t>and lack of level playing field</w:t>
            </w:r>
          </w:p>
        </w:tc>
        <w:tc>
          <w:tcPr>
            <w:tcW w:w="5352" w:type="dxa"/>
            <w:tcBorders>
              <w:top w:val="single" w:sz="8" w:space="0" w:color="auto"/>
              <w:left w:val="single" w:sz="8" w:space="0" w:color="auto"/>
              <w:bottom w:val="single" w:sz="8" w:space="0" w:color="auto"/>
              <w:right w:val="single" w:sz="8" w:space="0" w:color="auto"/>
            </w:tcBorders>
          </w:tcPr>
          <w:p w14:paraId="405D33E2" w14:textId="363881BE" w:rsidR="00F21CFD" w:rsidRPr="009134A0" w:rsidRDefault="00F21CFD" w:rsidP="00EF16B9">
            <w:pPr>
              <w:spacing w:after="120"/>
              <w:rPr>
                <w:rFonts w:eastAsia="Times New Roman"/>
                <w:noProof/>
                <w:sz w:val="20"/>
                <w:szCs w:val="20"/>
              </w:rPr>
            </w:pPr>
            <w:r>
              <w:rPr>
                <w:rFonts w:eastAsia="Times New Roman"/>
                <w:noProof/>
                <w:sz w:val="20"/>
                <w:szCs w:val="20"/>
              </w:rPr>
              <w:t xml:space="preserve">Slow and inefficient </w:t>
            </w:r>
            <w:r w:rsidRPr="004F6362">
              <w:rPr>
                <w:noProof/>
                <w:sz w:val="20"/>
              </w:rPr>
              <w:t>bilateral tools prevent the EU from fully leveraging the strengths of its internal market</w:t>
            </w:r>
            <w:r w:rsidR="00AE16F9" w:rsidRPr="004F6362">
              <w:rPr>
                <w:noProof/>
                <w:sz w:val="20"/>
              </w:rPr>
              <w:t xml:space="preserve"> </w:t>
            </w:r>
            <w:r w:rsidR="000A7040" w:rsidRPr="004F6362">
              <w:rPr>
                <w:noProof/>
                <w:sz w:val="20"/>
              </w:rPr>
              <w:t xml:space="preserve">to solve harmful interference issues </w:t>
            </w:r>
            <w:r w:rsidR="00AE16F9" w:rsidRPr="004F6362">
              <w:rPr>
                <w:noProof/>
                <w:sz w:val="20"/>
              </w:rPr>
              <w:t xml:space="preserve">and to ensure </w:t>
            </w:r>
            <w:r w:rsidR="00644941" w:rsidRPr="004F6362">
              <w:rPr>
                <w:noProof/>
                <w:sz w:val="20"/>
              </w:rPr>
              <w:t>a level playing field for all operators in the provision of satellite services</w:t>
            </w:r>
          </w:p>
        </w:tc>
      </w:tr>
    </w:tbl>
    <w:p w14:paraId="0B1B074D" w14:textId="1F6E1D53" w:rsidR="00C20FF3" w:rsidRPr="00DE264C" w:rsidRDefault="005E78C9" w:rsidP="00053713">
      <w:pPr>
        <w:spacing w:before="240" w:line="240" w:lineRule="auto"/>
        <w:rPr>
          <w:noProof/>
        </w:rPr>
      </w:pPr>
      <w:r w:rsidRPr="00DE264C">
        <w:rPr>
          <w:rFonts w:eastAsia="Times New Roman"/>
          <w:noProof/>
        </w:rPr>
        <w:t xml:space="preserve">In the present context of </w:t>
      </w:r>
      <w:r w:rsidR="00116B73">
        <w:rPr>
          <w:rFonts w:eastAsia="Times New Roman"/>
          <w:noProof/>
        </w:rPr>
        <w:t>rapid development of satellite services, including</w:t>
      </w:r>
      <w:r w:rsidRPr="00DE264C">
        <w:rPr>
          <w:rFonts w:eastAsia="Times New Roman"/>
          <w:noProof/>
        </w:rPr>
        <w:t xml:space="preserve"> innovative D2D services, the existing framework based exclusively on national authorisation of </w:t>
      </w:r>
      <w:r w:rsidRPr="7AC71608">
        <w:rPr>
          <w:rFonts w:eastAsia="Times New Roman"/>
          <w:b/>
          <w:bCs/>
          <w:noProof/>
        </w:rPr>
        <w:t>satellite services</w:t>
      </w:r>
      <w:r w:rsidRPr="00DE264C">
        <w:rPr>
          <w:rFonts w:eastAsia="Times New Roman"/>
          <w:noProof/>
        </w:rPr>
        <w:t xml:space="preserve"> and spectrum resources </w:t>
      </w:r>
      <w:r w:rsidR="00792123" w:rsidRPr="00DE264C">
        <w:rPr>
          <w:rFonts w:eastAsia="Times New Roman"/>
          <w:noProof/>
        </w:rPr>
        <w:t xml:space="preserve">prevents the development of </w:t>
      </w:r>
      <w:r w:rsidR="00FB7344" w:rsidRPr="00DE264C">
        <w:rPr>
          <w:rFonts w:eastAsia="Times New Roman"/>
          <w:noProof/>
        </w:rPr>
        <w:t>a</w:t>
      </w:r>
      <w:r w:rsidRPr="7AC71608">
        <w:rPr>
          <w:rFonts w:eastAsia="Times New Roman"/>
          <w:i/>
          <w:iCs/>
          <w:noProof/>
        </w:rPr>
        <w:t xml:space="preserve"> </w:t>
      </w:r>
      <w:r w:rsidR="00FB7344" w:rsidRPr="00DE264C">
        <w:rPr>
          <w:rFonts w:eastAsia="Times New Roman"/>
          <w:noProof/>
          <w:lang w:val="en-IE"/>
        </w:rPr>
        <w:t>si</w:t>
      </w:r>
      <w:r w:rsidR="001A088D" w:rsidRPr="00DE264C">
        <w:rPr>
          <w:rFonts w:eastAsia="Times New Roman"/>
          <w:noProof/>
          <w:lang w:val="en-IE"/>
        </w:rPr>
        <w:t xml:space="preserve">ngle </w:t>
      </w:r>
      <w:r w:rsidR="00346C9E" w:rsidRPr="00DE264C">
        <w:rPr>
          <w:rFonts w:eastAsia="Times New Roman"/>
          <w:noProof/>
          <w:lang w:val="en-IE"/>
        </w:rPr>
        <w:t>market</w:t>
      </w:r>
      <w:r w:rsidR="00346C9E" w:rsidRPr="7AC71608">
        <w:rPr>
          <w:rFonts w:eastAsia="Times New Roman"/>
          <w:b/>
          <w:bCs/>
          <w:noProof/>
          <w:lang w:val="en-IE"/>
        </w:rPr>
        <w:t xml:space="preserve"> </w:t>
      </w:r>
      <w:r w:rsidR="001A088D" w:rsidRPr="00292895">
        <w:rPr>
          <w:noProof/>
          <w:lang w:val="en-IE"/>
        </w:rPr>
        <w:t>for</w:t>
      </w:r>
      <w:r w:rsidR="001A088D" w:rsidRPr="7AC71608">
        <w:rPr>
          <w:rFonts w:eastAsia="Times New Roman"/>
          <w:noProof/>
          <w:lang w:val="en-IE"/>
        </w:rPr>
        <w:t xml:space="preserve"> </w:t>
      </w:r>
      <w:r w:rsidR="00A3737B" w:rsidRPr="00292895">
        <w:rPr>
          <w:noProof/>
          <w:lang w:val="en-IE"/>
        </w:rPr>
        <w:t xml:space="preserve">satellite </w:t>
      </w:r>
      <w:r w:rsidR="001A088D" w:rsidRPr="00292895">
        <w:rPr>
          <w:noProof/>
          <w:lang w:val="en-IE"/>
        </w:rPr>
        <w:t>services</w:t>
      </w:r>
      <w:r w:rsidR="000B74CA" w:rsidRPr="7AC71608">
        <w:rPr>
          <w:rFonts w:eastAsia="Times New Roman"/>
          <w:b/>
          <w:bCs/>
          <w:noProof/>
          <w:lang w:val="en-IE"/>
        </w:rPr>
        <w:t>.</w:t>
      </w:r>
      <w:r w:rsidR="001A088D" w:rsidRPr="00DE264C">
        <w:rPr>
          <w:rFonts w:eastAsia="Times New Roman"/>
          <w:noProof/>
          <w:lang w:val="en-IE"/>
        </w:rPr>
        <w:t xml:space="preserve"> </w:t>
      </w:r>
      <w:r w:rsidR="00EC7232" w:rsidRPr="00DE264C">
        <w:rPr>
          <w:noProof/>
        </w:rPr>
        <w:t>T</w:t>
      </w:r>
      <w:r w:rsidR="009B37BE" w:rsidRPr="00DE264C">
        <w:rPr>
          <w:noProof/>
        </w:rPr>
        <w:t>o date, t</w:t>
      </w:r>
      <w:r w:rsidR="00EC7232" w:rsidRPr="00DE264C">
        <w:rPr>
          <w:noProof/>
        </w:rPr>
        <w:t xml:space="preserve">he only exception </w:t>
      </w:r>
      <w:r w:rsidR="009B37BE" w:rsidRPr="00DE264C">
        <w:rPr>
          <w:noProof/>
        </w:rPr>
        <w:t>has been</w:t>
      </w:r>
      <w:r w:rsidR="00EC7232" w:rsidRPr="00DE264C">
        <w:rPr>
          <w:noProof/>
        </w:rPr>
        <w:t xml:space="preserve"> the selection </w:t>
      </w:r>
      <w:r w:rsidR="00B87EA7" w:rsidRPr="00DE264C">
        <w:rPr>
          <w:noProof/>
        </w:rPr>
        <w:t>at EU level</w:t>
      </w:r>
      <w:r w:rsidR="00EC7232" w:rsidRPr="00DE264C">
        <w:rPr>
          <w:noProof/>
        </w:rPr>
        <w:t xml:space="preserve"> of licensees for the 2 GHz band spectrum, which aimed to facilitate the provision of pan-European Mobile Satellite Services (MSS)</w:t>
      </w:r>
      <w:r w:rsidR="00EC7232" w:rsidRPr="00DE264C">
        <w:rPr>
          <w:noProof/>
          <w:vertAlign w:val="superscript"/>
        </w:rPr>
        <w:footnoteReference w:id="131"/>
      </w:r>
      <w:r w:rsidR="00417784" w:rsidRPr="00DE264C">
        <w:rPr>
          <w:noProof/>
        </w:rPr>
        <w:t xml:space="preserve">; </w:t>
      </w:r>
      <w:r w:rsidR="008F5E16" w:rsidRPr="00DE264C">
        <w:rPr>
          <w:noProof/>
        </w:rPr>
        <w:t>but</w:t>
      </w:r>
      <w:r w:rsidR="00EC7232" w:rsidRPr="00DE264C">
        <w:rPr>
          <w:noProof/>
        </w:rPr>
        <w:t>, even in that case, spectrum authorisation remained at national level, leading to different licensing approaches</w:t>
      </w:r>
      <w:r w:rsidR="0035192E" w:rsidRPr="00DE264C">
        <w:rPr>
          <w:rStyle w:val="FootnoteReference"/>
          <w:noProof/>
        </w:rPr>
        <w:footnoteReference w:id="132"/>
      </w:r>
      <w:r w:rsidR="00EC7232" w:rsidRPr="00DE264C">
        <w:rPr>
          <w:noProof/>
        </w:rPr>
        <w:t xml:space="preserve"> and not fully harmonised authorisation conditions, with different fees or conditions attached to the licences. </w:t>
      </w:r>
    </w:p>
    <w:p w14:paraId="0631240D" w14:textId="39C46D6E" w:rsidR="00B865FA" w:rsidRPr="00DE264C" w:rsidRDefault="00D36818" w:rsidP="004B2949">
      <w:pPr>
        <w:spacing w:line="240" w:lineRule="auto"/>
        <w:rPr>
          <w:noProof/>
          <w:lang w:val="en-IE"/>
        </w:rPr>
      </w:pPr>
      <w:r w:rsidRPr="00DE264C">
        <w:rPr>
          <w:rFonts w:eastAsia="Times New Roman"/>
          <w:noProof/>
          <w:lang w:val="en-IE"/>
        </w:rPr>
        <w:t>There is wide evidence on the fragmentation of the satellite authorisation systems in 27 M</w:t>
      </w:r>
      <w:r w:rsidR="1FF292BF" w:rsidRPr="00DE264C">
        <w:rPr>
          <w:rFonts w:eastAsia="Times New Roman"/>
          <w:noProof/>
          <w:lang w:val="en-IE"/>
        </w:rPr>
        <w:t xml:space="preserve">ember </w:t>
      </w:r>
      <w:r w:rsidRPr="00DE264C">
        <w:rPr>
          <w:rFonts w:eastAsia="Times New Roman"/>
          <w:noProof/>
          <w:lang w:val="en-IE"/>
        </w:rPr>
        <w:t>S</w:t>
      </w:r>
      <w:r w:rsidR="7A514C03" w:rsidRPr="00DE264C">
        <w:rPr>
          <w:rFonts w:eastAsia="Times New Roman"/>
          <w:noProof/>
          <w:lang w:val="en-IE"/>
        </w:rPr>
        <w:t>tates</w:t>
      </w:r>
      <w:r w:rsidR="006B12E1" w:rsidRPr="00DE264C">
        <w:rPr>
          <w:rFonts w:eastAsia="Times New Roman"/>
          <w:noProof/>
          <w:lang w:val="en-IE"/>
        </w:rPr>
        <w:t>,</w:t>
      </w:r>
      <w:r w:rsidRPr="00DE264C">
        <w:rPr>
          <w:rFonts w:eastAsia="Times New Roman"/>
          <w:noProof/>
          <w:lang w:val="en-IE"/>
        </w:rPr>
        <w:t xml:space="preserve"> confirmed by </w:t>
      </w:r>
      <w:r w:rsidR="00767EAC" w:rsidRPr="00DE264C">
        <w:rPr>
          <w:rFonts w:eastAsia="Times New Roman"/>
          <w:noProof/>
          <w:lang w:val="en-IE"/>
        </w:rPr>
        <w:t>the 2025</w:t>
      </w:r>
      <w:r w:rsidRPr="00DE264C">
        <w:rPr>
          <w:rFonts w:eastAsia="Times New Roman"/>
          <w:noProof/>
          <w:lang w:val="en-IE"/>
        </w:rPr>
        <w:t xml:space="preserve"> M</w:t>
      </w:r>
      <w:r w:rsidR="008C171F" w:rsidRPr="00DE264C">
        <w:rPr>
          <w:rFonts w:eastAsia="Times New Roman"/>
          <w:noProof/>
          <w:lang w:val="en-IE"/>
        </w:rPr>
        <w:t>obile Satellite Services (M</w:t>
      </w:r>
      <w:r w:rsidRPr="00DE264C">
        <w:rPr>
          <w:rFonts w:eastAsia="Times New Roman"/>
          <w:noProof/>
          <w:lang w:val="en-IE"/>
        </w:rPr>
        <w:t>SS</w:t>
      </w:r>
      <w:r w:rsidR="008C171F" w:rsidRPr="00DE264C">
        <w:rPr>
          <w:rFonts w:eastAsia="Times New Roman"/>
          <w:noProof/>
          <w:lang w:val="en-IE"/>
        </w:rPr>
        <w:t>)</w:t>
      </w:r>
      <w:r w:rsidR="00056F51" w:rsidRPr="00DE264C">
        <w:rPr>
          <w:rFonts w:eastAsia="Times New Roman"/>
          <w:noProof/>
          <w:lang w:val="en-IE"/>
        </w:rPr>
        <w:t xml:space="preserve"> study</w:t>
      </w:r>
      <w:r w:rsidRPr="00DE264C">
        <w:rPr>
          <w:rFonts w:eastAsia="Times New Roman"/>
          <w:noProof/>
          <w:vertAlign w:val="superscript"/>
          <w:lang w:val="en-IE"/>
        </w:rPr>
        <w:footnoteReference w:id="133"/>
      </w:r>
      <w:r w:rsidRPr="00DE264C">
        <w:rPr>
          <w:rFonts w:eastAsia="Times New Roman"/>
          <w:noProof/>
          <w:lang w:val="en-IE"/>
        </w:rPr>
        <w:t xml:space="preserve">, previous </w:t>
      </w:r>
      <w:r w:rsidR="009A6120" w:rsidRPr="00DE264C">
        <w:rPr>
          <w:rFonts w:eastAsia="Times New Roman"/>
          <w:noProof/>
          <w:lang w:val="en-IE"/>
        </w:rPr>
        <w:t xml:space="preserve">MSS </w:t>
      </w:r>
      <w:r w:rsidRPr="00DE264C">
        <w:rPr>
          <w:rFonts w:eastAsia="Times New Roman"/>
          <w:noProof/>
          <w:lang w:val="en-IE"/>
        </w:rPr>
        <w:t>studies</w:t>
      </w:r>
      <w:r w:rsidRPr="00DE264C">
        <w:rPr>
          <w:rFonts w:eastAsia="Times New Roman"/>
          <w:noProof/>
          <w:vertAlign w:val="superscript"/>
          <w:lang w:val="en-IE"/>
        </w:rPr>
        <w:footnoteReference w:id="134"/>
      </w:r>
      <w:r w:rsidRPr="00DE264C">
        <w:rPr>
          <w:rFonts w:eastAsia="Times New Roman"/>
          <w:noProof/>
          <w:lang w:val="en-IE"/>
        </w:rPr>
        <w:t xml:space="preserve"> and an RSPG opinion</w:t>
      </w:r>
      <w:r w:rsidRPr="00DE264C">
        <w:rPr>
          <w:rFonts w:eastAsia="Times New Roman"/>
          <w:noProof/>
          <w:vertAlign w:val="superscript"/>
          <w:lang w:val="en-IE"/>
        </w:rPr>
        <w:footnoteReference w:id="135"/>
      </w:r>
      <w:r w:rsidRPr="00DE264C">
        <w:rPr>
          <w:rFonts w:eastAsia="Times New Roman"/>
          <w:noProof/>
          <w:lang w:val="en-IE"/>
        </w:rPr>
        <w:t xml:space="preserve">. </w:t>
      </w:r>
      <w:r w:rsidR="00433A25" w:rsidRPr="00DE264C">
        <w:rPr>
          <w:rFonts w:eastAsia="Times New Roman"/>
          <w:noProof/>
          <w:lang w:val="en-IE"/>
        </w:rPr>
        <w:t>Firstly</w:t>
      </w:r>
      <w:r w:rsidR="00DE59D7" w:rsidRPr="00DE264C">
        <w:rPr>
          <w:rFonts w:eastAsia="Times New Roman"/>
          <w:noProof/>
          <w:lang w:val="en-IE"/>
        </w:rPr>
        <w:t>,</w:t>
      </w:r>
      <w:r w:rsidR="00433A25" w:rsidRPr="00DE264C">
        <w:rPr>
          <w:rFonts w:eastAsia="Times New Roman"/>
          <w:noProof/>
          <w:lang w:val="en-IE"/>
        </w:rPr>
        <w:t xml:space="preserve"> </w:t>
      </w:r>
      <w:r w:rsidR="00433A25" w:rsidRPr="00DE264C">
        <w:rPr>
          <w:noProof/>
          <w:lang w:val="en-IE"/>
        </w:rPr>
        <w:t>t</w:t>
      </w:r>
      <w:r w:rsidR="00344A78" w:rsidRPr="00DE264C">
        <w:rPr>
          <w:noProof/>
          <w:lang w:val="en-IE"/>
        </w:rPr>
        <w:t>he</w:t>
      </w:r>
      <w:r w:rsidR="00344A78" w:rsidRPr="7AC71608">
        <w:rPr>
          <w:b/>
          <w:bCs/>
          <w:noProof/>
          <w:lang w:val="en-IE"/>
        </w:rPr>
        <w:t xml:space="preserve"> </w:t>
      </w:r>
      <w:r w:rsidR="00344A78" w:rsidRPr="00DE264C">
        <w:rPr>
          <w:noProof/>
          <w:lang w:val="en-IE"/>
        </w:rPr>
        <w:t xml:space="preserve">precedent of the </w:t>
      </w:r>
      <w:r w:rsidR="00070E20" w:rsidRPr="7AC71608">
        <w:rPr>
          <w:b/>
          <w:bCs/>
          <w:noProof/>
          <w:lang w:val="en-IE"/>
        </w:rPr>
        <w:t xml:space="preserve">several </w:t>
      </w:r>
      <w:r w:rsidR="00344A78" w:rsidRPr="7AC71608">
        <w:rPr>
          <w:b/>
          <w:bCs/>
          <w:noProof/>
          <w:lang w:val="en-IE"/>
        </w:rPr>
        <w:t>year</w:t>
      </w:r>
      <w:r w:rsidR="00070E20" w:rsidRPr="7AC71608">
        <w:rPr>
          <w:b/>
          <w:bCs/>
          <w:noProof/>
          <w:lang w:val="en-IE"/>
        </w:rPr>
        <w:t>s</w:t>
      </w:r>
      <w:r w:rsidR="00344A78" w:rsidRPr="7AC71608">
        <w:rPr>
          <w:b/>
          <w:bCs/>
          <w:noProof/>
          <w:lang w:val="en-IE"/>
        </w:rPr>
        <w:t xml:space="preserve"> long authorisation process for MSS operators</w:t>
      </w:r>
      <w:r w:rsidR="00344A78" w:rsidRPr="00DE264C">
        <w:rPr>
          <w:noProof/>
          <w:lang w:val="en-IE"/>
        </w:rPr>
        <w:t xml:space="preserve"> selected at EU level provides concrete evidence of how fragmentation of rules hinders the supply of satellite services with high cost for the operators</w:t>
      </w:r>
      <w:r w:rsidR="00FE18DA" w:rsidRPr="00DE264C">
        <w:rPr>
          <w:rStyle w:val="FootnoteReference"/>
          <w:noProof/>
          <w:lang w:val="en-IE"/>
        </w:rPr>
        <w:footnoteReference w:id="136"/>
      </w:r>
      <w:r w:rsidR="00344A78" w:rsidRPr="00DE264C">
        <w:rPr>
          <w:noProof/>
          <w:lang w:val="en-IE"/>
        </w:rPr>
        <w:t>.</w:t>
      </w:r>
      <w:r w:rsidR="00A970D0" w:rsidRPr="00DE264C">
        <w:rPr>
          <w:rFonts w:eastAsia="Times New Roman"/>
          <w:noProof/>
          <w:lang w:val="en-IE"/>
        </w:rPr>
        <w:t xml:space="preserve"> </w:t>
      </w:r>
      <w:r w:rsidR="00A873EF" w:rsidRPr="00DE264C">
        <w:rPr>
          <w:rFonts w:eastAsia="Times New Roman"/>
          <w:noProof/>
          <w:lang w:val="en-IE"/>
        </w:rPr>
        <w:t xml:space="preserve">The </w:t>
      </w:r>
      <w:r w:rsidR="00D57B49" w:rsidRPr="00DE264C">
        <w:rPr>
          <w:rFonts w:eastAsia="Times New Roman"/>
          <w:noProof/>
          <w:lang w:val="en-IE"/>
        </w:rPr>
        <w:t xml:space="preserve">MSS </w:t>
      </w:r>
      <w:r w:rsidR="00A873EF" w:rsidRPr="00DE264C">
        <w:rPr>
          <w:rFonts w:eastAsia="Times New Roman"/>
          <w:noProof/>
          <w:lang w:val="en-IE"/>
        </w:rPr>
        <w:t>study concludes that a</w:t>
      </w:r>
      <w:r w:rsidR="003169B7" w:rsidRPr="00DE264C">
        <w:rPr>
          <w:rFonts w:eastAsia="Times New Roman"/>
          <w:noProof/>
          <w:lang w:val="en-IE"/>
        </w:rPr>
        <w:t>lthough</w:t>
      </w:r>
      <w:r w:rsidRPr="00DE264C">
        <w:rPr>
          <w:rFonts w:eastAsia="Times New Roman"/>
          <w:noProof/>
          <w:lang w:val="en-IE"/>
        </w:rPr>
        <w:t xml:space="preserve"> the MSS Decision harmonises certain authorisation conditions, the implementation in practice has been rather uneven</w:t>
      </w:r>
      <w:r w:rsidR="00BD0571" w:rsidRPr="00DE264C">
        <w:rPr>
          <w:noProof/>
          <w:lang w:val="en-IE"/>
        </w:rPr>
        <w:t xml:space="preserve"> </w:t>
      </w:r>
      <w:r w:rsidR="00010967" w:rsidRPr="00DE264C">
        <w:rPr>
          <w:noProof/>
          <w:lang w:val="en-IE"/>
        </w:rPr>
        <w:t xml:space="preserve">and resulted in </w:t>
      </w:r>
      <w:r w:rsidR="008A18A1" w:rsidRPr="00DE264C">
        <w:rPr>
          <w:noProof/>
          <w:lang w:val="en-IE"/>
        </w:rPr>
        <w:t xml:space="preserve">authorisation </w:t>
      </w:r>
      <w:r w:rsidR="00DC2A54" w:rsidRPr="00DE264C">
        <w:rPr>
          <w:noProof/>
          <w:lang w:val="en-IE"/>
        </w:rPr>
        <w:t>delays</w:t>
      </w:r>
      <w:r w:rsidR="00010967" w:rsidRPr="00DE264C">
        <w:rPr>
          <w:noProof/>
          <w:lang w:val="en-IE"/>
        </w:rPr>
        <w:t xml:space="preserve">. </w:t>
      </w:r>
      <w:r w:rsidR="00B75E17" w:rsidRPr="00DE264C">
        <w:rPr>
          <w:rFonts w:eastAsia="Times New Roman"/>
          <w:noProof/>
          <w:lang w:val="en-IE"/>
        </w:rPr>
        <w:t>Several</w:t>
      </w:r>
      <w:r w:rsidR="0067777A" w:rsidRPr="00DE264C">
        <w:rPr>
          <w:rFonts w:eastAsia="Times New Roman"/>
          <w:noProof/>
          <w:lang w:val="en-IE"/>
        </w:rPr>
        <w:t xml:space="preserve"> </w:t>
      </w:r>
      <w:r w:rsidR="00791AD8" w:rsidRPr="00DE264C">
        <w:rPr>
          <w:rFonts w:eastAsia="Times New Roman"/>
          <w:noProof/>
          <w:lang w:val="en-IE"/>
        </w:rPr>
        <w:t>national</w:t>
      </w:r>
      <w:r w:rsidR="0067777A" w:rsidRPr="00DE264C">
        <w:rPr>
          <w:rFonts w:eastAsia="Times New Roman"/>
          <w:noProof/>
          <w:lang w:val="en-IE"/>
        </w:rPr>
        <w:t xml:space="preserve"> conditions attached to the various licences and authorisations </w:t>
      </w:r>
      <w:r w:rsidR="00A20C0D" w:rsidRPr="00DE264C">
        <w:rPr>
          <w:rFonts w:eastAsia="Times New Roman"/>
          <w:noProof/>
          <w:lang w:val="en-IE"/>
        </w:rPr>
        <w:t>were not</w:t>
      </w:r>
      <w:r w:rsidR="0067777A" w:rsidRPr="00DE264C">
        <w:rPr>
          <w:rFonts w:eastAsia="Times New Roman"/>
          <w:noProof/>
          <w:lang w:val="en-IE"/>
        </w:rPr>
        <w:t xml:space="preserve"> justified by national laws</w:t>
      </w:r>
      <w:r w:rsidR="00A20C0D" w:rsidRPr="00DE264C">
        <w:rPr>
          <w:rFonts w:eastAsia="Times New Roman"/>
          <w:noProof/>
          <w:lang w:val="en-IE"/>
        </w:rPr>
        <w:t xml:space="preserve"> and</w:t>
      </w:r>
      <w:r w:rsidR="00A20C0D" w:rsidRPr="00DE264C">
        <w:rPr>
          <w:noProof/>
          <w:lang w:val="en-IE"/>
        </w:rPr>
        <w:t>, this</w:t>
      </w:r>
      <w:r w:rsidR="00A20C0D" w:rsidRPr="00DE264C">
        <w:rPr>
          <w:rFonts w:eastAsia="Times New Roman"/>
          <w:noProof/>
          <w:lang w:val="en-IE"/>
        </w:rPr>
        <w:t xml:space="preserve"> </w:t>
      </w:r>
      <w:r w:rsidR="00A20C0D" w:rsidRPr="7AC71608">
        <w:rPr>
          <w:rFonts w:eastAsia="Times New Roman"/>
          <w:noProof/>
          <w:lang w:val="en-IE"/>
        </w:rPr>
        <w:t>undermined the objective of</w:t>
      </w:r>
      <w:r w:rsidR="009D1BB3" w:rsidRPr="7AC71608">
        <w:rPr>
          <w:rFonts w:eastAsia="Times New Roman"/>
          <w:noProof/>
          <w:lang w:val="en-IE"/>
        </w:rPr>
        <w:t xml:space="preserve"> </w:t>
      </w:r>
      <w:r w:rsidR="00125AA6" w:rsidRPr="7AC71608">
        <w:rPr>
          <w:rFonts w:eastAsia="Times New Roman"/>
          <w:noProof/>
          <w:lang w:val="en-IE"/>
        </w:rPr>
        <w:t xml:space="preserve">the previous </w:t>
      </w:r>
      <w:r w:rsidR="00A20C0D" w:rsidRPr="7AC71608">
        <w:rPr>
          <w:rFonts w:eastAsia="Times New Roman"/>
          <w:noProof/>
          <w:lang w:val="en-IE"/>
        </w:rPr>
        <w:t xml:space="preserve">regulatory </w:t>
      </w:r>
      <w:r w:rsidR="00A15CCB" w:rsidRPr="7AC71608">
        <w:rPr>
          <w:rFonts w:eastAsia="Times New Roman"/>
          <w:noProof/>
          <w:lang w:val="en-IE"/>
        </w:rPr>
        <w:t>harmonisation</w:t>
      </w:r>
      <w:r w:rsidR="00BE4019" w:rsidRPr="7AC71608">
        <w:rPr>
          <w:rFonts w:eastAsia="Times New Roman"/>
          <w:noProof/>
          <w:lang w:val="en-IE"/>
        </w:rPr>
        <w:t xml:space="preserve"> of spectrum</w:t>
      </w:r>
      <w:r w:rsidR="00A15CCB" w:rsidRPr="00DE264C">
        <w:rPr>
          <w:rFonts w:eastAsia="Times New Roman"/>
          <w:noProof/>
          <w:lang w:val="en-IE"/>
        </w:rPr>
        <w:t xml:space="preserve">. </w:t>
      </w:r>
      <w:r w:rsidR="00A15CCB" w:rsidRPr="00DE264C">
        <w:rPr>
          <w:noProof/>
          <w:lang w:val="en-IE"/>
        </w:rPr>
        <w:t>The</w:t>
      </w:r>
      <w:r w:rsidR="006679C0" w:rsidRPr="00DE264C">
        <w:rPr>
          <w:noProof/>
          <w:lang w:val="en-IE"/>
        </w:rPr>
        <w:t xml:space="preserve"> divergences in procedure, conditions and fees </w:t>
      </w:r>
      <w:r w:rsidR="00136308">
        <w:rPr>
          <w:noProof/>
          <w:lang w:val="en-IE"/>
        </w:rPr>
        <w:t>were so significant</w:t>
      </w:r>
      <w:r w:rsidR="006679C0" w:rsidRPr="00DE264C">
        <w:rPr>
          <w:noProof/>
          <w:lang w:val="en-IE"/>
        </w:rPr>
        <w:t xml:space="preserve"> that</w:t>
      </w:r>
      <w:r w:rsidR="00D06E86">
        <w:rPr>
          <w:noProof/>
          <w:lang w:val="en-IE"/>
        </w:rPr>
        <w:t xml:space="preserve"> </w:t>
      </w:r>
      <w:r w:rsidR="006679C0" w:rsidRPr="00DE264C">
        <w:rPr>
          <w:noProof/>
          <w:lang w:val="en-IE"/>
        </w:rPr>
        <w:t>operator</w:t>
      </w:r>
      <w:r w:rsidR="003F3514">
        <w:rPr>
          <w:noProof/>
          <w:lang w:val="en-IE"/>
        </w:rPr>
        <w:t>s</w:t>
      </w:r>
      <w:r w:rsidR="006679C0" w:rsidRPr="00DE264C">
        <w:rPr>
          <w:noProof/>
          <w:lang w:val="en-IE"/>
        </w:rPr>
        <w:t xml:space="preserve"> could </w:t>
      </w:r>
      <w:r w:rsidR="003F3514">
        <w:rPr>
          <w:noProof/>
          <w:lang w:val="en-IE"/>
        </w:rPr>
        <w:t xml:space="preserve">not reasonably </w:t>
      </w:r>
      <w:r w:rsidR="008D00FA">
        <w:rPr>
          <w:noProof/>
          <w:lang w:val="en-IE"/>
        </w:rPr>
        <w:t xml:space="preserve">estimate </w:t>
      </w:r>
      <w:r w:rsidR="006679C0" w:rsidRPr="00DE264C">
        <w:rPr>
          <w:noProof/>
          <w:lang w:val="en-IE"/>
        </w:rPr>
        <w:t xml:space="preserve">the timeline and regulatory cost for </w:t>
      </w:r>
      <w:r w:rsidR="00071C7F">
        <w:rPr>
          <w:noProof/>
          <w:lang w:val="en-IE"/>
        </w:rPr>
        <w:t>their</w:t>
      </w:r>
      <w:r w:rsidR="006679C0" w:rsidRPr="00DE264C">
        <w:rPr>
          <w:noProof/>
          <w:lang w:val="en-IE"/>
        </w:rPr>
        <w:t xml:space="preserve"> business plan</w:t>
      </w:r>
      <w:r w:rsidR="00071C7F">
        <w:rPr>
          <w:noProof/>
          <w:lang w:val="en-IE"/>
        </w:rPr>
        <w:t>s</w:t>
      </w:r>
      <w:r w:rsidR="006679C0" w:rsidRPr="00DE264C">
        <w:rPr>
          <w:noProof/>
          <w:lang w:val="en-IE"/>
        </w:rPr>
        <w:t xml:space="preserve"> and secure financing</w:t>
      </w:r>
      <w:r w:rsidR="00992FAC" w:rsidRPr="00DE264C">
        <w:rPr>
          <w:noProof/>
          <w:lang w:val="en-IE"/>
        </w:rPr>
        <w:t xml:space="preserve">, thus, delaying the </w:t>
      </w:r>
      <w:r w:rsidR="00D86C3C" w:rsidRPr="00DE264C">
        <w:rPr>
          <w:noProof/>
          <w:lang w:val="en-IE"/>
        </w:rPr>
        <w:t>provision of s</w:t>
      </w:r>
      <w:r w:rsidR="000139F1" w:rsidRPr="00DE264C">
        <w:rPr>
          <w:noProof/>
          <w:lang w:val="en-IE"/>
        </w:rPr>
        <w:t>atellite services</w:t>
      </w:r>
      <w:r w:rsidR="00071C7F" w:rsidRPr="00DE264C">
        <w:rPr>
          <w:rStyle w:val="FootnoteReference"/>
          <w:rFonts w:eastAsia="Times New Roman"/>
          <w:noProof/>
        </w:rPr>
        <w:footnoteReference w:id="137"/>
      </w:r>
      <w:r w:rsidR="00CF13A0" w:rsidRPr="00DE264C">
        <w:rPr>
          <w:noProof/>
          <w:lang w:val="en-IE"/>
        </w:rPr>
        <w:t xml:space="preserve">. </w:t>
      </w:r>
      <w:r w:rsidR="0041028A" w:rsidRPr="00DE264C">
        <w:rPr>
          <w:noProof/>
          <w:lang w:val="en-IE"/>
        </w:rPr>
        <w:t>Further, the</w:t>
      </w:r>
      <w:r w:rsidR="00AA30B1" w:rsidRPr="00DE264C">
        <w:rPr>
          <w:noProof/>
          <w:lang w:val="en-IE"/>
        </w:rPr>
        <w:t xml:space="preserve"> experience </w:t>
      </w:r>
      <w:r w:rsidR="002110E3" w:rsidRPr="00DE264C">
        <w:rPr>
          <w:noProof/>
          <w:lang w:val="en-IE"/>
        </w:rPr>
        <w:t>of</w:t>
      </w:r>
      <w:r w:rsidR="0041028A" w:rsidRPr="00DE264C">
        <w:rPr>
          <w:noProof/>
          <w:lang w:val="en-IE"/>
        </w:rPr>
        <w:t xml:space="preserve"> </w:t>
      </w:r>
      <w:r w:rsidR="00EA61A9" w:rsidRPr="00DE264C">
        <w:rPr>
          <w:noProof/>
          <w:lang w:val="en-IE"/>
        </w:rPr>
        <w:t>fragmented regulat</w:t>
      </w:r>
      <w:r w:rsidR="002110E3" w:rsidRPr="00DE264C">
        <w:rPr>
          <w:noProof/>
          <w:lang w:val="en-IE"/>
        </w:rPr>
        <w:t xml:space="preserve">ion </w:t>
      </w:r>
      <w:r w:rsidR="00EA61A9" w:rsidRPr="00DE264C">
        <w:rPr>
          <w:noProof/>
          <w:lang w:val="en-IE"/>
        </w:rPr>
        <w:t>in this band confirms that d</w:t>
      </w:r>
      <w:r w:rsidR="0054461E" w:rsidRPr="00DE264C" w:rsidDel="00EB4ECF">
        <w:rPr>
          <w:noProof/>
          <w:lang w:val="en-IE"/>
        </w:rPr>
        <w:t xml:space="preserve">elays in the </w:t>
      </w:r>
      <w:r w:rsidR="008A18A1" w:rsidRPr="00DE264C" w:rsidDel="00EB4ECF">
        <w:rPr>
          <w:noProof/>
          <w:lang w:val="en-IE"/>
        </w:rPr>
        <w:t xml:space="preserve">authorisation </w:t>
      </w:r>
      <w:r w:rsidR="008A18A1" w:rsidRPr="00DE264C">
        <w:rPr>
          <w:noProof/>
          <w:lang w:val="en-IE"/>
        </w:rPr>
        <w:t>significantly</w:t>
      </w:r>
      <w:r w:rsidR="00E61064" w:rsidRPr="00DE264C">
        <w:rPr>
          <w:noProof/>
          <w:lang w:val="en-IE"/>
        </w:rPr>
        <w:t xml:space="preserve"> impact revenue timing. </w:t>
      </w:r>
      <w:r w:rsidR="00B865FA" w:rsidRPr="00DE264C">
        <w:rPr>
          <w:noProof/>
          <w:lang w:val="en-IE"/>
        </w:rPr>
        <w:t>For satellite communication service providers, the most substantial cost burden arises from postponed commercial launches, potentially resulting in tens of millions of euros in lost revenues</w:t>
      </w:r>
      <w:r w:rsidR="009E6B9A" w:rsidRPr="00DE264C">
        <w:rPr>
          <w:noProof/>
          <w:lang w:val="en-IE"/>
        </w:rPr>
        <w:t xml:space="preserve"> (see detai</w:t>
      </w:r>
      <w:r w:rsidR="00380658" w:rsidRPr="00DE264C">
        <w:rPr>
          <w:noProof/>
          <w:lang w:val="en-IE"/>
        </w:rPr>
        <w:t>ls in section 6.3.2)</w:t>
      </w:r>
      <w:r w:rsidR="008116A3" w:rsidRPr="00DE264C">
        <w:rPr>
          <w:noProof/>
          <w:lang w:val="en-IE"/>
        </w:rPr>
        <w:t>.</w:t>
      </w:r>
    </w:p>
    <w:p w14:paraId="51A48479" w14:textId="4D8E2ACB" w:rsidR="00135D02" w:rsidRDefault="00433A25" w:rsidP="004B2949">
      <w:pPr>
        <w:spacing w:line="240" w:lineRule="auto"/>
        <w:rPr>
          <w:rFonts w:eastAsia="Times New Roman"/>
          <w:noProof/>
        </w:rPr>
      </w:pPr>
      <w:r w:rsidRPr="00DE264C">
        <w:rPr>
          <w:rFonts w:eastAsia="Times New Roman"/>
          <w:noProof/>
        </w:rPr>
        <w:t>Secondly, a</w:t>
      </w:r>
      <w:r w:rsidR="00972EB3" w:rsidRPr="00DE264C">
        <w:rPr>
          <w:rFonts w:eastAsia="Times New Roman"/>
          <w:noProof/>
        </w:rPr>
        <w:t xml:space="preserve"> more recent study</w:t>
      </w:r>
      <w:r w:rsidR="7EF88392" w:rsidRPr="2AF71C42">
        <w:rPr>
          <w:rStyle w:val="FootnoteReference"/>
          <w:rFonts w:eastAsia="Times New Roman"/>
          <w:noProof/>
        </w:rPr>
        <w:t xml:space="preserve"> </w:t>
      </w:r>
      <w:r w:rsidR="00972EB3" w:rsidRPr="00DE264C">
        <w:rPr>
          <w:rFonts w:eastAsia="Times New Roman"/>
          <w:noProof/>
        </w:rPr>
        <w:t xml:space="preserve">confirms that although many Member States are authorising satellites under general authorisation, the </w:t>
      </w:r>
      <w:r w:rsidR="00972EB3" w:rsidRPr="004B2949">
        <w:rPr>
          <w:noProof/>
          <w:lang w:val="en-IE"/>
        </w:rPr>
        <w:t>conditions</w:t>
      </w:r>
      <w:r w:rsidR="00972EB3" w:rsidRPr="00DE264C">
        <w:rPr>
          <w:rFonts w:eastAsia="Times New Roman"/>
          <w:noProof/>
        </w:rPr>
        <w:t xml:space="preserve"> attached to the general authorisation differ significantly</w:t>
      </w:r>
      <w:r w:rsidR="00C07967">
        <w:rPr>
          <w:rFonts w:eastAsia="Times New Roman"/>
          <w:noProof/>
        </w:rPr>
        <w:t xml:space="preserve"> </w:t>
      </w:r>
      <w:r w:rsidR="00972EB3" w:rsidRPr="00DE264C">
        <w:rPr>
          <w:rFonts w:eastAsia="Times New Roman"/>
          <w:noProof/>
        </w:rPr>
        <w:t>and, are not always suit</w:t>
      </w:r>
      <w:r w:rsidR="002A06C2" w:rsidRPr="00DE264C">
        <w:rPr>
          <w:rFonts w:eastAsia="Times New Roman"/>
          <w:noProof/>
        </w:rPr>
        <w:t>ed</w:t>
      </w:r>
      <w:r w:rsidR="00972EB3" w:rsidRPr="00DE264C">
        <w:rPr>
          <w:rFonts w:eastAsia="Times New Roman"/>
          <w:noProof/>
        </w:rPr>
        <w:t xml:space="preserve"> </w:t>
      </w:r>
      <w:r w:rsidR="002A06C2" w:rsidRPr="00DE264C">
        <w:rPr>
          <w:rFonts w:eastAsia="Times New Roman"/>
          <w:noProof/>
        </w:rPr>
        <w:t xml:space="preserve">to </w:t>
      </w:r>
      <w:r w:rsidR="00972EB3" w:rsidRPr="00DE264C">
        <w:rPr>
          <w:rFonts w:eastAsia="Times New Roman"/>
          <w:noProof/>
        </w:rPr>
        <w:t xml:space="preserve">satellite </w:t>
      </w:r>
      <w:r w:rsidR="002A06C2" w:rsidRPr="00DE264C">
        <w:rPr>
          <w:rFonts w:eastAsia="Times New Roman"/>
          <w:noProof/>
        </w:rPr>
        <w:t>services</w:t>
      </w:r>
      <w:r w:rsidR="00F9600B" w:rsidRPr="00DE264C">
        <w:rPr>
          <w:rStyle w:val="FootnoteReference"/>
          <w:rFonts w:eastAsia="Times New Roman"/>
          <w:noProof/>
        </w:rPr>
        <w:footnoteReference w:id="138"/>
      </w:r>
      <w:r w:rsidR="00373EBA" w:rsidRPr="00DE264C">
        <w:rPr>
          <w:rFonts w:eastAsia="Times New Roman"/>
          <w:noProof/>
        </w:rPr>
        <w:t>. Moreover</w:t>
      </w:r>
      <w:r w:rsidR="00972EB3" w:rsidRPr="00DE264C">
        <w:rPr>
          <w:rFonts w:eastAsia="Times New Roman"/>
          <w:noProof/>
        </w:rPr>
        <w:t xml:space="preserve">, the </w:t>
      </w:r>
      <w:r w:rsidR="006E7941" w:rsidRPr="00DE264C">
        <w:rPr>
          <w:rFonts w:eastAsia="Times New Roman"/>
          <w:noProof/>
        </w:rPr>
        <w:t xml:space="preserve">procedures for obtaining </w:t>
      </w:r>
      <w:r w:rsidR="00972EB3" w:rsidRPr="00DE264C">
        <w:rPr>
          <w:rFonts w:eastAsia="Times New Roman"/>
          <w:noProof/>
        </w:rPr>
        <w:t xml:space="preserve">individual authorisations </w:t>
      </w:r>
      <w:r w:rsidR="00373EBA" w:rsidRPr="00DE264C">
        <w:rPr>
          <w:rFonts w:eastAsia="Times New Roman"/>
          <w:noProof/>
        </w:rPr>
        <w:t xml:space="preserve">for the ground segment </w:t>
      </w:r>
      <w:r w:rsidR="006E7941" w:rsidRPr="00DE264C">
        <w:rPr>
          <w:rFonts w:eastAsia="Times New Roman"/>
          <w:noProof/>
        </w:rPr>
        <w:t xml:space="preserve">are </w:t>
      </w:r>
      <w:r w:rsidR="00972EB3" w:rsidRPr="00DE264C">
        <w:rPr>
          <w:rFonts w:eastAsia="Times New Roman"/>
          <w:noProof/>
        </w:rPr>
        <w:t xml:space="preserve">lengthy and </w:t>
      </w:r>
      <w:r w:rsidR="007850BF" w:rsidRPr="00DE264C">
        <w:rPr>
          <w:rFonts w:eastAsia="Times New Roman"/>
          <w:noProof/>
        </w:rPr>
        <w:t xml:space="preserve">the </w:t>
      </w:r>
      <w:r w:rsidR="00972EB3" w:rsidRPr="00DE264C">
        <w:rPr>
          <w:rFonts w:eastAsia="Times New Roman"/>
          <w:noProof/>
        </w:rPr>
        <w:t>requirements in some M</w:t>
      </w:r>
      <w:r w:rsidR="28A62C30" w:rsidRPr="00DE264C">
        <w:rPr>
          <w:rFonts w:eastAsia="Times New Roman"/>
          <w:noProof/>
        </w:rPr>
        <w:t xml:space="preserve">ember </w:t>
      </w:r>
      <w:r w:rsidR="00972EB3" w:rsidRPr="00DE264C">
        <w:rPr>
          <w:rFonts w:eastAsia="Times New Roman"/>
          <w:noProof/>
        </w:rPr>
        <w:t>S</w:t>
      </w:r>
      <w:r w:rsidR="57B5B9C9" w:rsidRPr="00DE264C">
        <w:rPr>
          <w:rFonts w:eastAsia="Times New Roman"/>
          <w:noProof/>
        </w:rPr>
        <w:t>tates</w:t>
      </w:r>
      <w:r w:rsidR="007850BF" w:rsidRPr="00DE264C">
        <w:rPr>
          <w:rFonts w:eastAsia="Times New Roman"/>
          <w:noProof/>
        </w:rPr>
        <w:t xml:space="preserve"> complex</w:t>
      </w:r>
      <w:r w:rsidR="00972EB3" w:rsidRPr="00DE264C">
        <w:rPr>
          <w:rFonts w:eastAsia="Times New Roman"/>
          <w:noProof/>
        </w:rPr>
        <w:t xml:space="preserve">, </w:t>
      </w:r>
      <w:r w:rsidR="007850BF" w:rsidRPr="00DE264C">
        <w:rPr>
          <w:rFonts w:eastAsia="Times New Roman"/>
          <w:noProof/>
        </w:rPr>
        <w:t>and</w:t>
      </w:r>
      <w:r w:rsidR="00972EB3" w:rsidRPr="00DE264C">
        <w:rPr>
          <w:rFonts w:eastAsia="Times New Roman"/>
          <w:noProof/>
        </w:rPr>
        <w:t xml:space="preserve"> difficult to satisfy for new-comers, SMEs</w:t>
      </w:r>
      <w:r w:rsidR="00972EB3" w:rsidRPr="00DE264C">
        <w:rPr>
          <w:rStyle w:val="FootnoteReference"/>
          <w:rFonts w:eastAsia="Times New Roman"/>
          <w:noProof/>
        </w:rPr>
        <w:footnoteReference w:id="139"/>
      </w:r>
      <w:r w:rsidR="00972EB3" w:rsidRPr="2AF71C42">
        <w:rPr>
          <w:rFonts w:eastAsia="Times New Roman"/>
          <w:noProof/>
        </w:rPr>
        <w:t>.</w:t>
      </w:r>
    </w:p>
    <w:p w14:paraId="633D0021" w14:textId="77777777" w:rsidR="00F2608B" w:rsidRDefault="00F21DAB" w:rsidP="004B2949">
      <w:pPr>
        <w:spacing w:line="240" w:lineRule="auto"/>
        <w:rPr>
          <w:rFonts w:eastAsia="Times New Roman"/>
          <w:noProof/>
        </w:rPr>
      </w:pPr>
      <w:r w:rsidRPr="00DE264C">
        <w:rPr>
          <w:rFonts w:eastAsia="Times New Roman"/>
          <w:noProof/>
        </w:rPr>
        <w:t>Thirdly</w:t>
      </w:r>
      <w:r w:rsidR="00815B2A" w:rsidRPr="00DE264C">
        <w:rPr>
          <w:rFonts w:eastAsia="Times New Roman"/>
          <w:noProof/>
        </w:rPr>
        <w:t xml:space="preserve">, </w:t>
      </w:r>
      <w:r w:rsidR="00B50310" w:rsidRPr="00DE264C">
        <w:rPr>
          <w:rFonts w:eastAsia="Times New Roman"/>
          <w:noProof/>
        </w:rPr>
        <w:t>apart</w:t>
      </w:r>
      <w:r w:rsidR="00AC39BF" w:rsidRPr="00DE264C">
        <w:rPr>
          <w:rFonts w:eastAsia="Times New Roman"/>
          <w:noProof/>
        </w:rPr>
        <w:t xml:space="preserve"> from the 2 GHz band</w:t>
      </w:r>
      <w:r w:rsidR="00B50310" w:rsidRPr="00DE264C">
        <w:rPr>
          <w:rFonts w:eastAsia="Times New Roman"/>
          <w:noProof/>
        </w:rPr>
        <w:t>,</w:t>
      </w:r>
      <w:r w:rsidR="00FB019E" w:rsidRPr="00DE264C">
        <w:rPr>
          <w:rFonts w:eastAsia="Times New Roman"/>
          <w:noProof/>
        </w:rPr>
        <w:t xml:space="preserve"> </w:t>
      </w:r>
      <w:r w:rsidR="002A193A" w:rsidRPr="00DE264C">
        <w:rPr>
          <w:rFonts w:eastAsia="Times New Roman"/>
          <w:noProof/>
        </w:rPr>
        <w:t>for which selection is done at EU level,</w:t>
      </w:r>
      <w:r w:rsidR="00FB019E" w:rsidRPr="00DE264C">
        <w:rPr>
          <w:rFonts w:eastAsia="Times New Roman"/>
          <w:noProof/>
        </w:rPr>
        <w:t xml:space="preserve"> there is </w:t>
      </w:r>
      <w:r w:rsidR="00B50310" w:rsidRPr="00DE264C">
        <w:rPr>
          <w:rFonts w:eastAsia="Times New Roman"/>
          <w:noProof/>
        </w:rPr>
        <w:t xml:space="preserve">currently no </w:t>
      </w:r>
      <w:r w:rsidR="002A26F0" w:rsidRPr="00DE264C">
        <w:rPr>
          <w:rFonts w:eastAsia="Times New Roman"/>
          <w:noProof/>
        </w:rPr>
        <w:t xml:space="preserve">process </w:t>
      </w:r>
      <w:r w:rsidR="00B50310" w:rsidRPr="00DE264C">
        <w:rPr>
          <w:rFonts w:eastAsia="Times New Roman"/>
          <w:noProof/>
        </w:rPr>
        <w:t>or</w:t>
      </w:r>
      <w:r w:rsidR="00FB019E" w:rsidRPr="00DE264C">
        <w:rPr>
          <w:rFonts w:eastAsia="Times New Roman"/>
          <w:noProof/>
        </w:rPr>
        <w:t xml:space="preserve"> guarantee for </w:t>
      </w:r>
      <w:r w:rsidR="00B50310" w:rsidRPr="00DE264C">
        <w:rPr>
          <w:rFonts w:eastAsia="Times New Roman"/>
          <w:noProof/>
        </w:rPr>
        <w:t>providers</w:t>
      </w:r>
      <w:r w:rsidR="00FB019E" w:rsidRPr="00DE264C">
        <w:rPr>
          <w:rFonts w:eastAsia="Times New Roman"/>
          <w:noProof/>
        </w:rPr>
        <w:t xml:space="preserve"> to obtain spectrum at pan-</w:t>
      </w:r>
      <w:r w:rsidR="00871183" w:rsidRPr="00DE264C">
        <w:rPr>
          <w:rFonts w:eastAsia="Times New Roman"/>
          <w:noProof/>
        </w:rPr>
        <w:t>European</w:t>
      </w:r>
      <w:r w:rsidR="00FB019E" w:rsidRPr="00DE264C">
        <w:rPr>
          <w:rFonts w:eastAsia="Times New Roman"/>
          <w:noProof/>
        </w:rPr>
        <w:t xml:space="preserve"> level</w:t>
      </w:r>
      <w:r w:rsidR="000C78A0" w:rsidRPr="00DE264C">
        <w:rPr>
          <w:rFonts w:eastAsia="Times New Roman"/>
          <w:noProof/>
        </w:rPr>
        <w:t xml:space="preserve"> a</w:t>
      </w:r>
      <w:r w:rsidR="0083407B" w:rsidRPr="00DE264C">
        <w:rPr>
          <w:rFonts w:eastAsia="Times New Roman"/>
          <w:noProof/>
        </w:rPr>
        <w:t>nd a high risk of having coverage gaps</w:t>
      </w:r>
      <w:r w:rsidR="00AC39BF" w:rsidRPr="00DE264C">
        <w:rPr>
          <w:rFonts w:eastAsia="Times New Roman"/>
          <w:noProof/>
        </w:rPr>
        <w:t>.</w:t>
      </w:r>
      <w:r w:rsidR="1902FBFE" w:rsidRPr="00DE264C">
        <w:rPr>
          <w:rFonts w:eastAsia="Times New Roman"/>
          <w:noProof/>
        </w:rPr>
        <w:t xml:space="preserve"> </w:t>
      </w:r>
    </w:p>
    <w:p w14:paraId="3A75E89B" w14:textId="7A171992" w:rsidR="00297AC9" w:rsidRPr="00DE264C" w:rsidRDefault="00F21DAB" w:rsidP="004B2949">
      <w:pPr>
        <w:spacing w:line="240" w:lineRule="auto"/>
        <w:rPr>
          <w:rFonts w:eastAsia="Times New Roman"/>
          <w:noProof/>
        </w:rPr>
      </w:pPr>
      <w:r w:rsidRPr="00DE264C">
        <w:rPr>
          <w:rFonts w:eastAsia="Times New Roman"/>
          <w:noProof/>
        </w:rPr>
        <w:t xml:space="preserve">Finally, </w:t>
      </w:r>
      <w:r w:rsidR="00173278" w:rsidRPr="004B2949">
        <w:rPr>
          <w:noProof/>
          <w:lang w:val="en-IE"/>
        </w:rPr>
        <w:t>e</w:t>
      </w:r>
      <w:r w:rsidR="00B50310" w:rsidRPr="004B2949">
        <w:rPr>
          <w:noProof/>
          <w:lang w:val="en-IE"/>
        </w:rPr>
        <w:t>nforcement</w:t>
      </w:r>
      <w:r w:rsidR="1902FBFE" w:rsidRPr="00DE264C">
        <w:rPr>
          <w:rFonts w:eastAsia="Times New Roman"/>
          <w:noProof/>
        </w:rPr>
        <w:t xml:space="preserve"> of</w:t>
      </w:r>
      <w:r w:rsidR="3021577A" w:rsidRPr="00DE264C">
        <w:rPr>
          <w:rFonts w:eastAsia="Times New Roman"/>
          <w:noProof/>
        </w:rPr>
        <w:t xml:space="preserve"> authorisation conditions and </w:t>
      </w:r>
      <w:r w:rsidR="00400A48" w:rsidRPr="00DE264C">
        <w:rPr>
          <w:rFonts w:eastAsia="Times New Roman"/>
          <w:noProof/>
        </w:rPr>
        <w:t xml:space="preserve">ITU rules </w:t>
      </w:r>
      <w:r w:rsidR="3021577A" w:rsidRPr="00DE264C">
        <w:rPr>
          <w:rFonts w:eastAsia="Times New Roman"/>
          <w:noProof/>
        </w:rPr>
        <w:t xml:space="preserve">is </w:t>
      </w:r>
      <w:r w:rsidR="00B50310" w:rsidRPr="00DE264C">
        <w:rPr>
          <w:rFonts w:eastAsia="Times New Roman"/>
          <w:noProof/>
        </w:rPr>
        <w:t>uncoordinated</w:t>
      </w:r>
      <w:r w:rsidR="3021577A" w:rsidRPr="00DE264C">
        <w:rPr>
          <w:rFonts w:eastAsia="Times New Roman"/>
          <w:noProof/>
        </w:rPr>
        <w:t xml:space="preserve"> at EU level</w:t>
      </w:r>
      <w:r w:rsidR="00C012C6" w:rsidRPr="00DE264C">
        <w:rPr>
          <w:rFonts w:eastAsia="Times New Roman"/>
          <w:noProof/>
        </w:rPr>
        <w:t xml:space="preserve"> and</w:t>
      </w:r>
      <w:r w:rsidR="00400A48" w:rsidRPr="00DE264C">
        <w:rPr>
          <w:rFonts w:eastAsia="Times New Roman"/>
          <w:noProof/>
        </w:rPr>
        <w:t xml:space="preserve"> </w:t>
      </w:r>
      <w:r w:rsidR="00B50310" w:rsidRPr="00DE264C">
        <w:rPr>
          <w:rFonts w:eastAsia="Times New Roman"/>
          <w:noProof/>
        </w:rPr>
        <w:t>depends</w:t>
      </w:r>
      <w:r w:rsidR="6484CE10" w:rsidRPr="00DE264C">
        <w:rPr>
          <w:rFonts w:eastAsia="Times New Roman"/>
          <w:noProof/>
        </w:rPr>
        <w:t xml:space="preserve"> on the </w:t>
      </w:r>
      <w:r w:rsidR="00B50310" w:rsidRPr="00DE264C">
        <w:rPr>
          <w:rFonts w:eastAsia="Times New Roman"/>
          <w:noProof/>
        </w:rPr>
        <w:t>good</w:t>
      </w:r>
      <w:r w:rsidR="00A45A66" w:rsidRPr="00DE264C">
        <w:rPr>
          <w:rFonts w:eastAsia="Times New Roman"/>
          <w:noProof/>
        </w:rPr>
        <w:t xml:space="preserve"> </w:t>
      </w:r>
      <w:r w:rsidR="00B50310" w:rsidRPr="00DE264C">
        <w:rPr>
          <w:rFonts w:eastAsia="Times New Roman"/>
          <w:noProof/>
        </w:rPr>
        <w:t>will</w:t>
      </w:r>
      <w:r w:rsidR="6484CE10" w:rsidRPr="00DE264C">
        <w:rPr>
          <w:rFonts w:eastAsia="Times New Roman"/>
          <w:noProof/>
        </w:rPr>
        <w:t xml:space="preserve"> of </w:t>
      </w:r>
      <w:r w:rsidR="00B50310" w:rsidRPr="00DE264C">
        <w:rPr>
          <w:rFonts w:eastAsia="Times New Roman"/>
          <w:noProof/>
        </w:rPr>
        <w:t>national</w:t>
      </w:r>
      <w:r w:rsidR="5366DD2F" w:rsidRPr="00DE264C">
        <w:rPr>
          <w:rFonts w:eastAsia="Times New Roman"/>
          <w:noProof/>
        </w:rPr>
        <w:t xml:space="preserve"> </w:t>
      </w:r>
      <w:r w:rsidR="6484CE10" w:rsidRPr="00DE264C">
        <w:rPr>
          <w:rFonts w:eastAsia="Times New Roman"/>
          <w:noProof/>
        </w:rPr>
        <w:t xml:space="preserve">administrations to </w:t>
      </w:r>
      <w:r w:rsidR="00B50310" w:rsidRPr="00DE264C">
        <w:rPr>
          <w:rFonts w:eastAsia="Times New Roman"/>
          <w:noProof/>
        </w:rPr>
        <w:t>implement</w:t>
      </w:r>
      <w:r w:rsidR="6484CE10" w:rsidRPr="00DE264C">
        <w:rPr>
          <w:rFonts w:eastAsia="Times New Roman"/>
          <w:noProof/>
        </w:rPr>
        <w:t xml:space="preserve"> them through </w:t>
      </w:r>
      <w:r w:rsidR="47829083" w:rsidRPr="00DE264C">
        <w:rPr>
          <w:rFonts w:eastAsia="Times New Roman"/>
          <w:noProof/>
        </w:rPr>
        <w:t xml:space="preserve">a </w:t>
      </w:r>
      <w:r w:rsidR="00B50310" w:rsidRPr="00DE264C">
        <w:rPr>
          <w:rFonts w:eastAsia="Times New Roman"/>
          <w:noProof/>
        </w:rPr>
        <w:t>slow</w:t>
      </w:r>
      <w:r w:rsidR="00B47E19" w:rsidRPr="00DE264C">
        <w:rPr>
          <w:rFonts w:eastAsia="Times New Roman"/>
          <w:noProof/>
        </w:rPr>
        <w:t xml:space="preserve"> and </w:t>
      </w:r>
      <w:r w:rsidR="00B50310" w:rsidRPr="00DE264C">
        <w:rPr>
          <w:rFonts w:eastAsia="Times New Roman"/>
          <w:noProof/>
        </w:rPr>
        <w:t>complex</w:t>
      </w:r>
      <w:r w:rsidR="47829083" w:rsidRPr="00DE264C">
        <w:rPr>
          <w:rFonts w:eastAsia="Times New Roman"/>
          <w:noProof/>
        </w:rPr>
        <w:t xml:space="preserve"> bilateral process</w:t>
      </w:r>
      <w:r w:rsidR="00405703" w:rsidRPr="00DE264C">
        <w:rPr>
          <w:rFonts w:eastAsia="Times New Roman"/>
          <w:noProof/>
        </w:rPr>
        <w:t>, with</w:t>
      </w:r>
      <w:r w:rsidR="03B166AF" w:rsidRPr="00DE264C">
        <w:rPr>
          <w:rFonts w:eastAsia="Times New Roman"/>
          <w:noProof/>
        </w:rPr>
        <w:t xml:space="preserve"> RSPG </w:t>
      </w:r>
      <w:r w:rsidR="009A7E2B" w:rsidRPr="00DE264C">
        <w:rPr>
          <w:rFonts w:eastAsia="Times New Roman"/>
          <w:noProof/>
        </w:rPr>
        <w:t xml:space="preserve">having no </w:t>
      </w:r>
      <w:r w:rsidR="00AD6537" w:rsidRPr="00DE264C">
        <w:rPr>
          <w:rFonts w:eastAsia="Times New Roman"/>
          <w:noProof/>
        </w:rPr>
        <w:t>mandate to address</w:t>
      </w:r>
      <w:r w:rsidR="6545CF4A" w:rsidRPr="00DE264C">
        <w:rPr>
          <w:rFonts w:eastAsia="Times New Roman"/>
          <w:noProof/>
        </w:rPr>
        <w:t xml:space="preserve"> </w:t>
      </w:r>
      <w:r w:rsidR="009A7E2B" w:rsidRPr="00DE264C">
        <w:rPr>
          <w:rFonts w:eastAsia="Times New Roman"/>
          <w:noProof/>
        </w:rPr>
        <w:t>interference</w:t>
      </w:r>
      <w:r w:rsidR="00A45A66" w:rsidRPr="00DE264C">
        <w:rPr>
          <w:rFonts w:eastAsia="Times New Roman"/>
          <w:noProof/>
        </w:rPr>
        <w:t xml:space="preserve"> from third countries</w:t>
      </w:r>
      <w:r w:rsidR="00B50310" w:rsidRPr="00DE264C">
        <w:rPr>
          <w:rFonts w:eastAsia="Times New Roman"/>
          <w:noProof/>
        </w:rPr>
        <w:t xml:space="preserve">. </w:t>
      </w:r>
    </w:p>
    <w:p w14:paraId="266A829C" w14:textId="3CA8DA35" w:rsidR="00416C5E" w:rsidRPr="00DE264C" w:rsidRDefault="00FD3F5E" w:rsidP="004B2949">
      <w:pPr>
        <w:spacing w:line="240" w:lineRule="auto"/>
        <w:rPr>
          <w:rFonts w:eastAsia="Times New Roman"/>
          <w:noProof/>
          <w:lang w:val="en-IE"/>
        </w:rPr>
      </w:pPr>
      <w:r w:rsidRPr="004F6362">
        <w:rPr>
          <w:noProof/>
        </w:rPr>
        <w:t>In sum, t</w:t>
      </w:r>
      <w:r w:rsidR="001566CB" w:rsidRPr="004F6362">
        <w:rPr>
          <w:noProof/>
        </w:rPr>
        <w:t>he fragmentation of national regulatory competences for satellite authorisations delay</w:t>
      </w:r>
      <w:r w:rsidR="00DA31FA" w:rsidRPr="004F6362">
        <w:rPr>
          <w:noProof/>
        </w:rPr>
        <w:t>s</w:t>
      </w:r>
      <w:r w:rsidR="001566CB" w:rsidRPr="004F6362">
        <w:rPr>
          <w:noProof/>
        </w:rPr>
        <w:t xml:space="preserve"> the deployment of innovative satellite services and undermine</w:t>
      </w:r>
      <w:r w:rsidR="00C825E5" w:rsidRPr="004F6362">
        <w:rPr>
          <w:noProof/>
        </w:rPr>
        <w:t>s</w:t>
      </w:r>
      <w:r w:rsidR="001566CB" w:rsidRPr="004F6362">
        <w:rPr>
          <w:noProof/>
        </w:rPr>
        <w:t xml:space="preserve"> EU’s competitiveness in a rapidly evolving global </w:t>
      </w:r>
      <w:r w:rsidR="00F21DAB" w:rsidRPr="004F6362">
        <w:rPr>
          <w:noProof/>
        </w:rPr>
        <w:t xml:space="preserve">satellite </w:t>
      </w:r>
      <w:r w:rsidR="001566CB" w:rsidRPr="004F6362">
        <w:rPr>
          <w:noProof/>
        </w:rPr>
        <w:t xml:space="preserve">market. This delay would be driven by: (i) lack of, or unequal access to spectrum throughout the EU, (ii) </w:t>
      </w:r>
      <w:r w:rsidR="008368CC" w:rsidRPr="004F6362">
        <w:rPr>
          <w:noProof/>
        </w:rPr>
        <w:t xml:space="preserve">inconsistent </w:t>
      </w:r>
      <w:r w:rsidR="00A512DA" w:rsidRPr="004F6362">
        <w:rPr>
          <w:noProof/>
        </w:rPr>
        <w:t xml:space="preserve">conditions and </w:t>
      </w:r>
      <w:r w:rsidR="008368CC" w:rsidRPr="004F6362">
        <w:rPr>
          <w:noProof/>
        </w:rPr>
        <w:t xml:space="preserve">interpretation of compliance and reporting obligations (in terms of </w:t>
      </w:r>
      <w:r w:rsidR="008368CC" w:rsidRPr="004F6362">
        <w:rPr>
          <w:noProof/>
          <w:lang w:val="en-IE"/>
        </w:rPr>
        <w:t>format</w:t>
      </w:r>
      <w:r w:rsidR="008368CC" w:rsidRPr="004F6362">
        <w:rPr>
          <w:noProof/>
        </w:rPr>
        <w:t xml:space="preserve">, frequency and requirements) increasing administrative costs; and </w:t>
      </w:r>
      <w:r w:rsidR="001566CB" w:rsidRPr="004F6362">
        <w:rPr>
          <w:noProof/>
        </w:rPr>
        <w:t>(i</w:t>
      </w:r>
      <w:r w:rsidR="008368CC" w:rsidRPr="004F6362">
        <w:rPr>
          <w:noProof/>
        </w:rPr>
        <w:t>i</w:t>
      </w:r>
      <w:r w:rsidR="001566CB" w:rsidRPr="004F6362">
        <w:rPr>
          <w:noProof/>
        </w:rPr>
        <w:t xml:space="preserve">i) operational challenges caused by the inability to enforce compliance when harmful interference from other constellations occurs, </w:t>
      </w:r>
      <w:r w:rsidR="00783F5D" w:rsidRPr="004F6362">
        <w:rPr>
          <w:noProof/>
        </w:rPr>
        <w:t xml:space="preserve">a probability </w:t>
      </w:r>
      <w:r w:rsidR="001566CB" w:rsidRPr="004F6362">
        <w:rPr>
          <w:noProof/>
        </w:rPr>
        <w:t>which is likely to increase in the next years</w:t>
      </w:r>
      <w:r w:rsidR="008368CC" w:rsidRPr="004F6362">
        <w:rPr>
          <w:noProof/>
        </w:rPr>
        <w:t xml:space="preserve">. </w:t>
      </w:r>
    </w:p>
    <w:p w14:paraId="336211ED" w14:textId="0B856539" w:rsidR="0036641D" w:rsidRPr="00DE264C" w:rsidRDefault="000B0479" w:rsidP="0087452A">
      <w:pPr>
        <w:pStyle w:val="Heading3"/>
        <w:tabs>
          <w:tab w:val="num" w:pos="7088"/>
        </w:tabs>
        <w:ind w:left="709"/>
        <w:rPr>
          <w:noProof/>
        </w:rPr>
      </w:pPr>
      <w:bookmarkStart w:id="93" w:name="_Toc214467698"/>
      <w:bookmarkStart w:id="94" w:name="_Toc215083724"/>
      <w:bookmarkStart w:id="95" w:name="_Toc219212492"/>
      <w:bookmarkStart w:id="96" w:name="_Toc219718147"/>
      <w:r w:rsidRPr="004F6362">
        <w:rPr>
          <w:noProof/>
        </w:rPr>
        <w:t>Insufficient cooperation and fragmented regula</w:t>
      </w:r>
      <w:r w:rsidR="0070158B" w:rsidRPr="004F6362">
        <w:rPr>
          <w:noProof/>
        </w:rPr>
        <w:t>tory approaches</w:t>
      </w:r>
      <w:bookmarkEnd w:id="93"/>
      <w:bookmarkEnd w:id="94"/>
      <w:bookmarkEnd w:id="95"/>
      <w:bookmarkEnd w:id="96"/>
    </w:p>
    <w:p w14:paraId="40F376E0" w14:textId="6585CB8F" w:rsidR="002C5629" w:rsidRDefault="00F478D1" w:rsidP="004B2949">
      <w:pPr>
        <w:spacing w:line="240" w:lineRule="auto"/>
        <w:rPr>
          <w:rFonts w:eastAsia="Times New Roman"/>
          <w:noProof/>
        </w:rPr>
      </w:pPr>
      <w:r w:rsidRPr="00DE264C">
        <w:rPr>
          <w:rFonts w:eastAsia="Times New Roman"/>
          <w:noProof/>
        </w:rPr>
        <w:t xml:space="preserve">As regards </w:t>
      </w:r>
      <w:r w:rsidRPr="00292895">
        <w:rPr>
          <w:rFonts w:eastAsia="Times New Roman"/>
          <w:noProof/>
        </w:rPr>
        <w:t>governance</w:t>
      </w:r>
      <w:r w:rsidRPr="00DE264C">
        <w:rPr>
          <w:rFonts w:eastAsia="Times New Roman"/>
          <w:noProof/>
        </w:rPr>
        <w:t>, t</w:t>
      </w:r>
      <w:r w:rsidR="00490988" w:rsidRPr="00DE264C">
        <w:rPr>
          <w:rFonts w:eastAsia="Times New Roman"/>
          <w:noProof/>
        </w:rPr>
        <w:t xml:space="preserve">he </w:t>
      </w:r>
      <w:r w:rsidR="00A33B68">
        <w:rPr>
          <w:rFonts w:eastAsia="Times New Roman"/>
          <w:noProof/>
        </w:rPr>
        <w:t>main</w:t>
      </w:r>
      <w:r w:rsidR="00490988" w:rsidRPr="00DE264C">
        <w:rPr>
          <w:rFonts w:eastAsia="Times New Roman"/>
          <w:noProof/>
        </w:rPr>
        <w:t xml:space="preserve"> driver is the </w:t>
      </w:r>
      <w:r w:rsidR="00BE6654">
        <w:rPr>
          <w:rFonts w:eastAsia="Times New Roman"/>
          <w:noProof/>
        </w:rPr>
        <w:t>insufficient</w:t>
      </w:r>
      <w:r w:rsidR="0070158B">
        <w:rPr>
          <w:rFonts w:eastAsia="Times New Roman"/>
          <w:noProof/>
        </w:rPr>
        <w:t xml:space="preserve"> cooperation between different </w:t>
      </w:r>
      <w:r w:rsidR="00552947">
        <w:rPr>
          <w:rFonts w:eastAsia="Times New Roman"/>
          <w:noProof/>
        </w:rPr>
        <w:t xml:space="preserve">authorities and fragmented </w:t>
      </w:r>
      <w:r w:rsidR="006B6ABC">
        <w:rPr>
          <w:rFonts w:eastAsia="Times New Roman"/>
          <w:noProof/>
        </w:rPr>
        <w:t xml:space="preserve">regulatory </w:t>
      </w:r>
      <w:r w:rsidR="00552947">
        <w:rPr>
          <w:rFonts w:eastAsia="Times New Roman"/>
          <w:noProof/>
        </w:rPr>
        <w:t>approaches</w:t>
      </w:r>
      <w:r w:rsidR="009A6AF1">
        <w:rPr>
          <w:rFonts w:eastAsia="Times New Roman"/>
          <w:noProof/>
        </w:rPr>
        <w:t>.</w:t>
      </w:r>
    </w:p>
    <w:p w14:paraId="5D0DDAFD" w14:textId="049FC78F" w:rsidR="00490988" w:rsidRPr="00DE264C" w:rsidRDefault="005F6A7D" w:rsidP="004B2949">
      <w:pPr>
        <w:spacing w:line="240" w:lineRule="auto"/>
        <w:rPr>
          <w:rFonts w:eastAsia="Times New Roman"/>
          <w:noProof/>
        </w:rPr>
      </w:pPr>
      <w:r>
        <w:rPr>
          <w:rFonts w:eastAsia="Times New Roman"/>
          <w:noProof/>
        </w:rPr>
        <w:t xml:space="preserve">This </w:t>
      </w:r>
      <w:r w:rsidR="00A453EF">
        <w:rPr>
          <w:rFonts w:eastAsia="Times New Roman"/>
          <w:noProof/>
        </w:rPr>
        <w:t xml:space="preserve">main </w:t>
      </w:r>
      <w:r w:rsidR="006B6ABC">
        <w:rPr>
          <w:rFonts w:eastAsia="Times New Roman"/>
          <w:noProof/>
        </w:rPr>
        <w:t xml:space="preserve">driver </w:t>
      </w:r>
      <w:r>
        <w:rPr>
          <w:rFonts w:eastAsia="Times New Roman"/>
          <w:noProof/>
        </w:rPr>
        <w:t xml:space="preserve">is </w:t>
      </w:r>
      <w:r w:rsidR="000E037B">
        <w:rPr>
          <w:rFonts w:eastAsia="Times New Roman"/>
          <w:noProof/>
        </w:rPr>
        <w:t>composed of smaller root causes</w:t>
      </w:r>
      <w:r w:rsidR="00A453EF">
        <w:rPr>
          <w:rFonts w:eastAsia="Times New Roman"/>
          <w:noProof/>
        </w:rPr>
        <w:t xml:space="preserve">; one example </w:t>
      </w:r>
      <w:r w:rsidR="000E037B">
        <w:rPr>
          <w:rFonts w:eastAsia="Times New Roman"/>
          <w:noProof/>
        </w:rPr>
        <w:t>i</w:t>
      </w:r>
      <w:r w:rsidR="00A453EF">
        <w:rPr>
          <w:rFonts w:eastAsia="Times New Roman"/>
          <w:noProof/>
        </w:rPr>
        <w:t>s</w:t>
      </w:r>
      <w:r>
        <w:rPr>
          <w:rFonts w:eastAsia="Times New Roman"/>
          <w:noProof/>
        </w:rPr>
        <w:t xml:space="preserve"> </w:t>
      </w:r>
      <w:r w:rsidR="00490988" w:rsidRPr="00DE264C" w:rsidDel="00CA063B">
        <w:rPr>
          <w:rFonts w:eastAsia="Times New Roman"/>
          <w:noProof/>
        </w:rPr>
        <w:t>n</w:t>
      </w:r>
      <w:r w:rsidR="00490988" w:rsidRPr="00DE264C">
        <w:rPr>
          <w:rFonts w:eastAsia="Times New Roman"/>
          <w:noProof/>
        </w:rPr>
        <w:t>ational influence on BEREC</w:t>
      </w:r>
      <w:r w:rsidR="002011B3" w:rsidRPr="00DE264C">
        <w:rPr>
          <w:rFonts w:eastAsia="Times New Roman"/>
          <w:noProof/>
        </w:rPr>
        <w:t xml:space="preserve"> and RSPG</w:t>
      </w:r>
      <w:r w:rsidR="00C579EE" w:rsidRPr="00DE264C">
        <w:rPr>
          <w:rFonts w:eastAsia="Times New Roman"/>
          <w:noProof/>
        </w:rPr>
        <w:t xml:space="preserve"> that may result </w:t>
      </w:r>
      <w:r w:rsidR="00741AEA" w:rsidRPr="00DE264C">
        <w:rPr>
          <w:rFonts w:eastAsia="Times New Roman"/>
          <w:noProof/>
        </w:rPr>
        <w:t xml:space="preserve">in some cases </w:t>
      </w:r>
      <w:r w:rsidR="00C579EE" w:rsidRPr="00DE264C">
        <w:rPr>
          <w:rFonts w:eastAsia="Times New Roman"/>
          <w:noProof/>
        </w:rPr>
        <w:t>in limiting EU</w:t>
      </w:r>
      <w:r w:rsidR="00741AEA" w:rsidRPr="00DE264C">
        <w:rPr>
          <w:rFonts w:eastAsia="Times New Roman"/>
          <w:noProof/>
        </w:rPr>
        <w:t xml:space="preserve"> single market perspective</w:t>
      </w:r>
      <w:r w:rsidR="00490988" w:rsidRPr="00DE264C">
        <w:rPr>
          <w:rFonts w:eastAsia="Times New Roman"/>
          <w:noProof/>
        </w:rPr>
        <w:t xml:space="preserve">. BEREC </w:t>
      </w:r>
      <w:r w:rsidR="00350F49" w:rsidRPr="00DE264C">
        <w:rPr>
          <w:rFonts w:eastAsia="Times New Roman"/>
          <w:noProof/>
        </w:rPr>
        <w:t>consists</w:t>
      </w:r>
      <w:r w:rsidR="00490988" w:rsidRPr="00DE264C">
        <w:rPr>
          <w:rFonts w:eastAsia="Times New Roman"/>
          <w:noProof/>
        </w:rPr>
        <w:t xml:space="preserve"> of NRAs, </w:t>
      </w:r>
      <w:r w:rsidR="00A57431" w:rsidRPr="00DE264C">
        <w:rPr>
          <w:rFonts w:eastAsia="Times New Roman"/>
          <w:noProof/>
        </w:rPr>
        <w:t xml:space="preserve">and </w:t>
      </w:r>
      <w:r w:rsidR="00490988" w:rsidRPr="00DE264C">
        <w:rPr>
          <w:rFonts w:eastAsia="Times New Roman"/>
          <w:noProof/>
        </w:rPr>
        <w:t xml:space="preserve">positions are shaped mainly by national perspectives rather than by a common EU-wide vision. </w:t>
      </w:r>
      <w:r w:rsidR="683EC344" w:rsidRPr="00DE264C">
        <w:rPr>
          <w:rFonts w:eastAsia="Times New Roman"/>
          <w:noProof/>
        </w:rPr>
        <w:t>Moreover,</w:t>
      </w:r>
      <w:r w:rsidR="683EC344" w:rsidRPr="00DE264C">
        <w:rPr>
          <w:rFonts w:eastAsia="Aptos"/>
          <w:i/>
          <w:noProof/>
        </w:rPr>
        <w:t xml:space="preserve"> </w:t>
      </w:r>
      <w:r w:rsidR="63D4F9FD" w:rsidRPr="00DE264C">
        <w:rPr>
          <w:rFonts w:eastAsia="Aptos"/>
          <w:noProof/>
        </w:rPr>
        <w:t xml:space="preserve">a lack of a more structured coordination mechanism between BEREC and RSPG led to a very limited </w:t>
      </w:r>
      <w:r w:rsidR="683EC344" w:rsidRPr="00DE264C">
        <w:rPr>
          <w:rFonts w:eastAsia="Aptos"/>
          <w:noProof/>
        </w:rPr>
        <w:t>cooperation between the two bodies where spectrum issues have regulatory implication</w:t>
      </w:r>
      <w:r w:rsidR="00AC30F7" w:rsidRPr="00DE264C">
        <w:rPr>
          <w:rFonts w:eastAsia="Times New Roman"/>
          <w:noProof/>
        </w:rPr>
        <w:t xml:space="preserve">. </w:t>
      </w:r>
      <w:r w:rsidR="00A453EF">
        <w:rPr>
          <w:rFonts w:eastAsia="Times New Roman"/>
          <w:noProof/>
        </w:rPr>
        <w:t xml:space="preserve">Another </w:t>
      </w:r>
      <w:r w:rsidR="008D514A">
        <w:rPr>
          <w:rFonts w:eastAsia="Times New Roman"/>
          <w:noProof/>
        </w:rPr>
        <w:t>example</w:t>
      </w:r>
      <w:r w:rsidR="00490988" w:rsidRPr="00DE264C">
        <w:rPr>
          <w:rFonts w:eastAsia="Times New Roman"/>
          <w:noProof/>
        </w:rPr>
        <w:t xml:space="preserve"> is the expanding regulatory scope of NRAs</w:t>
      </w:r>
      <w:r w:rsidR="00901FB9" w:rsidRPr="00DE264C">
        <w:rPr>
          <w:rFonts w:eastAsia="Times New Roman"/>
          <w:noProof/>
        </w:rPr>
        <w:t>’</w:t>
      </w:r>
      <w:r w:rsidR="00F51D9B" w:rsidRPr="00DE264C">
        <w:rPr>
          <w:rFonts w:eastAsia="Times New Roman"/>
          <w:noProof/>
        </w:rPr>
        <w:t xml:space="preserve"> creating inconsistencies among the NRAs and between the tasks of NRAs and BEREC</w:t>
      </w:r>
      <w:r w:rsidR="0034544B" w:rsidRPr="00DE264C">
        <w:rPr>
          <w:rFonts w:eastAsia="Times New Roman"/>
          <w:noProof/>
        </w:rPr>
        <w:t xml:space="preserve">. While some NRAs </w:t>
      </w:r>
      <w:r w:rsidR="00490988" w:rsidRPr="00DE264C">
        <w:rPr>
          <w:rFonts w:eastAsia="Times New Roman"/>
          <w:noProof/>
        </w:rPr>
        <w:t>take on responsibilities beyond electronic communications under frameworks such as the DSA</w:t>
      </w:r>
      <w:r w:rsidR="5D0139A4" w:rsidRPr="5CD056B6">
        <w:rPr>
          <w:rFonts w:eastAsia="Times New Roman"/>
          <w:noProof/>
        </w:rPr>
        <w:t>,</w:t>
      </w:r>
      <w:r w:rsidR="003B37B6" w:rsidRPr="00DE264C">
        <w:rPr>
          <w:rFonts w:eastAsia="Times New Roman"/>
          <w:noProof/>
        </w:rPr>
        <w:t xml:space="preserve"> </w:t>
      </w:r>
      <w:r w:rsidR="00490988" w:rsidRPr="00DE264C">
        <w:rPr>
          <w:rFonts w:eastAsia="Times New Roman"/>
          <w:noProof/>
        </w:rPr>
        <w:t>Data Act</w:t>
      </w:r>
      <w:r w:rsidR="00F46C57">
        <w:rPr>
          <w:rFonts w:eastAsia="Times New Roman"/>
          <w:noProof/>
        </w:rPr>
        <w:t>,</w:t>
      </w:r>
      <w:r w:rsidR="39B471A8" w:rsidRPr="5CD056B6">
        <w:rPr>
          <w:rFonts w:eastAsia="Times New Roman"/>
          <w:noProof/>
        </w:rPr>
        <w:t xml:space="preserve"> or NIS2</w:t>
      </w:r>
      <w:r w:rsidR="0034544B" w:rsidRPr="00DE264C">
        <w:rPr>
          <w:rFonts w:eastAsia="Times New Roman"/>
          <w:noProof/>
        </w:rPr>
        <w:t xml:space="preserve">, </w:t>
      </w:r>
      <w:r w:rsidR="00144B35" w:rsidRPr="00DE264C">
        <w:rPr>
          <w:rFonts w:eastAsia="Times New Roman"/>
          <w:noProof/>
        </w:rPr>
        <w:t>in other Member States these tasks are entrusted to other CAs</w:t>
      </w:r>
      <w:r w:rsidR="00490988" w:rsidRPr="00DE264C">
        <w:rPr>
          <w:rFonts w:eastAsia="Times New Roman"/>
          <w:noProof/>
        </w:rPr>
        <w:t>.</w:t>
      </w:r>
      <w:r w:rsidR="67125116" w:rsidRPr="00DE264C">
        <w:rPr>
          <w:rFonts w:eastAsia="Times New Roman"/>
          <w:noProof/>
        </w:rPr>
        <w:t xml:space="preserve"> </w:t>
      </w:r>
      <w:r w:rsidR="00506999">
        <w:rPr>
          <w:rFonts w:eastAsia="Times New Roman"/>
          <w:noProof/>
        </w:rPr>
        <w:t xml:space="preserve">The </w:t>
      </w:r>
      <w:r w:rsidR="00581226">
        <w:rPr>
          <w:rFonts w:eastAsia="Times New Roman"/>
          <w:noProof/>
        </w:rPr>
        <w:t xml:space="preserve">expanding responsibilities and </w:t>
      </w:r>
      <w:r w:rsidR="005D06B8">
        <w:rPr>
          <w:rFonts w:eastAsia="Times New Roman"/>
          <w:noProof/>
        </w:rPr>
        <w:t>non-uniform allocation of ta</w:t>
      </w:r>
      <w:r w:rsidR="00844255">
        <w:rPr>
          <w:rFonts w:eastAsia="Times New Roman"/>
          <w:noProof/>
        </w:rPr>
        <w:t>s</w:t>
      </w:r>
      <w:r w:rsidR="005D06B8">
        <w:rPr>
          <w:rFonts w:eastAsia="Times New Roman"/>
          <w:noProof/>
        </w:rPr>
        <w:t>ks at national level</w:t>
      </w:r>
      <w:r w:rsidR="00581226">
        <w:rPr>
          <w:rFonts w:eastAsia="Times New Roman"/>
          <w:noProof/>
        </w:rPr>
        <w:t xml:space="preserve"> </w:t>
      </w:r>
      <w:r w:rsidR="00AD7BB4">
        <w:rPr>
          <w:rFonts w:eastAsia="Times New Roman"/>
          <w:noProof/>
        </w:rPr>
        <w:t xml:space="preserve">also </w:t>
      </w:r>
      <w:r w:rsidR="003B5664">
        <w:rPr>
          <w:rFonts w:eastAsia="Times New Roman"/>
          <w:noProof/>
        </w:rPr>
        <w:t xml:space="preserve">affecting EU-level coordination </w:t>
      </w:r>
      <w:r w:rsidR="004213EE">
        <w:rPr>
          <w:rFonts w:eastAsia="Times New Roman"/>
          <w:noProof/>
        </w:rPr>
        <w:t>create d</w:t>
      </w:r>
      <w:r w:rsidR="003B5664" w:rsidRPr="003B5664">
        <w:rPr>
          <w:rFonts w:eastAsia="Times New Roman"/>
          <w:noProof/>
        </w:rPr>
        <w:t xml:space="preserve">iverging approaches to </w:t>
      </w:r>
      <w:r w:rsidR="004213EE">
        <w:rPr>
          <w:rFonts w:eastAsia="Times New Roman"/>
          <w:noProof/>
        </w:rPr>
        <w:t xml:space="preserve">the </w:t>
      </w:r>
      <w:r w:rsidR="003B5664" w:rsidRPr="003B5664">
        <w:rPr>
          <w:rFonts w:eastAsia="Times New Roman"/>
          <w:noProof/>
        </w:rPr>
        <w:t xml:space="preserve">implementation </w:t>
      </w:r>
      <w:r w:rsidR="004213EE">
        <w:rPr>
          <w:rFonts w:eastAsia="Times New Roman"/>
          <w:noProof/>
        </w:rPr>
        <w:t>of the regulatory fram</w:t>
      </w:r>
      <w:r w:rsidR="00EE33DD">
        <w:rPr>
          <w:rFonts w:eastAsia="Times New Roman"/>
          <w:noProof/>
        </w:rPr>
        <w:t>e</w:t>
      </w:r>
      <w:r w:rsidR="004213EE">
        <w:rPr>
          <w:rFonts w:eastAsia="Times New Roman"/>
          <w:noProof/>
        </w:rPr>
        <w:t>w</w:t>
      </w:r>
      <w:r w:rsidR="00560548">
        <w:rPr>
          <w:rFonts w:eastAsia="Times New Roman"/>
          <w:noProof/>
        </w:rPr>
        <w:t xml:space="preserve">ork </w:t>
      </w:r>
      <w:r w:rsidR="003B5664" w:rsidRPr="003B5664">
        <w:rPr>
          <w:rFonts w:eastAsia="Times New Roman"/>
          <w:noProof/>
        </w:rPr>
        <w:t>and oversight at national level</w:t>
      </w:r>
      <w:r w:rsidR="00DA43E7">
        <w:rPr>
          <w:rFonts w:eastAsia="Times New Roman"/>
          <w:noProof/>
        </w:rPr>
        <w:t>,</w:t>
      </w:r>
      <w:r w:rsidR="00560548">
        <w:rPr>
          <w:rFonts w:eastAsia="Times New Roman"/>
          <w:noProof/>
        </w:rPr>
        <w:t xml:space="preserve"> </w:t>
      </w:r>
      <w:r w:rsidR="00A9578E">
        <w:rPr>
          <w:rFonts w:eastAsia="Times New Roman"/>
          <w:noProof/>
        </w:rPr>
        <w:t xml:space="preserve">resulting in lack of </w:t>
      </w:r>
      <w:r w:rsidR="00557898">
        <w:rPr>
          <w:rFonts w:eastAsia="Times New Roman"/>
          <w:noProof/>
        </w:rPr>
        <w:t>holistic</w:t>
      </w:r>
      <w:r w:rsidR="00A9578E">
        <w:rPr>
          <w:rFonts w:eastAsia="Times New Roman"/>
          <w:noProof/>
        </w:rPr>
        <w:t xml:space="preserve"> overview of authorities </w:t>
      </w:r>
      <w:r w:rsidR="00557898">
        <w:rPr>
          <w:rFonts w:eastAsia="Times New Roman"/>
          <w:noProof/>
        </w:rPr>
        <w:t xml:space="preserve">over all aspects </w:t>
      </w:r>
      <w:r w:rsidR="00A9578E">
        <w:rPr>
          <w:rFonts w:eastAsia="Times New Roman"/>
          <w:noProof/>
        </w:rPr>
        <w:t xml:space="preserve">of </w:t>
      </w:r>
      <w:r w:rsidR="00557898">
        <w:rPr>
          <w:rFonts w:eastAsia="Times New Roman"/>
          <w:noProof/>
        </w:rPr>
        <w:t xml:space="preserve">the </w:t>
      </w:r>
      <w:r w:rsidR="000318B2">
        <w:rPr>
          <w:rFonts w:eastAsia="Times New Roman"/>
          <w:noProof/>
        </w:rPr>
        <w:t>electronic communications market, inclu</w:t>
      </w:r>
      <w:r w:rsidR="009171DE">
        <w:rPr>
          <w:rFonts w:eastAsia="Times New Roman"/>
          <w:noProof/>
        </w:rPr>
        <w:t>ding e.g. network resilience</w:t>
      </w:r>
      <w:r w:rsidR="00557898">
        <w:rPr>
          <w:rFonts w:eastAsia="Times New Roman"/>
          <w:noProof/>
        </w:rPr>
        <w:t xml:space="preserve">. </w:t>
      </w:r>
      <w:r w:rsidR="000318B2">
        <w:rPr>
          <w:rFonts w:eastAsia="Times New Roman"/>
          <w:noProof/>
        </w:rPr>
        <w:t xml:space="preserve">It </w:t>
      </w:r>
      <w:r w:rsidR="000318B2" w:rsidRPr="60AE698A">
        <w:rPr>
          <w:rFonts w:eastAsia="Times New Roman"/>
          <w:noProof/>
        </w:rPr>
        <w:t>al</w:t>
      </w:r>
      <w:r w:rsidR="440B8B7B" w:rsidRPr="60AE698A">
        <w:rPr>
          <w:rFonts w:eastAsia="Times New Roman"/>
          <w:noProof/>
        </w:rPr>
        <w:t>s</w:t>
      </w:r>
      <w:r w:rsidR="000318B2" w:rsidRPr="60AE698A">
        <w:rPr>
          <w:rFonts w:eastAsia="Times New Roman"/>
          <w:noProof/>
        </w:rPr>
        <w:t>o</w:t>
      </w:r>
      <w:r w:rsidR="000318B2">
        <w:rPr>
          <w:rFonts w:eastAsia="Times New Roman"/>
          <w:noProof/>
        </w:rPr>
        <w:t xml:space="preserve"> </w:t>
      </w:r>
      <w:r w:rsidR="00560548">
        <w:rPr>
          <w:rFonts w:eastAsia="Times New Roman"/>
          <w:noProof/>
        </w:rPr>
        <w:t>p</w:t>
      </w:r>
      <w:r w:rsidR="00560548" w:rsidRPr="00560548">
        <w:rPr>
          <w:rFonts w:eastAsia="Times New Roman"/>
          <w:noProof/>
        </w:rPr>
        <w:t>erpetuat</w:t>
      </w:r>
      <w:r w:rsidR="000318B2">
        <w:rPr>
          <w:rFonts w:eastAsia="Times New Roman"/>
          <w:noProof/>
        </w:rPr>
        <w:t>es</w:t>
      </w:r>
      <w:r w:rsidR="00560548" w:rsidRPr="00560548">
        <w:rPr>
          <w:rFonts w:eastAsia="Times New Roman"/>
          <w:noProof/>
        </w:rPr>
        <w:t xml:space="preserve"> differences in standard procedures, compliance obligations and administrative processes</w:t>
      </w:r>
      <w:r w:rsidR="00560548">
        <w:rPr>
          <w:rFonts w:eastAsia="Times New Roman"/>
          <w:noProof/>
        </w:rPr>
        <w:t xml:space="preserve"> going beyon</w:t>
      </w:r>
      <w:r w:rsidR="0091260D">
        <w:rPr>
          <w:rFonts w:eastAsia="Times New Roman"/>
          <w:noProof/>
        </w:rPr>
        <w:t>d</w:t>
      </w:r>
      <w:r w:rsidR="00560548">
        <w:rPr>
          <w:rFonts w:eastAsia="Times New Roman"/>
          <w:noProof/>
        </w:rPr>
        <w:t xml:space="preserve"> those </w:t>
      </w:r>
      <w:r w:rsidR="00560548" w:rsidRPr="00560548">
        <w:rPr>
          <w:rFonts w:eastAsia="Times New Roman"/>
          <w:noProof/>
        </w:rPr>
        <w:t>justified by differences in the functioning of national markets</w:t>
      </w:r>
      <w:r w:rsidR="00560548">
        <w:rPr>
          <w:rFonts w:eastAsia="Times New Roman"/>
          <w:noProof/>
        </w:rPr>
        <w:t>, as observed also by Letta in his report.</w:t>
      </w:r>
      <w:r w:rsidR="67125116" w:rsidRPr="00DE264C">
        <w:rPr>
          <w:rFonts w:eastAsia="Times New Roman"/>
          <w:noProof/>
        </w:rPr>
        <w:t xml:space="preserve"> </w:t>
      </w:r>
      <w:r w:rsidR="002F0F48">
        <w:rPr>
          <w:rFonts w:eastAsia="Times New Roman"/>
          <w:noProof/>
        </w:rPr>
        <w:t>Furthermore,</w:t>
      </w:r>
      <w:r w:rsidR="00490988" w:rsidRPr="00DE264C">
        <w:rPr>
          <w:rFonts w:eastAsia="Times New Roman"/>
          <w:noProof/>
        </w:rPr>
        <w:t xml:space="preserve"> resource constraints and structural weaknesses</w:t>
      </w:r>
      <w:r w:rsidR="002F0F48">
        <w:rPr>
          <w:rFonts w:eastAsia="Times New Roman"/>
          <w:noProof/>
        </w:rPr>
        <w:t xml:space="preserve"> also contribute to driving the </w:t>
      </w:r>
      <w:r w:rsidR="00E6002F">
        <w:rPr>
          <w:rFonts w:eastAsia="Times New Roman"/>
          <w:noProof/>
        </w:rPr>
        <w:t>problem as m</w:t>
      </w:r>
      <w:r w:rsidR="00490988" w:rsidRPr="00DE264C">
        <w:rPr>
          <w:rFonts w:eastAsia="Times New Roman"/>
          <w:noProof/>
        </w:rPr>
        <w:t xml:space="preserve">any NRAs </w:t>
      </w:r>
      <w:r w:rsidR="00800977">
        <w:rPr>
          <w:rFonts w:eastAsia="Times New Roman"/>
          <w:noProof/>
        </w:rPr>
        <w:t>and other competent authorit</w:t>
      </w:r>
      <w:r w:rsidR="0091260D">
        <w:rPr>
          <w:rFonts w:eastAsia="Times New Roman"/>
          <w:noProof/>
        </w:rPr>
        <w:t>i</w:t>
      </w:r>
      <w:r w:rsidR="00800977">
        <w:rPr>
          <w:rFonts w:eastAsia="Times New Roman"/>
          <w:noProof/>
        </w:rPr>
        <w:t>es</w:t>
      </w:r>
      <w:r w:rsidR="00490988" w:rsidRPr="00DE264C">
        <w:rPr>
          <w:rFonts w:eastAsia="Times New Roman"/>
          <w:noProof/>
        </w:rPr>
        <w:t xml:space="preserve"> face challenges in terms of funding and staffing</w:t>
      </w:r>
      <w:r w:rsidR="00E6002F">
        <w:rPr>
          <w:rFonts w:eastAsia="Times New Roman"/>
          <w:noProof/>
        </w:rPr>
        <w:t xml:space="preserve">. It </w:t>
      </w:r>
      <w:r w:rsidR="00490988" w:rsidRPr="00DE264C">
        <w:rPr>
          <w:rFonts w:eastAsia="Times New Roman"/>
          <w:noProof/>
        </w:rPr>
        <w:t>affect</w:t>
      </w:r>
      <w:r w:rsidR="00E6002F">
        <w:rPr>
          <w:rFonts w:eastAsia="Times New Roman"/>
          <w:noProof/>
        </w:rPr>
        <w:t>s</w:t>
      </w:r>
      <w:r w:rsidR="00490988" w:rsidRPr="00DE264C">
        <w:rPr>
          <w:rFonts w:eastAsia="Times New Roman"/>
          <w:noProof/>
        </w:rPr>
        <w:t xml:space="preserve"> their ability to carry out both existing and newly assigned functions</w:t>
      </w:r>
      <w:r w:rsidR="008E48D9" w:rsidRPr="00DE264C">
        <w:rPr>
          <w:rFonts w:eastAsia="Times New Roman"/>
          <w:noProof/>
        </w:rPr>
        <w:t>, while also</w:t>
      </w:r>
      <w:r w:rsidR="00A23114" w:rsidRPr="00DE264C">
        <w:rPr>
          <w:rFonts w:eastAsia="Times New Roman"/>
          <w:noProof/>
        </w:rPr>
        <w:t xml:space="preserve"> remaining active in BEREC</w:t>
      </w:r>
      <w:r w:rsidR="008E48D9" w:rsidRPr="00DE264C">
        <w:rPr>
          <w:rFonts w:eastAsia="Times New Roman"/>
          <w:noProof/>
        </w:rPr>
        <w:t xml:space="preserve"> </w:t>
      </w:r>
      <w:r w:rsidR="00800977">
        <w:rPr>
          <w:rFonts w:eastAsia="Times New Roman"/>
          <w:noProof/>
        </w:rPr>
        <w:t xml:space="preserve">or RSPG </w:t>
      </w:r>
      <w:r w:rsidR="001237BF" w:rsidRPr="00DE264C">
        <w:rPr>
          <w:rFonts w:eastAsia="Times New Roman"/>
          <w:noProof/>
        </w:rPr>
        <w:t xml:space="preserve">and contributing to </w:t>
      </w:r>
      <w:r w:rsidR="00800977">
        <w:rPr>
          <w:rFonts w:eastAsia="Times New Roman"/>
          <w:noProof/>
        </w:rPr>
        <w:t>their</w:t>
      </w:r>
      <w:r w:rsidR="00800977" w:rsidRPr="00DE264C">
        <w:rPr>
          <w:rFonts w:eastAsia="Times New Roman"/>
          <w:noProof/>
        </w:rPr>
        <w:t xml:space="preserve"> </w:t>
      </w:r>
      <w:r w:rsidR="008E48D9" w:rsidRPr="00DE264C">
        <w:rPr>
          <w:rFonts w:eastAsia="Times New Roman"/>
          <w:noProof/>
        </w:rPr>
        <w:t>work</w:t>
      </w:r>
      <w:r w:rsidR="00490988" w:rsidRPr="00DE264C">
        <w:rPr>
          <w:rFonts w:eastAsia="Times New Roman"/>
          <w:noProof/>
        </w:rPr>
        <w:t>.</w:t>
      </w:r>
    </w:p>
    <w:p w14:paraId="7A238F20" w14:textId="600C2BE5" w:rsidR="00E95AE8" w:rsidRPr="00DE264C" w:rsidRDefault="00490988" w:rsidP="004B2949">
      <w:pPr>
        <w:spacing w:line="240" w:lineRule="auto"/>
        <w:rPr>
          <w:noProof/>
        </w:rPr>
      </w:pPr>
      <w:r w:rsidRPr="572DCBD2">
        <w:rPr>
          <w:rFonts w:eastAsia="Times New Roman"/>
          <w:noProof/>
        </w:rPr>
        <w:t xml:space="preserve">Finally, the growing need for specialised expertise adds pressure to an already stretched governance framework. As responsibilities expand into new areas linked to digital markets and emerging technologies, the demand for skilled </w:t>
      </w:r>
      <w:r w:rsidR="5DEAF0E6" w:rsidRPr="572DCBD2">
        <w:rPr>
          <w:rFonts w:eastAsia="Times New Roman"/>
          <w:noProof/>
        </w:rPr>
        <w:t>human</w:t>
      </w:r>
      <w:r w:rsidRPr="572DCBD2">
        <w:rPr>
          <w:rFonts w:eastAsia="Times New Roman"/>
          <w:noProof/>
        </w:rPr>
        <w:t xml:space="preserve"> resources increases. Without sufficient expertise, the risk is that responses remain incomplete or inconsistent, reinforcing fragmentation. This hampers both the functioning of the Single Market and the creation of a level playing field in the broader connectivity ecosystem, as not all Member States or operators are equally equipped to deal with evolving regulatory and technological challenges</w:t>
      </w:r>
      <w:r w:rsidR="00573925" w:rsidRPr="572DCBD2">
        <w:rPr>
          <w:rFonts w:eastAsia="Times New Roman"/>
          <w:noProof/>
        </w:rPr>
        <w:t xml:space="preserve"> (</w:t>
      </w:r>
      <w:r w:rsidR="00905355" w:rsidRPr="572DCBD2">
        <w:rPr>
          <w:rFonts w:eastAsia="Times New Roman"/>
          <w:noProof/>
        </w:rPr>
        <w:t>f</w:t>
      </w:r>
      <w:r w:rsidR="00573925" w:rsidRPr="572DCBD2">
        <w:rPr>
          <w:rFonts w:eastAsia="Times New Roman"/>
          <w:noProof/>
        </w:rPr>
        <w:t xml:space="preserve">urther details in </w:t>
      </w:r>
      <w:r w:rsidR="42F28E14" w:rsidRPr="572DCBD2">
        <w:rPr>
          <w:rFonts w:eastAsia="Times New Roman"/>
          <w:noProof/>
        </w:rPr>
        <w:t>s</w:t>
      </w:r>
      <w:r w:rsidR="00573925" w:rsidRPr="572DCBD2">
        <w:rPr>
          <w:rFonts w:eastAsia="Times New Roman"/>
          <w:noProof/>
        </w:rPr>
        <w:t xml:space="preserve">ection </w:t>
      </w:r>
      <w:r w:rsidR="000C1D2E" w:rsidRPr="572DCBD2">
        <w:rPr>
          <w:rFonts w:eastAsia="Times New Roman"/>
          <w:noProof/>
        </w:rPr>
        <w:t xml:space="preserve">2.4 of Annex </w:t>
      </w:r>
      <w:r w:rsidR="00E05C94" w:rsidRPr="572DCBD2">
        <w:rPr>
          <w:rFonts w:eastAsia="Times New Roman"/>
          <w:noProof/>
        </w:rPr>
        <w:t>7)</w:t>
      </w:r>
      <w:r w:rsidR="00213706" w:rsidRPr="572DCBD2">
        <w:rPr>
          <w:rFonts w:eastAsia="Times New Roman"/>
          <w:noProof/>
        </w:rPr>
        <w:t>.</w:t>
      </w:r>
    </w:p>
    <w:p w14:paraId="1479334B" w14:textId="6AAE9432" w:rsidR="005E729A" w:rsidRPr="00EF16B9" w:rsidRDefault="00D85D17" w:rsidP="6053AA4A">
      <w:pPr>
        <w:spacing w:after="0"/>
        <w:rPr>
          <w:rFonts w:eastAsia="Times New Roman"/>
          <w:bCs/>
          <w:i/>
          <w:noProof/>
          <w:sz w:val="20"/>
          <w:szCs w:val="20"/>
          <w:u w:val="single"/>
          <w:lang w:val="en-IE"/>
        </w:rPr>
      </w:pPr>
      <w:r w:rsidRPr="00EF16B9">
        <w:rPr>
          <w:rFonts w:eastAsia="Times New Roman"/>
          <w:bCs/>
          <w:i/>
          <w:noProof/>
          <w:sz w:val="20"/>
          <w:szCs w:val="20"/>
          <w:u w:val="single"/>
        </w:rPr>
        <w:t>Table 1</w:t>
      </w:r>
      <w:r>
        <w:rPr>
          <w:rFonts w:eastAsia="Times New Roman"/>
          <w:bCs/>
          <w:i/>
          <w:noProof/>
          <w:sz w:val="20"/>
          <w:szCs w:val="20"/>
          <w:u w:val="single"/>
        </w:rPr>
        <w:t>3</w:t>
      </w:r>
      <w:r w:rsidRPr="00EF16B9">
        <w:rPr>
          <w:rFonts w:eastAsia="Times New Roman"/>
          <w:bCs/>
          <w:i/>
          <w:noProof/>
          <w:sz w:val="20"/>
          <w:szCs w:val="20"/>
          <w:u w:val="single"/>
        </w:rPr>
        <w:t>: Causal link between root causes/problem drivers and problems</w:t>
      </w:r>
      <w:r w:rsidRPr="00EF16B9">
        <w:rPr>
          <w:rFonts w:eastAsia="Times New Roman"/>
          <w:bCs/>
          <w:i/>
          <w:strike/>
          <w:noProof/>
          <w:sz w:val="20"/>
          <w:szCs w:val="20"/>
          <w:u w:val="single"/>
        </w:rPr>
        <w:t xml:space="preserve"> </w:t>
      </w:r>
      <w:r w:rsidRPr="004F6362">
        <w:rPr>
          <w:i/>
          <w:noProof/>
          <w:sz w:val="20"/>
          <w:u w:val="single"/>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658"/>
        <w:gridCol w:w="4392"/>
      </w:tblGrid>
      <w:tr w:rsidR="6053AA4A" w14:paraId="7858BAE7" w14:textId="77777777" w:rsidTr="1DDA0F85">
        <w:trPr>
          <w:trHeight w:val="300"/>
        </w:trPr>
        <w:tc>
          <w:tcPr>
            <w:tcW w:w="4935" w:type="dxa"/>
            <w:tcBorders>
              <w:top w:val="single" w:sz="8" w:space="0" w:color="auto"/>
              <w:left w:val="single" w:sz="8" w:space="0" w:color="auto"/>
              <w:bottom w:val="single" w:sz="8" w:space="0" w:color="auto"/>
              <w:right w:val="single" w:sz="8" w:space="0" w:color="auto"/>
            </w:tcBorders>
          </w:tcPr>
          <w:p w14:paraId="78B3B331" w14:textId="50DC4B7F" w:rsidR="6053AA4A" w:rsidRDefault="6053AA4A" w:rsidP="00EF16B9">
            <w:pPr>
              <w:spacing w:after="120"/>
              <w:jc w:val="center"/>
              <w:rPr>
                <w:rFonts w:eastAsia="Times New Roman"/>
                <w:noProof/>
                <w:sz w:val="20"/>
                <w:szCs w:val="20"/>
              </w:rPr>
            </w:pPr>
            <w:r w:rsidRPr="6053AA4A">
              <w:rPr>
                <w:rFonts w:eastAsia="Times New Roman"/>
                <w:b/>
                <w:bCs/>
                <w:noProof/>
                <w:sz w:val="20"/>
                <w:szCs w:val="20"/>
              </w:rPr>
              <w:t>Problem driver/root causes</w:t>
            </w:r>
            <w:r w:rsidRPr="6053AA4A">
              <w:rPr>
                <w:rFonts w:eastAsia="Times New Roman"/>
                <w:noProof/>
                <w:sz w:val="20"/>
                <w:szCs w:val="20"/>
              </w:rPr>
              <w:t xml:space="preserve"> </w:t>
            </w:r>
          </w:p>
        </w:tc>
        <w:tc>
          <w:tcPr>
            <w:tcW w:w="4650" w:type="dxa"/>
            <w:tcBorders>
              <w:top w:val="single" w:sz="8" w:space="0" w:color="auto"/>
              <w:left w:val="single" w:sz="8" w:space="0" w:color="auto"/>
              <w:bottom w:val="single" w:sz="8" w:space="0" w:color="auto"/>
              <w:right w:val="single" w:sz="8" w:space="0" w:color="auto"/>
            </w:tcBorders>
          </w:tcPr>
          <w:p w14:paraId="655F63CF" w14:textId="2BC4F8DC" w:rsidR="6053AA4A" w:rsidRDefault="6053AA4A" w:rsidP="00EF16B9">
            <w:pPr>
              <w:spacing w:after="120"/>
              <w:jc w:val="center"/>
              <w:rPr>
                <w:rFonts w:eastAsia="Times New Roman"/>
                <w:noProof/>
                <w:sz w:val="20"/>
                <w:szCs w:val="20"/>
              </w:rPr>
            </w:pPr>
            <w:r w:rsidRPr="6053AA4A">
              <w:rPr>
                <w:rFonts w:eastAsia="Times New Roman"/>
                <w:b/>
                <w:bCs/>
                <w:noProof/>
                <w:sz w:val="20"/>
                <w:szCs w:val="20"/>
              </w:rPr>
              <w:t xml:space="preserve">Causal link with </w:t>
            </w:r>
            <w:r w:rsidR="4A23799B" w:rsidRPr="181AC8FA">
              <w:rPr>
                <w:rFonts w:eastAsia="Times New Roman"/>
                <w:b/>
                <w:bCs/>
                <w:noProof/>
                <w:sz w:val="20"/>
                <w:szCs w:val="20"/>
              </w:rPr>
              <w:t>governance related</w:t>
            </w:r>
            <w:r w:rsidRPr="6053AA4A">
              <w:rPr>
                <w:rFonts w:eastAsia="Times New Roman"/>
                <w:b/>
                <w:bCs/>
                <w:noProof/>
                <w:sz w:val="20"/>
                <w:szCs w:val="20"/>
              </w:rPr>
              <w:t xml:space="preserve"> problem</w:t>
            </w:r>
            <w:r w:rsidRPr="6053AA4A">
              <w:rPr>
                <w:rFonts w:eastAsia="Times New Roman"/>
                <w:noProof/>
                <w:sz w:val="20"/>
                <w:szCs w:val="20"/>
              </w:rPr>
              <w:t xml:space="preserve"> </w:t>
            </w:r>
          </w:p>
        </w:tc>
      </w:tr>
      <w:tr w:rsidR="6053AA4A" w14:paraId="20CF58E4" w14:textId="77777777" w:rsidTr="00292895">
        <w:trPr>
          <w:trHeight w:val="471"/>
        </w:trPr>
        <w:tc>
          <w:tcPr>
            <w:tcW w:w="4935" w:type="dxa"/>
            <w:tcBorders>
              <w:top w:val="single" w:sz="8" w:space="0" w:color="auto"/>
              <w:left w:val="single" w:sz="8" w:space="0" w:color="auto"/>
              <w:bottom w:val="single" w:sz="8" w:space="0" w:color="auto"/>
              <w:right w:val="single" w:sz="8" w:space="0" w:color="auto"/>
            </w:tcBorders>
          </w:tcPr>
          <w:p w14:paraId="17ED2C69" w14:textId="1AF60437" w:rsidR="6053AA4A" w:rsidRDefault="00494124" w:rsidP="00EF16B9">
            <w:pPr>
              <w:spacing w:after="120"/>
              <w:rPr>
                <w:rFonts w:eastAsia="Times New Roman"/>
                <w:noProof/>
                <w:sz w:val="20"/>
                <w:szCs w:val="20"/>
              </w:rPr>
            </w:pPr>
            <w:r>
              <w:rPr>
                <w:rFonts w:eastAsia="Times New Roman"/>
                <w:noProof/>
                <w:sz w:val="20"/>
                <w:szCs w:val="20"/>
              </w:rPr>
              <w:t>N</w:t>
            </w:r>
            <w:r w:rsidR="1578075A" w:rsidRPr="1DDA0F85">
              <w:rPr>
                <w:rFonts w:eastAsia="Times New Roman"/>
                <w:noProof/>
                <w:sz w:val="20"/>
                <w:szCs w:val="20"/>
              </w:rPr>
              <w:t>ational influence on BEREC and RSPG</w:t>
            </w:r>
          </w:p>
        </w:tc>
        <w:tc>
          <w:tcPr>
            <w:tcW w:w="4650" w:type="dxa"/>
            <w:tcBorders>
              <w:top w:val="single" w:sz="8" w:space="0" w:color="auto"/>
              <w:left w:val="single" w:sz="8" w:space="0" w:color="auto"/>
              <w:bottom w:val="single" w:sz="8" w:space="0" w:color="auto"/>
              <w:right w:val="single" w:sz="8" w:space="0" w:color="auto"/>
            </w:tcBorders>
          </w:tcPr>
          <w:p w14:paraId="3F2CBA07" w14:textId="6B0C6E98" w:rsidR="6053AA4A" w:rsidRDefault="1578075A" w:rsidP="00EF16B9">
            <w:pPr>
              <w:spacing w:after="120"/>
              <w:rPr>
                <w:rFonts w:eastAsia="Times New Roman"/>
                <w:noProof/>
                <w:sz w:val="20"/>
                <w:szCs w:val="20"/>
              </w:rPr>
            </w:pPr>
            <w:r w:rsidRPr="1DDA0F85">
              <w:rPr>
                <w:rFonts w:eastAsia="Times New Roman"/>
                <w:noProof/>
                <w:sz w:val="20"/>
                <w:szCs w:val="20"/>
              </w:rPr>
              <w:t>Limits development of a coherent EU Single Market perspective.</w:t>
            </w:r>
          </w:p>
        </w:tc>
      </w:tr>
      <w:tr w:rsidR="1DDA0F85" w14:paraId="3EABF7BB" w14:textId="77777777" w:rsidTr="1DDA0F85">
        <w:trPr>
          <w:trHeight w:val="300"/>
        </w:trPr>
        <w:tc>
          <w:tcPr>
            <w:tcW w:w="4935" w:type="dxa"/>
            <w:tcBorders>
              <w:top w:val="single" w:sz="8" w:space="0" w:color="auto"/>
              <w:left w:val="single" w:sz="8" w:space="0" w:color="auto"/>
              <w:bottom w:val="single" w:sz="8" w:space="0" w:color="auto"/>
              <w:right w:val="single" w:sz="8" w:space="0" w:color="auto"/>
            </w:tcBorders>
          </w:tcPr>
          <w:p w14:paraId="7FA8F1FE" w14:textId="7F0340A9" w:rsidR="54E132B0" w:rsidRDefault="54E132B0" w:rsidP="00EF16B9">
            <w:pPr>
              <w:spacing w:after="120"/>
              <w:rPr>
                <w:rFonts w:eastAsia="Times New Roman"/>
                <w:noProof/>
                <w:sz w:val="20"/>
                <w:szCs w:val="20"/>
              </w:rPr>
            </w:pPr>
            <w:r w:rsidRPr="1DDA0F85">
              <w:rPr>
                <w:rFonts w:eastAsia="Times New Roman"/>
                <w:noProof/>
                <w:sz w:val="20"/>
                <w:szCs w:val="20"/>
              </w:rPr>
              <w:t>Weak coordination between BEREC and RSPG</w:t>
            </w:r>
          </w:p>
        </w:tc>
        <w:tc>
          <w:tcPr>
            <w:tcW w:w="4650" w:type="dxa"/>
            <w:tcBorders>
              <w:top w:val="single" w:sz="8" w:space="0" w:color="auto"/>
              <w:left w:val="single" w:sz="8" w:space="0" w:color="auto"/>
              <w:bottom w:val="single" w:sz="8" w:space="0" w:color="auto"/>
              <w:right w:val="single" w:sz="8" w:space="0" w:color="auto"/>
            </w:tcBorders>
          </w:tcPr>
          <w:p w14:paraId="5C2E0128" w14:textId="6133DE90" w:rsidR="54E132B0" w:rsidRDefault="54E132B0" w:rsidP="00EF16B9">
            <w:pPr>
              <w:spacing w:after="120"/>
              <w:rPr>
                <w:rFonts w:eastAsia="Times New Roman"/>
                <w:noProof/>
                <w:sz w:val="20"/>
                <w:szCs w:val="20"/>
              </w:rPr>
            </w:pPr>
            <w:r w:rsidRPr="1DDA0F85">
              <w:rPr>
                <w:rFonts w:eastAsia="Times New Roman"/>
                <w:noProof/>
                <w:sz w:val="20"/>
                <w:szCs w:val="20"/>
              </w:rPr>
              <w:t>Leads to fragmented approaches to spectrum-related regulatory issues.</w:t>
            </w:r>
          </w:p>
        </w:tc>
      </w:tr>
      <w:tr w:rsidR="1DDA0F85" w14:paraId="01D34077" w14:textId="77777777" w:rsidTr="1DDA0F85">
        <w:trPr>
          <w:trHeight w:val="300"/>
        </w:trPr>
        <w:tc>
          <w:tcPr>
            <w:tcW w:w="4935" w:type="dxa"/>
            <w:tcBorders>
              <w:top w:val="single" w:sz="8" w:space="0" w:color="auto"/>
              <w:left w:val="single" w:sz="8" w:space="0" w:color="auto"/>
              <w:bottom w:val="single" w:sz="8" w:space="0" w:color="auto"/>
              <w:right w:val="single" w:sz="8" w:space="0" w:color="auto"/>
            </w:tcBorders>
          </w:tcPr>
          <w:p w14:paraId="1A36E05F" w14:textId="77722357" w:rsidR="54E132B0" w:rsidRDefault="54E132B0" w:rsidP="00EF16B9">
            <w:pPr>
              <w:spacing w:after="120"/>
              <w:rPr>
                <w:rFonts w:eastAsia="Times New Roman"/>
                <w:noProof/>
                <w:sz w:val="20"/>
                <w:szCs w:val="20"/>
              </w:rPr>
            </w:pPr>
            <w:r w:rsidRPr="1DDA0F85">
              <w:rPr>
                <w:rFonts w:eastAsia="Times New Roman"/>
                <w:noProof/>
                <w:sz w:val="20"/>
                <w:szCs w:val="20"/>
              </w:rPr>
              <w:t>Diverging NRA mandates and expanding responsibilities</w:t>
            </w:r>
          </w:p>
        </w:tc>
        <w:tc>
          <w:tcPr>
            <w:tcW w:w="4650" w:type="dxa"/>
            <w:tcBorders>
              <w:top w:val="single" w:sz="8" w:space="0" w:color="auto"/>
              <w:left w:val="single" w:sz="8" w:space="0" w:color="auto"/>
              <w:bottom w:val="single" w:sz="8" w:space="0" w:color="auto"/>
              <w:right w:val="single" w:sz="8" w:space="0" w:color="auto"/>
            </w:tcBorders>
          </w:tcPr>
          <w:p w14:paraId="33D6A9CC" w14:textId="56FBBB66" w:rsidR="54E132B0" w:rsidRDefault="54E132B0" w:rsidP="00EF16B9">
            <w:pPr>
              <w:spacing w:after="120"/>
              <w:rPr>
                <w:rFonts w:eastAsia="Times New Roman"/>
                <w:noProof/>
                <w:sz w:val="20"/>
                <w:szCs w:val="20"/>
              </w:rPr>
            </w:pPr>
            <w:r w:rsidRPr="1DDA0F85">
              <w:rPr>
                <w:rFonts w:eastAsia="Times New Roman"/>
                <w:noProof/>
                <w:sz w:val="20"/>
                <w:szCs w:val="20"/>
              </w:rPr>
              <w:t>Create inconsistencies in regulatory tasks and weakens coherent EU-wide governance.</w:t>
            </w:r>
          </w:p>
        </w:tc>
      </w:tr>
      <w:tr w:rsidR="004E1927" w14:paraId="0C7B724A" w14:textId="77777777" w:rsidTr="6A331387">
        <w:trPr>
          <w:trHeight w:val="300"/>
        </w:trPr>
        <w:tc>
          <w:tcPr>
            <w:tcW w:w="4935" w:type="dxa"/>
            <w:tcBorders>
              <w:top w:val="single" w:sz="8" w:space="0" w:color="auto"/>
              <w:left w:val="single" w:sz="8" w:space="0" w:color="auto"/>
              <w:bottom w:val="single" w:sz="8" w:space="0" w:color="auto"/>
              <w:right w:val="single" w:sz="8" w:space="0" w:color="auto"/>
            </w:tcBorders>
          </w:tcPr>
          <w:p w14:paraId="53B397BD" w14:textId="323C03A0" w:rsidR="004E1927" w:rsidRPr="61D09CE1" w:rsidRDefault="007B595B" w:rsidP="00EF16B9">
            <w:pPr>
              <w:spacing w:after="120"/>
              <w:rPr>
                <w:rFonts w:eastAsia="Times New Roman"/>
                <w:noProof/>
                <w:sz w:val="20"/>
                <w:szCs w:val="20"/>
              </w:rPr>
            </w:pPr>
            <w:r>
              <w:rPr>
                <w:rFonts w:eastAsia="Times New Roman"/>
                <w:noProof/>
                <w:sz w:val="20"/>
                <w:szCs w:val="20"/>
              </w:rPr>
              <w:t xml:space="preserve">Diverging approaches to </w:t>
            </w:r>
            <w:r w:rsidR="00E151BC">
              <w:rPr>
                <w:rFonts w:eastAsia="Times New Roman"/>
                <w:noProof/>
                <w:sz w:val="20"/>
                <w:szCs w:val="20"/>
              </w:rPr>
              <w:t>implementation and oversight by com</w:t>
            </w:r>
            <w:r w:rsidR="00D34934">
              <w:rPr>
                <w:rFonts w:eastAsia="Times New Roman"/>
                <w:noProof/>
                <w:sz w:val="20"/>
                <w:szCs w:val="20"/>
              </w:rPr>
              <w:t>petent authorities at national level</w:t>
            </w:r>
            <w:r w:rsidR="71FC35F5" w:rsidRPr="22CAB236">
              <w:rPr>
                <w:rFonts w:eastAsia="Times New Roman"/>
                <w:noProof/>
                <w:sz w:val="20"/>
                <w:szCs w:val="20"/>
              </w:rPr>
              <w:t>.</w:t>
            </w:r>
          </w:p>
        </w:tc>
        <w:tc>
          <w:tcPr>
            <w:tcW w:w="4650" w:type="dxa"/>
            <w:tcBorders>
              <w:top w:val="single" w:sz="8" w:space="0" w:color="auto"/>
              <w:left w:val="single" w:sz="8" w:space="0" w:color="auto"/>
              <w:bottom w:val="single" w:sz="8" w:space="0" w:color="auto"/>
              <w:right w:val="single" w:sz="8" w:space="0" w:color="auto"/>
            </w:tcBorders>
          </w:tcPr>
          <w:p w14:paraId="2BD10361" w14:textId="08671CF9" w:rsidR="004E1927" w:rsidRPr="407DC5D5" w:rsidRDefault="008109E6" w:rsidP="00EF16B9">
            <w:pPr>
              <w:spacing w:after="120"/>
              <w:rPr>
                <w:rFonts w:eastAsia="Times New Roman"/>
                <w:noProof/>
                <w:sz w:val="20"/>
                <w:szCs w:val="20"/>
              </w:rPr>
            </w:pPr>
            <w:r>
              <w:rPr>
                <w:rFonts w:eastAsia="Times New Roman"/>
                <w:noProof/>
                <w:sz w:val="20"/>
                <w:szCs w:val="20"/>
              </w:rPr>
              <w:t>Results in l</w:t>
            </w:r>
            <w:r w:rsidR="0D32FB1C" w:rsidRPr="75A5DC0E">
              <w:rPr>
                <w:rFonts w:eastAsia="Times New Roman"/>
                <w:noProof/>
                <w:sz w:val="20"/>
                <w:szCs w:val="20"/>
              </w:rPr>
              <w:t xml:space="preserve">ack of full overview at national </w:t>
            </w:r>
            <w:r w:rsidR="0D32FB1C" w:rsidRPr="31893C34">
              <w:rPr>
                <w:rFonts w:eastAsia="Times New Roman"/>
                <w:noProof/>
                <w:sz w:val="20"/>
                <w:szCs w:val="20"/>
              </w:rPr>
              <w:t>and</w:t>
            </w:r>
            <w:r w:rsidR="0D32FB1C" w:rsidRPr="75A5DC0E">
              <w:rPr>
                <w:rFonts w:eastAsia="Times New Roman"/>
                <w:noProof/>
                <w:sz w:val="20"/>
                <w:szCs w:val="20"/>
              </w:rPr>
              <w:t xml:space="preserve"> EU level. </w:t>
            </w:r>
            <w:r w:rsidR="00D34934">
              <w:rPr>
                <w:rFonts w:eastAsia="Times New Roman"/>
                <w:noProof/>
                <w:sz w:val="20"/>
                <w:szCs w:val="20"/>
              </w:rPr>
              <w:t xml:space="preserve">Perpetuate </w:t>
            </w:r>
            <w:r w:rsidR="00AF34B8">
              <w:rPr>
                <w:rFonts w:eastAsia="Times New Roman"/>
                <w:noProof/>
                <w:sz w:val="20"/>
                <w:szCs w:val="20"/>
              </w:rPr>
              <w:t xml:space="preserve">differences in standard procedures, compliance </w:t>
            </w:r>
            <w:r w:rsidR="02FE1025" w:rsidRPr="7C503586">
              <w:rPr>
                <w:rFonts w:eastAsia="Times New Roman"/>
                <w:noProof/>
                <w:sz w:val="20"/>
                <w:szCs w:val="20"/>
              </w:rPr>
              <w:t>obligations</w:t>
            </w:r>
            <w:r w:rsidR="00AF34B8">
              <w:rPr>
                <w:rFonts w:eastAsia="Times New Roman"/>
                <w:noProof/>
                <w:sz w:val="20"/>
                <w:szCs w:val="20"/>
              </w:rPr>
              <w:t xml:space="preserve"> and administrative processes not </w:t>
            </w:r>
            <w:r w:rsidR="36F1DAC7" w:rsidRPr="7C503586">
              <w:rPr>
                <w:rFonts w:eastAsia="Times New Roman"/>
                <w:noProof/>
                <w:sz w:val="20"/>
                <w:szCs w:val="20"/>
              </w:rPr>
              <w:t>justified</w:t>
            </w:r>
            <w:r w:rsidR="00AF34B8">
              <w:rPr>
                <w:rFonts w:eastAsia="Times New Roman"/>
                <w:noProof/>
                <w:sz w:val="20"/>
                <w:szCs w:val="20"/>
              </w:rPr>
              <w:t xml:space="preserve"> by differences in the functioning of national markets</w:t>
            </w:r>
            <w:r w:rsidR="4D332E8E" w:rsidRPr="75A5DC0E">
              <w:rPr>
                <w:rFonts w:eastAsia="Times New Roman"/>
                <w:noProof/>
                <w:sz w:val="20"/>
                <w:szCs w:val="20"/>
              </w:rPr>
              <w:t>.</w:t>
            </w:r>
          </w:p>
        </w:tc>
      </w:tr>
      <w:tr w:rsidR="1DDA0F85" w14:paraId="197D7A89" w14:textId="77777777" w:rsidTr="1DDA0F85">
        <w:trPr>
          <w:trHeight w:val="300"/>
        </w:trPr>
        <w:tc>
          <w:tcPr>
            <w:tcW w:w="4935" w:type="dxa"/>
            <w:tcBorders>
              <w:top w:val="single" w:sz="8" w:space="0" w:color="auto"/>
              <w:left w:val="single" w:sz="8" w:space="0" w:color="auto"/>
              <w:bottom w:val="single" w:sz="8" w:space="0" w:color="auto"/>
              <w:right w:val="single" w:sz="8" w:space="0" w:color="auto"/>
            </w:tcBorders>
          </w:tcPr>
          <w:p w14:paraId="117F9228" w14:textId="2E7E786C" w:rsidR="54E132B0" w:rsidRDefault="54E132B0" w:rsidP="00EF16B9">
            <w:pPr>
              <w:spacing w:after="120"/>
              <w:rPr>
                <w:rFonts w:eastAsia="Times New Roman"/>
                <w:noProof/>
                <w:sz w:val="20"/>
                <w:szCs w:val="20"/>
              </w:rPr>
            </w:pPr>
            <w:r w:rsidRPr="1DDA0F85">
              <w:rPr>
                <w:rFonts w:eastAsia="Times New Roman"/>
                <w:noProof/>
                <w:sz w:val="20"/>
                <w:szCs w:val="20"/>
              </w:rPr>
              <w:t>Uneven allocation of new digital regulatory responsibilities</w:t>
            </w:r>
          </w:p>
        </w:tc>
        <w:tc>
          <w:tcPr>
            <w:tcW w:w="4650" w:type="dxa"/>
            <w:tcBorders>
              <w:top w:val="single" w:sz="8" w:space="0" w:color="auto"/>
              <w:left w:val="single" w:sz="8" w:space="0" w:color="auto"/>
              <w:bottom w:val="single" w:sz="8" w:space="0" w:color="auto"/>
              <w:right w:val="single" w:sz="8" w:space="0" w:color="auto"/>
            </w:tcBorders>
          </w:tcPr>
          <w:p w14:paraId="18E44809" w14:textId="16265F00" w:rsidR="54E132B0" w:rsidRDefault="54E132B0" w:rsidP="00EF16B9">
            <w:pPr>
              <w:spacing w:after="120"/>
              <w:rPr>
                <w:rFonts w:eastAsia="Times New Roman"/>
                <w:noProof/>
                <w:sz w:val="20"/>
                <w:szCs w:val="20"/>
              </w:rPr>
            </w:pPr>
            <w:r w:rsidRPr="1DDA0F85">
              <w:rPr>
                <w:rFonts w:eastAsia="Times New Roman"/>
                <w:noProof/>
                <w:sz w:val="20"/>
                <w:szCs w:val="20"/>
              </w:rPr>
              <w:t>Produces asymmetric governance structures and cross-border supervision gaps.</w:t>
            </w:r>
          </w:p>
        </w:tc>
      </w:tr>
      <w:tr w:rsidR="1DDA0F85" w14:paraId="6A1A7C2D" w14:textId="77777777" w:rsidTr="1DDA0F85">
        <w:trPr>
          <w:trHeight w:val="300"/>
        </w:trPr>
        <w:tc>
          <w:tcPr>
            <w:tcW w:w="4935" w:type="dxa"/>
            <w:tcBorders>
              <w:top w:val="single" w:sz="8" w:space="0" w:color="auto"/>
              <w:left w:val="single" w:sz="8" w:space="0" w:color="auto"/>
              <w:bottom w:val="single" w:sz="8" w:space="0" w:color="auto"/>
              <w:right w:val="single" w:sz="8" w:space="0" w:color="auto"/>
            </w:tcBorders>
          </w:tcPr>
          <w:p w14:paraId="1A6E53D1" w14:textId="03B4096B" w:rsidR="54E132B0" w:rsidRDefault="54E132B0" w:rsidP="00EF16B9">
            <w:pPr>
              <w:spacing w:after="120"/>
              <w:rPr>
                <w:rFonts w:eastAsia="Times New Roman"/>
                <w:noProof/>
                <w:sz w:val="20"/>
                <w:szCs w:val="20"/>
              </w:rPr>
            </w:pPr>
            <w:r w:rsidRPr="1DDA0F85">
              <w:rPr>
                <w:rFonts w:eastAsia="Times New Roman"/>
                <w:noProof/>
                <w:sz w:val="20"/>
                <w:szCs w:val="20"/>
              </w:rPr>
              <w:t>Resource and capacity constraints within NRAs</w:t>
            </w:r>
            <w:r w:rsidR="000D3C51">
              <w:rPr>
                <w:rFonts w:eastAsia="Times New Roman"/>
                <w:noProof/>
                <w:sz w:val="20"/>
                <w:szCs w:val="20"/>
              </w:rPr>
              <w:t xml:space="preserve"> and other </w:t>
            </w:r>
            <w:r w:rsidR="1892658A" w:rsidRPr="1B394036">
              <w:rPr>
                <w:rFonts w:eastAsia="Times New Roman"/>
                <w:noProof/>
                <w:sz w:val="20"/>
                <w:szCs w:val="20"/>
              </w:rPr>
              <w:t>competent</w:t>
            </w:r>
            <w:r w:rsidR="000D3C51">
              <w:rPr>
                <w:rFonts w:eastAsia="Times New Roman"/>
                <w:noProof/>
                <w:sz w:val="20"/>
                <w:szCs w:val="20"/>
              </w:rPr>
              <w:t xml:space="preserve"> authorities</w:t>
            </w:r>
          </w:p>
        </w:tc>
        <w:tc>
          <w:tcPr>
            <w:tcW w:w="4650" w:type="dxa"/>
            <w:tcBorders>
              <w:top w:val="single" w:sz="8" w:space="0" w:color="auto"/>
              <w:left w:val="single" w:sz="8" w:space="0" w:color="auto"/>
              <w:bottom w:val="single" w:sz="8" w:space="0" w:color="auto"/>
              <w:right w:val="single" w:sz="8" w:space="0" w:color="auto"/>
            </w:tcBorders>
          </w:tcPr>
          <w:p w14:paraId="58AE9C36" w14:textId="1216370D" w:rsidR="54E132B0" w:rsidRDefault="54E132B0" w:rsidP="00EF16B9">
            <w:pPr>
              <w:spacing w:after="120"/>
              <w:rPr>
                <w:rFonts w:eastAsia="Times New Roman"/>
                <w:noProof/>
                <w:sz w:val="20"/>
                <w:szCs w:val="20"/>
              </w:rPr>
            </w:pPr>
            <w:r w:rsidRPr="1DDA0F85">
              <w:rPr>
                <w:rFonts w:eastAsia="Times New Roman"/>
                <w:noProof/>
                <w:sz w:val="20"/>
                <w:szCs w:val="20"/>
              </w:rPr>
              <w:t>Hinder effective fulfilment of tasks and consistent participation in EU-level governance.</w:t>
            </w:r>
          </w:p>
        </w:tc>
      </w:tr>
      <w:tr w:rsidR="1DDA0F85" w14:paraId="07EAB874" w14:textId="77777777" w:rsidTr="1DDA0F85">
        <w:trPr>
          <w:trHeight w:val="300"/>
        </w:trPr>
        <w:tc>
          <w:tcPr>
            <w:tcW w:w="4935" w:type="dxa"/>
            <w:tcBorders>
              <w:top w:val="single" w:sz="8" w:space="0" w:color="auto"/>
              <w:left w:val="single" w:sz="8" w:space="0" w:color="auto"/>
              <w:bottom w:val="single" w:sz="8" w:space="0" w:color="auto"/>
              <w:right w:val="single" w:sz="8" w:space="0" w:color="auto"/>
            </w:tcBorders>
          </w:tcPr>
          <w:p w14:paraId="24BFB689" w14:textId="74147F46" w:rsidR="54E132B0" w:rsidRDefault="54E132B0" w:rsidP="00EF16B9">
            <w:pPr>
              <w:spacing w:after="120"/>
              <w:rPr>
                <w:rFonts w:eastAsia="Times New Roman"/>
                <w:noProof/>
                <w:sz w:val="20"/>
                <w:szCs w:val="20"/>
              </w:rPr>
            </w:pPr>
            <w:r w:rsidRPr="1DDA0F85">
              <w:rPr>
                <w:rFonts w:eastAsia="Times New Roman"/>
                <w:noProof/>
                <w:sz w:val="20"/>
                <w:szCs w:val="20"/>
              </w:rPr>
              <w:t>Growing need for specialised expertise</w:t>
            </w:r>
          </w:p>
        </w:tc>
        <w:tc>
          <w:tcPr>
            <w:tcW w:w="4650" w:type="dxa"/>
            <w:tcBorders>
              <w:top w:val="single" w:sz="8" w:space="0" w:color="auto"/>
              <w:left w:val="single" w:sz="8" w:space="0" w:color="auto"/>
              <w:bottom w:val="single" w:sz="8" w:space="0" w:color="auto"/>
              <w:right w:val="single" w:sz="8" w:space="0" w:color="auto"/>
            </w:tcBorders>
          </w:tcPr>
          <w:p w14:paraId="25152C9B" w14:textId="12C15FF8" w:rsidR="54E132B0" w:rsidRDefault="54E132B0" w:rsidP="00EF16B9">
            <w:pPr>
              <w:spacing w:after="120"/>
              <w:rPr>
                <w:rFonts w:eastAsia="Times New Roman"/>
                <w:noProof/>
                <w:sz w:val="20"/>
                <w:szCs w:val="20"/>
              </w:rPr>
            </w:pPr>
            <w:r w:rsidRPr="1DDA0F85">
              <w:rPr>
                <w:rFonts w:eastAsia="Times New Roman"/>
                <w:noProof/>
                <w:sz w:val="20"/>
                <w:szCs w:val="20"/>
              </w:rPr>
              <w:t>Leads to uneven regulatory responses and reinforces fragmentation across the Single Market.</w:t>
            </w:r>
          </w:p>
        </w:tc>
      </w:tr>
    </w:tbl>
    <w:p w14:paraId="1A1FDE26" w14:textId="539A879E" w:rsidR="006B087E" w:rsidRPr="00DE264C" w:rsidRDefault="006B087E" w:rsidP="004F6362">
      <w:pPr>
        <w:pStyle w:val="Heading2"/>
        <w:spacing w:before="240"/>
        <w:ind w:left="1202"/>
        <w:rPr>
          <w:noProof/>
        </w:rPr>
      </w:pPr>
      <w:bookmarkStart w:id="97" w:name="_Toc214467699"/>
      <w:bookmarkStart w:id="98" w:name="_Toc215083725"/>
      <w:bookmarkStart w:id="99" w:name="_Toc219212493"/>
      <w:bookmarkStart w:id="100" w:name="_Toc219718148"/>
      <w:r w:rsidRPr="00DE264C">
        <w:rPr>
          <w:noProof/>
        </w:rPr>
        <w:t xml:space="preserve">How </w:t>
      </w:r>
      <w:r w:rsidR="00CC3AAC" w:rsidRPr="00DE264C">
        <w:rPr>
          <w:noProof/>
        </w:rPr>
        <w:t xml:space="preserve">likely </w:t>
      </w:r>
      <w:r w:rsidR="001C3A9D" w:rsidRPr="00DE264C">
        <w:rPr>
          <w:noProof/>
        </w:rPr>
        <w:t>are</w:t>
      </w:r>
      <w:r w:rsidR="00CC3AAC" w:rsidRPr="00DE264C">
        <w:rPr>
          <w:noProof/>
        </w:rPr>
        <w:t xml:space="preserve"> the problem</w:t>
      </w:r>
      <w:r w:rsidR="001C3A9D" w:rsidRPr="00DE264C">
        <w:rPr>
          <w:noProof/>
        </w:rPr>
        <w:t xml:space="preserve">s </w:t>
      </w:r>
      <w:r w:rsidR="00CC3AAC" w:rsidRPr="00DE264C">
        <w:rPr>
          <w:noProof/>
        </w:rPr>
        <w:t>to persist?</w:t>
      </w:r>
      <w:bookmarkEnd w:id="97"/>
      <w:bookmarkEnd w:id="98"/>
      <w:bookmarkEnd w:id="99"/>
      <w:bookmarkEnd w:id="100"/>
    </w:p>
    <w:p w14:paraId="041BC557" w14:textId="05F44553" w:rsidR="00AC0CA3" w:rsidRPr="00DE264C" w:rsidRDefault="00AC0CA3" w:rsidP="00175C9C">
      <w:pPr>
        <w:pStyle w:val="Heading3"/>
        <w:tabs>
          <w:tab w:val="num" w:pos="7088"/>
        </w:tabs>
        <w:ind w:left="709"/>
        <w:rPr>
          <w:noProof/>
        </w:rPr>
      </w:pPr>
      <w:bookmarkStart w:id="101" w:name="_Toc214467700"/>
      <w:bookmarkStart w:id="102" w:name="_Toc215083726"/>
      <w:bookmarkStart w:id="103" w:name="_Toc219212494"/>
      <w:bookmarkStart w:id="104" w:name="_Toc219718149"/>
      <w:r w:rsidRPr="00DE264C">
        <w:rPr>
          <w:noProof/>
        </w:rPr>
        <w:t xml:space="preserve">Fixed </w:t>
      </w:r>
      <w:r w:rsidRPr="004F6362">
        <w:rPr>
          <w:noProof/>
        </w:rPr>
        <w:t>networks</w:t>
      </w:r>
      <w:r w:rsidRPr="00DE264C">
        <w:rPr>
          <w:noProof/>
        </w:rPr>
        <w:t xml:space="preserve">: Slow </w:t>
      </w:r>
      <w:r w:rsidRPr="004F6362">
        <w:rPr>
          <w:noProof/>
        </w:rPr>
        <w:t>deployment</w:t>
      </w:r>
      <w:r w:rsidRPr="00DE264C">
        <w:rPr>
          <w:noProof/>
        </w:rPr>
        <w:t xml:space="preserve"> and adoption of </w:t>
      </w:r>
      <w:r w:rsidR="004F12B7" w:rsidRPr="00DE264C">
        <w:rPr>
          <w:noProof/>
        </w:rPr>
        <w:t>fibre</w:t>
      </w:r>
      <w:r w:rsidRPr="00DE264C">
        <w:rPr>
          <w:noProof/>
        </w:rPr>
        <w:t xml:space="preserve"> networks and services</w:t>
      </w:r>
      <w:bookmarkEnd w:id="101"/>
      <w:bookmarkEnd w:id="102"/>
      <w:bookmarkEnd w:id="103"/>
      <w:bookmarkEnd w:id="104"/>
    </w:p>
    <w:p w14:paraId="0EA8A249" w14:textId="75CBB767" w:rsidR="008D3D15" w:rsidRPr="00DE264C" w:rsidRDefault="007E2C61" w:rsidP="004B2949">
      <w:pPr>
        <w:spacing w:line="240" w:lineRule="auto"/>
        <w:rPr>
          <w:rFonts w:eastAsia="Times New Roman"/>
          <w:noProof/>
          <w:color w:val="000000" w:themeColor="text1"/>
        </w:rPr>
      </w:pPr>
      <w:r w:rsidRPr="00DE264C">
        <w:rPr>
          <w:noProof/>
        </w:rPr>
        <w:t xml:space="preserve">The likelihood of slow deployment and adoption of </w:t>
      </w:r>
      <w:r w:rsidR="00B84640" w:rsidRPr="00DE264C">
        <w:rPr>
          <w:noProof/>
        </w:rPr>
        <w:t>fibre</w:t>
      </w:r>
      <w:r w:rsidRPr="00DE264C">
        <w:rPr>
          <w:noProof/>
        </w:rPr>
        <w:t xml:space="preserve"> networks and services is high.</w:t>
      </w:r>
      <w:r w:rsidR="001C3A9D" w:rsidRPr="00DE264C">
        <w:rPr>
          <w:noProof/>
        </w:rPr>
        <w:t xml:space="preserve"> </w:t>
      </w:r>
      <w:r w:rsidR="00E009F2" w:rsidRPr="00DE264C">
        <w:rPr>
          <w:noProof/>
        </w:rPr>
        <w:t>If no proactive steps are taken, FTT</w:t>
      </w:r>
      <w:r w:rsidR="6C8B8EDC" w:rsidRPr="00DE264C">
        <w:rPr>
          <w:noProof/>
        </w:rPr>
        <w:t>P</w:t>
      </w:r>
      <w:r w:rsidR="00E009F2" w:rsidRPr="00DE264C">
        <w:rPr>
          <w:noProof/>
        </w:rPr>
        <w:t xml:space="preserve"> coverage </w:t>
      </w:r>
      <w:r w:rsidRPr="00DE264C">
        <w:rPr>
          <w:noProof/>
        </w:rPr>
        <w:t xml:space="preserve">in the EU </w:t>
      </w:r>
      <w:r w:rsidR="00E009F2" w:rsidRPr="00DE264C">
        <w:rPr>
          <w:noProof/>
        </w:rPr>
        <w:t xml:space="preserve">is expected to reach 90% in </w:t>
      </w:r>
      <w:r w:rsidR="008A1524" w:rsidRPr="00874B7D">
        <w:rPr>
          <w:noProof/>
        </w:rPr>
        <w:t>20</w:t>
      </w:r>
      <w:r w:rsidR="003C2C40" w:rsidRPr="00874B7D">
        <w:rPr>
          <w:noProof/>
        </w:rPr>
        <w:t>30</w:t>
      </w:r>
      <w:r w:rsidR="00656DC5" w:rsidRPr="00DE264C">
        <w:rPr>
          <w:rStyle w:val="FootnoteReference"/>
          <w:noProof/>
        </w:rPr>
        <w:footnoteReference w:id="140"/>
      </w:r>
      <w:r w:rsidR="00E41FF3" w:rsidRPr="00DE264C">
        <w:rPr>
          <w:noProof/>
        </w:rPr>
        <w:t>.</w:t>
      </w:r>
      <w:r w:rsidR="008618C7" w:rsidRPr="00DE264C">
        <w:rPr>
          <w:noProof/>
        </w:rPr>
        <w:t xml:space="preserve"> </w:t>
      </w:r>
      <w:r w:rsidR="00062B3C" w:rsidRPr="00DE264C">
        <w:rPr>
          <w:rFonts w:eastAsia="Times New Roman"/>
          <w:noProof/>
          <w:color w:val="000000" w:themeColor="text1"/>
          <w:lang w:val="en-IE"/>
        </w:rPr>
        <w:t>However, full FTTP coverage at EU level, according to the predictions based on ‘business as usual’ scenario, show that the 100% coverage will be only achieved by 2051 if no further action is tak</w:t>
      </w:r>
      <w:r w:rsidR="2F9CACD2" w:rsidRPr="00DE264C">
        <w:rPr>
          <w:rFonts w:eastAsia="Times New Roman"/>
          <w:noProof/>
          <w:color w:val="000000" w:themeColor="text1"/>
          <w:lang w:val="en-IE"/>
        </w:rPr>
        <w:t>en</w:t>
      </w:r>
      <w:r w:rsidR="00062B3C" w:rsidRPr="00DE264C">
        <w:rPr>
          <w:rStyle w:val="FootnoteReference"/>
          <w:rFonts w:eastAsia="Times New Roman"/>
          <w:noProof/>
          <w:color w:val="000000" w:themeColor="text1"/>
          <w:lang w:val="en-IE"/>
        </w:rPr>
        <w:footnoteReference w:id="141"/>
      </w:r>
      <w:r w:rsidR="00062B3C" w:rsidRPr="00DE264C">
        <w:rPr>
          <w:rFonts w:eastAsia="Times New Roman"/>
          <w:noProof/>
          <w:color w:val="000000" w:themeColor="text1"/>
          <w:lang w:val="en-IE"/>
        </w:rPr>
        <w:t xml:space="preserve"> </w:t>
      </w:r>
      <w:r w:rsidR="001B4725" w:rsidRPr="00DE264C">
        <w:rPr>
          <w:noProof/>
        </w:rPr>
        <w:t xml:space="preserve">while </w:t>
      </w:r>
      <w:r w:rsidR="00B62DA9" w:rsidRPr="00DE264C">
        <w:rPr>
          <w:noProof/>
        </w:rPr>
        <w:t xml:space="preserve">the </w:t>
      </w:r>
      <w:r w:rsidR="008618C7" w:rsidRPr="00DE264C">
        <w:rPr>
          <w:noProof/>
        </w:rPr>
        <w:t>Digital Decade Policy programme</w:t>
      </w:r>
      <w:r w:rsidR="00CE2661" w:rsidRPr="00DE264C">
        <w:rPr>
          <w:noProof/>
        </w:rPr>
        <w:t xml:space="preserve"> calls for</w:t>
      </w:r>
      <w:r w:rsidR="00E425A7" w:rsidRPr="00DE264C">
        <w:rPr>
          <w:noProof/>
        </w:rPr>
        <w:t xml:space="preserve"> ‘Gigabit connectivity for all by 2030</w:t>
      </w:r>
      <w:r w:rsidR="008618C7" w:rsidRPr="00DE264C">
        <w:rPr>
          <w:rStyle w:val="FootnoteReference"/>
          <w:noProof/>
        </w:rPr>
        <w:footnoteReference w:id="142"/>
      </w:r>
      <w:r w:rsidR="085D04A0" w:rsidRPr="00DE264C">
        <w:rPr>
          <w:rStyle w:val="FootnoteReference"/>
          <w:noProof/>
          <w:vertAlign w:val="baseline"/>
        </w:rPr>
        <w:t>.</w:t>
      </w:r>
      <w:r w:rsidR="00921CD1" w:rsidRPr="00DE264C">
        <w:rPr>
          <w:rFonts w:eastAsia="Times New Roman"/>
          <w:noProof/>
          <w:color w:val="000000" w:themeColor="text1"/>
        </w:rPr>
        <w:t xml:space="preserve"> </w:t>
      </w:r>
      <w:r w:rsidR="00BA6091" w:rsidRPr="00DE264C">
        <w:rPr>
          <w:noProof/>
        </w:rPr>
        <w:t>Especially Member States</w:t>
      </w:r>
      <w:r w:rsidR="000E7C9C" w:rsidRPr="00DE264C">
        <w:rPr>
          <w:noProof/>
        </w:rPr>
        <w:t xml:space="preserve"> with a high share of copper networks</w:t>
      </w:r>
      <w:r w:rsidR="00953A5D" w:rsidRPr="00DE264C">
        <w:rPr>
          <w:noProof/>
        </w:rPr>
        <w:t xml:space="preserve"> </w:t>
      </w:r>
      <w:r w:rsidR="008276BB" w:rsidRPr="00DE264C">
        <w:rPr>
          <w:noProof/>
        </w:rPr>
        <w:t>are</w:t>
      </w:r>
      <w:r w:rsidR="00953A5D" w:rsidRPr="00DE264C">
        <w:rPr>
          <w:noProof/>
        </w:rPr>
        <w:t xml:space="preserve"> </w:t>
      </w:r>
      <w:r w:rsidR="00E009F2" w:rsidRPr="00DE264C">
        <w:rPr>
          <w:noProof/>
        </w:rPr>
        <w:t xml:space="preserve">unlikely to achieve full fibre coverage by </w:t>
      </w:r>
      <w:r w:rsidR="004D45CE" w:rsidRPr="00DE264C">
        <w:rPr>
          <w:noProof/>
        </w:rPr>
        <w:t xml:space="preserve">2030 or even by </w:t>
      </w:r>
      <w:r w:rsidR="00E009F2" w:rsidRPr="00DE264C">
        <w:rPr>
          <w:noProof/>
        </w:rPr>
        <w:t>2035.</w:t>
      </w:r>
    </w:p>
    <w:p w14:paraId="6608C504" w14:textId="1C0E965A" w:rsidR="00E009F2" w:rsidRDefault="00AC2E05" w:rsidP="004B2949">
      <w:pPr>
        <w:spacing w:line="240" w:lineRule="auto"/>
        <w:rPr>
          <w:noProof/>
        </w:rPr>
      </w:pPr>
      <w:r w:rsidRPr="00DE264C">
        <w:rPr>
          <w:noProof/>
        </w:rPr>
        <w:t>I</w:t>
      </w:r>
      <w:r w:rsidR="00342A51" w:rsidRPr="00DE264C">
        <w:rPr>
          <w:noProof/>
        </w:rPr>
        <w:t xml:space="preserve">f copper </w:t>
      </w:r>
      <w:r w:rsidR="008C26C6" w:rsidRPr="00DE264C">
        <w:rPr>
          <w:noProof/>
        </w:rPr>
        <w:t>networks remain</w:t>
      </w:r>
      <w:r w:rsidR="00BB123E" w:rsidRPr="00DE264C">
        <w:rPr>
          <w:noProof/>
        </w:rPr>
        <w:t xml:space="preserve"> widespread</w:t>
      </w:r>
      <w:r w:rsidR="001F0103" w:rsidRPr="00DE264C">
        <w:rPr>
          <w:rStyle w:val="FootnoteReference"/>
          <w:noProof/>
        </w:rPr>
        <w:footnoteReference w:id="143"/>
      </w:r>
      <w:r w:rsidR="00342A51" w:rsidRPr="00DE264C">
        <w:rPr>
          <w:noProof/>
        </w:rPr>
        <w:t>, the EU risks</w:t>
      </w:r>
      <w:r w:rsidR="00BA46A3" w:rsidRPr="00DE264C">
        <w:rPr>
          <w:noProof/>
        </w:rPr>
        <w:t xml:space="preserve"> </w:t>
      </w:r>
      <w:r w:rsidR="00342A51" w:rsidRPr="00DE264C">
        <w:rPr>
          <w:noProof/>
        </w:rPr>
        <w:t>insufficient investments in fibre deployment, which will perpetuate significant differen</w:t>
      </w:r>
      <w:r w:rsidR="004F2F3D" w:rsidRPr="00DE264C">
        <w:rPr>
          <w:noProof/>
        </w:rPr>
        <w:t>ces in connectivity</w:t>
      </w:r>
      <w:r w:rsidR="00342A51" w:rsidRPr="00DE264C">
        <w:rPr>
          <w:noProof/>
        </w:rPr>
        <w:t xml:space="preserve"> </w:t>
      </w:r>
      <w:r w:rsidR="00AC33CA" w:rsidRPr="00DE264C">
        <w:rPr>
          <w:noProof/>
        </w:rPr>
        <w:t>between Member States</w:t>
      </w:r>
      <w:r w:rsidR="00342A51" w:rsidRPr="00DE264C">
        <w:rPr>
          <w:noProof/>
        </w:rPr>
        <w:t>, hindering the creation of a single market</w:t>
      </w:r>
      <w:r w:rsidR="3474F2A7" w:rsidRPr="00DE264C">
        <w:rPr>
          <w:noProof/>
        </w:rPr>
        <w:t xml:space="preserve"> and the cohesion of our society</w:t>
      </w:r>
      <w:r w:rsidR="14CC2BE4" w:rsidRPr="00DE264C">
        <w:rPr>
          <w:noProof/>
        </w:rPr>
        <w:t>.</w:t>
      </w:r>
      <w:r w:rsidR="00B4127B" w:rsidRPr="00DE264C">
        <w:rPr>
          <w:noProof/>
        </w:rPr>
        <w:t xml:space="preserve"> </w:t>
      </w:r>
      <w:r w:rsidR="003F6643" w:rsidRPr="00DE264C">
        <w:rPr>
          <w:noProof/>
        </w:rPr>
        <w:t>U</w:t>
      </w:r>
      <w:r w:rsidR="00342A51" w:rsidRPr="00DE264C">
        <w:rPr>
          <w:noProof/>
        </w:rPr>
        <w:t>ltimately, the EU</w:t>
      </w:r>
      <w:r w:rsidR="008D3D15" w:rsidRPr="00DE264C">
        <w:rPr>
          <w:noProof/>
        </w:rPr>
        <w:t>’</w:t>
      </w:r>
      <w:r w:rsidR="00342A51" w:rsidRPr="00DE264C">
        <w:rPr>
          <w:noProof/>
        </w:rPr>
        <w:t>s connectivity infrastructure will be ill-prepared to support the development of an AI-driven continent and will lack the necessary resilience to ensure reliable and secure digital services.</w:t>
      </w:r>
    </w:p>
    <w:p w14:paraId="56F03224" w14:textId="46E8E8C1" w:rsidR="00BC3691" w:rsidRPr="000939E2" w:rsidRDefault="007C3BB8" w:rsidP="009203D2">
      <w:pPr>
        <w:spacing w:line="240" w:lineRule="auto"/>
        <w:rPr>
          <w:noProof/>
          <w:lang w:val="en-IE"/>
        </w:rPr>
      </w:pPr>
      <w:r w:rsidRPr="00874B7D">
        <w:rPr>
          <w:noProof/>
        </w:rPr>
        <w:t>T</w:t>
      </w:r>
      <w:r w:rsidR="00C2738D" w:rsidRPr="00874B7D">
        <w:rPr>
          <w:noProof/>
        </w:rPr>
        <w:t xml:space="preserve">hough </w:t>
      </w:r>
      <w:r w:rsidR="005253CA" w:rsidRPr="00874B7D">
        <w:rPr>
          <w:noProof/>
        </w:rPr>
        <w:t xml:space="preserve">there is </w:t>
      </w:r>
      <w:r w:rsidR="00135412" w:rsidRPr="00874B7D">
        <w:rPr>
          <w:noProof/>
        </w:rPr>
        <w:t xml:space="preserve">no lack of </w:t>
      </w:r>
      <w:r w:rsidR="00F173BC" w:rsidRPr="00874B7D">
        <w:rPr>
          <w:noProof/>
        </w:rPr>
        <w:t xml:space="preserve">available </w:t>
      </w:r>
      <w:r w:rsidR="00135412" w:rsidRPr="00874B7D">
        <w:rPr>
          <w:noProof/>
        </w:rPr>
        <w:t xml:space="preserve">capital </w:t>
      </w:r>
      <w:r w:rsidR="009203D2" w:rsidRPr="00874B7D">
        <w:rPr>
          <w:noProof/>
        </w:rPr>
        <w:t>to deploy FTTH to reach nearly all EU households and businesses, the problem is that it is not financially viable to deploy FTTH to the last 10% unless there is only one FTTH network</w:t>
      </w:r>
      <w:r w:rsidR="00304C5E" w:rsidRPr="00874B7D">
        <w:rPr>
          <w:noProof/>
        </w:rPr>
        <w:t xml:space="preserve"> in the rural areas</w:t>
      </w:r>
      <w:r w:rsidR="009203D2" w:rsidRPr="00874B7D">
        <w:rPr>
          <w:noProof/>
        </w:rPr>
        <w:t xml:space="preserve">. The existence of copper and FTTC networks in parallel splits the userbase and thus </w:t>
      </w:r>
      <w:r w:rsidR="00FC4BAF" w:rsidRPr="00874B7D">
        <w:rPr>
          <w:noProof/>
        </w:rPr>
        <w:t xml:space="preserve">the </w:t>
      </w:r>
      <w:r w:rsidR="009203D2" w:rsidRPr="00874B7D">
        <w:rPr>
          <w:noProof/>
        </w:rPr>
        <w:t>available</w:t>
      </w:r>
      <w:r w:rsidR="00FC4BAF" w:rsidRPr="00874B7D">
        <w:rPr>
          <w:noProof/>
        </w:rPr>
        <w:t xml:space="preserve"> revenues</w:t>
      </w:r>
      <w:r w:rsidR="009203D2" w:rsidRPr="00874B7D">
        <w:rPr>
          <w:noProof/>
        </w:rPr>
        <w:t>, which makes FTTH non-viable in those areas</w:t>
      </w:r>
      <w:r w:rsidR="00053F9B" w:rsidRPr="00874B7D">
        <w:rPr>
          <w:noProof/>
        </w:rPr>
        <w:t xml:space="preserve">, </w:t>
      </w:r>
      <w:r w:rsidR="009203D2" w:rsidRPr="00874B7D">
        <w:rPr>
          <w:noProof/>
        </w:rPr>
        <w:t>when</w:t>
      </w:r>
      <w:r w:rsidR="00053F9B" w:rsidRPr="00874B7D">
        <w:rPr>
          <w:noProof/>
        </w:rPr>
        <w:t>,</w:t>
      </w:r>
      <w:r w:rsidR="009203D2" w:rsidRPr="00874B7D">
        <w:rPr>
          <w:noProof/>
        </w:rPr>
        <w:t xml:space="preserve"> otherwise</w:t>
      </w:r>
      <w:r w:rsidR="00053F9B" w:rsidRPr="00874B7D">
        <w:rPr>
          <w:noProof/>
        </w:rPr>
        <w:t>,</w:t>
      </w:r>
      <w:r w:rsidR="009203D2" w:rsidRPr="00874B7D">
        <w:rPr>
          <w:noProof/>
        </w:rPr>
        <w:t xml:space="preserve"> it would be viable</w:t>
      </w:r>
      <w:r w:rsidR="002A2BE3" w:rsidRPr="00874B7D">
        <w:rPr>
          <w:noProof/>
        </w:rPr>
        <w:t xml:space="preserve">, </w:t>
      </w:r>
      <w:r w:rsidR="009203D2" w:rsidRPr="00874B7D">
        <w:rPr>
          <w:noProof/>
        </w:rPr>
        <w:t xml:space="preserve">with </w:t>
      </w:r>
      <w:r w:rsidR="002A2BE3" w:rsidRPr="00874B7D">
        <w:rPr>
          <w:noProof/>
        </w:rPr>
        <w:t xml:space="preserve">a mixture </w:t>
      </w:r>
      <w:r w:rsidR="009203D2" w:rsidRPr="00874B7D">
        <w:rPr>
          <w:noProof/>
        </w:rPr>
        <w:t>of available state aid and private financ</w:t>
      </w:r>
      <w:r w:rsidR="002A2BE3" w:rsidRPr="00874B7D">
        <w:rPr>
          <w:noProof/>
        </w:rPr>
        <w:t>ial resources</w:t>
      </w:r>
      <w:r w:rsidR="009203D2" w:rsidRPr="00874B7D">
        <w:rPr>
          <w:noProof/>
        </w:rPr>
        <w:t xml:space="preserve">. The high profits that can be made on this largely fully depreciated legacy infrastructure also limit incentives for the owners of that infrastructure to upgrade it to FTTH themselves. </w:t>
      </w:r>
      <w:r w:rsidR="0058247A" w:rsidRPr="00874B7D">
        <w:rPr>
          <w:noProof/>
        </w:rPr>
        <w:t xml:space="preserve">Indeed, as experience shows, </w:t>
      </w:r>
      <w:r w:rsidR="009203D2" w:rsidRPr="00874B7D">
        <w:rPr>
          <w:noProof/>
        </w:rPr>
        <w:t>in countries/areas where the</w:t>
      </w:r>
      <w:r w:rsidR="00633D40" w:rsidRPr="00874B7D">
        <w:rPr>
          <w:noProof/>
        </w:rPr>
        <w:t xml:space="preserve"> incumbents do</w:t>
      </w:r>
      <w:r w:rsidR="009203D2" w:rsidRPr="00874B7D">
        <w:rPr>
          <w:noProof/>
        </w:rPr>
        <w:t xml:space="preserve"> not face competition from a rival</w:t>
      </w:r>
      <w:r w:rsidR="00633D40" w:rsidRPr="00874B7D">
        <w:rPr>
          <w:noProof/>
        </w:rPr>
        <w:t xml:space="preserve">, they are reluctant </w:t>
      </w:r>
      <w:r w:rsidR="00711FE8" w:rsidRPr="00874B7D">
        <w:rPr>
          <w:noProof/>
        </w:rPr>
        <w:t>to</w:t>
      </w:r>
      <w:r w:rsidR="00633D40" w:rsidRPr="00874B7D">
        <w:rPr>
          <w:noProof/>
        </w:rPr>
        <w:t xml:space="preserve"> upgrade </w:t>
      </w:r>
      <w:r w:rsidR="00711FE8" w:rsidRPr="00874B7D">
        <w:rPr>
          <w:noProof/>
        </w:rPr>
        <w:t>their legacy networks to FTTH</w:t>
      </w:r>
      <w:r w:rsidR="009203D2" w:rsidRPr="00874B7D">
        <w:rPr>
          <w:noProof/>
        </w:rPr>
        <w:t xml:space="preserve">. A </w:t>
      </w:r>
      <w:r w:rsidR="00392248" w:rsidRPr="00874B7D">
        <w:rPr>
          <w:noProof/>
        </w:rPr>
        <w:t xml:space="preserve">definite </w:t>
      </w:r>
      <w:r w:rsidR="00304C5E" w:rsidRPr="00874B7D">
        <w:rPr>
          <w:noProof/>
        </w:rPr>
        <w:t xml:space="preserve">plan for </w:t>
      </w:r>
      <w:r w:rsidR="009203D2" w:rsidRPr="00874B7D">
        <w:rPr>
          <w:noProof/>
        </w:rPr>
        <w:t>copper switch-off when there is a given coverage of FTTH in a certain area would make it viable for an alternative fibre investor to deploy FTTH and</w:t>
      </w:r>
      <w:r w:rsidR="002523CC" w:rsidRPr="00874B7D">
        <w:rPr>
          <w:noProof/>
        </w:rPr>
        <w:t xml:space="preserve"> </w:t>
      </w:r>
      <w:r w:rsidR="009203D2" w:rsidRPr="00874B7D">
        <w:rPr>
          <w:noProof/>
        </w:rPr>
        <w:t xml:space="preserve">would in consequence also create incentives for the copper owner to upgrade </w:t>
      </w:r>
      <w:r w:rsidR="00BC3691" w:rsidRPr="00874B7D">
        <w:rPr>
          <w:noProof/>
        </w:rPr>
        <w:t xml:space="preserve">its </w:t>
      </w:r>
      <w:r w:rsidR="009203D2" w:rsidRPr="00874B7D">
        <w:rPr>
          <w:noProof/>
        </w:rPr>
        <w:t xml:space="preserve">infrastructure </w:t>
      </w:r>
      <w:r w:rsidR="00BC3691" w:rsidRPr="00874B7D">
        <w:rPr>
          <w:noProof/>
        </w:rPr>
        <w:t>to FTTH</w:t>
      </w:r>
      <w:r w:rsidR="009203D2" w:rsidRPr="00874B7D">
        <w:rPr>
          <w:noProof/>
        </w:rPr>
        <w:t xml:space="preserve">. </w:t>
      </w:r>
      <w:r w:rsidR="00A8789D">
        <w:rPr>
          <w:noProof/>
        </w:rPr>
        <w:t xml:space="preserve">Thus, </w:t>
      </w:r>
      <w:r w:rsidR="009A572E">
        <w:rPr>
          <w:noProof/>
        </w:rPr>
        <w:t xml:space="preserve">the </w:t>
      </w:r>
      <w:r w:rsidR="00FC3C3B">
        <w:rPr>
          <w:noProof/>
        </w:rPr>
        <w:t xml:space="preserve">transition to fibre is </w:t>
      </w:r>
      <w:r w:rsidR="00CC10EB" w:rsidRPr="00CC10EB">
        <w:rPr>
          <w:noProof/>
        </w:rPr>
        <w:t>inextricably linked</w:t>
      </w:r>
      <w:r w:rsidR="00CC10EB" w:rsidRPr="000939E2">
        <w:rPr>
          <w:noProof/>
          <w:lang w:val="en-IE"/>
        </w:rPr>
        <w:t xml:space="preserve"> </w:t>
      </w:r>
      <w:r w:rsidR="00CC10EB">
        <w:rPr>
          <w:noProof/>
          <w:lang w:val="en-IE"/>
        </w:rPr>
        <w:t xml:space="preserve">with copper switch-off, the </w:t>
      </w:r>
      <w:r w:rsidR="00661D25">
        <w:rPr>
          <w:noProof/>
          <w:lang w:val="en-IE"/>
        </w:rPr>
        <w:t xml:space="preserve">selected policy of which </w:t>
      </w:r>
      <w:r w:rsidR="009350C7">
        <w:rPr>
          <w:noProof/>
          <w:lang w:val="en-IE"/>
        </w:rPr>
        <w:t>would lead to</w:t>
      </w:r>
      <w:r w:rsidR="00EA18E4">
        <w:rPr>
          <w:noProof/>
          <w:lang w:val="en-IE"/>
        </w:rPr>
        <w:t xml:space="preserve"> an increased FTTH coverage</w:t>
      </w:r>
      <w:r w:rsidR="006F59AA">
        <w:rPr>
          <w:noProof/>
          <w:lang w:val="en-IE"/>
        </w:rPr>
        <w:t xml:space="preserve"> FTTH take-up. By this, it would be aligned with the </w:t>
      </w:r>
      <w:r w:rsidR="00702EAC">
        <w:rPr>
          <w:noProof/>
          <w:lang w:val="en-IE"/>
        </w:rPr>
        <w:t xml:space="preserve">digital decade target of gigabit connectivity for all citizens.  </w:t>
      </w:r>
    </w:p>
    <w:p w14:paraId="34BB6CE2" w14:textId="455D4B36" w:rsidR="008076A7" w:rsidRPr="00DE264C" w:rsidRDefault="00CC18C6" w:rsidP="004B2949">
      <w:pPr>
        <w:spacing w:line="240" w:lineRule="auto"/>
        <w:rPr>
          <w:noProof/>
        </w:rPr>
      </w:pPr>
      <w:r w:rsidRPr="00874B7D">
        <w:rPr>
          <w:noProof/>
        </w:rPr>
        <w:t xml:space="preserve">As has been </w:t>
      </w:r>
      <w:r w:rsidR="00D60B4B" w:rsidRPr="00874B7D">
        <w:rPr>
          <w:noProof/>
        </w:rPr>
        <w:t>shown in literature</w:t>
      </w:r>
      <w:r w:rsidR="00D60B4B" w:rsidRPr="00874B7D">
        <w:rPr>
          <w:rStyle w:val="FootnoteReference"/>
          <w:noProof/>
        </w:rPr>
        <w:footnoteReference w:id="144"/>
      </w:r>
      <w:r w:rsidR="00D60B4B" w:rsidRPr="00874B7D">
        <w:rPr>
          <w:noProof/>
        </w:rPr>
        <w:t xml:space="preserve">, </w:t>
      </w:r>
      <w:r w:rsidR="009203D2" w:rsidRPr="00874B7D">
        <w:rPr>
          <w:noProof/>
        </w:rPr>
        <w:t xml:space="preserve">full coverage of FTTH would </w:t>
      </w:r>
      <w:r w:rsidR="00B74BF7" w:rsidRPr="00874B7D">
        <w:rPr>
          <w:noProof/>
        </w:rPr>
        <w:t xml:space="preserve">require </w:t>
      </w:r>
      <w:r w:rsidR="00DF13F3" w:rsidRPr="00874B7D">
        <w:rPr>
          <w:noProof/>
        </w:rPr>
        <w:t>EUR </w:t>
      </w:r>
      <w:r w:rsidR="009203D2" w:rsidRPr="00874B7D">
        <w:rPr>
          <w:noProof/>
        </w:rPr>
        <w:t>40</w:t>
      </w:r>
      <w:r w:rsidR="00B74BF7" w:rsidRPr="00874B7D">
        <w:rPr>
          <w:noProof/>
        </w:rPr>
        <w:t xml:space="preserve"> </w:t>
      </w:r>
      <w:r w:rsidR="00DF13F3" w:rsidRPr="00874B7D">
        <w:rPr>
          <w:noProof/>
        </w:rPr>
        <w:t>billion</w:t>
      </w:r>
      <w:r w:rsidR="009203D2" w:rsidRPr="00874B7D">
        <w:rPr>
          <w:noProof/>
        </w:rPr>
        <w:t xml:space="preserve"> of subsidy and </w:t>
      </w:r>
      <w:r w:rsidR="00DF13F3" w:rsidRPr="00874B7D">
        <w:rPr>
          <w:noProof/>
        </w:rPr>
        <w:t>EUR </w:t>
      </w:r>
      <w:r w:rsidR="009203D2" w:rsidRPr="00874B7D">
        <w:rPr>
          <w:noProof/>
        </w:rPr>
        <w:t>29</w:t>
      </w:r>
      <w:r w:rsidR="00DF13F3" w:rsidRPr="00874B7D">
        <w:rPr>
          <w:noProof/>
        </w:rPr>
        <w:t xml:space="preserve"> billion</w:t>
      </w:r>
      <w:r w:rsidR="009203D2" w:rsidRPr="00874B7D">
        <w:rPr>
          <w:noProof/>
        </w:rPr>
        <w:t xml:space="preserve"> in the case where 5G FWA is also used</w:t>
      </w:r>
      <w:r w:rsidR="00790BC4" w:rsidRPr="00874B7D">
        <w:rPr>
          <w:noProof/>
        </w:rPr>
        <w:t xml:space="preserve">, while </w:t>
      </w:r>
      <w:r w:rsidR="00DF13F3" w:rsidRPr="00874B7D">
        <w:rPr>
          <w:noProof/>
        </w:rPr>
        <w:t>EUR </w:t>
      </w:r>
      <w:r w:rsidR="009203D2" w:rsidRPr="00874B7D">
        <w:rPr>
          <w:noProof/>
        </w:rPr>
        <w:t>19</w:t>
      </w:r>
      <w:r w:rsidR="00263D6B" w:rsidRPr="00874B7D">
        <w:rPr>
          <w:noProof/>
        </w:rPr>
        <w:t xml:space="preserve"> </w:t>
      </w:r>
      <w:r w:rsidR="00DF13F3" w:rsidRPr="00874B7D">
        <w:rPr>
          <w:noProof/>
        </w:rPr>
        <w:t>billion</w:t>
      </w:r>
      <w:r w:rsidR="009203D2" w:rsidRPr="00874B7D">
        <w:rPr>
          <w:noProof/>
        </w:rPr>
        <w:t xml:space="preserve"> had already been allocated to broadband deployment via EU funding alone. </w:t>
      </w:r>
      <w:r w:rsidR="00E46A77" w:rsidRPr="00874B7D">
        <w:rPr>
          <w:noProof/>
        </w:rPr>
        <w:t xml:space="preserve">It is </w:t>
      </w:r>
      <w:r w:rsidR="00AD218C" w:rsidRPr="00874B7D">
        <w:rPr>
          <w:noProof/>
        </w:rPr>
        <w:t>obvious that w</w:t>
      </w:r>
      <w:r w:rsidR="009203D2" w:rsidRPr="00874B7D">
        <w:rPr>
          <w:noProof/>
        </w:rPr>
        <w:t xml:space="preserve">hen the significant additional EU funds allocated after that date are taken into account, </w:t>
      </w:r>
      <w:r w:rsidR="00AD218C" w:rsidRPr="00874B7D">
        <w:rPr>
          <w:noProof/>
        </w:rPr>
        <w:t xml:space="preserve">along with </w:t>
      </w:r>
      <w:r w:rsidR="001A3FA4" w:rsidRPr="00874B7D">
        <w:rPr>
          <w:noProof/>
        </w:rPr>
        <w:t xml:space="preserve">the </w:t>
      </w:r>
      <w:r w:rsidR="009203D2" w:rsidRPr="00874B7D">
        <w:rPr>
          <w:noProof/>
        </w:rPr>
        <w:t xml:space="preserve">national State Aid funding (which is substantial in countries such as Italy and Germany) – the funding gap </w:t>
      </w:r>
      <w:r w:rsidR="00925DC4" w:rsidRPr="00874B7D">
        <w:rPr>
          <w:noProof/>
        </w:rPr>
        <w:t xml:space="preserve">seems </w:t>
      </w:r>
      <w:r w:rsidR="009203D2" w:rsidRPr="00874B7D">
        <w:rPr>
          <w:noProof/>
        </w:rPr>
        <w:t>to be minimal</w:t>
      </w:r>
      <w:r w:rsidR="00925DC4" w:rsidRPr="00874B7D">
        <w:rPr>
          <w:noProof/>
        </w:rPr>
        <w:t xml:space="preserve">. </w:t>
      </w:r>
      <w:r w:rsidR="0005011A" w:rsidRPr="00874B7D">
        <w:rPr>
          <w:noProof/>
        </w:rPr>
        <w:t>Therefore, t</w:t>
      </w:r>
      <w:r w:rsidR="009203D2" w:rsidRPr="00874B7D">
        <w:rPr>
          <w:noProof/>
        </w:rPr>
        <w:t>he size of the problem (</w:t>
      </w:r>
      <w:r w:rsidR="00281AD0" w:rsidRPr="00874B7D">
        <w:rPr>
          <w:noProof/>
        </w:rPr>
        <w:t>i.e. the</w:t>
      </w:r>
      <w:r w:rsidR="001D1E3E" w:rsidRPr="00874B7D">
        <w:rPr>
          <w:noProof/>
        </w:rPr>
        <w:t xml:space="preserve"> </w:t>
      </w:r>
      <w:r w:rsidR="009203D2" w:rsidRPr="00874B7D">
        <w:rPr>
          <w:noProof/>
        </w:rPr>
        <w:t>remaining gap) is not related to investment / availability of capital, but rather to the near universal persistence of parallel legacy infrastructure in rural areas.</w:t>
      </w:r>
      <w:r w:rsidR="009203D2" w:rsidRPr="009203D2">
        <w:rPr>
          <w:noProof/>
        </w:rPr>
        <w:t xml:space="preserve"> </w:t>
      </w:r>
    </w:p>
    <w:p w14:paraId="64551849" w14:textId="557D033F" w:rsidR="0020761C" w:rsidRPr="00DE264C" w:rsidRDefault="000A5D58" w:rsidP="004B2949">
      <w:pPr>
        <w:spacing w:line="240" w:lineRule="auto"/>
        <w:rPr>
          <w:rFonts w:eastAsia="Times New Roman"/>
          <w:noProof/>
          <w:lang w:eastAsia="en-IE"/>
        </w:rPr>
      </w:pPr>
      <w:r w:rsidRPr="00DE264C">
        <w:rPr>
          <w:rFonts w:eastAsia="Times New Roman"/>
          <w:noProof/>
          <w:lang w:eastAsia="en-IE"/>
        </w:rPr>
        <w:t>According</w:t>
      </w:r>
      <w:r w:rsidR="00645C42" w:rsidRPr="00DE264C">
        <w:rPr>
          <w:rFonts w:eastAsia="Times New Roman"/>
          <w:noProof/>
          <w:lang w:eastAsia="en-IE"/>
        </w:rPr>
        <w:t xml:space="preserve"> to</w:t>
      </w:r>
      <w:r w:rsidR="00E009F2" w:rsidRPr="00DE264C">
        <w:rPr>
          <w:rFonts w:eastAsia="Times New Roman"/>
          <w:noProof/>
          <w:lang w:eastAsia="en-IE"/>
        </w:rPr>
        <w:t xml:space="preserve"> </w:t>
      </w:r>
      <w:r w:rsidR="008D5632" w:rsidRPr="00DE264C">
        <w:rPr>
          <w:rFonts w:eastAsia="Times New Roman"/>
          <w:noProof/>
          <w:lang w:eastAsia="en-IE"/>
        </w:rPr>
        <w:t>WIK’s</w:t>
      </w:r>
      <w:r w:rsidR="00E009F2" w:rsidRPr="00DE264C">
        <w:rPr>
          <w:rFonts w:eastAsia="Times New Roman"/>
          <w:noProof/>
          <w:lang w:eastAsia="en-IE"/>
        </w:rPr>
        <w:t xml:space="preserve"> forecast</w:t>
      </w:r>
      <w:r w:rsidR="00DA34B7" w:rsidRPr="00DE264C">
        <w:rPr>
          <w:rFonts w:eastAsia="Times New Roman"/>
          <w:noProof/>
          <w:lang w:eastAsia="en-IE"/>
        </w:rPr>
        <w:t>,</w:t>
      </w:r>
      <w:r w:rsidR="00E009F2" w:rsidRPr="00DE264C">
        <w:rPr>
          <w:rFonts w:eastAsia="Times New Roman"/>
          <w:noProof/>
          <w:lang w:eastAsia="en-IE"/>
        </w:rPr>
        <w:t xml:space="preserve"> </w:t>
      </w:r>
      <w:r w:rsidRPr="00DE264C">
        <w:rPr>
          <w:rFonts w:eastAsia="Times New Roman"/>
          <w:noProof/>
          <w:lang w:eastAsia="en-IE"/>
        </w:rPr>
        <w:t>u</w:t>
      </w:r>
      <w:r w:rsidR="00E009F2" w:rsidRPr="00DE264C">
        <w:rPr>
          <w:rFonts w:eastAsia="Times New Roman"/>
          <w:noProof/>
          <w:lang w:eastAsia="en-IE"/>
        </w:rPr>
        <w:t xml:space="preserve">nder current conditions only 60% of households </w:t>
      </w:r>
      <w:r w:rsidR="00EC26C3" w:rsidRPr="00DE264C">
        <w:rPr>
          <w:rFonts w:eastAsia="Times New Roman"/>
          <w:noProof/>
          <w:lang w:eastAsia="en-IE"/>
        </w:rPr>
        <w:t>with</w:t>
      </w:r>
      <w:r w:rsidR="00E009F2" w:rsidRPr="00DE264C">
        <w:rPr>
          <w:rFonts w:eastAsia="Times New Roman"/>
          <w:noProof/>
          <w:lang w:eastAsia="en-IE"/>
        </w:rPr>
        <w:t xml:space="preserve"> access to fibre</w:t>
      </w:r>
      <w:r w:rsidR="00EC26C3" w:rsidRPr="00DE264C">
        <w:rPr>
          <w:rFonts w:eastAsia="Times New Roman"/>
          <w:noProof/>
          <w:lang w:eastAsia="en-IE"/>
        </w:rPr>
        <w:t xml:space="preserve"> </w:t>
      </w:r>
      <w:r w:rsidR="00E009F2" w:rsidRPr="00DE264C">
        <w:rPr>
          <w:rFonts w:eastAsia="Times New Roman"/>
          <w:noProof/>
          <w:lang w:eastAsia="en-IE"/>
        </w:rPr>
        <w:t>(FTTH) will subscribe to a fibre</w:t>
      </w:r>
      <w:r w:rsidR="00292104" w:rsidRPr="00DE264C">
        <w:rPr>
          <w:rFonts w:eastAsia="Times New Roman"/>
          <w:noProof/>
          <w:lang w:eastAsia="en-IE"/>
        </w:rPr>
        <w:t>-based</w:t>
      </w:r>
      <w:r w:rsidR="00E009F2" w:rsidRPr="00DE264C">
        <w:rPr>
          <w:rFonts w:eastAsia="Times New Roman"/>
          <w:noProof/>
          <w:lang w:eastAsia="en-IE"/>
        </w:rPr>
        <w:t xml:space="preserve"> </w:t>
      </w:r>
      <w:r w:rsidR="005F7CC0" w:rsidRPr="00DE264C">
        <w:rPr>
          <w:rFonts w:eastAsia="Times New Roman"/>
          <w:noProof/>
          <w:lang w:eastAsia="en-IE"/>
        </w:rPr>
        <w:t>service</w:t>
      </w:r>
      <w:r w:rsidR="00E009F2" w:rsidRPr="00DE264C">
        <w:rPr>
          <w:rFonts w:eastAsia="Times New Roman"/>
          <w:noProof/>
          <w:lang w:eastAsia="en-IE"/>
        </w:rPr>
        <w:t xml:space="preserve"> by 2030 (FTTH take-up)</w:t>
      </w:r>
      <w:r w:rsidR="00331D3A" w:rsidRPr="00DE264C">
        <w:rPr>
          <w:rStyle w:val="FootnoteReference"/>
          <w:rFonts w:eastAsia="Times New Roman"/>
          <w:noProof/>
          <w:lang w:eastAsia="en-IE"/>
        </w:rPr>
        <w:footnoteReference w:id="145"/>
      </w:r>
      <w:r w:rsidR="00158262" w:rsidRPr="00DE264C">
        <w:rPr>
          <w:rStyle w:val="FootnoteReference"/>
          <w:rFonts w:eastAsia="Times New Roman"/>
          <w:noProof/>
          <w:vertAlign w:val="baseline"/>
          <w:lang w:eastAsia="en-IE"/>
        </w:rPr>
        <w:t>.</w:t>
      </w:r>
      <w:r w:rsidR="00E009F2" w:rsidRPr="00DE264C">
        <w:rPr>
          <w:rFonts w:eastAsia="Times New Roman"/>
          <w:noProof/>
          <w:lang w:eastAsia="en-IE"/>
        </w:rPr>
        <w:t xml:space="preserve"> </w:t>
      </w:r>
      <w:r w:rsidR="00C7236F" w:rsidRPr="00DE264C">
        <w:rPr>
          <w:rFonts w:eastAsia="Times New Roman"/>
          <w:noProof/>
          <w:lang w:eastAsia="en-IE"/>
        </w:rPr>
        <w:t>This means that</w:t>
      </w:r>
      <w:r w:rsidR="00E009F2" w:rsidRPr="00DE264C">
        <w:rPr>
          <w:rFonts w:eastAsia="Times New Roman"/>
          <w:noProof/>
          <w:lang w:eastAsia="en-IE"/>
        </w:rPr>
        <w:t xml:space="preserve"> even </w:t>
      </w:r>
      <w:r w:rsidR="00CD7115" w:rsidRPr="00DE264C">
        <w:rPr>
          <w:rFonts w:eastAsia="Times New Roman"/>
          <w:noProof/>
          <w:lang w:eastAsia="en-IE"/>
        </w:rPr>
        <w:t xml:space="preserve">if </w:t>
      </w:r>
      <w:r w:rsidR="0051258A" w:rsidRPr="00DE264C">
        <w:rPr>
          <w:rFonts w:eastAsia="Times New Roman"/>
          <w:noProof/>
          <w:lang w:eastAsia="en-IE"/>
        </w:rPr>
        <w:t>an</w:t>
      </w:r>
      <w:r w:rsidR="00E009F2" w:rsidRPr="00DE264C">
        <w:rPr>
          <w:rFonts w:eastAsia="Times New Roman"/>
          <w:noProof/>
          <w:lang w:eastAsia="en-IE"/>
        </w:rPr>
        <w:t xml:space="preserve"> FTTH network is available, 40% of households will </w:t>
      </w:r>
      <w:r w:rsidR="006B0035" w:rsidRPr="00DE264C">
        <w:rPr>
          <w:rFonts w:eastAsia="Times New Roman"/>
          <w:noProof/>
          <w:lang w:eastAsia="en-IE"/>
        </w:rPr>
        <w:t xml:space="preserve">continue to </w:t>
      </w:r>
      <w:r w:rsidR="41E78DB0" w:rsidRPr="00DE264C">
        <w:rPr>
          <w:rFonts w:eastAsia="Times New Roman"/>
          <w:noProof/>
          <w:lang w:eastAsia="en-IE"/>
        </w:rPr>
        <w:t>use copper networks or</w:t>
      </w:r>
      <w:r w:rsidR="00E009F2" w:rsidRPr="00DE264C">
        <w:rPr>
          <w:rFonts w:eastAsia="Times New Roman"/>
          <w:noProof/>
          <w:lang w:eastAsia="en-IE"/>
        </w:rPr>
        <w:t xml:space="preserve"> </w:t>
      </w:r>
      <w:r w:rsidR="00426B3B" w:rsidRPr="00DE264C">
        <w:rPr>
          <w:rFonts w:eastAsia="Times New Roman"/>
          <w:noProof/>
          <w:lang w:eastAsia="en-IE"/>
        </w:rPr>
        <w:t>les</w:t>
      </w:r>
      <w:r w:rsidR="004E1C40" w:rsidRPr="00DE264C">
        <w:rPr>
          <w:rFonts w:eastAsia="Times New Roman"/>
          <w:noProof/>
          <w:lang w:eastAsia="en-IE"/>
        </w:rPr>
        <w:t>s</w:t>
      </w:r>
      <w:r w:rsidR="00932E92" w:rsidRPr="00DE264C">
        <w:rPr>
          <w:rFonts w:eastAsia="Times New Roman"/>
          <w:noProof/>
          <w:lang w:eastAsia="en-IE"/>
        </w:rPr>
        <w:t xml:space="preserve"> </w:t>
      </w:r>
      <w:r w:rsidR="00687E71" w:rsidRPr="00DE264C">
        <w:rPr>
          <w:rFonts w:eastAsia="Times New Roman"/>
          <w:noProof/>
          <w:lang w:eastAsia="en-IE"/>
        </w:rPr>
        <w:t>future-proof</w:t>
      </w:r>
      <w:r w:rsidR="00E009F2" w:rsidRPr="00DE264C">
        <w:rPr>
          <w:rFonts w:eastAsia="Times New Roman"/>
          <w:noProof/>
          <w:lang w:eastAsia="en-IE"/>
        </w:rPr>
        <w:t xml:space="preserve"> technologies</w:t>
      </w:r>
      <w:r w:rsidR="5D8551CD" w:rsidRPr="00DE264C">
        <w:rPr>
          <w:rFonts w:eastAsia="Times New Roman"/>
          <w:noProof/>
          <w:lang w:eastAsia="en-IE"/>
        </w:rPr>
        <w:t xml:space="preserve"> for </w:t>
      </w:r>
      <w:r w:rsidR="00950D62" w:rsidRPr="00DE264C">
        <w:rPr>
          <w:rFonts w:eastAsia="Times New Roman"/>
          <w:noProof/>
          <w:lang w:eastAsia="en-IE"/>
        </w:rPr>
        <w:t xml:space="preserve">different </w:t>
      </w:r>
      <w:r w:rsidR="5D8551CD" w:rsidRPr="00DE264C">
        <w:rPr>
          <w:rFonts w:eastAsia="Times New Roman"/>
          <w:noProof/>
          <w:lang w:eastAsia="en-IE"/>
        </w:rPr>
        <w:t>reasons mentioned a</w:t>
      </w:r>
      <w:r w:rsidR="03D41629" w:rsidRPr="00DE264C">
        <w:rPr>
          <w:rFonts w:eastAsia="Times New Roman"/>
          <w:noProof/>
          <w:lang w:eastAsia="en-IE"/>
        </w:rPr>
        <w:t>bove (high prices, inertia etc)</w:t>
      </w:r>
      <w:r w:rsidR="02DB3928" w:rsidRPr="00DE264C">
        <w:rPr>
          <w:rFonts w:eastAsia="Times New Roman"/>
          <w:noProof/>
          <w:lang w:eastAsia="en-IE"/>
        </w:rPr>
        <w:t>.</w:t>
      </w:r>
      <w:r w:rsidR="00E009F2" w:rsidRPr="00DE264C">
        <w:rPr>
          <w:rFonts w:eastAsia="Times New Roman"/>
          <w:noProof/>
          <w:lang w:eastAsia="en-IE"/>
        </w:rPr>
        <w:t xml:space="preserve"> </w:t>
      </w:r>
      <w:r w:rsidR="00F62268" w:rsidRPr="00DE264C">
        <w:rPr>
          <w:rFonts w:eastAsia="Times New Roman"/>
          <w:noProof/>
          <w:lang w:eastAsia="en-IE"/>
        </w:rPr>
        <w:t xml:space="preserve">Further, </w:t>
      </w:r>
      <w:r w:rsidR="00E009F2" w:rsidRPr="00DE264C">
        <w:rPr>
          <w:rFonts w:eastAsia="Times New Roman"/>
          <w:noProof/>
          <w:lang w:eastAsia="en-IE"/>
        </w:rPr>
        <w:t xml:space="preserve">the share of </w:t>
      </w:r>
      <w:r w:rsidR="005C5394" w:rsidRPr="00DE264C">
        <w:rPr>
          <w:rFonts w:eastAsia="Times New Roman"/>
          <w:noProof/>
          <w:lang w:eastAsia="en-IE"/>
        </w:rPr>
        <w:t xml:space="preserve">households with </w:t>
      </w:r>
      <w:r w:rsidR="00C63A5D" w:rsidRPr="00DE264C">
        <w:rPr>
          <w:rFonts w:eastAsia="Times New Roman"/>
          <w:noProof/>
          <w:lang w:eastAsia="en-IE"/>
        </w:rPr>
        <w:t xml:space="preserve">fibre </w:t>
      </w:r>
      <w:r w:rsidR="0078304C" w:rsidRPr="00DE264C">
        <w:rPr>
          <w:rFonts w:eastAsia="Times New Roman"/>
          <w:noProof/>
          <w:lang w:eastAsia="en-IE"/>
        </w:rPr>
        <w:t>subscription</w:t>
      </w:r>
      <w:r w:rsidR="00C63A5D" w:rsidRPr="00DE264C">
        <w:rPr>
          <w:rFonts w:eastAsia="Times New Roman"/>
          <w:noProof/>
          <w:lang w:eastAsia="en-IE"/>
        </w:rPr>
        <w:t xml:space="preserve"> among</w:t>
      </w:r>
      <w:r w:rsidR="00147FE4" w:rsidRPr="00DE264C">
        <w:rPr>
          <w:rFonts w:eastAsia="Times New Roman"/>
          <w:noProof/>
          <w:lang w:eastAsia="en-IE"/>
        </w:rPr>
        <w:t xml:space="preserve"> </w:t>
      </w:r>
      <w:r w:rsidR="004B1641" w:rsidRPr="00DE264C">
        <w:rPr>
          <w:rFonts w:eastAsia="Times New Roman"/>
          <w:noProof/>
          <w:lang w:eastAsia="en-IE"/>
        </w:rPr>
        <w:t xml:space="preserve">those with </w:t>
      </w:r>
      <w:r w:rsidR="00E009F2" w:rsidRPr="00DE264C">
        <w:rPr>
          <w:rFonts w:eastAsia="Times New Roman"/>
          <w:noProof/>
          <w:lang w:eastAsia="en-IE"/>
        </w:rPr>
        <w:t>broadband connect</w:t>
      </w:r>
      <w:r w:rsidR="000845B6" w:rsidRPr="00DE264C">
        <w:rPr>
          <w:rFonts w:eastAsia="Times New Roman"/>
          <w:noProof/>
          <w:lang w:eastAsia="en-IE"/>
        </w:rPr>
        <w:t>ion</w:t>
      </w:r>
      <w:r w:rsidR="00E92A62" w:rsidRPr="00DE264C">
        <w:rPr>
          <w:rFonts w:eastAsia="Times New Roman"/>
          <w:noProof/>
          <w:lang w:eastAsia="en-IE"/>
        </w:rPr>
        <w:t xml:space="preserve"> (FTTH penetration)</w:t>
      </w:r>
      <w:r w:rsidR="00A07F30" w:rsidRPr="00DE264C">
        <w:rPr>
          <w:rFonts w:eastAsia="Times New Roman"/>
          <w:noProof/>
          <w:lang w:eastAsia="en-IE"/>
        </w:rPr>
        <w:t xml:space="preserve"> </w:t>
      </w:r>
      <w:r w:rsidR="00E009F2" w:rsidRPr="00DE264C">
        <w:rPr>
          <w:rFonts w:eastAsia="Times New Roman"/>
          <w:noProof/>
          <w:lang w:eastAsia="en-IE"/>
        </w:rPr>
        <w:t xml:space="preserve">is expected to reach </w:t>
      </w:r>
      <w:r w:rsidR="005155AC" w:rsidRPr="00DE264C">
        <w:rPr>
          <w:rFonts w:eastAsia="Times New Roman"/>
          <w:noProof/>
          <w:lang w:eastAsia="en-IE"/>
        </w:rPr>
        <w:t xml:space="preserve">only </w:t>
      </w:r>
      <w:r w:rsidR="00E009F2" w:rsidRPr="00DE264C">
        <w:rPr>
          <w:rFonts w:eastAsia="Times New Roman"/>
          <w:noProof/>
          <w:lang w:eastAsia="en-IE"/>
        </w:rPr>
        <w:t>48% in 2030 and 59% in 2035.</w:t>
      </w:r>
      <w:r w:rsidR="006526AA" w:rsidRPr="00DE264C">
        <w:rPr>
          <w:rFonts w:eastAsia="Times New Roman"/>
          <w:noProof/>
          <w:lang w:eastAsia="en-IE"/>
        </w:rPr>
        <w:t xml:space="preserve"> </w:t>
      </w:r>
      <w:r w:rsidR="003E1D7B" w:rsidRPr="00DE264C">
        <w:rPr>
          <w:rFonts w:eastAsia="Times New Roman"/>
          <w:noProof/>
          <w:lang w:eastAsia="en-IE"/>
        </w:rPr>
        <w:t xml:space="preserve">In </w:t>
      </w:r>
      <w:r w:rsidR="006526AA" w:rsidRPr="00DE264C">
        <w:rPr>
          <w:rFonts w:eastAsia="Times New Roman"/>
          <w:noProof/>
          <w:lang w:eastAsia="en-IE"/>
        </w:rPr>
        <w:t>countries where copper network is still widely used today</w:t>
      </w:r>
      <w:r w:rsidR="003651A0" w:rsidRPr="00DE264C">
        <w:rPr>
          <w:rFonts w:eastAsia="Times New Roman"/>
          <w:noProof/>
          <w:lang w:eastAsia="en-IE"/>
        </w:rPr>
        <w:t>,</w:t>
      </w:r>
      <w:r w:rsidR="006526AA" w:rsidRPr="00DE264C">
        <w:rPr>
          <w:rFonts w:eastAsia="Times New Roman"/>
          <w:noProof/>
          <w:lang w:eastAsia="en-IE"/>
        </w:rPr>
        <w:t xml:space="preserve"> the take-up of Gigabit speeds will be below 20% in 2035</w:t>
      </w:r>
      <w:r w:rsidR="00331D3A" w:rsidRPr="00DE264C">
        <w:rPr>
          <w:rStyle w:val="FootnoteReference"/>
          <w:rFonts w:eastAsia="Times New Roman"/>
          <w:noProof/>
          <w:lang w:eastAsia="en-IE"/>
        </w:rPr>
        <w:footnoteReference w:id="146"/>
      </w:r>
      <w:r w:rsidR="0B6C12E9" w:rsidRPr="00DE264C">
        <w:rPr>
          <w:rStyle w:val="FootnoteReference"/>
          <w:rFonts w:eastAsia="Times New Roman"/>
          <w:noProof/>
          <w:vertAlign w:val="baseline"/>
          <w:lang w:eastAsia="en-IE"/>
        </w:rPr>
        <w:t>.</w:t>
      </w:r>
      <w:r w:rsidR="00374E7A" w:rsidRPr="00DE264C">
        <w:rPr>
          <w:rFonts w:eastAsia="Times New Roman"/>
          <w:noProof/>
          <w:color w:val="000000" w:themeColor="text1"/>
        </w:rPr>
        <w:t xml:space="preserve"> </w:t>
      </w:r>
      <w:r w:rsidR="007E2C61" w:rsidRPr="00DE264C">
        <w:rPr>
          <w:rFonts w:eastAsia="Times New Roman"/>
          <w:noProof/>
          <w:lang w:eastAsia="en-IE"/>
        </w:rPr>
        <w:t xml:space="preserve">By 2035, under the status quo, around </w:t>
      </w:r>
      <w:r w:rsidR="008E6735" w:rsidRPr="00DE264C">
        <w:rPr>
          <w:rFonts w:eastAsia="Times New Roman"/>
          <w:noProof/>
          <w:lang w:eastAsia="en-IE"/>
        </w:rPr>
        <w:t>11</w:t>
      </w:r>
      <w:r w:rsidR="007E2C61" w:rsidRPr="00DE264C">
        <w:rPr>
          <w:rFonts w:eastAsia="Times New Roman"/>
          <w:noProof/>
          <w:lang w:eastAsia="en-IE"/>
        </w:rPr>
        <w:t xml:space="preserve">% of broadband subscribers </w:t>
      </w:r>
      <w:r w:rsidR="00EA12B9" w:rsidRPr="00DE264C">
        <w:rPr>
          <w:rFonts w:eastAsia="Times New Roman"/>
          <w:noProof/>
          <w:lang w:eastAsia="en-IE"/>
        </w:rPr>
        <w:t xml:space="preserve">(roughly </w:t>
      </w:r>
      <w:r w:rsidR="00C3616E" w:rsidRPr="00DE264C">
        <w:rPr>
          <w:rFonts w:eastAsia="Times New Roman"/>
          <w:noProof/>
          <w:lang w:eastAsia="en-IE"/>
        </w:rPr>
        <w:t>50</w:t>
      </w:r>
      <w:r w:rsidR="00D8748B" w:rsidRPr="00DE264C">
        <w:rPr>
          <w:rFonts w:eastAsia="Times New Roman"/>
          <w:noProof/>
          <w:lang w:eastAsia="en-IE"/>
        </w:rPr>
        <w:t> </w:t>
      </w:r>
      <w:r w:rsidR="00C3616E" w:rsidRPr="00DE264C">
        <w:rPr>
          <w:rFonts w:eastAsia="Times New Roman"/>
          <w:noProof/>
          <w:lang w:eastAsia="en-IE"/>
        </w:rPr>
        <w:t xml:space="preserve">million </w:t>
      </w:r>
      <w:r w:rsidR="00D8748B" w:rsidRPr="00DE264C">
        <w:rPr>
          <w:rFonts w:eastAsia="Times New Roman"/>
          <w:noProof/>
          <w:lang w:eastAsia="en-IE"/>
        </w:rPr>
        <w:t xml:space="preserve">people) </w:t>
      </w:r>
      <w:r w:rsidR="007E2C61" w:rsidRPr="00DE264C">
        <w:rPr>
          <w:rFonts w:eastAsia="Times New Roman"/>
          <w:noProof/>
          <w:lang w:eastAsia="en-IE"/>
        </w:rPr>
        <w:t xml:space="preserve">in the EU will </w:t>
      </w:r>
      <w:r w:rsidR="00A50038" w:rsidRPr="00DE264C">
        <w:rPr>
          <w:rFonts w:eastAsia="Times New Roman"/>
          <w:noProof/>
          <w:lang w:eastAsia="en-IE"/>
        </w:rPr>
        <w:t xml:space="preserve">still </w:t>
      </w:r>
      <w:r w:rsidR="007E2C61" w:rsidRPr="00DE264C">
        <w:rPr>
          <w:rFonts w:eastAsia="Times New Roman"/>
          <w:noProof/>
          <w:lang w:eastAsia="en-IE"/>
        </w:rPr>
        <w:t>rely on copper-based internet connection</w:t>
      </w:r>
      <w:r w:rsidR="00331D3A" w:rsidRPr="00DE264C">
        <w:rPr>
          <w:rStyle w:val="FootnoteReference"/>
          <w:rFonts w:eastAsia="Times New Roman"/>
          <w:noProof/>
          <w:lang w:eastAsia="en-IE"/>
        </w:rPr>
        <w:footnoteReference w:id="147"/>
      </w:r>
      <w:r w:rsidR="29C348CA" w:rsidRPr="00DE264C">
        <w:rPr>
          <w:rStyle w:val="FootnoteReference"/>
          <w:rFonts w:eastAsia="Times New Roman"/>
          <w:noProof/>
          <w:vertAlign w:val="baseline"/>
          <w:lang w:eastAsia="en-IE"/>
        </w:rPr>
        <w:t>.</w:t>
      </w:r>
      <w:r w:rsidR="007E2C61" w:rsidRPr="00DE264C">
        <w:rPr>
          <w:rFonts w:eastAsia="Times New Roman"/>
          <w:noProof/>
          <w:lang w:eastAsia="en-IE"/>
        </w:rPr>
        <w:t xml:space="preserve"> In some </w:t>
      </w:r>
      <w:r w:rsidR="007E2C61" w:rsidRPr="00DE264C">
        <w:rPr>
          <w:noProof/>
          <w:lang w:eastAsia="en-IE"/>
        </w:rPr>
        <w:t xml:space="preserve">Member States, the share is expected to </w:t>
      </w:r>
      <w:r w:rsidR="007E2C61" w:rsidRPr="00DE264C" w:rsidDel="007E2C61">
        <w:rPr>
          <w:rFonts w:eastAsia="Times New Roman"/>
          <w:noProof/>
          <w:lang w:eastAsia="en-IE"/>
        </w:rPr>
        <w:t>be significantly higher</w:t>
      </w:r>
      <w:r w:rsidR="00134285" w:rsidRPr="00DE264C">
        <w:rPr>
          <w:rFonts w:eastAsia="Times New Roman"/>
          <w:noProof/>
          <w:lang w:eastAsia="en-IE"/>
        </w:rPr>
        <w:t xml:space="preserve">, which would </w:t>
      </w:r>
      <w:r w:rsidR="00354BAA" w:rsidRPr="00DE264C">
        <w:rPr>
          <w:rFonts w:eastAsia="Times New Roman"/>
          <w:noProof/>
          <w:lang w:eastAsia="en-IE"/>
        </w:rPr>
        <w:t xml:space="preserve">likely </w:t>
      </w:r>
      <w:r w:rsidR="00E90A0D" w:rsidRPr="00DE264C">
        <w:rPr>
          <w:rFonts w:eastAsia="Times New Roman"/>
          <w:noProof/>
          <w:lang w:eastAsia="en-IE"/>
        </w:rPr>
        <w:t>negatively impact</w:t>
      </w:r>
      <w:r w:rsidR="00134285" w:rsidRPr="00DE264C">
        <w:rPr>
          <w:rFonts w:eastAsia="Times New Roman"/>
          <w:noProof/>
          <w:lang w:eastAsia="en-IE"/>
        </w:rPr>
        <w:t xml:space="preserve"> </w:t>
      </w:r>
      <w:r w:rsidR="005557FD" w:rsidRPr="00DE264C">
        <w:rPr>
          <w:rFonts w:eastAsia="Times New Roman"/>
          <w:noProof/>
          <w:lang w:eastAsia="en-IE"/>
        </w:rPr>
        <w:t xml:space="preserve">national and regional discrepancies </w:t>
      </w:r>
      <w:r w:rsidR="00DB5AD9" w:rsidRPr="00DE264C">
        <w:rPr>
          <w:rFonts w:eastAsia="Times New Roman"/>
          <w:noProof/>
          <w:lang w:eastAsia="en-IE"/>
        </w:rPr>
        <w:t xml:space="preserve">in </w:t>
      </w:r>
      <w:r w:rsidR="00166EB3" w:rsidRPr="00DE264C">
        <w:rPr>
          <w:rFonts w:eastAsia="Times New Roman"/>
          <w:noProof/>
          <w:lang w:eastAsia="en-IE"/>
        </w:rPr>
        <w:t xml:space="preserve">terms of </w:t>
      </w:r>
      <w:r w:rsidR="00DB5AD9" w:rsidRPr="00DE264C">
        <w:rPr>
          <w:rFonts w:eastAsia="Times New Roman"/>
          <w:noProof/>
          <w:lang w:eastAsia="en-IE"/>
        </w:rPr>
        <w:t>economic and social development</w:t>
      </w:r>
      <w:r w:rsidR="00BE143A" w:rsidRPr="00DE264C">
        <w:rPr>
          <w:rFonts w:eastAsia="Times New Roman"/>
          <w:noProof/>
          <w:lang w:eastAsia="en-IE"/>
        </w:rPr>
        <w:t>.</w:t>
      </w:r>
      <w:r w:rsidR="004F5B07" w:rsidRPr="00DE264C">
        <w:rPr>
          <w:rFonts w:eastAsia="Times New Roman"/>
          <w:noProof/>
          <w:lang w:eastAsia="en-IE"/>
        </w:rPr>
        <w:t xml:space="preserve"> </w:t>
      </w:r>
      <w:r w:rsidR="00E009F2" w:rsidRPr="00DE264C">
        <w:rPr>
          <w:rFonts w:eastAsia="Times New Roman"/>
          <w:noProof/>
          <w:lang w:eastAsia="en-IE"/>
        </w:rPr>
        <w:t xml:space="preserve">In absence of </w:t>
      </w:r>
      <w:r w:rsidR="001F07CE" w:rsidRPr="00DE264C">
        <w:rPr>
          <w:rFonts w:eastAsia="Times New Roman"/>
          <w:noProof/>
          <w:lang w:eastAsia="en-IE"/>
        </w:rPr>
        <w:t xml:space="preserve">any </w:t>
      </w:r>
      <w:r w:rsidR="00E009F2" w:rsidRPr="00DE264C">
        <w:rPr>
          <w:rFonts w:eastAsia="Times New Roman"/>
          <w:noProof/>
          <w:lang w:eastAsia="en-IE"/>
        </w:rPr>
        <w:t xml:space="preserve">action, </w:t>
      </w:r>
      <w:r w:rsidR="00AC551C" w:rsidRPr="00DE264C">
        <w:rPr>
          <w:rFonts w:eastAsia="Times New Roman"/>
          <w:noProof/>
          <w:lang w:eastAsia="en-IE"/>
        </w:rPr>
        <w:t xml:space="preserve">more than two thirds of households will </w:t>
      </w:r>
      <w:r w:rsidR="008A5ACF" w:rsidRPr="00DE264C">
        <w:rPr>
          <w:rFonts w:eastAsia="Times New Roman"/>
          <w:noProof/>
          <w:lang w:eastAsia="en-IE"/>
        </w:rPr>
        <w:t>have</w:t>
      </w:r>
      <w:r w:rsidR="00AC551C" w:rsidRPr="00DE264C">
        <w:rPr>
          <w:rFonts w:eastAsia="Times New Roman"/>
          <w:noProof/>
          <w:lang w:eastAsia="en-IE"/>
        </w:rPr>
        <w:t xml:space="preserve"> connections with </w:t>
      </w:r>
      <w:r w:rsidR="0026465A" w:rsidRPr="00DE264C">
        <w:rPr>
          <w:rFonts w:eastAsia="Times New Roman"/>
          <w:noProof/>
          <w:lang w:eastAsia="en-IE"/>
        </w:rPr>
        <w:t>speed</w:t>
      </w:r>
      <w:r w:rsidR="00AC551C" w:rsidRPr="00DE264C">
        <w:rPr>
          <w:rFonts w:eastAsia="Times New Roman"/>
          <w:noProof/>
          <w:lang w:eastAsia="en-IE"/>
        </w:rPr>
        <w:t xml:space="preserve"> below 1</w:t>
      </w:r>
      <w:r w:rsidR="00491275" w:rsidRPr="00DE264C">
        <w:rPr>
          <w:rFonts w:eastAsia="Times New Roman"/>
          <w:noProof/>
          <w:lang w:eastAsia="en-IE"/>
        </w:rPr>
        <w:t> </w:t>
      </w:r>
      <w:r w:rsidR="00AC551C" w:rsidRPr="00DE264C">
        <w:rPr>
          <w:rFonts w:eastAsia="Times New Roman"/>
          <w:noProof/>
          <w:lang w:eastAsia="en-IE"/>
        </w:rPr>
        <w:t>Gbit/s</w:t>
      </w:r>
      <w:r w:rsidR="008B46E7" w:rsidRPr="00DE264C">
        <w:rPr>
          <w:rFonts w:eastAsia="Times New Roman"/>
          <w:noProof/>
          <w:lang w:eastAsia="en-IE"/>
        </w:rPr>
        <w:t xml:space="preserve"> by 2035</w:t>
      </w:r>
      <w:r w:rsidR="00391571">
        <w:rPr>
          <w:rFonts w:eastAsia="Times New Roman"/>
          <w:noProof/>
          <w:lang w:eastAsia="en-IE"/>
        </w:rPr>
        <w:t>.</w:t>
      </w:r>
      <w:r w:rsidR="007E2C61" w:rsidRPr="00DE264C">
        <w:rPr>
          <w:rStyle w:val="FootnoteReference"/>
          <w:rFonts w:eastAsia="Times New Roman"/>
          <w:noProof/>
          <w:lang w:eastAsia="en-IE"/>
        </w:rPr>
        <w:footnoteReference w:id="148"/>
      </w:r>
      <w:r w:rsidR="6BAB2DBE" w:rsidRPr="00DE264C">
        <w:rPr>
          <w:rStyle w:val="FootnoteReference"/>
          <w:rFonts w:eastAsia="Times New Roman"/>
          <w:noProof/>
          <w:lang w:eastAsia="en-IE"/>
        </w:rPr>
        <w:t>.</w:t>
      </w:r>
    </w:p>
    <w:p w14:paraId="1F778DFA" w14:textId="718EE365" w:rsidR="00CB18DD" w:rsidRDefault="00844F08" w:rsidP="004B2949">
      <w:pPr>
        <w:spacing w:line="240" w:lineRule="auto"/>
        <w:rPr>
          <w:rFonts w:eastAsia="Times New Roman"/>
          <w:noProof/>
          <w:color w:val="000000" w:themeColor="text1"/>
        </w:rPr>
      </w:pPr>
      <w:r w:rsidRPr="00DE264C">
        <w:rPr>
          <w:rFonts w:eastAsia="Times New Roman"/>
          <w:noProof/>
          <w:color w:val="000000" w:themeColor="text1"/>
        </w:rPr>
        <w:t xml:space="preserve">It is expected that 30% of customers will have access to Gigabit </w:t>
      </w:r>
      <w:r>
        <w:rPr>
          <w:rFonts w:eastAsia="Times New Roman"/>
          <w:noProof/>
          <w:color w:val="000000" w:themeColor="text1"/>
        </w:rPr>
        <w:t>connection</w:t>
      </w:r>
      <w:r w:rsidRPr="00DE264C">
        <w:rPr>
          <w:rFonts w:eastAsia="Times New Roman"/>
          <w:noProof/>
          <w:color w:val="000000" w:themeColor="text1"/>
        </w:rPr>
        <w:t xml:space="preserve"> by 2035, while </w:t>
      </w:r>
      <w:r>
        <w:rPr>
          <w:rFonts w:eastAsia="Times New Roman"/>
          <w:noProof/>
          <w:color w:val="000000" w:themeColor="text1"/>
        </w:rPr>
        <w:t xml:space="preserve">40% of customers will </w:t>
      </w:r>
      <w:r w:rsidRPr="00DE264C">
        <w:rPr>
          <w:rFonts w:eastAsia="Times New Roman"/>
          <w:noProof/>
          <w:color w:val="000000" w:themeColor="text1"/>
        </w:rPr>
        <w:t xml:space="preserve">demand </w:t>
      </w:r>
      <w:r w:rsidRPr="004B2949">
        <w:rPr>
          <w:noProof/>
        </w:rPr>
        <w:t>Gigabit</w:t>
      </w:r>
      <w:r w:rsidRPr="00DE264C">
        <w:rPr>
          <w:rFonts w:eastAsia="Times New Roman"/>
          <w:noProof/>
          <w:color w:val="000000" w:themeColor="text1"/>
        </w:rPr>
        <w:t xml:space="preserve"> speeds </w:t>
      </w:r>
      <w:r>
        <w:rPr>
          <w:rFonts w:eastAsia="Times New Roman"/>
          <w:noProof/>
          <w:color w:val="000000" w:themeColor="text1"/>
        </w:rPr>
        <w:t>in 2035</w:t>
      </w:r>
      <w:r w:rsidRPr="00DE264C">
        <w:rPr>
          <w:rFonts w:eastAsia="Times New Roman"/>
          <w:noProof/>
          <w:color w:val="000000" w:themeColor="text1"/>
        </w:rPr>
        <w:t>.</w:t>
      </w:r>
      <w:r w:rsidRPr="00DE264C">
        <w:rPr>
          <w:rStyle w:val="FootnoteReference"/>
          <w:rFonts w:eastAsia="Times New Roman"/>
          <w:noProof/>
          <w:color w:val="000000" w:themeColor="text1"/>
        </w:rPr>
        <w:footnoteReference w:id="149"/>
      </w:r>
      <w:r w:rsidRPr="00DE264C" w:rsidDel="00424F03">
        <w:rPr>
          <w:rStyle w:val="FootnoteReference"/>
          <w:rFonts w:eastAsia="Times New Roman"/>
          <w:noProof/>
          <w:color w:val="000000" w:themeColor="text1"/>
        </w:rPr>
        <w:t xml:space="preserve"> </w:t>
      </w:r>
      <w:r>
        <w:rPr>
          <w:rFonts w:eastAsia="Times New Roman"/>
          <w:noProof/>
          <w:color w:val="000000" w:themeColor="text1"/>
        </w:rPr>
        <w:t xml:space="preserve"> I</w:t>
      </w:r>
      <w:r w:rsidRPr="00764DF9">
        <w:rPr>
          <w:rFonts w:eastAsia="Times New Roman"/>
          <w:noProof/>
          <w:color w:val="000000" w:themeColor="text1"/>
        </w:rPr>
        <w:t xml:space="preserve">n 2035 there will be a gap between demand and take-up of </w:t>
      </w:r>
      <w:r>
        <w:rPr>
          <w:rFonts w:eastAsia="Times New Roman"/>
          <w:noProof/>
          <w:color w:val="000000" w:themeColor="text1"/>
        </w:rPr>
        <w:t>G</w:t>
      </w:r>
      <w:r w:rsidRPr="00764DF9">
        <w:rPr>
          <w:rFonts w:eastAsia="Times New Roman"/>
          <w:noProof/>
          <w:color w:val="000000" w:themeColor="text1"/>
        </w:rPr>
        <w:t>igabit services of 1</w:t>
      </w:r>
      <w:r w:rsidR="00D33E03">
        <w:rPr>
          <w:rFonts w:eastAsia="Times New Roman"/>
          <w:noProof/>
          <w:color w:val="000000" w:themeColor="text1"/>
        </w:rPr>
        <w:t>0</w:t>
      </w:r>
      <w:r w:rsidR="008B41A8">
        <w:rPr>
          <w:rFonts w:eastAsia="Times New Roman"/>
          <w:noProof/>
          <w:color w:val="000000" w:themeColor="text1"/>
        </w:rPr>
        <w:t xml:space="preserve"> </w:t>
      </w:r>
      <w:r w:rsidR="00D33E03">
        <w:rPr>
          <w:rFonts w:eastAsia="Times New Roman"/>
          <w:noProof/>
          <w:color w:val="000000" w:themeColor="text1"/>
        </w:rPr>
        <w:t>p</w:t>
      </w:r>
      <w:r w:rsidR="008B41A8">
        <w:rPr>
          <w:rFonts w:eastAsia="Times New Roman"/>
          <w:noProof/>
          <w:color w:val="000000" w:themeColor="text1"/>
        </w:rPr>
        <w:t xml:space="preserve">ercentage </w:t>
      </w:r>
      <w:r w:rsidR="00D33E03">
        <w:rPr>
          <w:rFonts w:eastAsia="Times New Roman"/>
          <w:noProof/>
          <w:color w:val="000000" w:themeColor="text1"/>
        </w:rPr>
        <w:t>p</w:t>
      </w:r>
      <w:r w:rsidR="008D20B3">
        <w:rPr>
          <w:rFonts w:eastAsia="Times New Roman"/>
          <w:noProof/>
          <w:color w:val="000000" w:themeColor="text1"/>
        </w:rPr>
        <w:t>oints</w:t>
      </w:r>
      <w:r w:rsidRPr="00764DF9">
        <w:rPr>
          <w:rFonts w:eastAsia="Times New Roman"/>
          <w:noProof/>
          <w:color w:val="000000" w:themeColor="text1"/>
        </w:rPr>
        <w:t xml:space="preserve">. </w:t>
      </w:r>
    </w:p>
    <w:p w14:paraId="488E6FCF" w14:textId="290F84AC" w:rsidR="00844F08" w:rsidRDefault="00844F08" w:rsidP="004B2949">
      <w:pPr>
        <w:spacing w:line="240" w:lineRule="auto"/>
        <w:rPr>
          <w:rFonts w:eastAsia="Times New Roman"/>
          <w:noProof/>
          <w:color w:val="000000" w:themeColor="text1"/>
        </w:rPr>
      </w:pPr>
      <w:r w:rsidRPr="00EF16B9">
        <w:rPr>
          <w:rFonts w:eastAsia="Times New Roman"/>
          <w:noProof/>
          <w:color w:val="000000" w:themeColor="text1"/>
        </w:rPr>
        <w:t xml:space="preserve">The following </w:t>
      </w:r>
      <w:r w:rsidR="008B2C0C" w:rsidRPr="00EF16B9">
        <w:rPr>
          <w:rFonts w:eastAsia="Times New Roman"/>
          <w:noProof/>
          <w:color w:val="000000" w:themeColor="text1"/>
        </w:rPr>
        <w:t>figure</w:t>
      </w:r>
      <w:r w:rsidRPr="00EF16B9">
        <w:rPr>
          <w:rFonts w:eastAsia="Times New Roman"/>
          <w:noProof/>
          <w:color w:val="000000" w:themeColor="text1"/>
        </w:rPr>
        <w:t xml:space="preserve"> </w:t>
      </w:r>
      <w:r w:rsidRPr="004B2949">
        <w:rPr>
          <w:noProof/>
        </w:rPr>
        <w:t>provides</w:t>
      </w:r>
      <w:r w:rsidRPr="00EF16B9">
        <w:rPr>
          <w:rFonts w:eastAsia="Times New Roman"/>
          <w:noProof/>
          <w:color w:val="000000" w:themeColor="text1"/>
        </w:rPr>
        <w:t xml:space="preserve"> an overview of the expected bandwidth demand in 2035</w:t>
      </w:r>
      <w:r w:rsidRPr="00EF16B9">
        <w:rPr>
          <w:rStyle w:val="FootnoteReference"/>
          <w:rFonts w:eastAsia="Times New Roman"/>
          <w:noProof/>
          <w:color w:val="000000" w:themeColor="text1"/>
        </w:rPr>
        <w:footnoteReference w:id="150"/>
      </w:r>
      <w:r w:rsidR="007F457B" w:rsidRPr="00EF16B9">
        <w:rPr>
          <w:rFonts w:eastAsia="Times New Roman"/>
          <w:noProof/>
          <w:color w:val="000000" w:themeColor="text1"/>
        </w:rPr>
        <w:t>.</w:t>
      </w:r>
    </w:p>
    <w:p w14:paraId="4E3EC5E3" w14:textId="23F1F6FE" w:rsidR="00387336" w:rsidRPr="00BE337F" w:rsidRDefault="00387336" w:rsidP="00BE337F">
      <w:pPr>
        <w:pStyle w:val="Caption"/>
        <w:keepNext/>
        <w:rPr>
          <w:noProof/>
          <w:color w:val="auto"/>
        </w:rPr>
      </w:pPr>
      <w:bookmarkStart w:id="105" w:name="_Toc219539771"/>
      <w:r w:rsidRPr="00BE337F">
        <w:rPr>
          <w:noProof/>
          <w:color w:val="auto"/>
        </w:rPr>
        <w:t xml:space="preserve">Figure </w:t>
      </w:r>
      <w:r w:rsidRPr="00BE337F">
        <w:rPr>
          <w:noProof/>
          <w:color w:val="auto"/>
        </w:rPr>
        <w:fldChar w:fldCharType="begin"/>
      </w:r>
      <w:r w:rsidRPr="00BE337F">
        <w:rPr>
          <w:noProof/>
          <w:color w:val="auto"/>
        </w:rPr>
        <w:instrText xml:space="preserve"> SEQ Figure \* ARABIC </w:instrText>
      </w:r>
      <w:r w:rsidRPr="00BE337F">
        <w:rPr>
          <w:noProof/>
          <w:color w:val="auto"/>
        </w:rPr>
        <w:fldChar w:fldCharType="separate"/>
      </w:r>
      <w:r w:rsidRPr="00BE337F">
        <w:rPr>
          <w:noProof/>
          <w:color w:val="auto"/>
        </w:rPr>
        <w:t>14</w:t>
      </w:r>
      <w:r w:rsidRPr="00BE337F">
        <w:rPr>
          <w:noProof/>
          <w:color w:val="auto"/>
        </w:rPr>
        <w:fldChar w:fldCharType="end"/>
      </w:r>
      <w:r w:rsidRPr="00BE337F">
        <w:rPr>
          <w:noProof/>
          <w:color w:val="auto"/>
        </w:rPr>
        <w:t>: Bandwidth demand of EU27 in 2035 in the absence of constraints</w:t>
      </w:r>
      <w:bookmarkEnd w:id="105"/>
    </w:p>
    <w:p w14:paraId="488AC5F6" w14:textId="16A89791" w:rsidR="00BD32FB" w:rsidRPr="00292895" w:rsidRDefault="00BD32FB" w:rsidP="00BE337F">
      <w:pPr>
        <w:rPr>
          <w:strike/>
          <w:noProof/>
        </w:rPr>
      </w:pPr>
      <w:r w:rsidRPr="00534028">
        <w:rPr>
          <w:noProof/>
          <w:szCs w:val="22"/>
          <w:lang w:eastAsia="en-GB"/>
        </w:rPr>
        <w:drawing>
          <wp:inline distT="0" distB="0" distL="0" distR="0" wp14:anchorId="5CCB5956" wp14:editId="1E47E0F3">
            <wp:extent cx="5506942" cy="3057884"/>
            <wp:effectExtent l="0" t="0" r="0" b="9525"/>
            <wp:docPr id="3340432" name="Grafik 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36099" name="Grafik 8" descr="A screenshot of a computer&#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538434" cy="3075371"/>
                    </a:xfrm>
                    <a:prstGeom prst="rect">
                      <a:avLst/>
                    </a:prstGeom>
                    <a:noFill/>
                  </pic:spPr>
                </pic:pic>
              </a:graphicData>
            </a:graphic>
          </wp:inline>
        </w:drawing>
      </w:r>
    </w:p>
    <w:p w14:paraId="01EE2EA7" w14:textId="518FCAD8" w:rsidR="0020761C" w:rsidRPr="00EF16B9" w:rsidRDefault="0020761C" w:rsidP="00F446CB">
      <w:pPr>
        <w:pStyle w:val="Text2"/>
        <w:spacing w:after="120"/>
        <w:ind w:left="0"/>
        <w:rPr>
          <w:noProof/>
          <w:sz w:val="20"/>
        </w:rPr>
      </w:pPr>
      <w:r w:rsidRPr="00EF16B9">
        <w:rPr>
          <w:noProof/>
          <w:sz w:val="20"/>
        </w:rPr>
        <w:t xml:space="preserve">Source: </w:t>
      </w:r>
      <w:r w:rsidR="00C62EE5">
        <w:rPr>
          <w:noProof/>
          <w:sz w:val="20"/>
        </w:rPr>
        <w:t>Study on Access Regulation</w:t>
      </w:r>
      <w:r w:rsidRPr="00EF16B9">
        <w:rPr>
          <w:noProof/>
          <w:sz w:val="20"/>
        </w:rPr>
        <w:t>.</w:t>
      </w:r>
    </w:p>
    <w:p w14:paraId="14FC080A" w14:textId="58EDC9B5" w:rsidR="00600662" w:rsidRPr="00DE264C" w:rsidRDefault="00600662" w:rsidP="004B2949">
      <w:pPr>
        <w:spacing w:line="240" w:lineRule="auto"/>
        <w:rPr>
          <w:rFonts w:eastAsia="Times New Roman"/>
          <w:noProof/>
          <w:color w:val="000000" w:themeColor="text1"/>
        </w:rPr>
      </w:pPr>
      <w:r w:rsidRPr="00DE264C">
        <w:rPr>
          <w:rFonts w:eastAsia="Times New Roman"/>
          <w:noProof/>
          <w:color w:val="000000" w:themeColor="text1"/>
        </w:rPr>
        <w:t xml:space="preserve">In </w:t>
      </w:r>
      <w:r w:rsidR="721E6477" w:rsidRPr="00DE264C">
        <w:rPr>
          <w:rFonts w:eastAsia="Times New Roman"/>
          <w:noProof/>
          <w:color w:val="000000" w:themeColor="text1"/>
        </w:rPr>
        <w:t>the</w:t>
      </w:r>
      <w:r w:rsidRPr="00DE264C">
        <w:rPr>
          <w:rFonts w:eastAsia="Times New Roman"/>
          <w:noProof/>
          <w:color w:val="000000" w:themeColor="text1"/>
        </w:rPr>
        <w:t xml:space="preserve"> near future, higher bandwidth is needed for households and businesses to support moving to online Government and commercial applications as well as entertainment. It is expected that nearly 40% of households will need </w:t>
      </w:r>
      <w:r w:rsidRPr="004B2949">
        <w:rPr>
          <w:noProof/>
        </w:rPr>
        <w:t>downstream</w:t>
      </w:r>
      <w:r w:rsidRPr="00DE264C">
        <w:rPr>
          <w:rFonts w:eastAsia="Times New Roman"/>
          <w:noProof/>
          <w:color w:val="000000" w:themeColor="text1"/>
        </w:rPr>
        <w:t xml:space="preserve"> bandwidths of at least 1 Gbit/s and upstream bandwidths of 600 Mbit/s or more by 2035.</w:t>
      </w:r>
      <w:r w:rsidRPr="00DE264C">
        <w:rPr>
          <w:rStyle w:val="FootnoteReference"/>
          <w:rFonts w:eastAsia="Times New Roman"/>
          <w:noProof/>
          <w:color w:val="000000" w:themeColor="text1"/>
        </w:rPr>
        <w:footnoteReference w:id="151"/>
      </w:r>
      <w:r w:rsidRPr="00DE264C">
        <w:rPr>
          <w:rFonts w:eastAsia="Times New Roman"/>
          <w:noProof/>
          <w:color w:val="000000" w:themeColor="text1"/>
        </w:rPr>
        <w:t xml:space="preserve"> The connectivity needs for small businesses are likely to be even greater and will require more symmetric bandwidth (equal upstream and downstream speeds) to accommodate the use of advanced technologies such as cloud computing, big data and artificial intelligence as envisaged in the DDPP.</w:t>
      </w:r>
      <w:r w:rsidRPr="00DE264C">
        <w:rPr>
          <w:rStyle w:val="FootnoteReference"/>
          <w:rFonts w:eastAsia="Times New Roman"/>
          <w:noProof/>
          <w:color w:val="000000" w:themeColor="text1"/>
        </w:rPr>
        <w:footnoteReference w:id="152"/>
      </w:r>
    </w:p>
    <w:p w14:paraId="716BCD75" w14:textId="356007A9" w:rsidR="00600662" w:rsidRPr="00DE264C" w:rsidRDefault="00600662" w:rsidP="004B2949">
      <w:pPr>
        <w:spacing w:line="240" w:lineRule="auto"/>
        <w:rPr>
          <w:rFonts w:eastAsia="Times New Roman"/>
          <w:noProof/>
          <w:lang w:eastAsia="en-IE"/>
        </w:rPr>
      </w:pPr>
      <w:r w:rsidRPr="00DE264C">
        <w:rPr>
          <w:rFonts w:eastAsia="Times New Roman"/>
          <w:noProof/>
          <w:color w:val="000000" w:themeColor="text1"/>
        </w:rPr>
        <w:t xml:space="preserve">Copper networks are unable to </w:t>
      </w:r>
      <w:r w:rsidRPr="004B2949">
        <w:rPr>
          <w:noProof/>
        </w:rPr>
        <w:t>satisfy</w:t>
      </w:r>
      <w:r w:rsidRPr="00DE264C">
        <w:rPr>
          <w:rFonts w:eastAsia="Times New Roman"/>
          <w:noProof/>
          <w:color w:val="000000" w:themeColor="text1"/>
        </w:rPr>
        <w:t xml:space="preserve"> the future requirements for fixed internet access, regarding upload and download speeds, latency and reliability. In that regard, the average download speeds in countries with high share of VDSL is around 150 Mbit/s (30% lower than in countries with high share of fibre or coax).</w:t>
      </w:r>
      <w:r w:rsidRPr="00DE264C">
        <w:rPr>
          <w:rStyle w:val="FootnoteReference"/>
          <w:rFonts w:eastAsia="Times New Roman"/>
          <w:noProof/>
          <w:color w:val="000000" w:themeColor="text1"/>
        </w:rPr>
        <w:footnoteReference w:id="153"/>
      </w:r>
    </w:p>
    <w:p w14:paraId="666CF93C" w14:textId="5EF035A2" w:rsidR="0033549A" w:rsidRPr="00DE264C" w:rsidRDefault="00AA5EAE" w:rsidP="00E73BF1">
      <w:pPr>
        <w:spacing w:line="240" w:lineRule="auto"/>
        <w:rPr>
          <w:rFonts w:eastAsia="Times New Roman"/>
          <w:noProof/>
          <w:lang w:val="en-IE" w:eastAsia="en-IE"/>
        </w:rPr>
      </w:pPr>
      <w:r w:rsidRPr="00A827C2">
        <w:rPr>
          <w:noProof/>
        </w:rPr>
        <w:t>Overall, t</w:t>
      </w:r>
      <w:r w:rsidR="00272ED6" w:rsidRPr="00A827C2">
        <w:rPr>
          <w:noProof/>
        </w:rPr>
        <w:t xml:space="preserve">he presence </w:t>
      </w:r>
      <w:r w:rsidR="00272ED6" w:rsidRPr="00A827C2">
        <w:rPr>
          <w:rFonts w:eastAsia="Times New Roman"/>
          <w:noProof/>
          <w:color w:val="000000" w:themeColor="text1"/>
        </w:rPr>
        <w:t>and</w:t>
      </w:r>
      <w:r w:rsidR="00272ED6" w:rsidRPr="00A827C2">
        <w:rPr>
          <w:noProof/>
        </w:rPr>
        <w:t xml:space="preserve"> use of copper networks will continue to </w:t>
      </w:r>
      <w:r w:rsidR="007E2C61" w:rsidRPr="00A827C2">
        <w:rPr>
          <w:noProof/>
        </w:rPr>
        <w:t xml:space="preserve">disincentivise and delay </w:t>
      </w:r>
      <w:r w:rsidRPr="00A827C2">
        <w:rPr>
          <w:noProof/>
        </w:rPr>
        <w:t>the</w:t>
      </w:r>
      <w:r w:rsidRPr="00DE264C">
        <w:rPr>
          <w:rFonts w:eastAsia="Times New Roman"/>
          <w:noProof/>
          <w:lang w:eastAsia="en-IE"/>
        </w:rPr>
        <w:t xml:space="preserve"> </w:t>
      </w:r>
      <w:r w:rsidR="00272ED6" w:rsidRPr="00A827C2">
        <w:rPr>
          <w:noProof/>
        </w:rPr>
        <w:t xml:space="preserve">deployment and adoption </w:t>
      </w:r>
      <w:r w:rsidR="00930839" w:rsidRPr="00A827C2">
        <w:rPr>
          <w:noProof/>
        </w:rPr>
        <w:t xml:space="preserve">of </w:t>
      </w:r>
      <w:r w:rsidR="00675E2F" w:rsidRPr="00A827C2">
        <w:rPr>
          <w:noProof/>
        </w:rPr>
        <w:t>fibre</w:t>
      </w:r>
      <w:r w:rsidR="00930839" w:rsidRPr="00A827C2">
        <w:rPr>
          <w:noProof/>
        </w:rPr>
        <w:t xml:space="preserve"> networks </w:t>
      </w:r>
      <w:r w:rsidR="00065CA5" w:rsidRPr="00A827C2">
        <w:rPr>
          <w:noProof/>
        </w:rPr>
        <w:t>and services.</w:t>
      </w:r>
    </w:p>
    <w:p w14:paraId="7DA259AC" w14:textId="09F22391" w:rsidR="0033549A" w:rsidRPr="00DE264C" w:rsidRDefault="0033549A" w:rsidP="00C40DF5">
      <w:pPr>
        <w:pStyle w:val="Heading3"/>
        <w:tabs>
          <w:tab w:val="num" w:pos="7088"/>
        </w:tabs>
        <w:ind w:left="709"/>
        <w:rPr>
          <w:noProof/>
        </w:rPr>
      </w:pPr>
      <w:bookmarkStart w:id="106" w:name="_Toc215083727"/>
      <w:bookmarkStart w:id="107" w:name="_Toc219212495"/>
      <w:bookmarkStart w:id="108" w:name="_Toc219718150"/>
      <w:bookmarkStart w:id="109" w:name="_Toc214467701"/>
      <w:r w:rsidRPr="00DE264C">
        <w:rPr>
          <w:noProof/>
        </w:rPr>
        <w:t xml:space="preserve">Mobile networks: </w:t>
      </w:r>
      <w:r w:rsidR="00FF2F10" w:rsidRPr="00DE264C">
        <w:rPr>
          <w:noProof/>
        </w:rPr>
        <w:t>lack of</w:t>
      </w:r>
      <w:r w:rsidRPr="00DE264C">
        <w:rPr>
          <w:noProof/>
        </w:rPr>
        <w:t xml:space="preserve"> investment</w:t>
      </w:r>
      <w:r w:rsidR="00017477" w:rsidRPr="00DE264C">
        <w:rPr>
          <w:noProof/>
        </w:rPr>
        <w:t xml:space="preserve"> </w:t>
      </w:r>
      <w:r w:rsidR="00271B81" w:rsidRPr="00A827C2">
        <w:rPr>
          <w:noProof/>
        </w:rPr>
        <w:t>in high</w:t>
      </w:r>
      <w:r w:rsidR="00017477" w:rsidRPr="00A827C2">
        <w:rPr>
          <w:noProof/>
        </w:rPr>
        <w:t xml:space="preserve"> quality mobile connectivity</w:t>
      </w:r>
      <w:bookmarkEnd w:id="106"/>
      <w:bookmarkEnd w:id="107"/>
      <w:bookmarkEnd w:id="108"/>
      <w:r w:rsidR="00017477" w:rsidRPr="00A827C2">
        <w:rPr>
          <w:noProof/>
        </w:rPr>
        <w:t xml:space="preserve"> </w:t>
      </w:r>
      <w:bookmarkEnd w:id="109"/>
    </w:p>
    <w:p w14:paraId="58308766" w14:textId="77777777" w:rsidR="00A13E65" w:rsidRPr="00602574" w:rsidRDefault="00A13E65" w:rsidP="00A13E65">
      <w:pPr>
        <w:spacing w:line="240" w:lineRule="auto"/>
        <w:rPr>
          <w:noProof/>
        </w:rPr>
      </w:pPr>
      <w:r w:rsidRPr="00602574">
        <w:rPr>
          <w:noProof/>
        </w:rPr>
        <w:t>Without policy intervention, the underlying drivers of insufficient investment in high-quality mobile connectivity are bound to persist. Additionally, demand for spectrum is likely to increase, as data consumption is projected to rise.</w:t>
      </w:r>
      <w:r w:rsidRPr="00602574">
        <w:rPr>
          <w:rStyle w:val="FootnoteReference"/>
          <w:noProof/>
        </w:rPr>
        <w:footnoteReference w:id="154"/>
      </w:r>
      <w:r w:rsidRPr="00602574">
        <w:rPr>
          <w:noProof/>
        </w:rPr>
        <w:t xml:space="preserve"> </w:t>
      </w:r>
      <w:r w:rsidRPr="005C544D">
        <w:rPr>
          <w:b/>
          <w:bCs/>
          <w:noProof/>
        </w:rPr>
        <w:t>With growing spectrum needs</w:t>
      </w:r>
      <w:r w:rsidRPr="00602574">
        <w:rPr>
          <w:noProof/>
        </w:rPr>
        <w:t>, the cost of acquiring spectrum is expected to place increasing pressure on operators’ balance sheets, particularly in view of their declining revenues.</w:t>
      </w:r>
      <w:r w:rsidRPr="005C544D">
        <w:rPr>
          <w:rStyle w:val="FootnoteReference"/>
          <w:rFonts w:eastAsia="Times New Roman"/>
          <w:noProof/>
          <w:color w:val="000000" w:themeColor="text1"/>
        </w:rPr>
        <w:footnoteReference w:id="155"/>
      </w:r>
      <w:r w:rsidRPr="00602574">
        <w:rPr>
          <w:noProof/>
        </w:rPr>
        <w:t xml:space="preserve"> Spectrum costs may represent a larger share of operator revenues than today. Even if unit prices were to fall over time, the need to acquire larger volumes of spectrum means that </w:t>
      </w:r>
      <w:r w:rsidRPr="00602574">
        <w:rPr>
          <w:b/>
          <w:bCs/>
          <w:noProof/>
        </w:rPr>
        <w:t>the overall spectrum cost burden is likely to increase</w:t>
      </w:r>
      <w:r w:rsidRPr="00602574">
        <w:rPr>
          <w:noProof/>
        </w:rPr>
        <w:t>, especially in Member States whose auction conditions prioritise revenue generation over investment.</w:t>
      </w:r>
      <w:r w:rsidRPr="00602574">
        <w:rPr>
          <w:noProof/>
          <w:vertAlign w:val="superscript"/>
        </w:rPr>
        <w:footnoteReference w:id="156"/>
      </w:r>
      <w:r w:rsidRPr="00602574">
        <w:rPr>
          <w:noProof/>
        </w:rPr>
        <w:t xml:space="preserve"> This would reduce the attractiveness of mobile operators and mobile deployment projects for financial markets and further weaken operators’ capacity to fund high-quality 5G and future 6G deployment.</w:t>
      </w:r>
      <w:r w:rsidRPr="005C544D">
        <w:rPr>
          <w:rStyle w:val="FootnoteReference"/>
          <w:rFonts w:eastAsia="Times New Roman"/>
          <w:noProof/>
          <w:color w:val="000000" w:themeColor="text1"/>
        </w:rPr>
        <w:footnoteReference w:id="157"/>
      </w:r>
    </w:p>
    <w:p w14:paraId="58C73B01" w14:textId="77777777" w:rsidR="00A13E65" w:rsidRPr="00602574" w:rsidRDefault="00A13E65" w:rsidP="00A13E65">
      <w:pPr>
        <w:spacing w:line="240" w:lineRule="auto"/>
        <w:rPr>
          <w:noProof/>
        </w:rPr>
      </w:pPr>
      <w:r w:rsidRPr="005C544D">
        <w:rPr>
          <w:b/>
          <w:bCs/>
          <w:noProof/>
        </w:rPr>
        <w:t>Growing spectrum scarcity</w:t>
      </w:r>
      <w:r w:rsidRPr="00602574">
        <w:rPr>
          <w:noProof/>
        </w:rPr>
        <w:t xml:space="preserve"> will also increase the importance of efficient sharing arrangements in the 6G era. However, without a coherent EU-level framework, spectrum sharing and its advantages are likely to remain dependent on uncoordinated national decisions, limiting its potential to ease scarcity or support innovation.</w:t>
      </w:r>
      <w:r w:rsidRPr="00602574">
        <w:rPr>
          <w:rStyle w:val="FootnoteReference"/>
          <w:rFonts w:eastAsia="Times New Roman"/>
          <w:noProof/>
        </w:rPr>
        <w:footnoteReference w:id="158"/>
      </w:r>
      <w:r w:rsidRPr="00602574">
        <w:rPr>
          <w:noProof/>
        </w:rPr>
        <w:t xml:space="preserve"> In addition, market-shaping measures that create </w:t>
      </w:r>
      <w:r w:rsidRPr="00602574">
        <w:rPr>
          <w:b/>
          <w:bCs/>
          <w:noProof/>
        </w:rPr>
        <w:t>artificial scarcity</w:t>
      </w:r>
      <w:r w:rsidRPr="00602574">
        <w:rPr>
          <w:noProof/>
        </w:rPr>
        <w:t>, such as disproportionate set-asides or reservations, could continue to push up spectrum prices and reduce investment headroom. Due to its voluntary nature, the current peer-review process is unlikely to detect and address such investment-constraining auction designs, failing to deliver robust spectrum assignment that is predictable, well-justified, and consistently applied.</w:t>
      </w:r>
      <w:r w:rsidRPr="00602574">
        <w:rPr>
          <w:rStyle w:val="FootnoteReference"/>
          <w:noProof/>
        </w:rPr>
        <w:footnoteReference w:id="159"/>
      </w:r>
      <w:r w:rsidRPr="00602574">
        <w:rPr>
          <w:noProof/>
        </w:rPr>
        <w:t xml:space="preserve"> Furthermore, while legal deadlines for the release of harmonised bands will continue to apply, </w:t>
      </w:r>
      <w:r w:rsidRPr="005C544D">
        <w:rPr>
          <w:b/>
          <w:bCs/>
          <w:noProof/>
        </w:rPr>
        <w:t xml:space="preserve">predictability </w:t>
      </w:r>
      <w:r w:rsidRPr="00602574">
        <w:rPr>
          <w:noProof/>
        </w:rPr>
        <w:t xml:space="preserve">regarding the timing of 6G spectrum availability would remain </w:t>
      </w:r>
      <w:r w:rsidRPr="005C544D">
        <w:rPr>
          <w:b/>
          <w:bCs/>
          <w:noProof/>
        </w:rPr>
        <w:t>insufficient</w:t>
      </w:r>
      <w:r w:rsidRPr="00602574">
        <w:rPr>
          <w:noProof/>
        </w:rPr>
        <w:t xml:space="preserve">. </w:t>
      </w:r>
    </w:p>
    <w:p w14:paraId="6E2F853B" w14:textId="77777777" w:rsidR="00A13E65" w:rsidRPr="00602574" w:rsidRDefault="00A13E65" w:rsidP="00053713">
      <w:pPr>
        <w:spacing w:line="240" w:lineRule="auto"/>
        <w:rPr>
          <w:noProof/>
        </w:rPr>
      </w:pPr>
      <w:r w:rsidRPr="00602574">
        <w:rPr>
          <w:noProof/>
        </w:rPr>
        <w:t xml:space="preserve">Under these conditions, 5G and later 6G deployment would progress but not at a pace sufficient for the EU to close the </w:t>
      </w:r>
      <w:r w:rsidRPr="005C544D">
        <w:rPr>
          <w:b/>
          <w:bCs/>
          <w:noProof/>
        </w:rPr>
        <w:t>gap with global peers</w:t>
      </w:r>
      <w:r w:rsidRPr="00602574">
        <w:rPr>
          <w:noProof/>
        </w:rPr>
        <w:t xml:space="preserve"> such as the USA, China and South Korea.</w:t>
      </w:r>
      <w:r w:rsidRPr="005C544D">
        <w:rPr>
          <w:rStyle w:val="FootnoteReference"/>
          <w:noProof/>
          <w:color w:val="000000" w:themeColor="text1"/>
        </w:rPr>
        <w:footnoteReference w:id="160"/>
      </w:r>
      <w:r w:rsidRPr="00602574">
        <w:rPr>
          <w:noProof/>
        </w:rPr>
        <w:t xml:space="preserve"> Limited predictability, insufficiently investment-oriented award conditions and high spectrum costs would continue to constrain operators’ investment capacity, resulting in persistent gaps in</w:t>
      </w:r>
      <w:r w:rsidRPr="005C544D">
        <w:rPr>
          <w:b/>
          <w:bCs/>
          <w:noProof/>
        </w:rPr>
        <w:t xml:space="preserve"> coverage, service quality</w:t>
      </w:r>
      <w:r w:rsidRPr="00602574">
        <w:rPr>
          <w:noProof/>
        </w:rPr>
        <w:t xml:space="preserve"> and the availability of advanced, quality-assured services for verticals and SMEs.</w:t>
      </w:r>
      <w:r w:rsidRPr="005C544D">
        <w:rPr>
          <w:rStyle w:val="FootnoteReference"/>
          <w:rFonts w:eastAsia="Times New Roman"/>
          <w:noProof/>
          <w:color w:val="000000" w:themeColor="text1"/>
        </w:rPr>
        <w:footnoteReference w:id="161"/>
      </w:r>
      <w:r w:rsidRPr="00602574">
        <w:rPr>
          <w:noProof/>
        </w:rPr>
        <w:t xml:space="preserve"> Without adequate spectrum access and sufficient investment, reduced speeds and higher congestion are likely, </w:t>
      </w:r>
      <w:r w:rsidRPr="005C544D">
        <w:rPr>
          <w:b/>
          <w:bCs/>
          <w:noProof/>
        </w:rPr>
        <w:t>restricting consumers’</w:t>
      </w:r>
      <w:r w:rsidRPr="00602574">
        <w:rPr>
          <w:noProof/>
        </w:rPr>
        <w:t xml:space="preserve"> ability to </w:t>
      </w:r>
      <w:r w:rsidRPr="005C544D">
        <w:rPr>
          <w:b/>
          <w:bCs/>
          <w:noProof/>
        </w:rPr>
        <w:t>use</w:t>
      </w:r>
      <w:r w:rsidRPr="00602574">
        <w:rPr>
          <w:noProof/>
        </w:rPr>
        <w:t xml:space="preserve"> bandwidth-intensive or latency-sensitive applications, such as video streaming and emerging AR-based services, particularly when not off-loaded to Wi-Fi.</w:t>
      </w:r>
    </w:p>
    <w:p w14:paraId="226F9611" w14:textId="7D79449D" w:rsidR="0033549A" w:rsidRPr="00DE264C" w:rsidRDefault="00C705B9" w:rsidP="00FE140C">
      <w:pPr>
        <w:pStyle w:val="Heading3"/>
        <w:tabs>
          <w:tab w:val="num" w:pos="7088"/>
        </w:tabs>
        <w:ind w:left="709"/>
        <w:rPr>
          <w:noProof/>
        </w:rPr>
      </w:pPr>
      <w:bookmarkStart w:id="110" w:name="_Toc214467702"/>
      <w:bookmarkStart w:id="111" w:name="_Toc215083728"/>
      <w:bookmarkStart w:id="112" w:name="_Toc219212496"/>
      <w:bookmarkStart w:id="113" w:name="_Toc219718151"/>
      <w:r w:rsidRPr="00A827C2">
        <w:rPr>
          <w:noProof/>
        </w:rPr>
        <w:t>Lack of pan-European networks and services</w:t>
      </w:r>
      <w:bookmarkEnd w:id="110"/>
      <w:bookmarkEnd w:id="111"/>
      <w:bookmarkEnd w:id="112"/>
      <w:bookmarkEnd w:id="113"/>
    </w:p>
    <w:p w14:paraId="4CF3D714" w14:textId="5DDEAE4E" w:rsidR="001308E2" w:rsidRPr="00EF16B9" w:rsidRDefault="001308E2" w:rsidP="00292895">
      <w:pPr>
        <w:pStyle w:val="Heading4"/>
        <w:rPr>
          <w:iCs/>
          <w:noProof/>
          <w:color w:val="000000" w:themeColor="text1"/>
        </w:rPr>
      </w:pPr>
      <w:r w:rsidRPr="00EF16B9">
        <w:rPr>
          <w:iCs/>
          <w:noProof/>
          <w:color w:val="000000" w:themeColor="text1"/>
        </w:rPr>
        <w:t xml:space="preserve">Barriers and limited development of innovative services </w:t>
      </w:r>
    </w:p>
    <w:p w14:paraId="62BE3A0A" w14:textId="626B36C4" w:rsidR="3DBE602E" w:rsidRPr="00DE264C" w:rsidRDefault="3DBE602E" w:rsidP="00E73BF1">
      <w:pPr>
        <w:spacing w:line="240" w:lineRule="auto"/>
        <w:rPr>
          <w:rFonts w:eastAsia="Times New Roman Bold"/>
          <w:noProof/>
          <w:lang w:val="en-US"/>
        </w:rPr>
      </w:pPr>
      <w:r w:rsidRPr="00A827C2">
        <w:rPr>
          <w:noProof/>
        </w:rPr>
        <w:t>Without greater harmonisation of general authorisation conditions, procedures, and security-related rules, wherever possible and justified, the European electronic communications market will remain fragmented. This lack of regulatory consistency</w:t>
      </w:r>
      <w:r w:rsidR="00534F84" w:rsidRPr="00A827C2">
        <w:rPr>
          <w:noProof/>
        </w:rPr>
        <w:t xml:space="preserve"> will</w:t>
      </w:r>
      <w:r w:rsidRPr="00A827C2">
        <w:rPr>
          <w:noProof/>
        </w:rPr>
        <w:t xml:space="preserve"> hinder market integration, increase compliance costs, and create</w:t>
      </w:r>
      <w:r w:rsidR="001B3ECB" w:rsidRPr="00A827C2">
        <w:rPr>
          <w:noProof/>
        </w:rPr>
        <w:t xml:space="preserve"> </w:t>
      </w:r>
      <w:r w:rsidRPr="00A827C2">
        <w:rPr>
          <w:noProof/>
        </w:rPr>
        <w:t xml:space="preserve">uncertainty for service providers, ultimately slowing down innovation and investment in the sector. </w:t>
      </w:r>
      <w:r w:rsidRPr="00DE264C">
        <w:rPr>
          <w:rFonts w:eastAsia="Times New Roman"/>
          <w:noProof/>
        </w:rPr>
        <w:t>Similarly, without encouraging cooperation between actors in this extended connectivity ecosystem and, when needed, providing more guidance to ensure regulatory predictability</w:t>
      </w:r>
      <w:r w:rsidR="00FD0188" w:rsidRPr="00DE264C">
        <w:rPr>
          <w:rFonts w:eastAsia="Times New Roman"/>
          <w:noProof/>
        </w:rPr>
        <w:t xml:space="preserve"> across the EU</w:t>
      </w:r>
      <w:r w:rsidRPr="00DE264C">
        <w:rPr>
          <w:rFonts w:eastAsia="Times New Roman"/>
          <w:noProof/>
        </w:rPr>
        <w:t>, delivery of such innovative services could be hampered.</w:t>
      </w:r>
      <w:r w:rsidR="5B949D2F" w:rsidRPr="00A827C2">
        <w:rPr>
          <w:noProof/>
        </w:rPr>
        <w:t xml:space="preserve"> The persistence of the problem also impacts negatively the EU’s economic security.</w:t>
      </w:r>
    </w:p>
    <w:p w14:paraId="1DFC59BF" w14:textId="38B6809E" w:rsidR="00F628D3" w:rsidRPr="00EF16B9" w:rsidRDefault="00F628D3" w:rsidP="00292895">
      <w:pPr>
        <w:pStyle w:val="Heading4"/>
        <w:rPr>
          <w:noProof/>
        </w:rPr>
      </w:pPr>
      <w:r w:rsidRPr="00EF16B9">
        <w:rPr>
          <w:noProof/>
          <w:color w:val="000000" w:themeColor="text1"/>
        </w:rPr>
        <w:t>Barriers</w:t>
      </w:r>
      <w:r w:rsidRPr="00EF16B9">
        <w:rPr>
          <w:noProof/>
        </w:rPr>
        <w:t xml:space="preserve"> to pan-European </w:t>
      </w:r>
      <w:r w:rsidR="004960F2" w:rsidRPr="00EF16B9">
        <w:rPr>
          <w:noProof/>
        </w:rPr>
        <w:t>sovereign</w:t>
      </w:r>
      <w:r w:rsidRPr="00EF16B9">
        <w:rPr>
          <w:noProof/>
        </w:rPr>
        <w:t xml:space="preserve"> </w:t>
      </w:r>
      <w:r w:rsidR="003F0962" w:rsidRPr="00EF16B9">
        <w:rPr>
          <w:noProof/>
        </w:rPr>
        <w:t>satellite</w:t>
      </w:r>
      <w:r w:rsidRPr="00EF16B9">
        <w:rPr>
          <w:noProof/>
        </w:rPr>
        <w:t xml:space="preserve"> services</w:t>
      </w:r>
    </w:p>
    <w:p w14:paraId="3757C78C" w14:textId="7E8E0CC6" w:rsidR="00680295" w:rsidRDefault="003C2CE7" w:rsidP="00E73BF1">
      <w:pPr>
        <w:spacing w:line="240" w:lineRule="auto"/>
        <w:rPr>
          <w:noProof/>
        </w:rPr>
      </w:pPr>
      <w:r w:rsidRPr="00DE264C">
        <w:rPr>
          <w:noProof/>
        </w:rPr>
        <w:t>The EU’s strategic initiatives in the space domain — including the EU Vision for a Space Economy, the financial support for the IRIS² constellation, and the forthcoming Space Act — are designed to stimulate investment and enhance Europe’s competitiveness and strategic autonomy in space. While these initiatives address investment-related challenges</w:t>
      </w:r>
      <w:r w:rsidR="00B2086D" w:rsidRPr="00DE264C">
        <w:rPr>
          <w:noProof/>
        </w:rPr>
        <w:t xml:space="preserve"> as well as </w:t>
      </w:r>
      <w:r w:rsidR="00361142" w:rsidRPr="00DE264C">
        <w:rPr>
          <w:noProof/>
        </w:rPr>
        <w:t>saf</w:t>
      </w:r>
      <w:r w:rsidR="00127C10" w:rsidRPr="00DE264C">
        <w:rPr>
          <w:noProof/>
        </w:rPr>
        <w:t xml:space="preserve">ety, resilience and </w:t>
      </w:r>
      <w:r w:rsidR="00435246" w:rsidRPr="00DE264C">
        <w:rPr>
          <w:noProof/>
        </w:rPr>
        <w:t>environmental aspects of space activities</w:t>
      </w:r>
      <w:r w:rsidR="00FD7162" w:rsidRPr="00DE264C">
        <w:rPr>
          <w:rStyle w:val="FootnoteReference"/>
          <w:noProof/>
        </w:rPr>
        <w:footnoteReference w:id="162"/>
      </w:r>
      <w:r w:rsidRPr="00DE264C">
        <w:rPr>
          <w:noProof/>
        </w:rPr>
        <w:t xml:space="preserve">, they do not tackle the underlying fragmentation of spectrum regulation and authorisation frameworks, the absence of a harmonised mechanism for accessing satellite </w:t>
      </w:r>
      <w:r w:rsidR="000F783E" w:rsidRPr="00DE264C">
        <w:rPr>
          <w:noProof/>
        </w:rPr>
        <w:t xml:space="preserve">spectrum </w:t>
      </w:r>
      <w:r w:rsidR="003620DC" w:rsidRPr="00DE264C">
        <w:rPr>
          <w:noProof/>
        </w:rPr>
        <w:t xml:space="preserve">for the provision of satellite </w:t>
      </w:r>
      <w:r w:rsidR="00586ECD" w:rsidRPr="00DE264C">
        <w:rPr>
          <w:noProof/>
        </w:rPr>
        <w:t xml:space="preserve">communication </w:t>
      </w:r>
      <w:r w:rsidR="003620DC" w:rsidRPr="00DE264C">
        <w:rPr>
          <w:noProof/>
        </w:rPr>
        <w:t>services</w:t>
      </w:r>
      <w:r w:rsidR="00AF0A77" w:rsidRPr="00DE264C">
        <w:rPr>
          <w:noProof/>
        </w:rPr>
        <w:t xml:space="preserve"> in the EU</w:t>
      </w:r>
      <w:r w:rsidRPr="00DE264C">
        <w:rPr>
          <w:noProof/>
        </w:rPr>
        <w:t>.</w:t>
      </w:r>
    </w:p>
    <w:p w14:paraId="3DFED6E9" w14:textId="164C0CA6" w:rsidR="00332680" w:rsidRPr="00DE264C" w:rsidRDefault="003C2CE7" w:rsidP="00E73BF1">
      <w:pPr>
        <w:spacing w:line="240" w:lineRule="auto"/>
        <w:rPr>
          <w:noProof/>
        </w:rPr>
      </w:pPr>
      <w:r w:rsidRPr="00DE264C">
        <w:rPr>
          <w:noProof/>
        </w:rPr>
        <w:t xml:space="preserve">Without </w:t>
      </w:r>
      <w:r w:rsidR="00095258" w:rsidRPr="00DE264C">
        <w:rPr>
          <w:noProof/>
        </w:rPr>
        <w:t xml:space="preserve">a </w:t>
      </w:r>
      <w:r w:rsidRPr="00DE264C">
        <w:rPr>
          <w:noProof/>
        </w:rPr>
        <w:t>regulatory intervention at Union level, this fragmentation is likely to persist, reducing the overall effectiveness of these initiatives and limiting progress towards the EU’s broader policy objectives in the space sector</w:t>
      </w:r>
      <w:r w:rsidR="00E42408" w:rsidRPr="00DE264C">
        <w:rPr>
          <w:noProof/>
        </w:rPr>
        <w:t xml:space="preserve">. </w:t>
      </w:r>
      <w:r w:rsidR="00AE1E7A" w:rsidRPr="00DE264C">
        <w:rPr>
          <w:noProof/>
        </w:rPr>
        <w:t>Satellite operators</w:t>
      </w:r>
      <w:r w:rsidR="00DB5F6F" w:rsidRPr="00DE264C">
        <w:rPr>
          <w:noProof/>
        </w:rPr>
        <w:t xml:space="preserve"> </w:t>
      </w:r>
      <w:r w:rsidR="00E21716" w:rsidRPr="00DE264C">
        <w:rPr>
          <w:noProof/>
        </w:rPr>
        <w:t xml:space="preserve">will continue </w:t>
      </w:r>
      <w:r w:rsidR="008734C8" w:rsidRPr="00DE264C">
        <w:rPr>
          <w:noProof/>
        </w:rPr>
        <w:t xml:space="preserve">to </w:t>
      </w:r>
      <w:r w:rsidR="00321BD1" w:rsidRPr="00DE264C">
        <w:rPr>
          <w:noProof/>
        </w:rPr>
        <w:t>be obliged</w:t>
      </w:r>
      <w:r w:rsidR="00105B3D" w:rsidRPr="00DE264C">
        <w:rPr>
          <w:noProof/>
        </w:rPr>
        <w:t xml:space="preserve"> to</w:t>
      </w:r>
      <w:r w:rsidR="004D07E4" w:rsidRPr="00DE264C">
        <w:rPr>
          <w:noProof/>
        </w:rPr>
        <w:t xml:space="preserve"> requ</w:t>
      </w:r>
      <w:r w:rsidR="37984E9C" w:rsidRPr="00DE264C">
        <w:rPr>
          <w:noProof/>
        </w:rPr>
        <w:t>est</w:t>
      </w:r>
      <w:r w:rsidR="004D07E4" w:rsidRPr="00DE264C">
        <w:rPr>
          <w:noProof/>
        </w:rPr>
        <w:t xml:space="preserve"> </w:t>
      </w:r>
      <w:r w:rsidR="001472DA" w:rsidRPr="00DE264C">
        <w:rPr>
          <w:noProof/>
        </w:rPr>
        <w:t>authori</w:t>
      </w:r>
      <w:r w:rsidR="70019848" w:rsidRPr="00DE264C">
        <w:rPr>
          <w:noProof/>
        </w:rPr>
        <w:t>s</w:t>
      </w:r>
      <w:r w:rsidR="001472DA" w:rsidRPr="00DE264C">
        <w:rPr>
          <w:noProof/>
        </w:rPr>
        <w:t>ation</w:t>
      </w:r>
      <w:r w:rsidR="00E97357" w:rsidRPr="00DE264C">
        <w:rPr>
          <w:noProof/>
        </w:rPr>
        <w:t xml:space="preserve"> for the use of</w:t>
      </w:r>
      <w:r w:rsidR="001472DA" w:rsidRPr="00DE264C">
        <w:rPr>
          <w:noProof/>
        </w:rPr>
        <w:t xml:space="preserve"> </w:t>
      </w:r>
      <w:r w:rsidR="00E97357" w:rsidRPr="00DE264C">
        <w:rPr>
          <w:noProof/>
        </w:rPr>
        <w:t xml:space="preserve">spectrum </w:t>
      </w:r>
      <w:r w:rsidR="07282EEF" w:rsidRPr="00DE264C">
        <w:rPr>
          <w:noProof/>
        </w:rPr>
        <w:t>individually at every Member State</w:t>
      </w:r>
      <w:r w:rsidR="50250D91" w:rsidRPr="00DE264C">
        <w:rPr>
          <w:noProof/>
        </w:rPr>
        <w:t xml:space="preserve"> without any guarantee of getting it everywhere</w:t>
      </w:r>
      <w:r w:rsidR="07282EEF" w:rsidRPr="00DE264C">
        <w:rPr>
          <w:noProof/>
        </w:rPr>
        <w:t>, potentially</w:t>
      </w:r>
      <w:r w:rsidR="00E97357" w:rsidRPr="00DE264C">
        <w:rPr>
          <w:noProof/>
        </w:rPr>
        <w:t xml:space="preserve"> </w:t>
      </w:r>
      <w:r w:rsidR="001B2314" w:rsidRPr="00DE264C">
        <w:rPr>
          <w:noProof/>
        </w:rPr>
        <w:t>facing</w:t>
      </w:r>
      <w:r w:rsidR="00105B3D" w:rsidRPr="00DE264C">
        <w:rPr>
          <w:noProof/>
        </w:rPr>
        <w:t xml:space="preserve"> 27</w:t>
      </w:r>
      <w:r w:rsidR="001B2314" w:rsidRPr="00DE264C">
        <w:rPr>
          <w:noProof/>
        </w:rPr>
        <w:t xml:space="preserve"> different conditions, duration</w:t>
      </w:r>
      <w:r w:rsidR="29F3ECF4" w:rsidRPr="00DE264C">
        <w:rPr>
          <w:noProof/>
        </w:rPr>
        <w:t>,</w:t>
      </w:r>
      <w:r w:rsidR="001B2314" w:rsidRPr="00DE264C">
        <w:rPr>
          <w:noProof/>
        </w:rPr>
        <w:t xml:space="preserve"> fees, </w:t>
      </w:r>
      <w:r w:rsidR="2615B1A8" w:rsidRPr="00DE264C">
        <w:rPr>
          <w:noProof/>
        </w:rPr>
        <w:t>conditions which act as</w:t>
      </w:r>
      <w:r w:rsidR="00795418" w:rsidRPr="00DE264C">
        <w:rPr>
          <w:noProof/>
        </w:rPr>
        <w:t xml:space="preserve"> barriers to economies of scale</w:t>
      </w:r>
      <w:r w:rsidR="00F601B2" w:rsidRPr="00DE264C">
        <w:rPr>
          <w:noProof/>
        </w:rPr>
        <w:t xml:space="preserve"> as described in section 2.1 and 2.2</w:t>
      </w:r>
      <w:r w:rsidR="00795418" w:rsidRPr="00DE264C">
        <w:rPr>
          <w:noProof/>
        </w:rPr>
        <w:t>.</w:t>
      </w:r>
    </w:p>
    <w:p w14:paraId="4DCF14D0" w14:textId="781C9B04" w:rsidR="00C957A0" w:rsidRPr="00DE264C" w:rsidRDefault="008A59B8" w:rsidP="00E73BF1">
      <w:pPr>
        <w:spacing w:line="240" w:lineRule="auto"/>
        <w:rPr>
          <w:noProof/>
          <w:lang w:val="en-IE"/>
        </w:rPr>
      </w:pPr>
      <w:r w:rsidRPr="15B50C0E">
        <w:rPr>
          <w:noProof/>
          <w:lang w:val="en-IE"/>
        </w:rPr>
        <w:t xml:space="preserve">Further, the </w:t>
      </w:r>
      <w:r w:rsidR="00B36D24" w:rsidRPr="00B36D24">
        <w:rPr>
          <w:noProof/>
          <w:lang w:val="en-IE"/>
        </w:rPr>
        <w:t xml:space="preserve">evolving </w:t>
      </w:r>
      <w:r w:rsidR="00B36D24" w:rsidRPr="00E73BF1">
        <w:rPr>
          <w:noProof/>
        </w:rPr>
        <w:t>geopolitical</w:t>
      </w:r>
      <w:r w:rsidR="00B36D24" w:rsidRPr="00B36D24">
        <w:rPr>
          <w:noProof/>
          <w:lang w:val="en-IE"/>
        </w:rPr>
        <w:t xml:space="preserve"> context as well as the growing demand for </w:t>
      </w:r>
      <w:r w:rsidR="00B36D24" w:rsidRPr="00CC16B3">
        <w:rPr>
          <w:noProof/>
          <w:lang w:val="en-IE"/>
        </w:rPr>
        <w:t>satellite systems</w:t>
      </w:r>
      <w:r w:rsidR="00B36D24" w:rsidRPr="00B36D24">
        <w:rPr>
          <w:noProof/>
          <w:lang w:val="en-IE"/>
        </w:rPr>
        <w:t xml:space="preserve"> </w:t>
      </w:r>
      <w:r w:rsidR="006D0A2A">
        <w:rPr>
          <w:noProof/>
          <w:lang w:val="en-IE"/>
        </w:rPr>
        <w:t xml:space="preserve">will </w:t>
      </w:r>
      <w:r w:rsidR="00774901">
        <w:rPr>
          <w:noProof/>
          <w:lang w:val="en-IE"/>
        </w:rPr>
        <w:t>increasingly lack</w:t>
      </w:r>
      <w:r w:rsidR="00C872AA">
        <w:rPr>
          <w:rStyle w:val="FootnoteReference"/>
          <w:noProof/>
          <w:lang w:val="en-IE"/>
        </w:rPr>
        <w:footnoteReference w:id="163"/>
      </w:r>
      <w:r w:rsidR="006D0A2A">
        <w:rPr>
          <w:noProof/>
          <w:lang w:val="en-IE"/>
        </w:rPr>
        <w:t xml:space="preserve"> a</w:t>
      </w:r>
      <w:r w:rsidR="00425718">
        <w:rPr>
          <w:noProof/>
          <w:lang w:val="en-IE"/>
        </w:rPr>
        <w:t xml:space="preserve"> </w:t>
      </w:r>
      <w:r w:rsidR="00B36D24" w:rsidRPr="00B36D24">
        <w:rPr>
          <w:noProof/>
          <w:lang w:val="en-IE"/>
        </w:rPr>
        <w:t xml:space="preserve">coordinated authorisation framework to </w:t>
      </w:r>
      <w:r w:rsidR="00B36D24" w:rsidRPr="00CC16B3">
        <w:rPr>
          <w:noProof/>
          <w:lang w:val="en-IE"/>
        </w:rPr>
        <w:t xml:space="preserve">strategically and effectively </w:t>
      </w:r>
      <w:r w:rsidR="00B36D24" w:rsidRPr="00B36D24">
        <w:rPr>
          <w:noProof/>
          <w:lang w:val="en-IE"/>
        </w:rPr>
        <w:t xml:space="preserve">provide satellite services that protect EU’s interests </w:t>
      </w:r>
      <w:r w:rsidR="00B36D24" w:rsidRPr="00CC16B3">
        <w:rPr>
          <w:noProof/>
          <w:lang w:val="en-IE"/>
        </w:rPr>
        <w:t>by prioriti</w:t>
      </w:r>
      <w:r w:rsidR="001B000F">
        <w:rPr>
          <w:noProof/>
          <w:lang w:val="en-IE"/>
        </w:rPr>
        <w:t>s</w:t>
      </w:r>
      <w:r w:rsidR="00B36D24" w:rsidRPr="00CC16B3">
        <w:rPr>
          <w:noProof/>
          <w:lang w:val="en-IE"/>
        </w:rPr>
        <w:t>ing security, resilience, technological leadership, and digital sovereignty</w:t>
      </w:r>
      <w:r w:rsidR="00B36D24" w:rsidRPr="00B36D24">
        <w:rPr>
          <w:noProof/>
          <w:lang w:val="en-IE"/>
        </w:rPr>
        <w:t>.</w:t>
      </w:r>
    </w:p>
    <w:p w14:paraId="79B2310A" w14:textId="7718371F" w:rsidR="00447169" w:rsidRPr="00DE264C" w:rsidRDefault="00200D14" w:rsidP="00E73BF1">
      <w:pPr>
        <w:spacing w:line="240" w:lineRule="auto"/>
        <w:rPr>
          <w:noProof/>
          <w:lang w:val="en-IE"/>
        </w:rPr>
      </w:pPr>
      <w:r w:rsidRPr="00DE264C">
        <w:rPr>
          <w:noProof/>
          <w:lang w:val="en-IE"/>
        </w:rPr>
        <w:t xml:space="preserve">Inefficiencies caused by </w:t>
      </w:r>
      <w:r w:rsidR="00C63990" w:rsidRPr="00DE264C">
        <w:rPr>
          <w:noProof/>
          <w:lang w:val="en-IE"/>
        </w:rPr>
        <w:t>regulatory</w:t>
      </w:r>
      <w:r w:rsidRPr="00DE264C">
        <w:rPr>
          <w:noProof/>
          <w:lang w:val="en-IE"/>
        </w:rPr>
        <w:t xml:space="preserve"> </w:t>
      </w:r>
      <w:r w:rsidR="00A37629" w:rsidRPr="00DE264C">
        <w:rPr>
          <w:noProof/>
          <w:lang w:val="en-IE"/>
        </w:rPr>
        <w:t>barriers</w:t>
      </w:r>
      <w:r w:rsidRPr="00DE264C">
        <w:rPr>
          <w:noProof/>
          <w:lang w:val="en-IE"/>
        </w:rPr>
        <w:t xml:space="preserve"> are expected to worsen in </w:t>
      </w:r>
      <w:r w:rsidR="00B0736A" w:rsidRPr="00DE264C">
        <w:rPr>
          <w:noProof/>
          <w:lang w:val="en-IE"/>
        </w:rPr>
        <w:t>a</w:t>
      </w:r>
      <w:r w:rsidRPr="00DE264C">
        <w:rPr>
          <w:noProof/>
          <w:lang w:val="en-IE"/>
        </w:rPr>
        <w:t xml:space="preserve"> context of integrated satellite and mobile communication services enabled by 6G technologies</w:t>
      </w:r>
      <w:r w:rsidR="000240C9" w:rsidRPr="00DE264C">
        <w:rPr>
          <w:noProof/>
          <w:lang w:val="en-IE"/>
        </w:rPr>
        <w:t>.</w:t>
      </w:r>
      <w:r w:rsidRPr="00DE264C">
        <w:rPr>
          <w:noProof/>
        </w:rPr>
        <w:t xml:space="preserve"> </w:t>
      </w:r>
      <w:r w:rsidR="00F01BAC" w:rsidRPr="00DE264C">
        <w:rPr>
          <w:noProof/>
        </w:rPr>
        <w:t>T</w:t>
      </w:r>
      <w:r w:rsidR="007203F5" w:rsidRPr="00DE264C">
        <w:rPr>
          <w:noProof/>
        </w:rPr>
        <w:t xml:space="preserve">raditional boundaries between terrestrial and satellite networks </w:t>
      </w:r>
      <w:r w:rsidR="004C3111" w:rsidRPr="00DE264C">
        <w:rPr>
          <w:noProof/>
        </w:rPr>
        <w:t xml:space="preserve">are </w:t>
      </w:r>
      <w:r w:rsidR="00A62E92" w:rsidRPr="00DE264C">
        <w:rPr>
          <w:noProof/>
        </w:rPr>
        <w:t xml:space="preserve">becoming </w:t>
      </w:r>
      <w:r w:rsidR="004C3111" w:rsidRPr="00DE264C">
        <w:rPr>
          <w:noProof/>
        </w:rPr>
        <w:t>blurr</w:t>
      </w:r>
      <w:r w:rsidR="00A62E92" w:rsidRPr="00DE264C">
        <w:rPr>
          <w:noProof/>
        </w:rPr>
        <w:t>ed</w:t>
      </w:r>
      <w:r w:rsidR="00264F08" w:rsidRPr="00DE264C">
        <w:rPr>
          <w:noProof/>
        </w:rPr>
        <w:t>,</w:t>
      </w:r>
      <w:r w:rsidR="004C3111" w:rsidRPr="00DE264C">
        <w:rPr>
          <w:noProof/>
        </w:rPr>
        <w:t xml:space="preserve"> </w:t>
      </w:r>
      <w:r w:rsidR="00745184" w:rsidRPr="00DE264C">
        <w:rPr>
          <w:noProof/>
        </w:rPr>
        <w:t>requiring a</w:t>
      </w:r>
      <w:r w:rsidR="004C3111" w:rsidRPr="00DE264C">
        <w:rPr>
          <w:noProof/>
        </w:rPr>
        <w:t xml:space="preserve"> </w:t>
      </w:r>
      <w:r w:rsidR="007203F5" w:rsidRPr="00DE264C">
        <w:rPr>
          <w:noProof/>
        </w:rPr>
        <w:t>coordinated and forward-looking regulatory framework to prevent market fragmentation and spectrum interference, particularly in frequency bands that will be jointly used by both terrestrial-mobile and satellite operators</w:t>
      </w:r>
      <w:r w:rsidR="00954E31" w:rsidRPr="00DE264C">
        <w:rPr>
          <w:rStyle w:val="FootnoteReference"/>
          <w:noProof/>
          <w:lang w:val="en-IE"/>
        </w:rPr>
        <w:footnoteReference w:id="164"/>
      </w:r>
      <w:r w:rsidR="001B1415" w:rsidRPr="00DE264C">
        <w:rPr>
          <w:noProof/>
          <w:lang w:val="en-IE"/>
        </w:rPr>
        <w:t xml:space="preserve"> (see Annex 7</w:t>
      </w:r>
      <w:r w:rsidR="00EF7C0B">
        <w:rPr>
          <w:noProof/>
          <w:lang w:val="en-IE"/>
        </w:rPr>
        <w:t>,</w:t>
      </w:r>
      <w:r w:rsidR="001B1415" w:rsidRPr="00DE264C">
        <w:rPr>
          <w:noProof/>
          <w:lang w:val="en-IE"/>
        </w:rPr>
        <w:t xml:space="preserve"> section 1.3)</w:t>
      </w:r>
      <w:r w:rsidR="0083434D" w:rsidRPr="00DE264C">
        <w:rPr>
          <w:noProof/>
          <w:lang w:val="en-IE"/>
        </w:rPr>
        <w:t>.</w:t>
      </w:r>
      <w:r w:rsidR="00112C83" w:rsidRPr="00DE264C">
        <w:rPr>
          <w:noProof/>
          <w:lang w:val="en-IE"/>
        </w:rPr>
        <w:t xml:space="preserve"> </w:t>
      </w:r>
      <w:r w:rsidR="007203F5" w:rsidRPr="00DE264C">
        <w:rPr>
          <w:noProof/>
          <w:lang w:val="en-IE"/>
        </w:rPr>
        <w:t xml:space="preserve">Without further action, the EU risks missing the opportunity for the </w:t>
      </w:r>
      <w:r w:rsidR="009A186C" w:rsidRPr="00DE264C">
        <w:rPr>
          <w:noProof/>
          <w:lang w:val="en-IE"/>
        </w:rPr>
        <w:t>timely</w:t>
      </w:r>
      <w:r w:rsidR="007203F5" w:rsidRPr="00DE264C">
        <w:rPr>
          <w:noProof/>
          <w:lang w:val="en-IE"/>
        </w:rPr>
        <w:t xml:space="preserve"> development of autonomous, resilient and sovereign </w:t>
      </w:r>
      <w:r w:rsidR="00424E77" w:rsidRPr="00DE264C">
        <w:rPr>
          <w:noProof/>
          <w:lang w:val="en-IE"/>
        </w:rPr>
        <w:t>D2D</w:t>
      </w:r>
      <w:r w:rsidR="007203F5" w:rsidRPr="00DE264C">
        <w:rPr>
          <w:noProof/>
          <w:lang w:val="en-IE"/>
        </w:rPr>
        <w:t xml:space="preserve"> mobile and IoT connectivity</w:t>
      </w:r>
      <w:r w:rsidR="00AD384B" w:rsidRPr="00DE264C">
        <w:rPr>
          <w:rStyle w:val="FootnoteReference"/>
          <w:noProof/>
          <w:lang w:val="en-IE"/>
        </w:rPr>
        <w:footnoteReference w:id="165"/>
      </w:r>
      <w:r w:rsidR="72660EDE" w:rsidRPr="00DE264C">
        <w:rPr>
          <w:noProof/>
        </w:rPr>
        <w:t>.</w:t>
      </w:r>
      <w:r w:rsidR="00DF4304" w:rsidRPr="00DE264C">
        <w:rPr>
          <w:noProof/>
        </w:rPr>
        <w:t xml:space="preserve"> </w:t>
      </w:r>
      <w:r w:rsidR="0015217F" w:rsidRPr="00DE264C">
        <w:rPr>
          <w:noProof/>
        </w:rPr>
        <w:t xml:space="preserve">No Member State on its own has sufficient strength and dissuasive enforcement mechanisms to enforce </w:t>
      </w:r>
      <w:r w:rsidR="00E65285" w:rsidRPr="00DE264C">
        <w:rPr>
          <w:noProof/>
        </w:rPr>
        <w:t>the ITU obligations related to the avoidance of harmful interference</w:t>
      </w:r>
      <w:r w:rsidR="0015217F" w:rsidRPr="00DE264C">
        <w:rPr>
          <w:noProof/>
        </w:rPr>
        <w:t xml:space="preserve">, especially on large </w:t>
      </w:r>
      <w:r w:rsidR="00BA32DE" w:rsidRPr="00DE264C">
        <w:rPr>
          <w:noProof/>
        </w:rPr>
        <w:t>operators</w:t>
      </w:r>
      <w:r w:rsidR="0015217F" w:rsidRPr="00DE264C">
        <w:rPr>
          <w:noProof/>
        </w:rPr>
        <w:t>, and the strength of the single market remains unexploited</w:t>
      </w:r>
      <w:r w:rsidR="000D2545" w:rsidRPr="7AC71608">
        <w:rPr>
          <w:rFonts w:eastAsiaTheme="minorEastAsia"/>
          <w:noProof/>
          <w:vertAlign w:val="superscript"/>
        </w:rPr>
        <w:footnoteReference w:id="166"/>
      </w:r>
      <w:r w:rsidR="0015217F" w:rsidRPr="00DE264C">
        <w:rPr>
          <w:noProof/>
        </w:rPr>
        <w:t xml:space="preserve">. </w:t>
      </w:r>
      <w:r w:rsidR="00715EB8" w:rsidRPr="00DE264C">
        <w:rPr>
          <w:noProof/>
        </w:rPr>
        <w:t>Member States</w:t>
      </w:r>
      <w:r w:rsidR="00C01040" w:rsidRPr="00DE264C">
        <w:rPr>
          <w:noProof/>
        </w:rPr>
        <w:t xml:space="preserve"> </w:t>
      </w:r>
      <w:r w:rsidR="00E16BEF" w:rsidRPr="00DE264C">
        <w:rPr>
          <w:noProof/>
        </w:rPr>
        <w:t xml:space="preserve">on their </w:t>
      </w:r>
      <w:r w:rsidR="0034003A" w:rsidRPr="00DE264C">
        <w:rPr>
          <w:noProof/>
        </w:rPr>
        <w:t>o</w:t>
      </w:r>
      <w:r w:rsidR="0034003A">
        <w:rPr>
          <w:noProof/>
        </w:rPr>
        <w:t>wn</w:t>
      </w:r>
      <w:r w:rsidR="00E16BEF" w:rsidRPr="00DE264C">
        <w:rPr>
          <w:noProof/>
        </w:rPr>
        <w:t xml:space="preserve"> </w:t>
      </w:r>
      <w:r w:rsidR="00715EB8" w:rsidRPr="00DE264C">
        <w:rPr>
          <w:noProof/>
          <w:lang w:val="en-IE"/>
        </w:rPr>
        <w:t>are</w:t>
      </w:r>
      <w:r w:rsidR="00761FBD" w:rsidRPr="00DE264C">
        <w:rPr>
          <w:noProof/>
          <w:lang w:val="en-IE"/>
        </w:rPr>
        <w:t xml:space="preserve"> not unequipped </w:t>
      </w:r>
      <w:r w:rsidR="00C616D6" w:rsidRPr="00DE264C">
        <w:rPr>
          <w:noProof/>
          <w:lang w:val="en-IE"/>
        </w:rPr>
        <w:t xml:space="preserve">to </w:t>
      </w:r>
      <w:r w:rsidR="00761FBD" w:rsidRPr="00DE264C">
        <w:rPr>
          <w:noProof/>
          <w:lang w:val="en-IE"/>
        </w:rPr>
        <w:t>efficiently enforc</w:t>
      </w:r>
      <w:r w:rsidR="00C616D6" w:rsidRPr="00DE264C">
        <w:rPr>
          <w:noProof/>
          <w:lang w:val="en-IE"/>
        </w:rPr>
        <w:t>e</w:t>
      </w:r>
      <w:r w:rsidR="00761FBD" w:rsidRPr="00DE264C">
        <w:rPr>
          <w:noProof/>
          <w:lang w:val="en-IE"/>
        </w:rPr>
        <w:t xml:space="preserve"> </w:t>
      </w:r>
      <w:r w:rsidR="00C616D6" w:rsidRPr="00DE264C">
        <w:rPr>
          <w:noProof/>
          <w:lang w:val="en-IE"/>
        </w:rPr>
        <w:t>ITU</w:t>
      </w:r>
      <w:r w:rsidR="00761FBD" w:rsidRPr="00DE264C">
        <w:rPr>
          <w:noProof/>
          <w:lang w:val="en-IE"/>
        </w:rPr>
        <w:t xml:space="preserve"> rules</w:t>
      </w:r>
      <w:r w:rsidR="00C616D6" w:rsidRPr="00DE264C">
        <w:rPr>
          <w:noProof/>
          <w:lang w:val="en-IE"/>
        </w:rPr>
        <w:t xml:space="preserve"> but also</w:t>
      </w:r>
      <w:r w:rsidR="00940B6A" w:rsidRPr="00DE264C">
        <w:rPr>
          <w:noProof/>
          <w:lang w:val="en-IE"/>
        </w:rPr>
        <w:t>,</w:t>
      </w:r>
      <w:r w:rsidR="004911BD" w:rsidRPr="00DE264C">
        <w:rPr>
          <w:noProof/>
          <w:lang w:val="en-IE"/>
        </w:rPr>
        <w:t xml:space="preserve"> </w:t>
      </w:r>
      <w:r w:rsidR="00715EB8" w:rsidRPr="00DE264C">
        <w:rPr>
          <w:noProof/>
          <w:lang w:val="en-IE"/>
        </w:rPr>
        <w:t xml:space="preserve">they are </w:t>
      </w:r>
      <w:r w:rsidR="00984E62" w:rsidRPr="00DE264C">
        <w:rPr>
          <w:noProof/>
          <w:lang w:val="en-IE"/>
        </w:rPr>
        <w:t xml:space="preserve">not able </w:t>
      </w:r>
      <w:r w:rsidR="00715EB8" w:rsidRPr="00DE264C">
        <w:rPr>
          <w:noProof/>
          <w:lang w:val="en-IE"/>
        </w:rPr>
        <w:t xml:space="preserve">to </w:t>
      </w:r>
      <w:r w:rsidR="004911BD" w:rsidRPr="00DE264C">
        <w:rPr>
          <w:noProof/>
          <w:lang w:val="en-IE"/>
        </w:rPr>
        <w:t xml:space="preserve">ensure </w:t>
      </w:r>
      <w:r w:rsidR="00984E62" w:rsidRPr="00DE264C">
        <w:rPr>
          <w:noProof/>
          <w:lang w:val="en-IE"/>
        </w:rPr>
        <w:t xml:space="preserve">an </w:t>
      </w:r>
      <w:r w:rsidR="00AA046D" w:rsidRPr="00DE264C">
        <w:rPr>
          <w:noProof/>
        </w:rPr>
        <w:t>equitable use of spectrum and orbits by all space actors in the world, be they commercial, scientific or governmental</w:t>
      </w:r>
      <w:r w:rsidR="007B75B8" w:rsidRPr="00DE264C">
        <w:rPr>
          <w:noProof/>
          <w:vertAlign w:val="superscript"/>
        </w:rPr>
        <w:footnoteReference w:id="167"/>
      </w:r>
      <w:r w:rsidR="007B75B8" w:rsidRPr="00DE264C">
        <w:rPr>
          <w:noProof/>
        </w:rPr>
        <w:t xml:space="preserve">. </w:t>
      </w:r>
    </w:p>
    <w:p w14:paraId="5A14F62B" w14:textId="7E540E36" w:rsidR="00A17962" w:rsidRPr="00DE264C" w:rsidRDefault="0015217F" w:rsidP="00E73BF1">
      <w:pPr>
        <w:spacing w:line="240" w:lineRule="auto"/>
        <w:rPr>
          <w:noProof/>
        </w:rPr>
      </w:pPr>
      <w:r w:rsidRPr="00DE264C">
        <w:rPr>
          <w:noProof/>
        </w:rPr>
        <w:t xml:space="preserve">Forum shopping and fragmentation could become a serious liability in terms of national security capabilities, including lawful interception. </w:t>
      </w:r>
      <w:r w:rsidR="00A2593C" w:rsidRPr="00DE264C">
        <w:rPr>
          <w:noProof/>
        </w:rPr>
        <w:t>It is therefore essential to ensure that international law is respected effectively and Union interests not only for communications but also for other satellite applications are protected.</w:t>
      </w:r>
    </w:p>
    <w:p w14:paraId="2BBA8F0A" w14:textId="4070AAC0" w:rsidR="0033549A" w:rsidRPr="00EF16B9" w:rsidRDefault="00841776" w:rsidP="00ED7665">
      <w:pPr>
        <w:pStyle w:val="Heading4"/>
        <w:rPr>
          <w:iCs/>
          <w:noProof/>
        </w:rPr>
      </w:pPr>
      <w:bookmarkStart w:id="114" w:name="_Toc209528585"/>
      <w:bookmarkStart w:id="115" w:name="_Toc209528702"/>
      <w:bookmarkStart w:id="116" w:name="_Toc209535047"/>
      <w:bookmarkStart w:id="117" w:name="_Toc209535144"/>
      <w:bookmarkStart w:id="118" w:name="_Toc209595953"/>
      <w:bookmarkStart w:id="119" w:name="_Toc214467703"/>
      <w:bookmarkEnd w:id="114"/>
      <w:bookmarkEnd w:id="115"/>
      <w:bookmarkEnd w:id="116"/>
      <w:bookmarkEnd w:id="117"/>
      <w:bookmarkEnd w:id="118"/>
      <w:r w:rsidRPr="00A827C2">
        <w:rPr>
          <w:noProof/>
        </w:rPr>
        <w:t xml:space="preserve">Governance </w:t>
      </w:r>
      <w:r w:rsidRPr="00EF16B9">
        <w:rPr>
          <w:iCs/>
          <w:noProof/>
        </w:rPr>
        <w:t>structure</w:t>
      </w:r>
      <w:r w:rsidRPr="00A827C2">
        <w:rPr>
          <w:noProof/>
        </w:rPr>
        <w:t xml:space="preserve"> not fully suited to serve the requirements of the single market</w:t>
      </w:r>
      <w:bookmarkEnd w:id="119"/>
    </w:p>
    <w:p w14:paraId="0E95EAFE" w14:textId="77777777" w:rsidR="00182F22" w:rsidRDefault="00DA10C1" w:rsidP="00E73BF1">
      <w:pPr>
        <w:spacing w:line="240" w:lineRule="auto"/>
        <w:rPr>
          <w:rFonts w:eastAsia="Times New Roman"/>
          <w:noProof/>
        </w:rPr>
      </w:pPr>
      <w:r w:rsidRPr="00DE264C">
        <w:rPr>
          <w:rFonts w:eastAsia="Times New Roman"/>
          <w:noProof/>
        </w:rPr>
        <w:t xml:space="preserve">There are </w:t>
      </w:r>
      <w:r w:rsidR="00F56647">
        <w:rPr>
          <w:rFonts w:eastAsia="Times New Roman"/>
          <w:noProof/>
        </w:rPr>
        <w:t>currently</w:t>
      </w:r>
      <w:r w:rsidRPr="00DE264C">
        <w:rPr>
          <w:rFonts w:eastAsia="Times New Roman"/>
          <w:noProof/>
        </w:rPr>
        <w:t xml:space="preserve"> many issues which contribute to regulatory fragmentation and stand </w:t>
      </w:r>
      <w:r w:rsidR="00DF4FE8" w:rsidRPr="00DE264C">
        <w:rPr>
          <w:rFonts w:eastAsia="Times New Roman"/>
          <w:noProof/>
        </w:rPr>
        <w:t>i</w:t>
      </w:r>
      <w:r w:rsidRPr="00DE264C">
        <w:rPr>
          <w:rFonts w:eastAsia="Times New Roman"/>
          <w:noProof/>
        </w:rPr>
        <w:t>n the way of coherent and effective EU-wide governance framework for electronic communications</w:t>
      </w:r>
      <w:r w:rsidR="00D2673F" w:rsidRPr="00DE264C">
        <w:rPr>
          <w:rFonts w:eastAsia="Times New Roman"/>
          <w:noProof/>
        </w:rPr>
        <w:t xml:space="preserve">, as mentioned in </w:t>
      </w:r>
      <w:r w:rsidR="006E1476" w:rsidRPr="00DE264C">
        <w:rPr>
          <w:rFonts w:eastAsia="Times New Roman"/>
          <w:noProof/>
        </w:rPr>
        <w:t xml:space="preserve">the </w:t>
      </w:r>
      <w:r w:rsidR="00D2673F" w:rsidRPr="00DE264C">
        <w:rPr>
          <w:rFonts w:eastAsia="Times New Roman"/>
          <w:noProof/>
        </w:rPr>
        <w:t>problem drivers’ section (2.</w:t>
      </w:r>
      <w:r w:rsidR="004A504F" w:rsidRPr="00DE264C">
        <w:rPr>
          <w:rFonts w:eastAsia="Times New Roman"/>
          <w:noProof/>
        </w:rPr>
        <w:t>2</w:t>
      </w:r>
      <w:r w:rsidR="00D2673F" w:rsidRPr="00DE264C">
        <w:rPr>
          <w:rFonts w:eastAsia="Times New Roman"/>
          <w:noProof/>
        </w:rPr>
        <w:t>.</w:t>
      </w:r>
      <w:r w:rsidR="001264E3" w:rsidRPr="00DE264C">
        <w:rPr>
          <w:rFonts w:eastAsia="Times New Roman"/>
          <w:noProof/>
        </w:rPr>
        <w:t>4</w:t>
      </w:r>
      <w:r w:rsidR="00D2673F" w:rsidRPr="00DE264C">
        <w:rPr>
          <w:rFonts w:eastAsia="Times New Roman"/>
          <w:noProof/>
        </w:rPr>
        <w:t>).</w:t>
      </w:r>
      <w:r w:rsidRPr="00DE264C">
        <w:rPr>
          <w:rFonts w:eastAsia="Times New Roman"/>
          <w:noProof/>
        </w:rPr>
        <w:t xml:space="preserve"> </w:t>
      </w:r>
    </w:p>
    <w:p w14:paraId="22903498" w14:textId="121018D9" w:rsidR="00DA10C1" w:rsidRPr="00DE264C" w:rsidRDefault="00DA10C1" w:rsidP="00E73BF1">
      <w:pPr>
        <w:spacing w:line="240" w:lineRule="auto"/>
        <w:rPr>
          <w:rFonts w:eastAsia="Times New Roman"/>
          <w:noProof/>
        </w:rPr>
      </w:pPr>
      <w:r w:rsidRPr="00DE264C">
        <w:rPr>
          <w:rFonts w:eastAsia="Times New Roman"/>
          <w:noProof/>
        </w:rPr>
        <w:t>I</w:t>
      </w:r>
      <w:r w:rsidR="003D33B8" w:rsidRPr="00DE264C">
        <w:rPr>
          <w:rFonts w:eastAsia="Times New Roman"/>
          <w:noProof/>
        </w:rPr>
        <w:t>n the current setup</w:t>
      </w:r>
      <w:r w:rsidRPr="00DE264C">
        <w:rPr>
          <w:rFonts w:eastAsia="Times New Roman"/>
          <w:noProof/>
        </w:rPr>
        <w:t xml:space="preserve">, BEREC will </w:t>
      </w:r>
      <w:r w:rsidR="003D33B8" w:rsidRPr="00DE264C">
        <w:rPr>
          <w:rFonts w:eastAsia="Times New Roman"/>
          <w:noProof/>
        </w:rPr>
        <w:t xml:space="preserve">in the coming years </w:t>
      </w:r>
      <w:r w:rsidRPr="00DE264C">
        <w:rPr>
          <w:rFonts w:eastAsia="Times New Roman"/>
          <w:noProof/>
        </w:rPr>
        <w:t>face significant and persistent challenges in functioning as a unifying regulatory body, which may weaken its ability to drive harmoni</w:t>
      </w:r>
      <w:r w:rsidR="009977F8" w:rsidRPr="00DE264C">
        <w:rPr>
          <w:rFonts w:eastAsia="Times New Roman"/>
          <w:noProof/>
        </w:rPr>
        <w:t>s</w:t>
      </w:r>
      <w:r w:rsidRPr="00DE264C">
        <w:rPr>
          <w:rFonts w:eastAsia="Times New Roman"/>
          <w:noProof/>
        </w:rPr>
        <w:t>ation across the European digital and electronic communications markets</w:t>
      </w:r>
      <w:r w:rsidR="001A3C1B" w:rsidRPr="00DE264C">
        <w:rPr>
          <w:rFonts w:eastAsia="Times New Roman"/>
          <w:noProof/>
        </w:rPr>
        <w:t xml:space="preserve">, while </w:t>
      </w:r>
      <w:r w:rsidR="00861C5C">
        <w:rPr>
          <w:rFonts w:eastAsia="Times New Roman"/>
          <w:noProof/>
        </w:rPr>
        <w:t xml:space="preserve">the </w:t>
      </w:r>
      <w:r w:rsidR="001A3C1B" w:rsidRPr="00DE264C">
        <w:rPr>
          <w:rFonts w:eastAsia="Times New Roman"/>
          <w:noProof/>
        </w:rPr>
        <w:t xml:space="preserve">BEREC Office will </w:t>
      </w:r>
      <w:r w:rsidR="003657D8" w:rsidRPr="00DE264C">
        <w:rPr>
          <w:rFonts w:eastAsia="Times New Roman"/>
          <w:noProof/>
        </w:rPr>
        <w:t>continue</w:t>
      </w:r>
      <w:r w:rsidR="001A3C1B" w:rsidRPr="00DE264C">
        <w:rPr>
          <w:rFonts w:eastAsia="Times New Roman"/>
          <w:noProof/>
        </w:rPr>
        <w:t xml:space="preserve"> to struggle </w:t>
      </w:r>
      <w:r w:rsidR="005E0483" w:rsidRPr="00DE264C">
        <w:rPr>
          <w:rFonts w:eastAsia="Times New Roman"/>
          <w:noProof/>
        </w:rPr>
        <w:t>with limited resources and tasks</w:t>
      </w:r>
      <w:r w:rsidR="006A20F5" w:rsidRPr="00DE264C">
        <w:rPr>
          <w:rFonts w:eastAsia="Times New Roman"/>
          <w:noProof/>
        </w:rPr>
        <w:t>, f</w:t>
      </w:r>
      <w:r w:rsidR="00D2150C" w:rsidRPr="00DE264C">
        <w:rPr>
          <w:rFonts w:eastAsia="Times New Roman"/>
          <w:noProof/>
        </w:rPr>
        <w:t>a</w:t>
      </w:r>
      <w:r w:rsidR="006A20F5" w:rsidRPr="00DE264C">
        <w:rPr>
          <w:rFonts w:eastAsia="Times New Roman"/>
          <w:noProof/>
        </w:rPr>
        <w:t xml:space="preserve">iling to fully </w:t>
      </w:r>
      <w:r w:rsidR="003657D8" w:rsidRPr="00DE264C">
        <w:rPr>
          <w:rFonts w:eastAsia="Times New Roman"/>
          <w:noProof/>
        </w:rPr>
        <w:t>leverage</w:t>
      </w:r>
      <w:r w:rsidR="005E0483" w:rsidRPr="00DE264C">
        <w:rPr>
          <w:rFonts w:eastAsia="Times New Roman"/>
          <w:noProof/>
        </w:rPr>
        <w:t xml:space="preserve"> its potential</w:t>
      </w:r>
      <w:r w:rsidRPr="00DE264C">
        <w:rPr>
          <w:rFonts w:eastAsia="Times New Roman"/>
          <w:noProof/>
        </w:rPr>
        <w:t>.</w:t>
      </w:r>
    </w:p>
    <w:p w14:paraId="52D3C019" w14:textId="635BFBF2" w:rsidR="00D72A7F" w:rsidRPr="00DE264C" w:rsidRDefault="00215714" w:rsidP="00E73BF1">
      <w:pPr>
        <w:spacing w:line="240" w:lineRule="auto"/>
        <w:rPr>
          <w:noProof/>
        </w:rPr>
      </w:pPr>
      <w:r w:rsidRPr="00DE264C">
        <w:rPr>
          <w:rFonts w:eastAsia="Times New Roman"/>
          <w:noProof/>
        </w:rPr>
        <w:t>Regarding the RSPG, identified problems in relation to the peer review and Good Offices will also persist. Even with the current amount of workload, the RSPG effectiveness is reaching its limits</w:t>
      </w:r>
      <w:r w:rsidR="00BA4F58" w:rsidRPr="00DE264C">
        <w:rPr>
          <w:rFonts w:eastAsia="Times New Roman"/>
          <w:noProof/>
        </w:rPr>
        <w:t>; t</w:t>
      </w:r>
      <w:r w:rsidRPr="00DE264C">
        <w:rPr>
          <w:rFonts w:eastAsia="Times New Roman"/>
          <w:noProof/>
        </w:rPr>
        <w:t xml:space="preserve">his would affect </w:t>
      </w:r>
      <w:r w:rsidR="00BA4F58" w:rsidRPr="00DE264C">
        <w:rPr>
          <w:rFonts w:eastAsia="Times New Roman"/>
          <w:noProof/>
        </w:rPr>
        <w:t>its</w:t>
      </w:r>
      <w:r w:rsidRPr="00DE264C">
        <w:rPr>
          <w:rFonts w:eastAsia="Times New Roman"/>
          <w:noProof/>
        </w:rPr>
        <w:t xml:space="preserve"> ability to take new tasks needed for further alignment of spectrum management in the EU, </w:t>
      </w:r>
      <w:r w:rsidR="00437EF9">
        <w:rPr>
          <w:rFonts w:eastAsia="Times New Roman"/>
          <w:noProof/>
        </w:rPr>
        <w:t xml:space="preserve">inter alia </w:t>
      </w:r>
      <w:r w:rsidRPr="00DE264C">
        <w:rPr>
          <w:rFonts w:eastAsia="Times New Roman"/>
          <w:noProof/>
        </w:rPr>
        <w:t xml:space="preserve">those linked to the satellite spectrum </w:t>
      </w:r>
      <w:r w:rsidR="00535056">
        <w:rPr>
          <w:rFonts w:eastAsia="Times New Roman"/>
          <w:noProof/>
        </w:rPr>
        <w:t>management</w:t>
      </w:r>
      <w:r w:rsidRPr="00DE264C">
        <w:rPr>
          <w:rFonts w:eastAsia="Times New Roman"/>
          <w:noProof/>
        </w:rPr>
        <w:t xml:space="preserve">. The issue will become more acute if the RSPG secretariat is not enhanced to provide </w:t>
      </w:r>
      <w:r w:rsidR="00353E03" w:rsidRPr="00DE264C">
        <w:rPr>
          <w:rFonts w:eastAsia="Times New Roman"/>
          <w:noProof/>
        </w:rPr>
        <w:t xml:space="preserve">it </w:t>
      </w:r>
      <w:r w:rsidRPr="00DE264C">
        <w:rPr>
          <w:rFonts w:eastAsia="Times New Roman"/>
          <w:noProof/>
        </w:rPr>
        <w:t>with administrative and preparatory support.</w:t>
      </w:r>
    </w:p>
    <w:p w14:paraId="59140ACA" w14:textId="77777777" w:rsidR="006B087E" w:rsidRPr="00DE264C" w:rsidRDefault="006B087E" w:rsidP="000E3086">
      <w:pPr>
        <w:pStyle w:val="Heading1"/>
        <w:rPr>
          <w:noProof/>
        </w:rPr>
      </w:pPr>
      <w:bookmarkStart w:id="120" w:name="_Toc208396191"/>
      <w:bookmarkStart w:id="121" w:name="_Toc214467704"/>
      <w:bookmarkStart w:id="122" w:name="_Toc215083729"/>
      <w:bookmarkStart w:id="123" w:name="_Toc219212497"/>
      <w:bookmarkStart w:id="124" w:name="_Toc219718152"/>
      <w:r w:rsidRPr="00DE264C">
        <w:rPr>
          <w:noProof/>
        </w:rPr>
        <w:t>Why should the EU act?</w:t>
      </w:r>
      <w:bookmarkEnd w:id="120"/>
      <w:bookmarkEnd w:id="121"/>
      <w:bookmarkEnd w:id="122"/>
      <w:bookmarkEnd w:id="123"/>
      <w:bookmarkEnd w:id="124"/>
    </w:p>
    <w:p w14:paraId="5E89CE3C" w14:textId="77777777" w:rsidR="006B087E" w:rsidRPr="00DE264C" w:rsidRDefault="006B087E" w:rsidP="000E3086">
      <w:pPr>
        <w:pStyle w:val="Heading2"/>
        <w:rPr>
          <w:noProof/>
        </w:rPr>
      </w:pPr>
      <w:bookmarkStart w:id="125" w:name="_Toc214282978"/>
      <w:bookmarkStart w:id="126" w:name="_Toc214282979"/>
      <w:bookmarkStart w:id="127" w:name="_Toc214282980"/>
      <w:bookmarkStart w:id="128" w:name="_Toc214282981"/>
      <w:bookmarkStart w:id="129" w:name="_Toc214467706"/>
      <w:bookmarkStart w:id="130" w:name="_Toc215083730"/>
      <w:bookmarkStart w:id="131" w:name="_Toc219212498"/>
      <w:bookmarkStart w:id="132" w:name="_Toc219718153"/>
      <w:bookmarkEnd w:id="125"/>
      <w:bookmarkEnd w:id="126"/>
      <w:bookmarkEnd w:id="127"/>
      <w:bookmarkEnd w:id="128"/>
      <w:r w:rsidRPr="00DE264C">
        <w:rPr>
          <w:noProof/>
        </w:rPr>
        <w:t>Subsidiarity: Necessity of EU action</w:t>
      </w:r>
      <w:bookmarkEnd w:id="129"/>
      <w:bookmarkEnd w:id="130"/>
      <w:bookmarkEnd w:id="131"/>
      <w:bookmarkEnd w:id="132"/>
    </w:p>
    <w:p w14:paraId="0E97EF28" w14:textId="4839BB86" w:rsidR="003019EB" w:rsidRPr="00DE264C" w:rsidRDefault="006D2573" w:rsidP="00E73BF1">
      <w:pPr>
        <w:spacing w:line="240" w:lineRule="auto"/>
        <w:rPr>
          <w:noProof/>
        </w:rPr>
      </w:pPr>
      <w:r w:rsidRPr="00DE264C">
        <w:rPr>
          <w:noProof/>
        </w:rPr>
        <w:t>Services</w:t>
      </w:r>
      <w:r w:rsidR="003019EB" w:rsidRPr="00DE264C">
        <w:rPr>
          <w:noProof/>
        </w:rPr>
        <w:t xml:space="preserve"> remain</w:t>
      </w:r>
      <w:r w:rsidR="0099499E" w:rsidRPr="00DE264C">
        <w:rPr>
          <w:noProof/>
        </w:rPr>
        <w:t xml:space="preserve"> less and less</w:t>
      </w:r>
      <w:r w:rsidR="003019EB" w:rsidRPr="00DE264C">
        <w:rPr>
          <w:noProof/>
        </w:rPr>
        <w:t xml:space="preserve"> national </w:t>
      </w:r>
      <w:r w:rsidR="0099499E" w:rsidRPr="00DE264C">
        <w:rPr>
          <w:noProof/>
        </w:rPr>
        <w:t xml:space="preserve">and increasingly </w:t>
      </w:r>
      <w:r w:rsidR="003019EB" w:rsidRPr="00DE264C">
        <w:rPr>
          <w:noProof/>
        </w:rPr>
        <w:t xml:space="preserve">have a significance that transcends Europe as a whole. As availability and take-up of connectivity provides a key input to European industry and is vital to enable societal participation in the digital economy as well as to drive European competitiveness, there is a strong case for the EU to establish ambitions regarding connectivity EU wide, as well as providing tools that will support the achievement of this goal. </w:t>
      </w:r>
    </w:p>
    <w:p w14:paraId="2C0A2D93" w14:textId="6BC4C331" w:rsidR="003019EB" w:rsidRPr="00DE264C" w:rsidRDefault="003019EB" w:rsidP="00E73BF1">
      <w:pPr>
        <w:spacing w:line="240" w:lineRule="auto"/>
        <w:rPr>
          <w:noProof/>
        </w:rPr>
      </w:pPr>
      <w:r w:rsidRPr="00DE264C">
        <w:rPr>
          <w:noProof/>
        </w:rPr>
        <w:t xml:space="preserve">In addition, communications networks are essential in supporting cross-border trade in digital services. Moreover, </w:t>
      </w:r>
      <w:r w:rsidR="00D059CC" w:rsidRPr="00DE264C">
        <w:rPr>
          <w:noProof/>
        </w:rPr>
        <w:t>some</w:t>
      </w:r>
      <w:r w:rsidRPr="00DE264C">
        <w:rPr>
          <w:noProof/>
        </w:rPr>
        <w:t xml:space="preserve"> of the problems involve cross-border services specifically. These include the provision of services to multi-national businesses. A common framework for competition should also enable cross-border entry. It is notable in this regard that a number of telecom providers and infrastructure companies operate in multiple countries.</w:t>
      </w:r>
    </w:p>
    <w:p w14:paraId="3B2F92DA" w14:textId="650D6091" w:rsidR="000441CA" w:rsidRPr="00DE264C" w:rsidRDefault="000441CA" w:rsidP="00E73BF1">
      <w:pPr>
        <w:spacing w:line="240" w:lineRule="auto"/>
        <w:rPr>
          <w:noProof/>
        </w:rPr>
      </w:pPr>
      <w:r w:rsidRPr="00DE264C">
        <w:rPr>
          <w:noProof/>
        </w:rPr>
        <w:t xml:space="preserve">The EU connectivity sector is still fragmented along national borders, so that end-users and EU operators cannot reap the full potential of the single market. The EECC as a </w:t>
      </w:r>
      <w:r w:rsidR="00C0647B" w:rsidRPr="00DE264C">
        <w:rPr>
          <w:noProof/>
        </w:rPr>
        <w:t>D</w:t>
      </w:r>
      <w:r w:rsidRPr="00DE264C">
        <w:rPr>
          <w:noProof/>
        </w:rPr>
        <w:t>irective has shown limits regarding time-to-market (with a transposition delay up to 4 years) and level of harmonisation (primary focus on national markets). The achievement of the single market has been also hampered by practices of some Member States going beyond EU rules, deepening market fragmentation and increasing overall regulatory burden.</w:t>
      </w:r>
    </w:p>
    <w:p w14:paraId="44290BF5" w14:textId="77777777" w:rsidR="0029613B" w:rsidRPr="00DE264C" w:rsidRDefault="0029613B" w:rsidP="006E27E1">
      <w:pPr>
        <w:pStyle w:val="Heading2"/>
        <w:rPr>
          <w:noProof/>
        </w:rPr>
      </w:pPr>
      <w:bookmarkStart w:id="133" w:name="_Toc214467707"/>
      <w:bookmarkStart w:id="134" w:name="_Toc215083731"/>
      <w:bookmarkStart w:id="135" w:name="_Toc219212499"/>
      <w:bookmarkStart w:id="136" w:name="_Toc219718154"/>
      <w:r w:rsidRPr="00DE264C">
        <w:rPr>
          <w:noProof/>
        </w:rPr>
        <w:t>Legal basis</w:t>
      </w:r>
      <w:bookmarkEnd w:id="133"/>
      <w:bookmarkEnd w:id="134"/>
      <w:bookmarkEnd w:id="135"/>
      <w:bookmarkEnd w:id="136"/>
    </w:p>
    <w:p w14:paraId="75BC905D" w14:textId="4C71BC8F" w:rsidR="0029613B" w:rsidRPr="00DE264C" w:rsidRDefault="0029613B" w:rsidP="00E73BF1">
      <w:pPr>
        <w:spacing w:line="240" w:lineRule="auto"/>
        <w:rPr>
          <w:noProof/>
        </w:rPr>
      </w:pPr>
      <w:r w:rsidRPr="00DE264C">
        <w:rPr>
          <w:noProof/>
        </w:rPr>
        <w:t>The legal basis for the review of the regulatory framework remains Article</w:t>
      </w:r>
      <w:r w:rsidR="00A907F2">
        <w:rPr>
          <w:noProof/>
        </w:rPr>
        <w:t> </w:t>
      </w:r>
      <w:r w:rsidRPr="00DE264C">
        <w:rPr>
          <w:noProof/>
        </w:rPr>
        <w:t>114 of the Treaty on the Functioning of the European Union (TFEU)</w:t>
      </w:r>
      <w:r w:rsidRPr="00DE264C">
        <w:rPr>
          <w:rStyle w:val="FootnoteReference"/>
          <w:noProof/>
        </w:rPr>
        <w:footnoteReference w:id="168"/>
      </w:r>
      <w:r w:rsidRPr="00DE264C">
        <w:rPr>
          <w:noProof/>
        </w:rPr>
        <w:t>. This Article confers on the EU legislature discretion, depending on the general context and the specific circumstances of the matter to be harmonised, as regards the harmonisation technique most appropriate for achieving the desired result, in particular in fields which are characterised by complex technical features.</w:t>
      </w:r>
    </w:p>
    <w:p w14:paraId="5DFB423C" w14:textId="77777777" w:rsidR="0029613B" w:rsidRPr="00DE264C" w:rsidRDefault="0029613B" w:rsidP="00E73BF1">
      <w:pPr>
        <w:spacing w:line="240" w:lineRule="auto"/>
        <w:rPr>
          <w:noProof/>
        </w:rPr>
      </w:pPr>
      <w:r w:rsidRPr="00DE264C">
        <w:rPr>
          <w:noProof/>
        </w:rPr>
        <w:t>Despite improvements since the regulation of electronic communications started the establishment of a single telecoms market in the Union, electronic communications markets remain national (see merger control decisions in which the Commission found that markets are national on the basis of, amongst others, the current regulatory environment)</w:t>
      </w:r>
      <w:r w:rsidRPr="00DE264C">
        <w:rPr>
          <w:rStyle w:val="FootnoteReference"/>
          <w:noProof/>
        </w:rPr>
        <w:footnoteReference w:id="169"/>
      </w:r>
      <w:r w:rsidRPr="00DE264C">
        <w:rPr>
          <w:noProof/>
        </w:rPr>
        <w:t xml:space="preserve">, with different supply and demand conditions, different spectrum licences awarded on a national basis, and different (albeit partially harmonised) regulatory regimes. Telecom operators must adapt their strategies to national constraints and differences even when they form part of larger multinational groups. This fragmentation of the EU market alongside national borders prevents the EU from reaping the full potential of an EU-wide telecoms market. While there are many operators in the EU, the level of concentration is high. Electronic communication network operators are not able to realise scale effects because differences in national rules keep telecom markets mainly national. </w:t>
      </w:r>
    </w:p>
    <w:p w14:paraId="0B28DAC8" w14:textId="4F19145B" w:rsidR="0029613B" w:rsidRPr="00DE264C" w:rsidRDefault="0029613B" w:rsidP="00F37C86">
      <w:pPr>
        <w:spacing w:line="240" w:lineRule="auto"/>
        <w:rPr>
          <w:noProof/>
        </w:rPr>
      </w:pPr>
      <w:r w:rsidRPr="00DE264C">
        <w:rPr>
          <w:noProof/>
        </w:rPr>
        <w:t>Therefore, in view of the objective of improving the conditions for the establishment and functioning of the internal market, Article</w:t>
      </w:r>
      <w:r w:rsidR="00A907F2">
        <w:rPr>
          <w:noProof/>
        </w:rPr>
        <w:t> </w:t>
      </w:r>
      <w:r w:rsidRPr="00DE264C">
        <w:rPr>
          <w:noProof/>
        </w:rPr>
        <w:t>114 of the TFEU remains the appropriate legal basis also for this initiative.</w:t>
      </w:r>
    </w:p>
    <w:p w14:paraId="597DB56E" w14:textId="63B6A71A" w:rsidR="006B087E" w:rsidRPr="00DE264C" w:rsidRDefault="006B087E" w:rsidP="000E3086">
      <w:pPr>
        <w:pStyle w:val="Heading2"/>
        <w:rPr>
          <w:noProof/>
        </w:rPr>
      </w:pPr>
      <w:bookmarkStart w:id="137" w:name="_Toc214467708"/>
      <w:bookmarkStart w:id="138" w:name="_Toc215083732"/>
      <w:bookmarkStart w:id="139" w:name="_Toc219212500"/>
      <w:bookmarkStart w:id="140" w:name="_Toc219718155"/>
      <w:r w:rsidRPr="00DE264C">
        <w:rPr>
          <w:noProof/>
        </w:rPr>
        <w:t>Subsidiarity: Added value of EU action</w:t>
      </w:r>
      <w:bookmarkEnd w:id="137"/>
      <w:bookmarkEnd w:id="138"/>
      <w:bookmarkEnd w:id="139"/>
      <w:bookmarkEnd w:id="140"/>
    </w:p>
    <w:p w14:paraId="7CA9D393" w14:textId="77777777" w:rsidR="000441CA" w:rsidRPr="00DE264C" w:rsidRDefault="000441CA" w:rsidP="00F37C86">
      <w:pPr>
        <w:spacing w:line="240" w:lineRule="auto"/>
        <w:rPr>
          <w:noProof/>
        </w:rPr>
      </w:pPr>
      <w:r w:rsidRPr="00DE264C">
        <w:rPr>
          <w:noProof/>
        </w:rPr>
        <w:t>The initiative will have significant added value compared to action taken at Member States level. Strengthening European competitiveness requires access to fast, secure, and resilient digital infrastructure. In a context where the digital connectivity landscape is changing rapidly with convergence of telecom, satellite, cloud and edge technology, driven by virtualisation and AI, the EU will only be able to achieve those objectives through a more harmonised legal environment across the EU that avoids inconsistent national administrative practices or implementation conditions that limit the opportunities of the single market.</w:t>
      </w:r>
    </w:p>
    <w:p w14:paraId="5810F883" w14:textId="48781522" w:rsidR="000441CA" w:rsidRPr="00DE264C" w:rsidRDefault="000441CA" w:rsidP="00F37C86">
      <w:pPr>
        <w:spacing w:line="240" w:lineRule="auto"/>
        <w:rPr>
          <w:noProof/>
        </w:rPr>
      </w:pPr>
      <w:r w:rsidRPr="00DE264C">
        <w:rPr>
          <w:noProof/>
        </w:rPr>
        <w:t xml:space="preserve">Experience with the EECC shows that Member States have not been able to address the sectoral challenges </w:t>
      </w:r>
      <w:r w:rsidR="00AE012E" w:rsidRPr="00DE264C">
        <w:rPr>
          <w:noProof/>
        </w:rPr>
        <w:t xml:space="preserve">in a </w:t>
      </w:r>
      <w:r w:rsidRPr="00DE264C">
        <w:rPr>
          <w:noProof/>
        </w:rPr>
        <w:t>timely</w:t>
      </w:r>
      <w:r w:rsidR="00AE012E" w:rsidRPr="00DE264C">
        <w:rPr>
          <w:noProof/>
        </w:rPr>
        <w:t xml:space="preserve"> way</w:t>
      </w:r>
      <w:r w:rsidRPr="00DE264C">
        <w:rPr>
          <w:noProof/>
        </w:rPr>
        <w:t xml:space="preserve">, due to the long time needed for transposition of the Code into national law. In addition, the transposition of </w:t>
      </w:r>
      <w:r w:rsidR="00591FA3" w:rsidRPr="00DE264C">
        <w:rPr>
          <w:noProof/>
        </w:rPr>
        <w:t>D</w:t>
      </w:r>
      <w:r w:rsidRPr="00DE264C">
        <w:rPr>
          <w:noProof/>
        </w:rPr>
        <w:t>irectives into national law has been often accompanied by additional layers of rules resulting in overregulation.</w:t>
      </w:r>
    </w:p>
    <w:p w14:paraId="46A614C7" w14:textId="1A26A83D" w:rsidR="006B087E" w:rsidRPr="00DE264C" w:rsidRDefault="000441CA" w:rsidP="00F37C86">
      <w:pPr>
        <w:spacing w:line="240" w:lineRule="auto"/>
        <w:rPr>
          <w:noProof/>
        </w:rPr>
      </w:pPr>
      <w:r w:rsidRPr="00DE264C">
        <w:rPr>
          <w:noProof/>
        </w:rPr>
        <w:t>Overall, the scale of the problems in the digital ecosystem requires a legislative initiative at EU level because they have increasingly an EU dimension, and can be more efficiently resolved at Union level, leading to overall greater benefits, more accelerated and harmonised implementation, and lower costs than if Member States acted alone.</w:t>
      </w:r>
    </w:p>
    <w:p w14:paraId="6C77EBA2" w14:textId="77777777" w:rsidR="006B087E" w:rsidRPr="00DE264C" w:rsidRDefault="006B087E" w:rsidP="000E3086">
      <w:pPr>
        <w:pStyle w:val="Heading1"/>
        <w:rPr>
          <w:noProof/>
        </w:rPr>
      </w:pPr>
      <w:bookmarkStart w:id="141" w:name="_Toc208396192"/>
      <w:bookmarkStart w:id="142" w:name="_Toc214467709"/>
      <w:bookmarkStart w:id="143" w:name="_Toc215083733"/>
      <w:bookmarkStart w:id="144" w:name="_Toc219212501"/>
      <w:bookmarkStart w:id="145" w:name="_Toc219718156"/>
      <w:r w:rsidRPr="00DE264C">
        <w:rPr>
          <w:noProof/>
        </w:rPr>
        <w:t>Objectives: What is to be achieved?</w:t>
      </w:r>
      <w:bookmarkEnd w:id="141"/>
      <w:bookmarkEnd w:id="142"/>
      <w:bookmarkEnd w:id="143"/>
      <w:bookmarkEnd w:id="144"/>
      <w:bookmarkEnd w:id="145"/>
    </w:p>
    <w:p w14:paraId="0AD4908F" w14:textId="569606C5" w:rsidR="00A54B1E" w:rsidRPr="00DE264C" w:rsidRDefault="00A54B1E" w:rsidP="00F37C86">
      <w:pPr>
        <w:spacing w:line="240" w:lineRule="auto"/>
        <w:rPr>
          <w:noProof/>
        </w:rPr>
      </w:pPr>
      <w:r w:rsidRPr="00DE264C">
        <w:rPr>
          <w:noProof/>
        </w:rPr>
        <w:t xml:space="preserve">To support the Union’s policy objectives of consumer welfare, industrial competitiveness, security and resilience and environmental sustainability, the DNA aims to incentivise market players to innovate and invest in advanced connectivity and computing infrastructures enabling the AI </w:t>
      </w:r>
      <w:r w:rsidR="793402B9" w:rsidRPr="00DE264C">
        <w:rPr>
          <w:noProof/>
        </w:rPr>
        <w:t>C</w:t>
      </w:r>
      <w:r w:rsidR="7D808627" w:rsidRPr="00DE264C">
        <w:rPr>
          <w:noProof/>
        </w:rPr>
        <w:t>ontinent</w:t>
      </w:r>
      <w:r w:rsidRPr="00DE264C">
        <w:rPr>
          <w:noProof/>
        </w:rPr>
        <w:t xml:space="preserve">. </w:t>
      </w:r>
    </w:p>
    <w:p w14:paraId="07266048" w14:textId="2AFE5CDE" w:rsidR="006B087E" w:rsidRPr="00DE264C" w:rsidRDefault="006B087E" w:rsidP="000E3086">
      <w:pPr>
        <w:pStyle w:val="Heading2"/>
        <w:rPr>
          <w:noProof/>
        </w:rPr>
      </w:pPr>
      <w:bookmarkStart w:id="146" w:name="_Toc214467710"/>
      <w:bookmarkStart w:id="147" w:name="_Toc215083734"/>
      <w:bookmarkStart w:id="148" w:name="_Toc219212502"/>
      <w:bookmarkStart w:id="149" w:name="_Toc219718157"/>
      <w:r w:rsidRPr="00DE264C">
        <w:rPr>
          <w:noProof/>
        </w:rPr>
        <w:t>General objective</w:t>
      </w:r>
      <w:bookmarkEnd w:id="146"/>
      <w:bookmarkEnd w:id="147"/>
      <w:bookmarkEnd w:id="148"/>
      <w:bookmarkEnd w:id="149"/>
    </w:p>
    <w:p w14:paraId="73D55559" w14:textId="5B12A739" w:rsidR="006611B6" w:rsidRDefault="004E5D96" w:rsidP="00F37C86">
      <w:pPr>
        <w:spacing w:line="240" w:lineRule="auto"/>
        <w:rPr>
          <w:noProof/>
        </w:rPr>
      </w:pPr>
      <w:r w:rsidRPr="00DE264C">
        <w:rPr>
          <w:noProof/>
        </w:rPr>
        <w:t xml:space="preserve">The main objective of the proposed intervention </w:t>
      </w:r>
      <w:r w:rsidR="00350ECC" w:rsidRPr="00DE264C">
        <w:rPr>
          <w:noProof/>
        </w:rPr>
        <w:t>is</w:t>
      </w:r>
      <w:r w:rsidRPr="00DE264C">
        <w:rPr>
          <w:noProof/>
        </w:rPr>
        <w:t xml:space="preserve"> deeply rooted in </w:t>
      </w:r>
      <w:r w:rsidR="40618E00" w:rsidRPr="00DE264C">
        <w:rPr>
          <w:noProof/>
        </w:rPr>
        <w:t xml:space="preserve">the </w:t>
      </w:r>
      <w:r w:rsidRPr="00DE264C">
        <w:rPr>
          <w:noProof/>
        </w:rPr>
        <w:t xml:space="preserve">main findings of </w:t>
      </w:r>
      <w:r w:rsidR="00861C5C">
        <w:rPr>
          <w:noProof/>
        </w:rPr>
        <w:t xml:space="preserve">the </w:t>
      </w:r>
      <w:r w:rsidRPr="00DE264C">
        <w:rPr>
          <w:noProof/>
        </w:rPr>
        <w:t xml:space="preserve">Draghi, Letta and </w:t>
      </w:r>
      <w:r w:rsidRPr="006E27E1">
        <w:rPr>
          <w:noProof/>
        </w:rPr>
        <w:t xml:space="preserve">Niinistö </w:t>
      </w:r>
      <w:r w:rsidRPr="00DE264C">
        <w:rPr>
          <w:noProof/>
        </w:rPr>
        <w:t xml:space="preserve">reports, namely competitiveness, single market and preparedness. </w:t>
      </w:r>
      <w:r w:rsidR="0015765E" w:rsidRPr="00DE264C">
        <w:rPr>
          <w:noProof/>
        </w:rPr>
        <w:t>The</w:t>
      </w:r>
      <w:r w:rsidR="0015765E" w:rsidRPr="00DE264C" w:rsidDel="004E5D96">
        <w:rPr>
          <w:noProof/>
        </w:rPr>
        <w:t xml:space="preserve"> </w:t>
      </w:r>
      <w:r w:rsidRPr="00DE264C">
        <w:rPr>
          <w:noProof/>
        </w:rPr>
        <w:t xml:space="preserve">general </w:t>
      </w:r>
      <w:r w:rsidR="00363BEB" w:rsidRPr="00DE264C">
        <w:rPr>
          <w:noProof/>
        </w:rPr>
        <w:t>objective</w:t>
      </w:r>
      <w:r w:rsidR="0015765E" w:rsidRPr="00DE264C">
        <w:rPr>
          <w:noProof/>
        </w:rPr>
        <w:t xml:space="preserve"> to which the </w:t>
      </w:r>
      <w:r w:rsidR="00277370" w:rsidRPr="00DE264C">
        <w:rPr>
          <w:noProof/>
        </w:rPr>
        <w:t xml:space="preserve">initiative </w:t>
      </w:r>
      <w:r w:rsidR="0015765E" w:rsidRPr="00DE264C">
        <w:rPr>
          <w:noProof/>
        </w:rPr>
        <w:t xml:space="preserve">should ultimately contribute </w:t>
      </w:r>
      <w:r w:rsidR="00586D36" w:rsidRPr="00DE264C">
        <w:rPr>
          <w:noProof/>
        </w:rPr>
        <w:t>is</w:t>
      </w:r>
      <w:r w:rsidR="00BB5F2D" w:rsidRPr="00DE264C">
        <w:rPr>
          <w:noProof/>
        </w:rPr>
        <w:t xml:space="preserve"> </w:t>
      </w:r>
      <w:r w:rsidR="0015765E" w:rsidRPr="00DE264C">
        <w:rPr>
          <w:noProof/>
        </w:rPr>
        <w:t>the</w:t>
      </w:r>
      <w:r w:rsidR="00B02CB3" w:rsidRPr="00DE264C">
        <w:rPr>
          <w:noProof/>
        </w:rPr>
        <w:t>:</w:t>
      </w:r>
      <w:r w:rsidR="0015765E" w:rsidRPr="00DE264C">
        <w:rPr>
          <w:noProof/>
        </w:rPr>
        <w:t xml:space="preserve"> </w:t>
      </w:r>
      <w:r w:rsidR="001114BE" w:rsidRPr="00DE264C">
        <w:rPr>
          <w:noProof/>
        </w:rPr>
        <w:t>preparation</w:t>
      </w:r>
      <w:r w:rsidR="007940BA" w:rsidRPr="00DE264C">
        <w:rPr>
          <w:noProof/>
        </w:rPr>
        <w:t xml:space="preserve"> of</w:t>
      </w:r>
      <w:r w:rsidR="001114BE" w:rsidRPr="00DE264C">
        <w:rPr>
          <w:noProof/>
        </w:rPr>
        <w:t xml:space="preserve"> the </w:t>
      </w:r>
      <w:r w:rsidR="0015765E" w:rsidRPr="00DE264C">
        <w:rPr>
          <w:noProof/>
        </w:rPr>
        <w:t xml:space="preserve">transition to </w:t>
      </w:r>
      <w:r w:rsidR="00D216BF">
        <w:rPr>
          <w:noProof/>
        </w:rPr>
        <w:t xml:space="preserve">high quality and </w:t>
      </w:r>
      <w:r w:rsidR="0015765E" w:rsidRPr="00DE264C">
        <w:rPr>
          <w:noProof/>
        </w:rPr>
        <w:t xml:space="preserve">resilient networks </w:t>
      </w:r>
      <w:r w:rsidR="00F73868" w:rsidRPr="00DE264C">
        <w:rPr>
          <w:noProof/>
        </w:rPr>
        <w:t>of the future</w:t>
      </w:r>
      <w:r w:rsidR="0015765E" w:rsidRPr="00DE264C">
        <w:rPr>
          <w:noProof/>
        </w:rPr>
        <w:t>.</w:t>
      </w:r>
    </w:p>
    <w:p w14:paraId="49FF825C" w14:textId="5648F902" w:rsidR="00FA0F83" w:rsidRPr="00A907F2" w:rsidRDefault="00FA0F83" w:rsidP="00BE337F">
      <w:pPr>
        <w:pStyle w:val="Caption"/>
        <w:keepNext/>
        <w:keepLines/>
        <w:rPr>
          <w:noProof/>
        </w:rPr>
      </w:pPr>
      <w:bookmarkStart w:id="150" w:name="_Toc219539772"/>
      <w:r w:rsidRPr="00BE337F">
        <w:rPr>
          <w:noProof/>
          <w:color w:val="auto"/>
        </w:rPr>
        <w:t xml:space="preserve">Figure </w:t>
      </w:r>
      <w:r w:rsidRPr="00BE337F">
        <w:rPr>
          <w:noProof/>
          <w:color w:val="auto"/>
        </w:rPr>
        <w:fldChar w:fldCharType="begin"/>
      </w:r>
      <w:r w:rsidRPr="00BE337F">
        <w:rPr>
          <w:noProof/>
          <w:color w:val="auto"/>
        </w:rPr>
        <w:instrText xml:space="preserve"> SEQ Figure \* ARABIC </w:instrText>
      </w:r>
      <w:r w:rsidRPr="00BE337F">
        <w:rPr>
          <w:noProof/>
          <w:color w:val="auto"/>
        </w:rPr>
        <w:fldChar w:fldCharType="separate"/>
      </w:r>
      <w:r w:rsidRPr="00BE337F">
        <w:rPr>
          <w:noProof/>
          <w:color w:val="auto"/>
        </w:rPr>
        <w:t>15</w:t>
      </w:r>
      <w:r w:rsidRPr="00BE337F">
        <w:rPr>
          <w:noProof/>
          <w:color w:val="auto"/>
        </w:rPr>
        <w:fldChar w:fldCharType="end"/>
      </w:r>
      <w:r w:rsidRPr="00BE337F">
        <w:rPr>
          <w:noProof/>
          <w:color w:val="auto"/>
        </w:rPr>
        <w:t>: Digital Networks Act high level intervention logic</w:t>
      </w:r>
      <w:bookmarkEnd w:id="150"/>
    </w:p>
    <w:p w14:paraId="1BCE075E" w14:textId="54268DBA" w:rsidR="004C72BA" w:rsidRPr="00DE264C" w:rsidRDefault="00532A16" w:rsidP="0015765E">
      <w:pPr>
        <w:rPr>
          <w:b/>
          <w:bCs/>
          <w:noProof/>
        </w:rPr>
      </w:pPr>
      <w:r w:rsidRPr="006E27E1">
        <w:rPr>
          <w:noProof/>
          <w:lang w:eastAsia="en-GB"/>
        </w:rPr>
        <w:drawing>
          <wp:inline distT="0" distB="0" distL="0" distR="0" wp14:anchorId="00238825" wp14:editId="488E8317">
            <wp:extent cx="4509064" cy="2694305"/>
            <wp:effectExtent l="0" t="0" r="6350" b="0"/>
            <wp:docPr id="15134611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24411" cy="2703475"/>
                    </a:xfrm>
                    <a:prstGeom prst="rect">
                      <a:avLst/>
                    </a:prstGeom>
                    <a:noFill/>
                  </pic:spPr>
                </pic:pic>
              </a:graphicData>
            </a:graphic>
          </wp:inline>
        </w:drawing>
      </w:r>
    </w:p>
    <w:p w14:paraId="29858F29" w14:textId="43A3CAD0" w:rsidR="00BC1E70" w:rsidRPr="00DE264C" w:rsidRDefault="0021131B" w:rsidP="00F37C86">
      <w:pPr>
        <w:spacing w:line="240" w:lineRule="auto"/>
        <w:rPr>
          <w:noProof/>
          <w:lang w:val="ca-ES"/>
        </w:rPr>
      </w:pPr>
      <w:r w:rsidRPr="00DE264C">
        <w:rPr>
          <w:b/>
          <w:bCs/>
          <w:noProof/>
        </w:rPr>
        <w:t>H</w:t>
      </w:r>
      <w:r w:rsidR="00E5662F" w:rsidRPr="00DE264C">
        <w:rPr>
          <w:b/>
          <w:bCs/>
          <w:noProof/>
        </w:rPr>
        <w:t>igh</w:t>
      </w:r>
      <w:r w:rsidR="00E5662F" w:rsidRPr="00DE264C">
        <w:rPr>
          <w:b/>
          <w:noProof/>
        </w:rPr>
        <w:t xml:space="preserve">-quality, reliable and </w:t>
      </w:r>
      <w:r w:rsidR="00A2686B" w:rsidRPr="00DE264C">
        <w:rPr>
          <w:b/>
          <w:bCs/>
          <w:noProof/>
        </w:rPr>
        <w:t xml:space="preserve">resilient </w:t>
      </w:r>
      <w:r w:rsidR="00E5662F" w:rsidRPr="00DE264C">
        <w:rPr>
          <w:b/>
          <w:noProof/>
        </w:rPr>
        <w:t xml:space="preserve">connectivity </w:t>
      </w:r>
      <w:r w:rsidR="00E5662F" w:rsidRPr="00DE264C">
        <w:rPr>
          <w:noProof/>
        </w:rPr>
        <w:t xml:space="preserve">for </w:t>
      </w:r>
      <w:r w:rsidR="00F066EA" w:rsidRPr="00DE264C">
        <w:rPr>
          <w:noProof/>
        </w:rPr>
        <w:t>all</w:t>
      </w:r>
      <w:r w:rsidR="00E5662F" w:rsidRPr="00DE264C">
        <w:rPr>
          <w:noProof/>
        </w:rPr>
        <w:t xml:space="preserve">, including in rural and remote areas, is </w:t>
      </w:r>
      <w:r w:rsidR="007F5962" w:rsidRPr="00DE264C">
        <w:rPr>
          <w:noProof/>
        </w:rPr>
        <w:t>essential</w:t>
      </w:r>
      <w:r w:rsidR="0097440F" w:rsidRPr="00DE264C">
        <w:rPr>
          <w:noProof/>
        </w:rPr>
        <w:t xml:space="preserve"> for the EU to </w:t>
      </w:r>
      <w:r w:rsidR="00B2045A" w:rsidRPr="00DE264C">
        <w:rPr>
          <w:noProof/>
        </w:rPr>
        <w:t>maintain its competitive edge</w:t>
      </w:r>
      <w:r w:rsidR="00EC2B14" w:rsidRPr="00DE264C">
        <w:rPr>
          <w:noProof/>
        </w:rPr>
        <w:t xml:space="preserve"> and social standards</w:t>
      </w:r>
      <w:r w:rsidR="00E5662F" w:rsidRPr="00DE264C">
        <w:rPr>
          <w:noProof/>
        </w:rPr>
        <w:t xml:space="preserve">. </w:t>
      </w:r>
      <w:r w:rsidR="00E05AD0" w:rsidRPr="00DE264C">
        <w:rPr>
          <w:noProof/>
        </w:rPr>
        <w:t>Achieving</w:t>
      </w:r>
      <w:r w:rsidR="007F5962" w:rsidRPr="00DE264C">
        <w:rPr>
          <w:noProof/>
        </w:rPr>
        <w:t xml:space="preserve"> this requires </w:t>
      </w:r>
      <w:r w:rsidR="00E26FF9" w:rsidRPr="00DE264C">
        <w:rPr>
          <w:noProof/>
        </w:rPr>
        <w:t>reduc</w:t>
      </w:r>
      <w:r w:rsidR="00FA7284" w:rsidRPr="00DE264C">
        <w:rPr>
          <w:noProof/>
        </w:rPr>
        <w:t>ing</w:t>
      </w:r>
      <w:r w:rsidR="00E26FF9" w:rsidRPr="00DE264C">
        <w:rPr>
          <w:noProof/>
        </w:rPr>
        <w:t xml:space="preserve"> </w:t>
      </w:r>
      <w:r w:rsidR="00874CEB" w:rsidRPr="00DE264C">
        <w:rPr>
          <w:noProof/>
        </w:rPr>
        <w:t>technological dependencies</w:t>
      </w:r>
      <w:r w:rsidR="00616421" w:rsidRPr="00DE264C">
        <w:rPr>
          <w:noProof/>
        </w:rPr>
        <w:t xml:space="preserve"> across the value chain</w:t>
      </w:r>
      <w:r w:rsidR="00874CEB" w:rsidRPr="00DE264C">
        <w:rPr>
          <w:noProof/>
        </w:rPr>
        <w:t xml:space="preserve"> and </w:t>
      </w:r>
      <w:r w:rsidR="00BD254A" w:rsidRPr="00DE264C">
        <w:rPr>
          <w:noProof/>
        </w:rPr>
        <w:t>securing</w:t>
      </w:r>
      <w:r w:rsidR="007F5962" w:rsidRPr="00DE264C">
        <w:rPr>
          <w:noProof/>
        </w:rPr>
        <w:t xml:space="preserve"> substantial </w:t>
      </w:r>
      <w:r w:rsidR="00E5662F" w:rsidRPr="00DE264C">
        <w:rPr>
          <w:noProof/>
        </w:rPr>
        <w:t>investments</w:t>
      </w:r>
      <w:r w:rsidR="00D21C75" w:rsidRPr="00DE264C">
        <w:rPr>
          <w:noProof/>
        </w:rPr>
        <w:t>, which in turn depend</w:t>
      </w:r>
      <w:r w:rsidR="00CF1607" w:rsidRPr="00DE264C">
        <w:rPr>
          <w:noProof/>
        </w:rPr>
        <w:t>s</w:t>
      </w:r>
      <w:r w:rsidR="00D21C75" w:rsidRPr="00DE264C">
        <w:rPr>
          <w:noProof/>
        </w:rPr>
        <w:t xml:space="preserve"> on </w:t>
      </w:r>
      <w:r w:rsidR="004E2CE1" w:rsidRPr="00DE264C">
        <w:rPr>
          <w:noProof/>
        </w:rPr>
        <w:t>a</w:t>
      </w:r>
      <w:r w:rsidR="00E5662F" w:rsidRPr="00DE264C">
        <w:rPr>
          <w:noProof/>
        </w:rPr>
        <w:t xml:space="preserve"> modern regulatory framework that </w:t>
      </w:r>
      <w:r w:rsidR="004C6BC7" w:rsidRPr="00DE264C">
        <w:rPr>
          <w:noProof/>
        </w:rPr>
        <w:t xml:space="preserve">supports </w:t>
      </w:r>
      <w:r w:rsidR="00E5662F" w:rsidRPr="00DE264C">
        <w:rPr>
          <w:noProof/>
        </w:rPr>
        <w:t>the transition from copper networks to fibre networks</w:t>
      </w:r>
      <w:r w:rsidR="002A64D8" w:rsidRPr="00DE264C">
        <w:rPr>
          <w:noProof/>
        </w:rPr>
        <w:t>;</w:t>
      </w:r>
      <w:r w:rsidR="00E5662F" w:rsidRPr="00DE264C">
        <w:rPr>
          <w:noProof/>
        </w:rPr>
        <w:t xml:space="preserve"> the </w:t>
      </w:r>
      <w:r w:rsidR="00962338" w:rsidRPr="00DE264C">
        <w:rPr>
          <w:noProof/>
        </w:rPr>
        <w:t>roll-out</w:t>
      </w:r>
      <w:r w:rsidR="00E5662F" w:rsidRPr="00DE264C">
        <w:rPr>
          <w:noProof/>
        </w:rPr>
        <w:t xml:space="preserve"> of </w:t>
      </w:r>
      <w:r w:rsidR="00C0647B" w:rsidRPr="00DE264C">
        <w:rPr>
          <w:noProof/>
        </w:rPr>
        <w:t>high-quality</w:t>
      </w:r>
      <w:r w:rsidR="00BF0B39" w:rsidRPr="00DE264C">
        <w:rPr>
          <w:noProof/>
        </w:rPr>
        <w:t xml:space="preserve"> </w:t>
      </w:r>
      <w:r w:rsidR="00E5662F" w:rsidRPr="00DE264C">
        <w:rPr>
          <w:noProof/>
        </w:rPr>
        <w:t>5G</w:t>
      </w:r>
      <w:r w:rsidR="00997010" w:rsidRPr="00DE264C">
        <w:rPr>
          <w:noProof/>
        </w:rPr>
        <w:t xml:space="preserve"> and </w:t>
      </w:r>
      <w:r w:rsidR="00563DE5" w:rsidRPr="00DE264C">
        <w:rPr>
          <w:noProof/>
        </w:rPr>
        <w:t xml:space="preserve">- </w:t>
      </w:r>
      <w:r w:rsidR="00997010" w:rsidRPr="00DE264C">
        <w:rPr>
          <w:noProof/>
        </w:rPr>
        <w:t>in future</w:t>
      </w:r>
      <w:r w:rsidR="002447A2" w:rsidRPr="00DE264C">
        <w:rPr>
          <w:noProof/>
        </w:rPr>
        <w:t xml:space="preserve"> </w:t>
      </w:r>
      <w:r w:rsidR="00563DE5" w:rsidRPr="00DE264C">
        <w:rPr>
          <w:noProof/>
        </w:rPr>
        <w:t xml:space="preserve">- </w:t>
      </w:r>
      <w:r w:rsidR="002447A2" w:rsidRPr="00DE264C">
        <w:rPr>
          <w:noProof/>
        </w:rPr>
        <w:t>6G</w:t>
      </w:r>
      <w:r w:rsidR="00385DCC" w:rsidRPr="00DE264C">
        <w:rPr>
          <w:noProof/>
        </w:rPr>
        <w:t xml:space="preserve">, </w:t>
      </w:r>
      <w:r w:rsidR="00E5662F" w:rsidRPr="00DE264C">
        <w:rPr>
          <w:noProof/>
        </w:rPr>
        <w:t>other wireless networks and cloud-based infrastructure</w:t>
      </w:r>
      <w:r w:rsidR="006E115A" w:rsidRPr="00DE264C">
        <w:rPr>
          <w:noProof/>
        </w:rPr>
        <w:t>;</w:t>
      </w:r>
      <w:r w:rsidR="00E5662F" w:rsidRPr="00DE264C">
        <w:rPr>
          <w:noProof/>
        </w:rPr>
        <w:t xml:space="preserve"> </w:t>
      </w:r>
      <w:r w:rsidR="006E6B08" w:rsidRPr="00DE264C">
        <w:rPr>
          <w:noProof/>
        </w:rPr>
        <w:t>and</w:t>
      </w:r>
      <w:r w:rsidR="00E5662F" w:rsidRPr="00DE264C">
        <w:rPr>
          <w:noProof/>
        </w:rPr>
        <w:t xml:space="preserve"> scal</w:t>
      </w:r>
      <w:r w:rsidR="006E6B08" w:rsidRPr="00DE264C">
        <w:rPr>
          <w:noProof/>
        </w:rPr>
        <w:t>ing</w:t>
      </w:r>
      <w:r w:rsidR="00193222" w:rsidRPr="00DE264C">
        <w:rPr>
          <w:noProof/>
        </w:rPr>
        <w:t>-</w:t>
      </w:r>
      <w:r w:rsidR="00E5662F" w:rsidRPr="00DE264C">
        <w:rPr>
          <w:noProof/>
        </w:rPr>
        <w:t xml:space="preserve">up of </w:t>
      </w:r>
      <w:r w:rsidR="00D77A52" w:rsidRPr="00DE264C">
        <w:rPr>
          <w:noProof/>
        </w:rPr>
        <w:t xml:space="preserve">businesses </w:t>
      </w:r>
      <w:r w:rsidR="009C3712" w:rsidRPr="00DE264C">
        <w:rPr>
          <w:noProof/>
        </w:rPr>
        <w:t>while</w:t>
      </w:r>
      <w:r w:rsidR="00E5662F" w:rsidRPr="00DE264C">
        <w:rPr>
          <w:noProof/>
        </w:rPr>
        <w:t xml:space="preserve"> </w:t>
      </w:r>
      <w:r w:rsidR="00EE0AEE" w:rsidRPr="00DE264C">
        <w:rPr>
          <w:noProof/>
        </w:rPr>
        <w:t>keeping pace with</w:t>
      </w:r>
      <w:r w:rsidR="00E5662F" w:rsidRPr="00DE264C">
        <w:rPr>
          <w:noProof/>
        </w:rPr>
        <w:t xml:space="preserve"> emerging technologies such as quantum communication.</w:t>
      </w:r>
    </w:p>
    <w:p w14:paraId="7AC6EA97" w14:textId="7DA85843" w:rsidR="0015765E" w:rsidRPr="00DE264C" w:rsidRDefault="008620CC" w:rsidP="00F37C86">
      <w:pPr>
        <w:spacing w:line="240" w:lineRule="auto"/>
        <w:rPr>
          <w:noProof/>
        </w:rPr>
      </w:pPr>
      <w:r w:rsidRPr="00DE264C">
        <w:rPr>
          <w:noProof/>
        </w:rPr>
        <w:t>C</w:t>
      </w:r>
      <w:r w:rsidR="00E5662F" w:rsidRPr="00DE264C">
        <w:rPr>
          <w:noProof/>
        </w:rPr>
        <w:t xml:space="preserve">utting-edge digital network infrastructure </w:t>
      </w:r>
      <w:r w:rsidR="00AE21AC" w:rsidRPr="00DE264C">
        <w:rPr>
          <w:noProof/>
        </w:rPr>
        <w:t xml:space="preserve">– one of the cardinal points of the EU’s Digital Decade Policy Programme 2030 </w:t>
      </w:r>
      <w:r w:rsidR="00350031" w:rsidRPr="00DE264C">
        <w:rPr>
          <w:noProof/>
        </w:rPr>
        <w:t xml:space="preserve">and a goal under the </w:t>
      </w:r>
      <w:r w:rsidR="004C614A" w:rsidRPr="00DE264C">
        <w:rPr>
          <w:noProof/>
        </w:rPr>
        <w:t xml:space="preserve">AI Continent Strategy </w:t>
      </w:r>
      <w:r w:rsidR="00AE21AC" w:rsidRPr="00DE264C">
        <w:rPr>
          <w:noProof/>
        </w:rPr>
        <w:t xml:space="preserve">- </w:t>
      </w:r>
      <w:r w:rsidR="00E5662F" w:rsidRPr="00DE264C">
        <w:rPr>
          <w:noProof/>
        </w:rPr>
        <w:t xml:space="preserve">is </w:t>
      </w:r>
      <w:r w:rsidR="00AE21AC" w:rsidRPr="00DE264C">
        <w:rPr>
          <w:noProof/>
        </w:rPr>
        <w:t>essential for a competitive EU industry and a thriving (digital) economy</w:t>
      </w:r>
      <w:r w:rsidR="00E5662F" w:rsidRPr="00DE264C">
        <w:rPr>
          <w:noProof/>
        </w:rPr>
        <w:t>. Without</w:t>
      </w:r>
      <w:r w:rsidR="004224BA" w:rsidRPr="00DE264C">
        <w:rPr>
          <w:noProof/>
        </w:rPr>
        <w:t xml:space="preserve"> </w:t>
      </w:r>
      <w:r w:rsidR="00E50872" w:rsidRPr="00DE264C">
        <w:rPr>
          <w:noProof/>
        </w:rPr>
        <w:t>it,</w:t>
      </w:r>
      <w:r w:rsidR="00E5662F" w:rsidRPr="00DE264C">
        <w:rPr>
          <w:noProof/>
        </w:rPr>
        <w:t xml:space="preserve"> </w:t>
      </w:r>
      <w:r w:rsidR="00E50872" w:rsidRPr="00DE264C">
        <w:rPr>
          <w:noProof/>
        </w:rPr>
        <w:t>the</w:t>
      </w:r>
      <w:r w:rsidR="00E5662F" w:rsidRPr="00DE264C">
        <w:rPr>
          <w:noProof/>
        </w:rPr>
        <w:t xml:space="preserve"> consumers will </w:t>
      </w:r>
      <w:r w:rsidR="005A71FE" w:rsidRPr="00DE264C">
        <w:rPr>
          <w:noProof/>
        </w:rPr>
        <w:t>miss out</w:t>
      </w:r>
      <w:r w:rsidR="00E77A65" w:rsidRPr="00DE264C">
        <w:rPr>
          <w:noProof/>
        </w:rPr>
        <w:t xml:space="preserve"> on</w:t>
      </w:r>
      <w:r w:rsidR="00E5662F" w:rsidRPr="00DE264C">
        <w:rPr>
          <w:noProof/>
        </w:rPr>
        <w:t xml:space="preserve"> the benefits of advanced technologies</w:t>
      </w:r>
      <w:r w:rsidR="00552C4C" w:rsidRPr="00DE264C">
        <w:rPr>
          <w:noProof/>
        </w:rPr>
        <w:t xml:space="preserve"> while</w:t>
      </w:r>
      <w:r w:rsidR="00194AEA" w:rsidRPr="00DE264C">
        <w:rPr>
          <w:noProof/>
        </w:rPr>
        <w:t xml:space="preserve"> industry </w:t>
      </w:r>
      <w:r w:rsidR="00552C4C" w:rsidRPr="00DE264C">
        <w:rPr>
          <w:noProof/>
        </w:rPr>
        <w:t>-</w:t>
      </w:r>
      <w:r w:rsidR="00194AEA" w:rsidRPr="00DE264C">
        <w:rPr>
          <w:noProof/>
        </w:rPr>
        <w:t xml:space="preserve"> in particular vertical sectors </w:t>
      </w:r>
      <w:r w:rsidR="00BC190D" w:rsidRPr="00DE264C">
        <w:rPr>
          <w:noProof/>
        </w:rPr>
        <w:t xml:space="preserve">- </w:t>
      </w:r>
      <w:r w:rsidR="00194AEA" w:rsidRPr="00DE264C">
        <w:rPr>
          <w:noProof/>
        </w:rPr>
        <w:t>will fail to exploit innovation potential</w:t>
      </w:r>
      <w:r w:rsidR="00E5662F" w:rsidRPr="00DE264C">
        <w:rPr>
          <w:noProof/>
        </w:rPr>
        <w:t xml:space="preserve">. </w:t>
      </w:r>
      <w:r w:rsidR="00321A5D" w:rsidRPr="00DE264C">
        <w:rPr>
          <w:noProof/>
        </w:rPr>
        <w:t>E</w:t>
      </w:r>
      <w:r w:rsidR="00E5662F" w:rsidRPr="00DE264C">
        <w:rPr>
          <w:noProof/>
        </w:rPr>
        <w:t xml:space="preserve">nterprises need advanced connectivity and computing infrastructures </w:t>
      </w:r>
      <w:r w:rsidR="00CE64F4" w:rsidRPr="00DE264C">
        <w:rPr>
          <w:noProof/>
        </w:rPr>
        <w:t>to</w:t>
      </w:r>
      <w:r w:rsidR="00E5662F" w:rsidRPr="00DE264C">
        <w:rPr>
          <w:noProof/>
        </w:rPr>
        <w:t xml:space="preserve"> process data closer to their operations and customers, </w:t>
      </w:r>
      <w:r w:rsidR="002A7951" w:rsidRPr="00DE264C">
        <w:rPr>
          <w:noProof/>
        </w:rPr>
        <w:t xml:space="preserve">enabling </w:t>
      </w:r>
      <w:r w:rsidR="003C4884" w:rsidRPr="00DE264C">
        <w:rPr>
          <w:noProof/>
        </w:rPr>
        <w:t>to</w:t>
      </w:r>
      <w:r w:rsidR="00AC247E" w:rsidRPr="00DE264C">
        <w:rPr>
          <w:noProof/>
        </w:rPr>
        <w:t xml:space="preserve"> enhance</w:t>
      </w:r>
      <w:r w:rsidR="00E5662F" w:rsidRPr="00DE264C">
        <w:rPr>
          <w:noProof/>
        </w:rPr>
        <w:t xml:space="preserve"> innovative applications and services </w:t>
      </w:r>
      <w:r w:rsidR="00894ED0" w:rsidRPr="00DE264C">
        <w:rPr>
          <w:noProof/>
        </w:rPr>
        <w:t xml:space="preserve">including those that </w:t>
      </w:r>
      <w:r w:rsidR="00E5662F" w:rsidRPr="00DE264C">
        <w:rPr>
          <w:noProof/>
        </w:rPr>
        <w:t xml:space="preserve">require real-time data </w:t>
      </w:r>
      <w:r w:rsidR="00BC221E" w:rsidRPr="00DE264C">
        <w:rPr>
          <w:noProof/>
        </w:rPr>
        <w:t>and AI</w:t>
      </w:r>
      <w:r w:rsidR="00E5662F" w:rsidRPr="00DE264C">
        <w:rPr>
          <w:noProof/>
        </w:rPr>
        <w:t xml:space="preserve"> processing, such as Internet of Things (IoT) devices, autonomous vehicles, smart grids, predictive maintenance, real-time monitoring and automation. </w:t>
      </w:r>
      <w:r w:rsidR="006B7AE9">
        <w:rPr>
          <w:noProof/>
        </w:rPr>
        <w:t>This links strongly with competitiveness call in Draghi report.</w:t>
      </w:r>
    </w:p>
    <w:p w14:paraId="50029BB5" w14:textId="70BD26E3" w:rsidR="008937D9" w:rsidRPr="00DE264C" w:rsidRDefault="004F6F9E" w:rsidP="00F37C86">
      <w:pPr>
        <w:spacing w:line="240" w:lineRule="auto"/>
        <w:rPr>
          <w:noProof/>
          <w:lang w:val="en-IE"/>
        </w:rPr>
      </w:pPr>
      <w:r w:rsidRPr="00DE264C">
        <w:rPr>
          <w:noProof/>
        </w:rPr>
        <w:t xml:space="preserve">Creating a </w:t>
      </w:r>
      <w:r w:rsidR="128A6D33" w:rsidRPr="00DE264C">
        <w:rPr>
          <w:noProof/>
        </w:rPr>
        <w:t>genuine</w:t>
      </w:r>
      <w:r w:rsidR="1C5713CA" w:rsidRPr="00DE264C">
        <w:rPr>
          <w:noProof/>
        </w:rPr>
        <w:t xml:space="preserve"> </w:t>
      </w:r>
      <w:r w:rsidR="00FE6D44" w:rsidRPr="00DE264C">
        <w:rPr>
          <w:noProof/>
        </w:rPr>
        <w:t>d</w:t>
      </w:r>
      <w:r w:rsidR="25262A1D" w:rsidRPr="00DE264C">
        <w:rPr>
          <w:noProof/>
        </w:rPr>
        <w:t>igital</w:t>
      </w:r>
      <w:r w:rsidR="00DF1C09" w:rsidRPr="00DE264C">
        <w:rPr>
          <w:noProof/>
        </w:rPr>
        <w:t xml:space="preserve"> innovation in turn will </w:t>
      </w:r>
      <w:r w:rsidR="008D0C81" w:rsidRPr="00DE264C">
        <w:rPr>
          <w:noProof/>
        </w:rPr>
        <w:t>allow for the d</w:t>
      </w:r>
      <w:r w:rsidR="00B76499" w:rsidRPr="00DE264C">
        <w:rPr>
          <w:noProof/>
        </w:rPr>
        <w:t>eepening</w:t>
      </w:r>
      <w:r w:rsidR="00B76499" w:rsidRPr="00292895">
        <w:rPr>
          <w:noProof/>
        </w:rPr>
        <w:t xml:space="preserve"> </w:t>
      </w:r>
      <w:r w:rsidR="002C4483">
        <w:rPr>
          <w:noProof/>
        </w:rPr>
        <w:t>of</w:t>
      </w:r>
      <w:r w:rsidR="00B76499" w:rsidRPr="00292895">
        <w:rPr>
          <w:rFonts w:eastAsia="Times New Roman"/>
          <w:noProof/>
          <w:szCs w:val="20"/>
        </w:rPr>
        <w:t xml:space="preserve"> the Single Market for connectivity</w:t>
      </w:r>
      <w:r w:rsidR="006B7AE9" w:rsidRPr="00292895">
        <w:rPr>
          <w:rFonts w:eastAsia="Times New Roman"/>
          <w:noProof/>
          <w:szCs w:val="20"/>
        </w:rPr>
        <w:t xml:space="preserve"> as called for in Letta </w:t>
      </w:r>
      <w:r w:rsidR="006B7AE9" w:rsidRPr="00F37C86">
        <w:rPr>
          <w:noProof/>
        </w:rPr>
        <w:t>report</w:t>
      </w:r>
      <w:r w:rsidR="00230A49" w:rsidRPr="00DE264C">
        <w:rPr>
          <w:noProof/>
        </w:rPr>
        <w:t>, w</w:t>
      </w:r>
      <w:r w:rsidR="007656B9" w:rsidRPr="00DE264C">
        <w:rPr>
          <w:noProof/>
        </w:rPr>
        <w:t>it</w:t>
      </w:r>
      <w:r w:rsidR="00230A49" w:rsidRPr="00DE264C">
        <w:rPr>
          <w:noProof/>
        </w:rPr>
        <w:t>h</w:t>
      </w:r>
      <w:r w:rsidR="008177E1" w:rsidRPr="00DE264C">
        <w:rPr>
          <w:noProof/>
        </w:rPr>
        <w:t xml:space="preserve"> conditions </w:t>
      </w:r>
      <w:r w:rsidR="008177E1" w:rsidRPr="006E27E1">
        <w:rPr>
          <w:noProof/>
        </w:rPr>
        <w:t xml:space="preserve">boosting </w:t>
      </w:r>
      <w:r w:rsidR="00035527" w:rsidRPr="006E27E1">
        <w:rPr>
          <w:noProof/>
        </w:rPr>
        <w:t xml:space="preserve">investments </w:t>
      </w:r>
      <w:r w:rsidR="004172FD" w:rsidRPr="006E27E1">
        <w:rPr>
          <w:noProof/>
        </w:rPr>
        <w:t>and competitiveness</w:t>
      </w:r>
      <w:r w:rsidR="008B503D" w:rsidRPr="006E27E1">
        <w:rPr>
          <w:noProof/>
        </w:rPr>
        <w:t xml:space="preserve">. This is </w:t>
      </w:r>
      <w:r w:rsidR="003D334B" w:rsidRPr="006E27E1">
        <w:rPr>
          <w:noProof/>
        </w:rPr>
        <w:t>enabled by</w:t>
      </w:r>
      <w:r w:rsidR="00E15F9F" w:rsidRPr="006E27E1">
        <w:rPr>
          <w:noProof/>
        </w:rPr>
        <w:t xml:space="preserve"> </w:t>
      </w:r>
      <w:r w:rsidR="008B503D" w:rsidRPr="006E27E1">
        <w:rPr>
          <w:noProof/>
        </w:rPr>
        <w:t>the</w:t>
      </w:r>
      <w:r w:rsidR="0076065D" w:rsidRPr="006E27E1">
        <w:rPr>
          <w:noProof/>
        </w:rPr>
        <w:t xml:space="preserve"> </w:t>
      </w:r>
      <w:r w:rsidR="008937D9" w:rsidRPr="006E27E1">
        <w:rPr>
          <w:noProof/>
        </w:rPr>
        <w:t>remov</w:t>
      </w:r>
      <w:r w:rsidR="008B503D" w:rsidRPr="006E27E1">
        <w:rPr>
          <w:noProof/>
        </w:rPr>
        <w:t>al of</w:t>
      </w:r>
      <w:r w:rsidR="008937D9" w:rsidRPr="006E27E1">
        <w:rPr>
          <w:noProof/>
        </w:rPr>
        <w:t xml:space="preserve"> remaining obstacles and </w:t>
      </w:r>
      <w:r w:rsidR="00E15F9F" w:rsidRPr="006E27E1">
        <w:rPr>
          <w:noProof/>
        </w:rPr>
        <w:t xml:space="preserve">by </w:t>
      </w:r>
      <w:r w:rsidR="008937D9" w:rsidRPr="006E27E1">
        <w:rPr>
          <w:noProof/>
        </w:rPr>
        <w:t>facilitat</w:t>
      </w:r>
      <w:r w:rsidR="003D334B" w:rsidRPr="006E27E1">
        <w:rPr>
          <w:noProof/>
        </w:rPr>
        <w:t>ing a</w:t>
      </w:r>
      <w:r w:rsidR="008937D9" w:rsidRPr="006E27E1">
        <w:rPr>
          <w:noProof/>
        </w:rPr>
        <w:t xml:space="preserve"> convergent</w:t>
      </w:r>
      <w:r w:rsidR="00B25A52" w:rsidRPr="006E27E1">
        <w:rPr>
          <w:noProof/>
        </w:rPr>
        <w:t>,</w:t>
      </w:r>
      <w:r w:rsidR="008937D9" w:rsidRPr="006E27E1">
        <w:rPr>
          <w:noProof/>
        </w:rPr>
        <w:t xml:space="preserve"> </w:t>
      </w:r>
      <w:r w:rsidR="005D0989" w:rsidRPr="006E27E1">
        <w:rPr>
          <w:noProof/>
        </w:rPr>
        <w:t xml:space="preserve">predictable </w:t>
      </w:r>
      <w:r w:rsidR="00C960E6" w:rsidRPr="006E27E1">
        <w:rPr>
          <w:noProof/>
        </w:rPr>
        <w:t xml:space="preserve">and fair </w:t>
      </w:r>
      <w:r w:rsidR="00AF7A9C" w:rsidRPr="006E27E1">
        <w:rPr>
          <w:noProof/>
        </w:rPr>
        <w:t xml:space="preserve">regulatory framework </w:t>
      </w:r>
      <w:r w:rsidR="000A71EA" w:rsidRPr="006E27E1">
        <w:rPr>
          <w:noProof/>
        </w:rPr>
        <w:t xml:space="preserve">for </w:t>
      </w:r>
      <w:r w:rsidR="008937D9" w:rsidRPr="006E27E1">
        <w:rPr>
          <w:noProof/>
        </w:rPr>
        <w:t xml:space="preserve">investment in </w:t>
      </w:r>
      <w:r w:rsidR="00143D24" w:rsidRPr="006E27E1">
        <w:rPr>
          <w:noProof/>
        </w:rPr>
        <w:t>electronic communications networks</w:t>
      </w:r>
      <w:r w:rsidR="004F2BFB" w:rsidRPr="006E27E1">
        <w:rPr>
          <w:noProof/>
        </w:rPr>
        <w:t xml:space="preserve">, </w:t>
      </w:r>
      <w:r w:rsidR="008937D9" w:rsidRPr="006E27E1">
        <w:rPr>
          <w:noProof/>
        </w:rPr>
        <w:t xml:space="preserve">services, associated facilities and associated services, </w:t>
      </w:r>
      <w:r w:rsidR="00CB61B7" w:rsidRPr="006E27E1">
        <w:rPr>
          <w:noProof/>
        </w:rPr>
        <w:t xml:space="preserve">which can </w:t>
      </w:r>
      <w:r w:rsidR="004F5FA1" w:rsidRPr="006E27E1">
        <w:rPr>
          <w:noProof/>
        </w:rPr>
        <w:t>consequently be provider easier</w:t>
      </w:r>
      <w:r w:rsidR="00842375" w:rsidRPr="006E27E1">
        <w:rPr>
          <w:noProof/>
        </w:rPr>
        <w:t xml:space="preserve"> cross-border</w:t>
      </w:r>
      <w:r w:rsidR="00932D70" w:rsidRPr="006E27E1">
        <w:rPr>
          <w:noProof/>
        </w:rPr>
        <w:t>.</w:t>
      </w:r>
    </w:p>
    <w:p w14:paraId="5E3C8EE5" w14:textId="668A9E2A" w:rsidR="004C0723" w:rsidRPr="00DE264C" w:rsidRDefault="004C0723" w:rsidP="00F37C86">
      <w:pPr>
        <w:spacing w:line="240" w:lineRule="auto"/>
        <w:rPr>
          <w:noProof/>
          <w:lang w:val="en-IE"/>
        </w:rPr>
      </w:pPr>
      <w:r w:rsidRPr="006E27E1">
        <w:rPr>
          <w:noProof/>
        </w:rPr>
        <w:t xml:space="preserve">Finally, </w:t>
      </w:r>
      <w:r>
        <w:rPr>
          <w:noProof/>
        </w:rPr>
        <w:t>as stressed out in</w:t>
      </w:r>
      <w:r w:rsidRPr="004C0723">
        <w:rPr>
          <w:noProof/>
        </w:rPr>
        <w:t xml:space="preserve"> the Niinistö report, the importance of electronic communications, including satellite-based services, critical communication and digital services in the context of security, resilience and preparedness</w:t>
      </w:r>
      <w:r>
        <w:rPr>
          <w:noProof/>
        </w:rPr>
        <w:t xml:space="preserve"> should be clearly reflected</w:t>
      </w:r>
      <w:r w:rsidRPr="004C0723">
        <w:rPr>
          <w:noProof/>
        </w:rPr>
        <w:t>.</w:t>
      </w:r>
    </w:p>
    <w:p w14:paraId="03F7621A" w14:textId="28C8897E" w:rsidR="006B087E" w:rsidRPr="00DE264C" w:rsidRDefault="006B087E" w:rsidP="000E3086">
      <w:pPr>
        <w:pStyle w:val="Heading2"/>
        <w:rPr>
          <w:noProof/>
        </w:rPr>
      </w:pPr>
      <w:bookmarkStart w:id="151" w:name="_Toc215083735"/>
      <w:bookmarkStart w:id="152" w:name="_Toc219212503"/>
      <w:bookmarkStart w:id="153" w:name="_Toc219718158"/>
      <w:bookmarkStart w:id="154" w:name="_Toc214467711"/>
      <w:r w:rsidRPr="00DE264C">
        <w:rPr>
          <w:noProof/>
        </w:rPr>
        <w:t>Specific objectives</w:t>
      </w:r>
      <w:bookmarkEnd w:id="151"/>
      <w:bookmarkEnd w:id="152"/>
      <w:bookmarkEnd w:id="153"/>
      <w:r w:rsidR="00837F41" w:rsidRPr="00DE264C">
        <w:rPr>
          <w:noProof/>
        </w:rPr>
        <w:t xml:space="preserve"> </w:t>
      </w:r>
      <w:bookmarkEnd w:id="154"/>
    </w:p>
    <w:p w14:paraId="3978D1F9" w14:textId="5DE4A24C" w:rsidR="005C7C91" w:rsidRPr="005C7C91" w:rsidRDefault="005C7C91" w:rsidP="00053713">
      <w:pPr>
        <w:spacing w:line="240" w:lineRule="auto"/>
        <w:rPr>
          <w:noProof/>
        </w:rPr>
      </w:pPr>
      <w:r>
        <w:rPr>
          <w:noProof/>
        </w:rPr>
        <w:t xml:space="preserve">For each of the below specific objectives, we have already identified quantifiable and traceable indicators, which are described in </w:t>
      </w:r>
      <w:r w:rsidR="004856ED">
        <w:rPr>
          <w:noProof/>
        </w:rPr>
        <w:t xml:space="preserve">section </w:t>
      </w:r>
      <w:r>
        <w:rPr>
          <w:noProof/>
        </w:rPr>
        <w:t>9, having a basis for an operational performance monitoring framework.</w:t>
      </w:r>
    </w:p>
    <w:p w14:paraId="5FF15192" w14:textId="79A874CC" w:rsidR="00F833C3" w:rsidRPr="00934282" w:rsidRDefault="00934282" w:rsidP="00110EAA">
      <w:pPr>
        <w:pStyle w:val="Heading3"/>
        <w:tabs>
          <w:tab w:val="num" w:pos="7088"/>
        </w:tabs>
        <w:ind w:left="709"/>
        <w:rPr>
          <w:noProof/>
        </w:rPr>
      </w:pPr>
      <w:r w:rsidRPr="006E27E1">
        <w:rPr>
          <w:noProof/>
        </w:rPr>
        <w:t xml:space="preserve"> </w:t>
      </w:r>
      <w:bookmarkStart w:id="155" w:name="_Toc215083736"/>
      <w:bookmarkStart w:id="156" w:name="_Toc219212504"/>
      <w:bookmarkStart w:id="157" w:name="_Toc219718159"/>
      <w:r w:rsidR="009731B7" w:rsidRPr="006E27E1">
        <w:rPr>
          <w:noProof/>
        </w:rPr>
        <w:t xml:space="preserve">Swift roll-out </w:t>
      </w:r>
      <w:r w:rsidR="009731B7" w:rsidRPr="00934282">
        <w:rPr>
          <w:noProof/>
        </w:rPr>
        <w:t>and</w:t>
      </w:r>
      <w:r w:rsidR="009731B7" w:rsidRPr="006E27E1">
        <w:rPr>
          <w:noProof/>
        </w:rPr>
        <w:t xml:space="preserve"> take-up of fibre</w:t>
      </w:r>
      <w:bookmarkEnd w:id="155"/>
      <w:bookmarkEnd w:id="156"/>
      <w:bookmarkEnd w:id="157"/>
    </w:p>
    <w:p w14:paraId="359F6BDF" w14:textId="79AA96CF" w:rsidR="00B00B62" w:rsidRPr="00DE264C" w:rsidRDefault="00B00B62" w:rsidP="00F37C86">
      <w:pPr>
        <w:spacing w:line="240" w:lineRule="auto"/>
        <w:rPr>
          <w:noProof/>
        </w:rPr>
      </w:pPr>
      <w:r w:rsidRPr="00DE264C">
        <w:rPr>
          <w:noProof/>
        </w:rPr>
        <w:t xml:space="preserve">The specific objectives in relation to </w:t>
      </w:r>
      <w:r w:rsidR="009731B7">
        <w:rPr>
          <w:noProof/>
        </w:rPr>
        <w:t>transition to fibre</w:t>
      </w:r>
      <w:r w:rsidRPr="00DE264C">
        <w:rPr>
          <w:noProof/>
        </w:rPr>
        <w:t xml:space="preserve"> and access regulation are to</w:t>
      </w:r>
      <w:r w:rsidR="00E67A01" w:rsidRPr="00DE264C">
        <w:rPr>
          <w:noProof/>
        </w:rPr>
        <w:t>:</w:t>
      </w:r>
      <w:r w:rsidRPr="00DE264C">
        <w:rPr>
          <w:noProof/>
        </w:rPr>
        <w:t xml:space="preserve"> </w:t>
      </w:r>
      <w:r w:rsidR="00E67A01" w:rsidRPr="00DE264C">
        <w:rPr>
          <w:noProof/>
        </w:rPr>
        <w:t>(i)</w:t>
      </w:r>
      <w:r w:rsidRPr="00DE264C">
        <w:rPr>
          <w:noProof/>
        </w:rPr>
        <w:t xml:space="preserve"> foster </w:t>
      </w:r>
      <w:r w:rsidR="000E5589" w:rsidRPr="00DE264C">
        <w:rPr>
          <w:noProof/>
        </w:rPr>
        <w:t xml:space="preserve">the </w:t>
      </w:r>
      <w:r w:rsidR="00767A49" w:rsidRPr="00DE264C">
        <w:rPr>
          <w:noProof/>
        </w:rPr>
        <w:t xml:space="preserve">deployment </w:t>
      </w:r>
      <w:r w:rsidR="000E5589" w:rsidRPr="00DE264C">
        <w:rPr>
          <w:noProof/>
        </w:rPr>
        <w:t>of fibre networks</w:t>
      </w:r>
      <w:r w:rsidR="00E67A01" w:rsidRPr="00DE264C">
        <w:rPr>
          <w:noProof/>
        </w:rPr>
        <w:t>,</w:t>
      </w:r>
      <w:r w:rsidRPr="00DE264C">
        <w:rPr>
          <w:noProof/>
        </w:rPr>
        <w:t xml:space="preserve"> and </w:t>
      </w:r>
      <w:r w:rsidR="00E67A01" w:rsidRPr="00DE264C">
        <w:rPr>
          <w:noProof/>
        </w:rPr>
        <w:t>(ii)</w:t>
      </w:r>
      <w:r w:rsidRPr="00DE264C">
        <w:rPr>
          <w:noProof/>
        </w:rPr>
        <w:t xml:space="preserve"> </w:t>
      </w:r>
      <w:r w:rsidR="00675D7C" w:rsidRPr="00DE264C">
        <w:rPr>
          <w:noProof/>
        </w:rPr>
        <w:t xml:space="preserve">the </w:t>
      </w:r>
      <w:r w:rsidR="00252D8F" w:rsidRPr="00DE264C">
        <w:rPr>
          <w:noProof/>
        </w:rPr>
        <w:t>adoption of fibre</w:t>
      </w:r>
      <w:r w:rsidR="2FF31E3C" w:rsidRPr="00DE264C">
        <w:rPr>
          <w:noProof/>
        </w:rPr>
        <w:t>-based</w:t>
      </w:r>
      <w:r w:rsidR="00252D8F" w:rsidRPr="00DE264C">
        <w:rPr>
          <w:noProof/>
        </w:rPr>
        <w:t xml:space="preserve"> services (</w:t>
      </w:r>
      <w:r w:rsidRPr="00DE264C">
        <w:rPr>
          <w:noProof/>
        </w:rPr>
        <w:t>take-up</w:t>
      </w:r>
      <w:r w:rsidR="00252D8F" w:rsidRPr="00DE264C">
        <w:rPr>
          <w:noProof/>
        </w:rPr>
        <w:t>)</w:t>
      </w:r>
      <w:r w:rsidRPr="00DE264C">
        <w:rPr>
          <w:noProof/>
        </w:rPr>
        <w:t>, which is crucial for providing high-speed and high-quality digital services</w:t>
      </w:r>
      <w:r w:rsidR="67A3791B" w:rsidRPr="00DE264C">
        <w:rPr>
          <w:noProof/>
        </w:rPr>
        <w:t xml:space="preserve"> to the European society and economy</w:t>
      </w:r>
      <w:r w:rsidR="172B19EC" w:rsidRPr="00DE264C">
        <w:rPr>
          <w:noProof/>
        </w:rPr>
        <w:t>.</w:t>
      </w:r>
      <w:r w:rsidRPr="00DE264C">
        <w:rPr>
          <w:noProof/>
        </w:rPr>
        <w:t xml:space="preserve"> This, in turn, </w:t>
      </w:r>
      <w:r w:rsidR="179B1D4D" w:rsidRPr="00DE264C">
        <w:rPr>
          <w:noProof/>
        </w:rPr>
        <w:t xml:space="preserve">will require </w:t>
      </w:r>
      <w:r w:rsidR="015C397F" w:rsidRPr="00DE264C">
        <w:rPr>
          <w:noProof/>
        </w:rPr>
        <w:t xml:space="preserve">preserving and </w:t>
      </w:r>
      <w:r w:rsidR="172B19EC" w:rsidRPr="00DE264C">
        <w:rPr>
          <w:noProof/>
        </w:rPr>
        <w:t>promot</w:t>
      </w:r>
      <w:r w:rsidR="0E0234C2" w:rsidRPr="00DE264C">
        <w:rPr>
          <w:noProof/>
        </w:rPr>
        <w:t xml:space="preserve">ing sustainable </w:t>
      </w:r>
      <w:r w:rsidRPr="00DE264C">
        <w:rPr>
          <w:noProof/>
        </w:rPr>
        <w:t>competition in a full fibre environment, allowing consumers to benefit from the full capabilities of the infrastructure while supporting efficient investments. The goal is also to support the single market in the electronic communications markets by facilitating the provision of services across the EU and by streamlining the regulatory framework, making it more efficient for all stakeholders involved.</w:t>
      </w:r>
    </w:p>
    <w:p w14:paraId="5C7E783A" w14:textId="70C5E838" w:rsidR="78E8EE4D" w:rsidRPr="00DE264C" w:rsidRDefault="00206646" w:rsidP="00F37C86">
      <w:pPr>
        <w:spacing w:line="240" w:lineRule="auto"/>
        <w:rPr>
          <w:noProof/>
        </w:rPr>
      </w:pPr>
      <w:r>
        <w:rPr>
          <w:noProof/>
        </w:rPr>
        <w:t>As explained in section 9, t</w:t>
      </w:r>
      <w:r w:rsidR="00E13392">
        <w:rPr>
          <w:noProof/>
        </w:rPr>
        <w:t xml:space="preserve">his does not necessarily translate into 100% </w:t>
      </w:r>
      <w:r>
        <w:rPr>
          <w:noProof/>
        </w:rPr>
        <w:t>coverage and take up of fibr</w:t>
      </w:r>
      <w:r w:rsidR="009C2DCB">
        <w:rPr>
          <w:noProof/>
        </w:rPr>
        <w:t>e</w:t>
      </w:r>
      <w:r>
        <w:rPr>
          <w:noProof/>
        </w:rPr>
        <w:t xml:space="preserve"> everywhere in the EU.</w:t>
      </w:r>
      <w:r w:rsidR="00E13392">
        <w:rPr>
          <w:noProof/>
        </w:rPr>
        <w:t xml:space="preserve"> </w:t>
      </w:r>
      <w:r w:rsidR="78E8EE4D" w:rsidRPr="00DE264C">
        <w:rPr>
          <w:noProof/>
        </w:rPr>
        <w:t>Looking at the experien</w:t>
      </w:r>
      <w:r w:rsidR="006E0C6F" w:rsidRPr="00DE264C">
        <w:rPr>
          <w:noProof/>
        </w:rPr>
        <w:t>c</w:t>
      </w:r>
      <w:r w:rsidR="78E8EE4D" w:rsidRPr="00DE264C">
        <w:rPr>
          <w:noProof/>
        </w:rPr>
        <w:t xml:space="preserve">e of countries where the </w:t>
      </w:r>
      <w:r w:rsidR="00A13D75" w:rsidRPr="00DE264C">
        <w:rPr>
          <w:noProof/>
        </w:rPr>
        <w:t>fibre</w:t>
      </w:r>
      <w:r w:rsidR="78E8EE4D" w:rsidRPr="00DE264C">
        <w:rPr>
          <w:noProof/>
        </w:rPr>
        <w:t xml:space="preserve"> roll out is most advanced, it seems that the maximum fibre coverage that can be achieved is between 95% and 98%</w:t>
      </w:r>
      <w:r w:rsidR="5BFA6A6A">
        <w:rPr>
          <w:noProof/>
        </w:rPr>
        <w:t xml:space="preserve"> </w:t>
      </w:r>
      <w:r w:rsidR="78E8EE4D" w:rsidRPr="00DE264C">
        <w:rPr>
          <w:noProof/>
        </w:rPr>
        <w:t xml:space="preserve">as there are always some areas </w:t>
      </w:r>
      <w:r w:rsidR="316954FC" w:rsidRPr="00DE264C">
        <w:rPr>
          <w:noProof/>
        </w:rPr>
        <w:t>(2-5%) of the territory where the deployment of fibre is not economically viable.</w:t>
      </w:r>
    </w:p>
    <w:p w14:paraId="29B2ED2A" w14:textId="5D46C72E" w:rsidR="000B106F" w:rsidRPr="00DE264C" w:rsidRDefault="000B106F" w:rsidP="00B9290D">
      <w:pPr>
        <w:pStyle w:val="Heading3"/>
        <w:tabs>
          <w:tab w:val="num" w:pos="7088"/>
        </w:tabs>
        <w:ind w:left="709"/>
        <w:rPr>
          <w:noProof/>
          <w:lang w:val="en-IE"/>
        </w:rPr>
      </w:pPr>
      <w:bookmarkStart w:id="158" w:name="_Toc215083737"/>
      <w:bookmarkStart w:id="159" w:name="_Toc219212505"/>
      <w:bookmarkStart w:id="160" w:name="_Toc219718160"/>
      <w:bookmarkStart w:id="161" w:name="_Toc214467714"/>
      <w:r w:rsidRPr="006E27E1">
        <w:rPr>
          <w:noProof/>
        </w:rPr>
        <w:t xml:space="preserve">Close the gap with competing regions in </w:t>
      </w:r>
      <w:r w:rsidR="001A747D" w:rsidRPr="006E27E1">
        <w:rPr>
          <w:noProof/>
        </w:rPr>
        <w:t xml:space="preserve">the </w:t>
      </w:r>
      <w:r w:rsidRPr="006E27E1">
        <w:rPr>
          <w:noProof/>
        </w:rPr>
        <w:t xml:space="preserve">quality </w:t>
      </w:r>
      <w:r w:rsidR="001A747D" w:rsidRPr="006E27E1">
        <w:rPr>
          <w:noProof/>
        </w:rPr>
        <w:t xml:space="preserve">of </w:t>
      </w:r>
      <w:r w:rsidR="00E35A5F" w:rsidRPr="006E27E1">
        <w:rPr>
          <w:noProof/>
        </w:rPr>
        <w:t xml:space="preserve">mobile </w:t>
      </w:r>
      <w:r w:rsidRPr="006E27E1">
        <w:rPr>
          <w:noProof/>
        </w:rPr>
        <w:t>networks</w:t>
      </w:r>
      <w:bookmarkEnd w:id="158"/>
      <w:bookmarkEnd w:id="159"/>
      <w:bookmarkEnd w:id="160"/>
      <w:r w:rsidRPr="006E27E1">
        <w:rPr>
          <w:noProof/>
        </w:rPr>
        <w:t xml:space="preserve"> </w:t>
      </w:r>
      <w:bookmarkEnd w:id="161"/>
    </w:p>
    <w:p w14:paraId="101AD0FB" w14:textId="77777777" w:rsidR="00206646" w:rsidRDefault="00EA5649" w:rsidP="00F37C86">
      <w:pPr>
        <w:spacing w:line="240" w:lineRule="auto"/>
        <w:rPr>
          <w:noProof/>
        </w:rPr>
      </w:pPr>
      <w:r w:rsidRPr="00DE264C">
        <w:rPr>
          <w:noProof/>
        </w:rPr>
        <w:t xml:space="preserve">Investments </w:t>
      </w:r>
      <w:r w:rsidR="00024B0F" w:rsidRPr="00DE264C">
        <w:rPr>
          <w:noProof/>
        </w:rPr>
        <w:t xml:space="preserve">in </w:t>
      </w:r>
      <w:r w:rsidR="00D63ECF" w:rsidRPr="00DE264C">
        <w:rPr>
          <w:noProof/>
        </w:rPr>
        <w:t>high quality</w:t>
      </w:r>
      <w:r w:rsidR="00024B0F" w:rsidRPr="00DE264C">
        <w:rPr>
          <w:noProof/>
        </w:rPr>
        <w:t xml:space="preserve"> mobile network</w:t>
      </w:r>
      <w:r w:rsidR="004277A3" w:rsidRPr="00DE264C">
        <w:rPr>
          <w:noProof/>
        </w:rPr>
        <w:t>s</w:t>
      </w:r>
      <w:r w:rsidR="00024B0F" w:rsidRPr="00DE264C">
        <w:rPr>
          <w:noProof/>
        </w:rPr>
        <w:t xml:space="preserve"> will need to increase </w:t>
      </w:r>
      <w:r w:rsidR="00F544DF" w:rsidRPr="00DE264C">
        <w:rPr>
          <w:noProof/>
        </w:rPr>
        <w:t>to ensure that the EU economy remains competitive</w:t>
      </w:r>
      <w:r w:rsidR="00525D18" w:rsidRPr="00DE264C">
        <w:rPr>
          <w:noProof/>
        </w:rPr>
        <w:t xml:space="preserve">. </w:t>
      </w:r>
      <w:r w:rsidR="00885B78" w:rsidRPr="00DE264C">
        <w:rPr>
          <w:noProof/>
        </w:rPr>
        <w:t xml:space="preserve">The </w:t>
      </w:r>
      <w:r w:rsidR="004F2A3F" w:rsidRPr="00DE264C">
        <w:rPr>
          <w:noProof/>
        </w:rPr>
        <w:t xml:space="preserve">EU will need to catch up with global leaders </w:t>
      </w:r>
      <w:r w:rsidR="00DF7A8D" w:rsidRPr="00DE264C">
        <w:rPr>
          <w:noProof/>
        </w:rPr>
        <w:t>on</w:t>
      </w:r>
      <w:r w:rsidR="004F2A3F" w:rsidRPr="00DE264C">
        <w:rPr>
          <w:noProof/>
        </w:rPr>
        <w:t xml:space="preserve"> </w:t>
      </w:r>
      <w:r w:rsidR="0028705B" w:rsidRPr="00DE264C">
        <w:rPr>
          <w:noProof/>
        </w:rPr>
        <w:t>deployme</w:t>
      </w:r>
      <w:r w:rsidR="00341E75" w:rsidRPr="00DE264C">
        <w:rPr>
          <w:noProof/>
        </w:rPr>
        <w:t xml:space="preserve">nt of wireless </w:t>
      </w:r>
      <w:r w:rsidR="00094F07" w:rsidRPr="00DE264C">
        <w:rPr>
          <w:noProof/>
        </w:rPr>
        <w:t xml:space="preserve">high quality networks (5G </w:t>
      </w:r>
      <w:r w:rsidR="00E069DF" w:rsidRPr="00DE264C">
        <w:rPr>
          <w:noProof/>
        </w:rPr>
        <w:t>SA</w:t>
      </w:r>
      <w:r w:rsidR="00094F07" w:rsidRPr="00DE264C">
        <w:rPr>
          <w:noProof/>
        </w:rPr>
        <w:t xml:space="preserve"> based on mid-band</w:t>
      </w:r>
      <w:r w:rsidR="0047269F" w:rsidRPr="00DE264C">
        <w:rPr>
          <w:noProof/>
        </w:rPr>
        <w:t xml:space="preserve"> spectrum</w:t>
      </w:r>
      <w:r w:rsidR="00341E75" w:rsidRPr="00DE264C">
        <w:rPr>
          <w:noProof/>
        </w:rPr>
        <w:t xml:space="preserve">, </w:t>
      </w:r>
      <w:r w:rsidR="00094F07" w:rsidRPr="00DE264C">
        <w:rPr>
          <w:noProof/>
        </w:rPr>
        <w:t>network densification</w:t>
      </w:r>
      <w:r w:rsidR="00341E75" w:rsidRPr="00DE264C">
        <w:rPr>
          <w:noProof/>
        </w:rPr>
        <w:t xml:space="preserve"> and 6G in the future</w:t>
      </w:r>
      <w:r w:rsidR="00094F07" w:rsidRPr="00DE264C">
        <w:rPr>
          <w:noProof/>
        </w:rPr>
        <w:t>) to</w:t>
      </w:r>
      <w:r w:rsidR="00495A32" w:rsidRPr="00DE264C">
        <w:rPr>
          <w:noProof/>
        </w:rPr>
        <w:t xml:space="preserve"> better serve end</w:t>
      </w:r>
      <w:r w:rsidR="001A2099" w:rsidRPr="00DE264C">
        <w:rPr>
          <w:noProof/>
        </w:rPr>
        <w:t>-</w:t>
      </w:r>
      <w:r w:rsidR="00495A32" w:rsidRPr="00DE264C">
        <w:rPr>
          <w:noProof/>
        </w:rPr>
        <w:t>users and</w:t>
      </w:r>
      <w:r w:rsidR="00094F07" w:rsidRPr="00DE264C">
        <w:rPr>
          <w:noProof/>
        </w:rPr>
        <w:t xml:space="preserve"> en</w:t>
      </w:r>
      <w:r w:rsidR="00A751B8" w:rsidRPr="00DE264C">
        <w:rPr>
          <w:noProof/>
        </w:rPr>
        <w:t xml:space="preserve">able </w:t>
      </w:r>
      <w:r w:rsidR="00094F07" w:rsidRPr="00DE264C">
        <w:rPr>
          <w:noProof/>
        </w:rPr>
        <w:t>quality-assured services, that require high bandwidths</w:t>
      </w:r>
      <w:r w:rsidR="008E6461">
        <w:rPr>
          <w:noProof/>
        </w:rPr>
        <w:t xml:space="preserve">, </w:t>
      </w:r>
      <w:r w:rsidR="00210569">
        <w:rPr>
          <w:noProof/>
        </w:rPr>
        <w:t xml:space="preserve">high </w:t>
      </w:r>
      <w:r w:rsidR="008E6461">
        <w:rPr>
          <w:noProof/>
        </w:rPr>
        <w:t>speeds</w:t>
      </w:r>
      <w:r w:rsidR="00094F07" w:rsidRPr="00DE264C">
        <w:rPr>
          <w:noProof/>
        </w:rPr>
        <w:t xml:space="preserve"> and/or low latency</w:t>
      </w:r>
      <w:r w:rsidR="00643986" w:rsidRPr="00DE264C">
        <w:rPr>
          <w:noProof/>
        </w:rPr>
        <w:t xml:space="preserve"> and realise full 5G and 6G innovation potential </w:t>
      </w:r>
      <w:r w:rsidR="006F0DFD" w:rsidRPr="00DE264C">
        <w:rPr>
          <w:noProof/>
        </w:rPr>
        <w:t>throughout the Single Market</w:t>
      </w:r>
      <w:r w:rsidR="000046DE" w:rsidRPr="00DE264C">
        <w:rPr>
          <w:noProof/>
        </w:rPr>
        <w:t xml:space="preserve"> and in very different sectors</w:t>
      </w:r>
      <w:r w:rsidR="000046DE" w:rsidRPr="00DE264C">
        <w:rPr>
          <w:rStyle w:val="FootnoteReference"/>
          <w:noProof/>
        </w:rPr>
        <w:footnoteReference w:id="170"/>
      </w:r>
      <w:r w:rsidR="000046DE" w:rsidRPr="00DE264C">
        <w:rPr>
          <w:noProof/>
        </w:rPr>
        <w:t>.</w:t>
      </w:r>
      <w:r w:rsidR="006F0DFD" w:rsidRPr="00DE264C">
        <w:rPr>
          <w:noProof/>
        </w:rPr>
        <w:t xml:space="preserve"> </w:t>
      </w:r>
    </w:p>
    <w:p w14:paraId="2549ABD3" w14:textId="13A812BC" w:rsidR="00832B60" w:rsidRPr="00DE264C" w:rsidRDefault="00CC59B7" w:rsidP="00F37C86">
      <w:pPr>
        <w:spacing w:line="240" w:lineRule="auto"/>
        <w:rPr>
          <w:noProof/>
        </w:rPr>
      </w:pPr>
      <w:r>
        <w:rPr>
          <w:noProof/>
        </w:rPr>
        <w:t>Th</w:t>
      </w:r>
      <w:r w:rsidR="00756DA8">
        <w:rPr>
          <w:noProof/>
        </w:rPr>
        <w:t>is</w:t>
      </w:r>
      <w:r>
        <w:rPr>
          <w:noProof/>
        </w:rPr>
        <w:t xml:space="preserve"> objective </w:t>
      </w:r>
      <w:r w:rsidR="00D251B0">
        <w:rPr>
          <w:noProof/>
        </w:rPr>
        <w:t xml:space="preserve">can </w:t>
      </w:r>
      <w:r w:rsidR="005A6284">
        <w:rPr>
          <w:noProof/>
        </w:rPr>
        <w:t>be</w:t>
      </w:r>
      <w:r w:rsidR="00D251B0">
        <w:rPr>
          <w:noProof/>
        </w:rPr>
        <w:t xml:space="preserve"> measured in terms of improved</w:t>
      </w:r>
      <w:r>
        <w:rPr>
          <w:noProof/>
        </w:rPr>
        <w:t xml:space="preserve"> </w:t>
      </w:r>
      <w:r w:rsidR="002A61F0">
        <w:rPr>
          <w:noProof/>
        </w:rPr>
        <w:t xml:space="preserve">quality of mobile connectivity for </w:t>
      </w:r>
      <w:r>
        <w:rPr>
          <w:noProof/>
        </w:rPr>
        <w:t>c</w:t>
      </w:r>
      <w:r w:rsidR="000F38D5">
        <w:rPr>
          <w:noProof/>
        </w:rPr>
        <w:t xml:space="preserve">onsumers and businesses </w:t>
      </w:r>
      <w:r w:rsidR="002A61F0">
        <w:rPr>
          <w:noProof/>
        </w:rPr>
        <w:t>in terms of higher</w:t>
      </w:r>
      <w:r>
        <w:rPr>
          <w:noProof/>
        </w:rPr>
        <w:t xml:space="preserve"> download and upload speeds, lower latency and in general better end user </w:t>
      </w:r>
      <w:r w:rsidR="004B2199">
        <w:rPr>
          <w:noProof/>
        </w:rPr>
        <w:t xml:space="preserve">quality of </w:t>
      </w:r>
      <w:r>
        <w:rPr>
          <w:noProof/>
        </w:rPr>
        <w:t>experience</w:t>
      </w:r>
      <w:r w:rsidR="00AF5DC1">
        <w:rPr>
          <w:noProof/>
        </w:rPr>
        <w:t xml:space="preserve"> </w:t>
      </w:r>
      <w:r w:rsidR="00AF5DC1" w:rsidRPr="00292895">
        <w:rPr>
          <w:noProof/>
        </w:rPr>
        <w:t>as explained in section 9</w:t>
      </w:r>
      <w:r w:rsidR="00287C02" w:rsidRPr="1D4478B8">
        <w:rPr>
          <w:noProof/>
        </w:rPr>
        <w:t>.</w:t>
      </w:r>
      <w:r w:rsidR="00094F07" w:rsidRPr="00DE264C">
        <w:rPr>
          <w:noProof/>
        </w:rPr>
        <w:t xml:space="preserve"> </w:t>
      </w:r>
    </w:p>
    <w:p w14:paraId="5343C9CE" w14:textId="6AE04214" w:rsidR="00706EE3" w:rsidRPr="00DE264C" w:rsidRDefault="003F368D" w:rsidP="00C867EF">
      <w:pPr>
        <w:pStyle w:val="Heading3"/>
        <w:tabs>
          <w:tab w:val="num" w:pos="7088"/>
        </w:tabs>
        <w:spacing w:before="240"/>
        <w:ind w:left="709"/>
        <w:rPr>
          <w:noProof/>
        </w:rPr>
      </w:pPr>
      <w:bookmarkStart w:id="162" w:name="_Toc214467715"/>
      <w:bookmarkStart w:id="163" w:name="_Toc215083738"/>
      <w:bookmarkStart w:id="164" w:name="_Toc219212506"/>
      <w:bookmarkStart w:id="165" w:name="_Toc219718161"/>
      <w:r w:rsidRPr="00DE264C">
        <w:rPr>
          <w:noProof/>
        </w:rPr>
        <w:t xml:space="preserve">Increase </w:t>
      </w:r>
      <w:r w:rsidRPr="006E27E1">
        <w:rPr>
          <w:noProof/>
        </w:rPr>
        <w:t>pan</w:t>
      </w:r>
      <w:r w:rsidRPr="00DE264C">
        <w:rPr>
          <w:noProof/>
        </w:rPr>
        <w:t>-</w:t>
      </w:r>
      <w:r w:rsidR="00727A88" w:rsidRPr="00DE264C">
        <w:rPr>
          <w:noProof/>
        </w:rPr>
        <w:t>European</w:t>
      </w:r>
      <w:r w:rsidRPr="00DE264C">
        <w:rPr>
          <w:noProof/>
        </w:rPr>
        <w:t xml:space="preserve"> network operation and service provision</w:t>
      </w:r>
      <w:bookmarkEnd w:id="162"/>
      <w:bookmarkEnd w:id="163"/>
      <w:bookmarkEnd w:id="164"/>
      <w:bookmarkEnd w:id="165"/>
    </w:p>
    <w:p w14:paraId="4EB0D93C" w14:textId="0F5D5680" w:rsidR="00DF3659" w:rsidRPr="00DE264C" w:rsidRDefault="00997BA8" w:rsidP="00F37C86">
      <w:pPr>
        <w:spacing w:line="240" w:lineRule="auto"/>
        <w:rPr>
          <w:noProof/>
          <w:u w:val="single"/>
          <w:lang w:val="en-IE"/>
        </w:rPr>
      </w:pPr>
      <w:r w:rsidRPr="00DE264C">
        <w:rPr>
          <w:noProof/>
        </w:rPr>
        <w:t>Advanced digital network infrastructures and services</w:t>
      </w:r>
      <w:r w:rsidR="00033087" w:rsidRPr="00DE264C">
        <w:rPr>
          <w:noProof/>
        </w:rPr>
        <w:t xml:space="preserve">, including </w:t>
      </w:r>
      <w:r w:rsidR="0068475B" w:rsidRPr="00DE264C">
        <w:rPr>
          <w:noProof/>
        </w:rPr>
        <w:t xml:space="preserve">LEO </w:t>
      </w:r>
      <w:r w:rsidR="00033087" w:rsidRPr="00DE264C">
        <w:rPr>
          <w:noProof/>
        </w:rPr>
        <w:t>satellite</w:t>
      </w:r>
      <w:r w:rsidR="0068475B" w:rsidRPr="00DE264C">
        <w:rPr>
          <w:noProof/>
        </w:rPr>
        <w:t xml:space="preserve"> constellations</w:t>
      </w:r>
      <w:r w:rsidR="00033087" w:rsidRPr="00DE264C">
        <w:rPr>
          <w:noProof/>
        </w:rPr>
        <w:t>,</w:t>
      </w:r>
      <w:r w:rsidRPr="00DE264C">
        <w:rPr>
          <w:noProof/>
        </w:rPr>
        <w:t xml:space="preserve"> will become a key enabler for transformative digital technologies and services such as Artificial Intelligence (AI)</w:t>
      </w:r>
      <w:r w:rsidR="00646286" w:rsidRPr="00DE264C">
        <w:rPr>
          <w:noProof/>
        </w:rPr>
        <w:t xml:space="preserve">. </w:t>
      </w:r>
      <w:r w:rsidR="00C23FDF" w:rsidRPr="00DE264C">
        <w:rPr>
          <w:noProof/>
        </w:rPr>
        <w:t>It is increasingly likely that many</w:t>
      </w:r>
      <w:r w:rsidR="00933849" w:rsidRPr="00DE264C">
        <w:rPr>
          <w:noProof/>
        </w:rPr>
        <w:t xml:space="preserve"> </w:t>
      </w:r>
      <w:r w:rsidR="00E92853" w:rsidRPr="00DE264C">
        <w:rPr>
          <w:noProof/>
        </w:rPr>
        <w:t xml:space="preserve">AI's breakthroughs will come </w:t>
      </w:r>
      <w:r w:rsidR="00235F67" w:rsidRPr="00DE264C">
        <w:rPr>
          <w:noProof/>
        </w:rPr>
        <w:t xml:space="preserve">not just from </w:t>
      </w:r>
      <w:r w:rsidR="00892287" w:rsidRPr="00DE264C">
        <w:rPr>
          <w:noProof/>
        </w:rPr>
        <w:t>al</w:t>
      </w:r>
      <w:r w:rsidR="00876928" w:rsidRPr="00DE264C">
        <w:rPr>
          <w:noProof/>
        </w:rPr>
        <w:t>gorithms alone</w:t>
      </w:r>
      <w:r w:rsidR="00235F67" w:rsidRPr="00DE264C">
        <w:rPr>
          <w:noProof/>
        </w:rPr>
        <w:t>,</w:t>
      </w:r>
      <w:r w:rsidR="00876928" w:rsidRPr="00DE264C">
        <w:rPr>
          <w:noProof/>
        </w:rPr>
        <w:t xml:space="preserve"> but </w:t>
      </w:r>
      <w:r w:rsidR="00551DCE" w:rsidRPr="00DE264C">
        <w:rPr>
          <w:noProof/>
        </w:rPr>
        <w:t xml:space="preserve">also </w:t>
      </w:r>
      <w:r w:rsidR="00E92853" w:rsidRPr="00DE264C">
        <w:rPr>
          <w:noProof/>
        </w:rPr>
        <w:t xml:space="preserve">from enhancing the infrastructure and connections that support </w:t>
      </w:r>
      <w:r w:rsidR="00876928" w:rsidRPr="00DE264C">
        <w:rPr>
          <w:noProof/>
        </w:rPr>
        <w:t>them</w:t>
      </w:r>
      <w:r w:rsidR="00E92853" w:rsidRPr="00DE264C">
        <w:rPr>
          <w:noProof/>
        </w:rPr>
        <w:t xml:space="preserve">. Instead of relying solely on fibre and terrestrial 5G/6G networks, AI systems are beginning to leverage constellations of LEO satellites capable of delivering </w:t>
      </w:r>
      <w:r w:rsidR="00524FA8" w:rsidRPr="00DE264C">
        <w:rPr>
          <w:noProof/>
        </w:rPr>
        <w:t>ub</w:t>
      </w:r>
      <w:r w:rsidR="00AC1B3A" w:rsidRPr="00DE264C">
        <w:rPr>
          <w:noProof/>
        </w:rPr>
        <w:t>iquitous</w:t>
      </w:r>
      <w:r w:rsidR="00D622E5" w:rsidRPr="00DE264C">
        <w:rPr>
          <w:noProof/>
        </w:rPr>
        <w:t xml:space="preserve">, reliable </w:t>
      </w:r>
      <w:r w:rsidR="00A35406" w:rsidRPr="00DE264C">
        <w:rPr>
          <w:noProof/>
        </w:rPr>
        <w:t xml:space="preserve">and </w:t>
      </w:r>
      <w:r w:rsidR="00325FF9" w:rsidRPr="00DE264C">
        <w:rPr>
          <w:noProof/>
        </w:rPr>
        <w:t>high</w:t>
      </w:r>
      <w:r w:rsidR="00A35406" w:rsidRPr="00DE264C">
        <w:rPr>
          <w:noProof/>
        </w:rPr>
        <w:t>-</w:t>
      </w:r>
      <w:r w:rsidR="00325FF9" w:rsidRPr="00DE264C">
        <w:rPr>
          <w:noProof/>
        </w:rPr>
        <w:t xml:space="preserve">capacity </w:t>
      </w:r>
      <w:r w:rsidR="00A35406" w:rsidRPr="00DE264C">
        <w:rPr>
          <w:noProof/>
        </w:rPr>
        <w:t>connectivity</w:t>
      </w:r>
      <w:r w:rsidR="00E92853" w:rsidRPr="00DE264C">
        <w:rPr>
          <w:noProof/>
        </w:rPr>
        <w:t xml:space="preserve"> anywhere</w:t>
      </w:r>
      <w:r w:rsidR="0017680A" w:rsidRPr="00DE264C">
        <w:rPr>
          <w:rStyle w:val="FootnoteReference"/>
          <w:noProof/>
        </w:rPr>
        <w:footnoteReference w:id="171"/>
      </w:r>
      <w:r w:rsidRPr="00DE264C">
        <w:rPr>
          <w:rFonts w:eastAsia="Times New Roman"/>
          <w:noProof/>
        </w:rPr>
        <w:t>.</w:t>
      </w:r>
    </w:p>
    <w:p w14:paraId="123C6203" w14:textId="05AA986F" w:rsidR="00C46892" w:rsidRDefault="004F529F" w:rsidP="00F37C86">
      <w:pPr>
        <w:spacing w:line="240" w:lineRule="auto"/>
        <w:rPr>
          <w:rFonts w:eastAsia="Times New Roman"/>
          <w:noProof/>
          <w:color w:val="000000" w:themeColor="text1"/>
        </w:rPr>
      </w:pPr>
      <w:r w:rsidRPr="006E27E1">
        <w:rPr>
          <w:noProof/>
        </w:rPr>
        <w:t>Removing regulatory barriers to</w:t>
      </w:r>
      <w:r w:rsidR="008A499F" w:rsidRPr="006E27E1">
        <w:rPr>
          <w:noProof/>
        </w:rPr>
        <w:t xml:space="preserve"> facilitate the deployment of </w:t>
      </w:r>
      <w:r w:rsidR="00FE241D" w:rsidRPr="006E27E1">
        <w:rPr>
          <w:noProof/>
        </w:rPr>
        <w:t xml:space="preserve">innovative </w:t>
      </w:r>
      <w:r w:rsidR="00727A88" w:rsidRPr="006E27E1">
        <w:rPr>
          <w:noProof/>
        </w:rPr>
        <w:t xml:space="preserve">pan-European </w:t>
      </w:r>
      <w:r w:rsidR="00FE241D" w:rsidRPr="006E27E1">
        <w:rPr>
          <w:noProof/>
        </w:rPr>
        <w:t>satellite communication</w:t>
      </w:r>
      <w:r w:rsidR="00D21B25" w:rsidRPr="006E27E1">
        <w:rPr>
          <w:noProof/>
        </w:rPr>
        <w:t xml:space="preserve"> services</w:t>
      </w:r>
      <w:r w:rsidR="00FE241D" w:rsidRPr="006E27E1">
        <w:rPr>
          <w:noProof/>
        </w:rPr>
        <w:t xml:space="preserve"> and </w:t>
      </w:r>
      <w:r w:rsidR="008A499F" w:rsidRPr="006E27E1">
        <w:rPr>
          <w:noProof/>
        </w:rPr>
        <w:t xml:space="preserve">promote </w:t>
      </w:r>
      <w:r w:rsidR="00FE241D" w:rsidRPr="006E27E1">
        <w:rPr>
          <w:noProof/>
        </w:rPr>
        <w:t xml:space="preserve">the integration of </w:t>
      </w:r>
      <w:r w:rsidR="00490AAD" w:rsidRPr="006E27E1">
        <w:rPr>
          <w:noProof/>
        </w:rPr>
        <w:t xml:space="preserve">terrestrial and </w:t>
      </w:r>
      <w:r w:rsidR="007153C6" w:rsidRPr="006E27E1">
        <w:rPr>
          <w:noProof/>
        </w:rPr>
        <w:t xml:space="preserve">satellite </w:t>
      </w:r>
      <w:r w:rsidR="006F79D2" w:rsidRPr="006E27E1">
        <w:rPr>
          <w:noProof/>
        </w:rPr>
        <w:t>D2D</w:t>
      </w:r>
      <w:r w:rsidR="007153C6" w:rsidRPr="006E27E1">
        <w:rPr>
          <w:noProof/>
        </w:rPr>
        <w:t xml:space="preserve"> </w:t>
      </w:r>
      <w:r w:rsidR="002B4AB7" w:rsidRPr="006E27E1">
        <w:rPr>
          <w:noProof/>
        </w:rPr>
        <w:t>sovereign</w:t>
      </w:r>
      <w:r w:rsidR="00FE241D" w:rsidRPr="006E27E1">
        <w:rPr>
          <w:noProof/>
        </w:rPr>
        <w:t xml:space="preserve"> technologies within the new space ecosystem</w:t>
      </w:r>
      <w:r w:rsidR="007D1A24" w:rsidRPr="006E27E1">
        <w:rPr>
          <w:noProof/>
        </w:rPr>
        <w:t xml:space="preserve"> is</w:t>
      </w:r>
      <w:r w:rsidR="00FE241D" w:rsidRPr="006E27E1">
        <w:rPr>
          <w:noProof/>
        </w:rPr>
        <w:t xml:space="preserve"> essential to reinforce the Union’s industrial and scientific capacities</w:t>
      </w:r>
      <w:r w:rsidR="00A81245" w:rsidRPr="006E27E1">
        <w:rPr>
          <w:noProof/>
        </w:rPr>
        <w:t xml:space="preserve">, </w:t>
      </w:r>
      <w:r w:rsidR="00BD235A" w:rsidRPr="006E27E1">
        <w:rPr>
          <w:noProof/>
        </w:rPr>
        <w:t>better serve end</w:t>
      </w:r>
      <w:r w:rsidR="00423538" w:rsidRPr="006E27E1">
        <w:rPr>
          <w:noProof/>
        </w:rPr>
        <w:t>-</w:t>
      </w:r>
      <w:r w:rsidR="00BD235A" w:rsidRPr="006E27E1">
        <w:rPr>
          <w:noProof/>
        </w:rPr>
        <w:t>users with</w:t>
      </w:r>
      <w:r w:rsidR="00C7236C" w:rsidRPr="006E27E1">
        <w:rPr>
          <w:noProof/>
        </w:rPr>
        <w:t xml:space="preserve"> </w:t>
      </w:r>
      <w:r w:rsidR="00423538" w:rsidRPr="006E27E1">
        <w:rPr>
          <w:noProof/>
        </w:rPr>
        <w:t>connectivity</w:t>
      </w:r>
      <w:r w:rsidR="00C7236C" w:rsidRPr="006E27E1">
        <w:rPr>
          <w:noProof/>
        </w:rPr>
        <w:t xml:space="preserve"> services </w:t>
      </w:r>
      <w:r w:rsidR="00FE241D" w:rsidRPr="006E27E1">
        <w:rPr>
          <w:noProof/>
        </w:rPr>
        <w:t xml:space="preserve">and </w:t>
      </w:r>
      <w:r w:rsidR="00E21BD6" w:rsidRPr="006E27E1">
        <w:rPr>
          <w:noProof/>
        </w:rPr>
        <w:t>consolidate</w:t>
      </w:r>
      <w:r w:rsidR="00FE241D" w:rsidRPr="006E27E1">
        <w:rPr>
          <w:noProof/>
        </w:rPr>
        <w:t xml:space="preserve"> Europe’s strategic autonomy</w:t>
      </w:r>
      <w:r w:rsidR="00174C99" w:rsidRPr="006E27E1">
        <w:rPr>
          <w:noProof/>
        </w:rPr>
        <w:t>,</w:t>
      </w:r>
      <w:r w:rsidR="00FE241D" w:rsidRPr="006E27E1">
        <w:rPr>
          <w:noProof/>
        </w:rPr>
        <w:t xml:space="preserve"> </w:t>
      </w:r>
      <w:r w:rsidR="004A4940" w:rsidRPr="006E27E1">
        <w:rPr>
          <w:noProof/>
        </w:rPr>
        <w:t>including</w:t>
      </w:r>
      <w:r w:rsidR="00FE241D" w:rsidRPr="006E27E1">
        <w:rPr>
          <w:noProof/>
        </w:rPr>
        <w:t xml:space="preserve"> supply chains</w:t>
      </w:r>
      <w:r w:rsidR="004A4940" w:rsidRPr="006E27E1">
        <w:rPr>
          <w:noProof/>
        </w:rPr>
        <w:t>,</w:t>
      </w:r>
      <w:r w:rsidR="00F853E7" w:rsidRPr="006E27E1">
        <w:rPr>
          <w:rStyle w:val="CommentReference"/>
          <w:noProof/>
          <w:sz w:val="24"/>
        </w:rPr>
        <w:t xml:space="preserve"> </w:t>
      </w:r>
      <w:r w:rsidR="00FE241D" w:rsidRPr="006E27E1">
        <w:rPr>
          <w:rStyle w:val="CommentReference"/>
          <w:noProof/>
          <w:sz w:val="24"/>
        </w:rPr>
        <w:t>i</w:t>
      </w:r>
      <w:r w:rsidR="00FE241D" w:rsidRPr="006E27E1">
        <w:rPr>
          <w:noProof/>
        </w:rPr>
        <w:t>n the space sector.</w:t>
      </w:r>
      <w:r w:rsidR="00FB25F5" w:rsidRPr="006E27E1">
        <w:rPr>
          <w:noProof/>
        </w:rPr>
        <w:t xml:space="preserve"> </w:t>
      </w:r>
      <w:r w:rsidR="1607E247" w:rsidRPr="00DE264C">
        <w:rPr>
          <w:rFonts w:eastAsia="Times New Roman"/>
          <w:noProof/>
        </w:rPr>
        <w:t xml:space="preserve">To strengthen EU </w:t>
      </w:r>
      <w:r w:rsidR="00B325FA" w:rsidRPr="00DE264C">
        <w:rPr>
          <w:rFonts w:eastAsia="Times New Roman"/>
          <w:noProof/>
        </w:rPr>
        <w:t>competitiveness</w:t>
      </w:r>
      <w:r w:rsidR="00834C79" w:rsidRPr="00DE264C">
        <w:rPr>
          <w:rFonts w:eastAsia="Times New Roman"/>
          <w:noProof/>
        </w:rPr>
        <w:t xml:space="preserve"> and </w:t>
      </w:r>
      <w:r w:rsidR="00C15E53" w:rsidRPr="00DE264C">
        <w:rPr>
          <w:rFonts w:eastAsia="Times New Roman"/>
          <w:noProof/>
        </w:rPr>
        <w:t xml:space="preserve">strategic autonomy </w:t>
      </w:r>
      <w:r w:rsidR="00E023F9" w:rsidRPr="00DE264C">
        <w:rPr>
          <w:rFonts w:eastAsia="Times New Roman"/>
          <w:noProof/>
        </w:rPr>
        <w:t xml:space="preserve">across the </w:t>
      </w:r>
      <w:r w:rsidR="1607E247" w:rsidRPr="00DE264C">
        <w:rPr>
          <w:rFonts w:eastAsia="Times New Roman"/>
          <w:noProof/>
        </w:rPr>
        <w:t>value chain, this initiative focuses on enabling scale, innovation, and fair competition</w:t>
      </w:r>
      <w:r w:rsidR="000540DD" w:rsidRPr="00DE264C">
        <w:rPr>
          <w:rFonts w:eastAsia="Times New Roman"/>
          <w:noProof/>
        </w:rPr>
        <w:t>,</w:t>
      </w:r>
      <w:r w:rsidR="002929B5" w:rsidRPr="00DE264C">
        <w:rPr>
          <w:rFonts w:eastAsia="Times New Roman"/>
          <w:noProof/>
        </w:rPr>
        <w:t xml:space="preserve"> including</w:t>
      </w:r>
      <w:r w:rsidR="000540DD" w:rsidRPr="00DE264C">
        <w:rPr>
          <w:rFonts w:eastAsia="Times New Roman"/>
          <w:noProof/>
        </w:rPr>
        <w:t xml:space="preserve"> </w:t>
      </w:r>
      <w:r w:rsidR="002929B5" w:rsidRPr="00DE264C">
        <w:rPr>
          <w:rFonts w:eastAsia="Times New Roman"/>
          <w:noProof/>
        </w:rPr>
        <w:t>the space sector</w:t>
      </w:r>
      <w:r w:rsidR="00586C33" w:rsidRPr="00DE264C">
        <w:rPr>
          <w:rFonts w:eastAsia="Times New Roman"/>
          <w:noProof/>
        </w:rPr>
        <w:t xml:space="preserve"> and </w:t>
      </w:r>
      <w:r w:rsidR="005764B1" w:rsidRPr="00DE264C">
        <w:rPr>
          <w:rFonts w:eastAsia="Times New Roman"/>
          <w:noProof/>
          <w:color w:val="000000" w:themeColor="text1"/>
        </w:rPr>
        <w:t>facilitate</w:t>
      </w:r>
      <w:r w:rsidR="00FA5804" w:rsidRPr="00DE264C">
        <w:rPr>
          <w:rFonts w:eastAsia="Times New Roman"/>
          <w:noProof/>
          <w:color w:val="000000" w:themeColor="text1"/>
        </w:rPr>
        <w:t>s</w:t>
      </w:r>
      <w:r w:rsidR="005764B1" w:rsidRPr="00DE264C">
        <w:rPr>
          <w:rFonts w:eastAsia="Times New Roman"/>
          <w:noProof/>
          <w:color w:val="000000" w:themeColor="text1"/>
        </w:rPr>
        <w:t xml:space="preserve"> </w:t>
      </w:r>
      <w:r w:rsidR="00984C2A" w:rsidRPr="00DE264C">
        <w:rPr>
          <w:rFonts w:eastAsia="Times New Roman"/>
          <w:noProof/>
          <w:color w:val="000000" w:themeColor="text1"/>
        </w:rPr>
        <w:t xml:space="preserve">provision of </w:t>
      </w:r>
      <w:r w:rsidR="0021235F" w:rsidRPr="00DE264C">
        <w:rPr>
          <w:rFonts w:eastAsia="Times New Roman"/>
          <w:noProof/>
          <w:color w:val="000000" w:themeColor="text1"/>
        </w:rPr>
        <w:t xml:space="preserve">satellite </w:t>
      </w:r>
      <w:r w:rsidR="000A553C" w:rsidRPr="00DE264C">
        <w:rPr>
          <w:rFonts w:eastAsia="Times New Roman"/>
          <w:noProof/>
          <w:color w:val="000000" w:themeColor="text1"/>
        </w:rPr>
        <w:t>services</w:t>
      </w:r>
      <w:r w:rsidR="005764B1" w:rsidRPr="00DE264C">
        <w:rPr>
          <w:rFonts w:eastAsia="Times New Roman"/>
          <w:noProof/>
          <w:color w:val="000000" w:themeColor="text1"/>
        </w:rPr>
        <w:t xml:space="preserve"> </w:t>
      </w:r>
      <w:r w:rsidR="00984C2A" w:rsidRPr="00DE264C">
        <w:rPr>
          <w:rFonts w:eastAsia="Times New Roman"/>
          <w:noProof/>
          <w:color w:val="000000" w:themeColor="text1"/>
        </w:rPr>
        <w:t xml:space="preserve">also </w:t>
      </w:r>
      <w:r w:rsidR="000A553C" w:rsidRPr="00DE264C">
        <w:rPr>
          <w:rFonts w:eastAsia="Times New Roman"/>
          <w:noProof/>
          <w:color w:val="000000" w:themeColor="text1"/>
        </w:rPr>
        <w:t xml:space="preserve">increasing </w:t>
      </w:r>
      <w:r w:rsidR="00FA5804" w:rsidRPr="00DE264C">
        <w:rPr>
          <w:rFonts w:eastAsia="Times New Roman"/>
          <w:noProof/>
          <w:color w:val="000000" w:themeColor="text1"/>
        </w:rPr>
        <w:t>reliability and security of EU connectivity</w:t>
      </w:r>
      <w:r w:rsidR="1607E247" w:rsidRPr="00DE264C">
        <w:rPr>
          <w:rFonts w:eastAsia="Times New Roman"/>
          <w:noProof/>
          <w:color w:val="000000" w:themeColor="text1"/>
        </w:rPr>
        <w:t>.</w:t>
      </w:r>
    </w:p>
    <w:p w14:paraId="475347B7" w14:textId="004B41B5" w:rsidR="006B7AE9" w:rsidRPr="00292895" w:rsidRDefault="00F54540" w:rsidP="00F37C86">
      <w:pPr>
        <w:spacing w:line="240" w:lineRule="auto"/>
        <w:rPr>
          <w:noProof/>
        </w:rPr>
      </w:pPr>
      <w:r>
        <w:rPr>
          <w:rFonts w:eastAsia="Times New Roman"/>
          <w:noProof/>
          <w:color w:val="000000" w:themeColor="text1"/>
        </w:rPr>
        <w:t>T</w:t>
      </w:r>
      <w:r w:rsidR="00CA7A8E">
        <w:rPr>
          <w:noProof/>
        </w:rPr>
        <w:t xml:space="preserve">his objective can </w:t>
      </w:r>
      <w:r w:rsidR="005E1AE1">
        <w:rPr>
          <w:noProof/>
        </w:rPr>
        <w:t>b</w:t>
      </w:r>
      <w:r w:rsidR="00CA7A8E">
        <w:rPr>
          <w:noProof/>
        </w:rPr>
        <w:t xml:space="preserve">e measured in terms of </w:t>
      </w:r>
      <w:r w:rsidR="00C12E30" w:rsidRPr="00292895">
        <w:rPr>
          <w:noProof/>
        </w:rPr>
        <w:t>n</w:t>
      </w:r>
      <w:r w:rsidR="00640516" w:rsidRPr="00292895">
        <w:rPr>
          <w:noProof/>
        </w:rPr>
        <w:t>umber of providers using the cross-border general authorisation regime</w:t>
      </w:r>
      <w:r w:rsidR="00C12E30" w:rsidRPr="00292895">
        <w:rPr>
          <w:noProof/>
        </w:rPr>
        <w:t xml:space="preserve">, </w:t>
      </w:r>
      <w:r w:rsidR="00CA7A8E">
        <w:rPr>
          <w:noProof/>
        </w:rPr>
        <w:t xml:space="preserve">number of </w:t>
      </w:r>
      <w:r w:rsidR="005E1AE1">
        <w:rPr>
          <w:noProof/>
        </w:rPr>
        <w:t xml:space="preserve">new </w:t>
      </w:r>
      <w:r w:rsidR="00CA7A8E">
        <w:rPr>
          <w:noProof/>
        </w:rPr>
        <w:t>EU</w:t>
      </w:r>
      <w:r w:rsidR="00EB0AE6">
        <w:rPr>
          <w:noProof/>
        </w:rPr>
        <w:t>-wide</w:t>
      </w:r>
      <w:r w:rsidR="00CA7A8E">
        <w:rPr>
          <w:noProof/>
        </w:rPr>
        <w:t xml:space="preserve"> </w:t>
      </w:r>
      <w:r w:rsidR="00DB7984">
        <w:rPr>
          <w:noProof/>
        </w:rPr>
        <w:t xml:space="preserve">spectrum </w:t>
      </w:r>
      <w:r w:rsidR="00CA7A8E">
        <w:rPr>
          <w:noProof/>
        </w:rPr>
        <w:t>authorisation</w:t>
      </w:r>
      <w:r w:rsidR="00EB0AE6">
        <w:rPr>
          <w:noProof/>
        </w:rPr>
        <w:t>s</w:t>
      </w:r>
      <w:r w:rsidR="00CA7A8E">
        <w:rPr>
          <w:noProof/>
        </w:rPr>
        <w:t xml:space="preserve"> for satellite services</w:t>
      </w:r>
      <w:r w:rsidR="000E4AB1">
        <w:rPr>
          <w:noProof/>
        </w:rPr>
        <w:t xml:space="preserve"> completed within a reasonable timeline and </w:t>
      </w:r>
      <w:r w:rsidR="000E4AB1" w:rsidRPr="00292895">
        <w:rPr>
          <w:noProof/>
        </w:rPr>
        <w:t>n</w:t>
      </w:r>
      <w:r w:rsidR="0042198C" w:rsidRPr="00292895">
        <w:rPr>
          <w:noProof/>
        </w:rPr>
        <w:t xml:space="preserve">umber of </w:t>
      </w:r>
      <w:r w:rsidR="007430EB">
        <w:rPr>
          <w:noProof/>
        </w:rPr>
        <w:t xml:space="preserve">satellite </w:t>
      </w:r>
      <w:r w:rsidR="0042198C" w:rsidRPr="00292895">
        <w:rPr>
          <w:noProof/>
        </w:rPr>
        <w:t>interference issues in the EU which have been timely and effectively addressed</w:t>
      </w:r>
      <w:r w:rsidR="00025495">
        <w:rPr>
          <w:noProof/>
        </w:rPr>
        <w:t xml:space="preserve">, as explained in </w:t>
      </w:r>
      <w:r w:rsidR="00A71861">
        <w:rPr>
          <w:noProof/>
        </w:rPr>
        <w:t>section 9</w:t>
      </w:r>
      <w:r w:rsidR="000E4AB1" w:rsidRPr="00292895">
        <w:rPr>
          <w:noProof/>
        </w:rPr>
        <w:t>.</w:t>
      </w:r>
    </w:p>
    <w:p w14:paraId="234ED1CD" w14:textId="2ACA1AEB" w:rsidR="001B10FB" w:rsidRPr="00DE264C" w:rsidRDefault="00AA3AFD" w:rsidP="00DC3AB8">
      <w:pPr>
        <w:pStyle w:val="Heading3"/>
        <w:tabs>
          <w:tab w:val="num" w:pos="7088"/>
        </w:tabs>
        <w:spacing w:before="240"/>
        <w:ind w:left="709"/>
        <w:rPr>
          <w:noProof/>
        </w:rPr>
      </w:pPr>
      <w:bookmarkStart w:id="166" w:name="_Toc215083739"/>
      <w:bookmarkStart w:id="167" w:name="_Toc219212507"/>
      <w:bookmarkStart w:id="168" w:name="_Toc219718162"/>
      <w:bookmarkStart w:id="169" w:name="_Toc214467716"/>
      <w:r w:rsidRPr="006E27E1">
        <w:rPr>
          <w:noProof/>
        </w:rPr>
        <w:t xml:space="preserve">Deepen </w:t>
      </w:r>
      <w:r w:rsidRPr="00C867EF">
        <w:rPr>
          <w:noProof/>
        </w:rPr>
        <w:t>the</w:t>
      </w:r>
      <w:r w:rsidRPr="006E27E1">
        <w:rPr>
          <w:noProof/>
        </w:rPr>
        <w:t xml:space="preserve"> Single Market </w:t>
      </w:r>
      <w:r w:rsidR="00E30797" w:rsidRPr="006E27E1">
        <w:rPr>
          <w:noProof/>
        </w:rPr>
        <w:t>for connectivity</w:t>
      </w:r>
      <w:r w:rsidRPr="006E27E1">
        <w:rPr>
          <w:noProof/>
        </w:rPr>
        <w:t xml:space="preserve"> through a</w:t>
      </w:r>
      <w:r w:rsidR="00BE49E6" w:rsidRPr="006E27E1">
        <w:rPr>
          <w:noProof/>
        </w:rPr>
        <w:t>djust</w:t>
      </w:r>
      <w:r w:rsidRPr="006E27E1">
        <w:rPr>
          <w:noProof/>
        </w:rPr>
        <w:t>ment of</w:t>
      </w:r>
      <w:r w:rsidR="00BE49E6" w:rsidRPr="006E27E1">
        <w:rPr>
          <w:noProof/>
        </w:rPr>
        <w:t xml:space="preserve"> regulatory competences and roles</w:t>
      </w:r>
      <w:bookmarkEnd w:id="166"/>
      <w:bookmarkEnd w:id="167"/>
      <w:bookmarkEnd w:id="168"/>
      <w:r w:rsidR="00BE49E6" w:rsidRPr="006E27E1">
        <w:rPr>
          <w:noProof/>
        </w:rPr>
        <w:t xml:space="preserve"> </w:t>
      </w:r>
      <w:bookmarkEnd w:id="169"/>
    </w:p>
    <w:p w14:paraId="73BBDCA0" w14:textId="00A7BED8" w:rsidR="004A28F3" w:rsidRDefault="000F0D60" w:rsidP="00F37C86">
      <w:pPr>
        <w:spacing w:line="240" w:lineRule="auto"/>
        <w:rPr>
          <w:noProof/>
        </w:rPr>
      </w:pPr>
      <w:r w:rsidRPr="00DE264C">
        <w:rPr>
          <w:noProof/>
        </w:rPr>
        <w:t xml:space="preserve">In line with the Digital Decade targets of </w:t>
      </w:r>
      <w:r w:rsidR="00176884" w:rsidRPr="00DE264C">
        <w:rPr>
          <w:noProof/>
        </w:rPr>
        <w:t xml:space="preserve">Gigabit connectivity </w:t>
      </w:r>
      <w:r w:rsidR="00FF4E51" w:rsidRPr="00DE264C">
        <w:rPr>
          <w:noProof/>
        </w:rPr>
        <w:t xml:space="preserve">for </w:t>
      </w:r>
      <w:r w:rsidR="00176884" w:rsidRPr="00DE264C">
        <w:rPr>
          <w:noProof/>
        </w:rPr>
        <w:t>all</w:t>
      </w:r>
      <w:r w:rsidR="00FF4E51" w:rsidRPr="00DE264C">
        <w:rPr>
          <w:noProof/>
        </w:rPr>
        <w:t xml:space="preserve"> </w:t>
      </w:r>
      <w:r w:rsidRPr="00DE264C">
        <w:rPr>
          <w:noProof/>
        </w:rPr>
        <w:t>and 5G</w:t>
      </w:r>
      <w:r w:rsidR="00FF4E51" w:rsidRPr="00DE264C">
        <w:rPr>
          <w:noProof/>
        </w:rPr>
        <w:t xml:space="preserve"> in all populated areas</w:t>
      </w:r>
      <w:r w:rsidR="005A2BE3" w:rsidRPr="00DE264C">
        <w:rPr>
          <w:noProof/>
        </w:rPr>
        <w:t>,</w:t>
      </w:r>
      <w:r w:rsidR="00FF4E51" w:rsidRPr="00DE264C">
        <w:rPr>
          <w:noProof/>
        </w:rPr>
        <w:t xml:space="preserve"> the objective of the </w:t>
      </w:r>
      <w:r w:rsidR="000352B8" w:rsidRPr="00DE264C">
        <w:rPr>
          <w:noProof/>
        </w:rPr>
        <w:t>initiative</w:t>
      </w:r>
      <w:r w:rsidR="00FF4E51" w:rsidRPr="00DE264C">
        <w:rPr>
          <w:noProof/>
        </w:rPr>
        <w:t xml:space="preserve"> is </w:t>
      </w:r>
      <w:r w:rsidR="00A66DD5">
        <w:rPr>
          <w:noProof/>
        </w:rPr>
        <w:t>a</w:t>
      </w:r>
      <w:r w:rsidR="00A66DD5" w:rsidRPr="00DE264C">
        <w:rPr>
          <w:noProof/>
        </w:rPr>
        <w:t xml:space="preserve"> </w:t>
      </w:r>
      <w:r w:rsidR="00C30731" w:rsidRPr="00DE264C">
        <w:rPr>
          <w:noProof/>
        </w:rPr>
        <w:t>transition to high quality, resilient connectivity and advanced networks</w:t>
      </w:r>
      <w:r w:rsidR="008D39AE" w:rsidRPr="00DE264C">
        <w:rPr>
          <w:noProof/>
        </w:rPr>
        <w:t>.</w:t>
      </w:r>
      <w:r w:rsidR="00FF4E51" w:rsidRPr="00DE264C">
        <w:rPr>
          <w:noProof/>
        </w:rPr>
        <w:t xml:space="preserve"> </w:t>
      </w:r>
      <w:r w:rsidR="004F0E04" w:rsidRPr="00DE264C">
        <w:rPr>
          <w:noProof/>
        </w:rPr>
        <w:t xml:space="preserve">In this context it is important </w:t>
      </w:r>
      <w:r w:rsidR="001139B5" w:rsidRPr="00DE264C">
        <w:rPr>
          <w:noProof/>
        </w:rPr>
        <w:t xml:space="preserve">that the rules as well as the governance framework </w:t>
      </w:r>
      <w:r w:rsidR="00312AFA" w:rsidRPr="00DE264C">
        <w:rPr>
          <w:noProof/>
        </w:rPr>
        <w:t>continue</w:t>
      </w:r>
      <w:r w:rsidR="00BB74CE" w:rsidRPr="00DE264C">
        <w:rPr>
          <w:noProof/>
        </w:rPr>
        <w:t xml:space="preserve"> support</w:t>
      </w:r>
      <w:r w:rsidR="00312AFA" w:rsidRPr="00DE264C">
        <w:rPr>
          <w:noProof/>
        </w:rPr>
        <w:t>ing</w:t>
      </w:r>
      <w:r w:rsidR="00BB74CE" w:rsidRPr="00DE264C">
        <w:rPr>
          <w:noProof/>
        </w:rPr>
        <w:t xml:space="preserve"> </w:t>
      </w:r>
      <w:r w:rsidR="00180CC1" w:rsidRPr="00DE264C">
        <w:rPr>
          <w:noProof/>
        </w:rPr>
        <w:t>the Single Market</w:t>
      </w:r>
      <w:r w:rsidR="00BB74CE" w:rsidRPr="00DE264C">
        <w:rPr>
          <w:noProof/>
        </w:rPr>
        <w:t xml:space="preserve"> development</w:t>
      </w:r>
      <w:r w:rsidR="00314915" w:rsidRPr="00DE264C">
        <w:rPr>
          <w:noProof/>
        </w:rPr>
        <w:t xml:space="preserve">. </w:t>
      </w:r>
      <w:r w:rsidR="0015778F" w:rsidRPr="00DE264C">
        <w:rPr>
          <w:noProof/>
        </w:rPr>
        <w:t xml:space="preserve">The </w:t>
      </w:r>
      <w:r w:rsidR="00E34953" w:rsidRPr="00DE264C">
        <w:rPr>
          <w:noProof/>
        </w:rPr>
        <w:t>specific</w:t>
      </w:r>
      <w:r w:rsidR="0015778F" w:rsidRPr="00DE264C">
        <w:rPr>
          <w:noProof/>
        </w:rPr>
        <w:t xml:space="preserve"> objective is therefore to </w:t>
      </w:r>
      <w:r w:rsidR="006F27D5">
        <w:rPr>
          <w:noProof/>
        </w:rPr>
        <w:t>d</w:t>
      </w:r>
      <w:r w:rsidR="003B1F16" w:rsidRPr="003B1F16">
        <w:rPr>
          <w:noProof/>
        </w:rPr>
        <w:t xml:space="preserve">eepen the Single Market </w:t>
      </w:r>
      <w:r w:rsidR="009A5FDD">
        <w:rPr>
          <w:noProof/>
        </w:rPr>
        <w:t xml:space="preserve">for connectivity </w:t>
      </w:r>
      <w:r w:rsidR="003B1F16" w:rsidRPr="003B1F16">
        <w:rPr>
          <w:noProof/>
        </w:rPr>
        <w:t>through adjustment of regulatory competences and roles</w:t>
      </w:r>
      <w:r w:rsidR="009A5FDD">
        <w:rPr>
          <w:noProof/>
        </w:rPr>
        <w:t xml:space="preserve">. </w:t>
      </w:r>
      <w:r w:rsidR="00037287" w:rsidRPr="00DE264C">
        <w:rPr>
          <w:noProof/>
        </w:rPr>
        <w:t xml:space="preserve">The governance structure </w:t>
      </w:r>
      <w:r w:rsidR="00AB12A5" w:rsidRPr="00DE264C">
        <w:rPr>
          <w:noProof/>
        </w:rPr>
        <w:t>must</w:t>
      </w:r>
      <w:r w:rsidR="00037287" w:rsidRPr="00DE264C">
        <w:rPr>
          <w:noProof/>
        </w:rPr>
        <w:t xml:space="preserve"> </w:t>
      </w:r>
      <w:r w:rsidR="00F66F10" w:rsidRPr="00DE264C">
        <w:rPr>
          <w:noProof/>
        </w:rPr>
        <w:t xml:space="preserve">correspond </w:t>
      </w:r>
      <w:r w:rsidR="00BD1AC2">
        <w:rPr>
          <w:noProof/>
        </w:rPr>
        <w:t>to</w:t>
      </w:r>
      <w:r w:rsidR="00F66F10" w:rsidRPr="00DE264C">
        <w:rPr>
          <w:noProof/>
        </w:rPr>
        <w:t xml:space="preserve"> the needs </w:t>
      </w:r>
      <w:r w:rsidR="00E34953" w:rsidRPr="00DE264C">
        <w:rPr>
          <w:noProof/>
        </w:rPr>
        <w:t>of the developing</w:t>
      </w:r>
      <w:r w:rsidR="004E7C73" w:rsidRPr="00DE264C">
        <w:rPr>
          <w:noProof/>
        </w:rPr>
        <w:t xml:space="preserve"> market and all governance levels mus</w:t>
      </w:r>
      <w:r w:rsidR="4877DCBE" w:rsidRPr="00DE264C">
        <w:rPr>
          <w:noProof/>
        </w:rPr>
        <w:t>t</w:t>
      </w:r>
      <w:r w:rsidR="004E7C73" w:rsidRPr="00DE264C">
        <w:rPr>
          <w:noProof/>
        </w:rPr>
        <w:t xml:space="preserve"> be able to effectively cooperate </w:t>
      </w:r>
      <w:r w:rsidR="007046B8" w:rsidRPr="00DE264C">
        <w:rPr>
          <w:noProof/>
        </w:rPr>
        <w:t xml:space="preserve">to ensure that </w:t>
      </w:r>
      <w:r w:rsidR="00757CA2" w:rsidRPr="00DE264C">
        <w:rPr>
          <w:noProof/>
        </w:rPr>
        <w:t xml:space="preserve">decisions are </w:t>
      </w:r>
      <w:r w:rsidR="00B91D07" w:rsidRPr="00DE264C">
        <w:rPr>
          <w:noProof/>
        </w:rPr>
        <w:t xml:space="preserve">taken in line with </w:t>
      </w:r>
      <w:r w:rsidR="7D623630" w:rsidRPr="00DE264C">
        <w:rPr>
          <w:noProof/>
        </w:rPr>
        <w:t>subsidiarity</w:t>
      </w:r>
      <w:r w:rsidR="00B91D07" w:rsidRPr="00DE264C">
        <w:rPr>
          <w:noProof/>
        </w:rPr>
        <w:t xml:space="preserve"> rules and that as a result </w:t>
      </w:r>
      <w:r w:rsidR="00191E4C" w:rsidRPr="00DE264C">
        <w:rPr>
          <w:noProof/>
        </w:rPr>
        <w:t xml:space="preserve">vulnerable end-users </w:t>
      </w:r>
      <w:r w:rsidR="00B91D07" w:rsidRPr="00DE264C">
        <w:rPr>
          <w:noProof/>
        </w:rPr>
        <w:t xml:space="preserve">are </w:t>
      </w:r>
      <w:r w:rsidR="00C46389" w:rsidRPr="00DE264C">
        <w:rPr>
          <w:noProof/>
        </w:rPr>
        <w:t>protected,</w:t>
      </w:r>
      <w:r w:rsidR="001E795F" w:rsidRPr="00DE264C">
        <w:rPr>
          <w:noProof/>
        </w:rPr>
        <w:t xml:space="preserve"> </w:t>
      </w:r>
      <w:r w:rsidR="00C46389" w:rsidRPr="00DE264C">
        <w:rPr>
          <w:noProof/>
        </w:rPr>
        <w:t>while</w:t>
      </w:r>
      <w:r w:rsidR="002136D7" w:rsidRPr="00DE264C">
        <w:rPr>
          <w:noProof/>
        </w:rPr>
        <w:t xml:space="preserve"> </w:t>
      </w:r>
      <w:r w:rsidR="00C46389" w:rsidRPr="00DE264C">
        <w:rPr>
          <w:noProof/>
        </w:rPr>
        <w:t>c</w:t>
      </w:r>
      <w:r w:rsidR="44DF4AE9" w:rsidRPr="00DE264C">
        <w:rPr>
          <w:noProof/>
        </w:rPr>
        <w:t xml:space="preserve">onnectivity </w:t>
      </w:r>
      <w:r w:rsidR="00FD73FE" w:rsidRPr="00DE264C">
        <w:rPr>
          <w:noProof/>
        </w:rPr>
        <w:t xml:space="preserve">is </w:t>
      </w:r>
      <w:r w:rsidR="44DF4AE9" w:rsidRPr="00DE264C">
        <w:rPr>
          <w:noProof/>
        </w:rPr>
        <w:t>further enhanced</w:t>
      </w:r>
      <w:r w:rsidR="004C7816" w:rsidRPr="00DE264C">
        <w:rPr>
          <w:noProof/>
        </w:rPr>
        <w:t xml:space="preserve">, </w:t>
      </w:r>
      <w:r w:rsidR="00FD73FE" w:rsidRPr="00DE264C">
        <w:rPr>
          <w:noProof/>
        </w:rPr>
        <w:t xml:space="preserve">ensuring </w:t>
      </w:r>
      <w:r w:rsidR="004C7816" w:rsidRPr="00DE264C">
        <w:rPr>
          <w:noProof/>
        </w:rPr>
        <w:t>resilience</w:t>
      </w:r>
      <w:r w:rsidR="0055634A" w:rsidRPr="00DE264C">
        <w:rPr>
          <w:noProof/>
        </w:rPr>
        <w:t>, security and</w:t>
      </w:r>
      <w:r w:rsidR="44DF4AE9" w:rsidRPr="00DE264C">
        <w:rPr>
          <w:noProof/>
        </w:rPr>
        <w:t xml:space="preserve"> preparedness</w:t>
      </w:r>
      <w:r w:rsidR="7341879F" w:rsidRPr="00DE264C">
        <w:rPr>
          <w:noProof/>
        </w:rPr>
        <w:t xml:space="preserve"> </w:t>
      </w:r>
      <w:r w:rsidR="4D613B1A" w:rsidRPr="00DE264C">
        <w:rPr>
          <w:noProof/>
        </w:rPr>
        <w:t>incl</w:t>
      </w:r>
      <w:r w:rsidR="394ADB51" w:rsidRPr="00DE264C">
        <w:rPr>
          <w:noProof/>
        </w:rPr>
        <w:t>u</w:t>
      </w:r>
      <w:r w:rsidR="4D613B1A" w:rsidRPr="00DE264C">
        <w:rPr>
          <w:noProof/>
        </w:rPr>
        <w:t>ding</w:t>
      </w:r>
      <w:r w:rsidR="3427EFB3" w:rsidRPr="00DE264C">
        <w:rPr>
          <w:noProof/>
        </w:rPr>
        <w:t xml:space="preserve"> through </w:t>
      </w:r>
      <w:r w:rsidR="3A8FCD4C" w:rsidRPr="00DE264C">
        <w:rPr>
          <w:noProof/>
        </w:rPr>
        <w:t xml:space="preserve">harmonisation of </w:t>
      </w:r>
      <w:r w:rsidR="3427EFB3" w:rsidRPr="00DE264C">
        <w:rPr>
          <w:noProof/>
        </w:rPr>
        <w:t>spectrum authorisation conditions.</w:t>
      </w:r>
      <w:r w:rsidR="00E17899" w:rsidRPr="00DE264C">
        <w:rPr>
          <w:noProof/>
        </w:rPr>
        <w:t xml:space="preserve"> T</w:t>
      </w:r>
      <w:r w:rsidR="001A039A" w:rsidRPr="00DE264C">
        <w:rPr>
          <w:noProof/>
        </w:rPr>
        <w:t xml:space="preserve">he initiative therefore focuses on </w:t>
      </w:r>
      <w:r w:rsidR="000C539A" w:rsidRPr="00DE264C">
        <w:rPr>
          <w:noProof/>
        </w:rPr>
        <w:t>strengthening</w:t>
      </w:r>
      <w:r w:rsidR="001A039A" w:rsidRPr="00DE264C">
        <w:rPr>
          <w:noProof/>
        </w:rPr>
        <w:t xml:space="preserve"> the well</w:t>
      </w:r>
      <w:r w:rsidR="000C539A" w:rsidRPr="00DE264C">
        <w:rPr>
          <w:noProof/>
        </w:rPr>
        <w:t>-</w:t>
      </w:r>
      <w:r w:rsidR="001A039A" w:rsidRPr="00933C7F">
        <w:rPr>
          <w:noProof/>
        </w:rPr>
        <w:t xml:space="preserve">functioning aspects of </w:t>
      </w:r>
      <w:r w:rsidR="001A039A" w:rsidRPr="00933C7F">
        <w:rPr>
          <w:rFonts w:eastAsiaTheme="minorEastAsia"/>
          <w:noProof/>
        </w:rPr>
        <w:t>the</w:t>
      </w:r>
      <w:r w:rsidR="001A039A" w:rsidRPr="00DE264C">
        <w:rPr>
          <w:noProof/>
        </w:rPr>
        <w:t xml:space="preserve"> </w:t>
      </w:r>
      <w:r w:rsidR="005E6D1D" w:rsidRPr="00DE264C">
        <w:rPr>
          <w:noProof/>
        </w:rPr>
        <w:t>current governance set up while striving to</w:t>
      </w:r>
      <w:r w:rsidR="00013D26" w:rsidRPr="00DE264C">
        <w:rPr>
          <w:noProof/>
        </w:rPr>
        <w:t xml:space="preserve"> rectify the </w:t>
      </w:r>
      <w:r w:rsidR="00263CA0" w:rsidRPr="00DE264C">
        <w:rPr>
          <w:noProof/>
        </w:rPr>
        <w:t>identified</w:t>
      </w:r>
      <w:r w:rsidR="00013D26" w:rsidRPr="00DE264C">
        <w:rPr>
          <w:noProof/>
        </w:rPr>
        <w:t xml:space="preserve"> shortcomings and </w:t>
      </w:r>
      <w:r w:rsidR="008159DF" w:rsidRPr="00DE264C">
        <w:rPr>
          <w:noProof/>
        </w:rPr>
        <w:t>improving the governance set up to make it future</w:t>
      </w:r>
      <w:r w:rsidR="00B55DAD" w:rsidRPr="00DE264C">
        <w:rPr>
          <w:noProof/>
        </w:rPr>
        <w:t xml:space="preserve"> </w:t>
      </w:r>
      <w:r w:rsidR="008159DF" w:rsidRPr="00DE264C">
        <w:rPr>
          <w:noProof/>
        </w:rPr>
        <w:t>proof</w:t>
      </w:r>
      <w:r w:rsidR="00CB14C3" w:rsidRPr="00DE264C">
        <w:rPr>
          <w:noProof/>
        </w:rPr>
        <w:t>.</w:t>
      </w:r>
      <w:r w:rsidR="00D1499C">
        <w:rPr>
          <w:noProof/>
        </w:rPr>
        <w:t xml:space="preserve"> </w:t>
      </w:r>
    </w:p>
    <w:p w14:paraId="6AF09A27" w14:textId="67A67F07" w:rsidR="00341AB7" w:rsidRPr="00DE264C" w:rsidRDefault="004A28F3" w:rsidP="00F37C86">
      <w:pPr>
        <w:spacing w:line="240" w:lineRule="auto"/>
        <w:rPr>
          <w:noProof/>
        </w:rPr>
      </w:pPr>
      <w:r>
        <w:rPr>
          <w:noProof/>
        </w:rPr>
        <w:t>This objective can be measures through t</w:t>
      </w:r>
      <w:r w:rsidR="00D1499C">
        <w:rPr>
          <w:noProof/>
        </w:rPr>
        <w:t xml:space="preserve">he </w:t>
      </w:r>
      <w:r>
        <w:rPr>
          <w:noProof/>
        </w:rPr>
        <w:t>n</w:t>
      </w:r>
      <w:r w:rsidR="00D1499C" w:rsidRPr="00D1499C">
        <w:rPr>
          <w:noProof/>
        </w:rPr>
        <w:t xml:space="preserve">umber of high-quality outputs that have a direct link to </w:t>
      </w:r>
      <w:r w:rsidR="002516D3">
        <w:rPr>
          <w:noProof/>
        </w:rPr>
        <w:t>S</w:t>
      </w:r>
      <w:r w:rsidR="00D1499C" w:rsidRPr="00D1499C">
        <w:rPr>
          <w:noProof/>
        </w:rPr>
        <w:t>ingle</w:t>
      </w:r>
      <w:r w:rsidR="002516D3">
        <w:rPr>
          <w:noProof/>
        </w:rPr>
        <w:t xml:space="preserve"> M</w:t>
      </w:r>
      <w:r w:rsidR="00D1499C" w:rsidRPr="00D1499C">
        <w:rPr>
          <w:noProof/>
        </w:rPr>
        <w:t>arket objectives</w:t>
      </w:r>
      <w:r>
        <w:rPr>
          <w:noProof/>
        </w:rPr>
        <w:t xml:space="preserve">, i.e., </w:t>
      </w:r>
      <w:r w:rsidR="00D1499C" w:rsidRPr="00D1499C">
        <w:rPr>
          <w:noProof/>
        </w:rPr>
        <w:t>strengthen</w:t>
      </w:r>
      <w:r w:rsidR="002516D3">
        <w:rPr>
          <w:noProof/>
        </w:rPr>
        <w:t>ing</w:t>
      </w:r>
      <w:r w:rsidR="00D1499C" w:rsidRPr="00D1499C">
        <w:rPr>
          <w:noProof/>
        </w:rPr>
        <w:t xml:space="preserve"> harmonisation, support</w:t>
      </w:r>
      <w:r w:rsidR="002516D3">
        <w:rPr>
          <w:noProof/>
        </w:rPr>
        <w:t>ing</w:t>
      </w:r>
      <w:r w:rsidR="00D1499C" w:rsidRPr="00D1499C">
        <w:rPr>
          <w:noProof/>
        </w:rPr>
        <w:t xml:space="preserve"> consistent regulatory implementation, and facilitat</w:t>
      </w:r>
      <w:r w:rsidR="002516D3">
        <w:rPr>
          <w:noProof/>
        </w:rPr>
        <w:t>ing</w:t>
      </w:r>
      <w:r w:rsidR="00D1499C" w:rsidRPr="00D1499C">
        <w:rPr>
          <w:noProof/>
        </w:rPr>
        <w:t xml:space="preserve"> the completion of the EU </w:t>
      </w:r>
      <w:r w:rsidR="002516D3">
        <w:rPr>
          <w:noProof/>
        </w:rPr>
        <w:t>S</w:t>
      </w:r>
      <w:r w:rsidR="00D1499C" w:rsidRPr="00D1499C">
        <w:rPr>
          <w:noProof/>
        </w:rPr>
        <w:t xml:space="preserve">ingle </w:t>
      </w:r>
      <w:r w:rsidR="002516D3">
        <w:rPr>
          <w:noProof/>
        </w:rPr>
        <w:t>M</w:t>
      </w:r>
      <w:r w:rsidR="00D1499C" w:rsidRPr="00D1499C">
        <w:rPr>
          <w:noProof/>
        </w:rPr>
        <w:t>arket for electronic communications</w:t>
      </w:r>
      <w:r>
        <w:rPr>
          <w:noProof/>
        </w:rPr>
        <w:t>, as ex</w:t>
      </w:r>
      <w:r w:rsidR="00816703">
        <w:rPr>
          <w:noProof/>
        </w:rPr>
        <w:t>p</w:t>
      </w:r>
      <w:r>
        <w:rPr>
          <w:noProof/>
        </w:rPr>
        <w:t>lained in section 9</w:t>
      </w:r>
      <w:r w:rsidR="00D1499C" w:rsidRPr="00D1499C">
        <w:rPr>
          <w:noProof/>
        </w:rPr>
        <w:t>.</w:t>
      </w:r>
    </w:p>
    <w:p w14:paraId="3F015C9F" w14:textId="56E663C9" w:rsidR="006B087E" w:rsidRPr="00DE264C" w:rsidRDefault="000A15CF" w:rsidP="0568BDFA">
      <w:pPr>
        <w:pStyle w:val="Heading1"/>
        <w:rPr>
          <w:noProof/>
        </w:rPr>
      </w:pPr>
      <w:bookmarkStart w:id="170" w:name="_Toc208396193"/>
      <w:bookmarkStart w:id="171" w:name="_Toc214467717"/>
      <w:r>
        <w:rPr>
          <w:noProof/>
        </w:rPr>
        <w:t xml:space="preserve"> </w:t>
      </w:r>
      <w:bookmarkStart w:id="172" w:name="_Toc215083740"/>
      <w:bookmarkStart w:id="173" w:name="_Toc219212508"/>
      <w:bookmarkStart w:id="174" w:name="_Toc219718163"/>
      <w:r w:rsidR="006B087E" w:rsidRPr="00DE264C">
        <w:rPr>
          <w:noProof/>
        </w:rPr>
        <w:t>What are the available policy options?</w:t>
      </w:r>
      <w:bookmarkEnd w:id="170"/>
      <w:bookmarkEnd w:id="171"/>
      <w:bookmarkEnd w:id="172"/>
      <w:bookmarkEnd w:id="173"/>
      <w:bookmarkEnd w:id="174"/>
    </w:p>
    <w:p w14:paraId="324B1E3F" w14:textId="77777777" w:rsidR="006B087E" w:rsidRPr="00DE264C" w:rsidRDefault="006B087E" w:rsidP="000E3086">
      <w:pPr>
        <w:pStyle w:val="Heading2"/>
        <w:rPr>
          <w:noProof/>
        </w:rPr>
      </w:pPr>
      <w:bookmarkStart w:id="175" w:name="_Toc214467718"/>
      <w:bookmarkStart w:id="176" w:name="_Toc215083741"/>
      <w:bookmarkStart w:id="177" w:name="_Toc219212509"/>
      <w:bookmarkStart w:id="178" w:name="_Toc219718164"/>
      <w:r w:rsidRPr="00DE264C">
        <w:rPr>
          <w:noProof/>
        </w:rPr>
        <w:t>What is the baseline from which options are assessed?</w:t>
      </w:r>
      <w:bookmarkEnd w:id="175"/>
      <w:bookmarkEnd w:id="176"/>
      <w:bookmarkEnd w:id="177"/>
      <w:bookmarkEnd w:id="178"/>
    </w:p>
    <w:p w14:paraId="40EBB0E0" w14:textId="021865CA" w:rsidR="004938B5" w:rsidRPr="00DE264C" w:rsidRDefault="009731B7" w:rsidP="004D4F69">
      <w:pPr>
        <w:pStyle w:val="Heading3"/>
        <w:spacing w:before="240"/>
        <w:rPr>
          <w:noProof/>
        </w:rPr>
      </w:pPr>
      <w:bookmarkStart w:id="179" w:name="_Toc215083742"/>
      <w:bookmarkStart w:id="180" w:name="_Toc219212510"/>
      <w:bookmarkStart w:id="181" w:name="_Toc219718165"/>
      <w:bookmarkStart w:id="182" w:name="_Toc214467719"/>
      <w:r w:rsidRPr="006E27E1">
        <w:rPr>
          <w:noProof/>
        </w:rPr>
        <w:t>Transition</w:t>
      </w:r>
      <w:r>
        <w:rPr>
          <w:noProof/>
        </w:rPr>
        <w:t xml:space="preserve"> to fibre</w:t>
      </w:r>
      <w:bookmarkEnd w:id="179"/>
      <w:bookmarkEnd w:id="180"/>
      <w:bookmarkEnd w:id="181"/>
      <w:r w:rsidR="008B361A" w:rsidRPr="00DE264C">
        <w:rPr>
          <w:noProof/>
        </w:rPr>
        <w:t xml:space="preserve"> </w:t>
      </w:r>
      <w:bookmarkEnd w:id="182"/>
    </w:p>
    <w:p w14:paraId="500E9DE1" w14:textId="54B84C56" w:rsidR="009D4DC0" w:rsidRPr="00DE264C" w:rsidRDefault="009D4DC0" w:rsidP="00F37C86">
      <w:pPr>
        <w:spacing w:line="240" w:lineRule="auto"/>
        <w:rPr>
          <w:rStyle w:val="FootnoteReference"/>
          <w:noProof/>
        </w:rPr>
      </w:pPr>
      <w:r w:rsidRPr="00DE264C">
        <w:rPr>
          <w:noProof/>
        </w:rPr>
        <w:t xml:space="preserve">The EECC </w:t>
      </w:r>
      <w:r w:rsidR="61004857" w:rsidRPr="00DE264C">
        <w:rPr>
          <w:noProof/>
        </w:rPr>
        <w:t>introduced</w:t>
      </w:r>
      <w:r w:rsidRPr="00DE264C">
        <w:rPr>
          <w:noProof/>
        </w:rPr>
        <w:t xml:space="preserve"> the promotion of connectivity through access to and take-up of VHCN as a new objective of the regulatory framework, alongside the promotion of competition, the development of the internal market and the interests of Union citizens. The framework delivered as regards promotion of competition and protection of end users. The market environment changed as a consequence of </w:t>
      </w:r>
      <w:r w:rsidR="00E67A01" w:rsidRPr="00DE264C">
        <w:rPr>
          <w:noProof/>
        </w:rPr>
        <w:t>infrastructure-based</w:t>
      </w:r>
      <w:r w:rsidRPr="00DE264C">
        <w:rPr>
          <w:noProof/>
        </w:rPr>
        <w:t xml:space="preserve"> competition in </w:t>
      </w:r>
      <w:r w:rsidR="009740E0" w:rsidRPr="00DE264C">
        <w:rPr>
          <w:noProof/>
        </w:rPr>
        <w:t>many geographic</w:t>
      </w:r>
      <w:r w:rsidR="00613480" w:rsidRPr="00DE264C">
        <w:rPr>
          <w:noProof/>
        </w:rPr>
        <w:t xml:space="preserve"> areas,</w:t>
      </w:r>
      <w:r w:rsidRPr="00DE264C">
        <w:rPr>
          <w:noProof/>
        </w:rPr>
        <w:t xml:space="preserve"> </w:t>
      </w:r>
      <w:r w:rsidR="5AAE4AE9" w:rsidRPr="00DE264C">
        <w:rPr>
          <w:noProof/>
        </w:rPr>
        <w:t xml:space="preserve">in </w:t>
      </w:r>
      <w:r w:rsidRPr="00DE264C">
        <w:rPr>
          <w:noProof/>
        </w:rPr>
        <w:t xml:space="preserve">particular through </w:t>
      </w:r>
      <w:r w:rsidR="3783F730" w:rsidRPr="00DE264C">
        <w:rPr>
          <w:noProof/>
        </w:rPr>
        <w:t xml:space="preserve">the </w:t>
      </w:r>
      <w:r w:rsidRPr="00DE264C">
        <w:rPr>
          <w:noProof/>
        </w:rPr>
        <w:t xml:space="preserve">emergence of players </w:t>
      </w:r>
      <w:r w:rsidR="21934C77" w:rsidRPr="00DE264C">
        <w:rPr>
          <w:noProof/>
        </w:rPr>
        <w:t>(</w:t>
      </w:r>
      <w:r w:rsidRPr="00DE264C">
        <w:rPr>
          <w:noProof/>
        </w:rPr>
        <w:t>other than the historic telecom incumbents</w:t>
      </w:r>
      <w:r w:rsidR="1A9743FE" w:rsidRPr="00DE264C">
        <w:rPr>
          <w:noProof/>
        </w:rPr>
        <w:t>)</w:t>
      </w:r>
      <w:r w:rsidRPr="00DE264C">
        <w:rPr>
          <w:noProof/>
        </w:rPr>
        <w:t xml:space="preserve"> deploying FTTH </w:t>
      </w:r>
      <w:r w:rsidR="00613480" w:rsidRPr="00DE264C">
        <w:rPr>
          <w:noProof/>
        </w:rPr>
        <w:t>networks</w:t>
      </w:r>
      <w:r w:rsidRPr="00DE264C">
        <w:rPr>
          <w:noProof/>
        </w:rPr>
        <w:t xml:space="preserve"> in certain geographic areas. Despite </w:t>
      </w:r>
      <w:r w:rsidR="0679878E" w:rsidRPr="00DE264C">
        <w:rPr>
          <w:noProof/>
        </w:rPr>
        <w:t xml:space="preserve">the </w:t>
      </w:r>
      <w:r w:rsidRPr="00DE264C">
        <w:rPr>
          <w:noProof/>
        </w:rPr>
        <w:t xml:space="preserve">overall effectiveness of the </w:t>
      </w:r>
      <w:r w:rsidR="00286B86">
        <w:rPr>
          <w:noProof/>
        </w:rPr>
        <w:t>ex-ante</w:t>
      </w:r>
      <w:r w:rsidR="00711BA0">
        <w:rPr>
          <w:noProof/>
        </w:rPr>
        <w:t xml:space="preserve"> regulation</w:t>
      </w:r>
      <w:r w:rsidRPr="00DE264C">
        <w:rPr>
          <w:noProof/>
        </w:rPr>
        <w:t xml:space="preserve"> which</w:t>
      </w:r>
      <w:r w:rsidR="003F6CE8">
        <w:rPr>
          <w:noProof/>
        </w:rPr>
        <w:t xml:space="preserve"> </w:t>
      </w:r>
      <w:r w:rsidRPr="00DE264C">
        <w:rPr>
          <w:noProof/>
        </w:rPr>
        <w:t>remov</w:t>
      </w:r>
      <w:r w:rsidR="4BFCC534" w:rsidRPr="00DE264C">
        <w:rPr>
          <w:noProof/>
        </w:rPr>
        <w:t>ed</w:t>
      </w:r>
      <w:r w:rsidRPr="00DE264C">
        <w:rPr>
          <w:noProof/>
        </w:rPr>
        <w:t xml:space="preserve"> part of high entry barriers and </w:t>
      </w:r>
      <w:r w:rsidR="00613480" w:rsidRPr="00DE264C">
        <w:rPr>
          <w:noProof/>
        </w:rPr>
        <w:t xml:space="preserve">in </w:t>
      </w:r>
      <w:r w:rsidR="0026743D" w:rsidRPr="00DE264C">
        <w:rPr>
          <w:noProof/>
        </w:rPr>
        <w:t xml:space="preserve">many areas </w:t>
      </w:r>
      <w:r w:rsidRPr="00DE264C">
        <w:rPr>
          <w:noProof/>
        </w:rPr>
        <w:t>allowed greater tendency towards effective competition, the objectives of the deployment and take up of fibre networks cannot be fully achieved by the current framework. The current framework, under the baseline scenario, cannot secure the ambitious EU-level connectivity targets</w:t>
      </w:r>
      <w:r w:rsidRPr="00DE264C">
        <w:rPr>
          <w:rStyle w:val="FootnoteReference"/>
          <w:noProof/>
        </w:rPr>
        <w:footnoteReference w:id="172"/>
      </w:r>
      <w:r w:rsidR="00E67A01" w:rsidRPr="00DE264C">
        <w:rPr>
          <w:noProof/>
        </w:rPr>
        <w:t xml:space="preserve">. The </w:t>
      </w:r>
      <w:r w:rsidRPr="00DE264C">
        <w:rPr>
          <w:noProof/>
        </w:rPr>
        <w:t xml:space="preserve">patchy approach to supporting fibre deployment and competition on quality in different countries lead to lack of predictability which is crucial </w:t>
      </w:r>
      <w:r w:rsidR="002602F3" w:rsidRPr="00DE264C">
        <w:rPr>
          <w:noProof/>
        </w:rPr>
        <w:t>to</w:t>
      </w:r>
      <w:r w:rsidRPr="00DE264C">
        <w:rPr>
          <w:noProof/>
        </w:rPr>
        <w:t xml:space="preserve"> foster investment thus contributing to gaps in coverage and broadband speed.</w:t>
      </w:r>
      <w:r w:rsidRPr="00DE264C">
        <w:rPr>
          <w:rStyle w:val="FootnoteReference"/>
          <w:noProof/>
        </w:rPr>
        <w:footnoteReference w:id="173"/>
      </w:r>
      <w:r w:rsidRPr="00DE264C">
        <w:rPr>
          <w:rStyle w:val="FootnoteReference"/>
          <w:noProof/>
        </w:rPr>
        <w:t xml:space="preserve"> </w:t>
      </w:r>
    </w:p>
    <w:p w14:paraId="5F93FC30" w14:textId="3ADBE071" w:rsidR="00005BFE" w:rsidRPr="00DE264C" w:rsidRDefault="00BE3974" w:rsidP="00F37C86">
      <w:pPr>
        <w:spacing w:line="240" w:lineRule="auto"/>
        <w:rPr>
          <w:rFonts w:eastAsia="Calibri"/>
          <w:noProof/>
        </w:rPr>
      </w:pPr>
      <w:r w:rsidRPr="00DE264C">
        <w:rPr>
          <w:noProof/>
        </w:rPr>
        <w:t xml:space="preserve">Under the baseline, </w:t>
      </w:r>
      <w:r w:rsidR="4838DC32" w:rsidRPr="00DE264C">
        <w:rPr>
          <w:noProof/>
        </w:rPr>
        <w:t xml:space="preserve">there is no legal </w:t>
      </w:r>
      <w:r w:rsidR="00F71C38">
        <w:rPr>
          <w:noProof/>
        </w:rPr>
        <w:t>provision</w:t>
      </w:r>
      <w:r w:rsidR="4838DC32" w:rsidRPr="00DE264C">
        <w:rPr>
          <w:noProof/>
        </w:rPr>
        <w:t xml:space="preserve"> actively support</w:t>
      </w:r>
      <w:r w:rsidR="007A0E28">
        <w:rPr>
          <w:noProof/>
        </w:rPr>
        <w:t>ing</w:t>
      </w:r>
      <w:r w:rsidR="4838DC32" w:rsidRPr="00DE264C">
        <w:rPr>
          <w:noProof/>
        </w:rPr>
        <w:t xml:space="preserve"> </w:t>
      </w:r>
      <w:r w:rsidR="4714DA5B" w:rsidRPr="00DE264C">
        <w:rPr>
          <w:noProof/>
        </w:rPr>
        <w:t>or accelerat</w:t>
      </w:r>
      <w:r w:rsidR="007A0E28">
        <w:rPr>
          <w:noProof/>
        </w:rPr>
        <w:t>ing</w:t>
      </w:r>
      <w:r w:rsidR="4714DA5B" w:rsidRPr="00DE264C">
        <w:rPr>
          <w:noProof/>
        </w:rPr>
        <w:t xml:space="preserve"> </w:t>
      </w:r>
      <w:r w:rsidR="00507957">
        <w:rPr>
          <w:noProof/>
        </w:rPr>
        <w:t>the</w:t>
      </w:r>
      <w:r w:rsidR="4714DA5B" w:rsidRPr="00DE264C">
        <w:rPr>
          <w:noProof/>
        </w:rPr>
        <w:t xml:space="preserve"> </w:t>
      </w:r>
      <w:r w:rsidR="4838DC32" w:rsidRPr="00DE264C">
        <w:rPr>
          <w:noProof/>
        </w:rPr>
        <w:t>copper switch</w:t>
      </w:r>
      <w:r w:rsidR="0071461E" w:rsidRPr="00DE264C">
        <w:rPr>
          <w:noProof/>
        </w:rPr>
        <w:t>-</w:t>
      </w:r>
      <w:r w:rsidR="4838DC32" w:rsidRPr="00DE264C">
        <w:rPr>
          <w:noProof/>
        </w:rPr>
        <w:t>off</w:t>
      </w:r>
      <w:r w:rsidR="5CA3052D" w:rsidRPr="00DE264C">
        <w:rPr>
          <w:noProof/>
        </w:rPr>
        <w:t xml:space="preserve">. </w:t>
      </w:r>
      <w:r w:rsidR="4DCC9984" w:rsidRPr="00DE264C">
        <w:rPr>
          <w:noProof/>
        </w:rPr>
        <w:t>The conditions for c</w:t>
      </w:r>
      <w:r w:rsidR="4694BE47" w:rsidRPr="00DE264C">
        <w:rPr>
          <w:noProof/>
        </w:rPr>
        <w:t>opper</w:t>
      </w:r>
      <w:r w:rsidR="008B2FF2" w:rsidRPr="00DE264C">
        <w:rPr>
          <w:noProof/>
        </w:rPr>
        <w:t xml:space="preserve"> switch-off </w:t>
      </w:r>
      <w:r w:rsidR="67BE82B5" w:rsidRPr="00DE264C">
        <w:rPr>
          <w:noProof/>
        </w:rPr>
        <w:t xml:space="preserve">are set </w:t>
      </w:r>
      <w:r w:rsidR="008B2FF2" w:rsidRPr="00DE264C">
        <w:rPr>
          <w:noProof/>
        </w:rPr>
        <w:t>by</w:t>
      </w:r>
      <w:r w:rsidR="004E0B7D" w:rsidRPr="00DE264C">
        <w:rPr>
          <w:noProof/>
        </w:rPr>
        <w:t xml:space="preserve"> </w:t>
      </w:r>
      <w:r w:rsidR="006D5CCC" w:rsidRPr="00DE264C">
        <w:rPr>
          <w:noProof/>
        </w:rPr>
        <w:t>Article</w:t>
      </w:r>
      <w:r w:rsidR="00A907F2">
        <w:rPr>
          <w:noProof/>
        </w:rPr>
        <w:t> </w:t>
      </w:r>
      <w:r w:rsidR="006D5CCC" w:rsidRPr="00DE264C">
        <w:rPr>
          <w:noProof/>
        </w:rPr>
        <w:t>81 EECC</w:t>
      </w:r>
      <w:r w:rsidR="004E0B7D" w:rsidRPr="00DE264C">
        <w:rPr>
          <w:noProof/>
        </w:rPr>
        <w:t xml:space="preserve">. This provision requires </w:t>
      </w:r>
      <w:r w:rsidR="00023620" w:rsidRPr="00DE264C">
        <w:rPr>
          <w:noProof/>
        </w:rPr>
        <w:t>o</w:t>
      </w:r>
      <w:r w:rsidRPr="00DE264C">
        <w:rPr>
          <w:noProof/>
        </w:rPr>
        <w:t xml:space="preserve">perators </w:t>
      </w:r>
      <w:r w:rsidR="003C4B3F" w:rsidRPr="00DE264C">
        <w:rPr>
          <w:noProof/>
        </w:rPr>
        <w:t>with Significant Market Power</w:t>
      </w:r>
      <w:r w:rsidRPr="00DE264C">
        <w:rPr>
          <w:noProof/>
        </w:rPr>
        <w:t xml:space="preserve"> </w:t>
      </w:r>
      <w:r w:rsidR="001D70F7" w:rsidRPr="00DE264C">
        <w:rPr>
          <w:noProof/>
        </w:rPr>
        <w:t>(</w:t>
      </w:r>
      <w:r w:rsidRPr="00DE264C">
        <w:rPr>
          <w:noProof/>
        </w:rPr>
        <w:t>SMP</w:t>
      </w:r>
      <w:r w:rsidR="001D70F7" w:rsidRPr="00DE264C">
        <w:rPr>
          <w:noProof/>
        </w:rPr>
        <w:t>)</w:t>
      </w:r>
      <w:r w:rsidRPr="00DE264C">
        <w:rPr>
          <w:noProof/>
        </w:rPr>
        <w:t xml:space="preserve"> subject to network access obligations </w:t>
      </w:r>
      <w:r w:rsidR="00AA606C" w:rsidRPr="00DE264C">
        <w:rPr>
          <w:noProof/>
        </w:rPr>
        <w:t>to</w:t>
      </w:r>
      <w:r w:rsidR="00C50BDC" w:rsidRPr="00DE264C">
        <w:rPr>
          <w:noProof/>
        </w:rPr>
        <w:t xml:space="preserve"> notify national regulatory authorities when they plan to decommission or replace their copper networks.</w:t>
      </w:r>
      <w:r w:rsidR="00BE0F8A" w:rsidRPr="00DE264C">
        <w:rPr>
          <w:noProof/>
        </w:rPr>
        <w:t xml:space="preserve"> The aim of </w:t>
      </w:r>
      <w:r w:rsidR="392D0B40" w:rsidRPr="00DE264C">
        <w:rPr>
          <w:noProof/>
        </w:rPr>
        <w:t>th</w:t>
      </w:r>
      <w:r w:rsidR="0392E73B" w:rsidRPr="00DE264C">
        <w:rPr>
          <w:noProof/>
        </w:rPr>
        <w:t>is</w:t>
      </w:r>
      <w:r w:rsidR="02DED19B" w:rsidRPr="00DE264C">
        <w:rPr>
          <w:noProof/>
        </w:rPr>
        <w:t xml:space="preserve"> </w:t>
      </w:r>
      <w:r w:rsidR="00463FB2" w:rsidRPr="00DE264C">
        <w:rPr>
          <w:noProof/>
        </w:rPr>
        <w:t>provision</w:t>
      </w:r>
      <w:r w:rsidR="00BE0F8A" w:rsidRPr="00DE264C">
        <w:rPr>
          <w:noProof/>
        </w:rPr>
        <w:t xml:space="preserve"> is to ensure that migrations from regulated networks are transparent with a clear timetable and adequate notice periods, do not harm competition or end-</w:t>
      </w:r>
      <w:r w:rsidR="43D42671" w:rsidRPr="00DE264C">
        <w:rPr>
          <w:noProof/>
        </w:rPr>
        <w:t>user</w:t>
      </w:r>
      <w:r w:rsidR="382A028D" w:rsidRPr="00DE264C">
        <w:rPr>
          <w:noProof/>
        </w:rPr>
        <w:t>s’</w:t>
      </w:r>
      <w:r w:rsidR="00BE0F8A" w:rsidRPr="00DE264C">
        <w:rPr>
          <w:noProof/>
        </w:rPr>
        <w:t xml:space="preserve"> rights and that alternative access products of comparable quality are available.</w:t>
      </w:r>
      <w:r w:rsidR="00D97AF5" w:rsidRPr="00DE264C">
        <w:rPr>
          <w:noProof/>
        </w:rPr>
        <w:t xml:space="preserve"> </w:t>
      </w:r>
      <w:r w:rsidR="00D53829" w:rsidRPr="00DE264C">
        <w:rPr>
          <w:noProof/>
        </w:rPr>
        <w:t xml:space="preserve">The provision </w:t>
      </w:r>
      <w:r w:rsidR="00BB1601" w:rsidRPr="00DE264C">
        <w:rPr>
          <w:noProof/>
        </w:rPr>
        <w:t xml:space="preserve">is not intended to accelerate migration to fibre. </w:t>
      </w:r>
      <w:r w:rsidR="00E04A69" w:rsidRPr="00DE264C">
        <w:rPr>
          <w:noProof/>
        </w:rPr>
        <w:t>In fact, Article</w:t>
      </w:r>
      <w:r w:rsidR="00A907F2">
        <w:rPr>
          <w:noProof/>
        </w:rPr>
        <w:t> </w:t>
      </w:r>
      <w:r w:rsidR="00E04A69" w:rsidRPr="00DE264C">
        <w:rPr>
          <w:noProof/>
        </w:rPr>
        <w:t xml:space="preserve">81 </w:t>
      </w:r>
      <w:r w:rsidR="005F46D8" w:rsidRPr="00DE264C">
        <w:rPr>
          <w:noProof/>
        </w:rPr>
        <w:t>EECC</w:t>
      </w:r>
      <w:r w:rsidR="00E04A69" w:rsidRPr="00DE264C">
        <w:rPr>
          <w:noProof/>
        </w:rPr>
        <w:t xml:space="preserve"> may</w:t>
      </w:r>
      <w:r w:rsidR="7D8F737F" w:rsidRPr="00DE264C">
        <w:rPr>
          <w:noProof/>
        </w:rPr>
        <w:t xml:space="preserve"> sometimes</w:t>
      </w:r>
      <w:r w:rsidR="00706A21" w:rsidRPr="00DE264C">
        <w:rPr>
          <w:noProof/>
        </w:rPr>
        <w:t xml:space="preserve"> </w:t>
      </w:r>
      <w:r w:rsidR="005F1CD6" w:rsidRPr="00DE264C">
        <w:rPr>
          <w:noProof/>
        </w:rPr>
        <w:t xml:space="preserve">slow </w:t>
      </w:r>
      <w:r w:rsidR="00706A21" w:rsidRPr="00DE264C">
        <w:rPr>
          <w:noProof/>
        </w:rPr>
        <w:t xml:space="preserve">down </w:t>
      </w:r>
      <w:r w:rsidR="006A436A" w:rsidRPr="00DE264C">
        <w:rPr>
          <w:noProof/>
        </w:rPr>
        <w:t xml:space="preserve">the migration to fibre because </w:t>
      </w:r>
      <w:r w:rsidR="00D70CCF" w:rsidRPr="00DE264C">
        <w:rPr>
          <w:noProof/>
        </w:rPr>
        <w:t xml:space="preserve">it allows </w:t>
      </w:r>
      <w:r w:rsidR="009C579D" w:rsidRPr="00DE264C">
        <w:rPr>
          <w:noProof/>
        </w:rPr>
        <w:t xml:space="preserve">NRAs </w:t>
      </w:r>
      <w:r w:rsidR="00D70CCF" w:rsidRPr="00DE264C">
        <w:rPr>
          <w:noProof/>
        </w:rPr>
        <w:t xml:space="preserve">to impose </w:t>
      </w:r>
      <w:r w:rsidR="00694695" w:rsidRPr="00DE264C">
        <w:rPr>
          <w:noProof/>
        </w:rPr>
        <w:t>conditions on how the copper switch-off</w:t>
      </w:r>
      <w:r w:rsidR="00224F57" w:rsidRPr="00DE264C">
        <w:rPr>
          <w:noProof/>
        </w:rPr>
        <w:t xml:space="preserve"> process is </w:t>
      </w:r>
      <w:r w:rsidR="00694695" w:rsidRPr="00DE264C">
        <w:rPr>
          <w:noProof/>
        </w:rPr>
        <w:t>implemented</w:t>
      </w:r>
      <w:r w:rsidR="002C2DB2" w:rsidRPr="00DE264C">
        <w:rPr>
          <w:noProof/>
        </w:rPr>
        <w:t xml:space="preserve"> by SMP operators.</w:t>
      </w:r>
      <w:r w:rsidR="17944EDB" w:rsidRPr="00DE264C">
        <w:rPr>
          <w:noProof/>
        </w:rPr>
        <w:t xml:space="preserve"> </w:t>
      </w:r>
      <w:r w:rsidR="4ED117A6" w:rsidRPr="00DE264C">
        <w:rPr>
          <w:rFonts w:eastAsia="Calibri"/>
          <w:noProof/>
        </w:rPr>
        <w:t>According to the BEREC progress report on managing copper network switch-off and the NRA survey</w:t>
      </w:r>
      <w:r w:rsidR="5CCD8FB0" w:rsidRPr="00DE264C">
        <w:rPr>
          <w:rFonts w:eastAsia="Calibri"/>
          <w:noProof/>
        </w:rPr>
        <w:t>s</w:t>
      </w:r>
      <w:r w:rsidR="4ED117A6" w:rsidRPr="00DE264C">
        <w:rPr>
          <w:rFonts w:eastAsia="Calibri"/>
          <w:noProof/>
        </w:rPr>
        <w:t xml:space="preserve"> conducted for the </w:t>
      </w:r>
      <w:r w:rsidR="00C62EE5">
        <w:rPr>
          <w:rFonts w:eastAsia="Calibri"/>
          <w:noProof/>
        </w:rPr>
        <w:t>‘Study on Access Regulation’</w:t>
      </w:r>
      <w:r w:rsidR="49CF109E" w:rsidRPr="00DE264C">
        <w:rPr>
          <w:rFonts w:eastAsia="Calibri"/>
          <w:noProof/>
        </w:rPr>
        <w:t>,</w:t>
      </w:r>
      <w:r w:rsidR="4ED117A6" w:rsidRPr="00DE264C">
        <w:rPr>
          <w:rFonts w:eastAsia="Calibri"/>
          <w:noProof/>
        </w:rPr>
        <w:t xml:space="preserve"> 9 countries</w:t>
      </w:r>
      <w:r w:rsidR="00716FF7" w:rsidRPr="00DE264C">
        <w:rPr>
          <w:rStyle w:val="FootnoteReference"/>
          <w:rFonts w:eastAsia="Calibri"/>
          <w:noProof/>
        </w:rPr>
        <w:footnoteReference w:id="174"/>
      </w:r>
      <w:r w:rsidR="004E5AAB" w:rsidRPr="00DE264C">
        <w:rPr>
          <w:rFonts w:eastAsia="Calibri"/>
          <w:noProof/>
        </w:rPr>
        <w:t xml:space="preserve"> </w:t>
      </w:r>
      <w:r w:rsidR="4ED117A6" w:rsidRPr="00DE264C">
        <w:rPr>
          <w:rFonts w:eastAsia="Calibri"/>
          <w:noProof/>
        </w:rPr>
        <w:t xml:space="preserve">are planning to switch-off copper by 2030 or earlier. </w:t>
      </w:r>
      <w:r w:rsidR="1F022FE6" w:rsidRPr="00DE264C">
        <w:rPr>
          <w:rFonts w:eastAsia="Calibri"/>
          <w:noProof/>
        </w:rPr>
        <w:t>16 countries</w:t>
      </w:r>
      <w:r w:rsidRPr="00DE264C">
        <w:rPr>
          <w:rStyle w:val="FootnoteReference"/>
          <w:rFonts w:eastAsia="Calibri"/>
          <w:noProof/>
        </w:rPr>
        <w:footnoteReference w:id="175"/>
      </w:r>
      <w:r w:rsidR="1F022FE6" w:rsidRPr="00DE264C">
        <w:rPr>
          <w:rFonts w:eastAsia="Calibri"/>
          <w:noProof/>
        </w:rPr>
        <w:t xml:space="preserve"> have not set a target date and 7 countries</w:t>
      </w:r>
      <w:r w:rsidRPr="00DE264C">
        <w:rPr>
          <w:rStyle w:val="FootnoteReference"/>
          <w:rFonts w:eastAsia="Calibri"/>
          <w:noProof/>
        </w:rPr>
        <w:footnoteReference w:id="176"/>
      </w:r>
      <w:r w:rsidR="1F022FE6" w:rsidRPr="00DE264C">
        <w:rPr>
          <w:rFonts w:eastAsia="Calibri"/>
          <w:noProof/>
        </w:rPr>
        <w:t xml:space="preserve"> are lagging behind in fibre roll-out and FTTH penetration (in % of broadband subscriptions)</w:t>
      </w:r>
      <w:r w:rsidR="4FD20CD4" w:rsidRPr="00DE264C">
        <w:rPr>
          <w:rFonts w:eastAsia="Calibri"/>
          <w:noProof/>
        </w:rPr>
        <w:t>.</w:t>
      </w:r>
    </w:p>
    <w:p w14:paraId="70E762CF" w14:textId="21B871F5" w:rsidR="008C15C8" w:rsidRDefault="008679DA" w:rsidP="00F37C86">
      <w:pPr>
        <w:spacing w:line="240" w:lineRule="auto"/>
        <w:rPr>
          <w:noProof/>
        </w:rPr>
      </w:pPr>
      <w:r w:rsidRPr="00DE264C">
        <w:rPr>
          <w:noProof/>
        </w:rPr>
        <w:t>As regard the evolution of the fibre coverage in the baseline</w:t>
      </w:r>
      <w:r w:rsidR="00675459" w:rsidRPr="00DE264C">
        <w:rPr>
          <w:noProof/>
        </w:rPr>
        <w:t xml:space="preserve"> </w:t>
      </w:r>
      <w:r w:rsidR="00624281" w:rsidRPr="00DE264C">
        <w:rPr>
          <w:noProof/>
        </w:rPr>
        <w:t>scenario</w:t>
      </w:r>
      <w:r w:rsidR="006412A6" w:rsidRPr="00DE264C">
        <w:rPr>
          <w:noProof/>
        </w:rPr>
        <w:t xml:space="preserve">, </w:t>
      </w:r>
      <w:r w:rsidR="009331F4" w:rsidRPr="00DE264C">
        <w:rPr>
          <w:noProof/>
        </w:rPr>
        <w:t>there are particular difficulties in stimulating FTTH deployment (from any provider) when the incumbent has upgraded copper to provide higher levels of quality over FTTC</w:t>
      </w:r>
      <w:r w:rsidR="00AF20F5">
        <w:rPr>
          <w:noProof/>
        </w:rPr>
        <w:t xml:space="preserve"> </w:t>
      </w:r>
      <w:r w:rsidR="008E5594">
        <w:rPr>
          <w:noProof/>
        </w:rPr>
        <w:t>(which oft</w:t>
      </w:r>
      <w:r w:rsidR="00D8672F">
        <w:rPr>
          <w:noProof/>
        </w:rPr>
        <w:t xml:space="preserve">en </w:t>
      </w:r>
      <w:r w:rsidR="008113A1">
        <w:rPr>
          <w:noProof/>
        </w:rPr>
        <w:t xml:space="preserve">can provide </w:t>
      </w:r>
      <w:r w:rsidR="00E60019">
        <w:rPr>
          <w:noProof/>
        </w:rPr>
        <w:t xml:space="preserve">a </w:t>
      </w:r>
      <w:r w:rsidR="00D91D88">
        <w:rPr>
          <w:noProof/>
        </w:rPr>
        <w:t>decent</w:t>
      </w:r>
      <w:r w:rsidR="00E60019">
        <w:rPr>
          <w:noProof/>
        </w:rPr>
        <w:t xml:space="preserve"> quality of </w:t>
      </w:r>
      <w:r w:rsidR="008113A1">
        <w:rPr>
          <w:noProof/>
        </w:rPr>
        <w:t>250 Mbps upstream</w:t>
      </w:r>
      <w:r w:rsidR="00944058">
        <w:rPr>
          <w:noProof/>
        </w:rPr>
        <w:t>)</w:t>
      </w:r>
      <w:r w:rsidR="009331F4" w:rsidRPr="00DE264C">
        <w:rPr>
          <w:noProof/>
        </w:rPr>
        <w:t xml:space="preserve">. In this situation, as it is still making a return from its </w:t>
      </w:r>
      <w:r w:rsidR="006E794C">
        <w:rPr>
          <w:noProof/>
        </w:rPr>
        <w:t xml:space="preserve">upgraded </w:t>
      </w:r>
      <w:r w:rsidR="009331F4" w:rsidRPr="00DE264C">
        <w:rPr>
          <w:noProof/>
        </w:rPr>
        <w:t>legacy copper network which may have been fully depreciated, the copper network owner has no incentive to deploy FTTH itself or to switch-off copper and transition its customers to another FTTH network, even if one exists</w:t>
      </w:r>
      <w:r w:rsidR="008C15C8" w:rsidRPr="00DE264C">
        <w:rPr>
          <w:noProof/>
        </w:rPr>
        <w:t>. Taking into account the countries that are affected by this problem, WIK expect</w:t>
      </w:r>
      <w:r w:rsidR="00A3219E" w:rsidRPr="00DE264C">
        <w:rPr>
          <w:noProof/>
        </w:rPr>
        <w:t>s</w:t>
      </w:r>
      <w:r w:rsidR="008C15C8" w:rsidRPr="00DE264C">
        <w:rPr>
          <w:noProof/>
        </w:rPr>
        <w:t xml:space="preserve"> that under the status quo, FTTH coverage</w:t>
      </w:r>
      <w:r w:rsidR="00E45746" w:rsidRPr="00DE264C">
        <w:rPr>
          <w:rStyle w:val="FootnoteReference"/>
          <w:noProof/>
        </w:rPr>
        <w:footnoteReference w:id="177"/>
      </w:r>
      <w:r w:rsidR="008C15C8" w:rsidRPr="00DE264C">
        <w:rPr>
          <w:noProof/>
        </w:rPr>
        <w:t xml:space="preserve"> will reach only </w:t>
      </w:r>
      <w:r w:rsidR="007B4A9B" w:rsidRPr="00DE264C">
        <w:rPr>
          <w:noProof/>
        </w:rPr>
        <w:t xml:space="preserve">77.9% in 2030 and </w:t>
      </w:r>
      <w:r w:rsidR="008C15C8" w:rsidRPr="00DE264C">
        <w:rPr>
          <w:noProof/>
        </w:rPr>
        <w:t>90.6% in 2035.</w:t>
      </w:r>
      <w:r w:rsidR="008C15C8" w:rsidRPr="00DE264C">
        <w:rPr>
          <w:rStyle w:val="FootnoteReference"/>
          <w:noProof/>
        </w:rPr>
        <w:footnoteReference w:id="178"/>
      </w:r>
      <w:r w:rsidR="008C15C8" w:rsidRPr="00DE264C">
        <w:rPr>
          <w:noProof/>
        </w:rPr>
        <w:t xml:space="preserve"> Furthermore, </w:t>
      </w:r>
      <w:r w:rsidR="01D8C2AE" w:rsidRPr="00DE264C">
        <w:rPr>
          <w:noProof/>
        </w:rPr>
        <w:t xml:space="preserve">the experience of </w:t>
      </w:r>
      <w:r w:rsidR="008C15C8" w:rsidRPr="00DE264C">
        <w:rPr>
          <w:noProof/>
        </w:rPr>
        <w:t>countries which are more advanced in fibre roll-out</w:t>
      </w:r>
      <w:r w:rsidR="061BBC7B" w:rsidRPr="00DE264C">
        <w:rPr>
          <w:noProof/>
        </w:rPr>
        <w:t xml:space="preserve"> shows that</w:t>
      </w:r>
      <w:r w:rsidR="008C15C8" w:rsidRPr="00DE264C">
        <w:rPr>
          <w:noProof/>
        </w:rPr>
        <w:t xml:space="preserve"> around 2-5% of households</w:t>
      </w:r>
      <w:r w:rsidR="77FE5749" w:rsidRPr="00DE264C">
        <w:rPr>
          <w:noProof/>
        </w:rPr>
        <w:t>,</w:t>
      </w:r>
      <w:r w:rsidR="008C15C8" w:rsidRPr="00DE264C">
        <w:rPr>
          <w:noProof/>
        </w:rPr>
        <w:t xml:space="preserve"> </w:t>
      </w:r>
      <w:r w:rsidR="77FE5749" w:rsidRPr="00DE264C">
        <w:rPr>
          <w:noProof/>
        </w:rPr>
        <w:t>normally located in very</w:t>
      </w:r>
      <w:r w:rsidR="008C15C8" w:rsidRPr="00DE264C">
        <w:rPr>
          <w:noProof/>
        </w:rPr>
        <w:t xml:space="preserve"> </w:t>
      </w:r>
      <w:r w:rsidR="77FE5749" w:rsidRPr="00DE264C">
        <w:rPr>
          <w:noProof/>
        </w:rPr>
        <w:t>remote areas,</w:t>
      </w:r>
      <w:r w:rsidR="008C15C8" w:rsidRPr="00DE264C">
        <w:rPr>
          <w:noProof/>
        </w:rPr>
        <w:t xml:space="preserve"> will not be covered with FTTH networks in the long term</w:t>
      </w:r>
      <w:r w:rsidR="428D5B5E" w:rsidRPr="00DE264C">
        <w:rPr>
          <w:noProof/>
        </w:rPr>
        <w:t xml:space="preserve"> </w:t>
      </w:r>
      <w:r w:rsidR="76004E85" w:rsidRPr="00DE264C">
        <w:rPr>
          <w:noProof/>
        </w:rPr>
        <w:t>and may only be served by alternative technologies</w:t>
      </w:r>
      <w:r w:rsidR="008C15C8" w:rsidRPr="00DE264C">
        <w:rPr>
          <w:noProof/>
        </w:rPr>
        <w:t>.</w:t>
      </w:r>
    </w:p>
    <w:p w14:paraId="1170748F" w14:textId="144BC22B" w:rsidR="00FA0F83" w:rsidRPr="00A907F2" w:rsidRDefault="00FA0F83" w:rsidP="00BE337F">
      <w:pPr>
        <w:pStyle w:val="Caption"/>
        <w:keepNext/>
        <w:keepLines/>
        <w:rPr>
          <w:noProof/>
        </w:rPr>
      </w:pPr>
      <w:bookmarkStart w:id="183" w:name="_Toc219539773"/>
      <w:r w:rsidRPr="00BE337F">
        <w:rPr>
          <w:noProof/>
          <w:color w:val="auto"/>
        </w:rPr>
        <w:t xml:space="preserve">Figure </w:t>
      </w:r>
      <w:r w:rsidRPr="00BE337F">
        <w:rPr>
          <w:noProof/>
          <w:color w:val="auto"/>
        </w:rPr>
        <w:fldChar w:fldCharType="begin"/>
      </w:r>
      <w:r w:rsidRPr="00BE337F">
        <w:rPr>
          <w:noProof/>
          <w:color w:val="auto"/>
        </w:rPr>
        <w:instrText xml:space="preserve"> SEQ Figure \* ARABIC </w:instrText>
      </w:r>
      <w:r w:rsidRPr="00BE337F">
        <w:rPr>
          <w:noProof/>
          <w:color w:val="auto"/>
        </w:rPr>
        <w:fldChar w:fldCharType="separate"/>
      </w:r>
      <w:r w:rsidRPr="00BE337F">
        <w:rPr>
          <w:noProof/>
          <w:color w:val="auto"/>
        </w:rPr>
        <w:t>16</w:t>
      </w:r>
      <w:r w:rsidRPr="00BE337F">
        <w:rPr>
          <w:noProof/>
          <w:color w:val="auto"/>
        </w:rPr>
        <w:fldChar w:fldCharType="end"/>
      </w:r>
      <w:r w:rsidRPr="00BE337F">
        <w:rPr>
          <w:noProof/>
          <w:color w:val="auto"/>
        </w:rPr>
        <w:t>: EU VHCN and FTTH coverage (% households), Actual data to 2024 and Forecasts</w:t>
      </w:r>
      <w:bookmarkEnd w:id="183"/>
    </w:p>
    <w:p w14:paraId="5902AC8A" w14:textId="6283B1E6" w:rsidR="002A3AEC" w:rsidRPr="00DE264C" w:rsidRDefault="001F2EB6" w:rsidP="00EF2CB3">
      <w:pPr>
        <w:rPr>
          <w:rFonts w:eastAsia="Calibri"/>
          <w:i/>
          <w:noProof/>
          <w:sz w:val="22"/>
          <w:szCs w:val="22"/>
        </w:rPr>
      </w:pPr>
      <w:r w:rsidRPr="00DE264C">
        <w:rPr>
          <w:noProof/>
          <w:lang w:eastAsia="en-GB"/>
        </w:rPr>
        <w:drawing>
          <wp:inline distT="0" distB="0" distL="0" distR="0" wp14:anchorId="00429A4D" wp14:editId="76AA117C">
            <wp:extent cx="5815965" cy="2840990"/>
            <wp:effectExtent l="0" t="0" r="0" b="0"/>
            <wp:docPr id="1414783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15965" cy="2840990"/>
                    </a:xfrm>
                    <a:prstGeom prst="rect">
                      <a:avLst/>
                    </a:prstGeom>
                    <a:noFill/>
                  </pic:spPr>
                </pic:pic>
              </a:graphicData>
            </a:graphic>
          </wp:inline>
        </w:drawing>
      </w:r>
      <w:r w:rsidR="00CC72C0" w:rsidRPr="007F457B">
        <w:rPr>
          <w:rFonts w:eastAsia="Calibri"/>
          <w:i/>
          <w:noProof/>
          <w:sz w:val="20"/>
          <w:szCs w:val="20"/>
        </w:rPr>
        <w:t>Source: WIK-Consult based on EC Broadband Coverage in Europe, Analysys Mason and FTTH Council Europe</w:t>
      </w:r>
    </w:p>
    <w:p w14:paraId="575599CB" w14:textId="577088DB" w:rsidR="00622288" w:rsidRDefault="00D83BCE" w:rsidP="00F37C86">
      <w:pPr>
        <w:spacing w:line="240" w:lineRule="auto"/>
        <w:rPr>
          <w:noProof/>
        </w:rPr>
      </w:pPr>
      <w:r w:rsidRPr="00292895">
        <w:rPr>
          <w:noProof/>
        </w:rPr>
        <w:t>Meanwhile, while countries with a lower FTTH coverage such as Austria, Belgium</w:t>
      </w:r>
      <w:r w:rsidR="2EBCF892">
        <w:rPr>
          <w:noProof/>
        </w:rPr>
        <w:t>,</w:t>
      </w:r>
      <w:r w:rsidRPr="00292895">
        <w:rPr>
          <w:noProof/>
        </w:rPr>
        <w:t xml:space="preserve"> </w:t>
      </w:r>
      <w:r w:rsidR="000F6A39">
        <w:rPr>
          <w:noProof/>
        </w:rPr>
        <w:t xml:space="preserve">Chechia, </w:t>
      </w:r>
      <w:r w:rsidRPr="00292895">
        <w:rPr>
          <w:noProof/>
        </w:rPr>
        <w:t xml:space="preserve">Germany </w:t>
      </w:r>
      <w:r w:rsidR="65376790">
        <w:rPr>
          <w:noProof/>
        </w:rPr>
        <w:t xml:space="preserve">and </w:t>
      </w:r>
      <w:r w:rsidR="000F6A39">
        <w:rPr>
          <w:noProof/>
        </w:rPr>
        <w:t>Greece</w:t>
      </w:r>
      <w:r w:rsidR="65376790">
        <w:rPr>
          <w:noProof/>
        </w:rPr>
        <w:t xml:space="preserve"> </w:t>
      </w:r>
      <w:r w:rsidRPr="00292895">
        <w:rPr>
          <w:noProof/>
        </w:rPr>
        <w:t xml:space="preserve">can be expected to have a higher growth-rate in fibre roll-out than those which are more advanced, it is unlikely that they will reach </w:t>
      </w:r>
      <w:r w:rsidR="00E11C22">
        <w:rPr>
          <w:noProof/>
        </w:rPr>
        <w:t>high</w:t>
      </w:r>
      <w:r w:rsidR="00E11C22" w:rsidRPr="00292895">
        <w:rPr>
          <w:noProof/>
        </w:rPr>
        <w:t xml:space="preserve"> </w:t>
      </w:r>
      <w:r w:rsidRPr="00292895">
        <w:rPr>
          <w:noProof/>
        </w:rPr>
        <w:t>FTTH coverage by 2035. As can be seen in the following chart, the coverage gap in some cases will be significant.</w:t>
      </w:r>
    </w:p>
    <w:p w14:paraId="246BA2F2" w14:textId="2C3FA79E" w:rsidR="00FA0F83" w:rsidRPr="00A907F2" w:rsidRDefault="00FA0F83" w:rsidP="00BE337F">
      <w:pPr>
        <w:pStyle w:val="Caption"/>
        <w:keepNext/>
        <w:rPr>
          <w:noProof/>
        </w:rPr>
      </w:pPr>
      <w:bookmarkStart w:id="184" w:name="_Toc219539774"/>
      <w:r w:rsidRPr="00BE337F">
        <w:rPr>
          <w:noProof/>
          <w:color w:val="auto"/>
        </w:rPr>
        <w:t xml:space="preserve">Figure </w:t>
      </w:r>
      <w:r w:rsidRPr="00BE337F">
        <w:rPr>
          <w:noProof/>
          <w:color w:val="auto"/>
        </w:rPr>
        <w:fldChar w:fldCharType="begin"/>
      </w:r>
      <w:r w:rsidRPr="00BE337F">
        <w:rPr>
          <w:noProof/>
          <w:color w:val="auto"/>
        </w:rPr>
        <w:instrText xml:space="preserve"> SEQ Figure \* ARABIC </w:instrText>
      </w:r>
      <w:r w:rsidRPr="00BE337F">
        <w:rPr>
          <w:noProof/>
          <w:color w:val="auto"/>
        </w:rPr>
        <w:fldChar w:fldCharType="separate"/>
      </w:r>
      <w:r w:rsidRPr="00BE337F">
        <w:rPr>
          <w:noProof/>
          <w:color w:val="auto"/>
        </w:rPr>
        <w:t>17</w:t>
      </w:r>
      <w:r w:rsidRPr="00BE337F">
        <w:rPr>
          <w:noProof/>
          <w:color w:val="auto"/>
        </w:rPr>
        <w:fldChar w:fldCharType="end"/>
      </w:r>
      <w:r w:rsidRPr="00BE337F">
        <w:rPr>
          <w:noProof/>
          <w:color w:val="auto"/>
        </w:rPr>
        <w:t>: Estimated FTTH coverage (excl. FTTB) in Austria, Belgium, Czechia, Germany and Greece in 2035 under the status quo (in % of HH)</w:t>
      </w:r>
      <w:bookmarkEnd w:id="184"/>
    </w:p>
    <w:p w14:paraId="3DC1A205" w14:textId="645981C0" w:rsidR="00956297" w:rsidRPr="00DE264C" w:rsidRDefault="000E6736" w:rsidP="009F47E5">
      <w:pPr>
        <w:rPr>
          <w:rFonts w:eastAsia="Calibri"/>
          <w:i/>
          <w:iCs/>
          <w:noProof/>
          <w:sz w:val="22"/>
          <w:szCs w:val="22"/>
        </w:rPr>
      </w:pPr>
      <w:r w:rsidRPr="00DE264C">
        <w:rPr>
          <w:noProof/>
          <w:sz w:val="18"/>
          <w:szCs w:val="18"/>
          <w:lang w:eastAsia="en-GB"/>
        </w:rPr>
        <w:drawing>
          <wp:inline distT="0" distB="0" distL="0" distR="0" wp14:anchorId="5F09F55D" wp14:editId="1C16C83B">
            <wp:extent cx="5685183" cy="3079115"/>
            <wp:effectExtent l="0" t="0" r="0" b="6985"/>
            <wp:docPr id="1003530248" name="Diagramm 1">
              <a:extLst xmlns:a="http://schemas.openxmlformats.org/drawingml/2006/main">
                <a:ext uri="{FF2B5EF4-FFF2-40B4-BE49-F238E27FC236}">
                  <a16:creationId xmlns:a16="http://schemas.microsoft.com/office/drawing/2014/main" id="{6DE4661A-D6BD-A369-1847-04CB07F566A3}"/>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7E864339" w:rsidRPr="009F47E5">
        <w:rPr>
          <w:rFonts w:eastAsia="Calibri"/>
          <w:i/>
          <w:iCs/>
          <w:noProof/>
          <w:sz w:val="20"/>
          <w:szCs w:val="20"/>
        </w:rPr>
        <w:t>Source:</w:t>
      </w:r>
      <w:r w:rsidR="00A97D7E">
        <w:rPr>
          <w:rFonts w:eastAsia="Calibri"/>
          <w:i/>
          <w:iCs/>
          <w:noProof/>
          <w:sz w:val="20"/>
          <w:szCs w:val="20"/>
        </w:rPr>
        <w:t> </w:t>
      </w:r>
      <w:r w:rsidR="7E864339" w:rsidRPr="009F47E5">
        <w:rPr>
          <w:rFonts w:eastAsia="Calibri"/>
          <w:i/>
          <w:iCs/>
          <w:noProof/>
          <w:sz w:val="20"/>
          <w:szCs w:val="20"/>
        </w:rPr>
        <w:t>WIK based on development of FTTP coverage in EU27 Member States from 2017-2024, own estimates, FTTH Council (2025).</w:t>
      </w:r>
    </w:p>
    <w:p w14:paraId="7B491E1C" w14:textId="3DB58301" w:rsidR="002744B4" w:rsidRDefault="71EA4EFB" w:rsidP="00F37C86">
      <w:pPr>
        <w:spacing w:line="240" w:lineRule="auto"/>
        <w:rPr>
          <w:noProof/>
        </w:rPr>
      </w:pPr>
      <w:r w:rsidRPr="00DE264C">
        <w:rPr>
          <w:noProof/>
        </w:rPr>
        <w:t xml:space="preserve">Regarding the remaining technologies, </w:t>
      </w:r>
      <w:r w:rsidR="002744B4" w:rsidRPr="00DE264C">
        <w:rPr>
          <w:noProof/>
        </w:rPr>
        <w:t xml:space="preserve">WIK projects that under the status quo, </w:t>
      </w:r>
      <w:r w:rsidR="74BF4A0F" w:rsidRPr="00DE264C">
        <w:rPr>
          <w:noProof/>
        </w:rPr>
        <w:t>in 2035</w:t>
      </w:r>
      <w:r w:rsidR="002744B4" w:rsidRPr="00DE264C">
        <w:rPr>
          <w:noProof/>
        </w:rPr>
        <w:t xml:space="preserve"> there will remain</w:t>
      </w:r>
      <w:r w:rsidR="004A1FF6">
        <w:rPr>
          <w:noProof/>
        </w:rPr>
        <w:t xml:space="preserve"> </w:t>
      </w:r>
      <w:r w:rsidR="002744B4" w:rsidRPr="00DE264C">
        <w:rPr>
          <w:noProof/>
        </w:rPr>
        <w:t>8% broadband</w:t>
      </w:r>
      <w:r w:rsidR="004A1FF6">
        <w:rPr>
          <w:noProof/>
        </w:rPr>
        <w:t xml:space="preserve"> </w:t>
      </w:r>
      <w:r w:rsidR="002744B4" w:rsidRPr="00DE264C">
        <w:rPr>
          <w:noProof/>
        </w:rPr>
        <w:t>subscribers</w:t>
      </w:r>
      <w:r w:rsidR="004A1FF6">
        <w:rPr>
          <w:noProof/>
        </w:rPr>
        <w:t xml:space="preserve"> </w:t>
      </w:r>
      <w:r w:rsidR="002744B4" w:rsidRPr="00DE264C">
        <w:rPr>
          <w:noProof/>
        </w:rPr>
        <w:t>on VDSL</w:t>
      </w:r>
      <w:r w:rsidR="53731261" w:rsidRPr="00DE264C">
        <w:rPr>
          <w:noProof/>
        </w:rPr>
        <w:t xml:space="preserve"> as</w:t>
      </w:r>
      <w:r w:rsidR="0010542C" w:rsidRPr="00DE264C">
        <w:rPr>
          <w:noProof/>
        </w:rPr>
        <w:t xml:space="preserve"> </w:t>
      </w:r>
      <w:r w:rsidR="002744B4" w:rsidRPr="00DE264C">
        <w:rPr>
          <w:noProof/>
        </w:rPr>
        <w:t>the EU M</w:t>
      </w:r>
      <w:r w:rsidR="00FB20C0" w:rsidRPr="00DE264C">
        <w:rPr>
          <w:noProof/>
        </w:rPr>
        <w:t xml:space="preserve">ember </w:t>
      </w:r>
      <w:r w:rsidR="002744B4" w:rsidRPr="00DE264C">
        <w:rPr>
          <w:noProof/>
        </w:rPr>
        <w:t>S</w:t>
      </w:r>
      <w:r w:rsidR="00FB20C0" w:rsidRPr="00DE264C">
        <w:rPr>
          <w:noProof/>
        </w:rPr>
        <w:t>tates</w:t>
      </w:r>
      <w:r w:rsidR="002744B4" w:rsidRPr="00DE264C">
        <w:rPr>
          <w:noProof/>
        </w:rPr>
        <w:t xml:space="preserve"> lagging in fibre ro</w:t>
      </w:r>
      <w:r w:rsidR="1BC6E1CF" w:rsidRPr="00DE264C">
        <w:rPr>
          <w:noProof/>
        </w:rPr>
        <w:t xml:space="preserve">ll-out </w:t>
      </w:r>
      <w:r w:rsidR="002744B4" w:rsidRPr="00DE264C">
        <w:rPr>
          <w:noProof/>
        </w:rPr>
        <w:t>will not have switch</w:t>
      </w:r>
      <w:r w:rsidR="00B70E95">
        <w:rPr>
          <w:noProof/>
        </w:rPr>
        <w:t>ed</w:t>
      </w:r>
      <w:r w:rsidR="002744B4" w:rsidRPr="00DE264C">
        <w:rPr>
          <w:noProof/>
        </w:rPr>
        <w:t>-off their copper networks by 2035. Because the prevailing</w:t>
      </w:r>
      <w:r w:rsidR="0089191B">
        <w:rPr>
          <w:noProof/>
        </w:rPr>
        <w:t xml:space="preserve"> </w:t>
      </w:r>
      <w:r w:rsidR="002744B4" w:rsidRPr="00DE264C">
        <w:rPr>
          <w:noProof/>
        </w:rPr>
        <w:t>D</w:t>
      </w:r>
      <w:r w:rsidR="00F149E1">
        <w:rPr>
          <w:noProof/>
        </w:rPr>
        <w:t>OCSIS</w:t>
      </w:r>
      <w:r w:rsidR="0089191B">
        <w:rPr>
          <w:noProof/>
        </w:rPr>
        <w:t xml:space="preserve"> </w:t>
      </w:r>
      <w:r w:rsidR="002744B4" w:rsidRPr="00DE264C">
        <w:rPr>
          <w:noProof/>
        </w:rPr>
        <w:t>3.1 technology is capable of Gigabit download speeds, WIK expects cable take-up to remain more stable in the near term, but with declines to come, as customers transition (or are upgraded by their existing operators) to more performant and energy efficient FTTH.</w:t>
      </w:r>
      <w:r w:rsidR="0089191B">
        <w:rPr>
          <w:noProof/>
        </w:rPr>
        <w:t xml:space="preserve"> </w:t>
      </w:r>
      <w:r w:rsidR="002744B4" w:rsidRPr="00DE264C">
        <w:rPr>
          <w:noProof/>
        </w:rPr>
        <w:t>Meanwhile FWA take-up is expected to expand from a low base as 5G FWA offers are launched and as this service starts to replace DSL,</w:t>
      </w:r>
      <w:r w:rsidR="009414B3">
        <w:rPr>
          <w:noProof/>
        </w:rPr>
        <w:t xml:space="preserve"> </w:t>
      </w:r>
      <w:r w:rsidR="002744B4" w:rsidRPr="00DE264C">
        <w:rPr>
          <w:noProof/>
        </w:rPr>
        <w:t>in particular in</w:t>
      </w:r>
      <w:r w:rsidR="009414B3">
        <w:rPr>
          <w:noProof/>
        </w:rPr>
        <w:t xml:space="preserve"> </w:t>
      </w:r>
      <w:r w:rsidR="002744B4" w:rsidRPr="00DE264C">
        <w:rPr>
          <w:noProof/>
        </w:rPr>
        <w:t>less dense areas or in countries where FTTH/B is less widespread. The resulting projections concerning the technology mix under the status quo are shown below. As some countries in the EU allow copper switch-off with customers being migrated to mobile networks or FWA when the copper network operator does not have</w:t>
      </w:r>
      <w:r w:rsidR="004837CF">
        <w:rPr>
          <w:noProof/>
        </w:rPr>
        <w:t xml:space="preserve"> </w:t>
      </w:r>
      <w:r w:rsidR="002744B4" w:rsidRPr="00DE264C">
        <w:rPr>
          <w:noProof/>
        </w:rPr>
        <w:t>fibre coverage, WIK expects a share of</w:t>
      </w:r>
      <w:r w:rsidR="004837CF">
        <w:rPr>
          <w:noProof/>
        </w:rPr>
        <w:t xml:space="preserve"> </w:t>
      </w:r>
      <w:r w:rsidR="002744B4" w:rsidRPr="00DE264C">
        <w:rPr>
          <w:noProof/>
        </w:rPr>
        <w:t>7% 4G/5G mobile-only</w:t>
      </w:r>
      <w:r w:rsidR="004837CF">
        <w:rPr>
          <w:noProof/>
        </w:rPr>
        <w:t xml:space="preserve"> </w:t>
      </w:r>
      <w:r w:rsidR="002744B4" w:rsidRPr="00DE264C">
        <w:rPr>
          <w:noProof/>
        </w:rPr>
        <w:t>broadband</w:t>
      </w:r>
      <w:r w:rsidR="004837CF">
        <w:rPr>
          <w:noProof/>
        </w:rPr>
        <w:t xml:space="preserve"> </w:t>
      </w:r>
      <w:r w:rsidR="002744B4" w:rsidRPr="00DE264C">
        <w:rPr>
          <w:noProof/>
        </w:rPr>
        <w:t>customers and a share of 7%</w:t>
      </w:r>
      <w:r w:rsidR="004837CF">
        <w:rPr>
          <w:noProof/>
        </w:rPr>
        <w:t xml:space="preserve"> </w:t>
      </w:r>
      <w:r w:rsidR="002744B4" w:rsidRPr="00DE264C">
        <w:rPr>
          <w:noProof/>
        </w:rPr>
        <w:t>for FWA connections.</w:t>
      </w:r>
      <w:r w:rsidR="004837CF">
        <w:rPr>
          <w:noProof/>
        </w:rPr>
        <w:t xml:space="preserve"> </w:t>
      </w:r>
      <w:r w:rsidR="002744B4" w:rsidRPr="00DE264C">
        <w:rPr>
          <w:noProof/>
        </w:rPr>
        <w:t>FTTB</w:t>
      </w:r>
      <w:r w:rsidR="004837CF">
        <w:rPr>
          <w:noProof/>
        </w:rPr>
        <w:t xml:space="preserve"> </w:t>
      </w:r>
      <w:r w:rsidR="002744B4" w:rsidRPr="00DE264C">
        <w:rPr>
          <w:noProof/>
        </w:rPr>
        <w:t>G.fast</w:t>
      </w:r>
      <w:r w:rsidR="004837CF">
        <w:rPr>
          <w:noProof/>
        </w:rPr>
        <w:t xml:space="preserve"> </w:t>
      </w:r>
      <w:r w:rsidR="002744B4" w:rsidRPr="00DE264C">
        <w:rPr>
          <w:noProof/>
        </w:rPr>
        <w:t>is expected to</w:t>
      </w:r>
      <w:r w:rsidR="004837CF">
        <w:rPr>
          <w:noProof/>
        </w:rPr>
        <w:t xml:space="preserve"> </w:t>
      </w:r>
      <w:r w:rsidR="002744B4" w:rsidRPr="00DE264C">
        <w:rPr>
          <w:noProof/>
        </w:rPr>
        <w:t>have a share of</w:t>
      </w:r>
      <w:r w:rsidR="004837CF">
        <w:rPr>
          <w:noProof/>
        </w:rPr>
        <w:t xml:space="preserve"> </w:t>
      </w:r>
      <w:r w:rsidR="002744B4" w:rsidRPr="00DE264C">
        <w:rPr>
          <w:noProof/>
        </w:rPr>
        <w:t>3.4% in 2030 which will decrease to 2.9% in 2035. </w:t>
      </w:r>
    </w:p>
    <w:p w14:paraId="75E1882D" w14:textId="7EA862DF" w:rsidR="00FA0F83" w:rsidRPr="00A907F2" w:rsidRDefault="00FA0F83" w:rsidP="00BE337F">
      <w:pPr>
        <w:pStyle w:val="Caption"/>
        <w:keepNext/>
        <w:jc w:val="left"/>
        <w:rPr>
          <w:noProof/>
        </w:rPr>
      </w:pPr>
      <w:bookmarkStart w:id="185" w:name="_Toc219539775"/>
      <w:r w:rsidRPr="00BE337F">
        <w:rPr>
          <w:noProof/>
          <w:color w:val="auto"/>
        </w:rPr>
        <w:t xml:space="preserve">Figure </w:t>
      </w:r>
      <w:r w:rsidRPr="00BE337F">
        <w:rPr>
          <w:noProof/>
          <w:color w:val="auto"/>
        </w:rPr>
        <w:fldChar w:fldCharType="begin"/>
      </w:r>
      <w:r w:rsidRPr="00BE337F">
        <w:rPr>
          <w:noProof/>
          <w:color w:val="auto"/>
        </w:rPr>
        <w:instrText xml:space="preserve"> SEQ Figure \* ARABIC </w:instrText>
      </w:r>
      <w:r w:rsidRPr="00BE337F">
        <w:rPr>
          <w:noProof/>
          <w:color w:val="auto"/>
        </w:rPr>
        <w:fldChar w:fldCharType="separate"/>
      </w:r>
      <w:r w:rsidRPr="00BE337F">
        <w:rPr>
          <w:noProof/>
          <w:color w:val="auto"/>
        </w:rPr>
        <w:t>18</w:t>
      </w:r>
      <w:r w:rsidRPr="00BE337F">
        <w:rPr>
          <w:noProof/>
          <w:color w:val="auto"/>
        </w:rPr>
        <w:fldChar w:fldCharType="end"/>
      </w:r>
      <w:r w:rsidRPr="00BE337F">
        <w:rPr>
          <w:noProof/>
          <w:color w:val="auto"/>
        </w:rPr>
        <w:t>: Projected EU technology mix to 2035: status quo (in % of broadband subscriptions)</w:t>
      </w:r>
      <w:bookmarkEnd w:id="185"/>
    </w:p>
    <w:p w14:paraId="7330B34B" w14:textId="70CD7941" w:rsidR="009B567E" w:rsidRPr="00DE264C" w:rsidRDefault="009B567E" w:rsidP="009B567E">
      <w:pPr>
        <w:spacing w:after="160" w:line="259" w:lineRule="auto"/>
        <w:jc w:val="left"/>
        <w:rPr>
          <w:noProof/>
        </w:rPr>
      </w:pPr>
      <w:r w:rsidRPr="00DE264C">
        <w:rPr>
          <w:noProof/>
          <w:lang w:eastAsia="en-GB"/>
        </w:rPr>
        <w:drawing>
          <wp:inline distT="0" distB="0" distL="0" distR="0" wp14:anchorId="012A680E" wp14:editId="6BCDF857">
            <wp:extent cx="5593080" cy="3185160"/>
            <wp:effectExtent l="0" t="0" r="7620" b="0"/>
            <wp:docPr id="287419590" name="Picture 6" descr="Diagramm 1,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iagramm 1, Chart elemen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93080" cy="3185160"/>
                    </a:xfrm>
                    <a:prstGeom prst="rect">
                      <a:avLst/>
                    </a:prstGeom>
                    <a:noFill/>
                    <a:ln>
                      <a:noFill/>
                    </a:ln>
                  </pic:spPr>
                </pic:pic>
              </a:graphicData>
            </a:graphic>
          </wp:inline>
        </w:drawing>
      </w:r>
      <w:r w:rsidRPr="00DE264C">
        <w:rPr>
          <w:noProof/>
        </w:rPr>
        <w:t> </w:t>
      </w:r>
    </w:p>
    <w:p w14:paraId="053C8DE5" w14:textId="77777777" w:rsidR="009B567E" w:rsidRPr="00292895" w:rsidRDefault="009B567E" w:rsidP="00706B4B">
      <w:pPr>
        <w:jc w:val="left"/>
        <w:rPr>
          <w:i/>
          <w:noProof/>
          <w:sz w:val="18"/>
          <w:szCs w:val="18"/>
        </w:rPr>
      </w:pPr>
      <w:r w:rsidRPr="00292895">
        <w:rPr>
          <w:i/>
          <w:noProof/>
          <w:sz w:val="18"/>
          <w:szCs w:val="18"/>
        </w:rPr>
        <w:t>Source: WIK based on FTTH Council (2025) and WIK market potential model. </w:t>
      </w:r>
    </w:p>
    <w:p w14:paraId="4265005D" w14:textId="552E42CE" w:rsidR="00D947E6" w:rsidRPr="00DE264C" w:rsidRDefault="00C4135B" w:rsidP="00F37C86">
      <w:pPr>
        <w:spacing w:line="240" w:lineRule="auto"/>
        <w:rPr>
          <w:rFonts w:eastAsia="Calibri"/>
          <w:noProof/>
        </w:rPr>
      </w:pPr>
      <w:r w:rsidRPr="00292895">
        <w:rPr>
          <w:noProof/>
        </w:rPr>
        <w:t>Concerning</w:t>
      </w:r>
      <w:r w:rsidR="00934598" w:rsidRPr="00292895">
        <w:rPr>
          <w:noProof/>
        </w:rPr>
        <w:t xml:space="preserve"> the expectations </w:t>
      </w:r>
      <w:r w:rsidRPr="00292895">
        <w:rPr>
          <w:noProof/>
        </w:rPr>
        <w:t xml:space="preserve">related to FTTH </w:t>
      </w:r>
      <w:r w:rsidR="00934598" w:rsidRPr="00292895">
        <w:rPr>
          <w:noProof/>
        </w:rPr>
        <w:t xml:space="preserve">investment </w:t>
      </w:r>
      <w:r w:rsidR="002333CC">
        <w:rPr>
          <w:noProof/>
        </w:rPr>
        <w:t>under</w:t>
      </w:r>
      <w:r w:rsidR="002333CC" w:rsidRPr="00292895">
        <w:rPr>
          <w:noProof/>
        </w:rPr>
        <w:t xml:space="preserve"> </w:t>
      </w:r>
      <w:r w:rsidR="00934598" w:rsidRPr="00292895">
        <w:rPr>
          <w:noProof/>
        </w:rPr>
        <w:t>the status quo,</w:t>
      </w:r>
      <w:r w:rsidRPr="00292895">
        <w:rPr>
          <w:noProof/>
        </w:rPr>
        <w:t xml:space="preserve"> </w:t>
      </w:r>
      <w:r w:rsidR="00A34A5F" w:rsidRPr="00292895">
        <w:rPr>
          <w:noProof/>
        </w:rPr>
        <w:t>t</w:t>
      </w:r>
      <w:r w:rsidR="00076641" w:rsidRPr="00292895">
        <w:rPr>
          <w:noProof/>
        </w:rPr>
        <w:t xml:space="preserve">he expected persistence of copper and cable networks until 2035 and beyond has important implications for the evolution of the investment gap (i.e. the difference between </w:t>
      </w:r>
      <w:r w:rsidR="0068242C">
        <w:rPr>
          <w:noProof/>
        </w:rPr>
        <w:t>C</w:t>
      </w:r>
      <w:r w:rsidR="00076641" w:rsidRPr="00292895">
        <w:rPr>
          <w:noProof/>
        </w:rPr>
        <w:t>apex required to achieve full coverage and the capex that is likely to be invested).</w:t>
      </w:r>
      <w:r w:rsidR="00C85DCC">
        <w:rPr>
          <w:rFonts w:eastAsia="Calibri"/>
          <w:noProof/>
        </w:rPr>
        <w:t xml:space="preserve"> </w:t>
      </w:r>
      <w:r w:rsidR="65F18926" w:rsidRPr="00DE264C">
        <w:rPr>
          <w:noProof/>
        </w:rPr>
        <w:t>According to the WIK study prepared for the Commission published in 2023</w:t>
      </w:r>
      <w:r w:rsidR="009B7619" w:rsidRPr="00DE264C">
        <w:rPr>
          <w:rStyle w:val="FootnoteReference"/>
          <w:noProof/>
        </w:rPr>
        <w:footnoteReference w:id="179"/>
      </w:r>
      <w:r w:rsidR="65F18926" w:rsidRPr="00DE264C">
        <w:rPr>
          <w:noProof/>
        </w:rPr>
        <w:t xml:space="preserve"> based on data from 2021, there was a remaining Capex requirement of approximately EUR 114 billion to achieve 100% coverage of Fibr</w:t>
      </w:r>
      <w:r w:rsidR="00FE0039">
        <w:rPr>
          <w:noProof/>
        </w:rPr>
        <w:t>e</w:t>
      </w:r>
      <w:r w:rsidR="65F18926" w:rsidRPr="00DE264C">
        <w:rPr>
          <w:noProof/>
        </w:rPr>
        <w:t>-to-the-Premise (FTTP)</w:t>
      </w:r>
      <w:r w:rsidR="7BCC21B5" w:rsidRPr="00DE264C">
        <w:rPr>
          <w:noProof/>
        </w:rPr>
        <w:t xml:space="preserve"> </w:t>
      </w:r>
      <w:r w:rsidR="65F18926" w:rsidRPr="00DE264C">
        <w:rPr>
          <w:noProof/>
        </w:rPr>
        <w:t xml:space="preserve">EU-wide, of which EUR 74 billion was estimated to be economically viable without subsidies in a situation </w:t>
      </w:r>
      <w:r w:rsidR="65F18926" w:rsidRPr="00DE264C">
        <w:rPr>
          <w:b/>
          <w:bCs/>
          <w:noProof/>
        </w:rPr>
        <w:t>of no network duplication (i.e. an operator resulting in take-up of around 75% or more),</w:t>
      </w:r>
      <w:r w:rsidR="65F18926" w:rsidRPr="00DE264C">
        <w:rPr>
          <w:noProof/>
        </w:rPr>
        <w:t xml:space="preserve"> resulting in </w:t>
      </w:r>
      <w:r w:rsidR="0075786D">
        <w:rPr>
          <w:noProof/>
        </w:rPr>
        <w:t>an</w:t>
      </w:r>
      <w:r w:rsidR="65F18926" w:rsidRPr="00DE264C">
        <w:rPr>
          <w:noProof/>
        </w:rPr>
        <w:t xml:space="preserve"> ‘investment gap’(</w:t>
      </w:r>
      <w:r w:rsidR="0069767D" w:rsidRPr="00DE264C">
        <w:rPr>
          <w:noProof/>
        </w:rPr>
        <w:t>i.e.</w:t>
      </w:r>
      <w:r w:rsidR="65F18926" w:rsidRPr="00DE264C">
        <w:rPr>
          <w:noProof/>
        </w:rPr>
        <w:t xml:space="preserve"> here defined as a difference between total investments needed and private funding) under this assumption of EUR</w:t>
      </w:r>
      <w:r w:rsidR="00EB37B9">
        <w:rPr>
          <w:noProof/>
        </w:rPr>
        <w:t> </w:t>
      </w:r>
      <w:r w:rsidR="65F18926" w:rsidRPr="00DE264C">
        <w:rPr>
          <w:noProof/>
        </w:rPr>
        <w:t xml:space="preserve">40 billion. </w:t>
      </w:r>
      <w:r w:rsidR="00155023">
        <w:rPr>
          <w:noProof/>
        </w:rPr>
        <w:t>If a combination of FTTP and FWA is used (i.e. no full fibre coverage), t</w:t>
      </w:r>
      <w:r w:rsidR="65F18926" w:rsidRPr="00DE264C">
        <w:rPr>
          <w:noProof/>
        </w:rPr>
        <w:t>he total investment figure would be reduced to around EUR</w:t>
      </w:r>
      <w:r w:rsidR="00EB37B9">
        <w:rPr>
          <w:noProof/>
        </w:rPr>
        <w:t> </w:t>
      </w:r>
      <w:r w:rsidR="65F18926" w:rsidRPr="00DE264C">
        <w:rPr>
          <w:noProof/>
        </w:rPr>
        <w:t>108 billion, of which around EUR</w:t>
      </w:r>
      <w:r w:rsidR="00EB37B9">
        <w:rPr>
          <w:noProof/>
        </w:rPr>
        <w:t> </w:t>
      </w:r>
      <w:r w:rsidR="65F18926" w:rsidRPr="00DE264C">
        <w:rPr>
          <w:noProof/>
        </w:rPr>
        <w:t xml:space="preserve">29 billion would be needed in </w:t>
      </w:r>
      <w:r w:rsidR="00155023">
        <w:rPr>
          <w:noProof/>
        </w:rPr>
        <w:t xml:space="preserve">public </w:t>
      </w:r>
      <w:r w:rsidR="008D6673">
        <w:rPr>
          <w:noProof/>
        </w:rPr>
        <w:t>investments</w:t>
      </w:r>
      <w:r w:rsidR="65F18926" w:rsidRPr="00DE264C">
        <w:rPr>
          <w:noProof/>
        </w:rPr>
        <w:t xml:space="preserve">, if 5G FWA is used for the most remote households. Based on the most recent </w:t>
      </w:r>
      <w:r w:rsidR="000647A8" w:rsidRPr="00DE264C">
        <w:rPr>
          <w:noProof/>
        </w:rPr>
        <w:t xml:space="preserve">Digital Decade </w:t>
      </w:r>
      <w:r w:rsidR="65F18926" w:rsidRPr="00DE264C">
        <w:rPr>
          <w:noProof/>
        </w:rPr>
        <w:t xml:space="preserve">data, since 2021, FTTP coverage has increased from 50% to 69% (in 2024). The remaining investment (Capex) needed to achieve full FTTH coverage would therefore be significantly less than estimated in 2023. However, the shortfall cannot be calculated with precision. This is because the Capex required to deploy FTTH varies widely depending on a variety of factors, while economic viability further depends on ARPU and take-up. </w:t>
      </w:r>
    </w:p>
    <w:p w14:paraId="11B80479" w14:textId="4C966F21" w:rsidR="00D947E6" w:rsidRPr="00DE264C" w:rsidRDefault="1E4B2051" w:rsidP="00EB37B9">
      <w:pPr>
        <w:spacing w:line="240" w:lineRule="auto"/>
        <w:rPr>
          <w:rFonts w:eastAsia="Calibri"/>
          <w:noProof/>
        </w:rPr>
      </w:pPr>
      <w:r w:rsidRPr="00DE264C">
        <w:rPr>
          <w:noProof/>
        </w:rPr>
        <w:t>Access regulation is currently based on SMP and on symmetric regulation</w:t>
      </w:r>
      <w:r w:rsidR="006D1A13" w:rsidRPr="00DE264C">
        <w:rPr>
          <w:noProof/>
          <w:vertAlign w:val="superscript"/>
        </w:rPr>
        <w:footnoteReference w:id="180"/>
      </w:r>
      <w:r w:rsidRPr="00DE264C">
        <w:rPr>
          <w:noProof/>
        </w:rPr>
        <w:t>. Under the SMP regime, regulatory intervention on a specific product and geographic market can be justified if proven that these markets are characterised by high barriers to entry</w:t>
      </w:r>
      <w:r w:rsidR="076AF79E" w:rsidRPr="00DE264C">
        <w:rPr>
          <w:noProof/>
        </w:rPr>
        <w:t>,</w:t>
      </w:r>
      <w:r w:rsidRPr="00DE264C">
        <w:rPr>
          <w:noProof/>
        </w:rPr>
        <w:t xml:space="preserve"> do not tend towards effective competition, and that competition law instruments are insufficient to tackle the identified competition problems</w:t>
      </w:r>
      <w:r w:rsidR="00485267">
        <w:rPr>
          <w:noProof/>
        </w:rPr>
        <w:t xml:space="preserve"> (so called ‘three criteria test’)</w:t>
      </w:r>
      <w:r w:rsidR="00137B71">
        <w:rPr>
          <w:rStyle w:val="FootnoteReference"/>
          <w:noProof/>
        </w:rPr>
        <w:footnoteReference w:id="181"/>
      </w:r>
      <w:r w:rsidRPr="00DE264C">
        <w:rPr>
          <w:noProof/>
        </w:rPr>
        <w:t>. An undertaking is deemed to have SMP, if, either individually or jointly with others, it enjoys a position equivalent to dominance, i.e. a position of economic strength, which gives it the power to behave to an appreciable extent independently of competitors, customers and ultimately consumers. Guidance on market definition and SMP assessment has been provided in the 2018 SMP Guidelines</w:t>
      </w:r>
      <w:r w:rsidR="006D1A13" w:rsidRPr="00DE264C">
        <w:rPr>
          <w:noProof/>
          <w:vertAlign w:val="superscript"/>
        </w:rPr>
        <w:footnoteReference w:id="182"/>
      </w:r>
      <w:r w:rsidRPr="00DE264C">
        <w:rPr>
          <w:noProof/>
        </w:rPr>
        <w:t xml:space="preserve"> and in the 2020 Recommendation on Relevant Markets (RRM)</w:t>
      </w:r>
      <w:r w:rsidR="006D1A13" w:rsidRPr="00DE264C">
        <w:rPr>
          <w:noProof/>
          <w:vertAlign w:val="superscript"/>
        </w:rPr>
        <w:footnoteReference w:id="183"/>
      </w:r>
      <w:r w:rsidRPr="00DE264C">
        <w:rPr>
          <w:noProof/>
        </w:rPr>
        <w:t>. Under the RRM two markets are currently recommended as susceptible for ex ante regulation (i.e. the wholesale local access market and the market for wholesale dedicated capacity). Additionally, guidelines on the imposition of remedies were provided in 2024 in the Gigabit Recommendation</w:t>
      </w:r>
      <w:r w:rsidR="006D1A13" w:rsidRPr="00DE264C">
        <w:rPr>
          <w:rStyle w:val="FootnoteReference"/>
          <w:noProof/>
        </w:rPr>
        <w:footnoteReference w:id="184"/>
      </w:r>
      <w:r w:rsidRPr="00DE264C">
        <w:rPr>
          <w:noProof/>
        </w:rPr>
        <w:t xml:space="preserve">. </w:t>
      </w:r>
    </w:p>
    <w:p w14:paraId="1276DCA4" w14:textId="30718C4B" w:rsidR="00D947E6" w:rsidRPr="00DE264C" w:rsidRDefault="7A885D37" w:rsidP="003A564C">
      <w:pPr>
        <w:spacing w:line="240" w:lineRule="auto"/>
        <w:rPr>
          <w:noProof/>
        </w:rPr>
      </w:pPr>
      <w:r w:rsidRPr="00DE264C">
        <w:rPr>
          <w:noProof/>
        </w:rPr>
        <w:t xml:space="preserve">As explained above, given the differentiated pace of </w:t>
      </w:r>
      <w:r w:rsidR="36124529" w:rsidRPr="00DE264C">
        <w:rPr>
          <w:noProof/>
        </w:rPr>
        <w:t xml:space="preserve">deployment of </w:t>
      </w:r>
      <w:r w:rsidR="00F24F9F" w:rsidRPr="00DE264C">
        <w:rPr>
          <w:noProof/>
        </w:rPr>
        <w:t>fibre</w:t>
      </w:r>
      <w:r w:rsidR="36124529" w:rsidRPr="00DE264C">
        <w:rPr>
          <w:noProof/>
        </w:rPr>
        <w:t xml:space="preserve"> network at</w:t>
      </w:r>
      <w:r w:rsidR="0667FB35" w:rsidRPr="00DE264C">
        <w:rPr>
          <w:noProof/>
        </w:rPr>
        <w:t xml:space="preserve"> national and sub-</w:t>
      </w:r>
      <w:r w:rsidR="00ED556B" w:rsidRPr="00DE264C">
        <w:rPr>
          <w:noProof/>
        </w:rPr>
        <w:t>national level</w:t>
      </w:r>
      <w:r w:rsidR="0667FB35" w:rsidRPr="00DE264C">
        <w:rPr>
          <w:noProof/>
        </w:rPr>
        <w:t xml:space="preserve"> and the need to </w:t>
      </w:r>
      <w:r w:rsidR="20BCA601" w:rsidRPr="00DE264C">
        <w:rPr>
          <w:noProof/>
        </w:rPr>
        <w:t xml:space="preserve">adapt the </w:t>
      </w:r>
      <w:r w:rsidR="00411AD5" w:rsidRPr="00DE264C">
        <w:rPr>
          <w:noProof/>
        </w:rPr>
        <w:t>regulati</w:t>
      </w:r>
      <w:r w:rsidR="20BCA601" w:rsidRPr="00DE264C">
        <w:rPr>
          <w:noProof/>
        </w:rPr>
        <w:t>on to the competitive situation</w:t>
      </w:r>
      <w:r w:rsidR="0667FB35" w:rsidRPr="00DE264C">
        <w:rPr>
          <w:noProof/>
        </w:rPr>
        <w:t xml:space="preserve"> at regional/local areas, evidence gathering by NRAs is key to inform their decisions and </w:t>
      </w:r>
      <w:r w:rsidR="5D8EC362" w:rsidRPr="00DE264C">
        <w:rPr>
          <w:noProof/>
        </w:rPr>
        <w:t>recommend policy interventions</w:t>
      </w:r>
      <w:r w:rsidR="7DA6AD91" w:rsidRPr="00DE264C">
        <w:rPr>
          <w:noProof/>
        </w:rPr>
        <w:t xml:space="preserve"> to support the deployment and take up of </w:t>
      </w:r>
      <w:r w:rsidR="004931E8" w:rsidRPr="00DE264C">
        <w:rPr>
          <w:noProof/>
        </w:rPr>
        <w:t>fibre</w:t>
      </w:r>
      <w:r w:rsidR="5D8EC362" w:rsidRPr="00DE264C">
        <w:rPr>
          <w:noProof/>
        </w:rPr>
        <w:t xml:space="preserve">. The </w:t>
      </w:r>
      <w:r w:rsidR="00A244B6" w:rsidRPr="00DE264C">
        <w:rPr>
          <w:noProof/>
        </w:rPr>
        <w:t>current</w:t>
      </w:r>
      <w:r w:rsidR="5D8EC362" w:rsidRPr="00DE264C">
        <w:rPr>
          <w:noProof/>
        </w:rPr>
        <w:t xml:space="preserve"> means of evidence gathering (Article</w:t>
      </w:r>
      <w:r w:rsidR="00A907F2">
        <w:rPr>
          <w:noProof/>
        </w:rPr>
        <w:t> </w:t>
      </w:r>
      <w:r w:rsidR="5D8EC362" w:rsidRPr="00DE264C">
        <w:rPr>
          <w:noProof/>
        </w:rPr>
        <w:t>22</w:t>
      </w:r>
      <w:r w:rsidR="002A3C41" w:rsidRPr="00DE264C">
        <w:rPr>
          <w:noProof/>
        </w:rPr>
        <w:t xml:space="preserve"> EECC</w:t>
      </w:r>
      <w:r w:rsidR="5D8EC362" w:rsidRPr="00DE264C">
        <w:rPr>
          <w:noProof/>
        </w:rPr>
        <w:t>) would remain limited</w:t>
      </w:r>
      <w:r w:rsidR="1CDD2A6C" w:rsidRPr="00DE264C">
        <w:rPr>
          <w:noProof/>
        </w:rPr>
        <w:t xml:space="preserve"> in the baseline scenario</w:t>
      </w:r>
      <w:r w:rsidR="79E2588C" w:rsidRPr="00DE264C">
        <w:rPr>
          <w:noProof/>
        </w:rPr>
        <w:t xml:space="preserve"> and </w:t>
      </w:r>
      <w:r w:rsidR="06D09C10" w:rsidRPr="00DE264C">
        <w:rPr>
          <w:noProof/>
        </w:rPr>
        <w:t>insufficient for the scope</w:t>
      </w:r>
      <w:r w:rsidR="49902809" w:rsidRPr="00DE264C">
        <w:rPr>
          <w:noProof/>
        </w:rPr>
        <w:t>.</w:t>
      </w:r>
      <w:r w:rsidR="001739BA" w:rsidRPr="00DE264C">
        <w:rPr>
          <w:noProof/>
        </w:rPr>
        <w:t xml:space="preserve"> </w:t>
      </w:r>
      <w:r w:rsidR="008C421B" w:rsidRPr="00DE264C">
        <w:rPr>
          <w:noProof/>
        </w:rPr>
        <w:t>Furthermore</w:t>
      </w:r>
      <w:r w:rsidR="00F6286A" w:rsidRPr="00DE264C">
        <w:rPr>
          <w:noProof/>
        </w:rPr>
        <w:t xml:space="preserve">, </w:t>
      </w:r>
      <w:r w:rsidR="002A3C41" w:rsidRPr="00DE264C">
        <w:rPr>
          <w:noProof/>
        </w:rPr>
        <w:t>the baseline scenario</w:t>
      </w:r>
      <w:r w:rsidR="00201636" w:rsidRPr="00DE264C">
        <w:rPr>
          <w:noProof/>
        </w:rPr>
        <w:t xml:space="preserve">, </w:t>
      </w:r>
      <w:r w:rsidR="000C2A4E" w:rsidRPr="00DE264C">
        <w:rPr>
          <w:noProof/>
        </w:rPr>
        <w:t xml:space="preserve">despite its objective to ensure </w:t>
      </w:r>
      <w:r w:rsidR="3DE20152" w:rsidRPr="00DE264C">
        <w:rPr>
          <w:noProof/>
        </w:rPr>
        <w:t xml:space="preserve">a </w:t>
      </w:r>
      <w:r w:rsidR="000C2A4E" w:rsidRPr="00DE264C">
        <w:rPr>
          <w:noProof/>
        </w:rPr>
        <w:t xml:space="preserve">consistent </w:t>
      </w:r>
      <w:r w:rsidR="00B86EC8" w:rsidRPr="00DE264C">
        <w:rPr>
          <w:noProof/>
        </w:rPr>
        <w:t>regulat</w:t>
      </w:r>
      <w:r w:rsidR="00B52590" w:rsidRPr="00DE264C">
        <w:rPr>
          <w:noProof/>
        </w:rPr>
        <w:t>ory approach</w:t>
      </w:r>
      <w:r w:rsidR="000C2A4E" w:rsidRPr="00DE264C">
        <w:rPr>
          <w:noProof/>
        </w:rPr>
        <w:t>,</w:t>
      </w:r>
      <w:r w:rsidR="00B86EC8" w:rsidRPr="00DE264C">
        <w:rPr>
          <w:noProof/>
        </w:rPr>
        <w:t xml:space="preserve"> cannot</w:t>
      </w:r>
      <w:r w:rsidR="005D28A1" w:rsidRPr="00DE264C">
        <w:rPr>
          <w:noProof/>
        </w:rPr>
        <w:t xml:space="preserve"> prevent </w:t>
      </w:r>
      <w:r w:rsidR="00B86EC8" w:rsidRPr="00DE264C">
        <w:rPr>
          <w:noProof/>
        </w:rPr>
        <w:t xml:space="preserve">patchy implementation of </w:t>
      </w:r>
      <w:r w:rsidR="00B52590" w:rsidRPr="00DE264C">
        <w:rPr>
          <w:noProof/>
        </w:rPr>
        <w:t>access</w:t>
      </w:r>
      <w:r w:rsidR="00B86EC8" w:rsidRPr="00DE264C">
        <w:rPr>
          <w:noProof/>
        </w:rPr>
        <w:t xml:space="preserve"> remedies</w:t>
      </w:r>
      <w:r w:rsidR="53B1F811" w:rsidRPr="00DE264C">
        <w:rPr>
          <w:noProof/>
        </w:rPr>
        <w:t>,</w:t>
      </w:r>
      <w:r w:rsidR="1025202D" w:rsidRPr="00DE264C">
        <w:rPr>
          <w:noProof/>
        </w:rPr>
        <w:t xml:space="preserve"> whic</w:t>
      </w:r>
      <w:r w:rsidR="2A107BC1" w:rsidRPr="00DE264C">
        <w:rPr>
          <w:noProof/>
        </w:rPr>
        <w:t>h</w:t>
      </w:r>
      <w:r w:rsidR="0C2EE8B9" w:rsidRPr="00DE264C">
        <w:rPr>
          <w:noProof/>
        </w:rPr>
        <w:t xml:space="preserve"> constitute</w:t>
      </w:r>
      <w:r w:rsidR="36479580" w:rsidRPr="00DE264C">
        <w:rPr>
          <w:noProof/>
        </w:rPr>
        <w:t>s</w:t>
      </w:r>
      <w:r w:rsidR="0C2EE8B9" w:rsidRPr="00DE264C">
        <w:rPr>
          <w:noProof/>
        </w:rPr>
        <w:t xml:space="preserve"> </w:t>
      </w:r>
      <w:r w:rsidR="038FF171" w:rsidRPr="00DE264C">
        <w:rPr>
          <w:i/>
          <w:iCs/>
          <w:noProof/>
        </w:rPr>
        <w:t xml:space="preserve">per se </w:t>
      </w:r>
      <w:r w:rsidR="038FF171" w:rsidRPr="00DE264C">
        <w:rPr>
          <w:noProof/>
        </w:rPr>
        <w:t>a barrie</w:t>
      </w:r>
      <w:r w:rsidR="0C2EE8B9" w:rsidRPr="00DE264C">
        <w:rPr>
          <w:noProof/>
        </w:rPr>
        <w:t xml:space="preserve">r to the </w:t>
      </w:r>
      <w:r w:rsidR="61A41A0C" w:rsidRPr="00DE264C">
        <w:rPr>
          <w:noProof/>
        </w:rPr>
        <w:t>provision</w:t>
      </w:r>
      <w:r w:rsidR="0C2EE8B9" w:rsidRPr="00DE264C">
        <w:rPr>
          <w:noProof/>
        </w:rPr>
        <w:t xml:space="preserve"> of services </w:t>
      </w:r>
      <w:r w:rsidR="104A84EC" w:rsidRPr="00DE264C">
        <w:rPr>
          <w:noProof/>
        </w:rPr>
        <w:t>across</w:t>
      </w:r>
      <w:r w:rsidR="0C2EE8B9" w:rsidRPr="00DE264C">
        <w:rPr>
          <w:noProof/>
        </w:rPr>
        <w:t xml:space="preserve"> </w:t>
      </w:r>
      <w:r w:rsidR="637AC653" w:rsidRPr="00DE264C">
        <w:rPr>
          <w:noProof/>
        </w:rPr>
        <w:t>different Member States</w:t>
      </w:r>
      <w:r w:rsidR="007D6299" w:rsidRPr="00DE264C">
        <w:rPr>
          <w:noProof/>
        </w:rPr>
        <w:t xml:space="preserve">, </w:t>
      </w:r>
      <w:r w:rsidR="00EA16EF" w:rsidRPr="00DE264C">
        <w:rPr>
          <w:noProof/>
        </w:rPr>
        <w:t>undermining</w:t>
      </w:r>
      <w:r w:rsidR="007D6299" w:rsidRPr="00DE264C">
        <w:rPr>
          <w:noProof/>
        </w:rPr>
        <w:t xml:space="preserve"> </w:t>
      </w:r>
      <w:r w:rsidR="00BD4880">
        <w:rPr>
          <w:noProof/>
        </w:rPr>
        <w:t xml:space="preserve">the </w:t>
      </w:r>
      <w:r w:rsidR="007D6299" w:rsidRPr="00DE264C">
        <w:rPr>
          <w:noProof/>
        </w:rPr>
        <w:t xml:space="preserve">single market </w:t>
      </w:r>
      <w:r w:rsidR="00EA16EF" w:rsidRPr="00DE264C">
        <w:rPr>
          <w:noProof/>
        </w:rPr>
        <w:t>objective</w:t>
      </w:r>
      <w:r w:rsidR="637AC653" w:rsidRPr="00DE264C">
        <w:rPr>
          <w:noProof/>
        </w:rPr>
        <w:t>.</w:t>
      </w:r>
      <w:r w:rsidR="004E30D4" w:rsidRPr="00DE264C">
        <w:rPr>
          <w:noProof/>
        </w:rPr>
        <w:t xml:space="preserve"> </w:t>
      </w:r>
    </w:p>
    <w:p w14:paraId="67DDF18A" w14:textId="51A6B569" w:rsidR="00D947E6" w:rsidRPr="00DE264C" w:rsidRDefault="4777222F" w:rsidP="003A564C">
      <w:pPr>
        <w:spacing w:line="240" w:lineRule="auto"/>
        <w:rPr>
          <w:noProof/>
        </w:rPr>
      </w:pPr>
      <w:r w:rsidRPr="00DE264C">
        <w:rPr>
          <w:noProof/>
        </w:rPr>
        <w:t xml:space="preserve">In conclusion, </w:t>
      </w:r>
      <w:r w:rsidR="0079651B" w:rsidRPr="00DE264C">
        <w:rPr>
          <w:noProof/>
        </w:rPr>
        <w:t xml:space="preserve">under </w:t>
      </w:r>
      <w:r w:rsidR="050681C5" w:rsidRPr="00DE264C">
        <w:rPr>
          <w:noProof/>
        </w:rPr>
        <w:t>the</w:t>
      </w:r>
      <w:r w:rsidR="0079651B" w:rsidRPr="00DE264C">
        <w:rPr>
          <w:noProof/>
        </w:rPr>
        <w:t xml:space="preserve"> base line scenario, </w:t>
      </w:r>
      <w:r w:rsidR="18BD7255" w:rsidRPr="00DE264C">
        <w:rPr>
          <w:noProof/>
        </w:rPr>
        <w:t xml:space="preserve">the timeline for </w:t>
      </w:r>
      <w:r w:rsidR="00675F7C" w:rsidRPr="00DE264C">
        <w:rPr>
          <w:noProof/>
        </w:rPr>
        <w:t>fibre</w:t>
      </w:r>
      <w:r w:rsidR="18BD7255" w:rsidRPr="00DE264C">
        <w:rPr>
          <w:noProof/>
        </w:rPr>
        <w:t xml:space="preserve"> deployment and switch</w:t>
      </w:r>
      <w:r w:rsidR="2F27F4C6" w:rsidRPr="00DE264C">
        <w:rPr>
          <w:noProof/>
        </w:rPr>
        <w:t>-</w:t>
      </w:r>
      <w:r w:rsidR="18BD7255" w:rsidRPr="00DE264C">
        <w:rPr>
          <w:noProof/>
        </w:rPr>
        <w:t>off of copper</w:t>
      </w:r>
      <w:r w:rsidR="005665B3" w:rsidRPr="00DE264C">
        <w:rPr>
          <w:noProof/>
        </w:rPr>
        <w:t xml:space="preserve"> </w:t>
      </w:r>
      <w:r w:rsidR="18BD7255" w:rsidRPr="00DE264C">
        <w:rPr>
          <w:noProof/>
        </w:rPr>
        <w:t>would be entirely in the hands of operators with the shortcomings identified above</w:t>
      </w:r>
      <w:r w:rsidR="03C49149" w:rsidRPr="00DE264C">
        <w:rPr>
          <w:noProof/>
        </w:rPr>
        <w:t>.</w:t>
      </w:r>
      <w:r w:rsidR="18BD7255" w:rsidRPr="00DE264C">
        <w:rPr>
          <w:noProof/>
        </w:rPr>
        <w:t xml:space="preserve"> NRAs could only intervene to </w:t>
      </w:r>
      <w:r w:rsidR="54E0E58D" w:rsidRPr="00DE264C">
        <w:rPr>
          <w:noProof/>
        </w:rPr>
        <w:t>preserve</w:t>
      </w:r>
      <w:r w:rsidR="18BD7255" w:rsidRPr="00DE264C">
        <w:rPr>
          <w:noProof/>
        </w:rPr>
        <w:t xml:space="preserve"> competition </w:t>
      </w:r>
      <w:r w:rsidR="006F6566" w:rsidRPr="00DE264C">
        <w:rPr>
          <w:noProof/>
        </w:rPr>
        <w:t xml:space="preserve">at </w:t>
      </w:r>
      <w:r w:rsidR="000A204D" w:rsidRPr="00DE264C">
        <w:rPr>
          <w:noProof/>
        </w:rPr>
        <w:t>Member State level</w:t>
      </w:r>
      <w:r w:rsidR="18BD7255" w:rsidRPr="00DE264C">
        <w:rPr>
          <w:noProof/>
        </w:rPr>
        <w:t xml:space="preserve"> and end-users' rights without being able to </w:t>
      </w:r>
      <w:r w:rsidR="004931E8" w:rsidRPr="00DE264C">
        <w:rPr>
          <w:noProof/>
        </w:rPr>
        <w:t>ensure</w:t>
      </w:r>
      <w:r w:rsidR="18BD7255" w:rsidRPr="00DE264C">
        <w:rPr>
          <w:noProof/>
        </w:rPr>
        <w:t xml:space="preserve"> </w:t>
      </w:r>
      <w:r w:rsidR="775EF14A" w:rsidRPr="00DE264C">
        <w:rPr>
          <w:noProof/>
        </w:rPr>
        <w:t xml:space="preserve">to </w:t>
      </w:r>
      <w:r w:rsidR="18BD7255" w:rsidRPr="00DE264C">
        <w:rPr>
          <w:noProof/>
        </w:rPr>
        <w:t>the latter the high level of connectivity services they may require.</w:t>
      </w:r>
      <w:r w:rsidR="476A08BD" w:rsidRPr="00DE264C">
        <w:rPr>
          <w:noProof/>
        </w:rPr>
        <w:t xml:space="preserve"> </w:t>
      </w:r>
      <w:r w:rsidR="00087ACC" w:rsidRPr="00DE264C">
        <w:rPr>
          <w:noProof/>
        </w:rPr>
        <w:t xml:space="preserve">This leads to </w:t>
      </w:r>
      <w:r w:rsidR="008F7AEF" w:rsidRPr="00DE264C">
        <w:rPr>
          <w:noProof/>
        </w:rPr>
        <w:t xml:space="preserve">market fragmentation </w:t>
      </w:r>
      <w:r w:rsidR="00FB12B3" w:rsidRPr="00DE264C">
        <w:rPr>
          <w:noProof/>
        </w:rPr>
        <w:t>and</w:t>
      </w:r>
      <w:r w:rsidR="42351D3A" w:rsidRPr="00DE264C">
        <w:rPr>
          <w:noProof/>
        </w:rPr>
        <w:t xml:space="preserve"> </w:t>
      </w:r>
      <w:r w:rsidR="09DAF965" w:rsidRPr="00DE264C">
        <w:rPr>
          <w:noProof/>
        </w:rPr>
        <w:t xml:space="preserve">regulatory </w:t>
      </w:r>
      <w:r w:rsidR="00113D69" w:rsidRPr="00DE264C">
        <w:rPr>
          <w:noProof/>
        </w:rPr>
        <w:t>unpredictability,</w:t>
      </w:r>
      <w:r w:rsidR="09DAF965" w:rsidRPr="00DE264C">
        <w:rPr>
          <w:noProof/>
        </w:rPr>
        <w:t xml:space="preserve"> and it</w:t>
      </w:r>
      <w:r w:rsidR="00FB12B3" w:rsidRPr="00DE264C">
        <w:rPr>
          <w:noProof/>
        </w:rPr>
        <w:t xml:space="preserve"> is not </w:t>
      </w:r>
      <w:r w:rsidR="00961134" w:rsidRPr="00DE264C">
        <w:rPr>
          <w:noProof/>
        </w:rPr>
        <w:t>contributing to the development of the internal market</w:t>
      </w:r>
      <w:r w:rsidR="2CD9DF11" w:rsidRPr="00DE264C">
        <w:rPr>
          <w:noProof/>
        </w:rPr>
        <w:t xml:space="preserve"> for electronic communications.</w:t>
      </w:r>
    </w:p>
    <w:p w14:paraId="26E4BDEB" w14:textId="6900E478" w:rsidR="004938B5" w:rsidRPr="00DE264C" w:rsidRDefault="00BD4F2F" w:rsidP="0069053E">
      <w:pPr>
        <w:pStyle w:val="Heading3"/>
        <w:tabs>
          <w:tab w:val="num" w:pos="7088"/>
        </w:tabs>
        <w:spacing w:before="240"/>
        <w:ind w:left="709"/>
        <w:rPr>
          <w:noProof/>
        </w:rPr>
      </w:pPr>
      <w:bookmarkStart w:id="186" w:name="_Toc214467720"/>
      <w:bookmarkStart w:id="187" w:name="_Toc215083743"/>
      <w:bookmarkStart w:id="188" w:name="_Toc219212511"/>
      <w:bookmarkStart w:id="189" w:name="_Toc219718166"/>
      <w:r w:rsidRPr="0069053E">
        <w:rPr>
          <w:noProof/>
        </w:rPr>
        <w:t>Spectrum</w:t>
      </w:r>
      <w:bookmarkEnd w:id="186"/>
      <w:bookmarkEnd w:id="187"/>
      <w:bookmarkEnd w:id="188"/>
      <w:bookmarkEnd w:id="189"/>
    </w:p>
    <w:p w14:paraId="74BCE580" w14:textId="77777777" w:rsidR="00451DC2" w:rsidRPr="00602574" w:rsidRDefault="00451DC2" w:rsidP="00053713">
      <w:pPr>
        <w:spacing w:line="240" w:lineRule="auto"/>
        <w:rPr>
          <w:noProof/>
        </w:rPr>
      </w:pPr>
      <w:r w:rsidRPr="00602574">
        <w:rPr>
          <w:noProof/>
        </w:rPr>
        <w:t xml:space="preserve">The current framework leaves Member States </w:t>
      </w:r>
      <w:r w:rsidRPr="00602574">
        <w:rPr>
          <w:b/>
          <w:bCs/>
          <w:noProof/>
        </w:rPr>
        <w:t>substantial discretion in designing assignment procedures, authorisation conditions, and pricing approaches.</w:t>
      </w:r>
      <w:r w:rsidRPr="00602574">
        <w:rPr>
          <w:noProof/>
        </w:rPr>
        <w:t xml:space="preserve"> This has resulted in a heterogeneous regulatory landscape and the absence of a coherent Single Market approach. This fragmentation was particularly evident in the assignment of the 5G pioneer bands, a process that unfolded over more than ten years and far beyond the planned schedule, delaying the availability of the corresponding services in many markets. Fragmentation is also illustrated by the variety of approaches to reserve prices. In a subset of auctions analysed in the Commission study, 6 out of 37 closed at the reserve price, suggesting that minimum prices may have been set too high to attract competitive bidding. Significant differences have also been observed in spectrum prices, coverage obligations and market-shaping measures</w:t>
      </w:r>
      <w:r w:rsidRPr="00602574">
        <w:rPr>
          <w:rStyle w:val="FootnoteReference"/>
          <w:noProof/>
        </w:rPr>
        <w:footnoteReference w:id="185"/>
      </w:r>
      <w:r w:rsidRPr="00602574">
        <w:rPr>
          <w:noProof/>
        </w:rPr>
        <w:t xml:space="preserve">. </w:t>
      </w:r>
    </w:p>
    <w:p w14:paraId="0DBD5D62" w14:textId="77777777" w:rsidR="00451DC2" w:rsidRPr="00602574" w:rsidRDefault="00451DC2" w:rsidP="00053713">
      <w:pPr>
        <w:spacing w:line="240" w:lineRule="auto"/>
        <w:rPr>
          <w:noProof/>
        </w:rPr>
      </w:pPr>
      <w:r w:rsidRPr="00602574">
        <w:rPr>
          <w:noProof/>
        </w:rPr>
        <w:t xml:space="preserve">The current regime has </w:t>
      </w:r>
      <w:r w:rsidRPr="00602574">
        <w:rPr>
          <w:b/>
          <w:bCs/>
          <w:noProof/>
        </w:rPr>
        <w:t>delivered competitive prices</w:t>
      </w:r>
      <w:r w:rsidRPr="00602574">
        <w:rPr>
          <w:noProof/>
        </w:rPr>
        <w:t xml:space="preserve"> for mobile connectivity for consumers across the EU, albeit with different levels and some exceptions.</w:t>
      </w:r>
      <w:r w:rsidRPr="00602574">
        <w:rPr>
          <w:rStyle w:val="FootnoteReference"/>
          <w:noProof/>
        </w:rPr>
        <w:footnoteReference w:id="186"/>
      </w:r>
      <w:r w:rsidRPr="00602574">
        <w:rPr>
          <w:noProof/>
        </w:rPr>
        <w:t xml:space="preserve"> While it has ensured spectrum availability and led to quasi-ubiquitous </w:t>
      </w:r>
      <w:r w:rsidRPr="00602574">
        <w:rPr>
          <w:b/>
          <w:bCs/>
          <w:noProof/>
        </w:rPr>
        <w:t>basic 5G coverage</w:t>
      </w:r>
      <w:r w:rsidRPr="00602574">
        <w:rPr>
          <w:noProof/>
        </w:rPr>
        <w:t xml:space="preserve">, it has </w:t>
      </w:r>
      <w:r w:rsidRPr="00602574">
        <w:rPr>
          <w:b/>
          <w:bCs/>
          <w:noProof/>
        </w:rPr>
        <w:t xml:space="preserve">not generated sufficient investment in high-quality 5G networks. </w:t>
      </w:r>
      <w:r w:rsidRPr="00602574">
        <w:rPr>
          <w:noProof/>
        </w:rPr>
        <w:t>As a result, performance outcomes in terms of speeds and quality are suboptimal in several Member States.</w:t>
      </w:r>
      <w:r w:rsidRPr="00602574">
        <w:rPr>
          <w:rStyle w:val="FootnoteReference"/>
          <w:noProof/>
        </w:rPr>
        <w:footnoteReference w:id="187"/>
      </w:r>
      <w:r w:rsidRPr="00602574">
        <w:rPr>
          <w:noProof/>
        </w:rPr>
        <w:t xml:space="preserve"> The </w:t>
      </w:r>
      <w:r w:rsidRPr="00602574">
        <w:rPr>
          <w:b/>
          <w:bCs/>
          <w:noProof/>
        </w:rPr>
        <w:t>weak outcomes</w:t>
      </w:r>
      <w:r w:rsidRPr="00602574">
        <w:rPr>
          <w:noProof/>
        </w:rPr>
        <w:t xml:space="preserve"> are linked to persistent gaps in mid-band 5G coverage, the slow rollout of 5G SA and insufficient network densification, which is likely to persist, as indicated by interviews with major operators on their deployment plans.</w:t>
      </w:r>
      <w:r w:rsidRPr="00602574">
        <w:rPr>
          <w:rStyle w:val="FootnoteReference"/>
          <w:noProof/>
        </w:rPr>
        <w:footnoteReference w:id="188"/>
      </w:r>
      <w:r w:rsidRPr="00602574">
        <w:rPr>
          <w:noProof/>
        </w:rPr>
        <w:t xml:space="preserve"> </w:t>
      </w:r>
    </w:p>
    <w:p w14:paraId="34B43213" w14:textId="671D1795" w:rsidR="00451DC2" w:rsidRPr="00602574" w:rsidRDefault="00451DC2" w:rsidP="00053713">
      <w:pPr>
        <w:spacing w:line="240" w:lineRule="auto"/>
        <w:rPr>
          <w:noProof/>
        </w:rPr>
      </w:pPr>
      <w:r w:rsidRPr="00602574">
        <w:rPr>
          <w:noProof/>
        </w:rPr>
        <w:t xml:space="preserve">Under the status quo, </w:t>
      </w:r>
      <w:r w:rsidRPr="00602574">
        <w:rPr>
          <w:b/>
          <w:bCs/>
          <w:noProof/>
        </w:rPr>
        <w:t>spectrum represents a significant cost component</w:t>
      </w:r>
      <w:r w:rsidRPr="00602574">
        <w:rPr>
          <w:noProof/>
        </w:rPr>
        <w:t xml:space="preserve"> for mobile operators</w:t>
      </w:r>
      <w:r w:rsidR="00AE200C">
        <w:rPr>
          <w:rStyle w:val="FootnoteReference"/>
          <w:noProof/>
        </w:rPr>
        <w:footnoteReference w:id="189"/>
      </w:r>
      <w:r w:rsidRPr="00602574">
        <w:rPr>
          <w:noProof/>
        </w:rPr>
        <w:t>. While spectrum needs have increased over the last decade, average revenue per MHz in Europe has declined by 58% between 2014 and 2024.</w:t>
      </w:r>
      <w:r w:rsidRPr="00602574">
        <w:rPr>
          <w:rStyle w:val="FootnoteReference"/>
          <w:noProof/>
        </w:rPr>
        <w:footnoteReference w:id="190"/>
      </w:r>
      <w:r w:rsidRPr="00602574">
        <w:rPr>
          <w:noProof/>
        </w:rPr>
        <w:t xml:space="preserve"> This reduction has not been fully mirrored in spectrum prices, which have declined overall but not at a comparable pace. The discrepancy was suggested to reflect regulatory interventions, such as reserve prices or measures artificially increasing spectrum scarcity, which are likely to persist under the baseline. At the same time, across the EU, fragmented national approaches have resulted in significant differences in prices per MHz per population.</w:t>
      </w:r>
      <w:r w:rsidRPr="00602574">
        <w:rPr>
          <w:rStyle w:val="FootnoteReference"/>
          <w:rFonts w:eastAsia="EYInterstate Light"/>
          <w:noProof/>
          <w:kern w:val="2"/>
        </w:rPr>
        <w:footnoteReference w:id="191"/>
      </w:r>
      <w:r w:rsidRPr="00602574">
        <w:rPr>
          <w:noProof/>
        </w:rPr>
        <w:t xml:space="preserve"> Divergent national pricing policies and high spectrum fees have been found to contribute to substantial opportunity costs.</w:t>
      </w:r>
      <w:r w:rsidRPr="00602574">
        <w:rPr>
          <w:rFonts w:eastAsia="EYInterstate Light"/>
          <w:noProof/>
          <w:vertAlign w:val="superscript"/>
        </w:rPr>
        <w:footnoteReference w:id="192"/>
      </w:r>
      <w:r w:rsidRPr="00602574">
        <w:rPr>
          <w:noProof/>
        </w:rPr>
        <w:t xml:space="preserve"> Mid-band spectrum in Europe remains relatively expensive: its price level corresponds on average to around 14.5% of operator revenues, almost three times the level in North America, and may reach up to 20% in some Member States.</w:t>
      </w:r>
      <w:r w:rsidRPr="00602574">
        <w:rPr>
          <w:rStyle w:val="FootnoteReference"/>
          <w:noProof/>
        </w:rPr>
        <w:footnoteReference w:id="193"/>
      </w:r>
      <w:r w:rsidRPr="00602574">
        <w:rPr>
          <w:noProof/>
        </w:rPr>
        <w:t xml:space="preserve"> </w:t>
      </w:r>
    </w:p>
    <w:p w14:paraId="7FF1C296" w14:textId="3EFFFEAA" w:rsidR="00451DC2" w:rsidRPr="00602574" w:rsidRDefault="00451DC2" w:rsidP="00053713">
      <w:pPr>
        <w:spacing w:line="240" w:lineRule="auto"/>
        <w:rPr>
          <w:b/>
          <w:bCs/>
          <w:noProof/>
        </w:rPr>
      </w:pPr>
      <w:r w:rsidRPr="00602574">
        <w:rPr>
          <w:b/>
          <w:bCs/>
          <w:noProof/>
        </w:rPr>
        <w:t>Cost pressures may intensify</w:t>
      </w:r>
      <w:r w:rsidRPr="00602574">
        <w:rPr>
          <w:noProof/>
        </w:rPr>
        <w:t xml:space="preserve"> with future rollouts of advanced technologies. Forecasts of substantial growth of mobile data consumption in the coming decade and larger spectrum volumes required for high-quality networks and new use cases imply an increase in spectrum cost even if unit prices were to decline. Beyond spectrum acquisition, investment needs include network densification, identified by stakeholders as the costliest aspect of 5G deployment. Based on stakeholder input, this is estimated to require some EUR</w:t>
      </w:r>
      <w:r w:rsidR="00B55428">
        <w:rPr>
          <w:noProof/>
        </w:rPr>
        <w:t> </w:t>
      </w:r>
      <w:r w:rsidRPr="00602574">
        <w:rPr>
          <w:noProof/>
        </w:rPr>
        <w:t xml:space="preserve">33.5 billion and expected to persist at least until 2030, as operators currently do not plan large-scale densification. Additionally, the </w:t>
      </w:r>
      <w:r w:rsidRPr="00602574">
        <w:rPr>
          <w:b/>
          <w:bCs/>
          <w:noProof/>
        </w:rPr>
        <w:t>attractiveness of mobile network projects for investors is likely to remain limited</w:t>
      </w:r>
      <w:r w:rsidRPr="00602574">
        <w:rPr>
          <w:noProof/>
        </w:rPr>
        <w:t xml:space="preserve"> due to risks arising from regular technology shifts, volatility in the consumer base, the finite nature of spectrum rights as well as uncertainty regarding the timing of 6G spectrum availability.</w:t>
      </w:r>
      <w:r w:rsidRPr="00602574">
        <w:rPr>
          <w:rStyle w:val="FootnoteReference"/>
          <w:noProof/>
        </w:rPr>
        <w:footnoteReference w:id="194"/>
      </w:r>
      <w:r w:rsidRPr="00602574">
        <w:rPr>
          <w:noProof/>
        </w:rPr>
        <w:t xml:space="preserve"> Under these circumstances, operators’ willingness and ability to secure financing for high-quality deployment is expected to remain constrained. Overall, </w:t>
      </w:r>
      <w:r w:rsidRPr="00602574">
        <w:rPr>
          <w:b/>
          <w:bCs/>
          <w:noProof/>
        </w:rPr>
        <w:t>the investment headroom for high-quality mobile networks would remain limited.</w:t>
      </w:r>
    </w:p>
    <w:p w14:paraId="78C303D4" w14:textId="77777777" w:rsidR="00451DC2" w:rsidRPr="00602574" w:rsidRDefault="00451DC2" w:rsidP="00053713">
      <w:pPr>
        <w:spacing w:line="240" w:lineRule="auto"/>
        <w:rPr>
          <w:noProof/>
        </w:rPr>
      </w:pPr>
      <w:r w:rsidRPr="00602574">
        <w:rPr>
          <w:b/>
          <w:bCs/>
          <w:noProof/>
        </w:rPr>
        <w:t>Under the baseline, the many divergences across Member States are expected to persist</w:t>
      </w:r>
      <w:r w:rsidRPr="00602574">
        <w:rPr>
          <w:noProof/>
        </w:rPr>
        <w:t>. Fragmented award practices and heterogeneous authorisation conditions would continue to create uneven spectrum availability and inconsistent investment incentives, while also complicating activities for operators present in multiple Member States. Certain market-shaping measures could continue to be applied in uncoordinated ways that maximise spectrum fees or maintain low retail prices at the expense of investment incentives. If the peer review mechanism remained voluntary and without binding effect, it would offer no assurance that investment-constraining award designs are detected in time for the Commission to intervene ex ante.</w:t>
      </w:r>
      <w:r w:rsidRPr="00602574">
        <w:rPr>
          <w:rStyle w:val="FootnoteReference"/>
          <w:noProof/>
        </w:rPr>
        <w:footnoteReference w:id="195"/>
      </w:r>
      <w:r w:rsidRPr="00602574">
        <w:rPr>
          <w:noProof/>
        </w:rPr>
        <w:t xml:space="preserve"> The application of mechanisms intended to promote more efficient spectrum use, such as sharing, secondary trading, leasing and local licensing, would remain occasional and insufficient, limiting their capacity to alleviate scarcity or support industrial 5G deployment. Cross-border interference coordination with third countries would continue to be inefficient, as the Commission would remain able to resolve interference only in harmonised bands, leaving Member States to address issues in non-harmonised spectrum. The harmonisation process would continue to rely exclusively on Member States contribution through CEPT, where participation of non-EU countries may influence timelines and predictability. The procedure which allows several Member States to jointly establish common aspects of an authorisation process and jointly conduct a selection process will remain largely unused, limited by the fact that it can only be initiated by the Member States.</w:t>
      </w:r>
      <w:r w:rsidRPr="00602574">
        <w:rPr>
          <w:rStyle w:val="FootnoteReference"/>
          <w:noProof/>
        </w:rPr>
        <w:footnoteReference w:id="196"/>
      </w:r>
    </w:p>
    <w:p w14:paraId="6C76C849" w14:textId="77777777" w:rsidR="00451DC2" w:rsidRPr="00602574" w:rsidRDefault="00451DC2" w:rsidP="00053713">
      <w:pPr>
        <w:spacing w:line="240" w:lineRule="auto"/>
        <w:rPr>
          <w:noProof/>
        </w:rPr>
      </w:pPr>
      <w:r w:rsidRPr="00602574">
        <w:rPr>
          <w:noProof/>
        </w:rPr>
        <w:t>The direction of the patterns of spectrum regulatory approaches and market outcomes identified in our analysis indicates how these performance indicators may evolve under the baseline.</w:t>
      </w:r>
      <w:r w:rsidRPr="00602574">
        <w:rPr>
          <w:rStyle w:val="FootnoteReference"/>
          <w:noProof/>
        </w:rPr>
        <w:footnoteReference w:id="197"/>
      </w:r>
      <w:r w:rsidRPr="00602574">
        <w:rPr>
          <w:noProof/>
        </w:rPr>
        <w:t xml:space="preserve"> Member States applying more restrictive award conditions, such as considerable spectrum reservations or set-asides, could continue to increase spectrum costs, consumer prices and to lower the download speeds. Reliance on access obligations may continue to involve trade-offs between consumer prices and 5G coverage. Persistently high spectrum prices could carry a risk of lower overall download speeds</w:t>
      </w:r>
      <w:r w:rsidRPr="00602574">
        <w:rPr>
          <w:rStyle w:val="FootnoteReference"/>
          <w:noProof/>
        </w:rPr>
        <w:footnoteReference w:id="198"/>
      </w:r>
      <w:r w:rsidRPr="00602574">
        <w:rPr>
          <w:noProof/>
        </w:rPr>
        <w:t xml:space="preserve">. At the same time, Member States with more investment-oriented assignment frameworks may continue to achieve relatively stronger results in mid-band coverage and quality of service. As a result, the availability of advanced, quality-assured services requiring reliable high-speed, low-latency performance would progress slowly, selectively, remaining </w:t>
      </w:r>
      <w:r w:rsidRPr="005C544D">
        <w:rPr>
          <w:noProof/>
        </w:rPr>
        <w:t>constrained in parts of the EU</w:t>
      </w:r>
      <w:r w:rsidRPr="00602574">
        <w:rPr>
          <w:noProof/>
        </w:rPr>
        <w:t>.</w:t>
      </w:r>
      <w:r w:rsidRPr="00602574">
        <w:rPr>
          <w:rStyle w:val="FootnoteReference"/>
          <w:noProof/>
        </w:rPr>
        <w:footnoteReference w:id="199"/>
      </w:r>
    </w:p>
    <w:p w14:paraId="23EE847E" w14:textId="77777777" w:rsidR="00451DC2" w:rsidRPr="00602574" w:rsidRDefault="00451DC2" w:rsidP="00053713">
      <w:pPr>
        <w:spacing w:line="240" w:lineRule="auto"/>
        <w:rPr>
          <w:rStyle w:val="normaltextrun"/>
          <w:noProof/>
        </w:rPr>
      </w:pPr>
      <w:r w:rsidRPr="00602574">
        <w:rPr>
          <w:noProof/>
        </w:rPr>
        <w:t xml:space="preserve">Overall, under the baseline, the spectrum framework is likely to remain of </w:t>
      </w:r>
      <w:r w:rsidRPr="00602574">
        <w:rPr>
          <w:b/>
          <w:bCs/>
          <w:noProof/>
        </w:rPr>
        <w:t>limited effectiveness and efficiency in supporting high-quality mobile connectivity and a functioning Single Market</w:t>
      </w:r>
      <w:r w:rsidRPr="00602574">
        <w:rPr>
          <w:noProof/>
        </w:rPr>
        <w:t>.</w:t>
      </w:r>
      <w:r w:rsidRPr="00602574">
        <w:rPr>
          <w:rStyle w:val="FootnoteReference"/>
          <w:noProof/>
        </w:rPr>
        <w:footnoteReference w:id="200"/>
      </w:r>
      <w:r w:rsidRPr="00602574">
        <w:rPr>
          <w:noProof/>
        </w:rPr>
        <w:t xml:space="preserve"> The persistence of fragmented award practices, investment-impeding assignment conditions and limited predictability would continue to constrain operators’ incentives and ability to plan and finance high quality 5G deployment and would slow the transition towards 6G. As a result, the delivery of anticipated economic and societal benefits from advanced mobile connectivity would be delayed.</w:t>
      </w:r>
    </w:p>
    <w:p w14:paraId="374BEF46" w14:textId="55AF4FF0" w:rsidR="006428C6" w:rsidRPr="00DE264C" w:rsidRDefault="00E74E4E" w:rsidP="008F42EF">
      <w:pPr>
        <w:pStyle w:val="Heading3"/>
        <w:tabs>
          <w:tab w:val="num" w:pos="7088"/>
        </w:tabs>
        <w:spacing w:before="240"/>
        <w:ind w:left="709"/>
        <w:rPr>
          <w:noProof/>
          <w:color w:val="000000" w:themeColor="text1"/>
          <w:lang w:val="en-US"/>
        </w:rPr>
      </w:pPr>
      <w:bookmarkStart w:id="190" w:name="_Toc209595970"/>
      <w:bookmarkStart w:id="191" w:name="_Toc215083744"/>
      <w:bookmarkStart w:id="192" w:name="_Toc219212512"/>
      <w:bookmarkStart w:id="193" w:name="_Toc219718167"/>
      <w:bookmarkStart w:id="194" w:name="_Toc214467721"/>
      <w:bookmarkEnd w:id="190"/>
      <w:r w:rsidRPr="00DE264C">
        <w:rPr>
          <w:noProof/>
        </w:rPr>
        <w:t>A</w:t>
      </w:r>
      <w:r w:rsidR="00814D69" w:rsidRPr="00DE264C">
        <w:rPr>
          <w:noProof/>
        </w:rPr>
        <w:t>uthorisation</w:t>
      </w:r>
      <w:bookmarkEnd w:id="191"/>
      <w:bookmarkEnd w:id="192"/>
      <w:bookmarkEnd w:id="193"/>
      <w:r w:rsidR="00814D69" w:rsidRPr="00DE264C">
        <w:rPr>
          <w:noProof/>
        </w:rPr>
        <w:t xml:space="preserve"> </w:t>
      </w:r>
      <w:bookmarkEnd w:id="194"/>
    </w:p>
    <w:p w14:paraId="4E7DE193" w14:textId="5617E1FA" w:rsidR="00262BC0" w:rsidRDefault="00C85991" w:rsidP="00053713">
      <w:pPr>
        <w:pStyle w:val="paragraph"/>
        <w:spacing w:beforeAutospacing="0" w:afterAutospacing="0" w:line="240" w:lineRule="auto"/>
        <w:jc w:val="both"/>
        <w:rPr>
          <w:rStyle w:val="normaltextrun"/>
          <w:rFonts w:eastAsiaTheme="minorHAnsi"/>
          <w:noProof/>
          <w:color w:val="000000" w:themeColor="text1"/>
          <w:lang w:val="en-GB" w:eastAsia="en-US"/>
        </w:rPr>
      </w:pPr>
      <w:r w:rsidRPr="00DE264C">
        <w:rPr>
          <w:noProof/>
        </w:rPr>
        <w:t>The b</w:t>
      </w:r>
      <w:r w:rsidR="10F01161" w:rsidRPr="00DE264C">
        <w:rPr>
          <w:noProof/>
        </w:rPr>
        <w:t xml:space="preserve">aseline </w:t>
      </w:r>
      <w:r w:rsidR="10F01161" w:rsidRPr="00DE264C">
        <w:rPr>
          <w:rStyle w:val="normaltextrun"/>
          <w:noProof/>
          <w:color w:val="000000" w:themeColor="text1"/>
        </w:rPr>
        <w:t xml:space="preserve">focusses on better enforcement of the existing </w:t>
      </w:r>
      <w:r w:rsidR="10F01161" w:rsidRPr="00DE264C">
        <w:rPr>
          <w:rStyle w:val="normaltextrun"/>
          <w:b/>
          <w:bCs/>
          <w:noProof/>
          <w:color w:val="000000" w:themeColor="text1"/>
        </w:rPr>
        <w:t>authorisation regime</w:t>
      </w:r>
      <w:r w:rsidR="00262BC0">
        <w:rPr>
          <w:rStyle w:val="normaltextrun"/>
          <w:noProof/>
          <w:color w:val="000000" w:themeColor="text1"/>
        </w:rPr>
        <w:t xml:space="preserve"> </w:t>
      </w:r>
      <w:r w:rsidR="10F01161" w:rsidRPr="00DE264C">
        <w:rPr>
          <w:rStyle w:val="normaltextrun"/>
          <w:noProof/>
          <w:color w:val="000000" w:themeColor="text1"/>
        </w:rPr>
        <w:t>i.e.</w:t>
      </w:r>
      <w:r w:rsidR="00262BC0">
        <w:rPr>
          <w:rStyle w:val="normaltextrun"/>
          <w:noProof/>
          <w:color w:val="000000" w:themeColor="text1"/>
        </w:rPr>
        <w:t>:</w:t>
      </w:r>
    </w:p>
    <w:p w14:paraId="79AC6A37" w14:textId="6D451F57" w:rsidR="00262BC0" w:rsidRPr="00292895" w:rsidRDefault="10F01161" w:rsidP="00053713">
      <w:pPr>
        <w:pStyle w:val="paragraph"/>
        <w:numPr>
          <w:ilvl w:val="0"/>
          <w:numId w:val="5"/>
        </w:numPr>
        <w:spacing w:beforeAutospacing="0" w:afterAutospacing="0" w:line="240" w:lineRule="auto"/>
        <w:jc w:val="both"/>
        <w:rPr>
          <w:rStyle w:val="normaltextrun"/>
          <w:rFonts w:eastAsiaTheme="minorHAnsi"/>
          <w:noProof/>
          <w:color w:val="000000" w:themeColor="text1"/>
          <w:lang w:val="en-US" w:eastAsia="en-US"/>
        </w:rPr>
      </w:pPr>
      <w:r w:rsidRPr="00DE264C">
        <w:rPr>
          <w:rStyle w:val="normaltextrun"/>
          <w:noProof/>
          <w:color w:val="000000" w:themeColor="text1"/>
        </w:rPr>
        <w:t xml:space="preserve"> general authorisation at the Member State of the provision of the network or service</w:t>
      </w:r>
      <w:r w:rsidR="008B3C3C" w:rsidRPr="00DE264C">
        <w:rPr>
          <w:rStyle w:val="normaltextrun"/>
          <w:noProof/>
          <w:color w:val="000000" w:themeColor="text1"/>
        </w:rPr>
        <w:t xml:space="preserve"> (TN or NTN)</w:t>
      </w:r>
      <w:r w:rsidRPr="00DE264C">
        <w:rPr>
          <w:rStyle w:val="normaltextrun"/>
          <w:noProof/>
          <w:color w:val="000000" w:themeColor="text1"/>
        </w:rPr>
        <w:t xml:space="preserve">, </w:t>
      </w:r>
      <w:r w:rsidR="00587DF4">
        <w:rPr>
          <w:rStyle w:val="normaltextrun"/>
          <w:noProof/>
          <w:color w:val="000000" w:themeColor="text1"/>
        </w:rPr>
        <w:t>using</w:t>
      </w:r>
      <w:r w:rsidRPr="00DE264C">
        <w:rPr>
          <w:rStyle w:val="normaltextrun"/>
          <w:noProof/>
          <w:color w:val="000000" w:themeColor="text1"/>
        </w:rPr>
        <w:t xml:space="preserve"> a template of authorisation conditions developed by BEREC</w:t>
      </w:r>
      <w:r w:rsidR="005F31C9" w:rsidRPr="00DE264C">
        <w:rPr>
          <w:rStyle w:val="FootnoteReference"/>
          <w:noProof/>
          <w:color w:val="000000" w:themeColor="text1"/>
        </w:rPr>
        <w:footnoteReference w:id="201"/>
      </w:r>
      <w:r w:rsidRPr="00DE264C">
        <w:rPr>
          <w:rStyle w:val="normaltextrun"/>
          <w:noProof/>
          <w:color w:val="000000" w:themeColor="text1"/>
        </w:rPr>
        <w:t xml:space="preserve"> and a </w:t>
      </w:r>
      <w:r w:rsidR="008C7A36" w:rsidRPr="00DE264C">
        <w:rPr>
          <w:rStyle w:val="normaltextrun"/>
          <w:noProof/>
          <w:color w:val="000000" w:themeColor="text1"/>
        </w:rPr>
        <w:t>General Authorisation D</w:t>
      </w:r>
      <w:r w:rsidRPr="00DE264C">
        <w:rPr>
          <w:rStyle w:val="normaltextrun"/>
          <w:noProof/>
          <w:color w:val="000000" w:themeColor="text1"/>
        </w:rPr>
        <w:t xml:space="preserve">ata </w:t>
      </w:r>
      <w:r w:rsidR="008C7A36" w:rsidRPr="00DE264C">
        <w:rPr>
          <w:rStyle w:val="normaltextrun"/>
          <w:noProof/>
          <w:color w:val="000000" w:themeColor="text1"/>
        </w:rPr>
        <w:t>B</w:t>
      </w:r>
      <w:r w:rsidRPr="00DE264C">
        <w:rPr>
          <w:rStyle w:val="normaltextrun"/>
          <w:noProof/>
          <w:color w:val="000000" w:themeColor="text1"/>
        </w:rPr>
        <w:t>ase</w:t>
      </w:r>
      <w:r w:rsidR="008C7A36" w:rsidRPr="00DE264C">
        <w:rPr>
          <w:rStyle w:val="normaltextrun"/>
          <w:noProof/>
          <w:color w:val="000000" w:themeColor="text1"/>
        </w:rPr>
        <w:t xml:space="preserve"> (GADB) </w:t>
      </w:r>
      <w:r w:rsidR="0089092C" w:rsidRPr="00DE264C">
        <w:rPr>
          <w:rStyle w:val="FootnoteReference"/>
          <w:noProof/>
          <w:color w:val="000000" w:themeColor="text1"/>
        </w:rPr>
        <w:footnoteReference w:id="202"/>
      </w:r>
      <w:r w:rsidRPr="00DE264C">
        <w:rPr>
          <w:rStyle w:val="normaltextrun"/>
          <w:noProof/>
          <w:color w:val="000000" w:themeColor="text1"/>
        </w:rPr>
        <w:t xml:space="preserve"> maintained by the BEREC </w:t>
      </w:r>
      <w:r w:rsidR="0051394B" w:rsidRPr="00DE264C">
        <w:rPr>
          <w:rStyle w:val="normaltextrun"/>
          <w:noProof/>
          <w:color w:val="000000" w:themeColor="text1"/>
        </w:rPr>
        <w:t>O</w:t>
      </w:r>
      <w:r w:rsidRPr="00DE264C">
        <w:rPr>
          <w:rStyle w:val="normaltextrun"/>
          <w:noProof/>
          <w:color w:val="000000" w:themeColor="text1"/>
        </w:rPr>
        <w:t>ffice</w:t>
      </w:r>
      <w:r w:rsidR="00262BC0">
        <w:rPr>
          <w:rStyle w:val="normaltextrun"/>
          <w:noProof/>
          <w:color w:val="000000" w:themeColor="text1"/>
        </w:rPr>
        <w:t>;</w:t>
      </w:r>
    </w:p>
    <w:p w14:paraId="65DAF1FC" w14:textId="78A6D388" w:rsidR="00262BC0" w:rsidRPr="00292895" w:rsidRDefault="10F01161" w:rsidP="00053713">
      <w:pPr>
        <w:pStyle w:val="paragraph"/>
        <w:numPr>
          <w:ilvl w:val="0"/>
          <w:numId w:val="5"/>
        </w:numPr>
        <w:spacing w:beforeAutospacing="0" w:afterAutospacing="0" w:line="240" w:lineRule="auto"/>
        <w:jc w:val="both"/>
        <w:rPr>
          <w:rStyle w:val="normaltextrun"/>
          <w:rFonts w:eastAsiaTheme="minorHAnsi"/>
          <w:noProof/>
          <w:color w:val="000000" w:themeColor="text1"/>
          <w:lang w:val="en-US" w:eastAsia="en-US"/>
        </w:rPr>
      </w:pPr>
      <w:r w:rsidRPr="00DE264C">
        <w:rPr>
          <w:rStyle w:val="normaltextrun"/>
          <w:noProof/>
          <w:color w:val="000000" w:themeColor="text1"/>
        </w:rPr>
        <w:t xml:space="preserve"> and assignment of spectrum </w:t>
      </w:r>
      <w:r w:rsidR="00AE597A">
        <w:rPr>
          <w:rStyle w:val="normaltextrun"/>
          <w:noProof/>
          <w:color w:val="000000" w:themeColor="text1"/>
        </w:rPr>
        <w:t xml:space="preserve">for satellites </w:t>
      </w:r>
      <w:r w:rsidRPr="00DE264C">
        <w:rPr>
          <w:rStyle w:val="normaltextrun"/>
          <w:noProof/>
          <w:color w:val="000000" w:themeColor="text1"/>
        </w:rPr>
        <w:t>at national level</w:t>
      </w:r>
      <w:r w:rsidR="004E471A">
        <w:rPr>
          <w:rStyle w:val="normaltextrun"/>
          <w:noProof/>
          <w:color w:val="000000" w:themeColor="text1"/>
        </w:rPr>
        <w:t xml:space="preserve">, while </w:t>
      </w:r>
      <w:r w:rsidR="00CB1FA1" w:rsidRPr="00DE264C">
        <w:rPr>
          <w:rStyle w:val="normaltextrun"/>
          <w:noProof/>
          <w:color w:val="000000" w:themeColor="text1"/>
        </w:rPr>
        <w:t xml:space="preserve">voluntarily </w:t>
      </w:r>
      <w:r w:rsidRPr="00DE264C">
        <w:rPr>
          <w:rStyle w:val="normaltextrun"/>
          <w:noProof/>
          <w:color w:val="000000" w:themeColor="text1"/>
        </w:rPr>
        <w:t xml:space="preserve">addressing divergences </w:t>
      </w:r>
      <w:r w:rsidR="00CB1FA1" w:rsidRPr="00DE264C">
        <w:rPr>
          <w:rStyle w:val="normaltextrun"/>
          <w:noProof/>
          <w:color w:val="000000" w:themeColor="text1"/>
        </w:rPr>
        <w:t>via</w:t>
      </w:r>
      <w:r w:rsidRPr="00DE264C">
        <w:rPr>
          <w:rStyle w:val="normaltextrun"/>
          <w:noProof/>
          <w:color w:val="000000" w:themeColor="text1"/>
        </w:rPr>
        <w:t xml:space="preserve"> BEREC</w:t>
      </w:r>
      <w:r w:rsidR="00CB1FA1" w:rsidRPr="00DE264C">
        <w:rPr>
          <w:rStyle w:val="normaltextrun"/>
          <w:noProof/>
          <w:color w:val="000000" w:themeColor="text1"/>
        </w:rPr>
        <w:t>/</w:t>
      </w:r>
      <w:r w:rsidRPr="00DE264C">
        <w:rPr>
          <w:rStyle w:val="normaltextrun"/>
          <w:noProof/>
          <w:color w:val="000000" w:themeColor="text1"/>
        </w:rPr>
        <w:t xml:space="preserve">RSPG. </w:t>
      </w:r>
    </w:p>
    <w:p w14:paraId="0DD18A28" w14:textId="54FD2459" w:rsidR="001C2DAE" w:rsidRDefault="10F01161" w:rsidP="00053713">
      <w:pPr>
        <w:spacing w:line="240" w:lineRule="auto"/>
        <w:rPr>
          <w:rStyle w:val="normaltextrun"/>
          <w:noProof/>
          <w:color w:val="000000" w:themeColor="text1"/>
        </w:rPr>
      </w:pPr>
      <w:r w:rsidRPr="00DE264C">
        <w:rPr>
          <w:rStyle w:val="normaltextrun"/>
          <w:noProof/>
          <w:color w:val="000000" w:themeColor="text1"/>
        </w:rPr>
        <w:t>The Commission may use its powers to</w:t>
      </w:r>
      <w:r w:rsidR="245170F8" w:rsidRPr="00DE264C">
        <w:rPr>
          <w:rStyle w:val="normaltextrun"/>
          <w:noProof/>
          <w:color w:val="000000" w:themeColor="text1"/>
        </w:rPr>
        <w:t xml:space="preserve"> adopt implementing acts</w:t>
      </w:r>
      <w:r w:rsidRPr="00DE264C">
        <w:rPr>
          <w:rStyle w:val="normaltextrun"/>
          <w:noProof/>
          <w:color w:val="000000" w:themeColor="text1"/>
        </w:rPr>
        <w:t xml:space="preserve"> to facilitate compliance with cybersecurity requirements by public ECN</w:t>
      </w:r>
      <w:r w:rsidR="7D3B0206" w:rsidRPr="00DE264C">
        <w:rPr>
          <w:rStyle w:val="normaltextrun"/>
          <w:noProof/>
          <w:color w:val="000000" w:themeColor="text1"/>
        </w:rPr>
        <w:t>/EC</w:t>
      </w:r>
      <w:r w:rsidR="00EA1935" w:rsidRPr="00DE264C">
        <w:rPr>
          <w:rStyle w:val="normaltextrun"/>
          <w:noProof/>
          <w:color w:val="000000" w:themeColor="text1"/>
        </w:rPr>
        <w:t>S</w:t>
      </w:r>
      <w:r w:rsidRPr="00DE264C">
        <w:rPr>
          <w:rStyle w:val="normaltextrun"/>
          <w:noProof/>
          <w:color w:val="000000" w:themeColor="text1"/>
        </w:rPr>
        <w:t xml:space="preserve"> providers under NIS 2. </w:t>
      </w:r>
      <w:r w:rsidR="001400F4" w:rsidRPr="00DE264C">
        <w:rPr>
          <w:rStyle w:val="normaltextrun"/>
          <w:noProof/>
          <w:color w:val="000000" w:themeColor="text1"/>
        </w:rPr>
        <w:t>T</w:t>
      </w:r>
      <w:r w:rsidRPr="00DE264C">
        <w:rPr>
          <w:rStyle w:val="normaltextrun"/>
          <w:noProof/>
          <w:color w:val="000000" w:themeColor="text1"/>
        </w:rPr>
        <w:t xml:space="preserve">aking into utmost account the BEREC Opinion, </w:t>
      </w:r>
      <w:r w:rsidR="00EB2E81">
        <w:rPr>
          <w:rStyle w:val="normaltextrun"/>
          <w:noProof/>
          <w:color w:val="000000" w:themeColor="text1"/>
        </w:rPr>
        <w:t>the Commission</w:t>
      </w:r>
      <w:r w:rsidRPr="00DE264C">
        <w:rPr>
          <w:rStyle w:val="normaltextrun"/>
          <w:noProof/>
          <w:color w:val="000000" w:themeColor="text1"/>
        </w:rPr>
        <w:t xml:space="preserve"> </w:t>
      </w:r>
      <w:r w:rsidR="00C92E66">
        <w:rPr>
          <w:rStyle w:val="normaltextrun"/>
          <w:noProof/>
          <w:color w:val="000000" w:themeColor="text1"/>
        </w:rPr>
        <w:t xml:space="preserve">may </w:t>
      </w:r>
      <w:r w:rsidRPr="00DE264C">
        <w:rPr>
          <w:rStyle w:val="normaltextrun"/>
          <w:noProof/>
          <w:color w:val="000000" w:themeColor="text1"/>
        </w:rPr>
        <w:t xml:space="preserve">publish a report on the functioning of the general authorisation and outline areas where BEREC could </w:t>
      </w:r>
      <w:r w:rsidR="009A3440">
        <w:rPr>
          <w:rStyle w:val="normaltextrun"/>
          <w:noProof/>
          <w:color w:val="000000" w:themeColor="text1"/>
        </w:rPr>
        <w:t xml:space="preserve">further </w:t>
      </w:r>
      <w:r w:rsidR="001C2DAE" w:rsidRPr="00DE264C">
        <w:rPr>
          <w:rStyle w:val="normaltextrun"/>
          <w:noProof/>
          <w:color w:val="000000" w:themeColor="text1"/>
        </w:rPr>
        <w:t>address</w:t>
      </w:r>
      <w:r w:rsidRPr="00DE264C">
        <w:rPr>
          <w:rStyle w:val="normaltextrun"/>
          <w:noProof/>
          <w:color w:val="000000" w:themeColor="text1"/>
        </w:rPr>
        <w:t xml:space="preserve"> obstacles to the proper functioning of the internal market (</w:t>
      </w:r>
      <w:r w:rsidR="00830A8C" w:rsidRPr="00DE264C">
        <w:rPr>
          <w:rStyle w:val="normaltextrun"/>
          <w:noProof/>
          <w:color w:val="000000" w:themeColor="text1"/>
        </w:rPr>
        <w:t>Article</w:t>
      </w:r>
      <w:r w:rsidR="00A907F2">
        <w:rPr>
          <w:rStyle w:val="normaltextrun"/>
          <w:noProof/>
          <w:color w:val="000000" w:themeColor="text1"/>
        </w:rPr>
        <w:t> </w:t>
      </w:r>
      <w:r w:rsidR="00830A8C" w:rsidRPr="00DE264C">
        <w:rPr>
          <w:rStyle w:val="normaltextrun"/>
          <w:noProof/>
          <w:color w:val="000000" w:themeColor="text1"/>
        </w:rPr>
        <w:t xml:space="preserve">122 (3) EECC, </w:t>
      </w:r>
      <w:r w:rsidRPr="00DE264C">
        <w:rPr>
          <w:rStyle w:val="normaltextrun"/>
          <w:noProof/>
          <w:color w:val="000000" w:themeColor="text1"/>
        </w:rPr>
        <w:t>non-legislative initiative).</w:t>
      </w:r>
      <w:r w:rsidR="00EE6909" w:rsidRPr="00DE264C">
        <w:rPr>
          <w:rStyle w:val="normaltextrun"/>
          <w:noProof/>
          <w:color w:val="000000" w:themeColor="text1"/>
        </w:rPr>
        <w:t xml:space="preserve"> </w:t>
      </w:r>
    </w:p>
    <w:p w14:paraId="5E0FB15C" w14:textId="2822E2D8" w:rsidR="3D388241" w:rsidRPr="00DE264C" w:rsidRDefault="006D7D81" w:rsidP="00053713">
      <w:pPr>
        <w:spacing w:line="240" w:lineRule="auto"/>
        <w:rPr>
          <w:rStyle w:val="eop"/>
          <w:noProof/>
          <w:color w:val="000000" w:themeColor="text1"/>
          <w:lang w:val="en-US"/>
        </w:rPr>
      </w:pPr>
      <w:r w:rsidRPr="00DE264C">
        <w:rPr>
          <w:rStyle w:val="normaltextrun"/>
          <w:noProof/>
          <w:color w:val="000000" w:themeColor="text1"/>
        </w:rPr>
        <w:t>Under th</w:t>
      </w:r>
      <w:r w:rsidR="00761A64">
        <w:rPr>
          <w:rStyle w:val="normaltextrun"/>
          <w:noProof/>
          <w:color w:val="000000" w:themeColor="text1"/>
        </w:rPr>
        <w:t>is</w:t>
      </w:r>
      <w:r w:rsidRPr="00DE264C">
        <w:rPr>
          <w:rStyle w:val="normaltextrun"/>
          <w:noProof/>
          <w:color w:val="000000" w:themeColor="text1"/>
        </w:rPr>
        <w:t xml:space="preserve"> baseline </w:t>
      </w:r>
      <w:r w:rsidR="00D31813" w:rsidRPr="00DE264C">
        <w:rPr>
          <w:rStyle w:val="normaltextrun"/>
          <w:noProof/>
          <w:color w:val="000000" w:themeColor="text1"/>
        </w:rPr>
        <w:t xml:space="preserve">scenario </w:t>
      </w:r>
      <w:r w:rsidRPr="00DE264C">
        <w:rPr>
          <w:noProof/>
        </w:rPr>
        <w:t>identified shortcomings would remain</w:t>
      </w:r>
      <w:r w:rsidR="00DF76A1">
        <w:rPr>
          <w:noProof/>
        </w:rPr>
        <w:t>;</w:t>
      </w:r>
      <w:r w:rsidR="00D31813" w:rsidRPr="00DE264C">
        <w:rPr>
          <w:rStyle w:val="normaltextrun"/>
          <w:noProof/>
          <w:color w:val="000000" w:themeColor="text1"/>
        </w:rPr>
        <w:t xml:space="preserve"> it </w:t>
      </w:r>
      <w:r w:rsidR="008137B5" w:rsidRPr="00DE264C">
        <w:rPr>
          <w:rStyle w:val="normaltextrun"/>
          <w:noProof/>
          <w:color w:val="000000" w:themeColor="text1"/>
        </w:rPr>
        <w:t xml:space="preserve">would not effectively </w:t>
      </w:r>
      <w:r w:rsidR="00FD2F95">
        <w:rPr>
          <w:rStyle w:val="normaltextrun"/>
          <w:noProof/>
          <w:color w:val="000000" w:themeColor="text1"/>
        </w:rPr>
        <w:t xml:space="preserve">foster </w:t>
      </w:r>
      <w:r w:rsidR="00B533FF" w:rsidRPr="00DE264C">
        <w:rPr>
          <w:rStyle w:val="normaltextrun"/>
          <w:noProof/>
          <w:color w:val="000000" w:themeColor="text1"/>
        </w:rPr>
        <w:t>innovative</w:t>
      </w:r>
      <w:r w:rsidR="003D6904">
        <w:rPr>
          <w:rStyle w:val="normaltextrun"/>
          <w:noProof/>
          <w:color w:val="000000" w:themeColor="text1"/>
        </w:rPr>
        <w:t xml:space="preserve">, </w:t>
      </w:r>
      <w:r w:rsidR="008137B5" w:rsidRPr="00DE264C">
        <w:rPr>
          <w:rStyle w:val="normaltextrun"/>
          <w:noProof/>
          <w:color w:val="000000" w:themeColor="text1"/>
        </w:rPr>
        <w:t>resilient</w:t>
      </w:r>
      <w:r w:rsidR="00B533FF" w:rsidRPr="00DE264C">
        <w:rPr>
          <w:rStyle w:val="normaltextrun"/>
          <w:noProof/>
          <w:color w:val="000000" w:themeColor="text1"/>
        </w:rPr>
        <w:t xml:space="preserve"> </w:t>
      </w:r>
      <w:r w:rsidR="008137B5" w:rsidRPr="00DE264C">
        <w:rPr>
          <w:rStyle w:val="normaltextrun"/>
          <w:noProof/>
          <w:color w:val="000000" w:themeColor="text1"/>
        </w:rPr>
        <w:t xml:space="preserve">pan-European networks and services, as the current general authorisation regime remains fragmented and unevenly implemented across </w:t>
      </w:r>
      <w:r w:rsidR="7D873B32" w:rsidRPr="00DE264C">
        <w:rPr>
          <w:rStyle w:val="normaltextrun"/>
          <w:noProof/>
          <w:color w:val="000000" w:themeColor="text1"/>
        </w:rPr>
        <w:t xml:space="preserve">the </w:t>
      </w:r>
      <w:r w:rsidR="008137B5" w:rsidRPr="00DE264C">
        <w:rPr>
          <w:rStyle w:val="normaltextrun"/>
          <w:noProof/>
          <w:color w:val="000000" w:themeColor="text1"/>
        </w:rPr>
        <w:t xml:space="preserve">Member States. It would also do little to increase the number of pan-European services, since </w:t>
      </w:r>
      <w:r w:rsidR="7711781C" w:rsidRPr="00DE264C">
        <w:rPr>
          <w:rStyle w:val="normaltextrun"/>
          <w:noProof/>
          <w:color w:val="000000" w:themeColor="text1"/>
        </w:rPr>
        <w:t xml:space="preserve">the </w:t>
      </w:r>
      <w:r w:rsidR="008137B5" w:rsidRPr="00DE264C">
        <w:rPr>
          <w:rStyle w:val="normaltextrun"/>
          <w:noProof/>
          <w:color w:val="000000" w:themeColor="text1"/>
        </w:rPr>
        <w:t xml:space="preserve">existing national authorisation frameworks continue to create administrative burdens </w:t>
      </w:r>
      <w:r w:rsidR="003D1C34">
        <w:rPr>
          <w:rStyle w:val="normaltextrun"/>
          <w:noProof/>
          <w:color w:val="000000" w:themeColor="text1"/>
        </w:rPr>
        <w:t xml:space="preserve">for </w:t>
      </w:r>
      <w:r w:rsidR="008137B5" w:rsidRPr="00DE264C">
        <w:rPr>
          <w:rStyle w:val="normaltextrun"/>
          <w:noProof/>
          <w:color w:val="000000" w:themeColor="text1"/>
        </w:rPr>
        <w:t>cross-border operations</w:t>
      </w:r>
      <w:r w:rsidR="470E7EC0" w:rsidRPr="00DE264C">
        <w:rPr>
          <w:rStyle w:val="normaltextrun"/>
          <w:noProof/>
          <w:color w:val="000000" w:themeColor="text1"/>
        </w:rPr>
        <w:t xml:space="preserve">; </w:t>
      </w:r>
      <w:r w:rsidR="008137B5" w:rsidRPr="00DE264C">
        <w:rPr>
          <w:rStyle w:val="normaltextrun"/>
          <w:noProof/>
          <w:color w:val="000000" w:themeColor="text1"/>
        </w:rPr>
        <w:t xml:space="preserve">these are especially severe for satellite services, which are </w:t>
      </w:r>
      <w:bookmarkStart w:id="195" w:name="_Hlk214907462"/>
      <w:r w:rsidR="008137B5" w:rsidRPr="00DE264C">
        <w:rPr>
          <w:rStyle w:val="normaltextrun"/>
          <w:noProof/>
          <w:color w:val="000000" w:themeColor="text1"/>
        </w:rPr>
        <w:t>inherently cross-border</w:t>
      </w:r>
      <w:bookmarkEnd w:id="195"/>
      <w:r w:rsidR="008137B5" w:rsidRPr="00DE264C">
        <w:rPr>
          <w:rStyle w:val="normaltextrun"/>
          <w:noProof/>
          <w:color w:val="000000" w:themeColor="text1"/>
        </w:rPr>
        <w:t>.</w:t>
      </w:r>
    </w:p>
    <w:p w14:paraId="3BD44F28" w14:textId="5A5E9448" w:rsidR="00CA7C72" w:rsidRDefault="00170D81" w:rsidP="00053713">
      <w:pPr>
        <w:spacing w:line="240" w:lineRule="auto"/>
        <w:rPr>
          <w:rStyle w:val="normaltextrun"/>
          <w:noProof/>
        </w:rPr>
      </w:pPr>
      <w:r w:rsidRPr="00DE264C">
        <w:rPr>
          <w:rStyle w:val="normaltextrun"/>
          <w:noProof/>
        </w:rPr>
        <w:t>B</w:t>
      </w:r>
      <w:r w:rsidR="589B7E70" w:rsidRPr="00DE264C">
        <w:rPr>
          <w:rStyle w:val="normaltextrun"/>
          <w:noProof/>
        </w:rPr>
        <w:t>arriers to</w:t>
      </w:r>
      <w:r w:rsidR="589B7E70" w:rsidRPr="00DE264C">
        <w:rPr>
          <w:noProof/>
        </w:rPr>
        <w:t xml:space="preserve"> the development of </w:t>
      </w:r>
      <w:r w:rsidR="589B7E70" w:rsidRPr="00292895">
        <w:rPr>
          <w:noProof/>
        </w:rPr>
        <w:t xml:space="preserve">pan-European satellite </w:t>
      </w:r>
      <w:r w:rsidR="3F0B1922" w:rsidRPr="00292895">
        <w:rPr>
          <w:noProof/>
        </w:rPr>
        <w:t xml:space="preserve">networks and </w:t>
      </w:r>
      <w:r w:rsidR="589B7E70" w:rsidRPr="00292895">
        <w:rPr>
          <w:noProof/>
        </w:rPr>
        <w:t>services</w:t>
      </w:r>
      <w:r w:rsidR="589B7E70" w:rsidRPr="00DE264C">
        <w:rPr>
          <w:noProof/>
        </w:rPr>
        <w:t xml:space="preserve"> </w:t>
      </w:r>
      <w:r w:rsidR="00364603">
        <w:rPr>
          <w:noProof/>
        </w:rPr>
        <w:t xml:space="preserve">will </w:t>
      </w:r>
      <w:r w:rsidR="589B7E70" w:rsidRPr="00DE264C">
        <w:rPr>
          <w:noProof/>
        </w:rPr>
        <w:t xml:space="preserve">persist since </w:t>
      </w:r>
      <w:r w:rsidR="589B7E70" w:rsidRPr="00DE264C">
        <w:rPr>
          <w:rStyle w:val="normaltextrun"/>
          <w:noProof/>
        </w:rPr>
        <w:t xml:space="preserve">the authorisation of satellite networks and services </w:t>
      </w:r>
      <w:r w:rsidR="00364603">
        <w:rPr>
          <w:rStyle w:val="normaltextrun"/>
          <w:noProof/>
        </w:rPr>
        <w:t>will</w:t>
      </w:r>
      <w:r w:rsidR="00BB2BFC" w:rsidRPr="00DE264C">
        <w:rPr>
          <w:rStyle w:val="normaltextrun"/>
          <w:noProof/>
        </w:rPr>
        <w:t xml:space="preserve"> </w:t>
      </w:r>
      <w:r w:rsidR="00CD4C25" w:rsidRPr="00DE264C">
        <w:rPr>
          <w:rStyle w:val="normaltextrun"/>
          <w:noProof/>
        </w:rPr>
        <w:t xml:space="preserve">not </w:t>
      </w:r>
      <w:r w:rsidR="00364603">
        <w:rPr>
          <w:rStyle w:val="normaltextrun"/>
          <w:noProof/>
        </w:rPr>
        <w:t>be</w:t>
      </w:r>
      <w:r w:rsidR="00CD4C25" w:rsidRPr="00DE264C">
        <w:rPr>
          <w:rStyle w:val="normaltextrun"/>
          <w:noProof/>
        </w:rPr>
        <w:t xml:space="preserve"> coordinated and </w:t>
      </w:r>
      <w:r w:rsidR="00364603">
        <w:rPr>
          <w:rStyle w:val="normaltextrun"/>
          <w:noProof/>
        </w:rPr>
        <w:t xml:space="preserve">will </w:t>
      </w:r>
      <w:r w:rsidR="589B7E70" w:rsidRPr="00DE264C">
        <w:rPr>
          <w:rStyle w:val="normaltextrun"/>
          <w:noProof/>
        </w:rPr>
        <w:t>continue to be entrusted to 27 national authorities, even for pan-</w:t>
      </w:r>
      <w:r w:rsidR="527957C8" w:rsidRPr="00DE264C">
        <w:rPr>
          <w:rStyle w:val="normaltextrun"/>
          <w:noProof/>
        </w:rPr>
        <w:t>European</w:t>
      </w:r>
      <w:r w:rsidR="589B7E70" w:rsidRPr="00DE264C">
        <w:rPr>
          <w:rStyle w:val="normaltextrun"/>
          <w:noProof/>
        </w:rPr>
        <w:t xml:space="preserve"> services</w:t>
      </w:r>
      <w:r w:rsidR="003B342F" w:rsidRPr="00DE264C">
        <w:rPr>
          <w:rStyle w:val="normaltextrun"/>
          <w:noProof/>
        </w:rPr>
        <w:t xml:space="preserve">. </w:t>
      </w:r>
      <w:r w:rsidR="00786554" w:rsidRPr="00DE264C">
        <w:rPr>
          <w:rStyle w:val="normaltextrun"/>
          <w:noProof/>
        </w:rPr>
        <w:t>Continuing with</w:t>
      </w:r>
      <w:r w:rsidR="00CC45D4" w:rsidRPr="00DE264C">
        <w:rPr>
          <w:rStyle w:val="normaltextrun"/>
          <w:noProof/>
        </w:rPr>
        <w:t xml:space="preserve"> the current complex division of national regulatory competences for satellite authorisations</w:t>
      </w:r>
      <w:r w:rsidR="002E2139" w:rsidRPr="00DE264C">
        <w:rPr>
          <w:rStyle w:val="normaltextrun"/>
          <w:noProof/>
        </w:rPr>
        <w:t xml:space="preserve"> </w:t>
      </w:r>
      <w:r w:rsidR="00D624E5" w:rsidRPr="00DE264C">
        <w:rPr>
          <w:rStyle w:val="normaltextrun"/>
          <w:noProof/>
        </w:rPr>
        <w:t xml:space="preserve">– </w:t>
      </w:r>
      <w:r w:rsidR="00CC45D4" w:rsidRPr="00DE264C">
        <w:rPr>
          <w:rStyle w:val="normaltextrun"/>
          <w:noProof/>
        </w:rPr>
        <w:t xml:space="preserve">many of which differ substantially in application </w:t>
      </w:r>
      <w:r w:rsidR="00CC45D4" w:rsidRPr="00785F5E">
        <w:rPr>
          <w:rStyle w:val="normaltextrun"/>
          <w:noProof/>
          <w:color w:val="000000" w:themeColor="text1"/>
        </w:rPr>
        <w:t>procedures</w:t>
      </w:r>
      <w:r w:rsidR="00CC45D4" w:rsidRPr="00DE264C">
        <w:rPr>
          <w:rStyle w:val="normaltextrun"/>
          <w:noProof/>
        </w:rPr>
        <w:t xml:space="preserve"> (including costly testing requirements), licence conditions and fee structures </w:t>
      </w:r>
      <w:r w:rsidR="00013219" w:rsidRPr="00DE264C">
        <w:rPr>
          <w:rStyle w:val="normaltextrun"/>
          <w:noProof/>
        </w:rPr>
        <w:t xml:space="preserve">– </w:t>
      </w:r>
      <w:r w:rsidR="00C67D06">
        <w:rPr>
          <w:rStyle w:val="normaltextrun"/>
          <w:noProof/>
        </w:rPr>
        <w:t>will</w:t>
      </w:r>
      <w:r w:rsidR="00C67D06" w:rsidRPr="00DE264C">
        <w:rPr>
          <w:rStyle w:val="normaltextrun"/>
          <w:noProof/>
        </w:rPr>
        <w:t xml:space="preserve"> </w:t>
      </w:r>
      <w:r w:rsidR="00CE28A0" w:rsidRPr="00DE264C">
        <w:rPr>
          <w:rStyle w:val="normaltextrun"/>
          <w:noProof/>
        </w:rPr>
        <w:t>limit</w:t>
      </w:r>
      <w:r w:rsidR="00CC45D4" w:rsidRPr="00DE264C">
        <w:rPr>
          <w:rStyle w:val="normaltextrun"/>
          <w:noProof/>
        </w:rPr>
        <w:t xml:space="preserve"> the deployment of innovative satellite </w:t>
      </w:r>
      <w:r w:rsidR="312BEB1E" w:rsidRPr="18864199">
        <w:rPr>
          <w:rStyle w:val="normaltextrun"/>
          <w:noProof/>
        </w:rPr>
        <w:t>D2D</w:t>
      </w:r>
      <w:r w:rsidR="00CC45D4" w:rsidRPr="00DE264C">
        <w:rPr>
          <w:rStyle w:val="normaltextrun"/>
          <w:noProof/>
        </w:rPr>
        <w:t xml:space="preserve"> services in an increasingly competitive global market, significantly undermining EU competitiveness. </w:t>
      </w:r>
    </w:p>
    <w:p w14:paraId="2C5CD083" w14:textId="7B9C02D1" w:rsidR="001347D5" w:rsidRDefault="0048012E" w:rsidP="00053713">
      <w:pPr>
        <w:spacing w:line="240" w:lineRule="auto"/>
        <w:rPr>
          <w:noProof/>
        </w:rPr>
      </w:pPr>
      <w:r w:rsidRPr="00DE264C">
        <w:rPr>
          <w:rStyle w:val="normaltextrun"/>
          <w:noProof/>
        </w:rPr>
        <w:t>Such</w:t>
      </w:r>
      <w:r w:rsidR="00697FA3" w:rsidRPr="00DE264C">
        <w:rPr>
          <w:noProof/>
        </w:rPr>
        <w:t xml:space="preserve"> </w:t>
      </w:r>
      <w:r w:rsidR="00D5395E" w:rsidRPr="00DE264C">
        <w:rPr>
          <w:noProof/>
        </w:rPr>
        <w:t>a fragmented</w:t>
      </w:r>
      <w:r w:rsidR="00697FA3" w:rsidRPr="00DE264C">
        <w:rPr>
          <w:noProof/>
        </w:rPr>
        <w:t xml:space="preserve"> </w:t>
      </w:r>
      <w:r w:rsidRPr="00DE264C">
        <w:rPr>
          <w:noProof/>
        </w:rPr>
        <w:t>authorisation regime</w:t>
      </w:r>
      <w:r w:rsidR="00697FA3" w:rsidRPr="00DE264C">
        <w:rPr>
          <w:noProof/>
        </w:rPr>
        <w:t xml:space="preserve"> </w:t>
      </w:r>
      <w:r w:rsidR="00B642D7">
        <w:rPr>
          <w:noProof/>
        </w:rPr>
        <w:t>will</w:t>
      </w:r>
      <w:r w:rsidR="00697FA3" w:rsidRPr="00DE264C">
        <w:rPr>
          <w:noProof/>
        </w:rPr>
        <w:t xml:space="preserve"> lack predictability, </w:t>
      </w:r>
      <w:r w:rsidR="0073022D" w:rsidRPr="00DE264C">
        <w:rPr>
          <w:noProof/>
        </w:rPr>
        <w:t>legal certainty,</w:t>
      </w:r>
      <w:r w:rsidR="00697FA3" w:rsidRPr="00DE264C">
        <w:rPr>
          <w:noProof/>
        </w:rPr>
        <w:t xml:space="preserve"> transparency and </w:t>
      </w:r>
      <w:r w:rsidRPr="00DE264C">
        <w:rPr>
          <w:noProof/>
        </w:rPr>
        <w:t>raise</w:t>
      </w:r>
      <w:r w:rsidR="00697FA3" w:rsidRPr="00DE264C">
        <w:rPr>
          <w:noProof/>
        </w:rPr>
        <w:t xml:space="preserve"> market access barriers due to complexity</w:t>
      </w:r>
      <w:r w:rsidR="05A5406F" w:rsidRPr="00DE264C">
        <w:rPr>
          <w:noProof/>
        </w:rPr>
        <w:t xml:space="preserve">, </w:t>
      </w:r>
      <w:r w:rsidR="00D2518E" w:rsidRPr="00DE264C">
        <w:rPr>
          <w:rStyle w:val="normaltextrun"/>
          <w:noProof/>
        </w:rPr>
        <w:t>increase</w:t>
      </w:r>
      <w:r w:rsidR="007F75C7" w:rsidRPr="00DE264C">
        <w:rPr>
          <w:rStyle w:val="normaltextrun"/>
          <w:noProof/>
        </w:rPr>
        <w:t>d</w:t>
      </w:r>
      <w:r w:rsidR="00D2518E" w:rsidRPr="00DE264C">
        <w:rPr>
          <w:rStyle w:val="normaltextrun"/>
          <w:noProof/>
        </w:rPr>
        <w:t xml:space="preserve"> compliance </w:t>
      </w:r>
      <w:r w:rsidR="00177FE0" w:rsidRPr="00DE264C">
        <w:rPr>
          <w:rStyle w:val="normaltextrun"/>
          <w:noProof/>
        </w:rPr>
        <w:t xml:space="preserve">and scale-up </w:t>
      </w:r>
      <w:r w:rsidR="00D2518E" w:rsidRPr="00DE264C">
        <w:rPr>
          <w:rStyle w:val="normaltextrun"/>
          <w:noProof/>
        </w:rPr>
        <w:t>cost, and prolong</w:t>
      </w:r>
      <w:r w:rsidR="007F75C7" w:rsidRPr="00DE264C">
        <w:rPr>
          <w:rStyle w:val="normaltextrun"/>
          <w:noProof/>
        </w:rPr>
        <w:t>ed</w:t>
      </w:r>
      <w:r w:rsidR="00D2518E" w:rsidRPr="00DE264C">
        <w:rPr>
          <w:rStyle w:val="normaltextrun"/>
          <w:noProof/>
        </w:rPr>
        <w:t xml:space="preserve"> time to market</w:t>
      </w:r>
      <w:r w:rsidR="002A3EB4" w:rsidRPr="00DE264C">
        <w:rPr>
          <w:noProof/>
          <w:vertAlign w:val="superscript"/>
        </w:rPr>
        <w:footnoteReference w:id="203"/>
      </w:r>
      <w:r w:rsidR="004349BB" w:rsidRPr="00DE264C">
        <w:rPr>
          <w:rStyle w:val="normaltextrun"/>
          <w:noProof/>
        </w:rPr>
        <w:t xml:space="preserve">, which </w:t>
      </w:r>
      <w:r w:rsidR="00576E89" w:rsidRPr="00DE264C">
        <w:rPr>
          <w:rStyle w:val="normaltextrun"/>
          <w:noProof/>
        </w:rPr>
        <w:t>could</w:t>
      </w:r>
      <w:r w:rsidR="00692218" w:rsidRPr="00DE264C">
        <w:rPr>
          <w:rStyle w:val="normaltextrun"/>
          <w:noProof/>
        </w:rPr>
        <w:t xml:space="preserve"> </w:t>
      </w:r>
      <w:r w:rsidR="004848C2" w:rsidRPr="00DE264C">
        <w:rPr>
          <w:rStyle w:val="normaltextrun"/>
          <w:noProof/>
        </w:rPr>
        <w:t xml:space="preserve">eventually </w:t>
      </w:r>
      <w:r w:rsidR="00697FA3" w:rsidRPr="00DE264C">
        <w:rPr>
          <w:noProof/>
        </w:rPr>
        <w:t>undermin</w:t>
      </w:r>
      <w:r w:rsidR="00576E89" w:rsidRPr="00DE264C">
        <w:rPr>
          <w:noProof/>
        </w:rPr>
        <w:t>e</w:t>
      </w:r>
      <w:r w:rsidR="00697FA3" w:rsidRPr="00DE264C">
        <w:rPr>
          <w:noProof/>
        </w:rPr>
        <w:t xml:space="preserve"> investor confidence and</w:t>
      </w:r>
      <w:r w:rsidR="00EC2BED" w:rsidRPr="00DE264C">
        <w:rPr>
          <w:noProof/>
        </w:rPr>
        <w:t>,</w:t>
      </w:r>
      <w:r w:rsidR="00697FA3" w:rsidRPr="00DE264C">
        <w:rPr>
          <w:noProof/>
        </w:rPr>
        <w:t xml:space="preserve"> </w:t>
      </w:r>
      <w:r w:rsidR="006B47CB" w:rsidRPr="00DE264C">
        <w:rPr>
          <w:noProof/>
        </w:rPr>
        <w:t>ultimately</w:t>
      </w:r>
      <w:r w:rsidR="00EC2BED" w:rsidRPr="00DE264C">
        <w:rPr>
          <w:noProof/>
        </w:rPr>
        <w:t>,</w:t>
      </w:r>
      <w:r w:rsidR="006B47CB" w:rsidRPr="00DE264C">
        <w:rPr>
          <w:noProof/>
        </w:rPr>
        <w:t xml:space="preserve"> </w:t>
      </w:r>
      <w:r w:rsidR="00697FA3" w:rsidRPr="00DE264C">
        <w:rPr>
          <w:noProof/>
        </w:rPr>
        <w:t>increase the cost of capital for new satellite projects</w:t>
      </w:r>
      <w:r w:rsidR="00697FA3" w:rsidRPr="00DE264C">
        <w:rPr>
          <w:noProof/>
          <w:vertAlign w:val="superscript"/>
        </w:rPr>
        <w:footnoteReference w:id="204"/>
      </w:r>
      <w:r w:rsidR="3045E6DA" w:rsidRPr="00DE264C">
        <w:rPr>
          <w:noProof/>
        </w:rPr>
        <w:t>.</w:t>
      </w:r>
      <w:r w:rsidR="589B7E70" w:rsidRPr="00DE264C">
        <w:rPr>
          <w:noProof/>
        </w:rPr>
        <w:t xml:space="preserve"> </w:t>
      </w:r>
      <w:r w:rsidR="00F34F1F" w:rsidRPr="00DE264C">
        <w:rPr>
          <w:noProof/>
        </w:rPr>
        <w:t>According to a study</w:t>
      </w:r>
      <w:r w:rsidR="00AF416A" w:rsidRPr="00DE264C">
        <w:rPr>
          <w:noProof/>
        </w:rPr>
        <w:t>,</w:t>
      </w:r>
      <w:r w:rsidR="00F34F1F" w:rsidRPr="00DE264C">
        <w:rPr>
          <w:noProof/>
        </w:rPr>
        <w:t xml:space="preserve"> </w:t>
      </w:r>
      <w:r w:rsidR="00EC768E" w:rsidRPr="00DE264C">
        <w:rPr>
          <w:noProof/>
        </w:rPr>
        <w:t>a 4-month</w:t>
      </w:r>
      <w:r w:rsidR="00F34F1F" w:rsidRPr="00DE264C">
        <w:rPr>
          <w:noProof/>
        </w:rPr>
        <w:t xml:space="preserve"> delay</w:t>
      </w:r>
      <w:r w:rsidR="006130C0" w:rsidRPr="00DE264C">
        <w:rPr>
          <w:noProof/>
        </w:rPr>
        <w:t xml:space="preserve"> in </w:t>
      </w:r>
      <w:r w:rsidR="00F34F1F" w:rsidRPr="00DE264C">
        <w:rPr>
          <w:noProof/>
        </w:rPr>
        <w:t xml:space="preserve">authorisation </w:t>
      </w:r>
      <w:r w:rsidR="00593DE3" w:rsidRPr="00DE264C">
        <w:rPr>
          <w:noProof/>
        </w:rPr>
        <w:t>for</w:t>
      </w:r>
      <w:r w:rsidR="006130C0" w:rsidRPr="00DE264C">
        <w:rPr>
          <w:noProof/>
        </w:rPr>
        <w:t xml:space="preserve"> the deployment of D2D </w:t>
      </w:r>
      <w:r w:rsidR="006130C0" w:rsidRPr="00785F5E">
        <w:rPr>
          <w:rStyle w:val="normaltextrun"/>
          <w:noProof/>
          <w:color w:val="000000" w:themeColor="text1"/>
        </w:rPr>
        <w:t>services</w:t>
      </w:r>
      <w:r w:rsidR="006130C0" w:rsidRPr="00DE264C">
        <w:rPr>
          <w:noProof/>
        </w:rPr>
        <w:t xml:space="preserve"> in a major LEO constellation with a global average number of subscribers of around 300</w:t>
      </w:r>
      <w:r w:rsidR="00630A1B">
        <w:rPr>
          <w:noProof/>
        </w:rPr>
        <w:t> </w:t>
      </w:r>
      <w:r w:rsidR="006130C0" w:rsidRPr="00DE264C">
        <w:rPr>
          <w:noProof/>
        </w:rPr>
        <w:t xml:space="preserve">000, could cost a company in terms of lost revenue </w:t>
      </w:r>
      <w:r w:rsidR="004E0034">
        <w:rPr>
          <w:noProof/>
        </w:rPr>
        <w:t>EUR </w:t>
      </w:r>
      <w:r w:rsidR="006130C0" w:rsidRPr="00DE264C">
        <w:rPr>
          <w:noProof/>
        </w:rPr>
        <w:t>18</w:t>
      </w:r>
      <w:r w:rsidR="00666B79">
        <w:rPr>
          <w:noProof/>
        </w:rPr>
        <w:t>.</w:t>
      </w:r>
      <w:r w:rsidR="006130C0" w:rsidRPr="00DE264C">
        <w:rPr>
          <w:noProof/>
        </w:rPr>
        <w:t>3 million</w:t>
      </w:r>
      <w:r w:rsidR="00E841A0" w:rsidRPr="00DE264C">
        <w:rPr>
          <w:rStyle w:val="FootnoteReference"/>
          <w:noProof/>
        </w:rPr>
        <w:footnoteReference w:id="205"/>
      </w:r>
      <w:r w:rsidR="00701704" w:rsidRPr="00DE264C">
        <w:rPr>
          <w:noProof/>
        </w:rPr>
        <w:t>.</w:t>
      </w:r>
      <w:r w:rsidR="00AF416A">
        <w:rPr>
          <w:noProof/>
        </w:rPr>
        <w:t xml:space="preserve"> </w:t>
      </w:r>
      <w:r w:rsidR="00C470EF" w:rsidRPr="006F640B">
        <w:rPr>
          <w:noProof/>
        </w:rPr>
        <w:t xml:space="preserve">Looking at </w:t>
      </w:r>
      <w:r w:rsidR="006F640B" w:rsidRPr="006F640B">
        <w:rPr>
          <w:noProof/>
        </w:rPr>
        <w:t>potential</w:t>
      </w:r>
      <w:r w:rsidR="00C470EF" w:rsidRPr="006F640B">
        <w:rPr>
          <w:noProof/>
        </w:rPr>
        <w:t xml:space="preserve"> future </w:t>
      </w:r>
      <w:r w:rsidR="006F640B" w:rsidRPr="006F640B">
        <w:rPr>
          <w:noProof/>
        </w:rPr>
        <w:t>impacts on</w:t>
      </w:r>
      <w:r w:rsidR="006F640B">
        <w:rPr>
          <w:noProof/>
        </w:rPr>
        <w:t xml:space="preserve"> another</w:t>
      </w:r>
      <w:r w:rsidR="006F640B" w:rsidRPr="006F640B">
        <w:rPr>
          <w:noProof/>
        </w:rPr>
        <w:t xml:space="preserve"> EU </w:t>
      </w:r>
      <w:r w:rsidR="00C470EF" w:rsidRPr="006F640B">
        <w:rPr>
          <w:noProof/>
        </w:rPr>
        <w:t xml:space="preserve">constellation, a </w:t>
      </w:r>
      <w:r w:rsidR="006F640B" w:rsidRPr="006F640B">
        <w:rPr>
          <w:noProof/>
        </w:rPr>
        <w:t xml:space="preserve">complete </w:t>
      </w:r>
      <w:r w:rsidR="00C470EF" w:rsidRPr="006F640B">
        <w:rPr>
          <w:noProof/>
        </w:rPr>
        <w:t xml:space="preserve">inability to deliver </w:t>
      </w:r>
      <w:r w:rsidR="006F640B" w:rsidRPr="006F640B">
        <w:rPr>
          <w:noProof/>
        </w:rPr>
        <w:t xml:space="preserve">IRIS² services across the EU </w:t>
      </w:r>
      <w:r w:rsidR="00C470EF" w:rsidRPr="006F640B">
        <w:rPr>
          <w:noProof/>
        </w:rPr>
        <w:t xml:space="preserve">for one month in 2030 would </w:t>
      </w:r>
      <w:r w:rsidR="006F640B" w:rsidRPr="006F640B">
        <w:rPr>
          <w:noProof/>
        </w:rPr>
        <w:t xml:space="preserve">lead to </w:t>
      </w:r>
      <w:r w:rsidR="00C470EF" w:rsidRPr="006F640B">
        <w:rPr>
          <w:noProof/>
        </w:rPr>
        <w:t xml:space="preserve">an estimated loss of </w:t>
      </w:r>
      <w:r w:rsidR="006F640B" w:rsidRPr="006F640B">
        <w:rPr>
          <w:noProof/>
        </w:rPr>
        <w:t>about EUR</w:t>
      </w:r>
      <w:r w:rsidR="00785F5E">
        <w:rPr>
          <w:noProof/>
        </w:rPr>
        <w:t> </w:t>
      </w:r>
      <w:r w:rsidR="006F640B" w:rsidRPr="006F640B">
        <w:rPr>
          <w:noProof/>
        </w:rPr>
        <w:t xml:space="preserve">50 million in </w:t>
      </w:r>
      <w:r w:rsidR="00C470EF" w:rsidRPr="006F640B">
        <w:rPr>
          <w:noProof/>
        </w:rPr>
        <w:t>potential revenue</w:t>
      </w:r>
      <w:r w:rsidR="006F640B" w:rsidRPr="006F640B">
        <w:rPr>
          <w:noProof/>
        </w:rPr>
        <w:t>. A one-</w:t>
      </w:r>
      <w:r w:rsidR="00C470EF" w:rsidRPr="006F640B">
        <w:rPr>
          <w:noProof/>
        </w:rPr>
        <w:t>month</w:t>
      </w:r>
      <w:r w:rsidR="006F640B" w:rsidRPr="006F640B">
        <w:rPr>
          <w:noProof/>
        </w:rPr>
        <w:t xml:space="preserve"> loss of </w:t>
      </w:r>
      <w:r w:rsidR="00C470EF" w:rsidRPr="006F640B">
        <w:rPr>
          <w:noProof/>
        </w:rPr>
        <w:t xml:space="preserve">service in a single Member State would </w:t>
      </w:r>
      <w:r w:rsidR="006F640B" w:rsidRPr="006F640B">
        <w:rPr>
          <w:noProof/>
        </w:rPr>
        <w:t xml:space="preserve">reduce </w:t>
      </w:r>
      <w:r w:rsidR="00C470EF" w:rsidRPr="006F640B">
        <w:rPr>
          <w:noProof/>
        </w:rPr>
        <w:t xml:space="preserve">revenue </w:t>
      </w:r>
      <w:r w:rsidR="006F640B" w:rsidRPr="006F640B">
        <w:rPr>
          <w:noProof/>
        </w:rPr>
        <w:t>in proportion</w:t>
      </w:r>
      <w:r w:rsidR="00C470EF" w:rsidRPr="006F640B">
        <w:rPr>
          <w:noProof/>
        </w:rPr>
        <w:t xml:space="preserve"> to </w:t>
      </w:r>
      <w:r w:rsidR="006F640B" w:rsidRPr="006F640B">
        <w:rPr>
          <w:noProof/>
        </w:rPr>
        <w:t>that State’s</w:t>
      </w:r>
      <w:r w:rsidR="00C470EF" w:rsidRPr="006F640B">
        <w:rPr>
          <w:noProof/>
        </w:rPr>
        <w:t xml:space="preserve"> share of </w:t>
      </w:r>
      <w:r w:rsidR="006F640B" w:rsidRPr="006F640B">
        <w:rPr>
          <w:noProof/>
        </w:rPr>
        <w:t xml:space="preserve">total </w:t>
      </w:r>
      <w:r w:rsidR="00C470EF" w:rsidRPr="006F640B">
        <w:rPr>
          <w:noProof/>
        </w:rPr>
        <w:t>EU revenue</w:t>
      </w:r>
      <w:r w:rsidR="006600C2">
        <w:rPr>
          <w:noProof/>
        </w:rPr>
        <w:t xml:space="preserve">. </w:t>
      </w:r>
    </w:p>
    <w:p w14:paraId="37C2B832" w14:textId="7216CA00" w:rsidR="003A6461" w:rsidRPr="00DE264C" w:rsidRDefault="002E0597" w:rsidP="00053713">
      <w:pPr>
        <w:spacing w:line="240" w:lineRule="auto"/>
        <w:rPr>
          <w:noProof/>
        </w:rPr>
      </w:pPr>
      <w:r w:rsidRPr="006E27E1">
        <w:rPr>
          <w:noProof/>
          <w:lang w:val="en-IE"/>
        </w:rPr>
        <w:t>Barriers to pan-European satellite services will</w:t>
      </w:r>
      <w:r w:rsidR="001233B0" w:rsidRPr="006E27E1">
        <w:rPr>
          <w:noProof/>
          <w:lang w:val="en-IE"/>
        </w:rPr>
        <w:t xml:space="preserve"> also </w:t>
      </w:r>
      <w:r w:rsidR="00A832A0" w:rsidRPr="006E27E1">
        <w:rPr>
          <w:noProof/>
          <w:lang w:val="en-IE"/>
        </w:rPr>
        <w:t xml:space="preserve">be driven by </w:t>
      </w:r>
      <w:r w:rsidR="00A832A0" w:rsidRPr="00DE264C">
        <w:rPr>
          <w:rStyle w:val="normaltextrun"/>
          <w:noProof/>
        </w:rPr>
        <w:t xml:space="preserve">inconsistent interpretation of compliance and reporting obligations (in terms of format, frequency and requirements) increasing administrative costs. </w:t>
      </w:r>
      <w:r w:rsidR="00E50C6D" w:rsidRPr="00DE264C">
        <w:rPr>
          <w:rStyle w:val="normaltextrun"/>
          <w:noProof/>
        </w:rPr>
        <w:t>For instance</w:t>
      </w:r>
      <w:r w:rsidR="00BE4F5D" w:rsidRPr="006E27E1">
        <w:rPr>
          <w:noProof/>
          <w:lang w:val="en-IE"/>
        </w:rPr>
        <w:t>, as part of the authorisation process, operators are asked to conduct in-country testing in each MS</w:t>
      </w:r>
      <w:r w:rsidR="00E50C6D" w:rsidRPr="006E27E1">
        <w:rPr>
          <w:noProof/>
          <w:lang w:val="en-IE"/>
        </w:rPr>
        <w:t xml:space="preserve"> </w:t>
      </w:r>
      <w:r w:rsidR="00BE4F5D" w:rsidRPr="006E27E1">
        <w:rPr>
          <w:noProof/>
          <w:lang w:val="en-IE"/>
        </w:rPr>
        <w:t xml:space="preserve">which would </w:t>
      </w:r>
      <w:r w:rsidR="00BC10E4" w:rsidRPr="006E27E1">
        <w:rPr>
          <w:noProof/>
          <w:lang w:val="en-IE"/>
        </w:rPr>
        <w:t xml:space="preserve">indicatively </w:t>
      </w:r>
      <w:r w:rsidR="004C17FD" w:rsidRPr="006E27E1">
        <w:rPr>
          <w:noProof/>
          <w:lang w:val="en-IE"/>
        </w:rPr>
        <w:t xml:space="preserve">cost </w:t>
      </w:r>
      <w:r w:rsidR="00BE4F5D" w:rsidRPr="006E27E1">
        <w:rPr>
          <w:noProof/>
          <w:lang w:val="en-IE"/>
        </w:rPr>
        <w:t>EUR</w:t>
      </w:r>
      <w:r w:rsidR="004E0034">
        <w:rPr>
          <w:noProof/>
          <w:lang w:val="en-IE"/>
        </w:rPr>
        <w:t> </w:t>
      </w:r>
      <w:r w:rsidR="00BE4F5D" w:rsidRPr="006E27E1">
        <w:rPr>
          <w:noProof/>
          <w:lang w:val="en-IE"/>
        </w:rPr>
        <w:t>3.2</w:t>
      </w:r>
      <w:r w:rsidR="00666B79" w:rsidRPr="006E27E1">
        <w:rPr>
          <w:noProof/>
          <w:lang w:val="en-IE"/>
        </w:rPr>
        <w:t xml:space="preserve"> million</w:t>
      </w:r>
      <w:r w:rsidR="00BE4F5D" w:rsidRPr="006E27E1">
        <w:rPr>
          <w:noProof/>
          <w:lang w:val="en-IE"/>
        </w:rPr>
        <w:t xml:space="preserve"> across all </w:t>
      </w:r>
      <w:r w:rsidR="004C17FD" w:rsidRPr="006E27E1">
        <w:rPr>
          <w:noProof/>
          <w:lang w:val="en-IE"/>
        </w:rPr>
        <w:t>M</w:t>
      </w:r>
      <w:r w:rsidR="00666B79" w:rsidRPr="006E27E1">
        <w:rPr>
          <w:noProof/>
          <w:lang w:val="en-IE"/>
        </w:rPr>
        <w:t xml:space="preserve">ember </w:t>
      </w:r>
      <w:r w:rsidR="004C17FD" w:rsidRPr="006E27E1">
        <w:rPr>
          <w:noProof/>
          <w:lang w:val="en-IE"/>
        </w:rPr>
        <w:t>S</w:t>
      </w:r>
      <w:r w:rsidR="00666B79" w:rsidRPr="006E27E1">
        <w:rPr>
          <w:noProof/>
          <w:lang w:val="en-IE"/>
        </w:rPr>
        <w:t>tates</w:t>
      </w:r>
      <w:r w:rsidR="00071978" w:rsidRPr="006E27E1">
        <w:rPr>
          <w:noProof/>
          <w:lang w:val="en-IE"/>
        </w:rPr>
        <w:t xml:space="preserve"> (see section 6.3</w:t>
      </w:r>
      <w:r w:rsidR="004C17FD" w:rsidRPr="006E27E1">
        <w:rPr>
          <w:noProof/>
          <w:lang w:val="en-IE"/>
        </w:rPr>
        <w:t>.</w:t>
      </w:r>
      <w:r w:rsidR="00071978" w:rsidRPr="006E27E1">
        <w:rPr>
          <w:noProof/>
          <w:lang w:val="en-IE"/>
        </w:rPr>
        <w:t>2 for a more detailed analysis).</w:t>
      </w:r>
    </w:p>
    <w:p w14:paraId="2A035EAF" w14:textId="6ACCB0E7" w:rsidR="00175248" w:rsidRDefault="0082239F" w:rsidP="00053713">
      <w:pPr>
        <w:spacing w:line="240" w:lineRule="auto"/>
        <w:rPr>
          <w:rFonts w:eastAsia="Times New Roman_MSFontService"/>
          <w:noProof/>
        </w:rPr>
      </w:pPr>
      <w:r w:rsidRPr="00DE264C">
        <w:rPr>
          <w:noProof/>
        </w:rPr>
        <w:t xml:space="preserve">In a context of exponential increase of </w:t>
      </w:r>
      <w:r w:rsidR="005239E5" w:rsidRPr="00DE264C">
        <w:rPr>
          <w:noProof/>
        </w:rPr>
        <w:t xml:space="preserve">the number of </w:t>
      </w:r>
      <w:r w:rsidRPr="00DE264C">
        <w:rPr>
          <w:noProof/>
        </w:rPr>
        <w:t>satellite</w:t>
      </w:r>
      <w:r w:rsidR="005239E5" w:rsidRPr="00DE264C">
        <w:rPr>
          <w:noProof/>
        </w:rPr>
        <w:t xml:space="preserve">s </w:t>
      </w:r>
      <w:r w:rsidR="00D62C90" w:rsidRPr="00DE264C">
        <w:rPr>
          <w:noProof/>
        </w:rPr>
        <w:t>and satellite constellations</w:t>
      </w:r>
      <w:r w:rsidR="005239E5" w:rsidRPr="00DE264C">
        <w:rPr>
          <w:noProof/>
        </w:rPr>
        <w:t xml:space="preserve"> in the following years</w:t>
      </w:r>
      <w:r w:rsidR="007C14E2">
        <w:rPr>
          <w:rStyle w:val="FootnoteReference"/>
          <w:noProof/>
        </w:rPr>
        <w:footnoteReference w:id="206"/>
      </w:r>
      <w:r w:rsidR="005239E5" w:rsidRPr="00DE264C">
        <w:rPr>
          <w:noProof/>
        </w:rPr>
        <w:t>, a</w:t>
      </w:r>
      <w:r w:rsidR="00517ACF" w:rsidRPr="00DE264C">
        <w:rPr>
          <w:noProof/>
        </w:rPr>
        <w:t xml:space="preserve">ccess to EU markets </w:t>
      </w:r>
      <w:r w:rsidR="001347D5">
        <w:rPr>
          <w:noProof/>
        </w:rPr>
        <w:t xml:space="preserve">will </w:t>
      </w:r>
      <w:r w:rsidR="008B1A4E" w:rsidRPr="00DE264C">
        <w:rPr>
          <w:noProof/>
        </w:rPr>
        <w:t xml:space="preserve">remain </w:t>
      </w:r>
      <w:r w:rsidR="00517ACF" w:rsidRPr="00DE264C">
        <w:rPr>
          <w:noProof/>
        </w:rPr>
        <w:t>uncoordinated</w:t>
      </w:r>
      <w:r w:rsidR="34D69BEC" w:rsidRPr="00DE264C">
        <w:rPr>
          <w:rStyle w:val="normaltextrun"/>
          <w:noProof/>
        </w:rPr>
        <w:t xml:space="preserve">, </w:t>
      </w:r>
      <w:r w:rsidR="00517ACF" w:rsidRPr="00DE264C">
        <w:rPr>
          <w:rStyle w:val="normaltextrun"/>
          <w:noProof/>
        </w:rPr>
        <w:t>to the detriment</w:t>
      </w:r>
      <w:r w:rsidR="7EE86659" w:rsidRPr="00DE264C">
        <w:rPr>
          <w:rStyle w:val="normaltextrun"/>
          <w:noProof/>
        </w:rPr>
        <w:t xml:space="preserve"> of late-comer satellite systems </w:t>
      </w:r>
      <w:r w:rsidR="006A6F1A" w:rsidRPr="00DE264C">
        <w:rPr>
          <w:rStyle w:val="normaltextrun"/>
          <w:noProof/>
        </w:rPr>
        <w:t xml:space="preserve">which </w:t>
      </w:r>
      <w:r w:rsidR="00B3265B">
        <w:rPr>
          <w:rStyle w:val="normaltextrun"/>
          <w:noProof/>
        </w:rPr>
        <w:t xml:space="preserve">will </w:t>
      </w:r>
      <w:r w:rsidR="0017210F" w:rsidRPr="00DE264C">
        <w:rPr>
          <w:rStyle w:val="normaltextrun"/>
          <w:noProof/>
        </w:rPr>
        <w:t>face</w:t>
      </w:r>
      <w:r w:rsidR="006A6F1A" w:rsidRPr="00DE264C">
        <w:rPr>
          <w:rStyle w:val="normaltextrun"/>
          <w:noProof/>
        </w:rPr>
        <w:t xml:space="preserve"> limited access to </w:t>
      </w:r>
      <w:r w:rsidR="000C62DF" w:rsidRPr="00DE264C">
        <w:rPr>
          <w:noProof/>
        </w:rPr>
        <w:t>spectrum</w:t>
      </w:r>
      <w:r w:rsidR="0017210F" w:rsidRPr="00DE264C">
        <w:rPr>
          <w:noProof/>
        </w:rPr>
        <w:t>,</w:t>
      </w:r>
      <w:r w:rsidR="000C62DF" w:rsidRPr="00DE264C">
        <w:rPr>
          <w:noProof/>
        </w:rPr>
        <w:t xml:space="preserve"> </w:t>
      </w:r>
      <w:r w:rsidR="0009592F" w:rsidRPr="00DE264C">
        <w:rPr>
          <w:noProof/>
        </w:rPr>
        <w:t xml:space="preserve">increased risk of </w:t>
      </w:r>
      <w:r w:rsidR="000C62DF" w:rsidRPr="00DE264C">
        <w:rPr>
          <w:rStyle w:val="normaltextrun"/>
          <w:noProof/>
        </w:rPr>
        <w:t>interference</w:t>
      </w:r>
      <w:r w:rsidR="0017210F" w:rsidRPr="00DE264C">
        <w:rPr>
          <w:rStyle w:val="normaltextrun"/>
          <w:noProof/>
        </w:rPr>
        <w:t xml:space="preserve"> and high costs</w:t>
      </w:r>
      <w:r w:rsidR="000648DE" w:rsidRPr="00DE264C">
        <w:rPr>
          <w:rStyle w:val="normaltextrun"/>
          <w:noProof/>
        </w:rPr>
        <w:t xml:space="preserve">. </w:t>
      </w:r>
      <w:r w:rsidR="6780EECA" w:rsidRPr="00DE264C">
        <w:rPr>
          <w:rStyle w:val="normaltextrun"/>
          <w:noProof/>
        </w:rPr>
        <w:t>S</w:t>
      </w:r>
      <w:r w:rsidR="4B45FAB8" w:rsidRPr="00DE264C">
        <w:rPr>
          <w:rStyle w:val="normaltextrun"/>
          <w:noProof/>
        </w:rPr>
        <w:t>election</w:t>
      </w:r>
      <w:r w:rsidR="589B7E70" w:rsidRPr="00DE264C">
        <w:rPr>
          <w:rStyle w:val="normaltextrun"/>
          <w:noProof/>
        </w:rPr>
        <w:t xml:space="preserve"> of providers of pan-European services is possible only for the limited spectrum available in the 2 GHz band (2x30 </w:t>
      </w:r>
      <w:r w:rsidR="589B7E70" w:rsidRPr="00353838">
        <w:rPr>
          <w:noProof/>
          <w:lang w:val="en-IE"/>
        </w:rPr>
        <w:t>MHz</w:t>
      </w:r>
      <w:r w:rsidR="589B7E70" w:rsidRPr="00DE264C">
        <w:rPr>
          <w:rStyle w:val="normaltextrun"/>
          <w:noProof/>
        </w:rPr>
        <w:t>), while for other band</w:t>
      </w:r>
      <w:r w:rsidR="00531005" w:rsidRPr="00DE264C">
        <w:rPr>
          <w:rStyle w:val="normaltextrun"/>
          <w:noProof/>
        </w:rPr>
        <w:t>s</w:t>
      </w:r>
      <w:r w:rsidR="589B7E70" w:rsidRPr="00DE264C">
        <w:rPr>
          <w:rStyle w:val="normaltextrun"/>
          <w:noProof/>
        </w:rPr>
        <w:t xml:space="preserve"> relevant for </w:t>
      </w:r>
      <w:r w:rsidR="003368C4" w:rsidRPr="00DE264C">
        <w:rPr>
          <w:rStyle w:val="normaltextrun"/>
          <w:noProof/>
        </w:rPr>
        <w:t>pan-</w:t>
      </w:r>
      <w:r w:rsidR="009C2A9B" w:rsidRPr="00DE264C">
        <w:rPr>
          <w:rStyle w:val="normaltextrun"/>
          <w:noProof/>
        </w:rPr>
        <w:t>European</w:t>
      </w:r>
      <w:r w:rsidR="003368C4" w:rsidRPr="00DE264C">
        <w:rPr>
          <w:rStyle w:val="normaltextrun"/>
          <w:noProof/>
        </w:rPr>
        <w:t xml:space="preserve"> provision of services</w:t>
      </w:r>
      <w:r w:rsidR="005F5D2D">
        <w:rPr>
          <w:rStyle w:val="normaltextrun"/>
          <w:noProof/>
        </w:rPr>
        <w:t>,</w:t>
      </w:r>
      <w:r w:rsidR="003368C4" w:rsidRPr="00DE264C">
        <w:rPr>
          <w:rStyle w:val="normaltextrun"/>
          <w:noProof/>
        </w:rPr>
        <w:t xml:space="preserve"> </w:t>
      </w:r>
      <w:r w:rsidR="76DD6F0B" w:rsidRPr="00DE264C">
        <w:rPr>
          <w:rStyle w:val="normaltextrun"/>
          <w:noProof/>
        </w:rPr>
        <w:t>satellite</w:t>
      </w:r>
      <w:r w:rsidR="0052103F" w:rsidRPr="00DE264C">
        <w:rPr>
          <w:rStyle w:val="normaltextrun"/>
          <w:noProof/>
        </w:rPr>
        <w:t xml:space="preserve"> operators</w:t>
      </w:r>
      <w:r w:rsidR="76DD6F0B" w:rsidRPr="00DE264C">
        <w:rPr>
          <w:rStyle w:val="normaltextrun"/>
          <w:noProof/>
        </w:rPr>
        <w:t xml:space="preserve"> need to be awarded spectrum rights in every Member State, with the risk of gaps in their coverage. </w:t>
      </w:r>
      <w:r w:rsidR="00424BE6" w:rsidRPr="00DE264C">
        <w:rPr>
          <w:rStyle w:val="normaltextrun"/>
          <w:noProof/>
        </w:rPr>
        <w:t xml:space="preserve">Finally, uncoordinated enforcement does not allow Member States to act effectively against harmful </w:t>
      </w:r>
      <w:r w:rsidR="00424BE6" w:rsidRPr="00353838">
        <w:rPr>
          <w:noProof/>
          <w:lang w:val="en-IE"/>
        </w:rPr>
        <w:t>interferences</w:t>
      </w:r>
      <w:r w:rsidR="00424BE6" w:rsidRPr="00DE264C">
        <w:rPr>
          <w:rStyle w:val="normaltextrun"/>
          <w:noProof/>
        </w:rPr>
        <w:t xml:space="preserve"> that will be increasingly problematic with exponential uptake of LEO constellations. </w:t>
      </w:r>
      <w:r w:rsidR="000D1F7C" w:rsidRPr="00DE264C">
        <w:rPr>
          <w:rStyle w:val="normaltextrun"/>
          <w:noProof/>
        </w:rPr>
        <w:t>W</w:t>
      </w:r>
      <w:r w:rsidR="589B7E70" w:rsidRPr="00DE264C">
        <w:rPr>
          <w:rStyle w:val="normaltextrun"/>
          <w:noProof/>
        </w:rPr>
        <w:t>here satellite operators do not respect international law, a lengthy bilateral process at the ITU level would need to be followed to ensure compliance</w:t>
      </w:r>
      <w:r w:rsidR="00027CEA" w:rsidRPr="00DE264C">
        <w:rPr>
          <w:rStyle w:val="normaltextrun"/>
          <w:noProof/>
        </w:rPr>
        <w:t xml:space="preserve">, </w:t>
      </w:r>
      <w:r w:rsidR="00773D4C" w:rsidRPr="00DE264C">
        <w:rPr>
          <w:rStyle w:val="normaltextrun"/>
          <w:noProof/>
        </w:rPr>
        <w:t xml:space="preserve">without the possibility to leverage the strength of the internal market against </w:t>
      </w:r>
      <w:r w:rsidR="00965C7F" w:rsidRPr="00DE264C">
        <w:rPr>
          <w:rStyle w:val="normaltextrun"/>
          <w:noProof/>
        </w:rPr>
        <w:t xml:space="preserve">very </w:t>
      </w:r>
      <w:r w:rsidR="00B6551D" w:rsidRPr="00DE264C">
        <w:rPr>
          <w:rStyle w:val="normaltextrun"/>
          <w:noProof/>
        </w:rPr>
        <w:t>strong</w:t>
      </w:r>
      <w:r w:rsidR="00965C7F" w:rsidRPr="00DE264C">
        <w:rPr>
          <w:rStyle w:val="normaltextrun"/>
          <w:noProof/>
        </w:rPr>
        <w:t xml:space="preserve"> </w:t>
      </w:r>
      <w:r w:rsidR="0086388B" w:rsidRPr="00DE264C">
        <w:rPr>
          <w:rStyle w:val="normaltextrun"/>
          <w:noProof/>
        </w:rPr>
        <w:t>operators</w:t>
      </w:r>
      <w:r w:rsidR="00F005E7" w:rsidRPr="00DE264C">
        <w:rPr>
          <w:rStyle w:val="normaltextrun"/>
          <w:noProof/>
        </w:rPr>
        <w:t xml:space="preserve">, limiting </w:t>
      </w:r>
      <w:r w:rsidR="00BD6FDC" w:rsidRPr="00DE264C">
        <w:rPr>
          <w:noProof/>
        </w:rPr>
        <w:t>EU’s competitiveness and sovereignty</w:t>
      </w:r>
      <w:r w:rsidR="003C26F8" w:rsidRPr="00DE264C">
        <w:rPr>
          <w:noProof/>
        </w:rPr>
        <w:t>.</w:t>
      </w:r>
    </w:p>
    <w:p w14:paraId="28A980DB" w14:textId="32F3274A" w:rsidR="00082F2A" w:rsidRDefault="003B7EF0" w:rsidP="00053713">
      <w:pPr>
        <w:spacing w:line="240" w:lineRule="auto"/>
        <w:rPr>
          <w:rFonts w:eastAsia="Times New Roman_MSFontService"/>
          <w:noProof/>
        </w:rPr>
      </w:pPr>
      <w:r w:rsidRPr="003B7EF0">
        <w:rPr>
          <w:rFonts w:eastAsia="Times New Roman_MSFontService"/>
          <w:noProof/>
        </w:rPr>
        <w:t xml:space="preserve">Under the baseline scenario, fragmented and uneven implementation of the authorisation regime is expected to persist, limiting </w:t>
      </w:r>
      <w:r w:rsidR="00B5208C">
        <w:rPr>
          <w:rFonts w:eastAsia="Times New Roman_MSFontService"/>
          <w:noProof/>
        </w:rPr>
        <w:t xml:space="preserve">the effects of </w:t>
      </w:r>
      <w:r w:rsidR="00995D7E">
        <w:rPr>
          <w:rFonts w:eastAsia="Times New Roman_MSFontService"/>
          <w:noProof/>
        </w:rPr>
        <w:t xml:space="preserve">the technical </w:t>
      </w:r>
      <w:r w:rsidRPr="003B7EF0">
        <w:rPr>
          <w:rFonts w:eastAsia="Times New Roman_MSFontService"/>
          <w:noProof/>
        </w:rPr>
        <w:t xml:space="preserve">harmonisation of spectrum and slowing the </w:t>
      </w:r>
      <w:r w:rsidR="00CA2AE9">
        <w:rPr>
          <w:rFonts w:eastAsia="Times New Roman_MSFontService"/>
          <w:noProof/>
        </w:rPr>
        <w:t xml:space="preserve">effective </w:t>
      </w:r>
      <w:r w:rsidRPr="003B7EF0">
        <w:rPr>
          <w:rFonts w:eastAsia="Times New Roman_MSFontService"/>
          <w:noProof/>
        </w:rPr>
        <w:t>deployment of pan-European networks and services</w:t>
      </w:r>
      <w:r w:rsidR="00690592">
        <w:rPr>
          <w:rFonts w:eastAsia="Times New Roman_MSFontService"/>
          <w:noProof/>
        </w:rPr>
        <w:t>,</w:t>
      </w:r>
      <w:r w:rsidR="00680015">
        <w:rPr>
          <w:rFonts w:eastAsia="Times New Roman_MSFontService"/>
          <w:noProof/>
        </w:rPr>
        <w:t xml:space="preserve"> </w:t>
      </w:r>
      <w:r w:rsidR="00CA401D">
        <w:rPr>
          <w:noProof/>
        </w:rPr>
        <w:t xml:space="preserve">drawing on lessons </w:t>
      </w:r>
      <w:r w:rsidR="0091264C">
        <w:rPr>
          <w:noProof/>
        </w:rPr>
        <w:t>learnt</w:t>
      </w:r>
      <w:r w:rsidR="00680015">
        <w:rPr>
          <w:rFonts w:eastAsia="Times New Roman_MSFontService"/>
          <w:noProof/>
        </w:rPr>
        <w:t xml:space="preserve"> in the 2GHz MSS band</w:t>
      </w:r>
      <w:r w:rsidRPr="003B7EF0">
        <w:rPr>
          <w:rFonts w:eastAsia="Times New Roman_MSFontService"/>
          <w:noProof/>
        </w:rPr>
        <w:t>. The growth of pan-European electronic communications services is projected to remain modest, constrained by administrative burdens and delays in cross-border authorisations, which could plausibly reduce sectoral investment in R&amp;D</w:t>
      </w:r>
      <w:r w:rsidR="00CE2D27">
        <w:rPr>
          <w:rStyle w:val="FootnoteReference"/>
          <w:rFonts w:eastAsia="Times New Roman_MSFontService"/>
          <w:noProof/>
        </w:rPr>
        <w:footnoteReference w:id="207"/>
      </w:r>
      <w:r w:rsidRPr="003B7EF0">
        <w:rPr>
          <w:rFonts w:eastAsia="Times New Roman_MSFontService"/>
          <w:noProof/>
        </w:rPr>
        <w:t xml:space="preserve"> and innovation</w:t>
      </w:r>
      <w:r w:rsidR="00141EED">
        <w:rPr>
          <w:rStyle w:val="FootnoteReference"/>
          <w:rFonts w:eastAsia="Times New Roman_MSFontService"/>
          <w:noProof/>
        </w:rPr>
        <w:footnoteReference w:id="208"/>
      </w:r>
      <w:r w:rsidRPr="003B7EF0">
        <w:rPr>
          <w:rFonts w:eastAsia="Times New Roman_MSFontService"/>
          <w:noProof/>
        </w:rPr>
        <w:t xml:space="preserve">. </w:t>
      </w:r>
    </w:p>
    <w:p w14:paraId="43360142" w14:textId="55417D50" w:rsidR="15DBB221" w:rsidRDefault="003B7EF0" w:rsidP="00353838">
      <w:pPr>
        <w:spacing w:line="240" w:lineRule="auto"/>
        <w:rPr>
          <w:rFonts w:eastAsia="Times New Roman_MSFontService"/>
          <w:noProof/>
        </w:rPr>
      </w:pPr>
      <w:r w:rsidRPr="003B7EF0">
        <w:rPr>
          <w:rFonts w:eastAsia="Times New Roman_MSFontService"/>
          <w:noProof/>
        </w:rPr>
        <w:t>Comparative benchmarking indicates that countries with unified regulatory frameworks, such as the United States (FCC) and South Korea (</w:t>
      </w:r>
      <w:r w:rsidR="002B1A0A">
        <w:rPr>
          <w:rFonts w:eastAsia="Times New Roman_MSFontService"/>
          <w:noProof/>
        </w:rPr>
        <w:t>where t</w:t>
      </w:r>
      <w:r w:rsidR="002B1A0A" w:rsidRPr="002B1A0A">
        <w:rPr>
          <w:rFonts w:eastAsia="Times New Roman_MSFontService"/>
          <w:noProof/>
        </w:rPr>
        <w:t>he Ministry of Science and ICT established a “5G+ Spectrum Plan”</w:t>
      </w:r>
      <w:r w:rsidRPr="003B7EF0">
        <w:rPr>
          <w:rFonts w:eastAsia="Times New Roman_MSFontService"/>
          <w:noProof/>
        </w:rPr>
        <w:t>), achieve faster spectrum allocation and more uniform deployment of innovative services</w:t>
      </w:r>
      <w:r w:rsidR="00EC5A0E">
        <w:rPr>
          <w:rStyle w:val="FootnoteReference"/>
          <w:rFonts w:eastAsia="Times New Roman_MSFontService"/>
          <w:noProof/>
        </w:rPr>
        <w:footnoteReference w:id="209"/>
      </w:r>
      <w:r w:rsidRPr="003B7EF0">
        <w:rPr>
          <w:rFonts w:eastAsia="Times New Roman_MSFontService"/>
          <w:noProof/>
        </w:rPr>
        <w:t>, highlighting that the EU baseline scenario is likely to lag behind international peers in promoting pan-European connectivity and digital innovation</w:t>
      </w:r>
      <w:r w:rsidR="00D0463E">
        <w:rPr>
          <w:rFonts w:eastAsia="Times New Roman_MSFontService"/>
          <w:noProof/>
        </w:rPr>
        <w:t xml:space="preserve">, thereby </w:t>
      </w:r>
      <w:r w:rsidR="00D42B53">
        <w:rPr>
          <w:rFonts w:eastAsia="Times New Roman_MSFontService"/>
          <w:noProof/>
        </w:rPr>
        <w:t>undermin</w:t>
      </w:r>
      <w:r w:rsidR="00D0463E">
        <w:rPr>
          <w:rFonts w:eastAsia="Times New Roman_MSFontService"/>
          <w:noProof/>
        </w:rPr>
        <w:t>ing</w:t>
      </w:r>
      <w:r w:rsidR="00675953">
        <w:rPr>
          <w:rFonts w:eastAsia="Times New Roman_MSFontService"/>
          <w:noProof/>
        </w:rPr>
        <w:t xml:space="preserve"> EU</w:t>
      </w:r>
      <w:r w:rsidR="00D42B53">
        <w:rPr>
          <w:rFonts w:eastAsia="Times New Roman_MSFontService"/>
          <w:noProof/>
        </w:rPr>
        <w:t>`s</w:t>
      </w:r>
      <w:r w:rsidR="00675953">
        <w:rPr>
          <w:rFonts w:eastAsia="Times New Roman_MSFontService"/>
          <w:noProof/>
        </w:rPr>
        <w:t xml:space="preserve"> global competitiveness.</w:t>
      </w:r>
    </w:p>
    <w:p w14:paraId="6FC0415C" w14:textId="3AA14B2D" w:rsidR="004938B5" w:rsidRPr="00DE264C" w:rsidRDefault="004938B5" w:rsidP="00215714">
      <w:pPr>
        <w:pStyle w:val="Heading3"/>
        <w:ind w:left="709"/>
        <w:rPr>
          <w:noProof/>
        </w:rPr>
      </w:pPr>
      <w:bookmarkStart w:id="196" w:name="_Toc214467722"/>
      <w:bookmarkStart w:id="197" w:name="_Toc215083745"/>
      <w:bookmarkStart w:id="198" w:name="_Toc219212513"/>
      <w:bookmarkStart w:id="199" w:name="_Toc219718168"/>
      <w:r w:rsidRPr="00DE264C">
        <w:rPr>
          <w:noProof/>
        </w:rPr>
        <w:t>Governance</w:t>
      </w:r>
      <w:bookmarkEnd w:id="196"/>
      <w:bookmarkEnd w:id="197"/>
      <w:bookmarkEnd w:id="198"/>
      <w:bookmarkEnd w:id="199"/>
    </w:p>
    <w:p w14:paraId="16D5E1E0" w14:textId="77777777" w:rsidR="007630F9" w:rsidRDefault="00A53552" w:rsidP="00353838">
      <w:pPr>
        <w:spacing w:line="240" w:lineRule="auto"/>
        <w:rPr>
          <w:noProof/>
        </w:rPr>
      </w:pPr>
      <w:r w:rsidRPr="00DE264C">
        <w:rPr>
          <w:noProof/>
        </w:rPr>
        <w:t xml:space="preserve">The baseline scenario assumes that the governance set up remains unchanged. </w:t>
      </w:r>
      <w:r w:rsidR="0087018C" w:rsidRPr="00DE264C">
        <w:rPr>
          <w:noProof/>
        </w:rPr>
        <w:t xml:space="preserve">The current division of competences and roles between the Commission, NRAs and other </w:t>
      </w:r>
      <w:r w:rsidR="00C66080" w:rsidRPr="00DE264C">
        <w:rPr>
          <w:noProof/>
        </w:rPr>
        <w:t>CAs</w:t>
      </w:r>
      <w:r w:rsidR="0087018C" w:rsidRPr="00DE264C">
        <w:rPr>
          <w:noProof/>
        </w:rPr>
        <w:t>, BEREC, and RSPG will remain.</w:t>
      </w:r>
      <w:r w:rsidR="00533E9D" w:rsidRPr="00DE264C">
        <w:rPr>
          <w:noProof/>
        </w:rPr>
        <w:t xml:space="preserve"> </w:t>
      </w:r>
      <w:r w:rsidR="00C136D2" w:rsidRPr="00DE264C">
        <w:rPr>
          <w:noProof/>
        </w:rPr>
        <w:t xml:space="preserve">BEREC continues to be a </w:t>
      </w:r>
      <w:r w:rsidR="00C136D2" w:rsidRPr="00353838">
        <w:rPr>
          <w:rFonts w:eastAsia="Times New Roman_MSFontService"/>
          <w:noProof/>
        </w:rPr>
        <w:t>network</w:t>
      </w:r>
      <w:r w:rsidR="00C136D2" w:rsidRPr="00DE264C">
        <w:rPr>
          <w:noProof/>
        </w:rPr>
        <w:t xml:space="preserve"> of NRAs, assisted by the BEREC Office, an EU </w:t>
      </w:r>
      <w:r w:rsidR="736373C6" w:rsidRPr="00DE264C">
        <w:rPr>
          <w:noProof/>
        </w:rPr>
        <w:t xml:space="preserve">decentralised </w:t>
      </w:r>
      <w:r w:rsidR="00C136D2" w:rsidRPr="00DE264C">
        <w:rPr>
          <w:noProof/>
        </w:rPr>
        <w:t xml:space="preserve">agency with legal personality. RSPG remains </w:t>
      </w:r>
      <w:r w:rsidR="0087018C" w:rsidRPr="00DE264C">
        <w:rPr>
          <w:noProof/>
        </w:rPr>
        <w:t>a</w:t>
      </w:r>
      <w:r w:rsidR="00C136D2" w:rsidRPr="00DE264C">
        <w:rPr>
          <w:noProof/>
        </w:rPr>
        <w:t xml:space="preserve"> Commission</w:t>
      </w:r>
      <w:r w:rsidR="00111057" w:rsidRPr="00DE264C">
        <w:rPr>
          <w:noProof/>
        </w:rPr>
        <w:t xml:space="preserve"> expert</w:t>
      </w:r>
      <w:r w:rsidR="009D76E8">
        <w:rPr>
          <w:noProof/>
        </w:rPr>
        <w:t xml:space="preserve"> </w:t>
      </w:r>
      <w:r w:rsidR="00C136D2" w:rsidRPr="00DE264C">
        <w:rPr>
          <w:noProof/>
        </w:rPr>
        <w:t>group composed of high-level representatives of Member States and the Commission. The tasks</w:t>
      </w:r>
      <w:r w:rsidR="00486428" w:rsidRPr="00DE264C">
        <w:rPr>
          <w:noProof/>
        </w:rPr>
        <w:t>, including a</w:t>
      </w:r>
      <w:r w:rsidR="00486428" w:rsidRPr="00DE264C">
        <w:rPr>
          <w:rFonts w:eastAsia="Times New Roman"/>
          <w:noProof/>
        </w:rPr>
        <w:t>ny additional task</w:t>
      </w:r>
      <w:r w:rsidR="000C7EE8" w:rsidRPr="00DE264C">
        <w:rPr>
          <w:rFonts w:eastAsia="Times New Roman"/>
          <w:noProof/>
        </w:rPr>
        <w:t>s</w:t>
      </w:r>
      <w:r w:rsidR="00486428" w:rsidRPr="00DE264C">
        <w:rPr>
          <w:rFonts w:eastAsia="Times New Roman"/>
          <w:noProof/>
        </w:rPr>
        <w:t xml:space="preserve"> stemming from DNA, </w:t>
      </w:r>
      <w:r w:rsidR="00C136D2" w:rsidRPr="00DE264C">
        <w:rPr>
          <w:noProof/>
        </w:rPr>
        <w:t>would continue to be allocated to the Commission or the Member States</w:t>
      </w:r>
      <w:r w:rsidR="00DB07EC" w:rsidRPr="00DE264C">
        <w:rPr>
          <w:noProof/>
        </w:rPr>
        <w:t>’ authorities</w:t>
      </w:r>
      <w:r w:rsidR="00C136D2" w:rsidRPr="00DE264C">
        <w:rPr>
          <w:noProof/>
        </w:rPr>
        <w:t xml:space="preserve">. </w:t>
      </w:r>
    </w:p>
    <w:p w14:paraId="47DC2279" w14:textId="65391673" w:rsidR="000A7514" w:rsidRPr="00DE264C" w:rsidRDefault="00C136D2" w:rsidP="00353838">
      <w:pPr>
        <w:spacing w:line="240" w:lineRule="auto"/>
        <w:rPr>
          <w:noProof/>
        </w:rPr>
      </w:pPr>
      <w:r w:rsidRPr="00DE264C">
        <w:rPr>
          <w:noProof/>
        </w:rPr>
        <w:t xml:space="preserve">Under the baseline scenario </w:t>
      </w:r>
      <w:r w:rsidR="00D61773" w:rsidRPr="00DE264C">
        <w:rPr>
          <w:noProof/>
        </w:rPr>
        <w:t xml:space="preserve">the </w:t>
      </w:r>
      <w:r w:rsidRPr="00DE264C">
        <w:rPr>
          <w:noProof/>
        </w:rPr>
        <w:t xml:space="preserve">RSPG Secretariat provided by </w:t>
      </w:r>
      <w:r w:rsidR="0087018C" w:rsidRPr="00DE264C">
        <w:rPr>
          <w:noProof/>
        </w:rPr>
        <w:t>the Commission</w:t>
      </w:r>
      <w:r w:rsidRPr="00DE264C">
        <w:rPr>
          <w:noProof/>
        </w:rPr>
        <w:t xml:space="preserve"> </w:t>
      </w:r>
      <w:r w:rsidR="00D61773" w:rsidRPr="00DE264C">
        <w:rPr>
          <w:noProof/>
        </w:rPr>
        <w:t xml:space="preserve">would use their current resources </w:t>
      </w:r>
      <w:r w:rsidRPr="00DE264C">
        <w:rPr>
          <w:noProof/>
        </w:rPr>
        <w:t xml:space="preserve">to </w:t>
      </w:r>
      <w:r w:rsidRPr="00DE264C" w:rsidDel="000A7514">
        <w:rPr>
          <w:noProof/>
        </w:rPr>
        <w:t xml:space="preserve">support </w:t>
      </w:r>
      <w:r w:rsidRPr="00DE264C">
        <w:rPr>
          <w:noProof/>
        </w:rPr>
        <w:t>RSPG</w:t>
      </w:r>
      <w:r w:rsidR="00D97B8B" w:rsidRPr="00DE264C">
        <w:rPr>
          <w:noProof/>
        </w:rPr>
        <w:t xml:space="preserve"> </w:t>
      </w:r>
      <w:r w:rsidRPr="00DE264C">
        <w:rPr>
          <w:noProof/>
        </w:rPr>
        <w:t xml:space="preserve">on </w:t>
      </w:r>
      <w:r w:rsidR="00F770BB" w:rsidRPr="00DE264C">
        <w:rPr>
          <w:noProof/>
        </w:rPr>
        <w:t>administrative</w:t>
      </w:r>
      <w:r w:rsidRPr="00DE264C">
        <w:rPr>
          <w:noProof/>
        </w:rPr>
        <w:t xml:space="preserve"> issues. </w:t>
      </w:r>
      <w:r w:rsidR="007E20B6">
        <w:rPr>
          <w:noProof/>
        </w:rPr>
        <w:t xml:space="preserve">For performing </w:t>
      </w:r>
      <w:r w:rsidR="00BB4DE9" w:rsidRPr="00DE264C">
        <w:rPr>
          <w:noProof/>
        </w:rPr>
        <w:t xml:space="preserve">the </w:t>
      </w:r>
      <w:r w:rsidR="00484AF7">
        <w:rPr>
          <w:noProof/>
        </w:rPr>
        <w:t>new</w:t>
      </w:r>
      <w:r w:rsidR="00BB4DE9" w:rsidRPr="00DE264C">
        <w:rPr>
          <w:noProof/>
        </w:rPr>
        <w:t xml:space="preserve"> tasks on spectrum</w:t>
      </w:r>
      <w:r w:rsidR="00FB09CB" w:rsidRPr="00DE264C">
        <w:rPr>
          <w:noProof/>
        </w:rPr>
        <w:t>, the Commission would need to be strengt</w:t>
      </w:r>
      <w:r w:rsidR="0BD1680B" w:rsidRPr="00DE264C">
        <w:rPr>
          <w:noProof/>
        </w:rPr>
        <w:t>h</w:t>
      </w:r>
      <w:r w:rsidR="00FB09CB" w:rsidRPr="00DE264C">
        <w:rPr>
          <w:noProof/>
        </w:rPr>
        <w:t xml:space="preserve">ened with </w:t>
      </w:r>
      <w:r w:rsidR="00EA6C55" w:rsidRPr="00DE264C">
        <w:rPr>
          <w:noProof/>
        </w:rPr>
        <w:t>12</w:t>
      </w:r>
      <w:r w:rsidR="00FB09CB" w:rsidRPr="00DE264C">
        <w:rPr>
          <w:noProof/>
        </w:rPr>
        <w:t xml:space="preserve"> FTEs</w:t>
      </w:r>
      <w:r w:rsidR="00495F4A" w:rsidRPr="00DE264C">
        <w:rPr>
          <w:noProof/>
        </w:rPr>
        <w:t xml:space="preserve">, equivalent </w:t>
      </w:r>
      <w:r w:rsidR="0056287E" w:rsidRPr="00DE264C">
        <w:rPr>
          <w:noProof/>
        </w:rPr>
        <w:t>to EUR</w:t>
      </w:r>
      <w:r w:rsidR="007642A4">
        <w:rPr>
          <w:rFonts w:eastAsia="Times New Roman"/>
          <w:noProof/>
          <w:color w:val="000000" w:themeColor="text1"/>
        </w:rPr>
        <w:t> </w:t>
      </w:r>
      <w:r w:rsidR="00017353">
        <w:rPr>
          <w:rFonts w:eastAsia="Times New Roman"/>
          <w:noProof/>
          <w:color w:val="000000" w:themeColor="text1"/>
        </w:rPr>
        <w:t>1.8</w:t>
      </w:r>
      <w:r w:rsidR="00BF5658">
        <w:rPr>
          <w:rFonts w:eastAsia="Times New Roman"/>
          <w:noProof/>
          <w:color w:val="000000" w:themeColor="text1"/>
        </w:rPr>
        <w:t>3 million</w:t>
      </w:r>
      <w:r w:rsidR="00495F4A" w:rsidRPr="00DE264C">
        <w:rPr>
          <w:noProof/>
        </w:rPr>
        <w:t>.</w:t>
      </w:r>
      <w:r w:rsidR="00033FD9" w:rsidRPr="00DE264C">
        <w:rPr>
          <w:noProof/>
        </w:rPr>
        <w:t xml:space="preserve"> The BEREC Office would also need to be </w:t>
      </w:r>
      <w:r w:rsidR="00D95B81" w:rsidRPr="00DE264C">
        <w:rPr>
          <w:noProof/>
        </w:rPr>
        <w:t xml:space="preserve">strengthened to </w:t>
      </w:r>
      <w:r w:rsidR="002A62CE" w:rsidRPr="00DE264C">
        <w:rPr>
          <w:noProof/>
        </w:rPr>
        <w:t xml:space="preserve">ensure proper support for BEREC in performance of its tasks stemming from the DNA. It would necessitate </w:t>
      </w:r>
      <w:r w:rsidR="00045D11">
        <w:rPr>
          <w:noProof/>
        </w:rPr>
        <w:t>an</w:t>
      </w:r>
      <w:r w:rsidR="002A62CE" w:rsidRPr="00DE264C">
        <w:rPr>
          <w:noProof/>
        </w:rPr>
        <w:t xml:space="preserve"> additional 2.5 FTEs</w:t>
      </w:r>
      <w:r w:rsidR="00FA3458" w:rsidRPr="00DE264C">
        <w:rPr>
          <w:noProof/>
        </w:rPr>
        <w:t xml:space="preserve"> </w:t>
      </w:r>
      <w:r w:rsidR="00384D1C" w:rsidRPr="00DE264C">
        <w:rPr>
          <w:noProof/>
        </w:rPr>
        <w:t>correspon</w:t>
      </w:r>
      <w:r w:rsidR="00EE64EA" w:rsidRPr="00DE264C">
        <w:rPr>
          <w:noProof/>
        </w:rPr>
        <w:t>d</w:t>
      </w:r>
      <w:r w:rsidR="00384D1C" w:rsidRPr="00DE264C">
        <w:rPr>
          <w:noProof/>
        </w:rPr>
        <w:t>ing to approx</w:t>
      </w:r>
      <w:r w:rsidR="00694BC6">
        <w:rPr>
          <w:noProof/>
        </w:rPr>
        <w:t>imately</w:t>
      </w:r>
      <w:r w:rsidR="00384D1C" w:rsidRPr="00DE264C">
        <w:rPr>
          <w:noProof/>
        </w:rPr>
        <w:t xml:space="preserve"> </w:t>
      </w:r>
      <w:r w:rsidR="00F72EC0" w:rsidRPr="00DE264C">
        <w:rPr>
          <w:noProof/>
        </w:rPr>
        <w:t>EUR</w:t>
      </w:r>
      <w:r w:rsidR="00CB75FB">
        <w:rPr>
          <w:rFonts w:eastAsia="Times New Roman"/>
          <w:noProof/>
          <w:color w:val="000000" w:themeColor="text1"/>
        </w:rPr>
        <w:t> </w:t>
      </w:r>
      <w:r w:rsidR="00F72EC0" w:rsidRPr="00DE264C">
        <w:rPr>
          <w:noProof/>
        </w:rPr>
        <w:t>262 348</w:t>
      </w:r>
      <w:r w:rsidR="00D46BF2" w:rsidRPr="00DE264C">
        <w:rPr>
          <w:noProof/>
        </w:rPr>
        <w:t>. Assuming operational</w:t>
      </w:r>
      <w:r w:rsidR="00FE355C" w:rsidRPr="00DE264C">
        <w:rPr>
          <w:noProof/>
        </w:rPr>
        <w:t>,</w:t>
      </w:r>
      <w:r w:rsidR="00D46BF2" w:rsidRPr="00DE264C">
        <w:rPr>
          <w:noProof/>
        </w:rPr>
        <w:t xml:space="preserve"> building and equipment costs increase by ~5%, the annual costs for the BEREC Office would increase by approx</w:t>
      </w:r>
      <w:r w:rsidR="00A8642D">
        <w:rPr>
          <w:noProof/>
        </w:rPr>
        <w:t>imately</w:t>
      </w:r>
      <w:r w:rsidR="00D46BF2" w:rsidRPr="00DE264C">
        <w:rPr>
          <w:noProof/>
        </w:rPr>
        <w:t xml:space="preserve"> </w:t>
      </w:r>
      <w:r w:rsidR="00661AF2" w:rsidRPr="00DE264C">
        <w:rPr>
          <w:noProof/>
        </w:rPr>
        <w:t>EUR</w:t>
      </w:r>
      <w:r w:rsidR="007642A4">
        <w:rPr>
          <w:rFonts w:eastAsia="Times New Roman"/>
          <w:noProof/>
          <w:color w:val="000000" w:themeColor="text1"/>
        </w:rPr>
        <w:t> </w:t>
      </w:r>
      <w:r w:rsidR="00661AF2" w:rsidRPr="00DE264C">
        <w:rPr>
          <w:noProof/>
        </w:rPr>
        <w:t xml:space="preserve">0.5 </w:t>
      </w:r>
      <w:r w:rsidR="007C4D25" w:rsidRPr="00DE264C">
        <w:rPr>
          <w:noProof/>
        </w:rPr>
        <w:t>million</w:t>
      </w:r>
      <w:r w:rsidR="00661AF2" w:rsidRPr="00DE264C">
        <w:rPr>
          <w:noProof/>
        </w:rPr>
        <w:t>.</w:t>
      </w:r>
      <w:r w:rsidR="005C3B5A" w:rsidRPr="00DE264C">
        <w:rPr>
          <w:noProof/>
        </w:rPr>
        <w:t xml:space="preserve"> </w:t>
      </w:r>
    </w:p>
    <w:p w14:paraId="57C09256" w14:textId="11A1EC91" w:rsidR="00DB5F9C" w:rsidRPr="00DE264C" w:rsidRDefault="00C136D2" w:rsidP="00353838">
      <w:pPr>
        <w:spacing w:line="240" w:lineRule="auto"/>
        <w:rPr>
          <w:rFonts w:eastAsia="Times New Roman"/>
          <w:noProof/>
          <w:color w:val="061928"/>
        </w:rPr>
      </w:pPr>
      <w:bookmarkStart w:id="200" w:name="_Hlk213443543"/>
      <w:r w:rsidRPr="00DE264C">
        <w:rPr>
          <w:noProof/>
          <w:lang w:val="en-IE"/>
        </w:rPr>
        <w:t xml:space="preserve">Identified shortcomings would </w:t>
      </w:r>
      <w:r w:rsidR="009D35DC" w:rsidRPr="00DE264C">
        <w:rPr>
          <w:noProof/>
          <w:lang w:val="en-IE"/>
        </w:rPr>
        <w:t>remain</w:t>
      </w:r>
      <w:bookmarkEnd w:id="200"/>
      <w:r w:rsidR="00F649C5">
        <w:rPr>
          <w:noProof/>
          <w:lang w:val="en-IE"/>
        </w:rPr>
        <w:t>.</w:t>
      </w:r>
      <w:r w:rsidRPr="00DE264C">
        <w:rPr>
          <w:noProof/>
          <w:lang w:val="en-IE"/>
        </w:rPr>
        <w:t xml:space="preserve"> BEREC</w:t>
      </w:r>
      <w:r w:rsidR="00F73B48" w:rsidRPr="00DE264C">
        <w:rPr>
          <w:noProof/>
          <w:lang w:val="en-IE"/>
        </w:rPr>
        <w:t xml:space="preserve"> </w:t>
      </w:r>
      <w:r w:rsidR="00DD1E71" w:rsidRPr="00DE264C">
        <w:rPr>
          <w:noProof/>
          <w:lang w:val="en-IE"/>
        </w:rPr>
        <w:t xml:space="preserve">and RSPG </w:t>
      </w:r>
      <w:r w:rsidR="004D5127" w:rsidRPr="00DE264C">
        <w:rPr>
          <w:noProof/>
          <w:lang w:val="en-IE"/>
        </w:rPr>
        <w:t xml:space="preserve">will </w:t>
      </w:r>
      <w:r w:rsidR="00C20181" w:rsidRPr="00DE264C">
        <w:rPr>
          <w:noProof/>
          <w:lang w:val="en-IE"/>
        </w:rPr>
        <w:t xml:space="preserve">continue to play </w:t>
      </w:r>
      <w:r w:rsidR="00ED72CB" w:rsidRPr="00DE264C">
        <w:rPr>
          <w:noProof/>
          <w:lang w:val="en-IE"/>
        </w:rPr>
        <w:t xml:space="preserve">purely advisory role on </w:t>
      </w:r>
      <w:r w:rsidR="00DD1E71" w:rsidRPr="00DE264C">
        <w:rPr>
          <w:noProof/>
          <w:lang w:val="en-IE"/>
        </w:rPr>
        <w:t xml:space="preserve">narrow set of </w:t>
      </w:r>
      <w:r w:rsidR="00ED72CB" w:rsidRPr="00DE264C">
        <w:rPr>
          <w:noProof/>
          <w:lang w:val="en-IE"/>
        </w:rPr>
        <w:t xml:space="preserve">tasks </w:t>
      </w:r>
      <w:r w:rsidR="296A2C49" w:rsidRPr="00DE264C">
        <w:rPr>
          <w:noProof/>
          <w:lang w:val="en-IE"/>
        </w:rPr>
        <w:t xml:space="preserve">with limited scope of </w:t>
      </w:r>
      <w:r w:rsidR="296A2C49" w:rsidRPr="00353838">
        <w:rPr>
          <w:rFonts w:eastAsia="Times New Roman_MSFontService"/>
          <w:noProof/>
        </w:rPr>
        <w:t>cooperation</w:t>
      </w:r>
      <w:r w:rsidR="00633316">
        <w:rPr>
          <w:rFonts w:eastAsia="Times New Roman_MSFontService"/>
          <w:noProof/>
        </w:rPr>
        <w:t xml:space="preserve">, with further synergies </w:t>
      </w:r>
      <w:r w:rsidR="00866121">
        <w:rPr>
          <w:rFonts w:eastAsia="Times New Roman_MSFontService"/>
          <w:noProof/>
        </w:rPr>
        <w:t>unexploited</w:t>
      </w:r>
      <w:r w:rsidR="296A2C49" w:rsidRPr="00DE264C">
        <w:rPr>
          <w:noProof/>
          <w:lang w:val="en-IE"/>
        </w:rPr>
        <w:t>.</w:t>
      </w:r>
      <w:r w:rsidR="009C1DF6" w:rsidRPr="00DE264C">
        <w:rPr>
          <w:noProof/>
          <w:lang w:val="en-IE"/>
        </w:rPr>
        <w:t xml:space="preserve"> </w:t>
      </w:r>
      <w:r w:rsidR="00DD3608" w:rsidRPr="00DE264C">
        <w:rPr>
          <w:noProof/>
        </w:rPr>
        <w:t>BEREC would take on the new tasks such as preparing guidelines and best practices within its remit. Considering that the functions of the BEREC Office would remain the same as currently, its support to BEREC would be equally limited</w:t>
      </w:r>
      <w:r w:rsidR="00021F4E">
        <w:rPr>
          <w:noProof/>
        </w:rPr>
        <w:t xml:space="preserve"> mostly to administrative and data base handling tasks</w:t>
      </w:r>
      <w:r w:rsidR="00DD3608" w:rsidRPr="00DE264C">
        <w:rPr>
          <w:noProof/>
        </w:rPr>
        <w:t xml:space="preserve">. </w:t>
      </w:r>
      <w:r w:rsidR="0070255E">
        <w:rPr>
          <w:noProof/>
        </w:rPr>
        <w:t>The</w:t>
      </w:r>
      <w:r w:rsidR="00DD3608" w:rsidRPr="00DE264C">
        <w:rPr>
          <w:noProof/>
        </w:rPr>
        <w:t xml:space="preserve"> RSPG secretariat </w:t>
      </w:r>
      <w:r w:rsidR="00DD3608" w:rsidRPr="00353838">
        <w:rPr>
          <w:rFonts w:eastAsia="Times New Roman_MSFontService"/>
          <w:noProof/>
        </w:rPr>
        <w:t>provided</w:t>
      </w:r>
      <w:r w:rsidR="00DD3608" w:rsidRPr="00DE264C">
        <w:rPr>
          <w:noProof/>
        </w:rPr>
        <w:t xml:space="preserve"> by the Commission will not be </w:t>
      </w:r>
      <w:r w:rsidR="004D7D25">
        <w:rPr>
          <w:noProof/>
        </w:rPr>
        <w:t>able</w:t>
      </w:r>
      <w:r w:rsidR="004D7D25" w:rsidRPr="00DE264C">
        <w:rPr>
          <w:noProof/>
        </w:rPr>
        <w:t xml:space="preserve"> </w:t>
      </w:r>
      <w:r w:rsidR="00DD3608" w:rsidRPr="00DE264C">
        <w:rPr>
          <w:noProof/>
        </w:rPr>
        <w:t xml:space="preserve">to provide </w:t>
      </w:r>
      <w:r w:rsidR="00785953">
        <w:rPr>
          <w:noProof/>
        </w:rPr>
        <w:t>to RSPG</w:t>
      </w:r>
      <w:r w:rsidR="00785953" w:rsidRPr="00DE264C">
        <w:rPr>
          <w:noProof/>
        </w:rPr>
        <w:t xml:space="preserve"> </w:t>
      </w:r>
      <w:r w:rsidR="00DD3608" w:rsidRPr="00DE264C">
        <w:rPr>
          <w:noProof/>
        </w:rPr>
        <w:t xml:space="preserve">more support on substance (in this option such support would </w:t>
      </w:r>
      <w:r w:rsidR="0088520C" w:rsidRPr="00DE264C">
        <w:rPr>
          <w:noProof/>
        </w:rPr>
        <w:t xml:space="preserve">still </w:t>
      </w:r>
      <w:r w:rsidR="00DD3608" w:rsidRPr="00DE264C">
        <w:rPr>
          <w:noProof/>
        </w:rPr>
        <w:t xml:space="preserve">need to be provided by the Commission itself). Furthermore, it </w:t>
      </w:r>
      <w:r w:rsidR="007D1502" w:rsidRPr="00DE264C">
        <w:rPr>
          <w:noProof/>
        </w:rPr>
        <w:t>is</w:t>
      </w:r>
      <w:r w:rsidR="00DD3608" w:rsidRPr="00DE264C">
        <w:rPr>
          <w:noProof/>
        </w:rPr>
        <w:t xml:space="preserve"> </w:t>
      </w:r>
      <w:r w:rsidR="006C1CF7" w:rsidRPr="00DE264C">
        <w:rPr>
          <w:noProof/>
        </w:rPr>
        <w:t>questionable</w:t>
      </w:r>
      <w:r w:rsidR="00DD3608" w:rsidRPr="00DE264C">
        <w:rPr>
          <w:noProof/>
        </w:rPr>
        <w:t xml:space="preserve"> </w:t>
      </w:r>
      <w:r w:rsidR="007B1025" w:rsidRPr="00DE264C">
        <w:rPr>
          <w:noProof/>
        </w:rPr>
        <w:t>whether</w:t>
      </w:r>
      <w:r w:rsidR="00DD3608" w:rsidRPr="00DE264C">
        <w:rPr>
          <w:noProof/>
        </w:rPr>
        <w:t xml:space="preserve"> </w:t>
      </w:r>
      <w:r w:rsidR="007B0A59">
        <w:rPr>
          <w:noProof/>
        </w:rPr>
        <w:t xml:space="preserve">all </w:t>
      </w:r>
      <w:r w:rsidR="005C27C6">
        <w:rPr>
          <w:noProof/>
        </w:rPr>
        <w:t>n</w:t>
      </w:r>
      <w:r w:rsidR="00916549">
        <w:rPr>
          <w:noProof/>
        </w:rPr>
        <w:t xml:space="preserve">ew </w:t>
      </w:r>
      <w:r w:rsidR="00916549">
        <w:rPr>
          <w:rFonts w:eastAsia="Times New Roman"/>
          <w:noProof/>
        </w:rPr>
        <w:t xml:space="preserve">measures foreseen by DNA </w:t>
      </w:r>
      <w:r w:rsidR="00D52068" w:rsidRPr="00DE264C">
        <w:rPr>
          <w:noProof/>
        </w:rPr>
        <w:t>could be</w:t>
      </w:r>
      <w:r w:rsidR="00DD3608" w:rsidRPr="00DE264C">
        <w:rPr>
          <w:noProof/>
        </w:rPr>
        <w:t xml:space="preserve"> implement</w:t>
      </w:r>
      <w:r w:rsidR="00D52068" w:rsidRPr="00DE264C">
        <w:rPr>
          <w:noProof/>
        </w:rPr>
        <w:t>ed</w:t>
      </w:r>
      <w:r w:rsidR="00DC3F12">
        <w:rPr>
          <w:noProof/>
        </w:rPr>
        <w:t xml:space="preserve"> </w:t>
      </w:r>
      <w:r w:rsidR="00DC3F12" w:rsidRPr="00DE264C">
        <w:rPr>
          <w:noProof/>
        </w:rPr>
        <w:t>under the baseline scenario</w:t>
      </w:r>
      <w:r w:rsidR="007B0A59">
        <w:rPr>
          <w:noProof/>
        </w:rPr>
        <w:t xml:space="preserve"> governance structure</w:t>
      </w:r>
      <w:r w:rsidR="00B26606">
        <w:rPr>
          <w:noProof/>
        </w:rPr>
        <w:t xml:space="preserve">, such as spectrum </w:t>
      </w:r>
      <w:r w:rsidR="00584258">
        <w:rPr>
          <w:noProof/>
        </w:rPr>
        <w:t>single market procedure</w:t>
      </w:r>
      <w:r w:rsidR="00DD3608" w:rsidRPr="00DE264C">
        <w:rPr>
          <w:noProof/>
        </w:rPr>
        <w:t>.</w:t>
      </w:r>
      <w:r w:rsidR="00DA5E64" w:rsidRPr="00DE264C">
        <w:rPr>
          <w:noProof/>
        </w:rPr>
        <w:t xml:space="preserve"> </w:t>
      </w:r>
      <w:r w:rsidR="004D5127" w:rsidRPr="00DE264C">
        <w:rPr>
          <w:noProof/>
          <w:lang w:val="en-IE"/>
        </w:rPr>
        <w:t>C</w:t>
      </w:r>
      <w:r w:rsidRPr="00DE264C">
        <w:rPr>
          <w:noProof/>
          <w:lang w:val="en-IE"/>
        </w:rPr>
        <w:t>omplexity will keep increasing by the proliferation of different bodies to which BEREC participates or cooperates within the digital sphere</w:t>
      </w:r>
      <w:r w:rsidR="00F2025E" w:rsidRPr="00DE264C">
        <w:rPr>
          <w:rStyle w:val="FootnoteReference"/>
          <w:noProof/>
          <w:lang w:val="en-IE"/>
        </w:rPr>
        <w:footnoteReference w:id="210"/>
      </w:r>
      <w:r w:rsidR="00DB5F9C" w:rsidRPr="00DE264C">
        <w:rPr>
          <w:rFonts w:eastAsia="Times New Roman"/>
          <w:noProof/>
        </w:rPr>
        <w:t>.</w:t>
      </w:r>
    </w:p>
    <w:p w14:paraId="3E264DCD" w14:textId="789A4BA9" w:rsidR="009E1038" w:rsidRPr="00DE264C" w:rsidRDefault="006B087E" w:rsidP="00F1192A">
      <w:pPr>
        <w:pStyle w:val="Heading2"/>
        <w:rPr>
          <w:noProof/>
        </w:rPr>
      </w:pPr>
      <w:bookmarkStart w:id="201" w:name="_Toc214467723"/>
      <w:bookmarkStart w:id="202" w:name="_Toc215083746"/>
      <w:bookmarkStart w:id="203" w:name="_Toc219212514"/>
      <w:bookmarkStart w:id="204" w:name="_Toc219718169"/>
      <w:r w:rsidRPr="00DE264C">
        <w:rPr>
          <w:noProof/>
        </w:rPr>
        <w:t>Description of the policy options</w:t>
      </w:r>
      <w:bookmarkEnd w:id="201"/>
      <w:bookmarkEnd w:id="202"/>
      <w:bookmarkEnd w:id="203"/>
      <w:bookmarkEnd w:id="204"/>
    </w:p>
    <w:p w14:paraId="6D0722FE" w14:textId="0E684FF0" w:rsidR="002E15A2" w:rsidRPr="00E56B70" w:rsidRDefault="00E56B70" w:rsidP="00353838">
      <w:pPr>
        <w:spacing w:line="240" w:lineRule="auto"/>
        <w:rPr>
          <w:noProof/>
        </w:rPr>
      </w:pPr>
      <w:r w:rsidRPr="00E56B70">
        <w:rPr>
          <w:noProof/>
        </w:rPr>
        <w:t>Each option</w:t>
      </w:r>
      <w:r w:rsidR="007F5D09">
        <w:rPr>
          <w:noProof/>
        </w:rPr>
        <w:t xml:space="preserve"> block</w:t>
      </w:r>
      <w:r w:rsidRPr="00E56B70">
        <w:rPr>
          <w:noProof/>
        </w:rPr>
        <w:t xml:space="preserve"> is built from a set of concrete policy measures that directly address the problem drivers identified in </w:t>
      </w:r>
      <w:r w:rsidR="00440740">
        <w:rPr>
          <w:noProof/>
        </w:rPr>
        <w:t>section</w:t>
      </w:r>
      <w:r w:rsidR="00690C37">
        <w:rPr>
          <w:noProof/>
        </w:rPr>
        <w:t xml:space="preserve"> 2</w:t>
      </w:r>
      <w:r w:rsidRPr="00E56B70">
        <w:rPr>
          <w:noProof/>
        </w:rPr>
        <w:t xml:space="preserve">. </w:t>
      </w:r>
      <w:r w:rsidR="00262BA8" w:rsidRPr="00262BA8">
        <w:rPr>
          <w:noProof/>
          <w:lang w:eastAsia="en-GB"/>
        </w:rPr>
        <w:t>Recogni</w:t>
      </w:r>
      <w:r w:rsidR="006635AA">
        <w:rPr>
          <w:noProof/>
          <w:lang w:eastAsia="en-GB"/>
        </w:rPr>
        <w:t>s</w:t>
      </w:r>
      <w:r w:rsidR="00262BA8" w:rsidRPr="00262BA8">
        <w:rPr>
          <w:noProof/>
          <w:lang w:eastAsia="en-GB"/>
        </w:rPr>
        <w:t>ing that problem drivers vary in nature and impact</w:t>
      </w:r>
      <w:r w:rsidR="00AA66ED" w:rsidRPr="00262BA8">
        <w:rPr>
          <w:noProof/>
          <w:lang w:eastAsia="en-GB"/>
        </w:rPr>
        <w:t>;</w:t>
      </w:r>
      <w:r w:rsidR="00262BA8" w:rsidRPr="00262BA8">
        <w:rPr>
          <w:noProof/>
          <w:lang w:eastAsia="en-GB"/>
        </w:rPr>
        <w:t xml:space="preserve"> the options are designed with increasing levels of regulatory </w:t>
      </w:r>
      <w:r w:rsidR="006635AA">
        <w:rPr>
          <w:noProof/>
          <w:lang w:eastAsia="en-GB"/>
        </w:rPr>
        <w:t>ambition</w:t>
      </w:r>
      <w:r w:rsidRPr="00E56B70">
        <w:rPr>
          <w:noProof/>
        </w:rPr>
        <w:t xml:space="preserve">. The packaging process therefore moves from </w:t>
      </w:r>
      <w:r w:rsidR="00D22F5F">
        <w:rPr>
          <w:noProof/>
        </w:rPr>
        <w:t>relatively light</w:t>
      </w:r>
      <w:r w:rsidRPr="00E56B70">
        <w:rPr>
          <w:noProof/>
        </w:rPr>
        <w:t xml:space="preserve"> adjustments to more structural reforms, ensuring that each option</w:t>
      </w:r>
      <w:r w:rsidR="00497108">
        <w:rPr>
          <w:noProof/>
        </w:rPr>
        <w:t xml:space="preserve"> block</w:t>
      </w:r>
      <w:r w:rsidRPr="00E56B70">
        <w:rPr>
          <w:noProof/>
        </w:rPr>
        <w:t xml:space="preserve"> represents a coherent and internally consistent response to the </w:t>
      </w:r>
      <w:r w:rsidR="00497108">
        <w:rPr>
          <w:noProof/>
        </w:rPr>
        <w:t xml:space="preserve">four blocks of </w:t>
      </w:r>
      <w:r w:rsidRPr="00E56B70">
        <w:rPr>
          <w:noProof/>
        </w:rPr>
        <w:t>problems</w:t>
      </w:r>
      <w:r w:rsidR="00497108">
        <w:rPr>
          <w:noProof/>
        </w:rPr>
        <w:t xml:space="preserve"> and their drivers</w:t>
      </w:r>
      <w:r w:rsidR="002429A1">
        <w:rPr>
          <w:noProof/>
        </w:rPr>
        <w:t>.</w:t>
      </w:r>
      <w:r w:rsidRPr="00E56B70">
        <w:rPr>
          <w:noProof/>
        </w:rPr>
        <w:t xml:space="preserve"> </w:t>
      </w:r>
      <w:r w:rsidR="002429A1">
        <w:rPr>
          <w:noProof/>
        </w:rPr>
        <w:t>Presentation of each</w:t>
      </w:r>
      <w:r w:rsidR="00D7142D">
        <w:rPr>
          <w:noProof/>
        </w:rPr>
        <w:t xml:space="preserve"> option</w:t>
      </w:r>
      <w:r w:rsidR="002E15A2">
        <w:rPr>
          <w:noProof/>
        </w:rPr>
        <w:t xml:space="preserve"> block is accompanied by a table </w:t>
      </w:r>
      <w:r w:rsidR="0059143E">
        <w:rPr>
          <w:noProof/>
        </w:rPr>
        <w:t>mapping</w:t>
      </w:r>
      <w:r w:rsidR="002E15A2">
        <w:rPr>
          <w:noProof/>
        </w:rPr>
        <w:t xml:space="preserve"> the measures under each block against </w:t>
      </w:r>
      <w:r w:rsidR="002E15A2" w:rsidRPr="00FA76F9">
        <w:rPr>
          <w:noProof/>
        </w:rPr>
        <w:t>the specific problem driver</w:t>
      </w:r>
      <w:r w:rsidR="002E15A2">
        <w:rPr>
          <w:noProof/>
        </w:rPr>
        <w:t>s.</w:t>
      </w:r>
      <w:r w:rsidR="00601F52">
        <w:rPr>
          <w:noProof/>
        </w:rPr>
        <w:t xml:space="preserve"> </w:t>
      </w:r>
      <w:r w:rsidR="005C09FF">
        <w:rPr>
          <w:noProof/>
        </w:rPr>
        <w:t xml:space="preserve">Measures within each option block are selected to </w:t>
      </w:r>
      <w:r w:rsidR="008C2404">
        <w:rPr>
          <w:noProof/>
        </w:rPr>
        <w:t>complement each other</w:t>
      </w:r>
      <w:r w:rsidR="00BC68D4">
        <w:rPr>
          <w:noProof/>
        </w:rPr>
        <w:t>.</w:t>
      </w:r>
    </w:p>
    <w:p w14:paraId="72EC998E" w14:textId="141CB4C0" w:rsidR="00D93E57" w:rsidRPr="00DE264C" w:rsidRDefault="4696F40E" w:rsidP="00E06077">
      <w:pPr>
        <w:pStyle w:val="Heading3"/>
        <w:tabs>
          <w:tab w:val="num" w:pos="7088"/>
        </w:tabs>
        <w:spacing w:before="120"/>
        <w:ind w:left="850"/>
        <w:rPr>
          <w:noProof/>
        </w:rPr>
      </w:pPr>
      <w:bookmarkStart w:id="205" w:name="_Toc209596018"/>
      <w:bookmarkStart w:id="206" w:name="_Toc215083747"/>
      <w:bookmarkStart w:id="207" w:name="_Toc219212515"/>
      <w:bookmarkStart w:id="208" w:name="_Toc219718170"/>
      <w:bookmarkStart w:id="209" w:name="_Toc214467724"/>
      <w:bookmarkEnd w:id="205"/>
      <w:r>
        <w:rPr>
          <w:noProof/>
        </w:rPr>
        <w:t xml:space="preserve">Transition to </w:t>
      </w:r>
      <w:r w:rsidR="0051114B">
        <w:rPr>
          <w:noProof/>
        </w:rPr>
        <w:t>fibre</w:t>
      </w:r>
      <w:bookmarkEnd w:id="206"/>
      <w:bookmarkEnd w:id="207"/>
      <w:bookmarkEnd w:id="208"/>
      <w:r>
        <w:rPr>
          <w:noProof/>
        </w:rPr>
        <w:t xml:space="preserve"> </w:t>
      </w:r>
      <w:bookmarkEnd w:id="209"/>
    </w:p>
    <w:p w14:paraId="4ADF0D19" w14:textId="2C4EF162" w:rsidR="004D175A" w:rsidRPr="00706B4B" w:rsidRDefault="004D175A" w:rsidP="00353838">
      <w:pPr>
        <w:spacing w:line="240" w:lineRule="auto"/>
        <w:rPr>
          <w:noProof/>
        </w:rPr>
      </w:pPr>
      <w:r w:rsidRPr="00706B4B">
        <w:rPr>
          <w:noProof/>
        </w:rPr>
        <w:t>To fill the gaps in terms of fibre deployment and take</w:t>
      </w:r>
      <w:r w:rsidR="00E04EE0" w:rsidRPr="00706B4B">
        <w:rPr>
          <w:noProof/>
        </w:rPr>
        <w:t>-</w:t>
      </w:r>
      <w:r w:rsidRPr="00706B4B">
        <w:rPr>
          <w:noProof/>
        </w:rPr>
        <w:t>up</w:t>
      </w:r>
      <w:r w:rsidR="00AC2C46" w:rsidRPr="00706B4B">
        <w:rPr>
          <w:noProof/>
        </w:rPr>
        <w:t>,</w:t>
      </w:r>
      <w:r w:rsidRPr="00706B4B">
        <w:rPr>
          <w:noProof/>
        </w:rPr>
        <w:t xml:space="preserve"> </w:t>
      </w:r>
      <w:r w:rsidR="00E7673D" w:rsidRPr="00706B4B">
        <w:rPr>
          <w:noProof/>
        </w:rPr>
        <w:t>the</w:t>
      </w:r>
      <w:r w:rsidRPr="00706B4B">
        <w:rPr>
          <w:noProof/>
        </w:rPr>
        <w:t xml:space="preserve"> options </w:t>
      </w:r>
      <w:r w:rsidR="009A25F1" w:rsidRPr="00706B4B">
        <w:rPr>
          <w:noProof/>
        </w:rPr>
        <w:t>cover</w:t>
      </w:r>
      <w:r w:rsidRPr="00706B4B">
        <w:rPr>
          <w:noProof/>
        </w:rPr>
        <w:t xml:space="preserve">: </w:t>
      </w:r>
    </w:p>
    <w:p w14:paraId="6A06475B" w14:textId="012DFE38" w:rsidR="004D175A" w:rsidRPr="00DE264C" w:rsidRDefault="11AFBF90" w:rsidP="00353838">
      <w:pPr>
        <w:pStyle w:val="ListParagraph"/>
        <w:numPr>
          <w:ilvl w:val="0"/>
          <w:numId w:val="8"/>
        </w:numPr>
        <w:spacing w:line="240" w:lineRule="auto"/>
        <w:ind w:left="714" w:hanging="357"/>
        <w:rPr>
          <w:rFonts w:eastAsia="Times New Roman"/>
          <w:noProof/>
        </w:rPr>
      </w:pPr>
      <w:r w:rsidRPr="094D2CB2">
        <w:rPr>
          <w:rFonts w:eastAsia="Times New Roman"/>
          <w:noProof/>
        </w:rPr>
        <w:t xml:space="preserve">measures to </w:t>
      </w:r>
      <w:r w:rsidR="3B28D78A" w:rsidRPr="094D2CB2">
        <w:rPr>
          <w:rFonts w:eastAsia="Times New Roman"/>
          <w:noProof/>
        </w:rPr>
        <w:t>foster the deployment and take up of fib</w:t>
      </w:r>
      <w:r w:rsidR="00C034CB">
        <w:rPr>
          <w:rFonts w:eastAsia="Times New Roman"/>
          <w:noProof/>
        </w:rPr>
        <w:t>re</w:t>
      </w:r>
      <w:r w:rsidR="3B28D78A" w:rsidRPr="094D2CB2">
        <w:rPr>
          <w:rFonts w:eastAsia="Times New Roman"/>
          <w:noProof/>
        </w:rPr>
        <w:t xml:space="preserve">, including </w:t>
      </w:r>
      <w:r w:rsidRPr="00DE264C">
        <w:rPr>
          <w:rFonts w:eastAsia="Times New Roman"/>
          <w:noProof/>
        </w:rPr>
        <w:t xml:space="preserve">measures to expedite the copper switch-off, given the negative effects that the </w:t>
      </w:r>
      <w:r w:rsidR="58ECA826" w:rsidRPr="00DE264C">
        <w:rPr>
          <w:rFonts w:eastAsia="Times New Roman"/>
          <w:noProof/>
        </w:rPr>
        <w:t xml:space="preserve">persistence of legacy copper </w:t>
      </w:r>
      <w:r w:rsidRPr="00DE264C">
        <w:rPr>
          <w:rFonts w:eastAsia="Times New Roman"/>
          <w:noProof/>
        </w:rPr>
        <w:t>networks has on deployment and take</w:t>
      </w:r>
      <w:r w:rsidR="1182BC81" w:rsidRPr="00DE264C">
        <w:rPr>
          <w:rFonts w:eastAsia="Times New Roman"/>
          <w:noProof/>
        </w:rPr>
        <w:t>-</w:t>
      </w:r>
      <w:r w:rsidR="2B49ABD3" w:rsidRPr="12F60739">
        <w:rPr>
          <w:rFonts w:eastAsia="Times New Roman"/>
          <w:noProof/>
        </w:rPr>
        <w:t>up,</w:t>
      </w:r>
      <w:r w:rsidR="41FB0E57" w:rsidRPr="00DE264C">
        <w:rPr>
          <w:rFonts w:eastAsia="Times New Roman"/>
          <w:noProof/>
        </w:rPr>
        <w:t xml:space="preserve"> </w:t>
      </w:r>
      <w:r w:rsidRPr="00DE264C">
        <w:rPr>
          <w:rFonts w:eastAsia="Times New Roman"/>
          <w:noProof/>
        </w:rPr>
        <w:t>and</w:t>
      </w:r>
    </w:p>
    <w:p w14:paraId="0DEC4EA5" w14:textId="4D4AB621" w:rsidR="004D175A" w:rsidRPr="00DE264C" w:rsidRDefault="2878CA6C" w:rsidP="00353838">
      <w:pPr>
        <w:pStyle w:val="ListParagraph"/>
        <w:numPr>
          <w:ilvl w:val="0"/>
          <w:numId w:val="8"/>
        </w:numPr>
        <w:spacing w:line="240" w:lineRule="auto"/>
        <w:rPr>
          <w:rFonts w:eastAsia="Times New Roman"/>
          <w:noProof/>
          <w:lang w:val="en-IE"/>
        </w:rPr>
      </w:pPr>
      <w:r w:rsidRPr="006E27E1">
        <w:rPr>
          <w:noProof/>
        </w:rPr>
        <w:t xml:space="preserve">Updates </w:t>
      </w:r>
      <w:r w:rsidR="004D175A" w:rsidRPr="006E27E1">
        <w:rPr>
          <w:noProof/>
        </w:rPr>
        <w:t xml:space="preserve">to access regulation </w:t>
      </w:r>
      <w:r w:rsidR="000C7EEF" w:rsidRPr="006E27E1">
        <w:rPr>
          <w:noProof/>
        </w:rPr>
        <w:t xml:space="preserve">to align it </w:t>
      </w:r>
      <w:r w:rsidR="004D175A" w:rsidRPr="006E27E1">
        <w:rPr>
          <w:noProof/>
        </w:rPr>
        <w:t>with the future full fibre landscape, to ensure that</w:t>
      </w:r>
      <w:r w:rsidR="13CA9355" w:rsidRPr="006E27E1">
        <w:rPr>
          <w:noProof/>
        </w:rPr>
        <w:t xml:space="preserve">, </w:t>
      </w:r>
      <w:r w:rsidR="4BD4CA4D" w:rsidRPr="006E27E1">
        <w:rPr>
          <w:noProof/>
        </w:rPr>
        <w:t>during the copper</w:t>
      </w:r>
      <w:r w:rsidR="004D175A" w:rsidRPr="006E27E1">
        <w:rPr>
          <w:noProof/>
        </w:rPr>
        <w:t xml:space="preserve"> </w:t>
      </w:r>
      <w:r w:rsidR="4BD4CA4D" w:rsidRPr="006E27E1">
        <w:rPr>
          <w:noProof/>
        </w:rPr>
        <w:t xml:space="preserve">switch-off phase and following </w:t>
      </w:r>
      <w:r w:rsidR="089D61A5" w:rsidRPr="006E27E1">
        <w:rPr>
          <w:noProof/>
        </w:rPr>
        <w:t>it, end</w:t>
      </w:r>
      <w:r w:rsidR="004D175A" w:rsidRPr="006E27E1">
        <w:rPr>
          <w:noProof/>
        </w:rPr>
        <w:t xml:space="preserve">-users </w:t>
      </w:r>
      <w:r w:rsidR="4CAA4920" w:rsidRPr="006E27E1">
        <w:rPr>
          <w:noProof/>
        </w:rPr>
        <w:t>continue to benefit f</w:t>
      </w:r>
      <w:r w:rsidR="00E96261" w:rsidRPr="006E27E1">
        <w:rPr>
          <w:noProof/>
        </w:rPr>
        <w:t>rom</w:t>
      </w:r>
      <w:r w:rsidR="4CAA4920" w:rsidRPr="006E27E1">
        <w:rPr>
          <w:noProof/>
        </w:rPr>
        <w:t xml:space="preserve"> </w:t>
      </w:r>
      <w:r w:rsidR="004D175A" w:rsidRPr="006E27E1">
        <w:rPr>
          <w:noProof/>
        </w:rPr>
        <w:t xml:space="preserve">choices </w:t>
      </w:r>
      <w:r w:rsidR="0F745DA0" w:rsidRPr="006E27E1">
        <w:rPr>
          <w:noProof/>
        </w:rPr>
        <w:t xml:space="preserve">of services </w:t>
      </w:r>
      <w:r w:rsidR="004D175A" w:rsidRPr="006E27E1">
        <w:rPr>
          <w:noProof/>
        </w:rPr>
        <w:t>a</w:t>
      </w:r>
      <w:r w:rsidR="7D959891" w:rsidRPr="006E27E1">
        <w:rPr>
          <w:noProof/>
        </w:rPr>
        <w:t xml:space="preserve">t affordable conditions and that </w:t>
      </w:r>
      <w:r w:rsidR="004D175A" w:rsidRPr="006E27E1">
        <w:rPr>
          <w:noProof/>
        </w:rPr>
        <w:t xml:space="preserve">competition </w:t>
      </w:r>
      <w:r w:rsidR="35CCD92E" w:rsidRPr="006E27E1">
        <w:rPr>
          <w:noProof/>
        </w:rPr>
        <w:t>is preserved</w:t>
      </w:r>
      <w:r w:rsidR="59F20B15" w:rsidRPr="006E27E1">
        <w:rPr>
          <w:noProof/>
        </w:rPr>
        <w:t>. T</w:t>
      </w:r>
      <w:r w:rsidR="4D197CC8" w:rsidRPr="006E27E1">
        <w:rPr>
          <w:noProof/>
        </w:rPr>
        <w:t xml:space="preserve">his will </w:t>
      </w:r>
      <w:r w:rsidR="004D175A" w:rsidRPr="006E27E1">
        <w:rPr>
          <w:noProof/>
        </w:rPr>
        <w:t xml:space="preserve">enable operators to design more flexible offers to </w:t>
      </w:r>
      <w:r w:rsidR="5F7167A4" w:rsidRPr="006E27E1">
        <w:rPr>
          <w:noProof/>
        </w:rPr>
        <w:t xml:space="preserve">ensure </w:t>
      </w:r>
      <w:r w:rsidR="58DC9018" w:rsidRPr="006E27E1">
        <w:rPr>
          <w:noProof/>
        </w:rPr>
        <w:t>consumers can</w:t>
      </w:r>
      <w:r w:rsidR="5C8C4BFC" w:rsidRPr="006E27E1">
        <w:rPr>
          <w:noProof/>
        </w:rPr>
        <w:t xml:space="preserve"> choose among different services at affordable prices and, </w:t>
      </w:r>
      <w:r w:rsidR="7346D3A9" w:rsidRPr="006E27E1">
        <w:rPr>
          <w:noProof/>
        </w:rPr>
        <w:t>thus</w:t>
      </w:r>
      <w:r w:rsidR="003D0B87" w:rsidRPr="006E27E1">
        <w:rPr>
          <w:noProof/>
        </w:rPr>
        <w:t xml:space="preserve"> </w:t>
      </w:r>
      <w:r w:rsidR="004D175A" w:rsidRPr="006E27E1">
        <w:rPr>
          <w:noProof/>
        </w:rPr>
        <w:t>further push take up</w:t>
      </w:r>
      <w:r w:rsidR="003D0B87" w:rsidRPr="006E27E1">
        <w:rPr>
          <w:noProof/>
        </w:rPr>
        <w:t xml:space="preserve"> of fib</w:t>
      </w:r>
      <w:r w:rsidR="00C034CB" w:rsidRPr="006E27E1">
        <w:rPr>
          <w:noProof/>
        </w:rPr>
        <w:t>re</w:t>
      </w:r>
      <w:r w:rsidR="004D175A" w:rsidRPr="006E27E1">
        <w:rPr>
          <w:noProof/>
        </w:rPr>
        <w:t>.</w:t>
      </w:r>
    </w:p>
    <w:p w14:paraId="2BF0AB5C" w14:textId="487220E2" w:rsidR="00803F56" w:rsidRDefault="004D175A" w:rsidP="00353838">
      <w:pPr>
        <w:spacing w:line="240" w:lineRule="auto"/>
        <w:rPr>
          <w:rFonts w:eastAsia="Times New Roman"/>
          <w:noProof/>
        </w:rPr>
      </w:pPr>
      <w:r w:rsidRPr="006E27E1" w:rsidDel="009254B4">
        <w:rPr>
          <w:noProof/>
        </w:rPr>
        <w:t xml:space="preserve">All the options include some </w:t>
      </w:r>
      <w:r w:rsidRPr="00DE264C" w:rsidDel="009254B4">
        <w:rPr>
          <w:noProof/>
        </w:rPr>
        <w:t>simplification</w:t>
      </w:r>
      <w:r w:rsidR="00507DE4" w:rsidRPr="00DE264C">
        <w:rPr>
          <w:noProof/>
        </w:rPr>
        <w:t>s</w:t>
      </w:r>
      <w:r w:rsidRPr="006E27E1" w:rsidDel="009254B4">
        <w:rPr>
          <w:noProof/>
        </w:rPr>
        <w:t xml:space="preserve"> by removing the Code provisions related to remedies that have not been used (e.g. co-investments), in line with the findings of the Code evaluation report (Annex </w:t>
      </w:r>
      <w:r w:rsidR="003E2F87" w:rsidRPr="006E27E1">
        <w:rPr>
          <w:noProof/>
        </w:rPr>
        <w:t>11</w:t>
      </w:r>
      <w:r w:rsidRPr="006E27E1" w:rsidDel="009254B4">
        <w:rPr>
          <w:noProof/>
        </w:rPr>
        <w:t>).</w:t>
      </w:r>
      <w:r w:rsidR="77542B24" w:rsidRPr="006E27E1">
        <w:rPr>
          <w:noProof/>
        </w:rPr>
        <w:t xml:space="preserve"> </w:t>
      </w:r>
      <w:r w:rsidR="00BE2B36" w:rsidRPr="00DE264C">
        <w:rPr>
          <w:rFonts w:eastAsia="Times New Roman"/>
          <w:noProof/>
        </w:rPr>
        <w:t>T</w:t>
      </w:r>
      <w:r w:rsidR="00803F56" w:rsidRPr="00DE264C">
        <w:rPr>
          <w:rFonts w:eastAsia="Times New Roman"/>
          <w:noProof/>
        </w:rPr>
        <w:t xml:space="preserve">o protect end-users </w:t>
      </w:r>
      <w:r w:rsidR="000657EB" w:rsidRPr="00DE264C">
        <w:rPr>
          <w:rFonts w:eastAsia="Times New Roman"/>
          <w:noProof/>
        </w:rPr>
        <w:t>following the copper switch-off, under all options presented below, the U</w:t>
      </w:r>
      <w:r w:rsidR="00803F56" w:rsidRPr="00DE264C">
        <w:rPr>
          <w:rFonts w:eastAsia="Times New Roman"/>
          <w:noProof/>
        </w:rPr>
        <w:t xml:space="preserve">niversal Service obligations will be kept ensuring that affordable and adequate internet access is available, irrespective of location and income. </w:t>
      </w:r>
      <w:r w:rsidR="00192E29">
        <w:rPr>
          <w:rFonts w:eastAsia="Times New Roman"/>
          <w:noProof/>
        </w:rPr>
        <w:t>The key elements of the options are shown in the table</w:t>
      </w:r>
      <w:r w:rsidR="006E174B">
        <w:rPr>
          <w:rFonts w:eastAsia="Times New Roman"/>
          <w:noProof/>
        </w:rPr>
        <w:t xml:space="preserve"> below</w:t>
      </w:r>
      <w:r w:rsidR="00623536">
        <w:rPr>
          <w:rFonts w:eastAsia="Times New Roman"/>
          <w:noProof/>
        </w:rPr>
        <w:t>,</w:t>
      </w:r>
      <w:r w:rsidR="00192E29">
        <w:rPr>
          <w:rFonts w:eastAsia="Times New Roman"/>
          <w:noProof/>
        </w:rPr>
        <w:t xml:space="preserve"> followed by a</w:t>
      </w:r>
      <w:r w:rsidR="00623536">
        <w:rPr>
          <w:rFonts w:eastAsia="Times New Roman"/>
          <w:noProof/>
        </w:rPr>
        <w:t xml:space="preserve"> </w:t>
      </w:r>
      <w:r w:rsidR="00106CD7">
        <w:rPr>
          <w:rFonts w:eastAsia="Times New Roman"/>
          <w:noProof/>
        </w:rPr>
        <w:t xml:space="preserve">more </w:t>
      </w:r>
      <w:r w:rsidR="00623536">
        <w:rPr>
          <w:rFonts w:eastAsia="Times New Roman"/>
          <w:noProof/>
        </w:rPr>
        <w:t xml:space="preserve">detailed </w:t>
      </w:r>
      <w:r w:rsidR="006E174B">
        <w:rPr>
          <w:rFonts w:eastAsia="Times New Roman"/>
          <w:noProof/>
        </w:rPr>
        <w:t>description</w:t>
      </w:r>
      <w:r w:rsidR="002B68FC">
        <w:rPr>
          <w:rFonts w:eastAsia="Times New Roman"/>
          <w:noProof/>
        </w:rPr>
        <w:t xml:space="preserve"> of the </w:t>
      </w:r>
      <w:r w:rsidR="00391EB8">
        <w:rPr>
          <w:rFonts w:eastAsia="Times New Roman"/>
          <w:noProof/>
        </w:rPr>
        <w:t xml:space="preserve">measures under </w:t>
      </w:r>
      <w:r w:rsidR="005B65A8">
        <w:rPr>
          <w:rFonts w:eastAsia="Times New Roman"/>
          <w:noProof/>
        </w:rPr>
        <w:t>each of the option</w:t>
      </w:r>
      <w:r w:rsidR="004E41D8">
        <w:rPr>
          <w:rFonts w:eastAsia="Times New Roman"/>
          <w:noProof/>
        </w:rPr>
        <w:t xml:space="preserve"> and in </w:t>
      </w:r>
      <w:r w:rsidR="00C37C84">
        <w:rPr>
          <w:rFonts w:eastAsia="Times New Roman"/>
          <w:noProof/>
        </w:rPr>
        <w:t>A</w:t>
      </w:r>
      <w:r w:rsidR="004E41D8">
        <w:rPr>
          <w:rFonts w:eastAsia="Times New Roman"/>
          <w:noProof/>
        </w:rPr>
        <w:t>nnex 8</w:t>
      </w:r>
      <w:r w:rsidR="00673CD9">
        <w:rPr>
          <w:rFonts w:eastAsia="Times New Roman"/>
          <w:noProof/>
        </w:rPr>
        <w:t>.</w:t>
      </w:r>
      <w:r w:rsidR="00177050">
        <w:rPr>
          <w:rFonts w:eastAsia="Times New Roman"/>
          <w:noProof/>
        </w:rPr>
        <w:t xml:space="preserve"> The matrix of all combinations of options and choice of the ones described below is done under discarded options.</w:t>
      </w:r>
    </w:p>
    <w:p w14:paraId="5C41A3BF" w14:textId="77777777" w:rsidR="00ED1A00" w:rsidRDefault="00ED1A00" w:rsidP="008F25A7">
      <w:pPr>
        <w:rPr>
          <w:rFonts w:eastAsia="Times New Roman"/>
          <w:noProof/>
        </w:rPr>
      </w:pPr>
    </w:p>
    <w:p w14:paraId="4BB263CA" w14:textId="77777777" w:rsidR="002B60A8" w:rsidRDefault="002B60A8" w:rsidP="008F25A7">
      <w:pPr>
        <w:rPr>
          <w:rFonts w:eastAsia="Times New Roman"/>
          <w:noProof/>
        </w:rPr>
        <w:sectPr w:rsidR="002B60A8" w:rsidSect="00BE337F">
          <w:headerReference w:type="even" r:id="rId38"/>
          <w:headerReference w:type="default" r:id="rId39"/>
          <w:footerReference w:type="even" r:id="rId40"/>
          <w:footerReference w:type="default" r:id="rId41"/>
          <w:headerReference w:type="first" r:id="rId42"/>
          <w:footerReference w:type="first" r:id="rId43"/>
          <w:pgSz w:w="11906" w:h="16838" w:code="9"/>
          <w:pgMar w:top="1134" w:right="1418" w:bottom="1134" w:left="1418" w:header="709" w:footer="709" w:gutter="0"/>
          <w:cols w:space="720"/>
          <w:docGrid w:linePitch="360"/>
        </w:sectPr>
      </w:pPr>
    </w:p>
    <w:p w14:paraId="6D72193D" w14:textId="5123D8B6" w:rsidR="008B2C0C" w:rsidRPr="00280EAD" w:rsidRDefault="008B2C0C" w:rsidP="0084783D">
      <w:pPr>
        <w:spacing w:after="0"/>
        <w:rPr>
          <w:rFonts w:eastAsiaTheme="minorEastAsia"/>
          <w:i/>
          <w:noProof/>
          <w:u w:val="single"/>
          <w:lang w:val="en-IE"/>
        </w:rPr>
      </w:pPr>
      <w:r w:rsidRPr="00280EAD">
        <w:rPr>
          <w:i/>
          <w:noProof/>
          <w:u w:val="single"/>
        </w:rPr>
        <w:t>Table 1</w:t>
      </w:r>
      <w:r w:rsidR="00F7098C">
        <w:rPr>
          <w:i/>
          <w:noProof/>
          <w:u w:val="single"/>
        </w:rPr>
        <w:t>4</w:t>
      </w:r>
      <w:r w:rsidRPr="00280EAD">
        <w:rPr>
          <w:i/>
          <w:noProof/>
          <w:u w:val="single"/>
        </w:rPr>
        <w:t>: Transition to fibre options and links to the problem driver and specific objective</w:t>
      </w:r>
    </w:p>
    <w:tbl>
      <w:tblPr>
        <w:tblW w:w="1473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985"/>
        <w:gridCol w:w="992"/>
        <w:gridCol w:w="1843"/>
        <w:gridCol w:w="7371"/>
        <w:gridCol w:w="1984"/>
        <w:gridCol w:w="1559"/>
      </w:tblGrid>
      <w:tr w:rsidR="004E4BB7" w:rsidRPr="00B93098" w14:paraId="5AE2E7A6" w14:textId="77777777" w:rsidTr="2C55DAB3">
        <w:trPr>
          <w:trHeight w:val="300"/>
          <w:tblHeader/>
        </w:trPr>
        <w:tc>
          <w:tcPr>
            <w:tcW w:w="985" w:type="dxa"/>
            <w:vMerge w:val="restart"/>
            <w:tcBorders>
              <w:top w:val="single" w:sz="6" w:space="0" w:color="auto"/>
              <w:left w:val="single" w:sz="6" w:space="0" w:color="auto"/>
              <w:bottom w:val="single" w:sz="6" w:space="0" w:color="auto"/>
              <w:right w:val="single" w:sz="4" w:space="0" w:color="auto"/>
            </w:tcBorders>
            <w:vAlign w:val="center"/>
            <w:hideMark/>
          </w:tcPr>
          <w:p w14:paraId="5962BB4C" w14:textId="77777777" w:rsidR="00B93098" w:rsidRPr="00292895" w:rsidRDefault="00B93098" w:rsidP="00292895">
            <w:pPr>
              <w:spacing w:after="0"/>
              <w:jc w:val="center"/>
              <w:textAlignment w:val="baseline"/>
              <w:rPr>
                <w:rFonts w:ascii="Segoe UI" w:hAnsi="Segoe UI"/>
                <w:noProof/>
                <w:sz w:val="18"/>
                <w:lang w:val="en-IE"/>
              </w:rPr>
            </w:pPr>
            <w:r w:rsidRPr="00B93098">
              <w:rPr>
                <w:rFonts w:ascii="Times New Roman_MSFontService" w:eastAsia="Times New Roman" w:hAnsi="Times New Roman_MSFontService" w:cs="Segoe UI"/>
                <w:b/>
                <w:bCs/>
                <w:noProof/>
                <w:sz w:val="20"/>
                <w:szCs w:val="20"/>
                <w:lang w:eastAsia="en-IE"/>
              </w:rPr>
              <w:t>Problem driver</w:t>
            </w:r>
            <w:r w:rsidRPr="006E27E1">
              <w:rPr>
                <w:rFonts w:ascii="Times New Roman_MSFontService" w:hAnsi="Times New Roman_MSFontService" w:hint="eastAsia"/>
                <w:noProof/>
                <w:sz w:val="20"/>
              </w:rPr>
              <w:t> </w:t>
            </w:r>
          </w:p>
        </w:tc>
        <w:tc>
          <w:tcPr>
            <w:tcW w:w="992" w:type="dxa"/>
            <w:vMerge w:val="restart"/>
            <w:tcBorders>
              <w:top w:val="single" w:sz="6" w:space="0" w:color="auto"/>
              <w:left w:val="single" w:sz="4" w:space="0" w:color="auto"/>
              <w:bottom w:val="single" w:sz="6" w:space="0" w:color="auto"/>
              <w:right w:val="single" w:sz="6" w:space="0" w:color="auto"/>
            </w:tcBorders>
            <w:vAlign w:val="center"/>
            <w:hideMark/>
          </w:tcPr>
          <w:p w14:paraId="3BB82E06" w14:textId="77777777" w:rsidR="00B93098" w:rsidRPr="00292895" w:rsidRDefault="00B93098" w:rsidP="00292895">
            <w:pPr>
              <w:spacing w:after="0"/>
              <w:jc w:val="center"/>
              <w:textAlignment w:val="baseline"/>
              <w:rPr>
                <w:rFonts w:ascii="Segoe UI" w:hAnsi="Segoe UI"/>
                <w:noProof/>
                <w:sz w:val="18"/>
                <w:lang w:val="en-IE"/>
              </w:rPr>
            </w:pPr>
            <w:r w:rsidRPr="00B93098">
              <w:rPr>
                <w:rFonts w:ascii="Times New Roman_MSFontService" w:eastAsia="Times New Roman" w:hAnsi="Times New Roman_MSFontService" w:cs="Segoe UI"/>
                <w:b/>
                <w:bCs/>
                <w:noProof/>
                <w:sz w:val="20"/>
                <w:szCs w:val="20"/>
                <w:lang w:eastAsia="en-IE"/>
              </w:rPr>
              <w:t>Specific Objective</w:t>
            </w:r>
            <w:r w:rsidRPr="006E27E1">
              <w:rPr>
                <w:rFonts w:ascii="Times New Roman_MSFontService" w:hAnsi="Times New Roman_MSFontService" w:hint="eastAsia"/>
                <w:noProof/>
                <w:sz w:val="20"/>
              </w:rPr>
              <w:t> </w:t>
            </w:r>
          </w:p>
        </w:tc>
        <w:tc>
          <w:tcPr>
            <w:tcW w:w="12757" w:type="dxa"/>
            <w:gridSpan w:val="4"/>
            <w:tcBorders>
              <w:top w:val="single" w:sz="6" w:space="0" w:color="auto"/>
              <w:left w:val="single" w:sz="6" w:space="0" w:color="auto"/>
              <w:bottom w:val="single" w:sz="6" w:space="0" w:color="auto"/>
              <w:right w:val="single" w:sz="6" w:space="0" w:color="auto"/>
            </w:tcBorders>
            <w:hideMark/>
          </w:tcPr>
          <w:p w14:paraId="23CA66BC" w14:textId="7A098040" w:rsidR="00B93098" w:rsidRPr="00292895" w:rsidRDefault="00B93098" w:rsidP="00292895">
            <w:pPr>
              <w:spacing w:after="0"/>
              <w:jc w:val="center"/>
              <w:textAlignment w:val="baseline"/>
              <w:rPr>
                <w:rFonts w:ascii="Segoe UI" w:hAnsi="Segoe UI"/>
                <w:noProof/>
                <w:sz w:val="18"/>
                <w:lang w:val="en-IE"/>
              </w:rPr>
            </w:pPr>
            <w:r w:rsidRPr="00B93098">
              <w:rPr>
                <w:rFonts w:ascii="Times New Roman_MSFontService" w:eastAsia="Times New Roman" w:hAnsi="Times New Roman_MSFontService" w:cs="Segoe UI"/>
                <w:b/>
                <w:bCs/>
                <w:noProof/>
                <w:sz w:val="20"/>
                <w:szCs w:val="20"/>
                <w:lang w:eastAsia="en-IE"/>
              </w:rPr>
              <w:t>Policy options</w:t>
            </w:r>
          </w:p>
        </w:tc>
      </w:tr>
      <w:tr w:rsidR="004D752F" w:rsidRPr="00B93098" w14:paraId="7CABF6AE" w14:textId="77777777" w:rsidTr="2C55DAB3">
        <w:trPr>
          <w:trHeight w:val="300"/>
          <w:tblHeader/>
        </w:trPr>
        <w:tc>
          <w:tcPr>
            <w:tcW w:w="985" w:type="dxa"/>
            <w:vMerge/>
            <w:vAlign w:val="center"/>
            <w:hideMark/>
          </w:tcPr>
          <w:p w14:paraId="2F8B861B" w14:textId="77777777" w:rsidR="00B93098" w:rsidRPr="00292895" w:rsidRDefault="00B93098" w:rsidP="00292895">
            <w:pPr>
              <w:spacing w:after="0"/>
              <w:jc w:val="left"/>
              <w:rPr>
                <w:rFonts w:ascii="Segoe UI" w:hAnsi="Segoe UI"/>
                <w:noProof/>
                <w:sz w:val="18"/>
                <w:lang w:val="en-IE"/>
              </w:rPr>
            </w:pPr>
          </w:p>
        </w:tc>
        <w:tc>
          <w:tcPr>
            <w:tcW w:w="992" w:type="dxa"/>
            <w:vMerge/>
            <w:vAlign w:val="center"/>
            <w:hideMark/>
          </w:tcPr>
          <w:p w14:paraId="16A48856" w14:textId="77777777" w:rsidR="00B93098" w:rsidRPr="00292895" w:rsidRDefault="00B93098" w:rsidP="00292895">
            <w:pPr>
              <w:spacing w:after="0"/>
              <w:jc w:val="left"/>
              <w:rPr>
                <w:rFonts w:ascii="Segoe UI" w:hAnsi="Segoe UI"/>
                <w:noProof/>
                <w:sz w:val="18"/>
                <w:lang w:val="en-IE"/>
              </w:rPr>
            </w:pPr>
          </w:p>
        </w:tc>
        <w:tc>
          <w:tcPr>
            <w:tcW w:w="1843" w:type="dxa"/>
            <w:tcBorders>
              <w:top w:val="single" w:sz="6" w:space="0" w:color="auto"/>
              <w:left w:val="single" w:sz="6" w:space="0" w:color="auto"/>
              <w:bottom w:val="single" w:sz="6" w:space="0" w:color="auto"/>
              <w:right w:val="single" w:sz="6" w:space="0" w:color="auto"/>
            </w:tcBorders>
            <w:vAlign w:val="center"/>
            <w:hideMark/>
          </w:tcPr>
          <w:p w14:paraId="5A743F83" w14:textId="77777777" w:rsidR="00CA448B" w:rsidRDefault="00B93098" w:rsidP="00B93098">
            <w:pPr>
              <w:spacing w:after="0"/>
              <w:jc w:val="center"/>
              <w:textAlignment w:val="baseline"/>
              <w:rPr>
                <w:rFonts w:ascii="Times New Roman_MSFontService" w:eastAsia="Times New Roman" w:hAnsi="Times New Roman_MSFontService" w:cs="Segoe UI"/>
                <w:b/>
                <w:bCs/>
                <w:noProof/>
                <w:sz w:val="20"/>
                <w:szCs w:val="20"/>
                <w:lang w:eastAsia="en-IE"/>
              </w:rPr>
            </w:pPr>
            <w:r w:rsidRPr="00B93098">
              <w:rPr>
                <w:rFonts w:ascii="Times New Roman_MSFontService" w:eastAsia="Times New Roman" w:hAnsi="Times New Roman_MSFontService" w:cs="Segoe UI"/>
                <w:b/>
                <w:bCs/>
                <w:noProof/>
                <w:sz w:val="20"/>
                <w:szCs w:val="20"/>
                <w:lang w:eastAsia="en-IE"/>
              </w:rPr>
              <w:t>P01</w:t>
            </w:r>
          </w:p>
          <w:p w14:paraId="410F0C81" w14:textId="20CD1297" w:rsidR="00B93098" w:rsidRPr="00292895" w:rsidRDefault="00BA29DF" w:rsidP="00292895">
            <w:pPr>
              <w:spacing w:after="0"/>
              <w:jc w:val="center"/>
              <w:textAlignment w:val="baseline"/>
              <w:rPr>
                <w:rFonts w:ascii="Segoe UI" w:hAnsi="Segoe UI"/>
                <w:noProof/>
                <w:sz w:val="18"/>
                <w:lang w:val="en-IE"/>
              </w:rPr>
            </w:pPr>
            <w:r w:rsidRPr="006E27E1">
              <w:rPr>
                <w:rFonts w:ascii="Times New Roman_MSFontService" w:hAnsi="Times New Roman_MSFontService"/>
                <w:noProof/>
                <w:sz w:val="20"/>
              </w:rPr>
              <w:t xml:space="preserve">Non-binding </w:t>
            </w:r>
            <w:r w:rsidR="00CA448B" w:rsidRPr="006E27E1">
              <w:rPr>
                <w:rFonts w:ascii="Times New Roman_MSFontService" w:hAnsi="Times New Roman_MSFontService"/>
                <w:noProof/>
                <w:sz w:val="20"/>
              </w:rPr>
              <w:t>CSO</w:t>
            </w:r>
            <w:r w:rsidRPr="006E27E1">
              <w:rPr>
                <w:rFonts w:ascii="Times New Roman_MSFontService" w:hAnsi="Times New Roman_MSFontService"/>
                <w:noProof/>
                <w:sz w:val="20"/>
              </w:rPr>
              <w:t xml:space="preserve"> and updated access regulation</w:t>
            </w:r>
          </w:p>
        </w:tc>
        <w:tc>
          <w:tcPr>
            <w:tcW w:w="7371" w:type="dxa"/>
            <w:tcBorders>
              <w:top w:val="single" w:sz="6" w:space="0" w:color="auto"/>
              <w:left w:val="single" w:sz="6" w:space="0" w:color="auto"/>
              <w:bottom w:val="single" w:sz="6" w:space="0" w:color="auto"/>
              <w:right w:val="single" w:sz="6" w:space="0" w:color="auto"/>
            </w:tcBorders>
            <w:vAlign w:val="center"/>
            <w:hideMark/>
          </w:tcPr>
          <w:p w14:paraId="578FBE22" w14:textId="73A0A24C" w:rsidR="00B93098" w:rsidRDefault="00DC692B" w:rsidP="00B93098">
            <w:pPr>
              <w:spacing w:after="0"/>
              <w:jc w:val="center"/>
              <w:textAlignment w:val="baseline"/>
              <w:rPr>
                <w:rFonts w:ascii="Times New Roman_MSFontService" w:eastAsia="Times New Roman" w:hAnsi="Times New Roman_MSFontService" w:cs="Segoe UI"/>
                <w:b/>
                <w:bCs/>
                <w:noProof/>
                <w:sz w:val="20"/>
                <w:szCs w:val="20"/>
                <w:lang w:eastAsia="en-IE"/>
              </w:rPr>
            </w:pPr>
            <w:r>
              <w:rPr>
                <w:rFonts w:ascii="Times New Roman_MSFontService" w:eastAsia="Times New Roman_MSFontService" w:hAnsi="Times New Roman_MSFontService" w:cs="Times New Roman_MSFontService"/>
                <w:b/>
                <w:bCs/>
                <w:noProof/>
                <w:sz w:val="20"/>
                <w:szCs w:val="20"/>
              </w:rPr>
              <w:t>P</w:t>
            </w:r>
            <w:r w:rsidR="00B93098" w:rsidRPr="00B93098">
              <w:rPr>
                <w:rFonts w:ascii="Times New Roman_MSFontService" w:eastAsia="Times New Roman" w:hAnsi="Times New Roman_MSFontService" w:cs="Segoe UI"/>
                <w:b/>
                <w:bCs/>
                <w:noProof/>
                <w:sz w:val="20"/>
                <w:szCs w:val="20"/>
                <w:lang w:eastAsia="en-IE"/>
              </w:rPr>
              <w:t>02</w:t>
            </w:r>
          </w:p>
          <w:p w14:paraId="795F92B7" w14:textId="2402F79E" w:rsidR="00B93098" w:rsidRPr="00292895" w:rsidRDefault="00CA448B" w:rsidP="00292895">
            <w:pPr>
              <w:spacing w:after="0"/>
              <w:jc w:val="center"/>
              <w:textAlignment w:val="baseline"/>
              <w:rPr>
                <w:rFonts w:ascii="Segoe UI" w:hAnsi="Segoe UI"/>
                <w:noProof/>
                <w:sz w:val="18"/>
                <w:lang w:val="en-IE"/>
              </w:rPr>
            </w:pPr>
            <w:r w:rsidRPr="006E27E1">
              <w:rPr>
                <w:rFonts w:ascii="Times New Roman_MSFontService" w:hAnsi="Times New Roman_MSFontService"/>
                <w:noProof/>
                <w:sz w:val="20"/>
              </w:rPr>
              <w:t>Conditional CSO and updated access regulation</w:t>
            </w:r>
          </w:p>
        </w:tc>
        <w:tc>
          <w:tcPr>
            <w:tcW w:w="1984" w:type="dxa"/>
            <w:tcBorders>
              <w:top w:val="single" w:sz="6" w:space="0" w:color="auto"/>
              <w:left w:val="single" w:sz="6" w:space="0" w:color="auto"/>
              <w:bottom w:val="single" w:sz="6" w:space="0" w:color="auto"/>
              <w:right w:val="single" w:sz="6" w:space="0" w:color="auto"/>
            </w:tcBorders>
            <w:vAlign w:val="center"/>
            <w:hideMark/>
          </w:tcPr>
          <w:p w14:paraId="3B49B5BF" w14:textId="77777777" w:rsidR="00B93098" w:rsidRDefault="00B93098" w:rsidP="00B93098">
            <w:pPr>
              <w:spacing w:after="0"/>
              <w:jc w:val="center"/>
              <w:textAlignment w:val="baseline"/>
              <w:rPr>
                <w:rFonts w:ascii="Times New Roman_MSFontService" w:eastAsia="Times New Roman" w:hAnsi="Times New Roman_MSFontService" w:cs="Segoe UI"/>
                <w:b/>
                <w:bCs/>
                <w:noProof/>
                <w:sz w:val="20"/>
                <w:szCs w:val="20"/>
                <w:lang w:eastAsia="en-IE"/>
              </w:rPr>
            </w:pPr>
            <w:r w:rsidRPr="00B93098">
              <w:rPr>
                <w:rFonts w:ascii="Times New Roman_MSFontService" w:eastAsia="Times New Roman" w:hAnsi="Times New Roman_MSFontService" w:cs="Segoe UI"/>
                <w:b/>
                <w:bCs/>
                <w:noProof/>
                <w:sz w:val="20"/>
                <w:szCs w:val="20"/>
                <w:lang w:eastAsia="en-IE"/>
              </w:rPr>
              <w:t>P03</w:t>
            </w:r>
          </w:p>
          <w:p w14:paraId="628C7F39" w14:textId="6E3FE76A" w:rsidR="00B93098" w:rsidRPr="00292895" w:rsidRDefault="00097A1D" w:rsidP="00292895">
            <w:pPr>
              <w:spacing w:after="0"/>
              <w:jc w:val="center"/>
              <w:textAlignment w:val="baseline"/>
              <w:rPr>
                <w:rFonts w:ascii="Segoe UI" w:hAnsi="Segoe UI"/>
                <w:noProof/>
                <w:sz w:val="18"/>
                <w:lang w:val="en-IE"/>
              </w:rPr>
            </w:pPr>
            <w:r w:rsidRPr="006E27E1">
              <w:rPr>
                <w:rFonts w:ascii="Times New Roman_MSFontService" w:hAnsi="Times New Roman_MSFontService"/>
                <w:noProof/>
                <w:sz w:val="20"/>
              </w:rPr>
              <w:t>Market driven CSO and bottleneck-based access regulation</w:t>
            </w:r>
          </w:p>
        </w:tc>
        <w:tc>
          <w:tcPr>
            <w:tcW w:w="1559" w:type="dxa"/>
            <w:tcBorders>
              <w:top w:val="single" w:sz="6" w:space="0" w:color="auto"/>
              <w:left w:val="single" w:sz="6" w:space="0" w:color="auto"/>
              <w:bottom w:val="single" w:sz="6" w:space="0" w:color="auto"/>
              <w:right w:val="single" w:sz="6" w:space="0" w:color="auto"/>
            </w:tcBorders>
            <w:vAlign w:val="center"/>
            <w:hideMark/>
          </w:tcPr>
          <w:p w14:paraId="2A801382" w14:textId="77777777" w:rsidR="00B93098" w:rsidRDefault="00B93098" w:rsidP="00B93098">
            <w:pPr>
              <w:spacing w:after="0"/>
              <w:jc w:val="center"/>
              <w:textAlignment w:val="baseline"/>
              <w:rPr>
                <w:rFonts w:ascii="Times New Roman_MSFontService" w:eastAsia="Times New Roman" w:hAnsi="Times New Roman_MSFontService" w:cs="Segoe UI"/>
                <w:b/>
                <w:bCs/>
                <w:noProof/>
                <w:sz w:val="20"/>
                <w:szCs w:val="20"/>
                <w:lang w:eastAsia="en-IE"/>
              </w:rPr>
            </w:pPr>
            <w:r w:rsidRPr="00B93098">
              <w:rPr>
                <w:rFonts w:ascii="Times New Roman_MSFontService" w:eastAsia="Times New Roman" w:hAnsi="Times New Roman_MSFontService" w:cs="Segoe UI"/>
                <w:b/>
                <w:bCs/>
                <w:noProof/>
                <w:sz w:val="20"/>
                <w:szCs w:val="20"/>
                <w:lang w:eastAsia="en-IE"/>
              </w:rPr>
              <w:t>P04</w:t>
            </w:r>
          </w:p>
          <w:p w14:paraId="42F99A94" w14:textId="287F11DF" w:rsidR="00B93098" w:rsidRPr="00292895" w:rsidRDefault="00CA448B" w:rsidP="00292895">
            <w:pPr>
              <w:spacing w:after="0"/>
              <w:jc w:val="center"/>
              <w:textAlignment w:val="baseline"/>
              <w:rPr>
                <w:rFonts w:ascii="Segoe UI" w:hAnsi="Segoe UI"/>
                <w:noProof/>
                <w:sz w:val="18"/>
                <w:lang w:val="en-IE"/>
              </w:rPr>
            </w:pPr>
            <w:r w:rsidRPr="006E27E1">
              <w:rPr>
                <w:rFonts w:ascii="Times New Roman_MSFontService" w:hAnsi="Times New Roman_MSFontService"/>
                <w:noProof/>
                <w:sz w:val="20"/>
              </w:rPr>
              <w:t xml:space="preserve">Mandatory </w:t>
            </w:r>
            <w:r w:rsidR="00097A1D" w:rsidRPr="006E27E1">
              <w:rPr>
                <w:rFonts w:ascii="Times New Roman_MSFontService" w:hAnsi="Times New Roman_MSFontService"/>
                <w:noProof/>
                <w:sz w:val="20"/>
              </w:rPr>
              <w:t>CSO</w:t>
            </w:r>
            <w:r w:rsidRPr="006E27E1">
              <w:rPr>
                <w:rFonts w:ascii="Times New Roman_MSFontService" w:hAnsi="Times New Roman_MSFontService"/>
                <w:noProof/>
                <w:sz w:val="20"/>
              </w:rPr>
              <w:t xml:space="preserve"> and symmetric regulation</w:t>
            </w:r>
          </w:p>
        </w:tc>
      </w:tr>
      <w:tr w:rsidR="00937653" w:rsidRPr="00B93098" w14:paraId="0A049639" w14:textId="77777777" w:rsidTr="2C55DAB3">
        <w:trPr>
          <w:trHeight w:val="1320"/>
        </w:trPr>
        <w:tc>
          <w:tcPr>
            <w:tcW w:w="985" w:type="dxa"/>
            <w:vMerge w:val="restart"/>
            <w:tcBorders>
              <w:top w:val="single" w:sz="6" w:space="0" w:color="auto"/>
              <w:left w:val="single" w:sz="6" w:space="0" w:color="auto"/>
              <w:bottom w:val="single" w:sz="6" w:space="0" w:color="auto"/>
              <w:right w:val="single" w:sz="6" w:space="0" w:color="auto"/>
            </w:tcBorders>
            <w:hideMark/>
          </w:tcPr>
          <w:p w14:paraId="6C236606" w14:textId="7C915387" w:rsidR="00B93098" w:rsidRPr="00292895" w:rsidRDefault="00B93098" w:rsidP="00292895">
            <w:pPr>
              <w:spacing w:after="0"/>
              <w:jc w:val="left"/>
              <w:textAlignment w:val="baseline"/>
              <w:rPr>
                <w:rFonts w:ascii="Segoe UI" w:hAnsi="Segoe UI"/>
                <w:noProof/>
                <w:sz w:val="18"/>
                <w:szCs w:val="18"/>
                <w:lang w:val="en-IE"/>
              </w:rPr>
            </w:pPr>
            <w:r w:rsidRPr="006E27E1">
              <w:rPr>
                <w:rFonts w:ascii="Times New Roman_MSFontService" w:hAnsi="Times New Roman_MSFontService"/>
                <w:noProof/>
                <w:sz w:val="20"/>
              </w:rPr>
              <w:t>Factors slowing down the deployment and adoption of fibre networks/</w:t>
            </w:r>
            <w:r w:rsidR="00155BEF" w:rsidRPr="006E27E1">
              <w:rPr>
                <w:rFonts w:ascii="Times New Roman_MSFontService" w:hAnsi="Times New Roman_MSFontService"/>
                <w:noProof/>
                <w:sz w:val="20"/>
              </w:rPr>
              <w:t xml:space="preserve"> </w:t>
            </w:r>
            <w:r w:rsidRPr="006E27E1">
              <w:rPr>
                <w:rFonts w:ascii="Times New Roman_MSFontService" w:hAnsi="Times New Roman_MSFontService"/>
                <w:noProof/>
                <w:sz w:val="20"/>
              </w:rPr>
              <w:t>services</w:t>
            </w:r>
            <w:r w:rsidR="003D29B2">
              <w:rPr>
                <w:rFonts w:ascii="Times New Roman_MSFontService" w:hAnsi="Times New Roman_MSFontService"/>
                <w:noProof/>
                <w:sz w:val="20"/>
              </w:rPr>
              <w:t xml:space="preserve"> </w:t>
            </w:r>
            <w:r w:rsidR="3BBBC93D" w:rsidRPr="006E27E1">
              <w:rPr>
                <w:rFonts w:ascii="Times New Roman_MSFontService" w:hAnsi="Times New Roman_MSFontService"/>
                <w:noProof/>
                <w:sz w:val="20"/>
              </w:rPr>
              <w:t>(persistence of copper and some regulatory approaches)</w:t>
            </w:r>
          </w:p>
        </w:tc>
        <w:tc>
          <w:tcPr>
            <w:tcW w:w="992" w:type="dxa"/>
            <w:vMerge w:val="restart"/>
            <w:tcBorders>
              <w:top w:val="single" w:sz="6" w:space="0" w:color="auto"/>
              <w:left w:val="single" w:sz="6" w:space="0" w:color="auto"/>
              <w:right w:val="single" w:sz="6" w:space="0" w:color="auto"/>
            </w:tcBorders>
            <w:hideMark/>
          </w:tcPr>
          <w:p w14:paraId="00D80B0E" w14:textId="12349530" w:rsidR="00CE56C6" w:rsidRPr="00CE56C6" w:rsidRDefault="00DE264C">
            <w:pPr>
              <w:spacing w:after="0"/>
              <w:jc w:val="left"/>
              <w:textAlignment w:val="baseline"/>
              <w:rPr>
                <w:rFonts w:ascii="Segoe UI" w:hAnsi="Segoe UI"/>
                <w:noProof/>
                <w:sz w:val="18"/>
                <w:szCs w:val="18"/>
                <w:lang w:val="en-IE"/>
              </w:rPr>
            </w:pPr>
            <w:r w:rsidRPr="00DE264C">
              <w:rPr>
                <w:rFonts w:ascii="Times New Roman_MSFontService" w:eastAsia="Times New Roman_MSFontService" w:hAnsi="Times New Roman_MSFontService" w:cs="Times New Roman_MSFontService"/>
                <w:noProof/>
                <w:sz w:val="20"/>
                <w:szCs w:val="20"/>
              </w:rPr>
              <w:t xml:space="preserve">SP01: </w:t>
            </w:r>
            <w:r w:rsidR="1F6A6B84" w:rsidRPr="5D78A962">
              <w:rPr>
                <w:rFonts w:ascii="Times New Roman_MSFontService" w:eastAsia="Times New Roman" w:hAnsi="Times New Roman_MSFontService" w:cs="Segoe UI"/>
                <w:noProof/>
                <w:sz w:val="20"/>
                <w:szCs w:val="20"/>
                <w:lang w:eastAsia="en-IE"/>
              </w:rPr>
              <w:t xml:space="preserve">Swift </w:t>
            </w:r>
            <w:r w:rsidR="00B93098" w:rsidRPr="00B93098">
              <w:rPr>
                <w:rFonts w:ascii="Times New Roman_MSFontService" w:eastAsia="Times New Roman" w:hAnsi="Times New Roman_MSFontService" w:cs="Segoe UI"/>
                <w:noProof/>
                <w:sz w:val="20"/>
                <w:szCs w:val="20"/>
                <w:lang w:eastAsia="en-IE"/>
              </w:rPr>
              <w:t xml:space="preserve">fibre </w:t>
            </w:r>
            <w:r w:rsidR="594F7448" w:rsidRPr="5D78A962">
              <w:rPr>
                <w:rFonts w:ascii="Times New Roman_MSFontService" w:eastAsia="Times New Roman" w:hAnsi="Times New Roman_MSFontService" w:cs="Segoe UI"/>
                <w:noProof/>
                <w:sz w:val="20"/>
                <w:szCs w:val="20"/>
                <w:lang w:eastAsia="en-IE"/>
              </w:rPr>
              <w:t>deployment</w:t>
            </w:r>
            <w:r w:rsidR="00B93098" w:rsidRPr="5D78A962">
              <w:rPr>
                <w:rFonts w:ascii="Times New Roman_MSFontService" w:eastAsia="Times New Roman" w:hAnsi="Times New Roman_MSFontService" w:cs="Segoe UI"/>
                <w:noProof/>
                <w:sz w:val="20"/>
                <w:szCs w:val="20"/>
                <w:lang w:eastAsia="en-IE"/>
              </w:rPr>
              <w:t xml:space="preserve"> </w:t>
            </w:r>
            <w:r w:rsidR="00B93098" w:rsidRPr="00B93098">
              <w:rPr>
                <w:rFonts w:ascii="Times New Roman_MSFontService" w:eastAsia="Times New Roman" w:hAnsi="Times New Roman_MSFontService" w:cs="Segoe UI"/>
                <w:noProof/>
                <w:sz w:val="20"/>
                <w:szCs w:val="20"/>
                <w:lang w:eastAsia="en-IE"/>
              </w:rPr>
              <w:t xml:space="preserve">and take-up in all MSs </w:t>
            </w:r>
          </w:p>
          <w:p w14:paraId="250DD4EA" w14:textId="2A08FFF4" w:rsidR="00B93098" w:rsidRPr="00292895" w:rsidRDefault="00B93098" w:rsidP="00292895">
            <w:pPr>
              <w:spacing w:after="0"/>
              <w:jc w:val="left"/>
              <w:rPr>
                <w:rFonts w:ascii="Segoe UI" w:hAnsi="Segoe UI"/>
                <w:noProof/>
                <w:sz w:val="18"/>
                <w:szCs w:val="18"/>
                <w:lang w:val="en-IE"/>
              </w:rPr>
            </w:pPr>
          </w:p>
        </w:tc>
        <w:tc>
          <w:tcPr>
            <w:tcW w:w="1843" w:type="dxa"/>
            <w:tcBorders>
              <w:top w:val="single" w:sz="6" w:space="0" w:color="auto"/>
              <w:left w:val="single" w:sz="6" w:space="0" w:color="auto"/>
              <w:bottom w:val="single" w:sz="6" w:space="0" w:color="auto"/>
              <w:right w:val="single" w:sz="6" w:space="0" w:color="auto"/>
            </w:tcBorders>
            <w:hideMark/>
          </w:tcPr>
          <w:p w14:paraId="498D2646" w14:textId="1859454A" w:rsidR="00B93098" w:rsidRPr="00292895" w:rsidRDefault="4DD393A1" w:rsidP="00292895">
            <w:pPr>
              <w:spacing w:after="120"/>
              <w:jc w:val="left"/>
              <w:textAlignment w:val="baseline"/>
              <w:rPr>
                <w:rFonts w:ascii="Times New Roman_MSFontService" w:eastAsia="Times New Roman" w:hAnsi="Times New Roman_MSFontService" w:cs="Segoe UI"/>
                <w:noProof/>
                <w:sz w:val="20"/>
                <w:szCs w:val="20"/>
                <w:lang w:val="en-IE" w:eastAsia="en-IE"/>
              </w:rPr>
            </w:pPr>
            <w:r w:rsidRPr="006E27E1">
              <w:rPr>
                <w:rFonts w:ascii="Times New Roman_MSFontService" w:hAnsi="Times New Roman_MSFontService"/>
                <w:noProof/>
                <w:sz w:val="20"/>
              </w:rPr>
              <w:t>Transition to Fibr</w:t>
            </w:r>
            <w:r w:rsidR="00DD03CC">
              <w:rPr>
                <w:rFonts w:ascii="Times New Roman_MSFontService" w:hAnsi="Times New Roman_MSFontService"/>
                <w:noProof/>
                <w:sz w:val="20"/>
              </w:rPr>
              <w:t>e</w:t>
            </w:r>
            <w:r w:rsidR="36F067F8" w:rsidRPr="006E27E1">
              <w:rPr>
                <w:rFonts w:ascii="Times New Roman_MSFontService" w:hAnsi="Times New Roman_MSFontService"/>
                <w:noProof/>
                <w:sz w:val="20"/>
              </w:rPr>
              <w:t xml:space="preserve"> Plan with</w:t>
            </w:r>
            <w:r w:rsidR="00233BCB" w:rsidRPr="006E27E1">
              <w:rPr>
                <w:rFonts w:ascii="Times New Roman_MSFontService" w:hAnsi="Times New Roman_MSFontService"/>
                <w:noProof/>
                <w:sz w:val="20"/>
              </w:rPr>
              <w:t xml:space="preserve"> n</w:t>
            </w:r>
            <w:r w:rsidR="00B93098" w:rsidRPr="00B93098">
              <w:rPr>
                <w:rFonts w:ascii="Times New Roman_MSFontService" w:eastAsia="Times New Roman" w:hAnsi="Times New Roman_MSFontService" w:cs="Segoe UI"/>
                <w:noProof/>
                <w:sz w:val="20"/>
                <w:szCs w:val="20"/>
                <w:lang w:eastAsia="en-IE"/>
              </w:rPr>
              <w:t>on-binding date for copper switch-off</w:t>
            </w:r>
            <w:r w:rsidR="00B93098" w:rsidRPr="006E27E1">
              <w:rPr>
                <w:rFonts w:ascii="Times New Roman_MSFontService" w:hAnsi="Times New Roman_MSFontService" w:hint="eastAsia"/>
                <w:noProof/>
                <w:sz w:val="20"/>
              </w:rPr>
              <w:t> </w:t>
            </w:r>
          </w:p>
          <w:p w14:paraId="1EADDBAB" w14:textId="2D7C9FFF" w:rsidR="00B93098" w:rsidRPr="00292895" w:rsidRDefault="00B93098" w:rsidP="00292895">
            <w:pPr>
              <w:spacing w:after="120"/>
              <w:jc w:val="left"/>
              <w:textAlignment w:val="baseline"/>
              <w:rPr>
                <w:rFonts w:ascii="Times New Roman_MSFontService" w:hAnsi="Times New Roman_MSFontService"/>
                <w:noProof/>
                <w:sz w:val="20"/>
                <w:lang w:val="en-IE"/>
              </w:rPr>
            </w:pPr>
          </w:p>
        </w:tc>
        <w:tc>
          <w:tcPr>
            <w:tcW w:w="7371" w:type="dxa"/>
            <w:tcBorders>
              <w:top w:val="single" w:sz="6" w:space="0" w:color="auto"/>
              <w:left w:val="single" w:sz="6" w:space="0" w:color="auto"/>
              <w:bottom w:val="single" w:sz="6" w:space="0" w:color="auto"/>
              <w:right w:val="single" w:sz="6" w:space="0" w:color="auto"/>
            </w:tcBorders>
            <w:hideMark/>
          </w:tcPr>
          <w:p w14:paraId="5A90D626" w14:textId="08369363" w:rsidR="004040D7" w:rsidRPr="00DE264C" w:rsidRDefault="73774E6D" w:rsidP="002B60A8">
            <w:pPr>
              <w:spacing w:after="0"/>
              <w:rPr>
                <w:rFonts w:ascii="Times New Roman_MSFontService" w:eastAsia="Times New Roman_MSFontService" w:hAnsi="Times New Roman_MSFontService" w:cs="Times New Roman_MSFontService"/>
                <w:noProof/>
                <w:sz w:val="20"/>
                <w:szCs w:val="20"/>
              </w:rPr>
            </w:pPr>
            <w:r w:rsidRPr="2C55DAB3">
              <w:rPr>
                <w:rFonts w:ascii="Times New Roman_MSFontService" w:eastAsia="Times New Roman_MSFontService" w:hAnsi="Times New Roman_MSFontService" w:cs="Times New Roman_MSFontService"/>
                <w:noProof/>
                <w:sz w:val="20"/>
                <w:szCs w:val="20"/>
              </w:rPr>
              <w:t xml:space="preserve">MS to prepare a </w:t>
            </w:r>
            <w:r w:rsidR="55623664" w:rsidRPr="2C55DAB3">
              <w:rPr>
                <w:rFonts w:ascii="Times New Roman_MSFontService" w:eastAsia="Times New Roman_MSFontService" w:hAnsi="Times New Roman_MSFontService" w:cs="Times New Roman_MSFontService"/>
                <w:noProof/>
                <w:sz w:val="20"/>
                <w:szCs w:val="20"/>
              </w:rPr>
              <w:t>Transition to Fibr</w:t>
            </w:r>
            <w:r w:rsidR="00BE50B7">
              <w:rPr>
                <w:rFonts w:ascii="Times New Roman_MSFontService" w:eastAsia="Times New Roman_MSFontService" w:hAnsi="Times New Roman_MSFontService" w:cs="Times New Roman_MSFontService"/>
                <w:noProof/>
                <w:sz w:val="20"/>
                <w:szCs w:val="20"/>
              </w:rPr>
              <w:t>e</w:t>
            </w:r>
            <w:r w:rsidR="55623664" w:rsidRPr="2C55DAB3">
              <w:rPr>
                <w:rFonts w:ascii="Times New Roman_MSFontService" w:eastAsia="Times New Roman_MSFontService" w:hAnsi="Times New Roman_MSFontService" w:cs="Times New Roman_MSFontService"/>
                <w:noProof/>
                <w:sz w:val="20"/>
                <w:szCs w:val="20"/>
              </w:rPr>
              <w:t xml:space="preserve"> Plan </w:t>
            </w:r>
            <w:r w:rsidRPr="2C55DAB3">
              <w:rPr>
                <w:rFonts w:ascii="Times New Roman_MSFontService" w:eastAsia="Times New Roman_MSFontService" w:hAnsi="Times New Roman_MSFontService" w:cs="Times New Roman_MSFontService"/>
                <w:noProof/>
                <w:sz w:val="20"/>
                <w:szCs w:val="20"/>
              </w:rPr>
              <w:t>and communicate it to the Commission;</w:t>
            </w:r>
          </w:p>
          <w:p w14:paraId="7CBDFFF7" w14:textId="77013042" w:rsidR="0C7BD9CB" w:rsidRDefault="0C7BD9CB" w:rsidP="52367FC2">
            <w:pPr>
              <w:spacing w:after="0"/>
              <w:rPr>
                <w:rFonts w:ascii="Times New Roman_MSFontService" w:eastAsia="Times New Roman_MSFontService" w:hAnsi="Times New Roman_MSFontService" w:cs="Times New Roman_MSFontService"/>
                <w:noProof/>
                <w:sz w:val="20"/>
                <w:szCs w:val="20"/>
              </w:rPr>
            </w:pPr>
            <w:r w:rsidRPr="251EE319">
              <w:rPr>
                <w:rFonts w:ascii="Times New Roman_MSFontService" w:eastAsia="Times New Roman_MSFontService" w:hAnsi="Times New Roman_MSFontService" w:cs="Times New Roman_MSFontService"/>
                <w:noProof/>
                <w:sz w:val="20"/>
                <w:szCs w:val="20"/>
              </w:rPr>
              <w:t xml:space="preserve">Mandatory date for copper switch off by 2030, subject to </w:t>
            </w:r>
            <w:r w:rsidR="51CD6CB2" w:rsidRPr="16F0BB90">
              <w:rPr>
                <w:rFonts w:ascii="Times New Roman_MSFontService" w:eastAsia="Times New Roman_MSFontService" w:hAnsi="Times New Roman_MSFontService" w:cs="Times New Roman_MSFontService"/>
                <w:noProof/>
                <w:sz w:val="20"/>
                <w:szCs w:val="20"/>
              </w:rPr>
              <w:t xml:space="preserve">sustainability </w:t>
            </w:r>
            <w:r w:rsidRPr="16F0BB90">
              <w:rPr>
                <w:rFonts w:ascii="Times New Roman_MSFontService" w:eastAsia="Times New Roman_MSFontService" w:hAnsi="Times New Roman_MSFontService" w:cs="Times New Roman_MSFontService"/>
                <w:noProof/>
                <w:sz w:val="20"/>
                <w:szCs w:val="20"/>
              </w:rPr>
              <w:t>conditions</w:t>
            </w:r>
          </w:p>
          <w:p w14:paraId="18555A6F" w14:textId="1E637104" w:rsidR="00DE264C" w:rsidRPr="00DE264C" w:rsidRDefault="00DE264C" w:rsidP="002B60A8">
            <w:pPr>
              <w:spacing w:after="0"/>
              <w:rPr>
                <w:rFonts w:ascii="Times New Roman_MSFontService" w:eastAsia="Times New Roman_MSFontService" w:hAnsi="Times New Roman_MSFontService" w:cs="Times New Roman_MSFontService"/>
                <w:noProof/>
                <w:sz w:val="20"/>
                <w:szCs w:val="20"/>
              </w:rPr>
            </w:pPr>
            <w:r w:rsidRPr="00DE264C">
              <w:rPr>
                <w:rFonts w:ascii="Times New Roman_MSFontService" w:eastAsia="Times New Roman_MSFontService" w:hAnsi="Times New Roman_MSFontService" w:cs="Times New Roman_MSFontService"/>
                <w:noProof/>
                <w:sz w:val="20"/>
                <w:szCs w:val="20"/>
              </w:rPr>
              <w:t xml:space="preserve">Obligation on MSs to ensure that copper switch-off starts by 2030 in all areas with at least 95% fibre coverage and comparable prices for fibre-based broadband. </w:t>
            </w:r>
            <w:r w:rsidR="003474D3">
              <w:rPr>
                <w:rFonts w:ascii="Times New Roman_MSFontService" w:eastAsia="Times New Roman_MSFontService" w:hAnsi="Times New Roman_MSFontService" w:cs="Times New Roman_MSFontService"/>
                <w:noProof/>
                <w:sz w:val="20"/>
                <w:szCs w:val="20"/>
              </w:rPr>
              <w:t>Vulnerable consumers to be protected.</w:t>
            </w:r>
          </w:p>
          <w:p w14:paraId="6D140291" w14:textId="040DFEBD" w:rsidR="00DE264C" w:rsidRPr="00DE264C" w:rsidRDefault="002804BE" w:rsidP="002B60A8">
            <w:pPr>
              <w:spacing w:after="0"/>
              <w:rPr>
                <w:rFonts w:ascii="Times New Roman_MSFontService" w:eastAsia="Times New Roman_MSFontService" w:hAnsi="Times New Roman_MSFontService" w:cs="Times New Roman_MSFontService"/>
                <w:noProof/>
                <w:sz w:val="20"/>
                <w:szCs w:val="20"/>
              </w:rPr>
            </w:pPr>
            <w:r w:rsidRPr="00DE264C">
              <w:rPr>
                <w:rFonts w:ascii="Times New Roman_MSFontService" w:eastAsia="Times New Roman_MSFontService" w:hAnsi="Times New Roman_MSFontService" w:cs="Times New Roman_MSFontService"/>
                <w:noProof/>
                <w:sz w:val="20"/>
                <w:szCs w:val="20"/>
              </w:rPr>
              <w:t xml:space="preserve">If the </w:t>
            </w:r>
            <w:r w:rsidRPr="2CDBA093">
              <w:rPr>
                <w:rFonts w:ascii="Times New Roman_MSFontService" w:eastAsia="Times New Roman_MSFontService" w:hAnsi="Times New Roman_MSFontService" w:cs="Times New Roman_MSFontService"/>
                <w:noProof/>
                <w:sz w:val="20"/>
                <w:szCs w:val="20"/>
              </w:rPr>
              <w:t>above coverage and affordability</w:t>
            </w:r>
            <w:r w:rsidRPr="00DE264C">
              <w:rPr>
                <w:rFonts w:ascii="Times New Roman_MSFontService" w:eastAsia="Times New Roman_MSFontService" w:hAnsi="Times New Roman_MSFontService" w:cs="Times New Roman_MSFontService"/>
                <w:noProof/>
                <w:sz w:val="20"/>
                <w:szCs w:val="20"/>
              </w:rPr>
              <w:t xml:space="preserve"> conditions are not met, </w:t>
            </w:r>
            <w:r w:rsidR="2FCC0523" w:rsidRPr="3A4808AC">
              <w:rPr>
                <w:rFonts w:ascii="Times New Roman_MSFontService" w:eastAsia="Times New Roman_MSFontService" w:hAnsi="Times New Roman_MSFontService" w:cs="Times New Roman_MSFontService"/>
                <w:noProof/>
                <w:sz w:val="20"/>
                <w:szCs w:val="20"/>
              </w:rPr>
              <w:t xml:space="preserve">Member States should set out the measures to </w:t>
            </w:r>
            <w:r w:rsidR="2FCC0523" w:rsidRPr="2C09DE12">
              <w:rPr>
                <w:rFonts w:ascii="Times New Roman_MSFontService" w:eastAsia="Times New Roman_MSFontService" w:hAnsi="Times New Roman_MSFontService" w:cs="Times New Roman_MSFontService"/>
                <w:noProof/>
                <w:sz w:val="20"/>
                <w:szCs w:val="20"/>
              </w:rPr>
              <w:t xml:space="preserve">transition to </w:t>
            </w:r>
            <w:r w:rsidR="2FCC0523" w:rsidRPr="2C770CDB">
              <w:rPr>
                <w:rFonts w:ascii="Times New Roman_MSFontService" w:eastAsia="Times New Roman_MSFontService" w:hAnsi="Times New Roman_MSFontService" w:cs="Times New Roman_MSFontService"/>
                <w:noProof/>
                <w:sz w:val="20"/>
                <w:szCs w:val="20"/>
              </w:rPr>
              <w:t>fibre</w:t>
            </w:r>
            <w:r w:rsidR="2FCC0523" w:rsidRPr="2C09DE12">
              <w:rPr>
                <w:rFonts w:ascii="Times New Roman_MSFontService" w:eastAsia="Times New Roman_MSFontService" w:hAnsi="Times New Roman_MSFontService" w:cs="Times New Roman_MSFontService"/>
                <w:noProof/>
                <w:sz w:val="20"/>
                <w:szCs w:val="20"/>
              </w:rPr>
              <w:t xml:space="preserve"> by 2035.</w:t>
            </w:r>
          </w:p>
          <w:p w14:paraId="3CC9D1DC" w14:textId="783CFD69" w:rsidR="5609A0FC" w:rsidRDefault="2FCC0523" w:rsidP="5609A0FC">
            <w:pPr>
              <w:spacing w:after="0"/>
              <w:rPr>
                <w:rFonts w:ascii="Times New Roman_MSFontService" w:eastAsia="Times New Roman_MSFontService" w:hAnsi="Times New Roman_MSFontService" w:cs="Times New Roman_MSFontService"/>
                <w:noProof/>
                <w:sz w:val="20"/>
                <w:szCs w:val="20"/>
              </w:rPr>
            </w:pPr>
            <w:r w:rsidRPr="1BF0B639">
              <w:rPr>
                <w:rFonts w:ascii="Times New Roman_MSFontService" w:eastAsia="Times New Roman_MSFontService" w:hAnsi="Times New Roman_MSFontService" w:cs="Times New Roman_MSFontService"/>
                <w:noProof/>
                <w:sz w:val="20"/>
                <w:szCs w:val="20"/>
              </w:rPr>
              <w:t>Review of the Transition to Fibr</w:t>
            </w:r>
            <w:r w:rsidR="00BE50B7">
              <w:rPr>
                <w:rFonts w:ascii="Times New Roman_MSFontService" w:eastAsia="Times New Roman_MSFontService" w:hAnsi="Times New Roman_MSFontService" w:cs="Times New Roman_MSFontService"/>
                <w:noProof/>
                <w:sz w:val="20"/>
                <w:szCs w:val="20"/>
              </w:rPr>
              <w:t>e</w:t>
            </w:r>
            <w:r w:rsidRPr="1BF0B639">
              <w:rPr>
                <w:rFonts w:ascii="Times New Roman_MSFontService" w:eastAsia="Times New Roman_MSFontService" w:hAnsi="Times New Roman_MSFontService" w:cs="Times New Roman_MSFontService"/>
                <w:noProof/>
                <w:sz w:val="20"/>
                <w:szCs w:val="20"/>
              </w:rPr>
              <w:t xml:space="preserve"> Plan by </w:t>
            </w:r>
            <w:r w:rsidRPr="6EBF4217">
              <w:rPr>
                <w:rFonts w:ascii="Times New Roman_MSFontService" w:eastAsia="Times New Roman_MSFontService" w:hAnsi="Times New Roman_MSFontService" w:cs="Times New Roman_MSFontService"/>
                <w:noProof/>
                <w:sz w:val="20"/>
                <w:szCs w:val="20"/>
              </w:rPr>
              <w:t>2035.</w:t>
            </w:r>
          </w:p>
          <w:p w14:paraId="5D2BFE80" w14:textId="50ED7557" w:rsidR="00DE264C" w:rsidRPr="00DE264C" w:rsidRDefault="00DE264C" w:rsidP="002B60A8">
            <w:pPr>
              <w:spacing w:after="0"/>
              <w:rPr>
                <w:rFonts w:ascii="Times New Roman_MSFontService" w:eastAsia="Times New Roman_MSFontService" w:hAnsi="Times New Roman_MSFontService" w:cs="Times New Roman_MSFontService"/>
                <w:noProof/>
                <w:sz w:val="20"/>
                <w:szCs w:val="20"/>
              </w:rPr>
            </w:pPr>
            <w:r w:rsidRPr="00DE264C">
              <w:rPr>
                <w:rFonts w:ascii="Times New Roman_MSFontService" w:eastAsia="Times New Roman_MSFontService" w:hAnsi="Times New Roman_MSFontService" w:cs="Times New Roman_MSFontService"/>
                <w:noProof/>
                <w:sz w:val="20"/>
                <w:szCs w:val="20"/>
              </w:rPr>
              <w:t xml:space="preserve">This process will be subject to the Commission’s scrutiny. </w:t>
            </w:r>
          </w:p>
          <w:p w14:paraId="0E35F5D1" w14:textId="08972976" w:rsidR="00DE264C" w:rsidRPr="00DE264C" w:rsidRDefault="00DE264C" w:rsidP="002B60A8">
            <w:pPr>
              <w:spacing w:after="0"/>
              <w:rPr>
                <w:rFonts w:ascii="Times New Roman_MSFontService" w:eastAsia="Times New Roman_MSFontService" w:hAnsi="Times New Roman_MSFontService" w:cs="Times New Roman_MSFontService"/>
                <w:noProof/>
                <w:sz w:val="20"/>
                <w:szCs w:val="20"/>
              </w:rPr>
            </w:pPr>
            <w:r w:rsidRPr="00DE264C">
              <w:rPr>
                <w:rFonts w:ascii="Times New Roman_MSFontService" w:eastAsia="Times New Roman_MSFontService" w:hAnsi="Times New Roman_MSFontService" w:cs="Times New Roman_MSFontService"/>
                <w:noProof/>
                <w:sz w:val="20"/>
                <w:szCs w:val="20"/>
              </w:rPr>
              <w:t>Introduce some changes to the access regime to make it effective also during and after the copper-switch off phase:</w:t>
            </w:r>
          </w:p>
          <w:p w14:paraId="10619739" w14:textId="406FE0DA" w:rsidR="00DE264C" w:rsidRPr="00DE264C" w:rsidRDefault="00DE264C" w:rsidP="002B60A8">
            <w:pPr>
              <w:spacing w:after="0"/>
              <w:rPr>
                <w:rFonts w:ascii="Times New Roman_MSFontService" w:eastAsia="Times New Roman_MSFontService" w:hAnsi="Times New Roman_MSFontService" w:cs="Times New Roman_MSFontService"/>
                <w:noProof/>
                <w:sz w:val="20"/>
                <w:szCs w:val="20"/>
              </w:rPr>
            </w:pPr>
            <w:r w:rsidRPr="00DE264C">
              <w:rPr>
                <w:rFonts w:ascii="Times New Roman_MSFontService" w:eastAsia="Times New Roman_MSFontService" w:hAnsi="Times New Roman_MSFontService" w:cs="Times New Roman_MSFontService"/>
                <w:noProof/>
                <w:sz w:val="20"/>
                <w:szCs w:val="20"/>
              </w:rPr>
              <w:t xml:space="preserve">Increased focus on regional markets through </w:t>
            </w:r>
            <w:r w:rsidR="00A078C4">
              <w:rPr>
                <w:rFonts w:ascii="Times New Roman_MSFontService" w:eastAsia="Times New Roman_MSFontService" w:hAnsi="Times New Roman_MSFontService" w:cs="Times New Roman_MSFontService"/>
                <w:noProof/>
                <w:sz w:val="20"/>
                <w:szCs w:val="20"/>
              </w:rPr>
              <w:t>ge</w:t>
            </w:r>
            <w:r w:rsidR="00A47E5D">
              <w:rPr>
                <w:rFonts w:ascii="Times New Roman_MSFontService" w:eastAsia="Times New Roman_MSFontService" w:hAnsi="Times New Roman_MSFontService" w:cs="Times New Roman_MSFontService"/>
                <w:noProof/>
                <w:sz w:val="20"/>
                <w:szCs w:val="20"/>
              </w:rPr>
              <w:t>ographic surveys (</w:t>
            </w:r>
            <w:r w:rsidRPr="00DE264C">
              <w:rPr>
                <w:rFonts w:ascii="Times New Roman_MSFontService" w:eastAsia="Times New Roman_MSFontService" w:hAnsi="Times New Roman_MSFontService" w:cs="Times New Roman_MSFontService"/>
                <w:noProof/>
                <w:sz w:val="20"/>
                <w:szCs w:val="20"/>
              </w:rPr>
              <w:t>strengthening of Art. 22</w:t>
            </w:r>
            <w:r w:rsidR="00A47E5D">
              <w:rPr>
                <w:rFonts w:ascii="Times New Roman_MSFontService" w:eastAsia="Times New Roman_MSFontService" w:hAnsi="Times New Roman_MSFontService" w:cs="Times New Roman_MSFontService"/>
                <w:noProof/>
                <w:sz w:val="20"/>
                <w:szCs w:val="20"/>
              </w:rPr>
              <w:t>)</w:t>
            </w:r>
            <w:r w:rsidRPr="00DE264C">
              <w:rPr>
                <w:rFonts w:ascii="Times New Roman_MSFontService" w:eastAsia="Times New Roman_MSFontService" w:hAnsi="Times New Roman_MSFontService" w:cs="Times New Roman_MSFontService"/>
                <w:noProof/>
                <w:sz w:val="20"/>
                <w:szCs w:val="20"/>
              </w:rPr>
              <w:t>;</w:t>
            </w:r>
          </w:p>
          <w:p w14:paraId="32372C01" w14:textId="61ADA102" w:rsidR="00DE264C" w:rsidRPr="00DE264C" w:rsidRDefault="00DE264C" w:rsidP="002B60A8">
            <w:pPr>
              <w:spacing w:after="0"/>
              <w:rPr>
                <w:rFonts w:ascii="Times New Roman_MSFontService" w:eastAsia="Times New Roman_MSFontService" w:hAnsi="Times New Roman_MSFontService" w:cs="Times New Roman_MSFontService"/>
                <w:noProof/>
                <w:sz w:val="20"/>
                <w:szCs w:val="20"/>
              </w:rPr>
            </w:pPr>
            <w:r w:rsidRPr="00DE264C">
              <w:rPr>
                <w:rFonts w:ascii="Times New Roman_MSFontService" w:eastAsia="Times New Roman_MSFontService" w:hAnsi="Times New Roman_MSFontService" w:cs="Times New Roman_MSFontService"/>
                <w:noProof/>
                <w:sz w:val="20"/>
                <w:szCs w:val="20"/>
              </w:rPr>
              <w:t>Complement SMP regulation (which is maintained) with tools that NRAs could use where needed</w:t>
            </w:r>
            <w:r w:rsidR="001029CE">
              <w:rPr>
                <w:rFonts w:ascii="Times New Roman_MSFontService" w:eastAsia="Times New Roman_MSFontService" w:hAnsi="Times New Roman_MSFontService" w:cs="Times New Roman_MSFontService"/>
                <w:noProof/>
                <w:sz w:val="20"/>
                <w:szCs w:val="20"/>
              </w:rPr>
              <w:t>,</w:t>
            </w:r>
            <w:r w:rsidRPr="00DE264C">
              <w:rPr>
                <w:rFonts w:ascii="Times New Roman_MSFontService" w:eastAsia="Times New Roman_MSFontService" w:hAnsi="Times New Roman_MSFontService" w:cs="Times New Roman_MSFontService"/>
                <w:noProof/>
                <w:sz w:val="20"/>
                <w:szCs w:val="20"/>
              </w:rPr>
              <w:t xml:space="preserve"> in particular </w:t>
            </w:r>
            <w:r w:rsidR="001029CE">
              <w:rPr>
                <w:rFonts w:ascii="Times New Roman_MSFontService" w:eastAsia="Times New Roman_MSFontService" w:hAnsi="Times New Roman_MSFontService" w:cs="Times New Roman_MSFontService"/>
                <w:noProof/>
                <w:sz w:val="20"/>
                <w:szCs w:val="20"/>
              </w:rPr>
              <w:t>in</w:t>
            </w:r>
            <w:r w:rsidRPr="00DE264C">
              <w:rPr>
                <w:rFonts w:ascii="Times New Roman_MSFontService" w:eastAsia="Times New Roman_MSFontService" w:hAnsi="Times New Roman_MSFontService" w:cs="Times New Roman_MSFontService"/>
                <w:noProof/>
                <w:sz w:val="20"/>
                <w:szCs w:val="20"/>
              </w:rPr>
              <w:t xml:space="preserve"> relation to sub-national markets:</w:t>
            </w:r>
          </w:p>
          <w:p w14:paraId="7F6C2610" w14:textId="2305BFA1" w:rsidR="00DE264C" w:rsidRPr="00DE264C" w:rsidRDefault="00DE264C" w:rsidP="002B60A8">
            <w:pPr>
              <w:spacing w:after="0"/>
              <w:rPr>
                <w:rFonts w:ascii="Times New Roman_MSFontService" w:eastAsia="Times New Roman_MSFontService" w:hAnsi="Times New Roman_MSFontService" w:cs="Times New Roman_MSFontService"/>
                <w:noProof/>
                <w:sz w:val="20"/>
                <w:szCs w:val="20"/>
              </w:rPr>
            </w:pPr>
            <w:r w:rsidRPr="00DE264C">
              <w:rPr>
                <w:rFonts w:ascii="Times New Roman_MSFontService" w:eastAsia="Times New Roman_MSFontService" w:hAnsi="Times New Roman_MSFontService" w:cs="Times New Roman_MSFontService"/>
                <w:noProof/>
                <w:sz w:val="20"/>
                <w:szCs w:val="20"/>
              </w:rPr>
              <w:t xml:space="preserve">Update </w:t>
            </w:r>
            <w:r w:rsidR="00FD56C7">
              <w:rPr>
                <w:rFonts w:ascii="Times New Roman_MSFontService" w:eastAsia="Times New Roman_MSFontService" w:hAnsi="Times New Roman_MSFontService" w:cs="Times New Roman_MSFontService"/>
                <w:noProof/>
                <w:sz w:val="20"/>
                <w:szCs w:val="20"/>
              </w:rPr>
              <w:t>existing</w:t>
            </w:r>
            <w:r w:rsidRPr="00DE264C">
              <w:rPr>
                <w:rFonts w:ascii="Times New Roman_MSFontService" w:eastAsia="Times New Roman_MSFontService" w:hAnsi="Times New Roman_MSFontService" w:cs="Times New Roman_MSFontService"/>
                <w:noProof/>
                <w:sz w:val="20"/>
                <w:szCs w:val="20"/>
              </w:rPr>
              <w:t xml:space="preserve"> “symmetric regulation” </w:t>
            </w:r>
            <w:r w:rsidR="00FD56C7">
              <w:rPr>
                <w:rFonts w:ascii="Times New Roman_MSFontService" w:eastAsia="Times New Roman_MSFontService" w:hAnsi="Times New Roman_MSFontService" w:cs="Times New Roman_MSFontService"/>
                <w:noProof/>
                <w:sz w:val="20"/>
                <w:szCs w:val="20"/>
              </w:rPr>
              <w:t>under article</w:t>
            </w:r>
            <w:r w:rsidR="00A907F2">
              <w:rPr>
                <w:rFonts w:ascii="Times New Roman_MSFontService" w:eastAsia="Times New Roman_MSFontService" w:hAnsi="Times New Roman_MSFontService" w:cs="Times New Roman_MSFontService"/>
                <w:noProof/>
                <w:sz w:val="20"/>
                <w:szCs w:val="20"/>
              </w:rPr>
              <w:t> </w:t>
            </w:r>
            <w:r w:rsidR="00FD56C7">
              <w:rPr>
                <w:rFonts w:ascii="Times New Roman_MSFontService" w:eastAsia="Times New Roman_MSFontService" w:hAnsi="Times New Roman_MSFontService" w:cs="Times New Roman_MSFontService"/>
                <w:noProof/>
                <w:sz w:val="20"/>
                <w:szCs w:val="20"/>
              </w:rPr>
              <w:t xml:space="preserve">61.3 </w:t>
            </w:r>
            <w:r w:rsidRPr="00DE264C">
              <w:rPr>
                <w:rFonts w:ascii="Times New Roman_MSFontService" w:eastAsia="Times New Roman_MSFontService" w:hAnsi="Times New Roman_MSFontService" w:cs="Times New Roman_MSFontService"/>
                <w:noProof/>
                <w:sz w:val="20"/>
                <w:szCs w:val="20"/>
              </w:rPr>
              <w:t xml:space="preserve">to enable NRAs to apply it for access to in-house wires </w:t>
            </w:r>
            <w:r w:rsidR="00760AF4">
              <w:rPr>
                <w:rFonts w:ascii="Times New Roman_MSFontService" w:eastAsia="Times New Roman_MSFontService" w:hAnsi="Times New Roman_MSFontService" w:cs="Times New Roman_MSFontService"/>
                <w:noProof/>
                <w:sz w:val="20"/>
                <w:szCs w:val="20"/>
              </w:rPr>
              <w:t>(upon request)</w:t>
            </w:r>
            <w:r w:rsidRPr="00DE264C">
              <w:rPr>
                <w:rFonts w:ascii="Times New Roman_MSFontService" w:eastAsia="Times New Roman_MSFontService" w:hAnsi="Times New Roman_MSFontService" w:cs="Times New Roman_MSFontService"/>
                <w:noProof/>
                <w:sz w:val="20"/>
                <w:szCs w:val="20"/>
              </w:rPr>
              <w:t xml:space="preserve"> and beyond the first distribution point on their own initiative where warranted.</w:t>
            </w:r>
          </w:p>
          <w:p w14:paraId="0038663F" w14:textId="1EEDA76C" w:rsidR="00B93098" w:rsidRPr="00292895" w:rsidRDefault="00DE264C" w:rsidP="00292895">
            <w:pPr>
              <w:spacing w:after="0"/>
              <w:jc w:val="left"/>
              <w:textAlignment w:val="baseline"/>
              <w:rPr>
                <w:rFonts w:ascii="Segoe UI" w:hAnsi="Segoe UI"/>
                <w:noProof/>
                <w:sz w:val="18"/>
                <w:lang w:val="en-IE"/>
              </w:rPr>
            </w:pPr>
            <w:r w:rsidRPr="00DE264C">
              <w:rPr>
                <w:rFonts w:ascii="Times New Roman_MSFontService" w:eastAsia="Times New Roman_MSFontService" w:hAnsi="Times New Roman_MSFontService" w:cs="Times New Roman_MSFontService"/>
                <w:noProof/>
                <w:sz w:val="20"/>
                <w:szCs w:val="20"/>
              </w:rPr>
              <w:t>Strengthening the provisions on in-building wiring to facilitate deployment.</w:t>
            </w:r>
          </w:p>
        </w:tc>
        <w:tc>
          <w:tcPr>
            <w:tcW w:w="1984" w:type="dxa"/>
            <w:tcBorders>
              <w:top w:val="single" w:sz="6" w:space="0" w:color="auto"/>
              <w:left w:val="single" w:sz="6" w:space="0" w:color="auto"/>
              <w:bottom w:val="single" w:sz="6" w:space="0" w:color="auto"/>
              <w:right w:val="single" w:sz="6" w:space="0" w:color="auto"/>
            </w:tcBorders>
            <w:hideMark/>
          </w:tcPr>
          <w:p w14:paraId="669AF2E8" w14:textId="25336B8C" w:rsidR="00DE264C" w:rsidRPr="00DE264C" w:rsidRDefault="00B93098">
            <w:pPr>
              <w:rPr>
                <w:rFonts w:ascii="Times New Roman_MSFontService" w:eastAsia="Times New Roman_MSFontService" w:hAnsi="Times New Roman_MSFontService" w:cs="Times New Roman_MSFontService"/>
                <w:noProof/>
                <w:sz w:val="20"/>
                <w:szCs w:val="20"/>
              </w:rPr>
            </w:pPr>
            <w:r w:rsidRPr="00B93098">
              <w:rPr>
                <w:rFonts w:ascii="Times New Roman_MSFontService" w:eastAsia="Times New Roman" w:hAnsi="Times New Roman_MSFontService" w:cs="Segoe UI"/>
                <w:noProof/>
                <w:sz w:val="20"/>
                <w:szCs w:val="20"/>
                <w:lang w:eastAsia="en-IE"/>
              </w:rPr>
              <w:t xml:space="preserve">Market driven </w:t>
            </w:r>
            <w:r w:rsidR="00FB297A">
              <w:rPr>
                <w:rFonts w:ascii="Times New Roman_MSFontService" w:eastAsia="Times New Roman" w:hAnsi="Times New Roman_MSFontService" w:cs="Segoe UI"/>
                <w:noProof/>
                <w:sz w:val="20"/>
                <w:szCs w:val="20"/>
                <w:lang w:eastAsia="en-IE"/>
              </w:rPr>
              <w:t>fibre</w:t>
            </w:r>
            <w:r w:rsidR="00C03DB2">
              <w:rPr>
                <w:rFonts w:ascii="Times New Roman_MSFontService" w:eastAsia="Times New Roman" w:hAnsi="Times New Roman_MSFontService" w:cs="Segoe UI"/>
                <w:noProof/>
                <w:sz w:val="20"/>
                <w:szCs w:val="20"/>
                <w:lang w:eastAsia="en-IE"/>
              </w:rPr>
              <w:t xml:space="preserve"> deployment and </w:t>
            </w:r>
            <w:r w:rsidRPr="00B93098">
              <w:rPr>
                <w:rFonts w:ascii="Times New Roman_MSFontService" w:eastAsia="Times New Roman" w:hAnsi="Times New Roman_MSFontService" w:cs="Segoe UI"/>
                <w:noProof/>
                <w:sz w:val="20"/>
                <w:szCs w:val="20"/>
                <w:lang w:eastAsia="en-IE"/>
              </w:rPr>
              <w:t>copper switch-off</w:t>
            </w:r>
            <w:r w:rsidR="00DE264C" w:rsidRPr="00DE264C">
              <w:rPr>
                <w:rFonts w:ascii="Times New Roman_MSFontService" w:eastAsia="Times New Roman_MSFontService" w:hAnsi="Times New Roman_MSFontService" w:cs="Times New Roman_MSFontService"/>
                <w:noProof/>
                <w:sz w:val="20"/>
                <w:szCs w:val="20"/>
              </w:rPr>
              <w:t xml:space="preserve"> process managed by operators</w:t>
            </w:r>
            <w:r w:rsidR="00EF1A43">
              <w:rPr>
                <w:rFonts w:ascii="Times New Roman_MSFontService" w:eastAsia="Times New Roman_MSFontService" w:hAnsi="Times New Roman_MSFontService" w:cs="Times New Roman_MSFontService"/>
                <w:noProof/>
                <w:sz w:val="20"/>
                <w:szCs w:val="20"/>
              </w:rPr>
              <w:t xml:space="preserve"> (Art.81 </w:t>
            </w:r>
            <w:r w:rsidR="00043658">
              <w:rPr>
                <w:rFonts w:ascii="Times New Roman_MSFontService" w:eastAsia="Times New Roman_MSFontService" w:hAnsi="Times New Roman_MSFontService" w:cs="Times New Roman_MSFontService"/>
                <w:noProof/>
                <w:sz w:val="20"/>
                <w:szCs w:val="20"/>
              </w:rPr>
              <w:t>is removed, and no condition to the switch off apply)</w:t>
            </w:r>
            <w:r w:rsidR="00DE264C" w:rsidRPr="00DE264C">
              <w:rPr>
                <w:rFonts w:ascii="Times New Roman_MSFontService" w:eastAsia="Times New Roman_MSFontService" w:hAnsi="Times New Roman_MSFontService" w:cs="Times New Roman_MSFontService"/>
                <w:noProof/>
                <w:sz w:val="20"/>
                <w:szCs w:val="20"/>
              </w:rPr>
              <w:t xml:space="preserve">; </w:t>
            </w:r>
          </w:p>
          <w:p w14:paraId="0EB739EF" w14:textId="77777777" w:rsidR="00B93098" w:rsidRPr="00292895" w:rsidRDefault="00DE264C" w:rsidP="00292895">
            <w:pPr>
              <w:spacing w:after="120"/>
              <w:jc w:val="left"/>
              <w:textAlignment w:val="baseline"/>
              <w:rPr>
                <w:rFonts w:ascii="Segoe UI" w:hAnsi="Segoe UI"/>
                <w:noProof/>
                <w:sz w:val="18"/>
                <w:lang w:val="en-IE"/>
              </w:rPr>
            </w:pPr>
            <w:r w:rsidRPr="00DE264C">
              <w:rPr>
                <w:rFonts w:ascii="Times New Roman_MSFontService" w:eastAsia="Times New Roman_MSFontService" w:hAnsi="Times New Roman_MSFontService" w:cs="Times New Roman_MSFontService"/>
                <w:noProof/>
                <w:sz w:val="20"/>
                <w:szCs w:val="20"/>
              </w:rPr>
              <w:t>Bottleneck approach applied on areas with a single fibre network;</w:t>
            </w:r>
            <w:r w:rsidR="00B93098" w:rsidRPr="006E27E1">
              <w:rPr>
                <w:rFonts w:ascii="Times New Roman_MSFontService" w:hAnsi="Times New Roman_MSFontService" w:hint="eastAsia"/>
                <w:noProof/>
                <w:sz w:val="20"/>
              </w:rPr>
              <w:t> </w:t>
            </w:r>
          </w:p>
        </w:tc>
        <w:tc>
          <w:tcPr>
            <w:tcW w:w="1559" w:type="dxa"/>
            <w:tcBorders>
              <w:top w:val="single" w:sz="6" w:space="0" w:color="auto"/>
              <w:left w:val="single" w:sz="6" w:space="0" w:color="auto"/>
              <w:bottom w:val="single" w:sz="6" w:space="0" w:color="auto"/>
              <w:right w:val="single" w:sz="6" w:space="0" w:color="auto"/>
            </w:tcBorders>
            <w:hideMark/>
          </w:tcPr>
          <w:p w14:paraId="2F0565E5" w14:textId="19A0F00E" w:rsidR="00B93098" w:rsidRPr="00292895" w:rsidRDefault="5C9FC284" w:rsidP="251EE319">
            <w:pPr>
              <w:spacing w:after="120"/>
              <w:jc w:val="left"/>
              <w:textAlignment w:val="baseline"/>
              <w:rPr>
                <w:rFonts w:ascii="Times New Roman_MSFontService" w:eastAsia="Times New Roman" w:hAnsi="Times New Roman_MSFontService" w:cs="Segoe UI"/>
                <w:noProof/>
                <w:sz w:val="20"/>
                <w:szCs w:val="20"/>
                <w:lang w:val="en-IE" w:eastAsia="en-IE"/>
              </w:rPr>
            </w:pPr>
            <w:r w:rsidRPr="006E27E1">
              <w:rPr>
                <w:rFonts w:ascii="Times New Roman_MSFontService" w:hAnsi="Times New Roman_MSFontService"/>
                <w:noProof/>
                <w:sz w:val="20"/>
              </w:rPr>
              <w:t xml:space="preserve"> Transition to Fibr</w:t>
            </w:r>
            <w:r w:rsidR="00BE50B7">
              <w:rPr>
                <w:rFonts w:ascii="Times New Roman_MSFontService" w:hAnsi="Times New Roman_MSFontService"/>
                <w:noProof/>
                <w:sz w:val="20"/>
              </w:rPr>
              <w:t>e</w:t>
            </w:r>
            <w:r w:rsidRPr="006E27E1">
              <w:rPr>
                <w:rFonts w:ascii="Times New Roman_MSFontService" w:hAnsi="Times New Roman_MSFontService"/>
                <w:noProof/>
                <w:sz w:val="20"/>
              </w:rPr>
              <w:t xml:space="preserve"> Plan</w:t>
            </w:r>
            <w:r w:rsidR="00E20584" w:rsidRPr="006E27E1">
              <w:rPr>
                <w:rFonts w:ascii="Times New Roman_MSFontService" w:hAnsi="Times New Roman_MSFontService"/>
                <w:noProof/>
                <w:sz w:val="20"/>
              </w:rPr>
              <w:t xml:space="preserve"> with b</w:t>
            </w:r>
            <w:r w:rsidR="00B93098" w:rsidRPr="00B93098">
              <w:rPr>
                <w:rFonts w:ascii="Times New Roman_MSFontService" w:eastAsia="Times New Roman" w:hAnsi="Times New Roman_MSFontService" w:cs="Segoe UI"/>
                <w:noProof/>
                <w:sz w:val="20"/>
                <w:szCs w:val="20"/>
                <w:lang w:eastAsia="en-IE"/>
              </w:rPr>
              <w:t>inding date for copper switch-off</w:t>
            </w:r>
          </w:p>
          <w:p w14:paraId="0499EFF8" w14:textId="22012BD6" w:rsidR="00B93098" w:rsidRPr="00292895" w:rsidRDefault="00B93098" w:rsidP="251EE319">
            <w:pPr>
              <w:spacing w:after="120"/>
              <w:jc w:val="left"/>
              <w:textAlignment w:val="baseline"/>
              <w:rPr>
                <w:rFonts w:ascii="Times New Roman_MSFontService" w:eastAsia="Times New Roman" w:hAnsi="Times New Roman_MSFontService" w:cs="Segoe UI"/>
                <w:noProof/>
                <w:sz w:val="20"/>
                <w:szCs w:val="20"/>
                <w:lang w:val="en-IE" w:eastAsia="en-IE"/>
              </w:rPr>
            </w:pPr>
          </w:p>
          <w:p w14:paraId="736253F4" w14:textId="10D471DC" w:rsidR="00B93098" w:rsidRPr="00292895" w:rsidRDefault="6691C8E4" w:rsidP="00292895">
            <w:pPr>
              <w:spacing w:after="120"/>
              <w:jc w:val="left"/>
              <w:textAlignment w:val="baseline"/>
              <w:rPr>
                <w:rFonts w:ascii="Times New Roman_MSFontService" w:eastAsia="Times New Roman" w:hAnsi="Times New Roman_MSFontService" w:cs="Segoe UI"/>
                <w:noProof/>
                <w:sz w:val="20"/>
                <w:szCs w:val="20"/>
                <w:lang w:val="en-IE" w:eastAsia="en-IE"/>
              </w:rPr>
            </w:pPr>
            <w:r w:rsidRPr="006E27E1">
              <w:rPr>
                <w:rFonts w:ascii="Times New Roman_MSFontService" w:hAnsi="Times New Roman_MSFontService"/>
                <w:noProof/>
                <w:sz w:val="20"/>
              </w:rPr>
              <w:t xml:space="preserve">No </w:t>
            </w:r>
            <w:r w:rsidR="1DA7FE00" w:rsidRPr="006E27E1">
              <w:rPr>
                <w:rFonts w:ascii="Times New Roman_MSFontService" w:hAnsi="Times New Roman_MSFontService"/>
                <w:noProof/>
                <w:sz w:val="20"/>
              </w:rPr>
              <w:t>sustainability conditions or additional safeguards.</w:t>
            </w:r>
          </w:p>
          <w:p w14:paraId="5F27F50B" w14:textId="3ED4589E" w:rsidR="251EE319" w:rsidRDefault="251EE319" w:rsidP="251EE319">
            <w:pPr>
              <w:spacing w:after="120"/>
              <w:jc w:val="left"/>
              <w:rPr>
                <w:rFonts w:ascii="Times New Roman_MSFontService" w:eastAsia="Times New Roman" w:hAnsi="Times New Roman_MSFontService" w:cs="Segoe UI"/>
                <w:noProof/>
                <w:sz w:val="20"/>
                <w:szCs w:val="20"/>
                <w:lang w:val="en-IE" w:eastAsia="en-IE"/>
              </w:rPr>
            </w:pPr>
          </w:p>
          <w:p w14:paraId="1CAA01EF" w14:textId="0F71D304" w:rsidR="608C41FE" w:rsidRDefault="608C41FE" w:rsidP="608C41FE">
            <w:pPr>
              <w:spacing w:after="120"/>
              <w:jc w:val="left"/>
              <w:rPr>
                <w:rFonts w:ascii="Times New Roman_MSFontService" w:eastAsia="Times New Roman" w:hAnsi="Times New Roman_MSFontService" w:cs="Segoe UI"/>
                <w:noProof/>
                <w:sz w:val="20"/>
                <w:szCs w:val="20"/>
                <w:lang w:val="en-IE" w:eastAsia="en-IE"/>
              </w:rPr>
            </w:pPr>
          </w:p>
          <w:p w14:paraId="26363E66" w14:textId="4EC96D9B" w:rsidR="00B93098" w:rsidRPr="00292895" w:rsidRDefault="003A5B06" w:rsidP="00292895">
            <w:pPr>
              <w:spacing w:after="120"/>
              <w:jc w:val="left"/>
              <w:textAlignment w:val="baseline"/>
              <w:rPr>
                <w:rFonts w:ascii="Times New Roman_MSFontService" w:hAnsi="Times New Roman_MSFontService"/>
                <w:noProof/>
                <w:sz w:val="20"/>
                <w:lang w:val="en-IE"/>
              </w:rPr>
            </w:pPr>
            <w:r w:rsidRPr="006E27E1" w:rsidDel="003A5B06">
              <w:rPr>
                <w:rFonts w:ascii="Times New Roman_MSFontService" w:hAnsi="Times New Roman_MSFontService"/>
                <w:noProof/>
                <w:sz w:val="20"/>
              </w:rPr>
              <w:t xml:space="preserve"> </w:t>
            </w:r>
          </w:p>
        </w:tc>
      </w:tr>
      <w:tr w:rsidR="00937653" w:rsidRPr="00B93098" w14:paraId="2FBC872C" w14:textId="77777777" w:rsidTr="2C55DAB3">
        <w:trPr>
          <w:trHeight w:val="1320"/>
        </w:trPr>
        <w:tc>
          <w:tcPr>
            <w:tcW w:w="985" w:type="dxa"/>
            <w:vMerge/>
            <w:vAlign w:val="center"/>
            <w:hideMark/>
          </w:tcPr>
          <w:p w14:paraId="6D03B31D" w14:textId="77777777" w:rsidR="00B93098" w:rsidRPr="00292895" w:rsidRDefault="00B93098" w:rsidP="00292895">
            <w:pPr>
              <w:spacing w:after="0"/>
              <w:jc w:val="left"/>
              <w:rPr>
                <w:rFonts w:ascii="Segoe UI" w:hAnsi="Segoe UI"/>
                <w:noProof/>
                <w:sz w:val="18"/>
                <w:lang w:val="en-IE"/>
              </w:rPr>
            </w:pPr>
          </w:p>
        </w:tc>
        <w:tc>
          <w:tcPr>
            <w:tcW w:w="992" w:type="dxa"/>
            <w:vMerge/>
            <w:vAlign w:val="center"/>
            <w:hideMark/>
          </w:tcPr>
          <w:p w14:paraId="41FB5865" w14:textId="29775226" w:rsidR="00B93098" w:rsidRPr="00292895" w:rsidRDefault="00B93098" w:rsidP="00292895">
            <w:pPr>
              <w:spacing w:after="0"/>
              <w:jc w:val="left"/>
              <w:rPr>
                <w:rFonts w:ascii="Segoe UI" w:hAnsi="Segoe UI"/>
                <w:noProof/>
                <w:sz w:val="18"/>
                <w:lang w:val="en-IE"/>
              </w:rPr>
            </w:pPr>
          </w:p>
        </w:tc>
        <w:tc>
          <w:tcPr>
            <w:tcW w:w="1843" w:type="dxa"/>
            <w:tcBorders>
              <w:top w:val="single" w:sz="6" w:space="0" w:color="auto"/>
              <w:left w:val="single" w:sz="6" w:space="0" w:color="auto"/>
              <w:bottom w:val="single" w:sz="6" w:space="0" w:color="auto"/>
              <w:right w:val="single" w:sz="6" w:space="0" w:color="auto"/>
            </w:tcBorders>
            <w:hideMark/>
          </w:tcPr>
          <w:p w14:paraId="26060E0B" w14:textId="77777777" w:rsidR="00B93098" w:rsidRDefault="00B93098" w:rsidP="00292895">
            <w:pPr>
              <w:spacing w:after="120"/>
              <w:jc w:val="left"/>
              <w:textAlignment w:val="baseline"/>
              <w:rPr>
                <w:rFonts w:ascii="Times New Roman_MSFontService" w:eastAsia="Times New Roman" w:hAnsi="Times New Roman_MSFontService" w:cs="Segoe UI"/>
                <w:noProof/>
                <w:sz w:val="20"/>
                <w:szCs w:val="20"/>
                <w:lang w:val="en-IE" w:eastAsia="en-IE"/>
              </w:rPr>
            </w:pPr>
            <w:r w:rsidRPr="00B93098">
              <w:rPr>
                <w:rFonts w:ascii="Times New Roman_MSFontService" w:eastAsia="Times New Roman" w:hAnsi="Times New Roman_MSFontService" w:cs="Segoe UI"/>
                <w:noProof/>
                <w:sz w:val="20"/>
                <w:szCs w:val="20"/>
                <w:lang w:eastAsia="en-IE"/>
              </w:rPr>
              <w:t>Very limited changes to access regulation</w:t>
            </w:r>
            <w:r w:rsidRPr="006E27E1">
              <w:rPr>
                <w:rFonts w:ascii="Times New Roman_MSFontService" w:hAnsi="Times New Roman_MSFontService" w:hint="eastAsia"/>
                <w:noProof/>
                <w:sz w:val="20"/>
              </w:rPr>
              <w:t> </w:t>
            </w:r>
          </w:p>
          <w:p w14:paraId="627AF414" w14:textId="208270F5" w:rsidR="00B93098" w:rsidRPr="00292895" w:rsidRDefault="00164087" w:rsidP="00292895">
            <w:pPr>
              <w:spacing w:after="120"/>
              <w:jc w:val="left"/>
              <w:textAlignment w:val="baseline"/>
              <w:rPr>
                <w:rFonts w:ascii="Segoe UI" w:hAnsi="Segoe UI"/>
                <w:noProof/>
                <w:sz w:val="18"/>
                <w:lang w:val="en-IE"/>
              </w:rPr>
            </w:pPr>
            <w:r w:rsidRPr="006E27E1">
              <w:rPr>
                <w:rFonts w:ascii="Times New Roman_MSFontService" w:hAnsi="Times New Roman_MSFontService"/>
                <w:noProof/>
                <w:sz w:val="20"/>
              </w:rPr>
              <w:t xml:space="preserve">Guidelines </w:t>
            </w:r>
            <w:r w:rsidR="00E83DBC" w:rsidRPr="006E27E1">
              <w:rPr>
                <w:rFonts w:ascii="Times New Roman_MSFontService" w:hAnsi="Times New Roman_MSFontService"/>
                <w:noProof/>
                <w:sz w:val="20"/>
              </w:rPr>
              <w:t>on</w:t>
            </w:r>
            <w:r w:rsidRPr="006E27E1">
              <w:rPr>
                <w:rFonts w:ascii="Times New Roman_MSFontService" w:hAnsi="Times New Roman_MSFontService"/>
                <w:noProof/>
                <w:sz w:val="20"/>
              </w:rPr>
              <w:t xml:space="preserve"> </w:t>
            </w:r>
            <w:r w:rsidR="00BC648E" w:rsidRPr="006E27E1">
              <w:rPr>
                <w:rFonts w:ascii="Times New Roman_MSFontService" w:hAnsi="Times New Roman_MSFontService"/>
                <w:noProof/>
                <w:sz w:val="20"/>
              </w:rPr>
              <w:t>EU</w:t>
            </w:r>
            <w:r w:rsidRPr="006E27E1">
              <w:rPr>
                <w:rFonts w:ascii="Times New Roman_MSFontService" w:hAnsi="Times New Roman_MSFontService"/>
                <w:noProof/>
                <w:sz w:val="20"/>
              </w:rPr>
              <w:t xml:space="preserve"> wholesale </w:t>
            </w:r>
            <w:r w:rsidR="00BC648E" w:rsidRPr="006E27E1">
              <w:rPr>
                <w:rFonts w:ascii="Times New Roman_MSFontService" w:hAnsi="Times New Roman_MSFontService"/>
                <w:noProof/>
                <w:sz w:val="20"/>
              </w:rPr>
              <w:t xml:space="preserve">access </w:t>
            </w:r>
            <w:r w:rsidRPr="006E27E1">
              <w:rPr>
                <w:rFonts w:ascii="Times New Roman_MSFontService" w:hAnsi="Times New Roman_MSFontService"/>
                <w:noProof/>
                <w:sz w:val="20"/>
              </w:rPr>
              <w:t>products</w:t>
            </w:r>
          </w:p>
        </w:tc>
        <w:tc>
          <w:tcPr>
            <w:tcW w:w="7371" w:type="dxa"/>
            <w:tcBorders>
              <w:top w:val="single" w:sz="6" w:space="0" w:color="auto"/>
              <w:left w:val="single" w:sz="6" w:space="0" w:color="auto"/>
              <w:bottom w:val="single" w:sz="6" w:space="0" w:color="auto"/>
              <w:right w:val="single" w:sz="6" w:space="0" w:color="auto"/>
            </w:tcBorders>
            <w:hideMark/>
          </w:tcPr>
          <w:p w14:paraId="21F297DB" w14:textId="694EA3EB" w:rsidR="00B93098" w:rsidRPr="00B93098" w:rsidRDefault="00B93098" w:rsidP="00292895">
            <w:pPr>
              <w:spacing w:after="120"/>
              <w:jc w:val="left"/>
              <w:textAlignment w:val="baseline"/>
              <w:rPr>
                <w:rFonts w:ascii="Segoe UI" w:eastAsia="Times New Roman" w:hAnsi="Segoe UI" w:cs="Segoe UI"/>
                <w:noProof/>
                <w:sz w:val="18"/>
                <w:szCs w:val="18"/>
                <w:lang w:val="en-IE" w:eastAsia="en-IE"/>
              </w:rPr>
            </w:pPr>
            <w:r w:rsidRPr="00B93098">
              <w:rPr>
                <w:rFonts w:ascii="Times New Roman_MSFontService" w:eastAsia="Times New Roman" w:hAnsi="Times New Roman_MSFontService" w:cs="Segoe UI"/>
                <w:noProof/>
                <w:sz w:val="20"/>
                <w:szCs w:val="20"/>
                <w:lang w:eastAsia="en-IE"/>
              </w:rPr>
              <w:t>Updates to access regulation</w:t>
            </w:r>
            <w:r w:rsidR="008457F3">
              <w:rPr>
                <w:rFonts w:ascii="Times New Roman_MSFontService" w:eastAsia="Times New Roman" w:hAnsi="Times New Roman_MSFontService" w:cs="Segoe UI"/>
                <w:noProof/>
                <w:sz w:val="20"/>
                <w:szCs w:val="20"/>
                <w:lang w:eastAsia="en-IE"/>
              </w:rPr>
              <w:t xml:space="preserve"> in particular symmetric rules</w:t>
            </w:r>
            <w:r w:rsidR="002B02BE">
              <w:rPr>
                <w:rFonts w:ascii="Times New Roman_MSFontService" w:eastAsia="Times New Roman" w:hAnsi="Times New Roman_MSFontService" w:cs="Segoe UI"/>
                <w:noProof/>
                <w:sz w:val="20"/>
                <w:szCs w:val="20"/>
                <w:lang w:eastAsia="en-IE"/>
              </w:rPr>
              <w:t xml:space="preserve"> </w:t>
            </w:r>
          </w:p>
          <w:p w14:paraId="72B8784F" w14:textId="5C496A24" w:rsidR="00B93098" w:rsidRPr="00292895" w:rsidRDefault="00B93098" w:rsidP="00292895">
            <w:pPr>
              <w:spacing w:after="120"/>
              <w:jc w:val="left"/>
              <w:textAlignment w:val="baseline"/>
              <w:rPr>
                <w:rFonts w:ascii="Segoe UI" w:hAnsi="Segoe UI"/>
                <w:noProof/>
                <w:sz w:val="18"/>
                <w:lang w:val="en-IE"/>
              </w:rPr>
            </w:pPr>
            <w:r w:rsidRPr="00B93098">
              <w:rPr>
                <w:rFonts w:ascii="Times New Roman_MSFontService" w:eastAsia="Times New Roman" w:hAnsi="Times New Roman_MSFontService" w:cs="Segoe UI"/>
                <w:noProof/>
                <w:sz w:val="20"/>
                <w:szCs w:val="20"/>
                <w:lang w:eastAsia="en-IE"/>
              </w:rPr>
              <w:t>EU wholesale access products</w:t>
            </w:r>
            <w:r w:rsidRPr="006E27E1">
              <w:rPr>
                <w:rFonts w:ascii="Times New Roman_MSFontService" w:hAnsi="Times New Roman_MSFontService" w:hint="eastAsia"/>
                <w:noProof/>
                <w:sz w:val="20"/>
              </w:rPr>
              <w:t> </w:t>
            </w:r>
          </w:p>
        </w:tc>
        <w:tc>
          <w:tcPr>
            <w:tcW w:w="1984" w:type="dxa"/>
            <w:tcBorders>
              <w:top w:val="single" w:sz="6" w:space="0" w:color="auto"/>
              <w:left w:val="single" w:sz="6" w:space="0" w:color="auto"/>
              <w:bottom w:val="single" w:sz="6" w:space="0" w:color="auto"/>
              <w:right w:val="single" w:sz="6" w:space="0" w:color="auto"/>
            </w:tcBorders>
            <w:hideMark/>
          </w:tcPr>
          <w:p w14:paraId="6A5E0995" w14:textId="77777777" w:rsidR="00222D20" w:rsidRDefault="00222D20" w:rsidP="005C3378">
            <w:pPr>
              <w:spacing w:after="120"/>
              <w:jc w:val="left"/>
              <w:textAlignment w:val="baseline"/>
              <w:rPr>
                <w:rFonts w:ascii="Times New Roman_MSFontService" w:eastAsia="Times New Roman" w:hAnsi="Times New Roman_MSFontService" w:cs="Segoe UI"/>
                <w:noProof/>
                <w:sz w:val="20"/>
                <w:szCs w:val="20"/>
                <w:lang w:val="en-IE" w:eastAsia="en-IE"/>
              </w:rPr>
            </w:pPr>
            <w:r w:rsidRPr="00DE264C">
              <w:rPr>
                <w:rFonts w:ascii="Times New Roman_MSFontService" w:eastAsia="Times New Roman_MSFontService" w:hAnsi="Times New Roman_MSFontService" w:cs="Times New Roman_MSFontService"/>
                <w:noProof/>
                <w:sz w:val="20"/>
                <w:szCs w:val="20"/>
              </w:rPr>
              <w:t>Bottleneck approach applied on areas with a single fibre network;</w:t>
            </w:r>
            <w:r w:rsidRPr="006E27E1">
              <w:rPr>
                <w:rFonts w:ascii="Times New Roman_MSFontService" w:hAnsi="Times New Roman_MSFontService" w:hint="eastAsia"/>
                <w:noProof/>
                <w:sz w:val="20"/>
              </w:rPr>
              <w:t> </w:t>
            </w:r>
          </w:p>
          <w:p w14:paraId="5167C45E" w14:textId="1C713112" w:rsidR="008457F3" w:rsidRPr="008457F3" w:rsidRDefault="005C3378" w:rsidP="005C3378">
            <w:pPr>
              <w:spacing w:after="120"/>
              <w:jc w:val="left"/>
              <w:textAlignment w:val="baseline"/>
              <w:rPr>
                <w:rFonts w:ascii="Times New Roman_MSFontService" w:eastAsia="Times New Roman" w:hAnsi="Times New Roman_MSFontService" w:cs="Segoe UI"/>
                <w:noProof/>
                <w:sz w:val="20"/>
                <w:szCs w:val="20"/>
                <w:lang w:eastAsia="en-IE"/>
              </w:rPr>
            </w:pPr>
            <w:r w:rsidRPr="008457F3">
              <w:rPr>
                <w:rFonts w:ascii="Times New Roman_MSFontService" w:eastAsia="Times New Roman" w:hAnsi="Times New Roman_MSFontService" w:cs="Segoe UI"/>
                <w:noProof/>
                <w:sz w:val="20"/>
                <w:szCs w:val="20"/>
                <w:lang w:eastAsia="en-IE"/>
              </w:rPr>
              <w:t xml:space="preserve">Only symmetric access to passive networks (ducts and poles) </w:t>
            </w:r>
          </w:p>
          <w:p w14:paraId="29EC610B" w14:textId="2EFBEBB1" w:rsidR="00B93098" w:rsidRPr="008457F3" w:rsidRDefault="00B93098" w:rsidP="00292895">
            <w:pPr>
              <w:spacing w:after="120"/>
              <w:jc w:val="left"/>
              <w:textAlignment w:val="baseline"/>
              <w:rPr>
                <w:rFonts w:ascii="Times New Roman_MSFontService" w:eastAsia="Times New Roman" w:hAnsi="Times New Roman_MSFontService" w:cs="Segoe UI"/>
                <w:noProof/>
                <w:sz w:val="20"/>
                <w:szCs w:val="20"/>
                <w:lang w:eastAsia="en-IE"/>
              </w:rPr>
            </w:pPr>
          </w:p>
        </w:tc>
        <w:tc>
          <w:tcPr>
            <w:tcW w:w="1559" w:type="dxa"/>
            <w:tcBorders>
              <w:top w:val="single" w:sz="6" w:space="0" w:color="auto"/>
              <w:left w:val="single" w:sz="6" w:space="0" w:color="auto"/>
              <w:bottom w:val="single" w:sz="6" w:space="0" w:color="auto"/>
              <w:right w:val="single" w:sz="6" w:space="0" w:color="auto"/>
            </w:tcBorders>
            <w:hideMark/>
          </w:tcPr>
          <w:p w14:paraId="1997E305" w14:textId="177CEFA1" w:rsidR="008457F3" w:rsidRPr="00222D20" w:rsidRDefault="00B93098" w:rsidP="002B60A8">
            <w:pPr>
              <w:spacing w:after="0"/>
              <w:jc w:val="left"/>
              <w:textAlignment w:val="baseline"/>
              <w:rPr>
                <w:rFonts w:ascii="Times New Roman_MSFontService" w:eastAsia="Times New Roman" w:hAnsi="Times New Roman_MSFontService" w:cs="Segoe UI"/>
                <w:noProof/>
                <w:sz w:val="20"/>
                <w:szCs w:val="20"/>
                <w:lang w:val="en-IE" w:eastAsia="en-IE"/>
              </w:rPr>
            </w:pPr>
            <w:r w:rsidRPr="00B93098">
              <w:rPr>
                <w:rFonts w:ascii="Times New Roman_MSFontService" w:eastAsia="Times New Roman" w:hAnsi="Times New Roman_MSFontService" w:cs="Segoe UI"/>
                <w:noProof/>
                <w:sz w:val="20"/>
                <w:szCs w:val="20"/>
                <w:lang w:eastAsia="en-IE"/>
              </w:rPr>
              <w:t>Regulated access to all fixed networks</w:t>
            </w:r>
            <w:r w:rsidRPr="006E27E1">
              <w:rPr>
                <w:rFonts w:ascii="Times New Roman_MSFontService" w:hAnsi="Times New Roman_MSFontService" w:hint="eastAsia"/>
                <w:noProof/>
                <w:sz w:val="20"/>
              </w:rPr>
              <w:t> </w:t>
            </w:r>
          </w:p>
          <w:p w14:paraId="6899BA85" w14:textId="77777777" w:rsidR="008457F3" w:rsidRDefault="00B93098" w:rsidP="002B60A8">
            <w:pPr>
              <w:spacing w:after="0"/>
              <w:jc w:val="left"/>
              <w:textAlignment w:val="baseline"/>
              <w:rPr>
                <w:rFonts w:ascii="Times New Roman_MSFontService" w:eastAsia="Times New Roman" w:hAnsi="Times New Roman_MSFontService" w:cs="Segoe UI"/>
                <w:noProof/>
                <w:sz w:val="20"/>
                <w:szCs w:val="20"/>
                <w:lang w:eastAsia="en-IE"/>
              </w:rPr>
            </w:pPr>
            <w:r w:rsidRPr="00B93098">
              <w:rPr>
                <w:rFonts w:ascii="Times New Roman_MSFontService" w:eastAsia="Times New Roman" w:hAnsi="Times New Roman_MSFontService" w:cs="Segoe UI"/>
                <w:noProof/>
                <w:sz w:val="20"/>
                <w:szCs w:val="20"/>
                <w:lang w:eastAsia="en-IE"/>
              </w:rPr>
              <w:t>Regulated access to ducts and poles</w:t>
            </w:r>
          </w:p>
          <w:p w14:paraId="153BBC89" w14:textId="1CCF304E" w:rsidR="00B93098" w:rsidRPr="00292895" w:rsidRDefault="00B93098" w:rsidP="00292895">
            <w:pPr>
              <w:spacing w:after="0"/>
              <w:jc w:val="left"/>
              <w:textAlignment w:val="baseline"/>
              <w:rPr>
                <w:rFonts w:ascii="Segoe UI" w:hAnsi="Segoe UI"/>
                <w:noProof/>
                <w:sz w:val="18"/>
                <w:lang w:val="en-IE"/>
              </w:rPr>
            </w:pPr>
            <w:r w:rsidRPr="006E27E1">
              <w:rPr>
                <w:rFonts w:ascii="Times New Roman_MSFontService" w:hAnsi="Times New Roman_MSFontService" w:hint="eastAsia"/>
                <w:noProof/>
                <w:sz w:val="20"/>
              </w:rPr>
              <w:t> </w:t>
            </w:r>
            <w:r w:rsidRPr="00B93098">
              <w:rPr>
                <w:rFonts w:ascii="Times New Roman_MSFontService" w:eastAsia="Times New Roman" w:hAnsi="Times New Roman_MSFontService" w:cs="Segoe UI"/>
                <w:noProof/>
                <w:sz w:val="20"/>
                <w:szCs w:val="20"/>
                <w:lang w:eastAsia="en-IE"/>
              </w:rPr>
              <w:t>List of EU wholesale access products</w:t>
            </w:r>
            <w:r w:rsidRPr="006E27E1">
              <w:rPr>
                <w:rFonts w:ascii="Times New Roman_MSFontService" w:hAnsi="Times New Roman_MSFontService" w:hint="eastAsia"/>
                <w:noProof/>
                <w:sz w:val="20"/>
              </w:rPr>
              <w:t> </w:t>
            </w:r>
          </w:p>
        </w:tc>
      </w:tr>
    </w:tbl>
    <w:p w14:paraId="3085CC90" w14:textId="77777777" w:rsidR="002B60A8" w:rsidRDefault="002B60A8">
      <w:pPr>
        <w:spacing w:before="240" w:after="160"/>
        <w:rPr>
          <w:rFonts w:eastAsia="Times New Roman"/>
          <w:b/>
          <w:bCs/>
          <w:noProof/>
        </w:rPr>
        <w:sectPr w:rsidR="002B60A8" w:rsidSect="008E7FF8">
          <w:headerReference w:type="default" r:id="rId44"/>
          <w:footerReference w:type="default" r:id="rId45"/>
          <w:headerReference w:type="first" r:id="rId46"/>
          <w:footerReference w:type="first" r:id="rId47"/>
          <w:pgSz w:w="16838" w:h="11906" w:orient="landscape" w:code="9"/>
          <w:pgMar w:top="1021" w:right="1021" w:bottom="567" w:left="1021" w:header="601" w:footer="1077" w:gutter="0"/>
          <w:cols w:space="720"/>
          <w:titlePg/>
          <w:docGrid w:linePitch="326"/>
        </w:sectPr>
      </w:pPr>
    </w:p>
    <w:p w14:paraId="32F66031" w14:textId="1D340417" w:rsidR="008A3CF0" w:rsidRPr="000939E2" w:rsidRDefault="008A3CF0" w:rsidP="004267B2">
      <w:pPr>
        <w:rPr>
          <w:rFonts w:ascii="Aptos" w:eastAsia="Aptos" w:hAnsi="Aptos" w:cs="Aptos"/>
          <w:b/>
          <w:bCs/>
          <w:noProof/>
          <w:sz w:val="22"/>
          <w:szCs w:val="22"/>
          <w:lang w:val="en-US"/>
        </w:rPr>
      </w:pPr>
      <w:r w:rsidRPr="00DE264C">
        <w:rPr>
          <w:rFonts w:eastAsia="Times New Roman"/>
          <w:b/>
          <w:bCs/>
          <w:noProof/>
        </w:rPr>
        <w:t>Option 1:</w:t>
      </w:r>
      <w:r w:rsidRPr="00DE264C">
        <w:rPr>
          <w:rFonts w:eastAsia="Times New Roman"/>
          <w:noProof/>
        </w:rPr>
        <w:t xml:space="preserve"> </w:t>
      </w:r>
      <w:r w:rsidR="00014159" w:rsidRPr="000939E2">
        <w:rPr>
          <w:rFonts w:eastAsia="Times New Roman"/>
          <w:b/>
          <w:bCs/>
          <w:noProof/>
        </w:rPr>
        <w:t xml:space="preserve">Non-binding </w:t>
      </w:r>
      <w:r w:rsidR="00E372B3" w:rsidRPr="000939E2">
        <w:rPr>
          <w:rFonts w:eastAsia="Times New Roman"/>
          <w:b/>
          <w:bCs/>
          <w:noProof/>
        </w:rPr>
        <w:t>copper switch-off</w:t>
      </w:r>
      <w:r w:rsidR="00014159" w:rsidRPr="000939E2">
        <w:rPr>
          <w:rFonts w:eastAsia="Times New Roman"/>
          <w:b/>
          <w:bCs/>
          <w:noProof/>
        </w:rPr>
        <w:t xml:space="preserve"> and </w:t>
      </w:r>
      <w:r w:rsidR="30BF8DD9" w:rsidRPr="000939E2">
        <w:rPr>
          <w:rFonts w:eastAsia="Times New Roman"/>
          <w:b/>
          <w:bCs/>
          <w:noProof/>
        </w:rPr>
        <w:t xml:space="preserve">limited </w:t>
      </w:r>
      <w:r w:rsidR="00014159" w:rsidRPr="000939E2">
        <w:rPr>
          <w:rFonts w:eastAsia="Times New Roman"/>
          <w:b/>
          <w:bCs/>
          <w:noProof/>
        </w:rPr>
        <w:t>update</w:t>
      </w:r>
      <w:r w:rsidR="1C1BD39A" w:rsidRPr="000939E2">
        <w:rPr>
          <w:rFonts w:eastAsia="Times New Roman"/>
          <w:b/>
          <w:bCs/>
          <w:noProof/>
        </w:rPr>
        <w:t xml:space="preserve">s to </w:t>
      </w:r>
      <w:r w:rsidR="00014159" w:rsidRPr="000939E2">
        <w:rPr>
          <w:rFonts w:eastAsia="Times New Roman"/>
          <w:b/>
          <w:bCs/>
          <w:noProof/>
        </w:rPr>
        <w:t>access regulation</w:t>
      </w:r>
      <w:r w:rsidRPr="000939E2">
        <w:rPr>
          <w:rFonts w:eastAsia="Times New Roman"/>
          <w:b/>
          <w:bCs/>
          <w:noProof/>
        </w:rPr>
        <w:t xml:space="preserve"> </w:t>
      </w:r>
    </w:p>
    <w:p w14:paraId="12A0FDEB" w14:textId="76CFCAAE" w:rsidR="008A3CF0" w:rsidRPr="00DE264C" w:rsidRDefault="18DE5BC5" w:rsidP="00053713">
      <w:pPr>
        <w:spacing w:line="240" w:lineRule="auto"/>
        <w:rPr>
          <w:rFonts w:eastAsia="Times New Roman"/>
          <w:noProof/>
        </w:rPr>
      </w:pPr>
      <w:r w:rsidRPr="19A6A211">
        <w:rPr>
          <w:rFonts w:eastAsia="Times New Roman"/>
          <w:noProof/>
        </w:rPr>
        <w:t xml:space="preserve">Member States will </w:t>
      </w:r>
      <w:r w:rsidR="59D798BD" w:rsidRPr="60A6F76C">
        <w:rPr>
          <w:rFonts w:eastAsia="Times New Roman"/>
          <w:noProof/>
        </w:rPr>
        <w:t>prepare</w:t>
      </w:r>
      <w:r w:rsidRPr="19A6A211">
        <w:rPr>
          <w:rFonts w:eastAsia="Times New Roman"/>
          <w:noProof/>
        </w:rPr>
        <w:t xml:space="preserve"> plans for FTTH coverage, including </w:t>
      </w:r>
      <w:r w:rsidR="4DBA7000" w:rsidRPr="60A6F76C">
        <w:rPr>
          <w:rFonts w:eastAsia="Times New Roman"/>
          <w:noProof/>
        </w:rPr>
        <w:t xml:space="preserve">proposed measures to foster </w:t>
      </w:r>
      <w:r w:rsidR="00FB297A" w:rsidRPr="60A6F76C">
        <w:rPr>
          <w:rFonts w:eastAsia="Times New Roman"/>
          <w:noProof/>
        </w:rPr>
        <w:t>fibre</w:t>
      </w:r>
      <w:r w:rsidR="4DBA7000" w:rsidRPr="60A6F76C">
        <w:rPr>
          <w:rFonts w:eastAsia="Times New Roman"/>
          <w:noProof/>
        </w:rPr>
        <w:t xml:space="preserve"> deployment, </w:t>
      </w:r>
      <w:r w:rsidR="4DBA7000" w:rsidRPr="536ED363">
        <w:rPr>
          <w:rFonts w:eastAsia="Times New Roman"/>
          <w:noProof/>
        </w:rPr>
        <w:t>and communicate</w:t>
      </w:r>
      <w:r w:rsidR="476698C6" w:rsidRPr="536ED363">
        <w:rPr>
          <w:rFonts w:eastAsia="Times New Roman"/>
          <w:noProof/>
        </w:rPr>
        <w:t xml:space="preserve"> </w:t>
      </w:r>
      <w:r w:rsidRPr="7BDBC953">
        <w:rPr>
          <w:rFonts w:eastAsia="Times New Roman"/>
          <w:noProof/>
        </w:rPr>
        <w:t>t</w:t>
      </w:r>
      <w:r w:rsidR="5B9586B7" w:rsidRPr="7BDBC953">
        <w:rPr>
          <w:rFonts w:eastAsia="Times New Roman"/>
          <w:noProof/>
        </w:rPr>
        <w:t>hos</w:t>
      </w:r>
      <w:r w:rsidRPr="7BDBC953">
        <w:rPr>
          <w:rFonts w:eastAsia="Times New Roman"/>
          <w:noProof/>
        </w:rPr>
        <w:t>e</w:t>
      </w:r>
      <w:r w:rsidRPr="19A6A211">
        <w:rPr>
          <w:rFonts w:eastAsia="Times New Roman"/>
          <w:noProof/>
        </w:rPr>
        <w:t xml:space="preserve"> to the Commission</w:t>
      </w:r>
      <w:r w:rsidR="181EFECE" w:rsidRPr="0A082F45">
        <w:rPr>
          <w:rFonts w:eastAsia="Times New Roman"/>
          <w:noProof/>
        </w:rPr>
        <w:t xml:space="preserve"> </w:t>
      </w:r>
      <w:r w:rsidR="181EFECE" w:rsidRPr="587006E8">
        <w:rPr>
          <w:rFonts w:eastAsia="Times New Roman"/>
          <w:noProof/>
        </w:rPr>
        <w:t>[by 2029]</w:t>
      </w:r>
      <w:r w:rsidR="1496DE3C" w:rsidRPr="587006E8">
        <w:rPr>
          <w:rFonts w:eastAsia="Times New Roman"/>
          <w:noProof/>
        </w:rPr>
        <w:t>.</w:t>
      </w:r>
      <w:r w:rsidRPr="19A6A211">
        <w:rPr>
          <w:rFonts w:eastAsia="Times New Roman"/>
          <w:noProof/>
          <w:u w:val="single"/>
        </w:rPr>
        <w:t xml:space="preserve"> </w:t>
      </w:r>
    </w:p>
    <w:p w14:paraId="04126431" w14:textId="760889B9" w:rsidR="008A3CF0" w:rsidRPr="00DE264C" w:rsidRDefault="008A3CF0" w:rsidP="00053713">
      <w:pPr>
        <w:spacing w:line="240" w:lineRule="auto"/>
        <w:rPr>
          <w:rFonts w:eastAsia="Times New Roman"/>
          <w:noProof/>
          <w14:ligatures w14:val="standardContextual"/>
        </w:rPr>
      </w:pPr>
      <w:r w:rsidRPr="00DE264C">
        <w:rPr>
          <w:rFonts w:eastAsia="Times New Roman"/>
          <w:noProof/>
          <w:u w:val="single"/>
        </w:rPr>
        <w:t>For copper switch-off</w:t>
      </w:r>
      <w:r w:rsidRPr="00DE264C">
        <w:rPr>
          <w:rFonts w:eastAsia="Times New Roman"/>
          <w:noProof/>
        </w:rPr>
        <w:t>, this option set</w:t>
      </w:r>
      <w:r w:rsidR="00EA3073" w:rsidRPr="00DE264C">
        <w:rPr>
          <w:rFonts w:eastAsia="Times New Roman"/>
          <w:noProof/>
        </w:rPr>
        <w:t>s</w:t>
      </w:r>
      <w:r w:rsidRPr="00DE264C">
        <w:rPr>
          <w:rFonts w:eastAsia="Times New Roman"/>
          <w:noProof/>
        </w:rPr>
        <w:t xml:space="preserve"> a non-binding target date of 2030. The</w:t>
      </w:r>
      <w:r w:rsidR="00F6681E" w:rsidRPr="00DE264C">
        <w:rPr>
          <w:rFonts w:eastAsia="Times New Roman"/>
          <w:noProof/>
        </w:rPr>
        <w:t xml:space="preserve"> </w:t>
      </w:r>
      <w:r w:rsidR="0002397B" w:rsidRPr="00DE264C">
        <w:rPr>
          <w:rFonts w:eastAsia="Times New Roman"/>
          <w:noProof/>
        </w:rPr>
        <w:t xml:space="preserve">obligation </w:t>
      </w:r>
      <w:r w:rsidR="6A19B993" w:rsidRPr="5CE8506B">
        <w:rPr>
          <w:rFonts w:eastAsia="Times New Roman"/>
          <w:noProof/>
        </w:rPr>
        <w:t xml:space="preserve">existing in the Code </w:t>
      </w:r>
      <w:r w:rsidR="0002397B" w:rsidRPr="5CE8506B">
        <w:rPr>
          <w:rFonts w:eastAsia="Times New Roman"/>
          <w:noProof/>
        </w:rPr>
        <w:t xml:space="preserve">to notify </w:t>
      </w:r>
      <w:r w:rsidR="01410CA8" w:rsidRPr="5CE8506B">
        <w:rPr>
          <w:rFonts w:eastAsia="Times New Roman"/>
          <w:noProof/>
        </w:rPr>
        <w:t>NRAs of the</w:t>
      </w:r>
      <w:r w:rsidR="0002397B" w:rsidRPr="00DE264C">
        <w:rPr>
          <w:rFonts w:eastAsia="Times New Roman"/>
          <w:noProof/>
        </w:rPr>
        <w:t xml:space="preserve"> </w:t>
      </w:r>
      <w:r w:rsidR="00F6681E" w:rsidRPr="00DE264C">
        <w:rPr>
          <w:rFonts w:eastAsia="Times New Roman"/>
          <w:noProof/>
        </w:rPr>
        <w:t>network switch-off will</w:t>
      </w:r>
      <w:r w:rsidRPr="00DE264C">
        <w:rPr>
          <w:rFonts w:eastAsia="Times New Roman"/>
          <w:noProof/>
        </w:rPr>
        <w:t xml:space="preserve"> be </w:t>
      </w:r>
      <w:r w:rsidR="00F6681E" w:rsidRPr="00DE264C">
        <w:rPr>
          <w:rFonts w:eastAsia="Times New Roman"/>
          <w:noProof/>
        </w:rPr>
        <w:t xml:space="preserve">extended </w:t>
      </w:r>
      <w:r w:rsidRPr="00DE264C">
        <w:rPr>
          <w:rFonts w:eastAsia="Times New Roman"/>
          <w:noProof/>
        </w:rPr>
        <w:t>to cover all copper network operators, not only those with SMPs</w:t>
      </w:r>
      <w:r w:rsidR="004645C2" w:rsidRPr="00DE264C">
        <w:rPr>
          <w:rFonts w:eastAsia="Times New Roman"/>
          <w:noProof/>
        </w:rPr>
        <w:t xml:space="preserve">. Operators will </w:t>
      </w:r>
      <w:r w:rsidR="3316C108" w:rsidRPr="00DE264C">
        <w:rPr>
          <w:rFonts w:eastAsia="Times New Roman"/>
          <w:noProof/>
        </w:rPr>
        <w:t xml:space="preserve">be required, where </w:t>
      </w:r>
      <w:r w:rsidR="004645C2" w:rsidRPr="00DE264C">
        <w:rPr>
          <w:rFonts w:eastAsia="Times New Roman"/>
          <w:noProof/>
        </w:rPr>
        <w:t>appropriate</w:t>
      </w:r>
      <w:r w:rsidR="3316C108" w:rsidRPr="00DE264C">
        <w:rPr>
          <w:rFonts w:eastAsia="Times New Roman"/>
          <w:noProof/>
        </w:rPr>
        <w:t>, to submit a copper switch</w:t>
      </w:r>
      <w:r w:rsidR="00C316A3">
        <w:rPr>
          <w:rFonts w:eastAsia="Times New Roman"/>
          <w:noProof/>
        </w:rPr>
        <w:t>-</w:t>
      </w:r>
      <w:r w:rsidR="3316C108" w:rsidRPr="00DE264C">
        <w:rPr>
          <w:rFonts w:eastAsia="Times New Roman"/>
          <w:noProof/>
        </w:rPr>
        <w:t>off plan to the NRAs.</w:t>
      </w:r>
      <w:r w:rsidR="00BA2D47">
        <w:rPr>
          <w:rFonts w:eastAsia="Times New Roman"/>
          <w:noProof/>
        </w:rPr>
        <w:t xml:space="preserve"> </w:t>
      </w:r>
      <w:r w:rsidR="7A19273E" w:rsidRPr="588C67E3">
        <w:rPr>
          <w:rFonts w:eastAsia="Times New Roman"/>
          <w:noProof/>
        </w:rPr>
        <w:t>New</w:t>
      </w:r>
      <w:r w:rsidRPr="00DE264C">
        <w:rPr>
          <w:rFonts w:eastAsia="Times New Roman"/>
          <w:noProof/>
        </w:rPr>
        <w:t xml:space="preserve"> conditions for migrating to alternative fibre networks</w:t>
      </w:r>
      <w:r w:rsidR="3AD7A0E7" w:rsidRPr="00DE264C">
        <w:rPr>
          <w:rFonts w:eastAsia="Times New Roman"/>
          <w:noProof/>
        </w:rPr>
        <w:t xml:space="preserve"> will be defined in </w:t>
      </w:r>
      <w:r w:rsidR="00523EA2" w:rsidRPr="00DE264C">
        <w:rPr>
          <w:rFonts w:eastAsia="Times New Roman"/>
          <w:noProof/>
        </w:rPr>
        <w:t>A</w:t>
      </w:r>
      <w:r w:rsidR="3AD7A0E7" w:rsidRPr="00DE264C">
        <w:rPr>
          <w:rFonts w:eastAsia="Times New Roman"/>
          <w:noProof/>
        </w:rPr>
        <w:t>rticle</w:t>
      </w:r>
      <w:r w:rsidR="00A907F2">
        <w:rPr>
          <w:rFonts w:eastAsia="Times New Roman"/>
          <w:noProof/>
        </w:rPr>
        <w:t> </w:t>
      </w:r>
      <w:r w:rsidR="3AD7A0E7" w:rsidRPr="00DE264C">
        <w:rPr>
          <w:rFonts w:eastAsia="Times New Roman"/>
          <w:noProof/>
        </w:rPr>
        <w:t>81</w:t>
      </w:r>
      <w:r w:rsidRPr="00DE264C">
        <w:rPr>
          <w:rFonts w:eastAsia="Times New Roman"/>
          <w:noProof/>
        </w:rPr>
        <w:t>. BEREC will be mandated to publish guidance on best practices for copper switch-off and geographic surveys. The references</w:t>
      </w:r>
      <w:r w:rsidR="000B7535" w:rsidRPr="000B7535">
        <w:rPr>
          <w:rFonts w:eastAsia="Times New Roman"/>
          <w:noProof/>
        </w:rPr>
        <w:t xml:space="preserve"> </w:t>
      </w:r>
      <w:r w:rsidR="000B7535" w:rsidRPr="00DE264C">
        <w:rPr>
          <w:rFonts w:eastAsia="Times New Roman"/>
          <w:noProof/>
        </w:rPr>
        <w:t>to 100</w:t>
      </w:r>
      <w:r w:rsidR="00A907F2">
        <w:rPr>
          <w:rFonts w:eastAsia="Times New Roman"/>
          <w:noProof/>
        </w:rPr>
        <w:t> </w:t>
      </w:r>
      <w:r w:rsidR="000B7535" w:rsidRPr="00DE264C">
        <w:rPr>
          <w:rFonts w:eastAsia="Times New Roman"/>
          <w:noProof/>
        </w:rPr>
        <w:t>Mbps</w:t>
      </w:r>
      <w:r w:rsidRPr="00DE264C">
        <w:rPr>
          <w:rFonts w:eastAsia="Times New Roman"/>
          <w:noProof/>
        </w:rPr>
        <w:t xml:space="preserve"> in Article</w:t>
      </w:r>
      <w:r w:rsidR="00A907F2">
        <w:rPr>
          <w:rFonts w:eastAsia="Times New Roman"/>
          <w:noProof/>
        </w:rPr>
        <w:t> </w:t>
      </w:r>
      <w:r w:rsidRPr="00DE264C">
        <w:rPr>
          <w:rFonts w:eastAsia="Times New Roman"/>
          <w:noProof/>
        </w:rPr>
        <w:t xml:space="preserve">22 of the EECC regarding geographic surveys will be changed to VHCN as defined in the EECC. </w:t>
      </w:r>
    </w:p>
    <w:p w14:paraId="4CBBFEAC" w14:textId="31CF5B01" w:rsidR="008A3CF0" w:rsidRPr="00DE264C" w:rsidRDefault="00C553B9" w:rsidP="00053713">
      <w:pPr>
        <w:spacing w:line="240" w:lineRule="auto"/>
        <w:rPr>
          <w:rFonts w:eastAsia="Times New Roman"/>
          <w:noProof/>
          <w:lang w:val="en-US"/>
          <w14:ligatures w14:val="standardContextual"/>
        </w:rPr>
      </w:pPr>
      <w:r w:rsidRPr="00DE264C">
        <w:rPr>
          <w:noProof/>
          <w:u w:val="single"/>
        </w:rPr>
        <w:t>For</w:t>
      </w:r>
      <w:r w:rsidR="008A3CF0" w:rsidRPr="00DE264C">
        <w:rPr>
          <w:noProof/>
          <w:u w:val="single"/>
        </w:rPr>
        <w:t xml:space="preserve"> access regulation</w:t>
      </w:r>
      <w:r w:rsidR="008A3CF0" w:rsidRPr="00DE264C">
        <w:rPr>
          <w:rFonts w:eastAsia="Times New Roman"/>
          <w:noProof/>
        </w:rPr>
        <w:t>, the market analysis framework will be retained, subject to t</w:t>
      </w:r>
      <w:r w:rsidR="731A4E20" w:rsidRPr="00DE264C">
        <w:rPr>
          <w:rFonts w:eastAsia="Times New Roman"/>
          <w:noProof/>
        </w:rPr>
        <w:t>h</w:t>
      </w:r>
      <w:r w:rsidR="008A3CF0" w:rsidRPr="00DE264C">
        <w:rPr>
          <w:rFonts w:eastAsia="Times New Roman"/>
          <w:noProof/>
        </w:rPr>
        <w:t>e prior assessment whether the measures al</w:t>
      </w:r>
      <w:r w:rsidR="5EE896AA" w:rsidRPr="00DE264C">
        <w:rPr>
          <w:rFonts w:eastAsia="Times New Roman"/>
          <w:noProof/>
        </w:rPr>
        <w:t>r</w:t>
      </w:r>
      <w:r w:rsidR="008A3CF0" w:rsidRPr="00DE264C">
        <w:rPr>
          <w:rFonts w:eastAsia="Times New Roman"/>
          <w:noProof/>
        </w:rPr>
        <w:t>eady in place (</w:t>
      </w:r>
      <w:r w:rsidR="007C03E9" w:rsidRPr="00DE264C">
        <w:rPr>
          <w:rFonts w:eastAsia="Times New Roman"/>
          <w:noProof/>
        </w:rPr>
        <w:t xml:space="preserve">e.g. </w:t>
      </w:r>
      <w:r w:rsidR="008A3CF0" w:rsidRPr="00DE264C">
        <w:rPr>
          <w:rFonts w:eastAsia="Times New Roman"/>
          <w:noProof/>
        </w:rPr>
        <w:t xml:space="preserve">GIA) are sufficient to remedy the problems identified. </w:t>
      </w:r>
      <w:r w:rsidR="7303D1C1" w:rsidRPr="00DE264C">
        <w:rPr>
          <w:rFonts w:eastAsia="Times New Roman"/>
          <w:noProof/>
        </w:rPr>
        <w:t>As it is currently the case, w</w:t>
      </w:r>
      <w:r w:rsidR="008A3CF0" w:rsidRPr="00DE264C">
        <w:rPr>
          <w:rFonts w:eastAsia="Times New Roman"/>
          <w:noProof/>
        </w:rPr>
        <w:t>ith respect to the markets that are recommended for ex ante regulation</w:t>
      </w:r>
      <w:r w:rsidR="002C6115">
        <w:rPr>
          <w:rFonts w:eastAsia="Times New Roman"/>
          <w:noProof/>
        </w:rPr>
        <w:t>,</w:t>
      </w:r>
      <w:r w:rsidR="008A3CF0" w:rsidRPr="00DE264C">
        <w:rPr>
          <w:rFonts w:eastAsia="Times New Roman"/>
          <w:noProof/>
        </w:rPr>
        <w:t xml:space="preserve"> there is a presumption that the three criteria </w:t>
      </w:r>
      <w:r w:rsidR="6E9F193F" w:rsidRPr="4FDC8144">
        <w:rPr>
          <w:rFonts w:eastAsia="Times New Roman"/>
          <w:noProof/>
        </w:rPr>
        <w:t xml:space="preserve">test </w:t>
      </w:r>
      <w:r w:rsidR="331142A3" w:rsidRPr="4FDC8144">
        <w:rPr>
          <w:rFonts w:eastAsia="Times New Roman"/>
          <w:noProof/>
        </w:rPr>
        <w:t>(i.e. existence of high entry barriers, lack of tendency towards effective competition and insufficiency of competition law)</w:t>
      </w:r>
      <w:r w:rsidR="008A3CF0" w:rsidRPr="4FDC8144">
        <w:rPr>
          <w:rFonts w:eastAsia="Times New Roman"/>
          <w:noProof/>
        </w:rPr>
        <w:t xml:space="preserve"> </w:t>
      </w:r>
      <w:r w:rsidR="7CAB4725" w:rsidRPr="508C5FD9">
        <w:rPr>
          <w:rFonts w:eastAsia="Times New Roman"/>
          <w:noProof/>
        </w:rPr>
        <w:t>is</w:t>
      </w:r>
      <w:r w:rsidR="03669442" w:rsidRPr="508C5FD9">
        <w:rPr>
          <w:rFonts w:eastAsia="Times New Roman"/>
          <w:noProof/>
        </w:rPr>
        <w:t xml:space="preserve"> </w:t>
      </w:r>
      <w:r w:rsidR="008A3CF0" w:rsidRPr="4FDC8144">
        <w:rPr>
          <w:rFonts w:eastAsia="Times New Roman"/>
          <w:noProof/>
        </w:rPr>
        <w:t>met.</w:t>
      </w:r>
      <w:r w:rsidR="008A3CF0" w:rsidRPr="00DE264C">
        <w:rPr>
          <w:rFonts w:eastAsia="Times New Roman"/>
          <w:noProof/>
        </w:rPr>
        <w:t xml:space="preserve"> For other markets, the three criteria test </w:t>
      </w:r>
      <w:r w:rsidR="008A3CF0" w:rsidRPr="2E51DAFF">
        <w:rPr>
          <w:rFonts w:eastAsia="Times New Roman"/>
          <w:noProof/>
        </w:rPr>
        <w:t>appl</w:t>
      </w:r>
      <w:r w:rsidR="6253CEC9" w:rsidRPr="2E51DAFF">
        <w:rPr>
          <w:rFonts w:eastAsia="Times New Roman"/>
          <w:noProof/>
        </w:rPr>
        <w:t>ies</w:t>
      </w:r>
      <w:r w:rsidR="008A3CF0" w:rsidRPr="00DE264C">
        <w:rPr>
          <w:rFonts w:eastAsia="Times New Roman"/>
          <w:noProof/>
        </w:rPr>
        <w:t xml:space="preserve"> (</w:t>
      </w:r>
      <w:r w:rsidR="008408B8">
        <w:rPr>
          <w:rFonts w:eastAsia="Times New Roman"/>
          <w:noProof/>
        </w:rPr>
        <w:t>t</w:t>
      </w:r>
      <w:r w:rsidR="272A0E29" w:rsidRPr="0500BABF">
        <w:rPr>
          <w:rFonts w:eastAsia="Times New Roman"/>
          <w:noProof/>
        </w:rPr>
        <w:t>o facilitate fibr</w:t>
      </w:r>
      <w:r w:rsidR="00D91219">
        <w:rPr>
          <w:rFonts w:eastAsia="Times New Roman"/>
          <w:noProof/>
        </w:rPr>
        <w:t>e</w:t>
      </w:r>
      <w:r w:rsidR="272A0E29" w:rsidRPr="0500BABF">
        <w:rPr>
          <w:rFonts w:eastAsia="Times New Roman"/>
          <w:noProof/>
        </w:rPr>
        <w:t xml:space="preserve"> deployment and address the issues related to access to in-building wiring, </w:t>
      </w:r>
      <w:r w:rsidR="008A3CF0" w:rsidRPr="0500BABF">
        <w:rPr>
          <w:rFonts w:eastAsia="Times New Roman"/>
          <w:noProof/>
        </w:rPr>
        <w:t>NRAs</w:t>
      </w:r>
      <w:r w:rsidR="008A3CF0" w:rsidRPr="00DE264C">
        <w:rPr>
          <w:rFonts w:eastAsia="Times New Roman"/>
          <w:noProof/>
        </w:rPr>
        <w:t xml:space="preserve"> will be also able to impose </w:t>
      </w:r>
      <w:r w:rsidR="00760AF4">
        <w:rPr>
          <w:rFonts w:eastAsia="Times New Roman"/>
          <w:noProof/>
        </w:rPr>
        <w:t xml:space="preserve">(upon request) </w:t>
      </w:r>
      <w:r w:rsidR="008A3CF0" w:rsidRPr="00DE264C">
        <w:rPr>
          <w:rFonts w:eastAsia="Times New Roman"/>
          <w:noProof/>
        </w:rPr>
        <w:t>access to in-</w:t>
      </w:r>
      <w:r w:rsidR="004E4645" w:rsidRPr="00DE264C">
        <w:rPr>
          <w:rFonts w:eastAsia="Times New Roman"/>
          <w:noProof/>
        </w:rPr>
        <w:t>building</w:t>
      </w:r>
      <w:r w:rsidR="008A3CF0" w:rsidRPr="00DE264C">
        <w:rPr>
          <w:rFonts w:eastAsia="Times New Roman"/>
          <w:noProof/>
        </w:rPr>
        <w:t xml:space="preserve"> wiring</w:t>
      </w:r>
      <w:r w:rsidR="33969139" w:rsidRPr="00DE264C">
        <w:rPr>
          <w:rFonts w:eastAsia="Times New Roman"/>
          <w:noProof/>
        </w:rPr>
        <w:t xml:space="preserve"> </w:t>
      </w:r>
      <w:r w:rsidR="001644EA" w:rsidRPr="001644EA">
        <w:rPr>
          <w:rFonts w:eastAsia="Times New Roman"/>
          <w:noProof/>
        </w:rPr>
        <w:t>and access beyond in-building wiring could be imposed ex-officio (and not only upon request as currently the case)</w:t>
      </w:r>
      <w:r w:rsidR="00D43C31">
        <w:rPr>
          <w:rFonts w:eastAsia="Times New Roman"/>
          <w:noProof/>
        </w:rPr>
        <w:t>.</w:t>
      </w:r>
      <w:r w:rsidR="11A79F2E" w:rsidRPr="00DE264C">
        <w:rPr>
          <w:rFonts w:eastAsia="Times New Roman"/>
          <w:noProof/>
        </w:rPr>
        <w:t xml:space="preserve"> </w:t>
      </w:r>
      <w:r w:rsidR="004E4645" w:rsidRPr="00DE264C">
        <w:rPr>
          <w:rFonts w:eastAsia="Times New Roman"/>
          <w:noProof/>
        </w:rPr>
        <w:t>Arti</w:t>
      </w:r>
      <w:r w:rsidR="4990BA93" w:rsidRPr="00DE264C">
        <w:rPr>
          <w:rFonts w:eastAsia="Times New Roman"/>
          <w:noProof/>
        </w:rPr>
        <w:t>cle</w:t>
      </w:r>
      <w:r w:rsidR="00A907F2">
        <w:rPr>
          <w:rFonts w:eastAsia="Times New Roman"/>
          <w:noProof/>
        </w:rPr>
        <w:t> </w:t>
      </w:r>
      <w:r w:rsidR="4990BA93" w:rsidRPr="00DE264C">
        <w:rPr>
          <w:rFonts w:eastAsia="Times New Roman"/>
          <w:noProof/>
        </w:rPr>
        <w:t xml:space="preserve">61(3) </w:t>
      </w:r>
      <w:r w:rsidR="005D233B" w:rsidRPr="00DE264C">
        <w:rPr>
          <w:rFonts w:eastAsia="Times New Roman"/>
          <w:noProof/>
        </w:rPr>
        <w:t>will</w:t>
      </w:r>
      <w:r w:rsidR="4990BA93" w:rsidRPr="00DE264C">
        <w:rPr>
          <w:rFonts w:eastAsia="Times New Roman"/>
          <w:noProof/>
        </w:rPr>
        <w:t xml:space="preserve"> be amended </w:t>
      </w:r>
      <w:r w:rsidR="62BBE552" w:rsidRPr="00DE264C">
        <w:rPr>
          <w:rFonts w:eastAsia="Times New Roman"/>
          <w:noProof/>
        </w:rPr>
        <w:t>accordingly</w:t>
      </w:r>
      <w:r w:rsidR="008A3CF0" w:rsidRPr="00DE264C">
        <w:rPr>
          <w:rFonts w:eastAsia="Times New Roman"/>
          <w:noProof/>
        </w:rPr>
        <w:t xml:space="preserve">. </w:t>
      </w:r>
      <w:r w:rsidR="00B542A9" w:rsidRPr="00B542A9">
        <w:rPr>
          <w:rFonts w:eastAsia="Times New Roman"/>
          <w:noProof/>
        </w:rPr>
        <w:t>NRAs would be able to require operators deploying FTTH to provide a connection (drop cable) to households which are passed by fibre within a given distance.</w:t>
      </w:r>
    </w:p>
    <w:p w14:paraId="6325EBDE" w14:textId="1DB58CC3" w:rsidR="008A3CF0" w:rsidRPr="00DE264C" w:rsidRDefault="008A3CF0" w:rsidP="00053713">
      <w:pPr>
        <w:spacing w:line="240" w:lineRule="auto"/>
        <w:rPr>
          <w:rFonts w:eastAsia="Times New Roman"/>
          <w:noProof/>
          <w14:ligatures w14:val="standardContextual"/>
        </w:rPr>
      </w:pPr>
      <w:r w:rsidRPr="00DE264C">
        <w:rPr>
          <w:rFonts w:eastAsia="Times New Roman"/>
          <w:noProof/>
        </w:rPr>
        <w:t>To ensure more consistency</w:t>
      </w:r>
      <w:r w:rsidRPr="14EDC3D8">
        <w:rPr>
          <w:rFonts w:eastAsia="Times New Roman"/>
          <w:noProof/>
        </w:rPr>
        <w:t xml:space="preserve"> </w:t>
      </w:r>
      <w:r w:rsidR="487003AD" w:rsidRPr="14EDC3D8">
        <w:rPr>
          <w:rFonts w:eastAsia="Times New Roman"/>
          <w:noProof/>
        </w:rPr>
        <w:t>in</w:t>
      </w:r>
      <w:r w:rsidRPr="00DE264C">
        <w:rPr>
          <w:rFonts w:eastAsia="Times New Roman"/>
          <w:noProof/>
        </w:rPr>
        <w:t xml:space="preserve"> NRAs’ regulatory practices across the </w:t>
      </w:r>
      <w:r w:rsidR="00C42B19" w:rsidRPr="00DE264C">
        <w:rPr>
          <w:rFonts w:eastAsia="Times New Roman"/>
          <w:noProof/>
        </w:rPr>
        <w:t>EU</w:t>
      </w:r>
      <w:r w:rsidRPr="00DE264C">
        <w:rPr>
          <w:rFonts w:eastAsia="Times New Roman"/>
          <w:noProof/>
        </w:rPr>
        <w:t xml:space="preserve"> and address the single market fragmentation, the EU wholesale access products will be </w:t>
      </w:r>
      <w:r w:rsidR="001B2C50" w:rsidRPr="00DE264C">
        <w:rPr>
          <w:rFonts w:eastAsia="Times New Roman"/>
          <w:noProof/>
        </w:rPr>
        <w:t>introduced</w:t>
      </w:r>
      <w:r w:rsidRPr="00DE264C">
        <w:rPr>
          <w:rFonts w:eastAsia="Times New Roman"/>
          <w:noProof/>
        </w:rPr>
        <w:t xml:space="preserve">. BEREC will be mandated to establish guidelines on the </w:t>
      </w:r>
      <w:r w:rsidR="00160AAC" w:rsidRPr="00DE264C">
        <w:rPr>
          <w:rFonts w:eastAsia="Times New Roman"/>
          <w:noProof/>
        </w:rPr>
        <w:t>EU</w:t>
      </w:r>
      <w:r w:rsidRPr="00DE264C">
        <w:rPr>
          <w:rFonts w:eastAsia="Times New Roman"/>
          <w:noProof/>
        </w:rPr>
        <w:t xml:space="preserve"> wholesale </w:t>
      </w:r>
      <w:r w:rsidR="00B82E60">
        <w:rPr>
          <w:rFonts w:eastAsia="Times New Roman"/>
          <w:noProof/>
        </w:rPr>
        <w:t xml:space="preserve">access </w:t>
      </w:r>
      <w:r w:rsidRPr="00DE264C">
        <w:rPr>
          <w:rFonts w:eastAsia="Times New Roman"/>
          <w:noProof/>
        </w:rPr>
        <w:t>products. NRAs could impose other remedies but would need to justify the reasons for such differentiation.</w:t>
      </w:r>
    </w:p>
    <w:p w14:paraId="00DCD016" w14:textId="01D56204" w:rsidR="002F1468" w:rsidRPr="00292895" w:rsidRDefault="008A3CF0" w:rsidP="00053713">
      <w:pPr>
        <w:spacing w:after="120" w:line="240" w:lineRule="auto"/>
        <w:rPr>
          <w:b/>
          <w:noProof/>
        </w:rPr>
      </w:pPr>
      <w:r w:rsidRPr="00DE264C">
        <w:rPr>
          <w:rFonts w:eastAsia="Times New Roman"/>
          <w:b/>
          <w:bCs/>
          <w:noProof/>
        </w:rPr>
        <w:t>Option 2:</w:t>
      </w:r>
      <w:r w:rsidRPr="00292895">
        <w:rPr>
          <w:rFonts w:eastAsia="Times New Roman"/>
          <w:b/>
          <w:noProof/>
        </w:rPr>
        <w:t xml:space="preserve"> </w:t>
      </w:r>
      <w:r w:rsidR="003D4C1F" w:rsidRPr="00292895">
        <w:rPr>
          <w:rFonts w:eastAsia="Times New Roman"/>
          <w:b/>
          <w:noProof/>
        </w:rPr>
        <w:t>Conditional copper switch-off and updated access regulation</w:t>
      </w:r>
      <w:r w:rsidRPr="00292895">
        <w:rPr>
          <w:rFonts w:eastAsia="Times New Roman"/>
          <w:b/>
          <w:noProof/>
        </w:rPr>
        <w:t xml:space="preserve"> </w:t>
      </w:r>
    </w:p>
    <w:p w14:paraId="727F399C" w14:textId="01560E3F" w:rsidR="010724FF" w:rsidRDefault="010724FF" w:rsidP="00053713">
      <w:pPr>
        <w:spacing w:line="240" w:lineRule="auto"/>
        <w:rPr>
          <w:rFonts w:eastAsia="Times New Roman"/>
          <w:noProof/>
        </w:rPr>
      </w:pPr>
      <w:r w:rsidRPr="6007E6FA">
        <w:rPr>
          <w:rFonts w:eastAsia="Times New Roman"/>
          <w:noProof/>
          <w:color w:val="000000" w:themeColor="text1"/>
        </w:rPr>
        <w:t>This o</w:t>
      </w:r>
      <w:r w:rsidRPr="48C839C3">
        <w:rPr>
          <w:rFonts w:eastAsia="Times New Roman"/>
          <w:noProof/>
          <w:color w:val="000000" w:themeColor="text1"/>
        </w:rPr>
        <w:t>ption</w:t>
      </w:r>
      <w:r w:rsidRPr="715558DA">
        <w:rPr>
          <w:rFonts w:eastAsia="Times New Roman"/>
          <w:noProof/>
          <w:color w:val="000000" w:themeColor="text1"/>
        </w:rPr>
        <w:t xml:space="preserve"> contains a </w:t>
      </w:r>
      <w:r w:rsidR="7CEEDF70" w:rsidRPr="715558DA">
        <w:rPr>
          <w:rFonts w:eastAsia="Times New Roman"/>
          <w:noProof/>
          <w:color w:val="000000" w:themeColor="text1"/>
        </w:rPr>
        <w:t>combination of measures</w:t>
      </w:r>
      <w:r w:rsidRPr="715558DA">
        <w:rPr>
          <w:rFonts w:eastAsia="Times New Roman"/>
          <w:noProof/>
          <w:color w:val="000000" w:themeColor="text1"/>
        </w:rPr>
        <w:t xml:space="preserve"> geared at fostering fibre deployment and take-up, including via a</w:t>
      </w:r>
      <w:r w:rsidR="002F1468" w:rsidRPr="715558DA">
        <w:rPr>
          <w:rFonts w:eastAsia="Times New Roman"/>
          <w:noProof/>
          <w:color w:val="000000" w:themeColor="text1"/>
        </w:rPr>
        <w:t>n</w:t>
      </w:r>
      <w:r w:rsidRPr="715558DA">
        <w:rPr>
          <w:rFonts w:eastAsia="Times New Roman"/>
          <w:noProof/>
          <w:color w:val="000000" w:themeColor="text1"/>
        </w:rPr>
        <w:t xml:space="preserve"> EU-wide copper switch off date by 2030, subject to certain conditions</w:t>
      </w:r>
      <w:r w:rsidR="1D75B194" w:rsidRPr="715558DA">
        <w:rPr>
          <w:rFonts w:eastAsia="Times New Roman"/>
          <w:noProof/>
          <w:color w:val="000000" w:themeColor="text1"/>
        </w:rPr>
        <w:t>. It</w:t>
      </w:r>
      <w:r w:rsidRPr="715558DA">
        <w:rPr>
          <w:rFonts w:eastAsia="Times New Roman"/>
          <w:noProof/>
          <w:color w:val="000000" w:themeColor="text1"/>
        </w:rPr>
        <w:t xml:space="preserve"> </w:t>
      </w:r>
      <w:r w:rsidR="7DF83339" w:rsidRPr="6007E6FA">
        <w:rPr>
          <w:rFonts w:eastAsia="Times New Roman"/>
          <w:noProof/>
          <w:color w:val="000000" w:themeColor="text1"/>
        </w:rPr>
        <w:t>aims at</w:t>
      </w:r>
      <w:r w:rsidRPr="715558DA">
        <w:rPr>
          <w:rFonts w:eastAsia="Times New Roman"/>
          <w:noProof/>
          <w:color w:val="881798"/>
          <w:u w:val="single"/>
        </w:rPr>
        <w:t xml:space="preserve"> </w:t>
      </w:r>
      <w:r w:rsidRPr="715558DA">
        <w:rPr>
          <w:rFonts w:eastAsia="Times New Roman"/>
          <w:noProof/>
          <w:color w:val="000000" w:themeColor="text1"/>
        </w:rPr>
        <w:t>increasing accountability of Member States</w:t>
      </w:r>
      <w:r w:rsidR="35DA81CA" w:rsidRPr="715558DA">
        <w:rPr>
          <w:rFonts w:eastAsia="Times New Roman"/>
          <w:noProof/>
          <w:color w:val="000000" w:themeColor="text1"/>
        </w:rPr>
        <w:t>, who should</w:t>
      </w:r>
      <w:r w:rsidR="130144D9" w:rsidRPr="715558DA">
        <w:rPr>
          <w:rFonts w:eastAsia="Times New Roman"/>
          <w:noProof/>
          <w:color w:val="000000" w:themeColor="text1"/>
        </w:rPr>
        <w:t xml:space="preserve"> adopt </w:t>
      </w:r>
      <w:r w:rsidR="1B3D43E0" w:rsidRPr="715558DA">
        <w:rPr>
          <w:rFonts w:eastAsia="Times New Roman"/>
          <w:noProof/>
          <w:color w:val="000000" w:themeColor="text1"/>
        </w:rPr>
        <w:t>a coordinated strategy at national level</w:t>
      </w:r>
      <w:r w:rsidR="130144D9" w:rsidRPr="715558DA">
        <w:rPr>
          <w:rFonts w:eastAsia="Times New Roman"/>
          <w:noProof/>
          <w:color w:val="000000" w:themeColor="text1"/>
        </w:rPr>
        <w:t xml:space="preserve"> and concrete measures to support fibr</w:t>
      </w:r>
      <w:r w:rsidR="00353838">
        <w:rPr>
          <w:rFonts w:eastAsia="Times New Roman"/>
          <w:noProof/>
          <w:color w:val="000000" w:themeColor="text1"/>
        </w:rPr>
        <w:t>e</w:t>
      </w:r>
      <w:r w:rsidR="130144D9" w:rsidRPr="715558DA">
        <w:rPr>
          <w:rFonts w:eastAsia="Times New Roman"/>
          <w:noProof/>
          <w:color w:val="000000" w:themeColor="text1"/>
        </w:rPr>
        <w:t xml:space="preserve"> deployment</w:t>
      </w:r>
      <w:r w:rsidR="0F7CC46B" w:rsidRPr="715558DA">
        <w:rPr>
          <w:rFonts w:eastAsia="Times New Roman"/>
          <w:noProof/>
          <w:color w:val="000000" w:themeColor="text1"/>
        </w:rPr>
        <w:t xml:space="preserve"> (which would</w:t>
      </w:r>
      <w:r w:rsidR="44BF4D89" w:rsidRPr="715558DA">
        <w:rPr>
          <w:rFonts w:eastAsia="Times New Roman"/>
          <w:noProof/>
          <w:color w:val="000000" w:themeColor="text1"/>
        </w:rPr>
        <w:t>, in turn,</w:t>
      </w:r>
      <w:r w:rsidR="0F7CC46B" w:rsidRPr="715558DA">
        <w:rPr>
          <w:rFonts w:eastAsia="Times New Roman"/>
          <w:noProof/>
          <w:color w:val="000000" w:themeColor="text1"/>
        </w:rPr>
        <w:t xml:space="preserve"> facilitate meeting the conditions for th</w:t>
      </w:r>
      <w:r w:rsidR="261C4723" w:rsidRPr="715558DA">
        <w:rPr>
          <w:rFonts w:eastAsia="Times New Roman"/>
          <w:noProof/>
          <w:color w:val="000000" w:themeColor="text1"/>
        </w:rPr>
        <w:t>e switch</w:t>
      </w:r>
      <w:r w:rsidR="44572216" w:rsidRPr="177A611C">
        <w:rPr>
          <w:rFonts w:eastAsia="Times New Roman"/>
          <w:noProof/>
          <w:color w:val="000000" w:themeColor="text1"/>
        </w:rPr>
        <w:t>-</w:t>
      </w:r>
      <w:r w:rsidR="261C4723" w:rsidRPr="715558DA">
        <w:rPr>
          <w:rFonts w:eastAsia="Times New Roman"/>
          <w:noProof/>
          <w:color w:val="000000" w:themeColor="text1"/>
        </w:rPr>
        <w:t xml:space="preserve">off of copper </w:t>
      </w:r>
      <w:r w:rsidR="09D2D0BF" w:rsidRPr="715558DA">
        <w:rPr>
          <w:rFonts w:eastAsia="Times New Roman"/>
          <w:noProof/>
          <w:color w:val="000000" w:themeColor="text1"/>
        </w:rPr>
        <w:t>and increase take up</w:t>
      </w:r>
      <w:r w:rsidR="261C4723" w:rsidRPr="715558DA">
        <w:rPr>
          <w:rFonts w:eastAsia="Times New Roman"/>
          <w:noProof/>
          <w:color w:val="000000" w:themeColor="text1"/>
        </w:rPr>
        <w:t>)</w:t>
      </w:r>
      <w:r w:rsidR="481D278D" w:rsidRPr="715558DA">
        <w:rPr>
          <w:rFonts w:eastAsia="Times New Roman"/>
          <w:noProof/>
          <w:color w:val="000000" w:themeColor="text1"/>
        </w:rPr>
        <w:t>.</w:t>
      </w:r>
      <w:r w:rsidRPr="715558DA">
        <w:rPr>
          <w:rFonts w:eastAsia="Times New Roman"/>
          <w:noProof/>
          <w:color w:val="000000" w:themeColor="text1"/>
        </w:rPr>
        <w:t xml:space="preserve"> It includes a review date in 2035 and very strong safeguards for end-user</w:t>
      </w:r>
      <w:r w:rsidR="06D8BE1F" w:rsidRPr="715558DA">
        <w:rPr>
          <w:rFonts w:eastAsia="Times New Roman"/>
          <w:noProof/>
          <w:color w:val="000000" w:themeColor="text1"/>
        </w:rPr>
        <w:t>s</w:t>
      </w:r>
      <w:r w:rsidRPr="715558DA">
        <w:rPr>
          <w:rFonts w:eastAsia="Times New Roman"/>
          <w:noProof/>
          <w:color w:val="000000" w:themeColor="text1"/>
        </w:rPr>
        <w:t>.</w:t>
      </w:r>
    </w:p>
    <w:p w14:paraId="1B8C8F1D" w14:textId="550EE85E" w:rsidR="76CCDF52" w:rsidRDefault="55C2A7D5" w:rsidP="00053713">
      <w:pPr>
        <w:spacing w:line="240" w:lineRule="auto"/>
        <w:rPr>
          <w:rFonts w:eastAsia="Times New Roman"/>
          <w:noProof/>
        </w:rPr>
      </w:pPr>
      <w:r w:rsidRPr="00B12688">
        <w:rPr>
          <w:rFonts w:eastAsia="Times New Roman"/>
          <w:noProof/>
          <w:u w:val="single"/>
        </w:rPr>
        <w:t>As regards copper switch</w:t>
      </w:r>
      <w:r w:rsidR="287F8D69" w:rsidRPr="01CD4B73">
        <w:rPr>
          <w:rFonts w:eastAsia="Times New Roman"/>
          <w:noProof/>
          <w:u w:val="single"/>
        </w:rPr>
        <w:t>-</w:t>
      </w:r>
      <w:r w:rsidRPr="00B12688">
        <w:rPr>
          <w:rFonts w:eastAsia="Times New Roman"/>
          <w:noProof/>
          <w:u w:val="single"/>
        </w:rPr>
        <w:t>off</w:t>
      </w:r>
      <w:r w:rsidRPr="41014C2F">
        <w:rPr>
          <w:rFonts w:eastAsia="Times New Roman"/>
          <w:noProof/>
        </w:rPr>
        <w:t>, b</w:t>
      </w:r>
      <w:r w:rsidR="029F16EF" w:rsidRPr="00B12688">
        <w:rPr>
          <w:rFonts w:eastAsia="Times New Roman"/>
          <w:noProof/>
        </w:rPr>
        <w:t>y 2029</w:t>
      </w:r>
      <w:r w:rsidR="029F16EF" w:rsidRPr="715558DA">
        <w:rPr>
          <w:rFonts w:eastAsia="Times New Roman"/>
          <w:noProof/>
        </w:rPr>
        <w:t xml:space="preserve"> Member States </w:t>
      </w:r>
      <w:r w:rsidR="00516DE9" w:rsidRPr="01CD4B73">
        <w:rPr>
          <w:rFonts w:eastAsia="Times New Roman"/>
          <w:noProof/>
        </w:rPr>
        <w:t xml:space="preserve">should </w:t>
      </w:r>
      <w:r w:rsidR="029F16EF" w:rsidRPr="715558DA">
        <w:rPr>
          <w:rFonts w:eastAsia="Times New Roman"/>
          <w:noProof/>
        </w:rPr>
        <w:t>submit to the Commission’s scrutiny a “Transition to Fibr</w:t>
      </w:r>
      <w:r w:rsidR="00BE50B7">
        <w:rPr>
          <w:rFonts w:eastAsia="Times New Roman"/>
          <w:noProof/>
        </w:rPr>
        <w:t>e</w:t>
      </w:r>
      <w:r w:rsidR="029F16EF" w:rsidRPr="715558DA">
        <w:rPr>
          <w:rFonts w:eastAsia="Times New Roman"/>
          <w:noProof/>
        </w:rPr>
        <w:t xml:space="preserve"> </w:t>
      </w:r>
      <w:r w:rsidR="4F8EC65D" w:rsidRPr="715558DA">
        <w:rPr>
          <w:rFonts w:eastAsia="Times New Roman"/>
          <w:noProof/>
        </w:rPr>
        <w:t>P</w:t>
      </w:r>
      <w:r w:rsidR="029F16EF" w:rsidRPr="715558DA">
        <w:rPr>
          <w:rFonts w:eastAsia="Times New Roman"/>
          <w:noProof/>
        </w:rPr>
        <w:t xml:space="preserve">lan” setting out their strategy for the entire country. The plan will include: </w:t>
      </w:r>
    </w:p>
    <w:p w14:paraId="2C9E969A" w14:textId="30A893C8" w:rsidR="1211D96C" w:rsidRPr="00B12688" w:rsidRDefault="7038DF77" w:rsidP="00053713">
      <w:pPr>
        <w:pStyle w:val="ListParagraph"/>
        <w:numPr>
          <w:ilvl w:val="0"/>
          <w:numId w:val="182"/>
        </w:numPr>
        <w:spacing w:line="240" w:lineRule="auto"/>
        <w:ind w:left="714" w:hanging="357"/>
        <w:rPr>
          <w:rFonts w:eastAsia="Times New Roman"/>
          <w:noProof/>
        </w:rPr>
      </w:pPr>
      <w:r w:rsidRPr="23503B0D">
        <w:rPr>
          <w:rFonts w:eastAsia="Times New Roman"/>
          <w:noProof/>
        </w:rPr>
        <w:t xml:space="preserve">the identification of the areas where transition to </w:t>
      </w:r>
      <w:r w:rsidR="029F16EF" w:rsidRPr="23503B0D">
        <w:rPr>
          <w:rFonts w:eastAsia="Times New Roman"/>
          <w:noProof/>
        </w:rPr>
        <w:t xml:space="preserve">fibre </w:t>
      </w:r>
      <w:r w:rsidRPr="23503B0D">
        <w:rPr>
          <w:rFonts w:eastAsia="Times New Roman"/>
          <w:noProof/>
        </w:rPr>
        <w:t xml:space="preserve">is feasible and the </w:t>
      </w:r>
      <w:r w:rsidR="070AEF4E" w:rsidRPr="48545044">
        <w:rPr>
          <w:rFonts w:eastAsia="Times New Roman"/>
          <w:noProof/>
        </w:rPr>
        <w:t>copper switch off</w:t>
      </w:r>
      <w:r w:rsidRPr="00B12688">
        <w:rPr>
          <w:rFonts w:eastAsia="Times New Roman"/>
          <w:noProof/>
        </w:rPr>
        <w:t xml:space="preserve"> process </w:t>
      </w:r>
      <w:r w:rsidR="661474EA" w:rsidRPr="09B33A16">
        <w:rPr>
          <w:rFonts w:eastAsia="Times New Roman"/>
          <w:noProof/>
        </w:rPr>
        <w:t xml:space="preserve">will </w:t>
      </w:r>
      <w:r w:rsidRPr="00B12688">
        <w:rPr>
          <w:rFonts w:eastAsia="Times New Roman"/>
          <w:noProof/>
        </w:rPr>
        <w:t>start as</w:t>
      </w:r>
      <w:r w:rsidR="789046E5" w:rsidRPr="09B33A16">
        <w:rPr>
          <w:rFonts w:eastAsia="Times New Roman"/>
          <w:noProof/>
        </w:rPr>
        <w:t xml:space="preserve"> soon </w:t>
      </w:r>
      <w:r w:rsidRPr="00B12688">
        <w:rPr>
          <w:rFonts w:eastAsia="Times New Roman"/>
          <w:noProof/>
        </w:rPr>
        <w:t>a</w:t>
      </w:r>
      <w:r w:rsidR="3BDCF726" w:rsidRPr="09B33A16">
        <w:rPr>
          <w:rFonts w:eastAsia="Times New Roman"/>
          <w:noProof/>
        </w:rPr>
        <w:t xml:space="preserve">s </w:t>
      </w:r>
      <w:r w:rsidRPr="00B12688">
        <w:rPr>
          <w:rFonts w:eastAsia="Times New Roman"/>
          <w:noProof/>
        </w:rPr>
        <w:t>p</w:t>
      </w:r>
      <w:r w:rsidR="3763743E" w:rsidRPr="09B33A16">
        <w:rPr>
          <w:rFonts w:eastAsia="Times New Roman"/>
          <w:noProof/>
        </w:rPr>
        <w:t>ossible</w:t>
      </w:r>
      <w:r w:rsidRPr="00B12688">
        <w:rPr>
          <w:rFonts w:eastAsia="Times New Roman"/>
          <w:noProof/>
        </w:rPr>
        <w:t xml:space="preserve"> and at the latest in 2030</w:t>
      </w:r>
      <w:r w:rsidR="00140112">
        <w:rPr>
          <w:rFonts w:eastAsia="Times New Roman"/>
          <w:noProof/>
        </w:rPr>
        <w:t>;</w:t>
      </w:r>
    </w:p>
    <w:p w14:paraId="6AA36EA5" w14:textId="3F731CF0" w:rsidR="0099583C" w:rsidRPr="00D31B3D" w:rsidRDefault="7038DF77" w:rsidP="00053713">
      <w:pPr>
        <w:pStyle w:val="ListParagraph"/>
        <w:numPr>
          <w:ilvl w:val="0"/>
          <w:numId w:val="182"/>
        </w:numPr>
        <w:spacing w:line="240" w:lineRule="auto"/>
        <w:ind w:left="714" w:hanging="357"/>
        <w:rPr>
          <w:rFonts w:eastAsia="Times New Roman"/>
          <w:noProof/>
        </w:rPr>
      </w:pPr>
      <w:r w:rsidRPr="23503B0D">
        <w:rPr>
          <w:rFonts w:eastAsia="Times New Roman"/>
          <w:noProof/>
        </w:rPr>
        <w:t xml:space="preserve">for the areas where </w:t>
      </w:r>
      <w:r w:rsidR="3106C0C4" w:rsidRPr="48545044">
        <w:rPr>
          <w:rFonts w:eastAsia="Times New Roman"/>
          <w:noProof/>
        </w:rPr>
        <w:t xml:space="preserve">copper switch off </w:t>
      </w:r>
      <w:r w:rsidRPr="23503B0D">
        <w:rPr>
          <w:rFonts w:eastAsia="Times New Roman"/>
          <w:noProof/>
        </w:rPr>
        <w:t xml:space="preserve">cannot start by 2030, set out the measures to </w:t>
      </w:r>
      <w:r w:rsidR="3FB21AF5" w:rsidRPr="002D1EE3">
        <w:rPr>
          <w:rFonts w:eastAsia="Times New Roman"/>
          <w:noProof/>
        </w:rPr>
        <w:t>transition to fibre at the latest in 2035</w:t>
      </w:r>
      <w:r w:rsidR="00140112">
        <w:rPr>
          <w:rFonts w:eastAsia="Times New Roman"/>
          <w:noProof/>
        </w:rPr>
        <w:t>.</w:t>
      </w:r>
    </w:p>
    <w:p w14:paraId="7BC6FBFA" w14:textId="5A16CF8B" w:rsidR="76CCDF52" w:rsidRDefault="029F16EF" w:rsidP="00053713">
      <w:pPr>
        <w:spacing w:line="240" w:lineRule="auto"/>
        <w:rPr>
          <w:rFonts w:eastAsia="Times New Roman"/>
          <w:noProof/>
        </w:rPr>
      </w:pPr>
      <w:r w:rsidRPr="23503B0D">
        <w:rPr>
          <w:rFonts w:eastAsia="Times New Roman"/>
          <w:noProof/>
        </w:rPr>
        <w:t xml:space="preserve">In assessing whether the </w:t>
      </w:r>
      <w:r w:rsidR="7274D0F8" w:rsidRPr="00353838">
        <w:rPr>
          <w:rFonts w:eastAsia="Times New Roman"/>
          <w:noProof/>
          <w:color w:val="000000" w:themeColor="text1"/>
        </w:rPr>
        <w:t>copper</w:t>
      </w:r>
      <w:r w:rsidRPr="3526A3EB">
        <w:rPr>
          <w:rFonts w:eastAsia="Times New Roman"/>
          <w:noProof/>
        </w:rPr>
        <w:t xml:space="preserve"> </w:t>
      </w:r>
      <w:r w:rsidR="6E7A76FC" w:rsidRPr="3526A3EB">
        <w:rPr>
          <w:rFonts w:eastAsia="Times New Roman"/>
          <w:noProof/>
        </w:rPr>
        <w:t>switch-off</w:t>
      </w:r>
      <w:r w:rsidRPr="23503B0D">
        <w:rPr>
          <w:rFonts w:eastAsia="Times New Roman"/>
          <w:noProof/>
        </w:rPr>
        <w:t xml:space="preserve"> </w:t>
      </w:r>
      <w:r w:rsidR="55A96D1D" w:rsidRPr="68015FF5">
        <w:rPr>
          <w:rFonts w:eastAsia="Times New Roman"/>
          <w:noProof/>
        </w:rPr>
        <w:t xml:space="preserve">should </w:t>
      </w:r>
      <w:r w:rsidRPr="23503B0D">
        <w:rPr>
          <w:rFonts w:eastAsia="Times New Roman"/>
          <w:noProof/>
        </w:rPr>
        <w:t xml:space="preserve">start the following aspects should be considered by Member States: </w:t>
      </w:r>
    </w:p>
    <w:p w14:paraId="52399D99" w14:textId="656DA541" w:rsidR="76CCDF52" w:rsidRDefault="029F16EF" w:rsidP="00053713">
      <w:pPr>
        <w:pStyle w:val="ListParagraph"/>
        <w:numPr>
          <w:ilvl w:val="0"/>
          <w:numId w:val="181"/>
        </w:numPr>
        <w:spacing w:line="240" w:lineRule="auto"/>
        <w:rPr>
          <w:rFonts w:eastAsia="Times New Roman"/>
          <w:noProof/>
        </w:rPr>
      </w:pPr>
      <w:r w:rsidRPr="23503B0D">
        <w:rPr>
          <w:rFonts w:eastAsia="Times New Roman"/>
          <w:noProof/>
        </w:rPr>
        <w:t xml:space="preserve">Sufficient coverage by fibre networks in a given area [ indicative 95%] </w:t>
      </w:r>
    </w:p>
    <w:p w14:paraId="6321F491" w14:textId="3135C8B2" w:rsidR="76CCDF52" w:rsidRDefault="029F16EF" w:rsidP="00053713">
      <w:pPr>
        <w:pStyle w:val="ListParagraph"/>
        <w:numPr>
          <w:ilvl w:val="0"/>
          <w:numId w:val="181"/>
        </w:numPr>
        <w:spacing w:line="240" w:lineRule="auto"/>
        <w:rPr>
          <w:rFonts w:eastAsia="Times New Roman"/>
          <w:noProof/>
        </w:rPr>
      </w:pPr>
      <w:r w:rsidRPr="23503B0D">
        <w:rPr>
          <w:rFonts w:eastAsia="Times New Roman"/>
          <w:noProof/>
        </w:rPr>
        <w:t xml:space="preserve">Ensuring affordability through comparable prices for comparable services </w:t>
      </w:r>
    </w:p>
    <w:p w14:paraId="513D44EE" w14:textId="7780E747" w:rsidR="76CCDF52" w:rsidRDefault="7038DF77" w:rsidP="00053713">
      <w:pPr>
        <w:pStyle w:val="ListParagraph"/>
        <w:numPr>
          <w:ilvl w:val="0"/>
          <w:numId w:val="181"/>
        </w:numPr>
        <w:spacing w:line="240" w:lineRule="auto"/>
        <w:rPr>
          <w:rFonts w:eastAsia="Times New Roman"/>
          <w:noProof/>
        </w:rPr>
      </w:pPr>
      <w:r w:rsidRPr="24E057E8">
        <w:rPr>
          <w:rFonts w:eastAsia="Times New Roman"/>
          <w:noProof/>
        </w:rPr>
        <w:t>Ensur</w:t>
      </w:r>
      <w:r w:rsidR="638DB582" w:rsidRPr="24E057E8">
        <w:rPr>
          <w:rFonts w:eastAsia="Times New Roman"/>
          <w:noProof/>
        </w:rPr>
        <w:t>ing</w:t>
      </w:r>
      <w:r w:rsidRPr="23503B0D">
        <w:rPr>
          <w:rFonts w:eastAsia="Times New Roman"/>
          <w:noProof/>
        </w:rPr>
        <w:t xml:space="preserve"> that </w:t>
      </w:r>
      <w:r w:rsidR="029F16EF" w:rsidRPr="23503B0D">
        <w:rPr>
          <w:rFonts w:eastAsia="Times New Roman"/>
          <w:noProof/>
        </w:rPr>
        <w:t>appropriate</w:t>
      </w:r>
      <w:r w:rsidR="79DF749F" w:rsidRPr="23503B0D">
        <w:rPr>
          <w:rFonts w:eastAsia="Times New Roman"/>
          <w:noProof/>
        </w:rPr>
        <w:t xml:space="preserve"> safeguards, including </w:t>
      </w:r>
      <w:r w:rsidRPr="23503B0D">
        <w:rPr>
          <w:rFonts w:eastAsia="Times New Roman"/>
          <w:noProof/>
        </w:rPr>
        <w:t>alternative solutions</w:t>
      </w:r>
      <w:r w:rsidR="0DCB236D" w:rsidRPr="23503B0D">
        <w:rPr>
          <w:rFonts w:eastAsia="Times New Roman"/>
          <w:noProof/>
        </w:rPr>
        <w:t>,</w:t>
      </w:r>
      <w:r w:rsidRPr="23503B0D">
        <w:rPr>
          <w:rFonts w:eastAsia="Times New Roman"/>
          <w:noProof/>
        </w:rPr>
        <w:t xml:space="preserve"> for vulnerable customers are in place</w:t>
      </w:r>
      <w:r w:rsidR="4A6010BA" w:rsidRPr="6400F793">
        <w:rPr>
          <w:rFonts w:eastAsia="Times New Roman"/>
          <w:noProof/>
        </w:rPr>
        <w:t>.</w:t>
      </w:r>
    </w:p>
    <w:p w14:paraId="0F62B7C2" w14:textId="6A4C1E06" w:rsidR="76CCDF52" w:rsidRDefault="029F16EF" w:rsidP="00053713">
      <w:pPr>
        <w:spacing w:line="240" w:lineRule="auto"/>
        <w:rPr>
          <w:rFonts w:eastAsia="Times New Roman"/>
          <w:noProof/>
        </w:rPr>
      </w:pPr>
      <w:r w:rsidRPr="23503B0D">
        <w:rPr>
          <w:rFonts w:eastAsia="Times New Roman"/>
          <w:noProof/>
        </w:rPr>
        <w:t xml:space="preserve">The first two aspects are addressed via the </w:t>
      </w:r>
      <w:r w:rsidRPr="6400F793">
        <w:rPr>
          <w:rFonts w:eastAsia="Times New Roman"/>
          <w:noProof/>
        </w:rPr>
        <w:t>conditions</w:t>
      </w:r>
      <w:r w:rsidR="64F07AC3" w:rsidRPr="6400F793">
        <w:rPr>
          <w:rFonts w:eastAsia="Times New Roman"/>
          <w:noProof/>
        </w:rPr>
        <w:t xml:space="preserve"> (“</w:t>
      </w:r>
      <w:r w:rsidRPr="23503B0D">
        <w:rPr>
          <w:rFonts w:eastAsia="Times New Roman"/>
          <w:noProof/>
        </w:rPr>
        <w:t>sustainability conditions</w:t>
      </w:r>
      <w:r w:rsidR="64F07AC3" w:rsidRPr="6400F793">
        <w:rPr>
          <w:rFonts w:eastAsia="Times New Roman"/>
          <w:noProof/>
        </w:rPr>
        <w:t>”)</w:t>
      </w:r>
      <w:r w:rsidRPr="6400F793">
        <w:rPr>
          <w:rFonts w:eastAsia="Times New Roman"/>
          <w:noProof/>
        </w:rPr>
        <w:t>,</w:t>
      </w:r>
      <w:r w:rsidRPr="23503B0D">
        <w:rPr>
          <w:rFonts w:eastAsia="Times New Roman"/>
          <w:noProof/>
        </w:rPr>
        <w:t xml:space="preserve"> that are requirements for the copper switch off to start. The third aspect will be addressed via additional safeguards and measures that will be set by NRAs or other national authorities. </w:t>
      </w:r>
    </w:p>
    <w:p w14:paraId="5788C00F" w14:textId="0F0E2B69" w:rsidR="76CCDF52" w:rsidRDefault="029F16EF" w:rsidP="00053713">
      <w:pPr>
        <w:spacing w:line="240" w:lineRule="auto"/>
        <w:rPr>
          <w:rFonts w:eastAsia="Times New Roman"/>
          <w:noProof/>
        </w:rPr>
      </w:pPr>
      <w:r w:rsidRPr="23503B0D">
        <w:rPr>
          <w:rFonts w:eastAsia="Times New Roman"/>
          <w:noProof/>
        </w:rPr>
        <w:t xml:space="preserve">By 2035 </w:t>
      </w:r>
      <w:r w:rsidRPr="079476FD">
        <w:rPr>
          <w:rFonts w:eastAsia="Times New Roman"/>
          <w:noProof/>
        </w:rPr>
        <w:t>M</w:t>
      </w:r>
      <w:r w:rsidR="360F5F5B" w:rsidRPr="079476FD">
        <w:rPr>
          <w:rFonts w:eastAsia="Times New Roman"/>
          <w:noProof/>
        </w:rPr>
        <w:t>ember</w:t>
      </w:r>
      <w:r w:rsidRPr="23503B0D">
        <w:rPr>
          <w:rFonts w:eastAsia="Times New Roman"/>
          <w:noProof/>
        </w:rPr>
        <w:t xml:space="preserve"> </w:t>
      </w:r>
      <w:r w:rsidR="360F5F5B" w:rsidRPr="3B6B215F">
        <w:rPr>
          <w:rFonts w:eastAsia="Times New Roman"/>
          <w:noProof/>
        </w:rPr>
        <w:t>States</w:t>
      </w:r>
      <w:r w:rsidRPr="3B6B215F">
        <w:rPr>
          <w:rFonts w:eastAsia="Times New Roman"/>
          <w:noProof/>
        </w:rPr>
        <w:t xml:space="preserve"> </w:t>
      </w:r>
      <w:r w:rsidRPr="23503B0D">
        <w:rPr>
          <w:rFonts w:eastAsia="Times New Roman"/>
          <w:noProof/>
        </w:rPr>
        <w:t>should review the fulfilment of the Transition to Fibr</w:t>
      </w:r>
      <w:r w:rsidR="006F0D55">
        <w:rPr>
          <w:rFonts w:eastAsia="Times New Roman"/>
          <w:noProof/>
        </w:rPr>
        <w:t>e</w:t>
      </w:r>
      <w:r w:rsidRPr="23503B0D">
        <w:rPr>
          <w:rFonts w:eastAsia="Times New Roman"/>
          <w:noProof/>
        </w:rPr>
        <w:t xml:space="preserve"> </w:t>
      </w:r>
      <w:r w:rsidR="36E09BBC" w:rsidRPr="47CD2C45">
        <w:rPr>
          <w:rFonts w:eastAsia="Times New Roman"/>
          <w:noProof/>
        </w:rPr>
        <w:t>P</w:t>
      </w:r>
      <w:r w:rsidRPr="23503B0D">
        <w:rPr>
          <w:rFonts w:eastAsia="Times New Roman"/>
          <w:noProof/>
        </w:rPr>
        <w:t xml:space="preserve">lan and transmit it for Commission’s scrutiny. </w:t>
      </w:r>
      <w:r w:rsidRPr="11A2C558">
        <w:rPr>
          <w:rFonts w:eastAsia="Times New Roman"/>
          <w:noProof/>
        </w:rPr>
        <w:t xml:space="preserve">In </w:t>
      </w:r>
      <w:r w:rsidR="0DA4BFD0" w:rsidRPr="11A2C558">
        <w:rPr>
          <w:rFonts w:eastAsia="Times New Roman"/>
          <w:noProof/>
        </w:rPr>
        <w:t>the review</w:t>
      </w:r>
      <w:r w:rsidR="54DE482D" w:rsidRPr="47CD2C45">
        <w:rPr>
          <w:rFonts w:eastAsia="Times New Roman"/>
          <w:noProof/>
        </w:rPr>
        <w:t xml:space="preserve"> Member States </w:t>
      </w:r>
      <w:r w:rsidRPr="23503B0D">
        <w:rPr>
          <w:rFonts w:eastAsia="Times New Roman"/>
          <w:noProof/>
        </w:rPr>
        <w:t>should</w:t>
      </w:r>
      <w:r w:rsidR="13ECD3BC" w:rsidRPr="11A2C558">
        <w:rPr>
          <w:rFonts w:eastAsia="Times New Roman"/>
          <w:noProof/>
        </w:rPr>
        <w:t xml:space="preserve">, in </w:t>
      </w:r>
      <w:r w:rsidR="13ECD3BC" w:rsidRPr="165CFC20">
        <w:rPr>
          <w:rFonts w:eastAsia="Times New Roman"/>
          <w:noProof/>
        </w:rPr>
        <w:t>particular</w:t>
      </w:r>
      <w:r w:rsidR="41EDEF73" w:rsidRPr="3B6B215F">
        <w:rPr>
          <w:rFonts w:eastAsia="Times New Roman"/>
          <w:noProof/>
        </w:rPr>
        <w:t>:</w:t>
      </w:r>
    </w:p>
    <w:p w14:paraId="4A71E065" w14:textId="226BB52F" w:rsidR="76CCDF52" w:rsidRDefault="029F16EF" w:rsidP="00053713">
      <w:pPr>
        <w:pStyle w:val="ListParagraph"/>
        <w:numPr>
          <w:ilvl w:val="0"/>
          <w:numId w:val="180"/>
        </w:numPr>
        <w:spacing w:line="240" w:lineRule="auto"/>
        <w:rPr>
          <w:rFonts w:eastAsia="Times New Roman"/>
          <w:noProof/>
        </w:rPr>
      </w:pPr>
      <w:r w:rsidRPr="23503B0D">
        <w:rPr>
          <w:rFonts w:eastAsia="Times New Roman"/>
          <w:noProof/>
        </w:rPr>
        <w:t xml:space="preserve">ensure that in all the areas of the country where the </w:t>
      </w:r>
      <w:r w:rsidR="65737D22" w:rsidRPr="6EE90DAB">
        <w:rPr>
          <w:rFonts w:eastAsia="Times New Roman"/>
          <w:noProof/>
        </w:rPr>
        <w:t xml:space="preserve">copper switch off </w:t>
      </w:r>
      <w:r w:rsidRPr="23503B0D">
        <w:rPr>
          <w:rFonts w:eastAsia="Times New Roman"/>
          <w:noProof/>
        </w:rPr>
        <w:t>started, it is completed asap, and</w:t>
      </w:r>
    </w:p>
    <w:p w14:paraId="16E47C61" w14:textId="754E21A8" w:rsidR="76CCDF52" w:rsidRPr="004267B2" w:rsidRDefault="3B0B5F78" w:rsidP="00053713">
      <w:pPr>
        <w:pStyle w:val="ListParagraph"/>
        <w:numPr>
          <w:ilvl w:val="0"/>
          <w:numId w:val="180"/>
        </w:numPr>
        <w:spacing w:line="240" w:lineRule="auto"/>
        <w:rPr>
          <w:rFonts w:eastAsia="Times New Roman"/>
          <w:noProof/>
        </w:rPr>
      </w:pPr>
      <w:r w:rsidRPr="1FC0981F">
        <w:rPr>
          <w:rFonts w:eastAsia="Times New Roman"/>
          <w:noProof/>
        </w:rPr>
        <w:t>for</w:t>
      </w:r>
      <w:r w:rsidR="029F16EF" w:rsidRPr="23503B0D">
        <w:rPr>
          <w:rFonts w:eastAsia="Times New Roman"/>
          <w:noProof/>
        </w:rPr>
        <w:t xml:space="preserve"> all remaining areas where </w:t>
      </w:r>
      <w:r w:rsidR="003318B0" w:rsidRPr="23503B0D">
        <w:rPr>
          <w:rFonts w:eastAsia="Times New Roman"/>
          <w:noProof/>
        </w:rPr>
        <w:t>fibre</w:t>
      </w:r>
      <w:r w:rsidR="029F16EF" w:rsidRPr="23503B0D">
        <w:rPr>
          <w:rFonts w:eastAsia="Times New Roman"/>
          <w:noProof/>
        </w:rPr>
        <w:t xml:space="preserve"> deployment is not viable (e.g. remote areas geographically difficult to reach</w:t>
      </w:r>
      <w:r w:rsidR="029F16EF" w:rsidRPr="165CFC20">
        <w:rPr>
          <w:rFonts w:eastAsia="Times New Roman"/>
          <w:noProof/>
        </w:rPr>
        <w:t>)</w:t>
      </w:r>
      <w:r w:rsidR="3597F374" w:rsidRPr="165CFC20">
        <w:rPr>
          <w:rFonts w:eastAsia="Times New Roman"/>
          <w:noProof/>
        </w:rPr>
        <w:t>,</w:t>
      </w:r>
      <w:r w:rsidR="029F16EF" w:rsidRPr="23503B0D">
        <w:rPr>
          <w:rFonts w:eastAsia="Times New Roman"/>
          <w:noProof/>
        </w:rPr>
        <w:t xml:space="preserve"> explain the reasons for the exceptions and provide alternative connectivity solutions for customers in these areas.   </w:t>
      </w:r>
    </w:p>
    <w:p w14:paraId="033D8FBD" w14:textId="7AE2FD71" w:rsidR="76CCDF52" w:rsidRDefault="029F16EF" w:rsidP="00053713">
      <w:pPr>
        <w:spacing w:line="240" w:lineRule="auto"/>
        <w:rPr>
          <w:rFonts w:eastAsia="Times New Roman"/>
          <w:noProof/>
        </w:rPr>
      </w:pPr>
      <w:r w:rsidRPr="23503B0D">
        <w:rPr>
          <w:rFonts w:eastAsia="Times New Roman"/>
          <w:noProof/>
        </w:rPr>
        <w:t>NRAs will also be required to contribute to the process by (i) gathering data on network coverage that will be the input for the Transition</w:t>
      </w:r>
      <w:r w:rsidR="4DCD18FB" w:rsidRPr="1D4FEB9C">
        <w:rPr>
          <w:rFonts w:eastAsia="Times New Roman"/>
          <w:noProof/>
        </w:rPr>
        <w:t xml:space="preserve"> to</w:t>
      </w:r>
      <w:r w:rsidRPr="23503B0D">
        <w:rPr>
          <w:rFonts w:eastAsia="Times New Roman"/>
          <w:noProof/>
        </w:rPr>
        <w:t xml:space="preserve"> </w:t>
      </w:r>
      <w:r w:rsidR="4DCD18FB" w:rsidRPr="678B640F">
        <w:rPr>
          <w:rFonts w:eastAsia="Times New Roman"/>
          <w:noProof/>
        </w:rPr>
        <w:t>Fibr</w:t>
      </w:r>
      <w:r w:rsidR="006F0D55">
        <w:rPr>
          <w:rFonts w:eastAsia="Times New Roman"/>
          <w:noProof/>
        </w:rPr>
        <w:t>e</w:t>
      </w:r>
      <w:r w:rsidRPr="23503B0D">
        <w:rPr>
          <w:rFonts w:eastAsia="Times New Roman"/>
          <w:noProof/>
        </w:rPr>
        <w:t xml:space="preserve"> Plan; (ii) producing the lists of areas for CSO, based on Commission’s guidance on the definition of these areas to be issued shortly after adoption of the DNA; (iii) advising national authorities for the preparation of the Fibr</w:t>
      </w:r>
      <w:r w:rsidR="006F0D55">
        <w:rPr>
          <w:rFonts w:eastAsia="Times New Roman"/>
          <w:noProof/>
        </w:rPr>
        <w:t>e</w:t>
      </w:r>
      <w:r w:rsidRPr="23503B0D">
        <w:rPr>
          <w:rFonts w:eastAsia="Times New Roman"/>
          <w:noProof/>
        </w:rPr>
        <w:t xml:space="preserve"> </w:t>
      </w:r>
      <w:r w:rsidR="57D298AA" w:rsidRPr="082C41C1">
        <w:rPr>
          <w:rFonts w:eastAsia="Times New Roman"/>
          <w:noProof/>
        </w:rPr>
        <w:t>Transition Plan</w:t>
      </w:r>
      <w:r w:rsidRPr="23503B0D">
        <w:rPr>
          <w:rFonts w:eastAsia="Times New Roman"/>
          <w:noProof/>
        </w:rPr>
        <w:t xml:space="preserve">; (iv) conducting market reviews, </w:t>
      </w:r>
      <w:r w:rsidR="1ACEF917" w:rsidRPr="6EE90DAB">
        <w:rPr>
          <w:rFonts w:eastAsia="Times New Roman"/>
          <w:noProof/>
        </w:rPr>
        <w:t xml:space="preserve">in the context of </w:t>
      </w:r>
      <w:r w:rsidRPr="23503B0D">
        <w:rPr>
          <w:rFonts w:eastAsia="Times New Roman"/>
          <w:noProof/>
        </w:rPr>
        <w:t>the national authorities’ decision to order the switch off of copper networks, and adopting remedies as needed</w:t>
      </w:r>
      <w:r w:rsidR="00E65817" w:rsidRPr="006E27E1">
        <w:rPr>
          <w:rFonts w:eastAsia="Times New Roman"/>
          <w:noProof/>
          <w:lang w:val="en-IE"/>
        </w:rPr>
        <w:t xml:space="preserve">, </w:t>
      </w:r>
      <w:r w:rsidR="00E65817">
        <w:rPr>
          <w:rFonts w:eastAsia="Times New Roman"/>
          <w:noProof/>
          <w:lang w:val="en-IE"/>
        </w:rPr>
        <w:t>and</w:t>
      </w:r>
      <w:r w:rsidRPr="23503B0D">
        <w:rPr>
          <w:rFonts w:eastAsia="Times New Roman"/>
          <w:noProof/>
        </w:rPr>
        <w:t xml:space="preserve"> (v) review the switch off plans of the operators and oversee the migration process. </w:t>
      </w:r>
    </w:p>
    <w:p w14:paraId="209DD2C4" w14:textId="6400B753" w:rsidR="382B9642" w:rsidRDefault="008A3CF0" w:rsidP="00053713">
      <w:pPr>
        <w:spacing w:line="240" w:lineRule="auto"/>
        <w:rPr>
          <w:rFonts w:eastAsia="Times New Roman"/>
          <w:noProof/>
        </w:rPr>
      </w:pPr>
      <w:r w:rsidRPr="00DE264C">
        <w:rPr>
          <w:rFonts w:eastAsia="Times New Roman"/>
          <w:noProof/>
          <w:u w:val="single"/>
        </w:rPr>
        <w:t>For access</w:t>
      </w:r>
      <w:r w:rsidR="00C3517C" w:rsidRPr="00DE264C">
        <w:rPr>
          <w:rFonts w:eastAsia="Times New Roman"/>
          <w:noProof/>
          <w:u w:val="single"/>
        </w:rPr>
        <w:t xml:space="preserve"> regulation</w:t>
      </w:r>
      <w:r w:rsidRPr="00DE264C">
        <w:rPr>
          <w:rFonts w:eastAsia="Times New Roman"/>
          <w:noProof/>
        </w:rPr>
        <w:t xml:space="preserve">, this option provides greater </w:t>
      </w:r>
      <w:r w:rsidR="008933BF" w:rsidRPr="00DE264C">
        <w:rPr>
          <w:rFonts w:eastAsia="Times New Roman"/>
          <w:noProof/>
        </w:rPr>
        <w:t>flexibility</w:t>
      </w:r>
      <w:r w:rsidR="2B8DBF92" w:rsidRPr="00DE264C">
        <w:rPr>
          <w:rFonts w:eastAsia="Times New Roman"/>
          <w:noProof/>
        </w:rPr>
        <w:t xml:space="preserve"> </w:t>
      </w:r>
      <w:r w:rsidRPr="00DE264C">
        <w:rPr>
          <w:rFonts w:eastAsia="Times New Roman"/>
          <w:noProof/>
        </w:rPr>
        <w:t>in the application of ex ante regulation</w:t>
      </w:r>
      <w:r w:rsidR="77981CA1" w:rsidRPr="00DE264C">
        <w:rPr>
          <w:rFonts w:eastAsia="Times New Roman"/>
          <w:noProof/>
        </w:rPr>
        <w:t xml:space="preserve"> by providing NRAs with more tools to be used depending on </w:t>
      </w:r>
      <w:r w:rsidR="77981CA1" w:rsidRPr="254FDECC">
        <w:rPr>
          <w:rFonts w:eastAsia="Times New Roman"/>
          <w:noProof/>
        </w:rPr>
        <w:t xml:space="preserve">the </w:t>
      </w:r>
      <w:r w:rsidR="0035594E" w:rsidRPr="00DE264C">
        <w:rPr>
          <w:rFonts w:eastAsia="Times New Roman"/>
          <w:noProof/>
        </w:rPr>
        <w:t>features</w:t>
      </w:r>
      <w:r w:rsidR="77981CA1" w:rsidRPr="00DE264C">
        <w:rPr>
          <w:rFonts w:eastAsia="Times New Roman"/>
          <w:noProof/>
        </w:rPr>
        <w:t xml:space="preserve"> of the market</w:t>
      </w:r>
      <w:r w:rsidRPr="254FDECC">
        <w:rPr>
          <w:rFonts w:eastAsia="Times New Roman"/>
          <w:noProof/>
        </w:rPr>
        <w:t>.</w:t>
      </w:r>
      <w:r w:rsidRPr="00DE264C">
        <w:rPr>
          <w:rFonts w:eastAsia="Times New Roman"/>
          <w:noProof/>
        </w:rPr>
        <w:t xml:space="preserve"> </w:t>
      </w:r>
    </w:p>
    <w:p w14:paraId="7BC93F70" w14:textId="38F0D8B1" w:rsidR="008A3CF0" w:rsidRPr="00DE264C" w:rsidRDefault="002E274C" w:rsidP="00053713">
      <w:pPr>
        <w:spacing w:line="240" w:lineRule="auto"/>
        <w:rPr>
          <w:rFonts w:eastAsia="Times New Roman"/>
          <w:noProof/>
        </w:rPr>
      </w:pPr>
      <w:r>
        <w:rPr>
          <w:rFonts w:eastAsia="Times New Roman"/>
          <w:noProof/>
        </w:rPr>
        <w:t>T</w:t>
      </w:r>
      <w:r w:rsidR="00E628D5">
        <w:rPr>
          <w:rFonts w:eastAsia="Times New Roman"/>
          <w:noProof/>
        </w:rPr>
        <w:t>he</w:t>
      </w:r>
      <w:r w:rsidR="0077687D">
        <w:rPr>
          <w:rFonts w:eastAsia="Times New Roman"/>
          <w:noProof/>
        </w:rPr>
        <w:t xml:space="preserve"> </w:t>
      </w:r>
      <w:r w:rsidR="00752D7F">
        <w:rPr>
          <w:rFonts w:eastAsia="Times New Roman"/>
          <w:noProof/>
        </w:rPr>
        <w:t xml:space="preserve">NRAs should first </w:t>
      </w:r>
      <w:r w:rsidR="00320102">
        <w:rPr>
          <w:rFonts w:eastAsia="Times New Roman"/>
          <w:noProof/>
        </w:rPr>
        <w:t>analyse whether the existing symmetric regulation (GIA)</w:t>
      </w:r>
      <w:r w:rsidR="009662CD">
        <w:rPr>
          <w:rFonts w:eastAsia="Times New Roman"/>
          <w:noProof/>
        </w:rPr>
        <w:t xml:space="preserve"> would be sufficient to </w:t>
      </w:r>
      <w:r w:rsidR="004A5143">
        <w:rPr>
          <w:rFonts w:eastAsia="Times New Roman"/>
          <w:noProof/>
        </w:rPr>
        <w:t>address the identified problems.</w:t>
      </w:r>
      <w:r>
        <w:rPr>
          <w:rFonts w:eastAsia="Times New Roman"/>
          <w:noProof/>
        </w:rPr>
        <w:t xml:space="preserve"> </w:t>
      </w:r>
      <w:r w:rsidR="004A5143">
        <w:rPr>
          <w:rFonts w:eastAsia="Times New Roman"/>
          <w:noProof/>
        </w:rPr>
        <w:t xml:space="preserve">In the next step, if GIA is not sufficient, the </w:t>
      </w:r>
      <w:r w:rsidR="00E22398">
        <w:rPr>
          <w:rFonts w:eastAsia="Times New Roman"/>
          <w:noProof/>
        </w:rPr>
        <w:t>NRAs</w:t>
      </w:r>
      <w:r w:rsidR="008A3CF0" w:rsidRPr="00DE264C">
        <w:rPr>
          <w:rFonts w:eastAsia="Times New Roman"/>
          <w:noProof/>
        </w:rPr>
        <w:t xml:space="preserve"> could decide to apply SMP regulation or the symmetric rules under Article</w:t>
      </w:r>
      <w:r w:rsidR="00A907F2">
        <w:rPr>
          <w:rFonts w:eastAsia="Times New Roman"/>
          <w:noProof/>
        </w:rPr>
        <w:t> </w:t>
      </w:r>
      <w:r w:rsidR="008A3CF0" w:rsidRPr="00DE264C">
        <w:rPr>
          <w:rFonts w:eastAsia="Times New Roman"/>
          <w:noProof/>
        </w:rPr>
        <w:t xml:space="preserve">61(3), depending on what is most appropriate to address the identified competition </w:t>
      </w:r>
      <w:r w:rsidR="009749FC" w:rsidRPr="0A65545A">
        <w:rPr>
          <w:rFonts w:eastAsia="Times New Roman"/>
          <w:noProof/>
        </w:rPr>
        <w:t>problems</w:t>
      </w:r>
      <w:r w:rsidR="52E64674" w:rsidRPr="0A65545A">
        <w:rPr>
          <w:rFonts w:eastAsia="Times New Roman"/>
          <w:noProof/>
        </w:rPr>
        <w:t xml:space="preserve"> </w:t>
      </w:r>
      <w:r w:rsidR="7B6A3E85" w:rsidRPr="00DE264C">
        <w:rPr>
          <w:rFonts w:eastAsia="Times New Roman"/>
          <w:noProof/>
        </w:rPr>
        <w:t xml:space="preserve">in a given area. </w:t>
      </w:r>
      <w:r w:rsidR="0084180B">
        <w:rPr>
          <w:rFonts w:eastAsia="Times New Roman"/>
          <w:noProof/>
        </w:rPr>
        <w:t xml:space="preserve">In this option the </w:t>
      </w:r>
      <w:r w:rsidR="004E4BD8">
        <w:rPr>
          <w:rFonts w:eastAsia="Times New Roman"/>
          <w:noProof/>
        </w:rPr>
        <w:t xml:space="preserve">application of the symmetric rules is broader than in option 1 as it </w:t>
      </w:r>
      <w:r w:rsidR="00E908C7">
        <w:rPr>
          <w:rFonts w:eastAsia="Times New Roman"/>
          <w:noProof/>
        </w:rPr>
        <w:t xml:space="preserve">covers not only the possibility to impose access to in-building wiring but also access </w:t>
      </w:r>
      <w:r w:rsidR="00DB07E4">
        <w:rPr>
          <w:rFonts w:eastAsia="Times New Roman"/>
          <w:noProof/>
        </w:rPr>
        <w:t>beyond the building if the criteria of Article</w:t>
      </w:r>
      <w:r w:rsidR="00A907F2">
        <w:rPr>
          <w:rFonts w:eastAsia="Times New Roman"/>
          <w:noProof/>
        </w:rPr>
        <w:t> </w:t>
      </w:r>
      <w:r w:rsidR="00DB07E4">
        <w:rPr>
          <w:rFonts w:eastAsia="Times New Roman"/>
          <w:noProof/>
        </w:rPr>
        <w:t>61(3) EECC (</w:t>
      </w:r>
      <w:r w:rsidR="00DE3B25">
        <w:rPr>
          <w:rFonts w:eastAsia="Times New Roman"/>
          <w:noProof/>
        </w:rPr>
        <w:t xml:space="preserve">high and non-transitory </w:t>
      </w:r>
      <w:r w:rsidR="00DB07E4">
        <w:rPr>
          <w:rFonts w:eastAsia="Times New Roman"/>
          <w:noProof/>
        </w:rPr>
        <w:t>barriers to replicability</w:t>
      </w:r>
      <w:r w:rsidR="00DE3B25">
        <w:rPr>
          <w:rFonts w:eastAsia="Times New Roman"/>
          <w:noProof/>
        </w:rPr>
        <w:t>) are met.</w:t>
      </w:r>
      <w:r w:rsidR="7B6A3E85" w:rsidRPr="00DE264C">
        <w:rPr>
          <w:rFonts w:eastAsia="Times New Roman"/>
          <w:noProof/>
        </w:rPr>
        <w:t xml:space="preserve"> </w:t>
      </w:r>
      <w:r w:rsidR="00DA64E9">
        <w:rPr>
          <w:rFonts w:eastAsia="Times New Roman"/>
          <w:noProof/>
        </w:rPr>
        <w:t>A</w:t>
      </w:r>
      <w:r w:rsidR="675D96EF" w:rsidRPr="00DE264C">
        <w:rPr>
          <w:rFonts w:eastAsia="Times New Roman"/>
          <w:noProof/>
        </w:rPr>
        <w:t xml:space="preserve">ccess to </w:t>
      </w:r>
      <w:r w:rsidR="008A3CF0" w:rsidRPr="00DE264C">
        <w:rPr>
          <w:rFonts w:eastAsia="Times New Roman"/>
          <w:noProof/>
        </w:rPr>
        <w:t>the in-</w:t>
      </w:r>
      <w:r w:rsidR="003C1ED2" w:rsidRPr="00DE264C">
        <w:rPr>
          <w:rFonts w:eastAsia="Times New Roman"/>
          <w:noProof/>
        </w:rPr>
        <w:t>building</w:t>
      </w:r>
      <w:r w:rsidR="008A3CF0" w:rsidRPr="00DE264C">
        <w:rPr>
          <w:rFonts w:eastAsia="Times New Roman"/>
          <w:noProof/>
        </w:rPr>
        <w:t xml:space="preserve"> wiring part </w:t>
      </w:r>
      <w:r w:rsidR="00DA64E9">
        <w:rPr>
          <w:rFonts w:eastAsia="Times New Roman"/>
          <w:noProof/>
        </w:rPr>
        <w:t>would be imposed upon request whereas</w:t>
      </w:r>
      <w:r w:rsidR="008A3CF0" w:rsidRPr="00DE264C" w:rsidDel="00DA64E9">
        <w:rPr>
          <w:rFonts w:eastAsia="Times New Roman"/>
          <w:noProof/>
        </w:rPr>
        <w:t xml:space="preserve"> </w:t>
      </w:r>
      <w:r w:rsidR="008A3CF0" w:rsidRPr="00DE264C">
        <w:rPr>
          <w:rFonts w:eastAsia="Times New Roman"/>
          <w:noProof/>
        </w:rPr>
        <w:t>access provided beyond in-</w:t>
      </w:r>
      <w:r w:rsidR="00F710DC" w:rsidRPr="00DE264C">
        <w:rPr>
          <w:rFonts w:eastAsia="Times New Roman"/>
          <w:noProof/>
        </w:rPr>
        <w:t xml:space="preserve"> building </w:t>
      </w:r>
      <w:r w:rsidR="008A3CF0" w:rsidRPr="00DE264C">
        <w:rPr>
          <w:rFonts w:eastAsia="Times New Roman"/>
          <w:noProof/>
        </w:rPr>
        <w:t xml:space="preserve">wiring </w:t>
      </w:r>
      <w:r w:rsidR="009552A3" w:rsidRPr="00DE264C">
        <w:rPr>
          <w:rFonts w:eastAsia="Times New Roman"/>
          <w:noProof/>
        </w:rPr>
        <w:t>c</w:t>
      </w:r>
      <w:r w:rsidR="008A3CF0" w:rsidRPr="00DE264C">
        <w:rPr>
          <w:rFonts w:eastAsia="Times New Roman"/>
          <w:noProof/>
        </w:rPr>
        <w:t>ould be imposed ex-officio (and not by request as it is currently the case)</w:t>
      </w:r>
      <w:r w:rsidR="35E3184D" w:rsidRPr="00DE264C">
        <w:rPr>
          <w:rFonts w:eastAsia="Times New Roman"/>
          <w:noProof/>
        </w:rPr>
        <w:t xml:space="preserve"> to facilitate deployment and to tackle more localised competition concerns</w:t>
      </w:r>
      <w:r w:rsidR="008A3CF0" w:rsidRPr="12F6C98C">
        <w:rPr>
          <w:rFonts w:eastAsia="Times New Roman"/>
          <w:noProof/>
        </w:rPr>
        <w:t>.</w:t>
      </w:r>
      <w:r w:rsidR="008A3CF0" w:rsidRPr="12F6C98C" w:rsidDel="008A3CF0">
        <w:rPr>
          <w:rFonts w:eastAsia="Times New Roman"/>
          <w:noProof/>
        </w:rPr>
        <w:t xml:space="preserve"> </w:t>
      </w:r>
    </w:p>
    <w:p w14:paraId="3E836AC5" w14:textId="3F34EAC3" w:rsidR="008A3CF0" w:rsidRPr="00DE264C" w:rsidRDefault="008A3CF0" w:rsidP="00053713">
      <w:pPr>
        <w:spacing w:line="240" w:lineRule="auto"/>
        <w:rPr>
          <w:rFonts w:eastAsia="Times New Roman"/>
          <w:noProof/>
        </w:rPr>
      </w:pPr>
      <w:r w:rsidRPr="00DE264C">
        <w:rPr>
          <w:rFonts w:eastAsia="Times New Roman"/>
          <w:noProof/>
        </w:rPr>
        <w:t>The approach to geographic surveys would be expanded, requiring NRAs to gather data on retail markets and the underlying infrastructure periodically. Th</w:t>
      </w:r>
      <w:r w:rsidR="00D56483" w:rsidRPr="00DE264C">
        <w:rPr>
          <w:rFonts w:eastAsia="Times New Roman"/>
          <w:noProof/>
        </w:rPr>
        <w:t>is</w:t>
      </w:r>
      <w:r w:rsidRPr="00DE264C">
        <w:rPr>
          <w:rFonts w:eastAsia="Times New Roman"/>
          <w:noProof/>
        </w:rPr>
        <w:t xml:space="preserve"> data </w:t>
      </w:r>
      <w:r w:rsidR="00D56483" w:rsidRPr="00DE264C">
        <w:rPr>
          <w:rFonts w:eastAsia="Times New Roman"/>
          <w:noProof/>
        </w:rPr>
        <w:t>will</w:t>
      </w:r>
      <w:r w:rsidRPr="00DE264C">
        <w:rPr>
          <w:rFonts w:eastAsia="Times New Roman"/>
          <w:noProof/>
        </w:rPr>
        <w:t xml:space="preserve"> be important for NRAs to assess the market conditions and decide whether ex ante intervention is required. </w:t>
      </w:r>
    </w:p>
    <w:p w14:paraId="1F4B3CD9" w14:textId="7DE9D472" w:rsidR="008A3CF0" w:rsidRPr="00DE264C" w:rsidRDefault="008A3CF0" w:rsidP="00053713">
      <w:pPr>
        <w:spacing w:line="240" w:lineRule="auto"/>
        <w:rPr>
          <w:rFonts w:eastAsia="Times New Roman"/>
          <w:noProof/>
          <w14:ligatures w14:val="standardContextual"/>
        </w:rPr>
      </w:pPr>
      <w:r w:rsidRPr="00DE264C">
        <w:rPr>
          <w:rFonts w:eastAsia="Times New Roman"/>
          <w:noProof/>
        </w:rPr>
        <w:t xml:space="preserve">To support the standardisation of wholesale offers, a list of essential wholesale products will be included in </w:t>
      </w:r>
      <w:r w:rsidR="073F7D89" w:rsidRPr="00DE264C">
        <w:rPr>
          <w:rFonts w:eastAsia="Times New Roman"/>
          <w:noProof/>
        </w:rPr>
        <w:t>the DNA</w:t>
      </w:r>
      <w:r w:rsidRPr="00DE264C">
        <w:rPr>
          <w:rFonts w:eastAsia="Times New Roman"/>
          <w:noProof/>
        </w:rPr>
        <w:t xml:space="preserve">, and the </w:t>
      </w:r>
      <w:r w:rsidR="0080323A">
        <w:rPr>
          <w:rFonts w:eastAsia="Times New Roman"/>
          <w:noProof/>
        </w:rPr>
        <w:t xml:space="preserve">Commission </w:t>
      </w:r>
      <w:r w:rsidRPr="00DE264C">
        <w:rPr>
          <w:rFonts w:eastAsia="Times New Roman"/>
          <w:noProof/>
        </w:rPr>
        <w:t xml:space="preserve">would have to adopt an Implementing Act to establish best practice specifications and/or to amend the list, following consultation with BEREC. </w:t>
      </w:r>
    </w:p>
    <w:p w14:paraId="1E6739B3" w14:textId="57A01C33" w:rsidR="000A6EE3" w:rsidRPr="00704437" w:rsidRDefault="008A3CF0" w:rsidP="00023AFB">
      <w:pPr>
        <w:spacing w:line="240" w:lineRule="auto"/>
        <w:rPr>
          <w:rFonts w:eastAsia="Times New Roman"/>
          <w:b/>
          <w:noProof/>
          <w14:ligatures w14:val="standardContextual"/>
        </w:rPr>
      </w:pPr>
      <w:r w:rsidRPr="00DE264C">
        <w:rPr>
          <w:rFonts w:eastAsia="Times New Roman"/>
          <w:b/>
          <w:bCs/>
          <w:noProof/>
        </w:rPr>
        <w:t>Option 3:</w:t>
      </w:r>
      <w:r w:rsidR="0025170C" w:rsidRPr="00292895">
        <w:rPr>
          <w:rFonts w:eastAsia="Times New Roman"/>
          <w:b/>
          <w:noProof/>
        </w:rPr>
        <w:t xml:space="preserve"> Market driven copper switch-off and bottleneck-based access regulation</w:t>
      </w:r>
      <w:r w:rsidRPr="00292895">
        <w:rPr>
          <w:rFonts w:eastAsia="Times New Roman"/>
          <w:b/>
          <w:noProof/>
        </w:rPr>
        <w:t xml:space="preserve"> </w:t>
      </w:r>
    </w:p>
    <w:p w14:paraId="1492A116" w14:textId="7AB38B75" w:rsidR="008A3CF0" w:rsidRPr="00DE264C" w:rsidRDefault="00A5212E" w:rsidP="00023AFB">
      <w:pPr>
        <w:spacing w:line="240" w:lineRule="auto"/>
        <w:rPr>
          <w:rFonts w:eastAsia="Times New Roman"/>
          <w:noProof/>
          <w14:ligatures w14:val="standardContextual"/>
        </w:rPr>
      </w:pPr>
      <w:r w:rsidRPr="00DE264C">
        <w:rPr>
          <w:rFonts w:eastAsia="Times New Roman"/>
          <w:noProof/>
          <w:u w:val="single"/>
        </w:rPr>
        <w:t>For copper switch-off,</w:t>
      </w:r>
      <w:r w:rsidRPr="00DE264C">
        <w:rPr>
          <w:rFonts w:eastAsia="Times New Roman"/>
          <w:noProof/>
        </w:rPr>
        <w:t xml:space="preserve"> </w:t>
      </w:r>
      <w:r>
        <w:rPr>
          <w:rFonts w:eastAsia="Times New Roman"/>
          <w:noProof/>
        </w:rPr>
        <w:t>t</w:t>
      </w:r>
      <w:r w:rsidR="008A3CF0" w:rsidRPr="00DE264C">
        <w:rPr>
          <w:rFonts w:eastAsia="Times New Roman"/>
          <w:noProof/>
        </w:rPr>
        <w:t xml:space="preserve">his option </w:t>
      </w:r>
      <w:r w:rsidR="008838D5">
        <w:rPr>
          <w:rFonts w:eastAsia="Times New Roman"/>
          <w:noProof/>
        </w:rPr>
        <w:t>remove</w:t>
      </w:r>
      <w:r w:rsidR="00DB25C8">
        <w:rPr>
          <w:rFonts w:eastAsia="Times New Roman"/>
          <w:noProof/>
        </w:rPr>
        <w:t>s</w:t>
      </w:r>
      <w:r w:rsidR="008838D5" w:rsidRPr="00DE264C">
        <w:rPr>
          <w:rFonts w:eastAsia="Times New Roman"/>
          <w:noProof/>
        </w:rPr>
        <w:t xml:space="preserve"> </w:t>
      </w:r>
      <w:r w:rsidR="008A3CF0" w:rsidRPr="00DE264C">
        <w:rPr>
          <w:rFonts w:eastAsia="Times New Roman"/>
          <w:noProof/>
        </w:rPr>
        <w:t xml:space="preserve">NRAs’ oversight over the copper switch-off </w:t>
      </w:r>
      <w:r w:rsidR="0006532B">
        <w:rPr>
          <w:rFonts w:eastAsia="Times New Roman"/>
          <w:noProof/>
        </w:rPr>
        <w:t xml:space="preserve">process </w:t>
      </w:r>
      <w:r w:rsidR="008A3CF0" w:rsidRPr="00DE264C">
        <w:rPr>
          <w:rFonts w:eastAsia="Times New Roman"/>
          <w:noProof/>
        </w:rPr>
        <w:t>and give operators full discretion over the timing and conditions of the copper switch-off</w:t>
      </w:r>
      <w:r w:rsidR="00E325FC">
        <w:rPr>
          <w:rFonts w:eastAsia="Times New Roman"/>
          <w:noProof/>
        </w:rPr>
        <w:t xml:space="preserve"> (</w:t>
      </w:r>
      <w:r w:rsidR="00B775E6">
        <w:rPr>
          <w:rFonts w:eastAsia="Times New Roman"/>
          <w:noProof/>
        </w:rPr>
        <w:t xml:space="preserve">i.e. remove </w:t>
      </w:r>
      <w:r w:rsidR="00E325FC" w:rsidRPr="00DE264C">
        <w:rPr>
          <w:rFonts w:eastAsia="Times New Roman"/>
          <w:noProof/>
        </w:rPr>
        <w:t>Article</w:t>
      </w:r>
      <w:r w:rsidR="00A907F2">
        <w:rPr>
          <w:rFonts w:eastAsia="Times New Roman"/>
          <w:noProof/>
        </w:rPr>
        <w:t> </w:t>
      </w:r>
      <w:r w:rsidR="00E325FC" w:rsidRPr="00DE264C">
        <w:rPr>
          <w:rFonts w:eastAsia="Times New Roman"/>
          <w:noProof/>
        </w:rPr>
        <w:t>81)</w:t>
      </w:r>
      <w:r w:rsidR="008A3CF0" w:rsidRPr="00DE264C">
        <w:rPr>
          <w:rFonts w:eastAsia="Times New Roman"/>
          <w:noProof/>
        </w:rPr>
        <w:t xml:space="preserve">. </w:t>
      </w:r>
    </w:p>
    <w:p w14:paraId="583A88D4" w14:textId="1615075E" w:rsidR="008A3CF0" w:rsidRPr="00DE264C" w:rsidRDefault="0099702A" w:rsidP="00023AFB">
      <w:pPr>
        <w:spacing w:line="240" w:lineRule="auto"/>
        <w:rPr>
          <w:rFonts w:eastAsia="Times New Roman"/>
          <w:noProof/>
          <w14:ligatures w14:val="standardContextual"/>
        </w:rPr>
      </w:pPr>
      <w:r w:rsidRPr="00DE264C">
        <w:rPr>
          <w:rFonts w:eastAsia="Times New Roman"/>
          <w:noProof/>
          <w:u w:val="single"/>
        </w:rPr>
        <w:t>For access regulation</w:t>
      </w:r>
      <w:r>
        <w:rPr>
          <w:rFonts w:eastAsia="Times New Roman"/>
          <w:noProof/>
          <w:u w:val="single"/>
        </w:rPr>
        <w:t>,</w:t>
      </w:r>
      <w:r w:rsidRPr="00DE264C">
        <w:rPr>
          <w:rFonts w:eastAsia="Times New Roman"/>
          <w:noProof/>
        </w:rPr>
        <w:t xml:space="preserve"> </w:t>
      </w:r>
      <w:r>
        <w:rPr>
          <w:rFonts w:eastAsia="Times New Roman"/>
          <w:noProof/>
        </w:rPr>
        <w:t>t</w:t>
      </w:r>
      <w:r w:rsidR="008A3CF0" w:rsidRPr="00DE264C">
        <w:rPr>
          <w:rFonts w:eastAsia="Times New Roman"/>
          <w:noProof/>
        </w:rPr>
        <w:t>his option focuses on deregulation</w:t>
      </w:r>
      <w:r w:rsidR="00053821">
        <w:rPr>
          <w:rFonts w:eastAsia="Times New Roman"/>
          <w:noProof/>
        </w:rPr>
        <w:t xml:space="preserve"> by removing</w:t>
      </w:r>
      <w:r w:rsidR="008A3CF0" w:rsidRPr="00DE264C">
        <w:rPr>
          <w:rFonts w:eastAsia="Times New Roman"/>
          <w:noProof/>
        </w:rPr>
        <w:t xml:space="preserve">: (i) SMP-based regulation, </w:t>
      </w:r>
      <w:r w:rsidR="00500B93">
        <w:rPr>
          <w:rFonts w:eastAsia="Times New Roman"/>
          <w:noProof/>
        </w:rPr>
        <w:t xml:space="preserve">and </w:t>
      </w:r>
      <w:r w:rsidR="008A3CF0" w:rsidRPr="00DE264C">
        <w:rPr>
          <w:rFonts w:eastAsia="Times New Roman"/>
          <w:noProof/>
        </w:rPr>
        <w:t>(ii) regulation on in-building wiring (Article</w:t>
      </w:r>
      <w:r w:rsidR="00A907F2">
        <w:rPr>
          <w:rFonts w:eastAsia="Times New Roman"/>
          <w:noProof/>
        </w:rPr>
        <w:t> </w:t>
      </w:r>
      <w:r w:rsidR="008A3CF0" w:rsidRPr="00DE264C">
        <w:rPr>
          <w:rFonts w:eastAsia="Times New Roman"/>
          <w:noProof/>
        </w:rPr>
        <w:t>61(3)</w:t>
      </w:r>
      <w:r w:rsidR="0032561A">
        <w:rPr>
          <w:rFonts w:eastAsia="Times New Roman"/>
          <w:noProof/>
        </w:rPr>
        <w:t>)</w:t>
      </w:r>
      <w:r w:rsidR="00925AAF">
        <w:rPr>
          <w:rFonts w:eastAsia="Times New Roman"/>
          <w:noProof/>
        </w:rPr>
        <w:t>.</w:t>
      </w:r>
    </w:p>
    <w:p w14:paraId="58A023ED" w14:textId="4E8D754C" w:rsidR="008A3CF0" w:rsidRPr="00DE264C" w:rsidRDefault="008A3CF0" w:rsidP="00023AFB">
      <w:pPr>
        <w:spacing w:line="240" w:lineRule="auto"/>
        <w:rPr>
          <w:rFonts w:eastAsia="Times New Roman"/>
          <w:noProof/>
          <w14:ligatures w14:val="standardContextual"/>
        </w:rPr>
      </w:pPr>
      <w:r w:rsidRPr="00DE264C">
        <w:rPr>
          <w:rFonts w:eastAsia="Times New Roman"/>
          <w:noProof/>
        </w:rPr>
        <w:t xml:space="preserve">SMP-based regulation would be replaced by a "bottleneck" approach mandating wholesale access only in areas with a single fibre network. </w:t>
      </w:r>
      <w:r w:rsidR="009F051E" w:rsidRPr="00DE264C">
        <w:rPr>
          <w:rFonts w:eastAsia="Times New Roman"/>
          <w:noProof/>
        </w:rPr>
        <w:t xml:space="preserve">EU </w:t>
      </w:r>
      <w:r w:rsidR="00333494" w:rsidRPr="00DE264C">
        <w:rPr>
          <w:rFonts w:eastAsia="Times New Roman"/>
          <w:noProof/>
        </w:rPr>
        <w:t xml:space="preserve">wholesale products </w:t>
      </w:r>
      <w:r w:rsidR="006656C3" w:rsidRPr="00DE264C">
        <w:rPr>
          <w:rFonts w:eastAsia="Times New Roman"/>
          <w:noProof/>
        </w:rPr>
        <w:t xml:space="preserve">will be </w:t>
      </w:r>
      <w:r w:rsidR="009A575C" w:rsidRPr="00DE264C">
        <w:rPr>
          <w:rFonts w:eastAsia="Times New Roman"/>
          <w:noProof/>
        </w:rPr>
        <w:t>provided.</w:t>
      </w:r>
    </w:p>
    <w:p w14:paraId="550B9DD6" w14:textId="77777777" w:rsidR="009149A8" w:rsidRDefault="008A3CF0" w:rsidP="00023AFB">
      <w:pPr>
        <w:spacing w:line="240" w:lineRule="auto"/>
        <w:rPr>
          <w:rFonts w:eastAsia="Times New Roman"/>
          <w:noProof/>
        </w:rPr>
      </w:pPr>
      <w:r w:rsidRPr="00DE264C">
        <w:rPr>
          <w:rFonts w:eastAsia="Times New Roman"/>
          <w:noProof/>
        </w:rPr>
        <w:t xml:space="preserve">Access to civil engineering infrastructure is handled via the GIA exclusively. </w:t>
      </w:r>
    </w:p>
    <w:p w14:paraId="42DA8AA6" w14:textId="047FE2FF" w:rsidR="003A58EE" w:rsidRPr="00433F8E" w:rsidRDefault="008A3CF0" w:rsidP="00023AFB">
      <w:pPr>
        <w:spacing w:line="240" w:lineRule="auto"/>
        <w:rPr>
          <w:rFonts w:eastAsia="Times New Roman"/>
          <w:noProof/>
        </w:rPr>
      </w:pPr>
      <w:r w:rsidRPr="00DE264C">
        <w:rPr>
          <w:rFonts w:eastAsia="Times New Roman"/>
          <w:noProof/>
        </w:rPr>
        <w:t xml:space="preserve">The </w:t>
      </w:r>
      <w:r w:rsidR="000B575E">
        <w:rPr>
          <w:rFonts w:eastAsia="Times New Roman"/>
          <w:noProof/>
        </w:rPr>
        <w:t>option</w:t>
      </w:r>
      <w:r w:rsidR="000B575E" w:rsidRPr="00DE264C">
        <w:rPr>
          <w:rFonts w:eastAsia="Times New Roman"/>
          <w:noProof/>
        </w:rPr>
        <w:t xml:space="preserve"> </w:t>
      </w:r>
      <w:r w:rsidRPr="00DE264C">
        <w:rPr>
          <w:rFonts w:eastAsia="Times New Roman"/>
          <w:noProof/>
        </w:rPr>
        <w:t>support</w:t>
      </w:r>
      <w:r w:rsidR="00D32602">
        <w:rPr>
          <w:rFonts w:eastAsia="Times New Roman"/>
          <w:noProof/>
        </w:rPr>
        <w:t>s</w:t>
      </w:r>
      <w:r w:rsidRPr="00DE264C">
        <w:rPr>
          <w:rFonts w:eastAsia="Times New Roman"/>
          <w:noProof/>
        </w:rPr>
        <w:t xml:space="preserve"> </w:t>
      </w:r>
      <w:r w:rsidR="00046FBA">
        <w:rPr>
          <w:rFonts w:eastAsia="Times New Roman"/>
          <w:noProof/>
        </w:rPr>
        <w:t>coheren</w:t>
      </w:r>
      <w:r w:rsidR="00441EFC">
        <w:rPr>
          <w:rFonts w:eastAsia="Times New Roman"/>
          <w:noProof/>
        </w:rPr>
        <w:t>t</w:t>
      </w:r>
      <w:r w:rsidR="00977C3B">
        <w:rPr>
          <w:rFonts w:eastAsia="Times New Roman"/>
          <w:noProof/>
        </w:rPr>
        <w:t xml:space="preserve"> access regulation</w:t>
      </w:r>
      <w:r w:rsidR="00046FBA">
        <w:rPr>
          <w:rFonts w:eastAsia="Times New Roman"/>
          <w:noProof/>
        </w:rPr>
        <w:t xml:space="preserve"> across the EU by </w:t>
      </w:r>
      <w:r w:rsidR="00C15213">
        <w:rPr>
          <w:rFonts w:eastAsia="Times New Roman"/>
          <w:noProof/>
        </w:rPr>
        <w:t xml:space="preserve">giving the </w:t>
      </w:r>
      <w:r w:rsidR="0086461B">
        <w:rPr>
          <w:rFonts w:eastAsia="Times New Roman"/>
          <w:noProof/>
        </w:rPr>
        <w:t>Commission</w:t>
      </w:r>
      <w:r w:rsidRPr="00DE264C">
        <w:rPr>
          <w:rFonts w:eastAsia="Times New Roman"/>
          <w:noProof/>
        </w:rPr>
        <w:t xml:space="preserve"> veto right on </w:t>
      </w:r>
      <w:r w:rsidR="000232DD">
        <w:rPr>
          <w:rFonts w:eastAsia="Times New Roman"/>
          <w:noProof/>
        </w:rPr>
        <w:t xml:space="preserve">imposing </w:t>
      </w:r>
      <w:r w:rsidR="001A559A">
        <w:rPr>
          <w:rFonts w:eastAsia="Times New Roman"/>
          <w:noProof/>
        </w:rPr>
        <w:t>regu</w:t>
      </w:r>
      <w:r w:rsidR="007B64B3">
        <w:rPr>
          <w:rFonts w:eastAsia="Times New Roman"/>
          <w:noProof/>
        </w:rPr>
        <w:t>lation</w:t>
      </w:r>
      <w:r w:rsidR="001A559A">
        <w:rPr>
          <w:rFonts w:eastAsia="Times New Roman"/>
          <w:noProof/>
        </w:rPr>
        <w:t>.</w:t>
      </w:r>
      <w:r w:rsidRPr="00DE264C">
        <w:rPr>
          <w:rFonts w:eastAsia="Times New Roman"/>
          <w:noProof/>
        </w:rPr>
        <w:t xml:space="preserve"> </w:t>
      </w:r>
      <w:r w:rsidR="00D32602">
        <w:rPr>
          <w:rFonts w:eastAsia="Times New Roman"/>
          <w:noProof/>
        </w:rPr>
        <w:t xml:space="preserve">Further, </w:t>
      </w:r>
      <w:r w:rsidR="00C71B92">
        <w:rPr>
          <w:rFonts w:eastAsia="Times New Roman"/>
          <w:noProof/>
        </w:rPr>
        <w:t xml:space="preserve">it </w:t>
      </w:r>
      <w:r w:rsidRPr="00DE264C">
        <w:rPr>
          <w:rFonts w:eastAsia="Times New Roman"/>
          <w:noProof/>
        </w:rPr>
        <w:t>eliminat</w:t>
      </w:r>
      <w:r w:rsidR="00C71B92">
        <w:rPr>
          <w:rFonts w:eastAsia="Times New Roman"/>
          <w:noProof/>
        </w:rPr>
        <w:t>es</w:t>
      </w:r>
      <w:r w:rsidRPr="00DE264C">
        <w:rPr>
          <w:rFonts w:eastAsia="Times New Roman"/>
          <w:noProof/>
        </w:rPr>
        <w:t xml:space="preserve"> </w:t>
      </w:r>
      <w:r w:rsidR="00F41C01">
        <w:rPr>
          <w:rFonts w:eastAsia="Times New Roman"/>
          <w:noProof/>
        </w:rPr>
        <w:t xml:space="preserve">the </w:t>
      </w:r>
      <w:r w:rsidRPr="00DE264C">
        <w:rPr>
          <w:rFonts w:eastAsia="Times New Roman"/>
          <w:noProof/>
        </w:rPr>
        <w:t xml:space="preserve">provision on </w:t>
      </w:r>
      <w:r w:rsidRPr="3E2CC758">
        <w:rPr>
          <w:rFonts w:eastAsia="Times New Roman"/>
          <w:noProof/>
        </w:rPr>
        <w:t>geograp</w:t>
      </w:r>
      <w:r w:rsidR="00183C91">
        <w:rPr>
          <w:rFonts w:eastAsia="Times New Roman"/>
          <w:noProof/>
        </w:rPr>
        <w:t>hic surveys and data gathering regarding infrastructure deployment (Article</w:t>
      </w:r>
      <w:r w:rsidR="00A907F2">
        <w:rPr>
          <w:rFonts w:eastAsia="Times New Roman"/>
          <w:noProof/>
        </w:rPr>
        <w:t> </w:t>
      </w:r>
      <w:r w:rsidR="00183C91">
        <w:rPr>
          <w:rFonts w:eastAsia="Times New Roman"/>
          <w:noProof/>
        </w:rPr>
        <w:t>22 of EECC).</w:t>
      </w:r>
      <w:r w:rsidR="1EE3D66E" w:rsidRPr="3E2CC758">
        <w:rPr>
          <w:rFonts w:eastAsia="Times New Roman"/>
          <w:noProof/>
        </w:rPr>
        <w:t xml:space="preserve"> </w:t>
      </w:r>
      <w:r w:rsidR="003A58EE" w:rsidRPr="00433F8E">
        <w:rPr>
          <w:rFonts w:eastAsia="Times New Roman"/>
          <w:noProof/>
        </w:rPr>
        <w:t xml:space="preserve">This option </w:t>
      </w:r>
      <w:r w:rsidR="003A58EE" w:rsidRPr="6E38D163">
        <w:rPr>
          <w:rFonts w:eastAsia="Times New Roman"/>
          <w:noProof/>
        </w:rPr>
        <w:t>would</w:t>
      </w:r>
      <w:r w:rsidR="003A58EE" w:rsidRPr="00433F8E">
        <w:rPr>
          <w:rFonts w:eastAsia="Times New Roman"/>
          <w:noProof/>
        </w:rPr>
        <w:t xml:space="preserve"> </w:t>
      </w:r>
      <w:r w:rsidR="07F98616" w:rsidRPr="3D508431">
        <w:rPr>
          <w:rFonts w:eastAsia="Times New Roman"/>
          <w:noProof/>
        </w:rPr>
        <w:t xml:space="preserve">be a </w:t>
      </w:r>
      <w:r w:rsidR="07F98616" w:rsidRPr="6D0F8BD3">
        <w:rPr>
          <w:rFonts w:eastAsia="Times New Roman"/>
          <w:noProof/>
        </w:rPr>
        <w:t>significant shift from the current ex</w:t>
      </w:r>
      <w:r w:rsidR="222F4AD9" w:rsidRPr="30B54B64">
        <w:rPr>
          <w:rFonts w:eastAsia="Times New Roman"/>
          <w:noProof/>
        </w:rPr>
        <w:t xml:space="preserve"> </w:t>
      </w:r>
      <w:r w:rsidR="07F98616" w:rsidRPr="6D0F8BD3">
        <w:rPr>
          <w:rFonts w:eastAsia="Times New Roman"/>
          <w:noProof/>
        </w:rPr>
        <w:t>ante approach as it wou</w:t>
      </w:r>
      <w:r w:rsidR="0CE01576" w:rsidRPr="6D0F8BD3">
        <w:rPr>
          <w:rFonts w:eastAsia="Times New Roman"/>
          <w:noProof/>
        </w:rPr>
        <w:t>ld rely mainly on</w:t>
      </w:r>
      <w:r w:rsidR="345155F6" w:rsidRPr="3E2CC758">
        <w:rPr>
          <w:rFonts w:eastAsia="Times New Roman"/>
          <w:noProof/>
        </w:rPr>
        <w:t xml:space="preserve"> </w:t>
      </w:r>
      <w:r w:rsidR="345155F6" w:rsidRPr="61124974">
        <w:rPr>
          <w:rFonts w:eastAsia="Times New Roman"/>
          <w:noProof/>
        </w:rPr>
        <w:t>ex</w:t>
      </w:r>
      <w:r w:rsidR="50D85DBE" w:rsidRPr="61124974">
        <w:rPr>
          <w:rFonts w:eastAsia="Times New Roman"/>
          <w:noProof/>
        </w:rPr>
        <w:t xml:space="preserve"> </w:t>
      </w:r>
      <w:r w:rsidR="345155F6" w:rsidRPr="61124974">
        <w:rPr>
          <w:rFonts w:eastAsia="Times New Roman"/>
          <w:noProof/>
        </w:rPr>
        <w:t>post</w:t>
      </w:r>
      <w:r w:rsidR="345155F6" w:rsidRPr="3E2CC758">
        <w:rPr>
          <w:rFonts w:eastAsia="Times New Roman"/>
          <w:noProof/>
        </w:rPr>
        <w:t xml:space="preserve"> </w:t>
      </w:r>
      <w:r w:rsidR="0CE01576" w:rsidRPr="6D0F8BD3">
        <w:rPr>
          <w:rFonts w:eastAsia="Times New Roman"/>
          <w:noProof/>
        </w:rPr>
        <w:t>competition enforcement and would</w:t>
      </w:r>
      <w:r w:rsidR="07F98616" w:rsidRPr="3D508431">
        <w:rPr>
          <w:rFonts w:eastAsia="Times New Roman"/>
          <w:noProof/>
        </w:rPr>
        <w:t xml:space="preserve"> </w:t>
      </w:r>
      <w:r w:rsidR="003A58EE" w:rsidRPr="3D508431">
        <w:rPr>
          <w:rFonts w:eastAsia="Times New Roman"/>
          <w:noProof/>
        </w:rPr>
        <w:t>limit</w:t>
      </w:r>
      <w:r w:rsidR="003A58EE" w:rsidRPr="00433F8E">
        <w:rPr>
          <w:rFonts w:eastAsia="Times New Roman"/>
          <w:noProof/>
        </w:rPr>
        <w:t xml:space="preserve"> the ex</w:t>
      </w:r>
      <w:r w:rsidR="75F1A051" w:rsidRPr="30B54B64">
        <w:rPr>
          <w:rFonts w:eastAsia="Times New Roman"/>
          <w:noProof/>
        </w:rPr>
        <w:t xml:space="preserve"> </w:t>
      </w:r>
      <w:r w:rsidR="003A58EE" w:rsidRPr="00433F8E">
        <w:rPr>
          <w:rFonts w:eastAsia="Times New Roman"/>
          <w:noProof/>
        </w:rPr>
        <w:t xml:space="preserve">ante regulation to quite exceptional cases where there are no means to create any form of competition. </w:t>
      </w:r>
      <w:r w:rsidR="003A58EE">
        <w:rPr>
          <w:rFonts w:eastAsia="Times New Roman"/>
          <w:noProof/>
        </w:rPr>
        <w:t>As a consequence, m</w:t>
      </w:r>
      <w:r w:rsidR="003A58EE" w:rsidRPr="00433F8E">
        <w:rPr>
          <w:rFonts w:eastAsia="Times New Roman"/>
          <w:noProof/>
        </w:rPr>
        <w:t xml:space="preserve">any markets that are characterised by non-competitive </w:t>
      </w:r>
      <w:r w:rsidR="00257C6A" w:rsidRPr="4E0074A3">
        <w:rPr>
          <w:rFonts w:eastAsia="Times New Roman"/>
          <w:noProof/>
        </w:rPr>
        <w:t>characteristics</w:t>
      </w:r>
      <w:r w:rsidR="6E40C3A5" w:rsidRPr="4E0074A3">
        <w:rPr>
          <w:rFonts w:eastAsia="Times New Roman"/>
          <w:noProof/>
        </w:rPr>
        <w:t xml:space="preserve"> </w:t>
      </w:r>
      <w:r w:rsidR="003A58EE" w:rsidRPr="00433F8E">
        <w:rPr>
          <w:rFonts w:eastAsia="Times New Roman"/>
          <w:noProof/>
        </w:rPr>
        <w:t>would not be regulated anymore</w:t>
      </w:r>
      <w:r w:rsidR="003A58EE">
        <w:rPr>
          <w:rFonts w:eastAsia="Times New Roman"/>
          <w:noProof/>
        </w:rPr>
        <w:t xml:space="preserve">, as some access products </w:t>
      </w:r>
      <w:r w:rsidR="01A093B7" w:rsidRPr="7D4D4510">
        <w:rPr>
          <w:rFonts w:eastAsia="Times New Roman"/>
          <w:noProof/>
        </w:rPr>
        <w:t xml:space="preserve">would be </w:t>
      </w:r>
      <w:r w:rsidR="01A093B7" w:rsidRPr="26AEC12D">
        <w:rPr>
          <w:rFonts w:eastAsia="Times New Roman"/>
          <w:noProof/>
        </w:rPr>
        <w:t>often available on</w:t>
      </w:r>
      <w:r w:rsidR="01A093B7" w:rsidRPr="7D4D4510">
        <w:rPr>
          <w:rFonts w:eastAsia="Times New Roman"/>
          <w:noProof/>
        </w:rPr>
        <w:t xml:space="preserve"> commercial basis</w:t>
      </w:r>
      <w:r w:rsidR="01A093B7" w:rsidRPr="26AEC12D">
        <w:rPr>
          <w:rFonts w:eastAsia="Times New Roman"/>
          <w:noProof/>
        </w:rPr>
        <w:t xml:space="preserve">, but </w:t>
      </w:r>
      <w:r w:rsidR="01A093B7" w:rsidRPr="0E95A705">
        <w:rPr>
          <w:rFonts w:eastAsia="Times New Roman"/>
          <w:noProof/>
        </w:rPr>
        <w:t xml:space="preserve">would </w:t>
      </w:r>
      <w:r w:rsidR="003A58EE">
        <w:rPr>
          <w:rFonts w:eastAsia="Times New Roman"/>
          <w:noProof/>
        </w:rPr>
        <w:t>not necessarily allow effective replicability of the local market leader</w:t>
      </w:r>
      <w:r w:rsidR="008B2CEE">
        <w:rPr>
          <w:rFonts w:eastAsia="Times New Roman"/>
          <w:noProof/>
        </w:rPr>
        <w:t xml:space="preserve">’s </w:t>
      </w:r>
      <w:r w:rsidR="003A58EE">
        <w:rPr>
          <w:rFonts w:eastAsia="Times New Roman"/>
          <w:noProof/>
        </w:rPr>
        <w:t xml:space="preserve">services and hence </w:t>
      </w:r>
      <w:r w:rsidR="00257C6A">
        <w:rPr>
          <w:rFonts w:eastAsia="Times New Roman"/>
          <w:noProof/>
        </w:rPr>
        <w:t xml:space="preserve">service </w:t>
      </w:r>
      <w:r w:rsidR="003A58EE">
        <w:rPr>
          <w:rFonts w:eastAsia="Times New Roman"/>
          <w:noProof/>
        </w:rPr>
        <w:t>competition</w:t>
      </w:r>
      <w:r w:rsidR="003A58EE" w:rsidRPr="00433F8E">
        <w:rPr>
          <w:rFonts w:eastAsia="Times New Roman"/>
          <w:noProof/>
        </w:rPr>
        <w:t>.</w:t>
      </w:r>
    </w:p>
    <w:p w14:paraId="1F21238D" w14:textId="6BD77050" w:rsidR="008A3CF0" w:rsidRPr="00292895" w:rsidRDefault="008A3CF0" w:rsidP="00023AFB">
      <w:pPr>
        <w:spacing w:line="240" w:lineRule="auto"/>
        <w:rPr>
          <w:b/>
          <w:noProof/>
        </w:rPr>
      </w:pPr>
      <w:r w:rsidRPr="00DE264C">
        <w:rPr>
          <w:rFonts w:eastAsia="Times New Roman"/>
          <w:b/>
          <w:bCs/>
          <w:noProof/>
        </w:rPr>
        <w:t>Option 4:</w:t>
      </w:r>
      <w:r w:rsidRPr="00292895">
        <w:rPr>
          <w:rFonts w:eastAsia="Times New Roman"/>
          <w:b/>
          <w:noProof/>
        </w:rPr>
        <w:t xml:space="preserve"> </w:t>
      </w:r>
      <w:r w:rsidR="00174F00" w:rsidRPr="00292895">
        <w:rPr>
          <w:rFonts w:eastAsia="Times New Roman"/>
          <w:b/>
          <w:noProof/>
        </w:rPr>
        <w:t>Mandatory copper switch-off and symmetric regulation</w:t>
      </w:r>
    </w:p>
    <w:p w14:paraId="27599CD6" w14:textId="1DFA19CE" w:rsidR="0065124F" w:rsidRDefault="003B1504" w:rsidP="00023AFB">
      <w:pPr>
        <w:spacing w:line="240" w:lineRule="auto"/>
        <w:rPr>
          <w:rFonts w:eastAsia="Times New Roman"/>
          <w:noProof/>
        </w:rPr>
      </w:pPr>
      <w:r w:rsidRPr="00DE264C">
        <w:rPr>
          <w:rFonts w:eastAsia="Times New Roman"/>
          <w:noProof/>
          <w:u w:val="single"/>
        </w:rPr>
        <w:t>For copper switch-off</w:t>
      </w:r>
      <w:r>
        <w:rPr>
          <w:rFonts w:eastAsia="Times New Roman"/>
          <w:noProof/>
        </w:rPr>
        <w:t>, t</w:t>
      </w:r>
      <w:r w:rsidR="00BD12C9">
        <w:rPr>
          <w:rFonts w:eastAsia="Times New Roman"/>
          <w:noProof/>
        </w:rPr>
        <w:t>his o</w:t>
      </w:r>
      <w:r w:rsidR="008A3CF0" w:rsidRPr="00DE264C">
        <w:rPr>
          <w:rFonts w:eastAsia="Times New Roman"/>
          <w:noProof/>
        </w:rPr>
        <w:t xml:space="preserve">ption </w:t>
      </w:r>
      <w:r w:rsidR="00BC396A" w:rsidRPr="00DE264C">
        <w:rPr>
          <w:rFonts w:eastAsia="Times New Roman"/>
          <w:noProof/>
        </w:rPr>
        <w:t>mandates ECN operators to switch off their copper networks by 2030</w:t>
      </w:r>
      <w:r w:rsidR="00BC396A" w:rsidRPr="7794DAC1">
        <w:rPr>
          <w:rFonts w:eastAsia="Times New Roman"/>
          <w:noProof/>
        </w:rPr>
        <w:t>.</w:t>
      </w:r>
      <w:r w:rsidR="00BC396A" w:rsidRPr="00DE264C">
        <w:rPr>
          <w:rFonts w:eastAsia="Times New Roman"/>
          <w:noProof/>
        </w:rPr>
        <w:t xml:space="preserve"> No conditionality or other form of sustainabili</w:t>
      </w:r>
      <w:r w:rsidR="00BC396A">
        <w:rPr>
          <w:rFonts w:eastAsia="Times New Roman"/>
          <w:noProof/>
        </w:rPr>
        <w:t>ty c</w:t>
      </w:r>
      <w:r w:rsidR="00BC396A" w:rsidRPr="00DE264C">
        <w:rPr>
          <w:rFonts w:eastAsia="Times New Roman"/>
          <w:noProof/>
        </w:rPr>
        <w:t xml:space="preserve">hecks </w:t>
      </w:r>
      <w:r w:rsidR="00257C6A">
        <w:rPr>
          <w:rFonts w:eastAsia="Times New Roman"/>
          <w:noProof/>
        </w:rPr>
        <w:t>or safeguards</w:t>
      </w:r>
      <w:r w:rsidR="00BC396A" w:rsidRPr="00DE264C">
        <w:rPr>
          <w:rFonts w:eastAsia="Times New Roman"/>
          <w:noProof/>
        </w:rPr>
        <w:t xml:space="preserve"> is envisaged. NRAs are tasked with gathering and publishing relevant data on copper switch-off, including geographic surveys of FTTH, cable, and Gigabit-capable fixed wireless networks, along with the status of copper to fibre migration. </w:t>
      </w:r>
    </w:p>
    <w:p w14:paraId="3A626FA9" w14:textId="1D96E6CD" w:rsidR="008A3CF0" w:rsidRPr="00DE264C" w:rsidRDefault="00B71695" w:rsidP="00023AFB">
      <w:pPr>
        <w:spacing w:line="240" w:lineRule="auto"/>
        <w:rPr>
          <w:rFonts w:eastAsia="Times New Roman"/>
          <w:noProof/>
          <w14:ligatures w14:val="standardContextual"/>
        </w:rPr>
      </w:pPr>
      <w:r w:rsidRPr="00DE264C">
        <w:rPr>
          <w:rFonts w:eastAsia="Times New Roman"/>
          <w:noProof/>
          <w:u w:val="single"/>
        </w:rPr>
        <w:t>For access regulation</w:t>
      </w:r>
      <w:r>
        <w:rPr>
          <w:rFonts w:eastAsia="Times New Roman"/>
          <w:noProof/>
          <w:u w:val="single"/>
        </w:rPr>
        <w:t>,</w:t>
      </w:r>
      <w:r w:rsidR="008A3CF0" w:rsidRPr="00DE264C">
        <w:rPr>
          <w:rFonts w:eastAsia="Times New Roman"/>
          <w:noProof/>
        </w:rPr>
        <w:t xml:space="preserve"> </w:t>
      </w:r>
      <w:r w:rsidR="002B2A44">
        <w:rPr>
          <w:rFonts w:eastAsia="Times New Roman"/>
          <w:noProof/>
        </w:rPr>
        <w:t xml:space="preserve">this option replaces </w:t>
      </w:r>
      <w:r w:rsidR="008A3CF0" w:rsidRPr="00DE264C">
        <w:rPr>
          <w:rFonts w:eastAsia="Times New Roman"/>
          <w:noProof/>
        </w:rPr>
        <w:t>SMP</w:t>
      </w:r>
      <w:r w:rsidR="003A0274">
        <w:rPr>
          <w:rFonts w:eastAsia="Times New Roman"/>
          <w:noProof/>
        </w:rPr>
        <w:t>-based regulation</w:t>
      </w:r>
      <w:r w:rsidR="008A3CF0" w:rsidRPr="00DE264C">
        <w:rPr>
          <w:rFonts w:eastAsia="Times New Roman"/>
          <w:noProof/>
        </w:rPr>
        <w:t xml:space="preserve"> and Article</w:t>
      </w:r>
      <w:r w:rsidR="00A907F2">
        <w:rPr>
          <w:rFonts w:eastAsia="Times New Roman"/>
          <w:noProof/>
        </w:rPr>
        <w:t> </w:t>
      </w:r>
      <w:r w:rsidR="008A3CF0" w:rsidRPr="00DE264C">
        <w:rPr>
          <w:rFonts w:eastAsia="Times New Roman"/>
          <w:noProof/>
        </w:rPr>
        <w:t xml:space="preserve">61(3) with a requirement for all </w:t>
      </w:r>
      <w:r w:rsidR="009262AA">
        <w:rPr>
          <w:rFonts w:eastAsia="Times New Roman"/>
          <w:noProof/>
        </w:rPr>
        <w:t xml:space="preserve">fixed </w:t>
      </w:r>
      <w:r w:rsidR="008A3CF0" w:rsidRPr="00DE264C">
        <w:rPr>
          <w:rFonts w:eastAsia="Times New Roman"/>
          <w:noProof/>
        </w:rPr>
        <w:t xml:space="preserve">operators to provide wholesale local access on fair terms, enabling dispute resolution by NRAs if no agreement is reached within two months. It </w:t>
      </w:r>
      <w:r w:rsidR="00E76FC2">
        <w:rPr>
          <w:rFonts w:eastAsia="Times New Roman"/>
          <w:noProof/>
        </w:rPr>
        <w:t xml:space="preserve">requires </w:t>
      </w:r>
      <w:r w:rsidR="008A3CF0" w:rsidRPr="00DE264C">
        <w:rPr>
          <w:rFonts w:eastAsia="Times New Roman"/>
          <w:noProof/>
        </w:rPr>
        <w:t xml:space="preserve">operators of copper networks, or those previously deemed to have SMP, </w:t>
      </w:r>
      <w:r w:rsidR="00AA2EAD">
        <w:rPr>
          <w:rFonts w:eastAsia="Times New Roman"/>
          <w:noProof/>
        </w:rPr>
        <w:t>to</w:t>
      </w:r>
      <w:r w:rsidR="00AA2EAD" w:rsidRPr="00DE264C">
        <w:rPr>
          <w:rFonts w:eastAsia="Times New Roman"/>
          <w:noProof/>
        </w:rPr>
        <w:t xml:space="preserve"> </w:t>
      </w:r>
      <w:r w:rsidR="008A3CF0" w:rsidRPr="00DE264C">
        <w:rPr>
          <w:rFonts w:eastAsia="Times New Roman"/>
          <w:noProof/>
        </w:rPr>
        <w:t xml:space="preserve">provide access to ducts and poles based on cost-orientation and non-discrimination, with guidelines from the </w:t>
      </w:r>
      <w:r w:rsidR="00EA7D52">
        <w:rPr>
          <w:rFonts w:eastAsia="Times New Roman"/>
          <w:noProof/>
        </w:rPr>
        <w:t>EC</w:t>
      </w:r>
      <w:r w:rsidR="00EA7D52" w:rsidRPr="00DE264C">
        <w:rPr>
          <w:rFonts w:eastAsia="Times New Roman"/>
          <w:noProof/>
        </w:rPr>
        <w:t xml:space="preserve"> </w:t>
      </w:r>
      <w:r w:rsidR="008A3CF0" w:rsidRPr="00DE264C">
        <w:rPr>
          <w:rFonts w:eastAsia="Times New Roman"/>
          <w:noProof/>
        </w:rPr>
        <w:t xml:space="preserve">or BEREC. To support harmonisation, an initial list of basic wholesale products will be included in the Annex to the DNA for NRAs to consider during the resolution of access disputes. </w:t>
      </w:r>
    </w:p>
    <w:p w14:paraId="65489107" w14:textId="2BA6CF76" w:rsidR="00803F56" w:rsidRPr="00DE264C" w:rsidDel="009254B4" w:rsidRDefault="00851DB7" w:rsidP="00023AFB">
      <w:pPr>
        <w:spacing w:line="240" w:lineRule="auto"/>
        <w:rPr>
          <w:noProof/>
        </w:rPr>
      </w:pPr>
      <w:r w:rsidRPr="00DE264C">
        <w:rPr>
          <w:noProof/>
        </w:rPr>
        <w:t xml:space="preserve">For </w:t>
      </w:r>
      <w:r w:rsidR="00106CD7">
        <w:rPr>
          <w:noProof/>
        </w:rPr>
        <w:t xml:space="preserve">a more </w:t>
      </w:r>
      <w:r w:rsidRPr="00DE264C">
        <w:rPr>
          <w:noProof/>
        </w:rPr>
        <w:t xml:space="preserve">detailed description of the policy options, see </w:t>
      </w:r>
      <w:r w:rsidR="00E721DD" w:rsidRPr="00DE264C">
        <w:rPr>
          <w:noProof/>
        </w:rPr>
        <w:t xml:space="preserve">Section </w:t>
      </w:r>
      <w:r w:rsidR="00B2041F" w:rsidRPr="00DE264C">
        <w:rPr>
          <w:noProof/>
        </w:rPr>
        <w:t>1 of Annex 8.</w:t>
      </w:r>
    </w:p>
    <w:p w14:paraId="7C934E3E" w14:textId="2D30742B" w:rsidR="00D93E57" w:rsidRPr="00DE264C" w:rsidRDefault="00D93E57" w:rsidP="00DF4A88">
      <w:pPr>
        <w:pStyle w:val="Heading3"/>
        <w:tabs>
          <w:tab w:val="num" w:pos="7088"/>
        </w:tabs>
        <w:ind w:left="851"/>
        <w:rPr>
          <w:noProof/>
        </w:rPr>
      </w:pPr>
      <w:bookmarkStart w:id="210" w:name="_Toc214467725"/>
      <w:bookmarkStart w:id="211" w:name="_Toc215083748"/>
      <w:bookmarkStart w:id="212" w:name="_Toc219212516"/>
      <w:bookmarkStart w:id="213" w:name="_Toc219718171"/>
      <w:r w:rsidRPr="00DE264C">
        <w:rPr>
          <w:noProof/>
        </w:rPr>
        <w:t>Spectrum</w:t>
      </w:r>
      <w:bookmarkEnd w:id="210"/>
      <w:bookmarkEnd w:id="211"/>
      <w:bookmarkEnd w:id="212"/>
      <w:bookmarkEnd w:id="213"/>
    </w:p>
    <w:p w14:paraId="479560EB" w14:textId="1EB18B55" w:rsidR="00840390" w:rsidRPr="00DE264C" w:rsidRDefault="0031491E" w:rsidP="00023AFB">
      <w:pPr>
        <w:pStyle w:val="paragraph"/>
        <w:spacing w:beforeAutospacing="0" w:afterAutospacing="0" w:line="240" w:lineRule="auto"/>
        <w:jc w:val="both"/>
        <w:textAlignment w:val="baseline"/>
        <w:rPr>
          <w:iCs/>
          <w:noProof/>
        </w:rPr>
      </w:pPr>
      <w:r w:rsidRPr="00DE264C">
        <w:rPr>
          <w:iCs/>
          <w:noProof/>
        </w:rPr>
        <w:t xml:space="preserve">Spectrum options have been designed with the objective to </w:t>
      </w:r>
      <w:r w:rsidR="009A511F" w:rsidRPr="00DE264C">
        <w:rPr>
          <w:iCs/>
          <w:noProof/>
        </w:rPr>
        <w:t xml:space="preserve">ensure very high quality </w:t>
      </w:r>
      <w:r w:rsidR="005E4BC0" w:rsidRPr="00DE264C">
        <w:rPr>
          <w:iCs/>
          <w:noProof/>
        </w:rPr>
        <w:t xml:space="preserve">5G and future 6G </w:t>
      </w:r>
      <w:r w:rsidR="009A511F" w:rsidRPr="00DE264C">
        <w:rPr>
          <w:iCs/>
          <w:noProof/>
        </w:rPr>
        <w:t xml:space="preserve">mobile connectivity </w:t>
      </w:r>
      <w:r w:rsidR="005E4BC0" w:rsidRPr="00DE264C">
        <w:rPr>
          <w:iCs/>
          <w:noProof/>
        </w:rPr>
        <w:t>for</w:t>
      </w:r>
      <w:r w:rsidR="009A511F" w:rsidRPr="00DE264C">
        <w:rPr>
          <w:iCs/>
          <w:noProof/>
        </w:rPr>
        <w:t xml:space="preserve"> </w:t>
      </w:r>
      <w:r w:rsidR="00B874C2" w:rsidRPr="00DE264C">
        <w:rPr>
          <w:iCs/>
          <w:noProof/>
        </w:rPr>
        <w:t>E</w:t>
      </w:r>
      <w:r w:rsidR="009A511F" w:rsidRPr="00DE264C">
        <w:rPr>
          <w:noProof/>
        </w:rPr>
        <w:t xml:space="preserve">uropean businesses and citizens </w:t>
      </w:r>
      <w:r w:rsidR="00470E69" w:rsidRPr="00DE264C">
        <w:rPr>
          <w:noProof/>
        </w:rPr>
        <w:t xml:space="preserve">with the view </w:t>
      </w:r>
      <w:r w:rsidR="009A511F" w:rsidRPr="00DE264C">
        <w:rPr>
          <w:noProof/>
        </w:rPr>
        <w:t>to clos</w:t>
      </w:r>
      <w:r w:rsidR="00470E69" w:rsidRPr="00DE264C">
        <w:rPr>
          <w:noProof/>
        </w:rPr>
        <w:t>ing</w:t>
      </w:r>
      <w:r w:rsidR="009A511F" w:rsidRPr="00DE264C">
        <w:rPr>
          <w:noProof/>
        </w:rPr>
        <w:t xml:space="preserve"> the gap with competing regions in high quality wireless networks by 2040</w:t>
      </w:r>
      <w:r w:rsidR="00484C9B" w:rsidRPr="00DE264C">
        <w:rPr>
          <w:noProof/>
        </w:rPr>
        <w:t xml:space="preserve">. </w:t>
      </w:r>
      <w:r w:rsidR="00E53DC8" w:rsidRPr="00DE264C">
        <w:rPr>
          <w:noProof/>
        </w:rPr>
        <w:t>By</w:t>
      </w:r>
      <w:r w:rsidR="004614E3" w:rsidRPr="00DE264C">
        <w:rPr>
          <w:noProof/>
        </w:rPr>
        <w:t xml:space="preserve"> creati</w:t>
      </w:r>
      <w:r w:rsidR="00E53DC8" w:rsidRPr="00DE264C">
        <w:rPr>
          <w:noProof/>
        </w:rPr>
        <w:t>ng</w:t>
      </w:r>
      <w:r w:rsidRPr="00DE264C">
        <w:rPr>
          <w:iCs/>
          <w:noProof/>
        </w:rPr>
        <w:t xml:space="preserve"> a pro-investment </w:t>
      </w:r>
      <w:r w:rsidR="00447DFC" w:rsidRPr="00DE264C">
        <w:rPr>
          <w:rStyle w:val="normaltextrun"/>
          <w:bCs/>
          <w:noProof/>
        </w:rPr>
        <w:t>predictable</w:t>
      </w:r>
      <w:r w:rsidR="00447DFC" w:rsidRPr="00DE264C">
        <w:rPr>
          <w:rStyle w:val="normaltextrun"/>
          <w:b/>
          <w:noProof/>
        </w:rPr>
        <w:t xml:space="preserve"> </w:t>
      </w:r>
      <w:r w:rsidR="00447DFC" w:rsidRPr="00DE264C">
        <w:rPr>
          <w:rStyle w:val="normaltextrun"/>
          <w:bCs/>
          <w:noProof/>
        </w:rPr>
        <w:t xml:space="preserve">spectrum authorisation framework </w:t>
      </w:r>
      <w:r w:rsidRPr="00DE264C">
        <w:rPr>
          <w:iCs/>
          <w:noProof/>
        </w:rPr>
        <w:t xml:space="preserve">and </w:t>
      </w:r>
      <w:r w:rsidR="003F75B2" w:rsidRPr="00DE264C">
        <w:rPr>
          <w:bCs/>
          <w:iCs/>
          <w:noProof/>
        </w:rPr>
        <w:t>enabling</w:t>
      </w:r>
      <w:r w:rsidR="00447DFC" w:rsidRPr="00DE264C">
        <w:rPr>
          <w:bCs/>
          <w:iCs/>
          <w:noProof/>
        </w:rPr>
        <w:t xml:space="preserve"> efficient use of spectrum</w:t>
      </w:r>
      <w:r w:rsidR="00C234AC" w:rsidRPr="00DE264C">
        <w:rPr>
          <w:bCs/>
          <w:iCs/>
          <w:noProof/>
        </w:rPr>
        <w:t xml:space="preserve"> and innovation</w:t>
      </w:r>
      <w:r w:rsidR="00E8649E" w:rsidRPr="00DE264C">
        <w:rPr>
          <w:bCs/>
          <w:iCs/>
          <w:noProof/>
        </w:rPr>
        <w:t>,</w:t>
      </w:r>
      <w:r w:rsidR="003F75B2" w:rsidRPr="00DE264C">
        <w:rPr>
          <w:iCs/>
          <w:noProof/>
        </w:rPr>
        <w:t xml:space="preserve"> spectrum measures can decisively </w:t>
      </w:r>
      <w:r w:rsidR="0026261A" w:rsidRPr="00DE264C">
        <w:rPr>
          <w:iCs/>
          <w:noProof/>
        </w:rPr>
        <w:t>contribute</w:t>
      </w:r>
      <w:r w:rsidR="003F75B2" w:rsidRPr="00DE264C">
        <w:rPr>
          <w:iCs/>
          <w:noProof/>
        </w:rPr>
        <w:t xml:space="preserve"> to boost</w:t>
      </w:r>
      <w:r w:rsidR="00287BCB" w:rsidRPr="00DE264C">
        <w:rPr>
          <w:iCs/>
          <w:noProof/>
        </w:rPr>
        <w:t xml:space="preserve"> investment </w:t>
      </w:r>
      <w:r w:rsidRPr="00DE264C">
        <w:rPr>
          <w:iCs/>
          <w:noProof/>
        </w:rPr>
        <w:t xml:space="preserve">in wireless networks by 2035 </w:t>
      </w:r>
      <w:r w:rsidR="0026261A" w:rsidRPr="00DE264C">
        <w:rPr>
          <w:iCs/>
          <w:noProof/>
        </w:rPr>
        <w:t xml:space="preserve">and ensure quality of service needs are fulfilled, also for </w:t>
      </w:r>
      <w:r w:rsidR="0073560E" w:rsidRPr="00DE264C">
        <w:rPr>
          <w:iCs/>
          <w:noProof/>
        </w:rPr>
        <w:t>quality-assured services</w:t>
      </w:r>
      <w:r w:rsidR="0026261A" w:rsidRPr="00DE264C">
        <w:rPr>
          <w:iCs/>
          <w:noProof/>
        </w:rPr>
        <w:t xml:space="preserve">. </w:t>
      </w:r>
      <w:r w:rsidR="00C234AC" w:rsidRPr="00DE264C">
        <w:rPr>
          <w:bCs/>
          <w:iCs/>
          <w:noProof/>
        </w:rPr>
        <w:t xml:space="preserve">The policy intervention </w:t>
      </w:r>
      <w:r w:rsidR="002E0E6D" w:rsidRPr="00DE264C">
        <w:rPr>
          <w:bCs/>
          <w:iCs/>
          <w:noProof/>
        </w:rPr>
        <w:t>will</w:t>
      </w:r>
      <w:r w:rsidR="00C234AC" w:rsidRPr="00DE264C">
        <w:rPr>
          <w:bCs/>
          <w:iCs/>
          <w:noProof/>
        </w:rPr>
        <w:t xml:space="preserve"> </w:t>
      </w:r>
      <w:r w:rsidR="00447DFC" w:rsidRPr="00DE264C">
        <w:rPr>
          <w:rStyle w:val="normaltextrun"/>
          <w:bCs/>
          <w:noProof/>
        </w:rPr>
        <w:t>pave</w:t>
      </w:r>
      <w:r w:rsidR="00C234AC" w:rsidRPr="00DE264C">
        <w:rPr>
          <w:rStyle w:val="normaltextrun"/>
          <w:bCs/>
          <w:noProof/>
        </w:rPr>
        <w:t xml:space="preserve"> </w:t>
      </w:r>
      <w:r w:rsidR="00447DFC" w:rsidRPr="00DE264C">
        <w:rPr>
          <w:rStyle w:val="normaltextrun"/>
          <w:bCs/>
          <w:noProof/>
        </w:rPr>
        <w:t xml:space="preserve">the way for early 6G deployment, including 6G-NTN in synergy with satellite authorisation measures described in the </w:t>
      </w:r>
      <w:r w:rsidR="00F816D5" w:rsidRPr="00DE264C">
        <w:rPr>
          <w:rStyle w:val="normaltextrun"/>
          <w:bCs/>
          <w:noProof/>
        </w:rPr>
        <w:t>relevant</w:t>
      </w:r>
      <w:r w:rsidR="00447DFC" w:rsidRPr="00DE264C">
        <w:rPr>
          <w:rStyle w:val="normaltextrun"/>
          <w:bCs/>
          <w:noProof/>
        </w:rPr>
        <w:t xml:space="preserve"> section.</w:t>
      </w:r>
      <w:r w:rsidR="00447DFC" w:rsidRPr="00DE264C">
        <w:rPr>
          <w:rStyle w:val="normaltextrun"/>
          <w:noProof/>
        </w:rPr>
        <w:t xml:space="preserve"> </w:t>
      </w:r>
      <w:r w:rsidRPr="00DE264C">
        <w:rPr>
          <w:iCs/>
          <w:noProof/>
        </w:rPr>
        <w:t xml:space="preserve">The options therefore propose solutions to </w:t>
      </w:r>
      <w:r w:rsidR="000D27F7" w:rsidRPr="00DE264C">
        <w:rPr>
          <w:iCs/>
          <w:noProof/>
        </w:rPr>
        <w:t xml:space="preserve">increase </w:t>
      </w:r>
      <w:r w:rsidRPr="00DE264C">
        <w:rPr>
          <w:iCs/>
          <w:noProof/>
        </w:rPr>
        <w:t>predictability</w:t>
      </w:r>
      <w:r w:rsidR="000D27F7" w:rsidRPr="00DE264C">
        <w:rPr>
          <w:iCs/>
          <w:noProof/>
        </w:rPr>
        <w:t>, reduce fragmentation</w:t>
      </w:r>
      <w:r w:rsidR="00356BC6" w:rsidRPr="00DE264C">
        <w:rPr>
          <w:iCs/>
          <w:noProof/>
        </w:rPr>
        <w:t>,</w:t>
      </w:r>
      <w:r w:rsidRPr="00DE264C">
        <w:rPr>
          <w:iCs/>
          <w:noProof/>
        </w:rPr>
        <w:t xml:space="preserve"> </w:t>
      </w:r>
      <w:r w:rsidR="000D27F7" w:rsidRPr="00DE264C">
        <w:rPr>
          <w:iCs/>
          <w:noProof/>
        </w:rPr>
        <w:t xml:space="preserve">incentivise </w:t>
      </w:r>
      <w:r w:rsidRPr="00DE264C">
        <w:rPr>
          <w:iCs/>
          <w:noProof/>
        </w:rPr>
        <w:t>investments in</w:t>
      </w:r>
      <w:r w:rsidRPr="00DE264C">
        <w:rPr>
          <w:noProof/>
        </w:rPr>
        <w:t xml:space="preserve"> </w:t>
      </w:r>
      <w:r w:rsidR="00356BC6" w:rsidRPr="00DE264C">
        <w:rPr>
          <w:iCs/>
          <w:noProof/>
        </w:rPr>
        <w:t>high quality</w:t>
      </w:r>
      <w:r w:rsidRPr="00DE264C">
        <w:rPr>
          <w:iCs/>
          <w:noProof/>
        </w:rPr>
        <w:t xml:space="preserve"> mobile networks and ensure more efficient use of spectrum. </w:t>
      </w:r>
    </w:p>
    <w:p w14:paraId="3EB45DC1" w14:textId="2C43ACDE" w:rsidR="00327A5A" w:rsidRPr="00292895" w:rsidRDefault="0031491E" w:rsidP="00023AFB">
      <w:pPr>
        <w:spacing w:line="240" w:lineRule="auto"/>
        <w:rPr>
          <w:noProof/>
        </w:rPr>
      </w:pPr>
      <w:r w:rsidRPr="00DE264C">
        <w:rPr>
          <w:iCs/>
          <w:noProof/>
        </w:rPr>
        <w:t>Each option</w:t>
      </w:r>
      <w:r w:rsidRPr="00DE264C">
        <w:rPr>
          <w:noProof/>
        </w:rPr>
        <w:t xml:space="preserve"> </w:t>
      </w:r>
      <w:r w:rsidR="00356BC6" w:rsidRPr="00DE264C">
        <w:rPr>
          <w:iCs/>
          <w:noProof/>
        </w:rPr>
        <w:t>progressively increases the intensity</w:t>
      </w:r>
      <w:r w:rsidRPr="00DE264C">
        <w:rPr>
          <w:iCs/>
          <w:noProof/>
        </w:rPr>
        <w:t xml:space="preserve"> </w:t>
      </w:r>
      <w:r w:rsidR="00356BC6" w:rsidRPr="00DE264C">
        <w:rPr>
          <w:iCs/>
          <w:noProof/>
        </w:rPr>
        <w:t xml:space="preserve">of </w:t>
      </w:r>
      <w:r w:rsidRPr="00DE264C">
        <w:rPr>
          <w:iCs/>
          <w:noProof/>
        </w:rPr>
        <w:t>interven</w:t>
      </w:r>
      <w:r w:rsidR="00356BC6" w:rsidRPr="00DE264C">
        <w:rPr>
          <w:iCs/>
          <w:noProof/>
        </w:rPr>
        <w:t>tion</w:t>
      </w:r>
      <w:r w:rsidRPr="00DE264C">
        <w:rPr>
          <w:iCs/>
          <w:noProof/>
        </w:rPr>
        <w:t xml:space="preserve"> in six </w:t>
      </w:r>
      <w:r w:rsidR="00840390" w:rsidRPr="00DE264C">
        <w:rPr>
          <w:iCs/>
          <w:noProof/>
        </w:rPr>
        <w:t xml:space="preserve">groups of measures that are linked with the problem drivers illustrated in </w:t>
      </w:r>
      <w:r w:rsidR="00A7579C">
        <w:rPr>
          <w:iCs/>
          <w:noProof/>
        </w:rPr>
        <w:t>S</w:t>
      </w:r>
      <w:r w:rsidR="005E741B" w:rsidRPr="00DE264C">
        <w:rPr>
          <w:iCs/>
          <w:noProof/>
        </w:rPr>
        <w:t xml:space="preserve">ection </w:t>
      </w:r>
      <w:r w:rsidR="00C97AC6" w:rsidRPr="00DE264C">
        <w:rPr>
          <w:iCs/>
          <w:noProof/>
        </w:rPr>
        <w:t>2.2.2</w:t>
      </w:r>
      <w:r w:rsidR="00F850D0" w:rsidRPr="00DE264C">
        <w:rPr>
          <w:iCs/>
          <w:noProof/>
        </w:rPr>
        <w:t>, and are echoing measures which</w:t>
      </w:r>
      <w:r w:rsidR="00D15583" w:rsidRPr="00DE264C">
        <w:rPr>
          <w:iCs/>
          <w:noProof/>
        </w:rPr>
        <w:t xml:space="preserve"> have been </w:t>
      </w:r>
      <w:r w:rsidR="00F850D0" w:rsidRPr="00DE264C">
        <w:rPr>
          <w:iCs/>
          <w:noProof/>
        </w:rPr>
        <w:t>proposed</w:t>
      </w:r>
      <w:r w:rsidR="00D15583" w:rsidRPr="00DE264C">
        <w:rPr>
          <w:iCs/>
          <w:noProof/>
        </w:rPr>
        <w:t xml:space="preserve"> in the Draghi report on EU competitiveness</w:t>
      </w:r>
      <w:r w:rsidR="003E3B56">
        <w:rPr>
          <w:iCs/>
          <w:noProof/>
        </w:rPr>
        <w:t>:</w:t>
      </w:r>
      <w:r w:rsidRPr="00DE264C">
        <w:rPr>
          <w:rFonts w:eastAsia="Arial"/>
          <w:noProof/>
        </w:rPr>
        <w:t xml:space="preserve"> </w:t>
      </w:r>
    </w:p>
    <w:p w14:paraId="6CC97407" w14:textId="7CBD41C2" w:rsidR="00327A5A" w:rsidRPr="00DE264C" w:rsidRDefault="0031491E" w:rsidP="00023AFB">
      <w:pPr>
        <w:pStyle w:val="paragraph"/>
        <w:numPr>
          <w:ilvl w:val="5"/>
          <w:numId w:val="188"/>
        </w:numPr>
        <w:spacing w:beforeAutospacing="0" w:afterAutospacing="0" w:line="240" w:lineRule="auto"/>
        <w:ind w:left="709" w:hanging="425"/>
        <w:contextualSpacing/>
        <w:jc w:val="both"/>
        <w:textAlignment w:val="baseline"/>
        <w:rPr>
          <w:rFonts w:eastAsia="Arial"/>
          <w:noProof/>
        </w:rPr>
      </w:pPr>
      <w:r w:rsidRPr="00DE264C">
        <w:rPr>
          <w:rFonts w:eastAsia="Arial"/>
          <w:noProof/>
        </w:rPr>
        <w:t>longer</w:t>
      </w:r>
      <w:r w:rsidRPr="00DE264C">
        <w:rPr>
          <w:rFonts w:eastAsia="Arial"/>
          <w:b/>
          <w:noProof/>
        </w:rPr>
        <w:t xml:space="preserve"> licence duration</w:t>
      </w:r>
      <w:r w:rsidR="00410408" w:rsidRPr="00DE264C">
        <w:rPr>
          <w:rFonts w:eastAsia="Arial"/>
          <w:iCs/>
          <w:noProof/>
        </w:rPr>
        <w:t xml:space="preserve"> (</w:t>
      </w:r>
      <w:r w:rsidR="006135EE" w:rsidRPr="00DE264C">
        <w:rPr>
          <w:rFonts w:eastAsia="Arial"/>
          <w:iCs/>
          <w:noProof/>
        </w:rPr>
        <w:t xml:space="preserve">causal </w:t>
      </w:r>
      <w:r w:rsidR="00E53C53" w:rsidRPr="00DE264C">
        <w:rPr>
          <w:rFonts w:eastAsia="Arial"/>
          <w:iCs/>
          <w:noProof/>
        </w:rPr>
        <w:t>link</w:t>
      </w:r>
      <w:r w:rsidR="006135EE" w:rsidRPr="00DE264C">
        <w:rPr>
          <w:rFonts w:eastAsia="Arial"/>
          <w:iCs/>
          <w:noProof/>
        </w:rPr>
        <w:t xml:space="preserve"> w</w:t>
      </w:r>
      <w:r w:rsidR="00C11FE3" w:rsidRPr="00DE264C">
        <w:rPr>
          <w:rFonts w:eastAsia="Arial"/>
          <w:iCs/>
          <w:noProof/>
        </w:rPr>
        <w:t>ith</w:t>
      </w:r>
      <w:r w:rsidR="00885A17" w:rsidRPr="00DE264C">
        <w:rPr>
          <w:rFonts w:eastAsia="Arial"/>
          <w:iCs/>
          <w:noProof/>
        </w:rPr>
        <w:t xml:space="preserve"> the </w:t>
      </w:r>
      <w:r w:rsidR="00636D57" w:rsidRPr="00DE264C">
        <w:rPr>
          <w:rFonts w:eastAsia="Arial"/>
          <w:iCs/>
          <w:noProof/>
        </w:rPr>
        <w:t>driver of lack</w:t>
      </w:r>
      <w:r w:rsidR="006213BA" w:rsidRPr="00DE264C">
        <w:rPr>
          <w:rFonts w:eastAsia="Arial"/>
          <w:iCs/>
          <w:noProof/>
        </w:rPr>
        <w:t xml:space="preserve"> of</w:t>
      </w:r>
      <w:r w:rsidR="00410408" w:rsidRPr="00DE264C">
        <w:rPr>
          <w:rFonts w:eastAsia="Arial"/>
          <w:iCs/>
          <w:noProof/>
        </w:rPr>
        <w:t xml:space="preserve"> predictability and financial attractiveness)</w:t>
      </w:r>
    </w:p>
    <w:p w14:paraId="4D9EE412" w14:textId="0390B1B5" w:rsidR="00327A5A" w:rsidRPr="003226B5" w:rsidRDefault="0031491E" w:rsidP="00023AFB">
      <w:pPr>
        <w:pStyle w:val="paragraph"/>
        <w:numPr>
          <w:ilvl w:val="5"/>
          <w:numId w:val="188"/>
        </w:numPr>
        <w:spacing w:beforeAutospacing="0" w:afterAutospacing="0" w:line="240" w:lineRule="auto"/>
        <w:ind w:left="709" w:hanging="425"/>
        <w:contextualSpacing/>
        <w:jc w:val="both"/>
        <w:textAlignment w:val="baseline"/>
        <w:rPr>
          <w:rFonts w:eastAsia="Arial"/>
          <w:noProof/>
        </w:rPr>
      </w:pPr>
      <w:r w:rsidRPr="00DE264C">
        <w:rPr>
          <w:rFonts w:eastAsia="Arial"/>
          <w:b/>
          <w:noProof/>
        </w:rPr>
        <w:t>harmonisation of spectrum authorisation conditions</w:t>
      </w:r>
      <w:r w:rsidRPr="00DE264C">
        <w:rPr>
          <w:rFonts w:eastAsia="Arial"/>
          <w:iCs/>
          <w:noProof/>
        </w:rPr>
        <w:t xml:space="preserve"> and </w:t>
      </w:r>
      <w:r w:rsidRPr="00DE264C">
        <w:rPr>
          <w:rFonts w:eastAsia="Arial"/>
          <w:b/>
          <w:noProof/>
        </w:rPr>
        <w:t>consistent use of market shaping measures</w:t>
      </w:r>
      <w:r w:rsidRPr="00DE264C">
        <w:rPr>
          <w:rFonts w:eastAsia="Arial"/>
          <w:iCs/>
          <w:noProof/>
        </w:rPr>
        <w:t xml:space="preserve"> </w:t>
      </w:r>
      <w:r w:rsidRPr="00DE264C">
        <w:rPr>
          <w:rFonts w:eastAsia="Arial"/>
          <w:noProof/>
        </w:rPr>
        <w:t>(</w:t>
      </w:r>
      <w:r w:rsidR="00C11FE3" w:rsidRPr="00DE264C">
        <w:rPr>
          <w:rFonts w:eastAsia="Arial"/>
          <w:iCs/>
          <w:noProof/>
        </w:rPr>
        <w:t xml:space="preserve">causal </w:t>
      </w:r>
      <w:r w:rsidR="00146051" w:rsidRPr="00DE264C">
        <w:rPr>
          <w:rFonts w:eastAsia="Arial"/>
          <w:iCs/>
          <w:noProof/>
        </w:rPr>
        <w:t>link</w:t>
      </w:r>
      <w:r w:rsidR="00C11FE3" w:rsidRPr="00DE264C">
        <w:rPr>
          <w:rFonts w:eastAsia="Arial"/>
          <w:iCs/>
          <w:noProof/>
        </w:rPr>
        <w:t xml:space="preserve"> with</w:t>
      </w:r>
      <w:r w:rsidR="006213BA" w:rsidRPr="00DE264C">
        <w:rPr>
          <w:rFonts w:eastAsia="Arial"/>
          <w:iCs/>
          <w:noProof/>
        </w:rPr>
        <w:t xml:space="preserve"> the driver of</w:t>
      </w:r>
      <w:r w:rsidR="009750DB" w:rsidRPr="00DE264C">
        <w:rPr>
          <w:rFonts w:eastAsia="Arial"/>
          <w:iCs/>
          <w:noProof/>
        </w:rPr>
        <w:t xml:space="preserve"> </w:t>
      </w:r>
      <w:r w:rsidR="00C11FE3" w:rsidRPr="00DE264C">
        <w:rPr>
          <w:rFonts w:eastAsia="Arial"/>
          <w:iCs/>
          <w:noProof/>
        </w:rPr>
        <w:t xml:space="preserve">regulatory </w:t>
      </w:r>
      <w:r w:rsidR="009750DB" w:rsidRPr="00DE264C">
        <w:rPr>
          <w:rFonts w:eastAsia="Arial"/>
          <w:iCs/>
          <w:noProof/>
        </w:rPr>
        <w:t xml:space="preserve">fragmentation </w:t>
      </w:r>
      <w:r w:rsidR="00F6785F" w:rsidRPr="00DE264C">
        <w:rPr>
          <w:rFonts w:eastAsia="Arial"/>
          <w:iCs/>
          <w:noProof/>
        </w:rPr>
        <w:t>insufficiently</w:t>
      </w:r>
      <w:r w:rsidR="002F0E40" w:rsidRPr="00DE264C">
        <w:rPr>
          <w:rFonts w:eastAsia="Arial"/>
          <w:iCs/>
          <w:noProof/>
        </w:rPr>
        <w:t xml:space="preserve"> incentivising</w:t>
      </w:r>
      <w:r w:rsidR="009750DB" w:rsidRPr="00DE264C">
        <w:rPr>
          <w:rFonts w:eastAsia="Arial"/>
          <w:iCs/>
          <w:noProof/>
        </w:rPr>
        <w:t xml:space="preserve"> investment</w:t>
      </w:r>
      <w:r w:rsidR="002F0E40" w:rsidRPr="00DE264C">
        <w:rPr>
          <w:rFonts w:eastAsia="Arial"/>
          <w:iCs/>
          <w:noProof/>
        </w:rPr>
        <w:t>s</w:t>
      </w:r>
      <w:r w:rsidR="009750DB" w:rsidRPr="00DE264C">
        <w:rPr>
          <w:rFonts w:eastAsia="Arial"/>
          <w:iCs/>
          <w:noProof/>
        </w:rPr>
        <w:t>, excessive cost</w:t>
      </w:r>
      <w:r w:rsidR="00D00F33" w:rsidRPr="00DE264C">
        <w:rPr>
          <w:rFonts w:eastAsia="Arial"/>
          <w:iCs/>
          <w:noProof/>
        </w:rPr>
        <w:t xml:space="preserve"> of spectrum</w:t>
      </w:r>
      <w:r w:rsidR="00146051" w:rsidRPr="00DE264C">
        <w:rPr>
          <w:rFonts w:eastAsia="Arial"/>
          <w:iCs/>
          <w:noProof/>
        </w:rPr>
        <w:t>, lack of predictability</w:t>
      </w:r>
      <w:r w:rsidR="009750DB" w:rsidRPr="00DE264C">
        <w:rPr>
          <w:rFonts w:eastAsia="Arial"/>
          <w:iCs/>
          <w:noProof/>
        </w:rPr>
        <w:t>)</w:t>
      </w:r>
      <w:r w:rsidR="006213BA" w:rsidRPr="00DE264C">
        <w:rPr>
          <w:rFonts w:eastAsia="Arial"/>
          <w:iCs/>
          <w:noProof/>
        </w:rPr>
        <w:t xml:space="preserve"> </w:t>
      </w:r>
    </w:p>
    <w:p w14:paraId="7627FD8F" w14:textId="60FE148A" w:rsidR="00327A5A" w:rsidRPr="00DE264C" w:rsidRDefault="0031491E" w:rsidP="00023AFB">
      <w:pPr>
        <w:pStyle w:val="paragraph"/>
        <w:numPr>
          <w:ilvl w:val="5"/>
          <w:numId w:val="188"/>
        </w:numPr>
        <w:spacing w:beforeAutospacing="0" w:afterAutospacing="0" w:line="240" w:lineRule="auto"/>
        <w:ind w:left="709" w:hanging="425"/>
        <w:contextualSpacing/>
        <w:jc w:val="both"/>
        <w:textAlignment w:val="baseline"/>
        <w:rPr>
          <w:rFonts w:eastAsia="Arial"/>
          <w:noProof/>
        </w:rPr>
      </w:pPr>
      <w:r w:rsidRPr="00DE264C">
        <w:rPr>
          <w:rFonts w:eastAsia="Arial"/>
          <w:b/>
          <w:noProof/>
        </w:rPr>
        <w:t>roadmaps to ensure availability of spectrum</w:t>
      </w:r>
      <w:r w:rsidRPr="00DE264C">
        <w:rPr>
          <w:rFonts w:eastAsia="Arial"/>
          <w:iCs/>
          <w:noProof/>
        </w:rPr>
        <w:t xml:space="preserve">, including for the coordinated launch of 6G </w:t>
      </w:r>
      <w:r w:rsidRPr="00DE264C">
        <w:rPr>
          <w:rFonts w:eastAsia="Arial"/>
          <w:noProof/>
        </w:rPr>
        <w:t>(</w:t>
      </w:r>
      <w:r w:rsidR="00015908" w:rsidRPr="00DE264C">
        <w:rPr>
          <w:rFonts w:eastAsia="Arial"/>
          <w:iCs/>
          <w:noProof/>
        </w:rPr>
        <w:t xml:space="preserve">causal </w:t>
      </w:r>
      <w:r w:rsidR="00043FE0" w:rsidRPr="00DE264C">
        <w:rPr>
          <w:rFonts w:eastAsia="Arial"/>
          <w:iCs/>
          <w:noProof/>
        </w:rPr>
        <w:t xml:space="preserve">link </w:t>
      </w:r>
      <w:r w:rsidR="00015908" w:rsidRPr="00DE264C">
        <w:rPr>
          <w:rFonts w:eastAsia="Arial"/>
          <w:iCs/>
          <w:noProof/>
        </w:rPr>
        <w:t xml:space="preserve">with </w:t>
      </w:r>
      <w:r w:rsidR="00043FE0" w:rsidRPr="00DE264C">
        <w:rPr>
          <w:rFonts w:eastAsia="Arial"/>
          <w:iCs/>
          <w:noProof/>
        </w:rPr>
        <w:t xml:space="preserve">the driver of lack of </w:t>
      </w:r>
      <w:r w:rsidR="00015908" w:rsidRPr="00DE264C">
        <w:rPr>
          <w:rFonts w:eastAsia="Arial"/>
          <w:iCs/>
          <w:noProof/>
        </w:rPr>
        <w:t>predictability</w:t>
      </w:r>
      <w:r w:rsidR="00E44C5B" w:rsidRPr="00DE264C">
        <w:rPr>
          <w:rFonts w:eastAsia="Arial"/>
          <w:iCs/>
          <w:noProof/>
        </w:rPr>
        <w:t xml:space="preserve"> and regulatory fragmentation</w:t>
      </w:r>
      <w:r w:rsidR="00015908" w:rsidRPr="00DE264C">
        <w:rPr>
          <w:rFonts w:eastAsia="Arial"/>
          <w:iCs/>
          <w:noProof/>
        </w:rPr>
        <w:t xml:space="preserve">) </w:t>
      </w:r>
    </w:p>
    <w:p w14:paraId="7BE034C6" w14:textId="0E66DD49" w:rsidR="00327A5A" w:rsidRPr="00DE264C" w:rsidRDefault="0031491E" w:rsidP="00023AFB">
      <w:pPr>
        <w:pStyle w:val="paragraph"/>
        <w:numPr>
          <w:ilvl w:val="5"/>
          <w:numId w:val="188"/>
        </w:numPr>
        <w:spacing w:beforeAutospacing="0" w:afterAutospacing="0" w:line="240" w:lineRule="auto"/>
        <w:ind w:left="709" w:hanging="425"/>
        <w:contextualSpacing/>
        <w:jc w:val="both"/>
        <w:textAlignment w:val="baseline"/>
        <w:rPr>
          <w:rFonts w:eastAsia="Arial"/>
          <w:noProof/>
        </w:rPr>
      </w:pPr>
      <w:r w:rsidRPr="00DE264C">
        <w:rPr>
          <w:rFonts w:eastAsia="Arial"/>
          <w:b/>
          <w:noProof/>
        </w:rPr>
        <w:t>enhanc</w:t>
      </w:r>
      <w:r w:rsidR="00D15583" w:rsidRPr="00DE264C">
        <w:rPr>
          <w:rFonts w:eastAsia="Arial"/>
          <w:b/>
          <w:noProof/>
        </w:rPr>
        <w:t>ing</w:t>
      </w:r>
      <w:r w:rsidRPr="00DE264C">
        <w:rPr>
          <w:rFonts w:eastAsia="Arial"/>
          <w:b/>
          <w:noProof/>
        </w:rPr>
        <w:t xml:space="preserve"> spectrum sharing </w:t>
      </w:r>
      <w:r w:rsidR="00FD7D64" w:rsidRPr="00292895">
        <w:rPr>
          <w:rFonts w:eastAsia="Arial"/>
          <w:bCs/>
          <w:noProof/>
        </w:rPr>
        <w:t>in compliance with competition law</w:t>
      </w:r>
      <w:r w:rsidR="00FD7D64">
        <w:rPr>
          <w:rFonts w:eastAsia="Arial"/>
          <w:b/>
          <w:noProof/>
        </w:rPr>
        <w:t xml:space="preserve"> </w:t>
      </w:r>
      <w:r w:rsidR="00E44C5B" w:rsidRPr="00DE264C">
        <w:rPr>
          <w:rFonts w:eastAsia="Arial"/>
          <w:iCs/>
          <w:noProof/>
        </w:rPr>
        <w:t xml:space="preserve">causal effect with </w:t>
      </w:r>
      <w:r w:rsidR="00043FE0" w:rsidRPr="00DE264C">
        <w:rPr>
          <w:rFonts w:eastAsia="Arial"/>
          <w:iCs/>
          <w:noProof/>
        </w:rPr>
        <w:t xml:space="preserve">the driver of </w:t>
      </w:r>
      <w:r w:rsidR="0090026F" w:rsidRPr="00DE264C">
        <w:rPr>
          <w:rFonts w:eastAsia="Arial"/>
          <w:iCs/>
          <w:noProof/>
        </w:rPr>
        <w:t xml:space="preserve">regulatory fragmentation </w:t>
      </w:r>
      <w:r w:rsidR="00F6785F" w:rsidRPr="00DE264C">
        <w:rPr>
          <w:rFonts w:eastAsia="Arial"/>
          <w:iCs/>
          <w:noProof/>
        </w:rPr>
        <w:t xml:space="preserve">not ensuring </w:t>
      </w:r>
      <w:r w:rsidR="00E44C5B" w:rsidRPr="00DE264C">
        <w:rPr>
          <w:rFonts w:eastAsia="Arial"/>
          <w:iCs/>
          <w:noProof/>
        </w:rPr>
        <w:t>efficient use of spectrum</w:t>
      </w:r>
      <w:r w:rsidR="008D7082" w:rsidRPr="00DE264C">
        <w:rPr>
          <w:rFonts w:eastAsia="Arial"/>
          <w:iCs/>
          <w:noProof/>
        </w:rPr>
        <w:t xml:space="preserve">) </w:t>
      </w:r>
    </w:p>
    <w:p w14:paraId="71300FC3" w14:textId="1B43E342" w:rsidR="001C51FF" w:rsidRPr="00DE264C" w:rsidRDefault="0031491E" w:rsidP="00023AFB">
      <w:pPr>
        <w:pStyle w:val="paragraph"/>
        <w:numPr>
          <w:ilvl w:val="5"/>
          <w:numId w:val="188"/>
        </w:numPr>
        <w:spacing w:beforeAutospacing="0" w:afterAutospacing="0" w:line="240" w:lineRule="auto"/>
        <w:ind w:left="709" w:hanging="425"/>
        <w:contextualSpacing/>
        <w:jc w:val="both"/>
        <w:textAlignment w:val="baseline"/>
        <w:rPr>
          <w:rFonts w:eastAsia="Arial"/>
          <w:iCs/>
          <w:noProof/>
        </w:rPr>
      </w:pPr>
      <w:r w:rsidRPr="00DE264C">
        <w:rPr>
          <w:rFonts w:eastAsia="Arial"/>
          <w:b/>
          <w:noProof/>
        </w:rPr>
        <w:t>facilitating spectrum harmonisation for innovators</w:t>
      </w:r>
      <w:r w:rsidR="00291CF9" w:rsidRPr="00DE264C">
        <w:rPr>
          <w:rFonts w:eastAsia="Arial"/>
          <w:iCs/>
          <w:noProof/>
        </w:rPr>
        <w:t xml:space="preserve"> (driver of regulatory fragmentation not ensuring efficient use of spectrum</w:t>
      </w:r>
      <w:r w:rsidR="003A7E78" w:rsidRPr="00DE264C">
        <w:rPr>
          <w:rFonts w:eastAsia="Arial"/>
          <w:iCs/>
          <w:noProof/>
        </w:rPr>
        <w:t>)</w:t>
      </w:r>
      <w:r w:rsidRPr="00DE264C">
        <w:rPr>
          <w:rFonts w:eastAsia="Arial"/>
          <w:iCs/>
          <w:noProof/>
        </w:rPr>
        <w:t xml:space="preserve">, and </w:t>
      </w:r>
    </w:p>
    <w:p w14:paraId="2D58B158" w14:textId="16721520" w:rsidR="0031491E" w:rsidRPr="00DE264C" w:rsidRDefault="0031491E" w:rsidP="00023AFB">
      <w:pPr>
        <w:pStyle w:val="paragraph"/>
        <w:numPr>
          <w:ilvl w:val="5"/>
          <w:numId w:val="188"/>
        </w:numPr>
        <w:spacing w:beforeAutospacing="0" w:afterAutospacing="0" w:line="240" w:lineRule="auto"/>
        <w:ind w:left="709" w:hanging="425"/>
        <w:jc w:val="both"/>
        <w:textAlignment w:val="baseline"/>
        <w:rPr>
          <w:rFonts w:eastAsia="Arial"/>
          <w:noProof/>
        </w:rPr>
      </w:pPr>
      <w:r w:rsidRPr="00DE264C">
        <w:rPr>
          <w:rFonts w:eastAsia="Arial"/>
          <w:b/>
          <w:noProof/>
        </w:rPr>
        <w:t>ensuring sovereignty/security</w:t>
      </w:r>
      <w:r w:rsidRPr="00DE264C">
        <w:rPr>
          <w:rFonts w:eastAsia="Arial"/>
          <w:iCs/>
          <w:noProof/>
        </w:rPr>
        <w:t>, including by addressing harmful interferenc</w:t>
      </w:r>
      <w:r w:rsidR="00287BCB" w:rsidRPr="00DE264C">
        <w:rPr>
          <w:rFonts w:eastAsia="Arial"/>
          <w:iCs/>
          <w:noProof/>
        </w:rPr>
        <w:t>es</w:t>
      </w:r>
      <w:r w:rsidR="00277010" w:rsidRPr="00DE264C">
        <w:rPr>
          <w:rFonts w:eastAsia="Arial"/>
          <w:iCs/>
          <w:noProof/>
        </w:rPr>
        <w:t xml:space="preserve"> (causal effect with </w:t>
      </w:r>
      <w:r w:rsidR="00B8513B" w:rsidRPr="00DE264C">
        <w:rPr>
          <w:rFonts w:eastAsia="Arial"/>
          <w:iCs/>
          <w:noProof/>
        </w:rPr>
        <w:t xml:space="preserve">the driver of lack of </w:t>
      </w:r>
      <w:r w:rsidR="00277010" w:rsidRPr="00DE264C">
        <w:rPr>
          <w:rFonts w:eastAsia="Arial"/>
          <w:iCs/>
          <w:noProof/>
        </w:rPr>
        <w:t>predictability</w:t>
      </w:r>
      <w:r w:rsidR="00B8513B" w:rsidRPr="00DE264C">
        <w:rPr>
          <w:rFonts w:eastAsia="Arial"/>
          <w:iCs/>
          <w:noProof/>
        </w:rPr>
        <w:t xml:space="preserve"> and </w:t>
      </w:r>
      <w:r w:rsidR="00840390" w:rsidRPr="00DE264C">
        <w:rPr>
          <w:rFonts w:eastAsia="Arial"/>
          <w:iCs/>
          <w:noProof/>
        </w:rPr>
        <w:t>inefficient use of spectrum)</w:t>
      </w:r>
      <w:r w:rsidR="00287BCB" w:rsidRPr="00DE264C">
        <w:rPr>
          <w:rFonts w:eastAsia="Arial"/>
          <w:iCs/>
          <w:noProof/>
        </w:rPr>
        <w:t>.</w:t>
      </w:r>
    </w:p>
    <w:p w14:paraId="5C6A884A" w14:textId="08191F9D" w:rsidR="00685F3A" w:rsidRPr="00DE264C" w:rsidRDefault="00F731D1" w:rsidP="00023AFB">
      <w:pPr>
        <w:pStyle w:val="paragraph"/>
        <w:spacing w:beforeAutospacing="0" w:afterAutospacing="0" w:line="240" w:lineRule="auto"/>
        <w:jc w:val="both"/>
        <w:textAlignment w:val="baseline"/>
        <w:rPr>
          <w:noProof/>
        </w:rPr>
      </w:pPr>
      <w:r>
        <w:rPr>
          <w:noProof/>
        </w:rPr>
        <w:t xml:space="preserve">The </w:t>
      </w:r>
      <w:r w:rsidRPr="004267B2">
        <w:rPr>
          <w:noProof/>
        </w:rPr>
        <w:t>Draghi</w:t>
      </w:r>
      <w:r>
        <w:rPr>
          <w:noProof/>
        </w:rPr>
        <w:t xml:space="preserve"> Report proposed similar measures which have to a certain extent inspired and informed the proposed measures. More specifically, the report suggested:</w:t>
      </w:r>
    </w:p>
    <w:p w14:paraId="330DEEC3" w14:textId="2519D4E5" w:rsidR="00685F3A" w:rsidRPr="00DE264C" w:rsidRDefault="00F731D1" w:rsidP="00023AFB">
      <w:pPr>
        <w:pStyle w:val="paragraph"/>
        <w:numPr>
          <w:ilvl w:val="0"/>
          <w:numId w:val="185"/>
        </w:numPr>
        <w:spacing w:beforeAutospacing="0" w:afterAutospacing="0" w:line="240" w:lineRule="auto"/>
        <w:ind w:left="714" w:hanging="357"/>
        <w:contextualSpacing/>
        <w:jc w:val="both"/>
        <w:textAlignment w:val="baseline"/>
        <w:rPr>
          <w:noProof/>
        </w:rPr>
      </w:pPr>
      <w:r>
        <w:rPr>
          <w:noProof/>
        </w:rPr>
        <w:t xml:space="preserve">harmonising EU-wide spectrum licensing rules and processes, including for satellite uses, and orchestrate EU-wide auction design features to create scale benefits and incentivise the consolidation of continental digital networks, a measure which is echoed in the proposed harmonisation of spectrum authorisation and award conditions and in the EU satellite authorisation; </w:t>
      </w:r>
    </w:p>
    <w:p w14:paraId="2706A0CD" w14:textId="0F17707E" w:rsidR="00685F3A" w:rsidRPr="00DE264C" w:rsidRDefault="00F731D1" w:rsidP="00023AFB">
      <w:pPr>
        <w:pStyle w:val="paragraph"/>
        <w:numPr>
          <w:ilvl w:val="0"/>
          <w:numId w:val="185"/>
        </w:numPr>
        <w:spacing w:beforeAutospacing="0" w:afterAutospacing="0" w:line="240" w:lineRule="auto"/>
        <w:ind w:left="714" w:hanging="357"/>
        <w:contextualSpacing/>
        <w:jc w:val="both"/>
        <w:textAlignment w:val="baseline"/>
        <w:rPr>
          <w:noProof/>
        </w:rPr>
      </w:pPr>
      <w:r>
        <w:rPr>
          <w:noProof/>
        </w:rPr>
        <w:t xml:space="preserve">harmonising the release of new frequency bands to allow investment across Member States by EU players, guarantee the timing of harmonisation and include the release of additional WiFi-dedicated bands into the spectrum guidelines, to allocate enough spectrum to 5G and 6G, which is echoed in the proposals related with the spectrum roadmap and in the proposal relevant for the petition for rule making; </w:t>
      </w:r>
    </w:p>
    <w:p w14:paraId="573A97C5" w14:textId="4B6BCDE8" w:rsidR="00685F3A" w:rsidRPr="00DE264C" w:rsidRDefault="00F731D1" w:rsidP="00023AFB">
      <w:pPr>
        <w:pStyle w:val="paragraph"/>
        <w:numPr>
          <w:ilvl w:val="0"/>
          <w:numId w:val="185"/>
        </w:numPr>
        <w:spacing w:beforeAutospacing="0" w:afterAutospacing="0" w:line="240" w:lineRule="auto"/>
        <w:ind w:left="714" w:hanging="357"/>
        <w:contextualSpacing/>
        <w:jc w:val="both"/>
        <w:textAlignment w:val="baseline"/>
        <w:rPr>
          <w:noProof/>
        </w:rPr>
      </w:pPr>
      <w:r>
        <w:rPr>
          <w:noProof/>
        </w:rPr>
        <w:t xml:space="preserve">introducing a Commission veto on auctions not following harmonised guidelines which is echoed in the proposal for mandatory spectrum </w:t>
      </w:r>
      <w:r w:rsidR="00584258">
        <w:rPr>
          <w:noProof/>
        </w:rPr>
        <w:t>single market procedure</w:t>
      </w:r>
      <w:r>
        <w:rPr>
          <w:noProof/>
        </w:rPr>
        <w:t xml:space="preserve"> and veto on market shaping measures; </w:t>
      </w:r>
    </w:p>
    <w:p w14:paraId="2F830680" w14:textId="5F457D15" w:rsidR="00685F3A" w:rsidRPr="00DE264C" w:rsidRDefault="00F731D1" w:rsidP="00023AFB">
      <w:pPr>
        <w:pStyle w:val="paragraph"/>
        <w:numPr>
          <w:ilvl w:val="0"/>
          <w:numId w:val="185"/>
        </w:numPr>
        <w:spacing w:beforeAutospacing="0" w:afterAutospacing="0" w:line="240" w:lineRule="auto"/>
        <w:ind w:left="714" w:hanging="357"/>
        <w:contextualSpacing/>
        <w:jc w:val="both"/>
        <w:textAlignment w:val="baseline"/>
        <w:rPr>
          <w:noProof/>
        </w:rPr>
      </w:pPr>
      <w:r>
        <w:rPr>
          <w:noProof/>
        </w:rPr>
        <w:t xml:space="preserve">at least doubling the duration of frequency licences, with the possibility of reselling during their lifespan, which is echoed in the proposal for unlimited license duration by default, quasi automatic renewal and facilitation of spectrum trading and leasing; </w:t>
      </w:r>
    </w:p>
    <w:p w14:paraId="54AA0394" w14:textId="07DC69BF" w:rsidR="00C87C29" w:rsidRDefault="00F731D1" w:rsidP="00023AFB">
      <w:pPr>
        <w:pStyle w:val="paragraph"/>
        <w:numPr>
          <w:ilvl w:val="0"/>
          <w:numId w:val="185"/>
        </w:numPr>
        <w:spacing w:beforeAutospacing="0" w:afterAutospacing="0" w:line="240" w:lineRule="auto"/>
        <w:ind w:left="714" w:hanging="357"/>
        <w:contextualSpacing/>
        <w:jc w:val="both"/>
        <w:textAlignment w:val="baseline"/>
        <w:rPr>
          <w:noProof/>
        </w:rPr>
      </w:pPr>
      <w:r>
        <w:rPr>
          <w:noProof/>
        </w:rPr>
        <w:t>banning reservations in spectrum allocation and restrict the imposition of caps for spectrum holdings only to cases of dominant position, which are echoed in the proposal with the reinforcement of the robustness of the competition assessment before imposing such remedies.</w:t>
      </w:r>
    </w:p>
    <w:p w14:paraId="01403957" w14:textId="77777777" w:rsidR="008B2C0C" w:rsidRDefault="008B2C0C" w:rsidP="00236E38">
      <w:pPr>
        <w:pStyle w:val="paragraph"/>
        <w:spacing w:beforeAutospacing="0" w:after="60" w:afterAutospacing="0"/>
        <w:jc w:val="both"/>
        <w:textAlignment w:val="baseline"/>
        <w:rPr>
          <w:noProof/>
        </w:rPr>
      </w:pPr>
    </w:p>
    <w:p w14:paraId="3834F8C7" w14:textId="77777777" w:rsidR="00C87C29" w:rsidRDefault="00C87C29" w:rsidP="00236E38">
      <w:pPr>
        <w:pStyle w:val="paragraph"/>
        <w:spacing w:beforeAutospacing="0" w:after="60" w:afterAutospacing="0"/>
        <w:jc w:val="both"/>
        <w:textAlignment w:val="baseline"/>
        <w:rPr>
          <w:noProof/>
        </w:rPr>
        <w:sectPr w:rsidR="00C87C29" w:rsidSect="00E15E8C">
          <w:headerReference w:type="default" r:id="rId48"/>
          <w:footerReference w:type="default" r:id="rId49"/>
          <w:headerReference w:type="first" r:id="rId50"/>
          <w:footerReference w:type="first" r:id="rId51"/>
          <w:pgSz w:w="11906" w:h="16838" w:code="9"/>
          <w:pgMar w:top="1021" w:right="566" w:bottom="1021" w:left="1843" w:header="601" w:footer="1077" w:gutter="0"/>
          <w:cols w:space="720"/>
          <w:titlePg/>
        </w:sectPr>
      </w:pPr>
    </w:p>
    <w:p w14:paraId="3BC8AE56" w14:textId="44653C5C" w:rsidR="008B2C0C" w:rsidRPr="00280EAD" w:rsidRDefault="008B2C0C" w:rsidP="00292895">
      <w:pPr>
        <w:spacing w:after="120"/>
        <w:rPr>
          <w:rFonts w:eastAsiaTheme="minorEastAsia"/>
          <w:i/>
          <w:noProof/>
          <w:u w:val="single"/>
          <w:lang w:val="en-IE"/>
        </w:rPr>
      </w:pPr>
      <w:r w:rsidRPr="00280EAD">
        <w:rPr>
          <w:i/>
          <w:noProof/>
          <w:u w:val="single"/>
        </w:rPr>
        <w:t>Table 1</w:t>
      </w:r>
      <w:r w:rsidR="00F7098C">
        <w:rPr>
          <w:i/>
          <w:noProof/>
          <w:u w:val="single"/>
        </w:rPr>
        <w:t>5</w:t>
      </w:r>
      <w:r w:rsidRPr="00280EAD">
        <w:rPr>
          <w:i/>
          <w:noProof/>
          <w:u w:val="single"/>
        </w:rPr>
        <w:t>: Spectrum options and links to the problem driver and specific objective</w:t>
      </w:r>
    </w:p>
    <w:tbl>
      <w:tblPr>
        <w:tblStyle w:val="TableGrid"/>
        <w:tblW w:w="1502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418"/>
        <w:gridCol w:w="3495"/>
        <w:gridCol w:w="4443"/>
        <w:gridCol w:w="3969"/>
      </w:tblGrid>
      <w:tr w:rsidR="0068199E" w:rsidRPr="00013332" w14:paraId="76624CF3" w14:textId="77777777" w:rsidTr="00BE337F">
        <w:trPr>
          <w:tblHeader/>
        </w:trPr>
        <w:tc>
          <w:tcPr>
            <w:tcW w:w="1696" w:type="dxa"/>
            <w:vMerge w:val="restart"/>
            <w:tcMar>
              <w:left w:w="57" w:type="dxa"/>
              <w:right w:w="57" w:type="dxa"/>
            </w:tcMar>
          </w:tcPr>
          <w:p w14:paraId="3AA34E82" w14:textId="31232528" w:rsidR="00753EC0" w:rsidRPr="00013332" w:rsidRDefault="00753EC0" w:rsidP="00236E38">
            <w:pPr>
              <w:pStyle w:val="paragraph"/>
              <w:spacing w:beforeAutospacing="0" w:after="120" w:afterAutospacing="0"/>
              <w:jc w:val="both"/>
              <w:textAlignment w:val="baseline"/>
              <w:rPr>
                <w:noProof/>
                <w:sz w:val="20"/>
                <w:szCs w:val="20"/>
              </w:rPr>
            </w:pPr>
            <w:r w:rsidRPr="00013332">
              <w:rPr>
                <w:b/>
                <w:bCs/>
                <w:noProof/>
                <w:sz w:val="20"/>
                <w:szCs w:val="20"/>
              </w:rPr>
              <w:t>Problem drivers</w:t>
            </w:r>
          </w:p>
        </w:tc>
        <w:tc>
          <w:tcPr>
            <w:tcW w:w="1418" w:type="dxa"/>
            <w:vMerge w:val="restart"/>
            <w:tcMar>
              <w:left w:w="57" w:type="dxa"/>
              <w:right w:w="57" w:type="dxa"/>
            </w:tcMar>
          </w:tcPr>
          <w:p w14:paraId="2607B2DC" w14:textId="2C553524" w:rsidR="00753EC0" w:rsidRPr="00013332" w:rsidRDefault="00753EC0" w:rsidP="00236E38">
            <w:pPr>
              <w:pStyle w:val="paragraph"/>
              <w:spacing w:beforeAutospacing="0" w:after="120" w:afterAutospacing="0"/>
              <w:jc w:val="both"/>
              <w:textAlignment w:val="baseline"/>
              <w:rPr>
                <w:noProof/>
                <w:sz w:val="20"/>
                <w:szCs w:val="20"/>
              </w:rPr>
            </w:pPr>
            <w:r w:rsidRPr="00013332">
              <w:rPr>
                <w:b/>
                <w:bCs/>
                <w:noProof/>
                <w:sz w:val="20"/>
                <w:szCs w:val="20"/>
              </w:rPr>
              <w:t>Specific policy objectives</w:t>
            </w:r>
          </w:p>
        </w:tc>
        <w:tc>
          <w:tcPr>
            <w:tcW w:w="3495" w:type="dxa"/>
            <w:tcMar>
              <w:left w:w="57" w:type="dxa"/>
              <w:right w:w="57" w:type="dxa"/>
            </w:tcMar>
          </w:tcPr>
          <w:p w14:paraId="10656F67" w14:textId="454CE145" w:rsidR="00753EC0" w:rsidRPr="00013332" w:rsidRDefault="00753EC0" w:rsidP="00236E38">
            <w:pPr>
              <w:pStyle w:val="paragraph"/>
              <w:spacing w:beforeAutospacing="0" w:after="120" w:afterAutospacing="0"/>
              <w:jc w:val="both"/>
              <w:textAlignment w:val="baseline"/>
              <w:rPr>
                <w:noProof/>
                <w:sz w:val="20"/>
                <w:szCs w:val="20"/>
              </w:rPr>
            </w:pPr>
            <w:r w:rsidRPr="00013332">
              <w:rPr>
                <w:b/>
                <w:bCs/>
                <w:noProof/>
                <w:sz w:val="20"/>
                <w:szCs w:val="20"/>
              </w:rPr>
              <w:t>Policy options - Spectrum</w:t>
            </w:r>
          </w:p>
        </w:tc>
        <w:tc>
          <w:tcPr>
            <w:tcW w:w="4443" w:type="dxa"/>
            <w:tcMar>
              <w:left w:w="57" w:type="dxa"/>
              <w:right w:w="57" w:type="dxa"/>
            </w:tcMar>
          </w:tcPr>
          <w:p w14:paraId="1E6F6EDA" w14:textId="77777777" w:rsidR="00753EC0" w:rsidRPr="00013332" w:rsidRDefault="00753EC0" w:rsidP="00236E38">
            <w:pPr>
              <w:pStyle w:val="paragraph"/>
              <w:spacing w:beforeAutospacing="0" w:after="120" w:afterAutospacing="0"/>
              <w:jc w:val="both"/>
              <w:textAlignment w:val="baseline"/>
              <w:rPr>
                <w:noProof/>
                <w:sz w:val="20"/>
                <w:szCs w:val="20"/>
              </w:rPr>
            </w:pPr>
          </w:p>
        </w:tc>
        <w:tc>
          <w:tcPr>
            <w:tcW w:w="3969" w:type="dxa"/>
            <w:tcMar>
              <w:left w:w="57" w:type="dxa"/>
              <w:right w:w="57" w:type="dxa"/>
            </w:tcMar>
          </w:tcPr>
          <w:p w14:paraId="33FC7005" w14:textId="77777777" w:rsidR="00753EC0" w:rsidRPr="00013332" w:rsidRDefault="00753EC0" w:rsidP="00236E38">
            <w:pPr>
              <w:pStyle w:val="paragraph"/>
              <w:spacing w:beforeAutospacing="0" w:after="120" w:afterAutospacing="0"/>
              <w:jc w:val="both"/>
              <w:textAlignment w:val="baseline"/>
              <w:rPr>
                <w:noProof/>
                <w:sz w:val="20"/>
                <w:szCs w:val="20"/>
              </w:rPr>
            </w:pPr>
          </w:p>
        </w:tc>
      </w:tr>
      <w:tr w:rsidR="0068199E" w:rsidRPr="00013332" w14:paraId="705F6F2F" w14:textId="77777777" w:rsidTr="00BE337F">
        <w:trPr>
          <w:tblHeader/>
        </w:trPr>
        <w:tc>
          <w:tcPr>
            <w:tcW w:w="1696" w:type="dxa"/>
            <w:vMerge/>
            <w:tcMar>
              <w:left w:w="57" w:type="dxa"/>
              <w:right w:w="57" w:type="dxa"/>
            </w:tcMar>
          </w:tcPr>
          <w:p w14:paraId="342EFE04" w14:textId="77777777" w:rsidR="00753EC0" w:rsidRPr="00013332" w:rsidRDefault="00753EC0" w:rsidP="004B7CA0">
            <w:pPr>
              <w:pStyle w:val="paragraph"/>
              <w:spacing w:beforeAutospacing="0" w:after="120" w:afterAutospacing="0"/>
              <w:jc w:val="both"/>
              <w:textAlignment w:val="baseline"/>
              <w:rPr>
                <w:noProof/>
                <w:sz w:val="20"/>
                <w:szCs w:val="20"/>
              </w:rPr>
            </w:pPr>
          </w:p>
        </w:tc>
        <w:tc>
          <w:tcPr>
            <w:tcW w:w="1418" w:type="dxa"/>
            <w:vMerge/>
            <w:tcMar>
              <w:left w:w="57" w:type="dxa"/>
              <w:right w:w="57" w:type="dxa"/>
            </w:tcMar>
          </w:tcPr>
          <w:p w14:paraId="09D39D1F" w14:textId="77777777" w:rsidR="00753EC0" w:rsidRPr="00013332" w:rsidRDefault="00753EC0" w:rsidP="004B7CA0">
            <w:pPr>
              <w:pStyle w:val="paragraph"/>
              <w:spacing w:beforeAutospacing="0" w:after="120" w:afterAutospacing="0"/>
              <w:jc w:val="both"/>
              <w:textAlignment w:val="baseline"/>
              <w:rPr>
                <w:noProof/>
                <w:sz w:val="20"/>
                <w:szCs w:val="20"/>
              </w:rPr>
            </w:pPr>
          </w:p>
        </w:tc>
        <w:tc>
          <w:tcPr>
            <w:tcW w:w="3495" w:type="dxa"/>
            <w:tcMar>
              <w:left w:w="57" w:type="dxa"/>
              <w:right w:w="57" w:type="dxa"/>
            </w:tcMar>
          </w:tcPr>
          <w:p w14:paraId="163F748C" w14:textId="13103727" w:rsidR="00753EC0" w:rsidRPr="00013332" w:rsidRDefault="00753EC0" w:rsidP="00236E38">
            <w:pPr>
              <w:pStyle w:val="paragraph"/>
              <w:spacing w:beforeAutospacing="0" w:after="120" w:afterAutospacing="0"/>
              <w:jc w:val="both"/>
              <w:textAlignment w:val="baseline"/>
              <w:rPr>
                <w:noProof/>
                <w:sz w:val="20"/>
                <w:szCs w:val="20"/>
              </w:rPr>
            </w:pPr>
            <w:r w:rsidRPr="00013332">
              <w:rPr>
                <w:b/>
                <w:bCs/>
                <w:noProof/>
                <w:sz w:val="20"/>
                <w:szCs w:val="20"/>
              </w:rPr>
              <w:t>PO1 soft harmonisation</w:t>
            </w:r>
          </w:p>
        </w:tc>
        <w:tc>
          <w:tcPr>
            <w:tcW w:w="4443" w:type="dxa"/>
            <w:tcMar>
              <w:left w:w="57" w:type="dxa"/>
              <w:right w:w="57" w:type="dxa"/>
            </w:tcMar>
          </w:tcPr>
          <w:p w14:paraId="1B66E0E0" w14:textId="7020873E" w:rsidR="00753EC0" w:rsidRPr="00013332" w:rsidRDefault="00753EC0" w:rsidP="00236E38">
            <w:pPr>
              <w:pStyle w:val="paragraph"/>
              <w:spacing w:beforeAutospacing="0" w:after="120" w:afterAutospacing="0"/>
              <w:jc w:val="both"/>
              <w:textAlignment w:val="baseline"/>
              <w:rPr>
                <w:noProof/>
                <w:sz w:val="20"/>
                <w:szCs w:val="20"/>
              </w:rPr>
            </w:pPr>
            <w:r w:rsidRPr="00013332">
              <w:rPr>
                <w:b/>
                <w:bCs/>
                <w:noProof/>
                <w:sz w:val="20"/>
                <w:szCs w:val="20"/>
              </w:rPr>
              <w:t>PO2 m</w:t>
            </w:r>
            <w:r w:rsidRPr="00013332">
              <w:rPr>
                <w:rStyle w:val="normaltextrun"/>
                <w:b/>
                <w:bCs/>
                <w:noProof/>
                <w:sz w:val="20"/>
                <w:szCs w:val="20"/>
              </w:rPr>
              <w:t>ore single market to enhance investment, innovation</w:t>
            </w:r>
          </w:p>
        </w:tc>
        <w:tc>
          <w:tcPr>
            <w:tcW w:w="3969" w:type="dxa"/>
            <w:tcMar>
              <w:left w:w="57" w:type="dxa"/>
              <w:right w:w="57" w:type="dxa"/>
            </w:tcMar>
          </w:tcPr>
          <w:p w14:paraId="54CDA5D3" w14:textId="2AF13895" w:rsidR="00753EC0" w:rsidRPr="00013332" w:rsidRDefault="00753EC0" w:rsidP="00236E38">
            <w:pPr>
              <w:pStyle w:val="paragraph"/>
              <w:spacing w:beforeAutospacing="0" w:after="120" w:afterAutospacing="0"/>
              <w:jc w:val="both"/>
              <w:textAlignment w:val="baseline"/>
              <w:rPr>
                <w:noProof/>
                <w:sz w:val="20"/>
                <w:szCs w:val="20"/>
              </w:rPr>
            </w:pPr>
            <w:r w:rsidRPr="00013332">
              <w:rPr>
                <w:b/>
                <w:bCs/>
                <w:noProof/>
                <w:sz w:val="20"/>
                <w:szCs w:val="20"/>
              </w:rPr>
              <w:t>PO3 s</w:t>
            </w:r>
            <w:r w:rsidRPr="00013332">
              <w:rPr>
                <w:rStyle w:val="normaltextrun"/>
                <w:b/>
                <w:bCs/>
                <w:noProof/>
                <w:sz w:val="20"/>
                <w:szCs w:val="20"/>
              </w:rPr>
              <w:t>trong harmonisation and EU level awards</w:t>
            </w:r>
          </w:p>
        </w:tc>
      </w:tr>
      <w:tr w:rsidR="0068199E" w:rsidRPr="00013332" w14:paraId="78BB7006" w14:textId="77777777" w:rsidTr="00BE337F">
        <w:tc>
          <w:tcPr>
            <w:tcW w:w="1696" w:type="dxa"/>
            <w:vMerge w:val="restart"/>
            <w:tcMar>
              <w:left w:w="57" w:type="dxa"/>
              <w:right w:w="57" w:type="dxa"/>
            </w:tcMar>
          </w:tcPr>
          <w:p w14:paraId="18394E9F" w14:textId="1FF49DBD" w:rsidR="00753EC0" w:rsidRPr="00013332" w:rsidRDefault="00753EC0" w:rsidP="00013332">
            <w:pPr>
              <w:spacing w:after="120"/>
              <w:jc w:val="left"/>
              <w:rPr>
                <w:b/>
                <w:noProof/>
                <w:sz w:val="20"/>
                <w:szCs w:val="20"/>
              </w:rPr>
            </w:pPr>
            <w:r w:rsidRPr="00013332">
              <w:rPr>
                <w:rFonts w:eastAsiaTheme="minorHAnsi"/>
                <w:b/>
                <w:noProof/>
                <w:sz w:val="20"/>
                <w:szCs w:val="20"/>
              </w:rPr>
              <w:t>PD2: Spectrum regulation</w:t>
            </w:r>
            <w:r w:rsidRPr="00013332">
              <w:rPr>
                <w:b/>
                <w:noProof/>
                <w:sz w:val="20"/>
                <w:szCs w:val="20"/>
              </w:rPr>
              <w:t xml:space="preserve"> and market factors slowing down investment in very high-capacity mobile services</w:t>
            </w:r>
          </w:p>
        </w:tc>
        <w:tc>
          <w:tcPr>
            <w:tcW w:w="1418" w:type="dxa"/>
            <w:vMerge w:val="restart"/>
            <w:tcMar>
              <w:left w:w="57" w:type="dxa"/>
              <w:right w:w="57" w:type="dxa"/>
            </w:tcMar>
          </w:tcPr>
          <w:p w14:paraId="0C38EA09" w14:textId="7274684F" w:rsidR="00753EC0" w:rsidRPr="00013332" w:rsidRDefault="00753EC0" w:rsidP="00013332">
            <w:pPr>
              <w:spacing w:after="120"/>
              <w:jc w:val="left"/>
              <w:rPr>
                <w:b/>
                <w:noProof/>
                <w:sz w:val="20"/>
                <w:szCs w:val="20"/>
                <w:lang w:val="en-IE"/>
              </w:rPr>
            </w:pPr>
            <w:r w:rsidRPr="00013332">
              <w:rPr>
                <w:b/>
                <w:noProof/>
                <w:sz w:val="20"/>
                <w:szCs w:val="20"/>
              </w:rPr>
              <w:t xml:space="preserve">SPO2: </w:t>
            </w:r>
            <w:r w:rsidRPr="006702BD">
              <w:rPr>
                <w:b/>
                <w:noProof/>
                <w:sz w:val="20"/>
              </w:rPr>
              <w:t xml:space="preserve">Close </w:t>
            </w:r>
            <w:r w:rsidR="00013332" w:rsidRPr="006702BD">
              <w:rPr>
                <w:b/>
                <w:noProof/>
                <w:sz w:val="20"/>
                <w:lang w:val="en-IE"/>
              </w:rPr>
              <w:br/>
            </w:r>
            <w:r w:rsidRPr="006702BD">
              <w:rPr>
                <w:b/>
                <w:noProof/>
                <w:sz w:val="20"/>
              </w:rPr>
              <w:t xml:space="preserve">the gap with competing regions in high quality wireless networks </w:t>
            </w:r>
          </w:p>
          <w:p w14:paraId="6989D6A4" w14:textId="77777777" w:rsidR="00753EC0" w:rsidRPr="00013332" w:rsidRDefault="00753EC0" w:rsidP="00236E38">
            <w:pPr>
              <w:pStyle w:val="paragraph"/>
              <w:spacing w:beforeAutospacing="0" w:after="120" w:afterAutospacing="0"/>
              <w:textAlignment w:val="baseline"/>
              <w:rPr>
                <w:noProof/>
                <w:sz w:val="20"/>
                <w:szCs w:val="20"/>
              </w:rPr>
            </w:pPr>
          </w:p>
        </w:tc>
        <w:tc>
          <w:tcPr>
            <w:tcW w:w="3495" w:type="dxa"/>
            <w:tcMar>
              <w:left w:w="57" w:type="dxa"/>
              <w:right w:w="57" w:type="dxa"/>
            </w:tcMar>
          </w:tcPr>
          <w:p w14:paraId="67FC4A36" w14:textId="63F1CD77" w:rsidR="00753EC0" w:rsidRPr="00013332" w:rsidRDefault="00753EC0" w:rsidP="001E0294">
            <w:pPr>
              <w:spacing w:after="120"/>
              <w:rPr>
                <w:noProof/>
                <w:sz w:val="20"/>
                <w:szCs w:val="20"/>
                <w:lang w:val="fr-FR"/>
              </w:rPr>
            </w:pPr>
            <w:r w:rsidRPr="004B7CA0">
              <w:rPr>
                <w:b/>
                <w:noProof/>
                <w:sz w:val="20"/>
                <w:u w:val="single"/>
                <w:lang w:val="fr-FR"/>
              </w:rPr>
              <w:t>Duration:</w:t>
            </w:r>
            <w:r w:rsidRPr="004B7CA0">
              <w:rPr>
                <w:b/>
                <w:noProof/>
                <w:sz w:val="20"/>
                <w:lang w:val="fr-FR"/>
              </w:rPr>
              <w:t xml:space="preserve"> Longer licence duration</w:t>
            </w:r>
            <w:r w:rsidRPr="004B7CA0">
              <w:rPr>
                <w:noProof/>
                <w:sz w:val="20"/>
                <w:lang w:val="fr-FR"/>
              </w:rPr>
              <w:t xml:space="preserve"> (min 25 years)</w:t>
            </w:r>
          </w:p>
        </w:tc>
        <w:tc>
          <w:tcPr>
            <w:tcW w:w="4443" w:type="dxa"/>
            <w:tcMar>
              <w:left w:w="57" w:type="dxa"/>
              <w:right w:w="57" w:type="dxa"/>
            </w:tcMar>
          </w:tcPr>
          <w:p w14:paraId="54B7E464" w14:textId="2F6730BB" w:rsidR="00753EC0" w:rsidRPr="00013332" w:rsidRDefault="00753EC0" w:rsidP="00236E38">
            <w:pPr>
              <w:pStyle w:val="paragraph"/>
              <w:spacing w:beforeAutospacing="0" w:after="120" w:afterAutospacing="0"/>
              <w:jc w:val="both"/>
              <w:rPr>
                <w:noProof/>
                <w:sz w:val="20"/>
                <w:szCs w:val="20"/>
              </w:rPr>
            </w:pPr>
            <w:r w:rsidRPr="00013332">
              <w:rPr>
                <w:b/>
                <w:bCs/>
                <w:noProof/>
                <w:sz w:val="20"/>
                <w:szCs w:val="20"/>
                <w:u w:val="single"/>
              </w:rPr>
              <w:t>Duration:</w:t>
            </w:r>
            <w:r w:rsidRPr="00013332">
              <w:rPr>
                <w:b/>
                <w:bCs/>
                <w:noProof/>
                <w:sz w:val="20"/>
                <w:szCs w:val="20"/>
              </w:rPr>
              <w:t xml:space="preserve"> Unlimited licence duration by default</w:t>
            </w:r>
            <w:r w:rsidRPr="00013332">
              <w:rPr>
                <w:noProof/>
                <w:sz w:val="20"/>
                <w:szCs w:val="20"/>
              </w:rPr>
              <w:t>, with safeguards for revocation and strong renewal guarantees</w:t>
            </w:r>
            <w:r w:rsidR="001E0294">
              <w:rPr>
                <w:noProof/>
                <w:sz w:val="20"/>
                <w:szCs w:val="20"/>
              </w:rPr>
              <w:t>. (F</w:t>
            </w:r>
            <w:r w:rsidR="70A3343A" w:rsidRPr="00013332">
              <w:rPr>
                <w:noProof/>
                <w:sz w:val="20"/>
                <w:szCs w:val="20"/>
              </w:rPr>
              <w:t>or</w:t>
            </w:r>
            <w:r w:rsidRPr="00013332">
              <w:rPr>
                <w:noProof/>
                <w:sz w:val="20"/>
                <w:szCs w:val="20"/>
              </w:rPr>
              <w:t xml:space="preserve"> details see </w:t>
            </w:r>
            <w:r w:rsidR="003D3EAB" w:rsidRPr="00013332">
              <w:rPr>
                <w:noProof/>
                <w:sz w:val="20"/>
                <w:szCs w:val="20"/>
              </w:rPr>
              <w:t>below</w:t>
            </w:r>
            <w:r w:rsidRPr="00013332">
              <w:rPr>
                <w:noProof/>
                <w:sz w:val="20"/>
                <w:szCs w:val="20"/>
              </w:rPr>
              <w:t>)</w:t>
            </w:r>
          </w:p>
        </w:tc>
        <w:tc>
          <w:tcPr>
            <w:tcW w:w="3969" w:type="dxa"/>
            <w:tcMar>
              <w:left w:w="57" w:type="dxa"/>
              <w:right w:w="57" w:type="dxa"/>
            </w:tcMar>
          </w:tcPr>
          <w:p w14:paraId="2D878102" w14:textId="77777777" w:rsidR="00753EC0" w:rsidRPr="00013332" w:rsidRDefault="00753EC0" w:rsidP="001E0294">
            <w:pPr>
              <w:spacing w:after="120"/>
              <w:rPr>
                <w:rStyle w:val="normaltextrun"/>
                <w:rFonts w:eastAsiaTheme="minorHAnsi"/>
                <w:b/>
                <w:noProof/>
                <w:sz w:val="20"/>
                <w:szCs w:val="20"/>
                <w:lang w:val="fr-FR"/>
              </w:rPr>
            </w:pPr>
            <w:r w:rsidRPr="006702BD">
              <w:rPr>
                <w:b/>
                <w:noProof/>
                <w:sz w:val="20"/>
                <w:u w:val="single"/>
              </w:rPr>
              <w:t>Duration</w:t>
            </w:r>
            <w:r w:rsidRPr="006702BD">
              <w:rPr>
                <w:b/>
                <w:noProof/>
                <w:sz w:val="20"/>
              </w:rPr>
              <w:t xml:space="preserve">: </w:t>
            </w:r>
            <w:r w:rsidRPr="006702BD">
              <w:rPr>
                <w:rStyle w:val="normaltextrun"/>
                <w:b/>
                <w:noProof/>
                <w:sz w:val="20"/>
              </w:rPr>
              <w:t>Indefinite licence duration</w:t>
            </w:r>
          </w:p>
          <w:p w14:paraId="2DC1A3F3" w14:textId="77777777" w:rsidR="00753EC0" w:rsidRPr="00013332" w:rsidRDefault="00753EC0" w:rsidP="00236E38">
            <w:pPr>
              <w:pStyle w:val="paragraph"/>
              <w:spacing w:beforeAutospacing="0" w:after="120" w:afterAutospacing="0"/>
              <w:jc w:val="both"/>
              <w:textAlignment w:val="baseline"/>
              <w:rPr>
                <w:noProof/>
                <w:sz w:val="20"/>
                <w:szCs w:val="20"/>
              </w:rPr>
            </w:pPr>
          </w:p>
        </w:tc>
      </w:tr>
      <w:tr w:rsidR="0068199E" w:rsidRPr="00013332" w14:paraId="0E03060F" w14:textId="77777777" w:rsidTr="00BE337F">
        <w:tc>
          <w:tcPr>
            <w:tcW w:w="1696" w:type="dxa"/>
            <w:vMerge/>
            <w:tcMar>
              <w:left w:w="57" w:type="dxa"/>
              <w:right w:w="57" w:type="dxa"/>
            </w:tcMar>
          </w:tcPr>
          <w:p w14:paraId="49C592B6" w14:textId="77777777" w:rsidR="00753EC0" w:rsidRPr="00013332" w:rsidRDefault="00753EC0" w:rsidP="004B7CA0">
            <w:pPr>
              <w:pStyle w:val="paragraph"/>
              <w:spacing w:beforeAutospacing="0" w:after="120" w:afterAutospacing="0"/>
              <w:jc w:val="both"/>
              <w:textAlignment w:val="baseline"/>
              <w:rPr>
                <w:noProof/>
                <w:sz w:val="20"/>
                <w:szCs w:val="20"/>
              </w:rPr>
            </w:pPr>
          </w:p>
        </w:tc>
        <w:tc>
          <w:tcPr>
            <w:tcW w:w="1418" w:type="dxa"/>
            <w:vMerge/>
            <w:tcMar>
              <w:left w:w="57" w:type="dxa"/>
              <w:right w:w="57" w:type="dxa"/>
            </w:tcMar>
          </w:tcPr>
          <w:p w14:paraId="3B9A25C3" w14:textId="77777777" w:rsidR="00753EC0" w:rsidRPr="00013332" w:rsidRDefault="00753EC0" w:rsidP="004B7CA0">
            <w:pPr>
              <w:pStyle w:val="paragraph"/>
              <w:spacing w:beforeAutospacing="0" w:after="120" w:afterAutospacing="0"/>
              <w:jc w:val="both"/>
              <w:textAlignment w:val="baseline"/>
              <w:rPr>
                <w:noProof/>
                <w:sz w:val="20"/>
                <w:szCs w:val="20"/>
              </w:rPr>
            </w:pPr>
          </w:p>
        </w:tc>
        <w:tc>
          <w:tcPr>
            <w:tcW w:w="3495" w:type="dxa"/>
            <w:tcMar>
              <w:left w:w="57" w:type="dxa"/>
              <w:right w:w="57" w:type="dxa"/>
            </w:tcMar>
          </w:tcPr>
          <w:p w14:paraId="426CEBBD" w14:textId="77777777" w:rsidR="00753EC0" w:rsidRPr="00013332" w:rsidRDefault="00753EC0" w:rsidP="001E0294">
            <w:pPr>
              <w:spacing w:after="120"/>
              <w:rPr>
                <w:noProof/>
                <w:sz w:val="20"/>
                <w:szCs w:val="20"/>
              </w:rPr>
            </w:pPr>
            <w:r w:rsidRPr="00013332">
              <w:rPr>
                <w:b/>
                <w:bCs/>
                <w:noProof/>
                <w:sz w:val="20"/>
                <w:szCs w:val="20"/>
                <w:u w:val="single"/>
              </w:rPr>
              <w:t>Assignment conditions:</w:t>
            </w:r>
            <w:r w:rsidRPr="00013332">
              <w:rPr>
                <w:b/>
                <w:bCs/>
                <w:noProof/>
                <w:sz w:val="20"/>
                <w:szCs w:val="20"/>
              </w:rPr>
              <w:t xml:space="preserve"> Toolbox</w:t>
            </w:r>
            <w:r w:rsidRPr="00013332">
              <w:rPr>
                <w:noProof/>
                <w:sz w:val="20"/>
                <w:szCs w:val="20"/>
              </w:rPr>
              <w:t xml:space="preserve"> of </w:t>
            </w:r>
            <w:r w:rsidRPr="00013332">
              <w:rPr>
                <w:b/>
                <w:bCs/>
                <w:noProof/>
                <w:sz w:val="20"/>
                <w:szCs w:val="20"/>
              </w:rPr>
              <w:t>best pro-investment /pro-efficient use authorisation practices</w:t>
            </w:r>
            <w:r w:rsidRPr="00013332">
              <w:rPr>
                <w:noProof/>
                <w:sz w:val="20"/>
                <w:szCs w:val="20"/>
              </w:rPr>
              <w:t>, developed by EC with RSPG</w:t>
            </w:r>
          </w:p>
          <w:p w14:paraId="23A774EC" w14:textId="77777777" w:rsidR="00753EC0" w:rsidRPr="00013332" w:rsidRDefault="00753EC0" w:rsidP="00236E38">
            <w:pPr>
              <w:pStyle w:val="paragraph"/>
              <w:spacing w:beforeAutospacing="0" w:after="120" w:afterAutospacing="0"/>
              <w:jc w:val="both"/>
              <w:textAlignment w:val="baseline"/>
              <w:rPr>
                <w:noProof/>
                <w:sz w:val="20"/>
                <w:szCs w:val="20"/>
              </w:rPr>
            </w:pPr>
          </w:p>
        </w:tc>
        <w:tc>
          <w:tcPr>
            <w:tcW w:w="4443" w:type="dxa"/>
            <w:tcMar>
              <w:left w:w="57" w:type="dxa"/>
              <w:right w:w="57" w:type="dxa"/>
            </w:tcMar>
          </w:tcPr>
          <w:p w14:paraId="410CDB39" w14:textId="77777777" w:rsidR="00753EC0" w:rsidRPr="00013332" w:rsidRDefault="00753EC0" w:rsidP="001E0294">
            <w:pPr>
              <w:spacing w:after="120"/>
              <w:rPr>
                <w:rStyle w:val="normaltextrun"/>
                <w:noProof/>
                <w:sz w:val="20"/>
                <w:szCs w:val="20"/>
              </w:rPr>
            </w:pPr>
            <w:r w:rsidRPr="00013332">
              <w:rPr>
                <w:b/>
                <w:bCs/>
                <w:noProof/>
                <w:sz w:val="20"/>
                <w:szCs w:val="20"/>
                <w:u w:val="single"/>
              </w:rPr>
              <w:t>Assignment conditions:</w:t>
            </w:r>
            <w:r w:rsidRPr="00013332">
              <w:rPr>
                <w:b/>
                <w:bCs/>
                <w:noProof/>
                <w:sz w:val="20"/>
                <w:szCs w:val="20"/>
              </w:rPr>
              <w:t xml:space="preserve"> </w:t>
            </w:r>
            <w:r w:rsidRPr="00013332">
              <w:rPr>
                <w:rStyle w:val="normaltextrun"/>
                <w:b/>
                <w:bCs/>
                <w:noProof/>
                <w:sz w:val="20"/>
                <w:szCs w:val="20"/>
              </w:rPr>
              <w:t xml:space="preserve">Mandatory application of pro-investment </w:t>
            </w:r>
            <w:r w:rsidRPr="00013332">
              <w:rPr>
                <w:rStyle w:val="normaltextrun"/>
                <w:noProof/>
                <w:sz w:val="20"/>
                <w:szCs w:val="20"/>
              </w:rPr>
              <w:t>auction designs with common set of criteria to promote effective competition</w:t>
            </w:r>
          </w:p>
          <w:p w14:paraId="2542F652" w14:textId="77777777" w:rsidR="00753EC0" w:rsidRPr="00013332" w:rsidRDefault="00753EC0" w:rsidP="001E0294">
            <w:pPr>
              <w:spacing w:after="120"/>
              <w:rPr>
                <w:rStyle w:val="normaltextrun"/>
                <w:noProof/>
                <w:sz w:val="20"/>
                <w:szCs w:val="20"/>
              </w:rPr>
            </w:pPr>
            <w:r w:rsidRPr="00013332">
              <w:rPr>
                <w:rStyle w:val="normaltextrun"/>
                <w:noProof/>
                <w:sz w:val="20"/>
                <w:szCs w:val="20"/>
              </w:rPr>
              <w:t xml:space="preserve">For </w:t>
            </w:r>
            <w:r w:rsidRPr="00013332">
              <w:rPr>
                <w:rStyle w:val="normaltextrun"/>
                <w:b/>
                <w:bCs/>
                <w:noProof/>
                <w:sz w:val="20"/>
                <w:szCs w:val="20"/>
              </w:rPr>
              <w:t>public networks,</w:t>
            </w:r>
            <w:r w:rsidRPr="00013332">
              <w:rPr>
                <w:rStyle w:val="normaltextrun"/>
                <w:noProof/>
                <w:sz w:val="20"/>
                <w:szCs w:val="20"/>
              </w:rPr>
              <w:t xml:space="preserve"> possibility for EC to recommend pro-investment</w:t>
            </w:r>
            <w:r w:rsidRPr="00013332">
              <w:rPr>
                <w:rStyle w:val="normaltextrun"/>
                <w:b/>
                <w:bCs/>
                <w:noProof/>
                <w:sz w:val="20"/>
                <w:szCs w:val="20"/>
              </w:rPr>
              <w:t xml:space="preserve"> authorisation processes aspects and conditions</w:t>
            </w:r>
            <w:r w:rsidRPr="7AC71608">
              <w:rPr>
                <w:rStyle w:val="normaltextrun"/>
                <w:b/>
                <w:bCs/>
                <w:noProof/>
                <w:sz w:val="20"/>
                <w:szCs w:val="20"/>
                <w:vertAlign w:val="superscript"/>
              </w:rPr>
              <w:footnoteReference w:id="211"/>
            </w:r>
            <w:r w:rsidRPr="00013332">
              <w:rPr>
                <w:rStyle w:val="normaltextrun"/>
                <w:b/>
                <w:bCs/>
                <w:noProof/>
                <w:sz w:val="20"/>
                <w:szCs w:val="20"/>
              </w:rPr>
              <w:t xml:space="preserve">; </w:t>
            </w:r>
            <w:r w:rsidRPr="00013332">
              <w:rPr>
                <w:rStyle w:val="normaltextrun"/>
                <w:noProof/>
                <w:sz w:val="20"/>
                <w:szCs w:val="20"/>
              </w:rPr>
              <w:t>any deviation thereof should be justified; possibility of EC decision, if deviations persist, or to promote pan-European provision of services or to incentivise scale (e.g. 6G).</w:t>
            </w:r>
          </w:p>
          <w:p w14:paraId="6A3D355C" w14:textId="3B4B9B2A" w:rsidR="00753EC0" w:rsidRPr="00013332" w:rsidRDefault="00753EC0" w:rsidP="001E0294">
            <w:pPr>
              <w:spacing w:after="120"/>
              <w:rPr>
                <w:rFonts w:eastAsiaTheme="minorHAnsi"/>
                <w:noProof/>
                <w:sz w:val="20"/>
                <w:szCs w:val="20"/>
              </w:rPr>
            </w:pPr>
            <w:r w:rsidRPr="00013332">
              <w:rPr>
                <w:rStyle w:val="normaltextrun"/>
                <w:bCs/>
                <w:noProof/>
                <w:sz w:val="20"/>
                <w:szCs w:val="20"/>
              </w:rPr>
              <w:t xml:space="preserve">For </w:t>
            </w:r>
            <w:r w:rsidR="00755F18" w:rsidRPr="00755F18">
              <w:rPr>
                <w:rStyle w:val="normaltextrun"/>
                <w:b/>
                <w:noProof/>
                <w:sz w:val="20"/>
                <w:szCs w:val="20"/>
              </w:rPr>
              <w:t>public/</w:t>
            </w:r>
            <w:r w:rsidRPr="00013332">
              <w:rPr>
                <w:rStyle w:val="normaltextrun"/>
                <w:b/>
                <w:noProof/>
                <w:sz w:val="20"/>
                <w:szCs w:val="20"/>
              </w:rPr>
              <w:t>non-public networks</w:t>
            </w:r>
            <w:r w:rsidRPr="00013332">
              <w:rPr>
                <w:rStyle w:val="normaltextrun"/>
                <w:bCs/>
                <w:noProof/>
                <w:sz w:val="20"/>
                <w:szCs w:val="20"/>
              </w:rPr>
              <w:t>, on request, possibility of harmonising authorisation conditions in</w:t>
            </w:r>
            <w:r w:rsidR="00DB7BEB">
              <w:rPr>
                <w:rStyle w:val="normaltextrun"/>
                <w:bCs/>
                <w:noProof/>
                <w:sz w:val="20"/>
                <w:szCs w:val="20"/>
              </w:rPr>
              <w:t xml:space="preserve"> </w:t>
            </w:r>
            <w:r w:rsidRPr="00013332">
              <w:rPr>
                <w:rStyle w:val="normaltextrun"/>
                <w:bCs/>
                <w:noProof/>
                <w:sz w:val="20"/>
                <w:szCs w:val="20"/>
              </w:rPr>
              <w:t>through RSPG</w:t>
            </w:r>
            <w:r w:rsidR="00C04C55">
              <w:rPr>
                <w:rStyle w:val="normaltextrun"/>
                <w:bCs/>
                <w:noProof/>
                <w:sz w:val="20"/>
                <w:szCs w:val="20"/>
              </w:rPr>
              <w:t>; possi</w:t>
            </w:r>
            <w:r w:rsidR="00905CA7">
              <w:rPr>
                <w:rStyle w:val="normaltextrun"/>
                <w:bCs/>
                <w:noProof/>
                <w:sz w:val="20"/>
                <w:szCs w:val="20"/>
              </w:rPr>
              <w:t xml:space="preserve">bility to </w:t>
            </w:r>
            <w:r w:rsidR="004E25F0">
              <w:rPr>
                <w:rStyle w:val="normaltextrun"/>
                <w:bCs/>
                <w:noProof/>
                <w:sz w:val="20"/>
                <w:szCs w:val="20"/>
              </w:rPr>
              <w:t xml:space="preserve">establish award procedure </w:t>
            </w:r>
            <w:r w:rsidR="006E37C2">
              <w:rPr>
                <w:rStyle w:val="normaltextrun"/>
                <w:bCs/>
                <w:noProof/>
                <w:sz w:val="20"/>
                <w:szCs w:val="20"/>
              </w:rPr>
              <w:t xml:space="preserve">and conditions on EU level with involvement of </w:t>
            </w:r>
            <w:r w:rsidR="0085181E">
              <w:rPr>
                <w:rStyle w:val="normaltextrun"/>
                <w:bCs/>
                <w:noProof/>
                <w:sz w:val="20"/>
                <w:szCs w:val="20"/>
              </w:rPr>
              <w:t>RSPG; possibility of one-stop</w:t>
            </w:r>
            <w:r w:rsidR="00980FB2">
              <w:rPr>
                <w:rStyle w:val="normaltextrun"/>
                <w:bCs/>
                <w:noProof/>
                <w:sz w:val="20"/>
                <w:szCs w:val="20"/>
              </w:rPr>
              <w:t>-shop procedure</w:t>
            </w:r>
          </w:p>
        </w:tc>
        <w:tc>
          <w:tcPr>
            <w:tcW w:w="3969" w:type="dxa"/>
            <w:tcMar>
              <w:left w:w="57" w:type="dxa"/>
              <w:right w:w="57" w:type="dxa"/>
            </w:tcMar>
          </w:tcPr>
          <w:p w14:paraId="252CF4D7" w14:textId="77777777" w:rsidR="00753EC0" w:rsidRPr="00013332" w:rsidRDefault="00753EC0" w:rsidP="001E0294">
            <w:pPr>
              <w:spacing w:after="120"/>
              <w:rPr>
                <w:rStyle w:val="normaltextrun"/>
                <w:rFonts w:eastAsiaTheme="minorHAnsi"/>
                <w:b/>
                <w:noProof/>
                <w:sz w:val="20"/>
                <w:szCs w:val="20"/>
                <w:lang w:val="en-IE"/>
              </w:rPr>
            </w:pPr>
            <w:r w:rsidRPr="006702BD">
              <w:rPr>
                <w:b/>
                <w:noProof/>
                <w:sz w:val="20"/>
                <w:u w:val="single"/>
              </w:rPr>
              <w:t>Assignment conditions:</w:t>
            </w:r>
            <w:r w:rsidRPr="006702BD">
              <w:rPr>
                <w:b/>
                <w:noProof/>
                <w:sz w:val="20"/>
              </w:rPr>
              <w:t xml:space="preserve"> </w:t>
            </w:r>
          </w:p>
          <w:p w14:paraId="48B998A6" w14:textId="21092DBD" w:rsidR="00753EC0" w:rsidRPr="00013332" w:rsidRDefault="00753EC0" w:rsidP="001E0294">
            <w:pPr>
              <w:spacing w:after="120"/>
              <w:rPr>
                <w:rStyle w:val="normaltextrun"/>
                <w:noProof/>
                <w:sz w:val="20"/>
                <w:szCs w:val="20"/>
              </w:rPr>
            </w:pPr>
            <w:r w:rsidRPr="00013332">
              <w:rPr>
                <w:rStyle w:val="normaltextrun"/>
                <w:b/>
                <w:bCs/>
                <w:noProof/>
                <w:sz w:val="20"/>
                <w:szCs w:val="20"/>
              </w:rPr>
              <w:t xml:space="preserve">Full harmonisation of authorisation processes aspects and conditions </w:t>
            </w:r>
            <w:r w:rsidRPr="00013332">
              <w:rPr>
                <w:rStyle w:val="normaltextrun"/>
                <w:noProof/>
                <w:sz w:val="20"/>
                <w:szCs w:val="20"/>
              </w:rPr>
              <w:t>(e.g. auction design, reserve prices, award fees, annual fees, coverage obligations, QoS)</w:t>
            </w:r>
            <w:r w:rsidR="001E0294">
              <w:rPr>
                <w:rStyle w:val="normaltextrun"/>
                <w:noProof/>
                <w:sz w:val="20"/>
                <w:szCs w:val="20"/>
              </w:rPr>
              <w:t>.</w:t>
            </w:r>
          </w:p>
          <w:p w14:paraId="1321E928" w14:textId="5A3C0886" w:rsidR="00753EC0" w:rsidRPr="00013332" w:rsidRDefault="00753EC0" w:rsidP="001E0294">
            <w:pPr>
              <w:spacing w:after="120"/>
              <w:rPr>
                <w:noProof/>
                <w:sz w:val="20"/>
                <w:szCs w:val="20"/>
              </w:rPr>
            </w:pPr>
            <w:r w:rsidRPr="00013332">
              <w:rPr>
                <w:b/>
                <w:bCs/>
                <w:noProof/>
                <w:sz w:val="20"/>
                <w:szCs w:val="20"/>
              </w:rPr>
              <w:t>Mandatory deadlines for assignments</w:t>
            </w:r>
            <w:r w:rsidRPr="00013332">
              <w:rPr>
                <w:noProof/>
                <w:sz w:val="20"/>
                <w:szCs w:val="20"/>
              </w:rPr>
              <w:t xml:space="preserve"> set for every band, with </w:t>
            </w:r>
            <w:r w:rsidRPr="00013332">
              <w:rPr>
                <w:b/>
                <w:bCs/>
                <w:noProof/>
                <w:sz w:val="20"/>
                <w:szCs w:val="20"/>
              </w:rPr>
              <w:t>auction on standard pre-established condition</w:t>
            </w:r>
            <w:r w:rsidRPr="00013332">
              <w:rPr>
                <w:noProof/>
                <w:sz w:val="20"/>
                <w:szCs w:val="20"/>
              </w:rPr>
              <w:t xml:space="preserve"> if a deadline is </w:t>
            </w:r>
            <w:r w:rsidRPr="00013332">
              <w:rPr>
                <w:b/>
                <w:bCs/>
                <w:noProof/>
                <w:sz w:val="20"/>
                <w:szCs w:val="20"/>
              </w:rPr>
              <w:t>passed</w:t>
            </w:r>
            <w:r w:rsidR="001E0294">
              <w:rPr>
                <w:b/>
                <w:bCs/>
                <w:noProof/>
                <w:sz w:val="20"/>
                <w:szCs w:val="20"/>
              </w:rPr>
              <w:t>.</w:t>
            </w:r>
          </w:p>
          <w:p w14:paraId="4934EA08" w14:textId="77777777" w:rsidR="00753EC0" w:rsidRPr="00013332" w:rsidRDefault="00753EC0" w:rsidP="00236E38">
            <w:pPr>
              <w:pStyle w:val="paragraph"/>
              <w:spacing w:beforeAutospacing="0" w:after="120" w:afterAutospacing="0"/>
              <w:jc w:val="both"/>
              <w:textAlignment w:val="baseline"/>
              <w:rPr>
                <w:noProof/>
                <w:sz w:val="20"/>
                <w:szCs w:val="20"/>
              </w:rPr>
            </w:pPr>
          </w:p>
        </w:tc>
      </w:tr>
      <w:tr w:rsidR="0068199E" w:rsidRPr="00013332" w14:paraId="1DEE96FC" w14:textId="77777777" w:rsidTr="00BE337F">
        <w:tc>
          <w:tcPr>
            <w:tcW w:w="1696" w:type="dxa"/>
            <w:vMerge/>
            <w:tcMar>
              <w:left w:w="57" w:type="dxa"/>
              <w:right w:w="57" w:type="dxa"/>
            </w:tcMar>
          </w:tcPr>
          <w:p w14:paraId="250C1610" w14:textId="77777777" w:rsidR="00753EC0" w:rsidRPr="00013332" w:rsidRDefault="00753EC0" w:rsidP="004B7CA0">
            <w:pPr>
              <w:pStyle w:val="paragraph"/>
              <w:spacing w:beforeAutospacing="0" w:after="120" w:afterAutospacing="0"/>
              <w:jc w:val="both"/>
              <w:textAlignment w:val="baseline"/>
              <w:rPr>
                <w:noProof/>
                <w:sz w:val="20"/>
                <w:szCs w:val="20"/>
              </w:rPr>
            </w:pPr>
          </w:p>
        </w:tc>
        <w:tc>
          <w:tcPr>
            <w:tcW w:w="1418" w:type="dxa"/>
            <w:vMerge/>
            <w:tcMar>
              <w:left w:w="57" w:type="dxa"/>
              <w:right w:w="57" w:type="dxa"/>
            </w:tcMar>
          </w:tcPr>
          <w:p w14:paraId="5BB72885" w14:textId="77777777" w:rsidR="00753EC0" w:rsidRPr="00013332" w:rsidRDefault="00753EC0" w:rsidP="004B7CA0">
            <w:pPr>
              <w:pStyle w:val="paragraph"/>
              <w:spacing w:beforeAutospacing="0" w:after="120" w:afterAutospacing="0"/>
              <w:jc w:val="both"/>
              <w:textAlignment w:val="baseline"/>
              <w:rPr>
                <w:noProof/>
                <w:sz w:val="20"/>
                <w:szCs w:val="20"/>
              </w:rPr>
            </w:pPr>
          </w:p>
        </w:tc>
        <w:tc>
          <w:tcPr>
            <w:tcW w:w="3495" w:type="dxa"/>
            <w:tcMar>
              <w:left w:w="57" w:type="dxa"/>
              <w:right w:w="57" w:type="dxa"/>
            </w:tcMar>
          </w:tcPr>
          <w:p w14:paraId="0DDF50D8" w14:textId="77777777" w:rsidR="00753EC0" w:rsidRPr="00013332" w:rsidRDefault="00753EC0" w:rsidP="001E0294">
            <w:pPr>
              <w:spacing w:after="120"/>
              <w:rPr>
                <w:b/>
                <w:bCs/>
                <w:noProof/>
                <w:sz w:val="20"/>
                <w:szCs w:val="20"/>
                <w:u w:val="single"/>
              </w:rPr>
            </w:pPr>
            <w:r w:rsidRPr="00013332">
              <w:rPr>
                <w:b/>
                <w:bCs/>
                <w:noProof/>
                <w:sz w:val="20"/>
                <w:szCs w:val="20"/>
                <w:u w:val="single"/>
              </w:rPr>
              <w:t>Authorisation regime:</w:t>
            </w:r>
          </w:p>
          <w:p w14:paraId="1C9A65D0" w14:textId="1E82F443" w:rsidR="00753EC0" w:rsidRPr="00013332" w:rsidRDefault="00753EC0" w:rsidP="001E0294">
            <w:pPr>
              <w:spacing w:after="120"/>
              <w:rPr>
                <w:noProof/>
                <w:sz w:val="20"/>
                <w:szCs w:val="20"/>
              </w:rPr>
            </w:pPr>
            <w:r w:rsidRPr="00013332">
              <w:rPr>
                <w:noProof/>
                <w:sz w:val="20"/>
                <w:szCs w:val="20"/>
              </w:rPr>
              <w:t>Possibility for EC to</w:t>
            </w:r>
            <w:r w:rsidRPr="00013332">
              <w:rPr>
                <w:b/>
                <w:bCs/>
                <w:noProof/>
                <w:sz w:val="20"/>
                <w:szCs w:val="20"/>
              </w:rPr>
              <w:t xml:space="preserve"> recommended authorisation regime </w:t>
            </w:r>
            <w:r w:rsidRPr="00013332">
              <w:rPr>
                <w:noProof/>
                <w:sz w:val="20"/>
                <w:szCs w:val="20"/>
              </w:rPr>
              <w:t xml:space="preserve">for EU harmonised bands, and promotion of </w:t>
            </w:r>
            <w:r w:rsidRPr="00013332">
              <w:rPr>
                <w:b/>
                <w:bCs/>
                <w:noProof/>
                <w:sz w:val="20"/>
                <w:szCs w:val="20"/>
              </w:rPr>
              <w:t>flexible licencing</w:t>
            </w:r>
            <w:r w:rsidR="001E0294">
              <w:rPr>
                <w:b/>
                <w:bCs/>
                <w:noProof/>
                <w:sz w:val="20"/>
                <w:szCs w:val="20"/>
              </w:rPr>
              <w:t>.</w:t>
            </w:r>
          </w:p>
        </w:tc>
        <w:tc>
          <w:tcPr>
            <w:tcW w:w="4443" w:type="dxa"/>
            <w:tcMar>
              <w:left w:w="57" w:type="dxa"/>
              <w:right w:w="57" w:type="dxa"/>
            </w:tcMar>
          </w:tcPr>
          <w:p w14:paraId="2059119C" w14:textId="77777777" w:rsidR="00753EC0" w:rsidRPr="00013332" w:rsidRDefault="00753EC0" w:rsidP="001E0294">
            <w:pPr>
              <w:spacing w:after="120"/>
              <w:rPr>
                <w:b/>
                <w:bCs/>
                <w:noProof/>
                <w:sz w:val="20"/>
                <w:szCs w:val="20"/>
                <w:u w:val="single"/>
              </w:rPr>
            </w:pPr>
            <w:r w:rsidRPr="00013332">
              <w:rPr>
                <w:b/>
                <w:bCs/>
                <w:noProof/>
                <w:sz w:val="20"/>
                <w:szCs w:val="20"/>
                <w:u w:val="single"/>
              </w:rPr>
              <w:t>Authorisation regime:</w:t>
            </w:r>
          </w:p>
          <w:p w14:paraId="2C0DD909" w14:textId="1CE5CC36" w:rsidR="00753EC0" w:rsidRPr="00013332" w:rsidRDefault="00753EC0" w:rsidP="001E0294">
            <w:pPr>
              <w:spacing w:after="120"/>
              <w:rPr>
                <w:rStyle w:val="normaltextrun"/>
                <w:b/>
                <w:noProof/>
                <w:sz w:val="20"/>
                <w:szCs w:val="20"/>
              </w:rPr>
            </w:pPr>
            <w:r w:rsidRPr="00013332">
              <w:rPr>
                <w:rStyle w:val="normaltextrun"/>
                <w:bCs/>
                <w:noProof/>
                <w:sz w:val="20"/>
                <w:szCs w:val="20"/>
              </w:rPr>
              <w:t xml:space="preserve">Possibility for EC to </w:t>
            </w:r>
            <w:r w:rsidRPr="00013332">
              <w:rPr>
                <w:rStyle w:val="normaltextrun"/>
                <w:b/>
                <w:noProof/>
                <w:sz w:val="20"/>
                <w:szCs w:val="20"/>
              </w:rPr>
              <w:t>decide on authorisation regime</w:t>
            </w:r>
            <w:r w:rsidR="001E0294">
              <w:rPr>
                <w:rStyle w:val="normaltextrun"/>
                <w:b/>
                <w:noProof/>
                <w:sz w:val="20"/>
                <w:szCs w:val="20"/>
              </w:rPr>
              <w:t>.</w:t>
            </w:r>
          </w:p>
          <w:p w14:paraId="6A409AD3" w14:textId="77777777" w:rsidR="00753EC0" w:rsidRPr="00013332" w:rsidRDefault="00753EC0" w:rsidP="00236E38">
            <w:pPr>
              <w:pStyle w:val="paragraph"/>
              <w:spacing w:beforeAutospacing="0" w:after="120" w:afterAutospacing="0"/>
              <w:jc w:val="both"/>
              <w:textAlignment w:val="baseline"/>
              <w:rPr>
                <w:noProof/>
                <w:sz w:val="20"/>
                <w:szCs w:val="20"/>
              </w:rPr>
            </w:pPr>
          </w:p>
        </w:tc>
        <w:tc>
          <w:tcPr>
            <w:tcW w:w="3969" w:type="dxa"/>
            <w:tcMar>
              <w:left w:w="57" w:type="dxa"/>
              <w:right w:w="57" w:type="dxa"/>
            </w:tcMar>
          </w:tcPr>
          <w:p w14:paraId="2A4BEA5D" w14:textId="77777777" w:rsidR="00753EC0" w:rsidRPr="00013332" w:rsidRDefault="00753EC0" w:rsidP="001E0294">
            <w:pPr>
              <w:spacing w:after="120"/>
              <w:rPr>
                <w:b/>
                <w:bCs/>
                <w:noProof/>
                <w:sz w:val="20"/>
                <w:szCs w:val="20"/>
                <w:u w:val="single"/>
              </w:rPr>
            </w:pPr>
            <w:r w:rsidRPr="00013332">
              <w:rPr>
                <w:b/>
                <w:bCs/>
                <w:noProof/>
                <w:sz w:val="20"/>
                <w:szCs w:val="20"/>
                <w:u w:val="single"/>
              </w:rPr>
              <w:t>Authorisation regime:</w:t>
            </w:r>
          </w:p>
          <w:p w14:paraId="71BAE3A5" w14:textId="0CB53CFC" w:rsidR="00753EC0" w:rsidRPr="00013332" w:rsidRDefault="00753EC0" w:rsidP="001E0294">
            <w:pPr>
              <w:spacing w:after="120"/>
              <w:rPr>
                <w:noProof/>
                <w:sz w:val="20"/>
                <w:szCs w:val="20"/>
              </w:rPr>
            </w:pPr>
            <w:r w:rsidRPr="00013332">
              <w:rPr>
                <w:b/>
                <w:bCs/>
                <w:noProof/>
                <w:sz w:val="20"/>
                <w:szCs w:val="20"/>
              </w:rPr>
              <w:t>EU level award</w:t>
            </w:r>
            <w:r w:rsidRPr="00013332">
              <w:rPr>
                <w:noProof/>
                <w:sz w:val="20"/>
                <w:szCs w:val="20"/>
              </w:rPr>
              <w:t xml:space="preserve"> of </w:t>
            </w:r>
            <w:r w:rsidRPr="00013332">
              <w:rPr>
                <w:b/>
                <w:bCs/>
                <w:noProof/>
                <w:sz w:val="20"/>
                <w:szCs w:val="20"/>
              </w:rPr>
              <w:t>harmonised spectrum</w:t>
            </w:r>
            <w:r w:rsidRPr="00013332">
              <w:rPr>
                <w:noProof/>
                <w:sz w:val="20"/>
                <w:szCs w:val="20"/>
              </w:rPr>
              <w:t xml:space="preserve"> for certain services.</w:t>
            </w:r>
          </w:p>
          <w:p w14:paraId="4B808EAE" w14:textId="7C47800E" w:rsidR="00753EC0" w:rsidRPr="00013332" w:rsidRDefault="00753EC0" w:rsidP="001E0294">
            <w:pPr>
              <w:spacing w:after="120"/>
              <w:rPr>
                <w:noProof/>
                <w:sz w:val="20"/>
                <w:szCs w:val="20"/>
              </w:rPr>
            </w:pPr>
            <w:r w:rsidRPr="00013332">
              <w:rPr>
                <w:b/>
                <w:bCs/>
                <w:noProof/>
                <w:sz w:val="20"/>
                <w:szCs w:val="20"/>
              </w:rPr>
              <w:t>Mandatory authorisation regime</w:t>
            </w:r>
            <w:r w:rsidRPr="00013332">
              <w:rPr>
                <w:noProof/>
                <w:sz w:val="20"/>
                <w:szCs w:val="20"/>
              </w:rPr>
              <w:t xml:space="preserve"> for nationally assigned spectrum, with a possibility to request </w:t>
            </w:r>
            <w:r w:rsidRPr="00013332">
              <w:rPr>
                <w:b/>
                <w:bCs/>
                <w:noProof/>
                <w:sz w:val="20"/>
                <w:szCs w:val="20"/>
              </w:rPr>
              <w:t>joint selection procedure</w:t>
            </w:r>
            <w:r w:rsidR="001E0294">
              <w:rPr>
                <w:b/>
                <w:bCs/>
                <w:noProof/>
                <w:sz w:val="20"/>
                <w:szCs w:val="20"/>
              </w:rPr>
              <w:t>.</w:t>
            </w:r>
          </w:p>
        </w:tc>
      </w:tr>
      <w:tr w:rsidR="0068199E" w:rsidRPr="00013332" w14:paraId="08FA14A8" w14:textId="77777777" w:rsidTr="00BE337F">
        <w:tc>
          <w:tcPr>
            <w:tcW w:w="1696" w:type="dxa"/>
            <w:vMerge/>
            <w:tcMar>
              <w:left w:w="57" w:type="dxa"/>
              <w:right w:w="57" w:type="dxa"/>
            </w:tcMar>
          </w:tcPr>
          <w:p w14:paraId="7638DFE3" w14:textId="77777777" w:rsidR="00753EC0" w:rsidRPr="00013332" w:rsidRDefault="00753EC0" w:rsidP="004B7CA0">
            <w:pPr>
              <w:pStyle w:val="paragraph"/>
              <w:spacing w:beforeAutospacing="0" w:after="120" w:afterAutospacing="0"/>
              <w:jc w:val="both"/>
              <w:textAlignment w:val="baseline"/>
              <w:rPr>
                <w:noProof/>
                <w:sz w:val="20"/>
                <w:szCs w:val="20"/>
              </w:rPr>
            </w:pPr>
          </w:p>
        </w:tc>
        <w:tc>
          <w:tcPr>
            <w:tcW w:w="1418" w:type="dxa"/>
            <w:vMerge/>
            <w:tcMar>
              <w:left w:w="57" w:type="dxa"/>
              <w:right w:w="57" w:type="dxa"/>
            </w:tcMar>
          </w:tcPr>
          <w:p w14:paraId="7EF20DCF" w14:textId="77777777" w:rsidR="00753EC0" w:rsidRPr="00013332" w:rsidRDefault="00753EC0" w:rsidP="004B7CA0">
            <w:pPr>
              <w:pStyle w:val="paragraph"/>
              <w:spacing w:beforeAutospacing="0" w:after="120" w:afterAutospacing="0"/>
              <w:jc w:val="both"/>
              <w:textAlignment w:val="baseline"/>
              <w:rPr>
                <w:noProof/>
                <w:sz w:val="20"/>
                <w:szCs w:val="20"/>
              </w:rPr>
            </w:pPr>
          </w:p>
        </w:tc>
        <w:tc>
          <w:tcPr>
            <w:tcW w:w="3495" w:type="dxa"/>
            <w:tcMar>
              <w:left w:w="57" w:type="dxa"/>
              <w:right w:w="57" w:type="dxa"/>
            </w:tcMar>
          </w:tcPr>
          <w:p w14:paraId="34264538" w14:textId="77777777" w:rsidR="00753EC0" w:rsidRPr="00013332" w:rsidRDefault="00753EC0" w:rsidP="001E0294">
            <w:pPr>
              <w:spacing w:after="120"/>
              <w:rPr>
                <w:b/>
                <w:bCs/>
                <w:noProof/>
                <w:sz w:val="20"/>
                <w:szCs w:val="20"/>
                <w:u w:val="single"/>
              </w:rPr>
            </w:pPr>
            <w:r w:rsidRPr="00013332">
              <w:rPr>
                <w:b/>
                <w:bCs/>
                <w:noProof/>
                <w:sz w:val="20"/>
                <w:szCs w:val="20"/>
                <w:u w:val="single"/>
              </w:rPr>
              <w:t>Ex ante control:</w:t>
            </w:r>
          </w:p>
          <w:p w14:paraId="47EB2503" w14:textId="348D52ED" w:rsidR="00753EC0" w:rsidRPr="00013332" w:rsidRDefault="00753EC0" w:rsidP="001E0294">
            <w:pPr>
              <w:spacing w:after="120"/>
              <w:rPr>
                <w:noProof/>
                <w:sz w:val="20"/>
                <w:szCs w:val="20"/>
              </w:rPr>
            </w:pPr>
            <w:r w:rsidRPr="00013332">
              <w:rPr>
                <w:b/>
                <w:bCs/>
                <w:noProof/>
                <w:sz w:val="20"/>
                <w:szCs w:val="20"/>
              </w:rPr>
              <w:t xml:space="preserve">Ex ante </w:t>
            </w:r>
            <w:r w:rsidR="00584258">
              <w:rPr>
                <w:b/>
                <w:bCs/>
                <w:noProof/>
                <w:sz w:val="20"/>
                <w:szCs w:val="20"/>
              </w:rPr>
              <w:t>single market procedure</w:t>
            </w:r>
            <w:r w:rsidRPr="00013332">
              <w:rPr>
                <w:noProof/>
                <w:sz w:val="20"/>
                <w:szCs w:val="20"/>
              </w:rPr>
              <w:t xml:space="preserve"> by EC and RSPG/BEREC of spectrum assignment measures resulting in </w:t>
            </w:r>
            <w:r w:rsidRPr="00013332">
              <w:rPr>
                <w:b/>
                <w:bCs/>
                <w:noProof/>
                <w:sz w:val="20"/>
                <w:szCs w:val="20"/>
              </w:rPr>
              <w:t>non-binding EC opinion</w:t>
            </w:r>
            <w:r w:rsidRPr="00013332">
              <w:rPr>
                <w:noProof/>
                <w:sz w:val="20"/>
                <w:szCs w:val="20"/>
              </w:rPr>
              <w:t xml:space="preserve"> on measures</w:t>
            </w:r>
          </w:p>
          <w:p w14:paraId="2708B244" w14:textId="77777777" w:rsidR="00753EC0" w:rsidRPr="00013332" w:rsidRDefault="00753EC0" w:rsidP="00236E38">
            <w:pPr>
              <w:pStyle w:val="paragraph"/>
              <w:spacing w:beforeAutospacing="0" w:after="120" w:afterAutospacing="0"/>
              <w:jc w:val="both"/>
              <w:textAlignment w:val="baseline"/>
              <w:rPr>
                <w:noProof/>
                <w:sz w:val="20"/>
                <w:szCs w:val="20"/>
              </w:rPr>
            </w:pPr>
          </w:p>
        </w:tc>
        <w:tc>
          <w:tcPr>
            <w:tcW w:w="4443" w:type="dxa"/>
            <w:tcMar>
              <w:left w:w="57" w:type="dxa"/>
              <w:right w:w="57" w:type="dxa"/>
            </w:tcMar>
          </w:tcPr>
          <w:p w14:paraId="22F7C0B4" w14:textId="77777777" w:rsidR="00753EC0" w:rsidRPr="00013332" w:rsidRDefault="00753EC0" w:rsidP="001E0294">
            <w:pPr>
              <w:spacing w:after="120"/>
              <w:rPr>
                <w:b/>
                <w:bCs/>
                <w:noProof/>
                <w:sz w:val="20"/>
                <w:szCs w:val="20"/>
                <w:u w:val="single"/>
              </w:rPr>
            </w:pPr>
            <w:r w:rsidRPr="00013332">
              <w:rPr>
                <w:b/>
                <w:bCs/>
                <w:noProof/>
                <w:sz w:val="20"/>
                <w:szCs w:val="20"/>
                <w:u w:val="single"/>
              </w:rPr>
              <w:t>Ex ante control:</w:t>
            </w:r>
          </w:p>
          <w:p w14:paraId="13AB9C1E" w14:textId="2CB322FE" w:rsidR="00753EC0" w:rsidRPr="00013332" w:rsidRDefault="00753EC0" w:rsidP="001E0294">
            <w:pPr>
              <w:spacing w:after="120"/>
              <w:rPr>
                <w:noProof/>
                <w:sz w:val="20"/>
                <w:szCs w:val="20"/>
              </w:rPr>
            </w:pPr>
            <w:r w:rsidRPr="00013332">
              <w:rPr>
                <w:b/>
                <w:bCs/>
                <w:noProof/>
                <w:sz w:val="20"/>
                <w:szCs w:val="20"/>
              </w:rPr>
              <w:t xml:space="preserve">Mandatory ex ante </w:t>
            </w:r>
            <w:r w:rsidR="00584258">
              <w:rPr>
                <w:b/>
                <w:bCs/>
                <w:noProof/>
                <w:sz w:val="20"/>
                <w:szCs w:val="20"/>
              </w:rPr>
              <w:t>single market procedure</w:t>
            </w:r>
            <w:r w:rsidRPr="00013332">
              <w:rPr>
                <w:noProof/>
                <w:sz w:val="20"/>
                <w:szCs w:val="20"/>
              </w:rPr>
              <w:t xml:space="preserve"> by EC and RSPG/BEREC of spectrum assignment measures resulting in </w:t>
            </w:r>
            <w:r w:rsidRPr="00013332">
              <w:rPr>
                <w:b/>
                <w:bCs/>
                <w:noProof/>
                <w:sz w:val="20"/>
                <w:szCs w:val="20"/>
              </w:rPr>
              <w:t xml:space="preserve">EC </w:t>
            </w:r>
            <w:r w:rsidR="0098506B">
              <w:rPr>
                <w:b/>
                <w:bCs/>
                <w:noProof/>
                <w:sz w:val="20"/>
                <w:szCs w:val="20"/>
              </w:rPr>
              <w:t>d</w:t>
            </w:r>
            <w:r w:rsidRPr="00013332">
              <w:rPr>
                <w:b/>
                <w:bCs/>
                <w:noProof/>
                <w:sz w:val="20"/>
                <w:szCs w:val="20"/>
              </w:rPr>
              <w:t>ecision</w:t>
            </w:r>
            <w:r w:rsidRPr="00013332">
              <w:rPr>
                <w:noProof/>
                <w:sz w:val="20"/>
                <w:szCs w:val="20"/>
              </w:rPr>
              <w:t xml:space="preserve"> on measures with possibility of </w:t>
            </w:r>
            <w:r w:rsidRPr="00013332">
              <w:rPr>
                <w:b/>
                <w:bCs/>
                <w:noProof/>
                <w:sz w:val="20"/>
                <w:szCs w:val="20"/>
              </w:rPr>
              <w:t>EC veto on market shaping measures</w:t>
            </w:r>
            <w:r w:rsidRPr="00013332">
              <w:rPr>
                <w:noProof/>
                <w:sz w:val="20"/>
                <w:szCs w:val="20"/>
              </w:rPr>
              <w:t xml:space="preserve">, if they are not justified </w:t>
            </w:r>
          </w:p>
        </w:tc>
        <w:tc>
          <w:tcPr>
            <w:tcW w:w="3969" w:type="dxa"/>
            <w:tcMar>
              <w:left w:w="57" w:type="dxa"/>
              <w:right w:w="57" w:type="dxa"/>
            </w:tcMar>
          </w:tcPr>
          <w:p w14:paraId="3E9778C0" w14:textId="77777777" w:rsidR="00753EC0" w:rsidRPr="00013332" w:rsidRDefault="00753EC0" w:rsidP="001E0294">
            <w:pPr>
              <w:spacing w:after="120"/>
              <w:rPr>
                <w:b/>
                <w:bCs/>
                <w:noProof/>
                <w:sz w:val="20"/>
                <w:szCs w:val="20"/>
                <w:u w:val="single"/>
              </w:rPr>
            </w:pPr>
            <w:r w:rsidRPr="00013332">
              <w:rPr>
                <w:b/>
                <w:bCs/>
                <w:noProof/>
                <w:sz w:val="20"/>
                <w:szCs w:val="20"/>
                <w:u w:val="single"/>
              </w:rPr>
              <w:t>Ex ante control:</w:t>
            </w:r>
          </w:p>
          <w:p w14:paraId="3990F454" w14:textId="6F523C64" w:rsidR="00753EC0" w:rsidRPr="00013332" w:rsidRDefault="00753EC0" w:rsidP="001E0294">
            <w:pPr>
              <w:spacing w:after="120"/>
              <w:rPr>
                <w:noProof/>
                <w:sz w:val="20"/>
                <w:szCs w:val="20"/>
              </w:rPr>
            </w:pPr>
            <w:r w:rsidRPr="00013332">
              <w:rPr>
                <w:b/>
                <w:bCs/>
                <w:noProof/>
                <w:sz w:val="20"/>
                <w:szCs w:val="20"/>
              </w:rPr>
              <w:t xml:space="preserve">Mandatory ex ante </w:t>
            </w:r>
            <w:r w:rsidR="00584258">
              <w:rPr>
                <w:b/>
                <w:bCs/>
                <w:noProof/>
                <w:sz w:val="20"/>
                <w:szCs w:val="20"/>
              </w:rPr>
              <w:t>single market procedure</w:t>
            </w:r>
            <w:r w:rsidRPr="00013332">
              <w:rPr>
                <w:noProof/>
                <w:sz w:val="20"/>
                <w:szCs w:val="20"/>
              </w:rPr>
              <w:t xml:space="preserve"> by EC and RSPG/BEREC of national spectrum assignment measures resulting in EC opinion with possibility of </w:t>
            </w:r>
            <w:r w:rsidRPr="00013332">
              <w:rPr>
                <w:b/>
                <w:bCs/>
                <w:noProof/>
                <w:sz w:val="20"/>
                <w:szCs w:val="20"/>
              </w:rPr>
              <w:t xml:space="preserve">EC veto on market shaping measures, </w:t>
            </w:r>
            <w:r w:rsidRPr="00013332">
              <w:rPr>
                <w:noProof/>
                <w:sz w:val="20"/>
                <w:szCs w:val="20"/>
              </w:rPr>
              <w:t xml:space="preserve">if they are not addressing </w:t>
            </w:r>
            <w:r w:rsidRPr="00013332">
              <w:rPr>
                <w:b/>
                <w:bCs/>
                <w:noProof/>
                <w:sz w:val="20"/>
                <w:szCs w:val="20"/>
              </w:rPr>
              <w:t>only</w:t>
            </w:r>
            <w:r w:rsidRPr="00013332">
              <w:rPr>
                <w:noProof/>
                <w:sz w:val="20"/>
                <w:szCs w:val="20"/>
              </w:rPr>
              <w:t xml:space="preserve"> the case of </w:t>
            </w:r>
            <w:r w:rsidRPr="00013332">
              <w:rPr>
                <w:b/>
                <w:bCs/>
                <w:noProof/>
                <w:sz w:val="20"/>
                <w:szCs w:val="20"/>
              </w:rPr>
              <w:t>dominance</w:t>
            </w:r>
          </w:p>
        </w:tc>
      </w:tr>
      <w:tr w:rsidR="0068199E" w:rsidRPr="00013332" w14:paraId="039DEA7B" w14:textId="77777777" w:rsidTr="00BE337F">
        <w:tc>
          <w:tcPr>
            <w:tcW w:w="1696" w:type="dxa"/>
            <w:vMerge/>
            <w:tcMar>
              <w:left w:w="57" w:type="dxa"/>
              <w:right w:w="57" w:type="dxa"/>
            </w:tcMar>
          </w:tcPr>
          <w:p w14:paraId="013368C8" w14:textId="77777777" w:rsidR="00753EC0" w:rsidRPr="00013332" w:rsidRDefault="00753EC0" w:rsidP="004B7CA0">
            <w:pPr>
              <w:pStyle w:val="paragraph"/>
              <w:spacing w:beforeAutospacing="0" w:after="120" w:afterAutospacing="0"/>
              <w:jc w:val="both"/>
              <w:textAlignment w:val="baseline"/>
              <w:rPr>
                <w:noProof/>
                <w:sz w:val="20"/>
                <w:szCs w:val="20"/>
              </w:rPr>
            </w:pPr>
          </w:p>
        </w:tc>
        <w:tc>
          <w:tcPr>
            <w:tcW w:w="1418" w:type="dxa"/>
            <w:vMerge/>
            <w:tcMar>
              <w:left w:w="57" w:type="dxa"/>
              <w:right w:w="57" w:type="dxa"/>
            </w:tcMar>
          </w:tcPr>
          <w:p w14:paraId="2C47630D" w14:textId="77777777" w:rsidR="00753EC0" w:rsidRPr="00013332" w:rsidRDefault="00753EC0" w:rsidP="004B7CA0">
            <w:pPr>
              <w:pStyle w:val="paragraph"/>
              <w:spacing w:beforeAutospacing="0" w:after="120" w:afterAutospacing="0"/>
              <w:jc w:val="both"/>
              <w:textAlignment w:val="baseline"/>
              <w:rPr>
                <w:noProof/>
                <w:sz w:val="20"/>
                <w:szCs w:val="20"/>
              </w:rPr>
            </w:pPr>
          </w:p>
        </w:tc>
        <w:tc>
          <w:tcPr>
            <w:tcW w:w="3495" w:type="dxa"/>
            <w:tcMar>
              <w:left w:w="57" w:type="dxa"/>
              <w:right w:w="57" w:type="dxa"/>
            </w:tcMar>
          </w:tcPr>
          <w:p w14:paraId="4B90B847" w14:textId="77777777" w:rsidR="00753EC0" w:rsidRPr="00013332" w:rsidRDefault="00753EC0" w:rsidP="00013332">
            <w:pPr>
              <w:spacing w:after="120"/>
              <w:jc w:val="left"/>
              <w:rPr>
                <w:b/>
                <w:bCs/>
                <w:noProof/>
                <w:sz w:val="20"/>
                <w:szCs w:val="20"/>
                <w:u w:val="single"/>
              </w:rPr>
            </w:pPr>
            <w:r w:rsidRPr="00013332">
              <w:rPr>
                <w:b/>
                <w:bCs/>
                <w:noProof/>
                <w:sz w:val="20"/>
                <w:szCs w:val="20"/>
                <w:u w:val="single"/>
              </w:rPr>
              <w:t>Coordination of assignment timing:</w:t>
            </w:r>
          </w:p>
          <w:p w14:paraId="49AFAB83" w14:textId="704786F1" w:rsidR="00753EC0" w:rsidRPr="00013332" w:rsidRDefault="00753EC0" w:rsidP="00236E38">
            <w:pPr>
              <w:pStyle w:val="paragraph"/>
              <w:spacing w:beforeAutospacing="0" w:after="120" w:afterAutospacing="0"/>
              <w:jc w:val="both"/>
              <w:textAlignment w:val="baseline"/>
              <w:rPr>
                <w:noProof/>
                <w:sz w:val="20"/>
                <w:szCs w:val="20"/>
              </w:rPr>
            </w:pPr>
            <w:r w:rsidRPr="00013332">
              <w:rPr>
                <w:b/>
                <w:bCs/>
                <w:noProof/>
                <w:sz w:val="20"/>
                <w:szCs w:val="20"/>
              </w:rPr>
              <w:t>Spectrum roadmap</w:t>
            </w:r>
            <w:r w:rsidRPr="00013332">
              <w:rPr>
                <w:noProof/>
                <w:sz w:val="20"/>
                <w:szCs w:val="20"/>
              </w:rPr>
              <w:t xml:space="preserve"> for 6G developed by EC with RSPG and regularly updated </w:t>
            </w:r>
          </w:p>
        </w:tc>
        <w:tc>
          <w:tcPr>
            <w:tcW w:w="4443" w:type="dxa"/>
            <w:tcMar>
              <w:left w:w="57" w:type="dxa"/>
              <w:right w:w="57" w:type="dxa"/>
            </w:tcMar>
          </w:tcPr>
          <w:p w14:paraId="04474274" w14:textId="77777777" w:rsidR="00753EC0" w:rsidRPr="00013332" w:rsidRDefault="00753EC0" w:rsidP="00013332">
            <w:pPr>
              <w:spacing w:after="120"/>
              <w:jc w:val="left"/>
              <w:rPr>
                <w:b/>
                <w:bCs/>
                <w:noProof/>
                <w:sz w:val="20"/>
                <w:szCs w:val="20"/>
                <w:u w:val="single"/>
              </w:rPr>
            </w:pPr>
            <w:r w:rsidRPr="00013332">
              <w:rPr>
                <w:b/>
                <w:bCs/>
                <w:noProof/>
                <w:sz w:val="20"/>
                <w:szCs w:val="20"/>
                <w:u w:val="single"/>
              </w:rPr>
              <w:t>Coordination of assignment timing:</w:t>
            </w:r>
          </w:p>
          <w:p w14:paraId="735391FF" w14:textId="451A7728" w:rsidR="00753EC0" w:rsidRPr="00013332" w:rsidRDefault="00753EC0" w:rsidP="00236E38">
            <w:pPr>
              <w:pStyle w:val="paragraph"/>
              <w:spacing w:beforeAutospacing="0" w:after="120" w:afterAutospacing="0"/>
              <w:jc w:val="both"/>
              <w:textAlignment w:val="baseline"/>
              <w:rPr>
                <w:noProof/>
                <w:sz w:val="20"/>
                <w:szCs w:val="20"/>
              </w:rPr>
            </w:pPr>
            <w:r w:rsidRPr="00013332">
              <w:rPr>
                <w:b/>
                <w:bCs/>
                <w:noProof/>
                <w:sz w:val="20"/>
                <w:szCs w:val="20"/>
              </w:rPr>
              <w:t>National roadmaps</w:t>
            </w:r>
            <w:r w:rsidRPr="00013332">
              <w:rPr>
                <w:noProof/>
                <w:sz w:val="20"/>
                <w:szCs w:val="20"/>
              </w:rPr>
              <w:t xml:space="preserve"> based on </w:t>
            </w:r>
            <w:r w:rsidRPr="00B45934">
              <w:rPr>
                <w:noProof/>
                <w:sz w:val="20"/>
                <w:szCs w:val="20"/>
              </w:rPr>
              <w:t xml:space="preserve">spectrum </w:t>
            </w:r>
            <w:r w:rsidR="0046578B">
              <w:rPr>
                <w:noProof/>
                <w:sz w:val="20"/>
                <w:szCs w:val="20"/>
              </w:rPr>
              <w:t xml:space="preserve">strategy and </w:t>
            </w:r>
            <w:r w:rsidRPr="00B45934">
              <w:rPr>
                <w:noProof/>
                <w:sz w:val="20"/>
                <w:szCs w:val="20"/>
              </w:rPr>
              <w:t>spectrum roadmap</w:t>
            </w:r>
            <w:r w:rsidR="003B70AA">
              <w:rPr>
                <w:noProof/>
                <w:sz w:val="20"/>
                <w:szCs w:val="20"/>
              </w:rPr>
              <w:t>s</w:t>
            </w:r>
            <w:r w:rsidRPr="00B45934">
              <w:rPr>
                <w:noProof/>
                <w:sz w:val="20"/>
                <w:szCs w:val="20"/>
              </w:rPr>
              <w:t>, with obligation to authorise spectrum within less than 24 months from harmonisation, scrutinised by the EC with the assistance of the RSPG, and consequences for not respecting the timelines</w:t>
            </w:r>
            <w:r w:rsidR="00B45934">
              <w:rPr>
                <w:noProof/>
                <w:sz w:val="20"/>
                <w:szCs w:val="20"/>
              </w:rPr>
              <w:t>.</w:t>
            </w:r>
          </w:p>
        </w:tc>
        <w:tc>
          <w:tcPr>
            <w:tcW w:w="3969" w:type="dxa"/>
            <w:tcMar>
              <w:left w:w="57" w:type="dxa"/>
              <w:right w:w="57" w:type="dxa"/>
            </w:tcMar>
          </w:tcPr>
          <w:p w14:paraId="6814DE38" w14:textId="77777777" w:rsidR="00753EC0" w:rsidRPr="00013332" w:rsidRDefault="00753EC0" w:rsidP="00236E38">
            <w:pPr>
              <w:pStyle w:val="paragraph"/>
              <w:spacing w:beforeAutospacing="0" w:after="120" w:afterAutospacing="0"/>
              <w:jc w:val="both"/>
              <w:textAlignment w:val="baseline"/>
              <w:rPr>
                <w:noProof/>
                <w:sz w:val="20"/>
                <w:szCs w:val="20"/>
              </w:rPr>
            </w:pPr>
          </w:p>
        </w:tc>
      </w:tr>
      <w:tr w:rsidR="0068199E" w:rsidRPr="00013332" w14:paraId="030E007B" w14:textId="77777777" w:rsidTr="00BE337F">
        <w:tc>
          <w:tcPr>
            <w:tcW w:w="1696" w:type="dxa"/>
            <w:vMerge/>
            <w:tcMar>
              <w:left w:w="57" w:type="dxa"/>
              <w:right w:w="57" w:type="dxa"/>
            </w:tcMar>
          </w:tcPr>
          <w:p w14:paraId="00460938" w14:textId="77777777" w:rsidR="00753EC0" w:rsidRPr="00013332" w:rsidRDefault="00753EC0" w:rsidP="004B7CA0">
            <w:pPr>
              <w:pStyle w:val="paragraph"/>
              <w:spacing w:beforeAutospacing="0" w:after="120" w:afterAutospacing="0"/>
              <w:jc w:val="both"/>
              <w:textAlignment w:val="baseline"/>
              <w:rPr>
                <w:noProof/>
                <w:sz w:val="20"/>
                <w:szCs w:val="20"/>
              </w:rPr>
            </w:pPr>
          </w:p>
        </w:tc>
        <w:tc>
          <w:tcPr>
            <w:tcW w:w="1418" w:type="dxa"/>
            <w:vMerge/>
            <w:tcMar>
              <w:left w:w="57" w:type="dxa"/>
              <w:right w:w="57" w:type="dxa"/>
            </w:tcMar>
          </w:tcPr>
          <w:p w14:paraId="19DC6211" w14:textId="77777777" w:rsidR="00753EC0" w:rsidRPr="00013332" w:rsidRDefault="00753EC0" w:rsidP="004B7CA0">
            <w:pPr>
              <w:pStyle w:val="paragraph"/>
              <w:spacing w:beforeAutospacing="0" w:after="120" w:afterAutospacing="0"/>
              <w:jc w:val="both"/>
              <w:textAlignment w:val="baseline"/>
              <w:rPr>
                <w:noProof/>
                <w:sz w:val="20"/>
                <w:szCs w:val="20"/>
              </w:rPr>
            </w:pPr>
          </w:p>
        </w:tc>
        <w:tc>
          <w:tcPr>
            <w:tcW w:w="3495" w:type="dxa"/>
            <w:tcMar>
              <w:left w:w="57" w:type="dxa"/>
              <w:right w:w="57" w:type="dxa"/>
            </w:tcMar>
          </w:tcPr>
          <w:p w14:paraId="4B351439" w14:textId="77777777" w:rsidR="00753EC0" w:rsidRPr="00013332" w:rsidRDefault="00753EC0" w:rsidP="00013332">
            <w:pPr>
              <w:spacing w:after="120"/>
              <w:jc w:val="left"/>
              <w:rPr>
                <w:b/>
                <w:bCs/>
                <w:noProof/>
                <w:sz w:val="20"/>
                <w:szCs w:val="20"/>
                <w:u w:val="single"/>
              </w:rPr>
            </w:pPr>
            <w:r w:rsidRPr="00013332">
              <w:rPr>
                <w:b/>
                <w:bCs/>
                <w:noProof/>
                <w:sz w:val="20"/>
                <w:szCs w:val="20"/>
                <w:u w:val="single"/>
              </w:rPr>
              <w:t>International governance:</w:t>
            </w:r>
          </w:p>
          <w:p w14:paraId="36AAECE9" w14:textId="4E55A89F" w:rsidR="00753EC0" w:rsidRPr="00013332" w:rsidRDefault="00753EC0" w:rsidP="00013332">
            <w:pPr>
              <w:spacing w:after="120"/>
              <w:jc w:val="left"/>
              <w:rPr>
                <w:b/>
                <w:bCs/>
                <w:noProof/>
                <w:sz w:val="20"/>
                <w:szCs w:val="20"/>
                <w:u w:val="single"/>
              </w:rPr>
            </w:pPr>
            <w:r w:rsidRPr="00013332">
              <w:rPr>
                <w:noProof/>
                <w:sz w:val="20"/>
                <w:szCs w:val="20"/>
              </w:rPr>
              <w:t>Recommended coordination of positions at</w:t>
            </w:r>
            <w:r w:rsidRPr="00013332">
              <w:rPr>
                <w:b/>
                <w:bCs/>
                <w:noProof/>
                <w:sz w:val="20"/>
                <w:szCs w:val="20"/>
              </w:rPr>
              <w:t xml:space="preserve"> CEPT</w:t>
            </w:r>
            <w:r w:rsidRPr="00013332">
              <w:rPr>
                <w:noProof/>
                <w:sz w:val="20"/>
                <w:szCs w:val="20"/>
              </w:rPr>
              <w:t xml:space="preserve"> on issues related to security / technology sovereignty</w:t>
            </w:r>
          </w:p>
        </w:tc>
        <w:tc>
          <w:tcPr>
            <w:tcW w:w="4443" w:type="dxa"/>
            <w:tcMar>
              <w:left w:w="57" w:type="dxa"/>
              <w:right w:w="57" w:type="dxa"/>
            </w:tcMar>
          </w:tcPr>
          <w:p w14:paraId="4732CB68" w14:textId="77777777" w:rsidR="00753EC0" w:rsidRPr="00013332" w:rsidRDefault="00753EC0" w:rsidP="00013332">
            <w:pPr>
              <w:spacing w:after="120"/>
              <w:jc w:val="left"/>
              <w:rPr>
                <w:b/>
                <w:bCs/>
                <w:noProof/>
                <w:sz w:val="20"/>
                <w:szCs w:val="20"/>
                <w:u w:val="single"/>
              </w:rPr>
            </w:pPr>
            <w:r w:rsidRPr="00013332">
              <w:rPr>
                <w:b/>
                <w:bCs/>
                <w:noProof/>
                <w:sz w:val="20"/>
                <w:szCs w:val="20"/>
                <w:u w:val="single"/>
              </w:rPr>
              <w:t>International governance:</w:t>
            </w:r>
          </w:p>
          <w:p w14:paraId="564F7A78" w14:textId="02B220FD" w:rsidR="00753EC0" w:rsidRPr="00013332" w:rsidRDefault="00753EC0" w:rsidP="00013332">
            <w:pPr>
              <w:spacing w:after="120"/>
              <w:jc w:val="left"/>
              <w:rPr>
                <w:b/>
                <w:bCs/>
                <w:noProof/>
                <w:sz w:val="20"/>
                <w:szCs w:val="20"/>
                <w:u w:val="single"/>
              </w:rPr>
            </w:pPr>
            <w:r w:rsidRPr="00013332">
              <w:rPr>
                <w:noProof/>
                <w:sz w:val="20"/>
                <w:szCs w:val="20"/>
              </w:rPr>
              <w:t>Mandatory coordination of position at</w:t>
            </w:r>
            <w:r w:rsidRPr="00013332">
              <w:rPr>
                <w:b/>
                <w:bCs/>
                <w:noProof/>
                <w:sz w:val="20"/>
                <w:szCs w:val="20"/>
              </w:rPr>
              <w:t xml:space="preserve"> CEPT</w:t>
            </w:r>
            <w:r w:rsidRPr="00013332">
              <w:rPr>
                <w:noProof/>
                <w:sz w:val="20"/>
                <w:szCs w:val="20"/>
              </w:rPr>
              <w:t xml:space="preserve"> on issues related to security / technology sovereignty</w:t>
            </w:r>
          </w:p>
        </w:tc>
        <w:tc>
          <w:tcPr>
            <w:tcW w:w="3969" w:type="dxa"/>
            <w:tcMar>
              <w:left w:w="57" w:type="dxa"/>
              <w:right w:w="57" w:type="dxa"/>
            </w:tcMar>
          </w:tcPr>
          <w:p w14:paraId="06A832FA" w14:textId="77777777" w:rsidR="00753EC0" w:rsidRPr="00013332" w:rsidRDefault="00753EC0" w:rsidP="00013332">
            <w:pPr>
              <w:spacing w:after="120"/>
              <w:jc w:val="left"/>
              <w:rPr>
                <w:rStyle w:val="normaltextrun"/>
                <w:b/>
                <w:bCs/>
                <w:noProof/>
                <w:sz w:val="20"/>
                <w:szCs w:val="20"/>
                <w:u w:val="single"/>
              </w:rPr>
            </w:pPr>
            <w:r w:rsidRPr="00013332">
              <w:rPr>
                <w:b/>
                <w:bCs/>
                <w:noProof/>
                <w:sz w:val="20"/>
                <w:szCs w:val="20"/>
                <w:u w:val="single"/>
              </w:rPr>
              <w:t>International governance:</w:t>
            </w:r>
          </w:p>
          <w:p w14:paraId="421A391E" w14:textId="7DB8429D" w:rsidR="00753EC0" w:rsidRPr="00013332" w:rsidRDefault="00753EC0" w:rsidP="00236E38">
            <w:pPr>
              <w:pStyle w:val="paragraph"/>
              <w:spacing w:beforeAutospacing="0" w:after="120" w:afterAutospacing="0"/>
              <w:jc w:val="both"/>
              <w:textAlignment w:val="baseline"/>
              <w:rPr>
                <w:noProof/>
                <w:sz w:val="20"/>
                <w:szCs w:val="20"/>
              </w:rPr>
            </w:pPr>
            <w:r w:rsidRPr="00013332">
              <w:rPr>
                <w:rStyle w:val="normaltextrun"/>
                <w:noProof/>
                <w:sz w:val="20"/>
                <w:szCs w:val="20"/>
              </w:rPr>
              <w:t xml:space="preserve">In exceptional cases, harmonisation work carried out by ad hoc / high-level only MSs group instead of by </w:t>
            </w:r>
            <w:r w:rsidRPr="00013332">
              <w:rPr>
                <w:rStyle w:val="normaltextrun"/>
                <w:b/>
                <w:bCs/>
                <w:noProof/>
                <w:sz w:val="20"/>
                <w:szCs w:val="20"/>
              </w:rPr>
              <w:t>CEPT</w:t>
            </w:r>
          </w:p>
        </w:tc>
      </w:tr>
      <w:tr w:rsidR="0068199E" w:rsidRPr="00013332" w14:paraId="3BDD612C" w14:textId="77777777" w:rsidTr="00BE337F">
        <w:tc>
          <w:tcPr>
            <w:tcW w:w="1696" w:type="dxa"/>
            <w:vMerge/>
            <w:tcMar>
              <w:left w:w="57" w:type="dxa"/>
              <w:right w:w="57" w:type="dxa"/>
            </w:tcMar>
          </w:tcPr>
          <w:p w14:paraId="2968B99C" w14:textId="77777777" w:rsidR="00753EC0" w:rsidRPr="00013332" w:rsidRDefault="00753EC0" w:rsidP="004B7CA0">
            <w:pPr>
              <w:pStyle w:val="paragraph"/>
              <w:spacing w:beforeAutospacing="0" w:after="120" w:afterAutospacing="0"/>
              <w:jc w:val="both"/>
              <w:textAlignment w:val="baseline"/>
              <w:rPr>
                <w:noProof/>
                <w:sz w:val="20"/>
                <w:szCs w:val="20"/>
              </w:rPr>
            </w:pPr>
          </w:p>
        </w:tc>
        <w:tc>
          <w:tcPr>
            <w:tcW w:w="1418" w:type="dxa"/>
            <w:vMerge/>
            <w:tcMar>
              <w:left w:w="57" w:type="dxa"/>
              <w:right w:w="57" w:type="dxa"/>
            </w:tcMar>
          </w:tcPr>
          <w:p w14:paraId="31A54CE5" w14:textId="77777777" w:rsidR="00753EC0" w:rsidRPr="00013332" w:rsidRDefault="00753EC0" w:rsidP="004B7CA0">
            <w:pPr>
              <w:pStyle w:val="paragraph"/>
              <w:spacing w:beforeAutospacing="0" w:after="120" w:afterAutospacing="0"/>
              <w:jc w:val="both"/>
              <w:textAlignment w:val="baseline"/>
              <w:rPr>
                <w:noProof/>
                <w:sz w:val="20"/>
                <w:szCs w:val="20"/>
              </w:rPr>
            </w:pPr>
          </w:p>
        </w:tc>
        <w:tc>
          <w:tcPr>
            <w:tcW w:w="3495" w:type="dxa"/>
            <w:tcMar>
              <w:left w:w="57" w:type="dxa"/>
              <w:right w:w="57" w:type="dxa"/>
            </w:tcMar>
          </w:tcPr>
          <w:p w14:paraId="2D83C203" w14:textId="36E5A682" w:rsidR="00753EC0" w:rsidRPr="00013332" w:rsidRDefault="00753EC0" w:rsidP="00013332">
            <w:pPr>
              <w:spacing w:after="120"/>
              <w:jc w:val="left"/>
              <w:rPr>
                <w:b/>
                <w:bCs/>
                <w:noProof/>
                <w:sz w:val="20"/>
                <w:szCs w:val="20"/>
                <w:u w:val="single"/>
              </w:rPr>
            </w:pPr>
            <w:r w:rsidRPr="00013332">
              <w:rPr>
                <w:b/>
                <w:bCs/>
                <w:noProof/>
                <w:sz w:val="20"/>
                <w:szCs w:val="20"/>
              </w:rPr>
              <w:t>Petition of rule-making mechanism</w:t>
            </w:r>
            <w:r w:rsidRPr="00013332">
              <w:rPr>
                <w:noProof/>
                <w:sz w:val="20"/>
                <w:szCs w:val="20"/>
              </w:rPr>
              <w:t xml:space="preserve"> with EC obligation to respond to request and justify eventual refusal</w:t>
            </w:r>
          </w:p>
        </w:tc>
        <w:tc>
          <w:tcPr>
            <w:tcW w:w="4443" w:type="dxa"/>
            <w:tcMar>
              <w:left w:w="57" w:type="dxa"/>
              <w:right w:w="57" w:type="dxa"/>
            </w:tcMar>
          </w:tcPr>
          <w:p w14:paraId="32B6B83E" w14:textId="233194AE" w:rsidR="00753EC0" w:rsidRPr="00013332" w:rsidRDefault="00753EC0" w:rsidP="00013332">
            <w:pPr>
              <w:spacing w:after="120"/>
              <w:jc w:val="left"/>
              <w:rPr>
                <w:b/>
                <w:bCs/>
                <w:noProof/>
                <w:sz w:val="20"/>
                <w:szCs w:val="20"/>
                <w:u w:val="single"/>
              </w:rPr>
            </w:pPr>
            <w:r w:rsidRPr="00013332">
              <w:rPr>
                <w:b/>
                <w:bCs/>
                <w:noProof/>
                <w:sz w:val="20"/>
                <w:szCs w:val="20"/>
              </w:rPr>
              <w:t>Petition for rule making mechanism</w:t>
            </w:r>
            <w:r w:rsidRPr="00013332">
              <w:rPr>
                <w:noProof/>
                <w:sz w:val="20"/>
                <w:szCs w:val="20"/>
              </w:rPr>
              <w:t xml:space="preserve"> to request spectrum harmonisation with procedures and obligations for competent authorities </w:t>
            </w:r>
          </w:p>
        </w:tc>
        <w:tc>
          <w:tcPr>
            <w:tcW w:w="3969" w:type="dxa"/>
            <w:tcMar>
              <w:left w:w="57" w:type="dxa"/>
              <w:right w:w="57" w:type="dxa"/>
            </w:tcMar>
          </w:tcPr>
          <w:p w14:paraId="26C7037C" w14:textId="4021ADAE" w:rsidR="00753EC0" w:rsidRPr="00013332" w:rsidRDefault="00753EC0" w:rsidP="00013332">
            <w:pPr>
              <w:spacing w:after="120"/>
              <w:jc w:val="left"/>
              <w:rPr>
                <w:b/>
                <w:bCs/>
                <w:noProof/>
                <w:sz w:val="20"/>
                <w:szCs w:val="20"/>
                <w:u w:val="single"/>
              </w:rPr>
            </w:pPr>
            <w:r w:rsidRPr="00013332">
              <w:rPr>
                <w:b/>
                <w:bCs/>
                <w:noProof/>
                <w:sz w:val="20"/>
                <w:szCs w:val="20"/>
              </w:rPr>
              <w:t>Petition for rule making mechanism</w:t>
            </w:r>
            <w:r w:rsidRPr="00013332">
              <w:rPr>
                <w:noProof/>
                <w:sz w:val="20"/>
                <w:szCs w:val="20"/>
              </w:rPr>
              <w:t xml:space="preserve"> with an extended scope to also cover </w:t>
            </w:r>
            <w:r w:rsidRPr="00013332">
              <w:rPr>
                <w:rStyle w:val="normaltextrun"/>
                <w:noProof/>
                <w:sz w:val="20"/>
                <w:szCs w:val="20"/>
              </w:rPr>
              <w:t>authorisation aspects and innovative approaches to improve spectrum efficiency</w:t>
            </w:r>
          </w:p>
        </w:tc>
      </w:tr>
      <w:tr w:rsidR="0068199E" w:rsidRPr="00013332" w14:paraId="523F308B" w14:textId="77777777" w:rsidTr="00BE337F">
        <w:tc>
          <w:tcPr>
            <w:tcW w:w="1696" w:type="dxa"/>
            <w:vMerge/>
            <w:tcMar>
              <w:left w:w="57" w:type="dxa"/>
              <w:right w:w="57" w:type="dxa"/>
            </w:tcMar>
          </w:tcPr>
          <w:p w14:paraId="08696CE7" w14:textId="77777777" w:rsidR="00753EC0" w:rsidRPr="00013332" w:rsidRDefault="00753EC0" w:rsidP="004B7CA0">
            <w:pPr>
              <w:pStyle w:val="paragraph"/>
              <w:spacing w:beforeAutospacing="0" w:after="120" w:afterAutospacing="0"/>
              <w:jc w:val="both"/>
              <w:textAlignment w:val="baseline"/>
              <w:rPr>
                <w:noProof/>
                <w:sz w:val="20"/>
                <w:szCs w:val="20"/>
              </w:rPr>
            </w:pPr>
          </w:p>
        </w:tc>
        <w:tc>
          <w:tcPr>
            <w:tcW w:w="1418" w:type="dxa"/>
            <w:vMerge/>
            <w:tcMar>
              <w:left w:w="57" w:type="dxa"/>
              <w:right w:w="57" w:type="dxa"/>
            </w:tcMar>
          </w:tcPr>
          <w:p w14:paraId="4F839051" w14:textId="77777777" w:rsidR="00753EC0" w:rsidRPr="00013332" w:rsidRDefault="00753EC0" w:rsidP="004B7CA0">
            <w:pPr>
              <w:pStyle w:val="paragraph"/>
              <w:spacing w:beforeAutospacing="0" w:after="120" w:afterAutospacing="0"/>
              <w:jc w:val="both"/>
              <w:textAlignment w:val="baseline"/>
              <w:rPr>
                <w:noProof/>
                <w:sz w:val="20"/>
                <w:szCs w:val="20"/>
              </w:rPr>
            </w:pPr>
          </w:p>
        </w:tc>
        <w:tc>
          <w:tcPr>
            <w:tcW w:w="3495" w:type="dxa"/>
            <w:tcMar>
              <w:left w:w="57" w:type="dxa"/>
              <w:right w:w="57" w:type="dxa"/>
            </w:tcMar>
          </w:tcPr>
          <w:p w14:paraId="2B69B6BB" w14:textId="77777777" w:rsidR="00753EC0" w:rsidRPr="00013332" w:rsidRDefault="00753EC0" w:rsidP="00BD3C1B">
            <w:pPr>
              <w:spacing w:after="120"/>
              <w:rPr>
                <w:b/>
                <w:bCs/>
                <w:noProof/>
                <w:sz w:val="20"/>
                <w:szCs w:val="20"/>
                <w:u w:val="single"/>
              </w:rPr>
            </w:pPr>
            <w:r w:rsidRPr="00013332">
              <w:rPr>
                <w:b/>
                <w:bCs/>
                <w:noProof/>
                <w:sz w:val="20"/>
                <w:szCs w:val="20"/>
                <w:u w:val="single"/>
              </w:rPr>
              <w:t>Spectrum sharing:</w:t>
            </w:r>
          </w:p>
          <w:p w14:paraId="1193F6E2" w14:textId="77777777" w:rsidR="00753EC0" w:rsidRPr="00013332" w:rsidRDefault="00753EC0" w:rsidP="00BD3C1B">
            <w:pPr>
              <w:spacing w:after="120"/>
              <w:rPr>
                <w:noProof/>
                <w:sz w:val="20"/>
                <w:szCs w:val="20"/>
              </w:rPr>
            </w:pPr>
            <w:r w:rsidRPr="00013332">
              <w:rPr>
                <w:noProof/>
                <w:sz w:val="20"/>
                <w:szCs w:val="20"/>
              </w:rPr>
              <w:t xml:space="preserve">Soft Harmonisation – 1) removing legal / regulatory obstacle for </w:t>
            </w:r>
            <w:r w:rsidRPr="00013332">
              <w:rPr>
                <w:b/>
                <w:bCs/>
                <w:noProof/>
                <w:sz w:val="20"/>
                <w:szCs w:val="20"/>
              </w:rPr>
              <w:t xml:space="preserve">spectrum sharing / pooling, </w:t>
            </w:r>
            <w:r w:rsidRPr="00013332">
              <w:rPr>
                <w:noProof/>
                <w:sz w:val="20"/>
                <w:szCs w:val="20"/>
              </w:rPr>
              <w:t xml:space="preserve">especially in rural/ underserved areas &amp; 2) </w:t>
            </w:r>
            <w:r w:rsidRPr="006702BD">
              <w:rPr>
                <w:noProof/>
                <w:sz w:val="20"/>
              </w:rPr>
              <w:t>promoting flexible spectrum licensing</w:t>
            </w:r>
            <w:r w:rsidRPr="00013332">
              <w:rPr>
                <w:noProof/>
                <w:sz w:val="20"/>
                <w:szCs w:val="20"/>
              </w:rPr>
              <w:t xml:space="preserve"> </w:t>
            </w:r>
          </w:p>
          <w:p w14:paraId="05444853" w14:textId="77777777" w:rsidR="00753EC0" w:rsidRPr="00013332" w:rsidRDefault="00753EC0" w:rsidP="00BD3C1B">
            <w:pPr>
              <w:spacing w:after="120"/>
              <w:rPr>
                <w:b/>
                <w:bCs/>
                <w:noProof/>
                <w:sz w:val="20"/>
                <w:szCs w:val="20"/>
              </w:rPr>
            </w:pPr>
          </w:p>
        </w:tc>
        <w:tc>
          <w:tcPr>
            <w:tcW w:w="4443" w:type="dxa"/>
            <w:tcMar>
              <w:left w:w="57" w:type="dxa"/>
              <w:right w:w="57" w:type="dxa"/>
            </w:tcMar>
          </w:tcPr>
          <w:p w14:paraId="78CDED64" w14:textId="77777777" w:rsidR="00753EC0" w:rsidRPr="00013332" w:rsidRDefault="00753EC0" w:rsidP="00BD3C1B">
            <w:pPr>
              <w:spacing w:after="120"/>
              <w:rPr>
                <w:b/>
                <w:bCs/>
                <w:noProof/>
                <w:sz w:val="20"/>
                <w:szCs w:val="20"/>
                <w:u w:val="single"/>
              </w:rPr>
            </w:pPr>
            <w:r w:rsidRPr="00013332">
              <w:rPr>
                <w:b/>
                <w:bCs/>
                <w:noProof/>
                <w:sz w:val="20"/>
                <w:szCs w:val="20"/>
                <w:u w:val="single"/>
              </w:rPr>
              <w:t>Spectrum sharing:</w:t>
            </w:r>
          </w:p>
          <w:p w14:paraId="279743EA" w14:textId="0F190DE4" w:rsidR="00753EC0" w:rsidRPr="00013332" w:rsidRDefault="00753EC0" w:rsidP="00BD3C1B">
            <w:pPr>
              <w:spacing w:after="120"/>
              <w:rPr>
                <w:b/>
                <w:bCs/>
                <w:noProof/>
                <w:sz w:val="20"/>
                <w:szCs w:val="20"/>
              </w:rPr>
            </w:pPr>
            <w:r w:rsidRPr="00013332">
              <w:rPr>
                <w:b/>
                <w:bCs/>
                <w:noProof/>
                <w:sz w:val="20"/>
                <w:szCs w:val="20"/>
              </w:rPr>
              <w:t xml:space="preserve">More Single Market </w:t>
            </w:r>
            <w:r w:rsidRPr="00013332">
              <w:rPr>
                <w:noProof/>
                <w:sz w:val="20"/>
                <w:szCs w:val="20"/>
              </w:rPr>
              <w:t>– 1)</w:t>
            </w:r>
            <w:r w:rsidRPr="00013332">
              <w:rPr>
                <w:b/>
                <w:bCs/>
                <w:noProof/>
                <w:sz w:val="20"/>
                <w:szCs w:val="20"/>
              </w:rPr>
              <w:t xml:space="preserve"> </w:t>
            </w:r>
            <w:r w:rsidRPr="00013332">
              <w:rPr>
                <w:noProof/>
                <w:sz w:val="20"/>
                <w:szCs w:val="20"/>
              </w:rPr>
              <w:t>stronger and more coordinated</w:t>
            </w:r>
            <w:r w:rsidRPr="00013332">
              <w:rPr>
                <w:b/>
                <w:bCs/>
                <w:noProof/>
                <w:sz w:val="20"/>
                <w:szCs w:val="20"/>
              </w:rPr>
              <w:t xml:space="preserve"> EU approach </w:t>
            </w:r>
            <w:r w:rsidRPr="00013332">
              <w:rPr>
                <w:noProof/>
                <w:sz w:val="20"/>
                <w:szCs w:val="20"/>
              </w:rPr>
              <w:t>through</w:t>
            </w:r>
            <w:r w:rsidRPr="00013332">
              <w:rPr>
                <w:b/>
                <w:bCs/>
                <w:noProof/>
                <w:sz w:val="20"/>
                <w:szCs w:val="20"/>
              </w:rPr>
              <w:t xml:space="preserve"> mandatory spectrum sharing (</w:t>
            </w:r>
            <w:r w:rsidRPr="00013332">
              <w:rPr>
                <w:noProof/>
                <w:sz w:val="20"/>
                <w:szCs w:val="20"/>
              </w:rPr>
              <w:t>subject to</w:t>
            </w:r>
            <w:r w:rsidRPr="00013332">
              <w:rPr>
                <w:b/>
                <w:bCs/>
                <w:noProof/>
                <w:sz w:val="20"/>
                <w:szCs w:val="20"/>
              </w:rPr>
              <w:t xml:space="preserve"> </w:t>
            </w:r>
            <w:r w:rsidRPr="00013332">
              <w:rPr>
                <w:noProof/>
                <w:sz w:val="20"/>
                <w:szCs w:val="20"/>
              </w:rPr>
              <w:t xml:space="preserve">technically feasible and not distort competition), including “use it or share/lose it” conditions and dynamic </w:t>
            </w:r>
            <w:r w:rsidRPr="00013332">
              <w:rPr>
                <w:rStyle w:val="normaltextrun"/>
                <w:noProof/>
                <w:sz w:val="20"/>
                <w:szCs w:val="20"/>
              </w:rPr>
              <w:t xml:space="preserve">geolocation databases &amp; 2) </w:t>
            </w:r>
            <w:r w:rsidRPr="00013332">
              <w:rPr>
                <w:noProof/>
                <w:sz w:val="20"/>
                <w:szCs w:val="20"/>
              </w:rPr>
              <w:t>address barriers to assigning spectrum to wholesale network operators</w:t>
            </w:r>
          </w:p>
        </w:tc>
        <w:tc>
          <w:tcPr>
            <w:tcW w:w="3969" w:type="dxa"/>
            <w:tcMar>
              <w:left w:w="57" w:type="dxa"/>
              <w:right w:w="57" w:type="dxa"/>
            </w:tcMar>
          </w:tcPr>
          <w:p w14:paraId="77735C76" w14:textId="77777777" w:rsidR="00753EC0" w:rsidRPr="00013332" w:rsidRDefault="00753EC0" w:rsidP="00BD3C1B">
            <w:pPr>
              <w:spacing w:after="120"/>
              <w:rPr>
                <w:b/>
                <w:bCs/>
                <w:noProof/>
                <w:sz w:val="20"/>
                <w:szCs w:val="20"/>
                <w:u w:val="single"/>
              </w:rPr>
            </w:pPr>
            <w:r w:rsidRPr="00013332">
              <w:rPr>
                <w:b/>
                <w:bCs/>
                <w:noProof/>
                <w:sz w:val="20"/>
                <w:szCs w:val="20"/>
                <w:u w:val="single"/>
              </w:rPr>
              <w:t>Spectrum sharing:</w:t>
            </w:r>
          </w:p>
          <w:p w14:paraId="71151E7A" w14:textId="26C436CF" w:rsidR="00753EC0" w:rsidRPr="00013332" w:rsidRDefault="00753EC0" w:rsidP="00BD3C1B">
            <w:pPr>
              <w:spacing w:after="120"/>
              <w:rPr>
                <w:b/>
                <w:bCs/>
                <w:noProof/>
                <w:sz w:val="20"/>
                <w:szCs w:val="20"/>
              </w:rPr>
            </w:pPr>
            <w:r w:rsidRPr="006702BD">
              <w:rPr>
                <w:b/>
                <w:noProof/>
                <w:sz w:val="20"/>
              </w:rPr>
              <w:t>Hard Harmonisation</w:t>
            </w:r>
            <w:r w:rsidRPr="00013332">
              <w:rPr>
                <w:b/>
                <w:bCs/>
                <w:noProof/>
                <w:sz w:val="20"/>
                <w:szCs w:val="20"/>
              </w:rPr>
              <w:t xml:space="preserve"> - Mandatory EU framework</w:t>
            </w:r>
            <w:r w:rsidRPr="00013332">
              <w:rPr>
                <w:noProof/>
                <w:sz w:val="20"/>
                <w:szCs w:val="20"/>
              </w:rPr>
              <w:t xml:space="preserve"> for spectrum sharing across all EU-harmonised bands and generalise use of </w:t>
            </w:r>
            <w:r w:rsidRPr="00013332">
              <w:rPr>
                <w:rStyle w:val="normaltextrun"/>
                <w:noProof/>
                <w:sz w:val="20"/>
                <w:szCs w:val="20"/>
              </w:rPr>
              <w:t>dynamic geolocation database systems to all bands</w:t>
            </w:r>
            <w:r w:rsidR="001716B7" w:rsidRPr="00013332">
              <w:rPr>
                <w:rStyle w:val="normaltextrun"/>
                <w:noProof/>
                <w:sz w:val="20"/>
                <w:szCs w:val="20"/>
              </w:rPr>
              <w:t>.</w:t>
            </w:r>
          </w:p>
        </w:tc>
      </w:tr>
      <w:tr w:rsidR="0068199E" w:rsidRPr="00013332" w14:paraId="7166D9BE" w14:textId="77777777" w:rsidTr="00BE337F">
        <w:tc>
          <w:tcPr>
            <w:tcW w:w="1696" w:type="dxa"/>
            <w:vMerge/>
            <w:tcMar>
              <w:left w:w="57" w:type="dxa"/>
              <w:right w:w="57" w:type="dxa"/>
            </w:tcMar>
          </w:tcPr>
          <w:p w14:paraId="6E6CC2CB" w14:textId="77777777" w:rsidR="00753EC0" w:rsidRPr="00013332" w:rsidRDefault="00753EC0" w:rsidP="004B7CA0">
            <w:pPr>
              <w:pStyle w:val="paragraph"/>
              <w:spacing w:beforeAutospacing="0" w:after="120" w:afterAutospacing="0"/>
              <w:jc w:val="both"/>
              <w:textAlignment w:val="baseline"/>
              <w:rPr>
                <w:noProof/>
                <w:sz w:val="20"/>
                <w:szCs w:val="20"/>
              </w:rPr>
            </w:pPr>
          </w:p>
        </w:tc>
        <w:tc>
          <w:tcPr>
            <w:tcW w:w="1418" w:type="dxa"/>
            <w:vMerge/>
            <w:tcMar>
              <w:left w:w="57" w:type="dxa"/>
              <w:right w:w="57" w:type="dxa"/>
            </w:tcMar>
          </w:tcPr>
          <w:p w14:paraId="5D79DD1B" w14:textId="77777777" w:rsidR="00753EC0" w:rsidRPr="00013332" w:rsidRDefault="00753EC0" w:rsidP="004B7CA0">
            <w:pPr>
              <w:pStyle w:val="paragraph"/>
              <w:spacing w:beforeAutospacing="0" w:after="120" w:afterAutospacing="0"/>
              <w:jc w:val="both"/>
              <w:textAlignment w:val="baseline"/>
              <w:rPr>
                <w:noProof/>
                <w:sz w:val="20"/>
                <w:szCs w:val="20"/>
              </w:rPr>
            </w:pPr>
          </w:p>
        </w:tc>
        <w:tc>
          <w:tcPr>
            <w:tcW w:w="3495" w:type="dxa"/>
            <w:tcMar>
              <w:left w:w="57" w:type="dxa"/>
              <w:right w:w="57" w:type="dxa"/>
            </w:tcMar>
          </w:tcPr>
          <w:p w14:paraId="42D79F71" w14:textId="77777777" w:rsidR="00753EC0" w:rsidRPr="00013332" w:rsidRDefault="00753EC0" w:rsidP="00BD3C1B">
            <w:pPr>
              <w:spacing w:after="120"/>
              <w:rPr>
                <w:b/>
                <w:bCs/>
                <w:noProof/>
                <w:sz w:val="20"/>
                <w:szCs w:val="20"/>
              </w:rPr>
            </w:pPr>
            <w:r w:rsidRPr="00013332">
              <w:rPr>
                <w:b/>
                <w:bCs/>
                <w:noProof/>
                <w:sz w:val="20"/>
                <w:szCs w:val="20"/>
              </w:rPr>
              <w:t>Cross-border harmful interference issues:</w:t>
            </w:r>
          </w:p>
          <w:p w14:paraId="650C7DA7" w14:textId="77777777" w:rsidR="00BD3C1B" w:rsidRPr="00BD3C1B" w:rsidRDefault="00753EC0" w:rsidP="00BD3C1B">
            <w:pPr>
              <w:pStyle w:val="ListParagraph"/>
              <w:numPr>
                <w:ilvl w:val="0"/>
                <w:numId w:val="73"/>
              </w:numPr>
              <w:spacing w:after="120"/>
              <w:ind w:left="141" w:right="57" w:hanging="96"/>
              <w:contextualSpacing w:val="0"/>
              <w:rPr>
                <w:noProof/>
                <w:sz w:val="20"/>
                <w:szCs w:val="20"/>
              </w:rPr>
            </w:pPr>
            <w:r w:rsidRPr="00013332">
              <w:rPr>
                <w:b/>
                <w:bCs/>
                <w:noProof/>
                <w:sz w:val="20"/>
                <w:szCs w:val="20"/>
              </w:rPr>
              <w:t>deadlines</w:t>
            </w:r>
            <w:r w:rsidRPr="00013332">
              <w:rPr>
                <w:noProof/>
                <w:sz w:val="20"/>
                <w:szCs w:val="20"/>
              </w:rPr>
              <w:t xml:space="preserve"> introduced in current mechanism for solving issues </w:t>
            </w:r>
            <w:r w:rsidRPr="00013332">
              <w:rPr>
                <w:b/>
                <w:bCs/>
                <w:noProof/>
                <w:sz w:val="20"/>
                <w:szCs w:val="20"/>
              </w:rPr>
              <w:t>between Member States</w:t>
            </w:r>
          </w:p>
          <w:p w14:paraId="27243C49" w14:textId="2B3D5413" w:rsidR="00753EC0" w:rsidRPr="00BD3C1B" w:rsidRDefault="00753EC0" w:rsidP="00BD3C1B">
            <w:pPr>
              <w:pStyle w:val="ListParagraph"/>
              <w:numPr>
                <w:ilvl w:val="0"/>
                <w:numId w:val="73"/>
              </w:numPr>
              <w:spacing w:after="120"/>
              <w:ind w:left="141" w:right="57" w:hanging="96"/>
              <w:contextualSpacing w:val="0"/>
              <w:rPr>
                <w:noProof/>
                <w:sz w:val="20"/>
                <w:szCs w:val="20"/>
              </w:rPr>
            </w:pPr>
            <w:r w:rsidRPr="00BD3C1B">
              <w:rPr>
                <w:b/>
                <w:bCs/>
                <w:noProof/>
                <w:sz w:val="20"/>
                <w:szCs w:val="20"/>
              </w:rPr>
              <w:t>enhance solidarity</w:t>
            </w:r>
            <w:r w:rsidRPr="00BD3C1B">
              <w:rPr>
                <w:noProof/>
                <w:sz w:val="20"/>
                <w:szCs w:val="20"/>
              </w:rPr>
              <w:t xml:space="preserve"> in case of issues with </w:t>
            </w:r>
            <w:r w:rsidRPr="00BD3C1B">
              <w:rPr>
                <w:b/>
                <w:bCs/>
                <w:noProof/>
                <w:sz w:val="20"/>
                <w:szCs w:val="20"/>
              </w:rPr>
              <w:t>third countries</w:t>
            </w:r>
          </w:p>
        </w:tc>
        <w:tc>
          <w:tcPr>
            <w:tcW w:w="4443" w:type="dxa"/>
            <w:tcMar>
              <w:left w:w="57" w:type="dxa"/>
              <w:right w:w="57" w:type="dxa"/>
            </w:tcMar>
          </w:tcPr>
          <w:p w14:paraId="6ACF1FA9" w14:textId="77777777" w:rsidR="00753EC0" w:rsidRPr="00013332" w:rsidRDefault="00753EC0" w:rsidP="00BD3C1B">
            <w:pPr>
              <w:spacing w:after="120"/>
              <w:rPr>
                <w:noProof/>
                <w:sz w:val="20"/>
                <w:szCs w:val="20"/>
              </w:rPr>
            </w:pPr>
            <w:r w:rsidRPr="00013332">
              <w:rPr>
                <w:b/>
                <w:bCs/>
                <w:noProof/>
                <w:sz w:val="20"/>
                <w:szCs w:val="20"/>
              </w:rPr>
              <w:t>Cross-border harmful interference issues:</w:t>
            </w:r>
            <w:r w:rsidRPr="00013332">
              <w:rPr>
                <w:noProof/>
                <w:sz w:val="20"/>
                <w:szCs w:val="20"/>
              </w:rPr>
              <w:t xml:space="preserve"> </w:t>
            </w:r>
          </w:p>
          <w:p w14:paraId="26FE9088" w14:textId="178D9953" w:rsidR="00BD3C1B" w:rsidRPr="00BD3C1B" w:rsidRDefault="00753EC0" w:rsidP="00BD3C1B">
            <w:pPr>
              <w:pStyle w:val="ListParagraph"/>
              <w:numPr>
                <w:ilvl w:val="0"/>
                <w:numId w:val="73"/>
              </w:numPr>
              <w:spacing w:after="120"/>
              <w:ind w:left="189" w:right="57" w:hanging="139"/>
              <w:contextualSpacing w:val="0"/>
              <w:rPr>
                <w:noProof/>
                <w:sz w:val="20"/>
                <w:szCs w:val="20"/>
              </w:rPr>
            </w:pPr>
            <w:r w:rsidRPr="00013332">
              <w:rPr>
                <w:noProof/>
                <w:sz w:val="20"/>
                <w:szCs w:val="20"/>
              </w:rPr>
              <w:t xml:space="preserve">mechanism for solving </w:t>
            </w:r>
            <w:r w:rsidRPr="00013332">
              <w:rPr>
                <w:b/>
                <w:bCs/>
                <w:noProof/>
                <w:sz w:val="20"/>
                <w:szCs w:val="20"/>
              </w:rPr>
              <w:t xml:space="preserve">issues between Member States </w:t>
            </w:r>
            <w:r w:rsidR="00EA4B8C" w:rsidRPr="00175A40">
              <w:rPr>
                <w:noProof/>
                <w:sz w:val="20"/>
                <w:szCs w:val="20"/>
              </w:rPr>
              <w:t>with deadlines</w:t>
            </w:r>
            <w:r w:rsidR="00EA4B8C">
              <w:rPr>
                <w:b/>
                <w:bCs/>
                <w:noProof/>
                <w:sz w:val="20"/>
                <w:szCs w:val="20"/>
              </w:rPr>
              <w:t xml:space="preserve"> </w:t>
            </w:r>
            <w:r w:rsidRPr="00013332">
              <w:rPr>
                <w:noProof/>
                <w:sz w:val="20"/>
                <w:szCs w:val="20"/>
              </w:rPr>
              <w:t xml:space="preserve">extended to </w:t>
            </w:r>
            <w:r w:rsidRPr="00013332">
              <w:rPr>
                <w:b/>
                <w:bCs/>
                <w:noProof/>
                <w:sz w:val="20"/>
                <w:szCs w:val="20"/>
              </w:rPr>
              <w:t>non harmonised spectrum</w:t>
            </w:r>
          </w:p>
          <w:p w14:paraId="34299071" w14:textId="0EFB67E2" w:rsidR="00753EC0" w:rsidRPr="00BD3C1B" w:rsidRDefault="00753EC0" w:rsidP="00BD3C1B">
            <w:pPr>
              <w:pStyle w:val="ListParagraph"/>
              <w:numPr>
                <w:ilvl w:val="0"/>
                <w:numId w:val="73"/>
              </w:numPr>
              <w:spacing w:after="120"/>
              <w:ind w:left="189" w:right="57" w:hanging="139"/>
              <w:contextualSpacing w:val="0"/>
              <w:rPr>
                <w:noProof/>
                <w:sz w:val="20"/>
                <w:szCs w:val="20"/>
              </w:rPr>
            </w:pPr>
            <w:r w:rsidRPr="00BD3C1B">
              <w:rPr>
                <w:b/>
                <w:bCs/>
                <w:noProof/>
                <w:sz w:val="20"/>
                <w:szCs w:val="20"/>
              </w:rPr>
              <w:t>enhance solidarity</w:t>
            </w:r>
            <w:r w:rsidRPr="00BD3C1B">
              <w:rPr>
                <w:noProof/>
                <w:sz w:val="20"/>
                <w:szCs w:val="20"/>
              </w:rPr>
              <w:t xml:space="preserve"> in case of issues with </w:t>
            </w:r>
            <w:r w:rsidRPr="00BD3C1B">
              <w:rPr>
                <w:b/>
                <w:bCs/>
                <w:noProof/>
                <w:sz w:val="20"/>
                <w:szCs w:val="20"/>
              </w:rPr>
              <w:t>third countries</w:t>
            </w:r>
          </w:p>
        </w:tc>
        <w:tc>
          <w:tcPr>
            <w:tcW w:w="3969" w:type="dxa"/>
            <w:tcMar>
              <w:left w:w="57" w:type="dxa"/>
              <w:right w:w="57" w:type="dxa"/>
            </w:tcMar>
          </w:tcPr>
          <w:p w14:paraId="5DCCFE99" w14:textId="77777777" w:rsidR="00753EC0" w:rsidRPr="00013332" w:rsidRDefault="00753EC0" w:rsidP="00BD3C1B">
            <w:pPr>
              <w:spacing w:after="120"/>
              <w:rPr>
                <w:b/>
                <w:bCs/>
                <w:noProof/>
                <w:sz w:val="20"/>
                <w:szCs w:val="20"/>
              </w:rPr>
            </w:pPr>
            <w:r w:rsidRPr="00013332">
              <w:rPr>
                <w:b/>
                <w:bCs/>
                <w:noProof/>
                <w:sz w:val="20"/>
                <w:szCs w:val="20"/>
              </w:rPr>
              <w:t xml:space="preserve">Cross-border harmful interference issues: </w:t>
            </w:r>
          </w:p>
          <w:p w14:paraId="1C5027F3" w14:textId="77777777" w:rsidR="00BD3C1B" w:rsidRPr="00BD3C1B" w:rsidRDefault="00753EC0" w:rsidP="00BD3C1B">
            <w:pPr>
              <w:pStyle w:val="ListParagraph"/>
              <w:numPr>
                <w:ilvl w:val="0"/>
                <w:numId w:val="73"/>
              </w:numPr>
              <w:spacing w:after="120"/>
              <w:ind w:left="285" w:right="57" w:hanging="192"/>
              <w:contextualSpacing w:val="0"/>
              <w:rPr>
                <w:rStyle w:val="normaltextrun"/>
                <w:b/>
                <w:bCs/>
                <w:noProof/>
                <w:sz w:val="20"/>
                <w:szCs w:val="20"/>
              </w:rPr>
            </w:pPr>
            <w:r w:rsidRPr="00013332">
              <w:rPr>
                <w:noProof/>
                <w:sz w:val="20"/>
                <w:szCs w:val="20"/>
              </w:rPr>
              <w:t>mechanism for solving</w:t>
            </w:r>
            <w:r w:rsidRPr="00013332">
              <w:rPr>
                <w:b/>
                <w:bCs/>
                <w:noProof/>
                <w:sz w:val="20"/>
                <w:szCs w:val="20"/>
              </w:rPr>
              <w:t xml:space="preserve"> issues between Member States coupled</w:t>
            </w:r>
            <w:r w:rsidRPr="00013332">
              <w:rPr>
                <w:noProof/>
                <w:sz w:val="20"/>
                <w:szCs w:val="20"/>
              </w:rPr>
              <w:t xml:space="preserve"> </w:t>
            </w:r>
            <w:r w:rsidRPr="00013332">
              <w:rPr>
                <w:rStyle w:val="normaltextrun"/>
                <w:noProof/>
                <w:sz w:val="20"/>
                <w:szCs w:val="20"/>
              </w:rPr>
              <w:t xml:space="preserve">with </w:t>
            </w:r>
            <w:r w:rsidRPr="00013332">
              <w:rPr>
                <w:rStyle w:val="normaltextrun"/>
                <w:b/>
                <w:bCs/>
                <w:noProof/>
                <w:sz w:val="20"/>
                <w:szCs w:val="20"/>
              </w:rPr>
              <w:t>private enforcement</w:t>
            </w:r>
          </w:p>
          <w:p w14:paraId="39970350" w14:textId="4A194C20" w:rsidR="00753EC0" w:rsidRPr="00BD3C1B" w:rsidRDefault="00753EC0" w:rsidP="00BD3C1B">
            <w:pPr>
              <w:pStyle w:val="ListParagraph"/>
              <w:numPr>
                <w:ilvl w:val="0"/>
                <w:numId w:val="73"/>
              </w:numPr>
              <w:spacing w:after="120"/>
              <w:ind w:left="285" w:right="57" w:hanging="192"/>
              <w:contextualSpacing w:val="0"/>
              <w:rPr>
                <w:b/>
                <w:bCs/>
                <w:noProof/>
                <w:sz w:val="20"/>
                <w:szCs w:val="20"/>
              </w:rPr>
            </w:pPr>
            <w:r w:rsidRPr="00BD3C1B">
              <w:rPr>
                <w:b/>
                <w:bCs/>
                <w:noProof/>
                <w:sz w:val="20"/>
                <w:szCs w:val="20"/>
              </w:rPr>
              <w:t>mechanism</w:t>
            </w:r>
            <w:r w:rsidRPr="00BD3C1B">
              <w:rPr>
                <w:noProof/>
                <w:sz w:val="20"/>
                <w:szCs w:val="20"/>
              </w:rPr>
              <w:t xml:space="preserve"> for </w:t>
            </w:r>
            <w:r w:rsidRPr="00BD3C1B">
              <w:rPr>
                <w:b/>
                <w:bCs/>
                <w:noProof/>
                <w:sz w:val="20"/>
                <w:szCs w:val="20"/>
              </w:rPr>
              <w:t>coordinating Member States response</w:t>
            </w:r>
            <w:r w:rsidRPr="00BD3C1B">
              <w:rPr>
                <w:noProof/>
                <w:sz w:val="20"/>
                <w:szCs w:val="20"/>
              </w:rPr>
              <w:t xml:space="preserve"> under RSPG to </w:t>
            </w:r>
            <w:r w:rsidRPr="00BD3C1B">
              <w:rPr>
                <w:b/>
                <w:bCs/>
                <w:noProof/>
                <w:sz w:val="20"/>
                <w:szCs w:val="20"/>
              </w:rPr>
              <w:t>issues with third countries</w:t>
            </w:r>
          </w:p>
        </w:tc>
      </w:tr>
    </w:tbl>
    <w:p w14:paraId="7E934CF9" w14:textId="77777777" w:rsidR="00C87C29" w:rsidRPr="000939E2" w:rsidRDefault="00C87C29" w:rsidP="00236E38">
      <w:pPr>
        <w:pStyle w:val="paragraph"/>
        <w:spacing w:beforeAutospacing="0" w:after="60" w:afterAutospacing="0"/>
        <w:jc w:val="both"/>
        <w:textAlignment w:val="baseline"/>
        <w:rPr>
          <w:noProof/>
          <w:lang w:val="en-GB"/>
        </w:rPr>
      </w:pPr>
    </w:p>
    <w:p w14:paraId="7BB2169D" w14:textId="77777777" w:rsidR="00642ECF" w:rsidRDefault="00642ECF" w:rsidP="00236E38">
      <w:pPr>
        <w:spacing w:after="200"/>
        <w:jc w:val="left"/>
        <w:rPr>
          <w:rStyle w:val="normaltextrun"/>
          <w:noProof/>
        </w:rPr>
        <w:sectPr w:rsidR="00642ECF" w:rsidSect="008E7FF8">
          <w:headerReference w:type="default" r:id="rId52"/>
          <w:footerReference w:type="default" r:id="rId53"/>
          <w:headerReference w:type="first" r:id="rId54"/>
          <w:footerReference w:type="first" r:id="rId55"/>
          <w:pgSz w:w="16838" w:h="11906" w:orient="landscape" w:code="9"/>
          <w:pgMar w:top="1021" w:right="1021" w:bottom="567" w:left="1021" w:header="907" w:footer="907" w:gutter="0"/>
          <w:cols w:space="720"/>
          <w:titlePg/>
          <w:docGrid w:linePitch="326"/>
        </w:sectPr>
      </w:pPr>
    </w:p>
    <w:p w14:paraId="2B4B8CC5" w14:textId="77777777" w:rsidR="00AF0AA9" w:rsidRPr="00AF0AA9" w:rsidRDefault="00AF0AA9" w:rsidP="00AF0AA9">
      <w:pPr>
        <w:spacing w:before="240" w:line="240" w:lineRule="auto"/>
        <w:rPr>
          <w:rFonts w:eastAsia="Times New Roman"/>
          <w:b/>
          <w:bCs/>
          <w:i/>
          <w:noProof/>
        </w:rPr>
      </w:pPr>
      <w:r w:rsidRPr="00AF0AA9">
        <w:rPr>
          <w:rFonts w:eastAsia="Times New Roman"/>
          <w:b/>
          <w:bCs/>
          <w:i/>
          <w:iCs/>
          <w:noProof/>
        </w:rPr>
        <w:t>Safeguards for indefinite duration of licenses</w:t>
      </w:r>
    </w:p>
    <w:p w14:paraId="0C641B0A" w14:textId="77777777" w:rsidR="00AF0AA9" w:rsidRPr="00AF0AA9" w:rsidRDefault="00AF0AA9" w:rsidP="00AF0AA9">
      <w:pPr>
        <w:spacing w:before="240" w:line="240" w:lineRule="auto"/>
        <w:rPr>
          <w:rFonts w:eastAsia="Times New Roman"/>
          <w:noProof/>
          <w:lang w:val="en-IE"/>
        </w:rPr>
      </w:pPr>
      <w:r w:rsidRPr="00AF0AA9">
        <w:rPr>
          <w:rFonts w:eastAsia="Times New Roman"/>
          <w:noProof/>
        </w:rPr>
        <w:t>While unlimited duration of licenses provides regulatory predictability for spectrum users and allows the development of a functioning secondary market for spectrum trading and leasing, it could have negative effects on competition, if it is not subject to strict conditions. The</w:t>
      </w:r>
      <w:r w:rsidRPr="00AF0AA9">
        <w:rPr>
          <w:rFonts w:eastAsia="Times New Roman"/>
          <w:b/>
          <w:bCs/>
          <w:noProof/>
        </w:rPr>
        <w:t xml:space="preserve"> </w:t>
      </w:r>
      <w:r w:rsidRPr="00AF0AA9">
        <w:rPr>
          <w:rFonts w:eastAsia="Times New Roman"/>
          <w:noProof/>
        </w:rPr>
        <w:t>risk that indefinite duration of licenses would prevent market entry and reduce competition,</w:t>
      </w:r>
      <w:r w:rsidRPr="00AF0AA9">
        <w:rPr>
          <w:rFonts w:eastAsia="Times New Roman"/>
          <w:noProof/>
          <w:lang w:val="en-IE"/>
        </w:rPr>
        <w:t xml:space="preserve"> availability, quality of services, and investment incentives</w:t>
      </w:r>
      <w:r w:rsidRPr="00AF0AA9">
        <w:rPr>
          <w:rFonts w:eastAsia="Times New Roman"/>
          <w:noProof/>
          <w:vertAlign w:val="superscript"/>
          <w:lang w:val="en-IE"/>
        </w:rPr>
        <w:footnoteReference w:id="212"/>
      </w:r>
      <w:r w:rsidRPr="00AF0AA9">
        <w:rPr>
          <w:rFonts w:eastAsia="Times New Roman"/>
          <w:noProof/>
          <w:lang w:val="en-IE"/>
        </w:rPr>
        <w:t xml:space="preserve"> could however be addressed through </w:t>
      </w:r>
      <w:r w:rsidRPr="00AF0AA9">
        <w:rPr>
          <w:rFonts w:eastAsia="Times New Roman"/>
          <w:b/>
          <w:bCs/>
          <w:noProof/>
          <w:lang w:val="en-IE"/>
        </w:rPr>
        <w:t>regulatory safeguards</w:t>
      </w:r>
      <w:r w:rsidRPr="00AF0AA9">
        <w:rPr>
          <w:rFonts w:eastAsia="Times New Roman"/>
          <w:noProof/>
          <w:lang w:val="en-IE"/>
        </w:rPr>
        <w:t xml:space="preserve"> that protect competition and prevent spectrum hoarding, a number of which have already been integrated into various licensing regimes, such as obligations to provide wholesale access or enable spectrum sharing. Such measures will be subject to </w:t>
      </w:r>
      <w:r w:rsidRPr="00AF0AA9">
        <w:rPr>
          <w:rFonts w:eastAsia="Times New Roman"/>
          <w:i/>
          <w:iCs/>
          <w:noProof/>
          <w:lang w:val="en-IE"/>
        </w:rPr>
        <w:t>ex ante</w:t>
      </w:r>
      <w:r w:rsidRPr="00AF0AA9">
        <w:rPr>
          <w:rFonts w:eastAsia="Times New Roman"/>
          <w:noProof/>
          <w:lang w:val="en-IE"/>
        </w:rPr>
        <w:t xml:space="preserve"> single market procedure under the new rules.  </w:t>
      </w:r>
    </w:p>
    <w:p w14:paraId="776E0E52" w14:textId="77777777" w:rsidR="00AF0AA9" w:rsidRPr="00AF0AA9" w:rsidRDefault="00AF0AA9" w:rsidP="00AF0AA9">
      <w:pPr>
        <w:spacing w:before="240" w:line="240" w:lineRule="auto"/>
        <w:rPr>
          <w:rFonts w:eastAsia="Times New Roman"/>
          <w:noProof/>
          <w:lang w:val="en-IE"/>
        </w:rPr>
      </w:pPr>
      <w:r w:rsidRPr="00AF0AA9">
        <w:rPr>
          <w:rFonts w:eastAsia="Times New Roman"/>
          <w:noProof/>
        </w:rPr>
        <w:t>By choosing appropriate authorisation conditions - such as “use-it-or-share-it or lose-it” conditions and rollout obligations - and by enforcing them, the regulators would ensure spectrum would not be left idle or blocked and would be made available to more efficient or innovative competitors. They can also combine long or indefinite durations with periodic checkpoints, conditional renewal regimes or revocation powers that allow rights to be reviewed, adjusted, or withdrawn, if needed for spectrum</w:t>
      </w:r>
      <w:r w:rsidRPr="00AF0AA9" w:rsidDel="003B7BAA">
        <w:rPr>
          <w:rFonts w:eastAsia="Times New Roman"/>
          <w:noProof/>
        </w:rPr>
        <w:t xml:space="preserve"> </w:t>
      </w:r>
      <w:r w:rsidRPr="00AF0AA9">
        <w:rPr>
          <w:rFonts w:eastAsia="Times New Roman"/>
          <w:noProof/>
        </w:rPr>
        <w:t xml:space="preserve">management or public interest objectives. For example, such licences could be revoked in case of technical or market developments justifying new assignment (such as reduced interest of customers for a service provided by certain technology or lack of competition).  </w:t>
      </w:r>
    </w:p>
    <w:p w14:paraId="542848C3" w14:textId="77777777" w:rsidR="00AF0AA9" w:rsidRPr="00AF0AA9" w:rsidRDefault="00AF0AA9" w:rsidP="00AF0AA9">
      <w:pPr>
        <w:spacing w:before="240" w:line="240" w:lineRule="auto"/>
        <w:rPr>
          <w:rFonts w:eastAsia="Times New Roman"/>
          <w:noProof/>
          <w:lang w:val="en-IE"/>
        </w:rPr>
      </w:pPr>
      <w:r w:rsidRPr="00AF0AA9">
        <w:rPr>
          <w:rFonts w:eastAsia="Times New Roman"/>
          <w:noProof/>
        </w:rPr>
        <w:t xml:space="preserve">Indefinite duration of rights of use does not hinder the deployment of up-to-date technologies as rights of use are granted under the principle of technology neutrality. This facilitates a smooth transition between successive technology generations (e.g. from 4G via 5G to 6G). The combination of indefinite duration and technology neutrality enables operators to adopt the latest and most efficient technologies as soon as they emerge, ensuring flexibility and continuity in network evolution. Since mobile markets are largely competitive, market pressure is forcing operators to constantly invest to retain the competitive edge. </w:t>
      </w:r>
    </w:p>
    <w:p w14:paraId="110281F7" w14:textId="5E8C5DEB" w:rsidR="00721C94" w:rsidRDefault="00AF0AA9" w:rsidP="00023AFB">
      <w:pPr>
        <w:spacing w:before="240" w:line="240" w:lineRule="auto"/>
        <w:rPr>
          <w:rFonts w:eastAsia="Times New Roman"/>
          <w:noProof/>
        </w:rPr>
      </w:pPr>
      <w:r w:rsidRPr="00955914">
        <w:rPr>
          <w:rFonts w:eastAsia="Times New Roman"/>
          <w:noProof/>
          <w:lang w:val="en-IE"/>
        </w:rPr>
        <w:t>Overall, while long or indefinite licences raise valid concerns, these can be addressed through well-established policy tools that balance the need for long-term investment certainty with the preservation of a dynamic, competitive, and efficient spectrum market. There is already experience with long or indefinite duration licenses and simplified renewals already in other jurisdictions, such as in the UK or the US</w:t>
      </w:r>
      <w:r w:rsidRPr="00955914">
        <w:rPr>
          <w:rFonts w:eastAsia="Times New Roman"/>
          <w:noProof/>
          <w:vertAlign w:val="superscript"/>
          <w:lang w:val="en-IE"/>
        </w:rPr>
        <w:footnoteReference w:id="213"/>
      </w:r>
      <w:r w:rsidRPr="00955914">
        <w:rPr>
          <w:rFonts w:eastAsia="Times New Roman"/>
          <w:noProof/>
          <w:lang w:val="en-IE"/>
        </w:rPr>
        <w:t xml:space="preserve">, from which lessons are drawn. </w:t>
      </w:r>
      <w:r w:rsidRPr="00955914">
        <w:rPr>
          <w:rFonts w:eastAsia="Times New Roman"/>
          <w:noProof/>
        </w:rPr>
        <w:t xml:space="preserve">In any case as indicated in </w:t>
      </w:r>
      <w:r w:rsidR="005550D6">
        <w:rPr>
          <w:rFonts w:eastAsia="Times New Roman"/>
          <w:noProof/>
        </w:rPr>
        <w:t>S</w:t>
      </w:r>
      <w:r w:rsidR="00440740">
        <w:rPr>
          <w:rFonts w:eastAsia="Times New Roman"/>
          <w:noProof/>
        </w:rPr>
        <w:t>ection</w:t>
      </w:r>
      <w:r w:rsidRPr="00955914">
        <w:rPr>
          <w:rFonts w:eastAsia="Times New Roman"/>
          <w:noProof/>
        </w:rPr>
        <w:t xml:space="preserve"> 2.2.2. with full 5G there are limitations to the economically viable duplication of networks given high investment costs.</w:t>
      </w:r>
    </w:p>
    <w:p w14:paraId="7660E732" w14:textId="77777777" w:rsidR="00E10BD2" w:rsidRPr="00955914" w:rsidRDefault="00E10BD2" w:rsidP="00E10BD2">
      <w:pPr>
        <w:rPr>
          <w:b/>
          <w:i/>
          <w:noProof/>
        </w:rPr>
      </w:pPr>
      <w:r w:rsidRPr="00955914">
        <w:rPr>
          <w:b/>
          <w:i/>
          <w:noProof/>
        </w:rPr>
        <w:t>Feasibility of spectrum sharing options</w:t>
      </w:r>
    </w:p>
    <w:p w14:paraId="7E92726E" w14:textId="77777777" w:rsidR="00E10BD2" w:rsidRPr="00955914" w:rsidRDefault="00E10BD2" w:rsidP="00531B1F">
      <w:pPr>
        <w:spacing w:line="240" w:lineRule="auto"/>
        <w:rPr>
          <w:noProof/>
        </w:rPr>
      </w:pPr>
      <w:r w:rsidRPr="00955914">
        <w:rPr>
          <w:noProof/>
        </w:rPr>
        <w:t xml:space="preserve">Spectrum sharing has been already used by several jurisdictions to open previously underutilised spectrum to a wide range of applications, including private enterprise networks, industrial sites, and rural broadband, as indicate the examples from the UK, where sharing is enabled in several bands, and the US, where dynamic spectrum sharing is increasingly used. </w:t>
      </w:r>
    </w:p>
    <w:p w14:paraId="533CDD2C" w14:textId="77777777" w:rsidR="00E10BD2" w:rsidRPr="00955914" w:rsidRDefault="00E10BD2" w:rsidP="00531B1F">
      <w:pPr>
        <w:spacing w:line="240" w:lineRule="auto"/>
        <w:rPr>
          <w:noProof/>
        </w:rPr>
      </w:pPr>
      <w:r w:rsidRPr="00955914">
        <w:rPr>
          <w:noProof/>
        </w:rPr>
        <w:t>Spectrum sharing arrangements should be in compliance with competition law and agreements will be subject to the competition law single market procedure by the national competent authority. In particular, sharing would primarily apply between services which are not in direct competition (e.g. between mobile and Wi-Fi or between mobile and PMSE). Intra service sharing would be feasible provided that it would not distort competition, for example by ensuring that commercially sensitive information is not made transparent or exchanged between the competing parties. The technical feasibility and economic viability of spectrum sharing would be determined on a case-by-case basis, taking into account technological development, implementation costs, and stakeholders’ market strategies. Technical feasibility and related risks will be assessed through CEPT studies and taken into account in Commission implementing decisions on spectrum harmonisation. The authorisation of specific spectrum sharing arrangements by Member States (or the Commission in relevant scenarios) should be informed by EU-level opinions of the Radio Spectrum Policy Group and by extensive stakeholder consultations. The imposition of use-it-or-share-it conditions may entail the risk of inadequate assessment of technical and/or economic feasibility and therefore should be subject to single market procedure, e.g. in the peer review process. Duly justified spectrum sharing arrangements and/or obligations could also be considered as part of the evolving EU spectrum roadmap.</w:t>
      </w:r>
    </w:p>
    <w:p w14:paraId="60FDBA86" w14:textId="77777777" w:rsidR="00E10BD2" w:rsidRPr="00955914" w:rsidRDefault="00E10BD2" w:rsidP="00531B1F">
      <w:pPr>
        <w:spacing w:line="240" w:lineRule="auto"/>
        <w:rPr>
          <w:noProof/>
        </w:rPr>
      </w:pPr>
      <w:r w:rsidRPr="00955914">
        <w:rPr>
          <w:noProof/>
        </w:rPr>
        <w:t xml:space="preserve">As regards spectrum sharing, the different options differ regarding the level of harmonisation. </w:t>
      </w:r>
    </w:p>
    <w:p w14:paraId="00E982D8" w14:textId="77777777" w:rsidR="00E10BD2" w:rsidRPr="00955914" w:rsidRDefault="00E10BD2" w:rsidP="00531B1F">
      <w:pPr>
        <w:spacing w:line="240" w:lineRule="auto"/>
        <w:rPr>
          <w:noProof/>
        </w:rPr>
      </w:pPr>
      <w:r w:rsidRPr="00955914">
        <w:rPr>
          <w:noProof/>
        </w:rPr>
        <w:t xml:space="preserve">Option 1 focuses on removing legal or regulatory barriers to spectrum sharing or pooling and promotion of flexible spectrum licensing, e.g. licences limited to a particular location or time period, especially for verticals, through non-binding measures (guidelines, best practices). </w:t>
      </w:r>
    </w:p>
    <w:p w14:paraId="194D5BFB" w14:textId="77777777" w:rsidR="00E10BD2" w:rsidRPr="00955914" w:rsidRDefault="00E10BD2" w:rsidP="00531B1F">
      <w:pPr>
        <w:spacing w:line="240" w:lineRule="auto"/>
        <w:rPr>
          <w:noProof/>
        </w:rPr>
      </w:pPr>
      <w:r w:rsidRPr="00955914">
        <w:rPr>
          <w:noProof/>
        </w:rPr>
        <w:t xml:space="preserve">Option 2 introduces a stronger and more coordinated EU approach, through legally binding measures. Spectrum sharing would be mandated where technically feasible, and does not distort competition. It would be integrated into standard regulatory practice for selected harmonised bands. Generalised use of “use it or share it or lose it” condition would ensure the efficient spectrum use of spectrum and act as a safeguard against spectrum hoarding in the case of indefinite-duration licences. To move to dynamic ways of spectrum sharing that are already in use in other jurisdictions, the option includes also development of dynamic geolocation databases in frequency bands where sharing would be most beneficial. It would also address possible barriers to assigning spectrum to wholesale network operators.  </w:t>
      </w:r>
    </w:p>
    <w:p w14:paraId="47CE78E9" w14:textId="77777777" w:rsidR="00E10BD2" w:rsidRPr="00955914" w:rsidRDefault="00E10BD2" w:rsidP="00531B1F">
      <w:pPr>
        <w:spacing w:line="240" w:lineRule="auto"/>
        <w:rPr>
          <w:noProof/>
        </w:rPr>
      </w:pPr>
      <w:r w:rsidRPr="00955914">
        <w:rPr>
          <w:noProof/>
        </w:rPr>
        <w:t>Option 3 establishes a mandatory EU framework would be established to impose spectrum sharing across all EU-harmonised bands. Under this framework, the use of dynamic geolocation database systems would be generalised to all bands.</w:t>
      </w:r>
    </w:p>
    <w:p w14:paraId="2083ABC2" w14:textId="570167FC" w:rsidR="00E10BD2" w:rsidRDefault="00E10BD2" w:rsidP="00423D84">
      <w:pPr>
        <w:spacing w:before="240" w:line="240" w:lineRule="auto"/>
        <w:rPr>
          <w:rFonts w:eastAsia="Times New Roman"/>
          <w:noProof/>
        </w:rPr>
      </w:pPr>
      <w:r w:rsidRPr="00955914">
        <w:rPr>
          <w:noProof/>
        </w:rPr>
        <w:t>While spectrum sharing may contribute to a more efficient use of spectrum, it could also raise concerns with regards to its compliance with competition law. For this reason, all options involving spectrum sharing in this impact assessment are considered as involving spectrum sharing in compliance with competition law.</w:t>
      </w:r>
    </w:p>
    <w:p w14:paraId="4917E226" w14:textId="5E0EB9DD" w:rsidR="00AB487B" w:rsidRPr="00DE264C" w:rsidRDefault="05ABD79E" w:rsidP="00423D84">
      <w:pPr>
        <w:spacing w:before="240" w:line="240" w:lineRule="auto"/>
        <w:rPr>
          <w:rFonts w:eastAsia="Times New Roman"/>
          <w:noProof/>
        </w:rPr>
      </w:pPr>
      <w:r w:rsidRPr="572DCBD2">
        <w:rPr>
          <w:rFonts w:eastAsia="Times New Roman"/>
          <w:noProof/>
        </w:rPr>
        <w:t xml:space="preserve">For detailed description of the policy options, see </w:t>
      </w:r>
      <w:r w:rsidR="2F5FA7B7" w:rsidRPr="572DCBD2">
        <w:rPr>
          <w:rFonts w:eastAsia="Times New Roman"/>
          <w:noProof/>
        </w:rPr>
        <w:t xml:space="preserve"> s</w:t>
      </w:r>
      <w:r w:rsidR="00440740" w:rsidRPr="572DCBD2">
        <w:rPr>
          <w:rFonts w:eastAsia="Times New Roman"/>
          <w:noProof/>
        </w:rPr>
        <w:t>ection</w:t>
      </w:r>
      <w:r w:rsidRPr="572DCBD2">
        <w:rPr>
          <w:rFonts w:eastAsia="Times New Roman"/>
          <w:noProof/>
        </w:rPr>
        <w:t xml:space="preserve"> 2 of Annex 8.</w:t>
      </w:r>
    </w:p>
    <w:p w14:paraId="578B12F4" w14:textId="7E52D032" w:rsidR="00D93E57" w:rsidRPr="00DE264C" w:rsidRDefault="00DC2E35" w:rsidP="001F43B2">
      <w:pPr>
        <w:pStyle w:val="Heading3"/>
        <w:tabs>
          <w:tab w:val="num" w:pos="7088"/>
        </w:tabs>
        <w:spacing w:before="240"/>
        <w:ind w:left="850"/>
        <w:rPr>
          <w:noProof/>
        </w:rPr>
      </w:pPr>
      <w:bookmarkStart w:id="214" w:name="_Toc214467727"/>
      <w:bookmarkStart w:id="215" w:name="_Toc215083749"/>
      <w:bookmarkStart w:id="216" w:name="_Toc219212517"/>
      <w:bookmarkStart w:id="217" w:name="_Toc219718172"/>
      <w:r w:rsidRPr="00DE264C">
        <w:rPr>
          <w:noProof/>
        </w:rPr>
        <w:t>A</w:t>
      </w:r>
      <w:r w:rsidR="006C6559" w:rsidRPr="00DE264C">
        <w:rPr>
          <w:noProof/>
        </w:rPr>
        <w:t>uthorisation</w:t>
      </w:r>
      <w:bookmarkEnd w:id="214"/>
      <w:bookmarkEnd w:id="215"/>
      <w:bookmarkEnd w:id="216"/>
      <w:bookmarkEnd w:id="217"/>
    </w:p>
    <w:p w14:paraId="53B7ADCF" w14:textId="2590E273" w:rsidR="00612624" w:rsidRPr="00DE264C" w:rsidRDefault="00D9012A" w:rsidP="00023AFB">
      <w:pPr>
        <w:spacing w:line="240" w:lineRule="auto"/>
        <w:rPr>
          <w:rFonts w:eastAsia="Times New Roman"/>
          <w:noProof/>
          <w:color w:val="000000" w:themeColor="text1"/>
          <w:lang w:val="en-US"/>
        </w:rPr>
      </w:pPr>
      <w:r w:rsidRPr="006702BD">
        <w:rPr>
          <w:noProof/>
          <w:color w:val="000000" w:themeColor="text1"/>
        </w:rPr>
        <w:t xml:space="preserve">The key aim of the </w:t>
      </w:r>
      <w:r w:rsidR="00BC3213" w:rsidRPr="006702BD">
        <w:rPr>
          <w:noProof/>
          <w:color w:val="000000" w:themeColor="text1"/>
        </w:rPr>
        <w:t xml:space="preserve">measures related to general authorisation and authorisation for satellite services is to simplify </w:t>
      </w:r>
      <w:r w:rsidR="00001008" w:rsidRPr="006702BD">
        <w:rPr>
          <w:noProof/>
          <w:color w:val="000000" w:themeColor="text1"/>
        </w:rPr>
        <w:t>and harmoni</w:t>
      </w:r>
      <w:r w:rsidR="00BD3C1B" w:rsidRPr="006702BD">
        <w:rPr>
          <w:noProof/>
          <w:color w:val="000000" w:themeColor="text1"/>
        </w:rPr>
        <w:t>s</w:t>
      </w:r>
      <w:r w:rsidR="00001008" w:rsidRPr="006702BD">
        <w:rPr>
          <w:noProof/>
          <w:color w:val="000000" w:themeColor="text1"/>
        </w:rPr>
        <w:t xml:space="preserve">e </w:t>
      </w:r>
      <w:r w:rsidR="00BC3213" w:rsidRPr="006702BD">
        <w:rPr>
          <w:noProof/>
          <w:color w:val="000000" w:themeColor="text1"/>
        </w:rPr>
        <w:t xml:space="preserve">the </w:t>
      </w:r>
      <w:r w:rsidR="00B97AB9" w:rsidRPr="006702BD">
        <w:rPr>
          <w:noProof/>
          <w:color w:val="000000" w:themeColor="text1"/>
        </w:rPr>
        <w:t xml:space="preserve">fragmented regulatory </w:t>
      </w:r>
      <w:r w:rsidR="00E9542F" w:rsidRPr="006702BD">
        <w:rPr>
          <w:noProof/>
          <w:color w:val="000000" w:themeColor="text1"/>
        </w:rPr>
        <w:t>environment</w:t>
      </w:r>
      <w:r w:rsidR="00001008" w:rsidRPr="006702BD">
        <w:rPr>
          <w:noProof/>
          <w:color w:val="000000" w:themeColor="text1"/>
        </w:rPr>
        <w:t>.</w:t>
      </w:r>
    </w:p>
    <w:p w14:paraId="3E1749AB" w14:textId="16666FEC" w:rsidR="00B43A16" w:rsidRPr="00DE264C" w:rsidRDefault="00B43A16" w:rsidP="00023AFB">
      <w:pPr>
        <w:spacing w:line="240" w:lineRule="auto"/>
        <w:rPr>
          <w:rFonts w:eastAsia="Times New Roman"/>
          <w:noProof/>
          <w:color w:val="000000" w:themeColor="text1"/>
          <w:lang w:val="en-US"/>
        </w:rPr>
      </w:pPr>
      <w:r w:rsidRPr="006702BD">
        <w:rPr>
          <w:noProof/>
          <w:color w:val="000000" w:themeColor="text1"/>
        </w:rPr>
        <w:t>The three options aim to improve conditions for resilient and scalable pan-European digital networks</w:t>
      </w:r>
      <w:r w:rsidR="002460E0" w:rsidRPr="006702BD">
        <w:rPr>
          <w:noProof/>
          <w:color w:val="000000" w:themeColor="text1"/>
        </w:rPr>
        <w:t xml:space="preserve"> and services</w:t>
      </w:r>
      <w:r w:rsidRPr="006702BD">
        <w:rPr>
          <w:noProof/>
          <w:color w:val="000000" w:themeColor="text1"/>
        </w:rPr>
        <w:t xml:space="preserve">, but with differing levels of harmonisation and market impact. </w:t>
      </w:r>
      <w:r w:rsidR="00A83510">
        <w:rPr>
          <w:noProof/>
          <w:color w:val="000000" w:themeColor="text1"/>
        </w:rPr>
        <w:t>o</w:t>
      </w:r>
      <w:r w:rsidR="14B72704" w:rsidRPr="006702BD">
        <w:rPr>
          <w:noProof/>
          <w:color w:val="000000" w:themeColor="text1"/>
        </w:rPr>
        <w:t>ption 1</w:t>
      </w:r>
      <w:r w:rsidRPr="006702BD">
        <w:rPr>
          <w:noProof/>
          <w:color w:val="000000" w:themeColor="text1"/>
        </w:rPr>
        <w:t xml:space="preserve"> partially harmonises authorisation and strengthens enforcement, reducing some fragmentation but leaving authorisations largely national</w:t>
      </w:r>
      <w:r w:rsidR="00C41367" w:rsidRPr="006702BD">
        <w:rPr>
          <w:noProof/>
          <w:color w:val="000000" w:themeColor="text1"/>
        </w:rPr>
        <w:t>,</w:t>
      </w:r>
      <w:r w:rsidR="00BE4710" w:rsidRPr="006702BD">
        <w:rPr>
          <w:noProof/>
          <w:color w:val="000000" w:themeColor="text1"/>
        </w:rPr>
        <w:t xml:space="preserve"> </w:t>
      </w:r>
      <w:r w:rsidR="00E9591B" w:rsidRPr="006702BD">
        <w:rPr>
          <w:noProof/>
          <w:color w:val="000000" w:themeColor="text1"/>
        </w:rPr>
        <w:t xml:space="preserve">including </w:t>
      </w:r>
      <w:r w:rsidR="001104B7" w:rsidRPr="006702BD">
        <w:rPr>
          <w:noProof/>
          <w:color w:val="000000" w:themeColor="text1"/>
        </w:rPr>
        <w:t xml:space="preserve">for </w:t>
      </w:r>
      <w:r w:rsidR="00E9591B" w:rsidRPr="006702BD">
        <w:rPr>
          <w:noProof/>
          <w:color w:val="000000" w:themeColor="text1"/>
        </w:rPr>
        <w:t xml:space="preserve">satellite </w:t>
      </w:r>
      <w:r w:rsidR="00610932" w:rsidRPr="006702BD">
        <w:rPr>
          <w:noProof/>
          <w:color w:val="000000" w:themeColor="text1"/>
        </w:rPr>
        <w:t>spectrum</w:t>
      </w:r>
      <w:r w:rsidRPr="006702BD">
        <w:rPr>
          <w:noProof/>
          <w:color w:val="000000" w:themeColor="text1"/>
        </w:rPr>
        <w:t xml:space="preserve">. </w:t>
      </w:r>
      <w:r w:rsidR="00A83510">
        <w:rPr>
          <w:noProof/>
          <w:color w:val="000000" w:themeColor="text1"/>
        </w:rPr>
        <w:t>o</w:t>
      </w:r>
      <w:r w:rsidR="6131C9AF" w:rsidRPr="006702BD">
        <w:rPr>
          <w:noProof/>
          <w:color w:val="000000" w:themeColor="text1"/>
        </w:rPr>
        <w:t>ption 2</w:t>
      </w:r>
      <w:r w:rsidRPr="006702BD">
        <w:rPr>
          <w:noProof/>
          <w:color w:val="000000" w:themeColor="text1"/>
        </w:rPr>
        <w:t xml:space="preserve"> establishes a “single passport” </w:t>
      </w:r>
      <w:r w:rsidR="00F40232" w:rsidRPr="006702BD">
        <w:rPr>
          <w:noProof/>
          <w:color w:val="000000" w:themeColor="text1"/>
        </w:rPr>
        <w:t>for the general authori</w:t>
      </w:r>
      <w:r w:rsidR="0031526D" w:rsidRPr="006702BD">
        <w:rPr>
          <w:noProof/>
          <w:color w:val="000000" w:themeColor="text1"/>
        </w:rPr>
        <w:t>s</w:t>
      </w:r>
      <w:r w:rsidR="00F40232" w:rsidRPr="006702BD">
        <w:rPr>
          <w:noProof/>
          <w:color w:val="000000" w:themeColor="text1"/>
        </w:rPr>
        <w:t xml:space="preserve">ation </w:t>
      </w:r>
      <w:r w:rsidR="59C68E76" w:rsidRPr="006702BD">
        <w:rPr>
          <w:noProof/>
          <w:color w:val="000000" w:themeColor="text1"/>
        </w:rPr>
        <w:t xml:space="preserve">of all networks and services excluding satellite </w:t>
      </w:r>
      <w:r w:rsidRPr="006702BD">
        <w:rPr>
          <w:noProof/>
          <w:color w:val="000000" w:themeColor="text1"/>
        </w:rPr>
        <w:t xml:space="preserve">and </w:t>
      </w:r>
      <w:r w:rsidR="0053024C" w:rsidRPr="006702BD">
        <w:rPr>
          <w:noProof/>
          <w:color w:val="000000" w:themeColor="text1"/>
        </w:rPr>
        <w:t xml:space="preserve">an </w:t>
      </w:r>
      <w:r w:rsidR="008B3CC6" w:rsidRPr="006702BD">
        <w:rPr>
          <w:noProof/>
          <w:color w:val="000000" w:themeColor="text1"/>
        </w:rPr>
        <w:t xml:space="preserve">EU </w:t>
      </w:r>
      <w:r w:rsidR="000B7BCD" w:rsidRPr="006702BD">
        <w:rPr>
          <w:noProof/>
          <w:color w:val="000000" w:themeColor="text1"/>
        </w:rPr>
        <w:t xml:space="preserve">level simplified </w:t>
      </w:r>
      <w:r w:rsidR="00912C7A" w:rsidRPr="006702BD">
        <w:rPr>
          <w:noProof/>
          <w:color w:val="000000" w:themeColor="text1"/>
        </w:rPr>
        <w:t xml:space="preserve">authorisation </w:t>
      </w:r>
      <w:r w:rsidR="00295BD9">
        <w:rPr>
          <w:noProof/>
          <w:color w:val="000000" w:themeColor="text1"/>
        </w:rPr>
        <w:t>and, if relevant</w:t>
      </w:r>
      <w:r w:rsidR="0018057C">
        <w:rPr>
          <w:noProof/>
          <w:color w:val="000000" w:themeColor="text1"/>
        </w:rPr>
        <w:t>,</w:t>
      </w:r>
      <w:r w:rsidR="00295BD9">
        <w:rPr>
          <w:noProof/>
          <w:color w:val="000000" w:themeColor="text1"/>
        </w:rPr>
        <w:t xml:space="preserve"> EU-level selection</w:t>
      </w:r>
      <w:r w:rsidR="00295BD9" w:rsidRPr="006702BD">
        <w:rPr>
          <w:noProof/>
          <w:color w:val="000000" w:themeColor="text1"/>
        </w:rPr>
        <w:t xml:space="preserve"> </w:t>
      </w:r>
      <w:r w:rsidR="00912C7A" w:rsidRPr="006702BD">
        <w:rPr>
          <w:noProof/>
          <w:color w:val="000000" w:themeColor="text1"/>
        </w:rPr>
        <w:t xml:space="preserve">for </w:t>
      </w:r>
      <w:r w:rsidRPr="006702BD">
        <w:rPr>
          <w:noProof/>
          <w:color w:val="000000" w:themeColor="text1"/>
        </w:rPr>
        <w:t>satellite spectrum, creating coherent cross-border conditions</w:t>
      </w:r>
      <w:r w:rsidR="00A734C5" w:rsidRPr="006702BD">
        <w:rPr>
          <w:noProof/>
          <w:color w:val="000000" w:themeColor="text1"/>
        </w:rPr>
        <w:t xml:space="preserve"> and </w:t>
      </w:r>
      <w:r w:rsidRPr="006702BD">
        <w:rPr>
          <w:noProof/>
          <w:color w:val="000000" w:themeColor="text1"/>
        </w:rPr>
        <w:t>enabling market scale</w:t>
      </w:r>
      <w:r w:rsidR="00962EA4">
        <w:rPr>
          <w:noProof/>
          <w:color w:val="000000" w:themeColor="text1"/>
        </w:rPr>
        <w:t>,</w:t>
      </w:r>
      <w:r w:rsidR="00054939">
        <w:rPr>
          <w:noProof/>
          <w:color w:val="000000" w:themeColor="text1"/>
        </w:rPr>
        <w:t xml:space="preserve"> </w:t>
      </w:r>
      <w:r w:rsidR="00390D82">
        <w:rPr>
          <w:noProof/>
          <w:color w:val="000000" w:themeColor="text1"/>
        </w:rPr>
        <w:t>a</w:t>
      </w:r>
      <w:r w:rsidR="00054939">
        <w:rPr>
          <w:noProof/>
          <w:color w:val="000000" w:themeColor="text1"/>
        </w:rPr>
        <w:t xml:space="preserve">nd combined </w:t>
      </w:r>
      <w:r w:rsidR="00390D82">
        <w:rPr>
          <w:noProof/>
          <w:color w:val="000000" w:themeColor="text1"/>
        </w:rPr>
        <w:t>with</w:t>
      </w:r>
      <w:r w:rsidR="000F71D8" w:rsidRPr="00DE264C">
        <w:rPr>
          <w:noProof/>
        </w:rPr>
        <w:t xml:space="preserve"> </w:t>
      </w:r>
      <w:r w:rsidR="00BC2D9A" w:rsidRPr="006702BD">
        <w:rPr>
          <w:noProof/>
          <w:color w:val="000000" w:themeColor="text1"/>
        </w:rPr>
        <w:t>coordinated enforcement</w:t>
      </w:r>
      <w:r w:rsidR="008B02BA" w:rsidRPr="006702BD">
        <w:rPr>
          <w:noProof/>
          <w:color w:val="000000" w:themeColor="text1"/>
        </w:rPr>
        <w:t xml:space="preserve"> at EU level</w:t>
      </w:r>
      <w:r w:rsidR="00E774AC" w:rsidRPr="006702BD">
        <w:rPr>
          <w:noProof/>
          <w:color w:val="000000" w:themeColor="text1"/>
        </w:rPr>
        <w:t xml:space="preserve"> to establish a level playing field</w:t>
      </w:r>
      <w:r w:rsidR="00593610" w:rsidRPr="006702BD">
        <w:rPr>
          <w:noProof/>
          <w:color w:val="000000" w:themeColor="text1"/>
        </w:rPr>
        <w:t xml:space="preserve"> in satellite</w:t>
      </w:r>
      <w:r w:rsidRPr="006702BD">
        <w:rPr>
          <w:noProof/>
          <w:color w:val="000000" w:themeColor="text1"/>
        </w:rPr>
        <w:t xml:space="preserve">. </w:t>
      </w:r>
      <w:r w:rsidR="00A83510">
        <w:rPr>
          <w:noProof/>
          <w:color w:val="000000" w:themeColor="text1"/>
        </w:rPr>
        <w:t>o</w:t>
      </w:r>
      <w:r w:rsidR="5F2ABED0" w:rsidRPr="006702BD">
        <w:rPr>
          <w:noProof/>
          <w:color w:val="000000" w:themeColor="text1"/>
        </w:rPr>
        <w:t>ption 3</w:t>
      </w:r>
      <w:r w:rsidRPr="006702BD">
        <w:rPr>
          <w:noProof/>
          <w:color w:val="000000" w:themeColor="text1"/>
        </w:rPr>
        <w:t xml:space="preserve"> applies country-of-origin authorisation EU-wide, simplifying compliance and accelerating deployment, but risks regulatory arbitrage and uneven enforcement.</w:t>
      </w:r>
    </w:p>
    <w:p w14:paraId="6DC53569" w14:textId="23C96781" w:rsidR="002D120C" w:rsidRPr="00DE264C" w:rsidRDefault="005D6929" w:rsidP="00023AFB">
      <w:pPr>
        <w:spacing w:line="240" w:lineRule="auto"/>
        <w:rPr>
          <w:rFonts w:eastAsia="Times New Roman"/>
          <w:noProof/>
        </w:rPr>
      </w:pPr>
      <w:r w:rsidRPr="00DE264C">
        <w:rPr>
          <w:rFonts w:eastAsia="Times New Roman"/>
          <w:noProof/>
        </w:rPr>
        <w:t>All options for</w:t>
      </w:r>
      <w:r w:rsidR="00673E04" w:rsidRPr="00DE264C">
        <w:rPr>
          <w:rFonts w:eastAsia="Times New Roman"/>
          <w:noProof/>
        </w:rPr>
        <w:t xml:space="preserve"> simplified authorisation regimes work in complement with the simplification of other</w:t>
      </w:r>
      <w:r w:rsidR="002D120C" w:rsidRPr="00DE264C">
        <w:rPr>
          <w:rFonts w:eastAsia="Times New Roman"/>
          <w:noProof/>
        </w:rPr>
        <w:t xml:space="preserve"> relevant DNA rules, which can represent barriers to cross-border operation</w:t>
      </w:r>
      <w:r w:rsidR="00941521" w:rsidRPr="00DE264C">
        <w:rPr>
          <w:rFonts w:eastAsia="Times New Roman"/>
          <w:noProof/>
        </w:rPr>
        <w:t xml:space="preserve"> and provision of innovative services</w:t>
      </w:r>
      <w:r w:rsidR="00D6720F" w:rsidRPr="00DE264C">
        <w:rPr>
          <w:rFonts w:eastAsia="Times New Roman"/>
          <w:noProof/>
        </w:rPr>
        <w:t xml:space="preserve">. These include </w:t>
      </w:r>
      <w:r w:rsidR="0047285D" w:rsidRPr="00DE264C">
        <w:rPr>
          <w:rFonts w:eastAsia="Times New Roman"/>
          <w:noProof/>
        </w:rPr>
        <w:t xml:space="preserve">guidance for </w:t>
      </w:r>
      <w:r w:rsidR="00560B90" w:rsidRPr="00DE264C">
        <w:rPr>
          <w:rFonts w:eastAsia="Times New Roman"/>
          <w:noProof/>
        </w:rPr>
        <w:t xml:space="preserve">voluntary </w:t>
      </w:r>
      <w:r w:rsidR="0047285D" w:rsidRPr="00DE264C">
        <w:rPr>
          <w:rFonts w:eastAsia="Times New Roman"/>
          <w:noProof/>
        </w:rPr>
        <w:t>cooperation in the broader ecosystem to avoid litigation as well as</w:t>
      </w:r>
      <w:r w:rsidR="002D120C" w:rsidRPr="00DE264C">
        <w:rPr>
          <w:rFonts w:eastAsia="Times New Roman"/>
          <w:noProof/>
        </w:rPr>
        <w:t xml:space="preserve"> </w:t>
      </w:r>
      <w:r w:rsidR="00B34CAA" w:rsidRPr="00DE264C">
        <w:rPr>
          <w:rFonts w:eastAsia="Times New Roman"/>
          <w:noProof/>
        </w:rPr>
        <w:t xml:space="preserve">more harmonised </w:t>
      </w:r>
      <w:r w:rsidR="002D120C" w:rsidRPr="00DE264C">
        <w:rPr>
          <w:rFonts w:eastAsia="Times New Roman"/>
          <w:noProof/>
        </w:rPr>
        <w:t>end-users rules, with less possibilities for Member States to derogate, while keeping strong protection for consumers.</w:t>
      </w:r>
    </w:p>
    <w:p w14:paraId="030CC4E2" w14:textId="02ACC084" w:rsidR="008B2C0C" w:rsidRPr="001D0A8F" w:rsidRDefault="008B2C0C" w:rsidP="00C21594">
      <w:pPr>
        <w:spacing w:after="120"/>
        <w:rPr>
          <w:rFonts w:eastAsiaTheme="minorEastAsia"/>
          <w:i/>
          <w:noProof/>
          <w:u w:val="single"/>
        </w:rPr>
      </w:pPr>
      <w:r w:rsidRPr="001D0A8F">
        <w:rPr>
          <w:i/>
          <w:noProof/>
          <w:u w:val="single"/>
        </w:rPr>
        <w:t>Table 1</w:t>
      </w:r>
      <w:r w:rsidR="00883434">
        <w:rPr>
          <w:i/>
          <w:noProof/>
          <w:u w:val="single"/>
        </w:rPr>
        <w:t>6</w:t>
      </w:r>
      <w:r w:rsidRPr="001D0A8F">
        <w:rPr>
          <w:i/>
          <w:noProof/>
          <w:u w:val="single"/>
        </w:rPr>
        <w:t>: Authorisation options and links to the problem driver and specific objective</w:t>
      </w:r>
    </w:p>
    <w:tbl>
      <w:tblPr>
        <w:tblStyle w:val="TableGrid"/>
        <w:tblW w:w="0" w:type="auto"/>
        <w:tblInd w:w="-108" w:type="dxa"/>
        <w:tblLook w:val="04A0" w:firstRow="1" w:lastRow="0" w:firstColumn="1" w:lastColumn="0" w:noHBand="0" w:noVBand="1"/>
      </w:tblPr>
      <w:tblGrid>
        <w:gridCol w:w="1221"/>
        <w:gridCol w:w="1342"/>
        <w:gridCol w:w="1890"/>
        <w:gridCol w:w="2560"/>
        <w:gridCol w:w="2582"/>
      </w:tblGrid>
      <w:tr w:rsidR="0068199E" w:rsidRPr="0032199A" w14:paraId="744E1737" w14:textId="77777777" w:rsidTr="00BE337F">
        <w:trPr>
          <w:tblHeader/>
        </w:trPr>
        <w:tc>
          <w:tcPr>
            <w:tcW w:w="1221" w:type="dxa"/>
            <w:tcBorders>
              <w:top w:val="single" w:sz="4" w:space="0" w:color="auto"/>
              <w:left w:val="single" w:sz="4" w:space="0" w:color="auto"/>
              <w:bottom w:val="single" w:sz="4" w:space="0" w:color="auto"/>
              <w:right w:val="single" w:sz="4" w:space="0" w:color="auto"/>
            </w:tcBorders>
            <w:tcMar>
              <w:left w:w="0" w:type="dxa"/>
              <w:right w:w="0" w:type="dxa"/>
            </w:tcMar>
          </w:tcPr>
          <w:p w14:paraId="56F93280" w14:textId="5681905E" w:rsidR="00310396" w:rsidRPr="0032199A" w:rsidRDefault="00310396" w:rsidP="00EE616F">
            <w:pPr>
              <w:spacing w:after="120"/>
              <w:rPr>
                <w:noProof/>
                <w:color w:val="000000" w:themeColor="text1"/>
                <w:sz w:val="20"/>
                <w:szCs w:val="20"/>
                <w:lang w:val="en-US"/>
              </w:rPr>
            </w:pPr>
            <w:r w:rsidRPr="0032199A">
              <w:rPr>
                <w:b/>
                <w:bCs/>
                <w:noProof/>
                <w:sz w:val="20"/>
                <w:szCs w:val="20"/>
              </w:rPr>
              <w:t>Problem drivers</w:t>
            </w:r>
          </w:p>
        </w:tc>
        <w:tc>
          <w:tcPr>
            <w:tcW w:w="1342" w:type="dxa"/>
            <w:tcBorders>
              <w:top w:val="single" w:sz="4" w:space="0" w:color="auto"/>
              <w:left w:val="single" w:sz="4" w:space="0" w:color="auto"/>
              <w:bottom w:val="single" w:sz="4" w:space="0" w:color="auto"/>
              <w:right w:val="single" w:sz="4" w:space="0" w:color="auto"/>
            </w:tcBorders>
            <w:tcMar>
              <w:left w:w="0" w:type="dxa"/>
              <w:right w:w="0" w:type="dxa"/>
            </w:tcMar>
          </w:tcPr>
          <w:p w14:paraId="31132DC5" w14:textId="47B53C32" w:rsidR="00310396" w:rsidRPr="0032199A" w:rsidRDefault="00310396" w:rsidP="00EE616F">
            <w:pPr>
              <w:spacing w:after="120"/>
              <w:rPr>
                <w:noProof/>
                <w:color w:val="000000" w:themeColor="text1"/>
                <w:sz w:val="20"/>
                <w:szCs w:val="20"/>
                <w:lang w:val="en-US"/>
              </w:rPr>
            </w:pPr>
            <w:r w:rsidRPr="0032199A">
              <w:rPr>
                <w:b/>
                <w:bCs/>
                <w:noProof/>
                <w:sz w:val="20"/>
                <w:szCs w:val="20"/>
              </w:rPr>
              <w:t>Specific policy objectives</w:t>
            </w:r>
          </w:p>
        </w:tc>
        <w:tc>
          <w:tcPr>
            <w:tcW w:w="7032" w:type="dxa"/>
            <w:gridSpan w:val="3"/>
            <w:tcBorders>
              <w:top w:val="single" w:sz="4" w:space="0" w:color="auto"/>
              <w:left w:val="single" w:sz="4" w:space="0" w:color="auto"/>
              <w:bottom w:val="single" w:sz="4" w:space="0" w:color="auto"/>
              <w:right w:val="single" w:sz="4" w:space="0" w:color="auto"/>
            </w:tcBorders>
            <w:tcMar>
              <w:left w:w="0" w:type="dxa"/>
              <w:right w:w="0" w:type="dxa"/>
            </w:tcMar>
          </w:tcPr>
          <w:p w14:paraId="2A2884D4" w14:textId="163A149B" w:rsidR="004F1414" w:rsidRPr="0032199A" w:rsidRDefault="00310396" w:rsidP="00EE616F">
            <w:pPr>
              <w:spacing w:after="120"/>
              <w:jc w:val="center"/>
              <w:rPr>
                <w:b/>
                <w:bCs/>
                <w:noProof/>
                <w:sz w:val="20"/>
                <w:szCs w:val="20"/>
              </w:rPr>
            </w:pPr>
            <w:r w:rsidRPr="0032199A">
              <w:rPr>
                <w:b/>
                <w:bCs/>
                <w:noProof/>
                <w:sz w:val="20"/>
                <w:szCs w:val="20"/>
              </w:rPr>
              <w:t>Policy options</w:t>
            </w:r>
            <w:r w:rsidR="004F1414" w:rsidRPr="0032199A">
              <w:rPr>
                <w:b/>
                <w:bCs/>
                <w:noProof/>
                <w:sz w:val="20"/>
                <w:szCs w:val="20"/>
              </w:rPr>
              <w:t xml:space="preserve"> - </w:t>
            </w:r>
            <w:r w:rsidR="67249C34" w:rsidRPr="0032199A">
              <w:rPr>
                <w:b/>
                <w:bCs/>
                <w:noProof/>
                <w:sz w:val="20"/>
                <w:szCs w:val="20"/>
                <w:u w:val="single"/>
              </w:rPr>
              <w:t>A</w:t>
            </w:r>
            <w:r w:rsidR="00F816D5" w:rsidRPr="0032199A">
              <w:rPr>
                <w:b/>
                <w:bCs/>
                <w:noProof/>
                <w:sz w:val="20"/>
                <w:szCs w:val="20"/>
                <w:u w:val="single"/>
              </w:rPr>
              <w:t>uthorisations</w:t>
            </w:r>
            <w:r w:rsidR="00575C5B" w:rsidRPr="0032199A">
              <w:rPr>
                <w:b/>
                <w:bCs/>
                <w:noProof/>
                <w:sz w:val="20"/>
                <w:szCs w:val="20"/>
              </w:rPr>
              <w:t xml:space="preserve"> </w:t>
            </w:r>
          </w:p>
          <w:p w14:paraId="136712EF" w14:textId="141E38AC" w:rsidR="00310396" w:rsidRPr="0032199A" w:rsidRDefault="004F1414" w:rsidP="00EE616F">
            <w:pPr>
              <w:spacing w:after="120"/>
              <w:jc w:val="center"/>
              <w:rPr>
                <w:b/>
                <w:bCs/>
                <w:noProof/>
                <w:sz w:val="20"/>
                <w:szCs w:val="20"/>
              </w:rPr>
            </w:pPr>
            <w:r w:rsidRPr="0032199A">
              <w:rPr>
                <w:b/>
                <w:bCs/>
                <w:noProof/>
                <w:sz w:val="20"/>
                <w:szCs w:val="20"/>
              </w:rPr>
              <w:t>G</w:t>
            </w:r>
            <w:r w:rsidR="777AFC74" w:rsidRPr="0032199A">
              <w:rPr>
                <w:b/>
                <w:bCs/>
                <w:noProof/>
                <w:sz w:val="20"/>
                <w:szCs w:val="20"/>
              </w:rPr>
              <w:t xml:space="preserve">eneral authorisation and authorisation for </w:t>
            </w:r>
            <w:r w:rsidR="00310396" w:rsidRPr="0032199A">
              <w:rPr>
                <w:b/>
                <w:bCs/>
                <w:noProof/>
                <w:sz w:val="20"/>
                <w:szCs w:val="20"/>
              </w:rPr>
              <w:t>satellite services</w:t>
            </w:r>
          </w:p>
        </w:tc>
      </w:tr>
      <w:tr w:rsidR="0068199E" w:rsidRPr="0032199A" w14:paraId="39633791" w14:textId="77777777" w:rsidTr="00BE337F">
        <w:trPr>
          <w:tblHeader/>
        </w:trPr>
        <w:tc>
          <w:tcPr>
            <w:tcW w:w="1221" w:type="dxa"/>
            <w:tcBorders>
              <w:top w:val="single" w:sz="4" w:space="0" w:color="auto"/>
              <w:left w:val="single" w:sz="4" w:space="0" w:color="auto"/>
              <w:bottom w:val="single" w:sz="4" w:space="0" w:color="auto"/>
              <w:right w:val="single" w:sz="4" w:space="0" w:color="auto"/>
            </w:tcBorders>
            <w:tcMar>
              <w:left w:w="0" w:type="dxa"/>
              <w:right w:w="0" w:type="dxa"/>
            </w:tcMar>
          </w:tcPr>
          <w:p w14:paraId="25A391BD" w14:textId="77777777" w:rsidR="001F6284" w:rsidRPr="0032199A" w:rsidRDefault="001F6284" w:rsidP="00EE616F">
            <w:pPr>
              <w:spacing w:after="120"/>
              <w:rPr>
                <w:noProof/>
                <w:color w:val="000000" w:themeColor="text1"/>
                <w:sz w:val="20"/>
                <w:szCs w:val="20"/>
                <w:lang w:val="en-US"/>
              </w:rPr>
            </w:pPr>
          </w:p>
        </w:tc>
        <w:tc>
          <w:tcPr>
            <w:tcW w:w="1342" w:type="dxa"/>
            <w:tcBorders>
              <w:top w:val="single" w:sz="4" w:space="0" w:color="auto"/>
              <w:left w:val="single" w:sz="4" w:space="0" w:color="auto"/>
              <w:bottom w:val="single" w:sz="4" w:space="0" w:color="auto"/>
              <w:right w:val="single" w:sz="4" w:space="0" w:color="auto"/>
            </w:tcBorders>
            <w:tcMar>
              <w:left w:w="0" w:type="dxa"/>
              <w:right w:w="0" w:type="dxa"/>
            </w:tcMar>
          </w:tcPr>
          <w:p w14:paraId="0F1AD994" w14:textId="77777777" w:rsidR="001F6284" w:rsidRPr="0032199A" w:rsidRDefault="001F6284" w:rsidP="00EE616F">
            <w:pPr>
              <w:spacing w:after="120"/>
              <w:rPr>
                <w:noProof/>
                <w:color w:val="000000" w:themeColor="text1"/>
                <w:sz w:val="20"/>
                <w:szCs w:val="20"/>
                <w:lang w:val="en-US"/>
              </w:rPr>
            </w:pPr>
          </w:p>
        </w:tc>
        <w:tc>
          <w:tcPr>
            <w:tcW w:w="1890" w:type="dxa"/>
            <w:tcBorders>
              <w:top w:val="single" w:sz="4" w:space="0" w:color="auto"/>
              <w:left w:val="single" w:sz="4" w:space="0" w:color="auto"/>
              <w:bottom w:val="single" w:sz="4" w:space="0" w:color="auto"/>
              <w:right w:val="single" w:sz="4" w:space="0" w:color="auto"/>
            </w:tcBorders>
            <w:tcMar>
              <w:left w:w="0" w:type="dxa"/>
              <w:right w:w="0" w:type="dxa"/>
            </w:tcMar>
          </w:tcPr>
          <w:p w14:paraId="1419B50C" w14:textId="6DBD00BA" w:rsidR="001F6284" w:rsidRPr="0032199A" w:rsidRDefault="001F6284" w:rsidP="00EE616F">
            <w:pPr>
              <w:spacing w:after="120"/>
              <w:jc w:val="left"/>
              <w:rPr>
                <w:b/>
                <w:bCs/>
                <w:noProof/>
                <w:sz w:val="20"/>
                <w:szCs w:val="20"/>
              </w:rPr>
            </w:pPr>
            <w:r w:rsidRPr="0032199A">
              <w:rPr>
                <w:b/>
                <w:bCs/>
                <w:noProof/>
                <w:sz w:val="20"/>
                <w:szCs w:val="20"/>
              </w:rPr>
              <w:t>PO1</w:t>
            </w:r>
            <w:r w:rsidR="00A44C1D" w:rsidRPr="0032199A">
              <w:rPr>
                <w:b/>
                <w:bCs/>
                <w:noProof/>
                <w:sz w:val="20"/>
                <w:szCs w:val="20"/>
              </w:rPr>
              <w:t xml:space="preserve"> </w:t>
            </w:r>
            <w:r w:rsidRPr="0032199A">
              <w:rPr>
                <w:b/>
                <w:bCs/>
                <w:noProof/>
                <w:color w:val="000000" w:themeColor="text1"/>
                <w:sz w:val="20"/>
                <w:szCs w:val="20"/>
              </w:rPr>
              <w:t>Partial harmonisation of authorisation</w:t>
            </w:r>
          </w:p>
        </w:tc>
        <w:tc>
          <w:tcPr>
            <w:tcW w:w="2560" w:type="dxa"/>
            <w:tcBorders>
              <w:top w:val="single" w:sz="4" w:space="0" w:color="auto"/>
              <w:left w:val="single" w:sz="4" w:space="0" w:color="auto"/>
              <w:bottom w:val="single" w:sz="4" w:space="0" w:color="auto"/>
              <w:right w:val="single" w:sz="4" w:space="0" w:color="auto"/>
            </w:tcBorders>
            <w:tcMar>
              <w:left w:w="0" w:type="dxa"/>
              <w:right w:w="0" w:type="dxa"/>
            </w:tcMar>
          </w:tcPr>
          <w:p w14:paraId="39433C44" w14:textId="1C171FFE" w:rsidR="001F6284" w:rsidRPr="0032199A" w:rsidRDefault="001F6284" w:rsidP="00EE616F">
            <w:pPr>
              <w:spacing w:after="120"/>
              <w:jc w:val="left"/>
              <w:rPr>
                <w:b/>
                <w:bCs/>
                <w:noProof/>
                <w:color w:val="000000" w:themeColor="text1"/>
                <w:sz w:val="20"/>
                <w:szCs w:val="20"/>
                <w:lang w:val="en-US"/>
              </w:rPr>
            </w:pPr>
            <w:r w:rsidRPr="0032199A">
              <w:rPr>
                <w:b/>
                <w:bCs/>
                <w:noProof/>
                <w:sz w:val="20"/>
                <w:szCs w:val="20"/>
              </w:rPr>
              <w:t>PO2 “Single “passport” for other networks and services than satellite and an EU-level authorisation for satellite spectrum</w:t>
            </w:r>
          </w:p>
        </w:tc>
        <w:tc>
          <w:tcPr>
            <w:tcW w:w="2582" w:type="dxa"/>
            <w:tcBorders>
              <w:top w:val="single" w:sz="4" w:space="0" w:color="auto"/>
              <w:left w:val="single" w:sz="4" w:space="0" w:color="auto"/>
              <w:bottom w:val="single" w:sz="4" w:space="0" w:color="auto"/>
              <w:right w:val="single" w:sz="4" w:space="0" w:color="auto"/>
            </w:tcBorders>
            <w:tcMar>
              <w:left w:w="0" w:type="dxa"/>
              <w:right w:w="0" w:type="dxa"/>
            </w:tcMar>
          </w:tcPr>
          <w:p w14:paraId="636BCB4D" w14:textId="56EAD922" w:rsidR="001F6284" w:rsidRPr="0032199A" w:rsidRDefault="001F6284" w:rsidP="00EE616F">
            <w:pPr>
              <w:spacing w:after="120"/>
              <w:jc w:val="left"/>
              <w:rPr>
                <w:b/>
                <w:bCs/>
                <w:noProof/>
                <w:sz w:val="20"/>
                <w:szCs w:val="20"/>
              </w:rPr>
            </w:pPr>
            <w:r w:rsidRPr="0032199A">
              <w:rPr>
                <w:b/>
                <w:bCs/>
                <w:noProof/>
                <w:sz w:val="20"/>
                <w:szCs w:val="20"/>
              </w:rPr>
              <w:t>PO3 Country-of-origin authorisation for cross-border and B2B services</w:t>
            </w:r>
          </w:p>
        </w:tc>
      </w:tr>
      <w:tr w:rsidR="0068199E" w:rsidRPr="0032199A" w14:paraId="7DA477B7" w14:textId="77777777" w:rsidTr="00BE337F">
        <w:tc>
          <w:tcPr>
            <w:tcW w:w="1221" w:type="dxa"/>
            <w:tcBorders>
              <w:top w:val="single" w:sz="4" w:space="0" w:color="auto"/>
              <w:left w:val="single" w:sz="4" w:space="0" w:color="auto"/>
              <w:bottom w:val="single" w:sz="4" w:space="0" w:color="auto"/>
              <w:right w:val="single" w:sz="4" w:space="0" w:color="auto"/>
            </w:tcBorders>
            <w:tcMar>
              <w:left w:w="0" w:type="dxa"/>
              <w:right w:w="0" w:type="dxa"/>
            </w:tcMar>
          </w:tcPr>
          <w:p w14:paraId="7C6D9456" w14:textId="4D37A9BC" w:rsidR="00612624" w:rsidRPr="0032199A" w:rsidRDefault="00E801D0" w:rsidP="00EE616F">
            <w:pPr>
              <w:spacing w:after="120"/>
              <w:jc w:val="left"/>
              <w:rPr>
                <w:b/>
                <w:smallCaps/>
                <w:noProof/>
                <w:sz w:val="20"/>
                <w:szCs w:val="20"/>
                <w:lang w:eastAsia="en-US"/>
              </w:rPr>
            </w:pPr>
            <w:r w:rsidRPr="0032199A">
              <w:rPr>
                <w:b/>
                <w:smallCaps/>
                <w:noProof/>
                <w:sz w:val="20"/>
                <w:szCs w:val="20"/>
                <w:lang w:eastAsia="en-US"/>
              </w:rPr>
              <w:t xml:space="preserve">PD4 </w:t>
            </w:r>
          </w:p>
          <w:p w14:paraId="60D8437C" w14:textId="77777777" w:rsidR="00D330DE" w:rsidRPr="0032199A" w:rsidRDefault="00D330DE" w:rsidP="00EE616F">
            <w:pPr>
              <w:spacing w:after="120"/>
              <w:jc w:val="left"/>
              <w:rPr>
                <w:i/>
                <w:noProof/>
                <w:sz w:val="20"/>
                <w:szCs w:val="20"/>
                <w:lang w:val="en-US"/>
              </w:rPr>
            </w:pPr>
            <w:bookmarkStart w:id="218" w:name="_Toc215083750"/>
            <w:r w:rsidRPr="006702BD">
              <w:rPr>
                <w:noProof/>
                <w:sz w:val="20"/>
              </w:rPr>
              <w:t>Fragmented authorisation conditions, not allowing</w:t>
            </w:r>
            <w:r w:rsidRPr="0032199A">
              <w:rPr>
                <w:b/>
                <w:smallCaps/>
                <w:noProof/>
                <w:sz w:val="20"/>
                <w:szCs w:val="20"/>
                <w:lang w:eastAsia="en-US"/>
              </w:rPr>
              <w:t xml:space="preserve"> </w:t>
            </w:r>
            <w:r w:rsidRPr="006702BD">
              <w:rPr>
                <w:noProof/>
                <w:sz w:val="20"/>
              </w:rPr>
              <w:t>to operate across the EU</w:t>
            </w:r>
            <w:bookmarkEnd w:id="218"/>
          </w:p>
          <w:p w14:paraId="72DD8240" w14:textId="78D3A4FF" w:rsidR="00612624" w:rsidRPr="0032199A" w:rsidRDefault="00612624" w:rsidP="00EE616F">
            <w:pPr>
              <w:spacing w:after="120"/>
              <w:jc w:val="left"/>
              <w:rPr>
                <w:noProof/>
                <w:color w:val="000000" w:themeColor="text1"/>
                <w:sz w:val="20"/>
                <w:szCs w:val="20"/>
                <w:lang w:val="en-IE"/>
              </w:rPr>
            </w:pPr>
          </w:p>
        </w:tc>
        <w:tc>
          <w:tcPr>
            <w:tcW w:w="1342" w:type="dxa"/>
            <w:tcBorders>
              <w:top w:val="single" w:sz="4" w:space="0" w:color="auto"/>
              <w:left w:val="single" w:sz="4" w:space="0" w:color="auto"/>
              <w:bottom w:val="single" w:sz="4" w:space="0" w:color="auto"/>
              <w:right w:val="single" w:sz="4" w:space="0" w:color="auto"/>
            </w:tcBorders>
            <w:tcMar>
              <w:left w:w="0" w:type="dxa"/>
              <w:right w:w="0" w:type="dxa"/>
            </w:tcMar>
          </w:tcPr>
          <w:p w14:paraId="4ECFF851" w14:textId="77777777" w:rsidR="00FB60EC" w:rsidRPr="0032199A" w:rsidRDefault="1499B9C3" w:rsidP="00EE616F">
            <w:pPr>
              <w:spacing w:after="120"/>
              <w:jc w:val="left"/>
              <w:rPr>
                <w:noProof/>
                <w:color w:val="000000" w:themeColor="text1"/>
                <w:sz w:val="20"/>
                <w:szCs w:val="20"/>
                <w:lang w:val="en-US"/>
              </w:rPr>
            </w:pPr>
            <w:r w:rsidRPr="00E812D8">
              <w:rPr>
                <w:noProof/>
                <w:color w:val="000000" w:themeColor="text1"/>
                <w:sz w:val="20"/>
              </w:rPr>
              <w:t>SPO4</w:t>
            </w:r>
            <w:r w:rsidRPr="00BE337F">
              <w:rPr>
                <w:b/>
                <w:bCs/>
                <w:noProof/>
                <w:color w:val="000000" w:themeColor="text1"/>
                <w:sz w:val="20"/>
              </w:rPr>
              <w:t>:</w:t>
            </w:r>
            <w:r w:rsidRPr="006702BD">
              <w:rPr>
                <w:noProof/>
                <w:color w:val="000000" w:themeColor="text1"/>
                <w:sz w:val="20"/>
              </w:rPr>
              <w:t xml:space="preserve"> </w:t>
            </w:r>
            <w:r w:rsidR="0032153C" w:rsidRPr="006702BD">
              <w:rPr>
                <w:noProof/>
                <w:color w:val="000000" w:themeColor="text1"/>
                <w:sz w:val="20"/>
              </w:rPr>
              <w:t>Increase pan- EU network operation and service provision</w:t>
            </w:r>
          </w:p>
          <w:p w14:paraId="36DAD965" w14:textId="64D3B869" w:rsidR="00612624" w:rsidRPr="0032199A" w:rsidRDefault="00FB60EC" w:rsidP="00EE616F">
            <w:pPr>
              <w:spacing w:after="120"/>
              <w:jc w:val="left"/>
              <w:rPr>
                <w:noProof/>
                <w:color w:val="000000" w:themeColor="text1"/>
                <w:sz w:val="20"/>
                <w:szCs w:val="20"/>
                <w:lang w:val="en-US"/>
              </w:rPr>
            </w:pPr>
            <w:r w:rsidRPr="006702BD">
              <w:rPr>
                <w:noProof/>
                <w:color w:val="000000" w:themeColor="text1"/>
                <w:sz w:val="20"/>
              </w:rPr>
              <w:t>General authorisation</w:t>
            </w:r>
            <w:r w:rsidR="0032153C" w:rsidRPr="006702BD">
              <w:rPr>
                <w:noProof/>
                <w:color w:val="000000" w:themeColor="text1"/>
                <w:sz w:val="20"/>
              </w:rPr>
              <w:t xml:space="preserve"> </w:t>
            </w:r>
          </w:p>
        </w:tc>
        <w:tc>
          <w:tcPr>
            <w:tcW w:w="1890" w:type="dxa"/>
            <w:tcBorders>
              <w:top w:val="single" w:sz="4" w:space="0" w:color="auto"/>
              <w:left w:val="single" w:sz="4" w:space="0" w:color="auto"/>
              <w:bottom w:val="single" w:sz="4" w:space="0" w:color="auto"/>
              <w:right w:val="single" w:sz="4" w:space="0" w:color="auto"/>
            </w:tcBorders>
            <w:tcMar>
              <w:left w:w="0" w:type="dxa"/>
              <w:right w:w="0" w:type="dxa"/>
            </w:tcMar>
          </w:tcPr>
          <w:p w14:paraId="0865DC03" w14:textId="77777777" w:rsidR="006179DC" w:rsidRPr="0032199A" w:rsidRDefault="70F3F1E0" w:rsidP="00EE616F">
            <w:pPr>
              <w:spacing w:after="120"/>
              <w:ind w:left="92" w:right="97"/>
              <w:rPr>
                <w:noProof/>
                <w:sz w:val="20"/>
                <w:szCs w:val="20"/>
              </w:rPr>
            </w:pPr>
            <w:r w:rsidRPr="0032199A">
              <w:rPr>
                <w:noProof/>
                <w:sz w:val="20"/>
                <w:szCs w:val="20"/>
              </w:rPr>
              <w:t>Emphasis on enforcement of the EECC GA regime</w:t>
            </w:r>
            <w:r w:rsidR="00E279F6" w:rsidRPr="0032199A">
              <w:rPr>
                <w:noProof/>
                <w:sz w:val="20"/>
                <w:szCs w:val="20"/>
              </w:rPr>
              <w:t>.</w:t>
            </w:r>
            <w:r w:rsidR="000A3ABA" w:rsidRPr="0032199A">
              <w:rPr>
                <w:noProof/>
                <w:sz w:val="20"/>
                <w:szCs w:val="20"/>
              </w:rPr>
              <w:t xml:space="preserve"> </w:t>
            </w:r>
          </w:p>
          <w:p w14:paraId="5760133D" w14:textId="5B453096" w:rsidR="00612624" w:rsidRPr="0032199A" w:rsidRDefault="00337115" w:rsidP="00EE616F">
            <w:pPr>
              <w:spacing w:after="120"/>
              <w:ind w:left="92" w:right="97"/>
              <w:rPr>
                <w:noProof/>
                <w:sz w:val="20"/>
                <w:szCs w:val="20"/>
              </w:rPr>
            </w:pPr>
            <w:r w:rsidRPr="0032199A">
              <w:rPr>
                <w:noProof/>
                <w:sz w:val="20"/>
                <w:szCs w:val="20"/>
              </w:rPr>
              <w:t xml:space="preserve">National notification </w:t>
            </w:r>
            <w:r w:rsidR="00EF2751" w:rsidRPr="0032199A">
              <w:rPr>
                <w:noProof/>
                <w:sz w:val="20"/>
                <w:szCs w:val="20"/>
              </w:rPr>
              <w:t>i</w:t>
            </w:r>
            <w:r w:rsidRPr="0032199A">
              <w:rPr>
                <w:noProof/>
                <w:sz w:val="20"/>
                <w:szCs w:val="20"/>
              </w:rPr>
              <w:t>s still required in each MS.</w:t>
            </w:r>
            <w:r w:rsidR="0078755A" w:rsidRPr="0032199A">
              <w:rPr>
                <w:noProof/>
                <w:sz w:val="20"/>
                <w:szCs w:val="20"/>
              </w:rPr>
              <w:t xml:space="preserve"> The notification process is </w:t>
            </w:r>
            <w:r w:rsidR="006432F7" w:rsidRPr="0032199A">
              <w:rPr>
                <w:noProof/>
                <w:sz w:val="20"/>
                <w:szCs w:val="20"/>
              </w:rPr>
              <w:t>simplified only for cross-border operators</w:t>
            </w:r>
            <w:r w:rsidR="006E7784" w:rsidRPr="0032199A">
              <w:rPr>
                <w:noProof/>
                <w:sz w:val="20"/>
                <w:szCs w:val="20"/>
              </w:rPr>
              <w:t xml:space="preserve"> (BEREC Office</w:t>
            </w:r>
            <w:r w:rsidR="00554C55" w:rsidRPr="0032199A">
              <w:rPr>
                <w:noProof/>
                <w:sz w:val="20"/>
                <w:szCs w:val="20"/>
              </w:rPr>
              <w:t xml:space="preserve"> not a MS is </w:t>
            </w:r>
            <w:r w:rsidR="00D930DD" w:rsidRPr="0032199A">
              <w:rPr>
                <w:noProof/>
                <w:sz w:val="20"/>
                <w:szCs w:val="20"/>
              </w:rPr>
              <w:t>notified,</w:t>
            </w:r>
            <w:r w:rsidR="00554C55" w:rsidRPr="0032199A">
              <w:rPr>
                <w:noProof/>
                <w:sz w:val="20"/>
                <w:szCs w:val="20"/>
              </w:rPr>
              <w:t xml:space="preserve"> and </w:t>
            </w:r>
            <w:r w:rsidR="00EF2751" w:rsidRPr="0032199A">
              <w:rPr>
                <w:noProof/>
                <w:sz w:val="20"/>
                <w:szCs w:val="20"/>
              </w:rPr>
              <w:t>it informs the concerned NRAs/CA)</w:t>
            </w:r>
            <w:r w:rsidR="006E7784" w:rsidRPr="0032199A">
              <w:rPr>
                <w:noProof/>
                <w:sz w:val="20"/>
                <w:szCs w:val="20"/>
              </w:rPr>
              <w:t>).</w:t>
            </w:r>
          </w:p>
          <w:p w14:paraId="63281E91" w14:textId="3A7419DF" w:rsidR="00612624" w:rsidRPr="0032199A" w:rsidRDefault="6557C515" w:rsidP="00EE616F">
            <w:pPr>
              <w:spacing w:after="120"/>
              <w:ind w:left="92" w:right="97"/>
              <w:rPr>
                <w:noProof/>
                <w:sz w:val="20"/>
                <w:szCs w:val="20"/>
              </w:rPr>
            </w:pPr>
            <w:r w:rsidRPr="0032199A">
              <w:rPr>
                <w:noProof/>
                <w:sz w:val="20"/>
                <w:szCs w:val="20"/>
              </w:rPr>
              <w:t xml:space="preserve">Focusing </w:t>
            </w:r>
            <w:r w:rsidR="5537CB09" w:rsidRPr="0032199A">
              <w:rPr>
                <w:noProof/>
                <w:sz w:val="20"/>
                <w:szCs w:val="20"/>
              </w:rPr>
              <w:t xml:space="preserve">Commission </w:t>
            </w:r>
            <w:r w:rsidRPr="0032199A">
              <w:rPr>
                <w:noProof/>
                <w:sz w:val="20"/>
                <w:szCs w:val="20"/>
              </w:rPr>
              <w:t>on implementing acts for security of public ECNs and ECS</w:t>
            </w:r>
            <w:r w:rsidR="0F73580D" w:rsidRPr="0032199A">
              <w:rPr>
                <w:noProof/>
                <w:sz w:val="20"/>
                <w:szCs w:val="20"/>
              </w:rPr>
              <w:t xml:space="preserve"> to facilitate compliance with security requirements;</w:t>
            </w:r>
          </w:p>
          <w:p w14:paraId="7E7D25B1" w14:textId="1B7D11A0" w:rsidR="00612624" w:rsidRPr="0032199A" w:rsidRDefault="0F73580D" w:rsidP="00EE616F">
            <w:pPr>
              <w:spacing w:after="120"/>
              <w:ind w:left="92" w:right="97"/>
              <w:rPr>
                <w:noProof/>
                <w:sz w:val="20"/>
                <w:szCs w:val="20"/>
              </w:rPr>
            </w:pPr>
            <w:r w:rsidRPr="0032199A">
              <w:rPr>
                <w:noProof/>
                <w:sz w:val="20"/>
                <w:szCs w:val="20"/>
              </w:rPr>
              <w:t>Improvements to the non-mandatory notification template by BEREC</w:t>
            </w:r>
          </w:p>
          <w:p w14:paraId="5B9E2812" w14:textId="2E68E386" w:rsidR="00612624" w:rsidRPr="0032199A" w:rsidRDefault="0F73580D" w:rsidP="00EE616F">
            <w:pPr>
              <w:spacing w:after="120"/>
              <w:ind w:left="92" w:right="97"/>
              <w:rPr>
                <w:noProof/>
                <w:sz w:val="20"/>
                <w:szCs w:val="20"/>
              </w:rPr>
            </w:pPr>
            <w:r w:rsidRPr="0032199A">
              <w:rPr>
                <w:noProof/>
                <w:sz w:val="20"/>
                <w:szCs w:val="20"/>
              </w:rPr>
              <w:t>Issuing a non-mandatory reporting template by BEREC</w:t>
            </w:r>
          </w:p>
          <w:p w14:paraId="04D2D32F" w14:textId="78ED6E92" w:rsidR="00612624" w:rsidRPr="0032199A" w:rsidRDefault="0F73580D" w:rsidP="00EE616F">
            <w:pPr>
              <w:spacing w:after="120"/>
              <w:ind w:left="92" w:right="97"/>
              <w:rPr>
                <w:noProof/>
                <w:sz w:val="20"/>
                <w:szCs w:val="20"/>
                <w:lang w:val="en-US"/>
              </w:rPr>
            </w:pPr>
            <w:r w:rsidRPr="0032199A">
              <w:rPr>
                <w:noProof/>
                <w:sz w:val="20"/>
                <w:szCs w:val="20"/>
              </w:rPr>
              <w:t>Upgrading the BEREC Database on notifications</w:t>
            </w:r>
          </w:p>
        </w:tc>
        <w:tc>
          <w:tcPr>
            <w:tcW w:w="2560" w:type="dxa"/>
            <w:tcBorders>
              <w:top w:val="single" w:sz="4" w:space="0" w:color="auto"/>
              <w:left w:val="single" w:sz="4" w:space="0" w:color="auto"/>
              <w:bottom w:val="single" w:sz="4" w:space="0" w:color="auto"/>
              <w:right w:val="single" w:sz="4" w:space="0" w:color="auto"/>
            </w:tcBorders>
            <w:tcMar>
              <w:left w:w="0" w:type="dxa"/>
              <w:right w:w="0" w:type="dxa"/>
            </w:tcMar>
          </w:tcPr>
          <w:p w14:paraId="15225C8F" w14:textId="273E4B56" w:rsidR="00612624" w:rsidRPr="0032199A" w:rsidRDefault="032D654F" w:rsidP="00EE616F">
            <w:pPr>
              <w:spacing w:after="120"/>
              <w:ind w:left="45" w:right="96"/>
              <w:rPr>
                <w:noProof/>
                <w:sz w:val="20"/>
                <w:szCs w:val="20"/>
                <w:lang w:val="en-US"/>
              </w:rPr>
            </w:pPr>
            <w:r w:rsidRPr="0032199A">
              <w:rPr>
                <w:noProof/>
                <w:sz w:val="20"/>
                <w:szCs w:val="20"/>
              </w:rPr>
              <w:t xml:space="preserve">Notification in one Member </w:t>
            </w:r>
            <w:r w:rsidRPr="000939E2">
              <w:rPr>
                <w:noProof/>
                <w:sz w:val="20"/>
                <w:szCs w:val="20"/>
              </w:rPr>
              <w:t xml:space="preserve">State and “Single passport” </w:t>
            </w:r>
            <w:r w:rsidRPr="05DCFA93">
              <w:rPr>
                <w:noProof/>
                <w:sz w:val="20"/>
                <w:szCs w:val="20"/>
              </w:rPr>
              <w:t>issued</w:t>
            </w:r>
            <w:r w:rsidRPr="000939E2">
              <w:rPr>
                <w:noProof/>
                <w:sz w:val="20"/>
                <w:szCs w:val="20"/>
              </w:rPr>
              <w:t xml:space="preserve"> by </w:t>
            </w:r>
            <w:r w:rsidR="00254993" w:rsidRPr="000939E2">
              <w:rPr>
                <w:noProof/>
                <w:sz w:val="20"/>
                <w:szCs w:val="20"/>
              </w:rPr>
              <w:t xml:space="preserve">a </w:t>
            </w:r>
            <w:r w:rsidRPr="000939E2">
              <w:rPr>
                <w:noProof/>
                <w:sz w:val="20"/>
                <w:szCs w:val="20"/>
              </w:rPr>
              <w:t>Member State</w:t>
            </w:r>
            <w:r w:rsidR="00254993" w:rsidRPr="000939E2">
              <w:rPr>
                <w:noProof/>
                <w:sz w:val="20"/>
                <w:szCs w:val="20"/>
              </w:rPr>
              <w:t xml:space="preserve"> chosen by the provider </w:t>
            </w:r>
            <w:r w:rsidR="00155C0D" w:rsidRPr="000939E2">
              <w:rPr>
                <w:noProof/>
                <w:sz w:val="20"/>
                <w:szCs w:val="20"/>
              </w:rPr>
              <w:t>(MS of notification</w:t>
            </w:r>
            <w:r w:rsidR="48E7E50A" w:rsidRPr="3D977AE9">
              <w:rPr>
                <w:noProof/>
                <w:sz w:val="20"/>
                <w:szCs w:val="20"/>
              </w:rPr>
              <w:t>)</w:t>
            </w:r>
            <w:r w:rsidR="7ECE733A" w:rsidRPr="3D977AE9">
              <w:rPr>
                <w:noProof/>
                <w:sz w:val="20"/>
                <w:szCs w:val="20"/>
              </w:rPr>
              <w:t>.</w:t>
            </w:r>
            <w:r w:rsidR="0032199A" w:rsidRPr="000939E2">
              <w:rPr>
                <w:noProof/>
                <w:sz w:val="20"/>
                <w:szCs w:val="20"/>
              </w:rPr>
              <w:t xml:space="preserve"> </w:t>
            </w:r>
            <w:r w:rsidR="00FD1BD8" w:rsidRPr="000939E2">
              <w:rPr>
                <w:noProof/>
                <w:sz w:val="20"/>
                <w:szCs w:val="20"/>
              </w:rPr>
              <w:t xml:space="preserve">This MS triggers </w:t>
            </w:r>
            <w:r w:rsidR="00B44F56" w:rsidRPr="000939E2">
              <w:rPr>
                <w:noProof/>
                <w:sz w:val="20"/>
                <w:szCs w:val="20"/>
              </w:rPr>
              <w:t xml:space="preserve">the coordination process </w:t>
            </w:r>
            <w:r w:rsidR="00B00B8E" w:rsidRPr="000939E2">
              <w:rPr>
                <w:noProof/>
                <w:sz w:val="20"/>
                <w:szCs w:val="20"/>
              </w:rPr>
              <w:t xml:space="preserve">for providers launching new networks or services, and for existing providers that choose to </w:t>
            </w:r>
            <w:r w:rsidR="001726DB" w:rsidRPr="000939E2">
              <w:rPr>
                <w:noProof/>
                <w:sz w:val="20"/>
                <w:szCs w:val="20"/>
              </w:rPr>
              <w:t>operate under the Single passport regime</w:t>
            </w:r>
            <w:r w:rsidR="00B00B8E" w:rsidRPr="000939E2">
              <w:rPr>
                <w:noProof/>
                <w:sz w:val="20"/>
                <w:szCs w:val="20"/>
              </w:rPr>
              <w:t xml:space="preserve">. </w:t>
            </w:r>
            <w:r w:rsidRPr="6A1FE74F" w:rsidDel="00B00B8E">
              <w:rPr>
                <w:noProof/>
                <w:sz w:val="20"/>
                <w:szCs w:val="20"/>
              </w:rPr>
              <w:t>It</w:t>
            </w:r>
            <w:r w:rsidR="00B00B8E" w:rsidRPr="000939E2">
              <w:rPr>
                <w:noProof/>
                <w:sz w:val="20"/>
                <w:szCs w:val="20"/>
              </w:rPr>
              <w:t xml:space="preserve"> </w:t>
            </w:r>
            <w:r w:rsidR="0037430D" w:rsidRPr="000939E2">
              <w:rPr>
                <w:noProof/>
                <w:sz w:val="20"/>
                <w:szCs w:val="20"/>
              </w:rPr>
              <w:t>is optional for purely local providers, but once a cross-border provider requests it, the MS must issue it.</w:t>
            </w:r>
            <w:r w:rsidR="00043F0A" w:rsidRPr="0032199A">
              <w:rPr>
                <w:noProof/>
                <w:sz w:val="20"/>
                <w:szCs w:val="20"/>
              </w:rPr>
              <w:t xml:space="preserve"> </w:t>
            </w:r>
          </w:p>
          <w:p w14:paraId="7F286894" w14:textId="7D82827A" w:rsidR="7B1D3787" w:rsidRPr="0032199A" w:rsidRDefault="7B1D3787" w:rsidP="00EE616F">
            <w:pPr>
              <w:spacing w:after="120"/>
              <w:ind w:left="45" w:right="96"/>
              <w:rPr>
                <w:noProof/>
                <w:sz w:val="20"/>
                <w:szCs w:val="20"/>
                <w:lang w:val="en-US"/>
              </w:rPr>
            </w:pPr>
            <w:r w:rsidRPr="006702BD">
              <w:rPr>
                <w:noProof/>
                <w:sz w:val="20"/>
              </w:rPr>
              <w:t xml:space="preserve">BEREC </w:t>
            </w:r>
            <w:r w:rsidR="002C71C9" w:rsidRPr="006702BD">
              <w:rPr>
                <w:noProof/>
                <w:sz w:val="20"/>
              </w:rPr>
              <w:t>issues</w:t>
            </w:r>
            <w:r w:rsidRPr="006702BD">
              <w:rPr>
                <w:noProof/>
                <w:sz w:val="20"/>
              </w:rPr>
              <w:t xml:space="preserve"> Guidelines</w:t>
            </w:r>
            <w:r w:rsidR="1A931FE0" w:rsidRPr="006702BD">
              <w:rPr>
                <w:noProof/>
                <w:sz w:val="20"/>
              </w:rPr>
              <w:t>, in cooperation with the Commission and other competent authorities,</w:t>
            </w:r>
            <w:r w:rsidRPr="006702BD">
              <w:rPr>
                <w:noProof/>
                <w:sz w:val="20"/>
              </w:rPr>
              <w:t xml:space="preserve"> on </w:t>
            </w:r>
            <w:r w:rsidR="4F5882D7" w:rsidRPr="006702BD">
              <w:rPr>
                <w:noProof/>
                <w:sz w:val="20"/>
              </w:rPr>
              <w:t xml:space="preserve">consistency, coherence and </w:t>
            </w:r>
            <w:r w:rsidRPr="006702BD">
              <w:rPr>
                <w:noProof/>
                <w:sz w:val="20"/>
              </w:rPr>
              <w:t>streaml</w:t>
            </w:r>
            <w:r w:rsidR="16878683" w:rsidRPr="006702BD">
              <w:rPr>
                <w:noProof/>
                <w:sz w:val="20"/>
              </w:rPr>
              <w:t>ined</w:t>
            </w:r>
            <w:r w:rsidRPr="006702BD">
              <w:rPr>
                <w:noProof/>
                <w:sz w:val="20"/>
              </w:rPr>
              <w:t xml:space="preserve"> applicable </w:t>
            </w:r>
            <w:r w:rsidR="58F46586" w:rsidRPr="006702BD">
              <w:rPr>
                <w:noProof/>
                <w:sz w:val="20"/>
              </w:rPr>
              <w:t xml:space="preserve">further </w:t>
            </w:r>
            <w:r w:rsidRPr="006702BD">
              <w:rPr>
                <w:noProof/>
                <w:sz w:val="20"/>
              </w:rPr>
              <w:t>harmonised GA conditions</w:t>
            </w:r>
            <w:r w:rsidR="00D02A14" w:rsidRPr="006702BD">
              <w:rPr>
                <w:noProof/>
                <w:sz w:val="20"/>
              </w:rPr>
              <w:t xml:space="preserve"> (approximation of conditions)</w:t>
            </w:r>
            <w:r w:rsidR="00BA699F" w:rsidRPr="006702BD">
              <w:rPr>
                <w:noProof/>
                <w:sz w:val="20"/>
              </w:rPr>
              <w:t>.</w:t>
            </w:r>
          </w:p>
          <w:p w14:paraId="499D6086" w14:textId="01DB562D" w:rsidR="00612624" w:rsidRPr="0032199A" w:rsidRDefault="304D69D0" w:rsidP="00EE616F">
            <w:pPr>
              <w:spacing w:after="120"/>
              <w:ind w:left="45" w:right="96"/>
              <w:rPr>
                <w:noProof/>
                <w:sz w:val="20"/>
                <w:szCs w:val="20"/>
                <w:lang w:val="en-US"/>
              </w:rPr>
            </w:pPr>
            <w:r w:rsidRPr="0032199A">
              <w:rPr>
                <w:noProof/>
                <w:sz w:val="20"/>
                <w:szCs w:val="20"/>
              </w:rPr>
              <w:t>More coherent</w:t>
            </w:r>
            <w:r w:rsidR="032D654F" w:rsidRPr="0032199A">
              <w:rPr>
                <w:noProof/>
                <w:sz w:val="20"/>
                <w:szCs w:val="20"/>
              </w:rPr>
              <w:t xml:space="preserve"> </w:t>
            </w:r>
            <w:r w:rsidR="0AD04C3F" w:rsidRPr="0032199A">
              <w:rPr>
                <w:noProof/>
                <w:sz w:val="20"/>
                <w:szCs w:val="20"/>
              </w:rPr>
              <w:t xml:space="preserve">requirements, </w:t>
            </w:r>
            <w:r w:rsidR="3912135E" w:rsidRPr="0032199A">
              <w:rPr>
                <w:noProof/>
                <w:sz w:val="20"/>
                <w:szCs w:val="20"/>
              </w:rPr>
              <w:t xml:space="preserve">and esp., </w:t>
            </w:r>
            <w:r w:rsidR="0AD04C3F" w:rsidRPr="0032199A">
              <w:rPr>
                <w:noProof/>
                <w:sz w:val="20"/>
                <w:szCs w:val="20"/>
              </w:rPr>
              <w:t>non-DNA related</w:t>
            </w:r>
            <w:r w:rsidR="032D654F" w:rsidRPr="0032199A">
              <w:rPr>
                <w:noProof/>
                <w:sz w:val="20"/>
                <w:szCs w:val="20"/>
              </w:rPr>
              <w:t xml:space="preserve"> </w:t>
            </w:r>
            <w:r w:rsidR="613D7CCB" w:rsidRPr="0032199A">
              <w:rPr>
                <w:noProof/>
                <w:sz w:val="20"/>
                <w:szCs w:val="20"/>
              </w:rPr>
              <w:t xml:space="preserve">via a </w:t>
            </w:r>
            <w:r w:rsidR="00EC522E" w:rsidRPr="0032199A">
              <w:rPr>
                <w:noProof/>
                <w:sz w:val="20"/>
                <w:szCs w:val="20"/>
              </w:rPr>
              <w:t>facilitating mechanism</w:t>
            </w:r>
            <w:r w:rsidR="00AF530B" w:rsidRPr="0032199A">
              <w:rPr>
                <w:noProof/>
                <w:sz w:val="20"/>
                <w:szCs w:val="20"/>
              </w:rPr>
              <w:t xml:space="preserve"> based on</w:t>
            </w:r>
            <w:r w:rsidR="613D7CCB" w:rsidRPr="0032199A">
              <w:rPr>
                <w:noProof/>
                <w:sz w:val="20"/>
                <w:szCs w:val="20"/>
              </w:rPr>
              <w:t xml:space="preserve"> coordination</w:t>
            </w:r>
            <w:r w:rsidR="00AF530B" w:rsidRPr="0032199A">
              <w:rPr>
                <w:noProof/>
                <w:sz w:val="20"/>
                <w:szCs w:val="20"/>
              </w:rPr>
              <w:t xml:space="preserve"> </w:t>
            </w:r>
            <w:r w:rsidR="000C19E7" w:rsidRPr="0032199A">
              <w:rPr>
                <w:noProof/>
                <w:sz w:val="20"/>
                <w:szCs w:val="20"/>
              </w:rPr>
              <w:t xml:space="preserve">between </w:t>
            </w:r>
            <w:r w:rsidR="032D654F" w:rsidRPr="0032199A">
              <w:rPr>
                <w:noProof/>
                <w:sz w:val="20"/>
                <w:szCs w:val="20"/>
              </w:rPr>
              <w:t>Member States to facilitate compliance</w:t>
            </w:r>
            <w:r w:rsidR="517F4FCB" w:rsidRPr="0032199A">
              <w:rPr>
                <w:noProof/>
                <w:sz w:val="20"/>
                <w:szCs w:val="20"/>
              </w:rPr>
              <w:t>.</w:t>
            </w:r>
          </w:p>
          <w:p w14:paraId="7F045FB7" w14:textId="3C804EA4" w:rsidR="00612624" w:rsidRPr="0032199A" w:rsidRDefault="5274CB80" w:rsidP="00EE616F">
            <w:pPr>
              <w:spacing w:after="120"/>
              <w:ind w:left="45" w:right="96"/>
              <w:rPr>
                <w:noProof/>
                <w:sz w:val="20"/>
                <w:szCs w:val="20"/>
                <w:lang w:val="en-US"/>
              </w:rPr>
            </w:pPr>
            <w:r w:rsidRPr="0032199A">
              <w:rPr>
                <w:noProof/>
                <w:sz w:val="20"/>
                <w:szCs w:val="20"/>
              </w:rPr>
              <w:t>Enforcement remains at the country of destination level based on EU-wide pre-coordinated conditions and requirements</w:t>
            </w:r>
          </w:p>
          <w:p w14:paraId="26FC5D3C" w14:textId="5ED90E1A" w:rsidR="00612624" w:rsidRPr="0032199A" w:rsidRDefault="20BDFAED" w:rsidP="00EE616F">
            <w:pPr>
              <w:spacing w:after="120"/>
              <w:ind w:left="45" w:right="96"/>
              <w:rPr>
                <w:noProof/>
                <w:sz w:val="20"/>
                <w:szCs w:val="20"/>
                <w:lang w:val="en-US"/>
              </w:rPr>
            </w:pPr>
            <w:r w:rsidRPr="0032199A">
              <w:rPr>
                <w:noProof/>
                <w:sz w:val="20"/>
                <w:szCs w:val="20"/>
              </w:rPr>
              <w:t xml:space="preserve">Unleashes cross-border provision of networks and services and is </w:t>
            </w:r>
            <w:r w:rsidR="2E2C090F" w:rsidRPr="0032199A">
              <w:rPr>
                <w:noProof/>
                <w:sz w:val="20"/>
                <w:szCs w:val="20"/>
              </w:rPr>
              <w:t>adjusted</w:t>
            </w:r>
            <w:r w:rsidRPr="0032199A">
              <w:rPr>
                <w:noProof/>
                <w:sz w:val="20"/>
                <w:szCs w:val="20"/>
              </w:rPr>
              <w:t xml:space="preserve"> according to the technology evolution and transition</w:t>
            </w:r>
            <w:r w:rsidR="6277A24D" w:rsidRPr="0032199A">
              <w:rPr>
                <w:noProof/>
                <w:sz w:val="20"/>
                <w:szCs w:val="20"/>
              </w:rPr>
              <w:t xml:space="preserve"> to more software-based networks and more virtualised services.</w:t>
            </w:r>
          </w:p>
        </w:tc>
        <w:tc>
          <w:tcPr>
            <w:tcW w:w="2582" w:type="dxa"/>
            <w:tcBorders>
              <w:top w:val="single" w:sz="4" w:space="0" w:color="auto"/>
              <w:left w:val="single" w:sz="4" w:space="0" w:color="auto"/>
              <w:bottom w:val="single" w:sz="4" w:space="0" w:color="auto"/>
              <w:right w:val="single" w:sz="4" w:space="0" w:color="auto"/>
            </w:tcBorders>
            <w:tcMar>
              <w:left w:w="0" w:type="dxa"/>
              <w:right w:w="0" w:type="dxa"/>
            </w:tcMar>
          </w:tcPr>
          <w:p w14:paraId="28202BCF" w14:textId="202632BE" w:rsidR="00612624" w:rsidRPr="0032199A" w:rsidRDefault="02CF9AB6" w:rsidP="00EE616F">
            <w:pPr>
              <w:spacing w:after="120"/>
              <w:ind w:left="32"/>
              <w:rPr>
                <w:noProof/>
                <w:sz w:val="20"/>
                <w:szCs w:val="20"/>
              </w:rPr>
            </w:pPr>
            <w:r w:rsidRPr="0032199A">
              <w:rPr>
                <w:noProof/>
                <w:sz w:val="20"/>
                <w:szCs w:val="20"/>
              </w:rPr>
              <w:t>Limited to certain service providers only of cross-border</w:t>
            </w:r>
            <w:r w:rsidR="006E3AE2">
              <w:rPr>
                <w:noProof/>
                <w:sz w:val="20"/>
                <w:szCs w:val="20"/>
              </w:rPr>
              <w:t xml:space="preserve"> </w:t>
            </w:r>
            <w:r w:rsidRPr="0032199A">
              <w:rPr>
                <w:noProof/>
                <w:sz w:val="20"/>
                <w:szCs w:val="20"/>
              </w:rPr>
              <w:t>nature;</w:t>
            </w:r>
          </w:p>
          <w:p w14:paraId="59A93108" w14:textId="32A4976A" w:rsidR="00612624" w:rsidRPr="0032199A" w:rsidRDefault="02CF9AB6" w:rsidP="00EE616F">
            <w:pPr>
              <w:spacing w:after="120"/>
              <w:ind w:left="32"/>
              <w:rPr>
                <w:noProof/>
                <w:sz w:val="20"/>
                <w:szCs w:val="20"/>
                <w:lang w:val="en-US"/>
              </w:rPr>
            </w:pPr>
            <w:r w:rsidRPr="0032199A">
              <w:rPr>
                <w:noProof/>
                <w:sz w:val="20"/>
                <w:szCs w:val="20"/>
              </w:rPr>
              <w:t>GA conditions of only one Member State apply while other should respect, mutually re</w:t>
            </w:r>
            <w:r w:rsidR="71D544FA" w:rsidRPr="0032199A">
              <w:rPr>
                <w:noProof/>
                <w:sz w:val="20"/>
                <w:szCs w:val="20"/>
              </w:rPr>
              <w:t>cognise</w:t>
            </w:r>
            <w:r w:rsidRPr="0032199A">
              <w:rPr>
                <w:noProof/>
                <w:sz w:val="20"/>
                <w:szCs w:val="20"/>
              </w:rPr>
              <w:t xml:space="preserve"> and assist the country of origin </w:t>
            </w:r>
            <w:r w:rsidR="36AC52BA" w:rsidRPr="0032199A">
              <w:rPr>
                <w:noProof/>
                <w:sz w:val="20"/>
                <w:szCs w:val="20"/>
              </w:rPr>
              <w:t>in exercising enforcement powers.</w:t>
            </w:r>
          </w:p>
          <w:p w14:paraId="3A919240" w14:textId="4B46F00E" w:rsidR="00612624" w:rsidRPr="0032199A" w:rsidRDefault="23A88592" w:rsidP="00EE616F">
            <w:pPr>
              <w:spacing w:after="120"/>
              <w:ind w:left="32"/>
              <w:rPr>
                <w:noProof/>
                <w:sz w:val="20"/>
                <w:szCs w:val="20"/>
                <w:lang w:val="en-US"/>
              </w:rPr>
            </w:pPr>
            <w:r w:rsidRPr="0032199A">
              <w:rPr>
                <w:noProof/>
                <w:sz w:val="20"/>
                <w:szCs w:val="20"/>
              </w:rPr>
              <w:t>GA remain national i.e., of only one Member State.</w:t>
            </w:r>
          </w:p>
        </w:tc>
      </w:tr>
      <w:tr w:rsidR="0068199E" w:rsidRPr="0032199A" w14:paraId="3FD3CDE9" w14:textId="77777777" w:rsidTr="00BE337F">
        <w:tc>
          <w:tcPr>
            <w:tcW w:w="1221" w:type="dxa"/>
            <w:tcBorders>
              <w:top w:val="single" w:sz="4" w:space="0" w:color="auto"/>
              <w:left w:val="single" w:sz="4" w:space="0" w:color="auto"/>
              <w:bottom w:val="single" w:sz="4" w:space="0" w:color="auto"/>
              <w:right w:val="single" w:sz="4" w:space="0" w:color="auto"/>
            </w:tcBorders>
            <w:tcMar>
              <w:left w:w="0" w:type="dxa"/>
              <w:right w:w="0" w:type="dxa"/>
            </w:tcMar>
          </w:tcPr>
          <w:p w14:paraId="0FDC665C" w14:textId="6A230563" w:rsidR="00612624" w:rsidRPr="0032199A" w:rsidRDefault="00E801D0" w:rsidP="00EE616F">
            <w:pPr>
              <w:spacing w:after="120"/>
              <w:jc w:val="left"/>
              <w:rPr>
                <w:b/>
                <w:bCs/>
                <w:noProof/>
                <w:sz w:val="20"/>
                <w:szCs w:val="20"/>
                <w:lang w:val="en-IE"/>
              </w:rPr>
            </w:pPr>
            <w:r w:rsidRPr="006702BD">
              <w:rPr>
                <w:b/>
                <w:noProof/>
                <w:sz w:val="20"/>
              </w:rPr>
              <w:t>PD4</w:t>
            </w:r>
            <w:r w:rsidR="009A55F3" w:rsidRPr="006702BD">
              <w:rPr>
                <w:b/>
                <w:noProof/>
                <w:sz w:val="20"/>
              </w:rPr>
              <w:t xml:space="preserve"> </w:t>
            </w:r>
            <w:r w:rsidR="00612624" w:rsidRPr="006702BD">
              <w:rPr>
                <w:noProof/>
                <w:sz w:val="20"/>
              </w:rPr>
              <w:t xml:space="preserve">Fragmented </w:t>
            </w:r>
            <w:r w:rsidR="2AAE9E6E" w:rsidRPr="006702BD">
              <w:rPr>
                <w:noProof/>
                <w:sz w:val="20"/>
              </w:rPr>
              <w:t>rules,</w:t>
            </w:r>
            <w:r w:rsidR="00612624" w:rsidRPr="006702BD">
              <w:rPr>
                <w:noProof/>
                <w:sz w:val="20"/>
              </w:rPr>
              <w:t xml:space="preserve"> </w:t>
            </w:r>
            <w:r w:rsidR="00313F45" w:rsidRPr="006702BD">
              <w:rPr>
                <w:noProof/>
                <w:sz w:val="20"/>
              </w:rPr>
              <w:t>in particular in</w:t>
            </w:r>
            <w:r w:rsidR="00612624" w:rsidRPr="006702BD">
              <w:rPr>
                <w:noProof/>
                <w:sz w:val="20"/>
              </w:rPr>
              <w:t xml:space="preserve"> </w:t>
            </w:r>
            <w:r w:rsidR="00313F45" w:rsidRPr="006702BD">
              <w:rPr>
                <w:noProof/>
                <w:sz w:val="20"/>
              </w:rPr>
              <w:t xml:space="preserve">authorization, not allowing </w:t>
            </w:r>
            <w:r w:rsidR="007E3815" w:rsidRPr="006702BD">
              <w:rPr>
                <w:noProof/>
                <w:sz w:val="20"/>
              </w:rPr>
              <w:t xml:space="preserve">to operate </w:t>
            </w:r>
            <w:r w:rsidR="00313F45" w:rsidRPr="006702BD">
              <w:rPr>
                <w:noProof/>
                <w:sz w:val="20"/>
              </w:rPr>
              <w:t>across</w:t>
            </w:r>
            <w:r w:rsidR="007E3815" w:rsidRPr="006702BD">
              <w:rPr>
                <w:noProof/>
                <w:sz w:val="20"/>
              </w:rPr>
              <w:t xml:space="preserve"> the EU</w:t>
            </w:r>
          </w:p>
          <w:p w14:paraId="299198D9" w14:textId="77777777" w:rsidR="00612624" w:rsidRPr="0032199A" w:rsidRDefault="00612624" w:rsidP="00EE616F">
            <w:pPr>
              <w:spacing w:after="120"/>
              <w:rPr>
                <w:noProof/>
                <w:color w:val="000000" w:themeColor="text1"/>
                <w:sz w:val="20"/>
                <w:szCs w:val="20"/>
                <w:lang w:val="en-US"/>
              </w:rPr>
            </w:pPr>
          </w:p>
        </w:tc>
        <w:tc>
          <w:tcPr>
            <w:tcW w:w="1342" w:type="dxa"/>
            <w:tcBorders>
              <w:top w:val="single" w:sz="4" w:space="0" w:color="auto"/>
              <w:left w:val="single" w:sz="4" w:space="0" w:color="auto"/>
              <w:bottom w:val="single" w:sz="4" w:space="0" w:color="auto"/>
              <w:right w:val="single" w:sz="4" w:space="0" w:color="auto"/>
            </w:tcBorders>
            <w:tcMar>
              <w:left w:w="0" w:type="dxa"/>
              <w:right w:w="0" w:type="dxa"/>
            </w:tcMar>
          </w:tcPr>
          <w:p w14:paraId="66B3B618" w14:textId="77777777" w:rsidR="00FB60EC" w:rsidRPr="0032199A" w:rsidRDefault="00612624" w:rsidP="00EE616F">
            <w:pPr>
              <w:spacing w:after="120"/>
              <w:rPr>
                <w:noProof/>
                <w:sz w:val="20"/>
                <w:szCs w:val="20"/>
              </w:rPr>
            </w:pPr>
            <w:r w:rsidRPr="0032199A">
              <w:rPr>
                <w:b/>
                <w:bCs/>
                <w:noProof/>
                <w:sz w:val="20"/>
                <w:szCs w:val="20"/>
              </w:rPr>
              <w:t xml:space="preserve">SPO4: </w:t>
            </w:r>
            <w:r w:rsidR="00886BF3" w:rsidRPr="0032199A">
              <w:rPr>
                <w:b/>
                <w:bCs/>
                <w:noProof/>
                <w:sz w:val="20"/>
                <w:szCs w:val="20"/>
              </w:rPr>
              <w:t xml:space="preserve">Increase </w:t>
            </w:r>
            <w:r w:rsidR="00886BF3" w:rsidRPr="0032199A">
              <w:rPr>
                <w:noProof/>
                <w:sz w:val="20"/>
                <w:szCs w:val="20"/>
              </w:rPr>
              <w:t>pan-</w:t>
            </w:r>
            <w:r w:rsidRPr="0032199A">
              <w:rPr>
                <w:noProof/>
                <w:sz w:val="20"/>
                <w:szCs w:val="20"/>
              </w:rPr>
              <w:t xml:space="preserve">EU </w:t>
            </w:r>
            <w:r w:rsidR="00D6453B" w:rsidRPr="0032199A">
              <w:rPr>
                <w:noProof/>
                <w:sz w:val="20"/>
                <w:szCs w:val="20"/>
              </w:rPr>
              <w:t>network operation and service provision</w:t>
            </w:r>
          </w:p>
          <w:p w14:paraId="370B6E1F" w14:textId="77777777" w:rsidR="00FB60EC" w:rsidRPr="0032199A" w:rsidRDefault="00FB60EC" w:rsidP="00EE616F">
            <w:pPr>
              <w:spacing w:after="120"/>
              <w:rPr>
                <w:noProof/>
                <w:sz w:val="20"/>
                <w:szCs w:val="20"/>
              </w:rPr>
            </w:pPr>
          </w:p>
          <w:p w14:paraId="51A18FED" w14:textId="0EF5E27E" w:rsidR="00612624" w:rsidRPr="0032199A" w:rsidRDefault="00FB60EC" w:rsidP="00EE616F">
            <w:pPr>
              <w:spacing w:after="120"/>
              <w:rPr>
                <w:noProof/>
                <w:color w:val="000000" w:themeColor="text1"/>
                <w:sz w:val="20"/>
                <w:szCs w:val="20"/>
                <w:lang w:val="en-US"/>
              </w:rPr>
            </w:pPr>
            <w:r w:rsidRPr="0032199A">
              <w:rPr>
                <w:noProof/>
                <w:sz w:val="20"/>
                <w:szCs w:val="20"/>
              </w:rPr>
              <w:t>Satellite spectrum authorisation</w:t>
            </w:r>
            <w:r w:rsidR="00D6453B" w:rsidRPr="0032199A">
              <w:rPr>
                <w:noProof/>
                <w:sz w:val="20"/>
                <w:szCs w:val="20"/>
              </w:rPr>
              <w:t xml:space="preserve"> </w:t>
            </w:r>
          </w:p>
        </w:tc>
        <w:tc>
          <w:tcPr>
            <w:tcW w:w="1890" w:type="dxa"/>
            <w:tcBorders>
              <w:top w:val="single" w:sz="4" w:space="0" w:color="auto"/>
              <w:left w:val="single" w:sz="4" w:space="0" w:color="auto"/>
              <w:bottom w:val="single" w:sz="4" w:space="0" w:color="auto"/>
              <w:right w:val="single" w:sz="4" w:space="0" w:color="auto"/>
            </w:tcBorders>
            <w:tcMar>
              <w:left w:w="0" w:type="dxa"/>
              <w:right w:w="0" w:type="dxa"/>
            </w:tcMar>
          </w:tcPr>
          <w:p w14:paraId="3E1B61CC" w14:textId="28660380" w:rsidR="00612624" w:rsidRPr="0032199A" w:rsidRDefault="00612624" w:rsidP="00EE616F">
            <w:pPr>
              <w:spacing w:after="120"/>
              <w:ind w:left="92" w:right="97"/>
              <w:rPr>
                <w:noProof/>
                <w:color w:val="000000" w:themeColor="text1"/>
                <w:sz w:val="20"/>
                <w:szCs w:val="20"/>
                <w:lang w:val="en-US"/>
              </w:rPr>
            </w:pPr>
            <w:r w:rsidRPr="0032199A">
              <w:rPr>
                <w:b/>
                <w:bCs/>
                <w:noProof/>
                <w:sz w:val="20"/>
                <w:szCs w:val="20"/>
              </w:rPr>
              <w:t xml:space="preserve">EC </w:t>
            </w:r>
            <w:r w:rsidRPr="0032199A">
              <w:rPr>
                <w:noProof/>
                <w:sz w:val="20"/>
                <w:szCs w:val="20"/>
              </w:rPr>
              <w:t>empowered to conduct</w:t>
            </w:r>
            <w:r w:rsidRPr="0032199A">
              <w:rPr>
                <w:b/>
                <w:bCs/>
                <w:noProof/>
                <w:sz w:val="20"/>
                <w:szCs w:val="20"/>
              </w:rPr>
              <w:t xml:space="preserve"> selection procedure</w:t>
            </w:r>
            <w:r w:rsidRPr="0032199A">
              <w:rPr>
                <w:noProof/>
                <w:sz w:val="20"/>
                <w:szCs w:val="20"/>
              </w:rPr>
              <w:t xml:space="preserve"> for licencing </w:t>
            </w:r>
            <w:r w:rsidRPr="0032199A">
              <w:rPr>
                <w:b/>
                <w:bCs/>
                <w:noProof/>
                <w:sz w:val="20"/>
                <w:szCs w:val="20"/>
              </w:rPr>
              <w:t>satellite spectrum</w:t>
            </w:r>
            <w:r w:rsidRPr="0032199A">
              <w:rPr>
                <w:noProof/>
                <w:sz w:val="20"/>
                <w:szCs w:val="20"/>
              </w:rPr>
              <w:t xml:space="preserve"> for </w:t>
            </w:r>
            <w:r w:rsidRPr="0032199A">
              <w:rPr>
                <w:b/>
                <w:bCs/>
                <w:noProof/>
                <w:sz w:val="20"/>
                <w:szCs w:val="20"/>
              </w:rPr>
              <w:t xml:space="preserve">pan-EU services; </w:t>
            </w:r>
            <w:r w:rsidRPr="0032199A">
              <w:rPr>
                <w:noProof/>
                <w:sz w:val="20"/>
                <w:szCs w:val="20"/>
              </w:rPr>
              <w:t xml:space="preserve">however, spectrum assigned at national level under </w:t>
            </w:r>
            <w:r w:rsidR="00B127BC" w:rsidRPr="0032199A">
              <w:rPr>
                <w:b/>
                <w:bCs/>
                <w:noProof/>
                <w:sz w:val="20"/>
                <w:szCs w:val="20"/>
              </w:rPr>
              <w:t>common template</w:t>
            </w:r>
            <w:r w:rsidR="00B127BC" w:rsidRPr="0032199A">
              <w:rPr>
                <w:noProof/>
                <w:sz w:val="20"/>
                <w:szCs w:val="20"/>
              </w:rPr>
              <w:t xml:space="preserve"> for authorisation conditions</w:t>
            </w:r>
          </w:p>
        </w:tc>
        <w:tc>
          <w:tcPr>
            <w:tcW w:w="2560" w:type="dxa"/>
            <w:tcBorders>
              <w:top w:val="single" w:sz="4" w:space="0" w:color="auto"/>
              <w:left w:val="single" w:sz="4" w:space="0" w:color="auto"/>
              <w:bottom w:val="single" w:sz="4" w:space="0" w:color="auto"/>
              <w:right w:val="single" w:sz="4" w:space="0" w:color="auto"/>
            </w:tcBorders>
            <w:tcMar>
              <w:left w:w="0" w:type="dxa"/>
              <w:right w:w="0" w:type="dxa"/>
            </w:tcMar>
          </w:tcPr>
          <w:p w14:paraId="21B00D48" w14:textId="6CA113DF" w:rsidR="00612624" w:rsidRPr="0032199A" w:rsidRDefault="00612624" w:rsidP="00EE616F">
            <w:pPr>
              <w:spacing w:after="120"/>
              <w:ind w:left="45" w:right="96"/>
              <w:rPr>
                <w:rStyle w:val="normaltextrun"/>
                <w:rFonts w:eastAsiaTheme="minorHAnsi"/>
                <w:noProof/>
                <w:color w:val="000000" w:themeColor="text1"/>
                <w:sz w:val="20"/>
                <w:szCs w:val="20"/>
                <w:lang w:eastAsia="en-US"/>
              </w:rPr>
            </w:pPr>
            <w:r w:rsidRPr="0032199A">
              <w:rPr>
                <w:rStyle w:val="normaltextrun"/>
                <w:b/>
                <w:bCs/>
                <w:noProof/>
                <w:color w:val="000000" w:themeColor="text1"/>
                <w:sz w:val="20"/>
                <w:szCs w:val="20"/>
              </w:rPr>
              <w:t>Simplified authorisation at EU level for satellite spectrum</w:t>
            </w:r>
            <w:r w:rsidRPr="0032199A">
              <w:rPr>
                <w:rStyle w:val="normaltextrun"/>
                <w:noProof/>
                <w:color w:val="000000" w:themeColor="text1"/>
                <w:sz w:val="20"/>
                <w:szCs w:val="20"/>
              </w:rPr>
              <w:t>:</w:t>
            </w:r>
          </w:p>
          <w:p w14:paraId="79FA417E" w14:textId="77777777" w:rsidR="00612624" w:rsidRPr="0032199A" w:rsidRDefault="00612624" w:rsidP="00EE616F">
            <w:pPr>
              <w:pStyle w:val="ListParagraph"/>
              <w:numPr>
                <w:ilvl w:val="0"/>
                <w:numId w:val="73"/>
              </w:numPr>
              <w:spacing w:after="120"/>
              <w:ind w:left="45" w:right="96" w:hanging="237"/>
              <w:rPr>
                <w:rStyle w:val="normaltextrun"/>
                <w:rFonts w:eastAsiaTheme="minorHAnsi"/>
                <w:noProof/>
                <w:color w:val="000000" w:themeColor="text1"/>
                <w:sz w:val="20"/>
                <w:szCs w:val="20"/>
                <w:lang w:eastAsia="en-US"/>
              </w:rPr>
            </w:pPr>
            <w:r w:rsidRPr="0032199A">
              <w:rPr>
                <w:rStyle w:val="normaltextrun"/>
                <w:noProof/>
                <w:color w:val="000000" w:themeColor="text1"/>
                <w:sz w:val="20"/>
                <w:szCs w:val="20"/>
              </w:rPr>
              <w:t>EC empowered to</w:t>
            </w:r>
            <w:r w:rsidRPr="0032199A">
              <w:rPr>
                <w:noProof/>
                <w:sz w:val="20"/>
                <w:szCs w:val="20"/>
              </w:rPr>
              <w:t xml:space="preserve"> </w:t>
            </w:r>
            <w:r w:rsidRPr="0032199A">
              <w:rPr>
                <w:rStyle w:val="normaltextrun"/>
                <w:b/>
                <w:bCs/>
                <w:noProof/>
                <w:color w:val="000000" w:themeColor="text1"/>
                <w:sz w:val="20"/>
                <w:szCs w:val="20"/>
              </w:rPr>
              <w:t>issue declarations</w:t>
            </w:r>
            <w:r w:rsidRPr="0032199A">
              <w:rPr>
                <w:rStyle w:val="normaltextrun"/>
                <w:noProof/>
                <w:color w:val="000000" w:themeColor="text1"/>
                <w:sz w:val="20"/>
                <w:szCs w:val="20"/>
              </w:rPr>
              <w:t xml:space="preserve"> to provide satellite networks or services and </w:t>
            </w:r>
            <w:r w:rsidRPr="0032199A">
              <w:rPr>
                <w:rStyle w:val="normaltextrun"/>
                <w:b/>
                <w:bCs/>
                <w:noProof/>
                <w:color w:val="000000" w:themeColor="text1"/>
                <w:sz w:val="20"/>
                <w:szCs w:val="20"/>
              </w:rPr>
              <w:t>authorisations to use relevant spectrum</w:t>
            </w:r>
            <w:r w:rsidRPr="0032199A">
              <w:rPr>
                <w:rStyle w:val="normaltextrun"/>
                <w:noProof/>
                <w:color w:val="000000" w:themeColor="text1"/>
                <w:sz w:val="20"/>
                <w:szCs w:val="20"/>
              </w:rPr>
              <w:t xml:space="preserve"> including individual rights of use of spectrum, in the relevant Member States or the entire EU </w:t>
            </w:r>
          </w:p>
          <w:p w14:paraId="10AF83C6" w14:textId="77777777" w:rsidR="00612624" w:rsidRPr="0032199A" w:rsidRDefault="00612624" w:rsidP="00EE616F">
            <w:pPr>
              <w:pStyle w:val="ListParagraph"/>
              <w:numPr>
                <w:ilvl w:val="0"/>
                <w:numId w:val="73"/>
              </w:numPr>
              <w:spacing w:after="120"/>
              <w:ind w:left="45" w:right="96" w:hanging="237"/>
              <w:rPr>
                <w:b/>
                <w:bCs/>
                <w:noProof/>
                <w:sz w:val="20"/>
                <w:szCs w:val="20"/>
              </w:rPr>
            </w:pPr>
            <w:r w:rsidRPr="0032199A">
              <w:rPr>
                <w:b/>
                <w:bCs/>
                <w:noProof/>
                <w:sz w:val="20"/>
                <w:szCs w:val="20"/>
              </w:rPr>
              <w:t>Full harmonisation of authorisation conditions</w:t>
            </w:r>
          </w:p>
          <w:p w14:paraId="385F064B" w14:textId="77777777" w:rsidR="00612624" w:rsidRPr="0032199A" w:rsidRDefault="00612624" w:rsidP="00EE616F">
            <w:pPr>
              <w:pStyle w:val="ListParagraph"/>
              <w:numPr>
                <w:ilvl w:val="0"/>
                <w:numId w:val="73"/>
              </w:numPr>
              <w:spacing w:after="120"/>
              <w:ind w:left="45" w:right="96" w:hanging="237"/>
              <w:rPr>
                <w:b/>
                <w:bCs/>
                <w:noProof/>
                <w:sz w:val="20"/>
                <w:szCs w:val="20"/>
              </w:rPr>
            </w:pPr>
            <w:r w:rsidRPr="0032199A">
              <w:rPr>
                <w:b/>
                <w:bCs/>
                <w:noProof/>
                <w:sz w:val="20"/>
                <w:szCs w:val="20"/>
              </w:rPr>
              <w:t xml:space="preserve">Selection at EU level </w:t>
            </w:r>
            <w:r w:rsidRPr="0032199A">
              <w:rPr>
                <w:noProof/>
                <w:sz w:val="20"/>
                <w:szCs w:val="20"/>
              </w:rPr>
              <w:t xml:space="preserve">in case of spectrum scarcity </w:t>
            </w:r>
          </w:p>
          <w:p w14:paraId="3B839BC3" w14:textId="3ABF378D" w:rsidR="00612624" w:rsidRPr="0032199A" w:rsidRDefault="00310396" w:rsidP="00EE616F">
            <w:pPr>
              <w:spacing w:after="120"/>
              <w:ind w:left="45" w:right="96"/>
              <w:rPr>
                <w:noProof/>
                <w:color w:val="000000" w:themeColor="text1"/>
                <w:sz w:val="20"/>
                <w:szCs w:val="20"/>
                <w:lang w:val="en-US"/>
              </w:rPr>
            </w:pPr>
            <w:r w:rsidRPr="0032199A">
              <w:rPr>
                <w:bCs/>
                <w:noProof/>
                <w:sz w:val="20"/>
                <w:szCs w:val="20"/>
              </w:rPr>
              <w:t xml:space="preserve">Binding </w:t>
            </w:r>
            <w:r w:rsidRPr="0032199A">
              <w:rPr>
                <w:b/>
                <w:bCs/>
                <w:noProof/>
                <w:sz w:val="20"/>
                <w:szCs w:val="20"/>
              </w:rPr>
              <w:t>EU-level compliance and enforcement framework</w:t>
            </w:r>
            <w:r w:rsidRPr="0032199A">
              <w:rPr>
                <w:bCs/>
                <w:noProof/>
                <w:sz w:val="20"/>
                <w:szCs w:val="20"/>
              </w:rPr>
              <w:t xml:space="preserve"> for access to the EU market, with possibility of authorisation withdrawal for the entire Single Market</w:t>
            </w:r>
          </w:p>
        </w:tc>
        <w:tc>
          <w:tcPr>
            <w:tcW w:w="2582" w:type="dxa"/>
            <w:tcBorders>
              <w:top w:val="single" w:sz="4" w:space="0" w:color="auto"/>
              <w:left w:val="single" w:sz="4" w:space="0" w:color="auto"/>
              <w:bottom w:val="single" w:sz="4" w:space="0" w:color="auto"/>
              <w:right w:val="single" w:sz="4" w:space="0" w:color="auto"/>
            </w:tcBorders>
            <w:tcMar>
              <w:left w:w="0" w:type="dxa"/>
              <w:right w:w="0" w:type="dxa"/>
            </w:tcMar>
          </w:tcPr>
          <w:p w14:paraId="22B3B0BD" w14:textId="3B2FF5F3" w:rsidR="00612624" w:rsidRPr="0032199A" w:rsidRDefault="00612624" w:rsidP="00EE616F">
            <w:pPr>
              <w:spacing w:after="120"/>
              <w:ind w:left="32"/>
              <w:rPr>
                <w:rStyle w:val="normaltextrun"/>
                <w:rFonts w:eastAsiaTheme="minorHAnsi"/>
                <w:noProof/>
                <w:sz w:val="20"/>
                <w:szCs w:val="20"/>
                <w:lang w:eastAsia="en-US"/>
              </w:rPr>
            </w:pPr>
            <w:r w:rsidRPr="0032199A">
              <w:rPr>
                <w:rStyle w:val="normaltextrun"/>
                <w:b/>
                <w:bCs/>
                <w:noProof/>
                <w:sz w:val="20"/>
                <w:szCs w:val="20"/>
              </w:rPr>
              <w:t>EC</w:t>
            </w:r>
            <w:r w:rsidRPr="0032199A">
              <w:rPr>
                <w:rStyle w:val="normaltextrun"/>
                <w:noProof/>
                <w:sz w:val="20"/>
                <w:szCs w:val="20"/>
              </w:rPr>
              <w:t xml:space="preserve"> empowered to </w:t>
            </w:r>
            <w:r w:rsidRPr="0032199A">
              <w:rPr>
                <w:rStyle w:val="normaltextrun"/>
                <w:b/>
                <w:bCs/>
                <w:noProof/>
                <w:sz w:val="20"/>
                <w:szCs w:val="20"/>
              </w:rPr>
              <w:t>conduct a selection procedure</w:t>
            </w:r>
            <w:r w:rsidRPr="0032199A">
              <w:rPr>
                <w:rStyle w:val="normaltextrun"/>
                <w:noProof/>
                <w:sz w:val="20"/>
                <w:szCs w:val="20"/>
              </w:rPr>
              <w:t xml:space="preserve"> for licensees of </w:t>
            </w:r>
            <w:r w:rsidR="00CA2921" w:rsidRPr="0032199A">
              <w:rPr>
                <w:rStyle w:val="normaltextrun"/>
                <w:noProof/>
                <w:sz w:val="20"/>
                <w:szCs w:val="20"/>
              </w:rPr>
              <w:t>MSS</w:t>
            </w:r>
            <w:r w:rsidRPr="0032199A">
              <w:rPr>
                <w:rStyle w:val="normaltextrun"/>
                <w:noProof/>
                <w:sz w:val="20"/>
                <w:szCs w:val="20"/>
              </w:rPr>
              <w:t xml:space="preserve"> satellite spectrum for the </w:t>
            </w:r>
            <w:r w:rsidRPr="0032199A">
              <w:rPr>
                <w:rStyle w:val="normaltextrun"/>
                <w:b/>
                <w:bCs/>
                <w:noProof/>
                <w:sz w:val="20"/>
                <w:szCs w:val="20"/>
              </w:rPr>
              <w:t>provision of pan-European services</w:t>
            </w:r>
          </w:p>
          <w:p w14:paraId="62900352" w14:textId="77777777" w:rsidR="00612624" w:rsidRPr="0032199A" w:rsidRDefault="00612624" w:rsidP="00EE616F">
            <w:pPr>
              <w:spacing w:after="120"/>
              <w:ind w:left="32"/>
              <w:rPr>
                <w:rStyle w:val="normaltextrun"/>
                <w:rFonts w:eastAsiaTheme="minorHAnsi"/>
                <w:noProof/>
                <w:sz w:val="20"/>
                <w:szCs w:val="20"/>
                <w:lang w:eastAsia="en-US"/>
              </w:rPr>
            </w:pPr>
            <w:r w:rsidRPr="0032199A">
              <w:rPr>
                <w:b/>
                <w:bCs/>
                <w:noProof/>
                <w:sz w:val="20"/>
                <w:szCs w:val="20"/>
              </w:rPr>
              <w:t>EC</w:t>
            </w:r>
            <w:r w:rsidRPr="0032199A">
              <w:rPr>
                <w:noProof/>
                <w:sz w:val="20"/>
                <w:szCs w:val="20"/>
              </w:rPr>
              <w:t xml:space="preserve"> supported by RSPG and BEREC Office to set </w:t>
            </w:r>
            <w:r w:rsidRPr="0032199A">
              <w:rPr>
                <w:b/>
                <w:bCs/>
                <w:noProof/>
                <w:sz w:val="20"/>
                <w:szCs w:val="20"/>
              </w:rPr>
              <w:t>common requirements</w:t>
            </w:r>
            <w:r w:rsidRPr="0032199A">
              <w:rPr>
                <w:noProof/>
                <w:sz w:val="20"/>
                <w:szCs w:val="20"/>
              </w:rPr>
              <w:t xml:space="preserve"> for access to EU satellite market and </w:t>
            </w:r>
            <w:r w:rsidRPr="0032199A">
              <w:rPr>
                <w:rStyle w:val="normaltextrun"/>
                <w:noProof/>
                <w:sz w:val="20"/>
                <w:szCs w:val="20"/>
              </w:rPr>
              <w:t xml:space="preserve">create a </w:t>
            </w:r>
            <w:r w:rsidRPr="0032199A">
              <w:rPr>
                <w:rStyle w:val="normaltextrun"/>
                <w:b/>
                <w:bCs/>
                <w:noProof/>
                <w:sz w:val="20"/>
                <w:szCs w:val="20"/>
              </w:rPr>
              <w:t>coordinated compliance and common enforcement mechanism</w:t>
            </w:r>
          </w:p>
          <w:p w14:paraId="42FB5AB6" w14:textId="49DC57A0" w:rsidR="00612624" w:rsidRPr="0032199A" w:rsidRDefault="00612624" w:rsidP="00EE616F">
            <w:pPr>
              <w:spacing w:after="120"/>
              <w:ind w:left="32"/>
              <w:rPr>
                <w:noProof/>
                <w:color w:val="000000" w:themeColor="text1"/>
                <w:sz w:val="20"/>
                <w:szCs w:val="20"/>
                <w:lang w:val="en-US"/>
              </w:rPr>
            </w:pPr>
            <w:r w:rsidRPr="0032199A">
              <w:rPr>
                <w:rStyle w:val="normaltextrun"/>
                <w:b/>
                <w:bCs/>
                <w:noProof/>
                <w:sz w:val="20"/>
                <w:szCs w:val="20"/>
              </w:rPr>
              <w:t>Country of origin</w:t>
            </w:r>
            <w:r w:rsidRPr="0032199A">
              <w:rPr>
                <w:rStyle w:val="normaltextrun"/>
                <w:noProof/>
                <w:sz w:val="20"/>
                <w:szCs w:val="20"/>
              </w:rPr>
              <w:t xml:space="preserve"> issues the </w:t>
            </w:r>
            <w:r w:rsidRPr="0032199A">
              <w:rPr>
                <w:rStyle w:val="normaltextrun"/>
                <w:b/>
                <w:bCs/>
                <w:noProof/>
                <w:sz w:val="20"/>
                <w:szCs w:val="20"/>
              </w:rPr>
              <w:t>rights of use</w:t>
            </w:r>
            <w:r w:rsidRPr="0032199A">
              <w:rPr>
                <w:rStyle w:val="normaltextrun"/>
                <w:noProof/>
                <w:sz w:val="20"/>
                <w:szCs w:val="20"/>
              </w:rPr>
              <w:t xml:space="preserve"> following the common requirements and </w:t>
            </w:r>
            <w:r w:rsidRPr="0032199A">
              <w:rPr>
                <w:rStyle w:val="normaltextrun"/>
                <w:b/>
                <w:bCs/>
                <w:noProof/>
                <w:sz w:val="20"/>
                <w:szCs w:val="20"/>
              </w:rPr>
              <w:t>imposes sanctions</w:t>
            </w:r>
            <w:r w:rsidRPr="0032199A">
              <w:rPr>
                <w:rStyle w:val="normaltextrun"/>
                <w:noProof/>
                <w:sz w:val="20"/>
                <w:szCs w:val="20"/>
              </w:rPr>
              <w:t xml:space="preserve"> in case of non-compliance</w:t>
            </w:r>
          </w:p>
        </w:tc>
      </w:tr>
    </w:tbl>
    <w:p w14:paraId="4E9C73FB" w14:textId="24EFE31C" w:rsidR="00C840EF" w:rsidRPr="00DE264C" w:rsidRDefault="549AF43C" w:rsidP="00023AFB">
      <w:pPr>
        <w:spacing w:before="240" w:line="240" w:lineRule="auto"/>
        <w:rPr>
          <w:rFonts w:eastAsia="Times New Roman"/>
          <w:noProof/>
        </w:rPr>
      </w:pPr>
      <w:r>
        <w:rPr>
          <w:noProof/>
        </w:rPr>
        <w:t xml:space="preserve">For detailed description of the policy options, see </w:t>
      </w:r>
      <w:r w:rsidR="5AB09ED7">
        <w:rPr>
          <w:noProof/>
        </w:rPr>
        <w:t>s</w:t>
      </w:r>
      <w:r w:rsidR="00440740">
        <w:rPr>
          <w:noProof/>
        </w:rPr>
        <w:t>ection</w:t>
      </w:r>
      <w:r>
        <w:rPr>
          <w:noProof/>
        </w:rPr>
        <w:t xml:space="preserve"> 3 of Annex 8.</w:t>
      </w:r>
    </w:p>
    <w:p w14:paraId="4E043E0F" w14:textId="05A5D8C7" w:rsidR="0047604A" w:rsidRPr="00DE264C" w:rsidRDefault="0047604A" w:rsidP="00023AFB">
      <w:pPr>
        <w:spacing w:line="240" w:lineRule="auto"/>
        <w:rPr>
          <w:rFonts w:eastAsia="Times New Roman"/>
          <w:noProof/>
        </w:rPr>
      </w:pPr>
      <w:r w:rsidRPr="00DE264C">
        <w:rPr>
          <w:rFonts w:eastAsia="Times New Roman"/>
          <w:noProof/>
        </w:rPr>
        <w:t>Other relevant DNA rules, which can represent barriers to cross-border operation, such as end-users rules would be streamlined, with less possibilities for Member States to derogate</w:t>
      </w:r>
      <w:r w:rsidR="002D41EE" w:rsidRPr="00DE264C">
        <w:rPr>
          <w:rFonts w:eastAsia="Times New Roman"/>
          <w:noProof/>
        </w:rPr>
        <w:t xml:space="preserve">, while keeping strong </w:t>
      </w:r>
      <w:r w:rsidR="0066729A" w:rsidRPr="00DE264C">
        <w:rPr>
          <w:rFonts w:eastAsia="Times New Roman"/>
          <w:noProof/>
        </w:rPr>
        <w:t>protection for consumers</w:t>
      </w:r>
      <w:r w:rsidRPr="00DE264C">
        <w:rPr>
          <w:rFonts w:eastAsia="Times New Roman"/>
          <w:noProof/>
        </w:rPr>
        <w:t>.</w:t>
      </w:r>
    </w:p>
    <w:p w14:paraId="040DFEEE" w14:textId="77777777" w:rsidR="00D93E57" w:rsidRPr="00DE264C" w:rsidRDefault="00D93E57" w:rsidP="00990255">
      <w:pPr>
        <w:pStyle w:val="Heading3"/>
        <w:spacing w:before="240"/>
        <w:ind w:left="850"/>
        <w:rPr>
          <w:noProof/>
        </w:rPr>
      </w:pPr>
      <w:bookmarkStart w:id="219" w:name="_Toc214467728"/>
      <w:bookmarkStart w:id="220" w:name="_Toc215083751"/>
      <w:bookmarkStart w:id="221" w:name="_Toc219212518"/>
      <w:bookmarkStart w:id="222" w:name="_Toc219718173"/>
      <w:r w:rsidRPr="00DE264C">
        <w:rPr>
          <w:noProof/>
        </w:rPr>
        <w:t>Governance</w:t>
      </w:r>
      <w:bookmarkEnd w:id="219"/>
      <w:bookmarkEnd w:id="220"/>
      <w:bookmarkEnd w:id="221"/>
      <w:bookmarkEnd w:id="222"/>
      <w:r w:rsidRPr="00DE264C">
        <w:rPr>
          <w:noProof/>
        </w:rPr>
        <w:t xml:space="preserve"> </w:t>
      </w:r>
    </w:p>
    <w:p w14:paraId="347E8F4A" w14:textId="7EF54DD8" w:rsidR="00B84568" w:rsidRPr="00DE264C" w:rsidRDefault="00BE6783" w:rsidP="00F87C05">
      <w:pPr>
        <w:spacing w:line="240" w:lineRule="auto"/>
        <w:rPr>
          <w:noProof/>
          <w:lang w:val="en-IE"/>
        </w:rPr>
      </w:pPr>
      <w:r w:rsidRPr="006702BD">
        <w:rPr>
          <w:noProof/>
        </w:rPr>
        <w:t xml:space="preserve">Key aim of this intervention </w:t>
      </w:r>
      <w:r w:rsidRPr="006702BD">
        <w:rPr>
          <w:noProof/>
          <w:color w:val="000000" w:themeColor="text1"/>
        </w:rPr>
        <w:t>area</w:t>
      </w:r>
      <w:r w:rsidRPr="006702BD">
        <w:rPr>
          <w:noProof/>
        </w:rPr>
        <w:t xml:space="preserve"> is to create a governance system both for market regulation and spectrum </w:t>
      </w:r>
      <w:r w:rsidR="00DF6CE0" w:rsidRPr="006702BD">
        <w:rPr>
          <w:noProof/>
        </w:rPr>
        <w:t xml:space="preserve">management </w:t>
      </w:r>
      <w:r w:rsidRPr="006702BD">
        <w:rPr>
          <w:noProof/>
        </w:rPr>
        <w:t xml:space="preserve">that is suitable for the new EU level tasks with Single Market dimension </w:t>
      </w:r>
      <w:r w:rsidR="00452EF2" w:rsidRPr="006702BD">
        <w:rPr>
          <w:noProof/>
        </w:rPr>
        <w:t xml:space="preserve">and </w:t>
      </w:r>
      <w:r w:rsidR="002E001D" w:rsidRPr="006702BD">
        <w:rPr>
          <w:noProof/>
        </w:rPr>
        <w:t>allows for decision taking on the most efficient level.</w:t>
      </w:r>
      <w:r w:rsidRPr="006702BD">
        <w:rPr>
          <w:noProof/>
        </w:rPr>
        <w:t xml:space="preserve"> </w:t>
      </w:r>
      <w:r w:rsidR="00F4767D" w:rsidRPr="006702BD">
        <w:rPr>
          <w:noProof/>
        </w:rPr>
        <w:t>Apart from addressing the specific objective of adjusting regulatory competences and roles to deepen the Single Market for connectivity, the options aim to accommodate the tasks stemming from preferred options in other policy areas in the best way possible in line with the specific objective.</w:t>
      </w:r>
    </w:p>
    <w:p w14:paraId="7752458A" w14:textId="5ED900D2" w:rsidR="008B2C0C" w:rsidRPr="00507AAC" w:rsidRDefault="008B2C0C" w:rsidP="00292895">
      <w:pPr>
        <w:spacing w:after="120"/>
        <w:rPr>
          <w:rFonts w:eastAsiaTheme="minorEastAsia"/>
          <w:i/>
          <w:noProof/>
          <w:u w:val="single"/>
        </w:rPr>
      </w:pPr>
      <w:r w:rsidRPr="00507AAC">
        <w:rPr>
          <w:i/>
          <w:noProof/>
          <w:u w:val="single"/>
        </w:rPr>
        <w:t>Table 1</w:t>
      </w:r>
      <w:r w:rsidR="009E7C22">
        <w:rPr>
          <w:i/>
          <w:noProof/>
          <w:u w:val="single"/>
        </w:rPr>
        <w:t>7</w:t>
      </w:r>
      <w:r w:rsidRPr="00507AAC">
        <w:rPr>
          <w:i/>
          <w:noProof/>
          <w:u w:val="single"/>
        </w:rPr>
        <w:t>: Governance options and links to the problem driver and specific objective</w:t>
      </w:r>
    </w:p>
    <w:tbl>
      <w:tblPr>
        <w:tblStyle w:val="TableGrid"/>
        <w:tblW w:w="5000" w:type="pct"/>
        <w:tblInd w:w="0"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1211"/>
        <w:gridCol w:w="1245"/>
        <w:gridCol w:w="2354"/>
        <w:gridCol w:w="2354"/>
        <w:gridCol w:w="2429"/>
      </w:tblGrid>
      <w:tr w:rsidR="00194EEA" w:rsidRPr="00D54119" w14:paraId="6CE77A1D" w14:textId="77777777" w:rsidTr="00DE264C">
        <w:trPr>
          <w:trHeight w:val="300"/>
          <w:tblHeader/>
        </w:trPr>
        <w:tc>
          <w:tcPr>
            <w:tcW w:w="631" w:type="pct"/>
            <w:vMerge w:val="restart"/>
            <w:tcMar>
              <w:left w:w="105" w:type="dxa"/>
              <w:right w:w="105" w:type="dxa"/>
            </w:tcMar>
          </w:tcPr>
          <w:p w14:paraId="3E5D0301" w14:textId="77777777" w:rsidR="00F20D82" w:rsidRPr="00D54119" w:rsidRDefault="00F20D82" w:rsidP="00292895">
            <w:pPr>
              <w:spacing w:after="0"/>
              <w:rPr>
                <w:b/>
                <w:bCs/>
                <w:noProof/>
                <w:sz w:val="20"/>
                <w:szCs w:val="20"/>
              </w:rPr>
            </w:pPr>
            <w:r w:rsidRPr="006702BD">
              <w:rPr>
                <w:b/>
                <w:noProof/>
                <w:sz w:val="20"/>
              </w:rPr>
              <w:t>Problem drivers</w:t>
            </w:r>
          </w:p>
        </w:tc>
        <w:tc>
          <w:tcPr>
            <w:tcW w:w="649" w:type="pct"/>
            <w:vMerge w:val="restart"/>
            <w:tcMar>
              <w:left w:w="105" w:type="dxa"/>
              <w:right w:w="105" w:type="dxa"/>
            </w:tcMar>
          </w:tcPr>
          <w:p w14:paraId="114923F1" w14:textId="77777777" w:rsidR="00F20D82" w:rsidRPr="00D54119" w:rsidRDefault="00F20D82" w:rsidP="00292895">
            <w:pPr>
              <w:spacing w:after="0"/>
              <w:rPr>
                <w:b/>
                <w:bCs/>
                <w:noProof/>
                <w:sz w:val="20"/>
                <w:szCs w:val="20"/>
              </w:rPr>
            </w:pPr>
            <w:r w:rsidRPr="006702BD">
              <w:rPr>
                <w:b/>
                <w:noProof/>
                <w:sz w:val="20"/>
              </w:rPr>
              <w:t>Specific policy objectives</w:t>
            </w:r>
          </w:p>
        </w:tc>
        <w:tc>
          <w:tcPr>
            <w:tcW w:w="3720" w:type="pct"/>
            <w:gridSpan w:val="3"/>
            <w:tcMar>
              <w:left w:w="105" w:type="dxa"/>
              <w:right w:w="105" w:type="dxa"/>
            </w:tcMar>
          </w:tcPr>
          <w:p w14:paraId="3DF4A194" w14:textId="77777777" w:rsidR="00F20D82" w:rsidRPr="00D54119" w:rsidRDefault="00F20D82" w:rsidP="00D54119">
            <w:pPr>
              <w:spacing w:after="0"/>
              <w:ind w:right="360"/>
              <w:jc w:val="center"/>
              <w:rPr>
                <w:b/>
                <w:bCs/>
                <w:noProof/>
                <w:sz w:val="20"/>
                <w:szCs w:val="20"/>
              </w:rPr>
            </w:pPr>
            <w:r w:rsidRPr="006702BD">
              <w:rPr>
                <w:b/>
                <w:noProof/>
                <w:sz w:val="20"/>
              </w:rPr>
              <w:t>Policy options</w:t>
            </w:r>
          </w:p>
        </w:tc>
      </w:tr>
      <w:tr w:rsidR="00D645A1" w:rsidRPr="00D54119" w14:paraId="6D295846" w14:textId="77777777" w:rsidTr="00DE264C">
        <w:trPr>
          <w:trHeight w:val="300"/>
          <w:tblHeader/>
        </w:trPr>
        <w:tc>
          <w:tcPr>
            <w:tcW w:w="631" w:type="pct"/>
            <w:vMerge/>
            <w:tcMar>
              <w:left w:w="105" w:type="dxa"/>
              <w:right w:w="105" w:type="dxa"/>
            </w:tcMar>
          </w:tcPr>
          <w:p w14:paraId="07449217" w14:textId="77777777" w:rsidR="00F20D82" w:rsidRPr="00D54119" w:rsidRDefault="00F20D82" w:rsidP="001F43B2">
            <w:pPr>
              <w:spacing w:after="0"/>
              <w:rPr>
                <w:b/>
                <w:bCs/>
                <w:noProof/>
                <w:sz w:val="20"/>
                <w:szCs w:val="20"/>
              </w:rPr>
            </w:pPr>
          </w:p>
        </w:tc>
        <w:tc>
          <w:tcPr>
            <w:tcW w:w="649" w:type="pct"/>
            <w:vMerge/>
            <w:tcMar>
              <w:left w:w="105" w:type="dxa"/>
              <w:right w:w="105" w:type="dxa"/>
            </w:tcMar>
          </w:tcPr>
          <w:p w14:paraId="6CA53107" w14:textId="77777777" w:rsidR="00F20D82" w:rsidRPr="00D54119" w:rsidRDefault="00F20D82" w:rsidP="001F43B2">
            <w:pPr>
              <w:spacing w:after="0"/>
              <w:rPr>
                <w:b/>
                <w:bCs/>
                <w:noProof/>
                <w:sz w:val="20"/>
                <w:szCs w:val="20"/>
              </w:rPr>
            </w:pPr>
          </w:p>
        </w:tc>
        <w:tc>
          <w:tcPr>
            <w:tcW w:w="1227" w:type="pct"/>
          </w:tcPr>
          <w:p w14:paraId="1856CDFC" w14:textId="77777777" w:rsidR="00F20D82" w:rsidRPr="00D54119" w:rsidRDefault="00F20D82" w:rsidP="00292895">
            <w:pPr>
              <w:spacing w:after="0"/>
              <w:rPr>
                <w:b/>
                <w:bCs/>
                <w:noProof/>
                <w:sz w:val="20"/>
                <w:szCs w:val="20"/>
              </w:rPr>
            </w:pPr>
            <w:r w:rsidRPr="006702BD">
              <w:rPr>
                <w:b/>
                <w:noProof/>
                <w:sz w:val="20"/>
              </w:rPr>
              <w:t xml:space="preserve">PO1: </w:t>
            </w:r>
            <w:r w:rsidRPr="006702BD">
              <w:rPr>
                <w:b/>
                <w:noProof/>
                <w:sz w:val="20"/>
                <w:lang w:val="en-US"/>
              </w:rPr>
              <w:br/>
            </w:r>
            <w:r w:rsidRPr="00D54119">
              <w:rPr>
                <w:b/>
                <w:bCs/>
                <w:noProof/>
                <w:sz w:val="20"/>
                <w:szCs w:val="20"/>
              </w:rPr>
              <w:t>BEREC and RSPG as two separate bodies supported by the BEREC Office</w:t>
            </w:r>
          </w:p>
        </w:tc>
        <w:tc>
          <w:tcPr>
            <w:tcW w:w="1227" w:type="pct"/>
            <w:tcMar>
              <w:left w:w="105" w:type="dxa"/>
              <w:right w:w="105" w:type="dxa"/>
            </w:tcMar>
          </w:tcPr>
          <w:p w14:paraId="5528FA83" w14:textId="48CC980D" w:rsidR="00F20D82" w:rsidRPr="00D54119" w:rsidRDefault="00F20D82" w:rsidP="00292895">
            <w:pPr>
              <w:spacing w:after="0"/>
              <w:rPr>
                <w:b/>
                <w:bCs/>
                <w:noProof/>
                <w:sz w:val="20"/>
                <w:szCs w:val="20"/>
                <w:lang w:val="en-US"/>
              </w:rPr>
            </w:pPr>
            <w:r w:rsidRPr="006702BD">
              <w:rPr>
                <w:b/>
                <w:noProof/>
                <w:sz w:val="20"/>
              </w:rPr>
              <w:t xml:space="preserve">PO2: </w:t>
            </w:r>
            <w:r w:rsidRPr="006702BD">
              <w:rPr>
                <w:b/>
                <w:noProof/>
                <w:sz w:val="20"/>
                <w:lang w:val="en-US"/>
              </w:rPr>
              <w:br/>
            </w:r>
            <w:r w:rsidRPr="00D54119">
              <w:rPr>
                <w:b/>
                <w:bCs/>
                <w:noProof/>
                <w:sz w:val="20"/>
                <w:szCs w:val="20"/>
              </w:rPr>
              <w:t>EU agency (BEREC and BEREC Office merged), providing an office to the RSPG</w:t>
            </w:r>
          </w:p>
        </w:tc>
        <w:tc>
          <w:tcPr>
            <w:tcW w:w="1266" w:type="pct"/>
            <w:tcMar>
              <w:left w:w="105" w:type="dxa"/>
              <w:right w:w="105" w:type="dxa"/>
            </w:tcMar>
          </w:tcPr>
          <w:p w14:paraId="201F55C0" w14:textId="77777777" w:rsidR="00F20D82" w:rsidRPr="00D54119" w:rsidRDefault="00F20D82" w:rsidP="00292895">
            <w:pPr>
              <w:spacing w:after="0"/>
              <w:rPr>
                <w:b/>
                <w:bCs/>
                <w:noProof/>
                <w:sz w:val="20"/>
                <w:szCs w:val="20"/>
              </w:rPr>
            </w:pPr>
            <w:r w:rsidRPr="006702BD">
              <w:rPr>
                <w:b/>
                <w:noProof/>
                <w:sz w:val="20"/>
              </w:rPr>
              <w:t xml:space="preserve">PO3: </w:t>
            </w:r>
            <w:r w:rsidRPr="006702BD">
              <w:rPr>
                <w:b/>
                <w:noProof/>
                <w:sz w:val="20"/>
                <w:lang w:val="en-US"/>
              </w:rPr>
              <w:br/>
            </w:r>
            <w:r w:rsidRPr="006702BD">
              <w:rPr>
                <w:b/>
                <w:noProof/>
                <w:sz w:val="20"/>
              </w:rPr>
              <w:t>Two separate agencies – BEREC + BEREC Office &amp; RSPG</w:t>
            </w:r>
            <w:r w:rsidRPr="006702BD">
              <w:rPr>
                <w:b/>
                <w:noProof/>
                <w:sz w:val="20"/>
                <w:lang w:val="en-US"/>
              </w:rPr>
              <w:br/>
            </w:r>
          </w:p>
        </w:tc>
      </w:tr>
      <w:tr w:rsidR="00D645A1" w:rsidRPr="00D54119" w14:paraId="0A44B0C3" w14:textId="77777777" w:rsidTr="001F43B2">
        <w:trPr>
          <w:trHeight w:val="300"/>
        </w:trPr>
        <w:tc>
          <w:tcPr>
            <w:tcW w:w="631" w:type="pct"/>
            <w:vMerge w:val="restart"/>
            <w:tcMar>
              <w:left w:w="105" w:type="dxa"/>
              <w:right w:w="105" w:type="dxa"/>
            </w:tcMar>
          </w:tcPr>
          <w:p w14:paraId="577A7F79" w14:textId="6E9306EE" w:rsidR="00927AC6" w:rsidRPr="00D54119" w:rsidRDefault="00AB0647" w:rsidP="00292895">
            <w:pPr>
              <w:spacing w:after="0"/>
              <w:rPr>
                <w:noProof/>
                <w:sz w:val="20"/>
                <w:szCs w:val="20"/>
                <w:lang w:val="en-US"/>
              </w:rPr>
            </w:pPr>
            <w:r w:rsidRPr="006702BD">
              <w:rPr>
                <w:noProof/>
                <w:sz w:val="20"/>
              </w:rPr>
              <w:t>Insufficient cooperation and fragmented regulatory approaches</w:t>
            </w:r>
          </w:p>
          <w:p w14:paraId="662C781A" w14:textId="1BC2B510" w:rsidR="00F20D82" w:rsidRPr="00D54119" w:rsidRDefault="00F20D82" w:rsidP="00292895">
            <w:pPr>
              <w:spacing w:after="0"/>
              <w:rPr>
                <w:noProof/>
                <w:sz w:val="20"/>
                <w:szCs w:val="20"/>
                <w:lang w:val="en-US"/>
              </w:rPr>
            </w:pPr>
          </w:p>
        </w:tc>
        <w:tc>
          <w:tcPr>
            <w:tcW w:w="649" w:type="pct"/>
            <w:vMerge w:val="restart"/>
            <w:tcMar>
              <w:left w:w="105" w:type="dxa"/>
              <w:right w:w="105" w:type="dxa"/>
            </w:tcMar>
          </w:tcPr>
          <w:p w14:paraId="0A4E6E76" w14:textId="6EF42766" w:rsidR="00F20D82" w:rsidRPr="00D54119" w:rsidRDefault="009C7890" w:rsidP="00292895">
            <w:pPr>
              <w:spacing w:after="0"/>
              <w:rPr>
                <w:noProof/>
                <w:sz w:val="20"/>
                <w:szCs w:val="20"/>
                <w:lang w:val="en-US"/>
              </w:rPr>
            </w:pPr>
            <w:r w:rsidRPr="006702BD">
              <w:rPr>
                <w:noProof/>
                <w:sz w:val="20"/>
              </w:rPr>
              <w:t>SPO4:</w:t>
            </w:r>
            <w:r w:rsidR="00DB7BEB">
              <w:rPr>
                <w:noProof/>
                <w:sz w:val="20"/>
              </w:rPr>
              <w:t xml:space="preserve"> </w:t>
            </w:r>
            <w:r w:rsidR="00760AB0" w:rsidRPr="00D54119">
              <w:rPr>
                <w:noProof/>
                <w:sz w:val="20"/>
                <w:szCs w:val="20"/>
              </w:rPr>
              <w:t>D</w:t>
            </w:r>
            <w:r w:rsidR="00760AB0" w:rsidRPr="006702BD">
              <w:rPr>
                <w:noProof/>
                <w:sz w:val="20"/>
              </w:rPr>
              <w:t>eepen the Single Market for connectivity through adjustment of regulatory competences and roles</w:t>
            </w:r>
          </w:p>
          <w:p w14:paraId="7DF04921" w14:textId="77777777" w:rsidR="00F20D82" w:rsidRPr="00D54119" w:rsidRDefault="00F20D82" w:rsidP="00292895">
            <w:pPr>
              <w:spacing w:after="0"/>
              <w:rPr>
                <w:noProof/>
                <w:sz w:val="20"/>
                <w:szCs w:val="20"/>
                <w:lang w:val="en-US"/>
              </w:rPr>
            </w:pPr>
          </w:p>
          <w:p w14:paraId="063273E6" w14:textId="77777777" w:rsidR="00F20D82" w:rsidRPr="00D54119" w:rsidRDefault="00F20D82" w:rsidP="006A4891">
            <w:pPr>
              <w:spacing w:after="0"/>
              <w:rPr>
                <w:noProof/>
                <w:sz w:val="20"/>
                <w:szCs w:val="20"/>
                <w:lang w:val="en-US"/>
              </w:rPr>
            </w:pPr>
          </w:p>
          <w:p w14:paraId="5894EA3D" w14:textId="77777777" w:rsidR="00F20D82" w:rsidRPr="00D54119" w:rsidRDefault="00F20D82" w:rsidP="006A4891">
            <w:pPr>
              <w:spacing w:after="0"/>
              <w:rPr>
                <w:noProof/>
                <w:sz w:val="20"/>
                <w:szCs w:val="20"/>
                <w:lang w:val="en-US"/>
              </w:rPr>
            </w:pPr>
          </w:p>
        </w:tc>
        <w:tc>
          <w:tcPr>
            <w:tcW w:w="1227" w:type="pct"/>
            <w:tcMar>
              <w:left w:w="105" w:type="dxa"/>
              <w:right w:w="105" w:type="dxa"/>
            </w:tcMar>
          </w:tcPr>
          <w:p w14:paraId="63EAFC07" w14:textId="54FBF27D" w:rsidR="00F20D82" w:rsidRPr="00D54119" w:rsidRDefault="00F20D82" w:rsidP="00292895">
            <w:pPr>
              <w:spacing w:after="0"/>
              <w:rPr>
                <w:noProof/>
                <w:sz w:val="20"/>
                <w:szCs w:val="20"/>
              </w:rPr>
            </w:pPr>
            <w:r w:rsidRPr="00D54119">
              <w:rPr>
                <w:noProof/>
                <w:sz w:val="20"/>
                <w:szCs w:val="20"/>
              </w:rPr>
              <w:t xml:space="preserve">Participation of Office’s staff </w:t>
            </w:r>
            <w:r w:rsidR="00E347DD" w:rsidRPr="00D54119">
              <w:rPr>
                <w:noProof/>
                <w:sz w:val="20"/>
                <w:szCs w:val="20"/>
              </w:rPr>
              <w:t xml:space="preserve">in </w:t>
            </w:r>
            <w:r w:rsidRPr="00D54119">
              <w:rPr>
                <w:noProof/>
                <w:sz w:val="20"/>
                <w:szCs w:val="20"/>
              </w:rPr>
              <w:t xml:space="preserve">BEREC and RSPG working groups, </w:t>
            </w:r>
            <w:r w:rsidR="006B788D" w:rsidRPr="00D54119">
              <w:rPr>
                <w:noProof/>
                <w:sz w:val="20"/>
                <w:szCs w:val="20"/>
              </w:rPr>
              <w:t>possibly</w:t>
            </w:r>
            <w:r w:rsidRPr="00D54119">
              <w:rPr>
                <w:noProof/>
                <w:sz w:val="20"/>
                <w:szCs w:val="20"/>
              </w:rPr>
              <w:t xml:space="preserve"> taking over some co-chairs’ workload,</w:t>
            </w:r>
            <w:r w:rsidR="002D445D" w:rsidRPr="00D54119">
              <w:rPr>
                <w:noProof/>
                <w:sz w:val="20"/>
                <w:szCs w:val="20"/>
              </w:rPr>
              <w:t xml:space="preserve"> to</w:t>
            </w:r>
            <w:r w:rsidRPr="00D54119">
              <w:rPr>
                <w:noProof/>
                <w:sz w:val="20"/>
                <w:szCs w:val="20"/>
              </w:rPr>
              <w:t xml:space="preserve"> increase BEREC and RSPG impact on harmonisation. Improved cooperation between BEREC and RSPG thanks to the common Office</w:t>
            </w:r>
            <w:r w:rsidR="00FB588E" w:rsidRPr="00D54119">
              <w:rPr>
                <w:noProof/>
                <w:sz w:val="20"/>
                <w:szCs w:val="20"/>
              </w:rPr>
              <w:t>.</w:t>
            </w:r>
          </w:p>
          <w:p w14:paraId="48D37887" w14:textId="72C90226" w:rsidR="00F20D82" w:rsidRPr="00D54119" w:rsidRDefault="00F20D82" w:rsidP="00292895">
            <w:pPr>
              <w:spacing w:after="0"/>
              <w:rPr>
                <w:noProof/>
                <w:sz w:val="20"/>
                <w:szCs w:val="20"/>
              </w:rPr>
            </w:pPr>
            <w:r w:rsidRPr="00D54119">
              <w:rPr>
                <w:noProof/>
                <w:sz w:val="20"/>
                <w:szCs w:val="20"/>
              </w:rPr>
              <w:t>Enhanc</w:t>
            </w:r>
            <w:r w:rsidR="009B41DD" w:rsidRPr="00D54119">
              <w:rPr>
                <w:noProof/>
                <w:sz w:val="20"/>
                <w:szCs w:val="20"/>
              </w:rPr>
              <w:t>ed</w:t>
            </w:r>
            <w:r w:rsidRPr="00D54119">
              <w:rPr>
                <w:noProof/>
                <w:sz w:val="20"/>
                <w:szCs w:val="20"/>
              </w:rPr>
              <w:t xml:space="preserve"> cooperation with other agencies, expert group</w:t>
            </w:r>
            <w:r w:rsidR="009B41DD" w:rsidRPr="00D54119">
              <w:rPr>
                <w:noProof/>
                <w:sz w:val="20"/>
                <w:szCs w:val="20"/>
              </w:rPr>
              <w:t>s</w:t>
            </w:r>
            <w:r w:rsidRPr="00D54119">
              <w:rPr>
                <w:noProof/>
                <w:sz w:val="20"/>
                <w:szCs w:val="20"/>
              </w:rPr>
              <w:t xml:space="preserve"> and bodies through the contacts at the </w:t>
            </w:r>
            <w:r w:rsidR="00CA5367" w:rsidRPr="00D54119">
              <w:rPr>
                <w:noProof/>
                <w:sz w:val="20"/>
                <w:szCs w:val="20"/>
              </w:rPr>
              <w:t xml:space="preserve">BEREC Office </w:t>
            </w:r>
            <w:r w:rsidRPr="00D54119">
              <w:rPr>
                <w:noProof/>
                <w:sz w:val="20"/>
                <w:szCs w:val="20"/>
              </w:rPr>
              <w:t>level.</w:t>
            </w:r>
          </w:p>
        </w:tc>
        <w:tc>
          <w:tcPr>
            <w:tcW w:w="1227" w:type="pct"/>
            <w:tcMar>
              <w:left w:w="105" w:type="dxa"/>
              <w:right w:w="105" w:type="dxa"/>
            </w:tcMar>
          </w:tcPr>
          <w:p w14:paraId="32F7A0DB" w14:textId="44AAF939" w:rsidR="00F20D82" w:rsidRPr="00D54119" w:rsidRDefault="00F20D82" w:rsidP="006A4891">
            <w:pPr>
              <w:spacing w:after="0"/>
              <w:rPr>
                <w:noProof/>
                <w:sz w:val="20"/>
                <w:szCs w:val="20"/>
                <w:lang w:val="en-US"/>
              </w:rPr>
            </w:pPr>
            <w:r w:rsidRPr="006702BD">
              <w:rPr>
                <w:noProof/>
                <w:sz w:val="20"/>
              </w:rPr>
              <w:t xml:space="preserve">Merging BEREC and BEREC Office into an agency to increase its involvement in the </w:t>
            </w:r>
            <w:r w:rsidR="009B59A7" w:rsidRPr="006702BD">
              <w:rPr>
                <w:noProof/>
                <w:sz w:val="20"/>
              </w:rPr>
              <w:t xml:space="preserve">substance </w:t>
            </w:r>
            <w:r w:rsidRPr="006702BD">
              <w:rPr>
                <w:noProof/>
                <w:sz w:val="20"/>
              </w:rPr>
              <w:t xml:space="preserve">work and </w:t>
            </w:r>
            <w:r w:rsidR="009B59A7" w:rsidRPr="006702BD">
              <w:rPr>
                <w:noProof/>
                <w:sz w:val="20"/>
              </w:rPr>
              <w:t>facili</w:t>
            </w:r>
            <w:r w:rsidR="00577E46" w:rsidRPr="006702BD">
              <w:rPr>
                <w:noProof/>
                <w:sz w:val="20"/>
              </w:rPr>
              <w:t>t</w:t>
            </w:r>
            <w:r w:rsidR="009B59A7" w:rsidRPr="006702BD">
              <w:rPr>
                <w:noProof/>
                <w:sz w:val="20"/>
              </w:rPr>
              <w:t>ate</w:t>
            </w:r>
            <w:r w:rsidRPr="006702BD">
              <w:rPr>
                <w:noProof/>
                <w:sz w:val="20"/>
              </w:rPr>
              <w:t xml:space="preserve"> harmonisation.</w:t>
            </w:r>
            <w:r w:rsidR="00AB0419" w:rsidRPr="006702BD">
              <w:rPr>
                <w:noProof/>
                <w:sz w:val="20"/>
              </w:rPr>
              <w:t xml:space="preserve"> </w:t>
            </w:r>
            <w:r w:rsidRPr="00D54119">
              <w:rPr>
                <w:noProof/>
                <w:sz w:val="20"/>
                <w:szCs w:val="20"/>
              </w:rPr>
              <w:t>Otherwise as in option 1.</w:t>
            </w:r>
          </w:p>
        </w:tc>
        <w:tc>
          <w:tcPr>
            <w:tcW w:w="1266" w:type="pct"/>
            <w:tcMar>
              <w:left w:w="105" w:type="dxa"/>
              <w:right w:w="105" w:type="dxa"/>
            </w:tcMar>
          </w:tcPr>
          <w:p w14:paraId="60E2B837" w14:textId="6F407D0C" w:rsidR="00F20D82" w:rsidRPr="00D54119" w:rsidRDefault="00D645A1" w:rsidP="00292895">
            <w:pPr>
              <w:spacing w:after="0"/>
              <w:rPr>
                <w:noProof/>
                <w:sz w:val="20"/>
                <w:szCs w:val="20"/>
                <w:lang w:val="en-US"/>
              </w:rPr>
            </w:pPr>
            <w:r w:rsidRPr="006702BD">
              <w:rPr>
                <w:noProof/>
                <w:sz w:val="20"/>
              </w:rPr>
              <w:t>BEREC</w:t>
            </w:r>
            <w:r w:rsidR="009B59A7" w:rsidRPr="006702BD">
              <w:rPr>
                <w:noProof/>
                <w:sz w:val="20"/>
              </w:rPr>
              <w:t xml:space="preserve"> &amp; </w:t>
            </w:r>
            <w:r w:rsidRPr="006702BD">
              <w:rPr>
                <w:noProof/>
                <w:sz w:val="20"/>
              </w:rPr>
              <w:t>BEREC Office as in option 2.</w:t>
            </w:r>
          </w:p>
          <w:p w14:paraId="74C1FAD5" w14:textId="77777777" w:rsidR="00F20D82" w:rsidRPr="00D54119" w:rsidRDefault="00F20D82" w:rsidP="00292895">
            <w:pPr>
              <w:spacing w:after="0"/>
              <w:rPr>
                <w:noProof/>
                <w:sz w:val="20"/>
                <w:szCs w:val="20"/>
                <w:lang w:val="en-US"/>
              </w:rPr>
            </w:pPr>
            <w:r w:rsidRPr="006702BD">
              <w:rPr>
                <w:noProof/>
                <w:sz w:val="20"/>
              </w:rPr>
              <w:t>RSPG as an agency will take over some decision-making powers from the Commission.</w:t>
            </w:r>
          </w:p>
          <w:p w14:paraId="50C0A9F3" w14:textId="6E27CB75" w:rsidR="00F20D82" w:rsidRPr="00D54119" w:rsidRDefault="00F20D82" w:rsidP="00292895">
            <w:pPr>
              <w:spacing w:after="0"/>
              <w:rPr>
                <w:noProof/>
                <w:sz w:val="20"/>
                <w:szCs w:val="20"/>
                <w:lang w:val="en-US"/>
              </w:rPr>
            </w:pPr>
            <w:r w:rsidRPr="00D54119">
              <w:rPr>
                <w:noProof/>
                <w:sz w:val="20"/>
                <w:szCs w:val="20"/>
              </w:rPr>
              <w:t>Enhancing cooperation between the two agencies would be ensured by regular check-point meetings; reaching out to other EU agencies, expert group and bodies.</w:t>
            </w:r>
          </w:p>
        </w:tc>
      </w:tr>
      <w:tr w:rsidR="00D645A1" w:rsidRPr="00D54119" w14:paraId="44CA7BEE" w14:textId="77777777" w:rsidTr="001F43B2">
        <w:trPr>
          <w:trHeight w:val="1688"/>
        </w:trPr>
        <w:tc>
          <w:tcPr>
            <w:tcW w:w="631" w:type="pct"/>
            <w:vMerge/>
            <w:tcMar>
              <w:left w:w="105" w:type="dxa"/>
              <w:right w:w="105" w:type="dxa"/>
            </w:tcMar>
          </w:tcPr>
          <w:p w14:paraId="083DE862" w14:textId="2DAAF76C" w:rsidR="00F20D82" w:rsidRPr="00D54119" w:rsidRDefault="00F20D82" w:rsidP="00292895">
            <w:pPr>
              <w:spacing w:after="0"/>
              <w:rPr>
                <w:noProof/>
                <w:sz w:val="20"/>
                <w:szCs w:val="20"/>
                <w:lang w:val="en-US"/>
              </w:rPr>
            </w:pPr>
          </w:p>
        </w:tc>
        <w:tc>
          <w:tcPr>
            <w:tcW w:w="649" w:type="pct"/>
            <w:vMerge/>
            <w:tcMar>
              <w:left w:w="105" w:type="dxa"/>
              <w:right w:w="105" w:type="dxa"/>
            </w:tcMar>
          </w:tcPr>
          <w:p w14:paraId="4A08AC47" w14:textId="77777777" w:rsidR="00F20D82" w:rsidRPr="00D54119" w:rsidRDefault="00F20D82" w:rsidP="006A4891">
            <w:pPr>
              <w:spacing w:after="0"/>
              <w:rPr>
                <w:noProof/>
                <w:sz w:val="20"/>
                <w:szCs w:val="20"/>
                <w:lang w:val="en-US"/>
              </w:rPr>
            </w:pPr>
          </w:p>
        </w:tc>
        <w:tc>
          <w:tcPr>
            <w:tcW w:w="1227" w:type="pct"/>
            <w:tcMar>
              <w:left w:w="105" w:type="dxa"/>
              <w:right w:w="105" w:type="dxa"/>
            </w:tcMar>
          </w:tcPr>
          <w:p w14:paraId="49C5EDDE" w14:textId="2206D981" w:rsidR="00F20D82" w:rsidRPr="00D54119" w:rsidRDefault="00F20D82" w:rsidP="00292895">
            <w:pPr>
              <w:spacing w:after="0"/>
              <w:rPr>
                <w:noProof/>
                <w:sz w:val="20"/>
                <w:szCs w:val="20"/>
              </w:rPr>
            </w:pPr>
            <w:r w:rsidRPr="00D54119">
              <w:rPr>
                <w:noProof/>
                <w:sz w:val="20"/>
                <w:szCs w:val="20"/>
              </w:rPr>
              <w:t>Mandating representation of other CAs each time a subject within their remit is discussed within BEREC. NRAs will perform a role of national contact points responsible for coordinating and presenting their positions at the BEREC level.</w:t>
            </w:r>
          </w:p>
        </w:tc>
        <w:tc>
          <w:tcPr>
            <w:tcW w:w="1227" w:type="pct"/>
            <w:tcMar>
              <w:left w:w="105" w:type="dxa"/>
              <w:right w:w="105" w:type="dxa"/>
            </w:tcMar>
          </w:tcPr>
          <w:p w14:paraId="494341D4" w14:textId="77777777" w:rsidR="00F20D82" w:rsidRPr="00D54119" w:rsidRDefault="00F20D82" w:rsidP="006A4891">
            <w:pPr>
              <w:spacing w:after="0"/>
              <w:rPr>
                <w:noProof/>
                <w:sz w:val="20"/>
                <w:szCs w:val="20"/>
                <w:lang w:val="en-US"/>
              </w:rPr>
            </w:pPr>
            <w:r w:rsidRPr="006702BD">
              <w:rPr>
                <w:noProof/>
                <w:sz w:val="20"/>
              </w:rPr>
              <w:t>As in option 1.</w:t>
            </w:r>
          </w:p>
        </w:tc>
        <w:tc>
          <w:tcPr>
            <w:tcW w:w="1266" w:type="pct"/>
            <w:tcMar>
              <w:left w:w="105" w:type="dxa"/>
              <w:right w:w="105" w:type="dxa"/>
            </w:tcMar>
          </w:tcPr>
          <w:p w14:paraId="3441363C" w14:textId="77777777" w:rsidR="00F20D82" w:rsidRPr="00D54119" w:rsidRDefault="00F20D82" w:rsidP="00292895">
            <w:pPr>
              <w:spacing w:after="0"/>
              <w:rPr>
                <w:noProof/>
                <w:sz w:val="20"/>
                <w:szCs w:val="20"/>
                <w:lang w:val="en-US"/>
              </w:rPr>
            </w:pPr>
            <w:r w:rsidRPr="006702BD">
              <w:rPr>
                <w:noProof/>
                <w:sz w:val="20"/>
              </w:rPr>
              <w:t>As in option 1.</w:t>
            </w:r>
          </w:p>
        </w:tc>
      </w:tr>
      <w:tr w:rsidR="00D645A1" w:rsidRPr="00D54119" w14:paraId="47AB0223" w14:textId="77777777" w:rsidTr="001F43B2">
        <w:trPr>
          <w:trHeight w:val="300"/>
        </w:trPr>
        <w:tc>
          <w:tcPr>
            <w:tcW w:w="631" w:type="pct"/>
            <w:vMerge/>
            <w:tcMar>
              <w:left w:w="105" w:type="dxa"/>
              <w:right w:w="105" w:type="dxa"/>
            </w:tcMar>
          </w:tcPr>
          <w:p w14:paraId="27013506" w14:textId="73DEBE0C" w:rsidR="00F20D82" w:rsidRPr="00D54119" w:rsidRDefault="00F20D82" w:rsidP="00292895">
            <w:pPr>
              <w:spacing w:after="0"/>
              <w:rPr>
                <w:noProof/>
                <w:sz w:val="20"/>
                <w:szCs w:val="20"/>
                <w:lang w:val="en-US"/>
              </w:rPr>
            </w:pPr>
          </w:p>
        </w:tc>
        <w:tc>
          <w:tcPr>
            <w:tcW w:w="649" w:type="pct"/>
            <w:vMerge/>
            <w:tcMar>
              <w:left w:w="105" w:type="dxa"/>
              <w:right w:w="105" w:type="dxa"/>
            </w:tcMar>
          </w:tcPr>
          <w:p w14:paraId="745BFFAB" w14:textId="77777777" w:rsidR="00F20D82" w:rsidRPr="00D54119" w:rsidRDefault="00F20D82" w:rsidP="006A4891">
            <w:pPr>
              <w:spacing w:after="0"/>
              <w:rPr>
                <w:noProof/>
                <w:sz w:val="20"/>
                <w:szCs w:val="20"/>
                <w:lang w:val="en-US"/>
              </w:rPr>
            </w:pPr>
          </w:p>
        </w:tc>
        <w:tc>
          <w:tcPr>
            <w:tcW w:w="1227" w:type="pct"/>
            <w:tcMar>
              <w:left w:w="105" w:type="dxa"/>
              <w:right w:w="105" w:type="dxa"/>
            </w:tcMar>
          </w:tcPr>
          <w:p w14:paraId="086C30D2" w14:textId="6EC2B25B" w:rsidR="00F20D82" w:rsidRPr="00D54119" w:rsidRDefault="00F20D82" w:rsidP="00292895">
            <w:pPr>
              <w:spacing w:after="0"/>
              <w:rPr>
                <w:noProof/>
                <w:sz w:val="20"/>
                <w:szCs w:val="20"/>
              </w:rPr>
            </w:pPr>
            <w:r w:rsidRPr="00D54119">
              <w:rPr>
                <w:noProof/>
                <w:sz w:val="20"/>
                <w:szCs w:val="20"/>
              </w:rPr>
              <w:t xml:space="preserve">Strengthening of the BEREC Office to enable it to support BEREC and RSPG both on administrative tasks and on substance. </w:t>
            </w:r>
            <w:r w:rsidR="0066281E" w:rsidRPr="00D54119">
              <w:rPr>
                <w:noProof/>
                <w:sz w:val="20"/>
                <w:szCs w:val="20"/>
              </w:rPr>
              <w:t xml:space="preserve">Thanks to links with both BEREC and RSPG, and cooperation with other relevant authorities, the Office with gain an overview of different aspects of market functioning. </w:t>
            </w:r>
          </w:p>
        </w:tc>
        <w:tc>
          <w:tcPr>
            <w:tcW w:w="1227" w:type="pct"/>
            <w:tcMar>
              <w:left w:w="105" w:type="dxa"/>
              <w:right w:w="105" w:type="dxa"/>
            </w:tcMar>
          </w:tcPr>
          <w:p w14:paraId="399998C5" w14:textId="180A1FAF" w:rsidR="00F20D82" w:rsidRPr="00D54119" w:rsidRDefault="00F20D82" w:rsidP="00292895">
            <w:pPr>
              <w:spacing w:after="0"/>
              <w:rPr>
                <w:noProof/>
                <w:sz w:val="20"/>
                <w:szCs w:val="20"/>
                <w:lang w:val="en-US"/>
              </w:rPr>
            </w:pPr>
            <w:r w:rsidRPr="006702BD">
              <w:rPr>
                <w:noProof/>
                <w:sz w:val="20"/>
              </w:rPr>
              <w:t>EU agency merging BEREC and its Office</w:t>
            </w:r>
            <w:r w:rsidR="001E0393" w:rsidRPr="006702BD">
              <w:rPr>
                <w:noProof/>
                <w:sz w:val="20"/>
              </w:rPr>
              <w:t xml:space="preserve"> will</w:t>
            </w:r>
            <w:r w:rsidRPr="006702BD">
              <w:rPr>
                <w:noProof/>
                <w:sz w:val="20"/>
              </w:rPr>
              <w:t xml:space="preserve"> streamline its internal structure. </w:t>
            </w:r>
            <w:r w:rsidR="00EC22C8" w:rsidRPr="006702BD">
              <w:rPr>
                <w:noProof/>
                <w:sz w:val="20"/>
              </w:rPr>
              <w:t xml:space="preserve">It </w:t>
            </w:r>
            <w:r w:rsidRPr="006702BD">
              <w:rPr>
                <w:noProof/>
                <w:sz w:val="20"/>
              </w:rPr>
              <w:t>will be equipped with staff able to take on more tasks, including decision-making tasks in the future. This would improve the relevance and coherence of its outputs. Otherwise as in option 1.</w:t>
            </w:r>
          </w:p>
        </w:tc>
        <w:tc>
          <w:tcPr>
            <w:tcW w:w="1266" w:type="pct"/>
            <w:tcMar>
              <w:left w:w="105" w:type="dxa"/>
              <w:right w:w="105" w:type="dxa"/>
            </w:tcMar>
          </w:tcPr>
          <w:p w14:paraId="58F2EC6D" w14:textId="77777777" w:rsidR="00F20D82" w:rsidRPr="00D54119" w:rsidRDefault="00F20D82" w:rsidP="00292895">
            <w:pPr>
              <w:spacing w:after="0"/>
              <w:rPr>
                <w:noProof/>
                <w:sz w:val="20"/>
                <w:szCs w:val="20"/>
                <w:lang w:val="en-US"/>
              </w:rPr>
            </w:pPr>
            <w:r w:rsidRPr="006702BD">
              <w:rPr>
                <w:noProof/>
                <w:sz w:val="20"/>
              </w:rPr>
              <w:t>Two fully fledged agencies equipped with staff able to take on more tasks, including some decision-making on spectrum and in the future other decision-making tasks. Having two separate agencies responsible for electronic communications and spectrum will strengthen the EU-level responsiveness.</w:t>
            </w:r>
          </w:p>
          <w:p w14:paraId="5486850C" w14:textId="2E021886" w:rsidR="00F20D82" w:rsidRPr="00D54119" w:rsidRDefault="00445AB6" w:rsidP="00292895">
            <w:pPr>
              <w:spacing w:after="0"/>
              <w:rPr>
                <w:noProof/>
                <w:sz w:val="20"/>
                <w:szCs w:val="20"/>
                <w:lang w:val="en-US"/>
              </w:rPr>
            </w:pPr>
            <w:r w:rsidRPr="006702BD">
              <w:rPr>
                <w:noProof/>
                <w:sz w:val="20"/>
              </w:rPr>
              <w:t>The coordination aspect will however be weakened due to separation between BEREC and RSPG.</w:t>
            </w:r>
          </w:p>
        </w:tc>
      </w:tr>
    </w:tbl>
    <w:p w14:paraId="67C51960" w14:textId="27986712" w:rsidR="00F20D82" w:rsidRPr="00DE264C" w:rsidRDefault="549AF43C" w:rsidP="00023AFB">
      <w:pPr>
        <w:spacing w:before="240" w:line="240" w:lineRule="auto"/>
        <w:rPr>
          <w:noProof/>
        </w:rPr>
      </w:pPr>
      <w:r>
        <w:rPr>
          <w:noProof/>
        </w:rPr>
        <w:t xml:space="preserve">For detailed description of the policy options, see </w:t>
      </w:r>
      <w:r w:rsidR="6E29EEA9">
        <w:rPr>
          <w:noProof/>
        </w:rPr>
        <w:t>s</w:t>
      </w:r>
      <w:r>
        <w:rPr>
          <w:noProof/>
        </w:rPr>
        <w:t>ection 4 of Annex 8.</w:t>
      </w:r>
    </w:p>
    <w:p w14:paraId="4433A492" w14:textId="77777777" w:rsidR="004161A1" w:rsidRDefault="0048588B" w:rsidP="00B33D53">
      <w:pPr>
        <w:pStyle w:val="Heading3"/>
        <w:tabs>
          <w:tab w:val="num" w:pos="7088"/>
        </w:tabs>
        <w:spacing w:before="240"/>
        <w:ind w:left="709"/>
        <w:rPr>
          <w:noProof/>
        </w:rPr>
      </w:pPr>
      <w:bookmarkStart w:id="223" w:name="_Toc195101090"/>
      <w:bookmarkStart w:id="224" w:name="_Toc214467729"/>
      <w:bookmarkStart w:id="225" w:name="_Toc215083752"/>
      <w:bookmarkStart w:id="226" w:name="_Toc219212519"/>
      <w:bookmarkStart w:id="227" w:name="_Toc219718174"/>
      <w:r w:rsidRPr="00DE264C">
        <w:rPr>
          <w:noProof/>
        </w:rPr>
        <w:t>Options discarded at an early st</w:t>
      </w:r>
      <w:r w:rsidR="004161A1">
        <w:rPr>
          <w:noProof/>
        </w:rPr>
        <w:t>age</w:t>
      </w:r>
      <w:bookmarkStart w:id="228" w:name="_Toc214467730"/>
      <w:bookmarkEnd w:id="223"/>
      <w:bookmarkEnd w:id="224"/>
      <w:bookmarkEnd w:id="225"/>
      <w:bookmarkEnd w:id="226"/>
      <w:bookmarkEnd w:id="227"/>
    </w:p>
    <w:p w14:paraId="794EC481" w14:textId="04D70E9D" w:rsidR="0048588B" w:rsidRPr="007438FA" w:rsidRDefault="5217A306" w:rsidP="00023AFB">
      <w:pPr>
        <w:spacing w:line="240" w:lineRule="auto"/>
        <w:rPr>
          <w:noProof/>
          <w:u w:val="single"/>
        </w:rPr>
      </w:pPr>
      <w:bookmarkStart w:id="229" w:name="_Toc215083753"/>
      <w:r w:rsidRPr="007438FA">
        <w:rPr>
          <w:noProof/>
          <w:u w:val="single"/>
        </w:rPr>
        <w:t>Fib</w:t>
      </w:r>
      <w:r w:rsidR="00205F68" w:rsidRPr="007438FA">
        <w:rPr>
          <w:noProof/>
          <w:u w:val="single"/>
        </w:rPr>
        <w:t>re</w:t>
      </w:r>
      <w:r w:rsidRPr="007438FA">
        <w:rPr>
          <w:noProof/>
          <w:u w:val="single"/>
        </w:rPr>
        <w:t xml:space="preserve"> transition </w:t>
      </w:r>
      <w:r w:rsidR="00C1757B" w:rsidRPr="007438FA">
        <w:rPr>
          <w:noProof/>
          <w:u w:val="single"/>
        </w:rPr>
        <w:t>– discarded options and approach to choosing the best combinations</w:t>
      </w:r>
      <w:r w:rsidR="00023CCD" w:rsidRPr="007438FA">
        <w:rPr>
          <w:noProof/>
          <w:u w:val="single"/>
        </w:rPr>
        <w:t xml:space="preserve"> </w:t>
      </w:r>
      <w:r w:rsidR="0C10F262" w:rsidRPr="007438FA">
        <w:rPr>
          <w:noProof/>
          <w:u w:val="single"/>
        </w:rPr>
        <w:t>of the options component</w:t>
      </w:r>
      <w:bookmarkEnd w:id="229"/>
      <w:r w:rsidR="0C10F262" w:rsidRPr="007438FA">
        <w:rPr>
          <w:noProof/>
          <w:u w:val="single"/>
        </w:rPr>
        <w:t xml:space="preserve"> </w:t>
      </w:r>
      <w:bookmarkEnd w:id="228"/>
    </w:p>
    <w:p w14:paraId="3D812638" w14:textId="386621E5" w:rsidR="00023CCD" w:rsidRPr="00DE264C" w:rsidRDefault="00A26B08" w:rsidP="00023AFB">
      <w:pPr>
        <w:spacing w:line="240" w:lineRule="auto"/>
        <w:rPr>
          <w:noProof/>
        </w:rPr>
      </w:pPr>
      <w:r>
        <w:rPr>
          <w:noProof/>
        </w:rPr>
        <w:t>A</w:t>
      </w:r>
      <w:r w:rsidR="00023CCD" w:rsidRPr="00DE264C">
        <w:rPr>
          <w:noProof/>
        </w:rPr>
        <w:t xml:space="preserve"> wide range of policy combinations </w:t>
      </w:r>
      <w:r w:rsidR="00257445">
        <w:rPr>
          <w:noProof/>
        </w:rPr>
        <w:t>are available</w:t>
      </w:r>
      <w:r w:rsidR="00023CCD" w:rsidRPr="00DE264C">
        <w:rPr>
          <w:noProof/>
        </w:rPr>
        <w:t xml:space="preserve">. For copper switch-off, </w:t>
      </w:r>
      <w:r w:rsidR="00181F66">
        <w:rPr>
          <w:noProof/>
        </w:rPr>
        <w:t>options</w:t>
      </w:r>
      <w:r w:rsidR="00023CCD" w:rsidRPr="00DE264C">
        <w:rPr>
          <w:noProof/>
        </w:rPr>
        <w:t xml:space="preserve"> range from deregulatory to </w:t>
      </w:r>
      <w:r w:rsidR="00307071" w:rsidRPr="00BF7E51">
        <w:rPr>
          <w:noProof/>
        </w:rPr>
        <w:t xml:space="preserve">highly </w:t>
      </w:r>
      <w:r w:rsidR="00023CCD" w:rsidRPr="00DE264C">
        <w:rPr>
          <w:noProof/>
        </w:rPr>
        <w:t xml:space="preserve">interventionist </w:t>
      </w:r>
      <w:r w:rsidR="00307071" w:rsidRPr="00BF7E51">
        <w:rPr>
          <w:noProof/>
        </w:rPr>
        <w:t>approaches</w:t>
      </w:r>
      <w:r w:rsidR="00307071" w:rsidRPr="00DE264C">
        <w:rPr>
          <w:noProof/>
        </w:rPr>
        <w:t xml:space="preserve"> </w:t>
      </w:r>
      <w:r w:rsidR="00023CCD" w:rsidRPr="00DE264C">
        <w:rPr>
          <w:noProof/>
        </w:rPr>
        <w:t>along the following lines:</w:t>
      </w:r>
      <w:r w:rsidR="00BF7E51" w:rsidRPr="00BF7E51">
        <w:rPr>
          <w:noProof/>
        </w:rPr>
        <w:t xml:space="preserve"> </w:t>
      </w:r>
    </w:p>
    <w:p w14:paraId="1EA41793" w14:textId="3134A1CF" w:rsidR="00023CCD" w:rsidRPr="00DE264C" w:rsidRDefault="00023CCD" w:rsidP="00023AFB">
      <w:pPr>
        <w:pStyle w:val="ListParagraph"/>
        <w:numPr>
          <w:ilvl w:val="0"/>
          <w:numId w:val="104"/>
        </w:numPr>
        <w:spacing w:line="240" w:lineRule="auto"/>
        <w:ind w:left="714" w:hanging="357"/>
        <w:rPr>
          <w:noProof/>
        </w:rPr>
      </w:pPr>
      <w:r w:rsidRPr="00DE264C">
        <w:rPr>
          <w:noProof/>
        </w:rPr>
        <w:t>Full deregulation</w:t>
      </w:r>
      <w:r w:rsidR="00023516">
        <w:rPr>
          <w:noProof/>
        </w:rPr>
        <w:t>:</w:t>
      </w:r>
      <w:r w:rsidR="00E061E5">
        <w:rPr>
          <w:noProof/>
        </w:rPr>
        <w:t xml:space="preserve"> </w:t>
      </w:r>
      <w:r w:rsidR="00023516" w:rsidRPr="00023516">
        <w:rPr>
          <w:noProof/>
        </w:rPr>
        <w:t>removal of existing CSO provisions (e.g. Article</w:t>
      </w:r>
      <w:r w:rsidR="00A907F2">
        <w:rPr>
          <w:noProof/>
        </w:rPr>
        <w:t> </w:t>
      </w:r>
      <w:r w:rsidR="00023516" w:rsidRPr="00023516">
        <w:rPr>
          <w:noProof/>
        </w:rPr>
        <w:t xml:space="preserve">81 EECC) and leaving switch-off entirely to the market. </w:t>
      </w:r>
      <w:r w:rsidRPr="00DE264C">
        <w:rPr>
          <w:noProof/>
        </w:rPr>
        <w:t xml:space="preserve">( </w:t>
      </w:r>
    </w:p>
    <w:p w14:paraId="18292517" w14:textId="1197E0D9" w:rsidR="00023CCD" w:rsidRPr="00DE264C" w:rsidRDefault="00023CCD" w:rsidP="00023AFB">
      <w:pPr>
        <w:pStyle w:val="ListParagraph"/>
        <w:numPr>
          <w:ilvl w:val="0"/>
          <w:numId w:val="104"/>
        </w:numPr>
        <w:spacing w:line="240" w:lineRule="auto"/>
        <w:ind w:left="714" w:hanging="357"/>
        <w:rPr>
          <w:noProof/>
        </w:rPr>
      </w:pPr>
      <w:r w:rsidRPr="00DE264C">
        <w:rPr>
          <w:noProof/>
        </w:rPr>
        <w:t>Non-binding target date</w:t>
      </w:r>
      <w:r w:rsidR="00EA5FB3">
        <w:rPr>
          <w:noProof/>
        </w:rPr>
        <w:t>:</w:t>
      </w:r>
      <w:r w:rsidRPr="00DE264C">
        <w:rPr>
          <w:noProof/>
        </w:rPr>
        <w:t xml:space="preserve"> </w:t>
      </w:r>
      <w:r w:rsidR="00263FD5" w:rsidRPr="00263FD5">
        <w:rPr>
          <w:noProof/>
        </w:rPr>
        <w:t xml:space="preserve">a legislative recommendation without enforceability. </w:t>
      </w:r>
    </w:p>
    <w:p w14:paraId="7D80B027" w14:textId="5D5CBE0E" w:rsidR="00023CCD" w:rsidRPr="00DE264C" w:rsidRDefault="00023CCD" w:rsidP="00023AFB">
      <w:pPr>
        <w:pStyle w:val="ListParagraph"/>
        <w:numPr>
          <w:ilvl w:val="0"/>
          <w:numId w:val="104"/>
        </w:numPr>
        <w:spacing w:line="240" w:lineRule="auto"/>
        <w:ind w:left="714" w:hanging="357"/>
        <w:rPr>
          <w:noProof/>
        </w:rPr>
      </w:pPr>
      <w:r w:rsidRPr="00DE264C">
        <w:rPr>
          <w:noProof/>
        </w:rPr>
        <w:t xml:space="preserve">Conditional </w:t>
      </w:r>
      <w:r w:rsidR="00D05CC8">
        <w:rPr>
          <w:noProof/>
        </w:rPr>
        <w:t xml:space="preserve">CSO </w:t>
      </w:r>
      <w:r w:rsidRPr="00DE264C">
        <w:rPr>
          <w:noProof/>
        </w:rPr>
        <w:t>requirement</w:t>
      </w:r>
      <w:r w:rsidR="00EA265D">
        <w:rPr>
          <w:noProof/>
        </w:rPr>
        <w:t xml:space="preserve">: </w:t>
      </w:r>
      <w:r w:rsidR="00EA265D" w:rsidRPr="00EA265D">
        <w:rPr>
          <w:noProof/>
        </w:rPr>
        <w:t>mandatory CSO only in areas meeting predefined conditions (</w:t>
      </w:r>
      <w:r w:rsidR="00EA265D">
        <w:rPr>
          <w:noProof/>
        </w:rPr>
        <w:t xml:space="preserve">FTTH </w:t>
      </w:r>
      <w:r w:rsidRPr="00DE264C">
        <w:rPr>
          <w:noProof/>
        </w:rPr>
        <w:t xml:space="preserve">availability </w:t>
      </w:r>
      <w:r w:rsidR="00EA265D" w:rsidRPr="00EA265D">
        <w:rPr>
          <w:noProof/>
        </w:rPr>
        <w:t>and equivalent</w:t>
      </w:r>
      <w:r w:rsidR="003A316C">
        <w:rPr>
          <w:noProof/>
        </w:rPr>
        <w:t xml:space="preserve"> quality</w:t>
      </w:r>
      <w:r w:rsidR="007A449F">
        <w:rPr>
          <w:noProof/>
        </w:rPr>
        <w:t>/</w:t>
      </w:r>
      <w:r w:rsidR="00EA265D" w:rsidRPr="00EA265D">
        <w:rPr>
          <w:noProof/>
        </w:rPr>
        <w:t>price alternatives).</w:t>
      </w:r>
      <w:r w:rsidR="00EA265D" w:rsidRPr="00DE264C">
        <w:rPr>
          <w:noProof/>
        </w:rPr>
        <w:t xml:space="preserve"> </w:t>
      </w:r>
    </w:p>
    <w:p w14:paraId="4CF2CF57" w14:textId="3181782C" w:rsidR="00023CCD" w:rsidRPr="00DE264C" w:rsidRDefault="00023CCD" w:rsidP="00023AFB">
      <w:pPr>
        <w:pStyle w:val="ListParagraph"/>
        <w:numPr>
          <w:ilvl w:val="0"/>
          <w:numId w:val="104"/>
        </w:numPr>
        <w:spacing w:line="240" w:lineRule="auto"/>
        <w:ind w:left="714" w:hanging="357"/>
        <w:rPr>
          <w:noProof/>
        </w:rPr>
      </w:pPr>
      <w:r w:rsidRPr="00DE264C">
        <w:rPr>
          <w:noProof/>
        </w:rPr>
        <w:t xml:space="preserve">Unconditional </w:t>
      </w:r>
      <w:r w:rsidR="00654644">
        <w:rPr>
          <w:noProof/>
        </w:rPr>
        <w:t xml:space="preserve">CSO </w:t>
      </w:r>
      <w:r w:rsidRPr="00DE264C">
        <w:rPr>
          <w:noProof/>
        </w:rPr>
        <w:t>requirement</w:t>
      </w:r>
      <w:r w:rsidR="00654644">
        <w:rPr>
          <w:noProof/>
        </w:rPr>
        <w:t>:</w:t>
      </w:r>
      <w:r w:rsidRPr="00DE264C">
        <w:rPr>
          <w:noProof/>
        </w:rPr>
        <w:t xml:space="preserve"> </w:t>
      </w:r>
      <w:r w:rsidR="008F587F" w:rsidRPr="008F587F">
        <w:rPr>
          <w:noProof/>
        </w:rPr>
        <w:t xml:space="preserve">mandatory switch-off by a fixed deadline regardless of alternative infrastructure conditions. </w:t>
      </w:r>
    </w:p>
    <w:p w14:paraId="1A090A29" w14:textId="50899217" w:rsidR="00023CCD" w:rsidRPr="00DE264C" w:rsidRDefault="006968FB" w:rsidP="00023AFB">
      <w:pPr>
        <w:spacing w:line="240" w:lineRule="auto"/>
        <w:rPr>
          <w:noProof/>
        </w:rPr>
      </w:pPr>
      <w:r w:rsidRPr="006968FB">
        <w:rPr>
          <w:noProof/>
        </w:rPr>
        <w:t xml:space="preserve">Similarly, </w:t>
      </w:r>
      <w:r w:rsidR="00023CCD" w:rsidRPr="00DE264C">
        <w:rPr>
          <w:noProof/>
        </w:rPr>
        <w:t>access regulation</w:t>
      </w:r>
      <w:r>
        <w:rPr>
          <w:noProof/>
        </w:rPr>
        <w:t xml:space="preserve"> </w:t>
      </w:r>
      <w:r w:rsidRPr="006968FB">
        <w:rPr>
          <w:noProof/>
        </w:rPr>
        <w:t>could follow several pathways</w:t>
      </w:r>
      <w:r w:rsidR="009108A0">
        <w:rPr>
          <w:noProof/>
        </w:rPr>
        <w:t>:</w:t>
      </w:r>
    </w:p>
    <w:p w14:paraId="67D77A4B" w14:textId="7E63B76E" w:rsidR="00023CCD" w:rsidRPr="00DE264C" w:rsidRDefault="00907393" w:rsidP="00023AFB">
      <w:pPr>
        <w:pStyle w:val="ListParagraph"/>
        <w:numPr>
          <w:ilvl w:val="0"/>
          <w:numId w:val="103"/>
        </w:numPr>
        <w:spacing w:line="240" w:lineRule="auto"/>
        <w:ind w:left="777" w:hanging="357"/>
        <w:rPr>
          <w:noProof/>
        </w:rPr>
      </w:pPr>
      <w:r w:rsidRPr="00907393">
        <w:rPr>
          <w:noProof/>
        </w:rPr>
        <w:t xml:space="preserve">Highly deregulatory: </w:t>
      </w:r>
      <w:r w:rsidR="00400024">
        <w:rPr>
          <w:noProof/>
        </w:rPr>
        <w:t>r</w:t>
      </w:r>
      <w:r w:rsidR="00023CCD" w:rsidRPr="00DE264C">
        <w:rPr>
          <w:noProof/>
        </w:rPr>
        <w:t>eplace SMP</w:t>
      </w:r>
      <w:r w:rsidR="009014BB">
        <w:rPr>
          <w:noProof/>
        </w:rPr>
        <w:t xml:space="preserve"> framework</w:t>
      </w:r>
      <w:r w:rsidR="00023CCD" w:rsidRPr="00DE264C">
        <w:rPr>
          <w:noProof/>
        </w:rPr>
        <w:t xml:space="preserve"> with a narrow</w:t>
      </w:r>
      <w:r w:rsidR="00214962">
        <w:rPr>
          <w:noProof/>
        </w:rPr>
        <w:t>er</w:t>
      </w:r>
      <w:r w:rsidR="00023CCD" w:rsidRPr="00DE264C">
        <w:rPr>
          <w:noProof/>
        </w:rPr>
        <w:t xml:space="preserve"> “bottleneck”</w:t>
      </w:r>
      <w:r w:rsidR="001F5CAB">
        <w:rPr>
          <w:noProof/>
        </w:rPr>
        <w:t xml:space="preserve"> approach</w:t>
      </w:r>
      <w:r w:rsidR="00023CCD" w:rsidRPr="00DE264C">
        <w:rPr>
          <w:noProof/>
        </w:rPr>
        <w:t xml:space="preserve"> </w:t>
      </w:r>
      <w:r w:rsidR="001F5CAB">
        <w:rPr>
          <w:noProof/>
        </w:rPr>
        <w:t>focus</w:t>
      </w:r>
      <w:r w:rsidR="00C34417">
        <w:rPr>
          <w:noProof/>
        </w:rPr>
        <w:t>ed</w:t>
      </w:r>
      <w:r w:rsidR="00023CCD" w:rsidRPr="00DE264C">
        <w:rPr>
          <w:noProof/>
        </w:rPr>
        <w:t xml:space="preserve"> </w:t>
      </w:r>
      <w:r w:rsidR="00C34417">
        <w:rPr>
          <w:noProof/>
        </w:rPr>
        <w:t>on</w:t>
      </w:r>
      <w:r w:rsidR="00CE2D0B">
        <w:rPr>
          <w:noProof/>
        </w:rPr>
        <w:t xml:space="preserve"> a single</w:t>
      </w:r>
      <w:r w:rsidR="00000174">
        <w:rPr>
          <w:noProof/>
        </w:rPr>
        <w:t xml:space="preserve"> </w:t>
      </w:r>
      <w:r w:rsidR="00023CCD" w:rsidRPr="00DE264C">
        <w:rPr>
          <w:noProof/>
        </w:rPr>
        <w:t>closed network</w:t>
      </w:r>
      <w:r w:rsidR="781BB912" w:rsidRPr="00DE264C">
        <w:rPr>
          <w:noProof/>
        </w:rPr>
        <w:t>.</w:t>
      </w:r>
      <w:r w:rsidR="00023CCD" w:rsidRPr="00DE264C">
        <w:rPr>
          <w:noProof/>
        </w:rPr>
        <w:t xml:space="preserve"> </w:t>
      </w:r>
    </w:p>
    <w:p w14:paraId="507B8050" w14:textId="10982A6B" w:rsidR="00023CCD" w:rsidRPr="00DE264C" w:rsidRDefault="00B40D78" w:rsidP="00023AFB">
      <w:pPr>
        <w:pStyle w:val="ListParagraph"/>
        <w:numPr>
          <w:ilvl w:val="0"/>
          <w:numId w:val="103"/>
        </w:numPr>
        <w:spacing w:line="240" w:lineRule="auto"/>
        <w:ind w:left="777" w:hanging="357"/>
        <w:rPr>
          <w:noProof/>
        </w:rPr>
      </w:pPr>
      <w:r w:rsidRPr="00DE264C">
        <w:rPr>
          <w:noProof/>
        </w:rPr>
        <w:t>Maint</w:t>
      </w:r>
      <w:r>
        <w:rPr>
          <w:noProof/>
        </w:rPr>
        <w:t>ain</w:t>
      </w:r>
      <w:r w:rsidR="00023CCD" w:rsidRPr="00DE264C">
        <w:rPr>
          <w:noProof/>
        </w:rPr>
        <w:t xml:space="preserve"> </w:t>
      </w:r>
      <w:r w:rsidR="00C10F43" w:rsidRPr="00DE264C">
        <w:rPr>
          <w:noProof/>
        </w:rPr>
        <w:t>SMP</w:t>
      </w:r>
      <w:r w:rsidR="00E5283C">
        <w:rPr>
          <w:noProof/>
        </w:rPr>
        <w:t xml:space="preserve"> framework</w:t>
      </w:r>
      <w:r w:rsidR="00023CCD" w:rsidRPr="00DE264C">
        <w:rPr>
          <w:noProof/>
        </w:rPr>
        <w:t xml:space="preserve"> with </w:t>
      </w:r>
      <w:r w:rsidR="00E5283C" w:rsidRPr="00E5283C">
        <w:rPr>
          <w:noProof/>
        </w:rPr>
        <w:t xml:space="preserve">minimal amendments: </w:t>
      </w:r>
      <w:r w:rsidR="00023CCD" w:rsidRPr="00DE264C">
        <w:rPr>
          <w:noProof/>
        </w:rPr>
        <w:t>simplification where possible (removal of unused and potentially incoherent measures) and limited adaptations to improve usability of measures that have proven to be valuable where applied such as Article</w:t>
      </w:r>
      <w:r w:rsidR="00A907F2">
        <w:rPr>
          <w:noProof/>
        </w:rPr>
        <w:t> </w:t>
      </w:r>
      <w:r w:rsidR="00023CCD" w:rsidRPr="00DE264C">
        <w:rPr>
          <w:noProof/>
        </w:rPr>
        <w:t>22 (geographic surveys) and Article</w:t>
      </w:r>
      <w:r w:rsidR="00A907F2">
        <w:rPr>
          <w:noProof/>
        </w:rPr>
        <w:t> </w:t>
      </w:r>
      <w:r w:rsidR="00023CCD" w:rsidRPr="00DE264C">
        <w:rPr>
          <w:noProof/>
        </w:rPr>
        <w:t>61(3)</w:t>
      </w:r>
    </w:p>
    <w:p w14:paraId="2CF65A93" w14:textId="74B537E2" w:rsidR="00023CCD" w:rsidRPr="00DE264C" w:rsidRDefault="00023CCD" w:rsidP="00023AFB">
      <w:pPr>
        <w:pStyle w:val="ListParagraph"/>
        <w:numPr>
          <w:ilvl w:val="0"/>
          <w:numId w:val="103"/>
        </w:numPr>
        <w:spacing w:line="240" w:lineRule="auto"/>
        <w:ind w:left="777" w:hanging="357"/>
        <w:rPr>
          <w:noProof/>
        </w:rPr>
      </w:pPr>
      <w:r w:rsidRPr="00DE264C">
        <w:rPr>
          <w:noProof/>
        </w:rPr>
        <w:t>Maint</w:t>
      </w:r>
      <w:r w:rsidR="00776A4B">
        <w:rPr>
          <w:noProof/>
        </w:rPr>
        <w:t xml:space="preserve">ain </w:t>
      </w:r>
      <w:r w:rsidR="006369CA" w:rsidRPr="00DE264C">
        <w:rPr>
          <w:noProof/>
        </w:rPr>
        <w:t>SMP</w:t>
      </w:r>
      <w:r w:rsidR="006369CA">
        <w:rPr>
          <w:noProof/>
        </w:rPr>
        <w:t xml:space="preserve"> framework</w:t>
      </w:r>
      <w:r w:rsidR="006369CA" w:rsidRPr="00DE264C">
        <w:rPr>
          <w:noProof/>
        </w:rPr>
        <w:t xml:space="preserve"> </w:t>
      </w:r>
      <w:r w:rsidR="00A26583" w:rsidRPr="00A26583">
        <w:rPr>
          <w:noProof/>
        </w:rPr>
        <w:t xml:space="preserve">with more substantial improvements: </w:t>
      </w:r>
      <w:r w:rsidRPr="00DE264C">
        <w:rPr>
          <w:noProof/>
        </w:rPr>
        <w:t>of the existing regime with simplification where possible (removal of unused and potentially incoherent measures) and more extensive adaptations to improve usability of measures that have proven to be valuable where applied such as Article</w:t>
      </w:r>
      <w:r w:rsidR="00A907F2">
        <w:rPr>
          <w:noProof/>
        </w:rPr>
        <w:t> </w:t>
      </w:r>
      <w:r w:rsidRPr="00DE264C">
        <w:rPr>
          <w:noProof/>
        </w:rPr>
        <w:t>22 (geographic surveys) Article</w:t>
      </w:r>
      <w:r w:rsidR="00A907F2">
        <w:rPr>
          <w:noProof/>
        </w:rPr>
        <w:t> </w:t>
      </w:r>
      <w:r w:rsidRPr="00DE264C">
        <w:rPr>
          <w:noProof/>
        </w:rPr>
        <w:t>61(3), as well as strong guidance regarding wholesale access specifications, requiring justification for departure</w:t>
      </w:r>
      <w:r w:rsidR="17100B5D" w:rsidRPr="00DE264C">
        <w:rPr>
          <w:noProof/>
        </w:rPr>
        <w:t>.</w:t>
      </w:r>
      <w:r w:rsidRPr="00DE264C">
        <w:rPr>
          <w:noProof/>
        </w:rPr>
        <w:t xml:space="preserve"> </w:t>
      </w:r>
    </w:p>
    <w:p w14:paraId="01FD8742" w14:textId="74CE14F5" w:rsidR="00023CCD" w:rsidRPr="00DE264C" w:rsidRDefault="0043240A" w:rsidP="00023AFB">
      <w:pPr>
        <w:pStyle w:val="ListParagraph"/>
        <w:numPr>
          <w:ilvl w:val="0"/>
          <w:numId w:val="103"/>
        </w:numPr>
        <w:spacing w:line="240" w:lineRule="auto"/>
        <w:ind w:left="777" w:hanging="357"/>
        <w:rPr>
          <w:noProof/>
        </w:rPr>
      </w:pPr>
      <w:r w:rsidRPr="0043240A">
        <w:rPr>
          <w:noProof/>
        </w:rPr>
        <w:t>Symmetric regulation</w:t>
      </w:r>
      <w:r>
        <w:rPr>
          <w:noProof/>
        </w:rPr>
        <w:t>:</w:t>
      </w:r>
      <w:r w:rsidR="00FB34B4" w:rsidRPr="00FB34B4">
        <w:rPr>
          <w:noProof/>
        </w:rPr>
        <w:t xml:space="preserve"> </w:t>
      </w:r>
      <w:r w:rsidR="003012F3">
        <w:rPr>
          <w:noProof/>
        </w:rPr>
        <w:t>r</w:t>
      </w:r>
      <w:r w:rsidR="00023CCD" w:rsidRPr="00DE264C">
        <w:rPr>
          <w:noProof/>
        </w:rPr>
        <w:t xml:space="preserve">eplace the existing access regime with a broader set of access obligations </w:t>
      </w:r>
      <w:r w:rsidR="00721EDE">
        <w:rPr>
          <w:noProof/>
        </w:rPr>
        <w:t>for</w:t>
      </w:r>
      <w:r w:rsidR="00023CCD" w:rsidRPr="00DE264C">
        <w:rPr>
          <w:noProof/>
        </w:rPr>
        <w:t xml:space="preserve"> all operators </w:t>
      </w:r>
      <w:r w:rsidR="003012F3">
        <w:rPr>
          <w:noProof/>
        </w:rPr>
        <w:t xml:space="preserve"> </w:t>
      </w:r>
    </w:p>
    <w:p w14:paraId="763A97E2" w14:textId="20441B18" w:rsidR="00023CCD" w:rsidRPr="00DE264C" w:rsidRDefault="00023CCD" w:rsidP="00023AFB">
      <w:pPr>
        <w:spacing w:line="240" w:lineRule="auto"/>
        <w:rPr>
          <w:noProof/>
        </w:rPr>
      </w:pPr>
      <w:r w:rsidRPr="00DE264C">
        <w:rPr>
          <w:noProof/>
        </w:rPr>
        <w:t xml:space="preserve">The combinations that were ultimately selected for full analysis are shown in the following table. </w:t>
      </w:r>
    </w:p>
    <w:p w14:paraId="40E1C00D" w14:textId="4041D96A" w:rsidR="00023CCD" w:rsidRPr="00F15E10" w:rsidRDefault="00344793" w:rsidP="00531B1F">
      <w:pPr>
        <w:keepNext/>
        <w:keepLines/>
        <w:rPr>
          <w:i/>
          <w:noProof/>
          <w:u w:val="single"/>
        </w:rPr>
      </w:pPr>
      <w:r w:rsidRPr="00F15E10">
        <w:rPr>
          <w:i/>
          <w:noProof/>
          <w:u w:val="single"/>
        </w:rPr>
        <w:t xml:space="preserve">Table </w:t>
      </w:r>
      <w:r w:rsidR="00F15E10">
        <w:rPr>
          <w:i/>
          <w:iCs/>
          <w:noProof/>
          <w:u w:val="single"/>
        </w:rPr>
        <w:t>1</w:t>
      </w:r>
      <w:r w:rsidR="009E7C22">
        <w:rPr>
          <w:i/>
          <w:iCs/>
          <w:noProof/>
          <w:u w:val="single"/>
        </w:rPr>
        <w:t>8</w:t>
      </w:r>
      <w:r w:rsidRPr="00F15E10">
        <w:rPr>
          <w:i/>
          <w:noProof/>
          <w:u w:val="single"/>
        </w:rPr>
        <w:t xml:space="preserve">: Range of potential policy </w:t>
      </w:r>
      <w:r w:rsidR="00BA4561" w:rsidRPr="00F15E10">
        <w:rPr>
          <w:i/>
          <w:noProof/>
          <w:u w:val="single"/>
        </w:rPr>
        <w:t>choices</w:t>
      </w:r>
      <w:r w:rsidRPr="00F15E10">
        <w:rPr>
          <w:i/>
          <w:noProof/>
          <w:u w:val="single"/>
        </w:rPr>
        <w:t xml:space="preserve"> </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5"/>
        <w:gridCol w:w="1756"/>
        <w:gridCol w:w="1756"/>
        <w:gridCol w:w="1756"/>
        <w:gridCol w:w="1756"/>
      </w:tblGrid>
      <w:tr w:rsidR="00023CCD" w:rsidRPr="00D54119" w14:paraId="5C27B4EE" w14:textId="77777777">
        <w:tc>
          <w:tcPr>
            <w:tcW w:w="1755" w:type="dxa"/>
          </w:tcPr>
          <w:p w14:paraId="2F91825F" w14:textId="77777777" w:rsidR="00023CCD" w:rsidRPr="00D54119" w:rsidRDefault="00023CCD" w:rsidP="00531B1F">
            <w:pPr>
              <w:keepNext/>
              <w:keepLines/>
              <w:spacing w:after="120"/>
              <w:rPr>
                <w:noProof/>
                <w:sz w:val="20"/>
                <w:szCs w:val="20"/>
              </w:rPr>
            </w:pPr>
          </w:p>
        </w:tc>
        <w:tc>
          <w:tcPr>
            <w:tcW w:w="1756" w:type="dxa"/>
          </w:tcPr>
          <w:p w14:paraId="7C435392" w14:textId="77777777" w:rsidR="00023CCD" w:rsidRPr="00D54119" w:rsidRDefault="00023CCD" w:rsidP="00531B1F">
            <w:pPr>
              <w:keepNext/>
              <w:keepLines/>
              <w:spacing w:after="120"/>
              <w:rPr>
                <w:noProof/>
                <w:sz w:val="20"/>
                <w:szCs w:val="20"/>
              </w:rPr>
            </w:pPr>
            <w:r w:rsidRPr="00D54119">
              <w:rPr>
                <w:noProof/>
                <w:sz w:val="20"/>
                <w:szCs w:val="20"/>
              </w:rPr>
              <w:t>CSO deregulation</w:t>
            </w:r>
          </w:p>
        </w:tc>
        <w:tc>
          <w:tcPr>
            <w:tcW w:w="1756" w:type="dxa"/>
          </w:tcPr>
          <w:p w14:paraId="3DE9F8CE" w14:textId="77777777" w:rsidR="00023CCD" w:rsidRPr="00D54119" w:rsidRDefault="00023CCD" w:rsidP="00531B1F">
            <w:pPr>
              <w:keepNext/>
              <w:keepLines/>
              <w:spacing w:after="120"/>
              <w:rPr>
                <w:noProof/>
                <w:sz w:val="20"/>
                <w:szCs w:val="20"/>
              </w:rPr>
            </w:pPr>
            <w:r w:rsidRPr="00D54119">
              <w:rPr>
                <w:noProof/>
                <w:sz w:val="20"/>
                <w:szCs w:val="20"/>
              </w:rPr>
              <w:t>Non-binding CSO</w:t>
            </w:r>
          </w:p>
        </w:tc>
        <w:tc>
          <w:tcPr>
            <w:tcW w:w="1756" w:type="dxa"/>
          </w:tcPr>
          <w:p w14:paraId="53FADEE9" w14:textId="77777777" w:rsidR="00023CCD" w:rsidRPr="00D54119" w:rsidRDefault="00023CCD" w:rsidP="00531B1F">
            <w:pPr>
              <w:keepNext/>
              <w:keepLines/>
              <w:spacing w:after="120"/>
              <w:rPr>
                <w:noProof/>
                <w:sz w:val="20"/>
                <w:szCs w:val="20"/>
              </w:rPr>
            </w:pPr>
            <w:r w:rsidRPr="00D54119">
              <w:rPr>
                <w:noProof/>
                <w:sz w:val="20"/>
                <w:szCs w:val="20"/>
              </w:rPr>
              <w:t>Conditional CSO</w:t>
            </w:r>
          </w:p>
        </w:tc>
        <w:tc>
          <w:tcPr>
            <w:tcW w:w="1756" w:type="dxa"/>
          </w:tcPr>
          <w:p w14:paraId="5A4675F2" w14:textId="77777777" w:rsidR="00023CCD" w:rsidRPr="00D54119" w:rsidRDefault="00023CCD" w:rsidP="00531B1F">
            <w:pPr>
              <w:keepNext/>
              <w:keepLines/>
              <w:spacing w:after="120"/>
              <w:rPr>
                <w:noProof/>
                <w:sz w:val="20"/>
                <w:szCs w:val="20"/>
              </w:rPr>
            </w:pPr>
            <w:r w:rsidRPr="00D54119">
              <w:rPr>
                <w:noProof/>
                <w:sz w:val="20"/>
                <w:szCs w:val="20"/>
              </w:rPr>
              <w:t>Unconditional CSO</w:t>
            </w:r>
          </w:p>
        </w:tc>
      </w:tr>
      <w:tr w:rsidR="00023CCD" w:rsidRPr="00D54119" w14:paraId="763DD703" w14:textId="77777777">
        <w:tc>
          <w:tcPr>
            <w:tcW w:w="1755" w:type="dxa"/>
          </w:tcPr>
          <w:p w14:paraId="7A54FD80" w14:textId="77777777" w:rsidR="00023CCD" w:rsidRPr="00D54119" w:rsidRDefault="00023CCD" w:rsidP="00531B1F">
            <w:pPr>
              <w:keepNext/>
              <w:keepLines/>
              <w:spacing w:after="120"/>
              <w:rPr>
                <w:noProof/>
                <w:sz w:val="20"/>
                <w:szCs w:val="20"/>
              </w:rPr>
            </w:pPr>
            <w:r w:rsidRPr="00D54119">
              <w:rPr>
                <w:noProof/>
                <w:sz w:val="20"/>
                <w:szCs w:val="20"/>
              </w:rPr>
              <w:t>Access deregulation (bottleneck)</w:t>
            </w:r>
          </w:p>
        </w:tc>
        <w:tc>
          <w:tcPr>
            <w:tcW w:w="1756" w:type="dxa"/>
          </w:tcPr>
          <w:p w14:paraId="298E1F0C" w14:textId="77777777" w:rsidR="00023CCD" w:rsidRPr="00D54119" w:rsidRDefault="00023CCD" w:rsidP="00531B1F">
            <w:pPr>
              <w:keepNext/>
              <w:keepLines/>
              <w:spacing w:after="120"/>
              <w:jc w:val="center"/>
              <w:rPr>
                <w:noProof/>
                <w:sz w:val="20"/>
                <w:szCs w:val="20"/>
              </w:rPr>
            </w:pPr>
            <w:r w:rsidRPr="00D54119">
              <w:rPr>
                <w:noProof/>
                <w:sz w:val="20"/>
                <w:szCs w:val="20"/>
              </w:rPr>
              <w:t>Option 3</w:t>
            </w:r>
          </w:p>
        </w:tc>
        <w:tc>
          <w:tcPr>
            <w:tcW w:w="1756" w:type="dxa"/>
          </w:tcPr>
          <w:p w14:paraId="4C49D977" w14:textId="77777777" w:rsidR="00023CCD" w:rsidRPr="00D54119" w:rsidRDefault="00023CCD" w:rsidP="00531B1F">
            <w:pPr>
              <w:keepNext/>
              <w:keepLines/>
              <w:spacing w:after="120"/>
              <w:jc w:val="center"/>
              <w:rPr>
                <w:noProof/>
                <w:sz w:val="20"/>
                <w:szCs w:val="20"/>
              </w:rPr>
            </w:pPr>
          </w:p>
        </w:tc>
        <w:tc>
          <w:tcPr>
            <w:tcW w:w="1756" w:type="dxa"/>
          </w:tcPr>
          <w:p w14:paraId="4828765C" w14:textId="77777777" w:rsidR="00023CCD" w:rsidRPr="00D54119" w:rsidRDefault="00023CCD" w:rsidP="00531B1F">
            <w:pPr>
              <w:keepNext/>
              <w:keepLines/>
              <w:spacing w:after="120"/>
              <w:jc w:val="center"/>
              <w:rPr>
                <w:noProof/>
                <w:sz w:val="20"/>
                <w:szCs w:val="20"/>
              </w:rPr>
            </w:pPr>
          </w:p>
        </w:tc>
        <w:tc>
          <w:tcPr>
            <w:tcW w:w="1756" w:type="dxa"/>
          </w:tcPr>
          <w:p w14:paraId="53516FE0" w14:textId="77777777" w:rsidR="00023CCD" w:rsidRPr="00D54119" w:rsidRDefault="00023CCD" w:rsidP="00531B1F">
            <w:pPr>
              <w:keepNext/>
              <w:keepLines/>
              <w:spacing w:after="120"/>
              <w:jc w:val="center"/>
              <w:rPr>
                <w:noProof/>
                <w:sz w:val="20"/>
                <w:szCs w:val="20"/>
              </w:rPr>
            </w:pPr>
          </w:p>
        </w:tc>
      </w:tr>
      <w:tr w:rsidR="00023CCD" w:rsidRPr="00D54119" w14:paraId="336FA19D" w14:textId="77777777">
        <w:tc>
          <w:tcPr>
            <w:tcW w:w="1755" w:type="dxa"/>
          </w:tcPr>
          <w:p w14:paraId="3D6E8AD9" w14:textId="77777777" w:rsidR="00023CCD" w:rsidRPr="00D54119" w:rsidRDefault="00023CCD" w:rsidP="00531B1F">
            <w:pPr>
              <w:keepNext/>
              <w:keepLines/>
              <w:spacing w:after="120"/>
              <w:rPr>
                <w:noProof/>
                <w:sz w:val="20"/>
                <w:szCs w:val="20"/>
              </w:rPr>
            </w:pPr>
            <w:r w:rsidRPr="00D54119">
              <w:rPr>
                <w:noProof/>
                <w:sz w:val="20"/>
                <w:szCs w:val="20"/>
              </w:rPr>
              <w:t>Access status quo with small amendments</w:t>
            </w:r>
          </w:p>
        </w:tc>
        <w:tc>
          <w:tcPr>
            <w:tcW w:w="1756" w:type="dxa"/>
          </w:tcPr>
          <w:p w14:paraId="54D16AF1" w14:textId="77777777" w:rsidR="00023CCD" w:rsidRPr="00D54119" w:rsidRDefault="00023CCD" w:rsidP="00531B1F">
            <w:pPr>
              <w:keepNext/>
              <w:keepLines/>
              <w:spacing w:after="120"/>
              <w:jc w:val="center"/>
              <w:rPr>
                <w:noProof/>
                <w:sz w:val="20"/>
                <w:szCs w:val="20"/>
              </w:rPr>
            </w:pPr>
          </w:p>
        </w:tc>
        <w:tc>
          <w:tcPr>
            <w:tcW w:w="1756" w:type="dxa"/>
          </w:tcPr>
          <w:p w14:paraId="01007DAA" w14:textId="77777777" w:rsidR="00023CCD" w:rsidRPr="00D54119" w:rsidRDefault="00023CCD" w:rsidP="00531B1F">
            <w:pPr>
              <w:keepNext/>
              <w:keepLines/>
              <w:spacing w:after="120"/>
              <w:jc w:val="center"/>
              <w:rPr>
                <w:noProof/>
                <w:sz w:val="20"/>
                <w:szCs w:val="20"/>
              </w:rPr>
            </w:pPr>
            <w:r w:rsidRPr="00D54119">
              <w:rPr>
                <w:noProof/>
                <w:sz w:val="20"/>
                <w:szCs w:val="20"/>
              </w:rPr>
              <w:t>Option 1</w:t>
            </w:r>
          </w:p>
        </w:tc>
        <w:tc>
          <w:tcPr>
            <w:tcW w:w="1756" w:type="dxa"/>
          </w:tcPr>
          <w:p w14:paraId="0AE19BA2" w14:textId="77777777" w:rsidR="00023CCD" w:rsidRPr="00D54119" w:rsidRDefault="00023CCD" w:rsidP="00531B1F">
            <w:pPr>
              <w:keepNext/>
              <w:keepLines/>
              <w:spacing w:after="120"/>
              <w:jc w:val="center"/>
              <w:rPr>
                <w:noProof/>
                <w:sz w:val="20"/>
                <w:szCs w:val="20"/>
              </w:rPr>
            </w:pPr>
          </w:p>
        </w:tc>
        <w:tc>
          <w:tcPr>
            <w:tcW w:w="1756" w:type="dxa"/>
          </w:tcPr>
          <w:p w14:paraId="0C1C4429" w14:textId="77777777" w:rsidR="00023CCD" w:rsidRPr="00D54119" w:rsidRDefault="00023CCD" w:rsidP="00531B1F">
            <w:pPr>
              <w:keepNext/>
              <w:keepLines/>
              <w:spacing w:after="120"/>
              <w:jc w:val="center"/>
              <w:rPr>
                <w:noProof/>
                <w:sz w:val="20"/>
                <w:szCs w:val="20"/>
              </w:rPr>
            </w:pPr>
          </w:p>
        </w:tc>
      </w:tr>
      <w:tr w:rsidR="00023CCD" w:rsidRPr="00D54119" w14:paraId="0440E16B" w14:textId="77777777">
        <w:tc>
          <w:tcPr>
            <w:tcW w:w="1755" w:type="dxa"/>
          </w:tcPr>
          <w:p w14:paraId="5C97D585" w14:textId="77777777" w:rsidR="00023CCD" w:rsidRPr="00D54119" w:rsidRDefault="00023CCD" w:rsidP="00531B1F">
            <w:pPr>
              <w:keepNext/>
              <w:keepLines/>
              <w:spacing w:after="120"/>
              <w:rPr>
                <w:noProof/>
                <w:sz w:val="20"/>
                <w:szCs w:val="20"/>
              </w:rPr>
            </w:pPr>
            <w:r w:rsidRPr="00D54119">
              <w:rPr>
                <w:noProof/>
                <w:sz w:val="20"/>
                <w:szCs w:val="20"/>
              </w:rPr>
              <w:t>Access status quo with more significant amendments</w:t>
            </w:r>
          </w:p>
        </w:tc>
        <w:tc>
          <w:tcPr>
            <w:tcW w:w="1756" w:type="dxa"/>
          </w:tcPr>
          <w:p w14:paraId="47E72A77" w14:textId="77777777" w:rsidR="00023CCD" w:rsidRPr="00D54119" w:rsidRDefault="00023CCD" w:rsidP="00531B1F">
            <w:pPr>
              <w:keepNext/>
              <w:keepLines/>
              <w:spacing w:after="120"/>
              <w:jc w:val="center"/>
              <w:rPr>
                <w:noProof/>
                <w:sz w:val="20"/>
                <w:szCs w:val="20"/>
              </w:rPr>
            </w:pPr>
          </w:p>
        </w:tc>
        <w:tc>
          <w:tcPr>
            <w:tcW w:w="1756" w:type="dxa"/>
          </w:tcPr>
          <w:p w14:paraId="0A5502FB" w14:textId="77777777" w:rsidR="00023CCD" w:rsidRPr="00D54119" w:rsidRDefault="00023CCD" w:rsidP="00531B1F">
            <w:pPr>
              <w:keepNext/>
              <w:keepLines/>
              <w:spacing w:after="120"/>
              <w:jc w:val="center"/>
              <w:rPr>
                <w:noProof/>
                <w:sz w:val="20"/>
                <w:szCs w:val="20"/>
              </w:rPr>
            </w:pPr>
          </w:p>
        </w:tc>
        <w:tc>
          <w:tcPr>
            <w:tcW w:w="1756" w:type="dxa"/>
          </w:tcPr>
          <w:p w14:paraId="7A60124C" w14:textId="77777777" w:rsidR="00023CCD" w:rsidRPr="00D54119" w:rsidRDefault="00023CCD" w:rsidP="00531B1F">
            <w:pPr>
              <w:keepNext/>
              <w:keepLines/>
              <w:spacing w:after="120"/>
              <w:jc w:val="center"/>
              <w:rPr>
                <w:noProof/>
                <w:sz w:val="20"/>
                <w:szCs w:val="20"/>
              </w:rPr>
            </w:pPr>
            <w:r w:rsidRPr="00D54119">
              <w:rPr>
                <w:noProof/>
                <w:sz w:val="20"/>
                <w:szCs w:val="20"/>
              </w:rPr>
              <w:t>Option 2</w:t>
            </w:r>
          </w:p>
        </w:tc>
        <w:tc>
          <w:tcPr>
            <w:tcW w:w="1756" w:type="dxa"/>
          </w:tcPr>
          <w:p w14:paraId="52AAF9E0" w14:textId="77777777" w:rsidR="00023CCD" w:rsidRPr="00D54119" w:rsidRDefault="00023CCD" w:rsidP="00531B1F">
            <w:pPr>
              <w:keepNext/>
              <w:keepLines/>
              <w:spacing w:after="120"/>
              <w:jc w:val="center"/>
              <w:rPr>
                <w:noProof/>
                <w:sz w:val="20"/>
                <w:szCs w:val="20"/>
              </w:rPr>
            </w:pPr>
          </w:p>
        </w:tc>
      </w:tr>
      <w:tr w:rsidR="00023CCD" w:rsidRPr="00D54119" w14:paraId="4E34A016" w14:textId="77777777">
        <w:tc>
          <w:tcPr>
            <w:tcW w:w="1755" w:type="dxa"/>
          </w:tcPr>
          <w:p w14:paraId="48146D95" w14:textId="77777777" w:rsidR="00023CCD" w:rsidRPr="00D54119" w:rsidRDefault="00023CCD" w:rsidP="00531B1F">
            <w:pPr>
              <w:keepNext/>
              <w:keepLines/>
              <w:spacing w:after="120"/>
              <w:rPr>
                <w:noProof/>
                <w:sz w:val="20"/>
                <w:szCs w:val="20"/>
              </w:rPr>
            </w:pPr>
            <w:r w:rsidRPr="00D54119">
              <w:rPr>
                <w:noProof/>
                <w:sz w:val="20"/>
                <w:szCs w:val="20"/>
              </w:rPr>
              <w:t>Symmetric access regulation – all players provide access</w:t>
            </w:r>
          </w:p>
        </w:tc>
        <w:tc>
          <w:tcPr>
            <w:tcW w:w="1756" w:type="dxa"/>
          </w:tcPr>
          <w:p w14:paraId="52BCD14F" w14:textId="77777777" w:rsidR="00023CCD" w:rsidRPr="00D54119" w:rsidRDefault="00023CCD" w:rsidP="00531B1F">
            <w:pPr>
              <w:keepNext/>
              <w:keepLines/>
              <w:spacing w:after="120"/>
              <w:jc w:val="center"/>
              <w:rPr>
                <w:noProof/>
                <w:sz w:val="20"/>
                <w:szCs w:val="20"/>
              </w:rPr>
            </w:pPr>
          </w:p>
        </w:tc>
        <w:tc>
          <w:tcPr>
            <w:tcW w:w="1756" w:type="dxa"/>
          </w:tcPr>
          <w:p w14:paraId="30B697EB" w14:textId="77777777" w:rsidR="00023CCD" w:rsidRPr="00D54119" w:rsidRDefault="00023CCD" w:rsidP="00531B1F">
            <w:pPr>
              <w:keepNext/>
              <w:keepLines/>
              <w:spacing w:after="120"/>
              <w:jc w:val="center"/>
              <w:rPr>
                <w:noProof/>
                <w:sz w:val="20"/>
                <w:szCs w:val="20"/>
              </w:rPr>
            </w:pPr>
          </w:p>
        </w:tc>
        <w:tc>
          <w:tcPr>
            <w:tcW w:w="1756" w:type="dxa"/>
          </w:tcPr>
          <w:p w14:paraId="67EEF281" w14:textId="77777777" w:rsidR="00023CCD" w:rsidRPr="00D54119" w:rsidRDefault="00023CCD" w:rsidP="00531B1F">
            <w:pPr>
              <w:keepNext/>
              <w:keepLines/>
              <w:spacing w:after="120"/>
              <w:jc w:val="center"/>
              <w:rPr>
                <w:noProof/>
                <w:sz w:val="20"/>
                <w:szCs w:val="20"/>
              </w:rPr>
            </w:pPr>
          </w:p>
        </w:tc>
        <w:tc>
          <w:tcPr>
            <w:tcW w:w="1756" w:type="dxa"/>
          </w:tcPr>
          <w:p w14:paraId="54DA1A6D" w14:textId="77777777" w:rsidR="00023CCD" w:rsidRPr="00D54119" w:rsidRDefault="00023CCD" w:rsidP="00531B1F">
            <w:pPr>
              <w:keepNext/>
              <w:keepLines/>
              <w:spacing w:after="120"/>
              <w:jc w:val="center"/>
              <w:rPr>
                <w:noProof/>
                <w:sz w:val="20"/>
                <w:szCs w:val="20"/>
              </w:rPr>
            </w:pPr>
            <w:r w:rsidRPr="00D54119">
              <w:rPr>
                <w:noProof/>
                <w:sz w:val="20"/>
                <w:szCs w:val="20"/>
              </w:rPr>
              <w:t>Option 4</w:t>
            </w:r>
          </w:p>
        </w:tc>
      </w:tr>
    </w:tbl>
    <w:p w14:paraId="79F38BC7" w14:textId="6E220FCA" w:rsidR="00023CCD" w:rsidRPr="00DE264C" w:rsidRDefault="00023CCD" w:rsidP="00023AFB">
      <w:pPr>
        <w:spacing w:before="240" w:line="240" w:lineRule="auto"/>
        <w:rPr>
          <w:noProof/>
        </w:rPr>
      </w:pPr>
      <w:r w:rsidRPr="00DE264C">
        <w:rPr>
          <w:noProof/>
        </w:rPr>
        <w:t xml:space="preserve">These combinations (Options 1-4) </w:t>
      </w:r>
      <w:r w:rsidR="006D2CDB">
        <w:rPr>
          <w:noProof/>
        </w:rPr>
        <w:t xml:space="preserve">combine </w:t>
      </w:r>
      <w:r w:rsidRPr="00DE264C">
        <w:rPr>
          <w:noProof/>
        </w:rPr>
        <w:t xml:space="preserve">policy </w:t>
      </w:r>
      <w:r w:rsidR="00BA4561">
        <w:rPr>
          <w:noProof/>
        </w:rPr>
        <w:t xml:space="preserve">choices with the same </w:t>
      </w:r>
      <w:r w:rsidR="00D57ED9">
        <w:rPr>
          <w:noProof/>
        </w:rPr>
        <w:t xml:space="preserve">level of intervention for </w:t>
      </w:r>
      <w:r w:rsidR="009E4D25">
        <w:rPr>
          <w:noProof/>
        </w:rPr>
        <w:t xml:space="preserve">both </w:t>
      </w:r>
      <w:r w:rsidR="1F915D08">
        <w:rPr>
          <w:noProof/>
        </w:rPr>
        <w:t>components</w:t>
      </w:r>
      <w:r w:rsidR="009E4D25">
        <w:rPr>
          <w:noProof/>
        </w:rPr>
        <w:t>, copper switch-off and access regulation. Thus they</w:t>
      </w:r>
      <w:r w:rsidR="00820E71">
        <w:rPr>
          <w:noProof/>
        </w:rPr>
        <w:t xml:space="preserve"> are the most coherent combinations</w:t>
      </w:r>
      <w:r w:rsidR="006B6829">
        <w:rPr>
          <w:noProof/>
        </w:rPr>
        <w:t>. They also cover a sufficiently wide range of approaches</w:t>
      </w:r>
      <w:r w:rsidRPr="00DE264C">
        <w:rPr>
          <w:noProof/>
        </w:rPr>
        <w:t xml:space="preserve"> from market based to </w:t>
      </w:r>
      <w:r w:rsidR="00544F64">
        <w:rPr>
          <w:noProof/>
        </w:rPr>
        <w:t>strong</w:t>
      </w:r>
      <w:r w:rsidR="00544F64" w:rsidRPr="00DE264C">
        <w:rPr>
          <w:noProof/>
        </w:rPr>
        <w:t xml:space="preserve"> </w:t>
      </w:r>
      <w:r w:rsidRPr="00DE264C">
        <w:rPr>
          <w:noProof/>
        </w:rPr>
        <w:t>EU</w:t>
      </w:r>
      <w:r w:rsidR="00544F64">
        <w:rPr>
          <w:noProof/>
        </w:rPr>
        <w:t>-</w:t>
      </w:r>
      <w:r w:rsidRPr="00DE264C">
        <w:rPr>
          <w:noProof/>
        </w:rPr>
        <w:t>level</w:t>
      </w:r>
      <w:r w:rsidR="00544F64">
        <w:rPr>
          <w:noProof/>
        </w:rPr>
        <w:t xml:space="preserve"> involvement</w:t>
      </w:r>
      <w:r w:rsidRPr="00DE264C">
        <w:rPr>
          <w:noProof/>
        </w:rPr>
        <w:t>. For example:</w:t>
      </w:r>
    </w:p>
    <w:p w14:paraId="0F463F24" w14:textId="672DC60C" w:rsidR="00023CCD" w:rsidRPr="00DE264C" w:rsidRDefault="00023CCD" w:rsidP="00023AFB">
      <w:pPr>
        <w:pStyle w:val="ListParagraph"/>
        <w:numPr>
          <w:ilvl w:val="0"/>
          <w:numId w:val="102"/>
        </w:numPr>
        <w:spacing w:line="240" w:lineRule="auto"/>
        <w:contextualSpacing w:val="0"/>
        <w:rPr>
          <w:noProof/>
        </w:rPr>
      </w:pPr>
      <w:r w:rsidRPr="00DE264C">
        <w:rPr>
          <w:noProof/>
        </w:rPr>
        <w:t xml:space="preserve">Extensive deregulation of wholesale access on the assumption that the market would function better in the absence of intervention in delivering FTTH investment is compatible with a laissez faire approach to copper switch-off, as the market could be assumed in this context also to deliver CSO when appropriate for investors and end-users. Under such a scenario it would also be logical that the market would be assumed to deliver appropriate wholesale access products and thus no provision is made for EU-level standardisation. This is captured in </w:t>
      </w:r>
      <w:r w:rsidR="00CB6052">
        <w:rPr>
          <w:noProof/>
        </w:rPr>
        <w:t>o</w:t>
      </w:r>
      <w:r w:rsidRPr="00DE264C">
        <w:rPr>
          <w:noProof/>
        </w:rPr>
        <w:t>ption 3.</w:t>
      </w:r>
    </w:p>
    <w:p w14:paraId="14F106A5" w14:textId="7C11B9CA" w:rsidR="00023CCD" w:rsidRPr="00DE264C" w:rsidRDefault="00023CCD" w:rsidP="00023AFB">
      <w:pPr>
        <w:pStyle w:val="ListParagraph"/>
        <w:numPr>
          <w:ilvl w:val="0"/>
          <w:numId w:val="102"/>
        </w:numPr>
        <w:spacing w:line="240" w:lineRule="auto"/>
        <w:contextualSpacing w:val="0"/>
        <w:rPr>
          <w:noProof/>
        </w:rPr>
      </w:pPr>
      <w:r w:rsidRPr="00DE264C">
        <w:rPr>
          <w:noProof/>
        </w:rPr>
        <w:t>An incremental approach to CSO, based on non-binding deadlines established in legislation, and therefore leaving discretion to Member States is coherent with an incremental approach to access regulation, where the existing regime is maintained but complemented with non-binding but legislatively backed guidelines on wholesale access product specifications, and minor amendments to address identified problems e.g. in data gathering and lack of attention to Article</w:t>
      </w:r>
      <w:r w:rsidR="00A907F2">
        <w:rPr>
          <w:noProof/>
        </w:rPr>
        <w:t> </w:t>
      </w:r>
      <w:r w:rsidRPr="00DE264C">
        <w:rPr>
          <w:noProof/>
        </w:rPr>
        <w:t xml:space="preserve">61(3). This is captured in </w:t>
      </w:r>
      <w:r w:rsidR="00CB6052">
        <w:rPr>
          <w:noProof/>
        </w:rPr>
        <w:t>o</w:t>
      </w:r>
      <w:r w:rsidRPr="00DE264C">
        <w:rPr>
          <w:noProof/>
        </w:rPr>
        <w:t>ption 1.</w:t>
      </w:r>
    </w:p>
    <w:p w14:paraId="7D98B51D" w14:textId="4F1183F3" w:rsidR="00023CCD" w:rsidRPr="00DE264C" w:rsidRDefault="00023CCD" w:rsidP="00023AFB">
      <w:pPr>
        <w:pStyle w:val="ListParagraph"/>
        <w:numPr>
          <w:ilvl w:val="0"/>
          <w:numId w:val="102"/>
        </w:numPr>
        <w:spacing w:line="240" w:lineRule="auto"/>
        <w:contextualSpacing w:val="0"/>
        <w:rPr>
          <w:noProof/>
        </w:rPr>
      </w:pPr>
      <w:r w:rsidRPr="00DE264C">
        <w:rPr>
          <w:noProof/>
        </w:rPr>
        <w:t xml:space="preserve">A mandatory, but conditional approach to CSO (to address concerns about the potential impact of an unconditional approach on end-user ) is compatible with an approach which introduces a requirement for NRAs to gather data about CSO and to conduct market analyses relating to CSO to ensure that wholesale access regulation is fine-tuned to support the mandatory CSO process and to secure positive consumer outcomes (e.g. by ensuring that wholesale access regulation is adjusted as needed to reflect changes in market structure resulting from CSO). This approach, of setting binding requirements, but with some flexibility to deviate at national level based on national circumstances is also consistent with the policy pursued under </w:t>
      </w:r>
      <w:r w:rsidR="00CB6052">
        <w:rPr>
          <w:noProof/>
        </w:rPr>
        <w:t>o</w:t>
      </w:r>
      <w:r w:rsidRPr="00DE264C">
        <w:rPr>
          <w:noProof/>
        </w:rPr>
        <w:t>ption 2 of introducing a requirement for NRAs to follow best practice wholesale product specifications unless they can justify the alternative approach proposed.</w:t>
      </w:r>
    </w:p>
    <w:p w14:paraId="69917375" w14:textId="0E5A3EFC" w:rsidR="00023CCD" w:rsidRPr="00DE264C" w:rsidRDefault="00023CCD" w:rsidP="00023AFB">
      <w:pPr>
        <w:pStyle w:val="ListParagraph"/>
        <w:numPr>
          <w:ilvl w:val="0"/>
          <w:numId w:val="102"/>
        </w:numPr>
        <w:spacing w:line="240" w:lineRule="auto"/>
        <w:contextualSpacing w:val="0"/>
        <w:rPr>
          <w:noProof/>
        </w:rPr>
      </w:pPr>
      <w:r w:rsidRPr="00DE264C">
        <w:rPr>
          <w:noProof/>
        </w:rPr>
        <w:t>A mandatory and unconditional approach to CSO with a deadline of 2030 is unlikely to leave sufficient time for a market analysis process to address any issues resulting from the associated changes in market structure. A blanket obligation in this case for all operators owning access networks to offer wholesale access (without the need to assess an intervention threshold in this regard) would be needed to ensure that customers can be transitioned from the decommissioned copper networks to alternative networks. At the same time, if there</w:t>
      </w:r>
      <w:r w:rsidR="000C5D11">
        <w:rPr>
          <w:noProof/>
        </w:rPr>
        <w:t xml:space="preserve"> is</w:t>
      </w:r>
      <w:r w:rsidRPr="00DE264C">
        <w:rPr>
          <w:noProof/>
        </w:rPr>
        <w:t xml:space="preserve"> an obligation applying on all operators to offer wholesale access (rather than those with market power or control of an asset that is hard to duplicate), it would be disproportionate to mandate strict price control or require strict specifications regarding the wholesale products offered. Thus</w:t>
      </w:r>
      <w:r w:rsidR="6A63D006" w:rsidRPr="00DE264C">
        <w:rPr>
          <w:noProof/>
        </w:rPr>
        <w:t>,</w:t>
      </w:r>
      <w:r w:rsidRPr="00DE264C">
        <w:rPr>
          <w:noProof/>
        </w:rPr>
        <w:t xml:space="preserve"> under </w:t>
      </w:r>
      <w:r w:rsidR="00CB6052">
        <w:rPr>
          <w:noProof/>
        </w:rPr>
        <w:t>o</w:t>
      </w:r>
      <w:r w:rsidR="006D3FF9">
        <w:rPr>
          <w:noProof/>
        </w:rPr>
        <w:t>ption</w:t>
      </w:r>
      <w:r w:rsidRPr="00DE264C">
        <w:rPr>
          <w:noProof/>
        </w:rPr>
        <w:t xml:space="preserve"> 4, the symmetric obligation to offer access is associated with an obligation to do so under fair and reasonable terms and conditions, and is likely to apply to bitstream rather than physical or virtual unbundling.  </w:t>
      </w:r>
    </w:p>
    <w:p w14:paraId="5C64DC03" w14:textId="4163CE3B" w:rsidR="0048588B" w:rsidRPr="00DE264C" w:rsidRDefault="00023CCD" w:rsidP="00023AFB">
      <w:pPr>
        <w:spacing w:line="240" w:lineRule="auto"/>
        <w:rPr>
          <w:noProof/>
        </w:rPr>
      </w:pPr>
      <w:r w:rsidRPr="00DE264C">
        <w:rPr>
          <w:noProof/>
        </w:rPr>
        <w:t>Other combinations of policies relating to copper switch-off and wholesale access were considered but rejected on the basis that they were not internally coherent.</w:t>
      </w:r>
    </w:p>
    <w:p w14:paraId="6DFE31DC" w14:textId="74CCBF5F" w:rsidR="006B087E" w:rsidRPr="00DE264C" w:rsidRDefault="006B087E" w:rsidP="000E3086">
      <w:pPr>
        <w:pStyle w:val="Heading1"/>
        <w:rPr>
          <w:noProof/>
        </w:rPr>
      </w:pPr>
      <w:bookmarkStart w:id="230" w:name="_Toc209535071"/>
      <w:bookmarkStart w:id="231" w:name="_Toc209535168"/>
      <w:bookmarkStart w:id="232" w:name="_Toc209596023"/>
      <w:bookmarkStart w:id="233" w:name="_Toc209535072"/>
      <w:bookmarkStart w:id="234" w:name="_Toc209535169"/>
      <w:bookmarkStart w:id="235" w:name="_Toc209596024"/>
      <w:bookmarkStart w:id="236" w:name="_Toc209535073"/>
      <w:bookmarkStart w:id="237" w:name="_Toc209535170"/>
      <w:bookmarkStart w:id="238" w:name="_Toc209596025"/>
      <w:bookmarkStart w:id="239" w:name="_Toc209535074"/>
      <w:bookmarkStart w:id="240" w:name="_Toc209535171"/>
      <w:bookmarkStart w:id="241" w:name="_Toc209596026"/>
      <w:bookmarkStart w:id="242" w:name="_Toc208396194"/>
      <w:bookmarkStart w:id="243" w:name="_Toc214467731"/>
      <w:bookmarkStart w:id="244" w:name="_Toc215083754"/>
      <w:bookmarkStart w:id="245" w:name="_Toc219212520"/>
      <w:bookmarkStart w:id="246" w:name="_Toc219718175"/>
      <w:bookmarkEnd w:id="230"/>
      <w:bookmarkEnd w:id="231"/>
      <w:bookmarkEnd w:id="232"/>
      <w:bookmarkEnd w:id="233"/>
      <w:bookmarkEnd w:id="234"/>
      <w:bookmarkEnd w:id="235"/>
      <w:bookmarkEnd w:id="236"/>
      <w:bookmarkEnd w:id="237"/>
      <w:bookmarkEnd w:id="238"/>
      <w:bookmarkEnd w:id="239"/>
      <w:bookmarkEnd w:id="240"/>
      <w:bookmarkEnd w:id="241"/>
      <w:r w:rsidRPr="00DE264C">
        <w:rPr>
          <w:noProof/>
        </w:rPr>
        <w:t>What are the impacts of the policy options?</w:t>
      </w:r>
      <w:bookmarkEnd w:id="242"/>
      <w:bookmarkEnd w:id="243"/>
      <w:bookmarkEnd w:id="244"/>
      <w:bookmarkEnd w:id="245"/>
      <w:bookmarkEnd w:id="246"/>
    </w:p>
    <w:p w14:paraId="4BCBAE45" w14:textId="6065A2A9" w:rsidR="006B087E" w:rsidRPr="00DE264C" w:rsidRDefault="0EEA69E9" w:rsidP="00405FB4">
      <w:pPr>
        <w:pStyle w:val="Heading2"/>
        <w:rPr>
          <w:noProof/>
        </w:rPr>
      </w:pPr>
      <w:bookmarkStart w:id="247" w:name="_Toc209596028"/>
      <w:bookmarkStart w:id="248" w:name="_Toc214467732"/>
      <w:bookmarkEnd w:id="247"/>
      <w:r>
        <w:rPr>
          <w:noProof/>
        </w:rPr>
        <w:t xml:space="preserve"> </w:t>
      </w:r>
      <w:bookmarkStart w:id="249" w:name="_Toc215083755"/>
      <w:bookmarkStart w:id="250" w:name="_Toc219212521"/>
      <w:bookmarkStart w:id="251" w:name="_Toc219718176"/>
      <w:r w:rsidR="009731B7">
        <w:rPr>
          <w:noProof/>
        </w:rPr>
        <w:t>Transition to fibre</w:t>
      </w:r>
      <w:bookmarkEnd w:id="249"/>
      <w:bookmarkEnd w:id="250"/>
      <w:bookmarkEnd w:id="251"/>
      <w:r w:rsidR="00875F40" w:rsidRPr="00DE264C">
        <w:rPr>
          <w:noProof/>
        </w:rPr>
        <w:t xml:space="preserve"> </w:t>
      </w:r>
      <w:bookmarkEnd w:id="248"/>
    </w:p>
    <w:p w14:paraId="59A1F2FD" w14:textId="51326FFF" w:rsidR="00F536A1" w:rsidRPr="00DE264C" w:rsidRDefault="7E47A1AA" w:rsidP="00023AFB">
      <w:pPr>
        <w:pStyle w:val="Text1"/>
        <w:spacing w:line="240" w:lineRule="auto"/>
        <w:ind w:left="0"/>
        <w:rPr>
          <w:noProof/>
          <w:lang w:val="en-IE"/>
        </w:rPr>
      </w:pPr>
      <w:r w:rsidRPr="00DE264C">
        <w:rPr>
          <w:noProof/>
        </w:rPr>
        <w:t xml:space="preserve">The quantification of economic and environmental impacts associated with the different options for </w:t>
      </w:r>
      <w:r w:rsidR="683CCDE5" w:rsidRPr="00DE264C">
        <w:rPr>
          <w:noProof/>
        </w:rPr>
        <w:t>the transition to fibr</w:t>
      </w:r>
      <w:r w:rsidR="00443709">
        <w:rPr>
          <w:noProof/>
        </w:rPr>
        <w:t>e</w:t>
      </w:r>
      <w:r w:rsidRPr="00DE264C">
        <w:rPr>
          <w:noProof/>
        </w:rPr>
        <w:t xml:space="preserve"> is based on a 3-step process. First, the effects of the different policy options on FTTH coverage and take-up as well as their capability to promote competition in broadband quality (via infrastructure competition where viable or otherwise access regulation permitting full differentiation) are assessed. Then the projected increases in FTTH coverage and take-up is translated into average speeds and per user consumption. Second, the effects of increased take-up of FTTH and </w:t>
      </w:r>
      <w:r w:rsidR="00457B4A" w:rsidRPr="00DE264C">
        <w:rPr>
          <w:noProof/>
        </w:rPr>
        <w:t>increased</w:t>
      </w:r>
      <w:r w:rsidR="001E06A8" w:rsidRPr="00DE264C">
        <w:rPr>
          <w:noProof/>
        </w:rPr>
        <w:t xml:space="preserve"> </w:t>
      </w:r>
      <w:r w:rsidRPr="00DE264C">
        <w:rPr>
          <w:noProof/>
        </w:rPr>
        <w:t>speeds on GDP are estimated. Lastly, the effects of broadband speeds on data consumption are analysed to quantify the implications for electricity consumption and CO2 emissions.</w:t>
      </w:r>
      <w:r w:rsidRPr="00DE264C">
        <w:rPr>
          <w:noProof/>
          <w:lang w:val="en-IE"/>
        </w:rPr>
        <w:t xml:space="preserve"> The relevant </w:t>
      </w:r>
      <w:r w:rsidR="0050171E" w:rsidRPr="00DE264C">
        <w:rPr>
          <w:noProof/>
          <w:lang w:val="en-IE"/>
        </w:rPr>
        <w:t>impacts</w:t>
      </w:r>
      <w:r w:rsidRPr="00DE264C">
        <w:rPr>
          <w:noProof/>
          <w:lang w:val="en-IE"/>
        </w:rPr>
        <w:t xml:space="preserve"> are estimated for 2030 and 2035 to capture the short-term and mid-term impacts of the options. The complete methodology and results are described in detail in Annex 4.</w:t>
      </w:r>
    </w:p>
    <w:p w14:paraId="090397BA" w14:textId="77777777" w:rsidR="00023AFB" w:rsidRPr="00F37959" w:rsidRDefault="00023AFB" w:rsidP="00F15E10">
      <w:pPr>
        <w:spacing w:after="120"/>
        <w:rPr>
          <w:i/>
          <w:noProof/>
          <w:u w:val="single"/>
          <w:lang w:val="en-US"/>
        </w:rPr>
      </w:pPr>
    </w:p>
    <w:p w14:paraId="46DD6A5F" w14:textId="31E783B7" w:rsidR="008B2C0C" w:rsidRPr="00F15E10" w:rsidRDefault="008B2C0C" w:rsidP="00531B1F">
      <w:pPr>
        <w:keepNext/>
        <w:keepLines/>
        <w:spacing w:after="120"/>
        <w:rPr>
          <w:i/>
          <w:noProof/>
          <w:u w:val="single"/>
          <w:lang w:val="fr-FR"/>
        </w:rPr>
      </w:pPr>
      <w:r w:rsidRPr="006702BD">
        <w:rPr>
          <w:i/>
          <w:noProof/>
          <w:u w:val="single"/>
          <w:lang w:val="fr-BE"/>
        </w:rPr>
        <w:t xml:space="preserve">Table </w:t>
      </w:r>
      <w:r w:rsidR="009E7C22" w:rsidRPr="006702BD">
        <w:rPr>
          <w:i/>
          <w:noProof/>
          <w:u w:val="single"/>
          <w:lang w:val="fr-BE"/>
        </w:rPr>
        <w:t>19</w:t>
      </w:r>
      <w:r w:rsidRPr="006702BD">
        <w:rPr>
          <w:i/>
          <w:noProof/>
          <w:u w:val="single"/>
          <w:lang w:val="fr-BE"/>
        </w:rPr>
        <w:t xml:space="preserve">: </w:t>
      </w:r>
      <w:r w:rsidR="005D57D4" w:rsidRPr="006702BD">
        <w:rPr>
          <w:i/>
          <w:noProof/>
          <w:u w:val="single"/>
          <w:lang w:val="fr-BE"/>
        </w:rPr>
        <w:t>Quantitative and qualitative analyses performed</w:t>
      </w:r>
    </w:p>
    <w:tbl>
      <w:tblPr>
        <w:tblStyle w:val="TableGrid"/>
        <w:tblW w:w="93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6"/>
        <w:gridCol w:w="1852"/>
        <w:gridCol w:w="1853"/>
      </w:tblGrid>
      <w:tr w:rsidR="00823F11" w:rsidRPr="00DE264C" w14:paraId="359E0648" w14:textId="77777777" w:rsidTr="00292895">
        <w:trPr>
          <w:trHeight w:val="227"/>
          <w:tblHeader/>
        </w:trPr>
        <w:tc>
          <w:tcPr>
            <w:tcW w:w="5646" w:type="dxa"/>
            <w:tcBorders>
              <w:top w:val="nil"/>
              <w:left w:val="nil"/>
            </w:tcBorders>
            <w:vAlign w:val="center"/>
          </w:tcPr>
          <w:p w14:paraId="5A154E78" w14:textId="77777777" w:rsidR="00823F11" w:rsidRPr="002D1EE3" w:rsidRDefault="00823F11" w:rsidP="00823F11">
            <w:pPr>
              <w:pStyle w:val="Text2"/>
              <w:spacing w:after="0"/>
              <w:ind w:left="-142"/>
              <w:jc w:val="center"/>
              <w:rPr>
                <w:noProof/>
                <w:sz w:val="20"/>
                <w:lang w:val="fr-FR"/>
              </w:rPr>
            </w:pPr>
          </w:p>
        </w:tc>
        <w:tc>
          <w:tcPr>
            <w:tcW w:w="1852" w:type="dxa"/>
            <w:vAlign w:val="center"/>
          </w:tcPr>
          <w:p w14:paraId="7E7037A5" w14:textId="77777777" w:rsidR="00823F11" w:rsidRPr="00DE264C" w:rsidRDefault="00823F11" w:rsidP="00623666">
            <w:pPr>
              <w:pStyle w:val="Text2"/>
              <w:spacing w:after="0"/>
              <w:ind w:left="-101"/>
              <w:jc w:val="center"/>
              <w:rPr>
                <w:noProof/>
                <w:sz w:val="20"/>
              </w:rPr>
            </w:pPr>
            <w:r w:rsidRPr="00DE264C">
              <w:rPr>
                <w:noProof/>
                <w:sz w:val="20"/>
              </w:rPr>
              <w:t>Quantitative analysis</w:t>
            </w:r>
          </w:p>
        </w:tc>
        <w:tc>
          <w:tcPr>
            <w:tcW w:w="1853" w:type="dxa"/>
            <w:vAlign w:val="center"/>
          </w:tcPr>
          <w:p w14:paraId="32139DEB" w14:textId="77777777" w:rsidR="00823F11" w:rsidRPr="00DE264C" w:rsidRDefault="00823F11" w:rsidP="00623666">
            <w:pPr>
              <w:pStyle w:val="Text2"/>
              <w:spacing w:after="0"/>
              <w:ind w:left="-65"/>
              <w:jc w:val="center"/>
              <w:rPr>
                <w:noProof/>
                <w:sz w:val="20"/>
              </w:rPr>
            </w:pPr>
            <w:r w:rsidRPr="00DE264C">
              <w:rPr>
                <w:noProof/>
                <w:sz w:val="20"/>
              </w:rPr>
              <w:t>Qualitative analysis</w:t>
            </w:r>
          </w:p>
        </w:tc>
      </w:tr>
      <w:tr w:rsidR="00823F11" w:rsidRPr="00DE264C" w14:paraId="1193A6A2" w14:textId="77777777" w:rsidTr="00292895">
        <w:trPr>
          <w:trHeight w:val="227"/>
        </w:trPr>
        <w:tc>
          <w:tcPr>
            <w:tcW w:w="5646" w:type="dxa"/>
            <w:vAlign w:val="center"/>
          </w:tcPr>
          <w:p w14:paraId="0A63BDB1" w14:textId="77777777" w:rsidR="00823F11" w:rsidRPr="00DE264C" w:rsidRDefault="00823F11" w:rsidP="00390221">
            <w:pPr>
              <w:pStyle w:val="Text2"/>
              <w:spacing w:after="0"/>
              <w:ind w:left="33"/>
              <w:jc w:val="left"/>
              <w:rPr>
                <w:noProof/>
                <w:sz w:val="20"/>
              </w:rPr>
            </w:pPr>
            <w:r w:rsidRPr="00DE264C">
              <w:rPr>
                <w:noProof/>
                <w:sz w:val="20"/>
              </w:rPr>
              <w:t>Macroeconomic impacts (GDP)</w:t>
            </w:r>
          </w:p>
        </w:tc>
        <w:tc>
          <w:tcPr>
            <w:tcW w:w="1852" w:type="dxa"/>
            <w:vAlign w:val="center"/>
          </w:tcPr>
          <w:p w14:paraId="2F70F85B" w14:textId="77777777" w:rsidR="00823F11" w:rsidRPr="00DE264C" w:rsidRDefault="00823F11" w:rsidP="00823F11">
            <w:pPr>
              <w:pStyle w:val="Text2"/>
              <w:spacing w:after="0"/>
              <w:ind w:left="-101"/>
              <w:jc w:val="center"/>
              <w:rPr>
                <w:noProof/>
                <w:sz w:val="20"/>
              </w:rPr>
            </w:pPr>
            <w:r w:rsidRPr="006702BD">
              <w:rPr>
                <w:noProof/>
              </w:rPr>
              <w:drawing>
                <wp:inline distT="0" distB="0" distL="0" distR="0" wp14:anchorId="7C5B4471" wp14:editId="6BD908CD">
                  <wp:extent cx="219075" cy="219075"/>
                  <wp:effectExtent l="0" t="0" r="0" b="0"/>
                  <wp:docPr id="1617412741"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12741" name="Graphic 1617412741" descr="Checkmark with solid fill"/>
                          <pic:cNvPicPr/>
                        </pic:nvPicPr>
                        <pic:blipFill>
                          <a:blip r:embed="rId56">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61"/>
                              </a:ext>
                            </a:extLst>
                          </a:blip>
                          <a:stretch>
                            <a:fillRect/>
                          </a:stretch>
                        </pic:blipFill>
                        <pic:spPr>
                          <a:xfrm>
                            <a:off x="0" y="0"/>
                            <a:ext cx="219075" cy="219075"/>
                          </a:xfrm>
                          <a:prstGeom prst="rect">
                            <a:avLst/>
                          </a:prstGeom>
                        </pic:spPr>
                      </pic:pic>
                    </a:graphicData>
                  </a:graphic>
                </wp:inline>
              </w:drawing>
            </w:r>
          </w:p>
        </w:tc>
        <w:tc>
          <w:tcPr>
            <w:tcW w:w="1853" w:type="dxa"/>
            <w:vAlign w:val="center"/>
          </w:tcPr>
          <w:p w14:paraId="1BF498B9" w14:textId="77777777" w:rsidR="00823F11" w:rsidRPr="00DE264C" w:rsidRDefault="00823F11" w:rsidP="00823F11">
            <w:pPr>
              <w:pStyle w:val="Text2"/>
              <w:spacing w:after="0"/>
              <w:ind w:left="-65"/>
              <w:jc w:val="center"/>
              <w:rPr>
                <w:noProof/>
                <w:sz w:val="20"/>
              </w:rPr>
            </w:pPr>
          </w:p>
        </w:tc>
      </w:tr>
      <w:tr w:rsidR="00823F11" w:rsidRPr="00DE264C" w14:paraId="62D60A29" w14:textId="77777777" w:rsidTr="00292895">
        <w:trPr>
          <w:trHeight w:val="227"/>
        </w:trPr>
        <w:tc>
          <w:tcPr>
            <w:tcW w:w="5646" w:type="dxa"/>
            <w:vAlign w:val="center"/>
          </w:tcPr>
          <w:p w14:paraId="686C5BE2" w14:textId="77777777" w:rsidR="00823F11" w:rsidRPr="00DE264C" w:rsidRDefault="00823F11" w:rsidP="00452335">
            <w:pPr>
              <w:pStyle w:val="Text2"/>
              <w:spacing w:after="0"/>
              <w:ind w:left="33"/>
              <w:jc w:val="left"/>
              <w:rPr>
                <w:noProof/>
                <w:sz w:val="20"/>
              </w:rPr>
            </w:pPr>
            <w:r w:rsidRPr="00DE264C">
              <w:rPr>
                <w:noProof/>
                <w:sz w:val="20"/>
              </w:rPr>
              <w:t>Conduct of business (coverage, take-up and speed)</w:t>
            </w:r>
          </w:p>
        </w:tc>
        <w:tc>
          <w:tcPr>
            <w:tcW w:w="1852" w:type="dxa"/>
            <w:vAlign w:val="center"/>
          </w:tcPr>
          <w:p w14:paraId="200DCE70" w14:textId="77777777" w:rsidR="00823F11" w:rsidRPr="00DE264C" w:rsidRDefault="00823F11" w:rsidP="00623666">
            <w:pPr>
              <w:pStyle w:val="Text2"/>
              <w:spacing w:after="0"/>
              <w:ind w:left="-101"/>
              <w:jc w:val="center"/>
              <w:rPr>
                <w:noProof/>
                <w:sz w:val="20"/>
              </w:rPr>
            </w:pPr>
            <w:r w:rsidRPr="006702BD">
              <w:rPr>
                <w:noProof/>
              </w:rPr>
              <w:drawing>
                <wp:inline distT="0" distB="0" distL="0" distR="0" wp14:anchorId="271908B1" wp14:editId="6408169E">
                  <wp:extent cx="219075" cy="219075"/>
                  <wp:effectExtent l="0" t="0" r="0" b="0"/>
                  <wp:docPr id="873970448"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12741" name="Graphic 1617412741" descr="Checkmark with solid fill"/>
                          <pic:cNvPicPr/>
                        </pic:nvPicPr>
                        <pic:blipFill>
                          <a:blip r:embed="rId56">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61"/>
                              </a:ext>
                            </a:extLst>
                          </a:blip>
                          <a:stretch>
                            <a:fillRect/>
                          </a:stretch>
                        </pic:blipFill>
                        <pic:spPr>
                          <a:xfrm>
                            <a:off x="0" y="0"/>
                            <a:ext cx="219075" cy="219075"/>
                          </a:xfrm>
                          <a:prstGeom prst="rect">
                            <a:avLst/>
                          </a:prstGeom>
                        </pic:spPr>
                      </pic:pic>
                    </a:graphicData>
                  </a:graphic>
                </wp:inline>
              </w:drawing>
            </w:r>
          </w:p>
        </w:tc>
        <w:tc>
          <w:tcPr>
            <w:tcW w:w="1853" w:type="dxa"/>
            <w:vAlign w:val="center"/>
          </w:tcPr>
          <w:p w14:paraId="4CB5504A" w14:textId="77777777" w:rsidR="00823F11" w:rsidRPr="00DE264C" w:rsidRDefault="00823F11" w:rsidP="00623666">
            <w:pPr>
              <w:pStyle w:val="Text2"/>
              <w:spacing w:after="0"/>
              <w:ind w:left="-65"/>
              <w:jc w:val="center"/>
              <w:rPr>
                <w:noProof/>
                <w:sz w:val="20"/>
              </w:rPr>
            </w:pPr>
          </w:p>
        </w:tc>
      </w:tr>
      <w:tr w:rsidR="00823F11" w:rsidRPr="00DE264C" w14:paraId="7A1F5539" w14:textId="77777777" w:rsidTr="00292895">
        <w:trPr>
          <w:trHeight w:val="227"/>
        </w:trPr>
        <w:tc>
          <w:tcPr>
            <w:tcW w:w="5646" w:type="dxa"/>
            <w:vAlign w:val="center"/>
          </w:tcPr>
          <w:p w14:paraId="4850BA95" w14:textId="77777777" w:rsidR="00823F11" w:rsidRPr="00DE264C" w:rsidRDefault="00823F11" w:rsidP="00452335">
            <w:pPr>
              <w:pStyle w:val="Text2"/>
              <w:spacing w:after="0"/>
              <w:ind w:left="33"/>
              <w:jc w:val="left"/>
              <w:rPr>
                <w:noProof/>
                <w:sz w:val="20"/>
              </w:rPr>
            </w:pPr>
            <w:r w:rsidRPr="00DE264C">
              <w:rPr>
                <w:noProof/>
                <w:sz w:val="20"/>
              </w:rPr>
              <w:t>Position of SMEs</w:t>
            </w:r>
          </w:p>
        </w:tc>
        <w:tc>
          <w:tcPr>
            <w:tcW w:w="1852" w:type="dxa"/>
            <w:vAlign w:val="center"/>
          </w:tcPr>
          <w:p w14:paraId="5C12D15A" w14:textId="77777777" w:rsidR="00823F11" w:rsidRPr="00DE264C" w:rsidRDefault="00823F11" w:rsidP="00623666">
            <w:pPr>
              <w:pStyle w:val="Text2"/>
              <w:spacing w:after="0"/>
              <w:ind w:left="-101"/>
              <w:jc w:val="center"/>
              <w:rPr>
                <w:noProof/>
                <w:sz w:val="20"/>
              </w:rPr>
            </w:pPr>
            <w:r w:rsidRPr="006702BD">
              <w:rPr>
                <w:noProof/>
              </w:rPr>
              <w:drawing>
                <wp:inline distT="0" distB="0" distL="0" distR="0" wp14:anchorId="7107FA1C" wp14:editId="15A5AB4E">
                  <wp:extent cx="219075" cy="219075"/>
                  <wp:effectExtent l="0" t="0" r="0" b="0"/>
                  <wp:docPr id="1523217476"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12741" name="Graphic 1617412741" descr="Checkmark with solid fill"/>
                          <pic:cNvPicPr/>
                        </pic:nvPicPr>
                        <pic:blipFill>
                          <a:blip r:embed="rId56">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61"/>
                              </a:ext>
                            </a:extLst>
                          </a:blip>
                          <a:stretch>
                            <a:fillRect/>
                          </a:stretch>
                        </pic:blipFill>
                        <pic:spPr>
                          <a:xfrm>
                            <a:off x="0" y="0"/>
                            <a:ext cx="219075" cy="219075"/>
                          </a:xfrm>
                          <a:prstGeom prst="rect">
                            <a:avLst/>
                          </a:prstGeom>
                        </pic:spPr>
                      </pic:pic>
                    </a:graphicData>
                  </a:graphic>
                </wp:inline>
              </w:drawing>
            </w:r>
          </w:p>
        </w:tc>
        <w:tc>
          <w:tcPr>
            <w:tcW w:w="1853" w:type="dxa"/>
          </w:tcPr>
          <w:p w14:paraId="58F640C3" w14:textId="48902D69" w:rsidR="00823F11" w:rsidRPr="00DE264C" w:rsidRDefault="00823F11" w:rsidP="00623666">
            <w:pPr>
              <w:pStyle w:val="Text2"/>
              <w:spacing w:after="0"/>
              <w:ind w:left="-65"/>
              <w:jc w:val="center"/>
              <w:rPr>
                <w:noProof/>
                <w:sz w:val="20"/>
              </w:rPr>
            </w:pPr>
            <w:r w:rsidRPr="006702BD">
              <w:rPr>
                <w:noProof/>
              </w:rPr>
              <w:drawing>
                <wp:inline distT="0" distB="0" distL="0" distR="0" wp14:anchorId="5E2AF666" wp14:editId="313B9E6B">
                  <wp:extent cx="219075" cy="219075"/>
                  <wp:effectExtent l="0" t="0" r="0" b="0"/>
                  <wp:docPr id="823525353"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12741" name="Graphic 1617412741" descr="Checkmark with solid fill"/>
                          <pic:cNvPicPr/>
                        </pic:nvPicPr>
                        <pic:blipFill>
                          <a:blip r:embed="rId56">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61"/>
                              </a:ext>
                            </a:extLst>
                          </a:blip>
                          <a:stretch>
                            <a:fillRect/>
                          </a:stretch>
                        </pic:blipFill>
                        <pic:spPr>
                          <a:xfrm>
                            <a:off x="0" y="0"/>
                            <a:ext cx="219075" cy="219075"/>
                          </a:xfrm>
                          <a:prstGeom prst="rect">
                            <a:avLst/>
                          </a:prstGeom>
                        </pic:spPr>
                      </pic:pic>
                    </a:graphicData>
                  </a:graphic>
                </wp:inline>
              </w:drawing>
            </w:r>
          </w:p>
        </w:tc>
      </w:tr>
      <w:tr w:rsidR="00823F11" w:rsidRPr="00DE264C" w14:paraId="4C476B4C" w14:textId="77777777" w:rsidTr="00292895">
        <w:trPr>
          <w:trHeight w:val="227"/>
        </w:trPr>
        <w:tc>
          <w:tcPr>
            <w:tcW w:w="5646" w:type="dxa"/>
            <w:vAlign w:val="center"/>
          </w:tcPr>
          <w:p w14:paraId="1F156A7D" w14:textId="77777777" w:rsidR="00823F11" w:rsidRPr="00DE264C" w:rsidRDefault="00823F11" w:rsidP="00452335">
            <w:pPr>
              <w:pStyle w:val="Text2"/>
              <w:spacing w:after="0"/>
              <w:ind w:left="33"/>
              <w:jc w:val="left"/>
              <w:rPr>
                <w:noProof/>
                <w:sz w:val="20"/>
              </w:rPr>
            </w:pPr>
            <w:r w:rsidRPr="00DE264C">
              <w:rPr>
                <w:noProof/>
                <w:sz w:val="20"/>
              </w:rPr>
              <w:t>Administrative burdens on businesses</w:t>
            </w:r>
          </w:p>
        </w:tc>
        <w:tc>
          <w:tcPr>
            <w:tcW w:w="1852" w:type="dxa"/>
            <w:vAlign w:val="center"/>
          </w:tcPr>
          <w:p w14:paraId="13A2FDC7" w14:textId="77777777" w:rsidR="00823F11" w:rsidRPr="00DE264C" w:rsidRDefault="00823F11" w:rsidP="00623666">
            <w:pPr>
              <w:pStyle w:val="Text2"/>
              <w:spacing w:after="0"/>
              <w:ind w:left="-101"/>
              <w:jc w:val="center"/>
              <w:rPr>
                <w:noProof/>
                <w:sz w:val="20"/>
              </w:rPr>
            </w:pPr>
            <w:r w:rsidRPr="006702BD">
              <w:rPr>
                <w:noProof/>
              </w:rPr>
              <w:drawing>
                <wp:inline distT="0" distB="0" distL="0" distR="0" wp14:anchorId="45070C0F" wp14:editId="160DBDD7">
                  <wp:extent cx="219075" cy="219075"/>
                  <wp:effectExtent l="0" t="0" r="0" b="0"/>
                  <wp:docPr id="190957307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12741" name="Graphic 1617412741" descr="Checkmark with solid fill"/>
                          <pic:cNvPicPr/>
                        </pic:nvPicPr>
                        <pic:blipFill>
                          <a:blip r:embed="rId56">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61"/>
                              </a:ext>
                            </a:extLst>
                          </a:blip>
                          <a:stretch>
                            <a:fillRect/>
                          </a:stretch>
                        </pic:blipFill>
                        <pic:spPr>
                          <a:xfrm>
                            <a:off x="0" y="0"/>
                            <a:ext cx="219075" cy="219075"/>
                          </a:xfrm>
                          <a:prstGeom prst="rect">
                            <a:avLst/>
                          </a:prstGeom>
                        </pic:spPr>
                      </pic:pic>
                    </a:graphicData>
                  </a:graphic>
                </wp:inline>
              </w:drawing>
            </w:r>
          </w:p>
        </w:tc>
        <w:tc>
          <w:tcPr>
            <w:tcW w:w="1853" w:type="dxa"/>
          </w:tcPr>
          <w:p w14:paraId="6EEE6FE4" w14:textId="47EFCA99" w:rsidR="00823F11" w:rsidRPr="00DE264C" w:rsidRDefault="00823F11" w:rsidP="00581D8C">
            <w:pPr>
              <w:pStyle w:val="Text2"/>
              <w:spacing w:after="0"/>
              <w:ind w:left="-65"/>
              <w:jc w:val="center"/>
              <w:rPr>
                <w:noProof/>
                <w:sz w:val="20"/>
              </w:rPr>
            </w:pPr>
            <w:r w:rsidRPr="006702BD">
              <w:rPr>
                <w:noProof/>
              </w:rPr>
              <w:drawing>
                <wp:inline distT="0" distB="0" distL="0" distR="0" wp14:anchorId="553C17F6" wp14:editId="7D702409">
                  <wp:extent cx="219075" cy="219075"/>
                  <wp:effectExtent l="0" t="0" r="0" b="0"/>
                  <wp:docPr id="1405761730"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12741" name="Graphic 1617412741" descr="Checkmark with solid fill"/>
                          <pic:cNvPicPr/>
                        </pic:nvPicPr>
                        <pic:blipFill>
                          <a:blip r:embed="rId56">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61"/>
                              </a:ext>
                            </a:extLst>
                          </a:blip>
                          <a:stretch>
                            <a:fillRect/>
                          </a:stretch>
                        </pic:blipFill>
                        <pic:spPr>
                          <a:xfrm>
                            <a:off x="0" y="0"/>
                            <a:ext cx="219075" cy="219075"/>
                          </a:xfrm>
                          <a:prstGeom prst="rect">
                            <a:avLst/>
                          </a:prstGeom>
                        </pic:spPr>
                      </pic:pic>
                    </a:graphicData>
                  </a:graphic>
                </wp:inline>
              </w:drawing>
            </w:r>
          </w:p>
        </w:tc>
      </w:tr>
      <w:tr w:rsidR="00823F11" w:rsidRPr="00DE264C" w14:paraId="39A1692F" w14:textId="77777777" w:rsidTr="00292895">
        <w:trPr>
          <w:trHeight w:val="227"/>
        </w:trPr>
        <w:tc>
          <w:tcPr>
            <w:tcW w:w="5646" w:type="dxa"/>
            <w:vAlign w:val="center"/>
          </w:tcPr>
          <w:p w14:paraId="6AEC2AFB" w14:textId="77777777" w:rsidR="00823F11" w:rsidRPr="00DE264C" w:rsidRDefault="00823F11" w:rsidP="00452335">
            <w:pPr>
              <w:pStyle w:val="Text2"/>
              <w:spacing w:after="0"/>
              <w:ind w:left="33"/>
              <w:jc w:val="left"/>
              <w:rPr>
                <w:noProof/>
                <w:sz w:val="20"/>
              </w:rPr>
            </w:pPr>
            <w:r w:rsidRPr="00DE264C">
              <w:rPr>
                <w:noProof/>
                <w:sz w:val="20"/>
              </w:rPr>
              <w:t>Sectoral competitiveness, trade and investment flow</w:t>
            </w:r>
          </w:p>
        </w:tc>
        <w:tc>
          <w:tcPr>
            <w:tcW w:w="1852" w:type="dxa"/>
            <w:vAlign w:val="center"/>
          </w:tcPr>
          <w:p w14:paraId="0139E05D" w14:textId="77777777" w:rsidR="00823F11" w:rsidRPr="00DE264C" w:rsidRDefault="00823F11" w:rsidP="00581D8C">
            <w:pPr>
              <w:pStyle w:val="Text2"/>
              <w:spacing w:after="0"/>
              <w:ind w:left="-101"/>
              <w:jc w:val="center"/>
              <w:rPr>
                <w:noProof/>
                <w:sz w:val="20"/>
              </w:rPr>
            </w:pPr>
          </w:p>
        </w:tc>
        <w:tc>
          <w:tcPr>
            <w:tcW w:w="1853" w:type="dxa"/>
          </w:tcPr>
          <w:p w14:paraId="246108F5" w14:textId="34456B77" w:rsidR="00823F11" w:rsidRPr="00DE264C" w:rsidRDefault="00823F11" w:rsidP="00581D8C">
            <w:pPr>
              <w:pStyle w:val="Text2"/>
              <w:spacing w:after="0"/>
              <w:ind w:left="-65"/>
              <w:jc w:val="center"/>
              <w:rPr>
                <w:noProof/>
                <w:sz w:val="20"/>
              </w:rPr>
            </w:pPr>
            <w:r w:rsidRPr="006702BD">
              <w:rPr>
                <w:noProof/>
              </w:rPr>
              <w:drawing>
                <wp:inline distT="0" distB="0" distL="0" distR="0" wp14:anchorId="66388EE4" wp14:editId="22CEB8CA">
                  <wp:extent cx="219075" cy="219075"/>
                  <wp:effectExtent l="0" t="0" r="0" b="0"/>
                  <wp:docPr id="1837777419"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12741" name="Graphic 1617412741" descr="Checkmark with solid fill"/>
                          <pic:cNvPicPr/>
                        </pic:nvPicPr>
                        <pic:blipFill>
                          <a:blip r:embed="rId56">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61"/>
                              </a:ext>
                            </a:extLst>
                          </a:blip>
                          <a:stretch>
                            <a:fillRect/>
                          </a:stretch>
                        </pic:blipFill>
                        <pic:spPr>
                          <a:xfrm>
                            <a:off x="0" y="0"/>
                            <a:ext cx="219075" cy="219075"/>
                          </a:xfrm>
                          <a:prstGeom prst="rect">
                            <a:avLst/>
                          </a:prstGeom>
                        </pic:spPr>
                      </pic:pic>
                    </a:graphicData>
                  </a:graphic>
                </wp:inline>
              </w:drawing>
            </w:r>
          </w:p>
        </w:tc>
      </w:tr>
      <w:tr w:rsidR="00823F11" w:rsidRPr="00DE264C" w14:paraId="73DC6560" w14:textId="77777777" w:rsidTr="00292895">
        <w:trPr>
          <w:trHeight w:val="227"/>
        </w:trPr>
        <w:tc>
          <w:tcPr>
            <w:tcW w:w="5646" w:type="dxa"/>
            <w:vAlign w:val="center"/>
          </w:tcPr>
          <w:p w14:paraId="004D0EAD" w14:textId="77777777" w:rsidR="00823F11" w:rsidRPr="00DE264C" w:rsidRDefault="00823F11" w:rsidP="00452335">
            <w:pPr>
              <w:pStyle w:val="Text2"/>
              <w:spacing w:after="0"/>
              <w:ind w:left="33"/>
              <w:jc w:val="left"/>
              <w:rPr>
                <w:noProof/>
                <w:sz w:val="20"/>
              </w:rPr>
            </w:pPr>
            <w:r w:rsidRPr="00DE264C">
              <w:rPr>
                <w:noProof/>
                <w:sz w:val="20"/>
              </w:rPr>
              <w:t>Functioning of the internal market and competition</w:t>
            </w:r>
          </w:p>
        </w:tc>
        <w:tc>
          <w:tcPr>
            <w:tcW w:w="1852" w:type="dxa"/>
            <w:vAlign w:val="center"/>
          </w:tcPr>
          <w:p w14:paraId="2738AF82" w14:textId="77777777" w:rsidR="00823F11" w:rsidRPr="00DE264C" w:rsidRDefault="00823F11" w:rsidP="00623666">
            <w:pPr>
              <w:pStyle w:val="Text2"/>
              <w:spacing w:after="0"/>
              <w:ind w:left="-101"/>
              <w:jc w:val="center"/>
              <w:rPr>
                <w:noProof/>
                <w:sz w:val="20"/>
              </w:rPr>
            </w:pPr>
          </w:p>
        </w:tc>
        <w:tc>
          <w:tcPr>
            <w:tcW w:w="1853" w:type="dxa"/>
          </w:tcPr>
          <w:p w14:paraId="44B1CB98" w14:textId="1963842F" w:rsidR="00823F11" w:rsidRPr="00DE264C" w:rsidRDefault="00823F11" w:rsidP="00581D8C">
            <w:pPr>
              <w:pStyle w:val="Text2"/>
              <w:spacing w:after="0"/>
              <w:ind w:left="-65"/>
              <w:jc w:val="center"/>
              <w:rPr>
                <w:noProof/>
                <w:sz w:val="20"/>
              </w:rPr>
            </w:pPr>
            <w:r w:rsidRPr="006702BD">
              <w:rPr>
                <w:noProof/>
              </w:rPr>
              <w:drawing>
                <wp:inline distT="0" distB="0" distL="0" distR="0" wp14:anchorId="19D2CA88" wp14:editId="46B07383">
                  <wp:extent cx="219075" cy="219075"/>
                  <wp:effectExtent l="0" t="0" r="0" b="0"/>
                  <wp:docPr id="337730697"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12741" name="Graphic 1617412741" descr="Checkmark with solid fill"/>
                          <pic:cNvPicPr/>
                        </pic:nvPicPr>
                        <pic:blipFill>
                          <a:blip r:embed="rId56">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61"/>
                              </a:ext>
                            </a:extLst>
                          </a:blip>
                          <a:stretch>
                            <a:fillRect/>
                          </a:stretch>
                        </pic:blipFill>
                        <pic:spPr>
                          <a:xfrm>
                            <a:off x="0" y="0"/>
                            <a:ext cx="219075" cy="219075"/>
                          </a:xfrm>
                          <a:prstGeom prst="rect">
                            <a:avLst/>
                          </a:prstGeom>
                        </pic:spPr>
                      </pic:pic>
                    </a:graphicData>
                  </a:graphic>
                </wp:inline>
              </w:drawing>
            </w:r>
          </w:p>
        </w:tc>
      </w:tr>
      <w:tr w:rsidR="00823F11" w:rsidRPr="00DE264C" w14:paraId="1826E909" w14:textId="77777777" w:rsidTr="00292895">
        <w:trPr>
          <w:trHeight w:val="227"/>
        </w:trPr>
        <w:tc>
          <w:tcPr>
            <w:tcW w:w="5646" w:type="dxa"/>
            <w:vAlign w:val="center"/>
          </w:tcPr>
          <w:p w14:paraId="692A07F0" w14:textId="77777777" w:rsidR="00823F11" w:rsidRPr="00DE264C" w:rsidRDefault="00823F11" w:rsidP="00452335">
            <w:pPr>
              <w:pStyle w:val="Text2"/>
              <w:spacing w:after="0"/>
              <w:ind w:left="33"/>
              <w:jc w:val="left"/>
              <w:rPr>
                <w:noProof/>
                <w:sz w:val="20"/>
              </w:rPr>
            </w:pPr>
            <w:r w:rsidRPr="00DE264C">
              <w:rPr>
                <w:noProof/>
                <w:sz w:val="20"/>
              </w:rPr>
              <w:t>Public authorities</w:t>
            </w:r>
          </w:p>
        </w:tc>
        <w:tc>
          <w:tcPr>
            <w:tcW w:w="1852" w:type="dxa"/>
            <w:vAlign w:val="center"/>
          </w:tcPr>
          <w:p w14:paraId="0C7F69F7" w14:textId="77777777" w:rsidR="00823F11" w:rsidRPr="00DE264C" w:rsidRDefault="00823F11" w:rsidP="00581D8C">
            <w:pPr>
              <w:pStyle w:val="Text2"/>
              <w:spacing w:after="0"/>
              <w:ind w:left="-101"/>
              <w:jc w:val="center"/>
              <w:rPr>
                <w:noProof/>
                <w:sz w:val="20"/>
              </w:rPr>
            </w:pPr>
            <w:r w:rsidRPr="006702BD">
              <w:rPr>
                <w:noProof/>
              </w:rPr>
              <w:drawing>
                <wp:inline distT="0" distB="0" distL="0" distR="0" wp14:anchorId="61FC6A17" wp14:editId="0DF7FB26">
                  <wp:extent cx="219075" cy="219075"/>
                  <wp:effectExtent l="0" t="0" r="0" b="0"/>
                  <wp:docPr id="33257644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12741" name="Graphic 1617412741" descr="Checkmark with solid fill"/>
                          <pic:cNvPicPr/>
                        </pic:nvPicPr>
                        <pic:blipFill>
                          <a:blip r:embed="rId56">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61"/>
                              </a:ext>
                            </a:extLst>
                          </a:blip>
                          <a:stretch>
                            <a:fillRect/>
                          </a:stretch>
                        </pic:blipFill>
                        <pic:spPr>
                          <a:xfrm>
                            <a:off x="0" y="0"/>
                            <a:ext cx="219075" cy="219075"/>
                          </a:xfrm>
                          <a:prstGeom prst="rect">
                            <a:avLst/>
                          </a:prstGeom>
                        </pic:spPr>
                      </pic:pic>
                    </a:graphicData>
                  </a:graphic>
                </wp:inline>
              </w:drawing>
            </w:r>
          </w:p>
        </w:tc>
        <w:tc>
          <w:tcPr>
            <w:tcW w:w="1853" w:type="dxa"/>
          </w:tcPr>
          <w:p w14:paraId="0F10F22A" w14:textId="5864213D" w:rsidR="00823F11" w:rsidRPr="00DE264C" w:rsidRDefault="00823F11" w:rsidP="00623666">
            <w:pPr>
              <w:pStyle w:val="Text2"/>
              <w:spacing w:after="0"/>
              <w:ind w:left="-65"/>
              <w:jc w:val="center"/>
              <w:rPr>
                <w:noProof/>
                <w:sz w:val="20"/>
              </w:rPr>
            </w:pPr>
            <w:r w:rsidRPr="006702BD">
              <w:rPr>
                <w:noProof/>
              </w:rPr>
              <w:drawing>
                <wp:inline distT="0" distB="0" distL="0" distR="0" wp14:anchorId="145C04E5" wp14:editId="29346F9A">
                  <wp:extent cx="219075" cy="219075"/>
                  <wp:effectExtent l="0" t="0" r="0" b="0"/>
                  <wp:docPr id="553215231"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12741" name="Graphic 1617412741" descr="Checkmark with solid fill"/>
                          <pic:cNvPicPr/>
                        </pic:nvPicPr>
                        <pic:blipFill>
                          <a:blip r:embed="rId56">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61"/>
                              </a:ext>
                            </a:extLst>
                          </a:blip>
                          <a:stretch>
                            <a:fillRect/>
                          </a:stretch>
                        </pic:blipFill>
                        <pic:spPr>
                          <a:xfrm>
                            <a:off x="0" y="0"/>
                            <a:ext cx="219075" cy="219075"/>
                          </a:xfrm>
                          <a:prstGeom prst="rect">
                            <a:avLst/>
                          </a:prstGeom>
                        </pic:spPr>
                      </pic:pic>
                    </a:graphicData>
                  </a:graphic>
                </wp:inline>
              </w:drawing>
            </w:r>
          </w:p>
        </w:tc>
      </w:tr>
      <w:tr w:rsidR="00823F11" w:rsidRPr="00DE264C" w14:paraId="2FBF51A9" w14:textId="77777777" w:rsidTr="00292895">
        <w:trPr>
          <w:trHeight w:val="227"/>
        </w:trPr>
        <w:tc>
          <w:tcPr>
            <w:tcW w:w="5646" w:type="dxa"/>
            <w:vAlign w:val="center"/>
          </w:tcPr>
          <w:p w14:paraId="27C6C574" w14:textId="77777777" w:rsidR="00823F11" w:rsidRPr="00DE264C" w:rsidRDefault="00823F11" w:rsidP="00452335">
            <w:pPr>
              <w:pStyle w:val="Text2"/>
              <w:spacing w:after="0"/>
              <w:ind w:left="33"/>
              <w:jc w:val="left"/>
              <w:rPr>
                <w:noProof/>
                <w:sz w:val="20"/>
              </w:rPr>
            </w:pPr>
            <w:r w:rsidRPr="00DE264C">
              <w:rPr>
                <w:noProof/>
                <w:sz w:val="20"/>
              </w:rPr>
              <w:t>Technological development / digital economy</w:t>
            </w:r>
          </w:p>
        </w:tc>
        <w:tc>
          <w:tcPr>
            <w:tcW w:w="1852" w:type="dxa"/>
            <w:vAlign w:val="center"/>
          </w:tcPr>
          <w:p w14:paraId="0F91BC0D" w14:textId="77777777" w:rsidR="00823F11" w:rsidRPr="00DE264C" w:rsidRDefault="00823F11" w:rsidP="00623666">
            <w:pPr>
              <w:pStyle w:val="Text2"/>
              <w:spacing w:after="0"/>
              <w:ind w:left="-101"/>
              <w:jc w:val="center"/>
              <w:rPr>
                <w:noProof/>
                <w:sz w:val="20"/>
              </w:rPr>
            </w:pPr>
            <w:r w:rsidRPr="006702BD">
              <w:rPr>
                <w:noProof/>
              </w:rPr>
              <w:drawing>
                <wp:inline distT="0" distB="0" distL="0" distR="0" wp14:anchorId="55236EF2" wp14:editId="5EEA55D9">
                  <wp:extent cx="219075" cy="219075"/>
                  <wp:effectExtent l="0" t="0" r="0" b="0"/>
                  <wp:docPr id="1912008858"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12741" name="Graphic 1617412741" descr="Checkmark with solid fill"/>
                          <pic:cNvPicPr/>
                        </pic:nvPicPr>
                        <pic:blipFill>
                          <a:blip r:embed="rId56">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61"/>
                              </a:ext>
                            </a:extLst>
                          </a:blip>
                          <a:stretch>
                            <a:fillRect/>
                          </a:stretch>
                        </pic:blipFill>
                        <pic:spPr>
                          <a:xfrm>
                            <a:off x="0" y="0"/>
                            <a:ext cx="219075" cy="219075"/>
                          </a:xfrm>
                          <a:prstGeom prst="rect">
                            <a:avLst/>
                          </a:prstGeom>
                        </pic:spPr>
                      </pic:pic>
                    </a:graphicData>
                  </a:graphic>
                </wp:inline>
              </w:drawing>
            </w:r>
          </w:p>
        </w:tc>
        <w:tc>
          <w:tcPr>
            <w:tcW w:w="1853" w:type="dxa"/>
          </w:tcPr>
          <w:p w14:paraId="64E7E815" w14:textId="2C6A7D5E" w:rsidR="00823F11" w:rsidRPr="00DE264C" w:rsidRDefault="00823F11" w:rsidP="00623666">
            <w:pPr>
              <w:pStyle w:val="Text2"/>
              <w:spacing w:after="0"/>
              <w:ind w:left="-65"/>
              <w:jc w:val="center"/>
              <w:rPr>
                <w:noProof/>
                <w:sz w:val="20"/>
              </w:rPr>
            </w:pPr>
            <w:r w:rsidRPr="006702BD">
              <w:rPr>
                <w:noProof/>
              </w:rPr>
              <w:drawing>
                <wp:inline distT="0" distB="0" distL="0" distR="0" wp14:anchorId="0C584669" wp14:editId="3191D3A8">
                  <wp:extent cx="219075" cy="219075"/>
                  <wp:effectExtent l="0" t="0" r="0" b="0"/>
                  <wp:docPr id="563245471"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12741" name="Graphic 1617412741" descr="Checkmark with solid fill"/>
                          <pic:cNvPicPr/>
                        </pic:nvPicPr>
                        <pic:blipFill>
                          <a:blip r:embed="rId56">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61"/>
                              </a:ext>
                            </a:extLst>
                          </a:blip>
                          <a:stretch>
                            <a:fillRect/>
                          </a:stretch>
                        </pic:blipFill>
                        <pic:spPr>
                          <a:xfrm>
                            <a:off x="0" y="0"/>
                            <a:ext cx="219075" cy="219075"/>
                          </a:xfrm>
                          <a:prstGeom prst="rect">
                            <a:avLst/>
                          </a:prstGeom>
                        </pic:spPr>
                      </pic:pic>
                    </a:graphicData>
                  </a:graphic>
                </wp:inline>
              </w:drawing>
            </w:r>
          </w:p>
        </w:tc>
      </w:tr>
      <w:tr w:rsidR="00823F11" w:rsidRPr="00DE264C" w14:paraId="01B159DB" w14:textId="77777777" w:rsidTr="00292895">
        <w:trPr>
          <w:trHeight w:val="227"/>
        </w:trPr>
        <w:tc>
          <w:tcPr>
            <w:tcW w:w="5646" w:type="dxa"/>
            <w:vAlign w:val="center"/>
          </w:tcPr>
          <w:p w14:paraId="59AC86AD" w14:textId="77777777" w:rsidR="00823F11" w:rsidRPr="00DE264C" w:rsidRDefault="00823F11" w:rsidP="00452335">
            <w:pPr>
              <w:pStyle w:val="Text2"/>
              <w:spacing w:after="0"/>
              <w:ind w:left="33"/>
              <w:jc w:val="left"/>
              <w:rPr>
                <w:noProof/>
                <w:sz w:val="20"/>
              </w:rPr>
            </w:pPr>
            <w:r w:rsidRPr="00DE264C">
              <w:rPr>
                <w:noProof/>
                <w:sz w:val="20"/>
              </w:rPr>
              <w:t>Territorial impacts (specific (types of) regions and sectors</w:t>
            </w:r>
          </w:p>
        </w:tc>
        <w:tc>
          <w:tcPr>
            <w:tcW w:w="1852" w:type="dxa"/>
            <w:vAlign w:val="center"/>
          </w:tcPr>
          <w:p w14:paraId="4AB78339" w14:textId="77777777" w:rsidR="00823F11" w:rsidRPr="00DE264C" w:rsidRDefault="00823F11" w:rsidP="00623666">
            <w:pPr>
              <w:pStyle w:val="Text2"/>
              <w:spacing w:after="0"/>
              <w:ind w:left="-101"/>
              <w:jc w:val="center"/>
              <w:rPr>
                <w:noProof/>
                <w:sz w:val="20"/>
              </w:rPr>
            </w:pPr>
          </w:p>
        </w:tc>
        <w:tc>
          <w:tcPr>
            <w:tcW w:w="1853" w:type="dxa"/>
          </w:tcPr>
          <w:p w14:paraId="7D31FC84" w14:textId="1C05EE42" w:rsidR="00823F11" w:rsidRPr="00DE264C" w:rsidRDefault="00823F11" w:rsidP="00623666">
            <w:pPr>
              <w:pStyle w:val="Text2"/>
              <w:spacing w:after="0"/>
              <w:ind w:left="-65"/>
              <w:jc w:val="center"/>
              <w:rPr>
                <w:noProof/>
                <w:sz w:val="20"/>
              </w:rPr>
            </w:pPr>
            <w:r w:rsidRPr="006702BD">
              <w:rPr>
                <w:noProof/>
              </w:rPr>
              <w:drawing>
                <wp:inline distT="0" distB="0" distL="0" distR="0" wp14:anchorId="2A921CBD" wp14:editId="4265526E">
                  <wp:extent cx="219075" cy="219075"/>
                  <wp:effectExtent l="0" t="0" r="0" b="0"/>
                  <wp:docPr id="1854192981"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12741" name="Graphic 1617412741" descr="Checkmark with solid fill"/>
                          <pic:cNvPicPr/>
                        </pic:nvPicPr>
                        <pic:blipFill>
                          <a:blip r:embed="rId56">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61"/>
                              </a:ext>
                            </a:extLst>
                          </a:blip>
                          <a:stretch>
                            <a:fillRect/>
                          </a:stretch>
                        </pic:blipFill>
                        <pic:spPr>
                          <a:xfrm>
                            <a:off x="0" y="0"/>
                            <a:ext cx="219075" cy="219075"/>
                          </a:xfrm>
                          <a:prstGeom prst="rect">
                            <a:avLst/>
                          </a:prstGeom>
                        </pic:spPr>
                      </pic:pic>
                    </a:graphicData>
                  </a:graphic>
                </wp:inline>
              </w:drawing>
            </w:r>
          </w:p>
        </w:tc>
      </w:tr>
      <w:tr w:rsidR="00823F11" w:rsidRPr="00DE264C" w14:paraId="327477E3" w14:textId="77777777" w:rsidTr="00292895">
        <w:trPr>
          <w:trHeight w:val="227"/>
        </w:trPr>
        <w:tc>
          <w:tcPr>
            <w:tcW w:w="5646" w:type="dxa"/>
            <w:vAlign w:val="center"/>
          </w:tcPr>
          <w:p w14:paraId="0BD0CA74" w14:textId="77777777" w:rsidR="00823F11" w:rsidRPr="00DE264C" w:rsidRDefault="00823F11" w:rsidP="00452335">
            <w:pPr>
              <w:pStyle w:val="Text2"/>
              <w:spacing w:after="0"/>
              <w:ind w:left="33"/>
              <w:jc w:val="left"/>
              <w:rPr>
                <w:noProof/>
                <w:sz w:val="20"/>
              </w:rPr>
            </w:pPr>
            <w:r w:rsidRPr="00DE264C">
              <w:rPr>
                <w:noProof/>
                <w:sz w:val="20"/>
              </w:rPr>
              <w:t>Innovation</w:t>
            </w:r>
          </w:p>
        </w:tc>
        <w:tc>
          <w:tcPr>
            <w:tcW w:w="1852" w:type="dxa"/>
            <w:vAlign w:val="center"/>
          </w:tcPr>
          <w:p w14:paraId="63F377D7" w14:textId="77777777" w:rsidR="00823F11" w:rsidRPr="00DE264C" w:rsidRDefault="00823F11" w:rsidP="00623666">
            <w:pPr>
              <w:pStyle w:val="Text2"/>
              <w:spacing w:after="0"/>
              <w:ind w:left="-101"/>
              <w:jc w:val="center"/>
              <w:rPr>
                <w:noProof/>
                <w:sz w:val="20"/>
              </w:rPr>
            </w:pPr>
          </w:p>
        </w:tc>
        <w:tc>
          <w:tcPr>
            <w:tcW w:w="1853" w:type="dxa"/>
          </w:tcPr>
          <w:p w14:paraId="0E4970AE" w14:textId="6CF6083A" w:rsidR="00823F11" w:rsidRPr="00DE264C" w:rsidRDefault="00823F11" w:rsidP="00623666">
            <w:pPr>
              <w:pStyle w:val="Text2"/>
              <w:spacing w:after="0"/>
              <w:ind w:left="-65"/>
              <w:jc w:val="center"/>
              <w:rPr>
                <w:noProof/>
                <w:sz w:val="20"/>
              </w:rPr>
            </w:pPr>
            <w:r w:rsidRPr="006702BD">
              <w:rPr>
                <w:noProof/>
              </w:rPr>
              <w:drawing>
                <wp:inline distT="0" distB="0" distL="0" distR="0" wp14:anchorId="35A695AD" wp14:editId="52C8EA62">
                  <wp:extent cx="219075" cy="219075"/>
                  <wp:effectExtent l="0" t="0" r="0" b="0"/>
                  <wp:docPr id="1511008960"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12741" name="Graphic 1617412741" descr="Checkmark with solid fill"/>
                          <pic:cNvPicPr/>
                        </pic:nvPicPr>
                        <pic:blipFill>
                          <a:blip r:embed="rId56">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61"/>
                              </a:ext>
                            </a:extLst>
                          </a:blip>
                          <a:stretch>
                            <a:fillRect/>
                          </a:stretch>
                        </pic:blipFill>
                        <pic:spPr>
                          <a:xfrm>
                            <a:off x="0" y="0"/>
                            <a:ext cx="219075" cy="219075"/>
                          </a:xfrm>
                          <a:prstGeom prst="rect">
                            <a:avLst/>
                          </a:prstGeom>
                        </pic:spPr>
                      </pic:pic>
                    </a:graphicData>
                  </a:graphic>
                </wp:inline>
              </w:drawing>
            </w:r>
          </w:p>
        </w:tc>
      </w:tr>
      <w:tr w:rsidR="00823F11" w:rsidRPr="00DE264C" w14:paraId="45377A4A" w14:textId="77777777" w:rsidTr="00292895">
        <w:trPr>
          <w:trHeight w:val="227"/>
        </w:trPr>
        <w:tc>
          <w:tcPr>
            <w:tcW w:w="5646" w:type="dxa"/>
            <w:vAlign w:val="center"/>
          </w:tcPr>
          <w:p w14:paraId="39280D8A" w14:textId="77777777" w:rsidR="00823F11" w:rsidRPr="00DE264C" w:rsidRDefault="00823F11" w:rsidP="00452335">
            <w:pPr>
              <w:pStyle w:val="Text2"/>
              <w:spacing w:after="0"/>
              <w:ind w:left="33"/>
              <w:jc w:val="left"/>
              <w:rPr>
                <w:noProof/>
                <w:sz w:val="20"/>
              </w:rPr>
            </w:pPr>
            <w:r w:rsidRPr="00DE264C">
              <w:rPr>
                <w:noProof/>
                <w:sz w:val="20"/>
              </w:rPr>
              <w:t>Resilience, technological sovereignty</w:t>
            </w:r>
          </w:p>
        </w:tc>
        <w:tc>
          <w:tcPr>
            <w:tcW w:w="1852" w:type="dxa"/>
            <w:vAlign w:val="center"/>
          </w:tcPr>
          <w:p w14:paraId="509C4B50" w14:textId="77777777" w:rsidR="00823F11" w:rsidRPr="00DE264C" w:rsidRDefault="00823F11" w:rsidP="001F43B2">
            <w:pPr>
              <w:pStyle w:val="Text2"/>
              <w:spacing w:after="0"/>
              <w:ind w:left="-101"/>
              <w:jc w:val="center"/>
              <w:rPr>
                <w:noProof/>
                <w:sz w:val="20"/>
              </w:rPr>
            </w:pPr>
          </w:p>
        </w:tc>
        <w:tc>
          <w:tcPr>
            <w:tcW w:w="1853" w:type="dxa"/>
          </w:tcPr>
          <w:p w14:paraId="17021049" w14:textId="76D64A1F" w:rsidR="00823F11" w:rsidRPr="00DE264C" w:rsidRDefault="00823F11" w:rsidP="001F43B2">
            <w:pPr>
              <w:pStyle w:val="Text2"/>
              <w:spacing w:after="0"/>
              <w:ind w:left="-65"/>
              <w:jc w:val="center"/>
              <w:rPr>
                <w:noProof/>
                <w:sz w:val="20"/>
              </w:rPr>
            </w:pPr>
            <w:r w:rsidRPr="006702BD">
              <w:rPr>
                <w:noProof/>
              </w:rPr>
              <w:drawing>
                <wp:inline distT="0" distB="0" distL="0" distR="0" wp14:anchorId="15E68957" wp14:editId="482F9A35">
                  <wp:extent cx="219075" cy="219075"/>
                  <wp:effectExtent l="0" t="0" r="0" b="0"/>
                  <wp:docPr id="1686945719"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12741" name="Graphic 1617412741" descr="Checkmark with solid fill"/>
                          <pic:cNvPicPr/>
                        </pic:nvPicPr>
                        <pic:blipFill>
                          <a:blip r:embed="rId56">
                            <a:extLst>
                              <a:ext uri="{96DAC541-7B7A-43D3-8B79-37D633B846F1}">
                                <asvg:svgBlip xmlns:a14="http://schemas.microsoft.com/office/drawing/2010/main" xmlns:a16="http://schemas.microsoft.com/office/drawing/2014/main" xmlns:c="http://schemas.openxmlformats.org/drawingml/2006/chart"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 r:embed="rId61"/>
                              </a:ext>
                            </a:extLst>
                          </a:blip>
                          <a:stretch>
                            <a:fillRect/>
                          </a:stretch>
                        </pic:blipFill>
                        <pic:spPr>
                          <a:xfrm>
                            <a:off x="0" y="0"/>
                            <a:ext cx="219075" cy="219075"/>
                          </a:xfrm>
                          <a:prstGeom prst="rect">
                            <a:avLst/>
                          </a:prstGeom>
                        </pic:spPr>
                      </pic:pic>
                    </a:graphicData>
                  </a:graphic>
                </wp:inline>
              </w:drawing>
            </w:r>
          </w:p>
        </w:tc>
      </w:tr>
    </w:tbl>
    <w:p w14:paraId="202A86B5" w14:textId="08A87D3B" w:rsidR="00CD38E5" w:rsidRPr="00DE264C" w:rsidRDefault="00A50E0B" w:rsidP="00023AFB">
      <w:pPr>
        <w:spacing w:before="240" w:line="240" w:lineRule="auto"/>
        <w:rPr>
          <w:noProof/>
        </w:rPr>
      </w:pPr>
      <w:r w:rsidRPr="00DE264C">
        <w:rPr>
          <w:noProof/>
        </w:rPr>
        <w:t xml:space="preserve">Gigabit broadband delivers direct benefits to citizens as well as indirect benefits to society. Examples of direct benefits include home care applications, quick and efficient emergency response, greater educational opportunities, support for teleworking and improved entertainment options. </w:t>
      </w:r>
    </w:p>
    <w:p w14:paraId="724BF1BA" w14:textId="77777777" w:rsidR="003E0150" w:rsidRPr="00DE264C" w:rsidRDefault="00A50E0B" w:rsidP="00023AFB">
      <w:pPr>
        <w:spacing w:before="240" w:line="240" w:lineRule="auto"/>
        <w:rPr>
          <w:noProof/>
        </w:rPr>
      </w:pPr>
      <w:r w:rsidRPr="00DE264C">
        <w:rPr>
          <w:noProof/>
        </w:rPr>
        <w:t>In addition to boosting consumer welfare, these applications can also save money both for the individuals concerned and for the service provider. A quantitative model estimation</w:t>
      </w:r>
      <w:r w:rsidRPr="00DE264C">
        <w:rPr>
          <w:rStyle w:val="FootnoteReference"/>
          <w:noProof/>
        </w:rPr>
        <w:footnoteReference w:id="214"/>
      </w:r>
      <w:r w:rsidRPr="00DE264C">
        <w:rPr>
          <w:noProof/>
        </w:rPr>
        <w:t xml:space="preserve"> of the projected social impacts of faster broadband speeds (although not FTTH per se) shows that the increase in teleworking driven by faster broadband would save about 60 million hours of leisure time per annum in the UK between 2008 and 2024. In addition, by avoiding commuting costs, it estimated total household savings of GBP</w:t>
      </w:r>
      <w:r w:rsidRPr="00DE264C" w:rsidDel="003A5446">
        <w:rPr>
          <w:noProof/>
        </w:rPr>
        <w:t> </w:t>
      </w:r>
      <w:r w:rsidRPr="00DE264C">
        <w:rPr>
          <w:noProof/>
        </w:rPr>
        <w:t>270 million (EUR 310 million) per year. Furthermore, it projected that increased productivity from teleworking could reach GBP</w:t>
      </w:r>
      <w:r w:rsidRPr="00DE264C" w:rsidDel="003A5446">
        <w:rPr>
          <w:noProof/>
        </w:rPr>
        <w:t> </w:t>
      </w:r>
      <w:r w:rsidRPr="00DE264C">
        <w:rPr>
          <w:noProof/>
        </w:rPr>
        <w:t xml:space="preserve">1.8 billion (EUR 2.1 billion) by 2024. </w:t>
      </w:r>
    </w:p>
    <w:p w14:paraId="1CB2CD8E" w14:textId="0CBF7683" w:rsidR="00A50E0B" w:rsidRPr="00DE264C" w:rsidRDefault="00A50E0B" w:rsidP="00023AFB">
      <w:pPr>
        <w:spacing w:before="240" w:line="240" w:lineRule="auto"/>
        <w:rPr>
          <w:noProof/>
        </w:rPr>
      </w:pPr>
      <w:r w:rsidRPr="00DE264C">
        <w:rPr>
          <w:noProof/>
        </w:rPr>
        <w:t>Faster broadband can also support more efficient delivery of healthcare. A study assessing developments in Sweden</w:t>
      </w:r>
      <w:r w:rsidRPr="00DE264C">
        <w:rPr>
          <w:rStyle w:val="FootnoteReference"/>
          <w:noProof/>
        </w:rPr>
        <w:footnoteReference w:id="215"/>
      </w:r>
      <w:r w:rsidRPr="00DE264C">
        <w:rPr>
          <w:noProof/>
        </w:rPr>
        <w:t xml:space="preserve"> found significant savings in using digital FTTH-based homecare especially in rural areas. It concluded that even with limited adoption, these solutions could contribute to annual net cost reductions of USD</w:t>
      </w:r>
      <w:r w:rsidR="004C2FA3" w:rsidRPr="00DE264C">
        <w:rPr>
          <w:noProof/>
        </w:rPr>
        <w:t> </w:t>
      </w:r>
      <w:r w:rsidRPr="00DE264C">
        <w:rPr>
          <w:noProof/>
        </w:rPr>
        <w:t>0.6</w:t>
      </w:r>
      <w:r w:rsidR="00FC640E" w:rsidRPr="00DE264C">
        <w:rPr>
          <w:noProof/>
        </w:rPr>
        <w:t xml:space="preserve"> </w:t>
      </w:r>
      <w:r w:rsidRPr="00DE264C">
        <w:rPr>
          <w:noProof/>
        </w:rPr>
        <w:t>m</w:t>
      </w:r>
      <w:r w:rsidR="00FC640E" w:rsidRPr="00DE264C">
        <w:rPr>
          <w:noProof/>
        </w:rPr>
        <w:t>illion</w:t>
      </w:r>
      <w:r w:rsidRPr="00DE264C">
        <w:rPr>
          <w:noProof/>
        </w:rPr>
        <w:t xml:space="preserve"> </w:t>
      </w:r>
      <w:r w:rsidR="00FC640E" w:rsidRPr="00DE264C">
        <w:rPr>
          <w:noProof/>
        </w:rPr>
        <w:t>(EUR 0.5 million)</w:t>
      </w:r>
      <w:r w:rsidRPr="00DE264C">
        <w:rPr>
          <w:noProof/>
        </w:rPr>
        <w:t xml:space="preserve"> in a rural municipality with 8</w:t>
      </w:r>
      <w:r w:rsidRPr="00DE264C" w:rsidDel="00BB6B87">
        <w:rPr>
          <w:noProof/>
        </w:rPr>
        <w:t> </w:t>
      </w:r>
      <w:r w:rsidRPr="00DE264C">
        <w:rPr>
          <w:noProof/>
        </w:rPr>
        <w:t xml:space="preserve">000 residents by 2020. Overall, reliable and fast connectivity has a clear positive social impact, and its future potential is likely to grow. However, a quantification of the social impact is not possible. Consequently, the social impact of options cannot be assessed in detail. </w:t>
      </w:r>
    </w:p>
    <w:p w14:paraId="128474BD" w14:textId="2ACC4E9B" w:rsidR="00A50E0B" w:rsidRDefault="00A50E0B" w:rsidP="00023AFB">
      <w:pPr>
        <w:spacing w:before="240" w:line="240" w:lineRule="auto"/>
        <w:rPr>
          <w:noProof/>
        </w:rPr>
      </w:pPr>
      <w:r w:rsidRPr="00DE264C">
        <w:rPr>
          <w:noProof/>
        </w:rPr>
        <w:t>In addition to energy and CO2 savings, the copper switch-off may have other environmental benefits such as mitigation of water pollution. According to an investigation by the Wall Street Journal, cables covered in toxic lead laid decades ago by telecom companies pose a health hazard in the USA</w:t>
      </w:r>
      <w:r w:rsidRPr="00DE264C">
        <w:rPr>
          <w:rStyle w:val="FootnoteReference"/>
          <w:noProof/>
        </w:rPr>
        <w:footnoteReference w:id="216"/>
      </w:r>
      <w:r w:rsidRPr="00DE264C">
        <w:rPr>
          <w:rStyle w:val="FootnoteReference"/>
          <w:noProof/>
          <w:vertAlign w:val="baseline"/>
        </w:rPr>
        <w:t>.</w:t>
      </w:r>
      <w:r w:rsidRPr="00DE264C">
        <w:rPr>
          <w:noProof/>
        </w:rPr>
        <w:t xml:space="preserve"> Lead-sheathed telecom cables may be also found in the EU</w:t>
      </w:r>
      <w:r w:rsidRPr="00DE264C">
        <w:rPr>
          <w:rStyle w:val="FootnoteReference"/>
          <w:noProof/>
        </w:rPr>
        <w:footnoteReference w:id="217"/>
      </w:r>
      <w:r w:rsidRPr="00DE264C">
        <w:rPr>
          <w:noProof/>
        </w:rPr>
        <w:t xml:space="preserve"> Replacing lead-sheathed cables with fibre optic ones reduces any actual or perceived environmental risks. </w:t>
      </w:r>
    </w:p>
    <w:p w14:paraId="7436AFEB" w14:textId="75B2E963" w:rsidR="00A23F7B" w:rsidRDefault="00226C40" w:rsidP="00023AFB">
      <w:pPr>
        <w:spacing w:line="240" w:lineRule="auto"/>
        <w:rPr>
          <w:noProof/>
        </w:rPr>
      </w:pPr>
      <w:r w:rsidRPr="003534AE">
        <w:rPr>
          <w:noProof/>
        </w:rPr>
        <w:t xml:space="preserve">The primary impact of the copper switch-off and access measures are on FTTH coverage, FTTH take-up and </w:t>
      </w:r>
      <w:r w:rsidR="00524858" w:rsidRPr="003534AE">
        <w:rPr>
          <w:noProof/>
        </w:rPr>
        <w:t xml:space="preserve">download </w:t>
      </w:r>
      <w:r w:rsidRPr="003534AE">
        <w:rPr>
          <w:noProof/>
        </w:rPr>
        <w:t xml:space="preserve">speed. </w:t>
      </w:r>
      <w:r w:rsidR="008D45FF" w:rsidRPr="003534AE">
        <w:rPr>
          <w:noProof/>
        </w:rPr>
        <w:t xml:space="preserve">The different </w:t>
      </w:r>
      <w:r w:rsidR="004C7D72" w:rsidRPr="003534AE">
        <w:rPr>
          <w:noProof/>
        </w:rPr>
        <w:t xml:space="preserve">options </w:t>
      </w:r>
      <w:r w:rsidR="005E136B" w:rsidRPr="003534AE">
        <w:rPr>
          <w:noProof/>
        </w:rPr>
        <w:t xml:space="preserve">of the transition to fibre </w:t>
      </w:r>
      <w:r w:rsidR="006C5744" w:rsidRPr="003534AE">
        <w:rPr>
          <w:noProof/>
        </w:rPr>
        <w:t>impact</w:t>
      </w:r>
      <w:r w:rsidR="005E136B" w:rsidRPr="003534AE">
        <w:rPr>
          <w:noProof/>
        </w:rPr>
        <w:t xml:space="preserve"> in different ways both the coverage and </w:t>
      </w:r>
      <w:r w:rsidR="007E6922" w:rsidRPr="003534AE">
        <w:rPr>
          <w:noProof/>
        </w:rPr>
        <w:t>the take up</w:t>
      </w:r>
      <w:r w:rsidR="006C5744" w:rsidRPr="003534AE">
        <w:rPr>
          <w:noProof/>
        </w:rPr>
        <w:t xml:space="preserve"> of the FTTH network</w:t>
      </w:r>
      <w:r w:rsidR="007E6922" w:rsidRPr="003534AE">
        <w:rPr>
          <w:noProof/>
        </w:rPr>
        <w:t xml:space="preserve">. </w:t>
      </w:r>
      <w:r w:rsidR="00110DD0" w:rsidRPr="003534AE">
        <w:rPr>
          <w:noProof/>
        </w:rPr>
        <w:t xml:space="preserve">Copper switch-off </w:t>
      </w:r>
      <w:r w:rsidR="00723D17" w:rsidRPr="003534AE">
        <w:rPr>
          <w:noProof/>
        </w:rPr>
        <w:t>is expected to</w:t>
      </w:r>
      <w:r w:rsidR="00110DD0" w:rsidRPr="003534AE">
        <w:rPr>
          <w:noProof/>
        </w:rPr>
        <w:t xml:space="preserve"> lead to increased FTTH coverage, by removing unviable network duplication from legacy copper networks. In doing so it reduces penetration risk (i.e. low take-up) on FTTH networks, improving the business case for FTTH deployment. </w:t>
      </w:r>
      <w:r w:rsidR="00723D17" w:rsidRPr="003534AE">
        <w:rPr>
          <w:noProof/>
        </w:rPr>
        <w:t>Specifically, t</w:t>
      </w:r>
      <w:r w:rsidR="007A5428" w:rsidRPr="003534AE">
        <w:rPr>
          <w:noProof/>
        </w:rPr>
        <w:t xml:space="preserve">he </w:t>
      </w:r>
      <w:r w:rsidR="00AF19CD" w:rsidRPr="003534AE">
        <w:rPr>
          <w:noProof/>
        </w:rPr>
        <w:t xml:space="preserve">mandatory copper switch-off date, with and without sustainability </w:t>
      </w:r>
      <w:r w:rsidR="00B771F3" w:rsidRPr="003534AE">
        <w:rPr>
          <w:noProof/>
        </w:rPr>
        <w:t>conditions respectively</w:t>
      </w:r>
      <w:r w:rsidR="007A5428" w:rsidRPr="003534AE">
        <w:rPr>
          <w:noProof/>
        </w:rPr>
        <w:t xml:space="preserve"> in options 2 and 4 </w:t>
      </w:r>
      <w:r w:rsidR="004458E4" w:rsidRPr="003534AE">
        <w:rPr>
          <w:noProof/>
        </w:rPr>
        <w:t>is expected to accelerate the fibre deployment until 2030</w:t>
      </w:r>
      <w:r w:rsidR="00723D17" w:rsidRPr="003534AE">
        <w:rPr>
          <w:noProof/>
        </w:rPr>
        <w:t xml:space="preserve"> compared to options 1 and 3</w:t>
      </w:r>
      <w:r w:rsidR="004458E4" w:rsidRPr="003534AE">
        <w:rPr>
          <w:noProof/>
        </w:rPr>
        <w:t xml:space="preserve">. However, </w:t>
      </w:r>
      <w:r w:rsidR="00505CE4" w:rsidRPr="003534AE">
        <w:rPr>
          <w:noProof/>
        </w:rPr>
        <w:t xml:space="preserve">option 4 </w:t>
      </w:r>
      <w:r w:rsidR="00840673" w:rsidRPr="003534AE">
        <w:rPr>
          <w:noProof/>
        </w:rPr>
        <w:t xml:space="preserve">may lead to a deceleration of FTTH coverage afterwards, as many subscribers will be forced to switch to </w:t>
      </w:r>
      <w:r w:rsidR="004B41B6" w:rsidRPr="003534AE">
        <w:rPr>
          <w:noProof/>
        </w:rPr>
        <w:t xml:space="preserve">mobile/wireless technologies and </w:t>
      </w:r>
      <w:r w:rsidR="00EE6414" w:rsidRPr="003534AE">
        <w:rPr>
          <w:noProof/>
        </w:rPr>
        <w:t xml:space="preserve">their willingness to change to fibre afterwards </w:t>
      </w:r>
      <w:r w:rsidR="008C2F95" w:rsidRPr="003534AE">
        <w:rPr>
          <w:noProof/>
        </w:rPr>
        <w:t xml:space="preserve">remains to be seen, especially in the case where their </w:t>
      </w:r>
      <w:r w:rsidR="00B60D6E" w:rsidRPr="003534AE">
        <w:rPr>
          <w:noProof/>
        </w:rPr>
        <w:t>new connections perform well.</w:t>
      </w:r>
      <w:r w:rsidR="006C5744" w:rsidRPr="003534AE">
        <w:rPr>
          <w:noProof/>
        </w:rPr>
        <w:t xml:space="preserve"> On the other hand, </w:t>
      </w:r>
      <w:r w:rsidR="008E71B2" w:rsidRPr="003534AE">
        <w:rPr>
          <w:noProof/>
        </w:rPr>
        <w:t xml:space="preserve">option 2 is expected to achieve similar </w:t>
      </w:r>
      <w:r w:rsidR="00031C02" w:rsidRPr="003534AE">
        <w:rPr>
          <w:noProof/>
        </w:rPr>
        <w:t xml:space="preserve">FTTH </w:t>
      </w:r>
      <w:r w:rsidR="008E71B2" w:rsidRPr="003534AE">
        <w:rPr>
          <w:noProof/>
        </w:rPr>
        <w:t>coverage</w:t>
      </w:r>
      <w:r w:rsidR="00031C02" w:rsidRPr="003534AE">
        <w:rPr>
          <w:noProof/>
        </w:rPr>
        <w:t xml:space="preserve"> in a less intrusive and </w:t>
      </w:r>
      <w:r w:rsidR="00C1196C" w:rsidRPr="003534AE">
        <w:rPr>
          <w:noProof/>
        </w:rPr>
        <w:t xml:space="preserve">a more </w:t>
      </w:r>
      <w:r w:rsidR="00864C92" w:rsidRPr="003534AE">
        <w:rPr>
          <w:noProof/>
        </w:rPr>
        <w:t>user-friendly</w:t>
      </w:r>
      <w:r w:rsidR="00C1196C" w:rsidRPr="003534AE">
        <w:rPr>
          <w:noProof/>
        </w:rPr>
        <w:t xml:space="preserve"> way.</w:t>
      </w:r>
    </w:p>
    <w:p w14:paraId="3D544E31" w14:textId="6E523B46" w:rsidR="00226C40" w:rsidRPr="00DE264C" w:rsidRDefault="00226C40" w:rsidP="00023AFB">
      <w:pPr>
        <w:spacing w:line="240" w:lineRule="auto"/>
        <w:rPr>
          <w:noProof/>
        </w:rPr>
      </w:pPr>
      <w:r w:rsidRPr="00DE264C">
        <w:rPr>
          <w:noProof/>
        </w:rPr>
        <w:t>The numbers presented below are projected average values for the EU.</w:t>
      </w:r>
      <w:r w:rsidRPr="00DE264C">
        <w:rPr>
          <w:rStyle w:val="FootnoteReference"/>
          <w:noProof/>
        </w:rPr>
        <w:footnoteReference w:id="218"/>
      </w:r>
      <w:r w:rsidR="008D7DEB" w:rsidRPr="00DE264C">
        <w:rPr>
          <w:noProof/>
        </w:rPr>
        <w:t xml:space="preserve"> </w:t>
      </w:r>
      <w:r w:rsidR="00F23A07" w:rsidRPr="00DE264C">
        <w:rPr>
          <w:noProof/>
        </w:rPr>
        <w:t xml:space="preserve">The </w:t>
      </w:r>
      <w:r w:rsidR="00824EDA" w:rsidRPr="00DE264C">
        <w:rPr>
          <w:noProof/>
        </w:rPr>
        <w:t xml:space="preserve">underlying calculations assume that </w:t>
      </w:r>
      <w:r w:rsidR="007B567A" w:rsidRPr="00DE264C">
        <w:rPr>
          <w:noProof/>
        </w:rPr>
        <w:t xml:space="preserve">the sustainability </w:t>
      </w:r>
      <w:r w:rsidR="006B36BD" w:rsidRPr="00DE264C">
        <w:rPr>
          <w:noProof/>
        </w:rPr>
        <w:t>c</w:t>
      </w:r>
      <w:r w:rsidR="7FD9628F" w:rsidRPr="00DE264C">
        <w:rPr>
          <w:noProof/>
        </w:rPr>
        <w:t xml:space="preserve">onditions </w:t>
      </w:r>
      <w:r w:rsidR="008F3388" w:rsidRPr="00DE264C">
        <w:rPr>
          <w:noProof/>
        </w:rPr>
        <w:t>allow</w:t>
      </w:r>
      <w:r w:rsidR="008F4DC2" w:rsidRPr="00DE264C">
        <w:rPr>
          <w:noProof/>
        </w:rPr>
        <w:t xml:space="preserve"> </w:t>
      </w:r>
      <w:r w:rsidR="008F3388" w:rsidRPr="00DE264C">
        <w:rPr>
          <w:noProof/>
        </w:rPr>
        <w:t xml:space="preserve">for </w:t>
      </w:r>
      <w:r w:rsidR="007A73D2" w:rsidRPr="00DE264C">
        <w:rPr>
          <w:noProof/>
        </w:rPr>
        <w:t>the continued operation of copper networks</w:t>
      </w:r>
      <w:r w:rsidR="003951A1" w:rsidRPr="00DE264C">
        <w:rPr>
          <w:noProof/>
        </w:rPr>
        <w:t xml:space="preserve"> </w:t>
      </w:r>
      <w:r w:rsidR="004E18C3" w:rsidRPr="00DE264C">
        <w:rPr>
          <w:noProof/>
        </w:rPr>
        <w:t xml:space="preserve">in areas </w:t>
      </w:r>
      <w:r w:rsidR="009A392C" w:rsidRPr="00DE264C">
        <w:rPr>
          <w:noProof/>
        </w:rPr>
        <w:t>with insufficient FTTH coverage (below 95%)</w:t>
      </w:r>
      <w:r w:rsidR="0047044D" w:rsidRPr="00DE264C">
        <w:rPr>
          <w:noProof/>
        </w:rPr>
        <w:t xml:space="preserve"> </w:t>
      </w:r>
      <w:r w:rsidR="00091969" w:rsidRPr="00DE264C">
        <w:rPr>
          <w:noProof/>
        </w:rPr>
        <w:t>for a maximum of five years</w:t>
      </w:r>
      <w:r w:rsidR="00A030F1" w:rsidRPr="00DE264C">
        <w:rPr>
          <w:noProof/>
        </w:rPr>
        <w:t>.</w:t>
      </w:r>
      <w:r w:rsidR="001568AA" w:rsidRPr="00DE264C">
        <w:rPr>
          <w:noProof/>
        </w:rPr>
        <w:t xml:space="preserve"> </w:t>
      </w:r>
      <w:r w:rsidR="008D7DEB" w:rsidRPr="00DE264C">
        <w:rPr>
          <w:noProof/>
        </w:rPr>
        <w:t xml:space="preserve"> </w:t>
      </w:r>
    </w:p>
    <w:p w14:paraId="139FC1BC" w14:textId="4073DD62" w:rsidR="00226C40" w:rsidRPr="00C30CDD" w:rsidRDefault="00226C40" w:rsidP="008D6A93">
      <w:pPr>
        <w:pStyle w:val="Caption"/>
        <w:keepNext/>
        <w:rPr>
          <w:noProof/>
          <w:color w:val="auto"/>
          <w:sz w:val="24"/>
          <w:szCs w:val="24"/>
          <w:u w:val="single"/>
        </w:rPr>
      </w:pPr>
      <w:r w:rsidRPr="00C30CDD">
        <w:rPr>
          <w:noProof/>
          <w:color w:val="auto"/>
          <w:sz w:val="24"/>
          <w:szCs w:val="24"/>
          <w:u w:val="single"/>
        </w:rPr>
        <w:t xml:space="preserve">Table </w:t>
      </w:r>
      <w:r w:rsidR="00F15E10" w:rsidRPr="00C30CDD">
        <w:rPr>
          <w:noProof/>
          <w:color w:val="auto"/>
          <w:sz w:val="24"/>
          <w:szCs w:val="24"/>
          <w:u w:val="single"/>
        </w:rPr>
        <w:t>2</w:t>
      </w:r>
      <w:r w:rsidR="009E7C22">
        <w:rPr>
          <w:noProof/>
          <w:color w:val="auto"/>
          <w:sz w:val="24"/>
          <w:szCs w:val="24"/>
          <w:u w:val="single"/>
        </w:rPr>
        <w:t>0</w:t>
      </w:r>
      <w:r w:rsidRPr="00C30CDD">
        <w:rPr>
          <w:noProof/>
          <w:color w:val="auto"/>
          <w:sz w:val="24"/>
          <w:szCs w:val="24"/>
          <w:u w:val="single"/>
        </w:rPr>
        <w:t>: FTTH coverage</w:t>
      </w:r>
      <w:r w:rsidR="000729BA" w:rsidRPr="00C30CDD">
        <w:rPr>
          <w:rStyle w:val="FootnoteReference"/>
          <w:noProof/>
          <w:color w:val="auto"/>
          <w:u w:val="single"/>
        </w:rPr>
        <w:footnoteReference w:id="219"/>
      </w:r>
    </w:p>
    <w:p w14:paraId="4D26FD48" w14:textId="2D910734" w:rsidR="00A50264" w:rsidRPr="00DE264C" w:rsidRDefault="00A50264" w:rsidP="00164278">
      <w:pPr>
        <w:rPr>
          <w:noProof/>
        </w:rPr>
      </w:pPr>
      <w:r w:rsidRPr="00DE264C">
        <w:rPr>
          <w:noProof/>
          <w:lang w:eastAsia="en-GB"/>
        </w:rPr>
        <w:drawing>
          <wp:inline distT="0" distB="0" distL="0" distR="0" wp14:anchorId="08CC2C87" wp14:editId="3796C1AE">
            <wp:extent cx="4445000" cy="558800"/>
            <wp:effectExtent l="0" t="0" r="0" b="0"/>
            <wp:docPr id="16943696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45000" cy="558800"/>
                    </a:xfrm>
                    <a:prstGeom prst="rect">
                      <a:avLst/>
                    </a:prstGeom>
                    <a:noFill/>
                    <a:ln>
                      <a:noFill/>
                    </a:ln>
                  </pic:spPr>
                </pic:pic>
              </a:graphicData>
            </a:graphic>
          </wp:inline>
        </w:drawing>
      </w:r>
    </w:p>
    <w:p w14:paraId="1AFC7CCF" w14:textId="77777777" w:rsidR="00226C40" w:rsidRPr="00D54119" w:rsidRDefault="00226C40" w:rsidP="00226C40">
      <w:pPr>
        <w:rPr>
          <w:noProof/>
          <w:sz w:val="20"/>
          <w:szCs w:val="20"/>
        </w:rPr>
      </w:pPr>
      <w:r w:rsidRPr="00D54119">
        <w:rPr>
          <w:noProof/>
          <w:sz w:val="20"/>
          <w:szCs w:val="20"/>
        </w:rPr>
        <w:t>Source: WIK</w:t>
      </w:r>
    </w:p>
    <w:p w14:paraId="0BD131CD" w14:textId="6C22806A" w:rsidR="00226C40" w:rsidRPr="00C30CDD" w:rsidRDefault="00226C40" w:rsidP="00292895">
      <w:pPr>
        <w:pStyle w:val="Caption"/>
        <w:keepNext/>
        <w:rPr>
          <w:noProof/>
          <w:color w:val="auto"/>
          <w:sz w:val="24"/>
          <w:szCs w:val="24"/>
          <w:u w:val="single"/>
        </w:rPr>
      </w:pPr>
      <w:r w:rsidRPr="00C30CDD">
        <w:rPr>
          <w:noProof/>
          <w:color w:val="auto"/>
          <w:sz w:val="24"/>
          <w:szCs w:val="24"/>
          <w:u w:val="single"/>
        </w:rPr>
        <w:t xml:space="preserve">Table </w:t>
      </w:r>
      <w:r w:rsidR="005D57D4" w:rsidRPr="00C30CDD">
        <w:rPr>
          <w:noProof/>
          <w:color w:val="auto"/>
          <w:sz w:val="24"/>
          <w:szCs w:val="24"/>
          <w:u w:val="single"/>
        </w:rPr>
        <w:t>2</w:t>
      </w:r>
      <w:r w:rsidR="009A5C16">
        <w:rPr>
          <w:noProof/>
          <w:color w:val="auto"/>
          <w:sz w:val="24"/>
          <w:szCs w:val="24"/>
          <w:u w:val="single"/>
        </w:rPr>
        <w:t>1</w:t>
      </w:r>
      <w:r w:rsidRPr="00C30CDD">
        <w:rPr>
          <w:noProof/>
          <w:color w:val="auto"/>
          <w:sz w:val="24"/>
          <w:szCs w:val="24"/>
          <w:u w:val="single"/>
        </w:rPr>
        <w:t>: FTTH take-up</w:t>
      </w:r>
      <w:r w:rsidR="00B26E99" w:rsidRPr="00C30CDD">
        <w:rPr>
          <w:rStyle w:val="FootnoteReference"/>
          <w:noProof/>
          <w:color w:val="auto"/>
          <w:u w:val="single"/>
        </w:rPr>
        <w:footnoteReference w:id="220"/>
      </w:r>
    </w:p>
    <w:p w14:paraId="3B216A01" w14:textId="44340CC1" w:rsidR="000D6885" w:rsidRPr="00DE264C" w:rsidRDefault="000D6885" w:rsidP="00164278">
      <w:pPr>
        <w:rPr>
          <w:noProof/>
        </w:rPr>
      </w:pPr>
      <w:r w:rsidRPr="00DE264C">
        <w:rPr>
          <w:noProof/>
          <w:lang w:eastAsia="en-GB"/>
        </w:rPr>
        <w:drawing>
          <wp:inline distT="0" distB="0" distL="0" distR="0" wp14:anchorId="05649506" wp14:editId="201441FB">
            <wp:extent cx="4445000" cy="558800"/>
            <wp:effectExtent l="0" t="0" r="0" b="0"/>
            <wp:docPr id="9672989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445000" cy="558800"/>
                    </a:xfrm>
                    <a:prstGeom prst="rect">
                      <a:avLst/>
                    </a:prstGeom>
                    <a:noFill/>
                    <a:ln>
                      <a:noFill/>
                    </a:ln>
                  </pic:spPr>
                </pic:pic>
              </a:graphicData>
            </a:graphic>
          </wp:inline>
        </w:drawing>
      </w:r>
    </w:p>
    <w:p w14:paraId="0185E5B7" w14:textId="6A4B3C30" w:rsidR="00226C40" w:rsidRDefault="00226C40" w:rsidP="00226C40">
      <w:pPr>
        <w:rPr>
          <w:noProof/>
          <w:sz w:val="20"/>
          <w:szCs w:val="20"/>
        </w:rPr>
      </w:pPr>
      <w:r w:rsidRPr="00D54119">
        <w:rPr>
          <w:noProof/>
          <w:sz w:val="20"/>
          <w:szCs w:val="20"/>
        </w:rPr>
        <w:t>Source: WIK</w:t>
      </w:r>
    </w:p>
    <w:p w14:paraId="64FC16A5" w14:textId="30945FAD" w:rsidR="00864C92" w:rsidRPr="0003403B" w:rsidRDefault="003C7655" w:rsidP="00023AFB">
      <w:pPr>
        <w:spacing w:line="240" w:lineRule="auto"/>
        <w:rPr>
          <w:noProof/>
        </w:rPr>
      </w:pPr>
      <w:r w:rsidRPr="0003403B">
        <w:rPr>
          <w:noProof/>
        </w:rPr>
        <w:t xml:space="preserve">The availability of </w:t>
      </w:r>
      <w:r w:rsidR="008F688E" w:rsidRPr="0003403B">
        <w:rPr>
          <w:noProof/>
        </w:rPr>
        <w:t xml:space="preserve">fibre networks </w:t>
      </w:r>
      <w:r w:rsidR="00D67F06" w:rsidRPr="0003403B">
        <w:rPr>
          <w:noProof/>
        </w:rPr>
        <w:t xml:space="preserve">is anticipated to </w:t>
      </w:r>
      <w:r w:rsidR="00BA60DD" w:rsidRPr="0003403B">
        <w:rPr>
          <w:noProof/>
        </w:rPr>
        <w:t xml:space="preserve">affect the mixture of </w:t>
      </w:r>
      <w:r w:rsidR="003568FE" w:rsidRPr="0003403B">
        <w:rPr>
          <w:noProof/>
        </w:rPr>
        <w:t xml:space="preserve">access </w:t>
      </w:r>
      <w:r w:rsidR="00BA60DD" w:rsidRPr="0003403B">
        <w:rPr>
          <w:noProof/>
        </w:rPr>
        <w:t xml:space="preserve">technologies in the </w:t>
      </w:r>
      <w:r w:rsidR="002A08F4" w:rsidRPr="0003403B">
        <w:rPr>
          <w:noProof/>
        </w:rPr>
        <w:t>access network</w:t>
      </w:r>
      <w:r w:rsidR="00E221EB" w:rsidRPr="0003403B">
        <w:rPr>
          <w:noProof/>
        </w:rPr>
        <w:t xml:space="preserve"> after the CSO, which in turn impacts the </w:t>
      </w:r>
      <w:r w:rsidR="00E94831" w:rsidRPr="0003403B">
        <w:rPr>
          <w:noProof/>
        </w:rPr>
        <w:t xml:space="preserve">average download speeds </w:t>
      </w:r>
      <w:r w:rsidR="005E47DC" w:rsidRPr="0003403B">
        <w:rPr>
          <w:noProof/>
        </w:rPr>
        <w:t xml:space="preserve">of the subscribers. </w:t>
      </w:r>
      <w:r w:rsidR="00815F49" w:rsidRPr="0003403B">
        <w:rPr>
          <w:noProof/>
        </w:rPr>
        <w:t xml:space="preserve">Better results for FTTH </w:t>
      </w:r>
      <w:r w:rsidR="00535621" w:rsidRPr="0003403B">
        <w:rPr>
          <w:noProof/>
        </w:rPr>
        <w:t xml:space="preserve">take up </w:t>
      </w:r>
      <w:r w:rsidR="00D67F06" w:rsidRPr="0003403B">
        <w:rPr>
          <w:noProof/>
        </w:rPr>
        <w:t xml:space="preserve">in 2030 </w:t>
      </w:r>
      <w:r w:rsidR="00424D01" w:rsidRPr="0003403B">
        <w:rPr>
          <w:noProof/>
        </w:rPr>
        <w:t>are anticipated for options 2 (5</w:t>
      </w:r>
      <w:r w:rsidR="00D67F06" w:rsidRPr="0003403B">
        <w:rPr>
          <w:noProof/>
        </w:rPr>
        <w:t>5</w:t>
      </w:r>
      <w:r w:rsidR="00424D01" w:rsidRPr="0003403B">
        <w:rPr>
          <w:noProof/>
        </w:rPr>
        <w:t>%) and 4 (</w:t>
      </w:r>
      <w:r w:rsidR="001F5ABC" w:rsidRPr="0003403B">
        <w:rPr>
          <w:noProof/>
        </w:rPr>
        <w:t>61</w:t>
      </w:r>
      <w:r w:rsidR="00D67F06" w:rsidRPr="0003403B">
        <w:rPr>
          <w:noProof/>
        </w:rPr>
        <w:t>%</w:t>
      </w:r>
      <w:r w:rsidR="001F5ABC" w:rsidRPr="0003403B">
        <w:rPr>
          <w:noProof/>
        </w:rPr>
        <w:t xml:space="preserve">). </w:t>
      </w:r>
      <w:r w:rsidR="0081204B" w:rsidRPr="0003403B">
        <w:rPr>
          <w:noProof/>
        </w:rPr>
        <w:t>In addition, option 4 eliminate</w:t>
      </w:r>
      <w:r w:rsidR="00CD0DCA" w:rsidRPr="0003403B">
        <w:rPr>
          <w:noProof/>
        </w:rPr>
        <w:t xml:space="preserve">s FTTB/G.Fast due to the </w:t>
      </w:r>
      <w:r w:rsidR="008455B2" w:rsidRPr="0003403B">
        <w:rPr>
          <w:noProof/>
        </w:rPr>
        <w:t xml:space="preserve">mandatory nature of the CSO in 2030, but on the other hand it </w:t>
      </w:r>
      <w:r w:rsidR="00CF1EE0" w:rsidRPr="0003403B">
        <w:rPr>
          <w:noProof/>
        </w:rPr>
        <w:t xml:space="preserve">leads to an increased percentage of </w:t>
      </w:r>
      <w:r w:rsidR="00352D8E" w:rsidRPr="0003403B">
        <w:rPr>
          <w:noProof/>
        </w:rPr>
        <w:t>4G/5G mobile only technologies (15</w:t>
      </w:r>
      <w:r w:rsidR="00583D82" w:rsidRPr="0003403B">
        <w:rPr>
          <w:noProof/>
        </w:rPr>
        <w:t>%, while 7% for all other options</w:t>
      </w:r>
      <w:r w:rsidR="00D67F06" w:rsidRPr="0003403B">
        <w:rPr>
          <w:noProof/>
        </w:rPr>
        <w:t xml:space="preserve"> in 2030</w:t>
      </w:r>
      <w:r w:rsidR="00583D82" w:rsidRPr="0003403B">
        <w:rPr>
          <w:noProof/>
        </w:rPr>
        <w:t>).</w:t>
      </w:r>
      <w:r w:rsidR="00460F73" w:rsidRPr="0003403B">
        <w:rPr>
          <w:noProof/>
        </w:rPr>
        <w:t xml:space="preserve"> In the course of time until 2035, </w:t>
      </w:r>
      <w:r w:rsidR="00E5649E" w:rsidRPr="0003403B">
        <w:rPr>
          <w:noProof/>
        </w:rPr>
        <w:t>o</w:t>
      </w:r>
      <w:r w:rsidR="00460F73" w:rsidRPr="0003403B">
        <w:rPr>
          <w:noProof/>
        </w:rPr>
        <w:t xml:space="preserve">ption 2 </w:t>
      </w:r>
      <w:r w:rsidR="00E5649E" w:rsidRPr="0003403B">
        <w:rPr>
          <w:noProof/>
        </w:rPr>
        <w:t xml:space="preserve">is expected to reach similar FTTH share (78% compared to 80.4% of option 4), but with a significantly higher </w:t>
      </w:r>
      <w:r w:rsidR="00877C7B" w:rsidRPr="0003403B">
        <w:rPr>
          <w:noProof/>
        </w:rPr>
        <w:t>penetration of cable networks (9% vs 3%).</w:t>
      </w:r>
      <w:r w:rsidR="00A2004D" w:rsidRPr="0003403B">
        <w:rPr>
          <w:noProof/>
        </w:rPr>
        <w:t xml:space="preserve"> This impacts the </w:t>
      </w:r>
      <w:r w:rsidR="00FC6FDD" w:rsidRPr="0003403B">
        <w:rPr>
          <w:noProof/>
        </w:rPr>
        <w:t xml:space="preserve">expected download speeds </w:t>
      </w:r>
      <w:r w:rsidR="00D67F06" w:rsidRPr="0003403B">
        <w:rPr>
          <w:noProof/>
        </w:rPr>
        <w:t>in</w:t>
      </w:r>
      <w:r w:rsidR="00FC6FDD" w:rsidRPr="0003403B">
        <w:rPr>
          <w:noProof/>
        </w:rPr>
        <w:t xml:space="preserve"> 2035: while option 4 has the </w:t>
      </w:r>
      <w:r w:rsidR="00375E3C" w:rsidRPr="0003403B">
        <w:rPr>
          <w:noProof/>
        </w:rPr>
        <w:t>best performance in 2030, in the longer term</w:t>
      </w:r>
      <w:r w:rsidR="00150C03" w:rsidRPr="0003403B">
        <w:rPr>
          <w:noProof/>
        </w:rPr>
        <w:t xml:space="preserve">, the access network technology mixture of option 2 leads to </w:t>
      </w:r>
      <w:r w:rsidR="004743FA" w:rsidRPr="0003403B">
        <w:rPr>
          <w:noProof/>
        </w:rPr>
        <w:t xml:space="preserve">a </w:t>
      </w:r>
      <w:r w:rsidR="00150C03" w:rsidRPr="0003403B">
        <w:rPr>
          <w:noProof/>
        </w:rPr>
        <w:t xml:space="preserve">better </w:t>
      </w:r>
      <w:r w:rsidR="0063796F" w:rsidRPr="0003403B">
        <w:rPr>
          <w:noProof/>
        </w:rPr>
        <w:t>outcome (</w:t>
      </w:r>
      <w:r w:rsidR="004743FA" w:rsidRPr="0003403B">
        <w:rPr>
          <w:noProof/>
        </w:rPr>
        <w:t>7% better performance than the second best, reaching an average speed of 743 Mbps).</w:t>
      </w:r>
      <w:r w:rsidR="00150C03" w:rsidRPr="0003403B">
        <w:rPr>
          <w:noProof/>
        </w:rPr>
        <w:t xml:space="preserve"> </w:t>
      </w:r>
    </w:p>
    <w:p w14:paraId="07148B80" w14:textId="77777777" w:rsidR="00226C40" w:rsidRPr="0003403B" w:rsidRDefault="00226C40" w:rsidP="00226C40">
      <w:pPr>
        <w:pStyle w:val="Caption"/>
        <w:keepNext/>
        <w:rPr>
          <w:noProof/>
          <w:color w:val="auto"/>
          <w:sz w:val="24"/>
          <w:szCs w:val="24"/>
          <w:u w:val="single"/>
        </w:rPr>
      </w:pPr>
      <w:r w:rsidRPr="0003403B">
        <w:rPr>
          <w:noProof/>
          <w:color w:val="auto"/>
          <w:sz w:val="24"/>
          <w:szCs w:val="24"/>
          <w:u w:val="single"/>
        </w:rPr>
        <w:t xml:space="preserve">Table </w:t>
      </w:r>
      <w:r w:rsidR="005D57D4" w:rsidRPr="0003403B">
        <w:rPr>
          <w:noProof/>
          <w:color w:val="auto"/>
          <w:sz w:val="24"/>
          <w:szCs w:val="24"/>
          <w:u w:val="single"/>
        </w:rPr>
        <w:t>2</w:t>
      </w:r>
      <w:r w:rsidR="009A5C16" w:rsidRPr="0003403B">
        <w:rPr>
          <w:noProof/>
          <w:color w:val="auto"/>
          <w:sz w:val="24"/>
          <w:szCs w:val="24"/>
          <w:u w:val="single"/>
        </w:rPr>
        <w:t>2</w:t>
      </w:r>
      <w:r w:rsidRPr="0003403B">
        <w:rPr>
          <w:noProof/>
          <w:color w:val="auto"/>
          <w:sz w:val="24"/>
          <w:szCs w:val="24"/>
          <w:u w:val="single"/>
        </w:rPr>
        <w:t>: Download speed (Mbps)</w:t>
      </w:r>
    </w:p>
    <w:p w14:paraId="738524C6" w14:textId="2A962F16" w:rsidR="0011200C" w:rsidRPr="00CC36F8" w:rsidRDefault="0011200C" w:rsidP="00164278">
      <w:pPr>
        <w:rPr>
          <w:noProof/>
        </w:rPr>
      </w:pPr>
      <w:r w:rsidRPr="00CC36F8">
        <w:rPr>
          <w:noProof/>
          <w:lang w:eastAsia="en-GB"/>
        </w:rPr>
        <w:drawing>
          <wp:inline distT="0" distB="0" distL="0" distR="0" wp14:anchorId="6C31734D" wp14:editId="1A7A20FF">
            <wp:extent cx="4451350" cy="558800"/>
            <wp:effectExtent l="0" t="0" r="6350" b="0"/>
            <wp:docPr id="2080585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451350" cy="558800"/>
                    </a:xfrm>
                    <a:prstGeom prst="rect">
                      <a:avLst/>
                    </a:prstGeom>
                    <a:noFill/>
                    <a:ln>
                      <a:noFill/>
                    </a:ln>
                  </pic:spPr>
                </pic:pic>
              </a:graphicData>
            </a:graphic>
          </wp:inline>
        </w:drawing>
      </w:r>
    </w:p>
    <w:p w14:paraId="0073E185" w14:textId="0C1EB242" w:rsidR="00226C40" w:rsidRPr="00D54119" w:rsidRDefault="00226C40" w:rsidP="00226C40">
      <w:pPr>
        <w:rPr>
          <w:noProof/>
          <w:sz w:val="20"/>
          <w:szCs w:val="20"/>
        </w:rPr>
      </w:pPr>
      <w:r w:rsidRPr="00CC36F8">
        <w:rPr>
          <w:noProof/>
          <w:sz w:val="20"/>
          <w:szCs w:val="20"/>
        </w:rPr>
        <w:t>Source: WIK</w:t>
      </w:r>
    </w:p>
    <w:p w14:paraId="4E507003" w14:textId="16FF6B59" w:rsidR="00EC0B41" w:rsidRDefault="00D3754B" w:rsidP="00023AFB">
      <w:pPr>
        <w:spacing w:line="240" w:lineRule="auto"/>
        <w:rPr>
          <w:noProof/>
        </w:rPr>
      </w:pPr>
      <w:r w:rsidRPr="00CC36F8">
        <w:rPr>
          <w:noProof/>
        </w:rPr>
        <w:t>The changes in coverage, take-up and speed translate into an impact on GDP</w:t>
      </w:r>
      <w:r w:rsidR="00C70513" w:rsidRPr="00CC36F8">
        <w:rPr>
          <w:noProof/>
        </w:rPr>
        <w:t xml:space="preserve"> </w:t>
      </w:r>
      <w:r w:rsidR="007C2BDE" w:rsidRPr="00CC36F8">
        <w:rPr>
          <w:noProof/>
        </w:rPr>
        <w:t xml:space="preserve">over 10 years (2025-2035) for the </w:t>
      </w:r>
      <w:r w:rsidR="00C43BFE" w:rsidRPr="00CC36F8">
        <w:rPr>
          <w:noProof/>
        </w:rPr>
        <w:t xml:space="preserve">entire </w:t>
      </w:r>
      <w:r w:rsidR="007C2BDE" w:rsidRPr="00CC36F8">
        <w:rPr>
          <w:noProof/>
        </w:rPr>
        <w:t xml:space="preserve">EU. The GDP impact is estimated based on several econometric studies showing a positive </w:t>
      </w:r>
      <w:r w:rsidR="00D21006" w:rsidRPr="00CC36F8">
        <w:rPr>
          <w:noProof/>
        </w:rPr>
        <w:t xml:space="preserve">causal </w:t>
      </w:r>
      <w:r w:rsidR="007C2BDE" w:rsidRPr="00CC36F8">
        <w:rPr>
          <w:noProof/>
        </w:rPr>
        <w:t xml:space="preserve">relationship between adoption </w:t>
      </w:r>
      <w:r w:rsidR="00836EDB" w:rsidRPr="00CC36F8">
        <w:rPr>
          <w:noProof/>
        </w:rPr>
        <w:t xml:space="preserve">of </w:t>
      </w:r>
      <w:r w:rsidR="00254388" w:rsidRPr="00CC36F8">
        <w:rPr>
          <w:noProof/>
        </w:rPr>
        <w:t xml:space="preserve">high </w:t>
      </w:r>
      <w:r w:rsidR="007C2BDE" w:rsidRPr="00CC36F8">
        <w:rPr>
          <w:noProof/>
        </w:rPr>
        <w:t>speed</w:t>
      </w:r>
      <w:r w:rsidR="006035C4" w:rsidRPr="00CC36F8">
        <w:rPr>
          <w:noProof/>
        </w:rPr>
        <w:t>s</w:t>
      </w:r>
      <w:r w:rsidR="007C2BDE" w:rsidRPr="00CC36F8">
        <w:rPr>
          <w:noProof/>
        </w:rPr>
        <w:t xml:space="preserve"> and GDP growth</w:t>
      </w:r>
      <w:r w:rsidR="00A5762C">
        <w:rPr>
          <w:noProof/>
        </w:rPr>
        <w:t>.</w:t>
      </w:r>
      <w:r w:rsidR="007C2BDE" w:rsidRPr="00CC36F8">
        <w:rPr>
          <w:rStyle w:val="FootnoteReference"/>
          <w:noProof/>
        </w:rPr>
        <w:footnoteReference w:id="221"/>
      </w:r>
      <w:r w:rsidR="00EB673D" w:rsidRPr="00CC36F8">
        <w:rPr>
          <w:noProof/>
        </w:rPr>
        <w:t xml:space="preserve"> </w:t>
      </w:r>
    </w:p>
    <w:p w14:paraId="1A0CF85F" w14:textId="45B2282F" w:rsidR="007C2BDE" w:rsidRPr="00CC36F8" w:rsidRDefault="00EB673D" w:rsidP="00023AFB">
      <w:pPr>
        <w:spacing w:line="240" w:lineRule="auto"/>
        <w:rPr>
          <w:noProof/>
        </w:rPr>
      </w:pPr>
      <w:r w:rsidRPr="00CC36F8">
        <w:rPr>
          <w:noProof/>
        </w:rPr>
        <w:t>The coefficient used to reflect th</w:t>
      </w:r>
      <w:r w:rsidR="0026783D" w:rsidRPr="00CC36F8">
        <w:rPr>
          <w:noProof/>
        </w:rPr>
        <w:t xml:space="preserve">is relationship </w:t>
      </w:r>
      <w:r w:rsidR="00E56254" w:rsidRPr="00CC36F8">
        <w:rPr>
          <w:noProof/>
        </w:rPr>
        <w:t xml:space="preserve">falls </w:t>
      </w:r>
      <w:r w:rsidR="00961090" w:rsidRPr="00CC36F8">
        <w:rPr>
          <w:noProof/>
        </w:rPr>
        <w:t>within the identified range of 0.01 to 0.08</w:t>
      </w:r>
      <w:r w:rsidR="00EB7391" w:rsidRPr="00CC36F8">
        <w:rPr>
          <w:noProof/>
        </w:rPr>
        <w:t xml:space="preserve">, </w:t>
      </w:r>
      <w:r w:rsidR="00DA3C6F" w:rsidRPr="00DA3C6F">
        <w:rPr>
          <w:noProof/>
        </w:rPr>
        <w:t xml:space="preserve">reflecting the full span of values reported in </w:t>
      </w:r>
      <w:r w:rsidR="009F6C4A" w:rsidRPr="00CC36F8">
        <w:rPr>
          <w:noProof/>
        </w:rPr>
        <w:t>recent studies</w:t>
      </w:r>
      <w:r w:rsidR="00DB357E" w:rsidRPr="00CC36F8">
        <w:rPr>
          <w:rStyle w:val="FootnoteReference"/>
          <w:noProof/>
        </w:rPr>
        <w:footnoteReference w:id="222"/>
      </w:r>
      <w:r w:rsidR="009F6C4A" w:rsidRPr="00CC36F8">
        <w:rPr>
          <w:noProof/>
        </w:rPr>
        <w:t xml:space="preserve"> </w:t>
      </w:r>
      <w:r w:rsidR="00DA3C6F">
        <w:rPr>
          <w:noProof/>
        </w:rPr>
        <w:t>.</w:t>
      </w:r>
      <w:r w:rsidR="006300D5" w:rsidRPr="006300D5">
        <w:rPr>
          <w:noProof/>
        </w:rPr>
        <w:t xml:space="preserve"> This range is presented to illustrate the sensitivity of </w:t>
      </w:r>
      <w:r w:rsidR="00D02EF5">
        <w:rPr>
          <w:noProof/>
        </w:rPr>
        <w:t xml:space="preserve">the </w:t>
      </w:r>
      <w:r w:rsidR="006300D5" w:rsidRPr="006300D5">
        <w:rPr>
          <w:noProof/>
        </w:rPr>
        <w:t xml:space="preserve">results and to ensure that all plausible eventualities are covered. However, based on the weight of the empirical evidence and recent findings </w:t>
      </w:r>
      <w:r w:rsidR="00F7033A">
        <w:rPr>
          <w:noProof/>
        </w:rPr>
        <w:t>highlighting</w:t>
      </w:r>
      <w:r w:rsidR="006300D5" w:rsidRPr="006300D5">
        <w:rPr>
          <w:noProof/>
        </w:rPr>
        <w:t xml:space="preserve"> the gradual materialisation of economic benefits as households and firms adapt their behaviour and </w:t>
      </w:r>
      <w:r w:rsidR="00162F3C">
        <w:rPr>
          <w:noProof/>
        </w:rPr>
        <w:t>undertake</w:t>
      </w:r>
      <w:r w:rsidR="006300D5" w:rsidRPr="006300D5">
        <w:rPr>
          <w:noProof/>
        </w:rPr>
        <w:t xml:space="preserve"> complementary investments, a coefficient of 0.06 is considered the most robust and policy-relevant estimate. This value is therefore used as the central assumption throughout the Impact Assessment.</w:t>
      </w:r>
      <w:r w:rsidR="000C7710" w:rsidRPr="00CC36F8">
        <w:rPr>
          <w:noProof/>
        </w:rPr>
        <w:t xml:space="preserve"> </w:t>
      </w:r>
    </w:p>
    <w:p w14:paraId="5BFD4830" w14:textId="76F1B30E" w:rsidR="00CF14F7" w:rsidRPr="00460D3C" w:rsidRDefault="004A29CA" w:rsidP="00023AFB">
      <w:pPr>
        <w:spacing w:line="240" w:lineRule="auto"/>
        <w:rPr>
          <w:noProof/>
        </w:rPr>
      </w:pPr>
      <w:r w:rsidRPr="00CC36F8">
        <w:rPr>
          <w:noProof/>
        </w:rPr>
        <w:t>The monetized positive impact</w:t>
      </w:r>
      <w:r w:rsidR="00CF14F7">
        <w:rPr>
          <w:noProof/>
        </w:rPr>
        <w:t>s</w:t>
      </w:r>
      <w:r w:rsidRPr="00CC36F8">
        <w:rPr>
          <w:noProof/>
        </w:rPr>
        <w:t xml:space="preserve"> on the G</w:t>
      </w:r>
      <w:r w:rsidR="009D3798" w:rsidRPr="00CC36F8">
        <w:rPr>
          <w:noProof/>
        </w:rPr>
        <w:t xml:space="preserve">DP </w:t>
      </w:r>
      <w:r w:rsidR="000B4F47" w:rsidRPr="00CF14F7">
        <w:rPr>
          <w:noProof/>
        </w:rPr>
        <w:t xml:space="preserve">corresponding to </w:t>
      </w:r>
      <w:r w:rsidR="009D3798" w:rsidRPr="00CC36F8">
        <w:rPr>
          <w:noProof/>
        </w:rPr>
        <w:t xml:space="preserve">different </w:t>
      </w:r>
      <w:r w:rsidR="00AE02B9" w:rsidRPr="00CF14F7">
        <w:rPr>
          <w:noProof/>
        </w:rPr>
        <w:t xml:space="preserve">coefficient </w:t>
      </w:r>
      <w:r w:rsidR="009D3798" w:rsidRPr="00CC36F8">
        <w:rPr>
          <w:noProof/>
        </w:rPr>
        <w:t xml:space="preserve">values </w:t>
      </w:r>
      <w:r w:rsidR="00D6264C">
        <w:rPr>
          <w:noProof/>
        </w:rPr>
        <w:t>are presented</w:t>
      </w:r>
      <w:r w:rsidR="009D3798" w:rsidRPr="00CC36F8">
        <w:rPr>
          <w:noProof/>
        </w:rPr>
        <w:t xml:space="preserve"> </w:t>
      </w:r>
      <w:r w:rsidR="002B7E99">
        <w:rPr>
          <w:noProof/>
        </w:rPr>
        <w:t xml:space="preserve">in </w:t>
      </w:r>
      <w:r w:rsidR="009D3798" w:rsidRPr="00CC36F8">
        <w:rPr>
          <w:noProof/>
        </w:rPr>
        <w:t>the table</w:t>
      </w:r>
      <w:r w:rsidR="00153607">
        <w:rPr>
          <w:noProof/>
        </w:rPr>
        <w:t xml:space="preserve"> below</w:t>
      </w:r>
      <w:r w:rsidR="00FC42A2" w:rsidRPr="00CC36F8">
        <w:rPr>
          <w:noProof/>
        </w:rPr>
        <w:t xml:space="preserve">. </w:t>
      </w:r>
      <w:r w:rsidR="00D6264C" w:rsidRPr="00CF14F7">
        <w:rPr>
          <w:noProof/>
        </w:rPr>
        <w:t>In addition to the central coefficient (0.06), results are shown for the lower and upper bounds (0.01 and 0.08) and for one additional lower-range value (0.03), in order to illustrate the sensitivity of outcomes to alternative assumptions.</w:t>
      </w:r>
    </w:p>
    <w:p w14:paraId="6D190361" w14:textId="6037E0C6" w:rsidR="00D910B6" w:rsidRPr="00CC36F8" w:rsidRDefault="00D910B6" w:rsidP="00D910B6">
      <w:pPr>
        <w:pStyle w:val="Caption"/>
        <w:keepNext/>
        <w:rPr>
          <w:noProof/>
          <w:color w:val="auto"/>
          <w:sz w:val="24"/>
          <w:szCs w:val="24"/>
          <w:u w:val="single"/>
        </w:rPr>
      </w:pPr>
      <w:r w:rsidRPr="00460D3C">
        <w:rPr>
          <w:noProof/>
          <w:color w:val="auto"/>
          <w:sz w:val="24"/>
          <w:szCs w:val="24"/>
          <w:u w:val="single"/>
        </w:rPr>
        <w:t xml:space="preserve">Table 23: </w:t>
      </w:r>
      <w:r w:rsidR="00A21A50" w:rsidRPr="00460D3C">
        <w:rPr>
          <w:noProof/>
          <w:color w:val="auto"/>
          <w:sz w:val="24"/>
          <w:szCs w:val="24"/>
          <w:u w:val="single"/>
        </w:rPr>
        <w:t>Accumulated</w:t>
      </w:r>
      <w:r w:rsidR="00A21A50" w:rsidRPr="00CC36F8">
        <w:rPr>
          <w:noProof/>
          <w:color w:val="auto"/>
          <w:sz w:val="24"/>
          <w:szCs w:val="24"/>
          <w:u w:val="single"/>
        </w:rPr>
        <w:t xml:space="preserve"> GDP impact (2025-2035) of options (EUR billion)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6"/>
        <w:gridCol w:w="1446"/>
        <w:gridCol w:w="1447"/>
        <w:gridCol w:w="1447"/>
        <w:gridCol w:w="1447"/>
        <w:gridCol w:w="1447"/>
      </w:tblGrid>
      <w:tr w:rsidR="00D910B6" w:rsidRPr="00377B5C" w14:paraId="4F28E0C5" w14:textId="77777777" w:rsidTr="00A81442">
        <w:trPr>
          <w:cantSplit/>
        </w:trPr>
        <w:tc>
          <w:tcPr>
            <w:tcW w:w="1446" w:type="dxa"/>
            <w:shd w:val="clear" w:color="auto" w:fill="1F497D" w:themeFill="text2"/>
            <w:tcMar>
              <w:top w:w="57" w:type="dxa"/>
              <w:left w:w="57" w:type="dxa"/>
              <w:bottom w:w="57" w:type="dxa"/>
              <w:right w:w="57" w:type="dxa"/>
            </w:tcMar>
            <w:hideMark/>
          </w:tcPr>
          <w:p w14:paraId="575512ED" w14:textId="53EFBC6F" w:rsidR="000C0EAE" w:rsidRPr="00CC36F8" w:rsidRDefault="004A29CA" w:rsidP="00232B57">
            <w:pPr>
              <w:jc w:val="center"/>
              <w:rPr>
                <w:b/>
                <w:noProof/>
                <w:color w:val="FFFFFF" w:themeColor="background1"/>
                <w:lang w:val="de-DE"/>
              </w:rPr>
            </w:pPr>
            <w:r w:rsidRPr="00CC36F8">
              <w:rPr>
                <w:b/>
                <w:noProof/>
                <w:color w:val="FFFFFF" w:themeColor="background1"/>
                <w:lang w:val="de-DE"/>
              </w:rPr>
              <w:t>C</w:t>
            </w:r>
            <w:r w:rsidR="000C0EAE" w:rsidRPr="00CC36F8">
              <w:rPr>
                <w:b/>
                <w:noProof/>
                <w:color w:val="FFFFFF" w:themeColor="background1"/>
                <w:lang w:val="de-DE"/>
              </w:rPr>
              <w:t>oefficient</w:t>
            </w:r>
          </w:p>
        </w:tc>
        <w:tc>
          <w:tcPr>
            <w:tcW w:w="1446" w:type="dxa"/>
            <w:shd w:val="clear" w:color="auto" w:fill="1F497D" w:themeFill="text2"/>
            <w:tcMar>
              <w:top w:w="57" w:type="dxa"/>
              <w:left w:w="57" w:type="dxa"/>
              <w:bottom w:w="57" w:type="dxa"/>
              <w:right w:w="57" w:type="dxa"/>
            </w:tcMar>
            <w:hideMark/>
          </w:tcPr>
          <w:p w14:paraId="75C3F486" w14:textId="77777777" w:rsidR="000C0EAE" w:rsidRPr="00CC36F8" w:rsidRDefault="000C0EAE" w:rsidP="00232B57">
            <w:pPr>
              <w:jc w:val="center"/>
              <w:rPr>
                <w:b/>
                <w:noProof/>
                <w:color w:val="FFFFFF" w:themeColor="background1"/>
                <w:lang w:val="de-DE"/>
              </w:rPr>
            </w:pPr>
            <w:r w:rsidRPr="00CC36F8">
              <w:rPr>
                <w:b/>
                <w:noProof/>
                <w:color w:val="FFFFFF" w:themeColor="background1"/>
                <w:lang w:val="de-DE"/>
              </w:rPr>
              <w:t>Option 0</w:t>
            </w:r>
          </w:p>
        </w:tc>
        <w:tc>
          <w:tcPr>
            <w:tcW w:w="1447" w:type="dxa"/>
            <w:shd w:val="clear" w:color="auto" w:fill="1F497D" w:themeFill="text2"/>
            <w:tcMar>
              <w:top w:w="57" w:type="dxa"/>
              <w:left w:w="57" w:type="dxa"/>
              <w:bottom w:w="57" w:type="dxa"/>
              <w:right w:w="57" w:type="dxa"/>
            </w:tcMar>
            <w:hideMark/>
          </w:tcPr>
          <w:p w14:paraId="79889E21" w14:textId="77777777" w:rsidR="000C0EAE" w:rsidRPr="00CC36F8" w:rsidRDefault="000C0EAE" w:rsidP="00232B57">
            <w:pPr>
              <w:jc w:val="center"/>
              <w:rPr>
                <w:b/>
                <w:noProof/>
                <w:color w:val="FFFFFF" w:themeColor="background1"/>
                <w:lang w:val="de-DE"/>
              </w:rPr>
            </w:pPr>
            <w:r w:rsidRPr="00CC36F8">
              <w:rPr>
                <w:b/>
                <w:noProof/>
                <w:color w:val="FFFFFF" w:themeColor="background1"/>
                <w:lang w:val="de-DE"/>
              </w:rPr>
              <w:t>Option 1</w:t>
            </w:r>
          </w:p>
        </w:tc>
        <w:tc>
          <w:tcPr>
            <w:tcW w:w="1447" w:type="dxa"/>
            <w:shd w:val="clear" w:color="auto" w:fill="1F497D" w:themeFill="text2"/>
            <w:tcMar>
              <w:top w:w="57" w:type="dxa"/>
              <w:left w:w="57" w:type="dxa"/>
              <w:bottom w:w="57" w:type="dxa"/>
              <w:right w:w="57" w:type="dxa"/>
            </w:tcMar>
            <w:hideMark/>
          </w:tcPr>
          <w:p w14:paraId="09275619" w14:textId="77777777" w:rsidR="000C0EAE" w:rsidRPr="00CC36F8" w:rsidRDefault="000C0EAE" w:rsidP="00232B57">
            <w:pPr>
              <w:jc w:val="center"/>
              <w:rPr>
                <w:b/>
                <w:noProof/>
                <w:color w:val="FFFFFF" w:themeColor="background1"/>
                <w:lang w:val="de-DE"/>
              </w:rPr>
            </w:pPr>
            <w:r w:rsidRPr="00CC36F8">
              <w:rPr>
                <w:b/>
                <w:noProof/>
                <w:color w:val="FFFFFF" w:themeColor="background1"/>
                <w:lang w:val="de-DE"/>
              </w:rPr>
              <w:t>Option 2</w:t>
            </w:r>
          </w:p>
        </w:tc>
        <w:tc>
          <w:tcPr>
            <w:tcW w:w="1447" w:type="dxa"/>
            <w:shd w:val="clear" w:color="auto" w:fill="1F497D" w:themeFill="text2"/>
            <w:tcMar>
              <w:top w:w="57" w:type="dxa"/>
              <w:left w:w="57" w:type="dxa"/>
              <w:bottom w:w="57" w:type="dxa"/>
              <w:right w:w="57" w:type="dxa"/>
            </w:tcMar>
            <w:hideMark/>
          </w:tcPr>
          <w:p w14:paraId="451EA52B" w14:textId="77777777" w:rsidR="000C0EAE" w:rsidRPr="00CC36F8" w:rsidRDefault="000C0EAE" w:rsidP="00232B57">
            <w:pPr>
              <w:jc w:val="center"/>
              <w:rPr>
                <w:b/>
                <w:noProof/>
                <w:color w:val="FFFFFF" w:themeColor="background1"/>
                <w:lang w:val="de-DE"/>
              </w:rPr>
            </w:pPr>
            <w:r w:rsidRPr="00CC36F8">
              <w:rPr>
                <w:b/>
                <w:noProof/>
                <w:color w:val="FFFFFF" w:themeColor="background1"/>
                <w:lang w:val="de-DE"/>
              </w:rPr>
              <w:t>Option 3</w:t>
            </w:r>
          </w:p>
        </w:tc>
        <w:tc>
          <w:tcPr>
            <w:tcW w:w="1447" w:type="dxa"/>
            <w:shd w:val="clear" w:color="auto" w:fill="1F497D" w:themeFill="text2"/>
            <w:tcMar>
              <w:top w:w="57" w:type="dxa"/>
              <w:left w:w="57" w:type="dxa"/>
              <w:bottom w:w="57" w:type="dxa"/>
              <w:right w:w="57" w:type="dxa"/>
            </w:tcMar>
            <w:hideMark/>
          </w:tcPr>
          <w:p w14:paraId="43B34347" w14:textId="77777777" w:rsidR="000C0EAE" w:rsidRPr="00CC36F8" w:rsidRDefault="000C0EAE" w:rsidP="00232B57">
            <w:pPr>
              <w:jc w:val="center"/>
              <w:rPr>
                <w:b/>
                <w:noProof/>
                <w:color w:val="FFFFFF" w:themeColor="background1"/>
                <w:lang w:val="de-DE"/>
              </w:rPr>
            </w:pPr>
            <w:r w:rsidRPr="00CC36F8">
              <w:rPr>
                <w:b/>
                <w:noProof/>
                <w:color w:val="FFFFFF" w:themeColor="background1"/>
                <w:lang w:val="de-DE"/>
              </w:rPr>
              <w:t>Option 4</w:t>
            </w:r>
          </w:p>
        </w:tc>
      </w:tr>
      <w:tr w:rsidR="00D910B6" w:rsidRPr="00377B5C" w14:paraId="3B76C17A" w14:textId="77777777" w:rsidTr="00D910B6">
        <w:tc>
          <w:tcPr>
            <w:tcW w:w="1446" w:type="dxa"/>
            <w:hideMark/>
          </w:tcPr>
          <w:p w14:paraId="6E43C792" w14:textId="37C79BBD" w:rsidR="000C0EAE" w:rsidRPr="00CC36F8" w:rsidRDefault="000C0EAE" w:rsidP="00232B57">
            <w:pPr>
              <w:jc w:val="center"/>
              <w:rPr>
                <w:noProof/>
                <w:lang w:val="de-DE"/>
              </w:rPr>
            </w:pPr>
            <w:r w:rsidRPr="00CC36F8">
              <w:rPr>
                <w:noProof/>
                <w:lang w:val="de-DE"/>
              </w:rPr>
              <w:t>0.08</w:t>
            </w:r>
          </w:p>
        </w:tc>
        <w:tc>
          <w:tcPr>
            <w:tcW w:w="1446" w:type="dxa"/>
            <w:hideMark/>
          </w:tcPr>
          <w:p w14:paraId="394C1C5B" w14:textId="372EFA07" w:rsidR="000C0EAE" w:rsidRPr="00CC36F8" w:rsidRDefault="000C0EAE" w:rsidP="00232B57">
            <w:pPr>
              <w:jc w:val="center"/>
              <w:rPr>
                <w:b/>
                <w:noProof/>
                <w:lang w:val="de-DE"/>
              </w:rPr>
            </w:pPr>
            <w:r w:rsidRPr="00CC36F8">
              <w:rPr>
                <w:b/>
                <w:noProof/>
                <w:lang w:val="de-DE"/>
              </w:rPr>
              <w:t>2</w:t>
            </w:r>
            <w:r w:rsidR="00A907F2">
              <w:rPr>
                <w:b/>
                <w:noProof/>
                <w:lang w:val="de-DE"/>
              </w:rPr>
              <w:t> </w:t>
            </w:r>
            <w:r w:rsidRPr="00CC36F8">
              <w:rPr>
                <w:b/>
                <w:noProof/>
                <w:lang w:val="de-DE"/>
              </w:rPr>
              <w:t>073</w:t>
            </w:r>
          </w:p>
        </w:tc>
        <w:tc>
          <w:tcPr>
            <w:tcW w:w="1447" w:type="dxa"/>
            <w:hideMark/>
          </w:tcPr>
          <w:p w14:paraId="37E8B3B0" w14:textId="203AA607" w:rsidR="000C0EAE" w:rsidRPr="00CC36F8" w:rsidRDefault="000C0EAE" w:rsidP="00232B57">
            <w:pPr>
              <w:jc w:val="center"/>
              <w:rPr>
                <w:b/>
                <w:noProof/>
                <w:lang w:val="de-DE"/>
              </w:rPr>
            </w:pPr>
            <w:r w:rsidRPr="00CC36F8">
              <w:rPr>
                <w:b/>
                <w:noProof/>
                <w:lang w:val="de-DE"/>
              </w:rPr>
              <w:t>2</w:t>
            </w:r>
            <w:r w:rsidR="00A907F2">
              <w:rPr>
                <w:b/>
                <w:noProof/>
                <w:lang w:val="de-DE"/>
              </w:rPr>
              <w:t> </w:t>
            </w:r>
            <w:r w:rsidRPr="00CC36F8">
              <w:rPr>
                <w:b/>
                <w:noProof/>
                <w:lang w:val="de-DE"/>
              </w:rPr>
              <w:t>179</w:t>
            </w:r>
          </w:p>
        </w:tc>
        <w:tc>
          <w:tcPr>
            <w:tcW w:w="1447" w:type="dxa"/>
            <w:hideMark/>
          </w:tcPr>
          <w:p w14:paraId="75423E9A" w14:textId="050018F6" w:rsidR="000C0EAE" w:rsidRPr="00CC36F8" w:rsidRDefault="000C0EAE" w:rsidP="00232B57">
            <w:pPr>
              <w:jc w:val="center"/>
              <w:rPr>
                <w:b/>
                <w:noProof/>
                <w:lang w:val="de-DE"/>
              </w:rPr>
            </w:pPr>
            <w:r w:rsidRPr="00CC36F8">
              <w:rPr>
                <w:b/>
                <w:noProof/>
                <w:lang w:val="de-DE"/>
              </w:rPr>
              <w:t>2</w:t>
            </w:r>
            <w:r w:rsidR="00A907F2">
              <w:rPr>
                <w:b/>
                <w:noProof/>
                <w:lang w:val="de-DE"/>
              </w:rPr>
              <w:t> </w:t>
            </w:r>
            <w:r w:rsidRPr="00CC36F8">
              <w:rPr>
                <w:b/>
                <w:noProof/>
                <w:lang w:val="de-DE"/>
              </w:rPr>
              <w:t>514</w:t>
            </w:r>
          </w:p>
        </w:tc>
        <w:tc>
          <w:tcPr>
            <w:tcW w:w="1447" w:type="dxa"/>
            <w:hideMark/>
          </w:tcPr>
          <w:p w14:paraId="096887B8" w14:textId="6FCA549B" w:rsidR="000C0EAE" w:rsidRPr="00CC36F8" w:rsidRDefault="000C0EAE" w:rsidP="00232B57">
            <w:pPr>
              <w:jc w:val="center"/>
              <w:rPr>
                <w:b/>
                <w:noProof/>
                <w:lang w:val="de-DE"/>
              </w:rPr>
            </w:pPr>
            <w:r w:rsidRPr="00CC36F8">
              <w:rPr>
                <w:b/>
                <w:noProof/>
                <w:lang w:val="de-DE"/>
              </w:rPr>
              <w:t>1</w:t>
            </w:r>
            <w:r w:rsidR="00A907F2">
              <w:rPr>
                <w:b/>
                <w:noProof/>
                <w:lang w:val="de-DE"/>
              </w:rPr>
              <w:t> </w:t>
            </w:r>
            <w:r w:rsidRPr="00CC36F8">
              <w:rPr>
                <w:b/>
                <w:noProof/>
                <w:lang w:val="de-DE"/>
              </w:rPr>
              <w:t>938</w:t>
            </w:r>
          </w:p>
        </w:tc>
        <w:tc>
          <w:tcPr>
            <w:tcW w:w="1447" w:type="dxa"/>
            <w:hideMark/>
          </w:tcPr>
          <w:p w14:paraId="0A2B555F" w14:textId="401CA3D6" w:rsidR="000C0EAE" w:rsidRPr="00CC36F8" w:rsidRDefault="000C0EAE" w:rsidP="00232B57">
            <w:pPr>
              <w:jc w:val="center"/>
              <w:rPr>
                <w:b/>
                <w:noProof/>
                <w:lang w:val="de-DE"/>
              </w:rPr>
            </w:pPr>
            <w:r w:rsidRPr="00CC36F8">
              <w:rPr>
                <w:b/>
                <w:noProof/>
                <w:lang w:val="de-DE"/>
              </w:rPr>
              <w:t>2</w:t>
            </w:r>
            <w:r w:rsidR="00A907F2">
              <w:rPr>
                <w:b/>
                <w:noProof/>
                <w:lang w:val="de-DE"/>
              </w:rPr>
              <w:t> </w:t>
            </w:r>
            <w:r w:rsidRPr="00CC36F8">
              <w:rPr>
                <w:b/>
                <w:noProof/>
                <w:lang w:val="de-DE"/>
              </w:rPr>
              <w:t>388</w:t>
            </w:r>
          </w:p>
        </w:tc>
      </w:tr>
      <w:tr w:rsidR="00D910B6" w:rsidRPr="00377B5C" w14:paraId="3A4CE248" w14:textId="77777777" w:rsidTr="00D910B6">
        <w:tc>
          <w:tcPr>
            <w:tcW w:w="1446" w:type="dxa"/>
            <w:hideMark/>
          </w:tcPr>
          <w:p w14:paraId="55E9465A" w14:textId="5E9CCF54" w:rsidR="000C0EAE" w:rsidRPr="00CC36F8" w:rsidRDefault="000C0EAE" w:rsidP="00232B57">
            <w:pPr>
              <w:jc w:val="center"/>
              <w:rPr>
                <w:noProof/>
                <w:lang w:val="de-DE"/>
              </w:rPr>
            </w:pPr>
            <w:r w:rsidRPr="00CC36F8">
              <w:rPr>
                <w:noProof/>
                <w:lang w:val="de-DE"/>
              </w:rPr>
              <w:t>0.06</w:t>
            </w:r>
          </w:p>
        </w:tc>
        <w:tc>
          <w:tcPr>
            <w:tcW w:w="1446" w:type="dxa"/>
            <w:hideMark/>
          </w:tcPr>
          <w:p w14:paraId="713CCD26" w14:textId="25C62761" w:rsidR="000C0EAE" w:rsidRPr="00CC36F8" w:rsidRDefault="000C0EAE" w:rsidP="00232B57">
            <w:pPr>
              <w:jc w:val="center"/>
              <w:rPr>
                <w:noProof/>
                <w:lang w:val="de-DE"/>
              </w:rPr>
            </w:pPr>
            <w:r w:rsidRPr="00CC36F8">
              <w:rPr>
                <w:b/>
                <w:noProof/>
                <w:lang w:val="de-DE"/>
              </w:rPr>
              <w:t>1</w:t>
            </w:r>
            <w:r w:rsidR="00A907F2">
              <w:rPr>
                <w:b/>
                <w:noProof/>
                <w:lang w:val="de-DE"/>
              </w:rPr>
              <w:t> </w:t>
            </w:r>
            <w:r w:rsidRPr="00CC36F8">
              <w:rPr>
                <w:b/>
                <w:noProof/>
                <w:lang w:val="de-DE"/>
              </w:rPr>
              <w:t>535</w:t>
            </w:r>
          </w:p>
        </w:tc>
        <w:tc>
          <w:tcPr>
            <w:tcW w:w="1447" w:type="dxa"/>
            <w:hideMark/>
          </w:tcPr>
          <w:p w14:paraId="44971E92" w14:textId="3DE17786" w:rsidR="000C0EAE" w:rsidRPr="00CC36F8" w:rsidRDefault="000C0EAE" w:rsidP="00232B57">
            <w:pPr>
              <w:jc w:val="center"/>
              <w:rPr>
                <w:noProof/>
                <w:lang w:val="de-DE"/>
              </w:rPr>
            </w:pPr>
            <w:r w:rsidRPr="00CC36F8">
              <w:rPr>
                <w:b/>
                <w:noProof/>
                <w:lang w:val="de-DE"/>
              </w:rPr>
              <w:t>1</w:t>
            </w:r>
            <w:r w:rsidR="00A907F2">
              <w:rPr>
                <w:b/>
                <w:noProof/>
                <w:lang w:val="de-DE"/>
              </w:rPr>
              <w:t> </w:t>
            </w:r>
            <w:r w:rsidRPr="00CC36F8">
              <w:rPr>
                <w:b/>
                <w:noProof/>
                <w:lang w:val="de-DE"/>
              </w:rPr>
              <w:t>679</w:t>
            </w:r>
          </w:p>
        </w:tc>
        <w:tc>
          <w:tcPr>
            <w:tcW w:w="1447" w:type="dxa"/>
            <w:hideMark/>
          </w:tcPr>
          <w:p w14:paraId="747C92F0" w14:textId="0DB32DDE" w:rsidR="000C0EAE" w:rsidRPr="00CC36F8" w:rsidRDefault="000C0EAE" w:rsidP="00232B57">
            <w:pPr>
              <w:jc w:val="center"/>
              <w:rPr>
                <w:noProof/>
                <w:lang w:val="de-DE"/>
              </w:rPr>
            </w:pPr>
            <w:r w:rsidRPr="00CC36F8">
              <w:rPr>
                <w:b/>
                <w:noProof/>
                <w:lang w:val="de-DE"/>
              </w:rPr>
              <w:t>1</w:t>
            </w:r>
            <w:r w:rsidR="00A907F2">
              <w:rPr>
                <w:b/>
                <w:noProof/>
                <w:lang w:val="de-DE"/>
              </w:rPr>
              <w:t> </w:t>
            </w:r>
            <w:r w:rsidRPr="00CC36F8">
              <w:rPr>
                <w:b/>
                <w:noProof/>
                <w:lang w:val="de-DE"/>
              </w:rPr>
              <w:t>862</w:t>
            </w:r>
          </w:p>
        </w:tc>
        <w:tc>
          <w:tcPr>
            <w:tcW w:w="1447" w:type="dxa"/>
            <w:hideMark/>
          </w:tcPr>
          <w:p w14:paraId="6A1E0176" w14:textId="2DF35D7D" w:rsidR="000C0EAE" w:rsidRPr="00CC36F8" w:rsidRDefault="000C0EAE" w:rsidP="00232B57">
            <w:pPr>
              <w:jc w:val="center"/>
              <w:rPr>
                <w:noProof/>
                <w:lang w:val="de-DE"/>
              </w:rPr>
            </w:pPr>
            <w:r w:rsidRPr="00CC36F8">
              <w:rPr>
                <w:b/>
                <w:noProof/>
                <w:lang w:val="de-DE"/>
              </w:rPr>
              <w:t>1</w:t>
            </w:r>
            <w:r w:rsidR="00A907F2">
              <w:rPr>
                <w:b/>
                <w:noProof/>
                <w:lang w:val="de-DE"/>
              </w:rPr>
              <w:t> </w:t>
            </w:r>
            <w:r w:rsidRPr="00CC36F8">
              <w:rPr>
                <w:b/>
                <w:noProof/>
                <w:lang w:val="de-DE"/>
              </w:rPr>
              <w:t>437</w:t>
            </w:r>
          </w:p>
        </w:tc>
        <w:tc>
          <w:tcPr>
            <w:tcW w:w="1447" w:type="dxa"/>
            <w:hideMark/>
          </w:tcPr>
          <w:p w14:paraId="1C2B0AE0" w14:textId="6C5654F5" w:rsidR="000C0EAE" w:rsidRPr="00CC36F8" w:rsidRDefault="000C0EAE" w:rsidP="00232B57">
            <w:pPr>
              <w:jc w:val="center"/>
              <w:rPr>
                <w:noProof/>
                <w:lang w:val="de-DE"/>
              </w:rPr>
            </w:pPr>
            <w:r w:rsidRPr="00CC36F8">
              <w:rPr>
                <w:b/>
                <w:noProof/>
                <w:lang w:val="de-DE"/>
              </w:rPr>
              <w:t>1</w:t>
            </w:r>
            <w:r w:rsidR="00A907F2">
              <w:rPr>
                <w:b/>
                <w:noProof/>
                <w:lang w:val="de-DE"/>
              </w:rPr>
              <w:t> </w:t>
            </w:r>
            <w:r w:rsidRPr="00CC36F8">
              <w:rPr>
                <w:b/>
                <w:noProof/>
                <w:lang w:val="de-DE"/>
              </w:rPr>
              <w:t>761</w:t>
            </w:r>
          </w:p>
        </w:tc>
      </w:tr>
      <w:tr w:rsidR="00D910B6" w:rsidRPr="00377B5C" w14:paraId="51C02EFB" w14:textId="77777777" w:rsidTr="00D910B6">
        <w:tc>
          <w:tcPr>
            <w:tcW w:w="1446" w:type="dxa"/>
            <w:hideMark/>
          </w:tcPr>
          <w:p w14:paraId="3291B2C2" w14:textId="2B3C67C5" w:rsidR="000C0EAE" w:rsidRPr="00CC36F8" w:rsidRDefault="000C0EAE" w:rsidP="00232B57">
            <w:pPr>
              <w:jc w:val="center"/>
              <w:rPr>
                <w:noProof/>
                <w:lang w:val="de-DE"/>
              </w:rPr>
            </w:pPr>
            <w:r w:rsidRPr="00CC36F8">
              <w:rPr>
                <w:noProof/>
                <w:lang w:val="de-DE"/>
              </w:rPr>
              <w:t>0.03</w:t>
            </w:r>
          </w:p>
        </w:tc>
        <w:tc>
          <w:tcPr>
            <w:tcW w:w="1446" w:type="dxa"/>
            <w:hideMark/>
          </w:tcPr>
          <w:p w14:paraId="1A8384B6" w14:textId="77777777" w:rsidR="000C0EAE" w:rsidRPr="00CC36F8" w:rsidRDefault="000C0EAE" w:rsidP="00232B57">
            <w:pPr>
              <w:jc w:val="center"/>
              <w:rPr>
                <w:b/>
                <w:noProof/>
                <w:lang w:val="de-DE"/>
              </w:rPr>
            </w:pPr>
            <w:r w:rsidRPr="00CC36F8">
              <w:rPr>
                <w:b/>
                <w:noProof/>
                <w:lang w:val="de-DE"/>
              </w:rPr>
              <w:t>753</w:t>
            </w:r>
          </w:p>
        </w:tc>
        <w:tc>
          <w:tcPr>
            <w:tcW w:w="1447" w:type="dxa"/>
            <w:hideMark/>
          </w:tcPr>
          <w:p w14:paraId="4286F17D" w14:textId="77777777" w:rsidR="000C0EAE" w:rsidRPr="00CC36F8" w:rsidRDefault="000C0EAE" w:rsidP="00232B57">
            <w:pPr>
              <w:jc w:val="center"/>
              <w:rPr>
                <w:b/>
                <w:noProof/>
                <w:lang w:val="de-DE"/>
              </w:rPr>
            </w:pPr>
            <w:r w:rsidRPr="00CC36F8">
              <w:rPr>
                <w:b/>
                <w:noProof/>
                <w:lang w:val="de-DE"/>
              </w:rPr>
              <w:t>822</w:t>
            </w:r>
          </w:p>
        </w:tc>
        <w:tc>
          <w:tcPr>
            <w:tcW w:w="1447" w:type="dxa"/>
            <w:hideMark/>
          </w:tcPr>
          <w:p w14:paraId="4DEB2B2A" w14:textId="77777777" w:rsidR="000C0EAE" w:rsidRPr="00CC36F8" w:rsidRDefault="000C0EAE" w:rsidP="00232B57">
            <w:pPr>
              <w:jc w:val="center"/>
              <w:rPr>
                <w:b/>
                <w:noProof/>
                <w:lang w:val="de-DE"/>
              </w:rPr>
            </w:pPr>
            <w:r w:rsidRPr="00CC36F8">
              <w:rPr>
                <w:b/>
                <w:noProof/>
                <w:lang w:val="de-DE"/>
              </w:rPr>
              <w:t>910</w:t>
            </w:r>
          </w:p>
        </w:tc>
        <w:tc>
          <w:tcPr>
            <w:tcW w:w="1447" w:type="dxa"/>
            <w:hideMark/>
          </w:tcPr>
          <w:p w14:paraId="51E3D388" w14:textId="77777777" w:rsidR="000C0EAE" w:rsidRPr="00CC36F8" w:rsidRDefault="000C0EAE" w:rsidP="00232B57">
            <w:pPr>
              <w:jc w:val="center"/>
              <w:rPr>
                <w:b/>
                <w:noProof/>
                <w:lang w:val="de-DE"/>
              </w:rPr>
            </w:pPr>
            <w:r w:rsidRPr="00CC36F8">
              <w:rPr>
                <w:b/>
                <w:noProof/>
                <w:lang w:val="de-DE"/>
              </w:rPr>
              <w:t>706</w:t>
            </w:r>
          </w:p>
        </w:tc>
        <w:tc>
          <w:tcPr>
            <w:tcW w:w="1447" w:type="dxa"/>
            <w:hideMark/>
          </w:tcPr>
          <w:p w14:paraId="2C36EA1D" w14:textId="77777777" w:rsidR="000C0EAE" w:rsidRPr="00CC36F8" w:rsidRDefault="000C0EAE" w:rsidP="00232B57">
            <w:pPr>
              <w:jc w:val="center"/>
              <w:rPr>
                <w:b/>
                <w:noProof/>
                <w:lang w:val="de-DE"/>
              </w:rPr>
            </w:pPr>
            <w:r w:rsidRPr="00CC36F8">
              <w:rPr>
                <w:b/>
                <w:noProof/>
                <w:lang w:val="de-DE"/>
              </w:rPr>
              <w:t>862</w:t>
            </w:r>
          </w:p>
        </w:tc>
      </w:tr>
      <w:tr w:rsidR="00D910B6" w:rsidRPr="00377B5C" w14:paraId="527576D1" w14:textId="77777777" w:rsidTr="00A81442">
        <w:trPr>
          <w:trHeight w:val="275"/>
        </w:trPr>
        <w:tc>
          <w:tcPr>
            <w:tcW w:w="1446" w:type="dxa"/>
            <w:hideMark/>
          </w:tcPr>
          <w:p w14:paraId="54D721DB" w14:textId="7AE057CD" w:rsidR="000C0EAE" w:rsidRPr="00CC36F8" w:rsidRDefault="000C0EAE" w:rsidP="00232B57">
            <w:pPr>
              <w:jc w:val="center"/>
              <w:rPr>
                <w:noProof/>
                <w:lang w:val="de-DE"/>
              </w:rPr>
            </w:pPr>
            <w:r w:rsidRPr="00CC36F8">
              <w:rPr>
                <w:noProof/>
                <w:lang w:val="de-DE"/>
              </w:rPr>
              <w:t>0.01</w:t>
            </w:r>
          </w:p>
        </w:tc>
        <w:tc>
          <w:tcPr>
            <w:tcW w:w="1446" w:type="dxa"/>
            <w:hideMark/>
          </w:tcPr>
          <w:p w14:paraId="5C3AC41F" w14:textId="77777777" w:rsidR="000C0EAE" w:rsidRPr="00CC36F8" w:rsidRDefault="000C0EAE" w:rsidP="00232B57">
            <w:pPr>
              <w:jc w:val="center"/>
              <w:rPr>
                <w:noProof/>
                <w:lang w:val="de-DE"/>
              </w:rPr>
            </w:pPr>
            <w:r w:rsidRPr="00CC36F8">
              <w:rPr>
                <w:b/>
                <w:noProof/>
                <w:lang w:val="de-DE"/>
              </w:rPr>
              <w:t>248</w:t>
            </w:r>
          </w:p>
        </w:tc>
        <w:tc>
          <w:tcPr>
            <w:tcW w:w="1447" w:type="dxa"/>
            <w:hideMark/>
          </w:tcPr>
          <w:p w14:paraId="5582B2E0" w14:textId="77777777" w:rsidR="000C0EAE" w:rsidRPr="00CC36F8" w:rsidRDefault="000C0EAE" w:rsidP="00232B57">
            <w:pPr>
              <w:jc w:val="center"/>
              <w:rPr>
                <w:noProof/>
                <w:lang w:val="de-DE"/>
              </w:rPr>
            </w:pPr>
            <w:r w:rsidRPr="00CC36F8">
              <w:rPr>
                <w:b/>
                <w:noProof/>
                <w:lang w:val="de-DE"/>
              </w:rPr>
              <w:t>270</w:t>
            </w:r>
          </w:p>
        </w:tc>
        <w:tc>
          <w:tcPr>
            <w:tcW w:w="1447" w:type="dxa"/>
            <w:hideMark/>
          </w:tcPr>
          <w:p w14:paraId="12151E82" w14:textId="77777777" w:rsidR="000C0EAE" w:rsidRPr="00CC36F8" w:rsidRDefault="000C0EAE" w:rsidP="00232B57">
            <w:pPr>
              <w:jc w:val="center"/>
              <w:rPr>
                <w:noProof/>
                <w:lang w:val="de-DE"/>
              </w:rPr>
            </w:pPr>
            <w:r w:rsidRPr="00CC36F8">
              <w:rPr>
                <w:b/>
                <w:noProof/>
                <w:lang w:val="de-DE"/>
              </w:rPr>
              <w:t>299</w:t>
            </w:r>
          </w:p>
        </w:tc>
        <w:tc>
          <w:tcPr>
            <w:tcW w:w="1447" w:type="dxa"/>
            <w:hideMark/>
          </w:tcPr>
          <w:p w14:paraId="4F40209E" w14:textId="77777777" w:rsidR="000C0EAE" w:rsidRPr="00CC36F8" w:rsidRDefault="000C0EAE" w:rsidP="00232B57">
            <w:pPr>
              <w:jc w:val="center"/>
              <w:rPr>
                <w:noProof/>
                <w:lang w:val="de-DE"/>
              </w:rPr>
            </w:pPr>
            <w:r w:rsidRPr="00CC36F8">
              <w:rPr>
                <w:b/>
                <w:noProof/>
                <w:lang w:val="de-DE"/>
              </w:rPr>
              <w:t>233</w:t>
            </w:r>
          </w:p>
        </w:tc>
        <w:tc>
          <w:tcPr>
            <w:tcW w:w="1447" w:type="dxa"/>
            <w:hideMark/>
          </w:tcPr>
          <w:p w14:paraId="6A301A7F" w14:textId="77777777" w:rsidR="000C0EAE" w:rsidRPr="00CC36F8" w:rsidRDefault="000C0EAE" w:rsidP="00232B57">
            <w:pPr>
              <w:jc w:val="center"/>
              <w:rPr>
                <w:noProof/>
                <w:lang w:val="de-DE"/>
              </w:rPr>
            </w:pPr>
            <w:r w:rsidRPr="00CC36F8">
              <w:rPr>
                <w:b/>
                <w:noProof/>
                <w:lang w:val="de-DE"/>
              </w:rPr>
              <w:t>238</w:t>
            </w:r>
          </w:p>
        </w:tc>
      </w:tr>
    </w:tbl>
    <w:p w14:paraId="2138E347" w14:textId="6BF20555" w:rsidR="00467D9E" w:rsidRPr="0069361F" w:rsidRDefault="003925B1" w:rsidP="00023AFB">
      <w:pPr>
        <w:spacing w:before="240" w:line="240" w:lineRule="auto"/>
        <w:rPr>
          <w:noProof/>
        </w:rPr>
      </w:pPr>
      <w:r w:rsidRPr="00CC36F8">
        <w:rPr>
          <w:noProof/>
        </w:rPr>
        <w:t xml:space="preserve">It should be mentioned that </w:t>
      </w:r>
      <w:r w:rsidR="006437F2">
        <w:rPr>
          <w:noProof/>
        </w:rPr>
        <w:t xml:space="preserve">the </w:t>
      </w:r>
      <w:r w:rsidR="006437F2" w:rsidRPr="006437F2">
        <w:rPr>
          <w:noProof/>
        </w:rPr>
        <w:t xml:space="preserve">upper part of the empirically supported range </w:t>
      </w:r>
      <w:r w:rsidR="002A7E3F" w:rsidRPr="00623952">
        <w:rPr>
          <w:noProof/>
        </w:rPr>
        <w:t xml:space="preserve">is considered as the </w:t>
      </w:r>
      <w:r w:rsidR="00B439AA" w:rsidRPr="00623952">
        <w:rPr>
          <w:noProof/>
        </w:rPr>
        <w:t xml:space="preserve">most </w:t>
      </w:r>
      <w:r w:rsidR="00B336E8" w:rsidRPr="00623952">
        <w:rPr>
          <w:noProof/>
        </w:rPr>
        <w:t>appropriate for th</w:t>
      </w:r>
      <w:r w:rsidR="00B336E8" w:rsidRPr="0069361F">
        <w:rPr>
          <w:noProof/>
        </w:rPr>
        <w:t>e estimation of the impact</w:t>
      </w:r>
      <w:r w:rsidR="00E302E4" w:rsidRPr="0069361F">
        <w:rPr>
          <w:noProof/>
        </w:rPr>
        <w:t xml:space="preserve">, </w:t>
      </w:r>
      <w:r w:rsidR="0088387E">
        <w:rPr>
          <w:noProof/>
        </w:rPr>
        <w:t>in a forward</w:t>
      </w:r>
      <w:r w:rsidR="00D6739A">
        <w:rPr>
          <w:noProof/>
        </w:rPr>
        <w:t>-</w:t>
      </w:r>
      <w:r w:rsidR="0088387E">
        <w:rPr>
          <w:noProof/>
        </w:rPr>
        <w:t xml:space="preserve">looking </w:t>
      </w:r>
      <w:r w:rsidR="00D6739A">
        <w:rPr>
          <w:noProof/>
        </w:rPr>
        <w:t>context</w:t>
      </w:r>
      <w:r w:rsidR="00823767">
        <w:rPr>
          <w:noProof/>
        </w:rPr>
        <w:t xml:space="preserve">, </w:t>
      </w:r>
      <w:r w:rsidR="00823767" w:rsidRPr="00823767">
        <w:rPr>
          <w:noProof/>
        </w:rPr>
        <w:t xml:space="preserve">given the currently limited gigabit </w:t>
      </w:r>
      <w:r w:rsidR="00E302E4" w:rsidRPr="0069361F">
        <w:rPr>
          <w:noProof/>
        </w:rPr>
        <w:t xml:space="preserve">take-up in the EU27. </w:t>
      </w:r>
      <w:r w:rsidR="00913062">
        <w:rPr>
          <w:noProof/>
        </w:rPr>
        <w:t>This value reflects</w:t>
      </w:r>
      <w:r w:rsidR="00293A60">
        <w:rPr>
          <w:noProof/>
        </w:rPr>
        <w:t xml:space="preserve"> the</w:t>
      </w:r>
      <w:r w:rsidR="003A2B6E" w:rsidRPr="0069361F">
        <w:rPr>
          <w:noProof/>
        </w:rPr>
        <w:t xml:space="preserve"> “speed → adoption → productivity → GDP” pathway and the cumulative</w:t>
      </w:r>
      <w:r w:rsidR="00302940" w:rsidRPr="00302940">
        <w:rPr>
          <w:noProof/>
        </w:rPr>
        <w:t xml:space="preserve"> nature of the associated </w:t>
      </w:r>
      <w:r w:rsidR="003A2B6E" w:rsidRPr="0069361F">
        <w:rPr>
          <w:noProof/>
        </w:rPr>
        <w:t>economic effects.</w:t>
      </w:r>
    </w:p>
    <w:p w14:paraId="7E5F5690" w14:textId="56861807" w:rsidR="00D565A9" w:rsidRPr="00DE264C" w:rsidRDefault="00F86788" w:rsidP="00023AFB">
      <w:pPr>
        <w:spacing w:line="240" w:lineRule="auto"/>
        <w:rPr>
          <w:noProof/>
        </w:rPr>
      </w:pPr>
      <w:r w:rsidRPr="0069361F">
        <w:rPr>
          <w:noProof/>
        </w:rPr>
        <w:t>Moreover, a linear relation was assumed f</w:t>
      </w:r>
      <w:r w:rsidR="009D4051" w:rsidRPr="0069361F">
        <w:rPr>
          <w:noProof/>
        </w:rPr>
        <w:t xml:space="preserve">or </w:t>
      </w:r>
      <w:r w:rsidR="009C58C6" w:rsidRPr="0069361F">
        <w:rPr>
          <w:noProof/>
        </w:rPr>
        <w:t>t</w:t>
      </w:r>
      <w:r w:rsidR="00022558" w:rsidRPr="0069361F">
        <w:rPr>
          <w:noProof/>
        </w:rPr>
        <w:t xml:space="preserve">he </w:t>
      </w:r>
      <w:r w:rsidR="008C74D0" w:rsidRPr="0069361F">
        <w:rPr>
          <w:noProof/>
        </w:rPr>
        <w:t xml:space="preserve">estimation of the impact </w:t>
      </w:r>
      <w:r w:rsidR="00A1688E" w:rsidRPr="0069361F">
        <w:rPr>
          <w:noProof/>
        </w:rPr>
        <w:t xml:space="preserve">of the increase in download speed </w:t>
      </w:r>
      <w:r w:rsidR="00405607" w:rsidRPr="0069361F">
        <w:rPr>
          <w:noProof/>
        </w:rPr>
        <w:t xml:space="preserve">on </w:t>
      </w:r>
      <w:r w:rsidR="00A1688E" w:rsidRPr="0069361F">
        <w:rPr>
          <w:noProof/>
        </w:rPr>
        <w:t xml:space="preserve">the annual </w:t>
      </w:r>
      <w:r w:rsidR="00405607" w:rsidRPr="0069361F">
        <w:rPr>
          <w:noProof/>
        </w:rPr>
        <w:t xml:space="preserve">GDP </w:t>
      </w:r>
      <w:r w:rsidR="00A1688E" w:rsidRPr="0069361F">
        <w:rPr>
          <w:noProof/>
        </w:rPr>
        <w:t>growth</w:t>
      </w:r>
      <w:r w:rsidR="004806A0" w:rsidRPr="0069361F">
        <w:rPr>
          <w:noProof/>
        </w:rPr>
        <w:t xml:space="preserve">. </w:t>
      </w:r>
      <w:r w:rsidR="0087793F" w:rsidRPr="0069361F">
        <w:rPr>
          <w:noProof/>
        </w:rPr>
        <w:t xml:space="preserve">It is </w:t>
      </w:r>
      <w:r w:rsidR="009D3565" w:rsidRPr="0069361F">
        <w:rPr>
          <w:noProof/>
        </w:rPr>
        <w:t xml:space="preserve">the simplest </w:t>
      </w:r>
      <w:r w:rsidR="00AD00FA" w:rsidRPr="0069361F">
        <w:rPr>
          <w:noProof/>
        </w:rPr>
        <w:t>approach,</w:t>
      </w:r>
      <w:r w:rsidR="009D3565" w:rsidRPr="0069361F">
        <w:rPr>
          <w:noProof/>
        </w:rPr>
        <w:t xml:space="preserve"> and it </w:t>
      </w:r>
      <w:r w:rsidR="00462EEA" w:rsidRPr="0069361F">
        <w:rPr>
          <w:noProof/>
        </w:rPr>
        <w:t xml:space="preserve">lies in the midway between </w:t>
      </w:r>
      <w:r w:rsidR="00A3231C" w:rsidRPr="0069361F">
        <w:rPr>
          <w:noProof/>
        </w:rPr>
        <w:t xml:space="preserve">the more conservative </w:t>
      </w:r>
      <w:r w:rsidR="00C35232" w:rsidRPr="0069361F">
        <w:rPr>
          <w:noProof/>
        </w:rPr>
        <w:t xml:space="preserve">degressive and the </w:t>
      </w:r>
      <w:r w:rsidR="00E91A6B" w:rsidRPr="0069361F">
        <w:rPr>
          <w:noProof/>
        </w:rPr>
        <w:t xml:space="preserve">more optimistic progressive </w:t>
      </w:r>
      <w:r w:rsidR="00362654" w:rsidRPr="0069361F">
        <w:rPr>
          <w:noProof/>
        </w:rPr>
        <w:t>approaches</w:t>
      </w:r>
      <w:r w:rsidR="001E6D82" w:rsidRPr="0069361F">
        <w:rPr>
          <w:noProof/>
        </w:rPr>
        <w:t xml:space="preserve">. </w:t>
      </w:r>
      <w:r w:rsidR="004806A0" w:rsidRPr="0069361F">
        <w:rPr>
          <w:noProof/>
        </w:rPr>
        <w:t>However,</w:t>
      </w:r>
      <w:r w:rsidR="001E6D82" w:rsidRPr="0069361F">
        <w:rPr>
          <w:noProof/>
        </w:rPr>
        <w:t xml:space="preserve"> it should be stressed </w:t>
      </w:r>
      <w:r w:rsidR="00472277" w:rsidRPr="0069361F">
        <w:rPr>
          <w:noProof/>
        </w:rPr>
        <w:t xml:space="preserve">that irrespective of the approach, there is always a positive correlation, as the GDP is expected to benefit (i.e., increase) from the </w:t>
      </w:r>
      <w:r w:rsidR="0067241A" w:rsidRPr="0069361F">
        <w:rPr>
          <w:noProof/>
        </w:rPr>
        <w:t>increase in the download speed.</w:t>
      </w:r>
      <w:r w:rsidR="0067241A">
        <w:rPr>
          <w:noProof/>
        </w:rPr>
        <w:t xml:space="preserve"> </w:t>
      </w:r>
    </w:p>
    <w:p w14:paraId="181EEFC9" w14:textId="7597B6BD" w:rsidR="00AD00FA" w:rsidRPr="00460D3C" w:rsidRDefault="004A53A1" w:rsidP="00023AFB">
      <w:pPr>
        <w:spacing w:line="240" w:lineRule="auto"/>
        <w:rPr>
          <w:noProof/>
        </w:rPr>
      </w:pPr>
      <w:r w:rsidRPr="0069361F">
        <w:rPr>
          <w:noProof/>
        </w:rPr>
        <w:t>T</w:t>
      </w:r>
      <w:r w:rsidR="00D97C08" w:rsidRPr="0069361F">
        <w:rPr>
          <w:noProof/>
        </w:rPr>
        <w:t xml:space="preserve">he environmental impact of the </w:t>
      </w:r>
      <w:r w:rsidR="00323FA0" w:rsidRPr="0069361F">
        <w:rPr>
          <w:noProof/>
        </w:rPr>
        <w:t>transition to fibr</w:t>
      </w:r>
      <w:r w:rsidR="002D46AC" w:rsidRPr="0069361F">
        <w:rPr>
          <w:noProof/>
        </w:rPr>
        <w:t xml:space="preserve">e, </w:t>
      </w:r>
      <w:r w:rsidR="00B845D2" w:rsidRPr="0069361F">
        <w:rPr>
          <w:noProof/>
        </w:rPr>
        <w:t>namely</w:t>
      </w:r>
      <w:r w:rsidR="002D46AC" w:rsidRPr="0069361F">
        <w:rPr>
          <w:noProof/>
        </w:rPr>
        <w:t xml:space="preserve"> the </w:t>
      </w:r>
      <w:r w:rsidR="008F5904" w:rsidRPr="0069361F">
        <w:rPr>
          <w:noProof/>
        </w:rPr>
        <w:t>CO2 emissions</w:t>
      </w:r>
      <w:r w:rsidR="003C0A52" w:rsidRPr="0069361F">
        <w:rPr>
          <w:noProof/>
        </w:rPr>
        <w:t xml:space="preserve">, result from the electricity consumption of </w:t>
      </w:r>
      <w:r w:rsidR="00B845D2" w:rsidRPr="0069361F">
        <w:rPr>
          <w:noProof/>
        </w:rPr>
        <w:t>the different options</w:t>
      </w:r>
      <w:r w:rsidR="00B84F8C" w:rsidRPr="0069361F">
        <w:rPr>
          <w:noProof/>
        </w:rPr>
        <w:t xml:space="preserve">. </w:t>
      </w:r>
      <w:r w:rsidR="00703B6F" w:rsidRPr="0069361F">
        <w:rPr>
          <w:noProof/>
        </w:rPr>
        <w:t>More specifically, CO</w:t>
      </w:r>
      <w:r w:rsidR="009164E5" w:rsidRPr="0069361F">
        <w:rPr>
          <w:noProof/>
        </w:rPr>
        <w:t>2</w:t>
      </w:r>
      <w:r w:rsidR="00703B6F" w:rsidRPr="0069361F">
        <w:rPr>
          <w:noProof/>
        </w:rPr>
        <w:t xml:space="preserve"> emissions are estimated by multiplying total electricity consumption by the corresponding year-specific emission intensity factor</w:t>
      </w:r>
      <w:r w:rsidR="00A27F23" w:rsidRPr="00D84AAE">
        <w:rPr>
          <w:rStyle w:val="FootnoteReference"/>
          <w:noProof/>
        </w:rPr>
        <w:footnoteReference w:id="223"/>
      </w:r>
      <w:r w:rsidR="00D26856" w:rsidRPr="0069361F">
        <w:rPr>
          <w:noProof/>
        </w:rPr>
        <w:t xml:space="preserve">. </w:t>
      </w:r>
      <w:r w:rsidR="62420969" w:rsidRPr="0069361F">
        <w:rPr>
          <w:noProof/>
        </w:rPr>
        <w:t>Energy</w:t>
      </w:r>
      <w:r w:rsidR="00D26856" w:rsidRPr="0069361F">
        <w:rPr>
          <w:noProof/>
          <w:lang w:val="en-US"/>
        </w:rPr>
        <w:t xml:space="preserve"> consumption in fixed networks is closely tied to the number of active access lines, the type of technology </w:t>
      </w:r>
      <w:r w:rsidR="00A27F23" w:rsidRPr="0069361F">
        <w:rPr>
          <w:noProof/>
          <w:lang w:val="en-US"/>
        </w:rPr>
        <w:t>used,</w:t>
      </w:r>
      <w:r w:rsidR="00D26856" w:rsidRPr="0069361F">
        <w:rPr>
          <w:noProof/>
          <w:lang w:val="en-US"/>
        </w:rPr>
        <w:t xml:space="preserve"> and the capacity of network equipment installed</w:t>
      </w:r>
      <w:r w:rsidR="007D2C77">
        <w:rPr>
          <w:noProof/>
          <w:highlight w:val="lightGray"/>
          <w:lang w:val="en-US"/>
        </w:rPr>
        <w:t>.</w:t>
      </w:r>
      <w:r w:rsidR="00843CDB" w:rsidRPr="0069361F">
        <w:rPr>
          <w:noProof/>
          <w:lang w:val="en-US"/>
        </w:rPr>
        <w:t xml:space="preserve"> It is </w:t>
      </w:r>
      <w:r w:rsidR="00D14C23" w:rsidRPr="0069361F">
        <w:rPr>
          <w:noProof/>
          <w:lang w:val="en-US"/>
        </w:rPr>
        <w:t xml:space="preserve">usually expressed </w:t>
      </w:r>
      <w:r w:rsidR="00843CDB" w:rsidRPr="0069361F">
        <w:rPr>
          <w:noProof/>
          <w:lang w:val="en-US"/>
        </w:rPr>
        <w:t xml:space="preserve">in </w:t>
      </w:r>
      <w:r w:rsidR="00D26856" w:rsidRPr="0069361F">
        <w:rPr>
          <w:noProof/>
          <w:lang w:val="en-US"/>
        </w:rPr>
        <w:t xml:space="preserve">kWh per line per year, and </w:t>
      </w:r>
      <w:r w:rsidR="006175FC" w:rsidRPr="0069361F">
        <w:rPr>
          <w:noProof/>
          <w:lang w:val="en-US"/>
        </w:rPr>
        <w:t xml:space="preserve">the total consumption can be </w:t>
      </w:r>
      <w:r w:rsidR="00D26856" w:rsidRPr="0069361F">
        <w:rPr>
          <w:noProof/>
          <w:lang w:val="en-US"/>
        </w:rPr>
        <w:t>model</w:t>
      </w:r>
      <w:r w:rsidR="006175FC" w:rsidRPr="0069361F">
        <w:rPr>
          <w:noProof/>
          <w:lang w:val="en-US"/>
        </w:rPr>
        <w:t>ed</w:t>
      </w:r>
      <w:r w:rsidR="00D26856" w:rsidRPr="0069361F">
        <w:rPr>
          <w:noProof/>
          <w:lang w:val="en-US"/>
        </w:rPr>
        <w:t xml:space="preserve"> as a function of subscriber migration between technologies with different per-line energy profiles</w:t>
      </w:r>
      <w:r w:rsidR="006F16CF" w:rsidRPr="0069361F">
        <w:rPr>
          <w:noProof/>
        </w:rPr>
        <w:t xml:space="preserve">. The emission intensity factor </w:t>
      </w:r>
      <w:r w:rsidR="00864585" w:rsidRPr="0069361F">
        <w:rPr>
          <w:noProof/>
        </w:rPr>
        <w:t xml:space="preserve">is </w:t>
      </w:r>
      <w:r w:rsidR="008B725D" w:rsidRPr="0069361F">
        <w:rPr>
          <w:noProof/>
        </w:rPr>
        <w:t xml:space="preserve">declining due to the </w:t>
      </w:r>
      <w:r w:rsidR="005A0742" w:rsidRPr="0069361F">
        <w:rPr>
          <w:noProof/>
        </w:rPr>
        <w:t xml:space="preserve">percentage increase of the </w:t>
      </w:r>
      <w:r w:rsidR="0091068D" w:rsidRPr="0069361F">
        <w:rPr>
          <w:noProof/>
        </w:rPr>
        <w:t xml:space="preserve">renewable energy sources. </w:t>
      </w:r>
      <w:r w:rsidR="00F80C33" w:rsidRPr="0069361F">
        <w:rPr>
          <w:noProof/>
        </w:rPr>
        <w:t xml:space="preserve">Finally, to monetize the environmental impact of greenhouse gas emissions, a fixed damage cost </w:t>
      </w:r>
      <w:r w:rsidR="00183ACB" w:rsidRPr="0069361F">
        <w:rPr>
          <w:noProof/>
        </w:rPr>
        <w:t xml:space="preserve">set at </w:t>
      </w:r>
      <w:r w:rsidR="00023AFB">
        <w:rPr>
          <w:noProof/>
        </w:rPr>
        <w:t>EUR</w:t>
      </w:r>
      <w:r w:rsidR="00C950E2">
        <w:rPr>
          <w:noProof/>
        </w:rPr>
        <w:t> </w:t>
      </w:r>
      <w:r w:rsidR="00183ACB" w:rsidRPr="0069361F">
        <w:rPr>
          <w:noProof/>
        </w:rPr>
        <w:t>800</w:t>
      </w:r>
      <w:r w:rsidR="00183ACB" w:rsidRPr="00D84AAE">
        <w:rPr>
          <w:rStyle w:val="FootnoteReference"/>
          <w:noProof/>
        </w:rPr>
        <w:footnoteReference w:id="224"/>
      </w:r>
      <w:r w:rsidR="00183ACB" w:rsidRPr="00460D3C">
        <w:rPr>
          <w:noProof/>
        </w:rPr>
        <w:t xml:space="preserve"> per tonne of CO₂</w:t>
      </w:r>
      <w:r w:rsidR="00F80C33" w:rsidRPr="00460D3C">
        <w:rPr>
          <w:noProof/>
        </w:rPr>
        <w:t>e</w:t>
      </w:r>
      <w:r w:rsidR="00183ACB" w:rsidRPr="00460D3C">
        <w:rPr>
          <w:noProof/>
        </w:rPr>
        <w:t xml:space="preserve"> has been used</w:t>
      </w:r>
      <w:r w:rsidR="00F80C33" w:rsidRPr="00460D3C">
        <w:rPr>
          <w:noProof/>
        </w:rPr>
        <w:t>.</w:t>
      </w:r>
    </w:p>
    <w:p w14:paraId="5274BC39" w14:textId="5E926615" w:rsidR="00864585" w:rsidRPr="00460D3C" w:rsidRDefault="00864585" w:rsidP="00023AFB">
      <w:pPr>
        <w:spacing w:line="240" w:lineRule="auto"/>
        <w:rPr>
          <w:noProof/>
        </w:rPr>
      </w:pPr>
      <w:r w:rsidRPr="00460D3C">
        <w:rPr>
          <w:noProof/>
        </w:rPr>
        <w:t xml:space="preserve">The following table </w:t>
      </w:r>
      <w:r w:rsidR="004B00C4" w:rsidRPr="00460D3C">
        <w:rPr>
          <w:noProof/>
        </w:rPr>
        <w:t xml:space="preserve">presents the </w:t>
      </w:r>
      <w:r w:rsidR="006010C2" w:rsidRPr="00460D3C">
        <w:rPr>
          <w:noProof/>
        </w:rPr>
        <w:t>monetary effect of the different options</w:t>
      </w:r>
      <w:r w:rsidR="00215669" w:rsidRPr="00460D3C">
        <w:rPr>
          <w:noProof/>
        </w:rPr>
        <w:t>.</w:t>
      </w:r>
    </w:p>
    <w:p w14:paraId="516F50C3" w14:textId="19430537" w:rsidR="00215669" w:rsidRPr="00460D3C" w:rsidRDefault="00215669" w:rsidP="00215669">
      <w:pPr>
        <w:pStyle w:val="Caption"/>
        <w:keepNext/>
        <w:rPr>
          <w:noProof/>
          <w:color w:val="auto"/>
          <w:sz w:val="24"/>
          <w:szCs w:val="24"/>
          <w:u w:val="single"/>
        </w:rPr>
      </w:pPr>
      <w:r w:rsidRPr="00460D3C">
        <w:rPr>
          <w:noProof/>
          <w:color w:val="auto"/>
          <w:sz w:val="24"/>
          <w:szCs w:val="24"/>
          <w:u w:val="single"/>
        </w:rPr>
        <w:t>Table 2</w:t>
      </w:r>
      <w:r w:rsidR="00C001C7" w:rsidRPr="00460D3C">
        <w:rPr>
          <w:noProof/>
          <w:color w:val="auto"/>
          <w:sz w:val="24"/>
          <w:szCs w:val="24"/>
          <w:u w:val="single"/>
        </w:rPr>
        <w:t>4</w:t>
      </w:r>
      <w:r w:rsidRPr="00460D3C">
        <w:rPr>
          <w:noProof/>
          <w:color w:val="auto"/>
          <w:sz w:val="24"/>
          <w:szCs w:val="24"/>
          <w:u w:val="single"/>
        </w:rPr>
        <w:t xml:space="preserve">: </w:t>
      </w:r>
      <w:r w:rsidR="00EE6E1C" w:rsidRPr="00460D3C">
        <w:rPr>
          <w:noProof/>
          <w:color w:val="auto"/>
          <w:sz w:val="24"/>
          <w:szCs w:val="24"/>
          <w:u w:val="single"/>
        </w:rPr>
        <w:t xml:space="preserve">Monetary effect of the </w:t>
      </w:r>
      <w:r w:rsidR="005A0B70" w:rsidRPr="00460D3C">
        <w:rPr>
          <w:noProof/>
          <w:color w:val="auto"/>
          <w:sz w:val="24"/>
          <w:szCs w:val="24"/>
          <w:u w:val="single"/>
        </w:rPr>
        <w:t xml:space="preserve">environmental impact of the </w:t>
      </w:r>
      <w:r w:rsidR="00EE6E1C" w:rsidRPr="00460D3C">
        <w:rPr>
          <w:noProof/>
          <w:color w:val="auto"/>
          <w:sz w:val="24"/>
          <w:szCs w:val="24"/>
          <w:u w:val="single"/>
        </w:rPr>
        <w:t xml:space="preserve">different options in </w:t>
      </w:r>
      <w:r w:rsidRPr="00460D3C">
        <w:rPr>
          <w:noProof/>
          <w:color w:val="auto"/>
          <w:sz w:val="24"/>
          <w:szCs w:val="24"/>
          <w:u w:val="single"/>
        </w:rPr>
        <w:t>EUR billion</w:t>
      </w:r>
    </w:p>
    <w:tbl>
      <w:tblPr>
        <w:tblStyle w:val="TableGrid"/>
        <w:tblW w:w="861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4"/>
        <w:gridCol w:w="1318"/>
        <w:gridCol w:w="1318"/>
        <w:gridCol w:w="1318"/>
        <w:gridCol w:w="1318"/>
        <w:gridCol w:w="1318"/>
      </w:tblGrid>
      <w:tr w:rsidR="006E7BA0" w:rsidRPr="006E7BA0" w14:paraId="43C771D1" w14:textId="77777777" w:rsidTr="000939E2">
        <w:trPr>
          <w:trHeight w:val="324"/>
        </w:trPr>
        <w:tc>
          <w:tcPr>
            <w:tcW w:w="2024" w:type="dxa"/>
            <w:shd w:val="clear" w:color="auto" w:fill="1F497D" w:themeFill="text2"/>
            <w:hideMark/>
          </w:tcPr>
          <w:p w14:paraId="147CE1CF" w14:textId="7BCB6076" w:rsidR="006E7BA0" w:rsidRPr="000939E2" w:rsidRDefault="006E7BA0" w:rsidP="000939E2">
            <w:pPr>
              <w:spacing w:line="276" w:lineRule="auto"/>
              <w:jc w:val="center"/>
              <w:rPr>
                <w:rFonts w:eastAsiaTheme="minorHAnsi"/>
                <w:b/>
                <w:noProof/>
                <w:color w:val="FFFFFF" w:themeColor="background1"/>
                <w:lang w:val="en-IE" w:eastAsia="en-US"/>
              </w:rPr>
            </w:pPr>
          </w:p>
        </w:tc>
        <w:tc>
          <w:tcPr>
            <w:tcW w:w="1318" w:type="dxa"/>
            <w:shd w:val="clear" w:color="auto" w:fill="1F497D" w:themeFill="text2"/>
            <w:hideMark/>
          </w:tcPr>
          <w:p w14:paraId="15EF7F92" w14:textId="77777777" w:rsidR="006E7BA0" w:rsidRPr="000939E2" w:rsidRDefault="006E7BA0" w:rsidP="000939E2">
            <w:pPr>
              <w:spacing w:line="276" w:lineRule="auto"/>
              <w:jc w:val="center"/>
              <w:rPr>
                <w:rFonts w:eastAsiaTheme="minorHAnsi"/>
                <w:b/>
                <w:noProof/>
                <w:color w:val="FFFFFF" w:themeColor="background1"/>
                <w:lang w:val="de-DE" w:eastAsia="en-US"/>
              </w:rPr>
            </w:pPr>
            <w:r w:rsidRPr="000939E2">
              <w:rPr>
                <w:b/>
                <w:noProof/>
                <w:color w:val="FFFFFF" w:themeColor="background1"/>
                <w:lang w:val="de-DE" w:eastAsia="en-US"/>
              </w:rPr>
              <w:t>Option 0</w:t>
            </w:r>
          </w:p>
        </w:tc>
        <w:tc>
          <w:tcPr>
            <w:tcW w:w="1318" w:type="dxa"/>
            <w:shd w:val="clear" w:color="auto" w:fill="1F497D" w:themeFill="text2"/>
            <w:hideMark/>
          </w:tcPr>
          <w:p w14:paraId="1FFDAE73" w14:textId="77777777" w:rsidR="006E7BA0" w:rsidRPr="000939E2" w:rsidRDefault="006E7BA0" w:rsidP="000939E2">
            <w:pPr>
              <w:spacing w:line="276" w:lineRule="auto"/>
              <w:jc w:val="center"/>
              <w:rPr>
                <w:rFonts w:eastAsiaTheme="minorHAnsi"/>
                <w:b/>
                <w:noProof/>
                <w:color w:val="FFFFFF" w:themeColor="background1"/>
                <w:lang w:val="de-DE" w:eastAsia="en-US"/>
              </w:rPr>
            </w:pPr>
            <w:r w:rsidRPr="000939E2">
              <w:rPr>
                <w:b/>
                <w:noProof/>
                <w:color w:val="FFFFFF" w:themeColor="background1"/>
                <w:lang w:val="de-DE" w:eastAsia="en-US"/>
              </w:rPr>
              <w:t>Option 1</w:t>
            </w:r>
          </w:p>
        </w:tc>
        <w:tc>
          <w:tcPr>
            <w:tcW w:w="1318" w:type="dxa"/>
            <w:shd w:val="clear" w:color="auto" w:fill="1F497D" w:themeFill="text2"/>
            <w:hideMark/>
          </w:tcPr>
          <w:p w14:paraId="621A4446" w14:textId="77777777" w:rsidR="006E7BA0" w:rsidRPr="000939E2" w:rsidRDefault="006E7BA0" w:rsidP="000939E2">
            <w:pPr>
              <w:spacing w:line="276" w:lineRule="auto"/>
              <w:jc w:val="center"/>
              <w:rPr>
                <w:rFonts w:eastAsiaTheme="minorHAnsi"/>
                <w:b/>
                <w:noProof/>
                <w:color w:val="FFFFFF" w:themeColor="background1"/>
                <w:lang w:val="de-DE" w:eastAsia="en-US"/>
              </w:rPr>
            </w:pPr>
            <w:r w:rsidRPr="000939E2">
              <w:rPr>
                <w:b/>
                <w:noProof/>
                <w:color w:val="FFFFFF" w:themeColor="background1"/>
                <w:lang w:val="de-DE" w:eastAsia="en-US"/>
              </w:rPr>
              <w:t>Option 2</w:t>
            </w:r>
          </w:p>
        </w:tc>
        <w:tc>
          <w:tcPr>
            <w:tcW w:w="1318" w:type="dxa"/>
            <w:shd w:val="clear" w:color="auto" w:fill="1F497D" w:themeFill="text2"/>
            <w:hideMark/>
          </w:tcPr>
          <w:p w14:paraId="24BA0ABF" w14:textId="77777777" w:rsidR="006E7BA0" w:rsidRPr="000939E2" w:rsidRDefault="006E7BA0" w:rsidP="000939E2">
            <w:pPr>
              <w:spacing w:line="276" w:lineRule="auto"/>
              <w:jc w:val="center"/>
              <w:rPr>
                <w:rFonts w:eastAsiaTheme="minorHAnsi"/>
                <w:b/>
                <w:noProof/>
                <w:color w:val="FFFFFF" w:themeColor="background1"/>
                <w:lang w:val="de-DE" w:eastAsia="en-US"/>
              </w:rPr>
            </w:pPr>
            <w:r w:rsidRPr="000939E2">
              <w:rPr>
                <w:b/>
                <w:noProof/>
                <w:color w:val="FFFFFF" w:themeColor="background1"/>
                <w:lang w:val="de-DE" w:eastAsia="en-US"/>
              </w:rPr>
              <w:t>Option 3</w:t>
            </w:r>
          </w:p>
        </w:tc>
        <w:tc>
          <w:tcPr>
            <w:tcW w:w="1318" w:type="dxa"/>
            <w:shd w:val="clear" w:color="auto" w:fill="1F497D" w:themeFill="text2"/>
            <w:hideMark/>
          </w:tcPr>
          <w:p w14:paraId="103B08A6" w14:textId="77777777" w:rsidR="006E7BA0" w:rsidRPr="000939E2" w:rsidRDefault="006E7BA0" w:rsidP="000939E2">
            <w:pPr>
              <w:spacing w:line="276" w:lineRule="auto"/>
              <w:jc w:val="center"/>
              <w:rPr>
                <w:rFonts w:eastAsiaTheme="minorHAnsi"/>
                <w:b/>
                <w:noProof/>
                <w:color w:val="FFFFFF" w:themeColor="background1"/>
                <w:lang w:val="de-DE" w:eastAsia="en-US"/>
              </w:rPr>
            </w:pPr>
            <w:r w:rsidRPr="000939E2">
              <w:rPr>
                <w:b/>
                <w:noProof/>
                <w:color w:val="FFFFFF" w:themeColor="background1"/>
                <w:lang w:val="de-DE" w:eastAsia="en-US"/>
              </w:rPr>
              <w:t>Option 4</w:t>
            </w:r>
          </w:p>
        </w:tc>
      </w:tr>
      <w:tr w:rsidR="006E7BA0" w:rsidRPr="006E7BA0" w14:paraId="655B360A" w14:textId="77777777" w:rsidTr="006E7BA0">
        <w:trPr>
          <w:trHeight w:val="324"/>
        </w:trPr>
        <w:tc>
          <w:tcPr>
            <w:tcW w:w="2024" w:type="dxa"/>
            <w:shd w:val="clear" w:color="auto" w:fill="1F497D" w:themeFill="text2"/>
            <w:hideMark/>
          </w:tcPr>
          <w:p w14:paraId="55662A87" w14:textId="77777777" w:rsidR="006E7BA0" w:rsidRPr="000939E2" w:rsidRDefault="006E7BA0" w:rsidP="000939E2">
            <w:pPr>
              <w:spacing w:line="276" w:lineRule="auto"/>
              <w:jc w:val="center"/>
              <w:rPr>
                <w:rFonts w:eastAsiaTheme="minorHAnsi"/>
                <w:b/>
                <w:noProof/>
                <w:color w:val="FFFFFF" w:themeColor="background1"/>
                <w:lang w:val="de-DE" w:eastAsia="en-US"/>
              </w:rPr>
            </w:pPr>
            <w:r w:rsidRPr="000939E2">
              <w:rPr>
                <w:b/>
                <w:noProof/>
                <w:color w:val="FFFFFF" w:themeColor="background1"/>
                <w:lang w:val="de-DE" w:eastAsia="en-US"/>
              </w:rPr>
              <w:t>Aggregate t CO2e (m)</w:t>
            </w:r>
          </w:p>
        </w:tc>
        <w:tc>
          <w:tcPr>
            <w:tcW w:w="1318" w:type="dxa"/>
            <w:hideMark/>
          </w:tcPr>
          <w:p w14:paraId="4B7A6172" w14:textId="77777777" w:rsidR="006E7BA0" w:rsidRPr="006E7BA0" w:rsidRDefault="006E7BA0" w:rsidP="006E7BA0">
            <w:pPr>
              <w:spacing w:after="0"/>
              <w:jc w:val="center"/>
              <w:rPr>
                <w:noProof/>
                <w:color w:val="000000"/>
                <w:lang w:val="en-IE" w:eastAsia="en-IE"/>
              </w:rPr>
            </w:pPr>
            <w:r w:rsidRPr="006E7BA0">
              <w:rPr>
                <w:noProof/>
                <w:color w:val="000000"/>
                <w:lang w:val="en-IE" w:eastAsia="en-IE"/>
              </w:rPr>
              <w:t>13.7</w:t>
            </w:r>
          </w:p>
        </w:tc>
        <w:tc>
          <w:tcPr>
            <w:tcW w:w="1318" w:type="dxa"/>
            <w:hideMark/>
          </w:tcPr>
          <w:p w14:paraId="30F93B8A" w14:textId="77777777" w:rsidR="006E7BA0" w:rsidRPr="006E7BA0" w:rsidRDefault="006E7BA0" w:rsidP="006E7BA0">
            <w:pPr>
              <w:spacing w:after="0"/>
              <w:jc w:val="center"/>
              <w:rPr>
                <w:noProof/>
                <w:color w:val="000000"/>
                <w:lang w:val="en-IE" w:eastAsia="en-IE"/>
              </w:rPr>
            </w:pPr>
            <w:r w:rsidRPr="006E7BA0">
              <w:rPr>
                <w:noProof/>
                <w:color w:val="000000"/>
                <w:lang w:val="en-IE" w:eastAsia="en-IE"/>
              </w:rPr>
              <w:t>13.6</w:t>
            </w:r>
          </w:p>
        </w:tc>
        <w:tc>
          <w:tcPr>
            <w:tcW w:w="1318" w:type="dxa"/>
            <w:hideMark/>
          </w:tcPr>
          <w:p w14:paraId="646DF0E7" w14:textId="77777777" w:rsidR="006E7BA0" w:rsidRPr="006E7BA0" w:rsidRDefault="006E7BA0" w:rsidP="006E7BA0">
            <w:pPr>
              <w:spacing w:after="0"/>
              <w:jc w:val="center"/>
              <w:rPr>
                <w:noProof/>
                <w:color w:val="000000"/>
                <w:lang w:val="en-IE" w:eastAsia="en-IE"/>
              </w:rPr>
            </w:pPr>
            <w:r w:rsidRPr="006E7BA0">
              <w:rPr>
                <w:noProof/>
                <w:color w:val="000000"/>
                <w:lang w:val="en-IE" w:eastAsia="en-IE"/>
              </w:rPr>
              <w:t>13</w:t>
            </w:r>
          </w:p>
        </w:tc>
        <w:tc>
          <w:tcPr>
            <w:tcW w:w="1318" w:type="dxa"/>
            <w:hideMark/>
          </w:tcPr>
          <w:p w14:paraId="68BFAA9A" w14:textId="77777777" w:rsidR="006E7BA0" w:rsidRPr="006E7BA0" w:rsidRDefault="006E7BA0" w:rsidP="006E7BA0">
            <w:pPr>
              <w:spacing w:after="0"/>
              <w:jc w:val="center"/>
              <w:rPr>
                <w:noProof/>
                <w:color w:val="000000"/>
                <w:lang w:val="en-IE" w:eastAsia="en-IE"/>
              </w:rPr>
            </w:pPr>
            <w:r w:rsidRPr="006E7BA0">
              <w:rPr>
                <w:noProof/>
                <w:color w:val="000000"/>
                <w:lang w:val="en-IE" w:eastAsia="en-IE"/>
              </w:rPr>
              <w:t>13.7</w:t>
            </w:r>
          </w:p>
        </w:tc>
        <w:tc>
          <w:tcPr>
            <w:tcW w:w="1318" w:type="dxa"/>
            <w:hideMark/>
          </w:tcPr>
          <w:p w14:paraId="1C00CA3D" w14:textId="77777777" w:rsidR="006E7BA0" w:rsidRPr="006E7BA0" w:rsidRDefault="006E7BA0" w:rsidP="006E7BA0">
            <w:pPr>
              <w:spacing w:after="0"/>
              <w:jc w:val="center"/>
              <w:rPr>
                <w:noProof/>
                <w:color w:val="000000"/>
                <w:lang w:val="en-IE" w:eastAsia="en-IE"/>
              </w:rPr>
            </w:pPr>
            <w:r w:rsidRPr="006E7BA0">
              <w:rPr>
                <w:noProof/>
                <w:color w:val="000000"/>
                <w:lang w:val="en-IE" w:eastAsia="en-IE"/>
              </w:rPr>
              <w:t>12.5</w:t>
            </w:r>
          </w:p>
        </w:tc>
      </w:tr>
      <w:tr w:rsidR="006E7BA0" w:rsidRPr="006E7BA0" w14:paraId="31659FD7" w14:textId="77777777" w:rsidTr="006E7BA0">
        <w:trPr>
          <w:trHeight w:val="324"/>
        </w:trPr>
        <w:tc>
          <w:tcPr>
            <w:tcW w:w="2024" w:type="dxa"/>
            <w:shd w:val="clear" w:color="auto" w:fill="1F497D" w:themeFill="text2"/>
            <w:hideMark/>
          </w:tcPr>
          <w:p w14:paraId="7734FA17" w14:textId="6F33FCE1" w:rsidR="006E7BA0" w:rsidRPr="000939E2" w:rsidRDefault="00AB12B7" w:rsidP="000939E2">
            <w:pPr>
              <w:spacing w:line="276" w:lineRule="auto"/>
              <w:jc w:val="center"/>
              <w:rPr>
                <w:rFonts w:eastAsiaTheme="minorHAnsi"/>
                <w:b/>
                <w:noProof/>
                <w:color w:val="FFFFFF" w:themeColor="background1"/>
                <w:lang w:val="de-DE" w:eastAsia="en-US"/>
              </w:rPr>
            </w:pPr>
            <w:r>
              <w:rPr>
                <w:b/>
                <w:noProof/>
                <w:color w:val="FFFFFF" w:themeColor="background1"/>
                <w:lang w:val="de-DE" w:eastAsia="en-US"/>
              </w:rPr>
              <w:t>EUR</w:t>
            </w:r>
            <w:r w:rsidR="006E7BA0" w:rsidRPr="000939E2">
              <w:rPr>
                <w:b/>
                <w:noProof/>
                <w:color w:val="FFFFFF" w:themeColor="background1"/>
                <w:lang w:val="de-DE" w:eastAsia="en-US"/>
              </w:rPr>
              <w:t xml:space="preserve"> billion</w:t>
            </w:r>
          </w:p>
        </w:tc>
        <w:tc>
          <w:tcPr>
            <w:tcW w:w="1318" w:type="dxa"/>
            <w:hideMark/>
          </w:tcPr>
          <w:p w14:paraId="466B4A1A" w14:textId="77777777" w:rsidR="006E7BA0" w:rsidRPr="006E7BA0" w:rsidRDefault="006E7BA0" w:rsidP="006E7BA0">
            <w:pPr>
              <w:spacing w:after="0"/>
              <w:jc w:val="center"/>
              <w:rPr>
                <w:noProof/>
                <w:color w:val="000000"/>
                <w:lang w:val="en-IE" w:eastAsia="en-IE"/>
              </w:rPr>
            </w:pPr>
            <w:r w:rsidRPr="006E7BA0">
              <w:rPr>
                <w:noProof/>
                <w:color w:val="000000"/>
                <w:lang w:eastAsia="de-DE"/>
              </w:rPr>
              <w:t>10.96</w:t>
            </w:r>
          </w:p>
        </w:tc>
        <w:tc>
          <w:tcPr>
            <w:tcW w:w="1318" w:type="dxa"/>
            <w:hideMark/>
          </w:tcPr>
          <w:p w14:paraId="1D06AA21" w14:textId="77777777" w:rsidR="006E7BA0" w:rsidRPr="006E7BA0" w:rsidRDefault="006E7BA0" w:rsidP="006E7BA0">
            <w:pPr>
              <w:spacing w:after="0"/>
              <w:jc w:val="center"/>
              <w:rPr>
                <w:noProof/>
                <w:color w:val="000000"/>
                <w:lang w:val="en-IE" w:eastAsia="en-IE"/>
              </w:rPr>
            </w:pPr>
            <w:r w:rsidRPr="006E7BA0">
              <w:rPr>
                <w:noProof/>
                <w:color w:val="000000"/>
                <w:lang w:eastAsia="de-DE"/>
              </w:rPr>
              <w:t>10.88</w:t>
            </w:r>
          </w:p>
        </w:tc>
        <w:tc>
          <w:tcPr>
            <w:tcW w:w="1318" w:type="dxa"/>
            <w:hideMark/>
          </w:tcPr>
          <w:p w14:paraId="23B96FEF" w14:textId="77777777" w:rsidR="006E7BA0" w:rsidRPr="006E7BA0" w:rsidRDefault="006E7BA0" w:rsidP="006E7BA0">
            <w:pPr>
              <w:spacing w:after="0"/>
              <w:jc w:val="center"/>
              <w:rPr>
                <w:noProof/>
                <w:color w:val="000000"/>
                <w:lang w:val="en-IE" w:eastAsia="en-IE"/>
              </w:rPr>
            </w:pPr>
            <w:r w:rsidRPr="006E7BA0">
              <w:rPr>
                <w:noProof/>
                <w:color w:val="000000"/>
                <w:lang w:eastAsia="de-DE"/>
              </w:rPr>
              <w:t>10.4</w:t>
            </w:r>
          </w:p>
        </w:tc>
        <w:tc>
          <w:tcPr>
            <w:tcW w:w="1318" w:type="dxa"/>
            <w:hideMark/>
          </w:tcPr>
          <w:p w14:paraId="1C07E34A" w14:textId="77777777" w:rsidR="006E7BA0" w:rsidRPr="006E7BA0" w:rsidRDefault="006E7BA0" w:rsidP="006E7BA0">
            <w:pPr>
              <w:spacing w:after="0"/>
              <w:jc w:val="center"/>
              <w:rPr>
                <w:noProof/>
                <w:color w:val="000000"/>
                <w:lang w:val="en-IE" w:eastAsia="en-IE"/>
              </w:rPr>
            </w:pPr>
            <w:r w:rsidRPr="006E7BA0">
              <w:rPr>
                <w:noProof/>
                <w:color w:val="000000"/>
                <w:lang w:eastAsia="de-DE"/>
              </w:rPr>
              <w:t>10.96</w:t>
            </w:r>
          </w:p>
        </w:tc>
        <w:tc>
          <w:tcPr>
            <w:tcW w:w="1318" w:type="dxa"/>
            <w:hideMark/>
          </w:tcPr>
          <w:p w14:paraId="75A761F3" w14:textId="77777777" w:rsidR="006E7BA0" w:rsidRPr="006E7BA0" w:rsidRDefault="006E7BA0" w:rsidP="006E7BA0">
            <w:pPr>
              <w:spacing w:after="0"/>
              <w:jc w:val="center"/>
              <w:rPr>
                <w:noProof/>
                <w:color w:val="000000"/>
                <w:lang w:val="en-IE" w:eastAsia="en-IE"/>
              </w:rPr>
            </w:pPr>
            <w:r w:rsidRPr="006E7BA0">
              <w:rPr>
                <w:noProof/>
                <w:color w:val="000000"/>
                <w:lang w:eastAsia="de-DE"/>
              </w:rPr>
              <w:t>10</w:t>
            </w:r>
          </w:p>
        </w:tc>
      </w:tr>
      <w:tr w:rsidR="006E7BA0" w:rsidRPr="006E7BA0" w14:paraId="494E9970" w14:textId="77777777" w:rsidTr="006E7BA0">
        <w:trPr>
          <w:trHeight w:val="636"/>
        </w:trPr>
        <w:tc>
          <w:tcPr>
            <w:tcW w:w="2024" w:type="dxa"/>
            <w:shd w:val="clear" w:color="auto" w:fill="1F497D" w:themeFill="text2"/>
            <w:hideMark/>
          </w:tcPr>
          <w:p w14:paraId="22B1B8A0" w14:textId="77777777" w:rsidR="006E7BA0" w:rsidRPr="000939E2" w:rsidRDefault="006E7BA0" w:rsidP="000939E2">
            <w:pPr>
              <w:spacing w:line="276" w:lineRule="auto"/>
              <w:jc w:val="center"/>
              <w:rPr>
                <w:rFonts w:eastAsiaTheme="minorHAnsi"/>
                <w:b/>
                <w:noProof/>
                <w:color w:val="FFFFFF" w:themeColor="background1"/>
                <w:lang w:val="de-DE" w:eastAsia="en-US"/>
              </w:rPr>
            </w:pPr>
            <w:r w:rsidRPr="000939E2">
              <w:rPr>
                <w:b/>
                <w:noProof/>
                <w:color w:val="FFFFFF" w:themeColor="background1"/>
                <w:lang w:val="de-DE" w:eastAsia="en-US"/>
              </w:rPr>
              <w:t>Difference from baseline</w:t>
            </w:r>
          </w:p>
        </w:tc>
        <w:tc>
          <w:tcPr>
            <w:tcW w:w="1318" w:type="dxa"/>
            <w:hideMark/>
          </w:tcPr>
          <w:p w14:paraId="17048A79" w14:textId="77777777" w:rsidR="006E7BA0" w:rsidRPr="006E7BA0" w:rsidRDefault="006E7BA0" w:rsidP="006E7BA0">
            <w:pPr>
              <w:spacing w:after="0"/>
              <w:jc w:val="center"/>
              <w:rPr>
                <w:noProof/>
                <w:color w:val="000000"/>
                <w:lang w:val="en-IE" w:eastAsia="en-IE"/>
              </w:rPr>
            </w:pPr>
            <w:r w:rsidRPr="006E7BA0">
              <w:rPr>
                <w:noProof/>
                <w:color w:val="000000"/>
                <w:lang w:val="en-IE" w:eastAsia="en-IE"/>
              </w:rPr>
              <w:t>0.00</w:t>
            </w:r>
          </w:p>
        </w:tc>
        <w:tc>
          <w:tcPr>
            <w:tcW w:w="1318" w:type="dxa"/>
            <w:hideMark/>
          </w:tcPr>
          <w:p w14:paraId="24410E37" w14:textId="77777777" w:rsidR="006E7BA0" w:rsidRPr="006E7BA0" w:rsidRDefault="006E7BA0" w:rsidP="006E7BA0">
            <w:pPr>
              <w:spacing w:after="0"/>
              <w:jc w:val="center"/>
              <w:rPr>
                <w:noProof/>
                <w:color w:val="000000"/>
                <w:lang w:val="en-IE" w:eastAsia="en-IE"/>
              </w:rPr>
            </w:pPr>
            <w:r w:rsidRPr="006E7BA0">
              <w:rPr>
                <w:noProof/>
                <w:color w:val="000000"/>
                <w:lang w:val="en-IE" w:eastAsia="en-IE"/>
              </w:rPr>
              <w:t>-0.08</w:t>
            </w:r>
          </w:p>
        </w:tc>
        <w:tc>
          <w:tcPr>
            <w:tcW w:w="1318" w:type="dxa"/>
            <w:hideMark/>
          </w:tcPr>
          <w:p w14:paraId="6ECB07AE" w14:textId="77777777" w:rsidR="006E7BA0" w:rsidRPr="006E7BA0" w:rsidRDefault="006E7BA0" w:rsidP="006E7BA0">
            <w:pPr>
              <w:spacing w:after="0"/>
              <w:jc w:val="center"/>
              <w:rPr>
                <w:noProof/>
                <w:color w:val="000000"/>
                <w:lang w:val="en-IE" w:eastAsia="en-IE"/>
              </w:rPr>
            </w:pPr>
            <w:r w:rsidRPr="006E7BA0">
              <w:rPr>
                <w:noProof/>
                <w:color w:val="000000"/>
                <w:lang w:val="en-IE" w:eastAsia="en-IE"/>
              </w:rPr>
              <w:t>-0.56</w:t>
            </w:r>
          </w:p>
        </w:tc>
        <w:tc>
          <w:tcPr>
            <w:tcW w:w="1318" w:type="dxa"/>
            <w:hideMark/>
          </w:tcPr>
          <w:p w14:paraId="7DF284C9" w14:textId="77777777" w:rsidR="006E7BA0" w:rsidRPr="006E7BA0" w:rsidRDefault="006E7BA0" w:rsidP="006E7BA0">
            <w:pPr>
              <w:spacing w:after="0"/>
              <w:jc w:val="center"/>
              <w:rPr>
                <w:noProof/>
                <w:color w:val="000000"/>
                <w:lang w:val="en-IE" w:eastAsia="en-IE"/>
              </w:rPr>
            </w:pPr>
            <w:r w:rsidRPr="006E7BA0">
              <w:rPr>
                <w:noProof/>
                <w:color w:val="000000"/>
                <w:lang w:val="en-IE" w:eastAsia="en-IE"/>
              </w:rPr>
              <w:t>0.00</w:t>
            </w:r>
          </w:p>
        </w:tc>
        <w:tc>
          <w:tcPr>
            <w:tcW w:w="1318" w:type="dxa"/>
            <w:hideMark/>
          </w:tcPr>
          <w:p w14:paraId="5BDD067C" w14:textId="77777777" w:rsidR="006E7BA0" w:rsidRPr="006E7BA0" w:rsidRDefault="006E7BA0" w:rsidP="006E7BA0">
            <w:pPr>
              <w:spacing w:after="0"/>
              <w:jc w:val="center"/>
              <w:rPr>
                <w:noProof/>
                <w:color w:val="000000"/>
                <w:lang w:val="en-IE" w:eastAsia="en-IE"/>
              </w:rPr>
            </w:pPr>
            <w:r w:rsidRPr="006E7BA0">
              <w:rPr>
                <w:noProof/>
                <w:color w:val="000000"/>
                <w:lang w:val="en-IE" w:eastAsia="en-IE"/>
              </w:rPr>
              <w:t>-0.96</w:t>
            </w:r>
          </w:p>
        </w:tc>
      </w:tr>
      <w:tr w:rsidR="006E7BA0" w:rsidRPr="006E7BA0" w14:paraId="6F7C0690" w14:textId="77777777" w:rsidTr="006E7BA0">
        <w:trPr>
          <w:trHeight w:val="324"/>
        </w:trPr>
        <w:tc>
          <w:tcPr>
            <w:tcW w:w="2024" w:type="dxa"/>
            <w:shd w:val="clear" w:color="auto" w:fill="1F497D" w:themeFill="text2"/>
            <w:hideMark/>
          </w:tcPr>
          <w:p w14:paraId="67614815" w14:textId="77777777" w:rsidR="006E7BA0" w:rsidRPr="000939E2" w:rsidRDefault="006E7BA0" w:rsidP="000939E2">
            <w:pPr>
              <w:spacing w:line="276" w:lineRule="auto"/>
              <w:jc w:val="center"/>
              <w:rPr>
                <w:rFonts w:eastAsiaTheme="minorHAnsi"/>
                <w:b/>
                <w:noProof/>
                <w:color w:val="FFFFFF" w:themeColor="background1"/>
                <w:lang w:val="de-DE" w:eastAsia="en-US"/>
              </w:rPr>
            </w:pPr>
            <w:r w:rsidRPr="000939E2">
              <w:rPr>
                <w:b/>
                <w:noProof/>
                <w:color w:val="FFFFFF" w:themeColor="background1"/>
                <w:lang w:val="de-DE" w:eastAsia="en-US"/>
              </w:rPr>
              <w:t>Difference (%)</w:t>
            </w:r>
          </w:p>
        </w:tc>
        <w:tc>
          <w:tcPr>
            <w:tcW w:w="1318" w:type="dxa"/>
            <w:hideMark/>
          </w:tcPr>
          <w:p w14:paraId="1A174B23" w14:textId="77777777" w:rsidR="006E7BA0" w:rsidRPr="006E7BA0" w:rsidRDefault="006E7BA0" w:rsidP="006E7BA0">
            <w:pPr>
              <w:spacing w:after="0"/>
              <w:jc w:val="center"/>
              <w:rPr>
                <w:noProof/>
                <w:color w:val="000000"/>
                <w:lang w:val="en-IE" w:eastAsia="en-IE"/>
              </w:rPr>
            </w:pPr>
            <w:r w:rsidRPr="006E7BA0">
              <w:rPr>
                <w:noProof/>
                <w:color w:val="000000"/>
                <w:lang w:val="en-IE" w:eastAsia="en-IE"/>
              </w:rPr>
              <w:t>0.0%</w:t>
            </w:r>
          </w:p>
        </w:tc>
        <w:tc>
          <w:tcPr>
            <w:tcW w:w="1318" w:type="dxa"/>
            <w:hideMark/>
          </w:tcPr>
          <w:p w14:paraId="0AAA3AB6" w14:textId="77777777" w:rsidR="006E7BA0" w:rsidRPr="006E7BA0" w:rsidRDefault="006E7BA0" w:rsidP="006E7BA0">
            <w:pPr>
              <w:spacing w:after="0"/>
              <w:jc w:val="center"/>
              <w:rPr>
                <w:noProof/>
                <w:color w:val="000000"/>
                <w:lang w:val="en-IE" w:eastAsia="en-IE"/>
              </w:rPr>
            </w:pPr>
            <w:r w:rsidRPr="006E7BA0">
              <w:rPr>
                <w:noProof/>
                <w:color w:val="000000"/>
                <w:lang w:val="en-IE" w:eastAsia="en-IE"/>
              </w:rPr>
              <w:t>-0.7%</w:t>
            </w:r>
          </w:p>
        </w:tc>
        <w:tc>
          <w:tcPr>
            <w:tcW w:w="1318" w:type="dxa"/>
            <w:hideMark/>
          </w:tcPr>
          <w:p w14:paraId="3F9B060C" w14:textId="77777777" w:rsidR="006E7BA0" w:rsidRPr="006E7BA0" w:rsidRDefault="006E7BA0" w:rsidP="006E7BA0">
            <w:pPr>
              <w:spacing w:after="0"/>
              <w:jc w:val="center"/>
              <w:rPr>
                <w:noProof/>
                <w:color w:val="000000"/>
                <w:lang w:val="en-IE" w:eastAsia="en-IE"/>
              </w:rPr>
            </w:pPr>
            <w:r w:rsidRPr="006E7BA0">
              <w:rPr>
                <w:noProof/>
                <w:color w:val="000000"/>
                <w:lang w:val="en-IE" w:eastAsia="en-IE"/>
              </w:rPr>
              <w:t>-5.1%</w:t>
            </w:r>
          </w:p>
        </w:tc>
        <w:tc>
          <w:tcPr>
            <w:tcW w:w="1318" w:type="dxa"/>
            <w:hideMark/>
          </w:tcPr>
          <w:p w14:paraId="3943E176" w14:textId="77777777" w:rsidR="006E7BA0" w:rsidRPr="006E7BA0" w:rsidRDefault="006E7BA0" w:rsidP="006E7BA0">
            <w:pPr>
              <w:spacing w:after="0"/>
              <w:jc w:val="center"/>
              <w:rPr>
                <w:noProof/>
                <w:color w:val="000000"/>
                <w:lang w:val="en-IE" w:eastAsia="en-IE"/>
              </w:rPr>
            </w:pPr>
            <w:r w:rsidRPr="006E7BA0">
              <w:rPr>
                <w:noProof/>
                <w:color w:val="000000"/>
                <w:lang w:val="en-IE" w:eastAsia="en-IE"/>
              </w:rPr>
              <w:t>0.0%</w:t>
            </w:r>
          </w:p>
        </w:tc>
        <w:tc>
          <w:tcPr>
            <w:tcW w:w="1318" w:type="dxa"/>
            <w:hideMark/>
          </w:tcPr>
          <w:p w14:paraId="7C2D434E" w14:textId="77777777" w:rsidR="006E7BA0" w:rsidRPr="006E7BA0" w:rsidRDefault="006E7BA0" w:rsidP="006E7BA0">
            <w:pPr>
              <w:spacing w:after="0"/>
              <w:jc w:val="center"/>
              <w:rPr>
                <w:noProof/>
                <w:color w:val="000000"/>
                <w:lang w:val="en-IE" w:eastAsia="en-IE"/>
              </w:rPr>
            </w:pPr>
            <w:r w:rsidRPr="006E7BA0">
              <w:rPr>
                <w:noProof/>
                <w:color w:val="000000"/>
                <w:lang w:val="en-IE" w:eastAsia="en-IE"/>
              </w:rPr>
              <w:t>-8.8%</w:t>
            </w:r>
          </w:p>
        </w:tc>
      </w:tr>
    </w:tbl>
    <w:p w14:paraId="7D597CAA" w14:textId="2DEFE189" w:rsidR="00926A26" w:rsidRDefault="00C73824" w:rsidP="00023AFB">
      <w:pPr>
        <w:spacing w:before="240" w:line="240" w:lineRule="auto"/>
        <w:rPr>
          <w:noProof/>
        </w:rPr>
      </w:pPr>
      <w:r w:rsidRPr="00623952">
        <w:rPr>
          <w:noProof/>
        </w:rPr>
        <w:t xml:space="preserve">It becomes thus obvious that </w:t>
      </w:r>
      <w:r w:rsidR="00E12764" w:rsidRPr="00623952">
        <w:rPr>
          <w:noProof/>
        </w:rPr>
        <w:t xml:space="preserve">the options </w:t>
      </w:r>
      <w:r w:rsidR="003C1800" w:rsidRPr="00623952">
        <w:rPr>
          <w:noProof/>
        </w:rPr>
        <w:t xml:space="preserve">envisaging a definite CSO date outperform the other options. </w:t>
      </w:r>
      <w:r w:rsidR="00496CBA" w:rsidRPr="00623952">
        <w:rPr>
          <w:noProof/>
        </w:rPr>
        <w:t xml:space="preserve">The </w:t>
      </w:r>
      <w:r w:rsidR="000B6B3C" w:rsidRPr="00623952">
        <w:rPr>
          <w:noProof/>
        </w:rPr>
        <w:t xml:space="preserve">larger percentage of cable access network in </w:t>
      </w:r>
      <w:r w:rsidR="00024E93" w:rsidRPr="00623952">
        <w:rPr>
          <w:noProof/>
        </w:rPr>
        <w:t>o</w:t>
      </w:r>
      <w:r w:rsidR="000B6B3C" w:rsidRPr="00623952">
        <w:rPr>
          <w:noProof/>
        </w:rPr>
        <w:t xml:space="preserve">ption 2 </w:t>
      </w:r>
      <w:r w:rsidR="00024E93" w:rsidRPr="00623952">
        <w:rPr>
          <w:noProof/>
        </w:rPr>
        <w:t xml:space="preserve">than in </w:t>
      </w:r>
      <w:r w:rsidR="001B707D" w:rsidRPr="00623952">
        <w:rPr>
          <w:noProof/>
        </w:rPr>
        <w:t>option 4</w:t>
      </w:r>
      <w:r w:rsidR="00E60448" w:rsidRPr="00623952">
        <w:rPr>
          <w:noProof/>
        </w:rPr>
        <w:t xml:space="preserve"> has this time a negative impact</w:t>
      </w:r>
      <w:r w:rsidR="00D418D5" w:rsidRPr="00623952">
        <w:rPr>
          <w:noProof/>
        </w:rPr>
        <w:t xml:space="preserve">, as the </w:t>
      </w:r>
      <w:r w:rsidR="004D0AA0" w:rsidRPr="00623952">
        <w:rPr>
          <w:noProof/>
        </w:rPr>
        <w:t xml:space="preserve">electricity consumption per subscriber in HFC networks is </w:t>
      </w:r>
      <w:r w:rsidR="005970FC" w:rsidRPr="00623952">
        <w:rPr>
          <w:noProof/>
        </w:rPr>
        <w:t>quite big.</w:t>
      </w:r>
    </w:p>
    <w:p w14:paraId="36F91640" w14:textId="50DE82D5" w:rsidR="00C951FD" w:rsidRDefault="00644B7F" w:rsidP="00023AFB">
      <w:pPr>
        <w:spacing w:before="240" w:line="240" w:lineRule="auto"/>
        <w:rPr>
          <w:noProof/>
        </w:rPr>
      </w:pPr>
      <w:r>
        <w:rPr>
          <w:noProof/>
        </w:rPr>
        <w:t>It should be mentioned t</w:t>
      </w:r>
      <w:r w:rsidR="0067403D">
        <w:rPr>
          <w:noProof/>
        </w:rPr>
        <w:t>h</w:t>
      </w:r>
      <w:r>
        <w:rPr>
          <w:noProof/>
        </w:rPr>
        <w:t>at</w:t>
      </w:r>
      <w:r w:rsidR="00CE3E78">
        <w:rPr>
          <w:noProof/>
        </w:rPr>
        <w:t xml:space="preserve"> </w:t>
      </w:r>
      <w:r w:rsidR="00CE3E78" w:rsidRPr="00F87B9B">
        <w:rPr>
          <w:noProof/>
        </w:rPr>
        <w:t xml:space="preserve">options 2 and 4 would </w:t>
      </w:r>
      <w:r w:rsidR="00CE3E78">
        <w:rPr>
          <w:noProof/>
        </w:rPr>
        <w:t>also</w:t>
      </w:r>
      <w:r w:rsidR="00CE3E78" w:rsidRPr="00F87B9B">
        <w:rPr>
          <w:noProof/>
        </w:rPr>
        <w:t xml:space="preserve"> be linked with more environmental benefits in terms of lower CO2 emissions per GB </w:t>
      </w:r>
      <w:r w:rsidR="00CE3E78">
        <w:rPr>
          <w:noProof/>
        </w:rPr>
        <w:t xml:space="preserve">consumed </w:t>
      </w:r>
      <w:r w:rsidR="00CE3E78" w:rsidRPr="00F87B9B">
        <w:rPr>
          <w:noProof/>
        </w:rPr>
        <w:t>than options 1 and 3 due to the higher share of FTTH in the technology mix.</w:t>
      </w:r>
      <w:r>
        <w:rPr>
          <w:noProof/>
        </w:rPr>
        <w:t xml:space="preserve"> </w:t>
      </w:r>
      <w:r w:rsidR="007734B3">
        <w:rPr>
          <w:noProof/>
        </w:rPr>
        <w:t>Under</w:t>
      </w:r>
      <w:r w:rsidR="008769D3">
        <w:rPr>
          <w:noProof/>
        </w:rPr>
        <w:t xml:space="preserve"> option 2</w:t>
      </w:r>
      <w:r w:rsidR="009C3415">
        <w:rPr>
          <w:noProof/>
        </w:rPr>
        <w:t xml:space="preserve">, there is </w:t>
      </w:r>
      <w:r w:rsidR="009C3415" w:rsidRPr="00F87B9B">
        <w:rPr>
          <w:noProof/>
        </w:rPr>
        <w:t>a reduction in electricity intensity for data traffic, from around 0.18</w:t>
      </w:r>
      <w:r w:rsidR="00A907F2">
        <w:rPr>
          <w:noProof/>
        </w:rPr>
        <w:t> </w:t>
      </w:r>
      <w:r w:rsidR="009C3415" w:rsidRPr="00F87B9B">
        <w:rPr>
          <w:noProof/>
        </w:rPr>
        <w:t>kWh per GB to 0.05</w:t>
      </w:r>
      <w:r w:rsidR="00A907F2">
        <w:rPr>
          <w:noProof/>
        </w:rPr>
        <w:t> </w:t>
      </w:r>
      <w:r w:rsidR="009C3415" w:rsidRPr="00F87B9B">
        <w:rPr>
          <w:noProof/>
        </w:rPr>
        <w:t>kWh/GB</w:t>
      </w:r>
      <w:r w:rsidR="00E36C7B">
        <w:rPr>
          <w:noProof/>
        </w:rPr>
        <w:t xml:space="preserve">, </w:t>
      </w:r>
      <w:r w:rsidR="00E36C7B" w:rsidRPr="00F87B9B">
        <w:rPr>
          <w:noProof/>
        </w:rPr>
        <w:t>a reduction of around 71% from 2025 to 2035</w:t>
      </w:r>
      <w:r w:rsidR="009E2DFF">
        <w:rPr>
          <w:noProof/>
        </w:rPr>
        <w:t xml:space="preserve">. This value is </w:t>
      </w:r>
      <w:r w:rsidR="00811638" w:rsidRPr="00F87B9B">
        <w:rPr>
          <w:noProof/>
        </w:rPr>
        <w:t xml:space="preserve">14% lower in </w:t>
      </w:r>
      <w:r w:rsidR="00F30288">
        <w:rPr>
          <w:noProof/>
        </w:rPr>
        <w:t>o</w:t>
      </w:r>
      <w:r w:rsidR="00811638" w:rsidRPr="00F87B9B">
        <w:rPr>
          <w:noProof/>
        </w:rPr>
        <w:t>ption</w:t>
      </w:r>
      <w:r w:rsidR="00811638">
        <w:rPr>
          <w:noProof/>
        </w:rPr>
        <w:t xml:space="preserve"> </w:t>
      </w:r>
      <w:r w:rsidR="00811638" w:rsidRPr="00F87B9B">
        <w:rPr>
          <w:noProof/>
        </w:rPr>
        <w:t>2 compared to the status quo scenario</w:t>
      </w:r>
      <w:r w:rsidR="00811638">
        <w:rPr>
          <w:noProof/>
        </w:rPr>
        <w:t>.</w:t>
      </w:r>
      <w:r w:rsidR="008769D3">
        <w:rPr>
          <w:noProof/>
        </w:rPr>
        <w:t xml:space="preserve"> </w:t>
      </w:r>
    </w:p>
    <w:p w14:paraId="7EA6EFA7" w14:textId="29CC27C8" w:rsidR="00A73593" w:rsidRPr="00DE264C" w:rsidRDefault="00A73593" w:rsidP="00023AFB">
      <w:pPr>
        <w:spacing w:line="240" w:lineRule="auto"/>
        <w:rPr>
          <w:noProof/>
        </w:rPr>
      </w:pPr>
      <w:r w:rsidRPr="00DE264C">
        <w:rPr>
          <w:noProof/>
        </w:rPr>
        <w:t xml:space="preserve">The Universal Service </w:t>
      </w:r>
      <w:r w:rsidR="003E1B08" w:rsidRPr="00DE264C">
        <w:rPr>
          <w:noProof/>
        </w:rPr>
        <w:t>Obligation (USO)</w:t>
      </w:r>
      <w:r w:rsidRPr="00DE264C">
        <w:rPr>
          <w:noProof/>
        </w:rPr>
        <w:t xml:space="preserve"> option chosen</w:t>
      </w:r>
      <w:r w:rsidR="004F79CF" w:rsidRPr="00DE264C">
        <w:rPr>
          <w:noProof/>
        </w:rPr>
        <w:t xml:space="preserve"> and included under all options</w:t>
      </w:r>
      <w:r w:rsidRPr="00DE264C">
        <w:rPr>
          <w:noProof/>
        </w:rPr>
        <w:t>, maintains largely the status quo but would address potential gaps following copper switch-off and ensure that vulnerable groups have access to the services needed to enable social and economic participation in an environment where there is further reliance on online services. Based on the extrapolation of current data, USO would not have an impact on average speed and coverage.</w:t>
      </w:r>
    </w:p>
    <w:p w14:paraId="00574889" w14:textId="1C0451AE" w:rsidR="00100200" w:rsidRPr="00DE264C" w:rsidRDefault="003B5457" w:rsidP="00100200">
      <w:pPr>
        <w:pStyle w:val="Heading3"/>
        <w:tabs>
          <w:tab w:val="num" w:pos="720"/>
          <w:tab w:val="num" w:pos="7088"/>
        </w:tabs>
        <w:ind w:left="851"/>
        <w:rPr>
          <w:noProof/>
        </w:rPr>
      </w:pPr>
      <w:bookmarkStart w:id="252" w:name="_Toc209528613"/>
      <w:bookmarkStart w:id="253" w:name="_Toc209528730"/>
      <w:bookmarkStart w:id="254" w:name="_Toc209535077"/>
      <w:bookmarkStart w:id="255" w:name="_Toc209535174"/>
      <w:bookmarkStart w:id="256" w:name="_Toc209596030"/>
      <w:bookmarkStart w:id="257" w:name="_Toc215083756"/>
      <w:bookmarkStart w:id="258" w:name="_Toc219212522"/>
      <w:bookmarkStart w:id="259" w:name="_Toc219718177"/>
      <w:bookmarkStart w:id="260" w:name="_Toc214467733"/>
      <w:bookmarkEnd w:id="252"/>
      <w:bookmarkEnd w:id="253"/>
      <w:bookmarkEnd w:id="254"/>
      <w:bookmarkEnd w:id="255"/>
      <w:bookmarkEnd w:id="256"/>
      <w:r w:rsidRPr="00DE264C">
        <w:rPr>
          <w:noProof/>
        </w:rPr>
        <w:t xml:space="preserve">Option 1: </w:t>
      </w:r>
      <w:r w:rsidR="00D5183C" w:rsidRPr="00DE264C">
        <w:rPr>
          <w:noProof/>
        </w:rPr>
        <w:t xml:space="preserve">Non-binding </w:t>
      </w:r>
      <w:r w:rsidR="00AF0978">
        <w:rPr>
          <w:noProof/>
        </w:rPr>
        <w:t>copper switch-off</w:t>
      </w:r>
      <w:r w:rsidR="00AF0978" w:rsidRPr="00DE264C">
        <w:rPr>
          <w:noProof/>
        </w:rPr>
        <w:t xml:space="preserve"> </w:t>
      </w:r>
      <w:r w:rsidR="00D5183C" w:rsidRPr="00DE264C">
        <w:rPr>
          <w:noProof/>
        </w:rPr>
        <w:t>and updated access regulation</w:t>
      </w:r>
      <w:bookmarkEnd w:id="257"/>
      <w:bookmarkEnd w:id="258"/>
      <w:bookmarkEnd w:id="259"/>
      <w:r w:rsidR="00D5183C" w:rsidRPr="00DE264C" w:rsidDel="00D5183C">
        <w:rPr>
          <w:noProof/>
        </w:rPr>
        <w:t xml:space="preserve"> </w:t>
      </w:r>
      <w:bookmarkEnd w:id="260"/>
    </w:p>
    <w:p w14:paraId="24C470DC" w14:textId="3DD221AC" w:rsidR="00E2087D" w:rsidRPr="00DE264C" w:rsidRDefault="00E2087D" w:rsidP="00023AFB">
      <w:pPr>
        <w:pStyle w:val="Text2"/>
        <w:spacing w:line="240" w:lineRule="auto"/>
        <w:ind w:left="0"/>
        <w:rPr>
          <w:noProof/>
        </w:rPr>
      </w:pPr>
      <w:r w:rsidRPr="00DE264C">
        <w:rPr>
          <w:b/>
          <w:bCs/>
          <w:noProof/>
        </w:rPr>
        <w:t>Economic</w:t>
      </w:r>
      <w:r w:rsidR="007B73D9" w:rsidRPr="00DE264C">
        <w:rPr>
          <w:b/>
          <w:bCs/>
          <w:noProof/>
        </w:rPr>
        <w:t xml:space="preserve">: </w:t>
      </w:r>
      <w:r w:rsidR="00D16662" w:rsidRPr="00DE264C">
        <w:rPr>
          <w:noProof/>
        </w:rPr>
        <w:t>This o</w:t>
      </w:r>
      <w:r w:rsidR="008B3935" w:rsidRPr="00DE264C">
        <w:rPr>
          <w:noProof/>
        </w:rPr>
        <w:t xml:space="preserve">ption results in </w:t>
      </w:r>
      <w:r w:rsidR="004E263E" w:rsidRPr="00DE264C">
        <w:rPr>
          <w:noProof/>
        </w:rPr>
        <w:t xml:space="preserve">a </w:t>
      </w:r>
      <w:r w:rsidR="0057662A" w:rsidRPr="00DE264C">
        <w:rPr>
          <w:noProof/>
        </w:rPr>
        <w:t>relatively</w:t>
      </w:r>
      <w:r w:rsidR="008B3935" w:rsidRPr="00DE264C">
        <w:rPr>
          <w:noProof/>
        </w:rPr>
        <w:t xml:space="preserve"> </w:t>
      </w:r>
      <w:r w:rsidR="004E263E" w:rsidRPr="00DE264C">
        <w:rPr>
          <w:noProof/>
        </w:rPr>
        <w:t xml:space="preserve">low increase in GDP </w:t>
      </w:r>
      <w:r w:rsidR="00D16662" w:rsidRPr="00DE264C">
        <w:rPr>
          <w:noProof/>
        </w:rPr>
        <w:t>of EUR 1</w:t>
      </w:r>
      <w:r w:rsidR="00577A9F">
        <w:rPr>
          <w:noProof/>
        </w:rPr>
        <w:t>44</w:t>
      </w:r>
      <w:r w:rsidR="00D16662" w:rsidRPr="00DE264C">
        <w:rPr>
          <w:noProof/>
        </w:rPr>
        <w:t xml:space="preserve"> billion </w:t>
      </w:r>
      <w:r w:rsidR="00A01084" w:rsidRPr="00DE264C">
        <w:rPr>
          <w:noProof/>
        </w:rPr>
        <w:t xml:space="preserve">(compared to </w:t>
      </w:r>
      <w:r w:rsidR="00A019A5" w:rsidRPr="00DE264C">
        <w:rPr>
          <w:noProof/>
        </w:rPr>
        <w:t>baseline</w:t>
      </w:r>
      <w:r w:rsidR="00A01084" w:rsidRPr="00DE264C">
        <w:rPr>
          <w:noProof/>
        </w:rPr>
        <w:t>).</w:t>
      </w:r>
      <w:r w:rsidR="004E263E" w:rsidRPr="00DE264C">
        <w:rPr>
          <w:noProof/>
        </w:rPr>
        <w:t xml:space="preserve"> </w:t>
      </w:r>
    </w:p>
    <w:p w14:paraId="64BD07BD" w14:textId="3F333200" w:rsidR="00CB6DDF" w:rsidRPr="00DE264C" w:rsidRDefault="00CB6DDF" w:rsidP="00023AFB">
      <w:pPr>
        <w:pStyle w:val="Text2"/>
        <w:spacing w:line="240" w:lineRule="auto"/>
        <w:ind w:left="0"/>
        <w:rPr>
          <w:b/>
          <w:bCs/>
          <w:noProof/>
        </w:rPr>
      </w:pPr>
      <w:r w:rsidRPr="00DE264C">
        <w:rPr>
          <w:b/>
          <w:bCs/>
          <w:noProof/>
        </w:rPr>
        <w:t>Environmental</w:t>
      </w:r>
      <w:r w:rsidR="007B73D9" w:rsidRPr="00DE264C">
        <w:rPr>
          <w:b/>
          <w:bCs/>
          <w:noProof/>
        </w:rPr>
        <w:t>:</w:t>
      </w:r>
      <w:r w:rsidR="007B73D9" w:rsidRPr="00DE264C">
        <w:rPr>
          <w:noProof/>
        </w:rPr>
        <w:t xml:space="preserve"> </w:t>
      </w:r>
      <w:r w:rsidR="00D16662" w:rsidRPr="00DE264C">
        <w:rPr>
          <w:noProof/>
        </w:rPr>
        <w:t>This o</w:t>
      </w:r>
      <w:r w:rsidR="00E17116" w:rsidRPr="00DE264C">
        <w:rPr>
          <w:noProof/>
        </w:rPr>
        <w:t xml:space="preserve">ption results in a </w:t>
      </w:r>
      <w:r w:rsidR="001B4DBE" w:rsidRPr="00DE264C">
        <w:rPr>
          <w:noProof/>
        </w:rPr>
        <w:t>small</w:t>
      </w:r>
      <w:r w:rsidR="00176C05" w:rsidRPr="00DE264C">
        <w:rPr>
          <w:noProof/>
        </w:rPr>
        <w:t xml:space="preserve"> decrease</w:t>
      </w:r>
      <w:r w:rsidR="00E17116" w:rsidRPr="00DE264C">
        <w:rPr>
          <w:noProof/>
        </w:rPr>
        <w:t xml:space="preserve"> </w:t>
      </w:r>
      <w:r w:rsidR="00686EE2" w:rsidRPr="00DE264C">
        <w:rPr>
          <w:noProof/>
        </w:rPr>
        <w:t>(0.</w:t>
      </w:r>
      <w:r w:rsidR="00A6251E" w:rsidRPr="00DE264C">
        <w:rPr>
          <w:noProof/>
        </w:rPr>
        <w:t>7</w:t>
      </w:r>
      <w:r w:rsidR="00686EE2" w:rsidRPr="00DE264C">
        <w:rPr>
          <w:noProof/>
        </w:rPr>
        <w:t>%)</w:t>
      </w:r>
      <w:r w:rsidR="00C73139">
        <w:rPr>
          <w:noProof/>
        </w:rPr>
        <w:t xml:space="preserve">, corresponding to </w:t>
      </w:r>
      <w:r w:rsidR="00623952">
        <w:rPr>
          <w:noProof/>
        </w:rPr>
        <w:t>EUR </w:t>
      </w:r>
      <w:r w:rsidR="00461010">
        <w:rPr>
          <w:noProof/>
        </w:rPr>
        <w:t>0.</w:t>
      </w:r>
      <w:r w:rsidR="00497D57">
        <w:rPr>
          <w:noProof/>
        </w:rPr>
        <w:t>08</w:t>
      </w:r>
      <w:r w:rsidR="00461010">
        <w:rPr>
          <w:noProof/>
        </w:rPr>
        <w:t xml:space="preserve"> billion,</w:t>
      </w:r>
      <w:r w:rsidR="00686EE2" w:rsidRPr="00DE264C">
        <w:rPr>
          <w:noProof/>
        </w:rPr>
        <w:t xml:space="preserve"> </w:t>
      </w:r>
      <w:r w:rsidR="00E17116" w:rsidRPr="00DE264C">
        <w:rPr>
          <w:noProof/>
        </w:rPr>
        <w:t xml:space="preserve">in </w:t>
      </w:r>
      <w:r w:rsidR="00176C05" w:rsidRPr="00DE264C">
        <w:rPr>
          <w:noProof/>
        </w:rPr>
        <w:t>CO2 emission</w:t>
      </w:r>
      <w:r w:rsidR="00E17116" w:rsidRPr="00DE264C">
        <w:rPr>
          <w:noProof/>
        </w:rPr>
        <w:t xml:space="preserve"> (compared to </w:t>
      </w:r>
      <w:r w:rsidR="008966B4" w:rsidRPr="00DE264C">
        <w:rPr>
          <w:noProof/>
        </w:rPr>
        <w:t>baseline</w:t>
      </w:r>
      <w:r w:rsidR="00E17116" w:rsidRPr="00DE264C">
        <w:rPr>
          <w:noProof/>
        </w:rPr>
        <w:t>)</w:t>
      </w:r>
      <w:r w:rsidR="00AA7070" w:rsidRPr="00DE264C">
        <w:rPr>
          <w:noProof/>
        </w:rPr>
        <w:t xml:space="preserve"> over the period 2025-2035</w:t>
      </w:r>
      <w:r w:rsidR="00E17116" w:rsidRPr="00DE264C">
        <w:rPr>
          <w:noProof/>
        </w:rPr>
        <w:t xml:space="preserve">. </w:t>
      </w:r>
    </w:p>
    <w:p w14:paraId="408C68E5" w14:textId="3A9AFDE6" w:rsidR="00D07D4B" w:rsidRPr="00292895" w:rsidRDefault="00E2087D" w:rsidP="00023AFB">
      <w:pPr>
        <w:pStyle w:val="Text2"/>
        <w:spacing w:line="240" w:lineRule="auto"/>
        <w:ind w:left="0"/>
        <w:rPr>
          <w:noProof/>
          <w:lang w:val="en-IE"/>
        </w:rPr>
      </w:pPr>
      <w:r w:rsidRPr="00DE264C">
        <w:rPr>
          <w:b/>
          <w:bCs/>
          <w:noProof/>
        </w:rPr>
        <w:t>Societal</w:t>
      </w:r>
      <w:r w:rsidR="007B73D9" w:rsidRPr="00DE264C">
        <w:rPr>
          <w:b/>
          <w:bCs/>
          <w:noProof/>
        </w:rPr>
        <w:t xml:space="preserve">: </w:t>
      </w:r>
      <w:r w:rsidR="005574A8" w:rsidRPr="00DE264C">
        <w:rPr>
          <w:noProof/>
        </w:rPr>
        <w:t xml:space="preserve">Due to </w:t>
      </w:r>
      <w:r w:rsidR="0007278A" w:rsidRPr="00DE264C">
        <w:rPr>
          <w:noProof/>
        </w:rPr>
        <w:t xml:space="preserve">the </w:t>
      </w:r>
      <w:r w:rsidR="005574A8" w:rsidRPr="00DE264C">
        <w:rPr>
          <w:noProof/>
        </w:rPr>
        <w:t>non-binding nature</w:t>
      </w:r>
      <w:r w:rsidR="0007278A" w:rsidRPr="00DE264C">
        <w:rPr>
          <w:noProof/>
        </w:rPr>
        <w:t xml:space="preserve"> of the </w:t>
      </w:r>
      <w:r w:rsidR="004B3A47" w:rsidRPr="00DE264C">
        <w:rPr>
          <w:noProof/>
        </w:rPr>
        <w:t>copper switch-off</w:t>
      </w:r>
      <w:r w:rsidR="005574A8" w:rsidRPr="00DE264C">
        <w:rPr>
          <w:noProof/>
        </w:rPr>
        <w:t xml:space="preserve">, this option interferes only minimally with copper network operators’ </w:t>
      </w:r>
      <w:r w:rsidR="00CE378F" w:rsidRPr="00DE264C">
        <w:rPr>
          <w:noProof/>
        </w:rPr>
        <w:t>commer</w:t>
      </w:r>
      <w:r w:rsidR="002B21A7" w:rsidRPr="00DE264C">
        <w:rPr>
          <w:noProof/>
        </w:rPr>
        <w:t xml:space="preserve">cial </w:t>
      </w:r>
      <w:r w:rsidR="005574A8" w:rsidRPr="00DE264C">
        <w:rPr>
          <w:noProof/>
        </w:rPr>
        <w:t>freedom to operate or to switch off their network.</w:t>
      </w:r>
      <w:r w:rsidR="007C18ED">
        <w:rPr>
          <w:noProof/>
        </w:rPr>
        <w:t xml:space="preserve"> </w:t>
      </w:r>
      <w:r w:rsidR="00066087" w:rsidRPr="00232B57">
        <w:rPr>
          <w:noProof/>
        </w:rPr>
        <w:t>This o</w:t>
      </w:r>
      <w:r w:rsidR="00D07D4B" w:rsidRPr="00232B57">
        <w:rPr>
          <w:noProof/>
          <w:lang w:val="en-IE"/>
        </w:rPr>
        <w:t xml:space="preserve">ption would </w:t>
      </w:r>
      <w:r w:rsidR="003E37ED" w:rsidRPr="00232B57">
        <w:rPr>
          <w:noProof/>
        </w:rPr>
        <w:t>achieve</w:t>
      </w:r>
      <w:r w:rsidR="00D07D4B" w:rsidRPr="00232B57">
        <w:rPr>
          <w:noProof/>
          <w:lang w:val="en-IE"/>
        </w:rPr>
        <w:t xml:space="preserve"> only incremental improvements to the technology mix</w:t>
      </w:r>
      <w:r w:rsidR="00334D8A" w:rsidRPr="00232B57">
        <w:rPr>
          <w:noProof/>
        </w:rPr>
        <w:t xml:space="preserve"> </w:t>
      </w:r>
      <w:r w:rsidR="003E7704" w:rsidRPr="00232B57">
        <w:rPr>
          <w:noProof/>
        </w:rPr>
        <w:t xml:space="preserve">but also avoid </w:t>
      </w:r>
      <w:r w:rsidR="007402D3" w:rsidRPr="00232B57">
        <w:rPr>
          <w:noProof/>
        </w:rPr>
        <w:t xml:space="preserve">market </w:t>
      </w:r>
      <w:r w:rsidR="00D07D4B" w:rsidRPr="00232B57">
        <w:rPr>
          <w:noProof/>
          <w:lang w:val="en-IE"/>
        </w:rPr>
        <w:t>disruption</w:t>
      </w:r>
      <w:r w:rsidR="008C790E" w:rsidRPr="00232B57">
        <w:rPr>
          <w:noProof/>
        </w:rPr>
        <w:t>s</w:t>
      </w:r>
      <w:r w:rsidR="00D07D4B" w:rsidRPr="00232B57">
        <w:rPr>
          <w:noProof/>
          <w:lang w:val="en-IE"/>
        </w:rPr>
        <w:t xml:space="preserve"> </w:t>
      </w:r>
      <w:r w:rsidR="008C790E" w:rsidRPr="00232B57">
        <w:rPr>
          <w:noProof/>
        </w:rPr>
        <w:t xml:space="preserve">thus </w:t>
      </w:r>
      <w:r w:rsidR="63110CEC" w:rsidRPr="00232B57">
        <w:rPr>
          <w:noProof/>
        </w:rPr>
        <w:t>it is unlikely to have negative so</w:t>
      </w:r>
      <w:r w:rsidR="7FA775EA" w:rsidRPr="00232B57">
        <w:rPr>
          <w:noProof/>
        </w:rPr>
        <w:t>c</w:t>
      </w:r>
      <w:r w:rsidR="63110CEC" w:rsidRPr="00232B57">
        <w:rPr>
          <w:noProof/>
        </w:rPr>
        <w:t xml:space="preserve">ietal impacts and, in particular, </w:t>
      </w:r>
      <w:r w:rsidR="00FA289D" w:rsidRPr="00232B57">
        <w:rPr>
          <w:noProof/>
        </w:rPr>
        <w:t>no</w:t>
      </w:r>
      <w:r w:rsidR="00D07D4B" w:rsidRPr="00232B57">
        <w:rPr>
          <w:noProof/>
          <w:lang w:val="en-IE"/>
        </w:rPr>
        <w:t xml:space="preserve"> impact on vulnerable consumer groups </w:t>
      </w:r>
      <w:r w:rsidR="00FA289D" w:rsidRPr="00232B57">
        <w:rPr>
          <w:noProof/>
        </w:rPr>
        <w:t>is expected</w:t>
      </w:r>
      <w:r w:rsidR="00D07D4B" w:rsidRPr="00232B57">
        <w:rPr>
          <w:noProof/>
          <w:lang w:val="en-IE"/>
        </w:rPr>
        <w:t xml:space="preserve">. </w:t>
      </w:r>
    </w:p>
    <w:p w14:paraId="42ED387B" w14:textId="670B4601" w:rsidR="00A139A6" w:rsidRPr="00DE264C" w:rsidRDefault="004003C9" w:rsidP="00544AB5">
      <w:pPr>
        <w:pStyle w:val="Heading3"/>
        <w:tabs>
          <w:tab w:val="num" w:pos="720"/>
          <w:tab w:val="num" w:pos="7088"/>
        </w:tabs>
        <w:ind w:left="130" w:firstLine="0"/>
        <w:rPr>
          <w:noProof/>
        </w:rPr>
      </w:pPr>
      <w:bookmarkStart w:id="261" w:name="_Toc215083757"/>
      <w:bookmarkStart w:id="262" w:name="_Toc215083787"/>
      <w:bookmarkStart w:id="263" w:name="_Toc219212523"/>
      <w:bookmarkStart w:id="264" w:name="_Toc219718178"/>
      <w:bookmarkStart w:id="265" w:name="_Toc214467734"/>
      <w:r w:rsidRPr="00DE264C">
        <w:rPr>
          <w:noProof/>
        </w:rPr>
        <w:t xml:space="preserve">Option 2: </w:t>
      </w:r>
      <w:r w:rsidR="00D5183C" w:rsidRPr="00DE264C">
        <w:rPr>
          <w:noProof/>
        </w:rPr>
        <w:t xml:space="preserve">Conditional </w:t>
      </w:r>
      <w:r w:rsidR="00AF0978">
        <w:rPr>
          <w:noProof/>
        </w:rPr>
        <w:t>copper switch-off</w:t>
      </w:r>
      <w:r w:rsidR="00AF0978" w:rsidRPr="00DE264C">
        <w:rPr>
          <w:noProof/>
        </w:rPr>
        <w:t xml:space="preserve"> </w:t>
      </w:r>
      <w:r w:rsidR="00D5183C" w:rsidRPr="00DE264C">
        <w:rPr>
          <w:noProof/>
        </w:rPr>
        <w:t>and updated access regulation</w:t>
      </w:r>
      <w:bookmarkEnd w:id="261"/>
      <w:bookmarkEnd w:id="262"/>
      <w:bookmarkEnd w:id="263"/>
      <w:bookmarkEnd w:id="264"/>
      <w:r w:rsidR="00D5183C" w:rsidRPr="00DE264C" w:rsidDel="00D5183C">
        <w:rPr>
          <w:noProof/>
        </w:rPr>
        <w:t xml:space="preserve"> </w:t>
      </w:r>
      <w:bookmarkEnd w:id="265"/>
    </w:p>
    <w:p w14:paraId="5F0858D5" w14:textId="06E83998" w:rsidR="005F4B09" w:rsidRPr="00DE264C" w:rsidRDefault="00DA4147" w:rsidP="00023AFB">
      <w:pPr>
        <w:pStyle w:val="Text2"/>
        <w:spacing w:line="240" w:lineRule="auto"/>
        <w:ind w:left="0"/>
        <w:rPr>
          <w:noProof/>
        </w:rPr>
      </w:pPr>
      <w:r w:rsidRPr="00DE264C">
        <w:rPr>
          <w:b/>
          <w:bCs/>
          <w:noProof/>
        </w:rPr>
        <w:t>Economic</w:t>
      </w:r>
      <w:r w:rsidR="007B73D9" w:rsidRPr="00DE264C">
        <w:rPr>
          <w:b/>
          <w:bCs/>
          <w:noProof/>
        </w:rPr>
        <w:t xml:space="preserve">: </w:t>
      </w:r>
      <w:r w:rsidR="00741761" w:rsidRPr="00DE264C">
        <w:rPr>
          <w:noProof/>
        </w:rPr>
        <w:t>This o</w:t>
      </w:r>
      <w:r w:rsidR="00AF3EB0" w:rsidRPr="00DE264C">
        <w:rPr>
          <w:noProof/>
        </w:rPr>
        <w:t xml:space="preserve">ption </w:t>
      </w:r>
      <w:r w:rsidR="00EC0E2D" w:rsidRPr="00DE264C">
        <w:rPr>
          <w:noProof/>
        </w:rPr>
        <w:t>results in</w:t>
      </w:r>
      <w:r w:rsidR="00AF3EB0" w:rsidRPr="00DE264C">
        <w:rPr>
          <w:noProof/>
        </w:rPr>
        <w:t xml:space="preserve"> t</w:t>
      </w:r>
      <w:r w:rsidR="005F4B09" w:rsidRPr="00DE264C">
        <w:rPr>
          <w:noProof/>
        </w:rPr>
        <w:t xml:space="preserve">he highest GDP </w:t>
      </w:r>
      <w:r w:rsidR="00AF7CC7" w:rsidRPr="00DE264C">
        <w:rPr>
          <w:noProof/>
        </w:rPr>
        <w:t xml:space="preserve">impact </w:t>
      </w:r>
      <w:r w:rsidR="00EC0E2D" w:rsidRPr="00DE264C">
        <w:rPr>
          <w:noProof/>
        </w:rPr>
        <w:t xml:space="preserve">with </w:t>
      </w:r>
      <w:r w:rsidR="008C4B8F" w:rsidRPr="00DE264C">
        <w:rPr>
          <w:noProof/>
        </w:rPr>
        <w:t xml:space="preserve">an increase in </w:t>
      </w:r>
      <w:r w:rsidR="005F4B09" w:rsidRPr="00DE264C">
        <w:rPr>
          <w:noProof/>
        </w:rPr>
        <w:t xml:space="preserve">accumulated GDP </w:t>
      </w:r>
      <w:r w:rsidR="008C4B8F" w:rsidRPr="00DE264C">
        <w:rPr>
          <w:noProof/>
        </w:rPr>
        <w:t>of</w:t>
      </w:r>
      <w:r w:rsidR="005F4B09" w:rsidRPr="00DE264C">
        <w:rPr>
          <w:noProof/>
        </w:rPr>
        <w:t xml:space="preserve"> EUR </w:t>
      </w:r>
      <w:r w:rsidR="008661C9">
        <w:rPr>
          <w:noProof/>
        </w:rPr>
        <w:t>327</w:t>
      </w:r>
      <w:r w:rsidR="008661C9" w:rsidRPr="00DE264C">
        <w:rPr>
          <w:noProof/>
        </w:rPr>
        <w:t> </w:t>
      </w:r>
      <w:r w:rsidR="005F4B09" w:rsidRPr="00DE264C">
        <w:rPr>
          <w:noProof/>
        </w:rPr>
        <w:t>billion</w:t>
      </w:r>
      <w:r w:rsidR="00794BCB" w:rsidRPr="00DE264C">
        <w:rPr>
          <w:noProof/>
        </w:rPr>
        <w:t xml:space="preserve"> (compared to </w:t>
      </w:r>
      <w:r w:rsidR="009F128A" w:rsidRPr="00DE264C">
        <w:rPr>
          <w:noProof/>
        </w:rPr>
        <w:t>baseline</w:t>
      </w:r>
      <w:r w:rsidR="00794BCB" w:rsidRPr="00DE264C">
        <w:rPr>
          <w:noProof/>
        </w:rPr>
        <w:t>)</w:t>
      </w:r>
      <w:r w:rsidR="005F4B09" w:rsidRPr="00DE264C">
        <w:rPr>
          <w:noProof/>
        </w:rPr>
        <w:t>.</w:t>
      </w:r>
      <w:r w:rsidR="00AF2121" w:rsidRPr="00DE264C">
        <w:rPr>
          <w:noProof/>
        </w:rPr>
        <w:t xml:space="preserve"> It </w:t>
      </w:r>
      <w:r w:rsidR="00C61A12" w:rsidRPr="00DE264C">
        <w:rPr>
          <w:noProof/>
        </w:rPr>
        <w:t xml:space="preserve">delivers </w:t>
      </w:r>
      <w:r w:rsidR="00B206CF" w:rsidRPr="00DE264C">
        <w:rPr>
          <w:noProof/>
        </w:rPr>
        <w:t>the highest</w:t>
      </w:r>
      <w:r w:rsidR="00884BD4" w:rsidRPr="00DE264C">
        <w:rPr>
          <w:noProof/>
        </w:rPr>
        <w:t xml:space="preserve"> coverage </w:t>
      </w:r>
      <w:r w:rsidR="00D25AED" w:rsidRPr="00DE264C">
        <w:rPr>
          <w:noProof/>
        </w:rPr>
        <w:t>(</w:t>
      </w:r>
      <w:r w:rsidR="001C03CC" w:rsidRPr="00DE264C">
        <w:rPr>
          <w:noProof/>
        </w:rPr>
        <w:t>together with</w:t>
      </w:r>
      <w:r w:rsidR="003334D1" w:rsidRPr="00DE264C">
        <w:rPr>
          <w:noProof/>
        </w:rPr>
        <w:t xml:space="preserve"> </w:t>
      </w:r>
      <w:r w:rsidR="00411D61">
        <w:rPr>
          <w:noProof/>
        </w:rPr>
        <w:t>o</w:t>
      </w:r>
      <w:r w:rsidR="003334D1" w:rsidRPr="00DE264C">
        <w:rPr>
          <w:noProof/>
        </w:rPr>
        <w:t xml:space="preserve">ption 4) </w:t>
      </w:r>
      <w:r w:rsidR="00884BD4" w:rsidRPr="00DE264C">
        <w:rPr>
          <w:noProof/>
        </w:rPr>
        <w:t xml:space="preserve">and </w:t>
      </w:r>
      <w:r w:rsidR="001C03CC" w:rsidRPr="00DE264C">
        <w:rPr>
          <w:noProof/>
        </w:rPr>
        <w:t xml:space="preserve">the second highest </w:t>
      </w:r>
      <w:r w:rsidR="00884BD4" w:rsidRPr="00DE264C">
        <w:rPr>
          <w:noProof/>
        </w:rPr>
        <w:t>take up in longer run.</w:t>
      </w:r>
      <w:r w:rsidR="00B206CF" w:rsidRPr="00DE264C">
        <w:rPr>
          <w:noProof/>
        </w:rPr>
        <w:t xml:space="preserve"> </w:t>
      </w:r>
    </w:p>
    <w:p w14:paraId="64029995" w14:textId="034DF974" w:rsidR="00DA49F8" w:rsidRPr="00DE264C" w:rsidRDefault="007C08F0" w:rsidP="00023AFB">
      <w:pPr>
        <w:pStyle w:val="Text2"/>
        <w:spacing w:line="240" w:lineRule="auto"/>
        <w:ind w:left="0"/>
        <w:rPr>
          <w:b/>
          <w:bCs/>
          <w:noProof/>
        </w:rPr>
      </w:pPr>
      <w:r w:rsidRPr="00DE264C">
        <w:rPr>
          <w:b/>
          <w:bCs/>
          <w:noProof/>
        </w:rPr>
        <w:t>Environmental</w:t>
      </w:r>
      <w:r w:rsidR="007B73D9" w:rsidRPr="00DE264C">
        <w:rPr>
          <w:b/>
          <w:bCs/>
          <w:noProof/>
        </w:rPr>
        <w:t xml:space="preserve">: </w:t>
      </w:r>
      <w:r w:rsidR="00170458" w:rsidRPr="00DE264C">
        <w:rPr>
          <w:noProof/>
        </w:rPr>
        <w:t>This o</w:t>
      </w:r>
      <w:r w:rsidR="00DA49F8" w:rsidRPr="00DE264C">
        <w:rPr>
          <w:noProof/>
        </w:rPr>
        <w:t xml:space="preserve">ption results in a </w:t>
      </w:r>
      <w:r w:rsidR="0087356B">
        <w:rPr>
          <w:noProof/>
        </w:rPr>
        <w:t>5.1</w:t>
      </w:r>
      <w:r w:rsidR="00DA49F8" w:rsidRPr="00DE264C">
        <w:rPr>
          <w:noProof/>
        </w:rPr>
        <w:t xml:space="preserve">% </w:t>
      </w:r>
      <w:r w:rsidR="002D2608">
        <w:rPr>
          <w:noProof/>
        </w:rPr>
        <w:t>(</w:t>
      </w:r>
      <w:r w:rsidR="00023AFB">
        <w:rPr>
          <w:noProof/>
          <w:lang w:val="en-IE"/>
        </w:rPr>
        <w:t>EUR</w:t>
      </w:r>
      <w:r w:rsidR="00641091">
        <w:rPr>
          <w:noProof/>
          <w:lang w:val="en-IE"/>
        </w:rPr>
        <w:t> </w:t>
      </w:r>
      <w:r w:rsidR="002D2608">
        <w:rPr>
          <w:noProof/>
        </w:rPr>
        <w:t>0.5</w:t>
      </w:r>
      <w:r w:rsidR="0087356B">
        <w:rPr>
          <w:noProof/>
        </w:rPr>
        <w:t>6</w:t>
      </w:r>
      <w:r w:rsidR="00A907F2">
        <w:rPr>
          <w:noProof/>
        </w:rPr>
        <w:t> </w:t>
      </w:r>
      <w:r w:rsidR="002D2608">
        <w:rPr>
          <w:noProof/>
        </w:rPr>
        <w:t xml:space="preserve">billion) </w:t>
      </w:r>
      <w:r w:rsidR="00DA49F8" w:rsidRPr="00DE264C">
        <w:rPr>
          <w:noProof/>
        </w:rPr>
        <w:t xml:space="preserve">decrease in CO2 emission (compared to </w:t>
      </w:r>
      <w:r w:rsidR="00D631F3" w:rsidRPr="00DE264C">
        <w:rPr>
          <w:noProof/>
        </w:rPr>
        <w:t>baseline</w:t>
      </w:r>
      <w:r w:rsidR="00DA49F8" w:rsidRPr="00DE264C">
        <w:rPr>
          <w:noProof/>
        </w:rPr>
        <w:t xml:space="preserve">) over the period 2025-2035. </w:t>
      </w:r>
    </w:p>
    <w:p w14:paraId="5001A53D" w14:textId="616782F9" w:rsidR="00D4562B" w:rsidRPr="00DE264C" w:rsidRDefault="00DA4147" w:rsidP="00023AFB">
      <w:pPr>
        <w:pStyle w:val="Text2"/>
        <w:spacing w:line="240" w:lineRule="auto"/>
        <w:ind w:left="0"/>
        <w:rPr>
          <w:noProof/>
        </w:rPr>
      </w:pPr>
      <w:r w:rsidRPr="00DE264C">
        <w:rPr>
          <w:b/>
          <w:bCs/>
          <w:noProof/>
        </w:rPr>
        <w:t>Societal</w:t>
      </w:r>
      <w:r w:rsidR="007B73D9" w:rsidRPr="00DE264C">
        <w:rPr>
          <w:b/>
          <w:bCs/>
          <w:noProof/>
        </w:rPr>
        <w:t xml:space="preserve">: </w:t>
      </w:r>
      <w:r w:rsidR="00D631F3" w:rsidRPr="00DE264C">
        <w:rPr>
          <w:noProof/>
        </w:rPr>
        <w:t>Th</w:t>
      </w:r>
      <w:r w:rsidR="00C405C2" w:rsidRPr="00DE264C">
        <w:rPr>
          <w:noProof/>
        </w:rPr>
        <w:t xml:space="preserve">e mandatory </w:t>
      </w:r>
      <w:r w:rsidR="00B9181F" w:rsidRPr="00DE264C">
        <w:rPr>
          <w:noProof/>
        </w:rPr>
        <w:t>copper</w:t>
      </w:r>
      <w:r w:rsidR="00324335" w:rsidRPr="00DE264C">
        <w:rPr>
          <w:noProof/>
        </w:rPr>
        <w:t xml:space="preserve"> switch</w:t>
      </w:r>
      <w:r w:rsidR="00B9181F" w:rsidRPr="00DE264C">
        <w:rPr>
          <w:noProof/>
        </w:rPr>
        <w:t>-</w:t>
      </w:r>
      <w:r w:rsidR="00324335" w:rsidRPr="00DE264C">
        <w:rPr>
          <w:noProof/>
        </w:rPr>
        <w:t>off</w:t>
      </w:r>
      <w:r w:rsidR="436BE436">
        <w:rPr>
          <w:noProof/>
        </w:rPr>
        <w:t>, subject to conditions,</w:t>
      </w:r>
      <w:r w:rsidR="00324335" w:rsidRPr="00DE264C">
        <w:rPr>
          <w:noProof/>
        </w:rPr>
        <w:t xml:space="preserve"> </w:t>
      </w:r>
      <w:r w:rsidR="004560C1" w:rsidRPr="00DE264C">
        <w:rPr>
          <w:noProof/>
        </w:rPr>
        <w:t>represents</w:t>
      </w:r>
      <w:r w:rsidR="003B6ACE" w:rsidRPr="00DE264C">
        <w:rPr>
          <w:noProof/>
        </w:rPr>
        <w:t xml:space="preserve"> a</w:t>
      </w:r>
      <w:r w:rsidR="00847B52" w:rsidRPr="00DE264C">
        <w:rPr>
          <w:noProof/>
        </w:rPr>
        <w:t xml:space="preserve"> restrict</w:t>
      </w:r>
      <w:r w:rsidR="003B6ACE" w:rsidRPr="00DE264C">
        <w:rPr>
          <w:noProof/>
        </w:rPr>
        <w:t>ion to</w:t>
      </w:r>
      <w:bookmarkStart w:id="266" w:name="_Hlk209433916"/>
      <w:r w:rsidR="00847B52" w:rsidRPr="00DE264C">
        <w:rPr>
          <w:noProof/>
        </w:rPr>
        <w:t xml:space="preserve"> the “freedom to conduct a business” </w:t>
      </w:r>
      <w:bookmarkEnd w:id="266"/>
      <w:r w:rsidR="00847B52" w:rsidRPr="00DE264C">
        <w:rPr>
          <w:noProof/>
        </w:rPr>
        <w:t>enshrined in Article</w:t>
      </w:r>
      <w:r w:rsidR="00A907F2">
        <w:rPr>
          <w:noProof/>
        </w:rPr>
        <w:t> </w:t>
      </w:r>
      <w:r w:rsidR="00847B52" w:rsidRPr="00DE264C">
        <w:rPr>
          <w:noProof/>
        </w:rPr>
        <w:t xml:space="preserve">16 of the EU Charter of Fundamental Rights. </w:t>
      </w:r>
      <w:r w:rsidR="5162673E" w:rsidRPr="00DE264C">
        <w:rPr>
          <w:noProof/>
        </w:rPr>
        <w:t>L</w:t>
      </w:r>
      <w:r w:rsidR="00847B52" w:rsidRPr="00DE264C">
        <w:rPr>
          <w:noProof/>
        </w:rPr>
        <w:t xml:space="preserve">imitations of this freedom are possible </w:t>
      </w:r>
      <w:r w:rsidR="51F6C4D2" w:rsidRPr="00DE264C">
        <w:rPr>
          <w:noProof/>
        </w:rPr>
        <w:t>if</w:t>
      </w:r>
      <w:r w:rsidR="5281FD4D" w:rsidRPr="00DE264C">
        <w:rPr>
          <w:noProof/>
        </w:rPr>
        <w:t xml:space="preserve"> they are found to be </w:t>
      </w:r>
      <w:r w:rsidR="4D128847" w:rsidRPr="00DE264C">
        <w:rPr>
          <w:noProof/>
        </w:rPr>
        <w:t>necessary to achieve a</w:t>
      </w:r>
      <w:r w:rsidR="51F6C4D2" w:rsidRPr="00DE264C">
        <w:rPr>
          <w:noProof/>
        </w:rPr>
        <w:t xml:space="preserve"> </w:t>
      </w:r>
      <w:r w:rsidR="69E9F5AA" w:rsidRPr="00DE264C">
        <w:rPr>
          <w:noProof/>
        </w:rPr>
        <w:t xml:space="preserve">recognised objective of </w:t>
      </w:r>
      <w:r w:rsidR="51F6C4D2" w:rsidRPr="00DE264C">
        <w:rPr>
          <w:noProof/>
        </w:rPr>
        <w:t>general interest</w:t>
      </w:r>
      <w:r w:rsidR="1B84035E" w:rsidRPr="00DE264C">
        <w:rPr>
          <w:noProof/>
        </w:rPr>
        <w:t>, but they</w:t>
      </w:r>
      <w:r w:rsidR="00847B52" w:rsidRPr="00DE264C">
        <w:rPr>
          <w:noProof/>
        </w:rPr>
        <w:t xml:space="preserve"> must be proportionate.</w:t>
      </w:r>
      <w:r w:rsidR="002248CC" w:rsidRPr="00DE264C">
        <w:rPr>
          <w:noProof/>
        </w:rPr>
        <w:t xml:space="preserve"> </w:t>
      </w:r>
      <w:r w:rsidR="000725D5" w:rsidRPr="00DE264C">
        <w:rPr>
          <w:noProof/>
        </w:rPr>
        <w:t>O</w:t>
      </w:r>
      <w:r w:rsidR="00324335" w:rsidRPr="00DE264C">
        <w:rPr>
          <w:noProof/>
        </w:rPr>
        <w:t>perators have been replacing parts of their copper networks with fibre based on their own business considerations</w:t>
      </w:r>
      <w:r w:rsidR="000725D5" w:rsidRPr="00DE264C">
        <w:rPr>
          <w:noProof/>
        </w:rPr>
        <w:t>. This</w:t>
      </w:r>
      <w:r w:rsidR="00324335" w:rsidRPr="00DE264C">
        <w:rPr>
          <w:noProof/>
        </w:rPr>
        <w:t xml:space="preserve"> indicates that copper switch-off is not contrary to their interests.</w:t>
      </w:r>
      <w:r w:rsidR="00036142" w:rsidRPr="00DE264C">
        <w:rPr>
          <w:noProof/>
        </w:rPr>
        <w:t xml:space="preserve"> </w:t>
      </w:r>
      <w:r w:rsidR="355DF3ED" w:rsidRPr="00DE264C">
        <w:rPr>
          <w:noProof/>
        </w:rPr>
        <w:t>D</w:t>
      </w:r>
      <w:r w:rsidR="16184421" w:rsidRPr="00DE264C">
        <w:rPr>
          <w:noProof/>
        </w:rPr>
        <w:t>ue to its</w:t>
      </w:r>
      <w:r w:rsidR="00D4562B" w:rsidRPr="00DE264C">
        <w:rPr>
          <w:noProof/>
        </w:rPr>
        <w:t xml:space="preserve"> </w:t>
      </w:r>
      <w:r w:rsidR="16184421" w:rsidRPr="00DE264C">
        <w:rPr>
          <w:noProof/>
        </w:rPr>
        <w:t>positive social, economic and environmental impact, this option seems in line with the principle of necessity.</w:t>
      </w:r>
      <w:r w:rsidR="00D4562B" w:rsidRPr="00DE264C">
        <w:rPr>
          <w:noProof/>
        </w:rPr>
        <w:t xml:space="preserve"> </w:t>
      </w:r>
      <w:r w:rsidR="16184421" w:rsidRPr="00DE264C">
        <w:rPr>
          <w:noProof/>
        </w:rPr>
        <w:t>In addition</w:t>
      </w:r>
      <w:r w:rsidR="00D4562B" w:rsidRPr="00DE264C">
        <w:rPr>
          <w:noProof/>
        </w:rPr>
        <w:t xml:space="preserve">, the </w:t>
      </w:r>
      <w:r w:rsidR="008F4AA7" w:rsidRPr="00DE264C">
        <w:rPr>
          <w:noProof/>
        </w:rPr>
        <w:t>sustainability c</w:t>
      </w:r>
      <w:r w:rsidR="00344B95" w:rsidRPr="00DE264C">
        <w:rPr>
          <w:noProof/>
        </w:rPr>
        <w:t xml:space="preserve">onditions </w:t>
      </w:r>
      <w:r w:rsidR="21D38BA7">
        <w:rPr>
          <w:noProof/>
        </w:rPr>
        <w:t xml:space="preserve">and the possibility to allow the continuation of copper network on a longer timeframe </w:t>
      </w:r>
      <w:r w:rsidR="00D4562B" w:rsidRPr="00DE264C">
        <w:rPr>
          <w:noProof/>
        </w:rPr>
        <w:t xml:space="preserve">ensure that this option respects the principle of proportionality. </w:t>
      </w:r>
    </w:p>
    <w:p w14:paraId="5A9373F9" w14:textId="30E945FE" w:rsidR="00D07D4B" w:rsidRPr="00292895" w:rsidRDefault="006564C3" w:rsidP="00023AFB">
      <w:pPr>
        <w:spacing w:line="240" w:lineRule="auto"/>
        <w:rPr>
          <w:noProof/>
          <w:lang w:val="en-IE"/>
        </w:rPr>
      </w:pPr>
      <w:r w:rsidRPr="00232B57">
        <w:rPr>
          <w:noProof/>
          <w:lang w:val="en-IE"/>
        </w:rPr>
        <w:t xml:space="preserve">Under </w:t>
      </w:r>
      <w:r w:rsidR="00274F59" w:rsidRPr="00232B57">
        <w:rPr>
          <w:noProof/>
        </w:rPr>
        <w:t>this o</w:t>
      </w:r>
      <w:r w:rsidRPr="00232B57">
        <w:rPr>
          <w:noProof/>
          <w:lang w:val="en-IE"/>
        </w:rPr>
        <w:t xml:space="preserve">ption, most </w:t>
      </w:r>
      <w:r w:rsidR="00641EDA" w:rsidRPr="00232B57">
        <w:rPr>
          <w:noProof/>
        </w:rPr>
        <w:t>end-users</w:t>
      </w:r>
      <w:r w:rsidRPr="00232B57">
        <w:rPr>
          <w:noProof/>
          <w:lang w:val="en-IE"/>
        </w:rPr>
        <w:t xml:space="preserve"> would migrate to FTTH, with associated improvements in service quality. </w:t>
      </w:r>
      <w:r w:rsidR="00F64D9F" w:rsidRPr="00232B57">
        <w:rPr>
          <w:noProof/>
        </w:rPr>
        <w:t>Some</w:t>
      </w:r>
      <w:r w:rsidRPr="00232B57">
        <w:rPr>
          <w:noProof/>
          <w:lang w:val="en-IE"/>
        </w:rPr>
        <w:t xml:space="preserve"> </w:t>
      </w:r>
      <w:r w:rsidR="001950F4" w:rsidRPr="00232B57">
        <w:rPr>
          <w:noProof/>
        </w:rPr>
        <w:t>end-users</w:t>
      </w:r>
      <w:r w:rsidR="00516AF9" w:rsidRPr="00232B57">
        <w:rPr>
          <w:noProof/>
        </w:rPr>
        <w:t xml:space="preserve"> </w:t>
      </w:r>
      <w:r w:rsidR="00F64D9F" w:rsidRPr="00232B57">
        <w:rPr>
          <w:noProof/>
        </w:rPr>
        <w:t>would</w:t>
      </w:r>
      <w:r w:rsidR="00516AF9" w:rsidRPr="00232B57">
        <w:rPr>
          <w:noProof/>
        </w:rPr>
        <w:t xml:space="preserve"> need </w:t>
      </w:r>
      <w:r w:rsidRPr="00232B57">
        <w:rPr>
          <w:noProof/>
          <w:lang w:val="en-IE"/>
        </w:rPr>
        <w:t xml:space="preserve">to </w:t>
      </w:r>
      <w:r w:rsidR="00D051A8" w:rsidRPr="00232B57">
        <w:rPr>
          <w:noProof/>
        </w:rPr>
        <w:t>migrate</w:t>
      </w:r>
      <w:r w:rsidRPr="00232B57">
        <w:rPr>
          <w:noProof/>
          <w:lang w:val="en-IE"/>
        </w:rPr>
        <w:t xml:space="preserve"> to wireless or mobile </w:t>
      </w:r>
      <w:r w:rsidR="000A4311" w:rsidRPr="00232B57">
        <w:rPr>
          <w:noProof/>
          <w:lang w:val="en-IE"/>
        </w:rPr>
        <w:t>alternatives,</w:t>
      </w:r>
      <w:r w:rsidR="009041E8" w:rsidRPr="00232B57">
        <w:rPr>
          <w:noProof/>
        </w:rPr>
        <w:t xml:space="preserve"> but </w:t>
      </w:r>
      <w:r w:rsidRPr="00232B57">
        <w:rPr>
          <w:noProof/>
        </w:rPr>
        <w:t xml:space="preserve">the </w:t>
      </w:r>
      <w:r w:rsidR="008E6C92" w:rsidRPr="00232B57">
        <w:rPr>
          <w:noProof/>
        </w:rPr>
        <w:t xml:space="preserve">sustainability </w:t>
      </w:r>
      <w:r w:rsidRPr="00232B57">
        <w:rPr>
          <w:noProof/>
        </w:rPr>
        <w:t>condition</w:t>
      </w:r>
      <w:r w:rsidR="008E6C92" w:rsidRPr="00232B57">
        <w:rPr>
          <w:noProof/>
        </w:rPr>
        <w:t>s</w:t>
      </w:r>
      <w:r w:rsidRPr="00232B57">
        <w:rPr>
          <w:noProof/>
        </w:rPr>
        <w:t xml:space="preserve"> </w:t>
      </w:r>
      <w:r w:rsidRPr="00232B57">
        <w:rPr>
          <w:noProof/>
          <w:lang w:val="en-IE"/>
        </w:rPr>
        <w:t xml:space="preserve">ensure that </w:t>
      </w:r>
      <w:r w:rsidR="00735E97" w:rsidRPr="00232B57">
        <w:rPr>
          <w:noProof/>
        </w:rPr>
        <w:t xml:space="preserve">the </w:t>
      </w:r>
      <w:r w:rsidR="008E229E" w:rsidRPr="00232B57">
        <w:rPr>
          <w:noProof/>
        </w:rPr>
        <w:t xml:space="preserve">overwhelming </w:t>
      </w:r>
      <w:r w:rsidR="00D76415" w:rsidRPr="00232B57">
        <w:rPr>
          <w:noProof/>
        </w:rPr>
        <w:t xml:space="preserve">majority of end-users (at least 95%) will benefit </w:t>
      </w:r>
      <w:r w:rsidR="00A8266D" w:rsidRPr="00232B57">
        <w:rPr>
          <w:noProof/>
        </w:rPr>
        <w:t>from improved</w:t>
      </w:r>
      <w:r w:rsidRPr="00232B57">
        <w:rPr>
          <w:noProof/>
          <w:lang w:val="en-IE"/>
        </w:rPr>
        <w:t xml:space="preserve"> </w:t>
      </w:r>
      <w:r w:rsidR="009721B8" w:rsidRPr="00232B57">
        <w:rPr>
          <w:noProof/>
        </w:rPr>
        <w:t xml:space="preserve">services </w:t>
      </w:r>
      <w:r w:rsidRPr="00232B57">
        <w:rPr>
          <w:noProof/>
          <w:lang w:val="en-IE"/>
        </w:rPr>
        <w:t xml:space="preserve">without </w:t>
      </w:r>
      <w:r w:rsidR="00727786" w:rsidRPr="00232B57">
        <w:rPr>
          <w:noProof/>
        </w:rPr>
        <w:t xml:space="preserve">(any significant) </w:t>
      </w:r>
      <w:r w:rsidRPr="00232B57">
        <w:rPr>
          <w:noProof/>
          <w:lang w:val="en-IE"/>
        </w:rPr>
        <w:t xml:space="preserve">price increases. </w:t>
      </w:r>
      <w:r w:rsidR="005411B3" w:rsidRPr="00232B57">
        <w:rPr>
          <w:noProof/>
        </w:rPr>
        <w:t xml:space="preserve">Further, </w:t>
      </w:r>
      <w:r w:rsidRPr="00232B57">
        <w:rPr>
          <w:noProof/>
          <w:lang w:val="en-IE"/>
        </w:rPr>
        <w:t xml:space="preserve">Member States would </w:t>
      </w:r>
      <w:r w:rsidR="005411B3" w:rsidRPr="00232B57">
        <w:rPr>
          <w:noProof/>
        </w:rPr>
        <w:t>remain</w:t>
      </w:r>
      <w:r w:rsidRPr="00232B57">
        <w:rPr>
          <w:noProof/>
          <w:lang w:val="en-IE"/>
        </w:rPr>
        <w:t xml:space="preserve"> responsible for ensuring that adequate broadband services </w:t>
      </w:r>
      <w:r w:rsidR="000C0161" w:rsidRPr="00232B57">
        <w:rPr>
          <w:noProof/>
        </w:rPr>
        <w:t>are</w:t>
      </w:r>
      <w:r w:rsidRPr="00232B57">
        <w:rPr>
          <w:noProof/>
          <w:lang w:val="en-IE"/>
        </w:rPr>
        <w:t xml:space="preserve"> available, using USO provisions where needed</w:t>
      </w:r>
      <w:r w:rsidR="4C12F9EE" w:rsidRPr="00232B57">
        <w:rPr>
          <w:noProof/>
        </w:rPr>
        <w:t xml:space="preserve">, and including also </w:t>
      </w:r>
      <w:r w:rsidR="08788C45" w:rsidRPr="00232B57">
        <w:rPr>
          <w:noProof/>
        </w:rPr>
        <w:t xml:space="preserve">other safeguards and </w:t>
      </w:r>
      <w:r w:rsidR="4C12F9EE" w:rsidRPr="00232B57">
        <w:rPr>
          <w:noProof/>
        </w:rPr>
        <w:t xml:space="preserve">coverage by alternative technologies in the areas where </w:t>
      </w:r>
      <w:r w:rsidR="00A75A56">
        <w:rPr>
          <w:noProof/>
        </w:rPr>
        <w:t>fibre</w:t>
      </w:r>
      <w:r w:rsidR="4C12F9EE" w:rsidRPr="00232B57">
        <w:rPr>
          <w:noProof/>
        </w:rPr>
        <w:t xml:space="preserve"> deployment is not viable aft</w:t>
      </w:r>
      <w:r w:rsidR="59221068" w:rsidRPr="00232B57">
        <w:rPr>
          <w:noProof/>
        </w:rPr>
        <w:t>e</w:t>
      </w:r>
      <w:r w:rsidR="4C12F9EE" w:rsidRPr="00232B57">
        <w:rPr>
          <w:noProof/>
        </w:rPr>
        <w:t>r 2035</w:t>
      </w:r>
      <w:r w:rsidRPr="00232B57">
        <w:rPr>
          <w:noProof/>
        </w:rPr>
        <w:t>.</w:t>
      </w:r>
      <w:r w:rsidRPr="00232B57">
        <w:rPr>
          <w:noProof/>
          <w:lang w:val="en-IE"/>
        </w:rPr>
        <w:t xml:space="preserve"> The risks for vulnerable consumers are present but </w:t>
      </w:r>
      <w:r w:rsidR="7825BC09" w:rsidRPr="00232B57">
        <w:rPr>
          <w:noProof/>
        </w:rPr>
        <w:t xml:space="preserve">significantly </w:t>
      </w:r>
      <w:r w:rsidRPr="00232B57">
        <w:rPr>
          <w:noProof/>
          <w:lang w:val="en-IE"/>
        </w:rPr>
        <w:t>mitigated by these protections.</w:t>
      </w:r>
    </w:p>
    <w:p w14:paraId="11DD7DC8" w14:textId="2FE5C5AF" w:rsidR="005B1888" w:rsidRPr="00DE264C" w:rsidRDefault="005B1888" w:rsidP="005721D3">
      <w:pPr>
        <w:pStyle w:val="Heading3"/>
        <w:tabs>
          <w:tab w:val="num" w:pos="720"/>
          <w:tab w:val="num" w:pos="7513"/>
        </w:tabs>
        <w:ind w:left="0" w:firstLine="0"/>
        <w:rPr>
          <w:noProof/>
        </w:rPr>
      </w:pPr>
      <w:bookmarkStart w:id="267" w:name="_Toc215083758"/>
      <w:bookmarkStart w:id="268" w:name="_Toc215083788"/>
      <w:bookmarkStart w:id="269" w:name="_Toc219212524"/>
      <w:bookmarkStart w:id="270" w:name="_Toc219718179"/>
      <w:bookmarkStart w:id="271" w:name="_Toc214467736"/>
      <w:r w:rsidRPr="00DE264C">
        <w:rPr>
          <w:noProof/>
        </w:rPr>
        <w:t xml:space="preserve">Option </w:t>
      </w:r>
      <w:r w:rsidR="0029667F" w:rsidRPr="00DE264C">
        <w:rPr>
          <w:noProof/>
        </w:rPr>
        <w:t xml:space="preserve">3: </w:t>
      </w:r>
      <w:r w:rsidR="00195ECD" w:rsidRPr="00DE264C">
        <w:rPr>
          <w:noProof/>
        </w:rPr>
        <w:t xml:space="preserve">Market driven </w:t>
      </w:r>
      <w:r w:rsidR="00AF0978">
        <w:rPr>
          <w:noProof/>
        </w:rPr>
        <w:t>copper switch-off</w:t>
      </w:r>
      <w:r w:rsidR="00AF0978" w:rsidRPr="00DE264C">
        <w:rPr>
          <w:noProof/>
        </w:rPr>
        <w:t xml:space="preserve"> </w:t>
      </w:r>
      <w:r w:rsidR="00195ECD" w:rsidRPr="00DE264C">
        <w:rPr>
          <w:noProof/>
        </w:rPr>
        <w:t>and bottleneck-based access regulation</w:t>
      </w:r>
      <w:bookmarkEnd w:id="267"/>
      <w:bookmarkEnd w:id="268"/>
      <w:bookmarkEnd w:id="269"/>
      <w:bookmarkEnd w:id="270"/>
      <w:r w:rsidR="00195ECD" w:rsidRPr="00DE264C" w:rsidDel="00195ECD">
        <w:rPr>
          <w:noProof/>
        </w:rPr>
        <w:t xml:space="preserve"> </w:t>
      </w:r>
      <w:bookmarkEnd w:id="271"/>
    </w:p>
    <w:p w14:paraId="27109A48" w14:textId="72911D43" w:rsidR="00413D1B" w:rsidRPr="00DE264C" w:rsidRDefault="00413D1B" w:rsidP="00023AFB">
      <w:pPr>
        <w:pStyle w:val="Text2"/>
        <w:spacing w:line="240" w:lineRule="auto"/>
        <w:ind w:left="0"/>
        <w:rPr>
          <w:noProof/>
        </w:rPr>
      </w:pPr>
      <w:r w:rsidRPr="00DE264C">
        <w:rPr>
          <w:b/>
          <w:bCs/>
          <w:noProof/>
        </w:rPr>
        <w:t xml:space="preserve">Economic: </w:t>
      </w:r>
      <w:r w:rsidR="00EE630B" w:rsidRPr="00DE264C">
        <w:rPr>
          <w:noProof/>
        </w:rPr>
        <w:t>This o</w:t>
      </w:r>
      <w:r w:rsidRPr="00DE264C">
        <w:rPr>
          <w:noProof/>
        </w:rPr>
        <w:t xml:space="preserve">ption results in a </w:t>
      </w:r>
      <w:r w:rsidR="00F46FE1" w:rsidRPr="00DE264C">
        <w:rPr>
          <w:noProof/>
        </w:rPr>
        <w:t>EUR </w:t>
      </w:r>
      <w:r w:rsidR="00A52636">
        <w:rPr>
          <w:noProof/>
        </w:rPr>
        <w:t>9</w:t>
      </w:r>
      <w:r w:rsidR="00216841">
        <w:rPr>
          <w:noProof/>
        </w:rPr>
        <w:t>8</w:t>
      </w:r>
      <w:r w:rsidR="00F46FE1" w:rsidRPr="00DE264C">
        <w:rPr>
          <w:noProof/>
        </w:rPr>
        <w:t xml:space="preserve"> billion </w:t>
      </w:r>
      <w:r w:rsidRPr="00DE264C">
        <w:rPr>
          <w:noProof/>
        </w:rPr>
        <w:t xml:space="preserve">decrease in GDP (compared to </w:t>
      </w:r>
      <w:r w:rsidR="00275ACC" w:rsidRPr="00DE264C">
        <w:rPr>
          <w:noProof/>
        </w:rPr>
        <w:t>baseline</w:t>
      </w:r>
      <w:r w:rsidRPr="00DE264C">
        <w:rPr>
          <w:noProof/>
        </w:rPr>
        <w:t>).</w:t>
      </w:r>
    </w:p>
    <w:p w14:paraId="4CAD445E" w14:textId="33D8ED5F" w:rsidR="00F46FE1" w:rsidRPr="00DE264C" w:rsidRDefault="00F46FE1" w:rsidP="00023AFB">
      <w:pPr>
        <w:pStyle w:val="Text2"/>
        <w:spacing w:line="240" w:lineRule="auto"/>
        <w:ind w:left="0"/>
        <w:rPr>
          <w:b/>
          <w:bCs/>
          <w:noProof/>
        </w:rPr>
      </w:pPr>
      <w:r w:rsidRPr="00DE264C">
        <w:rPr>
          <w:b/>
          <w:bCs/>
          <w:noProof/>
        </w:rPr>
        <w:t xml:space="preserve">Environmental: </w:t>
      </w:r>
      <w:r w:rsidR="00563541">
        <w:rPr>
          <w:noProof/>
        </w:rPr>
        <w:t>C</w:t>
      </w:r>
      <w:r w:rsidR="00563541" w:rsidRPr="00DE264C">
        <w:rPr>
          <w:noProof/>
        </w:rPr>
        <w:t xml:space="preserve">ompared to </w:t>
      </w:r>
      <w:r w:rsidR="00563541">
        <w:rPr>
          <w:noProof/>
        </w:rPr>
        <w:t xml:space="preserve">the </w:t>
      </w:r>
      <w:r w:rsidR="00563541" w:rsidRPr="00DE264C">
        <w:rPr>
          <w:noProof/>
        </w:rPr>
        <w:t>baseline</w:t>
      </w:r>
      <w:r w:rsidR="00082AFC">
        <w:rPr>
          <w:noProof/>
        </w:rPr>
        <w:t xml:space="preserve"> scenario, t</w:t>
      </w:r>
      <w:r w:rsidR="000A2731" w:rsidRPr="00DE264C">
        <w:rPr>
          <w:noProof/>
        </w:rPr>
        <w:t>his o</w:t>
      </w:r>
      <w:r w:rsidRPr="00DE264C">
        <w:rPr>
          <w:noProof/>
        </w:rPr>
        <w:t>ption results in a</w:t>
      </w:r>
      <w:r w:rsidR="00A66130">
        <w:rPr>
          <w:noProof/>
        </w:rPr>
        <w:t>n identical environmental impact</w:t>
      </w:r>
      <w:r w:rsidRPr="00DE264C">
        <w:rPr>
          <w:noProof/>
        </w:rPr>
        <w:t xml:space="preserve"> over the period 2025-2035.</w:t>
      </w:r>
    </w:p>
    <w:p w14:paraId="4DCAECC0" w14:textId="7F490EE6" w:rsidR="00E71951" w:rsidRPr="00292895" w:rsidRDefault="00DA4147" w:rsidP="00023AFB">
      <w:pPr>
        <w:pStyle w:val="Text2"/>
        <w:spacing w:line="240" w:lineRule="auto"/>
        <w:ind w:left="0"/>
        <w:rPr>
          <w:noProof/>
          <w:lang w:val="en-IE"/>
        </w:rPr>
      </w:pPr>
      <w:r w:rsidRPr="00DE264C">
        <w:rPr>
          <w:b/>
          <w:bCs/>
          <w:noProof/>
        </w:rPr>
        <w:t>Societal</w:t>
      </w:r>
      <w:r w:rsidR="0041551B" w:rsidRPr="00DE264C">
        <w:rPr>
          <w:b/>
          <w:bCs/>
          <w:noProof/>
        </w:rPr>
        <w:t xml:space="preserve">: </w:t>
      </w:r>
      <w:r w:rsidR="008E51F0" w:rsidRPr="00DE264C">
        <w:rPr>
          <w:noProof/>
        </w:rPr>
        <w:t>This o</w:t>
      </w:r>
      <w:r w:rsidR="006141D4" w:rsidRPr="00DE264C">
        <w:rPr>
          <w:noProof/>
        </w:rPr>
        <w:t xml:space="preserve">ption leaves the copper switch-off process to the </w:t>
      </w:r>
      <w:r w:rsidR="00B05319">
        <w:rPr>
          <w:noProof/>
        </w:rPr>
        <w:t>operators</w:t>
      </w:r>
      <w:r w:rsidR="006141D4" w:rsidRPr="00DE264C">
        <w:rPr>
          <w:noProof/>
        </w:rPr>
        <w:t xml:space="preserve">. Thus, </w:t>
      </w:r>
      <w:r w:rsidR="008E51F0" w:rsidRPr="00DE264C">
        <w:rPr>
          <w:noProof/>
        </w:rPr>
        <w:t>it</w:t>
      </w:r>
      <w:r w:rsidR="006141D4" w:rsidRPr="00DE264C">
        <w:rPr>
          <w:noProof/>
        </w:rPr>
        <w:t xml:space="preserve"> does not restrict the freedom to conduct business.</w:t>
      </w:r>
      <w:r w:rsidR="008774B9">
        <w:rPr>
          <w:noProof/>
        </w:rPr>
        <w:t xml:space="preserve"> </w:t>
      </w:r>
      <w:r w:rsidR="000306E8" w:rsidRPr="00232B57">
        <w:rPr>
          <w:noProof/>
        </w:rPr>
        <w:t>It</w:t>
      </w:r>
      <w:r w:rsidR="00E71951" w:rsidRPr="00232B57">
        <w:rPr>
          <w:noProof/>
          <w:lang w:val="en-IE"/>
        </w:rPr>
        <w:t xml:space="preserve"> would alter the technology mix in a way that removes existing safeguards supporting retail broadband competition. This would likely lead to market consolidation and reduced competition. The resulting higher prices would disproportionately affect vulnerable consumers, including low-income households and individuals in constrained market segments. </w:t>
      </w:r>
    </w:p>
    <w:p w14:paraId="6BC71DE3" w14:textId="3753FF08" w:rsidR="005B1888" w:rsidRPr="00DE264C" w:rsidRDefault="005B1888" w:rsidP="005721D3">
      <w:pPr>
        <w:pStyle w:val="Heading3"/>
        <w:tabs>
          <w:tab w:val="num" w:pos="720"/>
          <w:tab w:val="num" w:pos="6521"/>
        </w:tabs>
        <w:ind w:left="0" w:firstLine="0"/>
        <w:rPr>
          <w:noProof/>
        </w:rPr>
      </w:pPr>
      <w:bookmarkStart w:id="272" w:name="_Toc209596035"/>
      <w:bookmarkStart w:id="273" w:name="_Toc215083759"/>
      <w:bookmarkStart w:id="274" w:name="_Toc215083789"/>
      <w:bookmarkStart w:id="275" w:name="_Toc219212525"/>
      <w:bookmarkStart w:id="276" w:name="_Toc219718180"/>
      <w:bookmarkStart w:id="277" w:name="_Toc214467737"/>
      <w:bookmarkEnd w:id="272"/>
      <w:r w:rsidRPr="00DE264C">
        <w:rPr>
          <w:noProof/>
        </w:rPr>
        <w:t>Option 4</w:t>
      </w:r>
      <w:r w:rsidR="0044383F" w:rsidRPr="00DE264C">
        <w:rPr>
          <w:noProof/>
        </w:rPr>
        <w:t xml:space="preserve">: </w:t>
      </w:r>
      <w:r w:rsidR="00195ECD" w:rsidRPr="00DE264C">
        <w:rPr>
          <w:noProof/>
        </w:rPr>
        <w:t xml:space="preserve">Mandatory </w:t>
      </w:r>
      <w:r w:rsidR="00C95F99">
        <w:rPr>
          <w:noProof/>
        </w:rPr>
        <w:t>copper switch-off</w:t>
      </w:r>
      <w:r w:rsidR="00C95F99" w:rsidRPr="00DE264C">
        <w:rPr>
          <w:noProof/>
        </w:rPr>
        <w:t xml:space="preserve"> </w:t>
      </w:r>
      <w:r w:rsidR="00195ECD" w:rsidRPr="00DE264C">
        <w:rPr>
          <w:noProof/>
        </w:rPr>
        <w:t>and symmetric regulation</w:t>
      </w:r>
      <w:bookmarkEnd w:id="273"/>
      <w:bookmarkEnd w:id="274"/>
      <w:bookmarkEnd w:id="275"/>
      <w:bookmarkEnd w:id="276"/>
      <w:r w:rsidR="0044383F" w:rsidRPr="00DE264C">
        <w:rPr>
          <w:noProof/>
        </w:rPr>
        <w:t xml:space="preserve"> </w:t>
      </w:r>
      <w:bookmarkEnd w:id="277"/>
    </w:p>
    <w:p w14:paraId="3A6110CD" w14:textId="5105B895" w:rsidR="00EB200B" w:rsidRPr="00DE264C" w:rsidRDefault="00DA4147" w:rsidP="00DE7CC1">
      <w:pPr>
        <w:pStyle w:val="Text2"/>
        <w:spacing w:line="240" w:lineRule="auto"/>
        <w:ind w:left="0"/>
        <w:rPr>
          <w:noProof/>
        </w:rPr>
      </w:pPr>
      <w:r w:rsidRPr="00DE264C">
        <w:rPr>
          <w:b/>
          <w:bCs/>
          <w:noProof/>
        </w:rPr>
        <w:t>Economic</w:t>
      </w:r>
      <w:r w:rsidR="00EB200B" w:rsidRPr="00DE264C">
        <w:rPr>
          <w:b/>
          <w:bCs/>
          <w:noProof/>
        </w:rPr>
        <w:t xml:space="preserve">: </w:t>
      </w:r>
      <w:r w:rsidR="009B1B79" w:rsidRPr="00DE264C">
        <w:rPr>
          <w:noProof/>
        </w:rPr>
        <w:t>This o</w:t>
      </w:r>
      <w:r w:rsidR="00EB200B" w:rsidRPr="00DE264C">
        <w:rPr>
          <w:noProof/>
        </w:rPr>
        <w:t>ption results in a EUR </w:t>
      </w:r>
      <w:r w:rsidR="00D9515C">
        <w:rPr>
          <w:noProof/>
        </w:rPr>
        <w:t>226</w:t>
      </w:r>
      <w:r w:rsidR="00E513BB">
        <w:rPr>
          <w:noProof/>
        </w:rPr>
        <w:t xml:space="preserve"> </w:t>
      </w:r>
      <w:r w:rsidR="00EB200B" w:rsidRPr="00DE264C">
        <w:rPr>
          <w:noProof/>
        </w:rPr>
        <w:t xml:space="preserve">billion </w:t>
      </w:r>
      <w:r w:rsidR="000A1926" w:rsidRPr="00DE264C">
        <w:rPr>
          <w:noProof/>
        </w:rPr>
        <w:t xml:space="preserve">GDP </w:t>
      </w:r>
      <w:r w:rsidR="00381761" w:rsidRPr="00DE264C">
        <w:rPr>
          <w:noProof/>
        </w:rPr>
        <w:t>in</w:t>
      </w:r>
      <w:r w:rsidR="00EB200B" w:rsidRPr="00DE264C">
        <w:rPr>
          <w:noProof/>
        </w:rPr>
        <w:t xml:space="preserve">crease (compared to </w:t>
      </w:r>
      <w:r w:rsidR="009B1B79" w:rsidRPr="00DE264C">
        <w:rPr>
          <w:noProof/>
        </w:rPr>
        <w:t>baseline</w:t>
      </w:r>
      <w:r w:rsidR="00EB200B" w:rsidRPr="00DE264C">
        <w:rPr>
          <w:noProof/>
        </w:rPr>
        <w:t>).</w:t>
      </w:r>
      <w:r w:rsidR="001C73D4" w:rsidRPr="00DE264C">
        <w:rPr>
          <w:noProof/>
        </w:rPr>
        <w:t xml:space="preserve"> It scores the highest in terms of </w:t>
      </w:r>
      <w:r w:rsidR="0050204D" w:rsidRPr="00DE264C">
        <w:rPr>
          <w:noProof/>
        </w:rPr>
        <w:t>FTTH coverage and take</w:t>
      </w:r>
      <w:r w:rsidR="006D5FB5" w:rsidRPr="00DE264C">
        <w:rPr>
          <w:noProof/>
        </w:rPr>
        <w:t>-</w:t>
      </w:r>
      <w:r w:rsidR="0050204D" w:rsidRPr="00DE264C">
        <w:rPr>
          <w:noProof/>
        </w:rPr>
        <w:t>up.</w:t>
      </w:r>
    </w:p>
    <w:p w14:paraId="42BFD0BF" w14:textId="241723F7" w:rsidR="00987FFE" w:rsidRPr="00DE264C" w:rsidRDefault="00F2136A" w:rsidP="00DE7CC1">
      <w:pPr>
        <w:pStyle w:val="Text2"/>
        <w:spacing w:line="240" w:lineRule="auto"/>
        <w:ind w:left="0"/>
        <w:rPr>
          <w:b/>
          <w:bCs/>
          <w:noProof/>
        </w:rPr>
      </w:pPr>
      <w:r w:rsidRPr="00DE264C">
        <w:rPr>
          <w:b/>
          <w:bCs/>
          <w:noProof/>
        </w:rPr>
        <w:t xml:space="preserve">Environmental: </w:t>
      </w:r>
      <w:r w:rsidR="006D5FB5" w:rsidRPr="00DE264C">
        <w:rPr>
          <w:noProof/>
        </w:rPr>
        <w:t>This o</w:t>
      </w:r>
      <w:r w:rsidRPr="00DE264C">
        <w:rPr>
          <w:noProof/>
        </w:rPr>
        <w:t xml:space="preserve">ption </w:t>
      </w:r>
      <w:r w:rsidR="000A1926" w:rsidRPr="00DE264C">
        <w:rPr>
          <w:noProof/>
        </w:rPr>
        <w:t>r</w:t>
      </w:r>
      <w:r w:rsidRPr="00DE264C">
        <w:rPr>
          <w:noProof/>
        </w:rPr>
        <w:t xml:space="preserve">esults in </w:t>
      </w:r>
      <w:r w:rsidR="003114DF" w:rsidRPr="00DE264C">
        <w:rPr>
          <w:noProof/>
        </w:rPr>
        <w:t>the biggest</w:t>
      </w:r>
      <w:r w:rsidRPr="00DE264C">
        <w:rPr>
          <w:noProof/>
        </w:rPr>
        <w:t xml:space="preserve"> decrease (</w:t>
      </w:r>
      <w:r w:rsidR="00556096" w:rsidRPr="00DE264C">
        <w:rPr>
          <w:noProof/>
        </w:rPr>
        <w:t>9</w:t>
      </w:r>
      <w:r w:rsidRPr="00DE264C">
        <w:rPr>
          <w:noProof/>
        </w:rPr>
        <w:t>%</w:t>
      </w:r>
      <w:r w:rsidR="00D52869">
        <w:rPr>
          <w:noProof/>
        </w:rPr>
        <w:t xml:space="preserve"> - </w:t>
      </w:r>
      <w:r w:rsidR="00DE7CC1">
        <w:rPr>
          <w:noProof/>
          <w:lang w:val="en-IE"/>
        </w:rPr>
        <w:t>EUR</w:t>
      </w:r>
      <w:r w:rsidR="00641091">
        <w:rPr>
          <w:noProof/>
          <w:lang w:val="en-IE"/>
        </w:rPr>
        <w:t> </w:t>
      </w:r>
      <w:r w:rsidR="00AD20FB">
        <w:rPr>
          <w:noProof/>
          <w:lang w:val="en-IE"/>
        </w:rPr>
        <w:t>0.96</w:t>
      </w:r>
      <w:r w:rsidR="00D52869">
        <w:rPr>
          <w:noProof/>
        </w:rPr>
        <w:t xml:space="preserve"> billion</w:t>
      </w:r>
      <w:r w:rsidRPr="00DE264C">
        <w:rPr>
          <w:noProof/>
        </w:rPr>
        <w:t xml:space="preserve">) in CO2 emission (compared to </w:t>
      </w:r>
      <w:r w:rsidR="006A48F7" w:rsidRPr="00DE264C">
        <w:rPr>
          <w:noProof/>
        </w:rPr>
        <w:t>baseline</w:t>
      </w:r>
      <w:r w:rsidRPr="00DE264C">
        <w:rPr>
          <w:noProof/>
        </w:rPr>
        <w:t>) over the period 2025-2035.</w:t>
      </w:r>
    </w:p>
    <w:p w14:paraId="0BD255C1" w14:textId="52C185F9" w:rsidR="006141D4" w:rsidRPr="00DE264C" w:rsidRDefault="00DA4147" w:rsidP="00DE7CC1">
      <w:pPr>
        <w:pStyle w:val="Text2"/>
        <w:spacing w:line="240" w:lineRule="auto"/>
        <w:ind w:left="0"/>
        <w:rPr>
          <w:noProof/>
        </w:rPr>
      </w:pPr>
      <w:r w:rsidRPr="00DE264C">
        <w:rPr>
          <w:b/>
          <w:bCs/>
          <w:noProof/>
        </w:rPr>
        <w:t>Societal</w:t>
      </w:r>
      <w:r w:rsidR="00A5620F" w:rsidRPr="00DE264C">
        <w:rPr>
          <w:b/>
          <w:bCs/>
          <w:noProof/>
        </w:rPr>
        <w:t xml:space="preserve">: </w:t>
      </w:r>
      <w:r w:rsidR="007D01BC" w:rsidRPr="00DE264C">
        <w:rPr>
          <w:noProof/>
        </w:rPr>
        <w:t>This o</w:t>
      </w:r>
      <w:r w:rsidR="006141D4" w:rsidRPr="00DE264C">
        <w:rPr>
          <w:noProof/>
        </w:rPr>
        <w:t xml:space="preserve">ption </w:t>
      </w:r>
      <w:r w:rsidR="0023125B" w:rsidRPr="00DE264C">
        <w:rPr>
          <w:noProof/>
        </w:rPr>
        <w:t xml:space="preserve">mandates copper switch-off without </w:t>
      </w:r>
      <w:r w:rsidR="003114DF" w:rsidRPr="00DE264C">
        <w:rPr>
          <w:noProof/>
        </w:rPr>
        <w:t xml:space="preserve">sustainability </w:t>
      </w:r>
      <w:r w:rsidR="00A228F3" w:rsidRPr="00DE264C">
        <w:rPr>
          <w:noProof/>
        </w:rPr>
        <w:t>conditions</w:t>
      </w:r>
      <w:r w:rsidR="006141D4" w:rsidRPr="00DE264C">
        <w:rPr>
          <w:noProof/>
        </w:rPr>
        <w:t>. Therefore, it intervenes strongly with the freedom to conduct business.</w:t>
      </w:r>
    </w:p>
    <w:p w14:paraId="623B48AF" w14:textId="110C99C2" w:rsidR="007947BA" w:rsidRPr="00292895" w:rsidRDefault="00E71951" w:rsidP="00DE7CC1">
      <w:pPr>
        <w:spacing w:line="240" w:lineRule="auto"/>
        <w:rPr>
          <w:noProof/>
          <w:lang w:val="en-IE"/>
        </w:rPr>
      </w:pPr>
      <w:r w:rsidRPr="00232B57">
        <w:rPr>
          <w:noProof/>
          <w:lang w:val="en-IE"/>
        </w:rPr>
        <w:t>Option 4 could result in a large proportion of copper-dependent consumers—including the elderly, disabled, and those in remote locations—being disconnected and obliged to rely on mobile or wireless connectivity instead. These alternatives may not always match the quality or reliability of copper, potentially leading to deterioration in the consumer experience.</w:t>
      </w:r>
    </w:p>
    <w:p w14:paraId="1A5C8A17" w14:textId="4EC7FD08" w:rsidR="006B087E" w:rsidRPr="00DE264C" w:rsidRDefault="00BC0AE9" w:rsidP="00292895">
      <w:pPr>
        <w:pStyle w:val="Heading2"/>
        <w:rPr>
          <w:noProof/>
        </w:rPr>
      </w:pPr>
      <w:bookmarkStart w:id="278" w:name="Bookmark1"/>
      <w:bookmarkStart w:id="279" w:name="_Toc214467738"/>
      <w:bookmarkStart w:id="280" w:name="_Toc215083760"/>
      <w:bookmarkStart w:id="281" w:name="_Toc215083790"/>
      <w:bookmarkStart w:id="282" w:name="_Toc219212526"/>
      <w:bookmarkStart w:id="283" w:name="_Toc219718181"/>
      <w:bookmarkEnd w:id="278"/>
      <w:r w:rsidRPr="00DE264C">
        <w:rPr>
          <w:noProof/>
        </w:rPr>
        <w:t>Spectrum</w:t>
      </w:r>
      <w:bookmarkEnd w:id="279"/>
      <w:bookmarkEnd w:id="280"/>
      <w:bookmarkEnd w:id="281"/>
      <w:bookmarkEnd w:id="282"/>
      <w:bookmarkEnd w:id="283"/>
    </w:p>
    <w:p w14:paraId="7781DC2D" w14:textId="0062157B" w:rsidR="00153F5E" w:rsidRPr="00DE264C" w:rsidRDefault="006E0CB9" w:rsidP="001F43B2">
      <w:pPr>
        <w:pStyle w:val="Heading3"/>
        <w:spacing w:before="240"/>
        <w:ind w:left="720"/>
        <w:rPr>
          <w:noProof/>
        </w:rPr>
      </w:pPr>
      <w:bookmarkStart w:id="284" w:name="_Toc214467739"/>
      <w:bookmarkStart w:id="285" w:name="_Toc215083761"/>
      <w:bookmarkStart w:id="286" w:name="_Toc215083791"/>
      <w:bookmarkStart w:id="287" w:name="_Toc219212527"/>
      <w:bookmarkStart w:id="288" w:name="_Toc219718182"/>
      <w:r w:rsidRPr="00DE264C">
        <w:rPr>
          <w:noProof/>
        </w:rPr>
        <w:t>Option 1</w:t>
      </w:r>
      <w:r w:rsidR="008045F0" w:rsidRPr="00DE264C">
        <w:rPr>
          <w:noProof/>
        </w:rPr>
        <w:t>:</w:t>
      </w:r>
      <w:r w:rsidRPr="00DE264C">
        <w:rPr>
          <w:noProof/>
        </w:rPr>
        <w:t xml:space="preserve"> </w:t>
      </w:r>
      <w:r w:rsidR="00D66AC1" w:rsidRPr="00DE264C">
        <w:rPr>
          <w:noProof/>
        </w:rPr>
        <w:t>Soft harmonisation</w:t>
      </w:r>
      <w:bookmarkEnd w:id="284"/>
      <w:bookmarkEnd w:id="285"/>
      <w:bookmarkEnd w:id="286"/>
      <w:bookmarkEnd w:id="287"/>
      <w:bookmarkEnd w:id="288"/>
    </w:p>
    <w:p w14:paraId="277277F1" w14:textId="7CC2E44C" w:rsidR="00323740" w:rsidRPr="00602574" w:rsidRDefault="00323740" w:rsidP="00DE7CC1">
      <w:pPr>
        <w:spacing w:line="240" w:lineRule="auto"/>
        <w:rPr>
          <w:noProof/>
          <w:sz w:val="22"/>
          <w:szCs w:val="22"/>
        </w:rPr>
      </w:pPr>
      <w:r w:rsidRPr="005C544D">
        <w:rPr>
          <w:noProof/>
        </w:rPr>
        <w:t xml:space="preserve">The main </w:t>
      </w:r>
      <w:r w:rsidRPr="005C544D">
        <w:rPr>
          <w:b/>
          <w:bCs/>
          <w:noProof/>
        </w:rPr>
        <w:t>economic impact</w:t>
      </w:r>
      <w:r w:rsidRPr="005C544D">
        <w:rPr>
          <w:noProof/>
        </w:rPr>
        <w:t xml:space="preserve"> of spectrum option 1 is an increase in investments in high quality mobile networks driven by soft harmonisation measures. Part of the impact</w:t>
      </w:r>
      <w:r w:rsidRPr="00602574">
        <w:rPr>
          <w:noProof/>
        </w:rPr>
        <w:t xml:space="preserve"> on GDP calculated </w:t>
      </w:r>
      <w:r w:rsidRPr="005C544D">
        <w:rPr>
          <w:noProof/>
        </w:rPr>
        <w:t>over</w:t>
      </w:r>
      <w:r w:rsidRPr="00602574">
        <w:rPr>
          <w:noProof/>
        </w:rPr>
        <w:t xml:space="preserve"> a period from</w:t>
      </w:r>
      <w:r w:rsidRPr="005C544D">
        <w:rPr>
          <w:noProof/>
        </w:rPr>
        <w:t xml:space="preserve"> 2025 to 2035 is estimated using a model linking </w:t>
      </w:r>
      <w:r w:rsidRPr="00602574">
        <w:rPr>
          <w:noProof/>
        </w:rPr>
        <w:t>changes in mid-band coverage, take-up and speed to GDP, based on econometric evidence of a positive relationship between increased adoption and internet speed and economic growth.</w:t>
      </w:r>
      <w:r w:rsidRPr="00602574">
        <w:rPr>
          <w:rStyle w:val="FootnoteReference"/>
          <w:noProof/>
        </w:rPr>
        <w:footnoteReference w:id="225"/>
      </w:r>
      <w:r w:rsidRPr="00602574">
        <w:rPr>
          <w:noProof/>
        </w:rPr>
        <w:t xml:space="preserve"> This option’s overall indicative GDP impact for the EU over 2025 to 2035 </w:t>
      </w:r>
      <w:r w:rsidRPr="005C544D">
        <w:rPr>
          <w:noProof/>
        </w:rPr>
        <w:t>is estimated at EUR</w:t>
      </w:r>
      <w:r w:rsidRPr="005C544D">
        <w:rPr>
          <w:noProof/>
          <w:sz w:val="22"/>
          <w:szCs w:val="22"/>
        </w:rPr>
        <w:t> </w:t>
      </w:r>
      <w:r w:rsidRPr="005C544D">
        <w:rPr>
          <w:noProof/>
        </w:rPr>
        <w:t>1</w:t>
      </w:r>
      <w:r w:rsidR="00216982">
        <w:rPr>
          <w:noProof/>
        </w:rPr>
        <w:t> </w:t>
      </w:r>
      <w:r w:rsidRPr="005C544D">
        <w:rPr>
          <w:noProof/>
        </w:rPr>
        <w:t>505 billion compared to EUR</w:t>
      </w:r>
      <w:r w:rsidR="006029E4">
        <w:rPr>
          <w:noProof/>
        </w:rPr>
        <w:t> </w:t>
      </w:r>
      <w:r w:rsidRPr="005C544D">
        <w:rPr>
          <w:noProof/>
        </w:rPr>
        <w:t>1</w:t>
      </w:r>
      <w:r w:rsidR="002E23A3">
        <w:rPr>
          <w:noProof/>
        </w:rPr>
        <w:t> </w:t>
      </w:r>
      <w:r w:rsidR="005339F9" w:rsidRPr="005C544D">
        <w:rPr>
          <w:noProof/>
        </w:rPr>
        <w:t>48</w:t>
      </w:r>
      <w:r w:rsidR="005339F9">
        <w:rPr>
          <w:noProof/>
        </w:rPr>
        <w:t>0</w:t>
      </w:r>
      <w:r w:rsidR="005339F9" w:rsidRPr="005C544D">
        <w:rPr>
          <w:noProof/>
        </w:rPr>
        <w:t xml:space="preserve"> </w:t>
      </w:r>
      <w:r w:rsidRPr="005C544D">
        <w:rPr>
          <w:noProof/>
        </w:rPr>
        <w:t xml:space="preserve">billion under the baseline. </w:t>
      </w:r>
      <w:r w:rsidRPr="00602574">
        <w:rPr>
          <w:noProof/>
        </w:rPr>
        <w:t>To account for potential uncertainties</w:t>
      </w:r>
      <w:r w:rsidRPr="005C544D">
        <w:rPr>
          <w:rFonts w:eastAsiaTheme="minorEastAsia"/>
          <w:noProof/>
        </w:rPr>
        <w:t xml:space="preserve"> of the model,</w:t>
      </w:r>
      <w:r w:rsidRPr="005C544D">
        <w:rPr>
          <w:rStyle w:val="FootnoteReference"/>
          <w:rFonts w:eastAsiaTheme="minorEastAsia"/>
          <w:noProof/>
        </w:rPr>
        <w:footnoteReference w:id="226"/>
      </w:r>
      <w:r w:rsidRPr="00602574">
        <w:rPr>
          <w:noProof/>
        </w:rPr>
        <w:t xml:space="preserve"> </w:t>
      </w:r>
      <w:r w:rsidRPr="005C544D">
        <w:rPr>
          <w:rFonts w:eastAsiaTheme="minorEastAsia"/>
          <w:noProof/>
        </w:rPr>
        <w:t xml:space="preserve">a sensitivity analysis has been performed, </w:t>
      </w:r>
      <w:r w:rsidRPr="00602574">
        <w:rPr>
          <w:noProof/>
        </w:rPr>
        <w:t xml:space="preserve">assuming a smaller or larger impact of increased mobile broadband speeds on productivity and </w:t>
      </w:r>
      <w:r w:rsidRPr="005C544D">
        <w:rPr>
          <w:rFonts w:eastAsiaTheme="minorEastAsia"/>
          <w:noProof/>
        </w:rPr>
        <w:t>GDP and yielding an estimated GDP impact ranging from EUR</w:t>
      </w:r>
      <w:r w:rsidR="006029E4">
        <w:rPr>
          <w:rFonts w:eastAsiaTheme="minorEastAsia"/>
          <w:noProof/>
        </w:rPr>
        <w:t> </w:t>
      </w:r>
      <w:r w:rsidRPr="005C544D">
        <w:rPr>
          <w:rFonts w:eastAsiaTheme="minorEastAsia"/>
          <w:noProof/>
        </w:rPr>
        <w:t>174 to EUR</w:t>
      </w:r>
      <w:r w:rsidR="006029E4">
        <w:rPr>
          <w:rFonts w:eastAsiaTheme="minorEastAsia"/>
          <w:noProof/>
        </w:rPr>
        <w:t> </w:t>
      </w:r>
      <w:r w:rsidRPr="005C544D">
        <w:rPr>
          <w:rFonts w:eastAsiaTheme="minorEastAsia"/>
          <w:noProof/>
        </w:rPr>
        <w:t>2</w:t>
      </w:r>
      <w:r w:rsidR="00574D8C">
        <w:rPr>
          <w:rFonts w:eastAsiaTheme="minorEastAsia"/>
          <w:noProof/>
        </w:rPr>
        <w:t> </w:t>
      </w:r>
      <w:r w:rsidRPr="005C544D">
        <w:rPr>
          <w:rFonts w:eastAsiaTheme="minorEastAsia"/>
          <w:noProof/>
        </w:rPr>
        <w:t>049 billion.</w:t>
      </w:r>
      <w:r w:rsidRPr="005C544D">
        <w:rPr>
          <w:rStyle w:val="FootnoteReference"/>
          <w:noProof/>
        </w:rPr>
        <w:footnoteReference w:id="227"/>
      </w:r>
      <w:r w:rsidRPr="005C544D">
        <w:rPr>
          <w:rFonts w:eastAsiaTheme="minorEastAsia"/>
          <w:noProof/>
        </w:rPr>
        <w:t xml:space="preserve"> </w:t>
      </w:r>
      <w:r w:rsidRPr="005C544D">
        <w:rPr>
          <w:noProof/>
        </w:rPr>
        <w:t>Beyond the modelled effects, additional spillover effects on different sectors are expected from 5G, IoT and future 6G</w:t>
      </w:r>
      <w:r w:rsidRPr="005C544D">
        <w:rPr>
          <w:rFonts w:eastAsiaTheme="minorEastAsia"/>
          <w:noProof/>
        </w:rPr>
        <w:t xml:space="preserve"> deployment</w:t>
      </w:r>
      <w:r w:rsidRPr="005C544D">
        <w:rPr>
          <w:noProof/>
        </w:rPr>
        <w:t xml:space="preserve">. However, </w:t>
      </w:r>
      <w:r w:rsidRPr="00602574">
        <w:rPr>
          <w:rFonts w:eastAsia="MS Mincho"/>
          <w:noProof/>
        </w:rPr>
        <w:t>impacts related to accelerating the transition to 6G cannot yet be quantified, as commercial launch of 6G is still around five years away</w:t>
      </w:r>
      <w:r w:rsidRPr="005C544D">
        <w:rPr>
          <w:noProof/>
        </w:rPr>
        <w:t xml:space="preserve">. </w:t>
      </w:r>
      <w:r w:rsidRPr="00602574">
        <w:rPr>
          <w:noProof/>
        </w:rPr>
        <w:t>These estimates are consistent with the literature on the global economic impact of 5G. For example, Oxford Economics estimates an impact of USD</w:t>
      </w:r>
      <w:r w:rsidR="006029E4">
        <w:rPr>
          <w:noProof/>
        </w:rPr>
        <w:t> </w:t>
      </w:r>
      <w:r w:rsidRPr="00602574">
        <w:rPr>
          <w:noProof/>
        </w:rPr>
        <w:t>2.1 trillion by 2030. PwC forecasts a total impact of USD</w:t>
      </w:r>
      <w:r w:rsidR="006029E4">
        <w:rPr>
          <w:noProof/>
        </w:rPr>
        <w:t> </w:t>
      </w:r>
      <w:r w:rsidRPr="00602574">
        <w:rPr>
          <w:noProof/>
        </w:rPr>
        <w:t>1.3 trillion until 2030</w:t>
      </w:r>
      <w:r w:rsidRPr="00602574">
        <w:rPr>
          <w:noProof/>
          <w:sz w:val="22"/>
          <w:szCs w:val="22"/>
          <w:vertAlign w:val="superscript"/>
        </w:rPr>
        <w:footnoteReference w:id="228"/>
      </w:r>
      <w:r w:rsidRPr="00602574">
        <w:rPr>
          <w:noProof/>
          <w:sz w:val="22"/>
          <w:szCs w:val="22"/>
        </w:rPr>
        <w:t xml:space="preserve"> .</w:t>
      </w:r>
    </w:p>
    <w:p w14:paraId="6D7027D3" w14:textId="0B7DBABB" w:rsidR="00323740" w:rsidRPr="005C544D" w:rsidDel="007344AA" w:rsidRDefault="00323740" w:rsidP="00DE7CC1">
      <w:pPr>
        <w:spacing w:line="240" w:lineRule="auto"/>
        <w:rPr>
          <w:noProof/>
          <w:sz w:val="22"/>
          <w:szCs w:val="22"/>
        </w:rPr>
      </w:pPr>
      <w:r w:rsidRPr="00602574">
        <w:rPr>
          <w:noProof/>
        </w:rPr>
        <w:t xml:space="preserve">The </w:t>
      </w:r>
      <w:r w:rsidRPr="00602574">
        <w:rPr>
          <w:b/>
          <w:bCs/>
          <w:noProof/>
        </w:rPr>
        <w:t>environmental footprint</w:t>
      </w:r>
      <w:r w:rsidRPr="00602574">
        <w:rPr>
          <w:noProof/>
        </w:rPr>
        <w:t xml:space="preserve"> of mobile networks under </w:t>
      </w:r>
      <w:r w:rsidR="006D3FF9">
        <w:rPr>
          <w:noProof/>
        </w:rPr>
        <w:t>option</w:t>
      </w:r>
      <w:r w:rsidRPr="00602574">
        <w:rPr>
          <w:noProof/>
        </w:rPr>
        <w:t xml:space="preserve"> 1 is estimated at 5</w:t>
      </w:r>
      <w:r w:rsidR="00CC40D4">
        <w:rPr>
          <w:noProof/>
        </w:rPr>
        <w:t> </w:t>
      </w:r>
      <w:r>
        <w:rPr>
          <w:noProof/>
        </w:rPr>
        <w:t>252</w:t>
      </w:r>
      <w:r w:rsidR="00CC40D4">
        <w:rPr>
          <w:noProof/>
        </w:rPr>
        <w:t> </w:t>
      </w:r>
      <w:r>
        <w:rPr>
          <w:noProof/>
        </w:rPr>
        <w:t>490</w:t>
      </w:r>
      <w:r w:rsidRPr="00602574">
        <w:rPr>
          <w:noProof/>
        </w:rPr>
        <w:t xml:space="preserve"> t </w:t>
      </w:r>
      <w:r w:rsidRPr="005C544D">
        <w:rPr>
          <w:rFonts w:eastAsia="Times New Roman"/>
          <w:noProof/>
          <w:color w:val="000000" w:themeColor="text1"/>
        </w:rPr>
        <w:t xml:space="preserve">CO₂eq </w:t>
      </w:r>
      <w:r w:rsidRPr="00602574">
        <w:rPr>
          <w:noProof/>
        </w:rPr>
        <w:t>of mobile/wireless broadband network emissions which is less than the 5</w:t>
      </w:r>
      <w:r w:rsidR="00CC40D4">
        <w:rPr>
          <w:noProof/>
        </w:rPr>
        <w:t> </w:t>
      </w:r>
      <w:r>
        <w:rPr>
          <w:noProof/>
        </w:rPr>
        <w:t>257</w:t>
      </w:r>
      <w:r w:rsidR="00CC40D4">
        <w:rPr>
          <w:noProof/>
        </w:rPr>
        <w:t> </w:t>
      </w:r>
      <w:r>
        <w:rPr>
          <w:noProof/>
        </w:rPr>
        <w:t>074</w:t>
      </w:r>
      <w:r w:rsidRPr="00602574">
        <w:rPr>
          <w:noProof/>
        </w:rPr>
        <w:t xml:space="preserve"> t </w:t>
      </w:r>
      <w:r w:rsidRPr="005C544D">
        <w:rPr>
          <w:rFonts w:eastAsia="Times New Roman"/>
          <w:noProof/>
          <w:color w:val="000000" w:themeColor="text1"/>
        </w:rPr>
        <w:t>CO₂eq</w:t>
      </w:r>
      <w:r w:rsidRPr="00602574">
        <w:rPr>
          <w:noProof/>
        </w:rPr>
        <w:t xml:space="preserve"> under the baseline scenario.</w:t>
      </w:r>
      <w:r w:rsidRPr="00602574">
        <w:rPr>
          <w:rStyle w:val="FootnoteReference"/>
          <w:noProof/>
          <w:sz w:val="22"/>
          <w:szCs w:val="22"/>
        </w:rPr>
        <w:footnoteReference w:id="229"/>
      </w:r>
      <w:r w:rsidRPr="00602574">
        <w:rPr>
          <w:noProof/>
          <w:sz w:val="22"/>
          <w:szCs w:val="22"/>
        </w:rPr>
        <w:t xml:space="preserve"> </w:t>
      </w:r>
      <w:r w:rsidRPr="00602574">
        <w:rPr>
          <w:noProof/>
        </w:rPr>
        <w:t>Emissions are expected to be significantly lower in 2035 compared to 2025 even under the baseline, driven partly by lower electricity consumption per unit of data traffic resulting from the shift to a more performant 5G technology and partly by a reduction in the emissions intensity of electricity generation. Differences in total emissions between the options are negligible.</w:t>
      </w:r>
      <w:r>
        <w:rPr>
          <w:noProof/>
        </w:rPr>
        <w:t xml:space="preserve"> </w:t>
      </w:r>
      <w:r w:rsidRPr="007344AA">
        <w:rPr>
          <w:noProof/>
        </w:rPr>
        <w:t xml:space="preserve">When </w:t>
      </w:r>
      <w:r w:rsidRPr="00A80DD5">
        <w:rPr>
          <w:noProof/>
        </w:rPr>
        <w:t>monetised</w:t>
      </w:r>
      <w:r w:rsidRPr="007344AA">
        <w:rPr>
          <w:noProof/>
        </w:rPr>
        <w:t>, environmental impacts are very similar across options, at</w:t>
      </w:r>
      <w:r>
        <w:rPr>
          <w:noProof/>
        </w:rPr>
        <w:t xml:space="preserve"> approximately</w:t>
      </w:r>
      <w:r w:rsidRPr="007344AA">
        <w:rPr>
          <w:noProof/>
        </w:rPr>
        <w:t xml:space="preserve"> EUR</w:t>
      </w:r>
      <w:r w:rsidR="007F213B">
        <w:rPr>
          <w:noProof/>
        </w:rPr>
        <w:t> </w:t>
      </w:r>
      <w:r w:rsidRPr="007344AA">
        <w:rPr>
          <w:noProof/>
        </w:rPr>
        <w:t>4.63 billion under the baseline and around EUR</w:t>
      </w:r>
      <w:r w:rsidR="006029E4">
        <w:rPr>
          <w:noProof/>
        </w:rPr>
        <w:t> </w:t>
      </w:r>
      <w:r w:rsidRPr="007344AA">
        <w:rPr>
          <w:noProof/>
        </w:rPr>
        <w:t xml:space="preserve">4.62 billion under </w:t>
      </w:r>
      <w:r w:rsidR="006D3FF9">
        <w:rPr>
          <w:noProof/>
        </w:rPr>
        <w:t>option</w:t>
      </w:r>
      <w:r w:rsidRPr="007344AA">
        <w:rPr>
          <w:noProof/>
        </w:rPr>
        <w:t>s 1, 2 and 3</w:t>
      </w:r>
      <w:r w:rsidR="007143D0">
        <w:rPr>
          <w:noProof/>
        </w:rPr>
        <w:t>, a marginal improvement</w:t>
      </w:r>
      <w:r w:rsidRPr="007344AA">
        <w:rPr>
          <w:noProof/>
        </w:rPr>
        <w:t>.</w:t>
      </w:r>
      <w:r>
        <w:rPr>
          <w:rStyle w:val="FootnoteReference"/>
          <w:noProof/>
        </w:rPr>
        <w:footnoteReference w:id="230"/>
      </w:r>
    </w:p>
    <w:p w14:paraId="02B4AA3D" w14:textId="71713CF2" w:rsidR="00323740" w:rsidRPr="00602574" w:rsidRDefault="00323740" w:rsidP="00DE7CC1">
      <w:pPr>
        <w:spacing w:line="240" w:lineRule="auto"/>
        <w:rPr>
          <w:noProof/>
        </w:rPr>
      </w:pPr>
      <w:r w:rsidRPr="00602574">
        <w:rPr>
          <w:noProof/>
        </w:rPr>
        <w:t xml:space="preserve">The proposed options are expected to have positive </w:t>
      </w:r>
      <w:r w:rsidRPr="00602574">
        <w:rPr>
          <w:b/>
          <w:noProof/>
        </w:rPr>
        <w:t xml:space="preserve">societal </w:t>
      </w:r>
      <w:r w:rsidRPr="00602574">
        <w:rPr>
          <w:b/>
          <w:bCs/>
          <w:noProof/>
        </w:rPr>
        <w:t>impacts</w:t>
      </w:r>
      <w:r w:rsidRPr="00602574">
        <w:rPr>
          <w:noProof/>
        </w:rPr>
        <w:t xml:space="preserve">, particularly for digital inclusion, social equity, and public service delivery. Higher coverage reduces geographic and socio-economic connectivity gaps by expanding individuals’ effective access to digital communication, information, and public services. At the same time, high QoS, defined by reliable, high-speed and low-latency connections, determines whether users can meaningfully engage in digital activities such as online education, telehealth, mobile banking, remote work and other services with specific quality requirements. Together, these factors strengthen social and community ties, support participation in civil society, and promote economic integration, particularly in rural or underserved areas. However, their inclusive impact depends on complementary conditions such as affordability, digital literacy, and the existence of supportive institutional frameworks. </w:t>
      </w:r>
      <w:r w:rsidR="00CB6052">
        <w:rPr>
          <w:noProof/>
        </w:rPr>
        <w:t>o</w:t>
      </w:r>
      <w:r w:rsidRPr="00602574">
        <w:rPr>
          <w:noProof/>
        </w:rPr>
        <w:t>ption 1 is expected to deliver a moderate improvement in societal outcomes, as longer licence duration and improved roadmap coordination may help accelerate the reduction of disparities in network rollout between urban and rural areas.</w:t>
      </w:r>
    </w:p>
    <w:p w14:paraId="67F39EE1" w14:textId="77777777" w:rsidR="00323740" w:rsidRPr="00602574" w:rsidRDefault="00323740" w:rsidP="00DE7CC1">
      <w:pPr>
        <w:spacing w:line="240" w:lineRule="auto"/>
        <w:rPr>
          <w:noProof/>
        </w:rPr>
      </w:pPr>
      <w:r w:rsidRPr="005C544D">
        <w:rPr>
          <w:rFonts w:eastAsiaTheme="majorEastAsia" w:cstheme="majorBidi"/>
          <w:noProof/>
        </w:rPr>
        <w:t xml:space="preserve">The narrow scope and non-binding nature of measures entails low to moderate </w:t>
      </w:r>
      <w:r w:rsidRPr="005C544D">
        <w:rPr>
          <w:rFonts w:eastAsiaTheme="majorEastAsia" w:cstheme="majorBidi"/>
          <w:b/>
          <w:bCs/>
          <w:noProof/>
        </w:rPr>
        <w:t>costs</w:t>
      </w:r>
      <w:r w:rsidRPr="005C544D">
        <w:rPr>
          <w:rFonts w:eastAsiaTheme="majorEastAsia" w:cstheme="majorBidi"/>
          <w:noProof/>
        </w:rPr>
        <w:t xml:space="preserve"> </w:t>
      </w:r>
      <w:r w:rsidRPr="005C544D">
        <w:rPr>
          <w:rFonts w:eastAsiaTheme="majorEastAsia" w:cstheme="majorBidi"/>
          <w:bCs/>
          <w:noProof/>
        </w:rPr>
        <w:t>for competent authorities and operators</w:t>
      </w:r>
      <w:r w:rsidRPr="005C544D">
        <w:rPr>
          <w:rFonts w:eastAsiaTheme="majorEastAsia" w:cstheme="majorBidi"/>
          <w:noProof/>
        </w:rPr>
        <w:t>, outweighed by benefits. In terms of direct compliance costs, the toolbox of good practices has low compliance burden and limited one-off adjustment costs</w:t>
      </w:r>
      <w:r w:rsidRPr="005C544D">
        <w:rPr>
          <w:rFonts w:eastAsiaTheme="majorEastAsia" w:cstheme="majorBidi"/>
          <w:bCs/>
          <w:noProof/>
        </w:rPr>
        <w:t>.</w:t>
      </w:r>
      <w:r w:rsidRPr="005C544D">
        <w:rPr>
          <w:rFonts w:eastAsiaTheme="majorEastAsia" w:cstheme="majorBidi"/>
          <w:noProof/>
        </w:rPr>
        <w:t xml:space="preserve"> Longer licence duration rules imply changes but will simplify licensing over time. More stringent upfront conditions (e.g. coverage, investment milestones, QoS) may require moderate additional resources. Mandatory peer review would entail modest administrative costs, but legal complexity and enforcement risks are low. Increased coordination of award timing would require regular exchanges between institutions. The structured competition assessment may add modest costs but help prevent distortive awards. </w:t>
      </w:r>
      <w:r w:rsidRPr="00602574">
        <w:rPr>
          <w:rFonts w:eastAsiaTheme="majorEastAsia" w:cstheme="majorBidi"/>
          <w:noProof/>
        </w:rPr>
        <w:t>Promoting flexible authorisation and spectrum sharing in line with competition law may entail moderate compliance costs where new procedures or technical tools are required. Smaller operators may face transitional capacity-building costs, outweighed by efficiency gains in spectrum use.</w:t>
      </w:r>
      <w:r w:rsidRPr="005C544D">
        <w:rPr>
          <w:rFonts w:eastAsiaTheme="majorEastAsia" w:cstheme="majorBidi"/>
          <w:noProof/>
        </w:rPr>
        <w:t xml:space="preserve"> </w:t>
      </w:r>
      <w:r w:rsidRPr="005C544D">
        <w:rPr>
          <w:noProof/>
        </w:rPr>
        <w:t xml:space="preserve">As the measures are largely non-binding and coordination-based, enforcement costs are minimal. Additional monitoring of licence conditions and interference is manageable. </w:t>
      </w:r>
      <w:r w:rsidRPr="00602574">
        <w:rPr>
          <w:noProof/>
        </w:rPr>
        <w:t>In terms of short-term indirect costs, adapting to new licence conditions could require capacity building. Longer licence durations may also reduce flexibility, where needs or technologies evolve rapidly, mitigated by mid-term reviews.</w:t>
      </w:r>
    </w:p>
    <w:p w14:paraId="08230AD7" w14:textId="203C05C7" w:rsidR="00323740" w:rsidRPr="005C544D" w:rsidRDefault="00323740" w:rsidP="00DE7CC1">
      <w:pPr>
        <w:spacing w:line="240" w:lineRule="auto"/>
        <w:rPr>
          <w:noProof/>
          <w:color w:val="000000" w:themeColor="text1"/>
        </w:rPr>
      </w:pPr>
      <w:r w:rsidRPr="005C544D">
        <w:rPr>
          <w:noProof/>
        </w:rPr>
        <w:t xml:space="preserve">Regarding </w:t>
      </w:r>
      <w:r w:rsidRPr="005C544D">
        <w:rPr>
          <w:b/>
          <w:noProof/>
        </w:rPr>
        <w:t>benefits,</w:t>
      </w:r>
      <w:r w:rsidRPr="005C544D">
        <w:rPr>
          <w:noProof/>
        </w:rPr>
        <w:t xml:space="preserve"> r</w:t>
      </w:r>
      <w:r w:rsidRPr="00602574">
        <w:rPr>
          <w:noProof/>
        </w:rPr>
        <w:t xml:space="preserve">egulators and spectrum authorities may see legal costs decline over time through peer learning and reduced litigation or renegotiation. Operators benefit from lower risk premiums and more predictable obligations. A key direct benefit of </w:t>
      </w:r>
      <w:r w:rsidR="00F64AA1">
        <w:rPr>
          <w:noProof/>
        </w:rPr>
        <w:t>o</w:t>
      </w:r>
      <w:r w:rsidR="00F64AA1" w:rsidRPr="00602574">
        <w:rPr>
          <w:noProof/>
        </w:rPr>
        <w:t xml:space="preserve">ption </w:t>
      </w:r>
      <w:r w:rsidRPr="00602574">
        <w:rPr>
          <w:noProof/>
        </w:rPr>
        <w:t xml:space="preserve">1 is the adoption of minimum 25-year licence duration with conditional renewal, balancing investment security and accountability. Good practices for spectrum authorisation may enhance coherence and predictability, improving auction efficiency and leading to more balanced trade-offs between price-based and coverage-based objectives. However, competent authorities would still maintain large flexibility in auction design, limiting predictability in a manner similar to the baseline. Also, the absence of a veto power on market shaping measures might still occasionally lead to insufficient investment incentives and unexploited opportunities to increase quality of service. Mandatory notification of authorisation procedures and peer review would improve transparency in spectrum award conditions. </w:t>
      </w:r>
      <w:r w:rsidRPr="005C544D">
        <w:rPr>
          <w:iCs/>
          <w:noProof/>
          <w:color w:val="000000" w:themeColor="text1"/>
        </w:rPr>
        <w:t xml:space="preserve">Overall, the role of competent authorities, especially regarding measures implemented at national/local level, will be important as they will be the main enforcers of the rules responsible for coherence improvements. </w:t>
      </w:r>
    </w:p>
    <w:p w14:paraId="43639034" w14:textId="3BCE2A18" w:rsidR="00323740" w:rsidRPr="00602574" w:rsidRDefault="00323740" w:rsidP="00DE7CC1">
      <w:pPr>
        <w:spacing w:line="240" w:lineRule="auto"/>
        <w:rPr>
          <w:noProof/>
          <w:sz w:val="22"/>
          <w:szCs w:val="22"/>
        </w:rPr>
      </w:pPr>
      <w:r w:rsidRPr="00602574">
        <w:rPr>
          <w:b/>
          <w:noProof/>
        </w:rPr>
        <w:t>Coordinating award timing</w:t>
      </w:r>
      <w:r w:rsidRPr="00602574">
        <w:rPr>
          <w:noProof/>
        </w:rPr>
        <w:t xml:space="preserve"> on the basis of evolving roadmaps may foster investment planning and incentivise more synchronised technology adoption,</w:t>
      </w:r>
      <w:r w:rsidRPr="00602574">
        <w:rPr>
          <w:b/>
          <w:noProof/>
        </w:rPr>
        <w:t xml:space="preserve"> </w:t>
      </w:r>
      <w:r w:rsidRPr="00602574">
        <w:rPr>
          <w:bCs/>
          <w:noProof/>
        </w:rPr>
        <w:t>especially where competent authorities use their powers to adjust the duration of rights to ensure simultaneous expiry, as currently provided for under Article</w:t>
      </w:r>
      <w:r w:rsidR="00A907F2">
        <w:rPr>
          <w:bCs/>
          <w:noProof/>
        </w:rPr>
        <w:t> </w:t>
      </w:r>
      <w:r w:rsidRPr="00602574">
        <w:rPr>
          <w:bCs/>
          <w:noProof/>
        </w:rPr>
        <w:t>49(4) EECC</w:t>
      </w:r>
      <w:r w:rsidRPr="00602574">
        <w:rPr>
          <w:noProof/>
        </w:rPr>
        <w:t xml:space="preserve">. For end-users, it may lead to better service availability and quality, particularly in border regions affected by interference. By moderately improving policy coherence, reducing fragmentation, and preventing interference, </w:t>
      </w:r>
      <w:r w:rsidR="006D3FF9">
        <w:rPr>
          <w:noProof/>
        </w:rPr>
        <w:t>option</w:t>
      </w:r>
      <w:r w:rsidRPr="00602574">
        <w:rPr>
          <w:noProof/>
        </w:rPr>
        <w:t xml:space="preserve"> 1 contributes to wider macroeconomic and social benefits. Efforts for prior coordination in harmonisation work within CEPT in security or technology sovereignty may promote early alignment on sensitive topics, fostering a more cohesive EU position. Good practices for spectrum sharing and flexible authorisations may enhance </w:t>
      </w:r>
      <w:r w:rsidRPr="00602574">
        <w:rPr>
          <w:b/>
          <w:noProof/>
        </w:rPr>
        <w:t xml:space="preserve">efficient spectrum use </w:t>
      </w:r>
      <w:r w:rsidRPr="005C544D">
        <w:rPr>
          <w:bCs/>
          <w:noProof/>
        </w:rPr>
        <w:t>by</w:t>
      </w:r>
      <w:r w:rsidRPr="00602574">
        <w:rPr>
          <w:b/>
          <w:noProof/>
        </w:rPr>
        <w:t xml:space="preserve"> </w:t>
      </w:r>
      <w:r w:rsidRPr="00602574">
        <w:rPr>
          <w:noProof/>
        </w:rPr>
        <w:t>exploiting underused bands more efficiently. Common criteria and structured peer review may bring some alignment of competition assessments and moderately improve legal certainty</w:t>
      </w:r>
      <w:r w:rsidRPr="00602574">
        <w:rPr>
          <w:noProof/>
          <w:sz w:val="22"/>
          <w:szCs w:val="22"/>
        </w:rPr>
        <w:t>.</w:t>
      </w:r>
    </w:p>
    <w:p w14:paraId="3770BA25" w14:textId="3BC88886" w:rsidR="00153F5E" w:rsidRPr="00DE264C" w:rsidRDefault="00CC2457" w:rsidP="001F43B2">
      <w:pPr>
        <w:pStyle w:val="Heading3"/>
        <w:spacing w:before="240"/>
        <w:ind w:left="720"/>
        <w:rPr>
          <w:noProof/>
        </w:rPr>
      </w:pPr>
      <w:bookmarkStart w:id="289" w:name="_Toc214467740"/>
      <w:bookmarkStart w:id="290" w:name="_Toc215083762"/>
      <w:bookmarkStart w:id="291" w:name="_Toc215083792"/>
      <w:bookmarkStart w:id="292" w:name="_Toc219212528"/>
      <w:bookmarkStart w:id="293" w:name="_Toc219718183"/>
      <w:r w:rsidRPr="00DE264C">
        <w:rPr>
          <w:noProof/>
        </w:rPr>
        <w:t xml:space="preserve">Option 2: </w:t>
      </w:r>
      <w:r w:rsidR="00853666" w:rsidRPr="00DE264C">
        <w:rPr>
          <w:noProof/>
        </w:rPr>
        <w:t xml:space="preserve">More </w:t>
      </w:r>
      <w:r w:rsidRPr="00DE264C">
        <w:rPr>
          <w:noProof/>
        </w:rPr>
        <w:t>S</w:t>
      </w:r>
      <w:r w:rsidR="00853666" w:rsidRPr="00DE264C">
        <w:rPr>
          <w:noProof/>
        </w:rPr>
        <w:t xml:space="preserve">ingle </w:t>
      </w:r>
      <w:r w:rsidRPr="00DE264C">
        <w:rPr>
          <w:noProof/>
        </w:rPr>
        <w:t>M</w:t>
      </w:r>
      <w:r w:rsidR="00853666" w:rsidRPr="00DE264C">
        <w:rPr>
          <w:noProof/>
        </w:rPr>
        <w:t>arket to enhance investment</w:t>
      </w:r>
      <w:r w:rsidR="006C6017" w:rsidRPr="00DE264C">
        <w:rPr>
          <w:noProof/>
        </w:rPr>
        <w:t xml:space="preserve"> and</w:t>
      </w:r>
      <w:r w:rsidR="00853666" w:rsidRPr="00DE264C">
        <w:rPr>
          <w:noProof/>
        </w:rPr>
        <w:t xml:space="preserve"> innovation</w:t>
      </w:r>
      <w:bookmarkEnd w:id="289"/>
      <w:bookmarkEnd w:id="290"/>
      <w:bookmarkEnd w:id="291"/>
      <w:bookmarkEnd w:id="292"/>
      <w:bookmarkEnd w:id="293"/>
    </w:p>
    <w:p w14:paraId="4A5D30A3" w14:textId="5595A8D7" w:rsidR="007B7035" w:rsidRPr="005C544D" w:rsidRDefault="007B7035" w:rsidP="00DE7CC1">
      <w:pPr>
        <w:spacing w:line="240" w:lineRule="auto"/>
        <w:rPr>
          <w:rFonts w:eastAsia="Calibri"/>
          <w:bCs/>
          <w:noProof/>
        </w:rPr>
      </w:pPr>
      <w:r w:rsidRPr="00602574">
        <w:rPr>
          <w:rFonts w:eastAsia="Calibri"/>
          <w:bCs/>
          <w:noProof/>
        </w:rPr>
        <w:t>Consistent</w:t>
      </w:r>
      <w:r w:rsidRPr="005C544D">
        <w:rPr>
          <w:rFonts w:eastAsia="Calibri"/>
          <w:bCs/>
          <w:noProof/>
        </w:rPr>
        <w:t xml:space="preserve"> and investment-friendly spectrum policies foster macroeconomic growth by accelerating network upgrades, coverage, private infrastructure spending and regional digital cohesion. Findings from </w:t>
      </w:r>
      <w:r w:rsidRPr="00602574">
        <w:rPr>
          <w:rFonts w:eastAsia="Calibri"/>
          <w:bCs/>
          <w:noProof/>
        </w:rPr>
        <w:t>the</w:t>
      </w:r>
      <w:r w:rsidRPr="005C544D">
        <w:rPr>
          <w:rFonts w:eastAsia="Calibri"/>
          <w:bCs/>
          <w:noProof/>
        </w:rPr>
        <w:t xml:space="preserve"> analysis of regulatory approaches and market outcomes presented in </w:t>
      </w:r>
      <w:r w:rsidR="00440740">
        <w:rPr>
          <w:rFonts w:eastAsia="Calibri"/>
          <w:bCs/>
          <w:noProof/>
        </w:rPr>
        <w:t>section</w:t>
      </w:r>
      <w:r w:rsidRPr="005C544D">
        <w:rPr>
          <w:rFonts w:eastAsia="Calibri"/>
          <w:bCs/>
          <w:noProof/>
        </w:rPr>
        <w:t xml:space="preserve"> 2.2.2.3 and Annex 4 </w:t>
      </w:r>
      <w:r w:rsidR="00440740">
        <w:rPr>
          <w:rFonts w:eastAsia="Calibri"/>
          <w:bCs/>
          <w:noProof/>
        </w:rPr>
        <w:t>section</w:t>
      </w:r>
      <w:r w:rsidRPr="005C544D">
        <w:rPr>
          <w:rFonts w:eastAsia="Calibri"/>
          <w:bCs/>
          <w:noProof/>
        </w:rPr>
        <w:t xml:space="preserve"> 3 indicate that more investment-friendly auction designs can ease cost pressures on operators, create better incentives for network upgrades and contribute to lower consumer prices. While the underlying correlations do not imply causality, they provide a useful signal of how market conditions may evolve under different award designs. In this sense, limiting set-asides and reservations under </w:t>
      </w:r>
      <w:r w:rsidR="006D3FF9">
        <w:rPr>
          <w:rFonts w:eastAsia="Calibri"/>
          <w:bCs/>
          <w:noProof/>
        </w:rPr>
        <w:t>option</w:t>
      </w:r>
      <w:r w:rsidRPr="005C544D">
        <w:rPr>
          <w:rFonts w:eastAsia="Calibri"/>
          <w:bCs/>
          <w:noProof/>
        </w:rPr>
        <w:t xml:space="preserve"> 2 could facilitate lower spectrum costs for operators and improvements in 5G download speeds. </w:t>
      </w:r>
      <w:r w:rsidR="00867D05">
        <w:rPr>
          <w:rFonts w:eastAsia="Calibri"/>
          <w:bCs/>
          <w:noProof/>
        </w:rPr>
        <w:t xml:space="preserve">Increasing </w:t>
      </w:r>
      <w:r w:rsidR="007D14EC">
        <w:rPr>
          <w:rFonts w:eastAsia="Calibri"/>
          <w:bCs/>
          <w:noProof/>
        </w:rPr>
        <w:t xml:space="preserve">burden of proof for </w:t>
      </w:r>
      <w:r w:rsidRPr="005C544D">
        <w:rPr>
          <w:rFonts w:eastAsia="Calibri"/>
          <w:bCs/>
          <w:noProof/>
        </w:rPr>
        <w:t>access obligations could help remove constraints on deployment, thereby enabling more extensive 5G population coverage. Furthermore, a progressive reduction of prices that MNOs pay per MHz/pop could potentially support higher 5G speeds.</w:t>
      </w:r>
      <w:r w:rsidRPr="551687C0">
        <w:rPr>
          <w:rStyle w:val="FootnoteReference"/>
          <w:rFonts w:eastAsia="EYInterstate Light"/>
          <w:noProof/>
        </w:rPr>
        <w:t xml:space="preserve"> </w:t>
      </w:r>
      <w:r w:rsidRPr="00602574">
        <w:rPr>
          <w:rStyle w:val="FootnoteReference"/>
          <w:rFonts w:eastAsia="EYInterstate Light"/>
          <w:noProof/>
          <w:kern w:val="2"/>
        </w:rPr>
        <w:footnoteReference w:id="231"/>
      </w:r>
      <w:r w:rsidRPr="005C544D">
        <w:rPr>
          <w:rFonts w:eastAsia="Calibri"/>
          <w:bCs/>
          <w:noProof/>
        </w:rPr>
        <w:t xml:space="preserve"> </w:t>
      </w:r>
    </w:p>
    <w:p w14:paraId="741FC9DC" w14:textId="25310A24" w:rsidR="007B7035" w:rsidRPr="005C544D" w:rsidRDefault="007B7035" w:rsidP="00DE7CC1">
      <w:pPr>
        <w:spacing w:line="240" w:lineRule="auto"/>
        <w:rPr>
          <w:rFonts w:eastAsia="MS Mincho"/>
          <w:noProof/>
          <w:highlight w:val="yellow"/>
        </w:rPr>
      </w:pPr>
      <w:r w:rsidRPr="00602574">
        <w:rPr>
          <w:rFonts w:eastAsia="MS Mincho"/>
          <w:noProof/>
        </w:rPr>
        <w:t xml:space="preserve">The main </w:t>
      </w:r>
      <w:r w:rsidRPr="00602574">
        <w:rPr>
          <w:rFonts w:eastAsia="MS Mincho"/>
          <w:b/>
          <w:bCs/>
          <w:noProof/>
        </w:rPr>
        <w:t>economic impact</w:t>
      </w:r>
      <w:r w:rsidRPr="00602574">
        <w:rPr>
          <w:rFonts w:eastAsia="MS Mincho"/>
          <w:noProof/>
        </w:rPr>
        <w:t xml:space="preserve"> of </w:t>
      </w:r>
      <w:r w:rsidR="006D3FF9">
        <w:rPr>
          <w:rFonts w:eastAsia="MS Mincho"/>
          <w:noProof/>
        </w:rPr>
        <w:t>option</w:t>
      </w:r>
      <w:r w:rsidRPr="00602574">
        <w:rPr>
          <w:rFonts w:eastAsia="MS Mincho"/>
          <w:noProof/>
        </w:rPr>
        <w:t xml:space="preserve"> 2 is greater investment in high-quality mobile networks driven by a more harmonised spectrum policy, which improves predictability, reduces fragmentation and strengthens investment incentives, leading to increased quality of mobile connectivity for end users. Part of its impact on GDP over 2025 to 2035 is estimated using the model linking changes in midband coverage, take up and speed to GDP.</w:t>
      </w:r>
      <w:r w:rsidRPr="00602574">
        <w:rPr>
          <w:rStyle w:val="FootnoteReference"/>
          <w:rFonts w:eastAsia="MS Mincho"/>
          <w:noProof/>
        </w:rPr>
        <w:footnoteReference w:id="232"/>
      </w:r>
      <w:r w:rsidRPr="00602574">
        <w:rPr>
          <w:rFonts w:eastAsia="MS Mincho"/>
          <w:noProof/>
        </w:rPr>
        <w:t xml:space="preserve"> </w:t>
      </w:r>
      <w:r w:rsidRPr="00602574">
        <w:rPr>
          <w:rFonts w:eastAsia="Times New Roman"/>
          <w:noProof/>
          <w:color w:val="000000" w:themeColor="text1"/>
        </w:rPr>
        <w:t xml:space="preserve">The model </w:t>
      </w:r>
      <w:r>
        <w:rPr>
          <w:rFonts w:eastAsia="Times New Roman"/>
          <w:noProof/>
          <w:color w:val="000000" w:themeColor="text1"/>
        </w:rPr>
        <w:t>projects</w:t>
      </w:r>
      <w:r w:rsidRPr="00602574">
        <w:rPr>
          <w:rFonts w:eastAsia="Times New Roman"/>
          <w:noProof/>
          <w:color w:val="000000" w:themeColor="text1"/>
        </w:rPr>
        <w:t xml:space="preserve"> an increase in mid-band coverage from around 67% today to approximately 96% by 2035 under option 2, considering any mid-band spectrum.</w:t>
      </w:r>
      <w:r w:rsidRPr="00602574">
        <w:rPr>
          <w:rStyle w:val="FootnoteReference"/>
          <w:rFonts w:eastAsia="Times New Roman"/>
          <w:noProof/>
          <w:color w:val="000000" w:themeColor="text1"/>
        </w:rPr>
        <w:footnoteReference w:id="233"/>
      </w:r>
      <w:r w:rsidRPr="00602574">
        <w:rPr>
          <w:rFonts w:eastAsia="Times New Roman"/>
          <w:noProof/>
          <w:color w:val="000000" w:themeColor="text1"/>
        </w:rPr>
        <w:t xml:space="preserve"> </w:t>
      </w:r>
      <w:r w:rsidRPr="00602574">
        <w:rPr>
          <w:rFonts w:eastAsia="MS Mincho"/>
          <w:noProof/>
        </w:rPr>
        <w:t>This option’s overall indicative GDP impact for the EU over 2025 to 2035 is estimated at EUR</w:t>
      </w:r>
      <w:r w:rsidR="00CE733B">
        <w:rPr>
          <w:rFonts w:eastAsia="MS Mincho"/>
          <w:noProof/>
        </w:rPr>
        <w:t xml:space="preserve"> </w:t>
      </w:r>
      <w:r w:rsidRPr="00602574">
        <w:rPr>
          <w:rFonts w:eastAsia="MS Mincho"/>
          <w:noProof/>
        </w:rPr>
        <w:t>1</w:t>
      </w:r>
      <w:r w:rsidR="008B4558">
        <w:rPr>
          <w:rFonts w:eastAsia="MS Mincho"/>
          <w:noProof/>
        </w:rPr>
        <w:t> </w:t>
      </w:r>
      <w:r w:rsidRPr="00602574">
        <w:rPr>
          <w:rFonts w:eastAsia="MS Mincho"/>
          <w:noProof/>
        </w:rPr>
        <w:t>553 billion compared to EUR</w:t>
      </w:r>
      <w:r w:rsidR="004C6C58">
        <w:rPr>
          <w:rFonts w:eastAsia="MS Mincho"/>
          <w:noProof/>
        </w:rPr>
        <w:t> </w:t>
      </w:r>
      <w:r w:rsidRPr="00602574">
        <w:rPr>
          <w:rFonts w:eastAsia="MS Mincho"/>
          <w:noProof/>
        </w:rPr>
        <w:t>1</w:t>
      </w:r>
      <w:r w:rsidR="00D23C5D">
        <w:rPr>
          <w:rFonts w:eastAsia="MS Mincho"/>
          <w:noProof/>
        </w:rPr>
        <w:t> </w:t>
      </w:r>
      <w:r w:rsidR="00CE733B" w:rsidRPr="00602574">
        <w:rPr>
          <w:rFonts w:eastAsia="MS Mincho"/>
          <w:noProof/>
        </w:rPr>
        <w:t>48</w:t>
      </w:r>
      <w:r w:rsidR="00CE733B">
        <w:rPr>
          <w:rFonts w:eastAsia="MS Mincho"/>
          <w:noProof/>
        </w:rPr>
        <w:t>0</w:t>
      </w:r>
      <w:r w:rsidR="00CE733B" w:rsidRPr="00602574">
        <w:rPr>
          <w:rFonts w:eastAsia="MS Mincho"/>
          <w:noProof/>
        </w:rPr>
        <w:t xml:space="preserve"> </w:t>
      </w:r>
      <w:r w:rsidRPr="00602574">
        <w:rPr>
          <w:rFonts w:eastAsia="MS Mincho"/>
          <w:noProof/>
        </w:rPr>
        <w:t>billion under the baseline. A sensitivity analysis accounting for potential uncertainties of the model yields a GDP impact ranging from EUR 179 to EUR</w:t>
      </w:r>
      <w:r w:rsidR="00CE733B">
        <w:rPr>
          <w:rFonts w:eastAsia="MS Mincho"/>
          <w:noProof/>
        </w:rPr>
        <w:t xml:space="preserve"> </w:t>
      </w:r>
      <w:r w:rsidRPr="00602574">
        <w:rPr>
          <w:rFonts w:eastAsia="MS Mincho"/>
          <w:noProof/>
        </w:rPr>
        <w:t>2</w:t>
      </w:r>
      <w:r w:rsidR="00D23C5D">
        <w:rPr>
          <w:rFonts w:eastAsia="MS Mincho"/>
          <w:noProof/>
        </w:rPr>
        <w:t> </w:t>
      </w:r>
      <w:r w:rsidRPr="00602574">
        <w:rPr>
          <w:rFonts w:eastAsia="MS Mincho"/>
          <w:noProof/>
        </w:rPr>
        <w:t>116 billion, with the lower bound reflecting model conservatism and the upper bound representing upside potential from increased 5G mobile broadband speeds.</w:t>
      </w:r>
      <w:r w:rsidRPr="005C544D">
        <w:rPr>
          <w:rFonts w:eastAsia="Calibri"/>
          <w:noProof/>
          <w:vertAlign w:val="superscript"/>
        </w:rPr>
        <w:footnoteReference w:id="234"/>
      </w:r>
      <w:r w:rsidRPr="00602574">
        <w:rPr>
          <w:rFonts w:eastAsia="MS Mincho"/>
          <w:noProof/>
        </w:rPr>
        <w:t xml:space="preserve"> </w:t>
      </w:r>
      <w:r w:rsidRPr="00A630DD">
        <w:rPr>
          <w:rFonts w:eastAsia="MS Mincho"/>
          <w:noProof/>
        </w:rPr>
        <w:t>Beyond the modelled estimates</w:t>
      </w:r>
      <w:r w:rsidRPr="00A630DD">
        <w:rPr>
          <w:rFonts w:eastAsia="Calibri"/>
          <w:noProof/>
          <w:vertAlign w:val="superscript"/>
        </w:rPr>
        <w:footnoteReference w:id="235"/>
      </w:r>
      <w:r w:rsidRPr="00A630DD">
        <w:rPr>
          <w:rFonts w:eastAsia="MS Mincho"/>
          <w:noProof/>
        </w:rPr>
        <w:t>, additional spillover effects on different sectors are expected from enhanced 5G and IoT deployment.</w:t>
      </w:r>
      <w:r w:rsidRPr="00A630DD">
        <w:rPr>
          <w:rStyle w:val="FootnoteReference"/>
          <w:rFonts w:eastAsia="Calibri"/>
          <w:noProof/>
        </w:rPr>
        <w:footnoteReference w:id="236"/>
      </w:r>
      <w:r w:rsidRPr="00A630DD">
        <w:rPr>
          <w:rFonts w:eastAsia="MS Mincho"/>
          <w:noProof/>
        </w:rPr>
        <w:t xml:space="preserve"> The model can also not quantify longer-term effects related to the acceleration of 6G deployment and additional economies of scale, expected to materialise towards and beyond 2035. When comparing the options, these effects are taken into account qualitatively.</w:t>
      </w:r>
    </w:p>
    <w:p w14:paraId="028FFC4E" w14:textId="0024745F" w:rsidR="007B7035" w:rsidRPr="005C544D" w:rsidRDefault="007C258F" w:rsidP="00DE7CC1">
      <w:pPr>
        <w:spacing w:line="240" w:lineRule="auto"/>
        <w:rPr>
          <w:rFonts w:eastAsia="Times New Roman"/>
          <w:noProof/>
          <w:color w:val="000000" w:themeColor="text1"/>
        </w:rPr>
      </w:pPr>
      <w:bookmarkStart w:id="294" w:name="_Hlk216705199"/>
      <w:r>
        <w:rPr>
          <w:rFonts w:eastAsiaTheme="minorEastAsia"/>
          <w:noProof/>
        </w:rPr>
        <w:t>o</w:t>
      </w:r>
      <w:r w:rsidR="007B7035" w:rsidRPr="005C544D">
        <w:rPr>
          <w:rFonts w:eastAsiaTheme="minorEastAsia"/>
          <w:noProof/>
        </w:rPr>
        <w:t>ption 2 is expected to generate additional GDP effects due to timely 6G deployment, but this impact can</w:t>
      </w:r>
      <w:r w:rsidR="007B7035" w:rsidRPr="00602574">
        <w:rPr>
          <w:rFonts w:eastAsiaTheme="minorEastAsia"/>
          <w:noProof/>
        </w:rPr>
        <w:t>not be quantified yet</w:t>
      </w:r>
      <w:r w:rsidR="007B7035">
        <w:rPr>
          <w:rFonts w:eastAsiaTheme="minorEastAsia"/>
          <w:noProof/>
        </w:rPr>
        <w:t xml:space="preserve"> </w:t>
      </w:r>
      <w:r w:rsidR="007B7035">
        <w:rPr>
          <w:noProof/>
        </w:rPr>
        <w:t>given t</w:t>
      </w:r>
      <w:r w:rsidR="007B7035" w:rsidRPr="00602574">
        <w:rPr>
          <w:noProof/>
        </w:rPr>
        <w:t>he technology is still under development, meaning real-world data on adoption, performance, and impact on productivity or GDP is</w:t>
      </w:r>
      <w:r w:rsidR="007B7035">
        <w:rPr>
          <w:noProof/>
        </w:rPr>
        <w:t xml:space="preserve"> not available</w:t>
      </w:r>
      <w:r w:rsidR="007B7035" w:rsidRPr="005C544D">
        <w:rPr>
          <w:rFonts w:eastAsiaTheme="minorEastAsia"/>
          <w:noProof/>
        </w:rPr>
        <w:t>.</w:t>
      </w:r>
      <w:r w:rsidR="007B7035" w:rsidRPr="005C544D">
        <w:rPr>
          <w:rFonts w:eastAsiaTheme="minorEastAsia"/>
          <w:noProof/>
          <w:sz w:val="22"/>
          <w:szCs w:val="22"/>
          <w:vertAlign w:val="superscript"/>
        </w:rPr>
        <w:footnoteReference w:id="237"/>
      </w:r>
      <w:r w:rsidR="007B7035" w:rsidRPr="005C544D">
        <w:rPr>
          <w:rFonts w:eastAsiaTheme="minorEastAsia"/>
          <w:noProof/>
          <w:sz w:val="22"/>
          <w:szCs w:val="22"/>
        </w:rPr>
        <w:t xml:space="preserve"> </w:t>
      </w:r>
      <w:r w:rsidR="007B7035" w:rsidRPr="005C544D">
        <w:rPr>
          <w:rFonts w:eastAsiaTheme="minorEastAsia"/>
          <w:noProof/>
        </w:rPr>
        <w:t>Early standardi</w:t>
      </w:r>
      <w:r w:rsidR="007B7035" w:rsidRPr="00602574">
        <w:rPr>
          <w:rFonts w:eastAsiaTheme="minorEastAsia"/>
          <w:noProof/>
        </w:rPr>
        <w:t>s</w:t>
      </w:r>
      <w:r w:rsidR="007B7035" w:rsidRPr="005C544D">
        <w:rPr>
          <w:rFonts w:eastAsiaTheme="minorEastAsia"/>
          <w:noProof/>
        </w:rPr>
        <w:t>ation efforts and research roadmaps suggest that 6G will enable enhanced capabilities (such as real-time distributed intelligence, ultra-low latency, integrated sensing and communication, and improved energy efficiency), with potentially cross-sectoral economic benefits similar or even superior to those of 5G</w:t>
      </w:r>
      <w:r w:rsidR="007B7035" w:rsidRPr="005C544D">
        <w:rPr>
          <w:rFonts w:eastAsiaTheme="minorEastAsia"/>
          <w:noProof/>
          <w:sz w:val="22"/>
          <w:szCs w:val="22"/>
        </w:rPr>
        <w:t xml:space="preserve">. </w:t>
      </w:r>
      <w:r>
        <w:rPr>
          <w:noProof/>
          <w:color w:val="000000" w:themeColor="text1"/>
        </w:rPr>
        <w:t>o</w:t>
      </w:r>
      <w:r w:rsidR="007B7035" w:rsidRPr="00602574">
        <w:rPr>
          <w:noProof/>
          <w:color w:val="000000" w:themeColor="text1"/>
        </w:rPr>
        <w:t>ption 2 will enable a smooth transition to the next generation of mobile networks</w:t>
      </w:r>
      <w:r w:rsidR="007B7035" w:rsidRPr="00602574">
        <w:rPr>
          <w:rFonts w:eastAsia="Times New Roman"/>
          <w:noProof/>
          <w:color w:val="000000" w:themeColor="text1"/>
        </w:rPr>
        <w:t xml:space="preserve"> </w:t>
      </w:r>
      <w:r w:rsidR="007B7035" w:rsidRPr="005C544D">
        <w:rPr>
          <w:noProof/>
          <w:color w:val="000000" w:themeColor="text1"/>
        </w:rPr>
        <w:t>(6G)</w:t>
      </w:r>
      <w:r w:rsidR="007B7035" w:rsidRPr="005C544D">
        <w:rPr>
          <w:rFonts w:eastAsia="Times New Roman"/>
          <w:noProof/>
          <w:color w:val="000000" w:themeColor="text1"/>
        </w:rPr>
        <w:t xml:space="preserve"> which is essential to ensure Europe’s position at the forefront of innovation. The first complete 6G standard (3GPP Release 21) is expected by 2028, with early commercial deployments starting around 2030</w:t>
      </w:r>
      <w:r w:rsidR="007B7035">
        <w:rPr>
          <w:rFonts w:eastAsia="Times New Roman"/>
          <w:noProof/>
          <w:color w:val="000000" w:themeColor="text1"/>
        </w:rPr>
        <w:t>.</w:t>
      </w:r>
      <w:r w:rsidR="007B7035" w:rsidRPr="000477EA">
        <w:rPr>
          <w:rFonts w:eastAsiaTheme="minorEastAsia"/>
          <w:noProof/>
          <w:sz w:val="22"/>
          <w:szCs w:val="22"/>
          <w:vertAlign w:val="superscript"/>
        </w:rPr>
        <w:footnoteReference w:id="238"/>
      </w:r>
      <w:r w:rsidR="007B7035" w:rsidRPr="005C544D">
        <w:rPr>
          <w:rFonts w:eastAsia="Times New Roman"/>
          <w:noProof/>
          <w:color w:val="000000" w:themeColor="text1"/>
        </w:rPr>
        <w:t xml:space="preserve"> The upcoming EU-level spectrum regulatory decisions will thus be crucial in shaping the conditions for early trials, early planning, industrial uptake, and Europe’s global competitiveness to ensure that the EU will close the gap with countries such as the US, China, South Korea. </w:t>
      </w:r>
      <w:r w:rsidR="007B7035" w:rsidRPr="00602574">
        <w:rPr>
          <w:rFonts w:eastAsia="Times New Roman"/>
          <w:noProof/>
          <w:color w:val="000000" w:themeColor="text1"/>
        </w:rPr>
        <w:t>In this context, by reducing the time between Commission harmonisation decisions and national authorisations to less than 24 months, option 2 would facilitate fast and simultaneous 6G deployment across the EU. However, due to the lack of reliable data, the analysis does not include a precise assessment of network densification, and it is thus not possible to quantify to what extent the initially estimated EUR 33 billion investment needs may be reduced.</w:t>
      </w:r>
    </w:p>
    <w:bookmarkEnd w:id="294"/>
    <w:p w14:paraId="68CEE7B8" w14:textId="635C9638" w:rsidR="007B7035" w:rsidRPr="00602574" w:rsidRDefault="007B7035" w:rsidP="00DE7CC1">
      <w:pPr>
        <w:pStyle w:val="CommentText"/>
        <w:spacing w:line="240" w:lineRule="auto"/>
        <w:rPr>
          <w:noProof/>
          <w:sz w:val="24"/>
          <w:szCs w:val="24"/>
        </w:rPr>
      </w:pPr>
      <w:r w:rsidRPr="005C544D">
        <w:rPr>
          <w:noProof/>
          <w:sz w:val="24"/>
          <w:szCs w:val="24"/>
        </w:rPr>
        <w:t xml:space="preserve">The </w:t>
      </w:r>
      <w:r w:rsidRPr="005C544D">
        <w:rPr>
          <w:b/>
          <w:bCs/>
          <w:noProof/>
          <w:sz w:val="24"/>
          <w:szCs w:val="24"/>
        </w:rPr>
        <w:t>environmental footprint</w:t>
      </w:r>
      <w:r w:rsidRPr="005C544D">
        <w:rPr>
          <w:noProof/>
          <w:sz w:val="24"/>
          <w:szCs w:val="24"/>
        </w:rPr>
        <w:t xml:space="preserve"> of 5G mobile networks under </w:t>
      </w:r>
      <w:r w:rsidR="002428CC">
        <w:rPr>
          <w:noProof/>
          <w:sz w:val="24"/>
          <w:szCs w:val="24"/>
        </w:rPr>
        <w:t>o</w:t>
      </w:r>
      <w:r w:rsidR="006D3FF9">
        <w:rPr>
          <w:noProof/>
          <w:sz w:val="24"/>
          <w:szCs w:val="24"/>
        </w:rPr>
        <w:t>ption</w:t>
      </w:r>
      <w:r w:rsidRPr="00602574">
        <w:rPr>
          <w:noProof/>
          <w:sz w:val="24"/>
          <w:szCs w:val="24"/>
        </w:rPr>
        <w:t xml:space="preserve"> 2 is estimated at 5</w:t>
      </w:r>
      <w:r w:rsidR="00CD59B2">
        <w:rPr>
          <w:noProof/>
          <w:sz w:val="24"/>
          <w:szCs w:val="24"/>
        </w:rPr>
        <w:t>,</w:t>
      </w:r>
      <w:r>
        <w:rPr>
          <w:noProof/>
          <w:sz w:val="24"/>
          <w:szCs w:val="24"/>
        </w:rPr>
        <w:t>250</w:t>
      </w:r>
      <w:r w:rsidR="00CD59B2">
        <w:rPr>
          <w:noProof/>
          <w:sz w:val="24"/>
          <w:szCs w:val="24"/>
        </w:rPr>
        <w:t>,</w:t>
      </w:r>
      <w:r>
        <w:rPr>
          <w:noProof/>
          <w:sz w:val="24"/>
          <w:szCs w:val="24"/>
        </w:rPr>
        <w:t>198</w:t>
      </w:r>
      <w:r w:rsidRPr="00602574">
        <w:rPr>
          <w:noProof/>
          <w:sz w:val="24"/>
          <w:szCs w:val="24"/>
        </w:rPr>
        <w:t xml:space="preserve"> t </w:t>
      </w:r>
      <w:r w:rsidRPr="005C544D">
        <w:rPr>
          <w:rFonts w:eastAsia="Times New Roman"/>
          <w:noProof/>
          <w:color w:val="000000" w:themeColor="text1"/>
          <w:sz w:val="24"/>
          <w:szCs w:val="24"/>
        </w:rPr>
        <w:t>CO₂eq</w:t>
      </w:r>
      <w:r w:rsidRPr="00602574">
        <w:rPr>
          <w:noProof/>
          <w:sz w:val="24"/>
          <w:szCs w:val="24"/>
        </w:rPr>
        <w:t xml:space="preserve"> mobile/wireless broadband network emissions, lower than the 5</w:t>
      </w:r>
      <w:r w:rsidR="00CD59B2">
        <w:rPr>
          <w:noProof/>
          <w:sz w:val="24"/>
          <w:szCs w:val="24"/>
        </w:rPr>
        <w:t>,</w:t>
      </w:r>
      <w:r>
        <w:rPr>
          <w:noProof/>
          <w:sz w:val="24"/>
          <w:szCs w:val="24"/>
        </w:rPr>
        <w:t>257</w:t>
      </w:r>
      <w:r w:rsidR="00CD59B2">
        <w:rPr>
          <w:noProof/>
          <w:sz w:val="24"/>
          <w:szCs w:val="24"/>
        </w:rPr>
        <w:t>,</w:t>
      </w:r>
      <w:r>
        <w:rPr>
          <w:noProof/>
          <w:sz w:val="24"/>
          <w:szCs w:val="24"/>
        </w:rPr>
        <w:t>074</w:t>
      </w:r>
      <w:r w:rsidRPr="00602574">
        <w:rPr>
          <w:noProof/>
          <w:sz w:val="24"/>
          <w:szCs w:val="24"/>
        </w:rPr>
        <w:t xml:space="preserve"> t </w:t>
      </w:r>
      <w:r w:rsidRPr="005C544D">
        <w:rPr>
          <w:rFonts w:eastAsia="Times New Roman"/>
          <w:noProof/>
          <w:color w:val="000000" w:themeColor="text1"/>
          <w:sz w:val="24"/>
          <w:szCs w:val="24"/>
        </w:rPr>
        <w:t>CO₂eq</w:t>
      </w:r>
      <w:r w:rsidRPr="00602574">
        <w:rPr>
          <w:noProof/>
          <w:sz w:val="24"/>
          <w:szCs w:val="24"/>
        </w:rPr>
        <w:t xml:space="preserve"> under the baseline.</w:t>
      </w:r>
      <w:r w:rsidRPr="005C544D">
        <w:rPr>
          <w:noProof/>
          <w:sz w:val="24"/>
          <w:szCs w:val="24"/>
        </w:rPr>
        <w:t xml:space="preserve"> </w:t>
      </w:r>
      <w:r w:rsidRPr="00051639">
        <w:rPr>
          <w:noProof/>
          <w:sz w:val="24"/>
          <w:szCs w:val="24"/>
        </w:rPr>
        <w:t xml:space="preserve">When monetised, environmental impacts under </w:t>
      </w:r>
      <w:r w:rsidR="006D3FF9">
        <w:rPr>
          <w:noProof/>
          <w:sz w:val="24"/>
          <w:szCs w:val="24"/>
        </w:rPr>
        <w:t>option</w:t>
      </w:r>
      <w:r w:rsidRPr="00051639">
        <w:rPr>
          <w:noProof/>
          <w:sz w:val="24"/>
          <w:szCs w:val="24"/>
        </w:rPr>
        <w:t xml:space="preserve"> 2 are estimated at around EUR 4.62 billion</w:t>
      </w:r>
      <w:r>
        <w:rPr>
          <w:noProof/>
          <w:sz w:val="24"/>
          <w:szCs w:val="24"/>
        </w:rPr>
        <w:t xml:space="preserve">, compared to </w:t>
      </w:r>
      <w:r w:rsidRPr="00051639">
        <w:rPr>
          <w:noProof/>
          <w:sz w:val="24"/>
          <w:szCs w:val="24"/>
        </w:rPr>
        <w:t>EUR 4.6</w:t>
      </w:r>
      <w:r>
        <w:rPr>
          <w:noProof/>
          <w:sz w:val="24"/>
          <w:szCs w:val="24"/>
        </w:rPr>
        <w:t>3</w:t>
      </w:r>
      <w:r w:rsidRPr="00051639">
        <w:rPr>
          <w:noProof/>
          <w:sz w:val="24"/>
          <w:szCs w:val="24"/>
        </w:rPr>
        <w:t xml:space="preserve"> billion</w:t>
      </w:r>
      <w:r>
        <w:rPr>
          <w:noProof/>
          <w:sz w:val="24"/>
          <w:szCs w:val="24"/>
        </w:rPr>
        <w:t xml:space="preserve"> under the baseline. </w:t>
      </w:r>
      <w:r w:rsidRPr="00602574">
        <w:rPr>
          <w:noProof/>
          <w:sz w:val="24"/>
          <w:szCs w:val="24"/>
        </w:rPr>
        <w:t>The reported values reflect a defined set of assumptions and should be interpreted as outputs of a scenario-based estimation rather than as precise measurements. The uncertainty range around these values depends on the sensitivity of key parameters and is addressed via a sensitivity analysis.</w:t>
      </w:r>
      <w:r w:rsidRPr="00602574">
        <w:rPr>
          <w:rStyle w:val="FootnoteReference"/>
          <w:noProof/>
        </w:rPr>
        <w:footnoteReference w:id="239"/>
      </w:r>
      <w:r w:rsidRPr="005C544D">
        <w:rPr>
          <w:noProof/>
          <w:sz w:val="24"/>
          <w:szCs w:val="24"/>
        </w:rPr>
        <w:t>Across all options, emissions are projected to fall by more than 96% between 2025 and 2035, mainly due to substantial reductions in electricity consumption per gigabyte enabled by new mobile technologies. Differences between options are negligible.</w:t>
      </w:r>
      <w:r w:rsidRPr="00602574">
        <w:rPr>
          <w:noProof/>
          <w:sz w:val="24"/>
          <w:szCs w:val="24"/>
        </w:rPr>
        <w:t xml:space="preserve"> Option 2 will also accelerate spectrum assignment and subsequent deployment of future mobile generations such as 6G, which are being designed with energy efficiency and renewable energy integration as core principles.</w:t>
      </w:r>
      <w:r w:rsidRPr="00602574">
        <w:rPr>
          <w:noProof/>
          <w:sz w:val="24"/>
          <w:szCs w:val="24"/>
          <w:vertAlign w:val="superscript"/>
        </w:rPr>
        <w:footnoteReference w:id="240"/>
      </w:r>
      <w:r w:rsidRPr="00602574">
        <w:rPr>
          <w:noProof/>
          <w:sz w:val="24"/>
          <w:szCs w:val="24"/>
        </w:rPr>
        <w:t xml:space="preserve"> The additional energy-saving effect of 6G is not included in the model, but it is likely to be significant. Spectrum measures enabling swift assignment of 6G frequencies are expected to yield further benefits not captured here, both in terms of absolute energy savings and the speed of their materialization. Edge computing and AI-driven energy optimization, such as adaptive sleep modes, intelligent traffic steering, and predictive maintenance, will further enhance the sustainability of mobile networks. Yet, while AI can increase energy efficiency, it may also increase electricity demand due to higher computing requirements. Any comprehensive assessment should therefore weigh AI-enabled efficiency gains against the incremental power needs of expanded compute infrastructure.</w:t>
      </w:r>
    </w:p>
    <w:p w14:paraId="649C5E34" w14:textId="77777777" w:rsidR="007B7035" w:rsidRPr="00602574" w:rsidRDefault="007B7035" w:rsidP="00DE7CC1">
      <w:pPr>
        <w:spacing w:line="240" w:lineRule="auto"/>
        <w:rPr>
          <w:noProof/>
          <w:sz w:val="22"/>
          <w:szCs w:val="22"/>
        </w:rPr>
      </w:pPr>
      <w:r w:rsidRPr="00602574">
        <w:rPr>
          <w:noProof/>
        </w:rPr>
        <w:t xml:space="preserve">Mobile networks can also contribute to </w:t>
      </w:r>
      <w:r w:rsidRPr="005C544D">
        <w:rPr>
          <w:b/>
          <w:bCs/>
          <w:noProof/>
        </w:rPr>
        <w:t>emission reductions in other sectors</w:t>
      </w:r>
      <w:r w:rsidRPr="00602574">
        <w:rPr>
          <w:noProof/>
        </w:rPr>
        <w:t>. This was not captured in the model. In industrial settings, 5G enables real-time process monitoring, predictive maintenance and automation, reducing CO</w:t>
      </w:r>
      <w:r w:rsidRPr="00602574">
        <w:rPr>
          <w:noProof/>
          <w:vertAlign w:val="subscript"/>
        </w:rPr>
        <w:t>2</w:t>
      </w:r>
      <w:r w:rsidRPr="00602574">
        <w:rPr>
          <w:noProof/>
        </w:rPr>
        <w:t xml:space="preserve"> emissions, waste and energy consumption.</w:t>
      </w:r>
      <w:r w:rsidRPr="00602574">
        <w:rPr>
          <w:noProof/>
          <w:sz w:val="22"/>
          <w:szCs w:val="22"/>
          <w:vertAlign w:val="superscript"/>
        </w:rPr>
        <w:footnoteReference w:id="241"/>
      </w:r>
      <w:r w:rsidRPr="00602574">
        <w:rPr>
          <w:noProof/>
        </w:rPr>
        <w:t xml:space="preserve"> In logistics, 5G supported systems optimise routing and warehouse operations, lowering transport emissions. In the energy sector, 5G plays a key role in integrating decentralized renewable sources, improving grid stability and reducing fossil-based balancing energy. By enabling precise demand forecasting and load management, 5G helps lower CO₂-intensive peak generation. In agriculture, 5G enabled precision farming reduces fertiliser and pesticide use and supports optimised irrigation and energy use, further reducing emissions.</w:t>
      </w:r>
      <w:r w:rsidRPr="00602574">
        <w:rPr>
          <w:noProof/>
          <w:sz w:val="22"/>
          <w:szCs w:val="22"/>
        </w:rPr>
        <w:t xml:space="preserve"> </w:t>
      </w:r>
      <w:r w:rsidRPr="00602574">
        <w:rPr>
          <w:noProof/>
        </w:rPr>
        <w:t xml:space="preserve">Across all sectors, 5G's low latency and high device density allow for better monitoring and response, leading to lower energy losses and more sustainable operations. </w:t>
      </w:r>
    </w:p>
    <w:p w14:paraId="5DD6D1FF" w14:textId="77777777" w:rsidR="007B7035" w:rsidRPr="00602574" w:rsidRDefault="007B7035" w:rsidP="00DE7CC1">
      <w:pPr>
        <w:spacing w:line="240" w:lineRule="auto"/>
        <w:rPr>
          <w:noProof/>
        </w:rPr>
      </w:pPr>
      <w:r w:rsidRPr="00602574">
        <w:rPr>
          <w:noProof/>
        </w:rPr>
        <w:t xml:space="preserve">Option 2 is expected to generate positive </w:t>
      </w:r>
      <w:r w:rsidRPr="00602574">
        <w:rPr>
          <w:b/>
          <w:bCs/>
          <w:noProof/>
        </w:rPr>
        <w:t>societal impacts</w:t>
      </w:r>
      <w:r w:rsidRPr="00602574">
        <w:rPr>
          <w:noProof/>
        </w:rPr>
        <w:t xml:space="preserve"> in terms of digital inclusion, social equity, and public service delivery, by increasing high-speed mobile network coverage and quality of service and facilitating broader service availability via spectrum sharing and reduced barriers for wholesale-only operators. Enabling advanced 5G and early 6G deployment supports productivity, job creation, and innovation in key sectors such as transport, energy, health, and manufacturing. Improved network rollout facilitates the uptake of smart services, from remote health to connected mobility, generating positive environmental and social spillovers. Enhanced regulatory certainty supports rural coverage obligations and inclusive digital transformation, while spectrum sharing obligations in underserved areas would ensure a broader distribution of long-term spectrum benefits. Improved interference responses would enhance connectivity, particularly in cross-border regions. More predictable and stronger competition oversight would help prevent over-concentration or fragmentation, supporting market sustainability and consumer welfare through lower prices and better service availability.</w:t>
      </w:r>
    </w:p>
    <w:p w14:paraId="15430D10" w14:textId="77777777" w:rsidR="007B7035" w:rsidRPr="00602574" w:rsidRDefault="007B7035" w:rsidP="00DE7CC1">
      <w:pPr>
        <w:spacing w:line="240" w:lineRule="auto"/>
        <w:rPr>
          <w:noProof/>
          <w:sz w:val="22"/>
          <w:szCs w:val="22"/>
        </w:rPr>
      </w:pPr>
      <w:r w:rsidRPr="00602574">
        <w:rPr>
          <w:noProof/>
        </w:rPr>
        <w:t>Along the 14 647 km of EU-external land borders,</w:t>
      </w:r>
      <w:r w:rsidRPr="005C544D">
        <w:rPr>
          <w:noProof/>
          <w:sz w:val="22"/>
          <w:szCs w:val="22"/>
          <w:vertAlign w:val="superscript"/>
        </w:rPr>
        <w:footnoteReference w:id="242"/>
      </w:r>
      <w:r w:rsidRPr="00602574">
        <w:rPr>
          <w:noProof/>
          <w:sz w:val="22"/>
          <w:szCs w:val="22"/>
        </w:rPr>
        <w:t xml:space="preserve"> </w:t>
      </w:r>
      <w:r w:rsidRPr="00602574">
        <w:rPr>
          <w:noProof/>
        </w:rPr>
        <w:t>often coinciding with interference hotspots, this option could yield meaningful efficiencies and enhance EU sovereignty, investor confidence, and internal market cohesion while improving solutions for end-users. Mandating prior coordination at CEPT ensures that security- and sovereignty-related decisions reflect EU-wide interests, reducing risks of fragmented or contradictory national positions, with clearer position in CEPT and ITU. This may be particularly relevant for satellite navigation, defence communication, or constellation filings</w:t>
      </w:r>
      <w:r w:rsidRPr="00602574">
        <w:rPr>
          <w:noProof/>
          <w:sz w:val="22"/>
          <w:szCs w:val="22"/>
        </w:rPr>
        <w:t>.</w:t>
      </w:r>
    </w:p>
    <w:p w14:paraId="4858E818" w14:textId="74136ADA" w:rsidR="007B7035" w:rsidRPr="005C544D" w:rsidRDefault="007B7035" w:rsidP="00DE7CC1">
      <w:pPr>
        <w:spacing w:line="240" w:lineRule="auto"/>
        <w:rPr>
          <w:noProof/>
        </w:rPr>
      </w:pPr>
      <w:r w:rsidRPr="005C544D">
        <w:rPr>
          <w:rFonts w:eastAsiaTheme="majorEastAsia" w:cstheme="majorBidi"/>
          <w:noProof/>
        </w:rPr>
        <w:t xml:space="preserve">Option 2 introduces </w:t>
      </w:r>
      <w:r w:rsidR="00222963">
        <w:rPr>
          <w:rFonts w:eastAsiaTheme="majorEastAsia" w:cstheme="majorBidi"/>
          <w:noProof/>
        </w:rPr>
        <w:t>additional</w:t>
      </w:r>
      <w:r w:rsidRPr="005C544D">
        <w:rPr>
          <w:rFonts w:eastAsiaTheme="majorEastAsia" w:cstheme="majorBidi"/>
          <w:noProof/>
        </w:rPr>
        <w:t xml:space="preserve"> </w:t>
      </w:r>
      <w:r w:rsidRPr="005C544D">
        <w:rPr>
          <w:rFonts w:eastAsiaTheme="majorEastAsia" w:cstheme="majorBidi"/>
          <w:b/>
          <w:bCs/>
          <w:noProof/>
        </w:rPr>
        <w:t>costs</w:t>
      </w:r>
      <w:r w:rsidRPr="005C544D">
        <w:rPr>
          <w:rFonts w:eastAsiaTheme="majorEastAsia" w:cstheme="majorBidi"/>
          <w:noProof/>
        </w:rPr>
        <w:t xml:space="preserve"> for public authorities at national and EU level, due to procedural adaptation and increased </w:t>
      </w:r>
      <w:r>
        <w:rPr>
          <w:rFonts w:eastAsiaTheme="majorEastAsia" w:cstheme="majorBidi"/>
          <w:noProof/>
        </w:rPr>
        <w:t>single market procedure</w:t>
      </w:r>
      <w:r w:rsidRPr="005C544D">
        <w:rPr>
          <w:rFonts w:eastAsiaTheme="majorEastAsia" w:cstheme="majorBidi"/>
          <w:noProof/>
        </w:rPr>
        <w:t xml:space="preserve"> of licence conditions. These </w:t>
      </w:r>
      <w:r w:rsidRPr="00602574">
        <w:rPr>
          <w:rStyle w:val="EYBodytextwithparaspaceChar"/>
          <w:rFonts w:eastAsiaTheme="majorEastAsia"/>
          <w:noProof/>
        </w:rPr>
        <w:t xml:space="preserve">would be proportionate in high-value bands where early harmonisation and coordination are critical for technology leadership. </w:t>
      </w:r>
      <w:r w:rsidRPr="00602574">
        <w:rPr>
          <w:noProof/>
        </w:rPr>
        <w:t>Mandatory spectrum sharing mechanisms would involve legal, technical, and administrative efforts.</w:t>
      </w:r>
      <w:r w:rsidRPr="00602574">
        <w:rPr>
          <w:rStyle w:val="EYBodytextwithparaspaceChar"/>
          <w:rFonts w:eastAsiaTheme="majorEastAsia"/>
          <w:noProof/>
        </w:rPr>
        <w:t xml:space="preserve"> </w:t>
      </w:r>
      <w:r w:rsidRPr="005C544D">
        <w:rPr>
          <w:noProof/>
        </w:rPr>
        <w:t>In terms of enforcement costs, monitoring renewal conditions and validating least-distortive spectrum remedies must be implemented at both national and EU levels, requiring institutional and legal oversight. Additional EU-level staff</w:t>
      </w:r>
      <w:r w:rsidRPr="005C544D">
        <w:rPr>
          <w:rStyle w:val="FootnoteReference"/>
          <w:noProof/>
        </w:rPr>
        <w:footnoteReference w:id="243"/>
      </w:r>
      <w:r w:rsidRPr="005C544D">
        <w:rPr>
          <w:noProof/>
        </w:rPr>
        <w:t xml:space="preserve"> would be needed to review national submissions, assess compliance and issue formal objections or Decisions. Enforcement costs may increase due to overseeing compliance with new pro-security and spectrum-sharing obligations, and because of enhanced cooperation to </w:t>
      </w:r>
      <w:r w:rsidRPr="00602574">
        <w:rPr>
          <w:noProof/>
        </w:rPr>
        <w:t xml:space="preserve">address petitions for harmonisation and to </w:t>
      </w:r>
      <w:r w:rsidRPr="005C544D">
        <w:rPr>
          <w:noProof/>
        </w:rPr>
        <w:t>mitigate cross-border interference, particularly in non-harmonised bands. These tasks may require real-time monitoring infrastructure, due diligence</w:t>
      </w:r>
      <w:r w:rsidRPr="005C544D">
        <w:rPr>
          <w:noProof/>
          <w:sz w:val="22"/>
          <w:szCs w:val="22"/>
        </w:rPr>
        <w:t xml:space="preserve"> </w:t>
      </w:r>
      <w:r w:rsidRPr="005C544D">
        <w:rPr>
          <w:noProof/>
        </w:rPr>
        <w:t>mechanisms for licensing and central support functions for wholesale-only market access models.</w:t>
      </w:r>
    </w:p>
    <w:p w14:paraId="15CCACEC" w14:textId="77777777" w:rsidR="007B7035" w:rsidRPr="00602574" w:rsidRDefault="007B7035" w:rsidP="00DE7CC1">
      <w:pPr>
        <w:spacing w:line="240" w:lineRule="auto"/>
        <w:rPr>
          <w:noProof/>
          <w:sz w:val="22"/>
          <w:szCs w:val="22"/>
        </w:rPr>
      </w:pPr>
      <w:r w:rsidRPr="00602574">
        <w:rPr>
          <w:noProof/>
        </w:rPr>
        <w:t xml:space="preserve">In terms of </w:t>
      </w:r>
      <w:r w:rsidRPr="005C544D">
        <w:rPr>
          <w:b/>
          <w:bCs/>
          <w:noProof/>
        </w:rPr>
        <w:t>cost savings</w:t>
      </w:r>
      <w:r w:rsidRPr="00602574">
        <w:rPr>
          <w:noProof/>
        </w:rPr>
        <w:t>, operators benefit from less harmful interference, lower legal risk and greater investment certainty, which lowers capital costs and improves access to financing. The public sector benefits from smoother coordination, better auction outcomes, and fewer failed awards.</w:t>
      </w:r>
      <w:r w:rsidRPr="005C544D">
        <w:rPr>
          <w:noProof/>
        </w:rPr>
        <w:t xml:space="preserve"> </w:t>
      </w:r>
      <w:r w:rsidRPr="00602574">
        <w:rPr>
          <w:noProof/>
        </w:rPr>
        <w:t>Regulatory intervention and litigation are reduced. By reducing the frequency of auctions,</w:t>
      </w:r>
      <w:r w:rsidRPr="005C544D">
        <w:rPr>
          <w:noProof/>
        </w:rPr>
        <w:t xml:space="preserve"> </w:t>
      </w:r>
      <w:r w:rsidRPr="00602574">
        <w:rPr>
          <w:noProof/>
        </w:rPr>
        <w:t xml:space="preserve">longer licence duration and renewals are likely to lower administrative costs significantly in the long term. </w:t>
      </w:r>
      <w:r w:rsidRPr="005C544D">
        <w:rPr>
          <w:noProof/>
        </w:rPr>
        <w:t>Faster resolution of cross-border interference problems would decrease transaction costs for regulators and operators.</w:t>
      </w:r>
      <w:r w:rsidRPr="005C544D" w:rsidDel="0021684D">
        <w:rPr>
          <w:noProof/>
        </w:rPr>
        <w:t xml:space="preserve"> </w:t>
      </w:r>
    </w:p>
    <w:p w14:paraId="6812A928" w14:textId="77777777" w:rsidR="007B7035" w:rsidRPr="00602574" w:rsidRDefault="007B7035" w:rsidP="00DE7CC1">
      <w:pPr>
        <w:spacing w:line="240" w:lineRule="auto"/>
        <w:rPr>
          <w:noProof/>
        </w:rPr>
      </w:pPr>
      <w:r w:rsidRPr="005C544D">
        <w:rPr>
          <w:rFonts w:eastAsiaTheme="majorEastAsia" w:cstheme="majorBidi"/>
          <w:noProof/>
        </w:rPr>
        <w:t xml:space="preserve">Option 2 is expected to deliver significant competitiveness </w:t>
      </w:r>
      <w:r w:rsidRPr="005C544D">
        <w:rPr>
          <w:rFonts w:eastAsiaTheme="majorEastAsia" w:cstheme="majorBidi"/>
          <w:b/>
          <w:bCs/>
          <w:noProof/>
        </w:rPr>
        <w:t>benefits</w:t>
      </w:r>
      <w:r w:rsidRPr="005C544D">
        <w:rPr>
          <w:rFonts w:eastAsiaTheme="majorEastAsia" w:cstheme="majorBidi"/>
          <w:noProof/>
        </w:rPr>
        <w:t xml:space="preserve"> for </w:t>
      </w:r>
      <w:r w:rsidRPr="00602574">
        <w:rPr>
          <w:rFonts w:eastAsiaTheme="majorEastAsia" w:cstheme="majorBidi"/>
          <w:noProof/>
        </w:rPr>
        <w:t xml:space="preserve">the </w:t>
      </w:r>
      <w:r w:rsidRPr="005C544D">
        <w:rPr>
          <w:rFonts w:eastAsiaTheme="majorEastAsia" w:cstheme="majorBidi"/>
          <w:noProof/>
        </w:rPr>
        <w:t>EU industry by</w:t>
      </w:r>
      <w:r w:rsidRPr="00602574">
        <w:rPr>
          <w:noProof/>
        </w:rPr>
        <w:t xml:space="preserve"> providing maximum investment certainty and regulatory clarity, especially for cross-border and long-term spectrum users. These benefits would translate into improved quality and coverage of 5G and 6G services for mobile operators and end-users. Catching up with leading world economies would allow for a more inclusive society by expanding access to high-quality mobile connectivity and quality-assured services across Europe. Indefinite licence durations by default provide a strong and credible long-term investment signal. Where shorter duration is applied, the reversed burden of proof removes the threat of unpredictable non-renewal decisions. Long-term licences secure sustained access </w:t>
      </w:r>
      <w:r w:rsidRPr="005C544D">
        <w:rPr>
          <w:noProof/>
        </w:rPr>
        <w:t>to spectrum assets, encouraging long-term network investment amid rising spectrum needs.</w:t>
      </w:r>
      <w:r w:rsidRPr="005C544D">
        <w:rPr>
          <w:rStyle w:val="FootnoteReference"/>
          <w:noProof/>
        </w:rPr>
        <w:footnoteReference w:id="244"/>
      </w:r>
      <w:r w:rsidRPr="00602574">
        <w:rPr>
          <w:noProof/>
        </w:rPr>
        <w:t xml:space="preserve"> They also enhance planning stability and financial predictability, lower risk premium on capital expenditures and reduce the cost for capital-intensive 5G and future 6G deployments, which require 5G SA core components supported by high-capacity fibre infrastructure. Further, long-term licences, strongly advocated by the industry,</w:t>
      </w:r>
      <w:r w:rsidRPr="00602574">
        <w:rPr>
          <w:noProof/>
          <w:sz w:val="22"/>
          <w:szCs w:val="22"/>
          <w:vertAlign w:val="superscript"/>
        </w:rPr>
        <w:footnoteReference w:id="245"/>
      </w:r>
      <w:r w:rsidRPr="00602574">
        <w:rPr>
          <w:noProof/>
        </w:rPr>
        <w:t xml:space="preserve"> could strengthen incentives for developing secondary markets, as entities acquiring spectrum through transfer or leasing would benefit from long-term certainty over its use. The Commission’s role in overseeing authorisation processes would enhance regulatory convergence, and ensure more consistent, investment-friendly auction design, flexible licensing conditions and pro-security obligations</w:t>
      </w:r>
      <w:r w:rsidRPr="00602574">
        <w:rPr>
          <w:rStyle w:val="FootnoteReference"/>
          <w:noProof/>
        </w:rPr>
        <w:footnoteReference w:id="246"/>
      </w:r>
      <w:r w:rsidRPr="00602574">
        <w:rPr>
          <w:noProof/>
        </w:rPr>
        <w:t xml:space="preserve">. </w:t>
      </w:r>
      <w:r w:rsidRPr="007C6033">
        <w:rPr>
          <w:noProof/>
        </w:rPr>
        <w:t>The possibility to harmonise authorisation conditions would further facilitate cross-border service provision, allowing operators to achieve scale.</w:t>
      </w:r>
      <w:r w:rsidRPr="00602574">
        <w:rPr>
          <w:noProof/>
        </w:rPr>
        <w:t xml:space="preserve"> Possible binding common conditions developed on request for private networks would enable innovators to scale up network-as-a-service solutions. </w:t>
      </w:r>
    </w:p>
    <w:p w14:paraId="2EF0520D" w14:textId="77777777" w:rsidR="007B7035" w:rsidRPr="005C544D" w:rsidRDefault="007B7035" w:rsidP="00DE7CC1">
      <w:pPr>
        <w:spacing w:line="240" w:lineRule="auto"/>
        <w:rPr>
          <w:noProof/>
        </w:rPr>
      </w:pPr>
      <w:r w:rsidRPr="00602574">
        <w:rPr>
          <w:noProof/>
        </w:rPr>
        <w:t xml:space="preserve">Option 2 would allow for </w:t>
      </w:r>
      <w:r w:rsidRPr="005C544D">
        <w:rPr>
          <w:noProof/>
        </w:rPr>
        <w:t>early planning, timely authori</w:t>
      </w:r>
      <w:r w:rsidRPr="00602574">
        <w:rPr>
          <w:noProof/>
        </w:rPr>
        <w:t>s</w:t>
      </w:r>
      <w:r w:rsidRPr="005C544D">
        <w:rPr>
          <w:noProof/>
        </w:rPr>
        <w:t>ation, and cross-border coordination for 6G bands,</w:t>
      </w:r>
      <w:r w:rsidRPr="005C544D">
        <w:rPr>
          <w:noProof/>
          <w:sz w:val="22"/>
          <w:szCs w:val="22"/>
          <w:vertAlign w:val="superscript"/>
        </w:rPr>
        <w:footnoteReference w:id="247"/>
      </w:r>
      <w:r w:rsidRPr="005C544D">
        <w:rPr>
          <w:noProof/>
          <w:sz w:val="22"/>
          <w:szCs w:val="22"/>
        </w:rPr>
        <w:t xml:space="preserve"> </w:t>
      </w:r>
      <w:r w:rsidRPr="005C544D">
        <w:rPr>
          <w:noProof/>
        </w:rPr>
        <w:t>as well as appropriate</w:t>
      </w:r>
      <w:r w:rsidRPr="005C544D">
        <w:rPr>
          <w:noProof/>
          <w:sz w:val="22"/>
          <w:szCs w:val="22"/>
        </w:rPr>
        <w:t xml:space="preserve"> </w:t>
      </w:r>
      <w:r w:rsidRPr="005C544D">
        <w:rPr>
          <w:noProof/>
        </w:rPr>
        <w:t>6G spectrum award conditions – such as duration, license flexibility, reserve prices, coverage and quality obligations – to support investment amid technological and commercial uncertainty.</w:t>
      </w:r>
      <w:r w:rsidRPr="005C544D">
        <w:rPr>
          <w:noProof/>
          <w:sz w:val="22"/>
          <w:szCs w:val="22"/>
          <w:vertAlign w:val="superscript"/>
        </w:rPr>
        <w:footnoteReference w:id="248"/>
      </w:r>
      <w:r w:rsidRPr="005C544D">
        <w:rPr>
          <w:noProof/>
        </w:rPr>
        <w:t xml:space="preserve"> Greater predictability regarding </w:t>
      </w:r>
      <w:r w:rsidRPr="00602574">
        <w:rPr>
          <w:noProof/>
        </w:rPr>
        <w:t xml:space="preserve">6G deployment </w:t>
      </w:r>
      <w:r w:rsidRPr="005C544D">
        <w:rPr>
          <w:noProof/>
        </w:rPr>
        <w:t xml:space="preserve">will incentivize timely deployment and long-term industrial research for high-value vertical use cases, </w:t>
      </w:r>
      <w:r w:rsidRPr="00602574">
        <w:rPr>
          <w:noProof/>
        </w:rPr>
        <w:t>benefit equipment manufacturers and operators, and ensure wide availability of devices and services.</w:t>
      </w:r>
      <w:r w:rsidRPr="00602574" w:rsidDel="00D177D8">
        <w:rPr>
          <w:noProof/>
        </w:rPr>
        <w:t xml:space="preserve"> </w:t>
      </w:r>
      <w:r w:rsidRPr="005C544D">
        <w:rPr>
          <w:noProof/>
        </w:rPr>
        <w:t xml:space="preserve">Pro-security and sharing obligations would contribute to more secure networks, ensuring coherence with </w:t>
      </w:r>
      <w:r w:rsidRPr="00602574">
        <w:rPr>
          <w:noProof/>
        </w:rPr>
        <w:t>forthcoming cybersecurity regulatory revisions</w:t>
      </w:r>
      <w:r w:rsidRPr="005C544D">
        <w:rPr>
          <w:noProof/>
        </w:rPr>
        <w:t xml:space="preserve">. </w:t>
      </w:r>
      <w:r w:rsidRPr="00602574">
        <w:rPr>
          <w:noProof/>
        </w:rPr>
        <w:t>More widely applied spectrum-sharing mechanisms, such as “use-it-or-share-it” conditions and dynamic geolocation databases, would facilitate access to spectrum for a broader range of users and help ensure efficient spectrum use under indefinite licence durations.</w:t>
      </w:r>
      <w:r w:rsidRPr="00602574">
        <w:rPr>
          <w:rStyle w:val="FootnoteReference"/>
          <w:noProof/>
        </w:rPr>
        <w:footnoteReference w:id="249"/>
      </w:r>
    </w:p>
    <w:p w14:paraId="4B85EECC" w14:textId="15065BB5" w:rsidR="00BD4884" w:rsidRPr="00DE264C" w:rsidRDefault="00BD4884" w:rsidP="00887B67">
      <w:pPr>
        <w:pStyle w:val="Heading3"/>
        <w:spacing w:before="240" w:after="120"/>
        <w:ind w:left="720"/>
        <w:rPr>
          <w:noProof/>
        </w:rPr>
      </w:pPr>
      <w:bookmarkStart w:id="295" w:name="_Toc209596063"/>
      <w:bookmarkStart w:id="296" w:name="_Toc209596064"/>
      <w:bookmarkStart w:id="297" w:name="_Toc209596065"/>
      <w:bookmarkStart w:id="298" w:name="_Toc209596066"/>
      <w:bookmarkStart w:id="299" w:name="_Toc209596067"/>
      <w:bookmarkStart w:id="300" w:name="_Toc209596068"/>
      <w:bookmarkStart w:id="301" w:name="_Toc209596069"/>
      <w:bookmarkStart w:id="302" w:name="_Toc214467741"/>
      <w:bookmarkStart w:id="303" w:name="_Toc215083763"/>
      <w:bookmarkStart w:id="304" w:name="_Toc215083793"/>
      <w:bookmarkStart w:id="305" w:name="_Toc219212529"/>
      <w:bookmarkStart w:id="306" w:name="_Toc219718184"/>
      <w:bookmarkEnd w:id="295"/>
      <w:bookmarkEnd w:id="296"/>
      <w:bookmarkEnd w:id="297"/>
      <w:bookmarkEnd w:id="298"/>
      <w:bookmarkEnd w:id="299"/>
      <w:bookmarkEnd w:id="300"/>
      <w:bookmarkEnd w:id="301"/>
      <w:r w:rsidRPr="00DE264C">
        <w:rPr>
          <w:noProof/>
        </w:rPr>
        <w:t xml:space="preserve">Option 3: Strong harmonisation and EU level </w:t>
      </w:r>
      <w:bookmarkEnd w:id="302"/>
      <w:r w:rsidR="00B3507D">
        <w:rPr>
          <w:noProof/>
        </w:rPr>
        <w:t>awards</w:t>
      </w:r>
      <w:bookmarkEnd w:id="303"/>
      <w:bookmarkEnd w:id="304"/>
      <w:bookmarkEnd w:id="305"/>
      <w:bookmarkEnd w:id="306"/>
    </w:p>
    <w:p w14:paraId="613743D2" w14:textId="235A0A6A" w:rsidR="00C74199" w:rsidRPr="00602574" w:rsidRDefault="00C74199" w:rsidP="00DE7CC1">
      <w:pPr>
        <w:spacing w:line="240" w:lineRule="auto"/>
        <w:rPr>
          <w:noProof/>
        </w:rPr>
      </w:pPr>
      <w:r w:rsidRPr="005C544D">
        <w:rPr>
          <w:rFonts w:eastAsia="Calibri"/>
          <w:noProof/>
        </w:rPr>
        <w:t xml:space="preserve">The main </w:t>
      </w:r>
      <w:r w:rsidRPr="005C544D">
        <w:rPr>
          <w:rFonts w:eastAsia="Calibri"/>
          <w:b/>
          <w:bCs/>
          <w:noProof/>
        </w:rPr>
        <w:t>economic impact</w:t>
      </w:r>
      <w:r w:rsidRPr="005C544D">
        <w:rPr>
          <w:rFonts w:eastAsia="Calibri"/>
          <w:noProof/>
        </w:rPr>
        <w:t xml:space="preserve"> of option 3 lies in increased investment in high-quality mobile networks driven by stronger harmonisation and clearer EU-level rules. The underlying economic mechanisms are like those highlighted in </w:t>
      </w:r>
      <w:r w:rsidRPr="00602574">
        <w:rPr>
          <w:rFonts w:eastAsia="Calibri"/>
          <w:noProof/>
        </w:rPr>
        <w:t xml:space="preserve">the analysis of regulatory approaches and market outcomes presented in </w:t>
      </w:r>
      <w:r w:rsidR="00440740">
        <w:rPr>
          <w:rFonts w:eastAsia="Calibri"/>
          <w:noProof/>
        </w:rPr>
        <w:t>section</w:t>
      </w:r>
      <w:r w:rsidRPr="00602574">
        <w:rPr>
          <w:rFonts w:eastAsia="Calibri"/>
          <w:noProof/>
        </w:rPr>
        <w:t xml:space="preserve"> 2.2.2.3 and in Annex 4</w:t>
      </w:r>
      <w:r w:rsidR="0095331B">
        <w:rPr>
          <w:rFonts w:eastAsia="Calibri"/>
          <w:noProof/>
        </w:rPr>
        <w:t>,</w:t>
      </w:r>
      <w:r w:rsidRPr="00602574">
        <w:rPr>
          <w:rFonts w:eastAsia="Calibri"/>
          <w:noProof/>
        </w:rPr>
        <w:t xml:space="preserve"> </w:t>
      </w:r>
      <w:r w:rsidR="00440740">
        <w:rPr>
          <w:rFonts w:eastAsia="Calibri"/>
          <w:noProof/>
        </w:rPr>
        <w:t>section</w:t>
      </w:r>
      <w:r w:rsidRPr="00602574">
        <w:rPr>
          <w:rFonts w:eastAsia="Calibri"/>
          <w:noProof/>
        </w:rPr>
        <w:t xml:space="preserve"> 3. While not causal, the identified correlations between certain market shaping measures and market outcomes provide useful indications of how more predictable and investment-friendly spectrum award conditions can support better network performance</w:t>
      </w:r>
      <w:r w:rsidRPr="005C544D">
        <w:rPr>
          <w:rFonts w:eastAsia="Calibri"/>
          <w:noProof/>
        </w:rPr>
        <w:t xml:space="preserve">. The estimated GDP impact is the same as for </w:t>
      </w:r>
      <w:r w:rsidR="00DF08E6">
        <w:rPr>
          <w:rFonts w:eastAsia="Calibri"/>
          <w:noProof/>
        </w:rPr>
        <w:t>o</w:t>
      </w:r>
      <w:r w:rsidR="0095331B" w:rsidRPr="005C544D">
        <w:rPr>
          <w:rFonts w:eastAsia="Calibri"/>
          <w:noProof/>
        </w:rPr>
        <w:t xml:space="preserve">ption </w:t>
      </w:r>
      <w:r w:rsidRPr="005C544D">
        <w:rPr>
          <w:rFonts w:eastAsia="Calibri"/>
          <w:noProof/>
        </w:rPr>
        <w:t>2, as both options forecast the same mid-band coverage</w:t>
      </w:r>
      <w:r>
        <w:rPr>
          <w:rFonts w:eastAsia="Calibri"/>
          <w:noProof/>
        </w:rPr>
        <w:t xml:space="preserve"> and assumes that similar economies of scale are to be reached in the 2025-2035 period via proposed policy measures.</w:t>
      </w:r>
      <w:r>
        <w:rPr>
          <w:rStyle w:val="FootnoteReference"/>
          <w:rFonts w:eastAsia="Calibri"/>
          <w:noProof/>
        </w:rPr>
        <w:footnoteReference w:id="250"/>
      </w:r>
      <w:r>
        <w:rPr>
          <w:rFonts w:eastAsia="Calibri"/>
          <w:noProof/>
        </w:rPr>
        <w:t xml:space="preserve"> </w:t>
      </w:r>
      <w:r w:rsidRPr="00602574">
        <w:rPr>
          <w:noProof/>
        </w:rPr>
        <w:t>Using the same modelling approach as for options 1 and 2, the overall EU-wide GDP impact of option 3 over 2025 to 2035 is estimated at EUR</w:t>
      </w:r>
      <w:r w:rsidR="00B73161">
        <w:rPr>
          <w:noProof/>
        </w:rPr>
        <w:t> </w:t>
      </w:r>
      <w:r w:rsidRPr="00602574">
        <w:rPr>
          <w:noProof/>
        </w:rPr>
        <w:t>1</w:t>
      </w:r>
      <w:r w:rsidR="00EA4F1D">
        <w:rPr>
          <w:noProof/>
        </w:rPr>
        <w:t> </w:t>
      </w:r>
      <w:r w:rsidRPr="00602574">
        <w:rPr>
          <w:noProof/>
        </w:rPr>
        <w:t>553 billion compared to EUR</w:t>
      </w:r>
      <w:r w:rsidR="00B73161">
        <w:rPr>
          <w:noProof/>
        </w:rPr>
        <w:t> </w:t>
      </w:r>
      <w:r w:rsidRPr="00602574">
        <w:rPr>
          <w:noProof/>
        </w:rPr>
        <w:t>1</w:t>
      </w:r>
      <w:r w:rsidR="00BD399D">
        <w:rPr>
          <w:noProof/>
        </w:rPr>
        <w:t> </w:t>
      </w:r>
      <w:r w:rsidR="005339F9" w:rsidRPr="00602574">
        <w:rPr>
          <w:noProof/>
        </w:rPr>
        <w:t>48</w:t>
      </w:r>
      <w:r w:rsidR="005339F9">
        <w:rPr>
          <w:noProof/>
        </w:rPr>
        <w:t>0</w:t>
      </w:r>
      <w:r w:rsidR="005339F9" w:rsidRPr="00602574">
        <w:rPr>
          <w:noProof/>
        </w:rPr>
        <w:t xml:space="preserve"> </w:t>
      </w:r>
      <w:r w:rsidRPr="00602574">
        <w:rPr>
          <w:noProof/>
        </w:rPr>
        <w:t>billion under the baseline, with a sensitivity range of EUR</w:t>
      </w:r>
      <w:r w:rsidR="00B73161">
        <w:rPr>
          <w:noProof/>
        </w:rPr>
        <w:t> </w:t>
      </w:r>
      <w:r w:rsidRPr="00602574">
        <w:rPr>
          <w:noProof/>
        </w:rPr>
        <w:t>179 to EUR</w:t>
      </w:r>
      <w:r w:rsidR="00B73161">
        <w:rPr>
          <w:noProof/>
        </w:rPr>
        <w:t> </w:t>
      </w:r>
      <w:r w:rsidRPr="00602574">
        <w:rPr>
          <w:noProof/>
        </w:rPr>
        <w:t>2</w:t>
      </w:r>
      <w:r w:rsidR="00BD399D">
        <w:rPr>
          <w:noProof/>
        </w:rPr>
        <w:t> </w:t>
      </w:r>
      <w:r w:rsidRPr="00602574">
        <w:rPr>
          <w:noProof/>
        </w:rPr>
        <w:t xml:space="preserve">116 billion under alternative assumptions on the impact of increased mobile broadband </w:t>
      </w:r>
      <w:r w:rsidRPr="005A3D2C">
        <w:rPr>
          <w:noProof/>
        </w:rPr>
        <w:t>speeds.</w:t>
      </w:r>
      <w:r w:rsidRPr="005A3D2C">
        <w:rPr>
          <w:rFonts w:eastAsia="Calibri"/>
          <w:noProof/>
          <w:vertAlign w:val="superscript"/>
        </w:rPr>
        <w:footnoteReference w:id="251"/>
      </w:r>
      <w:r w:rsidRPr="005A3D2C">
        <w:rPr>
          <w:rFonts w:eastAsia="Calibri"/>
          <w:noProof/>
        </w:rPr>
        <w:t xml:space="preserve"> </w:t>
      </w:r>
      <w:r w:rsidRPr="005A3D2C">
        <w:rPr>
          <w:noProof/>
        </w:rPr>
        <w:t xml:space="preserve">As under </w:t>
      </w:r>
      <w:r w:rsidR="00DF08E6">
        <w:rPr>
          <w:noProof/>
        </w:rPr>
        <w:t>o</w:t>
      </w:r>
      <w:r w:rsidR="00BD399D" w:rsidRPr="005A3D2C">
        <w:rPr>
          <w:noProof/>
        </w:rPr>
        <w:t xml:space="preserve">ption </w:t>
      </w:r>
      <w:r w:rsidRPr="005A3D2C">
        <w:rPr>
          <w:noProof/>
        </w:rPr>
        <w:t xml:space="preserve">2, the quantitative model does not capture spillover effects on different sectors or longer-term effects related to the acceleration of 6G deployment and additional economies of scale. These effects are expected to materialise towards and beyond 2035, cannot yet be quantified, and are therefore taken into account qualitatively when comparing spectrum policy options in </w:t>
      </w:r>
      <w:r w:rsidR="00440740">
        <w:rPr>
          <w:noProof/>
        </w:rPr>
        <w:t>section</w:t>
      </w:r>
      <w:r w:rsidRPr="005A3D2C">
        <w:rPr>
          <w:noProof/>
        </w:rPr>
        <w:t xml:space="preserve"> 7.2.</w:t>
      </w:r>
    </w:p>
    <w:p w14:paraId="2031AD07" w14:textId="62D9A7A3" w:rsidR="00C74199" w:rsidRPr="00602574" w:rsidRDefault="00C74199" w:rsidP="00DE7CC1">
      <w:pPr>
        <w:spacing w:line="240" w:lineRule="auto"/>
        <w:rPr>
          <w:noProof/>
        </w:rPr>
      </w:pPr>
      <w:r w:rsidRPr="005C544D">
        <w:rPr>
          <w:noProof/>
        </w:rPr>
        <w:t xml:space="preserve">The </w:t>
      </w:r>
      <w:r w:rsidRPr="005C544D">
        <w:rPr>
          <w:b/>
          <w:bCs/>
          <w:noProof/>
        </w:rPr>
        <w:t>environmental footprint</w:t>
      </w:r>
      <w:r w:rsidRPr="005C544D">
        <w:rPr>
          <w:noProof/>
        </w:rPr>
        <w:t xml:space="preserve"> of 5G mobile networks under </w:t>
      </w:r>
      <w:r w:rsidR="00BD399D">
        <w:rPr>
          <w:noProof/>
        </w:rPr>
        <w:t>o</w:t>
      </w:r>
      <w:r w:rsidR="00BD399D" w:rsidRPr="005C544D">
        <w:rPr>
          <w:noProof/>
        </w:rPr>
        <w:t xml:space="preserve">ption </w:t>
      </w:r>
      <w:r w:rsidRPr="005C544D">
        <w:rPr>
          <w:noProof/>
        </w:rPr>
        <w:t xml:space="preserve">3 </w:t>
      </w:r>
      <w:r w:rsidRPr="00602574">
        <w:rPr>
          <w:noProof/>
        </w:rPr>
        <w:t xml:space="preserve">is nearly the same as for </w:t>
      </w:r>
      <w:r w:rsidR="00BD399D">
        <w:rPr>
          <w:noProof/>
        </w:rPr>
        <w:t>o</w:t>
      </w:r>
      <w:r w:rsidR="00BD399D" w:rsidRPr="00602574">
        <w:rPr>
          <w:noProof/>
        </w:rPr>
        <w:t xml:space="preserve">ption </w:t>
      </w:r>
      <w:r w:rsidRPr="00602574">
        <w:rPr>
          <w:noProof/>
        </w:rPr>
        <w:t xml:space="preserve">2, </w:t>
      </w:r>
      <w:r w:rsidRPr="005C544D">
        <w:rPr>
          <w:noProof/>
        </w:rPr>
        <w:t xml:space="preserve">estimated at </w:t>
      </w:r>
      <w:r w:rsidRPr="00602574">
        <w:rPr>
          <w:noProof/>
        </w:rPr>
        <w:t>5</w:t>
      </w:r>
      <w:r w:rsidR="00317AFD">
        <w:rPr>
          <w:noProof/>
        </w:rPr>
        <w:t>,</w:t>
      </w:r>
      <w:r w:rsidRPr="00602574">
        <w:rPr>
          <w:noProof/>
        </w:rPr>
        <w:t>403</w:t>
      </w:r>
      <w:r w:rsidR="00317AFD">
        <w:rPr>
          <w:noProof/>
        </w:rPr>
        <w:t>,</w:t>
      </w:r>
      <w:r w:rsidRPr="00602574">
        <w:rPr>
          <w:noProof/>
        </w:rPr>
        <w:t xml:space="preserve">147 t </w:t>
      </w:r>
      <w:r w:rsidRPr="005C544D">
        <w:rPr>
          <w:rFonts w:eastAsia="Times New Roman"/>
          <w:noProof/>
          <w:color w:val="000000" w:themeColor="text1"/>
        </w:rPr>
        <w:t>CO₂eq</w:t>
      </w:r>
      <w:r w:rsidRPr="00602574">
        <w:rPr>
          <w:noProof/>
        </w:rPr>
        <w:t xml:space="preserve"> </w:t>
      </w:r>
      <w:r w:rsidRPr="005C544D">
        <w:rPr>
          <w:noProof/>
        </w:rPr>
        <w:t xml:space="preserve">of mobile and wireless broadband network emissions, below the baseline of </w:t>
      </w:r>
      <w:r w:rsidRPr="00602574">
        <w:rPr>
          <w:noProof/>
        </w:rPr>
        <w:t>5</w:t>
      </w:r>
      <w:r w:rsidR="00317AFD">
        <w:rPr>
          <w:noProof/>
        </w:rPr>
        <w:t>,</w:t>
      </w:r>
      <w:r w:rsidRPr="00602574">
        <w:rPr>
          <w:noProof/>
        </w:rPr>
        <w:t>413</w:t>
      </w:r>
      <w:r w:rsidR="00317AFD">
        <w:rPr>
          <w:noProof/>
        </w:rPr>
        <w:t>,</w:t>
      </w:r>
      <w:r w:rsidRPr="00602574">
        <w:rPr>
          <w:noProof/>
        </w:rPr>
        <w:t xml:space="preserve">504 t </w:t>
      </w:r>
      <w:r w:rsidRPr="005C544D">
        <w:rPr>
          <w:rFonts w:eastAsia="Times New Roman"/>
          <w:noProof/>
          <w:color w:val="000000" w:themeColor="text1"/>
        </w:rPr>
        <w:t>CO₂eq</w:t>
      </w:r>
      <w:r w:rsidRPr="005C544D">
        <w:rPr>
          <w:noProof/>
        </w:rPr>
        <w:t>.</w:t>
      </w:r>
      <w:r w:rsidRPr="005C544D">
        <w:rPr>
          <w:rStyle w:val="FootnoteReference"/>
          <w:noProof/>
        </w:rPr>
        <w:footnoteReference w:id="252"/>
      </w:r>
      <w:r w:rsidRPr="005C544D">
        <w:rPr>
          <w:noProof/>
        </w:rPr>
        <w:t xml:space="preserve"> </w:t>
      </w:r>
      <w:r w:rsidRPr="003119DE">
        <w:rPr>
          <w:noProof/>
        </w:rPr>
        <w:t xml:space="preserve">When monetised, environmental impacts under </w:t>
      </w:r>
      <w:r w:rsidR="006D3FF9">
        <w:rPr>
          <w:noProof/>
        </w:rPr>
        <w:t>option</w:t>
      </w:r>
      <w:r w:rsidRPr="003119DE">
        <w:rPr>
          <w:noProof/>
        </w:rPr>
        <w:t xml:space="preserve"> </w:t>
      </w:r>
      <w:r>
        <w:rPr>
          <w:noProof/>
        </w:rPr>
        <w:t>3</w:t>
      </w:r>
      <w:r w:rsidRPr="003119DE">
        <w:rPr>
          <w:noProof/>
        </w:rPr>
        <w:t xml:space="preserve"> are</w:t>
      </w:r>
      <w:r>
        <w:rPr>
          <w:noProof/>
        </w:rPr>
        <w:t xml:space="preserve"> also</w:t>
      </w:r>
      <w:r w:rsidRPr="003119DE">
        <w:rPr>
          <w:noProof/>
        </w:rPr>
        <w:t xml:space="preserve"> estimated at around EUR</w:t>
      </w:r>
      <w:r w:rsidR="00B73161">
        <w:rPr>
          <w:noProof/>
        </w:rPr>
        <w:t> </w:t>
      </w:r>
      <w:r w:rsidRPr="003119DE">
        <w:rPr>
          <w:noProof/>
        </w:rPr>
        <w:t>4.62 billion</w:t>
      </w:r>
      <w:r>
        <w:rPr>
          <w:noProof/>
        </w:rPr>
        <w:t xml:space="preserve">, compared to </w:t>
      </w:r>
      <w:r w:rsidRPr="00051639">
        <w:rPr>
          <w:noProof/>
        </w:rPr>
        <w:t>EUR</w:t>
      </w:r>
      <w:r w:rsidR="00B73161">
        <w:rPr>
          <w:noProof/>
        </w:rPr>
        <w:t> </w:t>
      </w:r>
      <w:r w:rsidRPr="00051639">
        <w:rPr>
          <w:noProof/>
        </w:rPr>
        <w:t>4.6</w:t>
      </w:r>
      <w:r>
        <w:rPr>
          <w:noProof/>
        </w:rPr>
        <w:t>3</w:t>
      </w:r>
      <w:r w:rsidRPr="00051639">
        <w:rPr>
          <w:noProof/>
        </w:rPr>
        <w:t xml:space="preserve"> billion</w:t>
      </w:r>
      <w:r>
        <w:rPr>
          <w:noProof/>
        </w:rPr>
        <w:t xml:space="preserve"> under the baseline.</w:t>
      </w:r>
      <w:r w:rsidRPr="00BC2085">
        <w:rPr>
          <w:noProof/>
        </w:rPr>
        <w:t xml:space="preserve"> </w:t>
      </w:r>
      <w:r w:rsidRPr="00602574">
        <w:rPr>
          <w:noProof/>
        </w:rPr>
        <w:t xml:space="preserve">The same </w:t>
      </w:r>
      <w:r>
        <w:rPr>
          <w:noProof/>
        </w:rPr>
        <w:t>considerations</w:t>
      </w:r>
      <w:r w:rsidRPr="00602574">
        <w:rPr>
          <w:noProof/>
        </w:rPr>
        <w:t xml:space="preserve"> as for </w:t>
      </w:r>
      <w:r w:rsidR="00DF08E6">
        <w:rPr>
          <w:noProof/>
        </w:rPr>
        <w:t>o</w:t>
      </w:r>
      <w:r w:rsidR="006D3FF9">
        <w:rPr>
          <w:noProof/>
        </w:rPr>
        <w:t>ption</w:t>
      </w:r>
      <w:r w:rsidRPr="00602574">
        <w:rPr>
          <w:noProof/>
        </w:rPr>
        <w:t xml:space="preserve"> 2 apply to</w:t>
      </w:r>
      <w:r>
        <w:rPr>
          <w:noProof/>
        </w:rPr>
        <w:t xml:space="preserve"> the expected</w:t>
      </w:r>
      <w:r w:rsidRPr="00602574">
        <w:rPr>
          <w:noProof/>
        </w:rPr>
        <w:t xml:space="preserve"> impacts</w:t>
      </w:r>
      <w:r>
        <w:rPr>
          <w:noProof/>
        </w:rPr>
        <w:t xml:space="preserve"> of 6G</w:t>
      </w:r>
      <w:r w:rsidRPr="00602574">
        <w:rPr>
          <w:noProof/>
        </w:rPr>
        <w:t>.</w:t>
      </w:r>
    </w:p>
    <w:p w14:paraId="2CC7A1F0" w14:textId="77777777" w:rsidR="00C74199" w:rsidRPr="00602574" w:rsidRDefault="00C74199" w:rsidP="00DE7CC1">
      <w:pPr>
        <w:spacing w:line="240" w:lineRule="auto"/>
        <w:rPr>
          <w:noProof/>
        </w:rPr>
      </w:pPr>
      <w:r w:rsidRPr="00602574">
        <w:rPr>
          <w:noProof/>
        </w:rPr>
        <w:t>B</w:t>
      </w:r>
      <w:r w:rsidRPr="00602574" w:rsidDel="001D3A3F">
        <w:rPr>
          <w:noProof/>
        </w:rPr>
        <w:t xml:space="preserve">y </w:t>
      </w:r>
      <w:r w:rsidRPr="00602574">
        <w:rPr>
          <w:noProof/>
        </w:rPr>
        <w:t xml:space="preserve">establishing uniform licensing conditions and EU-level awards, option 3 could improve equitable availability of high-quality mobile connectivity, with corresponding positive </w:t>
      </w:r>
      <w:r w:rsidRPr="00602574">
        <w:rPr>
          <w:b/>
          <w:bCs/>
          <w:noProof/>
        </w:rPr>
        <w:t>societal impacts</w:t>
      </w:r>
      <w:r w:rsidRPr="00602574">
        <w:rPr>
          <w:noProof/>
        </w:rPr>
        <w:t>, such as greater access to education, health, public services, alongside improved inclusion and progress in bridging the digital divide. However, this option entails potentially significant social risks from the far-reaching restructuring of a sector which has relied on national operators for over 100 years. EU level awards and longer or indefinite licence duration could, in the long run, reduce the number of operators to a small group of EU-wide players, leading to market exit and associated social impacts.</w:t>
      </w:r>
    </w:p>
    <w:p w14:paraId="019C371A" w14:textId="05ECFE36" w:rsidR="00C74199" w:rsidRPr="005C544D" w:rsidRDefault="00C74199" w:rsidP="00DE7CC1">
      <w:pPr>
        <w:pStyle w:val="NormalWeb"/>
        <w:spacing w:beforeAutospacing="0" w:afterAutospacing="0" w:line="240" w:lineRule="auto"/>
        <w:jc w:val="both"/>
        <w:rPr>
          <w:noProof/>
          <w:lang w:val="en-GB"/>
        </w:rPr>
      </w:pPr>
      <w:r w:rsidRPr="005C544D">
        <w:rPr>
          <w:noProof/>
          <w:lang w:val="en-GB"/>
        </w:rPr>
        <w:t xml:space="preserve">In terms of </w:t>
      </w:r>
      <w:r w:rsidRPr="005C544D">
        <w:rPr>
          <w:b/>
          <w:noProof/>
          <w:lang w:val="en-GB"/>
        </w:rPr>
        <w:t>costs</w:t>
      </w:r>
      <w:r w:rsidRPr="005C544D">
        <w:rPr>
          <w:noProof/>
          <w:lang w:val="en-GB"/>
        </w:rPr>
        <w:t xml:space="preserve">, this option entails the highest direct compliance costs across all stakeholder groups. Centralisation would limit the autonomy of NRAs, triggering legal reform, and systemic procedural changes. A fully </w:t>
      </w:r>
      <w:r w:rsidR="790DD438" w:rsidRPr="2F287E6B">
        <w:rPr>
          <w:noProof/>
          <w:lang w:val="en-GB"/>
        </w:rPr>
        <w:t>centralised</w:t>
      </w:r>
      <w:r w:rsidRPr="005C544D">
        <w:rPr>
          <w:noProof/>
          <w:lang w:val="en-GB"/>
        </w:rPr>
        <w:t xml:space="preserve"> model requires a well-resourced EU-level institutional structure with legal, economic, and technical capacity</w:t>
      </w:r>
      <w:r>
        <w:rPr>
          <w:noProof/>
          <w:lang w:val="en-GB"/>
        </w:rPr>
        <w:t xml:space="preserve"> that would coexist for a relatively long transitional period with national spectrum governance structures that would monitor numerous existing spectrum holdings previously assigned at national level</w:t>
      </w:r>
      <w:r w:rsidRPr="000F3315">
        <w:rPr>
          <w:noProof/>
          <w:lang w:val="en-GB"/>
        </w:rPr>
        <w:t xml:space="preserve"> </w:t>
      </w:r>
      <w:r>
        <w:rPr>
          <w:noProof/>
          <w:lang w:val="en-GB"/>
        </w:rPr>
        <w:t>and manage renewals to possibly align diverging national expiry dates in a way to allow for future EU level assignments</w:t>
      </w:r>
      <w:r w:rsidRPr="005C544D">
        <w:rPr>
          <w:noProof/>
          <w:lang w:val="en-GB"/>
        </w:rPr>
        <w:t xml:space="preserve">. Overall, the costs are very high, both in absolute terms and relative to current practice, making a differentiated approach – targeting only certain bands or cross-border use cases – essential to mitigate excessive burdens. Enforcement costs would be substantial both at national and EU level, as a new governance framework would need to be established. The complexity of Commission decisions subject to judicial review by EU Courts might increase. Private enforcement in cross-border interference cases increases litigation risk. Enforcement would need to balance consistency with subsidiarity. A dedicated high-level group introduces a new governance layer, requiring additional administrative resources. Indirect costs arise from transition complexity, and possible short-term disruptions to network rollout due to legal and administrative overheads. </w:t>
      </w:r>
    </w:p>
    <w:p w14:paraId="60FA9BC9" w14:textId="11C68011" w:rsidR="00C74199" w:rsidRPr="005C544D" w:rsidRDefault="00C74199" w:rsidP="00DE7CC1">
      <w:pPr>
        <w:pStyle w:val="NormalWeb"/>
        <w:spacing w:beforeAutospacing="0" w:afterAutospacing="0" w:line="240" w:lineRule="auto"/>
        <w:jc w:val="both"/>
        <w:rPr>
          <w:noProof/>
          <w:lang w:val="en-GB"/>
        </w:rPr>
      </w:pPr>
      <w:r w:rsidRPr="005C544D">
        <w:rPr>
          <w:noProof/>
          <w:lang w:val="en-GB"/>
        </w:rPr>
        <w:t xml:space="preserve">While potentially generating economies of scale for licensees, </w:t>
      </w:r>
      <w:r w:rsidRPr="005C544D">
        <w:rPr>
          <w:b/>
          <w:bCs/>
          <w:noProof/>
          <w:lang w:val="en-GB"/>
        </w:rPr>
        <w:t>EU-level spectrum awards</w:t>
      </w:r>
      <w:r w:rsidRPr="005C544D">
        <w:rPr>
          <w:noProof/>
          <w:lang w:val="en-GB"/>
        </w:rPr>
        <w:t xml:space="preserve"> could also introduce </w:t>
      </w:r>
      <w:r w:rsidRPr="551687C0">
        <w:rPr>
          <w:b/>
          <w:bCs/>
          <w:noProof/>
          <w:lang w:val="en-GB"/>
        </w:rPr>
        <w:t>inefficiencies</w:t>
      </w:r>
      <w:r w:rsidR="00C33E13">
        <w:rPr>
          <w:b/>
          <w:bCs/>
          <w:noProof/>
          <w:lang w:val="en-GB"/>
        </w:rPr>
        <w:t xml:space="preserve"> </w:t>
      </w:r>
      <w:r w:rsidRPr="551687C0">
        <w:rPr>
          <w:noProof/>
          <w:lang w:val="en-GB"/>
        </w:rPr>
        <w:t>that</w:t>
      </w:r>
      <w:r w:rsidRPr="005C544D">
        <w:rPr>
          <w:noProof/>
          <w:lang w:val="en-GB"/>
        </w:rPr>
        <w:t xml:space="preserve"> risk disrupting the functioning of the EU mobile market and delaying 6G deployment</w:t>
      </w:r>
      <w:r>
        <w:rPr>
          <w:noProof/>
          <w:lang w:val="en-GB"/>
        </w:rPr>
        <w:t xml:space="preserve"> and with costs to be sustained both at national and EU level, especially in the short-medium term.</w:t>
      </w:r>
      <w:r w:rsidRPr="005C544D">
        <w:rPr>
          <w:noProof/>
          <w:lang w:val="en-GB"/>
        </w:rPr>
        <w:t xml:space="preserve"> EU-wide awards would most likely apply to auctions of new 6G spectrum around 2030, as 5G spectrum has only very recently been assigned by Member States for </w:t>
      </w:r>
      <w:r w:rsidRPr="00602574">
        <w:rPr>
          <w:noProof/>
          <w:lang w:val="en-GB"/>
        </w:rPr>
        <w:t xml:space="preserve">a </w:t>
      </w:r>
      <w:r w:rsidRPr="005C544D">
        <w:rPr>
          <w:noProof/>
          <w:lang w:val="en-GB"/>
        </w:rPr>
        <w:t>duration of at least 15 years. For example, an EU-level award allocating four blocks in the upper 6 GHz band would result in only four MNOs holding spectrum across the EU. For any MNO without substantial national holdings in</w:t>
      </w:r>
      <w:r w:rsidRPr="00E2545C">
        <w:rPr>
          <w:noProof/>
          <w:lang w:val="en-GB"/>
        </w:rPr>
        <w:t xml:space="preserve"> </w:t>
      </w:r>
      <w:r w:rsidRPr="005C544D">
        <w:rPr>
          <w:noProof/>
          <w:lang w:val="en-GB"/>
        </w:rPr>
        <w:t xml:space="preserve">lower bands, this amount and kind of spectrum would be insufficient to support broad coverage and sustainable, high-quality 6G deployment. Conversely, MNOs failing to obtain spectrum in EU-level awards would still be expected to offer 6G services. However, while benefiting from the technology, they would not have access to the new mid-band spectrum required for capacity and performance. The use of spectrum is hence likely to be inefficient in the </w:t>
      </w:r>
      <w:r w:rsidRPr="005C544D">
        <w:rPr>
          <w:b/>
          <w:bCs/>
          <w:noProof/>
          <w:lang w:val="en-GB"/>
        </w:rPr>
        <w:t>short term</w:t>
      </w:r>
      <w:r>
        <w:rPr>
          <w:b/>
          <w:bCs/>
          <w:noProof/>
          <w:lang w:val="en-GB"/>
        </w:rPr>
        <w:t xml:space="preserve">, </w:t>
      </w:r>
      <w:r>
        <w:rPr>
          <w:noProof/>
        </w:rPr>
        <w:t>particularly</w:t>
      </w:r>
      <w:r w:rsidRPr="005C544D">
        <w:rPr>
          <w:noProof/>
        </w:rPr>
        <w:t xml:space="preserve"> </w:t>
      </w:r>
      <w:r>
        <w:rPr>
          <w:noProof/>
        </w:rPr>
        <w:t>given</w:t>
      </w:r>
      <w:r w:rsidRPr="005C544D">
        <w:rPr>
          <w:noProof/>
        </w:rPr>
        <w:t xml:space="preserve"> th</w:t>
      </w:r>
      <w:r>
        <w:rPr>
          <w:noProof/>
        </w:rPr>
        <w:t>e very limited secondary markets for mobile</w:t>
      </w:r>
      <w:r w:rsidRPr="005C544D">
        <w:rPr>
          <w:noProof/>
        </w:rPr>
        <w:t xml:space="preserve"> spectrum in the EU </w:t>
      </w:r>
      <w:r>
        <w:rPr>
          <w:noProof/>
        </w:rPr>
        <w:t>to date, which constrains the ability of operators to reallocate spectrum efficiently</w:t>
      </w:r>
      <w:r w:rsidRPr="005C544D">
        <w:rPr>
          <w:noProof/>
          <w:lang w:val="en-GB"/>
        </w:rPr>
        <w:t>.</w:t>
      </w:r>
      <w:r>
        <w:rPr>
          <w:rStyle w:val="FootnoteReference"/>
          <w:noProof/>
          <w:lang w:val="en-GB"/>
        </w:rPr>
        <w:footnoteReference w:id="253"/>
      </w:r>
    </w:p>
    <w:p w14:paraId="093768D5" w14:textId="77777777" w:rsidR="00C74199" w:rsidRPr="005C544D" w:rsidRDefault="00C74199" w:rsidP="00DE7CC1">
      <w:pPr>
        <w:pStyle w:val="NormalWeb"/>
        <w:spacing w:beforeAutospacing="0" w:afterAutospacing="0" w:line="240" w:lineRule="auto"/>
        <w:jc w:val="both"/>
        <w:rPr>
          <w:noProof/>
          <w:lang w:val="en-GB"/>
        </w:rPr>
      </w:pPr>
      <w:r w:rsidRPr="005C544D">
        <w:rPr>
          <w:noProof/>
          <w:lang w:val="en-GB"/>
        </w:rPr>
        <w:t xml:space="preserve">In the </w:t>
      </w:r>
      <w:r w:rsidRPr="005C544D">
        <w:rPr>
          <w:b/>
          <w:bCs/>
          <w:noProof/>
          <w:lang w:val="en-GB"/>
        </w:rPr>
        <w:t>medium term</w:t>
      </w:r>
      <w:r w:rsidRPr="005C544D">
        <w:rPr>
          <w:noProof/>
          <w:lang w:val="en-GB"/>
        </w:rPr>
        <w:t xml:space="preserve">, if multiple future bands are assigned via EU-level awards, structural imbalances could deepen. MNOs repeatedly failing to obtain spectrum, notably smaller and local operators, could be forced to exit the mobile market or become MVNOs. EU-wide auctions would also face practical challenges, as Member States have awarded spectrum at different times and under varying conditions. Substantial efforts </w:t>
      </w:r>
      <w:r w:rsidRPr="125B36AB">
        <w:rPr>
          <w:noProof/>
          <w:lang w:val="en-GB"/>
        </w:rPr>
        <w:t xml:space="preserve">and time </w:t>
      </w:r>
      <w:r w:rsidRPr="005C544D">
        <w:rPr>
          <w:noProof/>
          <w:lang w:val="en-GB"/>
        </w:rPr>
        <w:t>would be needed to synchronise licence expiry dates and band-specific conditions to enable centralised auctioning, likely creating significant uncertainty for market players and delays. During the transition to a new market structure, deployment could be disrupted or even stalled, and administrative cost high as NRAs would need to continue managing and monitoring existing national licences with non-synchronized deadlines alongside a parallel EU-level licensing framework. Effective market functioning would require well-developed secondary markets and instruments preventing spectrum hoarding and maximising efficiency of spectrum use, such as spectrum sharing.</w:t>
      </w:r>
      <w:r w:rsidRPr="00E2545C">
        <w:rPr>
          <w:noProof/>
          <w:lang w:val="en-GB"/>
        </w:rPr>
        <w:t xml:space="preserve"> </w:t>
      </w:r>
      <w:r w:rsidRPr="005C544D">
        <w:rPr>
          <w:noProof/>
          <w:lang w:val="en-GB"/>
        </w:rPr>
        <w:t xml:space="preserve">In the </w:t>
      </w:r>
      <w:r w:rsidRPr="005C544D">
        <w:rPr>
          <w:b/>
          <w:bCs/>
          <w:noProof/>
          <w:lang w:val="en-GB"/>
        </w:rPr>
        <w:t>long term</w:t>
      </w:r>
      <w:r w:rsidRPr="005C544D">
        <w:rPr>
          <w:noProof/>
          <w:lang w:val="en-GB"/>
        </w:rPr>
        <w:t xml:space="preserve">, larger operators could benefit from reduced regulatory fragmentation, lower cross-border interference and reduced need to redesign network strategies for each Member State. Public authorities would avoid inconsistent award outcomes and reduce national litigation. EU institutions would benefit from standardised reporting, performance metrics and streamlined enforcement. </w:t>
      </w:r>
    </w:p>
    <w:p w14:paraId="2DBD6728" w14:textId="7E28E07A" w:rsidR="00C74199" w:rsidRPr="005C544D" w:rsidRDefault="00C74199" w:rsidP="00DE7CC1">
      <w:pPr>
        <w:pStyle w:val="Text2"/>
        <w:spacing w:line="240" w:lineRule="auto"/>
        <w:ind w:left="0"/>
        <w:rPr>
          <w:noProof/>
        </w:rPr>
      </w:pPr>
      <w:r w:rsidRPr="00602574">
        <w:rPr>
          <w:noProof/>
        </w:rPr>
        <w:t xml:space="preserve">Option 3 offers broad </w:t>
      </w:r>
      <w:r w:rsidRPr="00602574">
        <w:rPr>
          <w:b/>
          <w:noProof/>
        </w:rPr>
        <w:t>benefits</w:t>
      </w:r>
      <w:r w:rsidRPr="00602574">
        <w:rPr>
          <w:noProof/>
        </w:rPr>
        <w:t xml:space="preserve"> by aligning spectrum policy with EU-wide investment, innovation, and connectivity objectives. These benefits are likely to materialise in the long term</w:t>
      </w:r>
      <w:r>
        <w:rPr>
          <w:noProof/>
        </w:rPr>
        <w:t>, in which</w:t>
      </w:r>
      <w:r w:rsidRPr="00602574">
        <w:rPr>
          <w:noProof/>
        </w:rPr>
        <w:t xml:space="preserve"> </w:t>
      </w:r>
      <w:r w:rsidRPr="00735CCC">
        <w:rPr>
          <w:noProof/>
        </w:rPr>
        <w:t>larger operators could benefit from reduced regulatory fragmentation, lower cross-border interference and reduced need to redesign network strategies for each Member State</w:t>
      </w:r>
      <w:r>
        <w:rPr>
          <w:noProof/>
        </w:rPr>
        <w:t>, which would support a more effective exploitation of economies of scale</w:t>
      </w:r>
      <w:r w:rsidRPr="00735CCC">
        <w:rPr>
          <w:noProof/>
        </w:rPr>
        <w:t>. Public authorities would avoid inconsistent award outcomes and reduce national litigation. EU institutions would benefit from standardised reporting, performance metrics and streamlined enforcement</w:t>
      </w:r>
      <w:r w:rsidRPr="00602574">
        <w:rPr>
          <w:noProof/>
        </w:rPr>
        <w:t xml:space="preserve">. Centralisation </w:t>
      </w:r>
      <w:r>
        <w:rPr>
          <w:noProof/>
        </w:rPr>
        <w:t xml:space="preserve">would </w:t>
      </w:r>
      <w:r w:rsidRPr="00602574">
        <w:rPr>
          <w:noProof/>
        </w:rPr>
        <w:t xml:space="preserve">better ensure that awards contribute directly to strategic goals. Operators </w:t>
      </w:r>
      <w:r>
        <w:rPr>
          <w:noProof/>
        </w:rPr>
        <w:t xml:space="preserve">would </w:t>
      </w:r>
      <w:r w:rsidRPr="00602574">
        <w:rPr>
          <w:noProof/>
        </w:rPr>
        <w:t xml:space="preserve">benefit from consistency in licence duration, award timing, and renewal criteria. Private enforcement in interference cases may facilitate faster resolution of problems. </w:t>
      </w:r>
      <w:r w:rsidRPr="005C544D">
        <w:rPr>
          <w:noProof/>
        </w:rPr>
        <w:t xml:space="preserve">A legally binding EU-wide mechanism for response to third-country interference significantly </w:t>
      </w:r>
      <w:r>
        <w:rPr>
          <w:noProof/>
        </w:rPr>
        <w:t>would strengthen</w:t>
      </w:r>
      <w:r w:rsidRPr="005C544D">
        <w:rPr>
          <w:noProof/>
        </w:rPr>
        <w:t xml:space="preserve"> EU’s capacity to defend its interests in international spectrum and satellite matters. This option ensures that discussions related to security or sovereignty matters affecting spectrum harmonisation are made within a closed, politically accountable forum. </w:t>
      </w:r>
    </w:p>
    <w:p w14:paraId="562B30B6" w14:textId="631E96BB" w:rsidR="00C74199" w:rsidRPr="00602574" w:rsidRDefault="00C74199" w:rsidP="00DE7CC1">
      <w:pPr>
        <w:pStyle w:val="Text2"/>
        <w:spacing w:line="240" w:lineRule="auto"/>
        <w:ind w:left="0"/>
        <w:rPr>
          <w:noProof/>
        </w:rPr>
      </w:pPr>
      <w:r w:rsidRPr="00602574">
        <w:rPr>
          <w:noProof/>
        </w:rPr>
        <w:t xml:space="preserve">In terms of </w:t>
      </w:r>
      <w:r w:rsidRPr="005C544D">
        <w:rPr>
          <w:b/>
          <w:bCs/>
          <w:noProof/>
        </w:rPr>
        <w:t>indirect benefits</w:t>
      </w:r>
      <w:r w:rsidRPr="00602574">
        <w:rPr>
          <w:noProof/>
        </w:rPr>
        <w:t xml:space="preserve">, a more coherent and integrated spectrum regime could generate strong macroeconomic impacts in the long term. It could accelerate deployment of advanced networks, strengthen the single market, and support industrial transformation and green transition objectives, such as </w:t>
      </w:r>
      <w:r w:rsidRPr="00B616FE">
        <w:rPr>
          <w:noProof/>
        </w:rPr>
        <w:t>remote work, smart mobility and precision farming. Spectrum harmonisation could facilitate cross-border expansion. However, while the industry recognizes the need for consolidation, it focuses more on in</w:t>
      </w:r>
      <w:r w:rsidR="00E77681" w:rsidRPr="00B616FE">
        <w:rPr>
          <w:noProof/>
        </w:rPr>
        <w:t>-</w:t>
      </w:r>
      <w:r w:rsidRPr="00B616FE">
        <w:rPr>
          <w:noProof/>
        </w:rPr>
        <w:t>country consolidation and does not view centralized auctions as the most effective way to achieve better market outcomes. Centralised planning enhances transparency, accountability, and data availability, fa</w:t>
      </w:r>
      <w:r w:rsidRPr="00602574">
        <w:rPr>
          <w:noProof/>
        </w:rPr>
        <w:t xml:space="preserve">cilitating better monitoring of public policy outcomes. However, the deployment of mobile networks is local and requires extensive capex in physical infrastructures, such as base stations or antennas. Thus, access to spectrum at pan-European level would not necessarily result in higher economies of scale. According to interviews conducted for the </w:t>
      </w:r>
      <w:r w:rsidR="00C62EE5">
        <w:rPr>
          <w:noProof/>
        </w:rPr>
        <w:t>‘Study on Finance and USO’</w:t>
      </w:r>
      <w:r w:rsidRPr="00602574">
        <w:rPr>
          <w:noProof/>
        </w:rPr>
        <w:t>, the majority of MNOs identifies only limited advantages from cross-border provision of mobile services, mainly linked to cloud and core networks, rather than to radio access networks. While operators could optimise network deployment, they would still sustain additional costs to offer retail cross-border services stemming from remaining fragmentation of legal requirements in areas such as legal interception,</w:t>
      </w:r>
      <w:r w:rsidRPr="00602574" w:rsidDel="00F66DCF">
        <w:rPr>
          <w:noProof/>
        </w:rPr>
        <w:t xml:space="preserve"> </w:t>
      </w:r>
      <w:r w:rsidRPr="00602574">
        <w:rPr>
          <w:noProof/>
        </w:rPr>
        <w:t>cybersecurity, data protection, data retention and end-user protection. Those factors and other non-infrastructure-based costs might affect commercial interest to provide EU-level services.</w:t>
      </w:r>
    </w:p>
    <w:p w14:paraId="51F8A563" w14:textId="26BE209E" w:rsidR="00C74199" w:rsidRPr="00602574" w:rsidRDefault="00C74199" w:rsidP="00DE7CC1">
      <w:pPr>
        <w:pStyle w:val="Text2"/>
        <w:spacing w:line="240" w:lineRule="auto"/>
        <w:ind w:left="0"/>
        <w:rPr>
          <w:noProof/>
        </w:rPr>
      </w:pPr>
      <w:r w:rsidRPr="00602574">
        <w:rPr>
          <w:noProof/>
        </w:rPr>
        <w:t xml:space="preserve">In the long run, EU-level spectrum auctioning could generate </w:t>
      </w:r>
      <w:r w:rsidRPr="005C544D">
        <w:rPr>
          <w:b/>
          <w:bCs/>
          <w:noProof/>
        </w:rPr>
        <w:t>large cost savings for Member States</w:t>
      </w:r>
      <w:r w:rsidRPr="00602574">
        <w:rPr>
          <w:noProof/>
        </w:rPr>
        <w:t xml:space="preserve">, as the overall cost of organising such auctions would be comparable to that of a single large Member State, such as Germany. However, organising such auctions would entail a </w:t>
      </w:r>
      <w:r w:rsidRPr="005C544D">
        <w:rPr>
          <w:b/>
          <w:bCs/>
          <w:noProof/>
        </w:rPr>
        <w:t>significant increase in specialised EU-level staff</w:t>
      </w:r>
      <w:r w:rsidRPr="00602574">
        <w:rPr>
          <w:noProof/>
        </w:rPr>
        <w:t xml:space="preserve"> and could require </w:t>
      </w:r>
      <w:r w:rsidRPr="00D212FE">
        <w:rPr>
          <w:noProof/>
        </w:rPr>
        <w:t>additional funding from Member States or the industry, as it would represent a new task for EU institutions</w:t>
      </w:r>
      <w:r w:rsidR="003C4A6B" w:rsidRPr="00D212FE">
        <w:rPr>
          <w:noProof/>
        </w:rPr>
        <w:t>, while in the short-medium time horizon, many tasks would also remain with national authorities due to existing spectrum holdings monitoring and renewals as well as the need to align timeline of expiry of holdings</w:t>
      </w:r>
      <w:r w:rsidRPr="00D212FE">
        <w:rPr>
          <w:noProof/>
        </w:rPr>
        <w:t>.</w:t>
      </w:r>
      <w:r w:rsidRPr="00D212FE">
        <w:rPr>
          <w:rStyle w:val="FootnoteReference"/>
          <w:noProof/>
        </w:rPr>
        <w:footnoteReference w:id="254"/>
      </w:r>
      <w:r w:rsidRPr="00D212FE">
        <w:rPr>
          <w:noProof/>
        </w:rPr>
        <w:t xml:space="preserve"> Further </w:t>
      </w:r>
      <w:r w:rsidRPr="00602574">
        <w:rPr>
          <w:noProof/>
        </w:rPr>
        <w:t xml:space="preserve">costs may arise from national-specific conditions, including harmful interference and monitoring of national licences in the medium-term. </w:t>
      </w:r>
    </w:p>
    <w:p w14:paraId="4AED96B0" w14:textId="68A2FA1D" w:rsidR="00C74199" w:rsidRPr="00602574" w:rsidRDefault="00C74199" w:rsidP="00DE7CC1">
      <w:pPr>
        <w:pStyle w:val="Text2"/>
        <w:spacing w:line="240" w:lineRule="auto"/>
        <w:ind w:left="0"/>
        <w:rPr>
          <w:noProof/>
        </w:rPr>
      </w:pPr>
      <w:r w:rsidRPr="00602574">
        <w:rPr>
          <w:noProof/>
        </w:rPr>
        <w:t xml:space="preserve">Overall, </w:t>
      </w:r>
      <w:r w:rsidR="00015C6F">
        <w:rPr>
          <w:noProof/>
        </w:rPr>
        <w:t>O</w:t>
      </w:r>
      <w:r w:rsidR="00490572" w:rsidRPr="00602574">
        <w:rPr>
          <w:noProof/>
        </w:rPr>
        <w:t xml:space="preserve">ption </w:t>
      </w:r>
      <w:r w:rsidRPr="00602574">
        <w:rPr>
          <w:noProof/>
        </w:rPr>
        <w:t>3 offers significant strategic and integrated benefits in the long term, particularly for EU-wide investment mobilisation, innovation leadership, and industrial resilience. However, it also presents considerable challenges in the short-medium term</w:t>
      </w:r>
      <w:r w:rsidRPr="00602574">
        <w:rPr>
          <w:noProof/>
          <w:sz w:val="22"/>
          <w:szCs w:val="22"/>
        </w:rPr>
        <w:t xml:space="preserve">. </w:t>
      </w:r>
    </w:p>
    <w:p w14:paraId="7080A885" w14:textId="6C59019B" w:rsidR="00153F5E" w:rsidRPr="00DE264C" w:rsidRDefault="00430DE4" w:rsidP="00292895">
      <w:pPr>
        <w:pStyle w:val="Heading2"/>
        <w:rPr>
          <w:noProof/>
        </w:rPr>
      </w:pPr>
      <w:bookmarkStart w:id="307" w:name="_Toc214467742"/>
      <w:bookmarkStart w:id="308" w:name="_Toc215083764"/>
      <w:bookmarkStart w:id="309" w:name="_Toc215083794"/>
      <w:bookmarkStart w:id="310" w:name="_Toc219212530"/>
      <w:bookmarkStart w:id="311" w:name="_Toc219718185"/>
      <w:r w:rsidRPr="00DE264C">
        <w:rPr>
          <w:noProof/>
        </w:rPr>
        <w:t>A</w:t>
      </w:r>
      <w:r w:rsidR="00F816D5" w:rsidRPr="00DE264C">
        <w:rPr>
          <w:noProof/>
        </w:rPr>
        <w:t>uthorisation</w:t>
      </w:r>
      <w:bookmarkEnd w:id="307"/>
      <w:bookmarkEnd w:id="308"/>
      <w:bookmarkEnd w:id="309"/>
      <w:bookmarkEnd w:id="310"/>
      <w:bookmarkEnd w:id="311"/>
    </w:p>
    <w:p w14:paraId="03B701ED" w14:textId="433378AC" w:rsidR="00711F5D" w:rsidRPr="00DE264C" w:rsidRDefault="004A76A0" w:rsidP="007E69D1">
      <w:pPr>
        <w:pStyle w:val="Heading3"/>
        <w:ind w:left="720"/>
        <w:rPr>
          <w:noProof/>
          <w:color w:val="000000" w:themeColor="text1"/>
          <w:lang w:val="en-US"/>
        </w:rPr>
      </w:pPr>
      <w:bookmarkStart w:id="312" w:name="_Toc214467743"/>
      <w:bookmarkStart w:id="313" w:name="_Toc215083765"/>
      <w:bookmarkStart w:id="314" w:name="_Toc215083795"/>
      <w:bookmarkStart w:id="315" w:name="_Toc219212531"/>
      <w:bookmarkStart w:id="316" w:name="_Toc219718186"/>
      <w:r w:rsidRPr="00DE264C">
        <w:rPr>
          <w:rFonts w:eastAsiaTheme="minorHAnsi"/>
          <w:noProof/>
        </w:rPr>
        <w:t xml:space="preserve">Option </w:t>
      </w:r>
      <w:r w:rsidR="1A0C71C1" w:rsidRPr="00DE264C">
        <w:rPr>
          <w:rFonts w:eastAsiaTheme="minorHAnsi"/>
          <w:noProof/>
        </w:rPr>
        <w:t>1</w:t>
      </w:r>
      <w:r w:rsidRPr="00DE264C">
        <w:rPr>
          <w:rFonts w:eastAsiaTheme="minorHAnsi"/>
          <w:noProof/>
        </w:rPr>
        <w:t>:</w:t>
      </w:r>
      <w:r w:rsidR="1A0C71C1" w:rsidRPr="00DE264C">
        <w:rPr>
          <w:rFonts w:eastAsiaTheme="minorHAnsi"/>
          <w:noProof/>
        </w:rPr>
        <w:t xml:space="preserve"> </w:t>
      </w:r>
      <w:r w:rsidR="007E6742" w:rsidRPr="00DE264C">
        <w:rPr>
          <w:noProof/>
          <w:color w:val="000000" w:themeColor="text1"/>
        </w:rPr>
        <w:t>Partial harmonisation of authorisation</w:t>
      </w:r>
      <w:r w:rsidR="007E6742" w:rsidRPr="00DE264C" w:rsidDel="007E6742">
        <w:rPr>
          <w:noProof/>
        </w:rPr>
        <w:t xml:space="preserve"> </w:t>
      </w:r>
      <w:r w:rsidR="11FCB290" w:rsidRPr="00DE264C">
        <w:rPr>
          <w:noProof/>
        </w:rPr>
        <w:t>(general and satellite)</w:t>
      </w:r>
      <w:bookmarkEnd w:id="312"/>
      <w:bookmarkEnd w:id="313"/>
      <w:bookmarkEnd w:id="314"/>
      <w:bookmarkEnd w:id="315"/>
      <w:bookmarkEnd w:id="316"/>
    </w:p>
    <w:p w14:paraId="45032F33" w14:textId="3CCC2AB2" w:rsidR="5E941906" w:rsidRPr="00DE264C" w:rsidRDefault="5E941906" w:rsidP="00DE7CC1">
      <w:pPr>
        <w:spacing w:line="240" w:lineRule="auto"/>
        <w:rPr>
          <w:rFonts w:eastAsia="Times New Roman"/>
          <w:noProof/>
        </w:rPr>
      </w:pPr>
      <w:r w:rsidRPr="00DE264C">
        <w:rPr>
          <w:rFonts w:eastAsia="Times New Roman"/>
          <w:b/>
          <w:bCs/>
          <w:noProof/>
        </w:rPr>
        <w:t>Option 1</w:t>
      </w:r>
      <w:r w:rsidRPr="00DE264C">
        <w:rPr>
          <w:rFonts w:eastAsia="Times New Roman"/>
          <w:noProof/>
        </w:rPr>
        <w:t xml:space="preserve"> incurs many one-</w:t>
      </w:r>
      <w:r w:rsidRPr="4312E7A3">
        <w:rPr>
          <w:rFonts w:eastAsia="Times New Roman"/>
          <w:noProof/>
        </w:rPr>
        <w:t>off costs for</w:t>
      </w:r>
      <w:r w:rsidRPr="001D415A">
        <w:rPr>
          <w:rFonts w:eastAsia="Times New Roman"/>
          <w:noProof/>
        </w:rPr>
        <w:t xml:space="preserve"> the </w:t>
      </w:r>
      <w:r w:rsidRPr="7AC71608">
        <w:rPr>
          <w:rFonts w:eastAsia="Times New Roman"/>
          <w:b/>
          <w:bCs/>
          <w:noProof/>
        </w:rPr>
        <w:t>general authorisation regime</w:t>
      </w:r>
      <w:r w:rsidRPr="00DE264C">
        <w:rPr>
          <w:rFonts w:eastAsia="Times New Roman"/>
          <w:noProof/>
        </w:rPr>
        <w:t>.</w:t>
      </w:r>
      <w:r w:rsidRPr="00DE264C">
        <w:rPr>
          <w:rFonts w:eastAsia="Times New Roman"/>
          <w:b/>
          <w:bCs/>
          <w:noProof/>
        </w:rPr>
        <w:t xml:space="preserve"> </w:t>
      </w:r>
      <w:r w:rsidRPr="00DE264C">
        <w:rPr>
          <w:rFonts w:eastAsia="Times New Roman"/>
          <w:noProof/>
        </w:rPr>
        <w:t>However, simplified procedures such as a unified notification template and si</w:t>
      </w:r>
      <w:r w:rsidR="0049219B" w:rsidRPr="00DE264C">
        <w:rPr>
          <w:rFonts w:eastAsia="Times New Roman"/>
          <w:noProof/>
        </w:rPr>
        <w:t>n</w:t>
      </w:r>
      <w:r w:rsidRPr="00DE264C">
        <w:rPr>
          <w:rFonts w:eastAsia="Times New Roman"/>
          <w:noProof/>
        </w:rPr>
        <w:t>gle notification reduce administrative and compliance costs, enabling providers</w:t>
      </w:r>
      <w:r w:rsidR="00B772E2">
        <w:rPr>
          <w:rFonts w:eastAsia="Times New Roman"/>
          <w:noProof/>
        </w:rPr>
        <w:t xml:space="preserve"> </w:t>
      </w:r>
      <w:r w:rsidR="00B772E2" w:rsidRPr="005C544D">
        <w:rPr>
          <w:noProof/>
        </w:rPr>
        <w:t>–</w:t>
      </w:r>
      <w:r w:rsidR="00B772E2">
        <w:rPr>
          <w:noProof/>
        </w:rPr>
        <w:t xml:space="preserve"> </w:t>
      </w:r>
      <w:r w:rsidRPr="00DE264C">
        <w:rPr>
          <w:rFonts w:eastAsia="Times New Roman"/>
          <w:noProof/>
        </w:rPr>
        <w:t>especially SMEs</w:t>
      </w:r>
      <w:r w:rsidR="00B772E2">
        <w:rPr>
          <w:rFonts w:eastAsia="Times New Roman"/>
          <w:noProof/>
        </w:rPr>
        <w:t xml:space="preserve"> </w:t>
      </w:r>
      <w:r w:rsidR="00B772E2" w:rsidRPr="005C544D">
        <w:rPr>
          <w:noProof/>
        </w:rPr>
        <w:t>–</w:t>
      </w:r>
      <w:r w:rsidR="00B772E2">
        <w:rPr>
          <w:noProof/>
        </w:rPr>
        <w:t xml:space="preserve"> </w:t>
      </w:r>
      <w:r w:rsidRPr="00DE264C">
        <w:rPr>
          <w:rFonts w:eastAsia="Times New Roman"/>
          <w:noProof/>
        </w:rPr>
        <w:t xml:space="preserve">to allocate resources to innovation and growth rather than bureaucracy. By lowering barriers to market entry, </w:t>
      </w:r>
      <w:r w:rsidR="001E29EF">
        <w:rPr>
          <w:rFonts w:eastAsia="Times New Roman"/>
          <w:noProof/>
        </w:rPr>
        <w:t>o</w:t>
      </w:r>
      <w:r w:rsidR="006D3FF9">
        <w:rPr>
          <w:rFonts w:eastAsia="Times New Roman"/>
          <w:noProof/>
        </w:rPr>
        <w:t>ption</w:t>
      </w:r>
      <w:r w:rsidRPr="00DE264C">
        <w:rPr>
          <w:rFonts w:eastAsia="Times New Roman"/>
          <w:noProof/>
        </w:rPr>
        <w:t xml:space="preserve"> 1 stimulates cross-border service provision, fosters greater competition, and expands consumer choice, directly contributing to a more dynamic and competitive European digital market</w:t>
      </w:r>
      <w:r w:rsidR="00725B42" w:rsidRPr="00DE264C">
        <w:rPr>
          <w:rStyle w:val="FootnoteReference"/>
          <w:rFonts w:eastAsia="Times New Roman"/>
          <w:noProof/>
        </w:rPr>
        <w:footnoteReference w:id="255"/>
      </w:r>
      <w:r w:rsidRPr="00DE264C">
        <w:rPr>
          <w:rFonts w:eastAsia="Times New Roman"/>
          <w:noProof/>
        </w:rPr>
        <w:t xml:space="preserve">. </w:t>
      </w:r>
    </w:p>
    <w:p w14:paraId="202FDA6C" w14:textId="22C5F903" w:rsidR="00514F4E" w:rsidRPr="00DE264C" w:rsidRDefault="5E941906" w:rsidP="00DE7CC1">
      <w:pPr>
        <w:spacing w:line="240" w:lineRule="auto"/>
        <w:rPr>
          <w:noProof/>
        </w:rPr>
      </w:pPr>
      <w:r w:rsidRPr="00DE264C">
        <w:rPr>
          <w:rFonts w:eastAsia="Times New Roman"/>
          <w:noProof/>
          <w:color w:val="000000" w:themeColor="text1"/>
        </w:rPr>
        <w:t xml:space="preserve">As regards </w:t>
      </w:r>
      <w:r w:rsidRPr="00DE264C">
        <w:rPr>
          <w:rFonts w:eastAsia="Times New Roman"/>
          <w:b/>
          <w:bCs/>
          <w:noProof/>
          <w:color w:val="000000" w:themeColor="text1"/>
        </w:rPr>
        <w:t>satellite authorisations</w:t>
      </w:r>
      <w:r w:rsidR="00AC7F14" w:rsidRPr="00DE264C">
        <w:rPr>
          <w:rFonts w:eastAsia="Times New Roman"/>
          <w:noProof/>
          <w:color w:val="000000" w:themeColor="text1"/>
        </w:rPr>
        <w:t xml:space="preserve"> more specifically</w:t>
      </w:r>
      <w:r w:rsidRPr="00DE264C">
        <w:rPr>
          <w:rFonts w:eastAsia="Times New Roman"/>
          <w:noProof/>
          <w:color w:val="000000" w:themeColor="text1"/>
        </w:rPr>
        <w:t xml:space="preserve">, </w:t>
      </w:r>
      <w:r w:rsidR="001E29EF">
        <w:rPr>
          <w:noProof/>
        </w:rPr>
        <w:t>o</w:t>
      </w:r>
      <w:r w:rsidR="006D3FF9">
        <w:rPr>
          <w:noProof/>
        </w:rPr>
        <w:t>ption</w:t>
      </w:r>
      <w:r w:rsidRPr="00A03164">
        <w:rPr>
          <w:noProof/>
        </w:rPr>
        <w:t xml:space="preserve"> 1 offers a modest improvement in the consistency, transparency, and predictability of satellite authorisation across the EU. It however simplifies the regulatory environment through a common template for authorisation conditions, potentially reducing compliance costs and enabling satellite operators to better plan investments. </w:t>
      </w:r>
      <w:r w:rsidR="009628BE" w:rsidRPr="00DE264C">
        <w:rPr>
          <w:noProof/>
        </w:rPr>
        <w:t>This provid</w:t>
      </w:r>
      <w:r w:rsidR="006A7729" w:rsidRPr="00DE264C">
        <w:rPr>
          <w:noProof/>
        </w:rPr>
        <w:t>es</w:t>
      </w:r>
      <w:r w:rsidR="009628BE" w:rsidRPr="00DE264C">
        <w:rPr>
          <w:noProof/>
        </w:rPr>
        <w:t xml:space="preserve"> </w:t>
      </w:r>
      <w:r w:rsidR="006A7729" w:rsidRPr="00DE264C">
        <w:rPr>
          <w:noProof/>
        </w:rPr>
        <w:t>some</w:t>
      </w:r>
      <w:r w:rsidR="009628BE" w:rsidRPr="00DE264C">
        <w:rPr>
          <w:noProof/>
        </w:rPr>
        <w:t xml:space="preserve"> </w:t>
      </w:r>
      <w:r w:rsidRPr="00DE264C">
        <w:rPr>
          <w:rFonts w:eastAsia="Times New Roman"/>
          <w:noProof/>
          <w:color w:val="000000" w:themeColor="text1"/>
        </w:rPr>
        <w:t>legal certainty and regulatory predictability for businesses, including SMEs.</w:t>
      </w:r>
      <w:r w:rsidRPr="00A03164">
        <w:rPr>
          <w:noProof/>
        </w:rPr>
        <w:t xml:space="preserve"> The broader macroeconomic and social benefits depend on the uncertain outcome of new satellite operators entering the market. This option would have a slight positive impact to New Space SMEs through reduction of regulatory burden but remains </w:t>
      </w:r>
      <w:r w:rsidR="006B639F" w:rsidRPr="00A03164">
        <w:rPr>
          <w:noProof/>
        </w:rPr>
        <w:t xml:space="preserve">doubtful </w:t>
      </w:r>
      <w:r w:rsidRPr="00A03164">
        <w:rPr>
          <w:noProof/>
        </w:rPr>
        <w:t>if it would promote investment confidence</w:t>
      </w:r>
      <w:r w:rsidR="004B5B5F" w:rsidRPr="00A03164">
        <w:rPr>
          <w:noProof/>
        </w:rPr>
        <w:t xml:space="preserve"> and if it would</w:t>
      </w:r>
      <w:r w:rsidR="004B5B5F" w:rsidRPr="00DE264C">
        <w:rPr>
          <w:rFonts w:eastAsia="Times New Roman"/>
          <w:noProof/>
          <w:color w:val="000000" w:themeColor="text1"/>
        </w:rPr>
        <w:t xml:space="preserve"> facilitate </w:t>
      </w:r>
      <w:r w:rsidR="004B5B5F" w:rsidRPr="00A03164">
        <w:rPr>
          <w:noProof/>
        </w:rPr>
        <w:t>creation of EU-wide MSS networks contributing to strategic autonomy in space-based communications by reducing reliance on third-country operators</w:t>
      </w:r>
      <w:r w:rsidRPr="00A03164">
        <w:rPr>
          <w:noProof/>
        </w:rPr>
        <w:t>.</w:t>
      </w:r>
      <w:r w:rsidR="00293AD2" w:rsidRPr="00A03164">
        <w:rPr>
          <w:noProof/>
        </w:rPr>
        <w:t xml:space="preserve"> </w:t>
      </w:r>
    </w:p>
    <w:p w14:paraId="0C4A78E2" w14:textId="1AA2E910" w:rsidR="5E941906" w:rsidRPr="00DE264C" w:rsidRDefault="00F8091E" w:rsidP="00DE7CC1">
      <w:pPr>
        <w:spacing w:line="240" w:lineRule="auto"/>
        <w:rPr>
          <w:rFonts w:eastAsia="Times New Roman"/>
          <w:noProof/>
          <w:lang w:val="en-IE"/>
        </w:rPr>
      </w:pPr>
      <w:r w:rsidRPr="00A03164">
        <w:rPr>
          <w:noProof/>
        </w:rPr>
        <w:t xml:space="preserve">Option 1 brings positive </w:t>
      </w:r>
      <w:r w:rsidRPr="00A03164">
        <w:rPr>
          <w:b/>
          <w:noProof/>
        </w:rPr>
        <w:t>impact on digitalisation,</w:t>
      </w:r>
      <w:r w:rsidRPr="00A03164">
        <w:rPr>
          <w:noProof/>
        </w:rPr>
        <w:t xml:space="preserve"> enhances accessibility and reduces administrative burden across Member States, b</w:t>
      </w:r>
      <w:r w:rsidR="5E941906" w:rsidRPr="00A03164">
        <w:rPr>
          <w:noProof/>
        </w:rPr>
        <w:t xml:space="preserve">y linking national single points of contact with the Single Digital Gateway for businesses [and/or] the BEREC website, and by providing digital tools for coordination among national authorities beyond the EECC conditions. This directly supports the European 2030 Digital Compass vision of a connected, digitally empowered Europe with seamless cross-border services and could also contribute to the goals of the Digital Decade by potentially improving the efficiency of EU connectivity services through satellite constellations. </w:t>
      </w:r>
    </w:p>
    <w:p w14:paraId="05A4B7C3" w14:textId="74942C03" w:rsidR="5E941906" w:rsidRPr="00DE264C" w:rsidRDefault="5E941906" w:rsidP="00DE7CC1">
      <w:pPr>
        <w:spacing w:line="240" w:lineRule="auto"/>
        <w:rPr>
          <w:rFonts w:eastAsia="Times New Roman"/>
          <w:noProof/>
          <w:color w:val="000000" w:themeColor="text1"/>
        </w:rPr>
      </w:pPr>
      <w:r w:rsidRPr="00DE264C">
        <w:rPr>
          <w:rFonts w:eastAsia="Times New Roman"/>
          <w:noProof/>
          <w:color w:val="000000" w:themeColor="text1"/>
        </w:rPr>
        <w:t xml:space="preserve">While no direct </w:t>
      </w:r>
      <w:r w:rsidRPr="00DE264C">
        <w:rPr>
          <w:rFonts w:eastAsia="Times New Roman"/>
          <w:b/>
          <w:bCs/>
          <w:noProof/>
          <w:color w:val="000000" w:themeColor="text1"/>
        </w:rPr>
        <w:t>environmental impacts</w:t>
      </w:r>
      <w:r w:rsidRPr="00DE264C">
        <w:rPr>
          <w:rFonts w:eastAsia="Times New Roman"/>
          <w:noProof/>
          <w:color w:val="000000" w:themeColor="text1"/>
        </w:rPr>
        <w:t xml:space="preserve"> are expected under </w:t>
      </w:r>
      <w:r w:rsidR="001E29EF">
        <w:rPr>
          <w:rFonts w:eastAsia="Times New Roman"/>
          <w:noProof/>
          <w:color w:val="000000" w:themeColor="text1"/>
        </w:rPr>
        <w:t>o</w:t>
      </w:r>
      <w:r w:rsidRPr="00DE264C">
        <w:rPr>
          <w:rFonts w:eastAsia="Times New Roman"/>
          <w:noProof/>
          <w:color w:val="000000" w:themeColor="text1"/>
        </w:rPr>
        <w:t xml:space="preserve">ption 1 for authorisation measures, indirect benefits may arise as digitalised procedures reduce paperwork and physical interactions, supporting more sustainable administrative practices. </w:t>
      </w:r>
      <w:r w:rsidR="00D60439" w:rsidRPr="00DE264C">
        <w:rPr>
          <w:rFonts w:eastAsia="Times New Roman"/>
          <w:noProof/>
          <w:color w:val="000000" w:themeColor="text1"/>
        </w:rPr>
        <w:t xml:space="preserve">Option 1 measures facilitating EU wide authorisation of services would to a minimal extent produce indirectly the environmental and societal impacts illustrated under </w:t>
      </w:r>
      <w:r w:rsidR="001E29EF">
        <w:rPr>
          <w:rFonts w:eastAsia="Times New Roman"/>
          <w:noProof/>
          <w:color w:val="000000" w:themeColor="text1"/>
        </w:rPr>
        <w:t>o</w:t>
      </w:r>
      <w:r w:rsidR="008F5D49" w:rsidRPr="00DE264C">
        <w:rPr>
          <w:rFonts w:eastAsia="Times New Roman"/>
          <w:noProof/>
          <w:color w:val="000000" w:themeColor="text1"/>
        </w:rPr>
        <w:t xml:space="preserve">ption </w:t>
      </w:r>
      <w:r w:rsidR="00D60439" w:rsidRPr="00DE264C">
        <w:rPr>
          <w:rFonts w:eastAsia="Times New Roman"/>
          <w:noProof/>
          <w:color w:val="000000" w:themeColor="text1"/>
        </w:rPr>
        <w:t>2 and in Annex 9.</w:t>
      </w:r>
    </w:p>
    <w:p w14:paraId="3DE2E50C" w14:textId="3C803139" w:rsidR="007020F7" w:rsidRPr="00A03164" w:rsidDel="006926C2" w:rsidRDefault="004D4DB8" w:rsidP="00A03164">
      <w:pPr>
        <w:pStyle w:val="Heading3"/>
        <w:ind w:left="720"/>
        <w:rPr>
          <w:rFonts w:eastAsiaTheme="minorHAnsi"/>
          <w:noProof/>
        </w:rPr>
      </w:pPr>
      <w:bookmarkStart w:id="317" w:name="_Toc214467744"/>
      <w:bookmarkStart w:id="318" w:name="_Toc215083766"/>
      <w:bookmarkStart w:id="319" w:name="_Toc215083796"/>
      <w:bookmarkStart w:id="320" w:name="_Toc219212532"/>
      <w:bookmarkStart w:id="321" w:name="_Toc219718187"/>
      <w:r w:rsidRPr="00A03164">
        <w:rPr>
          <w:rFonts w:eastAsiaTheme="minorHAnsi"/>
          <w:noProof/>
        </w:rPr>
        <w:t xml:space="preserve">Option 2: </w:t>
      </w:r>
      <w:r w:rsidR="002A2359" w:rsidRPr="00A03164">
        <w:rPr>
          <w:rFonts w:eastAsiaTheme="minorHAnsi"/>
          <w:noProof/>
        </w:rPr>
        <w:t>Single “passport” for other networks and services than satellite and an EU-level authorisation for satellite spectrum</w:t>
      </w:r>
      <w:bookmarkEnd w:id="317"/>
      <w:bookmarkEnd w:id="318"/>
      <w:bookmarkEnd w:id="319"/>
      <w:bookmarkEnd w:id="320"/>
      <w:bookmarkEnd w:id="321"/>
    </w:p>
    <w:p w14:paraId="24EE14F6" w14:textId="77777777" w:rsidR="00FF4708" w:rsidRPr="00DE264C" w:rsidRDefault="00FF4708" w:rsidP="00DE7CC1">
      <w:pPr>
        <w:spacing w:line="240" w:lineRule="auto"/>
        <w:rPr>
          <w:rFonts w:eastAsia="Times New Roman"/>
          <w:b/>
          <w:noProof/>
          <w:color w:val="000000" w:themeColor="text1"/>
        </w:rPr>
      </w:pPr>
      <w:r w:rsidRPr="00DE264C">
        <w:rPr>
          <w:rFonts w:eastAsia="Times New Roman"/>
          <w:b/>
          <w:noProof/>
          <w:color w:val="000000" w:themeColor="text1"/>
        </w:rPr>
        <w:t>Single passport</w:t>
      </w:r>
    </w:p>
    <w:p w14:paraId="6BA568A9" w14:textId="2229008E" w:rsidR="005B7D59" w:rsidRPr="00DE264C" w:rsidRDefault="00890513" w:rsidP="00DE7CC1">
      <w:pPr>
        <w:spacing w:line="240" w:lineRule="auto"/>
        <w:rPr>
          <w:rFonts w:eastAsia="Times New Roman"/>
          <w:noProof/>
          <w:lang w:val="en-IE"/>
        </w:rPr>
      </w:pPr>
      <w:r w:rsidRPr="00DE264C">
        <w:rPr>
          <w:rFonts w:eastAsia="Times New Roman"/>
          <w:b/>
          <w:noProof/>
          <w:color w:val="000000" w:themeColor="text1"/>
        </w:rPr>
        <w:t xml:space="preserve">The benefits </w:t>
      </w:r>
      <w:r w:rsidRPr="00DE264C">
        <w:rPr>
          <w:rFonts w:eastAsia="Times New Roman"/>
          <w:noProof/>
          <w:color w:val="000000" w:themeColor="text1"/>
        </w:rPr>
        <w:t xml:space="preserve">of </w:t>
      </w:r>
      <w:r w:rsidR="00D22994" w:rsidRPr="00DE264C">
        <w:rPr>
          <w:rFonts w:eastAsia="Times New Roman"/>
          <w:noProof/>
          <w:color w:val="000000" w:themeColor="text1"/>
        </w:rPr>
        <w:t xml:space="preserve">the </w:t>
      </w:r>
      <w:r w:rsidR="00CB22A9">
        <w:rPr>
          <w:rFonts w:eastAsia="Times New Roman"/>
          <w:noProof/>
          <w:color w:val="000000" w:themeColor="text1"/>
        </w:rPr>
        <w:t>s</w:t>
      </w:r>
      <w:r w:rsidR="00D22994" w:rsidRPr="00DE264C">
        <w:rPr>
          <w:rFonts w:eastAsia="Times New Roman"/>
          <w:noProof/>
          <w:color w:val="000000" w:themeColor="text1"/>
        </w:rPr>
        <w:t xml:space="preserve">ingle </w:t>
      </w:r>
      <w:r w:rsidR="00CB22A9">
        <w:rPr>
          <w:rFonts w:eastAsia="Times New Roman"/>
          <w:noProof/>
          <w:color w:val="000000" w:themeColor="text1"/>
        </w:rPr>
        <w:t>‘p</w:t>
      </w:r>
      <w:r w:rsidR="00D22994" w:rsidRPr="00DE264C">
        <w:rPr>
          <w:rFonts w:eastAsia="Times New Roman"/>
          <w:noProof/>
          <w:color w:val="000000" w:themeColor="text1"/>
        </w:rPr>
        <w:t>assport</w:t>
      </w:r>
      <w:r w:rsidR="00CB22A9">
        <w:rPr>
          <w:rFonts w:eastAsia="Times New Roman"/>
          <w:noProof/>
          <w:color w:val="000000" w:themeColor="text1"/>
        </w:rPr>
        <w:t>’</w:t>
      </w:r>
      <w:r w:rsidRPr="00DE264C">
        <w:rPr>
          <w:rFonts w:eastAsia="Times New Roman"/>
          <w:noProof/>
          <w:color w:val="000000" w:themeColor="text1"/>
        </w:rPr>
        <w:t xml:space="preserve"> </w:t>
      </w:r>
      <w:r w:rsidR="00436774" w:rsidRPr="00DE264C">
        <w:rPr>
          <w:rFonts w:eastAsia="Times New Roman"/>
          <w:noProof/>
          <w:color w:val="000000" w:themeColor="text1"/>
        </w:rPr>
        <w:t xml:space="preserve">applicable to all </w:t>
      </w:r>
      <w:r w:rsidR="651AE653" w:rsidRPr="085F7BCA">
        <w:rPr>
          <w:rFonts w:eastAsia="Times New Roman"/>
          <w:noProof/>
          <w:color w:val="000000" w:themeColor="text1"/>
        </w:rPr>
        <w:t xml:space="preserve">cross-border </w:t>
      </w:r>
      <w:r w:rsidR="00436774" w:rsidRPr="00DE264C">
        <w:rPr>
          <w:rFonts w:eastAsia="Times New Roman"/>
          <w:noProof/>
          <w:color w:val="000000" w:themeColor="text1"/>
        </w:rPr>
        <w:t>networks and services</w:t>
      </w:r>
      <w:r w:rsidR="00160C13" w:rsidRPr="00DE264C">
        <w:rPr>
          <w:rFonts w:eastAsia="Times New Roman"/>
          <w:noProof/>
          <w:color w:val="000000" w:themeColor="text1"/>
        </w:rPr>
        <w:t xml:space="preserve">, except satellite, </w:t>
      </w:r>
      <w:r w:rsidRPr="00DE264C">
        <w:rPr>
          <w:rFonts w:eastAsia="Times New Roman"/>
          <w:noProof/>
          <w:color w:val="000000" w:themeColor="text1"/>
        </w:rPr>
        <w:t>include cost savings for different stakeholders</w:t>
      </w:r>
      <w:r w:rsidR="00BC7595" w:rsidRPr="00A03164">
        <w:rPr>
          <w:noProof/>
        </w:rPr>
        <w:t xml:space="preserve"> </w:t>
      </w:r>
      <w:r w:rsidRPr="00DE264C">
        <w:rPr>
          <w:rFonts w:eastAsia="Times New Roman"/>
          <w:noProof/>
          <w:color w:val="000000" w:themeColor="text1"/>
        </w:rPr>
        <w:t xml:space="preserve">The maximum list of conditions to be attached to </w:t>
      </w:r>
      <w:r w:rsidR="6E1F2F38" w:rsidRPr="10893C87">
        <w:rPr>
          <w:rFonts w:eastAsia="Times New Roman"/>
          <w:noProof/>
          <w:color w:val="000000" w:themeColor="text1"/>
        </w:rPr>
        <w:t xml:space="preserve">the </w:t>
      </w:r>
      <w:r w:rsidRPr="00DE264C">
        <w:rPr>
          <w:rFonts w:eastAsia="Times New Roman"/>
          <w:noProof/>
          <w:color w:val="000000" w:themeColor="text1"/>
        </w:rPr>
        <w:t>general authorisation, the mandatory use of the BEREC notification template and simplification of the annual reporting will result in reduced administrative burden and compliance costs for all cross-border ECN and ECS providers.</w:t>
      </w:r>
      <w:r w:rsidR="00B5146E" w:rsidRPr="00DE264C">
        <w:rPr>
          <w:rFonts w:eastAsia="Times New Roman"/>
          <w:noProof/>
          <w:color w:val="000000" w:themeColor="text1"/>
        </w:rPr>
        <w:t xml:space="preserve"> </w:t>
      </w:r>
      <w:r w:rsidRPr="00DE264C">
        <w:rPr>
          <w:rFonts w:eastAsia="Times New Roman"/>
          <w:noProof/>
          <w:color w:val="000000" w:themeColor="text1"/>
        </w:rPr>
        <w:t>S</w:t>
      </w:r>
      <w:r w:rsidRPr="00A03164">
        <w:rPr>
          <w:noProof/>
        </w:rPr>
        <w:t>implification of conditions attached to the rights of use of extraterritorial numbers will further reduce costs for B2B service providers</w:t>
      </w:r>
      <w:r w:rsidR="5E941906" w:rsidRPr="00A03164">
        <w:rPr>
          <w:noProof/>
        </w:rPr>
        <w:t xml:space="preserve">. </w:t>
      </w:r>
    </w:p>
    <w:p w14:paraId="6CC211B1" w14:textId="73697535" w:rsidR="00890513" w:rsidRPr="00DE264C" w:rsidRDefault="00C268D8" w:rsidP="00DE7CC1">
      <w:pPr>
        <w:spacing w:line="240" w:lineRule="auto"/>
        <w:rPr>
          <w:rFonts w:eastAsia="Times New Roman"/>
          <w:noProof/>
          <w:lang w:val="en-IE"/>
        </w:rPr>
      </w:pPr>
      <w:r w:rsidRPr="00DE264C">
        <w:rPr>
          <w:rFonts w:eastAsia="Times New Roman"/>
          <w:noProof/>
          <w:lang w:val="en-IE"/>
        </w:rPr>
        <w:t xml:space="preserve">For the operators the benefit would be significant in comparison to </w:t>
      </w:r>
      <w:r w:rsidR="21D64248" w:rsidRPr="00DE264C">
        <w:rPr>
          <w:rFonts w:eastAsia="Times New Roman"/>
          <w:noProof/>
          <w:lang w:val="en-IE"/>
        </w:rPr>
        <w:t>the</w:t>
      </w:r>
      <w:r w:rsidRPr="00DE264C">
        <w:rPr>
          <w:rFonts w:eastAsia="Times New Roman"/>
          <w:noProof/>
          <w:lang w:val="en-IE"/>
        </w:rPr>
        <w:t xml:space="preserve"> baseline with around 50–80% faster market entry and reduced regulatory uncertainty. The savings would </w:t>
      </w:r>
      <w:r w:rsidR="324DC629" w:rsidRPr="00DE264C">
        <w:rPr>
          <w:rFonts w:eastAsia="Times New Roman"/>
          <w:noProof/>
          <w:lang w:val="en-IE"/>
        </w:rPr>
        <w:t xml:space="preserve">also include reduced human </w:t>
      </w:r>
      <w:r w:rsidR="324DC629" w:rsidRPr="0ED3B8D4">
        <w:rPr>
          <w:rFonts w:eastAsia="Times New Roman"/>
          <w:noProof/>
          <w:lang w:val="en-IE"/>
        </w:rPr>
        <w:t>resource</w:t>
      </w:r>
      <w:r w:rsidR="0CA6CBAC" w:rsidRPr="0ED3B8D4">
        <w:rPr>
          <w:rFonts w:eastAsia="Times New Roman"/>
          <w:noProof/>
          <w:lang w:val="en-IE"/>
        </w:rPr>
        <w:t>s</w:t>
      </w:r>
      <w:r w:rsidR="324DC629" w:rsidRPr="00DE264C">
        <w:rPr>
          <w:rFonts w:eastAsia="Times New Roman"/>
          <w:noProof/>
          <w:lang w:val="en-IE"/>
        </w:rPr>
        <w:t xml:space="preserve"> costs, especially</w:t>
      </w:r>
      <w:r w:rsidRPr="00DE264C">
        <w:rPr>
          <w:rFonts w:eastAsia="Times New Roman"/>
          <w:noProof/>
          <w:lang w:val="en-IE"/>
        </w:rPr>
        <w:t xml:space="preserve"> </w:t>
      </w:r>
      <w:r w:rsidR="324DC629" w:rsidRPr="00DE264C">
        <w:rPr>
          <w:rFonts w:eastAsia="Times New Roman"/>
          <w:noProof/>
          <w:lang w:val="en-IE"/>
        </w:rPr>
        <w:t xml:space="preserve">of </w:t>
      </w:r>
      <w:r w:rsidR="6610CA0F" w:rsidRPr="3753A89A">
        <w:rPr>
          <w:rFonts w:eastAsia="Times New Roman"/>
          <w:noProof/>
          <w:lang w:val="en-IE"/>
        </w:rPr>
        <w:t xml:space="preserve">new </w:t>
      </w:r>
      <w:r w:rsidR="324DC629" w:rsidRPr="3753A89A">
        <w:rPr>
          <w:rFonts w:eastAsia="Times New Roman"/>
          <w:noProof/>
          <w:lang w:val="en-IE"/>
        </w:rPr>
        <w:t>market</w:t>
      </w:r>
      <w:r w:rsidR="324DC629" w:rsidRPr="00DE264C">
        <w:rPr>
          <w:rFonts w:eastAsia="Times New Roman"/>
          <w:noProof/>
          <w:lang w:val="en-IE"/>
        </w:rPr>
        <w:t xml:space="preserve"> </w:t>
      </w:r>
      <w:r w:rsidR="6E9A32BB" w:rsidRPr="00DE264C">
        <w:rPr>
          <w:rFonts w:eastAsia="Times New Roman"/>
          <w:noProof/>
          <w:lang w:val="en-IE"/>
        </w:rPr>
        <w:t>ent</w:t>
      </w:r>
      <w:r w:rsidR="324DC629" w:rsidRPr="00DE264C">
        <w:rPr>
          <w:rFonts w:eastAsia="Times New Roman"/>
          <w:noProof/>
          <w:lang w:val="en-IE"/>
        </w:rPr>
        <w:t>rants and cross-border operators</w:t>
      </w:r>
      <w:r w:rsidR="3A773BE4" w:rsidRPr="00DE264C">
        <w:rPr>
          <w:rFonts w:eastAsia="Times New Roman"/>
          <w:noProof/>
          <w:lang w:val="en-IE"/>
        </w:rPr>
        <w:t>, with</w:t>
      </w:r>
      <w:r w:rsidRPr="00DE264C">
        <w:rPr>
          <w:rFonts w:eastAsia="Times New Roman"/>
          <w:noProof/>
          <w:lang w:val="en-IE"/>
        </w:rPr>
        <w:t xml:space="preserve"> reduction of </w:t>
      </w:r>
      <w:r w:rsidR="6614F8F1" w:rsidRPr="00DE264C">
        <w:rPr>
          <w:rFonts w:eastAsia="Times New Roman"/>
          <w:noProof/>
          <w:lang w:val="en-IE"/>
        </w:rPr>
        <w:t>costs linked to the need to have</w:t>
      </w:r>
      <w:r w:rsidRPr="00DE264C">
        <w:rPr>
          <w:rFonts w:eastAsia="Times New Roman"/>
          <w:noProof/>
          <w:lang w:val="en-IE"/>
        </w:rPr>
        <w:t xml:space="preserve"> compliance team</w:t>
      </w:r>
      <w:r w:rsidR="636A7358" w:rsidRPr="00DE264C">
        <w:rPr>
          <w:rFonts w:eastAsia="Times New Roman"/>
          <w:noProof/>
          <w:lang w:val="en-IE"/>
        </w:rPr>
        <w:t>s</w:t>
      </w:r>
      <w:r w:rsidRPr="00DE264C">
        <w:rPr>
          <w:rFonts w:eastAsia="Times New Roman"/>
          <w:noProof/>
          <w:lang w:val="en-IE"/>
        </w:rPr>
        <w:t xml:space="preserve"> present across 27 Member States and around 50% reduction </w:t>
      </w:r>
      <w:r w:rsidR="05A4A788" w:rsidRPr="1F9A62C4">
        <w:rPr>
          <w:rFonts w:eastAsia="Times New Roman"/>
          <w:noProof/>
          <w:lang w:val="en-IE"/>
        </w:rPr>
        <w:t>of</w:t>
      </w:r>
      <w:r w:rsidRPr="1F9A62C4">
        <w:rPr>
          <w:rFonts w:eastAsia="Times New Roman"/>
          <w:noProof/>
          <w:lang w:val="en-IE"/>
        </w:rPr>
        <w:t xml:space="preserve"> </w:t>
      </w:r>
      <w:r w:rsidRPr="00DE264C">
        <w:rPr>
          <w:rFonts w:eastAsia="Times New Roman"/>
          <w:noProof/>
          <w:lang w:val="en-IE"/>
        </w:rPr>
        <w:t>reporting</w:t>
      </w:r>
      <w:r w:rsidR="26531977" w:rsidRPr="73E15956">
        <w:rPr>
          <w:rFonts w:eastAsia="Times New Roman"/>
          <w:noProof/>
          <w:lang w:val="en-IE"/>
        </w:rPr>
        <w:t xml:space="preserve"> </w:t>
      </w:r>
      <w:r w:rsidR="26531977" w:rsidRPr="498F55DA">
        <w:rPr>
          <w:rFonts w:eastAsia="Times New Roman"/>
          <w:noProof/>
          <w:lang w:val="en-IE"/>
        </w:rPr>
        <w:t>(e.g</w:t>
      </w:r>
      <w:r w:rsidR="68D343EE" w:rsidRPr="762DFC7A">
        <w:rPr>
          <w:rFonts w:eastAsia="Times New Roman"/>
          <w:noProof/>
          <w:lang w:val="en-IE"/>
        </w:rPr>
        <w:t>.,</w:t>
      </w:r>
      <w:r w:rsidR="26531977" w:rsidRPr="498F55DA">
        <w:rPr>
          <w:rFonts w:eastAsia="Times New Roman"/>
          <w:noProof/>
          <w:lang w:val="en-IE"/>
        </w:rPr>
        <w:t xml:space="preserve"> by </w:t>
      </w:r>
      <w:r w:rsidR="26531977" w:rsidRPr="1F154EA8">
        <w:rPr>
          <w:rFonts w:eastAsia="Times New Roman"/>
          <w:noProof/>
          <w:lang w:val="en-IE"/>
        </w:rPr>
        <w:t>cutting red tape on different reporting forms and reporting periods).</w:t>
      </w:r>
      <w:r w:rsidR="6C75491C" w:rsidRPr="00DE264C">
        <w:rPr>
          <w:rFonts w:eastAsia="Times New Roman"/>
          <w:noProof/>
          <w:lang w:val="en-IE"/>
        </w:rPr>
        <w:t xml:space="preserve"> Further savings will be achieved thanks to harm</w:t>
      </w:r>
      <w:r w:rsidR="0C37DBF0" w:rsidRPr="00DE264C">
        <w:rPr>
          <w:rFonts w:eastAsia="Times New Roman"/>
          <w:noProof/>
          <w:lang w:val="en-IE"/>
        </w:rPr>
        <w:t>o</w:t>
      </w:r>
      <w:r w:rsidR="6C75491C" w:rsidRPr="00DE264C">
        <w:rPr>
          <w:rFonts w:eastAsia="Times New Roman"/>
          <w:noProof/>
          <w:lang w:val="en-IE"/>
        </w:rPr>
        <w:t>nising and removal of specific national conditions such as: national language requirements, the nee</w:t>
      </w:r>
      <w:r w:rsidR="3CDB7705" w:rsidRPr="00DE264C">
        <w:rPr>
          <w:rFonts w:eastAsia="Times New Roman"/>
          <w:noProof/>
          <w:lang w:val="en-IE"/>
        </w:rPr>
        <w:t xml:space="preserve">d to have </w:t>
      </w:r>
      <w:r w:rsidR="6C75491C" w:rsidRPr="00DE264C">
        <w:rPr>
          <w:rFonts w:eastAsia="Times New Roman"/>
          <w:noProof/>
          <w:lang w:val="en-IE"/>
        </w:rPr>
        <w:t xml:space="preserve">national representative or digital ID, adaptation to local notification portals, and </w:t>
      </w:r>
      <w:r w:rsidR="496EA568" w:rsidRPr="00DE264C">
        <w:rPr>
          <w:rFonts w:eastAsia="Times New Roman"/>
          <w:noProof/>
          <w:lang w:val="en-IE"/>
        </w:rPr>
        <w:t xml:space="preserve">having specific national </w:t>
      </w:r>
      <w:r w:rsidR="6C75491C" w:rsidRPr="00DE264C">
        <w:rPr>
          <w:rFonts w:eastAsia="Times New Roman"/>
          <w:noProof/>
          <w:lang w:val="en-IE"/>
        </w:rPr>
        <w:t xml:space="preserve">reporting forms. </w:t>
      </w:r>
      <w:r w:rsidR="48FB22FA" w:rsidRPr="1DDA0F85">
        <w:rPr>
          <w:rFonts w:eastAsia="Times New Roman"/>
          <w:noProof/>
          <w:lang w:val="en-IE"/>
        </w:rPr>
        <w:t>The sin</w:t>
      </w:r>
      <w:r w:rsidR="02FD5AA3" w:rsidRPr="1DDA0F85">
        <w:rPr>
          <w:rFonts w:eastAsia="Times New Roman"/>
          <w:noProof/>
          <w:lang w:val="en-IE"/>
        </w:rPr>
        <w:t>g</w:t>
      </w:r>
      <w:r w:rsidR="48FB22FA" w:rsidRPr="1DDA0F85">
        <w:rPr>
          <w:rFonts w:eastAsia="Times New Roman"/>
          <w:noProof/>
          <w:lang w:val="en-IE"/>
        </w:rPr>
        <w:t>le</w:t>
      </w:r>
      <w:r w:rsidR="0071560F" w:rsidRPr="0071560F">
        <w:rPr>
          <w:rFonts w:eastAsia="Times New Roman"/>
          <w:noProof/>
          <w:lang w:val="en-IE"/>
        </w:rPr>
        <w:t xml:space="preserve"> passport will cover the </w:t>
      </w:r>
      <w:r w:rsidR="095FAE72" w:rsidRPr="1DDA0F85">
        <w:rPr>
          <w:rFonts w:eastAsia="Times New Roman"/>
          <w:noProof/>
          <w:lang w:val="en-IE"/>
        </w:rPr>
        <w:t>a</w:t>
      </w:r>
      <w:r w:rsidR="1DDA0F85" w:rsidRPr="1DDA0F85">
        <w:rPr>
          <w:rFonts w:eastAsia="Times New Roman"/>
          <w:noProof/>
          <w:lang w:val="en-IE"/>
        </w:rPr>
        <w:t xml:space="preserve">uthorisation </w:t>
      </w:r>
      <w:r w:rsidR="0071560F" w:rsidRPr="0071560F">
        <w:rPr>
          <w:rFonts w:eastAsia="Times New Roman"/>
          <w:noProof/>
          <w:lang w:val="en-IE"/>
        </w:rPr>
        <w:t xml:space="preserve">conditions </w:t>
      </w:r>
      <w:r w:rsidR="6AE768B0" w:rsidRPr="290E50AF">
        <w:rPr>
          <w:rFonts w:eastAsia="Times New Roman"/>
          <w:noProof/>
          <w:lang w:val="en-IE"/>
        </w:rPr>
        <w:t>t</w:t>
      </w:r>
      <w:r w:rsidR="6AE768B0" w:rsidRPr="1DDA0F85">
        <w:rPr>
          <w:rFonts w:eastAsia="Times New Roman"/>
          <w:noProof/>
          <w:lang w:val="en-IE"/>
        </w:rPr>
        <w:t>hat will be</w:t>
      </w:r>
      <w:r w:rsidR="1DDA0F85" w:rsidRPr="1DDA0F85">
        <w:rPr>
          <w:rFonts w:eastAsia="Times New Roman"/>
          <w:noProof/>
          <w:lang w:val="en-IE"/>
        </w:rPr>
        <w:t xml:space="preserve"> harmonised </w:t>
      </w:r>
      <w:r w:rsidR="216A27E2" w:rsidRPr="1DDA0F85">
        <w:rPr>
          <w:rFonts w:eastAsia="Times New Roman"/>
          <w:noProof/>
          <w:lang w:val="en-IE"/>
        </w:rPr>
        <w:t>for all</w:t>
      </w:r>
      <w:r w:rsidR="00C200C6">
        <w:rPr>
          <w:rFonts w:eastAsia="Times New Roman"/>
          <w:noProof/>
          <w:lang w:val="en-IE"/>
        </w:rPr>
        <w:t xml:space="preserve"> </w:t>
      </w:r>
      <w:r w:rsidR="0071560F" w:rsidRPr="0071560F">
        <w:rPr>
          <w:rFonts w:eastAsia="Times New Roman"/>
          <w:noProof/>
          <w:lang w:val="en-IE"/>
        </w:rPr>
        <w:t>Member States</w:t>
      </w:r>
      <w:r w:rsidR="54CA8E40" w:rsidRPr="1DDA0F85">
        <w:rPr>
          <w:rFonts w:eastAsia="Times New Roman"/>
          <w:noProof/>
          <w:lang w:val="en-IE"/>
        </w:rPr>
        <w:t xml:space="preserve"> and</w:t>
      </w:r>
      <w:r w:rsidR="00C200C6">
        <w:rPr>
          <w:rFonts w:eastAsia="Times New Roman"/>
          <w:noProof/>
          <w:lang w:val="en-IE"/>
        </w:rPr>
        <w:t xml:space="preserve"> </w:t>
      </w:r>
      <w:r w:rsidR="3550F9A9" w:rsidRPr="1DDA0F85">
        <w:rPr>
          <w:rFonts w:eastAsia="Times New Roman"/>
          <w:noProof/>
          <w:lang w:val="en-IE"/>
        </w:rPr>
        <w:t>the</w:t>
      </w:r>
      <w:r w:rsidR="0071560F" w:rsidRPr="0071560F">
        <w:rPr>
          <w:rFonts w:eastAsia="Times New Roman"/>
          <w:noProof/>
          <w:lang w:val="en-IE"/>
        </w:rPr>
        <w:t xml:space="preserve"> national (non-DNA) rules </w:t>
      </w:r>
      <w:r w:rsidR="4CA904A0" w:rsidRPr="1DDA0F85">
        <w:rPr>
          <w:rFonts w:eastAsia="Times New Roman"/>
          <w:noProof/>
          <w:lang w:val="en-IE"/>
        </w:rPr>
        <w:t xml:space="preserve">that </w:t>
      </w:r>
      <w:r w:rsidR="7E77D089" w:rsidRPr="50C48051">
        <w:rPr>
          <w:rFonts w:eastAsia="Times New Roman"/>
          <w:noProof/>
          <w:lang w:val="en-IE"/>
        </w:rPr>
        <w:t xml:space="preserve">will </w:t>
      </w:r>
      <w:r w:rsidR="0071560F" w:rsidRPr="0071560F">
        <w:rPr>
          <w:rFonts w:eastAsia="Times New Roman"/>
          <w:noProof/>
          <w:lang w:val="en-IE"/>
        </w:rPr>
        <w:t xml:space="preserve">still apply and </w:t>
      </w:r>
      <w:r w:rsidR="7942DBE4" w:rsidRPr="1DDA0F85">
        <w:rPr>
          <w:rFonts w:eastAsia="Times New Roman"/>
          <w:noProof/>
          <w:lang w:val="en-IE"/>
        </w:rPr>
        <w:t xml:space="preserve">that </w:t>
      </w:r>
      <w:r w:rsidR="0071560F" w:rsidRPr="0071560F">
        <w:rPr>
          <w:rFonts w:eastAsia="Times New Roman"/>
          <w:noProof/>
          <w:lang w:val="en-IE"/>
        </w:rPr>
        <w:t xml:space="preserve">will be approximated. </w:t>
      </w:r>
      <w:r w:rsidR="5BD63129" w:rsidRPr="00DE264C">
        <w:rPr>
          <w:rFonts w:eastAsia="Times New Roman"/>
          <w:noProof/>
          <w:lang w:val="en-IE"/>
        </w:rPr>
        <w:t>Further</w:t>
      </w:r>
      <w:r w:rsidR="6C75491C" w:rsidRPr="00DE264C">
        <w:rPr>
          <w:rFonts w:eastAsia="Times New Roman"/>
          <w:noProof/>
          <w:lang w:val="en-IE"/>
        </w:rPr>
        <w:t xml:space="preserve"> cost reduction </w:t>
      </w:r>
      <w:r w:rsidR="00D2265A">
        <w:rPr>
          <w:rFonts w:eastAsia="Times New Roman"/>
          <w:noProof/>
          <w:lang w:val="en-IE"/>
        </w:rPr>
        <w:t xml:space="preserve">for </w:t>
      </w:r>
      <w:r w:rsidR="76B8BFCE" w:rsidRPr="1DDA0F85">
        <w:rPr>
          <w:rFonts w:eastAsia="Times New Roman"/>
          <w:noProof/>
          <w:lang w:val="en-IE"/>
        </w:rPr>
        <w:t>s</w:t>
      </w:r>
      <w:r w:rsidR="00D2265A">
        <w:rPr>
          <w:rFonts w:eastAsia="Times New Roman"/>
          <w:noProof/>
          <w:lang w:val="en-IE"/>
        </w:rPr>
        <w:t xml:space="preserve">ingle passport </w:t>
      </w:r>
      <w:r w:rsidR="0D0D35A3" w:rsidRPr="57A2E1B5">
        <w:rPr>
          <w:rFonts w:eastAsia="Times New Roman"/>
          <w:noProof/>
          <w:lang w:val="en-IE"/>
        </w:rPr>
        <w:t>provi</w:t>
      </w:r>
      <w:r w:rsidR="00D2265A" w:rsidRPr="57A2E1B5">
        <w:rPr>
          <w:rFonts w:eastAsia="Times New Roman"/>
          <w:noProof/>
          <w:lang w:val="en-IE"/>
        </w:rPr>
        <w:t>ders</w:t>
      </w:r>
      <w:r w:rsidR="6C75491C" w:rsidRPr="00DE264C">
        <w:rPr>
          <w:rFonts w:eastAsia="Times New Roman"/>
          <w:noProof/>
          <w:lang w:val="en-IE"/>
        </w:rPr>
        <w:t xml:space="preserve"> will </w:t>
      </w:r>
      <w:r w:rsidR="00624083">
        <w:rPr>
          <w:rFonts w:eastAsia="Times New Roman"/>
          <w:noProof/>
          <w:lang w:val="en-IE"/>
        </w:rPr>
        <w:t xml:space="preserve">come from </w:t>
      </w:r>
      <w:r w:rsidR="44D83C88" w:rsidRPr="2A2AF1CA">
        <w:rPr>
          <w:rFonts w:eastAsia="Times New Roman"/>
          <w:noProof/>
          <w:lang w:val="en-IE"/>
        </w:rPr>
        <w:t xml:space="preserve">the approximated conditions to </w:t>
      </w:r>
      <w:r w:rsidR="0B6C2403" w:rsidRPr="2A2AF1CA">
        <w:rPr>
          <w:rFonts w:eastAsia="Times New Roman"/>
          <w:noProof/>
          <w:lang w:val="en-IE"/>
        </w:rPr>
        <w:t>facilitat</w:t>
      </w:r>
      <w:r w:rsidR="1805E0C8" w:rsidRPr="2A2AF1CA">
        <w:rPr>
          <w:rFonts w:eastAsia="Times New Roman"/>
          <w:noProof/>
          <w:lang w:val="en-IE"/>
        </w:rPr>
        <w:t xml:space="preserve">e </w:t>
      </w:r>
      <w:r w:rsidR="0B6C2403" w:rsidRPr="78FB3428">
        <w:rPr>
          <w:rFonts w:eastAsia="Times New Roman"/>
          <w:noProof/>
          <w:lang w:val="en-IE"/>
        </w:rPr>
        <w:t xml:space="preserve">the </w:t>
      </w:r>
      <w:r w:rsidR="6C75491C" w:rsidRPr="00DE264C">
        <w:rPr>
          <w:rFonts w:eastAsia="Times New Roman"/>
          <w:noProof/>
          <w:lang w:val="en-IE"/>
        </w:rPr>
        <w:t>compliance with the applicable non-</w:t>
      </w:r>
      <w:r w:rsidR="07F301C5" w:rsidRPr="78FB3428">
        <w:rPr>
          <w:rFonts w:eastAsia="Times New Roman"/>
          <w:noProof/>
          <w:lang w:val="en-IE"/>
        </w:rPr>
        <w:t xml:space="preserve">DNA </w:t>
      </w:r>
      <w:r w:rsidR="6C75491C" w:rsidRPr="00DE264C">
        <w:rPr>
          <w:rFonts w:eastAsia="Times New Roman"/>
          <w:noProof/>
          <w:lang w:val="en-IE"/>
        </w:rPr>
        <w:t xml:space="preserve">related conditions </w:t>
      </w:r>
      <w:r w:rsidR="00A34D7A" w:rsidRPr="005C544D">
        <w:rPr>
          <w:noProof/>
        </w:rPr>
        <w:t>–</w:t>
      </w:r>
      <w:r w:rsidR="6C75491C" w:rsidRPr="00DE264C">
        <w:rPr>
          <w:rFonts w:eastAsia="Times New Roman"/>
          <w:noProof/>
          <w:lang w:val="en-IE"/>
        </w:rPr>
        <w:t xml:space="preserve"> such as cybersecurity and</w:t>
      </w:r>
      <w:r w:rsidR="2FEDD6B8" w:rsidRPr="00DE264C">
        <w:rPr>
          <w:rFonts w:eastAsia="Times New Roman"/>
          <w:noProof/>
          <w:lang w:val="en-IE"/>
        </w:rPr>
        <w:t xml:space="preserve"> </w:t>
      </w:r>
      <w:r w:rsidR="6C75491C" w:rsidRPr="00DE264C">
        <w:rPr>
          <w:rFonts w:eastAsia="Times New Roman"/>
          <w:noProof/>
          <w:lang w:val="en-IE"/>
        </w:rPr>
        <w:t>l</w:t>
      </w:r>
      <w:r w:rsidR="00207200">
        <w:rPr>
          <w:rFonts w:eastAsia="Times New Roman"/>
          <w:noProof/>
          <w:lang w:val="en-IE"/>
        </w:rPr>
        <w:t>awful</w:t>
      </w:r>
      <w:r w:rsidR="6C75491C" w:rsidRPr="00DE264C">
        <w:rPr>
          <w:rFonts w:eastAsia="Times New Roman"/>
          <w:noProof/>
          <w:lang w:val="en-IE"/>
        </w:rPr>
        <w:t xml:space="preserve"> interception obligations</w:t>
      </w:r>
      <w:r w:rsidR="00385996" w:rsidRPr="32521F7B">
        <w:rPr>
          <w:rFonts w:eastAsia="Times New Roman"/>
          <w:noProof/>
          <w:lang w:val="en-IE"/>
        </w:rPr>
        <w:t xml:space="preserve">. </w:t>
      </w:r>
      <w:r w:rsidR="00A76A4D" w:rsidRPr="00DE264C">
        <w:rPr>
          <w:rFonts w:eastAsia="Times New Roman"/>
          <w:noProof/>
          <w:lang w:val="en-IE"/>
        </w:rPr>
        <w:t>For public</w:t>
      </w:r>
      <w:r w:rsidR="3D9845C7" w:rsidRPr="00DE264C">
        <w:rPr>
          <w:rFonts w:eastAsia="Times New Roman"/>
          <w:noProof/>
          <w:lang w:val="en-IE"/>
        </w:rPr>
        <w:t xml:space="preserve"> administrations</w:t>
      </w:r>
      <w:r w:rsidR="00C5415F">
        <w:rPr>
          <w:rFonts w:eastAsia="Times New Roman"/>
          <w:noProof/>
          <w:lang w:val="en-IE"/>
        </w:rPr>
        <w:t xml:space="preserve"> </w:t>
      </w:r>
      <w:r w:rsidR="2668B4F8" w:rsidRPr="00DE264C">
        <w:rPr>
          <w:rFonts w:eastAsia="Times New Roman"/>
          <w:noProof/>
          <w:lang w:val="en-IE"/>
        </w:rPr>
        <w:t>(</w:t>
      </w:r>
      <w:r w:rsidR="00976964" w:rsidRPr="00DE264C">
        <w:rPr>
          <w:rFonts w:eastAsia="Times New Roman"/>
          <w:noProof/>
          <w:lang w:val="en-IE"/>
        </w:rPr>
        <w:t>Member States</w:t>
      </w:r>
      <w:r w:rsidR="452BB15D" w:rsidRPr="00DE264C">
        <w:rPr>
          <w:rFonts w:eastAsia="Times New Roman"/>
          <w:noProof/>
          <w:lang w:val="en-IE"/>
        </w:rPr>
        <w:t>/NRAs</w:t>
      </w:r>
      <w:r w:rsidR="00976964" w:rsidRPr="00DE264C">
        <w:rPr>
          <w:rFonts w:eastAsia="Times New Roman"/>
          <w:noProof/>
          <w:lang w:val="en-IE"/>
        </w:rPr>
        <w:t xml:space="preserve"> and reinforced BEREC Office), the change</w:t>
      </w:r>
      <w:r w:rsidR="64FF5268" w:rsidRPr="00DE264C">
        <w:rPr>
          <w:rFonts w:eastAsia="Times New Roman"/>
          <w:noProof/>
          <w:lang w:val="en-IE"/>
        </w:rPr>
        <w:t>s</w:t>
      </w:r>
      <w:r w:rsidR="00976964" w:rsidRPr="00DE264C">
        <w:rPr>
          <w:rFonts w:eastAsia="Times New Roman"/>
          <w:noProof/>
          <w:lang w:val="en-IE"/>
        </w:rPr>
        <w:t xml:space="preserve"> </w:t>
      </w:r>
      <w:r w:rsidR="7BA646BD" w:rsidRPr="00DE264C">
        <w:rPr>
          <w:rFonts w:eastAsia="Times New Roman"/>
          <w:noProof/>
          <w:lang w:val="en-IE"/>
        </w:rPr>
        <w:t>will</w:t>
      </w:r>
      <w:r w:rsidR="00976964" w:rsidRPr="00DE264C">
        <w:rPr>
          <w:rFonts w:eastAsia="Times New Roman"/>
          <w:noProof/>
          <w:lang w:val="en-IE"/>
        </w:rPr>
        <w:t xml:space="preserve"> reduce staff requirements for a savings of some 50%.</w:t>
      </w:r>
      <w:r w:rsidR="00976964" w:rsidRPr="7FF0CB12">
        <w:rPr>
          <w:noProof/>
          <w:sz w:val="18"/>
          <w:szCs w:val="18"/>
          <w:vertAlign w:val="superscript"/>
          <w:lang w:val="en-IE"/>
        </w:rPr>
        <w:footnoteReference w:id="256"/>
      </w:r>
      <w:r w:rsidR="00976964" w:rsidRPr="00DE264C">
        <w:rPr>
          <w:rFonts w:eastAsia="Times New Roman"/>
          <w:noProof/>
          <w:sz w:val="18"/>
          <w:szCs w:val="18"/>
          <w:lang w:val="en-IE"/>
        </w:rPr>
        <w:t xml:space="preserve"> </w:t>
      </w:r>
      <w:r w:rsidR="00976964" w:rsidRPr="00DE264C">
        <w:rPr>
          <w:rFonts w:eastAsia="Times New Roman"/>
          <w:noProof/>
          <w:lang w:val="en-IE"/>
        </w:rPr>
        <w:t>Assuming a burdened labour cost of EUR</w:t>
      </w:r>
      <w:r w:rsidR="00726B0A">
        <w:rPr>
          <w:rFonts w:eastAsia="Times New Roman"/>
          <w:noProof/>
          <w:color w:val="000000" w:themeColor="text1"/>
        </w:rPr>
        <w:t> </w:t>
      </w:r>
      <w:r w:rsidR="00976964" w:rsidRPr="00DE264C">
        <w:rPr>
          <w:rFonts w:eastAsia="Times New Roman"/>
          <w:noProof/>
          <w:lang w:val="en-IE"/>
        </w:rPr>
        <w:t>95 400, this could represent annual savings of around EUR</w:t>
      </w:r>
      <w:r w:rsidR="00726B0A">
        <w:rPr>
          <w:rFonts w:eastAsia="Times New Roman"/>
          <w:noProof/>
          <w:color w:val="000000" w:themeColor="text1"/>
        </w:rPr>
        <w:t> </w:t>
      </w:r>
      <w:r w:rsidR="00976964" w:rsidRPr="00DE264C">
        <w:rPr>
          <w:rFonts w:eastAsia="Times New Roman"/>
          <w:noProof/>
          <w:lang w:val="en-IE"/>
        </w:rPr>
        <w:t xml:space="preserve">82 000. </w:t>
      </w:r>
    </w:p>
    <w:p w14:paraId="57313812" w14:textId="4B1C4F47" w:rsidR="00890513" w:rsidRPr="00DE264C" w:rsidRDefault="00976964" w:rsidP="00DE7CC1">
      <w:pPr>
        <w:spacing w:line="240" w:lineRule="auto"/>
        <w:rPr>
          <w:rFonts w:eastAsia="Times New Roman"/>
          <w:noProof/>
          <w:lang w:val="en-IE"/>
        </w:rPr>
      </w:pPr>
      <w:r w:rsidRPr="00A03164">
        <w:rPr>
          <w:noProof/>
        </w:rPr>
        <w:t>The strategic outcome of option 2 is that especially smaller or mid-size providers can expand cross-border more easily, fostering a more integrated EU telecom market</w:t>
      </w:r>
      <w:r w:rsidR="00136FA2" w:rsidRPr="00A03164">
        <w:rPr>
          <w:noProof/>
        </w:rPr>
        <w:t xml:space="preserve"> with </w:t>
      </w:r>
      <w:r w:rsidR="5E941906" w:rsidRPr="00A03164">
        <w:rPr>
          <w:noProof/>
        </w:rPr>
        <w:t xml:space="preserve">greater </w:t>
      </w:r>
      <w:r w:rsidR="00136FA2" w:rsidRPr="00A03164">
        <w:rPr>
          <w:noProof/>
        </w:rPr>
        <w:t>services’</w:t>
      </w:r>
      <w:r w:rsidR="5E941906" w:rsidRPr="00A03164">
        <w:rPr>
          <w:noProof/>
        </w:rPr>
        <w:t xml:space="preserve"> choice for end-users</w:t>
      </w:r>
      <w:r w:rsidR="00890513" w:rsidRPr="00A03164">
        <w:rPr>
          <w:noProof/>
        </w:rPr>
        <w:t>.</w:t>
      </w:r>
    </w:p>
    <w:p w14:paraId="4422D992" w14:textId="527CBAF0" w:rsidR="70B4F1D6" w:rsidRPr="00DE264C" w:rsidRDefault="70B4F1D6" w:rsidP="00DE7CC1">
      <w:pPr>
        <w:spacing w:line="240" w:lineRule="auto"/>
        <w:rPr>
          <w:rFonts w:eastAsia="Times New Roman"/>
          <w:noProof/>
        </w:rPr>
      </w:pPr>
      <w:r w:rsidRPr="24BDDA5B">
        <w:rPr>
          <w:rFonts w:eastAsia="Times New Roman"/>
          <w:noProof/>
        </w:rPr>
        <w:t xml:space="preserve">On the other hand, </w:t>
      </w:r>
      <w:r w:rsidR="00174289" w:rsidRPr="00794056">
        <w:rPr>
          <w:rFonts w:eastAsia="Times New Roman"/>
          <w:noProof/>
        </w:rPr>
        <w:t xml:space="preserve">the single </w:t>
      </w:r>
      <w:r w:rsidR="00CB22A9" w:rsidRPr="00794056">
        <w:rPr>
          <w:rFonts w:eastAsia="Times New Roman"/>
          <w:noProof/>
        </w:rPr>
        <w:t>‘</w:t>
      </w:r>
      <w:r w:rsidR="00174289" w:rsidRPr="00794056">
        <w:rPr>
          <w:rFonts w:eastAsia="Times New Roman"/>
          <w:noProof/>
        </w:rPr>
        <w:t>passport</w:t>
      </w:r>
      <w:r w:rsidR="00CB22A9" w:rsidRPr="00794056">
        <w:rPr>
          <w:rFonts w:eastAsia="Times New Roman"/>
          <w:noProof/>
        </w:rPr>
        <w:t>’</w:t>
      </w:r>
      <w:r w:rsidRPr="00794056">
        <w:rPr>
          <w:rFonts w:eastAsia="Times New Roman"/>
          <w:noProof/>
        </w:rPr>
        <w:t xml:space="preserve"> brings</w:t>
      </w:r>
      <w:r w:rsidRPr="24BDDA5B">
        <w:rPr>
          <w:rFonts w:eastAsia="Times New Roman"/>
          <w:b/>
          <w:noProof/>
        </w:rPr>
        <w:t xml:space="preserve"> costs </w:t>
      </w:r>
      <w:r w:rsidR="38660702" w:rsidRPr="5B7459A1">
        <w:rPr>
          <w:rFonts w:eastAsia="Times New Roman"/>
          <w:noProof/>
        </w:rPr>
        <w:t>linked</w:t>
      </w:r>
      <w:r w:rsidR="004E1940" w:rsidRPr="00794056">
        <w:rPr>
          <w:rFonts w:eastAsia="Times New Roman"/>
          <w:noProof/>
        </w:rPr>
        <w:t xml:space="preserve"> to BEREC guidelines to </w:t>
      </w:r>
      <w:r w:rsidR="003E2C92" w:rsidRPr="00794056">
        <w:rPr>
          <w:rFonts w:eastAsia="Times New Roman"/>
          <w:noProof/>
        </w:rPr>
        <w:t xml:space="preserve">clarify </w:t>
      </w:r>
      <w:r w:rsidR="00FB6DA0" w:rsidRPr="00794056">
        <w:rPr>
          <w:rFonts w:eastAsia="Times New Roman"/>
          <w:noProof/>
        </w:rPr>
        <w:t>the</w:t>
      </w:r>
      <w:r w:rsidR="52837654" w:rsidRPr="00794056">
        <w:rPr>
          <w:rFonts w:eastAsia="Times New Roman"/>
          <w:noProof/>
        </w:rPr>
        <w:t xml:space="preserve"> </w:t>
      </w:r>
      <w:r w:rsidR="7E358FF7" w:rsidRPr="00794056">
        <w:rPr>
          <w:rFonts w:eastAsia="Times New Roman"/>
          <w:noProof/>
        </w:rPr>
        <w:t>applicable</w:t>
      </w:r>
      <w:r w:rsidRPr="00794056">
        <w:rPr>
          <w:rFonts w:eastAsia="Times New Roman"/>
          <w:noProof/>
        </w:rPr>
        <w:t xml:space="preserve"> </w:t>
      </w:r>
      <w:r w:rsidR="00C457DC" w:rsidRPr="00794056">
        <w:rPr>
          <w:rFonts w:eastAsia="Times New Roman"/>
          <w:noProof/>
        </w:rPr>
        <w:t>conditions in MS</w:t>
      </w:r>
      <w:r w:rsidR="004A4E7F" w:rsidRPr="00794056">
        <w:rPr>
          <w:rFonts w:eastAsia="Times New Roman"/>
          <w:noProof/>
        </w:rPr>
        <w:t xml:space="preserve"> and for </w:t>
      </w:r>
      <w:r w:rsidRPr="24BDDA5B">
        <w:rPr>
          <w:rFonts w:eastAsia="Times New Roman"/>
          <w:noProof/>
        </w:rPr>
        <w:t xml:space="preserve">issuing </w:t>
      </w:r>
      <w:r w:rsidR="61695A30" w:rsidRPr="24BDDA5B">
        <w:rPr>
          <w:rFonts w:eastAsia="Times New Roman"/>
          <w:noProof/>
        </w:rPr>
        <w:t xml:space="preserve">standard </w:t>
      </w:r>
      <w:r w:rsidRPr="24BDDA5B">
        <w:rPr>
          <w:rFonts w:eastAsia="Times New Roman"/>
          <w:noProof/>
        </w:rPr>
        <w:t>declarations</w:t>
      </w:r>
      <w:r w:rsidR="00784118" w:rsidRPr="24BDDA5B">
        <w:rPr>
          <w:rFonts w:eastAsia="Times New Roman"/>
          <w:noProof/>
        </w:rPr>
        <w:t xml:space="preserve"> by Member States of notification</w:t>
      </w:r>
      <w:r w:rsidRPr="24BDDA5B">
        <w:rPr>
          <w:rFonts w:eastAsia="Times New Roman"/>
          <w:noProof/>
        </w:rPr>
        <w:t>, as well as costs for coordination between authorities</w:t>
      </w:r>
      <w:r w:rsidR="00C457DC" w:rsidRPr="24BDDA5B">
        <w:rPr>
          <w:rFonts w:eastAsia="Times New Roman"/>
          <w:noProof/>
        </w:rPr>
        <w:t xml:space="preserve"> for approximation of </w:t>
      </w:r>
      <w:r w:rsidR="00EE1777" w:rsidRPr="24BDDA5B">
        <w:rPr>
          <w:rFonts w:eastAsia="Times New Roman"/>
          <w:noProof/>
        </w:rPr>
        <w:t>national rules over time</w:t>
      </w:r>
      <w:r w:rsidRPr="24BDDA5B">
        <w:rPr>
          <w:rFonts w:eastAsia="Times New Roman"/>
          <w:noProof/>
        </w:rPr>
        <w:t xml:space="preserve">. </w:t>
      </w:r>
      <w:r w:rsidR="0052109A" w:rsidRPr="24BDDA5B">
        <w:rPr>
          <w:rFonts w:eastAsia="Times New Roman"/>
          <w:noProof/>
        </w:rPr>
        <w:t>The single</w:t>
      </w:r>
      <w:r w:rsidR="3CDDF958" w:rsidRPr="4CFA9DF4">
        <w:rPr>
          <w:rFonts w:eastAsia="Times New Roman"/>
          <w:noProof/>
        </w:rPr>
        <w:t xml:space="preserve"> </w:t>
      </w:r>
      <w:r w:rsidR="0052109A" w:rsidRPr="24BDDA5B">
        <w:rPr>
          <w:rFonts w:eastAsia="Times New Roman"/>
          <w:noProof/>
        </w:rPr>
        <w:t xml:space="preserve">passport must be issued by a MS </w:t>
      </w:r>
      <w:r w:rsidR="62DEFD32" w:rsidRPr="24BDDA5B">
        <w:rPr>
          <w:rFonts w:eastAsia="Times New Roman"/>
          <w:noProof/>
        </w:rPr>
        <w:t>upon</w:t>
      </w:r>
      <w:r w:rsidR="0052109A" w:rsidRPr="24BDDA5B">
        <w:rPr>
          <w:rFonts w:eastAsia="Times New Roman"/>
          <w:noProof/>
        </w:rPr>
        <w:t xml:space="preserve"> request </w:t>
      </w:r>
      <w:r w:rsidR="59E13391" w:rsidRPr="24BDDA5B">
        <w:rPr>
          <w:rFonts w:eastAsia="Times New Roman"/>
          <w:noProof/>
        </w:rPr>
        <w:t>of</w:t>
      </w:r>
      <w:r w:rsidR="0052109A" w:rsidRPr="24BDDA5B">
        <w:rPr>
          <w:rFonts w:eastAsia="Times New Roman"/>
          <w:noProof/>
        </w:rPr>
        <w:t xml:space="preserve"> </w:t>
      </w:r>
      <w:r w:rsidR="1D0731FE" w:rsidRPr="24BDDA5B">
        <w:rPr>
          <w:rFonts w:eastAsia="Times New Roman"/>
          <w:noProof/>
        </w:rPr>
        <w:t xml:space="preserve">an </w:t>
      </w:r>
      <w:r w:rsidR="0052109A" w:rsidRPr="24BDDA5B">
        <w:rPr>
          <w:rFonts w:eastAsia="Times New Roman"/>
          <w:noProof/>
        </w:rPr>
        <w:t>operator</w:t>
      </w:r>
      <w:r w:rsidR="0C09C207" w:rsidRPr="24BDDA5B">
        <w:rPr>
          <w:rFonts w:eastAsia="Times New Roman"/>
          <w:noProof/>
        </w:rPr>
        <w:t xml:space="preserve"> wanting to operate cross</w:t>
      </w:r>
      <w:r w:rsidR="6C0FF8B6" w:rsidRPr="24BDDA5B">
        <w:rPr>
          <w:rFonts w:eastAsia="Times New Roman"/>
          <w:noProof/>
        </w:rPr>
        <w:t>-</w:t>
      </w:r>
      <w:r w:rsidR="0C09C207" w:rsidRPr="24BDDA5B">
        <w:rPr>
          <w:rFonts w:eastAsia="Times New Roman"/>
          <w:noProof/>
        </w:rPr>
        <w:t>border,</w:t>
      </w:r>
      <w:r w:rsidR="0052109A" w:rsidRPr="24BDDA5B">
        <w:rPr>
          <w:rFonts w:eastAsia="Times New Roman"/>
          <w:noProof/>
        </w:rPr>
        <w:t xml:space="preserve"> but </w:t>
      </w:r>
      <w:r w:rsidR="692CCF0C" w:rsidRPr="24BDDA5B">
        <w:rPr>
          <w:rFonts w:eastAsia="Times New Roman"/>
          <w:noProof/>
        </w:rPr>
        <w:t xml:space="preserve">it </w:t>
      </w:r>
      <w:r w:rsidR="0052109A" w:rsidRPr="24BDDA5B">
        <w:rPr>
          <w:rFonts w:eastAsia="Times New Roman"/>
          <w:noProof/>
        </w:rPr>
        <w:t xml:space="preserve">is </w:t>
      </w:r>
      <w:r w:rsidR="72BABE0C" w:rsidRPr="24BDDA5B">
        <w:rPr>
          <w:rFonts w:eastAsia="Times New Roman"/>
          <w:noProof/>
        </w:rPr>
        <w:t xml:space="preserve">optional </w:t>
      </w:r>
      <w:r w:rsidR="0052109A" w:rsidRPr="24BDDA5B">
        <w:rPr>
          <w:rFonts w:eastAsia="Times New Roman"/>
          <w:noProof/>
        </w:rPr>
        <w:t xml:space="preserve">for purely local providers, who </w:t>
      </w:r>
      <w:r w:rsidR="52789D2F" w:rsidRPr="4CFA9DF4">
        <w:rPr>
          <w:rFonts w:eastAsia="Times New Roman"/>
          <w:noProof/>
        </w:rPr>
        <w:t xml:space="preserve">prefer to operate nationally or regionally and </w:t>
      </w:r>
      <w:r w:rsidR="0052109A" w:rsidRPr="24BDDA5B">
        <w:rPr>
          <w:rFonts w:eastAsia="Times New Roman"/>
          <w:noProof/>
        </w:rPr>
        <w:t>remain authorised under national rules</w:t>
      </w:r>
      <w:r w:rsidR="498F97DA" w:rsidRPr="4CFA9DF4">
        <w:rPr>
          <w:rFonts w:eastAsia="Times New Roman"/>
          <w:noProof/>
        </w:rPr>
        <w:t>. They</w:t>
      </w:r>
      <w:r w:rsidR="5FFB90B4" w:rsidRPr="267A2469">
        <w:rPr>
          <w:rFonts w:eastAsia="Times New Roman"/>
          <w:noProof/>
        </w:rPr>
        <w:t xml:space="preserve"> can </w:t>
      </w:r>
      <w:r w:rsidR="430A7105" w:rsidRPr="4CFA9DF4">
        <w:rPr>
          <w:rFonts w:eastAsia="Times New Roman"/>
          <w:noProof/>
        </w:rPr>
        <w:t xml:space="preserve">still </w:t>
      </w:r>
      <w:r w:rsidR="5FFB90B4" w:rsidRPr="267A2469">
        <w:rPr>
          <w:rFonts w:eastAsia="Times New Roman"/>
          <w:noProof/>
        </w:rPr>
        <w:t>benefit from harmonised BEREC guidelines and templates</w:t>
      </w:r>
      <w:r w:rsidR="0052109A" w:rsidRPr="24BDDA5B">
        <w:rPr>
          <w:rFonts w:eastAsia="Times New Roman"/>
          <w:noProof/>
        </w:rPr>
        <w:t xml:space="preserve">. </w:t>
      </w:r>
      <w:r w:rsidRPr="24BDDA5B">
        <w:rPr>
          <w:rFonts w:eastAsia="Times New Roman"/>
          <w:noProof/>
        </w:rPr>
        <w:t xml:space="preserve">The new recurrent costs will </w:t>
      </w:r>
      <w:r w:rsidR="6C45D6BC" w:rsidRPr="24BDDA5B">
        <w:rPr>
          <w:rFonts w:eastAsia="Times New Roman"/>
          <w:noProof/>
        </w:rPr>
        <w:t xml:space="preserve">thus </w:t>
      </w:r>
      <w:r w:rsidRPr="24BDDA5B">
        <w:rPr>
          <w:rFonts w:eastAsia="Times New Roman"/>
          <w:noProof/>
        </w:rPr>
        <w:t xml:space="preserve">depend on the number of such notifications from cross-border operators but </w:t>
      </w:r>
      <w:r w:rsidR="52BC494B" w:rsidRPr="24BDDA5B">
        <w:rPr>
          <w:rFonts w:eastAsia="Times New Roman"/>
          <w:noProof/>
        </w:rPr>
        <w:t>are</w:t>
      </w:r>
      <w:r w:rsidRPr="24BDDA5B">
        <w:rPr>
          <w:rFonts w:eastAsia="Times New Roman"/>
          <w:noProof/>
        </w:rPr>
        <w:t xml:space="preserve"> likely to be lower than under </w:t>
      </w:r>
      <w:r w:rsidR="00375068">
        <w:rPr>
          <w:rFonts w:eastAsia="Times New Roman"/>
          <w:noProof/>
        </w:rPr>
        <w:t>o</w:t>
      </w:r>
      <w:r w:rsidR="00787091" w:rsidRPr="24BDDA5B">
        <w:rPr>
          <w:rFonts w:eastAsia="Times New Roman"/>
          <w:noProof/>
        </w:rPr>
        <w:t xml:space="preserve">ption </w:t>
      </w:r>
      <w:r w:rsidRPr="24BDDA5B">
        <w:rPr>
          <w:rFonts w:eastAsia="Times New Roman"/>
          <w:noProof/>
        </w:rPr>
        <w:t xml:space="preserve">1. NRAs are likely to still have internal databases and documentation that they need to create for the purposes of monitoring. </w:t>
      </w:r>
      <w:r w:rsidR="0DE28E3A" w:rsidRPr="24BDDA5B">
        <w:rPr>
          <w:rFonts w:eastAsia="Times New Roman"/>
          <w:noProof/>
        </w:rPr>
        <w:t>Certain d</w:t>
      </w:r>
      <w:r w:rsidRPr="24BDDA5B">
        <w:rPr>
          <w:rFonts w:eastAsia="Times New Roman"/>
          <w:noProof/>
        </w:rPr>
        <w:t xml:space="preserve">ivergences at the national level </w:t>
      </w:r>
      <w:r w:rsidR="00347590" w:rsidRPr="24BDDA5B">
        <w:rPr>
          <w:rFonts w:eastAsia="Times New Roman"/>
          <w:noProof/>
        </w:rPr>
        <w:t>will remain</w:t>
      </w:r>
      <w:r w:rsidRPr="24BDDA5B">
        <w:rPr>
          <w:rFonts w:eastAsia="Times New Roman"/>
          <w:noProof/>
        </w:rPr>
        <w:t xml:space="preserve"> in relation to procedural issues related to general authorisation (e.g. administrative fees, fees for scarce resources) and to matters beyond the </w:t>
      </w:r>
      <w:r w:rsidR="1D00F701" w:rsidRPr="24BDDA5B">
        <w:rPr>
          <w:rFonts w:eastAsia="Times New Roman"/>
          <w:noProof/>
        </w:rPr>
        <w:t>DNA</w:t>
      </w:r>
      <w:r w:rsidRPr="24BDDA5B">
        <w:rPr>
          <w:rFonts w:eastAsia="Times New Roman"/>
          <w:noProof/>
        </w:rPr>
        <w:t>.</w:t>
      </w:r>
    </w:p>
    <w:p w14:paraId="735C23A1" w14:textId="72B0EC19" w:rsidR="003218E9" w:rsidRPr="00DE264C" w:rsidRDefault="003218E9" w:rsidP="00DE7CC1">
      <w:pPr>
        <w:spacing w:line="240" w:lineRule="auto"/>
        <w:rPr>
          <w:noProof/>
        </w:rPr>
      </w:pPr>
      <w:r w:rsidRPr="00A03164">
        <w:rPr>
          <w:noProof/>
        </w:rPr>
        <w:t xml:space="preserve">Option 2 promotes </w:t>
      </w:r>
      <w:r w:rsidRPr="00A03164">
        <w:rPr>
          <w:b/>
          <w:noProof/>
        </w:rPr>
        <w:t>digitalisation</w:t>
      </w:r>
      <w:r w:rsidRPr="00A03164">
        <w:rPr>
          <w:noProof/>
        </w:rPr>
        <w:t xml:space="preserve"> thanks to a centralised BEREC database and mandatory notification template which reduce administrative burdens and compliance costs for providers, particularly SMEs while enabling faster market entry and deployment of electronic communications networks and services. </w:t>
      </w:r>
    </w:p>
    <w:p w14:paraId="549F4BAD" w14:textId="2F664AF4" w:rsidR="00890D0F" w:rsidRPr="00DE264C" w:rsidRDefault="00890D0F" w:rsidP="00DE7CC1">
      <w:pPr>
        <w:spacing w:line="240" w:lineRule="auto"/>
        <w:rPr>
          <w:rFonts w:eastAsia="Times New Roman"/>
          <w:noProof/>
        </w:rPr>
      </w:pPr>
      <w:r w:rsidRPr="00A03164">
        <w:rPr>
          <w:b/>
          <w:noProof/>
          <w:color w:val="000000" w:themeColor="text1"/>
        </w:rPr>
        <w:t>As regards the impact on the environment</w:t>
      </w:r>
      <w:r w:rsidRPr="00A03164">
        <w:rPr>
          <w:noProof/>
          <w:color w:val="000000" w:themeColor="text1"/>
        </w:rPr>
        <w:t xml:space="preserve"> the introduction of the single “passport” has </w:t>
      </w:r>
      <w:r w:rsidRPr="00DE264C">
        <w:rPr>
          <w:rFonts w:eastAsia="Times New Roman"/>
          <w:noProof/>
          <w:color w:val="000000" w:themeColor="text1"/>
        </w:rPr>
        <w:t>no direct impact</w:t>
      </w:r>
      <w:r w:rsidR="003C0A16">
        <w:rPr>
          <w:rFonts w:eastAsia="Times New Roman"/>
          <w:noProof/>
          <w:color w:val="000000" w:themeColor="text1"/>
        </w:rPr>
        <w:t>.</w:t>
      </w:r>
    </w:p>
    <w:p w14:paraId="4B144486" w14:textId="0FE8FFEF" w:rsidR="00A655E1" w:rsidRPr="00DE264C" w:rsidRDefault="00A655E1" w:rsidP="00DE7CC1">
      <w:pPr>
        <w:spacing w:line="240" w:lineRule="auto"/>
        <w:rPr>
          <w:rFonts w:eastAsia="Times New Roman"/>
          <w:b/>
          <w:noProof/>
          <w:lang w:val="en-IE"/>
        </w:rPr>
      </w:pPr>
      <w:r w:rsidRPr="00A03164">
        <w:rPr>
          <w:b/>
          <w:noProof/>
        </w:rPr>
        <w:t>EU satellite authorisation</w:t>
      </w:r>
    </w:p>
    <w:p w14:paraId="070D4B67" w14:textId="55266BDC" w:rsidR="003141E2" w:rsidRPr="00DE264C" w:rsidRDefault="00D22994" w:rsidP="00DE7CC1">
      <w:pPr>
        <w:spacing w:line="240" w:lineRule="auto"/>
        <w:rPr>
          <w:rFonts w:eastAsia="Times New Roman"/>
          <w:noProof/>
        </w:rPr>
      </w:pPr>
      <w:r w:rsidRPr="00DE264C">
        <w:rPr>
          <w:rFonts w:eastAsia="Times New Roman"/>
          <w:noProof/>
        </w:rPr>
        <w:t>As regards EU satellite authorisation, t</w:t>
      </w:r>
      <w:r w:rsidR="5E941906" w:rsidRPr="00DE264C">
        <w:rPr>
          <w:rFonts w:eastAsia="Times New Roman"/>
          <w:noProof/>
        </w:rPr>
        <w:t xml:space="preserve">he positive impact on </w:t>
      </w:r>
      <w:r w:rsidR="00F85649" w:rsidRPr="00DE264C">
        <w:rPr>
          <w:rFonts w:eastAsia="Times New Roman"/>
          <w:noProof/>
        </w:rPr>
        <w:t>competitiveness</w:t>
      </w:r>
      <w:r w:rsidR="5E941906" w:rsidRPr="00DE264C">
        <w:rPr>
          <w:rFonts w:eastAsia="Times New Roman"/>
          <w:b/>
          <w:bCs/>
          <w:noProof/>
        </w:rPr>
        <w:t xml:space="preserve"> </w:t>
      </w:r>
      <w:r w:rsidR="5E941906" w:rsidRPr="00A03164">
        <w:rPr>
          <w:noProof/>
        </w:rPr>
        <w:t>will</w:t>
      </w:r>
      <w:r w:rsidR="5E941906" w:rsidRPr="00A03164">
        <w:rPr>
          <w:b/>
          <w:noProof/>
        </w:rPr>
        <w:t xml:space="preserve"> </w:t>
      </w:r>
      <w:r w:rsidR="5E941906" w:rsidRPr="00DE264C">
        <w:rPr>
          <w:rFonts w:eastAsia="Times New Roman"/>
          <w:noProof/>
        </w:rPr>
        <w:t xml:space="preserve">materialize in terms of cost savings for different stakeholders, thanks to </w:t>
      </w:r>
      <w:r w:rsidR="00361849" w:rsidRPr="00DE264C">
        <w:rPr>
          <w:rFonts w:eastAsia="Times New Roman"/>
          <w:noProof/>
        </w:rPr>
        <w:t xml:space="preserve">the </w:t>
      </w:r>
      <w:r w:rsidR="5E941906" w:rsidRPr="00DE264C">
        <w:rPr>
          <w:rFonts w:eastAsia="Times New Roman"/>
          <w:noProof/>
        </w:rPr>
        <w:t xml:space="preserve">simplification of the regulatory environment, </w:t>
      </w:r>
      <w:r w:rsidR="00EF17A8" w:rsidRPr="00DE264C">
        <w:rPr>
          <w:rFonts w:eastAsia="Times New Roman"/>
          <w:noProof/>
        </w:rPr>
        <w:t xml:space="preserve">in particular </w:t>
      </w:r>
      <w:r w:rsidR="00066A59" w:rsidRPr="00DE264C">
        <w:rPr>
          <w:rFonts w:eastAsia="Times New Roman"/>
          <w:noProof/>
        </w:rPr>
        <w:t>for services which rely on scarce</w:t>
      </w:r>
      <w:r w:rsidR="00EF17A8" w:rsidRPr="00DE264C">
        <w:rPr>
          <w:rFonts w:eastAsia="Times New Roman"/>
          <w:noProof/>
        </w:rPr>
        <w:t xml:space="preserve"> spectrum </w:t>
      </w:r>
      <w:r w:rsidR="00066A59" w:rsidRPr="00DE264C">
        <w:rPr>
          <w:rFonts w:eastAsia="Times New Roman"/>
          <w:noProof/>
        </w:rPr>
        <w:t>such as D2D,</w:t>
      </w:r>
      <w:r w:rsidR="00361849" w:rsidRPr="00A03164">
        <w:rPr>
          <w:noProof/>
        </w:rPr>
        <w:t xml:space="preserve"> and the </w:t>
      </w:r>
      <w:r w:rsidR="5E941906" w:rsidRPr="00A03164">
        <w:rPr>
          <w:noProof/>
        </w:rPr>
        <w:t xml:space="preserve">long-term benefits </w:t>
      </w:r>
      <w:r w:rsidR="00361849" w:rsidRPr="00A03164">
        <w:rPr>
          <w:noProof/>
        </w:rPr>
        <w:t xml:space="preserve">of </w:t>
      </w:r>
      <w:r w:rsidR="5E941906" w:rsidRPr="00A03164">
        <w:rPr>
          <w:noProof/>
        </w:rPr>
        <w:t xml:space="preserve">creating a streamlined and harmonised system for the authorisation of satellite spectrum. Removing the barrier of navigating 27 authorisation regimes benefits all constellations, particularly </w:t>
      </w:r>
      <w:r w:rsidR="00293189" w:rsidRPr="00A03164">
        <w:rPr>
          <w:noProof/>
        </w:rPr>
        <w:t>those</w:t>
      </w:r>
      <w:r w:rsidR="5E941906" w:rsidRPr="00A03164">
        <w:rPr>
          <w:noProof/>
        </w:rPr>
        <w:t xml:space="preserve"> which currently lack spectrum in all Member States. Existing satellite operators can scale up services where they previously lacked authorisations. </w:t>
      </w:r>
      <w:r w:rsidR="751C33A5" w:rsidRPr="00DE264C">
        <w:rPr>
          <w:rFonts w:eastAsia="Times New Roman"/>
          <w:noProof/>
        </w:rPr>
        <w:t>Providers</w:t>
      </w:r>
      <w:r w:rsidR="00464202" w:rsidRPr="00DE264C">
        <w:rPr>
          <w:rFonts w:eastAsia="Times New Roman"/>
          <w:noProof/>
        </w:rPr>
        <w:t>, in particular new entrants, save primarily on administrative costs and delays associated with regulatory fragmentation</w:t>
      </w:r>
      <w:r w:rsidR="008632A3" w:rsidRPr="00DE264C">
        <w:rPr>
          <w:rFonts w:eastAsia="Times New Roman"/>
          <w:noProof/>
        </w:rPr>
        <w:t xml:space="preserve"> and different conditions</w:t>
      </w:r>
      <w:r w:rsidR="00044CB4" w:rsidRPr="00DE264C">
        <w:rPr>
          <w:rFonts w:eastAsia="Times New Roman"/>
          <w:noProof/>
        </w:rPr>
        <w:t xml:space="preserve"> (see section </w:t>
      </w:r>
      <w:r w:rsidR="00FD0733" w:rsidRPr="00DE264C">
        <w:rPr>
          <w:rFonts w:eastAsia="Times New Roman"/>
          <w:noProof/>
        </w:rPr>
        <w:t>2.2.4)</w:t>
      </w:r>
      <w:r w:rsidR="00464202" w:rsidRPr="00DE264C">
        <w:rPr>
          <w:rFonts w:eastAsia="Times New Roman"/>
          <w:noProof/>
        </w:rPr>
        <w:t xml:space="preserve">, and secondarily on direct economic costs. </w:t>
      </w:r>
      <w:r w:rsidR="5E941906" w:rsidRPr="00A03164">
        <w:rPr>
          <w:noProof/>
        </w:rPr>
        <w:t>This can have a greater positive impact to New Space SMEs than option 1.</w:t>
      </w:r>
    </w:p>
    <w:p w14:paraId="3AEFE605" w14:textId="47135CDC" w:rsidR="006F1F3D" w:rsidRPr="00DE264C" w:rsidRDefault="003141E2" w:rsidP="00DE7CC1">
      <w:pPr>
        <w:spacing w:line="240" w:lineRule="auto"/>
        <w:rPr>
          <w:rFonts w:eastAsia="Times New Roman"/>
          <w:noProof/>
        </w:rPr>
      </w:pPr>
      <w:r w:rsidRPr="00DE264C">
        <w:rPr>
          <w:rFonts w:eastAsia="Times New Roman"/>
          <w:noProof/>
        </w:rPr>
        <w:t xml:space="preserve">The </w:t>
      </w:r>
      <w:r w:rsidRPr="00DE264C">
        <w:rPr>
          <w:rFonts w:eastAsia="Times New Roman"/>
          <w:b/>
          <w:noProof/>
        </w:rPr>
        <w:t>economic benefits</w:t>
      </w:r>
      <w:r w:rsidRPr="00DE264C">
        <w:rPr>
          <w:rFonts w:eastAsia="Times New Roman"/>
          <w:noProof/>
        </w:rPr>
        <w:t xml:space="preserve"> </w:t>
      </w:r>
      <w:r w:rsidR="00866270" w:rsidRPr="00DE264C">
        <w:rPr>
          <w:rFonts w:eastAsia="Times New Roman"/>
          <w:noProof/>
        </w:rPr>
        <w:t xml:space="preserve">and simplification potential </w:t>
      </w:r>
      <w:r w:rsidRPr="00DE264C">
        <w:rPr>
          <w:rFonts w:eastAsia="Times New Roman"/>
          <w:noProof/>
        </w:rPr>
        <w:t>can be also assessed in terms of</w:t>
      </w:r>
      <w:r w:rsidR="00802FFC" w:rsidRPr="00DE264C">
        <w:rPr>
          <w:rFonts w:eastAsia="Times New Roman"/>
          <w:noProof/>
        </w:rPr>
        <w:t>:</w:t>
      </w:r>
    </w:p>
    <w:p w14:paraId="2231FDE2" w14:textId="44577FF4" w:rsidR="000B7BCD" w:rsidRPr="004F55B4" w:rsidRDefault="000B7BCD" w:rsidP="00DE7CC1">
      <w:pPr>
        <w:spacing w:line="240" w:lineRule="auto"/>
        <w:rPr>
          <w:rFonts w:eastAsia="Times New Roman"/>
          <w:noProof/>
          <w:lang w:val="en-US"/>
        </w:rPr>
      </w:pPr>
      <w:r w:rsidRPr="00DE264C">
        <w:rPr>
          <w:rFonts w:eastAsia="Times New Roman"/>
          <w:noProof/>
        </w:rPr>
        <w:t xml:space="preserve">(i) Satellite communication service providers would </w:t>
      </w:r>
      <w:r w:rsidRPr="00FE0037">
        <w:rPr>
          <w:rFonts w:eastAsia="Times New Roman"/>
          <w:noProof/>
        </w:rPr>
        <w:t>avoid a reduction of revenues due to delays</w:t>
      </w:r>
      <w:r w:rsidRPr="00DE264C">
        <w:rPr>
          <w:rFonts w:eastAsia="Times New Roman"/>
          <w:noProof/>
        </w:rPr>
        <w:t xml:space="preserve"> caused by Member State-by-Member State authorisation and spectrum assignment, and occasionally due to legal uncertainty. Indeed, the largest cost burden on satellite communication service providers stems from </w:t>
      </w:r>
      <w:r w:rsidRPr="00FE0037">
        <w:rPr>
          <w:rFonts w:eastAsia="Times New Roman"/>
          <w:noProof/>
        </w:rPr>
        <w:t>delays to commercial launch</w:t>
      </w:r>
      <w:r w:rsidRPr="00DE264C">
        <w:rPr>
          <w:rFonts w:eastAsia="Times New Roman"/>
          <w:noProof/>
        </w:rPr>
        <w:t>, which can amount to tens of millions of euros in foregone revenues for a provider with a large client base.</w:t>
      </w:r>
      <w:r w:rsidR="004F55B4">
        <w:rPr>
          <w:rFonts w:eastAsia="Times New Roman"/>
          <w:noProof/>
          <w:lang w:val="en-US"/>
        </w:rPr>
        <w:t xml:space="preserve"> </w:t>
      </w:r>
      <w:r w:rsidRPr="00DE264C">
        <w:rPr>
          <w:rFonts w:eastAsia="Times New Roman"/>
          <w:noProof/>
        </w:rPr>
        <w:t>As an example, for a major LEO constellation with a global average number of subscribers of around 300</w:t>
      </w:r>
      <w:r w:rsidR="007D685D">
        <w:rPr>
          <w:rFonts w:eastAsia="Times New Roman"/>
          <w:noProof/>
        </w:rPr>
        <w:t>.</w:t>
      </w:r>
      <w:r w:rsidRPr="00DE264C">
        <w:rPr>
          <w:rFonts w:eastAsia="Times New Roman"/>
          <w:noProof/>
        </w:rPr>
        <w:t>000, the inability to deliver services due to authorisation issues for 4 months in one of the more populated MS could cost a company in terms of lost revenue 18</w:t>
      </w:r>
      <w:r w:rsidR="0014269F">
        <w:rPr>
          <w:rFonts w:eastAsia="Times New Roman"/>
          <w:noProof/>
        </w:rPr>
        <w:t>,</w:t>
      </w:r>
      <w:r w:rsidRPr="00DE264C">
        <w:rPr>
          <w:rFonts w:eastAsia="Times New Roman"/>
          <w:noProof/>
        </w:rPr>
        <w:t>3 million EUR</w:t>
      </w:r>
      <w:r w:rsidRPr="00DE264C">
        <w:rPr>
          <w:rStyle w:val="FootnoteReference"/>
          <w:rFonts w:eastAsia="Times New Roman"/>
          <w:noProof/>
        </w:rPr>
        <w:footnoteReference w:id="257"/>
      </w:r>
      <w:r w:rsidRPr="00DE264C">
        <w:rPr>
          <w:rFonts w:eastAsia="Times New Roman"/>
          <w:noProof/>
        </w:rPr>
        <w:t>. Based on a similar logic,</w:t>
      </w:r>
      <w:r w:rsidR="001507B2">
        <w:rPr>
          <w:rFonts w:eastAsia="Times New Roman"/>
          <w:noProof/>
        </w:rPr>
        <w:t xml:space="preserve"> the inability </w:t>
      </w:r>
      <w:r w:rsidR="00597E01">
        <w:rPr>
          <w:rFonts w:eastAsia="Times New Roman"/>
          <w:noProof/>
        </w:rPr>
        <w:t>to deliver</w:t>
      </w:r>
      <w:r w:rsidR="009F3AC5">
        <w:rPr>
          <w:rFonts w:eastAsia="Times New Roman"/>
          <w:noProof/>
        </w:rPr>
        <w:t xml:space="preserve"> </w:t>
      </w:r>
      <w:r w:rsidR="00597E01" w:rsidRPr="00DE264C">
        <w:rPr>
          <w:rFonts w:eastAsia="Times New Roman"/>
          <w:noProof/>
        </w:rPr>
        <w:t>IRIS</w:t>
      </w:r>
      <w:r w:rsidR="00597E01" w:rsidRPr="00DE264C">
        <w:rPr>
          <w:rFonts w:eastAsia="Times New Roman"/>
          <w:noProof/>
          <w:vertAlign w:val="superscript"/>
        </w:rPr>
        <w:t>2</w:t>
      </w:r>
      <w:r w:rsidR="00597E01">
        <w:rPr>
          <w:rFonts w:eastAsia="Times New Roman"/>
          <w:noProof/>
          <w:vertAlign w:val="superscript"/>
        </w:rPr>
        <w:t xml:space="preserve"> </w:t>
      </w:r>
      <w:r w:rsidR="00597E01">
        <w:rPr>
          <w:rFonts w:eastAsia="Times New Roman"/>
          <w:noProof/>
        </w:rPr>
        <w:t>services for the E</w:t>
      </w:r>
      <w:r w:rsidR="000D18C7">
        <w:rPr>
          <w:rFonts w:eastAsia="Times New Roman"/>
          <w:noProof/>
        </w:rPr>
        <w:t>U would be EUR</w:t>
      </w:r>
      <w:r w:rsidR="00FC1E4A">
        <w:rPr>
          <w:rFonts w:eastAsia="Times New Roman"/>
          <w:noProof/>
        </w:rPr>
        <w:t> </w:t>
      </w:r>
      <w:r w:rsidR="000D18C7">
        <w:rPr>
          <w:rFonts w:eastAsia="Times New Roman"/>
          <w:noProof/>
        </w:rPr>
        <w:t xml:space="preserve">50 </w:t>
      </w:r>
      <w:r w:rsidR="00D17FD3">
        <w:rPr>
          <w:rFonts w:eastAsia="Times New Roman"/>
          <w:noProof/>
        </w:rPr>
        <w:t xml:space="preserve">million </w:t>
      </w:r>
      <w:r w:rsidR="000D18C7">
        <w:rPr>
          <w:rFonts w:eastAsia="Times New Roman"/>
          <w:noProof/>
        </w:rPr>
        <w:t>per month</w:t>
      </w:r>
      <w:r w:rsidR="00CB6354">
        <w:rPr>
          <w:rFonts w:eastAsia="Times New Roman"/>
          <w:noProof/>
        </w:rPr>
        <w:t xml:space="preserve">, see </w:t>
      </w:r>
      <w:r w:rsidR="00EB48EF">
        <w:rPr>
          <w:rFonts w:eastAsia="Times New Roman"/>
          <w:noProof/>
        </w:rPr>
        <w:t>section 5.1.3.</w:t>
      </w:r>
    </w:p>
    <w:p w14:paraId="3353DAA7" w14:textId="55330E9F" w:rsidR="000B7BCD" w:rsidRPr="00DE264C" w:rsidRDefault="000B7BCD" w:rsidP="00DE7CC1">
      <w:pPr>
        <w:spacing w:line="240" w:lineRule="auto"/>
        <w:rPr>
          <w:rFonts w:eastAsia="Times New Roman"/>
          <w:noProof/>
        </w:rPr>
      </w:pPr>
      <w:r w:rsidRPr="00DE264C">
        <w:rPr>
          <w:rFonts w:eastAsia="Times New Roman"/>
          <w:noProof/>
        </w:rPr>
        <w:t xml:space="preserve">If these delays in authorisation happen when the satellite communication service provider is first entering the market, then the immediate financial impact is </w:t>
      </w:r>
      <w:r w:rsidR="003E3717" w:rsidRPr="00DE264C">
        <w:rPr>
          <w:rFonts w:eastAsia="Times New Roman"/>
          <w:noProof/>
        </w:rPr>
        <w:t xml:space="preserve">lower </w:t>
      </w:r>
      <w:r w:rsidRPr="00DE264C">
        <w:rPr>
          <w:rFonts w:eastAsia="Times New Roman"/>
          <w:noProof/>
        </w:rPr>
        <w:t>because the number of customers is initially low and increases progressively. However</w:t>
      </w:r>
      <w:r w:rsidR="005A1E4F" w:rsidRPr="00DE264C">
        <w:rPr>
          <w:rFonts w:eastAsia="Times New Roman"/>
          <w:noProof/>
        </w:rPr>
        <w:t>,</w:t>
      </w:r>
      <w:r w:rsidRPr="00DE264C">
        <w:rPr>
          <w:rFonts w:eastAsia="Times New Roman"/>
          <w:noProof/>
        </w:rPr>
        <w:t xml:space="preserve"> </w:t>
      </w:r>
      <w:r w:rsidR="005A1E4F" w:rsidRPr="00DE264C">
        <w:rPr>
          <w:rFonts w:eastAsia="Times New Roman"/>
          <w:noProof/>
        </w:rPr>
        <w:t>such</w:t>
      </w:r>
      <w:r w:rsidRPr="00DE264C">
        <w:rPr>
          <w:rFonts w:eastAsia="Times New Roman"/>
          <w:noProof/>
        </w:rPr>
        <w:t xml:space="preserve"> delay in </w:t>
      </w:r>
      <w:r w:rsidR="005A1E4F" w:rsidRPr="00DE264C">
        <w:rPr>
          <w:rFonts w:eastAsia="Times New Roman"/>
          <w:noProof/>
        </w:rPr>
        <w:t>obtaining</w:t>
      </w:r>
      <w:r w:rsidRPr="00DE264C">
        <w:rPr>
          <w:rFonts w:eastAsia="Times New Roman"/>
          <w:noProof/>
        </w:rPr>
        <w:t xml:space="preserve"> authorisation and spectrum assignment can affect the business case with delayed revenues possibly stretching out over many years with a substantial loss of potential revenue. Similar consequences could apply to any satellite communication service, subject to the obvious adjustments for the size and characteristics of the specific service. See </w:t>
      </w:r>
      <w:r w:rsidR="00D17AE7" w:rsidRPr="00DE264C">
        <w:rPr>
          <w:rFonts w:eastAsia="Times New Roman"/>
          <w:noProof/>
        </w:rPr>
        <w:t>Annex 9</w:t>
      </w:r>
      <w:r w:rsidRPr="00DE264C">
        <w:rPr>
          <w:rFonts w:eastAsia="Times New Roman"/>
          <w:noProof/>
        </w:rPr>
        <w:t xml:space="preserve">, </w:t>
      </w:r>
      <w:r w:rsidR="00EA3B92">
        <w:rPr>
          <w:rFonts w:eastAsia="Times New Roman"/>
          <w:noProof/>
        </w:rPr>
        <w:t>S</w:t>
      </w:r>
      <w:r w:rsidR="00440740">
        <w:rPr>
          <w:rFonts w:eastAsia="Times New Roman"/>
          <w:noProof/>
        </w:rPr>
        <w:t>ection</w:t>
      </w:r>
      <w:r w:rsidRPr="00DE264C">
        <w:rPr>
          <w:rFonts w:eastAsia="Times New Roman"/>
          <w:noProof/>
        </w:rPr>
        <w:t xml:space="preserve"> 3.2. for a more detailed assessment.</w:t>
      </w:r>
    </w:p>
    <w:p w14:paraId="56B60162" w14:textId="71FDF7B3" w:rsidR="00FE4047" w:rsidRPr="00292895" w:rsidRDefault="003141E2" w:rsidP="00DE7CC1">
      <w:pPr>
        <w:spacing w:line="240" w:lineRule="auto"/>
        <w:rPr>
          <w:rFonts w:eastAsia="Times New Roman"/>
          <w:noProof/>
        </w:rPr>
      </w:pPr>
      <w:r w:rsidRPr="00A03164">
        <w:rPr>
          <w:noProof/>
        </w:rPr>
        <w:t>(i</w:t>
      </w:r>
      <w:r w:rsidR="00163D7E" w:rsidRPr="00A03164">
        <w:rPr>
          <w:noProof/>
        </w:rPr>
        <w:t>i</w:t>
      </w:r>
      <w:r w:rsidRPr="00A03164">
        <w:rPr>
          <w:noProof/>
        </w:rPr>
        <w:t>)</w:t>
      </w:r>
      <w:r w:rsidR="55B6F732" w:rsidRPr="00A03164">
        <w:rPr>
          <w:noProof/>
        </w:rPr>
        <w:t xml:space="preserve"> </w:t>
      </w:r>
      <w:r w:rsidR="00D95930" w:rsidRPr="00A03164">
        <w:rPr>
          <w:noProof/>
        </w:rPr>
        <w:t>R</w:t>
      </w:r>
      <w:r w:rsidR="00D95930" w:rsidRPr="00292895">
        <w:rPr>
          <w:rFonts w:eastAsia="Times New Roman"/>
          <w:noProof/>
        </w:rPr>
        <w:t>educed</w:t>
      </w:r>
      <w:r w:rsidR="55B6F732" w:rsidRPr="00292895">
        <w:rPr>
          <w:rFonts w:eastAsia="Times New Roman"/>
          <w:noProof/>
        </w:rPr>
        <w:t xml:space="preserve"> costs and staff needs for both satellite communication service providers and national regulatory authorities (NRAs/SMAs), stemming from the elimination of duplicative and fragmented regulatory processes. An important cost driver today is the need for operators to comply with differing national authorisation conditions that are often not adapted to satellite services (see </w:t>
      </w:r>
      <w:r w:rsidR="00C229BD">
        <w:rPr>
          <w:rFonts w:eastAsia="Times New Roman"/>
          <w:noProof/>
        </w:rPr>
        <w:t>S</w:t>
      </w:r>
      <w:r w:rsidR="00440740">
        <w:rPr>
          <w:rFonts w:eastAsia="Times New Roman"/>
          <w:noProof/>
        </w:rPr>
        <w:t>ection</w:t>
      </w:r>
      <w:r w:rsidR="55B6F732" w:rsidRPr="00292895">
        <w:rPr>
          <w:rFonts w:eastAsia="Times New Roman"/>
          <w:noProof/>
        </w:rPr>
        <w:t xml:space="preserve"> 2.2.4 on fragmentation).</w:t>
      </w:r>
    </w:p>
    <w:p w14:paraId="5E03221D" w14:textId="474A7AE9" w:rsidR="00A368F6" w:rsidRPr="00D95930" w:rsidRDefault="55B6F732" w:rsidP="00DE7CC1">
      <w:pPr>
        <w:spacing w:line="240" w:lineRule="auto"/>
        <w:rPr>
          <w:rFonts w:eastAsia="Times New Roman"/>
          <w:noProof/>
          <w:lang w:val="ca-ES"/>
        </w:rPr>
      </w:pPr>
      <w:r w:rsidRPr="00292895">
        <w:rPr>
          <w:rFonts w:eastAsia="Times New Roman"/>
          <w:noProof/>
        </w:rPr>
        <w:t xml:space="preserve">The introduction of a single EU-level authorisation for satellite services could lead to considerable reduction in administrative costs, staff needs and delays for satellite communication service providers. The </w:t>
      </w:r>
      <w:r w:rsidR="009F314B" w:rsidRPr="00292895">
        <w:rPr>
          <w:rFonts w:eastAsia="Times New Roman"/>
          <w:noProof/>
        </w:rPr>
        <w:t>exact</w:t>
      </w:r>
      <w:r w:rsidRPr="00292895">
        <w:rPr>
          <w:rFonts w:eastAsia="Times New Roman"/>
          <w:noProof/>
        </w:rPr>
        <w:t xml:space="preserve"> magnitude of such reductions is difficult to assess, as costs depend on numerous specific factors and vary significantly across Member States</w:t>
      </w:r>
      <w:r w:rsidR="009F314B" w:rsidRPr="00292895">
        <w:rPr>
          <w:rFonts w:eastAsia="Times New Roman"/>
          <w:noProof/>
        </w:rPr>
        <w:t xml:space="preserve">; </w:t>
      </w:r>
      <w:r w:rsidR="6810DBE2" w:rsidRPr="1DDA0F85">
        <w:rPr>
          <w:rFonts w:eastAsia="Times New Roman"/>
          <w:noProof/>
        </w:rPr>
        <w:t>moreover,</w:t>
      </w:r>
      <w:r w:rsidR="0014386A" w:rsidRPr="00292895">
        <w:rPr>
          <w:rFonts w:eastAsia="Times New Roman"/>
          <w:noProof/>
        </w:rPr>
        <w:t xml:space="preserve"> in some cases the administrative cost for the authorisation can’t be</w:t>
      </w:r>
      <w:r w:rsidR="00413CA8" w:rsidRPr="00292895">
        <w:rPr>
          <w:rFonts w:eastAsia="Times New Roman"/>
          <w:noProof/>
        </w:rPr>
        <w:t xml:space="preserve"> clearly</w:t>
      </w:r>
      <w:r w:rsidR="0014386A" w:rsidRPr="00292895">
        <w:rPr>
          <w:rFonts w:eastAsia="Times New Roman"/>
          <w:noProof/>
        </w:rPr>
        <w:t xml:space="preserve"> distinguished from the spectrum cost</w:t>
      </w:r>
      <w:r w:rsidRPr="00292895">
        <w:rPr>
          <w:rFonts w:eastAsia="Times New Roman"/>
          <w:noProof/>
        </w:rPr>
        <w:t xml:space="preserve">. The reduction of </w:t>
      </w:r>
      <w:r w:rsidR="00C64EF8" w:rsidRPr="00292895">
        <w:rPr>
          <w:rFonts w:eastAsia="Times New Roman"/>
          <w:noProof/>
        </w:rPr>
        <w:t>administrative</w:t>
      </w:r>
      <w:r w:rsidRPr="00292895">
        <w:rPr>
          <w:rFonts w:eastAsia="Times New Roman"/>
          <w:noProof/>
        </w:rPr>
        <w:t xml:space="preserve"> costs </w:t>
      </w:r>
      <w:r w:rsidR="007C697B" w:rsidRPr="00292895">
        <w:rPr>
          <w:rFonts w:eastAsia="Times New Roman"/>
          <w:noProof/>
        </w:rPr>
        <w:t>quantified</w:t>
      </w:r>
      <w:r w:rsidR="00111EC2" w:rsidRPr="00292895">
        <w:rPr>
          <w:rFonts w:eastAsia="Times New Roman"/>
          <w:noProof/>
        </w:rPr>
        <w:t xml:space="preserve"> in</w:t>
      </w:r>
      <w:r w:rsidR="007C697B" w:rsidRPr="00292895">
        <w:rPr>
          <w:rFonts w:eastAsia="Times New Roman"/>
          <w:noProof/>
        </w:rPr>
        <w:t xml:space="preserve"> section</w:t>
      </w:r>
      <w:r w:rsidR="00BE1B6B" w:rsidRPr="00292895">
        <w:rPr>
          <w:rFonts w:eastAsia="Times New Roman"/>
          <w:noProof/>
        </w:rPr>
        <w:t xml:space="preserve"> 2.1.3</w:t>
      </w:r>
      <w:r w:rsidRPr="00292895">
        <w:rPr>
          <w:rFonts w:eastAsia="Times New Roman"/>
          <w:noProof/>
        </w:rPr>
        <w:t xml:space="preserve"> is expected to be most significant in cases involving individual rights of use and authorisation of ground components, compared with the use of </w:t>
      </w:r>
      <w:r w:rsidR="00351468" w:rsidRPr="00292895">
        <w:rPr>
          <w:rFonts w:eastAsia="Times New Roman"/>
          <w:noProof/>
        </w:rPr>
        <w:t xml:space="preserve">satellite </w:t>
      </w:r>
      <w:r w:rsidRPr="00292895">
        <w:rPr>
          <w:rFonts w:eastAsia="Times New Roman"/>
          <w:noProof/>
        </w:rPr>
        <w:t xml:space="preserve">spectrum under general authorisation. Regarding staff resources, </w:t>
      </w:r>
      <w:r w:rsidR="00303F4A">
        <w:rPr>
          <w:rFonts w:eastAsia="Times New Roman"/>
          <w:noProof/>
        </w:rPr>
        <w:t>some</w:t>
      </w:r>
      <w:r w:rsidRPr="00292895">
        <w:rPr>
          <w:rFonts w:eastAsia="Times New Roman"/>
          <w:noProof/>
        </w:rPr>
        <w:t xml:space="preserve"> operators estimate that securing spectrum authorisations across all Member States for an EU-wide constellation requires roughly 6 FTE</w:t>
      </w:r>
      <w:r w:rsidR="000936F2" w:rsidRPr="00292895">
        <w:rPr>
          <w:rFonts w:eastAsia="Times New Roman"/>
          <w:noProof/>
        </w:rPr>
        <w:t>s</w:t>
      </w:r>
      <w:r w:rsidRPr="00292895">
        <w:rPr>
          <w:rFonts w:eastAsia="Times New Roman"/>
          <w:noProof/>
        </w:rPr>
        <w:t xml:space="preserve"> centrally plus 1–2 FTE</w:t>
      </w:r>
      <w:r w:rsidR="000936F2" w:rsidRPr="00292895">
        <w:rPr>
          <w:rFonts w:eastAsia="Times New Roman"/>
          <w:noProof/>
        </w:rPr>
        <w:t>s</w:t>
      </w:r>
      <w:r w:rsidRPr="00292895">
        <w:rPr>
          <w:rFonts w:eastAsia="Times New Roman"/>
          <w:noProof/>
        </w:rPr>
        <w:t xml:space="preserve"> per Member State</w:t>
      </w:r>
      <w:r w:rsidR="00282BBC">
        <w:rPr>
          <w:rFonts w:eastAsia="Times New Roman"/>
          <w:noProof/>
        </w:rPr>
        <w:t>;</w:t>
      </w:r>
      <w:r w:rsidRPr="00292895">
        <w:rPr>
          <w:rFonts w:eastAsia="Times New Roman"/>
          <w:noProof/>
        </w:rPr>
        <w:t xml:space="preserve"> </w:t>
      </w:r>
      <w:r w:rsidR="00EA1484" w:rsidRPr="00292895">
        <w:rPr>
          <w:rFonts w:eastAsia="Times New Roman"/>
          <w:noProof/>
        </w:rPr>
        <w:t>these costs would be around EUR</w:t>
      </w:r>
      <w:r w:rsidR="00F62CBF" w:rsidRPr="00292895">
        <w:rPr>
          <w:rFonts w:eastAsia="Times New Roman"/>
          <w:noProof/>
        </w:rPr>
        <w:t> </w:t>
      </w:r>
      <w:r w:rsidR="00EA1484" w:rsidRPr="00292895">
        <w:rPr>
          <w:rFonts w:eastAsia="Times New Roman"/>
          <w:noProof/>
        </w:rPr>
        <w:t>200</w:t>
      </w:r>
      <w:r w:rsidR="00EA1DE0">
        <w:rPr>
          <w:rFonts w:eastAsia="Times New Roman"/>
          <w:noProof/>
        </w:rPr>
        <w:t>.</w:t>
      </w:r>
      <w:r w:rsidR="00EA1484" w:rsidRPr="00292895">
        <w:rPr>
          <w:rFonts w:eastAsia="Times New Roman"/>
          <w:noProof/>
        </w:rPr>
        <w:t>000 per EU country/year.</w:t>
      </w:r>
      <w:r w:rsidR="008D4C62" w:rsidRPr="00292895">
        <w:rPr>
          <w:rFonts w:eastAsia="Times New Roman"/>
          <w:noProof/>
        </w:rPr>
        <w:t xml:space="preserve"> </w:t>
      </w:r>
      <w:r w:rsidR="00315E21" w:rsidRPr="00292895">
        <w:rPr>
          <w:rFonts w:eastAsia="Times New Roman"/>
          <w:noProof/>
        </w:rPr>
        <w:t>F</w:t>
      </w:r>
      <w:r w:rsidR="004A1A4B" w:rsidRPr="00292895">
        <w:rPr>
          <w:rFonts w:eastAsia="Times New Roman"/>
          <w:noProof/>
        </w:rPr>
        <w:t>inally</w:t>
      </w:r>
      <w:r w:rsidR="00315E21" w:rsidRPr="00292895">
        <w:rPr>
          <w:rFonts w:eastAsia="Times New Roman"/>
          <w:noProof/>
        </w:rPr>
        <w:t xml:space="preserve">, </w:t>
      </w:r>
      <w:r w:rsidR="003760BC" w:rsidRPr="00292895">
        <w:rPr>
          <w:rFonts w:eastAsia="Times New Roman"/>
          <w:noProof/>
        </w:rPr>
        <w:t>as part of the authorisation process</w:t>
      </w:r>
      <w:r w:rsidR="00315E21" w:rsidRPr="00292895">
        <w:rPr>
          <w:rFonts w:eastAsia="Times New Roman"/>
          <w:noProof/>
        </w:rPr>
        <w:t xml:space="preserve">, </w:t>
      </w:r>
      <w:r w:rsidR="00A368F6" w:rsidRPr="00292895">
        <w:rPr>
          <w:rFonts w:eastAsia="Times New Roman"/>
          <w:noProof/>
        </w:rPr>
        <w:t>operators are asked to conduct in-country testing in each MS, which would require at least 6 FTEs dedicated to regulatory testing, deployment of a temporary ground station/gateway (which incurs in CAPEX costs</w:t>
      </w:r>
      <w:r w:rsidR="00D95930" w:rsidRPr="00292895">
        <w:rPr>
          <w:rFonts w:eastAsia="Times New Roman"/>
          <w:noProof/>
        </w:rPr>
        <w:t xml:space="preserve"> </w:t>
      </w:r>
      <w:r w:rsidR="00A368F6" w:rsidRPr="00292895">
        <w:rPr>
          <w:rFonts w:eastAsia="Times New Roman"/>
          <w:noProof/>
        </w:rPr>
        <w:t xml:space="preserve">) with an additional </w:t>
      </w:r>
      <w:r w:rsidR="00633B74" w:rsidRPr="00292895">
        <w:rPr>
          <w:rFonts w:eastAsia="Times New Roman"/>
          <w:noProof/>
        </w:rPr>
        <w:t>EUR</w:t>
      </w:r>
      <w:r w:rsidR="00E278B2" w:rsidRPr="00292895">
        <w:rPr>
          <w:rFonts w:eastAsia="Times New Roman"/>
          <w:noProof/>
        </w:rPr>
        <w:t> </w:t>
      </w:r>
      <w:r w:rsidR="00A368F6" w:rsidRPr="00292895">
        <w:rPr>
          <w:rFonts w:eastAsia="Times New Roman"/>
          <w:noProof/>
        </w:rPr>
        <w:t>120</w:t>
      </w:r>
      <w:r w:rsidR="00EA1DE0">
        <w:rPr>
          <w:rFonts w:eastAsia="Times New Roman"/>
          <w:noProof/>
        </w:rPr>
        <w:t>.</w:t>
      </w:r>
      <w:r w:rsidR="00A368F6" w:rsidRPr="00292895">
        <w:rPr>
          <w:rFonts w:eastAsia="Times New Roman"/>
          <w:noProof/>
        </w:rPr>
        <w:t>000 for gateway movement, as well as, engineering resource required for the movement/installation of the gateway. Overall</w:t>
      </w:r>
      <w:r w:rsidR="00BC1052" w:rsidRPr="00292895">
        <w:rPr>
          <w:rFonts w:eastAsia="Times New Roman"/>
          <w:noProof/>
        </w:rPr>
        <w:t>,</w:t>
      </w:r>
      <w:r w:rsidR="00A368F6" w:rsidRPr="00292895">
        <w:rPr>
          <w:rFonts w:eastAsia="Times New Roman"/>
          <w:noProof/>
        </w:rPr>
        <w:t xml:space="preserve"> this would cost </w:t>
      </w:r>
      <w:r w:rsidR="00411553" w:rsidRPr="00292895">
        <w:rPr>
          <w:rFonts w:eastAsia="Times New Roman"/>
          <w:noProof/>
        </w:rPr>
        <w:t xml:space="preserve">indicatively </w:t>
      </w:r>
      <w:r w:rsidR="00A368F6" w:rsidRPr="00292895">
        <w:rPr>
          <w:rFonts w:eastAsia="Times New Roman"/>
          <w:noProof/>
        </w:rPr>
        <w:t xml:space="preserve">around </w:t>
      </w:r>
      <w:r w:rsidR="00995AC1" w:rsidRPr="00292895">
        <w:rPr>
          <w:rFonts w:eastAsia="Times New Roman"/>
          <w:noProof/>
        </w:rPr>
        <w:t>EUR</w:t>
      </w:r>
      <w:r w:rsidR="00F62CBF" w:rsidRPr="00292895">
        <w:rPr>
          <w:rFonts w:eastAsia="Times New Roman"/>
          <w:noProof/>
        </w:rPr>
        <w:t> </w:t>
      </w:r>
      <w:r w:rsidR="00A368F6" w:rsidRPr="00292895">
        <w:rPr>
          <w:rFonts w:eastAsia="Times New Roman"/>
          <w:noProof/>
        </w:rPr>
        <w:t>3.2</w:t>
      </w:r>
      <w:r w:rsidR="00D273E5">
        <w:rPr>
          <w:rFonts w:eastAsia="Times New Roman"/>
          <w:noProof/>
        </w:rPr>
        <w:t xml:space="preserve"> million</w:t>
      </w:r>
      <w:r w:rsidR="00A368F6" w:rsidRPr="00292895">
        <w:rPr>
          <w:rFonts w:eastAsia="Times New Roman"/>
          <w:noProof/>
        </w:rPr>
        <w:t xml:space="preserve"> across all </w:t>
      </w:r>
      <w:r w:rsidR="1AE09769" w:rsidRPr="1DDA0F85">
        <w:rPr>
          <w:rFonts w:eastAsia="Times New Roman"/>
          <w:noProof/>
        </w:rPr>
        <w:t>M</w:t>
      </w:r>
      <w:r w:rsidR="00D95930" w:rsidRPr="00292895">
        <w:rPr>
          <w:rFonts w:eastAsia="Times New Roman"/>
          <w:noProof/>
        </w:rPr>
        <w:t xml:space="preserve">ember </w:t>
      </w:r>
      <w:r w:rsidR="4EE3814D" w:rsidRPr="1DDA0F85">
        <w:rPr>
          <w:rFonts w:eastAsia="Times New Roman"/>
          <w:noProof/>
        </w:rPr>
        <w:t>S</w:t>
      </w:r>
      <w:r w:rsidR="00D95930" w:rsidRPr="00292895">
        <w:rPr>
          <w:rFonts w:eastAsia="Times New Roman"/>
          <w:noProof/>
        </w:rPr>
        <w:t>ta</w:t>
      </w:r>
      <w:r w:rsidR="00D95930" w:rsidRPr="00A03164">
        <w:rPr>
          <w:noProof/>
        </w:rPr>
        <w:t>tes</w:t>
      </w:r>
      <w:r w:rsidR="13D694DA" w:rsidRPr="00A03164">
        <w:rPr>
          <w:noProof/>
        </w:rPr>
        <w:t xml:space="preserve">. </w:t>
      </w:r>
    </w:p>
    <w:p w14:paraId="25BEEBB9" w14:textId="3C99C4FE" w:rsidR="00D273E5" w:rsidRDefault="115D1256" w:rsidP="00DE7CC1">
      <w:pPr>
        <w:spacing w:line="240" w:lineRule="auto"/>
        <w:rPr>
          <w:rFonts w:eastAsia="Times New Roman"/>
          <w:noProof/>
        </w:rPr>
      </w:pPr>
      <w:r w:rsidRPr="00DE264C">
        <w:rPr>
          <w:rFonts w:eastAsia="Times New Roman"/>
          <w:noProof/>
        </w:rPr>
        <w:t xml:space="preserve">The staff savings </w:t>
      </w:r>
      <w:r w:rsidR="007F4D30" w:rsidRPr="00DE264C">
        <w:rPr>
          <w:rFonts w:eastAsia="Times New Roman"/>
          <w:noProof/>
        </w:rPr>
        <w:t xml:space="preserve">for </w:t>
      </w:r>
      <w:r w:rsidR="00411553" w:rsidRPr="00DE264C">
        <w:rPr>
          <w:rFonts w:eastAsia="Times New Roman"/>
          <w:noProof/>
        </w:rPr>
        <w:t>competent</w:t>
      </w:r>
      <w:r w:rsidR="007F4D30" w:rsidRPr="00DE264C">
        <w:rPr>
          <w:rFonts w:eastAsia="Times New Roman"/>
          <w:noProof/>
        </w:rPr>
        <w:t xml:space="preserve"> authorities</w:t>
      </w:r>
      <w:r w:rsidR="00215240" w:rsidRPr="00DE264C">
        <w:rPr>
          <w:rFonts w:eastAsia="Times New Roman"/>
          <w:noProof/>
        </w:rPr>
        <w:t xml:space="preserve"> </w:t>
      </w:r>
      <w:r w:rsidRPr="00DE264C">
        <w:rPr>
          <w:rFonts w:eastAsia="Times New Roman"/>
          <w:noProof/>
        </w:rPr>
        <w:t>linked to the introduction of an EU-level authorisation for satellite services can be estimated based on current staffing levels and expected efficiency gains. Data from 16 NRAs and SMAs indicate around 63.5 FTEs currently engaged in satellite authorisation and spectrum assignment and another 34 FTEs in enforcement, corresponding to roughly 98 FTEs EU-wide.</w:t>
      </w:r>
      <w:r w:rsidR="00C51A0E" w:rsidRPr="00DE264C">
        <w:rPr>
          <w:rStyle w:val="FootnoteReference"/>
          <w:rFonts w:eastAsia="Times New Roman"/>
          <w:noProof/>
        </w:rPr>
        <w:footnoteReference w:id="258"/>
      </w:r>
      <w:r w:rsidRPr="00DE264C">
        <w:rPr>
          <w:rFonts w:eastAsia="Times New Roman"/>
          <w:noProof/>
        </w:rPr>
        <w:t xml:space="preserve"> Including about 1.5 FTEs at the European Commission for its present coordinating role brings the total to approximately 100 FTEs involved in satellite-related spectrum tasks. Under the EU authorisation, </w:t>
      </w:r>
      <w:r w:rsidRPr="00DE264C">
        <w:rPr>
          <w:rFonts w:eastAsia="Times New Roman"/>
          <w:b/>
          <w:bCs/>
          <w:noProof/>
        </w:rPr>
        <w:t>staffing reductions</w:t>
      </w:r>
      <w:r w:rsidRPr="00DE264C">
        <w:rPr>
          <w:rFonts w:eastAsia="Times New Roman"/>
          <w:noProof/>
        </w:rPr>
        <w:t xml:space="preserve"> would mainly occur at NRAs and SMAs, as much of the administrative assessment and licensing work would be centralised at EU level. Member States would, however, remain responsible for monitoring, interference management and inspection of ground components. Additional resources would be needed at the BEREC Office (up to 12 FTEs) to manage operational functions transferred from Member States at the Commission (roughly 3.5 additional FTEs) to oversee and coordinate implementation. Overall, staffing would decrease by about </w:t>
      </w:r>
      <w:r w:rsidRPr="00FE0037">
        <w:rPr>
          <w:rFonts w:eastAsia="Times New Roman"/>
          <w:noProof/>
        </w:rPr>
        <w:t>20–30%.</w:t>
      </w:r>
      <w:r w:rsidRPr="00DE264C">
        <w:rPr>
          <w:rFonts w:eastAsia="Times New Roman"/>
          <w:noProof/>
        </w:rPr>
        <w:t xml:space="preserve"> Assuming an average labour cost of EUR</w:t>
      </w:r>
      <w:r w:rsidR="00131EDA">
        <w:rPr>
          <w:rFonts w:eastAsia="Times New Roman"/>
          <w:noProof/>
          <w:color w:val="000000" w:themeColor="text1"/>
        </w:rPr>
        <w:t> </w:t>
      </w:r>
      <w:r w:rsidRPr="00DE264C">
        <w:rPr>
          <w:rFonts w:eastAsia="Times New Roman"/>
          <w:noProof/>
        </w:rPr>
        <w:t>95 400 per FTE, this corresponds to annual savings of roughly EUR</w:t>
      </w:r>
      <w:r w:rsidR="00131EDA">
        <w:rPr>
          <w:rFonts w:eastAsia="Times New Roman"/>
          <w:noProof/>
          <w:color w:val="000000" w:themeColor="text1"/>
        </w:rPr>
        <w:t> </w:t>
      </w:r>
      <w:r w:rsidRPr="00DE264C">
        <w:rPr>
          <w:rFonts w:eastAsia="Times New Roman"/>
          <w:noProof/>
        </w:rPr>
        <w:t>2–3 million once the system is fully operational.</w:t>
      </w:r>
    </w:p>
    <w:p w14:paraId="760AF39F" w14:textId="4B7D95E6" w:rsidR="00C040C7" w:rsidRPr="00DE264C" w:rsidRDefault="00D52C32" w:rsidP="00DE7CC1">
      <w:pPr>
        <w:spacing w:line="240" w:lineRule="auto"/>
        <w:rPr>
          <w:rFonts w:eastAsia="Times New Roman"/>
          <w:b/>
          <w:noProof/>
        </w:rPr>
      </w:pPr>
      <w:r w:rsidRPr="00DE264C">
        <w:rPr>
          <w:rFonts w:eastAsia="Times New Roman"/>
          <w:noProof/>
        </w:rPr>
        <w:t xml:space="preserve">The proposed EU-level authorisation regime </w:t>
      </w:r>
      <w:r w:rsidR="00A67D0A" w:rsidRPr="00DE264C">
        <w:rPr>
          <w:rFonts w:eastAsia="Times New Roman"/>
          <w:noProof/>
        </w:rPr>
        <w:t>c</w:t>
      </w:r>
      <w:r w:rsidRPr="00DE264C">
        <w:rPr>
          <w:rFonts w:eastAsia="Times New Roman"/>
          <w:noProof/>
        </w:rPr>
        <w:t>ould enable Member States and EU institutions to absorb the expected rise in authorisation requests without requiring additional administrative resources</w:t>
      </w:r>
      <w:r w:rsidRPr="40318B36">
        <w:rPr>
          <w:rFonts w:eastAsia="Times New Roman"/>
          <w:b/>
          <w:bCs/>
          <w:noProof/>
        </w:rPr>
        <w:t>.</w:t>
      </w:r>
      <w:r w:rsidR="00A72E60" w:rsidRPr="00DE264C">
        <w:rPr>
          <w:rFonts w:eastAsia="Times New Roman"/>
          <w:b/>
          <w:bCs/>
          <w:noProof/>
        </w:rPr>
        <w:t xml:space="preserve"> </w:t>
      </w:r>
      <w:r w:rsidR="115D1256" w:rsidRPr="00DE264C">
        <w:rPr>
          <w:rFonts w:eastAsia="Times New Roman"/>
          <w:noProof/>
        </w:rPr>
        <w:t>As regards the expected workload, we consider the rapid growth of Low Earth Orbit (LEO) constellations</w:t>
      </w:r>
      <w:r w:rsidR="00BF69CA" w:rsidRPr="00DE264C">
        <w:rPr>
          <w:rStyle w:val="FootnoteReference"/>
          <w:rFonts w:eastAsia="Times New Roman"/>
          <w:noProof/>
        </w:rPr>
        <w:footnoteReference w:id="259"/>
      </w:r>
      <w:r w:rsidR="115D1256" w:rsidRPr="00DE264C">
        <w:rPr>
          <w:rFonts w:eastAsia="Times New Roman"/>
          <w:noProof/>
        </w:rPr>
        <w:t xml:space="preserve"> and data from the US indicating </w:t>
      </w:r>
      <w:r w:rsidR="115D1256" w:rsidRPr="00FE0037">
        <w:rPr>
          <w:rFonts w:eastAsia="Times New Roman"/>
          <w:noProof/>
        </w:rPr>
        <w:t>significant growth in applications</w:t>
      </w:r>
      <w:r w:rsidR="115D1256" w:rsidRPr="00DE264C">
        <w:rPr>
          <w:rFonts w:eastAsia="Times New Roman"/>
          <w:noProof/>
        </w:rPr>
        <w:t xml:space="preserve"> for space and earth stations. If such growth w</w:t>
      </w:r>
      <w:r w:rsidR="00595216" w:rsidRPr="00DE264C">
        <w:rPr>
          <w:rFonts w:eastAsia="Times New Roman"/>
          <w:noProof/>
        </w:rPr>
        <w:t>as</w:t>
      </w:r>
      <w:r w:rsidR="115D1256" w:rsidRPr="00DE264C">
        <w:rPr>
          <w:rFonts w:eastAsia="Times New Roman"/>
          <w:noProof/>
        </w:rPr>
        <w:t xml:space="preserve"> to continue, the associated labour requirements and budget would </w:t>
      </w:r>
      <w:r w:rsidR="00A95988" w:rsidRPr="00DE264C">
        <w:rPr>
          <w:rFonts w:eastAsia="Times New Roman"/>
          <w:noProof/>
        </w:rPr>
        <w:t xml:space="preserve">also </w:t>
      </w:r>
      <w:r w:rsidR="115D1256" w:rsidRPr="00DE264C">
        <w:rPr>
          <w:rFonts w:eastAsia="Times New Roman"/>
          <w:noProof/>
        </w:rPr>
        <w:t>increase</w:t>
      </w:r>
      <w:r w:rsidR="00A95988" w:rsidRPr="00DE264C">
        <w:rPr>
          <w:rFonts w:eastAsia="Times New Roman"/>
          <w:noProof/>
        </w:rPr>
        <w:t>, yet</w:t>
      </w:r>
      <w:r w:rsidR="115D1256" w:rsidRPr="00DE264C">
        <w:rPr>
          <w:rFonts w:eastAsia="Times New Roman"/>
          <w:noProof/>
        </w:rPr>
        <w:t xml:space="preserve"> at a lower rate due to economies of scale. Under business-as-usual conditions, staffing </w:t>
      </w:r>
      <w:r w:rsidR="00FE18EC" w:rsidRPr="00DE264C">
        <w:rPr>
          <w:rFonts w:eastAsia="Times New Roman"/>
          <w:noProof/>
        </w:rPr>
        <w:t>needs</w:t>
      </w:r>
      <w:r w:rsidR="115D1256" w:rsidRPr="00DE264C">
        <w:rPr>
          <w:rFonts w:eastAsia="Times New Roman"/>
          <w:noProof/>
        </w:rPr>
        <w:t xml:space="preserve"> might increase by roughly one-third</w:t>
      </w:r>
      <w:r w:rsidR="00A94723" w:rsidRPr="00DE264C">
        <w:rPr>
          <w:rFonts w:eastAsia="Times New Roman"/>
          <w:noProof/>
        </w:rPr>
        <w:t xml:space="preserve"> over the next five years</w:t>
      </w:r>
      <w:r w:rsidR="115D1256" w:rsidRPr="00DE264C">
        <w:rPr>
          <w:rFonts w:eastAsia="Times New Roman"/>
          <w:noProof/>
        </w:rPr>
        <w:t xml:space="preserve">, but with the expected efficiency gains discussed above, overall personnel would likely remain close to today’s level. </w:t>
      </w:r>
    </w:p>
    <w:p w14:paraId="007A7315" w14:textId="3F7CD4DB" w:rsidR="00F846D6" w:rsidRPr="00DE264C" w:rsidRDefault="00407D36" w:rsidP="00DE7CC1">
      <w:pPr>
        <w:spacing w:line="240" w:lineRule="auto"/>
        <w:rPr>
          <w:rFonts w:eastAsia="Times New Roman"/>
          <w:noProof/>
        </w:rPr>
      </w:pPr>
      <w:r w:rsidRPr="00DE264C">
        <w:rPr>
          <w:rFonts w:eastAsia="Times New Roman"/>
          <w:noProof/>
        </w:rPr>
        <w:t>(ii</w:t>
      </w:r>
      <w:r w:rsidR="00163D7E" w:rsidRPr="00DE264C">
        <w:rPr>
          <w:rFonts w:eastAsia="Times New Roman"/>
          <w:noProof/>
        </w:rPr>
        <w:t>i</w:t>
      </w:r>
      <w:r w:rsidRPr="00DE264C">
        <w:rPr>
          <w:rFonts w:eastAsia="Times New Roman"/>
          <w:noProof/>
        </w:rPr>
        <w:t>)</w:t>
      </w:r>
      <w:r w:rsidR="00C40EE7" w:rsidRPr="00DE264C">
        <w:rPr>
          <w:rFonts w:eastAsia="Times New Roman"/>
          <w:noProof/>
        </w:rPr>
        <w:t xml:space="preserve"> </w:t>
      </w:r>
      <w:r w:rsidR="00122CE1" w:rsidRPr="00DE264C">
        <w:rPr>
          <w:rFonts w:eastAsia="Times New Roman"/>
          <w:noProof/>
        </w:rPr>
        <w:t xml:space="preserve">more efficient </w:t>
      </w:r>
      <w:r w:rsidR="004A4A2F" w:rsidRPr="00DE264C">
        <w:rPr>
          <w:rFonts w:eastAsia="Times New Roman"/>
          <w:noProof/>
        </w:rPr>
        <w:t>addressing</w:t>
      </w:r>
      <w:r w:rsidR="00B60042" w:rsidRPr="00FE0037">
        <w:rPr>
          <w:rFonts w:eastAsia="Times New Roman"/>
          <w:noProof/>
        </w:rPr>
        <w:t xml:space="preserve"> of harmful interferences issues</w:t>
      </w:r>
      <w:r w:rsidR="000227CE" w:rsidRPr="00FE0037">
        <w:rPr>
          <w:rFonts w:eastAsia="Times New Roman"/>
          <w:noProof/>
        </w:rPr>
        <w:t xml:space="preserve"> </w:t>
      </w:r>
      <w:r w:rsidR="00D663F2" w:rsidRPr="00DE264C">
        <w:rPr>
          <w:rFonts w:eastAsia="Times New Roman"/>
          <w:bCs/>
          <w:noProof/>
        </w:rPr>
        <w:t xml:space="preserve">which cause </w:t>
      </w:r>
      <w:r w:rsidR="002E21C6" w:rsidRPr="00DE264C">
        <w:rPr>
          <w:rFonts w:eastAsia="Times New Roman"/>
          <w:bCs/>
          <w:noProof/>
        </w:rPr>
        <w:t>serious</w:t>
      </w:r>
      <w:r w:rsidR="002E21C6" w:rsidRPr="00FE0037">
        <w:rPr>
          <w:rFonts w:eastAsia="Times New Roman"/>
          <w:noProof/>
        </w:rPr>
        <w:t xml:space="preserve"> </w:t>
      </w:r>
      <w:r w:rsidR="000227CE" w:rsidRPr="00A03164">
        <w:rPr>
          <w:noProof/>
        </w:rPr>
        <w:t xml:space="preserve">operational challenges </w:t>
      </w:r>
      <w:r w:rsidR="009D2B51" w:rsidRPr="00A03164">
        <w:rPr>
          <w:noProof/>
        </w:rPr>
        <w:t xml:space="preserve">due to the </w:t>
      </w:r>
      <w:r w:rsidR="004A4A2F" w:rsidRPr="00A03164">
        <w:rPr>
          <w:noProof/>
        </w:rPr>
        <w:t>difficulty</w:t>
      </w:r>
      <w:r w:rsidR="000227CE" w:rsidRPr="00A03164">
        <w:rPr>
          <w:noProof/>
        </w:rPr>
        <w:t xml:space="preserve"> to enforce compliance</w:t>
      </w:r>
      <w:r w:rsidR="00F247B4" w:rsidRPr="00A03164">
        <w:rPr>
          <w:noProof/>
        </w:rPr>
        <w:t xml:space="preserve"> with Radio Regulations</w:t>
      </w:r>
      <w:r w:rsidR="004A4A2F" w:rsidRPr="00A03164">
        <w:rPr>
          <w:noProof/>
        </w:rPr>
        <w:t xml:space="preserve">; option 2 </w:t>
      </w:r>
      <w:r w:rsidR="00B60042" w:rsidRPr="00DE264C">
        <w:rPr>
          <w:rFonts w:eastAsia="Times New Roman"/>
          <w:noProof/>
        </w:rPr>
        <w:t>ensures all players play by the rules</w:t>
      </w:r>
      <w:r w:rsidR="009B14A8" w:rsidRPr="00DE264C">
        <w:rPr>
          <w:rFonts w:eastAsia="Times New Roman"/>
          <w:noProof/>
        </w:rPr>
        <w:t>,</w:t>
      </w:r>
      <w:r w:rsidR="00B60042" w:rsidRPr="00DE264C">
        <w:rPr>
          <w:rFonts w:eastAsia="Times New Roman"/>
          <w:noProof/>
        </w:rPr>
        <w:t xml:space="preserve"> thanks to t</w:t>
      </w:r>
      <w:r w:rsidRPr="00DE264C">
        <w:rPr>
          <w:rFonts w:eastAsia="Times New Roman"/>
          <w:noProof/>
        </w:rPr>
        <w:t>he coordinated enforcement of satellite rules</w:t>
      </w:r>
      <w:r w:rsidR="00C555F9" w:rsidRPr="00DE264C">
        <w:rPr>
          <w:rFonts w:eastAsia="Times New Roman"/>
          <w:noProof/>
        </w:rPr>
        <w:t>. This</w:t>
      </w:r>
      <w:r w:rsidR="00490DDA" w:rsidRPr="00DE264C">
        <w:rPr>
          <w:rFonts w:eastAsia="Times New Roman"/>
          <w:noProof/>
        </w:rPr>
        <w:t xml:space="preserve"> is particularly releva</w:t>
      </w:r>
      <w:r w:rsidR="009315AE" w:rsidRPr="00DE264C">
        <w:rPr>
          <w:rFonts w:eastAsia="Times New Roman"/>
          <w:noProof/>
        </w:rPr>
        <w:t>n</w:t>
      </w:r>
      <w:r w:rsidR="00490DDA" w:rsidRPr="00DE264C">
        <w:rPr>
          <w:rFonts w:eastAsia="Times New Roman"/>
          <w:noProof/>
        </w:rPr>
        <w:t xml:space="preserve">t </w:t>
      </w:r>
      <w:r w:rsidR="005B152C" w:rsidRPr="00DE264C">
        <w:rPr>
          <w:rFonts w:eastAsia="Times New Roman"/>
          <w:noProof/>
        </w:rPr>
        <w:t xml:space="preserve">in </w:t>
      </w:r>
      <w:r w:rsidR="009315AE" w:rsidRPr="00DE264C">
        <w:rPr>
          <w:rFonts w:eastAsia="Times New Roman"/>
          <w:noProof/>
        </w:rPr>
        <w:t>market</w:t>
      </w:r>
      <w:r w:rsidR="009B14A8" w:rsidRPr="00DE264C">
        <w:rPr>
          <w:rFonts w:eastAsia="Times New Roman"/>
          <w:noProof/>
        </w:rPr>
        <w:t>s</w:t>
      </w:r>
      <w:r w:rsidR="009315AE" w:rsidRPr="00DE264C">
        <w:rPr>
          <w:rFonts w:eastAsia="Times New Roman"/>
          <w:noProof/>
        </w:rPr>
        <w:t xml:space="preserve"> characterised by big LEO constellations</w:t>
      </w:r>
      <w:r w:rsidR="009B14A8" w:rsidRPr="00DE264C">
        <w:rPr>
          <w:rFonts w:eastAsia="Times New Roman"/>
          <w:noProof/>
        </w:rPr>
        <w:t>,</w:t>
      </w:r>
      <w:r w:rsidR="00C555F9" w:rsidRPr="00DE264C">
        <w:rPr>
          <w:rFonts w:eastAsia="Times New Roman"/>
          <w:noProof/>
        </w:rPr>
        <w:t xml:space="preserve"> where</w:t>
      </w:r>
      <w:r w:rsidR="00F247B4" w:rsidRPr="00DE264C">
        <w:rPr>
          <w:rFonts w:eastAsia="Times New Roman"/>
          <w:noProof/>
        </w:rPr>
        <w:t xml:space="preserve"> interference issues are likely to increase in the next years. </w:t>
      </w:r>
    </w:p>
    <w:p w14:paraId="17AE5466" w14:textId="627975B7" w:rsidR="00190FC9" w:rsidRPr="00DE264C" w:rsidRDefault="003141E2" w:rsidP="00DE7CC1">
      <w:pPr>
        <w:spacing w:line="240" w:lineRule="auto"/>
        <w:rPr>
          <w:rFonts w:eastAsia="Times New Roman"/>
          <w:noProof/>
        </w:rPr>
      </w:pPr>
      <w:r w:rsidRPr="00DE264C">
        <w:rPr>
          <w:rFonts w:eastAsia="Times New Roman"/>
          <w:noProof/>
        </w:rPr>
        <w:t>(</w:t>
      </w:r>
      <w:r w:rsidR="00163D7E" w:rsidRPr="00DE264C">
        <w:rPr>
          <w:rFonts w:eastAsia="Times New Roman"/>
          <w:noProof/>
        </w:rPr>
        <w:t>iv</w:t>
      </w:r>
      <w:r w:rsidRPr="00DE264C">
        <w:rPr>
          <w:rFonts w:eastAsia="Times New Roman"/>
          <w:noProof/>
        </w:rPr>
        <w:t xml:space="preserve">) Users of Satellite communication services would </w:t>
      </w:r>
      <w:r w:rsidRPr="00FE0037">
        <w:rPr>
          <w:rFonts w:eastAsia="Times New Roman"/>
          <w:noProof/>
        </w:rPr>
        <w:t xml:space="preserve">fully benefit from the consumer surplus </w:t>
      </w:r>
      <w:r w:rsidR="009B14A8" w:rsidRPr="00FE0037">
        <w:rPr>
          <w:rFonts w:eastAsia="Times New Roman"/>
          <w:noProof/>
        </w:rPr>
        <w:t xml:space="preserve">thanks </w:t>
      </w:r>
      <w:r w:rsidRPr="00FE0037">
        <w:rPr>
          <w:rFonts w:eastAsia="Times New Roman"/>
          <w:noProof/>
        </w:rPr>
        <w:t>to timely availability of services and reduced legal uncertainty</w:t>
      </w:r>
      <w:r w:rsidR="001D5ACB" w:rsidRPr="00FE0037">
        <w:rPr>
          <w:rFonts w:eastAsia="Times New Roman"/>
          <w:noProof/>
        </w:rPr>
        <w:t xml:space="preserve">, </w:t>
      </w:r>
      <w:r w:rsidR="001D5ACB" w:rsidRPr="00DE264C">
        <w:rPr>
          <w:rFonts w:eastAsia="Times New Roman"/>
          <w:noProof/>
        </w:rPr>
        <w:t>without coverage gaps in some MS</w:t>
      </w:r>
      <w:r w:rsidRPr="00DE264C">
        <w:rPr>
          <w:rFonts w:eastAsia="Times New Roman"/>
          <w:noProof/>
        </w:rPr>
        <w:t xml:space="preserve">. </w:t>
      </w:r>
      <w:r w:rsidR="0066745F" w:rsidRPr="00DE264C">
        <w:rPr>
          <w:rFonts w:eastAsia="Times New Roman"/>
          <w:noProof/>
        </w:rPr>
        <w:t xml:space="preserve">If the satellite communication service provider is not authorised to offer the service, consumers cannot purchase or use it. </w:t>
      </w:r>
      <w:r w:rsidR="009A24FC" w:rsidRPr="00DE264C">
        <w:rPr>
          <w:rFonts w:eastAsia="Times New Roman"/>
          <w:noProof/>
        </w:rPr>
        <w:t>T</w:t>
      </w:r>
      <w:r w:rsidR="00190FC9" w:rsidRPr="00DE264C">
        <w:rPr>
          <w:rFonts w:eastAsia="Times New Roman"/>
          <w:noProof/>
        </w:rPr>
        <w:t xml:space="preserve">here will always be a loss of surplus when a satellite communication service provider lacks authorisation to deliver its service, but the net loss of consumer surplus might be </w:t>
      </w:r>
      <w:r w:rsidR="003B5F11" w:rsidRPr="00DE264C">
        <w:rPr>
          <w:rFonts w:eastAsia="Times New Roman"/>
          <w:noProof/>
        </w:rPr>
        <w:t>higher or lower</w:t>
      </w:r>
      <w:r w:rsidR="00190FC9" w:rsidRPr="00DE264C">
        <w:rPr>
          <w:rFonts w:eastAsia="Times New Roman"/>
          <w:noProof/>
        </w:rPr>
        <w:t xml:space="preserve"> than the loss of revenue to the satellite communication service provider</w:t>
      </w:r>
      <w:r w:rsidR="00501142" w:rsidRPr="00DE264C">
        <w:rPr>
          <w:rFonts w:eastAsia="Times New Roman"/>
          <w:noProof/>
        </w:rPr>
        <w:t xml:space="preserve">, depending on </w:t>
      </w:r>
      <w:r w:rsidR="00F54B89" w:rsidRPr="00DE264C">
        <w:rPr>
          <w:rFonts w:eastAsia="Times New Roman"/>
          <w:noProof/>
        </w:rPr>
        <w:t>availability or not of substitute services</w:t>
      </w:r>
      <w:r w:rsidR="00190FC9" w:rsidRPr="00DE264C">
        <w:rPr>
          <w:rFonts w:eastAsia="Times New Roman"/>
          <w:noProof/>
        </w:rPr>
        <w:t>.</w:t>
      </w:r>
    </w:p>
    <w:p w14:paraId="47B192C0" w14:textId="0E65417D" w:rsidR="00D76ED1" w:rsidRPr="00DE264C" w:rsidRDefault="0099328D" w:rsidP="00DE7CC1">
      <w:pPr>
        <w:spacing w:line="240" w:lineRule="auto"/>
        <w:rPr>
          <w:rFonts w:eastAsia="Times New Roman"/>
          <w:noProof/>
          <w:lang w:val="en-IE"/>
        </w:rPr>
      </w:pPr>
      <w:r w:rsidRPr="00DE264C">
        <w:rPr>
          <w:rFonts w:eastAsia="Times New Roman"/>
          <w:noProof/>
        </w:rPr>
        <w:t xml:space="preserve">Even if investment decisions </w:t>
      </w:r>
      <w:r w:rsidR="00AF21BB" w:rsidRPr="00DE264C">
        <w:rPr>
          <w:rFonts w:eastAsia="Times New Roman"/>
          <w:noProof/>
        </w:rPr>
        <w:t>about l</w:t>
      </w:r>
      <w:r w:rsidR="2316EFB0" w:rsidRPr="00DE264C">
        <w:rPr>
          <w:rFonts w:eastAsia="Times New Roman"/>
          <w:noProof/>
        </w:rPr>
        <w:t>a</w:t>
      </w:r>
      <w:r w:rsidR="00AF21BB" w:rsidRPr="00DE264C">
        <w:rPr>
          <w:rFonts w:eastAsia="Times New Roman"/>
          <w:noProof/>
        </w:rPr>
        <w:t xml:space="preserve">unching services/operations are not taken based on </w:t>
      </w:r>
      <w:r w:rsidR="00B40061" w:rsidRPr="00DE264C">
        <w:rPr>
          <w:rFonts w:eastAsia="Times New Roman"/>
          <w:noProof/>
        </w:rPr>
        <w:t>initial</w:t>
      </w:r>
      <w:r w:rsidR="00AF21BB" w:rsidRPr="00DE264C">
        <w:rPr>
          <w:rFonts w:eastAsia="Times New Roman"/>
          <w:noProof/>
        </w:rPr>
        <w:t xml:space="preserve"> general authorisation or licensing requirements</w:t>
      </w:r>
      <w:r w:rsidR="00B40061" w:rsidRPr="00DE264C">
        <w:rPr>
          <w:rFonts w:eastAsia="Times New Roman"/>
          <w:noProof/>
        </w:rPr>
        <w:t>,</w:t>
      </w:r>
      <w:r w:rsidR="00AF21BB" w:rsidRPr="00DE264C">
        <w:rPr>
          <w:rFonts w:eastAsia="Times New Roman"/>
          <w:noProof/>
        </w:rPr>
        <w:t xml:space="preserve"> </w:t>
      </w:r>
      <w:r w:rsidR="00375068">
        <w:rPr>
          <w:noProof/>
        </w:rPr>
        <w:t>o</w:t>
      </w:r>
      <w:r w:rsidR="006A22B1" w:rsidRPr="00A03164">
        <w:rPr>
          <w:noProof/>
        </w:rPr>
        <w:t xml:space="preserve">ption </w:t>
      </w:r>
      <w:r w:rsidR="0085219A" w:rsidRPr="00A03164">
        <w:rPr>
          <w:noProof/>
        </w:rPr>
        <w:t xml:space="preserve">2 could </w:t>
      </w:r>
      <w:r w:rsidR="006668E7" w:rsidRPr="00A03164">
        <w:rPr>
          <w:noProof/>
        </w:rPr>
        <w:t>overall</w:t>
      </w:r>
      <w:r w:rsidR="0085219A" w:rsidRPr="00A03164">
        <w:rPr>
          <w:noProof/>
        </w:rPr>
        <w:t xml:space="preserve"> facilitate </w:t>
      </w:r>
      <w:r w:rsidR="00EE5F96" w:rsidRPr="00A03164">
        <w:rPr>
          <w:noProof/>
        </w:rPr>
        <w:t>p</w:t>
      </w:r>
      <w:r w:rsidR="002B5796" w:rsidRPr="00A03164">
        <w:rPr>
          <w:noProof/>
        </w:rPr>
        <w:t>an-</w:t>
      </w:r>
      <w:r w:rsidR="00D230DF" w:rsidRPr="00A03164">
        <w:rPr>
          <w:noProof/>
        </w:rPr>
        <w:t>European</w:t>
      </w:r>
      <w:r w:rsidR="002B5796" w:rsidRPr="00A03164">
        <w:rPr>
          <w:noProof/>
        </w:rPr>
        <w:t xml:space="preserve"> services</w:t>
      </w:r>
      <w:r w:rsidR="00E1669A" w:rsidRPr="00A03164">
        <w:rPr>
          <w:noProof/>
        </w:rPr>
        <w:t xml:space="preserve">, especially in the cases </w:t>
      </w:r>
      <w:r w:rsidR="00C520D7" w:rsidRPr="00A03164">
        <w:rPr>
          <w:noProof/>
        </w:rPr>
        <w:t xml:space="preserve">of spectrum scarcity </w:t>
      </w:r>
      <w:r w:rsidR="006910AF" w:rsidRPr="00A03164">
        <w:rPr>
          <w:noProof/>
        </w:rPr>
        <w:t>w</w:t>
      </w:r>
      <w:r w:rsidR="003D4ADB" w:rsidRPr="00A03164">
        <w:rPr>
          <w:noProof/>
        </w:rPr>
        <w:t>here</w:t>
      </w:r>
      <w:r w:rsidR="0085219A" w:rsidRPr="00A03164">
        <w:rPr>
          <w:noProof/>
        </w:rPr>
        <w:t xml:space="preserve"> </w:t>
      </w:r>
      <w:r w:rsidR="006063CD" w:rsidRPr="00A03164">
        <w:rPr>
          <w:noProof/>
        </w:rPr>
        <w:t xml:space="preserve">a </w:t>
      </w:r>
      <w:r w:rsidR="003D4ADB" w:rsidRPr="00A03164">
        <w:rPr>
          <w:noProof/>
        </w:rPr>
        <w:t>S</w:t>
      </w:r>
      <w:r w:rsidR="006063CD" w:rsidRPr="00A03164">
        <w:rPr>
          <w:noProof/>
        </w:rPr>
        <w:t xml:space="preserve">ingle </w:t>
      </w:r>
      <w:r w:rsidR="003D4ADB" w:rsidRPr="00A03164">
        <w:rPr>
          <w:noProof/>
        </w:rPr>
        <w:t>M</w:t>
      </w:r>
      <w:r w:rsidR="006063CD" w:rsidRPr="00A03164">
        <w:rPr>
          <w:noProof/>
        </w:rPr>
        <w:t xml:space="preserve">arket approach </w:t>
      </w:r>
      <w:r w:rsidR="002A15F2" w:rsidRPr="00A03164">
        <w:rPr>
          <w:noProof/>
        </w:rPr>
        <w:t>from selection to authorisation</w:t>
      </w:r>
      <w:r w:rsidR="006910AF" w:rsidRPr="00A03164">
        <w:rPr>
          <w:noProof/>
        </w:rPr>
        <w:t xml:space="preserve"> </w:t>
      </w:r>
      <w:r w:rsidR="007701BF" w:rsidRPr="00A03164">
        <w:rPr>
          <w:noProof/>
        </w:rPr>
        <w:t>and enforcement</w:t>
      </w:r>
      <w:r w:rsidRPr="00A03164">
        <w:rPr>
          <w:noProof/>
        </w:rPr>
        <w:t xml:space="preserve"> </w:t>
      </w:r>
      <w:r w:rsidR="003D4ADB" w:rsidRPr="00A03164">
        <w:rPr>
          <w:noProof/>
        </w:rPr>
        <w:t xml:space="preserve">would </w:t>
      </w:r>
      <w:r w:rsidR="006910AF" w:rsidRPr="00A03164">
        <w:rPr>
          <w:noProof/>
        </w:rPr>
        <w:t>facilitat</w:t>
      </w:r>
      <w:r w:rsidR="003D4ADB" w:rsidRPr="00A03164">
        <w:rPr>
          <w:noProof/>
        </w:rPr>
        <w:t>e</w:t>
      </w:r>
      <w:r w:rsidRPr="00A03164">
        <w:rPr>
          <w:noProof/>
        </w:rPr>
        <w:t xml:space="preserve"> </w:t>
      </w:r>
      <w:r w:rsidR="0085219A" w:rsidRPr="00A03164">
        <w:rPr>
          <w:noProof/>
        </w:rPr>
        <w:t xml:space="preserve">the deployment and expansion of satellite technologies, which will play a major role in advancing digital transformation and connectivity across Europe. </w:t>
      </w:r>
    </w:p>
    <w:p w14:paraId="251F25E4" w14:textId="2F286118" w:rsidR="00337022" w:rsidRPr="00DE264C" w:rsidRDefault="003B6890" w:rsidP="00DE7CC1">
      <w:pPr>
        <w:spacing w:line="240" w:lineRule="auto"/>
        <w:rPr>
          <w:rFonts w:eastAsia="Times New Roman"/>
          <w:noProof/>
          <w:lang w:val="en-US"/>
        </w:rPr>
      </w:pPr>
      <w:r w:rsidRPr="00A03164">
        <w:rPr>
          <w:noProof/>
        </w:rPr>
        <w:t xml:space="preserve">As regards </w:t>
      </w:r>
      <w:r w:rsidRPr="00A03164">
        <w:rPr>
          <w:b/>
          <w:noProof/>
        </w:rPr>
        <w:t>costs,</w:t>
      </w:r>
      <w:r w:rsidRPr="00A03164">
        <w:rPr>
          <w:noProof/>
        </w:rPr>
        <w:t xml:space="preserve"> t</w:t>
      </w:r>
      <w:r w:rsidR="009F6FE5" w:rsidRPr="00A03164">
        <w:rPr>
          <w:noProof/>
        </w:rPr>
        <w:t>he shift from national to EU-level authorisation would result in substantial direct compliance costs for Member States and EU. Member States would undertake legal reforms,</w:t>
      </w:r>
      <w:r w:rsidR="00B13825" w:rsidRPr="00A03164">
        <w:rPr>
          <w:noProof/>
        </w:rPr>
        <w:t xml:space="preserve"> and the</w:t>
      </w:r>
      <w:r w:rsidR="009F6FE5" w:rsidRPr="00A03164">
        <w:rPr>
          <w:noProof/>
        </w:rPr>
        <w:t xml:space="preserve"> roles among national regulators, the Commission, the RSPG, and the COCOM would need to be redefined. This requires expanding administrative and technical capacities at EU level, which could be covered by administrative charges and fees.</w:t>
      </w:r>
      <w:r w:rsidR="009F6FE5" w:rsidRPr="00DE264C">
        <w:rPr>
          <w:rFonts w:eastAsia="Times New Roman"/>
          <w:noProof/>
        </w:rPr>
        <w:t xml:space="preserve"> For an assessment of </w:t>
      </w:r>
      <w:r w:rsidR="00AB4233" w:rsidRPr="00DE264C">
        <w:rPr>
          <w:rFonts w:eastAsia="Times New Roman"/>
          <w:noProof/>
        </w:rPr>
        <w:t>additional</w:t>
      </w:r>
      <w:r w:rsidR="009F6FE5" w:rsidRPr="00DE264C">
        <w:rPr>
          <w:rFonts w:eastAsia="Times New Roman"/>
          <w:noProof/>
        </w:rPr>
        <w:t xml:space="preserve"> FTEs </w:t>
      </w:r>
      <w:r w:rsidR="00AB4233" w:rsidRPr="00DE264C">
        <w:rPr>
          <w:rFonts w:eastAsia="Times New Roman"/>
          <w:noProof/>
        </w:rPr>
        <w:t>at EU level</w:t>
      </w:r>
      <w:r w:rsidR="009F6FE5" w:rsidRPr="00DE264C">
        <w:rPr>
          <w:rFonts w:eastAsia="Times New Roman"/>
          <w:noProof/>
        </w:rPr>
        <w:t xml:space="preserve"> for </w:t>
      </w:r>
      <w:r w:rsidR="00604C86" w:rsidRPr="00DE264C">
        <w:rPr>
          <w:noProof/>
        </w:rPr>
        <w:t>tasks related to EU satellite authorisations</w:t>
      </w:r>
      <w:r w:rsidR="00604C86" w:rsidRPr="00DE264C">
        <w:rPr>
          <w:rFonts w:eastAsia="Times New Roman"/>
          <w:noProof/>
        </w:rPr>
        <w:t xml:space="preserve"> </w:t>
      </w:r>
      <w:r w:rsidR="00FC03FE" w:rsidRPr="00DE264C">
        <w:rPr>
          <w:rFonts w:eastAsia="Times New Roman"/>
          <w:noProof/>
        </w:rPr>
        <w:t xml:space="preserve">see </w:t>
      </w:r>
      <w:r w:rsidR="00FE4047" w:rsidRPr="00DE264C">
        <w:rPr>
          <w:rFonts w:eastAsia="Times New Roman"/>
          <w:noProof/>
        </w:rPr>
        <w:t xml:space="preserve">Governance </w:t>
      </w:r>
      <w:r w:rsidR="007E0656">
        <w:rPr>
          <w:rFonts w:eastAsia="Times New Roman"/>
          <w:noProof/>
        </w:rPr>
        <w:t>S</w:t>
      </w:r>
      <w:r w:rsidR="00440740">
        <w:rPr>
          <w:rFonts w:eastAsia="Times New Roman"/>
          <w:noProof/>
        </w:rPr>
        <w:t>ection</w:t>
      </w:r>
      <w:r w:rsidR="00FE4047" w:rsidRPr="00DE264C">
        <w:rPr>
          <w:rFonts w:eastAsia="Times New Roman"/>
          <w:noProof/>
        </w:rPr>
        <w:t xml:space="preserve"> 6.4.</w:t>
      </w:r>
      <w:r w:rsidR="00604C86" w:rsidRPr="00DE264C">
        <w:rPr>
          <w:rFonts w:eastAsia="Times New Roman"/>
          <w:noProof/>
        </w:rPr>
        <w:t>1</w:t>
      </w:r>
      <w:r w:rsidR="00D9416C" w:rsidRPr="00DE264C">
        <w:rPr>
          <w:rFonts w:eastAsia="Times New Roman"/>
          <w:noProof/>
        </w:rPr>
        <w:t>.</w:t>
      </w:r>
      <w:r w:rsidR="00337022" w:rsidRPr="00A03164">
        <w:rPr>
          <w:noProof/>
        </w:rPr>
        <w:t xml:space="preserve"> Indirect costs could include institutional friction, alongside potential political and administrative resistance from some Member States over ceding authority on spectrum rights.</w:t>
      </w:r>
      <w:r w:rsidR="00337022" w:rsidRPr="00A03164">
        <w:rPr>
          <w:b/>
          <w:noProof/>
        </w:rPr>
        <w:t xml:space="preserve"> </w:t>
      </w:r>
      <w:r w:rsidR="005E2A2E" w:rsidRPr="00A03164">
        <w:rPr>
          <w:noProof/>
        </w:rPr>
        <w:t>For additional analysis</w:t>
      </w:r>
      <w:r w:rsidR="51C0C8FB" w:rsidRPr="00A03164">
        <w:rPr>
          <w:noProof/>
        </w:rPr>
        <w:t>,</w:t>
      </w:r>
      <w:r w:rsidR="005E2A2E" w:rsidRPr="00A03164">
        <w:rPr>
          <w:noProof/>
        </w:rPr>
        <w:t xml:space="preserve"> see Annex 9</w:t>
      </w:r>
      <w:r w:rsidR="00FF074B" w:rsidRPr="00A03164">
        <w:rPr>
          <w:noProof/>
        </w:rPr>
        <w:t>.</w:t>
      </w:r>
    </w:p>
    <w:p w14:paraId="3555AA13" w14:textId="4B32A2B3" w:rsidR="003141E2" w:rsidRPr="00DE264C" w:rsidRDefault="003141E2" w:rsidP="00DE7CC1">
      <w:pPr>
        <w:spacing w:line="240" w:lineRule="auto"/>
        <w:rPr>
          <w:rFonts w:eastAsia="Times New Roman"/>
          <w:noProof/>
          <w:lang w:val="en-US"/>
        </w:rPr>
      </w:pPr>
      <w:r w:rsidRPr="00DE264C">
        <w:rPr>
          <w:rFonts w:eastAsia="Times New Roman"/>
          <w:noProof/>
          <w:lang w:val="en-US"/>
        </w:rPr>
        <w:t xml:space="preserve">As regards </w:t>
      </w:r>
      <w:r w:rsidRPr="40318B36">
        <w:rPr>
          <w:rFonts w:eastAsia="Times New Roman"/>
          <w:b/>
          <w:bCs/>
          <w:noProof/>
          <w:lang w:val="en-US"/>
        </w:rPr>
        <w:t>social impact</w:t>
      </w:r>
      <w:r w:rsidRPr="00DE264C">
        <w:rPr>
          <w:rFonts w:eastAsia="Times New Roman"/>
          <w:noProof/>
          <w:lang w:val="en-US"/>
        </w:rPr>
        <w:t>, satellite services can fill the connectivity gap in unserved areas</w:t>
      </w:r>
      <w:r w:rsidRPr="00DE264C">
        <w:rPr>
          <w:rFonts w:eastAsia="Times New Roman"/>
          <w:noProof/>
          <w:vertAlign w:val="superscript"/>
          <w:lang w:val="en-US"/>
        </w:rPr>
        <w:footnoteReference w:id="260"/>
      </w:r>
      <w:r w:rsidR="78F755ED" w:rsidRPr="00DE264C">
        <w:rPr>
          <w:rFonts w:eastAsia="Times New Roman"/>
          <w:noProof/>
          <w:vertAlign w:val="superscript"/>
          <w:lang w:val="en-US"/>
        </w:rPr>
        <w:t xml:space="preserve"> </w:t>
      </w:r>
      <w:r w:rsidRPr="00DE264C">
        <w:rPr>
          <w:rFonts w:eastAsia="Times New Roman"/>
          <w:noProof/>
          <w:lang w:val="en-US"/>
        </w:rPr>
        <w:t xml:space="preserve">where terrestrial roll-out is not technically or economically viable. They can enhance the provision and resilience of public services and contribute to public safety, environmental monitoring, and civil protection and enable digital inclusion and wider access to e-health, distance education, </w:t>
      </w:r>
      <w:r w:rsidR="00BC0D60" w:rsidRPr="00DE264C">
        <w:rPr>
          <w:rFonts w:eastAsia="Times New Roman"/>
          <w:noProof/>
          <w:lang w:val="en-US"/>
        </w:rPr>
        <w:t>and</w:t>
      </w:r>
      <w:r w:rsidRPr="00DE264C">
        <w:rPr>
          <w:rFonts w:eastAsia="Times New Roman"/>
          <w:noProof/>
          <w:lang w:val="en-US"/>
        </w:rPr>
        <w:t xml:space="preserve"> e-government services. </w:t>
      </w:r>
    </w:p>
    <w:p w14:paraId="1C6555E0" w14:textId="66D22FFF" w:rsidR="5E941906" w:rsidRPr="00DE264C" w:rsidRDefault="5E941906" w:rsidP="00DE7CC1">
      <w:pPr>
        <w:spacing w:line="240" w:lineRule="auto"/>
        <w:rPr>
          <w:noProof/>
        </w:rPr>
      </w:pPr>
      <w:r w:rsidRPr="00A03164">
        <w:rPr>
          <w:noProof/>
        </w:rPr>
        <w:t xml:space="preserve">Option 2 promotes </w:t>
      </w:r>
      <w:r w:rsidRPr="00A03164">
        <w:rPr>
          <w:b/>
          <w:noProof/>
        </w:rPr>
        <w:t>digitalisation</w:t>
      </w:r>
      <w:r w:rsidRPr="00A03164">
        <w:rPr>
          <w:noProof/>
        </w:rPr>
        <w:t xml:space="preserve"> thanks to a </w:t>
      </w:r>
      <w:r w:rsidR="00687248" w:rsidRPr="00A03164">
        <w:rPr>
          <w:noProof/>
        </w:rPr>
        <w:t>centralized</w:t>
      </w:r>
      <w:r w:rsidRPr="00A03164">
        <w:rPr>
          <w:noProof/>
        </w:rPr>
        <w:t xml:space="preserve"> </w:t>
      </w:r>
      <w:r w:rsidR="003218E9" w:rsidRPr="00A03164">
        <w:rPr>
          <w:noProof/>
        </w:rPr>
        <w:t>satellite authori</w:t>
      </w:r>
      <w:r w:rsidR="00592A92" w:rsidRPr="00A03164">
        <w:rPr>
          <w:noProof/>
        </w:rPr>
        <w:t>s</w:t>
      </w:r>
      <w:r w:rsidR="003218E9" w:rsidRPr="00A03164">
        <w:rPr>
          <w:noProof/>
        </w:rPr>
        <w:t>ation system</w:t>
      </w:r>
      <w:r w:rsidRPr="00A03164">
        <w:rPr>
          <w:noProof/>
        </w:rPr>
        <w:t xml:space="preserve"> which reduce administrative burdens and compliance costs for satellite operators, </w:t>
      </w:r>
      <w:r w:rsidR="003218E9" w:rsidRPr="00A03164">
        <w:rPr>
          <w:noProof/>
        </w:rPr>
        <w:t>including SMEs</w:t>
      </w:r>
      <w:r w:rsidRPr="00A03164">
        <w:rPr>
          <w:noProof/>
        </w:rPr>
        <w:t xml:space="preserve">, while enabling faster market entry and deployment of electronic communications networks and services. The measure contributes to a more connected and efficient digital single market across Europe. </w:t>
      </w:r>
      <w:r w:rsidR="000E31A5" w:rsidRPr="00A03164">
        <w:rPr>
          <w:noProof/>
        </w:rPr>
        <w:t>It</w:t>
      </w:r>
      <w:r w:rsidRPr="00A03164">
        <w:rPr>
          <w:noProof/>
        </w:rPr>
        <w:t xml:space="preserve"> further promotes </w:t>
      </w:r>
      <w:r w:rsidR="00CD1C29" w:rsidRPr="00A03164">
        <w:rPr>
          <w:noProof/>
        </w:rPr>
        <w:t>D2D</w:t>
      </w:r>
      <w:r w:rsidRPr="00A03164">
        <w:rPr>
          <w:noProof/>
        </w:rPr>
        <w:t xml:space="preserve">, accelerating digital transformation across Europe. </w:t>
      </w:r>
    </w:p>
    <w:p w14:paraId="6B5ABE17" w14:textId="128A5E77" w:rsidR="00C07B5F" w:rsidRDefault="00107ADF" w:rsidP="00DE7CC1">
      <w:pPr>
        <w:spacing w:line="240" w:lineRule="auto"/>
        <w:rPr>
          <w:rFonts w:eastAsia="Times New Roman"/>
          <w:noProof/>
          <w:color w:val="000000" w:themeColor="text1"/>
          <w:lang w:val="en-US"/>
        </w:rPr>
      </w:pPr>
      <w:r w:rsidRPr="00DE264C">
        <w:rPr>
          <w:rFonts w:eastAsia="Times New Roman"/>
          <w:b/>
          <w:bCs/>
          <w:noProof/>
          <w:color w:val="000000" w:themeColor="text1"/>
          <w:lang w:val="en-IE"/>
        </w:rPr>
        <w:t>As regards the i</w:t>
      </w:r>
      <w:r w:rsidR="5E941906" w:rsidRPr="00DE264C">
        <w:rPr>
          <w:rFonts w:eastAsia="Times New Roman"/>
          <w:b/>
          <w:bCs/>
          <w:noProof/>
          <w:color w:val="000000" w:themeColor="text1"/>
          <w:lang w:val="en-IE"/>
        </w:rPr>
        <w:t xml:space="preserve">mpact on </w:t>
      </w:r>
      <w:r w:rsidR="30F9302B" w:rsidRPr="00DE264C">
        <w:rPr>
          <w:rFonts w:eastAsia="Times New Roman"/>
          <w:b/>
          <w:bCs/>
          <w:noProof/>
          <w:color w:val="000000" w:themeColor="text1"/>
          <w:lang w:val="en-IE"/>
        </w:rPr>
        <w:t>the</w:t>
      </w:r>
      <w:r w:rsidR="5E941906" w:rsidRPr="00DE264C">
        <w:rPr>
          <w:rFonts w:eastAsia="Times New Roman"/>
          <w:b/>
          <w:bCs/>
          <w:noProof/>
          <w:color w:val="000000" w:themeColor="text1"/>
          <w:lang w:val="en-IE"/>
        </w:rPr>
        <w:t xml:space="preserve"> environment</w:t>
      </w:r>
      <w:r w:rsidR="5E941906" w:rsidRPr="00DE264C">
        <w:rPr>
          <w:rFonts w:eastAsia="Times New Roman"/>
          <w:noProof/>
          <w:color w:val="000000" w:themeColor="text1"/>
          <w:lang w:val="en-IE"/>
        </w:rPr>
        <w:t xml:space="preserve"> </w:t>
      </w:r>
      <w:r w:rsidR="00687248">
        <w:rPr>
          <w:rFonts w:eastAsia="Times New Roman"/>
          <w:noProof/>
          <w:color w:val="000000" w:themeColor="text1"/>
        </w:rPr>
        <w:t>i</w:t>
      </w:r>
      <w:r w:rsidR="00412CC0" w:rsidRPr="00DE264C">
        <w:rPr>
          <w:rFonts w:eastAsia="Times New Roman"/>
          <w:noProof/>
          <w:color w:val="000000" w:themeColor="text1"/>
        </w:rPr>
        <w:t xml:space="preserve">n terms of </w:t>
      </w:r>
      <w:r w:rsidR="00FE3AB3" w:rsidRPr="00FE0037">
        <w:rPr>
          <w:rFonts w:eastAsia="Times New Roman"/>
          <w:noProof/>
          <w:color w:val="000000" w:themeColor="text1"/>
        </w:rPr>
        <w:t>satellite</w:t>
      </w:r>
      <w:r w:rsidR="00412CC0" w:rsidRPr="00DE264C">
        <w:rPr>
          <w:rFonts w:eastAsia="Times New Roman"/>
          <w:noProof/>
          <w:color w:val="000000" w:themeColor="text1"/>
        </w:rPr>
        <w:t xml:space="preserve"> </w:t>
      </w:r>
      <w:r w:rsidR="00412CC0" w:rsidRPr="00FE0037">
        <w:rPr>
          <w:rFonts w:eastAsia="Times New Roman"/>
          <w:noProof/>
          <w:color w:val="000000" w:themeColor="text1"/>
        </w:rPr>
        <w:t>services,</w:t>
      </w:r>
      <w:r w:rsidR="00412CC0" w:rsidRPr="00DE264C">
        <w:rPr>
          <w:rFonts w:eastAsia="Times New Roman"/>
          <w:noProof/>
          <w:color w:val="000000" w:themeColor="text1"/>
        </w:rPr>
        <w:t xml:space="preserve"> </w:t>
      </w:r>
      <w:r w:rsidR="00412CC0" w:rsidRPr="00DE264C">
        <w:rPr>
          <w:rFonts w:eastAsia="Times New Roman"/>
          <w:noProof/>
          <w:color w:val="000000" w:themeColor="text1"/>
          <w:lang w:val="en-IE"/>
        </w:rPr>
        <w:t>g</w:t>
      </w:r>
      <w:r w:rsidR="5E941906" w:rsidRPr="00DE264C">
        <w:rPr>
          <w:rFonts w:eastAsia="Times New Roman"/>
          <w:noProof/>
          <w:color w:val="000000" w:themeColor="text1"/>
          <w:lang w:val="en-IE"/>
        </w:rPr>
        <w:t>reater availability of pan-European services might further enable and ensure scale for satellite based environmentally beneficial services</w:t>
      </w:r>
      <w:r w:rsidR="001C2845" w:rsidRPr="00DE264C">
        <w:rPr>
          <w:rStyle w:val="FootnoteReference"/>
          <w:rFonts w:eastAsia="Times New Roman"/>
          <w:noProof/>
          <w:color w:val="000000" w:themeColor="text1"/>
          <w:lang w:val="en-IE"/>
        </w:rPr>
        <w:footnoteReference w:id="261"/>
      </w:r>
      <w:r w:rsidR="5E941906" w:rsidRPr="00DE264C">
        <w:rPr>
          <w:rFonts w:eastAsia="Times New Roman"/>
          <w:noProof/>
          <w:color w:val="000000" w:themeColor="text1"/>
          <w:lang w:val="en-IE"/>
        </w:rPr>
        <w:t>.</w:t>
      </w:r>
      <w:r w:rsidR="008E2D0F" w:rsidRPr="00DE264C">
        <w:rPr>
          <w:rFonts w:eastAsia="Times New Roman"/>
          <w:noProof/>
          <w:color w:val="000000" w:themeColor="text1"/>
          <w:lang w:val="en-IE"/>
        </w:rPr>
        <w:t xml:space="preserve"> </w:t>
      </w:r>
      <w:r w:rsidR="008E2D0F" w:rsidRPr="00DE264C">
        <w:rPr>
          <w:rFonts w:eastAsia="Times New Roman"/>
          <w:noProof/>
          <w:color w:val="000000" w:themeColor="text1"/>
          <w:lang w:val="en-US"/>
        </w:rPr>
        <w:t>I</w:t>
      </w:r>
      <w:r w:rsidR="00B34A36" w:rsidRPr="00DE264C">
        <w:rPr>
          <w:rFonts w:eastAsia="Times New Roman"/>
          <w:noProof/>
          <w:color w:val="000000" w:themeColor="text1"/>
          <w:lang w:val="en-US"/>
        </w:rPr>
        <w:t xml:space="preserve">n </w:t>
      </w:r>
      <w:r w:rsidR="004A5BDA" w:rsidRPr="00DE264C">
        <w:rPr>
          <w:rFonts w:eastAsia="Times New Roman"/>
          <w:noProof/>
          <w:color w:val="000000" w:themeColor="text1"/>
          <w:lang w:val="en-US"/>
        </w:rPr>
        <w:t>terms of</w:t>
      </w:r>
      <w:r w:rsidR="00412CC0" w:rsidRPr="00DE264C">
        <w:rPr>
          <w:rFonts w:eastAsia="Times New Roman"/>
          <w:noProof/>
          <w:color w:val="000000" w:themeColor="text1"/>
          <w:lang w:val="en-US"/>
        </w:rPr>
        <w:t xml:space="preserve"> </w:t>
      </w:r>
      <w:r w:rsidR="004A5BDA" w:rsidRPr="00FE0037">
        <w:rPr>
          <w:rFonts w:eastAsia="Times New Roman"/>
          <w:noProof/>
          <w:color w:val="000000" w:themeColor="text1"/>
          <w:lang w:val="en-US"/>
        </w:rPr>
        <w:t>infrastructu</w:t>
      </w:r>
      <w:r w:rsidR="004A5BDA" w:rsidRPr="00DE264C">
        <w:rPr>
          <w:rFonts w:eastAsia="Times New Roman"/>
          <w:noProof/>
          <w:color w:val="000000" w:themeColor="text1"/>
          <w:lang w:val="en-US"/>
        </w:rPr>
        <w:t>re</w:t>
      </w:r>
      <w:r w:rsidR="00FD095C" w:rsidRPr="00DE264C">
        <w:rPr>
          <w:rFonts w:eastAsia="Times New Roman"/>
          <w:noProof/>
          <w:color w:val="000000" w:themeColor="text1"/>
          <w:lang w:val="en-US"/>
        </w:rPr>
        <w:t>,</w:t>
      </w:r>
      <w:r w:rsidR="004A5BDA" w:rsidRPr="00DE264C">
        <w:rPr>
          <w:rFonts w:eastAsia="Times New Roman"/>
          <w:noProof/>
          <w:color w:val="000000" w:themeColor="text1"/>
          <w:lang w:val="en-US"/>
        </w:rPr>
        <w:t xml:space="preserve"> </w:t>
      </w:r>
      <w:r w:rsidR="00C07B5F" w:rsidRPr="00DE264C">
        <w:rPr>
          <w:rFonts w:eastAsia="Times New Roman"/>
          <w:noProof/>
          <w:color w:val="000000" w:themeColor="text1"/>
          <w:lang w:val="en-US"/>
        </w:rPr>
        <w:t>satellite systems do not require extensive terrestrial infrastructure</w:t>
      </w:r>
      <w:r w:rsidR="004A5BDA" w:rsidRPr="00DE264C">
        <w:rPr>
          <w:rFonts w:eastAsia="Times New Roman"/>
          <w:noProof/>
          <w:color w:val="000000" w:themeColor="text1"/>
          <w:lang w:val="en-US"/>
        </w:rPr>
        <w:t>, therefore</w:t>
      </w:r>
      <w:r w:rsidR="00C07B5F" w:rsidRPr="00DE264C">
        <w:rPr>
          <w:rFonts w:eastAsia="Times New Roman"/>
          <w:noProof/>
          <w:color w:val="000000" w:themeColor="text1"/>
          <w:lang w:val="en-US"/>
        </w:rPr>
        <w:t xml:space="preserve"> satellite broadband may represent a less invasive and more environmentally benign alternative to large-scale physical deployment of cables, towers, or roadside base stations, especially in remote or environmentally sensitive areas. However, the environmental sustainability of satellite connectivity also depends on factors such as satellite manufacturing, launch activities, orbital lifetime, energy consumption during operation, and end-of-life disposal. </w:t>
      </w:r>
      <w:r w:rsidR="00477550" w:rsidRPr="00DE264C">
        <w:rPr>
          <w:rFonts w:eastAsia="Times New Roman"/>
          <w:noProof/>
          <w:color w:val="000000" w:themeColor="text1"/>
          <w:lang w:val="en-US"/>
        </w:rPr>
        <w:t>As an example, the c</w:t>
      </w:r>
      <w:r w:rsidR="00C07B5F" w:rsidRPr="00DE264C">
        <w:rPr>
          <w:rFonts w:eastAsia="Times New Roman"/>
          <w:noProof/>
          <w:color w:val="000000" w:themeColor="text1"/>
          <w:lang w:val="en-US"/>
        </w:rPr>
        <w:t xml:space="preserve">arbon footprint of LEO </w:t>
      </w:r>
      <w:r w:rsidR="0025384D" w:rsidRPr="00DE264C">
        <w:rPr>
          <w:rFonts w:eastAsia="Times New Roman"/>
          <w:noProof/>
          <w:color w:val="000000" w:themeColor="text1"/>
          <w:lang w:val="en-US"/>
        </w:rPr>
        <w:t>satellite-</w:t>
      </w:r>
      <w:r w:rsidR="29825415" w:rsidRPr="00DE264C">
        <w:rPr>
          <w:rFonts w:eastAsia="Times New Roman"/>
          <w:noProof/>
          <w:color w:val="000000" w:themeColor="text1"/>
          <w:lang w:val="en-US"/>
        </w:rPr>
        <w:t>based</w:t>
      </w:r>
      <w:r w:rsidR="00C07B5F" w:rsidRPr="00DE264C">
        <w:rPr>
          <w:rFonts w:eastAsia="Times New Roman"/>
          <w:noProof/>
          <w:color w:val="000000" w:themeColor="text1"/>
          <w:lang w:val="en-US"/>
        </w:rPr>
        <w:t xml:space="preserve"> broadband</w:t>
      </w:r>
      <w:r w:rsidR="00EB1311">
        <w:rPr>
          <w:rFonts w:eastAsia="Times New Roman"/>
          <w:noProof/>
          <w:color w:val="000000" w:themeColor="text1"/>
          <w:lang w:val="en-US"/>
        </w:rPr>
        <w:t xml:space="preserve"> </w:t>
      </w:r>
      <w:r w:rsidR="00EB1311" w:rsidRPr="00BF50BF">
        <w:rPr>
          <w:noProof/>
          <w:lang w:val="en-US"/>
        </w:rPr>
        <w:t>–</w:t>
      </w:r>
      <w:r w:rsidR="00EB1311">
        <w:rPr>
          <w:noProof/>
          <w:lang w:val="en-US"/>
        </w:rPr>
        <w:t xml:space="preserve"> </w:t>
      </w:r>
      <w:r w:rsidR="00C07B5F" w:rsidRPr="00DE264C">
        <w:rPr>
          <w:rFonts w:eastAsia="Times New Roman"/>
          <w:noProof/>
          <w:color w:val="000000" w:themeColor="text1"/>
          <w:lang w:val="en-US"/>
        </w:rPr>
        <w:t>when calculated per subscriber per year</w:t>
      </w:r>
      <w:r w:rsidR="00EB1311">
        <w:rPr>
          <w:rFonts w:eastAsia="Times New Roman"/>
          <w:noProof/>
          <w:color w:val="000000" w:themeColor="text1"/>
          <w:lang w:val="en-US"/>
        </w:rPr>
        <w:t xml:space="preserve"> </w:t>
      </w:r>
      <w:r w:rsidR="00EB1311" w:rsidRPr="00BF50BF">
        <w:rPr>
          <w:noProof/>
          <w:lang w:val="en-US"/>
        </w:rPr>
        <w:t>–</w:t>
      </w:r>
      <w:r w:rsidR="00EB1311">
        <w:rPr>
          <w:noProof/>
          <w:lang w:val="en-US"/>
        </w:rPr>
        <w:t xml:space="preserve"> </w:t>
      </w:r>
      <w:r w:rsidR="00C07B5F" w:rsidRPr="00DE264C">
        <w:rPr>
          <w:rFonts w:eastAsia="Times New Roman"/>
          <w:noProof/>
          <w:color w:val="000000" w:themeColor="text1"/>
          <w:lang w:val="en-US"/>
        </w:rPr>
        <w:t>may be significantly higher than that of terrestrial fibre or mobile networks. Depending on assumptions, emissions per user for LEO-based services could be between 100 kg and 469 kg CO₂eq annually, compared to around 60 kg CO₂eq for typical 4G mobile access.</w:t>
      </w:r>
      <w:r w:rsidR="00C07B5F" w:rsidRPr="00DE264C">
        <w:rPr>
          <w:rFonts w:eastAsia="Times New Roman"/>
          <w:noProof/>
          <w:color w:val="000000" w:themeColor="text1"/>
          <w:vertAlign w:val="superscript"/>
          <w:lang w:val="en-US"/>
        </w:rPr>
        <w:footnoteReference w:id="262"/>
      </w:r>
      <w:r w:rsidR="00C07B5F" w:rsidRPr="00DE264C">
        <w:rPr>
          <w:rFonts w:eastAsia="Times New Roman"/>
          <w:noProof/>
          <w:color w:val="000000" w:themeColor="text1"/>
          <w:lang w:val="en-US"/>
        </w:rPr>
        <w:t xml:space="preserve"> This is due in part to the energy intensity of manufacturing, frequent satellite launches to maintain constellations, and less efficient ground infrastructure. Future EU-wide satellite frameworks </w:t>
      </w:r>
      <w:r w:rsidR="00495885" w:rsidRPr="00DE264C">
        <w:rPr>
          <w:rFonts w:eastAsia="Times New Roman"/>
          <w:noProof/>
          <w:color w:val="000000" w:themeColor="text1"/>
          <w:lang w:val="en-US"/>
        </w:rPr>
        <w:t>as the Space Act,</w:t>
      </w:r>
      <w:r w:rsidR="00C07B5F" w:rsidRPr="00DE264C">
        <w:rPr>
          <w:rFonts w:eastAsia="Times New Roman"/>
          <w:noProof/>
          <w:color w:val="000000" w:themeColor="text1"/>
          <w:lang w:val="en-US"/>
        </w:rPr>
        <w:t xml:space="preserve"> could </w:t>
      </w:r>
      <w:r w:rsidR="00BA2D5D" w:rsidRPr="00DE264C">
        <w:rPr>
          <w:rFonts w:eastAsia="Times New Roman"/>
          <w:noProof/>
          <w:color w:val="000000" w:themeColor="text1"/>
          <w:lang w:val="en-US"/>
        </w:rPr>
        <w:t>however</w:t>
      </w:r>
      <w:r w:rsidR="00C07B5F" w:rsidRPr="00DE264C">
        <w:rPr>
          <w:rFonts w:eastAsia="Times New Roman"/>
          <w:noProof/>
          <w:color w:val="000000" w:themeColor="text1"/>
          <w:lang w:val="en-US"/>
        </w:rPr>
        <w:t xml:space="preserve"> incentivise more sustainable system design and operations </w:t>
      </w:r>
      <w:r w:rsidR="00CF13DF" w:rsidRPr="00DE264C">
        <w:rPr>
          <w:rFonts w:eastAsia="Times New Roman"/>
          <w:noProof/>
          <w:color w:val="000000" w:themeColor="text1"/>
          <w:lang w:val="en-US"/>
        </w:rPr>
        <w:t xml:space="preserve">reducing environmental impact </w:t>
      </w:r>
      <w:r w:rsidR="00C07B5F" w:rsidRPr="00DE264C">
        <w:rPr>
          <w:rFonts w:eastAsia="Times New Roman"/>
          <w:noProof/>
          <w:color w:val="000000" w:themeColor="text1"/>
          <w:lang w:val="en-US"/>
        </w:rPr>
        <w:t>of</w:t>
      </w:r>
      <w:r w:rsidR="00CF13DF" w:rsidRPr="00DE264C">
        <w:rPr>
          <w:rFonts w:eastAsia="Times New Roman"/>
          <w:noProof/>
          <w:color w:val="000000" w:themeColor="text1"/>
          <w:lang w:val="en-US"/>
        </w:rPr>
        <w:t xml:space="preserve"> space </w:t>
      </w:r>
      <w:r w:rsidR="00554556" w:rsidRPr="00DE264C">
        <w:rPr>
          <w:rFonts w:eastAsia="Times New Roman"/>
          <w:noProof/>
          <w:color w:val="000000" w:themeColor="text1"/>
          <w:lang w:val="en-US"/>
        </w:rPr>
        <w:t>activities</w:t>
      </w:r>
      <w:r w:rsidR="00C07B5F" w:rsidRPr="00DE264C">
        <w:rPr>
          <w:rFonts w:eastAsia="Times New Roman"/>
          <w:noProof/>
          <w:color w:val="000000" w:themeColor="text1"/>
          <w:lang w:val="en-US"/>
        </w:rPr>
        <w:t>.</w:t>
      </w:r>
    </w:p>
    <w:p w14:paraId="37430733" w14:textId="1F261035" w:rsidR="000D1C6F" w:rsidRPr="00292895" w:rsidRDefault="000D1C6F" w:rsidP="00DE7CC1">
      <w:pPr>
        <w:spacing w:line="240" w:lineRule="auto"/>
        <w:rPr>
          <w:rFonts w:eastAsia="Times New Roman"/>
          <w:noProof/>
          <w:color w:val="000000" w:themeColor="text1"/>
        </w:rPr>
      </w:pPr>
      <w:r>
        <w:rPr>
          <w:noProof/>
        </w:rPr>
        <w:t xml:space="preserve">Annex 3 includes indications on practical implications of the EU satellite authorisation measures for main stakeholders and Annex 3 </w:t>
      </w:r>
      <w:r w:rsidR="008C5BCC">
        <w:rPr>
          <w:noProof/>
        </w:rPr>
        <w:t>S</w:t>
      </w:r>
      <w:r w:rsidR="00440740">
        <w:rPr>
          <w:noProof/>
        </w:rPr>
        <w:t>ection</w:t>
      </w:r>
      <w:r>
        <w:rPr>
          <w:noProof/>
        </w:rPr>
        <w:t xml:space="preserve"> 2.</w:t>
      </w:r>
      <w:r w:rsidR="002A1343">
        <w:rPr>
          <w:noProof/>
        </w:rPr>
        <w:t>3</w:t>
      </w:r>
      <w:r>
        <w:rPr>
          <w:noProof/>
        </w:rPr>
        <w:t xml:space="preserve">. presents the main costs and benefits per stakeholder of </w:t>
      </w:r>
      <w:r w:rsidR="000A44AD">
        <w:rPr>
          <w:noProof/>
        </w:rPr>
        <w:t>o</w:t>
      </w:r>
      <w:r w:rsidR="00EB1311">
        <w:rPr>
          <w:noProof/>
        </w:rPr>
        <w:t xml:space="preserve">ption </w:t>
      </w:r>
      <w:r w:rsidR="00EF7128">
        <w:rPr>
          <w:noProof/>
        </w:rPr>
        <w:t>2</w:t>
      </w:r>
      <w:r>
        <w:rPr>
          <w:noProof/>
        </w:rPr>
        <w:t xml:space="preserve">, comparing them with </w:t>
      </w:r>
      <w:r w:rsidR="000A44AD">
        <w:rPr>
          <w:noProof/>
        </w:rPr>
        <w:t>o</w:t>
      </w:r>
      <w:r w:rsidR="00EB1311">
        <w:rPr>
          <w:noProof/>
        </w:rPr>
        <w:t xml:space="preserve">ption </w:t>
      </w:r>
      <w:r>
        <w:rPr>
          <w:noProof/>
        </w:rPr>
        <w:t xml:space="preserve">1 and </w:t>
      </w:r>
      <w:r w:rsidR="000A44AD">
        <w:rPr>
          <w:noProof/>
        </w:rPr>
        <w:t>o</w:t>
      </w:r>
      <w:r w:rsidR="00EB1311">
        <w:rPr>
          <w:noProof/>
        </w:rPr>
        <w:t xml:space="preserve">ption </w:t>
      </w:r>
      <w:r>
        <w:rPr>
          <w:noProof/>
        </w:rPr>
        <w:t>3.</w:t>
      </w:r>
    </w:p>
    <w:p w14:paraId="3120F6D3" w14:textId="4AAE8CE9" w:rsidR="009263AA" w:rsidRPr="00DE264C" w:rsidRDefault="009263AA" w:rsidP="001F43B2">
      <w:pPr>
        <w:pStyle w:val="Heading3"/>
        <w:spacing w:before="240"/>
        <w:ind w:left="720"/>
        <w:rPr>
          <w:noProof/>
        </w:rPr>
      </w:pPr>
      <w:bookmarkStart w:id="322" w:name="_Toc214467745"/>
      <w:bookmarkStart w:id="323" w:name="_Toc215083767"/>
      <w:bookmarkStart w:id="324" w:name="_Toc215083797"/>
      <w:bookmarkStart w:id="325" w:name="_Toc219212533"/>
      <w:bookmarkStart w:id="326" w:name="_Toc219718188"/>
      <w:r w:rsidRPr="00DE264C">
        <w:rPr>
          <w:rStyle w:val="normaltextrun"/>
          <w:noProof/>
          <w:color w:val="000000" w:themeColor="text1"/>
        </w:rPr>
        <w:t>Option 3</w:t>
      </w:r>
      <w:r w:rsidR="00CC5006" w:rsidRPr="00DE264C">
        <w:rPr>
          <w:rStyle w:val="normaltextrun"/>
          <w:noProof/>
          <w:color w:val="000000" w:themeColor="text1"/>
        </w:rPr>
        <w:t>:</w:t>
      </w:r>
      <w:r w:rsidRPr="00DE264C">
        <w:rPr>
          <w:rStyle w:val="normaltextrun"/>
          <w:noProof/>
          <w:color w:val="000000" w:themeColor="text1"/>
        </w:rPr>
        <w:t xml:space="preserve"> Country of Origin</w:t>
      </w:r>
      <w:r w:rsidR="004F2BCA" w:rsidRPr="00DE264C">
        <w:rPr>
          <w:rStyle w:val="normaltextrun"/>
          <w:noProof/>
          <w:color w:val="000000" w:themeColor="text1"/>
        </w:rPr>
        <w:t xml:space="preserve"> regime for cross border</w:t>
      </w:r>
      <w:r w:rsidR="00DE4EB9" w:rsidRPr="00DE264C">
        <w:rPr>
          <w:rStyle w:val="normaltextrun"/>
          <w:noProof/>
          <w:color w:val="000000" w:themeColor="text1"/>
        </w:rPr>
        <w:t>/B2B</w:t>
      </w:r>
      <w:r w:rsidR="004F2BCA" w:rsidRPr="00DE264C">
        <w:rPr>
          <w:rStyle w:val="normaltextrun"/>
          <w:noProof/>
          <w:color w:val="000000" w:themeColor="text1"/>
        </w:rPr>
        <w:t xml:space="preserve"> providers</w:t>
      </w:r>
      <w:bookmarkEnd w:id="322"/>
      <w:bookmarkEnd w:id="323"/>
      <w:bookmarkEnd w:id="324"/>
      <w:bookmarkEnd w:id="325"/>
      <w:bookmarkEnd w:id="326"/>
    </w:p>
    <w:p w14:paraId="0E288AA1" w14:textId="05BAC1AC" w:rsidR="5E941906" w:rsidRPr="00DE264C" w:rsidRDefault="5E941906" w:rsidP="00DE7CC1">
      <w:pPr>
        <w:tabs>
          <w:tab w:val="left" w:pos="0"/>
          <w:tab w:val="left" w:pos="480"/>
        </w:tabs>
        <w:spacing w:line="240" w:lineRule="auto"/>
        <w:rPr>
          <w:noProof/>
        </w:rPr>
      </w:pPr>
      <w:r w:rsidRPr="00DE264C">
        <w:rPr>
          <w:rFonts w:eastAsia="Times New Roman"/>
          <w:noProof/>
        </w:rPr>
        <w:t xml:space="preserve">Under </w:t>
      </w:r>
      <w:r w:rsidRPr="00DE264C">
        <w:rPr>
          <w:rFonts w:eastAsia="Times New Roman"/>
          <w:b/>
          <w:bCs/>
          <w:noProof/>
        </w:rPr>
        <w:t>option 3</w:t>
      </w:r>
      <w:r w:rsidRPr="00DE264C">
        <w:rPr>
          <w:rFonts w:eastAsia="Times New Roman"/>
          <w:noProof/>
        </w:rPr>
        <w:t>, t</w:t>
      </w:r>
      <w:r w:rsidRPr="00DE264C">
        <w:rPr>
          <w:rFonts w:eastAsia="Times New Roman"/>
          <w:noProof/>
          <w:color w:val="000000" w:themeColor="text1"/>
        </w:rPr>
        <w:t xml:space="preserve">he Member State of notification would incur </w:t>
      </w:r>
      <w:r w:rsidRPr="00FE0037">
        <w:rPr>
          <w:rFonts w:eastAsia="Times New Roman"/>
          <w:b/>
          <w:noProof/>
          <w:color w:val="000000" w:themeColor="text1"/>
        </w:rPr>
        <w:t xml:space="preserve">increased </w:t>
      </w:r>
      <w:r w:rsidRPr="00DE264C">
        <w:rPr>
          <w:rFonts w:eastAsia="Times New Roman"/>
          <w:b/>
          <w:bCs/>
          <w:noProof/>
          <w:color w:val="000000" w:themeColor="text1"/>
        </w:rPr>
        <w:t>administrative costs</w:t>
      </w:r>
      <w:r w:rsidRPr="00DE264C">
        <w:rPr>
          <w:rFonts w:eastAsia="Times New Roman"/>
          <w:noProof/>
          <w:color w:val="000000" w:themeColor="text1"/>
        </w:rPr>
        <w:t xml:space="preserve"> to handle the authorisation, compliance and enforcement process, for satellite and B2B services for the entire EU, including liaising with other authorities. Other Member States will forego the direct costs of the authorisation process but will incur costs for participating in the coordination and enforcement mechanism. T</w:t>
      </w:r>
      <w:r w:rsidRPr="00A03164">
        <w:rPr>
          <w:noProof/>
          <w:color w:val="000000" w:themeColor="text1"/>
        </w:rPr>
        <w:t>his option reduces administrative burden for satellite operators</w:t>
      </w:r>
      <w:r w:rsidR="006E6978" w:rsidRPr="00A03164">
        <w:rPr>
          <w:noProof/>
          <w:color w:val="000000" w:themeColor="text1"/>
        </w:rPr>
        <w:t xml:space="preserve">, </w:t>
      </w:r>
      <w:r w:rsidR="00D53677" w:rsidRPr="00A03164">
        <w:rPr>
          <w:noProof/>
          <w:color w:val="000000" w:themeColor="text1"/>
        </w:rPr>
        <w:t xml:space="preserve">by </w:t>
      </w:r>
      <w:r w:rsidR="006E6978" w:rsidRPr="00A03164">
        <w:rPr>
          <w:noProof/>
          <w:color w:val="000000" w:themeColor="text1"/>
        </w:rPr>
        <w:t>stream</w:t>
      </w:r>
      <w:r w:rsidR="005225C3" w:rsidRPr="00A03164">
        <w:rPr>
          <w:noProof/>
          <w:color w:val="000000" w:themeColor="text1"/>
        </w:rPr>
        <w:t>lin</w:t>
      </w:r>
      <w:r w:rsidR="00D53677" w:rsidRPr="00A03164">
        <w:rPr>
          <w:noProof/>
          <w:color w:val="000000" w:themeColor="text1"/>
        </w:rPr>
        <w:t>ing</w:t>
      </w:r>
      <w:r w:rsidR="005225C3" w:rsidRPr="00A03164">
        <w:rPr>
          <w:noProof/>
          <w:color w:val="000000" w:themeColor="text1"/>
        </w:rPr>
        <w:t xml:space="preserve"> costs for</w:t>
      </w:r>
      <w:r w:rsidR="000319F6" w:rsidRPr="00A03164">
        <w:rPr>
          <w:noProof/>
          <w:color w:val="000000" w:themeColor="text1"/>
        </w:rPr>
        <w:t xml:space="preserve"> authorisations, testing and reporting</w:t>
      </w:r>
      <w:r w:rsidRPr="00A03164">
        <w:rPr>
          <w:noProof/>
          <w:color w:val="000000" w:themeColor="text1"/>
        </w:rPr>
        <w:t>.</w:t>
      </w:r>
      <w:r w:rsidRPr="00A03164">
        <w:rPr>
          <w:noProof/>
        </w:rPr>
        <w:t xml:space="preserve"> </w:t>
      </w:r>
      <w:r w:rsidRPr="00A03164">
        <w:rPr>
          <w:noProof/>
          <w:color w:val="000000" w:themeColor="text1"/>
        </w:rPr>
        <w:t xml:space="preserve">EU Member States would need to agree to mutually recognize spectrum authorisations granted by the Country of </w:t>
      </w:r>
      <w:r w:rsidR="00337E85" w:rsidRPr="00A03164">
        <w:rPr>
          <w:noProof/>
          <w:color w:val="000000" w:themeColor="text1"/>
        </w:rPr>
        <w:t>Origin and</w:t>
      </w:r>
      <w:r w:rsidR="00825BF9">
        <w:rPr>
          <w:noProof/>
          <w:color w:val="000000" w:themeColor="text1"/>
        </w:rPr>
        <w:t>,</w:t>
      </w:r>
      <w:r w:rsidR="00422629" w:rsidRPr="00A03164">
        <w:rPr>
          <w:noProof/>
          <w:color w:val="000000" w:themeColor="text1"/>
        </w:rPr>
        <w:t xml:space="preserve"> develop </w:t>
      </w:r>
      <w:r w:rsidRPr="00A03164">
        <w:rPr>
          <w:noProof/>
          <w:color w:val="000000" w:themeColor="text1"/>
        </w:rPr>
        <w:t>trust and cooperation across them. Given the strong national components of spectrum regulation, this option would be politically challenging. MS would essentially relinquish complete control over their spectrum assets to other jurisdictions without oversight or authority.</w:t>
      </w:r>
    </w:p>
    <w:p w14:paraId="2525D3BA" w14:textId="69FB7FAA" w:rsidR="5E941906" w:rsidRPr="00DE264C" w:rsidRDefault="5E941906" w:rsidP="00DE7CC1">
      <w:pPr>
        <w:spacing w:line="240" w:lineRule="auto"/>
        <w:rPr>
          <w:noProof/>
        </w:rPr>
      </w:pPr>
      <w:r w:rsidRPr="00DE264C">
        <w:rPr>
          <w:rFonts w:eastAsia="Times New Roman"/>
          <w:noProof/>
          <w:color w:val="000000" w:themeColor="text1"/>
        </w:rPr>
        <w:t xml:space="preserve">In terms of </w:t>
      </w:r>
      <w:r w:rsidRPr="00DE264C">
        <w:rPr>
          <w:rFonts w:eastAsia="Times New Roman"/>
          <w:b/>
          <w:bCs/>
          <w:noProof/>
          <w:color w:val="000000" w:themeColor="text1"/>
        </w:rPr>
        <w:t>indirect</w:t>
      </w:r>
      <w:r w:rsidRPr="00DE264C">
        <w:rPr>
          <w:rFonts w:eastAsia="Times New Roman"/>
          <w:noProof/>
          <w:color w:val="000000" w:themeColor="text1"/>
        </w:rPr>
        <w:t xml:space="preserve"> </w:t>
      </w:r>
      <w:r w:rsidRPr="00FE0037">
        <w:rPr>
          <w:rFonts w:eastAsia="Times New Roman"/>
          <w:b/>
          <w:noProof/>
          <w:color w:val="000000" w:themeColor="text1"/>
        </w:rPr>
        <w:t>costs</w:t>
      </w:r>
      <w:r w:rsidRPr="00DE264C">
        <w:rPr>
          <w:rFonts w:eastAsia="Times New Roman"/>
          <w:noProof/>
          <w:color w:val="000000" w:themeColor="text1"/>
        </w:rPr>
        <w:t xml:space="preserve">, a transitional period would </w:t>
      </w:r>
      <w:r w:rsidR="00D321AD" w:rsidRPr="00DE264C">
        <w:rPr>
          <w:rFonts w:eastAsia="Times New Roman"/>
          <w:noProof/>
          <w:color w:val="000000" w:themeColor="text1"/>
        </w:rPr>
        <w:t xml:space="preserve">be needed, which would </w:t>
      </w:r>
      <w:r w:rsidR="00FB1A05" w:rsidRPr="00DE264C">
        <w:rPr>
          <w:rFonts w:eastAsia="Times New Roman"/>
          <w:noProof/>
          <w:color w:val="000000" w:themeColor="text1"/>
        </w:rPr>
        <w:t>be accompanied</w:t>
      </w:r>
      <w:r w:rsidR="00D321AD" w:rsidRPr="00DE264C">
        <w:rPr>
          <w:rFonts w:eastAsia="Times New Roman"/>
          <w:noProof/>
          <w:color w:val="000000" w:themeColor="text1"/>
        </w:rPr>
        <w:t xml:space="preserve"> with</w:t>
      </w:r>
      <w:r w:rsidRPr="00DE264C">
        <w:rPr>
          <w:rFonts w:eastAsia="Times New Roman"/>
          <w:noProof/>
          <w:color w:val="000000" w:themeColor="text1"/>
        </w:rPr>
        <w:t xml:space="preserve"> </w:t>
      </w:r>
      <w:r w:rsidR="001159F8" w:rsidRPr="00DE264C">
        <w:rPr>
          <w:rFonts w:eastAsia="Times New Roman"/>
          <w:noProof/>
          <w:color w:val="000000" w:themeColor="text1"/>
        </w:rPr>
        <w:t>some</w:t>
      </w:r>
      <w:r w:rsidR="00FB1A05" w:rsidRPr="00DE264C">
        <w:rPr>
          <w:rFonts w:eastAsia="Times New Roman"/>
          <w:noProof/>
          <w:color w:val="000000" w:themeColor="text1"/>
        </w:rPr>
        <w:t xml:space="preserve"> </w:t>
      </w:r>
      <w:r w:rsidRPr="00DE264C">
        <w:rPr>
          <w:rFonts w:eastAsia="Times New Roman"/>
          <w:noProof/>
          <w:color w:val="000000" w:themeColor="text1"/>
        </w:rPr>
        <w:t xml:space="preserve">uncertainty or administrative complexity as Member States phase in the harmonised conditions. Delays in fully implementing the EU-level selection framework could also be expected, which, based on the experience with the MSS 2 GHz Decisions, could persist for </w:t>
      </w:r>
      <w:r w:rsidR="0000067A" w:rsidRPr="00DE264C">
        <w:rPr>
          <w:rFonts w:eastAsia="Times New Roman"/>
          <w:noProof/>
          <w:color w:val="000000" w:themeColor="text1"/>
        </w:rPr>
        <w:t xml:space="preserve">some </w:t>
      </w:r>
      <w:r w:rsidRPr="00DE264C">
        <w:rPr>
          <w:rFonts w:eastAsia="Times New Roman"/>
          <w:noProof/>
          <w:color w:val="000000" w:themeColor="text1"/>
        </w:rPr>
        <w:t xml:space="preserve">years, but are not necessarily disproportionate to the scale of market and governance improvements. The additional </w:t>
      </w:r>
      <w:r w:rsidRPr="00DE264C">
        <w:rPr>
          <w:rFonts w:eastAsia="Times New Roman"/>
          <w:b/>
          <w:bCs/>
          <w:noProof/>
          <w:color w:val="000000" w:themeColor="text1"/>
        </w:rPr>
        <w:t>cost savings</w:t>
      </w:r>
      <w:r w:rsidRPr="00DE264C">
        <w:rPr>
          <w:rFonts w:eastAsia="Times New Roman"/>
          <w:noProof/>
          <w:color w:val="000000" w:themeColor="text1"/>
        </w:rPr>
        <w:t xml:space="preserve"> of this option will all accrue for satellite and other B2B providers, and the SMEs among them will benefit significantly. There is also a clear benefit for the development of </w:t>
      </w:r>
      <w:r w:rsidR="0000067A" w:rsidRPr="00DE264C">
        <w:rPr>
          <w:rFonts w:eastAsia="Times New Roman"/>
          <w:noProof/>
          <w:color w:val="000000" w:themeColor="text1"/>
        </w:rPr>
        <w:t xml:space="preserve">the </w:t>
      </w:r>
      <w:r w:rsidRPr="00DE264C">
        <w:rPr>
          <w:rFonts w:eastAsia="Times New Roman"/>
          <w:noProof/>
          <w:color w:val="000000" w:themeColor="text1"/>
        </w:rPr>
        <w:t>single market of satellite services and B2B services, as well as increase in the offering of such services.</w:t>
      </w:r>
      <w:r w:rsidRPr="00DE264C">
        <w:rPr>
          <w:rFonts w:eastAsia="Times New Roman"/>
          <w:noProof/>
        </w:rPr>
        <w:t xml:space="preserve"> The savings will occur due to the reduction in administrative and compliance costs.</w:t>
      </w:r>
    </w:p>
    <w:p w14:paraId="0418A984" w14:textId="68A491B7" w:rsidR="5E941906" w:rsidRPr="00DE264C" w:rsidRDefault="5E941906" w:rsidP="00DE7CC1">
      <w:pPr>
        <w:spacing w:line="240" w:lineRule="auto"/>
        <w:rPr>
          <w:rFonts w:eastAsia="Times New Roman"/>
          <w:noProof/>
          <w:color w:val="000000" w:themeColor="text1"/>
        </w:rPr>
      </w:pPr>
      <w:r w:rsidRPr="00DE264C">
        <w:rPr>
          <w:rFonts w:eastAsia="Times New Roman"/>
          <w:noProof/>
          <w:color w:val="000000" w:themeColor="text1"/>
        </w:rPr>
        <w:t xml:space="preserve">In terms of the </w:t>
      </w:r>
      <w:r w:rsidRPr="00DE264C">
        <w:rPr>
          <w:rFonts w:eastAsia="Times New Roman"/>
          <w:b/>
          <w:bCs/>
          <w:noProof/>
          <w:color w:val="000000" w:themeColor="text1"/>
        </w:rPr>
        <w:t>benefits</w:t>
      </w:r>
      <w:r w:rsidRPr="00DE264C">
        <w:rPr>
          <w:rFonts w:eastAsia="Times New Roman"/>
          <w:noProof/>
          <w:color w:val="000000" w:themeColor="text1"/>
        </w:rPr>
        <w:t xml:space="preserve">, </w:t>
      </w:r>
      <w:r w:rsidR="006D3FF9">
        <w:rPr>
          <w:rFonts w:eastAsia="Times New Roman"/>
          <w:noProof/>
          <w:color w:val="000000" w:themeColor="text1"/>
        </w:rPr>
        <w:t>option</w:t>
      </w:r>
      <w:r w:rsidRPr="00DE264C">
        <w:rPr>
          <w:rFonts w:eastAsia="Times New Roman"/>
          <w:noProof/>
          <w:color w:val="000000" w:themeColor="text1"/>
        </w:rPr>
        <w:t xml:space="preserve"> 3 enhances consistency and reduces administrative burden for providers of cross-border services</w:t>
      </w:r>
      <w:r w:rsidR="00260BE1" w:rsidRPr="00DE264C">
        <w:rPr>
          <w:rFonts w:eastAsia="Times New Roman"/>
          <w:noProof/>
          <w:color w:val="000000" w:themeColor="text1"/>
        </w:rPr>
        <w:t>, for instance costs incurred due to mandatory in-country testing will no longer apply</w:t>
      </w:r>
      <w:r w:rsidRPr="00DE264C">
        <w:rPr>
          <w:rFonts w:eastAsia="Times New Roman"/>
          <w:noProof/>
          <w:color w:val="000000" w:themeColor="text1"/>
        </w:rPr>
        <w:t xml:space="preserve">. The </w:t>
      </w:r>
      <w:r w:rsidR="00D12148" w:rsidRPr="00DE264C">
        <w:rPr>
          <w:rFonts w:eastAsia="Times New Roman"/>
          <w:noProof/>
          <w:color w:val="000000" w:themeColor="text1"/>
        </w:rPr>
        <w:t>application of one</w:t>
      </w:r>
      <w:r w:rsidRPr="00DE264C">
        <w:rPr>
          <w:rFonts w:eastAsia="Times New Roman"/>
          <w:noProof/>
          <w:color w:val="000000" w:themeColor="text1"/>
        </w:rPr>
        <w:t xml:space="preserve"> framework for spectrum selection and assignment, backed by EU-wide authorisation conditions, would reduce fragmentation and regulatory uncertainty in the long term. However, given that cross-border operators would still need to abide by the legislation of the Member State of the provision of the service, the benefits would not be maximised and we would not expect that such a regime would encourage new multi-Member State market entry, or pan-</w:t>
      </w:r>
      <w:r w:rsidR="00956EFB" w:rsidRPr="00DE264C">
        <w:rPr>
          <w:rFonts w:eastAsia="Times New Roman"/>
          <w:noProof/>
          <w:color w:val="000000" w:themeColor="text1"/>
        </w:rPr>
        <w:t>European</w:t>
      </w:r>
      <w:r w:rsidRPr="00DE264C">
        <w:rPr>
          <w:rFonts w:eastAsia="Times New Roman"/>
          <w:noProof/>
          <w:color w:val="000000" w:themeColor="text1"/>
        </w:rPr>
        <w:t xml:space="preserve"> coverage that would not have occurred in its absence. Where the country of origin/notification is the same as the one under the EU Space act, </w:t>
      </w:r>
      <w:r w:rsidRPr="00DE264C">
        <w:rPr>
          <w:rFonts w:eastAsia="Times New Roman"/>
          <w:b/>
          <w:bCs/>
          <w:noProof/>
          <w:color w:val="000000" w:themeColor="text1"/>
        </w:rPr>
        <w:t>indirect benefits</w:t>
      </w:r>
      <w:r w:rsidRPr="00DE264C">
        <w:rPr>
          <w:rFonts w:eastAsia="Times New Roman"/>
          <w:noProof/>
          <w:color w:val="000000" w:themeColor="text1"/>
        </w:rPr>
        <w:t xml:space="preserve"> from the relevant synergies could be expected.</w:t>
      </w:r>
    </w:p>
    <w:p w14:paraId="570347D5" w14:textId="4ACBBDAD" w:rsidR="003C3287" w:rsidRPr="00DE264C" w:rsidRDefault="003C3287" w:rsidP="00DE7CC1">
      <w:pPr>
        <w:spacing w:line="240" w:lineRule="auto"/>
        <w:rPr>
          <w:rFonts w:eastAsia="Times New Roman"/>
          <w:noProof/>
          <w:color w:val="000000" w:themeColor="text1"/>
        </w:rPr>
      </w:pPr>
      <w:r w:rsidRPr="00DE264C">
        <w:rPr>
          <w:rFonts w:eastAsia="Times New Roman"/>
          <w:noProof/>
          <w:color w:val="000000" w:themeColor="text1"/>
        </w:rPr>
        <w:t xml:space="preserve">Option 3 facilitates EU wide authorisation of services and would to a smaller extent produce indirectly the </w:t>
      </w:r>
      <w:r w:rsidRPr="00DE264C">
        <w:rPr>
          <w:rFonts w:eastAsia="Times New Roman"/>
          <w:b/>
          <w:bCs/>
          <w:noProof/>
          <w:color w:val="000000" w:themeColor="text1"/>
        </w:rPr>
        <w:t>environmental and societal impacts</w:t>
      </w:r>
      <w:r w:rsidRPr="00DE264C">
        <w:rPr>
          <w:rFonts w:eastAsia="Times New Roman"/>
          <w:noProof/>
          <w:color w:val="000000" w:themeColor="text1"/>
        </w:rPr>
        <w:t xml:space="preserve"> illustrated under </w:t>
      </w:r>
      <w:r w:rsidR="00264D8E">
        <w:rPr>
          <w:rFonts w:eastAsia="Times New Roman"/>
          <w:noProof/>
          <w:color w:val="000000" w:themeColor="text1"/>
        </w:rPr>
        <w:t>O</w:t>
      </w:r>
      <w:r w:rsidR="006D3FF9">
        <w:rPr>
          <w:rFonts w:eastAsia="Times New Roman"/>
          <w:noProof/>
          <w:color w:val="000000" w:themeColor="text1"/>
        </w:rPr>
        <w:t>ption</w:t>
      </w:r>
      <w:r w:rsidRPr="00DE264C">
        <w:rPr>
          <w:rFonts w:eastAsia="Times New Roman"/>
          <w:noProof/>
          <w:color w:val="000000" w:themeColor="text1"/>
        </w:rPr>
        <w:t xml:space="preserve"> 2 and in Annex 9.</w:t>
      </w:r>
    </w:p>
    <w:p w14:paraId="501266C5" w14:textId="1F6640E5" w:rsidR="006068B8" w:rsidRPr="00DE264C" w:rsidRDefault="006068B8" w:rsidP="00292895">
      <w:pPr>
        <w:pStyle w:val="Heading2"/>
        <w:rPr>
          <w:noProof/>
        </w:rPr>
      </w:pPr>
      <w:bookmarkStart w:id="327" w:name="_Toc209528627"/>
      <w:bookmarkStart w:id="328" w:name="_Toc209528744"/>
      <w:bookmarkStart w:id="329" w:name="_Toc209535091"/>
      <w:bookmarkStart w:id="330" w:name="_Toc209535188"/>
      <w:bookmarkStart w:id="331" w:name="_Toc209596096"/>
      <w:bookmarkStart w:id="332" w:name="_Toc209528628"/>
      <w:bookmarkStart w:id="333" w:name="_Toc209528745"/>
      <w:bookmarkStart w:id="334" w:name="_Toc209535092"/>
      <w:bookmarkStart w:id="335" w:name="_Toc209535189"/>
      <w:bookmarkStart w:id="336" w:name="_Toc209596097"/>
      <w:bookmarkStart w:id="337" w:name="_Toc209528629"/>
      <w:bookmarkStart w:id="338" w:name="_Toc209528746"/>
      <w:bookmarkStart w:id="339" w:name="_Toc209535093"/>
      <w:bookmarkStart w:id="340" w:name="_Toc209535190"/>
      <w:bookmarkStart w:id="341" w:name="_Toc209596098"/>
      <w:bookmarkStart w:id="342" w:name="_Toc209528631"/>
      <w:bookmarkStart w:id="343" w:name="_Toc209528748"/>
      <w:bookmarkStart w:id="344" w:name="_Toc209535095"/>
      <w:bookmarkStart w:id="345" w:name="_Toc209535192"/>
      <w:bookmarkStart w:id="346" w:name="_Toc209596100"/>
      <w:bookmarkStart w:id="347" w:name="_Toc214467746"/>
      <w:bookmarkStart w:id="348" w:name="_Toc215083768"/>
      <w:bookmarkStart w:id="349" w:name="_Toc215083798"/>
      <w:bookmarkStart w:id="350" w:name="_Toc219212534"/>
      <w:bookmarkStart w:id="351" w:name="_Toc219718189"/>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sidRPr="00DE264C">
        <w:rPr>
          <w:noProof/>
        </w:rPr>
        <w:t>Governance</w:t>
      </w:r>
      <w:bookmarkEnd w:id="347"/>
      <w:bookmarkEnd w:id="348"/>
      <w:bookmarkEnd w:id="349"/>
      <w:bookmarkEnd w:id="350"/>
      <w:bookmarkEnd w:id="351"/>
    </w:p>
    <w:p w14:paraId="4A54FE23" w14:textId="5A25A401" w:rsidR="006068B8" w:rsidRPr="00DE264C" w:rsidRDefault="006068B8" w:rsidP="001F43B2">
      <w:pPr>
        <w:pStyle w:val="Heading3"/>
        <w:tabs>
          <w:tab w:val="left" w:pos="709"/>
          <w:tab w:val="num" w:pos="7088"/>
        </w:tabs>
        <w:spacing w:before="240"/>
        <w:ind w:left="850"/>
        <w:rPr>
          <w:noProof/>
        </w:rPr>
      </w:pPr>
      <w:bookmarkStart w:id="352" w:name="_Toc214467747"/>
      <w:bookmarkStart w:id="353" w:name="_Toc215083769"/>
      <w:bookmarkStart w:id="354" w:name="_Toc215083799"/>
      <w:bookmarkStart w:id="355" w:name="_Toc219212535"/>
      <w:bookmarkStart w:id="356" w:name="_Toc219718190"/>
      <w:r w:rsidRPr="00DE264C">
        <w:rPr>
          <w:rFonts w:eastAsiaTheme="minorHAnsi"/>
          <w:noProof/>
        </w:rPr>
        <w:t>Option 1</w:t>
      </w:r>
      <w:r w:rsidR="00B366F3" w:rsidRPr="00DE264C">
        <w:rPr>
          <w:rFonts w:eastAsiaTheme="minorHAnsi"/>
          <w:noProof/>
        </w:rPr>
        <w:t xml:space="preserve"> - BEREC and RSPG as two separate bodies supported by the BEREC Office</w:t>
      </w:r>
      <w:bookmarkEnd w:id="352"/>
      <w:bookmarkEnd w:id="353"/>
      <w:bookmarkEnd w:id="354"/>
      <w:bookmarkEnd w:id="355"/>
      <w:bookmarkEnd w:id="356"/>
    </w:p>
    <w:p w14:paraId="57E5EF54" w14:textId="2D77B725" w:rsidR="0095184B" w:rsidRPr="00DE264C" w:rsidRDefault="00F5271B" w:rsidP="00DE7CC1">
      <w:pPr>
        <w:spacing w:line="240" w:lineRule="auto"/>
        <w:rPr>
          <w:noProof/>
        </w:rPr>
      </w:pPr>
      <w:r w:rsidRPr="00DE264C">
        <w:rPr>
          <w:b/>
          <w:noProof/>
        </w:rPr>
        <w:t>Option 1</w:t>
      </w:r>
      <w:r w:rsidRPr="00DE264C">
        <w:rPr>
          <w:noProof/>
        </w:rPr>
        <w:t xml:space="preserve"> represents a relatively small change to the current governance structure </w:t>
      </w:r>
      <w:r w:rsidR="0095184B" w:rsidRPr="00DE264C">
        <w:rPr>
          <w:noProof/>
        </w:rPr>
        <w:t xml:space="preserve">(cf. </w:t>
      </w:r>
      <w:r w:rsidRPr="00DE264C">
        <w:rPr>
          <w:noProof/>
        </w:rPr>
        <w:t>section 5.2.4</w:t>
      </w:r>
      <w:r w:rsidR="0095184B" w:rsidRPr="00DE264C">
        <w:rPr>
          <w:noProof/>
        </w:rPr>
        <w:t>)</w:t>
      </w:r>
      <w:r w:rsidRPr="00DE264C">
        <w:rPr>
          <w:noProof/>
        </w:rPr>
        <w:t>.</w:t>
      </w:r>
    </w:p>
    <w:p w14:paraId="64EB02F5" w14:textId="05387037" w:rsidR="000263C4" w:rsidRDefault="000E0C2B" w:rsidP="00DE7CC1">
      <w:pPr>
        <w:spacing w:line="240" w:lineRule="auto"/>
        <w:rPr>
          <w:rFonts w:eastAsia="Calibri"/>
          <w:noProof/>
          <w:lang w:val="en-IE"/>
        </w:rPr>
      </w:pPr>
      <w:r w:rsidRPr="00DE264C">
        <w:rPr>
          <w:noProof/>
        </w:rPr>
        <w:t xml:space="preserve">In terms of </w:t>
      </w:r>
      <w:r w:rsidRPr="40318B36">
        <w:rPr>
          <w:b/>
          <w:bCs/>
          <w:noProof/>
        </w:rPr>
        <w:t>economic</w:t>
      </w:r>
      <w:r w:rsidRPr="00DE264C">
        <w:rPr>
          <w:noProof/>
        </w:rPr>
        <w:t xml:space="preserve"> impacts, </w:t>
      </w:r>
      <w:r w:rsidR="3FBD835F" w:rsidRPr="00DE264C">
        <w:rPr>
          <w:noProof/>
        </w:rPr>
        <w:t>it</w:t>
      </w:r>
      <w:r w:rsidRPr="00DE264C">
        <w:rPr>
          <w:noProof/>
        </w:rPr>
        <w:t xml:space="preserve"> implies a relatively small increase in direct and indirect costs for the EU budget, mainly due to increased tasks and functions of the BEREC Office.</w:t>
      </w:r>
      <w:r w:rsidR="53665239" w:rsidRPr="00DE264C">
        <w:rPr>
          <w:rFonts w:eastAsia="Calibri"/>
          <w:noProof/>
          <w:lang w:val="en-IE"/>
        </w:rPr>
        <w:t xml:space="preserve"> </w:t>
      </w:r>
      <w:r w:rsidR="00270C92" w:rsidRPr="00DE264C">
        <w:rPr>
          <w:noProof/>
        </w:rPr>
        <w:t>Bas</w:t>
      </w:r>
      <w:r w:rsidR="000B28A6" w:rsidRPr="00DE264C">
        <w:rPr>
          <w:noProof/>
        </w:rPr>
        <w:t>ed</w:t>
      </w:r>
      <w:r w:rsidR="00270C92" w:rsidRPr="00DE264C">
        <w:rPr>
          <w:noProof/>
        </w:rPr>
        <w:t xml:space="preserve"> on the tasks assigned to BEREC and RSPG under </w:t>
      </w:r>
      <w:r w:rsidR="007C3F6F" w:rsidRPr="00DE264C">
        <w:rPr>
          <w:noProof/>
        </w:rPr>
        <w:t xml:space="preserve">the </w:t>
      </w:r>
      <w:r w:rsidR="00270C92" w:rsidRPr="00DE264C">
        <w:rPr>
          <w:noProof/>
        </w:rPr>
        <w:t xml:space="preserve">preferred options in the areas of access, spectrum, general authorisation and satellite authorisation, it is estimated that to provide support to both BEREC and the RSPG, the BEREC Office’s staff would need to increase by an additional 25 FTEs, </w:t>
      </w:r>
      <w:r w:rsidR="008318D1" w:rsidRPr="00DE264C">
        <w:rPr>
          <w:rFonts w:eastAsia="Calibri"/>
          <w:noProof/>
          <w:lang w:val="en-IE"/>
        </w:rPr>
        <w:t xml:space="preserve">implying that under </w:t>
      </w:r>
      <w:r w:rsidR="000A44AD">
        <w:rPr>
          <w:rFonts w:eastAsia="Calibri"/>
          <w:noProof/>
          <w:lang w:val="en-IE"/>
        </w:rPr>
        <w:t>o</w:t>
      </w:r>
      <w:r w:rsidR="008318D1" w:rsidRPr="00DE264C">
        <w:rPr>
          <w:rFonts w:eastAsia="Calibri"/>
          <w:noProof/>
          <w:lang w:val="en-IE"/>
        </w:rPr>
        <w:t xml:space="preserve">ption 1 the Office </w:t>
      </w:r>
      <w:r w:rsidR="14EE80A8" w:rsidRPr="00DE264C">
        <w:rPr>
          <w:rFonts w:eastAsia="Calibri"/>
          <w:noProof/>
          <w:lang w:val="en-IE"/>
        </w:rPr>
        <w:t xml:space="preserve">staff </w:t>
      </w:r>
      <w:r w:rsidR="008318D1" w:rsidRPr="00DE264C">
        <w:rPr>
          <w:rFonts w:eastAsia="Calibri"/>
          <w:noProof/>
          <w:lang w:val="en-IE"/>
        </w:rPr>
        <w:t>would grow by slightly more than half (5</w:t>
      </w:r>
      <w:r w:rsidR="006D2275">
        <w:rPr>
          <w:rFonts w:eastAsia="Calibri"/>
          <w:noProof/>
          <w:lang w:val="en-IE"/>
        </w:rPr>
        <w:t>2</w:t>
      </w:r>
      <w:r w:rsidR="008318D1" w:rsidRPr="00DE264C">
        <w:rPr>
          <w:rFonts w:eastAsia="Calibri"/>
          <w:noProof/>
          <w:lang w:val="en-IE"/>
        </w:rPr>
        <w:t xml:space="preserve">%) compared to the current situation. The vast majority of these FTEs (80%) would be needed for RSPG related activities, i.e. spectrum related (including ex ante spectrum </w:t>
      </w:r>
      <w:r w:rsidR="00584258">
        <w:rPr>
          <w:rFonts w:eastAsia="Calibri"/>
          <w:noProof/>
          <w:lang w:val="en-IE"/>
        </w:rPr>
        <w:t>single market procedure</w:t>
      </w:r>
      <w:r w:rsidR="008318D1" w:rsidRPr="00DE264C">
        <w:rPr>
          <w:rFonts w:eastAsia="Calibri"/>
          <w:noProof/>
          <w:lang w:val="en-IE"/>
        </w:rPr>
        <w:t xml:space="preserve">) and EU satellite authorisation. </w:t>
      </w:r>
      <w:r w:rsidR="000B4625" w:rsidRPr="00DE264C">
        <w:rPr>
          <w:rFonts w:eastAsia="Calibri"/>
          <w:noProof/>
          <w:lang w:val="en-IE"/>
        </w:rPr>
        <w:t>Currently the BEREC Office has 4</w:t>
      </w:r>
      <w:r w:rsidR="00DA6B21" w:rsidRPr="00DE264C">
        <w:rPr>
          <w:rFonts w:eastAsia="Calibri"/>
          <w:noProof/>
          <w:lang w:val="en-IE"/>
        </w:rPr>
        <w:t>8</w:t>
      </w:r>
      <w:r w:rsidR="000B4625" w:rsidRPr="00DE264C">
        <w:rPr>
          <w:rFonts w:eastAsia="Calibri"/>
          <w:noProof/>
          <w:lang w:val="en-IE"/>
        </w:rPr>
        <w:t xml:space="preserve"> staff (</w:t>
      </w:r>
      <w:r w:rsidR="007C285B" w:rsidRPr="00DE264C">
        <w:rPr>
          <w:rFonts w:eastAsia="Calibri"/>
          <w:noProof/>
          <w:lang w:val="en-IE"/>
        </w:rPr>
        <w:t>in</w:t>
      </w:r>
      <w:r w:rsidR="000B4625" w:rsidRPr="00DE264C">
        <w:rPr>
          <w:rFonts w:eastAsia="Calibri"/>
          <w:noProof/>
          <w:lang w:val="en-IE"/>
        </w:rPr>
        <w:t xml:space="preserve"> 202</w:t>
      </w:r>
      <w:r w:rsidR="00DA6B21" w:rsidRPr="00DE264C">
        <w:rPr>
          <w:rFonts w:eastAsia="Calibri"/>
          <w:noProof/>
          <w:lang w:val="en-IE"/>
        </w:rPr>
        <w:t>4</w:t>
      </w:r>
      <w:r w:rsidR="000B4625" w:rsidRPr="00DE264C">
        <w:rPr>
          <w:rFonts w:eastAsia="Calibri"/>
          <w:noProof/>
          <w:lang w:val="en-IE"/>
        </w:rPr>
        <w:t>)</w:t>
      </w:r>
      <w:r w:rsidR="00D433E8" w:rsidRPr="00DE264C">
        <w:rPr>
          <w:rStyle w:val="FootnoteReference"/>
          <w:rFonts w:eastAsia="Calibri"/>
          <w:noProof/>
          <w:lang w:val="en-IE"/>
        </w:rPr>
        <w:footnoteReference w:id="263"/>
      </w:r>
      <w:r w:rsidR="000B4625" w:rsidRPr="00DE264C">
        <w:rPr>
          <w:rFonts w:eastAsia="Calibri"/>
          <w:noProof/>
          <w:lang w:val="en-IE"/>
        </w:rPr>
        <w:t xml:space="preserve"> and annual costs amount to EUR</w:t>
      </w:r>
      <w:r w:rsidR="00B968B2">
        <w:rPr>
          <w:rFonts w:eastAsia="Calibri"/>
          <w:noProof/>
          <w:lang w:val="en-IE"/>
        </w:rPr>
        <w:t> </w:t>
      </w:r>
      <w:r w:rsidR="000B4625" w:rsidRPr="00DE264C">
        <w:rPr>
          <w:rFonts w:eastAsia="Calibri"/>
          <w:noProof/>
          <w:lang w:val="en-IE"/>
        </w:rPr>
        <w:t>8.1 million (of which 62.2% is staff expenditure, 21.5% expenditure for buildings, equipment and similar and 16.3% is operational costs). The current staff expenditure</w:t>
      </w:r>
      <w:r w:rsidR="162BAB3E" w:rsidRPr="00DE264C">
        <w:rPr>
          <w:rFonts w:eastAsia="Calibri"/>
          <w:noProof/>
          <w:lang w:val="en-IE"/>
        </w:rPr>
        <w:t xml:space="preserve"> (</w:t>
      </w:r>
      <w:r w:rsidR="00402F49" w:rsidRPr="00DE264C">
        <w:rPr>
          <w:rFonts w:eastAsia="Calibri"/>
          <w:noProof/>
          <w:lang w:val="en-IE"/>
        </w:rPr>
        <w:t xml:space="preserve">yearly </w:t>
      </w:r>
      <w:r w:rsidR="162BAB3E" w:rsidRPr="00DE264C">
        <w:rPr>
          <w:rFonts w:eastAsia="Calibri"/>
          <w:noProof/>
          <w:lang w:val="en-IE"/>
        </w:rPr>
        <w:t>average)</w:t>
      </w:r>
      <w:r w:rsidR="000B4625" w:rsidRPr="00DE264C">
        <w:rPr>
          <w:rFonts w:eastAsia="Calibri"/>
          <w:noProof/>
          <w:lang w:val="en-IE"/>
        </w:rPr>
        <w:t xml:space="preserve"> in BEREC per employee is approximately EUR</w:t>
      </w:r>
      <w:r w:rsidR="00633170">
        <w:rPr>
          <w:rFonts w:eastAsia="Times New Roman"/>
          <w:noProof/>
          <w:color w:val="000000" w:themeColor="text1"/>
        </w:rPr>
        <w:t> </w:t>
      </w:r>
      <w:r w:rsidR="00334323" w:rsidRPr="00DE264C">
        <w:rPr>
          <w:rFonts w:eastAsia="Calibri"/>
          <w:noProof/>
          <w:lang w:val="en-IE"/>
        </w:rPr>
        <w:t>104</w:t>
      </w:r>
      <w:r w:rsidR="005152FB" w:rsidRPr="00DE264C">
        <w:rPr>
          <w:rFonts w:eastAsia="Calibri"/>
          <w:noProof/>
          <w:lang w:val="en-IE"/>
        </w:rPr>
        <w:t xml:space="preserve"> 939</w:t>
      </w:r>
      <w:r w:rsidR="000B4625" w:rsidRPr="00DE264C">
        <w:rPr>
          <w:rFonts w:eastAsia="Calibri"/>
          <w:noProof/>
          <w:lang w:val="en-IE"/>
        </w:rPr>
        <w:t xml:space="preserve">. Therefore, the indicated increase of FTEs would result in staff increase by </w:t>
      </w:r>
      <w:r w:rsidR="005F26AE" w:rsidRPr="00DE264C">
        <w:rPr>
          <w:rFonts w:eastAsia="Calibri"/>
          <w:noProof/>
          <w:lang w:val="en-IE"/>
        </w:rPr>
        <w:t xml:space="preserve">slightly more than a half </w:t>
      </w:r>
      <w:r w:rsidR="00010AC6" w:rsidRPr="00DE264C">
        <w:rPr>
          <w:rFonts w:eastAsia="Calibri"/>
          <w:noProof/>
          <w:lang w:val="en-IE"/>
        </w:rPr>
        <w:t>(52%) to 73 FTEs.</w:t>
      </w:r>
      <w:r w:rsidR="000B4625" w:rsidRPr="00DE264C">
        <w:rPr>
          <w:rFonts w:eastAsia="Calibri"/>
          <w:noProof/>
          <w:lang w:val="en-IE"/>
        </w:rPr>
        <w:t xml:space="preserve"> </w:t>
      </w:r>
      <w:r w:rsidR="009C6C0E" w:rsidRPr="00DE264C">
        <w:rPr>
          <w:rFonts w:eastAsia="Calibri"/>
          <w:noProof/>
          <w:lang w:val="en-IE"/>
        </w:rPr>
        <w:t>Assuming that the new total staff expenditure would be approximately</w:t>
      </w:r>
      <w:r w:rsidR="000B4625" w:rsidRPr="00DE264C">
        <w:rPr>
          <w:rFonts w:eastAsia="Calibri"/>
          <w:noProof/>
          <w:lang w:val="en-IE"/>
        </w:rPr>
        <w:t xml:space="preserve"> EUR</w:t>
      </w:r>
      <w:r w:rsidR="00633170">
        <w:rPr>
          <w:rFonts w:eastAsia="Times New Roman"/>
          <w:noProof/>
          <w:color w:val="000000" w:themeColor="text1"/>
        </w:rPr>
        <w:t> </w:t>
      </w:r>
      <w:r w:rsidR="000B4625" w:rsidRPr="00DE264C">
        <w:rPr>
          <w:rFonts w:eastAsia="Calibri"/>
          <w:noProof/>
          <w:lang w:val="en-IE"/>
        </w:rPr>
        <w:t>7.</w:t>
      </w:r>
      <w:r w:rsidR="009C6C0E" w:rsidRPr="00DE264C">
        <w:rPr>
          <w:rFonts w:eastAsia="Calibri"/>
          <w:noProof/>
          <w:lang w:val="en-IE"/>
        </w:rPr>
        <w:t>661</w:t>
      </w:r>
      <w:r w:rsidR="000B4625" w:rsidRPr="00DE264C">
        <w:rPr>
          <w:rFonts w:eastAsia="Calibri"/>
          <w:noProof/>
          <w:lang w:val="en-IE"/>
        </w:rPr>
        <w:t xml:space="preserve"> million</w:t>
      </w:r>
      <w:r w:rsidR="00635982" w:rsidRPr="00DE264C">
        <w:rPr>
          <w:rFonts w:eastAsia="Calibri"/>
          <w:noProof/>
          <w:lang w:val="en-IE"/>
        </w:rPr>
        <w:t xml:space="preserve"> (</w:t>
      </w:r>
      <w:r w:rsidR="00631587" w:rsidRPr="000939E2">
        <w:rPr>
          <w:rFonts w:eastAsia="Calibri"/>
          <w:noProof/>
          <w:lang w:val="en-IE"/>
        </w:rPr>
        <w:t>average cost of 1 FTE x 73)</w:t>
      </w:r>
      <w:r w:rsidR="000B4625" w:rsidRPr="000939E2">
        <w:rPr>
          <w:rFonts w:eastAsia="Calibri"/>
          <w:noProof/>
          <w:lang w:val="en-IE"/>
        </w:rPr>
        <w:t>, and other costs increase by 20%, i.e. the costs for building and equipment would rise to EUR</w:t>
      </w:r>
      <w:r w:rsidR="00633170" w:rsidRPr="000939E2">
        <w:rPr>
          <w:rFonts w:eastAsia="Times New Roman"/>
          <w:noProof/>
          <w:color w:val="000000" w:themeColor="text1"/>
        </w:rPr>
        <w:t> </w:t>
      </w:r>
      <w:r w:rsidR="000B4625" w:rsidRPr="000939E2">
        <w:rPr>
          <w:rFonts w:eastAsia="Calibri"/>
          <w:noProof/>
          <w:lang w:val="en-IE"/>
        </w:rPr>
        <w:t>2.0</w:t>
      </w:r>
      <w:r w:rsidR="009D210D" w:rsidRPr="000939E2">
        <w:rPr>
          <w:rFonts w:eastAsia="Calibri"/>
          <w:noProof/>
          <w:lang w:val="en-IE"/>
        </w:rPr>
        <w:t>90</w:t>
      </w:r>
      <w:r w:rsidR="000B4625" w:rsidRPr="000939E2">
        <w:rPr>
          <w:rFonts w:eastAsia="Calibri"/>
          <w:noProof/>
          <w:lang w:val="en-IE"/>
        </w:rPr>
        <w:t xml:space="preserve"> million and the operational costs would rise to EUR</w:t>
      </w:r>
      <w:r w:rsidR="00633170" w:rsidRPr="000939E2">
        <w:rPr>
          <w:rFonts w:eastAsia="Times New Roman"/>
          <w:noProof/>
          <w:color w:val="000000" w:themeColor="text1"/>
        </w:rPr>
        <w:t> </w:t>
      </w:r>
      <w:r w:rsidR="000B4625" w:rsidRPr="000939E2">
        <w:rPr>
          <w:rFonts w:eastAsia="Calibri"/>
          <w:noProof/>
          <w:lang w:val="en-IE"/>
        </w:rPr>
        <w:t>1.589 million; therefore</w:t>
      </w:r>
      <w:r w:rsidR="000B4625" w:rsidRPr="00DE264C">
        <w:rPr>
          <w:rFonts w:eastAsia="Calibri"/>
          <w:noProof/>
          <w:lang w:val="en-IE"/>
        </w:rPr>
        <w:t xml:space="preserve">, the annual costs for the BEREC Office would increase to approx. </w:t>
      </w:r>
      <w:r w:rsidRPr="00DE264C">
        <w:rPr>
          <w:rFonts w:eastAsia="Calibri"/>
          <w:noProof/>
          <w:lang w:val="en-IE"/>
        </w:rPr>
        <w:t>EUR</w:t>
      </w:r>
      <w:r w:rsidR="00633170">
        <w:rPr>
          <w:rFonts w:eastAsia="Times New Roman"/>
          <w:noProof/>
          <w:color w:val="000000" w:themeColor="text1"/>
        </w:rPr>
        <w:t> </w:t>
      </w:r>
      <w:r w:rsidRPr="00DE264C">
        <w:rPr>
          <w:rFonts w:eastAsia="Calibri"/>
          <w:noProof/>
          <w:lang w:val="en-IE"/>
        </w:rPr>
        <w:t>1</w:t>
      </w:r>
      <w:r w:rsidR="002A3A8A" w:rsidRPr="00DE264C">
        <w:rPr>
          <w:rFonts w:eastAsia="Calibri"/>
          <w:noProof/>
          <w:lang w:val="en-IE"/>
        </w:rPr>
        <w:t>1</w:t>
      </w:r>
      <w:r w:rsidR="000B4625" w:rsidRPr="00DE264C">
        <w:rPr>
          <w:rFonts w:eastAsia="Calibri"/>
          <w:noProof/>
          <w:lang w:val="en-IE"/>
        </w:rPr>
        <w:t>.</w:t>
      </w:r>
      <w:r w:rsidR="00C36220" w:rsidRPr="00DE264C">
        <w:rPr>
          <w:rFonts w:eastAsia="Calibri"/>
          <w:noProof/>
          <w:lang w:val="en-IE"/>
        </w:rPr>
        <w:t>42</w:t>
      </w:r>
      <w:r w:rsidR="00D433E8" w:rsidRPr="00DE264C">
        <w:rPr>
          <w:rFonts w:eastAsia="Calibri"/>
          <w:noProof/>
          <w:lang w:val="en-IE"/>
        </w:rPr>
        <w:t>0</w:t>
      </w:r>
      <w:r w:rsidR="000B4625" w:rsidRPr="00DE264C">
        <w:rPr>
          <w:rFonts w:eastAsia="Calibri"/>
          <w:noProof/>
          <w:lang w:val="en-IE"/>
        </w:rPr>
        <w:t xml:space="preserve"> million. This increase in budget </w:t>
      </w:r>
      <w:r w:rsidR="0059537E" w:rsidRPr="00DE264C">
        <w:rPr>
          <w:rFonts w:eastAsia="Calibri"/>
          <w:noProof/>
          <w:lang w:val="en-IE"/>
        </w:rPr>
        <w:t>(</w:t>
      </w:r>
      <w:r w:rsidR="00D4470E" w:rsidRPr="00DE264C">
        <w:rPr>
          <w:rFonts w:eastAsia="Calibri"/>
          <w:noProof/>
          <w:lang w:val="en-IE"/>
        </w:rPr>
        <w:t>EUR</w:t>
      </w:r>
      <w:r w:rsidR="00633170">
        <w:rPr>
          <w:rFonts w:eastAsia="Times New Roman"/>
          <w:noProof/>
          <w:color w:val="000000" w:themeColor="text1"/>
        </w:rPr>
        <w:t> </w:t>
      </w:r>
      <w:r w:rsidR="00D4470E" w:rsidRPr="00DE264C">
        <w:rPr>
          <w:rFonts w:eastAsia="Calibri"/>
          <w:noProof/>
          <w:lang w:val="en-IE"/>
        </w:rPr>
        <w:t xml:space="preserve">3.320 million) </w:t>
      </w:r>
      <w:r w:rsidR="000B4625" w:rsidRPr="00DE264C">
        <w:rPr>
          <w:rFonts w:eastAsia="Calibri"/>
          <w:noProof/>
          <w:lang w:val="en-IE"/>
        </w:rPr>
        <w:t xml:space="preserve">includes additional costs associated with the increase in the organisation of BEREC and RSPG working groups’ activities; an increase of 25% in the latter would amount to upward of EUR 80 000 per year in additional organisational and reimbursement costs. The above figures do not include </w:t>
      </w:r>
      <w:r w:rsidR="003E55A8" w:rsidRPr="00DE264C">
        <w:rPr>
          <w:rFonts w:eastAsia="Calibri"/>
          <w:noProof/>
          <w:lang w:val="en-IE"/>
        </w:rPr>
        <w:t>the</w:t>
      </w:r>
      <w:r w:rsidR="000B4625" w:rsidRPr="00DE264C">
        <w:rPr>
          <w:rFonts w:eastAsia="Calibri"/>
          <w:noProof/>
          <w:lang w:val="en-IE"/>
        </w:rPr>
        <w:t xml:space="preserve"> possibility of establishing a small liaison office in Brussels. For comparison purposes, the costs of maintenance of the ENISA local office in Brussels for up to </w:t>
      </w:r>
      <w:r w:rsidR="00FE4CB6">
        <w:rPr>
          <w:rFonts w:eastAsia="Calibri"/>
          <w:noProof/>
          <w:lang w:val="en-IE"/>
        </w:rPr>
        <w:t>10</w:t>
      </w:r>
      <w:r w:rsidR="000B4625" w:rsidRPr="00DE264C">
        <w:rPr>
          <w:rFonts w:eastAsia="Calibri"/>
          <w:noProof/>
          <w:lang w:val="en-IE"/>
        </w:rPr>
        <w:t xml:space="preserve"> FTEs are around EUR</w:t>
      </w:r>
      <w:r w:rsidR="00633170">
        <w:rPr>
          <w:rFonts w:eastAsia="Times New Roman"/>
          <w:noProof/>
          <w:color w:val="000000" w:themeColor="text1"/>
        </w:rPr>
        <w:t> </w:t>
      </w:r>
      <w:r w:rsidR="000B4625" w:rsidRPr="00DE264C">
        <w:rPr>
          <w:rFonts w:eastAsia="Calibri"/>
          <w:noProof/>
          <w:lang w:val="en-IE"/>
        </w:rPr>
        <w:t>170 000</w:t>
      </w:r>
      <w:r w:rsidR="00700A1A" w:rsidRPr="00DE264C">
        <w:rPr>
          <w:rFonts w:eastAsia="Calibri"/>
          <w:noProof/>
          <w:lang w:val="en-IE"/>
        </w:rPr>
        <w:t xml:space="preserve"> per year</w:t>
      </w:r>
      <w:r w:rsidR="000B4625" w:rsidRPr="00DE264C">
        <w:rPr>
          <w:rFonts w:eastAsia="Calibri"/>
          <w:noProof/>
          <w:lang w:val="en-IE"/>
        </w:rPr>
        <w:t>, and staff expenditures are higher as standard rates applies with no corrective coefficient</w:t>
      </w:r>
      <w:r w:rsidR="009912B3" w:rsidRPr="00DE264C">
        <w:rPr>
          <w:rStyle w:val="FootnoteReference"/>
          <w:rFonts w:eastAsia="Calibri"/>
          <w:noProof/>
          <w:lang w:val="en-IE"/>
        </w:rPr>
        <w:footnoteReference w:id="264"/>
      </w:r>
      <w:r w:rsidR="000B4625" w:rsidRPr="00DE264C">
        <w:rPr>
          <w:rFonts w:eastAsia="Calibri"/>
          <w:noProof/>
          <w:lang w:val="en-IE"/>
        </w:rPr>
        <w:t>.</w:t>
      </w:r>
    </w:p>
    <w:p w14:paraId="3DA7E365" w14:textId="21718EBA" w:rsidR="00297521" w:rsidRPr="00DE264C" w:rsidRDefault="000E0C2B" w:rsidP="00DE7CC1">
      <w:pPr>
        <w:spacing w:line="240" w:lineRule="auto"/>
        <w:rPr>
          <w:noProof/>
        </w:rPr>
      </w:pPr>
      <w:r w:rsidRPr="00DE264C">
        <w:rPr>
          <w:noProof/>
        </w:rPr>
        <w:t>The increase of staff represent</w:t>
      </w:r>
      <w:r w:rsidR="26EF8D97" w:rsidRPr="00DE264C">
        <w:rPr>
          <w:noProof/>
        </w:rPr>
        <w:t>s</w:t>
      </w:r>
      <w:r w:rsidRPr="00DE264C">
        <w:rPr>
          <w:noProof/>
        </w:rPr>
        <w:t xml:space="preserve"> the largest increase of costs</w:t>
      </w:r>
      <w:r w:rsidR="26EF8D97" w:rsidRPr="00DE264C">
        <w:rPr>
          <w:noProof/>
        </w:rPr>
        <w:t xml:space="preserve"> and </w:t>
      </w:r>
      <w:r w:rsidRPr="00DE264C">
        <w:rPr>
          <w:noProof/>
        </w:rPr>
        <w:t xml:space="preserve">will be partially offset by Commission staff no longer providing administrative support to RSPG (1.5 FTE), and synergies realised when BEREC and RSPG are supported by the BEREC Office. </w:t>
      </w:r>
      <w:r w:rsidR="28913611" w:rsidRPr="00DE264C">
        <w:rPr>
          <w:noProof/>
        </w:rPr>
        <w:t xml:space="preserve">The Commission will also need </w:t>
      </w:r>
      <w:r w:rsidR="035E6CFF" w:rsidRPr="00DE264C">
        <w:rPr>
          <w:noProof/>
        </w:rPr>
        <w:t xml:space="preserve">reinforcement </w:t>
      </w:r>
      <w:r w:rsidR="28913611" w:rsidRPr="00DE264C">
        <w:rPr>
          <w:noProof/>
        </w:rPr>
        <w:t xml:space="preserve">to </w:t>
      </w:r>
      <w:r w:rsidR="035E6CFF" w:rsidRPr="00DE264C">
        <w:rPr>
          <w:noProof/>
        </w:rPr>
        <w:t>cope with its additional tasks</w:t>
      </w:r>
      <w:r w:rsidR="3784D38C" w:rsidRPr="00DE264C">
        <w:rPr>
          <w:noProof/>
        </w:rPr>
        <w:t>, in particular in terms of additional decision</w:t>
      </w:r>
      <w:r w:rsidR="004E2822" w:rsidRPr="00DE264C">
        <w:rPr>
          <w:noProof/>
        </w:rPr>
        <w:t>-</w:t>
      </w:r>
      <w:r w:rsidR="3784D38C" w:rsidRPr="00DE264C">
        <w:rPr>
          <w:noProof/>
        </w:rPr>
        <w:t xml:space="preserve">making powers </w:t>
      </w:r>
      <w:r w:rsidR="1E8D7112" w:rsidRPr="00DE264C">
        <w:rPr>
          <w:noProof/>
        </w:rPr>
        <w:t xml:space="preserve">for </w:t>
      </w:r>
      <w:r w:rsidR="07B0A3A6" w:rsidRPr="00DE264C">
        <w:rPr>
          <w:noProof/>
        </w:rPr>
        <w:t>satellite</w:t>
      </w:r>
      <w:r w:rsidR="3A92DAAC" w:rsidRPr="00DE264C">
        <w:rPr>
          <w:noProof/>
        </w:rPr>
        <w:t xml:space="preserve"> authorisation</w:t>
      </w:r>
      <w:r w:rsidR="380955BE" w:rsidRPr="00DE264C">
        <w:rPr>
          <w:noProof/>
        </w:rPr>
        <w:t>,</w:t>
      </w:r>
      <w:r w:rsidR="07B0A3A6" w:rsidRPr="00DE264C">
        <w:rPr>
          <w:noProof/>
        </w:rPr>
        <w:t xml:space="preserve"> </w:t>
      </w:r>
      <w:r w:rsidR="09CF7FA7" w:rsidRPr="00DE264C">
        <w:rPr>
          <w:noProof/>
        </w:rPr>
        <w:t xml:space="preserve">petition </w:t>
      </w:r>
      <w:r w:rsidR="3F69DB18" w:rsidRPr="00DE264C">
        <w:rPr>
          <w:noProof/>
        </w:rPr>
        <w:t xml:space="preserve">for </w:t>
      </w:r>
      <w:r w:rsidR="09CF7FA7" w:rsidRPr="00DE264C">
        <w:rPr>
          <w:noProof/>
        </w:rPr>
        <w:t>rul</w:t>
      </w:r>
      <w:r w:rsidR="3E467295" w:rsidRPr="00DE264C">
        <w:rPr>
          <w:noProof/>
        </w:rPr>
        <w:t>e mak</w:t>
      </w:r>
      <w:r w:rsidR="09CF7FA7" w:rsidRPr="00DE264C">
        <w:rPr>
          <w:noProof/>
        </w:rPr>
        <w:t>ing</w:t>
      </w:r>
      <w:r w:rsidR="3A92DAAC" w:rsidRPr="00DE264C">
        <w:rPr>
          <w:noProof/>
        </w:rPr>
        <w:t xml:space="preserve"> or</w:t>
      </w:r>
      <w:r w:rsidR="380955BE" w:rsidRPr="00DE264C">
        <w:rPr>
          <w:noProof/>
        </w:rPr>
        <w:t xml:space="preserve"> </w:t>
      </w:r>
      <w:r w:rsidR="42070615" w:rsidRPr="00DE264C">
        <w:rPr>
          <w:noProof/>
        </w:rPr>
        <w:t xml:space="preserve">ex ante </w:t>
      </w:r>
      <w:r w:rsidR="00584258">
        <w:rPr>
          <w:noProof/>
        </w:rPr>
        <w:t>single market procedure</w:t>
      </w:r>
      <w:r w:rsidR="00466670" w:rsidRPr="00DE264C">
        <w:rPr>
          <w:noProof/>
        </w:rPr>
        <w:t xml:space="preserve">. This required increase is estimated at </w:t>
      </w:r>
      <w:r w:rsidR="00FE4CB6">
        <w:rPr>
          <w:noProof/>
        </w:rPr>
        <w:t>10</w:t>
      </w:r>
      <w:r w:rsidR="00466670" w:rsidRPr="00DE264C">
        <w:rPr>
          <w:noProof/>
        </w:rPr>
        <w:t xml:space="preserve"> FTE</w:t>
      </w:r>
      <w:r w:rsidR="06528282" w:rsidRPr="00DE264C">
        <w:rPr>
          <w:noProof/>
        </w:rPr>
        <w:t>; additional posts could be partially</w:t>
      </w:r>
      <w:r w:rsidR="5A4E23B4" w:rsidRPr="00DE264C">
        <w:rPr>
          <w:noProof/>
        </w:rPr>
        <w:t xml:space="preserve"> financed from fees</w:t>
      </w:r>
      <w:r w:rsidR="7568CABC" w:rsidRPr="00DE264C">
        <w:rPr>
          <w:noProof/>
        </w:rPr>
        <w:t>.</w:t>
      </w:r>
      <w:r w:rsidRPr="00DE264C">
        <w:rPr>
          <w:noProof/>
        </w:rPr>
        <w:t xml:space="preserve"> </w:t>
      </w:r>
    </w:p>
    <w:p w14:paraId="2BD340BC" w14:textId="61D6134B" w:rsidR="00F5271B" w:rsidRPr="00DE264C" w:rsidRDefault="00FA1C26" w:rsidP="00DE7CC1">
      <w:pPr>
        <w:spacing w:line="240" w:lineRule="auto"/>
        <w:rPr>
          <w:rFonts w:eastAsia="Calibri"/>
          <w:noProof/>
        </w:rPr>
      </w:pPr>
      <w:r w:rsidRPr="00DE264C">
        <w:rPr>
          <w:noProof/>
        </w:rPr>
        <w:t>Participation cost in working groups for NRAs and CAs are expected to increase</w:t>
      </w:r>
      <w:r w:rsidR="00381DE7" w:rsidRPr="00DE264C">
        <w:rPr>
          <w:noProof/>
        </w:rPr>
        <w:t xml:space="preserve"> for both BEREC and RSPG</w:t>
      </w:r>
      <w:r w:rsidRPr="00DE264C">
        <w:rPr>
          <w:noProof/>
        </w:rPr>
        <w:t xml:space="preserve">. </w:t>
      </w:r>
      <w:r w:rsidR="00AB1311" w:rsidRPr="00DE264C">
        <w:rPr>
          <w:noProof/>
        </w:rPr>
        <w:t xml:space="preserve">Assuming 25% increase in activities of both these bodies, </w:t>
      </w:r>
      <w:r w:rsidR="00533FB1" w:rsidRPr="00DE264C">
        <w:rPr>
          <w:noProof/>
        </w:rPr>
        <w:t>for BEREC</w:t>
      </w:r>
      <w:r w:rsidR="000A73B5" w:rsidRPr="00DE264C">
        <w:rPr>
          <w:noProof/>
        </w:rPr>
        <w:t>,</w:t>
      </w:r>
      <w:r w:rsidR="00533FB1" w:rsidRPr="00DE264C">
        <w:rPr>
          <w:noProof/>
        </w:rPr>
        <w:t xml:space="preserve"> the</w:t>
      </w:r>
      <w:r w:rsidR="00AB1311" w:rsidRPr="00DE264C">
        <w:rPr>
          <w:noProof/>
        </w:rPr>
        <w:t xml:space="preserve"> average time spent by the NRAs on working groups would increase by </w:t>
      </w:r>
      <w:r w:rsidR="00842752" w:rsidRPr="00DE264C">
        <w:rPr>
          <w:noProof/>
        </w:rPr>
        <w:t xml:space="preserve">c.a. </w:t>
      </w:r>
      <w:r w:rsidR="00AB1311" w:rsidRPr="00DE264C">
        <w:rPr>
          <w:noProof/>
        </w:rPr>
        <w:t>550 hours</w:t>
      </w:r>
      <w:r w:rsidR="00842752" w:rsidRPr="00DE264C">
        <w:rPr>
          <w:noProof/>
        </w:rPr>
        <w:t xml:space="preserve"> </w:t>
      </w:r>
      <w:r w:rsidR="00332BDB" w:rsidRPr="00DE264C">
        <w:rPr>
          <w:noProof/>
        </w:rPr>
        <w:t>corresponding with</w:t>
      </w:r>
      <w:r w:rsidR="00AB1311" w:rsidRPr="00DE264C">
        <w:rPr>
          <w:noProof/>
        </w:rPr>
        <w:t xml:space="preserve"> </w:t>
      </w:r>
      <w:r w:rsidR="00842752" w:rsidRPr="00DE264C">
        <w:rPr>
          <w:noProof/>
        </w:rPr>
        <w:t>EUR</w:t>
      </w:r>
      <w:r w:rsidR="00181277">
        <w:rPr>
          <w:rFonts w:eastAsia="Times New Roman"/>
          <w:noProof/>
          <w:color w:val="000000" w:themeColor="text1"/>
        </w:rPr>
        <w:t> </w:t>
      </w:r>
      <w:r w:rsidR="00AB1311" w:rsidRPr="00DE264C">
        <w:rPr>
          <w:noProof/>
        </w:rPr>
        <w:t>26</w:t>
      </w:r>
      <w:r w:rsidR="22560EBD" w:rsidRPr="00DE264C">
        <w:rPr>
          <w:noProof/>
        </w:rPr>
        <w:t xml:space="preserve"> </w:t>
      </w:r>
      <w:r w:rsidR="00AB1311" w:rsidRPr="00DE264C">
        <w:rPr>
          <w:noProof/>
        </w:rPr>
        <w:t>400</w:t>
      </w:r>
      <w:r w:rsidR="00C87B47" w:rsidRPr="00DE264C">
        <w:rPr>
          <w:rStyle w:val="FootnoteReference"/>
          <w:noProof/>
        </w:rPr>
        <w:footnoteReference w:id="265"/>
      </w:r>
      <w:r w:rsidR="00AB1311" w:rsidRPr="00DE264C">
        <w:rPr>
          <w:noProof/>
        </w:rPr>
        <w:t xml:space="preserve"> in additional staff expenditure for participation in BEREC per year</w:t>
      </w:r>
      <w:r w:rsidR="000A73B5" w:rsidRPr="00DE264C">
        <w:rPr>
          <w:noProof/>
        </w:rPr>
        <w:t xml:space="preserve">. </w:t>
      </w:r>
      <w:r w:rsidR="00FC4CE2" w:rsidRPr="00DE264C">
        <w:rPr>
          <w:noProof/>
        </w:rPr>
        <w:t xml:space="preserve">An increase of 25% in RSPG </w:t>
      </w:r>
      <w:r w:rsidR="00FB6DA9" w:rsidRPr="00DE264C">
        <w:rPr>
          <w:noProof/>
        </w:rPr>
        <w:t>activities</w:t>
      </w:r>
      <w:r w:rsidR="00FC4CE2" w:rsidRPr="00DE264C">
        <w:rPr>
          <w:noProof/>
        </w:rPr>
        <w:t xml:space="preserve"> would amount to 115 additional hours per Member State, or on average around EUR 5</w:t>
      </w:r>
      <w:r w:rsidR="0AD81AEC" w:rsidRPr="00DE264C">
        <w:rPr>
          <w:noProof/>
        </w:rPr>
        <w:t xml:space="preserve"> </w:t>
      </w:r>
      <w:r w:rsidR="00FC4CE2" w:rsidRPr="00DE264C">
        <w:rPr>
          <w:noProof/>
        </w:rPr>
        <w:t>500 in additional costs for staff per Member State</w:t>
      </w:r>
      <w:r w:rsidR="00F8370D" w:rsidRPr="00DE264C">
        <w:rPr>
          <w:rStyle w:val="FootnoteReference"/>
          <w:noProof/>
        </w:rPr>
        <w:footnoteReference w:id="266"/>
      </w:r>
      <w:r w:rsidR="00FC4CE2" w:rsidRPr="00DE264C">
        <w:rPr>
          <w:noProof/>
        </w:rPr>
        <w:t xml:space="preserve">. </w:t>
      </w:r>
      <w:r w:rsidRPr="00DE264C">
        <w:rPr>
          <w:noProof/>
        </w:rPr>
        <w:t xml:space="preserve">However, </w:t>
      </w:r>
      <w:r w:rsidR="00F5271B" w:rsidRPr="00DE264C">
        <w:rPr>
          <w:noProof/>
        </w:rPr>
        <w:t xml:space="preserve">some cost savings will materialise on the side of the NRAs and other CAs, </w:t>
      </w:r>
      <w:r w:rsidR="0095184B" w:rsidRPr="00DE264C">
        <w:rPr>
          <w:noProof/>
        </w:rPr>
        <w:t xml:space="preserve">thanks </w:t>
      </w:r>
      <w:r w:rsidR="00F5271B" w:rsidRPr="00DE264C">
        <w:rPr>
          <w:noProof/>
        </w:rPr>
        <w:t>to the work done by the BEREC Office staff</w:t>
      </w:r>
      <w:r w:rsidR="0095184B" w:rsidRPr="00DE264C">
        <w:rPr>
          <w:noProof/>
        </w:rPr>
        <w:t xml:space="preserve"> on subs</w:t>
      </w:r>
      <w:r w:rsidR="003F1359" w:rsidRPr="00DE264C">
        <w:rPr>
          <w:noProof/>
        </w:rPr>
        <w:t>t</w:t>
      </w:r>
      <w:r w:rsidR="0095184B" w:rsidRPr="00DE264C">
        <w:rPr>
          <w:noProof/>
        </w:rPr>
        <w:t>ance</w:t>
      </w:r>
      <w:r w:rsidR="00F5271B" w:rsidRPr="00DE264C">
        <w:rPr>
          <w:noProof/>
        </w:rPr>
        <w:t xml:space="preserve">, which </w:t>
      </w:r>
      <w:r w:rsidRPr="00DE264C">
        <w:rPr>
          <w:noProof/>
        </w:rPr>
        <w:t xml:space="preserve">will </w:t>
      </w:r>
      <w:r w:rsidR="00B6247B" w:rsidRPr="00DE264C">
        <w:rPr>
          <w:noProof/>
        </w:rPr>
        <w:t>to an extent</w:t>
      </w:r>
      <w:r w:rsidRPr="00DE264C">
        <w:rPr>
          <w:noProof/>
        </w:rPr>
        <w:t xml:space="preserve"> offset cost increases</w:t>
      </w:r>
      <w:r w:rsidR="00F5271B" w:rsidRPr="00DE264C">
        <w:rPr>
          <w:noProof/>
        </w:rPr>
        <w:t xml:space="preserve">. </w:t>
      </w:r>
      <w:r w:rsidR="00F51DD6" w:rsidRPr="00DE264C">
        <w:rPr>
          <w:noProof/>
        </w:rPr>
        <w:t>In this regard, the largest impact results from possible Co-Chairmanship of the BEREC working groups, estimated to require 70-90% FTE for each working group</w:t>
      </w:r>
      <w:r w:rsidR="00F51DD6" w:rsidRPr="00DE264C">
        <w:rPr>
          <w:rStyle w:val="FootnoteReference"/>
          <w:noProof/>
        </w:rPr>
        <w:footnoteReference w:id="267"/>
      </w:r>
      <w:r w:rsidR="00F51DD6" w:rsidRPr="00DE264C">
        <w:rPr>
          <w:noProof/>
        </w:rPr>
        <w:t>.</w:t>
      </w:r>
      <w:r w:rsidR="00F5271B" w:rsidRPr="00DE264C">
        <w:rPr>
          <w:noProof/>
        </w:rPr>
        <w:t xml:space="preserve"> Likewise, cost saving</w:t>
      </w:r>
      <w:r w:rsidR="00FF10B6" w:rsidRPr="00DE264C">
        <w:rPr>
          <w:noProof/>
        </w:rPr>
        <w:t>s at national level</w:t>
      </w:r>
      <w:r w:rsidR="00F5271B" w:rsidRPr="00DE264C">
        <w:rPr>
          <w:noProof/>
        </w:rPr>
        <w:t xml:space="preserve"> </w:t>
      </w:r>
      <w:r w:rsidR="00FF10B6" w:rsidRPr="00DE264C">
        <w:rPr>
          <w:noProof/>
        </w:rPr>
        <w:t>are</w:t>
      </w:r>
      <w:r w:rsidR="00F5271B" w:rsidRPr="00DE264C">
        <w:rPr>
          <w:noProof/>
        </w:rPr>
        <w:t xml:space="preserve"> likely to happen </w:t>
      </w:r>
      <w:r w:rsidR="00FF10B6" w:rsidRPr="00DE264C">
        <w:rPr>
          <w:noProof/>
        </w:rPr>
        <w:t xml:space="preserve">thanks </w:t>
      </w:r>
      <w:r w:rsidR="00F5271B" w:rsidRPr="00DE264C">
        <w:rPr>
          <w:noProof/>
        </w:rPr>
        <w:t xml:space="preserve">to </w:t>
      </w:r>
      <w:r w:rsidR="00FF10B6" w:rsidRPr="00DE264C">
        <w:rPr>
          <w:noProof/>
        </w:rPr>
        <w:t>EU</w:t>
      </w:r>
      <w:r w:rsidR="00F5271B" w:rsidRPr="00DE264C">
        <w:rPr>
          <w:noProof/>
        </w:rPr>
        <w:t xml:space="preserve"> satellite authorisation. </w:t>
      </w:r>
      <w:r w:rsidR="00F75C70" w:rsidRPr="00DE264C">
        <w:rPr>
          <w:rFonts w:eastAsia="Calibri"/>
          <w:noProof/>
        </w:rPr>
        <w:t>Most of the costs entailed by this increase would be borne by the EU budget and</w:t>
      </w:r>
      <w:r w:rsidR="00835EFD" w:rsidRPr="00DE264C">
        <w:rPr>
          <w:rFonts w:eastAsia="Calibri"/>
          <w:noProof/>
        </w:rPr>
        <w:t>, in the case of BEREC Office,</w:t>
      </w:r>
      <w:r w:rsidR="00F75C70" w:rsidRPr="00DE264C">
        <w:rPr>
          <w:rFonts w:eastAsia="Calibri"/>
          <w:noProof/>
        </w:rPr>
        <w:t xml:space="preserve"> possibly </w:t>
      </w:r>
      <w:r w:rsidR="00835EFD" w:rsidRPr="00DE264C">
        <w:rPr>
          <w:rFonts w:eastAsia="Calibri"/>
          <w:noProof/>
        </w:rPr>
        <w:t xml:space="preserve">also by contributions from </w:t>
      </w:r>
      <w:r w:rsidR="00F75C70" w:rsidRPr="00DE264C">
        <w:rPr>
          <w:rFonts w:eastAsia="Calibri"/>
          <w:noProof/>
        </w:rPr>
        <w:t>the NRAs or</w:t>
      </w:r>
      <w:r w:rsidR="00F75C70" w:rsidRPr="00DE264C" w:rsidDel="004D55C3">
        <w:rPr>
          <w:rFonts w:eastAsia="Calibri"/>
          <w:noProof/>
        </w:rPr>
        <w:t xml:space="preserve"> </w:t>
      </w:r>
      <w:r w:rsidR="00F75C70" w:rsidRPr="00DE264C">
        <w:rPr>
          <w:rFonts w:eastAsia="Calibri"/>
          <w:noProof/>
        </w:rPr>
        <w:t>other CAs, and via direct fees paid by market participants</w:t>
      </w:r>
      <w:r w:rsidR="00175C53" w:rsidRPr="00DE264C">
        <w:rPr>
          <w:rFonts w:eastAsia="Calibri"/>
          <w:noProof/>
        </w:rPr>
        <w:t xml:space="preserve">, such as </w:t>
      </w:r>
      <w:r w:rsidR="00362337" w:rsidRPr="00DE264C">
        <w:rPr>
          <w:rFonts w:eastAsia="Calibri"/>
          <w:noProof/>
        </w:rPr>
        <w:t xml:space="preserve">for EU </w:t>
      </w:r>
      <w:r w:rsidR="00272BBD" w:rsidRPr="00DE264C">
        <w:rPr>
          <w:rFonts w:eastAsia="Calibri"/>
          <w:noProof/>
        </w:rPr>
        <w:t>satellite authorisations</w:t>
      </w:r>
      <w:r w:rsidR="00835EFD" w:rsidRPr="00DE264C">
        <w:rPr>
          <w:rFonts w:eastAsia="Calibri"/>
          <w:noProof/>
        </w:rPr>
        <w:t xml:space="preserve"> </w:t>
      </w:r>
      <w:r w:rsidR="00F75C70" w:rsidRPr="00DE264C">
        <w:rPr>
          <w:rFonts w:eastAsia="Calibri"/>
          <w:noProof/>
        </w:rPr>
        <w:t xml:space="preserve">for services performed by it. </w:t>
      </w:r>
    </w:p>
    <w:p w14:paraId="2DF90136" w14:textId="0C4FBBE2" w:rsidR="00A5543B" w:rsidRPr="00DE264C" w:rsidRDefault="00A5543B" w:rsidP="00DE7CC1">
      <w:pPr>
        <w:pStyle w:val="CommentText"/>
        <w:spacing w:line="240" w:lineRule="auto"/>
        <w:rPr>
          <w:rFonts w:eastAsiaTheme="minorEastAsia"/>
          <w:iCs/>
          <w:noProof/>
          <w:sz w:val="24"/>
          <w:szCs w:val="24"/>
          <w:lang w:val="en-IE"/>
        </w:rPr>
      </w:pPr>
      <w:r w:rsidRPr="00DE264C">
        <w:rPr>
          <w:rFonts w:eastAsiaTheme="minorEastAsia"/>
          <w:iCs/>
          <w:noProof/>
          <w:sz w:val="24"/>
          <w:szCs w:val="24"/>
        </w:rPr>
        <w:t xml:space="preserve">Currently, under Regulation (EU) 2018/1971 and its Financial Regulation, almost all BEREC and BEREC Office revenue comes from an EU subsidy, with only small contributions </w:t>
      </w:r>
      <w:r w:rsidR="002A63FA" w:rsidRPr="00DE264C">
        <w:rPr>
          <w:rFonts w:eastAsiaTheme="minorEastAsia"/>
          <w:iCs/>
          <w:noProof/>
          <w:sz w:val="24"/>
          <w:szCs w:val="24"/>
        </w:rPr>
        <w:t>from the</w:t>
      </w:r>
      <w:r w:rsidRPr="00DE264C">
        <w:rPr>
          <w:rFonts w:eastAsiaTheme="minorEastAsia"/>
          <w:noProof/>
          <w:sz w:val="24"/>
          <w:szCs w:val="24"/>
        </w:rPr>
        <w:t xml:space="preserve"> </w:t>
      </w:r>
      <w:r w:rsidR="00A86761">
        <w:rPr>
          <w:rFonts w:eastAsiaTheme="minorEastAsia"/>
          <w:noProof/>
          <w:sz w:val="24"/>
          <w:szCs w:val="24"/>
        </w:rPr>
        <w:t xml:space="preserve">EEA </w:t>
      </w:r>
      <w:r w:rsidRPr="00DE264C">
        <w:rPr>
          <w:rFonts w:eastAsiaTheme="minorEastAsia"/>
          <w:iCs/>
          <w:noProof/>
          <w:sz w:val="24"/>
          <w:szCs w:val="24"/>
        </w:rPr>
        <w:t xml:space="preserve">EFTA </w:t>
      </w:r>
      <w:r w:rsidR="00E5428A" w:rsidRPr="00DE264C">
        <w:rPr>
          <w:rFonts w:eastAsiaTheme="minorEastAsia"/>
          <w:iCs/>
          <w:noProof/>
          <w:sz w:val="24"/>
          <w:szCs w:val="24"/>
        </w:rPr>
        <w:t>c</w:t>
      </w:r>
      <w:r w:rsidRPr="00DE264C">
        <w:rPr>
          <w:rFonts w:eastAsiaTheme="minorEastAsia"/>
          <w:iCs/>
          <w:noProof/>
          <w:sz w:val="24"/>
          <w:szCs w:val="24"/>
        </w:rPr>
        <w:t xml:space="preserve">ountries for example. The EU budget model offers predictability, transparency, and equal treatment, however, depending solely on EU budget allocations carries risks in particular in budget restriction phases. </w:t>
      </w:r>
    </w:p>
    <w:p w14:paraId="3D78CEA9" w14:textId="1D7CDC9D" w:rsidR="00B01633" w:rsidRPr="00B01633" w:rsidRDefault="00B01633" w:rsidP="00B01633">
      <w:pPr>
        <w:spacing w:line="240" w:lineRule="auto"/>
        <w:rPr>
          <w:rFonts w:eastAsiaTheme="minorEastAsia"/>
          <w:iCs/>
          <w:noProof/>
        </w:rPr>
      </w:pPr>
      <w:r w:rsidRPr="00B01633">
        <w:rPr>
          <w:rFonts w:eastAsiaTheme="minorEastAsia"/>
          <w:iCs/>
          <w:noProof/>
        </w:rPr>
        <w:t xml:space="preserve">Therefore, we explored a fee-based scheme (e.g. levying charges on electronic communications networks and services providers for certain kinds of authorisations, spectrum use for satellites) similarly to decentralised agencies that are relying on other sources of revenues. While the revamped BEREC Office will remain structurally distinct from many EU decentralised agencies as it will continue to support BEREC and the RSPG, it will be increasingly involved in delivering regulatory outcomes directly to private entities, which </w:t>
      </w:r>
      <w:r w:rsidRPr="000939E2">
        <w:rPr>
          <w:rFonts w:eastAsiaTheme="minorEastAsia"/>
          <w:noProof/>
        </w:rPr>
        <w:t>crea</w:t>
      </w:r>
      <w:r w:rsidR="00E77681" w:rsidRPr="000939E2">
        <w:rPr>
          <w:rFonts w:eastAsiaTheme="minorEastAsia"/>
          <w:noProof/>
        </w:rPr>
        <w:t>t</w:t>
      </w:r>
      <w:r w:rsidRPr="000939E2">
        <w:rPr>
          <w:rFonts w:eastAsiaTheme="minorEastAsia"/>
          <w:noProof/>
        </w:rPr>
        <w:t>es</w:t>
      </w:r>
      <w:r w:rsidRPr="00B01633">
        <w:rPr>
          <w:rFonts w:eastAsiaTheme="minorEastAsia"/>
          <w:iCs/>
          <w:noProof/>
        </w:rPr>
        <w:t xml:space="preserve"> a possibility to charge for “service-based-fees”. Specifically, the satellite fees could be linked to the procedure for upcoming EU-level spectrum assignment, extension and renewals established in the DNA. Such fees could be spread over periods longer than 10 years, providing for a constant and stable revenue. Furthermore, if needed and operationally feasible, administrative charges/spectrum fees could be collected from undertakings subject to EU satellite authorisation after the entry into force of the DNA. </w:t>
      </w:r>
    </w:p>
    <w:p w14:paraId="37159A56" w14:textId="7BDE1D32" w:rsidR="005345DA" w:rsidRPr="005345DA" w:rsidRDefault="005345DA" w:rsidP="005345DA">
      <w:pPr>
        <w:spacing w:line="240" w:lineRule="auto"/>
        <w:rPr>
          <w:rFonts w:eastAsiaTheme="minorEastAsia"/>
          <w:iCs/>
          <w:noProof/>
        </w:rPr>
      </w:pPr>
      <w:r w:rsidRPr="005345DA">
        <w:rPr>
          <w:rFonts w:eastAsiaTheme="minorEastAsia"/>
          <w:iCs/>
          <w:noProof/>
        </w:rPr>
        <w:t>Introducing contributions directly from the market (e.g. from providers of electronic communications networks and services) could appear equitable insofar as the industry benefits from BEREC (and RSPG) work</w:t>
      </w:r>
      <w:r w:rsidR="00936BC0">
        <w:rPr>
          <w:rFonts w:eastAsiaTheme="minorEastAsia"/>
          <w:iCs/>
          <w:noProof/>
        </w:rPr>
        <w:t>.</w:t>
      </w:r>
      <w:r w:rsidRPr="005345DA">
        <w:rPr>
          <w:rFonts w:eastAsiaTheme="minorEastAsia"/>
          <w:iCs/>
          <w:noProof/>
        </w:rPr>
        <w:t xml:space="preserve"> </w:t>
      </w:r>
      <w:r w:rsidR="00936BC0">
        <w:rPr>
          <w:rFonts w:eastAsiaTheme="minorEastAsia"/>
          <w:iCs/>
          <w:noProof/>
        </w:rPr>
        <w:t>Y</w:t>
      </w:r>
      <w:r w:rsidRPr="005345DA">
        <w:rPr>
          <w:rFonts w:eastAsiaTheme="minorEastAsia"/>
          <w:iCs/>
          <w:noProof/>
        </w:rPr>
        <w:t>et</w:t>
      </w:r>
      <w:r w:rsidR="00936BC0">
        <w:rPr>
          <w:rFonts w:eastAsiaTheme="minorEastAsia"/>
          <w:iCs/>
          <w:noProof/>
        </w:rPr>
        <w:t>,</w:t>
      </w:r>
      <w:r w:rsidRPr="005345DA">
        <w:rPr>
          <w:rFonts w:eastAsiaTheme="minorEastAsia"/>
          <w:iCs/>
          <w:noProof/>
        </w:rPr>
        <w:t xml:space="preserve"> this raises concerns about double charging (since many providers already pay national regulators whose staff is also the main contributor to BEREC’s work), and about smaller operators being disproportionately burdened</w:t>
      </w:r>
      <w:r w:rsidR="00936BC0">
        <w:rPr>
          <w:rFonts w:eastAsiaTheme="minorEastAsia"/>
          <w:iCs/>
          <w:noProof/>
        </w:rPr>
        <w:t xml:space="preserve">, and is </w:t>
      </w:r>
      <w:r w:rsidR="0011075E">
        <w:rPr>
          <w:rFonts w:eastAsiaTheme="minorEastAsia"/>
          <w:iCs/>
          <w:noProof/>
        </w:rPr>
        <w:t>consequently not a favoured solution</w:t>
      </w:r>
      <w:r w:rsidRPr="005345DA">
        <w:rPr>
          <w:rFonts w:eastAsiaTheme="minorEastAsia"/>
          <w:iCs/>
          <w:noProof/>
        </w:rPr>
        <w:t xml:space="preserve">. </w:t>
      </w:r>
    </w:p>
    <w:p w14:paraId="6C94D042" w14:textId="77777777" w:rsidR="005345DA" w:rsidRPr="005345DA" w:rsidRDefault="005345DA" w:rsidP="005345DA">
      <w:pPr>
        <w:spacing w:line="240" w:lineRule="auto"/>
        <w:rPr>
          <w:rFonts w:eastAsiaTheme="minorEastAsia"/>
          <w:iCs/>
          <w:noProof/>
        </w:rPr>
      </w:pPr>
      <w:r w:rsidRPr="005345DA">
        <w:rPr>
          <w:rFonts w:eastAsiaTheme="minorEastAsia"/>
          <w:iCs/>
          <w:noProof/>
        </w:rPr>
        <w:t>In summary, the optimal path seems to lie in retaining EU budgetary funding as the backbone of the BEREC Office’s financing, while setting out complementary revenue sources in the form of satellite spectrum authorisation fees and, possibly, also fees for other scarce resources administered at EU level, supplemented by voluntary and in-kind national contributions. Such mix would provide for a stable and proportionate budget aligned with the functions of the revamped BEREC Office.</w:t>
      </w:r>
    </w:p>
    <w:p w14:paraId="626744A3" w14:textId="6CAF1B74" w:rsidR="00F5271B" w:rsidRPr="00DE264C" w:rsidRDefault="00F5271B" w:rsidP="00DE7CC1">
      <w:pPr>
        <w:spacing w:line="240" w:lineRule="auto"/>
        <w:rPr>
          <w:noProof/>
        </w:rPr>
      </w:pPr>
      <w:r w:rsidRPr="00DE264C">
        <w:rPr>
          <w:noProof/>
        </w:rPr>
        <w:t xml:space="preserve">As regards </w:t>
      </w:r>
      <w:r w:rsidRPr="00DE264C">
        <w:rPr>
          <w:b/>
          <w:bCs/>
          <w:noProof/>
        </w:rPr>
        <w:t>social impacts</w:t>
      </w:r>
      <w:r w:rsidRPr="00DE264C">
        <w:rPr>
          <w:noProof/>
        </w:rPr>
        <w:t>,</w:t>
      </w:r>
      <w:r w:rsidRPr="00DE264C">
        <w:rPr>
          <w:i/>
          <w:iCs/>
          <w:noProof/>
        </w:rPr>
        <w:t xml:space="preserve"> </w:t>
      </w:r>
      <w:r w:rsidR="00E520A1" w:rsidRPr="00DE264C">
        <w:rPr>
          <w:noProof/>
        </w:rPr>
        <w:t>the arrangements with</w:t>
      </w:r>
      <w:r w:rsidRPr="00DE264C">
        <w:rPr>
          <w:noProof/>
        </w:rPr>
        <w:t xml:space="preserve"> </w:t>
      </w:r>
      <w:r w:rsidR="00877D7D" w:rsidRPr="00DE264C">
        <w:rPr>
          <w:noProof/>
        </w:rPr>
        <w:t xml:space="preserve">two advisory bodies and a supporting agency </w:t>
      </w:r>
      <w:r w:rsidR="00942CAE" w:rsidRPr="00DE264C">
        <w:rPr>
          <w:noProof/>
        </w:rPr>
        <w:t>in</w:t>
      </w:r>
      <w:r w:rsidRPr="00DE264C">
        <w:rPr>
          <w:noProof/>
        </w:rPr>
        <w:t xml:space="preserve"> </w:t>
      </w:r>
      <w:r w:rsidR="008E2B71">
        <w:rPr>
          <w:noProof/>
        </w:rPr>
        <w:t>o</w:t>
      </w:r>
      <w:r w:rsidRPr="00DE264C">
        <w:rPr>
          <w:noProof/>
        </w:rPr>
        <w:t>ption 1 largely corresponds to the baseline and is not expected to have significant direct societal impacts. An indirect social impact of a strengthened BEREC Office would be more harmonised implementation of telecom regulations,</w:t>
      </w:r>
      <w:r w:rsidR="00D0500C" w:rsidRPr="00DE264C">
        <w:rPr>
          <w:noProof/>
        </w:rPr>
        <w:t xml:space="preserve"> </w:t>
      </w:r>
      <w:r w:rsidRPr="00DE264C">
        <w:rPr>
          <w:noProof/>
        </w:rPr>
        <w:t xml:space="preserve">particularly </w:t>
      </w:r>
      <w:r w:rsidR="00FF6C58" w:rsidRPr="00DE264C">
        <w:rPr>
          <w:noProof/>
        </w:rPr>
        <w:t xml:space="preserve">as regards </w:t>
      </w:r>
      <w:r w:rsidRPr="00DE264C">
        <w:rPr>
          <w:noProof/>
        </w:rPr>
        <w:t>cross-border aspects such as satellite authorisations and EU-level access remedies.</w:t>
      </w:r>
    </w:p>
    <w:p w14:paraId="3D4F2F8B" w14:textId="14BD30F9" w:rsidR="00F5271B" w:rsidRPr="00DE264C" w:rsidRDefault="00F5271B" w:rsidP="00DE7CC1">
      <w:pPr>
        <w:spacing w:line="240" w:lineRule="auto"/>
        <w:rPr>
          <w:noProof/>
        </w:rPr>
      </w:pPr>
      <w:r w:rsidRPr="00DE264C">
        <w:rPr>
          <w:noProof/>
        </w:rPr>
        <w:t xml:space="preserve">With regard to </w:t>
      </w:r>
      <w:r w:rsidRPr="00DE264C">
        <w:rPr>
          <w:b/>
          <w:bCs/>
          <w:noProof/>
        </w:rPr>
        <w:t>environmental impacts</w:t>
      </w:r>
      <w:r w:rsidRPr="00DE264C">
        <w:rPr>
          <w:noProof/>
        </w:rPr>
        <w:t xml:space="preserve">, </w:t>
      </w:r>
      <w:r w:rsidR="008E2B71">
        <w:rPr>
          <w:noProof/>
        </w:rPr>
        <w:t>o</w:t>
      </w:r>
      <w:r w:rsidRPr="00DE264C">
        <w:rPr>
          <w:noProof/>
        </w:rPr>
        <w:t>ption 1 shows only minor differences from the baseline scenario. The number of in-person meetings is not expected to increase significantly</w:t>
      </w:r>
      <w:r w:rsidR="00BF6BED" w:rsidRPr="00DE264C">
        <w:rPr>
          <w:noProof/>
        </w:rPr>
        <w:t xml:space="preserve"> even with </w:t>
      </w:r>
      <w:r w:rsidRPr="00DE264C">
        <w:rPr>
          <w:noProof/>
        </w:rPr>
        <w:t>new tasks</w:t>
      </w:r>
      <w:r w:rsidR="00D7724A" w:rsidRPr="00DE264C">
        <w:rPr>
          <w:noProof/>
        </w:rPr>
        <w:t xml:space="preserve">, as </w:t>
      </w:r>
      <w:r w:rsidRPr="00DE264C">
        <w:rPr>
          <w:noProof/>
        </w:rPr>
        <w:t>additional interactions</w:t>
      </w:r>
      <w:r w:rsidR="009115EA" w:rsidRPr="00DE264C">
        <w:rPr>
          <w:noProof/>
        </w:rPr>
        <w:t xml:space="preserve"> </w:t>
      </w:r>
      <w:r w:rsidR="00E41BCA" w:rsidRPr="00DE264C">
        <w:rPr>
          <w:noProof/>
        </w:rPr>
        <w:t xml:space="preserve">needed </w:t>
      </w:r>
      <w:r w:rsidRPr="00DE264C">
        <w:rPr>
          <w:noProof/>
        </w:rPr>
        <w:t xml:space="preserve">would remain </w:t>
      </w:r>
      <w:r w:rsidR="00E41BCA" w:rsidRPr="00DE264C">
        <w:rPr>
          <w:noProof/>
        </w:rPr>
        <w:t xml:space="preserve">mainly </w:t>
      </w:r>
      <w:r w:rsidRPr="00DE264C">
        <w:rPr>
          <w:noProof/>
        </w:rPr>
        <w:t>online (with no environmental costs). Assuming 1-3 additional large in-person meetings compared to the baseline, the added environmental impact translates into 43-130 tons of CO2 emissions per year, due to air travel</w:t>
      </w:r>
      <w:r w:rsidRPr="00DE264C">
        <w:rPr>
          <w:rStyle w:val="FootnoteReference"/>
          <w:noProof/>
        </w:rPr>
        <w:footnoteReference w:id="268"/>
      </w:r>
      <w:r w:rsidRPr="00DE264C">
        <w:rPr>
          <w:noProof/>
        </w:rPr>
        <w:t>. In addition, higher BEREC Office staffing would require larger premises</w:t>
      </w:r>
      <w:r w:rsidR="00257EB2" w:rsidRPr="00DE264C">
        <w:rPr>
          <w:noProof/>
        </w:rPr>
        <w:t>,</w:t>
      </w:r>
      <w:r w:rsidRPr="00DE264C">
        <w:rPr>
          <w:noProof/>
        </w:rPr>
        <w:t xml:space="preserve"> and these environmental costs would not be offset by reductions on the NRAs’ side.</w:t>
      </w:r>
    </w:p>
    <w:p w14:paraId="21DFAE3B" w14:textId="18DDAECD" w:rsidR="006068B8" w:rsidRPr="00DE264C" w:rsidRDefault="00B366F3" w:rsidP="00DE7CC1">
      <w:pPr>
        <w:spacing w:line="240" w:lineRule="auto"/>
        <w:rPr>
          <w:noProof/>
        </w:rPr>
      </w:pPr>
      <w:r w:rsidRPr="00DE264C">
        <w:rPr>
          <w:noProof/>
        </w:rPr>
        <w:t xml:space="preserve">There is no </w:t>
      </w:r>
      <w:r w:rsidR="00794B2E" w:rsidRPr="00DE264C">
        <w:rPr>
          <w:noProof/>
        </w:rPr>
        <w:t xml:space="preserve">expected </w:t>
      </w:r>
      <w:r w:rsidRPr="00DE264C">
        <w:rPr>
          <w:noProof/>
        </w:rPr>
        <w:t xml:space="preserve">impact on </w:t>
      </w:r>
      <w:r w:rsidRPr="00DE264C">
        <w:rPr>
          <w:b/>
          <w:bCs/>
          <w:noProof/>
        </w:rPr>
        <w:t>fundamental rights</w:t>
      </w:r>
      <w:r w:rsidRPr="00DE264C">
        <w:rPr>
          <w:noProof/>
        </w:rPr>
        <w:t>.</w:t>
      </w:r>
    </w:p>
    <w:p w14:paraId="41ADFAEB" w14:textId="246E1628" w:rsidR="006068B8" w:rsidRPr="00DE264C" w:rsidRDefault="006068B8" w:rsidP="00A03164">
      <w:pPr>
        <w:pStyle w:val="Heading3"/>
        <w:tabs>
          <w:tab w:val="left" w:pos="709"/>
          <w:tab w:val="num" w:pos="7088"/>
        </w:tabs>
        <w:spacing w:before="240"/>
        <w:ind w:left="850"/>
        <w:rPr>
          <w:rFonts w:eastAsiaTheme="minorHAnsi"/>
          <w:noProof/>
        </w:rPr>
      </w:pPr>
      <w:bookmarkStart w:id="357" w:name="_Toc214467748"/>
      <w:bookmarkStart w:id="358" w:name="_Toc215083770"/>
      <w:bookmarkStart w:id="359" w:name="_Toc215083800"/>
      <w:bookmarkStart w:id="360" w:name="_Toc219212536"/>
      <w:bookmarkStart w:id="361" w:name="_Toc219718191"/>
      <w:r w:rsidRPr="00DE264C">
        <w:rPr>
          <w:rFonts w:eastAsiaTheme="minorHAnsi"/>
          <w:noProof/>
        </w:rPr>
        <w:t>Option 2</w:t>
      </w:r>
      <w:r w:rsidR="002D390B" w:rsidRPr="00DE264C">
        <w:rPr>
          <w:rFonts w:eastAsiaTheme="minorHAnsi"/>
          <w:noProof/>
        </w:rPr>
        <w:t xml:space="preserve"> - EU Agency (BEREC and BEREC Office), supporting also the RSPG as Spectrum office</w:t>
      </w:r>
      <w:bookmarkEnd w:id="357"/>
      <w:bookmarkEnd w:id="358"/>
      <w:bookmarkEnd w:id="359"/>
      <w:bookmarkEnd w:id="360"/>
      <w:bookmarkEnd w:id="361"/>
    </w:p>
    <w:p w14:paraId="7AF41213" w14:textId="390C6F70" w:rsidR="00DB76AF" w:rsidRPr="00DE264C" w:rsidRDefault="00006C07" w:rsidP="00DE7CC1">
      <w:pPr>
        <w:spacing w:line="240" w:lineRule="auto"/>
        <w:rPr>
          <w:noProof/>
        </w:rPr>
      </w:pPr>
      <w:r>
        <w:rPr>
          <w:noProof/>
        </w:rPr>
        <w:t xml:space="preserve">Option 2 involves merging BEREC with the BEREC Office into an EU agency </w:t>
      </w:r>
      <w:r w:rsidR="006D673A">
        <w:rPr>
          <w:noProof/>
        </w:rPr>
        <w:t xml:space="preserve">with full legal personality (and related responsibilities), which </w:t>
      </w:r>
      <w:r>
        <w:rPr>
          <w:noProof/>
        </w:rPr>
        <w:t xml:space="preserve">would also provide administrative support to RSPG, </w:t>
      </w:r>
      <w:r w:rsidR="00DC53C7">
        <w:rPr>
          <w:noProof/>
        </w:rPr>
        <w:t>which would</w:t>
      </w:r>
      <w:r>
        <w:rPr>
          <w:noProof/>
        </w:rPr>
        <w:t xml:space="preserve"> </w:t>
      </w:r>
      <w:r w:rsidR="00DC53C7">
        <w:rPr>
          <w:noProof/>
        </w:rPr>
        <w:t>remain</w:t>
      </w:r>
      <w:r>
        <w:rPr>
          <w:noProof/>
        </w:rPr>
        <w:t xml:space="preserve"> an advisory body like in </w:t>
      </w:r>
      <w:r w:rsidR="684350F9">
        <w:rPr>
          <w:noProof/>
        </w:rPr>
        <w:t>o</w:t>
      </w:r>
      <w:r>
        <w:rPr>
          <w:noProof/>
        </w:rPr>
        <w:t>ption 1.</w:t>
      </w:r>
    </w:p>
    <w:p w14:paraId="396A0325" w14:textId="24033517" w:rsidR="00006C07" w:rsidRPr="00DE264C" w:rsidRDefault="00006C07" w:rsidP="00DE7CC1">
      <w:pPr>
        <w:spacing w:line="240" w:lineRule="auto"/>
        <w:rPr>
          <w:noProof/>
        </w:rPr>
      </w:pPr>
      <w:r>
        <w:rPr>
          <w:noProof/>
        </w:rPr>
        <w:t xml:space="preserve">In terms of </w:t>
      </w:r>
      <w:r w:rsidRPr="572DCBD2">
        <w:rPr>
          <w:b/>
          <w:bCs/>
          <w:noProof/>
        </w:rPr>
        <w:t>economic impacts</w:t>
      </w:r>
      <w:r>
        <w:rPr>
          <w:noProof/>
        </w:rPr>
        <w:t xml:space="preserve">, transforming BEREC and the BEREC Office into </w:t>
      </w:r>
      <w:r w:rsidR="00605096">
        <w:rPr>
          <w:noProof/>
        </w:rPr>
        <w:t xml:space="preserve">a fully-fledged </w:t>
      </w:r>
      <w:r>
        <w:rPr>
          <w:noProof/>
        </w:rPr>
        <w:t xml:space="preserve">agency with increased responsibilities is </w:t>
      </w:r>
      <w:r w:rsidR="00B656A9">
        <w:rPr>
          <w:noProof/>
        </w:rPr>
        <w:t xml:space="preserve">expected </w:t>
      </w:r>
      <w:r>
        <w:rPr>
          <w:noProof/>
        </w:rPr>
        <w:t xml:space="preserve">to require </w:t>
      </w:r>
      <w:r w:rsidR="00142CC5">
        <w:rPr>
          <w:noProof/>
        </w:rPr>
        <w:t>significantly increasing</w:t>
      </w:r>
      <w:r>
        <w:rPr>
          <w:noProof/>
        </w:rPr>
        <w:t xml:space="preserve"> the staffing levels of the latter to </w:t>
      </w:r>
      <w:r w:rsidR="004D0AD6">
        <w:rPr>
          <w:noProof/>
        </w:rPr>
        <w:t xml:space="preserve">90 FTEs </w:t>
      </w:r>
      <w:r w:rsidR="00A810DF">
        <w:rPr>
          <w:noProof/>
        </w:rPr>
        <w:t>(by 88%)</w:t>
      </w:r>
      <w:r w:rsidR="007048C9">
        <w:rPr>
          <w:noProof/>
        </w:rPr>
        <w:t xml:space="preserve"> </w:t>
      </w:r>
      <w:r>
        <w:rPr>
          <w:noProof/>
        </w:rPr>
        <w:t>and a 50% increase in operational expenditure (premises, equipment)</w:t>
      </w:r>
      <w:r w:rsidR="00EC6136">
        <w:rPr>
          <w:noProof/>
        </w:rPr>
        <w:t>,</w:t>
      </w:r>
      <w:r>
        <w:rPr>
          <w:noProof/>
        </w:rPr>
        <w:t xml:space="preserve"> raising the EU budget contribution to around EUR 14.</w:t>
      </w:r>
      <w:r w:rsidR="007048C9">
        <w:rPr>
          <w:noProof/>
        </w:rPr>
        <w:t>2</w:t>
      </w:r>
      <w:r>
        <w:rPr>
          <w:noProof/>
        </w:rPr>
        <w:t xml:space="preserve"> million. </w:t>
      </w:r>
      <w:r w:rsidR="009E4D59">
        <w:rPr>
          <w:noProof/>
        </w:rPr>
        <w:t>For example, the working groups that are now managed by BEREC would be managed by the BEREC agency and it might be assumed that the BEREC agency’s representatives could (co-)</w:t>
      </w:r>
      <w:r w:rsidR="00341F4D">
        <w:rPr>
          <w:noProof/>
        </w:rPr>
        <w:t xml:space="preserve"> </w:t>
      </w:r>
      <w:r w:rsidR="009E4D59">
        <w:rPr>
          <w:noProof/>
        </w:rPr>
        <w:t xml:space="preserve">chair working groups. To the extent that the agency would also support the RSPG work, the same assumptions regarding the FTEs were made as in </w:t>
      </w:r>
      <w:r w:rsidR="0EAA9989">
        <w:rPr>
          <w:noProof/>
        </w:rPr>
        <w:t>o</w:t>
      </w:r>
      <w:r w:rsidR="009E4D59">
        <w:rPr>
          <w:noProof/>
        </w:rPr>
        <w:t xml:space="preserve">ption 1. </w:t>
      </w:r>
      <w:r w:rsidR="00291BFA">
        <w:rPr>
          <w:noProof/>
        </w:rPr>
        <w:t>The budget increase would also cover additional costs associated with the increase in the organisation of working groups’ activities; an increase of 50% in the latter would amount to upward of EUR 160 000 per year in additional organisational and reimbursement costs.</w:t>
      </w:r>
      <w:r>
        <w:rPr>
          <w:noProof/>
        </w:rPr>
        <w:t xml:space="preserve"> At the same time, shifting certain decisions to the EU level would also bring cost savings for NRAs and other CAs, thereby reducing </w:t>
      </w:r>
      <w:r w:rsidR="004D7BED">
        <w:rPr>
          <w:noProof/>
        </w:rPr>
        <w:t>the</w:t>
      </w:r>
      <w:r>
        <w:rPr>
          <w:noProof/>
        </w:rPr>
        <w:t xml:space="preserve"> burden</w:t>
      </w:r>
      <w:r w:rsidR="004D7BED">
        <w:rPr>
          <w:noProof/>
        </w:rPr>
        <w:t xml:space="preserve"> on </w:t>
      </w:r>
      <w:r>
        <w:rPr>
          <w:noProof/>
        </w:rPr>
        <w:t xml:space="preserve">Member States. The impacts of supporting the RSPG are comparable to </w:t>
      </w:r>
      <w:r w:rsidR="1EF34B74">
        <w:rPr>
          <w:noProof/>
        </w:rPr>
        <w:t>o</w:t>
      </w:r>
      <w:r>
        <w:rPr>
          <w:noProof/>
        </w:rPr>
        <w:t xml:space="preserve">ption 1 (depending also on the Office’s location). </w:t>
      </w:r>
      <w:r w:rsidR="002F04BF" w:rsidRPr="572DCBD2">
        <w:rPr>
          <w:rFonts w:eastAsia="Calibri"/>
          <w:noProof/>
        </w:rPr>
        <w:t xml:space="preserve">Under this option, the costs entailed for the agency would mostly be borne by the EU budget </w:t>
      </w:r>
      <w:r w:rsidR="00084B20" w:rsidRPr="572DCBD2">
        <w:rPr>
          <w:rFonts w:eastAsia="Calibri"/>
          <w:noProof/>
        </w:rPr>
        <w:t>and via direct fees</w:t>
      </w:r>
      <w:r w:rsidR="001518F6" w:rsidRPr="572DCBD2">
        <w:rPr>
          <w:rFonts w:eastAsia="Calibri"/>
          <w:noProof/>
        </w:rPr>
        <w:t>/contributions</w:t>
      </w:r>
      <w:r w:rsidR="00084B20" w:rsidRPr="572DCBD2">
        <w:rPr>
          <w:rFonts w:eastAsia="Calibri"/>
          <w:noProof/>
        </w:rPr>
        <w:t xml:space="preserve"> paid by market participants</w:t>
      </w:r>
      <w:r w:rsidR="000B2884" w:rsidRPr="572DCBD2">
        <w:rPr>
          <w:rFonts w:eastAsia="Calibri"/>
          <w:noProof/>
        </w:rPr>
        <w:t>,</w:t>
      </w:r>
      <w:r w:rsidR="00084B20" w:rsidRPr="572DCBD2">
        <w:rPr>
          <w:rFonts w:eastAsia="Calibri"/>
          <w:noProof/>
        </w:rPr>
        <w:t xml:space="preserve"> </w:t>
      </w:r>
      <w:r w:rsidR="000B2884" w:rsidRPr="572DCBD2">
        <w:rPr>
          <w:rFonts w:eastAsia="Calibri"/>
          <w:noProof/>
        </w:rPr>
        <w:t xml:space="preserve">and possibly also by in-kind and voluntary contributions from the NRAs and other CAs </w:t>
      </w:r>
      <w:r w:rsidR="002F04BF" w:rsidRPr="572DCBD2">
        <w:rPr>
          <w:rFonts w:eastAsia="Calibri"/>
          <w:noProof/>
        </w:rPr>
        <w:t xml:space="preserve">(like in option 1). </w:t>
      </w:r>
      <w:r w:rsidR="00524684">
        <w:rPr>
          <w:noProof/>
        </w:rPr>
        <w:t>The Commission will also need reinforcement to cope with its additional tasks (estimated at 5 FTEs</w:t>
      </w:r>
      <w:r w:rsidR="00441A7A">
        <w:rPr>
          <w:noProof/>
        </w:rPr>
        <w:t xml:space="preserve">, down from </w:t>
      </w:r>
      <w:r w:rsidR="00AD125E">
        <w:rPr>
          <w:noProof/>
        </w:rPr>
        <w:t>12</w:t>
      </w:r>
      <w:r w:rsidR="00511BFC">
        <w:rPr>
          <w:noProof/>
        </w:rPr>
        <w:t xml:space="preserve"> FTEs in the baseline</w:t>
      </w:r>
      <w:r w:rsidR="00524684">
        <w:rPr>
          <w:noProof/>
        </w:rPr>
        <w:t xml:space="preserve">). </w:t>
      </w:r>
      <w:r w:rsidR="002F04BF" w:rsidRPr="572DCBD2">
        <w:rPr>
          <w:rFonts w:eastAsia="Calibri"/>
          <w:noProof/>
        </w:rPr>
        <w:t xml:space="preserve">The efficient use of resources would be addressed by mandating a positive opinion of the Commission in BEREC’s decisions pertaining to budgetary and HR matters. </w:t>
      </w:r>
      <w:r>
        <w:rPr>
          <w:noProof/>
        </w:rPr>
        <w:t>Ultimately</w:t>
      </w:r>
      <w:r w:rsidR="00114DA1">
        <w:rPr>
          <w:noProof/>
        </w:rPr>
        <w:t>,</w:t>
      </w:r>
      <w:r>
        <w:rPr>
          <w:noProof/>
        </w:rPr>
        <w:t xml:space="preserve"> the main positive economic effect stems from increased harmonisation and more centralised approach to spectrum management, leading to consistency across Member States and more integrated communications markets. </w:t>
      </w:r>
    </w:p>
    <w:p w14:paraId="330780A1" w14:textId="2A186B1B" w:rsidR="00006C07" w:rsidRPr="00DE264C" w:rsidRDefault="00006C07" w:rsidP="00DE7CC1">
      <w:pPr>
        <w:spacing w:line="240" w:lineRule="auto"/>
        <w:rPr>
          <w:noProof/>
        </w:rPr>
      </w:pPr>
      <w:r>
        <w:rPr>
          <w:noProof/>
        </w:rPr>
        <w:t xml:space="preserve">As in other options, </w:t>
      </w:r>
      <w:r w:rsidR="61B1435B">
        <w:rPr>
          <w:noProof/>
        </w:rPr>
        <w:t>o</w:t>
      </w:r>
      <w:r>
        <w:rPr>
          <w:noProof/>
        </w:rPr>
        <w:t xml:space="preserve">ption 2 is not expected to have significant direct </w:t>
      </w:r>
      <w:r w:rsidRPr="572DCBD2">
        <w:rPr>
          <w:b/>
          <w:bCs/>
          <w:noProof/>
        </w:rPr>
        <w:t>societal impacts</w:t>
      </w:r>
      <w:r>
        <w:rPr>
          <w:noProof/>
        </w:rPr>
        <w:t xml:space="preserve">. </w:t>
      </w:r>
    </w:p>
    <w:p w14:paraId="41DE6054" w14:textId="05D1A3AF" w:rsidR="00006C07" w:rsidRPr="00DE264C" w:rsidRDefault="00006C07" w:rsidP="00DE7CC1">
      <w:pPr>
        <w:spacing w:line="240" w:lineRule="auto"/>
        <w:rPr>
          <w:noProof/>
        </w:rPr>
      </w:pPr>
      <w:r>
        <w:rPr>
          <w:noProof/>
        </w:rPr>
        <w:t xml:space="preserve">Its </w:t>
      </w:r>
      <w:r w:rsidRPr="572DCBD2">
        <w:rPr>
          <w:b/>
          <w:bCs/>
          <w:noProof/>
        </w:rPr>
        <w:t>environmental impact</w:t>
      </w:r>
      <w:r>
        <w:rPr>
          <w:noProof/>
        </w:rPr>
        <w:t xml:space="preserve"> is also relatively insignificant, and broadly comparable to </w:t>
      </w:r>
      <w:r w:rsidR="500D00D8">
        <w:rPr>
          <w:noProof/>
        </w:rPr>
        <w:t>o</w:t>
      </w:r>
      <w:r>
        <w:rPr>
          <w:noProof/>
        </w:rPr>
        <w:t>ption 1.</w:t>
      </w:r>
      <w:r w:rsidR="00D81377">
        <w:rPr>
          <w:noProof/>
        </w:rPr>
        <w:t xml:space="preserve"> </w:t>
      </w:r>
      <w:r>
        <w:rPr>
          <w:noProof/>
        </w:rPr>
        <w:t xml:space="preserve">However, the largest effect arises from the need for significantly larger premises to accommodate around 75 FTEs. In addition, one-off environmental impacts would result from staff relocations to and from Riga, given the BEREC Office high staff turnover. </w:t>
      </w:r>
    </w:p>
    <w:p w14:paraId="4A7FDBA4" w14:textId="5D25E360" w:rsidR="006068B8" w:rsidRPr="00DE264C" w:rsidRDefault="009278D7" w:rsidP="00DE7CC1">
      <w:pPr>
        <w:spacing w:line="240" w:lineRule="auto"/>
        <w:rPr>
          <w:noProof/>
        </w:rPr>
      </w:pPr>
      <w:r w:rsidRPr="00DE264C">
        <w:rPr>
          <w:noProof/>
        </w:rPr>
        <w:t xml:space="preserve">There is no impact on </w:t>
      </w:r>
      <w:r w:rsidRPr="00DE264C">
        <w:rPr>
          <w:b/>
          <w:bCs/>
          <w:noProof/>
        </w:rPr>
        <w:t>fundamental</w:t>
      </w:r>
      <w:r w:rsidRPr="00DE264C">
        <w:rPr>
          <w:noProof/>
        </w:rPr>
        <w:t xml:space="preserve"> rights.</w:t>
      </w:r>
    </w:p>
    <w:p w14:paraId="261A0D5A" w14:textId="60E2F758" w:rsidR="006068B8" w:rsidRPr="00DE264C" w:rsidRDefault="006068B8" w:rsidP="002C4340">
      <w:pPr>
        <w:pStyle w:val="Heading3"/>
        <w:ind w:left="709"/>
        <w:rPr>
          <w:rFonts w:eastAsiaTheme="minorHAnsi"/>
          <w:noProof/>
        </w:rPr>
      </w:pPr>
      <w:bookmarkStart w:id="362" w:name="_Toc214467749"/>
      <w:bookmarkStart w:id="363" w:name="_Toc215083771"/>
      <w:bookmarkStart w:id="364" w:name="_Toc215083801"/>
      <w:bookmarkStart w:id="365" w:name="_Toc219212537"/>
      <w:bookmarkStart w:id="366" w:name="_Toc219718192"/>
      <w:r w:rsidRPr="00DE264C">
        <w:rPr>
          <w:rFonts w:eastAsiaTheme="minorHAnsi"/>
          <w:noProof/>
        </w:rPr>
        <w:t>Option 3</w:t>
      </w:r>
      <w:r w:rsidR="009D75E6" w:rsidRPr="00DE264C">
        <w:rPr>
          <w:rFonts w:eastAsiaTheme="minorHAnsi"/>
          <w:noProof/>
        </w:rPr>
        <w:t xml:space="preserve"> - Two separate agencies – (BEREC + BEREC Office) &amp; RSPG</w:t>
      </w:r>
      <w:bookmarkEnd w:id="362"/>
      <w:bookmarkEnd w:id="363"/>
      <w:bookmarkEnd w:id="364"/>
      <w:bookmarkEnd w:id="365"/>
      <w:bookmarkEnd w:id="366"/>
    </w:p>
    <w:p w14:paraId="26824846" w14:textId="5A0279DD" w:rsidR="00BF2160" w:rsidRPr="00DE264C" w:rsidRDefault="00BF2160" w:rsidP="00DE7CC1">
      <w:pPr>
        <w:spacing w:line="240" w:lineRule="auto"/>
        <w:rPr>
          <w:noProof/>
        </w:rPr>
      </w:pPr>
      <w:r>
        <w:rPr>
          <w:noProof/>
        </w:rPr>
        <w:t xml:space="preserve">As regards </w:t>
      </w:r>
      <w:r w:rsidRPr="572DCBD2">
        <w:rPr>
          <w:b/>
          <w:bCs/>
          <w:noProof/>
        </w:rPr>
        <w:t>economic impacts</w:t>
      </w:r>
      <w:r>
        <w:rPr>
          <w:noProof/>
        </w:rPr>
        <w:t xml:space="preserve">, </w:t>
      </w:r>
      <w:r w:rsidR="22444FCC">
        <w:rPr>
          <w:noProof/>
        </w:rPr>
        <w:t>o</w:t>
      </w:r>
      <w:r>
        <w:rPr>
          <w:noProof/>
        </w:rPr>
        <w:t xml:space="preserve">ption 3 is the </w:t>
      </w:r>
      <w:r w:rsidR="29BFDE3A">
        <w:rPr>
          <w:noProof/>
        </w:rPr>
        <w:t>costliest</w:t>
      </w:r>
      <w:r>
        <w:rPr>
          <w:noProof/>
        </w:rPr>
        <w:t xml:space="preserve"> for the EU budget. The cost of </w:t>
      </w:r>
      <w:r w:rsidR="008C2CFF">
        <w:rPr>
          <w:noProof/>
        </w:rPr>
        <w:t>merg</w:t>
      </w:r>
      <w:r w:rsidR="006D38CC">
        <w:rPr>
          <w:noProof/>
        </w:rPr>
        <w:t>ing</w:t>
      </w:r>
      <w:r>
        <w:rPr>
          <w:noProof/>
        </w:rPr>
        <w:t xml:space="preserve"> BEREC and the BEREC Office </w:t>
      </w:r>
      <w:r w:rsidR="007D2AC0">
        <w:rPr>
          <w:noProof/>
        </w:rPr>
        <w:t>into</w:t>
      </w:r>
      <w:r>
        <w:rPr>
          <w:noProof/>
        </w:rPr>
        <w:t xml:space="preserve"> an EU agency </w:t>
      </w:r>
      <w:r w:rsidR="008C2CFF">
        <w:rPr>
          <w:noProof/>
        </w:rPr>
        <w:t>is</w:t>
      </w:r>
      <w:r>
        <w:rPr>
          <w:noProof/>
        </w:rPr>
        <w:t xml:space="preserve"> similar </w:t>
      </w:r>
      <w:r w:rsidR="00716157">
        <w:rPr>
          <w:noProof/>
        </w:rPr>
        <w:t>to</w:t>
      </w:r>
      <w:r w:rsidR="008E2B71">
        <w:rPr>
          <w:noProof/>
        </w:rPr>
        <w:t xml:space="preserve"> o</w:t>
      </w:r>
      <w:r w:rsidRPr="00DE264C">
        <w:rPr>
          <w:noProof/>
        </w:rPr>
        <w:t>ption</w:t>
      </w:r>
      <w:r>
        <w:rPr>
          <w:noProof/>
        </w:rPr>
        <w:t xml:space="preserve"> 2 (</w:t>
      </w:r>
      <w:r w:rsidR="00664B17">
        <w:rPr>
          <w:noProof/>
        </w:rPr>
        <w:t xml:space="preserve">reduced </w:t>
      </w:r>
      <w:r>
        <w:rPr>
          <w:noProof/>
        </w:rPr>
        <w:t xml:space="preserve">by the costs related to providing support to RSPG), driven mainly </w:t>
      </w:r>
      <w:r w:rsidR="007D2AC0">
        <w:rPr>
          <w:noProof/>
        </w:rPr>
        <w:t>by a</w:t>
      </w:r>
      <w:r>
        <w:rPr>
          <w:noProof/>
        </w:rPr>
        <w:t xml:space="preserve"> </w:t>
      </w:r>
      <w:r w:rsidR="008C2CFF">
        <w:rPr>
          <w:noProof/>
        </w:rPr>
        <w:t>staffing increase to 80 FTEs equivalent to around EUR</w:t>
      </w:r>
      <w:r w:rsidR="00B80A88" w:rsidRPr="572DCBD2">
        <w:rPr>
          <w:rFonts w:eastAsia="Times New Roman"/>
          <w:noProof/>
          <w:color w:val="000000" w:themeColor="text1"/>
        </w:rPr>
        <w:t> </w:t>
      </w:r>
      <w:r w:rsidR="008C2CFF">
        <w:rPr>
          <w:noProof/>
        </w:rPr>
        <w:t>8.955 million, with expenditures for buildings and equipment and operational costs raising by 20%, respectively, to approx. EUR</w:t>
      </w:r>
      <w:r w:rsidR="00B80A88" w:rsidRPr="572DCBD2">
        <w:rPr>
          <w:rFonts w:eastAsia="Times New Roman"/>
          <w:noProof/>
          <w:color w:val="000000" w:themeColor="text1"/>
        </w:rPr>
        <w:t> </w:t>
      </w:r>
      <w:r w:rsidR="008C2CFF">
        <w:rPr>
          <w:noProof/>
        </w:rPr>
        <w:t>2.090 million and approx. EUR</w:t>
      </w:r>
      <w:r w:rsidR="00B80A88" w:rsidRPr="572DCBD2">
        <w:rPr>
          <w:rFonts w:eastAsia="Times New Roman"/>
          <w:noProof/>
          <w:color w:val="000000" w:themeColor="text1"/>
        </w:rPr>
        <w:t> </w:t>
      </w:r>
      <w:r w:rsidR="008C2CFF">
        <w:rPr>
          <w:noProof/>
        </w:rPr>
        <w:t xml:space="preserve">1.589 million. Consequently, it is estimated that its annual costs </w:t>
      </w:r>
      <w:r w:rsidR="00686C8B">
        <w:rPr>
          <w:noProof/>
        </w:rPr>
        <w:t xml:space="preserve">of </w:t>
      </w:r>
      <w:r w:rsidR="00575945">
        <w:rPr>
          <w:noProof/>
        </w:rPr>
        <w:t xml:space="preserve">the </w:t>
      </w:r>
      <w:r w:rsidR="00686C8B">
        <w:rPr>
          <w:noProof/>
        </w:rPr>
        <w:t xml:space="preserve">BEREC </w:t>
      </w:r>
      <w:r w:rsidR="00575945">
        <w:rPr>
          <w:noProof/>
        </w:rPr>
        <w:t xml:space="preserve">agency </w:t>
      </w:r>
      <w:r w:rsidR="008C2CFF">
        <w:rPr>
          <w:noProof/>
        </w:rPr>
        <w:t>will increase from EUR</w:t>
      </w:r>
      <w:r w:rsidR="00B80A88" w:rsidRPr="572DCBD2">
        <w:rPr>
          <w:rFonts w:eastAsia="Times New Roman"/>
          <w:noProof/>
          <w:color w:val="000000" w:themeColor="text1"/>
        </w:rPr>
        <w:t> </w:t>
      </w:r>
      <w:r w:rsidR="008C2CFF">
        <w:rPr>
          <w:noProof/>
        </w:rPr>
        <w:t>8.1 million to around EUR</w:t>
      </w:r>
      <w:r w:rsidR="00B80A88" w:rsidRPr="572DCBD2">
        <w:rPr>
          <w:rFonts w:eastAsia="Times New Roman"/>
          <w:noProof/>
          <w:color w:val="000000" w:themeColor="text1"/>
        </w:rPr>
        <w:t> </w:t>
      </w:r>
      <w:r w:rsidR="008C2CFF">
        <w:rPr>
          <w:noProof/>
        </w:rPr>
        <w:t>12.</w:t>
      </w:r>
      <w:r w:rsidR="00A47948">
        <w:rPr>
          <w:noProof/>
        </w:rPr>
        <w:t>235</w:t>
      </w:r>
      <w:r w:rsidR="008C2CFF">
        <w:rPr>
          <w:noProof/>
        </w:rPr>
        <w:t xml:space="preserve"> million per year. At the same time</w:t>
      </w:r>
      <w:r>
        <w:rPr>
          <w:noProof/>
        </w:rPr>
        <w:t xml:space="preserve">, establishing of the RSPG </w:t>
      </w:r>
      <w:r w:rsidR="00950569">
        <w:rPr>
          <w:noProof/>
        </w:rPr>
        <w:t xml:space="preserve">as fully-fledged </w:t>
      </w:r>
      <w:r w:rsidR="000343EF">
        <w:rPr>
          <w:noProof/>
        </w:rPr>
        <w:t>a</w:t>
      </w:r>
      <w:r>
        <w:rPr>
          <w:noProof/>
        </w:rPr>
        <w:t xml:space="preserve">gency </w:t>
      </w:r>
      <w:r w:rsidR="00567427">
        <w:rPr>
          <w:noProof/>
        </w:rPr>
        <w:t xml:space="preserve">with decision-making </w:t>
      </w:r>
      <w:r w:rsidR="007E2F55">
        <w:rPr>
          <w:noProof/>
        </w:rPr>
        <w:t xml:space="preserve">powers </w:t>
      </w:r>
      <w:r>
        <w:rPr>
          <w:noProof/>
        </w:rPr>
        <w:t>would entail one-off costs (</w:t>
      </w:r>
      <w:r w:rsidR="00B0066E">
        <w:rPr>
          <w:noProof/>
        </w:rPr>
        <w:t>e.g.</w:t>
      </w:r>
      <w:r w:rsidR="00C96692">
        <w:rPr>
          <w:noProof/>
        </w:rPr>
        <w:t xml:space="preserve"> for</w:t>
      </w:r>
      <w:r>
        <w:rPr>
          <w:noProof/>
        </w:rPr>
        <w:t xml:space="preserve"> premises) and recurrent expenses for staffing, office space, equipment and operations.</w:t>
      </w:r>
      <w:r w:rsidR="00684309">
        <w:rPr>
          <w:noProof/>
        </w:rPr>
        <w:t xml:space="preserve"> </w:t>
      </w:r>
      <w:r w:rsidR="008C2CFF">
        <w:rPr>
          <w:noProof/>
        </w:rPr>
        <w:t xml:space="preserve">The RSPG agency would be comparable in size to the BEREC agency under </w:t>
      </w:r>
      <w:r w:rsidR="408AC99E">
        <w:rPr>
          <w:noProof/>
        </w:rPr>
        <w:t>o</w:t>
      </w:r>
      <w:r w:rsidR="008C2CFF">
        <w:rPr>
          <w:noProof/>
        </w:rPr>
        <w:t>ption 2. It will take over support and preparatory tasks (under option 1 and 2 performed by the BEREC Office) as well as take on some of the substantial tasks (performed by the Commission under option 1 and 2). In addition, it will also need to be equipped with support staff. With these assumptions, and assuming that the R</w:t>
      </w:r>
      <w:r w:rsidR="000334A4">
        <w:rPr>
          <w:noProof/>
        </w:rPr>
        <w:t>S</w:t>
      </w:r>
      <w:r w:rsidR="008C2CFF">
        <w:rPr>
          <w:noProof/>
        </w:rPr>
        <w:t>PG agency is located in a Member State similar in terms of salary coefficient, its annual costs will be similar to those of BEREC described under this option.</w:t>
      </w:r>
      <w:r w:rsidR="00315A4F">
        <w:rPr>
          <w:noProof/>
        </w:rPr>
        <w:t xml:space="preserve"> </w:t>
      </w:r>
      <w:r>
        <w:rPr>
          <w:noProof/>
        </w:rPr>
        <w:t xml:space="preserve">However, creating another independent agency would also generate additional costs from duplicating certain roles and services (e.g. support staff, finance, HR, administration, IT), which could not be shared. </w:t>
      </w:r>
      <w:r w:rsidR="00E908BD">
        <w:rPr>
          <w:noProof/>
        </w:rPr>
        <w:t>T</w:t>
      </w:r>
      <w:r w:rsidR="00E908BD" w:rsidRPr="572DCBD2">
        <w:rPr>
          <w:rFonts w:eastAsia="Calibri"/>
          <w:noProof/>
        </w:rPr>
        <w:t xml:space="preserve">he costs entailed for the two agencies would be covered from the EU budget, and </w:t>
      </w:r>
      <w:r w:rsidR="002F31A0" w:rsidRPr="572DCBD2">
        <w:rPr>
          <w:rFonts w:eastAsia="Calibri"/>
          <w:noProof/>
        </w:rPr>
        <w:t>– as under option 1 and 2 – via direct fees paid by market participants</w:t>
      </w:r>
      <w:r w:rsidR="005B7674" w:rsidRPr="572DCBD2">
        <w:rPr>
          <w:rFonts w:eastAsia="Calibri"/>
          <w:noProof/>
        </w:rPr>
        <w:t xml:space="preserve"> and possibly NRAs and other CAs’ contributions</w:t>
      </w:r>
      <w:r w:rsidR="00E908BD" w:rsidRPr="572DCBD2">
        <w:rPr>
          <w:rFonts w:eastAsia="Calibri"/>
          <w:noProof/>
        </w:rPr>
        <w:t xml:space="preserve">. </w:t>
      </w:r>
      <w:r w:rsidR="00E908BD" w:rsidRPr="572DCBD2">
        <w:rPr>
          <w:rFonts w:eastAsia="Times New Roman"/>
          <w:noProof/>
        </w:rPr>
        <w:t>The efficient use of resources could be ensured by requiring a positive opinion from the Commission on BEREC and RSPG decisions related to budgetary and human resources matters.</w:t>
      </w:r>
      <w:r w:rsidR="009E2E88">
        <w:rPr>
          <w:noProof/>
        </w:rPr>
        <w:t xml:space="preserve"> </w:t>
      </w:r>
      <w:r w:rsidR="007A44EF">
        <w:rPr>
          <w:noProof/>
        </w:rPr>
        <w:t xml:space="preserve">To </w:t>
      </w:r>
      <w:r w:rsidR="0052297C">
        <w:rPr>
          <w:noProof/>
        </w:rPr>
        <w:t>enhance cooperation between the two agencies, regular check-point meetings should be organised</w:t>
      </w:r>
      <w:r w:rsidR="00540209">
        <w:rPr>
          <w:noProof/>
        </w:rPr>
        <w:t xml:space="preserve">. However, the separation of the two bodies would not allow for realising </w:t>
      </w:r>
      <w:r w:rsidR="000E2FA2">
        <w:rPr>
          <w:noProof/>
        </w:rPr>
        <w:t>the full synergy potential</w:t>
      </w:r>
      <w:r>
        <w:rPr>
          <w:noProof/>
        </w:rPr>
        <w:t xml:space="preserve">. </w:t>
      </w:r>
    </w:p>
    <w:p w14:paraId="6F1B6544" w14:textId="75E352DB" w:rsidR="00BF2160" w:rsidRPr="00DE264C" w:rsidRDefault="00BF2160" w:rsidP="00DE7CC1">
      <w:pPr>
        <w:spacing w:line="240" w:lineRule="auto"/>
        <w:rPr>
          <w:noProof/>
        </w:rPr>
      </w:pPr>
      <w:r>
        <w:rPr>
          <w:noProof/>
        </w:rPr>
        <w:t xml:space="preserve">Similar to other options, </w:t>
      </w:r>
      <w:r w:rsidR="01BC55A0">
        <w:rPr>
          <w:noProof/>
        </w:rPr>
        <w:t>o</w:t>
      </w:r>
      <w:r>
        <w:rPr>
          <w:noProof/>
        </w:rPr>
        <w:t xml:space="preserve">ption 3 will not have significant direct </w:t>
      </w:r>
      <w:r w:rsidRPr="572DCBD2">
        <w:rPr>
          <w:b/>
          <w:bCs/>
          <w:noProof/>
        </w:rPr>
        <w:t>societal impacts</w:t>
      </w:r>
      <w:r>
        <w:rPr>
          <w:noProof/>
        </w:rPr>
        <w:t xml:space="preserve">, while the indirect impacts will be similar to both </w:t>
      </w:r>
      <w:r w:rsidR="4077DEB1">
        <w:rPr>
          <w:noProof/>
        </w:rPr>
        <w:t>o</w:t>
      </w:r>
      <w:r>
        <w:rPr>
          <w:noProof/>
        </w:rPr>
        <w:t xml:space="preserve">ption 1 and </w:t>
      </w:r>
      <w:r w:rsidR="6D623FC6">
        <w:rPr>
          <w:noProof/>
        </w:rPr>
        <w:t>o</w:t>
      </w:r>
      <w:r>
        <w:rPr>
          <w:noProof/>
        </w:rPr>
        <w:t>ption 2 (i.e. increased harmonisation in the implementation of the EU legislation).</w:t>
      </w:r>
    </w:p>
    <w:p w14:paraId="0908D89E" w14:textId="2CEE89C8" w:rsidR="00BF2160" w:rsidRPr="00DE264C" w:rsidRDefault="00BF2160" w:rsidP="00DE7CC1">
      <w:pPr>
        <w:spacing w:line="240" w:lineRule="auto"/>
        <w:rPr>
          <w:noProof/>
        </w:rPr>
      </w:pPr>
      <w:r>
        <w:rPr>
          <w:noProof/>
        </w:rPr>
        <w:t xml:space="preserve">Option 3 will have the greatest </w:t>
      </w:r>
      <w:r w:rsidRPr="572DCBD2">
        <w:rPr>
          <w:b/>
          <w:bCs/>
          <w:noProof/>
        </w:rPr>
        <w:t>environmental impact</w:t>
      </w:r>
      <w:r>
        <w:rPr>
          <w:noProof/>
        </w:rPr>
        <w:t xml:space="preserve">, as in addition to those described under </w:t>
      </w:r>
      <w:r w:rsidR="7B9F8F2F">
        <w:rPr>
          <w:noProof/>
        </w:rPr>
        <w:t>o</w:t>
      </w:r>
      <w:r>
        <w:rPr>
          <w:noProof/>
        </w:rPr>
        <w:t xml:space="preserve">ption 2 (which will remain), RSPG – as a separate agency - will require its own premises. It is not expected that the transformation of RSPG into an agency would imply a significantly higher number of in-person meetings or travel costs, compared to baseline scenario or other options. </w:t>
      </w:r>
    </w:p>
    <w:p w14:paraId="241164CE" w14:textId="75EB9EF5" w:rsidR="006068B8" w:rsidRPr="00DE264C" w:rsidRDefault="00CA7659" w:rsidP="00DE7CC1">
      <w:pPr>
        <w:spacing w:line="240" w:lineRule="auto"/>
        <w:rPr>
          <w:noProof/>
        </w:rPr>
      </w:pPr>
      <w:r w:rsidRPr="00DE264C">
        <w:rPr>
          <w:noProof/>
        </w:rPr>
        <w:t xml:space="preserve">There is no impact on </w:t>
      </w:r>
      <w:r w:rsidRPr="00DE264C">
        <w:rPr>
          <w:b/>
          <w:bCs/>
          <w:noProof/>
        </w:rPr>
        <w:t>fundamental rights</w:t>
      </w:r>
      <w:r w:rsidRPr="00DE264C">
        <w:rPr>
          <w:noProof/>
        </w:rPr>
        <w:t>.</w:t>
      </w:r>
    </w:p>
    <w:p w14:paraId="14F0EBE8" w14:textId="217E8FEA" w:rsidR="006B087E" w:rsidRPr="00DE264C" w:rsidRDefault="006B087E" w:rsidP="000E3086">
      <w:pPr>
        <w:pStyle w:val="Heading1"/>
        <w:rPr>
          <w:noProof/>
        </w:rPr>
      </w:pPr>
      <w:bookmarkStart w:id="367" w:name="_Toc208396195"/>
      <w:bookmarkStart w:id="368" w:name="_Toc214467750"/>
      <w:bookmarkStart w:id="369" w:name="_Toc215083772"/>
      <w:bookmarkStart w:id="370" w:name="_Toc215083802"/>
      <w:bookmarkStart w:id="371" w:name="_Toc219212538"/>
      <w:bookmarkStart w:id="372" w:name="_Toc219718193"/>
      <w:r w:rsidRPr="00DE264C">
        <w:rPr>
          <w:noProof/>
        </w:rPr>
        <w:t>How do the options compare?</w:t>
      </w:r>
      <w:bookmarkEnd w:id="367"/>
      <w:bookmarkEnd w:id="368"/>
      <w:bookmarkEnd w:id="369"/>
      <w:bookmarkEnd w:id="370"/>
      <w:bookmarkEnd w:id="371"/>
      <w:bookmarkEnd w:id="372"/>
    </w:p>
    <w:p w14:paraId="0047F33F" w14:textId="2ABAF444" w:rsidR="005D6F5F" w:rsidRPr="00DE264C" w:rsidRDefault="009731B7" w:rsidP="00A67E62">
      <w:pPr>
        <w:pStyle w:val="Heading2"/>
        <w:rPr>
          <w:noProof/>
        </w:rPr>
      </w:pPr>
      <w:bookmarkStart w:id="373" w:name="_Toc215083773"/>
      <w:bookmarkStart w:id="374" w:name="_Toc215083803"/>
      <w:bookmarkStart w:id="375" w:name="_Toc219212539"/>
      <w:bookmarkStart w:id="376" w:name="_Toc219718194"/>
      <w:bookmarkStart w:id="377" w:name="_Toc214467751"/>
      <w:r>
        <w:rPr>
          <w:noProof/>
        </w:rPr>
        <w:t>Transition to fibre</w:t>
      </w:r>
      <w:bookmarkEnd w:id="373"/>
      <w:bookmarkEnd w:id="374"/>
      <w:bookmarkEnd w:id="375"/>
      <w:bookmarkEnd w:id="376"/>
      <w:r w:rsidR="001F1484" w:rsidRPr="00DE264C">
        <w:rPr>
          <w:noProof/>
        </w:rPr>
        <w:t xml:space="preserve"> </w:t>
      </w:r>
      <w:bookmarkEnd w:id="377"/>
    </w:p>
    <w:p w14:paraId="24B39B26" w14:textId="535F9E39" w:rsidR="007F0552" w:rsidRPr="00DE264C" w:rsidRDefault="007F0552" w:rsidP="00DE7CC1">
      <w:pPr>
        <w:spacing w:line="240" w:lineRule="auto"/>
        <w:rPr>
          <w:rFonts w:eastAsia="Calibri"/>
          <w:noProof/>
        </w:rPr>
      </w:pPr>
      <w:r w:rsidRPr="00DE264C">
        <w:rPr>
          <w:rFonts w:eastAsia="Calibri"/>
          <w:noProof/>
        </w:rPr>
        <w:t xml:space="preserve">The key differences among the various options </w:t>
      </w:r>
      <w:r w:rsidR="2A53F3D1" w:rsidRPr="5F6EE25F">
        <w:rPr>
          <w:rFonts w:eastAsia="Calibri"/>
          <w:noProof/>
        </w:rPr>
        <w:t xml:space="preserve">considered for the transition to </w:t>
      </w:r>
      <w:r w:rsidR="00574FCF" w:rsidRPr="5F6EE25F">
        <w:rPr>
          <w:rFonts w:eastAsia="Calibri"/>
          <w:noProof/>
        </w:rPr>
        <w:t>fibre</w:t>
      </w:r>
      <w:r w:rsidR="2A53F3D1" w:rsidRPr="5F6EE25F">
        <w:rPr>
          <w:rFonts w:eastAsia="Calibri"/>
          <w:noProof/>
        </w:rPr>
        <w:t xml:space="preserve"> </w:t>
      </w:r>
      <w:r w:rsidRPr="00DE264C">
        <w:rPr>
          <w:rFonts w:eastAsia="Calibri"/>
          <w:noProof/>
        </w:rPr>
        <w:t xml:space="preserve">are: 1) </w:t>
      </w:r>
      <w:r w:rsidR="003B6D87" w:rsidRPr="00DE264C">
        <w:rPr>
          <w:rFonts w:eastAsia="Calibri"/>
          <w:noProof/>
        </w:rPr>
        <w:t>the approach taken towards</w:t>
      </w:r>
      <w:r w:rsidRPr="00DE264C">
        <w:rPr>
          <w:rFonts w:eastAsia="Calibri"/>
          <w:noProof/>
        </w:rPr>
        <w:t xml:space="preserve"> the copper switch-off obligation</w:t>
      </w:r>
      <w:r w:rsidR="00BE6768" w:rsidRPr="00DE264C">
        <w:rPr>
          <w:rFonts w:eastAsia="Calibri"/>
          <w:noProof/>
        </w:rPr>
        <w:t>;</w:t>
      </w:r>
      <w:r w:rsidRPr="00DE264C">
        <w:rPr>
          <w:rFonts w:eastAsia="Calibri"/>
          <w:noProof/>
        </w:rPr>
        <w:t xml:space="preserve"> </w:t>
      </w:r>
      <w:r w:rsidR="00BE6768" w:rsidRPr="00DE264C">
        <w:rPr>
          <w:rFonts w:eastAsia="Calibri"/>
          <w:noProof/>
        </w:rPr>
        <w:t>2</w:t>
      </w:r>
      <w:r w:rsidRPr="00DE264C">
        <w:rPr>
          <w:rFonts w:eastAsia="Calibri"/>
          <w:noProof/>
        </w:rPr>
        <w:t>) the kind of access regulatory framework to be used (</w:t>
      </w:r>
      <w:r w:rsidR="18E82F2C" w:rsidRPr="00DE264C">
        <w:rPr>
          <w:rFonts w:eastAsia="Calibri"/>
          <w:noProof/>
        </w:rPr>
        <w:t xml:space="preserve">exclusively </w:t>
      </w:r>
      <w:r w:rsidRPr="00DE264C">
        <w:rPr>
          <w:rFonts w:eastAsia="Calibri"/>
          <w:noProof/>
        </w:rPr>
        <w:t xml:space="preserve">SMP–based versus other approaches) and </w:t>
      </w:r>
      <w:r w:rsidR="00BE6768" w:rsidRPr="00DE264C">
        <w:rPr>
          <w:rFonts w:eastAsia="Calibri"/>
          <w:noProof/>
        </w:rPr>
        <w:t>3</w:t>
      </w:r>
      <w:r w:rsidRPr="00DE264C">
        <w:rPr>
          <w:rFonts w:eastAsia="Calibri"/>
          <w:noProof/>
        </w:rPr>
        <w:t xml:space="preserve">) the introduction of EU-wholesale </w:t>
      </w:r>
      <w:r w:rsidR="00BE6768" w:rsidRPr="00DE264C">
        <w:rPr>
          <w:rFonts w:eastAsia="Calibri"/>
          <w:noProof/>
        </w:rPr>
        <w:t>access</w:t>
      </w:r>
      <w:r w:rsidRPr="00DE264C">
        <w:rPr>
          <w:rFonts w:eastAsia="Calibri"/>
          <w:noProof/>
        </w:rPr>
        <w:t xml:space="preserve"> products with different degrees of involvement from the Commission.</w:t>
      </w:r>
    </w:p>
    <w:p w14:paraId="7C2DE109" w14:textId="7BFA02D2" w:rsidR="00B87FA0" w:rsidRPr="00DE264C" w:rsidRDefault="679E665E" w:rsidP="00DE7CC1">
      <w:pPr>
        <w:spacing w:line="240" w:lineRule="auto"/>
        <w:rPr>
          <w:b/>
          <w:i/>
          <w:noProof/>
          <w:u w:val="single"/>
        </w:rPr>
      </w:pPr>
      <w:r w:rsidRPr="00DE264C">
        <w:rPr>
          <w:b/>
          <w:noProof/>
          <w:u w:val="single"/>
        </w:rPr>
        <w:t>Effectiveness</w:t>
      </w:r>
    </w:p>
    <w:p w14:paraId="574A92F5" w14:textId="3E2F558B" w:rsidR="007408DA" w:rsidRPr="00DE264C" w:rsidRDefault="007408DA" w:rsidP="00DE7CC1">
      <w:pPr>
        <w:spacing w:line="240" w:lineRule="auto"/>
        <w:rPr>
          <w:rFonts w:eastAsia="Calibri"/>
          <w:noProof/>
        </w:rPr>
      </w:pPr>
      <w:r w:rsidRPr="00DE264C">
        <w:rPr>
          <w:rFonts w:eastAsia="Calibri"/>
          <w:b/>
          <w:bCs/>
          <w:noProof/>
        </w:rPr>
        <w:t>Baseline option</w:t>
      </w:r>
      <w:r w:rsidR="00383F74" w:rsidRPr="00DE264C">
        <w:rPr>
          <w:rFonts w:eastAsia="Calibri"/>
          <w:noProof/>
        </w:rPr>
        <w:t>:</w:t>
      </w:r>
      <w:r w:rsidR="00BA5972" w:rsidRPr="00DE264C">
        <w:rPr>
          <w:rFonts w:eastAsia="Calibri"/>
          <w:noProof/>
        </w:rPr>
        <w:t xml:space="preserve"> </w:t>
      </w:r>
      <w:r w:rsidRPr="00DE264C">
        <w:rPr>
          <w:rFonts w:eastAsia="Calibri"/>
          <w:noProof/>
        </w:rPr>
        <w:t xml:space="preserve">The current regulatory framework is not intended to accelerate </w:t>
      </w:r>
      <w:r w:rsidR="00F7265C" w:rsidRPr="00DE264C">
        <w:rPr>
          <w:rFonts w:eastAsia="Calibri"/>
          <w:noProof/>
        </w:rPr>
        <w:t xml:space="preserve">the </w:t>
      </w:r>
      <w:r w:rsidRPr="00DE264C">
        <w:rPr>
          <w:rFonts w:eastAsia="Calibri"/>
          <w:noProof/>
        </w:rPr>
        <w:t xml:space="preserve">migration </w:t>
      </w:r>
      <w:r w:rsidR="00D27254" w:rsidRPr="00DE264C">
        <w:rPr>
          <w:rFonts w:eastAsia="Calibri"/>
          <w:noProof/>
        </w:rPr>
        <w:t xml:space="preserve">from copper </w:t>
      </w:r>
      <w:r w:rsidRPr="00DE264C">
        <w:rPr>
          <w:rFonts w:eastAsia="Calibri"/>
          <w:noProof/>
        </w:rPr>
        <w:t>to fibre</w:t>
      </w:r>
      <w:r w:rsidR="00B93DB1">
        <w:rPr>
          <w:rFonts w:eastAsia="Calibri"/>
          <w:noProof/>
        </w:rPr>
        <w:t>.</w:t>
      </w:r>
      <w:r w:rsidRPr="00DE264C">
        <w:rPr>
          <w:rFonts w:eastAsia="Calibri"/>
          <w:noProof/>
        </w:rPr>
        <w:t xml:space="preserve"> </w:t>
      </w:r>
      <w:r w:rsidR="00E27190" w:rsidRPr="00DE264C">
        <w:rPr>
          <w:rFonts w:eastAsia="Calibri"/>
          <w:noProof/>
        </w:rPr>
        <w:t>Article</w:t>
      </w:r>
      <w:r w:rsidR="00A907F2">
        <w:rPr>
          <w:rFonts w:eastAsia="Calibri"/>
          <w:noProof/>
        </w:rPr>
        <w:t> </w:t>
      </w:r>
      <w:r w:rsidR="00E27190" w:rsidRPr="00DE264C">
        <w:rPr>
          <w:rFonts w:eastAsia="Calibri"/>
          <w:noProof/>
        </w:rPr>
        <w:t xml:space="preserve">81 of the EECC </w:t>
      </w:r>
      <w:r w:rsidR="00F47A44" w:rsidRPr="00DE264C">
        <w:rPr>
          <w:rFonts w:eastAsia="Calibri"/>
          <w:noProof/>
        </w:rPr>
        <w:t xml:space="preserve">provides </w:t>
      </w:r>
      <w:r w:rsidR="00C6480D" w:rsidRPr="00DE264C">
        <w:rPr>
          <w:rFonts w:eastAsia="Calibri"/>
          <w:noProof/>
        </w:rPr>
        <w:t>for</w:t>
      </w:r>
      <w:r w:rsidR="00683832" w:rsidRPr="00DE264C">
        <w:rPr>
          <w:rFonts w:eastAsia="Calibri"/>
          <w:noProof/>
        </w:rPr>
        <w:t xml:space="preserve"> </w:t>
      </w:r>
      <w:r w:rsidR="00BC5EC6" w:rsidRPr="00DE264C">
        <w:rPr>
          <w:rFonts w:eastAsia="Calibri"/>
          <w:noProof/>
        </w:rPr>
        <w:t>NRAs</w:t>
      </w:r>
      <w:r w:rsidR="007A19BB" w:rsidRPr="00DE264C">
        <w:rPr>
          <w:rFonts w:eastAsia="Calibri"/>
          <w:noProof/>
        </w:rPr>
        <w:t>’</w:t>
      </w:r>
      <w:r w:rsidR="00BC5EC6" w:rsidRPr="00DE264C">
        <w:rPr>
          <w:rFonts w:eastAsia="Calibri"/>
          <w:noProof/>
        </w:rPr>
        <w:t xml:space="preserve"> </w:t>
      </w:r>
      <w:r w:rsidR="007A19BB" w:rsidRPr="00DE264C">
        <w:rPr>
          <w:rFonts w:eastAsia="Calibri"/>
          <w:noProof/>
        </w:rPr>
        <w:t xml:space="preserve">involvement in the </w:t>
      </w:r>
      <w:r w:rsidR="00E40637" w:rsidRPr="00DE264C">
        <w:rPr>
          <w:rFonts w:eastAsia="Calibri"/>
          <w:noProof/>
        </w:rPr>
        <w:t xml:space="preserve">migration </w:t>
      </w:r>
      <w:r w:rsidR="00584A69" w:rsidRPr="00DE264C">
        <w:rPr>
          <w:rFonts w:eastAsia="Calibri"/>
          <w:noProof/>
        </w:rPr>
        <w:t>only if the</w:t>
      </w:r>
      <w:r w:rsidR="00E40637" w:rsidRPr="00DE264C">
        <w:rPr>
          <w:rFonts w:eastAsia="Calibri"/>
          <w:noProof/>
        </w:rPr>
        <w:t xml:space="preserve"> legacy infrastructure </w:t>
      </w:r>
      <w:r w:rsidR="006B5CE3" w:rsidRPr="00DE264C">
        <w:rPr>
          <w:rFonts w:eastAsia="Calibri"/>
          <w:noProof/>
        </w:rPr>
        <w:t xml:space="preserve">is regulated (based on </w:t>
      </w:r>
      <w:r w:rsidR="00C235DC" w:rsidRPr="00DE264C">
        <w:rPr>
          <w:rFonts w:eastAsia="Calibri"/>
          <w:noProof/>
        </w:rPr>
        <w:t>SMP</w:t>
      </w:r>
      <w:r w:rsidR="006B5CE3" w:rsidRPr="00DE264C">
        <w:rPr>
          <w:rFonts w:eastAsia="Calibri"/>
          <w:noProof/>
        </w:rPr>
        <w:t>)</w:t>
      </w:r>
      <w:r w:rsidR="00606F6F" w:rsidRPr="00DE264C">
        <w:rPr>
          <w:rFonts w:eastAsia="Calibri"/>
          <w:noProof/>
        </w:rPr>
        <w:t xml:space="preserve"> and after the</w:t>
      </w:r>
      <w:r w:rsidR="00C235DC" w:rsidRPr="00DE264C">
        <w:rPr>
          <w:rFonts w:eastAsia="Calibri"/>
          <w:noProof/>
        </w:rPr>
        <w:t xml:space="preserve"> operator</w:t>
      </w:r>
      <w:r w:rsidR="00BE31C5" w:rsidRPr="00DE264C">
        <w:rPr>
          <w:rFonts w:eastAsia="Calibri"/>
          <w:noProof/>
        </w:rPr>
        <w:t xml:space="preserve"> decide</w:t>
      </w:r>
      <w:r w:rsidR="005642C9" w:rsidRPr="00DE264C">
        <w:rPr>
          <w:rFonts w:eastAsia="Calibri"/>
          <w:noProof/>
        </w:rPr>
        <w:t xml:space="preserve">d </w:t>
      </w:r>
      <w:r w:rsidR="00D82A30" w:rsidRPr="00DE264C">
        <w:rPr>
          <w:rFonts w:eastAsia="Calibri"/>
          <w:noProof/>
        </w:rPr>
        <w:t>to</w:t>
      </w:r>
      <w:r w:rsidR="002F0218" w:rsidRPr="00DE264C">
        <w:rPr>
          <w:rFonts w:eastAsia="Calibri"/>
          <w:noProof/>
        </w:rPr>
        <w:t xml:space="preserve"> decommission</w:t>
      </w:r>
      <w:r w:rsidR="00D82A30" w:rsidRPr="00DE264C">
        <w:rPr>
          <w:rFonts w:eastAsia="Calibri"/>
          <w:noProof/>
        </w:rPr>
        <w:t xml:space="preserve"> </w:t>
      </w:r>
      <w:r w:rsidR="00371B54" w:rsidRPr="00DE264C">
        <w:rPr>
          <w:rFonts w:eastAsia="Calibri"/>
          <w:noProof/>
        </w:rPr>
        <w:t xml:space="preserve">(or replace) </w:t>
      </w:r>
      <w:r w:rsidR="00EE3D0F" w:rsidRPr="00DE264C">
        <w:rPr>
          <w:rFonts w:eastAsia="Calibri"/>
          <w:noProof/>
        </w:rPr>
        <w:t xml:space="preserve">parts of </w:t>
      </w:r>
      <w:r w:rsidR="00371B54" w:rsidRPr="00DE264C">
        <w:rPr>
          <w:rFonts w:eastAsia="Calibri"/>
          <w:noProof/>
        </w:rPr>
        <w:t>its</w:t>
      </w:r>
      <w:r w:rsidR="00EE3D0F" w:rsidRPr="00DE264C">
        <w:rPr>
          <w:rFonts w:eastAsia="Calibri"/>
          <w:noProof/>
        </w:rPr>
        <w:t xml:space="preserve"> network</w:t>
      </w:r>
      <w:r w:rsidR="00193FA7" w:rsidRPr="00DE264C">
        <w:rPr>
          <w:rFonts w:eastAsia="Calibri"/>
          <w:noProof/>
        </w:rPr>
        <w:t xml:space="preserve">. </w:t>
      </w:r>
      <w:r w:rsidR="00D57B21" w:rsidRPr="00DE264C">
        <w:rPr>
          <w:rFonts w:eastAsia="Calibri"/>
          <w:noProof/>
        </w:rPr>
        <w:t xml:space="preserve">Most relevantly, </w:t>
      </w:r>
      <w:r w:rsidR="00B93DB1">
        <w:rPr>
          <w:rFonts w:eastAsia="Calibri"/>
          <w:noProof/>
        </w:rPr>
        <w:t>the</w:t>
      </w:r>
      <w:r w:rsidR="00D57B21" w:rsidRPr="00DE264C">
        <w:rPr>
          <w:rFonts w:eastAsia="Calibri"/>
          <w:noProof/>
        </w:rPr>
        <w:t xml:space="preserve"> </w:t>
      </w:r>
      <w:r w:rsidR="00193FA7" w:rsidRPr="00DE264C">
        <w:rPr>
          <w:rFonts w:eastAsia="Calibri"/>
          <w:noProof/>
        </w:rPr>
        <w:t>NRA</w:t>
      </w:r>
      <w:r w:rsidR="006B0C6E">
        <w:rPr>
          <w:rFonts w:eastAsia="Calibri"/>
          <w:noProof/>
        </w:rPr>
        <w:t>s’</w:t>
      </w:r>
      <w:r w:rsidR="00D57B21" w:rsidRPr="00DE264C">
        <w:rPr>
          <w:rFonts w:eastAsia="Calibri"/>
          <w:noProof/>
        </w:rPr>
        <w:t xml:space="preserve"> </w:t>
      </w:r>
      <w:r w:rsidR="00193FA7" w:rsidRPr="00DE264C">
        <w:rPr>
          <w:rFonts w:eastAsia="Calibri"/>
          <w:noProof/>
        </w:rPr>
        <w:t xml:space="preserve">role </w:t>
      </w:r>
      <w:r w:rsidR="00C231FF" w:rsidRPr="00DE264C">
        <w:rPr>
          <w:rFonts w:eastAsia="Calibri"/>
          <w:noProof/>
        </w:rPr>
        <w:t xml:space="preserve">is </w:t>
      </w:r>
      <w:r w:rsidR="00E521CE" w:rsidRPr="00DE264C">
        <w:rPr>
          <w:rFonts w:eastAsia="Calibri"/>
          <w:noProof/>
        </w:rPr>
        <w:t xml:space="preserve">limited </w:t>
      </w:r>
      <w:r w:rsidR="005531E9" w:rsidRPr="00DE264C">
        <w:rPr>
          <w:rFonts w:eastAsia="Calibri"/>
          <w:noProof/>
        </w:rPr>
        <w:t xml:space="preserve">to </w:t>
      </w:r>
      <w:r w:rsidR="00C231FF" w:rsidRPr="00DE264C">
        <w:rPr>
          <w:rFonts w:eastAsia="Calibri"/>
          <w:noProof/>
        </w:rPr>
        <w:t>ensur</w:t>
      </w:r>
      <w:r w:rsidR="00E521CE" w:rsidRPr="00DE264C">
        <w:rPr>
          <w:rFonts w:eastAsia="Calibri"/>
          <w:noProof/>
        </w:rPr>
        <w:t>ing</w:t>
      </w:r>
      <w:r w:rsidR="00C231FF" w:rsidRPr="00DE264C">
        <w:rPr>
          <w:rFonts w:eastAsia="Calibri"/>
          <w:noProof/>
        </w:rPr>
        <w:t xml:space="preserve"> that the decommissioning process includes a transparent timetable and conditions</w:t>
      </w:r>
      <w:r w:rsidR="00A626E9" w:rsidRPr="00DE264C">
        <w:rPr>
          <w:rFonts w:eastAsia="Calibri"/>
          <w:noProof/>
        </w:rPr>
        <w:t xml:space="preserve"> -</w:t>
      </w:r>
      <w:r w:rsidR="00387142" w:rsidRPr="00DE264C">
        <w:rPr>
          <w:rFonts w:eastAsia="Calibri"/>
          <w:noProof/>
        </w:rPr>
        <w:t xml:space="preserve"> with the aim </w:t>
      </w:r>
      <w:r w:rsidR="00C231FF" w:rsidRPr="00DE264C">
        <w:rPr>
          <w:rFonts w:eastAsia="Calibri"/>
          <w:noProof/>
        </w:rPr>
        <w:t>to safeguard competition and the rights of end-users.</w:t>
      </w:r>
      <w:r w:rsidR="00A626E9" w:rsidRPr="00DE264C">
        <w:rPr>
          <w:rFonts w:eastAsia="Calibri"/>
          <w:noProof/>
        </w:rPr>
        <w:t xml:space="preserve"> </w:t>
      </w:r>
      <w:r w:rsidR="00B34D01" w:rsidRPr="00DE264C">
        <w:rPr>
          <w:rFonts w:eastAsia="Calibri"/>
          <w:noProof/>
        </w:rPr>
        <w:t xml:space="preserve">Consequently, </w:t>
      </w:r>
      <w:r w:rsidR="00F80D88" w:rsidRPr="00DE264C">
        <w:rPr>
          <w:rFonts w:eastAsia="Calibri"/>
          <w:noProof/>
        </w:rPr>
        <w:t>Article</w:t>
      </w:r>
      <w:r w:rsidR="00A907F2">
        <w:rPr>
          <w:rFonts w:eastAsia="Calibri"/>
          <w:noProof/>
        </w:rPr>
        <w:t> </w:t>
      </w:r>
      <w:r w:rsidR="00F80D88" w:rsidRPr="00DE264C">
        <w:rPr>
          <w:rFonts w:eastAsia="Calibri"/>
          <w:noProof/>
        </w:rPr>
        <w:t xml:space="preserve">81 </w:t>
      </w:r>
      <w:r w:rsidR="00A22C07" w:rsidRPr="00DE264C">
        <w:rPr>
          <w:rFonts w:eastAsia="Calibri"/>
          <w:noProof/>
        </w:rPr>
        <w:t xml:space="preserve">can </w:t>
      </w:r>
      <w:r w:rsidR="00806F97" w:rsidRPr="00DE264C">
        <w:rPr>
          <w:rFonts w:eastAsia="Calibri"/>
          <w:noProof/>
        </w:rPr>
        <w:t>slow down</w:t>
      </w:r>
      <w:r w:rsidR="00922897" w:rsidRPr="00DE264C">
        <w:rPr>
          <w:rFonts w:eastAsia="Calibri"/>
          <w:noProof/>
        </w:rPr>
        <w:t xml:space="preserve"> but not accelerate the copper switch-off process</w:t>
      </w:r>
      <w:r w:rsidRPr="00DE264C">
        <w:rPr>
          <w:rFonts w:eastAsia="Calibri"/>
          <w:noProof/>
        </w:rPr>
        <w:t xml:space="preserve">. </w:t>
      </w:r>
    </w:p>
    <w:p w14:paraId="1DAD5A09" w14:textId="332A35E5" w:rsidR="00270F90" w:rsidRPr="00DE264C" w:rsidRDefault="00270F90" w:rsidP="00DE7CC1">
      <w:pPr>
        <w:spacing w:line="240" w:lineRule="auto"/>
        <w:rPr>
          <w:noProof/>
        </w:rPr>
      </w:pPr>
      <w:r w:rsidRPr="00DE264C">
        <w:rPr>
          <w:noProof/>
        </w:rPr>
        <w:t xml:space="preserve">Option 1 – Non-binding CSO and </w:t>
      </w:r>
      <w:r w:rsidR="45D96435">
        <w:rPr>
          <w:noProof/>
        </w:rPr>
        <w:t xml:space="preserve">limited </w:t>
      </w:r>
      <w:r>
        <w:rPr>
          <w:noProof/>
        </w:rPr>
        <w:t>update</w:t>
      </w:r>
      <w:r w:rsidR="391001DB">
        <w:rPr>
          <w:noProof/>
        </w:rPr>
        <w:t xml:space="preserve">s to the </w:t>
      </w:r>
      <w:r w:rsidRPr="00DE264C">
        <w:rPr>
          <w:noProof/>
        </w:rPr>
        <w:t>access regulation</w:t>
      </w:r>
    </w:p>
    <w:p w14:paraId="1E63C711" w14:textId="45A2F3A1" w:rsidR="00270F90" w:rsidRPr="00DE264C" w:rsidRDefault="00270F90" w:rsidP="00DE7CC1">
      <w:pPr>
        <w:spacing w:line="240" w:lineRule="auto"/>
        <w:rPr>
          <w:noProof/>
        </w:rPr>
      </w:pPr>
      <w:r w:rsidRPr="00DE264C">
        <w:rPr>
          <w:noProof/>
        </w:rPr>
        <w:t>Option 1 maintains the current access regulation regime, offering regulatory predictability to support continued investment and competition in fibre networks. However, the framework’s flexibility may hinder progress in Member States lagging in fibre deployment or failing to implement wholesale access products that encourage innovation and differentiation. Non-binding targets and national plans alone are unlikely to fully resolve investment stand-offs in countries with extensive FTTC networks, leaving entrenched concerns unresolved.</w:t>
      </w:r>
    </w:p>
    <w:p w14:paraId="74D888B3" w14:textId="77777777" w:rsidR="00270F90" w:rsidRPr="00DE264C" w:rsidRDefault="00270F90" w:rsidP="00DE7CC1">
      <w:pPr>
        <w:spacing w:line="240" w:lineRule="auto"/>
        <w:rPr>
          <w:noProof/>
        </w:rPr>
      </w:pPr>
      <w:r w:rsidRPr="00DE264C">
        <w:rPr>
          <w:noProof/>
        </w:rPr>
        <w:t>Option 2 - Conditional CSO and updated access regulation</w:t>
      </w:r>
    </w:p>
    <w:p w14:paraId="32013DB4" w14:textId="3722B0CC" w:rsidR="00270F90" w:rsidRPr="00DE264C" w:rsidRDefault="00270F90" w:rsidP="00DE7CC1">
      <w:pPr>
        <w:spacing w:line="240" w:lineRule="auto"/>
        <w:rPr>
          <w:noProof/>
        </w:rPr>
      </w:pPr>
      <w:r w:rsidRPr="00DE264C">
        <w:rPr>
          <w:noProof/>
        </w:rPr>
        <w:t>The conditional but mandatory copper switch-off in this option is likely to significantly boost FTTH deployment and adoption, increasing end-user speeds without raising retail prices</w:t>
      </w:r>
      <w:r w:rsidR="00727786">
        <w:rPr>
          <w:noProof/>
        </w:rPr>
        <w:t xml:space="preserve"> and by ensuring appropriate safeguards for vulnerable end-users</w:t>
      </w:r>
      <w:r w:rsidRPr="00DE264C">
        <w:rPr>
          <w:noProof/>
        </w:rPr>
        <w:t>. However, these benefits depend on several factors being pursued together:</w:t>
      </w:r>
    </w:p>
    <w:p w14:paraId="74A8F3D6" w14:textId="70A46B4A" w:rsidR="00270F90" w:rsidRPr="00DE264C" w:rsidRDefault="00270F90" w:rsidP="00DE7CC1">
      <w:pPr>
        <w:pStyle w:val="ListParagraph"/>
        <w:numPr>
          <w:ilvl w:val="0"/>
          <w:numId w:val="94"/>
        </w:numPr>
        <w:spacing w:line="240" w:lineRule="auto"/>
        <w:rPr>
          <w:noProof/>
        </w:rPr>
      </w:pPr>
      <w:r w:rsidRPr="00DE264C">
        <w:rPr>
          <w:noProof/>
        </w:rPr>
        <w:t xml:space="preserve">Member States producing </w:t>
      </w:r>
      <w:r w:rsidR="07DD442D">
        <w:rPr>
          <w:noProof/>
        </w:rPr>
        <w:t xml:space="preserve">Transition </w:t>
      </w:r>
      <w:r w:rsidR="5AED7F7E">
        <w:rPr>
          <w:noProof/>
        </w:rPr>
        <w:t>to Fibr</w:t>
      </w:r>
      <w:r w:rsidR="00DD03CC">
        <w:rPr>
          <w:noProof/>
        </w:rPr>
        <w:t>e</w:t>
      </w:r>
      <w:r w:rsidR="07DD442D">
        <w:rPr>
          <w:noProof/>
        </w:rPr>
        <w:t xml:space="preserve"> Plan</w:t>
      </w:r>
      <w:r w:rsidRPr="00DE264C">
        <w:rPr>
          <w:noProof/>
        </w:rPr>
        <w:t>s to address commercial deployment gaps and support in-building fibr</w:t>
      </w:r>
      <w:r w:rsidR="00BF78A8">
        <w:rPr>
          <w:noProof/>
        </w:rPr>
        <w:t>e</w:t>
      </w:r>
      <w:r w:rsidRPr="00DE264C">
        <w:rPr>
          <w:noProof/>
        </w:rPr>
        <w:t xml:space="preserve"> standardization. </w:t>
      </w:r>
    </w:p>
    <w:p w14:paraId="109F4398" w14:textId="51E107DB" w:rsidR="00270F90" w:rsidRPr="00DE264C" w:rsidRDefault="00270F90" w:rsidP="00DE7CC1">
      <w:pPr>
        <w:pStyle w:val="ListParagraph"/>
        <w:numPr>
          <w:ilvl w:val="0"/>
          <w:numId w:val="94"/>
        </w:numPr>
        <w:spacing w:line="240" w:lineRule="auto"/>
        <w:rPr>
          <w:noProof/>
        </w:rPr>
      </w:pPr>
      <w:r w:rsidRPr="00DE264C">
        <w:rPr>
          <w:noProof/>
        </w:rPr>
        <w:t>NRAs collecting data, reviewing CSO plans, and conducting market reviews to assess impacts on market dynamics</w:t>
      </w:r>
      <w:r w:rsidR="51741680" w:rsidRPr="00DE264C">
        <w:rPr>
          <w:noProof/>
        </w:rPr>
        <w:t xml:space="preserve"> and adopt possible measures as needed</w:t>
      </w:r>
    </w:p>
    <w:p w14:paraId="48F0D298" w14:textId="22EFCC21" w:rsidR="00270F90" w:rsidRPr="00DE264C" w:rsidRDefault="00270F90" w:rsidP="00DE7CC1">
      <w:pPr>
        <w:pStyle w:val="ListParagraph"/>
        <w:numPr>
          <w:ilvl w:val="0"/>
          <w:numId w:val="94"/>
        </w:numPr>
        <w:spacing w:line="240" w:lineRule="auto"/>
        <w:rPr>
          <w:noProof/>
        </w:rPr>
      </w:pPr>
      <w:r w:rsidRPr="00DE264C">
        <w:rPr>
          <w:noProof/>
        </w:rPr>
        <w:t>Addressing competition barriers through a combination of</w:t>
      </w:r>
      <w:r w:rsidR="00B4001F">
        <w:rPr>
          <w:noProof/>
        </w:rPr>
        <w:t xml:space="preserve"> the three-criteria test, followed by</w:t>
      </w:r>
      <w:r w:rsidRPr="00DE264C">
        <w:rPr>
          <w:noProof/>
        </w:rPr>
        <w:t xml:space="preserve"> Article</w:t>
      </w:r>
      <w:r w:rsidR="00A907F2">
        <w:rPr>
          <w:noProof/>
        </w:rPr>
        <w:t> </w:t>
      </w:r>
      <w:r w:rsidRPr="00DE264C">
        <w:rPr>
          <w:noProof/>
        </w:rPr>
        <w:t xml:space="preserve">61(3) and/or SMP access regulation </w:t>
      </w:r>
      <w:r w:rsidR="00020DBF" w:rsidRPr="00DE264C">
        <w:rPr>
          <w:noProof/>
        </w:rPr>
        <w:t>(in</w:t>
      </w:r>
      <w:r w:rsidR="60876CDB" w:rsidRPr="00DE264C">
        <w:rPr>
          <w:noProof/>
        </w:rPr>
        <w:t xml:space="preserve"> particular </w:t>
      </w:r>
      <w:r w:rsidR="00020DBF" w:rsidRPr="00DE264C">
        <w:rPr>
          <w:noProof/>
        </w:rPr>
        <w:t>SMP</w:t>
      </w:r>
      <w:r w:rsidR="3622FBEF" w:rsidRPr="00DE264C">
        <w:rPr>
          <w:noProof/>
        </w:rPr>
        <w:t>-based</w:t>
      </w:r>
      <w:r w:rsidR="00020DBF" w:rsidRPr="00DE264C">
        <w:rPr>
          <w:noProof/>
        </w:rPr>
        <w:t xml:space="preserve"> PIA</w:t>
      </w:r>
      <w:r w:rsidR="3BECB564" w:rsidRPr="00DE264C">
        <w:rPr>
          <w:noProof/>
        </w:rPr>
        <w:t xml:space="preserve"> remedies</w:t>
      </w:r>
      <w:r w:rsidR="00020DBF" w:rsidRPr="00DE264C">
        <w:rPr>
          <w:noProof/>
        </w:rPr>
        <w:t>)</w:t>
      </w:r>
      <w:r w:rsidRPr="00DE264C">
        <w:rPr>
          <w:noProof/>
        </w:rPr>
        <w:t xml:space="preserve">, </w:t>
      </w:r>
      <w:r w:rsidR="3E8FC4DC" w:rsidRPr="00DE264C">
        <w:rPr>
          <w:noProof/>
        </w:rPr>
        <w:t xml:space="preserve">and wholesale access products </w:t>
      </w:r>
      <w:r w:rsidRPr="00DE264C">
        <w:rPr>
          <w:noProof/>
        </w:rPr>
        <w:t>based on best-practice that enable quality and price differentiation.</w:t>
      </w:r>
    </w:p>
    <w:p w14:paraId="02532832" w14:textId="27398A8E" w:rsidR="0079099B" w:rsidRPr="00DE264C" w:rsidRDefault="00BC338A" w:rsidP="00DE7CC1">
      <w:pPr>
        <w:spacing w:line="240" w:lineRule="auto"/>
        <w:rPr>
          <w:noProof/>
        </w:rPr>
      </w:pPr>
      <w:r>
        <w:rPr>
          <w:noProof/>
        </w:rPr>
        <w:t>The review of the RRM is a separate procedure</w:t>
      </w:r>
      <w:r w:rsidR="00367494">
        <w:rPr>
          <w:noProof/>
        </w:rPr>
        <w:t xml:space="preserve"> outside of the current impact assessment.</w:t>
      </w:r>
      <w:r w:rsidR="00EB7859">
        <w:rPr>
          <w:noProof/>
        </w:rPr>
        <w:t xml:space="preserve"> </w:t>
      </w:r>
      <w:r w:rsidR="76E36A05" w:rsidRPr="00DE264C">
        <w:rPr>
          <w:noProof/>
        </w:rPr>
        <w:t>P</w:t>
      </w:r>
      <w:r w:rsidR="00270F90" w:rsidRPr="00DE264C">
        <w:rPr>
          <w:noProof/>
        </w:rPr>
        <w:t xml:space="preserve">ossible effects </w:t>
      </w:r>
      <w:r w:rsidR="4BFA2791" w:rsidRPr="00DE264C">
        <w:rPr>
          <w:noProof/>
        </w:rPr>
        <w:t xml:space="preserve">of a </w:t>
      </w:r>
      <w:r w:rsidR="0C99A190">
        <w:rPr>
          <w:noProof/>
        </w:rPr>
        <w:t xml:space="preserve">potential </w:t>
      </w:r>
      <w:r w:rsidR="4BFA2791" w:rsidRPr="00DE264C">
        <w:rPr>
          <w:noProof/>
        </w:rPr>
        <w:t>Commission’s decision not to issue a</w:t>
      </w:r>
      <w:r w:rsidR="00270F90" w:rsidRPr="00DE264C">
        <w:rPr>
          <w:noProof/>
        </w:rPr>
        <w:t xml:space="preserve"> RRM </w:t>
      </w:r>
      <w:r w:rsidR="4A168928" w:rsidRPr="00DE264C">
        <w:rPr>
          <w:noProof/>
        </w:rPr>
        <w:t>or not to recommend any markets for ex</w:t>
      </w:r>
      <w:r w:rsidR="6E9AE352">
        <w:rPr>
          <w:noProof/>
        </w:rPr>
        <w:t xml:space="preserve"> </w:t>
      </w:r>
      <w:r w:rsidR="4A168928" w:rsidRPr="00DE264C">
        <w:rPr>
          <w:noProof/>
        </w:rPr>
        <w:t>ante</w:t>
      </w:r>
      <w:r w:rsidR="00270F90" w:rsidRPr="00DE264C">
        <w:rPr>
          <w:noProof/>
        </w:rPr>
        <w:t xml:space="preserve"> </w:t>
      </w:r>
      <w:r w:rsidR="21E97083" w:rsidRPr="00DE264C">
        <w:rPr>
          <w:noProof/>
        </w:rPr>
        <w:t xml:space="preserve">regulation </w:t>
      </w:r>
      <w:r w:rsidR="00270F90" w:rsidRPr="00DE264C">
        <w:rPr>
          <w:noProof/>
        </w:rPr>
        <w:t xml:space="preserve">are discussed in detail in Annex 9, section 1. </w:t>
      </w:r>
      <w:r w:rsidR="0D80E854">
        <w:rPr>
          <w:noProof/>
        </w:rPr>
        <w:t>If</w:t>
      </w:r>
      <w:r w:rsidR="0079099B" w:rsidRPr="00DE264C">
        <w:rPr>
          <w:noProof/>
        </w:rPr>
        <w:t xml:space="preserve"> there is no longer a requirement for the Commission to publish such a list</w:t>
      </w:r>
      <w:r w:rsidR="00255D6A" w:rsidRPr="00DE264C">
        <w:rPr>
          <w:noProof/>
        </w:rPr>
        <w:t xml:space="preserve"> of recommended markets,</w:t>
      </w:r>
      <w:r w:rsidR="0079099B" w:rsidRPr="00DE264C">
        <w:rPr>
          <w:noProof/>
        </w:rPr>
        <w:t xml:space="preserve"> this would change the presumption, which has applied until now, that there are likely to be wholesale markets which are susceptible to ex ante regulation across the EU. This will result in indirect costs and benefits for </w:t>
      </w:r>
      <w:r w:rsidR="0079099B" w:rsidRPr="00DE264C">
        <w:rPr>
          <w:b/>
          <w:bCs/>
          <w:noProof/>
        </w:rPr>
        <w:t>ECN operators</w:t>
      </w:r>
      <w:r w:rsidR="0079099B" w:rsidRPr="00DE264C">
        <w:rPr>
          <w:noProof/>
        </w:rPr>
        <w:t xml:space="preserve"> which will differ depending on the implications this has for specific operator groups that may have been (or might otherwise be) considered likely to be subject to ex ante regulation or may have relied on ex ante regulation to provide broadband services to end-users. </w:t>
      </w:r>
    </w:p>
    <w:p w14:paraId="59CBE9C8" w14:textId="1E6FB933" w:rsidR="00270F90" w:rsidRPr="00DE264C" w:rsidRDefault="0079099B" w:rsidP="00DE7CC1">
      <w:pPr>
        <w:spacing w:line="240" w:lineRule="auto"/>
        <w:rPr>
          <w:noProof/>
        </w:rPr>
      </w:pPr>
      <w:bookmarkStart w:id="378" w:name="_Hlk214372389"/>
      <w:r w:rsidRPr="00DE264C">
        <w:rPr>
          <w:noProof/>
        </w:rPr>
        <w:t xml:space="preserve">However, making the RRM optional does not </w:t>
      </w:r>
      <w:r w:rsidR="67E6ED80">
        <w:rPr>
          <w:noProof/>
        </w:rPr>
        <w:t xml:space="preserve">automatically imply </w:t>
      </w:r>
      <w:r w:rsidRPr="00DE264C">
        <w:rPr>
          <w:noProof/>
        </w:rPr>
        <w:t>that it will be removed (</w:t>
      </w:r>
      <w:r w:rsidR="5014BC57">
        <w:rPr>
          <w:noProof/>
        </w:rPr>
        <w:t>or that it will be</w:t>
      </w:r>
      <w:r w:rsidRPr="00DE264C">
        <w:rPr>
          <w:noProof/>
        </w:rPr>
        <w:t xml:space="preserve"> adopted). The potential impacts discussed are hypothetical and depend on several factors: the Commission deciding not to adopt an RRM, and NRAs choosing not to act proactively. Therefore, the actual effects of making the RRM optional remain uncertain and contingent on future decisions and actions.</w:t>
      </w:r>
      <w:bookmarkEnd w:id="378"/>
      <w:r w:rsidR="6F80515E" w:rsidRPr="00DE264C">
        <w:rPr>
          <w:noProof/>
        </w:rPr>
        <w:t xml:space="preserve"> </w:t>
      </w:r>
    </w:p>
    <w:p w14:paraId="7ED49251" w14:textId="77777777" w:rsidR="00270F90" w:rsidRPr="00DE264C" w:rsidRDefault="00270F90" w:rsidP="00DE7CC1">
      <w:pPr>
        <w:spacing w:line="240" w:lineRule="auto"/>
        <w:rPr>
          <w:noProof/>
        </w:rPr>
      </w:pPr>
      <w:r w:rsidRPr="00DE264C">
        <w:rPr>
          <w:noProof/>
        </w:rPr>
        <w:t xml:space="preserve">Option 3 - </w:t>
      </w:r>
      <w:r w:rsidRPr="00A03164">
        <w:rPr>
          <w:noProof/>
        </w:rPr>
        <w:t xml:space="preserve">Market driven CSO and </w:t>
      </w:r>
      <w:r w:rsidRPr="00DE264C">
        <w:rPr>
          <w:noProof/>
        </w:rPr>
        <w:t>bottleneck-based access regulation</w:t>
      </w:r>
    </w:p>
    <w:p w14:paraId="3BFE2683" w14:textId="3B4A7F81" w:rsidR="00270F90" w:rsidRPr="00DE264C" w:rsidRDefault="00270F90" w:rsidP="00DE7CC1">
      <w:pPr>
        <w:spacing w:line="240" w:lineRule="auto"/>
        <w:rPr>
          <w:noProof/>
        </w:rPr>
      </w:pPr>
      <w:r w:rsidRPr="00DE264C">
        <w:rPr>
          <w:noProof/>
        </w:rPr>
        <w:t>Option 3 shifts access regulation towards deregulation, relying on existing measures for physical infrastructure access under the GIA. Ex ante regulation of fibre networks would be limited to areas with a single closed network, and SMP and Article</w:t>
      </w:r>
      <w:r w:rsidR="00A907F2">
        <w:rPr>
          <w:noProof/>
        </w:rPr>
        <w:t> </w:t>
      </w:r>
      <w:r w:rsidRPr="00DE264C">
        <w:rPr>
          <w:noProof/>
        </w:rPr>
        <w:t xml:space="preserve">61(3) measures would be removed. The goal is to let the market drive fibre deployment and take-up. However, this approach creates uncertainty and may undermine confidence among alternative fibre investors due to a shift from SMP regulation to </w:t>
      </w:r>
      <w:r w:rsidR="65A49825" w:rsidRPr="00DE264C">
        <w:rPr>
          <w:noProof/>
        </w:rPr>
        <w:t>G</w:t>
      </w:r>
      <w:r w:rsidRPr="00DE264C">
        <w:rPr>
          <w:noProof/>
        </w:rPr>
        <w:t>IA, potentially increasing wholesale prices and deterring investments. Reduced oversight could worsen fibre access conditions in less competitive areas, and voluntary wholesale access might not ensure fair competition</w:t>
      </w:r>
      <w:r w:rsidR="4AD435EB" w:rsidRPr="00DE264C">
        <w:rPr>
          <w:noProof/>
        </w:rPr>
        <w:t xml:space="preserve"> with ultimate negative effects on end-users in terms of reduced choices and affordability</w:t>
      </w:r>
      <w:r w:rsidRPr="00DE264C">
        <w:rPr>
          <w:noProof/>
        </w:rPr>
        <w:t>. Copper switch-off could accelerate in areas benefiting incumbents but harm alternative providers in FTTC-dominant countries</w:t>
      </w:r>
      <w:r w:rsidR="23C7111D" w:rsidRPr="00DE264C">
        <w:rPr>
          <w:noProof/>
        </w:rPr>
        <w:t xml:space="preserve"> with negative results on end- users</w:t>
      </w:r>
      <w:r w:rsidRPr="00DE264C">
        <w:rPr>
          <w:noProof/>
        </w:rPr>
        <w:t xml:space="preserve">. </w:t>
      </w:r>
    </w:p>
    <w:p w14:paraId="20183773" w14:textId="77777777" w:rsidR="00270F90" w:rsidRPr="00DE264C" w:rsidRDefault="00270F90" w:rsidP="00DE7CC1">
      <w:pPr>
        <w:spacing w:line="240" w:lineRule="auto"/>
        <w:rPr>
          <w:noProof/>
        </w:rPr>
      </w:pPr>
      <w:r w:rsidRPr="00DE264C">
        <w:rPr>
          <w:noProof/>
        </w:rPr>
        <w:t xml:space="preserve">Option 4 - </w:t>
      </w:r>
      <w:r w:rsidRPr="00A03164">
        <w:rPr>
          <w:noProof/>
        </w:rPr>
        <w:t>Mandatory CSO and symmetric regulation</w:t>
      </w:r>
    </w:p>
    <w:p w14:paraId="5C13F1AB" w14:textId="0CDBA1D2" w:rsidR="00270F90" w:rsidRPr="00DE264C" w:rsidRDefault="00270F90" w:rsidP="00DE7CC1">
      <w:pPr>
        <w:spacing w:line="240" w:lineRule="auto"/>
        <w:rPr>
          <w:noProof/>
        </w:rPr>
      </w:pPr>
      <w:r w:rsidRPr="00DE264C">
        <w:rPr>
          <w:noProof/>
        </w:rPr>
        <w:t>Option 4 simplifies the regulatory framework by replacing the current SMP and Article</w:t>
      </w:r>
      <w:r w:rsidR="00A907F2">
        <w:rPr>
          <w:noProof/>
        </w:rPr>
        <w:t> </w:t>
      </w:r>
      <w:r w:rsidRPr="00DE264C">
        <w:rPr>
          <w:noProof/>
        </w:rPr>
        <w:t xml:space="preserve">61(3) regime with an obligation for all operators for wholesale access. A strict deadline for copper switch-off would accelerate FTTH deployment but might over-rely on public funding and leave some consumers without adequate fixed broadband. 9 countries plan to switch off copper by 2030, while others lag in fibre roll-out and may need additional public funding. Obligating former SMP controllers to provide duct access on cost-oriented terms would increase certainty for alternative fibre investors, fostering more deployment. Symmetric regulation for wholesale fibre access could increase broadband choices but might make access obligations less stringent, focusing on bitstream access with fair and reasonable pricing. This could reduce support for differentiated offers, increase administrative costs, and create uncertainty, potentially lowering competition quality compared to other options. </w:t>
      </w:r>
    </w:p>
    <w:p w14:paraId="4DCE0D24" w14:textId="14A2FB48" w:rsidR="00E4522B" w:rsidRPr="00DE264C" w:rsidRDefault="00E4522B" w:rsidP="00DE7CC1">
      <w:pPr>
        <w:spacing w:line="240" w:lineRule="auto"/>
        <w:rPr>
          <w:noProof/>
        </w:rPr>
      </w:pPr>
      <w:r w:rsidRPr="00DE264C">
        <w:rPr>
          <w:noProof/>
        </w:rPr>
        <w:t>The following table provides a synthesis of expected effects of the different options on outcomes, taking into account the combined effects of the individual policies.</w:t>
      </w:r>
    </w:p>
    <w:p w14:paraId="74DAEEC6" w14:textId="71467BB4" w:rsidR="00E4522B" w:rsidRPr="00DE264C" w:rsidRDefault="00E4522B" w:rsidP="00236E38">
      <w:pPr>
        <w:pStyle w:val="CommentText"/>
        <w:keepNext/>
        <w:keepLines/>
        <w:spacing w:before="120" w:after="120"/>
        <w:rPr>
          <w:rFonts w:eastAsia="Times New Roman"/>
          <w:i/>
          <w:noProof/>
          <w:color w:val="000000" w:themeColor="text1"/>
          <w:u w:val="single"/>
        </w:rPr>
      </w:pPr>
      <w:bookmarkStart w:id="379" w:name="_Ref214034281"/>
      <w:r w:rsidRPr="00DE264C">
        <w:rPr>
          <w:rFonts w:eastAsia="Times New Roman"/>
          <w:i/>
          <w:noProof/>
          <w:color w:val="000000" w:themeColor="text1"/>
          <w:sz w:val="24"/>
          <w:szCs w:val="24"/>
          <w:u w:val="single"/>
        </w:rPr>
        <w:t>Table</w:t>
      </w:r>
      <w:bookmarkEnd w:id="379"/>
      <w:r w:rsidR="00477A31">
        <w:rPr>
          <w:rFonts w:eastAsia="Times New Roman"/>
          <w:i/>
          <w:noProof/>
          <w:color w:val="000000" w:themeColor="text1"/>
          <w:sz w:val="24"/>
          <w:szCs w:val="24"/>
          <w:u w:val="single"/>
        </w:rPr>
        <w:t xml:space="preserve"> 2</w:t>
      </w:r>
      <w:r w:rsidR="009A5C16">
        <w:rPr>
          <w:rFonts w:eastAsia="Times New Roman"/>
          <w:i/>
          <w:noProof/>
          <w:color w:val="000000" w:themeColor="text1"/>
          <w:sz w:val="24"/>
          <w:szCs w:val="24"/>
          <w:u w:val="single"/>
        </w:rPr>
        <w:t>3</w:t>
      </w:r>
      <w:r w:rsidRPr="00DE264C">
        <w:rPr>
          <w:rFonts w:eastAsia="Times New Roman"/>
          <w:i/>
          <w:noProof/>
          <w:color w:val="000000" w:themeColor="text1"/>
          <w:sz w:val="24"/>
          <w:szCs w:val="24"/>
          <w:u w:val="single"/>
        </w:rPr>
        <w:t>:</w:t>
      </w:r>
      <w:r w:rsidRPr="00A03164">
        <w:rPr>
          <w:i/>
          <w:noProof/>
          <w:color w:val="000000" w:themeColor="text1"/>
          <w:sz w:val="24"/>
          <w:u w:val="single"/>
        </w:rPr>
        <w:tab/>
      </w:r>
      <w:r w:rsidRPr="00DE264C">
        <w:rPr>
          <w:rFonts w:eastAsia="Times New Roman"/>
          <w:i/>
          <w:noProof/>
          <w:color w:val="000000" w:themeColor="text1"/>
          <w:sz w:val="24"/>
          <w:szCs w:val="24"/>
          <w:u w:val="single"/>
        </w:rPr>
        <w:t>Overview of effectiveness of options compared with the status quo</w:t>
      </w:r>
    </w:p>
    <w:tbl>
      <w:tblPr>
        <w:tblStyle w:val="GridTable1Light"/>
        <w:tblW w:w="5023" w:type="pct"/>
        <w:tblLayout w:type="fixed"/>
        <w:tblCellMar>
          <w:left w:w="85" w:type="dxa"/>
          <w:right w:w="85" w:type="dxa"/>
        </w:tblCellMar>
        <w:tblLook w:val="04A0" w:firstRow="1" w:lastRow="0" w:firstColumn="1" w:lastColumn="0" w:noHBand="0" w:noVBand="1"/>
      </w:tblPr>
      <w:tblGrid>
        <w:gridCol w:w="1206"/>
        <w:gridCol w:w="1205"/>
        <w:gridCol w:w="1205"/>
        <w:gridCol w:w="1398"/>
        <w:gridCol w:w="1148"/>
        <w:gridCol w:w="1290"/>
        <w:gridCol w:w="1148"/>
        <w:gridCol w:w="1043"/>
      </w:tblGrid>
      <w:tr w:rsidR="00DE264C" w:rsidRPr="00346211" w14:paraId="1DC39FFF" w14:textId="77777777" w:rsidTr="00DE264C">
        <w:trPr>
          <w:cnfStyle w:val="100000000000" w:firstRow="1" w:lastRow="0" w:firstColumn="0" w:lastColumn="0" w:oddVBand="0" w:evenVBand="0" w:oddHBand="0" w:evenHBand="0" w:firstRowFirstColumn="0" w:firstRowLastColumn="0" w:lastRowFirstColumn="0" w:lastRowLastColumn="0"/>
          <w:trHeight w:val="1065"/>
        </w:trPr>
        <w:tc>
          <w:tcPr>
            <w:cnfStyle w:val="001000000000" w:firstRow="0" w:lastRow="0" w:firstColumn="1" w:lastColumn="0" w:oddVBand="0" w:evenVBand="0" w:oddHBand="0" w:evenHBand="0" w:firstRowFirstColumn="0" w:firstRowLastColumn="0" w:lastRowFirstColumn="0" w:lastRowLastColumn="0"/>
            <w:tcW w:w="625" w:type="pct"/>
            <w:hideMark/>
          </w:tcPr>
          <w:p w14:paraId="0E0713D3" w14:textId="77777777" w:rsidR="00E4522B" w:rsidRPr="00346211" w:rsidRDefault="00E4522B">
            <w:pPr>
              <w:spacing w:after="0"/>
              <w:jc w:val="left"/>
              <w:rPr>
                <w:noProof/>
                <w:sz w:val="20"/>
                <w:szCs w:val="20"/>
                <w:lang w:eastAsia="fr-BE"/>
              </w:rPr>
            </w:pPr>
            <w:r w:rsidRPr="00346211">
              <w:rPr>
                <w:noProof/>
                <w:sz w:val="20"/>
                <w:szCs w:val="20"/>
                <w:lang w:eastAsia="fr-BE"/>
              </w:rPr>
              <w:t>Options and associated policy measures</w:t>
            </w:r>
          </w:p>
        </w:tc>
        <w:tc>
          <w:tcPr>
            <w:tcW w:w="625" w:type="pct"/>
            <w:hideMark/>
          </w:tcPr>
          <w:p w14:paraId="40903CBA" w14:textId="77777777" w:rsidR="00E4522B" w:rsidRPr="00346211" w:rsidRDefault="00E4522B">
            <w:pPr>
              <w:spacing w:after="0"/>
              <w:jc w:val="center"/>
              <w:cnfStyle w:val="100000000000" w:firstRow="1" w:lastRow="0" w:firstColumn="0" w:lastColumn="0" w:oddVBand="0" w:evenVBand="0" w:oddHBand="0" w:evenHBand="0" w:firstRowFirstColumn="0" w:firstRowLastColumn="0" w:lastRowFirstColumn="0" w:lastRowLastColumn="0"/>
              <w:rPr>
                <w:b w:val="0"/>
                <w:noProof/>
                <w:sz w:val="20"/>
                <w:szCs w:val="20"/>
                <w:lang w:eastAsia="fr-BE"/>
              </w:rPr>
            </w:pPr>
            <w:r w:rsidRPr="00346211">
              <w:rPr>
                <w:noProof/>
                <w:sz w:val="20"/>
                <w:szCs w:val="20"/>
                <w:lang w:eastAsia="fr-BE"/>
              </w:rPr>
              <w:t>FTTH coverage (homes passed as % HH)</w:t>
            </w:r>
          </w:p>
        </w:tc>
        <w:tc>
          <w:tcPr>
            <w:tcW w:w="625" w:type="pct"/>
            <w:hideMark/>
          </w:tcPr>
          <w:p w14:paraId="78767273" w14:textId="77777777" w:rsidR="00E4522B" w:rsidRPr="00346211" w:rsidRDefault="00E4522B">
            <w:pPr>
              <w:spacing w:after="0"/>
              <w:jc w:val="center"/>
              <w:cnfStyle w:val="100000000000" w:firstRow="1" w:lastRow="0" w:firstColumn="0" w:lastColumn="0" w:oddVBand="0" w:evenVBand="0" w:oddHBand="0" w:evenHBand="0" w:firstRowFirstColumn="0" w:firstRowLastColumn="0" w:lastRowFirstColumn="0" w:lastRowLastColumn="0"/>
              <w:rPr>
                <w:b w:val="0"/>
                <w:noProof/>
                <w:sz w:val="20"/>
                <w:szCs w:val="20"/>
                <w:lang w:eastAsia="fr-BE"/>
              </w:rPr>
            </w:pPr>
            <w:r w:rsidRPr="00346211">
              <w:rPr>
                <w:noProof/>
                <w:sz w:val="20"/>
                <w:szCs w:val="20"/>
                <w:lang w:eastAsia="fr-BE"/>
              </w:rPr>
              <w:t>FTTH take-up (homes connected as % HH)</w:t>
            </w:r>
          </w:p>
        </w:tc>
        <w:tc>
          <w:tcPr>
            <w:tcW w:w="725" w:type="pct"/>
            <w:hideMark/>
          </w:tcPr>
          <w:p w14:paraId="73119F88" w14:textId="77777777" w:rsidR="00E4522B" w:rsidRPr="00346211" w:rsidRDefault="00E4522B">
            <w:pPr>
              <w:spacing w:after="0"/>
              <w:jc w:val="center"/>
              <w:cnfStyle w:val="100000000000" w:firstRow="1" w:lastRow="0" w:firstColumn="0" w:lastColumn="0" w:oddVBand="0" w:evenVBand="0" w:oddHBand="0" w:evenHBand="0" w:firstRowFirstColumn="0" w:firstRowLastColumn="0" w:lastRowFirstColumn="0" w:lastRowLastColumn="0"/>
              <w:rPr>
                <w:b w:val="0"/>
                <w:noProof/>
                <w:sz w:val="20"/>
                <w:szCs w:val="20"/>
                <w:lang w:eastAsia="fr-BE"/>
              </w:rPr>
            </w:pPr>
            <w:r w:rsidRPr="00346211">
              <w:rPr>
                <w:noProof/>
                <w:sz w:val="20"/>
                <w:szCs w:val="20"/>
                <w:lang w:eastAsia="fr-BE"/>
              </w:rPr>
              <w:t>Competition: infrastructure / service</w:t>
            </w:r>
          </w:p>
        </w:tc>
        <w:tc>
          <w:tcPr>
            <w:tcW w:w="595" w:type="pct"/>
          </w:tcPr>
          <w:p w14:paraId="06222B0E" w14:textId="77777777" w:rsidR="00E4522B" w:rsidRPr="00346211" w:rsidRDefault="00E4522B">
            <w:pPr>
              <w:spacing w:after="0"/>
              <w:jc w:val="center"/>
              <w:cnfStyle w:val="100000000000" w:firstRow="1" w:lastRow="0" w:firstColumn="0" w:lastColumn="0" w:oddVBand="0" w:evenVBand="0" w:oddHBand="0" w:evenHBand="0" w:firstRowFirstColumn="0" w:firstRowLastColumn="0" w:lastRowFirstColumn="0" w:lastRowLastColumn="0"/>
              <w:rPr>
                <w:b w:val="0"/>
                <w:noProof/>
                <w:sz w:val="20"/>
                <w:szCs w:val="20"/>
                <w:lang w:eastAsia="fr-BE"/>
              </w:rPr>
            </w:pPr>
            <w:r w:rsidRPr="00346211">
              <w:rPr>
                <w:noProof/>
                <w:sz w:val="20"/>
                <w:szCs w:val="20"/>
                <w:lang w:eastAsia="fr-BE"/>
              </w:rPr>
              <w:t>Effects on quality (speed / take-up of Gigabit)</w:t>
            </w:r>
          </w:p>
        </w:tc>
        <w:tc>
          <w:tcPr>
            <w:tcW w:w="669" w:type="pct"/>
          </w:tcPr>
          <w:p w14:paraId="67DA7B4B" w14:textId="77777777" w:rsidR="00E4522B" w:rsidRPr="00346211" w:rsidRDefault="00E4522B">
            <w:pPr>
              <w:spacing w:after="0"/>
              <w:jc w:val="center"/>
              <w:cnfStyle w:val="100000000000" w:firstRow="1" w:lastRow="0" w:firstColumn="0" w:lastColumn="0" w:oddVBand="0" w:evenVBand="0" w:oddHBand="0" w:evenHBand="0" w:firstRowFirstColumn="0" w:firstRowLastColumn="0" w:lastRowFirstColumn="0" w:lastRowLastColumn="0"/>
              <w:rPr>
                <w:b w:val="0"/>
                <w:noProof/>
                <w:sz w:val="20"/>
                <w:szCs w:val="20"/>
                <w:lang w:eastAsia="fr-BE"/>
              </w:rPr>
            </w:pPr>
            <w:r w:rsidRPr="00346211">
              <w:rPr>
                <w:noProof/>
                <w:sz w:val="20"/>
                <w:szCs w:val="20"/>
                <w:lang w:eastAsia="fr-BE"/>
              </w:rPr>
              <w:t>Effects on price (affordability of high speed BB)</w:t>
            </w:r>
          </w:p>
        </w:tc>
        <w:tc>
          <w:tcPr>
            <w:tcW w:w="595" w:type="pct"/>
            <w:hideMark/>
          </w:tcPr>
          <w:p w14:paraId="43B8E9D3" w14:textId="77777777" w:rsidR="00E4522B" w:rsidRPr="00346211" w:rsidRDefault="00E4522B">
            <w:pPr>
              <w:spacing w:after="0"/>
              <w:jc w:val="center"/>
              <w:cnfStyle w:val="100000000000" w:firstRow="1" w:lastRow="0" w:firstColumn="0" w:lastColumn="0" w:oddVBand="0" w:evenVBand="0" w:oddHBand="0" w:evenHBand="0" w:firstRowFirstColumn="0" w:firstRowLastColumn="0" w:lastRowFirstColumn="0" w:lastRowLastColumn="0"/>
              <w:rPr>
                <w:b w:val="0"/>
                <w:noProof/>
                <w:sz w:val="20"/>
                <w:szCs w:val="20"/>
                <w:lang w:val="fr-BE" w:eastAsia="fr-BE"/>
              </w:rPr>
            </w:pPr>
            <w:r w:rsidRPr="00A03164">
              <w:rPr>
                <w:noProof/>
                <w:sz w:val="20"/>
              </w:rPr>
              <w:t>Single market / consistency</w:t>
            </w:r>
          </w:p>
        </w:tc>
        <w:tc>
          <w:tcPr>
            <w:tcW w:w="541" w:type="pct"/>
            <w:hideMark/>
          </w:tcPr>
          <w:p w14:paraId="27EF2DFA" w14:textId="692E9AEC" w:rsidR="00E4522B" w:rsidRPr="00346211" w:rsidRDefault="00E4522B">
            <w:pPr>
              <w:spacing w:after="0"/>
              <w:jc w:val="center"/>
              <w:cnfStyle w:val="100000000000" w:firstRow="1" w:lastRow="0" w:firstColumn="0" w:lastColumn="0" w:oddVBand="0" w:evenVBand="0" w:oddHBand="0" w:evenHBand="0" w:firstRowFirstColumn="0" w:firstRowLastColumn="0" w:lastRowFirstColumn="0" w:lastRowLastColumn="0"/>
              <w:rPr>
                <w:b w:val="0"/>
                <w:noProof/>
                <w:sz w:val="20"/>
                <w:szCs w:val="20"/>
                <w:lang w:val="fr-BE" w:eastAsia="fr-BE"/>
              </w:rPr>
            </w:pPr>
            <w:r w:rsidRPr="00A03164">
              <w:rPr>
                <w:noProof/>
                <w:sz w:val="20"/>
              </w:rPr>
              <w:t>Simpli</w:t>
            </w:r>
            <w:r w:rsidR="00DE264C" w:rsidRPr="00A03164">
              <w:rPr>
                <w:noProof/>
                <w:sz w:val="20"/>
              </w:rPr>
              <w:t>-</w:t>
            </w:r>
            <w:r w:rsidRPr="00A03164">
              <w:rPr>
                <w:noProof/>
                <w:sz w:val="20"/>
              </w:rPr>
              <w:t>fication</w:t>
            </w:r>
          </w:p>
        </w:tc>
      </w:tr>
      <w:tr w:rsidR="00DE264C" w:rsidRPr="00346211" w14:paraId="440BBDC6" w14:textId="77777777" w:rsidTr="00DE264C">
        <w:trPr>
          <w:trHeight w:val="464"/>
        </w:trPr>
        <w:tc>
          <w:tcPr>
            <w:cnfStyle w:val="001000000000" w:firstRow="0" w:lastRow="0" w:firstColumn="1" w:lastColumn="0" w:oddVBand="0" w:evenVBand="0" w:oddHBand="0" w:evenHBand="0" w:firstRowFirstColumn="0" w:firstRowLastColumn="0" w:lastRowFirstColumn="0" w:lastRowLastColumn="0"/>
            <w:tcW w:w="625" w:type="pct"/>
            <w:hideMark/>
          </w:tcPr>
          <w:p w14:paraId="74DDBABF" w14:textId="77777777" w:rsidR="00E4522B" w:rsidRPr="00346211" w:rsidRDefault="00E4522B">
            <w:pPr>
              <w:spacing w:after="0"/>
              <w:jc w:val="left"/>
              <w:rPr>
                <w:noProof/>
                <w:sz w:val="20"/>
                <w:szCs w:val="20"/>
                <w:lang w:eastAsia="fr-BE"/>
              </w:rPr>
            </w:pPr>
            <w:r w:rsidRPr="00346211">
              <w:rPr>
                <w:noProof/>
                <w:sz w:val="20"/>
                <w:szCs w:val="20"/>
              </w:rPr>
              <w:t>Option 1: non-mandatory CSO and continuity on SMP with some updating of Art 61(3), and best practice wholesale (non-binding)</w:t>
            </w:r>
          </w:p>
        </w:tc>
        <w:tc>
          <w:tcPr>
            <w:tcW w:w="625" w:type="pct"/>
          </w:tcPr>
          <w:p w14:paraId="79522BAB"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Effects from CSO</w:t>
            </w:r>
          </w:p>
        </w:tc>
        <w:tc>
          <w:tcPr>
            <w:tcW w:w="625" w:type="pct"/>
            <w:noWrap/>
          </w:tcPr>
          <w:p w14:paraId="606229BE"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Effects from CSO and right to connect</w:t>
            </w:r>
          </w:p>
        </w:tc>
        <w:tc>
          <w:tcPr>
            <w:tcW w:w="725" w:type="pct"/>
            <w:noWrap/>
          </w:tcPr>
          <w:p w14:paraId="30E84A25" w14:textId="039F20A8"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Some limited negative effect from CSO, but addressed through SMP, Art 61(3) and EU wholesale access product</w:t>
            </w:r>
            <w:r w:rsidR="00463C31" w:rsidRPr="00346211">
              <w:rPr>
                <w:noProof/>
                <w:sz w:val="20"/>
                <w:szCs w:val="20"/>
                <w:lang w:eastAsia="fr-BE"/>
              </w:rPr>
              <w:t>s</w:t>
            </w:r>
          </w:p>
        </w:tc>
        <w:tc>
          <w:tcPr>
            <w:tcW w:w="595" w:type="pct"/>
          </w:tcPr>
          <w:p w14:paraId="5A714B66"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Art 61(3) and best practice wholesale</w:t>
            </w:r>
          </w:p>
        </w:tc>
        <w:tc>
          <w:tcPr>
            <w:tcW w:w="669" w:type="pct"/>
          </w:tcPr>
          <w:p w14:paraId="47667FB7"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0</w:t>
            </w:r>
          </w:p>
        </w:tc>
        <w:tc>
          <w:tcPr>
            <w:tcW w:w="595" w:type="pct"/>
            <w:noWrap/>
          </w:tcPr>
          <w:p w14:paraId="423E6C64"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w:t>
            </w:r>
          </w:p>
        </w:tc>
        <w:tc>
          <w:tcPr>
            <w:tcW w:w="541" w:type="pct"/>
            <w:noWrap/>
          </w:tcPr>
          <w:p w14:paraId="6FD11B28"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w:t>
            </w:r>
          </w:p>
        </w:tc>
      </w:tr>
      <w:tr w:rsidR="00DE264C" w:rsidRPr="00346211" w14:paraId="44F613CE" w14:textId="77777777" w:rsidTr="00DE264C">
        <w:trPr>
          <w:trHeight w:val="507"/>
        </w:trPr>
        <w:tc>
          <w:tcPr>
            <w:cnfStyle w:val="001000000000" w:firstRow="0" w:lastRow="0" w:firstColumn="1" w:lastColumn="0" w:oddVBand="0" w:evenVBand="0" w:oddHBand="0" w:evenHBand="0" w:firstRowFirstColumn="0" w:firstRowLastColumn="0" w:lastRowFirstColumn="0" w:lastRowLastColumn="0"/>
            <w:tcW w:w="625" w:type="pct"/>
            <w:hideMark/>
          </w:tcPr>
          <w:p w14:paraId="117C32AB" w14:textId="77777777" w:rsidR="00E4522B" w:rsidRPr="00346211" w:rsidRDefault="00E4522B">
            <w:pPr>
              <w:spacing w:after="0"/>
              <w:jc w:val="left"/>
              <w:rPr>
                <w:noProof/>
                <w:sz w:val="20"/>
                <w:szCs w:val="20"/>
                <w:lang w:eastAsia="fr-BE"/>
              </w:rPr>
            </w:pPr>
            <w:r w:rsidRPr="00346211">
              <w:rPr>
                <w:noProof/>
                <w:sz w:val="20"/>
                <w:szCs w:val="20"/>
              </w:rPr>
              <w:t xml:space="preserve">Option 2: </w:t>
            </w:r>
            <w:bookmarkStart w:id="380" w:name="_Hlk214296945"/>
            <w:r w:rsidRPr="00346211">
              <w:rPr>
                <w:noProof/>
                <w:sz w:val="20"/>
                <w:szCs w:val="20"/>
              </w:rPr>
              <w:t xml:space="preserve">Conditional CSO and updated access regulation </w:t>
            </w:r>
            <w:bookmarkEnd w:id="380"/>
            <w:r w:rsidRPr="00346211">
              <w:rPr>
                <w:noProof/>
                <w:sz w:val="20"/>
                <w:szCs w:val="20"/>
              </w:rPr>
              <w:t>(data requirements, Art 61(3)). RRM optional</w:t>
            </w:r>
          </w:p>
        </w:tc>
        <w:tc>
          <w:tcPr>
            <w:tcW w:w="625" w:type="pct"/>
          </w:tcPr>
          <w:p w14:paraId="64B08683" w14:textId="116A6BAC"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xml:space="preserve">++ Effects from mandatory CSO conditioned on FTTH coverage, </w:t>
            </w:r>
          </w:p>
        </w:tc>
        <w:tc>
          <w:tcPr>
            <w:tcW w:w="625" w:type="pct"/>
            <w:noWrap/>
          </w:tcPr>
          <w:p w14:paraId="632538DD" w14:textId="412A04A6"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Effects from CSO and right to connect</w:t>
            </w:r>
          </w:p>
        </w:tc>
        <w:tc>
          <w:tcPr>
            <w:tcW w:w="725" w:type="pct"/>
            <w:noWrap/>
          </w:tcPr>
          <w:p w14:paraId="260357FE" w14:textId="60DBBC65"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xml:space="preserve">(+) Negative effect from CSO, but addressed through CSO-linked market review obligation, art 61(3) and EU wholesale access product. </w:t>
            </w:r>
            <w:r w:rsidR="00CC1872">
              <w:rPr>
                <w:noProof/>
                <w:sz w:val="20"/>
                <w:szCs w:val="20"/>
                <w:lang w:eastAsia="fr-BE"/>
              </w:rPr>
              <w:t>o</w:t>
            </w:r>
            <w:r w:rsidRPr="00346211">
              <w:rPr>
                <w:noProof/>
                <w:sz w:val="20"/>
                <w:szCs w:val="20"/>
                <w:lang w:eastAsia="fr-BE"/>
              </w:rPr>
              <w:t xml:space="preserve">ptional RRM may have later negative effects from uncertainty. </w:t>
            </w:r>
          </w:p>
        </w:tc>
        <w:tc>
          <w:tcPr>
            <w:tcW w:w="595" w:type="pct"/>
          </w:tcPr>
          <w:p w14:paraId="69537FB7"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Positive from CSO, market review linked to CSO, wholesale products, but later uncertainty if RRM optional</w:t>
            </w:r>
          </w:p>
        </w:tc>
        <w:tc>
          <w:tcPr>
            <w:tcW w:w="669" w:type="pct"/>
          </w:tcPr>
          <w:p w14:paraId="43578485"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0 CSO provisions safeguard affordability on lower bandwidths, higher bandwidths addressed through market review linked to CSO. Later uncertainty if RRM optional</w:t>
            </w:r>
          </w:p>
        </w:tc>
        <w:tc>
          <w:tcPr>
            <w:tcW w:w="595" w:type="pct"/>
            <w:noWrap/>
          </w:tcPr>
          <w:p w14:paraId="0F83B185" w14:textId="68D756FD"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More consistency regarding CSO,</w:t>
            </w:r>
            <w:r w:rsidR="00DB7BEB">
              <w:rPr>
                <w:noProof/>
                <w:sz w:val="20"/>
                <w:szCs w:val="20"/>
                <w:lang w:eastAsia="fr-BE"/>
              </w:rPr>
              <w:t xml:space="preserve"> </w:t>
            </w:r>
            <w:r w:rsidRPr="00346211">
              <w:rPr>
                <w:noProof/>
                <w:sz w:val="20"/>
                <w:szCs w:val="20"/>
                <w:lang w:eastAsia="fr-BE"/>
              </w:rPr>
              <w:t>uncertainty regarding access if RRM optional</w:t>
            </w:r>
          </w:p>
        </w:tc>
        <w:tc>
          <w:tcPr>
            <w:tcW w:w="541" w:type="pct"/>
            <w:noWrap/>
          </w:tcPr>
          <w:p w14:paraId="4A3DEE91"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w:t>
            </w:r>
          </w:p>
        </w:tc>
      </w:tr>
      <w:tr w:rsidR="00DE264C" w:rsidRPr="00346211" w14:paraId="09A2E215" w14:textId="77777777" w:rsidTr="00DE264C">
        <w:trPr>
          <w:trHeight w:val="507"/>
        </w:trPr>
        <w:tc>
          <w:tcPr>
            <w:cnfStyle w:val="001000000000" w:firstRow="0" w:lastRow="0" w:firstColumn="1" w:lastColumn="0" w:oddVBand="0" w:evenVBand="0" w:oddHBand="0" w:evenHBand="0" w:firstRowFirstColumn="0" w:firstRowLastColumn="0" w:lastRowFirstColumn="0" w:lastRowLastColumn="0"/>
            <w:tcW w:w="625" w:type="pct"/>
          </w:tcPr>
          <w:p w14:paraId="2F62AB97" w14:textId="77777777" w:rsidR="00E4522B" w:rsidRPr="00346211" w:rsidRDefault="00E4522B">
            <w:pPr>
              <w:spacing w:after="0"/>
              <w:jc w:val="left"/>
              <w:rPr>
                <w:noProof/>
                <w:sz w:val="20"/>
                <w:szCs w:val="20"/>
              </w:rPr>
            </w:pPr>
            <w:r w:rsidRPr="00346211">
              <w:rPr>
                <w:noProof/>
                <w:sz w:val="20"/>
                <w:szCs w:val="20"/>
              </w:rPr>
              <w:t>Option 3: Reliance on market forces for copper switch-off and access</w:t>
            </w:r>
          </w:p>
        </w:tc>
        <w:tc>
          <w:tcPr>
            <w:tcW w:w="625" w:type="pct"/>
          </w:tcPr>
          <w:p w14:paraId="775D8CF4"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Delays in CSO, deterrence of alternative fibre investment</w:t>
            </w:r>
          </w:p>
        </w:tc>
        <w:tc>
          <w:tcPr>
            <w:tcW w:w="625" w:type="pct"/>
            <w:noWrap/>
          </w:tcPr>
          <w:p w14:paraId="5AF56952"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Effects from FTTH / CSO delays</w:t>
            </w:r>
          </w:p>
        </w:tc>
        <w:tc>
          <w:tcPr>
            <w:tcW w:w="725" w:type="pct"/>
            <w:noWrap/>
          </w:tcPr>
          <w:p w14:paraId="13D65239" w14:textId="2D28A179"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Shift away from current access regulation and removal of required measures and uncertainty around new rules</w:t>
            </w:r>
          </w:p>
        </w:tc>
        <w:tc>
          <w:tcPr>
            <w:tcW w:w="595" w:type="pct"/>
          </w:tcPr>
          <w:p w14:paraId="201D099C"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Negative impacts from reductions in competition, reduced FTTH</w:t>
            </w:r>
          </w:p>
        </w:tc>
        <w:tc>
          <w:tcPr>
            <w:tcW w:w="669" w:type="pct"/>
          </w:tcPr>
          <w:p w14:paraId="1506624B"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Negative impacts from reduction in competition</w:t>
            </w:r>
          </w:p>
        </w:tc>
        <w:tc>
          <w:tcPr>
            <w:tcW w:w="595" w:type="pct"/>
            <w:noWrap/>
          </w:tcPr>
          <w:p w14:paraId="30F588B3"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w:t>
            </w:r>
          </w:p>
        </w:tc>
        <w:tc>
          <w:tcPr>
            <w:tcW w:w="541" w:type="pct"/>
            <w:noWrap/>
          </w:tcPr>
          <w:p w14:paraId="568A105F"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w:t>
            </w:r>
          </w:p>
        </w:tc>
      </w:tr>
      <w:tr w:rsidR="00DE264C" w:rsidRPr="00346211" w14:paraId="562807B9" w14:textId="77777777" w:rsidTr="00DE264C">
        <w:trPr>
          <w:trHeight w:val="475"/>
        </w:trPr>
        <w:tc>
          <w:tcPr>
            <w:cnfStyle w:val="001000000000" w:firstRow="0" w:lastRow="0" w:firstColumn="1" w:lastColumn="0" w:oddVBand="0" w:evenVBand="0" w:oddHBand="0" w:evenHBand="0" w:firstRowFirstColumn="0" w:firstRowLastColumn="0" w:lastRowFirstColumn="0" w:lastRowLastColumn="0"/>
            <w:tcW w:w="625" w:type="pct"/>
            <w:hideMark/>
          </w:tcPr>
          <w:p w14:paraId="48C803BD" w14:textId="77777777" w:rsidR="00E4522B" w:rsidRPr="00346211" w:rsidRDefault="00E4522B">
            <w:pPr>
              <w:spacing w:after="0"/>
              <w:jc w:val="left"/>
              <w:rPr>
                <w:noProof/>
                <w:sz w:val="20"/>
                <w:szCs w:val="20"/>
                <w:lang w:eastAsia="fr-BE"/>
              </w:rPr>
            </w:pPr>
            <w:r w:rsidRPr="00346211">
              <w:rPr>
                <w:noProof/>
                <w:sz w:val="20"/>
                <w:szCs w:val="20"/>
                <w:lang w:eastAsia="fr-BE"/>
              </w:rPr>
              <w:t xml:space="preserve">Option 4: CSO obligation without sustainability clause, strong PIA regulation, extension of wholesale access obligations to all operators while limiting strength of obligations </w:t>
            </w:r>
          </w:p>
        </w:tc>
        <w:tc>
          <w:tcPr>
            <w:tcW w:w="625" w:type="pct"/>
          </w:tcPr>
          <w:p w14:paraId="3C4447C5"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Rapid effects to 2030 mitigated by FWA and slower FTTH deployment after 2030</w:t>
            </w:r>
          </w:p>
        </w:tc>
        <w:tc>
          <w:tcPr>
            <w:tcW w:w="625" w:type="pct"/>
            <w:noWrap/>
          </w:tcPr>
          <w:p w14:paraId="22822FCD"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Effects from CSO and right to connect</w:t>
            </w:r>
          </w:p>
        </w:tc>
        <w:tc>
          <w:tcPr>
            <w:tcW w:w="725" w:type="pct"/>
            <w:noWrap/>
          </w:tcPr>
          <w:p w14:paraId="7770A023"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Reduced infrastructure comp from CSO mitigated by strong PIA + greater service competition (but on bitstream)</w:t>
            </w:r>
          </w:p>
        </w:tc>
        <w:tc>
          <w:tcPr>
            <w:tcW w:w="595" w:type="pct"/>
          </w:tcPr>
          <w:p w14:paraId="36BC68A9"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Positive from CSO / FTTH, strong PIA but negative from move of access regulation to bitstream regulation</w:t>
            </w:r>
          </w:p>
        </w:tc>
        <w:tc>
          <w:tcPr>
            <w:tcW w:w="669" w:type="pct"/>
          </w:tcPr>
          <w:p w14:paraId="7507DE4D"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 Negative effects from move to bitstream / fair and reasonable pricing</w:t>
            </w:r>
          </w:p>
        </w:tc>
        <w:tc>
          <w:tcPr>
            <w:tcW w:w="595" w:type="pct"/>
            <w:noWrap/>
          </w:tcPr>
          <w:p w14:paraId="49E8380B"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w:t>
            </w:r>
          </w:p>
        </w:tc>
        <w:tc>
          <w:tcPr>
            <w:tcW w:w="541" w:type="pct"/>
            <w:noWrap/>
          </w:tcPr>
          <w:p w14:paraId="6CBAD270" w14:textId="77777777" w:rsidR="00E4522B" w:rsidRPr="00346211" w:rsidRDefault="00E4522B">
            <w:pPr>
              <w:spacing w:after="0"/>
              <w:jc w:val="left"/>
              <w:cnfStyle w:val="000000000000" w:firstRow="0" w:lastRow="0" w:firstColumn="0" w:lastColumn="0" w:oddVBand="0" w:evenVBand="0" w:oddHBand="0" w:evenHBand="0" w:firstRowFirstColumn="0" w:firstRowLastColumn="0" w:lastRowFirstColumn="0" w:lastRowLastColumn="0"/>
              <w:rPr>
                <w:noProof/>
                <w:sz w:val="20"/>
                <w:szCs w:val="20"/>
                <w:lang w:eastAsia="fr-BE"/>
              </w:rPr>
            </w:pPr>
            <w:r w:rsidRPr="00346211">
              <w:rPr>
                <w:noProof/>
                <w:sz w:val="20"/>
                <w:szCs w:val="20"/>
                <w:lang w:eastAsia="fr-BE"/>
              </w:rPr>
              <w:t>+</w:t>
            </w:r>
          </w:p>
        </w:tc>
      </w:tr>
    </w:tbl>
    <w:p w14:paraId="7683EE65" w14:textId="2F7CC36A" w:rsidR="58ACBD80" w:rsidRPr="00DE264C" w:rsidRDefault="58ACBD80" w:rsidP="00DE7CC1">
      <w:pPr>
        <w:spacing w:before="240" w:line="240" w:lineRule="auto"/>
        <w:rPr>
          <w:b/>
          <w:i/>
          <w:noProof/>
          <w:u w:val="single"/>
        </w:rPr>
      </w:pPr>
      <w:r w:rsidRPr="00DE264C">
        <w:rPr>
          <w:b/>
          <w:noProof/>
          <w:u w:val="single"/>
        </w:rPr>
        <w:t>Coherence</w:t>
      </w:r>
    </w:p>
    <w:p w14:paraId="1AA0B629" w14:textId="77777777" w:rsidR="00E03F3A" w:rsidRPr="00346211" w:rsidRDefault="00E03F3A" w:rsidP="00DE7CC1">
      <w:pPr>
        <w:spacing w:line="240" w:lineRule="auto"/>
        <w:rPr>
          <w:noProof/>
        </w:rPr>
      </w:pPr>
      <w:r w:rsidRPr="00346211">
        <w:rPr>
          <w:noProof/>
        </w:rPr>
        <w:t>Coherence within the DNA and with other EU instruments is considered across all options:</w:t>
      </w:r>
    </w:p>
    <w:p w14:paraId="7F7DD5E9" w14:textId="6BF5AB76" w:rsidR="00E03F3A" w:rsidRPr="00346211" w:rsidRDefault="00E03F3A" w:rsidP="00DE7CC1">
      <w:pPr>
        <w:pStyle w:val="ListParagraph"/>
        <w:numPr>
          <w:ilvl w:val="0"/>
          <w:numId w:val="95"/>
        </w:numPr>
        <w:spacing w:line="240" w:lineRule="auto"/>
        <w:rPr>
          <w:noProof/>
        </w:rPr>
      </w:pPr>
      <w:r w:rsidRPr="00346211">
        <w:rPr>
          <w:noProof/>
        </w:rPr>
        <w:t>Internal Coherence:</w:t>
      </w:r>
      <w:r w:rsidR="00931128" w:rsidRPr="00346211">
        <w:rPr>
          <w:noProof/>
        </w:rPr>
        <w:t xml:space="preserve"> </w:t>
      </w:r>
      <w:r w:rsidRPr="00346211">
        <w:rPr>
          <w:noProof/>
        </w:rPr>
        <w:t>All options aim to remove inconsistencies.</w:t>
      </w:r>
    </w:p>
    <w:p w14:paraId="19844388" w14:textId="77777777" w:rsidR="00E03F3A" w:rsidRPr="00346211" w:rsidRDefault="00E03F3A" w:rsidP="00DE7CC1">
      <w:pPr>
        <w:pStyle w:val="ListParagraph"/>
        <w:numPr>
          <w:ilvl w:val="0"/>
          <w:numId w:val="95"/>
        </w:numPr>
        <w:spacing w:line="240" w:lineRule="auto"/>
        <w:rPr>
          <w:noProof/>
        </w:rPr>
      </w:pPr>
      <w:r w:rsidRPr="00346211">
        <w:rPr>
          <w:noProof/>
        </w:rPr>
        <w:t>References to 100 Mbps in geographic surveys, inconsistent with VHCN objectives, are updated or removed.</w:t>
      </w:r>
    </w:p>
    <w:p w14:paraId="021F83DD" w14:textId="046A08AF" w:rsidR="00E03F3A" w:rsidRPr="00346211" w:rsidRDefault="00E03F3A" w:rsidP="00DE7CC1">
      <w:pPr>
        <w:pStyle w:val="ListParagraph"/>
        <w:numPr>
          <w:ilvl w:val="0"/>
          <w:numId w:val="95"/>
        </w:numPr>
        <w:spacing w:line="240" w:lineRule="auto"/>
        <w:rPr>
          <w:noProof/>
        </w:rPr>
      </w:pPr>
      <w:r w:rsidRPr="00346211">
        <w:rPr>
          <w:noProof/>
        </w:rPr>
        <w:t>Options 3 and 4 face challenges due to their reliance on ex ante regulation concepts not directly linked to competition analysis</w:t>
      </w:r>
      <w:r w:rsidR="2F974779" w:rsidRPr="00346211">
        <w:rPr>
          <w:noProof/>
        </w:rPr>
        <w:t xml:space="preserve"> and as far as option 4 is concerned some concerns related to proportionality may also arise</w:t>
      </w:r>
      <w:r w:rsidRPr="00346211">
        <w:rPr>
          <w:noProof/>
        </w:rPr>
        <w:t>.</w:t>
      </w:r>
    </w:p>
    <w:p w14:paraId="0E126564" w14:textId="6EA124B8" w:rsidR="00E03F3A" w:rsidRPr="00346211" w:rsidRDefault="00E03F3A" w:rsidP="00DE7CC1">
      <w:pPr>
        <w:pStyle w:val="ListParagraph"/>
        <w:numPr>
          <w:ilvl w:val="0"/>
          <w:numId w:val="95"/>
        </w:numPr>
        <w:spacing w:line="240" w:lineRule="auto"/>
        <w:rPr>
          <w:noProof/>
        </w:rPr>
      </w:pPr>
      <w:r w:rsidRPr="00346211">
        <w:rPr>
          <w:noProof/>
        </w:rPr>
        <w:t xml:space="preserve">Option 2 ensures coherence by coupling copper switch-off with market reviews and standardized wholesale access specifications, promoting a harmonized FTTH framework. However, </w:t>
      </w:r>
      <w:r w:rsidR="2EB43F89" w:rsidRPr="00346211">
        <w:rPr>
          <w:noProof/>
        </w:rPr>
        <w:t>the</w:t>
      </w:r>
      <w:r w:rsidR="000977CF" w:rsidRPr="00346211">
        <w:rPr>
          <w:noProof/>
        </w:rPr>
        <w:t xml:space="preserve"> </w:t>
      </w:r>
      <w:r w:rsidRPr="00346211">
        <w:rPr>
          <w:noProof/>
        </w:rPr>
        <w:t xml:space="preserve">periodic market reviews </w:t>
      </w:r>
      <w:r w:rsidR="1F33AFF9" w:rsidRPr="00346211">
        <w:rPr>
          <w:noProof/>
        </w:rPr>
        <w:t>may be conducted only if and when the NRAs consider this to be justified. This</w:t>
      </w:r>
      <w:r w:rsidRPr="00346211">
        <w:rPr>
          <w:noProof/>
        </w:rPr>
        <w:t xml:space="preserve"> could lead to </w:t>
      </w:r>
      <w:r w:rsidR="00B742E4" w:rsidRPr="00346211">
        <w:rPr>
          <w:noProof/>
        </w:rPr>
        <w:t>some uncertainty</w:t>
      </w:r>
      <w:r w:rsidRPr="00346211">
        <w:rPr>
          <w:noProof/>
        </w:rPr>
        <w:t>.</w:t>
      </w:r>
    </w:p>
    <w:p w14:paraId="72C87855" w14:textId="77777777" w:rsidR="00E03F3A" w:rsidRPr="00346211" w:rsidRDefault="00E03F3A" w:rsidP="00DE7CC1">
      <w:pPr>
        <w:spacing w:line="240" w:lineRule="auto"/>
        <w:rPr>
          <w:noProof/>
        </w:rPr>
      </w:pPr>
      <w:r w:rsidRPr="00346211">
        <w:rPr>
          <w:noProof/>
        </w:rPr>
        <w:t>External Coherence:</w:t>
      </w:r>
    </w:p>
    <w:p w14:paraId="0FBD3EE8" w14:textId="7FF6BC8D" w:rsidR="00E03F3A" w:rsidRPr="00346211" w:rsidRDefault="00E03F3A" w:rsidP="00DE7CC1">
      <w:pPr>
        <w:pStyle w:val="ListParagraph"/>
        <w:numPr>
          <w:ilvl w:val="0"/>
          <w:numId w:val="96"/>
        </w:numPr>
        <w:spacing w:line="240" w:lineRule="auto"/>
        <w:rPr>
          <w:noProof/>
        </w:rPr>
      </w:pPr>
      <w:r w:rsidRPr="00346211">
        <w:rPr>
          <w:noProof/>
        </w:rPr>
        <w:t>Removing Article</w:t>
      </w:r>
      <w:r w:rsidR="00A907F2">
        <w:rPr>
          <w:noProof/>
        </w:rPr>
        <w:t> </w:t>
      </w:r>
      <w:r w:rsidRPr="00346211">
        <w:rPr>
          <w:noProof/>
        </w:rPr>
        <w:t xml:space="preserve">76 addresses potential conflicts with </w:t>
      </w:r>
      <w:r w:rsidR="00EC55E3" w:rsidRPr="00346211">
        <w:rPr>
          <w:noProof/>
        </w:rPr>
        <w:t>the</w:t>
      </w:r>
      <w:r w:rsidRPr="00346211">
        <w:rPr>
          <w:noProof/>
        </w:rPr>
        <w:t xml:space="preserve"> assessments</w:t>
      </w:r>
      <w:r w:rsidR="00CD09D9" w:rsidRPr="00346211">
        <w:rPr>
          <w:noProof/>
        </w:rPr>
        <w:t xml:space="preserve"> of cooperation agreements</w:t>
      </w:r>
      <w:r w:rsidRPr="00346211">
        <w:rPr>
          <w:noProof/>
        </w:rPr>
        <w:t>.</w:t>
      </w:r>
    </w:p>
    <w:p w14:paraId="6A22FEA7" w14:textId="6A879C05" w:rsidR="00E03F3A" w:rsidRPr="00346211" w:rsidRDefault="00E03F3A" w:rsidP="00DE7CC1">
      <w:pPr>
        <w:pStyle w:val="ListParagraph"/>
        <w:numPr>
          <w:ilvl w:val="0"/>
          <w:numId w:val="96"/>
        </w:numPr>
        <w:spacing w:line="240" w:lineRule="auto"/>
        <w:rPr>
          <w:noProof/>
        </w:rPr>
      </w:pPr>
      <w:r w:rsidRPr="00346211">
        <w:rPr>
          <w:noProof/>
        </w:rPr>
        <w:t>Updating 100</w:t>
      </w:r>
      <w:r w:rsidR="00A907F2">
        <w:rPr>
          <w:noProof/>
        </w:rPr>
        <w:t> </w:t>
      </w:r>
      <w:r w:rsidRPr="00346211">
        <w:rPr>
          <w:noProof/>
        </w:rPr>
        <w:t>Mbps aligns with the Broadband State Aid Guidelines and Digital Decade Policy Programme targets.</w:t>
      </w:r>
    </w:p>
    <w:p w14:paraId="5B904B98" w14:textId="2D783763" w:rsidR="00E03F3A" w:rsidRPr="00346211" w:rsidRDefault="00E03F3A" w:rsidP="00DE7CC1">
      <w:pPr>
        <w:pStyle w:val="ListParagraph"/>
        <w:numPr>
          <w:ilvl w:val="0"/>
          <w:numId w:val="96"/>
        </w:numPr>
        <w:spacing w:line="240" w:lineRule="auto"/>
        <w:rPr>
          <w:noProof/>
        </w:rPr>
      </w:pPr>
      <w:r w:rsidRPr="00346211">
        <w:rPr>
          <w:noProof/>
        </w:rPr>
        <w:t>Options 1 and 2 align with competition law by using the SMP concept.</w:t>
      </w:r>
    </w:p>
    <w:p w14:paraId="49B0FAE2" w14:textId="77777777" w:rsidR="00E03F3A" w:rsidRPr="00346211" w:rsidRDefault="00E03F3A" w:rsidP="00DE7CC1">
      <w:pPr>
        <w:pStyle w:val="ListParagraph"/>
        <w:numPr>
          <w:ilvl w:val="0"/>
          <w:numId w:val="96"/>
        </w:numPr>
        <w:spacing w:line="240" w:lineRule="auto"/>
        <w:rPr>
          <w:noProof/>
        </w:rPr>
      </w:pPr>
      <w:r w:rsidRPr="00346211">
        <w:rPr>
          <w:noProof/>
        </w:rPr>
        <w:t>Options 3 and 4 depart from competition law principles, potentially leading to incoherent access regulation rules compared to competition authorities' conclusions.</w:t>
      </w:r>
    </w:p>
    <w:p w14:paraId="259582D3" w14:textId="77777777" w:rsidR="00E03F3A" w:rsidRPr="00346211" w:rsidRDefault="00E03F3A" w:rsidP="00DE7CC1">
      <w:pPr>
        <w:spacing w:line="240" w:lineRule="auto"/>
        <w:rPr>
          <w:noProof/>
        </w:rPr>
      </w:pPr>
      <w:r w:rsidRPr="00346211">
        <w:rPr>
          <w:noProof/>
        </w:rPr>
        <w:t>Coherence with the GIA:</w:t>
      </w:r>
    </w:p>
    <w:p w14:paraId="73C8A081" w14:textId="77777777" w:rsidR="00E03F3A" w:rsidRPr="00346211" w:rsidRDefault="00E03F3A" w:rsidP="00DE7CC1">
      <w:pPr>
        <w:pStyle w:val="ListParagraph"/>
        <w:numPr>
          <w:ilvl w:val="0"/>
          <w:numId w:val="97"/>
        </w:numPr>
        <w:spacing w:line="240" w:lineRule="auto"/>
        <w:rPr>
          <w:noProof/>
        </w:rPr>
      </w:pPr>
      <w:r w:rsidRPr="00346211">
        <w:rPr>
          <w:noProof/>
        </w:rPr>
        <w:t>All options are coherent with the GIA.</w:t>
      </w:r>
    </w:p>
    <w:p w14:paraId="72C27C7B" w14:textId="77777777" w:rsidR="00E03F3A" w:rsidRPr="00346211" w:rsidRDefault="00E03F3A" w:rsidP="00DE7CC1">
      <w:pPr>
        <w:pStyle w:val="ListParagraph"/>
        <w:numPr>
          <w:ilvl w:val="0"/>
          <w:numId w:val="97"/>
        </w:numPr>
        <w:spacing w:line="240" w:lineRule="auto"/>
        <w:rPr>
          <w:noProof/>
        </w:rPr>
      </w:pPr>
      <w:r w:rsidRPr="00346211">
        <w:rPr>
          <w:noProof/>
        </w:rPr>
        <w:t>Option 2 reinforces this coherence by prioritizing GIA-based regulation for ducts and poles, aligning with the 2024 Gigabit Recommendation.</w:t>
      </w:r>
    </w:p>
    <w:p w14:paraId="2A2E7232" w14:textId="0CB11855" w:rsidR="00E03F3A" w:rsidRPr="00346211" w:rsidRDefault="00E03F3A" w:rsidP="00DE7CC1">
      <w:pPr>
        <w:pStyle w:val="ListParagraph"/>
        <w:numPr>
          <w:ilvl w:val="0"/>
          <w:numId w:val="97"/>
        </w:numPr>
        <w:spacing w:line="240" w:lineRule="auto"/>
        <w:rPr>
          <w:noProof/>
        </w:rPr>
      </w:pPr>
      <w:r w:rsidRPr="00346211">
        <w:rPr>
          <w:noProof/>
        </w:rPr>
        <w:t>Option 3 replaces SMP</w:t>
      </w:r>
      <w:r w:rsidR="00D732A8" w:rsidRPr="00346211">
        <w:rPr>
          <w:noProof/>
        </w:rPr>
        <w:t xml:space="preserve"> reg</w:t>
      </w:r>
      <w:r w:rsidR="000D6E96" w:rsidRPr="00346211">
        <w:rPr>
          <w:noProof/>
        </w:rPr>
        <w:t>ulation</w:t>
      </w:r>
      <w:r w:rsidRPr="00346211">
        <w:rPr>
          <w:noProof/>
        </w:rPr>
        <w:t xml:space="preserve"> </w:t>
      </w:r>
      <w:r w:rsidR="005A7D6F" w:rsidRPr="00346211">
        <w:rPr>
          <w:noProof/>
        </w:rPr>
        <w:t>by access to civil engineering infrastructure, handled via the GIA exclusively</w:t>
      </w:r>
      <w:r w:rsidRPr="00346211">
        <w:rPr>
          <w:noProof/>
        </w:rPr>
        <w:t>.</w:t>
      </w:r>
    </w:p>
    <w:p w14:paraId="52DFB736" w14:textId="1B5AE53B" w:rsidR="00E03F3A" w:rsidRPr="00346211" w:rsidRDefault="00E03F3A" w:rsidP="00DE7CC1">
      <w:pPr>
        <w:pStyle w:val="ListParagraph"/>
        <w:numPr>
          <w:ilvl w:val="0"/>
          <w:numId w:val="97"/>
        </w:numPr>
        <w:spacing w:line="240" w:lineRule="auto"/>
        <w:rPr>
          <w:noProof/>
        </w:rPr>
      </w:pPr>
      <w:r w:rsidRPr="00346211">
        <w:rPr>
          <w:noProof/>
        </w:rPr>
        <w:t>Option 4 establishes specific rules to grandfather SMP PIA provisions, triggering Article</w:t>
      </w:r>
      <w:r w:rsidR="00A907F2">
        <w:rPr>
          <w:noProof/>
        </w:rPr>
        <w:t> </w:t>
      </w:r>
      <w:r w:rsidRPr="00346211">
        <w:rPr>
          <w:noProof/>
        </w:rPr>
        <w:t xml:space="preserve">3(9) GIA </w:t>
      </w:r>
      <w:r w:rsidR="00861D04" w:rsidRPr="00346211">
        <w:rPr>
          <w:noProof/>
        </w:rPr>
        <w:t xml:space="preserve">(i.e. passive </w:t>
      </w:r>
      <w:r w:rsidR="002A7EBB" w:rsidRPr="00346211">
        <w:rPr>
          <w:noProof/>
        </w:rPr>
        <w:t xml:space="preserve">networks that are </w:t>
      </w:r>
      <w:r w:rsidR="00926467" w:rsidRPr="00346211">
        <w:rPr>
          <w:noProof/>
        </w:rPr>
        <w:t xml:space="preserve">already </w:t>
      </w:r>
      <w:r w:rsidR="002A7EBB" w:rsidRPr="00346211">
        <w:rPr>
          <w:noProof/>
        </w:rPr>
        <w:t>subject t</w:t>
      </w:r>
      <w:r w:rsidR="00926467" w:rsidRPr="00346211">
        <w:rPr>
          <w:noProof/>
        </w:rPr>
        <w:t xml:space="preserve">o </w:t>
      </w:r>
      <w:r w:rsidR="008E77F3" w:rsidRPr="00346211">
        <w:rPr>
          <w:noProof/>
        </w:rPr>
        <w:t xml:space="preserve">some </w:t>
      </w:r>
      <w:r w:rsidR="00926467" w:rsidRPr="00346211">
        <w:rPr>
          <w:noProof/>
        </w:rPr>
        <w:t xml:space="preserve">access </w:t>
      </w:r>
      <w:r w:rsidR="008E77F3" w:rsidRPr="00346211">
        <w:rPr>
          <w:noProof/>
        </w:rPr>
        <w:t>regimes</w:t>
      </w:r>
      <w:r w:rsidR="00482F72" w:rsidRPr="00346211">
        <w:rPr>
          <w:noProof/>
        </w:rPr>
        <w:t xml:space="preserve"> (e.g. </w:t>
      </w:r>
      <w:r w:rsidR="00233482" w:rsidRPr="00346211">
        <w:rPr>
          <w:noProof/>
        </w:rPr>
        <w:t xml:space="preserve">State aid) </w:t>
      </w:r>
      <w:r w:rsidR="00473C0F" w:rsidRPr="00346211">
        <w:rPr>
          <w:noProof/>
        </w:rPr>
        <w:t>fall under those regimes</w:t>
      </w:r>
      <w:r w:rsidR="008E77F3" w:rsidRPr="00346211">
        <w:rPr>
          <w:noProof/>
        </w:rPr>
        <w:t xml:space="preserve"> for as long as such access obligations are in place</w:t>
      </w:r>
      <w:r w:rsidR="00974802" w:rsidRPr="00346211">
        <w:rPr>
          <w:noProof/>
        </w:rPr>
        <w:t>)</w:t>
      </w:r>
      <w:r w:rsidR="00926467" w:rsidRPr="00346211">
        <w:rPr>
          <w:noProof/>
        </w:rPr>
        <w:t xml:space="preserve"> </w:t>
      </w:r>
      <w:r w:rsidRPr="00346211">
        <w:rPr>
          <w:noProof/>
        </w:rPr>
        <w:t>and adding symmetric measures for fibre access.</w:t>
      </w:r>
    </w:p>
    <w:p w14:paraId="22CF8445" w14:textId="433751B4" w:rsidR="0DDBE471" w:rsidRPr="00346211" w:rsidRDefault="7D049DEA" w:rsidP="00DE7CC1">
      <w:pPr>
        <w:spacing w:line="240" w:lineRule="auto"/>
        <w:rPr>
          <w:b/>
          <w:noProof/>
          <w:u w:val="single"/>
          <w:lang w:val="en-IE"/>
        </w:rPr>
      </w:pPr>
      <w:r w:rsidRPr="00346211">
        <w:rPr>
          <w:b/>
          <w:bCs/>
          <w:noProof/>
          <w:u w:val="single"/>
          <w:lang w:val="en-IE"/>
        </w:rPr>
        <w:t>Efficiency</w:t>
      </w:r>
      <w:r w:rsidR="00293EC8" w:rsidRPr="00346211">
        <w:rPr>
          <w:rStyle w:val="FootnoteReference"/>
          <w:noProof/>
          <w:lang w:val="en-IE"/>
        </w:rPr>
        <w:footnoteReference w:id="269"/>
      </w:r>
    </w:p>
    <w:p w14:paraId="21E61E0F" w14:textId="640F5191" w:rsidR="006F5EE0" w:rsidRPr="00346211" w:rsidRDefault="008B2E69" w:rsidP="00DE7CC1">
      <w:pPr>
        <w:pStyle w:val="CommentText"/>
        <w:spacing w:line="240" w:lineRule="auto"/>
        <w:rPr>
          <w:rFonts w:eastAsia="Times New Roman"/>
          <w:noProof/>
          <w:color w:val="000000" w:themeColor="text1"/>
          <w:sz w:val="24"/>
          <w:szCs w:val="24"/>
        </w:rPr>
      </w:pPr>
      <w:r w:rsidRPr="00346211">
        <w:rPr>
          <w:rFonts w:eastAsia="Times New Roman"/>
          <w:noProof/>
          <w:color w:val="000000" w:themeColor="text1"/>
          <w:sz w:val="24"/>
          <w:szCs w:val="24"/>
        </w:rPr>
        <w:t xml:space="preserve">The opportunity costs </w:t>
      </w:r>
      <w:r w:rsidR="00920F1B" w:rsidRPr="00346211">
        <w:rPr>
          <w:rFonts w:eastAsia="Times New Roman"/>
          <w:noProof/>
          <w:color w:val="000000" w:themeColor="text1"/>
          <w:sz w:val="24"/>
          <w:szCs w:val="24"/>
        </w:rPr>
        <w:t>(i.e. lost profits)</w:t>
      </w:r>
      <w:r w:rsidRPr="00346211">
        <w:rPr>
          <w:rFonts w:eastAsia="Times New Roman"/>
          <w:noProof/>
          <w:color w:val="000000" w:themeColor="text1"/>
          <w:sz w:val="24"/>
          <w:szCs w:val="24"/>
        </w:rPr>
        <w:t xml:space="preserve"> of copper switch to the </w:t>
      </w:r>
      <w:r w:rsidR="00920F1B" w:rsidRPr="00346211">
        <w:rPr>
          <w:rFonts w:eastAsia="Times New Roman"/>
          <w:noProof/>
          <w:color w:val="000000" w:themeColor="text1"/>
          <w:sz w:val="24"/>
          <w:szCs w:val="24"/>
        </w:rPr>
        <w:t xml:space="preserve">operators </w:t>
      </w:r>
      <w:r w:rsidR="00EE5C81" w:rsidRPr="00346211">
        <w:rPr>
          <w:rFonts w:eastAsia="Times New Roman"/>
          <w:noProof/>
          <w:color w:val="000000" w:themeColor="text1"/>
          <w:sz w:val="24"/>
          <w:szCs w:val="24"/>
        </w:rPr>
        <w:t>cannot be quantified</w:t>
      </w:r>
      <w:r w:rsidR="00920F1B" w:rsidRPr="00346211">
        <w:rPr>
          <w:rFonts w:eastAsia="Times New Roman"/>
          <w:noProof/>
          <w:color w:val="000000" w:themeColor="text1"/>
          <w:sz w:val="24"/>
          <w:szCs w:val="24"/>
        </w:rPr>
        <w:t xml:space="preserve"> </w:t>
      </w:r>
      <w:r w:rsidR="00E322C8" w:rsidRPr="00346211">
        <w:rPr>
          <w:rFonts w:eastAsia="Times New Roman"/>
          <w:noProof/>
          <w:color w:val="000000" w:themeColor="text1"/>
          <w:sz w:val="24"/>
          <w:szCs w:val="24"/>
        </w:rPr>
        <w:t xml:space="preserve">due to lack of publicly available data. </w:t>
      </w:r>
      <w:r w:rsidR="00CB2671" w:rsidRPr="00346211">
        <w:rPr>
          <w:rFonts w:eastAsia="Times New Roman"/>
          <w:noProof/>
          <w:color w:val="000000" w:themeColor="text1"/>
          <w:sz w:val="24"/>
          <w:szCs w:val="24"/>
        </w:rPr>
        <w:t xml:space="preserve">However, it is clear that operators will need to </w:t>
      </w:r>
      <w:r w:rsidR="00E7797D" w:rsidRPr="00346211">
        <w:rPr>
          <w:rFonts w:eastAsia="Times New Roman"/>
          <w:noProof/>
          <w:color w:val="000000" w:themeColor="text1"/>
          <w:sz w:val="24"/>
          <w:szCs w:val="24"/>
        </w:rPr>
        <w:t>replace their copper networks to keep pace with demand and competition thus the mandatory copper switch-off</w:t>
      </w:r>
      <w:r w:rsidR="2CA7B9D4" w:rsidRPr="00346211">
        <w:rPr>
          <w:rFonts w:eastAsia="Times New Roman"/>
          <w:noProof/>
          <w:color w:val="000000" w:themeColor="text1"/>
          <w:sz w:val="24"/>
          <w:szCs w:val="24"/>
        </w:rPr>
        <w:t xml:space="preserve">, subject to conditions, </w:t>
      </w:r>
      <w:r w:rsidR="00E7797D" w:rsidRPr="00346211">
        <w:rPr>
          <w:rFonts w:eastAsia="Times New Roman"/>
          <w:noProof/>
          <w:color w:val="000000" w:themeColor="text1"/>
          <w:sz w:val="24"/>
          <w:szCs w:val="24"/>
        </w:rPr>
        <w:t xml:space="preserve">has </w:t>
      </w:r>
      <w:r w:rsidR="00F96B0F" w:rsidRPr="00346211">
        <w:rPr>
          <w:rFonts w:eastAsia="Times New Roman"/>
          <w:noProof/>
          <w:color w:val="000000" w:themeColor="text1"/>
          <w:sz w:val="24"/>
          <w:szCs w:val="24"/>
        </w:rPr>
        <w:t xml:space="preserve">only the effect of bringing forward the </w:t>
      </w:r>
      <w:r w:rsidR="006F5EE0" w:rsidRPr="00346211">
        <w:rPr>
          <w:rFonts w:eastAsia="Times New Roman"/>
          <w:noProof/>
          <w:color w:val="000000" w:themeColor="text1"/>
          <w:sz w:val="24"/>
          <w:szCs w:val="24"/>
        </w:rPr>
        <w:t>date of the switch-off.</w:t>
      </w:r>
    </w:p>
    <w:p w14:paraId="6240FFC8" w14:textId="1697182E" w:rsidR="000D57CD" w:rsidRPr="00047E5A" w:rsidRDefault="006D2F69" w:rsidP="00DE7CC1">
      <w:pPr>
        <w:pStyle w:val="CommentText"/>
        <w:spacing w:line="240" w:lineRule="auto"/>
        <w:rPr>
          <w:rFonts w:eastAsia="Times New Roman"/>
          <w:noProof/>
          <w:color w:val="000000" w:themeColor="text1"/>
          <w:sz w:val="24"/>
          <w:szCs w:val="24"/>
          <w:lang w:val="en-IE"/>
        </w:rPr>
      </w:pPr>
      <w:r w:rsidRPr="00047E5A">
        <w:rPr>
          <w:rFonts w:eastAsia="Times New Roman"/>
          <w:noProof/>
          <w:color w:val="000000" w:themeColor="text1"/>
          <w:sz w:val="24"/>
          <w:szCs w:val="24"/>
        </w:rPr>
        <w:t xml:space="preserve">The administrative costs </w:t>
      </w:r>
      <w:r w:rsidR="007E54B4" w:rsidRPr="00047E5A">
        <w:rPr>
          <w:rFonts w:eastAsia="Times New Roman"/>
          <w:noProof/>
          <w:color w:val="000000" w:themeColor="text1"/>
          <w:sz w:val="24"/>
          <w:szCs w:val="24"/>
        </w:rPr>
        <w:t xml:space="preserve">measured in FTEs and converted in </w:t>
      </w:r>
      <w:r w:rsidR="00A32563" w:rsidRPr="00047E5A">
        <w:rPr>
          <w:rFonts w:eastAsia="Times New Roman"/>
          <w:noProof/>
          <w:color w:val="000000" w:themeColor="text1"/>
          <w:sz w:val="24"/>
          <w:szCs w:val="24"/>
          <w:lang w:val="en-IE"/>
        </w:rPr>
        <w:t xml:space="preserve">monetary values </w:t>
      </w:r>
      <w:r w:rsidR="00584CAB" w:rsidRPr="00047E5A">
        <w:rPr>
          <w:rFonts w:eastAsia="Times New Roman"/>
          <w:noProof/>
          <w:color w:val="000000" w:themeColor="text1"/>
          <w:sz w:val="24"/>
          <w:szCs w:val="24"/>
          <w:lang w:val="en-IE"/>
        </w:rPr>
        <w:t>can be</w:t>
      </w:r>
      <w:r w:rsidR="00BA2EE2" w:rsidRPr="00047E5A">
        <w:rPr>
          <w:rFonts w:eastAsia="Times New Roman"/>
          <w:noProof/>
          <w:color w:val="000000" w:themeColor="text1"/>
          <w:sz w:val="24"/>
          <w:szCs w:val="24"/>
          <w:lang w:val="en-IE"/>
        </w:rPr>
        <w:t xml:space="preserve">: (i) </w:t>
      </w:r>
      <w:r w:rsidR="00584CAB" w:rsidRPr="00047E5A">
        <w:rPr>
          <w:rFonts w:eastAsia="Times New Roman"/>
          <w:noProof/>
          <w:color w:val="000000" w:themeColor="text1"/>
          <w:sz w:val="24"/>
          <w:szCs w:val="24"/>
          <w:lang w:val="en-IE"/>
        </w:rPr>
        <w:t xml:space="preserve">divided in </w:t>
      </w:r>
      <w:r w:rsidR="00BA2EE2" w:rsidRPr="00047E5A">
        <w:rPr>
          <w:rFonts w:eastAsia="Times New Roman"/>
          <w:noProof/>
          <w:color w:val="000000" w:themeColor="text1"/>
          <w:sz w:val="24"/>
          <w:szCs w:val="24"/>
          <w:lang w:val="en-IE"/>
        </w:rPr>
        <w:t xml:space="preserve">one-off and recurrent costs and (ii) attributed to </w:t>
      </w:r>
      <w:r w:rsidR="004C05C4" w:rsidRPr="00047E5A">
        <w:rPr>
          <w:rFonts w:eastAsia="Times New Roman"/>
          <w:noProof/>
          <w:color w:val="000000" w:themeColor="text1"/>
          <w:sz w:val="24"/>
          <w:szCs w:val="24"/>
          <w:lang w:val="en-IE"/>
        </w:rPr>
        <w:t xml:space="preserve">competent (i.e., public) authorities and </w:t>
      </w:r>
      <w:r w:rsidR="00461AB5" w:rsidRPr="00047E5A">
        <w:rPr>
          <w:rFonts w:eastAsia="Times New Roman"/>
          <w:noProof/>
          <w:color w:val="000000" w:themeColor="text1"/>
          <w:sz w:val="24"/>
          <w:szCs w:val="24"/>
          <w:lang w:val="en-IE"/>
        </w:rPr>
        <w:t>stakeholders (i.e., operators).</w:t>
      </w:r>
      <w:r w:rsidR="00E6510C" w:rsidRPr="00047E5A">
        <w:rPr>
          <w:rFonts w:eastAsia="Times New Roman"/>
          <w:noProof/>
          <w:color w:val="000000" w:themeColor="text1"/>
          <w:sz w:val="24"/>
          <w:szCs w:val="24"/>
          <w:lang w:val="en-IE"/>
        </w:rPr>
        <w:t xml:space="preserve"> </w:t>
      </w:r>
      <w:r w:rsidR="0011413D" w:rsidRPr="00047E5A">
        <w:rPr>
          <w:rFonts w:eastAsia="Times New Roman"/>
          <w:noProof/>
          <w:color w:val="000000" w:themeColor="text1"/>
          <w:sz w:val="24"/>
          <w:szCs w:val="24"/>
          <w:lang w:val="en-IE"/>
        </w:rPr>
        <w:t xml:space="preserve">The </w:t>
      </w:r>
      <w:r w:rsidR="00331DEF" w:rsidRPr="00047E5A">
        <w:rPr>
          <w:rFonts w:eastAsia="Times New Roman"/>
          <w:noProof/>
          <w:color w:val="000000" w:themeColor="text1"/>
          <w:sz w:val="24"/>
          <w:szCs w:val="24"/>
          <w:lang w:val="en-IE"/>
        </w:rPr>
        <w:t xml:space="preserve">annual cost for an FTE, that has been considered in the analysis, is </w:t>
      </w:r>
      <w:r w:rsidR="00E95C07" w:rsidRPr="00047E5A">
        <w:rPr>
          <w:rFonts w:eastAsia="Times New Roman"/>
          <w:noProof/>
          <w:color w:val="000000" w:themeColor="text1"/>
          <w:sz w:val="24"/>
          <w:szCs w:val="24"/>
          <w:lang w:val="en-IE"/>
        </w:rPr>
        <w:t>EUR </w:t>
      </w:r>
      <w:r w:rsidR="003D17C3" w:rsidRPr="00D21BA2">
        <w:rPr>
          <w:rFonts w:eastAsia="Times New Roman"/>
          <w:noProof/>
          <w:color w:val="000000" w:themeColor="text1"/>
          <w:sz w:val="24"/>
          <w:szCs w:val="24"/>
          <w:lang w:val="en-IE"/>
        </w:rPr>
        <w:t>95</w:t>
      </w:r>
      <w:r w:rsidR="005903BC" w:rsidRPr="00D21BA2">
        <w:rPr>
          <w:rFonts w:eastAsia="Times New Roman"/>
          <w:noProof/>
          <w:color w:val="000000" w:themeColor="text1"/>
          <w:sz w:val="24"/>
          <w:szCs w:val="24"/>
          <w:lang w:val="en-IE"/>
        </w:rPr>
        <w:t xml:space="preserve"> </w:t>
      </w:r>
      <w:r w:rsidR="003D17C3" w:rsidRPr="00D21BA2">
        <w:rPr>
          <w:rFonts w:eastAsia="Times New Roman"/>
          <w:noProof/>
          <w:color w:val="000000" w:themeColor="text1"/>
          <w:sz w:val="24"/>
          <w:szCs w:val="24"/>
          <w:lang w:val="en-IE"/>
        </w:rPr>
        <w:t>400</w:t>
      </w:r>
      <w:r w:rsidR="003D17C3" w:rsidRPr="00047E5A">
        <w:rPr>
          <w:rFonts w:eastAsia="Times New Roman"/>
          <w:noProof/>
          <w:color w:val="000000" w:themeColor="text1"/>
          <w:sz w:val="24"/>
          <w:szCs w:val="24"/>
          <w:lang w:val="en-IE"/>
        </w:rPr>
        <w:t>.</w:t>
      </w:r>
      <w:r w:rsidR="00DB7BEB">
        <w:rPr>
          <w:rFonts w:eastAsia="Times New Roman"/>
          <w:noProof/>
          <w:color w:val="000000" w:themeColor="text1"/>
          <w:sz w:val="24"/>
          <w:szCs w:val="24"/>
          <w:lang w:val="en-IE"/>
        </w:rPr>
        <w:t xml:space="preserve"> </w:t>
      </w:r>
      <w:r w:rsidR="00461AB5" w:rsidRPr="00047E5A">
        <w:rPr>
          <w:rFonts w:eastAsia="Times New Roman"/>
          <w:noProof/>
          <w:color w:val="000000" w:themeColor="text1"/>
          <w:sz w:val="24"/>
          <w:szCs w:val="24"/>
          <w:lang w:val="en-IE"/>
        </w:rPr>
        <w:t xml:space="preserve">The </w:t>
      </w:r>
      <w:r w:rsidR="00354AA1" w:rsidRPr="00047E5A">
        <w:rPr>
          <w:rFonts w:eastAsia="Times New Roman"/>
          <w:noProof/>
          <w:color w:val="000000" w:themeColor="text1"/>
          <w:sz w:val="24"/>
          <w:szCs w:val="24"/>
          <w:lang w:val="en-IE"/>
        </w:rPr>
        <w:t xml:space="preserve">result for the </w:t>
      </w:r>
      <w:r w:rsidR="00461AB5" w:rsidRPr="00047E5A">
        <w:rPr>
          <w:rFonts w:eastAsia="Times New Roman"/>
          <w:noProof/>
          <w:color w:val="000000" w:themeColor="text1"/>
          <w:sz w:val="24"/>
          <w:szCs w:val="24"/>
          <w:lang w:val="en-IE"/>
        </w:rPr>
        <w:t xml:space="preserve">different options </w:t>
      </w:r>
      <w:r w:rsidR="00354AA1" w:rsidRPr="00047E5A">
        <w:rPr>
          <w:rFonts w:eastAsia="Times New Roman"/>
          <w:noProof/>
          <w:color w:val="000000" w:themeColor="text1"/>
          <w:sz w:val="24"/>
          <w:szCs w:val="24"/>
          <w:lang w:val="en-IE"/>
        </w:rPr>
        <w:t xml:space="preserve">is </w:t>
      </w:r>
      <w:r w:rsidR="00461AB5" w:rsidRPr="00047E5A">
        <w:rPr>
          <w:rFonts w:eastAsia="Times New Roman"/>
          <w:noProof/>
          <w:color w:val="000000" w:themeColor="text1"/>
          <w:sz w:val="24"/>
          <w:szCs w:val="24"/>
          <w:lang w:val="en-IE"/>
        </w:rPr>
        <w:t xml:space="preserve">compared </w:t>
      </w:r>
      <w:r w:rsidR="00E719FC" w:rsidRPr="00047E5A">
        <w:rPr>
          <w:rFonts w:eastAsia="Times New Roman"/>
          <w:noProof/>
          <w:color w:val="000000" w:themeColor="text1"/>
          <w:sz w:val="24"/>
          <w:szCs w:val="24"/>
          <w:lang w:val="en-IE"/>
        </w:rPr>
        <w:t>with the</w:t>
      </w:r>
      <w:r w:rsidR="00354AA1" w:rsidRPr="00047E5A">
        <w:rPr>
          <w:rFonts w:eastAsia="Times New Roman"/>
          <w:noProof/>
          <w:color w:val="000000" w:themeColor="text1"/>
          <w:sz w:val="24"/>
          <w:szCs w:val="24"/>
          <w:lang w:val="en-IE"/>
        </w:rPr>
        <w:t xml:space="preserve"> one of option 0 (status quo)</w:t>
      </w:r>
      <w:r w:rsidR="000D57CD" w:rsidRPr="00047E5A">
        <w:rPr>
          <w:rFonts w:eastAsia="Times New Roman"/>
          <w:noProof/>
          <w:color w:val="000000" w:themeColor="text1"/>
          <w:sz w:val="24"/>
          <w:szCs w:val="24"/>
          <w:lang w:val="en-IE"/>
        </w:rPr>
        <w:t xml:space="preserve">. </w:t>
      </w:r>
    </w:p>
    <w:p w14:paraId="10D881FB" w14:textId="01FD9CAE" w:rsidR="000A53CB" w:rsidRPr="00047E5A" w:rsidRDefault="004214E5" w:rsidP="00DE7CC1">
      <w:pPr>
        <w:spacing w:line="240" w:lineRule="auto"/>
        <w:rPr>
          <w:rFonts w:eastAsia="Times New Roman"/>
          <w:noProof/>
          <w:color w:val="000000" w:themeColor="text1"/>
          <w:lang w:val="en-IE"/>
        </w:rPr>
      </w:pPr>
      <w:r w:rsidRPr="00047E5A">
        <w:rPr>
          <w:rFonts w:eastAsia="Times New Roman"/>
          <w:noProof/>
          <w:color w:val="000000" w:themeColor="text1"/>
          <w:lang w:val="en-IE"/>
        </w:rPr>
        <w:t>Costs have been allocated for the following categories</w:t>
      </w:r>
      <w:r w:rsidR="00E67811" w:rsidRPr="00047E5A">
        <w:rPr>
          <w:rFonts w:eastAsia="Times New Roman"/>
          <w:noProof/>
          <w:color w:val="000000" w:themeColor="text1"/>
          <w:lang w:val="en-IE"/>
        </w:rPr>
        <w:t xml:space="preserve">: </w:t>
      </w:r>
      <w:r w:rsidR="006115A7" w:rsidRPr="00047E5A">
        <w:rPr>
          <w:rFonts w:eastAsia="Times New Roman"/>
          <w:noProof/>
          <w:color w:val="000000" w:themeColor="text1"/>
          <w:lang w:val="en-IE"/>
        </w:rPr>
        <w:t xml:space="preserve">(i) one off: </w:t>
      </w:r>
      <w:r w:rsidR="00076709" w:rsidRPr="00047E5A">
        <w:rPr>
          <w:rFonts w:eastAsia="Times New Roman"/>
          <w:noProof/>
          <w:color w:val="000000" w:themeColor="text1"/>
          <w:lang w:val="en-IE"/>
        </w:rPr>
        <w:t xml:space="preserve">FTTH and copper switch-off plans and implementation, </w:t>
      </w:r>
      <w:r w:rsidR="00546575" w:rsidRPr="00047E5A">
        <w:rPr>
          <w:rFonts w:eastAsia="Times New Roman"/>
          <w:noProof/>
          <w:color w:val="000000" w:themeColor="text1"/>
          <w:lang w:val="en-IE"/>
        </w:rPr>
        <w:t xml:space="preserve">Data gathering under </w:t>
      </w:r>
      <w:r w:rsidR="00490EF2">
        <w:rPr>
          <w:rFonts w:eastAsia="Times New Roman"/>
          <w:noProof/>
          <w:color w:val="000000" w:themeColor="text1"/>
          <w:lang w:val="en-IE"/>
        </w:rPr>
        <w:t>Article</w:t>
      </w:r>
      <w:r w:rsidR="00A907F2">
        <w:rPr>
          <w:rFonts w:eastAsia="Times New Roman"/>
          <w:noProof/>
          <w:color w:val="000000" w:themeColor="text1"/>
          <w:lang w:val="en-IE"/>
        </w:rPr>
        <w:t> </w:t>
      </w:r>
      <w:r w:rsidR="00546575" w:rsidRPr="00047E5A">
        <w:rPr>
          <w:rFonts w:eastAsia="Times New Roman"/>
          <w:noProof/>
          <w:color w:val="000000" w:themeColor="text1"/>
          <w:lang w:val="en-IE"/>
        </w:rPr>
        <w:t>22, forecasts and declarations</w:t>
      </w:r>
      <w:r w:rsidR="006115A7" w:rsidRPr="00047E5A">
        <w:rPr>
          <w:rFonts w:eastAsia="Times New Roman"/>
          <w:noProof/>
          <w:color w:val="000000" w:themeColor="text1"/>
          <w:lang w:val="en-IE"/>
        </w:rPr>
        <w:t xml:space="preserve">, </w:t>
      </w:r>
      <w:r w:rsidR="00340900" w:rsidRPr="00047E5A">
        <w:rPr>
          <w:rFonts w:eastAsia="Times New Roman"/>
          <w:noProof/>
          <w:color w:val="000000" w:themeColor="text1"/>
          <w:lang w:val="en-IE"/>
        </w:rPr>
        <w:t>Market analysis, SMP and symmetric (</w:t>
      </w:r>
      <w:r w:rsidR="00C87CC9">
        <w:rPr>
          <w:rFonts w:eastAsia="Times New Roman"/>
          <w:noProof/>
          <w:color w:val="000000" w:themeColor="text1"/>
          <w:lang w:val="en-IE"/>
        </w:rPr>
        <w:t>Article</w:t>
      </w:r>
      <w:r w:rsidR="00A907F2">
        <w:rPr>
          <w:rFonts w:eastAsia="Times New Roman"/>
          <w:noProof/>
          <w:color w:val="000000" w:themeColor="text1"/>
          <w:lang w:val="en-IE"/>
        </w:rPr>
        <w:t> </w:t>
      </w:r>
      <w:r w:rsidR="00340900" w:rsidRPr="00047E5A">
        <w:rPr>
          <w:rFonts w:eastAsia="Times New Roman"/>
          <w:noProof/>
          <w:color w:val="000000" w:themeColor="text1"/>
          <w:lang w:val="en-IE"/>
        </w:rPr>
        <w:t xml:space="preserve">61(3)) regulation, </w:t>
      </w:r>
      <w:r w:rsidR="004F7BB2" w:rsidRPr="00047E5A">
        <w:rPr>
          <w:rFonts w:eastAsia="Times New Roman"/>
          <w:noProof/>
          <w:color w:val="000000" w:themeColor="text1"/>
          <w:lang w:val="en-IE"/>
        </w:rPr>
        <w:t xml:space="preserve">Best practice wholesale access specifications, </w:t>
      </w:r>
      <w:r w:rsidR="006115A7" w:rsidRPr="00047E5A">
        <w:rPr>
          <w:rFonts w:eastAsia="Times New Roman"/>
          <w:noProof/>
          <w:color w:val="000000" w:themeColor="text1"/>
          <w:lang w:val="en-IE"/>
        </w:rPr>
        <w:t xml:space="preserve">and (ii) recurring: </w:t>
      </w:r>
      <w:r w:rsidR="004219B0" w:rsidRPr="00047E5A">
        <w:rPr>
          <w:rFonts w:eastAsia="Times New Roman"/>
          <w:noProof/>
          <w:color w:val="000000" w:themeColor="text1"/>
          <w:lang w:val="en-IE"/>
        </w:rPr>
        <w:t xml:space="preserve">Data gathering under </w:t>
      </w:r>
      <w:r w:rsidR="00674984">
        <w:rPr>
          <w:rFonts w:eastAsia="Times New Roman"/>
          <w:noProof/>
          <w:color w:val="000000" w:themeColor="text1"/>
          <w:lang w:val="en-IE"/>
        </w:rPr>
        <w:t>Article</w:t>
      </w:r>
      <w:r w:rsidR="00A907F2">
        <w:rPr>
          <w:rFonts w:eastAsia="Times New Roman"/>
          <w:noProof/>
          <w:color w:val="000000" w:themeColor="text1"/>
          <w:lang w:val="en-IE"/>
        </w:rPr>
        <w:t> </w:t>
      </w:r>
      <w:r w:rsidR="004219B0" w:rsidRPr="00047E5A">
        <w:rPr>
          <w:rFonts w:eastAsia="Times New Roman"/>
          <w:noProof/>
          <w:color w:val="000000" w:themeColor="text1"/>
          <w:lang w:val="en-IE"/>
        </w:rPr>
        <w:t xml:space="preserve">22, forecasts and declarations, </w:t>
      </w:r>
      <w:r w:rsidR="000A53CB" w:rsidRPr="00047E5A">
        <w:rPr>
          <w:rFonts w:eastAsia="Times New Roman"/>
          <w:noProof/>
          <w:color w:val="000000" w:themeColor="text1"/>
          <w:lang w:val="en-IE"/>
        </w:rPr>
        <w:t>Market analysis, SMP and symmetric (</w:t>
      </w:r>
      <w:r w:rsidR="00C87CC9">
        <w:rPr>
          <w:rFonts w:eastAsia="Times New Roman"/>
          <w:noProof/>
          <w:color w:val="000000" w:themeColor="text1"/>
          <w:lang w:val="en-IE"/>
        </w:rPr>
        <w:t>Article</w:t>
      </w:r>
      <w:r w:rsidR="00A907F2">
        <w:rPr>
          <w:rFonts w:eastAsia="Times New Roman"/>
          <w:noProof/>
          <w:color w:val="000000" w:themeColor="text1"/>
          <w:lang w:val="en-IE"/>
        </w:rPr>
        <w:t> </w:t>
      </w:r>
      <w:r w:rsidR="000A53CB" w:rsidRPr="00047E5A">
        <w:rPr>
          <w:rFonts w:eastAsia="Times New Roman"/>
          <w:noProof/>
          <w:color w:val="000000" w:themeColor="text1"/>
          <w:lang w:val="en-IE"/>
        </w:rPr>
        <w:t xml:space="preserve">61(3)) regulation, </w:t>
      </w:r>
      <w:r w:rsidR="006115A7" w:rsidRPr="00047E5A">
        <w:rPr>
          <w:rFonts w:eastAsia="Times New Roman"/>
          <w:noProof/>
          <w:color w:val="000000" w:themeColor="text1"/>
          <w:lang w:val="en-IE"/>
        </w:rPr>
        <w:t>Dispute resolution in relation to EECC.</w:t>
      </w:r>
    </w:p>
    <w:p w14:paraId="1A55DB9F" w14:textId="296B9EB8" w:rsidR="00A92CAC" w:rsidRPr="00047E5A" w:rsidRDefault="00A92CAC" w:rsidP="00FD1EE2">
      <w:pPr>
        <w:pStyle w:val="CommentText"/>
        <w:keepNext/>
        <w:keepLines/>
        <w:spacing w:before="120" w:after="120"/>
        <w:rPr>
          <w:i/>
          <w:noProof/>
          <w:color w:val="000000" w:themeColor="text1"/>
          <w:sz w:val="24"/>
          <w:szCs w:val="24"/>
          <w:u w:val="single"/>
        </w:rPr>
      </w:pPr>
      <w:r w:rsidRPr="00047E5A">
        <w:rPr>
          <w:rFonts w:eastAsia="Times New Roman"/>
          <w:i/>
          <w:noProof/>
          <w:color w:val="000000" w:themeColor="text1"/>
          <w:sz w:val="24"/>
          <w:szCs w:val="24"/>
          <w:u w:val="single"/>
        </w:rPr>
        <w:t>Table</w:t>
      </w:r>
      <w:r w:rsidR="004165D7" w:rsidRPr="00047E5A">
        <w:rPr>
          <w:rFonts w:eastAsia="Times New Roman"/>
          <w:i/>
          <w:noProof/>
          <w:color w:val="000000" w:themeColor="text1"/>
          <w:sz w:val="24"/>
          <w:szCs w:val="24"/>
          <w:u w:val="single"/>
        </w:rPr>
        <w:t xml:space="preserve"> 24</w:t>
      </w:r>
      <w:r w:rsidRPr="00047E5A">
        <w:rPr>
          <w:rFonts w:eastAsia="Times New Roman"/>
          <w:i/>
          <w:noProof/>
          <w:color w:val="000000" w:themeColor="text1"/>
          <w:sz w:val="24"/>
          <w:szCs w:val="24"/>
          <w:u w:val="single"/>
        </w:rPr>
        <w:t>:</w:t>
      </w:r>
      <w:r w:rsidRPr="00047E5A">
        <w:rPr>
          <w:rFonts w:eastAsia="Times New Roman"/>
          <w:i/>
          <w:noProof/>
          <w:color w:val="000000" w:themeColor="text1"/>
          <w:sz w:val="24"/>
          <w:szCs w:val="24"/>
          <w:u w:val="single"/>
        </w:rPr>
        <w:tab/>
        <w:t>Estimated change in one-off and recurring administrative costs</w:t>
      </w:r>
    </w:p>
    <w:tbl>
      <w:tblPr>
        <w:tblStyle w:val="PlainTable1"/>
        <w:tblW w:w="9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418"/>
        <w:gridCol w:w="850"/>
        <w:gridCol w:w="851"/>
        <w:gridCol w:w="1275"/>
        <w:gridCol w:w="993"/>
        <w:gridCol w:w="850"/>
        <w:gridCol w:w="1029"/>
      </w:tblGrid>
      <w:tr w:rsidR="000A6E05" w:rsidRPr="00A757DF" w14:paraId="530F9CE8" w14:textId="77777777" w:rsidTr="000A6E05">
        <w:trPr>
          <w:cnfStyle w:val="100000000000" w:firstRow="1" w:lastRow="0" w:firstColumn="0" w:lastColumn="0" w:oddVBand="0" w:evenVBand="0" w:oddHBand="0" w:evenHBand="0" w:firstRowFirstColumn="0" w:firstRowLastColumn="0" w:lastRowFirstColumn="0" w:lastRowLastColumn="0"/>
          <w:trHeight w:val="1101"/>
          <w:jc w:val="center"/>
        </w:trPr>
        <w:tc>
          <w:tcPr>
            <w:cnfStyle w:val="001000000000" w:firstRow="0" w:lastRow="0" w:firstColumn="1" w:lastColumn="0" w:oddVBand="0" w:evenVBand="0" w:oddHBand="0" w:evenHBand="0" w:firstRowFirstColumn="0" w:firstRowLastColumn="0" w:lastRowFirstColumn="0" w:lastRowLastColumn="0"/>
            <w:tcW w:w="1838" w:type="dxa"/>
            <w:vAlign w:val="center"/>
            <w:hideMark/>
          </w:tcPr>
          <w:p w14:paraId="6AD723B9" w14:textId="77777777" w:rsidR="00A92CAC" w:rsidRPr="00047E5A" w:rsidRDefault="00A92CAC" w:rsidP="00764036">
            <w:pPr>
              <w:spacing w:after="0"/>
              <w:jc w:val="left"/>
              <w:rPr>
                <w:noProof/>
                <w:sz w:val="16"/>
                <w:szCs w:val="16"/>
                <w:lang w:eastAsia="fr-BE"/>
              </w:rPr>
            </w:pPr>
            <w:r w:rsidRPr="00047E5A">
              <w:rPr>
                <w:noProof/>
                <w:sz w:val="16"/>
                <w:szCs w:val="16"/>
                <w:lang w:eastAsia="fr-BE"/>
              </w:rPr>
              <w:t xml:space="preserve">Option </w:t>
            </w:r>
          </w:p>
        </w:tc>
        <w:tc>
          <w:tcPr>
            <w:tcW w:w="1418" w:type="dxa"/>
            <w:vAlign w:val="center"/>
            <w:hideMark/>
          </w:tcPr>
          <w:p w14:paraId="5A825C8D" w14:textId="77777777" w:rsidR="00A92CAC" w:rsidRPr="00047E5A" w:rsidRDefault="00A92CAC" w:rsidP="004165D7">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047E5A">
              <w:rPr>
                <w:noProof/>
                <w:sz w:val="16"/>
                <w:szCs w:val="16"/>
                <w:lang w:eastAsia="fr-BE"/>
              </w:rPr>
              <w:t>One-off FTE (CSO + data + market review + wholesale products)</w:t>
            </w:r>
          </w:p>
        </w:tc>
        <w:tc>
          <w:tcPr>
            <w:tcW w:w="850" w:type="dxa"/>
            <w:vAlign w:val="center"/>
            <w:hideMark/>
          </w:tcPr>
          <w:p w14:paraId="5625803D" w14:textId="77777777" w:rsidR="00A92CAC" w:rsidRPr="00047E5A" w:rsidRDefault="00A92CAC" w:rsidP="004165D7">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047E5A">
              <w:rPr>
                <w:noProof/>
                <w:sz w:val="16"/>
                <w:szCs w:val="16"/>
                <w:lang w:eastAsia="fr-BE"/>
              </w:rPr>
              <w:t>Change in one-off FTE</w:t>
            </w:r>
          </w:p>
        </w:tc>
        <w:tc>
          <w:tcPr>
            <w:tcW w:w="851" w:type="dxa"/>
            <w:vAlign w:val="center"/>
            <w:hideMark/>
          </w:tcPr>
          <w:p w14:paraId="77B57707" w14:textId="3E80E9E9" w:rsidR="00A92CAC" w:rsidRPr="00047E5A" w:rsidRDefault="00A92CAC" w:rsidP="004165D7">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047E5A">
              <w:rPr>
                <w:noProof/>
                <w:sz w:val="16"/>
                <w:szCs w:val="16"/>
                <w:lang w:eastAsia="fr-BE"/>
              </w:rPr>
              <w:t>Change in one-off costs</w:t>
            </w:r>
          </w:p>
        </w:tc>
        <w:tc>
          <w:tcPr>
            <w:tcW w:w="1275" w:type="dxa"/>
            <w:vAlign w:val="center"/>
            <w:hideMark/>
          </w:tcPr>
          <w:p w14:paraId="07A443B4" w14:textId="77777777" w:rsidR="00A92CAC" w:rsidRPr="00047E5A" w:rsidRDefault="00A92CAC" w:rsidP="004165D7">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047E5A">
              <w:rPr>
                <w:noProof/>
                <w:sz w:val="16"/>
                <w:szCs w:val="16"/>
                <w:lang w:eastAsia="fr-BE"/>
              </w:rPr>
              <w:t>Recurring FTE (Data gathering, market analysis, dispute resolution)</w:t>
            </w:r>
          </w:p>
        </w:tc>
        <w:tc>
          <w:tcPr>
            <w:tcW w:w="993" w:type="dxa"/>
            <w:vAlign w:val="center"/>
            <w:hideMark/>
          </w:tcPr>
          <w:p w14:paraId="43C6031E" w14:textId="77777777" w:rsidR="00A92CAC" w:rsidRPr="00047E5A" w:rsidRDefault="00A92CAC" w:rsidP="004165D7">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047E5A">
              <w:rPr>
                <w:noProof/>
                <w:sz w:val="16"/>
                <w:szCs w:val="16"/>
                <w:lang w:eastAsia="fr-BE"/>
              </w:rPr>
              <w:t>Change in recurring FTE</w:t>
            </w:r>
          </w:p>
        </w:tc>
        <w:tc>
          <w:tcPr>
            <w:tcW w:w="850" w:type="dxa"/>
            <w:vAlign w:val="center"/>
            <w:hideMark/>
          </w:tcPr>
          <w:p w14:paraId="1E726E9E" w14:textId="77777777" w:rsidR="00A92CAC" w:rsidRPr="00047E5A" w:rsidRDefault="00A92CAC" w:rsidP="004165D7">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047E5A">
              <w:rPr>
                <w:noProof/>
                <w:sz w:val="16"/>
                <w:szCs w:val="16"/>
                <w:lang w:eastAsia="fr-BE"/>
              </w:rPr>
              <w:t>Change in recurring cost (€000)</w:t>
            </w:r>
          </w:p>
        </w:tc>
        <w:tc>
          <w:tcPr>
            <w:tcW w:w="1029" w:type="dxa"/>
            <w:vAlign w:val="center"/>
          </w:tcPr>
          <w:p w14:paraId="270A5946" w14:textId="77777777" w:rsidR="00A92CAC" w:rsidRPr="00047E5A" w:rsidRDefault="00A92CAC" w:rsidP="004165D7">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047E5A">
              <w:rPr>
                <w:noProof/>
                <w:sz w:val="16"/>
                <w:szCs w:val="16"/>
                <w:lang w:eastAsia="fr-BE"/>
              </w:rPr>
              <w:t>% Change in recurring cost</w:t>
            </w:r>
          </w:p>
        </w:tc>
      </w:tr>
      <w:tr w:rsidR="000A6E05" w:rsidRPr="00A757DF" w14:paraId="4BC58CC7" w14:textId="77777777" w:rsidTr="000A6E05">
        <w:trPr>
          <w:trHeight w:val="49"/>
          <w:jc w:val="center"/>
        </w:trPr>
        <w:tc>
          <w:tcPr>
            <w:cnfStyle w:val="001000000000" w:firstRow="0" w:lastRow="0" w:firstColumn="1" w:lastColumn="0" w:oddVBand="0" w:evenVBand="0" w:oddHBand="0" w:evenHBand="0" w:firstRowFirstColumn="0" w:firstRowLastColumn="0" w:lastRowFirstColumn="0" w:lastRowLastColumn="0"/>
            <w:tcW w:w="1838" w:type="dxa"/>
            <w:vAlign w:val="center"/>
            <w:hideMark/>
          </w:tcPr>
          <w:p w14:paraId="19035F41" w14:textId="77777777" w:rsidR="00A92CAC" w:rsidRPr="00D15137" w:rsidRDefault="00A92CAC" w:rsidP="00764036">
            <w:pPr>
              <w:spacing w:after="0"/>
              <w:jc w:val="left"/>
              <w:rPr>
                <w:b w:val="0"/>
                <w:noProof/>
                <w:sz w:val="16"/>
                <w:szCs w:val="16"/>
                <w:lang w:eastAsia="fr-BE"/>
              </w:rPr>
            </w:pPr>
            <w:r w:rsidRPr="00D15137">
              <w:rPr>
                <w:noProof/>
                <w:sz w:val="16"/>
                <w:szCs w:val="16"/>
                <w:lang w:eastAsia="fr-BE"/>
              </w:rPr>
              <w:t>Option 0: Status quo</w:t>
            </w:r>
          </w:p>
        </w:tc>
        <w:tc>
          <w:tcPr>
            <w:tcW w:w="1418" w:type="dxa"/>
            <w:vAlign w:val="center"/>
            <w:hideMark/>
          </w:tcPr>
          <w:p w14:paraId="3169F477" w14:textId="7198AD27"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150</w:t>
            </w:r>
          </w:p>
        </w:tc>
        <w:tc>
          <w:tcPr>
            <w:tcW w:w="850" w:type="dxa"/>
            <w:vAlign w:val="center"/>
            <w:hideMark/>
          </w:tcPr>
          <w:p w14:paraId="48D44761" w14:textId="377168B6"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w:t>
            </w:r>
          </w:p>
        </w:tc>
        <w:tc>
          <w:tcPr>
            <w:tcW w:w="851" w:type="dxa"/>
            <w:vAlign w:val="center"/>
            <w:hideMark/>
          </w:tcPr>
          <w:p w14:paraId="12C33F64" w14:textId="4368BF42"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w:t>
            </w:r>
          </w:p>
        </w:tc>
        <w:tc>
          <w:tcPr>
            <w:tcW w:w="1275" w:type="dxa"/>
            <w:vAlign w:val="center"/>
            <w:hideMark/>
          </w:tcPr>
          <w:p w14:paraId="67638910" w14:textId="6C09034C"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2</w:t>
            </w:r>
            <w:r w:rsidR="00A907F2">
              <w:rPr>
                <w:noProof/>
                <w:sz w:val="16"/>
                <w:szCs w:val="16"/>
              </w:rPr>
              <w:t> </w:t>
            </w:r>
            <w:r w:rsidRPr="00D15137">
              <w:rPr>
                <w:noProof/>
                <w:sz w:val="16"/>
                <w:szCs w:val="16"/>
              </w:rPr>
              <w:t>172</w:t>
            </w:r>
          </w:p>
        </w:tc>
        <w:tc>
          <w:tcPr>
            <w:tcW w:w="993" w:type="dxa"/>
            <w:vAlign w:val="center"/>
            <w:hideMark/>
          </w:tcPr>
          <w:p w14:paraId="708E0B51" w14:textId="74B3BD5D"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w:t>
            </w:r>
          </w:p>
        </w:tc>
        <w:tc>
          <w:tcPr>
            <w:tcW w:w="850" w:type="dxa"/>
            <w:noWrap/>
            <w:vAlign w:val="center"/>
          </w:tcPr>
          <w:p w14:paraId="145520D5" w14:textId="4812CB32"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w:t>
            </w:r>
          </w:p>
        </w:tc>
        <w:tc>
          <w:tcPr>
            <w:tcW w:w="1029" w:type="dxa"/>
            <w:vAlign w:val="center"/>
          </w:tcPr>
          <w:p w14:paraId="20D94F57" w14:textId="140A0C4B"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rPr>
            </w:pPr>
          </w:p>
        </w:tc>
      </w:tr>
      <w:tr w:rsidR="000A6E05" w:rsidRPr="00A757DF" w14:paraId="1B907104" w14:textId="77777777" w:rsidTr="000A6E05">
        <w:trPr>
          <w:trHeight w:val="111"/>
          <w:jc w:val="center"/>
        </w:trPr>
        <w:tc>
          <w:tcPr>
            <w:cnfStyle w:val="001000000000" w:firstRow="0" w:lastRow="0" w:firstColumn="1" w:lastColumn="0" w:oddVBand="0" w:evenVBand="0" w:oddHBand="0" w:evenHBand="0" w:firstRowFirstColumn="0" w:firstRowLastColumn="0" w:lastRowFirstColumn="0" w:lastRowLastColumn="0"/>
            <w:tcW w:w="1838" w:type="dxa"/>
            <w:vAlign w:val="center"/>
            <w:hideMark/>
          </w:tcPr>
          <w:p w14:paraId="74B695C4" w14:textId="599D2344" w:rsidR="00A92CAC" w:rsidRPr="00D15137" w:rsidRDefault="00A92CAC" w:rsidP="00764036">
            <w:pPr>
              <w:spacing w:after="0"/>
              <w:jc w:val="left"/>
              <w:rPr>
                <w:b w:val="0"/>
                <w:noProof/>
                <w:sz w:val="16"/>
                <w:szCs w:val="16"/>
                <w:lang w:eastAsia="fr-BE"/>
              </w:rPr>
            </w:pPr>
            <w:r w:rsidRPr="00D15137">
              <w:rPr>
                <w:noProof/>
                <w:sz w:val="16"/>
                <w:szCs w:val="16"/>
                <w:lang w:eastAsia="fr-BE"/>
              </w:rPr>
              <w:t>Option 1: Non-binding CSO</w:t>
            </w:r>
            <w:r w:rsidR="00234A8F" w:rsidRPr="00234A8F">
              <w:rPr>
                <w:noProof/>
                <w:sz w:val="16"/>
                <w:szCs w:val="16"/>
                <w:lang w:eastAsia="fr-BE"/>
              </w:rPr>
              <w:t xml:space="preserve"> and limited updates to access regulation</w:t>
            </w:r>
          </w:p>
        </w:tc>
        <w:tc>
          <w:tcPr>
            <w:tcW w:w="1418" w:type="dxa"/>
            <w:vAlign w:val="center"/>
            <w:hideMark/>
          </w:tcPr>
          <w:p w14:paraId="1B9C7A7D" w14:textId="60864587"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417</w:t>
            </w:r>
          </w:p>
        </w:tc>
        <w:tc>
          <w:tcPr>
            <w:tcW w:w="850" w:type="dxa"/>
            <w:vAlign w:val="center"/>
            <w:hideMark/>
          </w:tcPr>
          <w:p w14:paraId="5D13D1AB" w14:textId="1A26334C"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267</w:t>
            </w:r>
          </w:p>
        </w:tc>
        <w:tc>
          <w:tcPr>
            <w:tcW w:w="851" w:type="dxa"/>
            <w:vAlign w:val="center"/>
            <w:hideMark/>
          </w:tcPr>
          <w:p w14:paraId="5C5F792B" w14:textId="137F6CB3"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25</w:t>
            </w:r>
            <w:r w:rsidR="00A907F2">
              <w:rPr>
                <w:noProof/>
                <w:sz w:val="16"/>
                <w:szCs w:val="16"/>
              </w:rPr>
              <w:t> </w:t>
            </w:r>
            <w:r w:rsidRPr="00D15137">
              <w:rPr>
                <w:noProof/>
                <w:sz w:val="16"/>
                <w:szCs w:val="16"/>
              </w:rPr>
              <w:t>471</w:t>
            </w:r>
            <w:r w:rsidR="00A907F2">
              <w:rPr>
                <w:noProof/>
                <w:sz w:val="16"/>
                <w:szCs w:val="16"/>
              </w:rPr>
              <w:t> </w:t>
            </w:r>
            <w:r w:rsidRPr="00D15137">
              <w:rPr>
                <w:noProof/>
                <w:sz w:val="16"/>
                <w:szCs w:val="16"/>
              </w:rPr>
              <w:t>800</w:t>
            </w:r>
          </w:p>
        </w:tc>
        <w:tc>
          <w:tcPr>
            <w:tcW w:w="1275" w:type="dxa"/>
            <w:vAlign w:val="center"/>
            <w:hideMark/>
          </w:tcPr>
          <w:p w14:paraId="55B83D9D" w14:textId="4CBA39F0"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2</w:t>
            </w:r>
            <w:r w:rsidR="00A907F2">
              <w:rPr>
                <w:noProof/>
                <w:sz w:val="16"/>
                <w:szCs w:val="16"/>
              </w:rPr>
              <w:t> </w:t>
            </w:r>
            <w:r w:rsidRPr="00D15137">
              <w:rPr>
                <w:noProof/>
                <w:sz w:val="16"/>
                <w:szCs w:val="16"/>
              </w:rPr>
              <w:t>331</w:t>
            </w:r>
          </w:p>
        </w:tc>
        <w:tc>
          <w:tcPr>
            <w:tcW w:w="993" w:type="dxa"/>
            <w:vAlign w:val="center"/>
            <w:hideMark/>
          </w:tcPr>
          <w:p w14:paraId="18208575" w14:textId="46269D4F"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159</w:t>
            </w:r>
          </w:p>
        </w:tc>
        <w:tc>
          <w:tcPr>
            <w:tcW w:w="850" w:type="dxa"/>
            <w:noWrap/>
            <w:vAlign w:val="center"/>
          </w:tcPr>
          <w:p w14:paraId="32AC8FAE" w14:textId="35A8E8D5"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15</w:t>
            </w:r>
            <w:r w:rsidR="00A907F2">
              <w:rPr>
                <w:noProof/>
                <w:sz w:val="16"/>
                <w:szCs w:val="16"/>
              </w:rPr>
              <w:t> </w:t>
            </w:r>
            <w:r w:rsidRPr="00D15137">
              <w:rPr>
                <w:noProof/>
                <w:sz w:val="16"/>
                <w:szCs w:val="16"/>
              </w:rPr>
              <w:t>69</w:t>
            </w:r>
          </w:p>
        </w:tc>
        <w:tc>
          <w:tcPr>
            <w:tcW w:w="1029" w:type="dxa"/>
            <w:vAlign w:val="center"/>
          </w:tcPr>
          <w:p w14:paraId="2110C634" w14:textId="77777777"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rPr>
            </w:pPr>
            <w:r w:rsidRPr="00D15137">
              <w:rPr>
                <w:noProof/>
                <w:sz w:val="16"/>
                <w:szCs w:val="16"/>
              </w:rPr>
              <w:t>7%</w:t>
            </w:r>
          </w:p>
        </w:tc>
      </w:tr>
      <w:tr w:rsidR="000A6E05" w:rsidRPr="00A757DF" w14:paraId="02B44916" w14:textId="77777777" w:rsidTr="000A6E05">
        <w:trPr>
          <w:trHeight w:val="103"/>
          <w:jc w:val="center"/>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0F4C5BCE" w14:textId="2CB0FD50" w:rsidR="00A92CAC" w:rsidRPr="00D15137" w:rsidRDefault="00A92CAC" w:rsidP="00764036">
            <w:pPr>
              <w:spacing w:after="0"/>
              <w:jc w:val="left"/>
              <w:rPr>
                <w:b w:val="0"/>
                <w:noProof/>
                <w:sz w:val="16"/>
                <w:szCs w:val="16"/>
                <w:lang w:eastAsia="fr-BE"/>
              </w:rPr>
            </w:pPr>
            <w:r w:rsidRPr="00D15137">
              <w:rPr>
                <w:noProof/>
                <w:sz w:val="16"/>
                <w:szCs w:val="16"/>
                <w:lang w:eastAsia="fr-BE"/>
              </w:rPr>
              <w:t>Option 2: Conditional CSO and updated access</w:t>
            </w:r>
            <w:r w:rsidR="00096877">
              <w:rPr>
                <w:noProof/>
                <w:sz w:val="16"/>
                <w:szCs w:val="16"/>
                <w:lang w:eastAsia="fr-BE"/>
              </w:rPr>
              <w:t xml:space="preserve"> regulation</w:t>
            </w:r>
          </w:p>
        </w:tc>
        <w:tc>
          <w:tcPr>
            <w:tcW w:w="1418" w:type="dxa"/>
            <w:vAlign w:val="center"/>
          </w:tcPr>
          <w:p w14:paraId="7F6AADE5" w14:textId="579BC77C"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915</w:t>
            </w:r>
          </w:p>
        </w:tc>
        <w:tc>
          <w:tcPr>
            <w:tcW w:w="850" w:type="dxa"/>
            <w:vAlign w:val="center"/>
          </w:tcPr>
          <w:p w14:paraId="3A9E3602" w14:textId="0E40B6F8"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765</w:t>
            </w:r>
          </w:p>
        </w:tc>
        <w:tc>
          <w:tcPr>
            <w:tcW w:w="851" w:type="dxa"/>
            <w:vAlign w:val="center"/>
          </w:tcPr>
          <w:p w14:paraId="628AC277" w14:textId="6FAE57A5"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72</w:t>
            </w:r>
            <w:r w:rsidR="00A907F2">
              <w:rPr>
                <w:noProof/>
                <w:sz w:val="16"/>
                <w:szCs w:val="16"/>
              </w:rPr>
              <w:t> </w:t>
            </w:r>
            <w:r w:rsidRPr="00D15137">
              <w:rPr>
                <w:noProof/>
                <w:sz w:val="16"/>
                <w:szCs w:val="16"/>
              </w:rPr>
              <w:t>981</w:t>
            </w:r>
            <w:r w:rsidR="00A907F2">
              <w:rPr>
                <w:noProof/>
                <w:sz w:val="16"/>
                <w:szCs w:val="16"/>
              </w:rPr>
              <w:t> </w:t>
            </w:r>
            <w:r w:rsidRPr="00D15137">
              <w:rPr>
                <w:noProof/>
                <w:sz w:val="16"/>
                <w:szCs w:val="16"/>
              </w:rPr>
              <w:t>000</w:t>
            </w:r>
          </w:p>
        </w:tc>
        <w:tc>
          <w:tcPr>
            <w:tcW w:w="1275" w:type="dxa"/>
            <w:vAlign w:val="center"/>
          </w:tcPr>
          <w:p w14:paraId="005343F9" w14:textId="5FD3C5F2"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2</w:t>
            </w:r>
            <w:r w:rsidR="00A907F2">
              <w:rPr>
                <w:noProof/>
                <w:sz w:val="16"/>
                <w:szCs w:val="16"/>
              </w:rPr>
              <w:t> </w:t>
            </w:r>
            <w:r w:rsidRPr="00D15137">
              <w:rPr>
                <w:noProof/>
                <w:sz w:val="16"/>
                <w:szCs w:val="16"/>
              </w:rPr>
              <w:t>570</w:t>
            </w:r>
          </w:p>
        </w:tc>
        <w:tc>
          <w:tcPr>
            <w:tcW w:w="993" w:type="dxa"/>
            <w:vAlign w:val="center"/>
          </w:tcPr>
          <w:p w14:paraId="15635AC9" w14:textId="0822FD21"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398</w:t>
            </w:r>
          </w:p>
        </w:tc>
        <w:tc>
          <w:tcPr>
            <w:tcW w:w="850" w:type="dxa"/>
            <w:noWrap/>
            <w:vAlign w:val="center"/>
          </w:tcPr>
          <w:p w14:paraId="1F9E94C2" w14:textId="5A8F6B0C"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37</w:t>
            </w:r>
            <w:r w:rsidR="00A907F2">
              <w:rPr>
                <w:noProof/>
                <w:sz w:val="16"/>
                <w:szCs w:val="16"/>
              </w:rPr>
              <w:t> </w:t>
            </w:r>
            <w:r w:rsidRPr="00D15137">
              <w:rPr>
                <w:noProof/>
                <w:sz w:val="16"/>
                <w:szCs w:val="16"/>
              </w:rPr>
              <w:t>922</w:t>
            </w:r>
          </w:p>
        </w:tc>
        <w:tc>
          <w:tcPr>
            <w:tcW w:w="1029" w:type="dxa"/>
            <w:vAlign w:val="center"/>
          </w:tcPr>
          <w:p w14:paraId="21BDA01D" w14:textId="77777777"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rPr>
            </w:pPr>
            <w:r w:rsidRPr="00D15137">
              <w:rPr>
                <w:noProof/>
                <w:sz w:val="16"/>
                <w:szCs w:val="16"/>
              </w:rPr>
              <w:t>18%</w:t>
            </w:r>
          </w:p>
        </w:tc>
      </w:tr>
      <w:tr w:rsidR="000A6E05" w:rsidRPr="00A757DF" w14:paraId="7181384C" w14:textId="77777777" w:rsidTr="000A6E05">
        <w:trPr>
          <w:trHeight w:val="411"/>
          <w:jc w:val="center"/>
        </w:trPr>
        <w:tc>
          <w:tcPr>
            <w:cnfStyle w:val="001000000000" w:firstRow="0" w:lastRow="0" w:firstColumn="1" w:lastColumn="0" w:oddVBand="0" w:evenVBand="0" w:oddHBand="0" w:evenHBand="0" w:firstRowFirstColumn="0" w:firstRowLastColumn="0" w:lastRowFirstColumn="0" w:lastRowLastColumn="0"/>
            <w:tcW w:w="1838" w:type="dxa"/>
            <w:vAlign w:val="center"/>
            <w:hideMark/>
          </w:tcPr>
          <w:p w14:paraId="59648E95" w14:textId="7C5EDF23" w:rsidR="00A92CAC" w:rsidRPr="00D15137" w:rsidRDefault="00A92CAC" w:rsidP="00764036">
            <w:pPr>
              <w:spacing w:after="0"/>
              <w:jc w:val="left"/>
              <w:rPr>
                <w:b w:val="0"/>
                <w:noProof/>
                <w:sz w:val="16"/>
                <w:szCs w:val="16"/>
                <w:lang w:eastAsia="fr-BE"/>
              </w:rPr>
            </w:pPr>
            <w:r w:rsidRPr="00D15137">
              <w:rPr>
                <w:noProof/>
                <w:sz w:val="16"/>
                <w:szCs w:val="16"/>
                <w:lang w:eastAsia="fr-BE"/>
              </w:rPr>
              <w:t xml:space="preserve">Option 3: </w:t>
            </w:r>
            <w:r w:rsidR="00096877" w:rsidRPr="00096877">
              <w:rPr>
                <w:noProof/>
                <w:sz w:val="16"/>
                <w:szCs w:val="16"/>
                <w:lang w:eastAsia="fr-BE"/>
              </w:rPr>
              <w:t xml:space="preserve">Market driven </w:t>
            </w:r>
            <w:r w:rsidR="00096877">
              <w:rPr>
                <w:noProof/>
                <w:sz w:val="16"/>
                <w:szCs w:val="16"/>
                <w:lang w:eastAsia="fr-BE"/>
              </w:rPr>
              <w:t>CSO</w:t>
            </w:r>
            <w:r w:rsidR="00096877" w:rsidRPr="00096877">
              <w:rPr>
                <w:noProof/>
                <w:sz w:val="16"/>
                <w:szCs w:val="16"/>
                <w:lang w:eastAsia="fr-BE"/>
              </w:rPr>
              <w:t xml:space="preserve"> and bottleneck-based access regulation</w:t>
            </w:r>
          </w:p>
        </w:tc>
        <w:tc>
          <w:tcPr>
            <w:tcW w:w="1418" w:type="dxa"/>
            <w:vAlign w:val="center"/>
            <w:hideMark/>
          </w:tcPr>
          <w:p w14:paraId="01BECFD0" w14:textId="5DF35963" w:rsidR="00A92CAC" w:rsidRPr="00D15137" w:rsidRDefault="00A92CAC" w:rsidP="00E95C07">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w:t>
            </w:r>
          </w:p>
        </w:tc>
        <w:tc>
          <w:tcPr>
            <w:tcW w:w="850" w:type="dxa"/>
            <w:vAlign w:val="center"/>
            <w:hideMark/>
          </w:tcPr>
          <w:p w14:paraId="10371557" w14:textId="5BB92206" w:rsidR="00A92CAC" w:rsidRPr="00D15137" w:rsidRDefault="00A92CAC" w:rsidP="00E95C07">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-150</w:t>
            </w:r>
          </w:p>
        </w:tc>
        <w:tc>
          <w:tcPr>
            <w:tcW w:w="851" w:type="dxa"/>
            <w:vAlign w:val="center"/>
            <w:hideMark/>
          </w:tcPr>
          <w:p w14:paraId="2C3A559E" w14:textId="306ECD5C" w:rsidR="00A92CAC" w:rsidRPr="00D15137" w:rsidRDefault="00EE3630" w:rsidP="00E95C07">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w:t>
            </w:r>
            <w:r w:rsidR="00A92CAC" w:rsidRPr="00D15137">
              <w:rPr>
                <w:noProof/>
                <w:sz w:val="16"/>
                <w:szCs w:val="16"/>
              </w:rPr>
              <w:t>14</w:t>
            </w:r>
            <w:r w:rsidR="00A907F2">
              <w:rPr>
                <w:noProof/>
                <w:sz w:val="16"/>
                <w:szCs w:val="16"/>
              </w:rPr>
              <w:t> </w:t>
            </w:r>
            <w:r w:rsidR="00A92CAC" w:rsidRPr="00D15137">
              <w:rPr>
                <w:noProof/>
                <w:sz w:val="16"/>
                <w:szCs w:val="16"/>
              </w:rPr>
              <w:t>310</w:t>
            </w:r>
            <w:r w:rsidR="00A907F2">
              <w:rPr>
                <w:noProof/>
                <w:sz w:val="16"/>
                <w:szCs w:val="16"/>
              </w:rPr>
              <w:t> </w:t>
            </w:r>
            <w:r w:rsidR="00A92CAC" w:rsidRPr="00D15137">
              <w:rPr>
                <w:noProof/>
                <w:sz w:val="16"/>
                <w:szCs w:val="16"/>
              </w:rPr>
              <w:t>000</w:t>
            </w:r>
          </w:p>
        </w:tc>
        <w:tc>
          <w:tcPr>
            <w:tcW w:w="1275" w:type="dxa"/>
            <w:vAlign w:val="center"/>
            <w:hideMark/>
          </w:tcPr>
          <w:p w14:paraId="54F362EB" w14:textId="0D9CB9FA" w:rsidR="00A92CAC" w:rsidRPr="00D15137" w:rsidRDefault="00A92CAC" w:rsidP="00E95C07">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948</w:t>
            </w:r>
          </w:p>
        </w:tc>
        <w:tc>
          <w:tcPr>
            <w:tcW w:w="993" w:type="dxa"/>
            <w:vAlign w:val="center"/>
            <w:hideMark/>
          </w:tcPr>
          <w:p w14:paraId="1826A704" w14:textId="2EE3ACCC" w:rsidR="00A92CAC" w:rsidRPr="00D15137" w:rsidRDefault="00A92CAC" w:rsidP="00E95C07">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w:t>
            </w:r>
            <w:r w:rsidR="00EE3630" w:rsidRPr="00D15137">
              <w:rPr>
                <w:noProof/>
                <w:sz w:val="16"/>
                <w:szCs w:val="16"/>
              </w:rPr>
              <w:t>1</w:t>
            </w:r>
            <w:r w:rsidR="00A907F2">
              <w:rPr>
                <w:noProof/>
                <w:sz w:val="16"/>
                <w:szCs w:val="16"/>
              </w:rPr>
              <w:t> </w:t>
            </w:r>
            <w:r w:rsidRPr="00D15137">
              <w:rPr>
                <w:noProof/>
                <w:sz w:val="16"/>
                <w:szCs w:val="16"/>
              </w:rPr>
              <w:t>224</w:t>
            </w:r>
          </w:p>
        </w:tc>
        <w:tc>
          <w:tcPr>
            <w:tcW w:w="850" w:type="dxa"/>
            <w:vAlign w:val="center"/>
          </w:tcPr>
          <w:p w14:paraId="1DE20F89" w14:textId="26608969" w:rsidR="00A92CAC" w:rsidRPr="00D15137" w:rsidRDefault="00EE3630" w:rsidP="00E95C07">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w:t>
            </w:r>
            <w:r w:rsidR="00A92CAC" w:rsidRPr="00D15137">
              <w:rPr>
                <w:noProof/>
                <w:sz w:val="16"/>
                <w:szCs w:val="16"/>
              </w:rPr>
              <w:t>116</w:t>
            </w:r>
            <w:r w:rsidR="00A907F2">
              <w:rPr>
                <w:noProof/>
                <w:sz w:val="16"/>
                <w:szCs w:val="16"/>
              </w:rPr>
              <w:t> </w:t>
            </w:r>
            <w:r w:rsidR="00A92CAC" w:rsidRPr="00D15137">
              <w:rPr>
                <w:noProof/>
                <w:sz w:val="16"/>
                <w:szCs w:val="16"/>
              </w:rPr>
              <w:t>770</w:t>
            </w:r>
          </w:p>
        </w:tc>
        <w:tc>
          <w:tcPr>
            <w:tcW w:w="1029" w:type="dxa"/>
            <w:vAlign w:val="center"/>
          </w:tcPr>
          <w:p w14:paraId="047AAE66" w14:textId="77777777" w:rsidR="00A92CAC" w:rsidRPr="00D15137" w:rsidRDefault="00A92CAC" w:rsidP="00E95C07">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rPr>
            </w:pPr>
            <w:r w:rsidRPr="00D15137">
              <w:rPr>
                <w:noProof/>
                <w:sz w:val="16"/>
                <w:szCs w:val="16"/>
              </w:rPr>
              <w:t>-56%</w:t>
            </w:r>
          </w:p>
        </w:tc>
      </w:tr>
      <w:tr w:rsidR="000A6E05" w:rsidRPr="00A757DF" w14:paraId="1DE4A4BA" w14:textId="77777777" w:rsidTr="000A6E05">
        <w:trPr>
          <w:trHeight w:val="95"/>
          <w:jc w:val="center"/>
        </w:trPr>
        <w:tc>
          <w:tcPr>
            <w:cnfStyle w:val="001000000000" w:firstRow="0" w:lastRow="0" w:firstColumn="1" w:lastColumn="0" w:oddVBand="0" w:evenVBand="0" w:oddHBand="0" w:evenHBand="0" w:firstRowFirstColumn="0" w:firstRowLastColumn="0" w:lastRowFirstColumn="0" w:lastRowLastColumn="0"/>
            <w:tcW w:w="1838" w:type="dxa"/>
            <w:vAlign w:val="center"/>
            <w:hideMark/>
          </w:tcPr>
          <w:p w14:paraId="0559B320" w14:textId="5EA33015" w:rsidR="00A92CAC" w:rsidRPr="00D15137" w:rsidRDefault="00A92CAC" w:rsidP="00764036">
            <w:pPr>
              <w:spacing w:after="0"/>
              <w:jc w:val="left"/>
              <w:rPr>
                <w:b w:val="0"/>
                <w:noProof/>
                <w:sz w:val="16"/>
                <w:szCs w:val="16"/>
                <w:lang w:eastAsia="fr-BE"/>
              </w:rPr>
            </w:pPr>
            <w:r w:rsidRPr="00D15137">
              <w:rPr>
                <w:noProof/>
                <w:sz w:val="16"/>
                <w:szCs w:val="16"/>
                <w:lang w:eastAsia="fr-BE"/>
              </w:rPr>
              <w:t xml:space="preserve">Option 4: </w:t>
            </w:r>
            <w:r w:rsidR="00F560D0" w:rsidRPr="00F560D0">
              <w:rPr>
                <w:noProof/>
                <w:sz w:val="16"/>
                <w:szCs w:val="16"/>
                <w:lang w:eastAsia="fr-BE"/>
              </w:rPr>
              <w:t xml:space="preserve">Mandatory </w:t>
            </w:r>
            <w:r w:rsidR="00F560D0">
              <w:rPr>
                <w:noProof/>
                <w:sz w:val="16"/>
                <w:szCs w:val="16"/>
                <w:lang w:eastAsia="fr-BE"/>
              </w:rPr>
              <w:t>CSO</w:t>
            </w:r>
            <w:r w:rsidR="00F560D0" w:rsidRPr="00F560D0">
              <w:rPr>
                <w:noProof/>
                <w:sz w:val="16"/>
                <w:szCs w:val="16"/>
                <w:lang w:eastAsia="fr-BE"/>
              </w:rPr>
              <w:t xml:space="preserve"> and symmetric regulation</w:t>
            </w:r>
          </w:p>
        </w:tc>
        <w:tc>
          <w:tcPr>
            <w:tcW w:w="1418" w:type="dxa"/>
            <w:vAlign w:val="center"/>
            <w:hideMark/>
          </w:tcPr>
          <w:p w14:paraId="5D397B4F" w14:textId="04FA9D3B"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944</w:t>
            </w:r>
          </w:p>
        </w:tc>
        <w:tc>
          <w:tcPr>
            <w:tcW w:w="850" w:type="dxa"/>
            <w:vAlign w:val="center"/>
            <w:hideMark/>
          </w:tcPr>
          <w:p w14:paraId="013C77BF" w14:textId="1D6E9C9A"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794</w:t>
            </w:r>
          </w:p>
        </w:tc>
        <w:tc>
          <w:tcPr>
            <w:tcW w:w="851" w:type="dxa"/>
            <w:vAlign w:val="center"/>
            <w:hideMark/>
          </w:tcPr>
          <w:p w14:paraId="07CA7909" w14:textId="09B07DF4"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75</w:t>
            </w:r>
            <w:r w:rsidR="00A907F2">
              <w:rPr>
                <w:noProof/>
                <w:sz w:val="16"/>
                <w:szCs w:val="16"/>
              </w:rPr>
              <w:t> </w:t>
            </w:r>
            <w:r w:rsidRPr="00D15137">
              <w:rPr>
                <w:noProof/>
                <w:sz w:val="16"/>
                <w:szCs w:val="16"/>
              </w:rPr>
              <w:t>699</w:t>
            </w:r>
            <w:r w:rsidR="00A907F2">
              <w:rPr>
                <w:noProof/>
                <w:sz w:val="16"/>
                <w:szCs w:val="16"/>
              </w:rPr>
              <w:t> </w:t>
            </w:r>
            <w:r w:rsidRPr="00D15137">
              <w:rPr>
                <w:noProof/>
                <w:sz w:val="16"/>
                <w:szCs w:val="16"/>
              </w:rPr>
              <w:t>900</w:t>
            </w:r>
          </w:p>
        </w:tc>
        <w:tc>
          <w:tcPr>
            <w:tcW w:w="1275" w:type="dxa"/>
            <w:vAlign w:val="center"/>
            <w:hideMark/>
          </w:tcPr>
          <w:p w14:paraId="7D920CE8" w14:textId="77DB9EB4"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2</w:t>
            </w:r>
            <w:r w:rsidR="00A907F2">
              <w:rPr>
                <w:noProof/>
                <w:sz w:val="16"/>
                <w:szCs w:val="16"/>
              </w:rPr>
              <w:t> </w:t>
            </w:r>
            <w:r w:rsidRPr="00D15137">
              <w:rPr>
                <w:noProof/>
                <w:sz w:val="16"/>
                <w:szCs w:val="16"/>
              </w:rPr>
              <w:t>939</w:t>
            </w:r>
          </w:p>
        </w:tc>
        <w:tc>
          <w:tcPr>
            <w:tcW w:w="993" w:type="dxa"/>
            <w:vAlign w:val="center"/>
            <w:hideMark/>
          </w:tcPr>
          <w:p w14:paraId="6706264A" w14:textId="20837EAD"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767</w:t>
            </w:r>
          </w:p>
        </w:tc>
        <w:tc>
          <w:tcPr>
            <w:tcW w:w="850" w:type="dxa"/>
            <w:noWrap/>
            <w:vAlign w:val="center"/>
          </w:tcPr>
          <w:p w14:paraId="71F7CCCE" w14:textId="08805E4C"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15137">
              <w:rPr>
                <w:noProof/>
                <w:sz w:val="16"/>
                <w:szCs w:val="16"/>
              </w:rPr>
              <w:t>73</w:t>
            </w:r>
            <w:r w:rsidR="00A907F2">
              <w:rPr>
                <w:noProof/>
                <w:sz w:val="16"/>
                <w:szCs w:val="16"/>
              </w:rPr>
              <w:t> </w:t>
            </w:r>
            <w:r w:rsidRPr="00D15137">
              <w:rPr>
                <w:noProof/>
                <w:sz w:val="16"/>
                <w:szCs w:val="16"/>
              </w:rPr>
              <w:t>124</w:t>
            </w:r>
          </w:p>
        </w:tc>
        <w:tc>
          <w:tcPr>
            <w:tcW w:w="1029" w:type="dxa"/>
            <w:vAlign w:val="center"/>
          </w:tcPr>
          <w:p w14:paraId="4A78F891" w14:textId="77777777" w:rsidR="00A92CAC" w:rsidRPr="00D15137" w:rsidRDefault="00A92CAC" w:rsidP="008B4E05">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rPr>
            </w:pPr>
            <w:r w:rsidRPr="00D15137">
              <w:rPr>
                <w:noProof/>
                <w:sz w:val="16"/>
                <w:szCs w:val="16"/>
              </w:rPr>
              <w:t>35%</w:t>
            </w:r>
          </w:p>
        </w:tc>
      </w:tr>
    </w:tbl>
    <w:p w14:paraId="67902313" w14:textId="19550E70" w:rsidR="00A92CAC" w:rsidRPr="00D15137" w:rsidRDefault="00A92CAC" w:rsidP="00A92CAC">
      <w:pPr>
        <w:pStyle w:val="Tabberschrift"/>
        <w:ind w:left="0" w:firstLine="0"/>
        <w:rPr>
          <w:rFonts w:ascii="Times New Roman" w:hAnsi="Times New Roman"/>
          <w:i/>
          <w:noProof/>
        </w:rPr>
      </w:pPr>
      <w:r w:rsidRPr="00D21BA2">
        <w:rPr>
          <w:rFonts w:ascii="Times New Roman" w:hAnsi="Times New Roman"/>
          <w:i/>
          <w:noProof/>
        </w:rPr>
        <w:t xml:space="preserve">Source: </w:t>
      </w:r>
      <w:r w:rsidR="00C62EE5" w:rsidRPr="00D21BA2">
        <w:rPr>
          <w:rFonts w:ascii="Times New Roman" w:hAnsi="Times New Roman"/>
          <w:i/>
          <w:noProof/>
        </w:rPr>
        <w:t>Study on Access Regulation</w:t>
      </w:r>
      <w:r w:rsidRPr="00D15137">
        <w:rPr>
          <w:rFonts w:ascii="Times New Roman" w:hAnsi="Times New Roman"/>
          <w:i/>
          <w:noProof/>
        </w:rPr>
        <w:t xml:space="preserve"> </w:t>
      </w:r>
    </w:p>
    <w:p w14:paraId="62EA498B" w14:textId="0BFB3B95" w:rsidR="006115A7" w:rsidRPr="00CB7A28" w:rsidRDefault="00E36EDF" w:rsidP="00DE7CC1">
      <w:pPr>
        <w:spacing w:line="240" w:lineRule="auto"/>
        <w:rPr>
          <w:rFonts w:eastAsia="Times New Roman"/>
          <w:noProof/>
          <w:color w:val="000000" w:themeColor="text1"/>
          <w:lang w:val="en-IE"/>
        </w:rPr>
      </w:pPr>
      <w:r w:rsidRPr="00D15137">
        <w:rPr>
          <w:rFonts w:eastAsia="Times New Roman"/>
          <w:noProof/>
          <w:color w:val="000000" w:themeColor="text1"/>
          <w:lang w:val="en-IE"/>
        </w:rPr>
        <w:t xml:space="preserve">It is worth noting that </w:t>
      </w:r>
      <w:r w:rsidR="0004313E" w:rsidRPr="00D15137">
        <w:rPr>
          <w:rFonts w:eastAsia="Times New Roman"/>
          <w:noProof/>
          <w:color w:val="000000" w:themeColor="text1"/>
          <w:lang w:val="en-IE"/>
        </w:rPr>
        <w:t>option 3 has a very positive impact on both one off and recurring costs</w:t>
      </w:r>
      <w:r w:rsidR="00646D8F" w:rsidRPr="00D15137">
        <w:rPr>
          <w:rFonts w:eastAsia="Times New Roman"/>
          <w:noProof/>
          <w:color w:val="000000" w:themeColor="text1"/>
          <w:lang w:val="en-IE"/>
        </w:rPr>
        <w:t>, as it results to significant reduction for both</w:t>
      </w:r>
      <w:r w:rsidR="00376B72" w:rsidRPr="00D15137">
        <w:rPr>
          <w:rFonts w:eastAsia="Times New Roman"/>
          <w:noProof/>
          <w:color w:val="000000" w:themeColor="text1"/>
          <w:lang w:val="en-IE"/>
        </w:rPr>
        <w:t xml:space="preserve"> (</w:t>
      </w:r>
      <w:r w:rsidR="00E95C07" w:rsidRPr="00D15137">
        <w:rPr>
          <w:rFonts w:eastAsia="Times New Roman"/>
          <w:noProof/>
          <w:color w:val="000000" w:themeColor="text1"/>
          <w:lang w:val="en-IE"/>
        </w:rPr>
        <w:t>EUR </w:t>
      </w:r>
      <w:r w:rsidR="004F4381" w:rsidRPr="00D15137">
        <w:rPr>
          <w:rFonts w:eastAsia="Times New Roman"/>
          <w:noProof/>
          <w:color w:val="000000" w:themeColor="text1"/>
          <w:lang w:val="en-IE"/>
        </w:rPr>
        <w:t xml:space="preserve">130 </w:t>
      </w:r>
      <w:r w:rsidR="00E95C07" w:rsidRPr="00D15137">
        <w:rPr>
          <w:rFonts w:eastAsia="Times New Roman"/>
          <w:noProof/>
          <w:color w:val="000000" w:themeColor="text1"/>
          <w:lang w:val="en-IE"/>
        </w:rPr>
        <w:t>million</w:t>
      </w:r>
      <w:r w:rsidR="004F4381" w:rsidRPr="00D15137">
        <w:rPr>
          <w:rFonts w:eastAsia="Times New Roman"/>
          <w:noProof/>
          <w:color w:val="000000" w:themeColor="text1"/>
          <w:lang w:val="en-IE"/>
        </w:rPr>
        <w:t>)</w:t>
      </w:r>
      <w:r w:rsidR="00646D8F" w:rsidRPr="00D15137">
        <w:rPr>
          <w:rFonts w:eastAsia="Times New Roman"/>
          <w:noProof/>
          <w:color w:val="000000" w:themeColor="text1"/>
          <w:lang w:val="en-IE"/>
        </w:rPr>
        <w:t>. All other option</w:t>
      </w:r>
      <w:r w:rsidR="004F4381" w:rsidRPr="00D15137">
        <w:rPr>
          <w:rFonts w:eastAsia="Times New Roman"/>
          <w:noProof/>
          <w:color w:val="000000" w:themeColor="text1"/>
          <w:lang w:val="en-IE"/>
        </w:rPr>
        <w:t>s</w:t>
      </w:r>
      <w:r w:rsidR="00646D8F" w:rsidRPr="00D15137">
        <w:rPr>
          <w:rFonts w:eastAsia="Times New Roman"/>
          <w:noProof/>
          <w:color w:val="000000" w:themeColor="text1"/>
          <w:lang w:val="en-IE"/>
        </w:rPr>
        <w:t xml:space="preserve"> are “more expensive” from </w:t>
      </w:r>
      <w:r w:rsidR="005E5AE5" w:rsidRPr="00D15137">
        <w:rPr>
          <w:rFonts w:eastAsia="Times New Roman"/>
          <w:noProof/>
          <w:color w:val="000000" w:themeColor="text1"/>
          <w:lang w:val="en-IE"/>
        </w:rPr>
        <w:t>the baseline scenario</w:t>
      </w:r>
      <w:r w:rsidR="00A96358" w:rsidRPr="00D15137">
        <w:rPr>
          <w:rFonts w:eastAsia="Times New Roman"/>
          <w:noProof/>
          <w:color w:val="000000" w:themeColor="text1"/>
          <w:lang w:val="en-IE"/>
        </w:rPr>
        <w:t xml:space="preserve">, as their additional total costs range from approximately </w:t>
      </w:r>
      <w:r w:rsidR="00E95C07" w:rsidRPr="00D15137">
        <w:rPr>
          <w:rFonts w:eastAsia="Times New Roman"/>
          <w:noProof/>
          <w:color w:val="000000" w:themeColor="text1"/>
          <w:lang w:val="en-IE"/>
        </w:rPr>
        <w:t>EUR </w:t>
      </w:r>
      <w:r w:rsidR="00837BBA" w:rsidRPr="00D15137">
        <w:rPr>
          <w:rFonts w:eastAsia="Times New Roman"/>
          <w:noProof/>
          <w:color w:val="000000" w:themeColor="text1"/>
          <w:lang w:val="en-IE"/>
        </w:rPr>
        <w:t>40</w:t>
      </w:r>
      <w:r w:rsidR="00E95C07" w:rsidRPr="00D15137">
        <w:rPr>
          <w:rFonts w:eastAsia="Times New Roman"/>
          <w:noProof/>
          <w:color w:val="000000" w:themeColor="text1"/>
          <w:lang w:val="en-IE"/>
        </w:rPr>
        <w:t xml:space="preserve"> million</w:t>
      </w:r>
      <w:r w:rsidR="00837BBA" w:rsidRPr="00D15137">
        <w:rPr>
          <w:rFonts w:eastAsia="Times New Roman"/>
          <w:noProof/>
          <w:color w:val="000000" w:themeColor="text1"/>
          <w:lang w:val="en-IE"/>
        </w:rPr>
        <w:t xml:space="preserve"> for option 1 to </w:t>
      </w:r>
      <w:r w:rsidR="00F25AC9" w:rsidRPr="00D15137">
        <w:rPr>
          <w:rFonts w:eastAsia="Times New Roman"/>
          <w:noProof/>
          <w:color w:val="000000" w:themeColor="text1"/>
          <w:lang w:val="en-IE"/>
        </w:rPr>
        <w:t xml:space="preserve">almost </w:t>
      </w:r>
      <w:r w:rsidR="00E95C07" w:rsidRPr="00D15137">
        <w:rPr>
          <w:rFonts w:eastAsia="Times New Roman"/>
          <w:noProof/>
          <w:color w:val="000000" w:themeColor="text1"/>
          <w:lang w:val="en-IE"/>
        </w:rPr>
        <w:t>EUR </w:t>
      </w:r>
      <w:r w:rsidR="00F25AC9" w:rsidRPr="00D15137">
        <w:rPr>
          <w:rFonts w:eastAsia="Times New Roman"/>
          <w:noProof/>
          <w:color w:val="000000" w:themeColor="text1"/>
          <w:lang w:val="en-IE"/>
        </w:rPr>
        <w:t>150</w:t>
      </w:r>
      <w:r w:rsidR="00E95C07" w:rsidRPr="00D15137">
        <w:rPr>
          <w:rFonts w:eastAsia="Times New Roman"/>
          <w:noProof/>
          <w:color w:val="000000" w:themeColor="text1"/>
          <w:lang w:val="en-IE"/>
        </w:rPr>
        <w:t xml:space="preserve"> million </w:t>
      </w:r>
      <w:r w:rsidR="00F25AC9" w:rsidRPr="00D15137">
        <w:rPr>
          <w:rFonts w:eastAsia="Times New Roman"/>
          <w:noProof/>
          <w:color w:val="000000" w:themeColor="text1"/>
          <w:lang w:val="en-IE"/>
        </w:rPr>
        <w:t xml:space="preserve">for option 3, with option 2 </w:t>
      </w:r>
      <w:r w:rsidR="00877709" w:rsidRPr="00D15137">
        <w:rPr>
          <w:rFonts w:eastAsia="Times New Roman"/>
          <w:noProof/>
          <w:color w:val="000000" w:themeColor="text1"/>
          <w:lang w:val="en-IE"/>
        </w:rPr>
        <w:t>lying</w:t>
      </w:r>
      <w:r w:rsidR="00F25AC9" w:rsidRPr="00D15137">
        <w:rPr>
          <w:rFonts w:eastAsia="Times New Roman"/>
          <w:noProof/>
          <w:color w:val="000000" w:themeColor="text1"/>
          <w:lang w:val="en-IE"/>
        </w:rPr>
        <w:t xml:space="preserve"> </w:t>
      </w:r>
      <w:r w:rsidR="00E95C07" w:rsidRPr="00D15137">
        <w:rPr>
          <w:rFonts w:eastAsia="Times New Roman"/>
          <w:noProof/>
          <w:color w:val="000000" w:themeColor="text1"/>
          <w:lang w:val="en-IE"/>
        </w:rPr>
        <w:t>in-</w:t>
      </w:r>
      <w:r w:rsidR="00F25AC9" w:rsidRPr="00D15137">
        <w:rPr>
          <w:rFonts w:eastAsia="Times New Roman"/>
          <w:noProof/>
          <w:color w:val="000000" w:themeColor="text1"/>
          <w:lang w:val="en-IE"/>
        </w:rPr>
        <w:t xml:space="preserve">between </w:t>
      </w:r>
      <w:r w:rsidR="00E95C07" w:rsidRPr="00D15137">
        <w:rPr>
          <w:rFonts w:eastAsia="Times New Roman"/>
          <w:noProof/>
          <w:color w:val="000000" w:themeColor="text1"/>
          <w:lang w:val="en-IE"/>
        </w:rPr>
        <w:t>at EUR </w:t>
      </w:r>
      <w:r w:rsidR="00877709" w:rsidRPr="00D15137">
        <w:rPr>
          <w:rFonts w:eastAsia="Times New Roman"/>
          <w:noProof/>
          <w:color w:val="000000" w:themeColor="text1"/>
          <w:lang w:val="en-IE"/>
        </w:rPr>
        <w:t>110</w:t>
      </w:r>
      <w:r w:rsidR="00E95C07" w:rsidRPr="00D15137">
        <w:rPr>
          <w:rFonts w:eastAsia="Times New Roman"/>
          <w:noProof/>
          <w:color w:val="000000" w:themeColor="text1"/>
          <w:lang w:val="en-IE"/>
        </w:rPr>
        <w:t xml:space="preserve"> million</w:t>
      </w:r>
      <w:r w:rsidR="00877709" w:rsidRPr="00D15137">
        <w:rPr>
          <w:rFonts w:eastAsia="Times New Roman"/>
          <w:noProof/>
          <w:color w:val="000000" w:themeColor="text1"/>
          <w:lang w:val="en-IE"/>
        </w:rPr>
        <w:t>.</w:t>
      </w:r>
      <w:r w:rsidR="007D62CF">
        <w:rPr>
          <w:rFonts w:eastAsia="Times New Roman"/>
          <w:noProof/>
          <w:color w:val="000000" w:themeColor="text1"/>
          <w:lang w:val="en-IE"/>
        </w:rPr>
        <w:t xml:space="preserve"> </w:t>
      </w:r>
    </w:p>
    <w:p w14:paraId="3A4B9189" w14:textId="1A329CFF" w:rsidR="00746483" w:rsidRPr="00DE264C" w:rsidRDefault="00746483" w:rsidP="00DE7CC1">
      <w:pPr>
        <w:pStyle w:val="CommentText"/>
        <w:spacing w:before="120" w:after="120" w:line="240" w:lineRule="auto"/>
        <w:rPr>
          <w:noProof/>
          <w:sz w:val="24"/>
        </w:rPr>
      </w:pPr>
      <w:r w:rsidRPr="00DE264C">
        <w:rPr>
          <w:noProof/>
          <w:sz w:val="24"/>
        </w:rPr>
        <w:t xml:space="preserve">Option 1 will result in low one-off and recurring direct costs and minimal indirect costs. The improvements in coverage, penetration, and speeds are modest, but there are some gains in GDP and CO2 emissions. This option is a middle-ground approach, providing some benefits without significant disruptions </w:t>
      </w:r>
    </w:p>
    <w:p w14:paraId="001B1402" w14:textId="53C4C603" w:rsidR="00746483" w:rsidRPr="00DE264C" w:rsidRDefault="00746483" w:rsidP="00DE7CC1">
      <w:pPr>
        <w:pStyle w:val="bullettext"/>
        <w:numPr>
          <w:ilvl w:val="0"/>
          <w:numId w:val="0"/>
        </w:numPr>
        <w:spacing w:before="0" w:after="240" w:line="240" w:lineRule="auto"/>
        <w:rPr>
          <w:rFonts w:ascii="Times New Roman" w:hAnsi="Times New Roman"/>
          <w:sz w:val="24"/>
        </w:rPr>
      </w:pPr>
      <w:r w:rsidRPr="00DE264C">
        <w:rPr>
          <w:rFonts w:ascii="Times New Roman" w:hAnsi="Times New Roman"/>
          <w:sz w:val="24"/>
        </w:rPr>
        <w:t>Option 2 will result in moderate one-off and recurring direct costs and high indirect costs. It also has high impact on coverage, penetration, and speed improvements, along with notable gains in GDP and CO2 emissions. This option is balancing high costs with high benefits.</w:t>
      </w:r>
    </w:p>
    <w:p w14:paraId="29DB3F09" w14:textId="77777777" w:rsidR="00746483" w:rsidRPr="00DE264C" w:rsidRDefault="00746483" w:rsidP="00DE7CC1">
      <w:pPr>
        <w:pStyle w:val="bullettext"/>
        <w:numPr>
          <w:ilvl w:val="0"/>
          <w:numId w:val="0"/>
        </w:numPr>
        <w:spacing w:before="0" w:after="240" w:line="240" w:lineRule="auto"/>
        <w:rPr>
          <w:rFonts w:ascii="Times New Roman" w:hAnsi="Times New Roman"/>
          <w:sz w:val="24"/>
        </w:rPr>
      </w:pPr>
      <w:r w:rsidRPr="00DE264C">
        <w:rPr>
          <w:rFonts w:ascii="Times New Roman" w:hAnsi="Times New Roman"/>
          <w:sz w:val="24"/>
        </w:rPr>
        <w:t xml:space="preserve">Option 3 would lead to the lowest direct costs but high indirect costs due to investor uncertainty and reduced competition. The benefits in terms of coverage, penetration, and speeds are modest, with minimal impacts on GDP and CO2 emissions. </w:t>
      </w:r>
    </w:p>
    <w:p w14:paraId="5B0DF97C" w14:textId="5A60D33B" w:rsidR="00746483" w:rsidRPr="00DE264C" w:rsidRDefault="00746483" w:rsidP="00DE7CC1">
      <w:pPr>
        <w:pStyle w:val="bullettext"/>
        <w:numPr>
          <w:ilvl w:val="0"/>
          <w:numId w:val="0"/>
        </w:numPr>
        <w:spacing w:before="0" w:after="240" w:line="240" w:lineRule="auto"/>
        <w:rPr>
          <w:rFonts w:ascii="Times New Roman" w:hAnsi="Times New Roman"/>
          <w:sz w:val="24"/>
        </w:rPr>
      </w:pPr>
      <w:r w:rsidRPr="00DE264C">
        <w:rPr>
          <w:rFonts w:ascii="Times New Roman" w:hAnsi="Times New Roman"/>
          <w:sz w:val="24"/>
        </w:rPr>
        <w:t>Option 4 will result in high one-off and recurring direct costs and significant indirect costs. It offers the highest benefits in terms of penetration, GDP and CO2 emissions. This option is would be the most effective, but also the most costly and disruptive</w:t>
      </w:r>
      <w:r w:rsidR="000F65A9" w:rsidRPr="00DE264C">
        <w:rPr>
          <w:rFonts w:ascii="Times New Roman" w:hAnsi="Times New Roman"/>
          <w:sz w:val="24"/>
        </w:rPr>
        <w:t>.</w:t>
      </w:r>
      <w:r w:rsidRPr="00DE264C">
        <w:rPr>
          <w:rFonts w:ascii="Times New Roman" w:hAnsi="Times New Roman"/>
          <w:sz w:val="24"/>
        </w:rPr>
        <w:t xml:space="preserve"> </w:t>
      </w:r>
    </w:p>
    <w:p w14:paraId="09682326" w14:textId="443C37C7" w:rsidR="00384E9D" w:rsidRPr="00DE264C" w:rsidRDefault="00384E9D" w:rsidP="00DE7CC1">
      <w:pPr>
        <w:spacing w:line="240" w:lineRule="auto"/>
        <w:rPr>
          <w:rFonts w:eastAsia="Calibri"/>
          <w:bCs/>
          <w:noProof/>
        </w:rPr>
      </w:pPr>
      <w:r w:rsidRPr="00DE264C">
        <w:rPr>
          <w:rFonts w:eastAsia="Calibri"/>
          <w:bCs/>
          <w:noProof/>
        </w:rPr>
        <w:t xml:space="preserve">In summary, </w:t>
      </w:r>
      <w:r w:rsidR="001209D8">
        <w:rPr>
          <w:rFonts w:eastAsia="Calibri"/>
          <w:bCs/>
          <w:noProof/>
        </w:rPr>
        <w:t>o</w:t>
      </w:r>
      <w:r w:rsidRPr="00DE264C">
        <w:rPr>
          <w:rFonts w:eastAsia="Calibri"/>
          <w:bCs/>
          <w:noProof/>
        </w:rPr>
        <w:t xml:space="preserve">ption 2 provides the highest GDP growth and significant environmental benefits, while </w:t>
      </w:r>
      <w:r w:rsidR="00AD6687">
        <w:rPr>
          <w:rFonts w:eastAsia="Calibri"/>
          <w:bCs/>
          <w:noProof/>
        </w:rPr>
        <w:t>o</w:t>
      </w:r>
      <w:r w:rsidRPr="00DE264C">
        <w:rPr>
          <w:rFonts w:eastAsia="Calibri"/>
          <w:bCs/>
          <w:noProof/>
        </w:rPr>
        <w:t xml:space="preserve">ption 4 offers the best FTTH coverage and take-up but with stronger intervention. </w:t>
      </w:r>
      <w:r w:rsidR="00AD6687">
        <w:rPr>
          <w:rFonts w:eastAsia="Calibri"/>
          <w:bCs/>
          <w:noProof/>
        </w:rPr>
        <w:t>o</w:t>
      </w:r>
      <w:r w:rsidRPr="00DE264C">
        <w:rPr>
          <w:rFonts w:eastAsia="Calibri"/>
          <w:bCs/>
          <w:noProof/>
        </w:rPr>
        <w:t xml:space="preserve">ption 3 is the least economically beneficial and has minimal environmental impact, and </w:t>
      </w:r>
      <w:r w:rsidR="00AD6687">
        <w:rPr>
          <w:rFonts w:eastAsia="Calibri"/>
          <w:bCs/>
          <w:noProof/>
        </w:rPr>
        <w:t>o</w:t>
      </w:r>
      <w:r w:rsidRPr="00DE264C">
        <w:rPr>
          <w:rFonts w:eastAsia="Calibri"/>
          <w:bCs/>
          <w:noProof/>
        </w:rPr>
        <w:t>ption 1 maintains the status quo with minimal interference in business operations.</w:t>
      </w:r>
    </w:p>
    <w:p w14:paraId="745D42E4" w14:textId="2F56B469" w:rsidR="001769BE" w:rsidRPr="00DE264C" w:rsidRDefault="001769BE" w:rsidP="00DE7CC1">
      <w:pPr>
        <w:spacing w:line="240" w:lineRule="auto"/>
        <w:rPr>
          <w:b/>
          <w:noProof/>
          <w:u w:val="single"/>
          <w:lang w:val="en-IE"/>
        </w:rPr>
      </w:pPr>
      <w:r w:rsidRPr="00940F69">
        <w:rPr>
          <w:b/>
          <w:noProof/>
          <w:u w:val="single"/>
        </w:rPr>
        <w:t>Stakeholders’ feedback</w:t>
      </w:r>
    </w:p>
    <w:p w14:paraId="38DC0F87" w14:textId="7DBAA243" w:rsidR="001769BE" w:rsidRPr="00DE264C" w:rsidRDefault="001769BE" w:rsidP="00DE7CC1">
      <w:pPr>
        <w:spacing w:line="240" w:lineRule="auto"/>
        <w:rPr>
          <w:noProof/>
        </w:rPr>
      </w:pPr>
      <w:r w:rsidRPr="00DE264C">
        <w:rPr>
          <w:noProof/>
        </w:rPr>
        <w:t xml:space="preserve">The acceleration of the </w:t>
      </w:r>
      <w:r w:rsidRPr="00DE264C">
        <w:rPr>
          <w:b/>
          <w:noProof/>
        </w:rPr>
        <w:t>copper switch-off</w:t>
      </w:r>
      <w:r w:rsidRPr="00DE264C">
        <w:rPr>
          <w:noProof/>
        </w:rPr>
        <w:t xml:space="preserve"> process is mainly supported by alternative fibre companies which favour binding copper switch-off deadlines. Financial investors point to ongoing losses by fibre companies and challenges to achieve take-up targets due to the persistence of legacy copper networks. Incumbents are favouring non-binding targets. Business associations are largely against a mandatory copper switch-off date. Public authorities express support facilitating the copper switch-off but mostly argue for a nuanced approach. BEREC considers the suggested date </w:t>
      </w:r>
      <w:r w:rsidR="02947E8C" w:rsidRPr="00DE264C">
        <w:rPr>
          <w:noProof/>
        </w:rPr>
        <w:t xml:space="preserve">of 2030 for completing copper switch off </w:t>
      </w:r>
      <w:r w:rsidRPr="00DE264C">
        <w:rPr>
          <w:noProof/>
        </w:rPr>
        <w:t>“overly ambitious”.</w:t>
      </w:r>
    </w:p>
    <w:p w14:paraId="6D4C7AB1" w14:textId="7353C722" w:rsidR="001769BE" w:rsidRPr="00DE264C" w:rsidRDefault="001769BE" w:rsidP="00DE7CC1">
      <w:pPr>
        <w:spacing w:line="240" w:lineRule="auto"/>
        <w:rPr>
          <w:noProof/>
        </w:rPr>
      </w:pPr>
      <w:r w:rsidRPr="00DE264C">
        <w:rPr>
          <w:noProof/>
        </w:rPr>
        <w:t xml:space="preserve">The stakeholders’ feedback </w:t>
      </w:r>
      <w:r w:rsidRPr="00DE264C">
        <w:rPr>
          <w:b/>
          <w:noProof/>
        </w:rPr>
        <w:t>on in-building fibre wiring</w:t>
      </w:r>
      <w:r w:rsidRPr="00DE264C">
        <w:rPr>
          <w:noProof/>
        </w:rPr>
        <w:t xml:space="preserve"> shows that alternative fibre investors favour the inclusion of the in-building fibre wiring in the definition of VHCN. In contrast,</w:t>
      </w:r>
      <w:r>
        <w:rPr>
          <w:noProof/>
        </w:rPr>
        <w:t xml:space="preserve"> </w:t>
      </w:r>
      <w:r w:rsidR="664EDE4F">
        <w:rPr>
          <w:noProof/>
        </w:rPr>
        <w:t>some</w:t>
      </w:r>
      <w:r w:rsidRPr="00DE264C">
        <w:rPr>
          <w:noProof/>
        </w:rPr>
        <w:t xml:space="preserve"> incumbent operators and alternative operators consider the costs of extending the definition of VHCN to cover in-building fibre wiring to exceed the benefits. </w:t>
      </w:r>
      <w:r w:rsidR="0082017D" w:rsidRPr="00DE264C">
        <w:rPr>
          <w:noProof/>
        </w:rPr>
        <w:t xml:space="preserve">Yet, </w:t>
      </w:r>
      <w:r w:rsidR="005604D2" w:rsidRPr="00DE264C">
        <w:rPr>
          <w:noProof/>
        </w:rPr>
        <w:t>as indicated in the Evaluation Report (Annex</w:t>
      </w:r>
      <w:r w:rsidR="00A907F2">
        <w:rPr>
          <w:noProof/>
        </w:rPr>
        <w:t> </w:t>
      </w:r>
      <w:r w:rsidR="005604D2" w:rsidRPr="00DE264C">
        <w:rPr>
          <w:noProof/>
        </w:rPr>
        <w:t>11),</w:t>
      </w:r>
      <w:r w:rsidR="0082017D" w:rsidRPr="00DE264C">
        <w:rPr>
          <w:noProof/>
        </w:rPr>
        <w:t xml:space="preserve"> </w:t>
      </w:r>
      <w:r w:rsidR="006E6138" w:rsidRPr="00DE264C">
        <w:rPr>
          <w:noProof/>
        </w:rPr>
        <w:t>eight NRAs,</w:t>
      </w:r>
      <w:r w:rsidR="00384CA4" w:rsidRPr="00DE264C">
        <w:rPr>
          <w:noProof/>
        </w:rPr>
        <w:t xml:space="preserve"> decided to regulate </w:t>
      </w:r>
      <w:r w:rsidR="00F24DB1" w:rsidRPr="00DE264C">
        <w:rPr>
          <w:noProof/>
        </w:rPr>
        <w:t>access to in-building wiring</w:t>
      </w:r>
      <w:r w:rsidR="00985B99" w:rsidRPr="00DE264C">
        <w:rPr>
          <w:noProof/>
        </w:rPr>
        <w:t xml:space="preserve"> (which is done at request of operators)</w:t>
      </w:r>
      <w:r w:rsidR="005604D2" w:rsidRPr="00DE264C">
        <w:rPr>
          <w:noProof/>
        </w:rPr>
        <w:t>.</w:t>
      </w:r>
      <w:r w:rsidR="00DB7BEB">
        <w:rPr>
          <w:noProof/>
        </w:rPr>
        <w:t xml:space="preserve"> </w:t>
      </w:r>
      <w:r w:rsidRPr="00DE264C">
        <w:rPr>
          <w:noProof/>
        </w:rPr>
        <w:t>Consumer protection organizations have a more balanced view, with a slight preference towards including in-building fibre in the definition of VHCN.</w:t>
      </w:r>
    </w:p>
    <w:p w14:paraId="2A0BD189" w14:textId="6C6FADAA" w:rsidR="001769BE" w:rsidRPr="00DE264C" w:rsidRDefault="001769BE" w:rsidP="00DE7CC1">
      <w:pPr>
        <w:spacing w:line="240" w:lineRule="auto"/>
        <w:rPr>
          <w:noProof/>
        </w:rPr>
      </w:pPr>
      <w:r w:rsidRPr="00DE264C">
        <w:rPr>
          <w:noProof/>
        </w:rPr>
        <w:t xml:space="preserve">The stakeholders' feedback on the </w:t>
      </w:r>
      <w:r w:rsidRPr="00DE264C">
        <w:rPr>
          <w:b/>
          <w:noProof/>
        </w:rPr>
        <w:t>removal of rarely used provisions</w:t>
      </w:r>
      <w:r w:rsidRPr="00DE264C">
        <w:rPr>
          <w:noProof/>
        </w:rPr>
        <w:t xml:space="preserve"> shows that 50% of NRAs and 62% of alternative operators favour removing Article</w:t>
      </w:r>
      <w:r w:rsidR="00A907F2">
        <w:rPr>
          <w:noProof/>
        </w:rPr>
        <w:t> </w:t>
      </w:r>
      <w:r w:rsidRPr="00DE264C">
        <w:rPr>
          <w:noProof/>
        </w:rPr>
        <w:t>76 (co-investment). 35% of NRAs and 57% of alternative operators consider removing wholesale-only provisions (Article</w:t>
      </w:r>
      <w:r w:rsidR="00A907F2">
        <w:rPr>
          <w:noProof/>
        </w:rPr>
        <w:t> </w:t>
      </w:r>
      <w:r w:rsidRPr="00DE264C">
        <w:rPr>
          <w:noProof/>
        </w:rPr>
        <w:t>80). While some incumbents and fibre investors consider that provisions regarding functional separation (Article</w:t>
      </w:r>
      <w:r w:rsidR="00A907F2">
        <w:rPr>
          <w:noProof/>
        </w:rPr>
        <w:t> </w:t>
      </w:r>
      <w:r w:rsidRPr="00DE264C">
        <w:rPr>
          <w:noProof/>
        </w:rPr>
        <w:t>77) could be removed, this is opposed by NRAs, consumer protection authorities and alternative operators.</w:t>
      </w:r>
    </w:p>
    <w:p w14:paraId="22724AB7" w14:textId="31EEAB17" w:rsidR="001769BE" w:rsidRPr="00DE264C" w:rsidRDefault="001769BE" w:rsidP="00DE7CC1">
      <w:pPr>
        <w:spacing w:line="240" w:lineRule="auto"/>
        <w:rPr>
          <w:noProof/>
        </w:rPr>
      </w:pPr>
      <w:r w:rsidRPr="00DE264C">
        <w:rPr>
          <w:noProof/>
        </w:rPr>
        <w:t xml:space="preserve">The feedback on the </w:t>
      </w:r>
      <w:r w:rsidRPr="00DE264C">
        <w:rPr>
          <w:b/>
          <w:noProof/>
        </w:rPr>
        <w:t>EU-wide wholesale product</w:t>
      </w:r>
      <w:r w:rsidRPr="00DE264C">
        <w:rPr>
          <w:noProof/>
        </w:rPr>
        <w:t xml:space="preserve"> indicates that stakeholders specialized in the provision of services to multi-national businesses confirm its value in supporting cross-border service provision. Other stakeholders, which are more focused on national service provision, suggest that the impact of standardised wholesale characteristics on cross-border provision in multiple countries would be limited. Some NRAs and national competent authorities signal that there could be some value from such provisions in facilitating the provision of retail broadband services in national markets with different wholesale access providers and potentially different legal bases for regulation. BEREC and two national regulators (AKOS and HAKOM) question the feasibility and usefulness of the pan-EU harmonised access product(s).</w:t>
      </w:r>
    </w:p>
    <w:p w14:paraId="18CBF64E" w14:textId="72BB7226" w:rsidR="001769BE" w:rsidRPr="00DE264C" w:rsidRDefault="001769BE" w:rsidP="00DE7CC1">
      <w:pPr>
        <w:spacing w:line="240" w:lineRule="auto"/>
        <w:rPr>
          <w:noProof/>
        </w:rPr>
      </w:pPr>
      <w:r w:rsidRPr="00DE264C">
        <w:rPr>
          <w:noProof/>
        </w:rPr>
        <w:t xml:space="preserve">The need for </w:t>
      </w:r>
      <w:r w:rsidRPr="00DE264C">
        <w:rPr>
          <w:b/>
          <w:noProof/>
        </w:rPr>
        <w:t>access regulation</w:t>
      </w:r>
      <w:r w:rsidRPr="00DE264C">
        <w:rPr>
          <w:noProof/>
        </w:rPr>
        <w:t xml:space="preserve"> is still considered necessary by nearly all respondents, except some of the incumbent operators. </w:t>
      </w:r>
      <w:r w:rsidR="002C664E" w:rsidRPr="00DE264C">
        <w:rPr>
          <w:noProof/>
        </w:rPr>
        <w:t>Most</w:t>
      </w:r>
      <w:r w:rsidR="748AD997" w:rsidRPr="00DE264C">
        <w:rPr>
          <w:noProof/>
        </w:rPr>
        <w:t xml:space="preserve"> respondents, including all </w:t>
      </w:r>
      <w:r w:rsidRPr="00DE264C">
        <w:rPr>
          <w:noProof/>
        </w:rPr>
        <w:t xml:space="preserve">alternative fibre investors and alternative operators prefer the status quo to be retained as regards access regulation. Only </w:t>
      </w:r>
      <w:r w:rsidR="4E6DB6B0" w:rsidRPr="00DE264C">
        <w:rPr>
          <w:noProof/>
        </w:rPr>
        <w:t xml:space="preserve">some </w:t>
      </w:r>
      <w:r w:rsidRPr="00DE264C">
        <w:rPr>
          <w:noProof/>
        </w:rPr>
        <w:t>former incumbent operators suggest that access provisions could be entirely removed. Telecom operators</w:t>
      </w:r>
      <w:r w:rsidR="00121719" w:rsidRPr="00DE264C">
        <w:rPr>
          <w:noProof/>
        </w:rPr>
        <w:t>, and particularly</w:t>
      </w:r>
      <w:r w:rsidRPr="00DE264C">
        <w:rPr>
          <w:noProof/>
        </w:rPr>
        <w:t xml:space="preserve"> those making use of SMP PIA favour the status quo or the direct inclusion in the DNA of an obligation on operators with previous SMP obligations regarding PIA to provide this under strict conditions.</w:t>
      </w:r>
    </w:p>
    <w:p w14:paraId="66E5F346" w14:textId="77777777" w:rsidR="003E73B6" w:rsidRPr="00DE264C" w:rsidRDefault="003E73B6" w:rsidP="00DE7CC1">
      <w:pPr>
        <w:spacing w:line="240" w:lineRule="auto"/>
        <w:rPr>
          <w:b/>
          <w:bCs/>
          <w:noProof/>
          <w:u w:val="single"/>
        </w:rPr>
      </w:pPr>
      <w:r w:rsidRPr="00DE264C">
        <w:rPr>
          <w:b/>
          <w:bCs/>
          <w:noProof/>
          <w:u w:val="single"/>
        </w:rPr>
        <w:t>EU-added value</w:t>
      </w:r>
    </w:p>
    <w:p w14:paraId="1EB2C2FC" w14:textId="77777777" w:rsidR="003E73B6" w:rsidRPr="00DE264C" w:rsidRDefault="003E73B6" w:rsidP="00DE7CC1">
      <w:pPr>
        <w:spacing w:line="240" w:lineRule="auto"/>
        <w:rPr>
          <w:noProof/>
        </w:rPr>
      </w:pPr>
      <w:r w:rsidRPr="00DE264C">
        <w:rPr>
          <w:noProof/>
        </w:rPr>
        <w:t>The options vary significantly in the added value they provide compared to Member States acting alone:</w:t>
      </w:r>
    </w:p>
    <w:p w14:paraId="4AEF0F5E" w14:textId="77777777" w:rsidR="003E73B6" w:rsidRPr="00DE264C" w:rsidRDefault="003E73B6" w:rsidP="00DE7CC1">
      <w:pPr>
        <w:pStyle w:val="ListParagraph"/>
        <w:numPr>
          <w:ilvl w:val="0"/>
          <w:numId w:val="97"/>
        </w:numPr>
        <w:spacing w:after="160" w:line="240" w:lineRule="auto"/>
        <w:rPr>
          <w:noProof/>
        </w:rPr>
      </w:pPr>
      <w:r w:rsidRPr="00DE264C">
        <w:rPr>
          <w:noProof/>
        </w:rPr>
        <w:t>Option 1: Introduces EU-wide non-binding targets and best practice guidelines, offering some added value. However, these are unlikely to drive significant changes as they lack binding requirements to address issues like ambition in copper switch-off targets and inconsistencies in wholesale access products.</w:t>
      </w:r>
    </w:p>
    <w:p w14:paraId="502D7079" w14:textId="77777777" w:rsidR="003E73B6" w:rsidRPr="00DE264C" w:rsidRDefault="003E73B6" w:rsidP="00DE7CC1">
      <w:pPr>
        <w:pStyle w:val="ListParagraph"/>
        <w:numPr>
          <w:ilvl w:val="0"/>
          <w:numId w:val="97"/>
        </w:numPr>
        <w:spacing w:after="160" w:line="240" w:lineRule="auto"/>
        <w:rPr>
          <w:noProof/>
        </w:rPr>
      </w:pPr>
      <w:r w:rsidRPr="00DE264C">
        <w:rPr>
          <w:noProof/>
        </w:rPr>
        <w:t>Option 2: Provides additional added value by introducing binding requirements for copper switch-off, data gathering, and wholesale specifications. It supports subsidiarity and proportionality by:</w:t>
      </w:r>
    </w:p>
    <w:p w14:paraId="7A40BE4D" w14:textId="2832E8F2" w:rsidR="003E73B6" w:rsidRPr="00DE264C" w:rsidRDefault="003E73B6" w:rsidP="00DE7CC1">
      <w:pPr>
        <w:pStyle w:val="ListParagraph"/>
        <w:numPr>
          <w:ilvl w:val="0"/>
          <w:numId w:val="98"/>
        </w:numPr>
        <w:spacing w:after="160" w:line="240" w:lineRule="auto"/>
        <w:rPr>
          <w:noProof/>
        </w:rPr>
      </w:pPr>
      <w:r w:rsidRPr="00DE264C">
        <w:rPr>
          <w:noProof/>
        </w:rPr>
        <w:t xml:space="preserve">Allowing Member States to determine the </w:t>
      </w:r>
      <w:r w:rsidR="1A340189" w:rsidRPr="00DE264C">
        <w:rPr>
          <w:noProof/>
        </w:rPr>
        <w:t xml:space="preserve">most </w:t>
      </w:r>
      <w:r w:rsidR="009347F9" w:rsidRPr="00DE264C">
        <w:rPr>
          <w:noProof/>
        </w:rPr>
        <w:t>appropriate</w:t>
      </w:r>
      <w:r w:rsidRPr="00DE264C">
        <w:rPr>
          <w:noProof/>
        </w:rPr>
        <w:t xml:space="preserve"> </w:t>
      </w:r>
      <w:r w:rsidR="394EC56C" w:rsidRPr="00DE264C">
        <w:rPr>
          <w:noProof/>
        </w:rPr>
        <w:t xml:space="preserve">dates and </w:t>
      </w:r>
      <w:r w:rsidRPr="00DE264C">
        <w:rPr>
          <w:noProof/>
        </w:rPr>
        <w:t>means for copper switch-off.</w:t>
      </w:r>
    </w:p>
    <w:p w14:paraId="20D182D7" w14:textId="77777777" w:rsidR="003E73B6" w:rsidRPr="00DE264C" w:rsidRDefault="003E73B6" w:rsidP="00DE7CC1">
      <w:pPr>
        <w:pStyle w:val="ListParagraph"/>
        <w:numPr>
          <w:ilvl w:val="0"/>
          <w:numId w:val="98"/>
        </w:numPr>
        <w:spacing w:after="160" w:line="240" w:lineRule="auto"/>
        <w:rPr>
          <w:noProof/>
        </w:rPr>
      </w:pPr>
      <w:r w:rsidRPr="00DE264C">
        <w:rPr>
          <w:noProof/>
        </w:rPr>
        <w:t>Making switch-off conditional on consumer benefits.</w:t>
      </w:r>
    </w:p>
    <w:p w14:paraId="2095371E" w14:textId="77777777" w:rsidR="003E73B6" w:rsidRPr="00DE264C" w:rsidRDefault="003E73B6" w:rsidP="00DE7CC1">
      <w:pPr>
        <w:pStyle w:val="ListParagraph"/>
        <w:numPr>
          <w:ilvl w:val="0"/>
          <w:numId w:val="98"/>
        </w:numPr>
        <w:spacing w:after="160" w:line="240" w:lineRule="auto"/>
        <w:rPr>
          <w:noProof/>
        </w:rPr>
      </w:pPr>
      <w:r w:rsidRPr="00DE264C">
        <w:rPr>
          <w:noProof/>
        </w:rPr>
        <w:t>Empowering NRAs to oversee the process and apply necessary conditions.</w:t>
      </w:r>
    </w:p>
    <w:p w14:paraId="1770388B" w14:textId="77777777" w:rsidR="003E73B6" w:rsidRPr="00DE264C" w:rsidRDefault="003E73B6" w:rsidP="00DE7CC1">
      <w:pPr>
        <w:pStyle w:val="ListParagraph"/>
        <w:numPr>
          <w:ilvl w:val="0"/>
          <w:numId w:val="98"/>
        </w:numPr>
        <w:spacing w:after="160" w:line="240" w:lineRule="auto"/>
        <w:rPr>
          <w:noProof/>
        </w:rPr>
      </w:pPr>
      <w:r w:rsidRPr="00DE264C">
        <w:rPr>
          <w:noProof/>
        </w:rPr>
        <w:t>Enabling NRAs to adopt remedies beyond best practice specifications if justified.</w:t>
      </w:r>
    </w:p>
    <w:p w14:paraId="4735DA47" w14:textId="77777777" w:rsidR="003E73B6" w:rsidRPr="00DE264C" w:rsidRDefault="003E73B6" w:rsidP="00DE7CC1">
      <w:pPr>
        <w:pStyle w:val="ListParagraph"/>
        <w:numPr>
          <w:ilvl w:val="0"/>
          <w:numId w:val="97"/>
        </w:numPr>
        <w:spacing w:after="160" w:line="240" w:lineRule="auto"/>
        <w:rPr>
          <w:noProof/>
        </w:rPr>
      </w:pPr>
      <w:r w:rsidRPr="00DE264C">
        <w:rPr>
          <w:noProof/>
        </w:rPr>
        <w:t>Option 3: Could limit the scope for authorities to intervene in copper switch-off and apply ex ante regulation, reducing flexibility to foster VHCN availability and competition. While it grants flexibility in wholesale product specifications, this may compromise consistency at the EU level.</w:t>
      </w:r>
    </w:p>
    <w:p w14:paraId="0F1B829E" w14:textId="3D5F9725" w:rsidR="003E73B6" w:rsidRPr="00DE264C" w:rsidRDefault="003E73B6" w:rsidP="00DE7CC1">
      <w:pPr>
        <w:pStyle w:val="ListParagraph"/>
        <w:numPr>
          <w:ilvl w:val="0"/>
          <w:numId w:val="97"/>
        </w:numPr>
        <w:spacing w:after="160" w:line="240" w:lineRule="auto"/>
        <w:rPr>
          <w:noProof/>
        </w:rPr>
      </w:pPr>
      <w:r w:rsidRPr="00DE264C">
        <w:rPr>
          <w:noProof/>
        </w:rPr>
        <w:t>Option 4: Achieves consistency in access regulation across the EU by limiting derogations and requiring all operators to meet reasonable wholesale access requests. However, this may limit subsidiarity and proportionality, restricting Member States' ability to adapt rules to specific circumstances like low FTTH coverage and limited speed competition, thereby reducing scope for innovation and differentiation.</w:t>
      </w:r>
    </w:p>
    <w:p w14:paraId="29CE9338" w14:textId="72C668A2" w:rsidR="3DA50D5C" w:rsidRPr="00DE264C" w:rsidRDefault="3DA50D5C" w:rsidP="00DE7CC1">
      <w:pPr>
        <w:spacing w:line="240" w:lineRule="auto"/>
        <w:rPr>
          <w:b/>
          <w:i/>
          <w:noProof/>
          <w:u w:val="single"/>
          <w:lang w:val="en-IE"/>
        </w:rPr>
      </w:pPr>
      <w:r w:rsidRPr="00940F69">
        <w:rPr>
          <w:b/>
          <w:noProof/>
          <w:u w:val="single"/>
        </w:rPr>
        <w:t>Summary</w:t>
      </w:r>
    </w:p>
    <w:p w14:paraId="3BEAFC1D" w14:textId="5FBD30A7" w:rsidR="0DDBE471" w:rsidRPr="00DE264C" w:rsidRDefault="0DDBE471" w:rsidP="00DE7CC1">
      <w:pPr>
        <w:spacing w:line="240" w:lineRule="auto"/>
        <w:rPr>
          <w:rFonts w:eastAsia="Calibri"/>
          <w:noProof/>
        </w:rPr>
      </w:pPr>
      <w:r w:rsidRPr="00DE264C">
        <w:rPr>
          <w:rFonts w:eastAsia="Calibri"/>
          <w:noProof/>
        </w:rPr>
        <w:t xml:space="preserve">The table below shows </w:t>
      </w:r>
      <w:r w:rsidR="01D3784E" w:rsidRPr="00DE264C">
        <w:rPr>
          <w:rFonts w:eastAsia="Calibri"/>
          <w:noProof/>
        </w:rPr>
        <w:t xml:space="preserve">a </w:t>
      </w:r>
      <w:r w:rsidRPr="00DE264C">
        <w:rPr>
          <w:rFonts w:eastAsia="Calibri"/>
          <w:noProof/>
        </w:rPr>
        <w:t>comparison of the options in terms of effectiveness, efficiency, coherence and EU added value.</w:t>
      </w:r>
      <w:r w:rsidRPr="00DE264C">
        <w:rPr>
          <w:rFonts w:eastAsia="Calibri"/>
          <w:noProof/>
          <w:vertAlign w:val="superscript"/>
        </w:rPr>
        <w:footnoteReference w:id="270"/>
      </w:r>
      <w:r w:rsidRPr="00DE264C">
        <w:rPr>
          <w:rFonts w:eastAsia="Calibri"/>
          <w:noProof/>
        </w:rPr>
        <w:t xml:space="preserve"> </w:t>
      </w:r>
      <w:r w:rsidR="3D4604C9" w:rsidRPr="00DE264C">
        <w:rPr>
          <w:rFonts w:eastAsia="Times New Roman"/>
          <w:noProof/>
        </w:rPr>
        <w:t>Effectiveness is compared as the likelihood to achieve the specific objectives of the measure - fostering fibre take-up (including take-up of Gigabit offers) and coverage but also includes a comparison of the effect on the Single Market as a result of the proposed access regulation and variation of the wholesale access product</w:t>
      </w:r>
      <w:r w:rsidR="002B370D" w:rsidRPr="00DE264C">
        <w:rPr>
          <w:rFonts w:eastAsia="Times New Roman"/>
          <w:noProof/>
        </w:rPr>
        <w:t>s</w:t>
      </w:r>
      <w:r w:rsidR="3D4604C9" w:rsidRPr="00DE264C">
        <w:rPr>
          <w:rFonts w:eastAsia="Times New Roman"/>
          <w:noProof/>
        </w:rPr>
        <w:t>.</w:t>
      </w:r>
      <w:r w:rsidR="00A508E1" w:rsidRPr="00DE264C">
        <w:rPr>
          <w:rFonts w:eastAsia="Times New Roman"/>
          <w:noProof/>
        </w:rPr>
        <w:t xml:space="preserve"> </w:t>
      </w:r>
      <w:r w:rsidR="00A508E1" w:rsidRPr="00DE264C">
        <w:rPr>
          <w:noProof/>
        </w:rPr>
        <w:t>Option 2 is the preferred option.</w:t>
      </w:r>
    </w:p>
    <w:p w14:paraId="5A190FB0" w14:textId="05D1CA0D" w:rsidR="006766D0" w:rsidRPr="006766D0" w:rsidRDefault="006766D0" w:rsidP="00236E38">
      <w:pPr>
        <w:pStyle w:val="CommentText"/>
        <w:keepNext/>
        <w:keepLines/>
        <w:spacing w:before="120" w:after="120"/>
        <w:rPr>
          <w:rFonts w:eastAsia="Times New Roman"/>
          <w:i/>
          <w:noProof/>
          <w:color w:val="000000" w:themeColor="text1"/>
          <w:u w:val="single"/>
        </w:rPr>
      </w:pPr>
      <w:r w:rsidRPr="00DE264C">
        <w:rPr>
          <w:rFonts w:eastAsia="Times New Roman"/>
          <w:i/>
          <w:iCs/>
          <w:noProof/>
          <w:color w:val="000000" w:themeColor="text1"/>
          <w:sz w:val="24"/>
          <w:szCs w:val="24"/>
          <w:u w:val="single"/>
        </w:rPr>
        <w:t>Table</w:t>
      </w:r>
      <w:r>
        <w:rPr>
          <w:rFonts w:eastAsia="Times New Roman"/>
          <w:i/>
          <w:iCs/>
          <w:noProof/>
          <w:color w:val="000000" w:themeColor="text1"/>
          <w:sz w:val="24"/>
          <w:szCs w:val="24"/>
          <w:u w:val="single"/>
        </w:rPr>
        <w:t xml:space="preserve"> 2</w:t>
      </w:r>
      <w:r w:rsidR="00CB62D4">
        <w:rPr>
          <w:rFonts w:eastAsia="Times New Roman"/>
          <w:i/>
          <w:iCs/>
          <w:noProof/>
          <w:color w:val="000000" w:themeColor="text1"/>
          <w:sz w:val="24"/>
          <w:szCs w:val="24"/>
          <w:u w:val="single"/>
        </w:rPr>
        <w:t>5</w:t>
      </w:r>
      <w:r w:rsidRPr="00DE264C">
        <w:rPr>
          <w:rFonts w:eastAsia="Times New Roman"/>
          <w:i/>
          <w:iCs/>
          <w:noProof/>
          <w:color w:val="000000" w:themeColor="text1"/>
          <w:sz w:val="24"/>
          <w:szCs w:val="24"/>
          <w:u w:val="single"/>
        </w:rPr>
        <w:t>:</w:t>
      </w:r>
      <w:r>
        <w:rPr>
          <w:noProof/>
        </w:rPr>
        <w:t xml:space="preserve"> </w:t>
      </w:r>
      <w:r>
        <w:rPr>
          <w:rFonts w:eastAsia="Times New Roman"/>
          <w:i/>
          <w:iCs/>
          <w:noProof/>
          <w:color w:val="000000" w:themeColor="text1"/>
          <w:sz w:val="24"/>
          <w:szCs w:val="24"/>
          <w:u w:val="single"/>
        </w:rPr>
        <w:t xml:space="preserve">Comparison of the </w:t>
      </w:r>
      <w:r w:rsidR="00C74EBB">
        <w:rPr>
          <w:rFonts w:eastAsia="Times New Roman"/>
          <w:i/>
          <w:iCs/>
          <w:noProof/>
          <w:color w:val="000000" w:themeColor="text1"/>
          <w:sz w:val="24"/>
          <w:szCs w:val="24"/>
          <w:u w:val="single"/>
        </w:rPr>
        <w:t xml:space="preserve">Transition to fibre </w:t>
      </w:r>
      <w:r>
        <w:rPr>
          <w:rFonts w:eastAsia="Times New Roman"/>
          <w:i/>
          <w:iCs/>
          <w:noProof/>
          <w:color w:val="000000" w:themeColor="text1"/>
          <w:sz w:val="24"/>
          <w:szCs w:val="24"/>
          <w:u w:val="single"/>
        </w:rPr>
        <w:t>o</w:t>
      </w:r>
      <w:r w:rsidR="00C74EBB">
        <w:rPr>
          <w:rFonts w:eastAsia="Times New Roman"/>
          <w:i/>
          <w:iCs/>
          <w:noProof/>
          <w:color w:val="000000" w:themeColor="text1"/>
          <w:sz w:val="24"/>
          <w:szCs w:val="24"/>
          <w:u w:val="single"/>
        </w:rPr>
        <w:t>p</w:t>
      </w:r>
      <w:r>
        <w:rPr>
          <w:rFonts w:eastAsia="Times New Roman"/>
          <w:i/>
          <w:iCs/>
          <w:noProof/>
          <w:color w:val="000000" w:themeColor="text1"/>
          <w:sz w:val="24"/>
          <w:szCs w:val="24"/>
          <w:u w:val="single"/>
        </w:rPr>
        <w:t>tions</w:t>
      </w:r>
      <w:r w:rsidRPr="00DE264C">
        <w:rPr>
          <w:rFonts w:eastAsia="Times New Roman"/>
          <w:i/>
          <w:iCs/>
          <w:noProof/>
          <w:color w:val="000000" w:themeColor="text1"/>
          <w:sz w:val="24"/>
          <w:szCs w:val="24"/>
          <w:u w:val="single"/>
        </w:rPr>
        <w:t xml:space="preserve"> </w:t>
      </w:r>
    </w:p>
    <w:tbl>
      <w:tblPr>
        <w:tblStyle w:val="GridTable1Light"/>
        <w:tblW w:w="5028" w:type="pct"/>
        <w:tblLayout w:type="fixed"/>
        <w:tblCellMar>
          <w:left w:w="57" w:type="dxa"/>
          <w:right w:w="57" w:type="dxa"/>
        </w:tblCellMar>
        <w:tblLook w:val="04A0" w:firstRow="1" w:lastRow="0" w:firstColumn="1" w:lastColumn="0" w:noHBand="0" w:noVBand="1"/>
      </w:tblPr>
      <w:tblGrid>
        <w:gridCol w:w="897"/>
        <w:gridCol w:w="761"/>
        <w:gridCol w:w="907"/>
        <w:gridCol w:w="753"/>
        <w:gridCol w:w="905"/>
        <w:gridCol w:w="936"/>
        <w:gridCol w:w="1720"/>
        <w:gridCol w:w="815"/>
        <w:gridCol w:w="604"/>
        <w:gridCol w:w="606"/>
        <w:gridCol w:w="749"/>
      </w:tblGrid>
      <w:tr w:rsidR="00AD242E" w:rsidRPr="00DE264C" w14:paraId="7FC602C8" w14:textId="77777777" w:rsidTr="00AD242E">
        <w:trPr>
          <w:cnfStyle w:val="100000000000" w:firstRow="1" w:lastRow="0" w:firstColumn="0" w:lastColumn="0" w:oddVBand="0" w:evenVBand="0" w:oddHBand="0" w:evenHBand="0" w:firstRowFirstColumn="0" w:firstRowLastColumn="0" w:lastRowFirstColumn="0" w:lastRowLastColumn="0"/>
          <w:trHeight w:val="653"/>
          <w:tblHeader/>
        </w:trPr>
        <w:tc>
          <w:tcPr>
            <w:cnfStyle w:val="001000000000" w:firstRow="0" w:lastRow="0" w:firstColumn="1" w:lastColumn="0" w:oddVBand="0" w:evenVBand="0" w:oddHBand="0" w:evenHBand="0" w:firstRowFirstColumn="0" w:firstRowLastColumn="0" w:lastRowFirstColumn="0" w:lastRowLastColumn="0"/>
            <w:tcW w:w="464" w:type="pct"/>
          </w:tcPr>
          <w:p w14:paraId="5DD51C8A" w14:textId="77777777" w:rsidR="00AD242E" w:rsidRPr="00DE264C" w:rsidRDefault="00AD242E">
            <w:pPr>
              <w:spacing w:after="0"/>
              <w:jc w:val="left"/>
              <w:rPr>
                <w:noProof/>
                <w:sz w:val="16"/>
                <w:szCs w:val="16"/>
                <w:lang w:eastAsia="fr-BE"/>
              </w:rPr>
            </w:pPr>
          </w:p>
        </w:tc>
        <w:tc>
          <w:tcPr>
            <w:tcW w:w="1723" w:type="pct"/>
            <w:gridSpan w:val="4"/>
          </w:tcPr>
          <w:p w14:paraId="53B4BCAA" w14:textId="77777777" w:rsidR="00AD242E" w:rsidRPr="00DE264C" w:rsidRDefault="00AD242E">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Effectiveness</w:t>
            </w:r>
          </w:p>
        </w:tc>
        <w:tc>
          <w:tcPr>
            <w:tcW w:w="1798" w:type="pct"/>
            <w:gridSpan w:val="3"/>
          </w:tcPr>
          <w:p w14:paraId="57B69A20" w14:textId="77777777" w:rsidR="00AD242E" w:rsidRPr="00DE264C" w:rsidRDefault="00AD242E">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Efficiency</w:t>
            </w:r>
          </w:p>
        </w:tc>
        <w:tc>
          <w:tcPr>
            <w:tcW w:w="627" w:type="pct"/>
            <w:gridSpan w:val="2"/>
          </w:tcPr>
          <w:p w14:paraId="1343ABB3" w14:textId="77777777" w:rsidR="00AD242E" w:rsidRPr="00DE264C" w:rsidRDefault="00AD242E">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Coherence</w:t>
            </w:r>
          </w:p>
        </w:tc>
        <w:tc>
          <w:tcPr>
            <w:tcW w:w="388" w:type="pct"/>
          </w:tcPr>
          <w:p w14:paraId="261E9EFC" w14:textId="77777777" w:rsidR="00AD242E" w:rsidRPr="00DE264C" w:rsidRDefault="00AD242E">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EU added value</w:t>
            </w:r>
          </w:p>
        </w:tc>
      </w:tr>
      <w:tr w:rsidR="00AD242E" w:rsidRPr="00DE264C" w14:paraId="6CA5048F" w14:textId="77777777" w:rsidTr="00AD242E">
        <w:trPr>
          <w:cnfStyle w:val="100000000000" w:firstRow="1" w:lastRow="0" w:firstColumn="0" w:lastColumn="0" w:oddVBand="0" w:evenVBand="0" w:oddHBand="0" w:evenHBand="0" w:firstRowFirstColumn="0" w:firstRowLastColumn="0" w:lastRowFirstColumn="0" w:lastRowLastColumn="0"/>
          <w:trHeight w:val="653"/>
          <w:tblHeader/>
        </w:trPr>
        <w:tc>
          <w:tcPr>
            <w:cnfStyle w:val="001000000000" w:firstRow="0" w:lastRow="0" w:firstColumn="1" w:lastColumn="0" w:oddVBand="0" w:evenVBand="0" w:oddHBand="0" w:evenHBand="0" w:firstRowFirstColumn="0" w:firstRowLastColumn="0" w:lastRowFirstColumn="0" w:lastRowLastColumn="0"/>
            <w:tcW w:w="464" w:type="pct"/>
            <w:hideMark/>
          </w:tcPr>
          <w:p w14:paraId="6A65BFAB" w14:textId="77777777" w:rsidR="00AD242E" w:rsidRPr="00DE264C" w:rsidRDefault="00AD242E">
            <w:pPr>
              <w:spacing w:after="0"/>
              <w:jc w:val="left"/>
              <w:rPr>
                <w:noProof/>
                <w:sz w:val="16"/>
                <w:szCs w:val="16"/>
                <w:lang w:eastAsia="fr-BE"/>
              </w:rPr>
            </w:pPr>
            <w:r w:rsidRPr="00DE264C">
              <w:rPr>
                <w:noProof/>
                <w:sz w:val="16"/>
                <w:szCs w:val="16"/>
                <w:lang w:eastAsia="fr-BE"/>
              </w:rPr>
              <w:t> </w:t>
            </w:r>
          </w:p>
        </w:tc>
        <w:tc>
          <w:tcPr>
            <w:tcW w:w="394" w:type="pct"/>
            <w:hideMark/>
          </w:tcPr>
          <w:p w14:paraId="5C76FDA1" w14:textId="22ACDD5B" w:rsidR="00AD242E" w:rsidRPr="00DE264C" w:rsidRDefault="00AD242E">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FTTH cove-rage</w:t>
            </w:r>
          </w:p>
        </w:tc>
        <w:tc>
          <w:tcPr>
            <w:tcW w:w="470" w:type="pct"/>
            <w:hideMark/>
          </w:tcPr>
          <w:p w14:paraId="5BECE2A7" w14:textId="5CB4AB5F" w:rsidR="00AD242E" w:rsidRPr="00DE264C" w:rsidRDefault="00AD242E">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FTTH take-up / boost penetra-tion</w:t>
            </w:r>
          </w:p>
        </w:tc>
        <w:tc>
          <w:tcPr>
            <w:tcW w:w="390" w:type="pct"/>
            <w:hideMark/>
          </w:tcPr>
          <w:p w14:paraId="29C0005A" w14:textId="77777777" w:rsidR="00AD242E" w:rsidRPr="00DE264C" w:rsidRDefault="00AD242E">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Take-up of Gigabit speeds</w:t>
            </w:r>
          </w:p>
        </w:tc>
        <w:tc>
          <w:tcPr>
            <w:tcW w:w="469" w:type="pct"/>
          </w:tcPr>
          <w:p w14:paraId="45DA54D0" w14:textId="1A1F4803" w:rsidR="00AD242E" w:rsidRPr="00DE264C" w:rsidRDefault="00AD242E">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Consis-tency / single market</w:t>
            </w:r>
          </w:p>
        </w:tc>
        <w:tc>
          <w:tcPr>
            <w:tcW w:w="485" w:type="pct"/>
            <w:hideMark/>
          </w:tcPr>
          <w:p w14:paraId="63F47A6A" w14:textId="42982757" w:rsidR="00AD242E" w:rsidRPr="00DE264C" w:rsidRDefault="00AD242E">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Admini-strative cost (short / long run)</w:t>
            </w:r>
          </w:p>
        </w:tc>
        <w:tc>
          <w:tcPr>
            <w:tcW w:w="891" w:type="pct"/>
            <w:hideMark/>
          </w:tcPr>
          <w:p w14:paraId="35091FF5" w14:textId="5DA9BDFE" w:rsidR="00AD242E" w:rsidRPr="00DE264C" w:rsidRDefault="00AD242E">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Main unintended costs</w:t>
            </w:r>
            <w:r w:rsidR="679E062D" w:rsidRPr="1FE7ADA2">
              <w:rPr>
                <w:rFonts w:eastAsia="Times New Roman"/>
                <w:b w:val="0"/>
                <w:bCs w:val="0"/>
                <w:noProof/>
                <w:color w:val="000000" w:themeColor="text1"/>
              </w:rPr>
              <w:t xml:space="preserve"> </w:t>
            </w:r>
            <w:r w:rsidR="679E062D" w:rsidRPr="00292895">
              <w:rPr>
                <w:rFonts w:eastAsia="Times New Roman"/>
                <w:noProof/>
                <w:color w:val="000000" w:themeColor="text1"/>
                <w:sz w:val="16"/>
                <w:szCs w:val="16"/>
              </w:rPr>
              <w:t>251</w:t>
            </w:r>
          </w:p>
        </w:tc>
        <w:tc>
          <w:tcPr>
            <w:tcW w:w="422" w:type="pct"/>
            <w:hideMark/>
          </w:tcPr>
          <w:p w14:paraId="3A1BBF9D" w14:textId="77777777" w:rsidR="00AD242E" w:rsidRPr="00DE264C" w:rsidRDefault="00AD242E">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Benefits in relation to cost</w:t>
            </w:r>
          </w:p>
        </w:tc>
        <w:tc>
          <w:tcPr>
            <w:tcW w:w="313" w:type="pct"/>
            <w:hideMark/>
          </w:tcPr>
          <w:p w14:paraId="5592BA0F" w14:textId="355BE150" w:rsidR="00AD242E" w:rsidRPr="00DE264C" w:rsidRDefault="00AD242E">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Inter-nal</w:t>
            </w:r>
          </w:p>
        </w:tc>
        <w:tc>
          <w:tcPr>
            <w:tcW w:w="314" w:type="pct"/>
            <w:hideMark/>
          </w:tcPr>
          <w:p w14:paraId="78F8AAFC" w14:textId="17FD6A13" w:rsidR="00AD242E" w:rsidRPr="00DE264C" w:rsidRDefault="00AD242E">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Exter-nal</w:t>
            </w:r>
          </w:p>
        </w:tc>
        <w:tc>
          <w:tcPr>
            <w:tcW w:w="388" w:type="pct"/>
            <w:hideMark/>
          </w:tcPr>
          <w:p w14:paraId="76C48812" w14:textId="77777777" w:rsidR="00AD242E" w:rsidRPr="00DE264C" w:rsidRDefault="00AD242E">
            <w:pPr>
              <w:spacing w:after="0"/>
              <w:jc w:val="center"/>
              <w:cnfStyle w:val="100000000000" w:firstRow="1" w:lastRow="0" w:firstColumn="0" w:lastColumn="0" w:oddVBand="0" w:evenVBand="0" w:oddHBand="0" w:evenHBand="0" w:firstRowFirstColumn="0" w:firstRowLastColumn="0" w:lastRowFirstColumn="0" w:lastRowLastColumn="0"/>
              <w:rPr>
                <w:noProof/>
                <w:sz w:val="16"/>
                <w:szCs w:val="16"/>
                <w:lang w:eastAsia="fr-BE"/>
              </w:rPr>
            </w:pPr>
          </w:p>
        </w:tc>
      </w:tr>
      <w:tr w:rsidR="00AD242E" w:rsidRPr="00DE264C" w14:paraId="71965F4D" w14:textId="77777777" w:rsidTr="00AD242E">
        <w:trPr>
          <w:trHeight w:val="260"/>
        </w:trPr>
        <w:tc>
          <w:tcPr>
            <w:cnfStyle w:val="001000000000" w:firstRow="0" w:lastRow="0" w:firstColumn="1" w:lastColumn="0" w:oddVBand="0" w:evenVBand="0" w:oddHBand="0" w:evenHBand="0" w:firstRowFirstColumn="0" w:firstRowLastColumn="0" w:lastRowFirstColumn="0" w:lastRowLastColumn="0"/>
            <w:tcW w:w="464" w:type="pct"/>
            <w:hideMark/>
          </w:tcPr>
          <w:p w14:paraId="11ACE30E" w14:textId="77777777" w:rsidR="00AD242E" w:rsidRPr="00DE264C" w:rsidRDefault="00AD242E">
            <w:pPr>
              <w:spacing w:after="0"/>
              <w:jc w:val="left"/>
              <w:rPr>
                <w:noProof/>
                <w:sz w:val="16"/>
                <w:szCs w:val="16"/>
                <w:lang w:eastAsia="fr-BE"/>
              </w:rPr>
            </w:pPr>
            <w:r w:rsidRPr="00DE264C">
              <w:rPr>
                <w:noProof/>
                <w:sz w:val="16"/>
                <w:szCs w:val="16"/>
                <w:lang w:eastAsia="fr-BE"/>
              </w:rPr>
              <w:t>Option 1</w:t>
            </w:r>
          </w:p>
        </w:tc>
        <w:tc>
          <w:tcPr>
            <w:tcW w:w="394" w:type="pct"/>
            <w:hideMark/>
          </w:tcPr>
          <w:p w14:paraId="308F425D"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470" w:type="pct"/>
            <w:hideMark/>
          </w:tcPr>
          <w:p w14:paraId="02F1BF0F"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390" w:type="pct"/>
            <w:hideMark/>
          </w:tcPr>
          <w:p w14:paraId="0F3B4AB0"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469" w:type="pct"/>
          </w:tcPr>
          <w:p w14:paraId="70AD0A2B"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485" w:type="pct"/>
            <w:hideMark/>
          </w:tcPr>
          <w:p w14:paraId="396C085C"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891" w:type="pct"/>
            <w:hideMark/>
          </w:tcPr>
          <w:p w14:paraId="00898B44"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rPr>
              <w:t>n/a</w:t>
            </w:r>
          </w:p>
        </w:tc>
        <w:tc>
          <w:tcPr>
            <w:tcW w:w="422" w:type="pct"/>
            <w:hideMark/>
          </w:tcPr>
          <w:p w14:paraId="37B05B03"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313" w:type="pct"/>
            <w:hideMark/>
          </w:tcPr>
          <w:p w14:paraId="03A05B7C"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314" w:type="pct"/>
            <w:hideMark/>
          </w:tcPr>
          <w:p w14:paraId="39E25760"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0</w:t>
            </w:r>
          </w:p>
        </w:tc>
        <w:tc>
          <w:tcPr>
            <w:tcW w:w="388" w:type="pct"/>
            <w:hideMark/>
          </w:tcPr>
          <w:p w14:paraId="3B3EC19C"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r>
      <w:tr w:rsidR="00AD242E" w:rsidRPr="00DE264C" w14:paraId="12054A85" w14:textId="77777777" w:rsidTr="00AD242E">
        <w:trPr>
          <w:trHeight w:val="347"/>
        </w:trPr>
        <w:tc>
          <w:tcPr>
            <w:cnfStyle w:val="001000000000" w:firstRow="0" w:lastRow="0" w:firstColumn="1" w:lastColumn="0" w:oddVBand="0" w:evenVBand="0" w:oddHBand="0" w:evenHBand="0" w:firstRowFirstColumn="0" w:firstRowLastColumn="0" w:lastRowFirstColumn="0" w:lastRowLastColumn="0"/>
            <w:tcW w:w="464" w:type="pct"/>
          </w:tcPr>
          <w:p w14:paraId="30D300D0" w14:textId="77777777" w:rsidR="00AD242E" w:rsidRPr="00DE264C" w:rsidRDefault="00AD242E">
            <w:pPr>
              <w:spacing w:after="0"/>
              <w:jc w:val="left"/>
              <w:rPr>
                <w:noProof/>
                <w:sz w:val="16"/>
                <w:szCs w:val="16"/>
                <w:lang w:eastAsia="fr-BE"/>
              </w:rPr>
            </w:pPr>
            <w:r w:rsidRPr="00DE264C">
              <w:rPr>
                <w:noProof/>
                <w:sz w:val="16"/>
                <w:szCs w:val="16"/>
                <w:lang w:eastAsia="fr-BE"/>
              </w:rPr>
              <w:t>Option 2</w:t>
            </w:r>
          </w:p>
        </w:tc>
        <w:tc>
          <w:tcPr>
            <w:tcW w:w="394" w:type="pct"/>
          </w:tcPr>
          <w:p w14:paraId="29D2FE83"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470" w:type="pct"/>
          </w:tcPr>
          <w:p w14:paraId="1E7A9DFD"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390" w:type="pct"/>
          </w:tcPr>
          <w:p w14:paraId="610BC7CD"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469" w:type="pct"/>
          </w:tcPr>
          <w:p w14:paraId="1BFCFBF6"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485" w:type="pct"/>
          </w:tcPr>
          <w:p w14:paraId="535AC2D7"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 /-</w:t>
            </w:r>
          </w:p>
        </w:tc>
        <w:tc>
          <w:tcPr>
            <w:tcW w:w="891" w:type="pct"/>
          </w:tcPr>
          <w:p w14:paraId="5BF18DF7"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rPr>
            </w:pPr>
            <w:r w:rsidRPr="00DE264C">
              <w:rPr>
                <w:noProof/>
                <w:sz w:val="16"/>
                <w:szCs w:val="16"/>
              </w:rPr>
              <w:t>A small % consumers may need to transition to wireless / mobile. Copper network owners not investing in fibre may experience reduced profitability</w:t>
            </w:r>
          </w:p>
        </w:tc>
        <w:tc>
          <w:tcPr>
            <w:tcW w:w="422" w:type="pct"/>
          </w:tcPr>
          <w:p w14:paraId="5CE03118"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313" w:type="pct"/>
          </w:tcPr>
          <w:p w14:paraId="1FC842EF"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314" w:type="pct"/>
          </w:tcPr>
          <w:p w14:paraId="60BC7CCD"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388" w:type="pct"/>
          </w:tcPr>
          <w:p w14:paraId="3A0CA43B"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r>
      <w:tr w:rsidR="00AD242E" w:rsidRPr="00DE264C" w14:paraId="657FCA9D" w14:textId="77777777" w:rsidTr="00AD242E">
        <w:trPr>
          <w:trHeight w:val="260"/>
        </w:trPr>
        <w:tc>
          <w:tcPr>
            <w:cnfStyle w:val="001000000000" w:firstRow="0" w:lastRow="0" w:firstColumn="1" w:lastColumn="0" w:oddVBand="0" w:evenVBand="0" w:oddHBand="0" w:evenHBand="0" w:firstRowFirstColumn="0" w:firstRowLastColumn="0" w:lastRowFirstColumn="0" w:lastRowLastColumn="0"/>
            <w:tcW w:w="464" w:type="pct"/>
            <w:hideMark/>
          </w:tcPr>
          <w:p w14:paraId="7008970C" w14:textId="77777777" w:rsidR="00AD242E" w:rsidRPr="00DE264C" w:rsidRDefault="00AD242E">
            <w:pPr>
              <w:spacing w:after="0"/>
              <w:jc w:val="left"/>
              <w:rPr>
                <w:noProof/>
                <w:sz w:val="16"/>
                <w:szCs w:val="16"/>
                <w:lang w:eastAsia="fr-BE"/>
              </w:rPr>
            </w:pPr>
            <w:r w:rsidRPr="00DE264C">
              <w:rPr>
                <w:noProof/>
                <w:sz w:val="16"/>
                <w:szCs w:val="16"/>
                <w:lang w:eastAsia="fr-BE"/>
              </w:rPr>
              <w:t>Option 3</w:t>
            </w:r>
          </w:p>
        </w:tc>
        <w:tc>
          <w:tcPr>
            <w:tcW w:w="394" w:type="pct"/>
            <w:hideMark/>
          </w:tcPr>
          <w:p w14:paraId="1497932F"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470" w:type="pct"/>
            <w:hideMark/>
          </w:tcPr>
          <w:p w14:paraId="15F6343D"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390" w:type="pct"/>
            <w:hideMark/>
          </w:tcPr>
          <w:p w14:paraId="213ECA8D"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469" w:type="pct"/>
          </w:tcPr>
          <w:p w14:paraId="00ED3428"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485" w:type="pct"/>
            <w:hideMark/>
          </w:tcPr>
          <w:p w14:paraId="26F68719"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891" w:type="pct"/>
            <w:hideMark/>
          </w:tcPr>
          <w:p w14:paraId="5AA99622"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rPr>
              <w:t>--- Risk of delays to copper switch-off and under-regulation impacting competition and single market</w:t>
            </w:r>
          </w:p>
        </w:tc>
        <w:tc>
          <w:tcPr>
            <w:tcW w:w="422" w:type="pct"/>
            <w:hideMark/>
          </w:tcPr>
          <w:p w14:paraId="36F189B4"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313" w:type="pct"/>
            <w:hideMark/>
          </w:tcPr>
          <w:p w14:paraId="6B3C9D66"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314" w:type="pct"/>
            <w:hideMark/>
          </w:tcPr>
          <w:p w14:paraId="0F6F382F"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388" w:type="pct"/>
            <w:hideMark/>
          </w:tcPr>
          <w:p w14:paraId="38CB2CBB"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r>
      <w:tr w:rsidR="00AD242E" w:rsidRPr="00DE264C" w14:paraId="7BC4DED7" w14:textId="77777777" w:rsidTr="00AD242E">
        <w:trPr>
          <w:trHeight w:val="260"/>
        </w:trPr>
        <w:tc>
          <w:tcPr>
            <w:cnfStyle w:val="001000000000" w:firstRow="0" w:lastRow="0" w:firstColumn="1" w:lastColumn="0" w:oddVBand="0" w:evenVBand="0" w:oddHBand="0" w:evenHBand="0" w:firstRowFirstColumn="0" w:firstRowLastColumn="0" w:lastRowFirstColumn="0" w:lastRowLastColumn="0"/>
            <w:tcW w:w="464" w:type="pct"/>
            <w:hideMark/>
          </w:tcPr>
          <w:p w14:paraId="728CCA37" w14:textId="77777777" w:rsidR="00AD242E" w:rsidRPr="00DE264C" w:rsidRDefault="00AD242E">
            <w:pPr>
              <w:spacing w:after="0"/>
              <w:jc w:val="left"/>
              <w:rPr>
                <w:noProof/>
                <w:sz w:val="16"/>
                <w:szCs w:val="16"/>
                <w:lang w:eastAsia="fr-BE"/>
              </w:rPr>
            </w:pPr>
            <w:r w:rsidRPr="00DE264C">
              <w:rPr>
                <w:noProof/>
                <w:sz w:val="16"/>
                <w:szCs w:val="16"/>
                <w:lang w:eastAsia="fr-BE"/>
              </w:rPr>
              <w:t>Option 4</w:t>
            </w:r>
          </w:p>
        </w:tc>
        <w:tc>
          <w:tcPr>
            <w:tcW w:w="394" w:type="pct"/>
            <w:hideMark/>
          </w:tcPr>
          <w:p w14:paraId="1E369060"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470" w:type="pct"/>
            <w:hideMark/>
          </w:tcPr>
          <w:p w14:paraId="2E4D7809"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390" w:type="pct"/>
            <w:hideMark/>
          </w:tcPr>
          <w:p w14:paraId="6D02BDD8"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469" w:type="pct"/>
          </w:tcPr>
          <w:p w14:paraId="1D39F9BD"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485" w:type="pct"/>
            <w:hideMark/>
          </w:tcPr>
          <w:p w14:paraId="542E7B49"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891" w:type="pct"/>
            <w:hideMark/>
          </w:tcPr>
          <w:p w14:paraId="163C7F22"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rPr>
              <w:t>- Risk of unconnected households, reduced quality of competition</w:t>
            </w:r>
          </w:p>
        </w:tc>
        <w:tc>
          <w:tcPr>
            <w:tcW w:w="422" w:type="pct"/>
            <w:hideMark/>
          </w:tcPr>
          <w:p w14:paraId="29E5E623"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313" w:type="pct"/>
            <w:hideMark/>
          </w:tcPr>
          <w:p w14:paraId="73BA9BB0"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314" w:type="pct"/>
            <w:hideMark/>
          </w:tcPr>
          <w:p w14:paraId="58F39A02"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c>
          <w:tcPr>
            <w:tcW w:w="388" w:type="pct"/>
            <w:hideMark/>
          </w:tcPr>
          <w:p w14:paraId="14682E4C" w14:textId="77777777" w:rsidR="00AD242E" w:rsidRPr="00DE264C" w:rsidRDefault="00AD242E">
            <w:pPr>
              <w:spacing w:after="0"/>
              <w:jc w:val="center"/>
              <w:cnfStyle w:val="000000000000" w:firstRow="0" w:lastRow="0" w:firstColumn="0" w:lastColumn="0" w:oddVBand="0" w:evenVBand="0" w:oddHBand="0" w:evenHBand="0" w:firstRowFirstColumn="0" w:firstRowLastColumn="0" w:lastRowFirstColumn="0" w:lastRowLastColumn="0"/>
              <w:rPr>
                <w:noProof/>
                <w:sz w:val="16"/>
                <w:szCs w:val="16"/>
                <w:lang w:eastAsia="fr-BE"/>
              </w:rPr>
            </w:pPr>
            <w:r w:rsidRPr="00DE264C">
              <w:rPr>
                <w:noProof/>
                <w:sz w:val="16"/>
                <w:szCs w:val="16"/>
                <w:lang w:eastAsia="fr-BE"/>
              </w:rPr>
              <w:t>++</w:t>
            </w:r>
          </w:p>
        </w:tc>
      </w:tr>
    </w:tbl>
    <w:p w14:paraId="44072B05" w14:textId="2AB7C445" w:rsidR="005D6F5F" w:rsidRPr="00DE264C" w:rsidRDefault="005D6F5F" w:rsidP="00FD1EE2">
      <w:pPr>
        <w:pStyle w:val="Heading2"/>
        <w:spacing w:before="240"/>
        <w:ind w:left="1202"/>
        <w:rPr>
          <w:noProof/>
        </w:rPr>
      </w:pPr>
      <w:bookmarkStart w:id="381" w:name="_Toc214467752"/>
      <w:bookmarkStart w:id="382" w:name="_Toc215083774"/>
      <w:bookmarkStart w:id="383" w:name="_Toc215083804"/>
      <w:bookmarkStart w:id="384" w:name="_Toc219212540"/>
      <w:bookmarkStart w:id="385" w:name="_Toc219718195"/>
      <w:r w:rsidRPr="00DE264C">
        <w:rPr>
          <w:noProof/>
        </w:rPr>
        <w:t>Spectrum</w:t>
      </w:r>
      <w:bookmarkEnd w:id="381"/>
      <w:bookmarkEnd w:id="382"/>
      <w:bookmarkEnd w:id="383"/>
      <w:bookmarkEnd w:id="384"/>
      <w:bookmarkEnd w:id="385"/>
    </w:p>
    <w:p w14:paraId="10C8B7D8" w14:textId="38B63DE9" w:rsidR="00F42249" w:rsidRPr="00DE264C" w:rsidRDefault="001F6788" w:rsidP="00DE7CC1">
      <w:pPr>
        <w:spacing w:line="240" w:lineRule="auto"/>
        <w:rPr>
          <w:b/>
          <w:noProof/>
          <w:lang w:val="en-IE"/>
        </w:rPr>
      </w:pPr>
      <w:r w:rsidRPr="00DE264C">
        <w:rPr>
          <w:b/>
          <w:noProof/>
          <w:u w:val="single"/>
        </w:rPr>
        <w:t>Effectiveness</w:t>
      </w:r>
    </w:p>
    <w:p w14:paraId="151C4A6B" w14:textId="443C86A2" w:rsidR="000B4F11" w:rsidRPr="00DE264C" w:rsidRDefault="00643C28" w:rsidP="00DE7CC1">
      <w:pPr>
        <w:spacing w:line="240" w:lineRule="auto"/>
        <w:rPr>
          <w:noProof/>
        </w:rPr>
      </w:pPr>
      <w:r w:rsidRPr="00DE264C">
        <w:rPr>
          <w:b/>
          <w:noProof/>
        </w:rPr>
        <w:t>The baseline</w:t>
      </w:r>
      <w:r w:rsidRPr="00DE264C">
        <w:rPr>
          <w:noProof/>
        </w:rPr>
        <w:t xml:space="preserve"> offers limited effectiveness in promoting investment. </w:t>
      </w:r>
      <w:r w:rsidR="004778A5" w:rsidRPr="00DE264C">
        <w:rPr>
          <w:noProof/>
        </w:rPr>
        <w:t>Regulatory uncertainty</w:t>
      </w:r>
      <w:r w:rsidR="00F22089" w:rsidRPr="00DE264C">
        <w:rPr>
          <w:noProof/>
        </w:rPr>
        <w:t>,</w:t>
      </w:r>
      <w:r w:rsidR="004778A5" w:rsidRPr="00DE264C">
        <w:rPr>
          <w:noProof/>
        </w:rPr>
        <w:t xml:space="preserve"> </w:t>
      </w:r>
      <w:r w:rsidR="00A76A4D" w:rsidRPr="00DE264C">
        <w:rPr>
          <w:noProof/>
        </w:rPr>
        <w:t xml:space="preserve">divergent assignment conditions </w:t>
      </w:r>
      <w:r w:rsidR="00A76A4D">
        <w:rPr>
          <w:noProof/>
        </w:rPr>
        <w:t xml:space="preserve">and </w:t>
      </w:r>
      <w:r w:rsidR="004778A5" w:rsidRPr="00DE264C">
        <w:rPr>
          <w:noProof/>
        </w:rPr>
        <w:t>i</w:t>
      </w:r>
      <w:r w:rsidRPr="00DE264C">
        <w:rPr>
          <w:noProof/>
        </w:rPr>
        <w:t>n</w:t>
      </w:r>
      <w:r w:rsidR="004778A5" w:rsidRPr="00DE264C">
        <w:rPr>
          <w:noProof/>
        </w:rPr>
        <w:t>sufficient</w:t>
      </w:r>
      <w:r w:rsidRPr="00DE264C">
        <w:rPr>
          <w:noProof/>
        </w:rPr>
        <w:t xml:space="preserve"> licence duration</w:t>
      </w:r>
      <w:r w:rsidR="00F22089" w:rsidRPr="00DE264C">
        <w:rPr>
          <w:noProof/>
        </w:rPr>
        <w:t>,</w:t>
      </w:r>
      <w:r w:rsidRPr="00DE264C">
        <w:rPr>
          <w:noProof/>
        </w:rPr>
        <w:t xml:space="preserve"> </w:t>
      </w:r>
      <w:r w:rsidR="008E1B11" w:rsidRPr="00DE264C">
        <w:rPr>
          <w:noProof/>
        </w:rPr>
        <w:t>stall</w:t>
      </w:r>
      <w:r w:rsidRPr="00DE264C">
        <w:rPr>
          <w:noProof/>
        </w:rPr>
        <w:t xml:space="preserve"> deployment</w:t>
      </w:r>
      <w:r w:rsidR="00310683" w:rsidRPr="00DE264C">
        <w:rPr>
          <w:noProof/>
        </w:rPr>
        <w:t>, especially cross-border</w:t>
      </w:r>
      <w:r w:rsidRPr="00DE264C">
        <w:rPr>
          <w:noProof/>
        </w:rPr>
        <w:t xml:space="preserve">. </w:t>
      </w:r>
    </w:p>
    <w:p w14:paraId="3F7EC854" w14:textId="5F40A3CA" w:rsidR="005464C8" w:rsidRPr="00DE264C" w:rsidRDefault="0043212A" w:rsidP="00DE7CC1">
      <w:pPr>
        <w:spacing w:line="240" w:lineRule="auto"/>
        <w:rPr>
          <w:noProof/>
        </w:rPr>
      </w:pPr>
      <w:r w:rsidRPr="00DE264C">
        <w:rPr>
          <w:b/>
          <w:noProof/>
        </w:rPr>
        <w:t>O</w:t>
      </w:r>
      <w:r w:rsidR="00643C28" w:rsidRPr="00DE264C">
        <w:rPr>
          <w:b/>
          <w:noProof/>
        </w:rPr>
        <w:t>ption 1</w:t>
      </w:r>
      <w:r w:rsidR="00643C28" w:rsidRPr="00DE264C">
        <w:rPr>
          <w:noProof/>
        </w:rPr>
        <w:t xml:space="preserve"> </w:t>
      </w:r>
      <w:r w:rsidR="004778A5" w:rsidRPr="00DE264C">
        <w:rPr>
          <w:noProof/>
        </w:rPr>
        <w:t>partially</w:t>
      </w:r>
      <w:r w:rsidR="00643C28" w:rsidRPr="00DE264C">
        <w:rPr>
          <w:noProof/>
        </w:rPr>
        <w:t xml:space="preserve"> address</w:t>
      </w:r>
      <w:r w:rsidR="004778A5" w:rsidRPr="00DE264C">
        <w:rPr>
          <w:noProof/>
        </w:rPr>
        <w:t>es</w:t>
      </w:r>
      <w:r w:rsidR="00643C28" w:rsidRPr="00DE264C">
        <w:rPr>
          <w:noProof/>
        </w:rPr>
        <w:t xml:space="preserve"> </w:t>
      </w:r>
      <w:r w:rsidR="00FF04B6" w:rsidRPr="00DE264C">
        <w:rPr>
          <w:noProof/>
        </w:rPr>
        <w:t xml:space="preserve">the problem </w:t>
      </w:r>
      <w:r w:rsidR="00643C28" w:rsidRPr="00DE264C">
        <w:rPr>
          <w:noProof/>
        </w:rPr>
        <w:t>by promoting best practices</w:t>
      </w:r>
      <w:r w:rsidR="004B222F" w:rsidRPr="00DE264C">
        <w:rPr>
          <w:noProof/>
        </w:rPr>
        <w:t>, however the voluntary</w:t>
      </w:r>
      <w:r w:rsidR="00A3020B" w:rsidRPr="00DE264C">
        <w:rPr>
          <w:noProof/>
        </w:rPr>
        <w:t xml:space="preserve"> nature</w:t>
      </w:r>
      <w:r w:rsidR="00E72DA0" w:rsidRPr="00DE264C">
        <w:rPr>
          <w:noProof/>
        </w:rPr>
        <w:t xml:space="preserve"> of the approach limits its effectiveness</w:t>
      </w:r>
      <w:r w:rsidR="00643C28" w:rsidRPr="00DE264C">
        <w:rPr>
          <w:noProof/>
        </w:rPr>
        <w:t xml:space="preserve">. </w:t>
      </w:r>
      <w:r w:rsidR="009A4FC4" w:rsidRPr="00DE264C">
        <w:rPr>
          <w:noProof/>
        </w:rPr>
        <w:t>S</w:t>
      </w:r>
      <w:r w:rsidR="00643C28" w:rsidRPr="00DE264C">
        <w:rPr>
          <w:noProof/>
        </w:rPr>
        <w:t xml:space="preserve">tructured </w:t>
      </w:r>
      <w:r w:rsidR="006A2ADF">
        <w:rPr>
          <w:noProof/>
        </w:rPr>
        <w:t>spectrum Single Market procedure</w:t>
      </w:r>
      <w:r w:rsidR="00643C28" w:rsidRPr="00DE264C">
        <w:rPr>
          <w:noProof/>
        </w:rPr>
        <w:t xml:space="preserve"> and coordination of timing </w:t>
      </w:r>
      <w:r w:rsidR="009A4FC4" w:rsidRPr="00DE264C">
        <w:rPr>
          <w:noProof/>
        </w:rPr>
        <w:t xml:space="preserve">of awards </w:t>
      </w:r>
      <w:r w:rsidR="00643C28" w:rsidRPr="00DE264C">
        <w:rPr>
          <w:noProof/>
        </w:rPr>
        <w:t>via evolving roadmap improves consistency</w:t>
      </w:r>
      <w:r w:rsidR="009A4FC4" w:rsidRPr="00DE264C">
        <w:rPr>
          <w:noProof/>
        </w:rPr>
        <w:t xml:space="preserve"> and transparency,</w:t>
      </w:r>
      <w:r w:rsidR="00643C28" w:rsidRPr="00DE264C">
        <w:rPr>
          <w:noProof/>
        </w:rPr>
        <w:t xml:space="preserve"> while maintaining flexibility</w:t>
      </w:r>
      <w:r w:rsidR="00E134E2" w:rsidRPr="00DE264C">
        <w:rPr>
          <w:noProof/>
        </w:rPr>
        <w:t>, but</w:t>
      </w:r>
      <w:r w:rsidR="005464C8" w:rsidRPr="00DE264C">
        <w:rPr>
          <w:noProof/>
        </w:rPr>
        <w:t xml:space="preserve"> may not deliver </w:t>
      </w:r>
      <w:r w:rsidR="00A07617" w:rsidRPr="00DE264C">
        <w:rPr>
          <w:noProof/>
        </w:rPr>
        <w:t xml:space="preserve">tangible </w:t>
      </w:r>
      <w:r w:rsidR="005464C8" w:rsidRPr="00DE264C">
        <w:rPr>
          <w:noProof/>
        </w:rPr>
        <w:t>results in terms of single market</w:t>
      </w:r>
      <w:r w:rsidR="00EF0F16" w:rsidRPr="00DE264C">
        <w:rPr>
          <w:noProof/>
        </w:rPr>
        <w:t>.</w:t>
      </w:r>
      <w:r w:rsidR="005464C8" w:rsidRPr="00DE264C">
        <w:rPr>
          <w:noProof/>
        </w:rPr>
        <w:t xml:space="preserve"> </w:t>
      </w:r>
    </w:p>
    <w:p w14:paraId="6FAFC630" w14:textId="35BF6DE2" w:rsidR="00FD4F22" w:rsidRPr="00DE264C" w:rsidRDefault="00643C28" w:rsidP="00DE7CC1">
      <w:pPr>
        <w:spacing w:line="240" w:lineRule="auto"/>
        <w:rPr>
          <w:noProof/>
        </w:rPr>
      </w:pPr>
      <w:r w:rsidRPr="00DE264C">
        <w:rPr>
          <w:b/>
          <w:noProof/>
        </w:rPr>
        <w:t>Option 2</w:t>
      </w:r>
      <w:r w:rsidRPr="00DE264C">
        <w:rPr>
          <w:noProof/>
        </w:rPr>
        <w:t xml:space="preserve"> is more effective as it </w:t>
      </w:r>
      <w:r w:rsidR="00644363" w:rsidRPr="00DE264C">
        <w:rPr>
          <w:noProof/>
        </w:rPr>
        <w:t xml:space="preserve">provides legal certainty by </w:t>
      </w:r>
      <w:r w:rsidRPr="00DE264C">
        <w:rPr>
          <w:noProof/>
        </w:rPr>
        <w:t>introduc</w:t>
      </w:r>
      <w:r w:rsidR="00644363" w:rsidRPr="00DE264C">
        <w:rPr>
          <w:noProof/>
        </w:rPr>
        <w:t>ing</w:t>
      </w:r>
      <w:r w:rsidRPr="00DE264C">
        <w:rPr>
          <w:noProof/>
        </w:rPr>
        <w:t xml:space="preserve"> </w:t>
      </w:r>
      <w:r w:rsidR="004302A8" w:rsidRPr="00DE264C">
        <w:rPr>
          <w:noProof/>
        </w:rPr>
        <w:t xml:space="preserve">default </w:t>
      </w:r>
      <w:r w:rsidRPr="00DE264C">
        <w:rPr>
          <w:noProof/>
        </w:rPr>
        <w:t>indefinite licen</w:t>
      </w:r>
      <w:r w:rsidR="0046274E" w:rsidRPr="00DE264C">
        <w:rPr>
          <w:noProof/>
        </w:rPr>
        <w:t>s</w:t>
      </w:r>
      <w:r w:rsidRPr="00DE264C">
        <w:rPr>
          <w:noProof/>
        </w:rPr>
        <w:t>e duration</w:t>
      </w:r>
      <w:r w:rsidR="00752445" w:rsidRPr="00DE264C">
        <w:rPr>
          <w:noProof/>
        </w:rPr>
        <w:t xml:space="preserve"> </w:t>
      </w:r>
      <w:r w:rsidRPr="00DE264C">
        <w:rPr>
          <w:noProof/>
        </w:rPr>
        <w:t>(</w:t>
      </w:r>
      <w:r w:rsidR="002E7E39">
        <w:rPr>
          <w:noProof/>
        </w:rPr>
        <w:t>conditional</w:t>
      </w:r>
      <w:r w:rsidRPr="00DE264C">
        <w:rPr>
          <w:noProof/>
        </w:rPr>
        <w:t xml:space="preserve"> and with </w:t>
      </w:r>
      <w:r w:rsidR="006C585A">
        <w:rPr>
          <w:noProof/>
        </w:rPr>
        <w:t>safeguards of revocation</w:t>
      </w:r>
      <w:r w:rsidRPr="00DE264C">
        <w:rPr>
          <w:noProof/>
        </w:rPr>
        <w:t>). It</w:t>
      </w:r>
      <w:r w:rsidR="00DF55CF" w:rsidRPr="00DE264C">
        <w:rPr>
          <w:noProof/>
        </w:rPr>
        <w:t xml:space="preserve"> improves </w:t>
      </w:r>
      <w:r w:rsidR="009C2634" w:rsidRPr="00DE264C">
        <w:rPr>
          <w:noProof/>
        </w:rPr>
        <w:t>predictability</w:t>
      </w:r>
      <w:r w:rsidRPr="00DE264C">
        <w:rPr>
          <w:noProof/>
        </w:rPr>
        <w:t xml:space="preserve"> through pro-investment and pro-security authorisation conditions </w:t>
      </w:r>
      <w:r w:rsidR="00F65CA1" w:rsidRPr="00DE264C">
        <w:rPr>
          <w:noProof/>
        </w:rPr>
        <w:t>and</w:t>
      </w:r>
      <w:r w:rsidRPr="00DE264C">
        <w:rPr>
          <w:noProof/>
        </w:rPr>
        <w:t xml:space="preserve"> facilitat</w:t>
      </w:r>
      <w:r w:rsidR="00B24213" w:rsidRPr="00DE264C">
        <w:rPr>
          <w:noProof/>
        </w:rPr>
        <w:t>es</w:t>
      </w:r>
      <w:r w:rsidRPr="00DE264C">
        <w:rPr>
          <w:noProof/>
        </w:rPr>
        <w:t xml:space="preserve"> access</w:t>
      </w:r>
      <w:r w:rsidR="00924E25" w:rsidRPr="00DE264C">
        <w:rPr>
          <w:noProof/>
        </w:rPr>
        <w:t xml:space="preserve"> to spectrum</w:t>
      </w:r>
      <w:r w:rsidRPr="00DE264C">
        <w:rPr>
          <w:noProof/>
        </w:rPr>
        <w:t xml:space="preserve"> for wholesale-only operators. </w:t>
      </w:r>
      <w:r w:rsidR="00691684" w:rsidRPr="00DE264C">
        <w:rPr>
          <w:noProof/>
        </w:rPr>
        <w:t>T</w:t>
      </w:r>
      <w:r w:rsidRPr="00DE264C">
        <w:rPr>
          <w:noProof/>
        </w:rPr>
        <w:t xml:space="preserve">he combination of </w:t>
      </w:r>
      <w:r w:rsidR="00691684" w:rsidRPr="00DE264C">
        <w:rPr>
          <w:rStyle w:val="normaltextrun"/>
          <w:i/>
          <w:noProof/>
        </w:rPr>
        <w:t>ex</w:t>
      </w:r>
      <w:r w:rsidR="00BE084E" w:rsidRPr="00DE264C">
        <w:rPr>
          <w:rStyle w:val="normaltextrun"/>
          <w:i/>
          <w:noProof/>
        </w:rPr>
        <w:t xml:space="preserve"> ante</w:t>
      </w:r>
      <w:r w:rsidR="00BE084E" w:rsidRPr="00DE264C">
        <w:rPr>
          <w:rStyle w:val="normaltextrun"/>
          <w:noProof/>
        </w:rPr>
        <w:t xml:space="preserve"> spectrum </w:t>
      </w:r>
      <w:r w:rsidR="00584258">
        <w:rPr>
          <w:rStyle w:val="normaltextrun"/>
          <w:noProof/>
        </w:rPr>
        <w:t>single market procedure</w:t>
      </w:r>
      <w:r w:rsidR="00C93FAE" w:rsidRPr="00DE264C">
        <w:rPr>
          <w:rStyle w:val="normaltextrun"/>
          <w:noProof/>
        </w:rPr>
        <w:t xml:space="preserve"> </w:t>
      </w:r>
      <w:r w:rsidR="006B454D">
        <w:rPr>
          <w:rStyle w:val="normaltextrun"/>
          <w:noProof/>
        </w:rPr>
        <w:t xml:space="preserve">of assigning measures </w:t>
      </w:r>
      <w:r w:rsidR="00C93FAE" w:rsidRPr="00DE264C">
        <w:rPr>
          <w:rStyle w:val="normaltextrun"/>
          <w:noProof/>
        </w:rPr>
        <w:t xml:space="preserve">with possibility </w:t>
      </w:r>
      <w:r w:rsidR="00C1490D" w:rsidRPr="00DE264C">
        <w:rPr>
          <w:rStyle w:val="normaltextrun"/>
          <w:noProof/>
        </w:rPr>
        <w:t>to</w:t>
      </w:r>
      <w:r w:rsidR="00C93FAE" w:rsidRPr="00DE264C">
        <w:rPr>
          <w:rStyle w:val="normaltextrun"/>
          <w:noProof/>
        </w:rPr>
        <w:t xml:space="preserve"> veto </w:t>
      </w:r>
      <w:r w:rsidR="000A414D">
        <w:rPr>
          <w:rStyle w:val="normaltextrun"/>
          <w:noProof/>
        </w:rPr>
        <w:t>on</w:t>
      </w:r>
      <w:r w:rsidR="00C93FAE" w:rsidRPr="00DE264C">
        <w:rPr>
          <w:rStyle w:val="normaltextrun"/>
          <w:noProof/>
        </w:rPr>
        <w:t xml:space="preserve"> market shaping measures</w:t>
      </w:r>
      <w:r w:rsidR="002D1FD2">
        <w:rPr>
          <w:rStyle w:val="normaltextrun"/>
          <w:noProof/>
        </w:rPr>
        <w:t xml:space="preserve"> and limited licence duration</w:t>
      </w:r>
      <w:r w:rsidR="00071F77" w:rsidRPr="00DE264C">
        <w:rPr>
          <w:rStyle w:val="normaltextrun"/>
          <w:noProof/>
        </w:rPr>
        <w:t>,</w:t>
      </w:r>
      <w:r w:rsidR="003E43BC" w:rsidRPr="00DE264C">
        <w:rPr>
          <w:rStyle w:val="normaltextrun"/>
          <w:noProof/>
        </w:rPr>
        <w:t xml:space="preserve"> </w:t>
      </w:r>
      <w:r w:rsidRPr="00DE264C">
        <w:rPr>
          <w:noProof/>
        </w:rPr>
        <w:t xml:space="preserve">binding </w:t>
      </w:r>
      <w:r w:rsidR="00563E3D" w:rsidRPr="00DE264C">
        <w:rPr>
          <w:noProof/>
        </w:rPr>
        <w:t xml:space="preserve">authorisation </w:t>
      </w:r>
      <w:r w:rsidRPr="00DE264C">
        <w:rPr>
          <w:noProof/>
        </w:rPr>
        <w:t xml:space="preserve">conditions </w:t>
      </w:r>
      <w:r w:rsidR="002A6891" w:rsidRPr="00DE264C">
        <w:rPr>
          <w:noProof/>
        </w:rPr>
        <w:t xml:space="preserve">and increased transparency and predictability of the timing of auctions </w:t>
      </w:r>
      <w:r w:rsidRPr="00DE264C">
        <w:rPr>
          <w:noProof/>
        </w:rPr>
        <w:t xml:space="preserve">ensures consistent </w:t>
      </w:r>
      <w:r w:rsidR="006616B9" w:rsidRPr="00DE264C">
        <w:rPr>
          <w:noProof/>
        </w:rPr>
        <w:t>pro</w:t>
      </w:r>
      <w:r w:rsidR="00563E3D" w:rsidRPr="00DE264C">
        <w:rPr>
          <w:noProof/>
        </w:rPr>
        <w:t>-</w:t>
      </w:r>
      <w:r w:rsidR="006616B9" w:rsidRPr="00DE264C">
        <w:rPr>
          <w:noProof/>
        </w:rPr>
        <w:t xml:space="preserve">investment </w:t>
      </w:r>
      <w:r w:rsidRPr="00DE264C">
        <w:rPr>
          <w:noProof/>
        </w:rPr>
        <w:t>authorisation practices</w:t>
      </w:r>
      <w:r w:rsidR="2436CF8F" w:rsidRPr="00DE264C">
        <w:rPr>
          <w:noProof/>
        </w:rPr>
        <w:t>, incentivises cross-border provision of services and facilitates attaining scale</w:t>
      </w:r>
      <w:r w:rsidRPr="00DE264C">
        <w:rPr>
          <w:noProof/>
        </w:rPr>
        <w:t xml:space="preserve">. These features are particularly effective in unlocking investment in key bands </w:t>
      </w:r>
      <w:r w:rsidR="00925112" w:rsidRPr="00DE264C">
        <w:rPr>
          <w:noProof/>
        </w:rPr>
        <w:t>for</w:t>
      </w:r>
      <w:r w:rsidRPr="00DE264C">
        <w:rPr>
          <w:noProof/>
        </w:rPr>
        <w:t xml:space="preserve"> </w:t>
      </w:r>
      <w:r w:rsidR="00BD649A" w:rsidRPr="00DE264C">
        <w:rPr>
          <w:noProof/>
        </w:rPr>
        <w:t xml:space="preserve">high quality </w:t>
      </w:r>
      <w:r w:rsidRPr="00DE264C">
        <w:rPr>
          <w:noProof/>
        </w:rPr>
        <w:t xml:space="preserve">5G </w:t>
      </w:r>
      <w:r w:rsidR="00E41299">
        <w:rPr>
          <w:noProof/>
        </w:rPr>
        <w:t>(</w:t>
      </w:r>
      <w:r w:rsidR="004370CD">
        <w:rPr>
          <w:noProof/>
        </w:rPr>
        <w:t xml:space="preserve">and </w:t>
      </w:r>
      <w:r w:rsidR="00D4778A">
        <w:rPr>
          <w:noProof/>
        </w:rPr>
        <w:t xml:space="preserve">future </w:t>
      </w:r>
      <w:r w:rsidR="004370CD">
        <w:rPr>
          <w:noProof/>
        </w:rPr>
        <w:t>6G</w:t>
      </w:r>
      <w:r w:rsidR="00E41299">
        <w:rPr>
          <w:noProof/>
        </w:rPr>
        <w:t>)</w:t>
      </w:r>
      <w:r w:rsidR="004370CD">
        <w:rPr>
          <w:noProof/>
        </w:rPr>
        <w:t xml:space="preserve"> </w:t>
      </w:r>
      <w:r w:rsidRPr="00DE264C">
        <w:rPr>
          <w:noProof/>
        </w:rPr>
        <w:t xml:space="preserve">which are estimated to generate </w:t>
      </w:r>
      <w:r w:rsidR="00BC7026" w:rsidRPr="00DE264C">
        <w:rPr>
          <w:noProof/>
        </w:rPr>
        <w:t>the highest GDP impact</w:t>
      </w:r>
      <w:r w:rsidR="00017765">
        <w:rPr>
          <w:noProof/>
        </w:rPr>
        <w:t xml:space="preserve">, </w:t>
      </w:r>
      <w:r w:rsidR="00E64CF7">
        <w:rPr>
          <w:noProof/>
        </w:rPr>
        <w:t xml:space="preserve">as confirmed by </w:t>
      </w:r>
      <w:r w:rsidR="00847624">
        <w:rPr>
          <w:noProof/>
        </w:rPr>
        <w:t xml:space="preserve">the historical data analysis and </w:t>
      </w:r>
      <w:r w:rsidR="00847624" w:rsidRPr="00DE264C">
        <w:rPr>
          <w:noProof/>
        </w:rPr>
        <w:t xml:space="preserve">correlations between </w:t>
      </w:r>
      <w:r w:rsidR="00847624">
        <w:rPr>
          <w:noProof/>
        </w:rPr>
        <w:t xml:space="preserve">regulatory approaches </w:t>
      </w:r>
      <w:r w:rsidR="00847624" w:rsidRPr="00DE264C">
        <w:rPr>
          <w:noProof/>
        </w:rPr>
        <w:t>and market outcomes</w:t>
      </w:r>
      <w:r w:rsidR="00E64CF7">
        <w:rPr>
          <w:noProof/>
        </w:rPr>
        <w:t xml:space="preserve"> </w:t>
      </w:r>
      <w:r w:rsidR="00847624">
        <w:rPr>
          <w:noProof/>
        </w:rPr>
        <w:t xml:space="preserve">and by the model indicative estimates of </w:t>
      </w:r>
      <w:r w:rsidRPr="00DE264C">
        <w:rPr>
          <w:noProof/>
        </w:rPr>
        <w:t>up to EUR</w:t>
      </w:r>
      <w:r w:rsidR="007C708C">
        <w:rPr>
          <w:rFonts w:eastAsia="Times New Roman"/>
          <w:noProof/>
          <w:color w:val="000000" w:themeColor="text1"/>
        </w:rPr>
        <w:t xml:space="preserve"> </w:t>
      </w:r>
      <w:r w:rsidRPr="00DE264C">
        <w:rPr>
          <w:noProof/>
        </w:rPr>
        <w:t>1.</w:t>
      </w:r>
      <w:r w:rsidR="00997230" w:rsidRPr="00DE264C">
        <w:rPr>
          <w:noProof/>
        </w:rPr>
        <w:t xml:space="preserve">55 </w:t>
      </w:r>
      <w:r w:rsidRPr="00DE264C">
        <w:rPr>
          <w:noProof/>
        </w:rPr>
        <w:t>trillion in cumulative GDP benefits</w:t>
      </w:r>
      <w:r w:rsidR="0052201D" w:rsidRPr="00DE264C">
        <w:rPr>
          <w:noProof/>
        </w:rPr>
        <w:t xml:space="preserve"> </w:t>
      </w:r>
      <w:r w:rsidR="00D95423">
        <w:rPr>
          <w:noProof/>
        </w:rPr>
        <w:t>(</w:t>
      </w:r>
      <w:r w:rsidRPr="00DE264C">
        <w:rPr>
          <w:noProof/>
        </w:rPr>
        <w:t xml:space="preserve">and </w:t>
      </w:r>
      <w:r w:rsidR="001F3C8E" w:rsidRPr="00DE264C">
        <w:rPr>
          <w:noProof/>
        </w:rPr>
        <w:t xml:space="preserve">even more for </w:t>
      </w:r>
      <w:r w:rsidRPr="00DE264C">
        <w:rPr>
          <w:noProof/>
        </w:rPr>
        <w:t>6G</w:t>
      </w:r>
      <w:r w:rsidR="0052201D" w:rsidRPr="00DE264C">
        <w:rPr>
          <w:noProof/>
        </w:rPr>
        <w:t xml:space="preserve"> </w:t>
      </w:r>
      <w:r w:rsidR="001F3C8E" w:rsidRPr="00DE264C">
        <w:rPr>
          <w:noProof/>
        </w:rPr>
        <w:t>investments</w:t>
      </w:r>
      <w:r w:rsidR="00E90F85" w:rsidRPr="00DE264C">
        <w:rPr>
          <w:noProof/>
        </w:rPr>
        <w:t xml:space="preserve"> </w:t>
      </w:r>
      <w:r w:rsidR="00464E6F" w:rsidRPr="00DE264C">
        <w:rPr>
          <w:noProof/>
        </w:rPr>
        <w:t>in the longer term</w:t>
      </w:r>
      <w:r w:rsidR="00EE3B5A" w:rsidRPr="00DE264C">
        <w:rPr>
          <w:noProof/>
        </w:rPr>
        <w:t>)</w:t>
      </w:r>
      <w:r w:rsidR="008B0EAA" w:rsidRPr="00DE264C">
        <w:rPr>
          <w:noProof/>
        </w:rPr>
        <w:t>.</w:t>
      </w:r>
      <w:r w:rsidR="009C1B6D" w:rsidRPr="00DE264C">
        <w:rPr>
          <w:noProof/>
        </w:rPr>
        <w:t xml:space="preserve"> </w:t>
      </w:r>
      <w:r w:rsidR="00150A5D" w:rsidRPr="00940F69">
        <w:rPr>
          <w:noProof/>
        </w:rPr>
        <w:t>T</w:t>
      </w:r>
      <w:r w:rsidR="005E3EF0" w:rsidRPr="00940F69">
        <w:rPr>
          <w:noProof/>
        </w:rPr>
        <w:t>his option promote</w:t>
      </w:r>
      <w:r w:rsidR="006E6CF2" w:rsidRPr="00940F69">
        <w:rPr>
          <w:noProof/>
        </w:rPr>
        <w:t>s</w:t>
      </w:r>
      <w:r w:rsidR="005E3EF0" w:rsidRPr="00940F69">
        <w:rPr>
          <w:noProof/>
        </w:rPr>
        <w:t xml:space="preserve"> harmonised EU-wide</w:t>
      </w:r>
      <w:r w:rsidR="00B71805" w:rsidRPr="00940F69">
        <w:rPr>
          <w:noProof/>
        </w:rPr>
        <w:t xml:space="preserve"> 6G </w:t>
      </w:r>
      <w:r w:rsidR="005E3EF0" w:rsidRPr="00940F69">
        <w:rPr>
          <w:noProof/>
        </w:rPr>
        <w:t xml:space="preserve">deployment </w:t>
      </w:r>
      <w:r w:rsidR="00B71805" w:rsidRPr="00940F69">
        <w:rPr>
          <w:noProof/>
        </w:rPr>
        <w:t xml:space="preserve">in </w:t>
      </w:r>
      <w:r w:rsidR="005E3EF0" w:rsidRPr="00940F69">
        <w:rPr>
          <w:noProof/>
        </w:rPr>
        <w:t>strategically important bands</w:t>
      </w:r>
      <w:r w:rsidR="006E6CF2" w:rsidRPr="00940F69">
        <w:rPr>
          <w:noProof/>
        </w:rPr>
        <w:t>,</w:t>
      </w:r>
      <w:r w:rsidR="0069264E" w:rsidRPr="00DE264C">
        <w:rPr>
          <w:noProof/>
        </w:rPr>
        <w:t xml:space="preserve"> reinforce</w:t>
      </w:r>
      <w:r w:rsidR="001E23E7" w:rsidRPr="00DE264C">
        <w:rPr>
          <w:noProof/>
        </w:rPr>
        <w:t>s</w:t>
      </w:r>
      <w:r w:rsidR="0069264E" w:rsidRPr="00DE264C">
        <w:rPr>
          <w:noProof/>
        </w:rPr>
        <w:t xml:space="preserve"> EU competitiveness</w:t>
      </w:r>
      <w:r w:rsidR="00954124" w:rsidRPr="00DE264C">
        <w:rPr>
          <w:noProof/>
        </w:rPr>
        <w:t xml:space="preserve">, particularly </w:t>
      </w:r>
      <w:r w:rsidR="004C196C" w:rsidRPr="00DE264C">
        <w:rPr>
          <w:noProof/>
        </w:rPr>
        <w:t>for vertical</w:t>
      </w:r>
      <w:r w:rsidR="00954124" w:rsidRPr="00DE264C">
        <w:rPr>
          <w:noProof/>
        </w:rPr>
        <w:t xml:space="preserve"> sectors </w:t>
      </w:r>
      <w:r w:rsidR="00911B45" w:rsidRPr="00DE264C">
        <w:rPr>
          <w:noProof/>
        </w:rPr>
        <w:t>and</w:t>
      </w:r>
      <w:r w:rsidR="008A081C" w:rsidRPr="00DE264C">
        <w:rPr>
          <w:noProof/>
        </w:rPr>
        <w:t xml:space="preserve"> open</w:t>
      </w:r>
      <w:r w:rsidR="009828C1" w:rsidRPr="00DE264C">
        <w:rPr>
          <w:noProof/>
        </w:rPr>
        <w:t>s</w:t>
      </w:r>
      <w:r w:rsidR="003460BC" w:rsidRPr="00DE264C">
        <w:rPr>
          <w:noProof/>
        </w:rPr>
        <w:t xml:space="preserve"> up</w:t>
      </w:r>
      <w:r w:rsidR="008A081C" w:rsidRPr="00DE264C">
        <w:rPr>
          <w:noProof/>
        </w:rPr>
        <w:t xml:space="preserve"> </w:t>
      </w:r>
      <w:r w:rsidR="00CB0ED8" w:rsidRPr="00DE264C">
        <w:rPr>
          <w:noProof/>
        </w:rPr>
        <w:t>new opportunities for development of new spectrum</w:t>
      </w:r>
      <w:r w:rsidR="00BA43FF" w:rsidRPr="00DE264C">
        <w:rPr>
          <w:noProof/>
        </w:rPr>
        <w:t>-</w:t>
      </w:r>
      <w:r w:rsidR="00CB0ED8" w:rsidRPr="00DE264C">
        <w:rPr>
          <w:noProof/>
        </w:rPr>
        <w:t>based services thanks to spectrum sharing</w:t>
      </w:r>
      <w:r w:rsidR="0069264E" w:rsidRPr="00DE264C">
        <w:rPr>
          <w:noProof/>
        </w:rPr>
        <w:t>.</w:t>
      </w:r>
      <w:r w:rsidR="0046274E" w:rsidRPr="00DE264C">
        <w:rPr>
          <w:noProof/>
        </w:rPr>
        <w:t xml:space="preserve"> </w:t>
      </w:r>
    </w:p>
    <w:p w14:paraId="27F38C86" w14:textId="557B1C4A" w:rsidR="00C95C59" w:rsidRPr="00261CF1" w:rsidRDefault="00C95C59" w:rsidP="00DE7CC1">
      <w:pPr>
        <w:pStyle w:val="EYBodytextwithparaspace"/>
        <w:spacing w:before="0" w:after="240" w:line="240" w:lineRule="auto"/>
        <w:rPr>
          <w:rFonts w:ascii="Times New Roman" w:hAnsi="Times New Roman"/>
          <w:noProof/>
        </w:rPr>
      </w:pPr>
      <w:r w:rsidRPr="00320D78">
        <w:rPr>
          <w:rFonts w:ascii="Times New Roman" w:hAnsi="Times New Roman"/>
          <w:b/>
          <w:noProof/>
        </w:rPr>
        <w:t>Option 3</w:t>
      </w:r>
      <w:r w:rsidRPr="00320D78">
        <w:rPr>
          <w:rFonts w:ascii="Times New Roman" w:hAnsi="Times New Roman"/>
          <w:noProof/>
        </w:rPr>
        <w:t>,</w:t>
      </w:r>
      <w:r w:rsidRPr="00320D78">
        <w:rPr>
          <w:rFonts w:ascii="Times New Roman" w:eastAsiaTheme="minorEastAsia" w:hAnsi="Times New Roman"/>
          <w:noProof/>
        </w:rPr>
        <w:t xml:space="preserve"> </w:t>
      </w:r>
      <w:r w:rsidRPr="00320D78">
        <w:rPr>
          <w:rFonts w:ascii="Times New Roman" w:hAnsi="Times New Roman"/>
          <w:noProof/>
        </w:rPr>
        <w:t xml:space="preserve">while yielding a comparable GDP impact to </w:t>
      </w:r>
      <w:r w:rsidR="004D64D0">
        <w:rPr>
          <w:rFonts w:ascii="Times New Roman" w:hAnsi="Times New Roman"/>
          <w:noProof/>
        </w:rPr>
        <w:t>o</w:t>
      </w:r>
      <w:r w:rsidR="006D3FF9">
        <w:rPr>
          <w:rFonts w:ascii="Times New Roman" w:hAnsi="Times New Roman"/>
          <w:noProof/>
        </w:rPr>
        <w:t>ption</w:t>
      </w:r>
      <w:r w:rsidRPr="00320D78">
        <w:rPr>
          <w:rFonts w:ascii="Times New Roman" w:hAnsi="Times New Roman"/>
          <w:noProof/>
        </w:rPr>
        <w:t xml:space="preserve"> 2 over the 2025</w:t>
      </w:r>
      <w:r w:rsidR="00B54329" w:rsidRPr="00BF50BF">
        <w:rPr>
          <w:noProof/>
          <w:lang w:val="en-US"/>
        </w:rPr>
        <w:t>–</w:t>
      </w:r>
      <w:r w:rsidRPr="00320D78">
        <w:rPr>
          <w:rFonts w:ascii="Times New Roman" w:hAnsi="Times New Roman"/>
          <w:noProof/>
        </w:rPr>
        <w:t>2035 period,</w:t>
      </w:r>
      <w:r w:rsidRPr="00320D78">
        <w:rPr>
          <w:rStyle w:val="FootnoteReference"/>
          <w:noProof/>
        </w:rPr>
        <w:footnoteReference w:id="271"/>
      </w:r>
      <w:r w:rsidRPr="00320D78">
        <w:rPr>
          <w:rFonts w:ascii="Times New Roman" w:hAnsi="Times New Roman"/>
          <w:noProof/>
        </w:rPr>
        <w:t xml:space="preserve"> reaches the highest level of effectiveness in the long term, as effectiveness is not assessed solely on the basis of the GDP estimates but also reflects effectiveness gains beyond the modelling horizon and </w:t>
      </w:r>
      <w:r w:rsidRPr="00D8688A">
        <w:rPr>
          <w:rFonts w:ascii="Times New Roman" w:hAnsi="Times New Roman"/>
          <w:noProof/>
        </w:rPr>
        <w:t>scope.</w:t>
      </w:r>
      <w:r w:rsidRPr="00D8688A">
        <w:rPr>
          <w:rStyle w:val="FootnoteReference"/>
          <w:noProof/>
        </w:rPr>
        <w:footnoteReference w:id="272"/>
      </w:r>
      <w:r w:rsidRPr="004813E6">
        <w:rPr>
          <w:rFonts w:ascii="Times New Roman" w:hAnsi="Times New Roman"/>
          <w:noProof/>
        </w:rPr>
        <w:t xml:space="preserve"> </w:t>
      </w:r>
      <w:r w:rsidRPr="00261CF1">
        <w:rPr>
          <w:rFonts w:ascii="Times New Roman" w:hAnsi="Times New Roman"/>
          <w:noProof/>
        </w:rPr>
        <w:t xml:space="preserve">Through EU-level spectrum awards for specific bands, harmonised licence conditions, and indefinite license durations </w:t>
      </w:r>
      <w:r w:rsidR="001238AE">
        <w:rPr>
          <w:rFonts w:ascii="Times New Roman" w:hAnsi="Times New Roman"/>
          <w:noProof/>
        </w:rPr>
        <w:t>o</w:t>
      </w:r>
      <w:r w:rsidRPr="00261CF1">
        <w:rPr>
          <w:rFonts w:ascii="Times New Roman" w:hAnsi="Times New Roman"/>
          <w:noProof/>
        </w:rPr>
        <w:t xml:space="preserve">ption 3 addresses persistent sources of regulatory fragmentation and lack of predictability at national level. By mandating coordinated spectrum authorisation and enabling shared governance at EU level, </w:t>
      </w:r>
      <w:r w:rsidR="001238AE">
        <w:rPr>
          <w:rFonts w:ascii="Times New Roman" w:hAnsi="Times New Roman"/>
          <w:noProof/>
        </w:rPr>
        <w:t>o</w:t>
      </w:r>
      <w:r w:rsidR="006D3FF9">
        <w:rPr>
          <w:rFonts w:ascii="Times New Roman" w:hAnsi="Times New Roman"/>
          <w:noProof/>
        </w:rPr>
        <w:t>ption</w:t>
      </w:r>
      <w:r w:rsidRPr="00261CF1">
        <w:rPr>
          <w:rFonts w:ascii="Times New Roman" w:hAnsi="Times New Roman"/>
          <w:noProof/>
        </w:rPr>
        <w:t xml:space="preserve"> 3 establishes a highly stable, scalable investment environment across the Union, possibly fostering cross-border consolidation between telco operators. It is the most effective option as it also includes a compliance mechanism at EU level, introducing a binding interference response framework and substitutes CEPT with an EU-only high-level group in sensitive areas, thereby maximising the EU’s strategic coherence and response capacity. It enables deployment in mid-band spectrum which provides the largest economic gains, and the harmonised framework strengthens conditions for pan-European investments.</w:t>
      </w:r>
    </w:p>
    <w:p w14:paraId="2C3E655C" w14:textId="0A50BEC9" w:rsidR="001D1636" w:rsidRPr="00376DF6" w:rsidRDefault="00376DF6" w:rsidP="00DE7CC1">
      <w:pPr>
        <w:spacing w:line="240" w:lineRule="auto"/>
        <w:rPr>
          <w:noProof/>
        </w:rPr>
      </w:pPr>
      <w:r w:rsidRPr="00376DF6">
        <w:rPr>
          <w:b/>
          <w:bCs/>
          <w:noProof/>
        </w:rPr>
        <w:t>Sensitivity analysis</w:t>
      </w:r>
      <w:r>
        <w:rPr>
          <w:noProof/>
        </w:rPr>
        <w:t xml:space="preserve">: </w:t>
      </w:r>
      <w:r w:rsidR="001D1636" w:rsidRPr="00DE264C">
        <w:rPr>
          <w:noProof/>
        </w:rPr>
        <w:t>To account for potential uncertainties</w:t>
      </w:r>
      <w:r w:rsidR="0006252C">
        <w:rPr>
          <w:noProof/>
        </w:rPr>
        <w:t xml:space="preserve"> of the model that estimated indicative GDP impacts</w:t>
      </w:r>
      <w:r w:rsidR="001D1636" w:rsidRPr="00DE264C">
        <w:rPr>
          <w:noProof/>
        </w:rPr>
        <w:t xml:space="preserve">, a sensitivity analysis </w:t>
      </w:r>
      <w:r w:rsidR="004E5028">
        <w:rPr>
          <w:noProof/>
        </w:rPr>
        <w:t xml:space="preserve">has been </w:t>
      </w:r>
      <w:r w:rsidR="001D1636" w:rsidRPr="00DE264C">
        <w:rPr>
          <w:noProof/>
        </w:rPr>
        <w:t>conducted</w:t>
      </w:r>
      <w:r w:rsidR="00713F36">
        <w:rPr>
          <w:noProof/>
        </w:rPr>
        <w:t>, r</w:t>
      </w:r>
      <w:r w:rsidR="001D1636" w:rsidRPr="00DE264C">
        <w:rPr>
          <w:noProof/>
        </w:rPr>
        <w:t>el</w:t>
      </w:r>
      <w:r w:rsidR="00713F36">
        <w:rPr>
          <w:noProof/>
        </w:rPr>
        <w:t>ying</w:t>
      </w:r>
      <w:r w:rsidR="001D1636" w:rsidRPr="00DE264C">
        <w:rPr>
          <w:noProof/>
        </w:rPr>
        <w:t xml:space="preserve"> on varying estimates </w:t>
      </w:r>
      <w:r w:rsidR="000853D8">
        <w:rPr>
          <w:noProof/>
        </w:rPr>
        <w:t>based on the methodology presented in Annex 4</w:t>
      </w:r>
      <w:r w:rsidR="004E5028">
        <w:rPr>
          <w:noProof/>
        </w:rPr>
        <w:t xml:space="preserve">, </w:t>
      </w:r>
      <w:r w:rsidR="007F0AC1">
        <w:rPr>
          <w:noProof/>
        </w:rPr>
        <w:t>S</w:t>
      </w:r>
      <w:r w:rsidR="00440740">
        <w:rPr>
          <w:noProof/>
        </w:rPr>
        <w:t>ection</w:t>
      </w:r>
      <w:r w:rsidR="00A54B44">
        <w:rPr>
          <w:noProof/>
        </w:rPr>
        <w:t xml:space="preserve"> </w:t>
      </w:r>
      <w:r w:rsidR="005350D7">
        <w:rPr>
          <w:noProof/>
        </w:rPr>
        <w:t>2</w:t>
      </w:r>
      <w:r w:rsidR="001D1636" w:rsidRPr="00DE264C">
        <w:rPr>
          <w:noProof/>
        </w:rPr>
        <w:t xml:space="preserve">. Under the lower-sensitivity scenario, </w:t>
      </w:r>
      <w:r w:rsidR="00887734">
        <w:rPr>
          <w:noProof/>
        </w:rPr>
        <w:t>account</w:t>
      </w:r>
      <w:r w:rsidR="000D0B64">
        <w:rPr>
          <w:noProof/>
        </w:rPr>
        <w:t>ing</w:t>
      </w:r>
      <w:r w:rsidR="00887734" w:rsidRPr="00DE264C">
        <w:rPr>
          <w:noProof/>
        </w:rPr>
        <w:t xml:space="preserve"> for multiple uncertainties </w:t>
      </w:r>
      <w:r w:rsidR="00887734">
        <w:rPr>
          <w:noProof/>
        </w:rPr>
        <w:t xml:space="preserve">and </w:t>
      </w:r>
      <w:r w:rsidR="001D1636" w:rsidRPr="00DE264C">
        <w:rPr>
          <w:noProof/>
        </w:rPr>
        <w:t>assum</w:t>
      </w:r>
      <w:r w:rsidR="004C3766">
        <w:rPr>
          <w:noProof/>
        </w:rPr>
        <w:t>ing</w:t>
      </w:r>
      <w:r w:rsidR="001D1636" w:rsidRPr="00DE264C">
        <w:rPr>
          <w:noProof/>
        </w:rPr>
        <w:t xml:space="preserve"> a smaller impact of increased mobile broadband speeds on productivity and GDP (</w:t>
      </w:r>
      <w:r w:rsidR="00994AF5">
        <w:rPr>
          <w:noProof/>
        </w:rPr>
        <w:t>e.g.</w:t>
      </w:r>
      <w:r w:rsidR="001D1636" w:rsidRPr="00DE264C">
        <w:rPr>
          <w:noProof/>
        </w:rPr>
        <w:t>, due to uncertainties regarding effective use of 5G-enabled technologies across sectors or slower diffusion of digital applications), the cumulative GDP impact for the EU over the period 2025–2035 is estimated at EUR</w:t>
      </w:r>
      <w:r w:rsidR="0005798F">
        <w:rPr>
          <w:noProof/>
        </w:rPr>
        <w:t xml:space="preserve"> </w:t>
      </w:r>
      <w:r w:rsidR="001D1636" w:rsidRPr="00DE264C">
        <w:rPr>
          <w:noProof/>
        </w:rPr>
        <w:t xml:space="preserve">179 billion for </w:t>
      </w:r>
      <w:r w:rsidR="001238AE">
        <w:rPr>
          <w:noProof/>
        </w:rPr>
        <w:t>o</w:t>
      </w:r>
      <w:r w:rsidR="006D3FF9">
        <w:rPr>
          <w:noProof/>
        </w:rPr>
        <w:t>ption</w:t>
      </w:r>
      <w:r w:rsidR="00347D14" w:rsidRPr="00DE264C">
        <w:rPr>
          <w:noProof/>
        </w:rPr>
        <w:t>s</w:t>
      </w:r>
      <w:r w:rsidR="001D1636" w:rsidRPr="00DE264C">
        <w:rPr>
          <w:noProof/>
        </w:rPr>
        <w:t xml:space="preserve"> 2 and 3, compared to EUR</w:t>
      </w:r>
      <w:r w:rsidR="0005798F">
        <w:rPr>
          <w:noProof/>
        </w:rPr>
        <w:t xml:space="preserve"> </w:t>
      </w:r>
      <w:r w:rsidR="001D1636" w:rsidRPr="00DE264C">
        <w:rPr>
          <w:noProof/>
        </w:rPr>
        <w:t>171 billion for the baseline and EUR</w:t>
      </w:r>
      <w:r w:rsidR="0005798F">
        <w:rPr>
          <w:noProof/>
        </w:rPr>
        <w:t xml:space="preserve"> </w:t>
      </w:r>
      <w:r w:rsidR="001D1636" w:rsidRPr="00DE264C">
        <w:rPr>
          <w:noProof/>
        </w:rPr>
        <w:t>17</w:t>
      </w:r>
      <w:r w:rsidR="007F532E">
        <w:rPr>
          <w:noProof/>
        </w:rPr>
        <w:t>4</w:t>
      </w:r>
      <w:r w:rsidR="001D1636" w:rsidRPr="00DE264C">
        <w:rPr>
          <w:noProof/>
        </w:rPr>
        <w:t xml:space="preserve"> billion for </w:t>
      </w:r>
      <w:r w:rsidR="006D3FF9">
        <w:rPr>
          <w:noProof/>
        </w:rPr>
        <w:t>option</w:t>
      </w:r>
      <w:r w:rsidR="001D1636" w:rsidRPr="00DE264C">
        <w:rPr>
          <w:noProof/>
        </w:rPr>
        <w:t xml:space="preserve"> </w:t>
      </w:r>
      <w:r w:rsidR="007F532E">
        <w:rPr>
          <w:noProof/>
        </w:rPr>
        <w:t>1</w:t>
      </w:r>
      <w:r w:rsidR="001D1636" w:rsidRPr="00DE264C">
        <w:rPr>
          <w:noProof/>
        </w:rPr>
        <w:t>. Conversely, under the upper-sensitivity scenario, which assumes a higher responsiveness of GDP to broadband speed improvements (for instance, reflecting faster adoption of 5G-driven innovations or stronger network effects), the overall GDP impact for the EU over the same period is estimated at EUR</w:t>
      </w:r>
      <w:r w:rsidR="0005798F">
        <w:rPr>
          <w:noProof/>
        </w:rPr>
        <w:t xml:space="preserve"> </w:t>
      </w:r>
      <w:r w:rsidR="001D1636" w:rsidRPr="00DE264C">
        <w:rPr>
          <w:noProof/>
        </w:rPr>
        <w:t>2</w:t>
      </w:r>
      <w:r w:rsidR="00EB1904">
        <w:rPr>
          <w:noProof/>
        </w:rPr>
        <w:t>,</w:t>
      </w:r>
      <w:r w:rsidR="001D1636" w:rsidRPr="00DE264C">
        <w:rPr>
          <w:noProof/>
        </w:rPr>
        <w:t xml:space="preserve">116 billion for </w:t>
      </w:r>
      <w:r w:rsidR="001238AE">
        <w:rPr>
          <w:noProof/>
        </w:rPr>
        <w:t>o</w:t>
      </w:r>
      <w:r w:rsidR="00B53D12" w:rsidRPr="00DE264C">
        <w:rPr>
          <w:noProof/>
        </w:rPr>
        <w:t xml:space="preserve">ptions </w:t>
      </w:r>
      <w:r w:rsidR="001D1636" w:rsidRPr="00DE264C">
        <w:rPr>
          <w:noProof/>
        </w:rPr>
        <w:t>2 and 3, compared to EUR</w:t>
      </w:r>
      <w:r w:rsidR="0005798F">
        <w:rPr>
          <w:noProof/>
        </w:rPr>
        <w:t xml:space="preserve"> </w:t>
      </w:r>
      <w:r w:rsidR="001D1636" w:rsidRPr="00DE264C">
        <w:rPr>
          <w:noProof/>
        </w:rPr>
        <w:t>2</w:t>
      </w:r>
      <w:r w:rsidR="00ED1AA3">
        <w:rPr>
          <w:noProof/>
        </w:rPr>
        <w:t>,</w:t>
      </w:r>
      <w:r w:rsidR="001D1636" w:rsidRPr="00DE264C">
        <w:rPr>
          <w:noProof/>
        </w:rPr>
        <w:t>015 billion for the baseline</w:t>
      </w:r>
      <w:r w:rsidR="0005798F">
        <w:rPr>
          <w:noProof/>
        </w:rPr>
        <w:t xml:space="preserve"> and </w:t>
      </w:r>
      <w:r w:rsidR="003A6775">
        <w:rPr>
          <w:noProof/>
        </w:rPr>
        <w:t>EUR 2</w:t>
      </w:r>
      <w:r w:rsidR="00ED1AA3">
        <w:rPr>
          <w:noProof/>
        </w:rPr>
        <w:t>,</w:t>
      </w:r>
      <w:r w:rsidR="003A6775">
        <w:rPr>
          <w:noProof/>
        </w:rPr>
        <w:t xml:space="preserve">049 billion for </w:t>
      </w:r>
      <w:r w:rsidR="001238AE">
        <w:rPr>
          <w:noProof/>
        </w:rPr>
        <w:t>o</w:t>
      </w:r>
      <w:r w:rsidR="00B53D12">
        <w:rPr>
          <w:noProof/>
        </w:rPr>
        <w:t xml:space="preserve">ption </w:t>
      </w:r>
      <w:r w:rsidR="003A6775">
        <w:rPr>
          <w:noProof/>
        </w:rPr>
        <w:t>1.</w:t>
      </w:r>
      <w:r w:rsidR="00010CDE">
        <w:rPr>
          <w:noProof/>
        </w:rPr>
        <w:t xml:space="preserve"> </w:t>
      </w:r>
      <w:r w:rsidR="001D1636" w:rsidRPr="00DE264C">
        <w:rPr>
          <w:noProof/>
        </w:rPr>
        <w:t>These results illustrate that while the magnitude of impacts varies substantially across sensitivity assumptions, the relative differences between policy options remain limited, suggesting that the overall ranking of options is robust to variations in the assumed elasticity of GDP to broadband speed increases.</w:t>
      </w:r>
    </w:p>
    <w:p w14:paraId="7A8EF432" w14:textId="2442BDAF" w:rsidR="00F42249" w:rsidRPr="00DE264C" w:rsidRDefault="00643C28" w:rsidP="00DE7CC1">
      <w:pPr>
        <w:spacing w:line="240" w:lineRule="auto"/>
        <w:rPr>
          <w:b/>
          <w:noProof/>
          <w:lang w:val="en-IE"/>
        </w:rPr>
      </w:pPr>
      <w:r w:rsidRPr="00DE264C">
        <w:rPr>
          <w:b/>
          <w:noProof/>
          <w:u w:val="single"/>
        </w:rPr>
        <w:t>Efficiency</w:t>
      </w:r>
    </w:p>
    <w:p w14:paraId="5E23868C" w14:textId="77777777" w:rsidR="000B4F11" w:rsidRPr="00DE264C" w:rsidRDefault="00643C28" w:rsidP="00DE7CC1">
      <w:pPr>
        <w:pStyle w:val="EYBodytextwithparaspace"/>
        <w:spacing w:before="0" w:after="240" w:line="240" w:lineRule="auto"/>
        <w:rPr>
          <w:rFonts w:ascii="Times New Roman" w:hAnsi="Times New Roman"/>
          <w:noProof/>
          <w:lang w:val="en-IE"/>
        </w:rPr>
      </w:pPr>
      <w:r w:rsidRPr="00940F69">
        <w:rPr>
          <w:rFonts w:ascii="Times New Roman" w:hAnsi="Times New Roman"/>
          <w:b/>
          <w:noProof/>
        </w:rPr>
        <w:t>The baseline</w:t>
      </w:r>
      <w:r w:rsidRPr="00940F69">
        <w:rPr>
          <w:rFonts w:ascii="Times New Roman" w:hAnsi="Times New Roman"/>
          <w:noProof/>
        </w:rPr>
        <w:t xml:space="preserve"> scenario involves minimal administrative costs, but its inefficiencies lie in missed investment opportunities and persistent market fragmentation. </w:t>
      </w:r>
    </w:p>
    <w:p w14:paraId="63C6F835" w14:textId="313AD535" w:rsidR="006E2482" w:rsidRPr="00DE264C" w:rsidRDefault="0043212A" w:rsidP="00DE7CC1">
      <w:pPr>
        <w:pStyle w:val="EYBodytextwithparaspace"/>
        <w:spacing w:before="0" w:after="240" w:line="240" w:lineRule="auto"/>
        <w:rPr>
          <w:rFonts w:ascii="Times New Roman" w:hAnsi="Times New Roman"/>
          <w:noProof/>
          <w:lang w:val="en-IE"/>
        </w:rPr>
      </w:pPr>
      <w:r w:rsidRPr="00940F69">
        <w:rPr>
          <w:rFonts w:ascii="Times New Roman" w:hAnsi="Times New Roman"/>
          <w:b/>
          <w:noProof/>
        </w:rPr>
        <w:t>O</w:t>
      </w:r>
      <w:r w:rsidR="005D317F" w:rsidRPr="00940F69">
        <w:rPr>
          <w:rFonts w:ascii="Times New Roman" w:hAnsi="Times New Roman"/>
          <w:b/>
          <w:noProof/>
        </w:rPr>
        <w:t>ption 1</w:t>
      </w:r>
      <w:r w:rsidR="005D317F" w:rsidRPr="00940F69">
        <w:rPr>
          <w:rFonts w:ascii="Times New Roman" w:hAnsi="Times New Roman"/>
          <w:noProof/>
        </w:rPr>
        <w:t xml:space="preserve"> is</w:t>
      </w:r>
      <w:r w:rsidR="00643C28" w:rsidRPr="00940F69">
        <w:rPr>
          <w:rFonts w:ascii="Times New Roman" w:hAnsi="Times New Roman"/>
          <w:noProof/>
        </w:rPr>
        <w:t xml:space="preserve"> cost-effective: promoting long licence durations and best practices brings </w:t>
      </w:r>
      <w:r w:rsidR="00881A42" w:rsidRPr="00940F69">
        <w:rPr>
          <w:rFonts w:ascii="Times New Roman" w:hAnsi="Times New Roman"/>
          <w:noProof/>
        </w:rPr>
        <w:t xml:space="preserve">improved </w:t>
      </w:r>
      <w:r w:rsidR="00643C28" w:rsidRPr="00940F69">
        <w:rPr>
          <w:rFonts w:ascii="Times New Roman" w:hAnsi="Times New Roman"/>
          <w:noProof/>
        </w:rPr>
        <w:t xml:space="preserve">predictability with relatively low regulatory burden. </w:t>
      </w:r>
      <w:r w:rsidR="003F03F8">
        <w:rPr>
          <w:rFonts w:ascii="Times New Roman" w:hAnsi="Times New Roman"/>
          <w:noProof/>
        </w:rPr>
        <w:t>Replacing</w:t>
      </w:r>
      <w:r w:rsidR="00881A42" w:rsidRPr="00940F69">
        <w:rPr>
          <w:rFonts w:ascii="Times New Roman" w:hAnsi="Times New Roman"/>
          <w:noProof/>
        </w:rPr>
        <w:t xml:space="preserve"> </w:t>
      </w:r>
      <w:r w:rsidR="00EC15BB" w:rsidRPr="00940F69">
        <w:rPr>
          <w:rFonts w:ascii="Times New Roman" w:hAnsi="Times New Roman"/>
          <w:noProof/>
        </w:rPr>
        <w:t xml:space="preserve">the </w:t>
      </w:r>
      <w:r w:rsidR="00643C28" w:rsidRPr="00940F69">
        <w:rPr>
          <w:rFonts w:ascii="Times New Roman" w:hAnsi="Times New Roman"/>
          <w:noProof/>
        </w:rPr>
        <w:t xml:space="preserve">peer review processes </w:t>
      </w:r>
      <w:r w:rsidR="003F03F8">
        <w:rPr>
          <w:rFonts w:ascii="Times New Roman" w:hAnsi="Times New Roman"/>
          <w:noProof/>
        </w:rPr>
        <w:t xml:space="preserve">with the </w:t>
      </w:r>
      <w:r w:rsidR="00915EF2">
        <w:rPr>
          <w:rFonts w:ascii="Times New Roman" w:hAnsi="Times New Roman"/>
          <w:noProof/>
        </w:rPr>
        <w:t xml:space="preserve">spectrum Single Market procedure </w:t>
      </w:r>
      <w:r w:rsidR="00643C28" w:rsidRPr="00940F69">
        <w:rPr>
          <w:rFonts w:ascii="Times New Roman" w:hAnsi="Times New Roman"/>
          <w:noProof/>
        </w:rPr>
        <w:t xml:space="preserve">and </w:t>
      </w:r>
      <w:r w:rsidR="00125204" w:rsidRPr="00940F69">
        <w:rPr>
          <w:rFonts w:ascii="Times New Roman" w:hAnsi="Times New Roman"/>
          <w:noProof/>
        </w:rPr>
        <w:t>coordinating</w:t>
      </w:r>
      <w:r w:rsidR="00EC15BB" w:rsidRPr="00940F69">
        <w:rPr>
          <w:rFonts w:ascii="Times New Roman" w:hAnsi="Times New Roman"/>
          <w:noProof/>
        </w:rPr>
        <w:t xml:space="preserve"> the timing of assignment </w:t>
      </w:r>
      <w:r w:rsidR="00AA369B" w:rsidRPr="00940F69">
        <w:rPr>
          <w:rFonts w:ascii="Times New Roman" w:hAnsi="Times New Roman"/>
          <w:noProof/>
        </w:rPr>
        <w:t>through an evolving roadmap</w:t>
      </w:r>
      <w:r w:rsidR="00643C28" w:rsidRPr="00940F69">
        <w:rPr>
          <w:rFonts w:ascii="Times New Roman" w:hAnsi="Times New Roman"/>
          <w:noProof/>
        </w:rPr>
        <w:t xml:space="preserve"> slightly increases procedural complexity but remains manageable for Member States.</w:t>
      </w:r>
      <w:r w:rsidR="005D317F" w:rsidRPr="00940F69">
        <w:rPr>
          <w:rFonts w:ascii="Times New Roman" w:hAnsi="Times New Roman"/>
          <w:noProof/>
        </w:rPr>
        <w:t xml:space="preserve"> </w:t>
      </w:r>
    </w:p>
    <w:p w14:paraId="441CF7CE" w14:textId="7F0D3FE7" w:rsidR="00F47F83" w:rsidRPr="005C544D" w:rsidRDefault="00F47F83" w:rsidP="00DE7CC1">
      <w:pPr>
        <w:pStyle w:val="EYBodytextwithparaspace"/>
        <w:spacing w:before="0" w:after="240" w:line="240" w:lineRule="auto"/>
        <w:rPr>
          <w:rFonts w:ascii="Times New Roman" w:hAnsi="Times New Roman"/>
          <w:noProof/>
        </w:rPr>
      </w:pPr>
      <w:r w:rsidRPr="005C544D">
        <w:rPr>
          <w:rFonts w:ascii="Times New Roman" w:hAnsi="Times New Roman"/>
          <w:b/>
          <w:noProof/>
        </w:rPr>
        <w:t>Option 2</w:t>
      </w:r>
      <w:r w:rsidRPr="005C544D">
        <w:rPr>
          <w:rFonts w:ascii="Times New Roman" w:hAnsi="Times New Roman"/>
          <w:noProof/>
        </w:rPr>
        <w:t xml:space="preserve"> introduces moderately higher compliance and procedural costs for public authorities due to increased monitoring of renewal conditions, increased transparency of spectrum assignment procedures and implementation of pro-investment and pro-security authorisation conditions, including</w:t>
      </w:r>
      <w:r w:rsidRPr="2F287E6B">
        <w:rPr>
          <w:rFonts w:ascii="Segoe UI" w:eastAsiaTheme="minorEastAsia" w:hAnsi="Segoe UI" w:cs="Segoe UI"/>
          <w:noProof/>
          <w:sz w:val="18"/>
          <w:szCs w:val="18"/>
        </w:rPr>
        <w:t xml:space="preserve"> </w:t>
      </w:r>
      <w:r w:rsidRPr="00602574">
        <w:rPr>
          <w:rFonts w:ascii="Times New Roman" w:hAnsi="Times New Roman"/>
          <w:noProof/>
        </w:rPr>
        <w:t xml:space="preserve">robust competition analyses/review mechanisms and safeguards for competition law </w:t>
      </w:r>
      <w:r w:rsidRPr="005A3D2C">
        <w:rPr>
          <w:rFonts w:ascii="Times New Roman" w:hAnsi="Times New Roman"/>
          <w:noProof/>
        </w:rPr>
        <w:t xml:space="preserve">compliance. However, in the long run, cost reduction should be expected thanks to longer duration, reduced re-auctioning and efficiency gains which would contribute to the development of new services. </w:t>
      </w:r>
      <w:r w:rsidRPr="0067067A">
        <w:rPr>
          <w:rFonts w:ascii="Times New Roman" w:hAnsi="Times New Roman"/>
          <w:noProof/>
        </w:rPr>
        <w:t>Option 2 enables economies of scale through greater harmonisation of authorisation conditions and improved alignment of auction timelines, reducing regulatory fragmentation and compliance costs for operators active in multiple Member States.</w:t>
      </w:r>
      <w:r w:rsidRPr="005A3D2C">
        <w:rPr>
          <w:rFonts w:ascii="Times New Roman" w:hAnsi="Times New Roman"/>
          <w:noProof/>
        </w:rPr>
        <w:t xml:space="preserve"> This</w:t>
      </w:r>
      <w:r>
        <w:rPr>
          <w:rFonts w:ascii="Times New Roman" w:hAnsi="Times New Roman"/>
          <w:noProof/>
        </w:rPr>
        <w:t xml:space="preserve"> option’s m</w:t>
      </w:r>
      <w:r w:rsidRPr="005C544D">
        <w:rPr>
          <w:rFonts w:ascii="Times New Roman" w:hAnsi="Times New Roman"/>
          <w:noProof/>
        </w:rPr>
        <w:t>easures</w:t>
      </w:r>
      <w:r>
        <w:rPr>
          <w:rFonts w:ascii="Times New Roman" w:hAnsi="Times New Roman"/>
          <w:noProof/>
        </w:rPr>
        <w:t xml:space="preserve"> </w:t>
      </w:r>
      <w:r w:rsidRPr="005C544D">
        <w:rPr>
          <w:rFonts w:ascii="Times New Roman" w:hAnsi="Times New Roman"/>
          <w:noProof/>
        </w:rPr>
        <w:t>are proportionate and highly efficient for strategic spectrum bands, which are expected to bring GDP gains. Options 2 and 3 demonstrate</w:t>
      </w:r>
      <w:r>
        <w:rPr>
          <w:rFonts w:ascii="Times New Roman" w:hAnsi="Times New Roman"/>
          <w:noProof/>
        </w:rPr>
        <w:t xml:space="preserve"> comparable</w:t>
      </w:r>
      <w:r w:rsidRPr="005C544D">
        <w:rPr>
          <w:rFonts w:ascii="Times New Roman" w:hAnsi="Times New Roman"/>
          <w:noProof/>
        </w:rPr>
        <w:t xml:space="preserve"> superior environmental efficiency, with the lowest CO₂ per euro of GDP among all scenarios. </w:t>
      </w:r>
    </w:p>
    <w:p w14:paraId="265B76AD" w14:textId="510EDF55" w:rsidR="00F47F83" w:rsidRPr="005C544D" w:rsidRDefault="00F47F83" w:rsidP="00DE7CC1">
      <w:pPr>
        <w:pStyle w:val="EYBodytextwithparaspace"/>
        <w:spacing w:before="0" w:after="240" w:line="240" w:lineRule="auto"/>
        <w:rPr>
          <w:rFonts w:ascii="Times New Roman" w:hAnsi="Times New Roman"/>
          <w:noProof/>
        </w:rPr>
      </w:pPr>
      <w:r w:rsidRPr="00EE22DC">
        <w:rPr>
          <w:rFonts w:ascii="Times New Roman" w:hAnsi="Times New Roman"/>
          <w:b/>
          <w:noProof/>
        </w:rPr>
        <w:t>Option 3</w:t>
      </w:r>
      <w:r w:rsidRPr="00EE22DC">
        <w:rPr>
          <w:rFonts w:ascii="Times New Roman" w:hAnsi="Times New Roman"/>
          <w:noProof/>
        </w:rPr>
        <w:t xml:space="preserve">, while slightly more effective than </w:t>
      </w:r>
      <w:r w:rsidR="00386B82">
        <w:rPr>
          <w:rFonts w:ascii="Times New Roman" w:hAnsi="Times New Roman"/>
          <w:noProof/>
        </w:rPr>
        <w:t>o</w:t>
      </w:r>
      <w:r w:rsidR="00CD0475" w:rsidRPr="00EE22DC">
        <w:rPr>
          <w:rFonts w:ascii="Times New Roman" w:hAnsi="Times New Roman"/>
          <w:noProof/>
        </w:rPr>
        <w:t xml:space="preserve">ption </w:t>
      </w:r>
      <w:r w:rsidRPr="00EE22DC">
        <w:rPr>
          <w:rFonts w:ascii="Times New Roman" w:hAnsi="Times New Roman"/>
          <w:noProof/>
        </w:rPr>
        <w:t xml:space="preserve">2, entails the highest administrative and legal costs and is thus less efficient than </w:t>
      </w:r>
      <w:r w:rsidR="00386B82">
        <w:rPr>
          <w:rFonts w:ascii="Times New Roman" w:hAnsi="Times New Roman"/>
          <w:noProof/>
        </w:rPr>
        <w:t>o</w:t>
      </w:r>
      <w:r w:rsidR="00CD0475" w:rsidRPr="00EE22DC">
        <w:rPr>
          <w:rFonts w:ascii="Times New Roman" w:hAnsi="Times New Roman"/>
          <w:noProof/>
        </w:rPr>
        <w:t xml:space="preserve">ption </w:t>
      </w:r>
      <w:r w:rsidRPr="00EE22DC">
        <w:rPr>
          <w:rFonts w:ascii="Times New Roman" w:hAnsi="Times New Roman"/>
          <w:noProof/>
        </w:rPr>
        <w:t>2, particularly during the transition period characterised by parallel EU and national governance structures.</w:t>
      </w:r>
      <w:r w:rsidRPr="005C544D">
        <w:rPr>
          <w:rFonts w:ascii="Times New Roman" w:hAnsi="Times New Roman"/>
          <w:noProof/>
        </w:rPr>
        <w:t xml:space="preserve"> Member States would need to adjust national laws and procedures to accommodate for a centralised framework, and the EU would require significant institutional capacity to oversee assignments, monitor compliance, and resolve disputes. </w:t>
      </w:r>
      <w:r>
        <w:rPr>
          <w:rFonts w:ascii="Times New Roman" w:hAnsi="Times New Roman"/>
          <w:noProof/>
        </w:rPr>
        <w:t xml:space="preserve">Initially operators would keep holdings they already have in several bands to ensure mobile services and the additional spectrum awarded at EU level to a limited number of operators would only add up to the existing spectrum holdings of a significant number of operators and would not be sufficient on its own for network deployment, </w:t>
      </w:r>
      <w:r w:rsidRPr="005C544D">
        <w:rPr>
          <w:rFonts w:ascii="Times New Roman" w:hAnsi="Times New Roman"/>
          <w:noProof/>
        </w:rPr>
        <w:t xml:space="preserve">also considering that 6G networks are expected to be built </w:t>
      </w:r>
      <w:r>
        <w:rPr>
          <w:rFonts w:ascii="Times New Roman" w:hAnsi="Times New Roman"/>
          <w:noProof/>
        </w:rPr>
        <w:t>as an evolution of</w:t>
      </w:r>
      <w:r w:rsidRPr="005C544D">
        <w:rPr>
          <w:rFonts w:ascii="Times New Roman" w:hAnsi="Times New Roman"/>
          <w:noProof/>
        </w:rPr>
        <w:t xml:space="preserve"> 5G networks</w:t>
      </w:r>
      <w:r w:rsidR="00BF7652">
        <w:rPr>
          <w:rFonts w:ascii="Times New Roman" w:hAnsi="Times New Roman"/>
          <w:noProof/>
        </w:rPr>
        <w:t>,</w:t>
      </w:r>
      <w:r>
        <w:rPr>
          <w:rFonts w:ascii="Times New Roman" w:hAnsi="Times New Roman"/>
          <w:noProof/>
        </w:rPr>
        <w:t xml:space="preserve"> There would be a need to maintain both spectrum governance structures at national and EU level. Only in the long term when existing national assignments would come to an end and the timelines would be aligned additional bands could be assigned at EU level and additional efficiencies </w:t>
      </w:r>
      <w:r w:rsidR="658BB014" w:rsidRPr="551687C0">
        <w:rPr>
          <w:rFonts w:ascii="Times New Roman" w:hAnsi="Times New Roman"/>
          <w:noProof/>
        </w:rPr>
        <w:t>w</w:t>
      </w:r>
      <w:r w:rsidRPr="551687C0">
        <w:rPr>
          <w:rFonts w:ascii="Times New Roman" w:hAnsi="Times New Roman"/>
          <w:noProof/>
        </w:rPr>
        <w:t>ould materialize</w:t>
      </w:r>
      <w:r w:rsidR="083F3C2E" w:rsidRPr="551687C0">
        <w:rPr>
          <w:rFonts w:ascii="Times New Roman" w:hAnsi="Times New Roman"/>
          <w:noProof/>
        </w:rPr>
        <w:t>, including at the administrative level (linked with the lower number of providers</w:t>
      </w:r>
      <w:r w:rsidRPr="551687C0">
        <w:rPr>
          <w:rFonts w:ascii="Times New Roman" w:hAnsi="Times New Roman"/>
          <w:noProof/>
        </w:rPr>
        <w:t>.</w:t>
      </w:r>
      <w:r w:rsidR="00DB7BEB">
        <w:rPr>
          <w:rFonts w:ascii="Times New Roman" w:hAnsi="Times New Roman"/>
          <w:noProof/>
        </w:rPr>
        <w:t xml:space="preserve"> </w:t>
      </w:r>
      <w:r w:rsidRPr="005C544D">
        <w:rPr>
          <w:rFonts w:ascii="Times New Roman" w:hAnsi="Times New Roman"/>
          <w:noProof/>
        </w:rPr>
        <w:t>EU-wide awards, though having the potential to maximise economies of scale for certain operators</w:t>
      </w:r>
      <w:r>
        <w:rPr>
          <w:rFonts w:ascii="Times New Roman" w:hAnsi="Times New Roman"/>
          <w:noProof/>
        </w:rPr>
        <w:t xml:space="preserve"> in the long term</w:t>
      </w:r>
      <w:r w:rsidRPr="005C544D">
        <w:rPr>
          <w:rFonts w:ascii="Times New Roman" w:hAnsi="Times New Roman"/>
          <w:noProof/>
        </w:rPr>
        <w:t>, would also bring significant uncertainty and could disturb the functioning of the mobile market, until a new structure of the market is established, a process which could take years, given the number of spectrum bands and their different expiry dates.</w:t>
      </w:r>
      <w:r>
        <w:rPr>
          <w:rStyle w:val="FootnoteReference"/>
          <w:noProof/>
        </w:rPr>
        <w:footnoteReference w:id="273"/>
      </w:r>
      <w:r w:rsidRPr="005C544D">
        <w:rPr>
          <w:rFonts w:ascii="Times New Roman" w:hAnsi="Times New Roman"/>
          <w:noProof/>
        </w:rPr>
        <w:t xml:space="preserve"> </w:t>
      </w:r>
      <w:r w:rsidRPr="001833F9">
        <w:rPr>
          <w:rFonts w:ascii="Times New Roman" w:hAnsi="Times New Roman"/>
          <w:noProof/>
        </w:rPr>
        <w:t>The</w:t>
      </w:r>
      <w:r>
        <w:rPr>
          <w:rFonts w:ascii="Times New Roman" w:hAnsi="Times New Roman"/>
          <w:noProof/>
        </w:rPr>
        <w:t xml:space="preserve"> long-term benefits </w:t>
      </w:r>
      <w:r w:rsidRPr="008F3A69">
        <w:rPr>
          <w:rFonts w:ascii="Times New Roman" w:hAnsi="Times New Roman"/>
          <w:noProof/>
        </w:rPr>
        <w:t>for pan-European infrastructure and high-value bands</w:t>
      </w:r>
      <w:r>
        <w:rPr>
          <w:rFonts w:ascii="Times New Roman" w:hAnsi="Times New Roman"/>
          <w:noProof/>
        </w:rPr>
        <w:t xml:space="preserve"> could potentially</w:t>
      </w:r>
      <w:r w:rsidRPr="001833F9">
        <w:rPr>
          <w:rFonts w:ascii="Times New Roman" w:hAnsi="Times New Roman"/>
          <w:noProof/>
        </w:rPr>
        <w:t xml:space="preserve"> </w:t>
      </w:r>
      <w:r w:rsidRPr="00651C66">
        <w:rPr>
          <w:rFonts w:ascii="Times New Roman" w:hAnsi="Times New Roman"/>
          <w:noProof/>
        </w:rPr>
        <w:t>justif</w:t>
      </w:r>
      <w:r>
        <w:rPr>
          <w:rFonts w:ascii="Times New Roman" w:hAnsi="Times New Roman"/>
          <w:noProof/>
        </w:rPr>
        <w:t>y the significant initial</w:t>
      </w:r>
      <w:r w:rsidRPr="001833F9">
        <w:rPr>
          <w:rFonts w:ascii="Times New Roman" w:hAnsi="Times New Roman"/>
          <w:noProof/>
        </w:rPr>
        <w:t xml:space="preserve"> cost</w:t>
      </w:r>
      <w:r>
        <w:rPr>
          <w:rFonts w:ascii="Times New Roman" w:hAnsi="Times New Roman"/>
          <w:noProof/>
        </w:rPr>
        <w:t xml:space="preserve">. </w:t>
      </w:r>
      <w:r w:rsidRPr="005C544D">
        <w:rPr>
          <w:rFonts w:ascii="Times New Roman" w:hAnsi="Times New Roman"/>
          <w:noProof/>
        </w:rPr>
        <w:t>In the long term, it is likely that only few undertakings (3</w:t>
      </w:r>
      <w:r w:rsidR="00754CF2">
        <w:rPr>
          <w:rFonts w:ascii="Times New Roman" w:hAnsi="Times New Roman"/>
          <w:noProof/>
        </w:rPr>
        <w:t>-</w:t>
      </w:r>
      <w:r w:rsidRPr="005C544D">
        <w:rPr>
          <w:rFonts w:ascii="Times New Roman" w:hAnsi="Times New Roman"/>
          <w:noProof/>
        </w:rPr>
        <w:t xml:space="preserve">4 maximum) would be able to retain enough spectrum at EU level for sustainable operation, and the majority of operators currently operating in the EU would be forced to sell assets, exit the market or become virtual operators. </w:t>
      </w:r>
    </w:p>
    <w:p w14:paraId="5675B0BA" w14:textId="26BB644A" w:rsidR="001C4C0F" w:rsidRPr="00DE264C" w:rsidRDefault="00376DF6" w:rsidP="00DE7CC1">
      <w:pPr>
        <w:spacing w:line="240" w:lineRule="auto"/>
        <w:rPr>
          <w:rFonts w:eastAsiaTheme="minorEastAsia"/>
          <w:noProof/>
        </w:rPr>
      </w:pPr>
      <w:r w:rsidRPr="00376DF6">
        <w:rPr>
          <w:b/>
          <w:bCs/>
          <w:noProof/>
        </w:rPr>
        <w:t>Sensitivity analysis</w:t>
      </w:r>
      <w:r>
        <w:rPr>
          <w:noProof/>
        </w:rPr>
        <w:t xml:space="preserve">: </w:t>
      </w:r>
      <w:r w:rsidR="00BF2E88" w:rsidRPr="00DE264C">
        <w:rPr>
          <w:noProof/>
        </w:rPr>
        <w:t>To account for potential uncertainties</w:t>
      </w:r>
      <w:r w:rsidR="00BF2E88">
        <w:rPr>
          <w:noProof/>
        </w:rPr>
        <w:t xml:space="preserve"> of the model that estimated indicative environmental impacts, </w:t>
      </w:r>
      <w:r w:rsidR="00BF2E88">
        <w:rPr>
          <w:rFonts w:eastAsiaTheme="minorEastAsia"/>
          <w:noProof/>
        </w:rPr>
        <w:t>a</w:t>
      </w:r>
      <w:r w:rsidR="00BF2E88" w:rsidRPr="00DE264C">
        <w:rPr>
          <w:rFonts w:eastAsiaTheme="minorEastAsia"/>
          <w:noProof/>
        </w:rPr>
        <w:t xml:space="preserve"> </w:t>
      </w:r>
      <w:r w:rsidR="001C4C0F" w:rsidRPr="00DE264C">
        <w:rPr>
          <w:rFonts w:eastAsiaTheme="minorEastAsia"/>
          <w:noProof/>
        </w:rPr>
        <w:t xml:space="preserve">sensitivity analysis </w:t>
      </w:r>
      <w:r w:rsidR="00B43FBF" w:rsidRPr="00DE264C">
        <w:rPr>
          <w:rFonts w:eastAsiaTheme="minorEastAsia"/>
          <w:noProof/>
        </w:rPr>
        <w:t>has been</w:t>
      </w:r>
      <w:r w:rsidR="001C4C0F" w:rsidRPr="00DE264C">
        <w:rPr>
          <w:rFonts w:eastAsiaTheme="minorEastAsia"/>
          <w:noProof/>
        </w:rPr>
        <w:t xml:space="preserve"> conducted for the energy-efficiency factor, which is set at 22% per year in the base model. Variations in this factor accordingly affect the different options. Annex </w:t>
      </w:r>
      <w:r w:rsidR="008A4EEA">
        <w:rPr>
          <w:rFonts w:eastAsiaTheme="minorEastAsia"/>
          <w:noProof/>
        </w:rPr>
        <w:t>4</w:t>
      </w:r>
      <w:r w:rsidR="008F4765">
        <w:rPr>
          <w:rFonts w:eastAsiaTheme="minorEastAsia"/>
          <w:noProof/>
        </w:rPr>
        <w:t xml:space="preserve"> </w:t>
      </w:r>
      <w:r w:rsidR="001C4C0F" w:rsidRPr="00DE264C">
        <w:rPr>
          <w:rFonts w:eastAsiaTheme="minorEastAsia"/>
          <w:noProof/>
        </w:rPr>
        <w:t xml:space="preserve">shows the results of this analysis that leads to a stable ranking across all scenarios: </w:t>
      </w:r>
      <w:r w:rsidR="00386B82">
        <w:rPr>
          <w:rFonts w:eastAsiaTheme="minorEastAsia"/>
          <w:noProof/>
        </w:rPr>
        <w:t>o</w:t>
      </w:r>
      <w:r w:rsidR="001C4C0F" w:rsidRPr="00DE264C">
        <w:rPr>
          <w:rFonts w:eastAsiaTheme="minorEastAsia"/>
          <w:noProof/>
        </w:rPr>
        <w:t xml:space="preserve">ption 3 always performs best, followed by </w:t>
      </w:r>
      <w:r w:rsidR="00386B82">
        <w:rPr>
          <w:rFonts w:eastAsiaTheme="minorEastAsia"/>
          <w:noProof/>
        </w:rPr>
        <w:t>o</w:t>
      </w:r>
      <w:r w:rsidR="00CD0475" w:rsidRPr="00DE264C">
        <w:rPr>
          <w:rFonts w:eastAsiaTheme="minorEastAsia"/>
          <w:noProof/>
        </w:rPr>
        <w:t xml:space="preserve">ptions </w:t>
      </w:r>
      <w:r w:rsidR="001C4C0F" w:rsidRPr="00DE264C">
        <w:rPr>
          <w:rFonts w:eastAsiaTheme="minorEastAsia"/>
          <w:noProof/>
        </w:rPr>
        <w:t>2, 1, and 0. However, the differences between options are very small, around 0.1–0.2% (e.g., baseline 22%: 5</w:t>
      </w:r>
      <w:r w:rsidR="00CA14F2">
        <w:rPr>
          <w:rFonts w:eastAsiaTheme="minorEastAsia"/>
          <w:noProof/>
        </w:rPr>
        <w:t>,</w:t>
      </w:r>
      <w:r w:rsidR="001C4C0F" w:rsidRPr="00DE264C">
        <w:rPr>
          <w:rFonts w:eastAsiaTheme="minorEastAsia"/>
          <w:noProof/>
        </w:rPr>
        <w:t>257</w:t>
      </w:r>
      <w:r w:rsidR="00CA14F2">
        <w:rPr>
          <w:rFonts w:eastAsiaTheme="minorEastAsia"/>
          <w:noProof/>
        </w:rPr>
        <w:t>,</w:t>
      </w:r>
      <w:r w:rsidR="001C4C0F" w:rsidRPr="00DE264C">
        <w:rPr>
          <w:rFonts w:eastAsiaTheme="minorEastAsia"/>
          <w:noProof/>
        </w:rPr>
        <w:t>074 vs. 5</w:t>
      </w:r>
      <w:r w:rsidR="00CA14F2">
        <w:rPr>
          <w:rFonts w:eastAsiaTheme="minorEastAsia"/>
          <w:noProof/>
        </w:rPr>
        <w:t>,</w:t>
      </w:r>
      <w:r w:rsidR="001C4C0F" w:rsidRPr="00DE264C">
        <w:rPr>
          <w:rFonts w:eastAsiaTheme="minorEastAsia"/>
          <w:noProof/>
        </w:rPr>
        <w:t>250</w:t>
      </w:r>
      <w:r w:rsidR="00CA14F2">
        <w:rPr>
          <w:rFonts w:eastAsiaTheme="minorEastAsia"/>
          <w:noProof/>
        </w:rPr>
        <w:t>,</w:t>
      </w:r>
      <w:r w:rsidR="001C4C0F" w:rsidRPr="00DE264C">
        <w:rPr>
          <w:rFonts w:eastAsiaTheme="minorEastAsia"/>
          <w:noProof/>
        </w:rPr>
        <w:t xml:space="preserve">198 for </w:t>
      </w:r>
      <w:r w:rsidR="00CD0475">
        <w:rPr>
          <w:rFonts w:eastAsiaTheme="minorEastAsia"/>
          <w:noProof/>
        </w:rPr>
        <w:t>o</w:t>
      </w:r>
      <w:r w:rsidR="00CD0475" w:rsidRPr="00DE264C">
        <w:rPr>
          <w:rFonts w:eastAsiaTheme="minorEastAsia"/>
          <w:noProof/>
        </w:rPr>
        <w:t xml:space="preserve">ption </w:t>
      </w:r>
      <w:r w:rsidR="001C4C0F" w:rsidRPr="00DE264C">
        <w:rPr>
          <w:rFonts w:eastAsiaTheme="minorEastAsia"/>
          <w:noProof/>
        </w:rPr>
        <w:t xml:space="preserve">0 vs. 3). Around the baseline, absolute emissions decline almost linearly by several tens of thousands of units per additional efficiency percentage point, with slightly diminishing marginal returns. Prioritizing an increase in the efficiency factor delivers meaningful GHG reductions, while the choice among </w:t>
      </w:r>
      <w:r w:rsidR="00AC67B7">
        <w:rPr>
          <w:rFonts w:eastAsiaTheme="minorEastAsia"/>
          <w:noProof/>
        </w:rPr>
        <w:t>o</w:t>
      </w:r>
      <w:r w:rsidR="00CD146A" w:rsidRPr="00DE264C">
        <w:rPr>
          <w:rFonts w:eastAsiaTheme="minorEastAsia"/>
          <w:noProof/>
        </w:rPr>
        <w:t xml:space="preserve">ptions </w:t>
      </w:r>
      <w:r w:rsidR="001C4C0F" w:rsidRPr="00DE264C">
        <w:rPr>
          <w:rFonts w:eastAsiaTheme="minorEastAsia"/>
          <w:noProof/>
        </w:rPr>
        <w:t>0–3 yields only marginal gains.</w:t>
      </w:r>
      <w:r w:rsidR="009B4DE3">
        <w:rPr>
          <w:rFonts w:eastAsiaTheme="minorEastAsia"/>
          <w:noProof/>
        </w:rPr>
        <w:t xml:space="preserve"> </w:t>
      </w:r>
      <w:r w:rsidR="009B4DE3">
        <w:rPr>
          <w:noProof/>
        </w:rPr>
        <w:t xml:space="preserve">For details see Annex 4, </w:t>
      </w:r>
      <w:r w:rsidR="00FD0DBE">
        <w:rPr>
          <w:noProof/>
        </w:rPr>
        <w:t>S</w:t>
      </w:r>
      <w:r w:rsidR="00440740">
        <w:rPr>
          <w:noProof/>
        </w:rPr>
        <w:t>ection</w:t>
      </w:r>
      <w:r w:rsidR="009B4DE3">
        <w:rPr>
          <w:noProof/>
        </w:rPr>
        <w:t xml:space="preserve"> 2</w:t>
      </w:r>
      <w:r w:rsidR="00F518B8">
        <w:rPr>
          <w:noProof/>
        </w:rPr>
        <w:t>.</w:t>
      </w:r>
    </w:p>
    <w:p w14:paraId="10D5F42E" w14:textId="7D057D46" w:rsidR="000E718E" w:rsidRDefault="000E718E" w:rsidP="00DE7CC1">
      <w:pPr>
        <w:spacing w:line="240" w:lineRule="auto"/>
        <w:rPr>
          <w:noProof/>
        </w:rPr>
      </w:pPr>
      <w:r>
        <w:rPr>
          <w:noProof/>
        </w:rPr>
        <w:t xml:space="preserve">The below table shows </w:t>
      </w:r>
      <w:r w:rsidRPr="00FA2382">
        <w:rPr>
          <w:rFonts w:eastAsia="Times New Roman"/>
          <w:noProof/>
          <w:color w:val="000000" w:themeColor="text1"/>
        </w:rPr>
        <w:t xml:space="preserve">the costs and benefits of </w:t>
      </w:r>
      <w:r w:rsidRPr="000939E2">
        <w:rPr>
          <w:rFonts w:eastAsia="Times New Roman"/>
          <w:noProof/>
          <w:color w:val="000000" w:themeColor="text1"/>
        </w:rPr>
        <w:t>all options</w:t>
      </w:r>
      <w:r>
        <w:rPr>
          <w:rFonts w:eastAsia="Times New Roman"/>
          <w:noProof/>
          <w:color w:val="000000" w:themeColor="text1"/>
        </w:rPr>
        <w:t>, explaining</w:t>
      </w:r>
      <w:r w:rsidRPr="00FA2382">
        <w:rPr>
          <w:rFonts w:eastAsia="Times New Roman"/>
          <w:noProof/>
          <w:color w:val="000000" w:themeColor="text1"/>
        </w:rPr>
        <w:t xml:space="preserve"> who</w:t>
      </w:r>
      <w:r w:rsidRPr="00FA1BC2">
        <w:rPr>
          <w:rFonts w:eastAsia="Times New Roman"/>
          <w:noProof/>
          <w:color w:val="000000" w:themeColor="text1"/>
        </w:rPr>
        <w:t xml:space="preserve"> </w:t>
      </w:r>
      <w:r w:rsidRPr="00FA2382">
        <w:rPr>
          <w:rFonts w:eastAsia="Times New Roman"/>
          <w:noProof/>
          <w:color w:val="000000" w:themeColor="text1"/>
        </w:rPr>
        <w:t>will bear the costs</w:t>
      </w:r>
      <w:r>
        <w:rPr>
          <w:rFonts w:eastAsia="Times New Roman"/>
          <w:noProof/>
          <w:color w:val="000000" w:themeColor="text1"/>
        </w:rPr>
        <w:t xml:space="preserve">, </w:t>
      </w:r>
      <w:r w:rsidR="00B94F36" w:rsidRPr="00FA2382">
        <w:rPr>
          <w:rFonts w:eastAsia="Times New Roman"/>
          <w:noProof/>
          <w:color w:val="000000" w:themeColor="text1"/>
        </w:rPr>
        <w:t>distinguishing</w:t>
      </w:r>
      <w:r w:rsidRPr="00FA2382">
        <w:rPr>
          <w:rFonts w:eastAsia="Times New Roman"/>
          <w:noProof/>
          <w:color w:val="000000" w:themeColor="text1"/>
        </w:rPr>
        <w:t xml:space="preserve"> between </w:t>
      </w:r>
      <w:r>
        <w:rPr>
          <w:rFonts w:eastAsia="Times New Roman"/>
          <w:noProof/>
          <w:color w:val="000000" w:themeColor="text1"/>
        </w:rPr>
        <w:t>administration (</w:t>
      </w:r>
      <w:r w:rsidRPr="00FA2382">
        <w:rPr>
          <w:rFonts w:eastAsia="Times New Roman"/>
          <w:noProof/>
          <w:color w:val="000000" w:themeColor="text1"/>
        </w:rPr>
        <w:t>public authorities</w:t>
      </w:r>
      <w:r>
        <w:rPr>
          <w:rFonts w:eastAsia="Times New Roman"/>
          <w:noProof/>
          <w:color w:val="000000" w:themeColor="text1"/>
        </w:rPr>
        <w:t>)</w:t>
      </w:r>
      <w:r w:rsidRPr="00FA2382">
        <w:rPr>
          <w:rFonts w:eastAsia="Times New Roman"/>
          <w:noProof/>
          <w:color w:val="000000" w:themeColor="text1"/>
        </w:rPr>
        <w:t>, businesses</w:t>
      </w:r>
      <w:r>
        <w:rPr>
          <w:rFonts w:eastAsia="Times New Roman"/>
          <w:noProof/>
          <w:color w:val="000000" w:themeColor="text1"/>
        </w:rPr>
        <w:t xml:space="preserve"> (operators)</w:t>
      </w:r>
      <w:r w:rsidRPr="00FA2382">
        <w:rPr>
          <w:rFonts w:eastAsia="Times New Roman"/>
          <w:noProof/>
          <w:color w:val="000000" w:themeColor="text1"/>
        </w:rPr>
        <w:t xml:space="preserve"> and citizens</w:t>
      </w:r>
      <w:r>
        <w:rPr>
          <w:rFonts w:eastAsia="Times New Roman"/>
          <w:noProof/>
          <w:color w:val="000000" w:themeColor="text1"/>
        </w:rPr>
        <w:t>, end-users.</w:t>
      </w:r>
    </w:p>
    <w:tbl>
      <w:tblPr>
        <w:tblStyle w:val="Table12"/>
        <w:tblW w:w="0" w:type="auto"/>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ook w:val="04A0" w:firstRow="1" w:lastRow="0" w:firstColumn="1" w:lastColumn="0" w:noHBand="0" w:noVBand="1"/>
      </w:tblPr>
      <w:tblGrid>
        <w:gridCol w:w="1856"/>
        <w:gridCol w:w="2493"/>
        <w:gridCol w:w="2675"/>
        <w:gridCol w:w="2555"/>
      </w:tblGrid>
      <w:tr w:rsidR="000E718E" w:rsidRPr="00F87B9B" w14:paraId="4F9F91BF" w14:textId="77777777" w:rsidTr="00316C84">
        <w:trPr>
          <w:trHeight w:val="300"/>
          <w:tblHeader/>
        </w:trPr>
        <w:tc>
          <w:tcPr>
            <w:tcW w:w="2322" w:type="dxa"/>
          </w:tcPr>
          <w:p w14:paraId="26ECE2DB" w14:textId="77777777" w:rsidR="000E718E" w:rsidRPr="00F87B9B" w:rsidRDefault="000E718E" w:rsidP="00316C84">
            <w:pPr>
              <w:rPr>
                <w:noProof/>
              </w:rPr>
            </w:pPr>
          </w:p>
        </w:tc>
        <w:tc>
          <w:tcPr>
            <w:tcW w:w="11626" w:type="dxa"/>
            <w:gridSpan w:val="3"/>
          </w:tcPr>
          <w:p w14:paraId="68C7AF5E" w14:textId="77777777" w:rsidR="000E718E" w:rsidRPr="00F87B9B" w:rsidRDefault="000E718E" w:rsidP="00316C84">
            <w:pPr>
              <w:jc w:val="center"/>
              <w:rPr>
                <w:noProof/>
                <w:sz w:val="20"/>
                <w:szCs w:val="20"/>
              </w:rPr>
            </w:pPr>
            <w:r w:rsidRPr="00F87B9B">
              <w:rPr>
                <w:b/>
                <w:bCs/>
                <w:noProof/>
                <w:sz w:val="20"/>
                <w:szCs w:val="20"/>
              </w:rPr>
              <w:t>SPECTRUM</w:t>
            </w:r>
          </w:p>
        </w:tc>
      </w:tr>
      <w:tr w:rsidR="000E718E" w:rsidRPr="00F87B9B" w14:paraId="33E181CC" w14:textId="77777777" w:rsidTr="00316C84">
        <w:trPr>
          <w:trHeight w:val="300"/>
          <w:tblHeader/>
        </w:trPr>
        <w:tc>
          <w:tcPr>
            <w:tcW w:w="2322" w:type="dxa"/>
          </w:tcPr>
          <w:p w14:paraId="37A73C1B" w14:textId="77777777" w:rsidR="000E718E" w:rsidRPr="00F87B9B" w:rsidRDefault="000E718E" w:rsidP="00316C84">
            <w:pPr>
              <w:rPr>
                <w:noProof/>
                <w:sz w:val="20"/>
                <w:szCs w:val="20"/>
              </w:rPr>
            </w:pPr>
          </w:p>
        </w:tc>
        <w:tc>
          <w:tcPr>
            <w:tcW w:w="3627" w:type="dxa"/>
          </w:tcPr>
          <w:p w14:paraId="25B9AAFB" w14:textId="77777777" w:rsidR="000E718E" w:rsidRPr="00F87B9B" w:rsidRDefault="000E718E" w:rsidP="00316C84">
            <w:pPr>
              <w:rPr>
                <w:b/>
                <w:noProof/>
                <w:sz w:val="20"/>
                <w:szCs w:val="20"/>
              </w:rPr>
            </w:pPr>
            <w:r w:rsidRPr="00F87B9B">
              <w:rPr>
                <w:b/>
                <w:noProof/>
                <w:sz w:val="20"/>
                <w:szCs w:val="20"/>
              </w:rPr>
              <w:t>O1. Soft harmonisation</w:t>
            </w:r>
          </w:p>
        </w:tc>
        <w:tc>
          <w:tcPr>
            <w:tcW w:w="4050" w:type="dxa"/>
          </w:tcPr>
          <w:p w14:paraId="5EE12A7C" w14:textId="63AE4C60" w:rsidR="000E718E" w:rsidRPr="00F87B9B" w:rsidRDefault="000E718E" w:rsidP="00316C84">
            <w:pPr>
              <w:rPr>
                <w:b/>
                <w:bCs/>
                <w:noProof/>
                <w:sz w:val="20"/>
                <w:szCs w:val="20"/>
              </w:rPr>
            </w:pPr>
            <w:r w:rsidRPr="00F87B9B">
              <w:rPr>
                <w:b/>
                <w:bCs/>
                <w:noProof/>
                <w:sz w:val="20"/>
                <w:szCs w:val="20"/>
              </w:rPr>
              <w:t xml:space="preserve">O2. More single market to enhance investment and innovation </w:t>
            </w:r>
            <w:r w:rsidR="005B0A7B">
              <w:rPr>
                <w:b/>
                <w:bCs/>
                <w:noProof/>
                <w:sz w:val="20"/>
                <w:szCs w:val="20"/>
              </w:rPr>
              <w:br/>
            </w:r>
            <w:r w:rsidRPr="00F87B9B">
              <w:rPr>
                <w:b/>
                <w:bCs/>
                <w:noProof/>
                <w:sz w:val="20"/>
                <w:szCs w:val="20"/>
              </w:rPr>
              <w:t>(PREFERRED OPTION)</w:t>
            </w:r>
          </w:p>
        </w:tc>
        <w:tc>
          <w:tcPr>
            <w:tcW w:w="3949" w:type="dxa"/>
          </w:tcPr>
          <w:p w14:paraId="7F27C5F0" w14:textId="77777777" w:rsidR="000E718E" w:rsidRPr="00F87B9B" w:rsidRDefault="000E718E" w:rsidP="00316C84">
            <w:pPr>
              <w:rPr>
                <w:b/>
                <w:noProof/>
                <w:sz w:val="20"/>
                <w:szCs w:val="20"/>
              </w:rPr>
            </w:pPr>
            <w:r w:rsidRPr="00F87B9B">
              <w:rPr>
                <w:b/>
                <w:noProof/>
                <w:sz w:val="20"/>
                <w:szCs w:val="20"/>
              </w:rPr>
              <w:t>O3. Strong harmonisation and EU le</w:t>
            </w:r>
            <w:r w:rsidRPr="00F87B9B">
              <w:rPr>
                <w:b/>
                <w:noProof/>
                <w:sz w:val="20"/>
                <w:szCs w:val="20"/>
                <w:lang w:val="en-IE"/>
              </w:rPr>
              <w:t>vel</w:t>
            </w:r>
            <w:r w:rsidRPr="00F87B9B">
              <w:rPr>
                <w:b/>
                <w:noProof/>
                <w:sz w:val="20"/>
                <w:szCs w:val="20"/>
              </w:rPr>
              <w:t xml:space="preserve"> rules</w:t>
            </w:r>
          </w:p>
        </w:tc>
      </w:tr>
      <w:tr w:rsidR="000E718E" w:rsidRPr="00F87B9B" w14:paraId="1D4F551E" w14:textId="77777777" w:rsidTr="00316C84">
        <w:trPr>
          <w:trHeight w:val="300"/>
        </w:trPr>
        <w:tc>
          <w:tcPr>
            <w:tcW w:w="2322" w:type="dxa"/>
          </w:tcPr>
          <w:p w14:paraId="6D3D4174" w14:textId="77777777" w:rsidR="000E718E" w:rsidRPr="00F87B9B" w:rsidRDefault="000E718E" w:rsidP="00316C84">
            <w:pPr>
              <w:rPr>
                <w:b/>
                <w:noProof/>
                <w:sz w:val="20"/>
                <w:szCs w:val="20"/>
              </w:rPr>
            </w:pPr>
            <w:r w:rsidRPr="00F87B9B">
              <w:rPr>
                <w:b/>
                <w:noProof/>
                <w:sz w:val="20"/>
                <w:szCs w:val="20"/>
              </w:rPr>
              <w:t>Costs by stakeholders</w:t>
            </w:r>
          </w:p>
        </w:tc>
        <w:tc>
          <w:tcPr>
            <w:tcW w:w="3627" w:type="dxa"/>
          </w:tcPr>
          <w:p w14:paraId="6204F0E1" w14:textId="77777777" w:rsidR="000E718E" w:rsidRPr="00F87B9B" w:rsidRDefault="000E718E" w:rsidP="00316C84">
            <w:pPr>
              <w:rPr>
                <w:i/>
                <w:noProof/>
                <w:sz w:val="20"/>
                <w:szCs w:val="20"/>
              </w:rPr>
            </w:pPr>
          </w:p>
        </w:tc>
        <w:tc>
          <w:tcPr>
            <w:tcW w:w="4050" w:type="dxa"/>
          </w:tcPr>
          <w:p w14:paraId="7299DDBF" w14:textId="77777777" w:rsidR="000E718E" w:rsidRPr="00F87B9B" w:rsidRDefault="000E718E" w:rsidP="00316C84">
            <w:pPr>
              <w:rPr>
                <w:noProof/>
                <w:sz w:val="20"/>
                <w:szCs w:val="20"/>
              </w:rPr>
            </w:pPr>
          </w:p>
        </w:tc>
        <w:tc>
          <w:tcPr>
            <w:tcW w:w="3949" w:type="dxa"/>
          </w:tcPr>
          <w:p w14:paraId="13DCEBD0" w14:textId="77777777" w:rsidR="000E718E" w:rsidRPr="00F87B9B" w:rsidRDefault="000E718E" w:rsidP="00316C84">
            <w:pPr>
              <w:rPr>
                <w:noProof/>
                <w:sz w:val="20"/>
                <w:szCs w:val="20"/>
              </w:rPr>
            </w:pPr>
          </w:p>
        </w:tc>
      </w:tr>
      <w:tr w:rsidR="000E718E" w:rsidRPr="00F87B9B" w14:paraId="011C5274" w14:textId="77777777" w:rsidTr="00316C84">
        <w:trPr>
          <w:trHeight w:val="1134"/>
        </w:trPr>
        <w:tc>
          <w:tcPr>
            <w:tcW w:w="2322" w:type="dxa"/>
          </w:tcPr>
          <w:p w14:paraId="07812F7A" w14:textId="77777777" w:rsidR="000E718E" w:rsidRPr="00F87B9B" w:rsidRDefault="000E718E" w:rsidP="00316C84">
            <w:pPr>
              <w:rPr>
                <w:noProof/>
                <w:sz w:val="20"/>
                <w:szCs w:val="20"/>
              </w:rPr>
            </w:pPr>
            <w:r w:rsidRPr="00F87B9B">
              <w:rPr>
                <w:noProof/>
                <w:sz w:val="20"/>
                <w:szCs w:val="20"/>
              </w:rPr>
              <w:t>End users: Citizens and industrial sectors (e.g. verticals)</w:t>
            </w:r>
          </w:p>
        </w:tc>
        <w:tc>
          <w:tcPr>
            <w:tcW w:w="3627" w:type="dxa"/>
          </w:tcPr>
          <w:p w14:paraId="02070B0E" w14:textId="77777777" w:rsidR="000E718E" w:rsidRPr="00F87B9B" w:rsidRDefault="000E718E" w:rsidP="00316C84">
            <w:pPr>
              <w:rPr>
                <w:noProof/>
                <w:sz w:val="20"/>
                <w:szCs w:val="20"/>
              </w:rPr>
            </w:pPr>
            <w:r w:rsidRPr="00F87B9B">
              <w:rPr>
                <w:noProof/>
                <w:sz w:val="20"/>
                <w:szCs w:val="20"/>
              </w:rPr>
              <w:t>neutral</w:t>
            </w:r>
          </w:p>
        </w:tc>
        <w:tc>
          <w:tcPr>
            <w:tcW w:w="4050" w:type="dxa"/>
          </w:tcPr>
          <w:p w14:paraId="633FC03F" w14:textId="77777777" w:rsidR="000E718E" w:rsidRPr="00F87B9B" w:rsidRDefault="000E718E" w:rsidP="00316C84">
            <w:pPr>
              <w:rPr>
                <w:noProof/>
                <w:sz w:val="20"/>
                <w:szCs w:val="20"/>
              </w:rPr>
            </w:pPr>
            <w:r w:rsidRPr="00F87B9B">
              <w:rPr>
                <w:noProof/>
                <w:sz w:val="20"/>
                <w:szCs w:val="20"/>
              </w:rPr>
              <w:t>neutral</w:t>
            </w:r>
          </w:p>
        </w:tc>
        <w:tc>
          <w:tcPr>
            <w:tcW w:w="3949" w:type="dxa"/>
          </w:tcPr>
          <w:p w14:paraId="1FBF1884" w14:textId="77777777" w:rsidR="000E718E" w:rsidRPr="00F87B9B" w:rsidRDefault="000E718E" w:rsidP="00316C84">
            <w:pPr>
              <w:rPr>
                <w:noProof/>
                <w:sz w:val="20"/>
                <w:szCs w:val="20"/>
              </w:rPr>
            </w:pPr>
            <w:r w:rsidRPr="00F87B9B">
              <w:rPr>
                <w:noProof/>
                <w:sz w:val="20"/>
                <w:szCs w:val="20"/>
              </w:rPr>
              <w:t>neutral</w:t>
            </w:r>
          </w:p>
        </w:tc>
      </w:tr>
      <w:tr w:rsidR="000E718E" w:rsidRPr="00F87B9B" w14:paraId="60DC69CD" w14:textId="77777777" w:rsidTr="00316C84">
        <w:trPr>
          <w:trHeight w:val="300"/>
        </w:trPr>
        <w:tc>
          <w:tcPr>
            <w:tcW w:w="2322" w:type="dxa"/>
          </w:tcPr>
          <w:p w14:paraId="3693DF18" w14:textId="77777777" w:rsidR="000E718E" w:rsidRPr="00F87B9B" w:rsidRDefault="000E718E" w:rsidP="00316C84">
            <w:pPr>
              <w:rPr>
                <w:noProof/>
                <w:sz w:val="20"/>
                <w:szCs w:val="20"/>
              </w:rPr>
            </w:pPr>
            <w:r w:rsidRPr="00F87B9B">
              <w:rPr>
                <w:noProof/>
                <w:sz w:val="20"/>
                <w:szCs w:val="20"/>
              </w:rPr>
              <w:t>Operators</w:t>
            </w:r>
          </w:p>
        </w:tc>
        <w:tc>
          <w:tcPr>
            <w:tcW w:w="3627" w:type="dxa"/>
          </w:tcPr>
          <w:p w14:paraId="61E262FA" w14:textId="77777777" w:rsidR="000E718E" w:rsidRPr="00F87B9B" w:rsidRDefault="000E718E" w:rsidP="00316C84">
            <w:pPr>
              <w:rPr>
                <w:noProof/>
                <w:sz w:val="20"/>
                <w:szCs w:val="20"/>
              </w:rPr>
            </w:pPr>
            <w:r w:rsidRPr="00F87B9B">
              <w:rPr>
                <w:noProof/>
                <w:sz w:val="20"/>
                <w:szCs w:val="20"/>
              </w:rPr>
              <w:t xml:space="preserve">(0/+) Neutral to low adaptation costs to new licence types </w:t>
            </w:r>
          </w:p>
          <w:p w14:paraId="44FBEC28" w14:textId="77777777" w:rsidR="000E718E" w:rsidRPr="00F87B9B" w:rsidRDefault="000E718E" w:rsidP="00316C84">
            <w:pPr>
              <w:rPr>
                <w:noProof/>
                <w:sz w:val="20"/>
                <w:szCs w:val="20"/>
              </w:rPr>
            </w:pPr>
            <w:r w:rsidRPr="00F87B9B">
              <w:rPr>
                <w:noProof/>
                <w:sz w:val="20"/>
                <w:szCs w:val="20"/>
              </w:rPr>
              <w:t xml:space="preserve">(0) Neutral adaptation costs related to spectrum sharing as no operator generated barriers will be tackled </w:t>
            </w:r>
          </w:p>
          <w:p w14:paraId="0F9FA47C" w14:textId="64E2801D" w:rsidR="000E718E" w:rsidRPr="00F87B9B" w:rsidRDefault="000E718E" w:rsidP="00316C84">
            <w:pPr>
              <w:rPr>
                <w:noProof/>
                <w:sz w:val="20"/>
                <w:szCs w:val="20"/>
              </w:rPr>
            </w:pPr>
            <w:r w:rsidRPr="00F87B9B">
              <w:rPr>
                <w:noProof/>
                <w:sz w:val="20"/>
                <w:szCs w:val="20"/>
              </w:rPr>
              <w:t>(0/-) Neutral to reduced costs of acquiring new spectrum and retaining used spectrum</w:t>
            </w:r>
            <w:r w:rsidR="00C06159">
              <w:rPr>
                <w:noProof/>
                <w:sz w:val="20"/>
                <w:szCs w:val="20"/>
              </w:rPr>
              <w:t>,</w:t>
            </w:r>
            <w:r w:rsidRPr="00F87B9B">
              <w:rPr>
                <w:noProof/>
                <w:sz w:val="20"/>
                <w:szCs w:val="20"/>
              </w:rPr>
              <w:t xml:space="preserve"> even with licence duration of 20+5 years</w:t>
            </w:r>
            <w:r w:rsidR="00B0132C">
              <w:rPr>
                <w:noProof/>
                <w:sz w:val="20"/>
                <w:szCs w:val="20"/>
              </w:rPr>
              <w:t xml:space="preserve">, </w:t>
            </w:r>
            <w:r w:rsidRPr="00F87B9B">
              <w:rPr>
                <w:noProof/>
                <w:sz w:val="20"/>
                <w:szCs w:val="20"/>
              </w:rPr>
              <w:t>provided recommendations on investment</w:t>
            </w:r>
            <w:r w:rsidR="002F38B0">
              <w:rPr>
                <w:noProof/>
                <w:sz w:val="20"/>
                <w:szCs w:val="20"/>
              </w:rPr>
              <w:t>-</w:t>
            </w:r>
            <w:r w:rsidRPr="00F87B9B">
              <w:rPr>
                <w:noProof/>
                <w:sz w:val="20"/>
                <w:szCs w:val="20"/>
              </w:rPr>
              <w:t>oriented auction designs and conditions are followed</w:t>
            </w:r>
          </w:p>
        </w:tc>
        <w:tc>
          <w:tcPr>
            <w:tcW w:w="4050" w:type="dxa"/>
          </w:tcPr>
          <w:p w14:paraId="7A75D660" w14:textId="77777777" w:rsidR="000E718E" w:rsidRPr="00F87B9B" w:rsidRDefault="000E718E" w:rsidP="00316C84">
            <w:pPr>
              <w:rPr>
                <w:noProof/>
                <w:sz w:val="20"/>
                <w:szCs w:val="20"/>
              </w:rPr>
            </w:pPr>
            <w:r w:rsidRPr="00F87B9B">
              <w:rPr>
                <w:noProof/>
                <w:sz w:val="20"/>
                <w:szCs w:val="20"/>
              </w:rPr>
              <w:t xml:space="preserve">(+) Low costs for adaptation to new licence types </w:t>
            </w:r>
          </w:p>
          <w:p w14:paraId="15AE1CF6" w14:textId="6059C734" w:rsidR="000E718E" w:rsidRPr="00F87B9B" w:rsidRDefault="000E718E" w:rsidP="00316C84">
            <w:pPr>
              <w:rPr>
                <w:noProof/>
                <w:sz w:val="20"/>
                <w:szCs w:val="20"/>
              </w:rPr>
            </w:pPr>
            <w:r w:rsidRPr="00F87B9B">
              <w:rPr>
                <w:noProof/>
                <w:sz w:val="20"/>
                <w:szCs w:val="20"/>
              </w:rPr>
              <w:t>(+) Low costs for adaptation to spectrum sharing under principle “use-it-or-share-it</w:t>
            </w:r>
            <w:r w:rsidR="00A4548D">
              <w:rPr>
                <w:noProof/>
                <w:sz w:val="20"/>
                <w:szCs w:val="20"/>
              </w:rPr>
              <w:t>”</w:t>
            </w:r>
          </w:p>
          <w:p w14:paraId="5399B50D" w14:textId="77777777" w:rsidR="000E718E" w:rsidRPr="00F87B9B" w:rsidRDefault="000E718E" w:rsidP="00316C84">
            <w:pPr>
              <w:rPr>
                <w:noProof/>
                <w:sz w:val="20"/>
                <w:szCs w:val="20"/>
              </w:rPr>
            </w:pPr>
          </w:p>
          <w:p w14:paraId="4AC38997" w14:textId="77777777" w:rsidR="000E718E" w:rsidRPr="00F87B9B" w:rsidRDefault="000E718E" w:rsidP="00316C84">
            <w:pPr>
              <w:rPr>
                <w:noProof/>
                <w:sz w:val="20"/>
                <w:szCs w:val="20"/>
              </w:rPr>
            </w:pPr>
            <w:r w:rsidRPr="00F87B9B">
              <w:rPr>
                <w:noProof/>
                <w:sz w:val="20"/>
                <w:szCs w:val="20"/>
              </w:rPr>
              <w:t>(-) Reduced costs of acquiring new spectrum due to auctions more focused on incentivising investments, more targeted usage of market shaping measures and investment-oriented spectrum licensing conditions</w:t>
            </w:r>
          </w:p>
          <w:p w14:paraId="4A8245D7" w14:textId="6F3BFA97" w:rsidR="000E718E" w:rsidRPr="00F87B9B" w:rsidRDefault="000E718E" w:rsidP="00316C84">
            <w:pPr>
              <w:rPr>
                <w:noProof/>
                <w:sz w:val="20"/>
                <w:szCs w:val="20"/>
              </w:rPr>
            </w:pPr>
            <w:r w:rsidRPr="00F87B9B">
              <w:rPr>
                <w:noProof/>
                <w:sz w:val="20"/>
                <w:szCs w:val="20"/>
              </w:rPr>
              <w:t>(--) Reduced costs of retaining already used spectrum thanks to less re</w:t>
            </w:r>
            <w:r w:rsidR="005C5CC2">
              <w:rPr>
                <w:noProof/>
                <w:sz w:val="20"/>
                <w:szCs w:val="20"/>
              </w:rPr>
              <w:t>-</w:t>
            </w:r>
            <w:r w:rsidRPr="00F87B9B">
              <w:rPr>
                <w:noProof/>
                <w:sz w:val="20"/>
                <w:szCs w:val="20"/>
              </w:rPr>
              <w:t xml:space="preserve">auctioning </w:t>
            </w:r>
            <w:r w:rsidR="00BF473F">
              <w:rPr>
                <w:noProof/>
                <w:sz w:val="20"/>
                <w:szCs w:val="20"/>
              </w:rPr>
              <w:t>under</w:t>
            </w:r>
            <w:r w:rsidR="00077D3B">
              <w:rPr>
                <w:noProof/>
                <w:sz w:val="20"/>
                <w:szCs w:val="20"/>
              </w:rPr>
              <w:t xml:space="preserve"> a</w:t>
            </w:r>
            <w:r w:rsidRPr="00F87B9B">
              <w:rPr>
                <w:noProof/>
                <w:sz w:val="20"/>
                <w:szCs w:val="20"/>
              </w:rPr>
              <w:t xml:space="preserve"> default indefinite licence duration (e.g. for 3.6 GHz spectrum</w:t>
            </w:r>
            <w:r w:rsidR="008A59E5">
              <w:rPr>
                <w:noProof/>
                <w:sz w:val="20"/>
                <w:szCs w:val="20"/>
              </w:rPr>
              <w:t>)</w:t>
            </w:r>
          </w:p>
        </w:tc>
        <w:tc>
          <w:tcPr>
            <w:tcW w:w="3949" w:type="dxa"/>
          </w:tcPr>
          <w:p w14:paraId="02BE16BC" w14:textId="77777777" w:rsidR="000E718E" w:rsidRPr="00F87B9B" w:rsidRDefault="000E718E" w:rsidP="00316C84">
            <w:pPr>
              <w:rPr>
                <w:noProof/>
                <w:sz w:val="20"/>
                <w:szCs w:val="20"/>
              </w:rPr>
            </w:pPr>
            <w:r w:rsidRPr="00F87B9B">
              <w:rPr>
                <w:noProof/>
                <w:sz w:val="20"/>
                <w:szCs w:val="20"/>
              </w:rPr>
              <w:t>(+) Low cost for adaptation to new licence types</w:t>
            </w:r>
          </w:p>
          <w:p w14:paraId="517AE4AA" w14:textId="77777777" w:rsidR="000E718E" w:rsidRPr="00F87B9B" w:rsidRDefault="000E718E" w:rsidP="00316C84">
            <w:pPr>
              <w:rPr>
                <w:noProof/>
                <w:sz w:val="20"/>
                <w:szCs w:val="20"/>
              </w:rPr>
            </w:pPr>
            <w:r w:rsidRPr="00F87B9B">
              <w:rPr>
                <w:noProof/>
                <w:sz w:val="20"/>
                <w:szCs w:val="20"/>
              </w:rPr>
              <w:t>(+/++) Low to medium cost of adaptation to spectrum sharing, especially via dynamic geolocation database</w:t>
            </w:r>
          </w:p>
          <w:p w14:paraId="72A33AB4" w14:textId="6547CFEB" w:rsidR="000E718E" w:rsidRPr="00F87B9B" w:rsidRDefault="000E718E" w:rsidP="00316C84">
            <w:pPr>
              <w:rPr>
                <w:noProof/>
                <w:sz w:val="20"/>
                <w:szCs w:val="20"/>
              </w:rPr>
            </w:pPr>
            <w:r w:rsidRPr="00F87B9B">
              <w:rPr>
                <w:noProof/>
                <w:sz w:val="20"/>
                <w:szCs w:val="20"/>
              </w:rPr>
              <w:t>(--)</w:t>
            </w:r>
            <w:r w:rsidR="0061018C">
              <w:rPr>
                <w:noProof/>
                <w:sz w:val="20"/>
                <w:szCs w:val="20"/>
              </w:rPr>
              <w:t xml:space="preserve"> </w:t>
            </w:r>
            <w:r w:rsidRPr="00F87B9B">
              <w:rPr>
                <w:noProof/>
                <w:sz w:val="20"/>
                <w:szCs w:val="20"/>
              </w:rPr>
              <w:t xml:space="preserve">Reduced costs of acquiring new spectrum due to harmonised auction process aspects and conditions </w:t>
            </w:r>
          </w:p>
          <w:p w14:paraId="7B100047" w14:textId="0F004F9A" w:rsidR="000E718E" w:rsidRPr="00F87B9B" w:rsidRDefault="000E718E" w:rsidP="00316C84">
            <w:pPr>
              <w:rPr>
                <w:noProof/>
                <w:sz w:val="20"/>
                <w:szCs w:val="20"/>
              </w:rPr>
            </w:pPr>
            <w:r w:rsidRPr="00F87B9B">
              <w:rPr>
                <w:noProof/>
                <w:sz w:val="20"/>
                <w:szCs w:val="20"/>
              </w:rPr>
              <w:t>(--) Reduced costs of retaining used spectrum – as under option 2</w:t>
            </w:r>
          </w:p>
          <w:p w14:paraId="2FE78B6C" w14:textId="19FA89A2" w:rsidR="000E718E" w:rsidRPr="00F87B9B" w:rsidRDefault="000E718E" w:rsidP="00316C84">
            <w:pPr>
              <w:rPr>
                <w:noProof/>
                <w:sz w:val="20"/>
                <w:szCs w:val="20"/>
              </w:rPr>
            </w:pPr>
            <w:r w:rsidRPr="00F87B9B">
              <w:rPr>
                <w:noProof/>
                <w:sz w:val="20"/>
                <w:szCs w:val="20"/>
              </w:rPr>
              <w:t>(++)</w:t>
            </w:r>
            <w:r w:rsidR="0095022D">
              <w:rPr>
                <w:noProof/>
                <w:sz w:val="20"/>
                <w:szCs w:val="20"/>
              </w:rPr>
              <w:t xml:space="preserve"> </w:t>
            </w:r>
            <w:r w:rsidRPr="00F87B9B">
              <w:rPr>
                <w:noProof/>
                <w:sz w:val="20"/>
              </w:rPr>
              <w:t>High cost</w:t>
            </w:r>
            <w:r w:rsidRPr="00F87B9B">
              <w:rPr>
                <w:noProof/>
                <w:sz w:val="20"/>
                <w:szCs w:val="20"/>
              </w:rPr>
              <w:t xml:space="preserve"> of market restructuring resulting from EU-level spectrum awards –in short term, a</w:t>
            </w:r>
            <w:r>
              <w:rPr>
                <w:noProof/>
                <w:sz w:val="20"/>
                <w:szCs w:val="20"/>
              </w:rPr>
              <w:t xml:space="preserve"> </w:t>
            </w:r>
            <w:r w:rsidRPr="00F87B9B">
              <w:rPr>
                <w:noProof/>
                <w:sz w:val="20"/>
                <w:szCs w:val="20"/>
              </w:rPr>
              <w:t>risk of inefficiencies if only few operators (3-4 maximum) are able to acquire spectrum at EU level, and in the medium term, a risk</w:t>
            </w:r>
            <w:r w:rsidR="00DB7BEB">
              <w:rPr>
                <w:noProof/>
                <w:sz w:val="20"/>
                <w:szCs w:val="20"/>
              </w:rPr>
              <w:t xml:space="preserve"> </w:t>
            </w:r>
            <w:r w:rsidRPr="00F87B9B">
              <w:rPr>
                <w:noProof/>
                <w:sz w:val="20"/>
                <w:szCs w:val="20"/>
              </w:rPr>
              <w:t xml:space="preserve">for operators that will repeatedly fail to secure spectrum to sell assets, exit the market or become virtual operators. </w:t>
            </w:r>
            <w:r w:rsidR="008911FF">
              <w:rPr>
                <w:noProof/>
                <w:sz w:val="20"/>
                <w:szCs w:val="20"/>
              </w:rPr>
              <w:t>These costs decrease in the long term.</w:t>
            </w:r>
          </w:p>
        </w:tc>
      </w:tr>
      <w:tr w:rsidR="000E718E" w:rsidRPr="00F87B9B" w14:paraId="39F73F2B" w14:textId="77777777" w:rsidTr="00316C84">
        <w:trPr>
          <w:trHeight w:val="300"/>
        </w:trPr>
        <w:tc>
          <w:tcPr>
            <w:tcW w:w="2322" w:type="dxa"/>
          </w:tcPr>
          <w:p w14:paraId="02D3C6D3" w14:textId="77777777" w:rsidR="000E718E" w:rsidRPr="00F87B9B" w:rsidRDefault="000E718E" w:rsidP="00316C84">
            <w:pPr>
              <w:rPr>
                <w:noProof/>
                <w:sz w:val="20"/>
                <w:szCs w:val="20"/>
              </w:rPr>
            </w:pPr>
            <w:r w:rsidRPr="00F87B9B">
              <w:rPr>
                <w:noProof/>
                <w:sz w:val="20"/>
                <w:szCs w:val="20"/>
              </w:rPr>
              <w:t xml:space="preserve">Administration </w:t>
            </w:r>
          </w:p>
        </w:tc>
        <w:tc>
          <w:tcPr>
            <w:tcW w:w="3627" w:type="dxa"/>
          </w:tcPr>
          <w:p w14:paraId="117F4EF8" w14:textId="3D8DD271" w:rsidR="000E718E" w:rsidRPr="00F87B9B" w:rsidRDefault="000E718E" w:rsidP="00316C84">
            <w:pPr>
              <w:spacing w:after="0"/>
              <w:rPr>
                <w:noProof/>
                <w:sz w:val="20"/>
                <w:szCs w:val="20"/>
              </w:rPr>
            </w:pPr>
            <w:r w:rsidRPr="00F87B9B">
              <w:rPr>
                <w:noProof/>
                <w:sz w:val="20"/>
                <w:szCs w:val="20"/>
              </w:rPr>
              <w:t>(0/+) Neutral to low compliance costs of the toolbox of best practices (e.g. award conditions, auction formats, fee models, and obligations) as non-bi</w:t>
            </w:r>
            <w:r>
              <w:rPr>
                <w:noProof/>
                <w:sz w:val="20"/>
                <w:szCs w:val="20"/>
              </w:rPr>
              <w:t>n</w:t>
            </w:r>
            <w:r w:rsidRPr="00F87B9B">
              <w:rPr>
                <w:noProof/>
                <w:sz w:val="20"/>
                <w:szCs w:val="20"/>
              </w:rPr>
              <w:t xml:space="preserve">ding, </w:t>
            </w:r>
            <w:r w:rsidR="00553F87">
              <w:rPr>
                <w:noProof/>
                <w:sz w:val="20"/>
                <w:szCs w:val="20"/>
              </w:rPr>
              <w:t xml:space="preserve">compared </w:t>
            </w:r>
            <w:r w:rsidRPr="00F87B9B">
              <w:rPr>
                <w:noProof/>
                <w:sz w:val="20"/>
                <w:szCs w:val="20"/>
              </w:rPr>
              <w:t xml:space="preserve">to 6G roadmap, mandatory ex ante </w:t>
            </w:r>
            <w:r>
              <w:rPr>
                <w:noProof/>
                <w:sz w:val="20"/>
                <w:szCs w:val="20"/>
              </w:rPr>
              <w:t>spectrum Single Market procedure</w:t>
            </w:r>
            <w:r w:rsidRPr="00F87B9B">
              <w:rPr>
                <w:noProof/>
                <w:sz w:val="20"/>
                <w:szCs w:val="20"/>
              </w:rPr>
              <w:t xml:space="preserve"> </w:t>
            </w:r>
          </w:p>
          <w:p w14:paraId="5C052A0E" w14:textId="77777777" w:rsidR="000E718E" w:rsidRPr="00F87B9B" w:rsidRDefault="000E718E" w:rsidP="00316C84">
            <w:pPr>
              <w:spacing w:after="0"/>
              <w:rPr>
                <w:noProof/>
                <w:sz w:val="20"/>
                <w:szCs w:val="20"/>
              </w:rPr>
            </w:pPr>
          </w:p>
          <w:p w14:paraId="4D2B4123" w14:textId="77777777" w:rsidR="000E718E" w:rsidRPr="00F87B9B" w:rsidRDefault="000E718E" w:rsidP="00316C84">
            <w:pPr>
              <w:spacing w:after="0"/>
              <w:rPr>
                <w:noProof/>
                <w:sz w:val="20"/>
                <w:szCs w:val="20"/>
              </w:rPr>
            </w:pPr>
            <w:r w:rsidRPr="00F87B9B">
              <w:rPr>
                <w:noProof/>
                <w:sz w:val="20"/>
                <w:szCs w:val="20"/>
              </w:rPr>
              <w:t xml:space="preserve">(+) If relevant, a low one-off adjustment cost to EC recommendations (e.g. adapting internal procedures): </w:t>
            </w:r>
          </w:p>
          <w:p w14:paraId="0F6EC4B1" w14:textId="77777777" w:rsidR="000E718E" w:rsidRPr="00F87B9B" w:rsidRDefault="000E718E" w:rsidP="00316C84">
            <w:pPr>
              <w:spacing w:after="0"/>
              <w:rPr>
                <w:noProof/>
                <w:sz w:val="20"/>
                <w:szCs w:val="20"/>
              </w:rPr>
            </w:pPr>
          </w:p>
          <w:p w14:paraId="277C8023" w14:textId="3B7ED8A7" w:rsidR="000E718E" w:rsidRPr="00F87B9B" w:rsidRDefault="000E718E" w:rsidP="00316C84">
            <w:pPr>
              <w:spacing w:after="0"/>
              <w:rPr>
                <w:noProof/>
                <w:sz w:val="20"/>
                <w:szCs w:val="20"/>
              </w:rPr>
            </w:pPr>
            <w:r w:rsidRPr="00F87B9B">
              <w:rPr>
                <w:noProof/>
                <w:sz w:val="20"/>
                <w:szCs w:val="20"/>
              </w:rPr>
              <w:t xml:space="preserve">(0/+) Neutral to low additional expenses due to mandatory ex ante </w:t>
            </w:r>
            <w:r>
              <w:rPr>
                <w:noProof/>
                <w:sz w:val="20"/>
                <w:szCs w:val="20"/>
              </w:rPr>
              <w:t>Single Market procedure</w:t>
            </w:r>
            <w:r w:rsidRPr="00F87B9B">
              <w:rPr>
                <w:noProof/>
                <w:sz w:val="20"/>
                <w:szCs w:val="20"/>
              </w:rPr>
              <w:t xml:space="preserve">; </w:t>
            </w:r>
            <w:r w:rsidR="00070F3A">
              <w:rPr>
                <w:noProof/>
                <w:sz w:val="20"/>
                <w:szCs w:val="20"/>
              </w:rPr>
              <w:t xml:space="preserve">applied </w:t>
            </w:r>
            <w:r w:rsidRPr="00F87B9B">
              <w:rPr>
                <w:noProof/>
                <w:sz w:val="20"/>
                <w:szCs w:val="20"/>
              </w:rPr>
              <w:t xml:space="preserve">on a case-by-case basis, at each auction, </w:t>
            </w:r>
            <w:r w:rsidR="00F07009">
              <w:rPr>
                <w:noProof/>
                <w:sz w:val="20"/>
                <w:szCs w:val="20"/>
              </w:rPr>
              <w:t>with a lower</w:t>
            </w:r>
            <w:r w:rsidRPr="00F87B9B">
              <w:rPr>
                <w:noProof/>
                <w:sz w:val="20"/>
                <w:szCs w:val="20"/>
              </w:rPr>
              <w:t xml:space="preserve"> expected </w:t>
            </w:r>
            <w:r w:rsidR="00F07009">
              <w:rPr>
                <w:noProof/>
                <w:sz w:val="20"/>
                <w:szCs w:val="20"/>
              </w:rPr>
              <w:t>frequency</w:t>
            </w:r>
            <w:r w:rsidRPr="00F87B9B">
              <w:rPr>
                <w:noProof/>
                <w:sz w:val="20"/>
                <w:szCs w:val="20"/>
              </w:rPr>
              <w:t xml:space="preserve"> due to longer licence duration; mostly administrative costs (e.g. dossier and presentations preparation) as substantiation of market shaping measures is required already under the EECC</w:t>
            </w:r>
          </w:p>
          <w:p w14:paraId="6E4C7D47" w14:textId="77777777" w:rsidR="000E718E" w:rsidRPr="00F87B9B" w:rsidRDefault="000E718E" w:rsidP="00316C84">
            <w:pPr>
              <w:spacing w:after="0"/>
              <w:rPr>
                <w:noProof/>
                <w:sz w:val="20"/>
                <w:szCs w:val="20"/>
              </w:rPr>
            </w:pPr>
          </w:p>
          <w:p w14:paraId="076F0056" w14:textId="77777777" w:rsidR="000E718E" w:rsidRPr="00F87B9B" w:rsidRDefault="000E718E" w:rsidP="00316C84">
            <w:pPr>
              <w:spacing w:after="0"/>
              <w:rPr>
                <w:noProof/>
                <w:sz w:val="20"/>
                <w:szCs w:val="20"/>
              </w:rPr>
            </w:pPr>
            <w:r w:rsidRPr="00F87B9B">
              <w:rPr>
                <w:noProof/>
                <w:sz w:val="20"/>
                <w:szCs w:val="20"/>
              </w:rPr>
              <w:t>(+) If relevant, low compliance costs linked to the non-bi</w:t>
            </w:r>
            <w:r>
              <w:rPr>
                <w:noProof/>
                <w:sz w:val="20"/>
                <w:szCs w:val="20"/>
              </w:rPr>
              <w:t>n</w:t>
            </w:r>
            <w:r w:rsidRPr="00F87B9B">
              <w:rPr>
                <w:noProof/>
                <w:sz w:val="20"/>
                <w:szCs w:val="20"/>
              </w:rPr>
              <w:t xml:space="preserve">ding EC opinion resulting from the spectrum </w:t>
            </w:r>
            <w:r>
              <w:rPr>
                <w:noProof/>
                <w:sz w:val="20"/>
                <w:szCs w:val="20"/>
              </w:rPr>
              <w:t>Single Market procedure</w:t>
            </w:r>
          </w:p>
          <w:p w14:paraId="486C9A50" w14:textId="77777777" w:rsidR="000E718E" w:rsidRPr="00F87B9B" w:rsidRDefault="000E718E" w:rsidP="00316C84">
            <w:pPr>
              <w:spacing w:after="0"/>
              <w:rPr>
                <w:noProof/>
                <w:sz w:val="20"/>
                <w:szCs w:val="20"/>
              </w:rPr>
            </w:pPr>
          </w:p>
          <w:p w14:paraId="0968DC50" w14:textId="021E7CC8" w:rsidR="000E718E" w:rsidRPr="00F87B9B" w:rsidRDefault="000E718E" w:rsidP="00316C84">
            <w:pPr>
              <w:spacing w:after="0"/>
              <w:rPr>
                <w:noProof/>
                <w:sz w:val="20"/>
                <w:szCs w:val="20"/>
              </w:rPr>
            </w:pPr>
            <w:r w:rsidRPr="00F87B9B">
              <w:rPr>
                <w:noProof/>
                <w:sz w:val="20"/>
                <w:szCs w:val="20"/>
              </w:rPr>
              <w:t>(+) Increase in BEREC office cost for activities surrounding the spectrum scrutiny (up to 2 FTEs)</w:t>
            </w:r>
            <w:r>
              <w:rPr>
                <w:noProof/>
                <w:sz w:val="20"/>
                <w:szCs w:val="20"/>
              </w:rPr>
              <w:t xml:space="preserve"> </w:t>
            </w:r>
            <w:r w:rsidRPr="00F87B9B">
              <w:rPr>
                <w:noProof/>
                <w:sz w:val="20"/>
                <w:szCs w:val="20"/>
              </w:rPr>
              <w:t>(the current staff expenditure in BEREC</w:t>
            </w:r>
            <w:r>
              <w:rPr>
                <w:noProof/>
                <w:sz w:val="20"/>
                <w:szCs w:val="20"/>
              </w:rPr>
              <w:t xml:space="preserve"> Office</w:t>
            </w:r>
            <w:r w:rsidRPr="00F87B9B">
              <w:rPr>
                <w:noProof/>
                <w:sz w:val="20"/>
                <w:szCs w:val="20"/>
              </w:rPr>
              <w:t xml:space="preserve"> per employee EUR 111</w:t>
            </w:r>
            <w:r w:rsidR="005E4FFF">
              <w:rPr>
                <w:noProof/>
                <w:sz w:val="20"/>
                <w:szCs w:val="20"/>
              </w:rPr>
              <w:t>.</w:t>
            </w:r>
            <w:r w:rsidRPr="00F87B9B">
              <w:rPr>
                <w:noProof/>
                <w:sz w:val="20"/>
                <w:szCs w:val="20"/>
              </w:rPr>
              <w:t>935</w:t>
            </w:r>
            <w:r>
              <w:rPr>
                <w:noProof/>
                <w:sz w:val="20"/>
                <w:szCs w:val="20"/>
              </w:rPr>
              <w:t xml:space="preserve"> </w:t>
            </w:r>
            <w:r w:rsidRPr="00F87B9B">
              <w:rPr>
                <w:noProof/>
                <w:sz w:val="20"/>
                <w:szCs w:val="20"/>
              </w:rPr>
              <w:t>x 2 = EUR 223</w:t>
            </w:r>
            <w:r w:rsidR="00833FFE">
              <w:rPr>
                <w:noProof/>
                <w:sz w:val="20"/>
                <w:szCs w:val="20"/>
              </w:rPr>
              <w:t> </w:t>
            </w:r>
            <w:r w:rsidRPr="00F87B9B">
              <w:rPr>
                <w:noProof/>
                <w:sz w:val="20"/>
                <w:szCs w:val="20"/>
              </w:rPr>
              <w:t>870)</w:t>
            </w:r>
          </w:p>
          <w:p w14:paraId="16D89619" w14:textId="77777777" w:rsidR="000E718E" w:rsidRPr="00F87B9B" w:rsidRDefault="000E718E" w:rsidP="00316C84">
            <w:pPr>
              <w:spacing w:after="0"/>
              <w:rPr>
                <w:noProof/>
                <w:sz w:val="20"/>
                <w:szCs w:val="20"/>
              </w:rPr>
            </w:pPr>
          </w:p>
          <w:p w14:paraId="0E02F6EE" w14:textId="77777777" w:rsidR="000E718E" w:rsidRPr="00F87B9B" w:rsidRDefault="000E718E" w:rsidP="00316C84">
            <w:pPr>
              <w:spacing w:after="0"/>
              <w:rPr>
                <w:noProof/>
                <w:sz w:val="20"/>
                <w:szCs w:val="20"/>
              </w:rPr>
            </w:pPr>
            <w:r w:rsidRPr="00F87B9B">
              <w:rPr>
                <w:noProof/>
                <w:sz w:val="20"/>
                <w:szCs w:val="20"/>
              </w:rPr>
              <w:t>(0/+) Neutral to low costs of removing barriers to spectrum sharing</w:t>
            </w:r>
          </w:p>
          <w:p w14:paraId="22C7C4A1" w14:textId="77777777" w:rsidR="000E718E" w:rsidRPr="00F87B9B" w:rsidRDefault="000E718E" w:rsidP="00316C84">
            <w:pPr>
              <w:spacing w:after="0"/>
              <w:rPr>
                <w:noProof/>
                <w:sz w:val="20"/>
                <w:szCs w:val="20"/>
              </w:rPr>
            </w:pPr>
          </w:p>
          <w:p w14:paraId="64CF28DB" w14:textId="77777777" w:rsidR="000E718E" w:rsidRPr="00F87B9B" w:rsidRDefault="000E718E" w:rsidP="00316C84">
            <w:pPr>
              <w:spacing w:after="0"/>
              <w:rPr>
                <w:noProof/>
                <w:sz w:val="20"/>
                <w:szCs w:val="20"/>
              </w:rPr>
            </w:pPr>
            <w:r w:rsidRPr="00F87B9B">
              <w:rPr>
                <w:noProof/>
                <w:sz w:val="20"/>
                <w:szCs w:val="20"/>
              </w:rPr>
              <w:t>(0/+) Neutral to low additional cost of monitoring compliance with licence conditions’ due to longer duration (20+5 to currently 15+5 years)</w:t>
            </w:r>
          </w:p>
          <w:p w14:paraId="7A5F47A0" w14:textId="77777777" w:rsidR="000E718E" w:rsidRPr="00F87B9B" w:rsidRDefault="000E718E" w:rsidP="00316C84">
            <w:pPr>
              <w:spacing w:after="0"/>
              <w:rPr>
                <w:noProof/>
                <w:sz w:val="20"/>
                <w:szCs w:val="20"/>
              </w:rPr>
            </w:pPr>
          </w:p>
          <w:p w14:paraId="344BBECF" w14:textId="77777777" w:rsidR="000E718E" w:rsidRPr="00F87B9B" w:rsidRDefault="000E718E" w:rsidP="00316C84">
            <w:pPr>
              <w:spacing w:after="0"/>
              <w:rPr>
                <w:noProof/>
                <w:sz w:val="20"/>
                <w:szCs w:val="20"/>
              </w:rPr>
            </w:pPr>
            <w:r w:rsidRPr="00F87B9B">
              <w:rPr>
                <w:noProof/>
                <w:sz w:val="20"/>
                <w:szCs w:val="20"/>
              </w:rPr>
              <w:t>(+) On case-by-case basis, additional costs in monitoring / enforcing intra-EU 3</w:t>
            </w:r>
            <w:r w:rsidRPr="00F87B9B">
              <w:rPr>
                <w:noProof/>
                <w:sz w:val="20"/>
                <w:szCs w:val="20"/>
                <w:vertAlign w:val="superscript"/>
              </w:rPr>
              <w:t>rd</w:t>
            </w:r>
            <w:r w:rsidRPr="00F87B9B">
              <w:rPr>
                <w:noProof/>
                <w:sz w:val="20"/>
                <w:szCs w:val="20"/>
              </w:rPr>
              <w:t xml:space="preserve"> state cross-border interference</w:t>
            </w:r>
          </w:p>
          <w:p w14:paraId="58E3E470" w14:textId="77777777" w:rsidR="000E718E" w:rsidRPr="00F87B9B" w:rsidRDefault="000E718E" w:rsidP="00316C84">
            <w:pPr>
              <w:spacing w:after="0"/>
              <w:rPr>
                <w:noProof/>
                <w:sz w:val="20"/>
                <w:szCs w:val="20"/>
              </w:rPr>
            </w:pPr>
          </w:p>
          <w:p w14:paraId="39BF8357" w14:textId="77777777" w:rsidR="000E718E" w:rsidRPr="00F87B9B" w:rsidRDefault="000E718E" w:rsidP="00316C84">
            <w:pPr>
              <w:spacing w:after="0"/>
              <w:rPr>
                <w:noProof/>
                <w:sz w:val="20"/>
                <w:szCs w:val="20"/>
              </w:rPr>
            </w:pPr>
            <w:r w:rsidRPr="00F87B9B">
              <w:rPr>
                <w:noProof/>
                <w:sz w:val="20"/>
                <w:szCs w:val="20"/>
              </w:rPr>
              <w:t>(0/+) Neutral to low administrative costs with monitoring the 6G roadmap developments</w:t>
            </w:r>
          </w:p>
          <w:p w14:paraId="031E749B" w14:textId="77777777" w:rsidR="000E718E" w:rsidRPr="00F87B9B" w:rsidRDefault="000E718E" w:rsidP="00316C84">
            <w:pPr>
              <w:spacing w:after="0"/>
              <w:rPr>
                <w:noProof/>
                <w:sz w:val="20"/>
                <w:szCs w:val="20"/>
              </w:rPr>
            </w:pPr>
          </w:p>
          <w:p w14:paraId="426C032C" w14:textId="77777777" w:rsidR="000E718E" w:rsidRPr="00F87B9B" w:rsidRDefault="000E718E" w:rsidP="00316C84">
            <w:pPr>
              <w:spacing w:after="0"/>
              <w:rPr>
                <w:noProof/>
                <w:sz w:val="20"/>
                <w:szCs w:val="20"/>
              </w:rPr>
            </w:pPr>
            <w:r w:rsidRPr="00F87B9B">
              <w:rPr>
                <w:noProof/>
                <w:sz w:val="20"/>
                <w:szCs w:val="20"/>
              </w:rPr>
              <w:t xml:space="preserve">(+) Low mainly administrative costs related to a system for petition for harmonisation; </w:t>
            </w:r>
          </w:p>
        </w:tc>
        <w:tc>
          <w:tcPr>
            <w:tcW w:w="4050" w:type="dxa"/>
          </w:tcPr>
          <w:p w14:paraId="44C296EA" w14:textId="62DC6829" w:rsidR="000E718E" w:rsidRPr="00F87B9B" w:rsidRDefault="000E718E" w:rsidP="00316C84">
            <w:pPr>
              <w:spacing w:after="0"/>
              <w:rPr>
                <w:noProof/>
                <w:sz w:val="20"/>
                <w:szCs w:val="20"/>
              </w:rPr>
            </w:pPr>
            <w:r w:rsidRPr="00F87B9B">
              <w:rPr>
                <w:noProof/>
                <w:sz w:val="20"/>
                <w:szCs w:val="20"/>
              </w:rPr>
              <w:t>(+) Moderate adaptation costs</w:t>
            </w:r>
            <w:r w:rsidR="00A32089">
              <w:rPr>
                <w:noProof/>
                <w:sz w:val="20"/>
                <w:szCs w:val="20"/>
              </w:rPr>
              <w:t xml:space="preserve"> </w:t>
            </w:r>
            <w:r w:rsidRPr="00F87B9B">
              <w:rPr>
                <w:noProof/>
                <w:sz w:val="20"/>
                <w:szCs w:val="20"/>
              </w:rPr>
              <w:t xml:space="preserve">(continued) to EC recommendations and decisions addressing authorisation process aspects and conditions, authorisation regimes, updating EU spectrum </w:t>
            </w:r>
            <w:r>
              <w:rPr>
                <w:noProof/>
                <w:sz w:val="20"/>
                <w:szCs w:val="20"/>
              </w:rPr>
              <w:t xml:space="preserve">strategy and </w:t>
            </w:r>
            <w:r w:rsidRPr="00F87B9B">
              <w:rPr>
                <w:noProof/>
                <w:sz w:val="20"/>
                <w:szCs w:val="20"/>
              </w:rPr>
              <w:t>roadmap</w:t>
            </w:r>
            <w:r>
              <w:rPr>
                <w:noProof/>
                <w:sz w:val="20"/>
                <w:szCs w:val="20"/>
              </w:rPr>
              <w:t>s,</w:t>
            </w:r>
            <w:r w:rsidRPr="00F87B9B">
              <w:rPr>
                <w:noProof/>
                <w:sz w:val="20"/>
                <w:szCs w:val="20"/>
              </w:rPr>
              <w:t xml:space="preserve"> and national roadmaps, including after successful petition, mandatory ex ante </w:t>
            </w:r>
            <w:r>
              <w:rPr>
                <w:noProof/>
                <w:sz w:val="20"/>
                <w:szCs w:val="20"/>
              </w:rPr>
              <w:t>Single Market procedure</w:t>
            </w:r>
          </w:p>
          <w:p w14:paraId="78245703" w14:textId="77777777" w:rsidR="000E718E" w:rsidRDefault="000E718E" w:rsidP="00316C84">
            <w:pPr>
              <w:spacing w:after="0"/>
              <w:rPr>
                <w:noProof/>
                <w:sz w:val="20"/>
                <w:szCs w:val="20"/>
              </w:rPr>
            </w:pPr>
          </w:p>
          <w:p w14:paraId="7537A300" w14:textId="77777777" w:rsidR="00F416D9" w:rsidRDefault="00F416D9" w:rsidP="00316C84">
            <w:pPr>
              <w:spacing w:after="0"/>
              <w:rPr>
                <w:noProof/>
                <w:sz w:val="20"/>
                <w:szCs w:val="20"/>
              </w:rPr>
            </w:pPr>
          </w:p>
          <w:p w14:paraId="35E7EE6E" w14:textId="77777777" w:rsidR="00F416D9" w:rsidRDefault="00F416D9" w:rsidP="00316C84">
            <w:pPr>
              <w:spacing w:after="0"/>
              <w:rPr>
                <w:noProof/>
                <w:sz w:val="20"/>
                <w:szCs w:val="20"/>
              </w:rPr>
            </w:pPr>
          </w:p>
          <w:p w14:paraId="0DB7D99F" w14:textId="77777777" w:rsidR="00F416D9" w:rsidRDefault="00F416D9" w:rsidP="00316C84">
            <w:pPr>
              <w:spacing w:after="0"/>
              <w:rPr>
                <w:noProof/>
                <w:sz w:val="20"/>
                <w:szCs w:val="20"/>
              </w:rPr>
            </w:pPr>
          </w:p>
          <w:p w14:paraId="68A082C8" w14:textId="77777777" w:rsidR="00F416D9" w:rsidRPr="00F87B9B" w:rsidRDefault="00F416D9" w:rsidP="00316C84">
            <w:pPr>
              <w:spacing w:after="0"/>
              <w:rPr>
                <w:noProof/>
                <w:sz w:val="20"/>
                <w:szCs w:val="20"/>
              </w:rPr>
            </w:pPr>
          </w:p>
          <w:p w14:paraId="252AFD49" w14:textId="77777777" w:rsidR="000E718E" w:rsidRPr="00F87B9B" w:rsidRDefault="000E718E" w:rsidP="00316C84">
            <w:pPr>
              <w:spacing w:after="0"/>
              <w:rPr>
                <w:noProof/>
                <w:sz w:val="20"/>
                <w:szCs w:val="20"/>
              </w:rPr>
            </w:pPr>
            <w:r w:rsidRPr="00F87B9B">
              <w:rPr>
                <w:noProof/>
                <w:sz w:val="20"/>
                <w:szCs w:val="20"/>
              </w:rPr>
              <w:t xml:space="preserve">(+) Limited additional expenses for the ex-ante </w:t>
            </w:r>
            <w:r>
              <w:rPr>
                <w:noProof/>
                <w:sz w:val="20"/>
                <w:szCs w:val="20"/>
              </w:rPr>
              <w:t>spectrum Single Market procedure</w:t>
            </w:r>
            <w:r w:rsidRPr="00F87B9B">
              <w:rPr>
                <w:noProof/>
                <w:sz w:val="20"/>
                <w:szCs w:val="20"/>
              </w:rPr>
              <w:t xml:space="preserve">, but higher than under option 1; on case-by-case basis, but fewer auctions expected than under option 1 due to in general unlimited licence duration; </w:t>
            </w:r>
          </w:p>
          <w:p w14:paraId="7D43A246" w14:textId="77777777" w:rsidR="000E718E" w:rsidRDefault="000E718E" w:rsidP="00316C84">
            <w:pPr>
              <w:spacing w:after="0"/>
              <w:rPr>
                <w:noProof/>
                <w:sz w:val="20"/>
                <w:szCs w:val="20"/>
              </w:rPr>
            </w:pPr>
          </w:p>
          <w:p w14:paraId="5C528B86" w14:textId="77777777" w:rsidR="00F416D9" w:rsidRDefault="00F416D9" w:rsidP="00316C84">
            <w:pPr>
              <w:spacing w:after="0"/>
              <w:rPr>
                <w:noProof/>
                <w:sz w:val="20"/>
                <w:szCs w:val="20"/>
              </w:rPr>
            </w:pPr>
          </w:p>
          <w:p w14:paraId="46E167A4" w14:textId="77777777" w:rsidR="00F416D9" w:rsidRDefault="00F416D9" w:rsidP="00316C84">
            <w:pPr>
              <w:spacing w:after="0"/>
              <w:rPr>
                <w:noProof/>
                <w:sz w:val="20"/>
                <w:szCs w:val="20"/>
              </w:rPr>
            </w:pPr>
          </w:p>
          <w:p w14:paraId="25EFB950" w14:textId="77777777" w:rsidR="00F416D9" w:rsidRDefault="00F416D9" w:rsidP="00316C84">
            <w:pPr>
              <w:spacing w:after="0"/>
              <w:rPr>
                <w:noProof/>
                <w:sz w:val="20"/>
                <w:szCs w:val="20"/>
              </w:rPr>
            </w:pPr>
          </w:p>
          <w:p w14:paraId="1C456D19" w14:textId="77777777" w:rsidR="00F416D9" w:rsidRDefault="00F416D9" w:rsidP="00316C84">
            <w:pPr>
              <w:spacing w:after="0"/>
              <w:rPr>
                <w:noProof/>
                <w:sz w:val="20"/>
                <w:szCs w:val="20"/>
              </w:rPr>
            </w:pPr>
          </w:p>
          <w:p w14:paraId="4B9AF590" w14:textId="77777777" w:rsidR="00F416D9" w:rsidRDefault="00F416D9" w:rsidP="00316C84">
            <w:pPr>
              <w:spacing w:after="0"/>
              <w:rPr>
                <w:noProof/>
                <w:sz w:val="20"/>
                <w:szCs w:val="20"/>
              </w:rPr>
            </w:pPr>
          </w:p>
          <w:p w14:paraId="449A0B3C" w14:textId="77777777" w:rsidR="00F416D9" w:rsidRDefault="00F416D9" w:rsidP="00316C84">
            <w:pPr>
              <w:spacing w:after="0"/>
              <w:rPr>
                <w:noProof/>
                <w:sz w:val="20"/>
                <w:szCs w:val="20"/>
              </w:rPr>
            </w:pPr>
          </w:p>
          <w:p w14:paraId="662C80B2" w14:textId="77777777" w:rsidR="00F416D9" w:rsidRPr="00F87B9B" w:rsidRDefault="00F416D9" w:rsidP="00316C84">
            <w:pPr>
              <w:spacing w:after="0"/>
              <w:rPr>
                <w:noProof/>
                <w:sz w:val="20"/>
                <w:szCs w:val="20"/>
              </w:rPr>
            </w:pPr>
          </w:p>
          <w:p w14:paraId="26B53F95" w14:textId="77777777" w:rsidR="000E718E" w:rsidRPr="00F87B9B" w:rsidRDefault="000E718E" w:rsidP="00316C84">
            <w:pPr>
              <w:spacing w:after="0"/>
              <w:rPr>
                <w:noProof/>
                <w:sz w:val="20"/>
                <w:szCs w:val="20"/>
              </w:rPr>
            </w:pPr>
            <w:r w:rsidRPr="00F87B9B">
              <w:rPr>
                <w:noProof/>
                <w:sz w:val="20"/>
                <w:szCs w:val="20"/>
              </w:rPr>
              <w:t xml:space="preserve">(+) </w:t>
            </w:r>
            <w:r>
              <w:rPr>
                <w:noProof/>
                <w:sz w:val="20"/>
                <w:szCs w:val="20"/>
              </w:rPr>
              <w:t>I</w:t>
            </w:r>
            <w:r w:rsidRPr="00F87B9B">
              <w:rPr>
                <w:noProof/>
                <w:sz w:val="20"/>
                <w:szCs w:val="20"/>
              </w:rPr>
              <w:t>f relevant, moderate costs with ensuring compliance with the binding EC opinion, especially in case of EC veto</w:t>
            </w:r>
          </w:p>
          <w:p w14:paraId="1254FD31" w14:textId="77777777" w:rsidR="000E718E" w:rsidRDefault="000E718E" w:rsidP="00316C84">
            <w:pPr>
              <w:spacing w:after="0"/>
              <w:rPr>
                <w:noProof/>
                <w:sz w:val="20"/>
                <w:szCs w:val="20"/>
              </w:rPr>
            </w:pPr>
          </w:p>
          <w:p w14:paraId="6181EDE8" w14:textId="77777777" w:rsidR="000E718E" w:rsidRDefault="000E718E" w:rsidP="00316C84">
            <w:pPr>
              <w:spacing w:after="0"/>
              <w:rPr>
                <w:noProof/>
                <w:sz w:val="20"/>
                <w:szCs w:val="20"/>
              </w:rPr>
            </w:pPr>
          </w:p>
          <w:p w14:paraId="5090C475" w14:textId="77777777" w:rsidR="000E718E" w:rsidRDefault="000E718E" w:rsidP="00316C84">
            <w:pPr>
              <w:spacing w:after="0"/>
              <w:rPr>
                <w:noProof/>
                <w:sz w:val="20"/>
                <w:szCs w:val="20"/>
              </w:rPr>
            </w:pPr>
          </w:p>
          <w:p w14:paraId="6AECB6A4" w14:textId="4EB1C2A8" w:rsidR="000E718E" w:rsidRPr="00F87B9B" w:rsidRDefault="000E718E" w:rsidP="00316C84">
            <w:pPr>
              <w:spacing w:after="0"/>
              <w:rPr>
                <w:noProof/>
                <w:sz w:val="20"/>
                <w:szCs w:val="20"/>
              </w:rPr>
            </w:pPr>
            <w:r w:rsidRPr="00F87B9B">
              <w:rPr>
                <w:noProof/>
                <w:sz w:val="20"/>
                <w:szCs w:val="20"/>
              </w:rPr>
              <w:t xml:space="preserve">(+) Higher increase in BEREC office cost for activities relevant to the spectrum </w:t>
            </w:r>
            <w:r>
              <w:rPr>
                <w:noProof/>
                <w:sz w:val="20"/>
                <w:szCs w:val="20"/>
              </w:rPr>
              <w:t>Single Market procedure</w:t>
            </w:r>
            <w:r w:rsidRPr="00F87B9B">
              <w:rPr>
                <w:noProof/>
                <w:sz w:val="20"/>
                <w:szCs w:val="20"/>
              </w:rPr>
              <w:t xml:space="preserve"> (2 FTEs) than in option 1 due to more formalised procedure</w:t>
            </w:r>
            <w:r>
              <w:rPr>
                <w:noProof/>
                <w:sz w:val="20"/>
                <w:szCs w:val="20"/>
              </w:rPr>
              <w:t xml:space="preserve"> </w:t>
            </w:r>
            <w:r w:rsidRPr="00F87B9B">
              <w:rPr>
                <w:noProof/>
                <w:sz w:val="20"/>
                <w:szCs w:val="20"/>
              </w:rPr>
              <w:t>(the current staff expenditure in BEREC</w:t>
            </w:r>
            <w:r>
              <w:rPr>
                <w:noProof/>
                <w:sz w:val="20"/>
                <w:szCs w:val="20"/>
              </w:rPr>
              <w:t xml:space="preserve"> Office</w:t>
            </w:r>
            <w:r w:rsidRPr="00F87B9B">
              <w:rPr>
                <w:noProof/>
                <w:sz w:val="20"/>
                <w:szCs w:val="20"/>
              </w:rPr>
              <w:t xml:space="preserve"> per employee EUR 111</w:t>
            </w:r>
            <w:r w:rsidR="00114205">
              <w:rPr>
                <w:noProof/>
                <w:sz w:val="20"/>
                <w:szCs w:val="20"/>
              </w:rPr>
              <w:t>.</w:t>
            </w:r>
            <w:r w:rsidRPr="00F87B9B">
              <w:rPr>
                <w:noProof/>
                <w:sz w:val="20"/>
                <w:szCs w:val="20"/>
              </w:rPr>
              <w:t>935</w:t>
            </w:r>
            <w:r>
              <w:rPr>
                <w:noProof/>
                <w:sz w:val="20"/>
                <w:szCs w:val="20"/>
              </w:rPr>
              <w:t xml:space="preserve"> </w:t>
            </w:r>
            <w:r w:rsidRPr="00F87B9B">
              <w:rPr>
                <w:noProof/>
                <w:sz w:val="20"/>
                <w:szCs w:val="20"/>
              </w:rPr>
              <w:t>x 2 = EUR 223</w:t>
            </w:r>
            <w:r w:rsidR="00EE3F06">
              <w:rPr>
                <w:noProof/>
                <w:sz w:val="20"/>
                <w:szCs w:val="20"/>
              </w:rPr>
              <w:t> </w:t>
            </w:r>
            <w:r w:rsidRPr="00F87B9B">
              <w:rPr>
                <w:noProof/>
                <w:sz w:val="20"/>
                <w:szCs w:val="20"/>
              </w:rPr>
              <w:t>870)</w:t>
            </w:r>
          </w:p>
          <w:p w14:paraId="1627B262" w14:textId="77777777" w:rsidR="000E718E" w:rsidRPr="00F87B9B" w:rsidRDefault="000E718E" w:rsidP="00316C84">
            <w:pPr>
              <w:spacing w:after="0"/>
              <w:rPr>
                <w:noProof/>
                <w:sz w:val="20"/>
                <w:szCs w:val="20"/>
              </w:rPr>
            </w:pPr>
          </w:p>
          <w:p w14:paraId="07ADF9E8" w14:textId="63821C17" w:rsidR="000E718E" w:rsidRPr="00F87B9B" w:rsidRDefault="000E718E" w:rsidP="00316C84">
            <w:pPr>
              <w:spacing w:after="0"/>
              <w:rPr>
                <w:noProof/>
                <w:sz w:val="20"/>
                <w:szCs w:val="20"/>
              </w:rPr>
            </w:pPr>
            <w:r w:rsidRPr="00F87B9B">
              <w:rPr>
                <w:noProof/>
                <w:sz w:val="20"/>
                <w:szCs w:val="20"/>
              </w:rPr>
              <w:t>(+) Moderate costs for introduc</w:t>
            </w:r>
            <w:r w:rsidR="008B3136">
              <w:rPr>
                <w:noProof/>
                <w:sz w:val="20"/>
                <w:szCs w:val="20"/>
              </w:rPr>
              <w:t>ing</w:t>
            </w:r>
            <w:r w:rsidRPr="00F87B9B">
              <w:rPr>
                <w:noProof/>
                <w:sz w:val="20"/>
                <w:szCs w:val="20"/>
              </w:rPr>
              <w:t xml:space="preserve"> monitoring and enforcement of sharing mechanisms that may require real-time monitoring infrastructure (e.g. dynamic database) </w:t>
            </w:r>
          </w:p>
          <w:p w14:paraId="3858E005" w14:textId="77777777" w:rsidR="000E718E" w:rsidRPr="00F87B9B" w:rsidRDefault="000E718E" w:rsidP="00316C84">
            <w:pPr>
              <w:spacing w:after="0"/>
              <w:rPr>
                <w:noProof/>
                <w:sz w:val="20"/>
                <w:szCs w:val="20"/>
              </w:rPr>
            </w:pPr>
          </w:p>
          <w:p w14:paraId="4496F622" w14:textId="0038CDFA" w:rsidR="000E718E" w:rsidRPr="00F87B9B" w:rsidRDefault="000E718E" w:rsidP="00316C84">
            <w:pPr>
              <w:spacing w:after="0"/>
              <w:rPr>
                <w:noProof/>
                <w:sz w:val="20"/>
                <w:szCs w:val="20"/>
              </w:rPr>
            </w:pPr>
            <w:r w:rsidRPr="00F87B9B">
              <w:rPr>
                <w:noProof/>
                <w:sz w:val="20"/>
                <w:szCs w:val="20"/>
              </w:rPr>
              <w:t xml:space="preserve">(+) On case-by-case basis, moderate costs </w:t>
            </w:r>
            <w:r w:rsidR="00B84A60">
              <w:rPr>
                <w:noProof/>
                <w:sz w:val="20"/>
                <w:szCs w:val="20"/>
              </w:rPr>
              <w:t>associated</w:t>
            </w:r>
            <w:r w:rsidRPr="00F87B9B">
              <w:rPr>
                <w:noProof/>
                <w:sz w:val="20"/>
                <w:szCs w:val="20"/>
              </w:rPr>
              <w:t xml:space="preserve"> with implementation of measures resolving cross-border interference issues </w:t>
            </w:r>
          </w:p>
          <w:p w14:paraId="6E6D59C7" w14:textId="77777777" w:rsidR="000E718E" w:rsidRPr="00F87B9B" w:rsidRDefault="000E718E" w:rsidP="00316C84">
            <w:pPr>
              <w:spacing w:after="0"/>
              <w:rPr>
                <w:noProof/>
                <w:sz w:val="20"/>
                <w:szCs w:val="20"/>
              </w:rPr>
            </w:pPr>
          </w:p>
          <w:p w14:paraId="741A28EB" w14:textId="3020B606" w:rsidR="000E718E" w:rsidRPr="00F87B9B" w:rsidRDefault="000E718E" w:rsidP="00316C84">
            <w:pPr>
              <w:spacing w:after="0"/>
              <w:rPr>
                <w:noProof/>
                <w:sz w:val="20"/>
                <w:szCs w:val="20"/>
              </w:rPr>
            </w:pPr>
            <w:r w:rsidRPr="00F87B9B">
              <w:rPr>
                <w:noProof/>
                <w:sz w:val="20"/>
                <w:szCs w:val="20"/>
              </w:rPr>
              <w:t xml:space="preserve">(+) Moderate costs </w:t>
            </w:r>
            <w:r w:rsidR="00B84A60">
              <w:rPr>
                <w:noProof/>
                <w:sz w:val="20"/>
                <w:szCs w:val="20"/>
              </w:rPr>
              <w:t>associated</w:t>
            </w:r>
            <w:r w:rsidRPr="00F87B9B">
              <w:rPr>
                <w:noProof/>
                <w:sz w:val="20"/>
                <w:szCs w:val="20"/>
              </w:rPr>
              <w:t xml:space="preserve"> with establishing and implementing a system for petition for harmonisation </w:t>
            </w:r>
          </w:p>
          <w:p w14:paraId="2AA0A281" w14:textId="77777777" w:rsidR="000E718E" w:rsidRPr="00F87B9B" w:rsidRDefault="000E718E" w:rsidP="00316C84">
            <w:pPr>
              <w:spacing w:after="0"/>
              <w:rPr>
                <w:noProof/>
                <w:sz w:val="20"/>
                <w:szCs w:val="20"/>
              </w:rPr>
            </w:pPr>
          </w:p>
          <w:p w14:paraId="6F86EE53" w14:textId="77777777" w:rsidR="000E718E" w:rsidRPr="00F87B9B" w:rsidRDefault="000E718E" w:rsidP="00316C84">
            <w:pPr>
              <w:spacing w:after="0"/>
              <w:rPr>
                <w:noProof/>
                <w:sz w:val="20"/>
                <w:szCs w:val="20"/>
              </w:rPr>
            </w:pPr>
            <w:r w:rsidRPr="00F87B9B">
              <w:rPr>
                <w:noProof/>
                <w:sz w:val="20"/>
                <w:szCs w:val="20"/>
              </w:rPr>
              <w:t xml:space="preserve"> </w:t>
            </w:r>
          </w:p>
        </w:tc>
        <w:tc>
          <w:tcPr>
            <w:tcW w:w="3949" w:type="dxa"/>
          </w:tcPr>
          <w:p w14:paraId="2671E096" w14:textId="77777777" w:rsidR="000E718E" w:rsidRPr="00F87B9B" w:rsidRDefault="000E718E" w:rsidP="00316C84">
            <w:pPr>
              <w:spacing w:after="0"/>
              <w:rPr>
                <w:noProof/>
                <w:sz w:val="20"/>
                <w:szCs w:val="20"/>
              </w:rPr>
            </w:pPr>
            <w:r w:rsidRPr="00F87B9B">
              <w:rPr>
                <w:noProof/>
                <w:sz w:val="20"/>
                <w:szCs w:val="20"/>
              </w:rPr>
              <w:t xml:space="preserve">(++) High adaptation costs to fully harmonised authorisation process aspects and conditions, mandatory assignment deadlines and extended mandatory ex ante </w:t>
            </w:r>
            <w:r>
              <w:rPr>
                <w:noProof/>
                <w:sz w:val="20"/>
                <w:szCs w:val="20"/>
              </w:rPr>
              <w:t>spectrum Single Market procedure</w:t>
            </w:r>
          </w:p>
          <w:p w14:paraId="79C1ACD6" w14:textId="77777777" w:rsidR="000E718E" w:rsidRPr="00F87B9B" w:rsidRDefault="000E718E" w:rsidP="00316C84">
            <w:pPr>
              <w:spacing w:after="0"/>
              <w:rPr>
                <w:noProof/>
                <w:sz w:val="20"/>
                <w:szCs w:val="20"/>
              </w:rPr>
            </w:pPr>
          </w:p>
          <w:p w14:paraId="16107F7C" w14:textId="0045AA6F" w:rsidR="000E718E" w:rsidRPr="00F87B9B" w:rsidRDefault="000E718E" w:rsidP="00316C84">
            <w:pPr>
              <w:spacing w:after="0"/>
              <w:rPr>
                <w:noProof/>
                <w:sz w:val="20"/>
                <w:szCs w:val="20"/>
              </w:rPr>
            </w:pPr>
            <w:r w:rsidRPr="00F87B9B">
              <w:rPr>
                <w:noProof/>
                <w:sz w:val="20"/>
                <w:szCs w:val="20"/>
              </w:rPr>
              <w:t xml:space="preserve">(++) High compliance costs related to introduction of the EU-level spectrum awards due to synchronisation of existing licences’ expiry dates and conditions </w:t>
            </w:r>
            <w:r w:rsidR="00B7381A">
              <w:rPr>
                <w:noProof/>
                <w:sz w:val="20"/>
                <w:szCs w:val="20"/>
              </w:rPr>
              <w:t>and need to conduct procedures at EU level</w:t>
            </w:r>
          </w:p>
          <w:p w14:paraId="7D4C4F4D" w14:textId="77777777" w:rsidR="00F416D9" w:rsidRPr="00F87B9B" w:rsidRDefault="00F416D9" w:rsidP="00316C84">
            <w:pPr>
              <w:spacing w:after="0"/>
              <w:rPr>
                <w:noProof/>
                <w:sz w:val="20"/>
                <w:szCs w:val="20"/>
              </w:rPr>
            </w:pPr>
          </w:p>
          <w:p w14:paraId="601D94B9" w14:textId="77777777" w:rsidR="000E718E" w:rsidRPr="00F87B9B" w:rsidRDefault="000E718E" w:rsidP="00316C84">
            <w:pPr>
              <w:spacing w:after="0"/>
              <w:rPr>
                <w:noProof/>
                <w:sz w:val="20"/>
                <w:szCs w:val="20"/>
              </w:rPr>
            </w:pPr>
            <w:r w:rsidRPr="00F87B9B">
              <w:rPr>
                <w:noProof/>
                <w:sz w:val="20"/>
                <w:szCs w:val="20"/>
              </w:rPr>
              <w:t xml:space="preserve">(+/++) Limited to high additional expenses with ex ante </w:t>
            </w:r>
            <w:r w:rsidRPr="6A449AC1">
              <w:rPr>
                <w:noProof/>
                <w:sz w:val="20"/>
                <w:szCs w:val="20"/>
              </w:rPr>
              <w:t xml:space="preserve">spectrum </w:t>
            </w:r>
            <w:r>
              <w:rPr>
                <w:noProof/>
                <w:sz w:val="20"/>
                <w:szCs w:val="20"/>
              </w:rPr>
              <w:t>Single Market procedure</w:t>
            </w:r>
            <w:r w:rsidRPr="00F87B9B">
              <w:rPr>
                <w:noProof/>
                <w:sz w:val="20"/>
                <w:szCs w:val="20"/>
              </w:rPr>
              <w:t xml:space="preserve"> because </w:t>
            </w:r>
            <w:r>
              <w:rPr>
                <w:noProof/>
                <w:sz w:val="20"/>
                <w:szCs w:val="20"/>
              </w:rPr>
              <w:t xml:space="preserve">NRA </w:t>
            </w:r>
            <w:r w:rsidRPr="00F87B9B">
              <w:rPr>
                <w:noProof/>
                <w:sz w:val="20"/>
                <w:szCs w:val="20"/>
              </w:rPr>
              <w:t>need</w:t>
            </w:r>
            <w:r>
              <w:rPr>
                <w:noProof/>
                <w:sz w:val="20"/>
                <w:szCs w:val="20"/>
              </w:rPr>
              <w:t>s</w:t>
            </w:r>
            <w:r w:rsidRPr="00F87B9B">
              <w:rPr>
                <w:noProof/>
                <w:sz w:val="20"/>
                <w:szCs w:val="20"/>
              </w:rPr>
              <w:t xml:space="preserve"> to prove dominance in case </w:t>
            </w:r>
            <w:r>
              <w:rPr>
                <w:noProof/>
                <w:sz w:val="20"/>
                <w:szCs w:val="20"/>
              </w:rPr>
              <w:t>it</w:t>
            </w:r>
            <w:r w:rsidRPr="00F87B9B">
              <w:rPr>
                <w:noProof/>
                <w:sz w:val="20"/>
                <w:szCs w:val="20"/>
              </w:rPr>
              <w:t xml:space="preserve"> would like to introduce market shaping measures; </w:t>
            </w:r>
          </w:p>
          <w:p w14:paraId="69DF6DF9" w14:textId="77777777" w:rsidR="000E718E" w:rsidRPr="00F87B9B" w:rsidRDefault="000E718E" w:rsidP="00316C84">
            <w:pPr>
              <w:spacing w:after="0"/>
              <w:rPr>
                <w:noProof/>
                <w:sz w:val="20"/>
                <w:szCs w:val="20"/>
              </w:rPr>
            </w:pPr>
          </w:p>
          <w:p w14:paraId="3B8AD175" w14:textId="77777777" w:rsidR="000E718E" w:rsidRPr="00F87B9B" w:rsidRDefault="000E718E" w:rsidP="00316C84">
            <w:pPr>
              <w:spacing w:after="0"/>
              <w:rPr>
                <w:noProof/>
                <w:sz w:val="20"/>
                <w:szCs w:val="20"/>
              </w:rPr>
            </w:pPr>
            <w:r w:rsidRPr="00F87B9B">
              <w:rPr>
                <w:noProof/>
                <w:sz w:val="20"/>
                <w:szCs w:val="20"/>
              </w:rPr>
              <w:t xml:space="preserve">(+/++) </w:t>
            </w:r>
            <w:r>
              <w:rPr>
                <w:noProof/>
                <w:sz w:val="20"/>
                <w:szCs w:val="20"/>
              </w:rPr>
              <w:t>I</w:t>
            </w:r>
            <w:r w:rsidRPr="00F87B9B">
              <w:rPr>
                <w:noProof/>
                <w:sz w:val="20"/>
                <w:szCs w:val="20"/>
              </w:rPr>
              <w:t>f relevant, moderate to high costs to ensure compliance with the binding EC opinion, especially in case of EC veto</w:t>
            </w:r>
          </w:p>
          <w:p w14:paraId="579253D6" w14:textId="77777777" w:rsidR="000E718E" w:rsidRDefault="000E718E" w:rsidP="00316C84">
            <w:pPr>
              <w:spacing w:after="0"/>
              <w:rPr>
                <w:noProof/>
                <w:sz w:val="20"/>
                <w:szCs w:val="20"/>
              </w:rPr>
            </w:pPr>
          </w:p>
          <w:p w14:paraId="15063473" w14:textId="77777777" w:rsidR="00C4498C" w:rsidRDefault="00C4498C" w:rsidP="00316C84">
            <w:pPr>
              <w:spacing w:after="0"/>
              <w:rPr>
                <w:noProof/>
                <w:sz w:val="20"/>
                <w:szCs w:val="20"/>
              </w:rPr>
            </w:pPr>
          </w:p>
          <w:p w14:paraId="52ECF73B" w14:textId="77777777" w:rsidR="00C4498C" w:rsidRDefault="00C4498C" w:rsidP="00316C84">
            <w:pPr>
              <w:spacing w:after="0"/>
              <w:rPr>
                <w:noProof/>
                <w:sz w:val="20"/>
                <w:szCs w:val="20"/>
              </w:rPr>
            </w:pPr>
          </w:p>
          <w:p w14:paraId="7314872D" w14:textId="77777777" w:rsidR="00C4498C" w:rsidRDefault="00C4498C" w:rsidP="00316C84">
            <w:pPr>
              <w:spacing w:after="0"/>
              <w:rPr>
                <w:noProof/>
                <w:sz w:val="20"/>
                <w:szCs w:val="20"/>
              </w:rPr>
            </w:pPr>
          </w:p>
          <w:p w14:paraId="0FA409B4" w14:textId="77777777" w:rsidR="00C4498C" w:rsidRDefault="00C4498C" w:rsidP="00316C84">
            <w:pPr>
              <w:spacing w:after="0"/>
              <w:rPr>
                <w:noProof/>
                <w:sz w:val="20"/>
                <w:szCs w:val="20"/>
              </w:rPr>
            </w:pPr>
          </w:p>
          <w:p w14:paraId="367B90CE" w14:textId="77777777" w:rsidR="00C4498C" w:rsidRDefault="00C4498C" w:rsidP="00316C84">
            <w:pPr>
              <w:spacing w:after="0"/>
              <w:rPr>
                <w:noProof/>
                <w:sz w:val="20"/>
                <w:szCs w:val="20"/>
              </w:rPr>
            </w:pPr>
          </w:p>
          <w:p w14:paraId="0813ED83" w14:textId="77777777" w:rsidR="00C4498C" w:rsidRDefault="00C4498C" w:rsidP="00316C84">
            <w:pPr>
              <w:spacing w:after="0"/>
              <w:rPr>
                <w:noProof/>
                <w:sz w:val="20"/>
                <w:szCs w:val="20"/>
              </w:rPr>
            </w:pPr>
          </w:p>
          <w:p w14:paraId="35BC38E5" w14:textId="77777777" w:rsidR="00C4498C" w:rsidRPr="00F87B9B" w:rsidRDefault="00C4498C" w:rsidP="00316C84">
            <w:pPr>
              <w:spacing w:after="0"/>
              <w:rPr>
                <w:noProof/>
                <w:sz w:val="20"/>
                <w:szCs w:val="20"/>
              </w:rPr>
            </w:pPr>
          </w:p>
          <w:p w14:paraId="23A72CE2" w14:textId="11E03EBF" w:rsidR="000E718E" w:rsidRPr="00F87B9B" w:rsidRDefault="000E718E" w:rsidP="00316C84">
            <w:pPr>
              <w:spacing w:after="0"/>
              <w:rPr>
                <w:noProof/>
                <w:sz w:val="20"/>
                <w:szCs w:val="20"/>
              </w:rPr>
            </w:pPr>
            <w:r w:rsidRPr="00F87B9B">
              <w:rPr>
                <w:noProof/>
                <w:sz w:val="20"/>
                <w:szCs w:val="20"/>
              </w:rPr>
              <w:t xml:space="preserve">(+) </w:t>
            </w:r>
            <w:r>
              <w:rPr>
                <w:noProof/>
                <w:sz w:val="20"/>
                <w:szCs w:val="20"/>
              </w:rPr>
              <w:t>In</w:t>
            </w:r>
            <w:r w:rsidRPr="00F87B9B">
              <w:rPr>
                <w:noProof/>
                <w:sz w:val="20"/>
                <w:szCs w:val="20"/>
              </w:rPr>
              <w:t xml:space="preserve">crease in BEREC office cost for activities relevant to the spectrum </w:t>
            </w:r>
            <w:r>
              <w:rPr>
                <w:noProof/>
                <w:sz w:val="20"/>
                <w:szCs w:val="20"/>
              </w:rPr>
              <w:t>Single Market procedure</w:t>
            </w:r>
            <w:r w:rsidRPr="00F87B9B">
              <w:rPr>
                <w:noProof/>
                <w:sz w:val="20"/>
                <w:szCs w:val="20"/>
              </w:rPr>
              <w:t xml:space="preserve"> (2 FTEs) similar to option 2</w:t>
            </w:r>
            <w:r>
              <w:rPr>
                <w:noProof/>
                <w:sz w:val="20"/>
                <w:szCs w:val="20"/>
              </w:rPr>
              <w:t xml:space="preserve"> </w:t>
            </w:r>
            <w:r w:rsidRPr="00F87B9B">
              <w:rPr>
                <w:noProof/>
                <w:sz w:val="20"/>
                <w:szCs w:val="20"/>
              </w:rPr>
              <w:t>(the current staff expenditure in BEREC</w:t>
            </w:r>
            <w:r>
              <w:rPr>
                <w:noProof/>
                <w:sz w:val="20"/>
                <w:szCs w:val="20"/>
              </w:rPr>
              <w:t xml:space="preserve"> Office</w:t>
            </w:r>
            <w:r w:rsidRPr="00F87B9B">
              <w:rPr>
                <w:noProof/>
                <w:sz w:val="20"/>
                <w:szCs w:val="20"/>
              </w:rPr>
              <w:t xml:space="preserve"> per employee EUR 111</w:t>
            </w:r>
            <w:r w:rsidR="00114205">
              <w:rPr>
                <w:noProof/>
                <w:sz w:val="20"/>
                <w:szCs w:val="20"/>
              </w:rPr>
              <w:t>.</w:t>
            </w:r>
            <w:r w:rsidRPr="00F87B9B">
              <w:rPr>
                <w:noProof/>
                <w:sz w:val="20"/>
                <w:szCs w:val="20"/>
              </w:rPr>
              <w:t>935</w:t>
            </w:r>
            <w:r>
              <w:rPr>
                <w:noProof/>
                <w:sz w:val="20"/>
                <w:szCs w:val="20"/>
              </w:rPr>
              <w:t xml:space="preserve"> </w:t>
            </w:r>
            <w:r w:rsidRPr="00F87B9B">
              <w:rPr>
                <w:noProof/>
                <w:sz w:val="20"/>
                <w:szCs w:val="20"/>
              </w:rPr>
              <w:t>x 2 = EUR 223</w:t>
            </w:r>
            <w:r w:rsidR="00833FFE">
              <w:rPr>
                <w:noProof/>
                <w:sz w:val="20"/>
                <w:szCs w:val="20"/>
              </w:rPr>
              <w:t> </w:t>
            </w:r>
            <w:r w:rsidRPr="00F87B9B">
              <w:rPr>
                <w:noProof/>
                <w:sz w:val="20"/>
                <w:szCs w:val="20"/>
              </w:rPr>
              <w:t>870)</w:t>
            </w:r>
          </w:p>
          <w:p w14:paraId="2570547D" w14:textId="62D3E3F3" w:rsidR="000E718E" w:rsidRPr="00F87B9B" w:rsidRDefault="000E718E" w:rsidP="00316C84">
            <w:pPr>
              <w:spacing w:after="0"/>
              <w:rPr>
                <w:noProof/>
                <w:sz w:val="20"/>
                <w:szCs w:val="20"/>
              </w:rPr>
            </w:pPr>
            <w:r w:rsidRPr="00F87B9B">
              <w:rPr>
                <w:noProof/>
                <w:sz w:val="20"/>
                <w:szCs w:val="20"/>
              </w:rPr>
              <w:t>(+/++) Moderate to high costs for introduc</w:t>
            </w:r>
            <w:r w:rsidR="00A51A3F">
              <w:rPr>
                <w:noProof/>
                <w:sz w:val="20"/>
                <w:szCs w:val="20"/>
              </w:rPr>
              <w:t>ing</w:t>
            </w:r>
            <w:r w:rsidRPr="00F87B9B">
              <w:rPr>
                <w:noProof/>
                <w:sz w:val="20"/>
                <w:szCs w:val="20"/>
              </w:rPr>
              <w:t xml:space="preserve"> monitoring and enforcement of sharing mechanisms that may require real-time monitoring infrastructure (e.g. dynamic database)</w:t>
            </w:r>
          </w:p>
          <w:p w14:paraId="6165F7AE" w14:textId="77777777" w:rsidR="000E718E" w:rsidRPr="00F87B9B" w:rsidRDefault="000E718E" w:rsidP="00316C84">
            <w:pPr>
              <w:spacing w:after="0"/>
              <w:rPr>
                <w:noProof/>
                <w:sz w:val="20"/>
                <w:szCs w:val="20"/>
              </w:rPr>
            </w:pPr>
          </w:p>
          <w:p w14:paraId="1FDBB7DD" w14:textId="77777777" w:rsidR="000E718E" w:rsidRPr="00F87B9B" w:rsidRDefault="000E718E" w:rsidP="00316C84">
            <w:pPr>
              <w:spacing w:after="0"/>
              <w:rPr>
                <w:noProof/>
                <w:sz w:val="20"/>
                <w:szCs w:val="20"/>
              </w:rPr>
            </w:pPr>
            <w:r w:rsidRPr="00F87B9B">
              <w:rPr>
                <w:noProof/>
                <w:sz w:val="20"/>
                <w:szCs w:val="20"/>
              </w:rPr>
              <w:t xml:space="preserve">(+/++) On case-by-case basis, moderate to high costs with implementation of measures resolving cross-border interference issues </w:t>
            </w:r>
          </w:p>
          <w:p w14:paraId="4B29511B" w14:textId="77777777" w:rsidR="000E718E" w:rsidRPr="00F87B9B" w:rsidRDefault="000E718E" w:rsidP="00316C84">
            <w:pPr>
              <w:spacing w:after="0"/>
              <w:rPr>
                <w:noProof/>
                <w:sz w:val="20"/>
                <w:szCs w:val="20"/>
              </w:rPr>
            </w:pPr>
          </w:p>
          <w:p w14:paraId="0B195F04" w14:textId="33DD3336" w:rsidR="000E718E" w:rsidRPr="00F87B9B" w:rsidRDefault="000E718E" w:rsidP="00316C84">
            <w:pPr>
              <w:spacing w:after="0"/>
              <w:rPr>
                <w:noProof/>
                <w:sz w:val="20"/>
                <w:szCs w:val="20"/>
              </w:rPr>
            </w:pPr>
            <w:r w:rsidRPr="00F87B9B">
              <w:rPr>
                <w:noProof/>
                <w:sz w:val="20"/>
                <w:szCs w:val="20"/>
              </w:rPr>
              <w:t xml:space="preserve">(++) High costs </w:t>
            </w:r>
            <w:r w:rsidR="00B84A60">
              <w:rPr>
                <w:noProof/>
                <w:sz w:val="20"/>
                <w:szCs w:val="20"/>
              </w:rPr>
              <w:t>associated</w:t>
            </w:r>
            <w:r w:rsidRPr="00F87B9B">
              <w:rPr>
                <w:noProof/>
                <w:sz w:val="20"/>
                <w:szCs w:val="20"/>
              </w:rPr>
              <w:t xml:space="preserve"> with establishing and implementing a system for petition for harmonisation and </w:t>
            </w:r>
            <w:r w:rsidR="0091104F">
              <w:rPr>
                <w:noProof/>
                <w:sz w:val="20"/>
                <w:szCs w:val="20"/>
              </w:rPr>
              <w:t>ensuring</w:t>
            </w:r>
            <w:r w:rsidRPr="00F87B9B">
              <w:rPr>
                <w:noProof/>
                <w:sz w:val="20"/>
                <w:szCs w:val="20"/>
              </w:rPr>
              <w:t xml:space="preserve"> adequate follow up</w:t>
            </w:r>
          </w:p>
          <w:p w14:paraId="675EC6A3" w14:textId="77777777" w:rsidR="000E718E" w:rsidRPr="00F87B9B" w:rsidRDefault="000E718E" w:rsidP="00316C84">
            <w:pPr>
              <w:spacing w:after="0"/>
              <w:rPr>
                <w:noProof/>
                <w:sz w:val="20"/>
                <w:szCs w:val="20"/>
              </w:rPr>
            </w:pPr>
          </w:p>
        </w:tc>
      </w:tr>
      <w:tr w:rsidR="000E718E" w:rsidRPr="00F87B9B" w14:paraId="5D9FA355" w14:textId="77777777" w:rsidTr="00316C84">
        <w:trPr>
          <w:trHeight w:val="300"/>
        </w:trPr>
        <w:tc>
          <w:tcPr>
            <w:tcW w:w="2322" w:type="dxa"/>
          </w:tcPr>
          <w:p w14:paraId="5D3F3A4C" w14:textId="77777777" w:rsidR="000E718E" w:rsidRPr="00F87B9B" w:rsidRDefault="000E718E" w:rsidP="00316C84">
            <w:pPr>
              <w:rPr>
                <w:b/>
                <w:bCs/>
                <w:noProof/>
                <w:sz w:val="20"/>
                <w:szCs w:val="20"/>
              </w:rPr>
            </w:pPr>
            <w:r w:rsidRPr="00F87B9B">
              <w:rPr>
                <w:b/>
                <w:bCs/>
                <w:noProof/>
                <w:sz w:val="20"/>
                <w:szCs w:val="20"/>
              </w:rPr>
              <w:t>Benefits by stakeholders</w:t>
            </w:r>
          </w:p>
        </w:tc>
        <w:tc>
          <w:tcPr>
            <w:tcW w:w="3627" w:type="dxa"/>
          </w:tcPr>
          <w:p w14:paraId="5DAC621B" w14:textId="77777777" w:rsidR="000E718E" w:rsidRPr="00F87B9B" w:rsidRDefault="000E718E" w:rsidP="00316C84">
            <w:pPr>
              <w:rPr>
                <w:noProof/>
                <w:sz w:val="20"/>
                <w:szCs w:val="20"/>
              </w:rPr>
            </w:pPr>
          </w:p>
        </w:tc>
        <w:tc>
          <w:tcPr>
            <w:tcW w:w="4050" w:type="dxa"/>
          </w:tcPr>
          <w:p w14:paraId="393C803F" w14:textId="77777777" w:rsidR="000E718E" w:rsidRPr="00F87B9B" w:rsidRDefault="000E718E" w:rsidP="00316C84">
            <w:pPr>
              <w:rPr>
                <w:noProof/>
                <w:sz w:val="20"/>
                <w:szCs w:val="20"/>
              </w:rPr>
            </w:pPr>
          </w:p>
        </w:tc>
        <w:tc>
          <w:tcPr>
            <w:tcW w:w="3949" w:type="dxa"/>
          </w:tcPr>
          <w:p w14:paraId="6110D3F1" w14:textId="77777777" w:rsidR="000E718E" w:rsidRPr="00F87B9B" w:rsidRDefault="000E718E" w:rsidP="00316C84">
            <w:pPr>
              <w:rPr>
                <w:noProof/>
                <w:sz w:val="20"/>
                <w:szCs w:val="20"/>
              </w:rPr>
            </w:pPr>
          </w:p>
        </w:tc>
      </w:tr>
      <w:tr w:rsidR="000E718E" w:rsidRPr="00F87B9B" w14:paraId="0E6F28B8" w14:textId="77777777" w:rsidTr="00316C84">
        <w:trPr>
          <w:trHeight w:val="300"/>
        </w:trPr>
        <w:tc>
          <w:tcPr>
            <w:tcW w:w="2322" w:type="dxa"/>
          </w:tcPr>
          <w:p w14:paraId="5049EB77" w14:textId="77777777" w:rsidR="000E718E" w:rsidRPr="00F87B9B" w:rsidRDefault="000E718E" w:rsidP="00316C84">
            <w:pPr>
              <w:rPr>
                <w:noProof/>
                <w:sz w:val="20"/>
                <w:szCs w:val="20"/>
              </w:rPr>
            </w:pPr>
            <w:r w:rsidRPr="00F87B9B">
              <w:rPr>
                <w:noProof/>
                <w:sz w:val="20"/>
                <w:szCs w:val="20"/>
              </w:rPr>
              <w:t>End users: Citizens and industrial sectors (e.g. verticals)</w:t>
            </w:r>
          </w:p>
        </w:tc>
        <w:tc>
          <w:tcPr>
            <w:tcW w:w="3627" w:type="dxa"/>
          </w:tcPr>
          <w:p w14:paraId="3EDB0A2C" w14:textId="48027E00" w:rsidR="000E718E" w:rsidRPr="00F87B9B" w:rsidRDefault="000E718E" w:rsidP="00316C84">
            <w:pPr>
              <w:rPr>
                <w:noProof/>
                <w:sz w:val="20"/>
                <w:szCs w:val="20"/>
              </w:rPr>
            </w:pPr>
            <w:r w:rsidRPr="00F87B9B">
              <w:rPr>
                <w:noProof/>
                <w:sz w:val="20"/>
                <w:szCs w:val="20"/>
              </w:rPr>
              <w:t xml:space="preserve">(+) Limited improvements to quality of service </w:t>
            </w:r>
            <w:r w:rsidR="00492A6C">
              <w:rPr>
                <w:noProof/>
                <w:sz w:val="20"/>
                <w:szCs w:val="20"/>
              </w:rPr>
              <w:t>due</w:t>
            </w:r>
            <w:r w:rsidR="00492A6C" w:rsidRPr="00F87B9B">
              <w:rPr>
                <w:noProof/>
                <w:sz w:val="20"/>
                <w:szCs w:val="20"/>
              </w:rPr>
              <w:t xml:space="preserve"> </w:t>
            </w:r>
            <w:r w:rsidRPr="00F87B9B">
              <w:rPr>
                <w:noProof/>
                <w:sz w:val="20"/>
                <w:szCs w:val="20"/>
              </w:rPr>
              <w:t>to wider high quality 5G coverage and higher speeds</w:t>
            </w:r>
          </w:p>
          <w:p w14:paraId="742220EF" w14:textId="77777777" w:rsidR="000E718E" w:rsidRPr="00F87B9B" w:rsidRDefault="000E718E" w:rsidP="00316C84">
            <w:pPr>
              <w:rPr>
                <w:noProof/>
                <w:sz w:val="20"/>
                <w:szCs w:val="20"/>
              </w:rPr>
            </w:pPr>
            <w:r w:rsidRPr="00F87B9B">
              <w:rPr>
                <w:noProof/>
                <w:sz w:val="20"/>
                <w:szCs w:val="20"/>
              </w:rPr>
              <w:t xml:space="preserve">(+) Limited benefits for industry from increased possibility to ask for harmonisation of spectrum </w:t>
            </w:r>
          </w:p>
          <w:p w14:paraId="5C5660B1" w14:textId="77777777" w:rsidR="000E718E" w:rsidRPr="00F87B9B" w:rsidRDefault="000E718E" w:rsidP="00316C84">
            <w:pPr>
              <w:rPr>
                <w:noProof/>
                <w:sz w:val="20"/>
                <w:szCs w:val="20"/>
              </w:rPr>
            </w:pPr>
            <w:r w:rsidRPr="00F87B9B">
              <w:rPr>
                <w:noProof/>
                <w:sz w:val="20"/>
                <w:szCs w:val="20"/>
              </w:rPr>
              <w:t>(+) Increased investment planning for vendors and verticals on the basis of 6G roadmap leading to more synchronised technology adaption</w:t>
            </w:r>
          </w:p>
          <w:p w14:paraId="78C8477B" w14:textId="22A8A89C" w:rsidR="000E718E" w:rsidRPr="00F87B9B" w:rsidRDefault="000E718E" w:rsidP="00316C84">
            <w:pPr>
              <w:rPr>
                <w:noProof/>
                <w:sz w:val="20"/>
                <w:szCs w:val="20"/>
              </w:rPr>
            </w:pPr>
            <w:r w:rsidRPr="00F87B9B">
              <w:rPr>
                <w:noProof/>
                <w:sz w:val="20"/>
                <w:szCs w:val="20"/>
              </w:rPr>
              <w:t xml:space="preserve">(0/+) Neutral to low benefits </w:t>
            </w:r>
            <w:r w:rsidR="00236D56">
              <w:rPr>
                <w:noProof/>
                <w:sz w:val="20"/>
                <w:szCs w:val="20"/>
              </w:rPr>
              <w:t>from</w:t>
            </w:r>
            <w:r w:rsidR="00236D56" w:rsidRPr="00F87B9B">
              <w:rPr>
                <w:noProof/>
                <w:sz w:val="20"/>
                <w:szCs w:val="20"/>
              </w:rPr>
              <w:t xml:space="preserve"> </w:t>
            </w:r>
            <w:r w:rsidRPr="00F87B9B">
              <w:rPr>
                <w:noProof/>
                <w:sz w:val="20"/>
                <w:szCs w:val="20"/>
              </w:rPr>
              <w:t>spectrum sharing thanks to removal of legal barriers</w:t>
            </w:r>
          </w:p>
        </w:tc>
        <w:tc>
          <w:tcPr>
            <w:tcW w:w="4050" w:type="dxa"/>
          </w:tcPr>
          <w:p w14:paraId="366B2A14" w14:textId="77777777" w:rsidR="000E718E" w:rsidRPr="00F87B9B" w:rsidRDefault="000E718E" w:rsidP="00316C84">
            <w:pPr>
              <w:rPr>
                <w:noProof/>
                <w:sz w:val="20"/>
                <w:szCs w:val="20"/>
              </w:rPr>
            </w:pPr>
            <w:r w:rsidRPr="00F87B9B">
              <w:rPr>
                <w:noProof/>
                <w:sz w:val="20"/>
                <w:szCs w:val="20"/>
              </w:rPr>
              <w:t>(++) Considerably improved coverage and quality of service for mobile connectivity, faster availability of 6G</w:t>
            </w:r>
          </w:p>
          <w:p w14:paraId="483A066D" w14:textId="2F61DF76" w:rsidR="000E718E" w:rsidRPr="00F87B9B" w:rsidRDefault="00090330" w:rsidP="00316C84">
            <w:pPr>
              <w:rPr>
                <w:noProof/>
                <w:sz w:val="20"/>
                <w:szCs w:val="20"/>
              </w:rPr>
            </w:pPr>
            <w:r w:rsidRPr="00F87B9B">
              <w:rPr>
                <w:noProof/>
                <w:sz w:val="20"/>
                <w:szCs w:val="20"/>
              </w:rPr>
              <w:t>(++)</w:t>
            </w:r>
            <w:r>
              <w:rPr>
                <w:noProof/>
                <w:sz w:val="20"/>
                <w:szCs w:val="20"/>
              </w:rPr>
              <w:t xml:space="preserve"> </w:t>
            </w:r>
            <w:r w:rsidR="000E718E" w:rsidRPr="00F87B9B">
              <w:rPr>
                <w:noProof/>
                <w:sz w:val="20"/>
                <w:szCs w:val="20"/>
              </w:rPr>
              <w:t>End users, especially in rural/underserved areas benefit indirectly from faster rollout, broader service options, higher QoS and higher coverage with high-quality networks enabled by investment oriented spectrum licensing, local licensing, shared access and interference free connectivity, especially in cross-border areas.</w:t>
            </w:r>
          </w:p>
          <w:p w14:paraId="7515502C" w14:textId="3B591DA6" w:rsidR="000E718E" w:rsidRPr="00F87B9B" w:rsidRDefault="00762260" w:rsidP="00316C84">
            <w:pPr>
              <w:rPr>
                <w:noProof/>
                <w:sz w:val="20"/>
                <w:szCs w:val="20"/>
              </w:rPr>
            </w:pPr>
            <w:r>
              <w:rPr>
                <w:noProof/>
                <w:sz w:val="20"/>
                <w:szCs w:val="20"/>
              </w:rPr>
              <w:t>(</w:t>
            </w:r>
            <w:r w:rsidR="00090330">
              <w:rPr>
                <w:noProof/>
                <w:sz w:val="20"/>
                <w:szCs w:val="20"/>
              </w:rPr>
              <w:t xml:space="preserve">++) </w:t>
            </w:r>
            <w:r w:rsidR="000E718E" w:rsidRPr="00F87B9B">
              <w:rPr>
                <w:noProof/>
                <w:sz w:val="20"/>
                <w:szCs w:val="20"/>
              </w:rPr>
              <w:t>Innovation acceleration for Industry (verticals, SMEs, R&amp;D actors) benefit</w:t>
            </w:r>
            <w:r w:rsidR="00F93454">
              <w:rPr>
                <w:noProof/>
                <w:sz w:val="20"/>
                <w:szCs w:val="20"/>
              </w:rPr>
              <w:t>ing</w:t>
            </w:r>
            <w:r w:rsidR="000E718E" w:rsidRPr="00F87B9B">
              <w:rPr>
                <w:noProof/>
                <w:sz w:val="20"/>
                <w:szCs w:val="20"/>
              </w:rPr>
              <w:t xml:space="preserve"> from enhanced 5G QoS and specialised services offers and from access to localised/licensed spectrum for innovative services (e.g. private 5G, IoT), particularly in manufacturing, health, agriculture, and transport and from the capacity to scale up thanks to the harmonisation of authorisation conditions.</w:t>
            </w:r>
          </w:p>
          <w:p w14:paraId="4DB19A40" w14:textId="64D32CE3" w:rsidR="000E718E" w:rsidRPr="00F87B9B" w:rsidRDefault="00090330" w:rsidP="00316C84">
            <w:pPr>
              <w:rPr>
                <w:noProof/>
                <w:sz w:val="20"/>
                <w:szCs w:val="20"/>
              </w:rPr>
            </w:pPr>
            <w:r w:rsidRPr="00F87B9B">
              <w:rPr>
                <w:noProof/>
                <w:sz w:val="20"/>
                <w:szCs w:val="20"/>
              </w:rPr>
              <w:t>(++)</w:t>
            </w:r>
            <w:r>
              <w:rPr>
                <w:noProof/>
                <w:sz w:val="20"/>
                <w:szCs w:val="20"/>
              </w:rPr>
              <w:t xml:space="preserve"> </w:t>
            </w:r>
            <w:r w:rsidR="000E718E" w:rsidRPr="00F87B9B">
              <w:rPr>
                <w:noProof/>
                <w:sz w:val="20"/>
                <w:szCs w:val="20"/>
              </w:rPr>
              <w:t>Accelerated shift from 5G to 6G</w:t>
            </w:r>
            <w:r w:rsidR="000E718E" w:rsidRPr="00F87B9B">
              <w:rPr>
                <w:noProof/>
                <w:sz w:val="20"/>
                <w:szCs w:val="20"/>
                <w:lang w:val="en-US"/>
              </w:rPr>
              <w:t xml:space="preserve"> with enhanced capabilities such as real-time distributed intelligence, ultra-low latency, integrated sensing and communication, and improved energy efficiency</w:t>
            </w:r>
            <w:r w:rsidR="00576658">
              <w:rPr>
                <w:noProof/>
                <w:sz w:val="20"/>
                <w:szCs w:val="20"/>
                <w:lang w:val="en-US"/>
              </w:rPr>
              <w:t xml:space="preserve">, </w:t>
            </w:r>
            <w:r w:rsidR="000E718E" w:rsidRPr="00F87B9B">
              <w:rPr>
                <w:noProof/>
                <w:sz w:val="20"/>
                <w:szCs w:val="20"/>
                <w:lang w:val="en-US"/>
              </w:rPr>
              <w:t>all of which may generate cross-sectoral economic benefits similar or even superior to those observed for 5G.</w:t>
            </w:r>
          </w:p>
        </w:tc>
        <w:tc>
          <w:tcPr>
            <w:tcW w:w="3949" w:type="dxa"/>
          </w:tcPr>
          <w:p w14:paraId="3177633D" w14:textId="77777777" w:rsidR="000E718E" w:rsidRPr="00F87B9B" w:rsidRDefault="000E718E" w:rsidP="00316C84">
            <w:pPr>
              <w:rPr>
                <w:noProof/>
                <w:sz w:val="20"/>
                <w:szCs w:val="20"/>
              </w:rPr>
            </w:pPr>
            <w:r w:rsidRPr="00F87B9B">
              <w:rPr>
                <w:noProof/>
                <w:sz w:val="20"/>
                <w:szCs w:val="20"/>
              </w:rPr>
              <w:t>(++) Considerably improved coverage and quality of service for mobile connectivity, faster availability of 6G</w:t>
            </w:r>
          </w:p>
          <w:p w14:paraId="4C26FAC5" w14:textId="77777777" w:rsidR="000E718E" w:rsidRPr="00F87B9B" w:rsidRDefault="000E718E" w:rsidP="00316C84">
            <w:pPr>
              <w:rPr>
                <w:noProof/>
                <w:sz w:val="20"/>
                <w:szCs w:val="20"/>
              </w:rPr>
            </w:pPr>
            <w:r w:rsidRPr="00F87B9B">
              <w:rPr>
                <w:noProof/>
                <w:sz w:val="20"/>
                <w:szCs w:val="20"/>
              </w:rPr>
              <w:t>The benefits are comparable to option 2</w:t>
            </w:r>
          </w:p>
        </w:tc>
      </w:tr>
      <w:tr w:rsidR="000E718E" w:rsidRPr="00F87B9B" w14:paraId="7EEB30FB" w14:textId="77777777" w:rsidTr="00316C84">
        <w:trPr>
          <w:trHeight w:val="300"/>
        </w:trPr>
        <w:tc>
          <w:tcPr>
            <w:tcW w:w="2322" w:type="dxa"/>
          </w:tcPr>
          <w:p w14:paraId="5979C374" w14:textId="77777777" w:rsidR="000E718E" w:rsidRPr="00F87B9B" w:rsidRDefault="000E718E" w:rsidP="00316C84">
            <w:pPr>
              <w:rPr>
                <w:noProof/>
                <w:sz w:val="20"/>
                <w:szCs w:val="20"/>
              </w:rPr>
            </w:pPr>
            <w:r w:rsidRPr="00F87B9B">
              <w:rPr>
                <w:noProof/>
                <w:sz w:val="20"/>
                <w:szCs w:val="20"/>
              </w:rPr>
              <w:t>Operators</w:t>
            </w:r>
          </w:p>
        </w:tc>
        <w:tc>
          <w:tcPr>
            <w:tcW w:w="3627" w:type="dxa"/>
          </w:tcPr>
          <w:p w14:paraId="2F4C2437" w14:textId="2FE66CAA" w:rsidR="000E718E" w:rsidRPr="00F87B9B" w:rsidRDefault="00282E2A" w:rsidP="00316C84">
            <w:pPr>
              <w:rPr>
                <w:noProof/>
                <w:sz w:val="20"/>
                <w:szCs w:val="20"/>
              </w:rPr>
            </w:pPr>
            <w:r>
              <w:rPr>
                <w:noProof/>
                <w:sz w:val="20"/>
                <w:szCs w:val="20"/>
              </w:rPr>
              <w:t>(</w:t>
            </w:r>
            <w:r w:rsidR="000E718E" w:rsidRPr="00F87B9B">
              <w:rPr>
                <w:noProof/>
                <w:sz w:val="20"/>
                <w:szCs w:val="20"/>
              </w:rPr>
              <w:t>+</w:t>
            </w:r>
            <w:r>
              <w:rPr>
                <w:noProof/>
                <w:sz w:val="20"/>
                <w:szCs w:val="20"/>
              </w:rPr>
              <w:t>)</w:t>
            </w:r>
          </w:p>
          <w:p w14:paraId="17161B1D" w14:textId="77777777" w:rsidR="000E718E" w:rsidRPr="00F87B9B" w:rsidRDefault="000E718E" w:rsidP="00316C84">
            <w:pPr>
              <w:spacing w:after="360"/>
              <w:rPr>
                <w:noProof/>
                <w:sz w:val="20"/>
                <w:szCs w:val="20"/>
              </w:rPr>
            </w:pPr>
            <w:r w:rsidRPr="00F87B9B">
              <w:rPr>
                <w:noProof/>
                <w:sz w:val="20"/>
                <w:szCs w:val="20"/>
              </w:rPr>
              <w:t xml:space="preserve">Greater coherence and predictability thanks to 6G roadmap and toolbox of best practices that could result in lower entry barriers, facilitation of networks expansion and avoidance of overlay high prices based on new auction designs. </w:t>
            </w:r>
          </w:p>
          <w:p w14:paraId="461AE5CD" w14:textId="77777777" w:rsidR="000E718E" w:rsidRPr="00F87B9B" w:rsidRDefault="000E718E" w:rsidP="00316C84">
            <w:pPr>
              <w:rPr>
                <w:noProof/>
                <w:sz w:val="20"/>
                <w:szCs w:val="20"/>
              </w:rPr>
            </w:pPr>
            <w:r w:rsidRPr="00F87B9B">
              <w:rPr>
                <w:noProof/>
                <w:sz w:val="20"/>
                <w:szCs w:val="20"/>
              </w:rPr>
              <w:t>Direct benefits of longer licence duration (min 25 years with conditions for renewal) resulting in increased investment capacity, planning stability and reduced risk premium on capital expenditures</w:t>
            </w:r>
          </w:p>
          <w:p w14:paraId="10EEC124" w14:textId="77777777" w:rsidR="000E718E" w:rsidRPr="00F87B9B" w:rsidRDefault="000E718E" w:rsidP="00316C84">
            <w:pPr>
              <w:rPr>
                <w:noProof/>
                <w:sz w:val="20"/>
                <w:szCs w:val="20"/>
              </w:rPr>
            </w:pPr>
            <w:r w:rsidRPr="00F87B9B">
              <w:rPr>
                <w:noProof/>
                <w:sz w:val="20"/>
                <w:szCs w:val="20"/>
              </w:rPr>
              <w:t xml:space="preserve">Greater level playing field as spectrum </w:t>
            </w:r>
            <w:r>
              <w:rPr>
                <w:noProof/>
                <w:sz w:val="20"/>
                <w:szCs w:val="20"/>
              </w:rPr>
              <w:t>Single Market procedure</w:t>
            </w:r>
            <w:r w:rsidRPr="00F87B9B">
              <w:rPr>
                <w:noProof/>
                <w:sz w:val="20"/>
                <w:szCs w:val="20"/>
              </w:rPr>
              <w:t xml:space="preserve"> helps to identify potential national measures</w:t>
            </w:r>
            <w:r>
              <w:rPr>
                <w:noProof/>
                <w:sz w:val="20"/>
                <w:szCs w:val="20"/>
              </w:rPr>
              <w:t xml:space="preserve"> which would create a barrier in the Single Market or do not comply with EU law</w:t>
            </w:r>
            <w:r w:rsidRPr="00F87B9B">
              <w:rPr>
                <w:noProof/>
                <w:sz w:val="20"/>
                <w:szCs w:val="20"/>
              </w:rPr>
              <w:t xml:space="preserve">. </w:t>
            </w:r>
          </w:p>
        </w:tc>
        <w:tc>
          <w:tcPr>
            <w:tcW w:w="4050" w:type="dxa"/>
          </w:tcPr>
          <w:p w14:paraId="3274497C" w14:textId="29C3DB2C" w:rsidR="000E718E" w:rsidRPr="00F87B9B" w:rsidRDefault="00282E2A" w:rsidP="00316C84">
            <w:pPr>
              <w:rPr>
                <w:noProof/>
                <w:sz w:val="20"/>
                <w:szCs w:val="20"/>
              </w:rPr>
            </w:pPr>
            <w:r>
              <w:rPr>
                <w:noProof/>
                <w:sz w:val="20"/>
                <w:szCs w:val="20"/>
              </w:rPr>
              <w:t>(</w:t>
            </w:r>
            <w:r w:rsidR="000E718E" w:rsidRPr="00F87B9B">
              <w:rPr>
                <w:noProof/>
                <w:sz w:val="20"/>
                <w:szCs w:val="20"/>
              </w:rPr>
              <w:t>++</w:t>
            </w:r>
            <w:r>
              <w:rPr>
                <w:noProof/>
                <w:sz w:val="20"/>
                <w:szCs w:val="20"/>
              </w:rPr>
              <w:t>)</w:t>
            </w:r>
          </w:p>
          <w:p w14:paraId="3233F7DC" w14:textId="777122B6" w:rsidR="000E718E" w:rsidRPr="00F87B9B" w:rsidRDefault="000E718E" w:rsidP="00316C84">
            <w:pPr>
              <w:spacing w:after="120"/>
              <w:rPr>
                <w:noProof/>
                <w:sz w:val="20"/>
                <w:szCs w:val="20"/>
              </w:rPr>
            </w:pPr>
            <w:r w:rsidRPr="00F87B9B">
              <w:rPr>
                <w:noProof/>
                <w:sz w:val="20"/>
                <w:szCs w:val="20"/>
              </w:rPr>
              <w:t>Increased investment capacity</w:t>
            </w:r>
            <w:r w:rsidR="00282E2A">
              <w:rPr>
                <w:noProof/>
                <w:sz w:val="20"/>
                <w:szCs w:val="20"/>
              </w:rPr>
              <w:t xml:space="preserve">, </w:t>
            </w:r>
            <w:r w:rsidRPr="00F87B9B">
              <w:rPr>
                <w:noProof/>
                <w:sz w:val="20"/>
                <w:szCs w:val="20"/>
              </w:rPr>
              <w:t>lower financing cost thanks to higher predictability, improved legal certainty, clearer, more predictable procedures through EU-level licensing guidance, in general unlimited licence duration</w:t>
            </w:r>
            <w:r w:rsidR="0045747B">
              <w:rPr>
                <w:noProof/>
                <w:sz w:val="20"/>
                <w:szCs w:val="20"/>
              </w:rPr>
              <w:t xml:space="preserve">, </w:t>
            </w:r>
            <w:r w:rsidR="00883C5D">
              <w:rPr>
                <w:noProof/>
                <w:sz w:val="20"/>
                <w:szCs w:val="20"/>
              </w:rPr>
              <w:t>automatic</w:t>
            </w:r>
            <w:r w:rsidR="0045747B">
              <w:rPr>
                <w:noProof/>
                <w:sz w:val="20"/>
                <w:szCs w:val="20"/>
              </w:rPr>
              <w:t xml:space="preserve"> renewals</w:t>
            </w:r>
            <w:r w:rsidRPr="00F87B9B">
              <w:rPr>
                <w:noProof/>
                <w:sz w:val="20"/>
                <w:szCs w:val="20"/>
              </w:rPr>
              <w:t xml:space="preserve"> and stakeholder petition mechanisms.</w:t>
            </w:r>
          </w:p>
          <w:p w14:paraId="0EB87649" w14:textId="77777777" w:rsidR="000E718E" w:rsidRPr="00F87B9B" w:rsidRDefault="000E718E" w:rsidP="00316C84">
            <w:pPr>
              <w:spacing w:after="120"/>
              <w:rPr>
                <w:noProof/>
                <w:sz w:val="20"/>
                <w:szCs w:val="20"/>
              </w:rPr>
            </w:pPr>
            <w:r w:rsidRPr="00F87B9B">
              <w:rPr>
                <w:noProof/>
                <w:sz w:val="20"/>
                <w:szCs w:val="20"/>
              </w:rPr>
              <w:t>Investment oriented spectrum auctions overall, reducing spectrum costs and increasing investment incentives.</w:t>
            </w:r>
          </w:p>
          <w:p w14:paraId="190B5695" w14:textId="77777777" w:rsidR="000E718E" w:rsidRPr="00F87B9B" w:rsidRDefault="000E718E" w:rsidP="00316C84">
            <w:pPr>
              <w:spacing w:after="120"/>
              <w:rPr>
                <w:noProof/>
                <w:sz w:val="20"/>
                <w:szCs w:val="20"/>
              </w:rPr>
            </w:pPr>
          </w:p>
          <w:p w14:paraId="5D491199" w14:textId="77777777" w:rsidR="000E718E" w:rsidRPr="00F87B9B" w:rsidRDefault="000E718E" w:rsidP="00316C84">
            <w:pPr>
              <w:rPr>
                <w:noProof/>
                <w:sz w:val="20"/>
                <w:szCs w:val="20"/>
              </w:rPr>
            </w:pPr>
            <w:r w:rsidRPr="00F87B9B">
              <w:rPr>
                <w:noProof/>
                <w:sz w:val="20"/>
                <w:szCs w:val="20"/>
              </w:rPr>
              <w:t>Lower entry barriers for SME: Simplified and more flexible access regimes and harmonisation of authorisation conditions reduce administrative and regulatory burdens for SMEs entering niche or local spectrum markets.</w:t>
            </w:r>
          </w:p>
          <w:p w14:paraId="573508F3" w14:textId="612F4382" w:rsidR="000E718E" w:rsidRPr="00F87B9B" w:rsidRDefault="000E718E" w:rsidP="00316C84">
            <w:pPr>
              <w:rPr>
                <w:noProof/>
                <w:sz w:val="20"/>
                <w:szCs w:val="20"/>
              </w:rPr>
            </w:pPr>
            <w:r w:rsidRPr="00F87B9B">
              <w:rPr>
                <w:noProof/>
                <w:sz w:val="20"/>
                <w:szCs w:val="20"/>
              </w:rPr>
              <w:t xml:space="preserve">Benefits from increased </w:t>
            </w:r>
            <w:r w:rsidR="00D540DE">
              <w:rPr>
                <w:noProof/>
                <w:sz w:val="20"/>
                <w:szCs w:val="20"/>
              </w:rPr>
              <w:t>flexibility</w:t>
            </w:r>
            <w:r w:rsidRPr="00F87B9B">
              <w:rPr>
                <w:noProof/>
                <w:sz w:val="20"/>
                <w:szCs w:val="20"/>
              </w:rPr>
              <w:t>: The preferred option adapts certain eligibility restrictions that previously limited participation in spectrum awards (e.g. requirements linked to network coverage or service provision), which enables wholesale-only operators and new entrants to gain better access to spectrum; this stimulates service competition and service diversification.</w:t>
            </w:r>
          </w:p>
          <w:p w14:paraId="28A54179" w14:textId="3B4D7C48" w:rsidR="009B7067" w:rsidRPr="00F87B9B" w:rsidRDefault="006C2CCF" w:rsidP="006C2CCF">
            <w:pPr>
              <w:rPr>
                <w:noProof/>
                <w:sz w:val="20"/>
                <w:szCs w:val="20"/>
              </w:rPr>
            </w:pPr>
            <w:r w:rsidRPr="00F87B9B">
              <w:rPr>
                <w:noProof/>
                <w:sz w:val="20"/>
                <w:szCs w:val="20"/>
              </w:rPr>
              <w:t>Better response to interference</w:t>
            </w:r>
            <w:r>
              <w:rPr>
                <w:noProof/>
                <w:sz w:val="20"/>
                <w:szCs w:val="20"/>
              </w:rPr>
              <w:t xml:space="preserve"> translates </w:t>
            </w:r>
            <w:r w:rsidR="00EA3ED1">
              <w:rPr>
                <w:noProof/>
                <w:sz w:val="20"/>
                <w:szCs w:val="20"/>
              </w:rPr>
              <w:t>in</w:t>
            </w:r>
            <w:r w:rsidR="00FA4BC4">
              <w:rPr>
                <w:noProof/>
                <w:sz w:val="20"/>
                <w:szCs w:val="20"/>
              </w:rPr>
              <w:t xml:space="preserve">to </w:t>
            </w:r>
            <w:r>
              <w:rPr>
                <w:noProof/>
                <w:sz w:val="20"/>
                <w:szCs w:val="20"/>
              </w:rPr>
              <w:t>r</w:t>
            </w:r>
            <w:r w:rsidR="000E718E" w:rsidRPr="00F87B9B">
              <w:rPr>
                <w:noProof/>
                <w:sz w:val="20"/>
                <w:szCs w:val="20"/>
              </w:rPr>
              <w:t xml:space="preserve">educed </w:t>
            </w:r>
            <w:r>
              <w:rPr>
                <w:noProof/>
                <w:sz w:val="20"/>
                <w:szCs w:val="20"/>
              </w:rPr>
              <w:t xml:space="preserve">costs </w:t>
            </w:r>
            <w:r w:rsidR="0025298F">
              <w:rPr>
                <w:noProof/>
                <w:sz w:val="20"/>
                <w:szCs w:val="20"/>
              </w:rPr>
              <w:t>by</w:t>
            </w:r>
            <w:r>
              <w:rPr>
                <w:noProof/>
                <w:sz w:val="20"/>
                <w:szCs w:val="20"/>
              </w:rPr>
              <w:t xml:space="preserve"> </w:t>
            </w:r>
            <w:r w:rsidR="0025298F" w:rsidRPr="00F87B9B">
              <w:rPr>
                <w:noProof/>
                <w:sz w:val="20"/>
                <w:szCs w:val="20"/>
              </w:rPr>
              <w:t>enabl</w:t>
            </w:r>
            <w:r w:rsidR="0025298F">
              <w:rPr>
                <w:noProof/>
                <w:sz w:val="20"/>
                <w:szCs w:val="20"/>
              </w:rPr>
              <w:t>ing</w:t>
            </w:r>
            <w:r w:rsidR="0025298F" w:rsidRPr="00F87B9B">
              <w:rPr>
                <w:noProof/>
                <w:sz w:val="20"/>
                <w:szCs w:val="20"/>
              </w:rPr>
              <w:t xml:space="preserve"> </w:t>
            </w:r>
            <w:r w:rsidR="002277D1" w:rsidRPr="00F87B9B">
              <w:rPr>
                <w:noProof/>
                <w:sz w:val="20"/>
                <w:szCs w:val="20"/>
              </w:rPr>
              <w:t xml:space="preserve">the use of </w:t>
            </w:r>
            <w:r w:rsidR="007D224B">
              <w:rPr>
                <w:noProof/>
                <w:sz w:val="20"/>
                <w:szCs w:val="20"/>
              </w:rPr>
              <w:t>otherwise</w:t>
            </w:r>
            <w:r w:rsidR="007D224B" w:rsidRPr="00F87B9B">
              <w:rPr>
                <w:noProof/>
                <w:sz w:val="20"/>
                <w:szCs w:val="20"/>
              </w:rPr>
              <w:t xml:space="preserve"> </w:t>
            </w:r>
            <w:r w:rsidR="000E718E" w:rsidRPr="00F87B9B">
              <w:rPr>
                <w:noProof/>
                <w:sz w:val="20"/>
                <w:szCs w:val="20"/>
              </w:rPr>
              <w:t>underutilis</w:t>
            </w:r>
            <w:r w:rsidR="00D96F25">
              <w:rPr>
                <w:noProof/>
                <w:sz w:val="20"/>
                <w:szCs w:val="20"/>
              </w:rPr>
              <w:t>ed</w:t>
            </w:r>
            <w:r w:rsidR="000E718E" w:rsidRPr="00F87B9B">
              <w:rPr>
                <w:noProof/>
                <w:sz w:val="20"/>
                <w:szCs w:val="20"/>
              </w:rPr>
              <w:t xml:space="preserve"> spectrum </w:t>
            </w:r>
            <w:r w:rsidR="00E86D3D">
              <w:rPr>
                <w:noProof/>
                <w:sz w:val="20"/>
                <w:szCs w:val="20"/>
              </w:rPr>
              <w:t>through the</w:t>
            </w:r>
            <w:r w:rsidR="00E86D3D" w:rsidRPr="00F87B9B">
              <w:rPr>
                <w:noProof/>
                <w:sz w:val="20"/>
                <w:szCs w:val="20"/>
              </w:rPr>
              <w:t xml:space="preserve"> </w:t>
            </w:r>
            <w:r w:rsidR="000E718E" w:rsidRPr="00F87B9B">
              <w:rPr>
                <w:noProof/>
                <w:sz w:val="20"/>
                <w:szCs w:val="20"/>
              </w:rPr>
              <w:t>reso</w:t>
            </w:r>
            <w:r w:rsidR="00E86D3D">
              <w:rPr>
                <w:noProof/>
                <w:sz w:val="20"/>
                <w:szCs w:val="20"/>
              </w:rPr>
              <w:t>lution of</w:t>
            </w:r>
            <w:r w:rsidR="000E718E" w:rsidRPr="00F87B9B">
              <w:rPr>
                <w:noProof/>
                <w:sz w:val="20"/>
                <w:szCs w:val="20"/>
              </w:rPr>
              <w:t xml:space="preserve"> cross-border interference issues, both within the EU and with third countries (mainly along external land borders), thereby preventing related service disruptions.</w:t>
            </w:r>
          </w:p>
        </w:tc>
        <w:tc>
          <w:tcPr>
            <w:tcW w:w="3949" w:type="dxa"/>
          </w:tcPr>
          <w:p w14:paraId="66CD87B6" w14:textId="4B64C9ED" w:rsidR="000E718E" w:rsidRPr="00F87B9B" w:rsidRDefault="00282E2A" w:rsidP="00316C84">
            <w:pPr>
              <w:rPr>
                <w:noProof/>
                <w:sz w:val="20"/>
                <w:szCs w:val="20"/>
              </w:rPr>
            </w:pPr>
            <w:r>
              <w:rPr>
                <w:noProof/>
                <w:sz w:val="20"/>
                <w:szCs w:val="20"/>
              </w:rPr>
              <w:t>(</w:t>
            </w:r>
            <w:r w:rsidR="000E718E" w:rsidRPr="00F87B9B">
              <w:rPr>
                <w:noProof/>
                <w:sz w:val="20"/>
                <w:szCs w:val="20"/>
              </w:rPr>
              <w:t>++</w:t>
            </w:r>
            <w:r>
              <w:rPr>
                <w:noProof/>
                <w:sz w:val="20"/>
                <w:szCs w:val="20"/>
              </w:rPr>
              <w:t>)</w:t>
            </w:r>
          </w:p>
          <w:p w14:paraId="75DC3944" w14:textId="77777777" w:rsidR="000E718E" w:rsidRPr="00F87B9B" w:rsidRDefault="000E718E" w:rsidP="00316C84">
            <w:pPr>
              <w:spacing w:after="600"/>
              <w:rPr>
                <w:noProof/>
                <w:sz w:val="20"/>
                <w:szCs w:val="20"/>
              </w:rPr>
            </w:pPr>
            <w:r w:rsidRPr="00F87B9B">
              <w:rPr>
                <w:noProof/>
                <w:sz w:val="20"/>
                <w:szCs w:val="20"/>
              </w:rPr>
              <w:t xml:space="preserve">Increased investment capacity due to fully harmonised authorisation procedures aspects and conditions, unlimited licence duration and consistency in award timing and renewal criteria </w:t>
            </w:r>
          </w:p>
          <w:p w14:paraId="1C8DD1FA" w14:textId="166BB131" w:rsidR="000E718E" w:rsidRPr="00F87B9B" w:rsidRDefault="000E718E" w:rsidP="00316C84">
            <w:pPr>
              <w:rPr>
                <w:noProof/>
                <w:sz w:val="20"/>
                <w:szCs w:val="20"/>
              </w:rPr>
            </w:pPr>
            <w:r w:rsidRPr="00F87B9B">
              <w:rPr>
                <w:noProof/>
                <w:sz w:val="20"/>
                <w:szCs w:val="20"/>
              </w:rPr>
              <w:t xml:space="preserve">Benefits </w:t>
            </w:r>
            <w:r w:rsidR="00303D84">
              <w:rPr>
                <w:noProof/>
                <w:sz w:val="20"/>
                <w:szCs w:val="20"/>
              </w:rPr>
              <w:t>associated with</w:t>
            </w:r>
            <w:r w:rsidR="00303D84" w:rsidRPr="00F87B9B">
              <w:rPr>
                <w:noProof/>
                <w:sz w:val="20"/>
                <w:szCs w:val="20"/>
              </w:rPr>
              <w:t xml:space="preserve"> </w:t>
            </w:r>
            <w:r w:rsidRPr="00F87B9B">
              <w:rPr>
                <w:noProof/>
                <w:sz w:val="20"/>
                <w:szCs w:val="20"/>
              </w:rPr>
              <w:t xml:space="preserve">reduction of compliance costs </w:t>
            </w:r>
            <w:r w:rsidR="00D20332">
              <w:rPr>
                <w:noProof/>
                <w:sz w:val="20"/>
                <w:szCs w:val="20"/>
              </w:rPr>
              <w:t>borne by</w:t>
            </w:r>
            <w:r w:rsidR="00D20332" w:rsidRPr="00F87B9B">
              <w:rPr>
                <w:noProof/>
                <w:sz w:val="20"/>
                <w:szCs w:val="20"/>
              </w:rPr>
              <w:t xml:space="preserve"> </w:t>
            </w:r>
            <w:r w:rsidRPr="00F87B9B">
              <w:rPr>
                <w:noProof/>
                <w:sz w:val="20"/>
                <w:szCs w:val="20"/>
              </w:rPr>
              <w:t>cross-border operators due to misaligned conditions between Member States</w:t>
            </w:r>
          </w:p>
          <w:p w14:paraId="07BD296F" w14:textId="77777777" w:rsidR="000E718E" w:rsidRPr="00F87B9B" w:rsidRDefault="000E718E" w:rsidP="00316C84">
            <w:pPr>
              <w:rPr>
                <w:noProof/>
                <w:sz w:val="20"/>
                <w:szCs w:val="20"/>
              </w:rPr>
            </w:pPr>
            <w:r w:rsidRPr="00F87B9B">
              <w:rPr>
                <w:noProof/>
                <w:sz w:val="20"/>
                <w:szCs w:val="20"/>
              </w:rPr>
              <w:t>Other benefits comparable to option 2</w:t>
            </w:r>
          </w:p>
        </w:tc>
      </w:tr>
      <w:tr w:rsidR="000E718E" w:rsidRPr="00F87B9B" w14:paraId="7A239CD1" w14:textId="77777777" w:rsidTr="00316C84">
        <w:trPr>
          <w:trHeight w:val="300"/>
        </w:trPr>
        <w:tc>
          <w:tcPr>
            <w:tcW w:w="2322" w:type="dxa"/>
          </w:tcPr>
          <w:p w14:paraId="1FC30D17" w14:textId="77777777" w:rsidR="000E718E" w:rsidRPr="00F87B9B" w:rsidRDefault="000E718E" w:rsidP="00316C84">
            <w:pPr>
              <w:rPr>
                <w:noProof/>
                <w:sz w:val="20"/>
                <w:szCs w:val="20"/>
              </w:rPr>
            </w:pPr>
            <w:r w:rsidRPr="00F87B9B">
              <w:rPr>
                <w:noProof/>
                <w:sz w:val="20"/>
                <w:szCs w:val="20"/>
              </w:rPr>
              <w:t xml:space="preserve">Administrations </w:t>
            </w:r>
          </w:p>
        </w:tc>
        <w:tc>
          <w:tcPr>
            <w:tcW w:w="3627" w:type="dxa"/>
          </w:tcPr>
          <w:p w14:paraId="18D9E13B" w14:textId="3C795F78" w:rsidR="000E718E" w:rsidRPr="00F87B9B" w:rsidRDefault="000E718E" w:rsidP="00316C84">
            <w:pPr>
              <w:rPr>
                <w:noProof/>
                <w:sz w:val="20"/>
                <w:szCs w:val="20"/>
              </w:rPr>
            </w:pPr>
            <w:r w:rsidRPr="00F87B9B">
              <w:rPr>
                <w:noProof/>
                <w:sz w:val="20"/>
                <w:szCs w:val="20"/>
              </w:rPr>
              <w:t xml:space="preserve">(+) In the long term, limited benefits </w:t>
            </w:r>
            <w:r w:rsidR="008B1713">
              <w:rPr>
                <w:noProof/>
                <w:sz w:val="20"/>
                <w:szCs w:val="20"/>
              </w:rPr>
              <w:t>from the</w:t>
            </w:r>
            <w:r w:rsidR="008B1713" w:rsidRPr="00F87B9B">
              <w:rPr>
                <w:noProof/>
                <w:sz w:val="20"/>
                <w:szCs w:val="20"/>
              </w:rPr>
              <w:t xml:space="preserve"> </w:t>
            </w:r>
            <w:r w:rsidRPr="00F87B9B">
              <w:rPr>
                <w:noProof/>
                <w:sz w:val="20"/>
                <w:szCs w:val="20"/>
              </w:rPr>
              <w:t xml:space="preserve">reduction of some costs due to </w:t>
            </w:r>
            <w:r w:rsidR="00D80E11">
              <w:rPr>
                <w:noProof/>
                <w:sz w:val="20"/>
                <w:szCs w:val="20"/>
              </w:rPr>
              <w:t xml:space="preserve">the </w:t>
            </w:r>
            <w:r w:rsidRPr="00F87B9B">
              <w:rPr>
                <w:noProof/>
                <w:sz w:val="20"/>
                <w:szCs w:val="20"/>
              </w:rPr>
              <w:t xml:space="preserve">simplification of some processes and harmonisation </w:t>
            </w:r>
          </w:p>
          <w:p w14:paraId="79A25EE9" w14:textId="77777777" w:rsidR="000E718E" w:rsidRPr="00F87B9B" w:rsidRDefault="000E718E" w:rsidP="00316C84">
            <w:pPr>
              <w:rPr>
                <w:noProof/>
                <w:sz w:val="20"/>
                <w:szCs w:val="20"/>
              </w:rPr>
            </w:pPr>
          </w:p>
        </w:tc>
        <w:tc>
          <w:tcPr>
            <w:tcW w:w="4050" w:type="dxa"/>
          </w:tcPr>
          <w:p w14:paraId="651FFF9D" w14:textId="229AB517" w:rsidR="000E718E" w:rsidRPr="00F87B9B" w:rsidRDefault="000E718E" w:rsidP="00316C84">
            <w:pPr>
              <w:rPr>
                <w:noProof/>
                <w:sz w:val="20"/>
                <w:szCs w:val="20"/>
              </w:rPr>
            </w:pPr>
            <w:r w:rsidRPr="00F87B9B">
              <w:rPr>
                <w:noProof/>
                <w:sz w:val="20"/>
                <w:szCs w:val="20"/>
              </w:rPr>
              <w:t xml:space="preserve">(++) In the </w:t>
            </w:r>
            <w:r w:rsidR="0083719F">
              <w:rPr>
                <w:noProof/>
                <w:sz w:val="20"/>
                <w:szCs w:val="20"/>
              </w:rPr>
              <w:t>medium/</w:t>
            </w:r>
            <w:r w:rsidRPr="00F87B9B">
              <w:rPr>
                <w:noProof/>
                <w:sz w:val="20"/>
                <w:szCs w:val="20"/>
              </w:rPr>
              <w:t xml:space="preserve">long term, benefits from significant reduction </w:t>
            </w:r>
            <w:r w:rsidR="00EE3969">
              <w:rPr>
                <w:noProof/>
                <w:sz w:val="20"/>
                <w:szCs w:val="20"/>
              </w:rPr>
              <w:t>in</w:t>
            </w:r>
            <w:r w:rsidR="00EE3969" w:rsidRPr="00F87B9B">
              <w:rPr>
                <w:noProof/>
                <w:sz w:val="20"/>
                <w:szCs w:val="20"/>
              </w:rPr>
              <w:t xml:space="preserve"> </w:t>
            </w:r>
            <w:r w:rsidRPr="00F87B9B">
              <w:rPr>
                <w:noProof/>
                <w:sz w:val="20"/>
                <w:szCs w:val="20"/>
              </w:rPr>
              <w:t>administrative costs due to fewer auctions and greater use of licence renewals</w:t>
            </w:r>
            <w:r w:rsidR="00075568">
              <w:rPr>
                <w:noProof/>
                <w:sz w:val="20"/>
                <w:szCs w:val="20"/>
              </w:rPr>
              <w:t>,</w:t>
            </w:r>
            <w:r w:rsidRPr="00F87B9B">
              <w:rPr>
                <w:noProof/>
                <w:sz w:val="20"/>
                <w:szCs w:val="20"/>
              </w:rPr>
              <w:t xml:space="preserve"> </w:t>
            </w:r>
            <w:r w:rsidR="00075568">
              <w:rPr>
                <w:noProof/>
                <w:sz w:val="20"/>
                <w:szCs w:val="20"/>
              </w:rPr>
              <w:t>which</w:t>
            </w:r>
            <w:r w:rsidR="00075568" w:rsidRPr="00F87B9B">
              <w:rPr>
                <w:noProof/>
                <w:sz w:val="20"/>
                <w:szCs w:val="20"/>
              </w:rPr>
              <w:t xml:space="preserve"> </w:t>
            </w:r>
            <w:r w:rsidRPr="00F87B9B">
              <w:rPr>
                <w:noProof/>
                <w:sz w:val="20"/>
                <w:szCs w:val="20"/>
              </w:rPr>
              <w:t xml:space="preserve">can ease administrative workload, </w:t>
            </w:r>
            <w:r w:rsidR="004E49F1" w:rsidRPr="00F87B9B">
              <w:rPr>
                <w:noProof/>
                <w:sz w:val="20"/>
                <w:szCs w:val="20"/>
              </w:rPr>
              <w:t>improv</w:t>
            </w:r>
            <w:r w:rsidR="004E49F1">
              <w:rPr>
                <w:noProof/>
                <w:sz w:val="20"/>
                <w:szCs w:val="20"/>
              </w:rPr>
              <w:t>e</w:t>
            </w:r>
            <w:r w:rsidR="004E49F1" w:rsidRPr="00F87B9B">
              <w:rPr>
                <w:noProof/>
                <w:sz w:val="20"/>
                <w:szCs w:val="20"/>
              </w:rPr>
              <w:t xml:space="preserve"> </w:t>
            </w:r>
            <w:r w:rsidRPr="00F87B9B">
              <w:rPr>
                <w:noProof/>
                <w:sz w:val="20"/>
                <w:szCs w:val="20"/>
              </w:rPr>
              <w:t>planning certainty and lower transaction costs.</w:t>
            </w:r>
          </w:p>
          <w:p w14:paraId="179E0454" w14:textId="2421F542" w:rsidR="000E718E" w:rsidRPr="00F87B9B" w:rsidRDefault="000E718E" w:rsidP="00316C84">
            <w:pPr>
              <w:rPr>
                <w:noProof/>
                <w:sz w:val="20"/>
                <w:szCs w:val="20"/>
              </w:rPr>
            </w:pPr>
            <w:r w:rsidRPr="00F87B9B">
              <w:rPr>
                <w:noProof/>
                <w:sz w:val="20"/>
                <w:szCs w:val="20"/>
              </w:rPr>
              <w:t>Increased spectrum efficiency due to a push toward</w:t>
            </w:r>
            <w:r w:rsidR="00E07A52">
              <w:rPr>
                <w:noProof/>
                <w:sz w:val="20"/>
                <w:szCs w:val="20"/>
              </w:rPr>
              <w:t>s</w:t>
            </w:r>
            <w:r w:rsidRPr="00F87B9B">
              <w:rPr>
                <w:noProof/>
                <w:sz w:val="20"/>
                <w:szCs w:val="20"/>
              </w:rPr>
              <w:t xml:space="preserve"> innovative spectrum sharing solutions. The preferred option supports the uptake of advanced sharing mechanisms (e.g. dynamic spectrum access, AI-based coordination), unlocking additional efficiencies and supporting coexistence in dense spectrum environments.</w:t>
            </w:r>
          </w:p>
        </w:tc>
        <w:tc>
          <w:tcPr>
            <w:tcW w:w="3949" w:type="dxa"/>
          </w:tcPr>
          <w:p w14:paraId="63887317" w14:textId="076B3BD8" w:rsidR="000E718E" w:rsidRPr="00F87B9B" w:rsidRDefault="000E718E" w:rsidP="00316C84">
            <w:pPr>
              <w:rPr>
                <w:noProof/>
                <w:sz w:val="20"/>
                <w:szCs w:val="20"/>
              </w:rPr>
            </w:pPr>
            <w:r w:rsidRPr="00F87B9B">
              <w:rPr>
                <w:noProof/>
                <w:sz w:val="20"/>
                <w:szCs w:val="20"/>
              </w:rPr>
              <w:t>(+/++) Improved auction efficiency and spectrum use by applying standardised metrics and binding rules</w:t>
            </w:r>
          </w:p>
          <w:p w14:paraId="04B43032" w14:textId="6AB63DA7" w:rsidR="000E718E" w:rsidRPr="00F87B9B" w:rsidRDefault="000E718E" w:rsidP="00316C84">
            <w:pPr>
              <w:rPr>
                <w:noProof/>
                <w:sz w:val="20"/>
                <w:szCs w:val="20"/>
              </w:rPr>
            </w:pPr>
            <w:r w:rsidRPr="00F87B9B">
              <w:rPr>
                <w:noProof/>
                <w:sz w:val="20"/>
                <w:szCs w:val="20"/>
              </w:rPr>
              <w:t xml:space="preserve">In the long term, benefits </w:t>
            </w:r>
            <w:r w:rsidR="005D7712">
              <w:rPr>
                <w:noProof/>
                <w:sz w:val="20"/>
                <w:szCs w:val="20"/>
              </w:rPr>
              <w:t>from</w:t>
            </w:r>
            <w:r w:rsidR="005D7712" w:rsidRPr="00F87B9B">
              <w:rPr>
                <w:noProof/>
                <w:sz w:val="20"/>
                <w:szCs w:val="20"/>
              </w:rPr>
              <w:t xml:space="preserve"> </w:t>
            </w:r>
            <w:r w:rsidR="00432533">
              <w:rPr>
                <w:noProof/>
                <w:sz w:val="20"/>
                <w:szCs w:val="20"/>
              </w:rPr>
              <w:t xml:space="preserve">a </w:t>
            </w:r>
            <w:r w:rsidRPr="00F87B9B">
              <w:rPr>
                <w:noProof/>
                <w:sz w:val="20"/>
                <w:szCs w:val="20"/>
              </w:rPr>
              <w:t xml:space="preserve">reduction </w:t>
            </w:r>
            <w:r w:rsidR="00432533">
              <w:rPr>
                <w:noProof/>
                <w:sz w:val="20"/>
                <w:szCs w:val="20"/>
              </w:rPr>
              <w:t>in</w:t>
            </w:r>
            <w:r w:rsidRPr="00F87B9B">
              <w:rPr>
                <w:noProof/>
                <w:sz w:val="20"/>
                <w:szCs w:val="20"/>
              </w:rPr>
              <w:t xml:space="preserve"> administrative costs</w:t>
            </w:r>
            <w:r w:rsidR="00BA17E3">
              <w:rPr>
                <w:noProof/>
                <w:sz w:val="20"/>
                <w:szCs w:val="20"/>
              </w:rPr>
              <w:t>,</w:t>
            </w:r>
            <w:r w:rsidRPr="00F87B9B">
              <w:rPr>
                <w:noProof/>
                <w:sz w:val="20"/>
                <w:szCs w:val="20"/>
              </w:rPr>
              <w:t xml:space="preserve"> but lower </w:t>
            </w:r>
            <w:r w:rsidR="00BA17E3">
              <w:rPr>
                <w:noProof/>
                <w:sz w:val="20"/>
                <w:szCs w:val="20"/>
              </w:rPr>
              <w:t>than</w:t>
            </w:r>
            <w:r w:rsidR="00BA17E3" w:rsidRPr="00F87B9B">
              <w:rPr>
                <w:noProof/>
                <w:sz w:val="20"/>
                <w:szCs w:val="20"/>
              </w:rPr>
              <w:t xml:space="preserve"> </w:t>
            </w:r>
            <w:r w:rsidRPr="00F87B9B">
              <w:rPr>
                <w:noProof/>
                <w:sz w:val="20"/>
                <w:szCs w:val="20"/>
              </w:rPr>
              <w:t xml:space="preserve">in option 2 due to too </w:t>
            </w:r>
            <w:r w:rsidR="00BF6B0C">
              <w:rPr>
                <w:noProof/>
                <w:sz w:val="20"/>
                <w:szCs w:val="20"/>
              </w:rPr>
              <w:t xml:space="preserve">the </w:t>
            </w:r>
            <w:r w:rsidRPr="00F87B9B">
              <w:rPr>
                <w:noProof/>
                <w:sz w:val="20"/>
                <w:szCs w:val="20"/>
              </w:rPr>
              <w:t xml:space="preserve">high effort </w:t>
            </w:r>
            <w:r w:rsidR="00BF6B0C">
              <w:rPr>
                <w:noProof/>
                <w:sz w:val="20"/>
                <w:szCs w:val="20"/>
              </w:rPr>
              <w:t>required to</w:t>
            </w:r>
            <w:r w:rsidR="00BF6B0C" w:rsidRPr="00F87B9B">
              <w:rPr>
                <w:noProof/>
                <w:sz w:val="20"/>
                <w:szCs w:val="20"/>
              </w:rPr>
              <w:t xml:space="preserve"> </w:t>
            </w:r>
            <w:r w:rsidR="007E72EB">
              <w:rPr>
                <w:noProof/>
                <w:sz w:val="20"/>
                <w:szCs w:val="20"/>
              </w:rPr>
              <w:t>maintain</w:t>
            </w:r>
            <w:r w:rsidR="007E72EB" w:rsidRPr="00F87B9B">
              <w:rPr>
                <w:noProof/>
                <w:sz w:val="20"/>
                <w:szCs w:val="20"/>
              </w:rPr>
              <w:t xml:space="preserve"> </w:t>
            </w:r>
            <w:r w:rsidRPr="00F87B9B">
              <w:rPr>
                <w:noProof/>
                <w:sz w:val="20"/>
                <w:szCs w:val="20"/>
              </w:rPr>
              <w:t>harmonisation</w:t>
            </w:r>
            <w:r w:rsidR="007E72EB">
              <w:rPr>
                <w:noProof/>
                <w:sz w:val="20"/>
                <w:szCs w:val="20"/>
              </w:rPr>
              <w:t>,</w:t>
            </w:r>
            <w:r w:rsidRPr="00F87B9B">
              <w:rPr>
                <w:noProof/>
                <w:sz w:val="20"/>
                <w:szCs w:val="20"/>
              </w:rPr>
              <w:t xml:space="preserve"> which might be burdensome for smaller administrations </w:t>
            </w:r>
          </w:p>
          <w:p w14:paraId="0FA9A4CA" w14:textId="11BAD8D9" w:rsidR="000E718E" w:rsidRPr="00F87B9B" w:rsidRDefault="000E718E" w:rsidP="00316C84">
            <w:pPr>
              <w:rPr>
                <w:noProof/>
                <w:sz w:val="20"/>
                <w:szCs w:val="20"/>
              </w:rPr>
            </w:pPr>
            <w:r w:rsidRPr="00F87B9B">
              <w:rPr>
                <w:noProof/>
                <w:sz w:val="20"/>
                <w:szCs w:val="20"/>
              </w:rPr>
              <w:t xml:space="preserve">Enhanced coordination in addressing harmful interference from </w:t>
            </w:r>
            <w:r w:rsidR="00432533">
              <w:rPr>
                <w:noProof/>
                <w:sz w:val="20"/>
                <w:szCs w:val="20"/>
              </w:rPr>
              <w:t>third</w:t>
            </w:r>
            <w:r w:rsidR="00432533" w:rsidRPr="00F87B9B">
              <w:rPr>
                <w:noProof/>
                <w:sz w:val="20"/>
                <w:szCs w:val="20"/>
              </w:rPr>
              <w:t xml:space="preserve"> </w:t>
            </w:r>
            <w:r w:rsidRPr="00F87B9B">
              <w:rPr>
                <w:noProof/>
                <w:sz w:val="20"/>
                <w:szCs w:val="20"/>
              </w:rPr>
              <w:t xml:space="preserve">countries </w:t>
            </w:r>
          </w:p>
        </w:tc>
      </w:tr>
      <w:tr w:rsidR="000E718E" w:rsidRPr="00F87B9B" w14:paraId="65A0E7F3" w14:textId="77777777" w:rsidTr="00316C84">
        <w:trPr>
          <w:trHeight w:val="614"/>
        </w:trPr>
        <w:tc>
          <w:tcPr>
            <w:tcW w:w="2322" w:type="dxa"/>
          </w:tcPr>
          <w:p w14:paraId="4343EA0C" w14:textId="77777777" w:rsidR="000E718E" w:rsidRPr="00F87B9B" w:rsidRDefault="000E718E" w:rsidP="00316C84">
            <w:pPr>
              <w:rPr>
                <w:b/>
                <w:bCs/>
                <w:noProof/>
                <w:sz w:val="20"/>
                <w:szCs w:val="20"/>
              </w:rPr>
            </w:pPr>
            <w:r w:rsidRPr="00F87B9B">
              <w:rPr>
                <w:b/>
                <w:bCs/>
                <w:noProof/>
                <w:sz w:val="20"/>
                <w:szCs w:val="20"/>
              </w:rPr>
              <w:t>Net Value for Stakeholders</w:t>
            </w:r>
          </w:p>
        </w:tc>
        <w:tc>
          <w:tcPr>
            <w:tcW w:w="3627" w:type="dxa"/>
          </w:tcPr>
          <w:p w14:paraId="1F76AC66" w14:textId="77777777" w:rsidR="000E718E" w:rsidRPr="00F87B9B" w:rsidRDefault="000E718E" w:rsidP="00316C84">
            <w:pPr>
              <w:rPr>
                <w:noProof/>
                <w:sz w:val="20"/>
                <w:szCs w:val="20"/>
              </w:rPr>
            </w:pPr>
          </w:p>
        </w:tc>
        <w:tc>
          <w:tcPr>
            <w:tcW w:w="4050" w:type="dxa"/>
          </w:tcPr>
          <w:p w14:paraId="26C076F5" w14:textId="77777777" w:rsidR="000E718E" w:rsidRPr="00F87B9B" w:rsidRDefault="000E718E" w:rsidP="00316C84">
            <w:pPr>
              <w:rPr>
                <w:noProof/>
                <w:sz w:val="20"/>
                <w:szCs w:val="20"/>
              </w:rPr>
            </w:pPr>
          </w:p>
        </w:tc>
        <w:tc>
          <w:tcPr>
            <w:tcW w:w="3949" w:type="dxa"/>
          </w:tcPr>
          <w:p w14:paraId="40A06DCB" w14:textId="77777777" w:rsidR="000E718E" w:rsidRPr="00F87B9B" w:rsidRDefault="000E718E" w:rsidP="00316C84">
            <w:pPr>
              <w:rPr>
                <w:noProof/>
                <w:sz w:val="20"/>
                <w:szCs w:val="20"/>
              </w:rPr>
            </w:pPr>
          </w:p>
        </w:tc>
      </w:tr>
      <w:tr w:rsidR="000E718E" w:rsidRPr="00F87B9B" w14:paraId="50A2D92D" w14:textId="77777777" w:rsidTr="00316C84">
        <w:trPr>
          <w:trHeight w:val="300"/>
        </w:trPr>
        <w:tc>
          <w:tcPr>
            <w:tcW w:w="2322" w:type="dxa"/>
          </w:tcPr>
          <w:p w14:paraId="68EF41FF" w14:textId="77777777" w:rsidR="000E718E" w:rsidRPr="00F87B9B" w:rsidRDefault="000E718E" w:rsidP="00316C84">
            <w:pPr>
              <w:rPr>
                <w:b/>
                <w:bCs/>
                <w:noProof/>
                <w:sz w:val="20"/>
                <w:szCs w:val="20"/>
              </w:rPr>
            </w:pPr>
            <w:r w:rsidRPr="00F87B9B">
              <w:rPr>
                <w:b/>
                <w:bCs/>
                <w:noProof/>
                <w:sz w:val="20"/>
                <w:szCs w:val="20"/>
              </w:rPr>
              <w:t xml:space="preserve">Net Value for Citizens and </w:t>
            </w:r>
            <w:r w:rsidRPr="000939E2">
              <w:rPr>
                <w:b/>
                <w:bCs/>
                <w:noProof/>
                <w:sz w:val="20"/>
                <w:szCs w:val="20"/>
              </w:rPr>
              <w:t>industrial sectors (e.g. verticals)</w:t>
            </w:r>
          </w:p>
        </w:tc>
        <w:tc>
          <w:tcPr>
            <w:tcW w:w="3627" w:type="dxa"/>
          </w:tcPr>
          <w:p w14:paraId="3DC3C2FB" w14:textId="77777777" w:rsidR="000E718E" w:rsidRPr="00F87B9B" w:rsidRDefault="000E718E" w:rsidP="00316C84">
            <w:pPr>
              <w:rPr>
                <w:noProof/>
                <w:sz w:val="20"/>
                <w:szCs w:val="20"/>
              </w:rPr>
            </w:pPr>
            <w:r w:rsidRPr="00F87B9B">
              <w:rPr>
                <w:noProof/>
                <w:sz w:val="20"/>
                <w:szCs w:val="20"/>
              </w:rPr>
              <w:t>Positive ++</w:t>
            </w:r>
          </w:p>
        </w:tc>
        <w:tc>
          <w:tcPr>
            <w:tcW w:w="4050" w:type="dxa"/>
          </w:tcPr>
          <w:p w14:paraId="1A1BEDE1" w14:textId="390F7532" w:rsidR="000E718E" w:rsidRPr="00F87B9B" w:rsidRDefault="000E718E" w:rsidP="00316C84">
            <w:pPr>
              <w:rPr>
                <w:noProof/>
                <w:sz w:val="20"/>
                <w:szCs w:val="20"/>
              </w:rPr>
            </w:pPr>
            <w:r w:rsidRPr="00F87B9B">
              <w:rPr>
                <w:noProof/>
                <w:sz w:val="20"/>
                <w:szCs w:val="20"/>
              </w:rPr>
              <w:t>Positive +++, no additional cost for citizen</w:t>
            </w:r>
            <w:r w:rsidR="00447C97">
              <w:rPr>
                <w:noProof/>
                <w:sz w:val="20"/>
                <w:szCs w:val="20"/>
              </w:rPr>
              <w:t>s</w:t>
            </w:r>
            <w:r w:rsidRPr="00F87B9B">
              <w:rPr>
                <w:noProof/>
                <w:sz w:val="20"/>
                <w:szCs w:val="20"/>
              </w:rPr>
              <w:t xml:space="preserve">, but several additional benefits from </w:t>
            </w:r>
            <w:r w:rsidR="0085524E">
              <w:rPr>
                <w:noProof/>
                <w:sz w:val="20"/>
                <w:szCs w:val="20"/>
              </w:rPr>
              <w:t>improved</w:t>
            </w:r>
            <w:r w:rsidR="0085524E" w:rsidRPr="00F87B9B">
              <w:rPr>
                <w:noProof/>
                <w:sz w:val="20"/>
                <w:szCs w:val="20"/>
              </w:rPr>
              <w:t xml:space="preserve"> </w:t>
            </w:r>
            <w:r w:rsidRPr="00F87B9B">
              <w:rPr>
                <w:noProof/>
                <w:sz w:val="20"/>
                <w:szCs w:val="20"/>
              </w:rPr>
              <w:t xml:space="preserve">quality of service and increased competitiveness </w:t>
            </w:r>
            <w:r w:rsidR="00EB3C57">
              <w:rPr>
                <w:noProof/>
                <w:sz w:val="20"/>
                <w:szCs w:val="20"/>
              </w:rPr>
              <w:t>for businesse</w:t>
            </w:r>
            <w:r w:rsidR="0019099C">
              <w:rPr>
                <w:noProof/>
                <w:sz w:val="20"/>
                <w:szCs w:val="20"/>
              </w:rPr>
              <w:t xml:space="preserve">s (e.g. verticals) </w:t>
            </w:r>
            <w:r w:rsidRPr="00F87B9B">
              <w:rPr>
                <w:noProof/>
                <w:sz w:val="20"/>
                <w:szCs w:val="20"/>
              </w:rPr>
              <w:t>due to use of quality</w:t>
            </w:r>
            <w:r w:rsidR="008F6B83">
              <w:rPr>
                <w:noProof/>
                <w:sz w:val="20"/>
                <w:szCs w:val="20"/>
              </w:rPr>
              <w:t>-</w:t>
            </w:r>
            <w:r w:rsidRPr="00F87B9B">
              <w:rPr>
                <w:noProof/>
                <w:sz w:val="20"/>
                <w:szCs w:val="20"/>
              </w:rPr>
              <w:t>assured services</w:t>
            </w:r>
          </w:p>
        </w:tc>
        <w:tc>
          <w:tcPr>
            <w:tcW w:w="3949" w:type="dxa"/>
          </w:tcPr>
          <w:p w14:paraId="3C818A49" w14:textId="76B19C4B" w:rsidR="000E718E" w:rsidRPr="00F87B9B" w:rsidRDefault="000E718E" w:rsidP="00316C84">
            <w:pPr>
              <w:rPr>
                <w:noProof/>
                <w:sz w:val="20"/>
                <w:szCs w:val="20"/>
              </w:rPr>
            </w:pPr>
            <w:r w:rsidRPr="00F87B9B">
              <w:rPr>
                <w:noProof/>
                <w:sz w:val="20"/>
                <w:szCs w:val="20"/>
              </w:rPr>
              <w:t xml:space="preserve">Positive +++, no additional cost but several additional benefits from </w:t>
            </w:r>
            <w:r w:rsidR="0086176F">
              <w:rPr>
                <w:noProof/>
                <w:sz w:val="20"/>
                <w:szCs w:val="20"/>
              </w:rPr>
              <w:t>improved</w:t>
            </w:r>
            <w:r w:rsidR="0086176F" w:rsidRPr="00F87B9B">
              <w:rPr>
                <w:noProof/>
                <w:sz w:val="20"/>
                <w:szCs w:val="20"/>
              </w:rPr>
              <w:t xml:space="preserve"> </w:t>
            </w:r>
            <w:r w:rsidRPr="00F87B9B">
              <w:rPr>
                <w:noProof/>
                <w:sz w:val="20"/>
                <w:szCs w:val="20"/>
              </w:rPr>
              <w:t xml:space="preserve">quality of service and increased competitiveness </w:t>
            </w:r>
            <w:r w:rsidR="0019099C">
              <w:rPr>
                <w:noProof/>
                <w:sz w:val="20"/>
                <w:szCs w:val="20"/>
              </w:rPr>
              <w:t xml:space="preserve">for businesses (e.g. verticals) </w:t>
            </w:r>
            <w:r w:rsidRPr="00F87B9B">
              <w:rPr>
                <w:noProof/>
                <w:sz w:val="20"/>
                <w:szCs w:val="20"/>
              </w:rPr>
              <w:t>due to use of quality</w:t>
            </w:r>
            <w:r w:rsidR="0086176F">
              <w:rPr>
                <w:noProof/>
                <w:sz w:val="20"/>
                <w:szCs w:val="20"/>
              </w:rPr>
              <w:t>-</w:t>
            </w:r>
            <w:r w:rsidRPr="00F87B9B">
              <w:rPr>
                <w:noProof/>
                <w:sz w:val="20"/>
                <w:szCs w:val="20"/>
              </w:rPr>
              <w:t>assured services</w:t>
            </w:r>
          </w:p>
        </w:tc>
      </w:tr>
      <w:tr w:rsidR="000E718E" w:rsidRPr="00F87B9B" w14:paraId="5729E3E4" w14:textId="77777777" w:rsidTr="00316C84">
        <w:trPr>
          <w:trHeight w:val="300"/>
        </w:trPr>
        <w:tc>
          <w:tcPr>
            <w:tcW w:w="2322" w:type="dxa"/>
          </w:tcPr>
          <w:p w14:paraId="12727834" w14:textId="77777777" w:rsidR="000E718E" w:rsidRPr="00F87B9B" w:rsidRDefault="000E718E" w:rsidP="00316C84">
            <w:pPr>
              <w:rPr>
                <w:noProof/>
                <w:sz w:val="20"/>
                <w:szCs w:val="20"/>
              </w:rPr>
            </w:pPr>
            <w:r w:rsidRPr="00F87B9B">
              <w:rPr>
                <w:noProof/>
                <w:sz w:val="20"/>
                <w:szCs w:val="20"/>
              </w:rPr>
              <w:t>Benefits</w:t>
            </w:r>
          </w:p>
        </w:tc>
        <w:tc>
          <w:tcPr>
            <w:tcW w:w="3627" w:type="dxa"/>
          </w:tcPr>
          <w:p w14:paraId="4C7A2919" w14:textId="77777777" w:rsidR="000E718E" w:rsidRPr="00F87B9B" w:rsidRDefault="000E718E" w:rsidP="00316C84">
            <w:pPr>
              <w:rPr>
                <w:noProof/>
                <w:sz w:val="20"/>
                <w:szCs w:val="20"/>
              </w:rPr>
            </w:pPr>
            <w:r w:rsidRPr="00F87B9B">
              <w:rPr>
                <w:noProof/>
                <w:sz w:val="20"/>
                <w:szCs w:val="20"/>
              </w:rPr>
              <w:t>++ Some benefits linked to better quality of service (speeds, latency, etc.) and increased coverage with high quality 5G and accelerated 6G deployment.</w:t>
            </w:r>
          </w:p>
          <w:p w14:paraId="0587857E" w14:textId="77777777" w:rsidR="000E718E" w:rsidRPr="00F87B9B" w:rsidRDefault="000E718E" w:rsidP="00316C84">
            <w:pPr>
              <w:rPr>
                <w:noProof/>
                <w:sz w:val="20"/>
                <w:szCs w:val="20"/>
              </w:rPr>
            </w:pPr>
          </w:p>
          <w:p w14:paraId="3B18EB58" w14:textId="77777777" w:rsidR="000E718E" w:rsidRPr="00F87B9B" w:rsidRDefault="000E718E" w:rsidP="00316C84">
            <w:pPr>
              <w:rPr>
                <w:noProof/>
                <w:sz w:val="20"/>
                <w:szCs w:val="20"/>
              </w:rPr>
            </w:pPr>
          </w:p>
        </w:tc>
        <w:tc>
          <w:tcPr>
            <w:tcW w:w="4050" w:type="dxa"/>
          </w:tcPr>
          <w:p w14:paraId="46096E21" w14:textId="77777777" w:rsidR="000E718E" w:rsidRPr="00F87B9B" w:rsidRDefault="000E718E" w:rsidP="00316C84">
            <w:pPr>
              <w:rPr>
                <w:noProof/>
                <w:sz w:val="20"/>
                <w:szCs w:val="20"/>
              </w:rPr>
            </w:pPr>
            <w:r w:rsidRPr="00F87B9B">
              <w:rPr>
                <w:noProof/>
                <w:sz w:val="20"/>
                <w:szCs w:val="20"/>
              </w:rPr>
              <w:t>+++ Considerable benefits linked to better quality of service (speeds, latency, etc.) and increased coverage with high quality 5G and accelerated 6G deployment.</w:t>
            </w:r>
          </w:p>
          <w:p w14:paraId="72D2B5B0" w14:textId="291379D8" w:rsidR="000E718E" w:rsidRPr="00F87B9B" w:rsidRDefault="000E718E" w:rsidP="00316C84">
            <w:pPr>
              <w:rPr>
                <w:noProof/>
                <w:sz w:val="20"/>
                <w:szCs w:val="20"/>
              </w:rPr>
            </w:pPr>
            <w:r w:rsidRPr="00F87B9B">
              <w:rPr>
                <w:noProof/>
                <w:sz w:val="20"/>
                <w:szCs w:val="20"/>
              </w:rPr>
              <w:t>Considerable spillover effect on different sectors of the economy from high quality 5G/specialized quality</w:t>
            </w:r>
            <w:r w:rsidR="00F22C44">
              <w:rPr>
                <w:noProof/>
                <w:sz w:val="20"/>
                <w:szCs w:val="20"/>
              </w:rPr>
              <w:t>-a</w:t>
            </w:r>
            <w:r w:rsidRPr="00F87B9B">
              <w:rPr>
                <w:noProof/>
                <w:sz w:val="20"/>
                <w:szCs w:val="20"/>
              </w:rPr>
              <w:t>ssured services and IoT</w:t>
            </w:r>
            <w:r w:rsidR="00F22C44">
              <w:rPr>
                <w:noProof/>
                <w:sz w:val="20"/>
                <w:szCs w:val="20"/>
              </w:rPr>
              <w:t>,</w:t>
            </w:r>
            <w:r w:rsidRPr="00F87B9B">
              <w:rPr>
                <w:noProof/>
                <w:sz w:val="20"/>
                <w:szCs w:val="20"/>
              </w:rPr>
              <w:t xml:space="preserve"> especially in sectors like healthcare, manufacturing, automotive and transport, energy environment and agriculture.</w:t>
            </w:r>
          </w:p>
        </w:tc>
        <w:tc>
          <w:tcPr>
            <w:tcW w:w="3949" w:type="dxa"/>
          </w:tcPr>
          <w:p w14:paraId="189108A4" w14:textId="77777777" w:rsidR="000E718E" w:rsidRPr="00F87B9B" w:rsidRDefault="000E718E" w:rsidP="00316C84">
            <w:pPr>
              <w:rPr>
                <w:noProof/>
                <w:sz w:val="20"/>
                <w:szCs w:val="20"/>
              </w:rPr>
            </w:pPr>
            <w:r w:rsidRPr="00F87B9B">
              <w:rPr>
                <w:noProof/>
                <w:sz w:val="20"/>
                <w:szCs w:val="20"/>
              </w:rPr>
              <w:t>+++ Benefits linked to better quality of service (speeds, latency, etc.) and increased coverage with high quality 5G and accelerated 6G deployment.</w:t>
            </w:r>
          </w:p>
          <w:p w14:paraId="0F053E0B" w14:textId="17F0C753" w:rsidR="000E718E" w:rsidRPr="00F87B9B" w:rsidRDefault="000E718E" w:rsidP="00316C84">
            <w:pPr>
              <w:rPr>
                <w:noProof/>
                <w:sz w:val="20"/>
                <w:szCs w:val="20"/>
              </w:rPr>
            </w:pPr>
            <w:r w:rsidRPr="00F87B9B">
              <w:rPr>
                <w:noProof/>
                <w:sz w:val="20"/>
                <w:szCs w:val="20"/>
              </w:rPr>
              <w:t>Considerable spillover effect on different sectors of the economy from high quality 5G/specialized quality</w:t>
            </w:r>
            <w:r w:rsidR="00934248">
              <w:rPr>
                <w:noProof/>
                <w:sz w:val="20"/>
                <w:szCs w:val="20"/>
              </w:rPr>
              <w:t>-</w:t>
            </w:r>
            <w:r w:rsidRPr="00F87B9B">
              <w:rPr>
                <w:noProof/>
                <w:sz w:val="20"/>
                <w:szCs w:val="20"/>
              </w:rPr>
              <w:t>assured services and IoT</w:t>
            </w:r>
            <w:r w:rsidR="009B7D09">
              <w:rPr>
                <w:noProof/>
                <w:sz w:val="20"/>
                <w:szCs w:val="20"/>
              </w:rPr>
              <w:t>,</w:t>
            </w:r>
            <w:r w:rsidRPr="00F87B9B">
              <w:rPr>
                <w:noProof/>
                <w:sz w:val="20"/>
                <w:szCs w:val="20"/>
              </w:rPr>
              <w:t xml:space="preserve"> especially in sectors like healthcare, manufacturing, automotive and transport, energy and environment and agriculture.</w:t>
            </w:r>
          </w:p>
        </w:tc>
      </w:tr>
      <w:tr w:rsidR="000E718E" w:rsidRPr="00F87B9B" w14:paraId="09685D99" w14:textId="77777777" w:rsidTr="00316C84">
        <w:trPr>
          <w:trHeight w:val="300"/>
        </w:trPr>
        <w:tc>
          <w:tcPr>
            <w:tcW w:w="2322" w:type="dxa"/>
          </w:tcPr>
          <w:p w14:paraId="7D188EFF" w14:textId="77777777" w:rsidR="000E718E" w:rsidRPr="00F87B9B" w:rsidRDefault="000E718E" w:rsidP="00316C84">
            <w:pPr>
              <w:rPr>
                <w:noProof/>
                <w:sz w:val="20"/>
                <w:szCs w:val="20"/>
              </w:rPr>
            </w:pPr>
            <w:r w:rsidRPr="00F87B9B">
              <w:rPr>
                <w:noProof/>
                <w:sz w:val="20"/>
                <w:szCs w:val="20"/>
              </w:rPr>
              <w:t>Costs</w:t>
            </w:r>
          </w:p>
        </w:tc>
        <w:tc>
          <w:tcPr>
            <w:tcW w:w="3627" w:type="dxa"/>
          </w:tcPr>
          <w:p w14:paraId="3232BF6E" w14:textId="77777777" w:rsidR="000E718E" w:rsidRPr="00F87B9B" w:rsidRDefault="000E718E" w:rsidP="00316C84">
            <w:pPr>
              <w:spacing w:after="0"/>
              <w:contextualSpacing/>
              <w:jc w:val="left"/>
              <w:rPr>
                <w:rFonts w:eastAsia="Aptos"/>
                <w:noProof/>
                <w:sz w:val="20"/>
                <w:szCs w:val="20"/>
                <w:lang w:val="en-IE"/>
              </w:rPr>
            </w:pPr>
            <w:r>
              <w:rPr>
                <w:rFonts w:eastAsia="Aptos"/>
                <w:noProof/>
                <w:sz w:val="20"/>
                <w:szCs w:val="20"/>
                <w:lang w:val="en-IE"/>
              </w:rPr>
              <w:t xml:space="preserve">(0) </w:t>
            </w:r>
            <w:r w:rsidRPr="00F87B9B">
              <w:rPr>
                <w:rFonts w:eastAsia="Aptos"/>
                <w:noProof/>
                <w:sz w:val="20"/>
                <w:szCs w:val="20"/>
                <w:lang w:val="en-IE"/>
              </w:rPr>
              <w:t>Neutral for citizens</w:t>
            </w:r>
          </w:p>
          <w:p w14:paraId="5FE69CED" w14:textId="77777777" w:rsidR="000E718E" w:rsidRPr="00F87B9B" w:rsidRDefault="000E718E" w:rsidP="00316C84">
            <w:pPr>
              <w:rPr>
                <w:noProof/>
                <w:sz w:val="20"/>
                <w:szCs w:val="20"/>
              </w:rPr>
            </w:pPr>
            <w:r w:rsidRPr="00F87B9B">
              <w:rPr>
                <w:noProof/>
                <w:sz w:val="20"/>
                <w:szCs w:val="20"/>
              </w:rPr>
              <w:t>Industry might need to invest in innovation to introduce quality assured services and make best use of the offered connectivity</w:t>
            </w:r>
          </w:p>
        </w:tc>
        <w:tc>
          <w:tcPr>
            <w:tcW w:w="4050" w:type="dxa"/>
          </w:tcPr>
          <w:p w14:paraId="2D1F1241" w14:textId="3C67797C" w:rsidR="000E718E" w:rsidRPr="00F87B9B" w:rsidRDefault="000E718E" w:rsidP="00316C84">
            <w:pPr>
              <w:spacing w:after="0"/>
              <w:rPr>
                <w:noProof/>
                <w:sz w:val="20"/>
                <w:szCs w:val="20"/>
              </w:rPr>
            </w:pPr>
            <w:r w:rsidRPr="00F87B9B">
              <w:rPr>
                <w:noProof/>
                <w:sz w:val="20"/>
                <w:szCs w:val="20"/>
              </w:rPr>
              <w:t xml:space="preserve">(0) </w:t>
            </w:r>
            <w:r w:rsidR="00111789">
              <w:rPr>
                <w:noProof/>
                <w:sz w:val="20"/>
                <w:szCs w:val="20"/>
              </w:rPr>
              <w:t xml:space="preserve">Neutral </w:t>
            </w:r>
            <w:r w:rsidRPr="00F87B9B">
              <w:rPr>
                <w:noProof/>
                <w:sz w:val="20"/>
                <w:szCs w:val="20"/>
              </w:rPr>
              <w:t>for citizens</w:t>
            </w:r>
          </w:p>
          <w:p w14:paraId="1C0C1F82" w14:textId="77777777" w:rsidR="000E718E" w:rsidRPr="00F87B9B" w:rsidRDefault="000E718E" w:rsidP="00316C84">
            <w:pPr>
              <w:rPr>
                <w:noProof/>
                <w:sz w:val="20"/>
                <w:szCs w:val="20"/>
              </w:rPr>
            </w:pPr>
            <w:r w:rsidRPr="00F87B9B">
              <w:rPr>
                <w:noProof/>
                <w:sz w:val="20"/>
                <w:szCs w:val="20"/>
              </w:rPr>
              <w:t>Industry might need to invest in innovation to introduce quality assured services and make best use of the offered connectivity</w:t>
            </w:r>
          </w:p>
        </w:tc>
        <w:tc>
          <w:tcPr>
            <w:tcW w:w="3949" w:type="dxa"/>
          </w:tcPr>
          <w:p w14:paraId="1821742D" w14:textId="77777777" w:rsidR="000E718E" w:rsidRPr="00F87B9B" w:rsidRDefault="000E718E" w:rsidP="000E718E">
            <w:pPr>
              <w:numPr>
                <w:ilvl w:val="0"/>
                <w:numId w:val="197"/>
              </w:numPr>
              <w:spacing w:after="0"/>
              <w:ind w:left="299" w:hanging="299"/>
              <w:contextualSpacing/>
              <w:jc w:val="left"/>
              <w:rPr>
                <w:rFonts w:eastAsia="Aptos"/>
                <w:noProof/>
                <w:sz w:val="20"/>
                <w:szCs w:val="20"/>
                <w:lang w:val="en-IE"/>
              </w:rPr>
            </w:pPr>
            <w:r w:rsidRPr="00F87B9B">
              <w:rPr>
                <w:rFonts w:eastAsia="Aptos"/>
                <w:noProof/>
                <w:sz w:val="20"/>
                <w:szCs w:val="20"/>
                <w:lang w:val="en-IE"/>
              </w:rPr>
              <w:t>Neutral for citizens</w:t>
            </w:r>
          </w:p>
          <w:p w14:paraId="5672B3CB" w14:textId="77777777" w:rsidR="000E718E" w:rsidRPr="00F87B9B" w:rsidRDefault="000E718E" w:rsidP="00316C84">
            <w:pPr>
              <w:rPr>
                <w:noProof/>
                <w:sz w:val="20"/>
                <w:szCs w:val="20"/>
              </w:rPr>
            </w:pPr>
            <w:r w:rsidRPr="00F87B9B">
              <w:rPr>
                <w:noProof/>
                <w:sz w:val="20"/>
                <w:szCs w:val="20"/>
              </w:rPr>
              <w:t>Industry might need to invest in innovation to introduce quality assured services and make best use of the offered connectivity</w:t>
            </w:r>
          </w:p>
        </w:tc>
      </w:tr>
      <w:tr w:rsidR="000E718E" w:rsidRPr="00F87B9B" w14:paraId="01CA57A3" w14:textId="77777777" w:rsidTr="00316C84">
        <w:trPr>
          <w:trHeight w:val="300"/>
        </w:trPr>
        <w:tc>
          <w:tcPr>
            <w:tcW w:w="2322" w:type="dxa"/>
          </w:tcPr>
          <w:p w14:paraId="03DB6AD0" w14:textId="77777777" w:rsidR="000E718E" w:rsidRPr="00F87B9B" w:rsidRDefault="000E718E" w:rsidP="00316C84">
            <w:pPr>
              <w:rPr>
                <w:b/>
                <w:bCs/>
                <w:noProof/>
                <w:sz w:val="20"/>
                <w:szCs w:val="20"/>
              </w:rPr>
            </w:pPr>
            <w:r w:rsidRPr="00F87B9B">
              <w:rPr>
                <w:b/>
                <w:bCs/>
                <w:noProof/>
                <w:sz w:val="20"/>
                <w:szCs w:val="20"/>
              </w:rPr>
              <w:t>Net Value for Operator</w:t>
            </w:r>
          </w:p>
        </w:tc>
        <w:tc>
          <w:tcPr>
            <w:tcW w:w="3627" w:type="dxa"/>
          </w:tcPr>
          <w:p w14:paraId="139D51D5" w14:textId="77777777" w:rsidR="000E718E" w:rsidRPr="00F87B9B" w:rsidRDefault="000E718E" w:rsidP="00316C84">
            <w:pPr>
              <w:rPr>
                <w:noProof/>
                <w:sz w:val="20"/>
                <w:szCs w:val="20"/>
              </w:rPr>
            </w:pPr>
            <w:r>
              <w:rPr>
                <w:noProof/>
                <w:sz w:val="20"/>
                <w:szCs w:val="20"/>
              </w:rPr>
              <w:t>(</w:t>
            </w:r>
            <w:r w:rsidRPr="00F87B9B">
              <w:rPr>
                <w:noProof/>
                <w:sz w:val="20"/>
                <w:szCs w:val="20"/>
              </w:rPr>
              <w:t>+</w:t>
            </w:r>
            <w:r>
              <w:rPr>
                <w:noProof/>
                <w:sz w:val="20"/>
                <w:szCs w:val="20"/>
              </w:rPr>
              <w:t>)</w:t>
            </w:r>
            <w:r w:rsidRPr="00F87B9B">
              <w:rPr>
                <w:noProof/>
                <w:sz w:val="20"/>
                <w:szCs w:val="20"/>
              </w:rPr>
              <w:t xml:space="preserve"> the benefits outweigh the costs for operators</w:t>
            </w:r>
          </w:p>
        </w:tc>
        <w:tc>
          <w:tcPr>
            <w:tcW w:w="4050" w:type="dxa"/>
          </w:tcPr>
          <w:p w14:paraId="15590890" w14:textId="77777777" w:rsidR="000E718E" w:rsidRPr="00F87B9B" w:rsidRDefault="000E718E" w:rsidP="00316C84">
            <w:pPr>
              <w:rPr>
                <w:noProof/>
                <w:sz w:val="20"/>
                <w:szCs w:val="20"/>
              </w:rPr>
            </w:pPr>
            <w:r>
              <w:rPr>
                <w:noProof/>
                <w:sz w:val="20"/>
                <w:szCs w:val="20"/>
              </w:rPr>
              <w:t>(</w:t>
            </w:r>
            <w:r w:rsidRPr="00F87B9B">
              <w:rPr>
                <w:noProof/>
                <w:sz w:val="20"/>
                <w:szCs w:val="20"/>
              </w:rPr>
              <w:t>+++</w:t>
            </w:r>
            <w:r>
              <w:rPr>
                <w:noProof/>
                <w:sz w:val="20"/>
                <w:szCs w:val="20"/>
              </w:rPr>
              <w:t>)</w:t>
            </w:r>
            <w:r w:rsidRPr="00F87B9B">
              <w:rPr>
                <w:noProof/>
                <w:sz w:val="20"/>
                <w:szCs w:val="20"/>
              </w:rPr>
              <w:t xml:space="preserve"> the benefits largely outweigh the costs for operators</w:t>
            </w:r>
          </w:p>
        </w:tc>
        <w:tc>
          <w:tcPr>
            <w:tcW w:w="3949" w:type="dxa"/>
          </w:tcPr>
          <w:p w14:paraId="13AA27EC" w14:textId="77777777" w:rsidR="000E718E" w:rsidRPr="00F87B9B" w:rsidRDefault="000E718E" w:rsidP="00316C84">
            <w:pPr>
              <w:rPr>
                <w:noProof/>
                <w:sz w:val="20"/>
                <w:szCs w:val="20"/>
              </w:rPr>
            </w:pPr>
            <w:r>
              <w:rPr>
                <w:noProof/>
                <w:sz w:val="20"/>
                <w:szCs w:val="20"/>
              </w:rPr>
              <w:t>(</w:t>
            </w:r>
            <w:r w:rsidRPr="00F87B9B">
              <w:rPr>
                <w:noProof/>
                <w:sz w:val="20"/>
                <w:szCs w:val="20"/>
              </w:rPr>
              <w:t>++</w:t>
            </w:r>
            <w:r>
              <w:rPr>
                <w:noProof/>
                <w:sz w:val="20"/>
                <w:szCs w:val="20"/>
              </w:rPr>
              <w:t>)</w:t>
            </w:r>
            <w:r w:rsidRPr="00F87B9B">
              <w:rPr>
                <w:noProof/>
                <w:sz w:val="20"/>
                <w:szCs w:val="20"/>
              </w:rPr>
              <w:t xml:space="preserve"> the benefits largely outweigh the costs for main operators</w:t>
            </w:r>
          </w:p>
        </w:tc>
      </w:tr>
      <w:tr w:rsidR="000E718E" w:rsidRPr="00F87B9B" w14:paraId="6D25FF2F" w14:textId="77777777" w:rsidTr="00316C84">
        <w:trPr>
          <w:trHeight w:val="300"/>
        </w:trPr>
        <w:tc>
          <w:tcPr>
            <w:tcW w:w="2322" w:type="dxa"/>
          </w:tcPr>
          <w:p w14:paraId="4A90C5F5" w14:textId="77777777" w:rsidR="000E718E" w:rsidRPr="00F87B9B" w:rsidRDefault="000E718E" w:rsidP="00316C84">
            <w:pPr>
              <w:rPr>
                <w:noProof/>
                <w:sz w:val="20"/>
                <w:szCs w:val="20"/>
              </w:rPr>
            </w:pPr>
            <w:r w:rsidRPr="00F87B9B">
              <w:rPr>
                <w:noProof/>
                <w:sz w:val="20"/>
                <w:szCs w:val="20"/>
              </w:rPr>
              <w:t xml:space="preserve">Benefit </w:t>
            </w:r>
          </w:p>
        </w:tc>
        <w:tc>
          <w:tcPr>
            <w:tcW w:w="3627" w:type="dxa"/>
          </w:tcPr>
          <w:p w14:paraId="2F071542" w14:textId="77777777" w:rsidR="000E718E" w:rsidRPr="00F87B9B" w:rsidRDefault="000E718E" w:rsidP="00316C84">
            <w:pPr>
              <w:rPr>
                <w:noProof/>
                <w:sz w:val="20"/>
                <w:szCs w:val="20"/>
              </w:rPr>
            </w:pPr>
          </w:p>
        </w:tc>
        <w:tc>
          <w:tcPr>
            <w:tcW w:w="4050" w:type="dxa"/>
          </w:tcPr>
          <w:p w14:paraId="3DC759DF" w14:textId="0B1B6BEF" w:rsidR="000E718E" w:rsidRPr="00F87B9B" w:rsidRDefault="000E718E" w:rsidP="00316C84">
            <w:pPr>
              <w:rPr>
                <w:noProof/>
                <w:sz w:val="20"/>
                <w:szCs w:val="20"/>
              </w:rPr>
            </w:pPr>
            <w:r w:rsidRPr="00F87B9B">
              <w:rPr>
                <w:noProof/>
                <w:sz w:val="20"/>
                <w:szCs w:val="20"/>
              </w:rPr>
              <w:t xml:space="preserve">Increased predictability and investment capacity, reduced costs </w:t>
            </w:r>
            <w:r w:rsidR="004B13A0">
              <w:rPr>
                <w:noProof/>
                <w:sz w:val="20"/>
                <w:szCs w:val="20"/>
              </w:rPr>
              <w:t>associated with the</w:t>
            </w:r>
            <w:r w:rsidR="004B13A0" w:rsidRPr="00F87B9B">
              <w:rPr>
                <w:noProof/>
                <w:sz w:val="20"/>
                <w:szCs w:val="20"/>
              </w:rPr>
              <w:t xml:space="preserve"> </w:t>
            </w:r>
            <w:r w:rsidRPr="00F87B9B">
              <w:rPr>
                <w:noProof/>
                <w:sz w:val="20"/>
                <w:szCs w:val="20"/>
              </w:rPr>
              <w:t xml:space="preserve">inability to use spectrum due to harmful interferences </w:t>
            </w:r>
          </w:p>
        </w:tc>
        <w:tc>
          <w:tcPr>
            <w:tcW w:w="3949" w:type="dxa"/>
          </w:tcPr>
          <w:p w14:paraId="23CF9223" w14:textId="2F82E251" w:rsidR="000E718E" w:rsidRPr="00F87B9B" w:rsidRDefault="000E718E" w:rsidP="00316C84">
            <w:pPr>
              <w:rPr>
                <w:noProof/>
                <w:sz w:val="20"/>
                <w:szCs w:val="20"/>
              </w:rPr>
            </w:pPr>
            <w:r w:rsidRPr="00F87B9B">
              <w:rPr>
                <w:noProof/>
                <w:sz w:val="20"/>
                <w:szCs w:val="20"/>
              </w:rPr>
              <w:t>Increased predictability and investment capacity</w:t>
            </w:r>
            <w:r w:rsidR="0019099C">
              <w:rPr>
                <w:noProof/>
                <w:sz w:val="20"/>
                <w:szCs w:val="20"/>
              </w:rPr>
              <w:t>.</w:t>
            </w:r>
          </w:p>
        </w:tc>
      </w:tr>
      <w:tr w:rsidR="000E718E" w:rsidRPr="00F87B9B" w14:paraId="67F201BA" w14:textId="77777777" w:rsidTr="00316C84">
        <w:trPr>
          <w:trHeight w:val="300"/>
        </w:trPr>
        <w:tc>
          <w:tcPr>
            <w:tcW w:w="2322" w:type="dxa"/>
          </w:tcPr>
          <w:p w14:paraId="65BBB04C" w14:textId="77777777" w:rsidR="000E718E" w:rsidRPr="00F87B9B" w:rsidRDefault="000E718E" w:rsidP="00316C84">
            <w:pPr>
              <w:rPr>
                <w:noProof/>
                <w:sz w:val="20"/>
                <w:szCs w:val="20"/>
              </w:rPr>
            </w:pPr>
            <w:r w:rsidRPr="00F87B9B">
              <w:rPr>
                <w:noProof/>
                <w:sz w:val="20"/>
                <w:szCs w:val="20"/>
              </w:rPr>
              <w:t xml:space="preserve">Costs </w:t>
            </w:r>
          </w:p>
        </w:tc>
        <w:tc>
          <w:tcPr>
            <w:tcW w:w="3627" w:type="dxa"/>
          </w:tcPr>
          <w:p w14:paraId="6C67481F" w14:textId="77777777" w:rsidR="000E718E" w:rsidRPr="00F87B9B" w:rsidRDefault="000E718E" w:rsidP="00316C84">
            <w:pPr>
              <w:rPr>
                <w:noProof/>
                <w:sz w:val="20"/>
                <w:szCs w:val="20"/>
              </w:rPr>
            </w:pPr>
          </w:p>
        </w:tc>
        <w:tc>
          <w:tcPr>
            <w:tcW w:w="4050" w:type="dxa"/>
          </w:tcPr>
          <w:p w14:paraId="5146B869" w14:textId="77777777" w:rsidR="000E718E" w:rsidRPr="00F87B9B" w:rsidRDefault="000E718E" w:rsidP="00316C84">
            <w:pPr>
              <w:rPr>
                <w:noProof/>
                <w:sz w:val="20"/>
                <w:szCs w:val="20"/>
              </w:rPr>
            </w:pPr>
            <w:r w:rsidRPr="00F87B9B">
              <w:rPr>
                <w:noProof/>
                <w:sz w:val="20"/>
                <w:szCs w:val="20"/>
              </w:rPr>
              <w:t xml:space="preserve">(-) Low costs for adaptation to new licence types </w:t>
            </w:r>
          </w:p>
          <w:p w14:paraId="211D6465" w14:textId="36086CD1" w:rsidR="000E718E" w:rsidRPr="00F87B9B" w:rsidRDefault="000E718E" w:rsidP="00316C84">
            <w:pPr>
              <w:rPr>
                <w:noProof/>
                <w:sz w:val="20"/>
                <w:szCs w:val="20"/>
              </w:rPr>
            </w:pPr>
            <w:r w:rsidRPr="00F87B9B">
              <w:rPr>
                <w:noProof/>
                <w:sz w:val="20"/>
                <w:szCs w:val="20"/>
              </w:rPr>
              <w:t>(-) Low costs for adaptation to spectrum sharing under principle “use-it-or-share-it</w:t>
            </w:r>
            <w:r w:rsidR="006C603D">
              <w:rPr>
                <w:noProof/>
                <w:sz w:val="20"/>
                <w:szCs w:val="20"/>
              </w:rPr>
              <w:t>”</w:t>
            </w:r>
          </w:p>
        </w:tc>
        <w:tc>
          <w:tcPr>
            <w:tcW w:w="3949" w:type="dxa"/>
          </w:tcPr>
          <w:p w14:paraId="7FA13EC5" w14:textId="7C436237" w:rsidR="000E718E" w:rsidRPr="00F87B9B" w:rsidRDefault="00F23A4F" w:rsidP="00316C84">
            <w:pPr>
              <w:rPr>
                <w:noProof/>
                <w:sz w:val="20"/>
                <w:szCs w:val="20"/>
              </w:rPr>
            </w:pPr>
            <w:r>
              <w:rPr>
                <w:noProof/>
                <w:sz w:val="20"/>
                <w:szCs w:val="20"/>
              </w:rPr>
              <w:t xml:space="preserve">(--) </w:t>
            </w:r>
            <w:r w:rsidR="0019099C">
              <w:rPr>
                <w:noProof/>
                <w:sz w:val="20"/>
                <w:szCs w:val="20"/>
              </w:rPr>
              <w:t xml:space="preserve">In the </w:t>
            </w:r>
            <w:r>
              <w:rPr>
                <w:noProof/>
                <w:sz w:val="20"/>
                <w:szCs w:val="20"/>
              </w:rPr>
              <w:t>short term</w:t>
            </w:r>
            <w:r w:rsidR="006C603D">
              <w:rPr>
                <w:noProof/>
                <w:sz w:val="20"/>
                <w:szCs w:val="20"/>
              </w:rPr>
              <w:t>,</w:t>
            </w:r>
            <w:r>
              <w:rPr>
                <w:noProof/>
                <w:sz w:val="20"/>
                <w:szCs w:val="20"/>
              </w:rPr>
              <w:t xml:space="preserve"> </w:t>
            </w:r>
            <w:r w:rsidR="006C603D">
              <w:rPr>
                <w:noProof/>
                <w:sz w:val="20"/>
                <w:szCs w:val="20"/>
              </w:rPr>
              <w:t>o</w:t>
            </w:r>
            <w:r w:rsidR="000E718E" w:rsidRPr="00F87B9B">
              <w:rPr>
                <w:noProof/>
                <w:sz w:val="20"/>
                <w:szCs w:val="20"/>
              </w:rPr>
              <w:t>nly few undertakings (3-4 maximum) would be able to acquire spectrum at EU level, which means that most operators currently operating in the EU would be forced to sell assets, exit the market or become virtual operators</w:t>
            </w:r>
            <w:r>
              <w:rPr>
                <w:noProof/>
                <w:sz w:val="20"/>
                <w:szCs w:val="20"/>
              </w:rPr>
              <w:t>. Costs reduced in the long term.</w:t>
            </w:r>
          </w:p>
        </w:tc>
      </w:tr>
    </w:tbl>
    <w:p w14:paraId="54C6FCBD" w14:textId="77777777" w:rsidR="000E718E" w:rsidRDefault="000E718E" w:rsidP="00DE7CC1">
      <w:pPr>
        <w:spacing w:line="240" w:lineRule="auto"/>
        <w:rPr>
          <w:noProof/>
        </w:rPr>
      </w:pPr>
    </w:p>
    <w:p w14:paraId="17EAA115" w14:textId="77777777" w:rsidR="000E718E" w:rsidRPr="00DE264C" w:rsidRDefault="000E718E" w:rsidP="00DE7CC1">
      <w:pPr>
        <w:spacing w:line="240" w:lineRule="auto"/>
        <w:rPr>
          <w:rFonts w:eastAsiaTheme="minorEastAsia"/>
          <w:noProof/>
        </w:rPr>
      </w:pPr>
    </w:p>
    <w:p w14:paraId="0D298B11" w14:textId="77777777" w:rsidR="004B13EB" w:rsidRDefault="004B13EB" w:rsidP="00DE7CC1">
      <w:pPr>
        <w:spacing w:line="240" w:lineRule="auto"/>
        <w:rPr>
          <w:b/>
          <w:noProof/>
          <w:u w:val="single"/>
        </w:rPr>
      </w:pPr>
    </w:p>
    <w:p w14:paraId="0C788EBB" w14:textId="656274D9" w:rsidR="00F42249" w:rsidRPr="00DE264C" w:rsidRDefault="00D576B1" w:rsidP="00DE7CC1">
      <w:pPr>
        <w:spacing w:line="240" w:lineRule="auto"/>
        <w:rPr>
          <w:b/>
          <w:noProof/>
          <w:lang w:val="en-IE"/>
        </w:rPr>
      </w:pPr>
      <w:r w:rsidRPr="00DE264C">
        <w:rPr>
          <w:b/>
          <w:noProof/>
          <w:u w:val="single"/>
        </w:rPr>
        <w:t>Coherence</w:t>
      </w:r>
      <w:r w:rsidR="0043212A" w:rsidRPr="00DE264C">
        <w:rPr>
          <w:b/>
          <w:noProof/>
          <w:u w:val="single"/>
        </w:rPr>
        <w:t xml:space="preserve"> </w:t>
      </w:r>
    </w:p>
    <w:p w14:paraId="7D4F1296" w14:textId="093E1DDC" w:rsidR="009D6D26" w:rsidRPr="00DE264C" w:rsidRDefault="00D576B1" w:rsidP="00DE7CC1">
      <w:pPr>
        <w:pStyle w:val="EYBodytextwithparaspace"/>
        <w:spacing w:before="0" w:after="240" w:line="240" w:lineRule="auto"/>
        <w:rPr>
          <w:rFonts w:ascii="Times New Roman" w:hAnsi="Times New Roman"/>
          <w:noProof/>
          <w:lang w:val="en-IE"/>
        </w:rPr>
      </w:pPr>
      <w:r w:rsidRPr="00940F69">
        <w:rPr>
          <w:rFonts w:ascii="Times New Roman" w:hAnsi="Times New Roman"/>
          <w:b/>
          <w:noProof/>
        </w:rPr>
        <w:t>The baseline</w:t>
      </w:r>
      <w:r w:rsidRPr="00940F69">
        <w:rPr>
          <w:rFonts w:ascii="Times New Roman" w:hAnsi="Times New Roman"/>
          <w:noProof/>
        </w:rPr>
        <w:t xml:space="preserve"> is only partially coherent with EU investment </w:t>
      </w:r>
      <w:r w:rsidR="00577537" w:rsidRPr="00940F69">
        <w:rPr>
          <w:rFonts w:ascii="Times New Roman" w:hAnsi="Times New Roman"/>
          <w:noProof/>
        </w:rPr>
        <w:t>needs</w:t>
      </w:r>
      <w:r w:rsidR="40115853" w:rsidRPr="00940F69">
        <w:rPr>
          <w:rFonts w:ascii="Times New Roman" w:hAnsi="Times New Roman"/>
          <w:noProof/>
        </w:rPr>
        <w:t xml:space="preserve"> and </w:t>
      </w:r>
      <w:r w:rsidRPr="00940F69">
        <w:rPr>
          <w:rFonts w:ascii="Times New Roman" w:hAnsi="Times New Roman"/>
          <w:noProof/>
        </w:rPr>
        <w:t xml:space="preserve">Digital Decade goals. </w:t>
      </w:r>
      <w:r w:rsidR="00BD2119" w:rsidRPr="00940F69">
        <w:rPr>
          <w:rFonts w:ascii="Times New Roman" w:hAnsi="Times New Roman"/>
          <w:noProof/>
        </w:rPr>
        <w:t xml:space="preserve">High quality 5G and future 6G investments are </w:t>
      </w:r>
      <w:r w:rsidR="00555873" w:rsidRPr="00940F69">
        <w:rPr>
          <w:rFonts w:ascii="Times New Roman" w:hAnsi="Times New Roman"/>
          <w:noProof/>
        </w:rPr>
        <w:t>expected</w:t>
      </w:r>
      <w:r w:rsidR="00BD2119" w:rsidRPr="00940F69">
        <w:rPr>
          <w:rFonts w:ascii="Times New Roman" w:hAnsi="Times New Roman"/>
          <w:noProof/>
        </w:rPr>
        <w:t xml:space="preserve"> to be </w:t>
      </w:r>
      <w:r w:rsidR="00555873" w:rsidRPr="00940F69">
        <w:rPr>
          <w:rFonts w:ascii="Times New Roman" w:hAnsi="Times New Roman"/>
          <w:noProof/>
        </w:rPr>
        <w:t>financed</w:t>
      </w:r>
      <w:r w:rsidR="00BD2119" w:rsidRPr="00940F69">
        <w:rPr>
          <w:rFonts w:ascii="Times New Roman" w:hAnsi="Times New Roman"/>
          <w:noProof/>
        </w:rPr>
        <w:t xml:space="preserve"> mainly </w:t>
      </w:r>
      <w:r w:rsidR="00555873" w:rsidRPr="00940F69">
        <w:rPr>
          <w:rFonts w:ascii="Times New Roman" w:hAnsi="Times New Roman"/>
          <w:noProof/>
        </w:rPr>
        <w:t>by</w:t>
      </w:r>
      <w:r w:rsidR="00BD2119" w:rsidRPr="00940F69">
        <w:rPr>
          <w:rFonts w:ascii="Times New Roman" w:hAnsi="Times New Roman"/>
          <w:noProof/>
        </w:rPr>
        <w:t xml:space="preserve"> </w:t>
      </w:r>
      <w:r w:rsidR="00A13953" w:rsidRPr="00940F69">
        <w:rPr>
          <w:rFonts w:ascii="Times New Roman" w:hAnsi="Times New Roman"/>
          <w:noProof/>
        </w:rPr>
        <w:t xml:space="preserve">the </w:t>
      </w:r>
      <w:r w:rsidR="00BD2119" w:rsidRPr="00940F69">
        <w:rPr>
          <w:rFonts w:ascii="Times New Roman" w:hAnsi="Times New Roman"/>
          <w:noProof/>
        </w:rPr>
        <w:t xml:space="preserve">private </w:t>
      </w:r>
      <w:r w:rsidR="00A13953" w:rsidRPr="00940F69">
        <w:rPr>
          <w:rFonts w:ascii="Times New Roman" w:hAnsi="Times New Roman"/>
          <w:noProof/>
        </w:rPr>
        <w:t>sector</w:t>
      </w:r>
      <w:r w:rsidR="00BD2119" w:rsidRPr="00940F69">
        <w:rPr>
          <w:rFonts w:ascii="Times New Roman" w:hAnsi="Times New Roman"/>
          <w:noProof/>
        </w:rPr>
        <w:t xml:space="preserve"> </w:t>
      </w:r>
      <w:r w:rsidR="00E9686C" w:rsidRPr="00940F69">
        <w:rPr>
          <w:rFonts w:ascii="Times New Roman" w:hAnsi="Times New Roman"/>
          <w:noProof/>
        </w:rPr>
        <w:t>(see section 2.1.2</w:t>
      </w:r>
      <w:r w:rsidR="004F16ED" w:rsidRPr="00940F69">
        <w:rPr>
          <w:rFonts w:ascii="Times New Roman" w:hAnsi="Times New Roman"/>
          <w:noProof/>
        </w:rPr>
        <w:t xml:space="preserve"> and 2.3.2 and Annex </w:t>
      </w:r>
      <w:r w:rsidR="006B39CC" w:rsidRPr="00940F69">
        <w:rPr>
          <w:rFonts w:ascii="Times New Roman" w:hAnsi="Times New Roman"/>
          <w:noProof/>
        </w:rPr>
        <w:t>7</w:t>
      </w:r>
      <w:r w:rsidR="004B13EB">
        <w:rPr>
          <w:rFonts w:ascii="Times New Roman" w:hAnsi="Times New Roman"/>
          <w:noProof/>
        </w:rPr>
        <w:t>,</w:t>
      </w:r>
      <w:r w:rsidR="006B39CC" w:rsidRPr="00940F69">
        <w:rPr>
          <w:rFonts w:ascii="Times New Roman" w:hAnsi="Times New Roman"/>
          <w:noProof/>
        </w:rPr>
        <w:t xml:space="preserve"> </w:t>
      </w:r>
      <w:r w:rsidR="00AB4BA7">
        <w:rPr>
          <w:rFonts w:ascii="Times New Roman" w:hAnsi="Times New Roman"/>
          <w:noProof/>
        </w:rPr>
        <w:t>S</w:t>
      </w:r>
      <w:r w:rsidR="00440740">
        <w:rPr>
          <w:rFonts w:ascii="Times New Roman" w:hAnsi="Times New Roman"/>
          <w:noProof/>
        </w:rPr>
        <w:t>ection</w:t>
      </w:r>
      <w:r w:rsidR="006F1CFD" w:rsidRPr="00940F69">
        <w:rPr>
          <w:rFonts w:ascii="Times New Roman" w:hAnsi="Times New Roman"/>
          <w:noProof/>
        </w:rPr>
        <w:t xml:space="preserve"> 1.2.1.</w:t>
      </w:r>
      <w:r w:rsidR="004F16ED" w:rsidRPr="00940F69">
        <w:rPr>
          <w:rFonts w:ascii="Times New Roman" w:hAnsi="Times New Roman"/>
          <w:noProof/>
        </w:rPr>
        <w:t>)</w:t>
      </w:r>
      <w:r w:rsidR="00A453DF" w:rsidRPr="00940F69">
        <w:rPr>
          <w:rFonts w:ascii="Times New Roman" w:hAnsi="Times New Roman"/>
          <w:noProof/>
        </w:rPr>
        <w:t>.</w:t>
      </w:r>
      <w:r w:rsidRPr="00940F69">
        <w:rPr>
          <w:rFonts w:ascii="Times New Roman" w:hAnsi="Times New Roman"/>
          <w:noProof/>
        </w:rPr>
        <w:t xml:space="preserve"> Diverging licence regimes </w:t>
      </w:r>
      <w:r w:rsidR="00BB04F9" w:rsidRPr="00940F69">
        <w:rPr>
          <w:rFonts w:ascii="Times New Roman" w:hAnsi="Times New Roman"/>
          <w:noProof/>
        </w:rPr>
        <w:t xml:space="preserve">and </w:t>
      </w:r>
      <w:r w:rsidR="00A27CFF" w:rsidRPr="00940F69">
        <w:rPr>
          <w:rFonts w:ascii="Times New Roman" w:hAnsi="Times New Roman"/>
          <w:noProof/>
        </w:rPr>
        <w:t>in</w:t>
      </w:r>
      <w:r w:rsidR="00C72E81" w:rsidRPr="00940F69">
        <w:rPr>
          <w:rFonts w:ascii="Times New Roman" w:hAnsi="Times New Roman"/>
          <w:noProof/>
        </w:rPr>
        <w:t>sufficiently investment</w:t>
      </w:r>
      <w:r w:rsidR="00555873" w:rsidRPr="00940F69">
        <w:rPr>
          <w:rFonts w:ascii="Times New Roman" w:hAnsi="Times New Roman"/>
          <w:noProof/>
        </w:rPr>
        <w:t>-</w:t>
      </w:r>
      <w:r w:rsidR="00C72E81" w:rsidRPr="00940F69">
        <w:rPr>
          <w:rFonts w:ascii="Times New Roman" w:hAnsi="Times New Roman"/>
          <w:noProof/>
        </w:rPr>
        <w:t>oriented</w:t>
      </w:r>
      <w:r w:rsidRPr="00940F69">
        <w:rPr>
          <w:rFonts w:ascii="Times New Roman" w:hAnsi="Times New Roman"/>
          <w:noProof/>
        </w:rPr>
        <w:t xml:space="preserve"> </w:t>
      </w:r>
      <w:r w:rsidR="004F16ED" w:rsidRPr="00940F69">
        <w:rPr>
          <w:rFonts w:ascii="Times New Roman" w:hAnsi="Times New Roman"/>
          <w:noProof/>
        </w:rPr>
        <w:t>auctions</w:t>
      </w:r>
      <w:r w:rsidRPr="00940F69">
        <w:rPr>
          <w:rFonts w:ascii="Times New Roman" w:hAnsi="Times New Roman"/>
          <w:noProof/>
        </w:rPr>
        <w:t xml:space="preserve"> hinder the coherent rollout of 5G. </w:t>
      </w:r>
    </w:p>
    <w:p w14:paraId="5BEA3927" w14:textId="1512A06F" w:rsidR="009D6D26" w:rsidRPr="00DE264C" w:rsidRDefault="00D576B1" w:rsidP="00DE7CC1">
      <w:pPr>
        <w:pStyle w:val="EYBodytextwithparaspace"/>
        <w:spacing w:before="0" w:after="240" w:line="240" w:lineRule="auto"/>
        <w:rPr>
          <w:rFonts w:ascii="Times New Roman" w:hAnsi="Times New Roman"/>
          <w:noProof/>
          <w:lang w:val="en-IE"/>
        </w:rPr>
      </w:pPr>
      <w:r w:rsidRPr="00940F69">
        <w:rPr>
          <w:rFonts w:ascii="Times New Roman" w:hAnsi="Times New Roman"/>
          <w:b/>
          <w:noProof/>
        </w:rPr>
        <w:t>Option 1</w:t>
      </w:r>
      <w:r w:rsidRPr="00940F69">
        <w:rPr>
          <w:rFonts w:ascii="Times New Roman" w:hAnsi="Times New Roman"/>
          <w:noProof/>
        </w:rPr>
        <w:t xml:space="preserve"> </w:t>
      </w:r>
      <w:r w:rsidR="009B11D9" w:rsidRPr="00940F69">
        <w:rPr>
          <w:rFonts w:ascii="Times New Roman" w:hAnsi="Times New Roman"/>
          <w:noProof/>
        </w:rPr>
        <w:t xml:space="preserve">falls short </w:t>
      </w:r>
      <w:r w:rsidR="008C5327" w:rsidRPr="00940F69">
        <w:rPr>
          <w:rFonts w:ascii="Times New Roman" w:hAnsi="Times New Roman"/>
          <w:noProof/>
        </w:rPr>
        <w:t>of</w:t>
      </w:r>
      <w:r w:rsidR="009B11D9" w:rsidRPr="00940F69">
        <w:rPr>
          <w:rFonts w:ascii="Times New Roman" w:hAnsi="Times New Roman"/>
          <w:noProof/>
        </w:rPr>
        <w:t xml:space="preserve"> ensuring</w:t>
      </w:r>
      <w:r w:rsidRPr="00940F69">
        <w:rPr>
          <w:rFonts w:ascii="Times New Roman" w:hAnsi="Times New Roman"/>
          <w:noProof/>
        </w:rPr>
        <w:t xml:space="preserve"> </w:t>
      </w:r>
      <w:r w:rsidR="00B86895" w:rsidRPr="00940F69">
        <w:rPr>
          <w:rFonts w:ascii="Times New Roman" w:hAnsi="Times New Roman"/>
          <w:noProof/>
        </w:rPr>
        <w:t>sufficient incentives for private investments</w:t>
      </w:r>
      <w:r w:rsidRPr="00940F69">
        <w:rPr>
          <w:rFonts w:ascii="Times New Roman" w:hAnsi="Times New Roman"/>
          <w:noProof/>
        </w:rPr>
        <w:t xml:space="preserve">. The use of a toolbox, peer review, and coordinated </w:t>
      </w:r>
      <w:r w:rsidR="00C05B29" w:rsidRPr="00940F69">
        <w:rPr>
          <w:rFonts w:ascii="Times New Roman" w:hAnsi="Times New Roman"/>
          <w:noProof/>
        </w:rPr>
        <w:t xml:space="preserve">roadmaps for spectrum </w:t>
      </w:r>
      <w:r w:rsidRPr="00940F69">
        <w:rPr>
          <w:rFonts w:ascii="Times New Roman" w:hAnsi="Times New Roman"/>
          <w:noProof/>
        </w:rPr>
        <w:t>award</w:t>
      </w:r>
      <w:r w:rsidR="00C05B29" w:rsidRPr="00940F69">
        <w:rPr>
          <w:rFonts w:ascii="Times New Roman" w:hAnsi="Times New Roman"/>
          <w:noProof/>
        </w:rPr>
        <w:t>s</w:t>
      </w:r>
      <w:r w:rsidRPr="00940F69">
        <w:rPr>
          <w:rFonts w:ascii="Times New Roman" w:hAnsi="Times New Roman"/>
          <w:noProof/>
        </w:rPr>
        <w:t xml:space="preserve"> supports convergence without imposing binding obligations, </w:t>
      </w:r>
      <w:r w:rsidR="004A2D29" w:rsidRPr="00940F69">
        <w:rPr>
          <w:rFonts w:ascii="Times New Roman" w:hAnsi="Times New Roman"/>
          <w:noProof/>
        </w:rPr>
        <w:t>marginally</w:t>
      </w:r>
      <w:r w:rsidR="00FA7032" w:rsidRPr="00940F69">
        <w:rPr>
          <w:rFonts w:ascii="Times New Roman" w:hAnsi="Times New Roman"/>
          <w:noProof/>
        </w:rPr>
        <w:t xml:space="preserve"> improv</w:t>
      </w:r>
      <w:r w:rsidR="004A2D29" w:rsidRPr="00940F69">
        <w:rPr>
          <w:rFonts w:ascii="Times New Roman" w:hAnsi="Times New Roman"/>
          <w:noProof/>
        </w:rPr>
        <w:t>ing</w:t>
      </w:r>
      <w:r w:rsidR="00FA7032" w:rsidRPr="00940F69">
        <w:rPr>
          <w:rFonts w:ascii="Times New Roman" w:hAnsi="Times New Roman"/>
          <w:noProof/>
        </w:rPr>
        <w:t xml:space="preserve"> </w:t>
      </w:r>
      <w:r w:rsidRPr="00940F69">
        <w:rPr>
          <w:rFonts w:ascii="Times New Roman" w:hAnsi="Times New Roman"/>
          <w:noProof/>
        </w:rPr>
        <w:t xml:space="preserve">policy coherence. </w:t>
      </w:r>
    </w:p>
    <w:p w14:paraId="3100D423" w14:textId="73B1C13B" w:rsidR="009D6D26" w:rsidRPr="00DE264C" w:rsidRDefault="00D576B1" w:rsidP="00DE7CC1">
      <w:pPr>
        <w:pStyle w:val="EYBodytextwithparaspace"/>
        <w:spacing w:before="0" w:after="240" w:line="240" w:lineRule="auto"/>
        <w:rPr>
          <w:rFonts w:ascii="Times New Roman" w:hAnsi="Times New Roman"/>
          <w:noProof/>
          <w:lang w:val="en-IE"/>
        </w:rPr>
      </w:pPr>
      <w:r w:rsidRPr="00940F69">
        <w:rPr>
          <w:rFonts w:ascii="Times New Roman" w:hAnsi="Times New Roman"/>
          <w:b/>
          <w:noProof/>
        </w:rPr>
        <w:t>Option 2</w:t>
      </w:r>
      <w:r w:rsidRPr="00940F69">
        <w:rPr>
          <w:rFonts w:ascii="Times New Roman" w:hAnsi="Times New Roman"/>
          <w:noProof/>
        </w:rPr>
        <w:t xml:space="preserve"> improves coherence significantly by integrating spectrum policy with wider EU objectives on connectivity, investment, and </w:t>
      </w:r>
      <w:r w:rsidR="799EE794" w:rsidRPr="00940F69">
        <w:rPr>
          <w:rFonts w:ascii="Times New Roman" w:hAnsi="Times New Roman"/>
          <w:noProof/>
        </w:rPr>
        <w:t xml:space="preserve">preparedness as well as </w:t>
      </w:r>
      <w:r w:rsidRPr="00940F69">
        <w:rPr>
          <w:rFonts w:ascii="Times New Roman" w:hAnsi="Times New Roman"/>
          <w:noProof/>
        </w:rPr>
        <w:t xml:space="preserve">cybersecurity. </w:t>
      </w:r>
      <w:r w:rsidR="004A2D29" w:rsidRPr="00940F69">
        <w:rPr>
          <w:rFonts w:ascii="Times New Roman" w:hAnsi="Times New Roman"/>
          <w:noProof/>
        </w:rPr>
        <w:t>R</w:t>
      </w:r>
      <w:r w:rsidRPr="00940F69">
        <w:rPr>
          <w:rFonts w:ascii="Times New Roman" w:hAnsi="Times New Roman"/>
          <w:noProof/>
        </w:rPr>
        <w:t xml:space="preserve">enewal conditions, </w:t>
      </w:r>
      <w:r w:rsidR="003460BC" w:rsidRPr="00940F69">
        <w:rPr>
          <w:rFonts w:ascii="Times New Roman" w:hAnsi="Times New Roman"/>
          <w:noProof/>
        </w:rPr>
        <w:t>coherent pro-investment</w:t>
      </w:r>
      <w:r w:rsidRPr="00940F69">
        <w:rPr>
          <w:rFonts w:ascii="Times New Roman" w:hAnsi="Times New Roman"/>
          <w:noProof/>
        </w:rPr>
        <w:t xml:space="preserve"> authorisation </w:t>
      </w:r>
      <w:r w:rsidR="00C77FA2" w:rsidRPr="00940F69">
        <w:rPr>
          <w:rFonts w:ascii="Times New Roman" w:hAnsi="Times New Roman"/>
          <w:noProof/>
        </w:rPr>
        <w:t xml:space="preserve">and spectrum sharing </w:t>
      </w:r>
      <w:r w:rsidR="004A2D29" w:rsidRPr="00940F69">
        <w:rPr>
          <w:rFonts w:ascii="Times New Roman" w:hAnsi="Times New Roman"/>
          <w:noProof/>
        </w:rPr>
        <w:t>ensure</w:t>
      </w:r>
      <w:r w:rsidRPr="00940F69">
        <w:rPr>
          <w:rFonts w:ascii="Times New Roman" w:hAnsi="Times New Roman"/>
          <w:noProof/>
        </w:rPr>
        <w:t xml:space="preserve"> a more </w:t>
      </w:r>
      <w:r w:rsidR="729B5B35" w:rsidRPr="00940F69">
        <w:rPr>
          <w:rFonts w:ascii="Times New Roman" w:hAnsi="Times New Roman"/>
          <w:noProof/>
        </w:rPr>
        <w:t xml:space="preserve">strategic, </w:t>
      </w:r>
      <w:r w:rsidRPr="00940F69">
        <w:rPr>
          <w:rFonts w:ascii="Times New Roman" w:hAnsi="Times New Roman"/>
          <w:noProof/>
        </w:rPr>
        <w:t xml:space="preserve">structured and predictable policy environment. </w:t>
      </w:r>
      <w:r w:rsidR="65F34F33" w:rsidRPr="00940F69">
        <w:rPr>
          <w:rFonts w:ascii="Times New Roman" w:hAnsi="Times New Roman"/>
          <w:noProof/>
        </w:rPr>
        <w:t xml:space="preserve">The integration of </w:t>
      </w:r>
      <w:r w:rsidR="00760DD2" w:rsidRPr="00940F69">
        <w:rPr>
          <w:rFonts w:ascii="Times New Roman" w:hAnsi="Times New Roman"/>
          <w:noProof/>
        </w:rPr>
        <w:t>the</w:t>
      </w:r>
      <w:r w:rsidR="65F34F33" w:rsidRPr="00940F69">
        <w:rPr>
          <w:rFonts w:ascii="Times New Roman" w:hAnsi="Times New Roman"/>
          <w:noProof/>
        </w:rPr>
        <w:t xml:space="preserve"> 5G toolbox in the conditions attached to rights of use of spectrum will increase coherence with the Cybersecurity Act.</w:t>
      </w:r>
      <w:r w:rsidRPr="00940F69">
        <w:rPr>
          <w:rFonts w:ascii="Times New Roman" w:hAnsi="Times New Roman"/>
          <w:noProof/>
        </w:rPr>
        <w:t xml:space="preserve"> The coordination of national roadmaps under a common EU framework</w:t>
      </w:r>
      <w:r w:rsidR="0093575E" w:rsidRPr="00940F69">
        <w:rPr>
          <w:rFonts w:ascii="Times New Roman" w:hAnsi="Times New Roman"/>
          <w:noProof/>
        </w:rPr>
        <w:t xml:space="preserve"> </w:t>
      </w:r>
      <w:r w:rsidRPr="00940F69">
        <w:rPr>
          <w:rFonts w:ascii="Times New Roman" w:hAnsi="Times New Roman"/>
          <w:noProof/>
        </w:rPr>
        <w:t xml:space="preserve">ensures synchronisation across Member States. This option supports coherence with broader strategic agendas, such as the Digital Decade, 6G roadmap coordination, </w:t>
      </w:r>
      <w:r w:rsidR="3CFF322C" w:rsidRPr="00940F69">
        <w:rPr>
          <w:rFonts w:ascii="Times New Roman" w:hAnsi="Times New Roman"/>
          <w:noProof/>
        </w:rPr>
        <w:t>the European Preparedness Union Strategy and the ProtectEU Internal Security Strategy</w:t>
      </w:r>
      <w:r w:rsidR="0095651F" w:rsidRPr="00940F69">
        <w:rPr>
          <w:rFonts w:ascii="Times New Roman" w:hAnsi="Times New Roman"/>
          <w:noProof/>
        </w:rPr>
        <w:t>,</w:t>
      </w:r>
      <w:r w:rsidRPr="00940F69">
        <w:rPr>
          <w:rFonts w:ascii="Times New Roman" w:hAnsi="Times New Roman"/>
          <w:noProof/>
        </w:rPr>
        <w:t xml:space="preserve"> without removing Member State autonomy in non-harmonised bands.</w:t>
      </w:r>
      <w:r w:rsidR="00225FC7" w:rsidRPr="00940F69">
        <w:rPr>
          <w:rFonts w:ascii="Times New Roman" w:hAnsi="Times New Roman"/>
          <w:noProof/>
        </w:rPr>
        <w:t xml:space="preserve"> </w:t>
      </w:r>
    </w:p>
    <w:p w14:paraId="48D82817" w14:textId="3D7F8BD4" w:rsidR="00D576B1" w:rsidRPr="00DE264C" w:rsidRDefault="00D576B1" w:rsidP="00DE7CC1">
      <w:pPr>
        <w:pStyle w:val="EYBodytextwithparaspace"/>
        <w:spacing w:before="0" w:after="240" w:line="240" w:lineRule="auto"/>
        <w:rPr>
          <w:rFonts w:ascii="Times New Roman" w:hAnsi="Times New Roman"/>
          <w:noProof/>
          <w:lang w:val="en-IE"/>
        </w:rPr>
      </w:pPr>
      <w:r w:rsidRPr="00940F69">
        <w:rPr>
          <w:rFonts w:ascii="Times New Roman" w:hAnsi="Times New Roman"/>
          <w:b/>
          <w:noProof/>
        </w:rPr>
        <w:t>Option 3</w:t>
      </w:r>
      <w:r w:rsidRPr="00940F69">
        <w:rPr>
          <w:rFonts w:ascii="Times New Roman" w:hAnsi="Times New Roman"/>
          <w:noProof/>
        </w:rPr>
        <w:t xml:space="preserve"> </w:t>
      </w:r>
      <w:r w:rsidR="00E36FAA" w:rsidRPr="00940F69">
        <w:rPr>
          <w:rFonts w:ascii="Times New Roman" w:hAnsi="Times New Roman"/>
          <w:noProof/>
        </w:rPr>
        <w:t>has the potential to</w:t>
      </w:r>
      <w:r w:rsidRPr="00940F69">
        <w:rPr>
          <w:rFonts w:ascii="Times New Roman" w:hAnsi="Times New Roman"/>
          <w:noProof/>
        </w:rPr>
        <w:t xml:space="preserve"> bring the highest level of internal coherence by embedding spectrum governance into a common investment strategy but challenge</w:t>
      </w:r>
      <w:r w:rsidR="009F79A6" w:rsidRPr="00940F69">
        <w:rPr>
          <w:rFonts w:ascii="Times New Roman" w:hAnsi="Times New Roman"/>
          <w:noProof/>
        </w:rPr>
        <w:t>s</w:t>
      </w:r>
      <w:r w:rsidRPr="00940F69">
        <w:rPr>
          <w:rFonts w:ascii="Times New Roman" w:hAnsi="Times New Roman"/>
          <w:noProof/>
        </w:rPr>
        <w:t xml:space="preserve"> the balance of powers with national regulators. It ensures that awards for strategic bands are aligned with cross-border deployment objectives, security priorities, and Digital Decade targets. </w:t>
      </w:r>
      <w:r w:rsidR="009F79A6" w:rsidRPr="00940F69">
        <w:rPr>
          <w:rFonts w:ascii="Times New Roman" w:hAnsi="Times New Roman"/>
          <w:noProof/>
        </w:rPr>
        <w:t>I</w:t>
      </w:r>
      <w:r w:rsidRPr="00940F69">
        <w:rPr>
          <w:rFonts w:ascii="Times New Roman" w:hAnsi="Times New Roman"/>
          <w:noProof/>
        </w:rPr>
        <w:t>ndefinite licen</w:t>
      </w:r>
      <w:r w:rsidR="000009C7" w:rsidRPr="00940F69">
        <w:rPr>
          <w:rFonts w:ascii="Times New Roman" w:hAnsi="Times New Roman"/>
          <w:noProof/>
        </w:rPr>
        <w:t>s</w:t>
      </w:r>
      <w:r w:rsidRPr="00940F69">
        <w:rPr>
          <w:rFonts w:ascii="Times New Roman" w:hAnsi="Times New Roman"/>
          <w:noProof/>
        </w:rPr>
        <w:t>es</w:t>
      </w:r>
      <w:r w:rsidR="0316A731" w:rsidRPr="00940F69">
        <w:rPr>
          <w:rFonts w:ascii="Times New Roman" w:hAnsi="Times New Roman"/>
          <w:noProof/>
        </w:rPr>
        <w:t>,</w:t>
      </w:r>
      <w:r w:rsidRPr="00940F69">
        <w:rPr>
          <w:rFonts w:ascii="Times New Roman" w:hAnsi="Times New Roman"/>
          <w:noProof/>
        </w:rPr>
        <w:t xml:space="preserve"> a harmonised approach to renewal</w:t>
      </w:r>
      <w:r w:rsidR="18907BE4" w:rsidRPr="00940F69">
        <w:rPr>
          <w:rFonts w:ascii="Times New Roman" w:hAnsi="Times New Roman"/>
          <w:noProof/>
        </w:rPr>
        <w:t xml:space="preserve">, </w:t>
      </w:r>
      <w:r w:rsidRPr="00940F69">
        <w:rPr>
          <w:rFonts w:ascii="Times New Roman" w:hAnsi="Times New Roman"/>
          <w:noProof/>
        </w:rPr>
        <w:t>remedies</w:t>
      </w:r>
      <w:r w:rsidR="00F9797A" w:rsidRPr="00940F69">
        <w:rPr>
          <w:rFonts w:ascii="Times New Roman" w:hAnsi="Times New Roman"/>
          <w:noProof/>
        </w:rPr>
        <w:t xml:space="preserve"> aiming to safeguard or increase competition</w:t>
      </w:r>
      <w:r w:rsidR="2A8AAA7E" w:rsidRPr="00940F69">
        <w:rPr>
          <w:rFonts w:ascii="Times New Roman" w:hAnsi="Times New Roman"/>
          <w:noProof/>
        </w:rPr>
        <w:t>,</w:t>
      </w:r>
      <w:r w:rsidRPr="00940F69">
        <w:rPr>
          <w:rFonts w:ascii="Times New Roman" w:hAnsi="Times New Roman"/>
          <w:noProof/>
        </w:rPr>
        <w:t xml:space="preserve"> </w:t>
      </w:r>
      <w:r w:rsidR="163DCBCA" w:rsidRPr="00940F69">
        <w:rPr>
          <w:rFonts w:ascii="Times New Roman" w:hAnsi="Times New Roman"/>
          <w:noProof/>
        </w:rPr>
        <w:t>all</w:t>
      </w:r>
      <w:r w:rsidRPr="00940F69">
        <w:rPr>
          <w:rFonts w:ascii="Times New Roman" w:hAnsi="Times New Roman"/>
          <w:noProof/>
        </w:rPr>
        <w:t xml:space="preserve"> support long-term planning and minimise policy fragmentation. However, full centralisation require</w:t>
      </w:r>
      <w:r w:rsidR="00FD5A91" w:rsidRPr="00940F69">
        <w:rPr>
          <w:rFonts w:ascii="Times New Roman" w:hAnsi="Times New Roman"/>
          <w:noProof/>
        </w:rPr>
        <w:t>s</w:t>
      </w:r>
      <w:r w:rsidRPr="00940F69">
        <w:rPr>
          <w:rFonts w:ascii="Times New Roman" w:hAnsi="Times New Roman"/>
          <w:noProof/>
        </w:rPr>
        <w:t xml:space="preserve"> careful alignment with existing structures to ensure subsidiarity is respected.</w:t>
      </w:r>
    </w:p>
    <w:p w14:paraId="3EE0FC55" w14:textId="35111A4C" w:rsidR="00CF7773" w:rsidRPr="00DE264C" w:rsidRDefault="00CF7773" w:rsidP="00DE7CC1">
      <w:pPr>
        <w:spacing w:line="240" w:lineRule="auto"/>
        <w:rPr>
          <w:b/>
          <w:noProof/>
          <w:u w:val="single"/>
        </w:rPr>
      </w:pPr>
      <w:r w:rsidRPr="00DE264C">
        <w:rPr>
          <w:b/>
          <w:noProof/>
          <w:u w:val="single"/>
        </w:rPr>
        <w:t>Stakeholder’s feedback</w:t>
      </w:r>
    </w:p>
    <w:p w14:paraId="43F1E52C" w14:textId="2F0C336D" w:rsidR="00CF7773" w:rsidRPr="00DE264C" w:rsidRDefault="00CF7773" w:rsidP="00DE7CC1">
      <w:pPr>
        <w:pStyle w:val="EYBodytextwithparaspace"/>
        <w:spacing w:before="0" w:after="240" w:line="240" w:lineRule="auto"/>
        <w:rPr>
          <w:rFonts w:ascii="Times New Roman" w:hAnsi="Times New Roman"/>
          <w:noProof/>
        </w:rPr>
      </w:pPr>
      <w:r w:rsidRPr="00DE264C">
        <w:rPr>
          <w:rFonts w:ascii="Times New Roman" w:hAnsi="Times New Roman"/>
          <w:bCs/>
          <w:noProof/>
        </w:rPr>
        <w:t>As regards</w:t>
      </w:r>
      <w:r w:rsidRPr="00DE264C">
        <w:rPr>
          <w:rFonts w:ascii="Times New Roman" w:hAnsi="Times New Roman"/>
          <w:noProof/>
        </w:rPr>
        <w:t xml:space="preserve"> </w:t>
      </w:r>
      <w:r w:rsidR="00F64B46">
        <w:rPr>
          <w:rFonts w:ascii="Times New Roman" w:hAnsi="Times New Roman"/>
          <w:b/>
          <w:bCs/>
          <w:noProof/>
        </w:rPr>
        <w:t>o</w:t>
      </w:r>
      <w:r w:rsidRPr="00DE264C">
        <w:rPr>
          <w:rFonts w:ascii="Times New Roman" w:hAnsi="Times New Roman"/>
          <w:b/>
          <w:bCs/>
          <w:noProof/>
        </w:rPr>
        <w:t>ption 1</w:t>
      </w:r>
      <w:r w:rsidRPr="00DE264C">
        <w:rPr>
          <w:rFonts w:ascii="Times New Roman" w:hAnsi="Times New Roman"/>
          <w:noProof/>
        </w:rPr>
        <w:t xml:space="preserve"> </w:t>
      </w:r>
      <w:r w:rsidR="004D0BB2" w:rsidRPr="00DE264C">
        <w:rPr>
          <w:rFonts w:ascii="Times New Roman" w:hAnsi="Times New Roman"/>
          <w:noProof/>
        </w:rPr>
        <w:t>operators</w:t>
      </w:r>
      <w:r w:rsidRPr="00DE264C">
        <w:rPr>
          <w:rFonts w:ascii="Times New Roman" w:hAnsi="Times New Roman"/>
          <w:noProof/>
        </w:rPr>
        <w:t xml:space="preserve"> are positive to longer license duration, easier renewals, more harmonisation of authorisation procedures and of conditions</w:t>
      </w:r>
      <w:r w:rsidR="00DD712C">
        <w:rPr>
          <w:rFonts w:ascii="Times New Roman" w:hAnsi="Times New Roman"/>
          <w:noProof/>
        </w:rPr>
        <w:t>.</w:t>
      </w:r>
      <w:r w:rsidRPr="00DE264C">
        <w:rPr>
          <w:rFonts w:ascii="Times New Roman" w:hAnsi="Times New Roman"/>
          <w:noProof/>
        </w:rPr>
        <w:t xml:space="preserve"> </w:t>
      </w:r>
      <w:r w:rsidR="00DD712C">
        <w:rPr>
          <w:rFonts w:ascii="Times New Roman" w:hAnsi="Times New Roman"/>
          <w:noProof/>
        </w:rPr>
        <w:t xml:space="preserve">They, </w:t>
      </w:r>
      <w:r w:rsidRPr="00DE264C">
        <w:rPr>
          <w:rFonts w:ascii="Times New Roman" w:hAnsi="Times New Roman"/>
          <w:noProof/>
        </w:rPr>
        <w:t>however</w:t>
      </w:r>
      <w:r w:rsidR="002A7160">
        <w:rPr>
          <w:rFonts w:ascii="Times New Roman" w:hAnsi="Times New Roman"/>
          <w:noProof/>
        </w:rPr>
        <w:t>,</w:t>
      </w:r>
      <w:r w:rsidRPr="00DE264C">
        <w:rPr>
          <w:rFonts w:ascii="Times New Roman" w:hAnsi="Times New Roman"/>
          <w:noProof/>
        </w:rPr>
        <w:t xml:space="preserve"> favour an even more ambitious mechanism similar to the </w:t>
      </w:r>
      <w:r w:rsidRPr="002A7160">
        <w:rPr>
          <w:rFonts w:ascii="Times New Roman" w:hAnsi="Times New Roman"/>
          <w:noProof/>
        </w:rPr>
        <w:t>existing</w:t>
      </w:r>
      <w:r w:rsidRPr="00DE264C">
        <w:rPr>
          <w:rFonts w:ascii="Times New Roman" w:hAnsi="Times New Roman"/>
          <w:noProof/>
        </w:rPr>
        <w:t xml:space="preserve"> framework for market analysis. They see positively the evolving roadmap on spectrum availability and policies incentivising sharing and flexible use. Member States and NRAs do not see the need for license durations beyond 20 years or for common spectrum authorisation procedures and conditions. The RSPG acknowledged the potential for improvement of the peer review as well as the need for pro-investment assignment conditions.</w:t>
      </w:r>
    </w:p>
    <w:p w14:paraId="31F1A659" w14:textId="021DA069" w:rsidR="00CF7773" w:rsidRPr="00DE264C" w:rsidRDefault="00CF7773" w:rsidP="00DE7CC1">
      <w:pPr>
        <w:pStyle w:val="EYBodytextwithparaspace"/>
        <w:spacing w:before="0" w:after="240" w:line="240" w:lineRule="auto"/>
        <w:rPr>
          <w:rFonts w:ascii="Times New Roman" w:hAnsi="Times New Roman"/>
          <w:noProof/>
        </w:rPr>
      </w:pPr>
      <w:r w:rsidRPr="002A7160">
        <w:rPr>
          <w:rFonts w:ascii="Times New Roman" w:hAnsi="Times New Roman"/>
          <w:noProof/>
        </w:rPr>
        <w:t xml:space="preserve">The bundle of measures in </w:t>
      </w:r>
      <w:r w:rsidR="00F64B46">
        <w:rPr>
          <w:rFonts w:ascii="Times New Roman" w:hAnsi="Times New Roman"/>
          <w:b/>
          <w:noProof/>
        </w:rPr>
        <w:t>o</w:t>
      </w:r>
      <w:r w:rsidRPr="002A7160">
        <w:rPr>
          <w:rFonts w:ascii="Times New Roman" w:hAnsi="Times New Roman"/>
          <w:b/>
          <w:noProof/>
        </w:rPr>
        <w:t>ption 2</w:t>
      </w:r>
      <w:r w:rsidRPr="002A7160">
        <w:rPr>
          <w:rFonts w:ascii="Times New Roman" w:hAnsi="Times New Roman"/>
          <w:noProof/>
        </w:rPr>
        <w:t xml:space="preserve"> received most support from telcos which support measures increasing regulatory predictability and reducing market fragmentation: indefinite or very long license durations, </w:t>
      </w:r>
      <w:r w:rsidR="00883C5D">
        <w:rPr>
          <w:rFonts w:ascii="Times New Roman" w:hAnsi="Times New Roman"/>
          <w:noProof/>
        </w:rPr>
        <w:t>automatic</w:t>
      </w:r>
      <w:r w:rsidR="002E268A" w:rsidRPr="002A7160">
        <w:rPr>
          <w:rFonts w:ascii="Times New Roman" w:hAnsi="Times New Roman"/>
          <w:noProof/>
        </w:rPr>
        <w:t xml:space="preserve"> </w:t>
      </w:r>
      <w:r w:rsidRPr="002A7160">
        <w:rPr>
          <w:rFonts w:ascii="Times New Roman" w:hAnsi="Times New Roman"/>
          <w:noProof/>
        </w:rPr>
        <w:t xml:space="preserve">renewals, lower spectrum costs, and flexible usage rules. Telcos converge in that market-shaping measures should be controlled on the basis of a competitive analysis scrutinised ex ante. While in favour of pro sharing and flexibility policies, they caution against mandatory obligations. Stakeholders endorse EU-wide harmonisation of the availability of spectrum and technical and economic conditions. Member States and NRAs </w:t>
      </w:r>
      <w:r w:rsidRPr="00DE264C">
        <w:rPr>
          <w:rFonts w:ascii="Times New Roman" w:hAnsi="Times New Roman"/>
          <w:noProof/>
        </w:rPr>
        <w:t xml:space="preserve">see no need for harmonised spectrum authorisation and oppose common authorisation procedures and conditions. The RSPG expressed a view against a mandatory </w:t>
      </w:r>
      <w:r w:rsidR="00584258">
        <w:rPr>
          <w:rFonts w:ascii="Times New Roman" w:hAnsi="Times New Roman"/>
          <w:noProof/>
        </w:rPr>
        <w:t>single market procedure</w:t>
      </w:r>
      <w:r w:rsidRPr="00DE264C">
        <w:rPr>
          <w:rFonts w:ascii="Times New Roman" w:hAnsi="Times New Roman"/>
          <w:noProof/>
        </w:rPr>
        <w:t xml:space="preserve"> with veto. Competent authorities were more positive to measures promoting sharing and flexibility in spectrum use.</w:t>
      </w:r>
    </w:p>
    <w:p w14:paraId="7AC9A330" w14:textId="459F9E62" w:rsidR="00CF7773" w:rsidRPr="00DE264C" w:rsidRDefault="00CF7773" w:rsidP="00DE7CC1">
      <w:pPr>
        <w:pStyle w:val="EYBodytextwithparaspace"/>
        <w:spacing w:before="0" w:after="240" w:line="240" w:lineRule="auto"/>
        <w:rPr>
          <w:rFonts w:ascii="Times New Roman" w:hAnsi="Times New Roman"/>
          <w:noProof/>
          <w:lang w:val="en-IE"/>
        </w:rPr>
      </w:pPr>
      <w:r w:rsidRPr="00DE264C">
        <w:rPr>
          <w:rFonts w:ascii="Times New Roman" w:hAnsi="Times New Roman"/>
          <w:noProof/>
        </w:rPr>
        <w:t xml:space="preserve">As regards </w:t>
      </w:r>
      <w:r w:rsidR="00F64B46">
        <w:rPr>
          <w:rFonts w:ascii="Times New Roman" w:hAnsi="Times New Roman"/>
          <w:b/>
          <w:noProof/>
        </w:rPr>
        <w:t>o</w:t>
      </w:r>
      <w:r w:rsidRPr="00DE264C">
        <w:rPr>
          <w:rFonts w:ascii="Times New Roman" w:hAnsi="Times New Roman"/>
          <w:b/>
          <w:noProof/>
        </w:rPr>
        <w:t>ption 3</w:t>
      </w:r>
      <w:r w:rsidRPr="00DE264C">
        <w:rPr>
          <w:rFonts w:ascii="Times New Roman" w:hAnsi="Times New Roman"/>
          <w:noProof/>
        </w:rPr>
        <w:t xml:space="preserve">, while telcos and vendors are in favour of unlimited license duration and full harmonisation of spectrum authorisation conditions, they </w:t>
      </w:r>
      <w:r w:rsidR="001A066B" w:rsidRPr="00DE264C">
        <w:rPr>
          <w:rFonts w:ascii="Times New Roman" w:hAnsi="Times New Roman"/>
          <w:noProof/>
        </w:rPr>
        <w:t xml:space="preserve">are strongly </w:t>
      </w:r>
      <w:r w:rsidRPr="00DE264C">
        <w:rPr>
          <w:rFonts w:ascii="Times New Roman" w:hAnsi="Times New Roman"/>
          <w:noProof/>
        </w:rPr>
        <w:t xml:space="preserve">against awards at EU level or under strict deadlines and are split with regard to cross-border coordination and interference management. The RSPG recognised the potential to improve the cooperation between Member States in addressing cross-border interference. It expressed strong preference for maintaining </w:t>
      </w:r>
      <w:r w:rsidRPr="002A7160">
        <w:rPr>
          <w:rFonts w:ascii="Times New Roman" w:hAnsi="Times New Roman"/>
          <w:noProof/>
        </w:rPr>
        <w:t>the current model, including the preparation of technical harmonisation of spectrum by CEPT.</w:t>
      </w:r>
      <w:r w:rsidRPr="00DE264C">
        <w:rPr>
          <w:rFonts w:ascii="Times New Roman" w:hAnsi="Times New Roman"/>
          <w:noProof/>
        </w:rPr>
        <w:t xml:space="preserve"> </w:t>
      </w:r>
      <w:r w:rsidRPr="002A7160">
        <w:rPr>
          <w:rFonts w:ascii="Times New Roman" w:hAnsi="Times New Roman"/>
          <w:noProof/>
        </w:rPr>
        <w:t>The Electronic Communications Committee of the CEPT also expressed the view that the existing framework between the EU and CEPT is resilient and working well.</w:t>
      </w:r>
    </w:p>
    <w:p w14:paraId="7C416EC8" w14:textId="790F1FFC" w:rsidR="007D4C01" w:rsidRPr="00DE264C" w:rsidRDefault="005A7000" w:rsidP="00DE7CC1">
      <w:pPr>
        <w:spacing w:line="240" w:lineRule="auto"/>
        <w:rPr>
          <w:b/>
          <w:noProof/>
          <w:u w:val="single"/>
          <w:lang w:val="en-US"/>
        </w:rPr>
      </w:pPr>
      <w:r w:rsidRPr="00DE264C">
        <w:rPr>
          <w:b/>
          <w:noProof/>
          <w:u w:val="single"/>
        </w:rPr>
        <w:t>Summary</w:t>
      </w:r>
    </w:p>
    <w:p w14:paraId="4A76DB30" w14:textId="2DF840A2" w:rsidR="000D1C6F" w:rsidRPr="00DE264C" w:rsidRDefault="00483ED3" w:rsidP="00DE7CC1">
      <w:pPr>
        <w:spacing w:line="240" w:lineRule="auto"/>
        <w:rPr>
          <w:noProof/>
        </w:rPr>
      </w:pPr>
      <w:r w:rsidRPr="00DE264C">
        <w:rPr>
          <w:rFonts w:eastAsia="Calibri"/>
          <w:noProof/>
        </w:rPr>
        <w:t>The table below summarises the overall costs and benefits for the different stakeholders by each option.</w:t>
      </w:r>
      <w:r w:rsidR="000D1C6F">
        <w:rPr>
          <w:rFonts w:eastAsia="Calibri"/>
          <w:noProof/>
        </w:rPr>
        <w:t xml:space="preserve"> </w:t>
      </w:r>
      <w:r w:rsidR="000D1C6F">
        <w:rPr>
          <w:noProof/>
        </w:rPr>
        <w:t xml:space="preserve">Annex 3 </w:t>
      </w:r>
      <w:r w:rsidR="00251142">
        <w:rPr>
          <w:noProof/>
        </w:rPr>
        <w:t>S</w:t>
      </w:r>
      <w:r w:rsidR="00440740">
        <w:rPr>
          <w:noProof/>
        </w:rPr>
        <w:t>ection</w:t>
      </w:r>
      <w:r w:rsidR="000D1C6F">
        <w:rPr>
          <w:noProof/>
        </w:rPr>
        <w:t xml:space="preserve"> 2.2. presents </w:t>
      </w:r>
      <w:r w:rsidR="00150E8F">
        <w:rPr>
          <w:noProof/>
        </w:rPr>
        <w:t xml:space="preserve">in detail </w:t>
      </w:r>
      <w:r w:rsidR="000D1C6F">
        <w:rPr>
          <w:noProof/>
        </w:rPr>
        <w:t xml:space="preserve">the main costs and benefits per stakeholders of </w:t>
      </w:r>
      <w:r w:rsidR="00150E8F">
        <w:rPr>
          <w:noProof/>
        </w:rPr>
        <w:t xml:space="preserve">the three </w:t>
      </w:r>
      <w:r w:rsidR="00A5290C">
        <w:rPr>
          <w:noProof/>
        </w:rPr>
        <w:t>O</w:t>
      </w:r>
      <w:r w:rsidR="006D3FF9">
        <w:rPr>
          <w:noProof/>
        </w:rPr>
        <w:t>ptions</w:t>
      </w:r>
      <w:r w:rsidR="00C212E0">
        <w:rPr>
          <w:noProof/>
        </w:rPr>
        <w:t>.</w:t>
      </w:r>
    </w:p>
    <w:p w14:paraId="3113E50D" w14:textId="4412B326" w:rsidR="00483ED3" w:rsidRPr="00DE264C" w:rsidRDefault="006444A4" w:rsidP="00236E38">
      <w:pPr>
        <w:pStyle w:val="CommentText"/>
        <w:keepNext/>
        <w:keepLines/>
        <w:spacing w:before="120" w:after="120"/>
        <w:rPr>
          <w:rFonts w:eastAsia="Calibri"/>
          <w:noProof/>
        </w:rPr>
      </w:pPr>
      <w:r w:rsidRPr="00DE264C">
        <w:rPr>
          <w:rFonts w:eastAsia="Times New Roman"/>
          <w:i/>
          <w:iCs/>
          <w:noProof/>
          <w:color w:val="000000" w:themeColor="text1"/>
          <w:sz w:val="24"/>
          <w:szCs w:val="24"/>
          <w:u w:val="single"/>
        </w:rPr>
        <w:t>Table</w:t>
      </w:r>
      <w:r>
        <w:rPr>
          <w:rFonts w:eastAsia="Times New Roman"/>
          <w:i/>
          <w:iCs/>
          <w:noProof/>
          <w:color w:val="000000" w:themeColor="text1"/>
          <w:sz w:val="24"/>
          <w:szCs w:val="24"/>
          <w:u w:val="single"/>
        </w:rPr>
        <w:t xml:space="preserve"> 2</w:t>
      </w:r>
      <w:r w:rsidR="00CB62D4">
        <w:rPr>
          <w:rFonts w:eastAsia="Times New Roman"/>
          <w:i/>
          <w:iCs/>
          <w:noProof/>
          <w:color w:val="000000" w:themeColor="text1"/>
          <w:sz w:val="24"/>
          <w:szCs w:val="24"/>
          <w:u w:val="single"/>
        </w:rPr>
        <w:t>6</w:t>
      </w:r>
      <w:r w:rsidRPr="00DE264C">
        <w:rPr>
          <w:rFonts w:eastAsia="Times New Roman"/>
          <w:i/>
          <w:iCs/>
          <w:noProof/>
          <w:color w:val="000000" w:themeColor="text1"/>
          <w:sz w:val="24"/>
          <w:szCs w:val="24"/>
          <w:u w:val="single"/>
        </w:rPr>
        <w:t>:</w:t>
      </w:r>
      <w:r>
        <w:rPr>
          <w:noProof/>
        </w:rPr>
        <w:t xml:space="preserve"> </w:t>
      </w:r>
      <w:r>
        <w:rPr>
          <w:rFonts w:eastAsia="Times New Roman"/>
          <w:i/>
          <w:iCs/>
          <w:noProof/>
          <w:color w:val="000000" w:themeColor="text1"/>
          <w:sz w:val="24"/>
          <w:szCs w:val="24"/>
          <w:u w:val="single"/>
        </w:rPr>
        <w:t>Summary of costs and benefits for Spectrum options</w:t>
      </w:r>
    </w:p>
    <w:tbl>
      <w:tblPr>
        <w:tblStyle w:val="TableGrid"/>
        <w:tblW w:w="99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098"/>
        <w:gridCol w:w="2608"/>
        <w:gridCol w:w="2608"/>
        <w:gridCol w:w="2608"/>
      </w:tblGrid>
      <w:tr w:rsidR="00483ED3" w:rsidRPr="00DE264C" w14:paraId="64AE9905" w14:textId="77777777" w:rsidTr="00164278">
        <w:trPr>
          <w:trHeight w:val="761"/>
        </w:trPr>
        <w:tc>
          <w:tcPr>
            <w:tcW w:w="2098" w:type="dxa"/>
          </w:tcPr>
          <w:p w14:paraId="6346DE3D" w14:textId="77777777" w:rsidR="00483ED3" w:rsidRPr="00DE264C" w:rsidRDefault="00483ED3" w:rsidP="00483ED3">
            <w:pPr>
              <w:spacing w:after="120"/>
              <w:rPr>
                <w:rFonts w:eastAsia="Calibri"/>
                <w:noProof/>
              </w:rPr>
            </w:pPr>
          </w:p>
        </w:tc>
        <w:tc>
          <w:tcPr>
            <w:tcW w:w="2608" w:type="dxa"/>
          </w:tcPr>
          <w:p w14:paraId="30C8C50B" w14:textId="77777777" w:rsidR="00483ED3" w:rsidRPr="00DE264C" w:rsidRDefault="00483ED3" w:rsidP="00483ED3">
            <w:pPr>
              <w:spacing w:after="120"/>
              <w:jc w:val="left"/>
              <w:rPr>
                <w:rFonts w:eastAsia="Calibri"/>
                <w:b/>
                <w:noProof/>
                <w:sz w:val="20"/>
                <w:szCs w:val="20"/>
              </w:rPr>
            </w:pPr>
            <w:r w:rsidRPr="00DE264C">
              <w:rPr>
                <w:b/>
                <w:noProof/>
                <w:sz w:val="20"/>
                <w:szCs w:val="20"/>
              </w:rPr>
              <w:t>O1. Soft harmonisation</w:t>
            </w:r>
          </w:p>
        </w:tc>
        <w:tc>
          <w:tcPr>
            <w:tcW w:w="2608" w:type="dxa"/>
          </w:tcPr>
          <w:p w14:paraId="213C0CA4" w14:textId="77777777" w:rsidR="00483ED3" w:rsidRPr="00DE264C" w:rsidRDefault="00483ED3" w:rsidP="00483ED3">
            <w:pPr>
              <w:spacing w:after="120"/>
              <w:jc w:val="left"/>
              <w:rPr>
                <w:rFonts w:eastAsia="Calibri"/>
                <w:b/>
                <w:noProof/>
                <w:sz w:val="20"/>
                <w:szCs w:val="20"/>
              </w:rPr>
            </w:pPr>
            <w:r w:rsidRPr="00DE264C">
              <w:rPr>
                <w:b/>
                <w:noProof/>
                <w:sz w:val="20"/>
                <w:szCs w:val="20"/>
              </w:rPr>
              <w:t>O2. More single market to enhance investment and innovation</w:t>
            </w:r>
          </w:p>
        </w:tc>
        <w:tc>
          <w:tcPr>
            <w:tcW w:w="2608" w:type="dxa"/>
          </w:tcPr>
          <w:p w14:paraId="17BDBAA9" w14:textId="4118EC5B" w:rsidR="00483ED3" w:rsidRPr="00DE264C" w:rsidRDefault="00483ED3" w:rsidP="00483ED3">
            <w:pPr>
              <w:spacing w:after="120"/>
              <w:jc w:val="left"/>
              <w:rPr>
                <w:rFonts w:eastAsia="Calibri"/>
                <w:b/>
                <w:noProof/>
                <w:sz w:val="20"/>
                <w:szCs w:val="20"/>
              </w:rPr>
            </w:pPr>
            <w:r w:rsidRPr="00DE264C">
              <w:rPr>
                <w:b/>
                <w:noProof/>
                <w:sz w:val="20"/>
                <w:szCs w:val="20"/>
              </w:rPr>
              <w:t xml:space="preserve">O3. Strong harmonisation and EU level </w:t>
            </w:r>
            <w:r w:rsidR="00791291">
              <w:rPr>
                <w:b/>
                <w:noProof/>
                <w:sz w:val="20"/>
                <w:szCs w:val="20"/>
              </w:rPr>
              <w:t>awards</w:t>
            </w:r>
          </w:p>
        </w:tc>
      </w:tr>
      <w:tr w:rsidR="00483ED3" w:rsidRPr="00DE264C" w14:paraId="62A1C544" w14:textId="77777777" w:rsidTr="00483ED3">
        <w:tc>
          <w:tcPr>
            <w:tcW w:w="2098" w:type="dxa"/>
          </w:tcPr>
          <w:p w14:paraId="1931346D" w14:textId="74303393" w:rsidR="00483ED3" w:rsidRPr="00DE264C" w:rsidRDefault="00483ED3" w:rsidP="00483ED3">
            <w:pPr>
              <w:spacing w:after="120"/>
              <w:rPr>
                <w:rFonts w:eastAsia="Calibri"/>
                <w:noProof/>
              </w:rPr>
            </w:pPr>
            <w:r w:rsidRPr="00DE264C">
              <w:rPr>
                <w:b/>
                <w:bCs/>
                <w:noProof/>
                <w:sz w:val="20"/>
              </w:rPr>
              <w:t xml:space="preserve">Net Value for Citizens and </w:t>
            </w:r>
            <w:r w:rsidRPr="00DE264C">
              <w:rPr>
                <w:noProof/>
                <w:sz w:val="20"/>
              </w:rPr>
              <w:t>industrial sectors (e.g. verticals)</w:t>
            </w:r>
          </w:p>
        </w:tc>
        <w:tc>
          <w:tcPr>
            <w:tcW w:w="2608" w:type="dxa"/>
          </w:tcPr>
          <w:p w14:paraId="0FB50AC0" w14:textId="77777777" w:rsidR="00483ED3" w:rsidRPr="00DE264C" w:rsidRDefault="00483ED3" w:rsidP="00483ED3">
            <w:pPr>
              <w:spacing w:after="120"/>
              <w:rPr>
                <w:rFonts w:eastAsia="Calibri"/>
                <w:noProof/>
              </w:rPr>
            </w:pPr>
            <w:r w:rsidRPr="00DE264C">
              <w:rPr>
                <w:noProof/>
                <w:sz w:val="20"/>
              </w:rPr>
              <w:t>Positive ++</w:t>
            </w:r>
          </w:p>
        </w:tc>
        <w:tc>
          <w:tcPr>
            <w:tcW w:w="2608" w:type="dxa"/>
          </w:tcPr>
          <w:p w14:paraId="2F6A105D" w14:textId="04CE6553" w:rsidR="00483ED3" w:rsidRPr="00DE264C" w:rsidRDefault="00483ED3" w:rsidP="00483ED3">
            <w:pPr>
              <w:spacing w:after="120"/>
              <w:rPr>
                <w:rFonts w:eastAsia="Calibri"/>
                <w:noProof/>
              </w:rPr>
            </w:pPr>
            <w:r w:rsidRPr="00DE264C">
              <w:rPr>
                <w:noProof/>
                <w:sz w:val="20"/>
              </w:rPr>
              <w:t xml:space="preserve">Positive +++, no additional cost for citizens, but several additional benefits from better quality of </w:t>
            </w:r>
            <w:r w:rsidR="00C212E0">
              <w:rPr>
                <w:noProof/>
                <w:sz w:val="20"/>
              </w:rPr>
              <w:t xml:space="preserve">mobile </w:t>
            </w:r>
            <w:r w:rsidRPr="00DE264C">
              <w:rPr>
                <w:noProof/>
                <w:sz w:val="20"/>
              </w:rPr>
              <w:t>service</w:t>
            </w:r>
            <w:r w:rsidR="00C212E0">
              <w:rPr>
                <w:noProof/>
                <w:sz w:val="20"/>
              </w:rPr>
              <w:t>s</w:t>
            </w:r>
            <w:r w:rsidRPr="00DE264C">
              <w:rPr>
                <w:noProof/>
                <w:sz w:val="20"/>
              </w:rPr>
              <w:t xml:space="preserve"> and increased competitiveness due to use of quality assured services</w:t>
            </w:r>
          </w:p>
        </w:tc>
        <w:tc>
          <w:tcPr>
            <w:tcW w:w="2608" w:type="dxa"/>
          </w:tcPr>
          <w:p w14:paraId="1302847F" w14:textId="77777777" w:rsidR="00483ED3" w:rsidRPr="00DE264C" w:rsidRDefault="00483ED3" w:rsidP="00483ED3">
            <w:pPr>
              <w:spacing w:after="120"/>
              <w:rPr>
                <w:rFonts w:eastAsia="Calibri"/>
                <w:noProof/>
              </w:rPr>
            </w:pPr>
            <w:r w:rsidRPr="00DE264C">
              <w:rPr>
                <w:noProof/>
                <w:sz w:val="20"/>
              </w:rPr>
              <w:t>Positive +++, no additional cost but several additional benefits from better quality of service and increased competitiveness due to use of quality assured services</w:t>
            </w:r>
          </w:p>
        </w:tc>
      </w:tr>
      <w:tr w:rsidR="00483ED3" w:rsidRPr="00DE264C" w14:paraId="3BB73118" w14:textId="77777777" w:rsidTr="00483ED3">
        <w:tc>
          <w:tcPr>
            <w:tcW w:w="2098" w:type="dxa"/>
          </w:tcPr>
          <w:p w14:paraId="7319A654" w14:textId="77777777" w:rsidR="00483ED3" w:rsidRPr="00DE264C" w:rsidRDefault="00483ED3" w:rsidP="00483ED3">
            <w:pPr>
              <w:spacing w:after="120"/>
              <w:rPr>
                <w:rFonts w:eastAsia="Calibri"/>
                <w:noProof/>
              </w:rPr>
            </w:pPr>
            <w:r w:rsidRPr="00DE264C">
              <w:rPr>
                <w:b/>
                <w:bCs/>
                <w:noProof/>
                <w:sz w:val="20"/>
              </w:rPr>
              <w:t>Net Value for Operator</w:t>
            </w:r>
          </w:p>
        </w:tc>
        <w:tc>
          <w:tcPr>
            <w:tcW w:w="2608" w:type="dxa"/>
          </w:tcPr>
          <w:p w14:paraId="3A0EE28C" w14:textId="77777777" w:rsidR="00483ED3" w:rsidRPr="00DE264C" w:rsidRDefault="00483ED3" w:rsidP="00483ED3">
            <w:pPr>
              <w:spacing w:after="120"/>
              <w:rPr>
                <w:rFonts w:eastAsia="Calibri"/>
                <w:noProof/>
              </w:rPr>
            </w:pPr>
            <w:r w:rsidRPr="00DE264C">
              <w:rPr>
                <w:noProof/>
                <w:sz w:val="20"/>
              </w:rPr>
              <w:t>+ the benefits outweigh the costs for operators</w:t>
            </w:r>
          </w:p>
        </w:tc>
        <w:tc>
          <w:tcPr>
            <w:tcW w:w="2608" w:type="dxa"/>
          </w:tcPr>
          <w:p w14:paraId="6815DC6A" w14:textId="77777777" w:rsidR="00483ED3" w:rsidRPr="00DE264C" w:rsidRDefault="00483ED3" w:rsidP="00483ED3">
            <w:pPr>
              <w:spacing w:after="120"/>
              <w:rPr>
                <w:rFonts w:eastAsia="Calibri"/>
                <w:noProof/>
              </w:rPr>
            </w:pPr>
            <w:r w:rsidRPr="00DE264C">
              <w:rPr>
                <w:noProof/>
                <w:sz w:val="20"/>
              </w:rPr>
              <w:t>+++ the benefits largely outweigh the costs for operators</w:t>
            </w:r>
          </w:p>
        </w:tc>
        <w:tc>
          <w:tcPr>
            <w:tcW w:w="2608" w:type="dxa"/>
          </w:tcPr>
          <w:p w14:paraId="29B5BA42" w14:textId="77777777" w:rsidR="00483ED3" w:rsidRPr="00DE264C" w:rsidRDefault="00483ED3" w:rsidP="00483ED3">
            <w:pPr>
              <w:spacing w:after="120"/>
              <w:rPr>
                <w:rFonts w:eastAsia="Calibri"/>
                <w:noProof/>
              </w:rPr>
            </w:pPr>
            <w:r w:rsidRPr="00DE264C">
              <w:rPr>
                <w:noProof/>
                <w:sz w:val="20"/>
              </w:rPr>
              <w:t>++ the benefits largely outweigh the costs for main operators</w:t>
            </w:r>
          </w:p>
        </w:tc>
      </w:tr>
    </w:tbl>
    <w:p w14:paraId="63C6AE9B" w14:textId="188E637C" w:rsidR="00241578" w:rsidRPr="00DE264C" w:rsidRDefault="0082064D" w:rsidP="00DE7CC1">
      <w:pPr>
        <w:spacing w:before="240" w:line="240" w:lineRule="auto"/>
        <w:rPr>
          <w:rFonts w:eastAsia="Calibri"/>
          <w:noProof/>
        </w:rPr>
      </w:pPr>
      <w:r w:rsidRPr="00DE264C">
        <w:rPr>
          <w:rFonts w:eastAsia="Calibri"/>
          <w:noProof/>
        </w:rPr>
        <w:t xml:space="preserve">The table below shows comparison of the options in terms of effectiveness, efficiency, coherence and EU added value. </w:t>
      </w:r>
      <w:r w:rsidR="009223B1" w:rsidRPr="00DE264C">
        <w:rPr>
          <w:rFonts w:eastAsia="Calibri"/>
          <w:noProof/>
        </w:rPr>
        <w:t>Based on this assessment</w:t>
      </w:r>
      <w:r w:rsidR="0052236B">
        <w:rPr>
          <w:rFonts w:eastAsia="Calibri"/>
          <w:noProof/>
        </w:rPr>
        <w:t>,</w:t>
      </w:r>
      <w:r w:rsidR="009223B1" w:rsidRPr="00DE264C">
        <w:rPr>
          <w:rFonts w:eastAsia="Calibri"/>
          <w:noProof/>
        </w:rPr>
        <w:t xml:space="preserve"> </w:t>
      </w:r>
      <w:r w:rsidR="00C65E25">
        <w:rPr>
          <w:rFonts w:eastAsia="Calibri"/>
          <w:noProof/>
        </w:rPr>
        <w:t>o</w:t>
      </w:r>
      <w:r w:rsidR="0052236B" w:rsidRPr="00DE264C">
        <w:rPr>
          <w:rFonts w:eastAsia="Calibri"/>
          <w:noProof/>
        </w:rPr>
        <w:t xml:space="preserve">ption </w:t>
      </w:r>
      <w:r w:rsidR="009223B1" w:rsidRPr="00DE264C">
        <w:rPr>
          <w:rFonts w:eastAsia="Calibri"/>
          <w:noProof/>
        </w:rPr>
        <w:t>2 is considered to be the preferred option.</w:t>
      </w:r>
    </w:p>
    <w:p w14:paraId="34467554" w14:textId="01987BC1" w:rsidR="00D576B1" w:rsidRPr="00BF50BF" w:rsidRDefault="00D576B1" w:rsidP="00D576B1">
      <w:pPr>
        <w:pStyle w:val="Caption"/>
        <w:keepNext/>
        <w:rPr>
          <w:noProof/>
          <w:color w:val="auto"/>
          <w:sz w:val="24"/>
          <w:szCs w:val="24"/>
          <w:u w:val="single"/>
        </w:rPr>
      </w:pPr>
      <w:r w:rsidRPr="00BF50BF">
        <w:rPr>
          <w:noProof/>
          <w:color w:val="auto"/>
          <w:sz w:val="24"/>
          <w:szCs w:val="24"/>
          <w:u w:val="single"/>
        </w:rPr>
        <w:t xml:space="preserve">Table </w:t>
      </w:r>
      <w:r w:rsidR="006444A4" w:rsidRPr="00BF50BF">
        <w:rPr>
          <w:noProof/>
          <w:color w:val="auto"/>
          <w:sz w:val="24"/>
          <w:szCs w:val="24"/>
          <w:u w:val="single"/>
        </w:rPr>
        <w:t>2</w:t>
      </w:r>
      <w:r w:rsidR="00CB62D4">
        <w:rPr>
          <w:noProof/>
          <w:color w:val="auto"/>
          <w:sz w:val="24"/>
          <w:szCs w:val="24"/>
          <w:u w:val="single"/>
        </w:rPr>
        <w:t>7</w:t>
      </w:r>
      <w:r w:rsidRPr="00BF50BF">
        <w:rPr>
          <w:noProof/>
          <w:color w:val="auto"/>
          <w:sz w:val="24"/>
          <w:szCs w:val="24"/>
          <w:u w:val="single"/>
        </w:rPr>
        <w:t xml:space="preserve">: Summary assessment of policy options – </w:t>
      </w:r>
      <w:r w:rsidR="00981547" w:rsidRPr="00BF50BF">
        <w:rPr>
          <w:noProof/>
          <w:color w:val="auto"/>
          <w:sz w:val="24"/>
          <w:szCs w:val="24"/>
          <w:u w:val="single"/>
        </w:rPr>
        <w:t>spectrum</w:t>
      </w:r>
      <w:r w:rsidR="00CE37B9" w:rsidRPr="00BF50BF">
        <w:rPr>
          <w:noProof/>
          <w:color w:val="auto"/>
          <w:sz w:val="24"/>
          <w:szCs w:val="24"/>
          <w:u w:val="single"/>
        </w:rPr>
        <w:t xml:space="preserve"> </w:t>
      </w:r>
      <w:r w:rsidR="00981547" w:rsidRPr="00BF50BF">
        <w:rPr>
          <w:noProof/>
          <w:color w:val="auto"/>
          <w:sz w:val="24"/>
          <w:szCs w:val="24"/>
          <w:u w:val="single"/>
        </w:rPr>
        <w:t xml:space="preserve">high quality </w:t>
      </w:r>
      <w:r w:rsidR="006A7BF3" w:rsidRPr="00BF50BF">
        <w:rPr>
          <w:noProof/>
          <w:color w:val="auto"/>
          <w:sz w:val="24"/>
          <w:szCs w:val="24"/>
          <w:u w:val="single"/>
        </w:rPr>
        <w:t xml:space="preserve">mobile </w:t>
      </w:r>
      <w:r w:rsidR="00981547" w:rsidRPr="00BF50BF">
        <w:rPr>
          <w:noProof/>
          <w:color w:val="auto"/>
          <w:sz w:val="24"/>
          <w:szCs w:val="24"/>
          <w:u w:val="single"/>
        </w:rPr>
        <w:t>networks</w:t>
      </w:r>
    </w:p>
    <w:tbl>
      <w:tblPr>
        <w:tblStyle w:val="Table-standardEY"/>
        <w:tblW w:w="9038" w:type="dxa"/>
        <w:tblInd w:w="-103"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931"/>
        <w:gridCol w:w="1532"/>
        <w:gridCol w:w="1532"/>
        <w:gridCol w:w="1532"/>
        <w:gridCol w:w="2511"/>
      </w:tblGrid>
      <w:tr w:rsidR="003C3291" w:rsidRPr="00DE264C" w14:paraId="56502F2A" w14:textId="77777777" w:rsidTr="00164278">
        <w:trPr>
          <w:cnfStyle w:val="100000000000" w:firstRow="1" w:lastRow="0" w:firstColumn="0" w:lastColumn="0" w:oddVBand="0" w:evenVBand="0" w:oddHBand="0" w:evenHBand="0" w:firstRowFirstColumn="0" w:firstRowLastColumn="0" w:lastRowFirstColumn="0" w:lastRowLastColumn="0"/>
        </w:trPr>
        <w:tc>
          <w:tcPr>
            <w:tcW w:w="1931" w:type="dxa"/>
          </w:tcPr>
          <w:p w14:paraId="0E0FE3DF"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Criterion</w:t>
            </w:r>
          </w:p>
        </w:tc>
        <w:tc>
          <w:tcPr>
            <w:tcW w:w="1532" w:type="dxa"/>
          </w:tcPr>
          <w:p w14:paraId="12A59903"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Baseline</w:t>
            </w:r>
          </w:p>
        </w:tc>
        <w:tc>
          <w:tcPr>
            <w:tcW w:w="1532" w:type="dxa"/>
          </w:tcPr>
          <w:p w14:paraId="75EBC800"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Option 1</w:t>
            </w:r>
          </w:p>
        </w:tc>
        <w:tc>
          <w:tcPr>
            <w:tcW w:w="1532" w:type="dxa"/>
          </w:tcPr>
          <w:p w14:paraId="7164A5E0"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Option 2</w:t>
            </w:r>
          </w:p>
        </w:tc>
        <w:tc>
          <w:tcPr>
            <w:tcW w:w="2511" w:type="dxa"/>
          </w:tcPr>
          <w:p w14:paraId="3D3C8892"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Option 3</w:t>
            </w:r>
          </w:p>
        </w:tc>
      </w:tr>
      <w:tr w:rsidR="00EF7785" w:rsidRPr="00DE264C" w14:paraId="7A2D59B2" w14:textId="77777777" w:rsidTr="00164278">
        <w:tc>
          <w:tcPr>
            <w:tcW w:w="1931" w:type="dxa"/>
          </w:tcPr>
          <w:p w14:paraId="5D2E4E33"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Effectiveness</w:t>
            </w:r>
          </w:p>
        </w:tc>
        <w:tc>
          <w:tcPr>
            <w:tcW w:w="1532" w:type="dxa"/>
          </w:tcPr>
          <w:p w14:paraId="547AE29A"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w:t>
            </w:r>
          </w:p>
        </w:tc>
        <w:tc>
          <w:tcPr>
            <w:tcW w:w="1532" w:type="dxa"/>
          </w:tcPr>
          <w:p w14:paraId="09541341"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w:t>
            </w:r>
          </w:p>
        </w:tc>
        <w:tc>
          <w:tcPr>
            <w:tcW w:w="1532" w:type="dxa"/>
            <w:shd w:val="clear" w:color="auto" w:fill="FFC000"/>
          </w:tcPr>
          <w:p w14:paraId="797347E7"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w:t>
            </w:r>
          </w:p>
        </w:tc>
        <w:tc>
          <w:tcPr>
            <w:tcW w:w="2511" w:type="dxa"/>
          </w:tcPr>
          <w:p w14:paraId="569A57F6"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w:t>
            </w:r>
          </w:p>
        </w:tc>
      </w:tr>
      <w:tr w:rsidR="00EF7785" w:rsidRPr="00DE264C" w14:paraId="7FF0DD9A" w14:textId="77777777" w:rsidTr="00164278">
        <w:tc>
          <w:tcPr>
            <w:tcW w:w="1931" w:type="dxa"/>
          </w:tcPr>
          <w:p w14:paraId="38D6FFFE"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Efficiency</w:t>
            </w:r>
          </w:p>
        </w:tc>
        <w:tc>
          <w:tcPr>
            <w:tcW w:w="1532" w:type="dxa"/>
          </w:tcPr>
          <w:p w14:paraId="2B2796B4"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w:t>
            </w:r>
          </w:p>
        </w:tc>
        <w:tc>
          <w:tcPr>
            <w:tcW w:w="1532" w:type="dxa"/>
          </w:tcPr>
          <w:p w14:paraId="28CD52A8"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w:t>
            </w:r>
          </w:p>
        </w:tc>
        <w:tc>
          <w:tcPr>
            <w:tcW w:w="1532" w:type="dxa"/>
            <w:shd w:val="clear" w:color="auto" w:fill="FFC000"/>
          </w:tcPr>
          <w:p w14:paraId="67E8B3A5" w14:textId="4DCE7AA3" w:rsidR="00D576B1" w:rsidRPr="00C1125B" w:rsidRDefault="00D576B1">
            <w:pPr>
              <w:pStyle w:val="EYBodytextwithparaspace"/>
              <w:rPr>
                <w:rFonts w:ascii="Times New Roman" w:hAnsi="Times New Roman"/>
                <w:noProof/>
              </w:rPr>
            </w:pPr>
            <w:r w:rsidRPr="00C1125B">
              <w:rPr>
                <w:rFonts w:ascii="Times New Roman" w:hAnsi="Times New Roman"/>
                <w:noProof/>
              </w:rPr>
              <w:t>++</w:t>
            </w:r>
            <w:r w:rsidR="00B12199" w:rsidRPr="00C1125B">
              <w:rPr>
                <w:rFonts w:ascii="Times New Roman" w:hAnsi="Times New Roman"/>
                <w:noProof/>
              </w:rPr>
              <w:t>+</w:t>
            </w:r>
          </w:p>
        </w:tc>
        <w:tc>
          <w:tcPr>
            <w:tcW w:w="2511" w:type="dxa"/>
          </w:tcPr>
          <w:p w14:paraId="6540BF1E" w14:textId="35A2444D" w:rsidR="00D576B1" w:rsidRPr="00C1125B" w:rsidRDefault="00D576B1">
            <w:pPr>
              <w:pStyle w:val="EYBodytextwithparaspace"/>
              <w:rPr>
                <w:rFonts w:ascii="Times New Roman" w:hAnsi="Times New Roman"/>
                <w:noProof/>
              </w:rPr>
            </w:pPr>
            <w:r w:rsidRPr="00C1125B">
              <w:rPr>
                <w:rFonts w:ascii="Times New Roman" w:hAnsi="Times New Roman"/>
                <w:noProof/>
              </w:rPr>
              <w:t>++</w:t>
            </w:r>
          </w:p>
        </w:tc>
      </w:tr>
      <w:tr w:rsidR="00EF7785" w:rsidRPr="00DE264C" w14:paraId="2281B60A" w14:textId="77777777" w:rsidTr="00164278">
        <w:tc>
          <w:tcPr>
            <w:tcW w:w="1931" w:type="dxa"/>
          </w:tcPr>
          <w:p w14:paraId="567258E0"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Coherence</w:t>
            </w:r>
          </w:p>
        </w:tc>
        <w:tc>
          <w:tcPr>
            <w:tcW w:w="1532" w:type="dxa"/>
          </w:tcPr>
          <w:p w14:paraId="7BC873FF"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0</w:t>
            </w:r>
          </w:p>
        </w:tc>
        <w:tc>
          <w:tcPr>
            <w:tcW w:w="1532" w:type="dxa"/>
          </w:tcPr>
          <w:p w14:paraId="5416E9AF"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w:t>
            </w:r>
          </w:p>
        </w:tc>
        <w:tc>
          <w:tcPr>
            <w:tcW w:w="1532" w:type="dxa"/>
            <w:shd w:val="clear" w:color="auto" w:fill="FFC000"/>
          </w:tcPr>
          <w:p w14:paraId="0E0FB5B8"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w:t>
            </w:r>
          </w:p>
        </w:tc>
        <w:tc>
          <w:tcPr>
            <w:tcW w:w="2511" w:type="dxa"/>
          </w:tcPr>
          <w:p w14:paraId="0BBB10D7"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w:t>
            </w:r>
          </w:p>
        </w:tc>
      </w:tr>
      <w:tr w:rsidR="00EF7785" w:rsidRPr="00DE264C" w14:paraId="0F50E9D5" w14:textId="77777777" w:rsidTr="00164278">
        <w:tc>
          <w:tcPr>
            <w:tcW w:w="1931" w:type="dxa"/>
          </w:tcPr>
          <w:p w14:paraId="65315E5E"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 xml:space="preserve">Relevance </w:t>
            </w:r>
          </w:p>
        </w:tc>
        <w:tc>
          <w:tcPr>
            <w:tcW w:w="1532" w:type="dxa"/>
          </w:tcPr>
          <w:p w14:paraId="31FE39F4"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w:t>
            </w:r>
          </w:p>
        </w:tc>
        <w:tc>
          <w:tcPr>
            <w:tcW w:w="1532" w:type="dxa"/>
          </w:tcPr>
          <w:p w14:paraId="01021E82"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w:t>
            </w:r>
          </w:p>
        </w:tc>
        <w:tc>
          <w:tcPr>
            <w:tcW w:w="1532" w:type="dxa"/>
            <w:shd w:val="clear" w:color="auto" w:fill="FFC000"/>
          </w:tcPr>
          <w:p w14:paraId="49592509"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w:t>
            </w:r>
          </w:p>
        </w:tc>
        <w:tc>
          <w:tcPr>
            <w:tcW w:w="2511" w:type="dxa"/>
          </w:tcPr>
          <w:p w14:paraId="7BEEB2DE"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w:t>
            </w:r>
          </w:p>
        </w:tc>
      </w:tr>
      <w:tr w:rsidR="00EF7785" w:rsidRPr="00DE264C" w14:paraId="059F3131" w14:textId="77777777" w:rsidTr="00164278">
        <w:tc>
          <w:tcPr>
            <w:tcW w:w="1931" w:type="dxa"/>
          </w:tcPr>
          <w:p w14:paraId="2E275B89" w14:textId="708DFF65" w:rsidR="00D576B1" w:rsidRPr="00C1125B" w:rsidRDefault="00D576B1">
            <w:pPr>
              <w:pStyle w:val="EYBodytextwithparaspace"/>
              <w:rPr>
                <w:rFonts w:ascii="Times New Roman" w:hAnsi="Times New Roman"/>
                <w:noProof/>
              </w:rPr>
            </w:pPr>
            <w:r w:rsidRPr="00C1125B">
              <w:rPr>
                <w:rFonts w:ascii="Times New Roman" w:hAnsi="Times New Roman"/>
                <w:noProof/>
              </w:rPr>
              <w:t>EU added value</w:t>
            </w:r>
          </w:p>
        </w:tc>
        <w:tc>
          <w:tcPr>
            <w:tcW w:w="1532" w:type="dxa"/>
          </w:tcPr>
          <w:p w14:paraId="36EF515D"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0</w:t>
            </w:r>
          </w:p>
        </w:tc>
        <w:tc>
          <w:tcPr>
            <w:tcW w:w="1532" w:type="dxa"/>
          </w:tcPr>
          <w:p w14:paraId="16113847"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w:t>
            </w:r>
          </w:p>
        </w:tc>
        <w:tc>
          <w:tcPr>
            <w:tcW w:w="1532" w:type="dxa"/>
            <w:shd w:val="clear" w:color="auto" w:fill="FFC000"/>
          </w:tcPr>
          <w:p w14:paraId="2DA8A6F4" w14:textId="77777777" w:rsidR="00D576B1" w:rsidRPr="00C1125B" w:rsidRDefault="00D576B1">
            <w:pPr>
              <w:pStyle w:val="EYBodytextwithparaspace"/>
              <w:rPr>
                <w:rFonts w:ascii="Times New Roman" w:hAnsi="Times New Roman"/>
                <w:noProof/>
              </w:rPr>
            </w:pPr>
            <w:r w:rsidRPr="00C1125B">
              <w:rPr>
                <w:rFonts w:ascii="Times New Roman" w:hAnsi="Times New Roman"/>
                <w:noProof/>
              </w:rPr>
              <w:t>++</w:t>
            </w:r>
          </w:p>
        </w:tc>
        <w:tc>
          <w:tcPr>
            <w:tcW w:w="2511" w:type="dxa"/>
          </w:tcPr>
          <w:p w14:paraId="3A19AA18" w14:textId="53182882" w:rsidR="00D576B1" w:rsidRPr="00C1125B" w:rsidRDefault="00D576B1">
            <w:pPr>
              <w:pStyle w:val="EYBodytextwithparaspace"/>
              <w:rPr>
                <w:rFonts w:ascii="Times New Roman" w:hAnsi="Times New Roman"/>
                <w:noProof/>
              </w:rPr>
            </w:pPr>
            <w:r w:rsidRPr="00C1125B">
              <w:rPr>
                <w:rFonts w:ascii="Times New Roman" w:hAnsi="Times New Roman"/>
                <w:noProof/>
              </w:rPr>
              <w:t>++</w:t>
            </w:r>
          </w:p>
        </w:tc>
      </w:tr>
    </w:tbl>
    <w:p w14:paraId="08836A0E" w14:textId="5A521098" w:rsidR="00181228" w:rsidRPr="00DE264C" w:rsidRDefault="0039568C" w:rsidP="00971121">
      <w:pPr>
        <w:pStyle w:val="Heading2"/>
        <w:spacing w:before="360"/>
        <w:ind w:left="1202"/>
        <w:rPr>
          <w:noProof/>
        </w:rPr>
      </w:pPr>
      <w:bookmarkStart w:id="386" w:name="_Toc214467753"/>
      <w:bookmarkStart w:id="387" w:name="_Toc215083775"/>
      <w:bookmarkStart w:id="388" w:name="_Toc215083805"/>
      <w:bookmarkStart w:id="389" w:name="_Toc219212541"/>
      <w:bookmarkStart w:id="390" w:name="_Toc219718196"/>
      <w:r w:rsidRPr="00DE264C">
        <w:rPr>
          <w:noProof/>
        </w:rPr>
        <w:t>A</w:t>
      </w:r>
      <w:r w:rsidR="00FA521A" w:rsidRPr="00DE264C">
        <w:rPr>
          <w:noProof/>
        </w:rPr>
        <w:t>uthorisation</w:t>
      </w:r>
      <w:bookmarkEnd w:id="386"/>
      <w:bookmarkEnd w:id="387"/>
      <w:bookmarkEnd w:id="388"/>
      <w:bookmarkEnd w:id="389"/>
      <w:bookmarkEnd w:id="390"/>
    </w:p>
    <w:p w14:paraId="4B073E62" w14:textId="7BDA693F" w:rsidR="005868AE" w:rsidRPr="00DE264C" w:rsidRDefault="001353B7" w:rsidP="00DE7CC1">
      <w:pPr>
        <w:spacing w:line="240" w:lineRule="auto"/>
        <w:rPr>
          <w:b/>
          <w:noProof/>
          <w:u w:val="single"/>
        </w:rPr>
      </w:pPr>
      <w:r w:rsidRPr="00DE264C">
        <w:rPr>
          <w:b/>
          <w:noProof/>
          <w:u w:val="single"/>
        </w:rPr>
        <w:t>Effectiveness</w:t>
      </w:r>
    </w:p>
    <w:p w14:paraId="261F4D2B" w14:textId="77777777" w:rsidR="008B33A1" w:rsidRPr="00DE264C" w:rsidRDefault="004E5E8B" w:rsidP="00DE7CC1">
      <w:pPr>
        <w:spacing w:line="240" w:lineRule="auto"/>
        <w:rPr>
          <w:b/>
          <w:bCs/>
          <w:noProof/>
        </w:rPr>
      </w:pPr>
      <w:r w:rsidRPr="00DE264C">
        <w:rPr>
          <w:noProof/>
        </w:rPr>
        <w:t xml:space="preserve">The </w:t>
      </w:r>
      <w:r w:rsidRPr="00DE264C">
        <w:rPr>
          <w:b/>
          <w:noProof/>
        </w:rPr>
        <w:t>baseline scenario</w:t>
      </w:r>
      <w:r w:rsidRPr="00DE264C">
        <w:rPr>
          <w:noProof/>
        </w:rPr>
        <w:t xml:space="preserve"> is not effective in achieving the stipulated objectives, as it does not allow reducing the costs of compliance nor removing obsolete/simplifying complex provisions.</w:t>
      </w:r>
      <w:r w:rsidR="001353B7" w:rsidRPr="00DE264C">
        <w:rPr>
          <w:b/>
          <w:bCs/>
          <w:noProof/>
        </w:rPr>
        <w:t xml:space="preserve"> </w:t>
      </w:r>
    </w:p>
    <w:p w14:paraId="76E4C115" w14:textId="67ACFE1A" w:rsidR="008B33A1" w:rsidRPr="00DE264C" w:rsidRDefault="001353B7" w:rsidP="00DE7CC1">
      <w:pPr>
        <w:spacing w:line="240" w:lineRule="auto"/>
        <w:rPr>
          <w:rFonts w:eastAsia="Times New Roman"/>
          <w:noProof/>
        </w:rPr>
      </w:pPr>
      <w:r w:rsidRPr="00DE264C">
        <w:rPr>
          <w:b/>
          <w:bCs/>
          <w:noProof/>
        </w:rPr>
        <w:t>Option 1</w:t>
      </w:r>
      <w:r w:rsidRPr="00DE264C">
        <w:rPr>
          <w:noProof/>
        </w:rPr>
        <w:t xml:space="preserve"> moderately simplifies and reduces fragmentation. </w:t>
      </w:r>
      <w:r w:rsidRPr="00DE264C">
        <w:rPr>
          <w:rFonts w:eastAsia="Times New Roman"/>
          <w:noProof/>
        </w:rPr>
        <w:t xml:space="preserve">For </w:t>
      </w:r>
      <w:r w:rsidRPr="00DE264C">
        <w:rPr>
          <w:rFonts w:eastAsia="Times New Roman"/>
          <w:b/>
          <w:bCs/>
          <w:noProof/>
        </w:rPr>
        <w:t>cross-border services</w:t>
      </w:r>
      <w:r w:rsidRPr="00DE264C">
        <w:rPr>
          <w:rFonts w:eastAsia="Times New Roman"/>
          <w:noProof/>
        </w:rPr>
        <w:t xml:space="preserve">, like satellite and B2B, </w:t>
      </w:r>
      <w:r w:rsidRPr="00DE264C">
        <w:rPr>
          <w:noProof/>
        </w:rPr>
        <w:t>it</w:t>
      </w:r>
      <w:r w:rsidRPr="00DE264C">
        <w:rPr>
          <w:rFonts w:eastAsia="Times New Roman"/>
          <w:noProof/>
        </w:rPr>
        <w:t xml:space="preserve"> moderately improves effectiveness through a </w:t>
      </w:r>
      <w:r w:rsidRPr="00DE264C">
        <w:rPr>
          <w:b/>
          <w:bCs/>
          <w:noProof/>
        </w:rPr>
        <w:t>one-stop shop</w:t>
      </w:r>
      <w:r w:rsidRPr="00DE264C">
        <w:rPr>
          <w:noProof/>
        </w:rPr>
        <w:t xml:space="preserve"> </w:t>
      </w:r>
      <w:r w:rsidRPr="00DE264C">
        <w:rPr>
          <w:b/>
          <w:bCs/>
          <w:noProof/>
        </w:rPr>
        <w:t xml:space="preserve">notification system </w:t>
      </w:r>
      <w:r w:rsidRPr="00DE264C">
        <w:rPr>
          <w:noProof/>
        </w:rPr>
        <w:t>coordinated by the BEREC Office. However, it does not fully address fragmentation e.g. on cybersecurity, lawful interception, data retention, administrative charges, and emergency communications. I</w:t>
      </w:r>
      <w:r w:rsidRPr="00DE264C">
        <w:rPr>
          <w:rFonts w:eastAsia="Times New Roman"/>
          <w:noProof/>
        </w:rPr>
        <w:t xml:space="preserve">t preserves national decision-making, </w:t>
      </w:r>
      <w:r w:rsidRPr="00DE264C">
        <w:rPr>
          <w:noProof/>
        </w:rPr>
        <w:t>but</w:t>
      </w:r>
      <w:r w:rsidRPr="00DE264C">
        <w:rPr>
          <w:rFonts w:eastAsia="Times New Roman"/>
          <w:noProof/>
        </w:rPr>
        <w:t xml:space="preserve"> promot</w:t>
      </w:r>
      <w:r w:rsidRPr="00DE264C">
        <w:rPr>
          <w:noProof/>
        </w:rPr>
        <w:t>es</w:t>
      </w:r>
      <w:r w:rsidRPr="00DE264C">
        <w:rPr>
          <w:rFonts w:eastAsia="Times New Roman"/>
          <w:noProof/>
        </w:rPr>
        <w:t xml:space="preserve"> convergence in satellite authorisation conditions</w:t>
      </w:r>
      <w:r w:rsidR="00FB512E" w:rsidRPr="00DE264C">
        <w:rPr>
          <w:rFonts w:eastAsia="Times New Roman"/>
          <w:noProof/>
        </w:rPr>
        <w:t xml:space="preserve"> </w:t>
      </w:r>
      <w:r w:rsidR="00FF5603">
        <w:rPr>
          <w:rFonts w:eastAsia="Times New Roman"/>
          <w:noProof/>
        </w:rPr>
        <w:t>and</w:t>
      </w:r>
      <w:r w:rsidR="00FC7D3F">
        <w:rPr>
          <w:rFonts w:eastAsia="Times New Roman"/>
          <w:noProof/>
        </w:rPr>
        <w:t xml:space="preserve"> also</w:t>
      </w:r>
      <w:r w:rsidR="00FF5603" w:rsidRPr="00DE264C">
        <w:rPr>
          <w:rFonts w:eastAsia="Times New Roman"/>
          <w:noProof/>
        </w:rPr>
        <w:t xml:space="preserve"> </w:t>
      </w:r>
      <w:r w:rsidR="00465F5E">
        <w:rPr>
          <w:rFonts w:eastAsia="Times New Roman"/>
          <w:noProof/>
        </w:rPr>
        <w:t>in</w:t>
      </w:r>
      <w:r w:rsidR="00465F5E" w:rsidRPr="00DE264C">
        <w:rPr>
          <w:rFonts w:eastAsia="Times New Roman"/>
          <w:noProof/>
        </w:rPr>
        <w:t xml:space="preserve">cludes </w:t>
      </w:r>
      <w:r w:rsidR="00FB512E" w:rsidRPr="00DE264C">
        <w:rPr>
          <w:rFonts w:eastAsia="Times New Roman"/>
          <w:noProof/>
        </w:rPr>
        <w:t>costly reporting obligations</w:t>
      </w:r>
      <w:r w:rsidRPr="00DE264C">
        <w:rPr>
          <w:noProof/>
        </w:rPr>
        <w:t>. The</w:t>
      </w:r>
      <w:r w:rsidRPr="00DE264C">
        <w:rPr>
          <w:rFonts w:eastAsia="Times New Roman"/>
          <w:noProof/>
        </w:rPr>
        <w:t xml:space="preserve"> EU-level satellite selection mechanism </w:t>
      </w:r>
      <w:r w:rsidRPr="00DE264C">
        <w:rPr>
          <w:noProof/>
        </w:rPr>
        <w:t>supports scale, certainty for pan-European satellite operators, eases spectrum access and market entry.</w:t>
      </w:r>
      <w:r w:rsidRPr="00DE264C">
        <w:rPr>
          <w:rFonts w:eastAsia="Times New Roman"/>
          <w:noProof/>
        </w:rPr>
        <w:t xml:space="preserve"> </w:t>
      </w:r>
    </w:p>
    <w:p w14:paraId="14476D69" w14:textId="07A544C9" w:rsidR="000179F8" w:rsidRPr="00DE264C" w:rsidRDefault="001353B7" w:rsidP="00DE7CC1">
      <w:pPr>
        <w:spacing w:line="240" w:lineRule="auto"/>
        <w:rPr>
          <w:noProof/>
        </w:rPr>
      </w:pPr>
      <w:r w:rsidRPr="00DE264C">
        <w:rPr>
          <w:b/>
          <w:noProof/>
        </w:rPr>
        <w:t>Option 2</w:t>
      </w:r>
      <w:r w:rsidRPr="00DE264C">
        <w:rPr>
          <w:noProof/>
        </w:rPr>
        <w:t xml:space="preserve"> </w:t>
      </w:r>
      <w:r w:rsidR="008009C6" w:rsidRPr="00DE264C">
        <w:rPr>
          <w:noProof/>
        </w:rPr>
        <w:t xml:space="preserve">improves </w:t>
      </w:r>
      <w:r w:rsidRPr="00DE264C">
        <w:rPr>
          <w:noProof/>
        </w:rPr>
        <w:t xml:space="preserve">compliance </w:t>
      </w:r>
      <w:r w:rsidR="008009C6" w:rsidRPr="00DE264C">
        <w:rPr>
          <w:noProof/>
        </w:rPr>
        <w:t>with all authorisation conditions (through coordination mechanism)</w:t>
      </w:r>
      <w:r w:rsidRPr="00DE264C">
        <w:rPr>
          <w:noProof/>
        </w:rPr>
        <w:t xml:space="preserve"> and removes excessive national </w:t>
      </w:r>
      <w:r w:rsidR="56930B0A">
        <w:rPr>
          <w:noProof/>
        </w:rPr>
        <w:t xml:space="preserve">authorisation </w:t>
      </w:r>
      <w:r w:rsidR="742A1E9A" w:rsidRPr="00DE264C">
        <w:rPr>
          <w:noProof/>
        </w:rPr>
        <w:t>requirements</w:t>
      </w:r>
      <w:r w:rsidR="008009C6" w:rsidRPr="00DE264C">
        <w:rPr>
          <w:noProof/>
        </w:rPr>
        <w:t xml:space="preserve"> as they would be embedded in the EU regulation as fixed and exhaustive list of conditions</w:t>
      </w:r>
      <w:r w:rsidR="742A1E9A" w:rsidRPr="00DE264C">
        <w:rPr>
          <w:noProof/>
        </w:rPr>
        <w:t>.</w:t>
      </w:r>
      <w:r w:rsidRPr="00DE264C">
        <w:rPr>
          <w:noProof/>
        </w:rPr>
        <w:t xml:space="preserve"> </w:t>
      </w:r>
      <w:r w:rsidR="0057099F" w:rsidRPr="00DE264C">
        <w:rPr>
          <w:noProof/>
        </w:rPr>
        <w:t>It</w:t>
      </w:r>
      <w:r w:rsidRPr="00DE264C">
        <w:rPr>
          <w:noProof/>
        </w:rPr>
        <w:t xml:space="preserve"> centralis</w:t>
      </w:r>
      <w:r w:rsidR="0057099F" w:rsidRPr="00DE264C">
        <w:rPr>
          <w:noProof/>
        </w:rPr>
        <w:t>es</w:t>
      </w:r>
      <w:r w:rsidRPr="00DE264C">
        <w:rPr>
          <w:noProof/>
        </w:rPr>
        <w:t xml:space="preserve"> the </w:t>
      </w:r>
      <w:r w:rsidR="003B7988" w:rsidRPr="00DE264C">
        <w:rPr>
          <w:noProof/>
        </w:rPr>
        <w:t xml:space="preserve">selection, </w:t>
      </w:r>
      <w:r w:rsidRPr="00DE264C">
        <w:rPr>
          <w:noProof/>
        </w:rPr>
        <w:t>assignment and authorisation for satellite spectrum entirely at EU level and offers the highest level of effectiveness</w:t>
      </w:r>
      <w:r w:rsidR="007F1C54" w:rsidRPr="00DE264C">
        <w:rPr>
          <w:noProof/>
        </w:rPr>
        <w:t>,</w:t>
      </w:r>
      <w:r w:rsidRPr="00DE264C">
        <w:rPr>
          <w:noProof/>
        </w:rPr>
        <w:t xml:space="preserve"> considerably simplifying satellite authorisations </w:t>
      </w:r>
      <w:r w:rsidR="00F42ED1" w:rsidRPr="00DE264C">
        <w:rPr>
          <w:noProof/>
        </w:rPr>
        <w:t xml:space="preserve">and </w:t>
      </w:r>
      <w:r w:rsidRPr="00DE264C">
        <w:rPr>
          <w:noProof/>
        </w:rPr>
        <w:t xml:space="preserve">avoiding duplications. This reduces the burden for </w:t>
      </w:r>
      <w:r w:rsidR="00F42ED1" w:rsidRPr="00DE264C">
        <w:rPr>
          <w:noProof/>
        </w:rPr>
        <w:t xml:space="preserve">providers </w:t>
      </w:r>
      <w:r w:rsidRPr="00DE264C">
        <w:rPr>
          <w:noProof/>
        </w:rPr>
        <w:t>and national competent authorities and maximises predictability for operators</w:t>
      </w:r>
      <w:r w:rsidR="0089166D" w:rsidRPr="00DE264C">
        <w:rPr>
          <w:noProof/>
        </w:rPr>
        <w:t xml:space="preserve"> ensuring </w:t>
      </w:r>
      <w:r w:rsidR="00FF489F" w:rsidRPr="00DE264C">
        <w:rPr>
          <w:noProof/>
        </w:rPr>
        <w:t xml:space="preserve">spectrum </w:t>
      </w:r>
      <w:r w:rsidR="003100C1" w:rsidRPr="00DE264C">
        <w:rPr>
          <w:noProof/>
        </w:rPr>
        <w:t>is</w:t>
      </w:r>
      <w:r w:rsidR="00690494" w:rsidRPr="00DE264C">
        <w:rPr>
          <w:noProof/>
        </w:rPr>
        <w:t xml:space="preserve"> authorised throughout the EU territory</w:t>
      </w:r>
      <w:r w:rsidR="00FA06BA" w:rsidRPr="00DE264C">
        <w:rPr>
          <w:noProof/>
        </w:rPr>
        <w:t>, without white spots</w:t>
      </w:r>
      <w:r w:rsidR="0044487B" w:rsidRPr="00DE264C">
        <w:rPr>
          <w:noProof/>
        </w:rPr>
        <w:t>, facilitating scale</w:t>
      </w:r>
      <w:r w:rsidRPr="00DE264C">
        <w:rPr>
          <w:noProof/>
        </w:rPr>
        <w:t>. It enables providers to innovate and grow across borders supporting EU competitiveness and strategic autonomy</w:t>
      </w:r>
      <w:r w:rsidR="00A715F5" w:rsidRPr="00DE264C">
        <w:rPr>
          <w:noProof/>
        </w:rPr>
        <w:t>,</w:t>
      </w:r>
      <w:r w:rsidRPr="00DE264C">
        <w:rPr>
          <w:noProof/>
        </w:rPr>
        <w:t xml:space="preserve"> also ensuring more effectively that all players play by the rules</w:t>
      </w:r>
      <w:r w:rsidR="00795944" w:rsidRPr="00DE264C">
        <w:rPr>
          <w:noProof/>
        </w:rPr>
        <w:t>.</w:t>
      </w:r>
      <w:r w:rsidRPr="00DE264C">
        <w:rPr>
          <w:noProof/>
        </w:rPr>
        <w:t xml:space="preserve"> </w:t>
      </w:r>
      <w:r w:rsidR="000F6C56" w:rsidRPr="00DE264C">
        <w:rPr>
          <w:noProof/>
        </w:rPr>
        <w:t>While enabling wider availability of satellite services it fully ensures economic, social and environmental benefits described in section 6.3.</w:t>
      </w:r>
      <w:r w:rsidRPr="00DE264C">
        <w:rPr>
          <w:noProof/>
        </w:rPr>
        <w:t xml:space="preserve"> </w:t>
      </w:r>
    </w:p>
    <w:p w14:paraId="48B8A1C7" w14:textId="61FA68D9" w:rsidR="001353B7" w:rsidRPr="00DE264C" w:rsidRDefault="001353B7" w:rsidP="00DE7CC1">
      <w:pPr>
        <w:spacing w:line="240" w:lineRule="auto"/>
        <w:rPr>
          <w:rFonts w:eastAsia="Times New Roman"/>
          <w:noProof/>
        </w:rPr>
      </w:pPr>
      <w:r w:rsidRPr="00DE264C">
        <w:rPr>
          <w:b/>
          <w:bCs/>
          <w:noProof/>
        </w:rPr>
        <w:t>Option 3</w:t>
      </w:r>
      <w:r w:rsidRPr="00DE264C">
        <w:rPr>
          <w:noProof/>
        </w:rPr>
        <w:t xml:space="preserve"> removes MS flexibility to include additional general authorisation requirements and reduces significantly the administrative burden and supporting scale based on a </w:t>
      </w:r>
      <w:r w:rsidRPr="00DE264C">
        <w:rPr>
          <w:rFonts w:eastAsia="Times New Roman"/>
          <w:b/>
          <w:bCs/>
          <w:noProof/>
        </w:rPr>
        <w:t xml:space="preserve">country-of-origin regime </w:t>
      </w:r>
      <w:r w:rsidRPr="00DE264C">
        <w:rPr>
          <w:rFonts w:eastAsia="Times New Roman"/>
          <w:noProof/>
        </w:rPr>
        <w:t xml:space="preserve">with mutual recognition. It promotes convergence in </w:t>
      </w:r>
      <w:r w:rsidR="00205724" w:rsidRPr="00DE264C">
        <w:rPr>
          <w:rFonts w:eastAsia="Times New Roman"/>
          <w:noProof/>
        </w:rPr>
        <w:t xml:space="preserve">satellite </w:t>
      </w:r>
      <w:r w:rsidRPr="00DE264C">
        <w:rPr>
          <w:rFonts w:eastAsia="Times New Roman"/>
          <w:noProof/>
        </w:rPr>
        <w:t xml:space="preserve">authorisation conditions aligned with ITU rules, more </w:t>
      </w:r>
      <w:r w:rsidR="00A346AB" w:rsidRPr="00DE264C">
        <w:rPr>
          <w:rFonts w:eastAsia="Times New Roman"/>
          <w:noProof/>
        </w:rPr>
        <w:t xml:space="preserve">likely </w:t>
      </w:r>
      <w:r w:rsidRPr="00DE264C">
        <w:rPr>
          <w:rFonts w:eastAsia="Times New Roman"/>
          <w:noProof/>
        </w:rPr>
        <w:t>effective enforcement</w:t>
      </w:r>
      <w:r w:rsidR="00754F0B" w:rsidRPr="00DE264C">
        <w:rPr>
          <w:rFonts w:eastAsia="Times New Roman"/>
          <w:noProof/>
        </w:rPr>
        <w:t xml:space="preserve"> in the hands of one MS</w:t>
      </w:r>
      <w:r w:rsidRPr="00DE264C">
        <w:rPr>
          <w:rFonts w:eastAsia="Times New Roman"/>
          <w:noProof/>
        </w:rPr>
        <w:t>, and introduces an EU-level selection mechanism for MSS spectrum, which may enhance coordination for pan-European networks. However, its effectiveness is limited as satellite providers remain bound by Member States laws and enforcement stays national</w:t>
      </w:r>
      <w:r w:rsidRPr="00DE264C">
        <w:rPr>
          <w:noProof/>
        </w:rPr>
        <w:t xml:space="preserve">. </w:t>
      </w:r>
    </w:p>
    <w:p w14:paraId="5CB0F978" w14:textId="7C667A2E" w:rsidR="00166D92" w:rsidRPr="00DE264C" w:rsidRDefault="001353B7" w:rsidP="00DE7CC1">
      <w:pPr>
        <w:spacing w:line="240" w:lineRule="auto"/>
        <w:rPr>
          <w:b/>
          <w:noProof/>
          <w:u w:val="single"/>
        </w:rPr>
      </w:pPr>
      <w:r w:rsidRPr="00DE264C">
        <w:rPr>
          <w:b/>
          <w:noProof/>
          <w:u w:val="single"/>
        </w:rPr>
        <w:t>Efficiency</w:t>
      </w:r>
    </w:p>
    <w:p w14:paraId="6E23392A" w14:textId="61388502" w:rsidR="001353B7" w:rsidRPr="00DE264C" w:rsidRDefault="00326BA8" w:rsidP="00DE7CC1">
      <w:pPr>
        <w:pStyle w:val="EYBodytextwithparaspace"/>
        <w:spacing w:before="0" w:after="240" w:line="240" w:lineRule="auto"/>
        <w:rPr>
          <w:rFonts w:ascii="Times New Roman" w:hAnsi="Times New Roman"/>
          <w:noProof/>
        </w:rPr>
      </w:pPr>
      <w:r w:rsidRPr="572DCBD2">
        <w:rPr>
          <w:rFonts w:ascii="Times New Roman" w:hAnsi="Times New Roman"/>
          <w:b/>
          <w:bCs/>
          <w:noProof/>
        </w:rPr>
        <w:t>The baseline scenario</w:t>
      </w:r>
      <w:r w:rsidRPr="572DCBD2">
        <w:rPr>
          <w:rFonts w:ascii="Times New Roman" w:hAnsi="Times New Roman"/>
          <w:noProof/>
        </w:rPr>
        <w:t xml:space="preserve"> shows very low cost-efficiency since </w:t>
      </w:r>
      <w:r w:rsidR="00DB4E5E" w:rsidRPr="572DCBD2">
        <w:rPr>
          <w:rFonts w:ascii="Times New Roman" w:hAnsi="Times New Roman"/>
          <w:noProof/>
        </w:rPr>
        <w:t xml:space="preserve">undertakings </w:t>
      </w:r>
      <w:r w:rsidRPr="572DCBD2">
        <w:rPr>
          <w:rFonts w:ascii="Times New Roman" w:hAnsi="Times New Roman"/>
          <w:noProof/>
        </w:rPr>
        <w:t>face additional administrative and compliance burdens without clear benefits.</w:t>
      </w:r>
      <w:r w:rsidR="001353B7" w:rsidRPr="572DCBD2">
        <w:rPr>
          <w:rFonts w:ascii="Times New Roman" w:hAnsi="Times New Roman"/>
          <w:noProof/>
        </w:rPr>
        <w:t xml:space="preserve"> </w:t>
      </w:r>
      <w:r w:rsidR="001353B7" w:rsidRPr="572DCBD2">
        <w:rPr>
          <w:rFonts w:ascii="Times New Roman" w:hAnsi="Times New Roman"/>
          <w:b/>
          <w:bCs/>
          <w:noProof/>
        </w:rPr>
        <w:t xml:space="preserve">Option 1 </w:t>
      </w:r>
      <w:r w:rsidR="001353B7" w:rsidRPr="572DCBD2">
        <w:rPr>
          <w:rFonts w:ascii="Times New Roman" w:hAnsi="Times New Roman"/>
          <w:noProof/>
        </w:rPr>
        <w:t xml:space="preserve">entails a better trade-off than the baseline scenario with slightly reduced burdens for cross-border providers, especially SMEs, more competition and innovation thanks to coordination mechanisms. Benefits are however limited to cross-border services providers, such as B2B and satellite. The harmonised authorisation template adds some moderate coordination overhead, as it builds on existing multiple structures. Minimum common requirements facilitate smoother market entry in the satellite market. </w:t>
      </w:r>
      <w:r w:rsidR="001353B7" w:rsidRPr="572DCBD2">
        <w:rPr>
          <w:rFonts w:ascii="Times New Roman" w:hAnsi="Times New Roman"/>
          <w:b/>
          <w:bCs/>
          <w:noProof/>
        </w:rPr>
        <w:t>Option 2</w:t>
      </w:r>
      <w:r w:rsidR="001353B7" w:rsidRPr="572DCBD2">
        <w:rPr>
          <w:rFonts w:ascii="Times New Roman" w:hAnsi="Times New Roman"/>
          <w:noProof/>
        </w:rPr>
        <w:t xml:space="preserve"> brings more significant costs and benefits. Providers will benefit from a reduced administrative and compliance burden, quicker access and lower costs likely increasing competition, EU competitiveness and innovation capacities, and end-user choice. One-off costs are expected e.g. for the national single point of contact, for coordination with M</w:t>
      </w:r>
      <w:r w:rsidR="003647DE" w:rsidRPr="572DCBD2">
        <w:rPr>
          <w:rFonts w:ascii="Times New Roman" w:hAnsi="Times New Roman"/>
          <w:noProof/>
        </w:rPr>
        <w:t xml:space="preserve">ember </w:t>
      </w:r>
      <w:r w:rsidR="001353B7" w:rsidRPr="572DCBD2">
        <w:rPr>
          <w:rFonts w:ascii="Times New Roman" w:hAnsi="Times New Roman"/>
          <w:noProof/>
        </w:rPr>
        <w:t>S</w:t>
      </w:r>
      <w:r w:rsidR="003647DE" w:rsidRPr="572DCBD2">
        <w:rPr>
          <w:rFonts w:ascii="Times New Roman" w:hAnsi="Times New Roman"/>
          <w:noProof/>
        </w:rPr>
        <w:t>tates</w:t>
      </w:r>
      <w:r w:rsidR="001353B7" w:rsidRPr="572DCBD2">
        <w:rPr>
          <w:rFonts w:ascii="Times New Roman" w:hAnsi="Times New Roman"/>
          <w:noProof/>
        </w:rPr>
        <w:t xml:space="preserve">, or linking with the Single Digital Gateway/ BEREC website. </w:t>
      </w:r>
      <w:r w:rsidR="00F872E9" w:rsidRPr="572DCBD2">
        <w:rPr>
          <w:rFonts w:ascii="Times New Roman" w:hAnsi="Times New Roman"/>
          <w:noProof/>
        </w:rPr>
        <w:t>This option</w:t>
      </w:r>
      <w:r w:rsidR="00FE1B58" w:rsidRPr="572DCBD2">
        <w:rPr>
          <w:rFonts w:ascii="Times New Roman" w:hAnsi="Times New Roman"/>
          <w:noProof/>
        </w:rPr>
        <w:t xml:space="preserve"> implies a</w:t>
      </w:r>
      <w:r w:rsidR="001353B7" w:rsidRPr="572DCBD2">
        <w:rPr>
          <w:rFonts w:ascii="Times New Roman" w:hAnsi="Times New Roman"/>
          <w:noProof/>
        </w:rPr>
        <w:t xml:space="preserve"> higher EU-</w:t>
      </w:r>
      <w:r w:rsidR="003647DE" w:rsidRPr="572DCBD2">
        <w:rPr>
          <w:rFonts w:ascii="Times New Roman" w:hAnsi="Times New Roman"/>
          <w:noProof/>
        </w:rPr>
        <w:t>l</w:t>
      </w:r>
      <w:r w:rsidR="001353B7" w:rsidRPr="572DCBD2">
        <w:rPr>
          <w:rFonts w:ascii="Times New Roman" w:hAnsi="Times New Roman"/>
          <w:noProof/>
        </w:rPr>
        <w:t>evel costs for the centralisation of all satellite spectrum assignment and authorisation procedures (dedicated staffing, governance structures, and legal enforcement mechanisms)</w:t>
      </w:r>
      <w:r w:rsidR="00210F64" w:rsidRPr="572DCBD2">
        <w:rPr>
          <w:rFonts w:ascii="Times New Roman" w:hAnsi="Times New Roman"/>
          <w:noProof/>
        </w:rPr>
        <w:t>. These are</w:t>
      </w:r>
      <w:r w:rsidR="002148D5" w:rsidRPr="572DCBD2">
        <w:rPr>
          <w:rFonts w:ascii="Times New Roman" w:hAnsi="Times New Roman"/>
          <w:noProof/>
        </w:rPr>
        <w:t>,</w:t>
      </w:r>
      <w:r w:rsidR="00210F64" w:rsidRPr="572DCBD2">
        <w:rPr>
          <w:rFonts w:ascii="Times New Roman" w:hAnsi="Times New Roman"/>
          <w:noProof/>
        </w:rPr>
        <w:t xml:space="preserve"> however</w:t>
      </w:r>
      <w:r w:rsidR="002148D5" w:rsidRPr="572DCBD2">
        <w:rPr>
          <w:rFonts w:ascii="Times New Roman" w:hAnsi="Times New Roman"/>
          <w:noProof/>
        </w:rPr>
        <w:t>,</w:t>
      </w:r>
      <w:r w:rsidR="001353B7" w:rsidRPr="572DCBD2">
        <w:rPr>
          <w:rFonts w:ascii="Times New Roman" w:hAnsi="Times New Roman"/>
          <w:noProof/>
        </w:rPr>
        <w:t xml:space="preserve"> off-set by cost saving at the national</w:t>
      </w:r>
      <w:r w:rsidR="00233FAC" w:rsidRPr="572DCBD2">
        <w:rPr>
          <w:rFonts w:ascii="Times New Roman" w:hAnsi="Times New Roman"/>
          <w:noProof/>
        </w:rPr>
        <w:t xml:space="preserve"> and operators</w:t>
      </w:r>
      <w:r w:rsidR="001353B7" w:rsidRPr="572DCBD2">
        <w:rPr>
          <w:rFonts w:ascii="Times New Roman" w:hAnsi="Times New Roman"/>
          <w:noProof/>
        </w:rPr>
        <w:t xml:space="preserve"> level due to elimination of duplicative national procedures. This </w:t>
      </w:r>
      <w:r w:rsidR="00C45022" w:rsidRPr="572DCBD2">
        <w:rPr>
          <w:rFonts w:ascii="Times New Roman" w:hAnsi="Times New Roman"/>
          <w:noProof/>
        </w:rPr>
        <w:t xml:space="preserve">option </w:t>
      </w:r>
      <w:r w:rsidR="001353B7" w:rsidRPr="572DCBD2">
        <w:rPr>
          <w:rFonts w:ascii="Times New Roman" w:hAnsi="Times New Roman"/>
          <w:noProof/>
        </w:rPr>
        <w:t xml:space="preserve">is highly cost-effective in the long run, enables faster processing of market access, and provides a single, standardised route for all satellite operators, including pan-European constellations. Transaction costs drop and economies of scale are achieved through unified procedures and enforcement mechanisms, enhancing the competitiveness of EU space sector. </w:t>
      </w:r>
      <w:r w:rsidR="001353B7" w:rsidRPr="572DCBD2">
        <w:rPr>
          <w:rFonts w:ascii="Times New Roman" w:hAnsi="Times New Roman"/>
          <w:b/>
          <w:bCs/>
          <w:noProof/>
        </w:rPr>
        <w:t>Option 3</w:t>
      </w:r>
      <w:r w:rsidR="001353B7" w:rsidRPr="572DCBD2">
        <w:rPr>
          <w:rFonts w:ascii="Times New Roman" w:hAnsi="Times New Roman"/>
          <w:noProof/>
        </w:rPr>
        <w:t xml:space="preserve"> (country of origin regime for satellite operators and B2B services) entails the highest administrative costs, requiring dedicated staffing, governance structures, and legal enforcement mechanisms in all Member States and BEREC/RSPG Office. It entails the highest adaptation costs although less efficient than option 2 in eliminating duplicative national procedures with a worse cost benefit ratio.</w:t>
      </w:r>
    </w:p>
    <w:p w14:paraId="467A3D57" w14:textId="1EEB3CD7" w:rsidR="0053532B" w:rsidRPr="0053532B" w:rsidRDefault="0053532B" w:rsidP="00DE7CC1">
      <w:pPr>
        <w:pStyle w:val="EYBodytextwithparaspace"/>
        <w:spacing w:before="0" w:after="240" w:line="240" w:lineRule="auto"/>
        <w:rPr>
          <w:rFonts w:ascii="Times New Roman" w:hAnsi="Times New Roman"/>
          <w:noProof/>
        </w:rPr>
      </w:pPr>
      <w:r w:rsidRPr="000939E2">
        <w:rPr>
          <w:rFonts w:ascii="Times New Roman" w:hAnsi="Times New Roman"/>
          <w:noProof/>
        </w:rPr>
        <w:t xml:space="preserve">The below table shows </w:t>
      </w:r>
      <w:r w:rsidRPr="0053532B">
        <w:rPr>
          <w:rFonts w:ascii="Times New Roman" w:hAnsi="Times New Roman"/>
          <w:noProof/>
          <w:color w:val="000000" w:themeColor="text1"/>
        </w:rPr>
        <w:t>the costs and benefits of all options</w:t>
      </w:r>
      <w:r w:rsidRPr="000939E2">
        <w:rPr>
          <w:rFonts w:ascii="Times New Roman" w:hAnsi="Times New Roman"/>
          <w:noProof/>
          <w:color w:val="000000" w:themeColor="text1"/>
        </w:rPr>
        <w:t>, explaining</w:t>
      </w:r>
      <w:r w:rsidRPr="0053532B">
        <w:rPr>
          <w:rFonts w:ascii="Times New Roman" w:hAnsi="Times New Roman"/>
          <w:noProof/>
          <w:color w:val="000000" w:themeColor="text1"/>
        </w:rPr>
        <w:t xml:space="preserve"> who will bear the costs</w:t>
      </w:r>
      <w:r w:rsidRPr="000939E2">
        <w:rPr>
          <w:rFonts w:ascii="Times New Roman" w:hAnsi="Times New Roman"/>
          <w:noProof/>
          <w:color w:val="000000" w:themeColor="text1"/>
        </w:rPr>
        <w:t>,</w:t>
      </w:r>
      <w:r w:rsidRPr="0053532B">
        <w:rPr>
          <w:rFonts w:ascii="Times New Roman" w:hAnsi="Times New Roman"/>
          <w:noProof/>
          <w:color w:val="000000" w:themeColor="text1"/>
        </w:rPr>
        <w:t xml:space="preserve"> distinguish</w:t>
      </w:r>
      <w:r w:rsidR="00B94F36">
        <w:rPr>
          <w:rFonts w:ascii="Times New Roman" w:hAnsi="Times New Roman"/>
          <w:noProof/>
          <w:color w:val="000000" w:themeColor="text1"/>
        </w:rPr>
        <w:t>ing</w:t>
      </w:r>
      <w:r w:rsidRPr="0053532B">
        <w:rPr>
          <w:rFonts w:ascii="Times New Roman" w:hAnsi="Times New Roman"/>
          <w:noProof/>
          <w:color w:val="000000" w:themeColor="text1"/>
        </w:rPr>
        <w:t xml:space="preserve"> between </w:t>
      </w:r>
      <w:r w:rsidRPr="000939E2">
        <w:rPr>
          <w:rFonts w:ascii="Times New Roman" w:hAnsi="Times New Roman"/>
          <w:noProof/>
          <w:color w:val="000000" w:themeColor="text1"/>
        </w:rPr>
        <w:t>administration (</w:t>
      </w:r>
      <w:r w:rsidRPr="0053532B">
        <w:rPr>
          <w:rFonts w:ascii="Times New Roman" w:hAnsi="Times New Roman"/>
          <w:noProof/>
          <w:color w:val="000000" w:themeColor="text1"/>
        </w:rPr>
        <w:t>public authorities</w:t>
      </w:r>
      <w:r w:rsidRPr="000939E2">
        <w:rPr>
          <w:rFonts w:ascii="Times New Roman" w:hAnsi="Times New Roman"/>
          <w:noProof/>
          <w:color w:val="000000" w:themeColor="text1"/>
        </w:rPr>
        <w:t>)</w:t>
      </w:r>
      <w:r w:rsidRPr="0053532B">
        <w:rPr>
          <w:rFonts w:ascii="Times New Roman" w:hAnsi="Times New Roman"/>
          <w:noProof/>
          <w:color w:val="000000" w:themeColor="text1"/>
        </w:rPr>
        <w:t>, businesses</w:t>
      </w:r>
      <w:r w:rsidRPr="000939E2">
        <w:rPr>
          <w:rFonts w:ascii="Times New Roman" w:hAnsi="Times New Roman"/>
          <w:noProof/>
          <w:color w:val="000000" w:themeColor="text1"/>
        </w:rPr>
        <w:t xml:space="preserve"> (operators)</w:t>
      </w:r>
      <w:r w:rsidRPr="0053532B">
        <w:rPr>
          <w:rFonts w:ascii="Times New Roman" w:hAnsi="Times New Roman"/>
          <w:noProof/>
          <w:color w:val="000000" w:themeColor="text1"/>
        </w:rPr>
        <w:t xml:space="preserve"> and citizens</w:t>
      </w:r>
      <w:r w:rsidRPr="000939E2">
        <w:rPr>
          <w:rFonts w:ascii="Times New Roman" w:hAnsi="Times New Roman"/>
          <w:noProof/>
          <w:color w:val="000000" w:themeColor="text1"/>
        </w:rPr>
        <w:t>, end-users.</w:t>
      </w:r>
    </w:p>
    <w:tbl>
      <w:tblPr>
        <w:tblStyle w:val="TableGrid"/>
        <w:tblW w:w="0" w:type="auto"/>
        <w:tblInd w:w="-118" w:type="dxa"/>
        <w:tblLayout w:type="fixed"/>
        <w:tblLook w:val="04A0" w:firstRow="1" w:lastRow="0" w:firstColumn="1" w:lastColumn="0" w:noHBand="0" w:noVBand="1"/>
      </w:tblPr>
      <w:tblGrid>
        <w:gridCol w:w="1598"/>
        <w:gridCol w:w="2380"/>
        <w:gridCol w:w="2904"/>
        <w:gridCol w:w="2718"/>
      </w:tblGrid>
      <w:tr w:rsidR="0053532B" w:rsidRPr="00F87B9B" w14:paraId="26BDE778" w14:textId="77777777" w:rsidTr="572DCBD2">
        <w:trPr>
          <w:trHeight w:val="30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7C88388D" w14:textId="77777777" w:rsidR="0053532B" w:rsidRPr="00F87B9B" w:rsidRDefault="0053532B" w:rsidP="00B00D2A">
            <w:pPr>
              <w:spacing w:after="0"/>
              <w:rPr>
                <w:noProof/>
                <w:sz w:val="20"/>
                <w:szCs w:val="20"/>
              </w:rPr>
            </w:pPr>
            <w:r w:rsidRPr="00F87B9B">
              <w:rPr>
                <w:noProof/>
                <w:sz w:val="20"/>
                <w:szCs w:val="20"/>
              </w:rPr>
              <w:t xml:space="preserve"> </w:t>
            </w:r>
          </w:p>
        </w:tc>
        <w:tc>
          <w:tcPr>
            <w:tcW w:w="8002"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0EE72FC" w14:textId="77777777" w:rsidR="0053532B" w:rsidRPr="00F87B9B" w:rsidRDefault="0053532B" w:rsidP="00B00D2A">
            <w:pPr>
              <w:spacing w:after="0"/>
              <w:jc w:val="center"/>
              <w:rPr>
                <w:b/>
                <w:bCs/>
                <w:noProof/>
                <w:sz w:val="20"/>
                <w:szCs w:val="20"/>
              </w:rPr>
            </w:pPr>
            <w:r w:rsidRPr="00F87B9B">
              <w:rPr>
                <w:b/>
                <w:bCs/>
                <w:noProof/>
                <w:sz w:val="20"/>
                <w:szCs w:val="20"/>
              </w:rPr>
              <w:t>General authorisation and authorisation for satellite services</w:t>
            </w:r>
          </w:p>
        </w:tc>
      </w:tr>
      <w:tr w:rsidR="0053532B" w:rsidRPr="00F87B9B" w14:paraId="76D9E940" w14:textId="77777777" w:rsidTr="572DCBD2">
        <w:trPr>
          <w:trHeight w:val="30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5E65A9BA" w14:textId="77777777" w:rsidR="0053532B" w:rsidRPr="00F87B9B" w:rsidRDefault="0053532B" w:rsidP="00B00D2A">
            <w:pPr>
              <w:spacing w:after="0"/>
              <w:rPr>
                <w:noProof/>
                <w:sz w:val="20"/>
                <w:szCs w:val="20"/>
              </w:rPr>
            </w:pPr>
            <w:r w:rsidRPr="00F87B9B">
              <w:rPr>
                <w:noProof/>
                <w:sz w:val="20"/>
                <w:szCs w:val="20"/>
              </w:rPr>
              <w:t xml:space="preserve"> </w:t>
            </w:r>
          </w:p>
        </w:tc>
        <w:tc>
          <w:tcPr>
            <w:tcW w:w="2380" w:type="dxa"/>
            <w:tcBorders>
              <w:top w:val="single" w:sz="8" w:space="0" w:color="auto"/>
              <w:left w:val="single" w:sz="8" w:space="0" w:color="auto"/>
              <w:bottom w:val="single" w:sz="8" w:space="0" w:color="auto"/>
              <w:right w:val="single" w:sz="8" w:space="0" w:color="auto"/>
            </w:tcBorders>
            <w:tcMar>
              <w:left w:w="108" w:type="dxa"/>
              <w:right w:w="108" w:type="dxa"/>
            </w:tcMar>
          </w:tcPr>
          <w:p w14:paraId="7D2D3B2E" w14:textId="77777777" w:rsidR="0053532B" w:rsidRPr="00F87B9B" w:rsidRDefault="0053532B" w:rsidP="00B00D2A">
            <w:pPr>
              <w:spacing w:after="0"/>
              <w:rPr>
                <w:noProof/>
                <w:sz w:val="20"/>
                <w:szCs w:val="20"/>
              </w:rPr>
            </w:pPr>
            <w:r w:rsidRPr="00F87B9B">
              <w:rPr>
                <w:noProof/>
                <w:sz w:val="20"/>
                <w:szCs w:val="20"/>
              </w:rPr>
              <w:t xml:space="preserve">O1. Partial harmonisation of authorisation </w:t>
            </w:r>
          </w:p>
        </w:tc>
        <w:tc>
          <w:tcPr>
            <w:tcW w:w="2904" w:type="dxa"/>
            <w:tcBorders>
              <w:top w:val="nil"/>
              <w:left w:val="single" w:sz="8" w:space="0" w:color="auto"/>
              <w:bottom w:val="single" w:sz="8" w:space="0" w:color="auto"/>
              <w:right w:val="single" w:sz="8" w:space="0" w:color="auto"/>
            </w:tcBorders>
            <w:tcMar>
              <w:left w:w="108" w:type="dxa"/>
              <w:right w:w="108" w:type="dxa"/>
            </w:tcMar>
          </w:tcPr>
          <w:p w14:paraId="4B444228" w14:textId="5053965C" w:rsidR="0053532B" w:rsidRPr="00F87B9B" w:rsidRDefault="0053532B" w:rsidP="00B00D2A">
            <w:pPr>
              <w:spacing w:after="0"/>
              <w:rPr>
                <w:noProof/>
                <w:sz w:val="20"/>
                <w:szCs w:val="20"/>
              </w:rPr>
            </w:pPr>
            <w:r w:rsidRPr="00F87B9B">
              <w:rPr>
                <w:b/>
                <w:bCs/>
                <w:noProof/>
                <w:sz w:val="20"/>
                <w:szCs w:val="20"/>
              </w:rPr>
              <w:t>O2. ‘Single passport’ for other networks and services than satellite and an EU–level authorisation for satellite spectrum</w:t>
            </w:r>
            <w:r w:rsidRPr="00F87B9B">
              <w:rPr>
                <w:noProof/>
                <w:sz w:val="20"/>
                <w:szCs w:val="20"/>
              </w:rPr>
              <w:t xml:space="preserve"> </w:t>
            </w:r>
            <w:r w:rsidR="00BE6FAA">
              <w:rPr>
                <w:noProof/>
                <w:sz w:val="20"/>
                <w:szCs w:val="20"/>
              </w:rPr>
              <w:br/>
            </w:r>
            <w:r w:rsidRPr="00BE337F">
              <w:rPr>
                <w:b/>
                <w:noProof/>
                <w:sz w:val="20"/>
                <w:szCs w:val="20"/>
              </w:rPr>
              <w:t>(PREFERRED OPTION)</w:t>
            </w:r>
          </w:p>
        </w:tc>
        <w:tc>
          <w:tcPr>
            <w:tcW w:w="2718" w:type="dxa"/>
            <w:tcBorders>
              <w:top w:val="nil"/>
              <w:left w:val="single" w:sz="8" w:space="0" w:color="auto"/>
              <w:bottom w:val="single" w:sz="8" w:space="0" w:color="auto"/>
              <w:right w:val="single" w:sz="8" w:space="0" w:color="auto"/>
            </w:tcBorders>
            <w:tcMar>
              <w:left w:w="108" w:type="dxa"/>
              <w:right w:w="108" w:type="dxa"/>
            </w:tcMar>
          </w:tcPr>
          <w:p w14:paraId="14AAC87C" w14:textId="77777777" w:rsidR="0053532B" w:rsidRPr="00F87B9B" w:rsidRDefault="0053532B" w:rsidP="00B00D2A">
            <w:pPr>
              <w:spacing w:after="0"/>
              <w:rPr>
                <w:noProof/>
                <w:sz w:val="20"/>
                <w:szCs w:val="20"/>
              </w:rPr>
            </w:pPr>
            <w:r w:rsidRPr="00F87B9B">
              <w:rPr>
                <w:noProof/>
                <w:sz w:val="20"/>
                <w:szCs w:val="20"/>
              </w:rPr>
              <w:t xml:space="preserve">O3. Country-of-origin authorisation for cross-border and B2B services </w:t>
            </w:r>
          </w:p>
        </w:tc>
      </w:tr>
      <w:tr w:rsidR="0053532B" w:rsidRPr="00F87B9B" w14:paraId="0762FF57" w14:textId="77777777" w:rsidTr="572DCBD2">
        <w:trPr>
          <w:trHeight w:val="30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20D642E6" w14:textId="77777777" w:rsidR="0053532B" w:rsidRPr="00F87B9B" w:rsidRDefault="0053532B" w:rsidP="00B00D2A">
            <w:pPr>
              <w:spacing w:after="0"/>
              <w:rPr>
                <w:b/>
                <w:bCs/>
                <w:noProof/>
                <w:sz w:val="20"/>
                <w:szCs w:val="20"/>
              </w:rPr>
            </w:pPr>
            <w:r w:rsidRPr="00F87B9B">
              <w:rPr>
                <w:b/>
                <w:bCs/>
                <w:noProof/>
                <w:sz w:val="20"/>
                <w:szCs w:val="20"/>
              </w:rPr>
              <w:t>Costs by stakeholders</w:t>
            </w:r>
          </w:p>
        </w:tc>
        <w:tc>
          <w:tcPr>
            <w:tcW w:w="2380" w:type="dxa"/>
            <w:tcBorders>
              <w:top w:val="single" w:sz="8" w:space="0" w:color="auto"/>
              <w:left w:val="single" w:sz="8" w:space="0" w:color="auto"/>
              <w:bottom w:val="single" w:sz="8" w:space="0" w:color="auto"/>
              <w:right w:val="single" w:sz="8" w:space="0" w:color="auto"/>
            </w:tcBorders>
            <w:tcMar>
              <w:left w:w="108" w:type="dxa"/>
              <w:right w:w="108" w:type="dxa"/>
            </w:tcMar>
          </w:tcPr>
          <w:p w14:paraId="56D134C4" w14:textId="77777777" w:rsidR="0053532B" w:rsidRPr="00F87B9B" w:rsidRDefault="0053532B" w:rsidP="00B00D2A">
            <w:pPr>
              <w:spacing w:after="0"/>
              <w:rPr>
                <w:i/>
                <w:iCs/>
                <w:noProof/>
                <w:sz w:val="20"/>
                <w:szCs w:val="20"/>
              </w:rPr>
            </w:pPr>
            <w:r w:rsidRPr="00F87B9B">
              <w:rPr>
                <w:i/>
                <w:iCs/>
                <w:noProof/>
                <w:sz w:val="20"/>
                <w:szCs w:val="20"/>
              </w:rPr>
              <w:t xml:space="preserve"> </w:t>
            </w:r>
          </w:p>
        </w:tc>
        <w:tc>
          <w:tcPr>
            <w:tcW w:w="2904" w:type="dxa"/>
            <w:tcBorders>
              <w:top w:val="single" w:sz="8" w:space="0" w:color="auto"/>
              <w:left w:val="single" w:sz="8" w:space="0" w:color="auto"/>
              <w:bottom w:val="single" w:sz="8" w:space="0" w:color="auto"/>
              <w:right w:val="single" w:sz="8" w:space="0" w:color="auto"/>
            </w:tcBorders>
            <w:tcMar>
              <w:left w:w="108" w:type="dxa"/>
              <w:right w:w="108" w:type="dxa"/>
            </w:tcMar>
          </w:tcPr>
          <w:p w14:paraId="32E21A6C" w14:textId="77777777" w:rsidR="0053532B" w:rsidRPr="00F87B9B" w:rsidRDefault="0053532B" w:rsidP="00B00D2A">
            <w:pPr>
              <w:spacing w:after="0"/>
              <w:rPr>
                <w:noProof/>
                <w:sz w:val="20"/>
                <w:szCs w:val="20"/>
              </w:rPr>
            </w:pPr>
            <w:r w:rsidRPr="00F87B9B">
              <w:rPr>
                <w:noProof/>
                <w:sz w:val="20"/>
                <w:szCs w:val="20"/>
              </w:rPr>
              <w:t xml:space="preserve"> </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tcPr>
          <w:p w14:paraId="271C6532" w14:textId="77777777" w:rsidR="0053532B" w:rsidRPr="00F87B9B" w:rsidRDefault="0053532B" w:rsidP="00B00D2A">
            <w:pPr>
              <w:spacing w:after="0"/>
              <w:rPr>
                <w:noProof/>
                <w:sz w:val="20"/>
                <w:szCs w:val="20"/>
              </w:rPr>
            </w:pPr>
            <w:r w:rsidRPr="00F87B9B">
              <w:rPr>
                <w:noProof/>
                <w:sz w:val="20"/>
                <w:szCs w:val="20"/>
              </w:rPr>
              <w:t xml:space="preserve"> </w:t>
            </w:r>
          </w:p>
        </w:tc>
      </w:tr>
      <w:tr w:rsidR="0053532B" w:rsidRPr="00F87B9B" w14:paraId="52D12FDF" w14:textId="77777777" w:rsidTr="572DCBD2">
        <w:trPr>
          <w:trHeight w:val="30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7BEA6DB7" w14:textId="77777777" w:rsidR="0053532B" w:rsidRPr="00F87B9B" w:rsidRDefault="0053532B" w:rsidP="00B00D2A">
            <w:pPr>
              <w:spacing w:after="0"/>
              <w:rPr>
                <w:noProof/>
                <w:sz w:val="20"/>
                <w:szCs w:val="20"/>
              </w:rPr>
            </w:pPr>
            <w:r w:rsidRPr="00F87B9B">
              <w:rPr>
                <w:noProof/>
                <w:sz w:val="20"/>
                <w:szCs w:val="20"/>
              </w:rPr>
              <w:t>End users (Citizens/businesses using connectivity)</w:t>
            </w:r>
          </w:p>
        </w:tc>
        <w:tc>
          <w:tcPr>
            <w:tcW w:w="2380" w:type="dxa"/>
            <w:tcBorders>
              <w:top w:val="single" w:sz="8" w:space="0" w:color="auto"/>
              <w:left w:val="single" w:sz="8" w:space="0" w:color="auto"/>
              <w:bottom w:val="single" w:sz="8" w:space="0" w:color="auto"/>
              <w:right w:val="single" w:sz="8" w:space="0" w:color="auto"/>
            </w:tcBorders>
            <w:tcMar>
              <w:left w:w="108" w:type="dxa"/>
              <w:right w:w="108" w:type="dxa"/>
            </w:tcMar>
          </w:tcPr>
          <w:p w14:paraId="6B7FFFC3" w14:textId="77777777" w:rsidR="0053532B" w:rsidRPr="00F87B9B" w:rsidRDefault="0053532B" w:rsidP="00B00D2A">
            <w:pPr>
              <w:spacing w:after="0"/>
              <w:rPr>
                <w:noProof/>
                <w:sz w:val="20"/>
                <w:szCs w:val="20"/>
              </w:rPr>
            </w:pPr>
            <w:r w:rsidRPr="00F87B9B">
              <w:rPr>
                <w:noProof/>
                <w:sz w:val="20"/>
                <w:szCs w:val="20"/>
              </w:rPr>
              <w:t xml:space="preserve">neutral </w:t>
            </w:r>
          </w:p>
        </w:tc>
        <w:tc>
          <w:tcPr>
            <w:tcW w:w="2904" w:type="dxa"/>
            <w:tcBorders>
              <w:top w:val="single" w:sz="8" w:space="0" w:color="auto"/>
              <w:left w:val="single" w:sz="8" w:space="0" w:color="auto"/>
              <w:bottom w:val="single" w:sz="8" w:space="0" w:color="auto"/>
              <w:right w:val="single" w:sz="8" w:space="0" w:color="auto"/>
            </w:tcBorders>
            <w:tcMar>
              <w:left w:w="108" w:type="dxa"/>
              <w:right w:w="108" w:type="dxa"/>
            </w:tcMar>
          </w:tcPr>
          <w:p w14:paraId="2883C677" w14:textId="77777777" w:rsidR="0053532B" w:rsidRPr="00F87B9B" w:rsidRDefault="0053532B" w:rsidP="00B00D2A">
            <w:pPr>
              <w:spacing w:after="0"/>
              <w:rPr>
                <w:noProof/>
                <w:sz w:val="20"/>
                <w:szCs w:val="20"/>
              </w:rPr>
            </w:pPr>
            <w:r w:rsidRPr="00F87B9B">
              <w:rPr>
                <w:noProof/>
                <w:sz w:val="20"/>
                <w:szCs w:val="20"/>
              </w:rPr>
              <w:t>neutral</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tcPr>
          <w:p w14:paraId="626188FD" w14:textId="77777777" w:rsidR="0053532B" w:rsidRPr="00F87B9B" w:rsidRDefault="0053532B" w:rsidP="00B00D2A">
            <w:pPr>
              <w:spacing w:after="0"/>
              <w:rPr>
                <w:noProof/>
                <w:sz w:val="20"/>
                <w:szCs w:val="20"/>
              </w:rPr>
            </w:pPr>
            <w:r w:rsidRPr="00F87B9B">
              <w:rPr>
                <w:noProof/>
                <w:sz w:val="20"/>
                <w:szCs w:val="20"/>
              </w:rPr>
              <w:t>neutral</w:t>
            </w:r>
          </w:p>
        </w:tc>
      </w:tr>
      <w:tr w:rsidR="0053532B" w:rsidRPr="00F87B9B" w14:paraId="57E03CF0" w14:textId="77777777" w:rsidTr="572DCBD2">
        <w:trPr>
          <w:trHeight w:val="30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3E264F4F" w14:textId="77777777" w:rsidR="0053532B" w:rsidRPr="00F87B9B" w:rsidRDefault="0053532B" w:rsidP="00B00D2A">
            <w:pPr>
              <w:spacing w:after="0"/>
              <w:rPr>
                <w:noProof/>
                <w:sz w:val="20"/>
                <w:szCs w:val="20"/>
              </w:rPr>
            </w:pPr>
            <w:r w:rsidRPr="00F87B9B">
              <w:rPr>
                <w:noProof/>
                <w:sz w:val="20"/>
                <w:szCs w:val="20"/>
              </w:rPr>
              <w:t>Operators</w:t>
            </w:r>
          </w:p>
        </w:tc>
        <w:tc>
          <w:tcPr>
            <w:tcW w:w="2380" w:type="dxa"/>
            <w:tcBorders>
              <w:top w:val="single" w:sz="8" w:space="0" w:color="auto"/>
              <w:left w:val="single" w:sz="8" w:space="0" w:color="auto"/>
              <w:bottom w:val="single" w:sz="8" w:space="0" w:color="auto"/>
              <w:right w:val="single" w:sz="8" w:space="0" w:color="auto"/>
            </w:tcBorders>
            <w:tcMar>
              <w:left w:w="108" w:type="dxa"/>
              <w:right w:w="108" w:type="dxa"/>
            </w:tcMar>
          </w:tcPr>
          <w:p w14:paraId="5EBD669C" w14:textId="77777777" w:rsidR="0053532B" w:rsidRPr="00F87B9B" w:rsidRDefault="0053532B" w:rsidP="00B00D2A">
            <w:pPr>
              <w:spacing w:after="0"/>
              <w:rPr>
                <w:noProof/>
                <w:sz w:val="20"/>
                <w:szCs w:val="20"/>
              </w:rPr>
            </w:pPr>
            <w:r w:rsidRPr="00F87B9B">
              <w:rPr>
                <w:noProof/>
                <w:sz w:val="20"/>
                <w:szCs w:val="20"/>
              </w:rPr>
              <w:t xml:space="preserve">(---) Higher costs than in Option 2 and 3 </w:t>
            </w:r>
          </w:p>
          <w:p w14:paraId="23165181" w14:textId="77777777" w:rsidR="0053532B" w:rsidRPr="00F87B9B" w:rsidRDefault="0053532B" w:rsidP="00B00D2A">
            <w:pPr>
              <w:spacing w:after="0"/>
              <w:rPr>
                <w:noProof/>
                <w:sz w:val="20"/>
                <w:szCs w:val="20"/>
              </w:rPr>
            </w:pPr>
            <w:r w:rsidRPr="00F87B9B">
              <w:rPr>
                <w:noProof/>
                <w:sz w:val="20"/>
                <w:szCs w:val="20"/>
              </w:rPr>
              <w:t xml:space="preserve"> </w:t>
            </w:r>
          </w:p>
          <w:p w14:paraId="2A418BBF" w14:textId="1BDE7BC9" w:rsidR="0053532B" w:rsidRPr="00F87B9B" w:rsidRDefault="0053532B" w:rsidP="00B00D2A">
            <w:pPr>
              <w:spacing w:after="0"/>
              <w:rPr>
                <w:noProof/>
                <w:sz w:val="20"/>
                <w:szCs w:val="20"/>
              </w:rPr>
            </w:pPr>
            <w:r w:rsidRPr="00F87B9B">
              <w:rPr>
                <w:noProof/>
                <w:sz w:val="20"/>
                <w:szCs w:val="20"/>
              </w:rPr>
              <w:t>For GA: Many (</w:t>
            </w:r>
            <w:r w:rsidR="007F1F8D">
              <w:rPr>
                <w:noProof/>
                <w:sz w:val="20"/>
                <w:szCs w:val="20"/>
              </w:rPr>
              <w:t>up to</w:t>
            </w:r>
            <w:r w:rsidRPr="00F87B9B">
              <w:rPr>
                <w:noProof/>
                <w:sz w:val="20"/>
                <w:szCs w:val="20"/>
              </w:rPr>
              <w:t xml:space="preserve"> 27) one</w:t>
            </w:r>
            <w:r w:rsidR="007F1F8D">
              <w:rPr>
                <w:noProof/>
                <w:sz w:val="20"/>
                <w:szCs w:val="20"/>
              </w:rPr>
              <w:t>-</w:t>
            </w:r>
            <w:r w:rsidRPr="00F87B9B">
              <w:rPr>
                <w:noProof/>
                <w:sz w:val="20"/>
                <w:szCs w:val="20"/>
              </w:rPr>
              <w:t>off costs for the general authorisation regime, emphasis on enforcement of the current regime.</w:t>
            </w:r>
          </w:p>
          <w:p w14:paraId="2F9AD59C" w14:textId="77777777" w:rsidR="0053532B" w:rsidRPr="00F87B9B" w:rsidRDefault="0053532B" w:rsidP="00B00D2A">
            <w:pPr>
              <w:spacing w:after="0"/>
              <w:rPr>
                <w:noProof/>
                <w:sz w:val="20"/>
                <w:szCs w:val="20"/>
              </w:rPr>
            </w:pPr>
            <w:r w:rsidRPr="00F87B9B">
              <w:rPr>
                <w:noProof/>
                <w:sz w:val="20"/>
                <w:szCs w:val="20"/>
              </w:rPr>
              <w:t xml:space="preserve"> </w:t>
            </w:r>
          </w:p>
          <w:p w14:paraId="6201967D" w14:textId="5543BCE1" w:rsidR="0053532B" w:rsidRPr="00F87B9B" w:rsidRDefault="0053532B" w:rsidP="00B00D2A">
            <w:pPr>
              <w:spacing w:after="0"/>
              <w:rPr>
                <w:noProof/>
                <w:sz w:val="20"/>
                <w:szCs w:val="20"/>
              </w:rPr>
            </w:pPr>
            <w:r w:rsidRPr="00F87B9B">
              <w:rPr>
                <w:noProof/>
                <w:sz w:val="20"/>
                <w:szCs w:val="20"/>
              </w:rPr>
              <w:t>For GA: Cost of national authorisation in each MS remains</w:t>
            </w:r>
            <w:r w:rsidR="000013A4">
              <w:rPr>
                <w:noProof/>
                <w:sz w:val="20"/>
                <w:szCs w:val="20"/>
              </w:rPr>
              <w:t>,</w:t>
            </w:r>
            <w:r w:rsidRPr="00F87B9B">
              <w:rPr>
                <w:noProof/>
                <w:sz w:val="20"/>
                <w:szCs w:val="20"/>
              </w:rPr>
              <w:t xml:space="preserve"> even with one-stop-shop (comparable to baseline). </w:t>
            </w:r>
          </w:p>
          <w:p w14:paraId="71F72AEC" w14:textId="77777777" w:rsidR="0053532B" w:rsidRPr="00F87B9B" w:rsidRDefault="0053532B" w:rsidP="00B00D2A">
            <w:pPr>
              <w:spacing w:after="0"/>
              <w:rPr>
                <w:noProof/>
                <w:sz w:val="20"/>
                <w:szCs w:val="20"/>
              </w:rPr>
            </w:pPr>
            <w:r w:rsidRPr="00F87B9B">
              <w:rPr>
                <w:noProof/>
                <w:sz w:val="20"/>
                <w:szCs w:val="20"/>
              </w:rPr>
              <w:t xml:space="preserve"> </w:t>
            </w:r>
          </w:p>
          <w:p w14:paraId="3236A70E" w14:textId="582B8CCA" w:rsidR="0053532B" w:rsidRPr="00F87B9B" w:rsidRDefault="0053532B" w:rsidP="00B00D2A">
            <w:pPr>
              <w:spacing w:after="0"/>
              <w:rPr>
                <w:noProof/>
                <w:sz w:val="20"/>
                <w:szCs w:val="20"/>
              </w:rPr>
            </w:pPr>
            <w:r w:rsidRPr="00F87B9B">
              <w:rPr>
                <w:noProof/>
                <w:sz w:val="20"/>
                <w:szCs w:val="20"/>
              </w:rPr>
              <w:t>Satellite operators: will still have to pay multiple administrative fees, reporting costs will not change</w:t>
            </w:r>
            <w:r w:rsidR="00AC3345">
              <w:rPr>
                <w:noProof/>
                <w:sz w:val="20"/>
                <w:szCs w:val="20"/>
              </w:rPr>
              <w:t>,</w:t>
            </w:r>
            <w:r w:rsidRPr="00F87B9B">
              <w:rPr>
                <w:noProof/>
                <w:sz w:val="20"/>
                <w:szCs w:val="20"/>
              </w:rPr>
              <w:t xml:space="preserve"> as there would be at least one </w:t>
            </w:r>
            <w:r w:rsidR="00BD44A2">
              <w:rPr>
                <w:noProof/>
                <w:sz w:val="20"/>
                <w:szCs w:val="20"/>
              </w:rPr>
              <w:t>reporting obligation</w:t>
            </w:r>
            <w:r w:rsidRPr="00F87B9B">
              <w:rPr>
                <w:noProof/>
                <w:sz w:val="20"/>
                <w:szCs w:val="20"/>
              </w:rPr>
              <w:t xml:space="preserve"> per Member State. For those operating in </w:t>
            </w:r>
            <w:r w:rsidR="00BD44A2">
              <w:rPr>
                <w:noProof/>
                <w:sz w:val="20"/>
                <w:szCs w:val="20"/>
              </w:rPr>
              <w:t>several</w:t>
            </w:r>
            <w:r w:rsidR="00BD44A2" w:rsidRPr="00F87B9B">
              <w:rPr>
                <w:noProof/>
                <w:sz w:val="20"/>
                <w:szCs w:val="20"/>
              </w:rPr>
              <w:t xml:space="preserve"> </w:t>
            </w:r>
            <w:r w:rsidRPr="00F87B9B">
              <w:rPr>
                <w:noProof/>
                <w:sz w:val="20"/>
                <w:szCs w:val="20"/>
              </w:rPr>
              <w:t xml:space="preserve">Member States, </w:t>
            </w:r>
            <w:r w:rsidR="00283600">
              <w:rPr>
                <w:noProof/>
                <w:sz w:val="20"/>
                <w:szCs w:val="20"/>
              </w:rPr>
              <w:t>there would also be</w:t>
            </w:r>
            <w:r w:rsidRPr="00F87B9B">
              <w:rPr>
                <w:noProof/>
                <w:sz w:val="20"/>
                <w:szCs w:val="20"/>
              </w:rPr>
              <w:t xml:space="preserve"> modest one-off costs to adapt to the common template for satellite authorisations.</w:t>
            </w:r>
          </w:p>
          <w:p w14:paraId="75B39FB8" w14:textId="77777777" w:rsidR="0053532B" w:rsidRPr="00F87B9B" w:rsidRDefault="0053532B" w:rsidP="00B00D2A">
            <w:pPr>
              <w:spacing w:after="0"/>
              <w:rPr>
                <w:noProof/>
                <w:sz w:val="20"/>
                <w:szCs w:val="20"/>
              </w:rPr>
            </w:pPr>
            <w:r w:rsidRPr="00F87B9B">
              <w:rPr>
                <w:noProof/>
                <w:sz w:val="20"/>
                <w:szCs w:val="20"/>
              </w:rPr>
              <w:t xml:space="preserve"> </w:t>
            </w:r>
          </w:p>
          <w:p w14:paraId="07035BAB" w14:textId="55863628" w:rsidR="0053532B" w:rsidRPr="00F87B9B" w:rsidRDefault="0053532B" w:rsidP="00B00D2A">
            <w:pPr>
              <w:spacing w:after="0"/>
              <w:rPr>
                <w:noProof/>
                <w:sz w:val="20"/>
                <w:szCs w:val="20"/>
              </w:rPr>
            </w:pPr>
            <w:r w:rsidRPr="00F87B9B">
              <w:rPr>
                <w:noProof/>
                <w:sz w:val="20"/>
                <w:szCs w:val="20"/>
              </w:rPr>
              <w:t>NRAs or SMAs impose</w:t>
            </w:r>
            <w:r w:rsidR="009D4F1D">
              <w:rPr>
                <w:noProof/>
                <w:sz w:val="20"/>
                <w:szCs w:val="20"/>
              </w:rPr>
              <w:t>,</w:t>
            </w:r>
            <w:r w:rsidRPr="00F87B9B">
              <w:rPr>
                <w:noProof/>
                <w:sz w:val="20"/>
                <w:szCs w:val="20"/>
              </w:rPr>
              <w:t xml:space="preserve"> on average</w:t>
            </w:r>
            <w:r w:rsidR="009D4F1D">
              <w:rPr>
                <w:noProof/>
                <w:sz w:val="20"/>
                <w:szCs w:val="20"/>
              </w:rPr>
              <w:t>,</w:t>
            </w:r>
            <w:r w:rsidRPr="00F87B9B">
              <w:rPr>
                <w:noProof/>
                <w:sz w:val="20"/>
                <w:szCs w:val="20"/>
              </w:rPr>
              <w:t xml:space="preserve"> one-off administrative cost for satellite authorisation (general and individual) </w:t>
            </w:r>
            <w:r w:rsidR="00DA2D33">
              <w:rPr>
                <w:noProof/>
                <w:sz w:val="20"/>
                <w:szCs w:val="20"/>
              </w:rPr>
              <w:t>of</w:t>
            </w:r>
            <w:r w:rsidR="00DA2D33" w:rsidRPr="00F87B9B">
              <w:rPr>
                <w:noProof/>
                <w:sz w:val="20"/>
                <w:szCs w:val="20"/>
              </w:rPr>
              <w:t xml:space="preserve"> </w:t>
            </w:r>
            <w:r w:rsidRPr="00F87B9B">
              <w:rPr>
                <w:noProof/>
                <w:sz w:val="20"/>
                <w:szCs w:val="20"/>
              </w:rPr>
              <w:t xml:space="preserve">up to </w:t>
            </w:r>
            <w:r>
              <w:rPr>
                <w:noProof/>
                <w:sz w:val="20"/>
                <w:szCs w:val="20"/>
              </w:rPr>
              <w:t>EUR </w:t>
            </w:r>
            <w:r w:rsidRPr="00F87B9B">
              <w:rPr>
                <w:noProof/>
                <w:sz w:val="20"/>
                <w:szCs w:val="20"/>
              </w:rPr>
              <w:t>160</w:t>
            </w:r>
            <w:r>
              <w:rPr>
                <w:noProof/>
                <w:sz w:val="20"/>
                <w:szCs w:val="20"/>
              </w:rPr>
              <w:t> </w:t>
            </w:r>
            <w:r w:rsidRPr="00F87B9B">
              <w:rPr>
                <w:noProof/>
                <w:sz w:val="20"/>
                <w:szCs w:val="20"/>
              </w:rPr>
              <w:t xml:space="preserve">000. In addition, site authorisation for satellite ground stations </w:t>
            </w:r>
            <w:r w:rsidR="00367FAA">
              <w:rPr>
                <w:noProof/>
                <w:sz w:val="20"/>
                <w:szCs w:val="20"/>
              </w:rPr>
              <w:t>entails</w:t>
            </w:r>
            <w:r w:rsidR="00367FAA" w:rsidRPr="00F87B9B">
              <w:rPr>
                <w:noProof/>
                <w:sz w:val="20"/>
                <w:szCs w:val="20"/>
              </w:rPr>
              <w:t xml:space="preserve"> </w:t>
            </w:r>
            <w:r w:rsidRPr="00F87B9B">
              <w:rPr>
                <w:noProof/>
                <w:sz w:val="20"/>
                <w:szCs w:val="20"/>
              </w:rPr>
              <w:t xml:space="preserve">a one-off permit cost </w:t>
            </w:r>
            <w:r w:rsidR="00367FAA">
              <w:rPr>
                <w:noProof/>
                <w:sz w:val="20"/>
                <w:szCs w:val="20"/>
              </w:rPr>
              <w:t>of</w:t>
            </w:r>
            <w:r w:rsidR="00367FAA" w:rsidRPr="00F87B9B">
              <w:rPr>
                <w:noProof/>
                <w:sz w:val="20"/>
                <w:szCs w:val="20"/>
              </w:rPr>
              <w:t xml:space="preserve"> </w:t>
            </w:r>
            <w:r w:rsidRPr="00F87B9B">
              <w:rPr>
                <w:noProof/>
                <w:sz w:val="20"/>
                <w:szCs w:val="20"/>
              </w:rPr>
              <w:t xml:space="preserve">up to </w:t>
            </w:r>
            <w:r>
              <w:rPr>
                <w:noProof/>
                <w:sz w:val="20"/>
                <w:szCs w:val="20"/>
              </w:rPr>
              <w:t>EUR </w:t>
            </w:r>
            <w:r w:rsidRPr="00F87B9B">
              <w:rPr>
                <w:noProof/>
                <w:sz w:val="20"/>
                <w:szCs w:val="20"/>
              </w:rPr>
              <w:t>130</w:t>
            </w:r>
            <w:r>
              <w:rPr>
                <w:noProof/>
                <w:sz w:val="20"/>
                <w:szCs w:val="20"/>
              </w:rPr>
              <w:t> </w:t>
            </w:r>
            <w:r w:rsidRPr="00F87B9B">
              <w:rPr>
                <w:noProof/>
                <w:sz w:val="20"/>
                <w:szCs w:val="20"/>
              </w:rPr>
              <w:t>000</w:t>
            </w:r>
            <w:r w:rsidR="00673A00">
              <w:rPr>
                <w:noProof/>
                <w:sz w:val="20"/>
                <w:szCs w:val="20"/>
              </w:rPr>
              <w:t>,</w:t>
            </w:r>
            <w:r w:rsidRPr="00F87B9B">
              <w:rPr>
                <w:noProof/>
                <w:sz w:val="20"/>
                <w:szCs w:val="20"/>
              </w:rPr>
              <w:t xml:space="preserve"> </w:t>
            </w:r>
            <w:r w:rsidR="00673A00">
              <w:rPr>
                <w:noProof/>
                <w:sz w:val="20"/>
                <w:szCs w:val="20"/>
              </w:rPr>
              <w:t>with</w:t>
            </w:r>
            <w:r w:rsidR="00673A00" w:rsidRPr="00F87B9B">
              <w:rPr>
                <w:noProof/>
                <w:sz w:val="20"/>
                <w:szCs w:val="20"/>
              </w:rPr>
              <w:t xml:space="preserve"> </w:t>
            </w:r>
            <w:r w:rsidRPr="00F87B9B">
              <w:rPr>
                <w:noProof/>
                <w:sz w:val="20"/>
                <w:szCs w:val="20"/>
              </w:rPr>
              <w:t xml:space="preserve">annual </w:t>
            </w:r>
            <w:r w:rsidR="009F7AD8">
              <w:rPr>
                <w:noProof/>
                <w:sz w:val="20"/>
                <w:szCs w:val="20"/>
              </w:rPr>
              <w:t>cost reach</w:t>
            </w:r>
            <w:r w:rsidR="00673A00">
              <w:rPr>
                <w:noProof/>
                <w:sz w:val="20"/>
                <w:szCs w:val="20"/>
              </w:rPr>
              <w:t>ing</w:t>
            </w:r>
            <w:r w:rsidRPr="00F87B9B">
              <w:rPr>
                <w:noProof/>
                <w:sz w:val="20"/>
                <w:szCs w:val="20"/>
              </w:rPr>
              <w:t xml:space="preserve"> up to </w:t>
            </w:r>
            <w:r>
              <w:rPr>
                <w:noProof/>
                <w:sz w:val="20"/>
                <w:szCs w:val="20"/>
              </w:rPr>
              <w:t>EUR </w:t>
            </w:r>
            <w:r w:rsidRPr="00F87B9B">
              <w:rPr>
                <w:noProof/>
                <w:sz w:val="20"/>
                <w:szCs w:val="20"/>
              </w:rPr>
              <w:t>30</w:t>
            </w:r>
            <w:r>
              <w:rPr>
                <w:noProof/>
                <w:sz w:val="20"/>
                <w:szCs w:val="20"/>
              </w:rPr>
              <w:t> </w:t>
            </w:r>
            <w:r w:rsidRPr="00F87B9B">
              <w:rPr>
                <w:noProof/>
                <w:sz w:val="20"/>
                <w:szCs w:val="20"/>
              </w:rPr>
              <w:t>000. Further</w:t>
            </w:r>
            <w:r w:rsidR="00673A00">
              <w:rPr>
                <w:noProof/>
                <w:sz w:val="20"/>
                <w:szCs w:val="20"/>
              </w:rPr>
              <w:t>more</w:t>
            </w:r>
            <w:r w:rsidRPr="00F87B9B">
              <w:rPr>
                <w:noProof/>
                <w:sz w:val="20"/>
                <w:szCs w:val="20"/>
              </w:rPr>
              <w:t>, some Member States also apply spectrum usage charges</w:t>
            </w:r>
            <w:r w:rsidR="00B5126F">
              <w:rPr>
                <w:noProof/>
                <w:sz w:val="20"/>
                <w:szCs w:val="20"/>
              </w:rPr>
              <w:t>,</w:t>
            </w:r>
            <w:r w:rsidRPr="00F87B9B">
              <w:rPr>
                <w:noProof/>
                <w:sz w:val="20"/>
                <w:szCs w:val="20"/>
              </w:rPr>
              <w:t xml:space="preserve"> which </w:t>
            </w:r>
            <w:r w:rsidR="00B5126F">
              <w:rPr>
                <w:noProof/>
                <w:sz w:val="20"/>
                <w:szCs w:val="20"/>
              </w:rPr>
              <w:t>may amount</w:t>
            </w:r>
            <w:r w:rsidRPr="00F87B9B">
              <w:rPr>
                <w:noProof/>
                <w:sz w:val="20"/>
                <w:szCs w:val="20"/>
              </w:rPr>
              <w:t xml:space="preserve"> up to </w:t>
            </w:r>
            <w:r>
              <w:rPr>
                <w:noProof/>
                <w:sz w:val="20"/>
                <w:szCs w:val="20"/>
              </w:rPr>
              <w:t>EUR </w:t>
            </w:r>
            <w:r w:rsidRPr="00F87B9B">
              <w:rPr>
                <w:noProof/>
                <w:sz w:val="20"/>
                <w:szCs w:val="20"/>
              </w:rPr>
              <w:t>10</w:t>
            </w:r>
            <w:r>
              <w:rPr>
                <w:noProof/>
                <w:sz w:val="20"/>
                <w:szCs w:val="20"/>
              </w:rPr>
              <w:t> </w:t>
            </w:r>
            <w:r w:rsidRPr="00F87B9B">
              <w:rPr>
                <w:noProof/>
                <w:sz w:val="20"/>
                <w:szCs w:val="20"/>
              </w:rPr>
              <w:t>000</w:t>
            </w:r>
            <w:r w:rsidR="00AA470E">
              <w:rPr>
                <w:noProof/>
                <w:sz w:val="20"/>
                <w:szCs w:val="20"/>
              </w:rPr>
              <w:t>/</w:t>
            </w:r>
            <w:r w:rsidRPr="00F87B9B">
              <w:rPr>
                <w:noProof/>
                <w:sz w:val="20"/>
                <w:szCs w:val="20"/>
              </w:rPr>
              <w:t xml:space="preserve"> site </w:t>
            </w:r>
            <w:r w:rsidR="0055264B" w:rsidRPr="00F87B9B">
              <w:rPr>
                <w:noProof/>
                <w:sz w:val="20"/>
                <w:szCs w:val="20"/>
              </w:rPr>
              <w:t>annually</w:t>
            </w:r>
            <w:r w:rsidRPr="00F87B9B">
              <w:rPr>
                <w:noProof/>
                <w:sz w:val="20"/>
                <w:szCs w:val="20"/>
              </w:rPr>
              <w:t xml:space="preserve"> (according to operators</w:t>
            </w:r>
            <w:r w:rsidR="00377523">
              <w:rPr>
                <w:noProof/>
                <w:sz w:val="20"/>
                <w:szCs w:val="20"/>
              </w:rPr>
              <w:t>’</w:t>
            </w:r>
            <w:r w:rsidRPr="00F87B9B">
              <w:rPr>
                <w:noProof/>
                <w:sz w:val="20"/>
                <w:szCs w:val="20"/>
              </w:rPr>
              <w:t xml:space="preserve"> input).</w:t>
            </w:r>
          </w:p>
          <w:p w14:paraId="26E0727C" w14:textId="77777777" w:rsidR="0053532B" w:rsidRPr="00F87B9B" w:rsidRDefault="0053532B" w:rsidP="00B00D2A">
            <w:pPr>
              <w:spacing w:after="0"/>
              <w:rPr>
                <w:noProof/>
                <w:sz w:val="20"/>
                <w:szCs w:val="20"/>
              </w:rPr>
            </w:pPr>
            <w:r w:rsidRPr="00F87B9B">
              <w:rPr>
                <w:noProof/>
                <w:sz w:val="20"/>
                <w:szCs w:val="20"/>
              </w:rPr>
              <w:t xml:space="preserve"> </w:t>
            </w:r>
          </w:p>
          <w:p w14:paraId="0B94BDD7" w14:textId="77777777" w:rsidR="0053532B" w:rsidRPr="00F87B9B" w:rsidRDefault="0053532B" w:rsidP="00B00D2A">
            <w:pPr>
              <w:spacing w:after="0"/>
              <w:rPr>
                <w:noProof/>
                <w:sz w:val="20"/>
                <w:szCs w:val="20"/>
              </w:rPr>
            </w:pPr>
            <w:r w:rsidRPr="00F87B9B">
              <w:rPr>
                <w:noProof/>
                <w:sz w:val="20"/>
                <w:szCs w:val="20"/>
              </w:rPr>
              <w:t xml:space="preserve"> </w:t>
            </w:r>
          </w:p>
        </w:tc>
        <w:tc>
          <w:tcPr>
            <w:tcW w:w="2904" w:type="dxa"/>
            <w:tcBorders>
              <w:top w:val="single" w:sz="8" w:space="0" w:color="auto"/>
              <w:left w:val="single" w:sz="8" w:space="0" w:color="auto"/>
              <w:bottom w:val="single" w:sz="8" w:space="0" w:color="auto"/>
              <w:right w:val="single" w:sz="8" w:space="0" w:color="auto"/>
            </w:tcBorders>
            <w:tcMar>
              <w:left w:w="108" w:type="dxa"/>
              <w:right w:w="108" w:type="dxa"/>
            </w:tcMar>
          </w:tcPr>
          <w:p w14:paraId="64439CD2" w14:textId="77777777" w:rsidR="0053532B" w:rsidRPr="00F87B9B" w:rsidRDefault="0053532B" w:rsidP="00B00D2A">
            <w:pPr>
              <w:spacing w:after="0"/>
              <w:rPr>
                <w:noProof/>
                <w:sz w:val="20"/>
                <w:szCs w:val="20"/>
              </w:rPr>
            </w:pPr>
            <w:r w:rsidRPr="00F87B9B">
              <w:rPr>
                <w:noProof/>
                <w:sz w:val="20"/>
                <w:szCs w:val="20"/>
              </w:rPr>
              <w:t xml:space="preserve">(-) Small one-off cost to adapt to the harmonised conditions (both for GA and EU Satellite Authorisation) </w:t>
            </w:r>
          </w:p>
          <w:p w14:paraId="10E41B94" w14:textId="77777777" w:rsidR="0053532B" w:rsidRPr="00F87B9B" w:rsidRDefault="0053532B" w:rsidP="00B00D2A">
            <w:pPr>
              <w:spacing w:after="0"/>
              <w:rPr>
                <w:noProof/>
                <w:sz w:val="20"/>
                <w:szCs w:val="20"/>
              </w:rPr>
            </w:pPr>
          </w:p>
          <w:p w14:paraId="3583DBB9" w14:textId="77777777" w:rsidR="002D3357" w:rsidRDefault="0053532B" w:rsidP="00B00D2A">
            <w:pPr>
              <w:spacing w:after="0"/>
              <w:rPr>
                <w:noProof/>
                <w:sz w:val="20"/>
                <w:szCs w:val="20"/>
              </w:rPr>
            </w:pPr>
            <w:r w:rsidRPr="00F87B9B">
              <w:rPr>
                <w:noProof/>
                <w:sz w:val="20"/>
                <w:szCs w:val="20"/>
              </w:rPr>
              <w:t xml:space="preserve">For GA: Lower than in option 1. Notification in 1 MS only (cost reduction from potentially 27) but (--) enforcement remains at country of destination level. </w:t>
            </w:r>
          </w:p>
          <w:p w14:paraId="02D5D54B" w14:textId="77777777" w:rsidR="002D3357" w:rsidRDefault="002D3357" w:rsidP="00B00D2A">
            <w:pPr>
              <w:spacing w:after="0"/>
              <w:rPr>
                <w:noProof/>
                <w:sz w:val="20"/>
                <w:szCs w:val="20"/>
              </w:rPr>
            </w:pPr>
          </w:p>
          <w:p w14:paraId="2401F68C" w14:textId="7A276CD1" w:rsidR="006C791F" w:rsidRDefault="0053532B" w:rsidP="00B00D2A">
            <w:pPr>
              <w:spacing w:after="0"/>
              <w:rPr>
                <w:noProof/>
                <w:sz w:val="20"/>
                <w:szCs w:val="20"/>
              </w:rPr>
            </w:pPr>
            <w:r w:rsidRPr="00F87B9B">
              <w:rPr>
                <w:noProof/>
                <w:sz w:val="20"/>
                <w:szCs w:val="20"/>
              </w:rPr>
              <w:t xml:space="preserve">For satellite: the </w:t>
            </w:r>
            <w:r w:rsidR="00C90CAF">
              <w:rPr>
                <w:noProof/>
                <w:sz w:val="20"/>
                <w:szCs w:val="20"/>
              </w:rPr>
              <w:t xml:space="preserve">overall </w:t>
            </w:r>
            <w:r w:rsidRPr="00F87B9B">
              <w:rPr>
                <w:noProof/>
                <w:sz w:val="20"/>
                <w:szCs w:val="20"/>
              </w:rPr>
              <w:t xml:space="preserve">costs </w:t>
            </w:r>
            <w:r w:rsidR="00542403">
              <w:rPr>
                <w:noProof/>
                <w:sz w:val="20"/>
                <w:szCs w:val="20"/>
              </w:rPr>
              <w:t xml:space="preserve">for the </w:t>
            </w:r>
            <w:r w:rsidR="00CC76DE">
              <w:rPr>
                <w:noProof/>
                <w:sz w:val="20"/>
                <w:szCs w:val="20"/>
              </w:rPr>
              <w:t xml:space="preserve">operator for the </w:t>
            </w:r>
            <w:r w:rsidR="006C791F">
              <w:rPr>
                <w:noProof/>
                <w:sz w:val="20"/>
                <w:szCs w:val="20"/>
              </w:rPr>
              <w:t xml:space="preserve">authorisation process will be </w:t>
            </w:r>
            <w:r w:rsidRPr="00F87B9B">
              <w:rPr>
                <w:noProof/>
                <w:sz w:val="20"/>
                <w:szCs w:val="20"/>
              </w:rPr>
              <w:t>much lower than in option 1, see estimates of reduction of costs under operator’s benefits (substantial reduction of administrative burden due to EU</w:t>
            </w:r>
            <w:r w:rsidR="0029360A">
              <w:rPr>
                <w:noProof/>
                <w:sz w:val="20"/>
                <w:szCs w:val="20"/>
              </w:rPr>
              <w:t>-level</w:t>
            </w:r>
            <w:r w:rsidRPr="00F87B9B">
              <w:rPr>
                <w:noProof/>
                <w:sz w:val="20"/>
                <w:szCs w:val="20"/>
              </w:rPr>
              <w:t xml:space="preserve"> authorisation replac</w:t>
            </w:r>
            <w:r w:rsidR="0029360A">
              <w:rPr>
                <w:noProof/>
                <w:sz w:val="20"/>
                <w:szCs w:val="20"/>
              </w:rPr>
              <w:t>ing</w:t>
            </w:r>
            <w:r w:rsidRPr="00F87B9B">
              <w:rPr>
                <w:noProof/>
                <w:sz w:val="20"/>
                <w:szCs w:val="20"/>
              </w:rPr>
              <w:t xml:space="preserve"> the 27 authorisations </w:t>
            </w:r>
            <w:r w:rsidR="00DE7DBD">
              <w:rPr>
                <w:noProof/>
                <w:sz w:val="20"/>
                <w:szCs w:val="20"/>
              </w:rPr>
              <w:t>required</w:t>
            </w:r>
            <w:r w:rsidR="00DE7DBD" w:rsidRPr="00F87B9B">
              <w:rPr>
                <w:noProof/>
                <w:sz w:val="20"/>
                <w:szCs w:val="20"/>
              </w:rPr>
              <w:t xml:space="preserve"> </w:t>
            </w:r>
            <w:r w:rsidRPr="00F87B9B">
              <w:rPr>
                <w:noProof/>
                <w:sz w:val="20"/>
                <w:szCs w:val="20"/>
              </w:rPr>
              <w:t>under the baseline and option 1)</w:t>
            </w:r>
            <w:r w:rsidR="00DE7DBD">
              <w:rPr>
                <w:noProof/>
                <w:sz w:val="20"/>
                <w:szCs w:val="20"/>
              </w:rPr>
              <w:t>,</w:t>
            </w:r>
            <w:r w:rsidR="00CC76DE">
              <w:rPr>
                <w:noProof/>
                <w:sz w:val="20"/>
                <w:szCs w:val="20"/>
              </w:rPr>
              <w:t xml:space="preserve"> despite </w:t>
            </w:r>
            <w:r w:rsidR="00EA5957">
              <w:rPr>
                <w:noProof/>
                <w:sz w:val="20"/>
                <w:szCs w:val="20"/>
              </w:rPr>
              <w:t xml:space="preserve">the possible application of </w:t>
            </w:r>
            <w:r w:rsidR="00B6240D">
              <w:rPr>
                <w:noProof/>
                <w:sz w:val="20"/>
                <w:szCs w:val="20"/>
              </w:rPr>
              <w:t>an EU-level</w:t>
            </w:r>
            <w:r w:rsidR="00EA5957">
              <w:rPr>
                <w:noProof/>
                <w:sz w:val="20"/>
                <w:szCs w:val="20"/>
              </w:rPr>
              <w:t xml:space="preserve"> </w:t>
            </w:r>
            <w:r w:rsidR="00CC76DE">
              <w:rPr>
                <w:noProof/>
                <w:sz w:val="20"/>
                <w:szCs w:val="20"/>
              </w:rPr>
              <w:t>spectrum fee</w:t>
            </w:r>
            <w:r w:rsidR="00B6240D">
              <w:rPr>
                <w:noProof/>
                <w:sz w:val="20"/>
                <w:szCs w:val="20"/>
              </w:rPr>
              <w:t xml:space="preserve"> or </w:t>
            </w:r>
            <w:r w:rsidR="0071573D">
              <w:rPr>
                <w:noProof/>
                <w:sz w:val="20"/>
                <w:szCs w:val="20"/>
              </w:rPr>
              <w:t>administrative charge</w:t>
            </w:r>
            <w:r w:rsidR="00CC76DE">
              <w:rPr>
                <w:noProof/>
                <w:sz w:val="20"/>
                <w:szCs w:val="20"/>
              </w:rPr>
              <w:t xml:space="preserve"> </w:t>
            </w:r>
          </w:p>
          <w:p w14:paraId="1A02B6D6" w14:textId="5885E729" w:rsidR="0053532B" w:rsidRPr="00F87B9B" w:rsidRDefault="0053532B" w:rsidP="00B00D2A">
            <w:pPr>
              <w:spacing w:after="0"/>
              <w:rPr>
                <w:noProof/>
                <w:sz w:val="20"/>
                <w:szCs w:val="20"/>
              </w:rPr>
            </w:pPr>
            <w:r w:rsidRPr="00F87B9B">
              <w:rPr>
                <w:noProof/>
                <w:sz w:val="20"/>
                <w:szCs w:val="20"/>
              </w:rPr>
              <w:t xml:space="preserve"> </w:t>
            </w:r>
          </w:p>
          <w:p w14:paraId="752D00D0" w14:textId="77777777" w:rsidR="0053532B" w:rsidRPr="00F87B9B" w:rsidRDefault="0053532B" w:rsidP="00B00D2A">
            <w:pPr>
              <w:spacing w:after="0"/>
              <w:rPr>
                <w:noProof/>
                <w:sz w:val="20"/>
                <w:szCs w:val="20"/>
              </w:rPr>
            </w:pPr>
            <w:r w:rsidRPr="00F87B9B">
              <w:rPr>
                <w:noProof/>
                <w:sz w:val="20"/>
                <w:szCs w:val="20"/>
              </w:rPr>
              <w:t xml:space="preserve"> </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tcPr>
          <w:p w14:paraId="5A8519EE" w14:textId="77777777" w:rsidR="0053532B" w:rsidRPr="00F87B9B" w:rsidRDefault="0053532B" w:rsidP="00B00D2A">
            <w:pPr>
              <w:spacing w:after="0"/>
              <w:rPr>
                <w:noProof/>
                <w:sz w:val="20"/>
                <w:szCs w:val="20"/>
              </w:rPr>
            </w:pPr>
            <w:r w:rsidRPr="00F87B9B">
              <w:rPr>
                <w:noProof/>
                <w:sz w:val="20"/>
                <w:szCs w:val="20"/>
              </w:rPr>
              <w:t>(-) Lower costs of adaptation to the new GA regime than in option 1 and 2 (but only for a limi</w:t>
            </w:r>
            <w:r>
              <w:rPr>
                <w:noProof/>
                <w:sz w:val="20"/>
                <w:szCs w:val="20"/>
              </w:rPr>
              <w:t>t</w:t>
            </w:r>
            <w:r w:rsidRPr="00F87B9B">
              <w:rPr>
                <w:noProof/>
                <w:sz w:val="20"/>
                <w:szCs w:val="20"/>
              </w:rPr>
              <w:t>ed scope of players, i.e. cross-border and B2B)</w:t>
            </w:r>
          </w:p>
          <w:p w14:paraId="3F40AEBB" w14:textId="77777777" w:rsidR="0053532B" w:rsidRPr="00F87B9B" w:rsidRDefault="0053532B" w:rsidP="00B00D2A">
            <w:pPr>
              <w:spacing w:after="0"/>
              <w:rPr>
                <w:i/>
                <w:iCs/>
                <w:noProof/>
                <w:sz w:val="20"/>
                <w:szCs w:val="20"/>
              </w:rPr>
            </w:pPr>
            <w:r w:rsidRPr="00F87B9B">
              <w:rPr>
                <w:i/>
                <w:iCs/>
                <w:noProof/>
                <w:sz w:val="20"/>
                <w:szCs w:val="20"/>
              </w:rPr>
              <w:t xml:space="preserve"> </w:t>
            </w:r>
          </w:p>
          <w:p w14:paraId="2F7C0BA9" w14:textId="1B37DFD1" w:rsidR="0053532B" w:rsidRPr="00F87B9B" w:rsidRDefault="0053532B" w:rsidP="00B00D2A">
            <w:pPr>
              <w:spacing w:after="0"/>
              <w:rPr>
                <w:noProof/>
                <w:sz w:val="20"/>
                <w:szCs w:val="20"/>
              </w:rPr>
            </w:pPr>
            <w:r w:rsidRPr="00F87B9B">
              <w:rPr>
                <w:noProof/>
                <w:sz w:val="20"/>
                <w:szCs w:val="20"/>
              </w:rPr>
              <w:t>For GA: Reduction from 27 to 1 GA regime and enforcement in the country of origin only</w:t>
            </w:r>
            <w:r w:rsidR="00F81FF7">
              <w:rPr>
                <w:noProof/>
                <w:sz w:val="20"/>
                <w:szCs w:val="20"/>
              </w:rPr>
              <w:t>,</w:t>
            </w:r>
            <w:r w:rsidRPr="00F87B9B">
              <w:rPr>
                <w:noProof/>
                <w:sz w:val="20"/>
                <w:szCs w:val="20"/>
              </w:rPr>
              <w:t xml:space="preserve"> but only for limited scope of players (cross-border and B2B).</w:t>
            </w:r>
          </w:p>
          <w:p w14:paraId="44D81010" w14:textId="77777777" w:rsidR="0053532B" w:rsidRPr="00F87B9B" w:rsidRDefault="0053532B" w:rsidP="00B00D2A">
            <w:pPr>
              <w:spacing w:after="0"/>
              <w:rPr>
                <w:noProof/>
                <w:sz w:val="20"/>
                <w:szCs w:val="20"/>
              </w:rPr>
            </w:pPr>
            <w:r w:rsidRPr="00F87B9B">
              <w:rPr>
                <w:noProof/>
                <w:sz w:val="20"/>
                <w:szCs w:val="20"/>
              </w:rPr>
              <w:t xml:space="preserve"> </w:t>
            </w:r>
          </w:p>
          <w:p w14:paraId="2FECFC19" w14:textId="26CAD0F1" w:rsidR="0053532B" w:rsidRPr="00F87B9B" w:rsidRDefault="0053532B" w:rsidP="00B00D2A">
            <w:pPr>
              <w:spacing w:after="0"/>
              <w:rPr>
                <w:noProof/>
                <w:sz w:val="20"/>
                <w:szCs w:val="20"/>
              </w:rPr>
            </w:pPr>
            <w:r w:rsidRPr="00F87B9B">
              <w:rPr>
                <w:noProof/>
                <w:sz w:val="20"/>
                <w:szCs w:val="20"/>
              </w:rPr>
              <w:t xml:space="preserve">For satellite: the costs are much lower than </w:t>
            </w:r>
            <w:r w:rsidR="00263126">
              <w:rPr>
                <w:noProof/>
                <w:sz w:val="20"/>
                <w:szCs w:val="20"/>
              </w:rPr>
              <w:t>under</w:t>
            </w:r>
            <w:r w:rsidR="00263126" w:rsidRPr="00F87B9B">
              <w:rPr>
                <w:noProof/>
                <w:sz w:val="20"/>
                <w:szCs w:val="20"/>
              </w:rPr>
              <w:t xml:space="preserve"> </w:t>
            </w:r>
            <w:r w:rsidRPr="00F87B9B">
              <w:rPr>
                <w:noProof/>
                <w:sz w:val="20"/>
                <w:szCs w:val="20"/>
              </w:rPr>
              <w:t xml:space="preserve">option 1, see estimates of reduction of costs under operator’s benefits (substantial reduction of administrative burden due to country of origin authorisation </w:t>
            </w:r>
            <w:r w:rsidR="00263126">
              <w:rPr>
                <w:noProof/>
                <w:sz w:val="20"/>
                <w:szCs w:val="20"/>
              </w:rPr>
              <w:t>replacing</w:t>
            </w:r>
            <w:r w:rsidRPr="00F87B9B">
              <w:rPr>
                <w:noProof/>
                <w:sz w:val="20"/>
                <w:szCs w:val="20"/>
              </w:rPr>
              <w:t xml:space="preserve"> the 27 authorisations needed under the baseline and option 1). </w:t>
            </w:r>
          </w:p>
          <w:p w14:paraId="31900D18" w14:textId="77777777" w:rsidR="0053532B" w:rsidRPr="00F87B9B" w:rsidRDefault="0053532B" w:rsidP="00B00D2A">
            <w:pPr>
              <w:spacing w:after="0"/>
              <w:rPr>
                <w:noProof/>
                <w:sz w:val="20"/>
                <w:szCs w:val="20"/>
              </w:rPr>
            </w:pPr>
            <w:r w:rsidRPr="00F87B9B">
              <w:rPr>
                <w:noProof/>
                <w:sz w:val="20"/>
                <w:szCs w:val="20"/>
              </w:rPr>
              <w:t xml:space="preserve"> </w:t>
            </w:r>
          </w:p>
          <w:p w14:paraId="7E532C87" w14:textId="768006E0" w:rsidR="0053532B" w:rsidRPr="00F87B9B" w:rsidRDefault="0053532B" w:rsidP="00B00D2A">
            <w:pPr>
              <w:spacing w:before="120" w:after="120"/>
              <w:rPr>
                <w:noProof/>
                <w:sz w:val="20"/>
                <w:szCs w:val="20"/>
              </w:rPr>
            </w:pPr>
            <w:r w:rsidRPr="00F87B9B">
              <w:rPr>
                <w:noProof/>
                <w:sz w:val="20"/>
                <w:szCs w:val="20"/>
              </w:rPr>
              <w:t xml:space="preserve">The centralized procedure is challenging to implement within a national </w:t>
            </w:r>
            <w:r w:rsidR="00AB3C91">
              <w:rPr>
                <w:noProof/>
                <w:sz w:val="20"/>
                <w:szCs w:val="20"/>
              </w:rPr>
              <w:t>c</w:t>
            </w:r>
            <w:r w:rsidR="00AB3C91" w:rsidRPr="00F87B9B">
              <w:rPr>
                <w:noProof/>
                <w:sz w:val="20"/>
                <w:szCs w:val="20"/>
              </w:rPr>
              <w:t>ountry</w:t>
            </w:r>
            <w:r w:rsidR="00AB3C91">
              <w:rPr>
                <w:noProof/>
                <w:sz w:val="20"/>
                <w:szCs w:val="20"/>
              </w:rPr>
              <w:t>-</w:t>
            </w:r>
            <w:r w:rsidRPr="00F87B9B">
              <w:rPr>
                <w:noProof/>
                <w:sz w:val="20"/>
                <w:szCs w:val="20"/>
              </w:rPr>
              <w:t>of</w:t>
            </w:r>
            <w:r w:rsidR="00AB3C91">
              <w:rPr>
                <w:noProof/>
                <w:sz w:val="20"/>
                <w:szCs w:val="20"/>
              </w:rPr>
              <w:t>-</w:t>
            </w:r>
            <w:r w:rsidRPr="00F87B9B">
              <w:rPr>
                <w:noProof/>
                <w:sz w:val="20"/>
                <w:szCs w:val="20"/>
              </w:rPr>
              <w:t>origin authorisation framework for network service providers, including satellite</w:t>
            </w:r>
            <w:r w:rsidR="00511ABB">
              <w:rPr>
                <w:noProof/>
                <w:sz w:val="20"/>
                <w:szCs w:val="20"/>
              </w:rPr>
              <w:t xml:space="preserve"> operators</w:t>
            </w:r>
            <w:r w:rsidRPr="00F87B9B">
              <w:rPr>
                <w:noProof/>
                <w:sz w:val="20"/>
                <w:szCs w:val="20"/>
              </w:rPr>
              <w:t>, operating across multiple EU Member States. Therefore, this option is seen as less effective for ensuring consistent application of the GA regime and reducing fragmentation. While new satellite operators might benefit, existing satellite operations cannot be integrated into the new regime, and new authorizations would likely be granted at different times. Further</w:t>
            </w:r>
            <w:r w:rsidR="009D7CA2">
              <w:rPr>
                <w:noProof/>
                <w:sz w:val="20"/>
                <w:szCs w:val="20"/>
              </w:rPr>
              <w:t>more</w:t>
            </w:r>
            <w:r w:rsidRPr="00F87B9B">
              <w:rPr>
                <w:noProof/>
                <w:sz w:val="20"/>
                <w:szCs w:val="20"/>
              </w:rPr>
              <w:t>, operators will suffer from significant asymmetries</w:t>
            </w:r>
            <w:r w:rsidR="005D03E3">
              <w:rPr>
                <w:noProof/>
                <w:sz w:val="20"/>
                <w:szCs w:val="20"/>
              </w:rPr>
              <w:t>,</w:t>
            </w:r>
            <w:r w:rsidRPr="00F87B9B">
              <w:rPr>
                <w:noProof/>
                <w:sz w:val="20"/>
                <w:szCs w:val="20"/>
              </w:rPr>
              <w:t xml:space="preserve"> since they might direct notifications to few MSs seeking the best applicable regime due to the country</w:t>
            </w:r>
            <w:r w:rsidR="00216430">
              <w:rPr>
                <w:noProof/>
                <w:sz w:val="20"/>
                <w:szCs w:val="20"/>
              </w:rPr>
              <w:t>-</w:t>
            </w:r>
            <w:r w:rsidRPr="00F87B9B">
              <w:rPr>
                <w:noProof/>
                <w:sz w:val="20"/>
                <w:szCs w:val="20"/>
              </w:rPr>
              <w:t>of</w:t>
            </w:r>
            <w:r w:rsidR="00216430">
              <w:rPr>
                <w:noProof/>
                <w:sz w:val="20"/>
                <w:szCs w:val="20"/>
              </w:rPr>
              <w:t>-</w:t>
            </w:r>
            <w:r w:rsidRPr="00F87B9B">
              <w:rPr>
                <w:noProof/>
                <w:sz w:val="20"/>
                <w:szCs w:val="20"/>
              </w:rPr>
              <w:t>origin principle (forum shopping and a "race to the bottom”).</w:t>
            </w:r>
          </w:p>
        </w:tc>
      </w:tr>
      <w:tr w:rsidR="0053532B" w:rsidRPr="00F87B9B" w14:paraId="4DAFED9E" w14:textId="77777777" w:rsidTr="572DCBD2">
        <w:trPr>
          <w:trHeight w:val="30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508EB3CE" w14:textId="77777777" w:rsidR="0053532B" w:rsidRPr="00F87B9B" w:rsidRDefault="0053532B" w:rsidP="00B00D2A">
            <w:pPr>
              <w:spacing w:after="0"/>
              <w:rPr>
                <w:noProof/>
                <w:sz w:val="20"/>
                <w:szCs w:val="20"/>
              </w:rPr>
            </w:pPr>
            <w:r w:rsidRPr="00F87B9B">
              <w:rPr>
                <w:noProof/>
                <w:sz w:val="20"/>
                <w:szCs w:val="20"/>
              </w:rPr>
              <w:t xml:space="preserve">Administration </w:t>
            </w:r>
          </w:p>
        </w:tc>
        <w:tc>
          <w:tcPr>
            <w:tcW w:w="2380" w:type="dxa"/>
            <w:tcBorders>
              <w:top w:val="single" w:sz="8" w:space="0" w:color="auto"/>
              <w:left w:val="single" w:sz="8" w:space="0" w:color="auto"/>
              <w:bottom w:val="single" w:sz="8" w:space="0" w:color="auto"/>
              <w:right w:val="single" w:sz="8" w:space="0" w:color="auto"/>
            </w:tcBorders>
            <w:tcMar>
              <w:left w:w="108" w:type="dxa"/>
              <w:right w:w="108" w:type="dxa"/>
            </w:tcMar>
          </w:tcPr>
          <w:p w14:paraId="0D94BFE7" w14:textId="77777777" w:rsidR="0053532B" w:rsidRPr="00F87B9B" w:rsidRDefault="0053532B" w:rsidP="00B00D2A">
            <w:pPr>
              <w:rPr>
                <w:noProof/>
                <w:sz w:val="20"/>
                <w:szCs w:val="20"/>
              </w:rPr>
            </w:pPr>
            <w:r w:rsidRPr="00F87B9B">
              <w:rPr>
                <w:noProof/>
                <w:sz w:val="20"/>
                <w:szCs w:val="20"/>
              </w:rPr>
              <w:t>(-) Administrations will have to face one-off costs to operationally adapt to the improved non-mandatory notification template for general authorisation by BEREC and the template for satellite authorisation. Fee collection and enforcement will continue at a national level.</w:t>
            </w:r>
          </w:p>
          <w:p w14:paraId="1E92C122" w14:textId="2894B40A" w:rsidR="0053532B" w:rsidRPr="00F87B9B" w:rsidRDefault="0053532B" w:rsidP="00B00D2A">
            <w:pPr>
              <w:spacing w:after="0"/>
              <w:rPr>
                <w:b/>
                <w:bCs/>
                <w:noProof/>
                <w:sz w:val="20"/>
                <w:szCs w:val="20"/>
              </w:rPr>
            </w:pPr>
            <w:r w:rsidRPr="00F87B9B">
              <w:rPr>
                <w:noProof/>
                <w:sz w:val="20"/>
                <w:szCs w:val="20"/>
              </w:rPr>
              <w:t>For GA: the total staff requirement across all MS</w:t>
            </w:r>
            <w:r w:rsidR="00C37EF0">
              <w:rPr>
                <w:noProof/>
                <w:sz w:val="20"/>
                <w:szCs w:val="20"/>
              </w:rPr>
              <w:t>s</w:t>
            </w:r>
            <w:r w:rsidRPr="00F87B9B">
              <w:rPr>
                <w:noProof/>
                <w:sz w:val="20"/>
                <w:szCs w:val="20"/>
              </w:rPr>
              <w:t>/NRAs would not increase under option 1 as it is in the baseline (currently MS/NRAs have approximately 8 FTEs). For satellite authorisation</w:t>
            </w:r>
            <w:r w:rsidR="008B6601">
              <w:rPr>
                <w:noProof/>
                <w:sz w:val="20"/>
                <w:szCs w:val="20"/>
              </w:rPr>
              <w:t>,</w:t>
            </w:r>
            <w:r w:rsidRPr="00F87B9B">
              <w:rPr>
                <w:noProof/>
                <w:sz w:val="20"/>
                <w:szCs w:val="20"/>
              </w:rPr>
              <w:t xml:space="preserve"> the total staff requirement across all MS would be similar to the baseline estimated at 98FTEs for authorisation and enforcement plus increases to cope with the increased workload steaming from satellite authorisations requests (</w:t>
            </w:r>
            <w:r w:rsidRPr="000939E2">
              <w:rPr>
                <w:noProof/>
                <w:sz w:val="20"/>
                <w:szCs w:val="20"/>
              </w:rPr>
              <w:t>estimated increase of authorisation requests x 2.4 times)</w:t>
            </w:r>
            <w:r w:rsidRPr="00554278">
              <w:rPr>
                <w:noProof/>
                <w:sz w:val="20"/>
                <w:szCs w:val="20"/>
              </w:rPr>
              <w:t>.</w:t>
            </w:r>
          </w:p>
        </w:tc>
        <w:tc>
          <w:tcPr>
            <w:tcW w:w="2904" w:type="dxa"/>
            <w:tcBorders>
              <w:top w:val="single" w:sz="8" w:space="0" w:color="auto"/>
              <w:left w:val="single" w:sz="8" w:space="0" w:color="auto"/>
              <w:bottom w:val="single" w:sz="8" w:space="0" w:color="auto"/>
              <w:right w:val="single" w:sz="8" w:space="0" w:color="auto"/>
            </w:tcBorders>
            <w:tcMar>
              <w:left w:w="108" w:type="dxa"/>
              <w:right w:w="108" w:type="dxa"/>
            </w:tcMar>
          </w:tcPr>
          <w:p w14:paraId="7F080260" w14:textId="77777777" w:rsidR="0053532B" w:rsidRPr="00F87B9B" w:rsidRDefault="0053532B" w:rsidP="00B00D2A">
            <w:pPr>
              <w:spacing w:after="0"/>
              <w:rPr>
                <w:noProof/>
                <w:sz w:val="20"/>
                <w:szCs w:val="20"/>
              </w:rPr>
            </w:pPr>
            <w:r w:rsidRPr="00F87B9B">
              <w:rPr>
                <w:noProof/>
                <w:sz w:val="20"/>
                <w:szCs w:val="20"/>
              </w:rPr>
              <w:t>(-)</w:t>
            </w:r>
          </w:p>
          <w:p w14:paraId="71501296" w14:textId="77777777" w:rsidR="0053532B" w:rsidRPr="00F87B9B" w:rsidRDefault="0053532B" w:rsidP="00B00D2A">
            <w:pPr>
              <w:spacing w:after="0"/>
              <w:rPr>
                <w:noProof/>
                <w:sz w:val="20"/>
                <w:szCs w:val="20"/>
              </w:rPr>
            </w:pPr>
            <w:r w:rsidRPr="00F87B9B">
              <w:rPr>
                <w:noProof/>
                <w:sz w:val="20"/>
                <w:szCs w:val="20"/>
              </w:rPr>
              <w:t xml:space="preserve">For GA: Very low recurrent cost for monitoring and information exchange. </w:t>
            </w:r>
          </w:p>
          <w:p w14:paraId="27E5EC1F" w14:textId="77777777" w:rsidR="0053532B" w:rsidRPr="00F87B9B" w:rsidRDefault="0053532B" w:rsidP="00B00D2A">
            <w:pPr>
              <w:spacing w:after="0"/>
              <w:rPr>
                <w:noProof/>
                <w:sz w:val="20"/>
                <w:szCs w:val="20"/>
              </w:rPr>
            </w:pPr>
            <w:r w:rsidRPr="00F87B9B">
              <w:rPr>
                <w:noProof/>
                <w:sz w:val="20"/>
                <w:szCs w:val="20"/>
              </w:rPr>
              <w:t xml:space="preserve"> </w:t>
            </w:r>
          </w:p>
          <w:p w14:paraId="3AA01CD5" w14:textId="77777777" w:rsidR="0053532B" w:rsidRPr="00F87B9B" w:rsidRDefault="0053532B" w:rsidP="00B00D2A">
            <w:pPr>
              <w:spacing w:after="0"/>
              <w:rPr>
                <w:noProof/>
                <w:sz w:val="20"/>
                <w:szCs w:val="20"/>
              </w:rPr>
            </w:pPr>
            <w:r w:rsidRPr="00F87B9B">
              <w:rPr>
                <w:noProof/>
                <w:sz w:val="20"/>
                <w:szCs w:val="20"/>
              </w:rPr>
              <w:t>Lower than in option 1 – depending on the number of notifications from cross-border operators (cost of receiving and verifying notifications and issuing declarations, cost of coordination between authorities).</w:t>
            </w:r>
          </w:p>
          <w:p w14:paraId="2B7EDA5E" w14:textId="77777777" w:rsidR="0053532B" w:rsidRPr="00F87B9B" w:rsidRDefault="0053532B" w:rsidP="00B00D2A">
            <w:pPr>
              <w:spacing w:after="0"/>
              <w:rPr>
                <w:noProof/>
                <w:sz w:val="20"/>
                <w:szCs w:val="20"/>
              </w:rPr>
            </w:pPr>
            <w:r w:rsidRPr="00F87B9B">
              <w:rPr>
                <w:noProof/>
                <w:sz w:val="20"/>
                <w:szCs w:val="20"/>
              </w:rPr>
              <w:t xml:space="preserve"> </w:t>
            </w:r>
          </w:p>
          <w:p w14:paraId="637A2130" w14:textId="3DE403E8" w:rsidR="0053532B" w:rsidRPr="00F87B9B" w:rsidRDefault="0053532B" w:rsidP="00B00D2A">
            <w:pPr>
              <w:spacing w:after="0"/>
              <w:rPr>
                <w:noProof/>
                <w:sz w:val="20"/>
                <w:szCs w:val="20"/>
              </w:rPr>
            </w:pPr>
            <w:r w:rsidRPr="00F87B9B">
              <w:rPr>
                <w:noProof/>
                <w:sz w:val="20"/>
                <w:szCs w:val="20"/>
              </w:rPr>
              <w:t>Increase in human resources in BEREC Office (2 FTEs) taking over tasks and administrative burden from MS</w:t>
            </w:r>
            <w:r w:rsidR="001529F3">
              <w:rPr>
                <w:noProof/>
                <w:sz w:val="20"/>
                <w:szCs w:val="20"/>
              </w:rPr>
              <w:t>s</w:t>
            </w:r>
            <w:r w:rsidRPr="00F87B9B">
              <w:rPr>
                <w:noProof/>
                <w:sz w:val="20"/>
                <w:szCs w:val="20"/>
              </w:rPr>
              <w:t>/NRAs (the current staff expenditure in BEREC per employee EUR 111</w:t>
            </w:r>
            <w:r>
              <w:rPr>
                <w:noProof/>
                <w:sz w:val="20"/>
                <w:szCs w:val="20"/>
              </w:rPr>
              <w:t> </w:t>
            </w:r>
            <w:r w:rsidRPr="00F87B9B">
              <w:rPr>
                <w:noProof/>
                <w:sz w:val="20"/>
                <w:szCs w:val="20"/>
              </w:rPr>
              <w:t>935x2= EUR 223</w:t>
            </w:r>
            <w:r>
              <w:rPr>
                <w:noProof/>
                <w:sz w:val="20"/>
                <w:szCs w:val="20"/>
              </w:rPr>
              <w:t> </w:t>
            </w:r>
            <w:r w:rsidRPr="00F87B9B">
              <w:rPr>
                <w:noProof/>
                <w:sz w:val="20"/>
                <w:szCs w:val="20"/>
              </w:rPr>
              <w:t xml:space="preserve">870). </w:t>
            </w:r>
          </w:p>
          <w:p w14:paraId="5F5823D9" w14:textId="77777777" w:rsidR="0053532B" w:rsidRPr="00F87B9B" w:rsidRDefault="0053532B" w:rsidP="00B00D2A">
            <w:pPr>
              <w:spacing w:after="0"/>
              <w:rPr>
                <w:noProof/>
                <w:sz w:val="20"/>
                <w:szCs w:val="20"/>
              </w:rPr>
            </w:pPr>
            <w:r w:rsidRPr="00F87B9B">
              <w:rPr>
                <w:noProof/>
                <w:sz w:val="20"/>
                <w:szCs w:val="20"/>
              </w:rPr>
              <w:t xml:space="preserve"> </w:t>
            </w:r>
          </w:p>
          <w:p w14:paraId="53642DDF" w14:textId="6F76A44C" w:rsidR="0053532B" w:rsidRPr="00F87B9B" w:rsidRDefault="0053532B" w:rsidP="00B00D2A">
            <w:pPr>
              <w:spacing w:after="0"/>
              <w:rPr>
                <w:i/>
                <w:iCs/>
                <w:noProof/>
                <w:sz w:val="20"/>
                <w:szCs w:val="20"/>
              </w:rPr>
            </w:pPr>
            <w:r w:rsidRPr="000939E2">
              <w:rPr>
                <w:b/>
                <w:bCs/>
                <w:noProof/>
                <w:sz w:val="20"/>
                <w:szCs w:val="20"/>
              </w:rPr>
              <w:t>For satellite,</w:t>
            </w:r>
            <w:r w:rsidRPr="00F87B9B">
              <w:rPr>
                <w:noProof/>
                <w:sz w:val="20"/>
                <w:szCs w:val="20"/>
              </w:rPr>
              <w:t xml:space="preserve"> additional costs</w:t>
            </w:r>
            <w:r w:rsidR="00155731">
              <w:rPr>
                <w:noProof/>
                <w:sz w:val="20"/>
                <w:szCs w:val="20"/>
              </w:rPr>
              <w:t xml:space="preserve"> at EU level </w:t>
            </w:r>
            <w:r w:rsidRPr="00F87B9B">
              <w:rPr>
                <w:noProof/>
                <w:sz w:val="20"/>
                <w:szCs w:val="20"/>
              </w:rPr>
              <w:t>due to EU-level satellite authorisation and, in the case of spectrum scarcity for satellite providers, selection, spectrum assignment, and monitoring</w:t>
            </w:r>
            <w:r w:rsidR="00C229DE">
              <w:rPr>
                <w:noProof/>
                <w:sz w:val="20"/>
                <w:szCs w:val="20"/>
              </w:rPr>
              <w:t xml:space="preserve"> </w:t>
            </w:r>
            <w:r w:rsidRPr="00F87B9B">
              <w:rPr>
                <w:noProof/>
                <w:sz w:val="20"/>
                <w:szCs w:val="20"/>
              </w:rPr>
              <w:t>/</w:t>
            </w:r>
            <w:r w:rsidR="00C229DE">
              <w:rPr>
                <w:noProof/>
                <w:sz w:val="20"/>
                <w:szCs w:val="20"/>
              </w:rPr>
              <w:t xml:space="preserve"> </w:t>
            </w:r>
            <w:r w:rsidRPr="00F87B9B">
              <w:rPr>
                <w:noProof/>
                <w:sz w:val="20"/>
                <w:szCs w:val="20"/>
              </w:rPr>
              <w:t xml:space="preserve">enforcement. The increase in resources at EU level will be more than compensated by the overall savings at national level (see benefit section). In a context of considerable increase in </w:t>
            </w:r>
            <w:r w:rsidR="0050221C">
              <w:rPr>
                <w:noProof/>
                <w:sz w:val="20"/>
                <w:szCs w:val="20"/>
              </w:rPr>
              <w:t xml:space="preserve">the </w:t>
            </w:r>
            <w:r w:rsidRPr="00F87B9B">
              <w:rPr>
                <w:noProof/>
                <w:sz w:val="20"/>
                <w:szCs w:val="20"/>
              </w:rPr>
              <w:t>workload, it could be expected that the proposed EU-level authorisation regime could ensure that, at least over the next years, workload increases are absorbed without requiring additional administrative resources at national level</w:t>
            </w:r>
            <w:r w:rsidRPr="00F87B9B">
              <w:rPr>
                <w:i/>
                <w:iCs/>
                <w:noProof/>
                <w:sz w:val="20"/>
                <w:szCs w:val="20"/>
              </w:rPr>
              <w:t>.</w:t>
            </w:r>
          </w:p>
          <w:p w14:paraId="4540AF62" w14:textId="77777777" w:rsidR="0053532B" w:rsidRPr="00F87B9B" w:rsidRDefault="0053532B" w:rsidP="00B00D2A">
            <w:pPr>
              <w:spacing w:after="0"/>
              <w:rPr>
                <w:i/>
                <w:iCs/>
                <w:noProof/>
                <w:sz w:val="20"/>
                <w:szCs w:val="20"/>
              </w:rPr>
            </w:pPr>
          </w:p>
          <w:p w14:paraId="5D95279A" w14:textId="515CD4CA" w:rsidR="0053532B" w:rsidRPr="00F87B9B" w:rsidRDefault="0053532B" w:rsidP="00B00D2A">
            <w:pPr>
              <w:spacing w:after="0"/>
              <w:rPr>
                <w:noProof/>
                <w:sz w:val="20"/>
                <w:szCs w:val="20"/>
              </w:rPr>
            </w:pPr>
            <w:r>
              <w:rPr>
                <w:noProof/>
                <w:sz w:val="20"/>
                <w:szCs w:val="20"/>
              </w:rPr>
              <w:t>At EU level</w:t>
            </w:r>
            <w:r w:rsidR="00F126BC">
              <w:rPr>
                <w:noProof/>
                <w:sz w:val="20"/>
                <w:szCs w:val="20"/>
              </w:rPr>
              <w:t>,</w:t>
            </w:r>
            <w:r>
              <w:rPr>
                <w:noProof/>
                <w:sz w:val="20"/>
                <w:szCs w:val="20"/>
              </w:rPr>
              <w:t xml:space="preserve"> for all spectrum measures (including terrestrial authorisation</w:t>
            </w:r>
            <w:r w:rsidR="00740D35">
              <w:rPr>
                <w:noProof/>
                <w:sz w:val="20"/>
                <w:szCs w:val="20"/>
              </w:rPr>
              <w:t xml:space="preserve"> in </w:t>
            </w:r>
            <w:r w:rsidR="008078C1">
              <w:rPr>
                <w:noProof/>
                <w:sz w:val="20"/>
                <w:szCs w:val="20"/>
              </w:rPr>
              <w:t>S</w:t>
            </w:r>
            <w:r w:rsidR="00440740">
              <w:rPr>
                <w:noProof/>
                <w:sz w:val="20"/>
                <w:szCs w:val="20"/>
              </w:rPr>
              <w:t>ection</w:t>
            </w:r>
            <w:r w:rsidR="00740D35">
              <w:rPr>
                <w:noProof/>
                <w:sz w:val="20"/>
                <w:szCs w:val="20"/>
              </w:rPr>
              <w:t xml:space="preserve"> 7.2</w:t>
            </w:r>
            <w:r>
              <w:rPr>
                <w:noProof/>
                <w:sz w:val="20"/>
                <w:szCs w:val="20"/>
              </w:rPr>
              <w:t xml:space="preserve"> above)</w:t>
            </w:r>
            <w:r w:rsidR="001872A0">
              <w:rPr>
                <w:noProof/>
                <w:sz w:val="20"/>
                <w:szCs w:val="20"/>
              </w:rPr>
              <w:t>,</w:t>
            </w:r>
            <w:r>
              <w:rPr>
                <w:noProof/>
                <w:sz w:val="20"/>
                <w:szCs w:val="20"/>
              </w:rPr>
              <w:t xml:space="preserve"> a progressive </w:t>
            </w:r>
            <w:r w:rsidR="001872A0">
              <w:rPr>
                <w:noProof/>
                <w:sz w:val="20"/>
                <w:szCs w:val="20"/>
              </w:rPr>
              <w:t xml:space="preserve">annual </w:t>
            </w:r>
            <w:r>
              <w:rPr>
                <w:noProof/>
                <w:sz w:val="20"/>
                <w:szCs w:val="20"/>
              </w:rPr>
              <w:t>growth (depending on number of satellite authorisations requests)</w:t>
            </w:r>
            <w:r w:rsidR="00317713">
              <w:rPr>
                <w:noProof/>
                <w:sz w:val="20"/>
                <w:szCs w:val="20"/>
              </w:rPr>
              <w:t>,</w:t>
            </w:r>
            <w:r>
              <w:rPr>
                <w:noProof/>
                <w:sz w:val="20"/>
                <w:szCs w:val="20"/>
              </w:rPr>
              <w:t xml:space="preserve"> </w:t>
            </w:r>
            <w:r w:rsidR="00317713">
              <w:rPr>
                <w:noProof/>
                <w:sz w:val="20"/>
                <w:szCs w:val="20"/>
              </w:rPr>
              <w:t>amounting to additional</w:t>
            </w:r>
            <w:r>
              <w:rPr>
                <w:noProof/>
                <w:sz w:val="20"/>
                <w:szCs w:val="20"/>
              </w:rPr>
              <w:t xml:space="preserve"> 5 FTE</w:t>
            </w:r>
            <w:r w:rsidR="00F5663D">
              <w:rPr>
                <w:noProof/>
                <w:sz w:val="20"/>
                <w:szCs w:val="20"/>
              </w:rPr>
              <w:t>s</w:t>
            </w:r>
            <w:r>
              <w:rPr>
                <w:noProof/>
                <w:sz w:val="20"/>
                <w:szCs w:val="20"/>
              </w:rPr>
              <w:t xml:space="preserve"> for EC (approx. EUR 786 000) and 15 FTE for </w:t>
            </w:r>
            <w:r w:rsidR="002A3676">
              <w:rPr>
                <w:noProof/>
                <w:sz w:val="20"/>
                <w:szCs w:val="20"/>
              </w:rPr>
              <w:t xml:space="preserve">the </w:t>
            </w:r>
            <w:r>
              <w:rPr>
                <w:noProof/>
                <w:sz w:val="20"/>
                <w:szCs w:val="20"/>
              </w:rPr>
              <w:t>BEREC Office (approx.</w:t>
            </w:r>
            <w:r>
              <w:rPr>
                <w:rFonts w:eastAsiaTheme="minorHAnsi"/>
                <w:noProof/>
                <w:sz w:val="20"/>
                <w:szCs w:val="20"/>
              </w:rPr>
              <w:t xml:space="preserve"> </w:t>
            </w:r>
            <w:r>
              <w:rPr>
                <w:noProof/>
                <w:sz w:val="20"/>
                <w:szCs w:val="20"/>
              </w:rPr>
              <w:t>EUR</w:t>
            </w:r>
            <w:r w:rsidRPr="003565F5">
              <w:rPr>
                <w:noProof/>
                <w:sz w:val="20"/>
                <w:szCs w:val="20"/>
              </w:rPr>
              <w:t> </w:t>
            </w:r>
            <w:r>
              <w:rPr>
                <w:noProof/>
                <w:sz w:val="20"/>
                <w:szCs w:val="20"/>
              </w:rPr>
              <w:t>1</w:t>
            </w:r>
            <w:r w:rsidRPr="003565F5">
              <w:rPr>
                <w:noProof/>
                <w:sz w:val="20"/>
                <w:szCs w:val="20"/>
              </w:rPr>
              <w:t xml:space="preserve">.6 m in the first year up to </w:t>
            </w:r>
            <w:r>
              <w:rPr>
                <w:noProof/>
                <w:sz w:val="20"/>
                <w:szCs w:val="20"/>
              </w:rPr>
              <w:t>EUR </w:t>
            </w:r>
            <w:r w:rsidRPr="003565F5">
              <w:rPr>
                <w:noProof/>
                <w:sz w:val="20"/>
                <w:szCs w:val="20"/>
              </w:rPr>
              <w:t>3.4</w:t>
            </w:r>
            <w:r>
              <w:rPr>
                <w:noProof/>
                <w:sz w:val="20"/>
                <w:szCs w:val="20"/>
              </w:rPr>
              <w:t xml:space="preserve"> </w:t>
            </w:r>
            <w:r w:rsidRPr="003565F5">
              <w:rPr>
                <w:noProof/>
                <w:sz w:val="20"/>
                <w:szCs w:val="20"/>
              </w:rPr>
              <w:t>m in year 2034</w:t>
            </w:r>
            <w:r>
              <w:rPr>
                <w:noProof/>
                <w:sz w:val="20"/>
                <w:szCs w:val="20"/>
              </w:rPr>
              <w:t>) is to be considered and is quantified in the governance section.</w:t>
            </w:r>
            <w:r w:rsidRPr="00F87B9B">
              <w:rPr>
                <w:noProof/>
                <w:sz w:val="20"/>
                <w:szCs w:val="20"/>
              </w:rPr>
              <w:t xml:space="preserve"> </w:t>
            </w:r>
            <w:r w:rsidR="00F640B3">
              <w:rPr>
                <w:noProof/>
                <w:sz w:val="20"/>
                <w:szCs w:val="20"/>
              </w:rPr>
              <w:t>T</w:t>
            </w:r>
            <w:r>
              <w:rPr>
                <w:noProof/>
                <w:sz w:val="20"/>
                <w:szCs w:val="20"/>
              </w:rPr>
              <w:t>he</w:t>
            </w:r>
            <w:r w:rsidR="00B94C8F">
              <w:rPr>
                <w:noProof/>
                <w:sz w:val="20"/>
                <w:szCs w:val="20"/>
              </w:rPr>
              <w:t>se</w:t>
            </w:r>
            <w:r>
              <w:rPr>
                <w:noProof/>
                <w:sz w:val="20"/>
                <w:szCs w:val="20"/>
              </w:rPr>
              <w:t xml:space="preserve"> FTE</w:t>
            </w:r>
            <w:r w:rsidR="00F640B3">
              <w:rPr>
                <w:noProof/>
                <w:sz w:val="20"/>
                <w:szCs w:val="20"/>
              </w:rPr>
              <w:t>s</w:t>
            </w:r>
            <w:r>
              <w:rPr>
                <w:noProof/>
                <w:sz w:val="20"/>
                <w:szCs w:val="20"/>
              </w:rPr>
              <w:t xml:space="preserve"> would </w:t>
            </w:r>
            <w:r w:rsidRPr="00F87B9B">
              <w:rPr>
                <w:noProof/>
                <w:sz w:val="20"/>
                <w:szCs w:val="20"/>
              </w:rPr>
              <w:t>handle the operational functions transferred from national authorities</w:t>
            </w:r>
            <w:r>
              <w:rPr>
                <w:noProof/>
                <w:sz w:val="20"/>
                <w:szCs w:val="20"/>
              </w:rPr>
              <w:t xml:space="preserve"> and will </w:t>
            </w:r>
            <w:r w:rsidRPr="00F87B9B">
              <w:rPr>
                <w:noProof/>
                <w:sz w:val="20"/>
                <w:szCs w:val="20"/>
              </w:rPr>
              <w:t>oversee and coordinate implementation</w:t>
            </w:r>
            <w:r w:rsidR="00DA160D">
              <w:rPr>
                <w:noProof/>
                <w:sz w:val="20"/>
                <w:szCs w:val="20"/>
              </w:rPr>
              <w:t xml:space="preserve"> </w:t>
            </w:r>
            <w:r w:rsidR="00CA699B">
              <w:rPr>
                <w:noProof/>
                <w:sz w:val="20"/>
                <w:szCs w:val="20"/>
              </w:rPr>
              <w:t>and</w:t>
            </w:r>
            <w:r w:rsidR="00DA160D">
              <w:rPr>
                <w:noProof/>
                <w:sz w:val="20"/>
                <w:szCs w:val="20"/>
              </w:rPr>
              <w:t xml:space="preserve"> </w:t>
            </w:r>
            <w:r w:rsidR="00542403">
              <w:rPr>
                <w:noProof/>
                <w:sz w:val="20"/>
                <w:szCs w:val="20"/>
              </w:rPr>
              <w:t>cooperation with Member States</w:t>
            </w:r>
            <w:r>
              <w:rPr>
                <w:noProof/>
                <w:sz w:val="20"/>
                <w:szCs w:val="20"/>
              </w:rPr>
              <w:t>.</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tcPr>
          <w:p w14:paraId="3E1D3974" w14:textId="77777777" w:rsidR="0053532B" w:rsidRPr="00F87B9B" w:rsidRDefault="0053532B" w:rsidP="00B00D2A">
            <w:pPr>
              <w:spacing w:after="0"/>
              <w:rPr>
                <w:noProof/>
                <w:sz w:val="20"/>
                <w:szCs w:val="20"/>
              </w:rPr>
            </w:pPr>
            <w:r w:rsidRPr="00F87B9B">
              <w:rPr>
                <w:noProof/>
                <w:sz w:val="20"/>
                <w:szCs w:val="20"/>
              </w:rPr>
              <w:t>(--)</w:t>
            </w:r>
          </w:p>
          <w:p w14:paraId="0231F04F" w14:textId="715C25C5" w:rsidR="0053532B" w:rsidRPr="00F87B9B" w:rsidRDefault="0053532B" w:rsidP="00B00D2A">
            <w:pPr>
              <w:spacing w:after="0"/>
              <w:rPr>
                <w:i/>
                <w:iCs/>
                <w:noProof/>
                <w:sz w:val="20"/>
                <w:szCs w:val="20"/>
              </w:rPr>
            </w:pPr>
            <w:r w:rsidRPr="00F87B9B">
              <w:rPr>
                <w:noProof/>
                <w:sz w:val="20"/>
                <w:szCs w:val="20"/>
              </w:rPr>
              <w:t xml:space="preserve">Higher than in option 1 and similar to </w:t>
            </w:r>
            <w:r w:rsidR="00C65E25">
              <w:rPr>
                <w:noProof/>
                <w:sz w:val="20"/>
                <w:szCs w:val="20"/>
              </w:rPr>
              <w:t>o</w:t>
            </w:r>
            <w:r w:rsidRPr="00F87B9B">
              <w:rPr>
                <w:noProof/>
                <w:sz w:val="20"/>
                <w:szCs w:val="20"/>
              </w:rPr>
              <w:t>ption 2</w:t>
            </w:r>
            <w:r w:rsidRPr="00F87B9B">
              <w:rPr>
                <w:noProof/>
                <w:color w:val="FF0000"/>
                <w:sz w:val="20"/>
                <w:szCs w:val="20"/>
              </w:rPr>
              <w:t xml:space="preserve"> </w:t>
            </w:r>
            <w:r w:rsidRPr="00F87B9B">
              <w:rPr>
                <w:i/>
                <w:iCs/>
                <w:noProof/>
                <w:sz w:val="20"/>
                <w:szCs w:val="20"/>
              </w:rPr>
              <w:t>(GA conditions of only one MS apply while other MS should respect, mutually recognise and assist CoO in enforcement).</w:t>
            </w:r>
          </w:p>
          <w:p w14:paraId="50DCC005" w14:textId="77777777" w:rsidR="0053532B" w:rsidRPr="00F87B9B" w:rsidRDefault="0053532B" w:rsidP="00B00D2A">
            <w:pPr>
              <w:spacing w:after="0"/>
              <w:rPr>
                <w:i/>
                <w:iCs/>
                <w:noProof/>
                <w:sz w:val="20"/>
                <w:szCs w:val="20"/>
              </w:rPr>
            </w:pPr>
          </w:p>
          <w:p w14:paraId="3FBF57EF" w14:textId="77777777" w:rsidR="0053532B" w:rsidRPr="00F87B9B" w:rsidRDefault="0053532B" w:rsidP="00B00D2A">
            <w:pPr>
              <w:spacing w:after="0"/>
              <w:rPr>
                <w:noProof/>
                <w:sz w:val="20"/>
                <w:szCs w:val="20"/>
              </w:rPr>
            </w:pPr>
            <w:r w:rsidRPr="00F87B9B">
              <w:rPr>
                <w:noProof/>
                <w:sz w:val="20"/>
                <w:szCs w:val="20"/>
              </w:rPr>
              <w:t xml:space="preserve">National administrations to have increased costs for the notifying Member State and require other Member States to participate in coordination and enforcement without direct control. The application of fees might remain problematic if affected MSs would maintain collection of fees from satellite operators providing satellite services across the Union. </w:t>
            </w:r>
          </w:p>
          <w:p w14:paraId="2A9D4DAF" w14:textId="77777777" w:rsidR="0053532B" w:rsidRPr="00F87B9B" w:rsidRDefault="0053532B" w:rsidP="00B00D2A">
            <w:pPr>
              <w:spacing w:after="0"/>
              <w:rPr>
                <w:noProof/>
                <w:sz w:val="20"/>
                <w:szCs w:val="20"/>
              </w:rPr>
            </w:pPr>
          </w:p>
          <w:p w14:paraId="6FB9EE97" w14:textId="6A80D248" w:rsidR="0053532B" w:rsidRPr="00F87B9B" w:rsidRDefault="0053532B" w:rsidP="00B00D2A">
            <w:pPr>
              <w:rPr>
                <w:noProof/>
                <w:sz w:val="20"/>
                <w:szCs w:val="20"/>
              </w:rPr>
            </w:pPr>
            <w:r w:rsidRPr="00F87B9B">
              <w:rPr>
                <w:noProof/>
                <w:sz w:val="20"/>
                <w:szCs w:val="20"/>
              </w:rPr>
              <w:t>Satellites: Some MSs might need to considerably increase FTEs due to forum shopping. Similarly to option 1: the baseline estimated at 98FTEs for authorisation and enforcement plus increases to cope with the increased workload ste</w:t>
            </w:r>
            <w:r w:rsidR="00473797">
              <w:rPr>
                <w:noProof/>
                <w:sz w:val="20"/>
                <w:szCs w:val="20"/>
              </w:rPr>
              <w:t>m</w:t>
            </w:r>
            <w:r w:rsidRPr="00F87B9B">
              <w:rPr>
                <w:noProof/>
                <w:sz w:val="20"/>
                <w:szCs w:val="20"/>
              </w:rPr>
              <w:t xml:space="preserve">ming from satellite authorisations requests </w:t>
            </w:r>
            <w:r w:rsidRPr="00554278">
              <w:rPr>
                <w:noProof/>
                <w:sz w:val="20"/>
                <w:szCs w:val="20"/>
              </w:rPr>
              <w:t>(</w:t>
            </w:r>
            <w:r w:rsidRPr="000939E2">
              <w:rPr>
                <w:noProof/>
                <w:sz w:val="20"/>
                <w:szCs w:val="20"/>
              </w:rPr>
              <w:t>estimated increased x 2.4 times)</w:t>
            </w:r>
            <w:r w:rsidRPr="00554278">
              <w:rPr>
                <w:noProof/>
                <w:sz w:val="20"/>
                <w:szCs w:val="20"/>
              </w:rPr>
              <w:t>.</w:t>
            </w:r>
            <w:r w:rsidRPr="00F87B9B">
              <w:rPr>
                <w:noProof/>
                <w:sz w:val="20"/>
                <w:szCs w:val="20"/>
              </w:rPr>
              <w:t xml:space="preserve"> Coordinated enforcement of ITU rules via authorisation conditions (e</w:t>
            </w:r>
            <w:r w:rsidR="009F16C0">
              <w:rPr>
                <w:noProof/>
                <w:sz w:val="20"/>
                <w:szCs w:val="20"/>
              </w:rPr>
              <w:t>.</w:t>
            </w:r>
            <w:r w:rsidRPr="00F87B9B">
              <w:rPr>
                <w:noProof/>
                <w:sz w:val="20"/>
                <w:szCs w:val="20"/>
              </w:rPr>
              <w:t xml:space="preserve">g. harmful interference) might require additional FTEs efforts. </w:t>
            </w:r>
          </w:p>
          <w:p w14:paraId="4B0303A7" w14:textId="6B0FF6FC" w:rsidR="0053532B" w:rsidRPr="00F87B9B" w:rsidRDefault="0053532B" w:rsidP="00B00D2A">
            <w:pPr>
              <w:spacing w:after="0"/>
              <w:rPr>
                <w:noProof/>
                <w:sz w:val="20"/>
                <w:szCs w:val="20"/>
              </w:rPr>
            </w:pPr>
            <w:r w:rsidRPr="00F87B9B">
              <w:rPr>
                <w:noProof/>
                <w:sz w:val="20"/>
                <w:szCs w:val="20"/>
              </w:rPr>
              <w:t>One-off costs during the transitional period. There would be some uncertainty or administrative complexity as Member States phase in the harmonised conditions. The country-of-origin principle and mutual recognition would still leave multi-Member State satellite providers subject to rules of each Member State in which they operate, thereby increasing fragmentation and creating incentivises for forum shopping practices that are detrimental to the intervention objectives.</w:t>
            </w:r>
          </w:p>
        </w:tc>
      </w:tr>
      <w:tr w:rsidR="0053532B" w:rsidRPr="00F87B9B" w14:paraId="58EF7A98" w14:textId="77777777" w:rsidTr="572DCBD2">
        <w:trPr>
          <w:trHeight w:val="30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713B98F7" w14:textId="77777777" w:rsidR="0053532B" w:rsidRPr="00F87B9B" w:rsidRDefault="0053532B" w:rsidP="00B00D2A">
            <w:pPr>
              <w:spacing w:after="0"/>
              <w:rPr>
                <w:b/>
                <w:bCs/>
                <w:noProof/>
                <w:sz w:val="20"/>
                <w:szCs w:val="20"/>
              </w:rPr>
            </w:pPr>
            <w:r w:rsidRPr="00F87B9B">
              <w:rPr>
                <w:b/>
                <w:bCs/>
                <w:noProof/>
                <w:sz w:val="20"/>
                <w:szCs w:val="20"/>
              </w:rPr>
              <w:t>Benefits by stakeholders</w:t>
            </w:r>
          </w:p>
        </w:tc>
        <w:tc>
          <w:tcPr>
            <w:tcW w:w="2380" w:type="dxa"/>
            <w:tcBorders>
              <w:top w:val="single" w:sz="8" w:space="0" w:color="auto"/>
              <w:left w:val="single" w:sz="8" w:space="0" w:color="auto"/>
              <w:bottom w:val="single" w:sz="8" w:space="0" w:color="auto"/>
              <w:right w:val="single" w:sz="8" w:space="0" w:color="auto"/>
            </w:tcBorders>
            <w:tcMar>
              <w:left w:w="108" w:type="dxa"/>
              <w:right w:w="108" w:type="dxa"/>
            </w:tcMar>
          </w:tcPr>
          <w:p w14:paraId="16684261" w14:textId="77777777" w:rsidR="0053532B" w:rsidRPr="00F87B9B" w:rsidRDefault="0053532B" w:rsidP="00B00D2A">
            <w:pPr>
              <w:spacing w:after="0"/>
              <w:rPr>
                <w:noProof/>
                <w:sz w:val="20"/>
                <w:szCs w:val="20"/>
              </w:rPr>
            </w:pPr>
            <w:r w:rsidRPr="00F87B9B">
              <w:rPr>
                <w:noProof/>
                <w:sz w:val="20"/>
                <w:szCs w:val="20"/>
              </w:rPr>
              <w:t xml:space="preserve"> </w:t>
            </w:r>
          </w:p>
        </w:tc>
        <w:tc>
          <w:tcPr>
            <w:tcW w:w="2904" w:type="dxa"/>
            <w:tcBorders>
              <w:top w:val="single" w:sz="8" w:space="0" w:color="auto"/>
              <w:left w:val="single" w:sz="8" w:space="0" w:color="auto"/>
              <w:bottom w:val="single" w:sz="8" w:space="0" w:color="auto"/>
              <w:right w:val="single" w:sz="8" w:space="0" w:color="auto"/>
            </w:tcBorders>
            <w:tcMar>
              <w:left w:w="108" w:type="dxa"/>
              <w:right w:w="108" w:type="dxa"/>
            </w:tcMar>
          </w:tcPr>
          <w:p w14:paraId="38C74673" w14:textId="77777777" w:rsidR="0053532B" w:rsidRPr="00F87B9B" w:rsidRDefault="0053532B" w:rsidP="00B00D2A">
            <w:pPr>
              <w:spacing w:after="0"/>
              <w:rPr>
                <w:noProof/>
                <w:sz w:val="20"/>
                <w:szCs w:val="20"/>
              </w:rPr>
            </w:pPr>
            <w:r w:rsidRPr="00F87B9B">
              <w:rPr>
                <w:noProof/>
                <w:sz w:val="20"/>
                <w:szCs w:val="20"/>
              </w:rPr>
              <w:t xml:space="preserve"> </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tcPr>
          <w:p w14:paraId="4FE680FE" w14:textId="77777777" w:rsidR="0053532B" w:rsidRPr="00F87B9B" w:rsidRDefault="0053532B" w:rsidP="00B00D2A">
            <w:pPr>
              <w:spacing w:after="0"/>
              <w:rPr>
                <w:noProof/>
                <w:sz w:val="20"/>
                <w:szCs w:val="20"/>
              </w:rPr>
            </w:pPr>
            <w:r w:rsidRPr="00F87B9B">
              <w:rPr>
                <w:noProof/>
                <w:sz w:val="20"/>
                <w:szCs w:val="20"/>
              </w:rPr>
              <w:t xml:space="preserve"> </w:t>
            </w:r>
          </w:p>
        </w:tc>
      </w:tr>
      <w:tr w:rsidR="0053532B" w:rsidRPr="00F87B9B" w14:paraId="7064187C" w14:textId="77777777" w:rsidTr="572DCBD2">
        <w:trPr>
          <w:trHeight w:val="30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763F0FC1" w14:textId="77777777" w:rsidR="0053532B" w:rsidRPr="00F87B9B" w:rsidRDefault="0053532B" w:rsidP="00B00D2A">
            <w:pPr>
              <w:spacing w:after="0"/>
              <w:rPr>
                <w:noProof/>
                <w:sz w:val="20"/>
                <w:szCs w:val="20"/>
              </w:rPr>
            </w:pPr>
            <w:r w:rsidRPr="00F87B9B">
              <w:rPr>
                <w:noProof/>
                <w:sz w:val="20"/>
                <w:szCs w:val="20"/>
              </w:rPr>
              <w:t>End users (Citizens/businesses using connectivity)</w:t>
            </w:r>
          </w:p>
        </w:tc>
        <w:tc>
          <w:tcPr>
            <w:tcW w:w="2380" w:type="dxa"/>
            <w:tcBorders>
              <w:top w:val="single" w:sz="8" w:space="0" w:color="auto"/>
              <w:left w:val="single" w:sz="8" w:space="0" w:color="auto"/>
              <w:bottom w:val="single" w:sz="8" w:space="0" w:color="auto"/>
              <w:right w:val="single" w:sz="8" w:space="0" w:color="auto"/>
            </w:tcBorders>
            <w:tcMar>
              <w:left w:w="108" w:type="dxa"/>
              <w:right w:w="108" w:type="dxa"/>
            </w:tcMar>
          </w:tcPr>
          <w:p w14:paraId="6C4C4696" w14:textId="77777777" w:rsidR="0053532B" w:rsidRPr="00F87B9B" w:rsidRDefault="0053532B" w:rsidP="00B00D2A">
            <w:pPr>
              <w:spacing w:after="0"/>
              <w:rPr>
                <w:noProof/>
                <w:sz w:val="20"/>
                <w:szCs w:val="20"/>
              </w:rPr>
            </w:pPr>
            <w:r w:rsidRPr="00F87B9B">
              <w:rPr>
                <w:noProof/>
                <w:sz w:val="20"/>
                <w:szCs w:val="20"/>
              </w:rPr>
              <w:t xml:space="preserve">Neutral or minimal benefits </w:t>
            </w:r>
          </w:p>
        </w:tc>
        <w:tc>
          <w:tcPr>
            <w:tcW w:w="2904" w:type="dxa"/>
            <w:tcBorders>
              <w:top w:val="single" w:sz="8" w:space="0" w:color="auto"/>
              <w:left w:val="single" w:sz="8" w:space="0" w:color="auto"/>
              <w:bottom w:val="single" w:sz="8" w:space="0" w:color="auto"/>
              <w:right w:val="single" w:sz="8" w:space="0" w:color="auto"/>
            </w:tcBorders>
            <w:tcMar>
              <w:left w:w="108" w:type="dxa"/>
              <w:right w:w="108" w:type="dxa"/>
            </w:tcMar>
          </w:tcPr>
          <w:p w14:paraId="453CE2DA" w14:textId="77777777" w:rsidR="0053532B" w:rsidRPr="00F87B9B" w:rsidRDefault="0053532B" w:rsidP="00B00D2A">
            <w:pPr>
              <w:spacing w:after="0"/>
              <w:rPr>
                <w:noProof/>
                <w:sz w:val="20"/>
                <w:szCs w:val="20"/>
              </w:rPr>
            </w:pPr>
            <w:r w:rsidRPr="00F87B9B">
              <w:rPr>
                <w:noProof/>
                <w:sz w:val="20"/>
                <w:szCs w:val="20"/>
              </w:rPr>
              <w:t>+++Greater choice of services for end-users (B2C included). Increased availability in all MS (EU-wide coverage)</w:t>
            </w:r>
          </w:p>
          <w:p w14:paraId="4BD7907F" w14:textId="5E8311CA" w:rsidR="0053532B" w:rsidRPr="00F87B9B" w:rsidRDefault="0053532B" w:rsidP="00B00D2A">
            <w:pPr>
              <w:spacing w:after="0"/>
              <w:rPr>
                <w:noProof/>
                <w:sz w:val="20"/>
                <w:szCs w:val="20"/>
              </w:rPr>
            </w:pPr>
            <w:r w:rsidRPr="00F87B9B">
              <w:rPr>
                <w:noProof/>
                <w:sz w:val="20"/>
                <w:szCs w:val="20"/>
              </w:rPr>
              <w:t xml:space="preserve">Increased </w:t>
            </w:r>
            <w:r w:rsidRPr="00F87B9B">
              <w:rPr>
                <w:b/>
                <w:bCs/>
                <w:noProof/>
                <w:sz w:val="20"/>
                <w:szCs w:val="20"/>
              </w:rPr>
              <w:t>Consumer</w:t>
            </w:r>
            <w:r w:rsidR="006D5902">
              <w:rPr>
                <w:b/>
                <w:bCs/>
                <w:noProof/>
                <w:sz w:val="20"/>
                <w:szCs w:val="20"/>
              </w:rPr>
              <w:t xml:space="preserve"> </w:t>
            </w:r>
            <w:r w:rsidRPr="00F87B9B">
              <w:rPr>
                <w:b/>
                <w:bCs/>
                <w:noProof/>
                <w:sz w:val="20"/>
                <w:szCs w:val="20"/>
              </w:rPr>
              <w:t xml:space="preserve">Surplus </w:t>
            </w:r>
            <w:r w:rsidRPr="00F87B9B">
              <w:rPr>
                <w:noProof/>
                <w:sz w:val="20"/>
                <w:szCs w:val="20"/>
              </w:rPr>
              <w:t xml:space="preserve">due to timely availability of New Space innovative services, reduced coverage gaps and reduced legal uncertainty (e.g. one-month EU-wide service interruption estimated to reduce consumer surplus in the order of tens of millions EUR, depending on service substitutability and affected user base). </w:t>
            </w:r>
          </w:p>
          <w:p w14:paraId="27CF4708" w14:textId="77777777" w:rsidR="0053532B" w:rsidRPr="00F87B9B" w:rsidRDefault="0053532B" w:rsidP="00B00D2A">
            <w:pPr>
              <w:spacing w:after="0"/>
              <w:rPr>
                <w:noProof/>
                <w:sz w:val="20"/>
                <w:szCs w:val="20"/>
              </w:rPr>
            </w:pPr>
            <w:r w:rsidRPr="00F87B9B">
              <w:rPr>
                <w:noProof/>
                <w:sz w:val="20"/>
                <w:szCs w:val="20"/>
              </w:rPr>
              <w:t xml:space="preserve"> </w:t>
            </w:r>
          </w:p>
          <w:p w14:paraId="55E4D127" w14:textId="77777777" w:rsidR="0053532B" w:rsidRPr="00F87B9B" w:rsidRDefault="0053532B" w:rsidP="00B00D2A">
            <w:pPr>
              <w:spacing w:after="0"/>
              <w:rPr>
                <w:noProof/>
                <w:sz w:val="20"/>
                <w:szCs w:val="20"/>
              </w:rPr>
            </w:pPr>
            <w:r w:rsidRPr="00F87B9B">
              <w:rPr>
                <w:noProof/>
                <w:sz w:val="20"/>
                <w:szCs w:val="20"/>
              </w:rPr>
              <w:t xml:space="preserve">Improved benefits from pan-European D2D services, </w:t>
            </w:r>
            <w:r w:rsidRPr="00F87B9B">
              <w:rPr>
                <w:noProof/>
                <w:color w:val="000000" w:themeColor="text1"/>
                <w:sz w:val="20"/>
                <w:szCs w:val="20"/>
              </w:rPr>
              <w:t>better capacity to communicate in case of major disasters and in case of emergency situations in underserv</w:t>
            </w:r>
            <w:r w:rsidRPr="00F87B9B">
              <w:rPr>
                <w:noProof/>
                <w:sz w:val="20"/>
                <w:szCs w:val="20"/>
              </w:rPr>
              <w:t xml:space="preserve">ed areas. More secure networks. </w:t>
            </w:r>
          </w:p>
          <w:p w14:paraId="46389770" w14:textId="77777777" w:rsidR="0053532B" w:rsidRPr="00F87B9B" w:rsidRDefault="0053532B" w:rsidP="00B00D2A">
            <w:pPr>
              <w:spacing w:after="0"/>
              <w:rPr>
                <w:noProof/>
                <w:sz w:val="20"/>
                <w:szCs w:val="20"/>
              </w:rPr>
            </w:pPr>
            <w:r w:rsidRPr="00F87B9B">
              <w:rPr>
                <w:noProof/>
                <w:sz w:val="20"/>
                <w:szCs w:val="20"/>
              </w:rPr>
              <w:t xml:space="preserve">Lower risk of service disruption for end users due to satellite harmful interferences. </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tcPr>
          <w:p w14:paraId="04168E77" w14:textId="654E501E" w:rsidR="0053532B" w:rsidRPr="00F87B9B" w:rsidRDefault="0053532B" w:rsidP="00B00D2A">
            <w:pPr>
              <w:spacing w:after="0"/>
              <w:rPr>
                <w:noProof/>
                <w:sz w:val="20"/>
                <w:szCs w:val="20"/>
              </w:rPr>
            </w:pPr>
            <w:r w:rsidRPr="00F87B9B">
              <w:rPr>
                <w:noProof/>
                <w:sz w:val="20"/>
                <w:szCs w:val="20"/>
              </w:rPr>
              <w:t xml:space="preserve">+Like in </w:t>
            </w:r>
            <w:r w:rsidR="00C65E25">
              <w:rPr>
                <w:noProof/>
                <w:sz w:val="20"/>
                <w:szCs w:val="20"/>
              </w:rPr>
              <w:t>o</w:t>
            </w:r>
            <w:r w:rsidRPr="00F87B9B">
              <w:rPr>
                <w:noProof/>
                <w:sz w:val="20"/>
                <w:szCs w:val="20"/>
              </w:rPr>
              <w:t>ption 2, but limited only to cross-border services and B2B (not B2C)</w:t>
            </w:r>
          </w:p>
        </w:tc>
      </w:tr>
      <w:tr w:rsidR="0053532B" w:rsidRPr="00F87B9B" w14:paraId="2CF58885" w14:textId="77777777" w:rsidTr="572DCBD2">
        <w:trPr>
          <w:trHeight w:val="30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4B0C4229" w14:textId="77777777" w:rsidR="0053532B" w:rsidRPr="00F87B9B" w:rsidRDefault="0053532B" w:rsidP="00B00D2A">
            <w:pPr>
              <w:spacing w:after="0"/>
              <w:rPr>
                <w:noProof/>
                <w:sz w:val="20"/>
                <w:szCs w:val="20"/>
              </w:rPr>
            </w:pPr>
            <w:r w:rsidRPr="00F87B9B">
              <w:rPr>
                <w:noProof/>
                <w:sz w:val="20"/>
                <w:szCs w:val="20"/>
              </w:rPr>
              <w:t>Operators</w:t>
            </w:r>
          </w:p>
        </w:tc>
        <w:tc>
          <w:tcPr>
            <w:tcW w:w="2380" w:type="dxa"/>
            <w:tcBorders>
              <w:top w:val="single" w:sz="8" w:space="0" w:color="auto"/>
              <w:left w:val="single" w:sz="8" w:space="0" w:color="auto"/>
              <w:bottom w:val="single" w:sz="8" w:space="0" w:color="auto"/>
              <w:right w:val="single" w:sz="8" w:space="0" w:color="auto"/>
            </w:tcBorders>
            <w:tcMar>
              <w:left w:w="108" w:type="dxa"/>
              <w:right w:w="108" w:type="dxa"/>
            </w:tcMar>
          </w:tcPr>
          <w:p w14:paraId="3052F523" w14:textId="77777777" w:rsidR="0053532B" w:rsidRPr="00F87B9B" w:rsidRDefault="0053532B" w:rsidP="00B00D2A">
            <w:pPr>
              <w:spacing w:after="0"/>
              <w:rPr>
                <w:noProof/>
                <w:sz w:val="20"/>
                <w:szCs w:val="20"/>
              </w:rPr>
            </w:pPr>
            <w:r w:rsidRPr="00F87B9B">
              <w:rPr>
                <w:noProof/>
                <w:sz w:val="20"/>
                <w:szCs w:val="20"/>
              </w:rPr>
              <w:t>+</w:t>
            </w:r>
          </w:p>
          <w:p w14:paraId="79931C2C" w14:textId="77777777" w:rsidR="0053532B" w:rsidRPr="00F87B9B" w:rsidRDefault="0053532B" w:rsidP="00B00D2A">
            <w:pPr>
              <w:spacing w:after="0"/>
              <w:rPr>
                <w:noProof/>
                <w:sz w:val="20"/>
                <w:szCs w:val="20"/>
              </w:rPr>
            </w:pPr>
            <w:r w:rsidRPr="00F87B9B">
              <w:rPr>
                <w:noProof/>
                <w:sz w:val="20"/>
                <w:szCs w:val="20"/>
              </w:rPr>
              <w:t>Indirect benefits thanks to simplified and digitalised procedures (max. list of conditions for GA, unified notification template for satellite services, single notification/one stop-shop for cross-border operators)</w:t>
            </w:r>
          </w:p>
          <w:p w14:paraId="1BACC9BC" w14:textId="77777777" w:rsidR="0053532B" w:rsidRPr="00F87B9B" w:rsidRDefault="0053532B" w:rsidP="00B00D2A">
            <w:pPr>
              <w:spacing w:after="0"/>
              <w:rPr>
                <w:noProof/>
                <w:sz w:val="20"/>
                <w:szCs w:val="20"/>
              </w:rPr>
            </w:pPr>
            <w:r w:rsidRPr="00F87B9B">
              <w:rPr>
                <w:noProof/>
                <w:sz w:val="20"/>
                <w:szCs w:val="20"/>
              </w:rPr>
              <w:t xml:space="preserve"> </w:t>
            </w:r>
          </w:p>
          <w:p w14:paraId="4EC3ED9D" w14:textId="086471A8" w:rsidR="0053532B" w:rsidRPr="00F87B9B" w:rsidRDefault="0053532B" w:rsidP="00B00D2A">
            <w:pPr>
              <w:spacing w:after="0"/>
              <w:rPr>
                <w:noProof/>
                <w:sz w:val="20"/>
                <w:szCs w:val="20"/>
              </w:rPr>
            </w:pPr>
            <w:r w:rsidRPr="00F87B9B">
              <w:rPr>
                <w:noProof/>
                <w:sz w:val="20"/>
                <w:szCs w:val="20"/>
              </w:rPr>
              <w:t xml:space="preserve">For satellite, operators will work </w:t>
            </w:r>
            <w:r w:rsidR="00FD4CAF">
              <w:rPr>
                <w:noProof/>
                <w:sz w:val="20"/>
                <w:szCs w:val="20"/>
              </w:rPr>
              <w:t>under</w:t>
            </w:r>
            <w:r w:rsidR="00FD4CAF" w:rsidRPr="00F87B9B">
              <w:rPr>
                <w:noProof/>
                <w:sz w:val="20"/>
                <w:szCs w:val="20"/>
              </w:rPr>
              <w:t xml:space="preserve"> </w:t>
            </w:r>
            <w:r w:rsidRPr="00F87B9B">
              <w:rPr>
                <w:noProof/>
                <w:sz w:val="20"/>
                <w:szCs w:val="20"/>
              </w:rPr>
              <w:t>simplified procedures such as a unified notification template and a single notification process. However, operators will have to fill in a common template to be sent to 27 different Member States</w:t>
            </w:r>
            <w:r w:rsidRPr="00F87B9B">
              <w:rPr>
                <w:noProof/>
                <w:color w:val="000000" w:themeColor="text1"/>
                <w:sz w:val="20"/>
                <w:szCs w:val="20"/>
              </w:rPr>
              <w:t xml:space="preserve"> whose reporting requirements could </w:t>
            </w:r>
            <w:r w:rsidRPr="00F87B9B">
              <w:rPr>
                <w:noProof/>
                <w:sz w:val="20"/>
                <w:szCs w:val="20"/>
              </w:rPr>
              <w:t>differ significantly in terms of procedures and fees structures.</w:t>
            </w:r>
          </w:p>
        </w:tc>
        <w:tc>
          <w:tcPr>
            <w:tcW w:w="2904" w:type="dxa"/>
            <w:tcBorders>
              <w:top w:val="single" w:sz="8" w:space="0" w:color="auto"/>
              <w:left w:val="single" w:sz="8" w:space="0" w:color="auto"/>
              <w:bottom w:val="single" w:sz="8" w:space="0" w:color="auto"/>
              <w:right w:val="single" w:sz="8" w:space="0" w:color="auto"/>
            </w:tcBorders>
            <w:tcMar>
              <w:left w:w="108" w:type="dxa"/>
              <w:right w:w="108" w:type="dxa"/>
            </w:tcMar>
          </w:tcPr>
          <w:p w14:paraId="4D7F8257" w14:textId="77777777" w:rsidR="0053532B" w:rsidRPr="00F87B9B" w:rsidRDefault="0053532B" w:rsidP="00B00D2A">
            <w:pPr>
              <w:spacing w:after="0"/>
              <w:rPr>
                <w:noProof/>
                <w:sz w:val="20"/>
                <w:szCs w:val="20"/>
              </w:rPr>
            </w:pPr>
            <w:r w:rsidRPr="00F87B9B">
              <w:rPr>
                <w:noProof/>
                <w:sz w:val="20"/>
                <w:szCs w:val="20"/>
              </w:rPr>
              <w:t>++ (due to GA)</w:t>
            </w:r>
          </w:p>
          <w:p w14:paraId="2FB8296F" w14:textId="77777777" w:rsidR="0053532B" w:rsidRPr="00F87B9B" w:rsidRDefault="0053532B" w:rsidP="00B00D2A">
            <w:pPr>
              <w:spacing w:after="0"/>
              <w:rPr>
                <w:noProof/>
                <w:sz w:val="20"/>
                <w:szCs w:val="20"/>
              </w:rPr>
            </w:pPr>
            <w:r w:rsidRPr="00F87B9B">
              <w:rPr>
                <w:noProof/>
                <w:sz w:val="20"/>
                <w:szCs w:val="20"/>
              </w:rPr>
              <w:t>+++ (due to satellite)</w:t>
            </w:r>
          </w:p>
          <w:p w14:paraId="471A5B65" w14:textId="77777777" w:rsidR="0053532B" w:rsidRPr="00F87B9B" w:rsidRDefault="0053532B" w:rsidP="00B00D2A">
            <w:pPr>
              <w:spacing w:after="0"/>
              <w:rPr>
                <w:noProof/>
                <w:color w:val="000000" w:themeColor="text1"/>
                <w:sz w:val="20"/>
                <w:szCs w:val="20"/>
              </w:rPr>
            </w:pPr>
            <w:r w:rsidRPr="00F87B9B">
              <w:rPr>
                <w:noProof/>
                <w:color w:val="000000" w:themeColor="text1"/>
                <w:sz w:val="20"/>
                <w:szCs w:val="20"/>
              </w:rPr>
              <w:t xml:space="preserve"> </w:t>
            </w:r>
          </w:p>
          <w:p w14:paraId="486EFF45" w14:textId="4F912515" w:rsidR="0053532B" w:rsidRPr="00F87B9B" w:rsidRDefault="0053532B" w:rsidP="00B00D2A">
            <w:pPr>
              <w:spacing w:after="0"/>
              <w:rPr>
                <w:noProof/>
                <w:color w:val="000000" w:themeColor="text1"/>
                <w:sz w:val="20"/>
                <w:szCs w:val="20"/>
              </w:rPr>
            </w:pPr>
            <w:r w:rsidRPr="00F87B9B">
              <w:rPr>
                <w:noProof/>
                <w:color w:val="000000" w:themeColor="text1"/>
                <w:sz w:val="20"/>
                <w:szCs w:val="20"/>
              </w:rPr>
              <w:t xml:space="preserve">For GA: Providers benefit from </w:t>
            </w:r>
            <w:r w:rsidR="003F2FBB">
              <w:rPr>
                <w:noProof/>
                <w:color w:val="000000" w:themeColor="text1"/>
                <w:sz w:val="20"/>
                <w:szCs w:val="20"/>
              </w:rPr>
              <w:t xml:space="preserve">a </w:t>
            </w:r>
            <w:r w:rsidRPr="00F87B9B">
              <w:rPr>
                <w:noProof/>
                <w:color w:val="000000" w:themeColor="text1"/>
                <w:sz w:val="20"/>
                <w:szCs w:val="20"/>
              </w:rPr>
              <w:t>single passport</w:t>
            </w:r>
            <w:r w:rsidR="003F2FBB">
              <w:rPr>
                <w:noProof/>
                <w:color w:val="000000" w:themeColor="text1"/>
                <w:sz w:val="20"/>
                <w:szCs w:val="20"/>
              </w:rPr>
              <w:t xml:space="preserve"> or </w:t>
            </w:r>
            <w:r w:rsidRPr="00F87B9B">
              <w:rPr>
                <w:noProof/>
                <w:color w:val="000000" w:themeColor="text1"/>
                <w:sz w:val="20"/>
                <w:szCs w:val="20"/>
              </w:rPr>
              <w:t>declaration authorising the provision of networks and services, which is valid in all 27 Member States</w:t>
            </w:r>
            <w:r w:rsidR="00247DF8">
              <w:rPr>
                <w:noProof/>
                <w:color w:val="000000" w:themeColor="text1"/>
                <w:sz w:val="20"/>
                <w:szCs w:val="20"/>
              </w:rPr>
              <w:t>,</w:t>
            </w:r>
            <w:r w:rsidRPr="00F87B9B">
              <w:rPr>
                <w:noProof/>
                <w:color w:val="000000" w:themeColor="text1"/>
                <w:sz w:val="20"/>
                <w:szCs w:val="20"/>
              </w:rPr>
              <w:t xml:space="preserve"> instead of </w:t>
            </w:r>
            <w:r w:rsidR="00247DF8">
              <w:rPr>
                <w:noProof/>
                <w:color w:val="000000" w:themeColor="text1"/>
                <w:sz w:val="20"/>
                <w:szCs w:val="20"/>
              </w:rPr>
              <w:t>having to</w:t>
            </w:r>
            <w:r w:rsidRPr="00F87B9B">
              <w:rPr>
                <w:noProof/>
                <w:color w:val="000000" w:themeColor="text1"/>
                <w:sz w:val="20"/>
                <w:szCs w:val="20"/>
              </w:rPr>
              <w:t xml:space="preserve"> go through individual national procedures.</w:t>
            </w:r>
          </w:p>
          <w:p w14:paraId="6543D1CE" w14:textId="77777777" w:rsidR="0053532B" w:rsidRPr="00F87B9B" w:rsidRDefault="0053532B" w:rsidP="00B00D2A">
            <w:pPr>
              <w:spacing w:after="0"/>
              <w:rPr>
                <w:noProof/>
                <w:sz w:val="20"/>
                <w:szCs w:val="20"/>
              </w:rPr>
            </w:pPr>
            <w:r w:rsidRPr="00F87B9B">
              <w:rPr>
                <w:noProof/>
                <w:sz w:val="20"/>
                <w:szCs w:val="20"/>
              </w:rPr>
              <w:t xml:space="preserve"> </w:t>
            </w:r>
          </w:p>
          <w:p w14:paraId="75D4C092" w14:textId="073A70F8" w:rsidR="0053532B" w:rsidRPr="000F58DF" w:rsidRDefault="0053532B" w:rsidP="00B00D2A">
            <w:pPr>
              <w:spacing w:after="0"/>
              <w:rPr>
                <w:bCs/>
                <w:noProof/>
                <w:sz w:val="20"/>
                <w:szCs w:val="20"/>
              </w:rPr>
            </w:pPr>
            <w:r w:rsidRPr="00F87B9B">
              <w:rPr>
                <w:noProof/>
                <w:sz w:val="20"/>
                <w:szCs w:val="20"/>
              </w:rPr>
              <w:t>Cost savings</w:t>
            </w:r>
            <w:r w:rsidR="00FE5939">
              <w:rPr>
                <w:noProof/>
                <w:sz w:val="20"/>
                <w:szCs w:val="20"/>
              </w:rPr>
              <w:t>,</w:t>
            </w:r>
            <w:r w:rsidRPr="00F87B9B">
              <w:rPr>
                <w:noProof/>
                <w:sz w:val="20"/>
                <w:szCs w:val="20"/>
              </w:rPr>
              <w:t xml:space="preserve"> reduc</w:t>
            </w:r>
            <w:r w:rsidR="008A6242">
              <w:rPr>
                <w:noProof/>
                <w:sz w:val="20"/>
                <w:szCs w:val="20"/>
              </w:rPr>
              <w:t>ed</w:t>
            </w:r>
            <w:r w:rsidRPr="00F87B9B">
              <w:rPr>
                <w:noProof/>
                <w:sz w:val="20"/>
                <w:szCs w:val="20"/>
              </w:rPr>
              <w:t xml:space="preserve"> admin. burden and additional costs savings from </w:t>
            </w:r>
            <w:r w:rsidR="00CA26B8">
              <w:rPr>
                <w:noProof/>
                <w:sz w:val="20"/>
                <w:szCs w:val="20"/>
              </w:rPr>
              <w:t>lower</w:t>
            </w:r>
            <w:r w:rsidRPr="00F87B9B">
              <w:rPr>
                <w:noProof/>
                <w:sz w:val="20"/>
                <w:szCs w:val="20"/>
              </w:rPr>
              <w:t xml:space="preserve"> compliance costs for all cross-border ENS and ECS providers </w:t>
            </w:r>
            <w:r w:rsidR="00DA053C">
              <w:rPr>
                <w:noProof/>
                <w:sz w:val="20"/>
                <w:szCs w:val="20"/>
              </w:rPr>
              <w:t xml:space="preserve">of </w:t>
            </w:r>
            <w:r w:rsidR="1ADC1ED4" w:rsidRPr="50EB1703">
              <w:rPr>
                <w:noProof/>
                <w:sz w:val="20"/>
                <w:szCs w:val="20"/>
              </w:rPr>
              <w:t>around 40-44%</w:t>
            </w:r>
            <w:r w:rsidR="00266EF4">
              <w:rPr>
                <w:noProof/>
                <w:sz w:val="20"/>
                <w:szCs w:val="20"/>
              </w:rPr>
              <w:t xml:space="preserve">, as </w:t>
            </w:r>
            <w:r w:rsidRPr="00F87B9B">
              <w:rPr>
                <w:noProof/>
                <w:sz w:val="20"/>
                <w:szCs w:val="20"/>
              </w:rPr>
              <w:t>align</w:t>
            </w:r>
            <w:r w:rsidR="00266EF4">
              <w:rPr>
                <w:noProof/>
                <w:sz w:val="20"/>
                <w:szCs w:val="20"/>
              </w:rPr>
              <w:t>ment</w:t>
            </w:r>
            <w:r w:rsidRPr="00F87B9B">
              <w:rPr>
                <w:noProof/>
                <w:sz w:val="20"/>
                <w:szCs w:val="20"/>
              </w:rPr>
              <w:t xml:space="preserve"> with </w:t>
            </w:r>
            <w:r w:rsidR="00304D44" w:rsidRPr="00F87B9B">
              <w:rPr>
                <w:noProof/>
                <w:sz w:val="20"/>
                <w:szCs w:val="20"/>
              </w:rPr>
              <w:t xml:space="preserve">divergent </w:t>
            </w:r>
            <w:r w:rsidRPr="00F87B9B">
              <w:rPr>
                <w:noProof/>
                <w:sz w:val="20"/>
                <w:szCs w:val="20"/>
              </w:rPr>
              <w:t xml:space="preserve">national conditions (potentially over 1050 across MS) </w:t>
            </w:r>
            <w:r w:rsidR="00B4208A">
              <w:rPr>
                <w:noProof/>
                <w:sz w:val="20"/>
                <w:szCs w:val="20"/>
              </w:rPr>
              <w:t>would no longer be required,</w:t>
            </w:r>
            <w:r w:rsidRPr="00F87B9B">
              <w:rPr>
                <w:noProof/>
                <w:sz w:val="20"/>
                <w:szCs w:val="20"/>
              </w:rPr>
              <w:t xml:space="preserve"> </w:t>
            </w:r>
            <w:r w:rsidR="00B4208A">
              <w:rPr>
                <w:noProof/>
                <w:sz w:val="20"/>
                <w:szCs w:val="20"/>
              </w:rPr>
              <w:t>amounting to</w:t>
            </w:r>
            <w:r w:rsidRPr="00F87B9B">
              <w:rPr>
                <w:noProof/>
                <w:sz w:val="20"/>
                <w:szCs w:val="20"/>
              </w:rPr>
              <w:t xml:space="preserve"> </w:t>
            </w:r>
            <w:r w:rsidR="00E75A51">
              <w:rPr>
                <w:bCs/>
                <w:noProof/>
                <w:sz w:val="20"/>
                <w:szCs w:val="20"/>
              </w:rPr>
              <w:t>approximately</w:t>
            </w:r>
            <w:r w:rsidR="00E75A51" w:rsidRPr="000939E2">
              <w:rPr>
                <w:bCs/>
                <w:noProof/>
                <w:sz w:val="20"/>
                <w:szCs w:val="20"/>
              </w:rPr>
              <w:t xml:space="preserve"> </w:t>
            </w:r>
            <w:r w:rsidRPr="000939E2">
              <w:rPr>
                <w:bCs/>
                <w:noProof/>
                <w:sz w:val="20"/>
                <w:szCs w:val="20"/>
              </w:rPr>
              <w:t>EUR 6</w:t>
            </w:r>
            <w:r w:rsidR="31F4A559" w:rsidRPr="000939E2">
              <w:rPr>
                <w:bCs/>
                <w:noProof/>
                <w:sz w:val="20"/>
                <w:szCs w:val="20"/>
              </w:rPr>
              <w:t>-11</w:t>
            </w:r>
            <w:r w:rsidRPr="000939E2">
              <w:rPr>
                <w:bCs/>
                <w:noProof/>
                <w:sz w:val="20"/>
                <w:szCs w:val="20"/>
              </w:rPr>
              <w:t xml:space="preserve"> m</w:t>
            </w:r>
            <w:r w:rsidR="00E75A51">
              <w:rPr>
                <w:bCs/>
                <w:noProof/>
                <w:sz w:val="20"/>
                <w:szCs w:val="20"/>
              </w:rPr>
              <w:t>illion</w:t>
            </w:r>
            <w:r w:rsidRPr="000939E2">
              <w:rPr>
                <w:bCs/>
                <w:noProof/>
                <w:sz w:val="20"/>
                <w:szCs w:val="20"/>
              </w:rPr>
              <w:t xml:space="preserve"> per operator</w:t>
            </w:r>
            <w:r w:rsidR="00E75A51">
              <w:rPr>
                <w:bCs/>
                <w:noProof/>
                <w:sz w:val="20"/>
                <w:szCs w:val="20"/>
              </w:rPr>
              <w:t xml:space="preserve"> per year</w:t>
            </w:r>
            <w:r w:rsidRPr="000939E2">
              <w:rPr>
                <w:bCs/>
                <w:noProof/>
                <w:sz w:val="20"/>
                <w:szCs w:val="20"/>
              </w:rPr>
              <w:t xml:space="preserve">. </w:t>
            </w:r>
          </w:p>
          <w:p w14:paraId="7DECA117" w14:textId="77777777" w:rsidR="0053532B" w:rsidRPr="000F58DF" w:rsidRDefault="0053532B" w:rsidP="00B00D2A">
            <w:pPr>
              <w:spacing w:after="0"/>
              <w:rPr>
                <w:bCs/>
                <w:noProof/>
                <w:sz w:val="20"/>
                <w:szCs w:val="20"/>
              </w:rPr>
            </w:pPr>
            <w:r w:rsidRPr="000F58DF">
              <w:rPr>
                <w:bCs/>
                <w:noProof/>
                <w:sz w:val="20"/>
                <w:szCs w:val="20"/>
              </w:rPr>
              <w:t xml:space="preserve"> </w:t>
            </w:r>
          </w:p>
          <w:p w14:paraId="79ECD987" w14:textId="77777777" w:rsidR="0053532B" w:rsidRPr="00F87B9B" w:rsidRDefault="0053532B" w:rsidP="00B00D2A">
            <w:pPr>
              <w:spacing w:after="0"/>
              <w:rPr>
                <w:noProof/>
                <w:sz w:val="20"/>
                <w:szCs w:val="20"/>
              </w:rPr>
            </w:pPr>
            <w:r w:rsidRPr="00F87B9B">
              <w:rPr>
                <w:noProof/>
                <w:sz w:val="20"/>
                <w:szCs w:val="20"/>
              </w:rPr>
              <w:t xml:space="preserve">For satellite: Solution to </w:t>
            </w:r>
            <w:r w:rsidRPr="00F87B9B">
              <w:rPr>
                <w:b/>
                <w:bCs/>
                <w:noProof/>
                <w:sz w:val="20"/>
                <w:szCs w:val="20"/>
              </w:rPr>
              <w:t xml:space="preserve">harmful interference </w:t>
            </w:r>
            <w:r w:rsidRPr="00F87B9B">
              <w:rPr>
                <w:noProof/>
                <w:sz w:val="20"/>
                <w:szCs w:val="20"/>
              </w:rPr>
              <w:t>issues (ensures all players play by the rules thanks to the coordinated enforcement of satellite rules)</w:t>
            </w:r>
          </w:p>
          <w:p w14:paraId="0E61F8B9" w14:textId="77777777" w:rsidR="0053532B" w:rsidRPr="00F87B9B" w:rsidRDefault="0053532B" w:rsidP="00B00D2A">
            <w:pPr>
              <w:spacing w:after="0"/>
              <w:rPr>
                <w:noProof/>
                <w:sz w:val="20"/>
                <w:szCs w:val="20"/>
              </w:rPr>
            </w:pPr>
            <w:r w:rsidRPr="00F87B9B">
              <w:rPr>
                <w:noProof/>
                <w:sz w:val="20"/>
                <w:szCs w:val="20"/>
              </w:rPr>
              <w:t xml:space="preserve"> </w:t>
            </w:r>
          </w:p>
          <w:p w14:paraId="5F8F7B3D" w14:textId="2E17C3EA" w:rsidR="0053532B" w:rsidRPr="00F87B9B" w:rsidRDefault="0053532B" w:rsidP="00B00D2A">
            <w:pPr>
              <w:spacing w:after="0"/>
              <w:rPr>
                <w:noProof/>
                <w:sz w:val="20"/>
                <w:szCs w:val="20"/>
              </w:rPr>
            </w:pPr>
            <w:r w:rsidRPr="00F87B9B">
              <w:rPr>
                <w:noProof/>
                <w:sz w:val="20"/>
                <w:szCs w:val="20"/>
              </w:rPr>
              <w:t>Other benefits: faster market entry and ECN/ECS deployment (</w:t>
            </w:r>
            <w:r w:rsidRPr="00F87B9B">
              <w:rPr>
                <w:b/>
                <w:bCs/>
                <w:noProof/>
                <w:sz w:val="20"/>
                <w:szCs w:val="20"/>
              </w:rPr>
              <w:t>avoiding a reduction of revenues due to delays</w:t>
            </w:r>
            <w:r w:rsidRPr="00F87B9B">
              <w:rPr>
                <w:noProof/>
                <w:sz w:val="20"/>
                <w:szCs w:val="20"/>
              </w:rPr>
              <w:t xml:space="preserve">, e.g. in a major EU constellation one-month EU-wide service interruption </w:t>
            </w:r>
            <w:r w:rsidR="00944587">
              <w:rPr>
                <w:noProof/>
                <w:sz w:val="20"/>
                <w:szCs w:val="20"/>
              </w:rPr>
              <w:t>could lead</w:t>
            </w:r>
            <w:r w:rsidR="000A3BF7">
              <w:rPr>
                <w:noProof/>
                <w:sz w:val="20"/>
                <w:szCs w:val="20"/>
              </w:rPr>
              <w:t xml:space="preserve"> to an</w:t>
            </w:r>
            <w:r w:rsidRPr="00F87B9B">
              <w:rPr>
                <w:noProof/>
                <w:sz w:val="20"/>
                <w:szCs w:val="20"/>
              </w:rPr>
              <w:t xml:space="preserve"> estimated loss of potential revenue of some EUR 50 million per month,), greater consistency of regulatory conditions, innovative cross-border services e.g. B2B also New Space SMEs For satellite, operator savings linked to complying with one single set of authorisation conditions and limited loss of revenues due to possible delays in spectrum authorisation. </w:t>
            </w:r>
          </w:p>
          <w:p w14:paraId="1E77CF8B" w14:textId="613F6BD4" w:rsidR="0053532B" w:rsidRPr="00F87B9B" w:rsidRDefault="00C61399" w:rsidP="00B00D2A">
            <w:pPr>
              <w:spacing w:after="0"/>
              <w:rPr>
                <w:noProof/>
                <w:sz w:val="20"/>
                <w:szCs w:val="20"/>
              </w:rPr>
            </w:pPr>
            <w:r>
              <w:rPr>
                <w:noProof/>
                <w:sz w:val="20"/>
                <w:szCs w:val="20"/>
              </w:rPr>
              <w:t xml:space="preserve">As an example, </w:t>
            </w:r>
            <w:r w:rsidR="00CC44F7">
              <w:rPr>
                <w:noProof/>
                <w:sz w:val="20"/>
                <w:szCs w:val="20"/>
              </w:rPr>
              <w:t xml:space="preserve">some operators </w:t>
            </w:r>
            <w:r w:rsidR="0053532B" w:rsidRPr="00F87B9B">
              <w:rPr>
                <w:noProof/>
                <w:sz w:val="20"/>
                <w:szCs w:val="20"/>
              </w:rPr>
              <w:t xml:space="preserve">estimated that for securing spectrum authorisations for a satellite constellation covering the entire EU, an </w:t>
            </w:r>
            <w:r w:rsidR="0053532B" w:rsidRPr="000939E2">
              <w:rPr>
                <w:noProof/>
                <w:sz w:val="20"/>
                <w:szCs w:val="20"/>
              </w:rPr>
              <w:t xml:space="preserve">operator needs </w:t>
            </w:r>
            <w:r w:rsidR="001E4C9F">
              <w:rPr>
                <w:noProof/>
                <w:sz w:val="20"/>
                <w:szCs w:val="20"/>
              </w:rPr>
              <w:t xml:space="preserve">several </w:t>
            </w:r>
            <w:r w:rsidR="0053532B" w:rsidRPr="000939E2">
              <w:rPr>
                <w:noProof/>
                <w:sz w:val="20"/>
                <w:szCs w:val="20"/>
              </w:rPr>
              <w:t xml:space="preserve">FTEs centrally </w:t>
            </w:r>
            <w:r w:rsidR="0053532B" w:rsidRPr="00C61399">
              <w:rPr>
                <w:noProof/>
                <w:sz w:val="20"/>
                <w:szCs w:val="20"/>
              </w:rPr>
              <w:t xml:space="preserve">for assessing the scope and requirements to launch services across each Member States, including working on spectrum assignments and </w:t>
            </w:r>
            <w:r w:rsidR="0053532B" w:rsidRPr="000939E2">
              <w:rPr>
                <w:noProof/>
                <w:sz w:val="20"/>
                <w:szCs w:val="20"/>
              </w:rPr>
              <w:t>additional further resources</w:t>
            </w:r>
            <w:r w:rsidR="0053532B" w:rsidRPr="00C61399">
              <w:rPr>
                <w:noProof/>
                <w:sz w:val="20"/>
                <w:szCs w:val="20"/>
              </w:rPr>
              <w:t xml:space="preserve"> per Member State to apply for spectrum authorisation</w:t>
            </w:r>
            <w:r w:rsidR="00CC44F7">
              <w:rPr>
                <w:noProof/>
                <w:sz w:val="20"/>
                <w:szCs w:val="20"/>
              </w:rPr>
              <w:t xml:space="preserve"> and</w:t>
            </w:r>
            <w:r w:rsidR="0053532B" w:rsidRPr="00C61399">
              <w:rPr>
                <w:noProof/>
                <w:sz w:val="20"/>
                <w:szCs w:val="20"/>
              </w:rPr>
              <w:t xml:space="preserve"> </w:t>
            </w:r>
            <w:r w:rsidR="00E76D59">
              <w:rPr>
                <w:noProof/>
                <w:sz w:val="20"/>
                <w:szCs w:val="20"/>
              </w:rPr>
              <w:t xml:space="preserve">significant </w:t>
            </w:r>
            <w:r w:rsidR="0053532B" w:rsidRPr="000939E2">
              <w:rPr>
                <w:noProof/>
                <w:sz w:val="20"/>
                <w:szCs w:val="20"/>
              </w:rPr>
              <w:t xml:space="preserve">additional </w:t>
            </w:r>
            <w:r w:rsidR="00E76D59">
              <w:rPr>
                <w:noProof/>
                <w:sz w:val="20"/>
                <w:szCs w:val="20"/>
              </w:rPr>
              <w:t>resources</w:t>
            </w:r>
            <w:r w:rsidR="0053532B" w:rsidRPr="00C61399">
              <w:rPr>
                <w:noProof/>
                <w:sz w:val="20"/>
                <w:szCs w:val="20"/>
              </w:rPr>
              <w:t xml:space="preserve"> if Member States </w:t>
            </w:r>
            <w:r w:rsidR="00AB0069" w:rsidRPr="00C61399">
              <w:rPr>
                <w:noProof/>
                <w:sz w:val="20"/>
                <w:szCs w:val="20"/>
              </w:rPr>
              <w:t xml:space="preserve">have specific </w:t>
            </w:r>
            <w:r w:rsidR="0053532B" w:rsidRPr="00C61399">
              <w:rPr>
                <w:noProof/>
                <w:sz w:val="20"/>
                <w:szCs w:val="20"/>
              </w:rPr>
              <w:t>in-</w:t>
            </w:r>
            <w:r w:rsidR="0053532B" w:rsidRPr="00F87B9B">
              <w:rPr>
                <w:noProof/>
                <w:sz w:val="20"/>
                <w:szCs w:val="20"/>
              </w:rPr>
              <w:t xml:space="preserve">country </w:t>
            </w:r>
            <w:r w:rsidR="00AB0069">
              <w:rPr>
                <w:noProof/>
                <w:sz w:val="20"/>
                <w:szCs w:val="20"/>
              </w:rPr>
              <w:t>requirements</w:t>
            </w:r>
            <w:r w:rsidR="00190657">
              <w:rPr>
                <w:noProof/>
                <w:sz w:val="20"/>
                <w:szCs w:val="20"/>
              </w:rPr>
              <w:t xml:space="preserve"> such </w:t>
            </w:r>
            <w:r w:rsidR="00D22170">
              <w:rPr>
                <w:noProof/>
                <w:sz w:val="20"/>
                <w:szCs w:val="20"/>
              </w:rPr>
              <w:t xml:space="preserve">as </w:t>
            </w:r>
            <w:r w:rsidR="00190657">
              <w:rPr>
                <w:noProof/>
                <w:sz w:val="20"/>
                <w:szCs w:val="20"/>
              </w:rPr>
              <w:t>testing</w:t>
            </w:r>
            <w:r w:rsidR="0053532B" w:rsidRPr="00F87B9B">
              <w:rPr>
                <w:noProof/>
                <w:sz w:val="20"/>
                <w:szCs w:val="20"/>
              </w:rPr>
              <w:t xml:space="preserve"> before the launch of satellite services </w:t>
            </w:r>
          </w:p>
          <w:p w14:paraId="44511178" w14:textId="1C16E6EE" w:rsidR="0053532B" w:rsidRPr="00F87B9B" w:rsidRDefault="0053532B" w:rsidP="00B00D2A">
            <w:pPr>
              <w:spacing w:after="0"/>
              <w:rPr>
                <w:noProof/>
                <w:sz w:val="20"/>
                <w:szCs w:val="20"/>
              </w:rPr>
            </w:pPr>
            <w:r w:rsidRPr="00F87B9B">
              <w:rPr>
                <w:noProof/>
                <w:sz w:val="20"/>
                <w:szCs w:val="20"/>
              </w:rPr>
              <w:t>Overall</w:t>
            </w:r>
            <w:r w:rsidR="00EF0A98">
              <w:rPr>
                <w:noProof/>
                <w:sz w:val="20"/>
                <w:szCs w:val="20"/>
              </w:rPr>
              <w:t>,</w:t>
            </w:r>
            <w:r w:rsidRPr="00F87B9B">
              <w:rPr>
                <w:noProof/>
                <w:sz w:val="20"/>
                <w:szCs w:val="20"/>
              </w:rPr>
              <w:t xml:space="preserve"> a digital single market for satellite could reduce costs by an </w:t>
            </w:r>
            <w:r w:rsidRPr="000939E2">
              <w:rPr>
                <w:noProof/>
                <w:sz w:val="20"/>
                <w:szCs w:val="20"/>
              </w:rPr>
              <w:t>estimated 60-80%</w:t>
            </w:r>
            <w:r w:rsidR="00950724">
              <w:rPr>
                <w:noProof/>
                <w:sz w:val="20"/>
                <w:szCs w:val="20"/>
              </w:rPr>
              <w:t>.</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tcPr>
          <w:p w14:paraId="75180A39" w14:textId="77777777" w:rsidR="0053532B" w:rsidRPr="00F87B9B" w:rsidRDefault="0053532B" w:rsidP="00B00D2A">
            <w:pPr>
              <w:spacing w:after="0"/>
              <w:rPr>
                <w:noProof/>
                <w:sz w:val="20"/>
                <w:szCs w:val="20"/>
              </w:rPr>
            </w:pPr>
            <w:r w:rsidRPr="00F87B9B">
              <w:rPr>
                <w:noProof/>
                <w:sz w:val="20"/>
                <w:szCs w:val="20"/>
              </w:rPr>
              <w:t>++</w:t>
            </w:r>
          </w:p>
          <w:p w14:paraId="364D208C" w14:textId="3CB4A131" w:rsidR="0053532B" w:rsidRPr="00F87B9B" w:rsidRDefault="0053532B" w:rsidP="00B00D2A">
            <w:pPr>
              <w:spacing w:after="0"/>
              <w:rPr>
                <w:noProof/>
                <w:sz w:val="20"/>
                <w:szCs w:val="20"/>
              </w:rPr>
            </w:pPr>
            <w:r w:rsidRPr="00F87B9B">
              <w:rPr>
                <w:noProof/>
                <w:sz w:val="20"/>
                <w:szCs w:val="20"/>
              </w:rPr>
              <w:t>For GA: Higher than in option 1 and 2</w:t>
            </w:r>
            <w:r w:rsidR="00615DD4" w:rsidRPr="00F87B9B">
              <w:rPr>
                <w:noProof/>
                <w:sz w:val="20"/>
                <w:szCs w:val="20"/>
              </w:rPr>
              <w:t>,</w:t>
            </w:r>
            <w:r w:rsidRPr="00F87B9B">
              <w:rPr>
                <w:noProof/>
                <w:sz w:val="20"/>
                <w:szCs w:val="20"/>
              </w:rPr>
              <w:t xml:space="preserve"> but limited to certain </w:t>
            </w:r>
            <w:r w:rsidR="00D67710" w:rsidRPr="00F87B9B">
              <w:rPr>
                <w:noProof/>
                <w:sz w:val="20"/>
                <w:szCs w:val="20"/>
              </w:rPr>
              <w:t xml:space="preserve">cross-border </w:t>
            </w:r>
            <w:r w:rsidRPr="00F87B9B">
              <w:rPr>
                <w:noProof/>
                <w:sz w:val="20"/>
                <w:szCs w:val="20"/>
              </w:rPr>
              <w:t>service providers</w:t>
            </w:r>
            <w:r w:rsidR="00D67710">
              <w:rPr>
                <w:noProof/>
                <w:sz w:val="20"/>
                <w:szCs w:val="20"/>
              </w:rPr>
              <w:t>,</w:t>
            </w:r>
            <w:r w:rsidRPr="00F87B9B">
              <w:rPr>
                <w:noProof/>
                <w:sz w:val="20"/>
                <w:szCs w:val="20"/>
              </w:rPr>
              <w:t xml:space="preserve"> </w:t>
            </w:r>
            <w:r w:rsidR="00E273F5">
              <w:rPr>
                <w:noProof/>
                <w:sz w:val="20"/>
                <w:szCs w:val="20"/>
              </w:rPr>
              <w:t>such as</w:t>
            </w:r>
            <w:r w:rsidRPr="00F87B9B">
              <w:rPr>
                <w:noProof/>
                <w:sz w:val="20"/>
                <w:szCs w:val="20"/>
              </w:rPr>
              <w:t xml:space="preserve"> satellite services and B2B</w:t>
            </w:r>
            <w:r w:rsidR="00E273F5">
              <w:rPr>
                <w:noProof/>
                <w:sz w:val="20"/>
                <w:szCs w:val="20"/>
              </w:rPr>
              <w:t xml:space="preserve"> providers</w:t>
            </w:r>
            <w:r w:rsidRPr="00F87B9B">
              <w:rPr>
                <w:noProof/>
                <w:sz w:val="20"/>
                <w:szCs w:val="20"/>
              </w:rPr>
              <w:t>.</w:t>
            </w:r>
          </w:p>
          <w:p w14:paraId="47E66DCE" w14:textId="77777777" w:rsidR="0053532B" w:rsidRPr="00F87B9B" w:rsidRDefault="0053532B" w:rsidP="00B00D2A">
            <w:pPr>
              <w:spacing w:after="0"/>
              <w:rPr>
                <w:noProof/>
                <w:sz w:val="20"/>
                <w:szCs w:val="20"/>
              </w:rPr>
            </w:pPr>
            <w:r w:rsidRPr="00F87B9B">
              <w:rPr>
                <w:noProof/>
                <w:sz w:val="20"/>
                <w:szCs w:val="20"/>
              </w:rPr>
              <w:t xml:space="preserve"> </w:t>
            </w:r>
          </w:p>
          <w:p w14:paraId="6E0F5498" w14:textId="77777777" w:rsidR="0053532B" w:rsidRPr="00F87B9B" w:rsidRDefault="0053532B" w:rsidP="00B00D2A">
            <w:pPr>
              <w:spacing w:after="0"/>
              <w:rPr>
                <w:noProof/>
                <w:sz w:val="20"/>
                <w:szCs w:val="20"/>
              </w:rPr>
            </w:pPr>
            <w:r w:rsidRPr="00F87B9B">
              <w:rPr>
                <w:noProof/>
                <w:sz w:val="20"/>
                <w:szCs w:val="20"/>
              </w:rPr>
              <w:t>Satellite operators could pick and choose (forum shopping) and concentrate all FTEs in the selected Member States for satellite authorisations. Therefore, administrative benefits would be similar to option 2 as well as the enforcement FTEs efforts, which will be concentrated in one or some MSs.</w:t>
            </w:r>
          </w:p>
          <w:p w14:paraId="5D2D4679" w14:textId="77777777" w:rsidR="0053532B" w:rsidRPr="00F87B9B" w:rsidRDefault="0053532B" w:rsidP="00B00D2A">
            <w:pPr>
              <w:spacing w:after="0"/>
              <w:rPr>
                <w:noProof/>
                <w:sz w:val="20"/>
                <w:szCs w:val="20"/>
              </w:rPr>
            </w:pPr>
            <w:r w:rsidRPr="00F87B9B">
              <w:rPr>
                <w:noProof/>
                <w:sz w:val="20"/>
                <w:szCs w:val="20"/>
              </w:rPr>
              <w:t>Mechanisms to tackle harmful interference will benefit operators but the timely and efficiency of them might be lower than option 2.</w:t>
            </w:r>
          </w:p>
        </w:tc>
      </w:tr>
      <w:tr w:rsidR="0053532B" w:rsidRPr="00F87B9B" w14:paraId="26A64947" w14:textId="77777777" w:rsidTr="572DCBD2">
        <w:trPr>
          <w:trHeight w:val="30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628313C1" w14:textId="77777777" w:rsidR="0053532B" w:rsidRPr="00F87B9B" w:rsidRDefault="0053532B" w:rsidP="00B00D2A">
            <w:pPr>
              <w:spacing w:after="0"/>
              <w:rPr>
                <w:noProof/>
                <w:sz w:val="20"/>
                <w:szCs w:val="20"/>
              </w:rPr>
            </w:pPr>
            <w:r w:rsidRPr="00F87B9B">
              <w:rPr>
                <w:noProof/>
                <w:sz w:val="20"/>
                <w:szCs w:val="20"/>
              </w:rPr>
              <w:t xml:space="preserve">Administrations </w:t>
            </w:r>
          </w:p>
        </w:tc>
        <w:tc>
          <w:tcPr>
            <w:tcW w:w="2380" w:type="dxa"/>
            <w:tcBorders>
              <w:top w:val="single" w:sz="8" w:space="0" w:color="auto"/>
              <w:left w:val="single" w:sz="8" w:space="0" w:color="auto"/>
              <w:bottom w:val="single" w:sz="8" w:space="0" w:color="auto"/>
              <w:right w:val="single" w:sz="8" w:space="0" w:color="auto"/>
            </w:tcBorders>
            <w:tcMar>
              <w:left w:w="108" w:type="dxa"/>
              <w:right w:w="108" w:type="dxa"/>
            </w:tcMar>
          </w:tcPr>
          <w:p w14:paraId="5999D137" w14:textId="77777777" w:rsidR="0053532B" w:rsidRPr="00F87B9B" w:rsidRDefault="0053532B" w:rsidP="00B00D2A">
            <w:pPr>
              <w:spacing w:after="0"/>
              <w:rPr>
                <w:noProof/>
                <w:sz w:val="20"/>
                <w:szCs w:val="20"/>
              </w:rPr>
            </w:pPr>
            <w:r w:rsidRPr="00F87B9B">
              <w:rPr>
                <w:noProof/>
                <w:sz w:val="20"/>
                <w:szCs w:val="20"/>
              </w:rPr>
              <w:t>+</w:t>
            </w:r>
          </w:p>
          <w:p w14:paraId="7CFC1FB7" w14:textId="7898A99E" w:rsidR="0053532B" w:rsidRPr="00F87B9B" w:rsidRDefault="0053532B" w:rsidP="00B00D2A">
            <w:pPr>
              <w:spacing w:after="0"/>
              <w:rPr>
                <w:noProof/>
                <w:sz w:val="20"/>
                <w:szCs w:val="20"/>
              </w:rPr>
            </w:pPr>
            <w:r w:rsidRPr="00F87B9B">
              <w:rPr>
                <w:noProof/>
                <w:sz w:val="20"/>
                <w:szCs w:val="20"/>
              </w:rPr>
              <w:t>One -stop-shop mechanism for cross-border operators might relie</w:t>
            </w:r>
            <w:r w:rsidR="003A4126">
              <w:rPr>
                <w:noProof/>
                <w:sz w:val="20"/>
                <w:szCs w:val="20"/>
              </w:rPr>
              <w:t>ve</w:t>
            </w:r>
            <w:r w:rsidRPr="00F87B9B">
              <w:rPr>
                <w:noProof/>
                <w:sz w:val="20"/>
                <w:szCs w:val="20"/>
              </w:rPr>
              <w:t xml:space="preserve"> some pressure from MS/NRAs to BEREC Office level. </w:t>
            </w:r>
          </w:p>
        </w:tc>
        <w:tc>
          <w:tcPr>
            <w:tcW w:w="2904" w:type="dxa"/>
            <w:tcBorders>
              <w:top w:val="single" w:sz="8" w:space="0" w:color="auto"/>
              <w:left w:val="single" w:sz="8" w:space="0" w:color="auto"/>
              <w:bottom w:val="single" w:sz="8" w:space="0" w:color="auto"/>
              <w:right w:val="single" w:sz="8" w:space="0" w:color="auto"/>
            </w:tcBorders>
            <w:tcMar>
              <w:left w:w="108" w:type="dxa"/>
              <w:right w:w="108" w:type="dxa"/>
            </w:tcMar>
          </w:tcPr>
          <w:p w14:paraId="6F59AF88" w14:textId="13B003EB" w:rsidR="0053532B" w:rsidRPr="00F87B9B" w:rsidRDefault="0053532B" w:rsidP="00B00D2A">
            <w:pPr>
              <w:spacing w:after="0"/>
              <w:rPr>
                <w:noProof/>
                <w:sz w:val="20"/>
                <w:szCs w:val="20"/>
              </w:rPr>
            </w:pPr>
            <w:r w:rsidRPr="00F87B9B">
              <w:rPr>
                <w:noProof/>
                <w:sz w:val="20"/>
                <w:szCs w:val="20"/>
              </w:rPr>
              <w:t>++</w:t>
            </w:r>
            <w:r w:rsidR="00E104E6">
              <w:rPr>
                <w:noProof/>
                <w:sz w:val="20"/>
                <w:szCs w:val="20"/>
              </w:rPr>
              <w:t xml:space="preserve"> </w:t>
            </w:r>
            <w:r w:rsidRPr="00F87B9B">
              <w:rPr>
                <w:noProof/>
                <w:sz w:val="20"/>
                <w:szCs w:val="20"/>
              </w:rPr>
              <w:t>Some cost savings for NRAs/MS</w:t>
            </w:r>
            <w:r w:rsidR="00AA4D56">
              <w:rPr>
                <w:noProof/>
                <w:sz w:val="20"/>
                <w:szCs w:val="20"/>
              </w:rPr>
              <w:t>s</w:t>
            </w:r>
            <w:r w:rsidRPr="00F87B9B">
              <w:rPr>
                <w:noProof/>
                <w:sz w:val="20"/>
                <w:szCs w:val="20"/>
              </w:rPr>
              <w:t xml:space="preserve"> thanks to </w:t>
            </w:r>
            <w:r w:rsidR="00E104E6">
              <w:rPr>
                <w:noProof/>
                <w:sz w:val="20"/>
                <w:szCs w:val="20"/>
              </w:rPr>
              <w:t xml:space="preserve">a </w:t>
            </w:r>
            <w:r w:rsidRPr="00F87B9B">
              <w:rPr>
                <w:noProof/>
                <w:sz w:val="20"/>
                <w:szCs w:val="20"/>
              </w:rPr>
              <w:t xml:space="preserve">single notification in 1 MS only and passporting procedure </w:t>
            </w:r>
            <w:r w:rsidR="004B2371">
              <w:rPr>
                <w:noProof/>
                <w:sz w:val="20"/>
                <w:szCs w:val="20"/>
              </w:rPr>
              <w:t xml:space="preserve">that </w:t>
            </w:r>
            <w:r w:rsidR="004B2371" w:rsidRPr="00F87B9B">
              <w:rPr>
                <w:noProof/>
                <w:sz w:val="20"/>
                <w:szCs w:val="20"/>
              </w:rPr>
              <w:t>simplif</w:t>
            </w:r>
            <w:r w:rsidR="004B2371">
              <w:rPr>
                <w:noProof/>
                <w:sz w:val="20"/>
                <w:szCs w:val="20"/>
              </w:rPr>
              <w:t>ies</w:t>
            </w:r>
            <w:r w:rsidR="004B2371" w:rsidRPr="00F87B9B">
              <w:rPr>
                <w:noProof/>
                <w:sz w:val="20"/>
                <w:szCs w:val="20"/>
              </w:rPr>
              <w:t xml:space="preserve"> </w:t>
            </w:r>
            <w:r w:rsidRPr="00F87B9B">
              <w:rPr>
                <w:noProof/>
                <w:sz w:val="20"/>
                <w:szCs w:val="20"/>
              </w:rPr>
              <w:t xml:space="preserve">entry to the market. </w:t>
            </w:r>
          </w:p>
          <w:p w14:paraId="5EAFDE94" w14:textId="77777777" w:rsidR="0053532B" w:rsidRPr="00F87B9B" w:rsidRDefault="0053532B" w:rsidP="00B00D2A">
            <w:pPr>
              <w:spacing w:after="0"/>
              <w:rPr>
                <w:noProof/>
                <w:sz w:val="20"/>
                <w:szCs w:val="20"/>
              </w:rPr>
            </w:pPr>
          </w:p>
          <w:p w14:paraId="1BFABC71" w14:textId="3BECEAC2" w:rsidR="0053532B" w:rsidRPr="00F87B9B" w:rsidRDefault="0053532B" w:rsidP="00B00D2A">
            <w:pPr>
              <w:spacing w:after="0"/>
              <w:rPr>
                <w:noProof/>
                <w:sz w:val="20"/>
                <w:szCs w:val="20"/>
              </w:rPr>
            </w:pPr>
            <w:r w:rsidRPr="572DCBD2">
              <w:rPr>
                <w:noProof/>
                <w:sz w:val="20"/>
                <w:szCs w:val="20"/>
              </w:rPr>
              <w:t>For GA: ≈ EUR 382</w:t>
            </w:r>
            <w:r w:rsidR="00547884">
              <w:rPr>
                <w:noProof/>
                <w:sz w:val="20"/>
                <w:szCs w:val="20"/>
              </w:rPr>
              <w:t>,</w:t>
            </w:r>
            <w:r w:rsidRPr="572DCBD2">
              <w:rPr>
                <w:noProof/>
                <w:sz w:val="20"/>
                <w:szCs w:val="20"/>
              </w:rPr>
              <w:t xml:space="preserve">000 in annual administrative savings, which corresponds to 50% reduction in staff effort from baseline: from 8 FTEs in </w:t>
            </w:r>
            <w:r w:rsidRPr="42CBDE00">
              <w:rPr>
                <w:noProof/>
                <w:sz w:val="20"/>
                <w:szCs w:val="20"/>
              </w:rPr>
              <w:t>MS</w:t>
            </w:r>
            <w:r w:rsidR="00517261">
              <w:rPr>
                <w:noProof/>
                <w:sz w:val="20"/>
                <w:szCs w:val="20"/>
              </w:rPr>
              <w:t>s</w:t>
            </w:r>
            <w:r w:rsidRPr="572DCBD2">
              <w:rPr>
                <w:noProof/>
                <w:sz w:val="20"/>
                <w:szCs w:val="20"/>
              </w:rPr>
              <w:t xml:space="preserve"> to 4</w:t>
            </w:r>
            <w:r w:rsidR="1F31C545" w:rsidRPr="572DCBD2">
              <w:rPr>
                <w:noProof/>
                <w:sz w:val="20"/>
                <w:szCs w:val="20"/>
              </w:rPr>
              <w:t> </w:t>
            </w:r>
            <w:r w:rsidRPr="572DCBD2">
              <w:rPr>
                <w:noProof/>
                <w:sz w:val="20"/>
                <w:szCs w:val="20"/>
              </w:rPr>
              <w:t>FTEs under option 2 (2 in BEREC Office and 2 in MS).</w:t>
            </w:r>
          </w:p>
          <w:p w14:paraId="7D1C0B5F" w14:textId="77777777" w:rsidR="0053532B" w:rsidRPr="00F87B9B" w:rsidRDefault="0053532B" w:rsidP="00B00D2A">
            <w:pPr>
              <w:spacing w:after="0"/>
              <w:rPr>
                <w:noProof/>
                <w:sz w:val="20"/>
                <w:szCs w:val="20"/>
              </w:rPr>
            </w:pPr>
          </w:p>
          <w:p w14:paraId="37ED30ED" w14:textId="77777777" w:rsidR="0053532B" w:rsidRPr="00F87B9B" w:rsidRDefault="0053532B" w:rsidP="00B00D2A">
            <w:pPr>
              <w:spacing w:after="0"/>
              <w:rPr>
                <w:noProof/>
                <w:sz w:val="20"/>
                <w:szCs w:val="20"/>
              </w:rPr>
            </w:pPr>
            <w:r w:rsidRPr="00F87B9B">
              <w:rPr>
                <w:noProof/>
                <w:sz w:val="20"/>
                <w:szCs w:val="20"/>
              </w:rPr>
              <w:t>Explained as follows:</w:t>
            </w:r>
          </w:p>
          <w:p w14:paraId="217ABFDA" w14:textId="47339544" w:rsidR="0053532B" w:rsidRPr="00F87B9B" w:rsidRDefault="00DC58F9" w:rsidP="00B00D2A">
            <w:pPr>
              <w:spacing w:after="0"/>
              <w:rPr>
                <w:noProof/>
                <w:sz w:val="20"/>
                <w:szCs w:val="20"/>
              </w:rPr>
            </w:pPr>
            <w:r>
              <w:rPr>
                <w:noProof/>
                <w:sz w:val="20"/>
                <w:szCs w:val="20"/>
              </w:rPr>
              <w:t>A</w:t>
            </w:r>
            <w:r w:rsidR="0053532B" w:rsidRPr="572DCBD2">
              <w:rPr>
                <w:noProof/>
                <w:sz w:val="20"/>
                <w:szCs w:val="20"/>
              </w:rPr>
              <w:t xml:space="preserve"> standardised cost per FTE of EUR 95</w:t>
            </w:r>
            <w:r w:rsidR="006F2784">
              <w:rPr>
                <w:noProof/>
                <w:sz w:val="20"/>
                <w:szCs w:val="20"/>
              </w:rPr>
              <w:t>,</w:t>
            </w:r>
            <w:r w:rsidR="0053532B" w:rsidRPr="572DCBD2">
              <w:rPr>
                <w:noProof/>
                <w:sz w:val="20"/>
                <w:szCs w:val="20"/>
              </w:rPr>
              <w:t>400 per year (“burdened labour cost”, including salary and overheads).</w:t>
            </w:r>
          </w:p>
          <w:p w14:paraId="7D1EDA2B" w14:textId="537EC145" w:rsidR="0053532B" w:rsidRPr="00F87B9B" w:rsidRDefault="0053532B" w:rsidP="00B00D2A">
            <w:pPr>
              <w:spacing w:after="0"/>
              <w:rPr>
                <w:noProof/>
                <w:sz w:val="20"/>
                <w:szCs w:val="20"/>
              </w:rPr>
            </w:pPr>
            <w:r w:rsidRPr="00F87B9B">
              <w:rPr>
                <w:noProof/>
                <w:sz w:val="20"/>
                <w:szCs w:val="20"/>
              </w:rPr>
              <w:t>multiplied by the reduction of 4 FTEs by this unit cost gives:</w:t>
            </w:r>
            <w:r w:rsidRPr="00F87B9B">
              <w:rPr>
                <w:noProof/>
              </w:rPr>
              <w:br/>
            </w:r>
            <w:r w:rsidRPr="00F87B9B">
              <w:rPr>
                <w:noProof/>
                <w:sz w:val="20"/>
                <w:szCs w:val="20"/>
              </w:rPr>
              <w:t xml:space="preserve"> 4 × </w:t>
            </w:r>
            <w:r>
              <w:rPr>
                <w:noProof/>
                <w:sz w:val="20"/>
                <w:szCs w:val="20"/>
              </w:rPr>
              <w:t>EUR </w:t>
            </w:r>
            <w:r w:rsidRPr="00F87B9B">
              <w:rPr>
                <w:noProof/>
                <w:sz w:val="20"/>
                <w:szCs w:val="20"/>
              </w:rPr>
              <w:t>95</w:t>
            </w:r>
            <w:r w:rsidR="006F2784">
              <w:rPr>
                <w:noProof/>
                <w:sz w:val="20"/>
                <w:szCs w:val="20"/>
              </w:rPr>
              <w:t>,</w:t>
            </w:r>
            <w:r w:rsidRPr="00F87B9B">
              <w:rPr>
                <w:noProof/>
                <w:sz w:val="20"/>
                <w:szCs w:val="20"/>
              </w:rPr>
              <w:t xml:space="preserve">400 = </w:t>
            </w:r>
            <w:r>
              <w:rPr>
                <w:noProof/>
                <w:sz w:val="20"/>
                <w:szCs w:val="20"/>
              </w:rPr>
              <w:t>EUR </w:t>
            </w:r>
            <w:r w:rsidRPr="00F87B9B">
              <w:rPr>
                <w:noProof/>
                <w:sz w:val="20"/>
                <w:szCs w:val="20"/>
              </w:rPr>
              <w:t>381</w:t>
            </w:r>
            <w:r w:rsidR="006F2784">
              <w:rPr>
                <w:noProof/>
                <w:sz w:val="20"/>
                <w:szCs w:val="20"/>
              </w:rPr>
              <w:t>,</w:t>
            </w:r>
            <w:r w:rsidRPr="00F87B9B">
              <w:rPr>
                <w:noProof/>
                <w:sz w:val="20"/>
                <w:szCs w:val="20"/>
              </w:rPr>
              <w:t>600 (≈ EUR</w:t>
            </w:r>
            <w:r>
              <w:rPr>
                <w:noProof/>
                <w:sz w:val="20"/>
                <w:szCs w:val="20"/>
              </w:rPr>
              <w:t> </w:t>
            </w:r>
            <w:r w:rsidRPr="00F87B9B">
              <w:rPr>
                <w:noProof/>
                <w:sz w:val="20"/>
                <w:szCs w:val="20"/>
              </w:rPr>
              <w:t>382</w:t>
            </w:r>
            <w:r w:rsidR="006F2784">
              <w:rPr>
                <w:noProof/>
                <w:sz w:val="20"/>
                <w:szCs w:val="20"/>
              </w:rPr>
              <w:t>,</w:t>
            </w:r>
            <w:r w:rsidRPr="00F87B9B">
              <w:rPr>
                <w:noProof/>
                <w:sz w:val="20"/>
                <w:szCs w:val="20"/>
              </w:rPr>
              <w:t>000) in annual administrative savings.</w:t>
            </w:r>
          </w:p>
          <w:p w14:paraId="23A4AADE" w14:textId="77777777" w:rsidR="0053532B" w:rsidRPr="00F87B9B" w:rsidRDefault="0053532B" w:rsidP="00B00D2A">
            <w:pPr>
              <w:spacing w:after="0"/>
              <w:rPr>
                <w:noProof/>
                <w:sz w:val="20"/>
                <w:szCs w:val="20"/>
              </w:rPr>
            </w:pPr>
            <w:r w:rsidRPr="00F87B9B">
              <w:rPr>
                <w:noProof/>
                <w:sz w:val="20"/>
                <w:szCs w:val="20"/>
              </w:rPr>
              <w:t xml:space="preserve"> </w:t>
            </w:r>
          </w:p>
          <w:p w14:paraId="7F3BDB3D" w14:textId="71BFF67F" w:rsidR="0053532B" w:rsidRPr="00F87B9B" w:rsidRDefault="0053532B" w:rsidP="00B00D2A">
            <w:pPr>
              <w:spacing w:after="0"/>
              <w:rPr>
                <w:noProof/>
                <w:sz w:val="20"/>
                <w:szCs w:val="20"/>
              </w:rPr>
            </w:pPr>
            <w:r w:rsidRPr="572DCBD2">
              <w:rPr>
                <w:noProof/>
                <w:sz w:val="20"/>
                <w:szCs w:val="20"/>
              </w:rPr>
              <w:t xml:space="preserve">For satellite: Savings in a context of </w:t>
            </w:r>
            <w:r w:rsidR="00231FF6">
              <w:rPr>
                <w:noProof/>
                <w:sz w:val="20"/>
                <w:szCs w:val="20"/>
              </w:rPr>
              <w:t xml:space="preserve">a </w:t>
            </w:r>
            <w:r w:rsidRPr="572DCBD2">
              <w:rPr>
                <w:noProof/>
                <w:sz w:val="20"/>
                <w:szCs w:val="20"/>
              </w:rPr>
              <w:t xml:space="preserve">stable number of satellite authorisation requests: administrations would experience a net reduction </w:t>
            </w:r>
            <w:r w:rsidR="00A507D8">
              <w:rPr>
                <w:noProof/>
                <w:sz w:val="20"/>
                <w:szCs w:val="20"/>
              </w:rPr>
              <w:t>in</w:t>
            </w:r>
            <w:r w:rsidR="00A507D8" w:rsidRPr="42CBDE00">
              <w:rPr>
                <w:noProof/>
                <w:sz w:val="20"/>
                <w:szCs w:val="20"/>
              </w:rPr>
              <w:t xml:space="preserve"> </w:t>
            </w:r>
            <w:r w:rsidRPr="572DCBD2">
              <w:rPr>
                <w:noProof/>
                <w:sz w:val="20"/>
                <w:szCs w:val="20"/>
              </w:rPr>
              <w:t>costs</w:t>
            </w:r>
            <w:r w:rsidR="00A507D8">
              <w:rPr>
                <w:noProof/>
                <w:sz w:val="20"/>
                <w:szCs w:val="20"/>
              </w:rPr>
              <w:t>,</w:t>
            </w:r>
            <w:r w:rsidRPr="572DCBD2">
              <w:rPr>
                <w:noProof/>
                <w:sz w:val="20"/>
                <w:szCs w:val="20"/>
              </w:rPr>
              <w:t xml:space="preserve"> with roughly 20</w:t>
            </w:r>
            <w:r w:rsidR="003C13C0">
              <w:rPr>
                <w:noProof/>
                <w:sz w:val="20"/>
                <w:szCs w:val="20"/>
              </w:rPr>
              <w:t>-</w:t>
            </w:r>
            <w:r w:rsidRPr="572DCBD2">
              <w:rPr>
                <w:noProof/>
                <w:sz w:val="20"/>
                <w:szCs w:val="20"/>
              </w:rPr>
              <w:t xml:space="preserve">30% total staffing reduction to </w:t>
            </w:r>
            <w:r w:rsidR="00731A3A">
              <w:rPr>
                <w:noProof/>
                <w:sz w:val="20"/>
                <w:szCs w:val="20"/>
              </w:rPr>
              <w:t xml:space="preserve">around </w:t>
            </w:r>
            <w:r w:rsidRPr="42CBDE00">
              <w:rPr>
                <w:noProof/>
                <w:sz w:val="20"/>
                <w:szCs w:val="20"/>
              </w:rPr>
              <w:t>70</w:t>
            </w:r>
            <w:r w:rsidR="00731A3A">
              <w:rPr>
                <w:noProof/>
                <w:sz w:val="20"/>
                <w:szCs w:val="20"/>
              </w:rPr>
              <w:t>-</w:t>
            </w:r>
            <w:r w:rsidRPr="572DCBD2">
              <w:rPr>
                <w:noProof/>
                <w:sz w:val="20"/>
                <w:szCs w:val="20"/>
              </w:rPr>
              <w:t xml:space="preserve">80 FTEs from previously 100 FTEs. </w:t>
            </w:r>
            <w:r w:rsidR="00731A3A">
              <w:rPr>
                <w:noProof/>
                <w:sz w:val="20"/>
                <w:szCs w:val="20"/>
              </w:rPr>
              <w:t>T</w:t>
            </w:r>
            <w:r w:rsidR="00731A3A" w:rsidRPr="42CBDE00">
              <w:rPr>
                <w:noProof/>
                <w:sz w:val="20"/>
                <w:szCs w:val="20"/>
              </w:rPr>
              <w:t>his</w:t>
            </w:r>
            <w:r w:rsidRPr="572DCBD2">
              <w:rPr>
                <w:noProof/>
                <w:sz w:val="20"/>
                <w:szCs w:val="20"/>
              </w:rPr>
              <w:t xml:space="preserve"> </w:t>
            </w:r>
            <w:r w:rsidR="7E6C51F6" w:rsidRPr="572DCBD2">
              <w:rPr>
                <w:noProof/>
                <w:sz w:val="20"/>
                <w:szCs w:val="20"/>
              </w:rPr>
              <w:t>c</w:t>
            </w:r>
            <w:r w:rsidRPr="572DCBD2">
              <w:rPr>
                <w:noProof/>
                <w:sz w:val="20"/>
                <w:szCs w:val="20"/>
              </w:rPr>
              <w:t>ould result in annual savings of approximately EUR 2</w:t>
            </w:r>
            <w:r w:rsidR="00EE356C">
              <w:rPr>
                <w:noProof/>
                <w:sz w:val="20"/>
                <w:szCs w:val="20"/>
              </w:rPr>
              <w:t>-3</w:t>
            </w:r>
            <w:r w:rsidRPr="572DCBD2">
              <w:rPr>
                <w:noProof/>
                <w:sz w:val="20"/>
                <w:szCs w:val="20"/>
              </w:rPr>
              <w:t xml:space="preserve"> </w:t>
            </w:r>
            <w:r w:rsidRPr="42CBDE00">
              <w:rPr>
                <w:noProof/>
                <w:sz w:val="20"/>
                <w:szCs w:val="20"/>
              </w:rPr>
              <w:t>m</w:t>
            </w:r>
            <w:r w:rsidR="00EE356C">
              <w:rPr>
                <w:noProof/>
                <w:sz w:val="20"/>
                <w:szCs w:val="20"/>
              </w:rPr>
              <w:t>illion</w:t>
            </w:r>
            <w:r w:rsidRPr="572DCBD2">
              <w:rPr>
                <w:noProof/>
                <w:sz w:val="20"/>
                <w:szCs w:val="20"/>
              </w:rPr>
              <w:t xml:space="preserve">, </w:t>
            </w:r>
            <w:r w:rsidR="00EE356C">
              <w:rPr>
                <w:noProof/>
                <w:sz w:val="20"/>
                <w:szCs w:val="20"/>
              </w:rPr>
              <w:t>although such savings</w:t>
            </w:r>
            <w:r w:rsidR="00EE356C" w:rsidRPr="42CBDE00">
              <w:rPr>
                <w:noProof/>
                <w:sz w:val="20"/>
                <w:szCs w:val="20"/>
              </w:rPr>
              <w:t xml:space="preserve"> </w:t>
            </w:r>
            <w:r w:rsidRPr="572DCBD2">
              <w:rPr>
                <w:noProof/>
                <w:sz w:val="20"/>
                <w:szCs w:val="20"/>
              </w:rPr>
              <w:t xml:space="preserve">will not occur automatically. </w:t>
            </w:r>
          </w:p>
          <w:p w14:paraId="3656B623" w14:textId="77777777" w:rsidR="0053532B" w:rsidRPr="00F87B9B" w:rsidRDefault="0053532B" w:rsidP="00B00D2A">
            <w:pPr>
              <w:spacing w:after="0"/>
              <w:rPr>
                <w:noProof/>
                <w:sz w:val="20"/>
                <w:szCs w:val="20"/>
              </w:rPr>
            </w:pPr>
            <w:r w:rsidRPr="00F87B9B">
              <w:rPr>
                <w:noProof/>
                <w:sz w:val="20"/>
                <w:szCs w:val="20"/>
              </w:rPr>
              <w:t xml:space="preserve"> </w:t>
            </w:r>
          </w:p>
          <w:p w14:paraId="379623AC" w14:textId="69EEC05B" w:rsidR="0053532B" w:rsidRPr="00F87B9B" w:rsidRDefault="0053532B" w:rsidP="00B00D2A">
            <w:pPr>
              <w:spacing w:after="0"/>
              <w:rPr>
                <w:i/>
                <w:iCs/>
                <w:noProof/>
                <w:sz w:val="20"/>
                <w:szCs w:val="20"/>
              </w:rPr>
            </w:pPr>
            <w:r w:rsidRPr="00F87B9B">
              <w:rPr>
                <w:noProof/>
                <w:sz w:val="20"/>
                <w:szCs w:val="20"/>
              </w:rPr>
              <w:t>However, considering the likely workload increase (</w:t>
            </w:r>
            <w:r w:rsidR="009D5CFA">
              <w:rPr>
                <w:noProof/>
                <w:sz w:val="20"/>
                <w:szCs w:val="20"/>
              </w:rPr>
              <w:t xml:space="preserve">despite high uncertainty on future numbers, </w:t>
            </w:r>
            <w:r w:rsidRPr="000939E2">
              <w:rPr>
                <w:noProof/>
                <w:sz w:val="20"/>
                <w:szCs w:val="20"/>
              </w:rPr>
              <w:t>applications for ground stations could double and those for satellites increase by a factor of 2.4),</w:t>
            </w:r>
            <w:r w:rsidRPr="00F87B9B">
              <w:rPr>
                <w:i/>
                <w:iCs/>
                <w:noProof/>
                <w:sz w:val="20"/>
                <w:szCs w:val="20"/>
              </w:rPr>
              <w:t xml:space="preserve"> </w:t>
            </w:r>
            <w:r w:rsidRPr="00F87B9B">
              <w:rPr>
                <w:noProof/>
                <w:sz w:val="20"/>
                <w:szCs w:val="20"/>
              </w:rPr>
              <w:t>and considering scale economies as well as the progressive efficiency gain, the proposed EU-level authorisation regime could thus ensure that, at least over the next years, workload increases are absorbed without requiring additional administrative resources at national level</w:t>
            </w:r>
            <w:r w:rsidRPr="00F87B9B">
              <w:rPr>
                <w:i/>
                <w:iCs/>
                <w:noProof/>
                <w:sz w:val="20"/>
                <w:szCs w:val="20"/>
              </w:rPr>
              <w:t>.</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tcPr>
          <w:p w14:paraId="15E357DA" w14:textId="56369381" w:rsidR="0053532B" w:rsidRPr="00F87B9B" w:rsidRDefault="0053532B" w:rsidP="00B00D2A">
            <w:pPr>
              <w:spacing w:after="0"/>
              <w:rPr>
                <w:noProof/>
                <w:sz w:val="20"/>
                <w:szCs w:val="20"/>
              </w:rPr>
            </w:pPr>
            <w:r w:rsidRPr="00F87B9B">
              <w:rPr>
                <w:noProof/>
                <w:sz w:val="20"/>
                <w:szCs w:val="20"/>
              </w:rPr>
              <w:t xml:space="preserve">++ Similar like in </w:t>
            </w:r>
            <w:r w:rsidR="00887CBA">
              <w:rPr>
                <w:noProof/>
                <w:sz w:val="20"/>
                <w:szCs w:val="20"/>
              </w:rPr>
              <w:t>O</w:t>
            </w:r>
            <w:r w:rsidRPr="00F87B9B">
              <w:rPr>
                <w:noProof/>
                <w:sz w:val="20"/>
                <w:szCs w:val="20"/>
              </w:rPr>
              <w:t xml:space="preserve">ption 2 but limited due to narrower scope as some Member States would significantly reduce costs while a limited number of others will have their FTE costs increased substantially, similar to what would be expected </w:t>
            </w:r>
            <w:r w:rsidR="003A4126">
              <w:rPr>
                <w:noProof/>
                <w:sz w:val="20"/>
                <w:szCs w:val="20"/>
              </w:rPr>
              <w:t>under</w:t>
            </w:r>
            <w:r w:rsidR="003A4126" w:rsidRPr="00F87B9B">
              <w:rPr>
                <w:noProof/>
                <w:sz w:val="20"/>
                <w:szCs w:val="20"/>
              </w:rPr>
              <w:t xml:space="preserve"> </w:t>
            </w:r>
            <w:r w:rsidR="00C65E25">
              <w:rPr>
                <w:noProof/>
                <w:sz w:val="20"/>
                <w:szCs w:val="20"/>
              </w:rPr>
              <w:t>o</w:t>
            </w:r>
            <w:r w:rsidR="006D3FF9">
              <w:rPr>
                <w:noProof/>
                <w:sz w:val="20"/>
                <w:szCs w:val="20"/>
              </w:rPr>
              <w:t>ption</w:t>
            </w:r>
            <w:r w:rsidR="003A4126">
              <w:rPr>
                <w:noProof/>
                <w:sz w:val="20"/>
                <w:szCs w:val="20"/>
              </w:rPr>
              <w:t xml:space="preserve"> </w:t>
            </w:r>
            <w:r w:rsidRPr="00F87B9B">
              <w:rPr>
                <w:noProof/>
                <w:sz w:val="20"/>
                <w:szCs w:val="20"/>
              </w:rPr>
              <w:t>2 for EU bodies</w:t>
            </w:r>
            <w:r w:rsidR="00950724">
              <w:rPr>
                <w:noProof/>
                <w:sz w:val="20"/>
                <w:szCs w:val="20"/>
              </w:rPr>
              <w:t>.</w:t>
            </w:r>
          </w:p>
          <w:p w14:paraId="4DADFBEB" w14:textId="77777777" w:rsidR="0053532B" w:rsidRPr="00F87B9B" w:rsidRDefault="0053532B" w:rsidP="00B00D2A">
            <w:pPr>
              <w:spacing w:after="0"/>
              <w:rPr>
                <w:noProof/>
                <w:sz w:val="20"/>
                <w:szCs w:val="20"/>
              </w:rPr>
            </w:pPr>
            <w:r w:rsidRPr="00F87B9B">
              <w:rPr>
                <w:noProof/>
                <w:sz w:val="20"/>
                <w:szCs w:val="20"/>
              </w:rPr>
              <w:t xml:space="preserve"> </w:t>
            </w:r>
          </w:p>
        </w:tc>
      </w:tr>
      <w:tr w:rsidR="0053532B" w:rsidRPr="00F87B9B" w14:paraId="4F76BA37" w14:textId="77777777" w:rsidTr="572DCBD2">
        <w:trPr>
          <w:trHeight w:val="30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5455F9A4" w14:textId="77777777" w:rsidR="0053532B" w:rsidRPr="00F87B9B" w:rsidRDefault="0053532B" w:rsidP="00B00D2A">
            <w:pPr>
              <w:spacing w:after="0"/>
              <w:rPr>
                <w:b/>
                <w:bCs/>
                <w:noProof/>
                <w:sz w:val="20"/>
                <w:szCs w:val="20"/>
              </w:rPr>
            </w:pPr>
            <w:r w:rsidRPr="00F87B9B">
              <w:rPr>
                <w:b/>
                <w:bCs/>
                <w:noProof/>
                <w:sz w:val="20"/>
                <w:szCs w:val="20"/>
              </w:rPr>
              <w:t>Net Value for Stakeholders</w:t>
            </w:r>
          </w:p>
        </w:tc>
        <w:tc>
          <w:tcPr>
            <w:tcW w:w="2380" w:type="dxa"/>
            <w:tcBorders>
              <w:top w:val="single" w:sz="8" w:space="0" w:color="auto"/>
              <w:left w:val="single" w:sz="8" w:space="0" w:color="auto"/>
              <w:bottom w:val="single" w:sz="8" w:space="0" w:color="auto"/>
              <w:right w:val="single" w:sz="8" w:space="0" w:color="auto"/>
            </w:tcBorders>
            <w:tcMar>
              <w:left w:w="108" w:type="dxa"/>
              <w:right w:w="108" w:type="dxa"/>
            </w:tcMar>
          </w:tcPr>
          <w:p w14:paraId="0156E20C" w14:textId="77777777" w:rsidR="0053532B" w:rsidRPr="00F87B9B" w:rsidRDefault="0053532B" w:rsidP="00B00D2A">
            <w:pPr>
              <w:spacing w:after="0"/>
              <w:rPr>
                <w:noProof/>
                <w:sz w:val="20"/>
                <w:szCs w:val="20"/>
              </w:rPr>
            </w:pPr>
            <w:r w:rsidRPr="00F87B9B">
              <w:rPr>
                <w:noProof/>
                <w:sz w:val="20"/>
                <w:szCs w:val="20"/>
              </w:rPr>
              <w:t xml:space="preserve"> </w:t>
            </w:r>
          </w:p>
        </w:tc>
        <w:tc>
          <w:tcPr>
            <w:tcW w:w="2904" w:type="dxa"/>
            <w:tcBorders>
              <w:top w:val="single" w:sz="8" w:space="0" w:color="auto"/>
              <w:left w:val="single" w:sz="8" w:space="0" w:color="auto"/>
              <w:bottom w:val="single" w:sz="8" w:space="0" w:color="auto"/>
              <w:right w:val="single" w:sz="8" w:space="0" w:color="auto"/>
            </w:tcBorders>
            <w:tcMar>
              <w:left w:w="108" w:type="dxa"/>
              <w:right w:w="108" w:type="dxa"/>
            </w:tcMar>
          </w:tcPr>
          <w:p w14:paraId="7D2A9530" w14:textId="77777777" w:rsidR="0053532B" w:rsidRPr="00F87B9B" w:rsidRDefault="0053532B" w:rsidP="00B00D2A">
            <w:pPr>
              <w:spacing w:after="0"/>
              <w:rPr>
                <w:noProof/>
                <w:sz w:val="20"/>
                <w:szCs w:val="20"/>
              </w:rPr>
            </w:pPr>
            <w:r w:rsidRPr="00F87B9B">
              <w:rPr>
                <w:noProof/>
                <w:sz w:val="20"/>
                <w:szCs w:val="20"/>
              </w:rPr>
              <w:t xml:space="preserve"> </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tcPr>
          <w:p w14:paraId="65AA406E" w14:textId="77777777" w:rsidR="0053532B" w:rsidRPr="00F87B9B" w:rsidRDefault="0053532B" w:rsidP="00B00D2A">
            <w:pPr>
              <w:spacing w:after="0"/>
              <w:rPr>
                <w:noProof/>
                <w:sz w:val="20"/>
                <w:szCs w:val="20"/>
              </w:rPr>
            </w:pPr>
            <w:r w:rsidRPr="00F87B9B">
              <w:rPr>
                <w:noProof/>
                <w:sz w:val="20"/>
                <w:szCs w:val="20"/>
              </w:rPr>
              <w:t xml:space="preserve"> </w:t>
            </w:r>
          </w:p>
        </w:tc>
      </w:tr>
      <w:tr w:rsidR="0053532B" w:rsidRPr="00F87B9B" w14:paraId="1DA53419" w14:textId="77777777" w:rsidTr="572DCBD2">
        <w:trPr>
          <w:trHeight w:val="30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18D2AC4B" w14:textId="77777777" w:rsidR="0053532B" w:rsidRPr="00F87B9B" w:rsidRDefault="0053532B" w:rsidP="00B00D2A">
            <w:pPr>
              <w:spacing w:after="0"/>
              <w:rPr>
                <w:noProof/>
                <w:sz w:val="20"/>
                <w:szCs w:val="20"/>
              </w:rPr>
            </w:pPr>
            <w:r w:rsidRPr="00F87B9B">
              <w:rPr>
                <w:b/>
                <w:bCs/>
                <w:noProof/>
                <w:sz w:val="20"/>
                <w:szCs w:val="20"/>
              </w:rPr>
              <w:t>End users (Citizens/businesses using connectivity</w:t>
            </w:r>
            <w:r w:rsidRPr="00F87B9B">
              <w:rPr>
                <w:noProof/>
                <w:sz w:val="20"/>
                <w:szCs w:val="20"/>
              </w:rPr>
              <w:t>)</w:t>
            </w:r>
          </w:p>
        </w:tc>
        <w:tc>
          <w:tcPr>
            <w:tcW w:w="2380" w:type="dxa"/>
            <w:tcBorders>
              <w:top w:val="single" w:sz="8" w:space="0" w:color="auto"/>
              <w:left w:val="single" w:sz="8" w:space="0" w:color="auto"/>
              <w:bottom w:val="single" w:sz="8" w:space="0" w:color="auto"/>
              <w:right w:val="single" w:sz="8" w:space="0" w:color="auto"/>
            </w:tcBorders>
            <w:tcMar>
              <w:left w:w="108" w:type="dxa"/>
              <w:right w:w="108" w:type="dxa"/>
            </w:tcMar>
          </w:tcPr>
          <w:p w14:paraId="65288AB1" w14:textId="06C599C1" w:rsidR="0053532B" w:rsidRPr="00F87B9B" w:rsidRDefault="0053532B" w:rsidP="00B00D2A">
            <w:pPr>
              <w:spacing w:after="0"/>
              <w:rPr>
                <w:noProof/>
                <w:sz w:val="20"/>
                <w:szCs w:val="20"/>
              </w:rPr>
            </w:pPr>
            <w:r w:rsidRPr="00F87B9B">
              <w:rPr>
                <w:noProof/>
                <w:sz w:val="20"/>
                <w:szCs w:val="20"/>
              </w:rPr>
              <w:t>Neutra to slightly positive</w:t>
            </w:r>
            <w:r w:rsidR="0069529C">
              <w:rPr>
                <w:noProof/>
                <w:sz w:val="20"/>
                <w:szCs w:val="20"/>
              </w:rPr>
              <w:t>,</w:t>
            </w:r>
            <w:r w:rsidRPr="00F87B9B">
              <w:rPr>
                <w:noProof/>
                <w:sz w:val="20"/>
                <w:szCs w:val="20"/>
              </w:rPr>
              <w:t xml:space="preserve"> but limited global EU competitiveness in space </w:t>
            </w:r>
          </w:p>
        </w:tc>
        <w:tc>
          <w:tcPr>
            <w:tcW w:w="2904" w:type="dxa"/>
            <w:tcBorders>
              <w:top w:val="single" w:sz="8" w:space="0" w:color="auto"/>
              <w:left w:val="single" w:sz="8" w:space="0" w:color="auto"/>
              <w:bottom w:val="single" w:sz="8" w:space="0" w:color="auto"/>
              <w:right w:val="single" w:sz="8" w:space="0" w:color="auto"/>
            </w:tcBorders>
            <w:tcMar>
              <w:left w:w="108" w:type="dxa"/>
              <w:right w:w="108" w:type="dxa"/>
            </w:tcMar>
          </w:tcPr>
          <w:p w14:paraId="23E2F365" w14:textId="5A72B310" w:rsidR="0053532B" w:rsidRPr="00F87B9B" w:rsidRDefault="0053532B" w:rsidP="00B00D2A">
            <w:pPr>
              <w:spacing w:after="0"/>
              <w:rPr>
                <w:noProof/>
                <w:sz w:val="20"/>
                <w:szCs w:val="20"/>
              </w:rPr>
            </w:pPr>
            <w:r w:rsidRPr="00F87B9B">
              <w:rPr>
                <w:noProof/>
                <w:sz w:val="20"/>
                <w:szCs w:val="20"/>
              </w:rPr>
              <w:t xml:space="preserve"> +++ Positive</w:t>
            </w:r>
            <w:r w:rsidR="0069529C">
              <w:rPr>
                <w:noProof/>
                <w:sz w:val="20"/>
                <w:szCs w:val="20"/>
              </w:rPr>
              <w:t>. B</w:t>
            </w:r>
            <w:r w:rsidRPr="00F87B9B">
              <w:rPr>
                <w:noProof/>
                <w:sz w:val="20"/>
                <w:szCs w:val="20"/>
              </w:rPr>
              <w:t>enefits are considerable, and the intervention is cost neutral for end users. Strong global EU competitiveness in space.</w:t>
            </w:r>
          </w:p>
          <w:p w14:paraId="54A03452" w14:textId="77777777" w:rsidR="0053532B" w:rsidRPr="00F87B9B" w:rsidRDefault="0053532B" w:rsidP="00B00D2A">
            <w:pPr>
              <w:spacing w:after="0"/>
              <w:rPr>
                <w:noProof/>
                <w:sz w:val="20"/>
                <w:szCs w:val="20"/>
              </w:rPr>
            </w:pPr>
            <w:r w:rsidRPr="00F87B9B">
              <w:rPr>
                <w:noProof/>
                <w:sz w:val="20"/>
                <w:szCs w:val="20"/>
              </w:rPr>
              <w:t xml:space="preserve"> </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tcPr>
          <w:p w14:paraId="322702DA" w14:textId="2C0B4731" w:rsidR="0053532B" w:rsidRPr="00F87B9B" w:rsidRDefault="0053532B" w:rsidP="00B00D2A">
            <w:pPr>
              <w:spacing w:after="0"/>
              <w:rPr>
                <w:noProof/>
                <w:sz w:val="20"/>
                <w:szCs w:val="20"/>
              </w:rPr>
            </w:pPr>
            <w:r w:rsidRPr="00F87B9B">
              <w:rPr>
                <w:noProof/>
                <w:sz w:val="20"/>
                <w:szCs w:val="20"/>
              </w:rPr>
              <w:t>++ Positive</w:t>
            </w:r>
            <w:r w:rsidR="0069529C">
              <w:rPr>
                <w:noProof/>
                <w:sz w:val="20"/>
                <w:szCs w:val="20"/>
              </w:rPr>
              <w:t>,</w:t>
            </w:r>
            <w:r w:rsidRPr="00F87B9B">
              <w:rPr>
                <w:noProof/>
                <w:sz w:val="20"/>
                <w:szCs w:val="20"/>
              </w:rPr>
              <w:t xml:space="preserve"> but limited global EU competitiveness in space</w:t>
            </w:r>
          </w:p>
        </w:tc>
      </w:tr>
      <w:tr w:rsidR="0053532B" w:rsidRPr="00F87B9B" w14:paraId="007383BF" w14:textId="77777777" w:rsidTr="572DCBD2">
        <w:trPr>
          <w:trHeight w:val="30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65CC60D2" w14:textId="77777777" w:rsidR="0053532B" w:rsidRPr="00F87B9B" w:rsidRDefault="0053532B" w:rsidP="00B00D2A">
            <w:pPr>
              <w:spacing w:after="0"/>
              <w:rPr>
                <w:noProof/>
                <w:sz w:val="20"/>
                <w:szCs w:val="20"/>
              </w:rPr>
            </w:pPr>
            <w:r w:rsidRPr="00F87B9B">
              <w:rPr>
                <w:noProof/>
                <w:sz w:val="20"/>
                <w:szCs w:val="20"/>
              </w:rPr>
              <w:t>Benefits</w:t>
            </w:r>
          </w:p>
        </w:tc>
        <w:tc>
          <w:tcPr>
            <w:tcW w:w="2380" w:type="dxa"/>
            <w:tcBorders>
              <w:top w:val="single" w:sz="8" w:space="0" w:color="auto"/>
              <w:left w:val="single" w:sz="8" w:space="0" w:color="auto"/>
              <w:bottom w:val="single" w:sz="8" w:space="0" w:color="auto"/>
              <w:right w:val="single" w:sz="8" w:space="0" w:color="auto"/>
            </w:tcBorders>
            <w:tcMar>
              <w:left w:w="108" w:type="dxa"/>
              <w:right w:w="108" w:type="dxa"/>
            </w:tcMar>
          </w:tcPr>
          <w:p w14:paraId="6CAB4BE7" w14:textId="68324318" w:rsidR="0053532B" w:rsidRPr="00F87B9B" w:rsidRDefault="0053532B" w:rsidP="00B00D2A">
            <w:pPr>
              <w:spacing w:after="0"/>
              <w:rPr>
                <w:noProof/>
                <w:sz w:val="20"/>
                <w:szCs w:val="20"/>
              </w:rPr>
            </w:pPr>
            <w:r w:rsidRPr="00F87B9B">
              <w:rPr>
                <w:noProof/>
                <w:sz w:val="20"/>
                <w:szCs w:val="20"/>
              </w:rPr>
              <w:t xml:space="preserve"> + </w:t>
            </w:r>
            <w:r w:rsidR="0069529C">
              <w:rPr>
                <w:noProof/>
                <w:sz w:val="20"/>
                <w:szCs w:val="20"/>
              </w:rPr>
              <w:t>S</w:t>
            </w:r>
            <w:r w:rsidR="0069529C" w:rsidRPr="00F87B9B">
              <w:rPr>
                <w:noProof/>
                <w:sz w:val="20"/>
                <w:szCs w:val="20"/>
              </w:rPr>
              <w:t xml:space="preserve">lightly </w:t>
            </w:r>
            <w:r w:rsidRPr="00F87B9B">
              <w:rPr>
                <w:noProof/>
                <w:sz w:val="20"/>
                <w:szCs w:val="20"/>
              </w:rPr>
              <w:t>positive</w:t>
            </w:r>
            <w:r w:rsidR="0069529C">
              <w:rPr>
                <w:noProof/>
                <w:sz w:val="20"/>
                <w:szCs w:val="20"/>
              </w:rPr>
              <w:t>.</w:t>
            </w:r>
            <w:r w:rsidRPr="00F87B9B">
              <w:rPr>
                <w:noProof/>
                <w:sz w:val="20"/>
                <w:szCs w:val="20"/>
              </w:rPr>
              <w:t xml:space="preserve"> </w:t>
            </w:r>
            <w:r w:rsidR="0069529C">
              <w:rPr>
                <w:noProof/>
                <w:sz w:val="20"/>
                <w:szCs w:val="20"/>
              </w:rPr>
              <w:t>T</w:t>
            </w:r>
            <w:r w:rsidRPr="00F87B9B">
              <w:rPr>
                <w:noProof/>
                <w:sz w:val="20"/>
                <w:szCs w:val="20"/>
              </w:rPr>
              <w:t>he measures will be insufficient to overcome the expected delays in the deployment of EU wide satellite services and D2D services foreseen in the baseline</w:t>
            </w:r>
            <w:r w:rsidR="00460FB0">
              <w:rPr>
                <w:noProof/>
                <w:sz w:val="20"/>
                <w:szCs w:val="20"/>
              </w:rPr>
              <w:t>.</w:t>
            </w:r>
          </w:p>
        </w:tc>
        <w:tc>
          <w:tcPr>
            <w:tcW w:w="2904" w:type="dxa"/>
            <w:tcBorders>
              <w:top w:val="single" w:sz="8" w:space="0" w:color="auto"/>
              <w:left w:val="single" w:sz="8" w:space="0" w:color="auto"/>
              <w:bottom w:val="single" w:sz="8" w:space="0" w:color="auto"/>
              <w:right w:val="single" w:sz="8" w:space="0" w:color="auto"/>
            </w:tcBorders>
            <w:tcMar>
              <w:left w:w="108" w:type="dxa"/>
              <w:right w:w="108" w:type="dxa"/>
            </w:tcMar>
          </w:tcPr>
          <w:p w14:paraId="028BC12D" w14:textId="6B44DB3D" w:rsidR="0053532B" w:rsidRPr="00F87B9B" w:rsidRDefault="0053532B" w:rsidP="00B00D2A">
            <w:pPr>
              <w:spacing w:after="0"/>
              <w:rPr>
                <w:noProof/>
                <w:sz w:val="20"/>
                <w:szCs w:val="20"/>
              </w:rPr>
            </w:pPr>
            <w:r w:rsidRPr="00F87B9B">
              <w:rPr>
                <w:noProof/>
                <w:sz w:val="20"/>
                <w:szCs w:val="20"/>
              </w:rPr>
              <w:t>Timely and Increased offer of satellite services with EU-wide coverage (all MS</w:t>
            </w:r>
            <w:r w:rsidR="00A0324C">
              <w:rPr>
                <w:noProof/>
                <w:sz w:val="20"/>
                <w:szCs w:val="20"/>
              </w:rPr>
              <w:t>s</w:t>
            </w:r>
            <w:r w:rsidRPr="00F87B9B">
              <w:rPr>
                <w:noProof/>
                <w:sz w:val="20"/>
                <w:szCs w:val="20"/>
              </w:rPr>
              <w:t xml:space="preserve">), improved benefits from D2D services, </w:t>
            </w:r>
            <w:r w:rsidRPr="00F87B9B">
              <w:rPr>
                <w:noProof/>
                <w:color w:val="000000" w:themeColor="text1"/>
                <w:sz w:val="20"/>
                <w:szCs w:val="20"/>
              </w:rPr>
              <w:t>better capacity to react in case of major disasters and in case of emergency situations in underserv</w:t>
            </w:r>
            <w:r w:rsidRPr="00F87B9B">
              <w:rPr>
                <w:noProof/>
                <w:sz w:val="20"/>
                <w:szCs w:val="20"/>
              </w:rPr>
              <w:t>ed areas. More secure networks. Less service disruption due to satellite harmful interferences</w:t>
            </w:r>
            <w:r w:rsidR="00460FB0">
              <w:rPr>
                <w:noProof/>
                <w:sz w:val="20"/>
                <w:szCs w:val="20"/>
              </w:rPr>
              <w:t>.</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tcPr>
          <w:p w14:paraId="467E9052" w14:textId="77777777" w:rsidR="0053532B" w:rsidRPr="00F87B9B" w:rsidRDefault="0053532B" w:rsidP="00B00D2A">
            <w:pPr>
              <w:spacing w:after="0"/>
              <w:rPr>
                <w:noProof/>
                <w:sz w:val="20"/>
                <w:szCs w:val="20"/>
              </w:rPr>
            </w:pPr>
            <w:r w:rsidRPr="00F87B9B">
              <w:rPr>
                <w:noProof/>
                <w:sz w:val="20"/>
                <w:szCs w:val="20"/>
              </w:rPr>
              <w:t>The measures will only slightly improve the expected delays in deployment of EU wide satellite services and D2D services foreseen in the baseline</w:t>
            </w:r>
          </w:p>
        </w:tc>
      </w:tr>
      <w:tr w:rsidR="0053532B" w:rsidRPr="00F87B9B" w14:paraId="3272DD5D" w14:textId="77777777" w:rsidTr="572DCBD2">
        <w:trPr>
          <w:trHeight w:val="30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6A91D45B" w14:textId="77777777" w:rsidR="0053532B" w:rsidRPr="00F87B9B" w:rsidRDefault="0053532B" w:rsidP="00B00D2A">
            <w:pPr>
              <w:spacing w:after="0"/>
              <w:rPr>
                <w:noProof/>
                <w:sz w:val="20"/>
                <w:szCs w:val="20"/>
              </w:rPr>
            </w:pPr>
            <w:r w:rsidRPr="00F87B9B">
              <w:rPr>
                <w:noProof/>
                <w:sz w:val="20"/>
                <w:szCs w:val="20"/>
              </w:rPr>
              <w:t>Costs</w:t>
            </w:r>
          </w:p>
        </w:tc>
        <w:tc>
          <w:tcPr>
            <w:tcW w:w="2380" w:type="dxa"/>
            <w:tcBorders>
              <w:top w:val="single" w:sz="8" w:space="0" w:color="auto"/>
              <w:left w:val="single" w:sz="8" w:space="0" w:color="auto"/>
              <w:bottom w:val="single" w:sz="8" w:space="0" w:color="auto"/>
              <w:right w:val="single" w:sz="8" w:space="0" w:color="auto"/>
            </w:tcBorders>
            <w:tcMar>
              <w:left w:w="108" w:type="dxa"/>
              <w:right w:w="108" w:type="dxa"/>
            </w:tcMar>
          </w:tcPr>
          <w:p w14:paraId="778C9A12" w14:textId="77777777" w:rsidR="0053532B" w:rsidRPr="00F87B9B" w:rsidRDefault="0053532B" w:rsidP="00B00D2A">
            <w:pPr>
              <w:spacing w:after="0"/>
              <w:rPr>
                <w:noProof/>
                <w:sz w:val="20"/>
                <w:szCs w:val="20"/>
              </w:rPr>
            </w:pPr>
            <w:r w:rsidRPr="00F87B9B">
              <w:rPr>
                <w:noProof/>
                <w:sz w:val="20"/>
                <w:szCs w:val="20"/>
              </w:rPr>
              <w:t>Neutral</w:t>
            </w:r>
          </w:p>
        </w:tc>
        <w:tc>
          <w:tcPr>
            <w:tcW w:w="2904" w:type="dxa"/>
            <w:tcBorders>
              <w:top w:val="single" w:sz="8" w:space="0" w:color="auto"/>
              <w:left w:val="single" w:sz="8" w:space="0" w:color="auto"/>
              <w:bottom w:val="single" w:sz="8" w:space="0" w:color="auto"/>
              <w:right w:val="single" w:sz="8" w:space="0" w:color="auto"/>
            </w:tcBorders>
            <w:tcMar>
              <w:left w:w="108" w:type="dxa"/>
              <w:right w:w="108" w:type="dxa"/>
            </w:tcMar>
          </w:tcPr>
          <w:p w14:paraId="67FFA93C" w14:textId="77777777" w:rsidR="0053532B" w:rsidRPr="00F87B9B" w:rsidRDefault="0053532B" w:rsidP="00B00D2A">
            <w:pPr>
              <w:spacing w:after="0"/>
              <w:rPr>
                <w:noProof/>
                <w:sz w:val="20"/>
                <w:szCs w:val="20"/>
              </w:rPr>
            </w:pPr>
            <w:r w:rsidRPr="00F87B9B">
              <w:rPr>
                <w:noProof/>
                <w:sz w:val="20"/>
                <w:szCs w:val="20"/>
              </w:rPr>
              <w:t>Neutral</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tcPr>
          <w:p w14:paraId="560C5702" w14:textId="77777777" w:rsidR="0053532B" w:rsidRPr="00F87B9B" w:rsidRDefault="0053532B" w:rsidP="00B00D2A">
            <w:pPr>
              <w:spacing w:after="0"/>
              <w:rPr>
                <w:noProof/>
                <w:sz w:val="20"/>
                <w:szCs w:val="20"/>
              </w:rPr>
            </w:pPr>
            <w:r w:rsidRPr="00F87B9B">
              <w:rPr>
                <w:noProof/>
                <w:sz w:val="20"/>
                <w:szCs w:val="20"/>
              </w:rPr>
              <w:t>Neutral</w:t>
            </w:r>
          </w:p>
        </w:tc>
      </w:tr>
      <w:tr w:rsidR="0053532B" w:rsidRPr="00F87B9B" w14:paraId="319944DB" w14:textId="77777777" w:rsidTr="572DCBD2">
        <w:trPr>
          <w:trHeight w:val="30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7BA3195D" w14:textId="77777777" w:rsidR="0053532B" w:rsidRPr="00F87B9B" w:rsidRDefault="0053532B" w:rsidP="00B00D2A">
            <w:pPr>
              <w:spacing w:after="0"/>
              <w:rPr>
                <w:b/>
                <w:bCs/>
                <w:noProof/>
                <w:sz w:val="20"/>
                <w:szCs w:val="20"/>
              </w:rPr>
            </w:pPr>
            <w:r w:rsidRPr="00F87B9B">
              <w:rPr>
                <w:b/>
                <w:bCs/>
                <w:noProof/>
                <w:sz w:val="20"/>
                <w:szCs w:val="20"/>
              </w:rPr>
              <w:t>Net Value for Operator</w:t>
            </w:r>
          </w:p>
        </w:tc>
        <w:tc>
          <w:tcPr>
            <w:tcW w:w="2380" w:type="dxa"/>
            <w:tcBorders>
              <w:top w:val="single" w:sz="8" w:space="0" w:color="auto"/>
              <w:left w:val="single" w:sz="8" w:space="0" w:color="auto"/>
              <w:bottom w:val="single" w:sz="8" w:space="0" w:color="auto"/>
              <w:right w:val="single" w:sz="8" w:space="0" w:color="auto"/>
            </w:tcBorders>
            <w:tcMar>
              <w:left w:w="108" w:type="dxa"/>
              <w:right w:w="108" w:type="dxa"/>
            </w:tcMar>
          </w:tcPr>
          <w:p w14:paraId="3B110A28" w14:textId="4B9BA61A" w:rsidR="0053532B" w:rsidRPr="00F87B9B" w:rsidRDefault="0053532B" w:rsidP="00B00D2A">
            <w:pPr>
              <w:spacing w:after="0"/>
              <w:rPr>
                <w:noProof/>
                <w:sz w:val="20"/>
                <w:szCs w:val="20"/>
              </w:rPr>
            </w:pPr>
            <w:r w:rsidRPr="00F87B9B">
              <w:rPr>
                <w:noProof/>
                <w:sz w:val="20"/>
                <w:szCs w:val="20"/>
              </w:rPr>
              <w:t xml:space="preserve">(0) to + Slightly positive, benefits only marginally outweigh costs. While satellite operators will work </w:t>
            </w:r>
            <w:r w:rsidR="00BD6C20">
              <w:rPr>
                <w:noProof/>
                <w:sz w:val="20"/>
                <w:szCs w:val="20"/>
              </w:rPr>
              <w:t>under</w:t>
            </w:r>
            <w:r w:rsidR="00BD6C20" w:rsidRPr="00F87B9B">
              <w:rPr>
                <w:noProof/>
                <w:sz w:val="20"/>
                <w:szCs w:val="20"/>
              </w:rPr>
              <w:t xml:space="preserve"> </w:t>
            </w:r>
            <w:r w:rsidRPr="00F87B9B">
              <w:rPr>
                <w:noProof/>
                <w:sz w:val="20"/>
                <w:szCs w:val="20"/>
              </w:rPr>
              <w:t>slightly simplified procedures such as a unified notification template and single notification process (benefits), they would have to continue dealing with various national fees and reporting requirements. Costs would remain similar to the baseline scenario, with however the improvement of the centralised selection system in case of scarce resources enabling scale for competitive services</w:t>
            </w:r>
            <w:r w:rsidR="004E336B">
              <w:rPr>
                <w:noProof/>
                <w:sz w:val="20"/>
                <w:szCs w:val="20"/>
              </w:rPr>
              <w:t>.</w:t>
            </w:r>
          </w:p>
          <w:p w14:paraId="17BF86A9" w14:textId="77777777" w:rsidR="0053532B" w:rsidRPr="00F87B9B" w:rsidRDefault="0053532B" w:rsidP="00B00D2A">
            <w:pPr>
              <w:spacing w:after="0"/>
              <w:rPr>
                <w:noProof/>
                <w:sz w:val="20"/>
                <w:szCs w:val="20"/>
              </w:rPr>
            </w:pPr>
            <w:r w:rsidRPr="00F87B9B">
              <w:rPr>
                <w:noProof/>
                <w:sz w:val="20"/>
                <w:szCs w:val="20"/>
              </w:rPr>
              <w:t xml:space="preserve"> </w:t>
            </w:r>
          </w:p>
        </w:tc>
        <w:tc>
          <w:tcPr>
            <w:tcW w:w="2904" w:type="dxa"/>
            <w:tcBorders>
              <w:top w:val="single" w:sz="8" w:space="0" w:color="auto"/>
              <w:left w:val="single" w:sz="8" w:space="0" w:color="auto"/>
              <w:bottom w:val="single" w:sz="8" w:space="0" w:color="auto"/>
              <w:right w:val="single" w:sz="8" w:space="0" w:color="auto"/>
            </w:tcBorders>
            <w:tcMar>
              <w:left w:w="108" w:type="dxa"/>
              <w:right w:w="108" w:type="dxa"/>
            </w:tcMar>
          </w:tcPr>
          <w:p w14:paraId="299DCAFA" w14:textId="35F0969B" w:rsidR="0053532B" w:rsidRPr="00F87B9B" w:rsidRDefault="0053532B" w:rsidP="00B00D2A">
            <w:pPr>
              <w:spacing w:after="0"/>
              <w:rPr>
                <w:noProof/>
                <w:sz w:val="20"/>
                <w:szCs w:val="20"/>
              </w:rPr>
            </w:pPr>
            <w:r w:rsidRPr="00F87B9B">
              <w:rPr>
                <w:noProof/>
                <w:sz w:val="20"/>
                <w:szCs w:val="20"/>
              </w:rPr>
              <w:t>+++</w:t>
            </w:r>
            <w:r w:rsidR="002250C2">
              <w:rPr>
                <w:noProof/>
                <w:sz w:val="20"/>
                <w:szCs w:val="20"/>
              </w:rPr>
              <w:t xml:space="preserve"> </w:t>
            </w:r>
            <w:r w:rsidRPr="00F87B9B">
              <w:rPr>
                <w:noProof/>
                <w:sz w:val="20"/>
                <w:szCs w:val="20"/>
              </w:rPr>
              <w:t>Positive: Benefits largely outweigh costs, since minor initial adjustment costs are offset by major long-term savings, faster and simpler market access, shortened “time to market” and better level playing field between satellite operators with more efficient solutions for harmful interferences.</w:t>
            </w:r>
          </w:p>
          <w:p w14:paraId="25809A89" w14:textId="77777777" w:rsidR="0053532B" w:rsidRPr="00F87B9B" w:rsidRDefault="0053532B" w:rsidP="00B00D2A">
            <w:pPr>
              <w:spacing w:after="0"/>
              <w:rPr>
                <w:noProof/>
                <w:sz w:val="20"/>
                <w:szCs w:val="20"/>
              </w:rPr>
            </w:pPr>
          </w:p>
          <w:p w14:paraId="51B538B5" w14:textId="77777777" w:rsidR="0053532B" w:rsidRPr="00F87B9B" w:rsidRDefault="0053532B" w:rsidP="00B00D2A">
            <w:pPr>
              <w:spacing w:after="0"/>
              <w:rPr>
                <w:noProof/>
                <w:sz w:val="20"/>
                <w:szCs w:val="20"/>
              </w:rPr>
            </w:pP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tcPr>
          <w:p w14:paraId="304D67C6" w14:textId="335C4A20" w:rsidR="0053532B" w:rsidRPr="00F87B9B" w:rsidRDefault="0053532B" w:rsidP="00B00D2A">
            <w:pPr>
              <w:spacing w:after="0"/>
              <w:rPr>
                <w:noProof/>
                <w:sz w:val="20"/>
                <w:szCs w:val="20"/>
              </w:rPr>
            </w:pPr>
            <w:r w:rsidRPr="00F87B9B">
              <w:rPr>
                <w:noProof/>
                <w:sz w:val="20"/>
                <w:szCs w:val="20"/>
              </w:rPr>
              <w:t xml:space="preserve">+ Positive: Benefits largely outweigh costs </w:t>
            </w:r>
            <w:r w:rsidR="0027273E">
              <w:rPr>
                <w:noProof/>
                <w:sz w:val="20"/>
                <w:szCs w:val="20"/>
              </w:rPr>
              <w:t>and</w:t>
            </w:r>
            <w:r w:rsidR="0027273E" w:rsidRPr="00F87B9B">
              <w:rPr>
                <w:noProof/>
                <w:sz w:val="20"/>
                <w:szCs w:val="20"/>
              </w:rPr>
              <w:t xml:space="preserve"> </w:t>
            </w:r>
            <w:r w:rsidRPr="00F87B9B">
              <w:rPr>
                <w:noProof/>
                <w:sz w:val="20"/>
                <w:szCs w:val="20"/>
              </w:rPr>
              <w:t>risk</w:t>
            </w:r>
            <w:r w:rsidR="0027273E">
              <w:rPr>
                <w:noProof/>
                <w:sz w:val="20"/>
                <w:szCs w:val="20"/>
              </w:rPr>
              <w:t>s</w:t>
            </w:r>
            <w:r w:rsidRPr="00F87B9B">
              <w:rPr>
                <w:noProof/>
                <w:sz w:val="20"/>
                <w:szCs w:val="20"/>
              </w:rPr>
              <w:t xml:space="preserve">, similar like under </w:t>
            </w:r>
            <w:r w:rsidR="00C65E25">
              <w:rPr>
                <w:noProof/>
                <w:sz w:val="20"/>
                <w:szCs w:val="20"/>
              </w:rPr>
              <w:t>o</w:t>
            </w:r>
            <w:r w:rsidRPr="00F87B9B">
              <w:rPr>
                <w:noProof/>
                <w:sz w:val="20"/>
                <w:szCs w:val="20"/>
              </w:rPr>
              <w:t xml:space="preserve">ption 2 but limited to certain players (cross-border and B2B), </w:t>
            </w:r>
            <w:r w:rsidR="001D6316">
              <w:rPr>
                <w:noProof/>
                <w:sz w:val="20"/>
                <w:szCs w:val="20"/>
              </w:rPr>
              <w:t xml:space="preserve">and </w:t>
            </w:r>
            <w:r w:rsidRPr="00F87B9B">
              <w:rPr>
                <w:noProof/>
                <w:sz w:val="20"/>
                <w:szCs w:val="20"/>
              </w:rPr>
              <w:t>associated with risks</w:t>
            </w:r>
            <w:r w:rsidR="001D6316">
              <w:rPr>
                <w:noProof/>
                <w:sz w:val="20"/>
                <w:szCs w:val="20"/>
              </w:rPr>
              <w:t>, including</w:t>
            </w:r>
            <w:r w:rsidRPr="00F87B9B">
              <w:rPr>
                <w:noProof/>
                <w:sz w:val="20"/>
                <w:szCs w:val="20"/>
              </w:rPr>
              <w:t xml:space="preserve"> incentive</w:t>
            </w:r>
            <w:r w:rsidR="004D17E3">
              <w:rPr>
                <w:noProof/>
                <w:sz w:val="20"/>
                <w:szCs w:val="20"/>
              </w:rPr>
              <w:t>s for</w:t>
            </w:r>
            <w:r w:rsidRPr="00F87B9B">
              <w:rPr>
                <w:noProof/>
                <w:sz w:val="20"/>
                <w:szCs w:val="20"/>
              </w:rPr>
              <w:t xml:space="preserve"> forum shopping practices in areas that cannot be fully harmonised</w:t>
            </w:r>
            <w:r w:rsidR="005E6133">
              <w:rPr>
                <w:noProof/>
                <w:sz w:val="20"/>
                <w:szCs w:val="20"/>
              </w:rPr>
              <w:t>,</w:t>
            </w:r>
            <w:r w:rsidRPr="00F87B9B">
              <w:rPr>
                <w:noProof/>
                <w:sz w:val="20"/>
                <w:szCs w:val="20"/>
              </w:rPr>
              <w:t xml:space="preserve"> such as national security, which should not be subject to a trade-off. </w:t>
            </w:r>
            <w:r w:rsidR="00C8303F">
              <w:rPr>
                <w:noProof/>
                <w:sz w:val="20"/>
                <w:szCs w:val="20"/>
              </w:rPr>
              <w:t>B</w:t>
            </w:r>
            <w:r w:rsidRPr="00F87B9B">
              <w:rPr>
                <w:noProof/>
                <w:sz w:val="20"/>
                <w:szCs w:val="20"/>
              </w:rPr>
              <w:t xml:space="preserve">enefits </w:t>
            </w:r>
            <w:r w:rsidR="00D5695A">
              <w:rPr>
                <w:noProof/>
                <w:sz w:val="20"/>
                <w:szCs w:val="20"/>
              </w:rPr>
              <w:t>in terms of</w:t>
            </w:r>
            <w:r w:rsidR="00D5695A" w:rsidRPr="00F87B9B">
              <w:rPr>
                <w:noProof/>
                <w:sz w:val="20"/>
                <w:szCs w:val="20"/>
              </w:rPr>
              <w:t xml:space="preserve"> </w:t>
            </w:r>
            <w:r w:rsidRPr="00F87B9B">
              <w:rPr>
                <w:noProof/>
                <w:sz w:val="20"/>
                <w:szCs w:val="20"/>
              </w:rPr>
              <w:t xml:space="preserve">immediate </w:t>
            </w:r>
            <w:r w:rsidR="00D5695A">
              <w:rPr>
                <w:noProof/>
                <w:sz w:val="20"/>
                <w:szCs w:val="20"/>
              </w:rPr>
              <w:t>response</w:t>
            </w:r>
            <w:r w:rsidR="00C8303F">
              <w:rPr>
                <w:noProof/>
                <w:sz w:val="20"/>
                <w:szCs w:val="20"/>
              </w:rPr>
              <w:t>s</w:t>
            </w:r>
            <w:r w:rsidR="00D5695A" w:rsidRPr="00F87B9B">
              <w:rPr>
                <w:noProof/>
                <w:sz w:val="20"/>
                <w:szCs w:val="20"/>
              </w:rPr>
              <w:t xml:space="preserve"> </w:t>
            </w:r>
            <w:r w:rsidRPr="00F87B9B">
              <w:rPr>
                <w:noProof/>
                <w:sz w:val="20"/>
                <w:szCs w:val="20"/>
              </w:rPr>
              <w:t xml:space="preserve">to harmful interference </w:t>
            </w:r>
            <w:r w:rsidR="00C8303F">
              <w:rPr>
                <w:noProof/>
                <w:sz w:val="20"/>
                <w:szCs w:val="20"/>
              </w:rPr>
              <w:t>are slig</w:t>
            </w:r>
            <w:r w:rsidR="00DC4BA0">
              <w:rPr>
                <w:noProof/>
                <w:sz w:val="20"/>
                <w:szCs w:val="20"/>
              </w:rPr>
              <w:t>htly lower</w:t>
            </w:r>
            <w:r w:rsidRPr="00F87B9B">
              <w:rPr>
                <w:noProof/>
                <w:sz w:val="20"/>
                <w:szCs w:val="20"/>
              </w:rPr>
              <w:t xml:space="preserve"> than </w:t>
            </w:r>
            <w:r w:rsidR="00DC4BA0">
              <w:rPr>
                <w:noProof/>
                <w:sz w:val="20"/>
                <w:szCs w:val="20"/>
              </w:rPr>
              <w:t xml:space="preserve">under </w:t>
            </w:r>
            <w:r w:rsidR="00C65E25">
              <w:rPr>
                <w:noProof/>
                <w:sz w:val="20"/>
                <w:szCs w:val="20"/>
              </w:rPr>
              <w:t>o</w:t>
            </w:r>
            <w:r w:rsidR="006D3FF9">
              <w:rPr>
                <w:noProof/>
                <w:sz w:val="20"/>
                <w:szCs w:val="20"/>
              </w:rPr>
              <w:t>ption</w:t>
            </w:r>
            <w:r w:rsidRPr="00F87B9B">
              <w:rPr>
                <w:noProof/>
                <w:sz w:val="20"/>
                <w:szCs w:val="20"/>
              </w:rPr>
              <w:t xml:space="preserve"> 2.</w:t>
            </w:r>
          </w:p>
          <w:p w14:paraId="2492DF9D" w14:textId="77777777" w:rsidR="0053532B" w:rsidRPr="00F87B9B" w:rsidRDefault="0053532B" w:rsidP="00B00D2A">
            <w:pPr>
              <w:spacing w:after="0"/>
              <w:rPr>
                <w:noProof/>
                <w:sz w:val="20"/>
                <w:szCs w:val="20"/>
              </w:rPr>
            </w:pPr>
            <w:r w:rsidRPr="00F87B9B">
              <w:rPr>
                <w:noProof/>
                <w:sz w:val="20"/>
                <w:szCs w:val="20"/>
              </w:rPr>
              <w:t xml:space="preserve"> </w:t>
            </w:r>
          </w:p>
        </w:tc>
      </w:tr>
      <w:tr w:rsidR="0053532B" w:rsidRPr="00F87B9B" w14:paraId="2E35562C" w14:textId="77777777" w:rsidTr="572DCBD2">
        <w:trPr>
          <w:trHeight w:val="30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5FF34F96" w14:textId="07846763" w:rsidR="0053532B" w:rsidRPr="00F87B9B" w:rsidRDefault="0053532B" w:rsidP="00B00D2A">
            <w:pPr>
              <w:spacing w:after="0"/>
              <w:rPr>
                <w:noProof/>
                <w:sz w:val="20"/>
                <w:szCs w:val="20"/>
              </w:rPr>
            </w:pPr>
            <w:r w:rsidRPr="00F87B9B">
              <w:rPr>
                <w:noProof/>
                <w:sz w:val="20"/>
                <w:szCs w:val="20"/>
              </w:rPr>
              <w:t>Benefit</w:t>
            </w:r>
            <w:r w:rsidR="00F7314D">
              <w:rPr>
                <w:noProof/>
                <w:sz w:val="20"/>
                <w:szCs w:val="20"/>
              </w:rPr>
              <w:t>s</w:t>
            </w:r>
            <w:r w:rsidRPr="00F87B9B">
              <w:rPr>
                <w:noProof/>
                <w:sz w:val="20"/>
                <w:szCs w:val="20"/>
              </w:rPr>
              <w:t xml:space="preserve"> </w:t>
            </w:r>
          </w:p>
        </w:tc>
        <w:tc>
          <w:tcPr>
            <w:tcW w:w="2380" w:type="dxa"/>
            <w:tcBorders>
              <w:top w:val="single" w:sz="8" w:space="0" w:color="auto"/>
              <w:left w:val="single" w:sz="8" w:space="0" w:color="auto"/>
              <w:bottom w:val="single" w:sz="8" w:space="0" w:color="auto"/>
              <w:right w:val="single" w:sz="8" w:space="0" w:color="auto"/>
            </w:tcBorders>
            <w:tcMar>
              <w:left w:w="108" w:type="dxa"/>
              <w:right w:w="108" w:type="dxa"/>
            </w:tcMar>
          </w:tcPr>
          <w:p w14:paraId="14411904" w14:textId="77777777" w:rsidR="0053532B" w:rsidRPr="00F87B9B" w:rsidRDefault="0053532B" w:rsidP="0053532B">
            <w:pPr>
              <w:pStyle w:val="ListParagraph"/>
              <w:numPr>
                <w:ilvl w:val="0"/>
                <w:numId w:val="198"/>
              </w:numPr>
              <w:spacing w:after="0"/>
              <w:rPr>
                <w:noProof/>
                <w:sz w:val="20"/>
                <w:szCs w:val="20"/>
              </w:rPr>
            </w:pPr>
            <w:r w:rsidRPr="00F87B9B">
              <w:rPr>
                <w:noProof/>
                <w:sz w:val="20"/>
                <w:szCs w:val="20"/>
              </w:rPr>
              <w:t>+ On GA: only small indirect benefits possible thanks to simplified and digitalised procedures</w:t>
            </w:r>
          </w:p>
        </w:tc>
        <w:tc>
          <w:tcPr>
            <w:tcW w:w="2904" w:type="dxa"/>
            <w:tcBorders>
              <w:top w:val="single" w:sz="8" w:space="0" w:color="auto"/>
              <w:left w:val="single" w:sz="8" w:space="0" w:color="auto"/>
              <w:bottom w:val="single" w:sz="8" w:space="0" w:color="auto"/>
              <w:right w:val="single" w:sz="8" w:space="0" w:color="auto"/>
            </w:tcBorders>
            <w:tcMar>
              <w:left w:w="108" w:type="dxa"/>
              <w:right w:w="108" w:type="dxa"/>
            </w:tcMar>
          </w:tcPr>
          <w:p w14:paraId="20697B08" w14:textId="7BC27015" w:rsidR="0053532B" w:rsidRPr="00F87B9B" w:rsidRDefault="0053532B" w:rsidP="00B00D2A">
            <w:pPr>
              <w:spacing w:after="0"/>
              <w:rPr>
                <w:noProof/>
                <w:sz w:val="20"/>
                <w:szCs w:val="20"/>
              </w:rPr>
            </w:pPr>
            <w:r w:rsidRPr="572DCBD2">
              <w:rPr>
                <w:noProof/>
                <w:color w:val="000000" w:themeColor="text1"/>
                <w:sz w:val="20"/>
                <w:szCs w:val="20"/>
              </w:rPr>
              <w:t>+++ Single streamlined authorisation procedure for all ECN/ECS cross-border providers to enter single market with passport valid across 27 Member States to provide innovative cross-border networks and services. Estimated c</w:t>
            </w:r>
            <w:r w:rsidRPr="572DCBD2">
              <w:rPr>
                <w:noProof/>
                <w:sz w:val="20"/>
                <w:szCs w:val="20"/>
              </w:rPr>
              <w:t xml:space="preserve">ost savings </w:t>
            </w:r>
            <w:r w:rsidR="2DAE4D10" w:rsidRPr="572DCBD2">
              <w:rPr>
                <w:noProof/>
                <w:sz w:val="20"/>
                <w:szCs w:val="20"/>
              </w:rPr>
              <w:t xml:space="preserve">(40-44%) </w:t>
            </w:r>
            <w:r w:rsidRPr="572DCBD2">
              <w:rPr>
                <w:noProof/>
                <w:sz w:val="20"/>
                <w:szCs w:val="20"/>
              </w:rPr>
              <w:t>due to reduction of admin. burden and compliance costs between</w:t>
            </w:r>
            <w:r w:rsidRPr="572DCBD2">
              <w:rPr>
                <w:b/>
                <w:bCs/>
                <w:noProof/>
                <w:sz w:val="20"/>
                <w:szCs w:val="20"/>
              </w:rPr>
              <w:t xml:space="preserve"> </w:t>
            </w:r>
            <w:r w:rsidRPr="00BE337F">
              <w:rPr>
                <w:noProof/>
                <w:sz w:val="20"/>
                <w:szCs w:val="20"/>
              </w:rPr>
              <w:t>EUR </w:t>
            </w:r>
            <w:r w:rsidR="43F479FB" w:rsidRPr="00BE337F">
              <w:rPr>
                <w:noProof/>
                <w:sz w:val="20"/>
                <w:szCs w:val="20"/>
              </w:rPr>
              <w:t xml:space="preserve">6-11 </w:t>
            </w:r>
            <w:r w:rsidR="001A30CA">
              <w:rPr>
                <w:noProof/>
                <w:sz w:val="20"/>
                <w:szCs w:val="20"/>
              </w:rPr>
              <w:t>m</w:t>
            </w:r>
            <w:r w:rsidRPr="00BE337F">
              <w:rPr>
                <w:noProof/>
                <w:sz w:val="20"/>
                <w:szCs w:val="20"/>
              </w:rPr>
              <w:t xml:space="preserve"> </w:t>
            </w:r>
            <w:r>
              <w:rPr>
                <w:noProof/>
                <w:sz w:val="20"/>
                <w:szCs w:val="20"/>
              </w:rPr>
              <w:t xml:space="preserve">yearly </w:t>
            </w:r>
            <w:r w:rsidRPr="572DCBD2">
              <w:rPr>
                <w:noProof/>
                <w:sz w:val="20"/>
                <w:szCs w:val="20"/>
              </w:rPr>
              <w:t>per operator</w:t>
            </w:r>
            <w:r w:rsidR="00A022F6">
              <w:rPr>
                <w:noProof/>
                <w:sz w:val="20"/>
                <w:szCs w:val="20"/>
              </w:rPr>
              <w:t xml:space="preserve"> </w:t>
            </w:r>
            <w:r w:rsidRPr="572DCBD2">
              <w:rPr>
                <w:noProof/>
                <w:sz w:val="20"/>
                <w:szCs w:val="20"/>
              </w:rPr>
              <w:t>.</w:t>
            </w:r>
          </w:p>
          <w:p w14:paraId="1A95B81E" w14:textId="511D7F40" w:rsidR="0053532B" w:rsidRPr="00F87B9B" w:rsidRDefault="0053532B" w:rsidP="00B00D2A">
            <w:pPr>
              <w:spacing w:after="0"/>
              <w:rPr>
                <w:noProof/>
                <w:sz w:val="20"/>
                <w:szCs w:val="20"/>
              </w:rPr>
            </w:pPr>
          </w:p>
          <w:p w14:paraId="7CC5092C" w14:textId="77777777" w:rsidR="0053532B" w:rsidRPr="00F87B9B" w:rsidRDefault="0053532B" w:rsidP="00B00D2A">
            <w:pPr>
              <w:spacing w:after="0"/>
              <w:rPr>
                <w:noProof/>
                <w:sz w:val="20"/>
                <w:szCs w:val="20"/>
              </w:rPr>
            </w:pPr>
            <w:r w:rsidRPr="00F87B9B">
              <w:rPr>
                <w:noProof/>
                <w:sz w:val="20"/>
                <w:szCs w:val="20"/>
              </w:rPr>
              <w:t xml:space="preserve">Cost savings (reduction of admin. burden and additional reduction of compliance costs for all cross-border ECN and ECS providers) to align with existing national divergent conditions across UE MS. </w:t>
            </w:r>
          </w:p>
          <w:p w14:paraId="2DFDD89E" w14:textId="77777777" w:rsidR="0053532B" w:rsidRPr="00F87B9B" w:rsidRDefault="0053532B" w:rsidP="00B00D2A">
            <w:pPr>
              <w:spacing w:after="0"/>
              <w:rPr>
                <w:noProof/>
                <w:sz w:val="20"/>
                <w:szCs w:val="20"/>
              </w:rPr>
            </w:pPr>
            <w:r w:rsidRPr="00F87B9B">
              <w:rPr>
                <w:noProof/>
                <w:sz w:val="20"/>
                <w:szCs w:val="20"/>
              </w:rPr>
              <w:t xml:space="preserve"> </w:t>
            </w:r>
          </w:p>
          <w:p w14:paraId="1EDEF239" w14:textId="77777777" w:rsidR="00E26999" w:rsidRDefault="00E26999" w:rsidP="00B00D2A">
            <w:pPr>
              <w:spacing w:after="0"/>
              <w:rPr>
                <w:noProof/>
                <w:sz w:val="20"/>
                <w:szCs w:val="20"/>
              </w:rPr>
            </w:pPr>
          </w:p>
          <w:p w14:paraId="67C793B4" w14:textId="77777777" w:rsidR="00A022F6" w:rsidRDefault="00A022F6" w:rsidP="00B00D2A">
            <w:pPr>
              <w:spacing w:after="0"/>
              <w:rPr>
                <w:noProof/>
                <w:sz w:val="20"/>
                <w:szCs w:val="20"/>
              </w:rPr>
            </w:pPr>
          </w:p>
          <w:p w14:paraId="7E6BF425" w14:textId="77777777" w:rsidR="0053532B" w:rsidRPr="00F87B9B" w:rsidRDefault="0053532B" w:rsidP="00B00D2A">
            <w:pPr>
              <w:spacing w:after="0"/>
              <w:rPr>
                <w:noProof/>
                <w:sz w:val="20"/>
                <w:szCs w:val="20"/>
              </w:rPr>
            </w:pPr>
            <w:r w:rsidRPr="00F87B9B">
              <w:rPr>
                <w:noProof/>
                <w:sz w:val="20"/>
                <w:szCs w:val="20"/>
              </w:rPr>
              <w:t xml:space="preserve">Satellite: </w:t>
            </w:r>
          </w:p>
          <w:p w14:paraId="32DDC51A" w14:textId="12FCB765" w:rsidR="0053532B" w:rsidRPr="00F87B9B" w:rsidRDefault="00FE0FEB" w:rsidP="00B00D2A">
            <w:pPr>
              <w:spacing w:after="0"/>
              <w:rPr>
                <w:noProof/>
                <w:sz w:val="20"/>
                <w:szCs w:val="20"/>
              </w:rPr>
            </w:pPr>
            <w:r>
              <w:rPr>
                <w:noProof/>
                <w:sz w:val="20"/>
                <w:szCs w:val="20"/>
              </w:rPr>
              <w:t>Res</w:t>
            </w:r>
            <w:r w:rsidR="0053532B" w:rsidRPr="00F87B9B">
              <w:rPr>
                <w:noProof/>
                <w:sz w:val="20"/>
                <w:szCs w:val="20"/>
              </w:rPr>
              <w:t>olution of harmful interferences issues</w:t>
            </w:r>
            <w:r w:rsidR="00A022F6">
              <w:rPr>
                <w:noProof/>
                <w:sz w:val="20"/>
                <w:szCs w:val="20"/>
              </w:rPr>
              <w:t xml:space="preserve">. </w:t>
            </w:r>
            <w:r w:rsidR="0053532B" w:rsidRPr="572DCBD2">
              <w:rPr>
                <w:noProof/>
                <w:sz w:val="20"/>
                <w:szCs w:val="20"/>
              </w:rPr>
              <w:t xml:space="preserve">Avoided revenue losses due to delayed market entry. </w:t>
            </w:r>
            <w:r w:rsidR="00046702">
              <w:rPr>
                <w:noProof/>
                <w:sz w:val="20"/>
                <w:szCs w:val="20"/>
              </w:rPr>
              <w:t>F</w:t>
            </w:r>
            <w:r w:rsidR="00046702" w:rsidRPr="00F87B9B">
              <w:rPr>
                <w:noProof/>
                <w:sz w:val="20"/>
                <w:szCs w:val="20"/>
              </w:rPr>
              <w:t>or a major EU-wide constellation</w:t>
            </w:r>
            <w:r w:rsidR="00046702">
              <w:rPr>
                <w:noProof/>
                <w:sz w:val="20"/>
                <w:szCs w:val="20"/>
              </w:rPr>
              <w:t>,</w:t>
            </w:r>
            <w:r w:rsidR="00046702" w:rsidRPr="00F87B9B">
              <w:rPr>
                <w:noProof/>
                <w:sz w:val="20"/>
                <w:szCs w:val="20"/>
              </w:rPr>
              <w:t xml:space="preserve"> </w:t>
            </w:r>
            <w:r w:rsidR="00D43881">
              <w:rPr>
                <w:noProof/>
                <w:sz w:val="20"/>
                <w:szCs w:val="20"/>
              </w:rPr>
              <w:t>such r</w:t>
            </w:r>
            <w:r w:rsidR="0053532B" w:rsidRPr="572DCBD2">
              <w:rPr>
                <w:noProof/>
                <w:sz w:val="20"/>
                <w:szCs w:val="20"/>
              </w:rPr>
              <w:t xml:space="preserve">evenue losses are estimated at </w:t>
            </w:r>
            <w:r w:rsidR="0053532B" w:rsidRPr="0072722D">
              <w:rPr>
                <w:b/>
                <w:noProof/>
                <w:sz w:val="20"/>
                <w:szCs w:val="20"/>
              </w:rPr>
              <w:t xml:space="preserve">EUR 50 </w:t>
            </w:r>
            <w:r w:rsidR="0072722D">
              <w:rPr>
                <w:b/>
                <w:bCs/>
                <w:noProof/>
                <w:sz w:val="20"/>
                <w:szCs w:val="20"/>
              </w:rPr>
              <w:t>M</w:t>
            </w:r>
            <w:r w:rsidR="0053532B" w:rsidRPr="00BE337F">
              <w:rPr>
                <w:noProof/>
                <w:sz w:val="20"/>
                <w:szCs w:val="20"/>
              </w:rPr>
              <w:t xml:space="preserve"> </w:t>
            </w:r>
            <w:r w:rsidR="0053532B" w:rsidRPr="572DCBD2">
              <w:rPr>
                <w:noProof/>
                <w:sz w:val="20"/>
                <w:szCs w:val="20"/>
              </w:rPr>
              <w:t xml:space="preserve">per month of delay. Administrative costs will be indicatively reduced </w:t>
            </w:r>
            <w:r w:rsidR="00166974">
              <w:rPr>
                <w:noProof/>
                <w:sz w:val="20"/>
                <w:szCs w:val="20"/>
              </w:rPr>
              <w:t>by</w:t>
            </w:r>
            <w:r w:rsidR="0053532B" w:rsidRPr="00F87B9B">
              <w:rPr>
                <w:noProof/>
                <w:sz w:val="20"/>
                <w:szCs w:val="20"/>
              </w:rPr>
              <w:t xml:space="preserve"> </w:t>
            </w:r>
            <w:r w:rsidR="0053532B" w:rsidRPr="572DCBD2">
              <w:rPr>
                <w:noProof/>
                <w:sz w:val="20"/>
                <w:szCs w:val="20"/>
              </w:rPr>
              <w:t xml:space="preserve">around </w:t>
            </w:r>
            <w:r w:rsidR="0053532B" w:rsidRPr="0072722D">
              <w:rPr>
                <w:b/>
                <w:noProof/>
                <w:sz w:val="20"/>
                <w:szCs w:val="20"/>
              </w:rPr>
              <w:t xml:space="preserve">EUR 3.2 </w:t>
            </w:r>
            <w:r w:rsidR="0072722D">
              <w:rPr>
                <w:b/>
                <w:bCs/>
                <w:noProof/>
                <w:sz w:val="20"/>
                <w:szCs w:val="20"/>
              </w:rPr>
              <w:t>M</w:t>
            </w:r>
            <w:r w:rsidR="0053532B" w:rsidRPr="572DCBD2">
              <w:rPr>
                <w:noProof/>
                <w:sz w:val="20"/>
                <w:szCs w:val="20"/>
              </w:rPr>
              <w:t xml:space="preserve"> </w:t>
            </w:r>
            <w:r w:rsidR="7D22C7B1" w:rsidRPr="572DCBD2">
              <w:rPr>
                <w:noProof/>
                <w:sz w:val="20"/>
                <w:szCs w:val="20"/>
              </w:rPr>
              <w:t>per new service</w:t>
            </w:r>
            <w:r w:rsidR="02662B78" w:rsidRPr="572DCBD2">
              <w:rPr>
                <w:noProof/>
                <w:sz w:val="20"/>
                <w:szCs w:val="20"/>
              </w:rPr>
              <w:t xml:space="preserve"> launched </w:t>
            </w:r>
            <w:r w:rsidR="0053532B" w:rsidRPr="572DCBD2">
              <w:rPr>
                <w:noProof/>
                <w:sz w:val="20"/>
                <w:szCs w:val="20"/>
              </w:rPr>
              <w:t xml:space="preserve">across all </w:t>
            </w:r>
            <w:r w:rsidR="0053532B" w:rsidRPr="00F87B9B">
              <w:rPr>
                <w:noProof/>
                <w:sz w:val="20"/>
                <w:szCs w:val="20"/>
              </w:rPr>
              <w:t>MS</w:t>
            </w:r>
            <w:r w:rsidR="00166974">
              <w:rPr>
                <w:noProof/>
                <w:sz w:val="20"/>
                <w:szCs w:val="20"/>
              </w:rPr>
              <w:t>s</w:t>
            </w:r>
            <w:r w:rsidR="0053532B" w:rsidRPr="572DCBD2">
              <w:rPr>
                <w:noProof/>
                <w:sz w:val="20"/>
                <w:szCs w:val="20"/>
              </w:rPr>
              <w:t xml:space="preserve">. </w:t>
            </w:r>
          </w:p>
          <w:p w14:paraId="00DF4187" w14:textId="77777777" w:rsidR="0053532B" w:rsidRPr="00F87B9B" w:rsidRDefault="0053532B" w:rsidP="00B00D2A">
            <w:pPr>
              <w:spacing w:after="0"/>
              <w:rPr>
                <w:noProof/>
                <w:sz w:val="20"/>
                <w:szCs w:val="20"/>
              </w:rPr>
            </w:pPr>
          </w:p>
          <w:p w14:paraId="0FE18BAC" w14:textId="7FF36B42" w:rsidR="0053532B" w:rsidRPr="00F87B9B" w:rsidRDefault="0053532B" w:rsidP="00B00D2A">
            <w:pPr>
              <w:spacing w:after="0"/>
              <w:rPr>
                <w:noProof/>
                <w:sz w:val="20"/>
                <w:szCs w:val="20"/>
              </w:rPr>
            </w:pPr>
            <w:r w:rsidRPr="00F87B9B">
              <w:rPr>
                <w:noProof/>
                <w:sz w:val="20"/>
                <w:szCs w:val="20"/>
              </w:rPr>
              <w:t>Reduced administrative and compliance burden for cross-border providers</w:t>
            </w:r>
            <w:r w:rsidR="00412858">
              <w:rPr>
                <w:noProof/>
                <w:sz w:val="20"/>
                <w:szCs w:val="20"/>
              </w:rPr>
              <w:t>.</w:t>
            </w:r>
          </w:p>
          <w:p w14:paraId="5AB7FEBB" w14:textId="2ED6C986" w:rsidR="0053532B" w:rsidRPr="00F87B9B" w:rsidRDefault="0053532B" w:rsidP="00B00D2A">
            <w:pPr>
              <w:spacing w:after="0"/>
              <w:rPr>
                <w:noProof/>
                <w:sz w:val="20"/>
                <w:szCs w:val="20"/>
              </w:rPr>
            </w:pPr>
            <w:r w:rsidRPr="00F87B9B">
              <w:rPr>
                <w:noProof/>
                <w:sz w:val="20"/>
                <w:szCs w:val="20"/>
              </w:rPr>
              <w:t>Reduced staff cost</w:t>
            </w:r>
            <w:r w:rsidR="00412858">
              <w:rPr>
                <w:noProof/>
                <w:sz w:val="20"/>
                <w:szCs w:val="20"/>
              </w:rPr>
              <w:t>.</w:t>
            </w:r>
          </w:p>
          <w:p w14:paraId="5FB42895" w14:textId="77777777" w:rsidR="0053532B" w:rsidRPr="00F87B9B" w:rsidRDefault="0053532B" w:rsidP="00B00D2A">
            <w:pPr>
              <w:spacing w:after="0"/>
              <w:rPr>
                <w:noProof/>
                <w:sz w:val="20"/>
                <w:szCs w:val="20"/>
              </w:rPr>
            </w:pPr>
            <w:r w:rsidRPr="00F87B9B">
              <w:rPr>
                <w:noProof/>
                <w:sz w:val="20"/>
                <w:szCs w:val="20"/>
              </w:rPr>
              <w:t>Overall cost reduction of 60%-80%</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tcPr>
          <w:p w14:paraId="1D85B9CB" w14:textId="041450DF" w:rsidR="0053532B" w:rsidRPr="00F87B9B" w:rsidRDefault="0053532B" w:rsidP="00B00D2A">
            <w:pPr>
              <w:spacing w:after="0"/>
              <w:rPr>
                <w:noProof/>
                <w:sz w:val="20"/>
                <w:szCs w:val="20"/>
              </w:rPr>
            </w:pPr>
            <w:r w:rsidRPr="00F87B9B">
              <w:rPr>
                <w:noProof/>
                <w:sz w:val="20"/>
                <w:szCs w:val="20"/>
              </w:rPr>
              <w:t>++ Simplified entry market conditions</w:t>
            </w:r>
            <w:r w:rsidR="00F7314D">
              <w:rPr>
                <w:noProof/>
                <w:sz w:val="20"/>
                <w:szCs w:val="20"/>
              </w:rPr>
              <w:t>,</w:t>
            </w:r>
            <w:r w:rsidRPr="00F87B9B">
              <w:rPr>
                <w:noProof/>
                <w:sz w:val="20"/>
                <w:szCs w:val="20"/>
              </w:rPr>
              <w:t xml:space="preserve"> but for a limited group of players. Lower costs of adaptation than in option 1 and 2, due to national procedures and conditions, including enforcement, as only those of the MS of origin would apply.</w:t>
            </w:r>
          </w:p>
        </w:tc>
      </w:tr>
      <w:tr w:rsidR="0053532B" w:rsidRPr="00F87B9B" w14:paraId="221289F0" w14:textId="77777777" w:rsidTr="572DCBD2">
        <w:trPr>
          <w:trHeight w:val="300"/>
        </w:trPr>
        <w:tc>
          <w:tcPr>
            <w:tcW w:w="1598" w:type="dxa"/>
            <w:tcBorders>
              <w:top w:val="single" w:sz="8" w:space="0" w:color="auto"/>
              <w:left w:val="single" w:sz="8" w:space="0" w:color="auto"/>
              <w:bottom w:val="single" w:sz="8" w:space="0" w:color="auto"/>
              <w:right w:val="single" w:sz="8" w:space="0" w:color="auto"/>
            </w:tcBorders>
            <w:tcMar>
              <w:left w:w="108" w:type="dxa"/>
              <w:right w:w="108" w:type="dxa"/>
            </w:tcMar>
          </w:tcPr>
          <w:p w14:paraId="4F379D04" w14:textId="77777777" w:rsidR="0053532B" w:rsidRPr="00F87B9B" w:rsidRDefault="0053532B" w:rsidP="00B00D2A">
            <w:pPr>
              <w:spacing w:after="0"/>
              <w:rPr>
                <w:noProof/>
                <w:sz w:val="20"/>
                <w:szCs w:val="20"/>
              </w:rPr>
            </w:pPr>
            <w:r w:rsidRPr="00F87B9B">
              <w:rPr>
                <w:noProof/>
                <w:sz w:val="20"/>
                <w:szCs w:val="20"/>
              </w:rPr>
              <w:t xml:space="preserve">Costs </w:t>
            </w:r>
          </w:p>
        </w:tc>
        <w:tc>
          <w:tcPr>
            <w:tcW w:w="2380" w:type="dxa"/>
            <w:tcBorders>
              <w:top w:val="single" w:sz="8" w:space="0" w:color="auto"/>
              <w:left w:val="single" w:sz="8" w:space="0" w:color="auto"/>
              <w:bottom w:val="single" w:sz="8" w:space="0" w:color="auto"/>
              <w:right w:val="single" w:sz="8" w:space="0" w:color="auto"/>
            </w:tcBorders>
            <w:tcMar>
              <w:left w:w="108" w:type="dxa"/>
              <w:right w:w="108" w:type="dxa"/>
            </w:tcMar>
          </w:tcPr>
          <w:p w14:paraId="238F83C9" w14:textId="77777777" w:rsidR="0053532B" w:rsidRPr="00F87B9B" w:rsidRDefault="0053532B" w:rsidP="00B00D2A">
            <w:pPr>
              <w:spacing w:after="0"/>
              <w:rPr>
                <w:noProof/>
                <w:sz w:val="20"/>
                <w:szCs w:val="20"/>
              </w:rPr>
            </w:pPr>
            <w:r w:rsidRPr="00F87B9B">
              <w:rPr>
                <w:noProof/>
                <w:sz w:val="20"/>
                <w:szCs w:val="20"/>
              </w:rPr>
              <w:t xml:space="preserve"> </w:t>
            </w:r>
          </w:p>
          <w:p w14:paraId="53BF8DFC" w14:textId="36B05F13" w:rsidR="0053532B" w:rsidRPr="00F87B9B" w:rsidRDefault="0053532B" w:rsidP="00B00D2A">
            <w:pPr>
              <w:spacing w:after="0"/>
              <w:rPr>
                <w:noProof/>
                <w:sz w:val="20"/>
                <w:szCs w:val="20"/>
              </w:rPr>
            </w:pPr>
            <w:r w:rsidRPr="00F87B9B">
              <w:rPr>
                <w:noProof/>
                <w:sz w:val="20"/>
                <w:szCs w:val="20"/>
              </w:rPr>
              <w:t xml:space="preserve">Higher than in </w:t>
            </w:r>
            <w:r w:rsidR="00D268AA">
              <w:rPr>
                <w:noProof/>
                <w:sz w:val="20"/>
                <w:szCs w:val="20"/>
              </w:rPr>
              <w:t>o</w:t>
            </w:r>
            <w:r w:rsidR="006D3FF9">
              <w:rPr>
                <w:noProof/>
                <w:sz w:val="20"/>
                <w:szCs w:val="20"/>
              </w:rPr>
              <w:t>ption</w:t>
            </w:r>
            <w:r w:rsidRPr="00F87B9B">
              <w:rPr>
                <w:noProof/>
                <w:sz w:val="20"/>
                <w:szCs w:val="20"/>
              </w:rPr>
              <w:t>s 2 and 3.</w:t>
            </w:r>
          </w:p>
          <w:p w14:paraId="76B6DFD3" w14:textId="77777777" w:rsidR="0053532B" w:rsidRPr="00F87B9B" w:rsidRDefault="0053532B" w:rsidP="00B00D2A">
            <w:pPr>
              <w:spacing w:after="0"/>
              <w:rPr>
                <w:noProof/>
                <w:sz w:val="20"/>
                <w:szCs w:val="20"/>
              </w:rPr>
            </w:pPr>
            <w:r w:rsidRPr="00F87B9B">
              <w:rPr>
                <w:noProof/>
                <w:sz w:val="20"/>
                <w:szCs w:val="20"/>
              </w:rPr>
              <w:t xml:space="preserve"> </w:t>
            </w:r>
          </w:p>
          <w:p w14:paraId="60B59557" w14:textId="273C28A1" w:rsidR="0053532B" w:rsidRPr="00F87B9B" w:rsidRDefault="0053532B" w:rsidP="00B00D2A">
            <w:pPr>
              <w:spacing w:after="0"/>
              <w:rPr>
                <w:noProof/>
                <w:sz w:val="20"/>
                <w:szCs w:val="20"/>
              </w:rPr>
            </w:pPr>
            <w:r w:rsidRPr="00F87B9B">
              <w:rPr>
                <w:noProof/>
                <w:sz w:val="20"/>
                <w:szCs w:val="20"/>
              </w:rPr>
              <w:t>GA: Multiple one-off costs</w:t>
            </w:r>
            <w:r w:rsidR="00F87B2E">
              <w:rPr>
                <w:noProof/>
                <w:sz w:val="20"/>
                <w:szCs w:val="20"/>
              </w:rPr>
              <w:t>.</w:t>
            </w:r>
            <w:r w:rsidRPr="00F87B9B">
              <w:rPr>
                <w:noProof/>
                <w:sz w:val="20"/>
                <w:szCs w:val="20"/>
              </w:rPr>
              <w:t xml:space="preserve"> No major reduction in national authorisation cost.</w:t>
            </w:r>
          </w:p>
          <w:p w14:paraId="312F15D4" w14:textId="77777777" w:rsidR="0053532B" w:rsidRPr="00F87B9B" w:rsidRDefault="0053532B" w:rsidP="00B00D2A">
            <w:pPr>
              <w:spacing w:after="0"/>
              <w:rPr>
                <w:noProof/>
                <w:sz w:val="20"/>
                <w:szCs w:val="20"/>
              </w:rPr>
            </w:pPr>
            <w:r w:rsidRPr="00F87B9B">
              <w:rPr>
                <w:noProof/>
                <w:sz w:val="20"/>
                <w:szCs w:val="20"/>
              </w:rPr>
              <w:t xml:space="preserve"> </w:t>
            </w:r>
          </w:p>
          <w:p w14:paraId="76653D14" w14:textId="77777777" w:rsidR="0053532B" w:rsidRPr="00F87B9B" w:rsidRDefault="0053532B" w:rsidP="00B00D2A">
            <w:pPr>
              <w:spacing w:after="0"/>
              <w:rPr>
                <w:noProof/>
                <w:sz w:val="20"/>
                <w:szCs w:val="20"/>
              </w:rPr>
            </w:pPr>
            <w:r w:rsidRPr="00F87B9B">
              <w:rPr>
                <w:noProof/>
                <w:sz w:val="20"/>
                <w:szCs w:val="20"/>
              </w:rPr>
              <w:t>Satellite: Multiple administrative fees and unchanged reporting costs, with modest one-off cost to adapt to the harmonised conditions for cross-border providers.</w:t>
            </w:r>
          </w:p>
          <w:p w14:paraId="24E52B04" w14:textId="77777777" w:rsidR="0053532B" w:rsidRPr="00F87B9B" w:rsidRDefault="0053532B" w:rsidP="00B00D2A">
            <w:pPr>
              <w:spacing w:after="0"/>
              <w:rPr>
                <w:noProof/>
                <w:sz w:val="20"/>
                <w:szCs w:val="20"/>
              </w:rPr>
            </w:pPr>
            <w:r w:rsidRPr="00F87B9B">
              <w:rPr>
                <w:noProof/>
                <w:sz w:val="20"/>
                <w:szCs w:val="20"/>
              </w:rPr>
              <w:t xml:space="preserve"> </w:t>
            </w:r>
          </w:p>
          <w:p w14:paraId="06B010F2" w14:textId="16C5E4D4" w:rsidR="0053532B" w:rsidRPr="00F87B9B" w:rsidRDefault="0053532B" w:rsidP="00B00D2A">
            <w:pPr>
              <w:spacing w:before="240"/>
              <w:rPr>
                <w:noProof/>
                <w:sz w:val="20"/>
                <w:szCs w:val="20"/>
              </w:rPr>
            </w:pPr>
            <w:r w:rsidRPr="00F87B9B">
              <w:rPr>
                <w:noProof/>
                <w:sz w:val="20"/>
                <w:szCs w:val="20"/>
              </w:rPr>
              <w:t xml:space="preserve">Typical costs: one-off authorisation up to </w:t>
            </w:r>
            <w:r>
              <w:rPr>
                <w:noProof/>
                <w:sz w:val="20"/>
                <w:szCs w:val="20"/>
              </w:rPr>
              <w:t>EUR </w:t>
            </w:r>
            <w:r w:rsidRPr="00F87B9B">
              <w:rPr>
                <w:noProof/>
                <w:sz w:val="20"/>
                <w:szCs w:val="20"/>
              </w:rPr>
              <w:t>160</w:t>
            </w:r>
            <w:r>
              <w:rPr>
                <w:noProof/>
                <w:sz w:val="20"/>
                <w:szCs w:val="20"/>
              </w:rPr>
              <w:t> </w:t>
            </w:r>
            <w:r w:rsidRPr="00F87B9B">
              <w:rPr>
                <w:noProof/>
                <w:sz w:val="20"/>
                <w:szCs w:val="20"/>
              </w:rPr>
              <w:t xml:space="preserve">000 plus site permit up to </w:t>
            </w:r>
            <w:r>
              <w:rPr>
                <w:noProof/>
                <w:sz w:val="20"/>
                <w:szCs w:val="20"/>
              </w:rPr>
              <w:t>EUR </w:t>
            </w:r>
            <w:r w:rsidRPr="00F87B9B">
              <w:rPr>
                <w:noProof/>
                <w:sz w:val="20"/>
                <w:szCs w:val="20"/>
              </w:rPr>
              <w:t>160</w:t>
            </w:r>
            <w:r>
              <w:rPr>
                <w:noProof/>
                <w:sz w:val="20"/>
                <w:szCs w:val="20"/>
              </w:rPr>
              <w:t> </w:t>
            </w:r>
            <w:r w:rsidRPr="00F87B9B">
              <w:rPr>
                <w:noProof/>
                <w:sz w:val="20"/>
                <w:szCs w:val="20"/>
              </w:rPr>
              <w:t xml:space="preserve">000 (including annual fees). </w:t>
            </w:r>
            <w:r w:rsidR="006F4948">
              <w:rPr>
                <w:noProof/>
                <w:sz w:val="20"/>
                <w:szCs w:val="20"/>
              </w:rPr>
              <w:t>Annual</w:t>
            </w:r>
            <w:r w:rsidRPr="00F87B9B">
              <w:rPr>
                <w:noProof/>
                <w:sz w:val="20"/>
                <w:szCs w:val="20"/>
              </w:rPr>
              <w:t xml:space="preserve"> spectrum charges up to </w:t>
            </w:r>
            <w:r>
              <w:rPr>
                <w:noProof/>
                <w:sz w:val="20"/>
                <w:szCs w:val="20"/>
              </w:rPr>
              <w:t>EUR </w:t>
            </w:r>
            <w:r w:rsidRPr="00F87B9B">
              <w:rPr>
                <w:noProof/>
                <w:sz w:val="20"/>
                <w:szCs w:val="20"/>
              </w:rPr>
              <w:t>10</w:t>
            </w:r>
            <w:r>
              <w:rPr>
                <w:noProof/>
                <w:sz w:val="20"/>
                <w:szCs w:val="20"/>
              </w:rPr>
              <w:t> </w:t>
            </w:r>
            <w:r w:rsidRPr="00F87B9B">
              <w:rPr>
                <w:noProof/>
                <w:sz w:val="20"/>
                <w:szCs w:val="20"/>
              </w:rPr>
              <w:t>000</w:t>
            </w:r>
            <w:r w:rsidR="006F4948">
              <w:rPr>
                <w:noProof/>
                <w:sz w:val="20"/>
                <w:szCs w:val="20"/>
              </w:rPr>
              <w:t xml:space="preserve"> per </w:t>
            </w:r>
            <w:r w:rsidRPr="00F87B9B">
              <w:rPr>
                <w:noProof/>
                <w:sz w:val="20"/>
                <w:szCs w:val="20"/>
              </w:rPr>
              <w:t xml:space="preserve">site. </w:t>
            </w:r>
          </w:p>
        </w:tc>
        <w:tc>
          <w:tcPr>
            <w:tcW w:w="2904" w:type="dxa"/>
            <w:tcBorders>
              <w:top w:val="single" w:sz="8" w:space="0" w:color="auto"/>
              <w:left w:val="single" w:sz="8" w:space="0" w:color="auto"/>
              <w:bottom w:val="single" w:sz="8" w:space="0" w:color="auto"/>
              <w:right w:val="single" w:sz="8" w:space="0" w:color="auto"/>
            </w:tcBorders>
            <w:tcMar>
              <w:left w:w="108" w:type="dxa"/>
              <w:right w:w="108" w:type="dxa"/>
            </w:tcMar>
          </w:tcPr>
          <w:p w14:paraId="2B86DB3F" w14:textId="77777777" w:rsidR="0053532B" w:rsidRPr="00F87B9B" w:rsidRDefault="0053532B" w:rsidP="00B00D2A">
            <w:pPr>
              <w:spacing w:after="0"/>
              <w:rPr>
                <w:noProof/>
                <w:sz w:val="20"/>
                <w:szCs w:val="20"/>
              </w:rPr>
            </w:pPr>
            <w:r w:rsidRPr="00F87B9B">
              <w:rPr>
                <w:noProof/>
                <w:sz w:val="20"/>
                <w:szCs w:val="20"/>
              </w:rPr>
              <w:t>Small one-off adaptation cost (small adjustment to harmonised conditions for GA and EU satellite authorisation).</w:t>
            </w:r>
          </w:p>
          <w:p w14:paraId="6F95D6BA" w14:textId="77777777" w:rsidR="0053532B" w:rsidRPr="00F87B9B" w:rsidRDefault="0053532B" w:rsidP="00B00D2A">
            <w:pPr>
              <w:spacing w:after="0"/>
              <w:rPr>
                <w:noProof/>
                <w:sz w:val="20"/>
                <w:szCs w:val="20"/>
              </w:rPr>
            </w:pPr>
            <w:r w:rsidRPr="00F87B9B">
              <w:rPr>
                <w:noProof/>
                <w:sz w:val="20"/>
                <w:szCs w:val="20"/>
              </w:rPr>
              <w:t xml:space="preserve"> </w:t>
            </w:r>
          </w:p>
          <w:p w14:paraId="625B8B6A" w14:textId="40E8673E" w:rsidR="0053532B" w:rsidRPr="00F87B9B" w:rsidRDefault="0053532B" w:rsidP="00B00D2A">
            <w:pPr>
              <w:spacing w:after="0"/>
              <w:rPr>
                <w:noProof/>
                <w:sz w:val="20"/>
                <w:szCs w:val="20"/>
              </w:rPr>
            </w:pPr>
            <w:r w:rsidRPr="00F87B9B">
              <w:rPr>
                <w:noProof/>
                <w:sz w:val="20"/>
                <w:szCs w:val="20"/>
              </w:rPr>
              <w:t xml:space="preserve">GA: lower cost than in </w:t>
            </w:r>
            <w:r w:rsidR="006D3FF9">
              <w:rPr>
                <w:noProof/>
                <w:sz w:val="20"/>
                <w:szCs w:val="20"/>
              </w:rPr>
              <w:t>option</w:t>
            </w:r>
            <w:r w:rsidRPr="00F87B9B">
              <w:rPr>
                <w:noProof/>
                <w:sz w:val="20"/>
                <w:szCs w:val="20"/>
              </w:rPr>
              <w:t xml:space="preserve"> 1, single notification in one MS instead of up to 27.</w:t>
            </w:r>
          </w:p>
          <w:p w14:paraId="6D00466F" w14:textId="77777777" w:rsidR="0053532B" w:rsidRPr="00F87B9B" w:rsidRDefault="0053532B" w:rsidP="00B00D2A">
            <w:pPr>
              <w:spacing w:after="0"/>
              <w:rPr>
                <w:noProof/>
                <w:sz w:val="20"/>
                <w:szCs w:val="20"/>
              </w:rPr>
            </w:pPr>
            <w:r w:rsidRPr="00F87B9B">
              <w:rPr>
                <w:noProof/>
                <w:sz w:val="20"/>
                <w:szCs w:val="20"/>
              </w:rPr>
              <w:t xml:space="preserve"> </w:t>
            </w:r>
          </w:p>
          <w:p w14:paraId="3E9B03DD" w14:textId="2ECD8147" w:rsidR="0053532B" w:rsidRPr="00F87B9B" w:rsidRDefault="0053532B" w:rsidP="00B00D2A">
            <w:pPr>
              <w:spacing w:after="0"/>
              <w:rPr>
                <w:noProof/>
                <w:sz w:val="20"/>
                <w:szCs w:val="20"/>
              </w:rPr>
            </w:pPr>
            <w:r w:rsidRPr="00F87B9B">
              <w:rPr>
                <w:noProof/>
                <w:sz w:val="20"/>
                <w:szCs w:val="20"/>
              </w:rPr>
              <w:t xml:space="preserve">Satellite: Authorisation Cost considerably lower than under </w:t>
            </w:r>
            <w:r w:rsidR="006D3FF9">
              <w:rPr>
                <w:noProof/>
                <w:sz w:val="20"/>
                <w:szCs w:val="20"/>
              </w:rPr>
              <w:t>option</w:t>
            </w:r>
            <w:r w:rsidRPr="00F87B9B">
              <w:rPr>
                <w:noProof/>
                <w:sz w:val="20"/>
                <w:szCs w:val="20"/>
              </w:rPr>
              <w:t xml:space="preserve"> 1, EU-level authorisation replaces 27 national procedures, greatly reducing administrative burden</w:t>
            </w:r>
            <w:r w:rsidR="00E60CEE">
              <w:rPr>
                <w:noProof/>
                <w:sz w:val="20"/>
                <w:szCs w:val="20"/>
              </w:rPr>
              <w:t xml:space="preserve"> despite possible spectrum fees/administrative charges at EU level</w:t>
            </w:r>
            <w:r w:rsidRPr="00F87B9B">
              <w:rPr>
                <w:noProof/>
                <w:sz w:val="20"/>
                <w:szCs w:val="20"/>
              </w:rPr>
              <w:t>.</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tcPr>
          <w:p w14:paraId="5BF012B8" w14:textId="23BF0273" w:rsidR="0053532B" w:rsidRPr="00F87B9B" w:rsidRDefault="0053532B" w:rsidP="00B00D2A">
            <w:pPr>
              <w:spacing w:after="0"/>
              <w:rPr>
                <w:noProof/>
                <w:sz w:val="20"/>
                <w:szCs w:val="20"/>
              </w:rPr>
            </w:pPr>
            <w:r w:rsidRPr="00F87B9B">
              <w:rPr>
                <w:noProof/>
                <w:sz w:val="20"/>
                <w:szCs w:val="20"/>
              </w:rPr>
              <w:t xml:space="preserve">Lower than in </w:t>
            </w:r>
            <w:r w:rsidR="00D268AA">
              <w:rPr>
                <w:noProof/>
                <w:sz w:val="20"/>
                <w:szCs w:val="20"/>
              </w:rPr>
              <w:t>o</w:t>
            </w:r>
            <w:r w:rsidR="006D3FF9">
              <w:rPr>
                <w:noProof/>
                <w:sz w:val="20"/>
                <w:szCs w:val="20"/>
              </w:rPr>
              <w:t>ption</w:t>
            </w:r>
            <w:r w:rsidRPr="00F87B9B">
              <w:rPr>
                <w:noProof/>
                <w:sz w:val="20"/>
                <w:szCs w:val="20"/>
              </w:rPr>
              <w:t>s 1 and 2.</w:t>
            </w:r>
          </w:p>
          <w:p w14:paraId="240B0A17" w14:textId="77777777" w:rsidR="0053532B" w:rsidRPr="00F87B9B" w:rsidRDefault="0053532B" w:rsidP="00B00D2A">
            <w:pPr>
              <w:spacing w:after="0"/>
              <w:rPr>
                <w:noProof/>
                <w:sz w:val="20"/>
                <w:szCs w:val="20"/>
              </w:rPr>
            </w:pPr>
            <w:r w:rsidRPr="00F87B9B">
              <w:rPr>
                <w:noProof/>
                <w:sz w:val="20"/>
                <w:szCs w:val="20"/>
              </w:rPr>
              <w:t xml:space="preserve"> </w:t>
            </w:r>
          </w:p>
          <w:p w14:paraId="568EE7C0" w14:textId="0A0ED7C5" w:rsidR="0053532B" w:rsidRPr="00F87B9B" w:rsidRDefault="0053532B" w:rsidP="00B00D2A">
            <w:pPr>
              <w:spacing w:after="0"/>
              <w:rPr>
                <w:noProof/>
                <w:sz w:val="20"/>
                <w:szCs w:val="20"/>
              </w:rPr>
            </w:pPr>
            <w:r w:rsidRPr="00F87B9B">
              <w:rPr>
                <w:noProof/>
                <w:sz w:val="20"/>
                <w:szCs w:val="20"/>
              </w:rPr>
              <w:t xml:space="preserve">GA: single regime and enforcement based </w:t>
            </w:r>
            <w:r w:rsidR="00885B10">
              <w:rPr>
                <w:noProof/>
                <w:sz w:val="20"/>
                <w:szCs w:val="20"/>
              </w:rPr>
              <w:t>on</w:t>
            </w:r>
            <w:r w:rsidR="00885B10" w:rsidRPr="00F87B9B">
              <w:rPr>
                <w:noProof/>
                <w:sz w:val="20"/>
                <w:szCs w:val="20"/>
              </w:rPr>
              <w:t xml:space="preserve"> </w:t>
            </w:r>
            <w:r w:rsidRPr="00F87B9B">
              <w:rPr>
                <w:noProof/>
                <w:sz w:val="20"/>
                <w:szCs w:val="20"/>
              </w:rPr>
              <w:t>the country</w:t>
            </w:r>
            <w:r w:rsidR="00885B10">
              <w:rPr>
                <w:noProof/>
                <w:sz w:val="20"/>
                <w:szCs w:val="20"/>
              </w:rPr>
              <w:t>-</w:t>
            </w:r>
            <w:r w:rsidRPr="00F87B9B">
              <w:rPr>
                <w:noProof/>
                <w:sz w:val="20"/>
                <w:szCs w:val="20"/>
              </w:rPr>
              <w:t>of</w:t>
            </w:r>
            <w:r w:rsidR="00885B10">
              <w:rPr>
                <w:noProof/>
                <w:sz w:val="20"/>
                <w:szCs w:val="20"/>
              </w:rPr>
              <w:t>-</w:t>
            </w:r>
            <w:r w:rsidRPr="00F87B9B">
              <w:rPr>
                <w:noProof/>
                <w:sz w:val="20"/>
                <w:szCs w:val="20"/>
              </w:rPr>
              <w:t>origin principle; costs savings limited to cross-border and B2B providers.</w:t>
            </w:r>
          </w:p>
          <w:p w14:paraId="435D90F5" w14:textId="76785B3B" w:rsidR="0053532B" w:rsidRPr="00F87B9B" w:rsidRDefault="0053532B" w:rsidP="00B00D2A">
            <w:pPr>
              <w:spacing w:before="240"/>
              <w:rPr>
                <w:noProof/>
                <w:sz w:val="20"/>
                <w:szCs w:val="20"/>
              </w:rPr>
            </w:pPr>
            <w:r w:rsidRPr="00F87B9B">
              <w:rPr>
                <w:noProof/>
                <w:sz w:val="20"/>
                <w:szCs w:val="20"/>
              </w:rPr>
              <w:t xml:space="preserve">Satellite: major cost reduction vs </w:t>
            </w:r>
            <w:r w:rsidR="006D3FF9">
              <w:rPr>
                <w:noProof/>
                <w:sz w:val="20"/>
                <w:szCs w:val="20"/>
              </w:rPr>
              <w:t>option</w:t>
            </w:r>
            <w:r w:rsidRPr="00F87B9B">
              <w:rPr>
                <w:noProof/>
                <w:sz w:val="20"/>
                <w:szCs w:val="20"/>
              </w:rPr>
              <w:t xml:space="preserve"> 1, one authorisation issued by a MS replaces 27 national ones.</w:t>
            </w:r>
          </w:p>
          <w:p w14:paraId="778EE988" w14:textId="77777777" w:rsidR="0053532B" w:rsidRPr="00F87B9B" w:rsidRDefault="0053532B" w:rsidP="00B00D2A">
            <w:pPr>
              <w:spacing w:after="0"/>
              <w:rPr>
                <w:noProof/>
                <w:sz w:val="20"/>
                <w:szCs w:val="20"/>
              </w:rPr>
            </w:pPr>
            <w:r w:rsidRPr="00F87B9B">
              <w:rPr>
                <w:noProof/>
                <w:sz w:val="20"/>
                <w:szCs w:val="20"/>
              </w:rPr>
              <w:t>Implementation challenges: difficult to apply within national frameworks, limited consistency and integration of existing operators, risk of forum shopping and a “race to the bottom” due to the country-of-origin principle.</w:t>
            </w:r>
          </w:p>
          <w:p w14:paraId="40A20124" w14:textId="77777777" w:rsidR="0053532B" w:rsidRPr="00F87B9B" w:rsidRDefault="0053532B" w:rsidP="00B00D2A">
            <w:pPr>
              <w:spacing w:after="0"/>
              <w:rPr>
                <w:noProof/>
                <w:sz w:val="20"/>
                <w:szCs w:val="20"/>
              </w:rPr>
            </w:pPr>
            <w:r w:rsidRPr="00F87B9B">
              <w:rPr>
                <w:noProof/>
                <w:sz w:val="20"/>
                <w:szCs w:val="20"/>
              </w:rPr>
              <w:t xml:space="preserve"> </w:t>
            </w:r>
          </w:p>
        </w:tc>
      </w:tr>
    </w:tbl>
    <w:p w14:paraId="603D901A" w14:textId="77777777" w:rsidR="0053532B" w:rsidRPr="00DE264C" w:rsidRDefault="0053532B" w:rsidP="00DE7CC1">
      <w:pPr>
        <w:pStyle w:val="EYBodytextwithparaspace"/>
        <w:spacing w:before="0" w:after="240" w:line="240" w:lineRule="auto"/>
        <w:rPr>
          <w:rFonts w:ascii="Times New Roman" w:hAnsi="Times New Roman"/>
          <w:noProof/>
        </w:rPr>
      </w:pPr>
    </w:p>
    <w:p w14:paraId="28BB191C" w14:textId="61C482AF" w:rsidR="00304C0E" w:rsidRPr="00DE264C" w:rsidRDefault="001353B7" w:rsidP="00DE7CC1">
      <w:pPr>
        <w:spacing w:line="240" w:lineRule="auto"/>
        <w:rPr>
          <w:b/>
          <w:noProof/>
          <w:u w:val="single"/>
        </w:rPr>
      </w:pPr>
      <w:r w:rsidRPr="00DE264C">
        <w:rPr>
          <w:b/>
          <w:noProof/>
          <w:u w:val="single"/>
        </w:rPr>
        <w:t>Coherence</w:t>
      </w:r>
    </w:p>
    <w:p w14:paraId="4FE9E7F4" w14:textId="34136CB8" w:rsidR="00B027EA" w:rsidRPr="00DE264C" w:rsidRDefault="001353B7" w:rsidP="00DE7CC1">
      <w:pPr>
        <w:pStyle w:val="EYBodytextwithparaspace"/>
        <w:spacing w:before="0" w:after="240" w:line="240" w:lineRule="auto"/>
        <w:rPr>
          <w:rFonts w:ascii="Times New Roman" w:hAnsi="Times New Roman"/>
          <w:noProof/>
        </w:rPr>
      </w:pPr>
      <w:r w:rsidRPr="00DE264C">
        <w:rPr>
          <w:rFonts w:ascii="Times New Roman" w:hAnsi="Times New Roman"/>
          <w:b/>
          <w:bCs/>
          <w:noProof/>
        </w:rPr>
        <w:t>The baseline scenario, as well as options 1 and 3</w:t>
      </w:r>
      <w:r w:rsidRPr="00DE264C">
        <w:rPr>
          <w:rFonts w:ascii="Times New Roman" w:hAnsi="Times New Roman"/>
          <w:noProof/>
        </w:rPr>
        <w:t xml:space="preserve"> lack </w:t>
      </w:r>
      <w:r w:rsidRPr="00DE264C">
        <w:rPr>
          <w:rFonts w:ascii="Times New Roman" w:hAnsi="Times New Roman"/>
          <w:noProof/>
          <w:lang w:val="en-IE"/>
        </w:rPr>
        <w:t>coherence</w:t>
      </w:r>
      <w:r w:rsidRPr="00DE264C">
        <w:rPr>
          <w:rFonts w:ascii="Times New Roman" w:hAnsi="Times New Roman"/>
          <w:noProof/>
        </w:rPr>
        <w:t xml:space="preserve"> with the overall EU simplification agenda and with national requirements on cybersecurity, lawful interception, data retention and e-privacy. </w:t>
      </w:r>
      <w:r w:rsidRPr="00DE264C">
        <w:rPr>
          <w:rFonts w:ascii="Times New Roman" w:hAnsi="Times New Roman"/>
          <w:b/>
          <w:bCs/>
          <w:noProof/>
        </w:rPr>
        <w:t>Option 1</w:t>
      </w:r>
      <w:r w:rsidRPr="00DE264C">
        <w:rPr>
          <w:rFonts w:ascii="Times New Roman" w:hAnsi="Times New Roman"/>
          <w:noProof/>
        </w:rPr>
        <w:t xml:space="preserve"> moderately improves coherence supporting greater alignment with ITU rules but inconsistencies may persist and does not fully address strategic goals on sovereignty. </w:t>
      </w:r>
      <w:r w:rsidR="4F3525B1" w:rsidRPr="00DE264C">
        <w:rPr>
          <w:rFonts w:ascii="Times New Roman" w:hAnsi="Times New Roman"/>
          <w:noProof/>
        </w:rPr>
        <w:t xml:space="preserve">Although </w:t>
      </w:r>
      <w:r w:rsidR="2B5E22B2" w:rsidRPr="00DE264C">
        <w:rPr>
          <w:rFonts w:ascii="Times New Roman" w:hAnsi="Times New Roman"/>
          <w:noProof/>
        </w:rPr>
        <w:t>o</w:t>
      </w:r>
      <w:r w:rsidR="4F3525B1" w:rsidRPr="00DE264C">
        <w:rPr>
          <w:rFonts w:ascii="Times New Roman" w:hAnsi="Times New Roman"/>
          <w:noProof/>
        </w:rPr>
        <w:t xml:space="preserve">ption 1 entails some soft harmonisation of applicable general authorisation conditions by Member States where networks and services will be provided, in particular for satellite, it will not address the fragmentation, including as regards compliance requirements in certain areas, such as cybersecurity, lawful interception, data retention, administrative charges, and emergency communications. </w:t>
      </w:r>
      <w:r w:rsidR="00D268AA">
        <w:rPr>
          <w:rFonts w:ascii="Times New Roman" w:hAnsi="Times New Roman"/>
          <w:b/>
          <w:bCs/>
          <w:noProof/>
        </w:rPr>
        <w:t>O</w:t>
      </w:r>
      <w:r w:rsidRPr="00DE264C">
        <w:rPr>
          <w:rFonts w:ascii="Times New Roman" w:hAnsi="Times New Roman"/>
          <w:b/>
          <w:bCs/>
          <w:noProof/>
        </w:rPr>
        <w:t>ption</w:t>
      </w:r>
      <w:r w:rsidR="00B51DF6">
        <w:rPr>
          <w:rFonts w:ascii="Times New Roman" w:hAnsi="Times New Roman"/>
          <w:b/>
          <w:bCs/>
          <w:noProof/>
        </w:rPr>
        <w:t xml:space="preserve"> </w:t>
      </w:r>
      <w:r w:rsidRPr="00DE264C">
        <w:rPr>
          <w:rFonts w:ascii="Times New Roman" w:hAnsi="Times New Roman"/>
          <w:b/>
          <w:bCs/>
          <w:noProof/>
        </w:rPr>
        <w:t>2</w:t>
      </w:r>
      <w:r w:rsidRPr="00DE264C">
        <w:rPr>
          <w:rFonts w:ascii="Times New Roman" w:hAnsi="Times New Roman"/>
          <w:noProof/>
        </w:rPr>
        <w:t xml:space="preserve"> exhibits higher coherence providing mechanisms to address issues with national rules on cybersecurity, lawful interception, data retention and e-privacy and providing harmonised GA conditions /BEREC guidelines to ensure coherent application. </w:t>
      </w:r>
      <w:r w:rsidR="0099637E" w:rsidRPr="00DE264C">
        <w:rPr>
          <w:rFonts w:ascii="Times New Roman" w:hAnsi="Times New Roman"/>
          <w:noProof/>
        </w:rPr>
        <w:t xml:space="preserve">As regards satellite, </w:t>
      </w:r>
      <w:r w:rsidR="00F20D1E">
        <w:rPr>
          <w:rFonts w:ascii="Times New Roman" w:hAnsi="Times New Roman"/>
          <w:b/>
          <w:bCs/>
          <w:noProof/>
        </w:rPr>
        <w:t>o</w:t>
      </w:r>
      <w:r w:rsidR="00026725" w:rsidRPr="00DE264C">
        <w:rPr>
          <w:rFonts w:ascii="Times New Roman" w:hAnsi="Times New Roman"/>
          <w:b/>
          <w:bCs/>
          <w:noProof/>
        </w:rPr>
        <w:t>ptions</w:t>
      </w:r>
      <w:r w:rsidR="00026725" w:rsidRPr="572DCBD2">
        <w:rPr>
          <w:rFonts w:ascii="Times New Roman" w:hAnsi="Times New Roman"/>
          <w:b/>
          <w:bCs/>
          <w:noProof/>
        </w:rPr>
        <w:t xml:space="preserve"> </w:t>
      </w:r>
      <w:r w:rsidRPr="00DE264C">
        <w:rPr>
          <w:rFonts w:ascii="Times New Roman" w:hAnsi="Times New Roman"/>
          <w:b/>
          <w:bCs/>
          <w:noProof/>
        </w:rPr>
        <w:t xml:space="preserve">2 and 3 </w:t>
      </w:r>
      <w:r w:rsidRPr="00DE264C">
        <w:rPr>
          <w:rFonts w:ascii="Times New Roman" w:hAnsi="Times New Roman"/>
          <w:noProof/>
        </w:rPr>
        <w:t>provide highest coherence with EU-wide objectives, notably competitiveness, industrial policy, and international coordination with a fully harmonised and centralised authorisation regime for satellite spectrum, combined with joint or EU-level rights of use and standardised conditions for all operators directly supporting EU strategic goals in space policy, defence, and secure communications. The effective enforcement of market access rules will support the provision of innovative space services as envisaged in the proposed Vision for the EU Space Economy</w:t>
      </w:r>
      <w:r w:rsidRPr="00DE264C">
        <w:rPr>
          <w:rStyle w:val="FootnoteReference"/>
          <w:noProof/>
        </w:rPr>
        <w:footnoteReference w:id="274"/>
      </w:r>
      <w:r w:rsidR="00F872E9" w:rsidRPr="00DE264C">
        <w:rPr>
          <w:rFonts w:ascii="Times New Roman" w:hAnsi="Times New Roman"/>
          <w:noProof/>
        </w:rPr>
        <w:t>.</w:t>
      </w:r>
    </w:p>
    <w:p w14:paraId="392E4B48" w14:textId="432B3DAA" w:rsidR="00600AE6" w:rsidRPr="00DE264C" w:rsidRDefault="00600AE6" w:rsidP="00DE7CC1">
      <w:pPr>
        <w:pStyle w:val="EYBodytextwithparaspace"/>
        <w:spacing w:before="0" w:after="240" w:line="240" w:lineRule="auto"/>
        <w:rPr>
          <w:rFonts w:ascii="Times New Roman" w:hAnsi="Times New Roman"/>
          <w:noProof/>
        </w:rPr>
      </w:pPr>
      <w:r>
        <w:rPr>
          <w:rFonts w:ascii="Times New Roman" w:hAnsi="Times New Roman"/>
          <w:noProof/>
        </w:rPr>
        <w:t>Sections addressing relevance and EU added value per authorisation option can be found in Annex</w:t>
      </w:r>
      <w:r w:rsidR="00B51DF6">
        <w:rPr>
          <w:rFonts w:ascii="Times New Roman" w:hAnsi="Times New Roman"/>
          <w:noProof/>
        </w:rPr>
        <w:t xml:space="preserve"> </w:t>
      </w:r>
      <w:r>
        <w:rPr>
          <w:rFonts w:ascii="Times New Roman" w:hAnsi="Times New Roman"/>
          <w:noProof/>
        </w:rPr>
        <w:t>9</w:t>
      </w:r>
      <w:r w:rsidR="006157FC">
        <w:rPr>
          <w:rFonts w:ascii="Times New Roman" w:hAnsi="Times New Roman"/>
          <w:noProof/>
        </w:rPr>
        <w:t>,</w:t>
      </w:r>
      <w:r w:rsidR="005D1D7F">
        <w:rPr>
          <w:rFonts w:ascii="Times New Roman" w:hAnsi="Times New Roman"/>
          <w:noProof/>
        </w:rPr>
        <w:t xml:space="preserve"> section 1.3.</w:t>
      </w:r>
    </w:p>
    <w:p w14:paraId="469FD01A" w14:textId="5FC09130" w:rsidR="00511022" w:rsidRPr="00DE264C" w:rsidRDefault="00511022" w:rsidP="00DE7CC1">
      <w:pPr>
        <w:spacing w:line="240" w:lineRule="auto"/>
        <w:rPr>
          <w:b/>
          <w:noProof/>
          <w:u w:val="single"/>
        </w:rPr>
      </w:pPr>
      <w:r w:rsidRPr="00DE264C">
        <w:rPr>
          <w:b/>
          <w:noProof/>
          <w:u w:val="single"/>
        </w:rPr>
        <w:t>Stakeholder’s feedback</w:t>
      </w:r>
    </w:p>
    <w:p w14:paraId="1C401532" w14:textId="2F616656" w:rsidR="00511022" w:rsidRPr="00DE264C" w:rsidRDefault="00511022" w:rsidP="00DE7CC1">
      <w:pPr>
        <w:pStyle w:val="EYBodytextwithparaspace"/>
        <w:spacing w:before="0" w:after="240" w:line="240" w:lineRule="auto"/>
        <w:rPr>
          <w:rFonts w:ascii="Times New Roman" w:hAnsi="Times New Roman"/>
          <w:noProof/>
        </w:rPr>
      </w:pPr>
      <w:r w:rsidRPr="00DE264C">
        <w:rPr>
          <w:rFonts w:ascii="Times New Roman" w:hAnsi="Times New Roman"/>
          <w:noProof/>
          <w:color w:val="000000" w:themeColor="text1"/>
        </w:rPr>
        <w:t>Amongst</w:t>
      </w:r>
      <w:r w:rsidRPr="00DE264C">
        <w:rPr>
          <w:rFonts w:ascii="Times New Roman" w:hAnsi="Times New Roman"/>
          <w:b/>
          <w:noProof/>
          <w:color w:val="000000" w:themeColor="text1"/>
        </w:rPr>
        <w:t xml:space="preserve"> stakeholders,</w:t>
      </w:r>
      <w:r w:rsidRPr="00DE264C">
        <w:rPr>
          <w:rFonts w:ascii="Times New Roman" w:hAnsi="Times New Roman"/>
          <w:noProof/>
          <w:color w:val="000000" w:themeColor="text1"/>
        </w:rPr>
        <w:t xml:space="preserve"> the telco </w:t>
      </w:r>
      <w:r w:rsidRPr="00DE264C">
        <w:rPr>
          <w:rFonts w:ascii="Times New Roman" w:hAnsi="Times New Roman"/>
          <w:noProof/>
        </w:rPr>
        <w:t>community</w:t>
      </w:r>
      <w:r w:rsidRPr="00DE264C">
        <w:rPr>
          <w:rFonts w:ascii="Times New Roman" w:hAnsi="Times New Roman"/>
          <w:noProof/>
          <w:color w:val="000000" w:themeColor="text1"/>
        </w:rPr>
        <w:t xml:space="preserve"> was generally positive on the idea of harmonising and easing applicable conditions attached to authorisation. They agreed on the need of harmonisation of security requirements, but were cautious about mandating any changes in the implementation of legal requirements which come with significant costs and efforts. On the specific application of the CoO principle stakeholders were rather sceptical, some ECNs raised the risk that non-telco new entrants that do not invest in network infrastructure could benefit “unfairly” from such regime, in particular if this was combined with the introduction of a standard EU wholesale access product. Member States and NRAs did not see added value for the application of the CoO principle indicating that a significant set of national rules would remain. A two-layer authorisation/governance would be unnecessary complex, not working in practice and bearing risks of “forum shopping”.</w:t>
      </w:r>
      <w:r w:rsidRPr="00DE264C">
        <w:rPr>
          <w:rFonts w:ascii="Times New Roman" w:hAnsi="Times New Roman"/>
          <w:noProof/>
        </w:rPr>
        <w:t xml:space="preserve"> Consumer organisations acknowledged the benefits of harmonisation but were concerned that de-regulation lowers consumer protection and thus stressed the need to safeguard national consumer protection measures. </w:t>
      </w:r>
    </w:p>
    <w:p w14:paraId="2440C46A" w14:textId="05C5A94D" w:rsidR="00511022" w:rsidRPr="00DE264C" w:rsidRDefault="00511022" w:rsidP="00DE7CC1">
      <w:pPr>
        <w:pStyle w:val="EYBodytextwithparaspace"/>
        <w:spacing w:before="0" w:after="240" w:line="240" w:lineRule="auto"/>
        <w:rPr>
          <w:rFonts w:ascii="Times New Roman" w:hAnsi="Times New Roman"/>
          <w:noProof/>
        </w:rPr>
      </w:pPr>
      <w:r w:rsidRPr="002A7160">
        <w:rPr>
          <w:rFonts w:ascii="Times New Roman" w:hAnsi="Times New Roman"/>
          <w:noProof/>
          <w:color w:val="000000" w:themeColor="text1"/>
        </w:rPr>
        <w:t>Operators with interest in pan-European satellite services</w:t>
      </w:r>
      <w:r w:rsidRPr="002A7160">
        <w:rPr>
          <w:rFonts w:ascii="Times New Roman" w:eastAsia="Aptos" w:hAnsi="Times New Roman"/>
          <w:noProof/>
          <w:color w:val="000000" w:themeColor="text1"/>
          <w:sz w:val="22"/>
        </w:rPr>
        <w:t xml:space="preserve"> </w:t>
      </w:r>
      <w:r w:rsidRPr="00DE264C">
        <w:rPr>
          <w:rFonts w:ascii="Times New Roman" w:hAnsi="Times New Roman"/>
          <w:noProof/>
          <w:color w:val="000000" w:themeColor="text1"/>
        </w:rPr>
        <w:t xml:space="preserve">stress that a harmonised, pan-European approach to </w:t>
      </w:r>
      <w:r w:rsidRPr="00DE264C">
        <w:rPr>
          <w:rFonts w:ascii="Times New Roman" w:hAnsi="Times New Roman"/>
          <w:b/>
          <w:bCs/>
          <w:noProof/>
          <w:color w:val="000000" w:themeColor="text1"/>
        </w:rPr>
        <w:t>satellite market</w:t>
      </w:r>
      <w:r w:rsidRPr="00DE264C">
        <w:rPr>
          <w:rFonts w:ascii="Times New Roman" w:hAnsi="Times New Roman"/>
          <w:noProof/>
          <w:color w:val="000000" w:themeColor="text1"/>
        </w:rPr>
        <w:t xml:space="preserve"> access is essential to unlock the full potential of satellite connectivity across the EU and raise concerns that the growing demand for satellite access, combined with fragmented and non-harmonised authorisation procedures, may lead to discriminatory outcomes, encourage ‘forum shopping’, and create barriers to cross-border satellite service development. In the targeted consultation most support was expressed for a simplified and harmonised EU template (option 1), an EU-level mechanism for selection of satellite operators (e.g. based on MSS decision), and a common satellite authorisation at EU level were also reasonably popular with stakeholders, with positive opinion doubling the negative. Stakeholders have urged the Commission to create a level playing field for terrestrial mobile networks, incumbent satellite operators, and </w:t>
      </w:r>
      <w:r w:rsidR="00164915" w:rsidRPr="00DE264C">
        <w:rPr>
          <w:rFonts w:ascii="Times New Roman" w:hAnsi="Times New Roman"/>
          <w:noProof/>
          <w:color w:val="000000" w:themeColor="text1"/>
        </w:rPr>
        <w:t xml:space="preserve">new </w:t>
      </w:r>
      <w:r w:rsidRPr="00DE264C">
        <w:rPr>
          <w:rFonts w:ascii="Times New Roman" w:hAnsi="Times New Roman"/>
          <w:noProof/>
          <w:color w:val="000000" w:themeColor="text1"/>
        </w:rPr>
        <w:t>satellite constellations in the EU market, while addressing potential interference risks of D2D satellite services to terrestrial systems.</w:t>
      </w:r>
      <w:r w:rsidR="000D507F">
        <w:rPr>
          <w:rFonts w:ascii="Times New Roman" w:hAnsi="Times New Roman"/>
          <w:noProof/>
          <w:color w:val="000000" w:themeColor="text1"/>
        </w:rPr>
        <w:t xml:space="preserve"> Their feedback</w:t>
      </w:r>
      <w:r w:rsidR="00E819AC" w:rsidRPr="00DE264C">
        <w:rPr>
          <w:rFonts w:ascii="Times New Roman" w:eastAsiaTheme="minorHAnsi" w:hAnsi="Times New Roman"/>
          <w:noProof/>
        </w:rPr>
        <w:t xml:space="preserve"> also </w:t>
      </w:r>
      <w:r w:rsidR="00E819AC" w:rsidRPr="00DE264C">
        <w:rPr>
          <w:rFonts w:ascii="Times New Roman" w:hAnsi="Times New Roman"/>
          <w:noProof/>
          <w:color w:val="000000" w:themeColor="text1"/>
        </w:rPr>
        <w:t xml:space="preserve">emphasised the importance of addressing issues related to security, strategic autonomy in the digital supply chain, and the preservation of EU sovereignty. </w:t>
      </w:r>
      <w:r w:rsidRPr="00DE264C">
        <w:rPr>
          <w:rFonts w:ascii="Times New Roman" w:hAnsi="Times New Roman"/>
          <w:noProof/>
          <w:color w:val="000000" w:themeColor="text1"/>
        </w:rPr>
        <w:t>The association of satellite operators calls for regulatory simplification by reducing unnecessary burdens and fragmentation in EU regulations. Additionally, the RSPG, recommends the Commission to adopt common requirements for access to the EU market and implement a coordinated enforcement mechanism.</w:t>
      </w:r>
    </w:p>
    <w:p w14:paraId="14F60BFE" w14:textId="3042E355" w:rsidR="007645C9" w:rsidRPr="00DE264C" w:rsidRDefault="007645C9" w:rsidP="00DE7CC1">
      <w:pPr>
        <w:spacing w:line="240" w:lineRule="auto"/>
        <w:rPr>
          <w:b/>
          <w:noProof/>
          <w:u w:val="single"/>
        </w:rPr>
      </w:pPr>
      <w:r w:rsidRPr="00DE264C">
        <w:rPr>
          <w:b/>
          <w:noProof/>
          <w:u w:val="single"/>
        </w:rPr>
        <w:t>Summary</w:t>
      </w:r>
    </w:p>
    <w:p w14:paraId="4D6A3005" w14:textId="362AE9B4" w:rsidR="00FA5340" w:rsidRPr="00DE264C" w:rsidRDefault="00FA5340" w:rsidP="00DE7CC1">
      <w:pPr>
        <w:spacing w:line="240" w:lineRule="auto"/>
        <w:rPr>
          <w:rFonts w:eastAsia="Calibri"/>
          <w:noProof/>
        </w:rPr>
      </w:pPr>
      <w:r w:rsidRPr="00DE264C">
        <w:rPr>
          <w:rFonts w:eastAsia="Calibri"/>
          <w:noProof/>
        </w:rPr>
        <w:t xml:space="preserve">The table below summarises the overall costs and benefits for the different stakeholders by each </w:t>
      </w:r>
      <w:r w:rsidR="00F20D1E">
        <w:rPr>
          <w:rFonts w:eastAsia="Calibri"/>
          <w:noProof/>
        </w:rPr>
        <w:t>o</w:t>
      </w:r>
      <w:r w:rsidRPr="00DE264C">
        <w:rPr>
          <w:rFonts w:eastAsia="Calibri"/>
          <w:noProof/>
        </w:rPr>
        <w:t>ption.</w:t>
      </w:r>
      <w:r w:rsidR="00B40593">
        <w:rPr>
          <w:rFonts w:eastAsia="Calibri"/>
          <w:noProof/>
        </w:rPr>
        <w:t xml:space="preserve"> </w:t>
      </w:r>
      <w:r w:rsidR="00B40593">
        <w:rPr>
          <w:noProof/>
        </w:rPr>
        <w:t>Annex 3</w:t>
      </w:r>
      <w:r w:rsidR="008D65FD">
        <w:rPr>
          <w:noProof/>
        </w:rPr>
        <w:t>,</w:t>
      </w:r>
      <w:r w:rsidR="00B40593">
        <w:rPr>
          <w:noProof/>
        </w:rPr>
        <w:t xml:space="preserve"> </w:t>
      </w:r>
      <w:r w:rsidR="00440740">
        <w:rPr>
          <w:noProof/>
        </w:rPr>
        <w:t>section</w:t>
      </w:r>
      <w:r w:rsidR="00B40593">
        <w:rPr>
          <w:noProof/>
        </w:rPr>
        <w:t xml:space="preserve"> 2.3 presents in detail the main costs and benefits per stakeholders of the three </w:t>
      </w:r>
      <w:r w:rsidR="00F20D1E">
        <w:rPr>
          <w:noProof/>
        </w:rPr>
        <w:t>o</w:t>
      </w:r>
      <w:r w:rsidR="006D3FF9">
        <w:rPr>
          <w:noProof/>
        </w:rPr>
        <w:t>ption</w:t>
      </w:r>
      <w:r w:rsidR="00B40593">
        <w:rPr>
          <w:noProof/>
        </w:rPr>
        <w:t>s.</w:t>
      </w:r>
    </w:p>
    <w:p w14:paraId="3081E49E" w14:textId="3C89A961" w:rsidR="006444A4" w:rsidRPr="006444A4" w:rsidRDefault="006444A4" w:rsidP="00236E38">
      <w:pPr>
        <w:pStyle w:val="CommentText"/>
        <w:keepNext/>
        <w:keepLines/>
        <w:spacing w:before="120" w:after="120"/>
        <w:rPr>
          <w:rFonts w:eastAsia="Times New Roman"/>
          <w:i/>
          <w:noProof/>
          <w:color w:val="000000" w:themeColor="text1"/>
          <w:u w:val="single"/>
        </w:rPr>
      </w:pPr>
      <w:r w:rsidRPr="00DE264C">
        <w:rPr>
          <w:rFonts w:eastAsia="Times New Roman"/>
          <w:i/>
          <w:iCs/>
          <w:noProof/>
          <w:color w:val="000000" w:themeColor="text1"/>
          <w:sz w:val="24"/>
          <w:szCs w:val="24"/>
          <w:u w:val="single"/>
        </w:rPr>
        <w:t>Table</w:t>
      </w:r>
      <w:r>
        <w:rPr>
          <w:rFonts w:eastAsia="Times New Roman"/>
          <w:i/>
          <w:iCs/>
          <w:noProof/>
          <w:color w:val="000000" w:themeColor="text1"/>
          <w:sz w:val="24"/>
          <w:szCs w:val="24"/>
          <w:u w:val="single"/>
        </w:rPr>
        <w:t xml:space="preserve"> </w:t>
      </w:r>
      <w:r w:rsidR="00E9515E">
        <w:rPr>
          <w:rFonts w:eastAsia="Times New Roman"/>
          <w:i/>
          <w:iCs/>
          <w:noProof/>
          <w:color w:val="000000" w:themeColor="text1"/>
          <w:sz w:val="24"/>
          <w:szCs w:val="24"/>
          <w:u w:val="single"/>
        </w:rPr>
        <w:t>2</w:t>
      </w:r>
      <w:r w:rsidR="00CB62D4">
        <w:rPr>
          <w:rFonts w:eastAsia="Times New Roman"/>
          <w:i/>
          <w:iCs/>
          <w:noProof/>
          <w:color w:val="000000" w:themeColor="text1"/>
          <w:sz w:val="24"/>
          <w:szCs w:val="24"/>
          <w:u w:val="single"/>
        </w:rPr>
        <w:t>8</w:t>
      </w:r>
      <w:r w:rsidRPr="00DE264C">
        <w:rPr>
          <w:rFonts w:eastAsia="Times New Roman"/>
          <w:i/>
          <w:iCs/>
          <w:noProof/>
          <w:color w:val="000000" w:themeColor="text1"/>
          <w:sz w:val="24"/>
          <w:szCs w:val="24"/>
          <w:u w:val="single"/>
        </w:rPr>
        <w:t>:</w:t>
      </w:r>
      <w:r>
        <w:rPr>
          <w:noProof/>
        </w:rPr>
        <w:t xml:space="preserve"> </w:t>
      </w:r>
      <w:r w:rsidR="00AA5B34">
        <w:rPr>
          <w:rFonts w:eastAsia="Times New Roman"/>
          <w:i/>
          <w:iCs/>
          <w:noProof/>
          <w:color w:val="000000" w:themeColor="text1"/>
          <w:sz w:val="24"/>
          <w:szCs w:val="24"/>
          <w:u w:val="single"/>
        </w:rPr>
        <w:t>Summary of costs and benefits for Authorisation options</w:t>
      </w:r>
      <w:r w:rsidRPr="00DE264C">
        <w:rPr>
          <w:rFonts w:eastAsia="Times New Roman"/>
          <w:i/>
          <w:iCs/>
          <w:noProof/>
          <w:color w:val="000000" w:themeColor="text1"/>
          <w:sz w:val="24"/>
          <w:szCs w:val="24"/>
          <w:u w:val="single"/>
        </w:rPr>
        <w:t xml:space="preserve"> </w:t>
      </w:r>
    </w:p>
    <w:tbl>
      <w:tblPr>
        <w:tblStyle w:val="TableGrid"/>
        <w:tblW w:w="99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098"/>
        <w:gridCol w:w="2608"/>
        <w:gridCol w:w="2608"/>
        <w:gridCol w:w="2608"/>
      </w:tblGrid>
      <w:tr w:rsidR="005B2E59" w:rsidRPr="00DE264C" w14:paraId="56814992" w14:textId="77777777" w:rsidTr="572DCBD2">
        <w:trPr>
          <w:trHeight w:val="961"/>
          <w:tblHeader/>
        </w:trPr>
        <w:tc>
          <w:tcPr>
            <w:tcW w:w="2098" w:type="dxa"/>
          </w:tcPr>
          <w:p w14:paraId="7974FA92" w14:textId="77777777" w:rsidR="005B2E59" w:rsidRPr="00DE264C" w:rsidRDefault="005B2E59" w:rsidP="005B2E59">
            <w:pPr>
              <w:spacing w:after="120"/>
              <w:rPr>
                <w:rFonts w:eastAsia="Calibri"/>
                <w:noProof/>
              </w:rPr>
            </w:pPr>
          </w:p>
        </w:tc>
        <w:tc>
          <w:tcPr>
            <w:tcW w:w="2608" w:type="dxa"/>
          </w:tcPr>
          <w:p w14:paraId="17BDBA96" w14:textId="7DA4847D" w:rsidR="005B2E59" w:rsidRPr="00DE264C" w:rsidRDefault="005B2E59" w:rsidP="005B2E59">
            <w:pPr>
              <w:spacing w:after="120"/>
              <w:jc w:val="left"/>
              <w:rPr>
                <w:rFonts w:eastAsia="Calibri"/>
                <w:b/>
                <w:bCs/>
                <w:noProof/>
              </w:rPr>
            </w:pPr>
            <w:r w:rsidRPr="00DE264C">
              <w:rPr>
                <w:b/>
                <w:noProof/>
                <w:sz w:val="20"/>
                <w:szCs w:val="20"/>
              </w:rPr>
              <w:t xml:space="preserve">O1. Partial harmonisation of authorisation </w:t>
            </w:r>
          </w:p>
        </w:tc>
        <w:tc>
          <w:tcPr>
            <w:tcW w:w="2608" w:type="dxa"/>
          </w:tcPr>
          <w:p w14:paraId="64ABD698" w14:textId="0211C5EE" w:rsidR="005B2E59" w:rsidRPr="00DE264C" w:rsidRDefault="005B2E59" w:rsidP="005B2E59">
            <w:pPr>
              <w:spacing w:after="120"/>
              <w:jc w:val="left"/>
              <w:rPr>
                <w:rFonts w:eastAsia="Calibri"/>
                <w:b/>
                <w:bCs/>
                <w:noProof/>
              </w:rPr>
            </w:pPr>
            <w:r w:rsidRPr="00DE264C">
              <w:rPr>
                <w:b/>
                <w:bCs/>
                <w:noProof/>
                <w:sz w:val="20"/>
                <w:szCs w:val="20"/>
              </w:rPr>
              <w:t>O2. ‘Single passport’ for other networks and services than satellite and an EU –level authorisation for satellite spectrum</w:t>
            </w:r>
            <w:r w:rsidRPr="00DE264C">
              <w:rPr>
                <w:b/>
                <w:noProof/>
                <w:sz w:val="20"/>
                <w:szCs w:val="20"/>
              </w:rPr>
              <w:t xml:space="preserve"> </w:t>
            </w:r>
          </w:p>
        </w:tc>
        <w:tc>
          <w:tcPr>
            <w:tcW w:w="2608" w:type="dxa"/>
          </w:tcPr>
          <w:p w14:paraId="2F5477B6" w14:textId="1F5A87BA" w:rsidR="005B2E59" w:rsidRPr="00DE264C" w:rsidRDefault="005B2E59" w:rsidP="005B2E59">
            <w:pPr>
              <w:spacing w:after="120"/>
              <w:jc w:val="left"/>
              <w:rPr>
                <w:rFonts w:eastAsia="Calibri"/>
                <w:b/>
                <w:bCs/>
                <w:noProof/>
              </w:rPr>
            </w:pPr>
            <w:r w:rsidRPr="00DE264C">
              <w:rPr>
                <w:b/>
                <w:noProof/>
                <w:sz w:val="20"/>
                <w:szCs w:val="20"/>
              </w:rPr>
              <w:t xml:space="preserve">O3. Country-of-origin authorisation for cross-border and B2B services </w:t>
            </w:r>
          </w:p>
        </w:tc>
      </w:tr>
      <w:tr w:rsidR="00E36465" w:rsidRPr="00DE264C" w14:paraId="5CC27386" w14:textId="77777777" w:rsidTr="572DCBD2">
        <w:tc>
          <w:tcPr>
            <w:tcW w:w="2098" w:type="dxa"/>
          </w:tcPr>
          <w:p w14:paraId="38F058AE" w14:textId="63BA9125" w:rsidR="00E36465" w:rsidRPr="00DE264C" w:rsidRDefault="00AC7694" w:rsidP="00164278">
            <w:pPr>
              <w:spacing w:after="120"/>
              <w:jc w:val="left"/>
              <w:rPr>
                <w:rFonts w:eastAsia="Calibri"/>
                <w:noProof/>
              </w:rPr>
            </w:pPr>
            <w:r w:rsidRPr="00DE264C">
              <w:rPr>
                <w:b/>
                <w:bCs/>
                <w:noProof/>
                <w:sz w:val="20"/>
                <w:szCs w:val="20"/>
              </w:rPr>
              <w:t>Net value for End users (Citizens/businesses using connectivity</w:t>
            </w:r>
            <w:r w:rsidRPr="00DE264C">
              <w:rPr>
                <w:noProof/>
                <w:sz w:val="20"/>
                <w:szCs w:val="20"/>
              </w:rPr>
              <w:t>)</w:t>
            </w:r>
          </w:p>
        </w:tc>
        <w:tc>
          <w:tcPr>
            <w:tcW w:w="2608" w:type="dxa"/>
          </w:tcPr>
          <w:p w14:paraId="7786E19A" w14:textId="65E96209" w:rsidR="00E36465" w:rsidRPr="00DE264C" w:rsidRDefault="00AC7694" w:rsidP="00164278">
            <w:pPr>
              <w:spacing w:after="120"/>
              <w:jc w:val="left"/>
              <w:rPr>
                <w:rFonts w:eastAsia="Calibri"/>
                <w:noProof/>
              </w:rPr>
            </w:pPr>
            <w:r w:rsidRPr="00DE264C">
              <w:rPr>
                <w:noProof/>
                <w:sz w:val="20"/>
                <w:szCs w:val="20"/>
              </w:rPr>
              <w:t xml:space="preserve">Neutral: to slightly positive </w:t>
            </w:r>
            <w:r w:rsidR="00E04E0A" w:rsidRPr="00DE264C">
              <w:rPr>
                <w:noProof/>
                <w:sz w:val="20"/>
                <w:szCs w:val="20"/>
              </w:rPr>
              <w:t xml:space="preserve">with limited global competitiveness </w:t>
            </w:r>
            <w:r w:rsidRPr="00DE264C">
              <w:rPr>
                <w:noProof/>
                <w:sz w:val="20"/>
                <w:szCs w:val="20"/>
              </w:rPr>
              <w:t xml:space="preserve"> </w:t>
            </w:r>
          </w:p>
        </w:tc>
        <w:tc>
          <w:tcPr>
            <w:tcW w:w="2608" w:type="dxa"/>
          </w:tcPr>
          <w:p w14:paraId="0C89BB59" w14:textId="10134F9E" w:rsidR="00E36465" w:rsidRPr="00DE264C" w:rsidRDefault="00AC7694" w:rsidP="00164278">
            <w:pPr>
              <w:spacing w:after="0"/>
              <w:jc w:val="left"/>
              <w:rPr>
                <w:rFonts w:eastAsia="Calibri"/>
                <w:noProof/>
              </w:rPr>
            </w:pPr>
            <w:r w:rsidRPr="00DE264C">
              <w:rPr>
                <w:noProof/>
                <w:sz w:val="20"/>
                <w:szCs w:val="20"/>
              </w:rPr>
              <w:t xml:space="preserve">+++ Positive – benefits are considerable and the intervention is cost neutral for end users. </w:t>
            </w:r>
            <w:r w:rsidR="000547A4" w:rsidRPr="00DE264C">
              <w:rPr>
                <w:noProof/>
                <w:sz w:val="20"/>
                <w:szCs w:val="20"/>
              </w:rPr>
              <w:t xml:space="preserve">Strong global </w:t>
            </w:r>
            <w:r w:rsidR="00E67EE4" w:rsidRPr="00DE264C">
              <w:rPr>
                <w:noProof/>
                <w:sz w:val="20"/>
                <w:szCs w:val="20"/>
              </w:rPr>
              <w:t xml:space="preserve">competitiveness </w:t>
            </w:r>
          </w:p>
        </w:tc>
        <w:tc>
          <w:tcPr>
            <w:tcW w:w="2608" w:type="dxa"/>
          </w:tcPr>
          <w:p w14:paraId="1AE4F61D" w14:textId="3F44E674" w:rsidR="00E36465" w:rsidRPr="00DE264C" w:rsidRDefault="00AC7694" w:rsidP="00164278">
            <w:pPr>
              <w:spacing w:after="120"/>
              <w:jc w:val="left"/>
              <w:rPr>
                <w:rFonts w:eastAsia="Calibri"/>
                <w:noProof/>
                <w:sz w:val="20"/>
                <w:szCs w:val="20"/>
              </w:rPr>
            </w:pPr>
            <w:r w:rsidRPr="00DE264C">
              <w:rPr>
                <w:noProof/>
                <w:sz w:val="20"/>
                <w:szCs w:val="20"/>
              </w:rPr>
              <w:t>++ Positive</w:t>
            </w:r>
            <w:r w:rsidR="002B08F0" w:rsidRPr="00DE264C">
              <w:rPr>
                <w:noProof/>
                <w:sz w:val="20"/>
                <w:szCs w:val="20"/>
              </w:rPr>
              <w:t xml:space="preserve"> </w:t>
            </w:r>
            <w:r w:rsidR="00EF0A81" w:rsidRPr="00DE264C">
              <w:rPr>
                <w:noProof/>
                <w:sz w:val="20"/>
                <w:szCs w:val="20"/>
              </w:rPr>
              <w:t>with</w:t>
            </w:r>
            <w:r w:rsidR="002B08F0" w:rsidRPr="00DE264C">
              <w:rPr>
                <w:noProof/>
                <w:sz w:val="20"/>
                <w:szCs w:val="20"/>
              </w:rPr>
              <w:t xml:space="preserve"> limited global competitiveness  </w:t>
            </w:r>
          </w:p>
        </w:tc>
      </w:tr>
      <w:tr w:rsidR="00E36465" w:rsidRPr="00DE264C" w14:paraId="3EF77EE6" w14:textId="77777777" w:rsidTr="572DCBD2">
        <w:tc>
          <w:tcPr>
            <w:tcW w:w="2098" w:type="dxa"/>
          </w:tcPr>
          <w:p w14:paraId="2AD6D657" w14:textId="77777777" w:rsidR="00E36465" w:rsidRPr="00DE264C" w:rsidRDefault="00E36465">
            <w:pPr>
              <w:spacing w:after="120"/>
              <w:rPr>
                <w:rFonts w:eastAsia="Calibri"/>
                <w:noProof/>
              </w:rPr>
            </w:pPr>
            <w:r w:rsidRPr="00DE264C">
              <w:rPr>
                <w:b/>
                <w:bCs/>
                <w:noProof/>
                <w:sz w:val="20"/>
              </w:rPr>
              <w:t>Net Value for Operator</w:t>
            </w:r>
          </w:p>
        </w:tc>
        <w:tc>
          <w:tcPr>
            <w:tcW w:w="2608" w:type="dxa"/>
          </w:tcPr>
          <w:p w14:paraId="2C4BDE2E" w14:textId="09913293" w:rsidR="00D32705" w:rsidRPr="00DE264C" w:rsidRDefault="00D32705" w:rsidP="00D32705">
            <w:pPr>
              <w:spacing w:after="0"/>
              <w:rPr>
                <w:noProof/>
                <w:sz w:val="20"/>
                <w:szCs w:val="20"/>
              </w:rPr>
            </w:pPr>
            <w:r w:rsidRPr="00DE264C">
              <w:rPr>
                <w:noProof/>
                <w:sz w:val="20"/>
                <w:szCs w:val="20"/>
              </w:rPr>
              <w:t xml:space="preserve">(0) to + Slightly positive, benefits only marginally outweigh </w:t>
            </w:r>
            <w:r w:rsidR="00365B93" w:rsidRPr="00DE264C">
              <w:rPr>
                <w:noProof/>
                <w:sz w:val="20"/>
                <w:szCs w:val="20"/>
              </w:rPr>
              <w:t>costs. While</w:t>
            </w:r>
            <w:r w:rsidRPr="00DE264C">
              <w:rPr>
                <w:noProof/>
                <w:sz w:val="20"/>
                <w:szCs w:val="20"/>
              </w:rPr>
              <w:t xml:space="preserve"> satellite operators will work on slightly simplified procedures such as a unified notification template and single notification process (benefits), they would have to continue dealing with various national fees and reporting requirements. Costs would remain similar to the baseline scenario, with however the improvement of the centralised selection system in case of scarce resources enabling scale for competitive services</w:t>
            </w:r>
          </w:p>
          <w:p w14:paraId="0EE98859" w14:textId="7597576F" w:rsidR="00E36465" w:rsidRPr="00DE264C" w:rsidRDefault="00D32705">
            <w:pPr>
              <w:spacing w:after="120"/>
              <w:rPr>
                <w:rFonts w:eastAsia="Calibri"/>
                <w:noProof/>
              </w:rPr>
            </w:pPr>
            <w:r w:rsidRPr="00DE264C">
              <w:rPr>
                <w:noProof/>
                <w:sz w:val="20"/>
                <w:szCs w:val="20"/>
              </w:rPr>
              <w:t xml:space="preserve"> </w:t>
            </w:r>
          </w:p>
        </w:tc>
        <w:tc>
          <w:tcPr>
            <w:tcW w:w="2608" w:type="dxa"/>
          </w:tcPr>
          <w:p w14:paraId="7A12D85E" w14:textId="376FF11A" w:rsidR="00E36465" w:rsidRPr="00DE264C" w:rsidRDefault="00D32705">
            <w:pPr>
              <w:spacing w:after="120"/>
              <w:rPr>
                <w:noProof/>
                <w:sz w:val="20"/>
                <w:szCs w:val="20"/>
              </w:rPr>
            </w:pPr>
            <w:r w:rsidRPr="00DE264C">
              <w:rPr>
                <w:noProof/>
                <w:sz w:val="20"/>
                <w:szCs w:val="20"/>
              </w:rPr>
              <w:t>+++Positive: Benefits largely outweigh costs, since minor initial adjustment costs are offset by major long-term savings, faster and simpler market access, shortened “time to market” and better level playing field between satellite operators with more efficient solutions for harmful interferences</w:t>
            </w:r>
          </w:p>
          <w:p w14:paraId="30206F69" w14:textId="1F956D8C" w:rsidR="00E44EB2" w:rsidRPr="00DE264C" w:rsidRDefault="111A5165" w:rsidP="572DCBD2">
            <w:pPr>
              <w:spacing w:after="120"/>
              <w:rPr>
                <w:rFonts w:eastAsia="Calibri"/>
                <w:noProof/>
                <w:color w:val="000000"/>
                <w:sz w:val="20"/>
                <w:szCs w:val="20"/>
                <w:shd w:val="clear" w:color="auto" w:fill="FFFFFF"/>
              </w:rPr>
            </w:pPr>
            <w:r w:rsidRPr="572DCBD2">
              <w:rPr>
                <w:rStyle w:val="normaltextrun"/>
                <w:noProof/>
                <w:color w:val="000000"/>
                <w:sz w:val="20"/>
                <w:szCs w:val="20"/>
                <w:shd w:val="clear" w:color="auto" w:fill="FFFFFF"/>
              </w:rPr>
              <w:t>A</w:t>
            </w:r>
            <w:r w:rsidR="49A3D3F0" w:rsidRPr="572DCBD2">
              <w:rPr>
                <w:rStyle w:val="normaltextrun"/>
                <w:noProof/>
                <w:color w:val="000000"/>
                <w:sz w:val="20"/>
                <w:szCs w:val="20"/>
                <w:shd w:val="clear" w:color="auto" w:fill="FFFFFF"/>
              </w:rPr>
              <w:t xml:space="preserve"> </w:t>
            </w:r>
            <w:r w:rsidRPr="572DCBD2">
              <w:rPr>
                <w:rStyle w:val="normaltextrun"/>
                <w:noProof/>
                <w:color w:val="000000"/>
                <w:sz w:val="20"/>
                <w:szCs w:val="20"/>
                <w:shd w:val="clear" w:color="auto" w:fill="FFFFFF"/>
              </w:rPr>
              <w:t xml:space="preserve">single market for satellite </w:t>
            </w:r>
            <w:r w:rsidR="187E61A7" w:rsidRPr="572DCBD2">
              <w:rPr>
                <w:rStyle w:val="normaltextrun"/>
                <w:noProof/>
                <w:color w:val="000000"/>
                <w:sz w:val="20"/>
                <w:szCs w:val="20"/>
                <w:shd w:val="clear" w:color="auto" w:fill="FFFFFF"/>
              </w:rPr>
              <w:t>would</w:t>
            </w:r>
            <w:r w:rsidRPr="572DCBD2">
              <w:rPr>
                <w:rStyle w:val="normaltextrun"/>
                <w:noProof/>
                <w:color w:val="000000"/>
                <w:sz w:val="20"/>
                <w:szCs w:val="20"/>
                <w:shd w:val="clear" w:color="auto" w:fill="FFFFFF"/>
              </w:rPr>
              <w:t xml:space="preserve"> reduce costs</w:t>
            </w:r>
            <w:r w:rsidR="187E61A7" w:rsidRPr="572DCBD2">
              <w:rPr>
                <w:rStyle w:val="normaltextrun"/>
                <w:noProof/>
                <w:color w:val="000000"/>
                <w:sz w:val="20"/>
                <w:szCs w:val="20"/>
                <w:shd w:val="clear" w:color="auto" w:fill="FFFFFF"/>
              </w:rPr>
              <w:t xml:space="preserve"> of delays</w:t>
            </w:r>
            <w:r w:rsidR="5B7414F6" w:rsidRPr="572DCBD2">
              <w:rPr>
                <w:rStyle w:val="normaltextrun"/>
                <w:noProof/>
                <w:color w:val="000000"/>
                <w:sz w:val="20"/>
                <w:szCs w:val="20"/>
                <w:shd w:val="clear" w:color="auto" w:fill="FFFFFF"/>
              </w:rPr>
              <w:t xml:space="preserve">, </w:t>
            </w:r>
            <w:r w:rsidR="5AC5B4F0" w:rsidRPr="572DCBD2">
              <w:rPr>
                <w:rStyle w:val="normaltextrun"/>
                <w:noProof/>
                <w:color w:val="000000"/>
                <w:sz w:val="20"/>
                <w:szCs w:val="20"/>
                <w:shd w:val="clear" w:color="auto" w:fill="FFFFFF"/>
              </w:rPr>
              <w:t>and avoid revenue losses that for</w:t>
            </w:r>
            <w:r w:rsidR="19541747" w:rsidRPr="572DCBD2">
              <w:rPr>
                <w:rStyle w:val="normaltextrun"/>
                <w:noProof/>
                <w:color w:val="000000"/>
                <w:sz w:val="20"/>
                <w:szCs w:val="20"/>
                <w:shd w:val="clear" w:color="auto" w:fill="FFFFFF"/>
              </w:rPr>
              <w:t xml:space="preserve"> a </w:t>
            </w:r>
            <w:r w:rsidR="0278A8F9" w:rsidRPr="572DCBD2">
              <w:rPr>
                <w:rStyle w:val="normaltextrun"/>
                <w:noProof/>
                <w:color w:val="000000"/>
                <w:sz w:val="20"/>
                <w:szCs w:val="20"/>
                <w:shd w:val="clear" w:color="auto" w:fill="FFFFFF"/>
              </w:rPr>
              <w:t xml:space="preserve">major </w:t>
            </w:r>
            <w:r w:rsidR="19541747" w:rsidRPr="572DCBD2">
              <w:rPr>
                <w:rStyle w:val="normaltextrun"/>
                <w:noProof/>
                <w:color w:val="000000"/>
                <w:sz w:val="20"/>
                <w:szCs w:val="20"/>
                <w:shd w:val="clear" w:color="auto" w:fill="FFFFFF"/>
              </w:rPr>
              <w:t xml:space="preserve">EU-wide constellation </w:t>
            </w:r>
            <w:r w:rsidR="540459C6" w:rsidRPr="572DCBD2">
              <w:rPr>
                <w:rStyle w:val="normaltextrun"/>
                <w:noProof/>
                <w:color w:val="000000"/>
                <w:sz w:val="20"/>
                <w:szCs w:val="20"/>
                <w:shd w:val="clear" w:color="auto" w:fill="FFFFFF"/>
              </w:rPr>
              <w:t>are estimated at</w:t>
            </w:r>
            <w:r w:rsidR="19541747" w:rsidRPr="572DCBD2">
              <w:rPr>
                <w:rStyle w:val="normaltextrun"/>
                <w:noProof/>
                <w:color w:val="000000"/>
                <w:sz w:val="20"/>
                <w:szCs w:val="20"/>
                <w:shd w:val="clear" w:color="auto" w:fill="FFFFFF"/>
              </w:rPr>
              <w:t xml:space="preserve"> </w:t>
            </w:r>
            <w:r w:rsidR="19541747" w:rsidRPr="004F1449">
              <w:rPr>
                <w:rStyle w:val="normaltextrun"/>
                <w:b/>
                <w:noProof/>
                <w:color w:val="000000"/>
                <w:sz w:val="20"/>
                <w:szCs w:val="20"/>
                <w:shd w:val="clear" w:color="auto" w:fill="FFFFFF"/>
              </w:rPr>
              <w:t>EUR 50</w:t>
            </w:r>
            <w:r w:rsidR="008D65FD" w:rsidRPr="001A07D6">
              <w:rPr>
                <w:rStyle w:val="normaltextrun"/>
                <w:b/>
                <w:noProof/>
                <w:color w:val="000000" w:themeColor="text1"/>
                <w:sz w:val="20"/>
                <w:szCs w:val="20"/>
              </w:rPr>
              <w:t xml:space="preserve"> </w:t>
            </w:r>
            <w:r w:rsidR="004F1449" w:rsidRPr="00BE337F">
              <w:rPr>
                <w:rStyle w:val="normaltextrun"/>
                <w:b/>
                <w:bCs/>
                <w:noProof/>
                <w:color w:val="000000" w:themeColor="text1"/>
                <w:sz w:val="20"/>
                <w:szCs w:val="20"/>
              </w:rPr>
              <w:t>M</w:t>
            </w:r>
            <w:r w:rsidR="008D65FD" w:rsidRPr="00BE337F">
              <w:rPr>
                <w:rStyle w:val="normaltextrun"/>
                <w:noProof/>
                <w:color w:val="000000" w:themeColor="text1"/>
                <w:sz w:val="20"/>
                <w:szCs w:val="20"/>
              </w:rPr>
              <w:t xml:space="preserve"> </w:t>
            </w:r>
            <w:r w:rsidR="19541747" w:rsidRPr="572DCBD2">
              <w:rPr>
                <w:rStyle w:val="normaltextrun"/>
                <w:noProof/>
                <w:color w:val="000000"/>
                <w:sz w:val="20"/>
                <w:szCs w:val="20"/>
                <w:shd w:val="clear" w:color="auto" w:fill="FFFFFF"/>
              </w:rPr>
              <w:t>per month</w:t>
            </w:r>
            <w:r w:rsidR="540459C6" w:rsidRPr="572DCBD2">
              <w:rPr>
                <w:rStyle w:val="normaltextrun"/>
                <w:noProof/>
                <w:color w:val="000000"/>
                <w:sz w:val="20"/>
                <w:szCs w:val="20"/>
                <w:shd w:val="clear" w:color="auto" w:fill="FFFFFF"/>
              </w:rPr>
              <w:t xml:space="preserve"> of delay</w:t>
            </w:r>
            <w:r w:rsidR="19541747" w:rsidRPr="572DCBD2">
              <w:rPr>
                <w:rStyle w:val="normaltextrun"/>
                <w:noProof/>
                <w:color w:val="000000"/>
                <w:sz w:val="20"/>
                <w:szCs w:val="20"/>
                <w:shd w:val="clear" w:color="auto" w:fill="FFFFFF"/>
              </w:rPr>
              <w:t xml:space="preserve">. Administrative costs will be indicatively reduced around </w:t>
            </w:r>
            <w:r w:rsidR="19541747" w:rsidRPr="004F1449">
              <w:rPr>
                <w:rStyle w:val="normaltextrun"/>
                <w:b/>
                <w:noProof/>
                <w:color w:val="000000"/>
                <w:sz w:val="20"/>
                <w:szCs w:val="20"/>
                <w:shd w:val="clear" w:color="auto" w:fill="FFFFFF"/>
              </w:rPr>
              <w:t>EUR 3.2</w:t>
            </w:r>
            <w:r w:rsidR="008D65FD" w:rsidRPr="001A07D6">
              <w:rPr>
                <w:rStyle w:val="normaltextrun"/>
                <w:b/>
                <w:noProof/>
                <w:color w:val="000000" w:themeColor="text1"/>
                <w:sz w:val="20"/>
                <w:szCs w:val="20"/>
              </w:rPr>
              <w:t xml:space="preserve"> </w:t>
            </w:r>
            <w:r w:rsidR="004F1449" w:rsidRPr="004F1449">
              <w:rPr>
                <w:rStyle w:val="normaltextrun"/>
                <w:b/>
                <w:bCs/>
                <w:noProof/>
                <w:color w:val="000000" w:themeColor="text1"/>
                <w:sz w:val="20"/>
                <w:szCs w:val="20"/>
              </w:rPr>
              <w:t>M</w:t>
            </w:r>
            <w:r w:rsidR="008D65FD" w:rsidRPr="572DCBD2">
              <w:rPr>
                <w:rStyle w:val="normaltextrun"/>
                <w:noProof/>
                <w:color w:val="000000" w:themeColor="text1"/>
                <w:sz w:val="20"/>
                <w:szCs w:val="20"/>
              </w:rPr>
              <w:t xml:space="preserve"> </w:t>
            </w:r>
            <w:r w:rsidR="19541747" w:rsidRPr="572DCBD2">
              <w:rPr>
                <w:rStyle w:val="normaltextrun"/>
                <w:noProof/>
                <w:color w:val="000000"/>
                <w:sz w:val="20"/>
                <w:szCs w:val="20"/>
                <w:shd w:val="clear" w:color="auto" w:fill="FFFFFF"/>
              </w:rPr>
              <w:t>across all member states.</w:t>
            </w:r>
            <w:r w:rsidR="31C34B29" w:rsidRPr="572DCBD2">
              <w:rPr>
                <w:rStyle w:val="normaltextrun"/>
                <w:noProof/>
                <w:color w:val="000000"/>
                <w:sz w:val="20"/>
                <w:szCs w:val="20"/>
                <w:shd w:val="clear" w:color="auto" w:fill="FFFFFF"/>
              </w:rPr>
              <w:t xml:space="preserve"> </w:t>
            </w:r>
          </w:p>
        </w:tc>
        <w:tc>
          <w:tcPr>
            <w:tcW w:w="2608" w:type="dxa"/>
          </w:tcPr>
          <w:p w14:paraId="00D55122" w14:textId="5F5B766B" w:rsidR="00D32705" w:rsidRPr="00DE264C" w:rsidRDefault="00D32705" w:rsidP="00D32705">
            <w:pPr>
              <w:spacing w:after="0"/>
              <w:rPr>
                <w:noProof/>
                <w:sz w:val="20"/>
                <w:szCs w:val="20"/>
              </w:rPr>
            </w:pPr>
            <w:r w:rsidRPr="00DE264C">
              <w:rPr>
                <w:noProof/>
                <w:sz w:val="20"/>
                <w:szCs w:val="20"/>
              </w:rPr>
              <w:t xml:space="preserve">+: Positive: Benefits largely outweigh costs with risk, similar like under </w:t>
            </w:r>
            <w:r w:rsidR="00F20D1E">
              <w:rPr>
                <w:noProof/>
                <w:sz w:val="20"/>
                <w:szCs w:val="20"/>
              </w:rPr>
              <w:t>o</w:t>
            </w:r>
            <w:r w:rsidRPr="00DE264C">
              <w:rPr>
                <w:noProof/>
                <w:sz w:val="20"/>
                <w:szCs w:val="20"/>
              </w:rPr>
              <w:t>ption 2 but limited to certain players (cross-border and B2B), associated with the risks (incentivise forum shopping practices in areas that cannot be fully harmonised such as national security), which should not be subject to a trade-off.</w:t>
            </w:r>
            <w:r w:rsidR="00DB7BEB">
              <w:rPr>
                <w:noProof/>
                <w:sz w:val="20"/>
              </w:rPr>
              <w:t xml:space="preserve"> </w:t>
            </w:r>
            <w:r w:rsidRPr="00DE264C">
              <w:rPr>
                <w:noProof/>
                <w:sz w:val="20"/>
                <w:szCs w:val="20"/>
              </w:rPr>
              <w:t xml:space="preserve">Slightly minor benefits on immediate reaction to harmful interference than </w:t>
            </w:r>
            <w:r w:rsidR="00F20D1E">
              <w:rPr>
                <w:noProof/>
                <w:sz w:val="20"/>
                <w:szCs w:val="20"/>
              </w:rPr>
              <w:t>o</w:t>
            </w:r>
            <w:r w:rsidR="008D65FD" w:rsidRPr="00DE264C">
              <w:rPr>
                <w:noProof/>
                <w:sz w:val="20"/>
                <w:szCs w:val="20"/>
              </w:rPr>
              <w:t xml:space="preserve">ption </w:t>
            </w:r>
            <w:r w:rsidRPr="00DE264C">
              <w:rPr>
                <w:noProof/>
                <w:sz w:val="20"/>
                <w:szCs w:val="20"/>
              </w:rPr>
              <w:t>2.</w:t>
            </w:r>
          </w:p>
          <w:p w14:paraId="675EE802" w14:textId="12962B1E" w:rsidR="00E36465" w:rsidRPr="00DE264C" w:rsidRDefault="00D32705">
            <w:pPr>
              <w:spacing w:after="120"/>
              <w:rPr>
                <w:rFonts w:eastAsia="Calibri"/>
                <w:noProof/>
              </w:rPr>
            </w:pPr>
            <w:r w:rsidRPr="002A7160">
              <w:rPr>
                <w:noProof/>
                <w:sz w:val="20"/>
              </w:rPr>
              <w:t xml:space="preserve"> </w:t>
            </w:r>
          </w:p>
        </w:tc>
      </w:tr>
    </w:tbl>
    <w:p w14:paraId="594CFA59" w14:textId="4B40B2C6" w:rsidR="00403972" w:rsidRPr="00DE264C" w:rsidRDefault="63A5BEC3" w:rsidP="00DE7CC1">
      <w:pPr>
        <w:spacing w:before="240" w:line="240" w:lineRule="auto"/>
        <w:rPr>
          <w:noProof/>
        </w:rPr>
      </w:pPr>
      <w:r w:rsidRPr="00DE264C">
        <w:rPr>
          <w:noProof/>
        </w:rPr>
        <w:t xml:space="preserve">The table below shows comparison of the options in terms of effectiveness, efficiency, coherence and EU added value. </w:t>
      </w:r>
      <w:r w:rsidR="00403972" w:rsidRPr="00DE264C">
        <w:rPr>
          <w:noProof/>
        </w:rPr>
        <w:t xml:space="preserve">Based on the assessment </w:t>
      </w:r>
      <w:r w:rsidR="00B11497">
        <w:rPr>
          <w:noProof/>
        </w:rPr>
        <w:t>o</w:t>
      </w:r>
      <w:r w:rsidR="006D3FF9">
        <w:rPr>
          <w:noProof/>
        </w:rPr>
        <w:t>ption</w:t>
      </w:r>
      <w:r w:rsidR="00403972" w:rsidRPr="00DE264C">
        <w:rPr>
          <w:noProof/>
        </w:rPr>
        <w:t xml:space="preserve"> 2 is considered the preferred </w:t>
      </w:r>
      <w:r w:rsidR="00B11497">
        <w:rPr>
          <w:noProof/>
        </w:rPr>
        <w:t>o</w:t>
      </w:r>
      <w:r w:rsidR="00403972" w:rsidRPr="00DE264C">
        <w:rPr>
          <w:noProof/>
        </w:rPr>
        <w:t>ption.</w:t>
      </w:r>
    </w:p>
    <w:p w14:paraId="407B3CC3" w14:textId="79B32795" w:rsidR="00152E94" w:rsidRPr="0056078A" w:rsidRDefault="00E10229" w:rsidP="0056078A">
      <w:pPr>
        <w:pStyle w:val="Caption"/>
        <w:keepNext/>
        <w:keepLines/>
        <w:jc w:val="left"/>
        <w:rPr>
          <w:noProof/>
          <w:color w:val="auto"/>
          <w:sz w:val="24"/>
          <w:szCs w:val="24"/>
          <w:u w:val="single"/>
        </w:rPr>
      </w:pPr>
      <w:r w:rsidRPr="0056078A">
        <w:rPr>
          <w:noProof/>
          <w:color w:val="auto"/>
          <w:sz w:val="24"/>
          <w:szCs w:val="24"/>
          <w:u w:val="single"/>
        </w:rPr>
        <w:t>Table</w:t>
      </w:r>
      <w:r w:rsidR="00D238CB" w:rsidRPr="0056078A">
        <w:rPr>
          <w:noProof/>
          <w:color w:val="auto"/>
          <w:sz w:val="24"/>
          <w:szCs w:val="24"/>
          <w:u w:val="single"/>
        </w:rPr>
        <w:t xml:space="preserve"> </w:t>
      </w:r>
      <w:r w:rsidR="00CB62D4">
        <w:rPr>
          <w:noProof/>
          <w:color w:val="auto"/>
          <w:sz w:val="24"/>
          <w:szCs w:val="24"/>
          <w:u w:val="single"/>
        </w:rPr>
        <w:t>29</w:t>
      </w:r>
      <w:r w:rsidR="00D238CB" w:rsidRPr="0056078A">
        <w:rPr>
          <w:noProof/>
          <w:color w:val="auto"/>
          <w:sz w:val="24"/>
          <w:szCs w:val="24"/>
          <w:u w:val="single"/>
        </w:rPr>
        <w:t>:</w:t>
      </w:r>
      <w:r w:rsidRPr="0056078A">
        <w:rPr>
          <w:noProof/>
          <w:color w:val="auto"/>
          <w:sz w:val="24"/>
          <w:szCs w:val="24"/>
          <w:u w:val="single"/>
        </w:rPr>
        <w:t xml:space="preserve"> </w:t>
      </w:r>
      <w:r w:rsidR="00FA521A" w:rsidRPr="0056078A">
        <w:rPr>
          <w:noProof/>
          <w:color w:val="auto"/>
          <w:sz w:val="24"/>
          <w:szCs w:val="24"/>
          <w:u w:val="single"/>
        </w:rPr>
        <w:t>General and satellite authorisations</w:t>
      </w:r>
      <w:r w:rsidRPr="0056078A">
        <w:rPr>
          <w:noProof/>
          <w:color w:val="auto"/>
          <w:sz w:val="24"/>
          <w:szCs w:val="24"/>
          <w:u w:val="single"/>
        </w:rPr>
        <w:t>: Summary assessment of policy options</w:t>
      </w:r>
    </w:p>
    <w:tbl>
      <w:tblPr>
        <w:tblStyle w:val="Table-standardEY"/>
        <w:tblW w:w="7577" w:type="dxa"/>
        <w:jc w:val="center"/>
        <w:tblLook w:val="04A0" w:firstRow="1" w:lastRow="0" w:firstColumn="1" w:lastColumn="0" w:noHBand="0" w:noVBand="1"/>
      </w:tblPr>
      <w:tblGrid>
        <w:gridCol w:w="2199"/>
        <w:gridCol w:w="1520"/>
        <w:gridCol w:w="1286"/>
        <w:gridCol w:w="1286"/>
        <w:gridCol w:w="1286"/>
      </w:tblGrid>
      <w:tr w:rsidR="00012BF8" w:rsidRPr="00DE264C" w14:paraId="092D0F0E" w14:textId="31DE6734" w:rsidTr="0056078A">
        <w:trPr>
          <w:cnfStyle w:val="100000000000" w:firstRow="1" w:lastRow="0" w:firstColumn="0" w:lastColumn="0" w:oddVBand="0" w:evenVBand="0" w:oddHBand="0" w:evenHBand="0" w:firstRowFirstColumn="0" w:firstRowLastColumn="0" w:lastRowFirstColumn="0" w:lastRowLastColumn="0"/>
          <w:tblHeader/>
          <w:jc w:val="center"/>
        </w:trPr>
        <w:tc>
          <w:tcPr>
            <w:tcW w:w="2199" w:type="dxa"/>
            <w:tcBorders>
              <w:top w:val="single" w:sz="4" w:space="0" w:color="auto"/>
              <w:left w:val="single" w:sz="4" w:space="0" w:color="auto"/>
            </w:tcBorders>
          </w:tcPr>
          <w:p w14:paraId="42B5EF76" w14:textId="77777777" w:rsidR="002D5CDB" w:rsidRPr="00C1125B" w:rsidRDefault="002D5CDB" w:rsidP="0056078A">
            <w:pPr>
              <w:pStyle w:val="EYBodytextwithparaspace"/>
              <w:rPr>
                <w:rFonts w:ascii="Times New Roman" w:hAnsi="Times New Roman"/>
                <w:noProof/>
              </w:rPr>
            </w:pPr>
            <w:r w:rsidRPr="00C1125B">
              <w:rPr>
                <w:rFonts w:ascii="Times New Roman" w:hAnsi="Times New Roman"/>
                <w:noProof/>
              </w:rPr>
              <w:t>Criterion</w:t>
            </w:r>
          </w:p>
        </w:tc>
        <w:tc>
          <w:tcPr>
            <w:tcW w:w="1520" w:type="dxa"/>
            <w:tcBorders>
              <w:top w:val="single" w:sz="4" w:space="0" w:color="auto"/>
              <w:bottom w:val="single" w:sz="4" w:space="0" w:color="auto"/>
            </w:tcBorders>
          </w:tcPr>
          <w:p w14:paraId="58B04D9E"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Baseline</w:t>
            </w:r>
          </w:p>
        </w:tc>
        <w:tc>
          <w:tcPr>
            <w:tcW w:w="1286" w:type="dxa"/>
            <w:tcBorders>
              <w:top w:val="single" w:sz="4" w:space="0" w:color="auto"/>
              <w:bottom w:val="single" w:sz="4" w:space="0" w:color="auto"/>
            </w:tcBorders>
          </w:tcPr>
          <w:p w14:paraId="7E9E98BC"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Option 1</w:t>
            </w:r>
          </w:p>
        </w:tc>
        <w:tc>
          <w:tcPr>
            <w:tcW w:w="1286" w:type="dxa"/>
            <w:tcBorders>
              <w:top w:val="single" w:sz="4" w:space="0" w:color="auto"/>
              <w:bottom w:val="single" w:sz="4" w:space="0" w:color="auto"/>
            </w:tcBorders>
          </w:tcPr>
          <w:p w14:paraId="7F688816" w14:textId="155F9E59" w:rsidR="002D5CDB" w:rsidRPr="00C1125B" w:rsidRDefault="002D5CDB">
            <w:pPr>
              <w:pStyle w:val="EYBodytextwithparaspace"/>
              <w:rPr>
                <w:rFonts w:ascii="Times New Roman" w:hAnsi="Times New Roman"/>
                <w:noProof/>
              </w:rPr>
            </w:pPr>
            <w:r w:rsidRPr="00C1125B">
              <w:rPr>
                <w:rFonts w:ascii="Times New Roman" w:hAnsi="Times New Roman"/>
                <w:noProof/>
              </w:rPr>
              <w:t>Option 2</w:t>
            </w:r>
          </w:p>
        </w:tc>
        <w:tc>
          <w:tcPr>
            <w:tcW w:w="1286" w:type="dxa"/>
            <w:tcBorders>
              <w:top w:val="single" w:sz="4" w:space="0" w:color="auto"/>
              <w:bottom w:val="single" w:sz="4" w:space="0" w:color="auto"/>
              <w:right w:val="single" w:sz="4" w:space="0" w:color="auto"/>
            </w:tcBorders>
          </w:tcPr>
          <w:p w14:paraId="6839B6F7"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Option 3</w:t>
            </w:r>
          </w:p>
        </w:tc>
      </w:tr>
      <w:tr w:rsidR="00133C69" w:rsidRPr="00DE264C" w14:paraId="632E7E76" w14:textId="53476645" w:rsidTr="0056078A">
        <w:trPr>
          <w:jc w:val="center"/>
        </w:trPr>
        <w:tc>
          <w:tcPr>
            <w:tcW w:w="2199" w:type="dxa"/>
            <w:tcBorders>
              <w:top w:val="single" w:sz="4" w:space="0" w:color="auto"/>
              <w:left w:val="single" w:sz="4" w:space="0" w:color="auto"/>
            </w:tcBorders>
          </w:tcPr>
          <w:p w14:paraId="20A74017"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Effectiveness</w:t>
            </w:r>
          </w:p>
        </w:tc>
        <w:tc>
          <w:tcPr>
            <w:tcW w:w="1520" w:type="dxa"/>
            <w:tcBorders>
              <w:top w:val="single" w:sz="4" w:space="0" w:color="auto"/>
              <w:bottom w:val="single" w:sz="4" w:space="0" w:color="auto"/>
            </w:tcBorders>
          </w:tcPr>
          <w:p w14:paraId="4B526814"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0</w:t>
            </w:r>
          </w:p>
        </w:tc>
        <w:tc>
          <w:tcPr>
            <w:tcW w:w="1286" w:type="dxa"/>
            <w:tcBorders>
              <w:top w:val="single" w:sz="4" w:space="0" w:color="auto"/>
              <w:bottom w:val="single" w:sz="4" w:space="0" w:color="auto"/>
            </w:tcBorders>
          </w:tcPr>
          <w:p w14:paraId="336FAA2C"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w:t>
            </w:r>
          </w:p>
        </w:tc>
        <w:tc>
          <w:tcPr>
            <w:tcW w:w="1286" w:type="dxa"/>
            <w:tcBorders>
              <w:top w:val="single" w:sz="4" w:space="0" w:color="auto"/>
              <w:left w:val="single" w:sz="4" w:space="0" w:color="auto"/>
              <w:bottom w:val="single" w:sz="4" w:space="0" w:color="auto"/>
              <w:right w:val="single" w:sz="4" w:space="0" w:color="auto"/>
            </w:tcBorders>
            <w:shd w:val="clear" w:color="auto" w:fill="FFC000"/>
          </w:tcPr>
          <w:p w14:paraId="7BD806D7"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w:t>
            </w:r>
          </w:p>
        </w:tc>
        <w:tc>
          <w:tcPr>
            <w:tcW w:w="1286" w:type="dxa"/>
            <w:tcBorders>
              <w:top w:val="single" w:sz="4" w:space="0" w:color="auto"/>
              <w:left w:val="single" w:sz="4" w:space="0" w:color="auto"/>
              <w:bottom w:val="single" w:sz="4" w:space="0" w:color="auto"/>
              <w:right w:val="single" w:sz="4" w:space="0" w:color="auto"/>
            </w:tcBorders>
            <w:shd w:val="clear" w:color="auto" w:fill="FFFFFF" w:themeFill="background1"/>
          </w:tcPr>
          <w:p w14:paraId="298B61AA"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0/+</w:t>
            </w:r>
          </w:p>
        </w:tc>
      </w:tr>
      <w:tr w:rsidR="00133C69" w:rsidRPr="00DE264C" w14:paraId="340FC991" w14:textId="1E4AF55C" w:rsidTr="0056078A">
        <w:trPr>
          <w:jc w:val="center"/>
        </w:trPr>
        <w:tc>
          <w:tcPr>
            <w:tcW w:w="2199" w:type="dxa"/>
            <w:tcBorders>
              <w:top w:val="single" w:sz="4" w:space="0" w:color="auto"/>
              <w:left w:val="single" w:sz="4" w:space="0" w:color="auto"/>
            </w:tcBorders>
          </w:tcPr>
          <w:p w14:paraId="09B66E8E"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Efficiency</w:t>
            </w:r>
          </w:p>
        </w:tc>
        <w:tc>
          <w:tcPr>
            <w:tcW w:w="1520" w:type="dxa"/>
            <w:tcBorders>
              <w:top w:val="single" w:sz="4" w:space="0" w:color="auto"/>
              <w:bottom w:val="single" w:sz="4" w:space="0" w:color="auto"/>
            </w:tcBorders>
          </w:tcPr>
          <w:p w14:paraId="36BBF077"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0</w:t>
            </w:r>
          </w:p>
        </w:tc>
        <w:tc>
          <w:tcPr>
            <w:tcW w:w="1286" w:type="dxa"/>
            <w:tcBorders>
              <w:top w:val="single" w:sz="4" w:space="0" w:color="auto"/>
              <w:bottom w:val="single" w:sz="4" w:space="0" w:color="auto"/>
            </w:tcBorders>
          </w:tcPr>
          <w:p w14:paraId="6304C584"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w:t>
            </w:r>
          </w:p>
        </w:tc>
        <w:tc>
          <w:tcPr>
            <w:tcW w:w="1286" w:type="dxa"/>
            <w:tcBorders>
              <w:top w:val="single" w:sz="4" w:space="0" w:color="auto"/>
              <w:left w:val="single" w:sz="4" w:space="0" w:color="auto"/>
              <w:bottom w:val="single" w:sz="4" w:space="0" w:color="auto"/>
              <w:right w:val="single" w:sz="4" w:space="0" w:color="auto"/>
            </w:tcBorders>
            <w:shd w:val="clear" w:color="auto" w:fill="FFC000"/>
          </w:tcPr>
          <w:p w14:paraId="11FAEF4B"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w:t>
            </w:r>
          </w:p>
        </w:tc>
        <w:tc>
          <w:tcPr>
            <w:tcW w:w="1286" w:type="dxa"/>
            <w:tcBorders>
              <w:top w:val="single" w:sz="4" w:space="0" w:color="auto"/>
              <w:left w:val="single" w:sz="4" w:space="0" w:color="auto"/>
              <w:bottom w:val="single" w:sz="4" w:space="0" w:color="auto"/>
              <w:right w:val="single" w:sz="4" w:space="0" w:color="auto"/>
            </w:tcBorders>
            <w:shd w:val="clear" w:color="auto" w:fill="FFFFFF" w:themeFill="background1"/>
          </w:tcPr>
          <w:p w14:paraId="62BAD1CE"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0/+</w:t>
            </w:r>
          </w:p>
        </w:tc>
      </w:tr>
      <w:tr w:rsidR="00133C69" w:rsidRPr="00DE264C" w14:paraId="712DB5C3" w14:textId="1253F499" w:rsidTr="0056078A">
        <w:trPr>
          <w:jc w:val="center"/>
        </w:trPr>
        <w:tc>
          <w:tcPr>
            <w:tcW w:w="2199" w:type="dxa"/>
            <w:tcBorders>
              <w:top w:val="single" w:sz="4" w:space="0" w:color="auto"/>
              <w:left w:val="single" w:sz="4" w:space="0" w:color="auto"/>
            </w:tcBorders>
          </w:tcPr>
          <w:p w14:paraId="5CB49192"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Coherence</w:t>
            </w:r>
          </w:p>
        </w:tc>
        <w:tc>
          <w:tcPr>
            <w:tcW w:w="1520" w:type="dxa"/>
            <w:tcBorders>
              <w:top w:val="single" w:sz="4" w:space="0" w:color="auto"/>
              <w:bottom w:val="single" w:sz="4" w:space="0" w:color="auto"/>
            </w:tcBorders>
          </w:tcPr>
          <w:p w14:paraId="16417C56"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0</w:t>
            </w:r>
          </w:p>
        </w:tc>
        <w:tc>
          <w:tcPr>
            <w:tcW w:w="1286" w:type="dxa"/>
            <w:tcBorders>
              <w:top w:val="single" w:sz="4" w:space="0" w:color="auto"/>
              <w:bottom w:val="single" w:sz="4" w:space="0" w:color="auto"/>
            </w:tcBorders>
          </w:tcPr>
          <w:p w14:paraId="694BB11A"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w:t>
            </w:r>
          </w:p>
        </w:tc>
        <w:tc>
          <w:tcPr>
            <w:tcW w:w="1286" w:type="dxa"/>
            <w:tcBorders>
              <w:top w:val="single" w:sz="4" w:space="0" w:color="auto"/>
              <w:left w:val="single" w:sz="4" w:space="0" w:color="auto"/>
              <w:bottom w:val="single" w:sz="4" w:space="0" w:color="auto"/>
              <w:right w:val="single" w:sz="4" w:space="0" w:color="auto"/>
            </w:tcBorders>
            <w:shd w:val="clear" w:color="auto" w:fill="FFC000"/>
          </w:tcPr>
          <w:p w14:paraId="0D70925A"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w:t>
            </w:r>
          </w:p>
        </w:tc>
        <w:tc>
          <w:tcPr>
            <w:tcW w:w="1286" w:type="dxa"/>
            <w:tcBorders>
              <w:top w:val="single" w:sz="4" w:space="0" w:color="auto"/>
              <w:left w:val="single" w:sz="4" w:space="0" w:color="auto"/>
              <w:bottom w:val="single" w:sz="4" w:space="0" w:color="auto"/>
              <w:right w:val="single" w:sz="4" w:space="0" w:color="auto"/>
            </w:tcBorders>
            <w:shd w:val="clear" w:color="auto" w:fill="FFFFFF" w:themeFill="background1"/>
          </w:tcPr>
          <w:p w14:paraId="32AB5020"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0/+</w:t>
            </w:r>
          </w:p>
        </w:tc>
      </w:tr>
      <w:tr w:rsidR="00133C69" w:rsidRPr="00DE264C" w14:paraId="1A66A56D" w14:textId="7B110DBD" w:rsidTr="0056078A">
        <w:trPr>
          <w:jc w:val="center"/>
        </w:trPr>
        <w:tc>
          <w:tcPr>
            <w:tcW w:w="2199" w:type="dxa"/>
            <w:tcBorders>
              <w:top w:val="single" w:sz="4" w:space="0" w:color="auto"/>
              <w:left w:val="single" w:sz="4" w:space="0" w:color="auto"/>
            </w:tcBorders>
          </w:tcPr>
          <w:p w14:paraId="01A2E764"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 xml:space="preserve">Relevance </w:t>
            </w:r>
          </w:p>
        </w:tc>
        <w:tc>
          <w:tcPr>
            <w:tcW w:w="1520" w:type="dxa"/>
            <w:tcBorders>
              <w:top w:val="single" w:sz="4" w:space="0" w:color="auto"/>
              <w:bottom w:val="single" w:sz="4" w:space="0" w:color="auto"/>
            </w:tcBorders>
          </w:tcPr>
          <w:p w14:paraId="61938A05"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0</w:t>
            </w:r>
          </w:p>
        </w:tc>
        <w:tc>
          <w:tcPr>
            <w:tcW w:w="1286" w:type="dxa"/>
            <w:tcBorders>
              <w:top w:val="single" w:sz="4" w:space="0" w:color="auto"/>
              <w:bottom w:val="single" w:sz="4" w:space="0" w:color="auto"/>
            </w:tcBorders>
          </w:tcPr>
          <w:p w14:paraId="7422BF7A"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w:t>
            </w:r>
          </w:p>
        </w:tc>
        <w:tc>
          <w:tcPr>
            <w:tcW w:w="1286" w:type="dxa"/>
            <w:tcBorders>
              <w:top w:val="single" w:sz="4" w:space="0" w:color="auto"/>
              <w:left w:val="single" w:sz="4" w:space="0" w:color="auto"/>
              <w:bottom w:val="single" w:sz="4" w:space="0" w:color="auto"/>
              <w:right w:val="single" w:sz="4" w:space="0" w:color="auto"/>
            </w:tcBorders>
            <w:shd w:val="clear" w:color="auto" w:fill="FFC000"/>
          </w:tcPr>
          <w:p w14:paraId="6DBBD090"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w:t>
            </w:r>
          </w:p>
        </w:tc>
        <w:tc>
          <w:tcPr>
            <w:tcW w:w="1286" w:type="dxa"/>
            <w:tcBorders>
              <w:top w:val="single" w:sz="4" w:space="0" w:color="auto"/>
              <w:left w:val="single" w:sz="4" w:space="0" w:color="auto"/>
              <w:bottom w:val="single" w:sz="4" w:space="0" w:color="auto"/>
              <w:right w:val="single" w:sz="4" w:space="0" w:color="auto"/>
            </w:tcBorders>
            <w:shd w:val="clear" w:color="auto" w:fill="FFFFFF" w:themeFill="background1"/>
          </w:tcPr>
          <w:p w14:paraId="593D294F"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0/+</w:t>
            </w:r>
          </w:p>
        </w:tc>
      </w:tr>
      <w:tr w:rsidR="00133C69" w:rsidRPr="00DE264C" w14:paraId="3B1C12CB" w14:textId="1FEE5012" w:rsidTr="0056078A">
        <w:trPr>
          <w:jc w:val="center"/>
        </w:trPr>
        <w:tc>
          <w:tcPr>
            <w:tcW w:w="2199" w:type="dxa"/>
            <w:tcBorders>
              <w:top w:val="single" w:sz="4" w:space="0" w:color="auto"/>
              <w:left w:val="single" w:sz="4" w:space="0" w:color="auto"/>
              <w:bottom w:val="single" w:sz="4" w:space="0" w:color="auto"/>
            </w:tcBorders>
          </w:tcPr>
          <w:p w14:paraId="6EE50563"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EU added value</w:t>
            </w:r>
          </w:p>
        </w:tc>
        <w:tc>
          <w:tcPr>
            <w:tcW w:w="1520" w:type="dxa"/>
            <w:tcBorders>
              <w:top w:val="single" w:sz="4" w:space="0" w:color="auto"/>
              <w:bottom w:val="single" w:sz="4" w:space="0" w:color="auto"/>
            </w:tcBorders>
          </w:tcPr>
          <w:p w14:paraId="630C890B"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0</w:t>
            </w:r>
          </w:p>
        </w:tc>
        <w:tc>
          <w:tcPr>
            <w:tcW w:w="1286" w:type="dxa"/>
            <w:tcBorders>
              <w:top w:val="single" w:sz="4" w:space="0" w:color="auto"/>
              <w:bottom w:val="single" w:sz="4" w:space="0" w:color="auto"/>
            </w:tcBorders>
          </w:tcPr>
          <w:p w14:paraId="72F2625B"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w:t>
            </w:r>
          </w:p>
        </w:tc>
        <w:tc>
          <w:tcPr>
            <w:tcW w:w="1286" w:type="dxa"/>
            <w:tcBorders>
              <w:top w:val="single" w:sz="4" w:space="0" w:color="auto"/>
              <w:left w:val="single" w:sz="4" w:space="0" w:color="auto"/>
              <w:bottom w:val="single" w:sz="4" w:space="0" w:color="auto"/>
              <w:right w:val="single" w:sz="4" w:space="0" w:color="auto"/>
            </w:tcBorders>
            <w:shd w:val="clear" w:color="auto" w:fill="FFC000"/>
          </w:tcPr>
          <w:p w14:paraId="34E78FD2" w14:textId="77777777" w:rsidR="002D5CDB" w:rsidRPr="00C1125B" w:rsidRDefault="002D5CDB">
            <w:pPr>
              <w:pStyle w:val="EYBodytextwithparaspace"/>
              <w:rPr>
                <w:rFonts w:ascii="Times New Roman" w:hAnsi="Times New Roman"/>
                <w:noProof/>
              </w:rPr>
            </w:pPr>
            <w:r w:rsidRPr="00C1125B">
              <w:rPr>
                <w:rFonts w:ascii="Times New Roman" w:hAnsi="Times New Roman"/>
                <w:noProof/>
              </w:rPr>
              <w:t>+++</w:t>
            </w:r>
          </w:p>
        </w:tc>
        <w:tc>
          <w:tcPr>
            <w:tcW w:w="1286" w:type="dxa"/>
            <w:tcBorders>
              <w:top w:val="single" w:sz="4" w:space="0" w:color="auto"/>
              <w:left w:val="single" w:sz="4" w:space="0" w:color="auto"/>
              <w:bottom w:val="single" w:sz="4" w:space="0" w:color="auto"/>
              <w:right w:val="single" w:sz="4" w:space="0" w:color="auto"/>
            </w:tcBorders>
            <w:shd w:val="clear" w:color="auto" w:fill="FFFFFF" w:themeFill="background1"/>
          </w:tcPr>
          <w:p w14:paraId="328533AC" w14:textId="79974942" w:rsidR="002D5CDB" w:rsidRPr="00C1125B" w:rsidRDefault="002D5CDB">
            <w:pPr>
              <w:pStyle w:val="EYBodytextwithparaspace"/>
              <w:rPr>
                <w:rFonts w:ascii="Times New Roman" w:hAnsi="Times New Roman"/>
                <w:noProof/>
              </w:rPr>
            </w:pPr>
            <w:r w:rsidRPr="00C1125B">
              <w:rPr>
                <w:rFonts w:ascii="Times New Roman" w:hAnsi="Times New Roman"/>
                <w:noProof/>
              </w:rPr>
              <w:t>0/+</w:t>
            </w:r>
          </w:p>
        </w:tc>
      </w:tr>
    </w:tbl>
    <w:p w14:paraId="6939E65E" w14:textId="630FD9DD" w:rsidR="002B613B" w:rsidRPr="00DE264C" w:rsidRDefault="005D6F5F" w:rsidP="008E3D9B">
      <w:pPr>
        <w:pStyle w:val="Heading2"/>
        <w:spacing w:before="360"/>
        <w:ind w:left="1202"/>
        <w:rPr>
          <w:noProof/>
        </w:rPr>
      </w:pPr>
      <w:bookmarkStart w:id="391" w:name="_Toc209528658"/>
      <w:bookmarkStart w:id="392" w:name="_Toc209528775"/>
      <w:bookmarkStart w:id="393" w:name="_Toc209535106"/>
      <w:bookmarkStart w:id="394" w:name="_Toc209535203"/>
      <w:bookmarkStart w:id="395" w:name="_Toc209596111"/>
      <w:bookmarkStart w:id="396" w:name="_Toc209528659"/>
      <w:bookmarkStart w:id="397" w:name="_Toc209528776"/>
      <w:bookmarkStart w:id="398" w:name="_Toc209535107"/>
      <w:bookmarkStart w:id="399" w:name="_Toc209535204"/>
      <w:bookmarkStart w:id="400" w:name="_Toc209596112"/>
      <w:bookmarkStart w:id="401" w:name="_Toc209528660"/>
      <w:bookmarkStart w:id="402" w:name="_Toc209528777"/>
      <w:bookmarkStart w:id="403" w:name="_Toc209535108"/>
      <w:bookmarkStart w:id="404" w:name="_Toc209535205"/>
      <w:bookmarkStart w:id="405" w:name="_Toc209596113"/>
      <w:bookmarkStart w:id="406" w:name="_Toc209528661"/>
      <w:bookmarkStart w:id="407" w:name="_Toc209528778"/>
      <w:bookmarkStart w:id="408" w:name="_Toc209535109"/>
      <w:bookmarkStart w:id="409" w:name="_Toc209535206"/>
      <w:bookmarkStart w:id="410" w:name="_Toc209596114"/>
      <w:bookmarkStart w:id="411" w:name="_Toc209528662"/>
      <w:bookmarkStart w:id="412" w:name="_Toc209528779"/>
      <w:bookmarkStart w:id="413" w:name="_Toc209535110"/>
      <w:bookmarkStart w:id="414" w:name="_Toc209535207"/>
      <w:bookmarkStart w:id="415" w:name="_Toc209596115"/>
      <w:bookmarkStart w:id="416" w:name="_Toc214467754"/>
      <w:bookmarkStart w:id="417" w:name="_Toc215083776"/>
      <w:bookmarkStart w:id="418" w:name="_Toc215083806"/>
      <w:bookmarkStart w:id="419" w:name="_Toc219212542"/>
      <w:bookmarkStart w:id="420" w:name="_Toc219718197"/>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sidRPr="00DE264C">
        <w:rPr>
          <w:noProof/>
        </w:rPr>
        <w:t>Governance</w:t>
      </w:r>
      <w:bookmarkEnd w:id="416"/>
      <w:bookmarkEnd w:id="417"/>
      <w:bookmarkEnd w:id="418"/>
      <w:bookmarkEnd w:id="419"/>
      <w:bookmarkEnd w:id="420"/>
    </w:p>
    <w:p w14:paraId="2B832197" w14:textId="77777777" w:rsidR="002077CC" w:rsidRPr="00DE264C" w:rsidRDefault="002077CC" w:rsidP="00DE7CC1">
      <w:pPr>
        <w:spacing w:line="240" w:lineRule="auto"/>
        <w:rPr>
          <w:b/>
          <w:bCs/>
          <w:iCs/>
          <w:noProof/>
          <w:u w:val="single"/>
        </w:rPr>
      </w:pPr>
      <w:r w:rsidRPr="00DE264C">
        <w:rPr>
          <w:b/>
          <w:noProof/>
          <w:u w:val="single"/>
        </w:rPr>
        <w:t>Effectiveness</w:t>
      </w:r>
    </w:p>
    <w:p w14:paraId="75BAB122" w14:textId="7BB0AC79" w:rsidR="000B42BB" w:rsidRPr="00DE264C" w:rsidRDefault="000B42BB" w:rsidP="00DE7CC1">
      <w:pPr>
        <w:spacing w:line="240" w:lineRule="auto"/>
        <w:rPr>
          <w:rFonts w:eastAsia="Calibri"/>
          <w:noProof/>
        </w:rPr>
      </w:pPr>
      <w:r w:rsidRPr="00DE264C">
        <w:rPr>
          <w:rFonts w:eastAsia="Calibri"/>
          <w:noProof/>
        </w:rPr>
        <w:t xml:space="preserve">The effectiveness of the </w:t>
      </w:r>
      <w:r w:rsidR="00466E3E" w:rsidRPr="00DE264C">
        <w:rPr>
          <w:rFonts w:eastAsia="Calibri"/>
          <w:noProof/>
        </w:rPr>
        <w:t>governance</w:t>
      </w:r>
      <w:r w:rsidRPr="00DE264C">
        <w:rPr>
          <w:rFonts w:eastAsia="Calibri"/>
          <w:noProof/>
        </w:rPr>
        <w:t xml:space="preserve"> policy options is assessed with their ability to address the objectives related to regulatory harmonisation and improved decision-making on cross-border tasks and </w:t>
      </w:r>
      <w:r w:rsidR="00DD1D47" w:rsidRPr="00DE264C">
        <w:rPr>
          <w:rFonts w:eastAsia="Calibri"/>
          <w:noProof/>
        </w:rPr>
        <w:t xml:space="preserve">to </w:t>
      </w:r>
      <w:r w:rsidRPr="00DE264C">
        <w:rPr>
          <w:rFonts w:eastAsia="Calibri"/>
          <w:noProof/>
        </w:rPr>
        <w:t>accommodate the tasks resulting from the preferred options in other areas.</w:t>
      </w:r>
    </w:p>
    <w:p w14:paraId="68272D24" w14:textId="5A678766" w:rsidR="00BB4D95" w:rsidRPr="00DE264C" w:rsidRDefault="009F4EA8" w:rsidP="00DE7CC1">
      <w:pPr>
        <w:spacing w:line="240" w:lineRule="auto"/>
        <w:rPr>
          <w:rFonts w:eastAsia="Calibri"/>
          <w:noProof/>
        </w:rPr>
      </w:pPr>
      <w:r w:rsidRPr="00DE264C">
        <w:rPr>
          <w:rFonts w:eastAsia="Calibri"/>
          <w:b/>
          <w:bCs/>
          <w:noProof/>
        </w:rPr>
        <w:t>Baseline option</w:t>
      </w:r>
      <w:r w:rsidR="007B5038" w:rsidRPr="00DE264C">
        <w:rPr>
          <w:rFonts w:eastAsia="Calibri"/>
          <w:noProof/>
        </w:rPr>
        <w:t xml:space="preserve"> </w:t>
      </w:r>
      <w:r w:rsidR="00417A40" w:rsidRPr="00DE264C">
        <w:rPr>
          <w:rFonts w:eastAsia="Calibri"/>
          <w:noProof/>
        </w:rPr>
        <w:t xml:space="preserve">has </w:t>
      </w:r>
      <w:r w:rsidR="00AB409F" w:rsidRPr="00DE264C">
        <w:rPr>
          <w:rFonts w:eastAsia="Calibri"/>
          <w:noProof/>
        </w:rPr>
        <w:t>proven to have insufficient impact on regulatory harmonisation</w:t>
      </w:r>
      <w:r w:rsidR="62F140BD" w:rsidRPr="00DE264C">
        <w:rPr>
          <w:rFonts w:eastAsia="Calibri"/>
          <w:noProof/>
        </w:rPr>
        <w:t xml:space="preserve">, and identified shortcomings in BEREC and RSPG </w:t>
      </w:r>
      <w:r w:rsidR="46E0C608" w:rsidRPr="00DE264C">
        <w:rPr>
          <w:rFonts w:eastAsia="Calibri"/>
          <w:noProof/>
        </w:rPr>
        <w:t xml:space="preserve">work </w:t>
      </w:r>
      <w:r w:rsidR="62F140BD" w:rsidRPr="00DE264C">
        <w:rPr>
          <w:rFonts w:eastAsia="Calibri"/>
          <w:noProof/>
        </w:rPr>
        <w:t>will continue.</w:t>
      </w:r>
      <w:r w:rsidR="00BB4D95" w:rsidRPr="00DE264C">
        <w:rPr>
          <w:rFonts w:eastAsia="Calibri"/>
          <w:noProof/>
        </w:rPr>
        <w:t xml:space="preserve"> RSPG as an expert group served by a small secretariat provided by the Commission</w:t>
      </w:r>
      <w:r w:rsidR="006A5469" w:rsidRPr="00DE264C">
        <w:rPr>
          <w:rFonts w:eastAsia="Calibri"/>
          <w:noProof/>
        </w:rPr>
        <w:t xml:space="preserve">, even </w:t>
      </w:r>
      <w:r w:rsidR="0063354A" w:rsidRPr="00DE264C">
        <w:rPr>
          <w:rFonts w:eastAsia="Calibri"/>
          <w:noProof/>
        </w:rPr>
        <w:t>if</w:t>
      </w:r>
      <w:r w:rsidR="006A5469" w:rsidRPr="00DE264C">
        <w:rPr>
          <w:rFonts w:eastAsia="Calibri"/>
          <w:noProof/>
        </w:rPr>
        <w:t xml:space="preserve"> enforced,</w:t>
      </w:r>
      <w:r w:rsidR="00BB4D95" w:rsidRPr="00DE264C">
        <w:rPr>
          <w:rFonts w:eastAsia="Calibri"/>
          <w:noProof/>
        </w:rPr>
        <w:t xml:space="preserve"> will not be able to take on new tasks</w:t>
      </w:r>
      <w:r w:rsidR="00091036" w:rsidRPr="00DE264C">
        <w:rPr>
          <w:rFonts w:eastAsia="Calibri"/>
          <w:noProof/>
        </w:rPr>
        <w:t>, including</w:t>
      </w:r>
      <w:r w:rsidR="0B5CBAA4" w:rsidRPr="00DE264C">
        <w:rPr>
          <w:rFonts w:eastAsia="Calibri"/>
          <w:noProof/>
        </w:rPr>
        <w:t xml:space="preserve"> in the context of ex ante </w:t>
      </w:r>
      <w:r w:rsidR="00584258">
        <w:rPr>
          <w:rFonts w:eastAsia="Calibri"/>
          <w:noProof/>
        </w:rPr>
        <w:t>single market procedure</w:t>
      </w:r>
      <w:r w:rsidR="0B5CBAA4" w:rsidRPr="00DE264C">
        <w:rPr>
          <w:rFonts w:eastAsia="Calibri"/>
          <w:noProof/>
        </w:rPr>
        <w:t xml:space="preserve"> of authorisation procedures. Without administrative assistance from the </w:t>
      </w:r>
      <w:r w:rsidR="004C1256" w:rsidRPr="00DE264C">
        <w:rPr>
          <w:rFonts w:eastAsia="Calibri"/>
          <w:noProof/>
        </w:rPr>
        <w:t>BEREC</w:t>
      </w:r>
      <w:r w:rsidR="0B5CBAA4" w:rsidRPr="00DE264C">
        <w:rPr>
          <w:rFonts w:eastAsia="Calibri"/>
          <w:noProof/>
        </w:rPr>
        <w:t xml:space="preserve"> </w:t>
      </w:r>
      <w:r w:rsidR="00AA5A73" w:rsidRPr="00DE264C">
        <w:rPr>
          <w:rFonts w:eastAsia="Calibri"/>
          <w:noProof/>
        </w:rPr>
        <w:t>O</w:t>
      </w:r>
      <w:r w:rsidR="0B5CBAA4" w:rsidRPr="00DE264C">
        <w:rPr>
          <w:rFonts w:eastAsia="Calibri"/>
          <w:noProof/>
        </w:rPr>
        <w:t xml:space="preserve">ffice, the Commission will not be able to undertake EU </w:t>
      </w:r>
      <w:r w:rsidR="000E230D" w:rsidRPr="00DE264C">
        <w:rPr>
          <w:rFonts w:eastAsia="Calibri"/>
          <w:noProof/>
        </w:rPr>
        <w:t>s</w:t>
      </w:r>
      <w:r w:rsidR="0B5CBAA4" w:rsidRPr="00DE264C">
        <w:rPr>
          <w:rFonts w:eastAsia="Calibri"/>
          <w:noProof/>
        </w:rPr>
        <w:t>atellite authorisation</w:t>
      </w:r>
      <w:r w:rsidR="00BB4D95" w:rsidRPr="00DE264C">
        <w:rPr>
          <w:rFonts w:eastAsia="Calibri"/>
          <w:noProof/>
        </w:rPr>
        <w:t>.</w:t>
      </w:r>
    </w:p>
    <w:p w14:paraId="162A4C61" w14:textId="49C28456" w:rsidR="000B42BB" w:rsidRPr="00DE264C" w:rsidRDefault="000B42BB" w:rsidP="00DE7CC1">
      <w:pPr>
        <w:spacing w:line="240" w:lineRule="auto"/>
        <w:rPr>
          <w:rFonts w:eastAsia="Calibri"/>
          <w:noProof/>
        </w:rPr>
      </w:pPr>
      <w:r w:rsidRPr="00DE264C">
        <w:rPr>
          <w:rFonts w:eastAsia="Calibri"/>
          <w:b/>
          <w:bCs/>
          <w:noProof/>
        </w:rPr>
        <w:t xml:space="preserve">Option 1 </w:t>
      </w:r>
      <w:r w:rsidRPr="00DE264C">
        <w:rPr>
          <w:rFonts w:eastAsia="Calibri"/>
          <w:noProof/>
        </w:rPr>
        <w:t xml:space="preserve">will contribute to achieving the above-mentioned objectives </w:t>
      </w:r>
      <w:r w:rsidR="006A6EEA" w:rsidRPr="00DE264C">
        <w:rPr>
          <w:rFonts w:eastAsia="Calibri"/>
          <w:noProof/>
        </w:rPr>
        <w:t xml:space="preserve">hence </w:t>
      </w:r>
      <w:r w:rsidR="009D48FC" w:rsidRPr="00DE264C">
        <w:rPr>
          <w:rFonts w:eastAsia="Calibri"/>
          <w:noProof/>
        </w:rPr>
        <w:t xml:space="preserve">increasing effectiveness, </w:t>
      </w:r>
      <w:r w:rsidRPr="00DE264C">
        <w:rPr>
          <w:rFonts w:eastAsia="Calibri"/>
          <w:noProof/>
        </w:rPr>
        <w:t>while preserving the main elements of the current governance setup. BEREC and RSPG will remain separate entities without legal personality</w:t>
      </w:r>
      <w:r w:rsidR="00F74E6E" w:rsidRPr="00DE264C">
        <w:rPr>
          <w:rFonts w:eastAsia="Calibri"/>
          <w:noProof/>
        </w:rPr>
        <w:t xml:space="preserve">. </w:t>
      </w:r>
      <w:r w:rsidRPr="00DE264C">
        <w:rPr>
          <w:rFonts w:eastAsia="Calibri"/>
          <w:noProof/>
        </w:rPr>
        <w:t xml:space="preserve">They will continue their respective tasks of advising EU institutions on spectrum policy (RSPG) and coordinating consistent application of regulation by NRAs (BEREC). The decisions related to cross-border issues will be more centralised and, therefore, more consistent and potentially quicker. The strengthened BEREC Office providing secretariat services to both BEREC and RSPG can exploit synergies, enhancing its effectiveness. Stronger support on </w:t>
      </w:r>
      <w:r w:rsidR="00515C36" w:rsidRPr="00DE264C">
        <w:rPr>
          <w:rFonts w:eastAsia="Calibri"/>
          <w:noProof/>
        </w:rPr>
        <w:t>substance</w:t>
      </w:r>
      <w:r w:rsidRPr="00DE264C">
        <w:rPr>
          <w:rFonts w:eastAsia="Calibri"/>
          <w:noProof/>
        </w:rPr>
        <w:t xml:space="preserve"> by the BEREC Office to BEREC will lessen the burden on NRAs, while ensuring more consistency. Stronger administrative and preparatory support by the BEREC Office to the RSPG</w:t>
      </w:r>
      <w:r w:rsidR="007A2E20" w:rsidRPr="00DE264C">
        <w:rPr>
          <w:rFonts w:eastAsia="Calibri"/>
          <w:noProof/>
        </w:rPr>
        <w:t>, as compared with current situation,</w:t>
      </w:r>
      <w:r w:rsidRPr="00DE264C">
        <w:rPr>
          <w:rFonts w:eastAsia="Calibri"/>
          <w:noProof/>
        </w:rPr>
        <w:t xml:space="preserve"> will increase </w:t>
      </w:r>
      <w:r w:rsidR="003D02E8" w:rsidRPr="00DE264C">
        <w:rPr>
          <w:rFonts w:eastAsia="Calibri"/>
          <w:noProof/>
        </w:rPr>
        <w:t>the latter’s</w:t>
      </w:r>
      <w:r w:rsidRPr="00DE264C">
        <w:rPr>
          <w:rFonts w:eastAsia="Calibri"/>
          <w:noProof/>
        </w:rPr>
        <w:t xml:space="preserve"> ability to undertake new tasks and </w:t>
      </w:r>
      <w:r w:rsidR="007A2E20" w:rsidRPr="00DE264C">
        <w:rPr>
          <w:rFonts w:eastAsia="Calibri"/>
          <w:noProof/>
        </w:rPr>
        <w:t xml:space="preserve">ensure more </w:t>
      </w:r>
      <w:r w:rsidRPr="00DE264C">
        <w:rPr>
          <w:rFonts w:eastAsia="Calibri"/>
          <w:noProof/>
        </w:rPr>
        <w:t>consistency</w:t>
      </w:r>
      <w:r w:rsidR="007A2E20" w:rsidRPr="00DE264C">
        <w:rPr>
          <w:rFonts w:eastAsia="Calibri"/>
          <w:noProof/>
        </w:rPr>
        <w:t>, while lowering the burden on the Commission that would be entrusted with additional decision</w:t>
      </w:r>
      <w:r w:rsidR="00922BAA" w:rsidRPr="00DE264C">
        <w:rPr>
          <w:rFonts w:eastAsia="Calibri"/>
          <w:noProof/>
        </w:rPr>
        <w:t>-</w:t>
      </w:r>
      <w:r w:rsidR="007A2E20" w:rsidRPr="00DE264C">
        <w:rPr>
          <w:rFonts w:eastAsia="Calibri"/>
          <w:noProof/>
        </w:rPr>
        <w:t>making powers</w:t>
      </w:r>
      <w:r w:rsidRPr="00DE264C">
        <w:rPr>
          <w:rFonts w:eastAsia="Calibri"/>
          <w:noProof/>
        </w:rPr>
        <w:t xml:space="preserve">. </w:t>
      </w:r>
      <w:r w:rsidR="7118C3B6" w:rsidRPr="00DE264C">
        <w:rPr>
          <w:rFonts w:eastAsia="Calibri"/>
          <w:noProof/>
        </w:rPr>
        <w:t xml:space="preserve">At the </w:t>
      </w:r>
      <w:r w:rsidR="00467AF6" w:rsidRPr="00DE264C">
        <w:rPr>
          <w:rFonts w:eastAsia="Calibri"/>
          <w:noProof/>
        </w:rPr>
        <w:t>same time</w:t>
      </w:r>
      <w:r w:rsidR="7118C3B6" w:rsidRPr="00DE264C">
        <w:rPr>
          <w:rFonts w:eastAsia="Calibri"/>
          <w:noProof/>
        </w:rPr>
        <w:t xml:space="preserve"> </w:t>
      </w:r>
      <w:r w:rsidR="75BC9FF5" w:rsidRPr="00DE264C">
        <w:rPr>
          <w:rFonts w:eastAsia="Calibri"/>
          <w:noProof/>
        </w:rPr>
        <w:t xml:space="preserve">this option </w:t>
      </w:r>
      <w:r w:rsidR="00467AF6" w:rsidRPr="00DE264C">
        <w:rPr>
          <w:rFonts w:eastAsia="Calibri"/>
          <w:noProof/>
        </w:rPr>
        <w:t>provides</w:t>
      </w:r>
      <w:r w:rsidR="7118C3B6" w:rsidRPr="00DE264C">
        <w:rPr>
          <w:rFonts w:eastAsia="Calibri"/>
          <w:noProof/>
        </w:rPr>
        <w:t xml:space="preserve"> a more stable mechanism for close cooperation</w:t>
      </w:r>
      <w:r w:rsidR="00B43DDB" w:rsidRPr="00DE264C">
        <w:rPr>
          <w:rFonts w:eastAsia="Calibri"/>
          <w:noProof/>
        </w:rPr>
        <w:t>,</w:t>
      </w:r>
      <w:r w:rsidR="7118C3B6" w:rsidRPr="00DE264C">
        <w:rPr>
          <w:rFonts w:eastAsia="Calibri"/>
          <w:noProof/>
        </w:rPr>
        <w:t xml:space="preserve"> in particular on spectrum issues that have regulatory implicati</w:t>
      </w:r>
      <w:r w:rsidR="779EE686" w:rsidRPr="00DE264C">
        <w:rPr>
          <w:rFonts w:eastAsia="Calibri"/>
          <w:noProof/>
        </w:rPr>
        <w:t>on.</w:t>
      </w:r>
    </w:p>
    <w:p w14:paraId="583EBC35" w14:textId="02AABF83" w:rsidR="002077CC" w:rsidRPr="00DE264C" w:rsidRDefault="002077CC" w:rsidP="00DE7CC1">
      <w:pPr>
        <w:spacing w:line="240" w:lineRule="auto"/>
        <w:rPr>
          <w:noProof/>
        </w:rPr>
      </w:pPr>
      <w:r w:rsidRPr="00DE264C">
        <w:rPr>
          <w:noProof/>
        </w:rPr>
        <w:t>In</w:t>
      </w:r>
      <w:r w:rsidRPr="00DE264C">
        <w:rPr>
          <w:b/>
          <w:bCs/>
          <w:noProof/>
        </w:rPr>
        <w:t xml:space="preserve"> </w:t>
      </w:r>
      <w:r w:rsidR="00B11497">
        <w:rPr>
          <w:b/>
          <w:bCs/>
          <w:noProof/>
        </w:rPr>
        <w:t>o</w:t>
      </w:r>
      <w:r w:rsidRPr="00DE264C">
        <w:rPr>
          <w:b/>
          <w:bCs/>
          <w:noProof/>
        </w:rPr>
        <w:t>ption 2</w:t>
      </w:r>
      <w:r w:rsidRPr="00DE264C">
        <w:rPr>
          <w:noProof/>
        </w:rPr>
        <w:t>, the main difference is in merging BEREC with its Office, which will result in integrating and strengthening BEREC bringing further synergies</w:t>
      </w:r>
      <w:r w:rsidR="000B42BB" w:rsidRPr="00DE264C">
        <w:rPr>
          <w:rFonts w:eastAsia="Calibri"/>
          <w:noProof/>
        </w:rPr>
        <w:t xml:space="preserve">, </w:t>
      </w:r>
      <w:r w:rsidRPr="00DE264C">
        <w:rPr>
          <w:noProof/>
        </w:rPr>
        <w:t>increasing its effectiveness</w:t>
      </w:r>
      <w:r w:rsidR="000B42BB" w:rsidRPr="00DE264C">
        <w:rPr>
          <w:rFonts w:eastAsia="Calibri"/>
          <w:noProof/>
        </w:rPr>
        <w:t xml:space="preserve"> and simplifying the legal framework in line with the Common Approach.</w:t>
      </w:r>
      <w:r w:rsidRPr="00DE264C">
        <w:rPr>
          <w:noProof/>
        </w:rPr>
        <w:t xml:space="preserve"> As in </w:t>
      </w:r>
      <w:r w:rsidR="73A9BC99">
        <w:rPr>
          <w:noProof/>
        </w:rPr>
        <w:t>o</w:t>
      </w:r>
      <w:r w:rsidRPr="00DE264C">
        <w:rPr>
          <w:noProof/>
        </w:rPr>
        <w:t xml:space="preserve">ption 1, </w:t>
      </w:r>
      <w:r w:rsidR="000B42BB" w:rsidRPr="00DE264C">
        <w:rPr>
          <w:rFonts w:eastAsia="Calibri"/>
          <w:noProof/>
        </w:rPr>
        <w:t>the increased</w:t>
      </w:r>
      <w:r w:rsidRPr="00DE264C">
        <w:rPr>
          <w:rFonts w:eastAsia="Calibri"/>
          <w:noProof/>
        </w:rPr>
        <w:t xml:space="preserve"> support </w:t>
      </w:r>
      <w:r w:rsidR="000B42BB" w:rsidRPr="00DE264C">
        <w:rPr>
          <w:rFonts w:eastAsia="Calibri"/>
          <w:noProof/>
        </w:rPr>
        <w:t>provided by the BEREC Office to the RSPG (</w:t>
      </w:r>
      <w:r w:rsidR="00711426" w:rsidRPr="00DE264C">
        <w:rPr>
          <w:noProof/>
        </w:rPr>
        <w:t>comparing to the one offered today by the Commission</w:t>
      </w:r>
      <w:r w:rsidR="000B42BB" w:rsidRPr="00DE264C">
        <w:rPr>
          <w:rFonts w:eastAsia="Calibri"/>
          <w:noProof/>
        </w:rPr>
        <w:t>),</w:t>
      </w:r>
      <w:r w:rsidRPr="00DE264C">
        <w:rPr>
          <w:noProof/>
        </w:rPr>
        <w:t xml:space="preserve"> will enhance the effectiveness of the latter</w:t>
      </w:r>
      <w:r w:rsidR="000B42BB" w:rsidRPr="00DE264C">
        <w:rPr>
          <w:rFonts w:eastAsia="Calibri"/>
          <w:noProof/>
        </w:rPr>
        <w:t>.</w:t>
      </w:r>
      <w:r w:rsidRPr="00DE264C">
        <w:rPr>
          <w:noProof/>
        </w:rPr>
        <w:t xml:space="preserve"> Under this option, effectiveness gains may be reduced by BEREC and the RSPG remaining separate entities. </w:t>
      </w:r>
    </w:p>
    <w:p w14:paraId="79C72BB2" w14:textId="6B81C40D" w:rsidR="002077CC" w:rsidRPr="00DE264C" w:rsidRDefault="002077CC" w:rsidP="00DE7CC1">
      <w:pPr>
        <w:spacing w:line="240" w:lineRule="auto"/>
        <w:rPr>
          <w:noProof/>
        </w:rPr>
      </w:pPr>
      <w:r w:rsidRPr="00DE264C">
        <w:rPr>
          <w:b/>
          <w:bCs/>
          <w:noProof/>
        </w:rPr>
        <w:t>Option 3</w:t>
      </w:r>
      <w:r w:rsidRPr="00DE264C">
        <w:rPr>
          <w:b/>
          <w:noProof/>
        </w:rPr>
        <w:t xml:space="preserve"> </w:t>
      </w:r>
      <w:r w:rsidRPr="00DE264C">
        <w:rPr>
          <w:noProof/>
        </w:rPr>
        <w:t xml:space="preserve">with BEREC and RSPG as independent agencies can effectively address regulatory coherence and cross-border challenges (although it may not vary significantly from </w:t>
      </w:r>
      <w:r w:rsidR="1054C240">
        <w:rPr>
          <w:noProof/>
        </w:rPr>
        <w:t>o</w:t>
      </w:r>
      <w:r w:rsidRPr="00DE264C">
        <w:rPr>
          <w:noProof/>
        </w:rPr>
        <w:t xml:space="preserve">ption 2). If there is a clear division of responsibilities between BEREC and the RSPG, the centralised decision-making by these agencies would allow for focused regulatory approaches. However, the effectiveness may be hindered by potential overlaps in </w:t>
      </w:r>
      <w:r w:rsidR="008147FD" w:rsidRPr="00DE264C">
        <w:rPr>
          <w:noProof/>
        </w:rPr>
        <w:t>competence</w:t>
      </w:r>
      <w:r w:rsidRPr="00DE264C">
        <w:rPr>
          <w:noProof/>
        </w:rPr>
        <w:t xml:space="preserve"> and duplications and the need for coordination between the two agencies</w:t>
      </w:r>
      <w:r w:rsidR="00E46ECD">
        <w:rPr>
          <w:noProof/>
        </w:rPr>
        <w:t xml:space="preserve">, which </w:t>
      </w:r>
      <w:r w:rsidR="005818EC">
        <w:rPr>
          <w:noProof/>
        </w:rPr>
        <w:t xml:space="preserve">will </w:t>
      </w:r>
      <w:r w:rsidR="00E46ECD" w:rsidRPr="00E46ECD">
        <w:rPr>
          <w:noProof/>
        </w:rPr>
        <w:t xml:space="preserve">be weakened </w:t>
      </w:r>
      <w:r w:rsidR="005818EC">
        <w:rPr>
          <w:noProof/>
        </w:rPr>
        <w:t>in absence of the BEREC Office link</w:t>
      </w:r>
      <w:r w:rsidR="00E46ECD" w:rsidRPr="00E46ECD">
        <w:rPr>
          <w:noProof/>
        </w:rPr>
        <w:t>.</w:t>
      </w:r>
    </w:p>
    <w:p w14:paraId="2C58C2A5" w14:textId="77777777" w:rsidR="000122A6" w:rsidRPr="00DE264C" w:rsidRDefault="000122A6" w:rsidP="00DE7CC1">
      <w:pPr>
        <w:spacing w:line="240" w:lineRule="auto"/>
        <w:rPr>
          <w:rFonts w:eastAsia="Calibri"/>
          <w:b/>
          <w:bCs/>
          <w:noProof/>
          <w:u w:val="single"/>
        </w:rPr>
      </w:pPr>
      <w:r w:rsidRPr="00DE264C">
        <w:rPr>
          <w:rFonts w:eastAsia="Calibri"/>
          <w:b/>
          <w:noProof/>
          <w:u w:val="single"/>
        </w:rPr>
        <w:t>Efficiency</w:t>
      </w:r>
    </w:p>
    <w:p w14:paraId="6430078F" w14:textId="19A642F8" w:rsidR="000122A6" w:rsidRPr="00DE264C" w:rsidRDefault="006C7033" w:rsidP="00DE7CC1">
      <w:pPr>
        <w:spacing w:line="240" w:lineRule="auto"/>
        <w:rPr>
          <w:rFonts w:eastAsia="Calibri"/>
          <w:noProof/>
        </w:rPr>
      </w:pPr>
      <w:r w:rsidRPr="00DE264C">
        <w:rPr>
          <w:rFonts w:eastAsia="Calibri"/>
          <w:noProof/>
        </w:rPr>
        <w:t xml:space="preserve">Under the </w:t>
      </w:r>
      <w:r w:rsidR="006575D7" w:rsidRPr="00DE264C">
        <w:rPr>
          <w:rFonts w:eastAsia="Calibri"/>
          <w:noProof/>
        </w:rPr>
        <w:t>baseline scenario</w:t>
      </w:r>
      <w:r w:rsidR="00F438C6" w:rsidRPr="00DE264C">
        <w:rPr>
          <w:rFonts w:eastAsia="Calibri"/>
          <w:noProof/>
        </w:rPr>
        <w:t xml:space="preserve"> </w:t>
      </w:r>
      <w:r w:rsidRPr="00DE264C">
        <w:rPr>
          <w:rFonts w:eastAsia="Calibri"/>
          <w:noProof/>
        </w:rPr>
        <w:t xml:space="preserve">the </w:t>
      </w:r>
      <w:r w:rsidR="7452CB4C" w:rsidRPr="00DE264C">
        <w:rPr>
          <w:rFonts w:eastAsia="Calibri"/>
          <w:noProof/>
        </w:rPr>
        <w:t xml:space="preserve">potential for more coordinated </w:t>
      </w:r>
      <w:r w:rsidR="00C92013" w:rsidRPr="00DE264C">
        <w:rPr>
          <w:rFonts w:eastAsia="Calibri"/>
          <w:noProof/>
        </w:rPr>
        <w:t>spectrum</w:t>
      </w:r>
      <w:r w:rsidR="7452CB4C" w:rsidRPr="00DE264C">
        <w:rPr>
          <w:rFonts w:eastAsia="Calibri"/>
          <w:noProof/>
        </w:rPr>
        <w:t xml:space="preserve"> </w:t>
      </w:r>
      <w:r w:rsidR="00543F1D" w:rsidRPr="00DE264C">
        <w:rPr>
          <w:rFonts w:eastAsia="Calibri"/>
          <w:noProof/>
        </w:rPr>
        <w:t xml:space="preserve">management, </w:t>
      </w:r>
      <w:r w:rsidR="001F5A7F" w:rsidRPr="00DE264C">
        <w:rPr>
          <w:rFonts w:eastAsia="Calibri"/>
          <w:noProof/>
        </w:rPr>
        <w:t>including issuing EU satellite authorisation,</w:t>
      </w:r>
      <w:r w:rsidR="00C92013" w:rsidRPr="00DE264C">
        <w:rPr>
          <w:rFonts w:eastAsia="Calibri"/>
          <w:noProof/>
        </w:rPr>
        <w:t xml:space="preserve"> and </w:t>
      </w:r>
      <w:r w:rsidRPr="00DE264C">
        <w:rPr>
          <w:rFonts w:eastAsia="Calibri"/>
          <w:noProof/>
        </w:rPr>
        <w:t xml:space="preserve">links between </w:t>
      </w:r>
      <w:r w:rsidR="00511D2A" w:rsidRPr="00DE264C">
        <w:rPr>
          <w:rFonts w:eastAsia="Calibri"/>
          <w:noProof/>
        </w:rPr>
        <w:t>BEREC and RSPG</w:t>
      </w:r>
      <w:r w:rsidR="00F438C6" w:rsidRPr="00DE264C">
        <w:rPr>
          <w:rFonts w:eastAsia="Calibri"/>
          <w:noProof/>
        </w:rPr>
        <w:t xml:space="preserve"> </w:t>
      </w:r>
      <w:r w:rsidRPr="00DE264C">
        <w:rPr>
          <w:rFonts w:eastAsia="Calibri"/>
          <w:noProof/>
        </w:rPr>
        <w:t>work remain unexplored.</w:t>
      </w:r>
      <w:r w:rsidR="00EF663D" w:rsidRPr="00DE264C">
        <w:rPr>
          <w:rFonts w:eastAsia="Calibri"/>
          <w:noProof/>
        </w:rPr>
        <w:t xml:space="preserve"> </w:t>
      </w:r>
      <w:r w:rsidR="00772BE0" w:rsidRPr="00DE264C">
        <w:rPr>
          <w:rFonts w:eastAsia="Calibri"/>
          <w:noProof/>
        </w:rPr>
        <w:t>I</w:t>
      </w:r>
      <w:r w:rsidR="000122A6" w:rsidRPr="00DE264C">
        <w:rPr>
          <w:rFonts w:eastAsia="Calibri"/>
          <w:noProof/>
        </w:rPr>
        <w:t xml:space="preserve">t is expected </w:t>
      </w:r>
      <w:r w:rsidR="00772BE0" w:rsidRPr="00DE264C">
        <w:rPr>
          <w:rFonts w:eastAsia="Calibri"/>
          <w:noProof/>
        </w:rPr>
        <w:t xml:space="preserve">that efficiency </w:t>
      </w:r>
      <w:r w:rsidR="000122A6" w:rsidRPr="00DE264C">
        <w:rPr>
          <w:rFonts w:eastAsia="Calibri"/>
          <w:noProof/>
        </w:rPr>
        <w:t>increase</w:t>
      </w:r>
      <w:r w:rsidR="00772BE0" w:rsidRPr="00DE264C">
        <w:rPr>
          <w:rFonts w:eastAsia="Calibri"/>
          <w:noProof/>
        </w:rPr>
        <w:t>s by</w:t>
      </w:r>
      <w:r w:rsidR="000122A6" w:rsidRPr="00DE264C">
        <w:rPr>
          <w:rFonts w:eastAsia="Calibri"/>
          <w:noProof/>
        </w:rPr>
        <w:t xml:space="preserve"> empowering the Commission to take decisions on certain cross-border tasks proposed in </w:t>
      </w:r>
      <w:r w:rsidR="000B650F">
        <w:rPr>
          <w:rFonts w:eastAsia="Calibri"/>
          <w:b/>
          <w:bCs/>
          <w:noProof/>
        </w:rPr>
        <w:t>o</w:t>
      </w:r>
      <w:r w:rsidR="000122A6" w:rsidRPr="094C5C62">
        <w:rPr>
          <w:rFonts w:eastAsia="Calibri"/>
          <w:b/>
          <w:bCs/>
          <w:noProof/>
        </w:rPr>
        <w:t>ption</w:t>
      </w:r>
      <w:r w:rsidR="000122A6" w:rsidRPr="00DE264C">
        <w:rPr>
          <w:rFonts w:eastAsia="Calibri"/>
          <w:b/>
          <w:bCs/>
          <w:noProof/>
        </w:rPr>
        <w:t xml:space="preserve"> 1</w:t>
      </w:r>
      <w:r w:rsidR="000122A6" w:rsidRPr="00DE264C">
        <w:rPr>
          <w:rFonts w:eastAsia="Calibri"/>
          <w:noProof/>
        </w:rPr>
        <w:t xml:space="preserve">, especially EU satellite authorisation and in relevant cases </w:t>
      </w:r>
      <w:r w:rsidR="00D0094A" w:rsidRPr="00DE264C">
        <w:rPr>
          <w:rFonts w:eastAsia="Calibri"/>
          <w:noProof/>
        </w:rPr>
        <w:t xml:space="preserve">selection of </w:t>
      </w:r>
      <w:r w:rsidR="00184CBF" w:rsidRPr="00DE264C">
        <w:rPr>
          <w:rFonts w:eastAsia="Calibri"/>
          <w:noProof/>
        </w:rPr>
        <w:t>licensees for</w:t>
      </w:r>
      <w:r w:rsidR="000122A6" w:rsidRPr="00DE264C">
        <w:rPr>
          <w:rFonts w:eastAsia="Calibri"/>
          <w:noProof/>
        </w:rPr>
        <w:t xml:space="preserve"> satellite </w:t>
      </w:r>
      <w:r w:rsidR="00184CBF" w:rsidRPr="00DE264C">
        <w:rPr>
          <w:rFonts w:eastAsia="Calibri"/>
          <w:noProof/>
        </w:rPr>
        <w:t>spectrum</w:t>
      </w:r>
      <w:r w:rsidR="000122A6" w:rsidRPr="00DE264C">
        <w:rPr>
          <w:rFonts w:eastAsia="Calibri"/>
          <w:noProof/>
        </w:rPr>
        <w:t xml:space="preserve">. Furthermore, more centralised decision-making should bring cost savings for NRAs. Relocating the RSPG secretariat from the Commission to the BEREC Office could increase efficiency, if the latter is reinforced in terms of resources. Also, </w:t>
      </w:r>
      <w:r w:rsidR="00D17014" w:rsidRPr="00DE264C">
        <w:rPr>
          <w:rFonts w:eastAsia="Calibri"/>
          <w:noProof/>
        </w:rPr>
        <w:t>more</w:t>
      </w:r>
      <w:r w:rsidR="000122A6" w:rsidRPr="00DE264C">
        <w:rPr>
          <w:rFonts w:eastAsia="Calibri"/>
          <w:noProof/>
        </w:rPr>
        <w:t xml:space="preserve"> involvement of BEREC Office in substantive tasks of BEREC could lead to increased efficiency of BEREC overall and possible reduction of pressure on NRAs and their constrained resources. Similarly, </w:t>
      </w:r>
      <w:r w:rsidR="000B650F">
        <w:rPr>
          <w:rFonts w:eastAsia="Calibri"/>
          <w:b/>
          <w:bCs/>
          <w:noProof/>
        </w:rPr>
        <w:t>o</w:t>
      </w:r>
      <w:r w:rsidR="000122A6" w:rsidRPr="094C5C62">
        <w:rPr>
          <w:rFonts w:eastAsia="Calibri"/>
          <w:b/>
          <w:bCs/>
          <w:noProof/>
        </w:rPr>
        <w:t>ption</w:t>
      </w:r>
      <w:r w:rsidR="000122A6" w:rsidRPr="00DE264C">
        <w:rPr>
          <w:rFonts w:eastAsia="Calibri"/>
          <w:b/>
          <w:bCs/>
          <w:noProof/>
        </w:rPr>
        <w:t xml:space="preserve"> 2</w:t>
      </w:r>
      <w:r w:rsidR="000122A6" w:rsidRPr="00DE264C">
        <w:rPr>
          <w:rFonts w:eastAsia="Calibri"/>
          <w:noProof/>
        </w:rPr>
        <w:t xml:space="preserve"> should bring efficiency gains and some cost savings for NRAs thanks to more centralised decision-making as in </w:t>
      </w:r>
      <w:r w:rsidR="000B650F">
        <w:rPr>
          <w:rFonts w:eastAsia="Calibri"/>
          <w:noProof/>
        </w:rPr>
        <w:t>o</w:t>
      </w:r>
      <w:r w:rsidR="000122A6" w:rsidRPr="00DE264C">
        <w:rPr>
          <w:rFonts w:eastAsia="Calibri"/>
          <w:noProof/>
        </w:rPr>
        <w:t xml:space="preserve">ption 1. There will be transition costs associated with merging BEREC and its Office and granting the new agency the additional role of secretariat </w:t>
      </w:r>
      <w:r w:rsidR="009F4644" w:rsidRPr="00DE264C">
        <w:rPr>
          <w:rFonts w:eastAsia="Calibri"/>
          <w:noProof/>
        </w:rPr>
        <w:t xml:space="preserve">to </w:t>
      </w:r>
      <w:r w:rsidR="000122A6" w:rsidRPr="00DE264C">
        <w:rPr>
          <w:rFonts w:eastAsia="Calibri"/>
          <w:noProof/>
        </w:rPr>
        <w:t xml:space="preserve">the RSPG. However, the potential for reduced duplication and more efficient resource use could lead to overall cost savings in the long run. BEREC can streamline operations, leading to better allocation of resources and reduced administrative burdens compared to the baseline. On spectrum, efficiency gains </w:t>
      </w:r>
      <w:r w:rsidR="00B34EF3" w:rsidRPr="00DE264C">
        <w:rPr>
          <w:rFonts w:eastAsia="Calibri"/>
          <w:noProof/>
        </w:rPr>
        <w:t>match those of</w:t>
      </w:r>
      <w:r w:rsidR="000122A6" w:rsidRPr="00DE264C">
        <w:rPr>
          <w:rFonts w:eastAsia="Calibri"/>
          <w:noProof/>
        </w:rPr>
        <w:t xml:space="preserve"> </w:t>
      </w:r>
      <w:r w:rsidR="004E6C20">
        <w:rPr>
          <w:rFonts w:eastAsia="Calibri"/>
          <w:noProof/>
        </w:rPr>
        <w:t>o</w:t>
      </w:r>
      <w:r w:rsidR="000122A6" w:rsidRPr="00DE264C">
        <w:rPr>
          <w:rFonts w:eastAsia="Calibri"/>
          <w:noProof/>
        </w:rPr>
        <w:t xml:space="preserve">ption 1. In </w:t>
      </w:r>
      <w:r w:rsidR="004E6C20">
        <w:rPr>
          <w:rFonts w:eastAsia="Calibri"/>
          <w:noProof/>
        </w:rPr>
        <w:t>o</w:t>
      </w:r>
      <w:r w:rsidR="000122A6" w:rsidRPr="00DE264C">
        <w:rPr>
          <w:rFonts w:eastAsia="Calibri"/>
          <w:b/>
          <w:bCs/>
          <w:noProof/>
        </w:rPr>
        <w:t>ption 3</w:t>
      </w:r>
      <w:r w:rsidR="000122A6" w:rsidRPr="00DE264C">
        <w:rPr>
          <w:rFonts w:eastAsia="Calibri"/>
          <w:noProof/>
        </w:rPr>
        <w:t xml:space="preserve">, empowering the Commission to monitor certain cross-border tasks may lead to efficiency gains in this area compared to the baseline (but not as much as in </w:t>
      </w:r>
      <w:r w:rsidR="34EB6B1D" w:rsidRPr="3BBBEDB3">
        <w:rPr>
          <w:rFonts w:eastAsia="Calibri"/>
          <w:noProof/>
        </w:rPr>
        <w:t>o</w:t>
      </w:r>
      <w:r w:rsidR="000122A6" w:rsidRPr="00DE264C">
        <w:rPr>
          <w:rFonts w:eastAsia="Calibri"/>
          <w:noProof/>
        </w:rPr>
        <w:t>ptions 1 and 2). However, the creation of two separate independent agencies (BEREC and RSPG) will lead to significantly increased administrative costs for the EU and potential duplication of efforts, as synergies will not be realised. The need for coordination between the two agencies may also create additional costs and slow down decision-making processes.</w:t>
      </w:r>
    </w:p>
    <w:p w14:paraId="2EA73AFF" w14:textId="778514DD" w:rsidR="00A16E6B" w:rsidRDefault="00A16E6B" w:rsidP="00DE7CC1">
      <w:pPr>
        <w:spacing w:line="240" w:lineRule="auto"/>
        <w:rPr>
          <w:rFonts w:eastAsia="Times New Roman"/>
          <w:noProof/>
          <w:color w:val="000000" w:themeColor="text1"/>
        </w:rPr>
      </w:pPr>
      <w:r>
        <w:rPr>
          <w:noProof/>
        </w:rPr>
        <w:t xml:space="preserve">The below table shows </w:t>
      </w:r>
      <w:r w:rsidRPr="00FA2382">
        <w:rPr>
          <w:rFonts w:eastAsia="Times New Roman"/>
          <w:noProof/>
          <w:color w:val="000000" w:themeColor="text1"/>
        </w:rPr>
        <w:t xml:space="preserve">the costs and benefits of </w:t>
      </w:r>
      <w:r w:rsidRPr="00045342">
        <w:rPr>
          <w:rFonts w:eastAsia="Times New Roman"/>
          <w:noProof/>
          <w:color w:val="000000" w:themeColor="text1"/>
        </w:rPr>
        <w:t>all options</w:t>
      </w:r>
      <w:r>
        <w:rPr>
          <w:rFonts w:eastAsia="Times New Roman"/>
          <w:noProof/>
          <w:color w:val="000000" w:themeColor="text1"/>
        </w:rPr>
        <w:t>, explaining</w:t>
      </w:r>
      <w:r w:rsidRPr="00FA2382">
        <w:rPr>
          <w:rFonts w:eastAsia="Times New Roman"/>
          <w:noProof/>
          <w:color w:val="000000" w:themeColor="text1"/>
        </w:rPr>
        <w:t xml:space="preserve"> who</w:t>
      </w:r>
      <w:r w:rsidRPr="00FA1BC2">
        <w:rPr>
          <w:rFonts w:eastAsia="Times New Roman"/>
          <w:noProof/>
          <w:color w:val="000000" w:themeColor="text1"/>
        </w:rPr>
        <w:t xml:space="preserve"> </w:t>
      </w:r>
      <w:r w:rsidRPr="00FA2382">
        <w:rPr>
          <w:rFonts w:eastAsia="Times New Roman"/>
          <w:noProof/>
          <w:color w:val="000000" w:themeColor="text1"/>
        </w:rPr>
        <w:t>will bear the costs</w:t>
      </w:r>
      <w:r>
        <w:rPr>
          <w:rFonts w:eastAsia="Times New Roman"/>
          <w:noProof/>
          <w:color w:val="000000" w:themeColor="text1"/>
        </w:rPr>
        <w:t xml:space="preserve">, </w:t>
      </w:r>
      <w:r w:rsidRPr="00FA2382">
        <w:rPr>
          <w:rFonts w:eastAsia="Times New Roman"/>
          <w:noProof/>
          <w:color w:val="000000" w:themeColor="text1"/>
        </w:rPr>
        <w:t>distinguish</w:t>
      </w:r>
      <w:r w:rsidR="00B94F36">
        <w:rPr>
          <w:rFonts w:eastAsia="Times New Roman"/>
          <w:noProof/>
          <w:color w:val="000000" w:themeColor="text1"/>
        </w:rPr>
        <w:t>ing</w:t>
      </w:r>
      <w:r w:rsidRPr="00FA2382">
        <w:rPr>
          <w:rFonts w:eastAsia="Times New Roman"/>
          <w:noProof/>
          <w:color w:val="000000" w:themeColor="text1"/>
        </w:rPr>
        <w:t xml:space="preserve"> between </w:t>
      </w:r>
      <w:r>
        <w:rPr>
          <w:rFonts w:eastAsia="Times New Roman"/>
          <w:noProof/>
          <w:color w:val="000000" w:themeColor="text1"/>
        </w:rPr>
        <w:t>administration (</w:t>
      </w:r>
      <w:r w:rsidRPr="00FA2382">
        <w:rPr>
          <w:rFonts w:eastAsia="Times New Roman"/>
          <w:noProof/>
          <w:color w:val="000000" w:themeColor="text1"/>
        </w:rPr>
        <w:t>public authorities</w:t>
      </w:r>
      <w:r>
        <w:rPr>
          <w:rFonts w:eastAsia="Times New Roman"/>
          <w:noProof/>
          <w:color w:val="000000" w:themeColor="text1"/>
        </w:rPr>
        <w:t>)</w:t>
      </w:r>
      <w:r w:rsidRPr="00FA2382">
        <w:rPr>
          <w:rFonts w:eastAsia="Times New Roman"/>
          <w:noProof/>
          <w:color w:val="000000" w:themeColor="text1"/>
        </w:rPr>
        <w:t>, businesses</w:t>
      </w:r>
      <w:r>
        <w:rPr>
          <w:rFonts w:eastAsia="Times New Roman"/>
          <w:noProof/>
          <w:color w:val="000000" w:themeColor="text1"/>
        </w:rPr>
        <w:t xml:space="preserve"> (operators)</w:t>
      </w:r>
      <w:r w:rsidRPr="00FA2382">
        <w:rPr>
          <w:rFonts w:eastAsia="Times New Roman"/>
          <w:noProof/>
          <w:color w:val="000000" w:themeColor="text1"/>
        </w:rPr>
        <w:t xml:space="preserve"> and citizens</w:t>
      </w:r>
      <w:r>
        <w:rPr>
          <w:rFonts w:eastAsia="Times New Roman"/>
          <w:noProof/>
          <w:color w:val="000000" w:themeColor="text1"/>
        </w:rPr>
        <w:t>, end-users.</w:t>
      </w:r>
    </w:p>
    <w:tbl>
      <w:tblPr>
        <w:tblStyle w:val="TableGrid"/>
        <w:tblW w:w="9600" w:type="dxa"/>
        <w:tblInd w:w="-118" w:type="dxa"/>
        <w:tblLayout w:type="fixed"/>
        <w:tblLook w:val="04A0" w:firstRow="1" w:lastRow="0" w:firstColumn="1" w:lastColumn="0" w:noHBand="0" w:noVBand="1"/>
      </w:tblPr>
      <w:tblGrid>
        <w:gridCol w:w="1597"/>
        <w:gridCol w:w="2381"/>
        <w:gridCol w:w="2905"/>
        <w:gridCol w:w="2717"/>
      </w:tblGrid>
      <w:tr w:rsidR="00B47F9A" w:rsidRPr="00F87B9B" w14:paraId="23719E56" w14:textId="77777777" w:rsidTr="000939E2">
        <w:trPr>
          <w:trHeight w:val="300"/>
          <w:tblHeader/>
        </w:trPr>
        <w:tc>
          <w:tcPr>
            <w:tcW w:w="1597" w:type="dxa"/>
            <w:tcBorders>
              <w:top w:val="single" w:sz="8" w:space="0" w:color="auto"/>
              <w:left w:val="single" w:sz="8" w:space="0" w:color="auto"/>
              <w:bottom w:val="single" w:sz="8" w:space="0" w:color="auto"/>
              <w:right w:val="single" w:sz="8" w:space="0" w:color="auto"/>
            </w:tcBorders>
            <w:tcMar>
              <w:left w:w="108" w:type="dxa"/>
              <w:right w:w="108" w:type="dxa"/>
            </w:tcMar>
          </w:tcPr>
          <w:p w14:paraId="6DA5297D"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c>
          <w:tcPr>
            <w:tcW w:w="2381" w:type="dxa"/>
            <w:tcBorders>
              <w:top w:val="single" w:sz="8" w:space="0" w:color="auto"/>
              <w:left w:val="single" w:sz="8" w:space="0" w:color="auto"/>
              <w:bottom w:val="single" w:sz="8" w:space="0" w:color="auto"/>
              <w:right w:val="single" w:sz="8" w:space="0" w:color="auto"/>
            </w:tcBorders>
            <w:tcMar>
              <w:left w:w="108" w:type="dxa"/>
              <w:right w:w="108" w:type="dxa"/>
            </w:tcMar>
          </w:tcPr>
          <w:p w14:paraId="74358004" w14:textId="77777777" w:rsidR="00B47F9A" w:rsidRPr="00F87B9B" w:rsidRDefault="00B47F9A" w:rsidP="00B00D2A">
            <w:pPr>
              <w:spacing w:after="0"/>
              <w:rPr>
                <w:b/>
                <w:bCs/>
                <w:noProof/>
                <w:sz w:val="20"/>
                <w:szCs w:val="20"/>
              </w:rPr>
            </w:pPr>
            <w:r w:rsidRPr="00F87B9B">
              <w:rPr>
                <w:rFonts w:eastAsiaTheme="minorHAnsi"/>
                <w:b/>
                <w:bCs/>
                <w:noProof/>
                <w:sz w:val="20"/>
                <w:szCs w:val="20"/>
              </w:rPr>
              <w:t>Governance</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tcPr>
          <w:p w14:paraId="437D10F7"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c>
          <w:tcPr>
            <w:tcW w:w="2717" w:type="dxa"/>
            <w:tcBorders>
              <w:top w:val="single" w:sz="8" w:space="0" w:color="auto"/>
              <w:left w:val="single" w:sz="8" w:space="0" w:color="auto"/>
              <w:bottom w:val="single" w:sz="8" w:space="0" w:color="auto"/>
              <w:right w:val="single" w:sz="8" w:space="0" w:color="auto"/>
            </w:tcBorders>
            <w:tcMar>
              <w:left w:w="108" w:type="dxa"/>
              <w:right w:w="108" w:type="dxa"/>
            </w:tcMar>
          </w:tcPr>
          <w:p w14:paraId="3000A2C8"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r>
      <w:tr w:rsidR="00B47F9A" w:rsidRPr="00F87B9B" w14:paraId="32188543" w14:textId="77777777" w:rsidTr="000939E2">
        <w:trPr>
          <w:trHeight w:val="300"/>
          <w:tblHeader/>
        </w:trPr>
        <w:tc>
          <w:tcPr>
            <w:tcW w:w="1597" w:type="dxa"/>
            <w:tcBorders>
              <w:top w:val="single" w:sz="8" w:space="0" w:color="auto"/>
              <w:left w:val="single" w:sz="8" w:space="0" w:color="auto"/>
              <w:bottom w:val="single" w:sz="8" w:space="0" w:color="auto"/>
              <w:right w:val="single" w:sz="8" w:space="0" w:color="auto"/>
            </w:tcBorders>
            <w:tcMar>
              <w:left w:w="108" w:type="dxa"/>
              <w:right w:w="108" w:type="dxa"/>
            </w:tcMar>
          </w:tcPr>
          <w:p w14:paraId="58D40E40"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c>
          <w:tcPr>
            <w:tcW w:w="2381" w:type="dxa"/>
            <w:tcBorders>
              <w:top w:val="single" w:sz="8" w:space="0" w:color="auto"/>
              <w:left w:val="single" w:sz="8" w:space="0" w:color="auto"/>
              <w:bottom w:val="single" w:sz="8" w:space="0" w:color="auto"/>
              <w:right w:val="single" w:sz="8" w:space="0" w:color="auto"/>
            </w:tcBorders>
            <w:tcMar>
              <w:left w:w="108" w:type="dxa"/>
              <w:right w:w="108" w:type="dxa"/>
            </w:tcMar>
          </w:tcPr>
          <w:p w14:paraId="5A339241" w14:textId="77777777" w:rsidR="00B47F9A" w:rsidRPr="00F87B9B" w:rsidRDefault="00B47F9A" w:rsidP="00B00D2A">
            <w:pPr>
              <w:spacing w:after="0"/>
              <w:rPr>
                <w:b/>
                <w:bCs/>
                <w:noProof/>
                <w:sz w:val="20"/>
                <w:szCs w:val="20"/>
              </w:rPr>
            </w:pPr>
            <w:r w:rsidRPr="00F87B9B">
              <w:rPr>
                <w:rFonts w:eastAsiaTheme="minorHAnsi"/>
                <w:b/>
                <w:bCs/>
                <w:noProof/>
                <w:sz w:val="20"/>
                <w:szCs w:val="20"/>
              </w:rPr>
              <w:t>O1. BEREC&amp;RSPG as two separate bodies supported by the BEREC Office</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tcPr>
          <w:p w14:paraId="077E9BC3" w14:textId="77777777" w:rsidR="00B47F9A" w:rsidRPr="00F87B9B" w:rsidRDefault="00B47F9A" w:rsidP="00B00D2A">
            <w:pPr>
              <w:spacing w:after="0"/>
              <w:rPr>
                <w:noProof/>
                <w:sz w:val="20"/>
                <w:szCs w:val="20"/>
              </w:rPr>
            </w:pPr>
            <w:r w:rsidRPr="00F87B9B">
              <w:rPr>
                <w:rFonts w:eastAsiaTheme="minorHAnsi"/>
                <w:noProof/>
                <w:sz w:val="20"/>
                <w:szCs w:val="20"/>
              </w:rPr>
              <w:t>O2. EU agency (BEREC and BO merged), providing an office to the RSPG</w:t>
            </w:r>
          </w:p>
        </w:tc>
        <w:tc>
          <w:tcPr>
            <w:tcW w:w="2717" w:type="dxa"/>
            <w:tcBorders>
              <w:top w:val="single" w:sz="8" w:space="0" w:color="auto"/>
              <w:left w:val="single" w:sz="8" w:space="0" w:color="auto"/>
              <w:bottom w:val="single" w:sz="8" w:space="0" w:color="auto"/>
              <w:right w:val="single" w:sz="8" w:space="0" w:color="auto"/>
            </w:tcBorders>
            <w:tcMar>
              <w:left w:w="108" w:type="dxa"/>
              <w:right w:w="108" w:type="dxa"/>
            </w:tcMar>
          </w:tcPr>
          <w:p w14:paraId="1F2A3AA5" w14:textId="77777777" w:rsidR="00B47F9A" w:rsidRPr="00F87B9B" w:rsidRDefault="00B47F9A" w:rsidP="00B00D2A">
            <w:pPr>
              <w:spacing w:after="0"/>
              <w:rPr>
                <w:noProof/>
                <w:sz w:val="20"/>
                <w:szCs w:val="20"/>
              </w:rPr>
            </w:pPr>
            <w:r w:rsidRPr="00F87B9B">
              <w:rPr>
                <w:rFonts w:eastAsiaTheme="minorHAnsi"/>
                <w:noProof/>
                <w:sz w:val="20"/>
                <w:szCs w:val="20"/>
              </w:rPr>
              <w:t>O3. Two separate agencies – BEREC + BO and RSPG</w:t>
            </w:r>
          </w:p>
        </w:tc>
      </w:tr>
      <w:tr w:rsidR="00B47F9A" w:rsidRPr="00F87B9B" w14:paraId="7EC562BB" w14:textId="77777777" w:rsidTr="00B00D2A">
        <w:trPr>
          <w:trHeight w:val="300"/>
        </w:trPr>
        <w:tc>
          <w:tcPr>
            <w:tcW w:w="1597" w:type="dxa"/>
            <w:tcBorders>
              <w:top w:val="single" w:sz="8" w:space="0" w:color="auto"/>
              <w:left w:val="single" w:sz="8" w:space="0" w:color="auto"/>
              <w:bottom w:val="single" w:sz="8" w:space="0" w:color="auto"/>
              <w:right w:val="single" w:sz="8" w:space="0" w:color="auto"/>
            </w:tcBorders>
            <w:tcMar>
              <w:left w:w="108" w:type="dxa"/>
              <w:right w:w="108" w:type="dxa"/>
            </w:tcMar>
          </w:tcPr>
          <w:p w14:paraId="71BD3374" w14:textId="77777777" w:rsidR="00B47F9A" w:rsidRPr="00F87B9B" w:rsidRDefault="00B47F9A" w:rsidP="00B00D2A">
            <w:pPr>
              <w:spacing w:after="0"/>
              <w:rPr>
                <w:b/>
                <w:bCs/>
                <w:noProof/>
                <w:sz w:val="20"/>
                <w:szCs w:val="20"/>
              </w:rPr>
            </w:pPr>
            <w:r w:rsidRPr="00F87B9B">
              <w:rPr>
                <w:rFonts w:eastAsiaTheme="minorHAnsi"/>
                <w:b/>
                <w:bCs/>
                <w:noProof/>
                <w:sz w:val="20"/>
                <w:szCs w:val="20"/>
              </w:rPr>
              <w:t>Costs by stakeholders</w:t>
            </w:r>
          </w:p>
        </w:tc>
        <w:tc>
          <w:tcPr>
            <w:tcW w:w="2381" w:type="dxa"/>
            <w:tcBorders>
              <w:top w:val="single" w:sz="8" w:space="0" w:color="auto"/>
              <w:left w:val="single" w:sz="8" w:space="0" w:color="auto"/>
              <w:bottom w:val="single" w:sz="8" w:space="0" w:color="auto"/>
              <w:right w:val="single" w:sz="8" w:space="0" w:color="auto"/>
            </w:tcBorders>
            <w:tcMar>
              <w:left w:w="108" w:type="dxa"/>
              <w:right w:w="108" w:type="dxa"/>
            </w:tcMar>
          </w:tcPr>
          <w:p w14:paraId="026BDA5D"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tcPr>
          <w:p w14:paraId="7EA4C094"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c>
          <w:tcPr>
            <w:tcW w:w="2717" w:type="dxa"/>
            <w:tcBorders>
              <w:top w:val="single" w:sz="8" w:space="0" w:color="auto"/>
              <w:left w:val="single" w:sz="8" w:space="0" w:color="auto"/>
              <w:bottom w:val="single" w:sz="8" w:space="0" w:color="auto"/>
              <w:right w:val="single" w:sz="8" w:space="0" w:color="auto"/>
            </w:tcBorders>
            <w:tcMar>
              <w:left w:w="108" w:type="dxa"/>
              <w:right w:w="108" w:type="dxa"/>
            </w:tcMar>
          </w:tcPr>
          <w:p w14:paraId="117CE0B6"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r>
      <w:tr w:rsidR="00B47F9A" w:rsidRPr="00F87B9B" w14:paraId="1430B313" w14:textId="77777777" w:rsidTr="00B00D2A">
        <w:trPr>
          <w:trHeight w:val="529"/>
        </w:trPr>
        <w:tc>
          <w:tcPr>
            <w:tcW w:w="1597" w:type="dxa"/>
            <w:tcBorders>
              <w:top w:val="single" w:sz="8" w:space="0" w:color="auto"/>
              <w:left w:val="single" w:sz="8" w:space="0" w:color="auto"/>
              <w:bottom w:val="single" w:sz="8" w:space="0" w:color="auto"/>
              <w:right w:val="single" w:sz="8" w:space="0" w:color="auto"/>
            </w:tcBorders>
            <w:tcMar>
              <w:left w:w="108" w:type="dxa"/>
              <w:right w:w="108" w:type="dxa"/>
            </w:tcMar>
          </w:tcPr>
          <w:p w14:paraId="75699E1C" w14:textId="77777777" w:rsidR="00B47F9A" w:rsidRPr="00F87B9B" w:rsidRDefault="00B47F9A" w:rsidP="00B00D2A">
            <w:pPr>
              <w:spacing w:after="0"/>
              <w:rPr>
                <w:noProof/>
                <w:sz w:val="20"/>
                <w:szCs w:val="20"/>
              </w:rPr>
            </w:pPr>
            <w:r w:rsidRPr="00F87B9B">
              <w:rPr>
                <w:rFonts w:eastAsiaTheme="minorHAnsi"/>
                <w:noProof/>
                <w:sz w:val="20"/>
                <w:szCs w:val="20"/>
              </w:rPr>
              <w:t>Citizens</w:t>
            </w:r>
          </w:p>
        </w:tc>
        <w:tc>
          <w:tcPr>
            <w:tcW w:w="2381" w:type="dxa"/>
            <w:tcBorders>
              <w:top w:val="single" w:sz="8" w:space="0" w:color="auto"/>
              <w:left w:val="single" w:sz="8" w:space="0" w:color="auto"/>
              <w:bottom w:val="single" w:sz="8" w:space="0" w:color="auto"/>
              <w:right w:val="single" w:sz="8" w:space="0" w:color="auto"/>
            </w:tcBorders>
            <w:tcMar>
              <w:left w:w="108" w:type="dxa"/>
              <w:right w:w="108" w:type="dxa"/>
            </w:tcMar>
          </w:tcPr>
          <w:p w14:paraId="6FE393E0" w14:textId="77777777" w:rsidR="00B47F9A" w:rsidRPr="00F87B9B" w:rsidRDefault="00B47F9A" w:rsidP="00B00D2A">
            <w:pPr>
              <w:spacing w:after="0"/>
              <w:rPr>
                <w:noProof/>
                <w:sz w:val="20"/>
                <w:szCs w:val="20"/>
              </w:rPr>
            </w:pPr>
            <w:r w:rsidRPr="00F87B9B">
              <w:rPr>
                <w:rFonts w:eastAsiaTheme="minorHAnsi"/>
                <w:noProof/>
                <w:sz w:val="20"/>
                <w:szCs w:val="20"/>
              </w:rPr>
              <w:t xml:space="preserve">0/Neutral </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tcPr>
          <w:p w14:paraId="08ACF463" w14:textId="77777777" w:rsidR="00B47F9A" w:rsidRPr="00F87B9B" w:rsidRDefault="00B47F9A" w:rsidP="00B00D2A">
            <w:pPr>
              <w:spacing w:after="0"/>
              <w:rPr>
                <w:noProof/>
                <w:sz w:val="20"/>
                <w:szCs w:val="20"/>
              </w:rPr>
            </w:pPr>
            <w:r w:rsidRPr="00F87B9B">
              <w:rPr>
                <w:rFonts w:eastAsiaTheme="minorHAnsi"/>
                <w:noProof/>
                <w:sz w:val="20"/>
                <w:szCs w:val="20"/>
              </w:rPr>
              <w:t xml:space="preserve">0/Neutral </w:t>
            </w:r>
          </w:p>
        </w:tc>
        <w:tc>
          <w:tcPr>
            <w:tcW w:w="2717" w:type="dxa"/>
            <w:tcBorders>
              <w:top w:val="single" w:sz="8" w:space="0" w:color="auto"/>
              <w:left w:val="single" w:sz="8" w:space="0" w:color="auto"/>
              <w:bottom w:val="single" w:sz="8" w:space="0" w:color="auto"/>
              <w:right w:val="single" w:sz="8" w:space="0" w:color="auto"/>
            </w:tcBorders>
            <w:tcMar>
              <w:left w:w="108" w:type="dxa"/>
              <w:right w:w="108" w:type="dxa"/>
            </w:tcMar>
          </w:tcPr>
          <w:p w14:paraId="6E281EC1" w14:textId="77777777" w:rsidR="00B47F9A" w:rsidRPr="00F87B9B" w:rsidRDefault="00B47F9A" w:rsidP="00B00D2A">
            <w:pPr>
              <w:spacing w:after="0"/>
              <w:rPr>
                <w:noProof/>
                <w:sz w:val="20"/>
                <w:szCs w:val="20"/>
              </w:rPr>
            </w:pPr>
            <w:r w:rsidRPr="00F87B9B">
              <w:rPr>
                <w:rFonts w:eastAsiaTheme="minorHAnsi"/>
                <w:noProof/>
                <w:sz w:val="20"/>
                <w:szCs w:val="20"/>
              </w:rPr>
              <w:t xml:space="preserve">0/Neutral </w:t>
            </w:r>
          </w:p>
        </w:tc>
      </w:tr>
      <w:tr w:rsidR="00B47F9A" w:rsidRPr="00F87B9B" w14:paraId="0BBED8C0" w14:textId="77777777" w:rsidTr="00B00D2A">
        <w:trPr>
          <w:trHeight w:val="300"/>
        </w:trPr>
        <w:tc>
          <w:tcPr>
            <w:tcW w:w="1597" w:type="dxa"/>
            <w:tcBorders>
              <w:top w:val="single" w:sz="8" w:space="0" w:color="auto"/>
              <w:left w:val="single" w:sz="8" w:space="0" w:color="auto"/>
              <w:bottom w:val="single" w:sz="8" w:space="0" w:color="auto"/>
              <w:right w:val="single" w:sz="8" w:space="0" w:color="auto"/>
            </w:tcBorders>
            <w:tcMar>
              <w:left w:w="108" w:type="dxa"/>
              <w:right w:w="108" w:type="dxa"/>
            </w:tcMar>
          </w:tcPr>
          <w:p w14:paraId="2B52952E" w14:textId="77777777" w:rsidR="00B47F9A" w:rsidRPr="00F87B9B" w:rsidRDefault="00B47F9A" w:rsidP="00B00D2A">
            <w:pPr>
              <w:spacing w:after="0"/>
              <w:rPr>
                <w:noProof/>
                <w:sz w:val="20"/>
                <w:szCs w:val="20"/>
              </w:rPr>
            </w:pPr>
            <w:r w:rsidRPr="00F87B9B">
              <w:rPr>
                <w:rFonts w:eastAsiaTheme="minorHAnsi"/>
                <w:noProof/>
                <w:sz w:val="20"/>
                <w:szCs w:val="20"/>
              </w:rPr>
              <w:t>Operators</w:t>
            </w:r>
          </w:p>
        </w:tc>
        <w:tc>
          <w:tcPr>
            <w:tcW w:w="2381" w:type="dxa"/>
            <w:tcBorders>
              <w:top w:val="single" w:sz="8" w:space="0" w:color="auto"/>
              <w:left w:val="single" w:sz="8" w:space="0" w:color="auto"/>
              <w:bottom w:val="single" w:sz="8" w:space="0" w:color="auto"/>
              <w:right w:val="single" w:sz="8" w:space="0" w:color="auto"/>
            </w:tcBorders>
            <w:tcMar>
              <w:left w:w="108" w:type="dxa"/>
              <w:right w:w="108" w:type="dxa"/>
            </w:tcMar>
          </w:tcPr>
          <w:p w14:paraId="1A31BECF" w14:textId="77777777" w:rsidR="00B47F9A" w:rsidRPr="00F87B9B" w:rsidRDefault="00B47F9A" w:rsidP="00B00D2A">
            <w:pPr>
              <w:spacing w:after="0"/>
              <w:rPr>
                <w:noProof/>
                <w:sz w:val="20"/>
                <w:szCs w:val="20"/>
              </w:rPr>
            </w:pPr>
            <w:r w:rsidRPr="00F87B9B">
              <w:rPr>
                <w:rFonts w:eastAsiaTheme="minorEastAsia"/>
                <w:noProof/>
                <w:sz w:val="20"/>
                <w:szCs w:val="20"/>
              </w:rPr>
              <w:t xml:space="preserve">0/Neutral, unless fees are considered </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tcPr>
          <w:p w14:paraId="0171CE6A" w14:textId="77777777" w:rsidR="00B47F9A" w:rsidRPr="00F87B9B" w:rsidRDefault="00B47F9A" w:rsidP="00B00D2A">
            <w:pPr>
              <w:spacing w:after="0"/>
              <w:rPr>
                <w:noProof/>
                <w:sz w:val="20"/>
                <w:szCs w:val="20"/>
              </w:rPr>
            </w:pPr>
            <w:r w:rsidRPr="00F87B9B">
              <w:rPr>
                <w:rFonts w:eastAsiaTheme="minorEastAsia"/>
                <w:noProof/>
                <w:sz w:val="20"/>
                <w:szCs w:val="20"/>
              </w:rPr>
              <w:t>0/Neutral, unless fees are considered</w:t>
            </w:r>
          </w:p>
        </w:tc>
        <w:tc>
          <w:tcPr>
            <w:tcW w:w="2717" w:type="dxa"/>
            <w:tcBorders>
              <w:top w:val="single" w:sz="8" w:space="0" w:color="auto"/>
              <w:left w:val="single" w:sz="8" w:space="0" w:color="auto"/>
              <w:bottom w:val="single" w:sz="8" w:space="0" w:color="auto"/>
              <w:right w:val="single" w:sz="8" w:space="0" w:color="auto"/>
            </w:tcBorders>
            <w:tcMar>
              <w:left w:w="108" w:type="dxa"/>
              <w:right w:w="108" w:type="dxa"/>
            </w:tcMar>
          </w:tcPr>
          <w:p w14:paraId="0608695D" w14:textId="77777777" w:rsidR="00B47F9A" w:rsidRPr="00F87B9B" w:rsidRDefault="00B47F9A" w:rsidP="00B00D2A">
            <w:pPr>
              <w:spacing w:after="0"/>
              <w:rPr>
                <w:noProof/>
                <w:sz w:val="20"/>
                <w:szCs w:val="20"/>
              </w:rPr>
            </w:pPr>
            <w:r w:rsidRPr="00F87B9B">
              <w:rPr>
                <w:rFonts w:eastAsiaTheme="minorEastAsia"/>
                <w:noProof/>
                <w:sz w:val="20"/>
                <w:szCs w:val="20"/>
              </w:rPr>
              <w:t>0/Neutral, unless fees are considered</w:t>
            </w:r>
          </w:p>
        </w:tc>
      </w:tr>
      <w:tr w:rsidR="00B47F9A" w:rsidRPr="00F87B9B" w14:paraId="7A306275" w14:textId="77777777" w:rsidTr="00B00D2A">
        <w:trPr>
          <w:trHeight w:val="300"/>
        </w:trPr>
        <w:tc>
          <w:tcPr>
            <w:tcW w:w="1597" w:type="dxa"/>
            <w:tcBorders>
              <w:top w:val="single" w:sz="8" w:space="0" w:color="auto"/>
              <w:left w:val="single" w:sz="8" w:space="0" w:color="auto"/>
              <w:bottom w:val="single" w:sz="8" w:space="0" w:color="auto"/>
              <w:right w:val="single" w:sz="8" w:space="0" w:color="auto"/>
            </w:tcBorders>
            <w:tcMar>
              <w:left w:w="108" w:type="dxa"/>
              <w:right w:w="108" w:type="dxa"/>
            </w:tcMar>
          </w:tcPr>
          <w:p w14:paraId="338DF30F" w14:textId="77777777" w:rsidR="00B47F9A" w:rsidRPr="00F87B9B" w:rsidRDefault="00B47F9A" w:rsidP="00B00D2A">
            <w:pPr>
              <w:spacing w:after="0"/>
              <w:rPr>
                <w:noProof/>
                <w:sz w:val="20"/>
                <w:szCs w:val="20"/>
              </w:rPr>
            </w:pPr>
            <w:r w:rsidRPr="00F87B9B">
              <w:rPr>
                <w:rFonts w:eastAsiaTheme="minorHAnsi"/>
                <w:noProof/>
                <w:sz w:val="20"/>
                <w:szCs w:val="20"/>
              </w:rPr>
              <w:t>Administration</w:t>
            </w:r>
          </w:p>
        </w:tc>
        <w:tc>
          <w:tcPr>
            <w:tcW w:w="2381" w:type="dxa"/>
            <w:tcBorders>
              <w:top w:val="single" w:sz="8" w:space="0" w:color="auto"/>
              <w:left w:val="single" w:sz="8" w:space="0" w:color="auto"/>
              <w:bottom w:val="single" w:sz="8" w:space="0" w:color="auto"/>
              <w:right w:val="single" w:sz="8" w:space="0" w:color="auto"/>
            </w:tcBorders>
            <w:tcMar>
              <w:left w:w="108" w:type="dxa"/>
              <w:right w:w="108" w:type="dxa"/>
            </w:tcMar>
          </w:tcPr>
          <w:p w14:paraId="67B24E96" w14:textId="77777777" w:rsidR="00B47F9A" w:rsidRPr="00F87B9B" w:rsidRDefault="00B47F9A" w:rsidP="00B00D2A">
            <w:pPr>
              <w:spacing w:after="0"/>
              <w:rPr>
                <w:noProof/>
                <w:sz w:val="20"/>
                <w:szCs w:val="20"/>
              </w:rPr>
            </w:pPr>
            <w:r w:rsidRPr="00F87B9B">
              <w:rPr>
                <w:rFonts w:eastAsiaTheme="minorHAnsi"/>
                <w:noProof/>
                <w:sz w:val="20"/>
                <w:szCs w:val="20"/>
              </w:rPr>
              <w:t xml:space="preserve">One-off cost for adaptations to new role: for EC limited and for BEREC Office moderate, including in overtaking the provision of RSPG secretariat from EC; </w:t>
            </w:r>
          </w:p>
          <w:p w14:paraId="3E7DAF21"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p w14:paraId="76B44845" w14:textId="06BAC42D" w:rsidR="00B47F9A" w:rsidRPr="00F87B9B" w:rsidRDefault="00B47F9A" w:rsidP="00B00D2A">
            <w:pPr>
              <w:spacing w:after="0"/>
              <w:rPr>
                <w:noProof/>
                <w:sz w:val="20"/>
                <w:szCs w:val="20"/>
              </w:rPr>
            </w:pPr>
            <w:r w:rsidRPr="00F87B9B">
              <w:rPr>
                <w:rFonts w:eastAsiaTheme="minorEastAsia"/>
                <w:noProof/>
                <w:sz w:val="20"/>
                <w:szCs w:val="20"/>
              </w:rPr>
              <w:t xml:space="preserve">Total annual cost increase from </w:t>
            </w:r>
            <w:r>
              <w:rPr>
                <w:rFonts w:eastAsiaTheme="minorEastAsia"/>
                <w:noProof/>
                <w:sz w:val="20"/>
                <w:szCs w:val="20"/>
              </w:rPr>
              <w:t>EUR </w:t>
            </w:r>
            <w:r w:rsidRPr="00F87B9B">
              <w:rPr>
                <w:rFonts w:eastAsiaTheme="minorEastAsia"/>
                <w:noProof/>
                <w:sz w:val="20"/>
                <w:szCs w:val="20"/>
              </w:rPr>
              <w:t xml:space="preserve">8.1. </w:t>
            </w:r>
            <w:r w:rsidR="24931648" w:rsidRPr="43884E5C">
              <w:rPr>
                <w:rFonts w:eastAsiaTheme="minorEastAsia"/>
                <w:noProof/>
                <w:sz w:val="20"/>
                <w:szCs w:val="20"/>
              </w:rPr>
              <w:t>m</w:t>
            </w:r>
            <w:r w:rsidRPr="00F87B9B">
              <w:rPr>
                <w:rFonts w:eastAsiaTheme="minorEastAsia"/>
                <w:noProof/>
                <w:sz w:val="20"/>
                <w:szCs w:val="20"/>
              </w:rPr>
              <w:t xml:space="preserve"> to approx. </w:t>
            </w:r>
            <w:r>
              <w:rPr>
                <w:rFonts w:eastAsiaTheme="minorEastAsia"/>
                <w:noProof/>
                <w:sz w:val="20"/>
                <w:szCs w:val="20"/>
              </w:rPr>
              <w:t>EUR </w:t>
            </w:r>
            <w:r w:rsidRPr="00F87B9B">
              <w:rPr>
                <w:rFonts w:eastAsiaTheme="minorEastAsia"/>
                <w:noProof/>
                <w:sz w:val="20"/>
                <w:szCs w:val="20"/>
              </w:rPr>
              <w:t>11</w:t>
            </w:r>
            <w:r w:rsidR="4998104E" w:rsidRPr="39433090">
              <w:rPr>
                <w:rFonts w:eastAsiaTheme="minorEastAsia"/>
                <w:noProof/>
                <w:sz w:val="20"/>
                <w:szCs w:val="20"/>
              </w:rPr>
              <w:t>.</w:t>
            </w:r>
            <w:r w:rsidRPr="00F87B9B">
              <w:rPr>
                <w:noProof/>
                <w:sz w:val="20"/>
                <w:szCs w:val="20"/>
              </w:rPr>
              <w:t>420</w:t>
            </w:r>
            <w:r w:rsidRPr="00F87B9B">
              <w:rPr>
                <w:rFonts w:eastAsiaTheme="minorEastAsia"/>
                <w:noProof/>
                <w:sz w:val="20"/>
                <w:szCs w:val="20"/>
              </w:rPr>
              <w:t xml:space="preserve"> m (increase </w:t>
            </w:r>
            <w:r>
              <w:rPr>
                <w:rFonts w:eastAsiaTheme="minorEastAsia"/>
                <w:noProof/>
                <w:sz w:val="20"/>
                <w:szCs w:val="20"/>
              </w:rPr>
              <w:t>EUR </w:t>
            </w:r>
            <w:r w:rsidRPr="00F87B9B">
              <w:rPr>
                <w:rFonts w:eastAsiaTheme="minorEastAsia"/>
                <w:noProof/>
                <w:sz w:val="20"/>
                <w:szCs w:val="20"/>
              </w:rPr>
              <w:t>3</w:t>
            </w:r>
            <w:r w:rsidR="38A68F27" w:rsidRPr="39433090">
              <w:rPr>
                <w:rFonts w:eastAsiaTheme="minorEastAsia"/>
                <w:noProof/>
                <w:sz w:val="20"/>
                <w:szCs w:val="20"/>
              </w:rPr>
              <w:t>.</w:t>
            </w:r>
            <w:r w:rsidRPr="00F87B9B">
              <w:rPr>
                <w:noProof/>
                <w:sz w:val="20"/>
                <w:szCs w:val="20"/>
              </w:rPr>
              <w:t>320</w:t>
            </w:r>
            <w:r w:rsidRPr="00F87B9B">
              <w:rPr>
                <w:rFonts w:eastAsiaTheme="minorEastAsia"/>
                <w:noProof/>
                <w:sz w:val="20"/>
                <w:szCs w:val="20"/>
              </w:rPr>
              <w:t xml:space="preserve"> m). </w:t>
            </w:r>
          </w:p>
          <w:p w14:paraId="7D45839C" w14:textId="77777777" w:rsidR="00B47F9A" w:rsidRPr="00F87B9B" w:rsidRDefault="00B47F9A" w:rsidP="00B00D2A">
            <w:pPr>
              <w:spacing w:after="0"/>
              <w:rPr>
                <w:noProof/>
                <w:sz w:val="20"/>
                <w:szCs w:val="20"/>
              </w:rPr>
            </w:pPr>
            <w:r w:rsidRPr="00F87B9B">
              <w:rPr>
                <w:rFonts w:eastAsiaTheme="minorHAnsi"/>
                <w:noProof/>
                <w:sz w:val="20"/>
                <w:szCs w:val="20"/>
              </w:rPr>
              <w:t>In comparison to the baseline it translates to 56% more for staff expenditure and by 20% for other costs i.e. building, equipment + operational costs increase.</w:t>
            </w:r>
          </w:p>
          <w:p w14:paraId="6ED7044F"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p w14:paraId="49CD48A7" w14:textId="77777777" w:rsidR="00B47F9A" w:rsidRPr="00F87B9B" w:rsidRDefault="00B47F9A" w:rsidP="00B00D2A">
            <w:pPr>
              <w:spacing w:after="0"/>
              <w:rPr>
                <w:noProof/>
                <w:sz w:val="20"/>
                <w:szCs w:val="20"/>
              </w:rPr>
            </w:pPr>
            <w:r w:rsidRPr="00F87B9B">
              <w:rPr>
                <w:rFonts w:eastAsiaTheme="minorHAnsi"/>
                <w:noProof/>
                <w:sz w:val="20"/>
                <w:szCs w:val="20"/>
              </w:rPr>
              <w:t>Recurrent:</w:t>
            </w:r>
          </w:p>
          <w:p w14:paraId="6369158B" w14:textId="77777777" w:rsidR="00B47F9A" w:rsidRPr="00F87B9B" w:rsidRDefault="00B47F9A" w:rsidP="00B00D2A">
            <w:pPr>
              <w:spacing w:after="0"/>
              <w:rPr>
                <w:noProof/>
                <w:sz w:val="20"/>
                <w:szCs w:val="20"/>
              </w:rPr>
            </w:pPr>
            <w:r w:rsidRPr="00F87B9B">
              <w:rPr>
                <w:rFonts w:eastAsiaTheme="minorEastAsia"/>
                <w:noProof/>
                <w:sz w:val="20"/>
                <w:szCs w:val="20"/>
              </w:rPr>
              <w:t>Costs structure for BEREC Office:</w:t>
            </w:r>
          </w:p>
          <w:p w14:paraId="516C5E65" w14:textId="77777777" w:rsidR="00B47F9A" w:rsidRPr="00F87B9B" w:rsidRDefault="00B47F9A" w:rsidP="00B47F9A">
            <w:pPr>
              <w:pStyle w:val="ListParagraph"/>
              <w:numPr>
                <w:ilvl w:val="0"/>
                <w:numId w:val="201"/>
              </w:numPr>
              <w:spacing w:after="0"/>
              <w:rPr>
                <w:noProof/>
                <w:sz w:val="20"/>
                <w:szCs w:val="20"/>
              </w:rPr>
            </w:pPr>
            <w:r w:rsidRPr="18C0D501">
              <w:rPr>
                <w:rFonts w:eastAsiaTheme="minorEastAsia"/>
                <w:noProof/>
                <w:sz w:val="20"/>
                <w:szCs w:val="20"/>
              </w:rPr>
              <w:t>EUR</w:t>
            </w:r>
            <w:r>
              <w:rPr>
                <w:rFonts w:eastAsiaTheme="minorEastAsia"/>
                <w:noProof/>
                <w:sz w:val="20"/>
                <w:szCs w:val="20"/>
              </w:rPr>
              <w:t> </w:t>
            </w:r>
            <w:r w:rsidRPr="18C0D501">
              <w:rPr>
                <w:rFonts w:eastAsiaTheme="minorEastAsia"/>
                <w:noProof/>
                <w:sz w:val="20"/>
                <w:szCs w:val="20"/>
              </w:rPr>
              <w:t>7.8 m - increase of staff expenditure,</w:t>
            </w:r>
          </w:p>
          <w:p w14:paraId="456E2DEB" w14:textId="77777777" w:rsidR="00B47F9A" w:rsidRPr="00F87B9B" w:rsidRDefault="00B47F9A" w:rsidP="00B47F9A">
            <w:pPr>
              <w:pStyle w:val="ListParagraph"/>
              <w:numPr>
                <w:ilvl w:val="0"/>
                <w:numId w:val="201"/>
              </w:numPr>
              <w:spacing w:after="0"/>
              <w:rPr>
                <w:noProof/>
                <w:sz w:val="20"/>
                <w:szCs w:val="20"/>
              </w:rPr>
            </w:pPr>
            <w:r w:rsidRPr="18C0D501">
              <w:rPr>
                <w:rFonts w:eastAsiaTheme="minorEastAsia"/>
                <w:noProof/>
                <w:sz w:val="20"/>
                <w:szCs w:val="20"/>
              </w:rPr>
              <w:t>EUR</w:t>
            </w:r>
            <w:r>
              <w:rPr>
                <w:rFonts w:eastAsiaTheme="minorEastAsia"/>
                <w:noProof/>
                <w:sz w:val="20"/>
                <w:szCs w:val="20"/>
              </w:rPr>
              <w:t> </w:t>
            </w:r>
            <w:r w:rsidRPr="18C0D501">
              <w:rPr>
                <w:rFonts w:eastAsiaTheme="minorEastAsia"/>
                <w:noProof/>
                <w:sz w:val="20"/>
                <w:szCs w:val="20"/>
              </w:rPr>
              <w:t>2.089 m - increase of other costs,</w:t>
            </w:r>
          </w:p>
          <w:p w14:paraId="2EE4796C" w14:textId="77777777" w:rsidR="00B47F9A" w:rsidRPr="00F87B9B" w:rsidRDefault="00B47F9A" w:rsidP="00B47F9A">
            <w:pPr>
              <w:pStyle w:val="ListParagraph"/>
              <w:numPr>
                <w:ilvl w:val="0"/>
                <w:numId w:val="201"/>
              </w:numPr>
              <w:spacing w:after="0"/>
              <w:rPr>
                <w:noProof/>
                <w:sz w:val="20"/>
                <w:szCs w:val="20"/>
              </w:rPr>
            </w:pPr>
            <w:r w:rsidRPr="18C0D501">
              <w:rPr>
                <w:rFonts w:eastAsiaTheme="minorEastAsia"/>
                <w:noProof/>
                <w:sz w:val="20"/>
                <w:szCs w:val="20"/>
              </w:rPr>
              <w:t>EUR</w:t>
            </w:r>
            <w:r>
              <w:rPr>
                <w:rFonts w:eastAsiaTheme="minorEastAsia"/>
                <w:noProof/>
                <w:sz w:val="20"/>
                <w:szCs w:val="20"/>
              </w:rPr>
              <w:t> </w:t>
            </w:r>
            <w:r w:rsidRPr="18C0D501">
              <w:rPr>
                <w:rFonts w:eastAsiaTheme="minorEastAsia"/>
                <w:noProof/>
                <w:sz w:val="20"/>
                <w:szCs w:val="20"/>
              </w:rPr>
              <w:t>1.589 m - increase of operational costs,</w:t>
            </w:r>
          </w:p>
          <w:p w14:paraId="0E12F10A" w14:textId="77777777" w:rsidR="00B47F9A" w:rsidRPr="00F87B9B" w:rsidRDefault="00B47F9A" w:rsidP="00B47F9A">
            <w:pPr>
              <w:pStyle w:val="ListParagraph"/>
              <w:numPr>
                <w:ilvl w:val="0"/>
                <w:numId w:val="201"/>
              </w:numPr>
              <w:spacing w:after="0"/>
              <w:rPr>
                <w:noProof/>
                <w:sz w:val="20"/>
                <w:szCs w:val="20"/>
              </w:rPr>
            </w:pPr>
            <w:r w:rsidRPr="18C0D501">
              <w:rPr>
                <w:rFonts w:eastAsiaTheme="minorEastAsia"/>
                <w:noProof/>
                <w:sz w:val="20"/>
                <w:szCs w:val="20"/>
              </w:rPr>
              <w:t>Additional costs due to increase in the BEREC and RSPG working groups’ activities – EUR</w:t>
            </w:r>
            <w:r>
              <w:rPr>
                <w:rFonts w:eastAsiaTheme="minorEastAsia"/>
                <w:noProof/>
                <w:sz w:val="20"/>
                <w:szCs w:val="20"/>
              </w:rPr>
              <w:t> </w:t>
            </w:r>
            <w:r w:rsidRPr="18C0D501">
              <w:rPr>
                <w:rFonts w:eastAsiaTheme="minorEastAsia"/>
                <w:noProof/>
                <w:sz w:val="20"/>
                <w:szCs w:val="20"/>
              </w:rPr>
              <w:t>80 000 per year.</w:t>
            </w:r>
          </w:p>
          <w:p w14:paraId="07B5C715" w14:textId="77777777" w:rsidR="00B47F9A" w:rsidRPr="00F87B9B" w:rsidRDefault="00B47F9A" w:rsidP="00B00D2A">
            <w:pPr>
              <w:spacing w:after="0"/>
              <w:ind w:left="720"/>
              <w:rPr>
                <w:noProof/>
                <w:sz w:val="20"/>
                <w:szCs w:val="20"/>
              </w:rPr>
            </w:pPr>
            <w:r w:rsidRPr="00F87B9B">
              <w:rPr>
                <w:rFonts w:eastAsiaTheme="minorHAnsi"/>
                <w:noProof/>
                <w:sz w:val="20"/>
                <w:szCs w:val="20"/>
              </w:rPr>
              <w:t xml:space="preserve"> </w:t>
            </w:r>
          </w:p>
          <w:p w14:paraId="63A317D1" w14:textId="77777777" w:rsidR="00B47F9A" w:rsidRPr="00F87B9B" w:rsidRDefault="00B47F9A" w:rsidP="00B00D2A">
            <w:pPr>
              <w:spacing w:after="0"/>
              <w:rPr>
                <w:noProof/>
                <w:sz w:val="20"/>
                <w:szCs w:val="20"/>
              </w:rPr>
            </w:pPr>
            <w:r w:rsidRPr="18C0D501">
              <w:rPr>
                <w:rFonts w:eastAsiaTheme="minorEastAsia"/>
                <w:noProof/>
                <w:sz w:val="20"/>
                <w:szCs w:val="20"/>
              </w:rPr>
              <w:t xml:space="preserve">Around EUR 170.000 </w:t>
            </w:r>
            <w:r w:rsidRPr="18C0D501">
              <w:rPr>
                <w:noProof/>
                <w:sz w:val="20"/>
                <w:szCs w:val="20"/>
              </w:rPr>
              <w:t>yearly</w:t>
            </w:r>
            <w:r w:rsidRPr="18C0D501">
              <w:rPr>
                <w:rFonts w:eastAsiaTheme="minorEastAsia"/>
                <w:noProof/>
                <w:sz w:val="20"/>
                <w:szCs w:val="20"/>
              </w:rPr>
              <w:t xml:space="preserve"> </w:t>
            </w:r>
            <w:r w:rsidRPr="18C0D501">
              <w:rPr>
                <w:noProof/>
                <w:sz w:val="20"/>
                <w:szCs w:val="20"/>
              </w:rPr>
              <w:t>for one-off and maintenance cost</w:t>
            </w:r>
            <w:r w:rsidRPr="18C0D501">
              <w:rPr>
                <w:rFonts w:eastAsiaTheme="minorEastAsia"/>
                <w:noProof/>
                <w:sz w:val="20"/>
                <w:szCs w:val="20"/>
              </w:rPr>
              <w:t xml:space="preserve">. </w:t>
            </w:r>
          </w:p>
          <w:p w14:paraId="02D586B2"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p w14:paraId="549CFF01" w14:textId="77777777" w:rsidR="00B47F9A" w:rsidRPr="00F87B9B" w:rsidRDefault="00B47F9A" w:rsidP="00B00D2A">
            <w:pPr>
              <w:spacing w:after="0"/>
              <w:rPr>
                <w:rFonts w:eastAsiaTheme="minorHAnsi"/>
                <w:noProof/>
                <w:sz w:val="20"/>
                <w:szCs w:val="20"/>
              </w:rPr>
            </w:pPr>
            <w:r w:rsidRPr="00F87B9B">
              <w:rPr>
                <w:rFonts w:eastAsiaTheme="minorHAnsi"/>
                <w:noProof/>
                <w:sz w:val="20"/>
                <w:szCs w:val="20"/>
              </w:rPr>
              <w:t>Recurrent costs for:</w:t>
            </w:r>
          </w:p>
          <w:p w14:paraId="25EFA6E1" w14:textId="77777777" w:rsidR="00B47F9A" w:rsidRPr="00F87B9B" w:rsidRDefault="00B47F9A" w:rsidP="00B47F9A">
            <w:pPr>
              <w:pStyle w:val="ListParagraph"/>
              <w:numPr>
                <w:ilvl w:val="0"/>
                <w:numId w:val="201"/>
              </w:numPr>
              <w:spacing w:after="0"/>
              <w:rPr>
                <w:noProof/>
                <w:sz w:val="20"/>
                <w:szCs w:val="20"/>
              </w:rPr>
            </w:pPr>
            <w:r w:rsidRPr="00F87B9B">
              <w:rPr>
                <w:rFonts w:eastAsiaTheme="minorEastAsia"/>
                <w:noProof/>
                <w:sz w:val="20"/>
                <w:szCs w:val="20"/>
              </w:rPr>
              <w:t>the COM:</w:t>
            </w:r>
            <w:r w:rsidRPr="00F87B9B">
              <w:rPr>
                <w:noProof/>
                <w:sz w:val="20"/>
                <w:szCs w:val="20"/>
              </w:rPr>
              <w:t xml:space="preserve"> 12 </w:t>
            </w:r>
            <w:r w:rsidRPr="00F87B9B">
              <w:rPr>
                <w:rFonts w:eastAsiaTheme="minorEastAsia"/>
                <w:noProof/>
                <w:sz w:val="20"/>
                <w:szCs w:val="20"/>
              </w:rPr>
              <w:t>FTEs to cover additional tasks, mainly in EU satellite authorisation and spectrum scrutiny</w:t>
            </w:r>
            <w:r w:rsidRPr="00F87B9B">
              <w:rPr>
                <w:rFonts w:eastAsiaTheme="minorHAnsi"/>
                <w:noProof/>
                <w:sz w:val="20"/>
                <w:szCs w:val="20"/>
              </w:rPr>
              <w:t xml:space="preserve"> </w:t>
            </w:r>
          </w:p>
          <w:p w14:paraId="75E1C43A" w14:textId="4604B4BD" w:rsidR="00B47F9A" w:rsidRPr="00F87B9B" w:rsidRDefault="00B47F9A" w:rsidP="00B47F9A">
            <w:pPr>
              <w:pStyle w:val="ListParagraph"/>
              <w:numPr>
                <w:ilvl w:val="0"/>
                <w:numId w:val="200"/>
              </w:numPr>
              <w:spacing w:after="0"/>
              <w:ind w:left="399"/>
              <w:rPr>
                <w:noProof/>
                <w:sz w:val="20"/>
                <w:szCs w:val="20"/>
              </w:rPr>
            </w:pPr>
            <w:r w:rsidRPr="18C0D501">
              <w:rPr>
                <w:rFonts w:eastAsiaTheme="minorEastAsia"/>
                <w:noProof/>
                <w:sz w:val="20"/>
                <w:szCs w:val="20"/>
              </w:rPr>
              <w:t>For MS: EUR 5</w:t>
            </w:r>
            <w:r w:rsidR="1F189C78" w:rsidRPr="1D11C7E8">
              <w:rPr>
                <w:rFonts w:eastAsiaTheme="minorEastAsia"/>
                <w:noProof/>
                <w:sz w:val="20"/>
                <w:szCs w:val="20"/>
              </w:rPr>
              <w:t xml:space="preserve"> </w:t>
            </w:r>
            <w:r w:rsidRPr="18C0D501">
              <w:rPr>
                <w:rFonts w:eastAsiaTheme="minorEastAsia"/>
                <w:noProof/>
                <w:sz w:val="20"/>
                <w:szCs w:val="20"/>
              </w:rPr>
              <w:t xml:space="preserve">500 yearly (115 hours of working groups) </w:t>
            </w:r>
          </w:p>
          <w:p w14:paraId="7131D1A4" w14:textId="77777777" w:rsidR="00B47F9A" w:rsidRPr="00F87B9B" w:rsidRDefault="00B47F9A" w:rsidP="00B00D2A">
            <w:pPr>
              <w:spacing w:after="0"/>
              <w:ind w:left="39"/>
              <w:rPr>
                <w:noProof/>
                <w:sz w:val="20"/>
                <w:szCs w:val="20"/>
              </w:rPr>
            </w:pPr>
            <w:r w:rsidRPr="00F87B9B">
              <w:rPr>
                <w:rFonts w:eastAsiaTheme="minorHAnsi"/>
                <w:noProof/>
                <w:sz w:val="20"/>
                <w:szCs w:val="20"/>
              </w:rPr>
              <w:t>For BEREC: EUR 26,400 yearly (550 hours of working group meetings).</w:t>
            </w:r>
          </w:p>
          <w:p w14:paraId="1F446210" w14:textId="77777777" w:rsidR="00B47F9A" w:rsidRPr="00F87B9B" w:rsidRDefault="00B47F9A" w:rsidP="00B00D2A">
            <w:pPr>
              <w:spacing w:after="0"/>
              <w:ind w:left="39"/>
              <w:rPr>
                <w:noProof/>
                <w:sz w:val="20"/>
                <w:szCs w:val="20"/>
              </w:rPr>
            </w:pPr>
            <w:r w:rsidRPr="18C0D501">
              <w:rPr>
                <w:noProof/>
                <w:sz w:val="20"/>
                <w:szCs w:val="20"/>
              </w:rPr>
              <w:t>For the NRAs:2.5 recurrent FTEs per NRA to cover additional tasks, amounting to EUR 238, 500 in additional yearly cost per NRA.</w:t>
            </w:r>
          </w:p>
          <w:p w14:paraId="1D72BF6E" w14:textId="77777777" w:rsidR="00B47F9A" w:rsidRPr="00F87B9B" w:rsidRDefault="00B47F9A" w:rsidP="00B00D2A">
            <w:pPr>
              <w:pStyle w:val="ListParagraph"/>
              <w:spacing w:after="0"/>
              <w:ind w:left="399"/>
              <w:rPr>
                <w:noProof/>
                <w:sz w:val="20"/>
                <w:szCs w:val="20"/>
              </w:rPr>
            </w:pP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tcPr>
          <w:p w14:paraId="56269A9A" w14:textId="77777777" w:rsidR="00B47F9A" w:rsidRPr="00F87B9B" w:rsidRDefault="00B47F9A" w:rsidP="00B00D2A">
            <w:pPr>
              <w:spacing w:after="0"/>
              <w:rPr>
                <w:noProof/>
                <w:sz w:val="20"/>
                <w:szCs w:val="20"/>
              </w:rPr>
            </w:pPr>
            <w:r w:rsidRPr="00F87B9B">
              <w:rPr>
                <w:rFonts w:eastAsiaTheme="minorHAnsi"/>
                <w:noProof/>
                <w:sz w:val="20"/>
                <w:szCs w:val="20"/>
              </w:rPr>
              <w:t>One-off cost for transforming BEREC and BEREC Office in EU agency, including Spectrum office</w:t>
            </w:r>
          </w:p>
          <w:p w14:paraId="2205F644"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p w14:paraId="59C54CE4" w14:textId="77777777" w:rsidR="00B47F9A" w:rsidRPr="00F87B9B" w:rsidRDefault="00B47F9A" w:rsidP="00B00D2A">
            <w:pPr>
              <w:spacing w:after="0"/>
              <w:rPr>
                <w:noProof/>
                <w:sz w:val="20"/>
                <w:szCs w:val="20"/>
              </w:rPr>
            </w:pPr>
            <w:r w:rsidRPr="00F87B9B">
              <w:rPr>
                <w:rFonts w:eastAsiaTheme="minorHAnsi"/>
                <w:noProof/>
                <w:sz w:val="20"/>
                <w:szCs w:val="20"/>
              </w:rPr>
              <w:t>Overall, BEREC agency will need around 90 FTEs (i.e. doubling 2023 FTEs of BEREC Office)</w:t>
            </w:r>
          </w:p>
          <w:p w14:paraId="0123BDE5"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p w14:paraId="53389F5B" w14:textId="77777777" w:rsidR="00B47F9A" w:rsidRPr="00F87B9B" w:rsidRDefault="00B47F9A" w:rsidP="00B00D2A">
            <w:pPr>
              <w:spacing w:after="0"/>
              <w:rPr>
                <w:noProof/>
                <w:sz w:val="20"/>
                <w:szCs w:val="20"/>
              </w:rPr>
            </w:pPr>
            <w:r w:rsidRPr="00F87B9B">
              <w:rPr>
                <w:rFonts w:eastAsiaTheme="minorHAnsi"/>
                <w:noProof/>
                <w:sz w:val="20"/>
                <w:szCs w:val="20"/>
              </w:rPr>
              <w:t>Recurrent:</w:t>
            </w:r>
          </w:p>
          <w:p w14:paraId="3E46437F" w14:textId="77777777" w:rsidR="00B47F9A" w:rsidRPr="00F87B9B" w:rsidRDefault="00B47F9A" w:rsidP="00B47F9A">
            <w:pPr>
              <w:pStyle w:val="ListParagraph"/>
              <w:numPr>
                <w:ilvl w:val="0"/>
                <w:numId w:val="199"/>
              </w:numPr>
              <w:spacing w:after="0"/>
              <w:ind w:left="345"/>
              <w:rPr>
                <w:noProof/>
                <w:sz w:val="20"/>
                <w:szCs w:val="20"/>
              </w:rPr>
            </w:pPr>
            <w:r w:rsidRPr="00F87B9B">
              <w:rPr>
                <w:rFonts w:eastAsiaTheme="minorHAnsi"/>
                <w:noProof/>
                <w:sz w:val="20"/>
                <w:szCs w:val="20"/>
              </w:rPr>
              <w:t>EUR 14.8 m</w:t>
            </w:r>
            <w:r>
              <w:rPr>
                <w:rFonts w:eastAsiaTheme="minorHAnsi"/>
                <w:noProof/>
                <w:sz w:val="20"/>
                <w:szCs w:val="20"/>
              </w:rPr>
              <w:t xml:space="preserve"> </w:t>
            </w:r>
            <w:r w:rsidRPr="00F87B9B">
              <w:rPr>
                <w:rFonts w:eastAsiaTheme="minorHAnsi"/>
                <w:noProof/>
                <w:sz w:val="20"/>
                <w:szCs w:val="20"/>
              </w:rPr>
              <w:t xml:space="preserve">the annual cost of BEREC agency </w:t>
            </w:r>
          </w:p>
          <w:p w14:paraId="2898317C" w14:textId="77777777" w:rsidR="00B47F9A" w:rsidRPr="00F87B9B" w:rsidRDefault="00B47F9A" w:rsidP="00B00D2A">
            <w:pPr>
              <w:spacing w:after="0"/>
              <w:ind w:left="-15"/>
              <w:rPr>
                <w:noProof/>
                <w:sz w:val="20"/>
                <w:szCs w:val="20"/>
              </w:rPr>
            </w:pPr>
            <w:r w:rsidRPr="00F87B9B">
              <w:rPr>
                <w:rFonts w:eastAsiaTheme="minorHAnsi"/>
                <w:noProof/>
                <w:sz w:val="20"/>
                <w:szCs w:val="20"/>
              </w:rPr>
              <w:t>Cost structure for BEREC Office:</w:t>
            </w:r>
          </w:p>
          <w:p w14:paraId="71AF2D6C" w14:textId="77777777" w:rsidR="00B47F9A" w:rsidRPr="00F87B9B" w:rsidRDefault="00B47F9A" w:rsidP="00B47F9A">
            <w:pPr>
              <w:pStyle w:val="ListParagraph"/>
              <w:numPr>
                <w:ilvl w:val="0"/>
                <w:numId w:val="201"/>
              </w:numPr>
              <w:spacing w:after="0"/>
              <w:rPr>
                <w:noProof/>
                <w:sz w:val="20"/>
                <w:szCs w:val="20"/>
              </w:rPr>
            </w:pPr>
            <w:r w:rsidRPr="00F87B9B">
              <w:rPr>
                <w:rFonts w:eastAsiaTheme="minorHAnsi"/>
                <w:noProof/>
                <w:sz w:val="20"/>
                <w:szCs w:val="20"/>
              </w:rPr>
              <w:t>double increase of current staff,</w:t>
            </w:r>
          </w:p>
          <w:p w14:paraId="686E7E18" w14:textId="77777777" w:rsidR="00B47F9A" w:rsidRPr="00F87B9B" w:rsidRDefault="00B47F9A" w:rsidP="00B47F9A">
            <w:pPr>
              <w:pStyle w:val="ListParagraph"/>
              <w:numPr>
                <w:ilvl w:val="0"/>
                <w:numId w:val="201"/>
              </w:numPr>
              <w:spacing w:after="0"/>
              <w:rPr>
                <w:noProof/>
                <w:sz w:val="20"/>
                <w:szCs w:val="20"/>
              </w:rPr>
            </w:pPr>
            <w:r w:rsidRPr="00F87B9B">
              <w:rPr>
                <w:rFonts w:eastAsiaTheme="minorHAnsi"/>
                <w:noProof/>
                <w:sz w:val="20"/>
                <w:szCs w:val="20"/>
              </w:rPr>
              <w:t>50% of operational expenditure (premises, equipment),</w:t>
            </w:r>
          </w:p>
          <w:p w14:paraId="71E85447" w14:textId="77777777" w:rsidR="00B47F9A" w:rsidRPr="00F87B9B" w:rsidRDefault="00B47F9A" w:rsidP="00B47F9A">
            <w:pPr>
              <w:pStyle w:val="ListParagraph"/>
              <w:numPr>
                <w:ilvl w:val="0"/>
                <w:numId w:val="201"/>
              </w:numPr>
              <w:spacing w:after="0"/>
              <w:rPr>
                <w:noProof/>
                <w:sz w:val="20"/>
                <w:szCs w:val="20"/>
              </w:rPr>
            </w:pPr>
            <w:r w:rsidRPr="00F87B9B">
              <w:rPr>
                <w:rFonts w:eastAsiaTheme="minorHAnsi"/>
                <w:noProof/>
                <w:sz w:val="20"/>
                <w:szCs w:val="20"/>
              </w:rPr>
              <w:t xml:space="preserve"> 50% increase in the organisation of working group activities – 160 000 per year. </w:t>
            </w:r>
          </w:p>
        </w:tc>
        <w:tc>
          <w:tcPr>
            <w:tcW w:w="2717" w:type="dxa"/>
            <w:tcBorders>
              <w:top w:val="single" w:sz="8" w:space="0" w:color="auto"/>
              <w:left w:val="single" w:sz="8" w:space="0" w:color="auto"/>
              <w:bottom w:val="single" w:sz="8" w:space="0" w:color="auto"/>
              <w:right w:val="single" w:sz="8" w:space="0" w:color="auto"/>
            </w:tcBorders>
            <w:tcMar>
              <w:left w:w="108" w:type="dxa"/>
              <w:right w:w="108" w:type="dxa"/>
            </w:tcMar>
          </w:tcPr>
          <w:p w14:paraId="78F627C4" w14:textId="77777777" w:rsidR="00B47F9A" w:rsidRPr="00F87B9B" w:rsidRDefault="00B47F9A" w:rsidP="00B00D2A">
            <w:pPr>
              <w:spacing w:after="0"/>
              <w:rPr>
                <w:noProof/>
                <w:sz w:val="20"/>
                <w:szCs w:val="20"/>
              </w:rPr>
            </w:pPr>
            <w:r w:rsidRPr="00F87B9B">
              <w:rPr>
                <w:rFonts w:eastAsiaTheme="minorHAnsi"/>
                <w:noProof/>
                <w:sz w:val="20"/>
                <w:szCs w:val="20"/>
              </w:rPr>
              <w:t>One-off cost for transforming BEREC and BEREC Office</w:t>
            </w:r>
          </w:p>
          <w:p w14:paraId="166093B3"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p w14:paraId="120EF97F" w14:textId="77777777" w:rsidR="00B47F9A" w:rsidRPr="00F87B9B" w:rsidRDefault="00B47F9A" w:rsidP="00B00D2A">
            <w:pPr>
              <w:spacing w:after="0"/>
              <w:rPr>
                <w:noProof/>
                <w:sz w:val="20"/>
                <w:szCs w:val="20"/>
              </w:rPr>
            </w:pPr>
            <w:r w:rsidRPr="00F87B9B">
              <w:rPr>
                <w:rFonts w:eastAsiaTheme="minorHAnsi"/>
                <w:noProof/>
                <w:sz w:val="20"/>
                <w:szCs w:val="20"/>
              </w:rPr>
              <w:t>One-off cost for establishing the RSPG agency</w:t>
            </w:r>
          </w:p>
          <w:p w14:paraId="63862AD7"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p w14:paraId="2D2672AB" w14:textId="77777777" w:rsidR="00B47F9A" w:rsidRPr="00F87B9B" w:rsidRDefault="00B47F9A" w:rsidP="00B00D2A">
            <w:pPr>
              <w:spacing w:after="0"/>
              <w:rPr>
                <w:noProof/>
                <w:sz w:val="20"/>
                <w:szCs w:val="20"/>
              </w:rPr>
            </w:pPr>
            <w:r w:rsidRPr="00F87B9B">
              <w:rPr>
                <w:rFonts w:eastAsiaTheme="minorHAnsi"/>
                <w:noProof/>
                <w:sz w:val="20"/>
                <w:szCs w:val="20"/>
              </w:rPr>
              <w:t>Recurrent EUR 12.6 m per year for each of agency merged BEREC&amp;BEREC Office and RSPG.</w:t>
            </w:r>
          </w:p>
          <w:p w14:paraId="3709C790"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p w14:paraId="0D39B70F" w14:textId="77777777" w:rsidR="00B47F9A" w:rsidRPr="00F87B9B" w:rsidRDefault="00B47F9A" w:rsidP="00B00D2A">
            <w:pPr>
              <w:spacing w:after="0"/>
              <w:ind w:left="14"/>
              <w:rPr>
                <w:noProof/>
                <w:sz w:val="20"/>
                <w:szCs w:val="20"/>
              </w:rPr>
            </w:pPr>
            <w:r w:rsidRPr="00F87B9B">
              <w:rPr>
                <w:rFonts w:eastAsiaTheme="minorHAnsi"/>
                <w:noProof/>
                <w:sz w:val="20"/>
                <w:szCs w:val="20"/>
              </w:rPr>
              <w:t xml:space="preserve">Recurrent for RSPG: premises + recurrent expenses for staffing, office space, equipment and operations. </w:t>
            </w:r>
          </w:p>
        </w:tc>
      </w:tr>
      <w:tr w:rsidR="00B47F9A" w:rsidRPr="00F87B9B" w14:paraId="2F3018EF" w14:textId="77777777" w:rsidTr="00B00D2A">
        <w:trPr>
          <w:trHeight w:val="300"/>
        </w:trPr>
        <w:tc>
          <w:tcPr>
            <w:tcW w:w="1597" w:type="dxa"/>
            <w:tcBorders>
              <w:top w:val="single" w:sz="8" w:space="0" w:color="auto"/>
              <w:left w:val="single" w:sz="8" w:space="0" w:color="auto"/>
              <w:bottom w:val="single" w:sz="8" w:space="0" w:color="auto"/>
              <w:right w:val="single" w:sz="8" w:space="0" w:color="auto"/>
            </w:tcBorders>
            <w:tcMar>
              <w:left w:w="108" w:type="dxa"/>
              <w:right w:w="108" w:type="dxa"/>
            </w:tcMar>
          </w:tcPr>
          <w:p w14:paraId="2D3E228F" w14:textId="77777777" w:rsidR="00B47F9A" w:rsidRPr="00F87B9B" w:rsidRDefault="00B47F9A" w:rsidP="00B00D2A">
            <w:pPr>
              <w:spacing w:after="0"/>
              <w:rPr>
                <w:b/>
                <w:bCs/>
                <w:noProof/>
                <w:sz w:val="20"/>
                <w:szCs w:val="20"/>
              </w:rPr>
            </w:pPr>
            <w:r w:rsidRPr="00F87B9B">
              <w:rPr>
                <w:rFonts w:eastAsiaTheme="minorHAnsi"/>
                <w:b/>
                <w:bCs/>
                <w:noProof/>
                <w:sz w:val="20"/>
                <w:szCs w:val="20"/>
              </w:rPr>
              <w:t>Benefits by stakeholders</w:t>
            </w:r>
          </w:p>
        </w:tc>
        <w:tc>
          <w:tcPr>
            <w:tcW w:w="2381" w:type="dxa"/>
            <w:tcBorders>
              <w:top w:val="single" w:sz="8" w:space="0" w:color="auto"/>
              <w:left w:val="single" w:sz="8" w:space="0" w:color="auto"/>
              <w:bottom w:val="single" w:sz="8" w:space="0" w:color="auto"/>
              <w:right w:val="single" w:sz="8" w:space="0" w:color="auto"/>
            </w:tcBorders>
            <w:tcMar>
              <w:left w:w="108" w:type="dxa"/>
              <w:right w:w="108" w:type="dxa"/>
            </w:tcMar>
          </w:tcPr>
          <w:p w14:paraId="43C08BC2"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tcPr>
          <w:p w14:paraId="4CBE7A13"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c>
          <w:tcPr>
            <w:tcW w:w="2717" w:type="dxa"/>
            <w:tcBorders>
              <w:top w:val="single" w:sz="8" w:space="0" w:color="auto"/>
              <w:left w:val="single" w:sz="8" w:space="0" w:color="auto"/>
              <w:bottom w:val="single" w:sz="8" w:space="0" w:color="auto"/>
              <w:right w:val="single" w:sz="8" w:space="0" w:color="auto"/>
            </w:tcBorders>
            <w:tcMar>
              <w:left w:w="108" w:type="dxa"/>
              <w:right w:w="108" w:type="dxa"/>
            </w:tcMar>
          </w:tcPr>
          <w:p w14:paraId="425E1A9F"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r>
      <w:tr w:rsidR="00B47F9A" w:rsidRPr="00F87B9B" w14:paraId="3A56CB4C" w14:textId="77777777" w:rsidTr="00B00D2A">
        <w:trPr>
          <w:trHeight w:val="300"/>
        </w:trPr>
        <w:tc>
          <w:tcPr>
            <w:tcW w:w="1597" w:type="dxa"/>
            <w:tcBorders>
              <w:top w:val="single" w:sz="8" w:space="0" w:color="auto"/>
              <w:left w:val="single" w:sz="8" w:space="0" w:color="auto"/>
              <w:bottom w:val="single" w:sz="8" w:space="0" w:color="auto"/>
              <w:right w:val="single" w:sz="8" w:space="0" w:color="auto"/>
            </w:tcBorders>
            <w:tcMar>
              <w:left w:w="108" w:type="dxa"/>
              <w:right w:w="108" w:type="dxa"/>
            </w:tcMar>
          </w:tcPr>
          <w:p w14:paraId="63395420" w14:textId="77777777" w:rsidR="00B47F9A" w:rsidRPr="00F87B9B" w:rsidRDefault="00B47F9A" w:rsidP="00B00D2A">
            <w:pPr>
              <w:spacing w:after="0"/>
              <w:rPr>
                <w:noProof/>
                <w:sz w:val="20"/>
                <w:szCs w:val="20"/>
              </w:rPr>
            </w:pPr>
            <w:r w:rsidRPr="00F87B9B">
              <w:rPr>
                <w:rFonts w:eastAsiaTheme="minorHAnsi"/>
                <w:noProof/>
                <w:sz w:val="20"/>
                <w:szCs w:val="20"/>
              </w:rPr>
              <w:t>Citizens</w:t>
            </w:r>
          </w:p>
        </w:tc>
        <w:tc>
          <w:tcPr>
            <w:tcW w:w="2381" w:type="dxa"/>
            <w:tcBorders>
              <w:top w:val="single" w:sz="8" w:space="0" w:color="auto"/>
              <w:left w:val="single" w:sz="8" w:space="0" w:color="auto"/>
              <w:bottom w:val="single" w:sz="8" w:space="0" w:color="auto"/>
              <w:right w:val="single" w:sz="8" w:space="0" w:color="auto"/>
            </w:tcBorders>
            <w:tcMar>
              <w:left w:w="108" w:type="dxa"/>
              <w:right w:w="108" w:type="dxa"/>
            </w:tcMar>
          </w:tcPr>
          <w:p w14:paraId="295D3E85" w14:textId="77777777" w:rsidR="00B47F9A" w:rsidRPr="00F87B9B" w:rsidRDefault="00B47F9A" w:rsidP="00B00D2A">
            <w:pPr>
              <w:spacing w:after="0"/>
              <w:rPr>
                <w:noProof/>
                <w:sz w:val="20"/>
                <w:szCs w:val="20"/>
              </w:rPr>
            </w:pPr>
            <w:r w:rsidRPr="00F87B9B">
              <w:rPr>
                <w:rFonts w:eastAsiaTheme="minorHAnsi"/>
                <w:noProof/>
                <w:sz w:val="20"/>
                <w:szCs w:val="20"/>
              </w:rPr>
              <w:t>+</w:t>
            </w:r>
          </w:p>
          <w:p w14:paraId="7934478F" w14:textId="77777777" w:rsidR="00B47F9A" w:rsidRPr="00F87B9B" w:rsidRDefault="00B47F9A" w:rsidP="00B00D2A">
            <w:pPr>
              <w:spacing w:after="0"/>
              <w:rPr>
                <w:noProof/>
                <w:sz w:val="20"/>
                <w:szCs w:val="20"/>
              </w:rPr>
            </w:pPr>
            <w:r w:rsidRPr="00F87B9B">
              <w:rPr>
                <w:rFonts w:eastAsiaTheme="minorHAnsi"/>
                <w:noProof/>
                <w:sz w:val="20"/>
                <w:szCs w:val="20"/>
              </w:rPr>
              <w:t>Potential for increased competition and innovation due to increased harmonisation resulting from more effective governance system (expect moderate-high impact due to more centralised/ integrated governance system than in baseline)</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tcPr>
          <w:p w14:paraId="65AA3195"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p w14:paraId="4D3D0C0D" w14:textId="77777777" w:rsidR="00B47F9A" w:rsidRPr="00F87B9B" w:rsidRDefault="00B47F9A" w:rsidP="00B00D2A">
            <w:pPr>
              <w:spacing w:after="0"/>
              <w:rPr>
                <w:noProof/>
                <w:sz w:val="20"/>
                <w:szCs w:val="20"/>
              </w:rPr>
            </w:pPr>
            <w:r w:rsidRPr="00F87B9B">
              <w:rPr>
                <w:rFonts w:eastAsiaTheme="minorHAnsi"/>
                <w:noProof/>
                <w:sz w:val="20"/>
                <w:szCs w:val="20"/>
              </w:rPr>
              <w:t>like in option 1</w:t>
            </w:r>
          </w:p>
          <w:p w14:paraId="3A043048"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c>
          <w:tcPr>
            <w:tcW w:w="2717" w:type="dxa"/>
            <w:tcBorders>
              <w:top w:val="single" w:sz="8" w:space="0" w:color="auto"/>
              <w:left w:val="single" w:sz="8" w:space="0" w:color="auto"/>
              <w:bottom w:val="single" w:sz="8" w:space="0" w:color="auto"/>
              <w:right w:val="single" w:sz="8" w:space="0" w:color="auto"/>
            </w:tcBorders>
            <w:tcMar>
              <w:left w:w="108" w:type="dxa"/>
              <w:right w:w="108" w:type="dxa"/>
            </w:tcMar>
          </w:tcPr>
          <w:p w14:paraId="4DBD00AA" w14:textId="77777777" w:rsidR="00B47F9A" w:rsidRPr="00F87B9B" w:rsidRDefault="00B47F9A" w:rsidP="00B00D2A">
            <w:pPr>
              <w:spacing w:after="0"/>
              <w:rPr>
                <w:noProof/>
                <w:sz w:val="20"/>
                <w:szCs w:val="20"/>
              </w:rPr>
            </w:pPr>
            <w:r w:rsidRPr="00F87B9B">
              <w:rPr>
                <w:rFonts w:eastAsiaTheme="minorHAnsi"/>
                <w:noProof/>
                <w:sz w:val="20"/>
                <w:szCs w:val="20"/>
              </w:rPr>
              <w:t>0/+</w:t>
            </w:r>
          </w:p>
          <w:p w14:paraId="66CF50AC" w14:textId="77777777" w:rsidR="00B47F9A" w:rsidRPr="00F87B9B" w:rsidRDefault="00B47F9A" w:rsidP="00B00D2A">
            <w:pPr>
              <w:spacing w:after="0"/>
              <w:rPr>
                <w:noProof/>
                <w:sz w:val="20"/>
                <w:szCs w:val="20"/>
              </w:rPr>
            </w:pPr>
            <w:r w:rsidRPr="00F87B9B">
              <w:rPr>
                <w:rFonts w:eastAsiaTheme="minorHAnsi"/>
                <w:noProof/>
                <w:sz w:val="20"/>
                <w:szCs w:val="20"/>
              </w:rPr>
              <w:t>Like in option 1 but only moderate- impact expected;/lower than in other options due to more complex governance set up.</w:t>
            </w:r>
          </w:p>
        </w:tc>
      </w:tr>
      <w:tr w:rsidR="00B47F9A" w:rsidRPr="00F87B9B" w14:paraId="3C60ABA0" w14:textId="77777777" w:rsidTr="00B00D2A">
        <w:trPr>
          <w:trHeight w:val="300"/>
        </w:trPr>
        <w:tc>
          <w:tcPr>
            <w:tcW w:w="1597" w:type="dxa"/>
            <w:tcBorders>
              <w:top w:val="single" w:sz="8" w:space="0" w:color="auto"/>
              <w:left w:val="single" w:sz="8" w:space="0" w:color="auto"/>
              <w:bottom w:val="single" w:sz="8" w:space="0" w:color="auto"/>
              <w:right w:val="single" w:sz="8" w:space="0" w:color="auto"/>
            </w:tcBorders>
            <w:tcMar>
              <w:left w:w="108" w:type="dxa"/>
              <w:right w:w="108" w:type="dxa"/>
            </w:tcMar>
          </w:tcPr>
          <w:p w14:paraId="2EC20345" w14:textId="77777777" w:rsidR="00B47F9A" w:rsidRPr="00F87B9B" w:rsidRDefault="00B47F9A" w:rsidP="00B00D2A">
            <w:pPr>
              <w:spacing w:after="0"/>
              <w:rPr>
                <w:noProof/>
                <w:sz w:val="20"/>
                <w:szCs w:val="20"/>
              </w:rPr>
            </w:pPr>
            <w:r w:rsidRPr="00F87B9B">
              <w:rPr>
                <w:rFonts w:eastAsiaTheme="minorHAnsi"/>
                <w:noProof/>
                <w:sz w:val="20"/>
                <w:szCs w:val="20"/>
              </w:rPr>
              <w:t>Operators</w:t>
            </w:r>
          </w:p>
        </w:tc>
        <w:tc>
          <w:tcPr>
            <w:tcW w:w="2381" w:type="dxa"/>
            <w:tcBorders>
              <w:top w:val="single" w:sz="8" w:space="0" w:color="auto"/>
              <w:left w:val="single" w:sz="8" w:space="0" w:color="auto"/>
              <w:bottom w:val="single" w:sz="8" w:space="0" w:color="auto"/>
              <w:right w:val="single" w:sz="8" w:space="0" w:color="auto"/>
            </w:tcBorders>
            <w:tcMar>
              <w:left w:w="108" w:type="dxa"/>
              <w:right w:w="108" w:type="dxa"/>
            </w:tcMar>
          </w:tcPr>
          <w:p w14:paraId="64042DAE" w14:textId="77777777" w:rsidR="00B47F9A" w:rsidRPr="00F87B9B" w:rsidRDefault="00B47F9A" w:rsidP="00B00D2A">
            <w:pPr>
              <w:spacing w:after="0"/>
              <w:rPr>
                <w:noProof/>
                <w:sz w:val="20"/>
                <w:szCs w:val="20"/>
              </w:rPr>
            </w:pPr>
            <w:r w:rsidRPr="00F87B9B">
              <w:rPr>
                <w:rFonts w:eastAsiaTheme="minorHAnsi"/>
                <w:noProof/>
                <w:sz w:val="20"/>
                <w:szCs w:val="20"/>
              </w:rPr>
              <w:t>+</w:t>
            </w:r>
          </w:p>
          <w:p w14:paraId="0F594E38" w14:textId="77777777" w:rsidR="00B47F9A" w:rsidRPr="00F87B9B" w:rsidRDefault="00B47F9A" w:rsidP="00B00D2A">
            <w:pPr>
              <w:spacing w:after="0"/>
              <w:rPr>
                <w:noProof/>
                <w:sz w:val="20"/>
                <w:szCs w:val="20"/>
              </w:rPr>
            </w:pPr>
            <w:r w:rsidRPr="00F87B9B">
              <w:rPr>
                <w:rFonts w:eastAsiaTheme="minorHAnsi"/>
                <w:noProof/>
                <w:sz w:val="20"/>
                <w:szCs w:val="20"/>
              </w:rPr>
              <w:t>Potential for increased harmonisation / level playing field and lower compliance costs for cross-border and satellite operators (expect moderate-high impact due to more centralised/ integrated governance system than in baseline)</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tcPr>
          <w:p w14:paraId="701A844C" w14:textId="77777777" w:rsidR="00B47F9A" w:rsidRPr="00F87B9B" w:rsidRDefault="00B47F9A" w:rsidP="00B00D2A">
            <w:pPr>
              <w:spacing w:after="0"/>
              <w:rPr>
                <w:noProof/>
                <w:sz w:val="20"/>
                <w:szCs w:val="20"/>
              </w:rPr>
            </w:pPr>
            <w:r w:rsidRPr="00F87B9B">
              <w:rPr>
                <w:rFonts w:eastAsiaTheme="minorHAnsi"/>
                <w:noProof/>
                <w:sz w:val="20"/>
                <w:szCs w:val="20"/>
              </w:rPr>
              <w:t>+</w:t>
            </w:r>
          </w:p>
          <w:p w14:paraId="44523C2A" w14:textId="77777777" w:rsidR="00B47F9A" w:rsidRPr="00F87B9B" w:rsidRDefault="00B47F9A" w:rsidP="00B00D2A">
            <w:pPr>
              <w:spacing w:after="0"/>
              <w:rPr>
                <w:noProof/>
                <w:sz w:val="20"/>
                <w:szCs w:val="20"/>
              </w:rPr>
            </w:pPr>
            <w:r w:rsidRPr="00F87B9B">
              <w:rPr>
                <w:rFonts w:eastAsiaTheme="minorHAnsi"/>
                <w:noProof/>
                <w:sz w:val="20"/>
                <w:szCs w:val="20"/>
              </w:rPr>
              <w:t>Like in option 1</w:t>
            </w:r>
          </w:p>
        </w:tc>
        <w:tc>
          <w:tcPr>
            <w:tcW w:w="2717" w:type="dxa"/>
            <w:tcBorders>
              <w:top w:val="single" w:sz="8" w:space="0" w:color="auto"/>
              <w:left w:val="single" w:sz="8" w:space="0" w:color="auto"/>
              <w:bottom w:val="single" w:sz="8" w:space="0" w:color="auto"/>
              <w:right w:val="single" w:sz="8" w:space="0" w:color="auto"/>
            </w:tcBorders>
            <w:tcMar>
              <w:left w:w="108" w:type="dxa"/>
              <w:right w:w="108" w:type="dxa"/>
            </w:tcMar>
          </w:tcPr>
          <w:p w14:paraId="21DAE81C" w14:textId="77777777" w:rsidR="00B47F9A" w:rsidRPr="00F87B9B" w:rsidRDefault="00B47F9A" w:rsidP="00B00D2A">
            <w:pPr>
              <w:spacing w:after="0"/>
              <w:rPr>
                <w:noProof/>
                <w:sz w:val="20"/>
                <w:szCs w:val="20"/>
              </w:rPr>
            </w:pPr>
            <w:r w:rsidRPr="00F87B9B">
              <w:rPr>
                <w:rFonts w:eastAsiaTheme="minorHAnsi"/>
                <w:noProof/>
                <w:sz w:val="20"/>
                <w:szCs w:val="20"/>
              </w:rPr>
              <w:t>0/+</w:t>
            </w:r>
          </w:p>
          <w:p w14:paraId="66072D45" w14:textId="77777777" w:rsidR="00B47F9A" w:rsidRPr="00F87B9B" w:rsidRDefault="00B47F9A" w:rsidP="00B00D2A">
            <w:pPr>
              <w:spacing w:after="0"/>
              <w:rPr>
                <w:noProof/>
                <w:sz w:val="20"/>
                <w:szCs w:val="20"/>
              </w:rPr>
            </w:pPr>
            <w:r w:rsidRPr="00F87B9B">
              <w:rPr>
                <w:rFonts w:eastAsiaTheme="minorHAnsi"/>
                <w:noProof/>
                <w:sz w:val="20"/>
                <w:szCs w:val="20"/>
              </w:rPr>
              <w:t xml:space="preserve">Like in option 1 but expect only moderate- impact; lower than in other options due to more complex governance set up. </w:t>
            </w:r>
          </w:p>
        </w:tc>
      </w:tr>
      <w:tr w:rsidR="00B47F9A" w:rsidRPr="00F87B9B" w14:paraId="1CA70C0D" w14:textId="77777777" w:rsidTr="00B00D2A">
        <w:trPr>
          <w:trHeight w:val="300"/>
        </w:trPr>
        <w:tc>
          <w:tcPr>
            <w:tcW w:w="1597" w:type="dxa"/>
            <w:tcBorders>
              <w:top w:val="single" w:sz="8" w:space="0" w:color="auto"/>
              <w:left w:val="single" w:sz="8" w:space="0" w:color="auto"/>
              <w:bottom w:val="single" w:sz="8" w:space="0" w:color="auto"/>
              <w:right w:val="single" w:sz="8" w:space="0" w:color="auto"/>
            </w:tcBorders>
            <w:tcMar>
              <w:left w:w="108" w:type="dxa"/>
              <w:right w:w="108" w:type="dxa"/>
            </w:tcMar>
          </w:tcPr>
          <w:p w14:paraId="63A4E0C1" w14:textId="77777777" w:rsidR="00B47F9A" w:rsidRPr="00F87B9B" w:rsidRDefault="00B47F9A" w:rsidP="00B00D2A">
            <w:pPr>
              <w:spacing w:after="0"/>
              <w:rPr>
                <w:noProof/>
                <w:sz w:val="20"/>
                <w:szCs w:val="20"/>
              </w:rPr>
            </w:pPr>
            <w:r w:rsidRPr="00F87B9B">
              <w:rPr>
                <w:rFonts w:eastAsiaTheme="minorHAnsi"/>
                <w:noProof/>
                <w:sz w:val="20"/>
                <w:szCs w:val="20"/>
              </w:rPr>
              <w:t>Administration</w:t>
            </w:r>
          </w:p>
        </w:tc>
        <w:tc>
          <w:tcPr>
            <w:tcW w:w="2381" w:type="dxa"/>
            <w:tcBorders>
              <w:top w:val="single" w:sz="8" w:space="0" w:color="auto"/>
              <w:left w:val="single" w:sz="8" w:space="0" w:color="auto"/>
              <w:bottom w:val="single" w:sz="8" w:space="0" w:color="auto"/>
              <w:right w:val="single" w:sz="8" w:space="0" w:color="auto"/>
            </w:tcBorders>
            <w:tcMar>
              <w:left w:w="108" w:type="dxa"/>
              <w:right w:w="108" w:type="dxa"/>
            </w:tcMar>
          </w:tcPr>
          <w:p w14:paraId="474F3ED4"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p w14:paraId="462A2860" w14:textId="77777777" w:rsidR="00B47F9A" w:rsidRPr="00F87B9B" w:rsidRDefault="00B47F9A" w:rsidP="00B00D2A">
            <w:pPr>
              <w:spacing w:after="0"/>
              <w:rPr>
                <w:noProof/>
                <w:sz w:val="20"/>
                <w:szCs w:val="20"/>
              </w:rPr>
            </w:pPr>
            <w:r w:rsidRPr="00F87B9B">
              <w:rPr>
                <w:rFonts w:eastAsiaTheme="minorHAnsi"/>
                <w:noProof/>
                <w:sz w:val="20"/>
                <w:szCs w:val="20"/>
              </w:rPr>
              <w:t xml:space="preserve">Moderate cost savings for EU budget/increased efficiency and transfer of responsibilities to BEREC Office and RSPG. Preserving main elements of current governance set up. </w:t>
            </w:r>
          </w:p>
          <w:p w14:paraId="5A5BD127"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p w14:paraId="0F739CB0" w14:textId="77777777" w:rsidR="00B47F9A" w:rsidRPr="00F87B9B" w:rsidRDefault="00B47F9A" w:rsidP="00B00D2A">
            <w:pPr>
              <w:spacing w:after="0"/>
              <w:rPr>
                <w:noProof/>
                <w:sz w:val="20"/>
                <w:szCs w:val="20"/>
              </w:rPr>
            </w:pPr>
            <w:r w:rsidRPr="00F87B9B">
              <w:rPr>
                <w:rFonts w:eastAsiaTheme="minorHAnsi"/>
                <w:noProof/>
                <w:sz w:val="20"/>
                <w:szCs w:val="20"/>
              </w:rPr>
              <w:t>Moderate cost reduction for COM (limited effect on the EU budget).</w:t>
            </w:r>
          </w:p>
          <w:p w14:paraId="614EC568"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p w14:paraId="25F80CD6" w14:textId="77777777" w:rsidR="00B47F9A" w:rsidRPr="00F87B9B" w:rsidRDefault="00B47F9A" w:rsidP="00B00D2A">
            <w:pPr>
              <w:spacing w:after="0"/>
              <w:rPr>
                <w:noProof/>
                <w:sz w:val="20"/>
                <w:szCs w:val="20"/>
              </w:rPr>
            </w:pPr>
            <w:r w:rsidRPr="00F87B9B">
              <w:rPr>
                <w:rFonts w:eastAsiaTheme="minorHAnsi"/>
                <w:noProof/>
                <w:sz w:val="20"/>
                <w:szCs w:val="20"/>
              </w:rPr>
              <w:t xml:space="preserve">Cost savings for MS budget due to transfer of certain cross-border tasks to the EU level. </w:t>
            </w:r>
          </w:p>
          <w:p w14:paraId="3811305B"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p w14:paraId="0678D8E5" w14:textId="77777777" w:rsidR="00B47F9A" w:rsidRPr="00F87B9B" w:rsidRDefault="00B47F9A" w:rsidP="00B00D2A">
            <w:pPr>
              <w:spacing w:after="0"/>
              <w:rPr>
                <w:noProof/>
                <w:sz w:val="20"/>
                <w:szCs w:val="20"/>
              </w:rPr>
            </w:pPr>
            <w:r w:rsidRPr="00F87B9B">
              <w:rPr>
                <w:rFonts w:eastAsiaTheme="minorHAnsi"/>
                <w:noProof/>
                <w:sz w:val="20"/>
                <w:szCs w:val="20"/>
              </w:rPr>
              <w:t xml:space="preserve">BEREC Office takes more ‘substance related’ responsibilities and this relieves some pressure from NRAs. NRAs costs would increase only incrementally. </w:t>
            </w:r>
          </w:p>
          <w:p w14:paraId="652587C1"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p w14:paraId="6BD5EAA6" w14:textId="77777777" w:rsidR="00B47F9A" w:rsidRPr="00F87B9B" w:rsidRDefault="00B47F9A" w:rsidP="00B00D2A">
            <w:pPr>
              <w:spacing w:after="0"/>
              <w:rPr>
                <w:noProof/>
                <w:sz w:val="20"/>
                <w:szCs w:val="20"/>
              </w:rPr>
            </w:pPr>
            <w:r w:rsidRPr="00F87B9B">
              <w:rPr>
                <w:rFonts w:eastAsiaTheme="minorHAnsi"/>
                <w:noProof/>
                <w:sz w:val="20"/>
                <w:szCs w:val="20"/>
              </w:rPr>
              <w:t>NRAs’ costs would increase only incrementally, notwithstanding the need for their increased collaboration in BEREC.</w:t>
            </w:r>
          </w:p>
          <w:p w14:paraId="0897E5F5"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tcPr>
          <w:p w14:paraId="465DA106" w14:textId="77777777" w:rsidR="00B47F9A" w:rsidRPr="00F87B9B" w:rsidRDefault="00B47F9A" w:rsidP="00B00D2A">
            <w:pPr>
              <w:spacing w:after="0"/>
              <w:rPr>
                <w:noProof/>
                <w:sz w:val="20"/>
                <w:szCs w:val="20"/>
              </w:rPr>
            </w:pPr>
            <w:r w:rsidRPr="00F87B9B">
              <w:rPr>
                <w:rFonts w:eastAsiaTheme="minorHAnsi"/>
                <w:noProof/>
                <w:sz w:val="20"/>
                <w:szCs w:val="20"/>
              </w:rPr>
              <w:t>++</w:t>
            </w:r>
          </w:p>
          <w:p w14:paraId="10F745CA" w14:textId="77777777" w:rsidR="00B47F9A" w:rsidRPr="00F87B9B" w:rsidRDefault="00B47F9A" w:rsidP="00B00D2A">
            <w:pPr>
              <w:spacing w:after="0"/>
              <w:rPr>
                <w:noProof/>
                <w:sz w:val="20"/>
                <w:szCs w:val="20"/>
              </w:rPr>
            </w:pPr>
            <w:r w:rsidRPr="00F87B9B">
              <w:rPr>
                <w:rFonts w:eastAsiaTheme="minorHAnsi"/>
                <w:noProof/>
                <w:sz w:val="20"/>
                <w:szCs w:val="20"/>
              </w:rPr>
              <w:t xml:space="preserve">The agency takes over RSPG’s secretariat function (lower burden/cost for the COM than in option 1) and provides support on admin and preparatory tasks to the RSPG. </w:t>
            </w:r>
          </w:p>
          <w:p w14:paraId="793D0B5B"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p w14:paraId="35E98C02" w14:textId="77777777" w:rsidR="00B47F9A" w:rsidRPr="00F87B9B" w:rsidRDefault="00B47F9A" w:rsidP="00B00D2A">
            <w:pPr>
              <w:spacing w:after="0"/>
              <w:rPr>
                <w:noProof/>
                <w:sz w:val="20"/>
                <w:szCs w:val="20"/>
              </w:rPr>
            </w:pPr>
            <w:r w:rsidRPr="00F87B9B">
              <w:rPr>
                <w:rFonts w:eastAsiaTheme="minorHAnsi"/>
                <w:noProof/>
                <w:sz w:val="20"/>
                <w:szCs w:val="20"/>
              </w:rPr>
              <w:t xml:space="preserve">Cost savings for MS budget due to transfer of certain cross-border tasks to the EU level. </w:t>
            </w:r>
          </w:p>
          <w:p w14:paraId="5BACFC92"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c>
          <w:tcPr>
            <w:tcW w:w="2717" w:type="dxa"/>
            <w:tcBorders>
              <w:top w:val="single" w:sz="8" w:space="0" w:color="auto"/>
              <w:left w:val="single" w:sz="8" w:space="0" w:color="auto"/>
              <w:bottom w:val="single" w:sz="8" w:space="0" w:color="auto"/>
              <w:right w:val="single" w:sz="8" w:space="0" w:color="auto"/>
            </w:tcBorders>
            <w:tcMar>
              <w:left w:w="108" w:type="dxa"/>
              <w:right w:w="108" w:type="dxa"/>
            </w:tcMar>
          </w:tcPr>
          <w:p w14:paraId="166250B2" w14:textId="77777777" w:rsidR="00B47F9A" w:rsidRPr="00F87B9B" w:rsidRDefault="00B47F9A" w:rsidP="00B00D2A">
            <w:pPr>
              <w:spacing w:after="0"/>
              <w:rPr>
                <w:noProof/>
                <w:sz w:val="20"/>
                <w:szCs w:val="20"/>
              </w:rPr>
            </w:pPr>
            <w:r w:rsidRPr="00F87B9B">
              <w:rPr>
                <w:rFonts w:eastAsiaTheme="minorHAnsi"/>
                <w:noProof/>
                <w:sz w:val="20"/>
                <w:szCs w:val="20"/>
              </w:rPr>
              <w:t>0/+</w:t>
            </w:r>
          </w:p>
          <w:p w14:paraId="54BE8678" w14:textId="77777777" w:rsidR="00B47F9A" w:rsidRPr="00F87B9B" w:rsidRDefault="00B47F9A" w:rsidP="00B00D2A">
            <w:pPr>
              <w:spacing w:after="0"/>
              <w:rPr>
                <w:noProof/>
                <w:sz w:val="20"/>
                <w:szCs w:val="20"/>
              </w:rPr>
            </w:pPr>
            <w:r w:rsidRPr="00F87B9B">
              <w:rPr>
                <w:rFonts w:eastAsiaTheme="minorHAnsi"/>
                <w:noProof/>
                <w:sz w:val="20"/>
                <w:szCs w:val="20"/>
              </w:rPr>
              <w:t xml:space="preserve">Lower benefits than in option 1 due to potential overlaps in competence and duplications, the need of coordination between two agencies. </w:t>
            </w:r>
          </w:p>
          <w:p w14:paraId="2C398036"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p w14:paraId="34F8708F" w14:textId="77777777" w:rsidR="00B47F9A" w:rsidRPr="00F87B9B" w:rsidRDefault="00B47F9A" w:rsidP="00B00D2A">
            <w:pPr>
              <w:spacing w:after="0"/>
              <w:rPr>
                <w:noProof/>
                <w:sz w:val="20"/>
                <w:szCs w:val="20"/>
              </w:rPr>
            </w:pPr>
            <w:r w:rsidRPr="00F87B9B">
              <w:rPr>
                <w:rFonts w:eastAsiaTheme="minorHAnsi"/>
                <w:noProof/>
                <w:sz w:val="20"/>
                <w:szCs w:val="20"/>
              </w:rPr>
              <w:t xml:space="preserve">Cost savings for MS budget due to transfer of certain cross-border tasks to the EU level and 2 separate agencies. </w:t>
            </w:r>
          </w:p>
          <w:p w14:paraId="3A02E8BA"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r>
      <w:tr w:rsidR="00B47F9A" w:rsidRPr="00F87B9B" w14:paraId="50187BED" w14:textId="77777777" w:rsidTr="00B00D2A">
        <w:trPr>
          <w:trHeight w:val="300"/>
        </w:trPr>
        <w:tc>
          <w:tcPr>
            <w:tcW w:w="1597" w:type="dxa"/>
            <w:tcBorders>
              <w:top w:val="single" w:sz="8" w:space="0" w:color="auto"/>
              <w:left w:val="single" w:sz="8" w:space="0" w:color="auto"/>
              <w:bottom w:val="single" w:sz="8" w:space="0" w:color="auto"/>
              <w:right w:val="single" w:sz="8" w:space="0" w:color="auto"/>
            </w:tcBorders>
            <w:tcMar>
              <w:left w:w="108" w:type="dxa"/>
              <w:right w:w="108" w:type="dxa"/>
            </w:tcMar>
          </w:tcPr>
          <w:p w14:paraId="4F861874" w14:textId="77777777" w:rsidR="00B47F9A" w:rsidRPr="00F87B9B" w:rsidRDefault="00B47F9A" w:rsidP="00B00D2A">
            <w:pPr>
              <w:spacing w:after="0"/>
              <w:rPr>
                <w:noProof/>
                <w:sz w:val="20"/>
                <w:szCs w:val="20"/>
              </w:rPr>
            </w:pPr>
            <w:r w:rsidRPr="00F87B9B">
              <w:rPr>
                <w:rFonts w:eastAsiaTheme="minorHAnsi"/>
                <w:noProof/>
                <w:sz w:val="20"/>
                <w:szCs w:val="20"/>
              </w:rPr>
              <w:t>Net Value for Stakeholders</w:t>
            </w:r>
          </w:p>
        </w:tc>
        <w:tc>
          <w:tcPr>
            <w:tcW w:w="2381" w:type="dxa"/>
            <w:tcBorders>
              <w:top w:val="single" w:sz="8" w:space="0" w:color="auto"/>
              <w:left w:val="single" w:sz="8" w:space="0" w:color="auto"/>
              <w:bottom w:val="single" w:sz="8" w:space="0" w:color="auto"/>
              <w:right w:val="single" w:sz="8" w:space="0" w:color="auto"/>
            </w:tcBorders>
            <w:tcMar>
              <w:left w:w="108" w:type="dxa"/>
              <w:right w:w="108" w:type="dxa"/>
            </w:tcMar>
          </w:tcPr>
          <w:p w14:paraId="6664E9CA" w14:textId="77777777" w:rsidR="00B47F9A" w:rsidRPr="00F87B9B" w:rsidRDefault="00B47F9A" w:rsidP="00B00D2A">
            <w:pPr>
              <w:spacing w:after="0"/>
              <w:rPr>
                <w:noProof/>
                <w:sz w:val="20"/>
                <w:szCs w:val="20"/>
              </w:rPr>
            </w:pPr>
            <w:r w:rsidRPr="00F87B9B">
              <w:rPr>
                <w:rFonts w:eastAsiaTheme="minorHAnsi"/>
                <w:noProof/>
                <w:sz w:val="20"/>
                <w:szCs w:val="20"/>
              </w:rPr>
              <w:t>+</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tcPr>
          <w:p w14:paraId="4869C772" w14:textId="77777777" w:rsidR="00B47F9A" w:rsidRPr="00F87B9B" w:rsidRDefault="00B47F9A" w:rsidP="00B00D2A">
            <w:pPr>
              <w:spacing w:after="0"/>
              <w:rPr>
                <w:noProof/>
                <w:sz w:val="20"/>
                <w:szCs w:val="20"/>
              </w:rPr>
            </w:pPr>
            <w:r w:rsidRPr="00F87B9B">
              <w:rPr>
                <w:rFonts w:eastAsiaTheme="minorHAnsi"/>
                <w:noProof/>
                <w:sz w:val="20"/>
                <w:szCs w:val="20"/>
              </w:rPr>
              <w:t>+</w:t>
            </w:r>
          </w:p>
        </w:tc>
        <w:tc>
          <w:tcPr>
            <w:tcW w:w="2717" w:type="dxa"/>
            <w:tcBorders>
              <w:top w:val="single" w:sz="8" w:space="0" w:color="auto"/>
              <w:left w:val="single" w:sz="8" w:space="0" w:color="auto"/>
              <w:bottom w:val="single" w:sz="8" w:space="0" w:color="auto"/>
              <w:right w:val="single" w:sz="8" w:space="0" w:color="auto"/>
            </w:tcBorders>
            <w:tcMar>
              <w:left w:w="108" w:type="dxa"/>
              <w:right w:w="108" w:type="dxa"/>
            </w:tcMar>
          </w:tcPr>
          <w:p w14:paraId="1D152AD2"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r>
      <w:tr w:rsidR="00B47F9A" w:rsidRPr="00F87B9B" w14:paraId="474CE8C6" w14:textId="77777777" w:rsidTr="00B00D2A">
        <w:trPr>
          <w:trHeight w:val="300"/>
        </w:trPr>
        <w:tc>
          <w:tcPr>
            <w:tcW w:w="1597" w:type="dxa"/>
            <w:tcBorders>
              <w:top w:val="single" w:sz="8" w:space="0" w:color="auto"/>
              <w:left w:val="single" w:sz="8" w:space="0" w:color="auto"/>
              <w:bottom w:val="single" w:sz="8" w:space="0" w:color="auto"/>
              <w:right w:val="single" w:sz="8" w:space="0" w:color="auto"/>
            </w:tcBorders>
            <w:tcMar>
              <w:left w:w="108" w:type="dxa"/>
              <w:right w:w="108" w:type="dxa"/>
            </w:tcMar>
          </w:tcPr>
          <w:p w14:paraId="5657116E" w14:textId="77777777" w:rsidR="00B47F9A" w:rsidRPr="00F87B9B" w:rsidRDefault="00B47F9A" w:rsidP="00B00D2A">
            <w:pPr>
              <w:spacing w:after="0"/>
              <w:rPr>
                <w:b/>
                <w:bCs/>
                <w:noProof/>
                <w:sz w:val="20"/>
                <w:szCs w:val="20"/>
              </w:rPr>
            </w:pPr>
            <w:r w:rsidRPr="00F87B9B">
              <w:rPr>
                <w:rFonts w:eastAsiaTheme="minorHAnsi"/>
                <w:b/>
                <w:bCs/>
                <w:noProof/>
                <w:sz w:val="20"/>
                <w:szCs w:val="20"/>
              </w:rPr>
              <w:t>Net Value for Citizens</w:t>
            </w:r>
          </w:p>
        </w:tc>
        <w:tc>
          <w:tcPr>
            <w:tcW w:w="2381" w:type="dxa"/>
            <w:tcBorders>
              <w:top w:val="single" w:sz="8" w:space="0" w:color="auto"/>
              <w:left w:val="single" w:sz="8" w:space="0" w:color="auto"/>
              <w:bottom w:val="single" w:sz="8" w:space="0" w:color="auto"/>
              <w:right w:val="single" w:sz="8" w:space="0" w:color="auto"/>
            </w:tcBorders>
            <w:tcMar>
              <w:left w:w="108" w:type="dxa"/>
              <w:right w:w="108" w:type="dxa"/>
            </w:tcMar>
          </w:tcPr>
          <w:p w14:paraId="65449D19" w14:textId="77777777" w:rsidR="00B47F9A" w:rsidRPr="00F87B9B" w:rsidRDefault="00B47F9A" w:rsidP="00B00D2A">
            <w:pPr>
              <w:spacing w:after="0"/>
              <w:rPr>
                <w:noProof/>
                <w:sz w:val="20"/>
                <w:szCs w:val="20"/>
              </w:rPr>
            </w:pPr>
            <w:r w:rsidRPr="00F87B9B">
              <w:rPr>
                <w:rFonts w:eastAsiaTheme="minorHAnsi"/>
                <w:noProof/>
                <w:sz w:val="20"/>
                <w:szCs w:val="20"/>
              </w:rPr>
              <w:t>+</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tcPr>
          <w:p w14:paraId="144BB6C1" w14:textId="77777777" w:rsidR="00B47F9A" w:rsidRPr="00F87B9B" w:rsidRDefault="00B47F9A" w:rsidP="00B00D2A">
            <w:pPr>
              <w:spacing w:after="0"/>
              <w:rPr>
                <w:noProof/>
                <w:sz w:val="20"/>
                <w:szCs w:val="20"/>
              </w:rPr>
            </w:pPr>
            <w:r w:rsidRPr="00F87B9B">
              <w:rPr>
                <w:rFonts w:eastAsiaTheme="minorHAnsi"/>
                <w:noProof/>
                <w:sz w:val="20"/>
                <w:szCs w:val="20"/>
              </w:rPr>
              <w:t>+</w:t>
            </w:r>
          </w:p>
        </w:tc>
        <w:tc>
          <w:tcPr>
            <w:tcW w:w="2717" w:type="dxa"/>
            <w:tcBorders>
              <w:top w:val="single" w:sz="8" w:space="0" w:color="auto"/>
              <w:left w:val="single" w:sz="8" w:space="0" w:color="auto"/>
              <w:bottom w:val="single" w:sz="8" w:space="0" w:color="auto"/>
              <w:right w:val="single" w:sz="8" w:space="0" w:color="auto"/>
            </w:tcBorders>
            <w:tcMar>
              <w:left w:w="108" w:type="dxa"/>
              <w:right w:w="108" w:type="dxa"/>
            </w:tcMar>
          </w:tcPr>
          <w:p w14:paraId="37AEC874" w14:textId="77777777" w:rsidR="00B47F9A" w:rsidRPr="00F87B9B" w:rsidRDefault="00B47F9A" w:rsidP="00B00D2A">
            <w:pPr>
              <w:spacing w:after="0"/>
              <w:rPr>
                <w:noProof/>
                <w:sz w:val="20"/>
                <w:szCs w:val="20"/>
              </w:rPr>
            </w:pPr>
            <w:r w:rsidRPr="00F87B9B">
              <w:rPr>
                <w:rFonts w:eastAsiaTheme="minorHAnsi"/>
                <w:noProof/>
                <w:sz w:val="20"/>
                <w:szCs w:val="20"/>
              </w:rPr>
              <w:t>0/+</w:t>
            </w:r>
          </w:p>
        </w:tc>
      </w:tr>
      <w:tr w:rsidR="00B47F9A" w:rsidRPr="00F87B9B" w14:paraId="0E687C48" w14:textId="77777777" w:rsidTr="00B00D2A">
        <w:trPr>
          <w:trHeight w:val="300"/>
        </w:trPr>
        <w:tc>
          <w:tcPr>
            <w:tcW w:w="1597" w:type="dxa"/>
            <w:tcBorders>
              <w:top w:val="single" w:sz="8" w:space="0" w:color="auto"/>
              <w:left w:val="single" w:sz="8" w:space="0" w:color="auto"/>
              <w:bottom w:val="single" w:sz="8" w:space="0" w:color="auto"/>
              <w:right w:val="single" w:sz="8" w:space="0" w:color="auto"/>
            </w:tcBorders>
            <w:tcMar>
              <w:left w:w="108" w:type="dxa"/>
              <w:right w:w="108" w:type="dxa"/>
            </w:tcMar>
          </w:tcPr>
          <w:p w14:paraId="6C8ADD94" w14:textId="77777777" w:rsidR="00B47F9A" w:rsidRPr="00F87B9B" w:rsidRDefault="00B47F9A" w:rsidP="00B00D2A">
            <w:pPr>
              <w:spacing w:after="0"/>
              <w:rPr>
                <w:noProof/>
                <w:sz w:val="20"/>
                <w:szCs w:val="20"/>
              </w:rPr>
            </w:pPr>
            <w:r w:rsidRPr="00F87B9B">
              <w:rPr>
                <w:rFonts w:eastAsiaTheme="minorHAnsi"/>
                <w:noProof/>
                <w:sz w:val="20"/>
                <w:szCs w:val="20"/>
              </w:rPr>
              <w:t>Benefits</w:t>
            </w:r>
          </w:p>
        </w:tc>
        <w:tc>
          <w:tcPr>
            <w:tcW w:w="2381" w:type="dxa"/>
            <w:tcBorders>
              <w:top w:val="single" w:sz="8" w:space="0" w:color="auto"/>
              <w:left w:val="single" w:sz="8" w:space="0" w:color="auto"/>
              <w:bottom w:val="single" w:sz="8" w:space="0" w:color="auto"/>
              <w:right w:val="single" w:sz="8" w:space="0" w:color="auto"/>
            </w:tcBorders>
            <w:tcMar>
              <w:left w:w="108" w:type="dxa"/>
              <w:right w:w="108" w:type="dxa"/>
            </w:tcMar>
          </w:tcPr>
          <w:p w14:paraId="266354F4" w14:textId="77777777" w:rsidR="00B47F9A" w:rsidRPr="00F87B9B" w:rsidRDefault="00B47F9A" w:rsidP="00B00D2A">
            <w:pPr>
              <w:spacing w:after="0"/>
              <w:rPr>
                <w:noProof/>
                <w:sz w:val="20"/>
                <w:szCs w:val="20"/>
              </w:rPr>
            </w:pPr>
            <w:r w:rsidRPr="00F87B9B">
              <w:rPr>
                <w:rFonts w:eastAsiaTheme="minorHAnsi"/>
                <w:noProof/>
                <w:sz w:val="20"/>
                <w:szCs w:val="20"/>
              </w:rPr>
              <w:t>+</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tcPr>
          <w:p w14:paraId="4BBED48E" w14:textId="77777777" w:rsidR="00B47F9A" w:rsidRPr="00F87B9B" w:rsidRDefault="00B47F9A" w:rsidP="00B00D2A">
            <w:pPr>
              <w:spacing w:after="0"/>
              <w:rPr>
                <w:noProof/>
                <w:sz w:val="20"/>
                <w:szCs w:val="20"/>
              </w:rPr>
            </w:pPr>
            <w:r w:rsidRPr="00F87B9B">
              <w:rPr>
                <w:rFonts w:eastAsiaTheme="minorHAnsi"/>
                <w:noProof/>
                <w:sz w:val="20"/>
                <w:szCs w:val="20"/>
              </w:rPr>
              <w:t>+</w:t>
            </w:r>
          </w:p>
        </w:tc>
        <w:tc>
          <w:tcPr>
            <w:tcW w:w="2717" w:type="dxa"/>
            <w:tcBorders>
              <w:top w:val="single" w:sz="8" w:space="0" w:color="auto"/>
              <w:left w:val="single" w:sz="8" w:space="0" w:color="auto"/>
              <w:bottom w:val="single" w:sz="8" w:space="0" w:color="auto"/>
              <w:right w:val="single" w:sz="8" w:space="0" w:color="auto"/>
            </w:tcBorders>
            <w:tcMar>
              <w:left w:w="108" w:type="dxa"/>
              <w:right w:w="108" w:type="dxa"/>
            </w:tcMar>
          </w:tcPr>
          <w:p w14:paraId="72ED2319" w14:textId="77777777" w:rsidR="00B47F9A" w:rsidRPr="00F87B9B" w:rsidRDefault="00B47F9A" w:rsidP="00B00D2A">
            <w:pPr>
              <w:spacing w:after="0"/>
              <w:rPr>
                <w:noProof/>
                <w:sz w:val="20"/>
                <w:szCs w:val="20"/>
              </w:rPr>
            </w:pPr>
            <w:r w:rsidRPr="00F87B9B">
              <w:rPr>
                <w:rFonts w:eastAsiaTheme="minorHAnsi"/>
                <w:noProof/>
                <w:sz w:val="20"/>
                <w:szCs w:val="20"/>
              </w:rPr>
              <w:t>0/+</w:t>
            </w:r>
          </w:p>
        </w:tc>
      </w:tr>
      <w:tr w:rsidR="00B47F9A" w:rsidRPr="00F87B9B" w14:paraId="0022D27A" w14:textId="77777777" w:rsidTr="00B00D2A">
        <w:trPr>
          <w:trHeight w:val="300"/>
        </w:trPr>
        <w:tc>
          <w:tcPr>
            <w:tcW w:w="1597" w:type="dxa"/>
            <w:tcBorders>
              <w:top w:val="single" w:sz="8" w:space="0" w:color="auto"/>
              <w:left w:val="single" w:sz="8" w:space="0" w:color="auto"/>
              <w:bottom w:val="single" w:sz="8" w:space="0" w:color="auto"/>
              <w:right w:val="single" w:sz="8" w:space="0" w:color="auto"/>
            </w:tcBorders>
            <w:tcMar>
              <w:left w:w="108" w:type="dxa"/>
              <w:right w:w="108" w:type="dxa"/>
            </w:tcMar>
          </w:tcPr>
          <w:p w14:paraId="597495EB" w14:textId="77777777" w:rsidR="00B47F9A" w:rsidRPr="00F87B9B" w:rsidRDefault="00B47F9A" w:rsidP="00B00D2A">
            <w:pPr>
              <w:spacing w:after="0"/>
              <w:rPr>
                <w:noProof/>
                <w:sz w:val="20"/>
                <w:szCs w:val="20"/>
              </w:rPr>
            </w:pPr>
            <w:r w:rsidRPr="00F87B9B">
              <w:rPr>
                <w:rFonts w:eastAsiaTheme="minorHAnsi"/>
                <w:noProof/>
                <w:sz w:val="20"/>
                <w:szCs w:val="20"/>
              </w:rPr>
              <w:t>Costs</w:t>
            </w:r>
          </w:p>
        </w:tc>
        <w:tc>
          <w:tcPr>
            <w:tcW w:w="2381" w:type="dxa"/>
            <w:tcBorders>
              <w:top w:val="single" w:sz="8" w:space="0" w:color="auto"/>
              <w:left w:val="single" w:sz="8" w:space="0" w:color="auto"/>
              <w:bottom w:val="single" w:sz="8" w:space="0" w:color="auto"/>
              <w:right w:val="single" w:sz="8" w:space="0" w:color="auto"/>
            </w:tcBorders>
            <w:tcMar>
              <w:left w:w="108" w:type="dxa"/>
              <w:right w:w="108" w:type="dxa"/>
            </w:tcMar>
          </w:tcPr>
          <w:p w14:paraId="68A84850" w14:textId="77777777" w:rsidR="00B47F9A" w:rsidRPr="00F87B9B" w:rsidRDefault="00B47F9A" w:rsidP="00B00D2A">
            <w:pPr>
              <w:spacing w:after="0"/>
              <w:rPr>
                <w:noProof/>
                <w:sz w:val="20"/>
                <w:szCs w:val="20"/>
              </w:rPr>
            </w:pPr>
            <w:r w:rsidRPr="00F87B9B">
              <w:rPr>
                <w:rFonts w:eastAsiaTheme="minorHAnsi"/>
                <w:noProof/>
                <w:sz w:val="20"/>
                <w:szCs w:val="20"/>
              </w:rPr>
              <w:t>0</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tcPr>
          <w:p w14:paraId="1AEB0D24" w14:textId="77777777" w:rsidR="00B47F9A" w:rsidRPr="00F87B9B" w:rsidRDefault="00B47F9A" w:rsidP="00B00D2A">
            <w:pPr>
              <w:spacing w:after="0"/>
              <w:rPr>
                <w:noProof/>
                <w:sz w:val="20"/>
                <w:szCs w:val="20"/>
              </w:rPr>
            </w:pPr>
            <w:r w:rsidRPr="00F87B9B">
              <w:rPr>
                <w:rFonts w:eastAsiaTheme="minorHAnsi"/>
                <w:noProof/>
                <w:sz w:val="20"/>
                <w:szCs w:val="20"/>
              </w:rPr>
              <w:t>0</w:t>
            </w:r>
          </w:p>
        </w:tc>
        <w:tc>
          <w:tcPr>
            <w:tcW w:w="2717" w:type="dxa"/>
            <w:tcBorders>
              <w:top w:val="single" w:sz="8" w:space="0" w:color="auto"/>
              <w:left w:val="single" w:sz="8" w:space="0" w:color="auto"/>
              <w:bottom w:val="single" w:sz="8" w:space="0" w:color="auto"/>
              <w:right w:val="single" w:sz="8" w:space="0" w:color="auto"/>
            </w:tcBorders>
            <w:tcMar>
              <w:left w:w="108" w:type="dxa"/>
              <w:right w:w="108" w:type="dxa"/>
            </w:tcMar>
          </w:tcPr>
          <w:p w14:paraId="4663DD05" w14:textId="77777777" w:rsidR="00B47F9A" w:rsidRPr="00F87B9B" w:rsidRDefault="00B47F9A" w:rsidP="00B00D2A">
            <w:pPr>
              <w:spacing w:after="0"/>
              <w:rPr>
                <w:noProof/>
                <w:sz w:val="20"/>
                <w:szCs w:val="20"/>
              </w:rPr>
            </w:pPr>
            <w:r w:rsidRPr="00F87B9B">
              <w:rPr>
                <w:rFonts w:eastAsiaTheme="minorHAnsi"/>
                <w:noProof/>
                <w:sz w:val="20"/>
                <w:szCs w:val="20"/>
              </w:rPr>
              <w:t>0</w:t>
            </w:r>
          </w:p>
        </w:tc>
      </w:tr>
      <w:tr w:rsidR="00B47F9A" w:rsidRPr="00F87B9B" w14:paraId="70D221C0" w14:textId="77777777" w:rsidTr="00B00D2A">
        <w:trPr>
          <w:trHeight w:val="300"/>
        </w:trPr>
        <w:tc>
          <w:tcPr>
            <w:tcW w:w="1597" w:type="dxa"/>
            <w:tcBorders>
              <w:top w:val="single" w:sz="8" w:space="0" w:color="auto"/>
              <w:left w:val="single" w:sz="8" w:space="0" w:color="auto"/>
              <w:bottom w:val="single" w:sz="8" w:space="0" w:color="auto"/>
              <w:right w:val="single" w:sz="8" w:space="0" w:color="auto"/>
            </w:tcBorders>
            <w:tcMar>
              <w:left w:w="108" w:type="dxa"/>
              <w:right w:w="108" w:type="dxa"/>
            </w:tcMar>
          </w:tcPr>
          <w:p w14:paraId="52F134A3" w14:textId="77777777" w:rsidR="00B47F9A" w:rsidRPr="00F87B9B" w:rsidRDefault="00B47F9A" w:rsidP="00B00D2A">
            <w:pPr>
              <w:spacing w:after="0"/>
              <w:rPr>
                <w:b/>
                <w:bCs/>
                <w:noProof/>
                <w:sz w:val="20"/>
                <w:szCs w:val="20"/>
              </w:rPr>
            </w:pPr>
            <w:r w:rsidRPr="00F87B9B">
              <w:rPr>
                <w:rFonts w:eastAsiaTheme="minorHAnsi"/>
                <w:b/>
                <w:bCs/>
                <w:noProof/>
                <w:sz w:val="20"/>
                <w:szCs w:val="20"/>
              </w:rPr>
              <w:t>Net Value for Operator</w:t>
            </w:r>
          </w:p>
        </w:tc>
        <w:tc>
          <w:tcPr>
            <w:tcW w:w="2381" w:type="dxa"/>
            <w:tcBorders>
              <w:top w:val="single" w:sz="8" w:space="0" w:color="auto"/>
              <w:left w:val="single" w:sz="8" w:space="0" w:color="auto"/>
              <w:bottom w:val="single" w:sz="8" w:space="0" w:color="auto"/>
              <w:right w:val="single" w:sz="8" w:space="0" w:color="auto"/>
            </w:tcBorders>
            <w:tcMar>
              <w:left w:w="108" w:type="dxa"/>
              <w:right w:w="108" w:type="dxa"/>
            </w:tcMar>
          </w:tcPr>
          <w:p w14:paraId="0A7D3267"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tcPr>
          <w:p w14:paraId="00034B79"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c>
          <w:tcPr>
            <w:tcW w:w="2717" w:type="dxa"/>
            <w:tcBorders>
              <w:top w:val="single" w:sz="8" w:space="0" w:color="auto"/>
              <w:left w:val="single" w:sz="8" w:space="0" w:color="auto"/>
              <w:bottom w:val="single" w:sz="8" w:space="0" w:color="auto"/>
              <w:right w:val="single" w:sz="8" w:space="0" w:color="auto"/>
            </w:tcBorders>
            <w:tcMar>
              <w:left w:w="108" w:type="dxa"/>
              <w:right w:w="108" w:type="dxa"/>
            </w:tcMar>
          </w:tcPr>
          <w:p w14:paraId="19732153"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r>
      <w:tr w:rsidR="00B47F9A" w:rsidRPr="00F87B9B" w14:paraId="3397A72F" w14:textId="77777777" w:rsidTr="00B00D2A">
        <w:trPr>
          <w:trHeight w:val="300"/>
        </w:trPr>
        <w:tc>
          <w:tcPr>
            <w:tcW w:w="1597" w:type="dxa"/>
            <w:tcBorders>
              <w:top w:val="single" w:sz="8" w:space="0" w:color="auto"/>
              <w:left w:val="single" w:sz="8" w:space="0" w:color="auto"/>
              <w:bottom w:val="single" w:sz="8" w:space="0" w:color="auto"/>
              <w:right w:val="single" w:sz="8" w:space="0" w:color="auto"/>
            </w:tcBorders>
            <w:tcMar>
              <w:left w:w="108" w:type="dxa"/>
              <w:right w:w="108" w:type="dxa"/>
            </w:tcMar>
          </w:tcPr>
          <w:p w14:paraId="4865BE0B" w14:textId="77777777" w:rsidR="00B47F9A" w:rsidRPr="00F87B9B" w:rsidRDefault="00B47F9A" w:rsidP="00B00D2A">
            <w:pPr>
              <w:spacing w:after="0"/>
              <w:rPr>
                <w:noProof/>
                <w:sz w:val="20"/>
                <w:szCs w:val="20"/>
              </w:rPr>
            </w:pPr>
            <w:r w:rsidRPr="00F87B9B">
              <w:rPr>
                <w:rFonts w:eastAsiaTheme="minorHAnsi"/>
                <w:noProof/>
                <w:sz w:val="20"/>
                <w:szCs w:val="20"/>
              </w:rPr>
              <w:t>Benefits</w:t>
            </w:r>
          </w:p>
        </w:tc>
        <w:tc>
          <w:tcPr>
            <w:tcW w:w="2381" w:type="dxa"/>
            <w:tcBorders>
              <w:top w:val="single" w:sz="8" w:space="0" w:color="auto"/>
              <w:left w:val="single" w:sz="8" w:space="0" w:color="auto"/>
              <w:bottom w:val="single" w:sz="8" w:space="0" w:color="auto"/>
              <w:right w:val="single" w:sz="8" w:space="0" w:color="auto"/>
            </w:tcBorders>
            <w:tcMar>
              <w:left w:w="108" w:type="dxa"/>
              <w:right w:w="108" w:type="dxa"/>
            </w:tcMar>
          </w:tcPr>
          <w:p w14:paraId="023894D3" w14:textId="77777777" w:rsidR="00B47F9A" w:rsidRPr="00F87B9B" w:rsidRDefault="00B47F9A" w:rsidP="00B00D2A">
            <w:pPr>
              <w:spacing w:after="0"/>
              <w:rPr>
                <w:noProof/>
                <w:sz w:val="20"/>
                <w:szCs w:val="20"/>
              </w:rPr>
            </w:pPr>
            <w:r w:rsidRPr="00F87B9B">
              <w:rPr>
                <w:rFonts w:eastAsiaTheme="minorHAnsi"/>
                <w:noProof/>
                <w:sz w:val="20"/>
                <w:szCs w:val="20"/>
              </w:rPr>
              <w:t xml:space="preserve"> + indirect </w:t>
            </w:r>
          </w:p>
          <w:p w14:paraId="4FB21A8C" w14:textId="77777777" w:rsidR="00B47F9A" w:rsidRPr="00F87B9B" w:rsidRDefault="00B47F9A" w:rsidP="00B00D2A">
            <w:pPr>
              <w:spacing w:after="0"/>
              <w:rPr>
                <w:noProof/>
                <w:sz w:val="20"/>
                <w:szCs w:val="20"/>
              </w:rPr>
            </w:pPr>
            <w:r w:rsidRPr="00F87B9B">
              <w:rPr>
                <w:rFonts w:eastAsiaTheme="minorHAnsi"/>
                <w:noProof/>
                <w:sz w:val="20"/>
                <w:szCs w:val="20"/>
              </w:rPr>
              <w:t xml:space="preserve">Increases effectiveness while preserving the main elements of the current governance set up. </w:t>
            </w:r>
          </w:p>
          <w:p w14:paraId="7EB15A07"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p w14:paraId="74D7C855" w14:textId="77777777" w:rsidR="00B47F9A" w:rsidRPr="00F87B9B" w:rsidRDefault="00B47F9A" w:rsidP="00B00D2A">
            <w:pPr>
              <w:spacing w:after="0"/>
              <w:rPr>
                <w:noProof/>
                <w:sz w:val="20"/>
                <w:szCs w:val="20"/>
              </w:rPr>
            </w:pPr>
            <w:r w:rsidRPr="00F87B9B">
              <w:rPr>
                <w:rFonts w:eastAsiaTheme="minorHAnsi"/>
                <w:noProof/>
                <w:sz w:val="20"/>
                <w:szCs w:val="20"/>
              </w:rPr>
              <w:t xml:space="preserve">Further empowerment of NRAs and NCA, contributing to enhanced market development. </w:t>
            </w:r>
          </w:p>
          <w:p w14:paraId="152D6695"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p w14:paraId="09C525CB" w14:textId="77777777" w:rsidR="00B47F9A" w:rsidRPr="00F87B9B" w:rsidRDefault="00B47F9A" w:rsidP="00B00D2A">
            <w:pPr>
              <w:spacing w:after="0"/>
              <w:rPr>
                <w:noProof/>
                <w:sz w:val="20"/>
                <w:szCs w:val="20"/>
              </w:rPr>
            </w:pPr>
            <w:r w:rsidRPr="00F87B9B">
              <w:rPr>
                <w:rFonts w:eastAsiaTheme="minorHAnsi"/>
                <w:noProof/>
                <w:sz w:val="20"/>
                <w:szCs w:val="20"/>
              </w:rPr>
              <w:t>Option 1 ultimately lower compliance costs for cross-border operators, and in terms of satellite spectrum/EU authorisation fosters innovation and investment in new technologies.</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tcPr>
          <w:p w14:paraId="6B47910B" w14:textId="77777777" w:rsidR="00B47F9A" w:rsidRPr="00F87B9B" w:rsidRDefault="00B47F9A" w:rsidP="00B00D2A">
            <w:pPr>
              <w:spacing w:after="0"/>
              <w:rPr>
                <w:noProof/>
                <w:sz w:val="20"/>
                <w:szCs w:val="20"/>
              </w:rPr>
            </w:pPr>
            <w:r w:rsidRPr="00F87B9B">
              <w:rPr>
                <w:rFonts w:eastAsiaTheme="minorHAnsi"/>
                <w:noProof/>
                <w:sz w:val="20"/>
                <w:szCs w:val="20"/>
              </w:rPr>
              <w:t>+</w:t>
            </w:r>
          </w:p>
          <w:p w14:paraId="33944AF5" w14:textId="77777777" w:rsidR="00B47F9A" w:rsidRPr="00F87B9B" w:rsidRDefault="00B47F9A" w:rsidP="00B00D2A">
            <w:pPr>
              <w:spacing w:after="0"/>
              <w:rPr>
                <w:noProof/>
                <w:sz w:val="20"/>
                <w:szCs w:val="20"/>
              </w:rPr>
            </w:pPr>
            <w:r w:rsidRPr="00F87B9B">
              <w:rPr>
                <w:rFonts w:eastAsiaTheme="minorHAnsi"/>
                <w:noProof/>
                <w:sz w:val="20"/>
                <w:szCs w:val="20"/>
              </w:rPr>
              <w:t>indirect</w:t>
            </w:r>
          </w:p>
        </w:tc>
        <w:tc>
          <w:tcPr>
            <w:tcW w:w="2717" w:type="dxa"/>
            <w:tcBorders>
              <w:top w:val="single" w:sz="8" w:space="0" w:color="auto"/>
              <w:left w:val="single" w:sz="8" w:space="0" w:color="auto"/>
              <w:bottom w:val="single" w:sz="8" w:space="0" w:color="auto"/>
              <w:right w:val="single" w:sz="8" w:space="0" w:color="auto"/>
            </w:tcBorders>
            <w:tcMar>
              <w:left w:w="108" w:type="dxa"/>
              <w:right w:w="108" w:type="dxa"/>
            </w:tcMar>
          </w:tcPr>
          <w:p w14:paraId="5B0C6B80" w14:textId="77777777" w:rsidR="00B47F9A" w:rsidRPr="00F87B9B" w:rsidRDefault="00B47F9A" w:rsidP="00B00D2A">
            <w:pPr>
              <w:spacing w:after="0"/>
              <w:rPr>
                <w:noProof/>
                <w:sz w:val="20"/>
                <w:szCs w:val="20"/>
              </w:rPr>
            </w:pPr>
            <w:r w:rsidRPr="00F87B9B">
              <w:rPr>
                <w:rFonts w:eastAsiaTheme="minorHAnsi"/>
                <w:noProof/>
                <w:sz w:val="20"/>
                <w:szCs w:val="20"/>
              </w:rPr>
              <w:t>0/+</w:t>
            </w:r>
            <w:r w:rsidRPr="00F87B9B">
              <w:rPr>
                <w:noProof/>
                <w:sz w:val="20"/>
                <w:szCs w:val="20"/>
              </w:rPr>
              <w:t xml:space="preserve"> </w:t>
            </w:r>
            <w:r w:rsidRPr="00F87B9B">
              <w:rPr>
                <w:rFonts w:eastAsiaTheme="minorHAnsi"/>
                <w:noProof/>
                <w:sz w:val="20"/>
                <w:szCs w:val="20"/>
              </w:rPr>
              <w:t xml:space="preserve">indirect (lower due to more complex governance set up than in option 1 and 2) </w:t>
            </w:r>
          </w:p>
          <w:p w14:paraId="0684E6D1" w14:textId="77777777" w:rsidR="00B47F9A" w:rsidRPr="00F87B9B" w:rsidRDefault="00B47F9A" w:rsidP="00B00D2A">
            <w:pPr>
              <w:spacing w:after="0"/>
              <w:rPr>
                <w:noProof/>
                <w:sz w:val="20"/>
                <w:szCs w:val="20"/>
              </w:rPr>
            </w:pPr>
            <w:r w:rsidRPr="00F87B9B">
              <w:rPr>
                <w:rFonts w:eastAsiaTheme="minorHAnsi"/>
                <w:noProof/>
                <w:sz w:val="20"/>
                <w:szCs w:val="20"/>
              </w:rPr>
              <w:t xml:space="preserve"> </w:t>
            </w:r>
          </w:p>
        </w:tc>
      </w:tr>
      <w:tr w:rsidR="00B47F9A" w:rsidRPr="00F87B9B" w14:paraId="71660EBC" w14:textId="77777777" w:rsidTr="00B00D2A">
        <w:trPr>
          <w:trHeight w:val="300"/>
        </w:trPr>
        <w:tc>
          <w:tcPr>
            <w:tcW w:w="1597" w:type="dxa"/>
            <w:tcBorders>
              <w:top w:val="single" w:sz="8" w:space="0" w:color="auto"/>
              <w:left w:val="single" w:sz="8" w:space="0" w:color="auto"/>
              <w:bottom w:val="single" w:sz="8" w:space="0" w:color="auto"/>
              <w:right w:val="single" w:sz="8" w:space="0" w:color="auto"/>
            </w:tcBorders>
            <w:tcMar>
              <w:left w:w="108" w:type="dxa"/>
              <w:right w:w="108" w:type="dxa"/>
            </w:tcMar>
          </w:tcPr>
          <w:p w14:paraId="5BF585F2" w14:textId="77777777" w:rsidR="00B47F9A" w:rsidRPr="00F87B9B" w:rsidRDefault="00B47F9A" w:rsidP="00B00D2A">
            <w:pPr>
              <w:spacing w:after="0"/>
              <w:rPr>
                <w:noProof/>
                <w:sz w:val="20"/>
                <w:szCs w:val="20"/>
              </w:rPr>
            </w:pPr>
            <w:r w:rsidRPr="00F87B9B">
              <w:rPr>
                <w:rFonts w:eastAsiaTheme="minorHAnsi"/>
                <w:noProof/>
                <w:sz w:val="20"/>
                <w:szCs w:val="20"/>
              </w:rPr>
              <w:t>Costs</w:t>
            </w:r>
          </w:p>
        </w:tc>
        <w:tc>
          <w:tcPr>
            <w:tcW w:w="2381" w:type="dxa"/>
            <w:tcBorders>
              <w:top w:val="single" w:sz="8" w:space="0" w:color="auto"/>
              <w:left w:val="single" w:sz="8" w:space="0" w:color="auto"/>
              <w:bottom w:val="single" w:sz="8" w:space="0" w:color="auto"/>
              <w:right w:val="single" w:sz="8" w:space="0" w:color="auto"/>
            </w:tcBorders>
            <w:tcMar>
              <w:left w:w="108" w:type="dxa"/>
              <w:right w:w="108" w:type="dxa"/>
            </w:tcMar>
          </w:tcPr>
          <w:p w14:paraId="752086E1" w14:textId="77777777" w:rsidR="00B47F9A" w:rsidRPr="00F87B9B" w:rsidRDefault="00B47F9A" w:rsidP="00B00D2A">
            <w:pPr>
              <w:spacing w:after="0"/>
              <w:rPr>
                <w:noProof/>
                <w:sz w:val="20"/>
                <w:szCs w:val="20"/>
              </w:rPr>
            </w:pPr>
            <w:r w:rsidRPr="00F87B9B">
              <w:rPr>
                <w:rFonts w:eastAsiaTheme="minorHAnsi"/>
                <w:noProof/>
                <w:sz w:val="20"/>
                <w:szCs w:val="20"/>
              </w:rPr>
              <w:t xml:space="preserve">0/unless fees </w:t>
            </w:r>
          </w:p>
        </w:tc>
        <w:tc>
          <w:tcPr>
            <w:tcW w:w="2905" w:type="dxa"/>
            <w:tcBorders>
              <w:top w:val="single" w:sz="8" w:space="0" w:color="auto"/>
              <w:left w:val="single" w:sz="8" w:space="0" w:color="auto"/>
              <w:bottom w:val="single" w:sz="8" w:space="0" w:color="auto"/>
              <w:right w:val="single" w:sz="8" w:space="0" w:color="auto"/>
            </w:tcBorders>
            <w:tcMar>
              <w:left w:w="108" w:type="dxa"/>
              <w:right w:w="108" w:type="dxa"/>
            </w:tcMar>
          </w:tcPr>
          <w:p w14:paraId="7BE34A24" w14:textId="77777777" w:rsidR="00B47F9A" w:rsidRPr="00F87B9B" w:rsidRDefault="00B47F9A" w:rsidP="00B00D2A">
            <w:pPr>
              <w:spacing w:after="0"/>
              <w:rPr>
                <w:noProof/>
                <w:sz w:val="20"/>
                <w:szCs w:val="20"/>
              </w:rPr>
            </w:pPr>
            <w:r w:rsidRPr="00F87B9B">
              <w:rPr>
                <w:rFonts w:eastAsiaTheme="minorHAnsi"/>
                <w:noProof/>
                <w:sz w:val="20"/>
                <w:szCs w:val="20"/>
              </w:rPr>
              <w:t>0/unless fees</w:t>
            </w:r>
          </w:p>
        </w:tc>
        <w:tc>
          <w:tcPr>
            <w:tcW w:w="2717" w:type="dxa"/>
            <w:tcBorders>
              <w:top w:val="single" w:sz="8" w:space="0" w:color="auto"/>
              <w:left w:val="single" w:sz="8" w:space="0" w:color="auto"/>
              <w:bottom w:val="single" w:sz="8" w:space="0" w:color="auto"/>
              <w:right w:val="single" w:sz="8" w:space="0" w:color="auto"/>
            </w:tcBorders>
            <w:tcMar>
              <w:left w:w="108" w:type="dxa"/>
              <w:right w:w="108" w:type="dxa"/>
            </w:tcMar>
          </w:tcPr>
          <w:p w14:paraId="59A03034" w14:textId="77777777" w:rsidR="00B47F9A" w:rsidRPr="00F87B9B" w:rsidRDefault="00B47F9A" w:rsidP="00B00D2A">
            <w:pPr>
              <w:spacing w:after="0"/>
              <w:rPr>
                <w:noProof/>
                <w:sz w:val="20"/>
                <w:szCs w:val="20"/>
              </w:rPr>
            </w:pPr>
            <w:r w:rsidRPr="00F87B9B">
              <w:rPr>
                <w:rFonts w:eastAsiaTheme="minorHAnsi"/>
                <w:noProof/>
                <w:sz w:val="20"/>
                <w:szCs w:val="20"/>
              </w:rPr>
              <w:t>0/unless fees</w:t>
            </w:r>
          </w:p>
        </w:tc>
      </w:tr>
    </w:tbl>
    <w:p w14:paraId="022F17D6" w14:textId="77777777" w:rsidR="00B47F9A" w:rsidRPr="00DE264C" w:rsidRDefault="00B47F9A" w:rsidP="00DE7CC1">
      <w:pPr>
        <w:spacing w:line="240" w:lineRule="auto"/>
        <w:rPr>
          <w:rFonts w:eastAsia="Calibri"/>
          <w:noProof/>
        </w:rPr>
      </w:pPr>
    </w:p>
    <w:p w14:paraId="68E441D3" w14:textId="77777777" w:rsidR="002077CC" w:rsidRPr="00DE264C" w:rsidRDefault="002077CC" w:rsidP="00DE7CC1">
      <w:pPr>
        <w:spacing w:line="240" w:lineRule="auto"/>
        <w:rPr>
          <w:b/>
          <w:bCs/>
          <w:iCs/>
          <w:noProof/>
          <w:u w:val="single"/>
        </w:rPr>
      </w:pPr>
      <w:r w:rsidRPr="00DE264C">
        <w:rPr>
          <w:b/>
          <w:noProof/>
          <w:u w:val="single"/>
        </w:rPr>
        <w:t>Coherence</w:t>
      </w:r>
    </w:p>
    <w:p w14:paraId="17BE26BA" w14:textId="367F3BE8" w:rsidR="002077CC" w:rsidRPr="00DE264C" w:rsidRDefault="009B04DE" w:rsidP="00DE7CC1">
      <w:pPr>
        <w:spacing w:line="240" w:lineRule="auto"/>
        <w:rPr>
          <w:rFonts w:eastAsia="Calibri"/>
          <w:noProof/>
        </w:rPr>
      </w:pPr>
      <w:r w:rsidRPr="00DE264C">
        <w:rPr>
          <w:noProof/>
        </w:rPr>
        <w:t>Under the</w:t>
      </w:r>
      <w:r w:rsidRPr="00DE264C">
        <w:rPr>
          <w:b/>
          <w:bCs/>
          <w:noProof/>
        </w:rPr>
        <w:t xml:space="preserve"> baseline scenario</w:t>
      </w:r>
      <w:r w:rsidRPr="00DE264C">
        <w:rPr>
          <w:noProof/>
        </w:rPr>
        <w:t>, the</w:t>
      </w:r>
      <w:r w:rsidR="005739CB" w:rsidRPr="00DE264C">
        <w:rPr>
          <w:noProof/>
        </w:rPr>
        <w:t xml:space="preserve"> </w:t>
      </w:r>
      <w:r w:rsidR="000A4D9D" w:rsidRPr="00DE264C">
        <w:rPr>
          <w:noProof/>
        </w:rPr>
        <w:t xml:space="preserve">division of tasks between </w:t>
      </w:r>
      <w:r w:rsidR="009A380A" w:rsidRPr="00DE264C">
        <w:rPr>
          <w:noProof/>
        </w:rPr>
        <w:t xml:space="preserve">authorities </w:t>
      </w:r>
      <w:r w:rsidR="00706925" w:rsidRPr="00DE264C">
        <w:rPr>
          <w:noProof/>
        </w:rPr>
        <w:t xml:space="preserve">at national and EU level </w:t>
      </w:r>
      <w:r w:rsidR="00D641D2" w:rsidRPr="00DE264C">
        <w:rPr>
          <w:noProof/>
        </w:rPr>
        <w:t>has shown shortcomings when it comes to coherence of the outputs.</w:t>
      </w:r>
      <w:r w:rsidRPr="00DE264C">
        <w:rPr>
          <w:noProof/>
        </w:rPr>
        <w:t xml:space="preserve"> BEREC and RSPG</w:t>
      </w:r>
      <w:r w:rsidR="00E83EAF" w:rsidRPr="00DE264C">
        <w:rPr>
          <w:noProof/>
        </w:rPr>
        <w:t xml:space="preserve"> </w:t>
      </w:r>
      <w:r w:rsidR="005739CB" w:rsidRPr="00DE264C">
        <w:rPr>
          <w:noProof/>
        </w:rPr>
        <w:t>work</w:t>
      </w:r>
      <w:r w:rsidR="00413740" w:rsidRPr="00DE264C">
        <w:rPr>
          <w:noProof/>
        </w:rPr>
        <w:t>s are separate, despite exist</w:t>
      </w:r>
      <w:r w:rsidR="006C7692" w:rsidRPr="00DE264C">
        <w:rPr>
          <w:noProof/>
        </w:rPr>
        <w:t>ence of interrelated topics</w:t>
      </w:r>
      <w:r w:rsidR="00AA25AB" w:rsidRPr="00DE264C">
        <w:rPr>
          <w:noProof/>
        </w:rPr>
        <w:t xml:space="preserve">, such as satellite communications, and synergies </w:t>
      </w:r>
      <w:r w:rsidR="00156837" w:rsidRPr="00DE264C">
        <w:rPr>
          <w:noProof/>
        </w:rPr>
        <w:t xml:space="preserve">remain </w:t>
      </w:r>
      <w:r w:rsidR="003636D7" w:rsidRPr="00DE264C">
        <w:rPr>
          <w:noProof/>
        </w:rPr>
        <w:t>une</w:t>
      </w:r>
      <w:r w:rsidR="008E7D66" w:rsidRPr="00DE264C">
        <w:rPr>
          <w:noProof/>
        </w:rPr>
        <w:t>xploited</w:t>
      </w:r>
      <w:r w:rsidR="000A4D9D" w:rsidRPr="00DE264C">
        <w:rPr>
          <w:noProof/>
        </w:rPr>
        <w:t>. K</w:t>
      </w:r>
      <w:r w:rsidR="00FE0640" w:rsidRPr="00DE264C">
        <w:rPr>
          <w:noProof/>
        </w:rPr>
        <w:t>eeping the current setup would perp</w:t>
      </w:r>
      <w:r w:rsidR="00CD548F" w:rsidRPr="00DE264C">
        <w:rPr>
          <w:noProof/>
        </w:rPr>
        <w:t>etuate that situation.</w:t>
      </w:r>
      <w:r w:rsidRPr="00DE264C">
        <w:rPr>
          <w:noProof/>
        </w:rPr>
        <w:t xml:space="preserve"> </w:t>
      </w:r>
      <w:r w:rsidR="002077CC" w:rsidRPr="00DE264C">
        <w:rPr>
          <w:b/>
          <w:bCs/>
          <w:noProof/>
        </w:rPr>
        <w:t>Option 1</w:t>
      </w:r>
      <w:r w:rsidR="002077CC" w:rsidRPr="00DE264C">
        <w:rPr>
          <w:noProof/>
        </w:rPr>
        <w:t xml:space="preserve"> </w:t>
      </w:r>
      <w:r w:rsidR="00CD548F" w:rsidRPr="00DE264C">
        <w:rPr>
          <w:noProof/>
        </w:rPr>
        <w:t>promotes coherence</w:t>
      </w:r>
      <w:r w:rsidR="002077CC" w:rsidRPr="00DE264C">
        <w:rPr>
          <w:noProof/>
        </w:rPr>
        <w:t xml:space="preserve"> as regards the application of the law across Member States by empowering the Commission to make decisions on certain cross-border-related tasks</w:t>
      </w:r>
      <w:r w:rsidR="000B42BB" w:rsidRPr="00DE264C">
        <w:rPr>
          <w:rFonts w:eastAsia="Calibri"/>
          <w:noProof/>
        </w:rPr>
        <w:t>, including on harmonising spectrum authorisation conditions and procedures, and satellite spectrum authorisation issues.</w:t>
      </w:r>
      <w:r w:rsidR="002077CC" w:rsidRPr="00DE264C">
        <w:rPr>
          <w:rFonts w:eastAsia="Calibri"/>
          <w:noProof/>
        </w:rPr>
        <w:t xml:space="preserve"> </w:t>
      </w:r>
      <w:r w:rsidR="002D0BAA" w:rsidRPr="00DE264C">
        <w:rPr>
          <w:rFonts w:eastAsia="Calibri"/>
          <w:noProof/>
        </w:rPr>
        <w:t>While</w:t>
      </w:r>
      <w:r w:rsidR="002077CC" w:rsidRPr="00DE264C">
        <w:rPr>
          <w:rFonts w:eastAsia="Calibri"/>
          <w:noProof/>
        </w:rPr>
        <w:t xml:space="preserve"> separate roles of BEREC and RSPG may lead to </w:t>
      </w:r>
      <w:r w:rsidR="002D0BAA" w:rsidRPr="00DE264C">
        <w:rPr>
          <w:rFonts w:eastAsia="Calibri"/>
          <w:noProof/>
        </w:rPr>
        <w:t>some</w:t>
      </w:r>
      <w:r w:rsidR="002077CC" w:rsidRPr="00DE264C">
        <w:rPr>
          <w:rFonts w:eastAsia="Calibri"/>
          <w:noProof/>
        </w:rPr>
        <w:t xml:space="preserve"> overlaps and potential contradictions, the </w:t>
      </w:r>
      <w:r w:rsidR="00A016D9" w:rsidRPr="00DE264C">
        <w:rPr>
          <w:rFonts w:eastAsia="Calibri"/>
          <w:noProof/>
        </w:rPr>
        <w:t>BEREC Office can help build</w:t>
      </w:r>
      <w:r w:rsidR="002077CC" w:rsidRPr="00DE264C">
        <w:rPr>
          <w:rFonts w:eastAsia="Calibri"/>
          <w:noProof/>
        </w:rPr>
        <w:t xml:space="preserve"> a unified approach </w:t>
      </w:r>
      <w:r w:rsidR="00F14029" w:rsidRPr="00DE264C">
        <w:rPr>
          <w:rFonts w:eastAsia="Calibri"/>
          <w:noProof/>
        </w:rPr>
        <w:t>and promote</w:t>
      </w:r>
      <w:r w:rsidR="002077CC" w:rsidRPr="00DE264C">
        <w:rPr>
          <w:rFonts w:eastAsia="Calibri"/>
          <w:noProof/>
        </w:rPr>
        <w:t xml:space="preserve"> coherent regulatory responses </w:t>
      </w:r>
      <w:r w:rsidR="00F14029" w:rsidRPr="00DE264C">
        <w:rPr>
          <w:rFonts w:eastAsia="Calibri"/>
          <w:noProof/>
        </w:rPr>
        <w:t>on</w:t>
      </w:r>
      <w:r w:rsidR="002077CC" w:rsidRPr="00DE264C">
        <w:rPr>
          <w:rFonts w:eastAsia="Calibri"/>
          <w:noProof/>
        </w:rPr>
        <w:t xml:space="preserve"> cross-border issues. </w:t>
      </w:r>
      <w:r w:rsidR="002077CC" w:rsidRPr="00DE264C">
        <w:rPr>
          <w:rFonts w:eastAsia="Calibri"/>
          <w:b/>
          <w:noProof/>
        </w:rPr>
        <w:t>Option 2</w:t>
      </w:r>
      <w:r w:rsidR="002077CC" w:rsidRPr="00DE264C">
        <w:rPr>
          <w:rFonts w:eastAsia="Calibri"/>
          <w:noProof/>
        </w:rPr>
        <w:t xml:space="preserve"> could promote coherence by empowering the Commission to make decisions on spectrum </w:t>
      </w:r>
      <w:r w:rsidR="000B42BB" w:rsidRPr="00DE264C">
        <w:rPr>
          <w:rFonts w:eastAsia="Calibri"/>
          <w:noProof/>
        </w:rPr>
        <w:t xml:space="preserve">similarly to </w:t>
      </w:r>
      <w:r w:rsidR="18F74357" w:rsidRPr="67F9B607">
        <w:rPr>
          <w:rFonts w:eastAsia="Calibri"/>
          <w:noProof/>
        </w:rPr>
        <w:t>o</w:t>
      </w:r>
      <w:r w:rsidR="000B42BB" w:rsidRPr="00DE264C">
        <w:rPr>
          <w:rFonts w:eastAsia="Calibri"/>
          <w:noProof/>
        </w:rPr>
        <w:t>ption 1.</w:t>
      </w:r>
      <w:r w:rsidR="002077CC" w:rsidRPr="00DE264C">
        <w:rPr>
          <w:rFonts w:eastAsia="Calibri"/>
          <w:noProof/>
        </w:rPr>
        <w:t xml:space="preserve"> Merging BEREC and the BEREC Office will bring together the regulatory work and the administrative support, potentially </w:t>
      </w:r>
      <w:r w:rsidR="000B42BB" w:rsidRPr="00DE264C">
        <w:rPr>
          <w:rFonts w:eastAsia="Calibri"/>
          <w:noProof/>
        </w:rPr>
        <w:t>bringing</w:t>
      </w:r>
      <w:r w:rsidR="002077CC" w:rsidRPr="00DE264C">
        <w:rPr>
          <w:rFonts w:eastAsia="Calibri"/>
          <w:noProof/>
        </w:rPr>
        <w:t xml:space="preserve"> more coherence in BEREC’s work and enhancing its ability to foster the consistent implementation of the regulatory framework. BEREC will also fulfil the role of secretariat of the RSPG, which could potentially contribute to the coherence in the work of the latter and BEREC. In addition to benefits of </w:t>
      </w:r>
      <w:r w:rsidR="71F4C0C9" w:rsidRPr="67F9B607">
        <w:rPr>
          <w:rFonts w:eastAsia="Calibri"/>
          <w:noProof/>
        </w:rPr>
        <w:t>o</w:t>
      </w:r>
      <w:r w:rsidR="002077CC" w:rsidRPr="00DE264C">
        <w:rPr>
          <w:rFonts w:eastAsia="Calibri"/>
          <w:noProof/>
        </w:rPr>
        <w:t xml:space="preserve">ption 2, </w:t>
      </w:r>
      <w:r w:rsidR="374DA8FC" w:rsidRPr="67F9B607">
        <w:rPr>
          <w:rFonts w:eastAsia="Calibri"/>
          <w:b/>
          <w:bCs/>
          <w:noProof/>
        </w:rPr>
        <w:t>o</w:t>
      </w:r>
      <w:r w:rsidR="002077CC" w:rsidRPr="67F9B607">
        <w:rPr>
          <w:rFonts w:eastAsia="Calibri"/>
          <w:b/>
          <w:bCs/>
          <w:noProof/>
        </w:rPr>
        <w:t>ption</w:t>
      </w:r>
      <w:r w:rsidR="002077CC" w:rsidRPr="00DE264C">
        <w:rPr>
          <w:rFonts w:eastAsia="Calibri"/>
          <w:b/>
          <w:noProof/>
        </w:rPr>
        <w:t xml:space="preserve"> 3</w:t>
      </w:r>
      <w:r w:rsidR="002077CC" w:rsidRPr="00DE264C">
        <w:rPr>
          <w:rFonts w:eastAsia="Calibri"/>
          <w:noProof/>
        </w:rPr>
        <w:t xml:space="preserve"> could increase coherence by empowering BEREC and RSPG to make decisions as regards cross-border issues. However, this would contribute less to coherence than </w:t>
      </w:r>
      <w:r w:rsidR="231A1A4D" w:rsidRPr="67F9B607">
        <w:rPr>
          <w:rFonts w:eastAsia="Calibri"/>
          <w:noProof/>
        </w:rPr>
        <w:t>o</w:t>
      </w:r>
      <w:r w:rsidR="000B42BB" w:rsidRPr="00DE264C">
        <w:rPr>
          <w:rFonts w:eastAsia="Calibri"/>
          <w:noProof/>
        </w:rPr>
        <w:t>ption 2 where</w:t>
      </w:r>
      <w:r w:rsidR="002077CC" w:rsidRPr="00DE264C">
        <w:rPr>
          <w:rFonts w:eastAsia="Calibri"/>
          <w:noProof/>
        </w:rPr>
        <w:t xml:space="preserve"> competence </w:t>
      </w:r>
      <w:r w:rsidR="000B42BB" w:rsidRPr="00DE264C">
        <w:rPr>
          <w:rFonts w:eastAsia="Calibri"/>
          <w:noProof/>
        </w:rPr>
        <w:t xml:space="preserve">to adopt cross-border decisions </w:t>
      </w:r>
      <w:r w:rsidR="0085538E" w:rsidRPr="00DE264C">
        <w:rPr>
          <w:rFonts w:eastAsia="Calibri"/>
          <w:noProof/>
        </w:rPr>
        <w:t>is with</w:t>
      </w:r>
      <w:r w:rsidR="002077CC" w:rsidRPr="00DE264C">
        <w:rPr>
          <w:rFonts w:eastAsia="Calibri"/>
          <w:noProof/>
        </w:rPr>
        <w:t xml:space="preserve"> the Commission</w:t>
      </w:r>
      <w:r w:rsidR="000B42BB" w:rsidRPr="00DE264C">
        <w:rPr>
          <w:rFonts w:eastAsia="Calibri"/>
          <w:noProof/>
        </w:rPr>
        <w:t>.</w:t>
      </w:r>
      <w:r w:rsidR="002077CC" w:rsidRPr="00DE264C">
        <w:rPr>
          <w:noProof/>
        </w:rPr>
        <w:t xml:space="preserve"> The </w:t>
      </w:r>
      <w:r w:rsidR="0085538E" w:rsidRPr="00DE264C">
        <w:rPr>
          <w:noProof/>
        </w:rPr>
        <w:t>establishment</w:t>
      </w:r>
      <w:r w:rsidR="002077CC" w:rsidRPr="00DE264C">
        <w:rPr>
          <w:noProof/>
        </w:rPr>
        <w:t xml:space="preserve"> of the RSPG as an independent agency could lead to clearer lines of accountability, but it may also create challenges in coordination and coherence with existing frameworks. The potential for conflicting decisions or approaches could undermine overall regulatory coherence. </w:t>
      </w:r>
    </w:p>
    <w:p w14:paraId="2A74BB5D" w14:textId="3406A9EA" w:rsidR="7C7C691D" w:rsidRDefault="7C7C691D" w:rsidP="00DE7CC1">
      <w:pPr>
        <w:pStyle w:val="EYBodytextwithparaspace"/>
        <w:spacing w:before="0" w:after="240" w:line="240" w:lineRule="auto"/>
        <w:rPr>
          <w:rFonts w:ascii="Times New Roman" w:hAnsi="Times New Roman"/>
          <w:noProof/>
        </w:rPr>
      </w:pPr>
      <w:r w:rsidRPr="28A98482">
        <w:rPr>
          <w:rFonts w:ascii="Times New Roman" w:hAnsi="Times New Roman"/>
          <w:noProof/>
        </w:rPr>
        <w:t xml:space="preserve">Sections addressing relevance and EU added value per governance options can be found in Annex 9 section </w:t>
      </w:r>
      <w:r w:rsidRPr="715E0B5E">
        <w:rPr>
          <w:rFonts w:ascii="Times New Roman" w:hAnsi="Times New Roman"/>
          <w:noProof/>
        </w:rPr>
        <w:t>1.</w:t>
      </w:r>
      <w:r w:rsidR="630EC0A5" w:rsidRPr="715E0B5E">
        <w:rPr>
          <w:rFonts w:ascii="Times New Roman" w:hAnsi="Times New Roman"/>
          <w:noProof/>
        </w:rPr>
        <w:t>4</w:t>
      </w:r>
      <w:r w:rsidRPr="715E0B5E">
        <w:rPr>
          <w:rFonts w:ascii="Times New Roman" w:hAnsi="Times New Roman"/>
          <w:noProof/>
        </w:rPr>
        <w:t>.</w:t>
      </w:r>
    </w:p>
    <w:p w14:paraId="7AFB791A" w14:textId="77777777" w:rsidR="00EA4576" w:rsidRPr="00DE264C" w:rsidRDefault="00EA4576" w:rsidP="00DE7CC1">
      <w:pPr>
        <w:spacing w:line="240" w:lineRule="auto"/>
        <w:rPr>
          <w:b/>
          <w:i/>
          <w:noProof/>
          <w:u w:val="single"/>
        </w:rPr>
      </w:pPr>
      <w:r w:rsidRPr="00DE264C">
        <w:rPr>
          <w:b/>
          <w:noProof/>
          <w:u w:val="single"/>
        </w:rPr>
        <w:t>Stakeholders’ feedback</w:t>
      </w:r>
    </w:p>
    <w:p w14:paraId="6493D29E" w14:textId="03B071A5" w:rsidR="00EA4576" w:rsidRPr="00DE264C" w:rsidRDefault="00EA4576" w:rsidP="00DE7CC1">
      <w:pPr>
        <w:spacing w:line="240" w:lineRule="auto"/>
        <w:rPr>
          <w:rFonts w:eastAsia="Times New Roman"/>
          <w:noProof/>
        </w:rPr>
      </w:pPr>
      <w:r w:rsidRPr="00DE264C">
        <w:rPr>
          <w:rFonts w:eastAsia="Times New Roman"/>
          <w:noProof/>
        </w:rPr>
        <w:t xml:space="preserve">In response to the </w:t>
      </w:r>
      <w:r w:rsidRPr="00DE264C">
        <w:rPr>
          <w:rFonts w:eastAsia="Times New Roman"/>
          <w:b/>
          <w:noProof/>
        </w:rPr>
        <w:t>Call for Evidence</w:t>
      </w:r>
      <w:r w:rsidRPr="00DE264C">
        <w:rPr>
          <w:rFonts w:eastAsia="Times New Roman"/>
          <w:noProof/>
        </w:rPr>
        <w:t xml:space="preserve">, </w:t>
      </w:r>
      <w:r w:rsidR="00705022" w:rsidRPr="00DE264C">
        <w:rPr>
          <w:rFonts w:eastAsia="Times New Roman"/>
          <w:noProof/>
        </w:rPr>
        <w:t>m</w:t>
      </w:r>
      <w:r w:rsidRPr="00DE264C">
        <w:rPr>
          <w:rFonts w:eastAsia="Times New Roman"/>
          <w:noProof/>
        </w:rPr>
        <w:t>any stakeholders mentioned the need to differentiate between (1) the national markets which should remain under supervision of independent NRAs whose expertise is invaluable and (2) horizontal/harmonised and cross-border issues which could be better addressed at EU level. Some mentioned also a need to differentiate between governance of access regulation and spectrum management.</w:t>
      </w:r>
      <w:r w:rsidR="00AB0172" w:rsidRPr="00DE264C">
        <w:rPr>
          <w:rFonts w:eastAsia="Times New Roman"/>
          <w:noProof/>
        </w:rPr>
        <w:t xml:space="preserve"> </w:t>
      </w:r>
      <w:r w:rsidR="00670923" w:rsidRPr="00DE264C">
        <w:rPr>
          <w:rFonts w:eastAsia="Times New Roman"/>
          <w:noProof/>
        </w:rPr>
        <w:t>W</w:t>
      </w:r>
      <w:r w:rsidRPr="00DE264C">
        <w:rPr>
          <w:rFonts w:eastAsia="Times New Roman"/>
          <w:noProof/>
        </w:rPr>
        <w:t xml:space="preserve">hile acknowledging the achievements of BEREC and RSPG, </w:t>
      </w:r>
      <w:r w:rsidR="00FB58D9" w:rsidRPr="00DE264C">
        <w:rPr>
          <w:rFonts w:eastAsia="Times New Roman"/>
          <w:noProof/>
        </w:rPr>
        <w:t xml:space="preserve">various </w:t>
      </w:r>
      <w:r w:rsidRPr="00DE264C">
        <w:rPr>
          <w:rFonts w:eastAsia="Times New Roman"/>
          <w:noProof/>
        </w:rPr>
        <w:t>stakeholders (company/business group, business associations and public authorities) showed openness to improving coordination and to enhancements (including new tasks) aimed at handling single market topics</w:t>
      </w:r>
      <w:r w:rsidR="00267A1D" w:rsidRPr="00DE264C">
        <w:rPr>
          <w:rFonts w:eastAsia="Times New Roman"/>
          <w:noProof/>
        </w:rPr>
        <w:t>, while</w:t>
      </w:r>
      <w:r w:rsidRPr="00DE264C">
        <w:rPr>
          <w:rFonts w:eastAsia="Times New Roman"/>
          <w:noProof/>
        </w:rPr>
        <w:t xml:space="preserve"> avoid</w:t>
      </w:r>
      <w:r w:rsidR="00267A1D" w:rsidRPr="00DE264C">
        <w:rPr>
          <w:rFonts w:eastAsia="Times New Roman"/>
          <w:noProof/>
        </w:rPr>
        <w:t>ing</w:t>
      </w:r>
      <w:r w:rsidRPr="00DE264C">
        <w:rPr>
          <w:rFonts w:eastAsia="Times New Roman"/>
          <w:noProof/>
        </w:rPr>
        <w:t xml:space="preserve"> overcentralisation and maintain</w:t>
      </w:r>
      <w:r w:rsidR="00267A1D" w:rsidRPr="00DE264C">
        <w:rPr>
          <w:rFonts w:eastAsia="Times New Roman"/>
          <w:noProof/>
        </w:rPr>
        <w:t>ing</w:t>
      </w:r>
      <w:r w:rsidRPr="00DE264C">
        <w:rPr>
          <w:rFonts w:eastAsia="Times New Roman"/>
          <w:noProof/>
        </w:rPr>
        <w:t xml:space="preserve"> flexibility for national circumstances and Member States’ competences. </w:t>
      </w:r>
      <w:r w:rsidR="00267A1D" w:rsidRPr="00DE264C">
        <w:rPr>
          <w:rFonts w:eastAsia="Times New Roman"/>
          <w:noProof/>
        </w:rPr>
        <w:t>T</w:t>
      </w:r>
      <w:r w:rsidRPr="00DE264C">
        <w:rPr>
          <w:rFonts w:eastAsia="Times New Roman"/>
          <w:noProof/>
        </w:rPr>
        <w:t xml:space="preserve">he responding public authorities acknowledged that the DNA could improve EU governance by enhancing respective roles of BEREC, BEREC Office and RSPG to address various pan-European tasks, and granting them sufficient administrative and regulatory capacity. </w:t>
      </w:r>
    </w:p>
    <w:p w14:paraId="08070C9B" w14:textId="783F5C4C" w:rsidR="00F74E6E" w:rsidRPr="00DE264C" w:rsidRDefault="00EA4576" w:rsidP="00DE7CC1">
      <w:pPr>
        <w:spacing w:line="240" w:lineRule="auto"/>
        <w:rPr>
          <w:noProof/>
        </w:rPr>
      </w:pPr>
      <w:r w:rsidRPr="00DE264C">
        <w:rPr>
          <w:rFonts w:eastAsia="Times New Roman"/>
          <w:noProof/>
        </w:rPr>
        <w:t xml:space="preserve">In the </w:t>
      </w:r>
      <w:r w:rsidRPr="00DE264C">
        <w:rPr>
          <w:rFonts w:eastAsia="Times New Roman"/>
          <w:b/>
          <w:bCs/>
          <w:noProof/>
        </w:rPr>
        <w:t>targeted consultation</w:t>
      </w:r>
      <w:r w:rsidRPr="00DE264C">
        <w:rPr>
          <w:rFonts w:eastAsia="Times New Roman"/>
          <w:noProof/>
        </w:rPr>
        <w:t xml:space="preserve"> carried out in the context of the study, respondents were very positive for providing the RSPG with more administrative support (more than 75% of respondents), as proposed in </w:t>
      </w:r>
      <w:r w:rsidR="00071B70" w:rsidRPr="00DE264C">
        <w:rPr>
          <w:rFonts w:eastAsia="Times New Roman"/>
          <w:noProof/>
        </w:rPr>
        <w:t xml:space="preserve">option </w:t>
      </w:r>
      <w:r w:rsidRPr="00DE264C">
        <w:rPr>
          <w:rFonts w:eastAsia="Times New Roman"/>
          <w:noProof/>
        </w:rPr>
        <w:t xml:space="preserve">1 and 2. However, over 75% of the respondents do not consider that a change of nature of the RSPG, from expert group to a body, would be beneficial. Respondents were also overwhelmingly against making the RSPG a fully-fledged EU agency with legal personality and decision-making powers on cross-border spectrum matters as proposed in </w:t>
      </w:r>
      <w:r w:rsidR="00071B70" w:rsidRPr="00DE264C">
        <w:rPr>
          <w:rFonts w:eastAsia="Times New Roman"/>
          <w:noProof/>
        </w:rPr>
        <w:t>o</w:t>
      </w:r>
      <w:r w:rsidRPr="00DE264C">
        <w:rPr>
          <w:rFonts w:eastAsia="Times New Roman"/>
          <w:noProof/>
        </w:rPr>
        <w:t xml:space="preserve">ption </w:t>
      </w:r>
      <w:r w:rsidR="00D50AC3" w:rsidRPr="00DE264C">
        <w:rPr>
          <w:rFonts w:eastAsia="Times New Roman"/>
          <w:noProof/>
        </w:rPr>
        <w:t>3</w:t>
      </w:r>
      <w:r w:rsidRPr="00DE264C">
        <w:rPr>
          <w:rFonts w:eastAsia="Times New Roman"/>
          <w:noProof/>
        </w:rPr>
        <w:t xml:space="preserve">. </w:t>
      </w:r>
      <w:r w:rsidR="000E7DAD" w:rsidRPr="00DE264C">
        <w:rPr>
          <w:rFonts w:eastAsia="Times New Roman"/>
          <w:noProof/>
        </w:rPr>
        <w:t>Merging BEREC and BEREC Office as proposed in</w:t>
      </w:r>
      <w:r w:rsidR="00A21D87" w:rsidRPr="00DE264C">
        <w:rPr>
          <w:rFonts w:eastAsia="Times New Roman"/>
          <w:noProof/>
        </w:rPr>
        <w:t xml:space="preserve"> </w:t>
      </w:r>
      <w:r w:rsidR="00635758" w:rsidRPr="00DE264C">
        <w:rPr>
          <w:rFonts w:eastAsia="Times New Roman"/>
          <w:noProof/>
        </w:rPr>
        <w:t>o</w:t>
      </w:r>
      <w:r w:rsidRPr="00DE264C">
        <w:rPr>
          <w:rFonts w:eastAsia="Times New Roman"/>
          <w:noProof/>
        </w:rPr>
        <w:t xml:space="preserve">ption 2 was supported only by few respondents, while the majority of respondents strongly opposed it. </w:t>
      </w:r>
      <w:r w:rsidRPr="00DE264C">
        <w:rPr>
          <w:noProof/>
        </w:rPr>
        <w:t xml:space="preserve">Looking at </w:t>
      </w:r>
      <w:r w:rsidR="000E7DAD" w:rsidRPr="00DE264C">
        <w:rPr>
          <w:noProof/>
        </w:rPr>
        <w:t>different aspects of</w:t>
      </w:r>
      <w:r w:rsidRPr="00DE264C">
        <w:rPr>
          <w:noProof/>
        </w:rPr>
        <w:t xml:space="preserve"> the three different policy options investigated, the measures under </w:t>
      </w:r>
      <w:r w:rsidR="00635758" w:rsidRPr="00DE264C">
        <w:rPr>
          <w:noProof/>
        </w:rPr>
        <w:t>o</w:t>
      </w:r>
      <w:r w:rsidRPr="00DE264C">
        <w:rPr>
          <w:noProof/>
        </w:rPr>
        <w:t xml:space="preserve">ptions 1 gained more support among the respondents to the targeted survey than </w:t>
      </w:r>
      <w:r w:rsidR="00635758" w:rsidRPr="00DE264C">
        <w:rPr>
          <w:noProof/>
        </w:rPr>
        <w:t>o</w:t>
      </w:r>
      <w:r w:rsidRPr="00DE264C">
        <w:rPr>
          <w:noProof/>
        </w:rPr>
        <w:t xml:space="preserve">ption </w:t>
      </w:r>
      <w:r w:rsidR="00071B70" w:rsidRPr="00DE264C">
        <w:rPr>
          <w:noProof/>
        </w:rPr>
        <w:t xml:space="preserve">2 and </w:t>
      </w:r>
      <w:r w:rsidRPr="00DE264C">
        <w:rPr>
          <w:noProof/>
        </w:rPr>
        <w:t>3</w:t>
      </w:r>
      <w:r w:rsidR="006E7164" w:rsidRPr="00DE264C">
        <w:rPr>
          <w:noProof/>
        </w:rPr>
        <w:t>.</w:t>
      </w:r>
      <w:r w:rsidRPr="00DE264C">
        <w:rPr>
          <w:noProof/>
        </w:rPr>
        <w:t xml:space="preserve"> </w:t>
      </w:r>
    </w:p>
    <w:p w14:paraId="3115EF98" w14:textId="1BC940B5" w:rsidR="00B9676E" w:rsidRPr="00DE264C" w:rsidRDefault="001A3AA1" w:rsidP="00DE7CC1">
      <w:pPr>
        <w:spacing w:line="240" w:lineRule="auto"/>
        <w:rPr>
          <w:b/>
          <w:bCs/>
          <w:noProof/>
          <w:u w:val="single"/>
        </w:rPr>
      </w:pPr>
      <w:r w:rsidRPr="00DE264C">
        <w:rPr>
          <w:b/>
          <w:noProof/>
          <w:u w:val="single"/>
        </w:rPr>
        <w:t>Summary</w:t>
      </w:r>
    </w:p>
    <w:p w14:paraId="2181C350" w14:textId="4C42DE00" w:rsidR="00FA5340" w:rsidRPr="00DE264C" w:rsidRDefault="00FA5340" w:rsidP="00DE7CC1">
      <w:pPr>
        <w:spacing w:line="240" w:lineRule="auto"/>
        <w:rPr>
          <w:rFonts w:eastAsia="Calibri"/>
          <w:noProof/>
        </w:rPr>
      </w:pPr>
      <w:r w:rsidRPr="00DE264C">
        <w:rPr>
          <w:rFonts w:eastAsia="Calibri"/>
          <w:noProof/>
        </w:rPr>
        <w:t>The table below summarises the overall costs and benefits for the different stakeholders by option.</w:t>
      </w:r>
    </w:p>
    <w:p w14:paraId="562AD0F1" w14:textId="0884D4E4" w:rsidR="00D238CB" w:rsidRPr="0056078A" w:rsidRDefault="00D238CB" w:rsidP="00236E38">
      <w:pPr>
        <w:pStyle w:val="CommentText"/>
        <w:keepNext/>
        <w:keepLines/>
        <w:spacing w:before="120" w:after="120"/>
        <w:rPr>
          <w:rFonts w:eastAsia="Times New Roman"/>
          <w:i/>
          <w:noProof/>
          <w:color w:val="000000" w:themeColor="text1"/>
          <w:u w:val="single"/>
        </w:rPr>
      </w:pPr>
      <w:r w:rsidRPr="0056078A">
        <w:rPr>
          <w:rFonts w:eastAsia="Times New Roman"/>
          <w:i/>
          <w:iCs/>
          <w:noProof/>
          <w:color w:val="000000" w:themeColor="text1"/>
          <w:sz w:val="24"/>
          <w:szCs w:val="24"/>
          <w:u w:val="single"/>
        </w:rPr>
        <w:t xml:space="preserve">Table </w:t>
      </w:r>
      <w:r w:rsidR="00CB62D4">
        <w:rPr>
          <w:rFonts w:eastAsia="Times New Roman"/>
          <w:i/>
          <w:iCs/>
          <w:noProof/>
          <w:color w:val="000000" w:themeColor="text1"/>
          <w:sz w:val="24"/>
          <w:szCs w:val="24"/>
          <w:u w:val="single"/>
        </w:rPr>
        <w:t>30</w:t>
      </w:r>
      <w:r w:rsidRPr="0056078A">
        <w:rPr>
          <w:rFonts w:eastAsia="Times New Roman"/>
          <w:i/>
          <w:iCs/>
          <w:noProof/>
          <w:color w:val="000000" w:themeColor="text1"/>
          <w:sz w:val="24"/>
          <w:szCs w:val="24"/>
          <w:u w:val="single"/>
        </w:rPr>
        <w:t>:</w:t>
      </w:r>
      <w:r w:rsidR="0056078A" w:rsidRPr="0056078A">
        <w:rPr>
          <w:noProof/>
          <w:u w:val="single"/>
        </w:rPr>
        <w:t xml:space="preserve"> </w:t>
      </w:r>
      <w:r w:rsidRPr="0056078A">
        <w:rPr>
          <w:rFonts w:eastAsia="Times New Roman"/>
          <w:i/>
          <w:iCs/>
          <w:noProof/>
          <w:color w:val="000000" w:themeColor="text1"/>
          <w:sz w:val="24"/>
          <w:szCs w:val="24"/>
          <w:u w:val="single"/>
        </w:rPr>
        <w:t xml:space="preserve">Summary of costs and benefits for Governance options </w:t>
      </w:r>
    </w:p>
    <w:tbl>
      <w:tblPr>
        <w:tblStyle w:val="TableGrid"/>
        <w:tblW w:w="99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098"/>
        <w:gridCol w:w="2608"/>
        <w:gridCol w:w="2608"/>
        <w:gridCol w:w="2608"/>
      </w:tblGrid>
      <w:tr w:rsidR="00052CC9" w:rsidRPr="00DE264C" w14:paraId="0F5F6BE8" w14:textId="77777777">
        <w:trPr>
          <w:trHeight w:val="761"/>
        </w:trPr>
        <w:tc>
          <w:tcPr>
            <w:tcW w:w="2098" w:type="dxa"/>
          </w:tcPr>
          <w:p w14:paraId="62F644EC" w14:textId="77777777" w:rsidR="00052CC9" w:rsidRPr="00DE264C" w:rsidRDefault="00052CC9">
            <w:pPr>
              <w:spacing w:after="120"/>
              <w:rPr>
                <w:rFonts w:eastAsia="Calibri"/>
                <w:noProof/>
              </w:rPr>
            </w:pPr>
          </w:p>
        </w:tc>
        <w:tc>
          <w:tcPr>
            <w:tcW w:w="2608" w:type="dxa"/>
          </w:tcPr>
          <w:p w14:paraId="1CBEFCBC" w14:textId="5D9E18CF" w:rsidR="00052CC9" w:rsidRPr="00DE264C" w:rsidRDefault="00853631">
            <w:pPr>
              <w:spacing w:after="120"/>
              <w:jc w:val="left"/>
              <w:rPr>
                <w:rFonts w:eastAsia="Calibri"/>
                <w:b/>
                <w:bCs/>
                <w:noProof/>
                <w:sz w:val="20"/>
                <w:szCs w:val="20"/>
              </w:rPr>
            </w:pPr>
            <w:r w:rsidRPr="00DE264C">
              <w:rPr>
                <w:rFonts w:eastAsiaTheme="minorHAnsi"/>
                <w:b/>
                <w:bCs/>
                <w:noProof/>
                <w:sz w:val="20"/>
                <w:szCs w:val="20"/>
              </w:rPr>
              <w:t xml:space="preserve">O1. BEREC&amp;RSPG as two separate bodies supported by the </w:t>
            </w:r>
            <w:r w:rsidR="006053BF" w:rsidRPr="00DE264C">
              <w:rPr>
                <w:rFonts w:eastAsiaTheme="minorHAnsi"/>
                <w:b/>
                <w:bCs/>
                <w:noProof/>
                <w:sz w:val="20"/>
                <w:szCs w:val="20"/>
              </w:rPr>
              <w:t>BEREC</w:t>
            </w:r>
            <w:r w:rsidRPr="00DE264C">
              <w:rPr>
                <w:rFonts w:eastAsiaTheme="minorHAnsi"/>
                <w:b/>
                <w:bCs/>
                <w:noProof/>
                <w:sz w:val="20"/>
                <w:szCs w:val="20"/>
              </w:rPr>
              <w:t xml:space="preserve"> Office</w:t>
            </w:r>
          </w:p>
        </w:tc>
        <w:tc>
          <w:tcPr>
            <w:tcW w:w="2608" w:type="dxa"/>
          </w:tcPr>
          <w:p w14:paraId="65F27A75" w14:textId="2C2FA048" w:rsidR="00052CC9" w:rsidRPr="00DE264C" w:rsidRDefault="00853631">
            <w:pPr>
              <w:spacing w:after="120"/>
              <w:jc w:val="left"/>
              <w:rPr>
                <w:rFonts w:eastAsia="Calibri"/>
                <w:b/>
                <w:bCs/>
                <w:noProof/>
                <w:sz w:val="20"/>
                <w:szCs w:val="20"/>
              </w:rPr>
            </w:pPr>
            <w:r w:rsidRPr="00DE264C">
              <w:rPr>
                <w:b/>
                <w:noProof/>
                <w:sz w:val="20"/>
                <w:szCs w:val="20"/>
              </w:rPr>
              <w:t>O2. EU agency (BEREC and BO merged), providing an office to the RSPG</w:t>
            </w:r>
          </w:p>
        </w:tc>
        <w:tc>
          <w:tcPr>
            <w:tcW w:w="2608" w:type="dxa"/>
          </w:tcPr>
          <w:p w14:paraId="2250C341" w14:textId="2DFBD0C5" w:rsidR="00052CC9" w:rsidRPr="00DE264C" w:rsidRDefault="00853631">
            <w:pPr>
              <w:spacing w:after="120"/>
              <w:jc w:val="left"/>
              <w:rPr>
                <w:rFonts w:eastAsia="Calibri"/>
                <w:b/>
                <w:bCs/>
                <w:noProof/>
                <w:sz w:val="20"/>
                <w:szCs w:val="20"/>
              </w:rPr>
            </w:pPr>
            <w:r w:rsidRPr="00DE264C">
              <w:rPr>
                <w:b/>
                <w:noProof/>
                <w:sz w:val="20"/>
                <w:szCs w:val="20"/>
              </w:rPr>
              <w:t>O3. Two separate agencies – BEREC + BO and RSPG</w:t>
            </w:r>
          </w:p>
        </w:tc>
      </w:tr>
      <w:tr w:rsidR="00052CC9" w:rsidRPr="00DE264C" w14:paraId="17158394" w14:textId="77777777">
        <w:tc>
          <w:tcPr>
            <w:tcW w:w="2098" w:type="dxa"/>
          </w:tcPr>
          <w:p w14:paraId="5ABB6E35" w14:textId="152AA281" w:rsidR="00052CC9" w:rsidRPr="00DE264C" w:rsidRDefault="00052CC9">
            <w:pPr>
              <w:spacing w:after="120"/>
              <w:rPr>
                <w:rFonts w:eastAsia="Calibri"/>
                <w:noProof/>
              </w:rPr>
            </w:pPr>
            <w:r w:rsidRPr="00DE264C">
              <w:rPr>
                <w:b/>
                <w:bCs/>
                <w:noProof/>
                <w:sz w:val="20"/>
              </w:rPr>
              <w:t xml:space="preserve">Net Value for Citizens and </w:t>
            </w:r>
            <w:r w:rsidRPr="00DE264C">
              <w:rPr>
                <w:noProof/>
                <w:sz w:val="20"/>
              </w:rPr>
              <w:t>industrial sectors (e.g. verticals)</w:t>
            </w:r>
          </w:p>
        </w:tc>
        <w:tc>
          <w:tcPr>
            <w:tcW w:w="2608" w:type="dxa"/>
          </w:tcPr>
          <w:p w14:paraId="637FD9AB" w14:textId="4C542564" w:rsidR="00052CC9" w:rsidRPr="00DE264C" w:rsidRDefault="004274FC">
            <w:pPr>
              <w:spacing w:after="120"/>
              <w:rPr>
                <w:rFonts w:eastAsia="Calibri"/>
                <w:noProof/>
              </w:rPr>
            </w:pPr>
            <w:r w:rsidRPr="00DE264C">
              <w:rPr>
                <w:rFonts w:eastAsiaTheme="minorHAnsi"/>
                <w:noProof/>
                <w:sz w:val="20"/>
                <w:szCs w:val="20"/>
              </w:rPr>
              <w:t>+</w:t>
            </w:r>
          </w:p>
        </w:tc>
        <w:tc>
          <w:tcPr>
            <w:tcW w:w="2608" w:type="dxa"/>
          </w:tcPr>
          <w:p w14:paraId="3ACE5CF9" w14:textId="78260755" w:rsidR="00052CC9" w:rsidRPr="00DE264C" w:rsidRDefault="004274FC">
            <w:pPr>
              <w:spacing w:after="120"/>
              <w:rPr>
                <w:rFonts w:eastAsia="Calibri"/>
                <w:noProof/>
              </w:rPr>
            </w:pPr>
            <w:r w:rsidRPr="00DE264C">
              <w:rPr>
                <w:rFonts w:eastAsiaTheme="minorHAnsi"/>
                <w:noProof/>
                <w:sz w:val="20"/>
                <w:szCs w:val="20"/>
              </w:rPr>
              <w:t>+</w:t>
            </w:r>
          </w:p>
        </w:tc>
        <w:tc>
          <w:tcPr>
            <w:tcW w:w="2608" w:type="dxa"/>
          </w:tcPr>
          <w:p w14:paraId="19D18CDC" w14:textId="638D2CB1" w:rsidR="00052CC9" w:rsidRPr="00DE264C" w:rsidRDefault="004274FC">
            <w:pPr>
              <w:spacing w:after="120"/>
              <w:rPr>
                <w:rFonts w:eastAsia="Calibri"/>
                <w:noProof/>
              </w:rPr>
            </w:pPr>
            <w:r w:rsidRPr="00DE264C">
              <w:rPr>
                <w:rFonts w:eastAsiaTheme="minorHAnsi"/>
                <w:noProof/>
                <w:sz w:val="20"/>
                <w:szCs w:val="20"/>
              </w:rPr>
              <w:t>0/+</w:t>
            </w:r>
          </w:p>
        </w:tc>
      </w:tr>
      <w:tr w:rsidR="00052CC9" w:rsidRPr="00DE264C" w14:paraId="0CADE236" w14:textId="77777777">
        <w:tc>
          <w:tcPr>
            <w:tcW w:w="2098" w:type="dxa"/>
          </w:tcPr>
          <w:p w14:paraId="2F658C53" w14:textId="77777777" w:rsidR="00052CC9" w:rsidRPr="00DE264C" w:rsidRDefault="00052CC9">
            <w:pPr>
              <w:spacing w:after="120"/>
              <w:rPr>
                <w:rFonts w:eastAsia="Calibri"/>
                <w:noProof/>
              </w:rPr>
            </w:pPr>
            <w:r w:rsidRPr="00DE264C">
              <w:rPr>
                <w:b/>
                <w:bCs/>
                <w:noProof/>
                <w:sz w:val="20"/>
              </w:rPr>
              <w:t>Net Value for Operator</w:t>
            </w:r>
          </w:p>
        </w:tc>
        <w:tc>
          <w:tcPr>
            <w:tcW w:w="2608" w:type="dxa"/>
          </w:tcPr>
          <w:p w14:paraId="65C51189" w14:textId="51B20C48" w:rsidR="00052CC9" w:rsidRPr="00DE264C" w:rsidRDefault="00313F45">
            <w:pPr>
              <w:spacing w:after="120"/>
              <w:rPr>
                <w:rFonts w:eastAsia="Calibri"/>
                <w:noProof/>
              </w:rPr>
            </w:pPr>
            <w:r w:rsidRPr="00DE264C">
              <w:rPr>
                <w:rFonts w:eastAsia="Calibri"/>
                <w:noProof/>
              </w:rPr>
              <w:t>+ (unless fees)</w:t>
            </w:r>
          </w:p>
        </w:tc>
        <w:tc>
          <w:tcPr>
            <w:tcW w:w="2608" w:type="dxa"/>
          </w:tcPr>
          <w:p w14:paraId="543E9640" w14:textId="585248C0" w:rsidR="00052CC9" w:rsidRPr="00DE264C" w:rsidRDefault="00313F45">
            <w:pPr>
              <w:spacing w:after="120"/>
              <w:rPr>
                <w:rFonts w:eastAsia="Calibri"/>
                <w:noProof/>
              </w:rPr>
            </w:pPr>
            <w:r w:rsidRPr="00DE264C">
              <w:rPr>
                <w:rFonts w:eastAsia="Calibri"/>
                <w:noProof/>
              </w:rPr>
              <w:t>+ (unless fees)</w:t>
            </w:r>
          </w:p>
        </w:tc>
        <w:tc>
          <w:tcPr>
            <w:tcW w:w="2608" w:type="dxa"/>
          </w:tcPr>
          <w:p w14:paraId="0016FB28" w14:textId="0D78BB0C" w:rsidR="00052CC9" w:rsidRPr="00DE264C" w:rsidRDefault="00313F45">
            <w:pPr>
              <w:spacing w:after="120"/>
              <w:rPr>
                <w:rFonts w:eastAsia="Calibri"/>
                <w:noProof/>
              </w:rPr>
            </w:pPr>
            <w:r w:rsidRPr="00DE264C">
              <w:rPr>
                <w:rFonts w:eastAsia="Calibri"/>
                <w:noProof/>
              </w:rPr>
              <w:t>0 (unless fees)</w:t>
            </w:r>
          </w:p>
        </w:tc>
      </w:tr>
    </w:tbl>
    <w:p w14:paraId="3195642D" w14:textId="4F24F74C" w:rsidR="00B9676E" w:rsidRPr="00DE264C" w:rsidRDefault="00B9676E" w:rsidP="00DE7CC1">
      <w:pPr>
        <w:spacing w:before="240" w:line="240" w:lineRule="auto"/>
        <w:rPr>
          <w:noProof/>
        </w:rPr>
      </w:pPr>
      <w:r w:rsidRPr="00DE264C">
        <w:rPr>
          <w:noProof/>
        </w:rPr>
        <w:t xml:space="preserve">The table below shows comparison of the options in terms of effectiveness, efficiency, coherence and EU added value. </w:t>
      </w:r>
      <w:r w:rsidR="004F4E15" w:rsidRPr="002A7160">
        <w:rPr>
          <w:noProof/>
        </w:rPr>
        <w:t>Option 1 is considered to be the preferred option.</w:t>
      </w:r>
      <w:r w:rsidR="008213F8" w:rsidRPr="002A7160">
        <w:rPr>
          <w:noProof/>
        </w:rPr>
        <w:t xml:space="preserve"> </w:t>
      </w:r>
    </w:p>
    <w:p w14:paraId="1D3A4267" w14:textId="5D06FA53" w:rsidR="00A2228E" w:rsidRPr="0056078A" w:rsidRDefault="00A2228E" w:rsidP="008E3D9B">
      <w:pPr>
        <w:pStyle w:val="Caption"/>
        <w:keepNext/>
        <w:keepLines/>
        <w:rPr>
          <w:noProof/>
          <w:color w:val="auto"/>
          <w:sz w:val="24"/>
          <w:szCs w:val="24"/>
          <w:u w:val="single"/>
        </w:rPr>
      </w:pPr>
      <w:bookmarkStart w:id="421" w:name="_Toc208340704"/>
      <w:r w:rsidRPr="0056078A">
        <w:rPr>
          <w:noProof/>
          <w:color w:val="auto"/>
          <w:sz w:val="24"/>
          <w:szCs w:val="24"/>
          <w:u w:val="single"/>
        </w:rPr>
        <w:t xml:space="preserve">Table </w:t>
      </w:r>
      <w:r w:rsidR="00D238CB" w:rsidRPr="0056078A">
        <w:rPr>
          <w:noProof/>
          <w:color w:val="auto"/>
          <w:sz w:val="24"/>
          <w:szCs w:val="24"/>
          <w:u w:val="single"/>
        </w:rPr>
        <w:t>3</w:t>
      </w:r>
      <w:r w:rsidR="00CB62D4">
        <w:rPr>
          <w:noProof/>
          <w:color w:val="auto"/>
          <w:sz w:val="24"/>
          <w:szCs w:val="24"/>
          <w:u w:val="single"/>
        </w:rPr>
        <w:t>1</w:t>
      </w:r>
      <w:r w:rsidR="00D238CB" w:rsidRPr="0056078A">
        <w:rPr>
          <w:noProof/>
          <w:color w:val="auto"/>
          <w:sz w:val="24"/>
          <w:szCs w:val="24"/>
          <w:u w:val="single"/>
        </w:rPr>
        <w:t>:</w:t>
      </w:r>
      <w:r w:rsidRPr="0056078A">
        <w:rPr>
          <w:noProof/>
          <w:color w:val="auto"/>
          <w:sz w:val="24"/>
          <w:szCs w:val="24"/>
          <w:u w:val="single"/>
        </w:rPr>
        <w:t xml:space="preserve"> </w:t>
      </w:r>
      <w:r w:rsidR="00477AE5" w:rsidRPr="0056078A">
        <w:rPr>
          <w:noProof/>
          <w:color w:val="auto"/>
          <w:sz w:val="24"/>
          <w:szCs w:val="24"/>
          <w:u w:val="single"/>
        </w:rPr>
        <w:t>G</w:t>
      </w:r>
      <w:r w:rsidRPr="0056078A">
        <w:rPr>
          <w:noProof/>
          <w:color w:val="auto"/>
          <w:sz w:val="24"/>
          <w:szCs w:val="24"/>
          <w:u w:val="single"/>
        </w:rPr>
        <w:t>overnance: Summary assessment of policy options</w:t>
      </w:r>
      <w:bookmarkEnd w:id="421"/>
    </w:p>
    <w:tbl>
      <w:tblPr>
        <w:tblStyle w:val="Table-standardEY"/>
        <w:tblW w:w="9749" w:type="dxa"/>
        <w:tblInd w:w="-108" w:type="dxa"/>
        <w:tblLook w:val="04A0" w:firstRow="1" w:lastRow="0" w:firstColumn="1" w:lastColumn="0" w:noHBand="0" w:noVBand="1"/>
      </w:tblPr>
      <w:tblGrid>
        <w:gridCol w:w="2255"/>
        <w:gridCol w:w="2015"/>
        <w:gridCol w:w="1935"/>
        <w:gridCol w:w="1935"/>
        <w:gridCol w:w="1609"/>
      </w:tblGrid>
      <w:tr w:rsidR="002F49D4" w:rsidRPr="00DE264C" w14:paraId="64B6CE6B" w14:textId="77777777" w:rsidTr="00164278">
        <w:trPr>
          <w:cnfStyle w:val="100000000000" w:firstRow="1" w:lastRow="0" w:firstColumn="0" w:lastColumn="0" w:oddVBand="0" w:evenVBand="0" w:oddHBand="0" w:evenHBand="0" w:firstRowFirstColumn="0" w:firstRowLastColumn="0" w:lastRowFirstColumn="0" w:lastRowLastColumn="0"/>
          <w:trHeight w:val="502"/>
          <w:tblHeader/>
        </w:trPr>
        <w:tc>
          <w:tcPr>
            <w:tcW w:w="2255" w:type="dxa"/>
            <w:tcBorders>
              <w:top w:val="single" w:sz="4" w:space="0" w:color="auto"/>
              <w:left w:val="single" w:sz="4" w:space="0" w:color="auto"/>
              <w:bottom w:val="single" w:sz="4" w:space="0" w:color="auto"/>
            </w:tcBorders>
          </w:tcPr>
          <w:p w14:paraId="5F1238FE" w14:textId="77777777" w:rsidR="00A2228E" w:rsidRPr="00C1125B" w:rsidRDefault="00A2228E">
            <w:pPr>
              <w:pStyle w:val="EYBodytextwithparaspace"/>
              <w:rPr>
                <w:rFonts w:ascii="Times New Roman" w:hAnsi="Times New Roman"/>
                <w:noProof/>
              </w:rPr>
            </w:pPr>
            <w:r w:rsidRPr="00C1125B">
              <w:rPr>
                <w:rFonts w:ascii="Times New Roman" w:hAnsi="Times New Roman"/>
                <w:noProof/>
              </w:rPr>
              <w:t>Criterion</w:t>
            </w:r>
          </w:p>
        </w:tc>
        <w:tc>
          <w:tcPr>
            <w:tcW w:w="2015" w:type="dxa"/>
            <w:tcBorders>
              <w:top w:val="single" w:sz="4" w:space="0" w:color="auto"/>
              <w:bottom w:val="single" w:sz="4" w:space="0" w:color="auto"/>
            </w:tcBorders>
          </w:tcPr>
          <w:p w14:paraId="59213E5D" w14:textId="77777777" w:rsidR="00A2228E" w:rsidRPr="00C1125B" w:rsidRDefault="00A2228E" w:rsidP="00691126">
            <w:pPr>
              <w:pStyle w:val="EYBodytextwithparaspace"/>
              <w:jc w:val="center"/>
              <w:rPr>
                <w:rFonts w:ascii="Times New Roman" w:hAnsi="Times New Roman"/>
                <w:noProof/>
              </w:rPr>
            </w:pPr>
            <w:r w:rsidRPr="00C1125B">
              <w:rPr>
                <w:rFonts w:ascii="Times New Roman" w:hAnsi="Times New Roman"/>
                <w:noProof/>
              </w:rPr>
              <w:t>Baseline</w:t>
            </w:r>
          </w:p>
        </w:tc>
        <w:tc>
          <w:tcPr>
            <w:tcW w:w="1935" w:type="dxa"/>
            <w:tcBorders>
              <w:top w:val="single" w:sz="4" w:space="0" w:color="auto"/>
              <w:bottom w:val="single" w:sz="4" w:space="0" w:color="auto"/>
            </w:tcBorders>
          </w:tcPr>
          <w:p w14:paraId="6B626AAC" w14:textId="77777777" w:rsidR="00A2228E" w:rsidRPr="00C1125B" w:rsidRDefault="00A2228E" w:rsidP="00691126">
            <w:pPr>
              <w:pStyle w:val="EYBodytextwithparaspace"/>
              <w:jc w:val="center"/>
              <w:rPr>
                <w:rFonts w:ascii="Times New Roman" w:hAnsi="Times New Roman"/>
                <w:noProof/>
              </w:rPr>
            </w:pPr>
            <w:r w:rsidRPr="00C1125B">
              <w:rPr>
                <w:rFonts w:ascii="Times New Roman" w:hAnsi="Times New Roman"/>
                <w:noProof/>
              </w:rPr>
              <w:t>Option 1</w:t>
            </w:r>
          </w:p>
        </w:tc>
        <w:tc>
          <w:tcPr>
            <w:tcW w:w="1935" w:type="dxa"/>
            <w:tcBorders>
              <w:top w:val="single" w:sz="4" w:space="0" w:color="auto"/>
              <w:bottom w:val="single" w:sz="4" w:space="0" w:color="auto"/>
            </w:tcBorders>
          </w:tcPr>
          <w:p w14:paraId="39A3301C" w14:textId="77777777" w:rsidR="00A2228E" w:rsidRPr="00C1125B" w:rsidRDefault="00A2228E" w:rsidP="00691126">
            <w:pPr>
              <w:pStyle w:val="EYBodytextwithparaspace"/>
              <w:jc w:val="center"/>
              <w:rPr>
                <w:rFonts w:ascii="Times New Roman" w:hAnsi="Times New Roman"/>
                <w:noProof/>
              </w:rPr>
            </w:pPr>
            <w:r w:rsidRPr="00C1125B">
              <w:rPr>
                <w:rFonts w:ascii="Times New Roman" w:hAnsi="Times New Roman"/>
                <w:noProof/>
              </w:rPr>
              <w:t>Option 2</w:t>
            </w:r>
          </w:p>
        </w:tc>
        <w:tc>
          <w:tcPr>
            <w:tcW w:w="1609" w:type="dxa"/>
            <w:tcBorders>
              <w:top w:val="single" w:sz="4" w:space="0" w:color="auto"/>
              <w:bottom w:val="single" w:sz="4" w:space="0" w:color="auto"/>
              <w:right w:val="single" w:sz="4" w:space="0" w:color="auto"/>
            </w:tcBorders>
          </w:tcPr>
          <w:p w14:paraId="4479841A" w14:textId="77777777" w:rsidR="00A2228E" w:rsidRPr="00C1125B" w:rsidRDefault="00A2228E" w:rsidP="00691126">
            <w:pPr>
              <w:pStyle w:val="EYBodytextwithparaspace"/>
              <w:jc w:val="center"/>
              <w:rPr>
                <w:rFonts w:ascii="Times New Roman" w:hAnsi="Times New Roman"/>
                <w:noProof/>
              </w:rPr>
            </w:pPr>
            <w:r w:rsidRPr="00C1125B">
              <w:rPr>
                <w:rFonts w:ascii="Times New Roman" w:hAnsi="Times New Roman"/>
                <w:noProof/>
              </w:rPr>
              <w:t>Option 3</w:t>
            </w:r>
          </w:p>
        </w:tc>
      </w:tr>
      <w:tr w:rsidR="00E65B6B" w:rsidRPr="00DE264C" w14:paraId="67C58DE3" w14:textId="77777777" w:rsidTr="00FA5340">
        <w:trPr>
          <w:trHeight w:val="486"/>
        </w:trPr>
        <w:tc>
          <w:tcPr>
            <w:tcW w:w="2255" w:type="dxa"/>
            <w:tcBorders>
              <w:top w:val="single" w:sz="4" w:space="0" w:color="auto"/>
              <w:left w:val="single" w:sz="4" w:space="0" w:color="auto"/>
              <w:bottom w:val="single" w:sz="4" w:space="0" w:color="auto"/>
            </w:tcBorders>
          </w:tcPr>
          <w:p w14:paraId="5419D58E" w14:textId="77777777" w:rsidR="00A2228E" w:rsidRPr="00C1125B" w:rsidRDefault="00A2228E">
            <w:pPr>
              <w:pStyle w:val="EYBodytextwithparaspace"/>
              <w:rPr>
                <w:rFonts w:ascii="Times New Roman" w:hAnsi="Times New Roman"/>
                <w:noProof/>
              </w:rPr>
            </w:pPr>
            <w:r w:rsidRPr="00C1125B">
              <w:rPr>
                <w:rFonts w:ascii="Times New Roman" w:hAnsi="Times New Roman"/>
                <w:noProof/>
              </w:rPr>
              <w:t>Effectiveness</w:t>
            </w:r>
          </w:p>
        </w:tc>
        <w:tc>
          <w:tcPr>
            <w:tcW w:w="2015" w:type="dxa"/>
            <w:tcBorders>
              <w:top w:val="single" w:sz="4" w:space="0" w:color="auto"/>
              <w:bottom w:val="single" w:sz="4" w:space="0" w:color="auto"/>
            </w:tcBorders>
          </w:tcPr>
          <w:p w14:paraId="7E229DFF" w14:textId="77777777" w:rsidR="00A2228E" w:rsidRPr="00C1125B" w:rsidRDefault="00A2228E">
            <w:pPr>
              <w:pStyle w:val="EYBodytextwithparaspace"/>
              <w:jc w:val="center"/>
              <w:rPr>
                <w:rFonts w:ascii="Times New Roman" w:hAnsi="Times New Roman"/>
                <w:noProof/>
              </w:rPr>
            </w:pPr>
            <w:r w:rsidRPr="00C1125B">
              <w:rPr>
                <w:rFonts w:ascii="Times New Roman" w:hAnsi="Times New Roman"/>
                <w:noProof/>
              </w:rPr>
              <w:t>0</w:t>
            </w:r>
          </w:p>
        </w:tc>
        <w:tc>
          <w:tcPr>
            <w:tcW w:w="1935" w:type="dxa"/>
            <w:tcBorders>
              <w:top w:val="single" w:sz="4" w:space="0" w:color="auto"/>
              <w:bottom w:val="single" w:sz="4" w:space="0" w:color="auto"/>
            </w:tcBorders>
            <w:shd w:val="clear" w:color="auto" w:fill="FFC000"/>
          </w:tcPr>
          <w:p w14:paraId="111431AE" w14:textId="6C51F0A0" w:rsidR="00A2228E" w:rsidRPr="00C1125B" w:rsidRDefault="00D04C5F">
            <w:pPr>
              <w:pStyle w:val="EYBodytextwithparaspace"/>
              <w:jc w:val="center"/>
              <w:rPr>
                <w:rFonts w:ascii="Times New Roman" w:hAnsi="Times New Roman"/>
                <w:noProof/>
              </w:rPr>
            </w:pPr>
            <w:r w:rsidRPr="00C1125B">
              <w:rPr>
                <w:rFonts w:ascii="Times New Roman" w:hAnsi="Times New Roman"/>
                <w:noProof/>
              </w:rPr>
              <w:t>+</w:t>
            </w:r>
            <w:r w:rsidR="00A2228E" w:rsidRPr="00C1125B">
              <w:rPr>
                <w:rFonts w:ascii="Times New Roman" w:hAnsi="Times New Roman"/>
                <w:noProof/>
              </w:rPr>
              <w:t>+</w:t>
            </w:r>
          </w:p>
        </w:tc>
        <w:tc>
          <w:tcPr>
            <w:tcW w:w="1935" w:type="dxa"/>
            <w:tcBorders>
              <w:top w:val="single" w:sz="4" w:space="0" w:color="auto"/>
              <w:bottom w:val="single" w:sz="4" w:space="0" w:color="auto"/>
            </w:tcBorders>
          </w:tcPr>
          <w:p w14:paraId="4EC2A55F" w14:textId="77777777" w:rsidR="00A2228E" w:rsidRPr="00C1125B" w:rsidRDefault="00A2228E">
            <w:pPr>
              <w:pStyle w:val="EYBodytextwithparaspace"/>
              <w:jc w:val="center"/>
              <w:rPr>
                <w:rFonts w:ascii="Times New Roman" w:hAnsi="Times New Roman"/>
                <w:noProof/>
              </w:rPr>
            </w:pPr>
            <w:r w:rsidRPr="00C1125B">
              <w:rPr>
                <w:rFonts w:ascii="Times New Roman" w:hAnsi="Times New Roman"/>
                <w:noProof/>
              </w:rPr>
              <w:t>++</w:t>
            </w:r>
          </w:p>
        </w:tc>
        <w:tc>
          <w:tcPr>
            <w:tcW w:w="1609" w:type="dxa"/>
            <w:tcBorders>
              <w:top w:val="single" w:sz="4" w:space="0" w:color="auto"/>
              <w:bottom w:val="single" w:sz="4" w:space="0" w:color="auto"/>
              <w:right w:val="single" w:sz="4" w:space="0" w:color="auto"/>
            </w:tcBorders>
          </w:tcPr>
          <w:p w14:paraId="1C4EFA17" w14:textId="77777777" w:rsidR="00A2228E" w:rsidRPr="00C1125B" w:rsidRDefault="00A2228E">
            <w:pPr>
              <w:pStyle w:val="EYBodytextwithparaspace"/>
              <w:jc w:val="center"/>
              <w:rPr>
                <w:rFonts w:ascii="Times New Roman" w:hAnsi="Times New Roman"/>
                <w:noProof/>
              </w:rPr>
            </w:pPr>
            <w:r w:rsidRPr="00C1125B">
              <w:rPr>
                <w:rFonts w:ascii="Times New Roman" w:hAnsi="Times New Roman"/>
                <w:noProof/>
              </w:rPr>
              <w:t>+</w:t>
            </w:r>
          </w:p>
        </w:tc>
      </w:tr>
      <w:tr w:rsidR="00E65B6B" w:rsidRPr="00DE264C" w14:paraId="03C44BAE" w14:textId="77777777" w:rsidTr="00FA5340">
        <w:trPr>
          <w:trHeight w:val="486"/>
        </w:trPr>
        <w:tc>
          <w:tcPr>
            <w:tcW w:w="2255" w:type="dxa"/>
            <w:tcBorders>
              <w:top w:val="single" w:sz="4" w:space="0" w:color="auto"/>
              <w:left w:val="single" w:sz="4" w:space="0" w:color="auto"/>
              <w:bottom w:val="single" w:sz="4" w:space="0" w:color="auto"/>
            </w:tcBorders>
          </w:tcPr>
          <w:p w14:paraId="20E13C78" w14:textId="77777777" w:rsidR="00A2228E" w:rsidRPr="00C1125B" w:rsidRDefault="00A2228E">
            <w:pPr>
              <w:pStyle w:val="EYBodytextwithparaspace"/>
              <w:rPr>
                <w:rFonts w:ascii="Times New Roman" w:hAnsi="Times New Roman"/>
                <w:noProof/>
              </w:rPr>
            </w:pPr>
            <w:r w:rsidRPr="00C1125B">
              <w:rPr>
                <w:rFonts w:ascii="Times New Roman" w:hAnsi="Times New Roman"/>
                <w:noProof/>
              </w:rPr>
              <w:t>Efficiency</w:t>
            </w:r>
          </w:p>
        </w:tc>
        <w:tc>
          <w:tcPr>
            <w:tcW w:w="2015" w:type="dxa"/>
            <w:tcBorders>
              <w:top w:val="single" w:sz="4" w:space="0" w:color="auto"/>
              <w:bottom w:val="single" w:sz="4" w:space="0" w:color="auto"/>
            </w:tcBorders>
          </w:tcPr>
          <w:p w14:paraId="7BD99CDC" w14:textId="77777777" w:rsidR="00A2228E" w:rsidRPr="00C1125B" w:rsidRDefault="00A2228E">
            <w:pPr>
              <w:pStyle w:val="EYBodytextwithparaspace"/>
              <w:jc w:val="center"/>
              <w:rPr>
                <w:rFonts w:ascii="Times New Roman" w:hAnsi="Times New Roman"/>
                <w:noProof/>
              </w:rPr>
            </w:pPr>
            <w:r w:rsidRPr="00C1125B">
              <w:rPr>
                <w:rFonts w:ascii="Times New Roman" w:hAnsi="Times New Roman"/>
                <w:noProof/>
              </w:rPr>
              <w:t>0</w:t>
            </w:r>
          </w:p>
        </w:tc>
        <w:tc>
          <w:tcPr>
            <w:tcW w:w="1935" w:type="dxa"/>
            <w:tcBorders>
              <w:top w:val="single" w:sz="4" w:space="0" w:color="auto"/>
              <w:bottom w:val="single" w:sz="4" w:space="0" w:color="auto"/>
            </w:tcBorders>
            <w:shd w:val="clear" w:color="auto" w:fill="FFC000"/>
          </w:tcPr>
          <w:p w14:paraId="666398E2" w14:textId="458F22F5" w:rsidR="00A2228E" w:rsidRPr="00C1125B" w:rsidRDefault="00D04C5F">
            <w:pPr>
              <w:pStyle w:val="EYBodytextwithparaspace"/>
              <w:jc w:val="center"/>
              <w:rPr>
                <w:rFonts w:ascii="Times New Roman" w:hAnsi="Times New Roman"/>
                <w:noProof/>
              </w:rPr>
            </w:pPr>
            <w:r w:rsidRPr="00C1125B">
              <w:rPr>
                <w:rFonts w:ascii="Times New Roman" w:hAnsi="Times New Roman"/>
                <w:noProof/>
              </w:rPr>
              <w:t>+</w:t>
            </w:r>
            <w:r w:rsidR="00A2228E" w:rsidRPr="00C1125B">
              <w:rPr>
                <w:rFonts w:ascii="Times New Roman" w:hAnsi="Times New Roman"/>
                <w:noProof/>
              </w:rPr>
              <w:t>+</w:t>
            </w:r>
          </w:p>
        </w:tc>
        <w:tc>
          <w:tcPr>
            <w:tcW w:w="1935" w:type="dxa"/>
            <w:tcBorders>
              <w:top w:val="single" w:sz="4" w:space="0" w:color="auto"/>
              <w:bottom w:val="single" w:sz="4" w:space="0" w:color="auto"/>
            </w:tcBorders>
          </w:tcPr>
          <w:p w14:paraId="15ED04C6" w14:textId="77777777" w:rsidR="00A2228E" w:rsidRPr="00C1125B" w:rsidRDefault="00A2228E">
            <w:pPr>
              <w:pStyle w:val="EYBodytextwithparaspace"/>
              <w:jc w:val="center"/>
              <w:rPr>
                <w:rFonts w:ascii="Times New Roman" w:hAnsi="Times New Roman"/>
                <w:noProof/>
              </w:rPr>
            </w:pPr>
            <w:r w:rsidRPr="00C1125B">
              <w:rPr>
                <w:rFonts w:ascii="Times New Roman" w:hAnsi="Times New Roman"/>
                <w:noProof/>
              </w:rPr>
              <w:t>++</w:t>
            </w:r>
          </w:p>
        </w:tc>
        <w:tc>
          <w:tcPr>
            <w:tcW w:w="1609" w:type="dxa"/>
            <w:tcBorders>
              <w:top w:val="single" w:sz="4" w:space="0" w:color="auto"/>
              <w:bottom w:val="single" w:sz="4" w:space="0" w:color="auto"/>
              <w:right w:val="single" w:sz="4" w:space="0" w:color="auto"/>
            </w:tcBorders>
          </w:tcPr>
          <w:p w14:paraId="40DCDE45" w14:textId="77777777" w:rsidR="00A2228E" w:rsidRPr="00C1125B" w:rsidRDefault="00A2228E">
            <w:pPr>
              <w:pStyle w:val="EYBodytextwithparaspace"/>
              <w:jc w:val="center"/>
              <w:rPr>
                <w:rFonts w:ascii="Times New Roman" w:hAnsi="Times New Roman"/>
                <w:noProof/>
              </w:rPr>
            </w:pPr>
            <w:r w:rsidRPr="00C1125B">
              <w:rPr>
                <w:rFonts w:ascii="Times New Roman" w:hAnsi="Times New Roman"/>
                <w:noProof/>
              </w:rPr>
              <w:t>-</w:t>
            </w:r>
          </w:p>
        </w:tc>
      </w:tr>
      <w:tr w:rsidR="00E65B6B" w:rsidRPr="00DE264C" w14:paraId="08979FB4" w14:textId="77777777" w:rsidTr="00FA5340">
        <w:trPr>
          <w:trHeight w:val="502"/>
        </w:trPr>
        <w:tc>
          <w:tcPr>
            <w:tcW w:w="2255" w:type="dxa"/>
            <w:tcBorders>
              <w:top w:val="single" w:sz="4" w:space="0" w:color="auto"/>
              <w:left w:val="single" w:sz="4" w:space="0" w:color="auto"/>
              <w:bottom w:val="single" w:sz="4" w:space="0" w:color="auto"/>
            </w:tcBorders>
          </w:tcPr>
          <w:p w14:paraId="1C980A2F" w14:textId="77777777" w:rsidR="00A2228E" w:rsidRPr="00C1125B" w:rsidRDefault="00A2228E">
            <w:pPr>
              <w:pStyle w:val="EYBodytextwithparaspace"/>
              <w:rPr>
                <w:rFonts w:ascii="Times New Roman" w:hAnsi="Times New Roman"/>
                <w:noProof/>
              </w:rPr>
            </w:pPr>
            <w:r w:rsidRPr="00C1125B">
              <w:rPr>
                <w:rFonts w:ascii="Times New Roman" w:hAnsi="Times New Roman"/>
                <w:noProof/>
              </w:rPr>
              <w:t>Coherence</w:t>
            </w:r>
          </w:p>
        </w:tc>
        <w:tc>
          <w:tcPr>
            <w:tcW w:w="2015" w:type="dxa"/>
            <w:tcBorders>
              <w:top w:val="single" w:sz="4" w:space="0" w:color="auto"/>
              <w:bottom w:val="single" w:sz="4" w:space="0" w:color="auto"/>
            </w:tcBorders>
          </w:tcPr>
          <w:p w14:paraId="0FCB7ADA" w14:textId="77777777" w:rsidR="00A2228E" w:rsidRPr="00C1125B" w:rsidRDefault="00A2228E">
            <w:pPr>
              <w:pStyle w:val="EYBodytextwithparaspace"/>
              <w:jc w:val="center"/>
              <w:rPr>
                <w:rFonts w:ascii="Times New Roman" w:hAnsi="Times New Roman"/>
                <w:noProof/>
              </w:rPr>
            </w:pPr>
            <w:r w:rsidRPr="00C1125B">
              <w:rPr>
                <w:rFonts w:ascii="Times New Roman" w:hAnsi="Times New Roman"/>
                <w:noProof/>
              </w:rPr>
              <w:t>0</w:t>
            </w:r>
          </w:p>
        </w:tc>
        <w:tc>
          <w:tcPr>
            <w:tcW w:w="1935" w:type="dxa"/>
            <w:tcBorders>
              <w:top w:val="single" w:sz="4" w:space="0" w:color="auto"/>
              <w:bottom w:val="single" w:sz="4" w:space="0" w:color="auto"/>
            </w:tcBorders>
            <w:shd w:val="clear" w:color="auto" w:fill="FFC000"/>
          </w:tcPr>
          <w:p w14:paraId="0C34C581" w14:textId="77777777" w:rsidR="00A2228E" w:rsidRPr="00C1125B" w:rsidRDefault="00A2228E">
            <w:pPr>
              <w:pStyle w:val="EYBodytextwithparaspace"/>
              <w:jc w:val="center"/>
              <w:rPr>
                <w:rFonts w:ascii="Times New Roman" w:hAnsi="Times New Roman"/>
                <w:noProof/>
              </w:rPr>
            </w:pPr>
            <w:r w:rsidRPr="00C1125B">
              <w:rPr>
                <w:rFonts w:ascii="Times New Roman" w:hAnsi="Times New Roman"/>
                <w:noProof/>
              </w:rPr>
              <w:t>+</w:t>
            </w:r>
          </w:p>
        </w:tc>
        <w:tc>
          <w:tcPr>
            <w:tcW w:w="1935" w:type="dxa"/>
            <w:tcBorders>
              <w:top w:val="single" w:sz="4" w:space="0" w:color="auto"/>
              <w:bottom w:val="single" w:sz="4" w:space="0" w:color="auto"/>
            </w:tcBorders>
          </w:tcPr>
          <w:p w14:paraId="5F89A434" w14:textId="77777777" w:rsidR="00A2228E" w:rsidRPr="00C1125B" w:rsidRDefault="00A2228E">
            <w:pPr>
              <w:pStyle w:val="EYBodytextwithparaspace"/>
              <w:jc w:val="center"/>
              <w:rPr>
                <w:rFonts w:ascii="Times New Roman" w:hAnsi="Times New Roman"/>
                <w:noProof/>
              </w:rPr>
            </w:pPr>
            <w:r w:rsidRPr="00C1125B">
              <w:rPr>
                <w:rFonts w:ascii="Times New Roman" w:hAnsi="Times New Roman"/>
                <w:noProof/>
              </w:rPr>
              <w:t>++</w:t>
            </w:r>
          </w:p>
        </w:tc>
        <w:tc>
          <w:tcPr>
            <w:tcW w:w="1609" w:type="dxa"/>
            <w:tcBorders>
              <w:top w:val="single" w:sz="4" w:space="0" w:color="auto"/>
              <w:bottom w:val="single" w:sz="4" w:space="0" w:color="auto"/>
              <w:right w:val="single" w:sz="4" w:space="0" w:color="auto"/>
            </w:tcBorders>
          </w:tcPr>
          <w:p w14:paraId="3E6D3D87" w14:textId="77777777" w:rsidR="00A2228E" w:rsidRPr="00C1125B" w:rsidRDefault="00A2228E">
            <w:pPr>
              <w:pStyle w:val="EYBodytextwithparaspace"/>
              <w:jc w:val="center"/>
              <w:rPr>
                <w:rFonts w:ascii="Times New Roman" w:hAnsi="Times New Roman"/>
                <w:noProof/>
              </w:rPr>
            </w:pPr>
            <w:r w:rsidRPr="00C1125B">
              <w:rPr>
                <w:rFonts w:ascii="Times New Roman" w:hAnsi="Times New Roman"/>
                <w:noProof/>
              </w:rPr>
              <w:t>+</w:t>
            </w:r>
          </w:p>
        </w:tc>
      </w:tr>
      <w:tr w:rsidR="00E65B6B" w:rsidRPr="00DE264C" w14:paraId="70FFC258" w14:textId="77777777" w:rsidTr="00FA5340">
        <w:trPr>
          <w:trHeight w:val="486"/>
        </w:trPr>
        <w:tc>
          <w:tcPr>
            <w:tcW w:w="2255" w:type="dxa"/>
            <w:tcBorders>
              <w:top w:val="single" w:sz="4" w:space="0" w:color="auto"/>
              <w:left w:val="single" w:sz="4" w:space="0" w:color="auto"/>
              <w:bottom w:val="single" w:sz="4" w:space="0" w:color="auto"/>
            </w:tcBorders>
          </w:tcPr>
          <w:p w14:paraId="3BD67C4E" w14:textId="77777777" w:rsidR="00A2228E" w:rsidRPr="00C1125B" w:rsidRDefault="00A2228E">
            <w:pPr>
              <w:pStyle w:val="EYBodytextwithparaspace"/>
              <w:rPr>
                <w:rFonts w:ascii="Times New Roman" w:hAnsi="Times New Roman"/>
                <w:noProof/>
              </w:rPr>
            </w:pPr>
            <w:r w:rsidRPr="00C1125B">
              <w:rPr>
                <w:rFonts w:ascii="Times New Roman" w:hAnsi="Times New Roman"/>
                <w:noProof/>
              </w:rPr>
              <w:t xml:space="preserve">Relevance </w:t>
            </w:r>
          </w:p>
        </w:tc>
        <w:tc>
          <w:tcPr>
            <w:tcW w:w="2015" w:type="dxa"/>
            <w:tcBorders>
              <w:top w:val="single" w:sz="4" w:space="0" w:color="auto"/>
              <w:bottom w:val="single" w:sz="4" w:space="0" w:color="auto"/>
            </w:tcBorders>
          </w:tcPr>
          <w:p w14:paraId="2E6B93DB" w14:textId="77777777" w:rsidR="00A2228E" w:rsidRPr="00C1125B" w:rsidRDefault="00A2228E">
            <w:pPr>
              <w:pStyle w:val="EYBodytextwithparaspace"/>
              <w:jc w:val="center"/>
              <w:rPr>
                <w:rFonts w:ascii="Times New Roman" w:hAnsi="Times New Roman"/>
                <w:noProof/>
              </w:rPr>
            </w:pPr>
            <w:r w:rsidRPr="00C1125B">
              <w:rPr>
                <w:rFonts w:ascii="Times New Roman" w:hAnsi="Times New Roman"/>
                <w:noProof/>
              </w:rPr>
              <w:t>0</w:t>
            </w:r>
          </w:p>
        </w:tc>
        <w:tc>
          <w:tcPr>
            <w:tcW w:w="1935" w:type="dxa"/>
            <w:tcBorders>
              <w:top w:val="single" w:sz="4" w:space="0" w:color="auto"/>
              <w:bottom w:val="single" w:sz="4" w:space="0" w:color="auto"/>
            </w:tcBorders>
            <w:shd w:val="clear" w:color="auto" w:fill="FFC000"/>
          </w:tcPr>
          <w:p w14:paraId="7013F207" w14:textId="77777777" w:rsidR="00A2228E" w:rsidRPr="00C1125B" w:rsidRDefault="00A2228E">
            <w:pPr>
              <w:pStyle w:val="EYBodytextwithparaspace"/>
              <w:jc w:val="center"/>
              <w:rPr>
                <w:rFonts w:ascii="Times New Roman" w:hAnsi="Times New Roman"/>
                <w:noProof/>
              </w:rPr>
            </w:pPr>
            <w:r w:rsidRPr="00C1125B">
              <w:rPr>
                <w:rFonts w:ascii="Times New Roman" w:hAnsi="Times New Roman"/>
                <w:noProof/>
              </w:rPr>
              <w:t>+</w:t>
            </w:r>
          </w:p>
        </w:tc>
        <w:tc>
          <w:tcPr>
            <w:tcW w:w="1935" w:type="dxa"/>
            <w:tcBorders>
              <w:top w:val="single" w:sz="4" w:space="0" w:color="auto"/>
              <w:bottom w:val="single" w:sz="4" w:space="0" w:color="auto"/>
            </w:tcBorders>
          </w:tcPr>
          <w:p w14:paraId="4838DC98" w14:textId="77777777" w:rsidR="00A2228E" w:rsidRPr="00C1125B" w:rsidRDefault="00A2228E">
            <w:pPr>
              <w:pStyle w:val="EYBodytextwithparaspace"/>
              <w:jc w:val="center"/>
              <w:rPr>
                <w:rFonts w:ascii="Times New Roman" w:hAnsi="Times New Roman"/>
                <w:noProof/>
              </w:rPr>
            </w:pPr>
            <w:r w:rsidRPr="00C1125B">
              <w:rPr>
                <w:rFonts w:ascii="Times New Roman" w:hAnsi="Times New Roman"/>
                <w:noProof/>
              </w:rPr>
              <w:t>++</w:t>
            </w:r>
          </w:p>
        </w:tc>
        <w:tc>
          <w:tcPr>
            <w:tcW w:w="1609" w:type="dxa"/>
            <w:tcBorders>
              <w:top w:val="single" w:sz="4" w:space="0" w:color="auto"/>
              <w:bottom w:val="single" w:sz="4" w:space="0" w:color="auto"/>
              <w:right w:val="single" w:sz="4" w:space="0" w:color="auto"/>
            </w:tcBorders>
          </w:tcPr>
          <w:p w14:paraId="48739C58" w14:textId="77777777" w:rsidR="00A2228E" w:rsidRPr="00C1125B" w:rsidRDefault="00A2228E">
            <w:pPr>
              <w:pStyle w:val="EYBodytextwithparaspace"/>
              <w:jc w:val="center"/>
              <w:rPr>
                <w:rFonts w:ascii="Times New Roman" w:hAnsi="Times New Roman"/>
                <w:noProof/>
              </w:rPr>
            </w:pPr>
            <w:r w:rsidRPr="00C1125B">
              <w:rPr>
                <w:rFonts w:ascii="Times New Roman" w:hAnsi="Times New Roman"/>
                <w:noProof/>
              </w:rPr>
              <w:t>++</w:t>
            </w:r>
          </w:p>
        </w:tc>
      </w:tr>
      <w:tr w:rsidR="00E65B6B" w:rsidRPr="00DE264C" w14:paraId="6F570DFB" w14:textId="77777777" w:rsidTr="00FA5340">
        <w:trPr>
          <w:trHeight w:val="486"/>
        </w:trPr>
        <w:tc>
          <w:tcPr>
            <w:tcW w:w="2255" w:type="dxa"/>
            <w:tcBorders>
              <w:top w:val="single" w:sz="4" w:space="0" w:color="auto"/>
              <w:left w:val="single" w:sz="4" w:space="0" w:color="auto"/>
              <w:bottom w:val="single" w:sz="4" w:space="0" w:color="auto"/>
            </w:tcBorders>
          </w:tcPr>
          <w:p w14:paraId="1ECF9E43" w14:textId="5A901FF4" w:rsidR="00A2228E" w:rsidRPr="00C1125B" w:rsidRDefault="00A2228E">
            <w:pPr>
              <w:pStyle w:val="EYBodytextwithparaspace"/>
              <w:rPr>
                <w:rFonts w:ascii="Times New Roman" w:hAnsi="Times New Roman"/>
                <w:noProof/>
              </w:rPr>
            </w:pPr>
            <w:r w:rsidRPr="00C1125B">
              <w:rPr>
                <w:rFonts w:ascii="Times New Roman" w:hAnsi="Times New Roman"/>
                <w:noProof/>
              </w:rPr>
              <w:t>EU added value</w:t>
            </w:r>
          </w:p>
        </w:tc>
        <w:tc>
          <w:tcPr>
            <w:tcW w:w="2015" w:type="dxa"/>
            <w:tcBorders>
              <w:top w:val="single" w:sz="4" w:space="0" w:color="auto"/>
              <w:bottom w:val="single" w:sz="4" w:space="0" w:color="auto"/>
            </w:tcBorders>
          </w:tcPr>
          <w:p w14:paraId="1DF72039" w14:textId="77777777" w:rsidR="00A2228E" w:rsidRPr="00C1125B" w:rsidRDefault="00A2228E">
            <w:pPr>
              <w:pStyle w:val="EYBodytextwithparaspace"/>
              <w:jc w:val="center"/>
              <w:rPr>
                <w:rFonts w:ascii="Times New Roman" w:hAnsi="Times New Roman"/>
                <w:noProof/>
              </w:rPr>
            </w:pPr>
            <w:r w:rsidRPr="00C1125B">
              <w:rPr>
                <w:rFonts w:ascii="Times New Roman" w:hAnsi="Times New Roman"/>
                <w:noProof/>
              </w:rPr>
              <w:t>0</w:t>
            </w:r>
          </w:p>
        </w:tc>
        <w:tc>
          <w:tcPr>
            <w:tcW w:w="1935" w:type="dxa"/>
            <w:tcBorders>
              <w:top w:val="single" w:sz="4" w:space="0" w:color="auto"/>
              <w:bottom w:val="single" w:sz="4" w:space="0" w:color="auto"/>
            </w:tcBorders>
            <w:shd w:val="clear" w:color="auto" w:fill="FFC000"/>
          </w:tcPr>
          <w:p w14:paraId="2C9BE0CF" w14:textId="6328D76F" w:rsidR="00A2228E" w:rsidRPr="00C1125B" w:rsidRDefault="00CF7595">
            <w:pPr>
              <w:pStyle w:val="EYBodytextwithparaspace"/>
              <w:jc w:val="center"/>
              <w:rPr>
                <w:rFonts w:ascii="Times New Roman" w:hAnsi="Times New Roman"/>
                <w:noProof/>
              </w:rPr>
            </w:pPr>
            <w:r w:rsidRPr="00C1125B">
              <w:rPr>
                <w:rFonts w:ascii="Times New Roman" w:hAnsi="Times New Roman"/>
                <w:noProof/>
              </w:rPr>
              <w:t>+</w:t>
            </w:r>
            <w:r w:rsidR="00A2228E" w:rsidRPr="00C1125B">
              <w:rPr>
                <w:rFonts w:ascii="Times New Roman" w:hAnsi="Times New Roman"/>
                <w:noProof/>
              </w:rPr>
              <w:t>+</w:t>
            </w:r>
          </w:p>
        </w:tc>
        <w:tc>
          <w:tcPr>
            <w:tcW w:w="1935" w:type="dxa"/>
            <w:tcBorders>
              <w:top w:val="single" w:sz="4" w:space="0" w:color="auto"/>
              <w:bottom w:val="single" w:sz="4" w:space="0" w:color="auto"/>
            </w:tcBorders>
          </w:tcPr>
          <w:p w14:paraId="730C1E38" w14:textId="77777777" w:rsidR="00A2228E" w:rsidRPr="00C1125B" w:rsidRDefault="00A2228E">
            <w:pPr>
              <w:pStyle w:val="EYBodytextwithparaspace"/>
              <w:jc w:val="center"/>
              <w:rPr>
                <w:rFonts w:ascii="Times New Roman" w:hAnsi="Times New Roman"/>
                <w:noProof/>
              </w:rPr>
            </w:pPr>
            <w:r w:rsidRPr="00C1125B">
              <w:rPr>
                <w:rFonts w:ascii="Times New Roman" w:hAnsi="Times New Roman"/>
                <w:noProof/>
              </w:rPr>
              <w:t>++</w:t>
            </w:r>
          </w:p>
        </w:tc>
        <w:tc>
          <w:tcPr>
            <w:tcW w:w="1609" w:type="dxa"/>
            <w:tcBorders>
              <w:top w:val="single" w:sz="4" w:space="0" w:color="auto"/>
              <w:bottom w:val="single" w:sz="4" w:space="0" w:color="auto"/>
              <w:right w:val="single" w:sz="4" w:space="0" w:color="auto"/>
            </w:tcBorders>
          </w:tcPr>
          <w:p w14:paraId="32F02CF3" w14:textId="77777777" w:rsidR="00A2228E" w:rsidRPr="00C1125B" w:rsidRDefault="00A2228E">
            <w:pPr>
              <w:pStyle w:val="EYBodytextwithparaspace"/>
              <w:jc w:val="center"/>
              <w:rPr>
                <w:rFonts w:ascii="Times New Roman" w:hAnsi="Times New Roman"/>
                <w:noProof/>
              </w:rPr>
            </w:pPr>
            <w:r w:rsidRPr="00C1125B">
              <w:rPr>
                <w:rFonts w:ascii="Times New Roman" w:hAnsi="Times New Roman"/>
                <w:noProof/>
              </w:rPr>
              <w:t>+</w:t>
            </w:r>
          </w:p>
        </w:tc>
      </w:tr>
    </w:tbl>
    <w:p w14:paraId="2BF8B3CB" w14:textId="77777777" w:rsidR="006B087E" w:rsidRPr="00DE264C" w:rsidRDefault="006B087E" w:rsidP="00C1125B">
      <w:pPr>
        <w:pStyle w:val="Heading1"/>
        <w:spacing w:before="360"/>
        <w:ind w:left="482" w:hanging="482"/>
        <w:rPr>
          <w:noProof/>
        </w:rPr>
      </w:pPr>
      <w:bookmarkStart w:id="422" w:name="_Toc208396196"/>
      <w:bookmarkStart w:id="423" w:name="_Toc214467755"/>
      <w:bookmarkStart w:id="424" w:name="_Toc215083777"/>
      <w:bookmarkStart w:id="425" w:name="_Toc215083807"/>
      <w:bookmarkStart w:id="426" w:name="_Toc219212543"/>
      <w:bookmarkStart w:id="427" w:name="_Toc219718198"/>
      <w:r w:rsidRPr="00DE264C">
        <w:rPr>
          <w:noProof/>
        </w:rPr>
        <w:t>Preferred option</w:t>
      </w:r>
      <w:bookmarkEnd w:id="422"/>
      <w:bookmarkEnd w:id="423"/>
      <w:bookmarkEnd w:id="424"/>
      <w:bookmarkEnd w:id="425"/>
      <w:bookmarkEnd w:id="426"/>
      <w:bookmarkEnd w:id="427"/>
    </w:p>
    <w:p w14:paraId="7F164F21" w14:textId="60478225" w:rsidR="006B087E" w:rsidRPr="00DE264C" w:rsidRDefault="003A3768" w:rsidP="009B7E6B">
      <w:pPr>
        <w:pStyle w:val="Heading2"/>
        <w:rPr>
          <w:noProof/>
        </w:rPr>
      </w:pPr>
      <w:bookmarkStart w:id="428" w:name="_Toc214467756"/>
      <w:bookmarkStart w:id="429" w:name="_Toc215083778"/>
      <w:bookmarkStart w:id="430" w:name="_Toc215083808"/>
      <w:bookmarkStart w:id="431" w:name="_Toc219212544"/>
      <w:bookmarkStart w:id="432" w:name="_Toc219718199"/>
      <w:r w:rsidRPr="00DE264C">
        <w:rPr>
          <w:noProof/>
        </w:rPr>
        <w:t>Preferred options</w:t>
      </w:r>
      <w:bookmarkEnd w:id="428"/>
      <w:bookmarkEnd w:id="429"/>
      <w:bookmarkEnd w:id="430"/>
      <w:bookmarkEnd w:id="431"/>
      <w:bookmarkEnd w:id="432"/>
    </w:p>
    <w:p w14:paraId="5AED952B" w14:textId="1A04DB09" w:rsidR="005D6F5F" w:rsidRPr="00DE264C" w:rsidRDefault="29F09E0D" w:rsidP="008E3D9B">
      <w:pPr>
        <w:pStyle w:val="Heading3"/>
        <w:tabs>
          <w:tab w:val="num" w:pos="7088"/>
        </w:tabs>
        <w:spacing w:before="120"/>
        <w:ind w:left="850"/>
        <w:rPr>
          <w:noProof/>
        </w:rPr>
      </w:pPr>
      <w:bookmarkStart w:id="433" w:name="_Toc214467757"/>
      <w:r>
        <w:rPr>
          <w:noProof/>
        </w:rPr>
        <w:t xml:space="preserve"> </w:t>
      </w:r>
      <w:bookmarkStart w:id="434" w:name="_Toc215083779"/>
      <w:bookmarkStart w:id="435" w:name="_Toc219212545"/>
      <w:bookmarkStart w:id="436" w:name="_Toc219718200"/>
      <w:r w:rsidR="009731B7">
        <w:rPr>
          <w:noProof/>
        </w:rPr>
        <w:t>Transition to fibre</w:t>
      </w:r>
      <w:bookmarkEnd w:id="434"/>
      <w:bookmarkEnd w:id="435"/>
      <w:bookmarkEnd w:id="436"/>
      <w:r w:rsidR="003D13BD" w:rsidRPr="00DE264C">
        <w:rPr>
          <w:noProof/>
        </w:rPr>
        <w:t xml:space="preserve"> </w:t>
      </w:r>
      <w:bookmarkEnd w:id="433"/>
    </w:p>
    <w:p w14:paraId="55E584B7" w14:textId="6486CEB8" w:rsidR="00DA2885" w:rsidRPr="00DE264C" w:rsidRDefault="00DA2885" w:rsidP="00DE7CC1">
      <w:pPr>
        <w:spacing w:line="240" w:lineRule="auto"/>
        <w:rPr>
          <w:noProof/>
        </w:rPr>
      </w:pPr>
      <w:r w:rsidRPr="00DE264C">
        <w:rPr>
          <w:noProof/>
        </w:rPr>
        <w:t xml:space="preserve">Based on the assessment provided in </w:t>
      </w:r>
      <w:r w:rsidR="00EC6275">
        <w:rPr>
          <w:noProof/>
        </w:rPr>
        <w:t>s</w:t>
      </w:r>
      <w:r w:rsidRPr="00DE264C">
        <w:rPr>
          <w:noProof/>
        </w:rPr>
        <w:t xml:space="preserve">ection 7, </w:t>
      </w:r>
      <w:r w:rsidR="005F1F2E">
        <w:rPr>
          <w:noProof/>
        </w:rPr>
        <w:t>o</w:t>
      </w:r>
      <w:r w:rsidRPr="00DE264C">
        <w:rPr>
          <w:noProof/>
        </w:rPr>
        <w:t xml:space="preserve">ption </w:t>
      </w:r>
      <w:r w:rsidR="0072220F" w:rsidRPr="00DE264C">
        <w:rPr>
          <w:noProof/>
        </w:rPr>
        <w:t xml:space="preserve">2 </w:t>
      </w:r>
      <w:r w:rsidR="00915E10" w:rsidRPr="00DE264C">
        <w:rPr>
          <w:noProof/>
        </w:rPr>
        <w:t xml:space="preserve">is selected </w:t>
      </w:r>
      <w:r w:rsidRPr="00DE264C">
        <w:rPr>
          <w:noProof/>
        </w:rPr>
        <w:t xml:space="preserve">as the </w:t>
      </w:r>
      <w:r w:rsidR="00802754">
        <w:rPr>
          <w:noProof/>
        </w:rPr>
        <w:t>preferred</w:t>
      </w:r>
      <w:r w:rsidR="00802754" w:rsidRPr="00DE264C">
        <w:rPr>
          <w:noProof/>
        </w:rPr>
        <w:t xml:space="preserve"> </w:t>
      </w:r>
      <w:r w:rsidRPr="00DE264C">
        <w:rPr>
          <w:noProof/>
        </w:rPr>
        <w:t>option to achieve the objectives of the DNA set</w:t>
      </w:r>
      <w:r w:rsidR="009048AB" w:rsidRPr="00DE264C">
        <w:rPr>
          <w:noProof/>
        </w:rPr>
        <w:t xml:space="preserve"> out</w:t>
      </w:r>
      <w:r w:rsidRPr="00DE264C">
        <w:rPr>
          <w:noProof/>
        </w:rPr>
        <w:t xml:space="preserve"> in </w:t>
      </w:r>
      <w:r w:rsidR="00D911DA">
        <w:rPr>
          <w:noProof/>
        </w:rPr>
        <w:t>s</w:t>
      </w:r>
      <w:r w:rsidRPr="00DE264C">
        <w:rPr>
          <w:noProof/>
        </w:rPr>
        <w:t xml:space="preserve">ection 4. </w:t>
      </w:r>
      <w:r w:rsidR="0014194B" w:rsidRPr="00DE264C">
        <w:rPr>
          <w:noProof/>
        </w:rPr>
        <w:t>It</w:t>
      </w:r>
      <w:r w:rsidRPr="00DE264C">
        <w:rPr>
          <w:noProof/>
        </w:rPr>
        <w:t xml:space="preserve"> has </w:t>
      </w:r>
      <w:r w:rsidR="00401A1B" w:rsidRPr="00DE264C">
        <w:rPr>
          <w:noProof/>
        </w:rPr>
        <w:t>high</w:t>
      </w:r>
      <w:r w:rsidRPr="00DE264C">
        <w:rPr>
          <w:noProof/>
        </w:rPr>
        <w:t xml:space="preserve"> cumulative score across key evaluation criteria including effectiveness</w:t>
      </w:r>
      <w:r w:rsidR="0072220F" w:rsidRPr="00DE264C">
        <w:rPr>
          <w:noProof/>
        </w:rPr>
        <w:t xml:space="preserve"> and</w:t>
      </w:r>
      <w:r w:rsidRPr="00DE264C">
        <w:rPr>
          <w:noProof/>
        </w:rPr>
        <w:t xml:space="preserve"> efficiency.</w:t>
      </w:r>
    </w:p>
    <w:p w14:paraId="47D6D0E5" w14:textId="39B5F2C9" w:rsidR="00DA2885" w:rsidRPr="00DE264C" w:rsidRDefault="00DA2885" w:rsidP="00DE7CC1">
      <w:pPr>
        <w:spacing w:line="240" w:lineRule="auto"/>
        <w:rPr>
          <w:noProof/>
        </w:rPr>
      </w:pPr>
      <w:r w:rsidRPr="00DE264C">
        <w:rPr>
          <w:noProof/>
        </w:rPr>
        <w:t xml:space="preserve">Option </w:t>
      </w:r>
      <w:r w:rsidR="0072220F" w:rsidRPr="00DE264C">
        <w:rPr>
          <w:noProof/>
        </w:rPr>
        <w:t>2</w:t>
      </w:r>
      <w:r w:rsidRPr="00DE264C">
        <w:rPr>
          <w:noProof/>
        </w:rPr>
        <w:t xml:space="preserve"> has a good performance in addressing the identified problems in terms of accelerating FTTH deployment and take-up. </w:t>
      </w:r>
    </w:p>
    <w:p w14:paraId="5548309F" w14:textId="223B9DAD" w:rsidR="00DA2885" w:rsidRPr="00DE264C" w:rsidRDefault="00DA2885" w:rsidP="00DE7CC1">
      <w:pPr>
        <w:spacing w:line="240" w:lineRule="auto"/>
        <w:rPr>
          <w:noProof/>
        </w:rPr>
      </w:pPr>
      <w:r w:rsidRPr="00DE264C">
        <w:rPr>
          <w:noProof/>
        </w:rPr>
        <w:t xml:space="preserve">Regarding access regulation, </w:t>
      </w:r>
      <w:r w:rsidR="005F1F2E">
        <w:rPr>
          <w:noProof/>
        </w:rPr>
        <w:t>o</w:t>
      </w:r>
      <w:r w:rsidRPr="00DE264C">
        <w:rPr>
          <w:noProof/>
        </w:rPr>
        <w:t>ption 2 builds upon the successful elements of the existing regulatory framework, retaining the well-functioning SMP regime and the three-criteria test, however, re-focusing intervention on market failures</w:t>
      </w:r>
      <w:r w:rsidR="134B8AEC">
        <w:rPr>
          <w:noProof/>
        </w:rPr>
        <w:t xml:space="preserve">, </w:t>
      </w:r>
      <w:r w:rsidR="12A727D3">
        <w:rPr>
          <w:noProof/>
        </w:rPr>
        <w:t>enabling NRAs to use more easily symmetric measures, where appropriate,</w:t>
      </w:r>
      <w:r w:rsidRPr="00DE264C">
        <w:rPr>
          <w:noProof/>
        </w:rPr>
        <w:t xml:space="preserve"> and putting emphasis on use of less intrusive regulatory tools where possible. </w:t>
      </w:r>
      <w:r w:rsidR="005F1F2E">
        <w:rPr>
          <w:noProof/>
        </w:rPr>
        <w:t>o</w:t>
      </w:r>
      <w:r w:rsidRPr="00DE264C">
        <w:rPr>
          <w:noProof/>
        </w:rPr>
        <w:t xml:space="preserve">ption 2, like all the other options, includes some simplification by removing provisions of the </w:t>
      </w:r>
      <w:r w:rsidR="008448A9" w:rsidRPr="00DE264C">
        <w:rPr>
          <w:noProof/>
        </w:rPr>
        <w:t xml:space="preserve">EECC </w:t>
      </w:r>
      <w:r w:rsidRPr="00DE264C">
        <w:rPr>
          <w:noProof/>
        </w:rPr>
        <w:t xml:space="preserve">related notably to remedies that have not been used. </w:t>
      </w:r>
    </w:p>
    <w:p w14:paraId="4D7E1EE0" w14:textId="74B73599" w:rsidR="00DA2885" w:rsidRPr="00DE264C" w:rsidRDefault="00DA2885" w:rsidP="00DE7CC1">
      <w:pPr>
        <w:spacing w:line="240" w:lineRule="auto"/>
        <w:rPr>
          <w:noProof/>
        </w:rPr>
      </w:pPr>
      <w:r w:rsidRPr="00DE264C">
        <w:rPr>
          <w:noProof/>
        </w:rPr>
        <w:t xml:space="preserve">With respect to the economic and environmental impacts </w:t>
      </w:r>
      <w:r w:rsidR="00F443B4" w:rsidRPr="00DE264C">
        <w:rPr>
          <w:noProof/>
        </w:rPr>
        <w:t>(</w:t>
      </w:r>
      <w:r w:rsidR="0035049E" w:rsidRPr="00DE264C">
        <w:rPr>
          <w:noProof/>
        </w:rPr>
        <w:t xml:space="preserve">see </w:t>
      </w:r>
      <w:r w:rsidR="00EC6275">
        <w:rPr>
          <w:noProof/>
        </w:rPr>
        <w:t>s</w:t>
      </w:r>
      <w:r w:rsidRPr="00DE264C">
        <w:rPr>
          <w:noProof/>
        </w:rPr>
        <w:t>ection 6</w:t>
      </w:r>
      <w:r w:rsidR="00F443B4" w:rsidRPr="00DE264C">
        <w:rPr>
          <w:noProof/>
        </w:rPr>
        <w:t>)</w:t>
      </w:r>
      <w:r w:rsidR="007C3A7F" w:rsidRPr="00DE264C">
        <w:rPr>
          <w:noProof/>
        </w:rPr>
        <w:t>,</w:t>
      </w:r>
      <w:r w:rsidRPr="00DE264C">
        <w:rPr>
          <w:noProof/>
        </w:rPr>
        <w:t xml:space="preserve"> </w:t>
      </w:r>
      <w:r w:rsidR="005F1F2E">
        <w:rPr>
          <w:noProof/>
        </w:rPr>
        <w:t>o</w:t>
      </w:r>
      <w:r w:rsidRPr="00DE264C">
        <w:rPr>
          <w:noProof/>
        </w:rPr>
        <w:t xml:space="preserve">ption 2 </w:t>
      </w:r>
      <w:r w:rsidR="003477B0" w:rsidRPr="00DE264C">
        <w:rPr>
          <w:noProof/>
        </w:rPr>
        <w:t xml:space="preserve">results </w:t>
      </w:r>
      <w:r w:rsidR="00394E13" w:rsidRPr="00DE264C">
        <w:rPr>
          <w:noProof/>
        </w:rPr>
        <w:t xml:space="preserve">(i) </w:t>
      </w:r>
      <w:r w:rsidR="00B45744" w:rsidRPr="00DE264C">
        <w:rPr>
          <w:noProof/>
        </w:rPr>
        <w:t>in</w:t>
      </w:r>
      <w:r w:rsidR="00394E13" w:rsidRPr="00DE264C">
        <w:rPr>
          <w:noProof/>
        </w:rPr>
        <w:t xml:space="preserve"> </w:t>
      </w:r>
      <w:r w:rsidR="003477B0" w:rsidRPr="00DE264C">
        <w:rPr>
          <w:noProof/>
        </w:rPr>
        <w:t xml:space="preserve">the highest </w:t>
      </w:r>
      <w:r w:rsidR="00F04EBE" w:rsidRPr="00DE264C">
        <w:rPr>
          <w:noProof/>
        </w:rPr>
        <w:t xml:space="preserve">GDP impact with an increase in accumulated GDP </w:t>
      </w:r>
      <w:r w:rsidR="007F2BE7">
        <w:rPr>
          <w:noProof/>
        </w:rPr>
        <w:t xml:space="preserve">in the range </w:t>
      </w:r>
      <w:r w:rsidR="00F04EBE" w:rsidRPr="00DE264C">
        <w:rPr>
          <w:noProof/>
        </w:rPr>
        <w:t xml:space="preserve">of </w:t>
      </w:r>
      <w:r w:rsidR="004965D2" w:rsidRPr="00DE264C">
        <w:rPr>
          <w:noProof/>
        </w:rPr>
        <w:t>EUR </w:t>
      </w:r>
      <w:r w:rsidR="00EB62A2">
        <w:rPr>
          <w:noProof/>
        </w:rPr>
        <w:t xml:space="preserve">157 - </w:t>
      </w:r>
      <w:r w:rsidR="00ED29D9">
        <w:rPr>
          <w:noProof/>
        </w:rPr>
        <w:t>32</w:t>
      </w:r>
      <w:r w:rsidR="006E2D65" w:rsidRPr="00DE264C">
        <w:rPr>
          <w:noProof/>
        </w:rPr>
        <w:t>7</w:t>
      </w:r>
      <w:r w:rsidR="004965D2" w:rsidRPr="00DE264C">
        <w:rPr>
          <w:noProof/>
        </w:rPr>
        <w:t xml:space="preserve"> billion </w:t>
      </w:r>
      <w:r w:rsidR="00F04EBE" w:rsidRPr="00DE264C">
        <w:rPr>
          <w:noProof/>
        </w:rPr>
        <w:t>(</w:t>
      </w:r>
      <w:r w:rsidR="004965D2" w:rsidRPr="00DE264C">
        <w:rPr>
          <w:noProof/>
        </w:rPr>
        <w:t>above baseline</w:t>
      </w:r>
      <w:r w:rsidR="00EB62A2">
        <w:rPr>
          <w:noProof/>
        </w:rPr>
        <w:t xml:space="preserve">, depending on the selected scenario, i.e., more </w:t>
      </w:r>
      <w:r w:rsidR="003F21B3">
        <w:rPr>
          <w:noProof/>
        </w:rPr>
        <w:t>conservative – less conservative</w:t>
      </w:r>
      <w:r w:rsidRPr="00DE264C">
        <w:rPr>
          <w:noProof/>
        </w:rPr>
        <w:t xml:space="preserve">), (ii) </w:t>
      </w:r>
      <w:r w:rsidR="00B45744" w:rsidRPr="00DE264C">
        <w:rPr>
          <w:noProof/>
        </w:rPr>
        <w:t xml:space="preserve">in </w:t>
      </w:r>
      <w:r w:rsidR="00394E13" w:rsidRPr="00DE264C">
        <w:rPr>
          <w:noProof/>
        </w:rPr>
        <w:t xml:space="preserve">the second highest </w:t>
      </w:r>
      <w:r w:rsidRPr="00DE264C">
        <w:rPr>
          <w:noProof/>
        </w:rPr>
        <w:t xml:space="preserve">CO2 emission </w:t>
      </w:r>
      <w:r w:rsidR="0089066A" w:rsidRPr="00DE264C">
        <w:rPr>
          <w:noProof/>
        </w:rPr>
        <w:t>impact with a</w:t>
      </w:r>
      <w:r w:rsidR="00D142B8" w:rsidRPr="00DE264C">
        <w:rPr>
          <w:noProof/>
        </w:rPr>
        <w:t xml:space="preserve"> </w:t>
      </w:r>
      <w:r w:rsidR="006F2972">
        <w:rPr>
          <w:noProof/>
        </w:rPr>
        <w:t>5.1</w:t>
      </w:r>
      <w:r w:rsidR="00D142B8" w:rsidRPr="00DE264C">
        <w:rPr>
          <w:noProof/>
        </w:rPr>
        <w:t xml:space="preserve">% decrease </w:t>
      </w:r>
      <w:r w:rsidRPr="00DE264C">
        <w:rPr>
          <w:noProof/>
        </w:rPr>
        <w:t>(</w:t>
      </w:r>
      <w:r w:rsidR="00CD1C78">
        <w:rPr>
          <w:noProof/>
          <w:lang w:val="en-IE"/>
        </w:rPr>
        <w:t>EUR</w:t>
      </w:r>
      <w:r w:rsidR="00A907F2">
        <w:rPr>
          <w:noProof/>
          <w:lang w:val="en-IE"/>
        </w:rPr>
        <w:t> </w:t>
      </w:r>
      <w:r w:rsidR="001E68A0">
        <w:rPr>
          <w:noProof/>
        </w:rPr>
        <w:t>0.5</w:t>
      </w:r>
      <w:r w:rsidR="006F2972">
        <w:rPr>
          <w:noProof/>
        </w:rPr>
        <w:t>6</w:t>
      </w:r>
      <w:r w:rsidR="001E68A0">
        <w:rPr>
          <w:noProof/>
        </w:rPr>
        <w:t xml:space="preserve"> billion</w:t>
      </w:r>
      <w:r w:rsidR="0007347E">
        <w:rPr>
          <w:noProof/>
        </w:rPr>
        <w:t xml:space="preserve"> less, </w:t>
      </w:r>
      <w:r w:rsidR="009B3A07" w:rsidRPr="00DE264C">
        <w:rPr>
          <w:noProof/>
        </w:rPr>
        <w:t>compared to the</w:t>
      </w:r>
      <w:r w:rsidR="00C62A1C" w:rsidRPr="00DE264C">
        <w:rPr>
          <w:noProof/>
        </w:rPr>
        <w:t xml:space="preserve"> </w:t>
      </w:r>
      <w:r w:rsidR="00130A56" w:rsidRPr="00DE264C">
        <w:rPr>
          <w:noProof/>
        </w:rPr>
        <w:t>baseline</w:t>
      </w:r>
      <w:r w:rsidRPr="00DE264C">
        <w:rPr>
          <w:noProof/>
        </w:rPr>
        <w:t xml:space="preserve">) and (iii) </w:t>
      </w:r>
      <w:r w:rsidR="00B45744" w:rsidRPr="00DE264C">
        <w:rPr>
          <w:noProof/>
        </w:rPr>
        <w:t>in</w:t>
      </w:r>
      <w:r w:rsidR="00D703FF" w:rsidRPr="00DE264C">
        <w:rPr>
          <w:noProof/>
        </w:rPr>
        <w:t xml:space="preserve"> </w:t>
      </w:r>
      <w:r w:rsidR="007312CA" w:rsidRPr="00DE264C">
        <w:rPr>
          <w:noProof/>
        </w:rPr>
        <w:t>the highest</w:t>
      </w:r>
      <w:r w:rsidR="00D703FF" w:rsidRPr="00DE264C">
        <w:rPr>
          <w:noProof/>
        </w:rPr>
        <w:t xml:space="preserve"> impact in terms of </w:t>
      </w:r>
      <w:r w:rsidRPr="00DE264C">
        <w:rPr>
          <w:noProof/>
        </w:rPr>
        <w:t>average download speeds (</w:t>
      </w:r>
      <w:r w:rsidR="002E4873" w:rsidRPr="00DE264C">
        <w:rPr>
          <w:noProof/>
        </w:rPr>
        <w:t>3</w:t>
      </w:r>
      <w:r w:rsidR="00123111" w:rsidRPr="00DE264C">
        <w:rPr>
          <w:noProof/>
        </w:rPr>
        <w:t>1</w:t>
      </w:r>
      <w:r w:rsidR="004B4632" w:rsidRPr="00DE264C">
        <w:rPr>
          <w:noProof/>
        </w:rPr>
        <w:t>4</w:t>
      </w:r>
      <w:r w:rsidR="00A907F2">
        <w:rPr>
          <w:noProof/>
        </w:rPr>
        <w:t> </w:t>
      </w:r>
      <w:r w:rsidR="002E4873" w:rsidRPr="00DE264C">
        <w:rPr>
          <w:noProof/>
        </w:rPr>
        <w:t xml:space="preserve">Mbps in 2030 and </w:t>
      </w:r>
      <w:r w:rsidR="00BD6D15" w:rsidRPr="00DE264C">
        <w:rPr>
          <w:noProof/>
        </w:rPr>
        <w:t>7</w:t>
      </w:r>
      <w:r w:rsidR="004B4632" w:rsidRPr="00DE264C">
        <w:rPr>
          <w:noProof/>
        </w:rPr>
        <w:t>43</w:t>
      </w:r>
      <w:r w:rsidR="00A907F2">
        <w:rPr>
          <w:noProof/>
        </w:rPr>
        <w:t> </w:t>
      </w:r>
      <w:r w:rsidRPr="00DE264C">
        <w:rPr>
          <w:noProof/>
        </w:rPr>
        <w:t>Mbps</w:t>
      </w:r>
      <w:r w:rsidR="002E4873" w:rsidRPr="00DE264C">
        <w:rPr>
          <w:noProof/>
        </w:rPr>
        <w:t xml:space="preserve"> in 2035</w:t>
      </w:r>
      <w:r w:rsidRPr="00DE264C">
        <w:rPr>
          <w:noProof/>
        </w:rPr>
        <w:t>). </w:t>
      </w:r>
    </w:p>
    <w:p w14:paraId="7A734C6A" w14:textId="3BFB36CE" w:rsidR="00DA2885" w:rsidRPr="00DE264C" w:rsidRDefault="00DA2885" w:rsidP="00DE7CC1">
      <w:pPr>
        <w:spacing w:line="240" w:lineRule="auto"/>
        <w:rPr>
          <w:noProof/>
        </w:rPr>
      </w:pPr>
      <w:r w:rsidRPr="00DE264C">
        <w:rPr>
          <w:noProof/>
        </w:rPr>
        <w:t xml:space="preserve">As for the social impacts, the impact of the options cannot be quantified. However, </w:t>
      </w:r>
      <w:r w:rsidR="005F1F2E">
        <w:rPr>
          <w:noProof/>
        </w:rPr>
        <w:t>o</w:t>
      </w:r>
      <w:r w:rsidR="00DF247D" w:rsidRPr="00DE264C">
        <w:rPr>
          <w:noProof/>
        </w:rPr>
        <w:t>ption 2</w:t>
      </w:r>
      <w:r w:rsidR="00EF4CC8" w:rsidRPr="00DE264C">
        <w:rPr>
          <w:noProof/>
        </w:rPr>
        <w:t xml:space="preserve"> </w:t>
      </w:r>
      <w:r w:rsidRPr="00DE264C">
        <w:rPr>
          <w:noProof/>
        </w:rPr>
        <w:t>is very likely to result in highest positive social impact</w:t>
      </w:r>
      <w:r w:rsidR="003832B9" w:rsidRPr="00DE264C">
        <w:rPr>
          <w:noProof/>
        </w:rPr>
        <w:t xml:space="preserve"> as it is performing well in terms of FTTH coverage </w:t>
      </w:r>
      <w:r w:rsidR="000C5CA2" w:rsidRPr="00DE264C">
        <w:rPr>
          <w:noProof/>
        </w:rPr>
        <w:t>(</w:t>
      </w:r>
      <w:r w:rsidR="00D72180" w:rsidRPr="00DE264C">
        <w:rPr>
          <w:noProof/>
        </w:rPr>
        <w:t xml:space="preserve">83% in 2030 and 98% in 2035) </w:t>
      </w:r>
      <w:r w:rsidR="003832B9" w:rsidRPr="00DE264C">
        <w:rPr>
          <w:noProof/>
        </w:rPr>
        <w:t>and FTTH take-up rate</w:t>
      </w:r>
      <w:r w:rsidR="00D72180" w:rsidRPr="00DE264C">
        <w:rPr>
          <w:noProof/>
        </w:rPr>
        <w:t xml:space="preserve"> (55% in 2030 and 78% in 2035)</w:t>
      </w:r>
      <w:r w:rsidRPr="00DE264C">
        <w:rPr>
          <w:noProof/>
        </w:rPr>
        <w:t xml:space="preserve">. </w:t>
      </w:r>
      <w:r w:rsidR="00F164EE" w:rsidRPr="00DE264C">
        <w:rPr>
          <w:noProof/>
        </w:rPr>
        <w:t xml:space="preserve">It delivers the highest coverage </w:t>
      </w:r>
      <w:r w:rsidR="00230C2F" w:rsidRPr="00DE264C">
        <w:rPr>
          <w:noProof/>
        </w:rPr>
        <w:t xml:space="preserve">(together with </w:t>
      </w:r>
      <w:r w:rsidR="005F1F2E">
        <w:rPr>
          <w:noProof/>
        </w:rPr>
        <w:t>o</w:t>
      </w:r>
      <w:r w:rsidR="00230C2F" w:rsidRPr="00DE264C">
        <w:rPr>
          <w:noProof/>
        </w:rPr>
        <w:t>ption 4</w:t>
      </w:r>
      <w:r w:rsidR="00E371E4" w:rsidRPr="00DE264C">
        <w:rPr>
          <w:noProof/>
        </w:rPr>
        <w:t>),</w:t>
      </w:r>
      <w:r w:rsidR="00230C2F" w:rsidRPr="00DE264C">
        <w:rPr>
          <w:noProof/>
        </w:rPr>
        <w:t xml:space="preserve"> </w:t>
      </w:r>
      <w:r w:rsidR="00CC509C" w:rsidRPr="00DE264C">
        <w:rPr>
          <w:noProof/>
        </w:rPr>
        <w:t>and the second highest take up</w:t>
      </w:r>
      <w:r w:rsidR="00230C2F" w:rsidRPr="00DE264C">
        <w:rPr>
          <w:noProof/>
        </w:rPr>
        <w:t xml:space="preserve"> in the longer run. </w:t>
      </w:r>
    </w:p>
    <w:p w14:paraId="344784EE" w14:textId="2F72431F" w:rsidR="00DA2885" w:rsidRPr="00DE264C" w:rsidRDefault="00DA2885" w:rsidP="00DE7CC1">
      <w:pPr>
        <w:spacing w:line="240" w:lineRule="auto"/>
        <w:rPr>
          <w:noProof/>
        </w:rPr>
      </w:pPr>
      <w:r w:rsidRPr="00DE264C">
        <w:rPr>
          <w:noProof/>
        </w:rPr>
        <w:t xml:space="preserve">Regarding the impact on fundamental rights, </w:t>
      </w:r>
      <w:r w:rsidR="005F1F2E">
        <w:rPr>
          <w:noProof/>
        </w:rPr>
        <w:t>o</w:t>
      </w:r>
      <w:r w:rsidRPr="00DE264C">
        <w:rPr>
          <w:noProof/>
        </w:rPr>
        <w:t xml:space="preserve">ption </w:t>
      </w:r>
      <w:r w:rsidR="0072220F" w:rsidRPr="00DE264C">
        <w:rPr>
          <w:noProof/>
        </w:rPr>
        <w:t xml:space="preserve">2 </w:t>
      </w:r>
      <w:r w:rsidRPr="00DE264C">
        <w:rPr>
          <w:noProof/>
        </w:rPr>
        <w:t xml:space="preserve">ranks </w:t>
      </w:r>
      <w:r w:rsidR="00943B9F" w:rsidRPr="00DE264C">
        <w:rPr>
          <w:noProof/>
        </w:rPr>
        <w:t>medium</w:t>
      </w:r>
      <w:r w:rsidR="00BB7762" w:rsidRPr="00DE264C">
        <w:rPr>
          <w:noProof/>
        </w:rPr>
        <w:t>,</w:t>
      </w:r>
      <w:r w:rsidRPr="00DE264C">
        <w:rPr>
          <w:noProof/>
        </w:rPr>
        <w:t xml:space="preserve"> </w:t>
      </w:r>
      <w:r w:rsidR="00BB7762" w:rsidRPr="00DE264C">
        <w:rPr>
          <w:noProof/>
        </w:rPr>
        <w:t>h</w:t>
      </w:r>
      <w:r w:rsidRPr="00DE264C">
        <w:rPr>
          <w:noProof/>
        </w:rPr>
        <w:t>owever, considering its positive effects on EU society and the economy—including increased internet speeds, GDP growth, and reduced CO2 emissions—</w:t>
      </w:r>
      <w:r w:rsidR="00494014" w:rsidRPr="00DE264C">
        <w:rPr>
          <w:noProof/>
        </w:rPr>
        <w:t xml:space="preserve">it </w:t>
      </w:r>
      <w:r w:rsidRPr="00DE264C">
        <w:rPr>
          <w:noProof/>
        </w:rPr>
        <w:t>appears consistent with the principle of necessity.</w:t>
      </w:r>
      <w:r w:rsidR="2171443F" w:rsidRPr="00DE264C">
        <w:rPr>
          <w:noProof/>
        </w:rPr>
        <w:t xml:space="preserve"> Due to the presence of the sustainability </w:t>
      </w:r>
      <w:r w:rsidR="005F2571" w:rsidRPr="00DE264C">
        <w:rPr>
          <w:noProof/>
        </w:rPr>
        <w:t>conditions</w:t>
      </w:r>
      <w:r w:rsidR="2171443F" w:rsidRPr="00DE264C">
        <w:rPr>
          <w:noProof/>
        </w:rPr>
        <w:t xml:space="preserve"> </w:t>
      </w:r>
      <w:r w:rsidR="00903536" w:rsidRPr="00DE264C">
        <w:rPr>
          <w:noProof/>
        </w:rPr>
        <w:t xml:space="preserve">which allow for the </w:t>
      </w:r>
      <w:r w:rsidR="00903536">
        <w:rPr>
          <w:noProof/>
        </w:rPr>
        <w:t>contin</w:t>
      </w:r>
      <w:r w:rsidR="16FA8E82">
        <w:rPr>
          <w:noProof/>
        </w:rPr>
        <w:t>u</w:t>
      </w:r>
      <w:r w:rsidR="00903536">
        <w:rPr>
          <w:noProof/>
        </w:rPr>
        <w:t>ed</w:t>
      </w:r>
      <w:r w:rsidR="00903536" w:rsidRPr="00DE264C">
        <w:rPr>
          <w:noProof/>
        </w:rPr>
        <w:t xml:space="preserve"> operation of copper networks in areas with insufficient FTTH coverage (below 95%) for </w:t>
      </w:r>
      <w:r w:rsidR="00903536">
        <w:rPr>
          <w:noProof/>
        </w:rPr>
        <w:t>a</w:t>
      </w:r>
      <w:r w:rsidR="4C9812C8">
        <w:rPr>
          <w:noProof/>
        </w:rPr>
        <w:t>dditional time</w:t>
      </w:r>
      <w:r w:rsidR="00A35FDF" w:rsidRPr="00DE264C">
        <w:rPr>
          <w:noProof/>
        </w:rPr>
        <w:t xml:space="preserve">, </w:t>
      </w:r>
      <w:r w:rsidR="2171443F" w:rsidRPr="00DE264C">
        <w:rPr>
          <w:noProof/>
        </w:rPr>
        <w:t>this option is in line with the prop</w:t>
      </w:r>
      <w:r w:rsidR="196CC8D8" w:rsidRPr="00DE264C">
        <w:rPr>
          <w:noProof/>
        </w:rPr>
        <w:t>ortionality principle.</w:t>
      </w:r>
    </w:p>
    <w:p w14:paraId="453537E2" w14:textId="511C703C" w:rsidR="005D6F5F" w:rsidRPr="00DE264C" w:rsidRDefault="00DA2885" w:rsidP="00DE7CC1">
      <w:pPr>
        <w:spacing w:line="240" w:lineRule="auto"/>
        <w:rPr>
          <w:noProof/>
        </w:rPr>
      </w:pPr>
      <w:r w:rsidRPr="00DE264C">
        <w:rPr>
          <w:noProof/>
        </w:rPr>
        <w:t xml:space="preserve">Option </w:t>
      </w:r>
      <w:r w:rsidR="0072220F" w:rsidRPr="00DE264C">
        <w:rPr>
          <w:noProof/>
        </w:rPr>
        <w:t>2</w:t>
      </w:r>
      <w:r w:rsidRPr="00DE264C">
        <w:rPr>
          <w:noProof/>
        </w:rPr>
        <w:t xml:space="preserve"> leads to an increase in direct </w:t>
      </w:r>
      <w:r w:rsidR="003911BA" w:rsidRPr="00DE264C">
        <w:rPr>
          <w:noProof/>
        </w:rPr>
        <w:t xml:space="preserve">recurring </w:t>
      </w:r>
      <w:r w:rsidRPr="00DE264C">
        <w:rPr>
          <w:noProof/>
        </w:rPr>
        <w:t xml:space="preserve">(administrative) costs by </w:t>
      </w:r>
      <w:r w:rsidR="00F31E0C" w:rsidRPr="00DE264C">
        <w:rPr>
          <w:noProof/>
        </w:rPr>
        <w:t>18</w:t>
      </w:r>
      <w:r w:rsidRPr="00DE264C">
        <w:rPr>
          <w:noProof/>
        </w:rPr>
        <w:t>% in FTEs per year</w:t>
      </w:r>
      <w:r w:rsidR="00343B36">
        <w:rPr>
          <w:noProof/>
        </w:rPr>
        <w:t xml:space="preserve"> (</w:t>
      </w:r>
      <w:r w:rsidR="007A4672">
        <w:rPr>
          <w:noProof/>
        </w:rPr>
        <w:t>EUR</w:t>
      </w:r>
      <w:r w:rsidR="008E33E8">
        <w:rPr>
          <w:noProof/>
        </w:rPr>
        <w:t> </w:t>
      </w:r>
      <w:r w:rsidR="007A4672">
        <w:rPr>
          <w:noProof/>
        </w:rPr>
        <w:t>38 million)</w:t>
      </w:r>
      <w:r w:rsidRPr="00DE264C">
        <w:rPr>
          <w:noProof/>
        </w:rPr>
        <w:t xml:space="preserve"> </w:t>
      </w:r>
      <w:r w:rsidR="003911BA" w:rsidRPr="00DE264C">
        <w:rPr>
          <w:noProof/>
        </w:rPr>
        <w:t>and EUR</w:t>
      </w:r>
      <w:r w:rsidR="001C2A17" w:rsidRPr="00DE264C">
        <w:rPr>
          <w:noProof/>
        </w:rPr>
        <w:t> </w:t>
      </w:r>
      <w:r w:rsidR="00F31E0C" w:rsidRPr="00DE264C">
        <w:rPr>
          <w:noProof/>
        </w:rPr>
        <w:t>73</w:t>
      </w:r>
      <w:r w:rsidR="00B7595E">
        <w:rPr>
          <w:noProof/>
        </w:rPr>
        <w:t xml:space="preserve"> </w:t>
      </w:r>
      <w:r w:rsidR="003911BA" w:rsidRPr="00DE264C">
        <w:rPr>
          <w:noProof/>
        </w:rPr>
        <w:t>m</w:t>
      </w:r>
      <w:r w:rsidR="005C2E1D">
        <w:rPr>
          <w:noProof/>
        </w:rPr>
        <w:t>illion</w:t>
      </w:r>
      <w:r w:rsidR="003911BA" w:rsidRPr="00DE264C">
        <w:rPr>
          <w:noProof/>
        </w:rPr>
        <w:t xml:space="preserve"> one-off cost, </w:t>
      </w:r>
      <w:r w:rsidRPr="00DE264C">
        <w:rPr>
          <w:noProof/>
        </w:rPr>
        <w:t xml:space="preserve">compared to the status quo. Those costs can be offset or mitigated by the significant benefits brought along with this option, including increased Gigabit connectivity and improved competition. As mentioned above, this is expected to generate substantial positive impacts on GDP and </w:t>
      </w:r>
      <w:r w:rsidR="005062A7" w:rsidRPr="00DE264C">
        <w:rPr>
          <w:noProof/>
        </w:rPr>
        <w:t xml:space="preserve">reduce </w:t>
      </w:r>
      <w:r w:rsidRPr="00DE264C">
        <w:rPr>
          <w:noProof/>
        </w:rPr>
        <w:t>the emissions linked to electronic communications.</w:t>
      </w:r>
    </w:p>
    <w:p w14:paraId="25ADB797" w14:textId="4BF7567F" w:rsidR="005D6F5F" w:rsidRPr="00DE264C" w:rsidRDefault="005D6F5F" w:rsidP="00323440">
      <w:pPr>
        <w:pStyle w:val="Heading3"/>
        <w:tabs>
          <w:tab w:val="num" w:pos="7088"/>
        </w:tabs>
        <w:ind w:left="851"/>
        <w:rPr>
          <w:noProof/>
        </w:rPr>
      </w:pPr>
      <w:bookmarkStart w:id="437" w:name="_Toc214467758"/>
      <w:bookmarkStart w:id="438" w:name="_Toc215083780"/>
      <w:bookmarkStart w:id="439" w:name="_Toc219212546"/>
      <w:bookmarkStart w:id="440" w:name="_Toc219718201"/>
      <w:r w:rsidRPr="00DE264C">
        <w:rPr>
          <w:noProof/>
        </w:rPr>
        <w:t>Spectrum</w:t>
      </w:r>
      <w:bookmarkEnd w:id="437"/>
      <w:bookmarkEnd w:id="438"/>
      <w:bookmarkEnd w:id="439"/>
      <w:bookmarkEnd w:id="440"/>
    </w:p>
    <w:p w14:paraId="433A5EBC" w14:textId="339125C7" w:rsidR="00A16B8A" w:rsidRPr="00DE264C" w:rsidRDefault="00A16B8A" w:rsidP="00DE7CC1">
      <w:pPr>
        <w:pStyle w:val="CommentText"/>
        <w:spacing w:line="240" w:lineRule="auto"/>
        <w:rPr>
          <w:noProof/>
          <w:lang w:val="en-IE"/>
        </w:rPr>
      </w:pPr>
      <w:r w:rsidRPr="00D35A43">
        <w:rPr>
          <w:noProof/>
          <w:sz w:val="24"/>
        </w:rPr>
        <w:t>Option 2 represents a balanced approach between the extremes of soft and strong harmoni</w:t>
      </w:r>
      <w:r w:rsidR="002C4624" w:rsidRPr="00D35A43">
        <w:rPr>
          <w:noProof/>
          <w:sz w:val="24"/>
        </w:rPr>
        <w:t>s</w:t>
      </w:r>
      <w:r w:rsidRPr="00D35A43">
        <w:rPr>
          <w:noProof/>
          <w:sz w:val="24"/>
        </w:rPr>
        <w:t xml:space="preserve">ation of rules, aiming to foster the Single Market while respecting the unique circumstances of individual Member States. It targets harmonisation primarily in areas where substantial investments are necessary, such as spectrum for public networks and focuses particularly on critical aspects like authorisation conditions for 6G. The strategy begins with soft harmonisation through Commission recommendations, escalating to mandatory measures only if disparities persist. This approach allows Member States to retain their competence in assigning terrestrial spectrum, albeit under the Commission's supervision, requiring ex ante </w:t>
      </w:r>
      <w:r w:rsidR="002A69BC">
        <w:rPr>
          <w:noProof/>
          <w:sz w:val="24"/>
        </w:rPr>
        <w:t>spectrum Single Market procedure</w:t>
      </w:r>
      <w:r w:rsidRPr="00D35A43">
        <w:rPr>
          <w:noProof/>
          <w:sz w:val="24"/>
        </w:rPr>
        <w:t xml:space="preserve"> of their draft measures. The Commission holds veto power over market-shaping elements, such as spectrum caps, </w:t>
      </w:r>
      <w:r w:rsidR="00E13681">
        <w:rPr>
          <w:noProof/>
          <w:sz w:val="24"/>
        </w:rPr>
        <w:t>and limited licence duration</w:t>
      </w:r>
      <w:r w:rsidR="00B9113E">
        <w:rPr>
          <w:noProof/>
          <w:sz w:val="24"/>
        </w:rPr>
        <w:t xml:space="preserve"> </w:t>
      </w:r>
      <w:r w:rsidRPr="00D35A43">
        <w:rPr>
          <w:noProof/>
          <w:sz w:val="24"/>
        </w:rPr>
        <w:t>while also providing input on other aspects. By maintaining a degree of flexibility in spectrum assignment, this option ensures a balanced solution that strengthens predictability and enhances legal certainty, improves financing access, reduces capital costs, and boosts investment. It avoids a rigid, uniform approach, allowing Member States to address specific national circumstances, such as geographical and population density-related coverage obligations, ensuring that authorization timelines can be adapted accordingly.</w:t>
      </w:r>
    </w:p>
    <w:p w14:paraId="31512911" w14:textId="1EE15E3F" w:rsidR="00A16B8A" w:rsidRDefault="00A16B8A" w:rsidP="00DE7CC1">
      <w:pPr>
        <w:spacing w:line="240" w:lineRule="auto"/>
        <w:rPr>
          <w:noProof/>
        </w:rPr>
      </w:pPr>
      <w:r w:rsidRPr="00DE264C">
        <w:rPr>
          <w:noProof/>
        </w:rPr>
        <w:t xml:space="preserve">Option 2 delivers high and systemic benefits, for large-scale and cross-border spectrum investments. While costs are significantly higher than in </w:t>
      </w:r>
      <w:r w:rsidR="005F1F2E">
        <w:rPr>
          <w:noProof/>
        </w:rPr>
        <w:t>o</w:t>
      </w:r>
      <w:r w:rsidR="008D65FD" w:rsidRPr="00DE264C">
        <w:rPr>
          <w:noProof/>
        </w:rPr>
        <w:t xml:space="preserve">ption </w:t>
      </w:r>
      <w:r w:rsidRPr="00DE264C">
        <w:rPr>
          <w:noProof/>
        </w:rPr>
        <w:t>1, the reduction in regulatory risk, combined with a credible, enforceable commitment to licence stability and market-friendly conditions, offers major advantages for accelerating the EU’s connectivity goals, increasing EU competitiveness also opening up new opportunities to new spectrum users.</w:t>
      </w:r>
    </w:p>
    <w:p w14:paraId="142E9E52" w14:textId="6ACA5FE1" w:rsidR="00225477" w:rsidRPr="00DE264C" w:rsidRDefault="00271D18" w:rsidP="00DE7CC1">
      <w:pPr>
        <w:spacing w:line="240" w:lineRule="auto"/>
        <w:rPr>
          <w:rStyle w:val="normaltextrun"/>
          <w:noProof/>
        </w:rPr>
      </w:pPr>
      <w:r w:rsidRPr="00DE264C">
        <w:rPr>
          <w:noProof/>
        </w:rPr>
        <w:t>T</w:t>
      </w:r>
      <w:r w:rsidR="00F16070" w:rsidRPr="00DE264C">
        <w:rPr>
          <w:noProof/>
        </w:rPr>
        <w:t>he prefe</w:t>
      </w:r>
      <w:r w:rsidR="0097621A" w:rsidRPr="00DE264C">
        <w:rPr>
          <w:noProof/>
        </w:rPr>
        <w:t>r</w:t>
      </w:r>
      <w:r w:rsidR="00AE5CCE" w:rsidRPr="00DE264C">
        <w:rPr>
          <w:noProof/>
        </w:rPr>
        <w:t>r</w:t>
      </w:r>
      <w:r w:rsidR="00F16070" w:rsidRPr="00DE264C">
        <w:rPr>
          <w:noProof/>
        </w:rPr>
        <w:t xml:space="preserve">ed </w:t>
      </w:r>
      <w:r w:rsidR="005F1F2E">
        <w:rPr>
          <w:noProof/>
        </w:rPr>
        <w:t>o</w:t>
      </w:r>
      <w:r w:rsidR="006D3FF9">
        <w:rPr>
          <w:noProof/>
        </w:rPr>
        <w:t>ption</w:t>
      </w:r>
      <w:r w:rsidR="00F16070" w:rsidRPr="00DE264C">
        <w:rPr>
          <w:noProof/>
        </w:rPr>
        <w:t xml:space="preserve"> </w:t>
      </w:r>
      <w:r w:rsidR="00EA338A" w:rsidRPr="00DE264C">
        <w:rPr>
          <w:noProof/>
        </w:rPr>
        <w:t>2</w:t>
      </w:r>
      <w:r w:rsidR="00525D0D" w:rsidRPr="00DE264C">
        <w:rPr>
          <w:noProof/>
        </w:rPr>
        <w:t xml:space="preserve"> is</w:t>
      </w:r>
      <w:r w:rsidR="00244060" w:rsidRPr="00DE264C">
        <w:rPr>
          <w:rStyle w:val="normaltextrun"/>
          <w:noProof/>
        </w:rPr>
        <w:t xml:space="preserve"> the most </w:t>
      </w:r>
      <w:r w:rsidR="00D43633" w:rsidRPr="00DE264C">
        <w:rPr>
          <w:rStyle w:val="normaltextrun"/>
          <w:noProof/>
        </w:rPr>
        <w:t>efficient given that overall benefits significantly outweigh its costs</w:t>
      </w:r>
      <w:r w:rsidR="002C702A" w:rsidRPr="00DE264C">
        <w:rPr>
          <w:rStyle w:val="normaltextrun"/>
          <w:noProof/>
        </w:rPr>
        <w:t>. It</w:t>
      </w:r>
      <w:r w:rsidR="00244060" w:rsidRPr="00DE264C">
        <w:rPr>
          <w:rStyle w:val="normaltextrun"/>
          <w:noProof/>
        </w:rPr>
        <w:t xml:space="preserve"> would ensure </w:t>
      </w:r>
      <w:r w:rsidR="00075303" w:rsidRPr="00DE264C">
        <w:rPr>
          <w:rStyle w:val="normaltextrun"/>
          <w:noProof/>
        </w:rPr>
        <w:t xml:space="preserve">timely </w:t>
      </w:r>
      <w:r w:rsidR="00244060" w:rsidRPr="00DE264C">
        <w:rPr>
          <w:rStyle w:val="normaltextrun"/>
          <w:noProof/>
        </w:rPr>
        <w:t xml:space="preserve">deployment of high quality 5G and </w:t>
      </w:r>
      <w:r w:rsidR="00BD1300" w:rsidRPr="00DE264C">
        <w:rPr>
          <w:rStyle w:val="normaltextrun"/>
          <w:noProof/>
        </w:rPr>
        <w:t xml:space="preserve">future 6G </w:t>
      </w:r>
      <w:r w:rsidR="008D65FD" w:rsidRPr="00DE264C">
        <w:rPr>
          <w:rStyle w:val="normaltextrun"/>
          <w:noProof/>
        </w:rPr>
        <w:t>networks</w:t>
      </w:r>
      <w:r w:rsidR="00E070B0">
        <w:rPr>
          <w:rStyle w:val="normaltextrun"/>
          <w:noProof/>
        </w:rPr>
        <w:t>,</w:t>
      </w:r>
      <w:r w:rsidR="008D65FD" w:rsidRPr="00DE264C">
        <w:rPr>
          <w:rStyle w:val="normaltextrun"/>
          <w:noProof/>
        </w:rPr>
        <w:t xml:space="preserve"> and</w:t>
      </w:r>
      <w:r w:rsidR="00C31B3F" w:rsidRPr="00DE264C">
        <w:rPr>
          <w:rStyle w:val="normaltextrun"/>
          <w:noProof/>
        </w:rPr>
        <w:t xml:space="preserve"> </w:t>
      </w:r>
      <w:r w:rsidR="006C6130" w:rsidRPr="00DE264C">
        <w:rPr>
          <w:rStyle w:val="normaltextrun"/>
          <w:noProof/>
        </w:rPr>
        <w:t>achieve</w:t>
      </w:r>
      <w:r w:rsidR="005F1410" w:rsidRPr="00DE264C">
        <w:rPr>
          <w:rStyle w:val="normaltextrun"/>
          <w:noProof/>
        </w:rPr>
        <w:t xml:space="preserve"> the </w:t>
      </w:r>
      <w:r w:rsidR="00DD7116" w:rsidRPr="00DE264C">
        <w:rPr>
          <w:rStyle w:val="normaltextrun"/>
          <w:noProof/>
        </w:rPr>
        <w:t xml:space="preserve">general </w:t>
      </w:r>
      <w:r w:rsidR="005F1410" w:rsidRPr="00DE264C">
        <w:rPr>
          <w:rStyle w:val="normaltextrun"/>
          <w:noProof/>
        </w:rPr>
        <w:t>objective of</w:t>
      </w:r>
      <w:r w:rsidR="005B1C0F" w:rsidRPr="00DE264C">
        <w:rPr>
          <w:rStyle w:val="normaltextrun"/>
          <w:noProof/>
        </w:rPr>
        <w:t xml:space="preserve"> </w:t>
      </w:r>
      <w:r w:rsidR="00073127" w:rsidRPr="00DE264C">
        <w:rPr>
          <w:rStyle w:val="normaltextrun"/>
          <w:noProof/>
        </w:rPr>
        <w:t xml:space="preserve">reinforced </w:t>
      </w:r>
      <w:r w:rsidR="00A7061E" w:rsidRPr="00DE264C">
        <w:rPr>
          <w:rStyle w:val="normaltextrun"/>
          <w:noProof/>
        </w:rPr>
        <w:t xml:space="preserve">competitiveness </w:t>
      </w:r>
      <w:r w:rsidR="00975A09" w:rsidRPr="00DE264C">
        <w:rPr>
          <w:rStyle w:val="normaltextrun"/>
          <w:noProof/>
        </w:rPr>
        <w:t>and resilience</w:t>
      </w:r>
      <w:r w:rsidR="00C31B3F" w:rsidRPr="00DE264C">
        <w:rPr>
          <w:rStyle w:val="normaltextrun"/>
          <w:noProof/>
        </w:rPr>
        <w:t xml:space="preserve">. </w:t>
      </w:r>
      <w:r w:rsidR="00A47ED6" w:rsidRPr="00D35A43">
        <w:rPr>
          <w:rStyle w:val="normaltextrun"/>
          <w:noProof/>
        </w:rPr>
        <w:t>It</w:t>
      </w:r>
      <w:r w:rsidR="00FF4802" w:rsidRPr="00D35A43">
        <w:rPr>
          <w:rStyle w:val="normaltextrun"/>
          <w:noProof/>
        </w:rPr>
        <w:t xml:space="preserve"> would be synergic and coherent with the </w:t>
      </w:r>
      <w:r w:rsidR="00C44044" w:rsidRPr="00D35A43">
        <w:rPr>
          <w:rStyle w:val="normaltextrun"/>
          <w:noProof/>
        </w:rPr>
        <w:t>transition to fibre</w:t>
      </w:r>
      <w:r w:rsidR="00C14238" w:rsidRPr="00D35A43">
        <w:rPr>
          <w:rStyle w:val="normaltextrun"/>
          <w:noProof/>
        </w:rPr>
        <w:t xml:space="preserve">, which is needed to </w:t>
      </w:r>
      <w:r w:rsidR="00130A07" w:rsidRPr="00D35A43">
        <w:rPr>
          <w:rStyle w:val="normaltextrun"/>
          <w:noProof/>
        </w:rPr>
        <w:t>achieve full 5G,</w:t>
      </w:r>
      <w:r w:rsidR="00FF4802" w:rsidRPr="00D35A43">
        <w:rPr>
          <w:rStyle w:val="normaltextrun"/>
          <w:noProof/>
        </w:rPr>
        <w:t xml:space="preserve"> and the satellite options in ensuring the general objective of high quality and resilient connectivity. Moreover, in areas where fibre deployment is not economically viable, a high quality mobile </w:t>
      </w:r>
      <w:r w:rsidR="00A85C49" w:rsidRPr="00D35A43">
        <w:rPr>
          <w:rStyle w:val="normaltextrun"/>
          <w:noProof/>
        </w:rPr>
        <w:t>or FWA (Fixed Wireless Access)</w:t>
      </w:r>
      <w:r w:rsidR="00FF4802" w:rsidRPr="00D35A43">
        <w:rPr>
          <w:rStyle w:val="normaltextrun"/>
          <w:noProof/>
        </w:rPr>
        <w:t xml:space="preserve"> solution, based on mid-band or mmW 5G </w:t>
      </w:r>
      <w:r w:rsidR="00890ADA" w:rsidRPr="00D35A43">
        <w:rPr>
          <w:rStyle w:val="normaltextrun"/>
          <w:noProof/>
        </w:rPr>
        <w:t xml:space="preserve">SA </w:t>
      </w:r>
      <w:r w:rsidR="00FF4802" w:rsidRPr="00D35A43">
        <w:rPr>
          <w:rStyle w:val="normaltextrun"/>
          <w:noProof/>
        </w:rPr>
        <w:t>could be deployed as a viable alternative for connecting cost-effectively end-users</w:t>
      </w:r>
      <w:r w:rsidR="00C9282A" w:rsidRPr="00D35A43">
        <w:rPr>
          <w:rStyle w:val="normaltextrun"/>
          <w:noProof/>
        </w:rPr>
        <w:t>.</w:t>
      </w:r>
      <w:r w:rsidR="00FF4802" w:rsidRPr="00D35A43">
        <w:rPr>
          <w:rStyle w:val="normaltextrun"/>
          <w:noProof/>
        </w:rPr>
        <w:t xml:space="preserve"> Lastly, satellite </w:t>
      </w:r>
      <w:r w:rsidR="00B9296E" w:rsidRPr="00D35A43">
        <w:rPr>
          <w:rStyle w:val="normaltextrun"/>
          <w:noProof/>
        </w:rPr>
        <w:t>options</w:t>
      </w:r>
      <w:r w:rsidR="00FF4802" w:rsidRPr="00D35A43">
        <w:rPr>
          <w:rStyle w:val="normaltextrun"/>
          <w:noProof/>
        </w:rPr>
        <w:t xml:space="preserve"> would be complementary </w:t>
      </w:r>
      <w:r w:rsidR="00B9296E" w:rsidRPr="00D35A43">
        <w:rPr>
          <w:rStyle w:val="normaltextrun"/>
          <w:noProof/>
        </w:rPr>
        <w:t xml:space="preserve">since they would ensure </w:t>
      </w:r>
      <w:r w:rsidR="00FF4802" w:rsidRPr="00D35A43">
        <w:rPr>
          <w:rStyle w:val="normaltextrun"/>
          <w:noProof/>
        </w:rPr>
        <w:t>not only wide</w:t>
      </w:r>
      <w:r w:rsidR="00C00377" w:rsidRPr="00D35A43">
        <w:rPr>
          <w:rStyle w:val="normaltextrun"/>
          <w:noProof/>
        </w:rPr>
        <w:t>r</w:t>
      </w:r>
      <w:r w:rsidR="00FF4802" w:rsidRPr="00D35A43">
        <w:rPr>
          <w:rStyle w:val="normaltextrun"/>
          <w:noProof/>
        </w:rPr>
        <w:t xml:space="preserve"> territorial coverage </w:t>
      </w:r>
      <w:r w:rsidR="00D1553B" w:rsidRPr="00D35A43">
        <w:rPr>
          <w:rStyle w:val="normaltextrun"/>
          <w:noProof/>
        </w:rPr>
        <w:t xml:space="preserve">through </w:t>
      </w:r>
      <w:r w:rsidR="00FF4802" w:rsidRPr="00D35A43">
        <w:rPr>
          <w:rStyle w:val="normaltextrun"/>
          <w:noProof/>
        </w:rPr>
        <w:t xml:space="preserve">D2D services, including of the most remote regions, but also </w:t>
      </w:r>
      <w:r w:rsidR="00D1553B" w:rsidRPr="00D35A43">
        <w:rPr>
          <w:rStyle w:val="normaltextrun"/>
          <w:noProof/>
        </w:rPr>
        <w:t xml:space="preserve">higher </w:t>
      </w:r>
      <w:r w:rsidR="00FF4802" w:rsidRPr="00D35A43">
        <w:rPr>
          <w:rStyle w:val="normaltextrun"/>
          <w:noProof/>
        </w:rPr>
        <w:t xml:space="preserve">security, resilience and continuity of service, </w:t>
      </w:r>
      <w:r w:rsidR="00D1553B" w:rsidRPr="00D35A43">
        <w:rPr>
          <w:rStyle w:val="normaltextrun"/>
          <w:noProof/>
        </w:rPr>
        <w:t xml:space="preserve">for example by </w:t>
      </w:r>
      <w:r w:rsidR="00FF4802" w:rsidRPr="00D35A43">
        <w:rPr>
          <w:rStyle w:val="normaltextrun"/>
          <w:noProof/>
        </w:rPr>
        <w:t xml:space="preserve">providing backhaul (satellite based backhaul as complement to fibre based backhaul), disaster response and emergency network restoration and redundancy. </w:t>
      </w:r>
      <w:r w:rsidR="003F2B0B" w:rsidRPr="00DE264C">
        <w:rPr>
          <w:rStyle w:val="normaltextrun"/>
          <w:noProof/>
        </w:rPr>
        <w:t xml:space="preserve">It also </w:t>
      </w:r>
      <w:r w:rsidR="005C3EE0" w:rsidRPr="00DE264C">
        <w:rPr>
          <w:rStyle w:val="normaltextrun"/>
          <w:noProof/>
        </w:rPr>
        <w:t xml:space="preserve">strengthens coherence </w:t>
      </w:r>
      <w:r w:rsidR="005020A0" w:rsidRPr="00DE264C">
        <w:rPr>
          <w:rStyle w:val="normaltextrun"/>
          <w:noProof/>
        </w:rPr>
        <w:t xml:space="preserve">and synergies </w:t>
      </w:r>
      <w:r w:rsidR="005C3EE0" w:rsidRPr="00DE264C">
        <w:rPr>
          <w:rStyle w:val="normaltextrun"/>
          <w:noProof/>
        </w:rPr>
        <w:t>with</w:t>
      </w:r>
      <w:r w:rsidR="007644EF" w:rsidRPr="00DE264C">
        <w:rPr>
          <w:rStyle w:val="normaltextrun"/>
          <w:noProof/>
        </w:rPr>
        <w:t xml:space="preserve"> security </w:t>
      </w:r>
      <w:r w:rsidR="00B31B81" w:rsidRPr="00DE264C">
        <w:rPr>
          <w:rStyle w:val="normaltextrun"/>
          <w:noProof/>
        </w:rPr>
        <w:t xml:space="preserve">policy </w:t>
      </w:r>
      <w:r w:rsidR="005020A0" w:rsidRPr="00DE264C">
        <w:rPr>
          <w:rStyle w:val="normaltextrun"/>
          <w:noProof/>
        </w:rPr>
        <w:t xml:space="preserve">proposed in specific policy instruments (e.g. Cyber </w:t>
      </w:r>
      <w:r w:rsidR="43A362FA" w:rsidRPr="00DE264C">
        <w:rPr>
          <w:rStyle w:val="normaltextrun"/>
          <w:noProof/>
        </w:rPr>
        <w:t xml:space="preserve">Security </w:t>
      </w:r>
      <w:r w:rsidR="005020A0" w:rsidRPr="00DE264C">
        <w:rPr>
          <w:rStyle w:val="normaltextrun"/>
          <w:noProof/>
        </w:rPr>
        <w:t>Act).</w:t>
      </w:r>
      <w:r w:rsidR="00FF4802" w:rsidRPr="00D35A43">
        <w:rPr>
          <w:rStyle w:val="normaltextrun"/>
          <w:noProof/>
        </w:rPr>
        <w:t xml:space="preserve"> </w:t>
      </w:r>
      <w:r w:rsidR="002F4524" w:rsidRPr="00DE264C">
        <w:rPr>
          <w:rStyle w:val="normaltextrun"/>
          <w:noProof/>
        </w:rPr>
        <w:t xml:space="preserve">Option 3 also has merits and would also achieve the </w:t>
      </w:r>
      <w:r w:rsidR="00C30EF8" w:rsidRPr="00DE264C">
        <w:rPr>
          <w:rStyle w:val="normaltextrun"/>
          <w:noProof/>
        </w:rPr>
        <w:t>objectives pursued</w:t>
      </w:r>
      <w:r w:rsidR="009970FE" w:rsidRPr="00DE264C">
        <w:rPr>
          <w:rStyle w:val="normaltextrun"/>
          <w:noProof/>
        </w:rPr>
        <w:t>, in particular as regards EU spectrum authorisation</w:t>
      </w:r>
      <w:r w:rsidR="00C30EF8" w:rsidRPr="00DE264C">
        <w:rPr>
          <w:rStyle w:val="normaltextrun"/>
          <w:noProof/>
        </w:rPr>
        <w:t xml:space="preserve">. However, </w:t>
      </w:r>
      <w:r w:rsidR="009970FE" w:rsidRPr="00DE264C">
        <w:rPr>
          <w:rStyle w:val="normaltextrun"/>
          <w:noProof/>
        </w:rPr>
        <w:t>by harmonising spectrum award and authorisation conditions</w:t>
      </w:r>
      <w:r w:rsidR="00F81E3C">
        <w:rPr>
          <w:rStyle w:val="normaltextrun"/>
          <w:noProof/>
        </w:rPr>
        <w:t>,</w:t>
      </w:r>
      <w:r w:rsidR="009970FE" w:rsidRPr="00DE264C">
        <w:rPr>
          <w:rStyle w:val="normaltextrun"/>
          <w:noProof/>
        </w:rPr>
        <w:t xml:space="preserve"> option 2 can achieve the same outcome with less intrusive measures.</w:t>
      </w:r>
      <w:r w:rsidR="00C30EF8" w:rsidRPr="00DE264C">
        <w:rPr>
          <w:rStyle w:val="normaltextrun"/>
          <w:noProof/>
        </w:rPr>
        <w:t xml:space="preserve"> </w:t>
      </w:r>
      <w:r w:rsidR="00CD04EF">
        <w:rPr>
          <w:rStyle w:val="normaltextrun"/>
          <w:noProof/>
        </w:rPr>
        <w:t>O</w:t>
      </w:r>
      <w:r w:rsidR="00B70272" w:rsidRPr="00DE264C">
        <w:rPr>
          <w:rStyle w:val="normaltextrun"/>
          <w:noProof/>
        </w:rPr>
        <w:t>ption</w:t>
      </w:r>
      <w:r w:rsidR="009B64C5" w:rsidRPr="00DE264C">
        <w:rPr>
          <w:rStyle w:val="normaltextrun"/>
          <w:noProof/>
        </w:rPr>
        <w:t xml:space="preserve"> 2 has </w:t>
      </w:r>
      <w:r w:rsidR="00B70272" w:rsidRPr="00DE264C">
        <w:rPr>
          <w:rStyle w:val="normaltextrun"/>
          <w:noProof/>
        </w:rPr>
        <w:t>similar</w:t>
      </w:r>
      <w:r w:rsidR="009B64C5" w:rsidRPr="00DE264C">
        <w:rPr>
          <w:rStyle w:val="normaltextrun"/>
          <w:noProof/>
        </w:rPr>
        <w:t xml:space="preserve"> economic and environmental impact as option 3 and its direct and indirect costs are significantly lower than option 3</w:t>
      </w:r>
      <w:r w:rsidR="00CD04EF">
        <w:rPr>
          <w:rStyle w:val="normaltextrun"/>
          <w:noProof/>
        </w:rPr>
        <w:t>. I</w:t>
      </w:r>
      <w:r w:rsidR="009223E1" w:rsidRPr="00DE264C">
        <w:rPr>
          <w:rStyle w:val="normaltextrun"/>
          <w:noProof/>
        </w:rPr>
        <w:t>t</w:t>
      </w:r>
      <w:r w:rsidR="00CD04EF">
        <w:rPr>
          <w:rStyle w:val="normaltextrun"/>
          <w:noProof/>
        </w:rPr>
        <w:t xml:space="preserve"> hence</w:t>
      </w:r>
      <w:r w:rsidR="009B64C5" w:rsidRPr="00DE264C">
        <w:rPr>
          <w:rStyle w:val="normaltextrun"/>
          <w:noProof/>
        </w:rPr>
        <w:t xml:space="preserve"> emerges as the one with the best benefits/cost balance and fully justif</w:t>
      </w:r>
      <w:r w:rsidR="00B219AA" w:rsidRPr="00DE264C">
        <w:rPr>
          <w:rStyle w:val="normaltextrun"/>
          <w:noProof/>
        </w:rPr>
        <w:t>ies</w:t>
      </w:r>
      <w:r w:rsidR="009B64C5" w:rsidRPr="00DE264C">
        <w:rPr>
          <w:rStyle w:val="normaltextrun"/>
          <w:noProof/>
        </w:rPr>
        <w:t xml:space="preserve"> the intervention. </w:t>
      </w:r>
      <w:r w:rsidR="00696960" w:rsidRPr="00DE264C">
        <w:rPr>
          <w:rStyle w:val="normaltextrun"/>
          <w:noProof/>
        </w:rPr>
        <w:t xml:space="preserve">More specifically, option </w:t>
      </w:r>
      <w:r w:rsidR="008F2D06">
        <w:rPr>
          <w:rStyle w:val="normaltextrun"/>
          <w:noProof/>
        </w:rPr>
        <w:t>2</w:t>
      </w:r>
      <w:r w:rsidR="00696960" w:rsidRPr="00DE264C">
        <w:rPr>
          <w:rStyle w:val="normaltextrun"/>
          <w:noProof/>
        </w:rPr>
        <w:t xml:space="preserve"> would provide </w:t>
      </w:r>
      <w:r w:rsidR="007E1A1F" w:rsidRPr="00DE264C">
        <w:rPr>
          <w:rStyle w:val="normaltextrun"/>
          <w:noProof/>
        </w:rPr>
        <w:t>maximum investment certainty and regulatory clarity</w:t>
      </w:r>
      <w:r w:rsidR="00165C08" w:rsidRPr="00DE264C">
        <w:rPr>
          <w:rStyle w:val="normaltextrun"/>
          <w:noProof/>
        </w:rPr>
        <w:t xml:space="preserve">, creating an environment </w:t>
      </w:r>
      <w:r w:rsidR="00C97435" w:rsidRPr="00DE264C">
        <w:rPr>
          <w:rStyle w:val="normaltextrun"/>
          <w:noProof/>
        </w:rPr>
        <w:t>conducive to investment in high quality mobile infrastructure</w:t>
      </w:r>
      <w:r w:rsidR="00F66399" w:rsidRPr="00DE264C">
        <w:rPr>
          <w:rStyle w:val="normaltextrun"/>
          <w:noProof/>
        </w:rPr>
        <w:t>.</w:t>
      </w:r>
      <w:r w:rsidR="00444782" w:rsidRPr="00DE264C">
        <w:rPr>
          <w:rStyle w:val="normaltextrun"/>
          <w:noProof/>
        </w:rPr>
        <w:t xml:space="preserve"> </w:t>
      </w:r>
      <w:r w:rsidR="00EB79D0">
        <w:rPr>
          <w:rStyle w:val="normaltextrun"/>
          <w:noProof/>
        </w:rPr>
        <w:t>O</w:t>
      </w:r>
      <w:r w:rsidR="00444782" w:rsidRPr="00DE264C">
        <w:rPr>
          <w:rStyle w:val="normaltextrun"/>
          <w:noProof/>
        </w:rPr>
        <w:t>ption</w:t>
      </w:r>
      <w:r w:rsidR="00EB79D0">
        <w:rPr>
          <w:rStyle w:val="normaltextrun"/>
          <w:noProof/>
        </w:rPr>
        <w:t xml:space="preserve"> 2</w:t>
      </w:r>
      <w:r w:rsidR="00444782" w:rsidRPr="00DE264C">
        <w:rPr>
          <w:rStyle w:val="normaltextrun"/>
          <w:noProof/>
        </w:rPr>
        <w:t xml:space="preserve"> </w:t>
      </w:r>
      <w:r w:rsidR="00152BC2" w:rsidRPr="00DE264C">
        <w:rPr>
          <w:rStyle w:val="normaltextrun"/>
          <w:noProof/>
        </w:rPr>
        <w:t xml:space="preserve">builds upon the current </w:t>
      </w:r>
      <w:r w:rsidR="009E30BA" w:rsidRPr="00DE264C">
        <w:rPr>
          <w:rStyle w:val="normaltextrun"/>
          <w:noProof/>
        </w:rPr>
        <w:t xml:space="preserve">architecture of national authorisation procedures and </w:t>
      </w:r>
      <w:r w:rsidR="005505D4" w:rsidRPr="00DE264C">
        <w:rPr>
          <w:rStyle w:val="normaltextrun"/>
          <w:noProof/>
        </w:rPr>
        <w:t>improves</w:t>
      </w:r>
      <w:r w:rsidR="009E30BA" w:rsidRPr="00DE264C">
        <w:rPr>
          <w:rStyle w:val="normaltextrun"/>
          <w:noProof/>
        </w:rPr>
        <w:t xml:space="preserve"> regulatory predictability </w:t>
      </w:r>
      <w:r w:rsidR="00936BC1" w:rsidRPr="00DE264C">
        <w:rPr>
          <w:rStyle w:val="normaltextrun"/>
          <w:noProof/>
        </w:rPr>
        <w:t xml:space="preserve">by strengthening the Single Market </w:t>
      </w:r>
      <w:r w:rsidR="009E30BA" w:rsidRPr="00DE264C">
        <w:rPr>
          <w:rStyle w:val="normaltextrun"/>
          <w:noProof/>
        </w:rPr>
        <w:t xml:space="preserve">through an enhanced role of ex ante supervision carried out by the Commission with the support of </w:t>
      </w:r>
      <w:r w:rsidR="00053667" w:rsidRPr="00DE264C">
        <w:rPr>
          <w:rStyle w:val="normaltextrun"/>
          <w:noProof/>
        </w:rPr>
        <w:t xml:space="preserve">BEREC and </w:t>
      </w:r>
      <w:r w:rsidR="009E30BA" w:rsidRPr="00DE264C">
        <w:rPr>
          <w:rStyle w:val="normaltextrun"/>
          <w:noProof/>
        </w:rPr>
        <w:t>the RSPG.</w:t>
      </w:r>
      <w:r w:rsidR="00DC7685" w:rsidRPr="00DE264C">
        <w:rPr>
          <w:rStyle w:val="normaltextrun"/>
          <w:noProof/>
        </w:rPr>
        <w:t xml:space="preserve"> It ensures that all the objectives of the regulatory framework, including c</w:t>
      </w:r>
      <w:r w:rsidR="00650780" w:rsidRPr="00DE264C">
        <w:rPr>
          <w:rStyle w:val="normaltextrun"/>
          <w:noProof/>
        </w:rPr>
        <w:t xml:space="preserve">onnectivity and competition are </w:t>
      </w:r>
      <w:r w:rsidR="00A5594B" w:rsidRPr="00DE264C">
        <w:rPr>
          <w:rStyle w:val="normaltextrun"/>
          <w:noProof/>
        </w:rPr>
        <w:t>catered for</w:t>
      </w:r>
      <w:r w:rsidR="005E1785" w:rsidRPr="00DE264C">
        <w:rPr>
          <w:rStyle w:val="normaltextrun"/>
          <w:noProof/>
        </w:rPr>
        <w:t xml:space="preserve"> in a consistent and coordinated manner, while taking into account national specificities and particularities.</w:t>
      </w:r>
      <w:r w:rsidR="00CE35E9" w:rsidRPr="00DE264C">
        <w:rPr>
          <w:rStyle w:val="normaltextrun"/>
          <w:noProof/>
        </w:rPr>
        <w:t xml:space="preserve"> </w:t>
      </w:r>
      <w:r w:rsidR="008F4527" w:rsidRPr="00DE264C">
        <w:rPr>
          <w:rStyle w:val="normaltextrun"/>
          <w:noProof/>
        </w:rPr>
        <w:t>Although</w:t>
      </w:r>
      <w:r w:rsidR="00F67980" w:rsidRPr="00DE264C">
        <w:rPr>
          <w:rStyle w:val="normaltextrun"/>
          <w:noProof/>
        </w:rPr>
        <w:t xml:space="preserve"> it requires to </w:t>
      </w:r>
      <w:r w:rsidR="00F13F60" w:rsidRPr="00DE264C">
        <w:rPr>
          <w:rStyle w:val="normaltextrun"/>
          <w:noProof/>
        </w:rPr>
        <w:t xml:space="preserve">create an ex ante spectrum </w:t>
      </w:r>
      <w:r w:rsidR="00584258">
        <w:rPr>
          <w:rStyle w:val="normaltextrun"/>
          <w:noProof/>
        </w:rPr>
        <w:t>single market procedure</w:t>
      </w:r>
      <w:r w:rsidR="00F13F60" w:rsidRPr="00DE264C">
        <w:rPr>
          <w:rStyle w:val="normaltextrun"/>
          <w:noProof/>
        </w:rPr>
        <w:t xml:space="preserve"> mechanism, this can be done in a cost efficient manner,</w:t>
      </w:r>
      <w:r w:rsidR="007A41D0" w:rsidRPr="00DE264C">
        <w:rPr>
          <w:rStyle w:val="normaltextrun"/>
          <w:noProof/>
        </w:rPr>
        <w:t xml:space="preserve"> </w:t>
      </w:r>
      <w:r w:rsidR="0051567D" w:rsidRPr="00DE264C">
        <w:rPr>
          <w:rStyle w:val="normaltextrun"/>
          <w:noProof/>
        </w:rPr>
        <w:t xml:space="preserve">without </w:t>
      </w:r>
      <w:r w:rsidR="00C25A41" w:rsidRPr="00DE264C">
        <w:rPr>
          <w:rStyle w:val="normaltextrun"/>
          <w:noProof/>
        </w:rPr>
        <w:t>unreasonable delay</w:t>
      </w:r>
      <w:r w:rsidR="00F13F60" w:rsidRPr="00DE264C">
        <w:rPr>
          <w:rStyle w:val="normaltextrun"/>
          <w:noProof/>
        </w:rPr>
        <w:t>,</w:t>
      </w:r>
      <w:r w:rsidR="007A41D0" w:rsidRPr="00DE264C">
        <w:rPr>
          <w:rStyle w:val="normaltextrun"/>
          <w:noProof/>
        </w:rPr>
        <w:t xml:space="preserve"> by </w:t>
      </w:r>
      <w:r w:rsidR="008E7564" w:rsidRPr="00DE264C">
        <w:rPr>
          <w:rStyle w:val="normaltextrun"/>
          <w:noProof/>
        </w:rPr>
        <w:t xml:space="preserve">exploiting </w:t>
      </w:r>
      <w:r w:rsidR="007A41D0" w:rsidRPr="00DE264C">
        <w:rPr>
          <w:rStyle w:val="normaltextrun"/>
          <w:noProof/>
        </w:rPr>
        <w:t>the</w:t>
      </w:r>
      <w:r w:rsidR="008E7564" w:rsidRPr="00DE264C">
        <w:rPr>
          <w:rStyle w:val="normaltextrun"/>
          <w:noProof/>
        </w:rPr>
        <w:t xml:space="preserve"> 25-year</w:t>
      </w:r>
      <w:r w:rsidR="007A41D0" w:rsidRPr="00DE264C">
        <w:rPr>
          <w:rStyle w:val="normaltextrun"/>
          <w:noProof/>
        </w:rPr>
        <w:t xml:space="preserve"> experience gained by </w:t>
      </w:r>
      <w:r w:rsidR="008E7564" w:rsidRPr="00DE264C">
        <w:rPr>
          <w:rStyle w:val="normaltextrun"/>
          <w:noProof/>
        </w:rPr>
        <w:t xml:space="preserve">similar scrutiny mechanisms in ex ante market regulation. </w:t>
      </w:r>
      <w:r w:rsidR="00373B5C" w:rsidRPr="00DE264C">
        <w:rPr>
          <w:rStyle w:val="normaltextrun"/>
          <w:noProof/>
        </w:rPr>
        <w:t>T</w:t>
      </w:r>
      <w:r w:rsidR="002545B7" w:rsidRPr="00DE264C">
        <w:rPr>
          <w:rStyle w:val="normaltextrun"/>
          <w:noProof/>
        </w:rPr>
        <w:t xml:space="preserve">he cost is manageable, thanks to </w:t>
      </w:r>
      <w:r w:rsidR="0028222F" w:rsidRPr="00DE264C">
        <w:rPr>
          <w:rStyle w:val="normaltextrun"/>
          <w:noProof/>
        </w:rPr>
        <w:t>more frequent recourse to spectrum renewals</w:t>
      </w:r>
      <w:r w:rsidR="00EA4F04" w:rsidRPr="00DE264C">
        <w:rPr>
          <w:rStyle w:val="normaltextrun"/>
          <w:noProof/>
        </w:rPr>
        <w:t xml:space="preserve">, which is expected </w:t>
      </w:r>
      <w:r w:rsidR="00A655CE" w:rsidRPr="00DE264C">
        <w:rPr>
          <w:rStyle w:val="normaltextrun"/>
          <w:noProof/>
        </w:rPr>
        <w:t xml:space="preserve">in the long term </w:t>
      </w:r>
      <w:r w:rsidR="00EA4F04" w:rsidRPr="00DE264C">
        <w:rPr>
          <w:rStyle w:val="normaltextrun"/>
          <w:noProof/>
        </w:rPr>
        <w:t>to significantly decrease the number of auctions.</w:t>
      </w:r>
      <w:r w:rsidR="00B80CB4" w:rsidRPr="00DE264C">
        <w:rPr>
          <w:rStyle w:val="normaltextrun"/>
          <w:noProof/>
        </w:rPr>
        <w:t xml:space="preserve"> </w:t>
      </w:r>
      <w:r w:rsidR="00F370A1" w:rsidRPr="00DE264C">
        <w:rPr>
          <w:rStyle w:val="normaltextrun"/>
          <w:noProof/>
        </w:rPr>
        <w:t xml:space="preserve">Option 2 ensures the most efficient use of spectrum, </w:t>
      </w:r>
      <w:r w:rsidR="00D90A57" w:rsidRPr="00DE264C">
        <w:rPr>
          <w:rStyle w:val="normaltextrun"/>
          <w:noProof/>
        </w:rPr>
        <w:t xml:space="preserve">by </w:t>
      </w:r>
      <w:r w:rsidR="00F826C5" w:rsidRPr="00DE264C">
        <w:rPr>
          <w:rStyle w:val="normaltextrun"/>
          <w:noProof/>
        </w:rPr>
        <w:t>creating the conditions for</w:t>
      </w:r>
      <w:r w:rsidR="006938FE" w:rsidRPr="00DE264C">
        <w:rPr>
          <w:rStyle w:val="normaltextrun"/>
          <w:noProof/>
        </w:rPr>
        <w:t xml:space="preserve"> spectrum sharing </w:t>
      </w:r>
      <w:r w:rsidR="00800BDA" w:rsidRPr="00DE264C">
        <w:rPr>
          <w:rStyle w:val="normaltextrun"/>
          <w:noProof/>
        </w:rPr>
        <w:t>where it is more impactful</w:t>
      </w:r>
      <w:r w:rsidR="00F826C5" w:rsidRPr="00DE264C">
        <w:rPr>
          <w:rStyle w:val="normaltextrun"/>
          <w:noProof/>
        </w:rPr>
        <w:t xml:space="preserve"> and where the benefits justify the costs</w:t>
      </w:r>
      <w:r w:rsidR="00040DE6" w:rsidRPr="00DE264C">
        <w:rPr>
          <w:rStyle w:val="normaltextrun"/>
          <w:noProof/>
        </w:rPr>
        <w:t>, in particular interservice</w:t>
      </w:r>
      <w:r w:rsidR="00800BDA" w:rsidRPr="00DE264C">
        <w:rPr>
          <w:rStyle w:val="normaltextrun"/>
          <w:noProof/>
        </w:rPr>
        <w:t xml:space="preserve">. </w:t>
      </w:r>
      <w:r w:rsidR="00373B5C" w:rsidRPr="00DE264C">
        <w:rPr>
          <w:rStyle w:val="normaltextrun"/>
          <w:noProof/>
        </w:rPr>
        <w:t xml:space="preserve">Lastly, it presents significant cost savings, thanks to the increased </w:t>
      </w:r>
      <w:r w:rsidR="00463050" w:rsidRPr="00DE264C">
        <w:rPr>
          <w:rStyle w:val="normaltextrun"/>
          <w:noProof/>
        </w:rPr>
        <w:t>predictability and</w:t>
      </w:r>
      <w:r w:rsidR="00373B5C" w:rsidRPr="00DE264C">
        <w:rPr>
          <w:rStyle w:val="normaltextrun"/>
          <w:noProof/>
        </w:rPr>
        <w:t xml:space="preserve"> legal certainty</w:t>
      </w:r>
      <w:r w:rsidR="00C5338E" w:rsidRPr="00DE264C">
        <w:rPr>
          <w:rStyle w:val="normaltextrun"/>
          <w:noProof/>
        </w:rPr>
        <w:t>, which lowers capital costs and improves access to financing.</w:t>
      </w:r>
      <w:r w:rsidR="00231D14" w:rsidRPr="00DE264C">
        <w:rPr>
          <w:rStyle w:val="normaltextrun"/>
          <w:noProof/>
        </w:rPr>
        <w:t xml:space="preserve"> </w:t>
      </w:r>
    </w:p>
    <w:p w14:paraId="5B7C6EE1" w14:textId="6D2C0C5A" w:rsidR="005D6F5F" w:rsidRPr="00DE264C" w:rsidRDefault="00D00BCF" w:rsidP="00323440">
      <w:pPr>
        <w:pStyle w:val="Heading3"/>
        <w:tabs>
          <w:tab w:val="num" w:pos="7088"/>
        </w:tabs>
        <w:ind w:left="851"/>
        <w:rPr>
          <w:noProof/>
        </w:rPr>
      </w:pPr>
      <w:bookmarkStart w:id="441" w:name="_Toc214283032"/>
      <w:bookmarkStart w:id="442" w:name="_Toc214467759"/>
      <w:bookmarkStart w:id="443" w:name="_Toc215083781"/>
      <w:bookmarkStart w:id="444" w:name="_Toc219212547"/>
      <w:bookmarkStart w:id="445" w:name="_Toc219718202"/>
      <w:bookmarkEnd w:id="441"/>
      <w:r w:rsidRPr="00DE264C">
        <w:rPr>
          <w:noProof/>
        </w:rPr>
        <w:t>A</w:t>
      </w:r>
      <w:r w:rsidR="00FA521A" w:rsidRPr="00DE264C">
        <w:rPr>
          <w:noProof/>
        </w:rPr>
        <w:t>uthorisation</w:t>
      </w:r>
      <w:bookmarkEnd w:id="442"/>
      <w:bookmarkEnd w:id="443"/>
      <w:bookmarkEnd w:id="444"/>
      <w:bookmarkEnd w:id="445"/>
    </w:p>
    <w:p w14:paraId="690C2CB9" w14:textId="694E35D1" w:rsidR="00043A64" w:rsidRDefault="007E014C" w:rsidP="00DE7CC1">
      <w:pPr>
        <w:spacing w:line="240" w:lineRule="auto"/>
        <w:rPr>
          <w:noProof/>
        </w:rPr>
      </w:pPr>
      <w:r w:rsidRPr="00D35A43">
        <w:rPr>
          <w:noProof/>
        </w:rPr>
        <w:t>As r</w:t>
      </w:r>
      <w:r w:rsidR="3DDFA100" w:rsidRPr="00D35A43">
        <w:rPr>
          <w:noProof/>
        </w:rPr>
        <w:t>egard</w:t>
      </w:r>
      <w:r w:rsidRPr="00D35A43">
        <w:rPr>
          <w:noProof/>
        </w:rPr>
        <w:t>s</w:t>
      </w:r>
      <w:r w:rsidR="3DDFA100" w:rsidRPr="00D35A43">
        <w:rPr>
          <w:noProof/>
        </w:rPr>
        <w:t xml:space="preserve"> </w:t>
      </w:r>
      <w:r w:rsidR="00FA521A" w:rsidRPr="00DE264C">
        <w:rPr>
          <w:noProof/>
        </w:rPr>
        <w:t>authorisation</w:t>
      </w:r>
      <w:r w:rsidR="3DDFA100" w:rsidRPr="00D35A43">
        <w:rPr>
          <w:noProof/>
        </w:rPr>
        <w:t xml:space="preserve">, the preferred option is </w:t>
      </w:r>
      <w:r w:rsidR="000966CE">
        <w:rPr>
          <w:b/>
          <w:noProof/>
        </w:rPr>
        <w:t>o</w:t>
      </w:r>
      <w:r w:rsidR="00934148" w:rsidRPr="00D35A43">
        <w:rPr>
          <w:b/>
          <w:noProof/>
        </w:rPr>
        <w:t xml:space="preserve">ption </w:t>
      </w:r>
      <w:r w:rsidR="009C3B1D" w:rsidRPr="00D35A43">
        <w:rPr>
          <w:b/>
          <w:noProof/>
        </w:rPr>
        <w:t>2</w:t>
      </w:r>
      <w:r w:rsidR="3DDFA100" w:rsidRPr="00D35A43">
        <w:rPr>
          <w:b/>
          <w:noProof/>
        </w:rPr>
        <w:t xml:space="preserve"> </w:t>
      </w:r>
      <w:r w:rsidR="00463BD4" w:rsidRPr="00D35A43">
        <w:rPr>
          <w:noProof/>
        </w:rPr>
        <w:t>with</w:t>
      </w:r>
      <w:r w:rsidR="3DDFA100" w:rsidRPr="00D35A43">
        <w:rPr>
          <w:noProof/>
        </w:rPr>
        <w:t xml:space="preserve"> single </w:t>
      </w:r>
      <w:r w:rsidR="46B66759" w:rsidRPr="00D35A43">
        <w:rPr>
          <w:noProof/>
        </w:rPr>
        <w:t>authorisation</w:t>
      </w:r>
      <w:r w:rsidR="00463BD4" w:rsidRPr="00D35A43">
        <w:rPr>
          <w:noProof/>
        </w:rPr>
        <w:t xml:space="preserve"> for terrestrial</w:t>
      </w:r>
      <w:r w:rsidR="740DFDAB" w:rsidRPr="00D35A43">
        <w:rPr>
          <w:noProof/>
        </w:rPr>
        <w:t xml:space="preserve"> networks</w:t>
      </w:r>
      <w:r w:rsidR="14387F38" w:rsidRPr="00D35A43">
        <w:rPr>
          <w:noProof/>
        </w:rPr>
        <w:t xml:space="preserve"> and</w:t>
      </w:r>
      <w:r w:rsidR="00463BD4" w:rsidRPr="00D35A43">
        <w:rPr>
          <w:noProof/>
        </w:rPr>
        <w:t xml:space="preserve"> EU authorisation for satellite spectrum</w:t>
      </w:r>
      <w:r w:rsidR="46B66759" w:rsidRPr="00D35A43">
        <w:rPr>
          <w:noProof/>
        </w:rPr>
        <w:t xml:space="preserve">. </w:t>
      </w:r>
    </w:p>
    <w:p w14:paraId="2825CE52" w14:textId="0DA0B353" w:rsidR="005D6F5F" w:rsidRPr="00DE264C" w:rsidRDefault="00E60287" w:rsidP="00DE7CC1">
      <w:pPr>
        <w:spacing w:line="240" w:lineRule="auto"/>
        <w:rPr>
          <w:noProof/>
          <w:lang w:val="en-IE"/>
        </w:rPr>
      </w:pPr>
      <w:r w:rsidRPr="00D35A43">
        <w:rPr>
          <w:noProof/>
        </w:rPr>
        <w:t xml:space="preserve"> 2</w:t>
      </w:r>
      <w:r w:rsidR="46B66759" w:rsidRPr="00D35A43">
        <w:rPr>
          <w:noProof/>
        </w:rPr>
        <w:t xml:space="preserve"> would reduce more significantly the </w:t>
      </w:r>
      <w:r w:rsidR="6A7EB9E9" w:rsidRPr="00D35A43">
        <w:rPr>
          <w:noProof/>
        </w:rPr>
        <w:t xml:space="preserve">administrative and compliance </w:t>
      </w:r>
      <w:r w:rsidR="46B66759" w:rsidRPr="00D35A43">
        <w:rPr>
          <w:noProof/>
        </w:rPr>
        <w:t xml:space="preserve">costs </w:t>
      </w:r>
      <w:r w:rsidR="172CBDE0" w:rsidRPr="00D35A43">
        <w:rPr>
          <w:noProof/>
        </w:rPr>
        <w:t>(lower</w:t>
      </w:r>
      <w:r w:rsidR="73B9C94E" w:rsidRPr="00D35A43">
        <w:rPr>
          <w:noProof/>
        </w:rPr>
        <w:t xml:space="preserve"> </w:t>
      </w:r>
      <w:r w:rsidR="172CBDE0" w:rsidRPr="00D35A43">
        <w:rPr>
          <w:noProof/>
        </w:rPr>
        <w:t>one-off costs) as well as the reporting costs.</w:t>
      </w:r>
      <w:r w:rsidR="28508024" w:rsidRPr="00D35A43">
        <w:rPr>
          <w:noProof/>
        </w:rPr>
        <w:t xml:space="preserve"> This option would achieve greater consistency of regulatory condit</w:t>
      </w:r>
      <w:r w:rsidR="2A59A570" w:rsidRPr="00D35A43">
        <w:rPr>
          <w:noProof/>
        </w:rPr>
        <w:t xml:space="preserve">ions under the general </w:t>
      </w:r>
      <w:r w:rsidR="2A59A570" w:rsidRPr="00D35A43">
        <w:rPr>
          <w:b/>
          <w:noProof/>
        </w:rPr>
        <w:t>authorisation</w:t>
      </w:r>
      <w:r w:rsidR="2A59A570" w:rsidRPr="00D35A43">
        <w:rPr>
          <w:noProof/>
        </w:rPr>
        <w:t xml:space="preserve"> and, </w:t>
      </w:r>
      <w:r w:rsidR="3D5D9F3D" w:rsidRPr="00D35A43">
        <w:rPr>
          <w:noProof/>
        </w:rPr>
        <w:t>consequently</w:t>
      </w:r>
      <w:r w:rsidR="2A59A570" w:rsidRPr="00D35A43">
        <w:rPr>
          <w:noProof/>
        </w:rPr>
        <w:t xml:space="preserve">, </w:t>
      </w:r>
      <w:r w:rsidR="009C52E6" w:rsidRPr="00D35A43">
        <w:rPr>
          <w:noProof/>
        </w:rPr>
        <w:t>more</w:t>
      </w:r>
      <w:r w:rsidR="2A59A570" w:rsidRPr="00D35A43">
        <w:rPr>
          <w:noProof/>
        </w:rPr>
        <w:t xml:space="preserve"> legal certainty for all providers. It would </w:t>
      </w:r>
      <w:r w:rsidR="4E445364" w:rsidRPr="00D35A43">
        <w:rPr>
          <w:noProof/>
        </w:rPr>
        <w:t>bring greater transparency and regulatory predictability, which would be more rele</w:t>
      </w:r>
      <w:r w:rsidR="34BBCDA3" w:rsidRPr="00D35A43">
        <w:rPr>
          <w:noProof/>
        </w:rPr>
        <w:t xml:space="preserve">vant for SMEs that have less resources to </w:t>
      </w:r>
      <w:r w:rsidR="0048791A" w:rsidRPr="00D35A43">
        <w:rPr>
          <w:noProof/>
        </w:rPr>
        <w:t xml:space="preserve">cope with </w:t>
      </w:r>
      <w:r w:rsidR="16E2B837" w:rsidRPr="00D35A43">
        <w:rPr>
          <w:noProof/>
        </w:rPr>
        <w:t>legal requirements. Shorter t</w:t>
      </w:r>
      <w:r w:rsidR="69D437E5" w:rsidRPr="00D35A43">
        <w:rPr>
          <w:noProof/>
        </w:rPr>
        <w:t xml:space="preserve">ime to enter the market by new providers should also </w:t>
      </w:r>
      <w:r w:rsidR="00540CCF" w:rsidRPr="00D35A43">
        <w:rPr>
          <w:noProof/>
        </w:rPr>
        <w:t>be</w:t>
      </w:r>
      <w:r w:rsidR="69D437E5" w:rsidRPr="00D35A43">
        <w:rPr>
          <w:noProof/>
        </w:rPr>
        <w:t xml:space="preserve"> expected and an increased c</w:t>
      </w:r>
      <w:r w:rsidR="14F54F58" w:rsidRPr="00D35A43">
        <w:rPr>
          <w:noProof/>
        </w:rPr>
        <w:t xml:space="preserve">ross-border provision of ECS. As a result, barriers </w:t>
      </w:r>
      <w:r w:rsidR="339E717A" w:rsidRPr="00D35A43">
        <w:rPr>
          <w:noProof/>
        </w:rPr>
        <w:t xml:space="preserve">to innovation and to creation of integrated core network and service platforms would </w:t>
      </w:r>
      <w:r w:rsidR="00A55CC0" w:rsidRPr="00D35A43">
        <w:rPr>
          <w:noProof/>
        </w:rPr>
        <w:t>be</w:t>
      </w:r>
      <w:r w:rsidR="339E717A" w:rsidRPr="00D35A43">
        <w:rPr>
          <w:noProof/>
        </w:rPr>
        <w:t xml:space="preserve"> </w:t>
      </w:r>
      <w:r w:rsidR="00A55CC0" w:rsidRPr="00D35A43">
        <w:rPr>
          <w:noProof/>
        </w:rPr>
        <w:t>removed</w:t>
      </w:r>
      <w:r w:rsidR="339E717A" w:rsidRPr="00D35A43">
        <w:rPr>
          <w:noProof/>
        </w:rPr>
        <w:t xml:space="preserve"> to the benefit of </w:t>
      </w:r>
      <w:r w:rsidR="58F8BB14" w:rsidRPr="00D35A43">
        <w:rPr>
          <w:noProof/>
        </w:rPr>
        <w:t>increased competition and choice for end-users.</w:t>
      </w:r>
    </w:p>
    <w:p w14:paraId="0D6BDE14" w14:textId="78737275" w:rsidR="00FF773F" w:rsidRPr="00DE264C" w:rsidRDefault="0062299B" w:rsidP="00DE7CC1">
      <w:pPr>
        <w:pStyle w:val="Text1"/>
        <w:spacing w:line="240" w:lineRule="auto"/>
        <w:ind w:left="0"/>
        <w:rPr>
          <w:noProof/>
        </w:rPr>
      </w:pPr>
      <w:r w:rsidRPr="00DE264C">
        <w:rPr>
          <w:noProof/>
        </w:rPr>
        <w:t>F</w:t>
      </w:r>
      <w:r w:rsidR="374FC0FC" w:rsidRPr="00DE264C">
        <w:rPr>
          <w:noProof/>
        </w:rPr>
        <w:t>or</w:t>
      </w:r>
      <w:r w:rsidR="7F0FB0C6" w:rsidRPr="00DE264C">
        <w:rPr>
          <w:noProof/>
        </w:rPr>
        <w:t xml:space="preserve"> </w:t>
      </w:r>
      <w:r w:rsidR="7F0FB0C6" w:rsidRPr="00DE264C">
        <w:rPr>
          <w:b/>
          <w:noProof/>
        </w:rPr>
        <w:t>satellite authorisation</w:t>
      </w:r>
      <w:r w:rsidR="7F0FB0C6" w:rsidRPr="00DE264C">
        <w:rPr>
          <w:noProof/>
        </w:rPr>
        <w:t xml:space="preserve">, the preferred option </w:t>
      </w:r>
      <w:r w:rsidR="4C5FA25B" w:rsidRPr="00DE264C">
        <w:rPr>
          <w:noProof/>
        </w:rPr>
        <w:t>ensur</w:t>
      </w:r>
      <w:r w:rsidR="26AEF8B1" w:rsidRPr="00DE264C">
        <w:rPr>
          <w:noProof/>
        </w:rPr>
        <w:t>es</w:t>
      </w:r>
      <w:r w:rsidR="6B18632D" w:rsidRPr="00DE264C">
        <w:rPr>
          <w:noProof/>
        </w:rPr>
        <w:t xml:space="preserve"> a</w:t>
      </w:r>
      <w:r w:rsidR="7F0FB0C6" w:rsidRPr="00DE264C">
        <w:rPr>
          <w:noProof/>
        </w:rPr>
        <w:t xml:space="preserve"> </w:t>
      </w:r>
      <w:r w:rsidR="7F0FB0C6" w:rsidRPr="00DE264C">
        <w:rPr>
          <w:noProof/>
          <w:color w:val="000000" w:themeColor="text1"/>
        </w:rPr>
        <w:t xml:space="preserve">unified framework for </w:t>
      </w:r>
      <w:r w:rsidR="06B21241" w:rsidRPr="00DE264C">
        <w:rPr>
          <w:noProof/>
          <w:color w:val="000000" w:themeColor="text1"/>
        </w:rPr>
        <w:t xml:space="preserve">the selection of licensees, </w:t>
      </w:r>
      <w:r w:rsidR="7F0FB0C6" w:rsidRPr="00DE264C">
        <w:rPr>
          <w:noProof/>
          <w:color w:val="000000" w:themeColor="text1"/>
        </w:rPr>
        <w:t>spectrum assignment</w:t>
      </w:r>
      <w:r w:rsidR="6B18632D" w:rsidRPr="00DE264C">
        <w:rPr>
          <w:noProof/>
          <w:color w:val="000000" w:themeColor="text1"/>
        </w:rPr>
        <w:t xml:space="preserve"> and enforcement</w:t>
      </w:r>
      <w:r w:rsidR="7F0FB0C6" w:rsidRPr="00DE264C">
        <w:rPr>
          <w:noProof/>
          <w:color w:val="000000" w:themeColor="text1"/>
        </w:rPr>
        <w:t xml:space="preserve">, </w:t>
      </w:r>
      <w:r w:rsidR="6B18632D" w:rsidRPr="00DE264C">
        <w:rPr>
          <w:noProof/>
          <w:color w:val="000000" w:themeColor="text1"/>
        </w:rPr>
        <w:t>thereby eliminating</w:t>
      </w:r>
      <w:r w:rsidR="7F0FB0C6" w:rsidRPr="00DE264C">
        <w:rPr>
          <w:noProof/>
          <w:color w:val="000000" w:themeColor="text1"/>
        </w:rPr>
        <w:t xml:space="preserve"> fragmentation and regulatory uncertainty</w:t>
      </w:r>
      <w:r w:rsidR="24034948" w:rsidRPr="00DE264C">
        <w:rPr>
          <w:noProof/>
          <w:color w:val="000000" w:themeColor="text1"/>
        </w:rPr>
        <w:t>. It allows to</w:t>
      </w:r>
      <w:r w:rsidR="6B18632D" w:rsidRPr="00DE264C">
        <w:rPr>
          <w:noProof/>
          <w:color w:val="000000" w:themeColor="text1"/>
        </w:rPr>
        <w:t xml:space="preserve"> fully exploit</w:t>
      </w:r>
      <w:r w:rsidR="7F0FB0C6" w:rsidRPr="00DE264C">
        <w:rPr>
          <w:noProof/>
          <w:color w:val="000000" w:themeColor="text1"/>
        </w:rPr>
        <w:t xml:space="preserve"> the </w:t>
      </w:r>
      <w:r w:rsidR="6B18632D" w:rsidRPr="00DE264C">
        <w:rPr>
          <w:noProof/>
          <w:color w:val="000000" w:themeColor="text1"/>
        </w:rPr>
        <w:t xml:space="preserve">strength of the </w:t>
      </w:r>
      <w:r w:rsidR="7F03134E" w:rsidRPr="00DE264C">
        <w:rPr>
          <w:noProof/>
          <w:color w:val="000000" w:themeColor="text1"/>
        </w:rPr>
        <w:t>Single M</w:t>
      </w:r>
      <w:r w:rsidR="552ADF96" w:rsidRPr="00DE264C">
        <w:rPr>
          <w:noProof/>
          <w:color w:val="000000" w:themeColor="text1"/>
        </w:rPr>
        <w:t>arket</w:t>
      </w:r>
      <w:r w:rsidR="6FF6ABB5" w:rsidRPr="00DE264C">
        <w:rPr>
          <w:noProof/>
          <w:color w:val="000000" w:themeColor="text1"/>
        </w:rPr>
        <w:t xml:space="preserve"> as regards enforcement of authorisation conditions</w:t>
      </w:r>
      <w:r w:rsidR="7F0FB0C6" w:rsidRPr="00DE264C">
        <w:rPr>
          <w:noProof/>
          <w:color w:val="000000" w:themeColor="text1"/>
        </w:rPr>
        <w:t xml:space="preserve">. </w:t>
      </w:r>
      <w:r w:rsidR="6B18632D" w:rsidRPr="00DE264C">
        <w:rPr>
          <w:noProof/>
          <w:color w:val="000000" w:themeColor="text1"/>
        </w:rPr>
        <w:t>It brings maximum benefits for</w:t>
      </w:r>
      <w:r w:rsidR="7F0FB0C6" w:rsidRPr="00DE264C">
        <w:rPr>
          <w:noProof/>
          <w:color w:val="000000" w:themeColor="text1"/>
        </w:rPr>
        <w:t xml:space="preserve"> all satellite operators, in particular those deploying pan-European or global constellations, </w:t>
      </w:r>
      <w:r w:rsidR="6C5A432C" w:rsidRPr="00DE264C">
        <w:rPr>
          <w:noProof/>
          <w:color w:val="000000" w:themeColor="text1"/>
        </w:rPr>
        <w:t xml:space="preserve">by eliminating regulatory barriers </w:t>
      </w:r>
      <w:r w:rsidR="006B43FF" w:rsidRPr="00DE264C">
        <w:rPr>
          <w:noProof/>
          <w:color w:val="000000" w:themeColor="text1"/>
        </w:rPr>
        <w:t>reducing compliance costs</w:t>
      </w:r>
      <w:r w:rsidR="6C5A432C" w:rsidRPr="00DE264C">
        <w:rPr>
          <w:noProof/>
          <w:color w:val="000000" w:themeColor="text1"/>
        </w:rPr>
        <w:t xml:space="preserve"> and </w:t>
      </w:r>
      <w:r w:rsidR="37A016A0" w:rsidRPr="00DE264C">
        <w:rPr>
          <w:noProof/>
          <w:color w:val="000000" w:themeColor="text1"/>
        </w:rPr>
        <w:t xml:space="preserve">uncertainties in spectrum </w:t>
      </w:r>
      <w:r w:rsidR="005B58EA" w:rsidRPr="00DE264C">
        <w:rPr>
          <w:noProof/>
          <w:color w:val="000000" w:themeColor="text1"/>
        </w:rPr>
        <w:t>access</w:t>
      </w:r>
      <w:r w:rsidR="00E106B8">
        <w:rPr>
          <w:noProof/>
          <w:color w:val="000000" w:themeColor="text1"/>
        </w:rPr>
        <w:t>,</w:t>
      </w:r>
      <w:r w:rsidR="005B58EA">
        <w:rPr>
          <w:noProof/>
          <w:color w:val="000000" w:themeColor="text1"/>
        </w:rPr>
        <w:t xml:space="preserve"> </w:t>
      </w:r>
      <w:r w:rsidR="2536D417" w:rsidRPr="00DE264C">
        <w:rPr>
          <w:noProof/>
          <w:color w:val="000000" w:themeColor="text1"/>
        </w:rPr>
        <w:t>support</w:t>
      </w:r>
      <w:r w:rsidR="54858E73" w:rsidRPr="00DE264C">
        <w:rPr>
          <w:noProof/>
          <w:color w:val="000000" w:themeColor="text1"/>
        </w:rPr>
        <w:t>s</w:t>
      </w:r>
      <w:r w:rsidR="2536D417" w:rsidRPr="00DE264C">
        <w:rPr>
          <w:noProof/>
          <w:color w:val="000000" w:themeColor="text1"/>
        </w:rPr>
        <w:t xml:space="preserve"> the objective of </w:t>
      </w:r>
      <w:r w:rsidR="031C66A7" w:rsidRPr="00DE264C">
        <w:rPr>
          <w:noProof/>
          <w:color w:val="000000" w:themeColor="text1"/>
        </w:rPr>
        <w:t xml:space="preserve">transition to </w:t>
      </w:r>
      <w:r w:rsidR="2536D417" w:rsidRPr="00DE264C">
        <w:rPr>
          <w:noProof/>
          <w:color w:val="000000" w:themeColor="text1"/>
        </w:rPr>
        <w:t>resilient connectivity</w:t>
      </w:r>
      <w:r w:rsidR="785CF5C4" w:rsidRPr="00DE264C">
        <w:rPr>
          <w:noProof/>
          <w:color w:val="000000" w:themeColor="text1"/>
        </w:rPr>
        <w:t xml:space="preserve"> and </w:t>
      </w:r>
      <w:r w:rsidR="037E762B" w:rsidRPr="00DE264C">
        <w:rPr>
          <w:noProof/>
          <w:color w:val="000000" w:themeColor="text1"/>
        </w:rPr>
        <w:t xml:space="preserve">early deployment of </w:t>
      </w:r>
      <w:r w:rsidR="2ABD7FEF" w:rsidRPr="00DE264C">
        <w:rPr>
          <w:noProof/>
          <w:color w:val="000000" w:themeColor="text1"/>
        </w:rPr>
        <w:t>converged TN and NTN</w:t>
      </w:r>
      <w:r w:rsidR="037E762B" w:rsidRPr="00DE264C">
        <w:rPr>
          <w:noProof/>
          <w:color w:val="000000" w:themeColor="text1"/>
        </w:rPr>
        <w:t xml:space="preserve"> 6G networks</w:t>
      </w:r>
      <w:r w:rsidR="37A016A0" w:rsidRPr="00DE264C">
        <w:rPr>
          <w:noProof/>
          <w:color w:val="000000" w:themeColor="text1"/>
        </w:rPr>
        <w:t>.</w:t>
      </w:r>
      <w:r w:rsidR="7F0FB0C6" w:rsidRPr="00DE264C">
        <w:rPr>
          <w:noProof/>
          <w:color w:val="000000" w:themeColor="text1"/>
        </w:rPr>
        <w:t xml:space="preserve"> This </w:t>
      </w:r>
      <w:r w:rsidR="37A016A0" w:rsidRPr="00DE264C">
        <w:rPr>
          <w:noProof/>
          <w:color w:val="000000" w:themeColor="text1"/>
        </w:rPr>
        <w:t xml:space="preserve">option would </w:t>
      </w:r>
      <w:r w:rsidR="009469CE" w:rsidRPr="00DE264C">
        <w:rPr>
          <w:noProof/>
          <w:color w:val="000000" w:themeColor="text1"/>
        </w:rPr>
        <w:t xml:space="preserve">be complementary to the </w:t>
      </w:r>
      <w:r w:rsidR="00CB0D26" w:rsidRPr="00DE264C">
        <w:rPr>
          <w:noProof/>
          <w:color w:val="000000" w:themeColor="text1"/>
        </w:rPr>
        <w:t xml:space="preserve">EU </w:t>
      </w:r>
      <w:r w:rsidR="009469CE" w:rsidRPr="00DE264C">
        <w:rPr>
          <w:noProof/>
          <w:color w:val="000000" w:themeColor="text1"/>
        </w:rPr>
        <w:t>Space Act and</w:t>
      </w:r>
      <w:r w:rsidR="00A27FA1" w:rsidRPr="00DE264C">
        <w:rPr>
          <w:noProof/>
          <w:color w:val="000000" w:themeColor="text1"/>
        </w:rPr>
        <w:t xml:space="preserve"> other EU instruments </w:t>
      </w:r>
      <w:r w:rsidR="00115228" w:rsidRPr="00DE264C">
        <w:rPr>
          <w:noProof/>
          <w:color w:val="000000" w:themeColor="text1"/>
        </w:rPr>
        <w:t>supporting</w:t>
      </w:r>
      <w:r w:rsidR="00257668" w:rsidRPr="00DE264C">
        <w:rPr>
          <w:noProof/>
          <w:color w:val="000000" w:themeColor="text1"/>
        </w:rPr>
        <w:t xml:space="preserve"> EU</w:t>
      </w:r>
      <w:r w:rsidR="00115228" w:rsidRPr="00DE264C">
        <w:rPr>
          <w:noProof/>
          <w:color w:val="000000" w:themeColor="text1"/>
        </w:rPr>
        <w:t xml:space="preserve"> </w:t>
      </w:r>
      <w:r w:rsidR="00A27FA1" w:rsidRPr="00DE264C">
        <w:rPr>
          <w:noProof/>
          <w:color w:val="000000" w:themeColor="text1"/>
        </w:rPr>
        <w:t>in</w:t>
      </w:r>
      <w:r w:rsidR="00257668" w:rsidRPr="00DE264C">
        <w:rPr>
          <w:noProof/>
          <w:color w:val="000000" w:themeColor="text1"/>
        </w:rPr>
        <w:t>vestment</w:t>
      </w:r>
      <w:r w:rsidR="00115228" w:rsidRPr="00DE264C">
        <w:rPr>
          <w:noProof/>
          <w:color w:val="000000" w:themeColor="text1"/>
        </w:rPr>
        <w:t>s in space</w:t>
      </w:r>
      <w:r w:rsidR="00257668" w:rsidRPr="00DE264C">
        <w:rPr>
          <w:noProof/>
          <w:color w:val="000000" w:themeColor="text1"/>
        </w:rPr>
        <w:t>, as</w:t>
      </w:r>
      <w:r w:rsidR="005A4046" w:rsidRPr="00DE264C">
        <w:rPr>
          <w:noProof/>
          <w:color w:val="000000" w:themeColor="text1"/>
        </w:rPr>
        <w:t xml:space="preserve"> it</w:t>
      </w:r>
      <w:r w:rsidR="37A016A0" w:rsidRPr="00DE264C">
        <w:rPr>
          <w:noProof/>
          <w:color w:val="000000" w:themeColor="text1"/>
        </w:rPr>
        <w:t xml:space="preserve"> would maximise the chances of the EU to exploit </w:t>
      </w:r>
      <w:r w:rsidR="00B60AE7" w:rsidRPr="00DE264C">
        <w:rPr>
          <w:noProof/>
          <w:color w:val="000000" w:themeColor="text1"/>
        </w:rPr>
        <w:t xml:space="preserve">satellite communications, in particular, </w:t>
      </w:r>
      <w:r w:rsidR="37A016A0" w:rsidRPr="00DE264C">
        <w:rPr>
          <w:noProof/>
          <w:color w:val="000000" w:themeColor="text1"/>
        </w:rPr>
        <w:t xml:space="preserve">the potential of </w:t>
      </w:r>
      <w:r w:rsidR="14C3E495" w:rsidRPr="18864199">
        <w:rPr>
          <w:noProof/>
          <w:color w:val="000000" w:themeColor="text1"/>
        </w:rPr>
        <w:t>D2D</w:t>
      </w:r>
      <w:r w:rsidR="00567E70" w:rsidRPr="00DE264C">
        <w:rPr>
          <w:noProof/>
          <w:color w:val="000000" w:themeColor="text1"/>
        </w:rPr>
        <w:t xml:space="preserve"> c</w:t>
      </w:r>
      <w:r w:rsidR="00666D45" w:rsidRPr="00DE264C">
        <w:rPr>
          <w:noProof/>
          <w:color w:val="000000" w:themeColor="text1"/>
        </w:rPr>
        <w:t>onnectivity</w:t>
      </w:r>
      <w:r w:rsidR="009C2AA8" w:rsidRPr="00DE264C">
        <w:rPr>
          <w:noProof/>
          <w:color w:val="000000" w:themeColor="text1"/>
        </w:rPr>
        <w:t xml:space="preserve"> –</w:t>
      </w:r>
      <w:r w:rsidR="00666D45" w:rsidRPr="00DE264C">
        <w:rPr>
          <w:noProof/>
          <w:color w:val="000000" w:themeColor="text1"/>
        </w:rPr>
        <w:t xml:space="preserve"> including</w:t>
      </w:r>
      <w:r w:rsidR="00FE53A1" w:rsidRPr="00DE264C">
        <w:rPr>
          <w:noProof/>
          <w:color w:val="000000" w:themeColor="text1"/>
        </w:rPr>
        <w:t xml:space="preserve"> </w:t>
      </w:r>
      <w:r w:rsidR="009C2AA8" w:rsidRPr="00DE264C">
        <w:rPr>
          <w:noProof/>
          <w:color w:val="000000" w:themeColor="text1"/>
        </w:rPr>
        <w:t>commercial,</w:t>
      </w:r>
      <w:r w:rsidR="00FE53A1" w:rsidRPr="00DE264C">
        <w:rPr>
          <w:noProof/>
          <w:color w:val="000000" w:themeColor="text1"/>
        </w:rPr>
        <w:t xml:space="preserve"> </w:t>
      </w:r>
      <w:r w:rsidR="00DB5F51" w:rsidRPr="00DE264C">
        <w:rPr>
          <w:noProof/>
          <w:color w:val="000000" w:themeColor="text1"/>
        </w:rPr>
        <w:t>defence and</w:t>
      </w:r>
      <w:r w:rsidR="00666D45" w:rsidRPr="00DE264C">
        <w:rPr>
          <w:noProof/>
          <w:color w:val="000000" w:themeColor="text1"/>
        </w:rPr>
        <w:t xml:space="preserve"> </w:t>
      </w:r>
      <w:r w:rsidR="00B56B13" w:rsidRPr="00DE264C">
        <w:rPr>
          <w:noProof/>
          <w:color w:val="000000" w:themeColor="text1"/>
        </w:rPr>
        <w:t>emergency communications</w:t>
      </w:r>
      <w:r w:rsidR="009C2AA8" w:rsidRPr="00DE264C">
        <w:rPr>
          <w:noProof/>
          <w:color w:val="000000" w:themeColor="text1"/>
        </w:rPr>
        <w:t xml:space="preserve">- </w:t>
      </w:r>
      <w:r w:rsidR="2F530E20" w:rsidRPr="00DE264C">
        <w:rPr>
          <w:noProof/>
          <w:color w:val="000000" w:themeColor="text1"/>
        </w:rPr>
        <w:t>with major</w:t>
      </w:r>
      <w:r w:rsidR="00DB7BEB">
        <w:rPr>
          <w:noProof/>
          <w:color w:val="000000" w:themeColor="text1"/>
        </w:rPr>
        <w:t xml:space="preserve"> </w:t>
      </w:r>
      <w:r w:rsidR="2F530E20" w:rsidRPr="00DE264C">
        <w:rPr>
          <w:noProof/>
          <w:color w:val="000000" w:themeColor="text1"/>
        </w:rPr>
        <w:t>benefits to</w:t>
      </w:r>
      <w:r w:rsidR="37A016A0" w:rsidRPr="00DE264C">
        <w:rPr>
          <w:noProof/>
          <w:color w:val="000000" w:themeColor="text1"/>
        </w:rPr>
        <w:t xml:space="preserve"> end-users,</w:t>
      </w:r>
      <w:r w:rsidR="511D6389" w:rsidRPr="00DE264C">
        <w:rPr>
          <w:noProof/>
          <w:color w:val="000000" w:themeColor="text1"/>
        </w:rPr>
        <w:t xml:space="preserve"> </w:t>
      </w:r>
      <w:r w:rsidR="00D6565D" w:rsidRPr="00DE264C">
        <w:rPr>
          <w:noProof/>
          <w:color w:val="000000" w:themeColor="text1"/>
        </w:rPr>
        <w:t xml:space="preserve">and </w:t>
      </w:r>
      <w:r w:rsidR="006C20A4" w:rsidRPr="00DE264C">
        <w:rPr>
          <w:noProof/>
          <w:color w:val="000000" w:themeColor="text1"/>
        </w:rPr>
        <w:t xml:space="preserve">to </w:t>
      </w:r>
      <w:r w:rsidR="511D6389" w:rsidRPr="00DE264C">
        <w:rPr>
          <w:noProof/>
          <w:color w:val="000000" w:themeColor="text1"/>
        </w:rPr>
        <w:t xml:space="preserve">the </w:t>
      </w:r>
      <w:r w:rsidR="00DE0F2F" w:rsidRPr="00DE264C">
        <w:rPr>
          <w:noProof/>
          <w:color w:val="000000" w:themeColor="text1"/>
        </w:rPr>
        <w:t xml:space="preserve">overall </w:t>
      </w:r>
      <w:r w:rsidR="511D6389" w:rsidRPr="00DE264C">
        <w:rPr>
          <w:noProof/>
          <w:color w:val="000000" w:themeColor="text1"/>
        </w:rPr>
        <w:t xml:space="preserve">EU </w:t>
      </w:r>
      <w:r w:rsidR="005B33CD" w:rsidRPr="00DE264C">
        <w:rPr>
          <w:noProof/>
          <w:color w:val="000000" w:themeColor="text1"/>
        </w:rPr>
        <w:t>competitiveness in space</w:t>
      </w:r>
      <w:r w:rsidR="511D6389" w:rsidRPr="00DE264C">
        <w:rPr>
          <w:noProof/>
          <w:color w:val="000000" w:themeColor="text1"/>
        </w:rPr>
        <w:t xml:space="preserve">, </w:t>
      </w:r>
      <w:r w:rsidR="04119C81" w:rsidRPr="00DE264C">
        <w:rPr>
          <w:noProof/>
          <w:color w:val="000000" w:themeColor="text1"/>
        </w:rPr>
        <w:t xml:space="preserve">ensuring </w:t>
      </w:r>
      <w:r w:rsidR="002B59AC" w:rsidRPr="00DE264C">
        <w:rPr>
          <w:noProof/>
          <w:color w:val="000000" w:themeColor="text1"/>
        </w:rPr>
        <w:t xml:space="preserve">that </w:t>
      </w:r>
      <w:r w:rsidR="260E78C1" w:rsidRPr="00DE264C">
        <w:rPr>
          <w:noProof/>
          <w:color w:val="000000" w:themeColor="text1"/>
        </w:rPr>
        <w:t xml:space="preserve">all </w:t>
      </w:r>
      <w:r w:rsidR="5EFEA2C5" w:rsidRPr="00DE264C">
        <w:rPr>
          <w:noProof/>
          <w:color w:val="000000" w:themeColor="text1"/>
        </w:rPr>
        <w:t xml:space="preserve">operators </w:t>
      </w:r>
      <w:r w:rsidR="260E78C1" w:rsidRPr="00DE264C">
        <w:rPr>
          <w:noProof/>
          <w:color w:val="000000" w:themeColor="text1"/>
        </w:rPr>
        <w:t xml:space="preserve">play by the </w:t>
      </w:r>
      <w:r w:rsidR="00DE0F2F" w:rsidRPr="00DE264C">
        <w:rPr>
          <w:noProof/>
          <w:color w:val="000000" w:themeColor="text1"/>
        </w:rPr>
        <w:t>same</w:t>
      </w:r>
      <w:r w:rsidR="260E78C1" w:rsidRPr="00DE264C">
        <w:rPr>
          <w:noProof/>
          <w:color w:val="000000" w:themeColor="text1"/>
        </w:rPr>
        <w:t xml:space="preserve"> rules,</w:t>
      </w:r>
      <w:r w:rsidR="3BB34E51" w:rsidRPr="00DE264C">
        <w:rPr>
          <w:noProof/>
          <w:color w:val="000000" w:themeColor="text1"/>
        </w:rPr>
        <w:t xml:space="preserve"> through </w:t>
      </w:r>
      <w:r w:rsidR="008E106A" w:rsidRPr="00DE264C">
        <w:rPr>
          <w:noProof/>
          <w:color w:val="000000" w:themeColor="text1"/>
        </w:rPr>
        <w:t>effective</w:t>
      </w:r>
      <w:r w:rsidR="3BB34E51" w:rsidRPr="00DE264C">
        <w:rPr>
          <w:noProof/>
          <w:color w:val="000000" w:themeColor="text1"/>
        </w:rPr>
        <w:t xml:space="preserve"> enforcement</w:t>
      </w:r>
      <w:r w:rsidR="008C048F" w:rsidRPr="00DE264C">
        <w:rPr>
          <w:noProof/>
          <w:color w:val="000000" w:themeColor="text1"/>
        </w:rPr>
        <w:t xml:space="preserve"> (e.g. as regards harmful interferences)</w:t>
      </w:r>
      <w:r w:rsidR="7F0FB0C6" w:rsidRPr="00DE264C">
        <w:rPr>
          <w:noProof/>
          <w:color w:val="000000" w:themeColor="text1"/>
        </w:rPr>
        <w:t xml:space="preserve">. </w:t>
      </w:r>
      <w:r w:rsidR="273C69EB" w:rsidRPr="00DE264C">
        <w:rPr>
          <w:noProof/>
          <w:color w:val="000000" w:themeColor="text1"/>
        </w:rPr>
        <w:t>It</w:t>
      </w:r>
      <w:r w:rsidR="6B750977" w:rsidRPr="00DE264C">
        <w:rPr>
          <w:noProof/>
          <w:color w:val="000000" w:themeColor="text1"/>
        </w:rPr>
        <w:t xml:space="preserve"> further </w:t>
      </w:r>
      <w:r w:rsidR="4187429E" w:rsidRPr="00DE264C">
        <w:rPr>
          <w:noProof/>
          <w:color w:val="000000" w:themeColor="text1"/>
        </w:rPr>
        <w:t>allows for a</w:t>
      </w:r>
      <w:r w:rsidR="7F0FB0C6" w:rsidRPr="00DE264C">
        <w:rPr>
          <w:noProof/>
          <w:color w:val="000000" w:themeColor="text1"/>
        </w:rPr>
        <w:t xml:space="preserve"> more strategic and efficient use of scarce satellite spectrum</w:t>
      </w:r>
      <w:r w:rsidR="5F43D6D1" w:rsidRPr="00DE264C">
        <w:rPr>
          <w:noProof/>
          <w:color w:val="000000" w:themeColor="text1"/>
        </w:rPr>
        <w:t xml:space="preserve"> to the benefit of the EU</w:t>
      </w:r>
      <w:r w:rsidR="00464826" w:rsidRPr="00DE264C">
        <w:rPr>
          <w:noProof/>
          <w:color w:val="000000" w:themeColor="text1"/>
        </w:rPr>
        <w:t xml:space="preserve"> by</w:t>
      </w:r>
      <w:r w:rsidR="7F0FB0C6" w:rsidRPr="00DE264C">
        <w:rPr>
          <w:noProof/>
          <w:color w:val="000000" w:themeColor="text1"/>
        </w:rPr>
        <w:t xml:space="preserve"> better protect</w:t>
      </w:r>
      <w:r w:rsidR="00464826" w:rsidRPr="00DE264C">
        <w:rPr>
          <w:noProof/>
          <w:color w:val="000000" w:themeColor="text1"/>
        </w:rPr>
        <w:t>ing</w:t>
      </w:r>
      <w:r w:rsidR="7F0FB0C6" w:rsidRPr="00DE264C">
        <w:rPr>
          <w:noProof/>
          <w:color w:val="000000" w:themeColor="text1"/>
        </w:rPr>
        <w:t xml:space="preserve"> its interests in terms of security, technological leadership, and economic autonomy.</w:t>
      </w:r>
      <w:r w:rsidR="1D6910EA" w:rsidRPr="00DE264C">
        <w:rPr>
          <w:noProof/>
          <w:color w:val="000000" w:themeColor="text1"/>
        </w:rPr>
        <w:t xml:space="preserve"> </w:t>
      </w:r>
    </w:p>
    <w:p w14:paraId="5E28253D" w14:textId="640C9C2D" w:rsidR="006166A6" w:rsidRPr="00DE264C" w:rsidRDefault="43507BF0" w:rsidP="00DE7CC1">
      <w:pPr>
        <w:pStyle w:val="Text1"/>
        <w:spacing w:line="240" w:lineRule="auto"/>
        <w:ind w:left="0"/>
        <w:rPr>
          <w:noProof/>
        </w:rPr>
      </w:pPr>
      <w:r w:rsidRPr="00DE264C">
        <w:rPr>
          <w:noProof/>
        </w:rPr>
        <w:t xml:space="preserve">The </w:t>
      </w:r>
      <w:r w:rsidR="5CA656B7" w:rsidRPr="00DE264C">
        <w:rPr>
          <w:noProof/>
        </w:rPr>
        <w:t>option</w:t>
      </w:r>
      <w:r w:rsidRPr="00DE264C">
        <w:rPr>
          <w:noProof/>
        </w:rPr>
        <w:t xml:space="preserve"> would be complemented by the ancillary simplification measures mentioned in the introduction such as on end-users</w:t>
      </w:r>
      <w:r w:rsidR="68F5BC87" w:rsidRPr="00DE264C">
        <w:rPr>
          <w:noProof/>
        </w:rPr>
        <w:t xml:space="preserve"> as well as incentivising a voluntary cooperation between actors in the extended connectivity ecosystem</w:t>
      </w:r>
      <w:r w:rsidR="4C4970D4" w:rsidRPr="00DE264C">
        <w:rPr>
          <w:noProof/>
        </w:rPr>
        <w:t>.</w:t>
      </w:r>
    </w:p>
    <w:p w14:paraId="4D68DB5B" w14:textId="4EF92E22" w:rsidR="005D6F5F" w:rsidRPr="00DE264C" w:rsidRDefault="005D6F5F" w:rsidP="00323440">
      <w:pPr>
        <w:pStyle w:val="Heading3"/>
        <w:tabs>
          <w:tab w:val="num" w:pos="7088"/>
        </w:tabs>
        <w:ind w:left="851"/>
        <w:rPr>
          <w:noProof/>
        </w:rPr>
      </w:pPr>
      <w:bookmarkStart w:id="446" w:name="_Toc209528674"/>
      <w:bookmarkStart w:id="447" w:name="_Toc209528791"/>
      <w:bookmarkStart w:id="448" w:name="_Toc209535117"/>
      <w:bookmarkStart w:id="449" w:name="_Toc209535214"/>
      <w:bookmarkStart w:id="450" w:name="_Toc209596122"/>
      <w:bookmarkStart w:id="451" w:name="_Toc214467760"/>
      <w:bookmarkStart w:id="452" w:name="_Toc215083782"/>
      <w:bookmarkStart w:id="453" w:name="_Toc219212548"/>
      <w:bookmarkStart w:id="454" w:name="_Toc219718203"/>
      <w:bookmarkEnd w:id="446"/>
      <w:bookmarkEnd w:id="447"/>
      <w:bookmarkEnd w:id="448"/>
      <w:bookmarkEnd w:id="449"/>
      <w:bookmarkEnd w:id="450"/>
      <w:r w:rsidRPr="00DE264C">
        <w:rPr>
          <w:noProof/>
        </w:rPr>
        <w:t>Governance</w:t>
      </w:r>
      <w:bookmarkEnd w:id="451"/>
      <w:bookmarkEnd w:id="452"/>
      <w:bookmarkEnd w:id="453"/>
      <w:bookmarkEnd w:id="454"/>
      <w:r w:rsidRPr="00DE264C">
        <w:rPr>
          <w:noProof/>
        </w:rPr>
        <w:t xml:space="preserve"> </w:t>
      </w:r>
    </w:p>
    <w:p w14:paraId="31F8B7DD" w14:textId="75F1885D" w:rsidR="003808B9" w:rsidRPr="00DE264C" w:rsidRDefault="00105C87" w:rsidP="00DE7CC1">
      <w:pPr>
        <w:spacing w:line="240" w:lineRule="auto"/>
        <w:rPr>
          <w:noProof/>
        </w:rPr>
      </w:pPr>
      <w:r w:rsidRPr="00DE264C">
        <w:rPr>
          <w:noProof/>
        </w:rPr>
        <w:t xml:space="preserve">Regarding governance, the preferred choice is </w:t>
      </w:r>
      <w:r w:rsidR="00043A64">
        <w:rPr>
          <w:b/>
          <w:bCs/>
          <w:noProof/>
        </w:rPr>
        <w:t>o</w:t>
      </w:r>
      <w:r w:rsidR="006D3FF9">
        <w:rPr>
          <w:b/>
          <w:bCs/>
          <w:noProof/>
        </w:rPr>
        <w:t>ption</w:t>
      </w:r>
      <w:r w:rsidRPr="00DE264C">
        <w:rPr>
          <w:b/>
          <w:bCs/>
          <w:noProof/>
        </w:rPr>
        <w:t xml:space="preserve"> 1</w:t>
      </w:r>
      <w:r w:rsidRPr="00DE264C">
        <w:rPr>
          <w:noProof/>
        </w:rPr>
        <w:t xml:space="preserve">, which ensures continuity while deepening cooperation and strengthening EU-level coordination. </w:t>
      </w:r>
      <w:r w:rsidRPr="00DE264C">
        <w:rPr>
          <w:rStyle w:val="normaltextrun"/>
          <w:noProof/>
        </w:rPr>
        <w:t xml:space="preserve">It builds on the existing set up of BEREC and </w:t>
      </w:r>
      <w:r w:rsidR="00C702B4">
        <w:rPr>
          <w:rStyle w:val="normaltextrun"/>
          <w:noProof/>
        </w:rPr>
        <w:t xml:space="preserve">the </w:t>
      </w:r>
      <w:r w:rsidRPr="00DE264C">
        <w:rPr>
          <w:rStyle w:val="normaltextrun"/>
          <w:noProof/>
        </w:rPr>
        <w:t xml:space="preserve">BEREC Office, while upgrading the RSPG from a Commission expert group to a body with a secretariat provided by the BEREC Office. Although </w:t>
      </w:r>
      <w:r w:rsidRPr="00DE264C">
        <w:rPr>
          <w:noProof/>
        </w:rPr>
        <w:t xml:space="preserve">this option ranked as second-best in the comparison in section 7.4, it is favoured by stakeholder consultation feedback. Option 1 scores the highest-equal to </w:t>
      </w:r>
      <w:r w:rsidR="00043A64">
        <w:rPr>
          <w:noProof/>
        </w:rPr>
        <w:t>o</w:t>
      </w:r>
      <w:r w:rsidRPr="00DE264C">
        <w:rPr>
          <w:noProof/>
        </w:rPr>
        <w:t>ption 2 in effectiveness</w:t>
      </w:r>
      <w:r w:rsidR="00A359C7" w:rsidRPr="00DE264C">
        <w:rPr>
          <w:noProof/>
        </w:rPr>
        <w:t>, efficiency</w:t>
      </w:r>
      <w:r w:rsidRPr="00DE264C">
        <w:rPr>
          <w:noProof/>
        </w:rPr>
        <w:t xml:space="preserve"> and coherence. In terms of effectiveness, upgrading the RSPG to a body separate from the Commission, supported by </w:t>
      </w:r>
      <w:r w:rsidR="00F714F3">
        <w:rPr>
          <w:noProof/>
        </w:rPr>
        <w:t xml:space="preserve">the </w:t>
      </w:r>
      <w:r w:rsidRPr="00DE264C">
        <w:rPr>
          <w:noProof/>
        </w:rPr>
        <w:t>strengthened BEREC Office with new coordination</w:t>
      </w:r>
      <w:r w:rsidR="001B7FD8" w:rsidRPr="00DE264C">
        <w:rPr>
          <w:noProof/>
        </w:rPr>
        <w:t xml:space="preserve"> task</w:t>
      </w:r>
      <w:r w:rsidR="00F714F3">
        <w:rPr>
          <w:noProof/>
        </w:rPr>
        <w:t>s</w:t>
      </w:r>
      <w:r w:rsidR="004823AC">
        <w:rPr>
          <w:noProof/>
        </w:rPr>
        <w:t>,</w:t>
      </w:r>
      <w:r w:rsidRPr="00DE264C">
        <w:rPr>
          <w:noProof/>
        </w:rPr>
        <w:t xml:space="preserve"> will enhance the effectiveness of spectrum management. Since spectrum management will be governed in the same way under </w:t>
      </w:r>
      <w:r w:rsidR="00D230E4">
        <w:rPr>
          <w:noProof/>
        </w:rPr>
        <w:t>o</w:t>
      </w:r>
      <w:r w:rsidRPr="00DE264C">
        <w:rPr>
          <w:noProof/>
        </w:rPr>
        <w:t xml:space="preserve">ption 1 and 2, their assessment is equal. On coherence, the BEREC Office, by providing administrative and support services to both BEREC and RSPG strengthens the </w:t>
      </w:r>
      <w:r w:rsidR="00DC2196" w:rsidRPr="00DE264C">
        <w:rPr>
          <w:noProof/>
        </w:rPr>
        <w:t xml:space="preserve">existing </w:t>
      </w:r>
      <w:r w:rsidRPr="00DE264C">
        <w:rPr>
          <w:noProof/>
        </w:rPr>
        <w:t xml:space="preserve">link between the two bodies, enabling better coordination and a more coherent outcomes than the baseline – again, equal under </w:t>
      </w:r>
      <w:r w:rsidR="00D230E4">
        <w:rPr>
          <w:noProof/>
        </w:rPr>
        <w:t>o</w:t>
      </w:r>
      <w:r w:rsidR="006D3FF9" w:rsidRPr="00DE264C">
        <w:rPr>
          <w:noProof/>
        </w:rPr>
        <w:t xml:space="preserve">ptions </w:t>
      </w:r>
      <w:r w:rsidRPr="00DE264C">
        <w:rPr>
          <w:noProof/>
        </w:rPr>
        <w:t xml:space="preserve">1 and 2. </w:t>
      </w:r>
      <w:r w:rsidR="003808B9" w:rsidRPr="00DE264C">
        <w:rPr>
          <w:noProof/>
        </w:rPr>
        <w:t xml:space="preserve">Furthermore, </w:t>
      </w:r>
      <w:r w:rsidR="00921419" w:rsidRPr="00DE264C">
        <w:rPr>
          <w:noProof/>
        </w:rPr>
        <w:t xml:space="preserve">while </w:t>
      </w:r>
      <w:r w:rsidR="006D3FF9">
        <w:rPr>
          <w:noProof/>
        </w:rPr>
        <w:t>option</w:t>
      </w:r>
      <w:r w:rsidR="00921419" w:rsidRPr="00DE264C">
        <w:rPr>
          <w:noProof/>
        </w:rPr>
        <w:t xml:space="preserve"> 2 </w:t>
      </w:r>
      <w:r w:rsidR="003B6148" w:rsidRPr="00DE264C">
        <w:rPr>
          <w:noProof/>
        </w:rPr>
        <w:t>scores higher in relevance and EU added value</w:t>
      </w:r>
      <w:r w:rsidR="003B6148">
        <w:rPr>
          <w:noProof/>
        </w:rPr>
        <w:t xml:space="preserve"> than </w:t>
      </w:r>
      <w:r w:rsidR="00D230E4">
        <w:rPr>
          <w:noProof/>
        </w:rPr>
        <w:t>o</w:t>
      </w:r>
      <w:r w:rsidR="006D3FF9">
        <w:rPr>
          <w:noProof/>
        </w:rPr>
        <w:t>ption</w:t>
      </w:r>
      <w:r w:rsidR="00CE41A0">
        <w:rPr>
          <w:noProof/>
        </w:rPr>
        <w:t xml:space="preserve"> 1, both those option are</w:t>
      </w:r>
      <w:r w:rsidR="00921419" w:rsidRPr="00DE264C">
        <w:rPr>
          <w:noProof/>
        </w:rPr>
        <w:t xml:space="preserve"> </w:t>
      </w:r>
      <w:r w:rsidR="007D76DC" w:rsidRPr="00DE264C">
        <w:rPr>
          <w:noProof/>
        </w:rPr>
        <w:t xml:space="preserve">equivalent as regards spectrum governance and differ </w:t>
      </w:r>
      <w:r w:rsidR="00A86C41" w:rsidRPr="00DE264C">
        <w:rPr>
          <w:noProof/>
        </w:rPr>
        <w:t>in</w:t>
      </w:r>
      <w:r w:rsidR="00921419" w:rsidRPr="00DE264C">
        <w:rPr>
          <w:noProof/>
        </w:rPr>
        <w:t xml:space="preserve"> merging BEREC and BEREC Office into and agency</w:t>
      </w:r>
      <w:r w:rsidR="00CC0257">
        <w:rPr>
          <w:noProof/>
        </w:rPr>
        <w:t xml:space="preserve">. </w:t>
      </w:r>
      <w:r w:rsidR="00C20DC4">
        <w:rPr>
          <w:noProof/>
        </w:rPr>
        <w:t>T</w:t>
      </w:r>
      <w:r w:rsidR="00D00CC5">
        <w:rPr>
          <w:noProof/>
        </w:rPr>
        <w:t xml:space="preserve">he new BEREC tasks </w:t>
      </w:r>
      <w:r w:rsidR="003808B9" w:rsidRPr="00DE264C">
        <w:rPr>
          <w:noProof/>
        </w:rPr>
        <w:t>will continue to be more of monitoring/advisory nature</w:t>
      </w:r>
      <w:r w:rsidR="00B42DB2">
        <w:rPr>
          <w:noProof/>
        </w:rPr>
        <w:t xml:space="preserve"> and </w:t>
      </w:r>
      <w:r w:rsidR="008213F8">
        <w:rPr>
          <w:noProof/>
        </w:rPr>
        <w:t>there are no new tasks that would require equipping BEREC with a legal personality and</w:t>
      </w:r>
      <w:r w:rsidR="00C20DC4">
        <w:rPr>
          <w:noProof/>
        </w:rPr>
        <w:t>, therefore,</w:t>
      </w:r>
      <w:r w:rsidR="008213F8">
        <w:rPr>
          <w:noProof/>
        </w:rPr>
        <w:t xml:space="preserve"> merging BEREC and the BEREC Office into an agency</w:t>
      </w:r>
      <w:r w:rsidR="00C20DC4">
        <w:rPr>
          <w:noProof/>
        </w:rPr>
        <w:t xml:space="preserve"> is not necessary for carrying them out.</w:t>
      </w:r>
      <w:r w:rsidR="00CC0257">
        <w:rPr>
          <w:noProof/>
        </w:rPr>
        <w:t xml:space="preserve"> </w:t>
      </w:r>
      <w:r w:rsidR="007E4902">
        <w:rPr>
          <w:noProof/>
        </w:rPr>
        <w:t>Under option 1</w:t>
      </w:r>
      <w:r w:rsidR="00CC0257">
        <w:rPr>
          <w:noProof/>
        </w:rPr>
        <w:t xml:space="preserve"> </w:t>
      </w:r>
      <w:r w:rsidR="003808B9" w:rsidRPr="00DE264C">
        <w:rPr>
          <w:noProof/>
        </w:rPr>
        <w:t>the decision</w:t>
      </w:r>
      <w:r w:rsidR="00C445ED" w:rsidRPr="00DE264C">
        <w:rPr>
          <w:noProof/>
        </w:rPr>
        <w:t>-</w:t>
      </w:r>
      <w:r w:rsidR="003808B9" w:rsidRPr="00DE264C">
        <w:rPr>
          <w:noProof/>
        </w:rPr>
        <w:t xml:space="preserve">making powers </w:t>
      </w:r>
      <w:r w:rsidR="00670A3C" w:rsidRPr="00DE264C">
        <w:rPr>
          <w:noProof/>
        </w:rPr>
        <w:t>will remain with</w:t>
      </w:r>
      <w:r w:rsidR="003808B9" w:rsidRPr="00DE264C">
        <w:rPr>
          <w:noProof/>
        </w:rPr>
        <w:t xml:space="preserve"> the Commission, ensuring in such way stronger single market dimension</w:t>
      </w:r>
      <w:r w:rsidR="0027763B" w:rsidRPr="00DE264C">
        <w:rPr>
          <w:noProof/>
        </w:rPr>
        <w:t>.</w:t>
      </w:r>
      <w:r w:rsidR="007E4902">
        <w:rPr>
          <w:noProof/>
        </w:rPr>
        <w:t xml:space="preserve"> </w:t>
      </w:r>
      <w:r w:rsidR="007E4902" w:rsidRPr="002026B8">
        <w:rPr>
          <w:noProof/>
        </w:rPr>
        <w:t xml:space="preserve">Consequently, </w:t>
      </w:r>
      <w:r w:rsidR="00624470">
        <w:rPr>
          <w:noProof/>
        </w:rPr>
        <w:t>o</w:t>
      </w:r>
      <w:r w:rsidR="006D3FF9">
        <w:rPr>
          <w:noProof/>
        </w:rPr>
        <w:t>ption</w:t>
      </w:r>
      <w:r w:rsidR="007E4902" w:rsidRPr="002026B8">
        <w:rPr>
          <w:noProof/>
        </w:rPr>
        <w:t xml:space="preserve"> 1 will ensure the desired </w:t>
      </w:r>
      <w:r w:rsidR="009721CE" w:rsidRPr="002026B8">
        <w:rPr>
          <w:noProof/>
        </w:rPr>
        <w:t xml:space="preserve">benefits </w:t>
      </w:r>
      <w:r w:rsidR="0026632F" w:rsidRPr="002026B8">
        <w:rPr>
          <w:noProof/>
        </w:rPr>
        <w:t>with moderate costs</w:t>
      </w:r>
      <w:r w:rsidR="009721CE" w:rsidRPr="002026B8">
        <w:rPr>
          <w:noProof/>
        </w:rPr>
        <w:t>.</w:t>
      </w:r>
      <w:r w:rsidR="007E4902">
        <w:rPr>
          <w:noProof/>
        </w:rPr>
        <w:t xml:space="preserve"> </w:t>
      </w:r>
    </w:p>
    <w:p w14:paraId="4C257CEE" w14:textId="77777777" w:rsidR="006B087E" w:rsidRPr="00DE264C" w:rsidRDefault="006B087E" w:rsidP="009B7E6B">
      <w:pPr>
        <w:pStyle w:val="Heading2"/>
        <w:rPr>
          <w:noProof/>
        </w:rPr>
      </w:pPr>
      <w:bookmarkStart w:id="455" w:name="_Toc214467761"/>
      <w:bookmarkStart w:id="456" w:name="_Toc215083783"/>
      <w:bookmarkStart w:id="457" w:name="_Toc219212549"/>
      <w:bookmarkStart w:id="458" w:name="_Toc219718204"/>
      <w:r w:rsidRPr="00DE264C">
        <w:rPr>
          <w:noProof/>
        </w:rPr>
        <w:t>REFIT (simplification and improved efficiency)</w:t>
      </w:r>
      <w:bookmarkEnd w:id="455"/>
      <w:bookmarkEnd w:id="456"/>
      <w:bookmarkEnd w:id="457"/>
      <w:bookmarkEnd w:id="458"/>
    </w:p>
    <w:p w14:paraId="34BC06F4" w14:textId="0A636B8A" w:rsidR="003C590A" w:rsidRPr="00DE264C" w:rsidRDefault="4704E41A" w:rsidP="00DE7CC1">
      <w:pPr>
        <w:spacing w:line="240" w:lineRule="auto"/>
        <w:rPr>
          <w:rFonts w:eastAsia="Times New Roman"/>
          <w:noProof/>
          <w:lang w:eastAsia="de-DE"/>
        </w:rPr>
      </w:pPr>
      <w:bookmarkStart w:id="459" w:name="_Hlk206083589"/>
      <w:r w:rsidRPr="00DE264C">
        <w:rPr>
          <w:rFonts w:eastAsia="Times New Roman"/>
          <w:noProof/>
          <w:lang w:eastAsia="de-DE"/>
        </w:rPr>
        <w:t>As regards, access regulation, the preferred option would remove a number of provisions relating to SMP regulation such as those regarding co-investment (</w:t>
      </w:r>
      <w:r w:rsidR="00046B16">
        <w:rPr>
          <w:rFonts w:eastAsia="Times New Roman"/>
          <w:noProof/>
          <w:lang w:eastAsia="de-DE"/>
        </w:rPr>
        <w:t>Article</w:t>
      </w:r>
      <w:r w:rsidR="00A907F2">
        <w:rPr>
          <w:rFonts w:eastAsia="Times New Roman"/>
          <w:noProof/>
          <w:lang w:eastAsia="de-DE"/>
        </w:rPr>
        <w:t> </w:t>
      </w:r>
      <w:r w:rsidRPr="00DE264C">
        <w:rPr>
          <w:rFonts w:eastAsia="Times New Roman"/>
          <w:noProof/>
          <w:lang w:eastAsia="de-DE"/>
        </w:rPr>
        <w:t>76</w:t>
      </w:r>
      <w:r w:rsidR="00046B16">
        <w:rPr>
          <w:rFonts w:eastAsia="Times New Roman"/>
          <w:noProof/>
          <w:lang w:eastAsia="de-DE"/>
        </w:rPr>
        <w:t xml:space="preserve"> EECC</w:t>
      </w:r>
      <w:r w:rsidRPr="00DE264C">
        <w:rPr>
          <w:rFonts w:eastAsia="Times New Roman"/>
          <w:noProof/>
          <w:lang w:eastAsia="de-DE"/>
        </w:rPr>
        <w:t>) and functional separation (Articles</w:t>
      </w:r>
      <w:r w:rsidR="00A907F2">
        <w:rPr>
          <w:rFonts w:eastAsia="Times New Roman"/>
          <w:noProof/>
          <w:lang w:eastAsia="de-DE"/>
        </w:rPr>
        <w:t> </w:t>
      </w:r>
      <w:r w:rsidRPr="00DE264C">
        <w:rPr>
          <w:rFonts w:eastAsia="Times New Roman"/>
          <w:noProof/>
          <w:lang w:eastAsia="de-DE"/>
        </w:rPr>
        <w:t>77 and 78</w:t>
      </w:r>
      <w:r w:rsidR="00046B16">
        <w:rPr>
          <w:rFonts w:eastAsia="Times New Roman"/>
          <w:noProof/>
          <w:lang w:eastAsia="de-DE"/>
        </w:rPr>
        <w:t xml:space="preserve"> EECC</w:t>
      </w:r>
      <w:r w:rsidRPr="00DE264C">
        <w:rPr>
          <w:rFonts w:eastAsia="Times New Roman"/>
          <w:noProof/>
          <w:lang w:eastAsia="de-DE"/>
        </w:rPr>
        <w:t>)</w:t>
      </w:r>
      <w:r w:rsidR="003C590A" w:rsidRPr="00DE264C">
        <w:rPr>
          <w:rStyle w:val="FootnoteReference"/>
          <w:rFonts w:eastAsia="Times New Roman"/>
          <w:noProof/>
          <w:lang w:eastAsia="de-DE"/>
        </w:rPr>
        <w:footnoteReference w:id="275"/>
      </w:r>
      <w:r w:rsidRPr="00DE264C">
        <w:rPr>
          <w:rFonts w:eastAsia="Times New Roman"/>
          <w:noProof/>
          <w:lang w:eastAsia="de-DE"/>
        </w:rPr>
        <w:t xml:space="preserve">. </w:t>
      </w:r>
      <w:r w:rsidR="00035E6A" w:rsidRPr="00DE264C">
        <w:rPr>
          <w:rFonts w:eastAsia="Times New Roman"/>
          <w:noProof/>
          <w:lang w:eastAsia="de-DE"/>
        </w:rPr>
        <w:t>At the same time</w:t>
      </w:r>
      <w:r w:rsidR="00AE4844" w:rsidRPr="00DE264C">
        <w:rPr>
          <w:rFonts w:eastAsia="Times New Roman"/>
          <w:noProof/>
          <w:lang w:eastAsia="de-DE"/>
        </w:rPr>
        <w:t>, enabling the NRAs to impose access to in-house wiring and beyond the first concentration point from own initiative (and not at request as this is currently the case) would simplify the way how access regulation is implemented</w:t>
      </w:r>
      <w:r w:rsidR="008F1248" w:rsidRPr="00DE264C">
        <w:rPr>
          <w:rFonts w:eastAsia="Times New Roman"/>
          <w:noProof/>
          <w:lang w:eastAsia="de-DE"/>
        </w:rPr>
        <w:t>.</w:t>
      </w:r>
      <w:r w:rsidR="00720F71" w:rsidRPr="00DE264C">
        <w:rPr>
          <w:rFonts w:eastAsia="Times New Roman"/>
          <w:noProof/>
          <w:lang w:eastAsia="de-DE"/>
        </w:rPr>
        <w:t xml:space="preserve"> </w:t>
      </w:r>
      <w:r w:rsidRPr="00DE264C">
        <w:rPr>
          <w:rFonts w:eastAsia="Times New Roman"/>
          <w:noProof/>
          <w:lang w:eastAsia="de-DE"/>
        </w:rPr>
        <w:t xml:space="preserve">This would have the effect of simplifying existing rules and remove the perceived shortcomings </w:t>
      </w:r>
      <w:r w:rsidR="004C06C7" w:rsidRPr="00DE264C">
        <w:rPr>
          <w:rFonts w:eastAsia="Times New Roman"/>
          <w:noProof/>
          <w:lang w:eastAsia="de-DE"/>
        </w:rPr>
        <w:t xml:space="preserve">and unnecessary complexities </w:t>
      </w:r>
      <w:r w:rsidRPr="00DE264C">
        <w:rPr>
          <w:rFonts w:eastAsia="Times New Roman"/>
          <w:noProof/>
          <w:lang w:eastAsia="de-DE"/>
        </w:rPr>
        <w:t>and potential lack of coherence associated with those provisions</w:t>
      </w:r>
      <w:r w:rsidR="00157175" w:rsidRPr="00DE264C">
        <w:rPr>
          <w:rFonts w:eastAsia="Times New Roman"/>
          <w:noProof/>
          <w:lang w:eastAsia="de-DE"/>
        </w:rPr>
        <w:t xml:space="preserve"> that led to </w:t>
      </w:r>
      <w:r w:rsidR="00D94115" w:rsidRPr="00DE264C">
        <w:rPr>
          <w:rFonts w:eastAsia="Times New Roman"/>
          <w:noProof/>
          <w:lang w:eastAsia="de-DE"/>
        </w:rPr>
        <w:t xml:space="preserve">the </w:t>
      </w:r>
      <w:r w:rsidRPr="00DE264C">
        <w:rPr>
          <w:rFonts w:eastAsia="Times New Roman"/>
          <w:noProof/>
          <w:lang w:eastAsia="de-DE"/>
        </w:rPr>
        <w:t>limited usage of them</w:t>
      </w:r>
      <w:r w:rsidR="00813FED" w:rsidRPr="00DE264C">
        <w:rPr>
          <w:rFonts w:eastAsia="Times New Roman"/>
          <w:noProof/>
          <w:lang w:eastAsia="de-DE"/>
        </w:rPr>
        <w:t>.</w:t>
      </w:r>
      <w:r w:rsidR="003C590A" w:rsidRPr="00DE264C">
        <w:rPr>
          <w:noProof/>
          <w:position w:val="6"/>
          <w:sz w:val="18"/>
          <w:szCs w:val="18"/>
        </w:rPr>
        <w:footnoteReference w:id="276"/>
      </w:r>
      <w:r w:rsidRPr="00DE264C">
        <w:rPr>
          <w:rFonts w:eastAsia="Times New Roman"/>
          <w:noProof/>
          <w:lang w:eastAsia="de-DE"/>
        </w:rPr>
        <w:t xml:space="preserve"> </w:t>
      </w:r>
      <w:r w:rsidR="00813FED" w:rsidRPr="00DE264C">
        <w:rPr>
          <w:rFonts w:eastAsia="Times New Roman"/>
          <w:noProof/>
          <w:lang w:eastAsia="de-DE"/>
        </w:rPr>
        <w:t>Furthermore,</w:t>
      </w:r>
      <w:r w:rsidRPr="00DE264C">
        <w:rPr>
          <w:rFonts w:eastAsia="Times New Roman"/>
          <w:noProof/>
          <w:lang w:eastAsia="de-DE"/>
        </w:rPr>
        <w:t xml:space="preserve"> the impacts on fibre coverage, take-up and competition of their removal is likely to be limited. This is particularly true for Article</w:t>
      </w:r>
      <w:r w:rsidR="00A907F2">
        <w:rPr>
          <w:rFonts w:eastAsia="Times New Roman"/>
          <w:noProof/>
          <w:lang w:eastAsia="de-DE"/>
        </w:rPr>
        <w:t> </w:t>
      </w:r>
      <w:r w:rsidRPr="00DE264C">
        <w:rPr>
          <w:rFonts w:eastAsia="Times New Roman"/>
          <w:noProof/>
          <w:lang w:eastAsia="de-DE"/>
        </w:rPr>
        <w:t>76</w:t>
      </w:r>
      <w:r w:rsidR="00046B16">
        <w:rPr>
          <w:rFonts w:eastAsia="Times New Roman"/>
          <w:noProof/>
          <w:lang w:eastAsia="de-DE"/>
        </w:rPr>
        <w:t xml:space="preserve"> EECC</w:t>
      </w:r>
      <w:r w:rsidR="003C590A" w:rsidRPr="00DE264C">
        <w:rPr>
          <w:rStyle w:val="FootnoteReference"/>
          <w:rFonts w:eastAsia="Times New Roman"/>
          <w:noProof/>
          <w:lang w:eastAsia="de-DE"/>
        </w:rPr>
        <w:footnoteReference w:id="277"/>
      </w:r>
      <w:r w:rsidRPr="00DE264C">
        <w:rPr>
          <w:rFonts w:eastAsia="Times New Roman"/>
          <w:noProof/>
          <w:lang w:eastAsia="de-DE"/>
        </w:rPr>
        <w:t xml:space="preserve">, which has been superseded by wider analysis by NRAs of the implications of commercial arrangements including co-investment in the context of the market analysis procedure. </w:t>
      </w:r>
      <w:r w:rsidR="00380C7E" w:rsidRPr="00DE264C">
        <w:rPr>
          <w:rFonts w:eastAsia="Times New Roman"/>
          <w:noProof/>
          <w:lang w:eastAsia="de-DE"/>
        </w:rPr>
        <w:t>The REFIT potential of these provisions had been also recognized by the stakeholders. </w:t>
      </w:r>
    </w:p>
    <w:p w14:paraId="41BFEA99" w14:textId="1DE45414" w:rsidR="004B0FBF" w:rsidRDefault="00E942BD" w:rsidP="00E942BD">
      <w:pPr>
        <w:pStyle w:val="Caption"/>
        <w:keepNext/>
        <w:rPr>
          <w:noProof/>
        </w:rPr>
      </w:pPr>
      <w:bookmarkStart w:id="460" w:name="_Toc219539776"/>
      <w:r>
        <w:rPr>
          <w:noProof/>
        </w:rPr>
        <w:t xml:space="preserve">Figure </w:t>
      </w:r>
      <w:r>
        <w:rPr>
          <w:noProof/>
        </w:rPr>
        <w:fldChar w:fldCharType="begin"/>
      </w:r>
      <w:r>
        <w:rPr>
          <w:noProof/>
        </w:rPr>
        <w:instrText xml:space="preserve"> SEQ Figure \* ARABIC </w:instrText>
      </w:r>
      <w:r>
        <w:rPr>
          <w:noProof/>
        </w:rPr>
        <w:fldChar w:fldCharType="separate"/>
      </w:r>
      <w:r>
        <w:rPr>
          <w:noProof/>
        </w:rPr>
        <w:t>19</w:t>
      </w:r>
      <w:r>
        <w:rPr>
          <w:noProof/>
        </w:rPr>
        <w:fldChar w:fldCharType="end"/>
      </w:r>
      <w:r w:rsidRPr="00B310DF">
        <w:rPr>
          <w:noProof/>
        </w:rPr>
        <w:t>: Potential for removal by article: stakeholder perspectives</w:t>
      </w:r>
      <w:bookmarkEnd w:id="460"/>
    </w:p>
    <w:p w14:paraId="017EF3A6" w14:textId="3A2F7603" w:rsidR="003C590A" w:rsidRPr="00DE264C" w:rsidRDefault="00900D74" w:rsidP="00BE337F">
      <w:pPr>
        <w:pStyle w:val="Caption"/>
        <w:keepNext/>
        <w:rPr>
          <w:rFonts w:eastAsia="Times New Roman"/>
          <w:noProof/>
          <w:szCs w:val="20"/>
          <w:lang w:eastAsia="de-DE"/>
        </w:rPr>
      </w:pPr>
      <w:r w:rsidRPr="00DE264C">
        <w:rPr>
          <w:rFonts w:eastAsia="Times New Roman"/>
          <w:noProof/>
          <w:szCs w:val="20"/>
          <w:lang w:eastAsia="en-GB"/>
        </w:rPr>
        <w:drawing>
          <wp:inline distT="0" distB="0" distL="0" distR="0" wp14:anchorId="253C45DD" wp14:editId="5DD18DF7">
            <wp:extent cx="4158341" cy="2049390"/>
            <wp:effectExtent l="0" t="0" r="0" b="8255"/>
            <wp:docPr id="1854170480" name="Grafik 42" descr="A graph of blue and whit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170480" name="Grafik 42" descr="A graph of blue and white bars&#10;&#10;AI-generated content may be incorrect."/>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178376" cy="2059264"/>
                    </a:xfrm>
                    <a:prstGeom prst="rect">
                      <a:avLst/>
                    </a:prstGeom>
                    <a:noFill/>
                  </pic:spPr>
                </pic:pic>
              </a:graphicData>
            </a:graphic>
          </wp:inline>
        </w:drawing>
      </w:r>
    </w:p>
    <w:p w14:paraId="7E55CD84" w14:textId="77777777" w:rsidR="003C590A" w:rsidRDefault="003C590A" w:rsidP="003C590A">
      <w:pPr>
        <w:rPr>
          <w:rFonts w:eastAsia="Times New Roman"/>
          <w:noProof/>
          <w:sz w:val="20"/>
          <w:szCs w:val="20"/>
          <w:lang w:eastAsia="de-DE"/>
        </w:rPr>
      </w:pPr>
      <w:r w:rsidRPr="00B13F08">
        <w:rPr>
          <w:rFonts w:eastAsia="Times New Roman"/>
          <w:noProof/>
          <w:sz w:val="20"/>
          <w:szCs w:val="20"/>
          <w:lang w:eastAsia="de-DE"/>
        </w:rPr>
        <w:t>Source: Stakeholder survey June-July 2025</w:t>
      </w:r>
    </w:p>
    <w:p w14:paraId="3792B387" w14:textId="3160ABC8" w:rsidR="00E942BD" w:rsidRPr="00BE337F" w:rsidRDefault="00E942BD" w:rsidP="00BE337F">
      <w:pPr>
        <w:pStyle w:val="Caption"/>
        <w:keepNext/>
        <w:rPr>
          <w:noProof/>
        </w:rPr>
      </w:pPr>
      <w:bookmarkStart w:id="461" w:name="_Toc219539777"/>
      <w:r>
        <w:rPr>
          <w:noProof/>
        </w:rPr>
        <w:t xml:space="preserve">Figure </w:t>
      </w:r>
      <w:r>
        <w:rPr>
          <w:noProof/>
        </w:rPr>
        <w:fldChar w:fldCharType="begin"/>
      </w:r>
      <w:r>
        <w:rPr>
          <w:noProof/>
        </w:rPr>
        <w:instrText xml:space="preserve"> SEQ Figure \* ARABIC </w:instrText>
      </w:r>
      <w:r>
        <w:rPr>
          <w:noProof/>
        </w:rPr>
        <w:fldChar w:fldCharType="separate"/>
      </w:r>
      <w:r>
        <w:rPr>
          <w:noProof/>
        </w:rPr>
        <w:t>20</w:t>
      </w:r>
      <w:r>
        <w:rPr>
          <w:noProof/>
        </w:rPr>
        <w:fldChar w:fldCharType="end"/>
      </w:r>
      <w:r w:rsidRPr="008E5851">
        <w:rPr>
          <w:noProof/>
        </w:rPr>
        <w:t xml:space="preserve"> : Potential for removal by article: perspective of telecom providers</w:t>
      </w:r>
      <w:bookmarkEnd w:id="461"/>
    </w:p>
    <w:p w14:paraId="4E4BD0DF" w14:textId="49CF175F" w:rsidR="003C590A" w:rsidRPr="00DE264C" w:rsidRDefault="00900D74" w:rsidP="00900D74">
      <w:pPr>
        <w:spacing w:after="120"/>
        <w:rPr>
          <w:rFonts w:eastAsia="Times New Roman"/>
          <w:noProof/>
          <w:szCs w:val="20"/>
          <w:lang w:eastAsia="de-DE"/>
        </w:rPr>
      </w:pPr>
      <w:r w:rsidRPr="00DE264C">
        <w:rPr>
          <w:rFonts w:eastAsia="Times New Roman"/>
          <w:noProof/>
          <w:szCs w:val="20"/>
          <w:lang w:eastAsia="en-GB"/>
        </w:rPr>
        <w:drawing>
          <wp:inline distT="0" distB="0" distL="0" distR="0" wp14:anchorId="01F4F807" wp14:editId="2DDBD95E">
            <wp:extent cx="5541645" cy="2383790"/>
            <wp:effectExtent l="0" t="0" r="1905" b="0"/>
            <wp:docPr id="1188171952" name="Grafik 43"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171952" name="Grafik 43" descr="A graph of different colored bars&#10;&#10;AI-generated content may be incorrect."/>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541645" cy="2383790"/>
                    </a:xfrm>
                    <a:prstGeom prst="rect">
                      <a:avLst/>
                    </a:prstGeom>
                    <a:noFill/>
                  </pic:spPr>
                </pic:pic>
              </a:graphicData>
            </a:graphic>
          </wp:inline>
        </w:drawing>
      </w:r>
    </w:p>
    <w:p w14:paraId="4D98D992" w14:textId="482D7B1E" w:rsidR="003C590A" w:rsidRPr="00B13F08" w:rsidRDefault="003C590A" w:rsidP="003C590A">
      <w:pPr>
        <w:rPr>
          <w:rFonts w:eastAsia="Times New Roman"/>
          <w:noProof/>
          <w:sz w:val="20"/>
          <w:szCs w:val="20"/>
          <w:lang w:eastAsia="de-DE"/>
        </w:rPr>
      </w:pPr>
      <w:r w:rsidRPr="00B13F08">
        <w:rPr>
          <w:rFonts w:eastAsia="Times New Roman"/>
          <w:noProof/>
          <w:sz w:val="20"/>
          <w:szCs w:val="20"/>
          <w:lang w:eastAsia="de-DE"/>
        </w:rPr>
        <w:t>Source: Stakeholder survey June-July 2025</w:t>
      </w:r>
    </w:p>
    <w:p w14:paraId="7FD27C61" w14:textId="535962C7" w:rsidR="00F04628" w:rsidRPr="00DE264C" w:rsidRDefault="00F04628" w:rsidP="00DE7CC1">
      <w:pPr>
        <w:spacing w:line="240" w:lineRule="auto"/>
        <w:rPr>
          <w:noProof/>
          <w:lang w:val="en-IE"/>
        </w:rPr>
      </w:pPr>
      <w:r w:rsidRPr="00DE264C">
        <w:rPr>
          <w:noProof/>
        </w:rPr>
        <w:t>Furthermore, the preferred option would simplify, strengthen and increase oversight with the aim of securing more uniform implementation of remedies in the benefit of</w:t>
      </w:r>
      <w:r w:rsidR="00A304C3">
        <w:rPr>
          <w:noProof/>
        </w:rPr>
        <w:t xml:space="preserve"> </w:t>
      </w:r>
      <w:r w:rsidRPr="00DE264C">
        <w:rPr>
          <w:noProof/>
        </w:rPr>
        <w:t xml:space="preserve">the </w:t>
      </w:r>
      <w:r w:rsidR="00D94115" w:rsidRPr="00DE264C">
        <w:rPr>
          <w:noProof/>
        </w:rPr>
        <w:t>S</w:t>
      </w:r>
      <w:r w:rsidRPr="00DE264C">
        <w:rPr>
          <w:noProof/>
        </w:rPr>
        <w:t>ingle market. Harmonisation of specifications for key wholesale products as well as attention to quality of service guarantees for businesses should simplify the use of access products and also contribute to the development of competition in services for multi-site and multinational enterprises.</w:t>
      </w:r>
    </w:p>
    <w:bookmarkEnd w:id="459"/>
    <w:p w14:paraId="768AA3CF" w14:textId="743BE1F3" w:rsidR="00FB197B" w:rsidRPr="00DE264C" w:rsidRDefault="00FB197B" w:rsidP="00DE7CC1">
      <w:pPr>
        <w:spacing w:line="240" w:lineRule="auto"/>
        <w:rPr>
          <w:noProof/>
        </w:rPr>
      </w:pPr>
      <w:r w:rsidRPr="00D35A43">
        <w:rPr>
          <w:noProof/>
        </w:rPr>
        <w:t xml:space="preserve">As regards spectrum, the </w:t>
      </w:r>
      <w:r w:rsidR="00734C23" w:rsidRPr="00D35A43">
        <w:rPr>
          <w:noProof/>
        </w:rPr>
        <w:t>consolidation</w:t>
      </w:r>
      <w:r w:rsidRPr="00D35A43">
        <w:rPr>
          <w:noProof/>
        </w:rPr>
        <w:t xml:space="preserve"> of relevant provision</w:t>
      </w:r>
      <w:r w:rsidR="00C7375A" w:rsidRPr="00D35A43">
        <w:rPr>
          <w:noProof/>
        </w:rPr>
        <w:t>s</w:t>
      </w:r>
      <w:r w:rsidRPr="00D35A43">
        <w:rPr>
          <w:noProof/>
        </w:rPr>
        <w:t xml:space="preserve"> of </w:t>
      </w:r>
      <w:r w:rsidR="00C7375A" w:rsidRPr="00D35A43">
        <w:rPr>
          <w:noProof/>
        </w:rPr>
        <w:t xml:space="preserve">the RSPP in the EECC presents </w:t>
      </w:r>
      <w:r w:rsidR="00071FDB" w:rsidRPr="00D35A43">
        <w:rPr>
          <w:noProof/>
        </w:rPr>
        <w:t xml:space="preserve">significant </w:t>
      </w:r>
      <w:r w:rsidR="00734C23" w:rsidRPr="00D35A43">
        <w:rPr>
          <w:noProof/>
        </w:rPr>
        <w:t>REFIT</w:t>
      </w:r>
      <w:r w:rsidR="00071FDB" w:rsidRPr="00D35A43">
        <w:rPr>
          <w:noProof/>
        </w:rPr>
        <w:t xml:space="preserve"> </w:t>
      </w:r>
      <w:r w:rsidR="00634019" w:rsidRPr="00D35A43">
        <w:rPr>
          <w:noProof/>
        </w:rPr>
        <w:t>benefit</w:t>
      </w:r>
      <w:r w:rsidR="0055629A" w:rsidRPr="00D35A43">
        <w:rPr>
          <w:noProof/>
        </w:rPr>
        <w:t>s</w:t>
      </w:r>
      <w:r w:rsidR="005E3329" w:rsidRPr="00D35A43">
        <w:rPr>
          <w:noProof/>
        </w:rPr>
        <w:t xml:space="preserve">, as it ensures consistency, by eliminating duplicative and </w:t>
      </w:r>
      <w:r w:rsidR="001B5269" w:rsidRPr="00D35A43">
        <w:rPr>
          <w:noProof/>
        </w:rPr>
        <w:t>outdated provisions</w:t>
      </w:r>
      <w:r w:rsidR="00E7297D" w:rsidRPr="00D35A43">
        <w:rPr>
          <w:noProof/>
        </w:rPr>
        <w:t xml:space="preserve"> that hinder </w:t>
      </w:r>
      <w:r w:rsidR="007240A9" w:rsidRPr="00D35A43">
        <w:rPr>
          <w:noProof/>
        </w:rPr>
        <w:t xml:space="preserve">EU competitiveness in </w:t>
      </w:r>
      <w:r w:rsidR="00E7297D" w:rsidRPr="00D35A43">
        <w:rPr>
          <w:noProof/>
        </w:rPr>
        <w:t xml:space="preserve">the deployment of </w:t>
      </w:r>
      <w:r w:rsidR="00C059DA" w:rsidRPr="00D35A43">
        <w:rPr>
          <w:noProof/>
        </w:rPr>
        <w:t>innovative services</w:t>
      </w:r>
      <w:r w:rsidR="00634019" w:rsidRPr="00D35A43">
        <w:rPr>
          <w:noProof/>
        </w:rPr>
        <w:t>.</w:t>
      </w:r>
    </w:p>
    <w:p w14:paraId="0545863A" w14:textId="77777777" w:rsidR="00D42BA3" w:rsidRDefault="00604169" w:rsidP="00DE7CC1">
      <w:pPr>
        <w:pStyle w:val="Text2"/>
        <w:spacing w:line="240" w:lineRule="auto"/>
        <w:ind w:left="0"/>
        <w:rPr>
          <w:rStyle w:val="normaltextrun"/>
          <w:rFonts w:eastAsiaTheme="minorEastAsia"/>
          <w:noProof/>
          <w:color w:val="000000" w:themeColor="text1"/>
        </w:rPr>
      </w:pPr>
      <w:r w:rsidRPr="00DE264C">
        <w:rPr>
          <w:noProof/>
        </w:rPr>
        <w:t xml:space="preserve">The </w:t>
      </w:r>
      <w:r w:rsidRPr="00DE264C">
        <w:rPr>
          <w:b/>
          <w:noProof/>
        </w:rPr>
        <w:t>EU</w:t>
      </w:r>
      <w:r w:rsidRPr="00DE264C">
        <w:rPr>
          <w:noProof/>
        </w:rPr>
        <w:t xml:space="preserve"> </w:t>
      </w:r>
      <w:r w:rsidR="0063507D" w:rsidRPr="00DE264C">
        <w:rPr>
          <w:rStyle w:val="normaltextrun"/>
          <w:b/>
          <w:noProof/>
          <w:color w:val="000000" w:themeColor="text1"/>
        </w:rPr>
        <w:t>authorisation for the provision of satellite networks and services and use of satellite spectrum</w:t>
      </w:r>
      <w:r w:rsidR="00A86441" w:rsidRPr="00DE264C">
        <w:rPr>
          <w:rStyle w:val="normaltextrun"/>
          <w:b/>
          <w:noProof/>
          <w:color w:val="000000" w:themeColor="text1"/>
        </w:rPr>
        <w:t xml:space="preserve"> </w:t>
      </w:r>
      <w:r w:rsidRPr="00DE264C">
        <w:rPr>
          <w:rStyle w:val="normaltextrun"/>
          <w:noProof/>
          <w:color w:val="000000" w:themeColor="text1"/>
        </w:rPr>
        <w:t xml:space="preserve">presents significant </w:t>
      </w:r>
      <w:r w:rsidR="00DA42CB" w:rsidRPr="00DE264C">
        <w:rPr>
          <w:rStyle w:val="normaltextrun"/>
          <w:noProof/>
          <w:color w:val="000000" w:themeColor="text1"/>
        </w:rPr>
        <w:t xml:space="preserve">simplification and improved efficiency </w:t>
      </w:r>
      <w:r w:rsidR="00E74418" w:rsidRPr="00DE264C">
        <w:rPr>
          <w:rStyle w:val="normaltextrun"/>
          <w:noProof/>
          <w:color w:val="000000" w:themeColor="text1"/>
        </w:rPr>
        <w:t xml:space="preserve">potential </w:t>
      </w:r>
      <w:r w:rsidR="00DA42CB" w:rsidRPr="00DE264C">
        <w:rPr>
          <w:rStyle w:val="normaltextrun"/>
          <w:noProof/>
          <w:color w:val="000000" w:themeColor="text1"/>
        </w:rPr>
        <w:t>as it</w:t>
      </w:r>
      <w:r w:rsidR="00E74418" w:rsidRPr="00DE264C">
        <w:rPr>
          <w:rStyle w:val="normaltextrun"/>
          <w:noProof/>
          <w:color w:val="000000" w:themeColor="text1"/>
        </w:rPr>
        <w:t xml:space="preserve"> </w:t>
      </w:r>
      <w:r w:rsidR="00A745A4" w:rsidRPr="00DE264C">
        <w:rPr>
          <w:noProof/>
        </w:rPr>
        <w:t xml:space="preserve">would </w:t>
      </w:r>
      <w:r w:rsidR="0063507D" w:rsidRPr="00DE264C">
        <w:rPr>
          <w:rStyle w:val="normaltextrun"/>
          <w:rFonts w:eastAsiaTheme="minorEastAsia"/>
          <w:noProof/>
          <w:color w:val="000000" w:themeColor="text1"/>
        </w:rPr>
        <w:t xml:space="preserve">reduce </w:t>
      </w:r>
      <w:r w:rsidR="0063507D" w:rsidRPr="00DE264C">
        <w:rPr>
          <w:rStyle w:val="normaltextrun"/>
          <w:noProof/>
          <w:color w:val="000000" w:themeColor="text1"/>
        </w:rPr>
        <w:t xml:space="preserve">the cost of </w:t>
      </w:r>
      <w:r w:rsidR="00AE418A" w:rsidRPr="00DE264C">
        <w:rPr>
          <w:rStyle w:val="normaltextrun"/>
          <w:noProof/>
          <w:color w:val="000000" w:themeColor="text1"/>
        </w:rPr>
        <w:t>satellite authori</w:t>
      </w:r>
      <w:r w:rsidRPr="00DE264C">
        <w:rPr>
          <w:rStyle w:val="normaltextrun"/>
          <w:noProof/>
          <w:color w:val="000000" w:themeColor="text1"/>
        </w:rPr>
        <w:t>s</w:t>
      </w:r>
      <w:r w:rsidR="00AE418A" w:rsidRPr="00DE264C">
        <w:rPr>
          <w:rStyle w:val="normaltextrun"/>
          <w:noProof/>
          <w:color w:val="000000" w:themeColor="text1"/>
        </w:rPr>
        <w:t xml:space="preserve">ation </w:t>
      </w:r>
      <w:r w:rsidRPr="00DE264C">
        <w:rPr>
          <w:rStyle w:val="normaltextrun"/>
          <w:noProof/>
          <w:color w:val="000000" w:themeColor="text1"/>
        </w:rPr>
        <w:t>for satellite operators</w:t>
      </w:r>
      <w:r w:rsidR="003C172E">
        <w:rPr>
          <w:rStyle w:val="normaltextrun"/>
          <w:noProof/>
          <w:color w:val="000000" w:themeColor="text1"/>
        </w:rPr>
        <w:t>,</w:t>
      </w:r>
      <w:r w:rsidRPr="00DE264C">
        <w:rPr>
          <w:rStyle w:val="normaltextrun"/>
          <w:noProof/>
          <w:color w:val="000000" w:themeColor="text1"/>
        </w:rPr>
        <w:t xml:space="preserve"> providers and national authorities</w:t>
      </w:r>
      <w:r w:rsidR="00DA42CB" w:rsidRPr="00DE264C">
        <w:rPr>
          <w:rStyle w:val="normaltextrun"/>
          <w:noProof/>
          <w:color w:val="000000" w:themeColor="text1"/>
        </w:rPr>
        <w:t>.</w:t>
      </w:r>
      <w:r w:rsidRPr="00DE264C">
        <w:rPr>
          <w:rStyle w:val="normaltextrun"/>
          <w:noProof/>
          <w:color w:val="000000" w:themeColor="text1"/>
        </w:rPr>
        <w:t xml:space="preserve"> </w:t>
      </w:r>
      <w:r w:rsidR="00DA42CB" w:rsidRPr="00DE264C">
        <w:rPr>
          <w:rStyle w:val="normaltextrun"/>
          <w:noProof/>
          <w:color w:val="000000" w:themeColor="text1"/>
        </w:rPr>
        <w:t>A satellite operator willing to provide services across the EU</w:t>
      </w:r>
      <w:r w:rsidR="00451A00" w:rsidRPr="00DE264C">
        <w:rPr>
          <w:rStyle w:val="normaltextrun"/>
          <w:noProof/>
          <w:color w:val="000000" w:themeColor="text1"/>
        </w:rPr>
        <w:t xml:space="preserve"> would not need to follow </w:t>
      </w:r>
      <w:r w:rsidR="004245C8" w:rsidRPr="00DE264C">
        <w:rPr>
          <w:rStyle w:val="normaltextrun"/>
          <w:noProof/>
          <w:color w:val="000000" w:themeColor="text1"/>
        </w:rPr>
        <w:t>27 authori</w:t>
      </w:r>
      <w:r w:rsidR="00DA42CB" w:rsidRPr="00DE264C">
        <w:rPr>
          <w:rStyle w:val="normaltextrun"/>
          <w:noProof/>
          <w:color w:val="000000" w:themeColor="text1"/>
        </w:rPr>
        <w:t>s</w:t>
      </w:r>
      <w:r w:rsidR="004245C8" w:rsidRPr="00DE264C">
        <w:rPr>
          <w:rStyle w:val="normaltextrun"/>
          <w:noProof/>
          <w:color w:val="000000" w:themeColor="text1"/>
        </w:rPr>
        <w:t xml:space="preserve">ation </w:t>
      </w:r>
      <w:r w:rsidR="00451A00" w:rsidRPr="00DE264C">
        <w:rPr>
          <w:rStyle w:val="normaltextrun"/>
          <w:noProof/>
          <w:color w:val="000000" w:themeColor="text1"/>
        </w:rPr>
        <w:t>processes</w:t>
      </w:r>
      <w:r w:rsidR="004245C8" w:rsidRPr="00DE264C">
        <w:rPr>
          <w:rStyle w:val="normaltextrun"/>
          <w:noProof/>
          <w:color w:val="000000" w:themeColor="text1"/>
        </w:rPr>
        <w:t>,</w:t>
      </w:r>
      <w:r w:rsidR="00DA42CB" w:rsidRPr="00DE264C">
        <w:rPr>
          <w:rStyle w:val="normaltextrun"/>
          <w:noProof/>
          <w:color w:val="000000" w:themeColor="text1"/>
        </w:rPr>
        <w:t xml:space="preserve"> respect 27 sets of authorisation conditions</w:t>
      </w:r>
      <w:r w:rsidR="00957FAF" w:rsidRPr="00DE264C">
        <w:rPr>
          <w:rStyle w:val="normaltextrun"/>
          <w:noProof/>
          <w:color w:val="000000" w:themeColor="text1"/>
        </w:rPr>
        <w:t xml:space="preserve">, </w:t>
      </w:r>
      <w:r w:rsidR="000C2C7F" w:rsidRPr="00DE264C">
        <w:rPr>
          <w:rStyle w:val="normaltextrun"/>
          <w:noProof/>
          <w:color w:val="000000" w:themeColor="text1"/>
        </w:rPr>
        <w:t xml:space="preserve">which </w:t>
      </w:r>
      <w:r w:rsidR="0008587B" w:rsidRPr="00DE264C">
        <w:rPr>
          <w:rStyle w:val="normaltextrun"/>
          <w:noProof/>
          <w:color w:val="000000" w:themeColor="text1"/>
        </w:rPr>
        <w:t>include</w:t>
      </w:r>
      <w:r w:rsidR="00957FAF" w:rsidRPr="00DE264C">
        <w:rPr>
          <w:rStyle w:val="normaltextrun"/>
          <w:noProof/>
          <w:color w:val="000000" w:themeColor="text1"/>
        </w:rPr>
        <w:t xml:space="preserve"> </w:t>
      </w:r>
      <w:r w:rsidR="00B722A9" w:rsidRPr="00DE264C">
        <w:rPr>
          <w:rStyle w:val="normaltextrun"/>
          <w:noProof/>
          <w:color w:val="000000" w:themeColor="text1"/>
        </w:rPr>
        <w:t xml:space="preserve">diverse </w:t>
      </w:r>
      <w:r w:rsidR="00E53E27" w:rsidRPr="00DE264C">
        <w:rPr>
          <w:rStyle w:val="normaltextrun"/>
          <w:noProof/>
          <w:color w:val="000000" w:themeColor="text1"/>
        </w:rPr>
        <w:t xml:space="preserve">and costly </w:t>
      </w:r>
      <w:r w:rsidR="00957FAF" w:rsidRPr="00DE264C">
        <w:rPr>
          <w:rStyle w:val="normaltextrun"/>
          <w:noProof/>
          <w:color w:val="000000" w:themeColor="text1"/>
        </w:rPr>
        <w:t>reporting</w:t>
      </w:r>
      <w:r w:rsidR="00F536A8" w:rsidRPr="00DE264C">
        <w:rPr>
          <w:rStyle w:val="normaltextrun"/>
          <w:noProof/>
          <w:color w:val="000000" w:themeColor="text1"/>
        </w:rPr>
        <w:t xml:space="preserve"> </w:t>
      </w:r>
      <w:r w:rsidR="0008587B" w:rsidRPr="00DE264C">
        <w:rPr>
          <w:rStyle w:val="normaltextrun"/>
          <w:noProof/>
          <w:color w:val="000000" w:themeColor="text1"/>
        </w:rPr>
        <w:t xml:space="preserve">obligations </w:t>
      </w:r>
      <w:r w:rsidR="00F536A8" w:rsidRPr="00DE264C">
        <w:rPr>
          <w:rStyle w:val="normaltextrun"/>
          <w:noProof/>
          <w:color w:val="000000" w:themeColor="text1"/>
        </w:rPr>
        <w:t>and</w:t>
      </w:r>
      <w:r w:rsidR="0008587B" w:rsidRPr="00DE264C">
        <w:rPr>
          <w:rStyle w:val="normaltextrun"/>
          <w:noProof/>
          <w:color w:val="000000" w:themeColor="text1"/>
        </w:rPr>
        <w:t xml:space="preserve"> ineffective</w:t>
      </w:r>
      <w:r w:rsidR="00F536A8" w:rsidRPr="00DE264C">
        <w:rPr>
          <w:rStyle w:val="normaltextrun"/>
          <w:noProof/>
          <w:color w:val="000000" w:themeColor="text1"/>
        </w:rPr>
        <w:t xml:space="preserve"> enforcement</w:t>
      </w:r>
      <w:r w:rsidR="0008587B" w:rsidRPr="00DE264C">
        <w:rPr>
          <w:rStyle w:val="normaltextrun"/>
          <w:noProof/>
          <w:color w:val="000000" w:themeColor="text1"/>
        </w:rPr>
        <w:t xml:space="preserve"> measures</w:t>
      </w:r>
      <w:r w:rsidR="00F536A8" w:rsidRPr="00DE264C">
        <w:rPr>
          <w:rStyle w:val="normaltextrun"/>
          <w:noProof/>
          <w:color w:val="000000" w:themeColor="text1"/>
        </w:rPr>
        <w:t>,</w:t>
      </w:r>
      <w:r w:rsidR="009F2458" w:rsidRPr="00DE264C">
        <w:rPr>
          <w:rStyle w:val="normaltextrun"/>
          <w:noProof/>
          <w:color w:val="000000" w:themeColor="text1"/>
        </w:rPr>
        <w:t xml:space="preserve"> and obtain spectrum rights in all Member States. On the contrary</w:t>
      </w:r>
      <w:r w:rsidR="00D265C2" w:rsidRPr="00DE264C">
        <w:rPr>
          <w:rStyle w:val="normaltextrun"/>
          <w:noProof/>
          <w:color w:val="000000" w:themeColor="text1"/>
        </w:rPr>
        <w:t>,</w:t>
      </w:r>
      <w:r w:rsidR="004245C8" w:rsidRPr="00DE264C">
        <w:rPr>
          <w:rStyle w:val="normaltextrun"/>
          <w:noProof/>
          <w:color w:val="000000" w:themeColor="text1"/>
        </w:rPr>
        <w:t xml:space="preserve"> t</w:t>
      </w:r>
      <w:r w:rsidR="00A745A4" w:rsidRPr="00DE264C">
        <w:rPr>
          <w:rStyle w:val="normaltextrun"/>
          <w:noProof/>
          <w:color w:val="000000" w:themeColor="text1"/>
        </w:rPr>
        <w:t>he</w:t>
      </w:r>
      <w:r w:rsidR="00A745A4" w:rsidRPr="00DE264C">
        <w:rPr>
          <w:rStyle w:val="normaltextrun"/>
          <w:rFonts w:eastAsiaTheme="minorEastAsia"/>
          <w:noProof/>
          <w:color w:val="000000" w:themeColor="text1"/>
        </w:rPr>
        <w:t xml:space="preserve"> </w:t>
      </w:r>
      <w:r w:rsidR="0063507D" w:rsidRPr="00DE264C">
        <w:rPr>
          <w:rStyle w:val="normaltextrun"/>
          <w:rFonts w:eastAsiaTheme="minorEastAsia"/>
          <w:noProof/>
          <w:color w:val="000000" w:themeColor="text1"/>
        </w:rPr>
        <w:t>Commission</w:t>
      </w:r>
      <w:r w:rsidR="0063507D" w:rsidRPr="00DE264C">
        <w:rPr>
          <w:rStyle w:val="normaltextrun"/>
          <w:noProof/>
          <w:color w:val="000000" w:themeColor="text1"/>
        </w:rPr>
        <w:t xml:space="preserve">, with the assistance of the </w:t>
      </w:r>
      <w:r w:rsidR="00D265C2" w:rsidRPr="00DE264C">
        <w:rPr>
          <w:rStyle w:val="normaltextrun"/>
          <w:noProof/>
          <w:color w:val="000000" w:themeColor="text1"/>
        </w:rPr>
        <w:t>Office</w:t>
      </w:r>
      <w:r w:rsidR="0063507D" w:rsidRPr="00DE264C">
        <w:rPr>
          <w:rStyle w:val="normaltextrun"/>
          <w:noProof/>
          <w:color w:val="000000" w:themeColor="text1"/>
        </w:rPr>
        <w:t xml:space="preserve">, </w:t>
      </w:r>
      <w:r w:rsidR="0063507D" w:rsidRPr="00DE264C">
        <w:rPr>
          <w:rStyle w:val="normaltextrun"/>
          <w:rFonts w:eastAsiaTheme="minorEastAsia"/>
          <w:noProof/>
          <w:color w:val="000000" w:themeColor="text1"/>
        </w:rPr>
        <w:t xml:space="preserve">would receive the </w:t>
      </w:r>
      <w:r w:rsidR="0063507D" w:rsidRPr="00DE264C">
        <w:rPr>
          <w:rStyle w:val="normaltextrun"/>
          <w:noProof/>
          <w:color w:val="000000" w:themeColor="text1"/>
        </w:rPr>
        <w:t xml:space="preserve">requests and </w:t>
      </w:r>
      <w:r w:rsidR="0063507D" w:rsidRPr="00DE264C">
        <w:rPr>
          <w:rStyle w:val="normaltextrun"/>
          <w:rFonts w:eastAsiaTheme="minorEastAsia"/>
          <w:noProof/>
          <w:color w:val="000000" w:themeColor="text1"/>
        </w:rPr>
        <w:t xml:space="preserve">issue the </w:t>
      </w:r>
      <w:r w:rsidR="00693CCF" w:rsidRPr="00DE264C">
        <w:rPr>
          <w:rStyle w:val="normaltextrun"/>
          <w:noProof/>
          <w:color w:val="000000" w:themeColor="text1"/>
        </w:rPr>
        <w:t xml:space="preserve">authorisations </w:t>
      </w:r>
      <w:r w:rsidR="0063507D" w:rsidRPr="00DE264C">
        <w:rPr>
          <w:rStyle w:val="normaltextrun"/>
          <w:noProof/>
          <w:color w:val="000000" w:themeColor="text1"/>
        </w:rPr>
        <w:t xml:space="preserve">to provide </w:t>
      </w:r>
      <w:r w:rsidR="00FD1028" w:rsidRPr="00DE264C">
        <w:rPr>
          <w:rStyle w:val="normaltextrun"/>
          <w:noProof/>
          <w:color w:val="000000" w:themeColor="text1"/>
        </w:rPr>
        <w:t xml:space="preserve">satellite </w:t>
      </w:r>
      <w:r w:rsidR="0063507D" w:rsidRPr="00DE264C">
        <w:rPr>
          <w:rStyle w:val="normaltextrun"/>
          <w:noProof/>
          <w:color w:val="000000" w:themeColor="text1"/>
        </w:rPr>
        <w:t>services</w:t>
      </w:r>
      <w:r w:rsidR="00693CCF" w:rsidRPr="00DE264C">
        <w:rPr>
          <w:rStyle w:val="normaltextrun"/>
          <w:noProof/>
          <w:color w:val="000000" w:themeColor="text1"/>
        </w:rPr>
        <w:t xml:space="preserve"> as well as </w:t>
      </w:r>
      <w:r w:rsidR="0063507D" w:rsidRPr="00DE264C">
        <w:rPr>
          <w:rStyle w:val="normaltextrun"/>
          <w:rFonts w:eastAsiaTheme="minorEastAsia"/>
          <w:noProof/>
          <w:color w:val="000000" w:themeColor="text1"/>
        </w:rPr>
        <w:t>authorisations</w:t>
      </w:r>
      <w:r w:rsidR="0063507D" w:rsidRPr="00DE264C">
        <w:rPr>
          <w:rStyle w:val="normaltextrun"/>
          <w:noProof/>
          <w:color w:val="000000" w:themeColor="text1"/>
        </w:rPr>
        <w:t xml:space="preserve"> to use spectrum</w:t>
      </w:r>
      <w:r w:rsidR="0063507D" w:rsidRPr="00DE264C">
        <w:rPr>
          <w:rStyle w:val="normaltextrun"/>
          <w:rFonts w:eastAsiaTheme="minorEastAsia"/>
          <w:noProof/>
          <w:color w:val="000000" w:themeColor="text1"/>
        </w:rPr>
        <w:t xml:space="preserve"> including individual rights of use of spectrum</w:t>
      </w:r>
      <w:r w:rsidR="0063507D" w:rsidRPr="00DE264C">
        <w:rPr>
          <w:rStyle w:val="normaltextrun"/>
          <w:noProof/>
          <w:color w:val="000000" w:themeColor="text1"/>
        </w:rPr>
        <w:t xml:space="preserve">, </w:t>
      </w:r>
      <w:r w:rsidR="00347F70" w:rsidRPr="00DE264C">
        <w:rPr>
          <w:rStyle w:val="normaltextrun"/>
          <w:noProof/>
          <w:color w:val="000000" w:themeColor="text1"/>
        </w:rPr>
        <w:t xml:space="preserve">either </w:t>
      </w:r>
      <w:r w:rsidR="0063507D" w:rsidRPr="00DE264C">
        <w:rPr>
          <w:rStyle w:val="normaltextrun"/>
          <w:noProof/>
          <w:color w:val="000000" w:themeColor="text1"/>
        </w:rPr>
        <w:t xml:space="preserve">in </w:t>
      </w:r>
      <w:r w:rsidR="00347F70" w:rsidRPr="00DE264C">
        <w:rPr>
          <w:rStyle w:val="normaltextrun"/>
          <w:noProof/>
          <w:color w:val="000000" w:themeColor="text1"/>
        </w:rPr>
        <w:t xml:space="preserve">some </w:t>
      </w:r>
      <w:r w:rsidR="0063507D" w:rsidRPr="00DE264C">
        <w:rPr>
          <w:rStyle w:val="normaltextrun"/>
          <w:noProof/>
          <w:color w:val="000000" w:themeColor="text1"/>
        </w:rPr>
        <w:t xml:space="preserve">Member States where the provider wishes to provide services, </w:t>
      </w:r>
      <w:r w:rsidR="00347F70" w:rsidRPr="00DE264C">
        <w:rPr>
          <w:rStyle w:val="normaltextrun"/>
          <w:noProof/>
          <w:color w:val="000000" w:themeColor="text1"/>
        </w:rPr>
        <w:t xml:space="preserve">or </w:t>
      </w:r>
      <w:r w:rsidR="0063507D" w:rsidRPr="00DE264C">
        <w:rPr>
          <w:rStyle w:val="normaltextrun"/>
          <w:noProof/>
          <w:color w:val="000000" w:themeColor="text1"/>
        </w:rPr>
        <w:t xml:space="preserve">in the entire EU. </w:t>
      </w:r>
      <w:r w:rsidR="00CF2F70" w:rsidRPr="00DE264C">
        <w:rPr>
          <w:rStyle w:val="normaltextrun"/>
          <w:noProof/>
          <w:color w:val="000000" w:themeColor="text1"/>
        </w:rPr>
        <w:t>The authorisation conditions</w:t>
      </w:r>
      <w:r w:rsidR="00315846" w:rsidRPr="00DE264C">
        <w:rPr>
          <w:rStyle w:val="normaltextrun"/>
          <w:noProof/>
          <w:color w:val="000000" w:themeColor="text1"/>
        </w:rPr>
        <w:t>,</w:t>
      </w:r>
      <w:r w:rsidR="001B1CC2" w:rsidRPr="00DE264C">
        <w:rPr>
          <w:rStyle w:val="normaltextrun"/>
          <w:noProof/>
          <w:color w:val="000000" w:themeColor="text1"/>
        </w:rPr>
        <w:t xml:space="preserve"> including reporting </w:t>
      </w:r>
      <w:r w:rsidR="00B45848" w:rsidRPr="00DE264C">
        <w:rPr>
          <w:rStyle w:val="normaltextrun"/>
          <w:noProof/>
          <w:color w:val="000000" w:themeColor="text1"/>
        </w:rPr>
        <w:t>elements</w:t>
      </w:r>
      <w:r w:rsidR="001B1CC2" w:rsidRPr="00DE264C">
        <w:rPr>
          <w:rStyle w:val="normaltextrun"/>
          <w:noProof/>
          <w:color w:val="000000" w:themeColor="text1"/>
        </w:rPr>
        <w:t>,</w:t>
      </w:r>
      <w:r w:rsidR="00CF2F70" w:rsidRPr="00DE264C">
        <w:rPr>
          <w:rStyle w:val="normaltextrun"/>
          <w:noProof/>
          <w:color w:val="000000" w:themeColor="text1"/>
        </w:rPr>
        <w:t xml:space="preserve"> would be common across the EU and developed with the assistance of the Office and the RSPG. </w:t>
      </w:r>
      <w:r w:rsidR="00811420" w:rsidRPr="00DE264C">
        <w:rPr>
          <w:rStyle w:val="normaltextrun"/>
          <w:noProof/>
          <w:color w:val="000000" w:themeColor="text1"/>
        </w:rPr>
        <w:t>The</w:t>
      </w:r>
      <w:r w:rsidR="0063507D" w:rsidRPr="00DE264C">
        <w:rPr>
          <w:rStyle w:val="normaltextrun"/>
          <w:noProof/>
          <w:color w:val="000000" w:themeColor="text1"/>
        </w:rPr>
        <w:t xml:space="preserve"> Commission </w:t>
      </w:r>
      <w:r w:rsidR="00811420" w:rsidRPr="00DE264C">
        <w:rPr>
          <w:rStyle w:val="normaltextrun"/>
          <w:noProof/>
          <w:color w:val="000000" w:themeColor="text1"/>
        </w:rPr>
        <w:t>would also ensure</w:t>
      </w:r>
      <w:r w:rsidR="0063507D" w:rsidRPr="00DE264C">
        <w:rPr>
          <w:rStyle w:val="normaltextrun"/>
          <w:noProof/>
          <w:color w:val="000000" w:themeColor="text1"/>
        </w:rPr>
        <w:t xml:space="preserve"> selection at EU level in case of spectrum scarcity.</w:t>
      </w:r>
      <w:r w:rsidR="0063507D" w:rsidRPr="00DE264C">
        <w:rPr>
          <w:rStyle w:val="normaltextrun"/>
          <w:rFonts w:eastAsiaTheme="minorEastAsia"/>
          <w:noProof/>
          <w:color w:val="000000" w:themeColor="text1"/>
        </w:rPr>
        <w:t xml:space="preserve"> </w:t>
      </w:r>
    </w:p>
    <w:p w14:paraId="501166FC" w14:textId="21B52293" w:rsidR="00D42BA3" w:rsidRDefault="00765823" w:rsidP="00DE7CC1">
      <w:pPr>
        <w:pStyle w:val="Text2"/>
        <w:spacing w:line="240" w:lineRule="auto"/>
        <w:ind w:left="0"/>
        <w:rPr>
          <w:rStyle w:val="normaltextrun"/>
          <w:rFonts w:eastAsiaTheme="minorEastAsia"/>
          <w:noProof/>
          <w:color w:val="000000" w:themeColor="text1"/>
        </w:rPr>
      </w:pPr>
      <w:r>
        <w:rPr>
          <w:noProof/>
        </w:rPr>
        <w:t>T</w:t>
      </w:r>
      <w:r w:rsidR="00D42BA3" w:rsidRPr="00292895">
        <w:rPr>
          <w:noProof/>
        </w:rPr>
        <w:t>he elimination of duplicative and fragmented regulatory processes</w:t>
      </w:r>
      <w:r>
        <w:rPr>
          <w:noProof/>
        </w:rPr>
        <w:t xml:space="preserve"> will make it easier</w:t>
      </w:r>
      <w:r w:rsidR="006551BE">
        <w:rPr>
          <w:noProof/>
        </w:rPr>
        <w:t xml:space="preserve"> </w:t>
      </w:r>
      <w:r w:rsidR="00D52F22">
        <w:rPr>
          <w:noProof/>
        </w:rPr>
        <w:t xml:space="preserve">and less costly </w:t>
      </w:r>
      <w:r w:rsidR="006551BE">
        <w:rPr>
          <w:noProof/>
        </w:rPr>
        <w:t>for</w:t>
      </w:r>
      <w:r w:rsidR="00D42BA3" w:rsidRPr="00292895">
        <w:rPr>
          <w:noProof/>
        </w:rPr>
        <w:t xml:space="preserve"> </w:t>
      </w:r>
      <w:r w:rsidR="00E73A84">
        <w:rPr>
          <w:noProof/>
        </w:rPr>
        <w:t xml:space="preserve">satellite </w:t>
      </w:r>
      <w:r w:rsidR="00D42BA3" w:rsidRPr="00292895">
        <w:rPr>
          <w:noProof/>
        </w:rPr>
        <w:t xml:space="preserve">operators to comply with authorisation conditions </w:t>
      </w:r>
      <w:r w:rsidR="006551BE">
        <w:rPr>
          <w:noProof/>
        </w:rPr>
        <w:t xml:space="preserve">and </w:t>
      </w:r>
      <w:r w:rsidR="00F0168D">
        <w:rPr>
          <w:noProof/>
        </w:rPr>
        <w:t xml:space="preserve">will ensure they can </w:t>
      </w:r>
      <w:r w:rsidR="006551BE">
        <w:rPr>
          <w:noProof/>
        </w:rPr>
        <w:t>obtain quicklier</w:t>
      </w:r>
      <w:r w:rsidR="00F0168D">
        <w:rPr>
          <w:noProof/>
        </w:rPr>
        <w:t xml:space="preserve"> </w:t>
      </w:r>
      <w:r w:rsidR="00D52F22">
        <w:rPr>
          <w:noProof/>
        </w:rPr>
        <w:t xml:space="preserve">EU-wide </w:t>
      </w:r>
      <w:r w:rsidR="00783CF5">
        <w:rPr>
          <w:noProof/>
        </w:rPr>
        <w:t>authorisation and</w:t>
      </w:r>
      <w:r w:rsidR="00D52F22">
        <w:rPr>
          <w:noProof/>
        </w:rPr>
        <w:t xml:space="preserve"> will </w:t>
      </w:r>
      <w:r w:rsidR="00F0168D">
        <w:rPr>
          <w:noProof/>
        </w:rPr>
        <w:t xml:space="preserve">considerably reduce the risk of </w:t>
      </w:r>
      <w:r w:rsidR="00F0168D" w:rsidRPr="00DE264C">
        <w:rPr>
          <w:noProof/>
        </w:rPr>
        <w:t>lost revenue</w:t>
      </w:r>
      <w:r w:rsidR="00F0168D">
        <w:rPr>
          <w:noProof/>
        </w:rPr>
        <w:t xml:space="preserve">s in specific </w:t>
      </w:r>
      <w:r w:rsidR="00244008">
        <w:rPr>
          <w:noProof/>
        </w:rPr>
        <w:t xml:space="preserve">Member States, </w:t>
      </w:r>
      <w:r w:rsidR="003A5FF9">
        <w:rPr>
          <w:noProof/>
        </w:rPr>
        <w:t>d</w:t>
      </w:r>
      <w:r w:rsidR="00244008">
        <w:rPr>
          <w:noProof/>
        </w:rPr>
        <w:t>ue to delays in national authorisations</w:t>
      </w:r>
      <w:r w:rsidR="003A5FF9">
        <w:rPr>
          <w:rStyle w:val="FootnoteReference"/>
          <w:noProof/>
        </w:rPr>
        <w:footnoteReference w:id="278"/>
      </w:r>
      <w:r w:rsidR="00244008">
        <w:rPr>
          <w:noProof/>
        </w:rPr>
        <w:t>.</w:t>
      </w:r>
    </w:p>
    <w:p w14:paraId="12A49676" w14:textId="32316382" w:rsidR="0063507D" w:rsidRPr="00DE264C" w:rsidRDefault="00B45848" w:rsidP="00DE7CC1">
      <w:pPr>
        <w:pStyle w:val="Text2"/>
        <w:spacing w:line="240" w:lineRule="auto"/>
        <w:ind w:left="0"/>
        <w:rPr>
          <w:rStyle w:val="eop"/>
          <w:rFonts w:eastAsiaTheme="minorEastAsia"/>
          <w:noProof/>
          <w:color w:val="000000" w:themeColor="text1"/>
        </w:rPr>
      </w:pPr>
      <w:r w:rsidRPr="00DE264C">
        <w:rPr>
          <w:rStyle w:val="normaltextrun"/>
          <w:rFonts w:eastAsiaTheme="minorEastAsia"/>
          <w:noProof/>
          <w:color w:val="000000" w:themeColor="text1"/>
        </w:rPr>
        <w:t>Further</w:t>
      </w:r>
      <w:r w:rsidR="00145101">
        <w:rPr>
          <w:rStyle w:val="normaltextrun"/>
          <w:rFonts w:eastAsiaTheme="minorEastAsia"/>
          <w:noProof/>
          <w:color w:val="000000" w:themeColor="text1"/>
        </w:rPr>
        <w:t>,</w:t>
      </w:r>
      <w:r w:rsidRPr="00DE264C">
        <w:rPr>
          <w:rStyle w:val="normaltextrun"/>
          <w:rFonts w:eastAsiaTheme="minorEastAsia"/>
          <w:noProof/>
          <w:color w:val="000000" w:themeColor="text1"/>
        </w:rPr>
        <w:t xml:space="preserve"> t</w:t>
      </w:r>
      <w:r w:rsidR="0063507D" w:rsidRPr="00DE264C">
        <w:rPr>
          <w:rStyle w:val="normaltextrun"/>
          <w:rFonts w:eastAsiaTheme="minorEastAsia"/>
          <w:noProof/>
          <w:color w:val="000000" w:themeColor="text1"/>
        </w:rPr>
        <w:t xml:space="preserve">here would be </w:t>
      </w:r>
      <w:r w:rsidR="0063507D" w:rsidRPr="00DE264C">
        <w:rPr>
          <w:rStyle w:val="normaltextrun"/>
          <w:noProof/>
          <w:color w:val="000000" w:themeColor="text1"/>
        </w:rPr>
        <w:t xml:space="preserve">a </w:t>
      </w:r>
      <w:r w:rsidR="0063507D" w:rsidRPr="00DE264C">
        <w:rPr>
          <w:rStyle w:val="normaltextrun"/>
          <w:b/>
          <w:noProof/>
          <w:color w:val="000000" w:themeColor="text1"/>
        </w:rPr>
        <w:t xml:space="preserve">binding </w:t>
      </w:r>
      <w:r w:rsidR="0063507D" w:rsidRPr="00DE264C">
        <w:rPr>
          <w:rStyle w:val="normaltextrun"/>
          <w:rFonts w:eastAsiaTheme="minorEastAsia"/>
          <w:b/>
          <w:noProof/>
          <w:color w:val="000000" w:themeColor="text1"/>
        </w:rPr>
        <w:t>EU-</w:t>
      </w:r>
      <w:r w:rsidR="0063507D" w:rsidRPr="00DE264C">
        <w:rPr>
          <w:rStyle w:val="normaltextrun"/>
          <w:b/>
          <w:noProof/>
          <w:color w:val="000000" w:themeColor="text1"/>
        </w:rPr>
        <w:t>level</w:t>
      </w:r>
      <w:r w:rsidR="001879B8" w:rsidRPr="00DE264C">
        <w:rPr>
          <w:rStyle w:val="normaltextrun"/>
          <w:b/>
          <w:noProof/>
          <w:color w:val="000000" w:themeColor="text1"/>
        </w:rPr>
        <w:t xml:space="preserve"> </w:t>
      </w:r>
      <w:r w:rsidR="0063507D" w:rsidRPr="00DE264C">
        <w:rPr>
          <w:rStyle w:val="normaltextrun"/>
          <w:b/>
          <w:noProof/>
          <w:color w:val="000000" w:themeColor="text1"/>
        </w:rPr>
        <w:t>compliance</w:t>
      </w:r>
      <w:r w:rsidR="0063507D" w:rsidRPr="00DE264C">
        <w:rPr>
          <w:rStyle w:val="normaltextrun"/>
          <w:rFonts w:eastAsiaTheme="minorEastAsia"/>
          <w:b/>
          <w:noProof/>
          <w:color w:val="000000" w:themeColor="text1"/>
        </w:rPr>
        <w:t xml:space="preserve"> and enforcement framework</w:t>
      </w:r>
      <w:r w:rsidR="0063507D" w:rsidRPr="00DE264C">
        <w:rPr>
          <w:rStyle w:val="normaltextrun"/>
          <w:rFonts w:eastAsiaTheme="minorEastAsia"/>
          <w:noProof/>
          <w:color w:val="000000" w:themeColor="text1"/>
        </w:rPr>
        <w:t xml:space="preserve"> for </w:t>
      </w:r>
      <w:r w:rsidR="0063507D" w:rsidRPr="00DE264C">
        <w:rPr>
          <w:rStyle w:val="normaltextrun"/>
          <w:noProof/>
          <w:color w:val="000000" w:themeColor="text1"/>
        </w:rPr>
        <w:t>ensuring that</w:t>
      </w:r>
      <w:r w:rsidR="0063507D" w:rsidRPr="00DE264C">
        <w:rPr>
          <w:rStyle w:val="normaltextrun"/>
          <w:rFonts w:eastAsiaTheme="minorEastAsia"/>
          <w:noProof/>
          <w:color w:val="000000" w:themeColor="text1"/>
        </w:rPr>
        <w:t xml:space="preserve"> satellite constellations’ access to the EU market </w:t>
      </w:r>
      <w:r w:rsidR="0063507D" w:rsidRPr="00DE264C">
        <w:rPr>
          <w:rStyle w:val="normaltextrun"/>
          <w:noProof/>
          <w:color w:val="000000" w:themeColor="text1"/>
        </w:rPr>
        <w:t xml:space="preserve">complies </w:t>
      </w:r>
      <w:r w:rsidR="0063507D" w:rsidRPr="00DE264C">
        <w:rPr>
          <w:rStyle w:val="normaltextrun"/>
          <w:rFonts w:eastAsiaTheme="minorEastAsia"/>
          <w:noProof/>
          <w:color w:val="000000" w:themeColor="text1"/>
        </w:rPr>
        <w:t xml:space="preserve">with the common conditions </w:t>
      </w:r>
      <w:r w:rsidR="0063507D" w:rsidRPr="00DE264C">
        <w:rPr>
          <w:rStyle w:val="normaltextrun"/>
          <w:noProof/>
          <w:color w:val="000000" w:themeColor="text1"/>
        </w:rPr>
        <w:t>in line with</w:t>
      </w:r>
      <w:r w:rsidR="0063507D" w:rsidRPr="00DE264C">
        <w:rPr>
          <w:rStyle w:val="normaltextrun"/>
          <w:rFonts w:eastAsiaTheme="minorEastAsia"/>
          <w:noProof/>
          <w:color w:val="000000" w:themeColor="text1"/>
        </w:rPr>
        <w:t xml:space="preserve"> international law.</w:t>
      </w:r>
      <w:r w:rsidR="0063507D" w:rsidRPr="00DE264C">
        <w:rPr>
          <w:rStyle w:val="normaltextrun"/>
          <w:noProof/>
          <w:color w:val="000000" w:themeColor="text1"/>
        </w:rPr>
        <w:t xml:space="preserve"> </w:t>
      </w:r>
      <w:r w:rsidR="00841646" w:rsidRPr="00DE264C">
        <w:rPr>
          <w:rStyle w:val="normaltextrun"/>
          <w:noProof/>
          <w:color w:val="000000" w:themeColor="text1"/>
        </w:rPr>
        <w:t>E</w:t>
      </w:r>
      <w:r w:rsidR="0063507D" w:rsidRPr="00DE264C">
        <w:rPr>
          <w:rStyle w:val="normaltextrun"/>
          <w:noProof/>
          <w:color w:val="000000" w:themeColor="text1"/>
        </w:rPr>
        <w:t>nforcement at EU level (including withdrawal of the authorisation for the entire single market) would be</w:t>
      </w:r>
      <w:r w:rsidR="005C02E8" w:rsidRPr="00DE264C">
        <w:rPr>
          <w:rStyle w:val="normaltextrun"/>
          <w:noProof/>
          <w:color w:val="000000" w:themeColor="text1"/>
        </w:rPr>
        <w:t xml:space="preserve"> effectively</w:t>
      </w:r>
      <w:r w:rsidR="0063507D" w:rsidRPr="00DE264C">
        <w:rPr>
          <w:rStyle w:val="normaltextrun"/>
          <w:noProof/>
          <w:color w:val="000000" w:themeColor="text1"/>
        </w:rPr>
        <w:t xml:space="preserve"> </w:t>
      </w:r>
      <w:r w:rsidR="00FA08E2" w:rsidRPr="00DE264C">
        <w:rPr>
          <w:rStyle w:val="normaltextrun"/>
          <w:noProof/>
          <w:color w:val="000000" w:themeColor="text1"/>
        </w:rPr>
        <w:t>addressing interference issues</w:t>
      </w:r>
      <w:r w:rsidR="002666C5">
        <w:rPr>
          <w:rStyle w:val="normaltextrun"/>
          <w:noProof/>
          <w:color w:val="000000" w:themeColor="text1"/>
        </w:rPr>
        <w:t xml:space="preserve"> </w:t>
      </w:r>
      <w:r w:rsidR="00C61AB6">
        <w:rPr>
          <w:rStyle w:val="normaltextrun"/>
          <w:noProof/>
          <w:color w:val="000000" w:themeColor="text1"/>
        </w:rPr>
        <w:t xml:space="preserve">simplifying the </w:t>
      </w:r>
      <w:r w:rsidR="00783CF5">
        <w:rPr>
          <w:rStyle w:val="normaltextrun"/>
          <w:noProof/>
          <w:color w:val="000000" w:themeColor="text1"/>
        </w:rPr>
        <w:t xml:space="preserve">possibility </w:t>
      </w:r>
      <w:r w:rsidR="00C61AB6">
        <w:rPr>
          <w:rStyle w:val="normaltextrun"/>
          <w:noProof/>
          <w:color w:val="000000" w:themeColor="text1"/>
        </w:rPr>
        <w:t>for operators</w:t>
      </w:r>
      <w:r w:rsidR="00783CF5">
        <w:rPr>
          <w:rStyle w:val="normaltextrun"/>
          <w:noProof/>
          <w:color w:val="000000" w:themeColor="text1"/>
        </w:rPr>
        <w:t xml:space="preserve"> to be protected from harmful interference</w:t>
      </w:r>
      <w:r w:rsidR="00FA08E2" w:rsidRPr="00DE264C">
        <w:rPr>
          <w:rStyle w:val="normaltextrun"/>
          <w:noProof/>
          <w:color w:val="000000" w:themeColor="text1"/>
        </w:rPr>
        <w:t xml:space="preserve"> </w:t>
      </w:r>
      <w:r w:rsidR="0063507D" w:rsidRPr="00DE264C">
        <w:rPr>
          <w:rStyle w:val="normaltextrun"/>
          <w:noProof/>
          <w:color w:val="000000" w:themeColor="text1"/>
        </w:rPr>
        <w:t>and</w:t>
      </w:r>
      <w:r w:rsidR="00847134" w:rsidRPr="00DE264C">
        <w:rPr>
          <w:rStyle w:val="normaltextrun"/>
          <w:noProof/>
          <w:color w:val="000000" w:themeColor="text1"/>
        </w:rPr>
        <w:t>, at the same time, it</w:t>
      </w:r>
      <w:r w:rsidR="0063507D" w:rsidRPr="00DE264C">
        <w:rPr>
          <w:rStyle w:val="normaltextrun"/>
          <w:noProof/>
          <w:color w:val="000000" w:themeColor="text1"/>
        </w:rPr>
        <w:t xml:space="preserve"> would incentivise preventively the respect of the authorisation requirements.</w:t>
      </w:r>
    </w:p>
    <w:p w14:paraId="5536916C" w14:textId="769F263C" w:rsidR="009409F1" w:rsidRPr="00DE264C" w:rsidRDefault="009409F1" w:rsidP="009B7E6B">
      <w:pPr>
        <w:pStyle w:val="Heading2"/>
        <w:rPr>
          <w:noProof/>
        </w:rPr>
      </w:pPr>
      <w:bookmarkStart w:id="462" w:name="_Toc214467762"/>
      <w:bookmarkStart w:id="463" w:name="_Toc215083784"/>
      <w:bookmarkStart w:id="464" w:name="_Toc219212550"/>
      <w:bookmarkStart w:id="465" w:name="_Toc219718205"/>
      <w:r w:rsidRPr="00DE264C">
        <w:rPr>
          <w:noProof/>
        </w:rPr>
        <w:t>Application of the ‘one in, one out’ approach</w:t>
      </w:r>
      <w:bookmarkEnd w:id="462"/>
      <w:bookmarkEnd w:id="463"/>
      <w:bookmarkEnd w:id="464"/>
      <w:bookmarkEnd w:id="465"/>
    </w:p>
    <w:p w14:paraId="40523DEE" w14:textId="12640581" w:rsidR="00B65E15" w:rsidRPr="00DE264C" w:rsidRDefault="002E4BD7" w:rsidP="00DE7CC1">
      <w:pPr>
        <w:spacing w:line="240" w:lineRule="auto"/>
        <w:rPr>
          <w:noProof/>
        </w:rPr>
      </w:pPr>
      <w:r>
        <w:rPr>
          <w:noProof/>
        </w:rPr>
        <w:t>T</w:t>
      </w:r>
      <w:r w:rsidR="00556A7B" w:rsidRPr="00DE264C">
        <w:rPr>
          <w:noProof/>
        </w:rPr>
        <w:t>he OIOO</w:t>
      </w:r>
      <w:r w:rsidR="00D76ACA">
        <w:rPr>
          <w:noProof/>
        </w:rPr>
        <w:t xml:space="preserve"> assessment examines exclusively the administrative costs and administrative cost savings resulting from the preferred policy option</w:t>
      </w:r>
      <w:r w:rsidR="00846908">
        <w:rPr>
          <w:noProof/>
        </w:rPr>
        <w:t>s</w:t>
      </w:r>
      <w:r w:rsidR="00D76ACA">
        <w:rPr>
          <w:noProof/>
        </w:rPr>
        <w:t xml:space="preserve">. </w:t>
      </w:r>
      <w:r w:rsidR="00311CC1">
        <w:rPr>
          <w:noProof/>
        </w:rPr>
        <w:t xml:space="preserve">The preferred policy </w:t>
      </w:r>
      <w:r w:rsidR="00D76ACA">
        <w:rPr>
          <w:noProof/>
        </w:rPr>
        <w:t>option</w:t>
      </w:r>
      <w:r w:rsidR="00311CC1">
        <w:rPr>
          <w:noProof/>
        </w:rPr>
        <w:t xml:space="preserve"> </w:t>
      </w:r>
      <w:r w:rsidR="0084366A">
        <w:rPr>
          <w:noProof/>
        </w:rPr>
        <w:t>for transition to fibre</w:t>
      </w:r>
      <w:r w:rsidR="00311CC1">
        <w:rPr>
          <w:noProof/>
        </w:rPr>
        <w:t xml:space="preserve"> introduces limited new administrative </w:t>
      </w:r>
      <w:r w:rsidR="00F91D89">
        <w:rPr>
          <w:noProof/>
        </w:rPr>
        <w:t>burdens for business, primarily linked</w:t>
      </w:r>
      <w:r w:rsidR="000863ED" w:rsidRPr="00DE264C">
        <w:rPr>
          <w:noProof/>
        </w:rPr>
        <w:t xml:space="preserve"> to the </w:t>
      </w:r>
      <w:r w:rsidR="00C463FE">
        <w:rPr>
          <w:noProof/>
        </w:rPr>
        <w:t>conditional</w:t>
      </w:r>
      <w:r w:rsidR="000863ED" w:rsidRPr="00DE264C">
        <w:rPr>
          <w:noProof/>
        </w:rPr>
        <w:t xml:space="preserve"> copper switch-off</w:t>
      </w:r>
      <w:r w:rsidR="00B702D0">
        <w:rPr>
          <w:noProof/>
        </w:rPr>
        <w:t xml:space="preserve">. These relate to information, notification, coordination and reporting obligations </w:t>
      </w:r>
      <w:r w:rsidR="00F25D14">
        <w:rPr>
          <w:noProof/>
        </w:rPr>
        <w:t xml:space="preserve">vis-à-vis national authorities and affected stakeholders. As summarised in Annex </w:t>
      </w:r>
      <w:r w:rsidR="002E455F">
        <w:rPr>
          <w:noProof/>
        </w:rPr>
        <w:t>3</w:t>
      </w:r>
      <w:r w:rsidR="00F25D14">
        <w:rPr>
          <w:noProof/>
        </w:rPr>
        <w:t>, these new administrative re</w:t>
      </w:r>
      <w:r w:rsidR="007B219A">
        <w:rPr>
          <w:noProof/>
        </w:rPr>
        <w:t xml:space="preserve">quirements are estimated to result in </w:t>
      </w:r>
      <w:r w:rsidR="00B76126">
        <w:rPr>
          <w:noProof/>
        </w:rPr>
        <w:t>approximately E</w:t>
      </w:r>
      <w:r w:rsidR="00EA1B8A">
        <w:rPr>
          <w:noProof/>
        </w:rPr>
        <w:t>UR</w:t>
      </w:r>
      <w:r w:rsidR="002E455F">
        <w:rPr>
          <w:noProof/>
        </w:rPr>
        <w:t> </w:t>
      </w:r>
      <w:r w:rsidR="00C463FE">
        <w:rPr>
          <w:noProof/>
        </w:rPr>
        <w:t>73</w:t>
      </w:r>
      <w:r w:rsidR="00B76126">
        <w:rPr>
          <w:noProof/>
        </w:rPr>
        <w:t xml:space="preserve"> million in </w:t>
      </w:r>
      <w:r w:rsidR="00CD61E4" w:rsidRPr="00DE264C">
        <w:rPr>
          <w:noProof/>
        </w:rPr>
        <w:t>one-off</w:t>
      </w:r>
      <w:r w:rsidR="00ED522E">
        <w:rPr>
          <w:noProof/>
        </w:rPr>
        <w:t xml:space="preserve"> administrative</w:t>
      </w:r>
      <w:r w:rsidR="00CD61E4" w:rsidRPr="00DE264C">
        <w:rPr>
          <w:noProof/>
        </w:rPr>
        <w:t xml:space="preserve"> cost</w:t>
      </w:r>
      <w:r w:rsidR="00ED522E">
        <w:rPr>
          <w:noProof/>
        </w:rPr>
        <w:t>s</w:t>
      </w:r>
      <w:r w:rsidR="00CD61E4" w:rsidRPr="00DE264C">
        <w:rPr>
          <w:noProof/>
        </w:rPr>
        <w:t xml:space="preserve">, </w:t>
      </w:r>
      <w:r w:rsidR="00270129">
        <w:rPr>
          <w:noProof/>
        </w:rPr>
        <w:t xml:space="preserve">mainly reflecting </w:t>
      </w:r>
      <w:r w:rsidR="00116F40">
        <w:rPr>
          <w:noProof/>
        </w:rPr>
        <w:t>efforts</w:t>
      </w:r>
      <w:r w:rsidR="002C3206">
        <w:rPr>
          <w:noProof/>
        </w:rPr>
        <w:t xml:space="preserve"> to prepare for copper swith-off plans and the new market analysis methods</w:t>
      </w:r>
      <w:r w:rsidR="00270129">
        <w:rPr>
          <w:noProof/>
        </w:rPr>
        <w:t>, and approximately EUR</w:t>
      </w:r>
      <w:r w:rsidR="002E455F">
        <w:rPr>
          <w:noProof/>
        </w:rPr>
        <w:t> </w:t>
      </w:r>
      <w:r w:rsidR="00C463FE">
        <w:rPr>
          <w:noProof/>
        </w:rPr>
        <w:t>3</w:t>
      </w:r>
      <w:r w:rsidR="00270129">
        <w:rPr>
          <w:noProof/>
        </w:rPr>
        <w:t>8 million in recurring administrative costs per year</w:t>
      </w:r>
      <w:r w:rsidR="00E2249E">
        <w:rPr>
          <w:noProof/>
        </w:rPr>
        <w:t>.</w:t>
      </w:r>
    </w:p>
    <w:p w14:paraId="2C4C26CA" w14:textId="2233D824" w:rsidR="00D23517" w:rsidRDefault="00D23517" w:rsidP="00DE7CC1">
      <w:pPr>
        <w:spacing w:line="240" w:lineRule="auto"/>
        <w:rPr>
          <w:noProof/>
        </w:rPr>
      </w:pPr>
      <w:r>
        <w:rPr>
          <w:noProof/>
        </w:rPr>
        <w:t>At the same time, the preferred policy option is expected to generate administrative cost savings through the harmonisation of authorisation conditions and the simplification of regulatory requirements. These measures are expected to reduce administrative burdens for ECNs and ECS</w:t>
      </w:r>
      <w:r w:rsidR="003826AA">
        <w:rPr>
          <w:noProof/>
        </w:rPr>
        <w:t>, in particular those operating cross-border, by streamlining information requirements, reducing duplication of procedures and lowering ongoing monitoring and compliance efforts</w:t>
      </w:r>
      <w:r w:rsidR="00C463FE">
        <w:rPr>
          <w:noProof/>
        </w:rPr>
        <w:t xml:space="preserve"> (</w:t>
      </w:r>
      <w:r w:rsidR="00C463FE" w:rsidRPr="00C463FE">
        <w:rPr>
          <w:noProof/>
        </w:rPr>
        <w:t>around EUR</w:t>
      </w:r>
      <w:r w:rsidR="008E33E8">
        <w:rPr>
          <w:noProof/>
        </w:rPr>
        <w:t> </w:t>
      </w:r>
      <w:r w:rsidR="002C3206">
        <w:rPr>
          <w:noProof/>
        </w:rPr>
        <w:t>60</w:t>
      </w:r>
      <w:r w:rsidR="00C463FE">
        <w:rPr>
          <w:noProof/>
        </w:rPr>
        <w:t xml:space="preserve"> million reduction</w:t>
      </w:r>
      <w:r w:rsidR="00C463FE" w:rsidRPr="00C463FE">
        <w:rPr>
          <w:noProof/>
        </w:rPr>
        <w:t xml:space="preserve"> across all </w:t>
      </w:r>
      <w:r w:rsidR="00380193">
        <w:rPr>
          <w:noProof/>
        </w:rPr>
        <w:t>M</w:t>
      </w:r>
      <w:r w:rsidR="00C463FE" w:rsidRPr="00C463FE">
        <w:rPr>
          <w:noProof/>
        </w:rPr>
        <w:t xml:space="preserve">ember </w:t>
      </w:r>
      <w:r w:rsidR="00380193">
        <w:rPr>
          <w:noProof/>
        </w:rPr>
        <w:t>S</w:t>
      </w:r>
      <w:r w:rsidR="00C463FE" w:rsidRPr="00C463FE">
        <w:rPr>
          <w:noProof/>
        </w:rPr>
        <w:t>tates</w:t>
      </w:r>
      <w:r w:rsidR="002C3206">
        <w:rPr>
          <w:noProof/>
        </w:rPr>
        <w:t xml:space="preserve"> per year</w:t>
      </w:r>
      <w:r w:rsidR="00C463FE">
        <w:rPr>
          <w:noProof/>
        </w:rPr>
        <w:t>)</w:t>
      </w:r>
      <w:r w:rsidR="003826AA">
        <w:rPr>
          <w:noProof/>
        </w:rPr>
        <w:t>. While stakeholders confirmed the relevance of these administrative cost savings, the available information do not allow for a robust quantification. These savin</w:t>
      </w:r>
      <w:r w:rsidR="004A52D6">
        <w:rPr>
          <w:noProof/>
        </w:rPr>
        <w:t>g</w:t>
      </w:r>
      <w:r w:rsidR="003826AA">
        <w:rPr>
          <w:noProof/>
        </w:rPr>
        <w:t xml:space="preserve">s are therefore assessed </w:t>
      </w:r>
      <w:r w:rsidR="009D5EED">
        <w:rPr>
          <w:noProof/>
        </w:rPr>
        <w:t xml:space="preserve">qualitatively as moderate and recurring, as reflected in Annex </w:t>
      </w:r>
      <w:r w:rsidR="004A52D6">
        <w:rPr>
          <w:noProof/>
        </w:rPr>
        <w:t>3</w:t>
      </w:r>
      <w:r w:rsidR="009D5EED">
        <w:rPr>
          <w:noProof/>
        </w:rPr>
        <w:t>.</w:t>
      </w:r>
    </w:p>
    <w:p w14:paraId="2975C9B5" w14:textId="19785BA3" w:rsidR="006B087E" w:rsidRPr="00DE264C" w:rsidRDefault="009D5EED" w:rsidP="00DE7CC1">
      <w:pPr>
        <w:spacing w:line="240" w:lineRule="auto"/>
        <w:rPr>
          <w:noProof/>
        </w:rPr>
      </w:pPr>
      <w:r>
        <w:rPr>
          <w:noProof/>
        </w:rPr>
        <w:t>Due to</w:t>
      </w:r>
      <w:r w:rsidRPr="00DE264C">
        <w:rPr>
          <w:noProof/>
        </w:rPr>
        <w:t xml:space="preserve"> </w:t>
      </w:r>
      <w:r w:rsidR="00556A7B" w:rsidRPr="00DE264C">
        <w:rPr>
          <w:noProof/>
        </w:rPr>
        <w:t xml:space="preserve">the limitations in </w:t>
      </w:r>
      <w:r>
        <w:rPr>
          <w:noProof/>
        </w:rPr>
        <w:t xml:space="preserve">quantifying the </w:t>
      </w:r>
      <w:r w:rsidR="00620006">
        <w:rPr>
          <w:noProof/>
        </w:rPr>
        <w:t>administrative</w:t>
      </w:r>
      <w:r>
        <w:rPr>
          <w:noProof/>
        </w:rPr>
        <w:t xml:space="preserve"> </w:t>
      </w:r>
      <w:r w:rsidR="00556A7B" w:rsidRPr="00DE264C">
        <w:rPr>
          <w:noProof/>
        </w:rPr>
        <w:t>cos</w:t>
      </w:r>
      <w:r>
        <w:rPr>
          <w:noProof/>
        </w:rPr>
        <w:t>t savings</w:t>
      </w:r>
      <w:r w:rsidR="00620006">
        <w:rPr>
          <w:noProof/>
        </w:rPr>
        <w:t>, a quantified net balance under the OIOO principle cannot be established.</w:t>
      </w:r>
      <w:r w:rsidR="00556A7B" w:rsidRPr="00DE264C">
        <w:rPr>
          <w:noProof/>
        </w:rPr>
        <w:t xml:space="preserve"> However, </w:t>
      </w:r>
      <w:r w:rsidR="00620006">
        <w:rPr>
          <w:noProof/>
        </w:rPr>
        <w:t xml:space="preserve">taking into account the limited </w:t>
      </w:r>
      <w:r w:rsidR="00846667">
        <w:rPr>
          <w:noProof/>
        </w:rPr>
        <w:t xml:space="preserve">magnitude of the identified one-off and recurring administrative costs and the presence of non-quantified but </w:t>
      </w:r>
      <w:r w:rsidR="007129E5">
        <w:rPr>
          <w:noProof/>
        </w:rPr>
        <w:t>substantiated</w:t>
      </w:r>
      <w:r w:rsidR="00882C2A">
        <w:rPr>
          <w:noProof/>
        </w:rPr>
        <w:t xml:space="preserve"> recurring administrative cost savings, the preferred policy option is expected to be broadly </w:t>
      </w:r>
      <w:r w:rsidR="007129E5">
        <w:rPr>
          <w:noProof/>
        </w:rPr>
        <w:t>neutral</w:t>
      </w:r>
      <w:r w:rsidR="00882C2A">
        <w:rPr>
          <w:noProof/>
        </w:rPr>
        <w:t xml:space="preserve"> to positive in </w:t>
      </w:r>
      <w:r w:rsidR="00091356">
        <w:rPr>
          <w:noProof/>
        </w:rPr>
        <w:t xml:space="preserve">terms of administrative burden over time. As indicated in Annex </w:t>
      </w:r>
      <w:r w:rsidR="00CF0263">
        <w:rPr>
          <w:noProof/>
        </w:rPr>
        <w:t>3</w:t>
      </w:r>
      <w:r w:rsidR="00091356">
        <w:rPr>
          <w:noProof/>
        </w:rPr>
        <w:t xml:space="preserve">, the recurrent administrative burden is therefore assessed as </w:t>
      </w:r>
      <w:r w:rsidR="007129E5">
        <w:rPr>
          <w:noProof/>
        </w:rPr>
        <w:t>a net OUT under the OIOO framework.</w:t>
      </w:r>
    </w:p>
    <w:p w14:paraId="26C7E6B1" w14:textId="5FF15273" w:rsidR="006B087E" w:rsidRPr="00DE264C" w:rsidRDefault="006B087E" w:rsidP="000E3086">
      <w:pPr>
        <w:pStyle w:val="Heading1"/>
        <w:rPr>
          <w:noProof/>
          <w:lang w:val="en-GB"/>
        </w:rPr>
      </w:pPr>
      <w:bookmarkStart w:id="466" w:name="_Toc208396197"/>
      <w:bookmarkStart w:id="467" w:name="_Toc214467763"/>
      <w:bookmarkStart w:id="468" w:name="_Toc215083785"/>
      <w:bookmarkStart w:id="469" w:name="_Toc219212551"/>
      <w:bookmarkStart w:id="470" w:name="_Toc219718206"/>
      <w:r w:rsidRPr="00EE3D94">
        <w:rPr>
          <w:noProof/>
        </w:rPr>
        <w:t>How will actual impacts be monitored and evaluated?</w:t>
      </w:r>
      <w:bookmarkEnd w:id="466"/>
      <w:bookmarkEnd w:id="467"/>
      <w:bookmarkEnd w:id="468"/>
      <w:bookmarkEnd w:id="469"/>
      <w:bookmarkEnd w:id="470"/>
    </w:p>
    <w:p w14:paraId="7DC8219A" w14:textId="4CC6FAEC" w:rsidR="00145E9D" w:rsidRPr="00DE264C" w:rsidRDefault="00145E9D" w:rsidP="00DE7CC1">
      <w:pPr>
        <w:spacing w:line="240" w:lineRule="auto"/>
        <w:rPr>
          <w:noProof/>
        </w:rPr>
      </w:pPr>
      <w:r w:rsidRPr="00DE264C">
        <w:rPr>
          <w:noProof/>
        </w:rPr>
        <w:t xml:space="preserve">In the following table, we relate the problems </w:t>
      </w:r>
      <w:r w:rsidR="00B930E8" w:rsidRPr="00DE264C">
        <w:rPr>
          <w:noProof/>
        </w:rPr>
        <w:t xml:space="preserve">and related objective </w:t>
      </w:r>
      <w:r w:rsidRPr="00DE264C">
        <w:rPr>
          <w:noProof/>
        </w:rPr>
        <w:t>identified in the context of this Impact Assessment to</w:t>
      </w:r>
      <w:r w:rsidR="00D840FC" w:rsidRPr="00DE264C">
        <w:rPr>
          <w:noProof/>
        </w:rPr>
        <w:t xml:space="preserve"> the</w:t>
      </w:r>
      <w:r w:rsidRPr="00DE264C">
        <w:rPr>
          <w:noProof/>
        </w:rPr>
        <w:t xml:space="preserve"> specific indicators</w:t>
      </w:r>
      <w:r w:rsidR="00D840FC" w:rsidRPr="00DE264C">
        <w:rPr>
          <w:noProof/>
        </w:rPr>
        <w:t xml:space="preserve"> proposed to measure the success.</w:t>
      </w:r>
      <w:r w:rsidR="00711FF9" w:rsidRPr="00DE264C">
        <w:rPr>
          <w:noProof/>
        </w:rPr>
        <w:t xml:space="preserve"> Further details about the indicators can be found in </w:t>
      </w:r>
      <w:r w:rsidR="00FC79C9">
        <w:rPr>
          <w:noProof/>
        </w:rPr>
        <w:t>S</w:t>
      </w:r>
      <w:r w:rsidR="00440740">
        <w:rPr>
          <w:noProof/>
        </w:rPr>
        <w:t>ection</w:t>
      </w:r>
      <w:r w:rsidR="00EE3618" w:rsidRPr="00DE264C">
        <w:rPr>
          <w:noProof/>
        </w:rPr>
        <w:t xml:space="preserve"> 2 of </w:t>
      </w:r>
      <w:r w:rsidR="00711FF9" w:rsidRPr="00DE264C">
        <w:rPr>
          <w:noProof/>
        </w:rPr>
        <w:t xml:space="preserve">Annex </w:t>
      </w:r>
      <w:r w:rsidR="00EE3618" w:rsidRPr="00DE264C">
        <w:rPr>
          <w:noProof/>
        </w:rPr>
        <w:t>9.</w:t>
      </w:r>
    </w:p>
    <w:p w14:paraId="52977DF4" w14:textId="6EAE89A1" w:rsidR="0010370E" w:rsidRPr="0010005F" w:rsidRDefault="0010370E" w:rsidP="006E70AB">
      <w:pPr>
        <w:pStyle w:val="CommentText"/>
        <w:keepNext/>
        <w:keepLines/>
        <w:spacing w:before="120" w:after="120"/>
        <w:rPr>
          <w:rFonts w:eastAsia="Times New Roman"/>
          <w:i/>
          <w:noProof/>
          <w:color w:val="000000" w:themeColor="text1"/>
          <w:sz w:val="24"/>
          <w:szCs w:val="24"/>
          <w:u w:val="single"/>
        </w:rPr>
      </w:pPr>
      <w:r w:rsidRPr="0010005F">
        <w:rPr>
          <w:rFonts w:eastAsia="Times New Roman"/>
          <w:i/>
          <w:iCs/>
          <w:noProof/>
          <w:color w:val="000000" w:themeColor="text1"/>
          <w:sz w:val="24"/>
          <w:szCs w:val="24"/>
          <w:u w:val="single"/>
        </w:rPr>
        <w:t>Table 3</w:t>
      </w:r>
      <w:r w:rsidR="00CB62D4">
        <w:rPr>
          <w:rFonts w:eastAsia="Times New Roman"/>
          <w:i/>
          <w:iCs/>
          <w:noProof/>
          <w:color w:val="000000" w:themeColor="text1"/>
          <w:sz w:val="24"/>
          <w:szCs w:val="24"/>
          <w:u w:val="single"/>
        </w:rPr>
        <w:t>2</w:t>
      </w:r>
      <w:r w:rsidRPr="0010005F">
        <w:rPr>
          <w:rFonts w:eastAsia="Times New Roman"/>
          <w:i/>
          <w:iCs/>
          <w:noProof/>
          <w:color w:val="000000" w:themeColor="text1"/>
          <w:sz w:val="24"/>
          <w:szCs w:val="24"/>
          <w:u w:val="single"/>
        </w:rPr>
        <w:t>:</w:t>
      </w:r>
      <w:r w:rsidRPr="0010005F">
        <w:rPr>
          <w:noProof/>
          <w:sz w:val="24"/>
          <w:szCs w:val="24"/>
          <w:u w:val="single"/>
        </w:rPr>
        <w:t xml:space="preserve"> </w:t>
      </w:r>
      <w:r w:rsidRPr="0010005F">
        <w:rPr>
          <w:rFonts w:eastAsia="Times New Roman"/>
          <w:i/>
          <w:iCs/>
          <w:noProof/>
          <w:color w:val="000000" w:themeColor="text1"/>
          <w:sz w:val="24"/>
          <w:szCs w:val="24"/>
          <w:u w:val="single"/>
        </w:rPr>
        <w:t xml:space="preserve">Links between </w:t>
      </w:r>
      <w:r w:rsidR="004D10B5" w:rsidRPr="0010005F">
        <w:rPr>
          <w:rFonts w:eastAsia="Times New Roman"/>
          <w:i/>
          <w:iCs/>
          <w:noProof/>
          <w:color w:val="000000" w:themeColor="text1"/>
          <w:sz w:val="24"/>
          <w:szCs w:val="24"/>
          <w:u w:val="single"/>
        </w:rPr>
        <w:t>problems, specific objectives and indicators</w:t>
      </w:r>
      <w:r w:rsidRPr="0010005F">
        <w:rPr>
          <w:rFonts w:eastAsia="Times New Roman"/>
          <w:i/>
          <w:iCs/>
          <w:noProof/>
          <w:color w:val="000000" w:themeColor="text1"/>
          <w:sz w:val="24"/>
          <w:szCs w:val="24"/>
          <w:u w:val="single"/>
        </w:rPr>
        <w:t xml:space="preserve"> </w:t>
      </w:r>
    </w:p>
    <w:tbl>
      <w:tblPr>
        <w:tblStyle w:val="TableGrid"/>
        <w:tblW w:w="9488" w:type="dxa"/>
        <w:tblInd w:w="0" w:type="dxa"/>
        <w:tblLayout w:type="fixed"/>
        <w:tblLook w:val="04A0" w:firstRow="1" w:lastRow="0" w:firstColumn="1" w:lastColumn="0" w:noHBand="0" w:noVBand="1"/>
      </w:tblPr>
      <w:tblGrid>
        <w:gridCol w:w="2258"/>
        <w:gridCol w:w="2268"/>
        <w:gridCol w:w="4962"/>
      </w:tblGrid>
      <w:tr w:rsidR="00936967" w:rsidRPr="00DE264C" w14:paraId="0EFF6406" w14:textId="77777777" w:rsidTr="00DE5E5D">
        <w:trPr>
          <w:trHeight w:val="273"/>
          <w:tblHeader/>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tcPr>
          <w:p w14:paraId="77B5A493" w14:textId="2C7E2F8B" w:rsidR="00936967" w:rsidRPr="00173816" w:rsidRDefault="004B2F0F" w:rsidP="00173816">
            <w:pPr>
              <w:rPr>
                <w:noProof/>
                <w:sz w:val="20"/>
                <w:szCs w:val="20"/>
              </w:rPr>
            </w:pPr>
            <w:r w:rsidRPr="00173816">
              <w:rPr>
                <w:noProof/>
                <w:sz w:val="20"/>
                <w:szCs w:val="20"/>
              </w:rPr>
              <w:t>Problem</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0E77971D" w14:textId="1573E90F" w:rsidR="00936967" w:rsidRPr="00173816" w:rsidRDefault="004B2F0F" w:rsidP="00173816">
            <w:pPr>
              <w:rPr>
                <w:noProof/>
                <w:sz w:val="20"/>
                <w:szCs w:val="20"/>
              </w:rPr>
            </w:pPr>
            <w:r w:rsidRPr="00173816">
              <w:rPr>
                <w:noProof/>
                <w:sz w:val="20"/>
                <w:szCs w:val="20"/>
              </w:rPr>
              <w:t>Objective</w:t>
            </w:r>
          </w:p>
        </w:tc>
        <w:tc>
          <w:tcPr>
            <w:tcW w:w="4962" w:type="dxa"/>
            <w:tcBorders>
              <w:top w:val="single" w:sz="8" w:space="0" w:color="auto"/>
              <w:left w:val="single" w:sz="8" w:space="0" w:color="auto"/>
              <w:bottom w:val="single" w:sz="8" w:space="0" w:color="auto"/>
              <w:right w:val="single" w:sz="8" w:space="0" w:color="auto"/>
            </w:tcBorders>
            <w:tcMar>
              <w:left w:w="108" w:type="dxa"/>
              <w:right w:w="108" w:type="dxa"/>
            </w:tcMar>
          </w:tcPr>
          <w:p w14:paraId="1CECE2D1" w14:textId="1C1244B0" w:rsidR="00936967" w:rsidRPr="00173816" w:rsidRDefault="00936967" w:rsidP="00173816">
            <w:pPr>
              <w:rPr>
                <w:noProof/>
                <w:sz w:val="20"/>
                <w:szCs w:val="20"/>
              </w:rPr>
            </w:pPr>
            <w:r w:rsidRPr="00173816">
              <w:rPr>
                <w:noProof/>
                <w:sz w:val="20"/>
                <w:szCs w:val="20"/>
              </w:rPr>
              <w:t>Indicator</w:t>
            </w:r>
            <w:r w:rsidR="00730AEE" w:rsidRPr="00173816">
              <w:rPr>
                <w:noProof/>
                <w:sz w:val="20"/>
                <w:szCs w:val="20"/>
              </w:rPr>
              <w:t>s</w:t>
            </w:r>
          </w:p>
        </w:tc>
      </w:tr>
      <w:tr w:rsidR="00936967" w:rsidRPr="00DE264C" w14:paraId="0DD24A65" w14:textId="77777777" w:rsidTr="00DE5E5D">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tcPr>
          <w:p w14:paraId="76ACFEE3" w14:textId="1E8B9D41" w:rsidR="00936967" w:rsidRPr="00DE264C" w:rsidRDefault="00D92039" w:rsidP="00173816">
            <w:pPr>
              <w:rPr>
                <w:noProof/>
                <w:sz w:val="20"/>
                <w:szCs w:val="20"/>
                <w:lang w:val="en-IE"/>
              </w:rPr>
            </w:pPr>
            <w:r w:rsidRPr="00D35A43">
              <w:rPr>
                <w:noProof/>
                <w:sz w:val="20"/>
              </w:rPr>
              <w:t>Fixed networks: Slow deployment and adoption of fibre networks and services</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65BB39F5" w14:textId="4CA40CED" w:rsidR="00936967" w:rsidRPr="00DE264C" w:rsidRDefault="009731B7" w:rsidP="00173816">
            <w:pPr>
              <w:rPr>
                <w:noProof/>
                <w:sz w:val="20"/>
                <w:szCs w:val="20"/>
              </w:rPr>
            </w:pPr>
            <w:r>
              <w:rPr>
                <w:noProof/>
                <w:sz w:val="20"/>
                <w:szCs w:val="20"/>
              </w:rPr>
              <w:t>Swift roll-out and take-up of fibre</w:t>
            </w:r>
          </w:p>
        </w:tc>
        <w:tc>
          <w:tcPr>
            <w:tcW w:w="4962" w:type="dxa"/>
            <w:tcBorders>
              <w:top w:val="single" w:sz="8" w:space="0" w:color="auto"/>
              <w:left w:val="single" w:sz="8" w:space="0" w:color="auto"/>
              <w:bottom w:val="single" w:sz="8" w:space="0" w:color="auto"/>
              <w:right w:val="single" w:sz="8" w:space="0" w:color="auto"/>
            </w:tcBorders>
            <w:tcMar>
              <w:left w:w="108" w:type="dxa"/>
              <w:right w:w="108" w:type="dxa"/>
            </w:tcMar>
          </w:tcPr>
          <w:p w14:paraId="15020BF3" w14:textId="77777777" w:rsidR="00730AEE" w:rsidRPr="00DE264C" w:rsidRDefault="00730AEE" w:rsidP="00173816">
            <w:pPr>
              <w:rPr>
                <w:noProof/>
                <w:sz w:val="20"/>
                <w:szCs w:val="20"/>
              </w:rPr>
            </w:pPr>
            <w:r w:rsidRPr="00DE264C">
              <w:rPr>
                <w:noProof/>
                <w:sz w:val="20"/>
                <w:szCs w:val="20"/>
              </w:rPr>
              <w:t>FTTH homes passed absolute and as % HH</w:t>
            </w:r>
          </w:p>
          <w:p w14:paraId="0A912BF8" w14:textId="77777777" w:rsidR="00730AEE" w:rsidRPr="00DE264C" w:rsidRDefault="00730AEE" w:rsidP="00173816">
            <w:pPr>
              <w:rPr>
                <w:noProof/>
                <w:sz w:val="20"/>
                <w:szCs w:val="20"/>
              </w:rPr>
            </w:pPr>
            <w:r w:rsidRPr="00DE264C">
              <w:rPr>
                <w:noProof/>
                <w:sz w:val="20"/>
                <w:szCs w:val="20"/>
              </w:rPr>
              <w:t>FTTH homes connected</w:t>
            </w:r>
          </w:p>
          <w:p w14:paraId="5AAB50A2" w14:textId="7E506F87" w:rsidR="00936967" w:rsidRPr="00DE264C" w:rsidRDefault="00730AEE" w:rsidP="00173816">
            <w:pPr>
              <w:rPr>
                <w:noProof/>
                <w:sz w:val="20"/>
                <w:szCs w:val="20"/>
              </w:rPr>
            </w:pPr>
            <w:r w:rsidRPr="00DE264C">
              <w:rPr>
                <w:noProof/>
                <w:sz w:val="20"/>
                <w:szCs w:val="20"/>
              </w:rPr>
              <w:t>Take-up FTTH</w:t>
            </w:r>
          </w:p>
        </w:tc>
      </w:tr>
      <w:tr w:rsidR="00CA720F" w:rsidRPr="00DE264C" w14:paraId="3BEAEDB0" w14:textId="77777777" w:rsidTr="00DE5E5D">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tcPr>
          <w:p w14:paraId="29B32F5C" w14:textId="4C90B18B" w:rsidR="00CA720F" w:rsidRPr="00DE264C" w:rsidRDefault="00233C7E" w:rsidP="00173816">
            <w:pPr>
              <w:rPr>
                <w:noProof/>
                <w:sz w:val="20"/>
                <w:szCs w:val="20"/>
                <w:lang w:val="en-IE"/>
              </w:rPr>
            </w:pPr>
            <w:r w:rsidRPr="00D35A43">
              <w:rPr>
                <w:noProof/>
                <w:sz w:val="20"/>
              </w:rPr>
              <w:t xml:space="preserve">Mobile networks: </w:t>
            </w:r>
            <w:r w:rsidR="0031739F" w:rsidRPr="00D35A43">
              <w:rPr>
                <w:noProof/>
                <w:sz w:val="20"/>
              </w:rPr>
              <w:t>insufficient</w:t>
            </w:r>
            <w:r w:rsidRPr="00D35A43">
              <w:rPr>
                <w:noProof/>
                <w:sz w:val="20"/>
              </w:rPr>
              <w:t xml:space="preserve"> investment </w:t>
            </w:r>
            <w:r w:rsidR="00313F45" w:rsidRPr="00D35A43">
              <w:rPr>
                <w:noProof/>
                <w:sz w:val="20"/>
              </w:rPr>
              <w:t>in high</w:t>
            </w:r>
            <w:r w:rsidR="00017477" w:rsidRPr="00D35A43">
              <w:rPr>
                <w:noProof/>
                <w:sz w:val="20"/>
              </w:rPr>
              <w:t xml:space="preserve"> quality mobile connectivity</w:t>
            </w:r>
            <w:r w:rsidR="00017477" w:rsidRPr="00173816">
              <w:rPr>
                <w:noProof/>
                <w:sz w:val="20"/>
                <w:szCs w:val="20"/>
              </w:rPr>
              <w:t xml:space="preserve">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5A2C9E22" w14:textId="0EE4EB8F" w:rsidR="00CA720F" w:rsidRPr="00DE264C" w:rsidRDefault="00A13353" w:rsidP="00173816">
            <w:pPr>
              <w:rPr>
                <w:noProof/>
                <w:sz w:val="20"/>
              </w:rPr>
            </w:pPr>
            <w:bookmarkStart w:id="471" w:name="_Toc215083786"/>
            <w:bookmarkStart w:id="472" w:name="_Toc214467764"/>
            <w:r w:rsidRPr="00173816">
              <w:rPr>
                <w:noProof/>
                <w:sz w:val="20"/>
                <w:szCs w:val="20"/>
              </w:rPr>
              <w:t xml:space="preserve">Close the gap with competing regions in </w:t>
            </w:r>
            <w:r w:rsidR="0031739F" w:rsidRPr="00173816">
              <w:rPr>
                <w:noProof/>
                <w:sz w:val="20"/>
                <w:szCs w:val="20"/>
              </w:rPr>
              <w:t xml:space="preserve">the </w:t>
            </w:r>
            <w:r w:rsidRPr="00173816">
              <w:rPr>
                <w:noProof/>
                <w:sz w:val="20"/>
                <w:szCs w:val="20"/>
              </w:rPr>
              <w:t xml:space="preserve">quality </w:t>
            </w:r>
            <w:r w:rsidR="00317150" w:rsidRPr="00173816">
              <w:rPr>
                <w:noProof/>
                <w:sz w:val="20"/>
                <w:szCs w:val="20"/>
              </w:rPr>
              <w:t>mobile</w:t>
            </w:r>
            <w:r w:rsidR="00F744C5" w:rsidRPr="00173816">
              <w:rPr>
                <w:noProof/>
                <w:sz w:val="20"/>
                <w:szCs w:val="20"/>
              </w:rPr>
              <w:t xml:space="preserve"> </w:t>
            </w:r>
            <w:r w:rsidRPr="00173816">
              <w:rPr>
                <w:noProof/>
                <w:sz w:val="20"/>
                <w:szCs w:val="20"/>
              </w:rPr>
              <w:t>networks</w:t>
            </w:r>
            <w:bookmarkEnd w:id="471"/>
            <w:r w:rsidRPr="00173816">
              <w:rPr>
                <w:noProof/>
                <w:sz w:val="20"/>
                <w:szCs w:val="20"/>
              </w:rPr>
              <w:t xml:space="preserve"> </w:t>
            </w:r>
            <w:bookmarkEnd w:id="472"/>
          </w:p>
        </w:tc>
        <w:tc>
          <w:tcPr>
            <w:tcW w:w="4962" w:type="dxa"/>
            <w:tcBorders>
              <w:top w:val="single" w:sz="8" w:space="0" w:color="auto"/>
              <w:left w:val="single" w:sz="8" w:space="0" w:color="auto"/>
              <w:bottom w:val="single" w:sz="8" w:space="0" w:color="auto"/>
              <w:right w:val="single" w:sz="8" w:space="0" w:color="auto"/>
            </w:tcBorders>
            <w:tcMar>
              <w:left w:w="108" w:type="dxa"/>
              <w:right w:w="108" w:type="dxa"/>
            </w:tcMar>
          </w:tcPr>
          <w:p w14:paraId="618812BF" w14:textId="77777777" w:rsidR="00C06E18" w:rsidRPr="00DE264C" w:rsidRDefault="00C06E18" w:rsidP="00C06E18">
            <w:pPr>
              <w:rPr>
                <w:noProof/>
                <w:sz w:val="20"/>
                <w:szCs w:val="20"/>
              </w:rPr>
            </w:pPr>
            <w:r w:rsidRPr="00DE264C">
              <w:rPr>
                <w:noProof/>
                <w:sz w:val="20"/>
                <w:szCs w:val="20"/>
              </w:rPr>
              <w:t>Quality of Service and Quality of Experience</w:t>
            </w:r>
          </w:p>
          <w:p w14:paraId="2584C883" w14:textId="77777777" w:rsidR="00CA720F" w:rsidRPr="00DE264C" w:rsidRDefault="00233C7E" w:rsidP="00173816">
            <w:pPr>
              <w:rPr>
                <w:noProof/>
                <w:sz w:val="20"/>
                <w:szCs w:val="20"/>
              </w:rPr>
            </w:pPr>
            <w:r w:rsidRPr="00DE264C">
              <w:rPr>
                <w:noProof/>
                <w:sz w:val="20"/>
                <w:szCs w:val="20"/>
              </w:rPr>
              <w:t>5G SA coverage and availability</w:t>
            </w:r>
          </w:p>
          <w:p w14:paraId="53795E91" w14:textId="77777777" w:rsidR="00233C7E" w:rsidRPr="00DE264C" w:rsidRDefault="00233C7E" w:rsidP="00173816">
            <w:pPr>
              <w:rPr>
                <w:noProof/>
                <w:sz w:val="20"/>
                <w:szCs w:val="20"/>
              </w:rPr>
            </w:pPr>
            <w:r w:rsidRPr="00DE264C">
              <w:rPr>
                <w:noProof/>
                <w:sz w:val="20"/>
                <w:szCs w:val="20"/>
              </w:rPr>
              <w:t xml:space="preserve">5G mid-band population coverage </w:t>
            </w:r>
          </w:p>
          <w:p w14:paraId="0B4681CF" w14:textId="3B09A903" w:rsidR="00233C7E" w:rsidRPr="00DE264C" w:rsidRDefault="00233C7E" w:rsidP="00173816">
            <w:pPr>
              <w:rPr>
                <w:noProof/>
                <w:sz w:val="20"/>
                <w:szCs w:val="20"/>
              </w:rPr>
            </w:pPr>
            <w:r w:rsidRPr="00DE264C">
              <w:rPr>
                <w:noProof/>
                <w:sz w:val="20"/>
                <w:szCs w:val="20"/>
              </w:rPr>
              <w:t>Spectrum readiness (MHz/pop, assigned in 5G mid-band and future 6G pioneer bands</w:t>
            </w:r>
            <w:r w:rsidR="00341D82">
              <w:rPr>
                <w:noProof/>
                <w:sz w:val="20"/>
                <w:szCs w:val="20"/>
              </w:rPr>
              <w:t>)</w:t>
            </w:r>
          </w:p>
          <w:p w14:paraId="473A0822" w14:textId="77777777" w:rsidR="00233C7E" w:rsidRPr="00DE264C" w:rsidRDefault="00233C7E" w:rsidP="00173816">
            <w:pPr>
              <w:rPr>
                <w:noProof/>
                <w:sz w:val="20"/>
                <w:szCs w:val="20"/>
              </w:rPr>
            </w:pPr>
            <w:r w:rsidRPr="00DE264C">
              <w:rPr>
                <w:noProof/>
                <w:sz w:val="20"/>
                <w:szCs w:val="20"/>
              </w:rPr>
              <w:t>5G SA availability</w:t>
            </w:r>
          </w:p>
          <w:p w14:paraId="518057FD" w14:textId="7B8EEF78" w:rsidR="00233C7E" w:rsidRPr="00DE264C" w:rsidRDefault="00233C7E" w:rsidP="00173816">
            <w:pPr>
              <w:rPr>
                <w:noProof/>
                <w:sz w:val="20"/>
                <w:szCs w:val="20"/>
              </w:rPr>
            </w:pPr>
            <w:r w:rsidRPr="00DE264C">
              <w:rPr>
                <w:noProof/>
                <w:sz w:val="20"/>
                <w:szCs w:val="20"/>
              </w:rPr>
              <w:t>Time to obtain spectrum authorisation</w:t>
            </w:r>
          </w:p>
          <w:p w14:paraId="2D3AE185" w14:textId="034945D6" w:rsidR="00233C7E" w:rsidRPr="00DE264C" w:rsidRDefault="00233C7E" w:rsidP="00173816">
            <w:pPr>
              <w:rPr>
                <w:noProof/>
                <w:sz w:val="20"/>
                <w:szCs w:val="20"/>
              </w:rPr>
            </w:pPr>
            <w:r w:rsidRPr="00DE264C">
              <w:rPr>
                <w:noProof/>
                <w:sz w:val="20"/>
                <w:szCs w:val="20"/>
              </w:rPr>
              <w:t>Number of Licenses with sharing conditions</w:t>
            </w:r>
          </w:p>
          <w:p w14:paraId="7CBB63A7" w14:textId="127BC078" w:rsidR="00233C7E" w:rsidRPr="00DE264C" w:rsidRDefault="00233C7E" w:rsidP="00173816">
            <w:pPr>
              <w:rPr>
                <w:noProof/>
                <w:sz w:val="20"/>
                <w:szCs w:val="20"/>
              </w:rPr>
            </w:pPr>
            <w:r w:rsidRPr="00DE264C">
              <w:rPr>
                <w:noProof/>
                <w:sz w:val="20"/>
                <w:szCs w:val="20"/>
              </w:rPr>
              <w:t>Amount of spectrum used by more than one user/category of user</w:t>
            </w:r>
          </w:p>
        </w:tc>
      </w:tr>
      <w:tr w:rsidR="00233C7E" w:rsidRPr="00DE264C" w14:paraId="1C3A8695" w14:textId="77777777" w:rsidTr="00DE5E5D">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tcPr>
          <w:p w14:paraId="1A1F1BFF" w14:textId="5F5C1FDD" w:rsidR="00233C7E" w:rsidRPr="00DE264C" w:rsidRDefault="000268F4" w:rsidP="00173816">
            <w:pPr>
              <w:rPr>
                <w:noProof/>
                <w:sz w:val="20"/>
                <w:szCs w:val="20"/>
                <w:lang w:val="en-IE"/>
              </w:rPr>
            </w:pPr>
            <w:r w:rsidRPr="00D35A43">
              <w:rPr>
                <w:noProof/>
                <w:sz w:val="20"/>
              </w:rPr>
              <w:t>Lack of pan-European networks and services</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329386ED" w14:textId="07AEB879" w:rsidR="002F5143" w:rsidRPr="00DE264C" w:rsidRDefault="002F5143" w:rsidP="00173816">
            <w:pPr>
              <w:rPr>
                <w:noProof/>
                <w:sz w:val="20"/>
                <w:lang w:val="en-IE"/>
              </w:rPr>
            </w:pPr>
            <w:r w:rsidRPr="00D35A43">
              <w:rPr>
                <w:noProof/>
                <w:sz w:val="20"/>
              </w:rPr>
              <w:t>Increase pan-</w:t>
            </w:r>
            <w:r w:rsidR="0094611B" w:rsidRPr="00D35A43">
              <w:rPr>
                <w:noProof/>
                <w:sz w:val="20"/>
              </w:rPr>
              <w:t>European</w:t>
            </w:r>
            <w:r w:rsidRPr="00D35A43">
              <w:rPr>
                <w:noProof/>
                <w:sz w:val="20"/>
              </w:rPr>
              <w:t xml:space="preserve"> network operation and service provision</w:t>
            </w:r>
          </w:p>
          <w:p w14:paraId="3681D284" w14:textId="4CB5A12E" w:rsidR="00233C7E" w:rsidRPr="00DE264C" w:rsidRDefault="00233C7E" w:rsidP="00173816">
            <w:pPr>
              <w:rPr>
                <w:noProof/>
                <w:sz w:val="20"/>
                <w:szCs w:val="20"/>
              </w:rPr>
            </w:pPr>
          </w:p>
        </w:tc>
        <w:tc>
          <w:tcPr>
            <w:tcW w:w="4962" w:type="dxa"/>
            <w:tcBorders>
              <w:top w:val="single" w:sz="8" w:space="0" w:color="auto"/>
              <w:left w:val="single" w:sz="8" w:space="0" w:color="auto"/>
              <w:bottom w:val="single" w:sz="8" w:space="0" w:color="auto"/>
              <w:right w:val="single" w:sz="8" w:space="0" w:color="auto"/>
            </w:tcBorders>
            <w:tcMar>
              <w:left w:w="108" w:type="dxa"/>
              <w:right w:w="108" w:type="dxa"/>
            </w:tcMar>
          </w:tcPr>
          <w:p w14:paraId="6711B5A5" w14:textId="77777777" w:rsidR="00233C7E" w:rsidRPr="00DE264C" w:rsidRDefault="00096D90" w:rsidP="00173816">
            <w:pPr>
              <w:rPr>
                <w:noProof/>
                <w:sz w:val="20"/>
                <w:szCs w:val="20"/>
              </w:rPr>
            </w:pPr>
            <w:r w:rsidRPr="00DE264C">
              <w:rPr>
                <w:noProof/>
                <w:sz w:val="20"/>
                <w:szCs w:val="20"/>
              </w:rPr>
              <w:t>Number of providers using the cross-border general authorisation regime</w:t>
            </w:r>
          </w:p>
          <w:p w14:paraId="7DA237A3" w14:textId="55F57881" w:rsidR="00283448" w:rsidRPr="00DE264C" w:rsidRDefault="00283448" w:rsidP="00173816">
            <w:pPr>
              <w:rPr>
                <w:noProof/>
                <w:sz w:val="20"/>
                <w:szCs w:val="20"/>
              </w:rPr>
            </w:pPr>
            <w:r w:rsidRPr="00DE264C">
              <w:rPr>
                <w:noProof/>
                <w:sz w:val="20"/>
                <w:szCs w:val="20"/>
              </w:rPr>
              <w:t xml:space="preserve">Number of </w:t>
            </w:r>
            <w:r w:rsidR="002C6505" w:rsidRPr="00DE264C">
              <w:rPr>
                <w:noProof/>
                <w:sz w:val="20"/>
                <w:szCs w:val="20"/>
              </w:rPr>
              <w:t>new EU</w:t>
            </w:r>
            <w:r w:rsidRPr="00DE264C">
              <w:rPr>
                <w:noProof/>
                <w:sz w:val="20"/>
                <w:szCs w:val="20"/>
              </w:rPr>
              <w:t xml:space="preserve"> satellite </w:t>
            </w:r>
            <w:r w:rsidR="005C7A31" w:rsidRPr="00DE264C">
              <w:rPr>
                <w:noProof/>
                <w:sz w:val="20"/>
                <w:szCs w:val="20"/>
              </w:rPr>
              <w:t xml:space="preserve">authorisation </w:t>
            </w:r>
            <w:r w:rsidRPr="00DE264C">
              <w:rPr>
                <w:noProof/>
                <w:sz w:val="20"/>
                <w:szCs w:val="20"/>
              </w:rPr>
              <w:t xml:space="preserve">licensees </w:t>
            </w:r>
          </w:p>
          <w:p w14:paraId="4645DCB8" w14:textId="47C45B3A" w:rsidR="0007713B" w:rsidRDefault="0007713B" w:rsidP="00173816">
            <w:pPr>
              <w:rPr>
                <w:noProof/>
                <w:sz w:val="20"/>
                <w:szCs w:val="20"/>
              </w:rPr>
            </w:pPr>
            <w:r w:rsidRPr="00DE264C">
              <w:rPr>
                <w:noProof/>
                <w:sz w:val="20"/>
                <w:szCs w:val="20"/>
              </w:rPr>
              <w:t xml:space="preserve">Number of </w:t>
            </w:r>
            <w:r>
              <w:rPr>
                <w:noProof/>
                <w:sz w:val="20"/>
                <w:szCs w:val="20"/>
              </w:rPr>
              <w:t xml:space="preserve">operators selected through a </w:t>
            </w:r>
            <w:r w:rsidRPr="00DE264C">
              <w:rPr>
                <w:noProof/>
                <w:sz w:val="20"/>
                <w:szCs w:val="20"/>
              </w:rPr>
              <w:t>centrali</w:t>
            </w:r>
            <w:r>
              <w:rPr>
                <w:noProof/>
                <w:sz w:val="20"/>
                <w:szCs w:val="20"/>
              </w:rPr>
              <w:t>s</w:t>
            </w:r>
            <w:r w:rsidRPr="00DE264C">
              <w:rPr>
                <w:noProof/>
                <w:sz w:val="20"/>
                <w:szCs w:val="20"/>
              </w:rPr>
              <w:t>ed selection procedure for satellite harmoni</w:t>
            </w:r>
            <w:r>
              <w:rPr>
                <w:noProof/>
                <w:sz w:val="20"/>
                <w:szCs w:val="20"/>
              </w:rPr>
              <w:t>s</w:t>
            </w:r>
            <w:r w:rsidRPr="00DE264C">
              <w:rPr>
                <w:noProof/>
                <w:sz w:val="20"/>
                <w:szCs w:val="20"/>
              </w:rPr>
              <w:t>ed bands</w:t>
            </w:r>
          </w:p>
          <w:p w14:paraId="01CCB53E" w14:textId="451CDBC2" w:rsidR="009B1DDC" w:rsidRPr="00DE264C" w:rsidRDefault="009B1DDC" w:rsidP="00173816">
            <w:pPr>
              <w:rPr>
                <w:noProof/>
                <w:sz w:val="20"/>
                <w:szCs w:val="20"/>
              </w:rPr>
            </w:pPr>
            <w:r w:rsidRPr="00DE264C">
              <w:rPr>
                <w:noProof/>
                <w:sz w:val="20"/>
                <w:szCs w:val="20"/>
              </w:rPr>
              <w:t xml:space="preserve">Time to </w:t>
            </w:r>
            <w:r w:rsidR="00FE020D" w:rsidRPr="00DE264C">
              <w:rPr>
                <w:noProof/>
                <w:sz w:val="20"/>
                <w:szCs w:val="20"/>
              </w:rPr>
              <w:t xml:space="preserve">complete </w:t>
            </w:r>
            <w:r w:rsidRPr="00DE264C">
              <w:rPr>
                <w:noProof/>
                <w:sz w:val="20"/>
                <w:szCs w:val="20"/>
              </w:rPr>
              <w:t>satellite authorisation</w:t>
            </w:r>
            <w:r w:rsidR="00FE020D" w:rsidRPr="00DE264C">
              <w:rPr>
                <w:noProof/>
                <w:sz w:val="20"/>
                <w:szCs w:val="20"/>
              </w:rPr>
              <w:t xml:space="preserve"> requirements</w:t>
            </w:r>
          </w:p>
          <w:p w14:paraId="2D75D35E" w14:textId="6997E0F5" w:rsidR="00283448" w:rsidRPr="00DE264C" w:rsidRDefault="00270B8F" w:rsidP="00173816">
            <w:pPr>
              <w:rPr>
                <w:noProof/>
                <w:sz w:val="20"/>
                <w:szCs w:val="20"/>
              </w:rPr>
            </w:pPr>
            <w:r w:rsidRPr="00DE264C">
              <w:rPr>
                <w:noProof/>
                <w:sz w:val="20"/>
                <w:szCs w:val="20"/>
              </w:rPr>
              <w:t xml:space="preserve">Number of interference issues </w:t>
            </w:r>
            <w:r w:rsidR="00686B17" w:rsidRPr="00DE264C">
              <w:rPr>
                <w:noProof/>
                <w:sz w:val="20"/>
                <w:szCs w:val="20"/>
              </w:rPr>
              <w:t>in the EU which have been</w:t>
            </w:r>
            <w:r w:rsidRPr="00DE264C">
              <w:rPr>
                <w:noProof/>
                <w:sz w:val="20"/>
                <w:szCs w:val="20"/>
              </w:rPr>
              <w:t xml:space="preserve"> </w:t>
            </w:r>
            <w:r w:rsidR="008D0795" w:rsidRPr="00DE264C">
              <w:rPr>
                <w:noProof/>
                <w:sz w:val="20"/>
                <w:szCs w:val="20"/>
              </w:rPr>
              <w:t xml:space="preserve">timely and </w:t>
            </w:r>
            <w:r w:rsidR="003440A8" w:rsidRPr="00DE264C">
              <w:rPr>
                <w:noProof/>
                <w:sz w:val="20"/>
                <w:szCs w:val="20"/>
              </w:rPr>
              <w:t xml:space="preserve">effectively addressed </w:t>
            </w:r>
          </w:p>
        </w:tc>
      </w:tr>
      <w:tr w:rsidR="00292895" w14:paraId="53B76132" w14:textId="77777777" w:rsidTr="00DE5E5D">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tcPr>
          <w:p w14:paraId="0C5F28B6" w14:textId="75BEB94D" w:rsidR="00292895" w:rsidRPr="00DE264C" w:rsidRDefault="00292895" w:rsidP="00173816">
            <w:pPr>
              <w:rPr>
                <w:noProof/>
                <w:sz w:val="20"/>
                <w:szCs w:val="20"/>
                <w:lang w:val="en-IE"/>
              </w:rPr>
            </w:pPr>
            <w:r w:rsidRPr="00D35A43">
              <w:rPr>
                <w:noProof/>
                <w:sz w:val="20"/>
              </w:rPr>
              <w:t xml:space="preserve">Governance structure not fully suited to serve the requirements of the single market </w:t>
            </w:r>
          </w:p>
        </w:tc>
        <w:tc>
          <w:tcPr>
            <w:tcW w:w="2268" w:type="dxa"/>
            <w:tcBorders>
              <w:top w:val="single" w:sz="8" w:space="0" w:color="auto"/>
              <w:left w:val="single" w:sz="8" w:space="0" w:color="auto"/>
              <w:bottom w:val="single" w:sz="8" w:space="0" w:color="auto"/>
              <w:right w:val="single" w:sz="8" w:space="0" w:color="auto"/>
            </w:tcBorders>
            <w:tcMar>
              <w:left w:w="108" w:type="dxa"/>
              <w:right w:w="108" w:type="dxa"/>
            </w:tcMar>
          </w:tcPr>
          <w:p w14:paraId="742457BB" w14:textId="0584126B" w:rsidR="00292895" w:rsidRDefault="00292895" w:rsidP="00173816">
            <w:pPr>
              <w:rPr>
                <w:noProof/>
                <w:sz w:val="20"/>
                <w:szCs w:val="20"/>
              </w:rPr>
            </w:pPr>
            <w:r w:rsidRPr="00D35A43">
              <w:rPr>
                <w:noProof/>
                <w:sz w:val="20"/>
              </w:rPr>
              <w:t xml:space="preserve">Deepen the Single Market for connectivity through adjustment of regulatory competences and roles </w:t>
            </w:r>
          </w:p>
        </w:tc>
        <w:tc>
          <w:tcPr>
            <w:tcW w:w="4962" w:type="dxa"/>
            <w:tcBorders>
              <w:top w:val="single" w:sz="8" w:space="0" w:color="auto"/>
              <w:left w:val="single" w:sz="8" w:space="0" w:color="auto"/>
              <w:bottom w:val="single" w:sz="8" w:space="0" w:color="auto"/>
              <w:right w:val="single" w:sz="8" w:space="0" w:color="auto"/>
            </w:tcBorders>
          </w:tcPr>
          <w:p w14:paraId="6551C552" w14:textId="08DDF233" w:rsidR="00292895" w:rsidRDefault="00292895" w:rsidP="00173816">
            <w:pPr>
              <w:rPr>
                <w:noProof/>
                <w:sz w:val="20"/>
                <w:szCs w:val="20"/>
              </w:rPr>
            </w:pPr>
            <w:r w:rsidRPr="65BD6085">
              <w:rPr>
                <w:noProof/>
                <w:sz w:val="20"/>
                <w:szCs w:val="20"/>
              </w:rPr>
              <w:t>Number of</w:t>
            </w:r>
            <w:r w:rsidRPr="3855103A">
              <w:rPr>
                <w:noProof/>
                <w:sz w:val="20"/>
                <w:szCs w:val="20"/>
              </w:rPr>
              <w:t xml:space="preserve"> high-quality outputs that </w:t>
            </w:r>
            <w:r w:rsidRPr="388E3F88">
              <w:rPr>
                <w:noProof/>
                <w:sz w:val="20"/>
                <w:szCs w:val="20"/>
              </w:rPr>
              <w:t xml:space="preserve">have a direct link to single-market objectives - </w:t>
            </w:r>
            <w:r w:rsidRPr="3855103A">
              <w:rPr>
                <w:noProof/>
                <w:sz w:val="20"/>
                <w:szCs w:val="20"/>
              </w:rPr>
              <w:t>strengthen harmonisation, support consistent regulatory implementation, and facilitate the completion of the EU single market for electronic communications.</w:t>
            </w:r>
          </w:p>
          <w:p w14:paraId="17BB1808" w14:textId="517D55FE" w:rsidR="00292895" w:rsidRDefault="00292895" w:rsidP="00173816">
            <w:pPr>
              <w:rPr>
                <w:noProof/>
                <w:sz w:val="20"/>
                <w:szCs w:val="20"/>
              </w:rPr>
            </w:pPr>
            <w:r w:rsidRPr="4148B5F6">
              <w:rPr>
                <w:noProof/>
                <w:sz w:val="20"/>
                <w:szCs w:val="20"/>
              </w:rPr>
              <w:t>Measured by % of planned single-market-related outputs delivered on schedule (from the Work Programme</w:t>
            </w:r>
            <w:r w:rsidRPr="7C58E9D7">
              <w:rPr>
                <w:noProof/>
                <w:sz w:val="20"/>
                <w:szCs w:val="20"/>
              </w:rPr>
              <w:t xml:space="preserve">) and </w:t>
            </w:r>
            <w:r w:rsidRPr="153E7166">
              <w:rPr>
                <w:noProof/>
                <w:sz w:val="20"/>
                <w:szCs w:val="20"/>
              </w:rPr>
              <w:t>their</w:t>
            </w:r>
            <w:r w:rsidRPr="7C58E9D7">
              <w:rPr>
                <w:noProof/>
                <w:sz w:val="20"/>
                <w:szCs w:val="20"/>
              </w:rPr>
              <w:t xml:space="preserve"> quality </w:t>
            </w:r>
            <w:r w:rsidRPr="153E7166">
              <w:rPr>
                <w:noProof/>
                <w:sz w:val="20"/>
                <w:szCs w:val="20"/>
              </w:rPr>
              <w:t xml:space="preserve">(reflecting impact, uptake, and regulatory relevance of the outputs) </w:t>
            </w:r>
            <w:r w:rsidRPr="7C58E9D7">
              <w:rPr>
                <w:noProof/>
                <w:sz w:val="20"/>
                <w:szCs w:val="20"/>
              </w:rPr>
              <w:t>and quantity (the volume of outputs relevant to single-market completion</w:t>
            </w:r>
            <w:r w:rsidRPr="6890798E">
              <w:rPr>
                <w:noProof/>
                <w:sz w:val="20"/>
                <w:szCs w:val="20"/>
              </w:rPr>
              <w:t xml:space="preserve"> e</w:t>
            </w:r>
            <w:r w:rsidRPr="153E7166">
              <w:rPr>
                <w:noProof/>
                <w:sz w:val="20"/>
                <w:szCs w:val="20"/>
              </w:rPr>
              <w:t>.g. BEREC guidelines, opinions).</w:t>
            </w:r>
          </w:p>
          <w:p w14:paraId="349BAFE3" w14:textId="67EF94E4" w:rsidR="00292895" w:rsidRPr="00233C7E" w:rsidRDefault="00292895" w:rsidP="00173816">
            <w:pPr>
              <w:rPr>
                <w:noProof/>
                <w:sz w:val="20"/>
                <w:szCs w:val="20"/>
              </w:rPr>
            </w:pPr>
            <w:r w:rsidRPr="54AE04A8">
              <w:rPr>
                <w:noProof/>
                <w:sz w:val="20"/>
                <w:szCs w:val="20"/>
              </w:rPr>
              <w:t xml:space="preserve">Annual measurement, with </w:t>
            </w:r>
            <w:r w:rsidRPr="610AF947">
              <w:rPr>
                <w:noProof/>
                <w:sz w:val="20"/>
                <w:szCs w:val="20"/>
              </w:rPr>
              <w:t>at least yearly</w:t>
            </w:r>
            <w:r w:rsidRPr="54AE04A8">
              <w:rPr>
                <w:noProof/>
                <w:sz w:val="20"/>
                <w:szCs w:val="20"/>
              </w:rPr>
              <w:t xml:space="preserve"> tracking by the BEREC Office.</w:t>
            </w:r>
          </w:p>
        </w:tc>
      </w:tr>
    </w:tbl>
    <w:p w14:paraId="5DE9E825" w14:textId="2EE9D397" w:rsidR="006B087E" w:rsidRPr="00F92EAE" w:rsidRDefault="006B087E" w:rsidP="00292895">
      <w:pPr>
        <w:rPr>
          <w:noProof/>
        </w:rPr>
      </w:pPr>
      <w:bookmarkStart w:id="473" w:name="_Toc209612058"/>
      <w:bookmarkStart w:id="474" w:name="_Toc209535125"/>
      <w:bookmarkStart w:id="475" w:name="_Toc209535222"/>
      <w:bookmarkStart w:id="476" w:name="_Toc209596130"/>
      <w:bookmarkStart w:id="477" w:name="_Toc209612069"/>
      <w:bookmarkEnd w:id="473"/>
      <w:bookmarkEnd w:id="474"/>
      <w:bookmarkEnd w:id="475"/>
      <w:bookmarkEnd w:id="476"/>
      <w:bookmarkEnd w:id="477"/>
    </w:p>
    <w:sectPr w:rsidR="006B087E" w:rsidRPr="00F92EAE" w:rsidSect="00E77094">
      <w:headerReference w:type="default" r:id="rId67"/>
      <w:footerReference w:type="default" r:id="rId68"/>
      <w:headerReference w:type="first" r:id="rId69"/>
      <w:footerReference w:type="first" r:id="rId70"/>
      <w:pgSz w:w="11906" w:h="16838" w:code="9"/>
      <w:pgMar w:top="1021" w:right="709" w:bottom="1021" w:left="1588" w:header="601" w:footer="1077"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1E7C54" w16cex:dateUtc="2026-01-16T09: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3A4577" w16cid:durableId="0B1E7C5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93C1E" w14:textId="77777777" w:rsidR="002B75D1" w:rsidRDefault="002B75D1" w:rsidP="000E3086">
      <w:r>
        <w:separator/>
      </w:r>
    </w:p>
  </w:endnote>
  <w:endnote w:type="continuationSeparator" w:id="0">
    <w:p w14:paraId="154B0DDC" w14:textId="77777777" w:rsidR="002B75D1" w:rsidRDefault="002B75D1" w:rsidP="000E3086">
      <w:r>
        <w:continuationSeparator/>
      </w:r>
    </w:p>
  </w:endnote>
  <w:endnote w:type="continuationNotice" w:id="1">
    <w:p w14:paraId="1741FBB8" w14:textId="77777777" w:rsidR="002B75D1" w:rsidRDefault="002B75D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EYInterstate Light">
    <w:altName w:val="Cambria"/>
    <w:panose1 w:val="00000000000000000000"/>
    <w:charset w:val="00"/>
    <w:family w:val="roman"/>
    <w:notTrueType/>
    <w:pitch w:val="default"/>
  </w:font>
  <w:font w:name="Times New Roman_MSFontService">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CFDE0" w14:textId="78AD85C6" w:rsidR="004329F8" w:rsidRPr="004329F8" w:rsidRDefault="004329F8" w:rsidP="004329F8">
    <w:pPr>
      <w:pStyle w:val="FooterCoverPage"/>
      <w:rPr>
        <w:rFonts w:ascii="Arial" w:hAnsi="Arial" w:cs="Arial"/>
        <w:b/>
        <w:sz w:val="48"/>
      </w:rPr>
    </w:pPr>
    <w:r w:rsidRPr="004329F8">
      <w:rPr>
        <w:rFonts w:ascii="Arial" w:hAnsi="Arial" w:cs="Arial"/>
        <w:b/>
        <w:sz w:val="48"/>
      </w:rPr>
      <w:t>EN</w:t>
    </w:r>
    <w:r w:rsidRPr="004329F8">
      <w:rPr>
        <w:rFonts w:ascii="Arial" w:hAnsi="Arial" w:cs="Arial"/>
        <w:b/>
        <w:sz w:val="48"/>
      </w:rPr>
      <w:tab/>
    </w:r>
    <w:r w:rsidRPr="004329F8">
      <w:rPr>
        <w:rFonts w:ascii="Arial" w:hAnsi="Arial" w:cs="Arial"/>
        <w:b/>
        <w:sz w:val="48"/>
      </w:rPr>
      <w:tab/>
    </w:r>
    <w:r w:rsidRPr="004329F8">
      <w:tab/>
    </w:r>
    <w:r w:rsidRPr="004329F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C673D" w14:textId="6F1F102B" w:rsidR="004329F8" w:rsidRPr="004329F8" w:rsidRDefault="004329F8" w:rsidP="004329F8">
    <w:pPr>
      <w:pStyle w:val="FooterCoverPage"/>
      <w:rPr>
        <w:rFonts w:ascii="Arial" w:hAnsi="Arial" w:cs="Arial"/>
        <w:b/>
        <w:sz w:val="48"/>
      </w:rPr>
    </w:pPr>
    <w:r w:rsidRPr="004329F8">
      <w:rPr>
        <w:rFonts w:ascii="Arial" w:hAnsi="Arial" w:cs="Arial"/>
        <w:b/>
        <w:sz w:val="48"/>
      </w:rPr>
      <w:t>EN</w:t>
    </w:r>
    <w:r w:rsidRPr="004329F8">
      <w:rPr>
        <w:rFonts w:ascii="Arial" w:hAnsi="Arial" w:cs="Arial"/>
        <w:b/>
        <w:sz w:val="48"/>
      </w:rPr>
      <w:tab/>
    </w:r>
    <w:r w:rsidRPr="004329F8">
      <w:rPr>
        <w:rFonts w:ascii="Arial" w:hAnsi="Arial" w:cs="Arial"/>
        <w:b/>
        <w:sz w:val="48"/>
      </w:rPr>
      <w:tab/>
    </w:r>
    <w:r w:rsidRPr="004329F8">
      <w:tab/>
    </w:r>
    <w:r w:rsidRPr="004329F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30F1C" w14:textId="77777777" w:rsidR="004329F8" w:rsidRPr="004329F8" w:rsidRDefault="004329F8" w:rsidP="004329F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44CD6" w14:textId="77777777" w:rsidR="00CB14B2" w:rsidRDefault="00CB14B2" w:rsidP="000E30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7151169"/>
      <w:docPartObj>
        <w:docPartGallery w:val="Page Numbers (Bottom of Page)"/>
        <w:docPartUnique/>
      </w:docPartObj>
    </w:sdtPr>
    <w:sdtEndPr>
      <w:rPr>
        <w:noProof/>
      </w:rPr>
    </w:sdtEndPr>
    <w:sdtContent>
      <w:p w14:paraId="24897D4D" w14:textId="5BC0C4DE" w:rsidR="00CB14B2" w:rsidRPr="00CD516A" w:rsidRDefault="008F2068">
        <w:pPr>
          <w:pStyle w:val="Footer"/>
          <w:jc w:val="center"/>
        </w:pPr>
        <w:r>
          <w:fldChar w:fldCharType="begin"/>
        </w:r>
        <w:r>
          <w:instrText xml:space="preserve"> PAGE   \* MERGEFORMAT </w:instrText>
        </w:r>
        <w:r>
          <w:fldChar w:fldCharType="separate"/>
        </w:r>
        <w:r w:rsidR="004329F8">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4702722"/>
      <w:docPartObj>
        <w:docPartGallery w:val="Page Numbers (Bottom of Page)"/>
        <w:docPartUnique/>
      </w:docPartObj>
    </w:sdtPr>
    <w:sdtEndPr>
      <w:rPr>
        <w:noProof/>
      </w:rPr>
    </w:sdtEndPr>
    <w:sdtContent>
      <w:p w14:paraId="06C35B24" w14:textId="54B970CC" w:rsidR="00CB14B2" w:rsidRDefault="00C87C29" w:rsidP="00292895">
        <w:pPr>
          <w:pStyle w:val="Footer"/>
          <w:jc w:val="center"/>
        </w:pPr>
        <w:r>
          <w:fldChar w:fldCharType="begin"/>
        </w:r>
        <w:r>
          <w:instrText xml:space="preserve"> PAGE   \* MERGEFORMAT </w:instrText>
        </w:r>
        <w:r>
          <w:fldChar w:fldCharType="separate"/>
        </w:r>
        <w:r>
          <w:t>88</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4290007"/>
      <w:docPartObj>
        <w:docPartGallery w:val="Page Numbers (Bottom of Page)"/>
        <w:docPartUnique/>
      </w:docPartObj>
    </w:sdtPr>
    <w:sdtEndPr>
      <w:rPr>
        <w:noProof/>
      </w:rPr>
    </w:sdtEndPr>
    <w:sdtContent>
      <w:p w14:paraId="0C8B42C4" w14:textId="77777777" w:rsidR="00FB5FD6" w:rsidRPr="00CD516A" w:rsidRDefault="00FB5F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1013114"/>
      <w:docPartObj>
        <w:docPartGallery w:val="Page Numbers (Bottom of Page)"/>
        <w:docPartUnique/>
      </w:docPartObj>
    </w:sdtPr>
    <w:sdtEndPr>
      <w:rPr>
        <w:noProof/>
      </w:rPr>
    </w:sdtEndPr>
    <w:sdtContent>
      <w:p w14:paraId="5B1B996C" w14:textId="77777777" w:rsidR="00FB5FD6" w:rsidRDefault="00FB5FD6" w:rsidP="00292895">
        <w:pPr>
          <w:pStyle w:val="Footer"/>
          <w:jc w:val="center"/>
        </w:pPr>
        <w:r>
          <w:fldChar w:fldCharType="begin"/>
        </w:r>
        <w:r>
          <w:instrText xml:space="preserve"> PAGE   \* MERGEFORMAT </w:instrText>
        </w:r>
        <w:r>
          <w:fldChar w:fldCharType="separate"/>
        </w:r>
        <w:r>
          <w:t>88</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4419427"/>
      <w:docPartObj>
        <w:docPartGallery w:val="Page Numbers (Bottom of Page)"/>
        <w:docPartUnique/>
      </w:docPartObj>
    </w:sdtPr>
    <w:sdtEndPr>
      <w:rPr>
        <w:noProof/>
      </w:rPr>
    </w:sdtEndPr>
    <w:sdtContent>
      <w:p w14:paraId="581DAC2E" w14:textId="77777777" w:rsidR="00FB5FD6" w:rsidRPr="00CD516A" w:rsidRDefault="00FB5F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746671"/>
      <w:docPartObj>
        <w:docPartGallery w:val="Page Numbers (Bottom of Page)"/>
        <w:docPartUnique/>
      </w:docPartObj>
    </w:sdtPr>
    <w:sdtEndPr>
      <w:rPr>
        <w:noProof/>
      </w:rPr>
    </w:sdtEndPr>
    <w:sdtContent>
      <w:p w14:paraId="09746461" w14:textId="77777777" w:rsidR="00FB5FD6" w:rsidRDefault="00FB5FD6" w:rsidP="00292895">
        <w:pPr>
          <w:pStyle w:val="Footer"/>
          <w:jc w:val="center"/>
        </w:pPr>
        <w:r>
          <w:fldChar w:fldCharType="begin"/>
        </w:r>
        <w:r>
          <w:instrText xml:space="preserve"> PAGE   \* MERGEFORMAT </w:instrText>
        </w:r>
        <w:r>
          <w:fldChar w:fldCharType="separate"/>
        </w:r>
        <w:r>
          <w:t>88</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0444348"/>
      <w:docPartObj>
        <w:docPartGallery w:val="Page Numbers (Bottom of Page)"/>
        <w:docPartUnique/>
      </w:docPartObj>
    </w:sdtPr>
    <w:sdtEndPr>
      <w:rPr>
        <w:noProof/>
      </w:rPr>
    </w:sdtEndPr>
    <w:sdtContent>
      <w:p w14:paraId="7A5C9420" w14:textId="77777777" w:rsidR="00FB5FD6" w:rsidRPr="00CD516A" w:rsidRDefault="00FB5F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2504036"/>
      <w:docPartObj>
        <w:docPartGallery w:val="Page Numbers (Bottom of Page)"/>
        <w:docPartUnique/>
      </w:docPartObj>
    </w:sdtPr>
    <w:sdtEndPr>
      <w:rPr>
        <w:noProof/>
      </w:rPr>
    </w:sdtEndPr>
    <w:sdtContent>
      <w:p w14:paraId="17C50A49" w14:textId="77777777" w:rsidR="00FB5FD6" w:rsidRDefault="00FB5FD6" w:rsidP="00292895">
        <w:pPr>
          <w:pStyle w:val="Footer"/>
          <w:jc w:val="center"/>
        </w:pPr>
        <w:r>
          <w:fldChar w:fldCharType="begin"/>
        </w:r>
        <w:r>
          <w:instrText xml:space="preserve"> PAGE   \* MERGEFORMAT </w:instrText>
        </w:r>
        <w:r>
          <w:fldChar w:fldCharType="separate"/>
        </w:r>
        <w:r>
          <w:t>88</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740458"/>
      <w:docPartObj>
        <w:docPartGallery w:val="Page Numbers (Bottom of Page)"/>
        <w:docPartUnique/>
      </w:docPartObj>
    </w:sdtPr>
    <w:sdtEndPr>
      <w:rPr>
        <w:noProof/>
      </w:rPr>
    </w:sdtEndPr>
    <w:sdtContent>
      <w:p w14:paraId="1FFBFB28" w14:textId="77777777" w:rsidR="00FB5FD6" w:rsidRPr="00CD516A" w:rsidRDefault="00FB5F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618876"/>
      <w:docPartObj>
        <w:docPartGallery w:val="Page Numbers (Bottom of Page)"/>
        <w:docPartUnique/>
      </w:docPartObj>
    </w:sdtPr>
    <w:sdtEndPr>
      <w:rPr>
        <w:noProof/>
      </w:rPr>
    </w:sdtEndPr>
    <w:sdtContent>
      <w:p w14:paraId="47CEE480" w14:textId="77777777" w:rsidR="00FB5FD6" w:rsidRDefault="00FB5FD6" w:rsidP="00292895">
        <w:pPr>
          <w:pStyle w:val="Footer"/>
          <w:jc w:val="center"/>
        </w:pPr>
        <w:r>
          <w:fldChar w:fldCharType="begin"/>
        </w:r>
        <w:r>
          <w:instrText xml:space="preserve"> PAGE   \* MERGEFORMAT </w:instrText>
        </w:r>
        <w:r>
          <w:fldChar w:fldCharType="separate"/>
        </w:r>
        <w:r>
          <w:t>88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3FF1D3" w14:textId="77777777" w:rsidR="002B75D1" w:rsidRDefault="002B75D1" w:rsidP="000E3086">
      <w:r>
        <w:separator/>
      </w:r>
    </w:p>
  </w:footnote>
  <w:footnote w:type="continuationSeparator" w:id="0">
    <w:p w14:paraId="6469E4C6" w14:textId="77777777" w:rsidR="002B75D1" w:rsidRDefault="002B75D1" w:rsidP="000E3086">
      <w:r>
        <w:continuationSeparator/>
      </w:r>
    </w:p>
  </w:footnote>
  <w:footnote w:type="continuationNotice" w:id="1">
    <w:p w14:paraId="6EAC745E" w14:textId="77777777" w:rsidR="002B75D1" w:rsidRDefault="002B75D1">
      <w:pPr>
        <w:spacing w:after="0"/>
      </w:pPr>
    </w:p>
  </w:footnote>
  <w:footnote w:id="2">
    <w:p w14:paraId="47634D68" w14:textId="5717332A" w:rsidR="00525570" w:rsidRPr="00D94336" w:rsidRDefault="00D94336" w:rsidP="006A3DDC">
      <w:pPr>
        <w:pStyle w:val="FootnoteText"/>
        <w:spacing w:line="240" w:lineRule="auto"/>
        <w:jc w:val="left"/>
      </w:pPr>
      <w:r>
        <w:rPr>
          <w:rStyle w:val="FootnoteReference"/>
        </w:rPr>
        <w:footnoteRef/>
      </w:r>
      <w:r w:rsidR="00570DEC">
        <w:t xml:space="preserve"> </w:t>
      </w:r>
      <w:r w:rsidR="004A5422" w:rsidRPr="00B52DCE">
        <w:t>OJ L 321/36 17.12.2018</w:t>
      </w:r>
      <w:r w:rsidR="004A5422">
        <w:t>.</w:t>
      </w:r>
    </w:p>
  </w:footnote>
  <w:footnote w:id="3">
    <w:p w14:paraId="029FC3C7" w14:textId="01E74C68" w:rsidR="0026331A" w:rsidRPr="00BF50BF" w:rsidRDefault="0026331A" w:rsidP="006A3DDC">
      <w:pPr>
        <w:pStyle w:val="FootnoteText"/>
        <w:spacing w:line="240" w:lineRule="auto"/>
      </w:pPr>
      <w:r w:rsidRPr="00BF50BF">
        <w:rPr>
          <w:rStyle w:val="FootnoteReference"/>
        </w:rPr>
        <w:footnoteRef/>
      </w:r>
      <w:r w:rsidRPr="00BF50BF">
        <w:t xml:space="preserve"> </w:t>
      </w:r>
      <w:r w:rsidRPr="00BF50BF">
        <w:rPr>
          <w:lang w:val="en-IE"/>
        </w:rPr>
        <w:t xml:space="preserve">Decision (EU) 2022/2481 of the European </w:t>
      </w:r>
      <w:r w:rsidRPr="00BF50BF">
        <w:t>Parliament</w:t>
      </w:r>
      <w:r w:rsidRPr="00BF50BF">
        <w:rPr>
          <w:lang w:val="en-IE"/>
        </w:rPr>
        <w:t xml:space="preserve"> and of the Council of 14 December 2022 establishing the Digital Decade Policy Programme 2030</w:t>
      </w:r>
      <w:r w:rsidR="00543FA6" w:rsidRPr="00BF50BF">
        <w:rPr>
          <w:lang w:val="en-IE"/>
        </w:rPr>
        <w:t xml:space="preserve">, </w:t>
      </w:r>
      <w:r w:rsidRPr="00BF50BF">
        <w:rPr>
          <w:lang w:val="en-IE"/>
        </w:rPr>
        <w:t>OJ L 323, 19.12.2022, p. 4</w:t>
      </w:r>
      <w:r w:rsidR="00B0505F" w:rsidRPr="00BF50BF">
        <w:rPr>
          <w:lang w:val="en-IE"/>
        </w:rPr>
        <w:t xml:space="preserve">, </w:t>
      </w:r>
      <w:r w:rsidR="00B0505F" w:rsidRPr="00BF50BF">
        <w:t>ELI: </w:t>
      </w:r>
      <w:hyperlink r:id="rId1" w:tooltip="Gives access to this document through its ELI URI." w:history="1">
        <w:r w:rsidR="00B0505F" w:rsidRPr="00BF50BF">
          <w:rPr>
            <w:rStyle w:val="Hyperlink"/>
          </w:rPr>
          <w:t>http://data.europa.eu/eli/dec/2022/2481/oj</w:t>
        </w:r>
      </w:hyperlink>
      <w:r w:rsidR="00C05C54" w:rsidRPr="00BF50BF">
        <w:rPr>
          <w:lang w:val="en-IE"/>
        </w:rPr>
        <w:t>.</w:t>
      </w:r>
    </w:p>
  </w:footnote>
  <w:footnote w:id="4">
    <w:p w14:paraId="1196B4A4" w14:textId="169BE683" w:rsidR="00CD35A9" w:rsidRPr="00BF50BF" w:rsidRDefault="00CD35A9" w:rsidP="006A3DDC">
      <w:pPr>
        <w:pStyle w:val="FootnoteText"/>
        <w:spacing w:line="240" w:lineRule="auto"/>
      </w:pPr>
      <w:r w:rsidRPr="00BF50BF">
        <w:rPr>
          <w:rStyle w:val="FootnoteReference"/>
        </w:rPr>
        <w:footnoteRef/>
      </w:r>
      <w:r w:rsidRPr="00BF50BF">
        <w:t xml:space="preserve"> </w:t>
      </w:r>
      <w:r w:rsidR="00370F97" w:rsidRPr="00BF50BF">
        <w:t>Enrico Letta - Much more than a market (April 2024),</w:t>
      </w:r>
      <w:r w:rsidRPr="00BF50BF">
        <w:t xml:space="preserve"> </w:t>
      </w:r>
      <w:hyperlink r:id="rId2" w:history="1">
        <w:r w:rsidR="00370F97" w:rsidRPr="00BF50BF">
          <w:rPr>
            <w:rStyle w:val="Hyperlink"/>
          </w:rPr>
          <w:t>https://www.consilium.europa.eu/media/ny3j24sm/much-more-than-a-market-report-by-enrico-letta.pdf</w:t>
        </w:r>
      </w:hyperlink>
      <w:r w:rsidR="00C05C54" w:rsidRPr="00BF50BF">
        <w:t>.</w:t>
      </w:r>
    </w:p>
  </w:footnote>
  <w:footnote w:id="5">
    <w:p w14:paraId="5911E6D0" w14:textId="5371CEAB" w:rsidR="00072837" w:rsidRPr="00BF50BF" w:rsidRDefault="00072837" w:rsidP="006A3DDC">
      <w:pPr>
        <w:pStyle w:val="FootnoteText"/>
        <w:spacing w:line="240" w:lineRule="auto"/>
      </w:pPr>
      <w:r w:rsidRPr="00BF50BF">
        <w:rPr>
          <w:rStyle w:val="FootnoteReference"/>
        </w:rPr>
        <w:footnoteRef/>
      </w:r>
      <w:r w:rsidR="00370F97" w:rsidRPr="00BF50BF">
        <w:t xml:space="preserve">The Draghi report on </w:t>
      </w:r>
      <w:r w:rsidR="00337CB9" w:rsidRPr="00BF50BF">
        <w:t xml:space="preserve">the future of </w:t>
      </w:r>
      <w:r w:rsidR="00370F97" w:rsidRPr="00BF50BF">
        <w:t>E</w:t>
      </w:r>
      <w:r w:rsidR="00B30AB5" w:rsidRPr="00BF50BF">
        <w:t xml:space="preserve">uropean </w:t>
      </w:r>
      <w:r w:rsidR="00370F97" w:rsidRPr="00BF50BF">
        <w:t>competitiveness,</w:t>
      </w:r>
      <w:r w:rsidRPr="00BF50BF">
        <w:t xml:space="preserve"> </w:t>
      </w:r>
      <w:hyperlink r:id="rId3" w:history="1">
        <w:r w:rsidRPr="00BF50BF">
          <w:rPr>
            <w:rStyle w:val="Hyperlink"/>
          </w:rPr>
          <w:t>https://commission.europa.eu/topics/eu-competitiveness/draghi-report_en</w:t>
        </w:r>
      </w:hyperlink>
      <w:r w:rsidR="00A865E1">
        <w:t>.</w:t>
      </w:r>
    </w:p>
  </w:footnote>
  <w:footnote w:id="6">
    <w:p w14:paraId="5EE2B2B4" w14:textId="5D249A30" w:rsidR="009A5DB5" w:rsidRPr="00BF50BF" w:rsidRDefault="003574A1" w:rsidP="006A3DDC">
      <w:pPr>
        <w:pStyle w:val="FootnoteText"/>
        <w:spacing w:line="240" w:lineRule="auto"/>
      </w:pPr>
      <w:r w:rsidRPr="00BF50BF">
        <w:rPr>
          <w:rStyle w:val="FootnoteReference"/>
        </w:rPr>
        <w:footnoteRef/>
      </w:r>
      <w:r w:rsidRPr="00BF50BF">
        <w:t xml:space="preserve"> </w:t>
      </w:r>
      <w:r w:rsidR="00370F97" w:rsidRPr="00BF50BF">
        <w:t xml:space="preserve">Safer together: A path towards a fully prepared Union - European Commission, </w:t>
      </w:r>
    </w:p>
    <w:p w14:paraId="726FE9D1" w14:textId="5DD2B6C3" w:rsidR="003574A1" w:rsidRPr="00BF50BF" w:rsidRDefault="004329F8" w:rsidP="006A3DDC">
      <w:pPr>
        <w:pStyle w:val="FootnoteText"/>
        <w:spacing w:line="240" w:lineRule="auto"/>
        <w:jc w:val="left"/>
      </w:pPr>
      <w:hyperlink r:id="rId4" w:history="1">
        <w:r w:rsidR="003E0F8E" w:rsidRPr="0003407F">
          <w:rPr>
            <w:rStyle w:val="Hyperlink"/>
          </w:rPr>
          <w:t>https://commission.europa.eu/topics/defence/safer-together-path-towards-fully-prepared-union_en</w:t>
        </w:r>
      </w:hyperlink>
      <w:r w:rsidR="00C05C54" w:rsidRPr="00BF50BF">
        <w:t>.</w:t>
      </w:r>
    </w:p>
  </w:footnote>
  <w:footnote w:id="7">
    <w:p w14:paraId="6C002090" w14:textId="603C10AE" w:rsidR="00B52DCE" w:rsidRPr="00BF50BF" w:rsidRDefault="00B52DCE" w:rsidP="006A3DDC">
      <w:pPr>
        <w:pStyle w:val="FootnoteText"/>
        <w:spacing w:line="240" w:lineRule="auto"/>
        <w:jc w:val="left"/>
      </w:pPr>
      <w:r w:rsidRPr="00BF50BF">
        <w:rPr>
          <w:rStyle w:val="FootnoteReference"/>
        </w:rPr>
        <w:footnoteRef/>
      </w:r>
      <w:r w:rsidRPr="00BF50BF">
        <w:t xml:space="preserve"> Council Conclusions on reliable and resilient connectivity (</w:t>
      </w:r>
      <w:r w:rsidR="00275F61" w:rsidRPr="00BF50BF">
        <w:t>7929/25)</w:t>
      </w:r>
      <w:r w:rsidR="00370F97" w:rsidRPr="00BF50BF">
        <w:t xml:space="preserve">, </w:t>
      </w:r>
      <w:hyperlink r:id="rId5" w:history="1">
        <w:r w:rsidR="00275F61" w:rsidRPr="00BF50BF">
          <w:rPr>
            <w:rStyle w:val="Hyperlink"/>
          </w:rPr>
          <w:t>https://data.consilium.europa.eu/doc/document/ST-9953-2025-INIT/en/pdf</w:t>
        </w:r>
      </w:hyperlink>
      <w:r w:rsidR="00C05C54" w:rsidRPr="00BF50BF">
        <w:t>.</w:t>
      </w:r>
    </w:p>
  </w:footnote>
  <w:footnote w:id="8">
    <w:p w14:paraId="2D11801D" w14:textId="5008BDFD" w:rsidR="76DEF69C" w:rsidRPr="00BF50BF" w:rsidRDefault="76DEF69C" w:rsidP="006A3DDC">
      <w:pPr>
        <w:spacing w:after="0" w:line="240" w:lineRule="auto"/>
        <w:jc w:val="left"/>
        <w:rPr>
          <w:sz w:val="20"/>
          <w:szCs w:val="20"/>
        </w:rPr>
      </w:pPr>
      <w:r w:rsidRPr="00BF50BF">
        <w:rPr>
          <w:rStyle w:val="FootnoteReference"/>
          <w:rFonts w:eastAsiaTheme="minorEastAsia"/>
          <w:sz w:val="20"/>
          <w:szCs w:val="20"/>
        </w:rPr>
        <w:footnoteRef/>
      </w:r>
      <w:r w:rsidRPr="00BF50BF">
        <w:rPr>
          <w:sz w:val="20"/>
          <w:szCs w:val="20"/>
        </w:rPr>
        <w:t xml:space="preserve"> </w:t>
      </w:r>
      <w:hyperlink r:id="rId6" w:history="1">
        <w:r w:rsidRPr="00BF50BF">
          <w:rPr>
            <w:rStyle w:val="Hyperlink"/>
            <w:rFonts w:eastAsiaTheme="minorEastAsia"/>
            <w:sz w:val="20"/>
            <w:szCs w:val="20"/>
          </w:rPr>
          <w:t>https://digital-strategy.ec.europa.eu/en/news/overwhelming-response-76-respondents-express-interest-european-ai-gigafactories-initiative</w:t>
        </w:r>
      </w:hyperlink>
      <w:r w:rsidR="00C05C54" w:rsidRPr="00BF50BF">
        <w:rPr>
          <w:sz w:val="20"/>
          <w:szCs w:val="20"/>
        </w:rPr>
        <w:t>.</w:t>
      </w:r>
    </w:p>
  </w:footnote>
  <w:footnote w:id="9">
    <w:p w14:paraId="1F6EF5D9" w14:textId="6AC984F9" w:rsidR="00A1289B" w:rsidRPr="00BF50BF" w:rsidRDefault="00A1289B" w:rsidP="006A3DDC">
      <w:pPr>
        <w:pStyle w:val="FootnoteText"/>
        <w:spacing w:line="240" w:lineRule="auto"/>
        <w:rPr>
          <w:lang w:val="en-IE"/>
        </w:rPr>
      </w:pPr>
      <w:r w:rsidRPr="00BF50BF">
        <w:rPr>
          <w:rStyle w:val="FootnoteReference"/>
        </w:rPr>
        <w:footnoteRef/>
      </w:r>
      <w:r w:rsidRPr="00BF50BF">
        <w:rPr>
          <w:lang w:val="en-IE"/>
        </w:rPr>
        <w:t xml:space="preserve"> </w:t>
      </w:r>
      <w:r w:rsidR="00B30AB5" w:rsidRPr="00BF50BF">
        <w:rPr>
          <w:lang w:val="en-IE"/>
        </w:rPr>
        <w:t xml:space="preserve">The Draghi report: A competitiveness strategy for Europe (Part A), </w:t>
      </w:r>
      <w:r w:rsidRPr="00BF50BF">
        <w:rPr>
          <w:lang w:val="en-IE"/>
        </w:rPr>
        <w:t>AI figures among the three major transformations that Europe has to undergo</w:t>
      </w:r>
      <w:r w:rsidR="002E23D6" w:rsidRPr="00BF50BF">
        <w:rPr>
          <w:lang w:val="en-IE"/>
        </w:rPr>
        <w:t xml:space="preserve">, </w:t>
      </w:r>
      <w:r w:rsidRPr="00BF50BF">
        <w:rPr>
          <w:lang w:val="en-IE"/>
        </w:rPr>
        <w:t xml:space="preserve">p.14, </w:t>
      </w:r>
      <w:hyperlink r:id="rId7" w:history="1">
        <w:r w:rsidRPr="00BF50BF">
          <w:rPr>
            <w:rStyle w:val="Hyperlink"/>
            <w:lang w:val="en-IE"/>
          </w:rPr>
          <w:t>https://commission.europa.eu/document/download/97e481fd-2dc3-412d-be4c-f152a8232961_en?filename=The%20future%20of%20European%20competitiveness%20_%20A%20competitiveness%20strategy%20for%20Europe.pdf</w:t>
        </w:r>
      </w:hyperlink>
      <w:r w:rsidRPr="00BF50BF">
        <w:rPr>
          <w:lang w:val="en-IE"/>
        </w:rPr>
        <w:t>)</w:t>
      </w:r>
      <w:r w:rsidR="005C5CAD">
        <w:rPr>
          <w:lang w:val="en-IE"/>
        </w:rPr>
        <w:t>.</w:t>
      </w:r>
    </w:p>
  </w:footnote>
  <w:footnote w:id="10">
    <w:p w14:paraId="7EDA546E" w14:textId="10372561" w:rsidR="00A1289B" w:rsidRPr="00BF50BF" w:rsidRDefault="00A1289B" w:rsidP="006A3DDC">
      <w:pPr>
        <w:pStyle w:val="FootnoteText"/>
        <w:spacing w:line="240" w:lineRule="auto"/>
        <w:rPr>
          <w:lang w:val="en-IE"/>
        </w:rPr>
      </w:pPr>
      <w:r w:rsidRPr="00BF50BF">
        <w:rPr>
          <w:rStyle w:val="FootnoteReference"/>
        </w:rPr>
        <w:footnoteRef/>
      </w:r>
      <w:r w:rsidR="00130816" w:rsidRPr="00BF50BF">
        <w:rPr>
          <w:lang w:val="en-IE"/>
        </w:rPr>
        <w:t xml:space="preserve"> Communication from the Commission to the European Parliament and the Council, Apply AI Strategy, COM/2025/723 final</w:t>
      </w:r>
      <w:r w:rsidR="00F578BF" w:rsidRPr="00BF50BF">
        <w:rPr>
          <w:lang w:val="en-IE"/>
        </w:rPr>
        <w:t xml:space="preserve">, </w:t>
      </w:r>
      <w:hyperlink r:id="rId8" w:history="1">
        <w:r w:rsidR="00F578BF" w:rsidRPr="00BF50BF">
          <w:rPr>
            <w:rStyle w:val="Hyperlink"/>
          </w:rPr>
          <w:t>EUR-Lex - 52025DC0723 - EN - EUR-Lex</w:t>
        </w:r>
      </w:hyperlink>
      <w:r w:rsidR="005C5CAD">
        <w:t>.</w:t>
      </w:r>
    </w:p>
  </w:footnote>
  <w:footnote w:id="11">
    <w:p w14:paraId="18E5EE8F" w14:textId="77777777" w:rsidR="00A1289B" w:rsidRPr="00BF50BF" w:rsidRDefault="00A1289B" w:rsidP="006A3DDC">
      <w:pPr>
        <w:pStyle w:val="FootnoteText"/>
        <w:spacing w:line="240" w:lineRule="auto"/>
        <w:rPr>
          <w:lang w:val="en-IE"/>
        </w:rPr>
      </w:pPr>
      <w:r w:rsidRPr="00BF50BF">
        <w:rPr>
          <w:rStyle w:val="FootnoteReference"/>
        </w:rPr>
        <w:footnoteRef/>
      </w:r>
      <w:r w:rsidRPr="00BF50BF">
        <w:rPr>
          <w:lang w:val="en-IE"/>
        </w:rPr>
        <w:t xml:space="preserve"> As an example, the particular role of larger companies in the AI transition is discussed in the McKinsey study: The State of AI in 2025 ( </w:t>
      </w:r>
      <w:hyperlink r:id="rId9" w:history="1">
        <w:r w:rsidRPr="00BF50BF">
          <w:rPr>
            <w:rStyle w:val="Hyperlink"/>
            <w:lang w:val="en-IE"/>
          </w:rPr>
          <w:t>https://www.mckinsey.com/capabilities/quantumblack/our-insights/the-state-of-ai</w:t>
        </w:r>
      </w:hyperlink>
      <w:r w:rsidRPr="00BF50BF">
        <w:rPr>
          <w:lang w:val="en-IE"/>
        </w:rPr>
        <w:t>) whereby larger companies, according to the study, lead the way in scaling AI beyond pilots. Also that already one-third of high performers spend more than 20 percent of their digital budgets on AI.</w:t>
      </w:r>
    </w:p>
  </w:footnote>
  <w:footnote w:id="12">
    <w:p w14:paraId="2CF84EA8" w14:textId="7F59E7CB" w:rsidR="00422169" w:rsidRPr="00BF50BF" w:rsidRDefault="00422169" w:rsidP="006A3DDC">
      <w:pPr>
        <w:pStyle w:val="FootnoteText"/>
        <w:spacing w:line="240" w:lineRule="auto"/>
      </w:pPr>
      <w:r w:rsidRPr="00BF50BF">
        <w:rPr>
          <w:rStyle w:val="FootnoteReference"/>
        </w:rPr>
        <w:footnoteRef/>
      </w:r>
      <w:r w:rsidRPr="00BF50BF">
        <w:t xml:space="preserve"> </w:t>
      </w:r>
      <w:r w:rsidR="008C6158" w:rsidRPr="00BF50BF">
        <w:t>Directive (EU) 2022/2555 of the European Parliament and of the Council of 14 December 2022 on measures for a high common level of cybersecurity across the Union, amending Regulation (EU) No 910/2014 and Directive (EU) 2018/1972, and repealing Directive (EU) 2016/1148 (NIS 2 Directive), OJ L 333, 27.12.2022, p. 80</w:t>
      </w:r>
      <w:r w:rsidR="006970DB" w:rsidRPr="00BF50BF">
        <w:t>, ELI: </w:t>
      </w:r>
      <w:hyperlink r:id="rId10" w:tooltip="Gives access to this document through its ELI URI." w:history="1">
        <w:r w:rsidR="006970DB" w:rsidRPr="00BF50BF">
          <w:rPr>
            <w:rStyle w:val="Hyperlink"/>
          </w:rPr>
          <w:t>http://data.europa.eu/eli/dir/2022/2555/oj</w:t>
        </w:r>
      </w:hyperlink>
      <w:r w:rsidR="00C05C54" w:rsidRPr="00BF50BF">
        <w:t>.</w:t>
      </w:r>
    </w:p>
  </w:footnote>
  <w:footnote w:id="13">
    <w:p w14:paraId="4CEE5381" w14:textId="371E5C58" w:rsidR="00422169" w:rsidRPr="00BF50BF" w:rsidRDefault="00422169" w:rsidP="006A3DDC">
      <w:pPr>
        <w:pStyle w:val="FootnoteText"/>
        <w:spacing w:line="240" w:lineRule="auto"/>
      </w:pPr>
      <w:r w:rsidRPr="00BF50BF">
        <w:rPr>
          <w:rStyle w:val="FootnoteReference"/>
        </w:rPr>
        <w:footnoteRef/>
      </w:r>
      <w:r w:rsidRPr="00BF50BF">
        <w:t xml:space="preserve"> </w:t>
      </w:r>
      <w:r w:rsidR="006970DB" w:rsidRPr="00BF50BF">
        <w:t>Directive (EU) 2022/2557 of the European Parliament and of the Council of 14 December 2022 on the resilience of critical entities and repealing Council Directive 2008/114/EC, OJ L 333, 27.12.2022, p. 164, ELI: </w:t>
      </w:r>
      <w:hyperlink r:id="rId11" w:tooltip="Gives access to this document through its ELI URI." w:history="1">
        <w:r w:rsidR="006970DB" w:rsidRPr="00BF50BF">
          <w:rPr>
            <w:rStyle w:val="Hyperlink"/>
          </w:rPr>
          <w:t>http://data.europa.eu/eli/dir/2022/2557/oj</w:t>
        </w:r>
      </w:hyperlink>
      <w:r w:rsidR="00C05C54" w:rsidRPr="00BF50BF">
        <w:t>.</w:t>
      </w:r>
    </w:p>
  </w:footnote>
  <w:footnote w:id="14">
    <w:p w14:paraId="185D2A6B" w14:textId="0A43E097" w:rsidR="00D2550E" w:rsidRPr="00BF50BF" w:rsidRDefault="00D2550E" w:rsidP="006A3DDC">
      <w:pPr>
        <w:pStyle w:val="FootnoteText"/>
        <w:spacing w:line="240" w:lineRule="auto"/>
        <w:rPr>
          <w:rFonts w:eastAsia="Times New Roman"/>
          <w:color w:val="000000" w:themeColor="text1"/>
          <w:lang w:val="en-IE"/>
        </w:rPr>
      </w:pPr>
      <w:r w:rsidRPr="00BF50BF">
        <w:rPr>
          <w:rStyle w:val="FootnoteReference"/>
        </w:rPr>
        <w:footnoteRef/>
      </w:r>
      <w:r w:rsidRPr="00BF50BF">
        <w:rPr>
          <w:rStyle w:val="FootnoteReference"/>
        </w:rPr>
        <w:t xml:space="preserve"> </w:t>
      </w:r>
      <w:r w:rsidRPr="00BF50BF">
        <w:t xml:space="preserve">When discussing the matter of insufficient fibre deployment and take-up, we do refer to FTTH networks. Those networks are capable of providing Gigabit speeds. However, there is no reliable </w:t>
      </w:r>
      <w:r w:rsidR="0064648D" w:rsidRPr="00BF50BF">
        <w:t xml:space="preserve">and complete </w:t>
      </w:r>
      <w:r w:rsidRPr="00BF50BF">
        <w:t xml:space="preserve">data of the current state or future projections of the deployment and take-up of FTTH networks per Member State. For that reason, the text </w:t>
      </w:r>
      <w:r w:rsidR="004F1EFB" w:rsidRPr="00BF50BF">
        <w:t>in this section</w:t>
      </w:r>
      <w:r w:rsidRPr="00BF50BF">
        <w:t xml:space="preserve"> is discussing the figures for FTTP, instead of FTTH coverage</w:t>
      </w:r>
      <w:r w:rsidR="0008229B" w:rsidRPr="00BF50BF">
        <w:t xml:space="preserve"> and whenever feasible provides both</w:t>
      </w:r>
      <w:r w:rsidRPr="00BF50BF">
        <w:t>.</w:t>
      </w:r>
      <w:r w:rsidRPr="00BF50BF">
        <w:rPr>
          <w:rFonts w:eastAsia="Times New Roman"/>
          <w:color w:val="000000" w:themeColor="text1"/>
          <w:lang w:val="en-IE"/>
        </w:rPr>
        <w:t xml:space="preserve"> </w:t>
      </w:r>
    </w:p>
  </w:footnote>
  <w:footnote w:id="15">
    <w:p w14:paraId="150A9C86" w14:textId="03495482" w:rsidR="00611C6D" w:rsidRPr="00BF50BF" w:rsidRDefault="00611C6D" w:rsidP="006A3DDC">
      <w:pPr>
        <w:pStyle w:val="FootnoteText"/>
        <w:spacing w:line="240" w:lineRule="auto"/>
      </w:pPr>
      <w:r w:rsidRPr="00BF50BF">
        <w:rPr>
          <w:rStyle w:val="FootnoteReference"/>
        </w:rPr>
        <w:footnoteRef/>
      </w:r>
      <w:r w:rsidRPr="00BF50BF">
        <w:t xml:space="preserve"> </w:t>
      </w:r>
      <w:r w:rsidR="00EE5C3D" w:rsidRPr="00BF50BF">
        <w:t xml:space="preserve">Annex 1 - State of EU digital transformation in 2025: progress and horizontal recommendations, </w:t>
      </w:r>
      <w:r w:rsidR="0045333B" w:rsidRPr="00BF50BF">
        <w:t xml:space="preserve">16.6.2025, </w:t>
      </w:r>
      <w:r w:rsidR="000568B2" w:rsidRPr="00BF50BF">
        <w:t>SWD(2025) 290 final</w:t>
      </w:r>
      <w:r w:rsidR="0074701A" w:rsidRPr="00BF50BF">
        <w:t>, p. 5.</w:t>
      </w:r>
      <w:r w:rsidR="00CB2FB6" w:rsidRPr="00BF50BF">
        <w:t xml:space="preserve"> </w:t>
      </w:r>
      <w:r w:rsidR="000B4747" w:rsidRPr="00BF50BF">
        <w:t>SWD Digital Decade in 2025: progress and outlook</w:t>
      </w:r>
      <w:r w:rsidR="006D1864" w:rsidRPr="00BF50BF">
        <w:t xml:space="preserve">, 16.6.2025, SWD/2025/290 final, </w:t>
      </w:r>
      <w:r w:rsidR="00407C20" w:rsidRPr="00BF50BF">
        <w:t>p.16.</w:t>
      </w:r>
    </w:p>
  </w:footnote>
  <w:footnote w:id="16">
    <w:p w14:paraId="2B9BA6B1" w14:textId="22C970B7" w:rsidR="0CF5C068" w:rsidRPr="00BF50BF" w:rsidRDefault="0CF5C068" w:rsidP="006A3DDC">
      <w:pPr>
        <w:spacing w:after="0" w:line="240" w:lineRule="auto"/>
        <w:rPr>
          <w:sz w:val="20"/>
          <w:szCs w:val="20"/>
        </w:rPr>
      </w:pPr>
      <w:r w:rsidRPr="00BF50BF">
        <w:rPr>
          <w:rStyle w:val="FootnoteReference"/>
          <w:rFonts w:eastAsiaTheme="minorEastAsia"/>
          <w:sz w:val="20"/>
          <w:szCs w:val="20"/>
        </w:rPr>
        <w:footnoteRef/>
      </w:r>
      <w:r w:rsidR="4078D99E" w:rsidRPr="00BF50BF">
        <w:rPr>
          <w:sz w:val="20"/>
          <w:szCs w:val="20"/>
        </w:rPr>
        <w:t xml:space="preserve"> Commission Staff Working Document: Digital Decade in 2025: progress and outlook.</w:t>
      </w:r>
    </w:p>
  </w:footnote>
  <w:footnote w:id="17">
    <w:p w14:paraId="6CF118B5" w14:textId="1BFE9A46" w:rsidR="000034C1" w:rsidRPr="00BF50BF" w:rsidRDefault="000034C1" w:rsidP="006A3DDC">
      <w:pPr>
        <w:pStyle w:val="FootnoteText"/>
        <w:spacing w:line="240" w:lineRule="auto"/>
      </w:pPr>
      <w:r w:rsidRPr="00BF50BF">
        <w:rPr>
          <w:rStyle w:val="FootnoteReference"/>
        </w:rPr>
        <w:footnoteRef/>
      </w:r>
      <w:r w:rsidR="009F04C4" w:rsidRPr="00BF50BF">
        <w:t xml:space="preserve"> </w:t>
      </w:r>
      <w:r w:rsidRPr="00BF50BF">
        <w:t xml:space="preserve">European Commission (2025): DESI dashboard for the Digital Decade (2023 onwards), Fibre to the Premises (FTTP) coverage, Total, DESI period: 2025 (data from 2024), </w:t>
      </w:r>
      <w:hyperlink r:id="rId12" w:history="1">
        <w:r w:rsidR="00CB2FB6" w:rsidRPr="00BF50BF">
          <w:rPr>
            <w:rStyle w:val="Hyperlink"/>
          </w:rPr>
          <w:t>https://digital-decade-desi.digital-strategy.ec.europa.eu/s/2j80Egm25Oa1b/</w:t>
        </w:r>
      </w:hyperlink>
      <w:r w:rsidR="00C05C54" w:rsidRPr="00BF50BF">
        <w:t>.</w:t>
      </w:r>
    </w:p>
  </w:footnote>
  <w:footnote w:id="18">
    <w:p w14:paraId="378BA6DD" w14:textId="7574CEF1" w:rsidR="004734C6" w:rsidRPr="00BF50BF" w:rsidRDefault="004734C6" w:rsidP="006A3DDC">
      <w:pPr>
        <w:pStyle w:val="FootnoteText"/>
        <w:spacing w:line="240" w:lineRule="auto"/>
      </w:pPr>
      <w:r w:rsidRPr="00BF50BF">
        <w:rPr>
          <w:rStyle w:val="FootnoteReference"/>
        </w:rPr>
        <w:footnoteRef/>
      </w:r>
      <w:r w:rsidRPr="00BF50BF">
        <w:t xml:space="preserve"> </w:t>
      </w:r>
      <w:hyperlink r:id="rId13" w:history="1">
        <w:r w:rsidRPr="00BF50BF">
          <w:rPr>
            <w:rStyle w:val="Hyperlink"/>
            <w:rFonts w:eastAsia="Times New Roman"/>
            <w:color w:val="0000FF"/>
          </w:rPr>
          <w:t>https://www.itu.int/itu-d/reports/statistics/2024/11/10/ff24-internet-traffic/</w:t>
        </w:r>
      </w:hyperlink>
      <w:r w:rsidR="00C05C54" w:rsidRPr="00BF50BF">
        <w:t>.</w:t>
      </w:r>
    </w:p>
  </w:footnote>
  <w:footnote w:id="19">
    <w:p w14:paraId="09CBCDEA" w14:textId="647A03E6" w:rsidR="00787F48" w:rsidRPr="00BF50BF" w:rsidRDefault="00787F48" w:rsidP="006A3DDC">
      <w:pPr>
        <w:pStyle w:val="FootnoteText"/>
        <w:spacing w:line="240" w:lineRule="auto"/>
      </w:pPr>
      <w:r w:rsidRPr="00BF50BF">
        <w:rPr>
          <w:rStyle w:val="FootnoteReference"/>
        </w:rPr>
        <w:footnoteRef/>
      </w:r>
      <w:r w:rsidRPr="00BF50BF">
        <w:t xml:space="preserve"> </w:t>
      </w:r>
      <w:r w:rsidR="00F4248C" w:rsidRPr="00BF50BF">
        <w:t xml:space="preserve">Annex to the </w:t>
      </w:r>
      <w:r w:rsidRPr="00BF50BF">
        <w:t xml:space="preserve">DDDP 2025 Report, section </w:t>
      </w:r>
      <w:r w:rsidR="00007BD6" w:rsidRPr="00BF50BF">
        <w:t>1.</w:t>
      </w:r>
      <w:r w:rsidR="00863B7D" w:rsidRPr="00BF50BF">
        <w:t>1.3.1</w:t>
      </w:r>
      <w:r w:rsidR="00F4248C" w:rsidRPr="00BF50BF">
        <w:t>, p. 18</w:t>
      </w:r>
      <w:r w:rsidR="00C05C54" w:rsidRPr="00BF50BF">
        <w:t>.</w:t>
      </w:r>
    </w:p>
  </w:footnote>
  <w:footnote w:id="20">
    <w:p w14:paraId="0505FDA5" w14:textId="77777777" w:rsidR="00CE342B" w:rsidRPr="00BF50BF" w:rsidRDefault="00CE342B" w:rsidP="006A3DDC">
      <w:pPr>
        <w:pStyle w:val="FootnoteText"/>
        <w:spacing w:line="240" w:lineRule="auto"/>
        <w:jc w:val="left"/>
      </w:pPr>
      <w:r w:rsidRPr="00BF50BF">
        <w:rPr>
          <w:rStyle w:val="FootnoteReference"/>
        </w:rPr>
        <w:footnoteRef/>
      </w:r>
      <w:r w:rsidRPr="00BF50BF">
        <w:t xml:space="preserve"> </w:t>
      </w:r>
      <w:hyperlink r:id="rId14" w:history="1">
        <w:r w:rsidRPr="00BF50BF">
          <w:rPr>
            <w:rStyle w:val="Hyperlink"/>
          </w:rPr>
          <w:t>WIK‑Consult. (2023).</w:t>
        </w:r>
      </w:hyperlink>
      <w:r w:rsidRPr="00BF50BF">
        <w:t xml:space="preserve"> Investment and Funding Needs for the Digital Decade Connectivity Targets.</w:t>
      </w:r>
    </w:p>
  </w:footnote>
  <w:footnote w:id="21">
    <w:p w14:paraId="51E058F7" w14:textId="3C1A79AC" w:rsidR="00CE342B" w:rsidRPr="00BF50BF" w:rsidRDefault="00CE342B" w:rsidP="006A3DDC">
      <w:pPr>
        <w:pStyle w:val="FootnoteText"/>
        <w:spacing w:line="240" w:lineRule="auto"/>
        <w:rPr>
          <w:lang w:val="en-IE"/>
        </w:rPr>
      </w:pPr>
      <w:r w:rsidRPr="00BF50BF">
        <w:rPr>
          <w:rStyle w:val="FootnoteReference"/>
        </w:rPr>
        <w:footnoteRef/>
      </w:r>
      <w:r w:rsidRPr="00BF50BF">
        <w:t xml:space="preserve"> Jay, Neumann, Plückebaum: The Cost of a Nationwide Fibre Access in Germany, Communications &amp; Strategies No 85, 1 Q. 2012, pp 169-188, March 2012. Further references can be found at Jay, Neumann, Plückebaum: Comparing FTTH access networks based on P2P and PMP fibre topologies, Journal on Telecommunications Policy, 8 July 2013</w:t>
      </w:r>
      <w:r w:rsidR="003F7981">
        <w:t>.</w:t>
      </w:r>
    </w:p>
  </w:footnote>
  <w:footnote w:id="22">
    <w:p w14:paraId="26C1D426" w14:textId="55A1A51D" w:rsidR="00CE342B" w:rsidRPr="00BF50BF" w:rsidRDefault="00CE342B" w:rsidP="006A3DDC">
      <w:pPr>
        <w:pStyle w:val="FootnoteText"/>
        <w:spacing w:line="240" w:lineRule="auto"/>
        <w:rPr>
          <w:lang w:val="en-IE"/>
        </w:rPr>
      </w:pPr>
      <w:r w:rsidRPr="00BF50BF">
        <w:rPr>
          <w:rStyle w:val="FootnoteReference"/>
        </w:rPr>
        <w:footnoteRef/>
      </w:r>
      <w:r w:rsidRPr="00BF50BF">
        <w:t xml:space="preserve"> Definice investiční mezery výstavby sítí VHCN ve vazbě na rozvoj sítí 5G, 2024, </w:t>
      </w:r>
      <w:hyperlink r:id="rId15" w:history="1">
        <w:r w:rsidR="006B31FC" w:rsidRPr="00BF50BF">
          <w:rPr>
            <w:rStyle w:val="Hyperlink"/>
          </w:rPr>
          <w:t>https://mpo.gov.cz/assets/cz/e-komunikace-a-posta/studie-k-narodnimu-planu-obnovy/2024/11/Studie-25.pdf</w:t>
        </w:r>
      </w:hyperlink>
      <w:r w:rsidRPr="00BF50BF">
        <w:t>.</w:t>
      </w:r>
    </w:p>
  </w:footnote>
  <w:footnote w:id="23">
    <w:p w14:paraId="0DB6FF73" w14:textId="293940C6" w:rsidR="00DA6AAA" w:rsidRPr="00602574" w:rsidRDefault="00DA6AAA" w:rsidP="006A3DDC">
      <w:pPr>
        <w:pStyle w:val="FootnoteText"/>
        <w:spacing w:line="240" w:lineRule="auto"/>
      </w:pPr>
      <w:r w:rsidRPr="00602574">
        <w:rPr>
          <w:rStyle w:val="FootnoteReference"/>
        </w:rPr>
        <w:footnoteRef/>
      </w:r>
      <w:r w:rsidRPr="00602574">
        <w:t xml:space="preserve"> International comparison of Standard 5G coverage: EU 94%, US</w:t>
      </w:r>
      <w:r w:rsidRPr="00602574" w:rsidDel="003F3FEA">
        <w:t xml:space="preserve"> </w:t>
      </w:r>
      <w:r w:rsidRPr="00602574">
        <w:t>97% , CN 95%, SK 100% and JPN 99%</w:t>
      </w:r>
      <w:r w:rsidRPr="00602574">
        <w:br/>
      </w:r>
      <w:hyperlink r:id="rId16" w:history="1">
        <w:r w:rsidRPr="00602574">
          <w:rPr>
            <w:rFonts w:eastAsiaTheme="minorHAnsi"/>
            <w:color w:val="0000FF"/>
            <w:u w:val="single"/>
          </w:rPr>
          <w:t>5G Observatory report 2025 | Shaping Europe’s digital future</w:t>
        </w:r>
      </w:hyperlink>
      <w:r w:rsidR="003F7981">
        <w:t>.</w:t>
      </w:r>
      <w:r w:rsidRPr="00602574">
        <w:t xml:space="preserve"> </w:t>
      </w:r>
    </w:p>
  </w:footnote>
  <w:footnote w:id="24">
    <w:p w14:paraId="40729D58" w14:textId="1858F8F8" w:rsidR="00DA6AAA" w:rsidRPr="00602574" w:rsidRDefault="00DA6AAA" w:rsidP="006A3DDC">
      <w:pPr>
        <w:pStyle w:val="FootnoteText"/>
        <w:spacing w:line="240" w:lineRule="auto"/>
      </w:pPr>
      <w:r w:rsidRPr="00602574">
        <w:rPr>
          <w:rStyle w:val="FootnoteReference"/>
        </w:rPr>
        <w:footnoteRef/>
      </w:r>
      <w:r w:rsidRPr="00602574">
        <w:t xml:space="preserve"> According to the DDPP, by 2030, all populated areas should be covered by next-generation wireless high-speed networks with performance at least equivalent to that of 5G, in accordance with technological neutrality. To measure progress in achieving the target, household coverage in the three 5G</w:t>
      </w:r>
      <w:r w:rsidRPr="005C544D">
        <w:t> pioneer bands is used in the DESI, as a proxy.</w:t>
      </w:r>
    </w:p>
  </w:footnote>
  <w:footnote w:id="25">
    <w:p w14:paraId="080B0626" w14:textId="77777777" w:rsidR="00DA6AAA" w:rsidRPr="00602574" w:rsidRDefault="00DA6AAA" w:rsidP="006A3DDC">
      <w:pPr>
        <w:pStyle w:val="FootnoteText"/>
        <w:spacing w:line="240" w:lineRule="auto"/>
      </w:pPr>
      <w:r w:rsidRPr="00602574">
        <w:rPr>
          <w:rStyle w:val="FootnoteReference"/>
        </w:rPr>
        <w:footnoteRef/>
      </w:r>
      <w:r w:rsidRPr="00602574">
        <w:t xml:space="preserve"> Staff working document </w:t>
      </w:r>
      <w:hyperlink r:id="rId17" w:history="1">
        <w:r w:rsidRPr="00602574">
          <w:rPr>
            <w:rStyle w:val="Hyperlink"/>
          </w:rPr>
          <w:t>Digital Decade in 2025 progress and outlook</w:t>
        </w:r>
      </w:hyperlink>
      <w:r w:rsidRPr="00602574">
        <w:t xml:space="preserve"> Accompanying State of the Digital Decade 2025. </w:t>
      </w:r>
    </w:p>
  </w:footnote>
  <w:footnote w:id="26">
    <w:p w14:paraId="29F796BB" w14:textId="3B86E1DA" w:rsidR="00DA6AAA" w:rsidRPr="0060773D" w:rsidRDefault="00DA6AAA" w:rsidP="006A3DDC">
      <w:pPr>
        <w:pStyle w:val="FootnoteText"/>
        <w:spacing w:line="240" w:lineRule="auto"/>
      </w:pPr>
      <w:r w:rsidRPr="00602574">
        <w:rPr>
          <w:rStyle w:val="FootnoteReference"/>
        </w:rPr>
        <w:footnoteRef/>
      </w:r>
      <w:r w:rsidRPr="00602574">
        <w:t xml:space="preserve"> For 5G mid-band coverage, different data sources use different methodologies and provide very different figures. For example, latest DESI 2025 data indicate mid-band coverage in the EU at 67.7%</w:t>
      </w:r>
      <w:r w:rsidR="009063B7">
        <w:t xml:space="preserve"> with howe</w:t>
      </w:r>
      <w:r w:rsidR="00B32D7E">
        <w:t>ver significant differences between Member States</w:t>
      </w:r>
      <w:r w:rsidRPr="00602574">
        <w:t xml:space="preserve">. To ensure comparability across regions, a consistent methodology must be applied. Here, estimates from Ericsson are used as they provide internationally comparable data, with figures for both Europe and other regions produced using the same methodology. </w:t>
      </w:r>
      <w:r w:rsidR="00853466" w:rsidRPr="005C544D">
        <w:t>Mid-band spectrum is key for efficient 5G deployment, as it provides the right balance between coverage and capacity</w:t>
      </w:r>
      <w:r w:rsidR="00853466" w:rsidRPr="0060773D">
        <w:t xml:space="preserve">. </w:t>
      </w:r>
      <w:r w:rsidRPr="0060773D">
        <w:t xml:space="preserve">See also Annex 7, </w:t>
      </w:r>
      <w:r w:rsidR="007C2157">
        <w:t>s</w:t>
      </w:r>
      <w:r w:rsidR="007C2157" w:rsidRPr="0060773D">
        <w:t xml:space="preserve">ection </w:t>
      </w:r>
      <w:r w:rsidRPr="0060773D">
        <w:t>1.2.</w:t>
      </w:r>
      <w:r w:rsidR="00BB6210" w:rsidRPr="0060773D">
        <w:t>1</w:t>
      </w:r>
      <w:r w:rsidRPr="0060773D">
        <w:t xml:space="preserve">, and Annex 11, </w:t>
      </w:r>
      <w:r w:rsidR="004E56B4">
        <w:t>s</w:t>
      </w:r>
      <w:r w:rsidR="004E56B4" w:rsidRPr="0060773D">
        <w:t xml:space="preserve">ection </w:t>
      </w:r>
      <w:r w:rsidRPr="0060773D">
        <w:t>5.4</w:t>
      </w:r>
      <w:r w:rsidRPr="0060773D">
        <w:rPr>
          <w:rFonts w:eastAsiaTheme="minorHAnsi"/>
          <w:sz w:val="24"/>
          <w:szCs w:val="24"/>
        </w:rPr>
        <w:t xml:space="preserve"> </w:t>
      </w:r>
      <w:r w:rsidRPr="0060773D">
        <w:t>(World population and mid-band coverage split per region, end of 2024).</w:t>
      </w:r>
    </w:p>
  </w:footnote>
  <w:footnote w:id="27">
    <w:p w14:paraId="1A5E3CE2" w14:textId="41F61A75" w:rsidR="00DA6AAA" w:rsidRPr="00602574" w:rsidRDefault="00DA6AAA" w:rsidP="006A3DDC">
      <w:pPr>
        <w:pStyle w:val="FootnoteText"/>
        <w:spacing w:line="240" w:lineRule="auto"/>
      </w:pPr>
      <w:r w:rsidRPr="0060773D">
        <w:rPr>
          <w:rStyle w:val="FootnoteReference"/>
        </w:rPr>
        <w:footnoteRef/>
      </w:r>
      <w:r w:rsidRPr="0060773D">
        <w:t xml:space="preserve"> Source Analysys Mason, 2024</w:t>
      </w:r>
      <w:r w:rsidR="00581192">
        <w:t>.</w:t>
      </w:r>
      <w:r w:rsidRPr="0060773D">
        <w:t xml:space="preserve"> </w:t>
      </w:r>
    </w:p>
  </w:footnote>
  <w:footnote w:id="28">
    <w:p w14:paraId="2C525F61" w14:textId="77777777" w:rsidR="00DA6AAA" w:rsidRPr="005C544D" w:rsidRDefault="00DA6AAA" w:rsidP="006A3DDC">
      <w:pPr>
        <w:pStyle w:val="FootnoteText"/>
        <w:spacing w:line="240" w:lineRule="auto"/>
      </w:pPr>
      <w:r w:rsidRPr="00602574">
        <w:rPr>
          <w:rStyle w:val="FootnoteReference"/>
        </w:rPr>
        <w:footnoteRef/>
      </w:r>
      <w:r w:rsidRPr="00602574">
        <w:t xml:space="preserve"> </w:t>
      </w:r>
      <w:r w:rsidRPr="005C544D">
        <w:t>OFCOM: Connected Nation, UK report, November 2025.</w:t>
      </w:r>
    </w:p>
  </w:footnote>
  <w:footnote w:id="29">
    <w:p w14:paraId="64F4F1DF" w14:textId="77777777" w:rsidR="00714EF5" w:rsidRPr="00602574" w:rsidRDefault="00714EF5" w:rsidP="006A3DDC">
      <w:pPr>
        <w:pStyle w:val="FootnoteText"/>
        <w:spacing w:line="240" w:lineRule="auto"/>
        <w:jc w:val="left"/>
      </w:pPr>
      <w:r w:rsidRPr="00602574">
        <w:rPr>
          <w:rStyle w:val="FootnoteReference"/>
        </w:rPr>
        <w:footnoteRef/>
      </w:r>
      <w:r w:rsidRPr="00602574">
        <w:t xml:space="preserve"> </w:t>
      </w:r>
      <w:r w:rsidRPr="00602574">
        <w:rPr>
          <w:rFonts w:eastAsia="Times New Roman"/>
          <w:color w:val="000000" w:themeColor="text1"/>
        </w:rPr>
        <w:t xml:space="preserve">Annex 7 1.2 and </w:t>
      </w:r>
      <w:r w:rsidRPr="00602574">
        <w:t xml:space="preserve">MedUX data on Status of 5G Quality and experience in EU and Analysys Mason (2024). 5G Global Progress Report; OpenSignal (2024). 5G Experience Report Q4. </w:t>
      </w:r>
    </w:p>
  </w:footnote>
  <w:footnote w:id="30">
    <w:p w14:paraId="23EFF136" w14:textId="77777777" w:rsidR="00714EF5" w:rsidRPr="005C544D" w:rsidRDefault="00714EF5" w:rsidP="006A3DDC">
      <w:pPr>
        <w:pStyle w:val="FootnoteText"/>
        <w:spacing w:line="240" w:lineRule="auto"/>
      </w:pPr>
      <w:r w:rsidRPr="00602574">
        <w:rPr>
          <w:rStyle w:val="FootnoteReference"/>
        </w:rPr>
        <w:footnoteRef/>
      </w:r>
      <w:r w:rsidRPr="00602574">
        <w:t xml:space="preserve"> </w:t>
      </w:r>
      <w:r w:rsidRPr="005C544D">
        <w:t>OFCOM: Connected Nation, UK report, November 2025.</w:t>
      </w:r>
    </w:p>
  </w:footnote>
  <w:footnote w:id="31">
    <w:p w14:paraId="470563B5" w14:textId="40933C91" w:rsidR="00714EF5" w:rsidRPr="00BE337F" w:rsidRDefault="00714EF5" w:rsidP="006A3DDC">
      <w:pPr>
        <w:pStyle w:val="FootnoteText"/>
        <w:spacing w:line="240" w:lineRule="auto"/>
        <w:rPr>
          <w:rFonts w:eastAsia="Times New Roman"/>
          <w:color w:val="000000" w:themeColor="text1"/>
        </w:rPr>
      </w:pPr>
      <w:r w:rsidRPr="00602574">
        <w:rPr>
          <w:rStyle w:val="FootnoteReference"/>
        </w:rPr>
        <w:footnoteRef/>
      </w:r>
      <w:r w:rsidRPr="00602574">
        <w:t xml:space="preserve"> MedUX data on Status of 5G Quality and experience in EU. </w:t>
      </w:r>
      <w:r w:rsidRPr="005C544D">
        <w:rPr>
          <w:rFonts w:eastAsia="Times New Roman"/>
        </w:rPr>
        <w:t xml:space="preserve">Cf. </w:t>
      </w:r>
      <w:r w:rsidRPr="005C544D">
        <w:rPr>
          <w:rFonts w:eastAsia="Times New Roman"/>
          <w:color w:val="000000" w:themeColor="text1"/>
        </w:rPr>
        <w:t xml:space="preserve">Annex </w:t>
      </w:r>
      <w:r w:rsidR="008110C0">
        <w:rPr>
          <w:rFonts w:eastAsia="Times New Roman"/>
          <w:color w:val="000000" w:themeColor="text1"/>
        </w:rPr>
        <w:t>11</w:t>
      </w:r>
      <w:r w:rsidR="008110C0" w:rsidRPr="005C544D">
        <w:rPr>
          <w:rFonts w:eastAsia="Times New Roman"/>
          <w:color w:val="000000" w:themeColor="text1"/>
        </w:rPr>
        <w:t xml:space="preserve"> </w:t>
      </w:r>
      <w:r w:rsidRPr="00602574">
        <w:t xml:space="preserve">and </w:t>
      </w:r>
      <w:r w:rsidRPr="005C544D">
        <w:rPr>
          <w:rFonts w:eastAsia="Times New Roman"/>
          <w:color w:val="000000" w:themeColor="text1"/>
        </w:rPr>
        <w:t xml:space="preserve">Appendix IIB and Annex 7 – 1.2 for Coverage and Quality of Service graphs. </w:t>
      </w:r>
      <w:r w:rsidRPr="00602574">
        <w:t>MedUX performed an analysis for all MS for the Commission with the EU download speed average that reflects a highly diverse situation at a granular level, showing marked differences between top- and low-performing Member States, and notable regional disparities within countries – see per MS speeds in Annex 4.</w:t>
      </w:r>
      <w:r w:rsidRPr="005C544D">
        <w:rPr>
          <w:rFonts w:eastAsia="Times New Roman"/>
          <w:color w:val="000000" w:themeColor="text1"/>
        </w:rPr>
        <w:t xml:space="preserve"> In addition to coverage, lack of densification may be one of the reasons why the EU’s 5G service quality lags behind that in some other regions.</w:t>
      </w:r>
      <w:r w:rsidRPr="00602574">
        <w:rPr>
          <w:rFonts w:eastAsia="Times New Roman"/>
          <w:color w:val="000000" w:themeColor="text1"/>
        </w:rPr>
        <w:t xml:space="preserve"> In general, network densification boosts </w:t>
      </w:r>
      <w:r w:rsidRPr="005C544D">
        <w:rPr>
          <w:rFonts w:eastAsia="Times New Roman"/>
          <w:color w:val="000000" w:themeColor="text1"/>
        </w:rPr>
        <w:t>high-capacity and high-quality network performance. It was estimated that in order to achieve high-quality 5G connectivity, around 500</w:t>
      </w:r>
      <w:r w:rsidR="005A28D2">
        <w:rPr>
          <w:rFonts w:eastAsia="Times New Roman"/>
          <w:color w:val="000000" w:themeColor="text1"/>
        </w:rPr>
        <w:t> </w:t>
      </w:r>
      <w:r w:rsidRPr="005C544D">
        <w:rPr>
          <w:rFonts w:eastAsia="Times New Roman"/>
          <w:color w:val="000000" w:themeColor="text1"/>
        </w:rPr>
        <w:t>000 new small cells would need to be deployed by 2030, particularly in urban and suburban areas; for example, France would need to increase its mobile site density by 57%, while Germany and Poland face gaps of 31% and 59%, respectively</w:t>
      </w:r>
      <w:r w:rsidR="00581192">
        <w:rPr>
          <w:rFonts w:eastAsia="Times New Roman"/>
          <w:color w:val="000000" w:themeColor="text1"/>
        </w:rPr>
        <w:t>.</w:t>
      </w:r>
    </w:p>
  </w:footnote>
  <w:footnote w:id="32">
    <w:p w14:paraId="34CEEE59" w14:textId="77777777" w:rsidR="00714EF5" w:rsidRPr="00602574" w:rsidRDefault="00714EF5" w:rsidP="006A3DDC">
      <w:pPr>
        <w:pStyle w:val="FootnoteText"/>
        <w:spacing w:line="240" w:lineRule="auto"/>
      </w:pPr>
      <w:r w:rsidRPr="00602574">
        <w:rPr>
          <w:rStyle w:val="FootnoteReference"/>
        </w:rPr>
        <w:footnoteRef/>
      </w:r>
      <w:r w:rsidRPr="00602574">
        <w:fldChar w:fldCharType="begin"/>
      </w:r>
      <w:r w:rsidRPr="00602574">
        <w:fldChar w:fldCharType="separate"/>
      </w:r>
      <w:r w:rsidRPr="00602574">
        <w:rPr>
          <w:rStyle w:val="Hyperlink"/>
        </w:rPr>
        <w:t>https://www.opensignal.com/2024/02/01/mobile-network-speeds-leaped-ahead-in-2023-but-some-markets-lag-behind</w:t>
      </w:r>
      <w:r w:rsidRPr="00602574">
        <w:fldChar w:fldCharType="end"/>
      </w:r>
      <w:r w:rsidRPr="00602574">
        <w:rPr>
          <w:rFonts w:eastAsiaTheme="minorHAnsi"/>
          <w:sz w:val="24"/>
          <w:szCs w:val="24"/>
        </w:rPr>
        <w:t xml:space="preserve"> </w:t>
      </w:r>
      <w:r w:rsidRPr="00602574">
        <w:t xml:space="preserve">For example, Ookla and Omdia, </w:t>
      </w:r>
      <w:r w:rsidRPr="00602574">
        <w:rPr>
          <w:i/>
          <w:iCs/>
        </w:rPr>
        <w:t>A global evaluation of Europe’s digital competitiveness in 5G Standalone</w:t>
      </w:r>
      <w:r w:rsidRPr="00602574">
        <w:t xml:space="preserve">, 2025, </w:t>
      </w:r>
      <w:hyperlink r:id="rId18" w:tgtFrame="_new" w:history="1">
        <w:r w:rsidRPr="00602574">
          <w:rPr>
            <w:rStyle w:val="Hyperlink"/>
          </w:rPr>
          <w:t>https://www.ookla.com/articles/europe-5gsa-2025</w:t>
        </w:r>
      </w:hyperlink>
      <w:r w:rsidRPr="00602574">
        <w:t xml:space="preserve">, find median 5G SA download speeds in the last quarter of 2024 of 221.17 Mbps for Europe, 384.42 Mbps for the Americas, 237.04 Mbps for Developed Asia Pacific and 259.73 Mbps for Emerging Asia Pacific. Country samples are selected based on having a high share of regional 5G SA measurements. The Americas sample includes the United States, Canada, and Brazil; Developed Asia comprises Australia, Singapore, Japan, Hong Kong, Macau, South Korea, and China; and Emerging Asia consists of India, Thailand, the Philippines, and Malaysia. South Korea is excluded from the Developed Asia sample for median latency calculations. </w:t>
      </w:r>
    </w:p>
  </w:footnote>
  <w:footnote w:id="33">
    <w:p w14:paraId="30F159E4" w14:textId="77777777" w:rsidR="008D0915" w:rsidRPr="00602574" w:rsidRDefault="008D0915" w:rsidP="006A3DDC">
      <w:pPr>
        <w:pStyle w:val="FootnoteText"/>
        <w:spacing w:line="240" w:lineRule="auto"/>
      </w:pPr>
      <w:r w:rsidRPr="00602574">
        <w:rPr>
          <w:rStyle w:val="FootnoteReference"/>
        </w:rPr>
        <w:footnoteRef/>
      </w:r>
      <w:r w:rsidRPr="00602574">
        <w:t xml:space="preserve"> </w:t>
      </w:r>
      <w:hyperlink r:id="rId19" w:history="1">
        <w:r w:rsidRPr="00602574">
          <w:rPr>
            <w:rStyle w:val="Hyperlink"/>
          </w:rPr>
          <w:t>WIK</w:t>
        </w:r>
        <w:r w:rsidRPr="00602574">
          <w:rPr>
            <w:rStyle w:val="Hyperlink"/>
            <w:rFonts w:ascii="Cambria Math" w:hAnsi="Cambria Math" w:cs="Cambria Math"/>
          </w:rPr>
          <w:t>‑</w:t>
        </w:r>
        <w:r w:rsidRPr="00602574">
          <w:rPr>
            <w:rStyle w:val="Hyperlink"/>
          </w:rPr>
          <w:t>Consult. (2023).</w:t>
        </w:r>
      </w:hyperlink>
      <w:r w:rsidRPr="00602574">
        <w:t xml:space="preserve"> Investment and Funding Needs for the Digital Decade Connectivity Targets. </w:t>
      </w:r>
    </w:p>
  </w:footnote>
  <w:footnote w:id="34">
    <w:p w14:paraId="3612401E" w14:textId="16609E76" w:rsidR="008D0915" w:rsidRPr="0060773D" w:rsidRDefault="008D0915" w:rsidP="006A3DDC">
      <w:pPr>
        <w:pStyle w:val="FootnoteText"/>
        <w:spacing w:line="240" w:lineRule="auto"/>
      </w:pPr>
      <w:r w:rsidRPr="00602574">
        <w:rPr>
          <w:rStyle w:val="FootnoteReference"/>
        </w:rPr>
        <w:footnoteRef/>
      </w:r>
      <w:r w:rsidRPr="00602574">
        <w:t xml:space="preserve"> Given the EU’s mid-band 5G coverage of 67.7%, a 5G SA take-up of only 2% and the central role of densification in driving costs, the EUR</w:t>
      </w:r>
      <w:r w:rsidR="008C764B">
        <w:t> </w:t>
      </w:r>
      <w:r w:rsidRPr="00602574">
        <w:t xml:space="preserve">33.5 billion estimate suggests that only a small share of the total investment has been made so far. Stakeholders also regarded this estimate as conservative, as it assumes the deployment of a single network. In practice, with several MNOs per Member State, duplication or multiplication of 5G SA networks is a plausible scenario requiring further investment. The estimate might also not </w:t>
      </w:r>
      <w:r w:rsidRPr="0060773D">
        <w:t>fully account for the coverage and capacity needed for full 5G use cases</w:t>
      </w:r>
      <w:r w:rsidRPr="0060773D">
        <w:rPr>
          <w:rFonts w:eastAsia="Times New Roman"/>
          <w:color w:val="000000" w:themeColor="text1"/>
        </w:rPr>
        <w:t>.</w:t>
      </w:r>
    </w:p>
  </w:footnote>
  <w:footnote w:id="35">
    <w:p w14:paraId="2E341179" w14:textId="6B874E61" w:rsidR="001E0280" w:rsidRPr="00116B73" w:rsidRDefault="001E0280" w:rsidP="006A3DDC">
      <w:pPr>
        <w:pStyle w:val="FootnoteText"/>
        <w:spacing w:line="240" w:lineRule="auto"/>
        <w:rPr>
          <w:lang w:val="en-IE"/>
        </w:rPr>
      </w:pPr>
      <w:r w:rsidRPr="0060773D">
        <w:rPr>
          <w:rStyle w:val="FootnoteReference"/>
        </w:rPr>
        <w:footnoteRef/>
      </w:r>
      <w:r w:rsidRPr="0060773D">
        <w:t xml:space="preserve"> </w:t>
      </w:r>
      <w:r w:rsidR="00BA0943" w:rsidRPr="0060773D">
        <w:t xml:space="preserve">See also Annex 7, </w:t>
      </w:r>
      <w:r w:rsidR="009B2498">
        <w:t>s</w:t>
      </w:r>
      <w:r w:rsidR="009B2498" w:rsidRPr="0060773D">
        <w:t xml:space="preserve">ection </w:t>
      </w:r>
      <w:r w:rsidR="00BA0943" w:rsidRPr="0060773D">
        <w:t>1.2.</w:t>
      </w:r>
      <w:r w:rsidR="0026033A" w:rsidRPr="0060773D">
        <w:t xml:space="preserve">2 </w:t>
      </w:r>
      <w:r w:rsidR="00BA0943" w:rsidRPr="0060773D">
        <w:t>on investment</w:t>
      </w:r>
      <w:r w:rsidR="00BA0943">
        <w:t xml:space="preserve"> needs.</w:t>
      </w:r>
    </w:p>
  </w:footnote>
  <w:footnote w:id="36">
    <w:p w14:paraId="753292E4" w14:textId="40D6D8EC" w:rsidR="008D0915" w:rsidRPr="00602574" w:rsidRDefault="008D0915" w:rsidP="006A3DDC">
      <w:pPr>
        <w:pStyle w:val="FootnoteText"/>
        <w:spacing w:line="240" w:lineRule="auto"/>
      </w:pPr>
      <w:r w:rsidRPr="00602574">
        <w:rPr>
          <w:rStyle w:val="FootnoteReference"/>
        </w:rPr>
        <w:footnoteRef/>
      </w:r>
      <w:r w:rsidRPr="00602574">
        <w:t xml:space="preserve"> RSPG25-006 FINAL, section 2.1. cf. on the </w:t>
      </w:r>
      <w:hyperlink r:id="rId20" w:history="1">
        <w:r w:rsidRPr="00602574">
          <w:rPr>
            <w:rStyle w:val="Hyperlink"/>
          </w:rPr>
          <w:t>difference of 5G SA and NSA</w:t>
        </w:r>
      </w:hyperlink>
      <w:r w:rsidRPr="00602574">
        <w:t xml:space="preserve">. </w:t>
      </w:r>
      <w:r w:rsidRPr="00602574">
        <w:rPr>
          <w:rFonts w:eastAsia="Times New Roman"/>
          <w:color w:val="000000" w:themeColor="text1"/>
        </w:rPr>
        <w:t>5G SA brings ultra-low latency for real-time responsiveness, high bandwidth for data-heavy applications like AR/VR, massive device connectivity for large-scale IoT ecosystems, and enhanced reliability and security.</w:t>
      </w:r>
      <w:r w:rsidRPr="00602574">
        <w:t xml:space="preserve"> See Annex 9</w:t>
      </w:r>
      <w:r w:rsidR="00434187">
        <w:t>,</w:t>
      </w:r>
      <w:r w:rsidRPr="00602574">
        <w:t xml:space="preserve"> </w:t>
      </w:r>
      <w:r w:rsidR="00434187">
        <w:t xml:space="preserve">section </w:t>
      </w:r>
      <w:r w:rsidR="009D06AF">
        <w:t xml:space="preserve">3.1.1. </w:t>
      </w:r>
      <w:r w:rsidRPr="00602574">
        <w:t xml:space="preserve">for quantification of 5G market opportunities for specific sectors/verticals and spill-over effects. </w:t>
      </w:r>
    </w:p>
  </w:footnote>
  <w:footnote w:id="37">
    <w:p w14:paraId="303A266C" w14:textId="5FCF52F3" w:rsidR="008D0915" w:rsidRPr="005C544D" w:rsidRDefault="008D0915" w:rsidP="006A3DDC">
      <w:pPr>
        <w:pStyle w:val="FootnoteText"/>
        <w:spacing w:line="240" w:lineRule="auto"/>
      </w:pPr>
      <w:r w:rsidRPr="00602574">
        <w:rPr>
          <w:rStyle w:val="FootnoteReference"/>
        </w:rPr>
        <w:footnoteRef/>
      </w:r>
      <w:r w:rsidRPr="00602574">
        <w:t xml:space="preserve"> </w:t>
      </w:r>
      <w:r w:rsidR="00C62EE5">
        <w:t>Study on</w:t>
      </w:r>
      <w:r w:rsidRPr="0060773D">
        <w:t xml:space="preserve"> Financ</w:t>
      </w:r>
      <w:r w:rsidR="00C62EE5">
        <w:t>e and USO</w:t>
      </w:r>
      <w:r w:rsidR="00C82D1D">
        <w:t>.</w:t>
      </w:r>
    </w:p>
  </w:footnote>
  <w:footnote w:id="38">
    <w:p w14:paraId="41E0BECC" w14:textId="77777777" w:rsidR="008D0915" w:rsidRPr="005C544D" w:rsidRDefault="008D0915" w:rsidP="006A3DDC">
      <w:pPr>
        <w:pStyle w:val="FootnoteText"/>
        <w:spacing w:line="240" w:lineRule="auto"/>
      </w:pPr>
      <w:r w:rsidRPr="00602574">
        <w:rPr>
          <w:rStyle w:val="FootnoteReference"/>
        </w:rPr>
        <w:footnoteRef/>
      </w:r>
      <w:r w:rsidRPr="00602574">
        <w:t xml:space="preserve"> </w:t>
      </w:r>
      <w:hyperlink r:id="rId21" w:history="1">
        <w:r w:rsidRPr="00602574">
          <w:rPr>
            <w:rStyle w:val="Hyperlink"/>
          </w:rPr>
          <w:t>See BEREC BoR (22) 144 Report on the 5G Ecosystem</w:t>
        </w:r>
      </w:hyperlink>
      <w:r w:rsidRPr="00602574">
        <w:t>.</w:t>
      </w:r>
    </w:p>
  </w:footnote>
  <w:footnote w:id="39">
    <w:p w14:paraId="66046F79" w14:textId="77777777" w:rsidR="008D0915" w:rsidRPr="005C544D" w:rsidRDefault="008D0915" w:rsidP="006A3DDC">
      <w:pPr>
        <w:pStyle w:val="FootnoteText"/>
        <w:spacing w:line="240" w:lineRule="auto"/>
      </w:pPr>
      <w:r w:rsidRPr="00602574">
        <w:rPr>
          <w:rStyle w:val="FootnoteReference"/>
        </w:rPr>
        <w:footnoteRef/>
      </w:r>
      <w:r w:rsidRPr="00602574">
        <w:t xml:space="preserve"> </w:t>
      </w:r>
      <w:hyperlink r:id="rId22" w:history="1">
        <w:r w:rsidRPr="00602574">
          <w:rPr>
            <w:rStyle w:val="Hyperlink"/>
          </w:rPr>
          <w:t>New 5G use cases mean economic benefits for Europe - Ericsson</w:t>
        </w:r>
      </w:hyperlink>
      <w:r w:rsidRPr="00602574">
        <w:t>. Analysys Mason for Ericsson and Qualcomm, 2020.</w:t>
      </w:r>
    </w:p>
  </w:footnote>
  <w:footnote w:id="40">
    <w:p w14:paraId="53356D37" w14:textId="77777777" w:rsidR="008D0915" w:rsidRPr="005C544D" w:rsidRDefault="008D0915" w:rsidP="006A3DDC">
      <w:pPr>
        <w:pStyle w:val="FootnoteText"/>
        <w:spacing w:line="240" w:lineRule="auto"/>
      </w:pPr>
      <w:r w:rsidRPr="00602574">
        <w:rPr>
          <w:rStyle w:val="FootnoteReference"/>
        </w:rPr>
        <w:footnoteRef/>
      </w:r>
      <w:r w:rsidRPr="00602574">
        <w:t xml:space="preserve"> </w:t>
      </w:r>
      <w:r w:rsidRPr="005C544D">
        <w:t xml:space="preserve">See Anex 8 1.2.4 GSMA data on </w:t>
      </w:r>
      <w:r w:rsidRPr="00602574">
        <w:rPr>
          <w:rFonts w:eastAsia="Times New Roman"/>
        </w:rPr>
        <w:t>Average MHz assigned to mobile operators for frequency bands below 7 GHz.</w:t>
      </w:r>
    </w:p>
  </w:footnote>
  <w:footnote w:id="41">
    <w:p w14:paraId="43ABC546" w14:textId="0D4CAEFA" w:rsidR="008D0915" w:rsidRPr="005C544D" w:rsidRDefault="008D0915" w:rsidP="006A3DDC">
      <w:pPr>
        <w:pStyle w:val="FootnoteText"/>
        <w:spacing w:line="240" w:lineRule="auto"/>
      </w:pPr>
      <w:r w:rsidRPr="00602574">
        <w:rPr>
          <w:rStyle w:val="FootnoteReference"/>
        </w:rPr>
        <w:footnoteRef/>
      </w:r>
      <w:r w:rsidRPr="00602574">
        <w:t xml:space="preserve"> </w:t>
      </w:r>
      <w:r w:rsidRPr="005C544D">
        <w:rPr>
          <w:rFonts w:eastAsia="Times New Roman"/>
        </w:rPr>
        <w:t>See Annex 7</w:t>
      </w:r>
      <w:r w:rsidR="00685606">
        <w:rPr>
          <w:rFonts w:eastAsia="Times New Roman"/>
        </w:rPr>
        <w:t>,</w:t>
      </w:r>
      <w:r w:rsidRPr="005C544D">
        <w:rPr>
          <w:rFonts w:eastAsia="Times New Roman"/>
        </w:rPr>
        <w:t xml:space="preserve"> </w:t>
      </w:r>
      <w:r w:rsidR="00685606">
        <w:rPr>
          <w:rFonts w:eastAsia="Times New Roman"/>
        </w:rPr>
        <w:t>s</w:t>
      </w:r>
      <w:r w:rsidRPr="005C544D">
        <w:rPr>
          <w:rFonts w:eastAsia="Times New Roman"/>
        </w:rPr>
        <w:t xml:space="preserve">ection </w:t>
      </w:r>
      <w:r w:rsidR="00FB48C2">
        <w:rPr>
          <w:rFonts w:eastAsia="Times New Roman"/>
        </w:rPr>
        <w:t>2.2.1</w:t>
      </w:r>
      <w:r w:rsidRPr="005C544D">
        <w:rPr>
          <w:rFonts w:eastAsia="Times New Roman"/>
        </w:rPr>
        <w:t xml:space="preserve"> on </w:t>
      </w:r>
      <w:r w:rsidRPr="00602574">
        <w:rPr>
          <w:rFonts w:eastAsia="Times New Roman"/>
        </w:rPr>
        <w:t>Inefficient use of spectrum.</w:t>
      </w:r>
    </w:p>
  </w:footnote>
  <w:footnote w:id="42">
    <w:p w14:paraId="47CC9B68" w14:textId="26AF99CC" w:rsidR="15B50C0E" w:rsidRPr="00BF50BF" w:rsidRDefault="15B50C0E" w:rsidP="006A3DDC">
      <w:pPr>
        <w:spacing w:after="0" w:line="240" w:lineRule="auto"/>
        <w:rPr>
          <w:sz w:val="20"/>
          <w:szCs w:val="20"/>
        </w:rPr>
      </w:pPr>
      <w:r w:rsidRPr="002F4EA3">
        <w:rPr>
          <w:rStyle w:val="FootnoteReference"/>
        </w:rPr>
        <w:footnoteRef/>
      </w:r>
      <w:r w:rsidRPr="00BF50BF">
        <w:rPr>
          <w:sz w:val="20"/>
          <w:szCs w:val="20"/>
        </w:rPr>
        <w:t xml:space="preserve"> This process has been described in detail under the pillar I of the 2024 EC White Paper ’How to Master Europe’s Digital Infrastructure Needs’.</w:t>
      </w:r>
    </w:p>
  </w:footnote>
  <w:footnote w:id="43">
    <w:p w14:paraId="014A36E5" w14:textId="12F19399" w:rsidR="15B50C0E" w:rsidRPr="00BF50BF" w:rsidRDefault="15B50C0E" w:rsidP="006A3DDC">
      <w:pPr>
        <w:pStyle w:val="FootnoteText"/>
        <w:spacing w:after="20" w:line="240" w:lineRule="auto"/>
      </w:pPr>
      <w:r w:rsidRPr="00BF50BF">
        <w:rPr>
          <w:rStyle w:val="FootnoteReference"/>
        </w:rPr>
        <w:footnoteRef/>
      </w:r>
      <w:r w:rsidRPr="00BF50BF">
        <w:rPr>
          <w:lang w:val="sv-SE"/>
        </w:rPr>
        <w:t xml:space="preserve"> Mordor Intelligence, 2024: </w:t>
      </w:r>
      <w:hyperlink r:id="rId23">
        <w:r w:rsidRPr="00BF50BF">
          <w:rPr>
            <w:rStyle w:val="Hyperlink"/>
            <w:lang w:val="sv-SE"/>
          </w:rPr>
          <w:t>https://www.mordorintelligence.com/industry-reports/network-slicing-market</w:t>
        </w:r>
      </w:hyperlink>
      <w:r w:rsidRPr="00BF50BF">
        <w:rPr>
          <w:lang w:val="sv-SE"/>
        </w:rPr>
        <w:t xml:space="preserve">. </w:t>
      </w:r>
      <w:r w:rsidRPr="00BF50BF">
        <w:rPr>
          <w:lang w:val="en-IE"/>
        </w:rPr>
        <w:t>Th</w:t>
      </w:r>
      <w:r w:rsidRPr="00BF50BF">
        <w:rPr>
          <w:i/>
          <w:iCs/>
          <w:lang w:val="en-IE"/>
        </w:rPr>
        <w:t>e</w:t>
      </w:r>
      <w:r w:rsidRPr="00BF50BF">
        <w:rPr>
          <w:lang w:val="en-IE"/>
        </w:rPr>
        <w:t xml:space="preserve"> study defines the network slicing market as the revenue generated from commercial 5G Stand-Alone slices provisioned across virtualized RAN, core, and transport domains to meet customer-specific service-level agreements. The model captures software licenses, slice-management services, and enabling infrastructure directly tied to slice creation and life-cycle management for public mobile networks. Scope exclusion: legacy 2G/3G managed services, private campus Wi-Fi, and hardware sold for non-slice-aware 5G deployments remain outside the baseline.</w:t>
      </w:r>
    </w:p>
  </w:footnote>
  <w:footnote w:id="44">
    <w:p w14:paraId="3A04A44E" w14:textId="66B7B626" w:rsidR="00803C74" w:rsidRPr="00BF50BF" w:rsidRDefault="15B50C0E" w:rsidP="006A3DDC">
      <w:pPr>
        <w:pStyle w:val="FootnoteText"/>
        <w:spacing w:after="20" w:line="240" w:lineRule="auto"/>
        <w:rPr>
          <w:lang w:val="en-IE"/>
        </w:rPr>
      </w:pPr>
      <w:r w:rsidRPr="00BF50BF">
        <w:rPr>
          <w:rStyle w:val="FootnoteReference"/>
        </w:rPr>
        <w:footnoteRef/>
      </w:r>
      <w:r w:rsidR="00B56CCE">
        <w:rPr>
          <w:lang w:val="en-IE"/>
        </w:rPr>
        <w:t xml:space="preserve"> </w:t>
      </w:r>
      <w:r w:rsidRPr="00BF50BF">
        <w:rPr>
          <w:lang w:val="en-IE"/>
        </w:rPr>
        <w:t xml:space="preserve">Fortune Business Insights, 2024: </w:t>
      </w:r>
      <w:hyperlink r:id="rId24" w:history="1">
        <w:r w:rsidR="00803C74" w:rsidRPr="001F6B43">
          <w:rPr>
            <w:rStyle w:val="Hyperlink"/>
            <w:lang w:val="en-IE"/>
          </w:rPr>
          <w:t>https://www.fortunebusinessinsights.com/network-as-a-service-market-106700</w:t>
        </w:r>
      </w:hyperlink>
    </w:p>
  </w:footnote>
  <w:footnote w:id="45">
    <w:p w14:paraId="0BF85AB0" w14:textId="22AECA9D" w:rsidR="15B50C0E" w:rsidRPr="00BF50BF" w:rsidRDefault="15B50C0E" w:rsidP="006A3DDC">
      <w:pPr>
        <w:spacing w:after="40" w:line="240" w:lineRule="auto"/>
        <w:jc w:val="left"/>
        <w:rPr>
          <w:sz w:val="20"/>
          <w:szCs w:val="20"/>
          <w:lang w:val="en-IE"/>
        </w:rPr>
      </w:pPr>
      <w:r w:rsidRPr="00BF50BF">
        <w:rPr>
          <w:rStyle w:val="FootnoteReference"/>
          <w:sz w:val="20"/>
          <w:szCs w:val="20"/>
        </w:rPr>
        <w:footnoteRef/>
      </w:r>
      <w:r w:rsidRPr="00BF50BF">
        <w:rPr>
          <w:sz w:val="20"/>
          <w:szCs w:val="20"/>
        </w:rPr>
        <w:t xml:space="preserve"> </w:t>
      </w:r>
      <w:r w:rsidRPr="00BF50BF">
        <w:rPr>
          <w:sz w:val="20"/>
          <w:szCs w:val="20"/>
          <w:lang w:val="en-IE"/>
        </w:rPr>
        <w:t xml:space="preserve">Analysys Mason, 2025: </w:t>
      </w:r>
      <w:hyperlink r:id="rId25" w:history="1">
        <w:r w:rsidRPr="00BF50BF">
          <w:rPr>
            <w:rStyle w:val="Hyperlink"/>
            <w:sz w:val="20"/>
            <w:szCs w:val="20"/>
            <w:lang w:val="en-IE"/>
          </w:rPr>
          <w:t>https://www.analysysmason.com/research/content/regional-forecasts-/network-api-forecast-rdmm0-rma21/</w:t>
        </w:r>
      </w:hyperlink>
      <w:r w:rsidRPr="00BF50BF">
        <w:rPr>
          <w:sz w:val="20"/>
          <w:szCs w:val="20"/>
          <w:lang w:val="en-IE"/>
        </w:rPr>
        <w:t>.</w:t>
      </w:r>
    </w:p>
    <w:p w14:paraId="7A2A28C6" w14:textId="019DFFDA" w:rsidR="15B50C0E" w:rsidRPr="00BF50BF" w:rsidRDefault="1AB2D116" w:rsidP="006A3DDC">
      <w:pPr>
        <w:spacing w:after="40" w:line="240" w:lineRule="auto"/>
        <w:rPr>
          <w:sz w:val="20"/>
          <w:szCs w:val="20"/>
          <w:lang w:val="en-IE"/>
        </w:rPr>
      </w:pPr>
      <w:r w:rsidRPr="00BF50BF">
        <w:rPr>
          <w:sz w:val="20"/>
          <w:szCs w:val="20"/>
          <w:lang w:val="en-IE"/>
        </w:rPr>
        <w:t xml:space="preserve">Additionally, as regards the IoT market, the industry has not provided any quantitative analysis linking directly the regulatory fragmentation to costs of foregone innovation; however, there is a wealth of qualitative sources with stakeholders arguing that fragmentation increases costs, reduces scale and cross-border service provision. (Thingsdata: </w:t>
      </w:r>
      <w:hyperlink r:id="rId26" w:history="1">
        <w:r w:rsidR="00984EB3" w:rsidRPr="0025278F">
          <w:rPr>
            <w:rStyle w:val="Hyperlink"/>
            <w:sz w:val="20"/>
            <w:szCs w:val="20"/>
            <w:lang w:val="en-IE"/>
          </w:rPr>
          <w:t>https://thingsdata.com/information/the-european-iot-market-an-in-depth-analysis/</w:t>
        </w:r>
      </w:hyperlink>
      <w:r w:rsidR="00273879">
        <w:rPr>
          <w:sz w:val="20"/>
          <w:szCs w:val="20"/>
          <w:lang w:val="en-IE"/>
        </w:rPr>
        <w:t>.)</w:t>
      </w:r>
    </w:p>
    <w:p w14:paraId="0E508E08" w14:textId="02917936" w:rsidR="15B50C0E" w:rsidRPr="00BF50BF" w:rsidRDefault="1AB2D116" w:rsidP="006A3DDC">
      <w:pPr>
        <w:spacing w:after="40" w:line="240" w:lineRule="auto"/>
        <w:rPr>
          <w:rStyle w:val="Hyperlink"/>
          <w:rFonts w:eastAsia="Times New Roman"/>
          <w:sz w:val="20"/>
          <w:szCs w:val="20"/>
          <w:lang w:val="en-IE"/>
        </w:rPr>
      </w:pPr>
      <w:r w:rsidRPr="00BF50BF">
        <w:rPr>
          <w:sz w:val="20"/>
          <w:szCs w:val="20"/>
          <w:lang w:val="en-IE"/>
        </w:rPr>
        <w:t xml:space="preserve">European Commission Final Report – sector inquiry into consumer </w:t>
      </w:r>
      <w:r w:rsidRPr="00BF50BF">
        <w:rPr>
          <w:i/>
          <w:iCs/>
          <w:sz w:val="20"/>
          <w:szCs w:val="20"/>
          <w:lang w:val="en-IE"/>
        </w:rPr>
        <w:t>Internet</w:t>
      </w:r>
      <w:r w:rsidRPr="00BF50BF">
        <w:rPr>
          <w:sz w:val="20"/>
          <w:szCs w:val="20"/>
          <w:lang w:val="en-IE"/>
        </w:rPr>
        <w:t xml:space="preserve"> of Things</w:t>
      </w:r>
      <w:r w:rsidRPr="00BF50BF">
        <w:rPr>
          <w:i/>
          <w:iCs/>
          <w:sz w:val="20"/>
          <w:szCs w:val="20"/>
          <w:lang w:val="en-IE"/>
        </w:rPr>
        <w:t>:</w:t>
      </w:r>
      <w:hyperlink r:id="rId27">
        <w:r w:rsidRPr="00BF50BF">
          <w:rPr>
            <w:rStyle w:val="Hyperlink"/>
            <w:rFonts w:eastAsia="Times New Roman"/>
            <w:sz w:val="20"/>
            <w:szCs w:val="20"/>
            <w:lang w:val="en-IE"/>
          </w:rPr>
          <w:t>https://competition-policy.ec.europa.eu/system/files/2022-01/internet-of-things_final_report_2022_en.pdf</w:t>
        </w:r>
      </w:hyperlink>
      <w:r w:rsidRPr="00BF50BF">
        <w:rPr>
          <w:sz w:val="20"/>
          <w:szCs w:val="20"/>
        </w:rPr>
        <w:t>.</w:t>
      </w:r>
    </w:p>
    <w:p w14:paraId="33DE4AC1" w14:textId="52C6C16B" w:rsidR="15B50C0E" w:rsidRPr="00BF50BF" w:rsidRDefault="15B50C0E" w:rsidP="006A3DDC">
      <w:pPr>
        <w:spacing w:after="40" w:line="240" w:lineRule="auto"/>
        <w:rPr>
          <w:rFonts w:eastAsia="Times New Roman"/>
          <w:sz w:val="20"/>
          <w:szCs w:val="20"/>
          <w:lang w:val="en-IE"/>
        </w:rPr>
      </w:pPr>
      <w:r w:rsidRPr="00BF50BF">
        <w:rPr>
          <w:rFonts w:eastAsia="Times New Roman"/>
          <w:sz w:val="20"/>
          <w:szCs w:val="20"/>
          <w:lang w:val="en-IE"/>
        </w:rPr>
        <w:t xml:space="preserve">Vodafone Group: Why a </w:t>
      </w:r>
      <w:r w:rsidRPr="00BF50BF">
        <w:rPr>
          <w:sz w:val="20"/>
          <w:szCs w:val="20"/>
          <w:lang w:val="en-IE"/>
        </w:rPr>
        <w:t>European</w:t>
      </w:r>
      <w:r w:rsidRPr="00BF50BF">
        <w:rPr>
          <w:rFonts w:eastAsia="Times New Roman"/>
          <w:sz w:val="20"/>
          <w:szCs w:val="20"/>
          <w:lang w:val="en-IE"/>
        </w:rPr>
        <w:t xml:space="preserve"> Policy Framework for the Internet of Things Matters.2019.: </w:t>
      </w:r>
      <w:hyperlink r:id="rId28">
        <w:r w:rsidRPr="00BF50BF">
          <w:rPr>
            <w:rStyle w:val="Hyperlink"/>
            <w:rFonts w:eastAsia="Times New Roman"/>
            <w:sz w:val="20"/>
            <w:szCs w:val="20"/>
            <w:lang w:val="en-IE"/>
          </w:rPr>
          <w:t>https://www.vodafone.com/news/public-policy-news/why-a-european-policy-framework-for-the-internet-of-things-matters</w:t>
        </w:r>
      </w:hyperlink>
      <w:r w:rsidRPr="00BF50BF">
        <w:rPr>
          <w:sz w:val="20"/>
          <w:szCs w:val="20"/>
        </w:rPr>
        <w:t>.</w:t>
      </w:r>
    </w:p>
    <w:p w14:paraId="7B29A70F" w14:textId="256D0FC2" w:rsidR="15B50C0E" w:rsidRPr="00BF50BF" w:rsidRDefault="15B50C0E" w:rsidP="006A3DDC">
      <w:pPr>
        <w:spacing w:after="0" w:line="240" w:lineRule="auto"/>
        <w:rPr>
          <w:rFonts w:eastAsia="Times New Roman"/>
          <w:sz w:val="20"/>
          <w:szCs w:val="20"/>
          <w:lang w:val="en-IE"/>
        </w:rPr>
      </w:pPr>
      <w:r w:rsidRPr="00BF50BF">
        <w:rPr>
          <w:rFonts w:eastAsia="Times New Roman"/>
          <w:sz w:val="20"/>
          <w:szCs w:val="20"/>
          <w:lang w:val="en-IE"/>
        </w:rPr>
        <w:t>It is predicted that overall consumer IoT revenue worldwide will grow from EUR</w:t>
      </w:r>
      <w:r w:rsidR="00AB6301">
        <w:rPr>
          <w:rFonts w:eastAsia="Times New Roman"/>
          <w:sz w:val="20"/>
          <w:szCs w:val="20"/>
          <w:lang w:val="en-IE"/>
        </w:rPr>
        <w:t> </w:t>
      </w:r>
      <w:r w:rsidRPr="00BF50BF">
        <w:rPr>
          <w:rFonts w:eastAsia="Times New Roman"/>
          <w:sz w:val="20"/>
          <w:szCs w:val="20"/>
          <w:lang w:val="en-IE"/>
        </w:rPr>
        <w:t>105.7 billion in 2019 to approximately EUR</w:t>
      </w:r>
      <w:r w:rsidR="00AB6301">
        <w:rPr>
          <w:rFonts w:eastAsia="Times New Roman"/>
          <w:sz w:val="20"/>
          <w:szCs w:val="20"/>
          <w:lang w:val="en-IE"/>
        </w:rPr>
        <w:t> </w:t>
      </w:r>
      <w:r w:rsidRPr="00BF50BF">
        <w:rPr>
          <w:rFonts w:eastAsia="Times New Roman"/>
          <w:sz w:val="20"/>
          <w:szCs w:val="20"/>
          <w:lang w:val="en-IE"/>
        </w:rPr>
        <w:t>404.6 billion by 2030. Source: Transforma Insights (22 December 2020).</w:t>
      </w:r>
      <w:r w:rsidR="00DB7BEB">
        <w:rPr>
          <w:rFonts w:eastAsia="Times New Roman"/>
          <w:sz w:val="20"/>
          <w:szCs w:val="20"/>
          <w:lang w:val="en-IE"/>
        </w:rPr>
        <w:t xml:space="preserve"> </w:t>
      </w:r>
      <w:r w:rsidR="0000282E" w:rsidRPr="00B616FE">
        <w:rPr>
          <w:sz w:val="20"/>
          <w:szCs w:val="20"/>
        </w:rPr>
        <w:t>https://www.statista.com/statistics/1183471/iot-revenue-worldwide-by-vertical/</w:t>
      </w:r>
    </w:p>
  </w:footnote>
  <w:footnote w:id="46">
    <w:p w14:paraId="7B8C5E6E" w14:textId="099F3881" w:rsidR="6C8A97C7" w:rsidRPr="00BF50BF" w:rsidRDefault="6C8A97C7" w:rsidP="006A3DDC">
      <w:pPr>
        <w:pStyle w:val="FootnoteText"/>
        <w:spacing w:line="240" w:lineRule="auto"/>
      </w:pPr>
      <w:r w:rsidRPr="00BF50BF">
        <w:rPr>
          <w:rStyle w:val="FootnoteReference"/>
        </w:rPr>
        <w:footnoteRef/>
      </w:r>
      <w:r w:rsidRPr="00BF50BF">
        <w:t xml:space="preserve"> </w:t>
      </w:r>
      <w:r w:rsidR="00742F12" w:rsidRPr="00BF50BF">
        <w:t>U</w:t>
      </w:r>
      <w:r w:rsidRPr="00BF50BF">
        <w:t>nder Title II (Institutional set-up and governance), Chapter II (General authorisation) of the EECC Art. 12-19.</w:t>
      </w:r>
    </w:p>
  </w:footnote>
  <w:footnote w:id="47">
    <w:p w14:paraId="6B14870C" w14:textId="64025CD8" w:rsidR="006A2C51" w:rsidRPr="00BF50BF" w:rsidRDefault="006A2C51" w:rsidP="006A3DDC">
      <w:pPr>
        <w:pStyle w:val="FootnoteText"/>
        <w:spacing w:line="240" w:lineRule="auto"/>
        <w:rPr>
          <w:lang w:val="en-IE"/>
        </w:rPr>
      </w:pPr>
      <w:r w:rsidRPr="00BF50BF">
        <w:rPr>
          <w:rStyle w:val="FootnoteReference"/>
        </w:rPr>
        <w:footnoteRef/>
      </w:r>
      <w:r w:rsidRPr="00BF50BF">
        <w:t xml:space="preserve"> See </w:t>
      </w:r>
      <w:r w:rsidR="00685606">
        <w:t>s</w:t>
      </w:r>
      <w:r w:rsidRPr="00BF50BF">
        <w:t>ection 4.3.2 of the Final 1st Interim Report on Completing the DSM and Evaluation Report p. 6.1. on effectiveness of general authorisation.</w:t>
      </w:r>
    </w:p>
  </w:footnote>
  <w:footnote w:id="48">
    <w:p w14:paraId="2F070C36" w14:textId="672D4228" w:rsidR="0044388A" w:rsidRPr="00BF50BF" w:rsidRDefault="0044388A" w:rsidP="006A3DDC">
      <w:pPr>
        <w:pStyle w:val="FootnoteText"/>
        <w:spacing w:line="240" w:lineRule="auto"/>
        <w:rPr>
          <w:lang w:val="en-IE"/>
        </w:rPr>
      </w:pPr>
      <w:r w:rsidRPr="00BF50BF">
        <w:rPr>
          <w:rStyle w:val="FootnoteReference"/>
        </w:rPr>
        <w:footnoteRef/>
      </w:r>
      <w:r w:rsidRPr="00BF50BF">
        <w:t xml:space="preserve"> </w:t>
      </w:r>
      <w:r w:rsidR="00115019" w:rsidRPr="00BF50BF">
        <w:rPr>
          <w:rStyle w:val="normaltextrun"/>
          <w:rFonts w:eastAsia="Times New Roman"/>
          <w:color w:val="000000" w:themeColor="text1"/>
        </w:rPr>
        <w:t xml:space="preserve">This is the case both </w:t>
      </w:r>
      <w:r w:rsidRPr="00BF50BF">
        <w:rPr>
          <w:rStyle w:val="normaltextrun"/>
          <w:rFonts w:eastAsia="Times New Roman"/>
          <w:color w:val="000000" w:themeColor="text1"/>
        </w:rPr>
        <w:t xml:space="preserve">for the same type of network or service provided in more than one Member State (e.g. end-users’ protection conditions remain nationally specific and are especially various for cross-border M2M services) or per types of networks and services (NB-ICS/NI-ICS, public ECN/non-public ECN and </w:t>
      </w:r>
      <w:r w:rsidR="3462F9A2" w:rsidRPr="00BF50BF">
        <w:rPr>
          <w:rStyle w:val="normaltextrun"/>
          <w:rFonts w:eastAsia="Times New Roman"/>
          <w:color w:val="000000" w:themeColor="text1"/>
        </w:rPr>
        <w:t>public</w:t>
      </w:r>
      <w:r w:rsidR="30B54B64" w:rsidRPr="00BF50BF">
        <w:rPr>
          <w:rStyle w:val="normaltextrun"/>
          <w:rFonts w:eastAsia="Times New Roman"/>
          <w:color w:val="000000" w:themeColor="text1"/>
        </w:rPr>
        <w:t xml:space="preserve"> ECS</w:t>
      </w:r>
      <w:r w:rsidR="3462F9A2" w:rsidRPr="00BF50BF">
        <w:rPr>
          <w:rStyle w:val="normaltextrun"/>
          <w:rFonts w:eastAsia="Times New Roman"/>
          <w:color w:val="000000" w:themeColor="text1"/>
        </w:rPr>
        <w:t>/</w:t>
      </w:r>
      <w:r w:rsidRPr="00BF50BF">
        <w:rPr>
          <w:rStyle w:val="normaltextrun"/>
          <w:rFonts w:eastAsia="Times New Roman"/>
          <w:color w:val="000000" w:themeColor="text1"/>
        </w:rPr>
        <w:t xml:space="preserve">non-public </w:t>
      </w:r>
      <w:r w:rsidR="30B54B64" w:rsidRPr="00BF50BF">
        <w:rPr>
          <w:rStyle w:val="normaltextrun"/>
          <w:rFonts w:eastAsia="Times New Roman"/>
          <w:color w:val="000000" w:themeColor="text1"/>
        </w:rPr>
        <w:t>ECS</w:t>
      </w:r>
      <w:r w:rsidRPr="00BF50BF">
        <w:rPr>
          <w:rStyle w:val="normaltextrun"/>
          <w:rFonts w:eastAsia="Times New Roman"/>
          <w:color w:val="000000" w:themeColor="text1"/>
        </w:rPr>
        <w:t>)</w:t>
      </w:r>
      <w:r w:rsidR="00997B54" w:rsidRPr="00BF50BF">
        <w:rPr>
          <w:rStyle w:val="normaltextrun"/>
          <w:rFonts w:eastAsia="Times New Roman"/>
          <w:color w:val="000000" w:themeColor="text1"/>
        </w:rPr>
        <w:t>.</w:t>
      </w:r>
    </w:p>
  </w:footnote>
  <w:footnote w:id="49">
    <w:p w14:paraId="6FCD7B76" w14:textId="1924C645" w:rsidR="3C84E212" w:rsidRPr="00BF50BF" w:rsidRDefault="3C84E212" w:rsidP="006A3DDC">
      <w:pPr>
        <w:spacing w:after="0" w:line="240" w:lineRule="auto"/>
        <w:rPr>
          <w:rFonts w:eastAsia="Times New Roman"/>
          <w:sz w:val="20"/>
          <w:szCs w:val="20"/>
        </w:rPr>
      </w:pPr>
      <w:r w:rsidRPr="00BF50BF">
        <w:rPr>
          <w:sz w:val="20"/>
          <w:szCs w:val="20"/>
          <w:vertAlign w:val="superscript"/>
        </w:rPr>
        <w:footnoteRef/>
      </w:r>
      <w:r w:rsidR="5138BA6E" w:rsidRPr="00BF50BF">
        <w:rPr>
          <w:sz w:val="20"/>
          <w:szCs w:val="20"/>
        </w:rPr>
        <w:t xml:space="preserve"> </w:t>
      </w:r>
      <w:r w:rsidR="6C8C6FD2" w:rsidRPr="00BF50BF">
        <w:rPr>
          <w:rFonts w:eastAsia="Times New Roman"/>
          <w:sz w:val="20"/>
          <w:szCs w:val="20"/>
        </w:rPr>
        <w:t>BEREC</w:t>
      </w:r>
      <w:r w:rsidR="5138BA6E" w:rsidRPr="00BF50BF">
        <w:rPr>
          <w:rFonts w:eastAsia="Times New Roman"/>
          <w:sz w:val="20"/>
          <w:szCs w:val="20"/>
        </w:rPr>
        <w:t xml:space="preserve"> </w:t>
      </w:r>
      <w:r w:rsidR="00844C79" w:rsidRPr="00BF50BF">
        <w:rPr>
          <w:rFonts w:eastAsia="Times New Roman"/>
          <w:sz w:val="20"/>
          <w:szCs w:val="20"/>
        </w:rPr>
        <w:t xml:space="preserve">2024 </w:t>
      </w:r>
      <w:r w:rsidR="5138BA6E" w:rsidRPr="00BF50BF">
        <w:rPr>
          <w:rFonts w:eastAsia="Times New Roman"/>
          <w:sz w:val="20"/>
          <w:szCs w:val="20"/>
        </w:rPr>
        <w:t>Opinion on the national implementation and functioning of the general authorisation, and on their impact on the functioning of the internal market, pursuant to Article</w:t>
      </w:r>
      <w:r w:rsidR="00A907F2">
        <w:rPr>
          <w:rFonts w:eastAsia="Times New Roman"/>
          <w:sz w:val="20"/>
          <w:szCs w:val="20"/>
        </w:rPr>
        <w:t> </w:t>
      </w:r>
      <w:r w:rsidR="5138BA6E" w:rsidRPr="00BF50BF">
        <w:rPr>
          <w:rFonts w:eastAsia="Times New Roman"/>
          <w:sz w:val="20"/>
          <w:szCs w:val="20"/>
        </w:rPr>
        <w:t>122, paragraph 3 EECC</w:t>
      </w:r>
      <w:r w:rsidR="67CF83C1" w:rsidRPr="00BF50BF">
        <w:rPr>
          <w:rFonts w:eastAsia="Times New Roman"/>
          <w:sz w:val="20"/>
          <w:szCs w:val="20"/>
        </w:rPr>
        <w:t>,</w:t>
      </w:r>
      <w:r w:rsidR="4A054306" w:rsidRPr="00BF50BF">
        <w:rPr>
          <w:rFonts w:eastAsia="Times New Roman"/>
          <w:sz w:val="20"/>
          <w:szCs w:val="20"/>
        </w:rPr>
        <w:t xml:space="preserve"> page 6 and 12. </w:t>
      </w:r>
      <w:r w:rsidR="00C2634B" w:rsidRPr="00BF50BF">
        <w:rPr>
          <w:rFonts w:eastAsia="Times New Roman"/>
          <w:sz w:val="20"/>
          <w:szCs w:val="20"/>
        </w:rPr>
        <w:t xml:space="preserve">BEREC noted that </w:t>
      </w:r>
      <w:r w:rsidR="008F33D7" w:rsidRPr="00BF50BF">
        <w:rPr>
          <w:rFonts w:eastAsia="Times New Roman"/>
          <w:sz w:val="20"/>
          <w:szCs w:val="20"/>
        </w:rPr>
        <w:t>‘</w:t>
      </w:r>
      <w:r w:rsidR="00C2634B" w:rsidRPr="00BF50BF">
        <w:rPr>
          <w:rFonts w:eastAsia="Times New Roman"/>
          <w:sz w:val="20"/>
          <w:szCs w:val="20"/>
        </w:rPr>
        <w:t>s</w:t>
      </w:r>
      <w:r w:rsidR="115F8624" w:rsidRPr="00BF50BF">
        <w:rPr>
          <w:rFonts w:eastAsia="Times New Roman"/>
          <w:sz w:val="20"/>
          <w:szCs w:val="20"/>
        </w:rPr>
        <w:t>uch inconsistencies fall outside the BEREC remit, but still BEREC would like to underline the importance of better looking into this matter, as further consistency in the overall notification-related fulfilments - beyond those already standardised by the EECC, enshrined in electronic communications legislation - would enhance the simplicity of market entry for ECN/ECS providers, hence the single market dimension.’</w:t>
      </w:r>
    </w:p>
  </w:footnote>
  <w:footnote w:id="50">
    <w:p w14:paraId="775E9CEE" w14:textId="7BE73FB7" w:rsidR="7FF0CB12" w:rsidRPr="00BF50BF" w:rsidRDefault="7FF0CB12" w:rsidP="006A3DDC">
      <w:pPr>
        <w:spacing w:after="0" w:line="240" w:lineRule="auto"/>
        <w:rPr>
          <w:rFonts w:eastAsia="Times New Roman"/>
          <w:sz w:val="20"/>
          <w:szCs w:val="20"/>
        </w:rPr>
      </w:pPr>
      <w:r w:rsidRPr="00BF50BF">
        <w:rPr>
          <w:rStyle w:val="FootnoteReference"/>
          <w:rFonts w:eastAsiaTheme="minorEastAsia"/>
          <w:sz w:val="20"/>
          <w:szCs w:val="20"/>
        </w:rPr>
        <w:footnoteRef/>
      </w:r>
      <w:r w:rsidR="1E288425" w:rsidRPr="00BF50BF">
        <w:rPr>
          <w:sz w:val="20"/>
          <w:szCs w:val="20"/>
        </w:rPr>
        <w:t xml:space="preserve"> However, it should be noted that certain </w:t>
      </w:r>
      <w:r w:rsidR="1E288425" w:rsidRPr="00BF50BF">
        <w:rPr>
          <w:rFonts w:eastAsia="Times New Roman"/>
          <w:sz w:val="20"/>
          <w:szCs w:val="20"/>
        </w:rPr>
        <w:t>data</w:t>
      </w:r>
      <w:r w:rsidR="16D772B2" w:rsidRPr="00BF50BF">
        <w:rPr>
          <w:rFonts w:eastAsia="Times New Roman"/>
          <w:sz w:val="20"/>
          <w:szCs w:val="20"/>
        </w:rPr>
        <w:t xml:space="preserve"> </w:t>
      </w:r>
      <w:r w:rsidR="2113289A" w:rsidRPr="00BF50BF">
        <w:rPr>
          <w:rFonts w:eastAsia="Times New Roman"/>
          <w:sz w:val="20"/>
          <w:szCs w:val="20"/>
        </w:rPr>
        <w:t>requirements</w:t>
      </w:r>
      <w:r w:rsidR="1E288425" w:rsidRPr="00BF50BF">
        <w:rPr>
          <w:rFonts w:eastAsia="Times New Roman"/>
          <w:sz w:val="20"/>
          <w:szCs w:val="20"/>
        </w:rPr>
        <w:t xml:space="preserve">, such as </w:t>
      </w:r>
      <w:r w:rsidR="61D68684" w:rsidRPr="00BF50BF">
        <w:rPr>
          <w:rFonts w:eastAsia="Times New Roman"/>
          <w:sz w:val="20"/>
          <w:szCs w:val="20"/>
        </w:rPr>
        <w:t xml:space="preserve">on </w:t>
      </w:r>
      <w:r w:rsidR="1E288425" w:rsidRPr="00BF50BF">
        <w:rPr>
          <w:rFonts w:eastAsia="Times New Roman"/>
          <w:sz w:val="20"/>
          <w:szCs w:val="20"/>
        </w:rPr>
        <w:t>sensitive data</w:t>
      </w:r>
      <w:r w:rsidR="00E87BA8" w:rsidRPr="00BF50BF">
        <w:rPr>
          <w:rFonts w:eastAsia="Times New Roman"/>
          <w:sz w:val="20"/>
          <w:szCs w:val="20"/>
        </w:rPr>
        <w:t xml:space="preserve"> related to national security, state security, defence</w:t>
      </w:r>
      <w:r w:rsidR="006343AF" w:rsidRPr="00BF50BF">
        <w:rPr>
          <w:rFonts w:eastAsia="Times New Roman"/>
          <w:sz w:val="20"/>
          <w:szCs w:val="20"/>
        </w:rPr>
        <w:t>, or public security</w:t>
      </w:r>
      <w:r w:rsidR="1E288425" w:rsidRPr="00BF50BF">
        <w:rPr>
          <w:rFonts w:eastAsia="Times New Roman"/>
          <w:sz w:val="20"/>
          <w:szCs w:val="20"/>
        </w:rPr>
        <w:t xml:space="preserve">, </w:t>
      </w:r>
      <w:r w:rsidR="249BCD54" w:rsidRPr="00BF50BF">
        <w:rPr>
          <w:rFonts w:eastAsia="Times New Roman"/>
          <w:sz w:val="20"/>
          <w:szCs w:val="20"/>
        </w:rPr>
        <w:t>remain</w:t>
      </w:r>
      <w:r w:rsidR="1E288425" w:rsidRPr="00BF50BF">
        <w:rPr>
          <w:rFonts w:eastAsia="Times New Roman"/>
          <w:sz w:val="20"/>
          <w:szCs w:val="20"/>
        </w:rPr>
        <w:t xml:space="preserve"> excluded</w:t>
      </w:r>
      <w:r w:rsidR="249BCD54" w:rsidRPr="00BF50BF">
        <w:rPr>
          <w:rFonts w:eastAsia="Times New Roman"/>
          <w:sz w:val="20"/>
          <w:szCs w:val="20"/>
        </w:rPr>
        <w:t xml:space="preserve"> </w:t>
      </w:r>
      <w:r w:rsidR="1E288425" w:rsidRPr="00BF50BF">
        <w:rPr>
          <w:rFonts w:eastAsia="Times New Roman"/>
          <w:sz w:val="20"/>
          <w:szCs w:val="20"/>
        </w:rPr>
        <w:t xml:space="preserve">from </w:t>
      </w:r>
      <w:r w:rsidR="3E8EE32B" w:rsidRPr="00BF50BF">
        <w:rPr>
          <w:rFonts w:eastAsia="Times New Roman"/>
          <w:sz w:val="20"/>
          <w:szCs w:val="20"/>
        </w:rPr>
        <w:t>the</w:t>
      </w:r>
      <w:r w:rsidR="1DCF2188" w:rsidRPr="00BF50BF">
        <w:rPr>
          <w:rFonts w:eastAsia="Times New Roman"/>
          <w:sz w:val="20"/>
          <w:szCs w:val="20"/>
        </w:rPr>
        <w:t xml:space="preserve"> Union</w:t>
      </w:r>
      <w:r w:rsidR="3E8EE32B" w:rsidRPr="00BF50BF">
        <w:rPr>
          <w:rFonts w:eastAsia="Times New Roman"/>
          <w:sz w:val="20"/>
          <w:szCs w:val="20"/>
        </w:rPr>
        <w:t xml:space="preserve"> </w:t>
      </w:r>
      <w:r w:rsidR="35639A1A" w:rsidRPr="00BF50BF">
        <w:rPr>
          <w:rFonts w:eastAsia="Times New Roman"/>
          <w:sz w:val="20"/>
          <w:szCs w:val="20"/>
        </w:rPr>
        <w:t>harmonisation efforts</w:t>
      </w:r>
      <w:r w:rsidR="00CE208A" w:rsidRPr="00BF50BF">
        <w:rPr>
          <w:rFonts w:eastAsia="Times New Roman"/>
          <w:sz w:val="20"/>
          <w:szCs w:val="20"/>
        </w:rPr>
        <w:t xml:space="preserve">. </w:t>
      </w:r>
      <w:r w:rsidR="006D07B7" w:rsidRPr="00BF50BF">
        <w:rPr>
          <w:rFonts w:eastAsia="Times New Roman"/>
          <w:sz w:val="20"/>
          <w:szCs w:val="20"/>
        </w:rPr>
        <w:t>Article</w:t>
      </w:r>
      <w:r w:rsidR="00A907F2">
        <w:rPr>
          <w:rFonts w:eastAsia="Times New Roman"/>
          <w:sz w:val="20"/>
          <w:szCs w:val="20"/>
        </w:rPr>
        <w:t> </w:t>
      </w:r>
      <w:r w:rsidR="006D07B7" w:rsidRPr="00BF50BF">
        <w:rPr>
          <w:rFonts w:eastAsia="Times New Roman"/>
          <w:sz w:val="20"/>
          <w:szCs w:val="20"/>
        </w:rPr>
        <w:t>4(2) TEU remains basis for th</w:t>
      </w:r>
      <w:r w:rsidR="001F38DB" w:rsidRPr="00BF50BF">
        <w:rPr>
          <w:rFonts w:eastAsia="Times New Roman"/>
          <w:sz w:val="20"/>
          <w:szCs w:val="20"/>
        </w:rPr>
        <w:t>ese</w:t>
      </w:r>
      <w:r w:rsidR="006D07B7" w:rsidRPr="00BF50BF">
        <w:rPr>
          <w:rFonts w:eastAsia="Times New Roman"/>
          <w:sz w:val="20"/>
          <w:szCs w:val="20"/>
        </w:rPr>
        <w:t xml:space="preserve"> exclusions</w:t>
      </w:r>
      <w:r w:rsidR="00CE208A" w:rsidRPr="00BF50BF">
        <w:rPr>
          <w:rFonts w:eastAsia="Times New Roman"/>
          <w:sz w:val="20"/>
          <w:szCs w:val="20"/>
        </w:rPr>
        <w:t xml:space="preserve"> and is consistently reinforced throughout data-related EU legislation.</w:t>
      </w:r>
    </w:p>
  </w:footnote>
  <w:footnote w:id="51">
    <w:p w14:paraId="7922B214" w14:textId="7D89EBF4" w:rsidR="2212D448" w:rsidRPr="00BF50BF" w:rsidRDefault="2212D448" w:rsidP="006A3DDC">
      <w:pPr>
        <w:pStyle w:val="FootnoteText"/>
        <w:spacing w:line="240" w:lineRule="auto"/>
        <w:rPr>
          <w:rFonts w:eastAsia="Times New Roman"/>
        </w:rPr>
      </w:pPr>
      <w:r w:rsidRPr="00BF50BF">
        <w:rPr>
          <w:vertAlign w:val="superscript"/>
        </w:rPr>
        <w:footnoteRef/>
      </w:r>
      <w:r w:rsidR="00DB7BEB">
        <w:rPr>
          <w:vertAlign w:val="superscript"/>
        </w:rPr>
        <w:t xml:space="preserve"> </w:t>
      </w:r>
      <w:r w:rsidRPr="00BF50BF">
        <w:rPr>
          <w:color w:val="000000" w:themeColor="text1"/>
          <w:lang w:val="en-IE"/>
        </w:rPr>
        <w:t>The differentiated national implementation of the EECC and the following detrimental effects to the Single Market that could arise by “gold-plating” is discussed by Letta, (2024), Much More than a Market, p. 125 and has been emphasised by a significant number of stakeholders who have contributed to the 2025 Call for Evidence on the DNA, 2024 White Paper ‘How to master Europe’s digital infrastructure needs’ as well as the 2023 ‘Exploratory consultation on the future of the electronic communications sector and its infrastructure’.</w:t>
      </w:r>
    </w:p>
  </w:footnote>
  <w:footnote w:id="52">
    <w:p w14:paraId="0872F878" w14:textId="2782C36D" w:rsidR="2B1347FF" w:rsidRPr="00BF50BF" w:rsidRDefault="2B1347FF" w:rsidP="006A3DDC">
      <w:pPr>
        <w:spacing w:after="20" w:line="240" w:lineRule="auto"/>
        <w:rPr>
          <w:sz w:val="20"/>
          <w:szCs w:val="20"/>
        </w:rPr>
      </w:pPr>
      <w:r w:rsidRPr="00BF50BF">
        <w:rPr>
          <w:rFonts w:eastAsiaTheme="minorEastAsia"/>
          <w:sz w:val="20"/>
          <w:szCs w:val="20"/>
          <w:vertAlign w:val="superscript"/>
        </w:rPr>
        <w:footnoteRef/>
      </w:r>
      <w:r w:rsidR="1A46B9C4" w:rsidRPr="00BF50BF">
        <w:rPr>
          <w:sz w:val="20"/>
          <w:szCs w:val="20"/>
        </w:rPr>
        <w:t xml:space="preserve"> </w:t>
      </w:r>
      <w:r w:rsidR="2F138860" w:rsidRPr="00BF50BF">
        <w:rPr>
          <w:sz w:val="20"/>
          <w:szCs w:val="20"/>
        </w:rPr>
        <w:t>C</w:t>
      </w:r>
      <w:r w:rsidR="17656FA4" w:rsidRPr="00BF50BF">
        <w:rPr>
          <w:sz w:val="20"/>
          <w:szCs w:val="20"/>
        </w:rPr>
        <w:t>ross-border (pan</w:t>
      </w:r>
      <w:r w:rsidR="1A46B9C4" w:rsidRPr="00BF50BF">
        <w:rPr>
          <w:sz w:val="20"/>
          <w:szCs w:val="20"/>
        </w:rPr>
        <w:t>-European</w:t>
      </w:r>
      <w:r w:rsidR="17656FA4" w:rsidRPr="00BF50BF">
        <w:rPr>
          <w:sz w:val="20"/>
          <w:szCs w:val="20"/>
        </w:rPr>
        <w:t>)</w:t>
      </w:r>
      <w:r w:rsidR="1A46B9C4" w:rsidRPr="00BF50BF">
        <w:rPr>
          <w:sz w:val="20"/>
          <w:szCs w:val="20"/>
        </w:rPr>
        <w:t xml:space="preserve"> provider for the purpose of this estimation means an operator with a meaningful physical presence and regulatory footprint in all 27 EU Member States.  </w:t>
      </w:r>
    </w:p>
  </w:footnote>
  <w:footnote w:id="53">
    <w:p w14:paraId="60F3E668" w14:textId="01C29A5A" w:rsidR="4CE29689" w:rsidRPr="00BF50BF" w:rsidRDefault="4CE29689" w:rsidP="006A3DDC">
      <w:pPr>
        <w:spacing w:after="0" w:line="240" w:lineRule="auto"/>
        <w:rPr>
          <w:sz w:val="20"/>
          <w:szCs w:val="20"/>
        </w:rPr>
      </w:pPr>
      <w:r w:rsidRPr="00292895">
        <w:rPr>
          <w:rStyle w:val="FootnoteReference"/>
          <w:sz w:val="20"/>
        </w:rPr>
        <w:footnoteRef/>
      </w:r>
      <w:r w:rsidR="275464A3" w:rsidRPr="00BF50BF">
        <w:rPr>
          <w:sz w:val="20"/>
          <w:szCs w:val="20"/>
          <w:vertAlign w:val="superscript"/>
        </w:rPr>
        <w:t xml:space="preserve"> </w:t>
      </w:r>
      <w:r w:rsidR="275464A3" w:rsidRPr="00BF50BF">
        <w:rPr>
          <w:sz w:val="20"/>
          <w:szCs w:val="20"/>
        </w:rPr>
        <w:t xml:space="preserve">While a significant number of respondents (95 out of 326) to the Call for Evidence have stressed that a simplified, harmonised GA and reporting framework are essential to reduce regulatory fragmentation, enable cross-border operations, and stimulate investment and innovation, they have not supplemented this with quantitative analysis on costs they incur due to the fragmented rules they face. However, this additional quantitative data was collected via desk research and </w:t>
      </w:r>
      <w:r w:rsidR="2FBB05C1" w:rsidRPr="00BF50BF">
        <w:rPr>
          <w:sz w:val="20"/>
          <w:szCs w:val="20"/>
        </w:rPr>
        <w:t>further interview</w:t>
      </w:r>
      <w:r w:rsidR="275464A3" w:rsidRPr="00BF50BF">
        <w:rPr>
          <w:sz w:val="20"/>
          <w:szCs w:val="20"/>
        </w:rPr>
        <w:t xml:space="preserve"> with stakeholders.</w:t>
      </w:r>
    </w:p>
  </w:footnote>
  <w:footnote w:id="54">
    <w:p w14:paraId="1B49F00B" w14:textId="77777777" w:rsidR="13478C97" w:rsidRPr="00BF50BF" w:rsidRDefault="13478C97" w:rsidP="006A3DDC">
      <w:pPr>
        <w:pStyle w:val="FootnoteText"/>
        <w:spacing w:line="240" w:lineRule="auto"/>
        <w:jc w:val="left"/>
        <w:rPr>
          <w:rFonts w:eastAsia="Times New Roman"/>
        </w:rPr>
      </w:pPr>
      <w:r w:rsidRPr="00BF50BF">
        <w:rPr>
          <w:vertAlign w:val="superscript"/>
        </w:rPr>
        <w:footnoteRef/>
      </w:r>
      <w:r w:rsidRPr="00BF50BF">
        <w:t xml:space="preserve"> </w:t>
      </w:r>
      <w:r w:rsidRPr="00BF50BF">
        <w:rPr>
          <w:color w:val="000000" w:themeColor="text1"/>
          <w:lang w:val="en-IE"/>
        </w:rPr>
        <w:t xml:space="preserve">Splunk, Splunk Report Shows Downtime Costs Global 2000 Companies $400B Annually, </w:t>
      </w:r>
      <w:hyperlink r:id="rId29">
        <w:r w:rsidRPr="00BF50BF">
          <w:rPr>
            <w:rStyle w:val="Hyperlink"/>
            <w:lang w:val="en-IE"/>
          </w:rPr>
          <w:t>https://www.splunk.com/en_us/newsroom/press-releases/2024/conf24-splunk-report-shows-downtime-costs-global-2000-companies-400-billion-annually.html</w:t>
        </w:r>
      </w:hyperlink>
      <w:r w:rsidRPr="00BF50BF">
        <w:rPr>
          <w:color w:val="000000" w:themeColor="text1"/>
          <w:lang w:val="en-IE"/>
        </w:rPr>
        <w:t>.</w:t>
      </w:r>
    </w:p>
  </w:footnote>
  <w:footnote w:id="55">
    <w:p w14:paraId="45C89BEA" w14:textId="5896C323" w:rsidR="13478C97" w:rsidRPr="00BF50BF" w:rsidRDefault="13478C97" w:rsidP="006A3DDC">
      <w:pPr>
        <w:pStyle w:val="FootnoteText"/>
        <w:spacing w:line="240" w:lineRule="auto"/>
        <w:rPr>
          <w:rFonts w:eastAsia="Times New Roman"/>
        </w:rPr>
      </w:pPr>
      <w:r w:rsidRPr="00BF50BF">
        <w:rPr>
          <w:vertAlign w:val="superscript"/>
        </w:rPr>
        <w:footnoteRef/>
      </w:r>
      <w:r w:rsidRPr="00BF50BF">
        <w:t xml:space="preserve"> </w:t>
      </w:r>
      <w:r w:rsidRPr="00BF50BF">
        <w:rPr>
          <w:color w:val="000000" w:themeColor="text1"/>
        </w:rPr>
        <w:t xml:space="preserve">The Connexion, </w:t>
      </w:r>
      <w:r w:rsidRPr="00BF50BF">
        <w:rPr>
          <w:color w:val="000000" w:themeColor="text1"/>
          <w:lang w:val="en-IE"/>
        </w:rPr>
        <w:t>Emergency</w:t>
      </w:r>
      <w:r w:rsidRPr="00BF50BF">
        <w:rPr>
          <w:color w:val="000000" w:themeColor="text1"/>
        </w:rPr>
        <w:t xml:space="preserve"> numbers disrupted in France: Inquiry opened into 4 deaths, </w:t>
      </w:r>
      <w:hyperlink r:id="rId30">
        <w:r w:rsidRPr="00BF50BF">
          <w:rPr>
            <w:rStyle w:val="Hyperlink"/>
          </w:rPr>
          <w:t>https://www.connexionfrance.com/news/emergency-numbers-disrupted-in-france-inquiry-opened-into-4-deaths/436843</w:t>
        </w:r>
      </w:hyperlink>
      <w:r w:rsidR="00723E97" w:rsidRPr="00BF50BF">
        <w:t>.</w:t>
      </w:r>
    </w:p>
  </w:footnote>
  <w:footnote w:id="56">
    <w:p w14:paraId="52D834E0" w14:textId="77777777" w:rsidR="004179B5" w:rsidRPr="00BF50BF" w:rsidRDefault="004179B5" w:rsidP="006A3DDC">
      <w:pPr>
        <w:pStyle w:val="FootnoteText"/>
        <w:spacing w:line="240" w:lineRule="auto"/>
        <w:rPr>
          <w:lang w:val="en-IE"/>
        </w:rPr>
      </w:pPr>
      <w:r w:rsidRPr="00BF50BF">
        <w:rPr>
          <w:rStyle w:val="FootnoteReference"/>
        </w:rPr>
        <w:footnoteRef/>
      </w:r>
      <w:r w:rsidRPr="00BF50BF">
        <w:t xml:space="preserve"> LEO constellations can provide global, uniform, low-latency coverage because they are constantly moving around the Earth, many moving satellites can cover every point on Earth eventually and hand over coverage/service to each other.</w:t>
      </w:r>
    </w:p>
  </w:footnote>
  <w:footnote w:id="57">
    <w:p w14:paraId="32C7213F" w14:textId="61472230" w:rsidR="00D30E01" w:rsidRPr="00BF50BF" w:rsidRDefault="00D30E01" w:rsidP="006A3DDC">
      <w:pPr>
        <w:pStyle w:val="FootnoteText"/>
        <w:spacing w:line="240" w:lineRule="auto"/>
        <w:rPr>
          <w:lang w:val="it-IT"/>
        </w:rPr>
      </w:pPr>
      <w:r w:rsidRPr="00BF50BF">
        <w:rPr>
          <w:rStyle w:val="FootnoteReference"/>
        </w:rPr>
        <w:footnoteRef/>
      </w:r>
      <w:r w:rsidRPr="00BF50BF">
        <w:rPr>
          <w:lang w:val="it-IT"/>
        </w:rPr>
        <w:t xml:space="preserve"> </w:t>
      </w:r>
      <w:hyperlink r:id="rId31" w:history="1">
        <w:r w:rsidRPr="00BF50BF">
          <w:rPr>
            <w:rStyle w:val="Hyperlink"/>
            <w:lang w:val="it-IT"/>
          </w:rPr>
          <w:t>5G Non-Terrestrial Networks by Alessandro Vanelli-Coralli and Nicolas Chuberre, et al</w:t>
        </w:r>
      </w:hyperlink>
      <w:r w:rsidRPr="00BF50BF">
        <w:rPr>
          <w:lang w:val="it-IT"/>
        </w:rPr>
        <w:t>.</w:t>
      </w:r>
    </w:p>
  </w:footnote>
  <w:footnote w:id="58">
    <w:p w14:paraId="539764DA" w14:textId="10D2BD9E" w:rsidR="00231D9E" w:rsidRPr="00BF50BF" w:rsidRDefault="00231D9E" w:rsidP="006A3DDC">
      <w:pPr>
        <w:pStyle w:val="FootnoteText"/>
        <w:spacing w:line="240" w:lineRule="auto"/>
        <w:jc w:val="left"/>
      </w:pPr>
      <w:r w:rsidRPr="00BF50BF">
        <w:rPr>
          <w:rStyle w:val="FootnoteReference"/>
        </w:rPr>
        <w:footnoteRef/>
      </w:r>
      <w:r w:rsidRPr="00BF50BF">
        <w:t xml:space="preserve"> Satellite </w:t>
      </w:r>
      <w:r w:rsidRPr="00BF50BF">
        <w:rPr>
          <w:color w:val="000000" w:themeColor="text1"/>
          <w:lang w:val="en-IE"/>
        </w:rPr>
        <w:t>technologies</w:t>
      </w:r>
      <w:r w:rsidRPr="00BF50BF">
        <w:t xml:space="preserve"> are </w:t>
      </w:r>
      <w:r w:rsidRPr="00BF50BF">
        <w:rPr>
          <w:lang w:val="en-IE"/>
        </w:rPr>
        <w:t>inherently</w:t>
      </w:r>
      <w:r w:rsidRPr="00BF50BF">
        <w:t xml:space="preserve"> dual-use, designed to serve both civilian and defence purposes.</w:t>
      </w:r>
    </w:p>
  </w:footnote>
  <w:footnote w:id="59">
    <w:p w14:paraId="516231B7" w14:textId="5E8FE65E" w:rsidR="00B9430C" w:rsidRPr="00BF50BF" w:rsidRDefault="00B9430C" w:rsidP="006A3DDC">
      <w:pPr>
        <w:pStyle w:val="FootnoteText"/>
        <w:spacing w:line="240" w:lineRule="auto"/>
      </w:pPr>
      <w:r w:rsidRPr="00BF50BF">
        <w:rPr>
          <w:rStyle w:val="FootnoteReference"/>
        </w:rPr>
        <w:footnoteRef/>
      </w:r>
      <w:r w:rsidRPr="00BF50BF">
        <w:t xml:space="preserve"> The EU is the </w:t>
      </w:r>
      <w:r w:rsidRPr="00BF50BF">
        <w:rPr>
          <w:lang w:val="en-IE"/>
        </w:rPr>
        <w:t>world’s</w:t>
      </w:r>
      <w:r w:rsidRPr="00BF50BF">
        <w:t xml:space="preserve"> third largest player in most aspects of the satellite sector, following the United States and China. As of 2023, Europe’s share of the downstream market was estimated to represent 23.0% (EUR</w:t>
      </w:r>
      <w:r w:rsidR="00352B9B" w:rsidRPr="00BF50BF">
        <w:rPr>
          <w:rFonts w:eastAsia="Times New Roman"/>
          <w:color w:val="000000" w:themeColor="text1"/>
        </w:rPr>
        <w:t> </w:t>
      </w:r>
      <w:r w:rsidRPr="00BF50BF">
        <w:t>89 billion) of the total global market value (EUR</w:t>
      </w:r>
      <w:r w:rsidR="00352B9B" w:rsidRPr="00BF50BF">
        <w:rPr>
          <w:rFonts w:eastAsia="Times New Roman"/>
          <w:color w:val="000000" w:themeColor="text1"/>
        </w:rPr>
        <w:t> </w:t>
      </w:r>
      <w:r w:rsidRPr="00BF50BF">
        <w:t>387 billion) – see Euroconsult (2023) as cited in the European Commission’s Impact Assessment for the Space Act (</w:t>
      </w:r>
      <w:hyperlink r:id="rId32" w:history="1">
        <w:r w:rsidRPr="00BF50BF">
          <w:rPr>
            <w:rStyle w:val="Hyperlink"/>
          </w:rPr>
          <w:t>SWD(2025) 335 final</w:t>
        </w:r>
      </w:hyperlink>
      <w:r w:rsidRPr="00BF50BF">
        <w:t>), part 1/2, p. 4</w:t>
      </w:r>
      <w:r w:rsidR="00DB3A77" w:rsidRPr="00BF50BF">
        <w:t>.</w:t>
      </w:r>
      <w:r w:rsidRPr="00BF50BF">
        <w:t xml:space="preserve"> </w:t>
      </w:r>
    </w:p>
  </w:footnote>
  <w:footnote w:id="60">
    <w:p w14:paraId="7938689B" w14:textId="210D7409" w:rsidR="00501E37" w:rsidRPr="00BF50BF" w:rsidRDefault="00501E37" w:rsidP="006A3DDC">
      <w:pPr>
        <w:pStyle w:val="FootnoteText"/>
        <w:spacing w:line="240" w:lineRule="auto"/>
        <w:rPr>
          <w:lang w:val="en-IE"/>
        </w:rPr>
      </w:pPr>
      <w:r w:rsidRPr="00BF50BF">
        <w:rPr>
          <w:rStyle w:val="FootnoteReference"/>
        </w:rPr>
        <w:footnoteRef/>
      </w:r>
      <w:r w:rsidRPr="00BF50BF">
        <w:t xml:space="preserve"> </w:t>
      </w:r>
      <w:r w:rsidR="00356BD0" w:rsidRPr="00BF50BF">
        <w:t xml:space="preserve">European Commission: DETECON Study on mobile satellite services (MSS) in the 2 GHz band in the EU – Implementation of the current regulatory framework and an overview of the satellite connectivity market – Final report, 2025, </w:t>
      </w:r>
      <w:hyperlink r:id="rId33" w:history="1">
        <w:r w:rsidR="00356BD0" w:rsidRPr="00BF50BF">
          <w:rPr>
            <w:rStyle w:val="Hyperlink"/>
          </w:rPr>
          <w:t>https://data.europa.eu/doi/10.2759/5764760</w:t>
        </w:r>
      </w:hyperlink>
      <w:r w:rsidR="00822343" w:rsidRPr="00BF50BF">
        <w:t>.</w:t>
      </w:r>
    </w:p>
  </w:footnote>
  <w:footnote w:id="61">
    <w:p w14:paraId="61FC6488" w14:textId="2F2DECB3" w:rsidR="0059733B" w:rsidRPr="00BF50BF" w:rsidRDefault="0059733B" w:rsidP="0059733B">
      <w:pPr>
        <w:pStyle w:val="FootnoteText"/>
        <w:spacing w:line="240" w:lineRule="auto"/>
        <w:rPr>
          <w:lang w:val="en-IE"/>
        </w:rPr>
      </w:pPr>
      <w:r w:rsidRPr="00BF50BF">
        <w:rPr>
          <w:rStyle w:val="FootnoteReference"/>
        </w:rPr>
        <w:footnoteRef/>
      </w:r>
      <w:r w:rsidRPr="00BF50BF">
        <w:t xml:space="preserve"> </w:t>
      </w:r>
      <w:hyperlink r:id="rId34" w:history="1">
        <w:r w:rsidRPr="00BF50BF">
          <w:rPr>
            <w:rStyle w:val="Hyperlink"/>
            <w:rFonts w:eastAsia="Times New Roman"/>
          </w:rPr>
          <w:t xml:space="preserve">Detecon </w:t>
        </w:r>
        <w:r w:rsidRPr="00BF50BF">
          <w:rPr>
            <w:rStyle w:val="Hyperlink"/>
            <w:lang w:val="en-IE"/>
          </w:rPr>
          <w:t>International</w:t>
        </w:r>
        <w:r w:rsidRPr="00BF50BF">
          <w:rPr>
            <w:rStyle w:val="Hyperlink"/>
            <w:rFonts w:eastAsia="Times New Roman"/>
          </w:rPr>
          <w:t xml:space="preserve"> GmbH 2025</w:t>
        </w:r>
      </w:hyperlink>
      <w:r w:rsidRPr="00BF50BF">
        <w:rPr>
          <w:rFonts w:eastAsia="Times New Roman"/>
        </w:rPr>
        <w:t xml:space="preserve">. This data are to be considered with caution and as indicative. </w:t>
      </w:r>
      <w:r w:rsidRPr="00BF50BF">
        <w:rPr>
          <w:lang w:val="en-IE"/>
        </w:rPr>
        <w:t>Detecon tabulates the launches and planned satellites adding up the satellite constellations by country of ownership (ignoring the complexities of multiple shareholders from different countries, unless it is close to a 50/50 split). Note that this metric excludes the most optimistic claims of some of the announcements, including Starlink’s additional 4</w:t>
      </w:r>
      <w:r w:rsidR="002B17A1">
        <w:rPr>
          <w:lang w:val="en-IE"/>
        </w:rPr>
        <w:t> </w:t>
      </w:r>
      <w:r w:rsidRPr="00BF50BF">
        <w:rPr>
          <w:lang w:val="en-IE"/>
        </w:rPr>
        <w:t>450 to 12</w:t>
      </w:r>
      <w:r w:rsidR="002B17A1">
        <w:rPr>
          <w:lang w:val="en-IE"/>
        </w:rPr>
        <w:t> </w:t>
      </w:r>
      <w:r w:rsidRPr="00BF50BF">
        <w:rPr>
          <w:lang w:val="en-IE"/>
        </w:rPr>
        <w:t>000 satellites in the USA column (reported as submitted to the ITU in 2019) and the additional 10 700 satellites which the Thousand Sails constellation may expand to which would add to the China column. Note that counting satellites may also not be the most accurate metric, as it does not account for weight. Comparing kilograms in orbit is probably a more meaningful metric, if such ever becomes available.</w:t>
      </w:r>
    </w:p>
  </w:footnote>
  <w:footnote w:id="62">
    <w:p w14:paraId="2D079206" w14:textId="5D95D5EE" w:rsidR="005C68B6" w:rsidRPr="00BF50BF" w:rsidRDefault="005C68B6" w:rsidP="006A3DDC">
      <w:pPr>
        <w:pStyle w:val="FootnoteText"/>
        <w:spacing w:line="240" w:lineRule="auto"/>
        <w:rPr>
          <w:lang w:val="en-IE"/>
        </w:rPr>
      </w:pPr>
      <w:r w:rsidRPr="00BF50BF">
        <w:rPr>
          <w:rStyle w:val="FootnoteReference"/>
        </w:rPr>
        <w:footnoteRef/>
      </w:r>
      <w:r w:rsidRPr="00BF50BF">
        <w:t xml:space="preserve"> </w:t>
      </w:r>
      <w:r w:rsidRPr="00BF50BF">
        <w:rPr>
          <w:rFonts w:eastAsia="Times New Roman"/>
          <w:lang w:val="en-IE"/>
        </w:rPr>
        <w:t>Cf. also Annex 7</w:t>
      </w:r>
      <w:r w:rsidR="002B17A1">
        <w:rPr>
          <w:rFonts w:eastAsia="Times New Roman"/>
          <w:lang w:val="en-IE"/>
        </w:rPr>
        <w:t>,</w:t>
      </w:r>
      <w:r w:rsidRPr="00BF50BF">
        <w:rPr>
          <w:rFonts w:eastAsia="Times New Roman"/>
          <w:lang w:val="en-IE"/>
        </w:rPr>
        <w:t xml:space="preserve"> </w:t>
      </w:r>
      <w:r w:rsidR="002B17A1">
        <w:rPr>
          <w:rFonts w:eastAsia="Times New Roman"/>
          <w:lang w:val="en-IE"/>
        </w:rPr>
        <w:t>s</w:t>
      </w:r>
      <w:r w:rsidRPr="00BF50BF">
        <w:rPr>
          <w:rFonts w:eastAsia="Times New Roman"/>
          <w:lang w:val="en-IE"/>
        </w:rPr>
        <w:t>ection 1.3. for future authorisation needs of new constellations, as for example IRIS 2 and existing barriers.</w:t>
      </w:r>
    </w:p>
  </w:footnote>
  <w:footnote w:id="63">
    <w:p w14:paraId="5DA5BC9F" w14:textId="73FD9885" w:rsidR="00A06D15" w:rsidRPr="00BF50BF" w:rsidRDefault="00A06D15" w:rsidP="006A3DDC">
      <w:pPr>
        <w:pStyle w:val="FootnoteText"/>
        <w:spacing w:line="240" w:lineRule="auto"/>
        <w:jc w:val="left"/>
      </w:pPr>
      <w:r w:rsidRPr="00BF50BF">
        <w:rPr>
          <w:rStyle w:val="FootnoteReference"/>
        </w:rPr>
        <w:footnoteRef/>
      </w:r>
      <w:r w:rsidRPr="00BF50BF">
        <w:t xml:space="preserve"> </w:t>
      </w:r>
      <w:hyperlink r:id="rId35" w:history="1">
        <w:r w:rsidRPr="00BF50BF">
          <w:rPr>
            <w:rStyle w:val="Hyperlink"/>
            <w:lang w:val="en-IE"/>
          </w:rPr>
          <w:t xml:space="preserve">Analysis Mason, March 2024, </w:t>
        </w:r>
        <w:r w:rsidRPr="00BF50BF">
          <w:rPr>
            <w:rStyle w:val="Hyperlink"/>
          </w:rPr>
          <w:t>Lluc Palerm and Jiachen Zhang</w:t>
        </w:r>
      </w:hyperlink>
      <w:r w:rsidRPr="00BF50BF">
        <w:rPr>
          <w:lang w:val="en-IE"/>
        </w:rPr>
        <w:t xml:space="preserve">: </w:t>
      </w:r>
      <w:r w:rsidRPr="00BF50BF">
        <w:t xml:space="preserve">Satellite direct-to-device technology needs to evolve through four phases before reaching its full potential see </w:t>
      </w:r>
      <w:hyperlink r:id="rId36" w:history="1">
        <w:r w:rsidR="00351491" w:rsidRPr="00BF50BF">
          <w:rPr>
            <w:rStyle w:val="Hyperlink"/>
          </w:rPr>
          <w:t>link</w:t>
        </w:r>
      </w:hyperlink>
      <w:r w:rsidR="00822343" w:rsidRPr="00BF50BF">
        <w:t>.</w:t>
      </w:r>
    </w:p>
  </w:footnote>
  <w:footnote w:id="64">
    <w:p w14:paraId="2727208A" w14:textId="77777777" w:rsidR="002A2F02" w:rsidRPr="00BF50BF" w:rsidRDefault="002A2F02" w:rsidP="006A3DDC">
      <w:pPr>
        <w:pStyle w:val="FootnoteText"/>
        <w:spacing w:line="240" w:lineRule="auto"/>
        <w:rPr>
          <w:lang w:val="ca-ES"/>
        </w:rPr>
      </w:pPr>
      <w:r w:rsidRPr="00BF50BF">
        <w:rPr>
          <w:rStyle w:val="FootnoteReference"/>
        </w:rPr>
        <w:footnoteRef/>
      </w:r>
      <w:r w:rsidRPr="00BF50BF">
        <w:t xml:space="preserve"> </w:t>
      </w:r>
      <w:r w:rsidR="00C31DAD" w:rsidRPr="00BF50BF">
        <w:t xml:space="preserve">The </w:t>
      </w:r>
      <w:r w:rsidR="002D60DB" w:rsidRPr="00BF50BF">
        <w:t>EU Space Act</w:t>
      </w:r>
      <w:r w:rsidR="004D42AC" w:rsidRPr="00BF50BF">
        <w:t xml:space="preserve"> proposal</w:t>
      </w:r>
      <w:r w:rsidR="002D60DB" w:rsidRPr="00BF50BF">
        <w:t xml:space="preserve"> </w:t>
      </w:r>
      <w:r w:rsidR="000154CF" w:rsidRPr="00BF50BF">
        <w:t>env</w:t>
      </w:r>
      <w:r w:rsidR="00BE27F5" w:rsidRPr="00BF50BF">
        <w:t>isages preventive</w:t>
      </w:r>
      <w:r w:rsidR="00E829C3" w:rsidRPr="00BF50BF">
        <w:t xml:space="preserve"> </w:t>
      </w:r>
      <w:r w:rsidR="00605E92" w:rsidRPr="00BF50BF">
        <w:t xml:space="preserve">interference </w:t>
      </w:r>
      <w:r w:rsidR="00BE27F5" w:rsidRPr="00BF50BF">
        <w:t>measures</w:t>
      </w:r>
      <w:r w:rsidR="004F7358" w:rsidRPr="00BF50BF">
        <w:t xml:space="preserve"> for satellite operations</w:t>
      </w:r>
      <w:r w:rsidR="00BE27F5" w:rsidRPr="00BF50BF">
        <w:t xml:space="preserve"> in the EU</w:t>
      </w:r>
      <w:r w:rsidR="00605E92" w:rsidRPr="00BF50BF">
        <w:t xml:space="preserve"> </w:t>
      </w:r>
      <w:r w:rsidR="00547D04" w:rsidRPr="00BF50BF">
        <w:t>(</w:t>
      </w:r>
      <w:r w:rsidR="00EC2ECD" w:rsidRPr="00BF50BF">
        <w:t>different from</w:t>
      </w:r>
      <w:r w:rsidR="00547D04" w:rsidRPr="00BF50BF">
        <w:t xml:space="preserve"> satellite communication services) by</w:t>
      </w:r>
      <w:r w:rsidR="007B370F" w:rsidRPr="00BF50BF">
        <w:t xml:space="preserve"> requesting the use of cryptography-encryption in the Union satellite operations and</w:t>
      </w:r>
      <w:r w:rsidR="00547D04" w:rsidRPr="00BF50BF">
        <w:t xml:space="preserve"> </w:t>
      </w:r>
      <w:r w:rsidR="008A3CF7" w:rsidRPr="00BF50BF">
        <w:t>assessing the risks to lose control of assets with capacity to emit interferences susceptible to adversely impact the security of other space operations</w:t>
      </w:r>
      <w:r w:rsidR="00EC2ECD" w:rsidRPr="00BF50BF">
        <w:t>.</w:t>
      </w:r>
    </w:p>
  </w:footnote>
  <w:footnote w:id="65">
    <w:p w14:paraId="62A59393" w14:textId="583CEC31" w:rsidR="002C060F" w:rsidRPr="00BF50BF" w:rsidRDefault="002C060F" w:rsidP="006A3DDC">
      <w:pPr>
        <w:pStyle w:val="FootnoteText"/>
        <w:spacing w:line="240" w:lineRule="auto"/>
        <w:rPr>
          <w:lang w:val="en-IE"/>
        </w:rPr>
      </w:pPr>
      <w:r w:rsidRPr="00BF50BF">
        <w:rPr>
          <w:rStyle w:val="FootnoteReference"/>
        </w:rPr>
        <w:footnoteRef/>
      </w:r>
      <w:r w:rsidRPr="00BF50BF">
        <w:t xml:space="preserve"> </w:t>
      </w:r>
      <w:r w:rsidRPr="00BF50BF">
        <w:rPr>
          <w:rFonts w:eastAsia="Times New Roman"/>
          <w:lang w:val="en-IE"/>
        </w:rPr>
        <w:t>Annex 7</w:t>
      </w:r>
      <w:r w:rsidR="00685606">
        <w:rPr>
          <w:rFonts w:eastAsia="Times New Roman"/>
          <w:lang w:val="en-IE"/>
        </w:rPr>
        <w:t>,</w:t>
      </w:r>
      <w:r w:rsidRPr="00BF50BF">
        <w:rPr>
          <w:rFonts w:eastAsia="Times New Roman"/>
          <w:lang w:val="en-IE"/>
        </w:rPr>
        <w:t xml:space="preserve"> </w:t>
      </w:r>
      <w:r w:rsidR="00685606">
        <w:rPr>
          <w:rFonts w:eastAsia="Times New Roman"/>
          <w:lang w:val="en-IE"/>
        </w:rPr>
        <w:t>s</w:t>
      </w:r>
      <w:r w:rsidRPr="00BF50BF">
        <w:rPr>
          <w:rFonts w:eastAsia="Times New Roman"/>
          <w:lang w:val="en-IE"/>
        </w:rPr>
        <w:t>ection 1.3 Barriers to the development of advanced and resilient satellite connectivity</w:t>
      </w:r>
      <w:r w:rsidR="000566E8" w:rsidRPr="00BF50BF">
        <w:rPr>
          <w:rFonts w:eastAsia="Times New Roman"/>
          <w:lang w:val="en-IE"/>
        </w:rPr>
        <w:t>.</w:t>
      </w:r>
    </w:p>
  </w:footnote>
  <w:footnote w:id="66">
    <w:p w14:paraId="7342ECB6" w14:textId="4591A6CB" w:rsidR="00A96AFF" w:rsidRPr="00BF50BF" w:rsidRDefault="00A96AFF" w:rsidP="006A3DDC">
      <w:pPr>
        <w:pStyle w:val="FootnoteText"/>
        <w:spacing w:line="240" w:lineRule="auto"/>
      </w:pPr>
      <w:r w:rsidRPr="00BF50BF">
        <w:rPr>
          <w:rStyle w:val="FootnoteReference"/>
        </w:rPr>
        <w:footnoteRef/>
      </w:r>
      <w:r w:rsidRPr="00BF50BF">
        <w:t xml:space="preserve"> </w:t>
      </w:r>
      <w:r w:rsidR="004C3C54" w:rsidRPr="00BF50BF">
        <w:t xml:space="preserve">See also </w:t>
      </w:r>
      <w:r w:rsidR="000D3185" w:rsidRPr="00BF50BF">
        <w:t xml:space="preserve">IDATE Study on Mobile Satellite Services (MSS) authorisation regimes, authorisations and enforcement in the EU Member States – Final report, Publications Office, 2019, </w:t>
      </w:r>
      <w:hyperlink r:id="rId37" w:history="1">
        <w:r w:rsidR="000D3185" w:rsidRPr="00BF50BF">
          <w:rPr>
            <w:rStyle w:val="Hyperlink"/>
          </w:rPr>
          <w:t>https://data.europa.eu/doi/10.2759/974409</w:t>
        </w:r>
      </w:hyperlink>
      <w:r w:rsidR="000D3185" w:rsidRPr="00BF50BF">
        <w:t xml:space="preserve"> and </w:t>
      </w:r>
      <w:r w:rsidR="00F47ECE" w:rsidRPr="00BF50BF">
        <w:t xml:space="preserve">DETECON, Study on mobile satellite services (MSS) in the 2 GHz band in the EU – Implementation of the current regulatory framework and an overview of the satellite connectivity market – Executive summary, Publications Office of the European Union, 2025, </w:t>
      </w:r>
      <w:hyperlink r:id="rId38" w:history="1">
        <w:r w:rsidR="00F47ECE" w:rsidRPr="00BF50BF">
          <w:rPr>
            <w:rStyle w:val="Hyperlink"/>
          </w:rPr>
          <w:t>https://data.europa.eu/doi/10.2759/4700547</w:t>
        </w:r>
      </w:hyperlink>
      <w:r w:rsidR="000566E8" w:rsidRPr="00BF50BF">
        <w:t>.</w:t>
      </w:r>
    </w:p>
  </w:footnote>
  <w:footnote w:id="67">
    <w:p w14:paraId="6DE01446" w14:textId="47DED7B5" w:rsidR="00F3349A" w:rsidRPr="00BF50BF" w:rsidRDefault="00F3349A" w:rsidP="006A3DDC">
      <w:pPr>
        <w:pStyle w:val="FootnoteText"/>
        <w:spacing w:line="240" w:lineRule="auto"/>
        <w:rPr>
          <w:lang w:val="en-IE"/>
        </w:rPr>
      </w:pPr>
      <w:r w:rsidRPr="00BF50BF">
        <w:rPr>
          <w:rStyle w:val="FootnoteReference"/>
        </w:rPr>
        <w:footnoteRef/>
      </w:r>
      <w:r w:rsidRPr="00BF50BF">
        <w:t xml:space="preserve"> </w:t>
      </w:r>
      <w:r w:rsidR="000C29E4" w:rsidRPr="00BF50BF">
        <w:t>EECC, Roaming Regulation</w:t>
      </w:r>
      <w:r w:rsidR="007A7408" w:rsidRPr="00BF50BF">
        <w:t xml:space="preserve"> (Regulation (EU) 2022/612 of the European Parliament and of the Council of 6 April 2022 on roaming on public mobile communications networks within the Union, OJ L 115, 13.4.2022, p. 1</w:t>
      </w:r>
      <w:r w:rsidR="00FC47F1" w:rsidRPr="00BF50BF">
        <w:t xml:space="preserve">, </w:t>
      </w:r>
      <w:r w:rsidR="00FB39B9" w:rsidRPr="00BF50BF">
        <w:t xml:space="preserve">ELI: </w:t>
      </w:r>
      <w:hyperlink r:id="rId39" w:history="1">
        <w:r w:rsidR="00BA7CFE" w:rsidRPr="00BF50BF">
          <w:rPr>
            <w:rStyle w:val="Hyperlink"/>
          </w:rPr>
          <w:t>http://data.europa.eu/eli/reg/2022/612/oj</w:t>
        </w:r>
      </w:hyperlink>
      <w:r w:rsidR="007A7408" w:rsidRPr="00BF50BF">
        <w:t>)</w:t>
      </w:r>
      <w:r w:rsidR="006205CF" w:rsidRPr="00BF50BF">
        <w:t>, Open Internet Regulation, Gigabit Infrastructure Act</w:t>
      </w:r>
      <w:r w:rsidR="007258E9" w:rsidRPr="00BF50BF">
        <w:t xml:space="preserve"> </w:t>
      </w:r>
      <w:r w:rsidR="00A45C6A" w:rsidRPr="00BF50BF">
        <w:t>(</w:t>
      </w:r>
      <w:r w:rsidR="007258E9" w:rsidRPr="00BF50BF">
        <w:t>Regulation</w:t>
      </w:r>
      <w:r w:rsidR="00CF6D43" w:rsidRPr="00BF50BF">
        <w:t xml:space="preserve"> (EU) 2024/1309 of the European Parliament and of the Council of 29 April 2024 on measures to reduce the cost of deploying gigabit electronic communications networks, amending Regulation (EU) 2015/2120 and repealing Directive 2014/61/EU, OJ L, 2024/1309, 8.5.2024</w:t>
      </w:r>
      <w:r w:rsidR="00FB39B9" w:rsidRPr="00BF50BF">
        <w:t>, ELI: </w:t>
      </w:r>
      <w:hyperlink r:id="rId40" w:tooltip="Gives access to this document through its ELI URI." w:history="1">
        <w:r w:rsidR="00FB39B9" w:rsidRPr="00BF50BF">
          <w:rPr>
            <w:rStyle w:val="Hyperlink"/>
          </w:rPr>
          <w:t>http://data.europa.eu/eli/reg/2024/1309/oj</w:t>
        </w:r>
      </w:hyperlink>
      <w:r w:rsidR="00CF6D43" w:rsidRPr="00BF50BF">
        <w:t>)</w:t>
      </w:r>
      <w:r w:rsidR="00034095" w:rsidRPr="00BF50BF">
        <w:t>.</w:t>
      </w:r>
    </w:p>
  </w:footnote>
  <w:footnote w:id="68">
    <w:p w14:paraId="1738A9B3" w14:textId="0A5B3D36" w:rsidR="00720D20" w:rsidRPr="00BF50BF" w:rsidRDefault="00720D20" w:rsidP="006A3DDC">
      <w:pPr>
        <w:pStyle w:val="FootnoteText"/>
        <w:spacing w:line="240" w:lineRule="auto"/>
        <w:jc w:val="left"/>
      </w:pPr>
      <w:r w:rsidRPr="00BF50BF">
        <w:rPr>
          <w:rStyle w:val="FootnoteReference"/>
        </w:rPr>
        <w:footnoteRef/>
      </w:r>
      <w:r w:rsidRPr="00BF50BF">
        <w:t xml:space="preserve"> </w:t>
      </w:r>
      <w:r w:rsidRPr="00BF50BF">
        <w:rPr>
          <w:rFonts w:eastAsia="Times New Roman"/>
        </w:rPr>
        <w:t>According to industry views (Study</w:t>
      </w:r>
      <w:r w:rsidR="00C62EE5">
        <w:rPr>
          <w:rFonts w:eastAsia="Times New Roman"/>
        </w:rPr>
        <w:t xml:space="preserve"> on Digital Single Market</w:t>
      </w:r>
      <w:r w:rsidRPr="00BF50BF">
        <w:rPr>
          <w:rFonts w:eastAsia="Times New Roman"/>
        </w:rPr>
        <w:t xml:space="preserve">), BEREC has insufficiently contributed to harmonisation, </w:t>
      </w:r>
      <w:r w:rsidR="004226F9" w:rsidRPr="00BF50BF">
        <w:rPr>
          <w:rFonts w:eastAsia="Times New Roman"/>
        </w:rPr>
        <w:t xml:space="preserve">e.g. in the area of </w:t>
      </w:r>
      <w:r w:rsidRPr="00BF50BF">
        <w:rPr>
          <w:rFonts w:eastAsia="Times New Roman"/>
        </w:rPr>
        <w:t>end-user rights</w:t>
      </w:r>
      <w:r w:rsidR="005A5168" w:rsidRPr="00BF50BF">
        <w:rPr>
          <w:rFonts w:eastAsia="Times New Roman"/>
        </w:rPr>
        <w:t xml:space="preserve">, </w:t>
      </w:r>
      <w:r w:rsidRPr="00BF50BF">
        <w:rPr>
          <w:rFonts w:eastAsia="Times New Roman"/>
        </w:rPr>
        <w:t>where national legislation and practices diverge.</w:t>
      </w:r>
      <w:r w:rsidR="00E131CF" w:rsidRPr="00BF50BF">
        <w:rPr>
          <w:rFonts w:eastAsia="Times New Roman"/>
        </w:rPr>
        <w:t xml:space="preserve"> </w:t>
      </w:r>
    </w:p>
  </w:footnote>
  <w:footnote w:id="69">
    <w:p w14:paraId="1059E0F2" w14:textId="77777777" w:rsidR="00BA6004" w:rsidRPr="00BF50BF" w:rsidRDefault="00BA6004" w:rsidP="006A3DDC">
      <w:pPr>
        <w:pStyle w:val="FootnoteText"/>
        <w:spacing w:line="240" w:lineRule="auto"/>
      </w:pPr>
      <w:r w:rsidRPr="00BF50BF">
        <w:rPr>
          <w:rStyle w:val="FootnoteReference"/>
        </w:rPr>
        <w:footnoteRef/>
      </w:r>
      <w:r w:rsidRPr="00BF50BF">
        <w:t xml:space="preserve"> The BEREC guidelines for the notification template have not eliminated differences in notification forms used at national level. The differences in both templates as well as, more significantly, in the conditions applied nationally, are either hindering the undertakings from providing their networks and services cross border or are generating compliance costs and administrative (e.g. translation) burden. It has influence on the competition (lack of cross-border provision of services), as well as on investment decisions of undertakings to develop or consolidate cross-border.</w:t>
      </w:r>
    </w:p>
  </w:footnote>
  <w:footnote w:id="70">
    <w:p w14:paraId="38402471" w14:textId="49AF7D46" w:rsidR="00380EF9" w:rsidRPr="00BF50BF" w:rsidRDefault="00380EF9" w:rsidP="006A3DDC">
      <w:pPr>
        <w:pStyle w:val="FootnoteText"/>
        <w:spacing w:line="240" w:lineRule="auto"/>
      </w:pPr>
      <w:r w:rsidRPr="00BF50BF">
        <w:rPr>
          <w:rStyle w:val="FootnoteReference"/>
        </w:rPr>
        <w:footnoteRef/>
      </w:r>
      <w:r w:rsidRPr="00BF50BF">
        <w:t xml:space="preserve"> </w:t>
      </w:r>
      <w:r w:rsidR="00BD4912" w:rsidRPr="00BF50BF">
        <w:t>T</w:t>
      </w:r>
      <w:r w:rsidRPr="00BF50BF">
        <w:t xml:space="preserve">he BEREC Guidelines on conditions and criteria for the assessment of the co-investments in </w:t>
      </w:r>
      <w:r w:rsidR="00632D82" w:rsidRPr="00BF50BF">
        <w:t xml:space="preserve">very high capacity </w:t>
      </w:r>
      <w:r w:rsidR="00D81117" w:rsidRPr="00BF50BF">
        <w:t>networks</w:t>
      </w:r>
      <w:r w:rsidRPr="00BF50BF">
        <w:t xml:space="preserve"> adopted pursuant to Article</w:t>
      </w:r>
      <w:r w:rsidR="00A907F2">
        <w:t> </w:t>
      </w:r>
      <w:r w:rsidR="00D81117" w:rsidRPr="00BF50BF">
        <w:t>76</w:t>
      </w:r>
      <w:r w:rsidRPr="00BF50BF">
        <w:t xml:space="preserve"> EECC were developed without hindering NRAs experiences (i.e. in Spain, France) resulting in a very complex set of provisions de facto never used, thus depriving stakeholders of a legal framework that could have provided a stable and predictable regulatory framework for co-investments in fibre deployments. </w:t>
      </w:r>
    </w:p>
    <w:p w14:paraId="6E0CD266" w14:textId="2D08C7F9" w:rsidR="00380EF9" w:rsidRPr="00BF50BF" w:rsidRDefault="00527220" w:rsidP="006A3DDC">
      <w:pPr>
        <w:pStyle w:val="FootnoteText"/>
        <w:spacing w:line="240" w:lineRule="auto"/>
        <w:rPr>
          <w:lang w:val="en-IE"/>
        </w:rPr>
      </w:pPr>
      <w:r w:rsidRPr="00BF50BF">
        <w:t>Another example could be BEREC Guideline</w:t>
      </w:r>
      <w:r w:rsidR="00D97636" w:rsidRPr="00BF50BF">
        <w:t xml:space="preserve">s on Common Approaches to the Identification of the Network Termination Point (NTP) </w:t>
      </w:r>
      <w:r w:rsidR="004065D1" w:rsidRPr="00BF50BF">
        <w:t>in different network topologies</w:t>
      </w:r>
      <w:r w:rsidR="00D168AA" w:rsidRPr="00BF50BF">
        <w:t xml:space="preserve"> from March 2020</w:t>
      </w:r>
      <w:r w:rsidR="00340004" w:rsidRPr="00BF50BF">
        <w:t>, which</w:t>
      </w:r>
      <w:r w:rsidR="00261934" w:rsidRPr="00BF50BF">
        <w:t xml:space="preserve"> were intended </w:t>
      </w:r>
      <w:r w:rsidR="00337AAB" w:rsidRPr="00BF50BF">
        <w:t xml:space="preserve">to assist NRAs in consistently identifying the NTPs </w:t>
      </w:r>
      <w:r w:rsidR="007A2993" w:rsidRPr="00BF50BF">
        <w:t xml:space="preserve">and </w:t>
      </w:r>
      <w:r w:rsidR="00A33ED0" w:rsidRPr="00BF50BF">
        <w:t>provide guidance how to consistently define the NT</w:t>
      </w:r>
      <w:r w:rsidR="00340004" w:rsidRPr="00BF50BF">
        <w:t xml:space="preserve">P, </w:t>
      </w:r>
      <w:r w:rsidR="00F96CF6" w:rsidRPr="00BF50BF">
        <w:t xml:space="preserve">but they left room for </w:t>
      </w:r>
      <w:r w:rsidR="00C26BDA" w:rsidRPr="00BF50BF">
        <w:t xml:space="preserve">different specific interpretations and </w:t>
      </w:r>
      <w:r w:rsidR="008637DF" w:rsidRPr="00BF50BF">
        <w:t xml:space="preserve">did not bring </w:t>
      </w:r>
      <w:r w:rsidR="00F7099D" w:rsidRPr="00BF50BF">
        <w:t>desired harmonisation effect</w:t>
      </w:r>
      <w:r w:rsidR="007E7EA7" w:rsidRPr="00BF50BF">
        <w:t xml:space="preserve"> across EU</w:t>
      </w:r>
      <w:r w:rsidR="004065D1" w:rsidRPr="00BF50BF">
        <w:t xml:space="preserve">. </w:t>
      </w:r>
    </w:p>
  </w:footnote>
  <w:footnote w:id="71">
    <w:p w14:paraId="6910B9EF" w14:textId="6C65B0C2" w:rsidR="00F6333B" w:rsidRPr="00BF50BF" w:rsidRDefault="00F6333B" w:rsidP="006A3DDC">
      <w:pPr>
        <w:pStyle w:val="FootnoteText"/>
        <w:spacing w:line="240" w:lineRule="auto"/>
      </w:pPr>
      <w:r w:rsidRPr="00BF50BF">
        <w:rPr>
          <w:rStyle w:val="FootnoteReference"/>
        </w:rPr>
        <w:footnoteRef/>
      </w:r>
      <w:r w:rsidRPr="00BF50BF">
        <w:t xml:space="preserve"> In particular, it </w:t>
      </w:r>
      <w:r w:rsidRPr="00BF50BF">
        <w:rPr>
          <w:rFonts w:eastAsia="Times New Roman"/>
        </w:rPr>
        <w:t>was not successful in shifting auctions from money making into more pro-investment oriented and in rectifying cases of artificially induced spectrum scarcity or artificially induced unsuccessful market entry which resulted in inflated spectrum prices. This in turn affected the ability of operators to invest in high quality 5G connectivity (e.g.</w:t>
      </w:r>
      <w:r w:rsidR="00DB7BEB">
        <w:rPr>
          <w:rFonts w:eastAsia="Times New Roman"/>
        </w:rPr>
        <w:t xml:space="preserve"> </w:t>
      </w:r>
      <w:r w:rsidRPr="00BF50BF">
        <w:t>DE or CZ).</w:t>
      </w:r>
    </w:p>
  </w:footnote>
  <w:footnote w:id="72">
    <w:p w14:paraId="200C3114" w14:textId="36A05FF2" w:rsidR="00057DD6" w:rsidRPr="00BF50BF" w:rsidRDefault="000D663B" w:rsidP="006A3DDC">
      <w:pPr>
        <w:pStyle w:val="FootnoteText"/>
        <w:spacing w:line="240" w:lineRule="auto"/>
        <w:jc w:val="left"/>
      </w:pPr>
      <w:r w:rsidRPr="00BF50BF">
        <w:rPr>
          <w:rStyle w:val="FootnoteReference"/>
        </w:rPr>
        <w:footnoteRef/>
      </w:r>
      <w:r w:rsidRPr="00BF50BF">
        <w:t xml:space="preserve"> </w:t>
      </w:r>
      <w:r w:rsidR="00C2336E" w:rsidRPr="00BF50BF">
        <w:t xml:space="preserve">Radio Spectrum Policy Group, Opinion on the EU-level policy approach to satellite Direct-to-Device connectivity and related Single Market issues, 17.06.2025, RSPG25-020 FINAL, </w:t>
      </w:r>
      <w:hyperlink r:id="rId41" w:history="1">
        <w:r w:rsidR="00C2336E" w:rsidRPr="00BF50BF">
          <w:rPr>
            <w:rStyle w:val="Hyperlink"/>
          </w:rPr>
          <w:t>https://radio-spectrum-policy-group.ec.europa.eu/document/download/72e52901-fa1a-474a-9480-a222c5b36545_en?filename=RSPG25-020final-RSPG_Opinion_on_D2D_and_Single_Market_Issues.pdf</w:t>
        </w:r>
      </w:hyperlink>
    </w:p>
  </w:footnote>
  <w:footnote w:id="73">
    <w:p w14:paraId="42277A8D" w14:textId="77777777" w:rsidR="006B26D8" w:rsidRPr="00BF50BF" w:rsidRDefault="006B26D8" w:rsidP="006A3DDC">
      <w:pPr>
        <w:pStyle w:val="FootnoteText"/>
        <w:spacing w:line="240" w:lineRule="auto"/>
      </w:pPr>
      <w:r w:rsidRPr="00BF50BF">
        <w:rPr>
          <w:rStyle w:val="FootnoteReference"/>
        </w:rPr>
        <w:footnoteRef/>
      </w:r>
      <w:r w:rsidRPr="00BF50BF">
        <w:t xml:space="preserve"> Relying fully on the resources of their members for the work on substance means that any constraints that the relevant authorities have, be it of budgetary nature, staffing or workload, are reflected in their ability to effectively contribute to the work of BEREC and RSPG.</w:t>
      </w:r>
    </w:p>
  </w:footnote>
  <w:footnote w:id="74">
    <w:p w14:paraId="068215F6" w14:textId="39C8029A" w:rsidR="003B4291" w:rsidRPr="00BF50BF" w:rsidRDefault="003B4291" w:rsidP="006A3DDC">
      <w:pPr>
        <w:spacing w:line="240" w:lineRule="auto"/>
        <w:rPr>
          <w:sz w:val="20"/>
          <w:szCs w:val="20"/>
        </w:rPr>
      </w:pPr>
      <w:r w:rsidRPr="00BF50BF">
        <w:rPr>
          <w:sz w:val="20"/>
          <w:szCs w:val="20"/>
          <w:vertAlign w:val="superscript"/>
        </w:rPr>
        <w:footnoteRef/>
      </w:r>
      <w:r w:rsidRPr="00BF50BF">
        <w:rPr>
          <w:sz w:val="20"/>
          <w:szCs w:val="20"/>
        </w:rPr>
        <w:t xml:space="preserve"> See also the last conclusion in the evaluation findings on the lack of pan-European approach to preparedness and resilience of connectivity networks. </w:t>
      </w:r>
    </w:p>
  </w:footnote>
  <w:footnote w:id="75">
    <w:p w14:paraId="3EF6A828" w14:textId="55CE790C" w:rsidR="005D0383" w:rsidRPr="00BF50BF" w:rsidRDefault="005D0383" w:rsidP="006A3DDC">
      <w:pPr>
        <w:pStyle w:val="FootnoteText"/>
        <w:spacing w:line="240" w:lineRule="auto"/>
      </w:pPr>
      <w:r w:rsidRPr="00BF50BF">
        <w:rPr>
          <w:rStyle w:val="FootnoteReference"/>
        </w:rPr>
        <w:footnoteRef/>
      </w:r>
      <w:r w:rsidRPr="00BF50BF">
        <w:t xml:space="preserve"> </w:t>
      </w:r>
      <w:r w:rsidR="00016424" w:rsidRPr="00BF50BF">
        <w:t>Directive 2014/61/EU of the European Parliament and of the Council of 15 May 2014 on measures to reduce the cost of deploying high-speed electronic communications networks, OJ L 155, 23.5.2014</w:t>
      </w:r>
      <w:r w:rsidR="00BD582E" w:rsidRPr="00BF50BF">
        <w:t xml:space="preserve">, p.1, ELI: </w:t>
      </w:r>
      <w:hyperlink r:id="rId42" w:history="1">
        <w:r w:rsidR="00BD582E" w:rsidRPr="00BF50BF">
          <w:rPr>
            <w:rStyle w:val="Hyperlink"/>
          </w:rPr>
          <w:t>http://data.europa.eu/eli/dir/2014/61/oj</w:t>
        </w:r>
      </w:hyperlink>
      <w:r w:rsidR="00BD582E" w:rsidRPr="00BF50BF">
        <w:t>.</w:t>
      </w:r>
    </w:p>
  </w:footnote>
  <w:footnote w:id="76">
    <w:p w14:paraId="11324A60" w14:textId="779A9B3E" w:rsidR="000547DE" w:rsidRPr="00BF50BF" w:rsidRDefault="000547DE" w:rsidP="006A3DDC">
      <w:pPr>
        <w:pStyle w:val="FootnoteText"/>
        <w:spacing w:line="240" w:lineRule="auto"/>
      </w:pPr>
      <w:r w:rsidRPr="00BF50BF">
        <w:rPr>
          <w:rStyle w:val="FootnoteReference"/>
        </w:rPr>
        <w:footnoteRef/>
      </w:r>
      <w:r w:rsidRPr="00BF50BF">
        <w:t xml:space="preserve"> A common factor amongst the countries which lag furthest behind in FTTP deployment is upgraded copper networks (FTTC/VDSL) were widely deployed by the incumbent. The deployment of this interim technology may have provided short term gains for incumbents in terms of lower capital intensity, while allowing them to improve the speeds they offered to customers. However, it also implies that the required investments in FTTH (i.e. the deployment of fibre from the distribution point to the premise, and (for MDUs) in-building) were deferred to a later stage. Those countries are: Belgium, Germany, Czechia, Austria, Greece.</w:t>
      </w:r>
    </w:p>
  </w:footnote>
  <w:footnote w:id="77">
    <w:p w14:paraId="48B18E77" w14:textId="23454F70" w:rsidR="00D1233C" w:rsidRPr="00BF50BF" w:rsidRDefault="00D1233C" w:rsidP="006A3DDC">
      <w:pPr>
        <w:pStyle w:val="FootnoteText"/>
        <w:widowControl w:val="0"/>
        <w:spacing w:line="240" w:lineRule="auto"/>
      </w:pPr>
      <w:r w:rsidRPr="00BF50BF">
        <w:rPr>
          <w:rStyle w:val="FootnoteReference"/>
        </w:rPr>
        <w:footnoteRef/>
      </w:r>
      <w:r w:rsidRPr="00BF50BF">
        <w:t xml:space="preserve"> </w:t>
      </w:r>
      <w:r w:rsidR="00467147" w:rsidRPr="00BF50BF">
        <w:t xml:space="preserve">Study on </w:t>
      </w:r>
      <w:r w:rsidR="00C62EE5">
        <w:t>Access Regulation</w:t>
      </w:r>
      <w:r w:rsidR="00F35A62" w:rsidRPr="00BF50BF">
        <w:t>.</w:t>
      </w:r>
    </w:p>
  </w:footnote>
  <w:footnote w:id="78">
    <w:p w14:paraId="31872A5C" w14:textId="77777777" w:rsidR="00EB1AF3" w:rsidRPr="00BF50BF" w:rsidRDefault="00EB1AF3" w:rsidP="006A3DDC">
      <w:pPr>
        <w:pStyle w:val="FootnoteText"/>
        <w:spacing w:line="240" w:lineRule="auto"/>
      </w:pPr>
      <w:r w:rsidRPr="00BF50BF">
        <w:rPr>
          <w:rStyle w:val="FootnoteReference"/>
        </w:rPr>
        <w:footnoteRef/>
      </w:r>
      <w:r w:rsidRPr="00BF50BF">
        <w:t xml:space="preserve"> A comparison of OECD price baskets from 2023 also shows a higher price level for retail Gigabit broadband in countries where there is lower fibre coverage, showing that Gigabit has been priced at a premium – presumably to differentiate from lower bandwidth offers available via VDSL and cable.</w:t>
      </w:r>
    </w:p>
  </w:footnote>
  <w:footnote w:id="79">
    <w:p w14:paraId="177A1BB8" w14:textId="025784EC" w:rsidR="0053400B" w:rsidRPr="00BF50BF" w:rsidRDefault="0053400B" w:rsidP="006A3DDC">
      <w:pPr>
        <w:pStyle w:val="FootnoteText"/>
        <w:spacing w:line="240" w:lineRule="auto"/>
      </w:pPr>
      <w:r w:rsidRPr="00BF50BF">
        <w:rPr>
          <w:rStyle w:val="FootnoteReference"/>
        </w:rPr>
        <w:footnoteRef/>
      </w:r>
      <w:r w:rsidR="00A93D20" w:rsidRPr="00BF50BF">
        <w:t xml:space="preserve"> </w:t>
      </w:r>
      <w:r w:rsidRPr="00BF50BF">
        <w:t xml:space="preserve">European Commission/OMDIA and Point Topic (2025): Broadband coverage in Europe 2024 – Mapping progress towards the coverage objectives of the digital decade – Final report, </w:t>
      </w:r>
      <w:hyperlink r:id="rId43" w:history="1">
        <w:r w:rsidRPr="00215A8B">
          <w:rPr>
            <w:rStyle w:val="Hyperlink"/>
            <w:szCs w:val="18"/>
          </w:rPr>
          <w:t>https://data.europa.eu/doi/10.2759/9441597</w:t>
        </w:r>
      </w:hyperlink>
      <w:r w:rsidRPr="00BF50BF">
        <w:t xml:space="preserve"> (last accessed on 14.07.2025). </w:t>
      </w:r>
    </w:p>
  </w:footnote>
  <w:footnote w:id="80">
    <w:p w14:paraId="2F037926" w14:textId="77777777" w:rsidR="008E0035" w:rsidRPr="0057287A" w:rsidRDefault="008E0035" w:rsidP="006A3DDC">
      <w:pPr>
        <w:pStyle w:val="FootnoteText"/>
        <w:spacing w:line="240" w:lineRule="auto"/>
      </w:pPr>
      <w:r w:rsidRPr="00602574">
        <w:rPr>
          <w:rStyle w:val="FootnoteReference"/>
        </w:rPr>
        <w:footnoteRef/>
      </w:r>
      <w:r w:rsidRPr="00602574">
        <w:t xml:space="preserve"> </w:t>
      </w:r>
      <w:r w:rsidRPr="0057287A">
        <w:t xml:space="preserve">See Annex 10. </w:t>
      </w:r>
    </w:p>
  </w:footnote>
  <w:footnote w:id="81">
    <w:p w14:paraId="334B775B" w14:textId="77777777" w:rsidR="008E0035" w:rsidRPr="00602574" w:rsidRDefault="008E0035" w:rsidP="006A3DDC">
      <w:pPr>
        <w:pStyle w:val="FootnoteText"/>
        <w:spacing w:line="240" w:lineRule="auto"/>
      </w:pPr>
      <w:r w:rsidRPr="00602574">
        <w:rPr>
          <w:rStyle w:val="FootnoteReference"/>
        </w:rPr>
        <w:footnoteRef/>
      </w:r>
      <w:r w:rsidRPr="00602574">
        <w:t xml:space="preserve"> </w:t>
      </w:r>
      <w:r w:rsidRPr="00602574">
        <w:rPr>
          <w:color w:val="000000" w:themeColor="text1"/>
        </w:rPr>
        <w:t xml:space="preserve">See analysis in the section </w:t>
      </w:r>
      <w:r w:rsidRPr="0057287A">
        <w:rPr>
          <w:rFonts w:eastAsia="EYInterstate Light"/>
          <w:i/>
          <w:iCs/>
        </w:rPr>
        <w:t>Evidence of regulatory fragmentation in EU spectrum assignment</w:t>
      </w:r>
      <w:r w:rsidRPr="00602574">
        <w:rPr>
          <w:rFonts w:eastAsia="EYInterstate Light"/>
          <w:b/>
        </w:rPr>
        <w:t xml:space="preserve"> </w:t>
      </w:r>
      <w:r w:rsidRPr="00602574">
        <w:rPr>
          <w:color w:val="000000" w:themeColor="text1"/>
        </w:rPr>
        <w:t>below.</w:t>
      </w:r>
    </w:p>
  </w:footnote>
  <w:footnote w:id="82">
    <w:p w14:paraId="7A87374A" w14:textId="143AE383" w:rsidR="0065088A" w:rsidRPr="0057287A" w:rsidRDefault="0065088A" w:rsidP="0065088A">
      <w:pPr>
        <w:pStyle w:val="FootnoteText"/>
        <w:spacing w:line="240" w:lineRule="auto"/>
      </w:pPr>
      <w:r w:rsidRPr="00602574">
        <w:rPr>
          <w:rStyle w:val="FootnoteReference"/>
        </w:rPr>
        <w:footnoteRef/>
      </w:r>
      <w:r w:rsidRPr="00602574">
        <w:t xml:space="preserve"> Operators need a combination of spectrum bands to deliver high-quality 5G services, since no single band can effectively meet all 5G technical requirements on its own. </w:t>
      </w:r>
      <w:r w:rsidRPr="00602574">
        <w:rPr>
          <w:rFonts w:eastAsia="EYInterstate Light"/>
        </w:rPr>
        <w:t xml:space="preserve">Cf. Annex 10, </w:t>
      </w:r>
      <w:r w:rsidR="003559D9">
        <w:rPr>
          <w:rFonts w:eastAsia="EYInterstate Light"/>
        </w:rPr>
        <w:t>s</w:t>
      </w:r>
      <w:r w:rsidR="003559D9" w:rsidRPr="00602574">
        <w:rPr>
          <w:rFonts w:eastAsia="EYInterstate Light"/>
        </w:rPr>
        <w:t xml:space="preserve">ection </w:t>
      </w:r>
      <w:r w:rsidRPr="00602574">
        <w:rPr>
          <w:rFonts w:eastAsia="EYInterstate Light"/>
        </w:rPr>
        <w:t>2. Spectrum for 5G.</w:t>
      </w:r>
    </w:p>
  </w:footnote>
  <w:footnote w:id="83">
    <w:p w14:paraId="30610FB0" w14:textId="77777777" w:rsidR="0065088A" w:rsidRPr="0057287A" w:rsidRDefault="0065088A" w:rsidP="0065088A">
      <w:pPr>
        <w:pStyle w:val="FootnoteText"/>
        <w:spacing w:line="240" w:lineRule="auto"/>
      </w:pPr>
      <w:r w:rsidRPr="00602574">
        <w:rPr>
          <w:rStyle w:val="FootnoteReference"/>
        </w:rPr>
        <w:footnoteRef/>
      </w:r>
      <w:r w:rsidRPr="00602574">
        <w:t xml:space="preserve"> </w:t>
      </w:r>
      <w:r w:rsidRPr="0057287A">
        <w:rPr>
          <w:iCs/>
        </w:rPr>
        <w:t>See Annex 11, section 5.4.4.</w:t>
      </w:r>
      <w:r w:rsidRPr="00602574">
        <w:t xml:space="preserve"> Conditions of assignment (duration, coverage, price).</w:t>
      </w:r>
    </w:p>
  </w:footnote>
  <w:footnote w:id="84">
    <w:p w14:paraId="16A3ABE1" w14:textId="77777777" w:rsidR="0065088A" w:rsidRPr="0057287A" w:rsidRDefault="0065088A" w:rsidP="0065088A">
      <w:pPr>
        <w:pStyle w:val="FootnoteText"/>
        <w:spacing w:line="240" w:lineRule="auto"/>
      </w:pPr>
      <w:r w:rsidRPr="00602574">
        <w:rPr>
          <w:rStyle w:val="FootnoteReference"/>
        </w:rPr>
        <w:footnoteRef/>
      </w:r>
      <w:r w:rsidRPr="00602574">
        <w:t xml:space="preserve"> </w:t>
      </w:r>
      <w:r w:rsidRPr="0057287A">
        <w:t xml:space="preserve">See Annex 11, section 5.4.6 </w:t>
      </w:r>
      <w:r w:rsidRPr="00602574">
        <w:t>Market shaping measures. Corresponding correlations confirmed in the below analysis.</w:t>
      </w:r>
    </w:p>
  </w:footnote>
  <w:footnote w:id="85">
    <w:p w14:paraId="2005A185" w14:textId="77777777" w:rsidR="0065088A" w:rsidRPr="0057287A" w:rsidRDefault="0065088A" w:rsidP="0065088A">
      <w:pPr>
        <w:pStyle w:val="FootnoteText"/>
        <w:spacing w:line="240" w:lineRule="auto"/>
      </w:pPr>
      <w:r w:rsidRPr="00602574">
        <w:rPr>
          <w:rStyle w:val="FootnoteReference"/>
        </w:rPr>
        <w:footnoteRef/>
      </w:r>
      <w:r w:rsidRPr="00602574">
        <w:t xml:space="preserve"> </w:t>
      </w:r>
      <w:r w:rsidRPr="0057287A">
        <w:t xml:space="preserve">See Annex 11, section 5.4.4. </w:t>
      </w:r>
      <w:r w:rsidRPr="00602574">
        <w:t>Conditions of assignment (duration, coverage, price).</w:t>
      </w:r>
    </w:p>
  </w:footnote>
  <w:footnote w:id="86">
    <w:p w14:paraId="1312296F" w14:textId="3236D4C2" w:rsidR="0065088A" w:rsidRPr="00602574" w:rsidRDefault="0065088A" w:rsidP="0065088A">
      <w:pPr>
        <w:pStyle w:val="FootnoteText"/>
        <w:spacing w:line="240" w:lineRule="auto"/>
      </w:pPr>
      <w:r w:rsidRPr="00602574">
        <w:rPr>
          <w:rStyle w:val="FootnoteReference"/>
        </w:rPr>
        <w:footnoteRef/>
      </w:r>
      <w:r w:rsidRPr="00602574">
        <w:t xml:space="preserve"> </w:t>
      </w:r>
      <w:hyperlink r:id="rId44" w:history="1">
        <w:r w:rsidRPr="00602574">
          <w:rPr>
            <w:rStyle w:val="Hyperlink"/>
          </w:rPr>
          <w:t>FCC Reforms License Renewal Rules for Wireless Spectrum | Federal Communications Commission</w:t>
        </w:r>
      </w:hyperlink>
      <w:r w:rsidRPr="00602574">
        <w:t xml:space="preserve">. </w:t>
      </w:r>
      <w:r w:rsidRPr="0057287A">
        <w:t>For basic info on spectrum governance in the US,</w:t>
      </w:r>
      <w:r w:rsidRPr="00602574">
        <w:t xml:space="preserve"> </w:t>
      </w:r>
      <w:r w:rsidRPr="0057287A">
        <w:t>see also Annex 10</w:t>
      </w:r>
      <w:r w:rsidR="00685606">
        <w:t>,</w:t>
      </w:r>
      <w:r w:rsidRPr="0057287A">
        <w:t xml:space="preserve"> </w:t>
      </w:r>
      <w:r w:rsidR="00685606">
        <w:t>s</w:t>
      </w:r>
      <w:r w:rsidRPr="0057287A">
        <w:t>ection 2.</w:t>
      </w:r>
    </w:p>
  </w:footnote>
  <w:footnote w:id="87">
    <w:p w14:paraId="4B2EB2B2" w14:textId="77777777" w:rsidR="00923C5E" w:rsidRPr="0057287A" w:rsidRDefault="00923C5E" w:rsidP="00923C5E">
      <w:pPr>
        <w:pStyle w:val="FootnoteText"/>
        <w:spacing w:line="240" w:lineRule="auto"/>
      </w:pPr>
      <w:r w:rsidRPr="00602574">
        <w:rPr>
          <w:rStyle w:val="FootnoteReference"/>
        </w:rPr>
        <w:footnoteRef/>
      </w:r>
      <w:r w:rsidRPr="00602574">
        <w:t xml:space="preserve"> Mobile and Fixed Broadband Prices in Europe 2022, p. 23.</w:t>
      </w:r>
    </w:p>
  </w:footnote>
  <w:footnote w:id="88">
    <w:p w14:paraId="598A2B8E" w14:textId="0D7B0482" w:rsidR="00923C5E" w:rsidRPr="00602574" w:rsidRDefault="00923C5E" w:rsidP="00923C5E">
      <w:pPr>
        <w:pStyle w:val="FootnoteText"/>
        <w:spacing w:line="240" w:lineRule="auto"/>
      </w:pPr>
      <w:r w:rsidRPr="00602574">
        <w:rPr>
          <w:rStyle w:val="FootnoteReference"/>
        </w:rPr>
        <w:footnoteRef/>
      </w:r>
      <w:r w:rsidRPr="00602574">
        <w:t xml:space="preserve"> </w:t>
      </w:r>
      <w:r w:rsidRPr="00602574">
        <w:rPr>
          <w:rFonts w:eastAsia="EYInterstate Light"/>
        </w:rPr>
        <w:t xml:space="preserve">Construction of these </w:t>
      </w:r>
      <w:r w:rsidR="0073071A">
        <w:rPr>
          <w:rFonts w:eastAsia="EYInterstate Light"/>
        </w:rPr>
        <w:t>standardised</w:t>
      </w:r>
      <w:r w:rsidRPr="00602574">
        <w:rPr>
          <w:rFonts w:eastAsia="EYInterstate Light"/>
        </w:rPr>
        <w:t xml:space="preserve"> measures, including the underlying scoring and weighting, is set out in Annex </w:t>
      </w:r>
      <w:r>
        <w:rPr>
          <w:rFonts w:eastAsia="EYInterstate Light"/>
        </w:rPr>
        <w:t>4</w:t>
      </w:r>
      <w:r w:rsidRPr="00602574">
        <w:rPr>
          <w:rFonts w:eastAsia="EYInterstate Light"/>
        </w:rPr>
        <w:t>.</w:t>
      </w:r>
      <w:r w:rsidR="00B801DA">
        <w:rPr>
          <w:rFonts w:eastAsia="EYInterstate Light"/>
        </w:rPr>
        <w:t>3</w:t>
      </w:r>
      <w:r w:rsidR="00C740FD">
        <w:rPr>
          <w:rFonts w:eastAsia="EYInterstate Light"/>
        </w:rPr>
        <w:t>.</w:t>
      </w:r>
    </w:p>
  </w:footnote>
  <w:footnote w:id="89">
    <w:p w14:paraId="37545861" w14:textId="7526C461" w:rsidR="777A0163" w:rsidRPr="00BE337F" w:rsidRDefault="777A0163">
      <w:pPr>
        <w:rPr>
          <w:rFonts w:eastAsia="Times New Roman"/>
          <w:sz w:val="20"/>
          <w:szCs w:val="20"/>
        </w:rPr>
      </w:pPr>
      <w:r w:rsidRPr="00D03C6C">
        <w:rPr>
          <w:rStyle w:val="FootnoteReference"/>
          <w:rFonts w:eastAsiaTheme="minorEastAsia"/>
        </w:rPr>
        <w:footnoteRef/>
      </w:r>
      <w:r w:rsidR="5BA90DB6" w:rsidRPr="00BE337F">
        <w:rPr>
          <w:rStyle w:val="FootnoteReference"/>
          <w:rFonts w:eastAsiaTheme="minorEastAsia"/>
          <w:sz w:val="20"/>
          <w:szCs w:val="20"/>
        </w:rPr>
        <w:t xml:space="preserve"> </w:t>
      </w:r>
      <w:r w:rsidR="5BA90DB6" w:rsidRPr="00BE337F">
        <w:rPr>
          <w:rFonts w:eastAsia="Times New Roman"/>
          <w:sz w:val="20"/>
          <w:szCs w:val="20"/>
        </w:rPr>
        <w:t>Figures 10-12 and the indicative visual analysis rely on composite indicators of regulatory design and market outcomes, constructed using weighted underlying indicators. The weighting choices are described in Annex 4.2.5 and 4.3.10. While the weighting was designed carefully to reflect the most relevant factors, any aggregation of heterogeneous indicators involves methodological choices that may affect the presentation of outcomes. Accordingly, the figures and the associated visual analysis are included for illustrative purposes and are intended to be descriptive rather than conclusive</w:t>
      </w:r>
      <w:r w:rsidR="004059DD" w:rsidRPr="00BE337F">
        <w:rPr>
          <w:rFonts w:eastAsia="Times New Roman"/>
          <w:sz w:val="20"/>
          <w:szCs w:val="20"/>
        </w:rPr>
        <w:t xml:space="preserve"> and do not </w:t>
      </w:r>
      <w:r w:rsidR="00442401" w:rsidRPr="00BE337F">
        <w:rPr>
          <w:rFonts w:eastAsia="Times New Roman"/>
          <w:sz w:val="20"/>
          <w:szCs w:val="20"/>
        </w:rPr>
        <w:t xml:space="preserve">preclude the </w:t>
      </w:r>
      <w:r w:rsidR="00C90B99" w:rsidRPr="00BE337F">
        <w:rPr>
          <w:rFonts w:eastAsia="Times New Roman"/>
          <w:sz w:val="20"/>
          <w:szCs w:val="20"/>
        </w:rPr>
        <w:t>outcomes of the regression analysis done for each variable separately</w:t>
      </w:r>
      <w:r w:rsidR="5BA90DB6" w:rsidRPr="00BE337F">
        <w:rPr>
          <w:rFonts w:eastAsia="Times New Roman"/>
          <w:sz w:val="20"/>
          <w:szCs w:val="20"/>
        </w:rPr>
        <w:t>.</w:t>
      </w:r>
    </w:p>
  </w:footnote>
  <w:footnote w:id="90">
    <w:p w14:paraId="24B5DF13" w14:textId="77777777" w:rsidR="00923C5E" w:rsidRPr="00602574" w:rsidRDefault="00923C5E" w:rsidP="00923C5E">
      <w:pPr>
        <w:pStyle w:val="FootnoteText"/>
        <w:spacing w:line="240" w:lineRule="auto"/>
      </w:pPr>
      <w:r w:rsidRPr="00602574">
        <w:rPr>
          <w:rStyle w:val="FootnoteReference"/>
        </w:rPr>
        <w:footnoteRef/>
      </w:r>
      <w:r w:rsidRPr="00602574">
        <w:t xml:space="preserve"> Details and methodology of the analysis are set out in Annex 4.3 and in the </w:t>
      </w:r>
      <w:r>
        <w:t>S</w:t>
      </w:r>
      <w:r w:rsidRPr="00602574">
        <w:t>tudy</w:t>
      </w:r>
      <w:r>
        <w:t xml:space="preserve"> on Digital Single Market</w:t>
      </w:r>
      <w:r w:rsidRPr="00602574">
        <w:t>.</w:t>
      </w:r>
    </w:p>
  </w:footnote>
  <w:footnote w:id="91">
    <w:p w14:paraId="703B925F" w14:textId="7C8CEAD8" w:rsidR="00923C5E" w:rsidRPr="0057287A" w:rsidRDefault="00923C5E" w:rsidP="00F42981">
      <w:pPr>
        <w:pStyle w:val="Caption"/>
        <w:widowControl w:val="0"/>
        <w:spacing w:after="120" w:line="240" w:lineRule="auto"/>
        <w:rPr>
          <w:rFonts w:eastAsia="EYInterstate Light"/>
        </w:rPr>
      </w:pPr>
      <w:r w:rsidRPr="00BE337F">
        <w:rPr>
          <w:rStyle w:val="FootnoteReference"/>
          <w:i w:val="0"/>
          <w:iCs w:val="0"/>
          <w:color w:val="auto"/>
        </w:rPr>
        <w:footnoteRef/>
      </w:r>
      <w:r w:rsidRPr="00602574">
        <w:t xml:space="preserve"> </w:t>
      </w:r>
      <w:r w:rsidRPr="0057287A">
        <w:rPr>
          <w:rFonts w:eastAsia="EYInterstate Light"/>
          <w:i w:val="0"/>
          <w:color w:val="auto"/>
          <w:sz w:val="20"/>
          <w:szCs w:val="20"/>
        </w:rPr>
        <w:t>The methodology and possible limitations for this multiple regression analysis are explained in Annex 4</w:t>
      </w:r>
      <w:r w:rsidR="00685606">
        <w:rPr>
          <w:rFonts w:eastAsia="EYInterstate Light"/>
          <w:i w:val="0"/>
          <w:color w:val="auto"/>
          <w:sz w:val="20"/>
          <w:szCs w:val="20"/>
        </w:rPr>
        <w:t>,</w:t>
      </w:r>
      <w:r w:rsidRPr="0057287A">
        <w:rPr>
          <w:rFonts w:eastAsia="EYInterstate Light"/>
          <w:i w:val="0"/>
          <w:color w:val="auto"/>
          <w:sz w:val="20"/>
          <w:szCs w:val="20"/>
        </w:rPr>
        <w:t xml:space="preserve"> </w:t>
      </w:r>
      <w:r w:rsidR="00685606">
        <w:rPr>
          <w:rFonts w:eastAsia="EYInterstate Light"/>
          <w:i w:val="0"/>
          <w:color w:val="auto"/>
          <w:sz w:val="20"/>
          <w:szCs w:val="20"/>
        </w:rPr>
        <w:t>s</w:t>
      </w:r>
      <w:r w:rsidRPr="0057287A">
        <w:rPr>
          <w:rFonts w:eastAsia="EYInterstate Light"/>
          <w:i w:val="0"/>
          <w:color w:val="auto"/>
          <w:sz w:val="20"/>
          <w:szCs w:val="20"/>
        </w:rPr>
        <w:t>ection 3.</w:t>
      </w:r>
    </w:p>
  </w:footnote>
  <w:footnote w:id="92">
    <w:p w14:paraId="6A3F3021" w14:textId="1D43D788" w:rsidR="00694358" w:rsidRPr="005027EC" w:rsidRDefault="00694358" w:rsidP="00F42981">
      <w:pPr>
        <w:pStyle w:val="EYBodytextwithparaspace"/>
        <w:spacing w:before="0" w:after="0" w:line="240" w:lineRule="auto"/>
      </w:pPr>
      <w:r w:rsidRPr="00F42981">
        <w:rPr>
          <w:rStyle w:val="FootnoteReference"/>
          <w:rFonts w:eastAsiaTheme="minorEastAsia"/>
        </w:rPr>
        <w:footnoteRef/>
      </w:r>
      <w:r w:rsidRPr="00280A8B">
        <w:rPr>
          <w:rFonts w:ascii="Times New Roman" w:eastAsiaTheme="minorEastAsia" w:hAnsi="Times New Roman"/>
          <w:sz w:val="20"/>
          <w:szCs w:val="20"/>
          <w:vertAlign w:val="superscript"/>
        </w:rPr>
        <w:t xml:space="preserve"> </w:t>
      </w:r>
      <w:r w:rsidRPr="001033F7">
        <w:rPr>
          <w:rFonts w:ascii="Times New Roman" w:eastAsiaTheme="minorEastAsia" w:hAnsi="Times New Roman"/>
          <w:sz w:val="20"/>
          <w:szCs w:val="20"/>
        </w:rPr>
        <w:t xml:space="preserve">Connect Europe, </w:t>
      </w:r>
      <w:r w:rsidRPr="00280A8B">
        <w:rPr>
          <w:rFonts w:ascii="Times New Roman" w:eastAsiaTheme="minorEastAsia" w:hAnsi="Times New Roman"/>
          <w:sz w:val="20"/>
          <w:szCs w:val="20"/>
        </w:rPr>
        <w:t>State of Digital Communications</w:t>
      </w:r>
      <w:r w:rsidRPr="001033F7">
        <w:rPr>
          <w:rFonts w:ascii="Times New Roman" w:eastAsiaTheme="minorEastAsia" w:hAnsi="Times New Roman"/>
          <w:sz w:val="20"/>
          <w:szCs w:val="20"/>
        </w:rPr>
        <w:t xml:space="preserve">, 2025. </w:t>
      </w:r>
      <w:r w:rsidRPr="00280A8B">
        <w:rPr>
          <w:rFonts w:ascii="Times New Roman" w:eastAsiaTheme="minorEastAsia" w:hAnsi="Times New Roman"/>
          <w:sz w:val="20"/>
          <w:szCs w:val="20"/>
        </w:rPr>
        <w:t xml:space="preserve">EU mobile ARPU (14.8 EUR/month) is considerably lower than in the US (41.70 EUR/month). Even when adjusted for GDP per capita, the US ARPU remains 67% higher (24.9 EUR/month). ARPUs in Japan, South Korea and China are all at least 33% higher than in the EU. Moreover, EU ARPU has been declining at a faster rate than in other economies </w:t>
      </w:r>
      <w:r w:rsidR="00BE68DB" w:rsidRPr="00280A8B">
        <w:rPr>
          <w:rFonts w:ascii="Times New Roman" w:eastAsiaTheme="minorEastAsia" w:hAnsi="Times New Roman"/>
          <w:sz w:val="20"/>
          <w:szCs w:val="20"/>
        </w:rPr>
        <w:t>having fallen 5.9% in 2022-</w:t>
      </w:r>
      <w:r w:rsidR="00E773A5">
        <w:rPr>
          <w:rFonts w:ascii="Times New Roman" w:eastAsiaTheme="minorEastAsia" w:hAnsi="Times New Roman"/>
          <w:sz w:val="20"/>
          <w:szCs w:val="20"/>
        </w:rPr>
        <w:t>202</w:t>
      </w:r>
      <w:r w:rsidR="00BE68DB" w:rsidRPr="00280A8B">
        <w:rPr>
          <w:rFonts w:ascii="Times New Roman" w:eastAsiaTheme="minorEastAsia" w:hAnsi="Times New Roman"/>
          <w:sz w:val="20"/>
          <w:szCs w:val="20"/>
        </w:rPr>
        <w:t>3, compared to a fall of 3.5% in the USA and a rise of 2.2% in China.</w:t>
      </w:r>
      <w:r w:rsidR="005027EC">
        <w:rPr>
          <w:rFonts w:ascii="Times New Roman" w:eastAsiaTheme="minorEastAsia" w:hAnsi="Times New Roman"/>
          <w:sz w:val="20"/>
          <w:szCs w:val="20"/>
        </w:rPr>
        <w:t xml:space="preserve"> </w:t>
      </w:r>
      <w:r w:rsidRPr="00280A8B">
        <w:rPr>
          <w:rFonts w:ascii="Times New Roman" w:eastAsiaTheme="minorEastAsia" w:hAnsi="Times New Roman"/>
          <w:sz w:val="20"/>
          <w:szCs w:val="20"/>
        </w:rPr>
        <w:t xml:space="preserve">(see Figure 11 in Annex 11, </w:t>
      </w:r>
      <w:r w:rsidR="00E773A5">
        <w:rPr>
          <w:rFonts w:ascii="Times New Roman" w:eastAsiaTheme="minorEastAsia" w:hAnsi="Times New Roman"/>
          <w:sz w:val="20"/>
          <w:szCs w:val="20"/>
        </w:rPr>
        <w:t>s</w:t>
      </w:r>
      <w:r w:rsidR="00E773A5" w:rsidRPr="00280A8B">
        <w:rPr>
          <w:rFonts w:ascii="Times New Roman" w:eastAsiaTheme="minorEastAsia" w:hAnsi="Times New Roman"/>
          <w:sz w:val="20"/>
          <w:szCs w:val="20"/>
        </w:rPr>
        <w:t xml:space="preserve">ection </w:t>
      </w:r>
      <w:r w:rsidRPr="00280A8B">
        <w:rPr>
          <w:rFonts w:ascii="Times New Roman" w:eastAsiaTheme="minorEastAsia" w:hAnsi="Times New Roman"/>
          <w:sz w:val="20"/>
          <w:szCs w:val="20"/>
        </w:rPr>
        <w:t>5.4.5).</w:t>
      </w:r>
    </w:p>
  </w:footnote>
  <w:footnote w:id="93">
    <w:p w14:paraId="58FB10DD" w14:textId="0DF0895D" w:rsidR="00054A3F" w:rsidRPr="009D1ED7" w:rsidRDefault="00054A3F" w:rsidP="006A3DDC">
      <w:pPr>
        <w:pStyle w:val="FootnoteText"/>
        <w:spacing w:line="240" w:lineRule="auto"/>
        <w:rPr>
          <w:lang w:val="en-IE"/>
        </w:rPr>
      </w:pPr>
      <w:r w:rsidRPr="00DD6E98">
        <w:rPr>
          <w:rStyle w:val="FootnoteReference"/>
        </w:rPr>
        <w:footnoteRef/>
      </w:r>
      <w:r w:rsidRPr="00DD6E98">
        <w:t xml:space="preserve"> </w:t>
      </w:r>
      <w:r w:rsidR="00C20CA3" w:rsidRPr="00DD6E98">
        <w:t>In global comparison, Europe stands out as the region with the most affordable broadband services (</w:t>
      </w:r>
      <w:r w:rsidR="0044020A" w:rsidRPr="00DD6E98">
        <w:t xml:space="preserve">See </w:t>
      </w:r>
      <w:r w:rsidR="00C20CA3" w:rsidRPr="00DD6E98">
        <w:t>Annex 11</w:t>
      </w:r>
      <w:r w:rsidR="0044020A" w:rsidRPr="00DD6E98">
        <w:t>.</w:t>
      </w:r>
      <w:r w:rsidR="00C20CA3" w:rsidRPr="00DD6E98">
        <w:t>8).</w:t>
      </w:r>
    </w:p>
  </w:footnote>
  <w:footnote w:id="94">
    <w:p w14:paraId="56657A47" w14:textId="14EF7AE6" w:rsidR="00E87363" w:rsidRPr="00602574" w:rsidRDefault="00E87363" w:rsidP="006A3DDC">
      <w:pPr>
        <w:pStyle w:val="FootnoteText"/>
        <w:spacing w:line="240" w:lineRule="auto"/>
      </w:pPr>
      <w:r w:rsidRPr="00602574">
        <w:rPr>
          <w:rStyle w:val="FootnoteReference"/>
        </w:rPr>
        <w:footnoteRef/>
      </w:r>
      <w:r w:rsidRPr="00602574">
        <w:t xml:space="preserve"> Mario Draghi, </w:t>
      </w:r>
      <w:r w:rsidRPr="00602574">
        <w:rPr>
          <w:i/>
          <w:iCs/>
        </w:rPr>
        <w:t>The future of European competitiveness</w:t>
      </w:r>
      <w:r w:rsidRPr="00602574">
        <w:t xml:space="preserve">, European Commission, Publications Office of the European Union, Luxembourg, September 2024. The report notes a similar relative position for European capex per capita. </w:t>
      </w:r>
    </w:p>
  </w:footnote>
  <w:footnote w:id="95">
    <w:p w14:paraId="0E10DAF3" w14:textId="58D83925" w:rsidR="00E87363" w:rsidRPr="00602574" w:rsidRDefault="00E87363" w:rsidP="006A3DDC">
      <w:pPr>
        <w:pStyle w:val="FootnoteText"/>
        <w:spacing w:line="240" w:lineRule="auto"/>
      </w:pPr>
      <w:r w:rsidRPr="00602574">
        <w:rPr>
          <w:rStyle w:val="FootnoteReference"/>
        </w:rPr>
        <w:footnoteRef/>
      </w:r>
      <w:r w:rsidRPr="00602574">
        <w:t xml:space="preserve"> GSMA, </w:t>
      </w:r>
      <w:r w:rsidRPr="00602574">
        <w:rPr>
          <w:i/>
          <w:iCs/>
        </w:rPr>
        <w:t>Global Spectrum Pricing</w:t>
      </w:r>
      <w:r w:rsidRPr="00602574">
        <w:t xml:space="preserve">, GSMA, May 2025, accessed 4 December 2025, </w:t>
      </w:r>
      <w:hyperlink r:id="rId45" w:history="1">
        <w:r w:rsidRPr="00602574">
          <w:rPr>
            <w:rStyle w:val="Hyperlink"/>
          </w:rPr>
          <w:t>https://www.gsma.com/ connectivity-for-good/spectrum/wp-content/uploads/2025/05/Global-Spectrum-Pricing-v2.pdf</w:t>
        </w:r>
      </w:hyperlink>
      <w:r w:rsidRPr="00602574">
        <w:t>.</w:t>
      </w:r>
      <w:r w:rsidR="00DB79AD">
        <w:t xml:space="preserve"> </w:t>
      </w:r>
    </w:p>
  </w:footnote>
  <w:footnote w:id="96">
    <w:p w14:paraId="37AC57FF" w14:textId="4EB03640" w:rsidR="00E87363" w:rsidRPr="005C544D" w:rsidRDefault="00E87363" w:rsidP="006A3DDC">
      <w:pPr>
        <w:pStyle w:val="FootnoteText"/>
        <w:spacing w:line="240" w:lineRule="auto"/>
      </w:pPr>
      <w:r w:rsidRPr="00602574">
        <w:rPr>
          <w:rStyle w:val="FootnoteReference"/>
        </w:rPr>
        <w:footnoteRef/>
      </w:r>
      <w:r w:rsidRPr="00602574">
        <w:t xml:space="preserve"> See </w:t>
      </w:r>
      <w:r w:rsidR="005912E6">
        <w:t>s</w:t>
      </w:r>
      <w:r w:rsidR="005912E6" w:rsidRPr="00602574">
        <w:t xml:space="preserve">ection </w:t>
      </w:r>
      <w:r w:rsidRPr="00602574">
        <w:t>2.2.2.3.</w:t>
      </w:r>
    </w:p>
  </w:footnote>
  <w:footnote w:id="97">
    <w:p w14:paraId="2A105BDF" w14:textId="77777777" w:rsidR="00FA39D6" w:rsidRPr="00DB05F1" w:rsidRDefault="00FA39D6" w:rsidP="006A3DDC">
      <w:pPr>
        <w:pStyle w:val="FootnoteText"/>
        <w:spacing w:line="240" w:lineRule="auto"/>
      </w:pPr>
      <w:r w:rsidRPr="00DB05F1">
        <w:rPr>
          <w:rStyle w:val="FootnoteReference"/>
        </w:rPr>
        <w:footnoteRef/>
      </w:r>
      <w:r w:rsidRPr="00DB05F1">
        <w:t xml:space="preserve"> </w:t>
      </w:r>
      <w:r>
        <w:t>Study on Finance and USO</w:t>
      </w:r>
      <w:r w:rsidRPr="00DB05F1">
        <w:t>.</w:t>
      </w:r>
    </w:p>
  </w:footnote>
  <w:footnote w:id="98">
    <w:p w14:paraId="6B412861" w14:textId="77777777" w:rsidR="00E87363" w:rsidRPr="00602574" w:rsidRDefault="00E87363" w:rsidP="006A3DDC">
      <w:pPr>
        <w:pStyle w:val="FootnoteText"/>
        <w:spacing w:line="240" w:lineRule="auto"/>
      </w:pPr>
      <w:r w:rsidRPr="00602574">
        <w:rPr>
          <w:rStyle w:val="FootnoteReference"/>
        </w:rPr>
        <w:footnoteRef/>
      </w:r>
      <w:r w:rsidRPr="00602574">
        <w:t xml:space="preserve"> </w:t>
      </w:r>
      <w:r w:rsidRPr="009D1ED7">
        <w:t>The Draghi Report warns that Europe’s telecom sector’s lower investment capacity compared with major peers may constrain the rollout of state-of-the-art connectivity required to digitise manufacturing, supply and distribution chains.</w:t>
      </w:r>
    </w:p>
  </w:footnote>
  <w:footnote w:id="99">
    <w:p w14:paraId="4C237D4B" w14:textId="77777777" w:rsidR="000269BE" w:rsidRPr="00602574" w:rsidRDefault="000269BE" w:rsidP="006A3DDC">
      <w:pPr>
        <w:pStyle w:val="FootnoteText"/>
        <w:spacing w:line="240" w:lineRule="auto"/>
      </w:pPr>
      <w:r w:rsidRPr="008A2052">
        <w:rPr>
          <w:rStyle w:val="FootnoteReference"/>
        </w:rPr>
        <w:footnoteRef/>
      </w:r>
      <w:r w:rsidRPr="00602574">
        <w:t xml:space="preserve"> See GSMA (2025): The Mobile Economy Europe 2025, </w:t>
      </w:r>
      <w:hyperlink r:id="rId46" w:history="1">
        <w:r w:rsidRPr="00602574">
          <w:rPr>
            <w:rStyle w:val="Hyperlink"/>
          </w:rPr>
          <w:t>https://www.gsma.com/solutions-and-impact/connectivity-for-good/mobile-economy/wp-content/uploads/2025/01/0125-Mobile-Economy-Europe-2025-web.pdf</w:t>
        </w:r>
      </w:hyperlink>
      <w:r w:rsidRPr="00602574">
        <w:t xml:space="preserve"> , page 11.</w:t>
      </w:r>
    </w:p>
  </w:footnote>
  <w:footnote w:id="100">
    <w:p w14:paraId="088A949F" w14:textId="0EF547C0" w:rsidR="000269BE" w:rsidRPr="005C544D" w:rsidRDefault="000269BE" w:rsidP="006A3DDC">
      <w:pPr>
        <w:pStyle w:val="FootnoteText"/>
        <w:spacing w:line="240" w:lineRule="auto"/>
      </w:pPr>
      <w:r w:rsidRPr="008A2052">
        <w:rPr>
          <w:rStyle w:val="FootnoteReference"/>
        </w:rPr>
        <w:footnoteRef/>
      </w:r>
      <w:r w:rsidRPr="00602574">
        <w:t xml:space="preserve"> </w:t>
      </w:r>
      <w:r w:rsidR="00C62EE5">
        <w:t>Study on</w:t>
      </w:r>
      <w:r w:rsidRPr="00602574">
        <w:t xml:space="preserve"> Finance </w:t>
      </w:r>
      <w:r w:rsidR="00C62EE5">
        <w:t xml:space="preserve">and </w:t>
      </w:r>
      <w:r w:rsidRPr="00602574">
        <w:t>USO.</w:t>
      </w:r>
    </w:p>
  </w:footnote>
  <w:footnote w:id="101">
    <w:p w14:paraId="47743A3B" w14:textId="77777777" w:rsidR="000269BE" w:rsidRPr="00602574" w:rsidRDefault="000269BE" w:rsidP="006A3DDC">
      <w:pPr>
        <w:pStyle w:val="FootnoteText"/>
        <w:spacing w:after="20" w:line="240" w:lineRule="auto"/>
        <w:jc w:val="left"/>
      </w:pPr>
      <w:r w:rsidRPr="008A2052">
        <w:rPr>
          <w:rStyle w:val="FootnoteReference"/>
        </w:rPr>
        <w:footnoteRef/>
      </w:r>
      <w:r w:rsidRPr="00602574">
        <w:t xml:space="preserve"> </w:t>
      </w:r>
      <w:hyperlink r:id="rId47">
        <w:r w:rsidRPr="00602574">
          <w:rPr>
            <w:rStyle w:val="Hyperlink"/>
            <w:rFonts w:eastAsia="Times New Roman"/>
          </w:rPr>
          <w:t>https://wifinowglobal.com/news-and-blog/germany-wi-fi-carries-87-of-smartphone-traffic</w:t>
        </w:r>
      </w:hyperlink>
      <w:r w:rsidRPr="00602574">
        <w:rPr>
          <w:rFonts w:eastAsia="Times New Roman"/>
        </w:rPr>
        <w:t xml:space="preserve"> </w:t>
      </w:r>
      <w:hyperlink r:id="rId48">
        <w:r w:rsidRPr="00602574">
          <w:rPr>
            <w:rStyle w:val="Hyperlink"/>
            <w:rFonts w:eastAsia="Times New Roman"/>
          </w:rPr>
          <w:t>https://www.opensignal.com/2024/10/31/wi-fi-drives-smartphone-data-consumption-in-the-us-but-trends-vary-across-operators</w:t>
        </w:r>
      </w:hyperlink>
      <w:r w:rsidRPr="00602574">
        <w:t>.</w:t>
      </w:r>
    </w:p>
  </w:footnote>
  <w:footnote w:id="102">
    <w:p w14:paraId="50EAB230" w14:textId="7D9009DB" w:rsidR="000269BE" w:rsidRPr="00602574" w:rsidRDefault="000269BE" w:rsidP="006A3DDC">
      <w:pPr>
        <w:pStyle w:val="FootnoteText"/>
        <w:spacing w:after="20" w:line="240" w:lineRule="auto"/>
      </w:pPr>
      <w:r w:rsidRPr="008A2052">
        <w:rPr>
          <w:rStyle w:val="FootnoteReference"/>
        </w:rPr>
        <w:footnoteRef/>
      </w:r>
      <w:r w:rsidRPr="00602574">
        <w:t xml:space="preserve"> </w:t>
      </w:r>
      <w:r w:rsidRPr="00602574">
        <w:rPr>
          <w:rFonts w:eastAsia="Times New Roman"/>
        </w:rPr>
        <w:t xml:space="preserve">This may </w:t>
      </w:r>
      <w:r w:rsidR="00685361">
        <w:rPr>
          <w:rFonts w:eastAsia="Times New Roman"/>
        </w:rPr>
        <w:t>exp</w:t>
      </w:r>
      <w:r w:rsidR="004F5134">
        <w:rPr>
          <w:rFonts w:eastAsia="Times New Roman"/>
        </w:rPr>
        <w:t xml:space="preserve">lain </w:t>
      </w:r>
      <w:r w:rsidR="00CB41D7">
        <w:rPr>
          <w:rFonts w:eastAsia="Times New Roman"/>
        </w:rPr>
        <w:t>scepticism</w:t>
      </w:r>
      <w:r w:rsidR="00CB41D7" w:rsidRPr="00CB41D7">
        <w:rPr>
          <w:rFonts w:eastAsia="Times New Roman"/>
        </w:rPr>
        <w:t xml:space="preserve"> </w:t>
      </w:r>
      <w:r w:rsidR="00CB41D7" w:rsidRPr="00602574">
        <w:rPr>
          <w:rFonts w:eastAsia="Times New Roman"/>
        </w:rPr>
        <w:t xml:space="preserve">about the </w:t>
      </w:r>
      <w:r w:rsidR="00CB41D7">
        <w:rPr>
          <w:rFonts w:eastAsia="Times New Roman"/>
        </w:rPr>
        <w:t xml:space="preserve">potential </w:t>
      </w:r>
      <w:r w:rsidR="00CB41D7" w:rsidRPr="00602574">
        <w:rPr>
          <w:rFonts w:eastAsia="Times New Roman"/>
        </w:rPr>
        <w:t>advantages this technology</w:t>
      </w:r>
      <w:r w:rsidRPr="00602574">
        <w:rPr>
          <w:rFonts w:eastAsia="Times New Roman"/>
        </w:rPr>
        <w:t xml:space="preserve">, as they have not </w:t>
      </w:r>
      <w:r w:rsidR="001C502E">
        <w:rPr>
          <w:rFonts w:eastAsia="Times New Roman"/>
        </w:rPr>
        <w:t xml:space="preserve">yet </w:t>
      </w:r>
      <w:r w:rsidRPr="00602574">
        <w:rPr>
          <w:rFonts w:eastAsia="Times New Roman"/>
        </w:rPr>
        <w:t>experienced th</w:t>
      </w:r>
      <w:r w:rsidR="001C502E">
        <w:rPr>
          <w:rFonts w:eastAsia="Times New Roman"/>
        </w:rPr>
        <w:t>em (</w:t>
      </w:r>
      <w:r w:rsidRPr="00602574">
        <w:rPr>
          <w:rFonts w:eastAsia="Times New Roman"/>
        </w:rPr>
        <w:t xml:space="preserve">cf. interviews conducted in the context of the WIK (2023) study for BEREC on wholesale mobile connectivity and </w:t>
      </w:r>
      <w:hyperlink r:id="rId49">
        <w:r w:rsidRPr="00602574">
          <w:rPr>
            <w:rStyle w:val="Hyperlink"/>
            <w:rFonts w:eastAsia="Times New Roman"/>
            <w:color w:val="467886"/>
          </w:rPr>
          <w:t>Realising the Benefits of 5G (publishing.service.gov.uk)</w:t>
        </w:r>
      </w:hyperlink>
      <w:r w:rsidRPr="00602574">
        <w:rPr>
          <w:rFonts w:eastAsia="Times New Roman"/>
          <w:color w:val="467886"/>
          <w:u w:val="single"/>
        </w:rPr>
        <w:t>; DD 2030 Cyprus Report_final.docx.pdf (dmrid.gov.cy)</w:t>
      </w:r>
      <w:r w:rsidR="00590F39">
        <w:rPr>
          <w:rFonts w:eastAsia="Times New Roman"/>
          <w:color w:val="467886"/>
          <w:u w:val="single"/>
        </w:rPr>
        <w:t>)</w:t>
      </w:r>
      <w:r w:rsidRPr="00602574">
        <w:rPr>
          <w:rFonts w:eastAsia="Times New Roman"/>
          <w:color w:val="467886"/>
          <w:u w:val="single"/>
        </w:rPr>
        <w:t>.</w:t>
      </w:r>
    </w:p>
  </w:footnote>
  <w:footnote w:id="103">
    <w:p w14:paraId="56C2C396" w14:textId="77777777" w:rsidR="000269BE" w:rsidRPr="00602574" w:rsidRDefault="000269BE" w:rsidP="006A3DDC">
      <w:pPr>
        <w:pStyle w:val="FootnoteText"/>
        <w:spacing w:after="20" w:line="240" w:lineRule="auto"/>
        <w:jc w:val="left"/>
      </w:pPr>
      <w:r w:rsidRPr="008A2052">
        <w:rPr>
          <w:rStyle w:val="FootnoteReference"/>
        </w:rPr>
        <w:footnoteRef/>
      </w:r>
      <w:r w:rsidRPr="00602574">
        <w:t xml:space="preserve"> </w:t>
      </w:r>
      <w:r w:rsidRPr="00602574">
        <w:rPr>
          <w:rFonts w:eastAsia="Times New Roman"/>
        </w:rPr>
        <w:t>This is also indicated from interviews with MNOs conducted for WIK financial study.</w:t>
      </w:r>
    </w:p>
  </w:footnote>
  <w:footnote w:id="104">
    <w:p w14:paraId="08D63DC4" w14:textId="77777777" w:rsidR="000269BE" w:rsidRPr="005C544D" w:rsidRDefault="000269BE" w:rsidP="006A3DDC">
      <w:pPr>
        <w:pStyle w:val="FootnoteText"/>
        <w:spacing w:line="240" w:lineRule="auto"/>
      </w:pPr>
      <w:r w:rsidRPr="008A2052">
        <w:rPr>
          <w:rStyle w:val="FootnoteReference"/>
        </w:rPr>
        <w:footnoteRef/>
      </w:r>
      <w:r w:rsidRPr="00602574">
        <w:t xml:space="preserve"> BEREC input to the consultation on the White Paper BoR (24) 100_1 and to the Call for Evidence.</w:t>
      </w:r>
    </w:p>
  </w:footnote>
  <w:footnote w:id="105">
    <w:p w14:paraId="1E0C4DBD" w14:textId="6808B1CE" w:rsidR="000269BE" w:rsidRPr="00602574" w:rsidRDefault="000269BE" w:rsidP="006A3DDC">
      <w:pPr>
        <w:pStyle w:val="FootnoteText"/>
        <w:spacing w:line="240" w:lineRule="auto"/>
        <w:jc w:val="left"/>
      </w:pPr>
      <w:r w:rsidRPr="008A2052">
        <w:rPr>
          <w:rStyle w:val="FootnoteReference"/>
        </w:rPr>
        <w:footnoteRef/>
      </w:r>
      <w:r w:rsidRPr="00602574">
        <w:t xml:space="preserve"> WIK </w:t>
      </w:r>
      <w:r w:rsidR="00F21241">
        <w:rPr>
          <w:bCs/>
        </w:rPr>
        <w:t>Finan</w:t>
      </w:r>
      <w:r w:rsidR="00AC34C0">
        <w:rPr>
          <w:bCs/>
        </w:rPr>
        <w:t>cial Study.</w:t>
      </w:r>
    </w:p>
  </w:footnote>
  <w:footnote w:id="106">
    <w:p w14:paraId="0CC2563A" w14:textId="591E17C8" w:rsidR="00C15DC7" w:rsidRPr="005C544D" w:rsidRDefault="00C15DC7" w:rsidP="006A3DDC">
      <w:pPr>
        <w:pStyle w:val="FootnoteText"/>
        <w:spacing w:line="240" w:lineRule="auto"/>
      </w:pPr>
      <w:r w:rsidRPr="008A2052">
        <w:rPr>
          <w:rStyle w:val="FootnoteReference"/>
        </w:rPr>
        <w:footnoteRef/>
      </w:r>
      <w:r w:rsidRPr="00602574">
        <w:t xml:space="preserve"> </w:t>
      </w:r>
      <w:r w:rsidRPr="005C544D">
        <w:rPr>
          <w:rFonts w:eastAsia="Times New Roman"/>
        </w:rPr>
        <w:t>See Annex 7</w:t>
      </w:r>
      <w:r w:rsidR="00105767">
        <w:rPr>
          <w:rFonts w:eastAsia="Times New Roman"/>
        </w:rPr>
        <w:t>,</w:t>
      </w:r>
      <w:r w:rsidRPr="005C544D">
        <w:rPr>
          <w:rFonts w:eastAsia="Times New Roman"/>
        </w:rPr>
        <w:t xml:space="preserve"> </w:t>
      </w:r>
      <w:r w:rsidR="00105767">
        <w:rPr>
          <w:rFonts w:eastAsia="Times New Roman"/>
        </w:rPr>
        <w:t>s</w:t>
      </w:r>
      <w:r w:rsidRPr="005C544D">
        <w:rPr>
          <w:rFonts w:eastAsia="Times New Roman"/>
        </w:rPr>
        <w:t xml:space="preserve">ection </w:t>
      </w:r>
      <w:r w:rsidR="007D5B9E">
        <w:rPr>
          <w:rFonts w:eastAsia="Times New Roman"/>
        </w:rPr>
        <w:t>2</w:t>
      </w:r>
      <w:r w:rsidRPr="005C544D">
        <w:rPr>
          <w:rFonts w:eastAsia="Times New Roman"/>
        </w:rPr>
        <w:t>.2.</w:t>
      </w:r>
      <w:r w:rsidR="00744115">
        <w:rPr>
          <w:rFonts w:eastAsia="Times New Roman"/>
        </w:rPr>
        <w:t>1</w:t>
      </w:r>
      <w:r w:rsidRPr="005C544D">
        <w:rPr>
          <w:rFonts w:eastAsia="Times New Roman"/>
        </w:rPr>
        <w:t xml:space="preserve">. on </w:t>
      </w:r>
      <w:r w:rsidRPr="00602574">
        <w:rPr>
          <w:rFonts w:eastAsia="Times New Roman"/>
        </w:rPr>
        <w:t>Inefficient use of spectrum.</w:t>
      </w:r>
    </w:p>
  </w:footnote>
  <w:footnote w:id="107">
    <w:p w14:paraId="48CC8FC5" w14:textId="77777777" w:rsidR="00C15DC7" w:rsidRPr="00602574" w:rsidRDefault="00C15DC7" w:rsidP="006A3DDC">
      <w:pPr>
        <w:pStyle w:val="FootnoteText"/>
        <w:spacing w:line="240" w:lineRule="auto"/>
        <w:jc w:val="left"/>
      </w:pPr>
      <w:r w:rsidRPr="008A2052">
        <w:rPr>
          <w:rStyle w:val="FootnoteReference"/>
        </w:rPr>
        <w:footnoteRef/>
      </w:r>
      <w:r w:rsidRPr="00602574">
        <w:t xml:space="preserve"> </w:t>
      </w:r>
      <w:r w:rsidRPr="00602574">
        <w:rPr>
          <w:rFonts w:eastAsia="Times New Roman"/>
        </w:rPr>
        <w:t xml:space="preserve">Cf. Radio Spectrum Policy Group Opinion and Report on the status and outlook of spectrum sharing (see documents </w:t>
      </w:r>
      <w:hyperlink r:id="rId50">
        <w:r w:rsidRPr="00602574">
          <w:rPr>
            <w:rStyle w:val="Hyperlink"/>
            <w:rFonts w:eastAsia="Times New Roman"/>
            <w:color w:val="467886"/>
          </w:rPr>
          <w:t>RSPG21-022</w:t>
        </w:r>
      </w:hyperlink>
      <w:r w:rsidRPr="00602574">
        <w:rPr>
          <w:rFonts w:eastAsia="Times New Roman"/>
        </w:rPr>
        <w:t xml:space="preserve"> and </w:t>
      </w:r>
      <w:hyperlink r:id="rId51">
        <w:r w:rsidRPr="00602574">
          <w:rPr>
            <w:rStyle w:val="Hyperlink"/>
            <w:rFonts w:eastAsia="Times New Roman"/>
            <w:color w:val="467886"/>
          </w:rPr>
          <w:t>RSPG21-016</w:t>
        </w:r>
      </w:hyperlink>
      <w:r w:rsidRPr="00602574">
        <w:rPr>
          <w:rFonts w:eastAsia="Times New Roman"/>
        </w:rPr>
        <w:t xml:space="preserve">); A prominent recent </w:t>
      </w:r>
      <w:r w:rsidRPr="00602574">
        <w:rPr>
          <w:rFonts w:eastAsia="Times New Roman"/>
          <w:i/>
          <w:iCs/>
        </w:rPr>
        <w:t>international</w:t>
      </w:r>
      <w:r w:rsidRPr="00602574">
        <w:rPr>
          <w:rFonts w:eastAsia="Times New Roman"/>
        </w:rPr>
        <w:t xml:space="preserve"> example is the 2018 3-tier (military, licensed or unlicensed WBS) sharing arrangement for the 3 550 MHz to 3 700 MHz band within the frame of the so-called Citizens Broadband Radio Service (CBRS).</w:t>
      </w:r>
    </w:p>
  </w:footnote>
  <w:footnote w:id="108">
    <w:p w14:paraId="6AB4558D" w14:textId="77777777" w:rsidR="00C15DC7" w:rsidRPr="005C544D" w:rsidRDefault="00C15DC7" w:rsidP="006A3DDC">
      <w:pPr>
        <w:pStyle w:val="FootnoteText"/>
        <w:spacing w:line="240" w:lineRule="auto"/>
      </w:pPr>
      <w:r w:rsidRPr="008A2052">
        <w:rPr>
          <w:rStyle w:val="FootnoteReference"/>
        </w:rPr>
        <w:footnoteRef/>
      </w:r>
      <w:r w:rsidRPr="00602574">
        <w:t xml:space="preserve"> </w:t>
      </w:r>
      <w:r w:rsidRPr="005C544D">
        <w:rPr>
          <w:rFonts w:eastAsia="Times New Roman"/>
        </w:rPr>
        <w:t>As highlighted in the 2021 RSPG Report on Spectrum Sharing (RSPG21-022).</w:t>
      </w:r>
    </w:p>
  </w:footnote>
  <w:footnote w:id="109">
    <w:p w14:paraId="2342EC06" w14:textId="72832806" w:rsidR="00C15DC7" w:rsidRPr="00602574" w:rsidRDefault="00C15DC7" w:rsidP="006A3DDC">
      <w:pPr>
        <w:pStyle w:val="FootnoteText"/>
        <w:spacing w:line="240" w:lineRule="auto"/>
      </w:pPr>
      <w:r w:rsidRPr="008A2052">
        <w:rPr>
          <w:rStyle w:val="FootnoteReference"/>
        </w:rPr>
        <w:footnoteRef/>
      </w:r>
      <w:r w:rsidRPr="00602574">
        <w:t xml:space="preserve"> Examples include flexible models in the Netherlands and Finland, and more restrictive approaches in Poland. Recently, trading transactions have been recorded, for example, in Slovakia, Belgium and Latvia. See Annex 11</w:t>
      </w:r>
      <w:r w:rsidR="0005320D">
        <w:t>,</w:t>
      </w:r>
      <w:r w:rsidRPr="00602574">
        <w:t xml:space="preserve"> </w:t>
      </w:r>
      <w:r w:rsidR="0005320D">
        <w:t>s</w:t>
      </w:r>
      <w:r w:rsidRPr="00602574">
        <w:t>ection 5.5.3.</w:t>
      </w:r>
    </w:p>
  </w:footnote>
  <w:footnote w:id="110">
    <w:p w14:paraId="596567F0" w14:textId="2CA35C40" w:rsidR="00C15DC7" w:rsidRPr="005C544D" w:rsidRDefault="00C15DC7" w:rsidP="006A3DDC">
      <w:pPr>
        <w:pStyle w:val="FootnoteText"/>
        <w:spacing w:line="240" w:lineRule="auto"/>
      </w:pPr>
      <w:r w:rsidRPr="008A2052">
        <w:rPr>
          <w:rStyle w:val="FootnoteReference"/>
        </w:rPr>
        <w:footnoteRef/>
      </w:r>
      <w:r w:rsidRPr="00602574">
        <w:t xml:space="preserve"> See Annex 11</w:t>
      </w:r>
      <w:r w:rsidR="00105767">
        <w:t>,</w:t>
      </w:r>
      <w:r w:rsidRPr="00602574">
        <w:t xml:space="preserve"> </w:t>
      </w:r>
      <w:r w:rsidR="00105767">
        <w:t>s</w:t>
      </w:r>
      <w:r w:rsidR="00105767" w:rsidRPr="00602574">
        <w:t xml:space="preserve">ection </w:t>
      </w:r>
      <w:r w:rsidRPr="00602574">
        <w:t>5.4.3. Spectrum for industry: verticals and private networks.</w:t>
      </w:r>
    </w:p>
  </w:footnote>
  <w:footnote w:id="111">
    <w:p w14:paraId="22514026" w14:textId="1216D6A6" w:rsidR="00C15DC7" w:rsidRPr="005C544D" w:rsidRDefault="00C15DC7" w:rsidP="006A3DDC">
      <w:pPr>
        <w:pStyle w:val="FootnoteText"/>
        <w:spacing w:line="240" w:lineRule="auto"/>
      </w:pPr>
      <w:r w:rsidRPr="008A2052">
        <w:rPr>
          <w:rStyle w:val="FootnoteReference"/>
        </w:rPr>
        <w:footnoteRef/>
      </w:r>
      <w:r w:rsidRPr="00602574">
        <w:t xml:space="preserve"> See Annex 7</w:t>
      </w:r>
      <w:r w:rsidR="0005320D">
        <w:t>,</w:t>
      </w:r>
      <w:r w:rsidRPr="00602574">
        <w:t xml:space="preserve"> </w:t>
      </w:r>
      <w:r w:rsidR="0005320D">
        <w:t>s</w:t>
      </w:r>
      <w:r w:rsidRPr="00602574">
        <w:t xml:space="preserve">ection </w:t>
      </w:r>
      <w:r w:rsidR="00FF5F94">
        <w:t>2</w:t>
      </w:r>
      <w:r w:rsidRPr="00602574">
        <w:t>.2.</w:t>
      </w:r>
      <w:r w:rsidR="00FF5F94">
        <w:t>2</w:t>
      </w:r>
      <w:r w:rsidRPr="00602574">
        <w:t>. Insufficient flexibility for inter-service and intra-service sharing ("use-it-or-lose-it").</w:t>
      </w:r>
    </w:p>
  </w:footnote>
  <w:footnote w:id="112">
    <w:p w14:paraId="2216C31B" w14:textId="46838C56" w:rsidR="00C15DC7" w:rsidRPr="005C544D" w:rsidRDefault="00C15DC7" w:rsidP="006A3DDC">
      <w:pPr>
        <w:pStyle w:val="FootnoteText"/>
        <w:spacing w:line="240" w:lineRule="auto"/>
      </w:pPr>
      <w:r w:rsidRPr="008A2052">
        <w:rPr>
          <w:rStyle w:val="FootnoteReference"/>
        </w:rPr>
        <w:footnoteRef/>
      </w:r>
      <w:r w:rsidRPr="00602574">
        <w:t xml:space="preserve"> See Annex 11</w:t>
      </w:r>
      <w:r w:rsidR="0005320D">
        <w:t>, s</w:t>
      </w:r>
      <w:r w:rsidRPr="00602574">
        <w:t>ection 5.5.3. Spectrum sharing, transfer and leasing ("use-it-or-lose-it").</w:t>
      </w:r>
    </w:p>
  </w:footnote>
  <w:footnote w:id="113">
    <w:p w14:paraId="5E47995B" w14:textId="3FAB939D" w:rsidR="00C15DC7" w:rsidRPr="005C544D" w:rsidRDefault="00C15DC7" w:rsidP="006A3DDC">
      <w:pPr>
        <w:pStyle w:val="FootnoteText"/>
        <w:spacing w:line="240" w:lineRule="auto"/>
      </w:pPr>
      <w:r w:rsidRPr="008A2052">
        <w:rPr>
          <w:rStyle w:val="FootnoteReference"/>
        </w:rPr>
        <w:footnoteRef/>
      </w:r>
      <w:r w:rsidRPr="00602574">
        <w:t xml:space="preserve"> See Annex 7</w:t>
      </w:r>
      <w:r w:rsidR="0005320D">
        <w:t>, s</w:t>
      </w:r>
      <w:r w:rsidRPr="00602574">
        <w:t xml:space="preserve">ection </w:t>
      </w:r>
      <w:r w:rsidR="00AE42CC">
        <w:t>2.2.2</w:t>
      </w:r>
      <w:r w:rsidRPr="00602574">
        <w:t>. Insufficient flexibility for inter-service and intra-service sharing (CBRS)</w:t>
      </w:r>
    </w:p>
  </w:footnote>
  <w:footnote w:id="114">
    <w:p w14:paraId="7BD31AE3" w14:textId="77777777" w:rsidR="00C15DC7" w:rsidRPr="005C544D" w:rsidRDefault="00C15DC7" w:rsidP="006A3DDC">
      <w:pPr>
        <w:pStyle w:val="FootnoteText"/>
        <w:spacing w:line="240" w:lineRule="auto"/>
      </w:pPr>
      <w:r w:rsidRPr="008A2052">
        <w:rPr>
          <w:rStyle w:val="FootnoteReference"/>
        </w:rPr>
        <w:footnoteRef/>
      </w:r>
      <w:r w:rsidRPr="00602574">
        <w:t xml:space="preserve"> Harold Furchtgott‑Roth, “The Potential Market Value and Consumer Surplus Value of the Citizens Broadband Radio Service (CBRS) at 3550-3700 MHz in the United States” (2017).</w:t>
      </w:r>
    </w:p>
  </w:footnote>
  <w:footnote w:id="115">
    <w:p w14:paraId="4A5CBFDB" w14:textId="77777777" w:rsidR="006B12D0" w:rsidRPr="00602574" w:rsidRDefault="006B12D0" w:rsidP="006A3DDC">
      <w:pPr>
        <w:pStyle w:val="FootnoteText"/>
        <w:spacing w:line="240" w:lineRule="auto"/>
      </w:pPr>
      <w:r w:rsidRPr="008A2052">
        <w:rPr>
          <w:rStyle w:val="FootnoteReference"/>
        </w:rPr>
        <w:footnoteRef/>
      </w:r>
      <w:r w:rsidRPr="00602574">
        <w:t xml:space="preserve"> </w:t>
      </w:r>
      <w:r w:rsidRPr="005C544D">
        <w:t xml:space="preserve">Such performance enables advanced 5G and future 6G features, such as </w:t>
      </w:r>
      <w:r w:rsidRPr="00602574">
        <w:t>ultra-reliable low-latency communications.</w:t>
      </w:r>
    </w:p>
  </w:footnote>
  <w:footnote w:id="116">
    <w:p w14:paraId="63392420" w14:textId="77777777" w:rsidR="006B12D0" w:rsidRPr="005C544D" w:rsidRDefault="006B12D0" w:rsidP="006A3DDC">
      <w:pPr>
        <w:pStyle w:val="FootnoteText"/>
        <w:spacing w:line="240" w:lineRule="auto"/>
      </w:pPr>
      <w:r w:rsidRPr="008A2052">
        <w:rPr>
          <w:rStyle w:val="FootnoteReference"/>
        </w:rPr>
        <w:footnoteRef/>
      </w:r>
      <w:r w:rsidRPr="00602574">
        <w:t xml:space="preserve"> For further details see Annex 10 for Radio spectrum essentials and properties of 5G pioneer spectrum bands.</w:t>
      </w:r>
    </w:p>
  </w:footnote>
  <w:footnote w:id="117">
    <w:p w14:paraId="222BCB39" w14:textId="7602C14E" w:rsidR="006B12D0" w:rsidRPr="005C544D" w:rsidRDefault="006B12D0" w:rsidP="006A3DDC">
      <w:pPr>
        <w:pStyle w:val="FootnoteText"/>
        <w:spacing w:line="240" w:lineRule="auto"/>
      </w:pPr>
      <w:r w:rsidRPr="008A2052">
        <w:rPr>
          <w:rStyle w:val="FootnoteReference"/>
        </w:rPr>
        <w:footnoteRef/>
      </w:r>
      <w:r w:rsidR="008564DA">
        <w:t xml:space="preserve"> S</w:t>
      </w:r>
      <w:r w:rsidR="005B1CDC" w:rsidRPr="00602574">
        <w:t>tudies indicate that full 5G deployment can cost 50–70 % more than 4G</w:t>
      </w:r>
      <w:r w:rsidR="005B1CDC">
        <w:t xml:space="preserve"> see </w:t>
      </w:r>
      <w:r w:rsidRPr="00602574">
        <w:t xml:space="preserve">GSMA: </w:t>
      </w:r>
      <w:r w:rsidRPr="005C544D">
        <w:t>5G-era Mobile Network Cost Evolution (2019</w:t>
      </w:r>
      <w:r w:rsidR="11DB0599" w:rsidRPr="005C544D">
        <w:t>).</w:t>
      </w:r>
      <w:r w:rsidR="00A51EE4">
        <w:t xml:space="preserve"> </w:t>
      </w:r>
      <w:r w:rsidR="00A51EE4" w:rsidRPr="00DB05F1">
        <w:t>WIK-Consult 2023 study</w:t>
      </w:r>
      <w:r w:rsidR="00A51EE4" w:rsidRPr="00D32BDC">
        <w:t xml:space="preserve"> </w:t>
      </w:r>
      <w:r w:rsidR="00A51EE4">
        <w:t>on i</w:t>
      </w:r>
      <w:r w:rsidR="00A51EE4" w:rsidRPr="00DB05F1">
        <w:t>nvestment and funding needs for the Digital Decade</w:t>
      </w:r>
      <w:r w:rsidR="00E564F7">
        <w:t xml:space="preserve"> indicates that i</w:t>
      </w:r>
      <w:r w:rsidR="003C3291" w:rsidRPr="00D32BDC">
        <w:t>nvestment requirements for full 5G in midband spectrum are three</w:t>
      </w:r>
      <w:r w:rsidR="003C3291" w:rsidRPr="00DB05F1">
        <w:t xml:space="preserve"> times higher than that for </w:t>
      </w:r>
      <w:r w:rsidR="003C3291" w:rsidRPr="00481043">
        <w:t>basic 5G</w:t>
      </w:r>
      <w:r w:rsidR="00E564F7">
        <w:t>.</w:t>
      </w:r>
    </w:p>
  </w:footnote>
  <w:footnote w:id="118">
    <w:p w14:paraId="05201D42" w14:textId="77777777" w:rsidR="006B12D0" w:rsidRPr="005C544D" w:rsidRDefault="006B12D0" w:rsidP="006A3DDC">
      <w:pPr>
        <w:pStyle w:val="FootnoteText"/>
        <w:spacing w:line="240" w:lineRule="auto"/>
      </w:pPr>
      <w:r w:rsidRPr="008A2052">
        <w:rPr>
          <w:rStyle w:val="FootnoteReference"/>
        </w:rPr>
        <w:footnoteRef/>
      </w:r>
      <w:r w:rsidRPr="00F42981">
        <w:rPr>
          <w:rStyle w:val="FootnoteReference"/>
        </w:rPr>
        <w:t xml:space="preserve"> </w:t>
      </w:r>
      <w:r w:rsidRPr="00602574">
        <w:t>These include densification requirements, higher-capacity backhaul, increased core and edge complexity linked to virtualised and cloud-native architectures, and the need for new spectrum bands to meet higher performance requirements.</w:t>
      </w:r>
    </w:p>
  </w:footnote>
  <w:footnote w:id="119">
    <w:p w14:paraId="3C0F0E65" w14:textId="344AB5BE" w:rsidR="006B12D0" w:rsidRPr="005C544D" w:rsidRDefault="006B12D0" w:rsidP="006A3DDC">
      <w:pPr>
        <w:pStyle w:val="FootnoteText"/>
        <w:spacing w:line="240" w:lineRule="auto"/>
      </w:pPr>
      <w:r w:rsidRPr="008A2052">
        <w:rPr>
          <w:rStyle w:val="FootnoteReference"/>
        </w:rPr>
        <w:footnoteRef/>
      </w:r>
      <w:r w:rsidRPr="00F42981">
        <w:rPr>
          <w:rStyle w:val="FootnoteReference"/>
          <w:rFonts w:eastAsiaTheme="minorHAnsi"/>
          <w:sz w:val="20"/>
          <w:szCs w:val="20"/>
        </w:rPr>
        <w:t xml:space="preserve"> </w:t>
      </w:r>
      <w:r w:rsidRPr="00602574">
        <w:t xml:space="preserve">For a distribution of mobile markets with three and four MNOs in the EU, see </w:t>
      </w:r>
      <w:r w:rsidRPr="00D07D2B">
        <w:t xml:space="preserve">Annex </w:t>
      </w:r>
      <w:r w:rsidR="00062E63" w:rsidRPr="00280A8B">
        <w:t>7</w:t>
      </w:r>
      <w:r w:rsidRPr="00D07D2B">
        <w:t xml:space="preserve">, </w:t>
      </w:r>
      <w:r w:rsidR="00616493">
        <w:t>s</w:t>
      </w:r>
      <w:r w:rsidR="00616493" w:rsidRPr="00D07D2B">
        <w:t xml:space="preserve">ection </w:t>
      </w:r>
      <w:r w:rsidR="00443FA4" w:rsidRPr="00280A8B">
        <w:t>2.2.3</w:t>
      </w:r>
      <w:r w:rsidRPr="00D07D2B">
        <w:t>.</w:t>
      </w:r>
      <w:r w:rsidRPr="00602574">
        <w:t xml:space="preserve"> </w:t>
      </w:r>
    </w:p>
  </w:footnote>
  <w:footnote w:id="120">
    <w:p w14:paraId="28A812FB" w14:textId="77777777" w:rsidR="006B12D0" w:rsidRPr="005C544D" w:rsidRDefault="006B12D0" w:rsidP="006A3DDC">
      <w:pPr>
        <w:pStyle w:val="FootnoteText"/>
        <w:spacing w:line="240" w:lineRule="auto"/>
      </w:pPr>
      <w:r w:rsidRPr="008A2052">
        <w:rPr>
          <w:rStyle w:val="FootnoteReference"/>
        </w:rPr>
        <w:footnoteRef/>
      </w:r>
      <w:r w:rsidRPr="00602574">
        <w:t xml:space="preserve"> See WIK financial study findings.</w:t>
      </w:r>
    </w:p>
  </w:footnote>
  <w:footnote w:id="121">
    <w:p w14:paraId="52ECFC4D" w14:textId="77777777" w:rsidR="006B12D0" w:rsidRPr="00602574" w:rsidRDefault="006B12D0" w:rsidP="006A3DDC">
      <w:pPr>
        <w:pStyle w:val="FootnoteText"/>
        <w:spacing w:line="240" w:lineRule="auto"/>
      </w:pPr>
      <w:r w:rsidRPr="00F42981">
        <w:rPr>
          <w:rStyle w:val="FootnoteReference"/>
          <w:rFonts w:hint="eastAsia"/>
        </w:rPr>
        <w:footnoteRef/>
      </w:r>
      <w:r w:rsidRPr="00602574">
        <w:t xml:space="preserve"> “Investment and funding needs for the Digital Decade connectivity targets” </w:t>
      </w:r>
      <w:hyperlink r:id="rId52" w:history="1">
        <w:r w:rsidRPr="00602574">
          <w:rPr>
            <w:rStyle w:val="Hyperlink"/>
          </w:rPr>
          <w:t>https://digital-strategy.ec.europa.eu/en/library/investment-and-funding-needs-digital-decade-connectivity-targets</w:t>
        </w:r>
      </w:hyperlink>
      <w:r w:rsidRPr="00602574">
        <w:t xml:space="preserve"> and the economic challenges of replicating full 5G mobile networks are also referenced in a study by WIK on the implications of 5G for network development in Denmark https://digst.dk/media/anppemw3/final_mobile_report_denmark_clean_non-confidential.pdf.</w:t>
      </w:r>
    </w:p>
  </w:footnote>
  <w:footnote w:id="122">
    <w:p w14:paraId="6897FCFF" w14:textId="77777777" w:rsidR="006B12D0" w:rsidRPr="00602574" w:rsidRDefault="006B12D0" w:rsidP="006A3DDC">
      <w:pPr>
        <w:pStyle w:val="FootnoteText"/>
        <w:spacing w:line="240" w:lineRule="auto"/>
      </w:pPr>
      <w:r w:rsidRPr="008A2052">
        <w:rPr>
          <w:rStyle w:val="FootnoteReference"/>
        </w:rPr>
        <w:footnoteRef/>
      </w:r>
      <w:r w:rsidRPr="00602574">
        <w:t xml:space="preserve"> </w:t>
      </w:r>
      <w:hyperlink r:id="rId53" w:history="1">
        <w:r w:rsidRPr="00602574">
          <w:rPr>
            <w:rStyle w:val="Hyperlink"/>
          </w:rPr>
          <w:t>https://digst.dk/media/anppemw3/final_mobile_report_denmark_clean_non-confidential.pdf</w:t>
        </w:r>
      </w:hyperlink>
      <w:r w:rsidRPr="00602574">
        <w:t>.</w:t>
      </w:r>
    </w:p>
  </w:footnote>
  <w:footnote w:id="123">
    <w:p w14:paraId="29D1B97A" w14:textId="312B0D58" w:rsidR="006B12D0" w:rsidRPr="005C544D" w:rsidRDefault="006B12D0" w:rsidP="006A3DDC">
      <w:pPr>
        <w:pStyle w:val="FootnoteText"/>
        <w:spacing w:line="240" w:lineRule="auto"/>
      </w:pPr>
      <w:r w:rsidRPr="008A2052">
        <w:rPr>
          <w:rStyle w:val="FootnoteReference"/>
        </w:rPr>
        <w:footnoteRef/>
      </w:r>
      <w:r w:rsidRPr="00602574">
        <w:t xml:space="preserve"> See WIK financial study</w:t>
      </w:r>
      <w:r w:rsidR="00133DC4">
        <w:t>,</w:t>
      </w:r>
      <w:r w:rsidRPr="00602574">
        <w:t xml:space="preserve"> </w:t>
      </w:r>
      <w:r w:rsidR="00133DC4">
        <w:t>s</w:t>
      </w:r>
      <w:r w:rsidR="00133DC4" w:rsidRPr="00602574">
        <w:t xml:space="preserve">ection </w:t>
      </w:r>
      <w:r w:rsidRPr="00602574">
        <w:t>4.1.3. on economies of scale</w:t>
      </w:r>
      <w:r w:rsidR="00133DC4">
        <w:t>.</w:t>
      </w:r>
      <w:r w:rsidRPr="00602574">
        <w:t xml:space="preserve"> </w:t>
      </w:r>
    </w:p>
  </w:footnote>
  <w:footnote w:id="124">
    <w:p w14:paraId="6DC533F1" w14:textId="77777777" w:rsidR="006B12D0" w:rsidRPr="005C544D" w:rsidRDefault="006B12D0" w:rsidP="006A3DDC">
      <w:pPr>
        <w:pStyle w:val="FootnoteText"/>
        <w:spacing w:line="240" w:lineRule="auto"/>
      </w:pPr>
      <w:r w:rsidRPr="008A2052">
        <w:rPr>
          <w:rStyle w:val="FootnoteReference"/>
        </w:rPr>
        <w:footnoteRef/>
      </w:r>
      <w:r w:rsidRPr="00602574">
        <w:t xml:space="preserve"> 2024 COMMUNICATIONS MARKETPLACE REPORT, FCC, December 30, 2024.</w:t>
      </w:r>
    </w:p>
  </w:footnote>
  <w:footnote w:id="125">
    <w:p w14:paraId="41668E5A" w14:textId="77777777" w:rsidR="006B12D0" w:rsidRPr="005C544D" w:rsidRDefault="006B12D0" w:rsidP="006A3DDC">
      <w:pPr>
        <w:pStyle w:val="FootnoteText"/>
        <w:spacing w:line="240" w:lineRule="auto"/>
      </w:pPr>
      <w:r w:rsidRPr="008A2052">
        <w:rPr>
          <w:rStyle w:val="FootnoteReference"/>
        </w:rPr>
        <w:footnoteRef/>
      </w:r>
      <w:r w:rsidRPr="00602574">
        <w:t xml:space="preserve"> </w:t>
      </w:r>
      <w:r w:rsidRPr="005C544D">
        <w:t>See Annex 10.</w:t>
      </w:r>
    </w:p>
  </w:footnote>
  <w:footnote w:id="126">
    <w:p w14:paraId="166FD875" w14:textId="77777777" w:rsidR="006B12D0" w:rsidRPr="005C544D" w:rsidRDefault="006B12D0" w:rsidP="006A3DDC">
      <w:pPr>
        <w:pStyle w:val="FootnoteText"/>
        <w:spacing w:line="240" w:lineRule="auto"/>
      </w:pPr>
      <w:r w:rsidRPr="00FB73D2">
        <w:rPr>
          <w:rStyle w:val="FootnoteReference"/>
        </w:rPr>
        <w:footnoteRef/>
      </w:r>
      <w:r w:rsidRPr="00602574">
        <w:t xml:space="preserve"> For an analysis of elements related to an EU-level authorisation for terrestrial spectrum see section 6.2.3, as well as sections 2.1.3, 7.2 and 8.1.2. General authorisation aspects are discussed in section 1.4. of Annex 11 (Evaluation report).</w:t>
      </w:r>
    </w:p>
  </w:footnote>
  <w:footnote w:id="127">
    <w:p w14:paraId="6D5D4FD2" w14:textId="7D36AFB2" w:rsidR="1796C77A" w:rsidRPr="00BF50BF" w:rsidRDefault="1796C77A" w:rsidP="006A3DDC">
      <w:pPr>
        <w:spacing w:after="0" w:line="240" w:lineRule="auto"/>
        <w:rPr>
          <w:sz w:val="20"/>
          <w:szCs w:val="20"/>
        </w:rPr>
      </w:pPr>
      <w:r w:rsidRPr="00F42981">
        <w:rPr>
          <w:rStyle w:val="FootnoteReference"/>
          <w:rFonts w:eastAsiaTheme="minorEastAsia"/>
        </w:rPr>
        <w:footnoteRef/>
      </w:r>
      <w:r w:rsidRPr="00BF50BF">
        <w:rPr>
          <w:sz w:val="20"/>
          <w:szCs w:val="20"/>
        </w:rPr>
        <w:t xml:space="preserve"> See section 2.1.3 of the IA and </w:t>
      </w:r>
      <w:r w:rsidRPr="00BF50BF">
        <w:rPr>
          <w:rFonts w:eastAsia="Times New Roman"/>
          <w:color w:val="000000" w:themeColor="text1"/>
          <w:sz w:val="20"/>
          <w:szCs w:val="20"/>
          <w:lang w:val="en-IE"/>
        </w:rPr>
        <w:t xml:space="preserve">Annex </w:t>
      </w:r>
      <w:r w:rsidRPr="00BF50BF">
        <w:rPr>
          <w:rFonts w:eastAsia="Times New Roman"/>
          <w:sz w:val="20"/>
          <w:szCs w:val="20"/>
          <w:lang w:val="en-IE"/>
        </w:rPr>
        <w:t>3</w:t>
      </w:r>
      <w:r w:rsidR="005B0828">
        <w:rPr>
          <w:rFonts w:eastAsia="Times New Roman"/>
          <w:sz w:val="20"/>
          <w:szCs w:val="20"/>
          <w:lang w:val="en-IE"/>
        </w:rPr>
        <w:t>,</w:t>
      </w:r>
      <w:r w:rsidRPr="00BF50BF">
        <w:rPr>
          <w:rFonts w:eastAsia="Times New Roman"/>
          <w:sz w:val="20"/>
          <w:szCs w:val="20"/>
          <w:lang w:val="en-IE"/>
        </w:rPr>
        <w:t xml:space="preserve"> section 2.3. and Annex </w:t>
      </w:r>
      <w:r w:rsidR="00B768CC">
        <w:rPr>
          <w:rFonts w:eastAsia="Times New Roman"/>
          <w:sz w:val="20"/>
          <w:szCs w:val="20"/>
          <w:lang w:val="en-IE"/>
        </w:rPr>
        <w:t>4</w:t>
      </w:r>
      <w:r w:rsidR="005B0828">
        <w:rPr>
          <w:rFonts w:eastAsia="Times New Roman"/>
          <w:sz w:val="20"/>
          <w:szCs w:val="20"/>
          <w:lang w:val="en-IE"/>
        </w:rPr>
        <w:t>,</w:t>
      </w:r>
      <w:r w:rsidR="00B768CC">
        <w:rPr>
          <w:rFonts w:eastAsia="Times New Roman"/>
          <w:sz w:val="20"/>
          <w:szCs w:val="20"/>
          <w:lang w:val="en-IE"/>
        </w:rPr>
        <w:t xml:space="preserve"> </w:t>
      </w:r>
      <w:r w:rsidRPr="00BF50BF">
        <w:rPr>
          <w:rFonts w:eastAsia="Times New Roman"/>
          <w:sz w:val="20"/>
          <w:szCs w:val="20"/>
          <w:lang w:val="en-IE"/>
        </w:rPr>
        <w:t xml:space="preserve">section 1.6 to </w:t>
      </w:r>
      <w:r w:rsidRPr="00BF50BF">
        <w:rPr>
          <w:rFonts w:eastAsia="Times New Roman"/>
          <w:color w:val="000000" w:themeColor="text1"/>
          <w:sz w:val="20"/>
          <w:szCs w:val="20"/>
          <w:lang w:val="en-IE"/>
        </w:rPr>
        <w:t>this report with more detailed information on that estimation.</w:t>
      </w:r>
    </w:p>
  </w:footnote>
  <w:footnote w:id="128">
    <w:p w14:paraId="7C787083" w14:textId="51FF3012" w:rsidR="00320D7D" w:rsidRPr="00BF50BF" w:rsidRDefault="00320D7D" w:rsidP="006A3DDC">
      <w:pPr>
        <w:pStyle w:val="FootnoteText"/>
        <w:spacing w:line="240" w:lineRule="auto"/>
        <w:rPr>
          <w:lang w:val="en-IE"/>
        </w:rPr>
      </w:pPr>
      <w:r w:rsidRPr="00FB73D2">
        <w:rPr>
          <w:rStyle w:val="FootnoteReference"/>
        </w:rPr>
        <w:footnoteRef/>
      </w:r>
      <w:r w:rsidRPr="00BF50BF">
        <w:t xml:space="preserve"> </w:t>
      </w:r>
      <w:r w:rsidRPr="00BF50BF">
        <w:rPr>
          <w:lang w:val="en-IE"/>
        </w:rPr>
        <w:t xml:space="preserve">Part A, Nr 4 Annex I </w:t>
      </w:r>
      <w:r w:rsidR="00BA4E4D" w:rsidRPr="00BF50BF">
        <w:rPr>
          <w:lang w:val="en-IE"/>
        </w:rPr>
        <w:t xml:space="preserve">of the </w:t>
      </w:r>
      <w:r w:rsidRPr="00BF50BF">
        <w:rPr>
          <w:lang w:val="en-IE"/>
        </w:rPr>
        <w:t>EECC</w:t>
      </w:r>
      <w:r w:rsidR="00B74204" w:rsidRPr="00BF50BF">
        <w:rPr>
          <w:lang w:val="en-IE"/>
        </w:rPr>
        <w:t>.</w:t>
      </w:r>
    </w:p>
  </w:footnote>
  <w:footnote w:id="129">
    <w:p w14:paraId="182A4188" w14:textId="5BABC235" w:rsidR="00320D7D" w:rsidRPr="00BF50BF" w:rsidRDefault="00320D7D" w:rsidP="006A3DDC">
      <w:pPr>
        <w:pStyle w:val="FootnoteText"/>
        <w:spacing w:line="240" w:lineRule="auto"/>
        <w:rPr>
          <w:lang w:val="en-IE"/>
        </w:rPr>
      </w:pPr>
      <w:r w:rsidRPr="00FB73D2">
        <w:rPr>
          <w:rStyle w:val="FootnoteReference"/>
        </w:rPr>
        <w:footnoteRef/>
      </w:r>
      <w:r w:rsidRPr="00BF50BF">
        <w:t xml:space="preserve"> Reference in </w:t>
      </w:r>
      <w:r w:rsidR="0070342F">
        <w:t>s</w:t>
      </w:r>
      <w:r w:rsidRPr="00BF50BF">
        <w:t>ection 4.3.3 and 4.3.4 of the Final 1st Interim Report on Completing the Single Market</w:t>
      </w:r>
      <w:r w:rsidR="00B74204" w:rsidRPr="00BF50BF">
        <w:t>.</w:t>
      </w:r>
    </w:p>
  </w:footnote>
  <w:footnote w:id="130">
    <w:p w14:paraId="44070131" w14:textId="0DC78186" w:rsidR="00415E17" w:rsidRPr="00BF50BF" w:rsidRDefault="00415E17" w:rsidP="006A3DDC">
      <w:pPr>
        <w:pStyle w:val="FootnoteText"/>
        <w:spacing w:line="240" w:lineRule="auto"/>
      </w:pPr>
      <w:r w:rsidRPr="00FB73D2">
        <w:rPr>
          <w:rStyle w:val="FootnoteReference"/>
        </w:rPr>
        <w:footnoteRef/>
      </w:r>
      <w:r w:rsidRPr="00BF50BF">
        <w:t xml:space="preserve"> In France</w:t>
      </w:r>
      <w:r w:rsidR="00B74204" w:rsidRPr="00BF50BF">
        <w:t>.</w:t>
      </w:r>
    </w:p>
  </w:footnote>
  <w:footnote w:id="131">
    <w:p w14:paraId="314CF32F" w14:textId="77777777" w:rsidR="00EC7232" w:rsidRPr="00BF50BF" w:rsidRDefault="00EC7232" w:rsidP="006A3DDC">
      <w:pPr>
        <w:pStyle w:val="FootnoteText"/>
        <w:spacing w:line="240" w:lineRule="auto"/>
      </w:pPr>
      <w:r w:rsidRPr="00FB73D2">
        <w:rPr>
          <w:rStyle w:val="FootnoteReference"/>
        </w:rPr>
        <w:footnoteRef/>
      </w:r>
      <w:r w:rsidRPr="00BF50BF">
        <w:t xml:space="preserve"> </w:t>
      </w:r>
      <w:r w:rsidRPr="00BF50BF">
        <w:rPr>
          <w:lang w:val="en-IE"/>
        </w:rPr>
        <w:t>MSS support various types of pan-European services, such as broadband, public protection and disaster relief (PPDR) services, broadcasting and multicasting, covering in particular hard to reach areas.</w:t>
      </w:r>
    </w:p>
  </w:footnote>
  <w:footnote w:id="132">
    <w:p w14:paraId="2F4B58FB" w14:textId="0004A12F" w:rsidR="0035192E" w:rsidRPr="00BF50BF" w:rsidRDefault="0035192E" w:rsidP="006A3DDC">
      <w:pPr>
        <w:pStyle w:val="FootnoteText"/>
        <w:spacing w:line="240" w:lineRule="auto"/>
        <w:rPr>
          <w:lang w:val="en-IE"/>
        </w:rPr>
      </w:pPr>
      <w:r w:rsidRPr="00FB73D2">
        <w:rPr>
          <w:rStyle w:val="FootnoteReference"/>
        </w:rPr>
        <w:footnoteRef/>
      </w:r>
      <w:r w:rsidRPr="00BF50BF">
        <w:t xml:space="preserve"> </w:t>
      </w:r>
      <w:r w:rsidRPr="00BF50BF">
        <w:rPr>
          <w:rFonts w:eastAsia="Times New Roman"/>
          <w:lang w:val="en-IE"/>
        </w:rPr>
        <w:t>For example</w:t>
      </w:r>
      <w:r w:rsidRPr="00BF50BF" w:rsidDel="002F4678">
        <w:rPr>
          <w:rFonts w:eastAsia="Times New Roman"/>
          <w:lang w:val="en-IE"/>
        </w:rPr>
        <w:t xml:space="preserve">, </w:t>
      </w:r>
      <w:r w:rsidRPr="00BF50BF">
        <w:rPr>
          <w:rFonts w:eastAsia="Times New Roman"/>
          <w:lang w:val="en-IE"/>
        </w:rPr>
        <w:t>24 Member States issued individual licences for the Complementary Ground Components (CGC), whereas 2 Member States followed a general authorisation approach. With regards to the MSS spectrum, 20 Member States issued individual licences, 2 Member States authorised them under general authorisation, one Member State took a hybrid approach, and another one issued a “block licence”.</w:t>
      </w:r>
    </w:p>
  </w:footnote>
  <w:footnote w:id="133">
    <w:p w14:paraId="0D38E610" w14:textId="77777777" w:rsidR="00D36818" w:rsidRPr="00BF50BF" w:rsidRDefault="00D36818" w:rsidP="006A3DDC">
      <w:pPr>
        <w:pStyle w:val="FootnoteText"/>
        <w:spacing w:line="240" w:lineRule="auto"/>
      </w:pPr>
      <w:r w:rsidRPr="00FB73D2">
        <w:rPr>
          <w:rStyle w:val="FootnoteReference"/>
        </w:rPr>
        <w:footnoteRef/>
      </w:r>
      <w:r w:rsidRPr="00BF50BF">
        <w:t xml:space="preserve"> Mobile satellite services (MSS) in the 2 GHz band in the EU - Implementation of the current regulatory framework and an overview of the satellite connectivity market, July 2025, Detecon International GmbH, available at </w:t>
      </w:r>
      <w:hyperlink r:id="rId54" w:history="1">
        <w:r w:rsidRPr="00BF50BF">
          <w:rPr>
            <w:rStyle w:val="Hyperlink"/>
          </w:rPr>
          <w:t>https://op.europa.eu/en/publication-detail/-/publication/4c769094-41b5-11f0-b9f2-01aa75ed71a1/language-en</w:t>
        </w:r>
      </w:hyperlink>
      <w:r w:rsidRPr="00BF50BF">
        <w:t>.</w:t>
      </w:r>
    </w:p>
  </w:footnote>
  <w:footnote w:id="134">
    <w:p w14:paraId="5ADEA065" w14:textId="7CFEDDCF" w:rsidR="00D36818" w:rsidRPr="00BF50BF" w:rsidRDefault="00D36818" w:rsidP="006A3DDC">
      <w:pPr>
        <w:pStyle w:val="FootnoteText"/>
        <w:spacing w:line="240" w:lineRule="auto"/>
      </w:pPr>
      <w:r w:rsidRPr="00FB73D2">
        <w:rPr>
          <w:rStyle w:val="FootnoteReference"/>
        </w:rPr>
        <w:footnoteRef/>
      </w:r>
      <w:r w:rsidRPr="00BF50BF">
        <w:t xml:space="preserve"> Gerus, V., Manero, C., Pujol, F.et al., Mobile Satellite Services (MSS) authorisation regimes, authorisations and enforcement in the EU Member States – Final report, Publications Office, 2019, </w:t>
      </w:r>
      <w:hyperlink r:id="rId55" w:history="1">
        <w:r w:rsidRPr="00BF50BF">
          <w:rPr>
            <w:rStyle w:val="Hyperlink"/>
          </w:rPr>
          <w:t>https://data.europa.eu/doi/10.2759/974409</w:t>
        </w:r>
      </w:hyperlink>
      <w:r w:rsidR="00B74204" w:rsidRPr="00BF50BF">
        <w:t>.</w:t>
      </w:r>
    </w:p>
  </w:footnote>
  <w:footnote w:id="135">
    <w:p w14:paraId="29BC1F74" w14:textId="50FE402A" w:rsidR="00D36818" w:rsidRPr="00BF50BF" w:rsidRDefault="00D36818" w:rsidP="006A3DDC">
      <w:pPr>
        <w:pStyle w:val="FootnoteText"/>
        <w:spacing w:line="240" w:lineRule="auto"/>
      </w:pPr>
      <w:r w:rsidRPr="00FB73D2">
        <w:rPr>
          <w:rStyle w:val="FootnoteReference"/>
        </w:rPr>
        <w:footnoteRef/>
      </w:r>
      <w:r w:rsidRPr="00BF50BF">
        <w:t xml:space="preserve"> RSPG24-007 Opinion on assessment of different possible scenarios for the use of the frequency bands 1980-2010 MHz and 2170-2200 MHz by the Mobile Satellite Services beyond 2027</w:t>
      </w:r>
      <w:r w:rsidR="00B74204" w:rsidRPr="00BF50BF">
        <w:t>.</w:t>
      </w:r>
    </w:p>
  </w:footnote>
  <w:footnote w:id="136">
    <w:p w14:paraId="06D72238" w14:textId="46BC5805" w:rsidR="00FE18DA" w:rsidRPr="00BF50BF" w:rsidRDefault="00FE18DA" w:rsidP="006A3DDC">
      <w:pPr>
        <w:pStyle w:val="FootnoteText"/>
        <w:spacing w:line="240" w:lineRule="auto"/>
        <w:rPr>
          <w:lang w:val="en-IE"/>
        </w:rPr>
      </w:pPr>
      <w:r w:rsidRPr="00FB73D2">
        <w:rPr>
          <w:rStyle w:val="FootnoteReference"/>
        </w:rPr>
        <w:footnoteRef/>
      </w:r>
      <w:r w:rsidRPr="00BF50BF">
        <w:t xml:space="preserve"> </w:t>
      </w:r>
      <w:r w:rsidR="000A2C04" w:rsidRPr="00BF50BF">
        <w:rPr>
          <w:rFonts w:eastAsia="Times New Roman" w:cstheme="minorHAnsi"/>
          <w:lang w:eastAsia="en-GB"/>
        </w:rPr>
        <w:t xml:space="preserve">Both existing operators had difficulties implementing their systems on a timely basis. While these operators were selected in 2009 (EC Decision 2009/49), they were subject to an enforcement process in 2013, delaying the provision of actual services </w:t>
      </w:r>
      <w:r w:rsidR="00EE0E8F" w:rsidRPr="00BF50BF">
        <w:rPr>
          <w:rFonts w:eastAsia="Times New Roman" w:cstheme="minorHAnsi"/>
          <w:lang w:eastAsia="en-GB"/>
        </w:rPr>
        <w:t xml:space="preserve">for </w:t>
      </w:r>
      <w:r w:rsidR="00692E28" w:rsidRPr="00BF50BF">
        <w:rPr>
          <w:rFonts w:eastAsia="Times New Roman" w:cstheme="minorHAnsi"/>
          <w:lang w:eastAsia="en-GB"/>
        </w:rPr>
        <w:t xml:space="preserve">many </w:t>
      </w:r>
      <w:r w:rsidR="00EE0E8F" w:rsidRPr="00BF50BF">
        <w:rPr>
          <w:rFonts w:eastAsia="Times New Roman" w:cstheme="minorHAnsi"/>
          <w:lang w:eastAsia="en-GB"/>
        </w:rPr>
        <w:t xml:space="preserve">years. </w:t>
      </w:r>
    </w:p>
  </w:footnote>
  <w:footnote w:id="137">
    <w:p w14:paraId="3FA6F3D2" w14:textId="77777777" w:rsidR="00071C7F" w:rsidRPr="00BF50BF" w:rsidRDefault="00071C7F" w:rsidP="006A3DDC">
      <w:pPr>
        <w:pStyle w:val="FootnoteText"/>
        <w:spacing w:line="240" w:lineRule="auto"/>
        <w:rPr>
          <w:lang w:val="en-IE"/>
        </w:rPr>
      </w:pPr>
      <w:r w:rsidRPr="00FB73D2">
        <w:rPr>
          <w:rStyle w:val="FootnoteReference"/>
        </w:rPr>
        <w:footnoteRef/>
      </w:r>
      <w:r w:rsidRPr="00BF50BF">
        <w:t xml:space="preserve"> </w:t>
      </w:r>
      <w:r w:rsidRPr="00BF50BF">
        <w:rPr>
          <w:lang w:val="en-IE"/>
        </w:rPr>
        <w:t>See Annex 7, section 1.3. Table on MSS fee structure, per Member State.</w:t>
      </w:r>
    </w:p>
  </w:footnote>
  <w:footnote w:id="138">
    <w:p w14:paraId="42262CB6" w14:textId="77777777" w:rsidR="00F9600B" w:rsidRPr="00BF50BF" w:rsidRDefault="00F9600B" w:rsidP="006A3DDC">
      <w:pPr>
        <w:spacing w:after="0" w:line="240" w:lineRule="auto"/>
        <w:rPr>
          <w:sz w:val="20"/>
          <w:szCs w:val="20"/>
          <w:lang w:val="en-IE"/>
        </w:rPr>
      </w:pPr>
      <w:r w:rsidRPr="0015618F">
        <w:rPr>
          <w:rStyle w:val="FootnoteReference"/>
          <w:rFonts w:eastAsiaTheme="minorEastAsia"/>
        </w:rPr>
        <w:footnoteRef/>
      </w:r>
      <w:r w:rsidRPr="00BF50BF">
        <w:rPr>
          <w:sz w:val="20"/>
          <w:szCs w:val="20"/>
        </w:rPr>
        <w:t xml:space="preserve"> </w:t>
      </w:r>
      <w:r w:rsidRPr="00BF50BF">
        <w:rPr>
          <w:sz w:val="20"/>
          <w:szCs w:val="20"/>
          <w:lang w:val="en-IE"/>
        </w:rPr>
        <w:t>SM enablers study.</w:t>
      </w:r>
    </w:p>
  </w:footnote>
  <w:footnote w:id="139">
    <w:p w14:paraId="06AB61B8" w14:textId="01EF5C63" w:rsidR="00972EB3" w:rsidRPr="00BF50BF" w:rsidRDefault="00972EB3" w:rsidP="006A3DDC">
      <w:pPr>
        <w:pStyle w:val="FootnoteText"/>
        <w:spacing w:line="240" w:lineRule="auto"/>
        <w:rPr>
          <w:lang w:val="en-IE"/>
        </w:rPr>
      </w:pPr>
      <w:r w:rsidRPr="00FB73D2">
        <w:rPr>
          <w:rStyle w:val="FootnoteReference"/>
        </w:rPr>
        <w:footnoteRef/>
      </w:r>
      <w:r w:rsidRPr="00BF50BF">
        <w:t xml:space="preserve"> </w:t>
      </w:r>
      <w:r w:rsidRPr="00BF50BF">
        <w:rPr>
          <w:lang w:val="en-IE"/>
        </w:rPr>
        <w:t>SM enablers study</w:t>
      </w:r>
      <w:r w:rsidR="009469C6" w:rsidRPr="00BF50BF">
        <w:rPr>
          <w:lang w:val="en-IE"/>
        </w:rPr>
        <w:t>.</w:t>
      </w:r>
    </w:p>
  </w:footnote>
  <w:footnote w:id="140">
    <w:p w14:paraId="4F64EFA8" w14:textId="77777777" w:rsidR="00656DC5" w:rsidRPr="00BF50BF" w:rsidRDefault="00656DC5" w:rsidP="006A3DDC">
      <w:pPr>
        <w:pStyle w:val="FootnoteText"/>
        <w:spacing w:line="240" w:lineRule="auto"/>
      </w:pPr>
      <w:r w:rsidRPr="00BF50BF">
        <w:rPr>
          <w:rStyle w:val="FootnoteReference"/>
        </w:rPr>
        <w:footnoteRef/>
      </w:r>
      <w:r w:rsidRPr="00BF50BF">
        <w:t xml:space="preserve"> Study on access policy including review of the relevant markets recommendation, and review of access provisions of the EECC.</w:t>
      </w:r>
    </w:p>
  </w:footnote>
  <w:footnote w:id="141">
    <w:p w14:paraId="42C98F05" w14:textId="60BD5687" w:rsidR="00062B3C" w:rsidRPr="00BF50BF" w:rsidRDefault="00062B3C" w:rsidP="006A3DDC">
      <w:pPr>
        <w:pStyle w:val="FootnoteText"/>
        <w:spacing w:line="240" w:lineRule="auto"/>
      </w:pPr>
      <w:r w:rsidRPr="00BF50BF">
        <w:rPr>
          <w:rStyle w:val="FootnoteReference"/>
        </w:rPr>
        <w:footnoteRef/>
      </w:r>
      <w:r w:rsidRPr="00BF50BF">
        <w:t xml:space="preserve"> Annex 1 - State of EU digital transformation in 2025: progress and horizontal recommendations, 16.6.2025, SWD(2025) 290 final, p. 5.</w:t>
      </w:r>
      <w:r w:rsidR="00816D21" w:rsidRPr="00BF50BF">
        <w:t xml:space="preserve"> </w:t>
      </w:r>
      <w:r w:rsidRPr="00BF50BF">
        <w:t>SWD Digital Decade in 2025: progress and outlook, 16.6.2025, SWD</w:t>
      </w:r>
      <w:r w:rsidR="00184B16">
        <w:t>(</w:t>
      </w:r>
      <w:r w:rsidRPr="00BF50BF">
        <w:t>2025</w:t>
      </w:r>
      <w:r w:rsidR="00184B16">
        <w:t>)</w:t>
      </w:r>
      <w:r w:rsidR="009A0157">
        <w:t xml:space="preserve"> </w:t>
      </w:r>
      <w:r w:rsidRPr="00BF50BF">
        <w:t>290 final, p.16.</w:t>
      </w:r>
    </w:p>
  </w:footnote>
  <w:footnote w:id="142">
    <w:p w14:paraId="05872940" w14:textId="103573CE" w:rsidR="008618C7" w:rsidRPr="00BF50BF" w:rsidRDefault="008618C7" w:rsidP="006A3DDC">
      <w:pPr>
        <w:pStyle w:val="FootnoteText"/>
        <w:spacing w:line="240" w:lineRule="auto"/>
      </w:pPr>
      <w:r w:rsidRPr="00BF50BF">
        <w:rPr>
          <w:rStyle w:val="FootnoteReference"/>
        </w:rPr>
        <w:footnoteRef/>
      </w:r>
      <w:r w:rsidRPr="00BF50BF">
        <w:t xml:space="preserve"> Study on access policy including review of the relevant markets recommendation, and review of access provisions of the EECC.</w:t>
      </w:r>
    </w:p>
  </w:footnote>
  <w:footnote w:id="143">
    <w:p w14:paraId="20B4238A" w14:textId="2BC1C401" w:rsidR="001F0103" w:rsidRPr="00BF50BF" w:rsidRDefault="001F0103" w:rsidP="006A3DDC">
      <w:pPr>
        <w:pStyle w:val="FootnoteText"/>
        <w:spacing w:line="240" w:lineRule="auto"/>
      </w:pPr>
      <w:r w:rsidRPr="00BF50BF">
        <w:rPr>
          <w:rStyle w:val="FootnoteReference"/>
        </w:rPr>
        <w:footnoteRef/>
      </w:r>
      <w:r w:rsidRPr="00BF50BF">
        <w:t xml:space="preserve"> </w:t>
      </w:r>
      <w:r w:rsidR="009A24C0" w:rsidRPr="00BF50BF">
        <w:t xml:space="preserve">The share of copper </w:t>
      </w:r>
      <w:r w:rsidR="00300D25" w:rsidRPr="00BF50BF">
        <w:t xml:space="preserve">is </w:t>
      </w:r>
      <w:r w:rsidRPr="00BF50BF">
        <w:t xml:space="preserve">estimated </w:t>
      </w:r>
      <w:r w:rsidR="00362FD6" w:rsidRPr="00BF50BF">
        <w:t>to decrease to</w:t>
      </w:r>
      <w:r w:rsidRPr="00BF50BF">
        <w:t xml:space="preserve"> around 19% by 2030 and around 11% by 2035</w:t>
      </w:r>
      <w:r w:rsidR="00362FD6" w:rsidRPr="00BF50BF">
        <w:t>. See Study on access policy including review of the relevant markets recommendation, and review of access provisions of the EECC. Source: WIK based on FTTH Council (2025) and WIK market potential model.</w:t>
      </w:r>
    </w:p>
  </w:footnote>
  <w:footnote w:id="144">
    <w:p w14:paraId="52EFCFC2" w14:textId="306641FE" w:rsidR="00D60B4B" w:rsidRPr="00D60B4B" w:rsidRDefault="00D60B4B" w:rsidP="006A3DDC">
      <w:pPr>
        <w:pStyle w:val="FootnoteText"/>
        <w:spacing w:line="240" w:lineRule="auto"/>
      </w:pPr>
      <w:r>
        <w:rPr>
          <w:rStyle w:val="FootnoteReference"/>
        </w:rPr>
        <w:footnoteRef/>
      </w:r>
      <w:r>
        <w:t xml:space="preserve"> WIK’s </w:t>
      </w:r>
      <w:r w:rsidRPr="009203D2">
        <w:t>2023 study for the EC on investments to meet the Digital Decade targets</w:t>
      </w:r>
      <w:r w:rsidR="006832D1">
        <w:t>.</w:t>
      </w:r>
    </w:p>
  </w:footnote>
  <w:footnote w:id="145">
    <w:p w14:paraId="2F91A221" w14:textId="6828F72D" w:rsidR="00331D3A" w:rsidRPr="00BF50BF" w:rsidRDefault="00331D3A" w:rsidP="006A3DDC">
      <w:pPr>
        <w:pStyle w:val="FootnoteText"/>
        <w:spacing w:line="240" w:lineRule="auto"/>
      </w:pPr>
      <w:r w:rsidRPr="00BF50BF">
        <w:rPr>
          <w:rStyle w:val="FootnoteReference"/>
        </w:rPr>
        <w:footnoteRef/>
      </w:r>
      <w:r w:rsidRPr="00BF50BF">
        <w:t xml:space="preserve"> Study on access policy including review of the relevant markets recommendation, and review of access provisions of the EECC</w:t>
      </w:r>
      <w:r w:rsidR="00753FA2" w:rsidRPr="00BF50BF">
        <w:t>.</w:t>
      </w:r>
    </w:p>
  </w:footnote>
  <w:footnote w:id="146">
    <w:p w14:paraId="01059E44" w14:textId="6F008ECC" w:rsidR="00331D3A" w:rsidRPr="00BF50BF" w:rsidRDefault="00331D3A" w:rsidP="006A3DDC">
      <w:pPr>
        <w:pStyle w:val="FootnoteText"/>
        <w:spacing w:line="240" w:lineRule="auto"/>
      </w:pPr>
      <w:r w:rsidRPr="00BF50BF">
        <w:rPr>
          <w:rStyle w:val="FootnoteReference"/>
        </w:rPr>
        <w:footnoteRef/>
      </w:r>
      <w:r w:rsidRPr="00BF50BF">
        <w:t xml:space="preserve"> Study on access policy including review of the relevant markets recommendation, and review of access provisions of the EECC</w:t>
      </w:r>
      <w:r w:rsidR="00753FA2" w:rsidRPr="00BF50BF">
        <w:t>.</w:t>
      </w:r>
    </w:p>
  </w:footnote>
  <w:footnote w:id="147">
    <w:p w14:paraId="4F9534C0" w14:textId="5FEA1041" w:rsidR="00331D3A" w:rsidRPr="00BF50BF" w:rsidRDefault="00331D3A" w:rsidP="006A3DDC">
      <w:pPr>
        <w:pStyle w:val="FootnoteText"/>
        <w:spacing w:line="240" w:lineRule="auto"/>
      </w:pPr>
      <w:r w:rsidRPr="00BF50BF">
        <w:rPr>
          <w:rStyle w:val="FootnoteReference"/>
        </w:rPr>
        <w:footnoteRef/>
      </w:r>
      <w:r w:rsidRPr="00BF50BF">
        <w:t xml:space="preserve"> Study on access policy including review of the relevant markets recommendation, and review of access provisions of the EECC</w:t>
      </w:r>
      <w:r w:rsidR="00753FA2" w:rsidRPr="00BF50BF">
        <w:t>.</w:t>
      </w:r>
    </w:p>
  </w:footnote>
  <w:footnote w:id="148">
    <w:p w14:paraId="2A157D5F" w14:textId="68AAB23E" w:rsidR="007E2C61" w:rsidRPr="00BF50BF" w:rsidRDefault="007E2C61" w:rsidP="006A3DDC">
      <w:pPr>
        <w:pStyle w:val="FootnoteText"/>
        <w:spacing w:line="240" w:lineRule="auto"/>
      </w:pPr>
      <w:r w:rsidRPr="00BF50BF">
        <w:rPr>
          <w:rStyle w:val="FootnoteReference"/>
        </w:rPr>
        <w:footnoteRef/>
      </w:r>
      <w:r w:rsidRPr="00BF50BF">
        <w:t xml:space="preserve"> Some of the end-users with below 1 Gbit/s speed connections will have higher speeds available but will not choose to subscribe due to higher prices. Others will have no above 1 Gbit/s speed connection available to them.</w:t>
      </w:r>
      <w:r w:rsidR="004F4F2E" w:rsidRPr="00BF50BF">
        <w:t xml:space="preserve"> Study on access policy including review of the relevant markets recommendation, and review of access provisions of the EECC</w:t>
      </w:r>
      <w:r w:rsidR="00753FA2" w:rsidRPr="00BF50BF">
        <w:t>.</w:t>
      </w:r>
    </w:p>
  </w:footnote>
  <w:footnote w:id="149">
    <w:p w14:paraId="1DFEF931" w14:textId="77777777" w:rsidR="00844F08" w:rsidRPr="00BF50BF" w:rsidRDefault="00844F08" w:rsidP="006A3DDC">
      <w:pPr>
        <w:pStyle w:val="FootnoteText"/>
        <w:spacing w:line="240" w:lineRule="auto"/>
        <w:rPr>
          <w:lang w:val="en-IE"/>
        </w:rPr>
      </w:pPr>
      <w:r w:rsidRPr="00BF50BF">
        <w:rPr>
          <w:rStyle w:val="FootnoteReference"/>
        </w:rPr>
        <w:footnoteRef/>
      </w:r>
      <w:r w:rsidRPr="00BF50BF">
        <w:t xml:space="preserve"> WIK study.</w:t>
      </w:r>
    </w:p>
  </w:footnote>
  <w:footnote w:id="150">
    <w:p w14:paraId="59AA8A51" w14:textId="77777777" w:rsidR="00844F08" w:rsidRPr="00BF50BF" w:rsidRDefault="00844F08" w:rsidP="006A3DDC">
      <w:pPr>
        <w:pStyle w:val="FootnoteText"/>
        <w:spacing w:line="240" w:lineRule="auto"/>
      </w:pPr>
      <w:r w:rsidRPr="00BF50BF">
        <w:rPr>
          <w:rStyle w:val="FootnoteReference"/>
        </w:rPr>
        <w:footnoteRef/>
      </w:r>
      <w:r w:rsidRPr="00BF50BF">
        <w:t xml:space="preserve"> The estimates were derived by updating WIK’s peer-reviewed market potential model, and are based on projections regarding the propensity of consumers to use given applications, bandwidth requirements of those applications, household composition and simultaneous device use by individuals and objects within households.</w:t>
      </w:r>
    </w:p>
  </w:footnote>
  <w:footnote w:id="151">
    <w:p w14:paraId="47790D8D" w14:textId="77777777" w:rsidR="00600662" w:rsidRPr="00BF50BF" w:rsidRDefault="00600662" w:rsidP="006A3DDC">
      <w:pPr>
        <w:pStyle w:val="FootnoteText"/>
        <w:spacing w:line="240" w:lineRule="auto"/>
      </w:pPr>
      <w:r w:rsidRPr="00BF50BF">
        <w:rPr>
          <w:rStyle w:val="FootnoteReference"/>
        </w:rPr>
        <w:footnoteRef/>
      </w:r>
      <w:r w:rsidRPr="00BF50BF">
        <w:t xml:space="preserve"> Study on access policy including review of the relevant markets recommendation, and review of access provisions of the EECC.</w:t>
      </w:r>
    </w:p>
  </w:footnote>
  <w:footnote w:id="152">
    <w:p w14:paraId="0A09B291" w14:textId="77777777" w:rsidR="00600662" w:rsidRPr="00BF50BF" w:rsidRDefault="00600662" w:rsidP="006A3DDC">
      <w:pPr>
        <w:pStyle w:val="FootnoteText"/>
        <w:spacing w:line="240" w:lineRule="auto"/>
      </w:pPr>
      <w:r w:rsidRPr="00BF50BF">
        <w:rPr>
          <w:rStyle w:val="FootnoteReference"/>
        </w:rPr>
        <w:footnoteRef/>
      </w:r>
      <w:r w:rsidRPr="00BF50BF">
        <w:t xml:space="preserve"> SME take-up of Gigabit broadband expected to increase by 3.6 times from 2024 to 2035. See Study on access policy including review of the relevant markets recommendation, and review of access provisions of the EECC.</w:t>
      </w:r>
    </w:p>
  </w:footnote>
  <w:footnote w:id="153">
    <w:p w14:paraId="31141E12" w14:textId="77777777" w:rsidR="00600662" w:rsidRPr="00BF50BF" w:rsidRDefault="00600662" w:rsidP="006A3DDC">
      <w:pPr>
        <w:pStyle w:val="FootnoteText"/>
        <w:spacing w:line="240" w:lineRule="auto"/>
      </w:pPr>
      <w:r w:rsidRPr="00BF50BF">
        <w:rPr>
          <w:rStyle w:val="FootnoteReference"/>
        </w:rPr>
        <w:footnoteRef/>
      </w:r>
      <w:r w:rsidRPr="00BF50BF">
        <w:t xml:space="preserve"> Study on access policy including review of the relevant markets recommendation, and review of access provisions of the EECC.</w:t>
      </w:r>
    </w:p>
  </w:footnote>
  <w:footnote w:id="154">
    <w:p w14:paraId="3017098B" w14:textId="77777777" w:rsidR="00A13E65" w:rsidRPr="005C544D" w:rsidRDefault="00A13E65" w:rsidP="006A3DDC">
      <w:pPr>
        <w:pStyle w:val="FootnoteText"/>
        <w:spacing w:line="240" w:lineRule="auto"/>
      </w:pPr>
      <w:r w:rsidRPr="00602574">
        <w:rPr>
          <w:rStyle w:val="FootnoteReference"/>
        </w:rPr>
        <w:footnoteRef/>
      </w:r>
      <w:r w:rsidRPr="00602574">
        <w:t xml:space="preserve"> The </w:t>
      </w:r>
      <w:r w:rsidRPr="00602574">
        <w:rPr>
          <w:i/>
          <w:iCs/>
        </w:rPr>
        <w:t>Ericsson Mobility Report</w:t>
      </w:r>
      <w:r w:rsidRPr="00602574">
        <w:t xml:space="preserve"> (November 2024, p. 10) forecasts that European mobile data consumption will increase substantially between 2025 and 2035 across all traffic types (downloads, messaging, app usage, audio and video streaming), with heavy users expected to exceed 110 GB per month. Mobile data usage per active smartphone in Western Europe is projected to rise from 23 GB to 49 GB per month, placing Europe above global average. Some studies, however, argue that data consumption is approaching a plateau of 15–20 GB per user per month (William Webb, </w:t>
      </w:r>
      <w:r w:rsidRPr="00602574">
        <w:rPr>
          <w:i/>
          <w:iCs/>
        </w:rPr>
        <w:t>The End of the Telecoms History</w:t>
      </w:r>
      <w:r w:rsidRPr="00602574">
        <w:t xml:space="preserve">, 2025). Others rebut this claim and provide evidence of significantly higher consumption levels already observed in several countries (Stefan Zehle, Coleago Consulting, </w:t>
      </w:r>
      <w:r w:rsidRPr="00602574">
        <w:rPr>
          <w:i/>
          <w:iCs/>
        </w:rPr>
        <w:t>The End of Telecoms History? Not Really</w:t>
      </w:r>
      <w:r w:rsidRPr="00602574">
        <w:t>).</w:t>
      </w:r>
    </w:p>
  </w:footnote>
  <w:footnote w:id="155">
    <w:p w14:paraId="7ED5DC8E" w14:textId="674651E7" w:rsidR="00A13E65" w:rsidRPr="005C544D" w:rsidRDefault="00A13E65" w:rsidP="006A3DDC">
      <w:pPr>
        <w:pStyle w:val="FootnoteText"/>
        <w:spacing w:line="240" w:lineRule="auto"/>
      </w:pPr>
      <w:r w:rsidRPr="00602574">
        <w:rPr>
          <w:rStyle w:val="FootnoteReference"/>
        </w:rPr>
        <w:footnoteRef/>
      </w:r>
      <w:r w:rsidRPr="00602574">
        <w:t xml:space="preserve"> </w:t>
      </w:r>
      <w:r w:rsidRPr="005C544D">
        <w:rPr>
          <w:rFonts w:eastAsia="Times New Roman"/>
          <w:color w:val="000000" w:themeColor="text1"/>
        </w:rPr>
        <w:t>See evaluation Annex 11</w:t>
      </w:r>
      <w:r w:rsidR="0070342F">
        <w:rPr>
          <w:rFonts w:eastAsia="Times New Roman"/>
          <w:color w:val="000000" w:themeColor="text1"/>
        </w:rPr>
        <w:t>,</w:t>
      </w:r>
      <w:r w:rsidRPr="005C544D">
        <w:rPr>
          <w:rFonts w:eastAsia="Times New Roman"/>
          <w:color w:val="000000" w:themeColor="text1"/>
        </w:rPr>
        <w:t xml:space="preserve"> </w:t>
      </w:r>
      <w:r w:rsidR="0070342F">
        <w:rPr>
          <w:rFonts w:eastAsia="Times New Roman"/>
          <w:color w:val="000000" w:themeColor="text1"/>
        </w:rPr>
        <w:t>s</w:t>
      </w:r>
      <w:r w:rsidRPr="005C544D">
        <w:rPr>
          <w:rFonts w:eastAsia="Times New Roman"/>
          <w:color w:val="000000" w:themeColor="text1"/>
        </w:rPr>
        <w:t>ection</w:t>
      </w:r>
      <w:r w:rsidRPr="005C544D">
        <w:rPr>
          <w:rFonts w:eastAsia="Times New Roman"/>
          <w:i/>
          <w:color w:val="000000" w:themeColor="text1"/>
        </w:rPr>
        <w:t xml:space="preserve"> </w:t>
      </w:r>
      <w:r w:rsidRPr="005C544D">
        <w:rPr>
          <w:rFonts w:eastAsia="Times New Roman"/>
          <w:color w:val="000000" w:themeColor="text1"/>
        </w:rPr>
        <w:t xml:space="preserve">on cost of spectrum </w:t>
      </w:r>
      <w:r w:rsidR="00F02416">
        <w:rPr>
          <w:rFonts w:eastAsia="Times New Roman"/>
          <w:color w:val="000000" w:themeColor="text1"/>
        </w:rPr>
        <w:t xml:space="preserve">and </w:t>
      </w:r>
      <w:r w:rsidR="000F740F">
        <w:rPr>
          <w:rFonts w:eastAsia="Times New Roman"/>
          <w:color w:val="000000" w:themeColor="text1"/>
        </w:rPr>
        <w:t xml:space="preserve">on </w:t>
      </w:r>
      <w:r w:rsidRPr="005C544D">
        <w:rPr>
          <w:rFonts w:eastAsia="Times New Roman"/>
          <w:color w:val="000000" w:themeColor="text1"/>
        </w:rPr>
        <w:t xml:space="preserve">mobile market </w:t>
      </w:r>
      <w:r w:rsidR="000F740F">
        <w:rPr>
          <w:rFonts w:eastAsia="Times New Roman"/>
          <w:color w:val="000000" w:themeColor="text1"/>
        </w:rPr>
        <w:t>A</w:t>
      </w:r>
      <w:r w:rsidR="006B699F">
        <w:rPr>
          <w:rFonts w:eastAsia="Times New Roman"/>
          <w:color w:val="000000" w:themeColor="text1"/>
        </w:rPr>
        <w:t xml:space="preserve">RPU </w:t>
      </w:r>
      <w:r w:rsidRPr="005C544D">
        <w:rPr>
          <w:rFonts w:eastAsia="Times New Roman"/>
          <w:color w:val="000000" w:themeColor="text1"/>
        </w:rPr>
        <w:t>profitability.</w:t>
      </w:r>
    </w:p>
  </w:footnote>
  <w:footnote w:id="156">
    <w:p w14:paraId="6D7B233A" w14:textId="77777777" w:rsidR="00A13E65" w:rsidRPr="00602574" w:rsidRDefault="00A13E65" w:rsidP="006A3DDC">
      <w:pPr>
        <w:pStyle w:val="FootnoteText"/>
        <w:spacing w:line="240" w:lineRule="auto"/>
      </w:pPr>
      <w:r w:rsidRPr="00602574">
        <w:rPr>
          <w:rStyle w:val="FootnoteReference"/>
        </w:rPr>
        <w:footnoteRef/>
      </w:r>
      <w:r w:rsidRPr="00602574">
        <w:t xml:space="preserve"> GSMA, “Global Spectrum Pricing report,” </w:t>
      </w:r>
      <w:hyperlink r:id="rId56" w:history="1">
        <w:r w:rsidRPr="00602574">
          <w:rPr>
            <w:rStyle w:val="Hyperlink"/>
          </w:rPr>
          <w:t>Global Spectrum Pricing</w:t>
        </w:r>
      </w:hyperlink>
      <w:r w:rsidRPr="00602574">
        <w:t xml:space="preserve">, GSMA, London, 2025 (2025), p. 14. </w:t>
      </w:r>
    </w:p>
  </w:footnote>
  <w:footnote w:id="157">
    <w:p w14:paraId="28035ACA" w14:textId="52A99F4E" w:rsidR="00A13E65" w:rsidRPr="00602574" w:rsidRDefault="00A13E65" w:rsidP="006A3DDC">
      <w:pPr>
        <w:pStyle w:val="FootnoteText"/>
        <w:spacing w:line="240" w:lineRule="auto"/>
      </w:pPr>
      <w:r w:rsidRPr="00602574">
        <w:rPr>
          <w:rStyle w:val="FootnoteReference"/>
        </w:rPr>
        <w:footnoteRef/>
      </w:r>
      <w:r w:rsidRPr="00602574">
        <w:t xml:space="preserve"> See section 2.2.2</w:t>
      </w:r>
      <w:r w:rsidR="0028219B">
        <w:t>.2.</w:t>
      </w:r>
      <w:r w:rsidRPr="00602574">
        <w:t xml:space="preserve"> ad </w:t>
      </w:r>
      <w:r w:rsidRPr="005C544D">
        <w:rPr>
          <w:rFonts w:eastAsia="Times New Roman"/>
          <w:color w:val="000000" w:themeColor="text1"/>
        </w:rPr>
        <w:t>2.1.2 and Annex 9.</w:t>
      </w:r>
    </w:p>
  </w:footnote>
  <w:footnote w:id="158">
    <w:p w14:paraId="23BEAE75" w14:textId="77777777" w:rsidR="00A13E65" w:rsidRPr="00602574" w:rsidRDefault="00A13E65" w:rsidP="006A3DDC">
      <w:pPr>
        <w:pStyle w:val="FootnoteText"/>
        <w:spacing w:line="240" w:lineRule="auto"/>
      </w:pPr>
      <w:r w:rsidRPr="00602574">
        <w:rPr>
          <w:rStyle w:val="FootnoteReference"/>
        </w:rPr>
        <w:footnoteRef/>
      </w:r>
      <w:r w:rsidRPr="00602574">
        <w:t xml:space="preserve"> In this regard, the RSPG Report on spectrum sharing (RSPG21-016) refers only to a limited number of shared-use cases in EU Member States, in particular between different technologies (and services). </w:t>
      </w:r>
    </w:p>
  </w:footnote>
  <w:footnote w:id="159">
    <w:p w14:paraId="65378562" w14:textId="7AF44005" w:rsidR="00A13E65" w:rsidRPr="005C544D" w:rsidRDefault="00A13E65" w:rsidP="006A3DDC">
      <w:pPr>
        <w:pStyle w:val="FootnoteText"/>
        <w:spacing w:line="240" w:lineRule="auto"/>
      </w:pPr>
      <w:r w:rsidRPr="00602574">
        <w:rPr>
          <w:rStyle w:val="FootnoteReference"/>
        </w:rPr>
        <w:footnoteRef/>
      </w:r>
      <w:r w:rsidRPr="00602574">
        <w:t xml:space="preserve"> See </w:t>
      </w:r>
      <w:r w:rsidR="00700AD1">
        <w:t>s</w:t>
      </w:r>
      <w:r w:rsidR="00700AD1" w:rsidRPr="00602574">
        <w:t xml:space="preserve">ection </w:t>
      </w:r>
      <w:r w:rsidRPr="00602574">
        <w:t>2.2.2 and evaluation findings Annex 11</w:t>
      </w:r>
      <w:r w:rsidR="00700AD1">
        <w:t>,</w:t>
      </w:r>
      <w:r w:rsidRPr="00602574">
        <w:t xml:space="preserve"> </w:t>
      </w:r>
      <w:r w:rsidR="00700AD1">
        <w:t>s</w:t>
      </w:r>
      <w:r w:rsidRPr="00602574">
        <w:t>ection 5.5.1. &amp; 5.6.2.</w:t>
      </w:r>
    </w:p>
  </w:footnote>
  <w:footnote w:id="160">
    <w:p w14:paraId="1E04FA5D" w14:textId="77777777" w:rsidR="00A13E65" w:rsidRPr="005C544D" w:rsidRDefault="00A13E65" w:rsidP="006A3DDC">
      <w:pPr>
        <w:pStyle w:val="FootnoteText"/>
        <w:tabs>
          <w:tab w:val="left" w:pos="610"/>
        </w:tabs>
        <w:spacing w:line="240" w:lineRule="auto"/>
      </w:pPr>
      <w:r w:rsidRPr="00602574">
        <w:rPr>
          <w:rStyle w:val="FootnoteReference"/>
        </w:rPr>
        <w:footnoteRef/>
      </w:r>
      <w:r w:rsidRPr="00602574">
        <w:t xml:space="preserve"> See EC study Single Market enablers.</w:t>
      </w:r>
    </w:p>
  </w:footnote>
  <w:footnote w:id="161">
    <w:p w14:paraId="40057BA1" w14:textId="77777777" w:rsidR="00A13E65" w:rsidRPr="005C544D" w:rsidRDefault="00A13E65" w:rsidP="006A3DDC">
      <w:pPr>
        <w:pStyle w:val="FootnoteText"/>
        <w:spacing w:line="240" w:lineRule="auto"/>
      </w:pPr>
      <w:r w:rsidRPr="00602574">
        <w:rPr>
          <w:rStyle w:val="FootnoteReference"/>
        </w:rPr>
        <w:footnoteRef/>
      </w:r>
      <w:r w:rsidRPr="00602574">
        <w:t xml:space="preserve"> Based on </w:t>
      </w:r>
      <w:r w:rsidRPr="005C544D">
        <w:rPr>
          <w:rFonts w:eastAsia="Times New Roman"/>
          <w:color w:val="000000" w:themeColor="text1"/>
        </w:rPr>
        <w:t xml:space="preserve">GSMA econometric estimates historically a 10 p.p. higher spectrum cost to recurring revenue ratio decreased coverage by up to 6 p.p. and decreased average speeds by up to 8%, </w:t>
      </w:r>
      <w:r w:rsidRPr="00602574">
        <w:rPr>
          <w:i/>
          <w:iCs/>
        </w:rPr>
        <w:t>Ibid</w:t>
      </w:r>
      <w:r w:rsidRPr="00602574">
        <w:t>, p. 10.</w:t>
      </w:r>
    </w:p>
  </w:footnote>
  <w:footnote w:id="162">
    <w:p w14:paraId="150990E2" w14:textId="3DC4B0A6" w:rsidR="00FD7162" w:rsidRPr="00BF50BF" w:rsidRDefault="00FD7162" w:rsidP="006A3DDC">
      <w:pPr>
        <w:pStyle w:val="FootnoteText"/>
        <w:spacing w:line="240" w:lineRule="auto"/>
        <w:rPr>
          <w:lang w:val="en-IE"/>
        </w:rPr>
      </w:pPr>
      <w:r w:rsidRPr="00BF50BF">
        <w:rPr>
          <w:rStyle w:val="FootnoteReference"/>
        </w:rPr>
        <w:footnoteRef/>
      </w:r>
      <w:r w:rsidRPr="00BF50BF">
        <w:t xml:space="preserve"> The Space Act </w:t>
      </w:r>
      <w:r w:rsidR="00EE4E8C" w:rsidRPr="00BF50BF">
        <w:t>establishes the</w:t>
      </w:r>
      <w:r w:rsidR="00746E00" w:rsidRPr="00BF50BF">
        <w:t xml:space="preserve"> conditions that Union space operators must meet to obtain authorisation </w:t>
      </w:r>
      <w:r w:rsidR="00EE4E8C" w:rsidRPr="00BF50BF">
        <w:t>for conducting</w:t>
      </w:r>
      <w:r w:rsidR="00746E00" w:rsidRPr="00BF50BF">
        <w:t xml:space="preserve"> space activities</w:t>
      </w:r>
      <w:r w:rsidR="00EE4E8C" w:rsidRPr="00BF50BF">
        <w:t>, particularly regarding safety, resilience, and environmental sustainabilit</w:t>
      </w:r>
      <w:r w:rsidR="004C6C03" w:rsidRPr="00BF50BF">
        <w:t xml:space="preserve">y. These rules cover the authorisation, registration and supervision of space activities in the Union, orbit traffic management, governance and enforcement aspects and </w:t>
      </w:r>
      <w:r w:rsidR="00867039" w:rsidRPr="00BF50BF">
        <w:t>capacity</w:t>
      </w:r>
      <w:r w:rsidR="00735964" w:rsidRPr="00BF50BF">
        <w:rPr>
          <w:lang w:val="ca-ES"/>
        </w:rPr>
        <w:t>-</w:t>
      </w:r>
      <w:r w:rsidR="00867039" w:rsidRPr="00BF50BF">
        <w:t xml:space="preserve">building </w:t>
      </w:r>
      <w:r w:rsidR="00735964" w:rsidRPr="00BF50BF">
        <w:t xml:space="preserve">measures, including </w:t>
      </w:r>
      <w:r w:rsidR="004C6C03" w:rsidRPr="00BF50BF">
        <w:t>the establishment of a Union space label.</w:t>
      </w:r>
    </w:p>
  </w:footnote>
  <w:footnote w:id="163">
    <w:p w14:paraId="3DF8D074" w14:textId="0BF3B07B" w:rsidR="00C872AA" w:rsidRPr="00BF50BF" w:rsidRDefault="00C872AA" w:rsidP="006A3DDC">
      <w:pPr>
        <w:pStyle w:val="FootnoteText"/>
        <w:spacing w:line="240" w:lineRule="auto"/>
        <w:rPr>
          <w:lang w:val="en-IE"/>
        </w:rPr>
      </w:pPr>
      <w:r w:rsidRPr="00BF50BF">
        <w:rPr>
          <w:rStyle w:val="FootnoteReference"/>
        </w:rPr>
        <w:footnoteRef/>
      </w:r>
      <w:r w:rsidRPr="00BF50BF">
        <w:t xml:space="preserve"> In the </w:t>
      </w:r>
      <w:r w:rsidR="002C2E76" w:rsidRPr="00BF50BF">
        <w:t>in June 2025</w:t>
      </w:r>
      <w:r w:rsidRPr="00BF50BF">
        <w:t>targeted consultation on the use of the 2 GHz spectrum band</w:t>
      </w:r>
      <w:r w:rsidR="00F852B8">
        <w:t xml:space="preserve"> </w:t>
      </w:r>
      <w:r w:rsidRPr="00BF50BF">
        <w:t>— considered the sweet spot for the provision of innovative mobile satellite services (MSS)</w:t>
      </w:r>
      <w:r w:rsidR="00F852B8">
        <w:t xml:space="preserve"> </w:t>
      </w:r>
      <w:r w:rsidRPr="00BF50BF">
        <w:t>— respondents highlighted two main future needs. First, stakeholders emphasised the importance of addressing issues related to security, strategic autonomy in the digital supply chain, and the preservation of EU sovereignty. Second, several respondents noted the current lack of EU-wide spectrum resources dedicated to modern European satellite systems capable of providing secure and reliable communications for public safety and public security services across all Member States</w:t>
      </w:r>
      <w:r w:rsidR="00E43B2C">
        <w:t>.</w:t>
      </w:r>
    </w:p>
  </w:footnote>
  <w:footnote w:id="164">
    <w:p w14:paraId="3F28B0E7" w14:textId="0748E7BF" w:rsidR="00954E31" w:rsidRPr="00BF50BF" w:rsidRDefault="00954E31" w:rsidP="006A3DDC">
      <w:pPr>
        <w:pStyle w:val="FootnoteText"/>
        <w:spacing w:line="240" w:lineRule="auto"/>
        <w:rPr>
          <w:lang w:val="en-IE"/>
        </w:rPr>
      </w:pPr>
      <w:r w:rsidRPr="00BF50BF">
        <w:rPr>
          <w:rStyle w:val="FootnoteReference"/>
        </w:rPr>
        <w:footnoteRef/>
      </w:r>
      <w:r w:rsidRPr="00BF50BF">
        <w:t xml:space="preserve"> </w:t>
      </w:r>
      <w:r w:rsidRPr="00BF50BF">
        <w:rPr>
          <w:rFonts w:eastAsia="Times New Roman"/>
          <w:lang w:val="en-IE"/>
        </w:rPr>
        <w:t xml:space="preserve">Annex </w:t>
      </w:r>
      <w:r w:rsidR="000213AE" w:rsidRPr="00BF50BF">
        <w:rPr>
          <w:rFonts w:eastAsia="Times New Roman"/>
          <w:lang w:val="en-IE"/>
        </w:rPr>
        <w:t>7</w:t>
      </w:r>
      <w:r w:rsidR="00700AD1">
        <w:rPr>
          <w:rFonts w:eastAsia="Times New Roman"/>
          <w:lang w:val="en-IE"/>
        </w:rPr>
        <w:t>,</w:t>
      </w:r>
      <w:r w:rsidR="000213AE" w:rsidRPr="00BF50BF">
        <w:rPr>
          <w:rFonts w:eastAsia="Times New Roman"/>
          <w:lang w:val="en-IE"/>
        </w:rPr>
        <w:t xml:space="preserve"> </w:t>
      </w:r>
      <w:r w:rsidR="00700AD1">
        <w:rPr>
          <w:rFonts w:eastAsia="Times New Roman"/>
          <w:lang w:val="en-IE"/>
        </w:rPr>
        <w:t>s</w:t>
      </w:r>
      <w:r w:rsidRPr="00BF50BF">
        <w:rPr>
          <w:rFonts w:eastAsia="Times New Roman"/>
          <w:lang w:val="en-IE"/>
        </w:rPr>
        <w:t>ection 1</w:t>
      </w:r>
      <w:r w:rsidR="006A1D69" w:rsidRPr="00BF50BF">
        <w:rPr>
          <w:rFonts w:eastAsia="Times New Roman"/>
          <w:lang w:val="en-IE"/>
        </w:rPr>
        <w:t>.</w:t>
      </w:r>
      <w:r w:rsidRPr="00BF50BF">
        <w:rPr>
          <w:rFonts w:eastAsia="Times New Roman"/>
          <w:lang w:val="en-IE"/>
        </w:rPr>
        <w:t>3</w:t>
      </w:r>
      <w:r w:rsidR="006A1D69" w:rsidRPr="00BF50BF">
        <w:rPr>
          <w:rFonts w:eastAsia="Times New Roman"/>
          <w:lang w:val="en-IE"/>
        </w:rPr>
        <w:t>.</w:t>
      </w:r>
      <w:r w:rsidRPr="00BF50BF">
        <w:rPr>
          <w:rFonts w:eastAsia="Times New Roman"/>
          <w:lang w:val="en-IE"/>
        </w:rPr>
        <w:t xml:space="preserve"> Barriers to the development of resilient satellite connectivity</w:t>
      </w:r>
      <w:r w:rsidR="008B6492" w:rsidRPr="00BF50BF">
        <w:rPr>
          <w:rFonts w:eastAsia="Times New Roman"/>
          <w:lang w:val="en-IE"/>
        </w:rPr>
        <w:t>.</w:t>
      </w:r>
    </w:p>
  </w:footnote>
  <w:footnote w:id="165">
    <w:p w14:paraId="268DD80B" w14:textId="12EF3B78" w:rsidR="00AD384B" w:rsidRPr="00BF50BF" w:rsidRDefault="00AD384B" w:rsidP="006A3DDC">
      <w:pPr>
        <w:pStyle w:val="FootnoteText"/>
        <w:spacing w:line="240" w:lineRule="auto"/>
        <w:rPr>
          <w:lang w:val="en-IE"/>
        </w:rPr>
      </w:pPr>
      <w:r w:rsidRPr="00BF50BF">
        <w:rPr>
          <w:rStyle w:val="FootnoteReference"/>
        </w:rPr>
        <w:footnoteRef/>
      </w:r>
      <w:r w:rsidRPr="00BF50BF">
        <w:t xml:space="preserve"> </w:t>
      </w:r>
      <w:r w:rsidRPr="00BF50BF">
        <w:rPr>
          <w:lang w:val="en-IE"/>
        </w:rPr>
        <w:t xml:space="preserve">See </w:t>
      </w:r>
      <w:r w:rsidR="00700AD1">
        <w:rPr>
          <w:lang w:val="en-IE"/>
        </w:rPr>
        <w:t>s</w:t>
      </w:r>
      <w:r w:rsidR="00700AD1" w:rsidRPr="00BF50BF">
        <w:rPr>
          <w:lang w:val="en-IE"/>
        </w:rPr>
        <w:t xml:space="preserve">ection </w:t>
      </w:r>
      <w:r w:rsidR="007D0FB2" w:rsidRPr="00BF50BF">
        <w:rPr>
          <w:lang w:val="en-IE"/>
        </w:rPr>
        <w:t xml:space="preserve">2.1.3. </w:t>
      </w:r>
      <w:r w:rsidR="002414E0" w:rsidRPr="00BF50BF">
        <w:rPr>
          <w:lang w:val="en-IE"/>
        </w:rPr>
        <w:t xml:space="preserve">for its socio economic potential and </w:t>
      </w:r>
      <w:r w:rsidR="007D0FB2" w:rsidRPr="00BF50BF">
        <w:rPr>
          <w:lang w:val="en-IE"/>
        </w:rPr>
        <w:t>Figure 2 Broadband satellite constellati</w:t>
      </w:r>
      <w:r w:rsidR="00A94F5B" w:rsidRPr="00BF50BF">
        <w:rPr>
          <w:lang w:val="en-IE"/>
        </w:rPr>
        <w:t>ons.</w:t>
      </w:r>
    </w:p>
  </w:footnote>
  <w:footnote w:id="166">
    <w:p w14:paraId="3FFA3543" w14:textId="77777777" w:rsidR="000D2545" w:rsidRPr="00BF50BF" w:rsidRDefault="000D2545" w:rsidP="006A3DDC">
      <w:pPr>
        <w:pStyle w:val="FootnoteText"/>
        <w:spacing w:line="240" w:lineRule="auto"/>
        <w:jc w:val="left"/>
      </w:pPr>
      <w:r w:rsidRPr="00BF50BF">
        <w:rPr>
          <w:rStyle w:val="FootnoteReference"/>
        </w:rPr>
        <w:footnoteRef/>
      </w:r>
      <w:r w:rsidRPr="00BF50BF">
        <w:t xml:space="preserve"> Interference from large LEO constellations has been evidenced to affect radioastronomy, both in ground-based and space-based observations: cf. </w:t>
      </w:r>
      <w:hyperlink r:id="rId57" w:history="1">
        <w:r w:rsidRPr="00BF50BF">
          <w:rPr>
            <w:rStyle w:val="Hyperlink"/>
          </w:rPr>
          <w:t>Unintended electromagnetic radiation from Starlink satellites detected with LOFAR between 110 and 188 MHz | Astronomy &amp; Astrophysics (A&amp;A)</w:t>
        </w:r>
      </w:hyperlink>
      <w:r w:rsidRPr="00BF50BF">
        <w:t xml:space="preserve"> and </w:t>
      </w:r>
      <w:hyperlink r:id="rId58" w:history="1">
        <w:r w:rsidRPr="00BF50BF">
          <w:rPr>
            <w:rStyle w:val="Hyperlink"/>
          </w:rPr>
          <w:t>Draft_IAU_CPS_position_statement_9Z8xEO1.pdf</w:t>
        </w:r>
      </w:hyperlink>
      <w:r w:rsidRPr="00BF50BF">
        <w:t>. In addition, the CEPT/ECC has investigated the effect of harmful interference from the Iridium 2</w:t>
      </w:r>
      <w:r w:rsidRPr="00BF50BF">
        <w:rPr>
          <w:vertAlign w:val="superscript"/>
        </w:rPr>
        <w:t>nd</w:t>
      </w:r>
      <w:r w:rsidRPr="00BF50BF">
        <w:t xml:space="preserve"> generation LEO satellite system on radioastronomy in the ECC Report 349. </w:t>
      </w:r>
    </w:p>
  </w:footnote>
  <w:footnote w:id="167">
    <w:p w14:paraId="2F63319E" w14:textId="2A959285" w:rsidR="007B75B8" w:rsidRPr="00BF50BF" w:rsidRDefault="007B75B8" w:rsidP="006A3DDC">
      <w:pPr>
        <w:pStyle w:val="FootnoteText"/>
        <w:spacing w:line="240" w:lineRule="auto"/>
        <w:jc w:val="left"/>
      </w:pPr>
      <w:r w:rsidRPr="00BF50BF">
        <w:rPr>
          <w:rStyle w:val="FootnoteReference"/>
        </w:rPr>
        <w:footnoteRef/>
      </w:r>
      <w:r w:rsidRPr="00BF50BF">
        <w:t xml:space="preserve"> </w:t>
      </w:r>
      <w:r w:rsidR="00F01C17" w:rsidRPr="00BF50BF">
        <w:t>A few non-EU large satellite constellations with evolving (still partly pending) ITU filings might soon secure a dominant part of the available satellite spectrum and orbits due to the ITU’s first-come-first</w:t>
      </w:r>
      <w:r w:rsidR="003E0565" w:rsidRPr="00BF50BF">
        <w:t xml:space="preserve">. </w:t>
      </w:r>
      <w:r w:rsidRPr="00BF50BF">
        <w:t>In this regard, the FCC has been examining or approving authorisations of Starlink’s mobile satellite service across a wide range of both terrestrial spectrum below 3 GHz (within its “Supplementary Coverage from Space” ruling), and internationally harmonised satellite spectrum (at ITU level) in the so-called Ku, Ka, V, E, and W bands. Furthermore, at this stage, Amazon’s Kuiper plans to use spectrum in the Ka and Q/V bands.</w:t>
      </w:r>
    </w:p>
  </w:footnote>
  <w:footnote w:id="168">
    <w:p w14:paraId="395DDC1C" w14:textId="4003B3C3" w:rsidR="0029613B" w:rsidRPr="00BF50BF" w:rsidRDefault="0029613B" w:rsidP="006A3DDC">
      <w:pPr>
        <w:pStyle w:val="FootnoteText"/>
        <w:spacing w:line="240" w:lineRule="auto"/>
      </w:pPr>
      <w:r w:rsidRPr="00BF50BF">
        <w:rPr>
          <w:rStyle w:val="FootnoteReference"/>
        </w:rPr>
        <w:footnoteRef/>
      </w:r>
      <w:r w:rsidRPr="00BF50BF">
        <w:t xml:space="preserve"> </w:t>
      </w:r>
      <w:hyperlink r:id="rId59" w:history="1">
        <w:r w:rsidRPr="00BF50BF">
          <w:rPr>
            <w:rStyle w:val="Hyperlink"/>
          </w:rPr>
          <w:t>https://eur-lex.europa.eu/legal-content/EN/TXT/?uri=celex%3A12016ME%2FTXT</w:t>
        </w:r>
      </w:hyperlink>
      <w:r w:rsidR="007D2E45" w:rsidRPr="00BF50BF">
        <w:t>.</w:t>
      </w:r>
    </w:p>
  </w:footnote>
  <w:footnote w:id="169">
    <w:p w14:paraId="60D1F383" w14:textId="77777777" w:rsidR="0029613B" w:rsidRPr="00BF50BF" w:rsidRDefault="0029613B" w:rsidP="006A3DDC">
      <w:pPr>
        <w:pStyle w:val="FootnoteText"/>
        <w:spacing w:line="240" w:lineRule="auto"/>
        <w:rPr>
          <w:lang w:val="en-IE"/>
        </w:rPr>
      </w:pPr>
      <w:r w:rsidRPr="00BF50BF">
        <w:rPr>
          <w:rStyle w:val="FootnoteReference"/>
        </w:rPr>
        <w:footnoteRef/>
      </w:r>
      <w:r w:rsidRPr="00BF50BF">
        <w:t xml:space="preserve"> See for instance M.10896 - Orange/MasMovil/JV and M.8792 - T-Mobile NL/Tele2 NL.</w:t>
      </w:r>
    </w:p>
  </w:footnote>
  <w:footnote w:id="170">
    <w:p w14:paraId="62F74680" w14:textId="41975FAB" w:rsidR="000046DE" w:rsidRPr="00BF50BF" w:rsidRDefault="000046DE" w:rsidP="006A3DDC">
      <w:pPr>
        <w:pStyle w:val="FootnoteText"/>
        <w:spacing w:line="240" w:lineRule="auto"/>
      </w:pPr>
      <w:r w:rsidRPr="00BF50BF">
        <w:rPr>
          <w:rStyle w:val="FootnoteReference"/>
        </w:rPr>
        <w:footnoteRef/>
      </w:r>
      <w:r w:rsidRPr="00BF50BF">
        <w:t xml:space="preserve"> See for example Annex 9 </w:t>
      </w:r>
      <w:r w:rsidR="008638B6" w:rsidRPr="00BF50BF">
        <w:t>Section 3</w:t>
      </w:r>
      <w:r w:rsidR="00E5786E" w:rsidRPr="00BF50BF">
        <w:t xml:space="preserve">.1.1 </w:t>
      </w:r>
      <w:r w:rsidRPr="00BF50BF">
        <w:t>on economic benefits of 5G by sector</w:t>
      </w:r>
      <w:r w:rsidR="00BF2258" w:rsidRPr="00BF50BF">
        <w:t>.</w:t>
      </w:r>
    </w:p>
  </w:footnote>
  <w:footnote w:id="171">
    <w:p w14:paraId="72FFC39B" w14:textId="0C8C95AA" w:rsidR="0017680A" w:rsidRPr="00BF50BF" w:rsidRDefault="0017680A" w:rsidP="006A3DDC">
      <w:pPr>
        <w:pStyle w:val="FootnoteText"/>
        <w:spacing w:line="240" w:lineRule="auto"/>
        <w:rPr>
          <w:lang w:val="ca-ES"/>
        </w:rPr>
      </w:pPr>
      <w:r w:rsidRPr="00BF50BF">
        <w:rPr>
          <w:rStyle w:val="FootnoteReference"/>
        </w:rPr>
        <w:footnoteRef/>
      </w:r>
      <w:r w:rsidRPr="00BF50BF">
        <w:t xml:space="preserve"> </w:t>
      </w:r>
      <w:r w:rsidR="00465192" w:rsidRPr="00BF50BF">
        <w:t xml:space="preserve">As LEO satellites reduce latency and constellations with inter-satellite links create global mesh networks, satellites act as both data pipes and data sources, feeding AI models with vast datasets from Earth observation, IoT devices, and other satellite operations. </w:t>
      </w:r>
      <w:r w:rsidR="00924DE9" w:rsidRPr="00BF50BF">
        <w:t>Thanks to s</w:t>
      </w:r>
      <w:r w:rsidR="00465192" w:rsidRPr="00BF50BF">
        <w:t>atellite networks</w:t>
      </w:r>
      <w:r w:rsidR="002F27A5" w:rsidRPr="00BF50BF">
        <w:t>,</w:t>
      </w:r>
      <w:r w:rsidR="00465192" w:rsidRPr="00BF50BF">
        <w:t xml:space="preserve"> devices operating in remote areas—</w:t>
      </w:r>
      <w:r w:rsidR="00C007D0" w:rsidRPr="00BF50BF">
        <w:t>for example</w:t>
      </w:r>
      <w:r w:rsidR="00465192" w:rsidRPr="00BF50BF">
        <w:t xml:space="preserve"> sensors for agriculture, energy or logistics—can stay connected to powerful AI systems. </w:t>
      </w:r>
      <w:r w:rsidR="00EA73F5" w:rsidRPr="00BF50BF">
        <w:t xml:space="preserve">In the era of </w:t>
      </w:r>
      <w:r w:rsidR="007F1E71" w:rsidRPr="00BF50BF">
        <w:t xml:space="preserve">ubiquitous and </w:t>
      </w:r>
      <w:r w:rsidR="00EA73F5" w:rsidRPr="00BF50BF">
        <w:t xml:space="preserve">reliable </w:t>
      </w:r>
      <w:r w:rsidR="007F1E71" w:rsidRPr="00BF50BF">
        <w:t>satellite connectivity, r</w:t>
      </w:r>
      <w:r w:rsidR="00465192" w:rsidRPr="00BF50BF">
        <w:t xml:space="preserve">emote devices will no longer </w:t>
      </w:r>
      <w:r w:rsidR="00E972DF" w:rsidRPr="00BF50BF">
        <w:t>run</w:t>
      </w:r>
      <w:r w:rsidR="00465192" w:rsidRPr="00BF50BF">
        <w:t xml:space="preserve"> in isolation, they will become part of a coordinated, real-time AI network</w:t>
      </w:r>
      <w:r w:rsidR="00C6682D" w:rsidRPr="00BF50BF">
        <w:t>, which</w:t>
      </w:r>
      <w:r w:rsidR="00465192" w:rsidRPr="00BF50BF">
        <w:t xml:space="preserve"> shares data, updates, and </w:t>
      </w:r>
      <w:r w:rsidR="00C6682D" w:rsidRPr="00BF50BF">
        <w:t xml:space="preserve">makes </w:t>
      </w:r>
      <w:r w:rsidR="00465192" w:rsidRPr="00BF50BF">
        <w:t>decisions across vast distances.</w:t>
      </w:r>
    </w:p>
  </w:footnote>
  <w:footnote w:id="172">
    <w:p w14:paraId="5BCB95A1" w14:textId="77777777" w:rsidR="009D4DC0" w:rsidRPr="00BF50BF" w:rsidRDefault="009D4DC0" w:rsidP="006A3DDC">
      <w:pPr>
        <w:pStyle w:val="FootnoteText"/>
        <w:spacing w:line="240" w:lineRule="auto"/>
      </w:pPr>
      <w:r w:rsidRPr="00BF50BF">
        <w:rPr>
          <w:rStyle w:val="FootnoteReference"/>
        </w:rPr>
        <w:footnoteRef/>
      </w:r>
      <w:r w:rsidRPr="00BF50BF">
        <w:t xml:space="preserve"> Digital Decade Policy Programme </w:t>
      </w:r>
      <w:hyperlink r:id="rId60" w:history="1">
        <w:r w:rsidRPr="00BF50BF">
          <w:rPr>
            <w:rStyle w:val="Hyperlink"/>
          </w:rPr>
          <w:t>https://eur-lex.europa.eu/EN/legal-content/summary/2030-digital-decade-policy-programme.html</w:t>
        </w:r>
      </w:hyperlink>
      <w:r w:rsidRPr="00BF50BF">
        <w:t>.</w:t>
      </w:r>
    </w:p>
  </w:footnote>
  <w:footnote w:id="173">
    <w:p w14:paraId="2C3839F9" w14:textId="68D8BECD" w:rsidR="009D4DC0" w:rsidRPr="00BF50BF" w:rsidRDefault="009D4DC0" w:rsidP="006A3DDC">
      <w:pPr>
        <w:pStyle w:val="FootnoteText"/>
        <w:spacing w:line="240" w:lineRule="auto"/>
      </w:pPr>
      <w:r w:rsidRPr="00BF50BF">
        <w:rPr>
          <w:rStyle w:val="FootnoteReference"/>
        </w:rPr>
        <w:footnoteRef/>
      </w:r>
      <w:r w:rsidRPr="00BF50BF">
        <w:t xml:space="preserve"> Wide gaps exist between Member States in high performance FTTH infrastructure with coverage of more than 80% in some countries such as ES and PT and less than </w:t>
      </w:r>
      <w:r w:rsidR="003B4186" w:rsidRPr="00BF50BF">
        <w:t>5</w:t>
      </w:r>
      <w:r w:rsidRPr="00BF50BF">
        <w:t>0% in others, such as EL, BE and DE. There is also a significant urban rural digital divide, with rural coverage of FTTH lying around or below 10% in a number of countries</w:t>
      </w:r>
      <w:r w:rsidR="00F0502E" w:rsidRPr="00BF50BF">
        <w:t xml:space="preserve"> (CZ, EL, BE)</w:t>
      </w:r>
      <w:r w:rsidRPr="00BF50BF">
        <w:t>.</w:t>
      </w:r>
    </w:p>
  </w:footnote>
  <w:footnote w:id="174">
    <w:p w14:paraId="5C5A6E9D" w14:textId="25AF2CF6" w:rsidR="00716FF7" w:rsidRPr="0015618F" w:rsidRDefault="00716FF7" w:rsidP="006A3DDC">
      <w:pPr>
        <w:pStyle w:val="FootnoteText"/>
        <w:spacing w:line="240" w:lineRule="auto"/>
        <w:rPr>
          <w:lang w:val="es-ES"/>
        </w:rPr>
      </w:pPr>
      <w:r w:rsidRPr="00BF50BF">
        <w:rPr>
          <w:rStyle w:val="FootnoteReference"/>
        </w:rPr>
        <w:footnoteRef/>
      </w:r>
      <w:r w:rsidRPr="0015618F">
        <w:rPr>
          <w:lang w:val="es-ES"/>
        </w:rPr>
        <w:t xml:space="preserve"> </w:t>
      </w:r>
      <w:r w:rsidR="00CA15F3" w:rsidRPr="0015618F">
        <w:rPr>
          <w:lang w:val="es-ES"/>
        </w:rPr>
        <w:t>DK, FR, LU, MT, PT, RO, SE, ES and CY</w:t>
      </w:r>
      <w:r w:rsidR="00150CA1" w:rsidRPr="0015618F">
        <w:rPr>
          <w:lang w:val="es-ES"/>
        </w:rPr>
        <w:t>.</w:t>
      </w:r>
    </w:p>
  </w:footnote>
  <w:footnote w:id="175">
    <w:p w14:paraId="743300A0" w14:textId="14E59144" w:rsidR="4ED117A6" w:rsidRPr="00BF50BF" w:rsidRDefault="4ED117A6" w:rsidP="006A3DDC">
      <w:pPr>
        <w:pStyle w:val="FootnoteText"/>
        <w:spacing w:line="240" w:lineRule="auto"/>
        <w:rPr>
          <w:lang w:val="en-IE"/>
        </w:rPr>
      </w:pPr>
      <w:r w:rsidRPr="00BF50BF">
        <w:rPr>
          <w:rStyle w:val="FootnoteReference"/>
        </w:rPr>
        <w:footnoteRef/>
      </w:r>
      <w:r w:rsidRPr="00BF50BF">
        <w:t xml:space="preserve"> </w:t>
      </w:r>
      <w:r w:rsidRPr="00BF50BF">
        <w:rPr>
          <w:rFonts w:eastAsia="Calibri"/>
        </w:rPr>
        <w:t>AT, BU, CZ, DE, EE, EL, FI, HR, HU, IE, LV, LT, the NL, PL, SK and SI.</w:t>
      </w:r>
    </w:p>
  </w:footnote>
  <w:footnote w:id="176">
    <w:p w14:paraId="207129BF" w14:textId="11B0C038" w:rsidR="4ED117A6" w:rsidRPr="00BF50BF" w:rsidRDefault="4ED117A6" w:rsidP="006A3DDC">
      <w:pPr>
        <w:pStyle w:val="FootnoteText"/>
        <w:spacing w:line="240" w:lineRule="auto"/>
        <w:rPr>
          <w:lang w:val="en-IE"/>
        </w:rPr>
      </w:pPr>
      <w:r w:rsidRPr="00BF50BF">
        <w:rPr>
          <w:rStyle w:val="FootnoteReference"/>
        </w:rPr>
        <w:footnoteRef/>
      </w:r>
      <w:r w:rsidRPr="00BF50BF">
        <w:t xml:space="preserve"> </w:t>
      </w:r>
      <w:r w:rsidRPr="00BF50BF">
        <w:rPr>
          <w:rFonts w:eastAsia="Calibri"/>
        </w:rPr>
        <w:t>Austria, Belgium, Czechia, Germany, Greece, Latvia and Slovakia</w:t>
      </w:r>
      <w:r w:rsidR="00F01FF0" w:rsidRPr="00BF50BF">
        <w:rPr>
          <w:rFonts w:eastAsia="Calibri"/>
        </w:rPr>
        <w:t>.</w:t>
      </w:r>
    </w:p>
  </w:footnote>
  <w:footnote w:id="177">
    <w:p w14:paraId="24E5F0F1" w14:textId="59FFC724" w:rsidR="00E45746" w:rsidRPr="00BF50BF" w:rsidRDefault="00E45746" w:rsidP="006A3DDC">
      <w:pPr>
        <w:pStyle w:val="FootnoteText"/>
        <w:spacing w:line="240" w:lineRule="auto"/>
        <w:rPr>
          <w:lang w:val="en-IE"/>
        </w:rPr>
      </w:pPr>
      <w:r w:rsidRPr="00BF50BF">
        <w:rPr>
          <w:rStyle w:val="FootnoteReference"/>
        </w:rPr>
        <w:footnoteRef/>
      </w:r>
      <w:r w:rsidRPr="00BF50BF">
        <w:t xml:space="preserve"> Fibre coverage refers to the share of households passed by a fibre network.</w:t>
      </w:r>
    </w:p>
  </w:footnote>
  <w:footnote w:id="178">
    <w:p w14:paraId="3F7776EE" w14:textId="66F8DA15" w:rsidR="008C15C8" w:rsidRPr="00BF50BF" w:rsidRDefault="008C15C8" w:rsidP="006A3DDC">
      <w:pPr>
        <w:pStyle w:val="FootnoteText"/>
        <w:spacing w:line="240" w:lineRule="auto"/>
      </w:pPr>
      <w:r w:rsidRPr="00BF50BF">
        <w:rPr>
          <w:rStyle w:val="FootnoteReference"/>
        </w:rPr>
        <w:footnoteRef/>
      </w:r>
      <w:r w:rsidR="000A1EFD" w:rsidRPr="00BF50BF">
        <w:t xml:space="preserve"> </w:t>
      </w:r>
      <w:r w:rsidR="0089094D" w:rsidRPr="00BF50BF">
        <w:t xml:space="preserve">WIK study. </w:t>
      </w:r>
    </w:p>
  </w:footnote>
  <w:footnote w:id="179">
    <w:p w14:paraId="1D64C146" w14:textId="726623B7" w:rsidR="009B7619" w:rsidRPr="00BF50BF" w:rsidRDefault="009B7619" w:rsidP="006A3DDC">
      <w:pPr>
        <w:pStyle w:val="FootnoteText"/>
        <w:spacing w:line="240" w:lineRule="auto"/>
      </w:pPr>
      <w:r w:rsidRPr="00BF50BF">
        <w:rPr>
          <w:rStyle w:val="FootnoteReference"/>
        </w:rPr>
        <w:footnoteRef/>
      </w:r>
      <w:r w:rsidRPr="00BF50BF">
        <w:t xml:space="preserve"> </w:t>
      </w:r>
      <w:hyperlink r:id="rId61" w:history="1">
        <w:r w:rsidRPr="009E7E9D">
          <w:rPr>
            <w:rStyle w:val="Hyperlink"/>
          </w:rPr>
          <w:t>https://digital-strategy.ec.europa.eu/en/library/investment-and-funding-needs-digital-decade-connectivity-targets</w:t>
        </w:r>
      </w:hyperlink>
      <w:r w:rsidR="00D307EE" w:rsidRPr="00BF50BF">
        <w:t>.</w:t>
      </w:r>
    </w:p>
  </w:footnote>
  <w:footnote w:id="180">
    <w:p w14:paraId="42CFC80D" w14:textId="046E0BE5" w:rsidR="4DF45474" w:rsidRPr="00BF50BF" w:rsidRDefault="4DF45474" w:rsidP="006A3DDC">
      <w:pPr>
        <w:pStyle w:val="FootnoteText"/>
        <w:spacing w:line="240" w:lineRule="auto"/>
      </w:pPr>
      <w:r w:rsidRPr="00BF50BF">
        <w:rPr>
          <w:rStyle w:val="FootnoteReference"/>
        </w:rPr>
        <w:footnoteRef/>
      </w:r>
      <w:r w:rsidRPr="00BF50BF">
        <w:t xml:space="preserve"> In particular, Article</w:t>
      </w:r>
      <w:r w:rsidR="00A907F2">
        <w:t> </w:t>
      </w:r>
      <w:r w:rsidRPr="00BF50BF">
        <w:t>61(3) EECC provides that access obligations can be imposed</w:t>
      </w:r>
      <w:r w:rsidR="004D346B" w:rsidRPr="00BF50BF">
        <w:t xml:space="preserve">, </w:t>
      </w:r>
      <w:r w:rsidR="009E24CB" w:rsidRPr="00BF50BF">
        <w:t>upon reasonable request,</w:t>
      </w:r>
      <w:r w:rsidRPr="00BF50BF">
        <w:t xml:space="preserve"> with respect to wiring and associated facilities inside buildings or up to the first concentration or distribution point where the replication of these network elements would be economically inefficient or physically impracticable; under strict conditions such obligations can be extended up to a point beyond. These provisions are applicable outside of the context of a market analysis, and irrespective of whether the undertaking concerned has been designated as having significant market power. </w:t>
      </w:r>
    </w:p>
  </w:footnote>
  <w:footnote w:id="181">
    <w:p w14:paraId="564988AE" w14:textId="4A358C71" w:rsidR="00137B71" w:rsidRPr="00BF50BF" w:rsidRDefault="00137B71" w:rsidP="006A3DDC">
      <w:pPr>
        <w:pStyle w:val="FootnoteText"/>
        <w:spacing w:line="240" w:lineRule="auto"/>
      </w:pPr>
      <w:r w:rsidRPr="00BF50BF">
        <w:rPr>
          <w:rStyle w:val="FootnoteReference"/>
        </w:rPr>
        <w:footnoteRef/>
      </w:r>
      <w:r w:rsidRPr="00BF50BF">
        <w:t xml:space="preserve"> The decision to define a market as susceptible to ex ante regulation should also </w:t>
      </w:r>
      <w:r w:rsidR="00177ABE" w:rsidRPr="00BF50BF">
        <w:t xml:space="preserve">(alongside the first two criteria) </w:t>
      </w:r>
      <w:r w:rsidRPr="00BF50BF">
        <w:t>depend on an assessment of the sufficiency of competition law to address adequately the market failures identified</w:t>
      </w:r>
      <w:r w:rsidR="00C417D4" w:rsidRPr="00BF50BF">
        <w:t>.</w:t>
      </w:r>
      <w:r w:rsidR="005E5EFF" w:rsidRPr="00BF50BF">
        <w:t xml:space="preserve"> This third criterion aims to assess the adequacy of competition law to tackle identified persistent market failure(s)</w:t>
      </w:r>
      <w:r w:rsidR="00821A20" w:rsidRPr="00BF50BF">
        <w:t>.</w:t>
      </w:r>
      <w:r w:rsidR="00D55D86" w:rsidRPr="00BF50BF">
        <w:t xml:space="preserve"> Competition law-based interventions are likely to be insufficient where frequent and/or timely intervention is indispensable to redress persistent market failure(s). In such circumstances, ex ante regulation should be considered an appropriate complement to competition law.</w:t>
      </w:r>
    </w:p>
  </w:footnote>
  <w:footnote w:id="182">
    <w:p w14:paraId="72491DA8" w14:textId="60FFC414" w:rsidR="4DF45474" w:rsidRPr="00BF50BF" w:rsidRDefault="4DF45474" w:rsidP="006A3DDC">
      <w:pPr>
        <w:pStyle w:val="FootnoteText"/>
        <w:spacing w:line="240" w:lineRule="auto"/>
        <w:jc w:val="left"/>
      </w:pPr>
      <w:r w:rsidRPr="00BF50BF">
        <w:rPr>
          <w:rStyle w:val="FootnoteReference"/>
        </w:rPr>
        <w:footnoteRef/>
      </w:r>
      <w:r w:rsidRPr="00BF50BF">
        <w:t xml:space="preserve"> Guidelines on market analysis and the assessment of significant market power under the EU regulatory framework for electronic communications networks and services (2018/C 159/01).</w:t>
      </w:r>
    </w:p>
  </w:footnote>
  <w:footnote w:id="183">
    <w:p w14:paraId="62108486" w14:textId="43406404" w:rsidR="4DF45474" w:rsidRPr="00BF50BF" w:rsidRDefault="4DF45474" w:rsidP="006A3DDC">
      <w:pPr>
        <w:pStyle w:val="FootnoteText"/>
        <w:spacing w:line="240" w:lineRule="auto"/>
        <w:jc w:val="left"/>
      </w:pPr>
      <w:r w:rsidRPr="00BF50BF">
        <w:rPr>
          <w:rStyle w:val="FootnoteReference"/>
        </w:rPr>
        <w:footnoteRef/>
      </w:r>
      <w:r w:rsidRPr="00BF50BF">
        <w:t xml:space="preserve"> Commission Recommendation (EU) 2020/2245 of 18 December 2020 on relevant product and service markets within the electronic communications sector susceptible to ex ante regulation in accordance with the Code (2020 Recommendation on Relevant Markets) (OJ L 439, 29.12.2020, p. 23-31)</w:t>
      </w:r>
      <w:r w:rsidR="00A135AC" w:rsidRPr="00BF50BF">
        <w:t>.</w:t>
      </w:r>
    </w:p>
  </w:footnote>
  <w:footnote w:id="184">
    <w:p w14:paraId="17122E7E" w14:textId="05E90FD1" w:rsidR="4DF45474" w:rsidRPr="00BF50BF" w:rsidRDefault="4DF45474" w:rsidP="006A3DDC">
      <w:pPr>
        <w:pStyle w:val="FootnoteText"/>
        <w:spacing w:line="240" w:lineRule="auto"/>
        <w:jc w:val="left"/>
      </w:pPr>
      <w:r w:rsidRPr="00BF50BF">
        <w:rPr>
          <w:rStyle w:val="FootnoteReference"/>
        </w:rPr>
        <w:footnoteRef/>
      </w:r>
      <w:r w:rsidRPr="00BF50BF">
        <w:t xml:space="preserve"> Commission Recommendation (EU) 2024/539 of 6 February 2024 on the regulatory promotion of gigabit connectivity (C/2024/523) (OJ L, 2024/539, 19.2.2024).</w:t>
      </w:r>
    </w:p>
  </w:footnote>
  <w:footnote w:id="185">
    <w:p w14:paraId="105DA5E0" w14:textId="6591AF2F" w:rsidR="00451DC2" w:rsidRPr="00602574" w:rsidRDefault="00451DC2" w:rsidP="006A3DDC">
      <w:pPr>
        <w:pStyle w:val="FootnoteText"/>
        <w:spacing w:line="240" w:lineRule="auto"/>
        <w:rPr>
          <w:vertAlign w:val="superscript"/>
        </w:rPr>
      </w:pPr>
      <w:r w:rsidRPr="00602574">
        <w:rPr>
          <w:rStyle w:val="FootnoteReference"/>
        </w:rPr>
        <w:footnoteRef/>
      </w:r>
      <w:r w:rsidRPr="00602574">
        <w:rPr>
          <w:rStyle w:val="FootnoteReference"/>
        </w:rPr>
        <w:t xml:space="preserve"> </w:t>
      </w:r>
      <w:r w:rsidRPr="00602574">
        <w:rPr>
          <w:rStyle w:val="normaltextrun"/>
        </w:rPr>
        <w:t xml:space="preserve">See </w:t>
      </w:r>
      <w:r w:rsidR="00C47CE8">
        <w:rPr>
          <w:rStyle w:val="normaltextrun"/>
        </w:rPr>
        <w:t>s</w:t>
      </w:r>
      <w:r w:rsidR="00C47CE8" w:rsidRPr="00602574">
        <w:rPr>
          <w:rStyle w:val="normaltextrun"/>
        </w:rPr>
        <w:t xml:space="preserve">ection </w:t>
      </w:r>
      <w:r w:rsidRPr="00602574">
        <w:rPr>
          <w:rStyle w:val="normaltextrun"/>
        </w:rPr>
        <w:t xml:space="preserve">2.2.2.3 for an assessment of their impact on market outcomes. Further explained in Annex 4, </w:t>
      </w:r>
      <w:r w:rsidR="00063273">
        <w:rPr>
          <w:rStyle w:val="normaltextrun"/>
        </w:rPr>
        <w:t>s</w:t>
      </w:r>
      <w:r w:rsidR="00063273" w:rsidRPr="00602574">
        <w:rPr>
          <w:rStyle w:val="normaltextrun"/>
        </w:rPr>
        <w:t xml:space="preserve">ection </w:t>
      </w:r>
      <w:r w:rsidRPr="00602574">
        <w:rPr>
          <w:rStyle w:val="normaltextrun"/>
        </w:rPr>
        <w:t>3.</w:t>
      </w:r>
    </w:p>
  </w:footnote>
  <w:footnote w:id="186">
    <w:p w14:paraId="73B13C84" w14:textId="20FA937D" w:rsidR="00451DC2" w:rsidRPr="005C544D" w:rsidRDefault="00451DC2" w:rsidP="006A3DDC">
      <w:pPr>
        <w:pStyle w:val="FootnoteText"/>
        <w:spacing w:line="240" w:lineRule="auto"/>
      </w:pPr>
      <w:r w:rsidRPr="00602574">
        <w:rPr>
          <w:rStyle w:val="FootnoteReference"/>
        </w:rPr>
        <w:footnoteRef/>
      </w:r>
      <w:r w:rsidRPr="00602574">
        <w:t xml:space="preserve"> See consumer price market outcomes high heterogeneity as presented in </w:t>
      </w:r>
      <w:r w:rsidR="00063273">
        <w:t>s</w:t>
      </w:r>
      <w:r w:rsidR="00063273" w:rsidRPr="00602574">
        <w:t xml:space="preserve">ection </w:t>
      </w:r>
      <w:r w:rsidRPr="00602574">
        <w:t>2.2.2.3</w:t>
      </w:r>
      <w:r w:rsidR="00B55428">
        <w:t>.</w:t>
      </w:r>
    </w:p>
  </w:footnote>
  <w:footnote w:id="187">
    <w:p w14:paraId="716B925B" w14:textId="47F8EE16" w:rsidR="00451DC2" w:rsidRPr="005C544D" w:rsidRDefault="00451DC2" w:rsidP="006A3DDC">
      <w:pPr>
        <w:pStyle w:val="FootnoteText"/>
        <w:spacing w:line="240" w:lineRule="auto"/>
      </w:pPr>
      <w:r w:rsidRPr="00602574">
        <w:rPr>
          <w:rStyle w:val="FootnoteReference"/>
        </w:rPr>
        <w:footnoteRef/>
      </w:r>
      <w:r w:rsidRPr="00602574">
        <w:t xml:space="preserve"> See Quality of service market outcomes as presented in </w:t>
      </w:r>
      <w:r w:rsidR="00063273">
        <w:t>s</w:t>
      </w:r>
      <w:r w:rsidR="00063273" w:rsidRPr="00602574">
        <w:t xml:space="preserve">ection </w:t>
      </w:r>
      <w:r w:rsidRPr="00602574">
        <w:t>2.2.2.3 and Annex 4</w:t>
      </w:r>
      <w:r w:rsidR="00B55428">
        <w:t>.</w:t>
      </w:r>
    </w:p>
  </w:footnote>
  <w:footnote w:id="188">
    <w:p w14:paraId="46DA9762" w14:textId="26FF4BF0" w:rsidR="00451DC2" w:rsidRPr="005C544D" w:rsidRDefault="00451DC2" w:rsidP="006A3DDC">
      <w:pPr>
        <w:pStyle w:val="FootnoteText"/>
        <w:spacing w:line="240" w:lineRule="auto"/>
      </w:pPr>
      <w:r w:rsidRPr="00602574">
        <w:rPr>
          <w:rStyle w:val="FootnoteReference"/>
        </w:rPr>
        <w:footnoteRef/>
      </w:r>
      <w:r w:rsidRPr="00602574">
        <w:t xml:space="preserve"> The majority of MNOs responding to a questionnaire distributed for the </w:t>
      </w:r>
      <w:r w:rsidR="00C62EE5">
        <w:t>‘Study on Finance and USO’</w:t>
      </w:r>
      <w:r w:rsidRPr="00602574">
        <w:t xml:space="preserve"> did not report any concrete plans to densify their networks with the deployment of small cells, at least in the short term. As regards the 2030-2035 horizon it is unlikely that MNOs would have internal investment plans that extend beyond the next 5 years, also noting that future plans will also depend on the external factors which are hard to predict, such as the evolution of demand, and potentially changes to current approaches towards spectrum licencing and any associated conditions.</w:t>
      </w:r>
    </w:p>
  </w:footnote>
  <w:footnote w:id="189">
    <w:p w14:paraId="370CCE2D" w14:textId="33D2AD5E" w:rsidR="00AE200C" w:rsidRPr="00EF40AE" w:rsidRDefault="00AE200C" w:rsidP="006A3DDC">
      <w:pPr>
        <w:pStyle w:val="FootnoteText"/>
        <w:spacing w:line="240" w:lineRule="auto"/>
        <w:rPr>
          <w:lang w:val="en-IE"/>
        </w:rPr>
      </w:pPr>
      <w:r>
        <w:rPr>
          <w:rStyle w:val="FootnoteReference"/>
        </w:rPr>
        <w:footnoteRef/>
      </w:r>
      <w:r>
        <w:t xml:space="preserve"> </w:t>
      </w:r>
      <w:r w:rsidRPr="00602574">
        <w:t>Across Europe, spectrum costs account for around 7% of mobile service revenues and about 35-40% of capital expenditure</w:t>
      </w:r>
      <w:r w:rsidRPr="00AE200C">
        <w:t xml:space="preserve"> </w:t>
      </w:r>
      <w:r w:rsidRPr="005C544D">
        <w:t>Ingravallo, R., &amp; Solomon, G. (2022). Spectrum Licence Renewals and Europe's Digital Future</w:t>
      </w:r>
      <w:r w:rsidR="00063273">
        <w:t>.</w:t>
      </w:r>
    </w:p>
  </w:footnote>
  <w:footnote w:id="190">
    <w:p w14:paraId="2D42E498" w14:textId="77777777" w:rsidR="00451DC2" w:rsidRPr="00602574" w:rsidRDefault="00451DC2" w:rsidP="006A3DDC">
      <w:pPr>
        <w:pStyle w:val="FootnoteText"/>
        <w:spacing w:line="240" w:lineRule="auto"/>
        <w:ind w:left="340" w:hanging="340"/>
      </w:pPr>
      <w:r w:rsidRPr="00602574">
        <w:rPr>
          <w:rStyle w:val="FootnoteReference"/>
        </w:rPr>
        <w:footnoteRef/>
      </w:r>
      <w:r w:rsidRPr="00602574">
        <w:t xml:space="preserve"> GSMA Global Spectrum Pricing 2025. </w:t>
      </w:r>
    </w:p>
  </w:footnote>
  <w:footnote w:id="191">
    <w:p w14:paraId="7A485FDA" w14:textId="3451ADCA" w:rsidR="00451DC2" w:rsidRPr="009E6D4E" w:rsidRDefault="00451DC2" w:rsidP="006A3DDC">
      <w:pPr>
        <w:pStyle w:val="EYBodytextwithparaspace"/>
        <w:spacing w:before="0" w:after="0" w:line="240" w:lineRule="auto"/>
        <w:rPr>
          <w:rFonts w:ascii="Times New Roman" w:eastAsiaTheme="minorEastAsia" w:hAnsi="Times New Roman"/>
          <w:sz w:val="20"/>
          <w:szCs w:val="20"/>
        </w:rPr>
      </w:pPr>
      <w:r w:rsidRPr="00602574">
        <w:rPr>
          <w:rStyle w:val="FootnoteReference"/>
          <w:rFonts w:eastAsiaTheme="minorEastAsia"/>
          <w:sz w:val="20"/>
          <w:szCs w:val="20"/>
        </w:rPr>
        <w:footnoteRef/>
      </w:r>
      <w:r w:rsidRPr="00602574">
        <w:rPr>
          <w:sz w:val="20"/>
          <w:szCs w:val="20"/>
        </w:rPr>
        <w:t xml:space="preserve"> </w:t>
      </w:r>
      <w:r w:rsidRPr="00602574">
        <w:rPr>
          <w:rFonts w:ascii="Times New Roman" w:eastAsiaTheme="minorEastAsia" w:hAnsi="Times New Roman"/>
          <w:sz w:val="20"/>
          <w:szCs w:val="20"/>
        </w:rPr>
        <w:t xml:space="preserve">See </w:t>
      </w:r>
      <w:r w:rsidR="00063273">
        <w:rPr>
          <w:rFonts w:ascii="Times New Roman" w:eastAsiaTheme="minorEastAsia" w:hAnsi="Times New Roman"/>
          <w:sz w:val="20"/>
          <w:szCs w:val="20"/>
        </w:rPr>
        <w:t xml:space="preserve">section </w:t>
      </w:r>
      <w:r w:rsidR="009E6D4E">
        <w:rPr>
          <w:rFonts w:ascii="Times New Roman" w:eastAsiaTheme="minorEastAsia" w:hAnsi="Times New Roman"/>
          <w:sz w:val="20"/>
          <w:szCs w:val="20"/>
        </w:rPr>
        <w:t>2.2.</w:t>
      </w:r>
      <w:r w:rsidR="00D15C09">
        <w:rPr>
          <w:rFonts w:ascii="Times New Roman" w:eastAsiaTheme="minorEastAsia" w:hAnsi="Times New Roman"/>
          <w:sz w:val="20"/>
          <w:szCs w:val="20"/>
        </w:rPr>
        <w:t xml:space="preserve">2.3. and </w:t>
      </w:r>
      <w:r w:rsidR="00913319" w:rsidRPr="00602574">
        <w:rPr>
          <w:rFonts w:ascii="Times New Roman" w:eastAsiaTheme="minorEastAsia" w:hAnsi="Times New Roman"/>
          <w:sz w:val="20"/>
          <w:szCs w:val="20"/>
        </w:rPr>
        <w:t xml:space="preserve">Average spectrum </w:t>
      </w:r>
      <w:r w:rsidR="002E1AFF">
        <w:rPr>
          <w:rFonts w:ascii="Times New Roman" w:eastAsiaTheme="minorEastAsia" w:hAnsi="Times New Roman"/>
          <w:sz w:val="20"/>
          <w:szCs w:val="20"/>
        </w:rPr>
        <w:t xml:space="preserve">prices from </w:t>
      </w:r>
      <w:r w:rsidRPr="00602574">
        <w:rPr>
          <w:rFonts w:ascii="Times New Roman" w:eastAsiaTheme="minorEastAsia" w:hAnsi="Times New Roman"/>
          <w:sz w:val="20"/>
          <w:szCs w:val="20"/>
        </w:rPr>
        <w:t>Completing the Digital Single Market (DSM): Regulatory enablers for cross-border networks</w:t>
      </w:r>
      <w:r w:rsidR="00B55428">
        <w:rPr>
          <w:rFonts w:ascii="Times New Roman" w:eastAsiaTheme="minorEastAsia" w:hAnsi="Times New Roman"/>
          <w:sz w:val="20"/>
          <w:szCs w:val="20"/>
        </w:rPr>
        <w:t>.</w:t>
      </w:r>
      <w:r w:rsidRPr="00602574">
        <w:rPr>
          <w:rFonts w:ascii="Times New Roman" w:eastAsiaTheme="minorEastAsia" w:hAnsi="Times New Roman"/>
          <w:sz w:val="20"/>
          <w:szCs w:val="20"/>
        </w:rPr>
        <w:t xml:space="preserve"> </w:t>
      </w:r>
    </w:p>
  </w:footnote>
  <w:footnote w:id="192">
    <w:p w14:paraId="459216B8" w14:textId="77777777" w:rsidR="00451DC2" w:rsidRPr="00602574" w:rsidRDefault="00451DC2" w:rsidP="006A3DDC">
      <w:pPr>
        <w:pStyle w:val="FootnoteText"/>
        <w:spacing w:line="240" w:lineRule="auto"/>
        <w:ind w:left="340" w:hanging="340"/>
      </w:pPr>
      <w:r w:rsidRPr="00602574">
        <w:rPr>
          <w:rStyle w:val="FootnoteReference"/>
        </w:rPr>
        <w:footnoteRef/>
      </w:r>
      <w:r w:rsidRPr="00602574">
        <w:t xml:space="preserve"> See section Completing the Digital Single Market (DSM): Regulatory enablers for cross-border networks”.</w:t>
      </w:r>
    </w:p>
  </w:footnote>
  <w:footnote w:id="193">
    <w:p w14:paraId="107E79AC" w14:textId="77777777" w:rsidR="00451DC2" w:rsidRPr="00602574" w:rsidRDefault="00451DC2" w:rsidP="006A3DDC">
      <w:pPr>
        <w:pStyle w:val="FootnoteText"/>
        <w:spacing w:line="240" w:lineRule="auto"/>
        <w:ind w:left="340" w:hanging="340"/>
      </w:pPr>
      <w:r w:rsidRPr="00602574">
        <w:rPr>
          <w:rStyle w:val="FootnoteReference"/>
        </w:rPr>
        <w:footnoteRef/>
      </w:r>
      <w:r w:rsidRPr="00602574">
        <w:t xml:space="preserve"> Completing the Digital Single Market (DSM): Regulatory enablers for cross-border networks” reporting GSMA data.</w:t>
      </w:r>
    </w:p>
  </w:footnote>
  <w:footnote w:id="194">
    <w:p w14:paraId="5F0E7361" w14:textId="06E81A8F" w:rsidR="00451DC2" w:rsidRPr="00602574" w:rsidRDefault="00451DC2" w:rsidP="006A3DDC">
      <w:pPr>
        <w:pStyle w:val="FootnoteText"/>
        <w:spacing w:line="240" w:lineRule="auto"/>
      </w:pPr>
      <w:r w:rsidRPr="00602574">
        <w:rPr>
          <w:rStyle w:val="FootnoteReference"/>
        </w:rPr>
        <w:footnoteRef/>
      </w:r>
      <w:r w:rsidRPr="00602574">
        <w:t xml:space="preserve"> </w:t>
      </w:r>
      <w:r w:rsidR="00C62EE5">
        <w:t>Study on Finance and USO</w:t>
      </w:r>
      <w:r w:rsidRPr="00602574">
        <w:t>.</w:t>
      </w:r>
    </w:p>
  </w:footnote>
  <w:footnote w:id="195">
    <w:p w14:paraId="486D3D69" w14:textId="3C84F287" w:rsidR="00451DC2" w:rsidRPr="00602574" w:rsidRDefault="00451DC2" w:rsidP="006A3DDC">
      <w:pPr>
        <w:pStyle w:val="FootnoteText"/>
        <w:spacing w:line="240" w:lineRule="auto"/>
      </w:pPr>
      <w:r w:rsidRPr="00602574">
        <w:rPr>
          <w:rStyle w:val="FootnoteReference"/>
        </w:rPr>
        <w:footnoteRef/>
      </w:r>
      <w:r w:rsidRPr="00602574">
        <w:t xml:space="preserve"> See summary tables with evaluation findings in </w:t>
      </w:r>
      <w:r w:rsidR="00C5464F">
        <w:t>s</w:t>
      </w:r>
      <w:r w:rsidR="00C5464F" w:rsidRPr="00602574">
        <w:t xml:space="preserve">ection </w:t>
      </w:r>
      <w:r w:rsidRPr="00602574">
        <w:t xml:space="preserve">1.2.1 ad 1.2.2. </w:t>
      </w:r>
    </w:p>
  </w:footnote>
  <w:footnote w:id="196">
    <w:p w14:paraId="21D9B193" w14:textId="5358FE35" w:rsidR="00451DC2" w:rsidRPr="00602574" w:rsidRDefault="00451DC2" w:rsidP="006A3DDC">
      <w:pPr>
        <w:pStyle w:val="FootnoteText"/>
        <w:spacing w:line="240" w:lineRule="auto"/>
      </w:pPr>
      <w:r w:rsidRPr="00602574">
        <w:rPr>
          <w:rStyle w:val="FootnoteReference"/>
        </w:rPr>
        <w:footnoteRef/>
      </w:r>
      <w:r w:rsidRPr="00602574">
        <w:t xml:space="preserve"> See summary tables with evaluation findings in </w:t>
      </w:r>
      <w:r w:rsidR="00C5464F">
        <w:t>s</w:t>
      </w:r>
      <w:r w:rsidR="00C5464F" w:rsidRPr="00602574">
        <w:t xml:space="preserve">ection </w:t>
      </w:r>
      <w:r w:rsidRPr="00602574">
        <w:t xml:space="preserve">1.2.1 ad 1.2.2. </w:t>
      </w:r>
    </w:p>
  </w:footnote>
  <w:footnote w:id="197">
    <w:p w14:paraId="377E125E" w14:textId="181D16F1" w:rsidR="00451DC2" w:rsidRPr="00602574" w:rsidRDefault="00451DC2" w:rsidP="006A3DDC">
      <w:pPr>
        <w:pStyle w:val="FootnoteText"/>
        <w:spacing w:line="240" w:lineRule="auto"/>
      </w:pPr>
      <w:r w:rsidRPr="00602574">
        <w:rPr>
          <w:rStyle w:val="FootnoteReference"/>
        </w:rPr>
        <w:footnoteRef/>
      </w:r>
      <w:r w:rsidRPr="00602574">
        <w:t xml:space="preserve"> Controlling for non-regulatory factors, the analysis presented in </w:t>
      </w:r>
      <w:r w:rsidR="00C5464F">
        <w:t>s</w:t>
      </w:r>
      <w:r w:rsidR="00C5464F" w:rsidRPr="00602574">
        <w:t xml:space="preserve">ection </w:t>
      </w:r>
      <w:r w:rsidRPr="00602574">
        <w:t>2.2.2.3 suggests that certain auction and award conditions correlate with differences in prices, coverage and service quality across Member States. If existing regulatory practices were maintained, these patterns could persist, even though the analysis does not claim to reveal causal relations.</w:t>
      </w:r>
    </w:p>
  </w:footnote>
  <w:footnote w:id="198">
    <w:p w14:paraId="7A93824D" w14:textId="77777777" w:rsidR="00451DC2" w:rsidRPr="005C544D" w:rsidRDefault="00451DC2" w:rsidP="006A3DDC">
      <w:pPr>
        <w:pStyle w:val="FootnoteText"/>
        <w:spacing w:line="240" w:lineRule="auto"/>
        <w:rPr>
          <w:rFonts w:eastAsia="EYInterstate Light"/>
          <w:kern w:val="2"/>
        </w:rPr>
      </w:pPr>
      <w:r w:rsidRPr="00602574">
        <w:rPr>
          <w:rStyle w:val="FootnoteReference"/>
        </w:rPr>
        <w:footnoteRef/>
      </w:r>
      <w:r w:rsidRPr="00602574">
        <w:t xml:space="preserve"> While the last association does not reach conventional levels of statistical significance in our regressions, it is consistent with econometric estimates presented in the WIK Study that historically a 10 p.p. higher spectrum cost to recurring revenue ratio decreased average speeds by up to 8% (and coverage by up to 6 p.p.). Zagdanski, Jakub; Castells, Pau; Bahia, Kalvin: The Dynamics of Spectrum Cost in the Era of 4G and 5G and Its Impact on Mobile Network Development and </w:t>
      </w:r>
      <w:r w:rsidRPr="00602574">
        <w:rPr>
          <w:rFonts w:eastAsia="EYInterstate Light"/>
          <w:kern w:val="2"/>
        </w:rPr>
        <w:t xml:space="preserve">GSMA, “Global Spectrum Pricing report,” GSMA, London (2025), p. 10. </w:t>
      </w:r>
    </w:p>
  </w:footnote>
  <w:footnote w:id="199">
    <w:p w14:paraId="07FAC23B" w14:textId="77777777" w:rsidR="00451DC2" w:rsidRPr="005C544D" w:rsidRDefault="00451DC2" w:rsidP="006A3DDC">
      <w:pPr>
        <w:pStyle w:val="FootnoteText"/>
        <w:spacing w:line="240" w:lineRule="auto"/>
        <w:jc w:val="left"/>
      </w:pPr>
      <w:r w:rsidRPr="00602574">
        <w:rPr>
          <w:rStyle w:val="FootnoteReference"/>
        </w:rPr>
        <w:footnoteRef/>
      </w:r>
      <w:r w:rsidRPr="00602574">
        <w:t xml:space="preserve"> Analysis by Mason shows that capex in 5G mobile plateaued at 20% of total European telecom capex in 2023, with capex in FTTH networks more than double this value. Lower numbers of small cells in Europe compared with the US and Asia are reported in surveys conducted by the Small Cell Forum (SCF) - SCF (2024). </w:t>
      </w:r>
      <w:hyperlink r:id="rId62" w:history="1">
        <w:r w:rsidRPr="00602574">
          <w:rPr>
            <w:rStyle w:val="Hyperlink"/>
          </w:rPr>
          <w:t>SCF Market forecast report</w:t>
        </w:r>
      </w:hyperlink>
      <w:r w:rsidRPr="00602574">
        <w:t>.</w:t>
      </w:r>
    </w:p>
  </w:footnote>
  <w:footnote w:id="200">
    <w:p w14:paraId="39FA0775" w14:textId="77777777" w:rsidR="00451DC2" w:rsidRPr="005C544D" w:rsidRDefault="00451DC2" w:rsidP="006A3DDC">
      <w:pPr>
        <w:pStyle w:val="FootnoteText"/>
        <w:spacing w:line="240" w:lineRule="auto"/>
      </w:pPr>
      <w:r w:rsidRPr="00602574">
        <w:rPr>
          <w:rStyle w:val="FootnoteReference"/>
        </w:rPr>
        <w:footnoteRef/>
      </w:r>
      <w:r w:rsidRPr="00602574">
        <w:t xml:space="preserve"> </w:t>
      </w:r>
      <w:r w:rsidRPr="00602574">
        <w:rPr>
          <w:rStyle w:val="normaltextrun"/>
        </w:rPr>
        <w:t xml:space="preserve">See section 2.3.2 on how the problem would evolve and </w:t>
      </w:r>
      <w:r w:rsidRPr="00602574">
        <w:t>the more detailed findings of the evaluation report in section 2.2.1 and 2.2.2 that further describe the baseline with supporting evidence.</w:t>
      </w:r>
    </w:p>
  </w:footnote>
  <w:footnote w:id="201">
    <w:p w14:paraId="381697D3" w14:textId="191859DF" w:rsidR="005F31C9" w:rsidRPr="00BF50BF" w:rsidRDefault="005F31C9" w:rsidP="006A3DDC">
      <w:pPr>
        <w:pStyle w:val="FootnoteText"/>
        <w:spacing w:line="240" w:lineRule="auto"/>
        <w:jc w:val="left"/>
        <w:rPr>
          <w:lang w:val="en-IE"/>
        </w:rPr>
      </w:pPr>
      <w:r w:rsidRPr="00BF50BF">
        <w:rPr>
          <w:rStyle w:val="FootnoteReference"/>
        </w:rPr>
        <w:footnoteRef/>
      </w:r>
      <w:r w:rsidRPr="00BF50BF">
        <w:rPr>
          <w:lang w:val="en-IE"/>
        </w:rPr>
        <w:t xml:space="preserve"> </w:t>
      </w:r>
      <w:hyperlink r:id="rId63" w:history="1">
        <w:r w:rsidRPr="00BF50BF">
          <w:rPr>
            <w:rStyle w:val="Hyperlink"/>
            <w:lang w:val="en-IE"/>
          </w:rPr>
          <w:t>https://www.berec.europa.eu/en/document-categories/berec/regulatory-best-practices/guidelines/berec-guidelines-for-the-notification-template-pursuant-to-article-12-paragraph-4-of-directive-20181972-of-the-european-parliament-and-of-the-council</w:t>
        </w:r>
      </w:hyperlink>
      <w:r w:rsidR="002D626A" w:rsidRPr="00BF50BF">
        <w:rPr>
          <w:lang w:val="en-IE"/>
        </w:rPr>
        <w:t>.</w:t>
      </w:r>
    </w:p>
  </w:footnote>
  <w:footnote w:id="202">
    <w:p w14:paraId="062D736F" w14:textId="354533F8" w:rsidR="0089092C" w:rsidRPr="00BF50BF" w:rsidRDefault="0089092C" w:rsidP="006A3DDC">
      <w:pPr>
        <w:pStyle w:val="FootnoteText"/>
        <w:spacing w:line="240" w:lineRule="auto"/>
        <w:rPr>
          <w:lang w:val="en-IE"/>
        </w:rPr>
      </w:pPr>
      <w:r w:rsidRPr="00BF50BF">
        <w:rPr>
          <w:rStyle w:val="FootnoteReference"/>
        </w:rPr>
        <w:footnoteRef/>
      </w:r>
      <w:r w:rsidRPr="00BF50BF">
        <w:rPr>
          <w:lang w:val="en-IE"/>
        </w:rPr>
        <w:t xml:space="preserve"> </w:t>
      </w:r>
      <w:hyperlink r:id="rId64" w:history="1">
        <w:r w:rsidR="00CB16E8" w:rsidRPr="00BF50BF">
          <w:rPr>
            <w:rStyle w:val="Hyperlink"/>
            <w:lang w:val="en-IE"/>
          </w:rPr>
          <w:t>https://www.berec.europa.eu/en/tools/general-authorization-database</w:t>
        </w:r>
      </w:hyperlink>
      <w:r w:rsidR="002D626A" w:rsidRPr="00BF50BF">
        <w:rPr>
          <w:lang w:val="en-IE"/>
        </w:rPr>
        <w:t>.</w:t>
      </w:r>
    </w:p>
  </w:footnote>
  <w:footnote w:id="203">
    <w:p w14:paraId="5AB1F0D3" w14:textId="6814DC56" w:rsidR="002A3EB4" w:rsidRPr="00BF50BF" w:rsidRDefault="002A3EB4" w:rsidP="006A3DDC">
      <w:pPr>
        <w:pStyle w:val="FootnoteText"/>
        <w:spacing w:line="240" w:lineRule="auto"/>
        <w:jc w:val="left"/>
      </w:pPr>
      <w:r w:rsidRPr="00BF50BF">
        <w:rPr>
          <w:rStyle w:val="FootnoteReference"/>
        </w:rPr>
        <w:footnoteRef/>
      </w:r>
      <w:r w:rsidRPr="00BF50BF">
        <w:t xml:space="preserve"> Opinion on Assessment of Different Possible Scenarios for the Use of the Frequency Bands 1980–2010</w:t>
      </w:r>
      <w:r w:rsidRPr="00BF50BF">
        <w:rPr>
          <w:rFonts w:ascii="Arial" w:hAnsi="Arial" w:cs="Arial"/>
        </w:rPr>
        <w:t> </w:t>
      </w:r>
      <w:r w:rsidRPr="00BF50BF">
        <w:t>MHz and 2170</w:t>
      </w:r>
      <w:r w:rsidRPr="00BF50BF">
        <w:rPr>
          <w:rFonts w:ascii="Aptos" w:hAnsi="Aptos" w:cs="Aptos"/>
        </w:rPr>
        <w:t>–</w:t>
      </w:r>
      <w:r w:rsidRPr="00BF50BF">
        <w:t>2200</w:t>
      </w:r>
      <w:r w:rsidRPr="00BF50BF">
        <w:rPr>
          <w:rFonts w:ascii="Arial" w:hAnsi="Arial" w:cs="Arial"/>
        </w:rPr>
        <w:t> </w:t>
      </w:r>
      <w:r w:rsidRPr="00BF50BF">
        <w:t>MHz by the Mobile Satellite Services Beyond 2027 (</w:t>
      </w:r>
      <w:hyperlink r:id="rId65" w:history="1">
        <w:r w:rsidRPr="00BF50BF">
          <w:rPr>
            <w:rStyle w:val="Hyperlink"/>
          </w:rPr>
          <w:t>RSPG24</w:t>
        </w:r>
        <w:r w:rsidRPr="00BF50BF">
          <w:rPr>
            <w:rStyle w:val="Hyperlink"/>
            <w:rFonts w:ascii="Cambria Math" w:hAnsi="Cambria Math" w:cs="Cambria Math"/>
          </w:rPr>
          <w:t>‑</w:t>
        </w:r>
        <w:r w:rsidRPr="00BF50BF">
          <w:rPr>
            <w:rStyle w:val="Hyperlink"/>
          </w:rPr>
          <w:t>007 FINAL</w:t>
        </w:r>
      </w:hyperlink>
      <w:r w:rsidRPr="00BF50BF">
        <w:t>).</w:t>
      </w:r>
    </w:p>
  </w:footnote>
  <w:footnote w:id="204">
    <w:p w14:paraId="497BF0E1" w14:textId="5A4BF909" w:rsidR="00697FA3" w:rsidRPr="00BF50BF" w:rsidRDefault="00697FA3" w:rsidP="006A3DDC">
      <w:pPr>
        <w:pStyle w:val="FootnoteText"/>
        <w:spacing w:line="240" w:lineRule="auto"/>
        <w:jc w:val="left"/>
      </w:pPr>
      <w:r w:rsidRPr="00BF50BF">
        <w:rPr>
          <w:rStyle w:val="FootnoteReference"/>
        </w:rPr>
        <w:footnoteRef/>
      </w:r>
      <w:r w:rsidRPr="00BF50BF">
        <w:t xml:space="preserve"> </w:t>
      </w:r>
      <w:r w:rsidR="00047345" w:rsidRPr="00BF50BF">
        <w:rPr>
          <w:lang w:val="en-IE"/>
        </w:rPr>
        <w:t>Detecon</w:t>
      </w:r>
      <w:r w:rsidR="00047345" w:rsidRPr="00BF50BF">
        <w:t xml:space="preserve"> (2025). </w:t>
      </w:r>
      <w:hyperlink r:id="rId66" w:history="1">
        <w:r w:rsidR="00047345" w:rsidRPr="00BF50BF">
          <w:rPr>
            <w:rStyle w:val="Hyperlink"/>
          </w:rPr>
          <w:t>Study on Mobile Satellite Services (MSS) in the 2</w:t>
        </w:r>
        <w:r w:rsidR="00047345" w:rsidRPr="00BF50BF">
          <w:rPr>
            <w:rStyle w:val="Hyperlink"/>
            <w:rFonts w:ascii="Arial" w:hAnsi="Arial" w:cs="Arial"/>
          </w:rPr>
          <w:t> </w:t>
        </w:r>
        <w:r w:rsidR="00047345" w:rsidRPr="00BF50BF">
          <w:rPr>
            <w:rStyle w:val="Hyperlink"/>
          </w:rPr>
          <w:t>GHz band in the EU: Implementation of the current regulatory framework and an overview of the satellite connectivity market, study for the European Commission</w:t>
        </w:r>
      </w:hyperlink>
      <w:r w:rsidR="0003255F" w:rsidRPr="00BF50BF">
        <w:t>.</w:t>
      </w:r>
    </w:p>
  </w:footnote>
  <w:footnote w:id="205">
    <w:p w14:paraId="6F6A91C2" w14:textId="740A66C0" w:rsidR="00E841A0" w:rsidRPr="00BF50BF" w:rsidRDefault="00E841A0" w:rsidP="006A3DDC">
      <w:pPr>
        <w:pStyle w:val="FootnoteText"/>
        <w:spacing w:line="240" w:lineRule="auto"/>
      </w:pPr>
      <w:r w:rsidRPr="00BF50BF">
        <w:rPr>
          <w:rStyle w:val="FootnoteReference"/>
        </w:rPr>
        <w:footnoteRef/>
      </w:r>
      <w:r w:rsidRPr="00BF50BF">
        <w:t xml:space="preserve"> S</w:t>
      </w:r>
      <w:r w:rsidR="00C62EE5">
        <w:t>tudy on Digital Single Market</w:t>
      </w:r>
      <w:r w:rsidRPr="00BF50BF">
        <w:t>.</w:t>
      </w:r>
    </w:p>
  </w:footnote>
  <w:footnote w:id="206">
    <w:p w14:paraId="32FC2249" w14:textId="623DBC2A" w:rsidR="007C14E2" w:rsidRPr="00BF50BF" w:rsidRDefault="001E1C1F" w:rsidP="006A3DDC">
      <w:pPr>
        <w:pStyle w:val="FootnoteText"/>
        <w:spacing w:line="240" w:lineRule="auto"/>
        <w:rPr>
          <w:lang w:val="en-IE"/>
        </w:rPr>
      </w:pPr>
      <w:r w:rsidRPr="00BE337F">
        <w:rPr>
          <w:rStyle w:val="FootnoteReference"/>
        </w:rPr>
        <w:t>205</w:t>
      </w:r>
      <w:r>
        <w:rPr>
          <w:lang w:val="en-IE"/>
        </w:rPr>
        <w:t xml:space="preserve"> </w:t>
      </w:r>
      <w:r w:rsidR="007C14E2" w:rsidRPr="00BF50BF">
        <w:rPr>
          <w:lang w:val="en-IE"/>
        </w:rPr>
        <w:t xml:space="preserve">See Detecon data presented in section </w:t>
      </w:r>
      <w:r w:rsidR="00E27BA3" w:rsidRPr="00BF50BF">
        <w:rPr>
          <w:lang w:val="en-IE"/>
        </w:rPr>
        <w:t>2.1.3.2.</w:t>
      </w:r>
      <w:r w:rsidR="006B1D33" w:rsidRPr="00BF50BF">
        <w:rPr>
          <w:lang w:val="en-IE"/>
        </w:rPr>
        <w:t xml:space="preserve"> on </w:t>
      </w:r>
      <w:r w:rsidR="006B1D33" w:rsidRPr="00BF50BF">
        <w:t>number of launched and planned satellite constellations per country/region</w:t>
      </w:r>
      <w:r w:rsidR="0087452A" w:rsidRPr="00BF50BF">
        <w:t>.</w:t>
      </w:r>
    </w:p>
  </w:footnote>
  <w:footnote w:id="207">
    <w:p w14:paraId="45C649AD" w14:textId="0AFE62BA" w:rsidR="00CE2D27" w:rsidRPr="00BF50BF" w:rsidRDefault="00CE2D27" w:rsidP="006A3DDC">
      <w:pPr>
        <w:pStyle w:val="FootnoteText"/>
        <w:spacing w:line="240" w:lineRule="auto"/>
        <w:rPr>
          <w:lang w:val="en-IE"/>
        </w:rPr>
      </w:pPr>
      <w:r w:rsidRPr="00BF50BF">
        <w:rPr>
          <w:rStyle w:val="FootnoteReference"/>
        </w:rPr>
        <w:footnoteRef/>
      </w:r>
      <w:r w:rsidR="008739DA" w:rsidRPr="00BF50BF">
        <w:t>A 2025 report by PEI (Polish Economic Institute) on the EU telecommunications market states: ‘the low level of R&amp;D and innovation spending (…) translates into the attractiveness of telcos as workplaces (…)’ and notes that weak innovation may hinder entry into new business areas. The report links fragmentation to this problem by explaining how the sector’s structural issues lower returns and reduce funds available for innovative activities.</w:t>
      </w:r>
      <w:r w:rsidR="0034586C" w:rsidRPr="00BF50BF">
        <w:t xml:space="preserve"> </w:t>
      </w:r>
      <w:hyperlink r:id="rId67" w:history="1">
        <w:r w:rsidR="0034586C" w:rsidRPr="00BF50BF">
          <w:rPr>
            <w:rStyle w:val="Hyperlink"/>
          </w:rPr>
          <w:t>https://pie.net.pl/wp-content/uploads/2025/01/PEI_Report_European_telecommunicatios_market.pdf</w:t>
        </w:r>
      </w:hyperlink>
      <w:r w:rsidR="009E42C4">
        <w:t>.</w:t>
      </w:r>
      <w:r w:rsidR="0034586C" w:rsidRPr="00BF50BF">
        <w:t xml:space="preserve"> </w:t>
      </w:r>
    </w:p>
  </w:footnote>
  <w:footnote w:id="208">
    <w:p w14:paraId="2FAA15A1" w14:textId="72D62B4E" w:rsidR="00141EED" w:rsidRPr="00BF50BF" w:rsidRDefault="00141EED" w:rsidP="006A3DDC">
      <w:pPr>
        <w:pStyle w:val="FootnoteText"/>
        <w:spacing w:line="240" w:lineRule="auto"/>
        <w:rPr>
          <w:rFonts w:eastAsia="Times New Roman_MSFontService"/>
        </w:rPr>
      </w:pPr>
      <w:r w:rsidRPr="00BF50BF">
        <w:rPr>
          <w:rStyle w:val="FootnoteReference"/>
        </w:rPr>
        <w:footnoteRef/>
      </w:r>
      <w:r w:rsidRPr="00BF50BF">
        <w:t xml:space="preserve"> </w:t>
      </w:r>
      <w:r w:rsidR="00133096" w:rsidRPr="00BF50BF">
        <w:t>According to</w:t>
      </w:r>
      <w:r w:rsidRPr="00BF50BF">
        <w:t xml:space="preserve"> </w:t>
      </w:r>
      <w:r w:rsidRPr="00BF50BF">
        <w:rPr>
          <w:rFonts w:eastAsia="Times New Roman_MSFontService"/>
        </w:rPr>
        <w:t>ECIPE, 2025</w:t>
      </w:r>
      <w:r w:rsidR="007B71F7" w:rsidRPr="00BF50BF">
        <w:rPr>
          <w:rFonts w:eastAsia="Times New Roman_MSFontService"/>
        </w:rPr>
        <w:t xml:space="preserve"> report ‘Strengthening the Supply-Side </w:t>
      </w:r>
      <w:r w:rsidR="00C21455" w:rsidRPr="00BF50BF">
        <w:rPr>
          <w:rFonts w:eastAsia="Times New Roman_MSFontService"/>
        </w:rPr>
        <w:t xml:space="preserve">Innovation in the EU </w:t>
      </w:r>
      <w:r w:rsidR="008D24FF" w:rsidRPr="00BF50BF">
        <w:rPr>
          <w:rFonts w:eastAsia="Times New Roman_MSFontService"/>
        </w:rPr>
        <w:t>Telecommunications</w:t>
      </w:r>
      <w:r w:rsidR="00B97E19" w:rsidRPr="00BF50BF">
        <w:rPr>
          <w:rFonts w:eastAsia="Times New Roman_MSFontService"/>
        </w:rPr>
        <w:t>’</w:t>
      </w:r>
      <w:r w:rsidR="008D24FF" w:rsidRPr="00BF50BF">
        <w:rPr>
          <w:rFonts w:eastAsia="Times New Roman_MSFontService"/>
        </w:rPr>
        <w:t xml:space="preserve"> </w:t>
      </w:r>
      <w:r w:rsidR="00B97E19" w:rsidRPr="00BF50BF">
        <w:rPr>
          <w:rFonts w:eastAsia="Times New Roman_MSFontService"/>
        </w:rPr>
        <w:t xml:space="preserve">EU-based telecom companies </w:t>
      </w:r>
      <w:r w:rsidR="0E95A705" w:rsidRPr="00BF50BF">
        <w:rPr>
          <w:rFonts w:eastAsia="Times New Roman_MSFontService"/>
        </w:rPr>
        <w:t>spent</w:t>
      </w:r>
      <w:r w:rsidR="008B3E00" w:rsidRPr="00BF50BF">
        <w:rPr>
          <w:rFonts w:eastAsia="Times New Roman_MSFontService"/>
        </w:rPr>
        <w:t xml:space="preserve"> </w:t>
      </w:r>
      <w:r w:rsidR="00B97E19" w:rsidRPr="00BF50BF">
        <w:rPr>
          <w:rFonts w:eastAsia="Times New Roman_MSFontService"/>
        </w:rPr>
        <w:t>€</w:t>
      </w:r>
      <w:r w:rsidR="0E95A705" w:rsidRPr="00BF50BF">
        <w:rPr>
          <w:rFonts w:eastAsia="Times New Roman_MSFontService"/>
        </w:rPr>
        <w:t>81 billion</w:t>
      </w:r>
      <w:r w:rsidR="00B97E19" w:rsidRPr="00BF50BF">
        <w:rPr>
          <w:rFonts w:eastAsia="Times New Roman_MSFontService"/>
        </w:rPr>
        <w:t xml:space="preserve"> on R&amp;D in 2023, but their share in global telecom R&amp;D has dropped significantly: from 44% in 2003 to just 16% in 2023.</w:t>
      </w:r>
      <w:r w:rsidR="00DD41F3" w:rsidRPr="00BF50BF">
        <w:t xml:space="preserve"> </w:t>
      </w:r>
      <w:r w:rsidR="00DD41F3" w:rsidRPr="00BF50BF">
        <w:rPr>
          <w:rFonts w:eastAsia="Times New Roman_MSFontService"/>
        </w:rPr>
        <w:t>This decline suggests that EU telecom firms’ ability to scale R&amp;D is being outpaced by non‑EU competitors, which could be linked to fragmentation (less scale, less efficient investment).</w:t>
      </w:r>
    </w:p>
  </w:footnote>
  <w:footnote w:id="209">
    <w:p w14:paraId="42B728CD" w14:textId="462C19C1" w:rsidR="00EC5A0E" w:rsidRPr="00BF50BF" w:rsidRDefault="00EC5A0E" w:rsidP="006A3DDC">
      <w:pPr>
        <w:pStyle w:val="FootnoteText"/>
        <w:spacing w:line="240" w:lineRule="auto"/>
      </w:pPr>
      <w:r w:rsidRPr="00BF50BF">
        <w:rPr>
          <w:rStyle w:val="FootnoteReference"/>
        </w:rPr>
        <w:footnoteRef/>
      </w:r>
      <w:r w:rsidR="002A272E" w:rsidRPr="00BF50BF">
        <w:t xml:space="preserve"> </w:t>
      </w:r>
      <w:r w:rsidR="00287EA1" w:rsidRPr="00BF50BF">
        <w:t>See</w:t>
      </w:r>
      <w:r w:rsidR="002A272E" w:rsidRPr="00BF50BF">
        <w:t xml:space="preserve"> </w:t>
      </w:r>
      <w:r w:rsidRPr="00BF50BF">
        <w:rPr>
          <w:rFonts w:eastAsia="Times New Roman_MSFontService"/>
        </w:rPr>
        <w:t>A</w:t>
      </w:r>
      <w:r w:rsidR="002A272E" w:rsidRPr="00BF50BF">
        <w:rPr>
          <w:rFonts w:eastAsia="Times New Roman_MSFontService"/>
        </w:rPr>
        <w:t xml:space="preserve">ustralian </w:t>
      </w:r>
      <w:r w:rsidRPr="00BF50BF">
        <w:rPr>
          <w:rFonts w:eastAsia="Times New Roman_MSFontService"/>
        </w:rPr>
        <w:t>C</w:t>
      </w:r>
      <w:r w:rsidR="002A272E" w:rsidRPr="00BF50BF">
        <w:rPr>
          <w:rFonts w:eastAsia="Times New Roman_MSFontService"/>
        </w:rPr>
        <w:t xml:space="preserve">ommunications and </w:t>
      </w:r>
      <w:r w:rsidRPr="00BF50BF">
        <w:rPr>
          <w:rFonts w:eastAsia="Times New Roman_MSFontService"/>
        </w:rPr>
        <w:t>M</w:t>
      </w:r>
      <w:r w:rsidR="002A272E" w:rsidRPr="00BF50BF">
        <w:rPr>
          <w:rFonts w:eastAsia="Times New Roman_MSFontService"/>
        </w:rPr>
        <w:t xml:space="preserve">edia </w:t>
      </w:r>
      <w:r w:rsidRPr="00BF50BF">
        <w:rPr>
          <w:rFonts w:eastAsia="Times New Roman_MSFontService"/>
        </w:rPr>
        <w:t>A</w:t>
      </w:r>
      <w:r w:rsidR="002A272E" w:rsidRPr="00BF50BF">
        <w:rPr>
          <w:rFonts w:eastAsia="Times New Roman_MSFontService"/>
        </w:rPr>
        <w:t xml:space="preserve">uthority 2024 report </w:t>
      </w:r>
      <w:r w:rsidR="00536937" w:rsidRPr="00BF50BF">
        <w:rPr>
          <w:rFonts w:eastAsia="Times New Roman_MSFontService"/>
        </w:rPr>
        <w:t>on ‘International benchmarking study of spectrum utilisation requirements in wireless broadband licences’</w:t>
      </w:r>
      <w:r w:rsidR="002A272E" w:rsidRPr="00BF50BF">
        <w:t xml:space="preserve"> </w:t>
      </w:r>
      <w:hyperlink r:id="rId68" w:history="1">
        <w:r w:rsidR="002A272E" w:rsidRPr="00BF50BF">
          <w:rPr>
            <w:rStyle w:val="Hyperlink"/>
            <w:rFonts w:eastAsia="Times New Roman_MSFontService"/>
          </w:rPr>
          <w:t>https://www.acma.gov.au/publications/2024-12/report/policy-tracker-report-international-benchmarking-study-spectrum-utilisation-requirements-wireless-broadband-licences</w:t>
        </w:r>
      </w:hyperlink>
      <w:r w:rsidR="00287EA1" w:rsidRPr="00BF50BF">
        <w:rPr>
          <w:rFonts w:eastAsia="Times New Roman_MSFontService"/>
        </w:rPr>
        <w:t xml:space="preserve"> and Korean</w:t>
      </w:r>
      <w:r w:rsidR="003534B0" w:rsidRPr="00BF50BF">
        <w:rPr>
          <w:rFonts w:eastAsia="Times New Roman_MSFontService"/>
        </w:rPr>
        <w:t xml:space="preserve">“5G+ Spectrum Plan” by </w:t>
      </w:r>
      <w:r w:rsidR="00AE13D9" w:rsidRPr="00BF50BF">
        <w:rPr>
          <w:rFonts w:eastAsia="Times New Roman_MSFontService"/>
        </w:rPr>
        <w:t>the Ministry of Science and ICT</w:t>
      </w:r>
      <w:r w:rsidR="000F634E" w:rsidRPr="00BF50BF">
        <w:rPr>
          <w:rFonts w:eastAsia="Times New Roman_MSFontService"/>
        </w:rPr>
        <w:t xml:space="preserve"> adopted in 2019</w:t>
      </w:r>
      <w:r w:rsidR="00611C3D" w:rsidRPr="00BF50BF">
        <w:rPr>
          <w:rFonts w:eastAsia="Times New Roman_MSFontService"/>
        </w:rPr>
        <w:t xml:space="preserve"> </w:t>
      </w:r>
      <w:r w:rsidR="00C711B7" w:rsidRPr="00BF50BF">
        <w:rPr>
          <w:rFonts w:eastAsia="Times New Roman_MSFontService"/>
        </w:rPr>
        <w:t xml:space="preserve">: </w:t>
      </w:r>
      <w:hyperlink r:id="rId69" w:history="1">
        <w:r w:rsidR="00C711B7" w:rsidRPr="00F35F41">
          <w:rPr>
            <w:rStyle w:val="Hyperlink"/>
            <w:rFonts w:eastAsia="Times New Roman_MSFontService"/>
          </w:rPr>
          <w:t>https://smartcity.go.kr/en/2019/12/05</w:t>
        </w:r>
      </w:hyperlink>
      <w:r w:rsidR="00F21B8B" w:rsidRPr="00BF50BF">
        <w:rPr>
          <w:rFonts w:eastAsia="Times New Roman_MSFontService"/>
        </w:rPr>
        <w:t>.</w:t>
      </w:r>
      <w:r w:rsidR="00AE13D9" w:rsidRPr="00BF50BF">
        <w:rPr>
          <w:rFonts w:eastAsia="Times New Roman_MSFontService"/>
        </w:rPr>
        <w:t xml:space="preserve"> </w:t>
      </w:r>
    </w:p>
  </w:footnote>
  <w:footnote w:id="210">
    <w:p w14:paraId="2A4C8819" w14:textId="20566A2A" w:rsidR="00F2025E" w:rsidRPr="00BF50BF" w:rsidRDefault="00F2025E" w:rsidP="006A3DDC">
      <w:pPr>
        <w:pStyle w:val="FootnoteText"/>
        <w:spacing w:line="240" w:lineRule="auto"/>
        <w:jc w:val="left"/>
      </w:pPr>
      <w:r w:rsidRPr="00BF50BF">
        <w:rPr>
          <w:rStyle w:val="FootnoteReference"/>
        </w:rPr>
        <w:footnoteRef/>
      </w:r>
      <w:r w:rsidRPr="00BF50BF">
        <w:t xml:space="preserve"> </w:t>
      </w:r>
      <w:r w:rsidR="00BF51C9" w:rsidRPr="00BF50BF">
        <w:t>e.g. RSPG, ENISA, NIS Cooperation Group, EDIB, DMA High Level Group.</w:t>
      </w:r>
    </w:p>
  </w:footnote>
  <w:footnote w:id="211">
    <w:p w14:paraId="66D56FC0" w14:textId="77777777" w:rsidR="00753EC0" w:rsidRPr="00BF50BF" w:rsidRDefault="00753EC0" w:rsidP="006A3DDC">
      <w:pPr>
        <w:spacing w:after="0" w:line="240" w:lineRule="auto"/>
        <w:rPr>
          <w:rFonts w:eastAsia="Times New Roman"/>
          <w:sz w:val="20"/>
          <w:szCs w:val="20"/>
        </w:rPr>
      </w:pPr>
      <w:r w:rsidRPr="00BF50BF">
        <w:rPr>
          <w:sz w:val="20"/>
          <w:szCs w:val="20"/>
          <w:vertAlign w:val="superscript"/>
        </w:rPr>
        <w:footnoteRef/>
      </w:r>
      <w:r w:rsidRPr="00BF50BF">
        <w:rPr>
          <w:sz w:val="20"/>
          <w:szCs w:val="20"/>
          <w:vertAlign w:val="superscript"/>
        </w:rPr>
        <w:t xml:space="preserve"> </w:t>
      </w:r>
      <w:r w:rsidRPr="00BF50BF">
        <w:rPr>
          <w:sz w:val="20"/>
          <w:szCs w:val="20"/>
        </w:rPr>
        <w:t>This measure echoe</w:t>
      </w:r>
      <w:r w:rsidRPr="00BF50BF">
        <w:rPr>
          <w:rFonts w:ascii="Times New Roman_MSFontService" w:eastAsia="Times New Roman_MSFontService" w:hAnsi="Times New Roman_MSFontService" w:cs="Times New Roman_MSFontService"/>
          <w:sz w:val="20"/>
          <w:szCs w:val="20"/>
        </w:rPr>
        <w:t>s the proposal in the Draghi report to harmonise EU-w</w:t>
      </w:r>
      <w:r w:rsidRPr="00BF50BF">
        <w:rPr>
          <w:rFonts w:eastAsia="Times New Roman"/>
          <w:sz w:val="20"/>
          <w:szCs w:val="20"/>
        </w:rPr>
        <w:t>ide spectrum licensing rules and processes, including for satellite uses, and orchestrate EU-wide auction design features to create scale benefits and incentivise the consolidation of continental digital networks.</w:t>
      </w:r>
    </w:p>
  </w:footnote>
  <w:footnote w:id="212">
    <w:p w14:paraId="43A71712" w14:textId="77777777" w:rsidR="00AF0AA9" w:rsidRPr="00BF50BF" w:rsidRDefault="00AF0AA9" w:rsidP="00AF0AA9">
      <w:pPr>
        <w:pStyle w:val="FootnoteText"/>
        <w:spacing w:line="240" w:lineRule="auto"/>
        <w:rPr>
          <w:lang w:val="en-IE"/>
        </w:rPr>
      </w:pPr>
      <w:r w:rsidRPr="00BF50BF">
        <w:rPr>
          <w:rStyle w:val="FootnoteReference"/>
        </w:rPr>
        <w:footnoteRef/>
      </w:r>
      <w:r w:rsidRPr="00BF50BF">
        <w:t xml:space="preserve"> </w:t>
      </w:r>
      <w:r w:rsidRPr="00BF50BF">
        <w:rPr>
          <w:lang w:val="en-IE"/>
        </w:rPr>
        <w:t>See BEREC input.</w:t>
      </w:r>
    </w:p>
  </w:footnote>
  <w:footnote w:id="213">
    <w:p w14:paraId="7C2CD697" w14:textId="2F05CD4E" w:rsidR="00AF0AA9" w:rsidRPr="00BF50BF" w:rsidRDefault="00AF0AA9" w:rsidP="00AF0AA9">
      <w:pPr>
        <w:pStyle w:val="FootnoteText"/>
        <w:spacing w:line="240" w:lineRule="auto"/>
        <w:rPr>
          <w:lang w:val="en-IE"/>
        </w:rPr>
      </w:pPr>
      <w:r w:rsidRPr="00BF50BF">
        <w:rPr>
          <w:rStyle w:val="FootnoteReference"/>
        </w:rPr>
        <w:footnoteRef/>
      </w:r>
      <w:r w:rsidRPr="00BF50BF">
        <w:t xml:space="preserve"> </w:t>
      </w:r>
      <w:r w:rsidRPr="00BF50BF">
        <w:rPr>
          <w:lang w:val="en-IE"/>
        </w:rPr>
        <w:t xml:space="preserve">See </w:t>
      </w:r>
      <w:r w:rsidR="00AA7908">
        <w:rPr>
          <w:lang w:val="en-IE"/>
        </w:rPr>
        <w:t>s</w:t>
      </w:r>
      <w:r w:rsidR="00AA7908" w:rsidRPr="00BF50BF">
        <w:rPr>
          <w:lang w:val="en-IE"/>
        </w:rPr>
        <w:t xml:space="preserve">ection </w:t>
      </w:r>
      <w:r w:rsidRPr="00BF50BF">
        <w:rPr>
          <w:lang w:val="en-IE"/>
        </w:rPr>
        <w:t>2.2.2.3 for FCC streamlined and harmonised license renewal and service continuity rules</w:t>
      </w:r>
      <w:r>
        <w:rPr>
          <w:lang w:val="en-IE"/>
        </w:rPr>
        <w:t>.</w:t>
      </w:r>
    </w:p>
  </w:footnote>
  <w:footnote w:id="214">
    <w:p w14:paraId="6DF9297E" w14:textId="77777777" w:rsidR="00A50E0B" w:rsidRPr="00BF50BF" w:rsidRDefault="00A50E0B" w:rsidP="006A3DDC">
      <w:pPr>
        <w:pStyle w:val="FootnoteText"/>
        <w:spacing w:line="240" w:lineRule="auto"/>
      </w:pPr>
      <w:r w:rsidRPr="00BF50BF">
        <w:rPr>
          <w:rStyle w:val="FootnoteReference"/>
        </w:rPr>
        <w:footnoteRef/>
      </w:r>
      <w:r w:rsidRPr="00BF50BF">
        <w:t xml:space="preserve"> SQW (2013), UK Broadband Impact Study. The study looked at the impact of faster broadband speeds being available from 2008 onwards. 2008 was the launch date for Virgin’s 50Mbit/s service.</w:t>
      </w:r>
    </w:p>
  </w:footnote>
  <w:footnote w:id="215">
    <w:p w14:paraId="0AB9B5F8" w14:textId="77777777" w:rsidR="00A50E0B" w:rsidRPr="00BF50BF" w:rsidRDefault="00A50E0B" w:rsidP="006A3DDC">
      <w:pPr>
        <w:pStyle w:val="FootnoteText"/>
        <w:spacing w:line="240" w:lineRule="auto"/>
      </w:pPr>
      <w:r w:rsidRPr="00BF50BF">
        <w:rPr>
          <w:rStyle w:val="FootnoteReference"/>
        </w:rPr>
        <w:footnoteRef/>
      </w:r>
      <w:r w:rsidRPr="00BF50BF">
        <w:t xml:space="preserve"> Forzati, M. and C. Mattson (2014), FTTH-enabled digital home care – A study of economic gains, Department for Networking and Transmission, Acreo AB.</w:t>
      </w:r>
    </w:p>
  </w:footnote>
  <w:footnote w:id="216">
    <w:p w14:paraId="1186B3DA" w14:textId="77777777" w:rsidR="00A50E0B" w:rsidRPr="00BF50BF" w:rsidRDefault="00A50E0B" w:rsidP="006A3DDC">
      <w:pPr>
        <w:pStyle w:val="FootnoteText"/>
        <w:spacing w:line="240" w:lineRule="auto"/>
        <w:rPr>
          <w:lang w:val="en-IE"/>
        </w:rPr>
      </w:pPr>
      <w:r w:rsidRPr="00BF50BF">
        <w:rPr>
          <w:rStyle w:val="FootnoteReference"/>
        </w:rPr>
        <w:footnoteRef/>
      </w:r>
      <w:r w:rsidRPr="00BF50BF">
        <w:t xml:space="preserve"> The Wall Street Journal, America Is Wrapped in Miles of Toxic Lead Cables, 9 July 2023.</w:t>
      </w:r>
    </w:p>
  </w:footnote>
  <w:footnote w:id="217">
    <w:p w14:paraId="77AE73FB" w14:textId="77777777" w:rsidR="00A50E0B" w:rsidRPr="00BF50BF" w:rsidRDefault="00A50E0B" w:rsidP="006A3DDC">
      <w:pPr>
        <w:pStyle w:val="FootnoteText"/>
        <w:spacing w:line="240" w:lineRule="auto"/>
        <w:jc w:val="left"/>
        <w:rPr>
          <w:lang w:val="de-DE"/>
        </w:rPr>
      </w:pPr>
      <w:r w:rsidRPr="00BF50BF">
        <w:rPr>
          <w:rStyle w:val="FootnoteReference"/>
        </w:rPr>
        <w:footnoteRef/>
      </w:r>
      <w:r w:rsidRPr="00BF50BF">
        <w:rPr>
          <w:lang w:val="de-AT"/>
        </w:rPr>
        <w:t xml:space="preserve"> FinanzNachrichten.de, RESEARCH/Berenberg: Altkabel-Blei geringeres Telekom-Problem in Europa, 17 July 2023.</w:t>
      </w:r>
    </w:p>
  </w:footnote>
  <w:footnote w:id="218">
    <w:p w14:paraId="23161B86" w14:textId="77777777" w:rsidR="00226C40" w:rsidRPr="00BF50BF" w:rsidRDefault="00226C40" w:rsidP="006A3DDC">
      <w:pPr>
        <w:pStyle w:val="FootnoteText"/>
        <w:spacing w:line="240" w:lineRule="auto"/>
      </w:pPr>
      <w:r w:rsidRPr="00BF50BF">
        <w:rPr>
          <w:rStyle w:val="FootnoteReference"/>
        </w:rPr>
        <w:footnoteRef/>
      </w:r>
      <w:r w:rsidRPr="00BF50BF">
        <w:t xml:space="preserve"> The projected values were calculated by WIK based on its own model.</w:t>
      </w:r>
    </w:p>
  </w:footnote>
  <w:footnote w:id="219">
    <w:p w14:paraId="648A3845" w14:textId="77777777" w:rsidR="000729BA" w:rsidRPr="00BF50BF" w:rsidRDefault="000729BA" w:rsidP="006A3DDC">
      <w:pPr>
        <w:pStyle w:val="FootnoteText"/>
        <w:spacing w:line="240" w:lineRule="auto"/>
      </w:pPr>
      <w:r w:rsidRPr="00BF50BF">
        <w:rPr>
          <w:rStyle w:val="FootnoteReference"/>
        </w:rPr>
        <w:footnoteRef/>
      </w:r>
      <w:r w:rsidRPr="00BF50BF">
        <w:t xml:space="preserve"> Fibre coverage </w:t>
      </w:r>
      <w:r w:rsidR="001140D7" w:rsidRPr="00BF50BF">
        <w:t>figures refer to the share of households passed by a fibre network.</w:t>
      </w:r>
      <w:r w:rsidRPr="00BF50BF">
        <w:t xml:space="preserve"> </w:t>
      </w:r>
    </w:p>
  </w:footnote>
  <w:footnote w:id="220">
    <w:p w14:paraId="32E99817" w14:textId="77777777" w:rsidR="00B26E99" w:rsidRPr="00BF50BF" w:rsidRDefault="00B26E99" w:rsidP="006A3DDC">
      <w:pPr>
        <w:pStyle w:val="FootnoteText"/>
        <w:spacing w:line="240" w:lineRule="auto"/>
      </w:pPr>
      <w:r w:rsidRPr="00BF50BF">
        <w:rPr>
          <w:rStyle w:val="FootnoteReference"/>
        </w:rPr>
        <w:footnoteRef/>
      </w:r>
      <w:r w:rsidRPr="00BF50BF">
        <w:t xml:space="preserve"> Fibre take-up figures refer to the share of FTTH subscribers </w:t>
      </w:r>
      <w:r w:rsidR="00744F36" w:rsidRPr="00BF50BF">
        <w:t xml:space="preserve">among </w:t>
      </w:r>
      <w:r w:rsidR="005B3E46" w:rsidRPr="00BF50BF">
        <w:t>all households.</w:t>
      </w:r>
    </w:p>
  </w:footnote>
  <w:footnote w:id="221">
    <w:p w14:paraId="221D25BD" w14:textId="14F5E204" w:rsidR="007C2BDE" w:rsidRPr="00BF50BF" w:rsidRDefault="007C2BDE" w:rsidP="006A3DDC">
      <w:pPr>
        <w:pStyle w:val="FootnoteText"/>
        <w:spacing w:line="240" w:lineRule="auto"/>
      </w:pPr>
      <w:r w:rsidRPr="00BF50BF">
        <w:rPr>
          <w:rStyle w:val="FootnoteReference"/>
        </w:rPr>
        <w:footnoteRef/>
      </w:r>
      <w:r w:rsidRPr="00BF50BF">
        <w:t xml:space="preserve"> </w:t>
      </w:r>
      <w:r w:rsidR="00C62EE5">
        <w:t>Study on Access Regulation</w:t>
      </w:r>
      <w:r w:rsidRPr="00BF50BF">
        <w:t>, section 6.3.</w:t>
      </w:r>
    </w:p>
  </w:footnote>
  <w:footnote w:id="222">
    <w:p w14:paraId="674D3620" w14:textId="34E11046" w:rsidR="00DB357E" w:rsidRPr="00DB357E" w:rsidRDefault="00DB357E" w:rsidP="006A3DDC">
      <w:pPr>
        <w:pStyle w:val="FootnoteText"/>
        <w:spacing w:line="240" w:lineRule="auto"/>
      </w:pPr>
      <w:r>
        <w:rPr>
          <w:rStyle w:val="FootnoteReference"/>
        </w:rPr>
        <w:footnoteRef/>
      </w:r>
      <w:r>
        <w:t xml:space="preserve"> </w:t>
      </w:r>
      <w:r w:rsidRPr="00DB357E">
        <w:t xml:space="preserve">See: Briglauer, Wolfgang; Krämer, Jan; Palan, Nicole (2023): Socioeconomic benefits of high-speed broadband availability and service adoption: A survey, Research Paper, No. 24, EcoAustria - Institute for Economic Research, Vienna, available at: </w:t>
      </w:r>
      <w:hyperlink r:id="rId70" w:history="1">
        <w:r w:rsidRPr="00DB357E">
          <w:rPr>
            <w:rStyle w:val="Hyperlink"/>
          </w:rPr>
          <w:t>https://hdl.handle.net/10419/279416</w:t>
        </w:r>
      </w:hyperlink>
      <w:r w:rsidRPr="00DB357E">
        <w:t>.</w:t>
      </w:r>
    </w:p>
  </w:footnote>
  <w:footnote w:id="223">
    <w:p w14:paraId="2C6E7B3B" w14:textId="58BA81AC" w:rsidR="00A27F23" w:rsidRPr="00623952" w:rsidRDefault="00A27F23" w:rsidP="0015618F">
      <w:pPr>
        <w:pStyle w:val="FootnoteText"/>
        <w:spacing w:line="240" w:lineRule="auto"/>
        <w:jc w:val="left"/>
        <w:rPr>
          <w:lang w:val="en-IE"/>
        </w:rPr>
      </w:pPr>
      <w:r>
        <w:rPr>
          <w:rStyle w:val="FootnoteReference"/>
        </w:rPr>
        <w:footnoteRef/>
      </w:r>
      <w:r>
        <w:t xml:space="preserve"> </w:t>
      </w:r>
      <w:hyperlink r:id="rId71" w:history="1">
        <w:r w:rsidRPr="00A27F23">
          <w:rPr>
            <w:rStyle w:val="Hyperlink"/>
          </w:rPr>
          <w:t>https://www.eea.europa.eu/en/datahub/datahubitem-view/3b7fe76c-524a-439a-bfd2-a6e4046302a2?activeAccordion=1091606</w:t>
        </w:r>
      </w:hyperlink>
      <w:r w:rsidRPr="00A27F23">
        <w:t>.</w:t>
      </w:r>
    </w:p>
  </w:footnote>
  <w:footnote w:id="224">
    <w:p w14:paraId="1CEE3D85" w14:textId="64BFC386" w:rsidR="00183ACB" w:rsidRPr="00183ACB" w:rsidRDefault="00183ACB" w:rsidP="0015618F">
      <w:pPr>
        <w:pStyle w:val="FootnoteText"/>
        <w:spacing w:line="240" w:lineRule="auto"/>
        <w:jc w:val="left"/>
      </w:pPr>
      <w:r>
        <w:rPr>
          <w:rStyle w:val="FootnoteReference"/>
        </w:rPr>
        <w:footnoteRef/>
      </w:r>
      <w:r>
        <w:t xml:space="preserve"> </w:t>
      </w:r>
      <w:hyperlink r:id="rId72" w:anchor="gesamtwirtschaftliche-bedeutung-der-umweltkosten" w:history="1">
        <w:r w:rsidR="00CA56B7" w:rsidRPr="00577327">
          <w:rPr>
            <w:rStyle w:val="Hyperlink"/>
          </w:rPr>
          <w:t>https://www.umweltbundesamt.de/daten/umwelt-wirtschaft/gesellschaftliche-kosten-von-umweltbelastungen#gesamtwirtschaftliche-bedeutung-der-umweltkosten</w:t>
        </w:r>
      </w:hyperlink>
      <w:r w:rsidR="00EF0922">
        <w:t>.</w:t>
      </w:r>
    </w:p>
  </w:footnote>
  <w:footnote w:id="225">
    <w:p w14:paraId="5D9FFA46" w14:textId="1B4D8146" w:rsidR="00323740" w:rsidRPr="00602574" w:rsidRDefault="00323740" w:rsidP="006A3DDC">
      <w:pPr>
        <w:pStyle w:val="FootnoteText"/>
        <w:spacing w:line="240" w:lineRule="auto"/>
      </w:pPr>
      <w:r w:rsidRPr="00602574">
        <w:rPr>
          <w:rStyle w:val="FootnoteReference"/>
        </w:rPr>
        <w:footnoteRef/>
      </w:r>
      <w:r w:rsidRPr="00602574">
        <w:t xml:space="preserve"> </w:t>
      </w:r>
      <w:r w:rsidR="00C62EE5">
        <w:t>Study on Access Regulation</w:t>
      </w:r>
      <w:r w:rsidRPr="00602574">
        <w:t>, section 6.3.</w:t>
      </w:r>
    </w:p>
  </w:footnote>
  <w:footnote w:id="226">
    <w:p w14:paraId="5D513209" w14:textId="3C21C0E3" w:rsidR="00323740" w:rsidRPr="00602574" w:rsidRDefault="00323740" w:rsidP="006A3DDC">
      <w:pPr>
        <w:pStyle w:val="FootnoteText"/>
        <w:spacing w:line="240" w:lineRule="auto"/>
      </w:pPr>
      <w:r w:rsidRPr="00602574">
        <w:rPr>
          <w:rStyle w:val="FootnoteReference"/>
        </w:rPr>
        <w:footnoteRef/>
      </w:r>
      <w:r w:rsidRPr="00602574">
        <w:t xml:space="preserve"> These uncertainties reflect, inter alia, the reliance of Briglauer et al. (2025) on pre-2019 evidence capturing 4G rather than 5G related improvements, and the fact that the estimate accounts for mobile broadband adoption rather than directly quantifying speed increases. See Annex 4</w:t>
      </w:r>
      <w:r w:rsidR="009F5863">
        <w:t>, s</w:t>
      </w:r>
      <w:r w:rsidR="00A1061F">
        <w:t xml:space="preserve">ection </w:t>
      </w:r>
      <w:r w:rsidR="006329AE">
        <w:t>2</w:t>
      </w:r>
      <w:r w:rsidR="006329AE" w:rsidRPr="00602574">
        <w:t xml:space="preserve"> </w:t>
      </w:r>
      <w:r w:rsidRPr="00602574">
        <w:t>for further details on the model and the corresponding sensitivity analysis.</w:t>
      </w:r>
    </w:p>
  </w:footnote>
  <w:footnote w:id="227">
    <w:p w14:paraId="0EF95E9C" w14:textId="2657BFA4" w:rsidR="00323740" w:rsidRPr="005C544D" w:rsidRDefault="00323740" w:rsidP="006A3DDC">
      <w:pPr>
        <w:pStyle w:val="FootnoteText"/>
        <w:spacing w:line="240" w:lineRule="auto"/>
      </w:pPr>
      <w:r w:rsidRPr="00602574">
        <w:rPr>
          <w:rStyle w:val="FootnoteReference"/>
        </w:rPr>
        <w:footnoteRef/>
      </w:r>
      <w:r w:rsidRPr="00602574">
        <w:t xml:space="preserve"> These estimates are based on the application of the lower and higher extreme coefficient estimated by Briglauer et al. (2025), therefore 0.01 % and 0.113 % compared to 0.048%. For details see Annex 4, </w:t>
      </w:r>
      <w:r w:rsidR="009F5863">
        <w:t>s</w:t>
      </w:r>
      <w:r w:rsidR="009F5863" w:rsidRPr="00602574">
        <w:t>ection</w:t>
      </w:r>
      <w:r w:rsidR="009F5863">
        <w:t xml:space="preserve"> </w:t>
      </w:r>
      <w:r w:rsidRPr="00602574">
        <w:t>2.</w:t>
      </w:r>
    </w:p>
  </w:footnote>
  <w:footnote w:id="228">
    <w:p w14:paraId="0FAF4A43" w14:textId="77777777" w:rsidR="00323740" w:rsidRPr="00602574" w:rsidRDefault="00323740" w:rsidP="006A3DDC">
      <w:pPr>
        <w:pStyle w:val="FootnoteText"/>
        <w:spacing w:line="240" w:lineRule="auto"/>
        <w:jc w:val="left"/>
      </w:pPr>
      <w:r w:rsidRPr="00602574">
        <w:rPr>
          <w:rStyle w:val="FootnoteReference"/>
        </w:rPr>
        <w:footnoteRef/>
      </w:r>
      <w:r w:rsidRPr="00602574">
        <w:t xml:space="preserve"> Oxford Economics (2023). </w:t>
      </w:r>
      <w:hyperlink r:id="rId73" w:history="1">
        <w:r w:rsidRPr="00602574">
          <w:rPr>
            <w:rStyle w:val="Hyperlink"/>
          </w:rPr>
          <w:t>The Global Economic Potential of 5G-Enabled Technology</w:t>
        </w:r>
      </w:hyperlink>
      <w:r w:rsidRPr="00602574">
        <w:t>. PwC (2021)</w:t>
      </w:r>
      <w:r w:rsidRPr="00602574">
        <w:fldChar w:fldCharType="begin"/>
      </w:r>
      <w:r w:rsidRPr="00602574">
        <w:instrText>https://www.pwc.com/gx/en/tmt/5g/global-economic-impact-5g.pdf</w:instrText>
      </w:r>
      <w:r w:rsidRPr="00602574">
        <w:fldChar w:fldCharType="separate"/>
      </w:r>
      <w:r w:rsidRPr="00602574">
        <w:rPr>
          <w:rStyle w:val="Hyperlink"/>
        </w:rPr>
        <w:t>https://www.pwc.com/gx/en/tmt/5g/global-economic-impact-5g.pdf</w:t>
      </w:r>
      <w:r w:rsidRPr="00602574">
        <w:fldChar w:fldCharType="end"/>
      </w:r>
      <w:r w:rsidRPr="00602574">
        <w:t>.</w:t>
      </w:r>
    </w:p>
  </w:footnote>
  <w:footnote w:id="229">
    <w:p w14:paraId="52C099AC" w14:textId="0F5FAC61" w:rsidR="00323740" w:rsidRPr="00602574" w:rsidRDefault="00323740" w:rsidP="006A3DDC">
      <w:pPr>
        <w:pStyle w:val="FootnoteText"/>
        <w:spacing w:line="240" w:lineRule="auto"/>
      </w:pPr>
      <w:r w:rsidRPr="00602574">
        <w:rPr>
          <w:rStyle w:val="FootnoteReference"/>
        </w:rPr>
        <w:footnoteRef/>
      </w:r>
      <w:r w:rsidRPr="00602574">
        <w:t xml:space="preserve"> </w:t>
      </w:r>
      <w:r w:rsidRPr="002F65E9">
        <w:t xml:space="preserve">The reported CO₂ values </w:t>
      </w:r>
      <w:r>
        <w:t>are</w:t>
      </w:r>
      <w:r w:rsidRPr="00602574">
        <w:t xml:space="preserve"> </w:t>
      </w:r>
      <w:r>
        <w:t>based on a</w:t>
      </w:r>
      <w:r w:rsidRPr="00602574">
        <w:t xml:space="preserve"> model presented in Annex 4.</w:t>
      </w:r>
      <w:r>
        <w:t>2</w:t>
      </w:r>
      <w:r w:rsidRPr="00602574">
        <w:t>.</w:t>
      </w:r>
      <w:r>
        <w:t xml:space="preserve"> They </w:t>
      </w:r>
      <w:r w:rsidRPr="002F65E9">
        <w:t>reflect a defined set of assumptions and should be interpreted as outputs of a scenario-based estimation rather than precise measurements.</w:t>
      </w:r>
      <w:r>
        <w:t xml:space="preserve"> P</w:t>
      </w:r>
      <w:r w:rsidRPr="00602574">
        <w:t>otential uncertainties</w:t>
      </w:r>
      <w:r w:rsidRPr="00872B09">
        <w:t xml:space="preserve"> of the model</w:t>
      </w:r>
      <w:r>
        <w:t xml:space="preserve"> are addressed through a s</w:t>
      </w:r>
      <w:r w:rsidRPr="00951F1D">
        <w:t xml:space="preserve">ensitivity analysis of environmental impacts in Annex 4, </w:t>
      </w:r>
      <w:r w:rsidR="00F26528">
        <w:t>s</w:t>
      </w:r>
      <w:r w:rsidR="00F26528" w:rsidRPr="00951F1D">
        <w:t xml:space="preserve">ection </w:t>
      </w:r>
      <w:r>
        <w:t>2.2</w:t>
      </w:r>
      <w:r w:rsidRPr="00951F1D">
        <w:t>.</w:t>
      </w:r>
      <w:r>
        <w:t>6</w:t>
      </w:r>
      <w:r w:rsidRPr="00951F1D">
        <w:t>.</w:t>
      </w:r>
      <w:r>
        <w:t xml:space="preserve"> </w:t>
      </w:r>
      <w:r w:rsidRPr="001A01C4">
        <w:t xml:space="preserve">Depending on the assumed annual energy-efficiency improvement factor (5%–30%), total emissions </w:t>
      </w:r>
      <w:r>
        <w:t>associated with Option 1</w:t>
      </w:r>
      <w:r w:rsidRPr="001A01C4">
        <w:t xml:space="preserve"> range approximately between 5</w:t>
      </w:r>
      <w:r>
        <w:t>,</w:t>
      </w:r>
      <w:r w:rsidRPr="001A01C4">
        <w:t>1</w:t>
      </w:r>
      <w:r>
        <w:t>06,615</w:t>
      </w:r>
      <w:r w:rsidRPr="001A01C4">
        <w:t xml:space="preserve"> and 5</w:t>
      </w:r>
      <w:r>
        <w:t>,682,062</w:t>
      </w:r>
      <w:r w:rsidRPr="001A01C4">
        <w:t xml:space="preserve"> t CO₂eq, while differences between policy options remain very small</w:t>
      </w:r>
      <w:r w:rsidRPr="002F65E9">
        <w:t>.</w:t>
      </w:r>
    </w:p>
  </w:footnote>
  <w:footnote w:id="230">
    <w:p w14:paraId="41D43134" w14:textId="12C21EC5" w:rsidR="00323740" w:rsidRPr="00A630DD" w:rsidRDefault="00323740" w:rsidP="006A3DDC">
      <w:pPr>
        <w:pStyle w:val="FootnoteText"/>
        <w:spacing w:line="240" w:lineRule="auto"/>
        <w:rPr>
          <w:lang w:val="en-IE"/>
        </w:rPr>
      </w:pPr>
      <w:r>
        <w:rPr>
          <w:rStyle w:val="FootnoteReference"/>
        </w:rPr>
        <w:footnoteRef/>
      </w:r>
      <w:r>
        <w:t xml:space="preserve"> </w:t>
      </w:r>
      <w:r w:rsidRPr="00165CC7">
        <w:t xml:space="preserve">Greenhouse gas emissions are monetised using a fixed damage cost of </w:t>
      </w:r>
      <w:r w:rsidRPr="005C544D">
        <w:t>EUR</w:t>
      </w:r>
      <w:r w:rsidR="00EF0922">
        <w:t> </w:t>
      </w:r>
      <w:r w:rsidRPr="005C544D">
        <w:t>800 per tonne of CO₂e</w:t>
      </w:r>
      <w:r>
        <w:t>q</w:t>
      </w:r>
      <w:r w:rsidRPr="00894984">
        <w:t xml:space="preserve">, based on estimates by the </w:t>
      </w:r>
      <w:hyperlink r:id="rId74" w:anchor="gesamtwirtschaftliche-bedeutung-der-umweltkosten" w:history="1">
        <w:r w:rsidRPr="005C544D">
          <w:rPr>
            <w:rStyle w:val="Hyperlink"/>
          </w:rPr>
          <w:t>German Environment Agency (UBA)</w:t>
        </w:r>
      </w:hyperlink>
      <w:r w:rsidRPr="00894984">
        <w:t>.</w:t>
      </w:r>
    </w:p>
  </w:footnote>
  <w:footnote w:id="231">
    <w:p w14:paraId="22A8AC22" w14:textId="6464C8BF" w:rsidR="007B7035" w:rsidRPr="00602574" w:rsidRDefault="007B7035" w:rsidP="006A3DDC">
      <w:pPr>
        <w:pStyle w:val="FootnoteText"/>
        <w:spacing w:line="240" w:lineRule="auto"/>
      </w:pPr>
      <w:r w:rsidRPr="00602574">
        <w:rPr>
          <w:rStyle w:val="FootnoteReference"/>
        </w:rPr>
        <w:footnoteRef/>
      </w:r>
      <w:r w:rsidRPr="00602574">
        <w:t xml:space="preserve"> The regression analysis presented in </w:t>
      </w:r>
      <w:r w:rsidR="0017592A">
        <w:t>s</w:t>
      </w:r>
      <w:r w:rsidR="0017592A" w:rsidRPr="00602574">
        <w:t xml:space="preserve">ection </w:t>
      </w:r>
      <w:r w:rsidRPr="00602574">
        <w:t xml:space="preserve">2.2.2.3 points to a possible </w:t>
      </w:r>
      <w:r w:rsidRPr="00602574">
        <w:rPr>
          <w:rFonts w:eastAsia="EYInterstate Light"/>
          <w:kern w:val="2"/>
        </w:rPr>
        <w:t xml:space="preserve">inverse relation between spectrum prices and overall download speeds. While this last association does not reach conventional levels of statistical significance in our regressions, it is consistent with GSMA econometric estimates that historically a 10 p.p. higher spectrum cost to recurring revenue ratio decreased coverage by up to 6 p.p. and decreased average speeds by up to 8%. GSMA, “Global Spectrum Pricing report,” </w:t>
      </w:r>
      <w:hyperlink r:id="rId75" w:history="1">
        <w:r w:rsidRPr="00602574">
          <w:rPr>
            <w:rFonts w:eastAsia="EYInterstate Light"/>
            <w:kern w:val="2"/>
          </w:rPr>
          <w:t>Global Spectrum Pricing</w:t>
        </w:r>
      </w:hyperlink>
      <w:r w:rsidRPr="00602574">
        <w:rPr>
          <w:rFonts w:eastAsia="EYInterstate Light"/>
          <w:kern w:val="2"/>
        </w:rPr>
        <w:t>, GSMA, London, 2025 (2025), p. 10.</w:t>
      </w:r>
    </w:p>
  </w:footnote>
  <w:footnote w:id="232">
    <w:p w14:paraId="3BE06127" w14:textId="09763A7B" w:rsidR="007B7035" w:rsidRPr="005C544D" w:rsidRDefault="007B7035" w:rsidP="006A3DDC">
      <w:pPr>
        <w:pStyle w:val="FootnoteText"/>
        <w:spacing w:line="240" w:lineRule="auto"/>
      </w:pPr>
      <w:r w:rsidRPr="00602574">
        <w:rPr>
          <w:rStyle w:val="FootnoteReference"/>
        </w:rPr>
        <w:footnoteRef/>
      </w:r>
      <w:r w:rsidRPr="00602574">
        <w:t xml:space="preserve"> As under </w:t>
      </w:r>
      <w:r w:rsidR="002232A8">
        <w:t>o</w:t>
      </w:r>
      <w:r w:rsidR="002232A8" w:rsidRPr="00602574">
        <w:t xml:space="preserve">ption </w:t>
      </w:r>
      <w:r w:rsidRPr="00602574">
        <w:t xml:space="preserve">1 above. </w:t>
      </w:r>
      <w:r w:rsidRPr="005C544D">
        <w:rPr>
          <w:rFonts w:eastAsia="Calibri"/>
        </w:rPr>
        <w:t>See Annex 4 for methodology.</w:t>
      </w:r>
    </w:p>
  </w:footnote>
  <w:footnote w:id="233">
    <w:p w14:paraId="29FBF5FA" w14:textId="41B4C611" w:rsidR="007B7035" w:rsidRPr="00602574" w:rsidRDefault="007B7035" w:rsidP="006A3DDC">
      <w:pPr>
        <w:pStyle w:val="FootnoteText"/>
        <w:spacing w:line="240" w:lineRule="auto"/>
      </w:pPr>
      <w:r w:rsidRPr="00602574">
        <w:rPr>
          <w:rStyle w:val="FootnoteReference"/>
        </w:rPr>
        <w:footnoteRef/>
      </w:r>
      <w:r w:rsidRPr="00602574">
        <w:t xml:space="preserve"> </w:t>
      </w:r>
      <w:r w:rsidRPr="00A90CF2">
        <w:t xml:space="preserve">5G mid-band coverage is defined </w:t>
      </w:r>
      <w:r w:rsidRPr="00602574">
        <w:t>as</w:t>
      </w:r>
      <w:r w:rsidRPr="00A90CF2">
        <w:t xml:space="preserve"> the 1–7 GHz range </w:t>
      </w:r>
      <w:r w:rsidRPr="00602574">
        <w:t>to</w:t>
      </w:r>
      <w:r w:rsidRPr="00A90CF2">
        <w:t xml:space="preserve"> capture the effects of the </w:t>
      </w:r>
      <w:r w:rsidRPr="00602574">
        <w:t>spectrum</w:t>
      </w:r>
      <w:r w:rsidRPr="00A90CF2">
        <w:t xml:space="preserve"> options </w:t>
      </w:r>
      <w:r w:rsidRPr="00602574">
        <w:t xml:space="preserve">on upcoming renewals and awards </w:t>
      </w:r>
      <w:r w:rsidRPr="00A90CF2">
        <w:t xml:space="preserve">relevant for high-quality mobile connectivity. The projection builds on current DESI coverage data and the assumption that overall 5G coverage across all frequency bands will approach 99–100% by 2035. </w:t>
      </w:r>
      <w:r w:rsidRPr="00602574">
        <w:t>5G m</w:t>
      </w:r>
      <w:r w:rsidRPr="00A90CF2">
        <w:t xml:space="preserve">id-band coverage is therefore estimated by excluding from total 5G coverage areas expected to remain covered only by low-band frequencies. On this basis, mid-band coverage is projected to reach around 96% under </w:t>
      </w:r>
      <w:r w:rsidR="002232A8">
        <w:t>o</w:t>
      </w:r>
      <w:r w:rsidR="002232A8" w:rsidRPr="00A90CF2">
        <w:t xml:space="preserve">ption </w:t>
      </w:r>
      <w:r w:rsidRPr="00A90CF2">
        <w:t xml:space="preserve">2 as well as under </w:t>
      </w:r>
      <w:r w:rsidR="002232A8">
        <w:t>o</w:t>
      </w:r>
      <w:r w:rsidR="002232A8" w:rsidRPr="00A90CF2">
        <w:t xml:space="preserve">ption </w:t>
      </w:r>
      <w:r w:rsidRPr="00A90CF2">
        <w:t xml:space="preserve">3, as both options are assumed to provide comparable incentives for mid-band deployment within the period considered. See Annex 4, </w:t>
      </w:r>
      <w:r w:rsidR="0017592A">
        <w:t>s</w:t>
      </w:r>
      <w:r w:rsidR="0017592A" w:rsidRPr="00A90CF2">
        <w:t xml:space="preserve">ection </w:t>
      </w:r>
      <w:r w:rsidRPr="00A90CF2">
        <w:t>2.3.2 for the methodology</w:t>
      </w:r>
      <w:r>
        <w:t xml:space="preserve"> also explaining considered speed and consumption assumptions</w:t>
      </w:r>
      <w:r w:rsidRPr="00A90CF2">
        <w:t>.</w:t>
      </w:r>
    </w:p>
  </w:footnote>
  <w:footnote w:id="234">
    <w:p w14:paraId="4218455F" w14:textId="14CE5AF7" w:rsidR="007B7035" w:rsidRPr="005C544D" w:rsidRDefault="007B7035" w:rsidP="006A3DDC">
      <w:pPr>
        <w:pStyle w:val="FootnoteText"/>
        <w:spacing w:line="240" w:lineRule="auto"/>
      </w:pPr>
      <w:r w:rsidRPr="00602574">
        <w:rPr>
          <w:rStyle w:val="FootnoteReference"/>
        </w:rPr>
        <w:footnoteRef/>
      </w:r>
      <w:r w:rsidRPr="00602574">
        <w:t xml:space="preserve"> These estimates are based on the application of the lower and higher extreme coefficient estimated by Briglauer et al. (2025), therefore 0.01 % and</w:t>
      </w:r>
      <w:r w:rsidR="00DB7BEB">
        <w:t xml:space="preserve"> </w:t>
      </w:r>
      <w:r w:rsidRPr="00602574">
        <w:t>0.113 % compared to 0.0</w:t>
      </w:r>
      <w:r>
        <w:t>84</w:t>
      </w:r>
      <w:r w:rsidRPr="00602574">
        <w:t xml:space="preserve">% to take into account uncertainties, as for example that the study period of Briglauer et al. (2025) ends in 2019 and was based on improvements related to the 4G era and not 5G or the fact that the estimate only accounts for adoption of mobile broadband but does not directly estimate speed increases. For details see Annex 4, </w:t>
      </w:r>
      <w:r w:rsidR="0017592A">
        <w:t>s</w:t>
      </w:r>
      <w:r w:rsidR="0017592A" w:rsidRPr="00602574">
        <w:t>ection</w:t>
      </w:r>
      <w:r w:rsidR="0017592A">
        <w:t xml:space="preserve"> </w:t>
      </w:r>
      <w:r w:rsidRPr="00602574">
        <w:t>2.</w:t>
      </w:r>
    </w:p>
  </w:footnote>
  <w:footnote w:id="235">
    <w:p w14:paraId="382A2747" w14:textId="77777777" w:rsidR="007B7035" w:rsidRPr="00602574" w:rsidRDefault="007B7035" w:rsidP="006A3DDC">
      <w:pPr>
        <w:spacing w:after="0" w:line="240" w:lineRule="auto"/>
        <w:rPr>
          <w:color w:val="000000" w:themeColor="text1"/>
          <w:sz w:val="20"/>
          <w:szCs w:val="20"/>
        </w:rPr>
      </w:pPr>
      <w:r w:rsidRPr="00602574">
        <w:rPr>
          <w:rStyle w:val="FootnoteReference"/>
          <w:sz w:val="20"/>
          <w:szCs w:val="20"/>
        </w:rPr>
        <w:footnoteRef/>
      </w:r>
      <w:r w:rsidRPr="00602574">
        <w:rPr>
          <w:sz w:val="20"/>
          <w:szCs w:val="20"/>
        </w:rPr>
        <w:t xml:space="preserve"> </w:t>
      </w:r>
      <w:r w:rsidRPr="00602574">
        <w:rPr>
          <w:color w:val="000000" w:themeColor="text1"/>
          <w:sz w:val="20"/>
          <w:szCs w:val="20"/>
        </w:rPr>
        <w:t>These possible 5G-specific effects have not been included in the calculations - see also Annex 4.</w:t>
      </w:r>
    </w:p>
  </w:footnote>
  <w:footnote w:id="236">
    <w:p w14:paraId="4431997F" w14:textId="32D8DB83" w:rsidR="007B7035" w:rsidRPr="005C544D" w:rsidRDefault="007B7035" w:rsidP="006A3DDC">
      <w:pPr>
        <w:pStyle w:val="FootnoteText"/>
        <w:spacing w:line="240" w:lineRule="auto"/>
        <w:rPr>
          <w:color w:val="000000" w:themeColor="text1"/>
        </w:rPr>
      </w:pPr>
      <w:r w:rsidRPr="00602574">
        <w:rPr>
          <w:rStyle w:val="FootnoteReference"/>
          <w:color w:val="000000" w:themeColor="text1"/>
        </w:rPr>
        <w:footnoteRef/>
      </w:r>
      <w:r w:rsidRPr="00602574">
        <w:rPr>
          <w:color w:val="000000" w:themeColor="text1"/>
        </w:rPr>
        <w:t xml:space="preserve"> For more detailed examples of possible impacts in sectors like healthcare, manufacturing, automotive and transport, energy and environment and agriculture see Annex 9</w:t>
      </w:r>
      <w:r w:rsidR="0017592A">
        <w:rPr>
          <w:color w:val="000000" w:themeColor="text1"/>
        </w:rPr>
        <w:t>,</w:t>
      </w:r>
      <w:r w:rsidRPr="00602574">
        <w:rPr>
          <w:color w:val="000000" w:themeColor="text1"/>
        </w:rPr>
        <w:t xml:space="preserve"> </w:t>
      </w:r>
      <w:r w:rsidR="0017592A">
        <w:rPr>
          <w:color w:val="000000" w:themeColor="text1"/>
        </w:rPr>
        <w:t>s</w:t>
      </w:r>
      <w:r w:rsidRPr="00602574">
        <w:rPr>
          <w:color w:val="000000" w:themeColor="text1"/>
        </w:rPr>
        <w:t>ection 3.1.1.</w:t>
      </w:r>
    </w:p>
  </w:footnote>
  <w:footnote w:id="237">
    <w:p w14:paraId="3DDA7AA6" w14:textId="4469FDFE" w:rsidR="007B7035" w:rsidRPr="00602574" w:rsidRDefault="007B7035" w:rsidP="006A3DDC">
      <w:pPr>
        <w:pStyle w:val="FootnoteText"/>
        <w:spacing w:line="240" w:lineRule="auto"/>
      </w:pPr>
      <w:r w:rsidRPr="00602574">
        <w:rPr>
          <w:rStyle w:val="FootnoteReference"/>
        </w:rPr>
        <w:footnoteRef/>
      </w:r>
      <w:r w:rsidRPr="00602574">
        <w:t xml:space="preserve"> While quantification of economic effects has been possible for 5G technologies, it is not yet feasible to reliably quantify the potential impacts of 6G</w:t>
      </w:r>
      <w:r>
        <w:t xml:space="preserve"> given t</w:t>
      </w:r>
      <w:r w:rsidRPr="00602574">
        <w:t xml:space="preserve">he technology is still under development, </w:t>
      </w:r>
      <w:r>
        <w:t>and no</w:t>
      </w:r>
      <w:r w:rsidRPr="00602574">
        <w:t xml:space="preserve"> real-world data is available. Any forward-looking assessment of 6G’s economic contribution must remain qualitative.</w:t>
      </w:r>
      <w:r w:rsidR="0036610F">
        <w:t xml:space="preserve"> See also Annex </w:t>
      </w:r>
      <w:r w:rsidR="002E4A51">
        <w:t>9</w:t>
      </w:r>
      <w:r w:rsidR="0017592A">
        <w:t>, s</w:t>
      </w:r>
      <w:r w:rsidR="002E4A51">
        <w:t xml:space="preserve">ection 3.1.2. on 6G </w:t>
      </w:r>
      <w:r w:rsidR="00D627FA">
        <w:t xml:space="preserve">standard </w:t>
      </w:r>
      <w:r w:rsidR="002E4A51">
        <w:t>timeline.</w:t>
      </w:r>
    </w:p>
  </w:footnote>
  <w:footnote w:id="238">
    <w:p w14:paraId="01A00029" w14:textId="77777777" w:rsidR="007B7035" w:rsidRPr="00602574" w:rsidRDefault="007B7035" w:rsidP="006A3DDC">
      <w:pPr>
        <w:pStyle w:val="FootnoteText"/>
        <w:spacing w:line="240" w:lineRule="auto"/>
        <w:jc w:val="left"/>
      </w:pPr>
      <w:r w:rsidRPr="00602574">
        <w:rPr>
          <w:rStyle w:val="FootnoteReference"/>
        </w:rPr>
        <w:footnoteRef/>
      </w:r>
      <w:r w:rsidRPr="000477EA">
        <w:t xml:space="preserve"> ETSI (2023). </w:t>
      </w:r>
      <w:hyperlink r:id="rId76" w:history="1">
        <w:r w:rsidRPr="000477EA">
          <w:rPr>
            <w:rStyle w:val="Hyperlink"/>
          </w:rPr>
          <w:t xml:space="preserve">ETSI White Paper: 6G: </w:t>
        </w:r>
        <w:r w:rsidRPr="00602574">
          <w:rPr>
            <w:rStyle w:val="Hyperlink"/>
          </w:rPr>
          <w:t>Building</w:t>
        </w:r>
        <w:r w:rsidRPr="000477EA">
          <w:rPr>
            <w:rStyle w:val="Hyperlink"/>
          </w:rPr>
          <w:t xml:space="preserve"> the Foundation for the Next Decade</w:t>
        </w:r>
      </w:hyperlink>
      <w:r w:rsidRPr="000477EA">
        <w:t>.</w:t>
      </w:r>
    </w:p>
  </w:footnote>
  <w:footnote w:id="239">
    <w:p w14:paraId="7232CDCD" w14:textId="25A50260" w:rsidR="007B7035" w:rsidRPr="005C544D" w:rsidRDefault="007B7035" w:rsidP="006A3DDC">
      <w:pPr>
        <w:pStyle w:val="FootnoteText"/>
        <w:spacing w:line="240" w:lineRule="auto"/>
      </w:pPr>
      <w:r w:rsidRPr="00602574">
        <w:rPr>
          <w:rStyle w:val="FootnoteReference"/>
        </w:rPr>
        <w:footnoteRef/>
      </w:r>
      <w:r w:rsidRPr="00185C04">
        <w:t xml:space="preserve"> </w:t>
      </w:r>
      <w:r w:rsidRPr="00566758">
        <w:t xml:space="preserve">The model, the relevant assumptions as well as the sensitivity analysis are presented in Annex 4, </w:t>
      </w:r>
      <w:r w:rsidR="00266629">
        <w:t>s</w:t>
      </w:r>
      <w:r w:rsidR="00266629" w:rsidRPr="00566758">
        <w:t xml:space="preserve">ection </w:t>
      </w:r>
      <w:r w:rsidRPr="00566758">
        <w:t>2. Depending on the assumed annual energy-efficiency improvement factor (5%–30%), total emissions associated with Option 2 range between 5</w:t>
      </w:r>
      <w:r w:rsidR="002E4AA2">
        <w:t> </w:t>
      </w:r>
      <w:r w:rsidRPr="00566758">
        <w:t>104</w:t>
      </w:r>
      <w:r w:rsidR="002E4AA2">
        <w:t> </w:t>
      </w:r>
      <w:r w:rsidRPr="00566758">
        <w:t>940 and 5</w:t>
      </w:r>
      <w:r w:rsidR="002E4AA2">
        <w:t> </w:t>
      </w:r>
      <w:r w:rsidRPr="00566758">
        <w:t>678</w:t>
      </w:r>
      <w:r w:rsidR="002E4AA2">
        <w:t> </w:t>
      </w:r>
      <w:r w:rsidRPr="00566758">
        <w:t>545 t CO₂eq</w:t>
      </w:r>
      <w:r w:rsidRPr="00602574">
        <w:t>.</w:t>
      </w:r>
    </w:p>
  </w:footnote>
  <w:footnote w:id="240">
    <w:p w14:paraId="220E386C" w14:textId="77777777" w:rsidR="007B7035" w:rsidRPr="00602574" w:rsidRDefault="007B7035" w:rsidP="006A3DDC">
      <w:pPr>
        <w:pStyle w:val="FootnoteText"/>
        <w:spacing w:line="240" w:lineRule="auto"/>
      </w:pPr>
      <w:r w:rsidRPr="00602574">
        <w:rPr>
          <w:rStyle w:val="FootnoteReference"/>
        </w:rPr>
        <w:footnoteRef/>
      </w:r>
      <w:r w:rsidRPr="00602574">
        <w:t xml:space="preserve"> </w:t>
      </w:r>
      <w:hyperlink r:id="rId77" w:anchor="cop2053987201" w:history="1">
        <w:r w:rsidRPr="00602574">
          <w:rPr>
            <w:rStyle w:val="Hyperlink"/>
          </w:rPr>
          <w:t>https://www.iis.fraunhofer.de/de/ff/kom/mobile-kom/6g-mobilfunk.html#cop2053987201</w:t>
        </w:r>
      </w:hyperlink>
      <w:r w:rsidRPr="00602574">
        <w:t>.</w:t>
      </w:r>
    </w:p>
  </w:footnote>
  <w:footnote w:id="241">
    <w:p w14:paraId="16974B7F" w14:textId="77777777" w:rsidR="007B7035" w:rsidRPr="004969F6" w:rsidRDefault="007B7035" w:rsidP="006A3DDC">
      <w:pPr>
        <w:pStyle w:val="FootnoteText"/>
        <w:spacing w:line="240" w:lineRule="auto"/>
        <w:rPr>
          <w:lang w:val="de-DE"/>
        </w:rPr>
      </w:pPr>
      <w:r w:rsidRPr="00602574">
        <w:rPr>
          <w:rStyle w:val="FootnoteReference"/>
        </w:rPr>
        <w:footnoteRef/>
      </w:r>
      <w:r w:rsidRPr="00602574">
        <w:t xml:space="preserve"> For this paragraph see: Franken, Wissner and Sörries (2019). </w:t>
      </w:r>
      <w:hyperlink r:id="rId78" w:history="1">
        <w:r w:rsidRPr="004969F6">
          <w:rPr>
            <w:rStyle w:val="Hyperlink"/>
            <w:lang w:val="de-DE"/>
          </w:rPr>
          <w:t>Entwicklung der funkbasierten Digitalisierung in der Industrie, Energiewirtschaft und Landwirtschaft und spezifische Frequenzbedarfe</w:t>
        </w:r>
      </w:hyperlink>
      <w:r w:rsidRPr="004969F6">
        <w:rPr>
          <w:lang w:val="de-DE"/>
        </w:rPr>
        <w:t xml:space="preserve">, WIK discussion paper No 451. </w:t>
      </w:r>
    </w:p>
  </w:footnote>
  <w:footnote w:id="242">
    <w:p w14:paraId="45380CD2" w14:textId="77777777" w:rsidR="007B7035" w:rsidRPr="00602574" w:rsidRDefault="007B7035" w:rsidP="006A3DDC">
      <w:pPr>
        <w:pStyle w:val="FootnoteText"/>
        <w:spacing w:line="240" w:lineRule="auto"/>
      </w:pPr>
      <w:r w:rsidRPr="00602574">
        <w:rPr>
          <w:rStyle w:val="FootnoteReference"/>
        </w:rPr>
        <w:footnoteRef/>
      </w:r>
      <w:r w:rsidRPr="00602574">
        <w:t xml:space="preserve"> Buzmaniuk, S. (2021). </w:t>
      </w:r>
      <w:hyperlink r:id="rId79" w:history="1">
        <w:r w:rsidRPr="00602574">
          <w:rPr>
            <w:rStyle w:val="Hyperlink"/>
          </w:rPr>
          <w:t>The Union’s external borders: a European debate revisited</w:t>
        </w:r>
      </w:hyperlink>
      <w:r w:rsidRPr="00602574">
        <w:t>. Robert Schuman Foundation.</w:t>
      </w:r>
    </w:p>
  </w:footnote>
  <w:footnote w:id="243">
    <w:p w14:paraId="1250AB49" w14:textId="4658D359" w:rsidR="007B7035" w:rsidRPr="00602574" w:rsidRDefault="007B7035" w:rsidP="006A3DDC">
      <w:pPr>
        <w:pStyle w:val="FootnoteText"/>
        <w:spacing w:line="240" w:lineRule="auto"/>
      </w:pPr>
      <w:r w:rsidRPr="00602574">
        <w:rPr>
          <w:rStyle w:val="FootnoteReference"/>
        </w:rPr>
        <w:footnoteRef/>
      </w:r>
      <w:r w:rsidRPr="00602574">
        <w:t xml:space="preserve"> Staffing implications for public authorities are assessed in </w:t>
      </w:r>
      <w:r w:rsidR="00266629">
        <w:t>s</w:t>
      </w:r>
      <w:r w:rsidR="00266629" w:rsidRPr="00602574">
        <w:t xml:space="preserve">ection </w:t>
      </w:r>
      <w:r w:rsidRPr="00602574">
        <w:t>6.4, which discusses impacts of governance options. Under spectrum option 2, administrative workload is expected to increase mainly at EU level, with an estimated additional 5 FTEs for the Commission and 15 FTEs for the BEREC Office, reflecting their expanded responsibilities</w:t>
      </w:r>
      <w:r w:rsidR="00BE3996">
        <w:t xml:space="preserve"> bot</w:t>
      </w:r>
      <w:r w:rsidR="00022AA4">
        <w:t>h</w:t>
      </w:r>
      <w:r w:rsidR="00BE3996">
        <w:t xml:space="preserve"> in spectrum as in </w:t>
      </w:r>
      <w:r w:rsidR="00022AA4">
        <w:t>satellite authorisation areas</w:t>
      </w:r>
      <w:r w:rsidRPr="00602574">
        <w:t xml:space="preserve">. Staffing levels in Member States are not expected to change materially, as many functions remain with </w:t>
      </w:r>
      <w:r w:rsidR="00B855EB">
        <w:t>NRAs</w:t>
      </w:r>
      <w:r w:rsidRPr="00602574">
        <w:t>.</w:t>
      </w:r>
    </w:p>
  </w:footnote>
  <w:footnote w:id="244">
    <w:p w14:paraId="3BC7BE93" w14:textId="77777777" w:rsidR="007B7035" w:rsidRPr="005C544D" w:rsidRDefault="007B7035" w:rsidP="006A3DDC">
      <w:pPr>
        <w:pStyle w:val="FootnoteText"/>
        <w:spacing w:line="240" w:lineRule="auto"/>
        <w:rPr>
          <w:iCs/>
        </w:rPr>
      </w:pPr>
      <w:r w:rsidRPr="00602574">
        <w:rPr>
          <w:rStyle w:val="FootnoteReference"/>
        </w:rPr>
        <w:footnoteRef/>
      </w:r>
      <w:r w:rsidRPr="00602574">
        <w:t xml:space="preserve"> </w:t>
      </w:r>
      <w:r w:rsidRPr="005C544D">
        <w:rPr>
          <w:iCs/>
        </w:rPr>
        <w:t>Country-average spectrum assigned to mobile operators for frequency bands below 7 GHz in the EU has passed in the period from 2014 to 2024 from 457 MHz to 830 MHz according to GSMA and its likely to further increase with 6G.</w:t>
      </w:r>
    </w:p>
  </w:footnote>
  <w:footnote w:id="245">
    <w:p w14:paraId="78E6E9F0" w14:textId="77777777" w:rsidR="007B7035" w:rsidRPr="00602574" w:rsidRDefault="007B7035" w:rsidP="006A3DDC">
      <w:pPr>
        <w:pStyle w:val="FootnoteText"/>
        <w:spacing w:line="240" w:lineRule="auto"/>
      </w:pPr>
      <w:r w:rsidRPr="00602574">
        <w:rPr>
          <w:rStyle w:val="FootnoteReference"/>
        </w:rPr>
        <w:footnoteRef/>
      </w:r>
      <w:r w:rsidRPr="00602574">
        <w:t xml:space="preserve"> </w:t>
      </w:r>
      <w:hyperlink r:id="rId80" w:history="1">
        <w:r w:rsidRPr="00602574">
          <w:rPr>
            <w:rStyle w:val="Hyperlink"/>
          </w:rPr>
          <w:t>VVA, PolicyTracker and LS Telcom (2023)</w:t>
        </w:r>
      </w:hyperlink>
      <w:r w:rsidRPr="00602574">
        <w:t xml:space="preserve">, p. 19. </w:t>
      </w:r>
    </w:p>
  </w:footnote>
  <w:footnote w:id="246">
    <w:p w14:paraId="4DA9828A" w14:textId="77777777" w:rsidR="007B7035" w:rsidRPr="005C544D" w:rsidRDefault="007B7035" w:rsidP="006A3DDC">
      <w:pPr>
        <w:pStyle w:val="FootnoteText"/>
        <w:spacing w:line="240" w:lineRule="auto"/>
      </w:pPr>
      <w:r w:rsidRPr="00602574">
        <w:rPr>
          <w:rStyle w:val="FootnoteReference"/>
        </w:rPr>
        <w:footnoteRef/>
      </w:r>
      <w:r w:rsidRPr="00602574">
        <w:t xml:space="preserve"> As discussed in the Draghi Report, these may, e.g., include supply-chain scrutiny and trusted vendor requirements.</w:t>
      </w:r>
    </w:p>
  </w:footnote>
  <w:footnote w:id="247">
    <w:p w14:paraId="7B01C6C4" w14:textId="77777777" w:rsidR="007B7035" w:rsidRPr="00602574" w:rsidRDefault="007B7035" w:rsidP="006A3DDC">
      <w:pPr>
        <w:pStyle w:val="FootnoteText"/>
        <w:spacing w:line="240" w:lineRule="auto"/>
      </w:pPr>
      <w:r w:rsidRPr="00602574">
        <w:rPr>
          <w:rStyle w:val="FootnoteReference"/>
        </w:rPr>
        <w:footnoteRef/>
      </w:r>
      <w:r w:rsidRPr="005C544D">
        <w:t xml:space="preserve"> RSPG (2024). </w:t>
      </w:r>
      <w:hyperlink r:id="rId81" w:history="1">
        <w:r w:rsidRPr="00602574">
          <w:rPr>
            <w:rStyle w:val="Hyperlink"/>
          </w:rPr>
          <w:t>Opinion</w:t>
        </w:r>
        <w:r w:rsidRPr="005C544D">
          <w:rPr>
            <w:rStyle w:val="Hyperlink"/>
          </w:rPr>
          <w:t xml:space="preserve"> on Spectrum Policy for Next-Generation Wireless Systems (6G)</w:t>
        </w:r>
      </w:hyperlink>
      <w:r w:rsidRPr="005C544D">
        <w:t>.</w:t>
      </w:r>
    </w:p>
  </w:footnote>
  <w:footnote w:id="248">
    <w:p w14:paraId="0E3336DB" w14:textId="77777777" w:rsidR="007B7035" w:rsidRPr="00602574" w:rsidRDefault="007B7035" w:rsidP="006A3DDC">
      <w:pPr>
        <w:pStyle w:val="FootnoteText"/>
        <w:spacing w:line="240" w:lineRule="auto"/>
      </w:pPr>
      <w:r w:rsidRPr="00602574">
        <w:rPr>
          <w:rStyle w:val="FootnoteReference"/>
        </w:rPr>
        <w:footnoteRef/>
      </w:r>
      <w:r w:rsidRPr="005C544D">
        <w:t xml:space="preserve"> LS Telcom, PolicyTracker &amp; VVA (2023). </w:t>
      </w:r>
      <w:hyperlink r:id="rId82" w:history="1">
        <w:r w:rsidRPr="00602574">
          <w:rPr>
            <w:rStyle w:val="Hyperlink"/>
          </w:rPr>
          <w:t>Study</w:t>
        </w:r>
        <w:r w:rsidRPr="005C544D">
          <w:rPr>
            <w:rStyle w:val="Hyperlink"/>
          </w:rPr>
          <w:t xml:space="preserve"> on Assessing the Efficiency of Radio Spectrum Award Processes in the Member States</w:t>
        </w:r>
      </w:hyperlink>
      <w:r w:rsidRPr="005C544D">
        <w:t>.</w:t>
      </w:r>
    </w:p>
  </w:footnote>
  <w:footnote w:id="249">
    <w:p w14:paraId="5DCC2787" w14:textId="0ECA2579" w:rsidR="007B7035" w:rsidRPr="005C544D" w:rsidRDefault="007B7035" w:rsidP="006A3DDC">
      <w:pPr>
        <w:pStyle w:val="FootnoteText"/>
        <w:spacing w:line="240" w:lineRule="auto"/>
      </w:pPr>
      <w:r w:rsidRPr="00602574">
        <w:rPr>
          <w:rStyle w:val="FootnoteReference"/>
        </w:rPr>
        <w:footnoteRef/>
      </w:r>
      <w:r w:rsidRPr="00602574">
        <w:t xml:space="preserve"> Annex 3 includes indications on practical implications of spectrum measures under </w:t>
      </w:r>
      <w:r w:rsidR="00BD399D">
        <w:t>o</w:t>
      </w:r>
      <w:r w:rsidR="00BD399D" w:rsidRPr="00602574">
        <w:t xml:space="preserve">ption </w:t>
      </w:r>
      <w:r w:rsidRPr="00602574">
        <w:t>2 for main stakeholders. Annex 3</w:t>
      </w:r>
      <w:r w:rsidR="00266629">
        <w:t>,</w:t>
      </w:r>
      <w:r w:rsidRPr="00602574">
        <w:t xml:space="preserve"> </w:t>
      </w:r>
      <w:r w:rsidR="00266629">
        <w:t>s</w:t>
      </w:r>
      <w:r w:rsidRPr="00602574">
        <w:t xml:space="preserve">ection 2.2. presents the main costs and benefits per stakeholders, comparing them with </w:t>
      </w:r>
      <w:r w:rsidR="00BD399D">
        <w:t>o</w:t>
      </w:r>
      <w:r w:rsidR="00BD399D" w:rsidRPr="00602574">
        <w:t xml:space="preserve">ptions </w:t>
      </w:r>
      <w:r w:rsidRPr="00602574">
        <w:t>1 and 3.</w:t>
      </w:r>
    </w:p>
  </w:footnote>
  <w:footnote w:id="250">
    <w:p w14:paraId="52298637" w14:textId="7C0C44EE" w:rsidR="00C74199" w:rsidRPr="00E14733" w:rsidRDefault="00C74199" w:rsidP="006A3DDC">
      <w:pPr>
        <w:pStyle w:val="FootnoteText"/>
        <w:spacing w:line="240" w:lineRule="auto"/>
        <w:rPr>
          <w:lang w:val="en-IE"/>
        </w:rPr>
      </w:pPr>
      <w:r>
        <w:rPr>
          <w:rStyle w:val="FootnoteReference"/>
        </w:rPr>
        <w:footnoteRef/>
      </w:r>
      <w:r>
        <w:t xml:space="preserve"> </w:t>
      </w:r>
      <w:r w:rsidRPr="008B2DC3">
        <w:t xml:space="preserve">See Annex 4, </w:t>
      </w:r>
      <w:r w:rsidR="002B264D">
        <w:t>s</w:t>
      </w:r>
      <w:r w:rsidR="002B264D" w:rsidRPr="008B2DC3">
        <w:t xml:space="preserve">ection </w:t>
      </w:r>
      <w:r w:rsidRPr="008B2DC3">
        <w:t>2.2.3 on how economies of scale are taken into account in the model.</w:t>
      </w:r>
    </w:p>
  </w:footnote>
  <w:footnote w:id="251">
    <w:p w14:paraId="1E0ED110" w14:textId="65C8875C" w:rsidR="00C74199" w:rsidRPr="005C544D" w:rsidRDefault="00C74199" w:rsidP="006A3DDC">
      <w:pPr>
        <w:pStyle w:val="FootnoteText"/>
        <w:spacing w:line="240" w:lineRule="auto"/>
      </w:pPr>
      <w:r w:rsidRPr="00602574">
        <w:rPr>
          <w:rStyle w:val="FootnoteReference"/>
          <w:color w:val="000000" w:themeColor="text1"/>
        </w:rPr>
        <w:footnoteRef/>
      </w:r>
      <w:r w:rsidRPr="00602574">
        <w:rPr>
          <w:color w:val="000000" w:themeColor="text1"/>
        </w:rPr>
        <w:t xml:space="preserve"> These estimates are based on the application of the lower and higher extreme coefficient estimated by Briglauer et al. (2025), therefore 0.01 % and 0.113 % compared to 0.048%. For details see Annex 4, </w:t>
      </w:r>
      <w:r w:rsidR="002B264D">
        <w:rPr>
          <w:color w:val="000000" w:themeColor="text1"/>
        </w:rPr>
        <w:t>s</w:t>
      </w:r>
      <w:r w:rsidR="002B264D" w:rsidRPr="00602574">
        <w:rPr>
          <w:color w:val="000000" w:themeColor="text1"/>
        </w:rPr>
        <w:t>ection</w:t>
      </w:r>
      <w:r w:rsidR="002B264D">
        <w:rPr>
          <w:color w:val="000000" w:themeColor="text1"/>
        </w:rPr>
        <w:t xml:space="preserve"> </w:t>
      </w:r>
      <w:r w:rsidRPr="00602574">
        <w:rPr>
          <w:color w:val="000000" w:themeColor="text1"/>
        </w:rPr>
        <w:t>2.</w:t>
      </w:r>
    </w:p>
  </w:footnote>
  <w:footnote w:id="252">
    <w:p w14:paraId="39770790" w14:textId="58FDCF87" w:rsidR="00C74199" w:rsidRPr="00602574" w:rsidRDefault="00C74199" w:rsidP="006A3DDC">
      <w:pPr>
        <w:pStyle w:val="FootnoteText"/>
        <w:spacing w:line="240" w:lineRule="auto"/>
      </w:pPr>
      <w:r w:rsidRPr="00602574">
        <w:rPr>
          <w:rStyle w:val="FootnoteReference"/>
        </w:rPr>
        <w:footnoteRef/>
      </w:r>
      <w:r w:rsidRPr="00602574">
        <w:t xml:space="preserve"> </w:t>
      </w:r>
      <w:r w:rsidRPr="009B669C">
        <w:t>The reported values reflect a defined set of assumptions and should be interpreted as outputs of a scenario-based estimation rather than precise measurements.</w:t>
      </w:r>
      <w:r>
        <w:t xml:space="preserve"> </w:t>
      </w:r>
      <w:r w:rsidRPr="00602574">
        <w:t>The model, the relevant assumptions as well as the sensitivity analysis are presented in Annex 4</w:t>
      </w:r>
      <w:r w:rsidR="002B264D">
        <w:t>, s</w:t>
      </w:r>
      <w:r>
        <w:t>ection 2</w:t>
      </w:r>
      <w:r w:rsidRPr="00951F1D">
        <w:t>.</w:t>
      </w:r>
      <w:r>
        <w:t xml:space="preserve"> </w:t>
      </w:r>
      <w:r w:rsidRPr="001A01C4">
        <w:t>Depending on the assumed annual energy-efficiency improvement factor (5%–30%), total emissions</w:t>
      </w:r>
      <w:r>
        <w:t xml:space="preserve"> associated with Option 3</w:t>
      </w:r>
      <w:r w:rsidRPr="001A01C4">
        <w:t xml:space="preserve"> range between 5</w:t>
      </w:r>
      <w:r>
        <w:t>,104,733</w:t>
      </w:r>
      <w:r w:rsidRPr="001A01C4">
        <w:t xml:space="preserve"> and </w:t>
      </w:r>
      <w:r>
        <w:t xml:space="preserve">5,678,338 </w:t>
      </w:r>
      <w:r w:rsidRPr="001A01C4">
        <w:t>t CO₂eq</w:t>
      </w:r>
      <w:r>
        <w:t>.</w:t>
      </w:r>
    </w:p>
  </w:footnote>
  <w:footnote w:id="253">
    <w:p w14:paraId="2669F45C" w14:textId="1C0F5898" w:rsidR="00C74199" w:rsidRPr="00D07D2B" w:rsidRDefault="00C74199" w:rsidP="006A3DDC">
      <w:pPr>
        <w:pStyle w:val="FootnoteText"/>
        <w:spacing w:line="240" w:lineRule="auto"/>
        <w:rPr>
          <w:lang w:val="en-IE"/>
        </w:rPr>
      </w:pPr>
      <w:r>
        <w:rPr>
          <w:rStyle w:val="FootnoteReference"/>
        </w:rPr>
        <w:footnoteRef/>
      </w:r>
      <w:r>
        <w:t xml:space="preserve"> </w:t>
      </w:r>
      <w:r w:rsidRPr="00FA6F85">
        <w:t xml:space="preserve">The EECC Evaluation </w:t>
      </w:r>
      <w:r>
        <w:t xml:space="preserve">report </w:t>
      </w:r>
      <w:r w:rsidRPr="00FA6F85">
        <w:t>finds that spectrum trading, leasing and sharing mechanisms in the EU mobile sector have been used only to a very limited extent in practice</w:t>
      </w:r>
      <w:r>
        <w:t>.</w:t>
      </w:r>
      <w:r w:rsidRPr="00FA6F85">
        <w:t xml:space="preserve"> </w:t>
      </w:r>
      <w:r>
        <w:t>S</w:t>
      </w:r>
      <w:r w:rsidRPr="00FA6F85">
        <w:t xml:space="preserve">ee Annex 11, </w:t>
      </w:r>
      <w:r w:rsidR="00C75CD5">
        <w:t>s</w:t>
      </w:r>
      <w:r w:rsidR="00C75CD5" w:rsidRPr="00FA6F85">
        <w:t xml:space="preserve">ection </w:t>
      </w:r>
      <w:r w:rsidRPr="00FA6F85">
        <w:t>5.5.3.</w:t>
      </w:r>
    </w:p>
  </w:footnote>
  <w:footnote w:id="254">
    <w:p w14:paraId="49D0271E" w14:textId="13C67DF0" w:rsidR="00C74199" w:rsidRPr="00602574" w:rsidRDefault="00C74199" w:rsidP="006A3DDC">
      <w:pPr>
        <w:pStyle w:val="FootnoteText"/>
        <w:spacing w:line="240" w:lineRule="auto"/>
      </w:pPr>
      <w:r w:rsidRPr="00602574">
        <w:rPr>
          <w:rStyle w:val="FootnoteReference"/>
        </w:rPr>
        <w:footnoteRef/>
      </w:r>
      <w:r w:rsidRPr="00602574">
        <w:t xml:space="preserve"> Staffing implications for public authorities are assessed in </w:t>
      </w:r>
      <w:r w:rsidR="00C75CD5">
        <w:t>s</w:t>
      </w:r>
      <w:r w:rsidR="00C75CD5" w:rsidRPr="00602574">
        <w:t xml:space="preserve">ection </w:t>
      </w:r>
      <w:r w:rsidRPr="00602574">
        <w:t>6.4, which discusses impacts of governance options. Under spectrum option 3, administrative workload is expected to increase mainly at EU level, with an estimated additional 5 FTEs for the Commission and 15 FTEs for the BEREC Office, reflecting their expanded responsibilities. Staffing levels in Member States are not expected to change materially, as many functions remain with national authorities.</w:t>
      </w:r>
    </w:p>
  </w:footnote>
  <w:footnote w:id="255">
    <w:p w14:paraId="1BD4A57C" w14:textId="5F8A8795" w:rsidR="00725B42" w:rsidRPr="00BF50BF" w:rsidRDefault="00725B42" w:rsidP="006A3DDC">
      <w:pPr>
        <w:pStyle w:val="FootnoteText"/>
        <w:spacing w:line="240" w:lineRule="auto"/>
        <w:rPr>
          <w:lang w:val="en-IE"/>
        </w:rPr>
      </w:pPr>
      <w:r w:rsidRPr="00BF50BF">
        <w:rPr>
          <w:rStyle w:val="FootnoteReference"/>
        </w:rPr>
        <w:footnoteRef/>
      </w:r>
      <w:r w:rsidRPr="00BF50BF">
        <w:t xml:space="preserve"> More detailed description of the impact can be found in the accompanying Annex 9</w:t>
      </w:r>
      <w:r w:rsidR="003C0D0D">
        <w:t>,</w:t>
      </w:r>
      <w:r w:rsidRPr="00BF50BF">
        <w:t xml:space="preserve"> part 1.3. and </w:t>
      </w:r>
      <w:r w:rsidR="00A51D5C" w:rsidRPr="00BF50BF">
        <w:t>4</w:t>
      </w:r>
      <w:r w:rsidR="00063651" w:rsidRPr="00BF50BF">
        <w:t>.</w:t>
      </w:r>
    </w:p>
  </w:footnote>
  <w:footnote w:id="256">
    <w:p w14:paraId="3B77542C" w14:textId="7763F10B" w:rsidR="78533078" w:rsidRPr="00BF50BF" w:rsidRDefault="78533078" w:rsidP="006A3DDC">
      <w:pPr>
        <w:spacing w:line="240" w:lineRule="auto"/>
        <w:rPr>
          <w:sz w:val="20"/>
          <w:szCs w:val="20"/>
        </w:rPr>
      </w:pPr>
      <w:r w:rsidRPr="00B4313D">
        <w:rPr>
          <w:sz w:val="20"/>
          <w:szCs w:val="20"/>
          <w:vertAlign w:val="superscript"/>
        </w:rPr>
        <w:footnoteRef/>
      </w:r>
      <w:r w:rsidR="30894E89" w:rsidRPr="00BF50BF">
        <w:rPr>
          <w:sz w:val="20"/>
          <w:szCs w:val="20"/>
        </w:rPr>
        <w:t xml:space="preserve"> This will not include MS which do not require GA (DK) or which </w:t>
      </w:r>
      <w:r w:rsidR="6A9AEE49" w:rsidRPr="00BF50BF">
        <w:rPr>
          <w:sz w:val="20"/>
          <w:szCs w:val="20"/>
        </w:rPr>
        <w:t>have GA but require notification (FR).</w:t>
      </w:r>
      <w:r w:rsidR="40BB2C38" w:rsidRPr="00BF50BF">
        <w:rPr>
          <w:sz w:val="20"/>
          <w:szCs w:val="20"/>
        </w:rPr>
        <w:t xml:space="preserve"> </w:t>
      </w:r>
    </w:p>
  </w:footnote>
  <w:footnote w:id="257">
    <w:p w14:paraId="6B345390" w14:textId="5AD8C238" w:rsidR="000B7BCD" w:rsidRPr="00BF50BF" w:rsidRDefault="000B7BCD" w:rsidP="006A3DDC">
      <w:pPr>
        <w:pStyle w:val="FootnoteText"/>
        <w:spacing w:line="240" w:lineRule="auto"/>
        <w:rPr>
          <w:lang w:val="en-IE"/>
        </w:rPr>
      </w:pPr>
      <w:r w:rsidRPr="00BF50BF">
        <w:rPr>
          <w:rStyle w:val="FootnoteReference"/>
        </w:rPr>
        <w:footnoteRef/>
      </w:r>
      <w:r w:rsidRPr="00BF50BF">
        <w:t xml:space="preserve"> </w:t>
      </w:r>
      <w:r w:rsidR="00C62EE5">
        <w:rPr>
          <w:lang w:val="en-IE"/>
        </w:rPr>
        <w:t>Study for Digital Single Market</w:t>
      </w:r>
      <w:r w:rsidRPr="00BF50BF">
        <w:t>.</w:t>
      </w:r>
    </w:p>
  </w:footnote>
  <w:footnote w:id="258">
    <w:p w14:paraId="271F71F2" w14:textId="315956AE" w:rsidR="00C51A0E" w:rsidRPr="00BF50BF" w:rsidRDefault="00C51A0E" w:rsidP="006A3DDC">
      <w:pPr>
        <w:pStyle w:val="FootnoteText"/>
        <w:spacing w:line="240" w:lineRule="auto"/>
        <w:rPr>
          <w:lang w:val="en-IE"/>
        </w:rPr>
      </w:pPr>
      <w:r w:rsidRPr="00BF50BF">
        <w:rPr>
          <w:rStyle w:val="FootnoteReference"/>
        </w:rPr>
        <w:footnoteRef/>
      </w:r>
      <w:r w:rsidRPr="00BF50BF">
        <w:t xml:space="preserve"> </w:t>
      </w:r>
      <w:r w:rsidRPr="00BF50BF">
        <w:rPr>
          <w:lang w:val="en-IE"/>
        </w:rPr>
        <w:t xml:space="preserve">See </w:t>
      </w:r>
      <w:r w:rsidR="00C62EE5">
        <w:rPr>
          <w:lang w:val="en-IE"/>
        </w:rPr>
        <w:t>‘Study for Digital Single Market’</w:t>
      </w:r>
      <w:r w:rsidRPr="00BF50BF">
        <w:rPr>
          <w:lang w:val="en-IE"/>
        </w:rPr>
        <w:t xml:space="preserve"> for explanation on how this estimate has been done based on a Survey among RSPG members.</w:t>
      </w:r>
    </w:p>
  </w:footnote>
  <w:footnote w:id="259">
    <w:p w14:paraId="56912EEF" w14:textId="1215877F" w:rsidR="00BF69CA" w:rsidRPr="00BF50BF" w:rsidRDefault="00BF69CA" w:rsidP="00BE337F">
      <w:pPr>
        <w:pStyle w:val="ListParagraph"/>
        <w:spacing w:after="0" w:line="240" w:lineRule="auto"/>
        <w:ind w:left="0"/>
        <w:rPr>
          <w:sz w:val="20"/>
          <w:szCs w:val="20"/>
        </w:rPr>
      </w:pPr>
      <w:r w:rsidRPr="00BE337F">
        <w:rPr>
          <w:rStyle w:val="FootnoteReference"/>
          <w:rFonts w:eastAsiaTheme="minorEastAsia"/>
        </w:rPr>
        <w:footnoteRef/>
      </w:r>
      <w:r w:rsidRPr="00BF50BF">
        <w:rPr>
          <w:sz w:val="20"/>
          <w:szCs w:val="20"/>
        </w:rPr>
        <w:t xml:space="preserve"> </w:t>
      </w:r>
      <w:r w:rsidR="004B5D33" w:rsidRPr="00BF50BF">
        <w:rPr>
          <w:iCs/>
          <w:sz w:val="20"/>
          <w:szCs w:val="20"/>
        </w:rPr>
        <w:t>H</w:t>
      </w:r>
      <w:r w:rsidR="00D14117" w:rsidRPr="00BF50BF">
        <w:rPr>
          <w:iCs/>
          <w:sz w:val="20"/>
          <w:szCs w:val="20"/>
        </w:rPr>
        <w:t>igher number of satellite authorisation requests are expected in the future, in particular for LEO constellations.</w:t>
      </w:r>
      <w:r w:rsidR="00DB7BEB">
        <w:rPr>
          <w:iCs/>
          <w:sz w:val="20"/>
          <w:szCs w:val="20"/>
        </w:rPr>
        <w:t xml:space="preserve"> </w:t>
      </w:r>
      <w:r w:rsidR="00D14117" w:rsidRPr="00BF50BF">
        <w:rPr>
          <w:iCs/>
          <w:sz w:val="20"/>
          <w:szCs w:val="20"/>
        </w:rPr>
        <w:t>According to the Detecon MSS Study (2025), around 9 000 LEO satellites were in operation worldwide at the beginning of 2025, and this number is expected to grow by at least a factor of six over the next decade, equivalent to roughly 60</w:t>
      </w:r>
      <w:r w:rsidR="00E46ECF">
        <w:rPr>
          <w:iCs/>
          <w:sz w:val="20"/>
          <w:szCs w:val="20"/>
        </w:rPr>
        <w:t> </w:t>
      </w:r>
      <w:r w:rsidR="00D14117" w:rsidRPr="00BF50BF">
        <w:rPr>
          <w:iCs/>
          <w:sz w:val="20"/>
          <w:szCs w:val="20"/>
        </w:rPr>
        <w:t>000 operational LEO satellites by 2035 globally. This study also identifies around 25 global operators/LEO constellations with launched, planned or announced LEO satellites relevant in the coming years. These numbers will surely impact the FTEs needed to address these requests and ensure enforcement, monitoring and dealing with increasing harmful interferences.</w:t>
      </w:r>
      <w:r w:rsidRPr="00BF50BF">
        <w:rPr>
          <w:sz w:val="20"/>
          <w:szCs w:val="20"/>
        </w:rPr>
        <w:t xml:space="preserve"> </w:t>
      </w:r>
      <w:hyperlink r:id="rId83">
        <w:r w:rsidRPr="00292895">
          <w:rPr>
            <w:sz w:val="20"/>
          </w:rPr>
          <w:t>Detecon International GmbH 2025,</w:t>
        </w:r>
      </w:hyperlink>
      <w:r w:rsidRPr="00BF50BF">
        <w:rPr>
          <w:sz w:val="20"/>
          <w:szCs w:val="20"/>
        </w:rPr>
        <w:t xml:space="preserve"> p. 11</w:t>
      </w:r>
      <w:r w:rsidR="0009123D" w:rsidRPr="00BF50BF">
        <w:rPr>
          <w:sz w:val="20"/>
          <w:szCs w:val="20"/>
        </w:rPr>
        <w:t xml:space="preserve"> and p.105</w:t>
      </w:r>
      <w:r w:rsidRPr="00BF50BF">
        <w:rPr>
          <w:sz w:val="20"/>
          <w:szCs w:val="20"/>
        </w:rPr>
        <w:t>.</w:t>
      </w:r>
    </w:p>
  </w:footnote>
  <w:footnote w:id="260">
    <w:p w14:paraId="71FEFB85" w14:textId="30EF1FA6" w:rsidR="003141E2" w:rsidRPr="00BF50BF" w:rsidRDefault="003141E2" w:rsidP="006A3DDC">
      <w:pPr>
        <w:pStyle w:val="FootnoteText"/>
        <w:spacing w:line="240" w:lineRule="auto"/>
      </w:pPr>
      <w:r w:rsidRPr="00BF50BF">
        <w:rPr>
          <w:rStyle w:val="FootnoteReference"/>
        </w:rPr>
        <w:footnoteRef/>
      </w:r>
      <w:r w:rsidRPr="00BF50BF">
        <w:t xml:space="preserve"> </w:t>
      </w:r>
      <w:r w:rsidRPr="00BF50BF">
        <w:rPr>
          <w:lang w:val="en-US"/>
        </w:rPr>
        <w:t xml:space="preserve">Large connectivity gaps still remain to reach </w:t>
      </w:r>
      <w:r w:rsidRPr="00BF50BF">
        <w:t>full</w:t>
      </w:r>
      <w:r w:rsidRPr="00BF50BF">
        <w:rPr>
          <w:lang w:val="en-US"/>
        </w:rPr>
        <w:t xml:space="preserve"> territorial coverage. According to the Digital Decade targets, all EU households should have access to gigabit connectivity by 2030. However, studies estimate that between 33 and 71 million EU residents may still be left without gigabit-capable fixed access by that time if relying on fibre and mobile networks alone</w:t>
      </w:r>
      <w:r w:rsidRPr="00BF50BF">
        <w:rPr>
          <w:vertAlign w:val="superscript"/>
          <w:lang w:val="en-US"/>
        </w:rPr>
        <w:t xml:space="preserve">. </w:t>
      </w:r>
      <w:r w:rsidRPr="00BF50BF">
        <w:rPr>
          <w:lang w:val="en-US"/>
        </w:rPr>
        <w:t xml:space="preserve">Johnson, O., &amp; Kürsteiner, A. (2023). </w:t>
      </w:r>
      <w:hyperlink r:id="rId84" w:history="1">
        <w:r w:rsidRPr="00BF50BF">
          <w:rPr>
            <w:rStyle w:val="Hyperlink"/>
            <w:lang w:val="en-US"/>
          </w:rPr>
          <w:t>The role of the satellite market in provisioning broadband access in Europe up to 2030</w:t>
        </w:r>
      </w:hyperlink>
      <w:r w:rsidRPr="00BF50BF">
        <w:rPr>
          <w:lang w:val="en-US"/>
        </w:rPr>
        <w:t>. Paper presented at the 32nd European Conference of the International Telecommunications Society (ITS): Realising the Digital Decade in the European Union – Easier Said Than Done?, Madrid, Spain, 19–20 June 2023</w:t>
      </w:r>
      <w:r w:rsidR="00C14705" w:rsidRPr="00BF50BF">
        <w:rPr>
          <w:lang w:val="en-US"/>
        </w:rPr>
        <w:t>.</w:t>
      </w:r>
      <w:r w:rsidRPr="00BF50BF">
        <w:rPr>
          <w:lang w:val="en-US"/>
        </w:rPr>
        <w:t xml:space="preserve"> </w:t>
      </w:r>
    </w:p>
  </w:footnote>
  <w:footnote w:id="261">
    <w:p w14:paraId="7BA5FDE9" w14:textId="609DDE7F" w:rsidR="001C2845" w:rsidRPr="00BF50BF" w:rsidRDefault="001C2845" w:rsidP="006A3DDC">
      <w:pPr>
        <w:pStyle w:val="FootnoteText"/>
        <w:spacing w:line="240" w:lineRule="auto"/>
      </w:pPr>
      <w:r w:rsidRPr="00BF50BF">
        <w:rPr>
          <w:rStyle w:val="FootnoteReference"/>
        </w:rPr>
        <w:footnoteRef/>
      </w:r>
      <w:r w:rsidRPr="00BF50BF">
        <w:t xml:space="preserve"> </w:t>
      </w:r>
      <w:r w:rsidR="00E625BB" w:rsidRPr="00BF50BF">
        <w:rPr>
          <w:rFonts w:eastAsia="Times New Roman"/>
          <w:color w:val="000000" w:themeColor="text1"/>
          <w:lang w:val="en-US"/>
        </w:rPr>
        <w:t xml:space="preserve">Satellites can indirectly contribute to emission reductions and more efficient resource use in other sectors. For example, satellite-enabled IoT systems can optimise irrigation, energy grids, or logistics chains, while reliable broadband access supports remote work and reduces travel needs. In the EU context, such co-benefits are particularly relevant for agriculture, energy, and transport sectors, especially in rural regions – see </w:t>
      </w:r>
      <w:r w:rsidR="00E625BB" w:rsidRPr="00BF50BF">
        <w:t xml:space="preserve">European Investment Bank (EIB). (2025). </w:t>
      </w:r>
      <w:hyperlink r:id="rId85" w:history="1">
        <w:r w:rsidR="00E625BB" w:rsidRPr="00BF50BF">
          <w:rPr>
            <w:rStyle w:val="Hyperlink"/>
          </w:rPr>
          <w:t>Global Broadband MEO Satellite Constellation</w:t>
        </w:r>
      </w:hyperlink>
      <w:r w:rsidR="00E625BB" w:rsidRPr="00BF50BF">
        <w:t xml:space="preserve"> (Project No. 20230498)</w:t>
      </w:r>
      <w:r w:rsidR="00261A87" w:rsidRPr="00BF50BF">
        <w:t>.</w:t>
      </w:r>
      <w:r w:rsidR="00E625BB" w:rsidRPr="00BF50BF">
        <w:t xml:space="preserve"> </w:t>
      </w:r>
    </w:p>
  </w:footnote>
  <w:footnote w:id="262">
    <w:p w14:paraId="133B70FE" w14:textId="652DB32E" w:rsidR="00C07B5F" w:rsidRPr="00BF50BF" w:rsidRDefault="00C07B5F" w:rsidP="006A3DDC">
      <w:pPr>
        <w:pStyle w:val="FootnoteText"/>
        <w:spacing w:line="240" w:lineRule="auto"/>
      </w:pPr>
      <w:r w:rsidRPr="00BF50BF">
        <w:rPr>
          <w:rStyle w:val="FootnoteReference"/>
        </w:rPr>
        <w:footnoteRef/>
      </w:r>
      <w:r w:rsidRPr="00BF50BF">
        <w:t xml:space="preserve"> Ogutu B. Osoro, Edward J. Oughton, Andrew R. Wilson &amp; Akhil Rao. (2023). </w:t>
      </w:r>
      <w:hyperlink r:id="rId86" w:history="1">
        <w:r w:rsidRPr="00BF50BF">
          <w:rPr>
            <w:rStyle w:val="Hyperlink"/>
          </w:rPr>
          <w:t>Sustainability assessment of Low Earth Orbit (LEO) satellite broadband megaconstellations</w:t>
        </w:r>
      </w:hyperlink>
      <w:r w:rsidRPr="00BF50BF">
        <w:t xml:space="preserve"> (arXiv:2309.02338)</w:t>
      </w:r>
      <w:r w:rsidR="00F93F4B" w:rsidRPr="00BF50BF">
        <w:t>.</w:t>
      </w:r>
      <w:r w:rsidRPr="00BF50BF">
        <w:t xml:space="preserve"> </w:t>
      </w:r>
    </w:p>
  </w:footnote>
  <w:footnote w:id="263">
    <w:p w14:paraId="77A77140" w14:textId="47656BF1" w:rsidR="00D433E8" w:rsidRPr="00BF50BF" w:rsidRDefault="00D433E8" w:rsidP="006A3DDC">
      <w:pPr>
        <w:pStyle w:val="FootnoteText"/>
        <w:spacing w:line="240" w:lineRule="auto"/>
      </w:pPr>
      <w:r w:rsidRPr="00BF50BF">
        <w:rPr>
          <w:rStyle w:val="FootnoteReference"/>
        </w:rPr>
        <w:footnoteRef/>
      </w:r>
      <w:r w:rsidRPr="00BF50BF">
        <w:t xml:space="preserve"> </w:t>
      </w:r>
      <w:r w:rsidR="008F54A7" w:rsidRPr="00BF50BF">
        <w:t xml:space="preserve">The Commission has, in its Opinion on the BEREC Single Programming Document, consistently over the past years </w:t>
      </w:r>
      <w:r w:rsidR="0EA95099" w:rsidRPr="00BF50BF">
        <w:t>signalled</w:t>
      </w:r>
      <w:r w:rsidR="008F54A7" w:rsidRPr="00BF50BF">
        <w:t xml:space="preserve"> that the current staffing levels (48</w:t>
      </w:r>
      <w:r w:rsidR="007C285B" w:rsidRPr="00BF50BF">
        <w:t xml:space="preserve"> in 2024) </w:t>
      </w:r>
      <w:r w:rsidR="008F54A7" w:rsidRPr="00BF50BF">
        <w:t>are above the authori</w:t>
      </w:r>
      <w:r w:rsidR="007C285B" w:rsidRPr="00BF50BF">
        <w:t>s</w:t>
      </w:r>
      <w:r w:rsidR="008F54A7" w:rsidRPr="00BF50BF">
        <w:t>ed levels</w:t>
      </w:r>
      <w:r w:rsidR="007C285B" w:rsidRPr="00BF50BF">
        <w:t xml:space="preserve"> (</w:t>
      </w:r>
      <w:r w:rsidR="79F2607F" w:rsidRPr="00BF50BF">
        <w:t>36</w:t>
      </w:r>
      <w:r w:rsidR="000F26A3" w:rsidRPr="00BF50BF">
        <w:t xml:space="preserve"> FTEs)</w:t>
      </w:r>
      <w:r w:rsidR="008F54A7" w:rsidRPr="00BF50BF">
        <w:t>.</w:t>
      </w:r>
      <w:r w:rsidR="007C285B" w:rsidRPr="00BF50BF">
        <w:t xml:space="preserve"> </w:t>
      </w:r>
      <w:r w:rsidR="008F54A7" w:rsidRPr="00BF50BF">
        <w:t>However, no action has been taken to address this de facto situation further to asking the BEREC Office to address this discrepancy. </w:t>
      </w:r>
      <w:r w:rsidR="007C285B" w:rsidRPr="00BF50BF">
        <w:t>As the</w:t>
      </w:r>
      <w:r w:rsidR="0091001A" w:rsidRPr="00BF50BF">
        <w:t xml:space="preserve"> current tasks of the BEREC Office are performed with the </w:t>
      </w:r>
      <w:r w:rsidR="009E799C" w:rsidRPr="00BF50BF">
        <w:t xml:space="preserve">actual staffing level </w:t>
      </w:r>
      <w:r w:rsidR="002E0C56" w:rsidRPr="00BF50BF">
        <w:t>covered with the current budget of the BEREC Office, the Impact Assessment recognises the status quo and the</w:t>
      </w:r>
      <w:r w:rsidR="0091001A" w:rsidRPr="00BF50BF">
        <w:t xml:space="preserve"> </w:t>
      </w:r>
      <w:r w:rsidR="0E253C75" w:rsidRPr="00BF50BF">
        <w:t>corresponding</w:t>
      </w:r>
      <w:r w:rsidR="00CE3171" w:rsidRPr="00BF50BF">
        <w:t xml:space="preserve"> budget allocation and costs.</w:t>
      </w:r>
    </w:p>
  </w:footnote>
  <w:footnote w:id="264">
    <w:p w14:paraId="582C4C13" w14:textId="6F4850CB" w:rsidR="009912B3" w:rsidRPr="00BF50BF" w:rsidRDefault="009912B3" w:rsidP="006A3DDC">
      <w:pPr>
        <w:pStyle w:val="FootnoteText"/>
        <w:spacing w:line="240" w:lineRule="auto"/>
      </w:pPr>
      <w:r w:rsidRPr="00BF50BF">
        <w:rPr>
          <w:rStyle w:val="FootnoteReference"/>
        </w:rPr>
        <w:footnoteRef/>
      </w:r>
      <w:r w:rsidRPr="00BF50BF">
        <w:t xml:space="preserve"> </w:t>
      </w:r>
      <w:r w:rsidR="00A314AA" w:rsidRPr="00BF50BF">
        <w:t xml:space="preserve">ENISA single programming document 2022-2024 </w:t>
      </w:r>
      <w:r w:rsidR="00B11079" w:rsidRPr="00BF50BF">
        <w:rPr>
          <w:lang w:eastAsia="en-IE"/>
        </w:rPr>
        <w:t>–</w:t>
      </w:r>
      <w:r w:rsidR="00A314AA" w:rsidRPr="00BF50BF">
        <w:t xml:space="preserve"> </w:t>
      </w:r>
      <w:r w:rsidR="004B1954" w:rsidRPr="00BF50BF">
        <w:rPr>
          <w:lang w:eastAsia="en-IE"/>
        </w:rPr>
        <w:t>T</w:t>
      </w:r>
      <w:r w:rsidR="00B11079" w:rsidRPr="00BF50BF">
        <w:rPr>
          <w:lang w:eastAsia="en-IE"/>
        </w:rPr>
        <w:t xml:space="preserve">able </w:t>
      </w:r>
      <w:r w:rsidR="00A4277D" w:rsidRPr="00BF50BF">
        <w:rPr>
          <w:lang w:eastAsia="en-IE"/>
        </w:rPr>
        <w:t>28 on the indicative resources for the Brussels local office</w:t>
      </w:r>
      <w:r w:rsidR="00222924" w:rsidRPr="00BF50BF">
        <w:rPr>
          <w:lang w:eastAsia="en-IE"/>
        </w:rPr>
        <w:t xml:space="preserve"> (one-off cost </w:t>
      </w:r>
      <w:r w:rsidR="004B1954" w:rsidRPr="00BF50BF">
        <w:rPr>
          <w:lang w:eastAsia="en-IE"/>
        </w:rPr>
        <w:t xml:space="preserve">+ </w:t>
      </w:r>
      <w:r w:rsidR="00222924" w:rsidRPr="00BF50BF">
        <w:rPr>
          <w:lang w:eastAsia="en-IE"/>
        </w:rPr>
        <w:t>maintenance costs)</w:t>
      </w:r>
      <w:r w:rsidR="00A4277D" w:rsidRPr="00BF50BF">
        <w:rPr>
          <w:lang w:eastAsia="en-IE"/>
        </w:rPr>
        <w:t>.</w:t>
      </w:r>
      <w:r w:rsidR="00CA6125" w:rsidRPr="00BF50BF">
        <w:rPr>
          <w:rFonts w:eastAsia="Times New Roman"/>
          <w:lang w:eastAsia="en-IE"/>
        </w:rPr>
        <w:t xml:space="preserve"> </w:t>
      </w:r>
    </w:p>
  </w:footnote>
  <w:footnote w:id="265">
    <w:p w14:paraId="4961BE66" w14:textId="18EAE5C1" w:rsidR="00C87B47" w:rsidRPr="00BF50BF" w:rsidRDefault="00C87B47" w:rsidP="006A3DDC">
      <w:pPr>
        <w:pStyle w:val="FootnoteText"/>
        <w:spacing w:line="240" w:lineRule="auto"/>
      </w:pPr>
      <w:r w:rsidRPr="00BF50BF">
        <w:rPr>
          <w:rStyle w:val="FootnoteReference"/>
        </w:rPr>
        <w:footnoteRef/>
      </w:r>
      <w:r w:rsidRPr="00BF50BF">
        <w:t xml:space="preserve"> Using an EU27 average hourly staff costs of EUR</w:t>
      </w:r>
      <w:r w:rsidR="00181277" w:rsidRPr="00BF50BF">
        <w:rPr>
          <w:rFonts w:eastAsia="Times New Roman"/>
          <w:color w:val="000000" w:themeColor="text1"/>
        </w:rPr>
        <w:t> </w:t>
      </w:r>
      <w:r w:rsidRPr="00BF50BF">
        <w:t>48 based on ISCO figures for relevant staff categories</w:t>
      </w:r>
      <w:r w:rsidR="00FB2FCD" w:rsidRPr="00BF50BF">
        <w:t>.</w:t>
      </w:r>
    </w:p>
  </w:footnote>
  <w:footnote w:id="266">
    <w:p w14:paraId="1167B96C" w14:textId="204AD77C" w:rsidR="00F8370D" w:rsidRPr="00BF50BF" w:rsidRDefault="00F8370D" w:rsidP="006A3DDC">
      <w:pPr>
        <w:pStyle w:val="FootnoteText"/>
        <w:spacing w:line="240" w:lineRule="auto"/>
        <w:rPr>
          <w:lang w:val="en-IE"/>
        </w:rPr>
      </w:pPr>
      <w:r w:rsidRPr="00BF50BF">
        <w:rPr>
          <w:rStyle w:val="FootnoteReference"/>
        </w:rPr>
        <w:footnoteRef/>
      </w:r>
      <w:r w:rsidRPr="00BF50BF">
        <w:t xml:space="preserve"> For both BEREC and RSPG, the exact figures would vary depending on the Member State.</w:t>
      </w:r>
    </w:p>
  </w:footnote>
  <w:footnote w:id="267">
    <w:p w14:paraId="0F31541C" w14:textId="23B686A7" w:rsidR="00F51DD6" w:rsidRPr="00BF50BF" w:rsidRDefault="00F51DD6" w:rsidP="006A3DDC">
      <w:pPr>
        <w:pStyle w:val="FootnoteText"/>
        <w:spacing w:line="240" w:lineRule="auto"/>
        <w:rPr>
          <w:lang w:val="en-IE"/>
        </w:rPr>
      </w:pPr>
      <w:r w:rsidRPr="00BF50BF">
        <w:rPr>
          <w:rStyle w:val="FootnoteReference"/>
        </w:rPr>
        <w:footnoteRef/>
      </w:r>
      <w:r w:rsidRPr="00BF50BF">
        <w:t xml:space="preserve"> Assuming that BEREC Office </w:t>
      </w:r>
      <w:r w:rsidR="00E938DA" w:rsidRPr="00BF50BF">
        <w:t>staff</w:t>
      </w:r>
      <w:r w:rsidRPr="00BF50BF">
        <w:t xml:space="preserve"> would co-chair all the BEREC WGs, total savings for NRAs would be equals 12 x [0.7-0.9] FTE per year. However, </w:t>
      </w:r>
      <w:r w:rsidR="00340C4D" w:rsidRPr="00BF50BF">
        <w:t xml:space="preserve">this would depend </w:t>
      </w:r>
      <w:r w:rsidR="005C1003" w:rsidRPr="00BF50BF">
        <w:t>on the allocation of tasks to the BEREC Office staff and may not be justified or possible for all working groups.</w:t>
      </w:r>
    </w:p>
  </w:footnote>
  <w:footnote w:id="268">
    <w:p w14:paraId="0F4023B8" w14:textId="4BD32099" w:rsidR="00F5271B" w:rsidRPr="00BF50BF" w:rsidRDefault="00F5271B" w:rsidP="006A3DDC">
      <w:pPr>
        <w:pStyle w:val="FootnoteText"/>
        <w:spacing w:line="240" w:lineRule="auto"/>
        <w:jc w:val="left"/>
        <w:rPr>
          <w:lang w:val="en-IE"/>
        </w:rPr>
      </w:pPr>
      <w:r w:rsidRPr="00BF50BF">
        <w:rPr>
          <w:rStyle w:val="FootnoteReference"/>
        </w:rPr>
        <w:footnoteRef/>
      </w:r>
      <w:r w:rsidRPr="00BF50BF">
        <w:t xml:space="preserve"> </w:t>
      </w:r>
      <w:r w:rsidRPr="00BF50BF">
        <w:rPr>
          <w:lang w:val="en-IE"/>
        </w:rPr>
        <w:t xml:space="preserve">According to </w:t>
      </w:r>
      <w:r w:rsidRPr="00BF50BF">
        <w:rPr>
          <w:rFonts w:eastAsia="Times New Roman"/>
          <w:color w:val="000000" w:themeColor="text1"/>
          <w:lang w:val="en-US"/>
        </w:rPr>
        <w:t>BEREC</w:t>
      </w:r>
      <w:r w:rsidRPr="00BF50BF">
        <w:rPr>
          <w:lang w:val="en-IE"/>
        </w:rPr>
        <w:t xml:space="preserve"> Office’s GHG calculations</w:t>
      </w:r>
      <w:r w:rsidR="00E938DA" w:rsidRPr="00BF50BF">
        <w:rPr>
          <w:lang w:val="en-IE"/>
        </w:rPr>
        <w:t>,</w:t>
      </w:r>
      <w:r w:rsidRPr="00BF50BF">
        <w:rPr>
          <w:lang w:val="en-IE"/>
        </w:rPr>
        <w:t xml:space="preserve"> 3 Plenary meetings per year contribute 110-130 tons of CO2 emissions. </w:t>
      </w:r>
    </w:p>
  </w:footnote>
  <w:footnote w:id="269">
    <w:p w14:paraId="3C4642C7" w14:textId="0F533D1B" w:rsidR="00293EC8" w:rsidRPr="00BF50BF" w:rsidRDefault="00293EC8" w:rsidP="006A3DDC">
      <w:pPr>
        <w:pStyle w:val="FootnoteText"/>
        <w:spacing w:line="240" w:lineRule="auto"/>
      </w:pPr>
      <w:r w:rsidRPr="00BF50BF">
        <w:rPr>
          <w:rStyle w:val="FootnoteReference"/>
        </w:rPr>
        <w:footnoteRef/>
      </w:r>
      <w:r w:rsidRPr="00BF50BF">
        <w:t xml:space="preserve"> </w:t>
      </w:r>
      <w:r w:rsidRPr="00BF50BF">
        <w:rPr>
          <w:rFonts w:eastAsia="Calibri"/>
        </w:rPr>
        <w:t>Concrete information on direct and indirect costs</w:t>
      </w:r>
      <w:r w:rsidR="006B6D08">
        <w:rPr>
          <w:rFonts w:eastAsia="Calibri"/>
        </w:rPr>
        <w:t xml:space="preserve">, </w:t>
      </w:r>
      <w:r w:rsidR="006B6D08" w:rsidRPr="006B6D08">
        <w:rPr>
          <w:rFonts w:eastAsia="Calibri"/>
        </w:rPr>
        <w:t>explaining who will bear the costs, distinguishing between administration (public authorities), businesses (operators) and citizens, end-users</w:t>
      </w:r>
      <w:r w:rsidR="006B6D08">
        <w:rPr>
          <w:rFonts w:eastAsia="Calibri"/>
        </w:rPr>
        <w:t>,</w:t>
      </w:r>
      <w:r w:rsidRPr="00BF50BF">
        <w:rPr>
          <w:rFonts w:eastAsia="Calibri"/>
        </w:rPr>
        <w:t xml:space="preserve"> is included in Annex </w:t>
      </w:r>
      <w:r w:rsidR="00D309CC" w:rsidRPr="00BF50BF">
        <w:rPr>
          <w:rFonts w:eastAsia="Calibri"/>
        </w:rPr>
        <w:t>9</w:t>
      </w:r>
      <w:r w:rsidRPr="00BF50BF">
        <w:rPr>
          <w:rFonts w:eastAsia="Calibri"/>
        </w:rPr>
        <w:t>, section 1.</w:t>
      </w:r>
      <w:r w:rsidR="00D309CC" w:rsidRPr="00BF50BF">
        <w:rPr>
          <w:rFonts w:eastAsia="Calibri"/>
        </w:rPr>
        <w:t>1</w:t>
      </w:r>
      <w:r w:rsidRPr="00BF50BF">
        <w:rPr>
          <w:rFonts w:eastAsia="Calibri"/>
        </w:rPr>
        <w:t>.</w:t>
      </w:r>
    </w:p>
  </w:footnote>
  <w:footnote w:id="270">
    <w:p w14:paraId="582372B4" w14:textId="0268152F" w:rsidR="229EE860" w:rsidRPr="00BF50BF" w:rsidRDefault="229EE860" w:rsidP="006A3DDC">
      <w:pPr>
        <w:spacing w:after="0" w:line="240" w:lineRule="auto"/>
        <w:rPr>
          <w:sz w:val="20"/>
          <w:szCs w:val="20"/>
        </w:rPr>
      </w:pPr>
      <w:r w:rsidRPr="00BF50BF">
        <w:rPr>
          <w:rStyle w:val="FootnoteReference"/>
          <w:rFonts w:eastAsiaTheme="minorEastAsia"/>
          <w:sz w:val="20"/>
          <w:szCs w:val="20"/>
        </w:rPr>
        <w:footnoteRef/>
      </w:r>
      <w:r w:rsidR="0DD02211" w:rsidRPr="00BF50BF">
        <w:rPr>
          <w:sz w:val="20"/>
          <w:szCs w:val="20"/>
        </w:rPr>
        <w:t xml:space="preserve"> EU-added value is analy</w:t>
      </w:r>
      <w:r w:rsidR="00687008" w:rsidRPr="00BF50BF">
        <w:rPr>
          <w:sz w:val="20"/>
          <w:szCs w:val="20"/>
        </w:rPr>
        <w:t>s</w:t>
      </w:r>
      <w:r w:rsidR="0DD02211" w:rsidRPr="00BF50BF">
        <w:rPr>
          <w:sz w:val="20"/>
          <w:szCs w:val="20"/>
        </w:rPr>
        <w:t xml:space="preserve">ed under Annex </w:t>
      </w:r>
      <w:r w:rsidR="004534C1" w:rsidRPr="00BF50BF">
        <w:rPr>
          <w:sz w:val="20"/>
          <w:szCs w:val="20"/>
        </w:rPr>
        <w:t>9</w:t>
      </w:r>
      <w:r w:rsidR="0DD02211" w:rsidRPr="00BF50BF">
        <w:rPr>
          <w:sz w:val="20"/>
          <w:szCs w:val="20"/>
        </w:rPr>
        <w:t>, section 1.</w:t>
      </w:r>
      <w:r w:rsidR="006D13ED" w:rsidRPr="00BF50BF">
        <w:rPr>
          <w:sz w:val="20"/>
          <w:szCs w:val="20"/>
        </w:rPr>
        <w:t>1</w:t>
      </w:r>
      <w:r w:rsidR="0DD02211" w:rsidRPr="00BF50BF">
        <w:rPr>
          <w:sz w:val="20"/>
          <w:szCs w:val="20"/>
        </w:rPr>
        <w:t>.</w:t>
      </w:r>
    </w:p>
  </w:footnote>
  <w:footnote w:id="271">
    <w:p w14:paraId="7839F66B" w14:textId="5EFBC15E" w:rsidR="00C95C59" w:rsidRPr="00D8688A" w:rsidRDefault="00C95C59" w:rsidP="006A3DDC">
      <w:pPr>
        <w:pStyle w:val="FootnoteText"/>
        <w:spacing w:line="240" w:lineRule="auto"/>
        <w:rPr>
          <w:lang w:val="en-IE"/>
        </w:rPr>
      </w:pPr>
      <w:r>
        <w:rPr>
          <w:rStyle w:val="FootnoteReference"/>
        </w:rPr>
        <w:footnoteRef/>
      </w:r>
      <w:r>
        <w:t xml:space="preserve"> </w:t>
      </w:r>
      <w:r w:rsidRPr="00D8688A">
        <w:t xml:space="preserve">The GDP model estimates economic impacts based on projected changes in mid-band coverage and mobile broadband download speeds from 2025 to 2035. For this period, </w:t>
      </w:r>
      <w:r w:rsidR="009D55C7">
        <w:t>o</w:t>
      </w:r>
      <w:r w:rsidR="009D55C7" w:rsidRPr="00D8688A">
        <w:t xml:space="preserve">ptions </w:t>
      </w:r>
      <w:r w:rsidRPr="00D8688A">
        <w:t>2 and 3 are assumed to yield similar model inputs, with mid-band coverage increasing to around 96% and average download speeds reaching approximately 265 Mbps by 2035.</w:t>
      </w:r>
    </w:p>
  </w:footnote>
  <w:footnote w:id="272">
    <w:p w14:paraId="62AF6593" w14:textId="7B360FC2" w:rsidR="00C95C59" w:rsidRPr="00602574" w:rsidRDefault="00C95C59" w:rsidP="006A3DDC">
      <w:pPr>
        <w:pStyle w:val="FootnoteText"/>
        <w:spacing w:line="240" w:lineRule="auto"/>
      </w:pPr>
      <w:r w:rsidRPr="00602574">
        <w:rPr>
          <w:rStyle w:val="FootnoteReference"/>
        </w:rPr>
        <w:footnoteRef/>
      </w:r>
      <w:r>
        <w:t xml:space="preserve"> </w:t>
      </w:r>
      <w:r w:rsidRPr="00320D78">
        <w:t xml:space="preserve">The effectiveness gains of </w:t>
      </w:r>
      <w:r w:rsidR="009D55C7">
        <w:t>o</w:t>
      </w:r>
      <w:r w:rsidR="009D55C7" w:rsidRPr="00320D78">
        <w:t xml:space="preserve">ption </w:t>
      </w:r>
      <w:r w:rsidRPr="00320D78">
        <w:t>3 do not fully materialise in the short to medium term. Due to the continued relevance of existing national spectrum holdings and non-harmonised regulatory frameworks, including rules on lawful interception and consumer protection, EU-level assignments initially complement rather than replace national spectrum holdings. As a result, their immediate impact on network deployment and performance is limited. Only in the longer term, as existing rights of use expire and spectrum is progressively assigned under the EU framework, do the full effectiveness gains of Option 3 materialise, including better conditions for pan-European deployment and the realisation of economies of scale.</w:t>
      </w:r>
    </w:p>
  </w:footnote>
  <w:footnote w:id="273">
    <w:p w14:paraId="6C5C7C69" w14:textId="77777777" w:rsidR="00F47F83" w:rsidRPr="00D07D2B" w:rsidRDefault="00F47F83" w:rsidP="006A3DDC">
      <w:pPr>
        <w:pStyle w:val="FootnoteText"/>
        <w:spacing w:line="240" w:lineRule="auto"/>
        <w:rPr>
          <w:lang w:val="en-IE"/>
        </w:rPr>
      </w:pPr>
      <w:r>
        <w:rPr>
          <w:rStyle w:val="FootnoteReference"/>
        </w:rPr>
        <w:footnoteRef/>
      </w:r>
      <w:r>
        <w:t xml:space="preserve"> </w:t>
      </w:r>
      <w:r w:rsidRPr="004B35DE">
        <w:t>EU-wide awards have the potential to generate economies of scale in the long term, notably where operators deploy networks on a pan-European basis. However, given the inherently local nature of network deployment (e.g. geography, site acquisition, permitting and local workforce requirements), as well as the continued application of non-harmonised rules in areas such as lawful interception, data protection and consumer protection, such economies of scale are unlikely to materialise in the short to medium term (until 2035). Within the modelling horizon, they are not expected to offset the transition costs associated with restructuring governance and market arrangements at EU level.</w:t>
      </w:r>
    </w:p>
  </w:footnote>
  <w:footnote w:id="274">
    <w:p w14:paraId="76875DFF" w14:textId="2A51C6FD" w:rsidR="001353B7" w:rsidRPr="00BF50BF" w:rsidRDefault="001353B7" w:rsidP="006A3DDC">
      <w:pPr>
        <w:pStyle w:val="FootnoteText"/>
        <w:spacing w:line="240" w:lineRule="auto"/>
      </w:pPr>
      <w:r w:rsidRPr="00BF50BF">
        <w:rPr>
          <w:rStyle w:val="FootnoteReference"/>
        </w:rPr>
        <w:footnoteRef/>
      </w:r>
      <w:r w:rsidRPr="00BF50BF">
        <w:t xml:space="preserve"> See Building Block 1: A Single market for Space in European Commission (2025). A vision for the European Space Economy, COM(2025) 336, pp. 4-5</w:t>
      </w:r>
      <w:r w:rsidR="00A3691B" w:rsidRPr="00BF50BF">
        <w:t xml:space="preserve">. </w:t>
      </w:r>
    </w:p>
  </w:footnote>
  <w:footnote w:id="275">
    <w:p w14:paraId="040E3B45" w14:textId="77777777" w:rsidR="003C590A" w:rsidRPr="00BF50BF" w:rsidRDefault="003C590A" w:rsidP="006A3DDC">
      <w:pPr>
        <w:pStyle w:val="FootnoteText"/>
        <w:spacing w:line="240" w:lineRule="auto"/>
      </w:pPr>
      <w:r w:rsidRPr="00BF50BF">
        <w:rPr>
          <w:rStyle w:val="FootnoteReference"/>
        </w:rPr>
        <w:footnoteRef/>
      </w:r>
      <w:r w:rsidRPr="00BF50BF">
        <w:t xml:space="preserve"> While some incumbents and fibre investors consider that provisions regarding functional separation could be removed, this is opposed by NRAs, consumer protection authorities and alternative operators, as they consider that it provides a useful role as a last resort measure, which could be used to incentivise organisation changes within dominant firms that would improve compliance.</w:t>
      </w:r>
    </w:p>
  </w:footnote>
  <w:footnote w:id="276">
    <w:p w14:paraId="31047772" w14:textId="0CCBD68D" w:rsidR="003C590A" w:rsidRPr="00BF50BF" w:rsidRDefault="003C590A" w:rsidP="006A3DDC">
      <w:pPr>
        <w:pStyle w:val="FootnoteText"/>
        <w:spacing w:line="240" w:lineRule="auto"/>
      </w:pPr>
      <w:r w:rsidRPr="00BF50BF">
        <w:rPr>
          <w:rStyle w:val="FootnoteReference"/>
        </w:rPr>
        <w:footnoteRef/>
      </w:r>
      <w:r w:rsidRPr="00BF50BF">
        <w:t xml:space="preserve"> Provisions relating to functional separation have never been used. There have been no approved instances of co-investment in line with Article</w:t>
      </w:r>
      <w:r w:rsidR="00A907F2">
        <w:t> </w:t>
      </w:r>
      <w:r w:rsidRPr="00BF50BF">
        <w:t>76 EECC and wholesale only provisions have only been considered relevant in two cases (DK and IT)</w:t>
      </w:r>
      <w:r w:rsidR="008E33E8">
        <w:t>.</w:t>
      </w:r>
    </w:p>
  </w:footnote>
  <w:footnote w:id="277">
    <w:p w14:paraId="13671ECB" w14:textId="30543ECB" w:rsidR="003C590A" w:rsidRDefault="003C590A" w:rsidP="006A3DDC">
      <w:pPr>
        <w:pStyle w:val="FootnoteText"/>
        <w:spacing w:line="240" w:lineRule="auto"/>
      </w:pPr>
      <w:r w:rsidRPr="00BF50BF">
        <w:rPr>
          <w:rStyle w:val="FootnoteReference"/>
        </w:rPr>
        <w:footnoteRef/>
      </w:r>
      <w:r w:rsidRPr="00BF50BF">
        <w:t xml:space="preserve"> Feedback from stakeholders tends to confirm that Article</w:t>
      </w:r>
      <w:r w:rsidR="00A907F2">
        <w:t> </w:t>
      </w:r>
      <w:r w:rsidRPr="00BF50BF">
        <w:t>76 could be removed. 50% of NRAs and 62% of alternative operators favour its removal.</w:t>
      </w:r>
    </w:p>
    <w:p w14:paraId="2BD9E8D8" w14:textId="77777777" w:rsidR="00BA2C1A" w:rsidRDefault="00BA2C1A" w:rsidP="006A3DDC">
      <w:pPr>
        <w:pStyle w:val="FootnoteText"/>
        <w:spacing w:line="240" w:lineRule="auto"/>
      </w:pPr>
    </w:p>
    <w:p w14:paraId="0AED4250" w14:textId="77777777" w:rsidR="00260BAA" w:rsidRPr="00BF50BF" w:rsidRDefault="00260BAA" w:rsidP="006A3DDC">
      <w:pPr>
        <w:pStyle w:val="FootnoteText"/>
        <w:spacing w:line="240" w:lineRule="auto"/>
      </w:pPr>
    </w:p>
  </w:footnote>
  <w:footnote w:id="278">
    <w:p w14:paraId="0D2D4CFD" w14:textId="3AF762A1" w:rsidR="003A5FF9" w:rsidRPr="00EF40AE" w:rsidRDefault="003A5FF9" w:rsidP="006A3DDC">
      <w:pPr>
        <w:pStyle w:val="FootnoteText"/>
        <w:spacing w:line="240" w:lineRule="auto"/>
        <w:rPr>
          <w:lang w:val="en-IE"/>
        </w:rPr>
      </w:pPr>
      <w:r>
        <w:rPr>
          <w:rStyle w:val="FootnoteReference"/>
        </w:rPr>
        <w:footnoteRef/>
      </w:r>
      <w:r>
        <w:t xml:space="preserve"> </w:t>
      </w:r>
      <w:r w:rsidRPr="00EF40AE">
        <w:rPr>
          <w:lang w:val="en-IE"/>
        </w:rPr>
        <w:t xml:space="preserve">For </w:t>
      </w:r>
      <w:r w:rsidR="003A7437" w:rsidRPr="00EF40AE">
        <w:rPr>
          <w:lang w:val="en-IE"/>
        </w:rPr>
        <w:t xml:space="preserve">some </w:t>
      </w:r>
      <w:r w:rsidRPr="00EF40AE">
        <w:rPr>
          <w:lang w:val="en-IE"/>
        </w:rPr>
        <w:t xml:space="preserve">quantifications see Section </w:t>
      </w:r>
      <w:r w:rsidR="003A7437" w:rsidRPr="00EF40AE">
        <w:rPr>
          <w:lang w:val="en-IE"/>
        </w:rPr>
        <w:t>6.3.2.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9B201" w14:textId="77777777" w:rsidR="004329F8" w:rsidRPr="004329F8" w:rsidRDefault="004329F8" w:rsidP="004329F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62678" w14:textId="77777777" w:rsidR="004329F8" w:rsidRPr="004329F8" w:rsidRDefault="004329F8" w:rsidP="004329F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50851" w14:textId="77777777" w:rsidR="004329F8" w:rsidRPr="004329F8" w:rsidRDefault="004329F8" w:rsidP="004329F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650F" w14:textId="0C88F742" w:rsidR="00CB14B2" w:rsidRPr="00A27A7C" w:rsidRDefault="00CB14B2" w:rsidP="00A27A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6C1C3" w14:textId="2445FBD0" w:rsidR="00CB14B2" w:rsidRPr="00A27A7C" w:rsidRDefault="00CB14B2" w:rsidP="00A27A7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8A40" w14:textId="237395C9" w:rsidR="00CB14B2" w:rsidRPr="00A27A7C" w:rsidRDefault="00CB14B2" w:rsidP="00A27A7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96665" w14:textId="6CCE6873" w:rsidR="00FB5FD6" w:rsidRPr="00A27A7C" w:rsidRDefault="00FB5FD6" w:rsidP="00A27A7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F9F85" w14:textId="2BDA3274" w:rsidR="00FB5FD6" w:rsidRPr="00A27A7C" w:rsidRDefault="00FB5FD6" w:rsidP="00A27A7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3CB78" w14:textId="5985946A" w:rsidR="00FB5FD6" w:rsidRPr="00A27A7C" w:rsidRDefault="00FB5FD6" w:rsidP="00A27A7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58C6F" w14:textId="4589FB96" w:rsidR="00FB5FD6" w:rsidRPr="00A27A7C" w:rsidRDefault="00FB5FD6" w:rsidP="00A27A7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BFBA5" w14:textId="0DBFBAB0" w:rsidR="00FB5FD6" w:rsidRPr="00A27A7C" w:rsidRDefault="00FB5FD6" w:rsidP="00A27A7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47E8B" w14:textId="749B8810" w:rsidR="00660940" w:rsidRPr="00A27A7C" w:rsidRDefault="00660940" w:rsidP="00A27A7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779DD" w14:textId="628E6A18" w:rsidR="00FB5FD6" w:rsidRPr="00A27A7C" w:rsidRDefault="00FB5FD6" w:rsidP="00A27A7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C50E9" w14:textId="0F69A292" w:rsidR="00FB5FD6" w:rsidRPr="00A27A7C" w:rsidRDefault="00FB5FD6" w:rsidP="00A27A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55097"/>
    <w:multiLevelType w:val="hybridMultilevel"/>
    <w:tmpl w:val="075EDF1C"/>
    <w:lvl w:ilvl="0" w:tplc="B7802FE8">
      <w:start w:val="1"/>
      <w:numFmt w:val="decimal"/>
      <w:lvlText w:val="%1)"/>
      <w:lvlJc w:val="left"/>
      <w:pPr>
        <w:ind w:left="720" w:hanging="360"/>
      </w:pPr>
    </w:lvl>
    <w:lvl w:ilvl="1" w:tplc="2BBC21F0">
      <w:start w:val="1"/>
      <w:numFmt w:val="decimal"/>
      <w:lvlText w:val="%2)"/>
      <w:lvlJc w:val="left"/>
      <w:pPr>
        <w:ind w:left="720" w:hanging="360"/>
      </w:pPr>
    </w:lvl>
    <w:lvl w:ilvl="2" w:tplc="78140DFE">
      <w:start w:val="1"/>
      <w:numFmt w:val="decimal"/>
      <w:lvlText w:val="%3)"/>
      <w:lvlJc w:val="left"/>
      <w:pPr>
        <w:ind w:left="720" w:hanging="360"/>
      </w:pPr>
    </w:lvl>
    <w:lvl w:ilvl="3" w:tplc="3CA6F982">
      <w:start w:val="1"/>
      <w:numFmt w:val="decimal"/>
      <w:lvlText w:val="%4)"/>
      <w:lvlJc w:val="left"/>
      <w:pPr>
        <w:ind w:left="720" w:hanging="360"/>
      </w:pPr>
    </w:lvl>
    <w:lvl w:ilvl="4" w:tplc="8536E860">
      <w:start w:val="1"/>
      <w:numFmt w:val="decimal"/>
      <w:lvlText w:val="%5)"/>
      <w:lvlJc w:val="left"/>
      <w:pPr>
        <w:ind w:left="720" w:hanging="360"/>
      </w:pPr>
    </w:lvl>
    <w:lvl w:ilvl="5" w:tplc="5D14559C">
      <w:start w:val="1"/>
      <w:numFmt w:val="decimal"/>
      <w:lvlText w:val="%6)"/>
      <w:lvlJc w:val="left"/>
      <w:pPr>
        <w:ind w:left="720" w:hanging="360"/>
      </w:pPr>
    </w:lvl>
    <w:lvl w:ilvl="6" w:tplc="B83A3030">
      <w:start w:val="1"/>
      <w:numFmt w:val="decimal"/>
      <w:lvlText w:val="%7)"/>
      <w:lvlJc w:val="left"/>
      <w:pPr>
        <w:ind w:left="720" w:hanging="360"/>
      </w:pPr>
    </w:lvl>
    <w:lvl w:ilvl="7" w:tplc="0FDCBBB0">
      <w:start w:val="1"/>
      <w:numFmt w:val="decimal"/>
      <w:lvlText w:val="%8)"/>
      <w:lvlJc w:val="left"/>
      <w:pPr>
        <w:ind w:left="720" w:hanging="360"/>
      </w:pPr>
    </w:lvl>
    <w:lvl w:ilvl="8" w:tplc="E026CD7A">
      <w:start w:val="1"/>
      <w:numFmt w:val="decimal"/>
      <w:lvlText w:val="%9)"/>
      <w:lvlJc w:val="left"/>
      <w:pPr>
        <w:ind w:left="720" w:hanging="360"/>
      </w:pPr>
    </w:lvl>
  </w:abstractNum>
  <w:abstractNum w:abstractNumId="1" w15:restartNumberingAfterBreak="0">
    <w:nsid w:val="02C7E173"/>
    <w:multiLevelType w:val="hybridMultilevel"/>
    <w:tmpl w:val="49CC73C6"/>
    <w:lvl w:ilvl="0" w:tplc="18090001">
      <w:start w:val="1"/>
      <w:numFmt w:val="bullet"/>
      <w:lvlText w:val=""/>
      <w:lvlJc w:val="left"/>
      <w:pPr>
        <w:ind w:left="720" w:hanging="360"/>
      </w:pPr>
      <w:rPr>
        <w:rFonts w:ascii="Symbol" w:hAnsi="Symbol" w:hint="default"/>
      </w:rPr>
    </w:lvl>
    <w:lvl w:ilvl="1" w:tplc="D3747F14">
      <w:start w:val="1"/>
      <w:numFmt w:val="bullet"/>
      <w:lvlText w:val="o"/>
      <w:lvlJc w:val="left"/>
      <w:pPr>
        <w:ind w:left="1440" w:hanging="360"/>
      </w:pPr>
      <w:rPr>
        <w:rFonts w:ascii="Courier New" w:hAnsi="Courier New" w:hint="default"/>
      </w:rPr>
    </w:lvl>
    <w:lvl w:ilvl="2" w:tplc="A170DAA0">
      <w:start w:val="1"/>
      <w:numFmt w:val="bullet"/>
      <w:lvlText w:val=""/>
      <w:lvlJc w:val="left"/>
      <w:pPr>
        <w:ind w:left="2160" w:hanging="360"/>
      </w:pPr>
      <w:rPr>
        <w:rFonts w:ascii="Wingdings" w:hAnsi="Wingdings" w:hint="default"/>
      </w:rPr>
    </w:lvl>
    <w:lvl w:ilvl="3" w:tplc="E81AF2EE">
      <w:start w:val="1"/>
      <w:numFmt w:val="bullet"/>
      <w:lvlText w:val=""/>
      <w:lvlJc w:val="left"/>
      <w:pPr>
        <w:ind w:left="2880" w:hanging="360"/>
      </w:pPr>
      <w:rPr>
        <w:rFonts w:ascii="Symbol" w:hAnsi="Symbol" w:hint="default"/>
      </w:rPr>
    </w:lvl>
    <w:lvl w:ilvl="4" w:tplc="15E4267C">
      <w:start w:val="1"/>
      <w:numFmt w:val="bullet"/>
      <w:lvlText w:val="o"/>
      <w:lvlJc w:val="left"/>
      <w:pPr>
        <w:ind w:left="3600" w:hanging="360"/>
      </w:pPr>
      <w:rPr>
        <w:rFonts w:ascii="Courier New" w:hAnsi="Courier New" w:hint="default"/>
      </w:rPr>
    </w:lvl>
    <w:lvl w:ilvl="5" w:tplc="E564E70A">
      <w:start w:val="1"/>
      <w:numFmt w:val="bullet"/>
      <w:lvlText w:val=""/>
      <w:lvlJc w:val="left"/>
      <w:pPr>
        <w:ind w:left="4320" w:hanging="360"/>
      </w:pPr>
      <w:rPr>
        <w:rFonts w:ascii="Wingdings" w:hAnsi="Wingdings" w:hint="default"/>
      </w:rPr>
    </w:lvl>
    <w:lvl w:ilvl="6" w:tplc="F06E3E5E">
      <w:start w:val="1"/>
      <w:numFmt w:val="bullet"/>
      <w:lvlText w:val=""/>
      <w:lvlJc w:val="left"/>
      <w:pPr>
        <w:ind w:left="5040" w:hanging="360"/>
      </w:pPr>
      <w:rPr>
        <w:rFonts w:ascii="Symbol" w:hAnsi="Symbol" w:hint="default"/>
      </w:rPr>
    </w:lvl>
    <w:lvl w:ilvl="7" w:tplc="04C4238C">
      <w:start w:val="1"/>
      <w:numFmt w:val="bullet"/>
      <w:lvlText w:val="o"/>
      <w:lvlJc w:val="left"/>
      <w:pPr>
        <w:ind w:left="5760" w:hanging="360"/>
      </w:pPr>
      <w:rPr>
        <w:rFonts w:ascii="Courier New" w:hAnsi="Courier New" w:hint="default"/>
      </w:rPr>
    </w:lvl>
    <w:lvl w:ilvl="8" w:tplc="207C85D8">
      <w:start w:val="1"/>
      <w:numFmt w:val="bullet"/>
      <w:lvlText w:val=""/>
      <w:lvlJc w:val="left"/>
      <w:pPr>
        <w:ind w:left="6480" w:hanging="360"/>
      </w:pPr>
      <w:rPr>
        <w:rFonts w:ascii="Wingdings" w:hAnsi="Wingdings" w:hint="default"/>
      </w:rPr>
    </w:lvl>
  </w:abstractNum>
  <w:abstractNum w:abstractNumId="2" w15:restartNumberingAfterBreak="0">
    <w:nsid w:val="0621550A"/>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A0B7CE3"/>
    <w:multiLevelType w:val="hybridMultilevel"/>
    <w:tmpl w:val="B54E0048"/>
    <w:lvl w:ilvl="0" w:tplc="15AA9306">
      <w:start w:val="1"/>
      <w:numFmt w:val="decimal"/>
      <w:lvlText w:val="%1)"/>
      <w:lvlJc w:val="left"/>
      <w:pPr>
        <w:ind w:left="1020" w:hanging="360"/>
      </w:pPr>
    </w:lvl>
    <w:lvl w:ilvl="1" w:tplc="E4E01006">
      <w:start w:val="1"/>
      <w:numFmt w:val="decimal"/>
      <w:lvlText w:val="%2)"/>
      <w:lvlJc w:val="left"/>
      <w:pPr>
        <w:ind w:left="1020" w:hanging="360"/>
      </w:pPr>
    </w:lvl>
    <w:lvl w:ilvl="2" w:tplc="1C14A5A0">
      <w:start w:val="1"/>
      <w:numFmt w:val="decimal"/>
      <w:lvlText w:val="%3)"/>
      <w:lvlJc w:val="left"/>
      <w:pPr>
        <w:ind w:left="1020" w:hanging="360"/>
      </w:pPr>
    </w:lvl>
    <w:lvl w:ilvl="3" w:tplc="5600D642">
      <w:start w:val="1"/>
      <w:numFmt w:val="decimal"/>
      <w:lvlText w:val="%4)"/>
      <w:lvlJc w:val="left"/>
      <w:pPr>
        <w:ind w:left="1020" w:hanging="360"/>
      </w:pPr>
    </w:lvl>
    <w:lvl w:ilvl="4" w:tplc="3C4C9210">
      <w:start w:val="1"/>
      <w:numFmt w:val="decimal"/>
      <w:lvlText w:val="%5)"/>
      <w:lvlJc w:val="left"/>
      <w:pPr>
        <w:ind w:left="1020" w:hanging="360"/>
      </w:pPr>
    </w:lvl>
    <w:lvl w:ilvl="5" w:tplc="0974E89C">
      <w:start w:val="1"/>
      <w:numFmt w:val="decimal"/>
      <w:lvlText w:val="%6)"/>
      <w:lvlJc w:val="left"/>
      <w:pPr>
        <w:ind w:left="1020" w:hanging="360"/>
      </w:pPr>
    </w:lvl>
    <w:lvl w:ilvl="6" w:tplc="447A7F46">
      <w:start w:val="1"/>
      <w:numFmt w:val="decimal"/>
      <w:lvlText w:val="%7)"/>
      <w:lvlJc w:val="left"/>
      <w:pPr>
        <w:ind w:left="1020" w:hanging="360"/>
      </w:pPr>
    </w:lvl>
    <w:lvl w:ilvl="7" w:tplc="FD149B64">
      <w:start w:val="1"/>
      <w:numFmt w:val="decimal"/>
      <w:lvlText w:val="%8)"/>
      <w:lvlJc w:val="left"/>
      <w:pPr>
        <w:ind w:left="1020" w:hanging="360"/>
      </w:pPr>
    </w:lvl>
    <w:lvl w:ilvl="8" w:tplc="C3BEE76C">
      <w:start w:val="1"/>
      <w:numFmt w:val="decimal"/>
      <w:lvlText w:val="%9)"/>
      <w:lvlJc w:val="left"/>
      <w:pPr>
        <w:ind w:left="1020" w:hanging="360"/>
      </w:pPr>
    </w:lvl>
  </w:abstractNum>
  <w:abstractNum w:abstractNumId="4" w15:restartNumberingAfterBreak="0">
    <w:nsid w:val="0A447117"/>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BA31ECB"/>
    <w:multiLevelType w:val="hybridMultilevel"/>
    <w:tmpl w:val="A5A4382E"/>
    <w:lvl w:ilvl="0" w:tplc="783C1284">
      <w:numFmt w:val="bullet"/>
      <w:lvlText w:val="•"/>
      <w:lvlJc w:val="left"/>
      <w:pPr>
        <w:ind w:left="1065" w:hanging="705"/>
      </w:pPr>
      <w:rPr>
        <w:rFonts w:ascii="Aptos" w:hAnsi="Aptos" w:hint="default"/>
      </w:rPr>
    </w:lvl>
    <w:lvl w:ilvl="1" w:tplc="CA1E6BC6" w:tentative="1">
      <w:start w:val="1"/>
      <w:numFmt w:val="bullet"/>
      <w:lvlText w:val="o"/>
      <w:lvlJc w:val="left"/>
      <w:pPr>
        <w:ind w:left="1440" w:hanging="360"/>
      </w:pPr>
      <w:rPr>
        <w:rFonts w:ascii="Courier New" w:hAnsi="Courier New" w:hint="default"/>
      </w:rPr>
    </w:lvl>
    <w:lvl w:ilvl="2" w:tplc="EC52CADE" w:tentative="1">
      <w:start w:val="1"/>
      <w:numFmt w:val="bullet"/>
      <w:lvlText w:val=""/>
      <w:lvlJc w:val="left"/>
      <w:pPr>
        <w:ind w:left="2160" w:hanging="360"/>
      </w:pPr>
      <w:rPr>
        <w:rFonts w:ascii="Wingdings" w:hAnsi="Wingdings" w:hint="default"/>
      </w:rPr>
    </w:lvl>
    <w:lvl w:ilvl="3" w:tplc="3F0E68C4" w:tentative="1">
      <w:start w:val="1"/>
      <w:numFmt w:val="bullet"/>
      <w:lvlText w:val=""/>
      <w:lvlJc w:val="left"/>
      <w:pPr>
        <w:ind w:left="2880" w:hanging="360"/>
      </w:pPr>
      <w:rPr>
        <w:rFonts w:ascii="Symbol" w:hAnsi="Symbol" w:hint="default"/>
      </w:rPr>
    </w:lvl>
    <w:lvl w:ilvl="4" w:tplc="7EC0095C" w:tentative="1">
      <w:start w:val="1"/>
      <w:numFmt w:val="bullet"/>
      <w:lvlText w:val="o"/>
      <w:lvlJc w:val="left"/>
      <w:pPr>
        <w:ind w:left="3600" w:hanging="360"/>
      </w:pPr>
      <w:rPr>
        <w:rFonts w:ascii="Courier New" w:hAnsi="Courier New" w:hint="default"/>
      </w:rPr>
    </w:lvl>
    <w:lvl w:ilvl="5" w:tplc="92A2F5D8" w:tentative="1">
      <w:start w:val="1"/>
      <w:numFmt w:val="bullet"/>
      <w:lvlText w:val=""/>
      <w:lvlJc w:val="left"/>
      <w:pPr>
        <w:ind w:left="4320" w:hanging="360"/>
      </w:pPr>
      <w:rPr>
        <w:rFonts w:ascii="Wingdings" w:hAnsi="Wingdings" w:hint="default"/>
      </w:rPr>
    </w:lvl>
    <w:lvl w:ilvl="6" w:tplc="FE70D2CE" w:tentative="1">
      <w:start w:val="1"/>
      <w:numFmt w:val="bullet"/>
      <w:lvlText w:val=""/>
      <w:lvlJc w:val="left"/>
      <w:pPr>
        <w:ind w:left="5040" w:hanging="360"/>
      </w:pPr>
      <w:rPr>
        <w:rFonts w:ascii="Symbol" w:hAnsi="Symbol" w:hint="default"/>
      </w:rPr>
    </w:lvl>
    <w:lvl w:ilvl="7" w:tplc="A2B20556" w:tentative="1">
      <w:start w:val="1"/>
      <w:numFmt w:val="bullet"/>
      <w:lvlText w:val="o"/>
      <w:lvlJc w:val="left"/>
      <w:pPr>
        <w:ind w:left="5760" w:hanging="360"/>
      </w:pPr>
      <w:rPr>
        <w:rFonts w:ascii="Courier New" w:hAnsi="Courier New" w:hint="default"/>
      </w:rPr>
    </w:lvl>
    <w:lvl w:ilvl="8" w:tplc="3126D1A2" w:tentative="1">
      <w:start w:val="1"/>
      <w:numFmt w:val="bullet"/>
      <w:lvlText w:val=""/>
      <w:lvlJc w:val="left"/>
      <w:pPr>
        <w:ind w:left="6480" w:hanging="360"/>
      </w:pPr>
      <w:rPr>
        <w:rFonts w:ascii="Wingdings" w:hAnsi="Wingdings" w:hint="default"/>
      </w:rPr>
    </w:lvl>
  </w:abstractNum>
  <w:abstractNum w:abstractNumId="6" w15:restartNumberingAfterBreak="0">
    <w:nsid w:val="0E645726"/>
    <w:multiLevelType w:val="hybridMultilevel"/>
    <w:tmpl w:val="247AAB8A"/>
    <w:lvl w:ilvl="0" w:tplc="14D6C56E">
      <w:start w:val="1"/>
      <w:numFmt w:val="bullet"/>
      <w:lvlText w:val=""/>
      <w:lvlJc w:val="left"/>
      <w:pPr>
        <w:ind w:left="720" w:hanging="360"/>
      </w:pPr>
      <w:rPr>
        <w:rFonts w:ascii="Symbol" w:hAnsi="Symbol" w:hint="default"/>
      </w:rPr>
    </w:lvl>
    <w:lvl w:ilvl="1" w:tplc="83CA49BE">
      <w:start w:val="1"/>
      <w:numFmt w:val="bullet"/>
      <w:lvlText w:val="o"/>
      <w:lvlJc w:val="left"/>
      <w:pPr>
        <w:ind w:left="1440" w:hanging="360"/>
      </w:pPr>
      <w:rPr>
        <w:rFonts w:ascii="Courier New" w:hAnsi="Courier New" w:hint="default"/>
      </w:rPr>
    </w:lvl>
    <w:lvl w:ilvl="2" w:tplc="5A606A9E">
      <w:start w:val="1"/>
      <w:numFmt w:val="lowerLetter"/>
      <w:lvlText w:val="%3)"/>
      <w:lvlJc w:val="left"/>
      <w:pPr>
        <w:ind w:left="2160" w:hanging="360"/>
      </w:pPr>
    </w:lvl>
    <w:lvl w:ilvl="3" w:tplc="BFDC1174">
      <w:start w:val="1"/>
      <w:numFmt w:val="bullet"/>
      <w:lvlText w:val=""/>
      <w:lvlJc w:val="left"/>
      <w:pPr>
        <w:ind w:left="2880" w:hanging="360"/>
      </w:pPr>
      <w:rPr>
        <w:rFonts w:ascii="Symbol" w:hAnsi="Symbol" w:hint="default"/>
      </w:rPr>
    </w:lvl>
    <w:lvl w:ilvl="4" w:tplc="E100645C">
      <w:start w:val="1"/>
      <w:numFmt w:val="bullet"/>
      <w:lvlText w:val="o"/>
      <w:lvlJc w:val="left"/>
      <w:pPr>
        <w:ind w:left="3600" w:hanging="360"/>
      </w:pPr>
      <w:rPr>
        <w:rFonts w:ascii="Courier New" w:hAnsi="Courier New" w:hint="default"/>
      </w:rPr>
    </w:lvl>
    <w:lvl w:ilvl="5" w:tplc="9502048A">
      <w:start w:val="1"/>
      <w:numFmt w:val="bullet"/>
      <w:lvlText w:val=""/>
      <w:lvlJc w:val="left"/>
      <w:pPr>
        <w:ind w:left="4320" w:hanging="360"/>
      </w:pPr>
      <w:rPr>
        <w:rFonts w:ascii="Wingdings" w:hAnsi="Wingdings" w:hint="default"/>
      </w:rPr>
    </w:lvl>
    <w:lvl w:ilvl="6" w:tplc="6352BB58">
      <w:start w:val="1"/>
      <w:numFmt w:val="bullet"/>
      <w:lvlText w:val=""/>
      <w:lvlJc w:val="left"/>
      <w:pPr>
        <w:ind w:left="5040" w:hanging="360"/>
      </w:pPr>
      <w:rPr>
        <w:rFonts w:ascii="Symbol" w:hAnsi="Symbol" w:hint="default"/>
      </w:rPr>
    </w:lvl>
    <w:lvl w:ilvl="7" w:tplc="D28A8168">
      <w:start w:val="1"/>
      <w:numFmt w:val="bullet"/>
      <w:lvlText w:val="o"/>
      <w:lvlJc w:val="left"/>
      <w:pPr>
        <w:ind w:left="5760" w:hanging="360"/>
      </w:pPr>
      <w:rPr>
        <w:rFonts w:ascii="Courier New" w:hAnsi="Courier New" w:hint="default"/>
      </w:rPr>
    </w:lvl>
    <w:lvl w:ilvl="8" w:tplc="12E8AD2A">
      <w:start w:val="1"/>
      <w:numFmt w:val="bullet"/>
      <w:lvlText w:val=""/>
      <w:lvlJc w:val="left"/>
      <w:pPr>
        <w:ind w:left="6480" w:hanging="360"/>
      </w:pPr>
      <w:rPr>
        <w:rFonts w:ascii="Wingdings" w:hAnsi="Wingdings" w:hint="default"/>
      </w:rPr>
    </w:lvl>
  </w:abstractNum>
  <w:abstractNum w:abstractNumId="7" w15:restartNumberingAfterBreak="0">
    <w:nsid w:val="0F5D1CA3"/>
    <w:multiLevelType w:val="hybridMultilevel"/>
    <w:tmpl w:val="8B44147A"/>
    <w:lvl w:ilvl="0" w:tplc="7C0403E2">
      <w:numFmt w:val="bullet"/>
      <w:lvlText w:val="–"/>
      <w:lvlJc w:val="left"/>
      <w:pPr>
        <w:ind w:left="720" w:hanging="360"/>
      </w:pPr>
      <w:rPr>
        <w:rFonts w:ascii="Times New Roman" w:hAnsi="Times New Roman" w:hint="default"/>
      </w:rPr>
    </w:lvl>
    <w:lvl w:ilvl="1" w:tplc="73121216" w:tentative="1">
      <w:start w:val="1"/>
      <w:numFmt w:val="bullet"/>
      <w:lvlText w:val="o"/>
      <w:lvlJc w:val="left"/>
      <w:pPr>
        <w:ind w:left="1440" w:hanging="360"/>
      </w:pPr>
      <w:rPr>
        <w:rFonts w:ascii="Courier New" w:hAnsi="Courier New" w:hint="default"/>
      </w:rPr>
    </w:lvl>
    <w:lvl w:ilvl="2" w:tplc="564E4274" w:tentative="1">
      <w:start w:val="1"/>
      <w:numFmt w:val="bullet"/>
      <w:lvlText w:val=""/>
      <w:lvlJc w:val="left"/>
      <w:pPr>
        <w:ind w:left="2160" w:hanging="360"/>
      </w:pPr>
      <w:rPr>
        <w:rFonts w:ascii="Wingdings" w:hAnsi="Wingdings" w:hint="default"/>
      </w:rPr>
    </w:lvl>
    <w:lvl w:ilvl="3" w:tplc="E5544802" w:tentative="1">
      <w:start w:val="1"/>
      <w:numFmt w:val="bullet"/>
      <w:lvlText w:val=""/>
      <w:lvlJc w:val="left"/>
      <w:pPr>
        <w:ind w:left="2880" w:hanging="360"/>
      </w:pPr>
      <w:rPr>
        <w:rFonts w:ascii="Symbol" w:hAnsi="Symbol" w:hint="default"/>
      </w:rPr>
    </w:lvl>
    <w:lvl w:ilvl="4" w:tplc="FF88898A" w:tentative="1">
      <w:start w:val="1"/>
      <w:numFmt w:val="bullet"/>
      <w:lvlText w:val="o"/>
      <w:lvlJc w:val="left"/>
      <w:pPr>
        <w:ind w:left="3600" w:hanging="360"/>
      </w:pPr>
      <w:rPr>
        <w:rFonts w:ascii="Courier New" w:hAnsi="Courier New" w:hint="default"/>
      </w:rPr>
    </w:lvl>
    <w:lvl w:ilvl="5" w:tplc="10527644" w:tentative="1">
      <w:start w:val="1"/>
      <w:numFmt w:val="bullet"/>
      <w:lvlText w:val=""/>
      <w:lvlJc w:val="left"/>
      <w:pPr>
        <w:ind w:left="4320" w:hanging="360"/>
      </w:pPr>
      <w:rPr>
        <w:rFonts w:ascii="Wingdings" w:hAnsi="Wingdings" w:hint="default"/>
      </w:rPr>
    </w:lvl>
    <w:lvl w:ilvl="6" w:tplc="7DACCEA6" w:tentative="1">
      <w:start w:val="1"/>
      <w:numFmt w:val="bullet"/>
      <w:lvlText w:val=""/>
      <w:lvlJc w:val="left"/>
      <w:pPr>
        <w:ind w:left="5040" w:hanging="360"/>
      </w:pPr>
      <w:rPr>
        <w:rFonts w:ascii="Symbol" w:hAnsi="Symbol" w:hint="default"/>
      </w:rPr>
    </w:lvl>
    <w:lvl w:ilvl="7" w:tplc="378C5AF2" w:tentative="1">
      <w:start w:val="1"/>
      <w:numFmt w:val="bullet"/>
      <w:lvlText w:val="o"/>
      <w:lvlJc w:val="left"/>
      <w:pPr>
        <w:ind w:left="5760" w:hanging="360"/>
      </w:pPr>
      <w:rPr>
        <w:rFonts w:ascii="Courier New" w:hAnsi="Courier New" w:hint="default"/>
      </w:rPr>
    </w:lvl>
    <w:lvl w:ilvl="8" w:tplc="73969D56" w:tentative="1">
      <w:start w:val="1"/>
      <w:numFmt w:val="bullet"/>
      <w:lvlText w:val=""/>
      <w:lvlJc w:val="left"/>
      <w:pPr>
        <w:ind w:left="6480" w:hanging="360"/>
      </w:pPr>
      <w:rPr>
        <w:rFonts w:ascii="Wingdings" w:hAnsi="Wingdings" w:hint="default"/>
      </w:rPr>
    </w:lvl>
  </w:abstractNum>
  <w:abstractNum w:abstractNumId="8" w15:restartNumberingAfterBreak="0">
    <w:nsid w:val="0F9032C7"/>
    <w:multiLevelType w:val="hybridMultilevel"/>
    <w:tmpl w:val="4D28610A"/>
    <w:lvl w:ilvl="0" w:tplc="BE72A5D6">
      <w:start w:val="1"/>
      <w:numFmt w:val="bullet"/>
      <w:lvlText w:val=""/>
      <w:lvlJc w:val="left"/>
      <w:pPr>
        <w:ind w:left="720" w:hanging="360"/>
      </w:pPr>
      <w:rPr>
        <w:rFonts w:ascii="Symbol" w:hAnsi="Symbol" w:hint="default"/>
      </w:rPr>
    </w:lvl>
    <w:lvl w:ilvl="1" w:tplc="6B9EECEE" w:tentative="1">
      <w:start w:val="1"/>
      <w:numFmt w:val="bullet"/>
      <w:lvlText w:val="o"/>
      <w:lvlJc w:val="left"/>
      <w:pPr>
        <w:ind w:left="1440" w:hanging="360"/>
      </w:pPr>
      <w:rPr>
        <w:rFonts w:ascii="Courier New" w:hAnsi="Courier New" w:hint="default"/>
      </w:rPr>
    </w:lvl>
    <w:lvl w:ilvl="2" w:tplc="25DCF6C2" w:tentative="1">
      <w:start w:val="1"/>
      <w:numFmt w:val="bullet"/>
      <w:lvlText w:val=""/>
      <w:lvlJc w:val="left"/>
      <w:pPr>
        <w:ind w:left="2160" w:hanging="360"/>
      </w:pPr>
      <w:rPr>
        <w:rFonts w:ascii="Wingdings" w:hAnsi="Wingdings" w:hint="default"/>
      </w:rPr>
    </w:lvl>
    <w:lvl w:ilvl="3" w:tplc="FCBA27BA" w:tentative="1">
      <w:start w:val="1"/>
      <w:numFmt w:val="bullet"/>
      <w:lvlText w:val=""/>
      <w:lvlJc w:val="left"/>
      <w:pPr>
        <w:ind w:left="2880" w:hanging="360"/>
      </w:pPr>
      <w:rPr>
        <w:rFonts w:ascii="Symbol" w:hAnsi="Symbol" w:hint="default"/>
      </w:rPr>
    </w:lvl>
    <w:lvl w:ilvl="4" w:tplc="74426C08" w:tentative="1">
      <w:start w:val="1"/>
      <w:numFmt w:val="bullet"/>
      <w:lvlText w:val="o"/>
      <w:lvlJc w:val="left"/>
      <w:pPr>
        <w:ind w:left="3600" w:hanging="360"/>
      </w:pPr>
      <w:rPr>
        <w:rFonts w:ascii="Courier New" w:hAnsi="Courier New" w:hint="default"/>
      </w:rPr>
    </w:lvl>
    <w:lvl w:ilvl="5" w:tplc="E4D44202" w:tentative="1">
      <w:start w:val="1"/>
      <w:numFmt w:val="bullet"/>
      <w:lvlText w:val=""/>
      <w:lvlJc w:val="left"/>
      <w:pPr>
        <w:ind w:left="4320" w:hanging="360"/>
      </w:pPr>
      <w:rPr>
        <w:rFonts w:ascii="Wingdings" w:hAnsi="Wingdings" w:hint="default"/>
      </w:rPr>
    </w:lvl>
    <w:lvl w:ilvl="6" w:tplc="D2F0EF3C" w:tentative="1">
      <w:start w:val="1"/>
      <w:numFmt w:val="bullet"/>
      <w:lvlText w:val=""/>
      <w:lvlJc w:val="left"/>
      <w:pPr>
        <w:ind w:left="5040" w:hanging="360"/>
      </w:pPr>
      <w:rPr>
        <w:rFonts w:ascii="Symbol" w:hAnsi="Symbol" w:hint="default"/>
      </w:rPr>
    </w:lvl>
    <w:lvl w:ilvl="7" w:tplc="798688E6" w:tentative="1">
      <w:start w:val="1"/>
      <w:numFmt w:val="bullet"/>
      <w:lvlText w:val="o"/>
      <w:lvlJc w:val="left"/>
      <w:pPr>
        <w:ind w:left="5760" w:hanging="360"/>
      </w:pPr>
      <w:rPr>
        <w:rFonts w:ascii="Courier New" w:hAnsi="Courier New" w:hint="default"/>
      </w:rPr>
    </w:lvl>
    <w:lvl w:ilvl="8" w:tplc="8234A116" w:tentative="1">
      <w:start w:val="1"/>
      <w:numFmt w:val="bullet"/>
      <w:lvlText w:val=""/>
      <w:lvlJc w:val="left"/>
      <w:pPr>
        <w:ind w:left="6480" w:hanging="360"/>
      </w:pPr>
      <w:rPr>
        <w:rFonts w:ascii="Wingdings" w:hAnsi="Wingdings" w:hint="default"/>
      </w:rPr>
    </w:lvl>
  </w:abstractNum>
  <w:abstractNum w:abstractNumId="9" w15:restartNumberingAfterBreak="0">
    <w:nsid w:val="10C04B39"/>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1A054A3"/>
    <w:multiLevelType w:val="hybridMultilevel"/>
    <w:tmpl w:val="7A7EA1E4"/>
    <w:lvl w:ilvl="0" w:tplc="7D9C4880">
      <w:start w:val="1"/>
      <w:numFmt w:val="bullet"/>
      <w:lvlText w:val="–"/>
      <w:lvlJc w:val="left"/>
      <w:pPr>
        <w:ind w:left="720" w:hanging="360"/>
      </w:pPr>
      <w:rPr>
        <w:rFonts w:ascii="Calibri" w:hAnsi="Calibri" w:hint="default"/>
      </w:rPr>
    </w:lvl>
    <w:lvl w:ilvl="1" w:tplc="E44E4852" w:tentative="1">
      <w:start w:val="1"/>
      <w:numFmt w:val="bullet"/>
      <w:lvlText w:val="o"/>
      <w:lvlJc w:val="left"/>
      <w:pPr>
        <w:ind w:left="1440" w:hanging="360"/>
      </w:pPr>
      <w:rPr>
        <w:rFonts w:ascii="Courier New" w:hAnsi="Courier New" w:hint="default"/>
      </w:rPr>
    </w:lvl>
    <w:lvl w:ilvl="2" w:tplc="CFFC85A8" w:tentative="1">
      <w:start w:val="1"/>
      <w:numFmt w:val="bullet"/>
      <w:lvlText w:val=""/>
      <w:lvlJc w:val="left"/>
      <w:pPr>
        <w:ind w:left="2160" w:hanging="360"/>
      </w:pPr>
      <w:rPr>
        <w:rFonts w:ascii="Wingdings" w:hAnsi="Wingdings" w:hint="default"/>
      </w:rPr>
    </w:lvl>
    <w:lvl w:ilvl="3" w:tplc="DE842BD2" w:tentative="1">
      <w:start w:val="1"/>
      <w:numFmt w:val="bullet"/>
      <w:lvlText w:val=""/>
      <w:lvlJc w:val="left"/>
      <w:pPr>
        <w:ind w:left="2880" w:hanging="360"/>
      </w:pPr>
      <w:rPr>
        <w:rFonts w:ascii="Symbol" w:hAnsi="Symbol" w:hint="default"/>
      </w:rPr>
    </w:lvl>
    <w:lvl w:ilvl="4" w:tplc="765E4E4E" w:tentative="1">
      <w:start w:val="1"/>
      <w:numFmt w:val="bullet"/>
      <w:lvlText w:val="o"/>
      <w:lvlJc w:val="left"/>
      <w:pPr>
        <w:ind w:left="3600" w:hanging="360"/>
      </w:pPr>
      <w:rPr>
        <w:rFonts w:ascii="Courier New" w:hAnsi="Courier New" w:hint="default"/>
      </w:rPr>
    </w:lvl>
    <w:lvl w:ilvl="5" w:tplc="85CC6F10" w:tentative="1">
      <w:start w:val="1"/>
      <w:numFmt w:val="bullet"/>
      <w:lvlText w:val=""/>
      <w:lvlJc w:val="left"/>
      <w:pPr>
        <w:ind w:left="4320" w:hanging="360"/>
      </w:pPr>
      <w:rPr>
        <w:rFonts w:ascii="Wingdings" w:hAnsi="Wingdings" w:hint="default"/>
      </w:rPr>
    </w:lvl>
    <w:lvl w:ilvl="6" w:tplc="555E6486" w:tentative="1">
      <w:start w:val="1"/>
      <w:numFmt w:val="bullet"/>
      <w:lvlText w:val=""/>
      <w:lvlJc w:val="left"/>
      <w:pPr>
        <w:ind w:left="5040" w:hanging="360"/>
      </w:pPr>
      <w:rPr>
        <w:rFonts w:ascii="Symbol" w:hAnsi="Symbol" w:hint="default"/>
      </w:rPr>
    </w:lvl>
    <w:lvl w:ilvl="7" w:tplc="F84AC948" w:tentative="1">
      <w:start w:val="1"/>
      <w:numFmt w:val="bullet"/>
      <w:lvlText w:val="o"/>
      <w:lvlJc w:val="left"/>
      <w:pPr>
        <w:ind w:left="5760" w:hanging="360"/>
      </w:pPr>
      <w:rPr>
        <w:rFonts w:ascii="Courier New" w:hAnsi="Courier New" w:hint="default"/>
      </w:rPr>
    </w:lvl>
    <w:lvl w:ilvl="8" w:tplc="48A2D660" w:tentative="1">
      <w:start w:val="1"/>
      <w:numFmt w:val="bullet"/>
      <w:lvlText w:val=""/>
      <w:lvlJc w:val="left"/>
      <w:pPr>
        <w:ind w:left="6480" w:hanging="360"/>
      </w:pPr>
      <w:rPr>
        <w:rFonts w:ascii="Wingdings" w:hAnsi="Wingdings" w:hint="default"/>
      </w:rPr>
    </w:lvl>
  </w:abstractNum>
  <w:abstractNum w:abstractNumId="11" w15:restartNumberingAfterBreak="0">
    <w:nsid w:val="11E60100"/>
    <w:multiLevelType w:val="hybridMultilevel"/>
    <w:tmpl w:val="FFFFFFFF"/>
    <w:lvl w:ilvl="0" w:tplc="7E6C528C">
      <w:start w:val="1"/>
      <w:numFmt w:val="bullet"/>
      <w:lvlText w:val="-"/>
      <w:lvlJc w:val="left"/>
      <w:pPr>
        <w:ind w:left="720" w:hanging="360"/>
      </w:pPr>
      <w:rPr>
        <w:rFonts w:ascii="Calibri" w:hAnsi="Calibri" w:hint="default"/>
      </w:rPr>
    </w:lvl>
    <w:lvl w:ilvl="1" w:tplc="1486C00C">
      <w:start w:val="1"/>
      <w:numFmt w:val="bullet"/>
      <w:lvlText w:val="o"/>
      <w:lvlJc w:val="left"/>
      <w:pPr>
        <w:ind w:left="1440" w:hanging="360"/>
      </w:pPr>
      <w:rPr>
        <w:rFonts w:ascii="Courier New" w:hAnsi="Courier New" w:hint="default"/>
      </w:rPr>
    </w:lvl>
    <w:lvl w:ilvl="2" w:tplc="3934FE1C">
      <w:start w:val="1"/>
      <w:numFmt w:val="bullet"/>
      <w:lvlText w:val=""/>
      <w:lvlJc w:val="left"/>
      <w:pPr>
        <w:ind w:left="2160" w:hanging="360"/>
      </w:pPr>
      <w:rPr>
        <w:rFonts w:ascii="Wingdings" w:hAnsi="Wingdings" w:hint="default"/>
      </w:rPr>
    </w:lvl>
    <w:lvl w:ilvl="3" w:tplc="3B406E80">
      <w:start w:val="1"/>
      <w:numFmt w:val="bullet"/>
      <w:lvlText w:val=""/>
      <w:lvlJc w:val="left"/>
      <w:pPr>
        <w:ind w:left="2880" w:hanging="360"/>
      </w:pPr>
      <w:rPr>
        <w:rFonts w:ascii="Symbol" w:hAnsi="Symbol" w:hint="default"/>
      </w:rPr>
    </w:lvl>
    <w:lvl w:ilvl="4" w:tplc="9F9A7830">
      <w:start w:val="1"/>
      <w:numFmt w:val="bullet"/>
      <w:lvlText w:val="o"/>
      <w:lvlJc w:val="left"/>
      <w:pPr>
        <w:ind w:left="3600" w:hanging="360"/>
      </w:pPr>
      <w:rPr>
        <w:rFonts w:ascii="Courier New" w:hAnsi="Courier New" w:hint="default"/>
      </w:rPr>
    </w:lvl>
    <w:lvl w:ilvl="5" w:tplc="661A89E2">
      <w:start w:val="1"/>
      <w:numFmt w:val="bullet"/>
      <w:lvlText w:val=""/>
      <w:lvlJc w:val="left"/>
      <w:pPr>
        <w:ind w:left="4320" w:hanging="360"/>
      </w:pPr>
      <w:rPr>
        <w:rFonts w:ascii="Wingdings" w:hAnsi="Wingdings" w:hint="default"/>
      </w:rPr>
    </w:lvl>
    <w:lvl w:ilvl="6" w:tplc="48C2B22C">
      <w:start w:val="1"/>
      <w:numFmt w:val="bullet"/>
      <w:lvlText w:val=""/>
      <w:lvlJc w:val="left"/>
      <w:pPr>
        <w:ind w:left="5040" w:hanging="360"/>
      </w:pPr>
      <w:rPr>
        <w:rFonts w:ascii="Symbol" w:hAnsi="Symbol" w:hint="default"/>
      </w:rPr>
    </w:lvl>
    <w:lvl w:ilvl="7" w:tplc="D9E60584">
      <w:start w:val="1"/>
      <w:numFmt w:val="bullet"/>
      <w:lvlText w:val="o"/>
      <w:lvlJc w:val="left"/>
      <w:pPr>
        <w:ind w:left="5760" w:hanging="360"/>
      </w:pPr>
      <w:rPr>
        <w:rFonts w:ascii="Courier New" w:hAnsi="Courier New" w:hint="default"/>
      </w:rPr>
    </w:lvl>
    <w:lvl w:ilvl="8" w:tplc="FBC0AC32">
      <w:start w:val="1"/>
      <w:numFmt w:val="bullet"/>
      <w:lvlText w:val=""/>
      <w:lvlJc w:val="left"/>
      <w:pPr>
        <w:ind w:left="6480" w:hanging="360"/>
      </w:pPr>
      <w:rPr>
        <w:rFonts w:ascii="Wingdings" w:hAnsi="Wingdings" w:hint="default"/>
      </w:rPr>
    </w:lvl>
  </w:abstractNum>
  <w:abstractNum w:abstractNumId="12" w15:restartNumberingAfterBreak="0">
    <w:nsid w:val="13376AC5"/>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367033C"/>
    <w:multiLevelType w:val="hybridMultilevel"/>
    <w:tmpl w:val="26608270"/>
    <w:lvl w:ilvl="0" w:tplc="C7326056">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4" w15:restartNumberingAfterBreak="0">
    <w:nsid w:val="14CE4BB1"/>
    <w:multiLevelType w:val="hybridMultilevel"/>
    <w:tmpl w:val="EE920CC2"/>
    <w:lvl w:ilvl="0" w:tplc="75D4B888">
      <w:start w:val="3"/>
      <w:numFmt w:val="bullet"/>
      <w:lvlText w:val="-"/>
      <w:lvlJc w:val="left"/>
      <w:pPr>
        <w:ind w:left="720" w:hanging="360"/>
      </w:pPr>
      <w:rPr>
        <w:rFonts w:ascii="Arial" w:hAnsi="Arial" w:hint="default"/>
      </w:rPr>
    </w:lvl>
    <w:lvl w:ilvl="1" w:tplc="B5921E54" w:tentative="1">
      <w:start w:val="1"/>
      <w:numFmt w:val="bullet"/>
      <w:lvlText w:val="o"/>
      <w:lvlJc w:val="left"/>
      <w:pPr>
        <w:ind w:left="1440" w:hanging="360"/>
      </w:pPr>
      <w:rPr>
        <w:rFonts w:ascii="Courier New" w:hAnsi="Courier New" w:hint="default"/>
      </w:rPr>
    </w:lvl>
    <w:lvl w:ilvl="2" w:tplc="FA2E5910" w:tentative="1">
      <w:start w:val="1"/>
      <w:numFmt w:val="bullet"/>
      <w:lvlText w:val=""/>
      <w:lvlJc w:val="left"/>
      <w:pPr>
        <w:ind w:left="2160" w:hanging="360"/>
      </w:pPr>
      <w:rPr>
        <w:rFonts w:ascii="Wingdings" w:hAnsi="Wingdings" w:hint="default"/>
      </w:rPr>
    </w:lvl>
    <w:lvl w:ilvl="3" w:tplc="1254A10E" w:tentative="1">
      <w:start w:val="1"/>
      <w:numFmt w:val="bullet"/>
      <w:lvlText w:val=""/>
      <w:lvlJc w:val="left"/>
      <w:pPr>
        <w:ind w:left="2880" w:hanging="360"/>
      </w:pPr>
      <w:rPr>
        <w:rFonts w:ascii="Symbol" w:hAnsi="Symbol" w:hint="default"/>
      </w:rPr>
    </w:lvl>
    <w:lvl w:ilvl="4" w:tplc="0DE2F1C2" w:tentative="1">
      <w:start w:val="1"/>
      <w:numFmt w:val="bullet"/>
      <w:lvlText w:val="o"/>
      <w:lvlJc w:val="left"/>
      <w:pPr>
        <w:ind w:left="3600" w:hanging="360"/>
      </w:pPr>
      <w:rPr>
        <w:rFonts w:ascii="Courier New" w:hAnsi="Courier New" w:hint="default"/>
      </w:rPr>
    </w:lvl>
    <w:lvl w:ilvl="5" w:tplc="53D6CC16" w:tentative="1">
      <w:start w:val="1"/>
      <w:numFmt w:val="bullet"/>
      <w:lvlText w:val=""/>
      <w:lvlJc w:val="left"/>
      <w:pPr>
        <w:ind w:left="4320" w:hanging="360"/>
      </w:pPr>
      <w:rPr>
        <w:rFonts w:ascii="Wingdings" w:hAnsi="Wingdings" w:hint="default"/>
      </w:rPr>
    </w:lvl>
    <w:lvl w:ilvl="6" w:tplc="FA8C8B6E" w:tentative="1">
      <w:start w:val="1"/>
      <w:numFmt w:val="bullet"/>
      <w:lvlText w:val=""/>
      <w:lvlJc w:val="left"/>
      <w:pPr>
        <w:ind w:left="5040" w:hanging="360"/>
      </w:pPr>
      <w:rPr>
        <w:rFonts w:ascii="Symbol" w:hAnsi="Symbol" w:hint="default"/>
      </w:rPr>
    </w:lvl>
    <w:lvl w:ilvl="7" w:tplc="69C67284" w:tentative="1">
      <w:start w:val="1"/>
      <w:numFmt w:val="bullet"/>
      <w:lvlText w:val="o"/>
      <w:lvlJc w:val="left"/>
      <w:pPr>
        <w:ind w:left="5760" w:hanging="360"/>
      </w:pPr>
      <w:rPr>
        <w:rFonts w:ascii="Courier New" w:hAnsi="Courier New" w:hint="default"/>
      </w:rPr>
    </w:lvl>
    <w:lvl w:ilvl="8" w:tplc="D6E4A540" w:tentative="1">
      <w:start w:val="1"/>
      <w:numFmt w:val="bullet"/>
      <w:lvlText w:val=""/>
      <w:lvlJc w:val="left"/>
      <w:pPr>
        <w:ind w:left="6480" w:hanging="360"/>
      </w:pPr>
      <w:rPr>
        <w:rFonts w:ascii="Wingdings" w:hAnsi="Wingdings" w:hint="default"/>
      </w:rPr>
    </w:lvl>
  </w:abstractNum>
  <w:abstractNum w:abstractNumId="15" w15:restartNumberingAfterBreak="0">
    <w:nsid w:val="15069849"/>
    <w:multiLevelType w:val="hybridMultilevel"/>
    <w:tmpl w:val="FFFFFFFF"/>
    <w:lvl w:ilvl="0" w:tplc="52667C06">
      <w:start w:val="1"/>
      <w:numFmt w:val="bullet"/>
      <w:lvlText w:val="-"/>
      <w:lvlJc w:val="left"/>
      <w:pPr>
        <w:ind w:left="720" w:hanging="360"/>
      </w:pPr>
      <w:rPr>
        <w:rFonts w:ascii="Aptos" w:hAnsi="Aptos" w:hint="default"/>
      </w:rPr>
    </w:lvl>
    <w:lvl w:ilvl="1" w:tplc="66E6250A">
      <w:start w:val="1"/>
      <w:numFmt w:val="bullet"/>
      <w:lvlText w:val="o"/>
      <w:lvlJc w:val="left"/>
      <w:pPr>
        <w:ind w:left="1440" w:hanging="360"/>
      </w:pPr>
      <w:rPr>
        <w:rFonts w:ascii="Courier New" w:hAnsi="Courier New" w:hint="default"/>
      </w:rPr>
    </w:lvl>
    <w:lvl w:ilvl="2" w:tplc="57D01DE2">
      <w:start w:val="1"/>
      <w:numFmt w:val="bullet"/>
      <w:lvlText w:val=""/>
      <w:lvlJc w:val="left"/>
      <w:pPr>
        <w:ind w:left="2160" w:hanging="360"/>
      </w:pPr>
      <w:rPr>
        <w:rFonts w:ascii="Wingdings" w:hAnsi="Wingdings" w:hint="default"/>
      </w:rPr>
    </w:lvl>
    <w:lvl w:ilvl="3" w:tplc="A9B4E316">
      <w:start w:val="1"/>
      <w:numFmt w:val="bullet"/>
      <w:lvlText w:val=""/>
      <w:lvlJc w:val="left"/>
      <w:pPr>
        <w:ind w:left="2880" w:hanging="360"/>
      </w:pPr>
      <w:rPr>
        <w:rFonts w:ascii="Symbol" w:hAnsi="Symbol" w:hint="default"/>
      </w:rPr>
    </w:lvl>
    <w:lvl w:ilvl="4" w:tplc="45FC43D2">
      <w:start w:val="1"/>
      <w:numFmt w:val="bullet"/>
      <w:lvlText w:val="o"/>
      <w:lvlJc w:val="left"/>
      <w:pPr>
        <w:ind w:left="3600" w:hanging="360"/>
      </w:pPr>
      <w:rPr>
        <w:rFonts w:ascii="Courier New" w:hAnsi="Courier New" w:hint="default"/>
      </w:rPr>
    </w:lvl>
    <w:lvl w:ilvl="5" w:tplc="31F868BE">
      <w:start w:val="1"/>
      <w:numFmt w:val="bullet"/>
      <w:lvlText w:val=""/>
      <w:lvlJc w:val="left"/>
      <w:pPr>
        <w:ind w:left="4320" w:hanging="360"/>
      </w:pPr>
      <w:rPr>
        <w:rFonts w:ascii="Wingdings" w:hAnsi="Wingdings" w:hint="default"/>
      </w:rPr>
    </w:lvl>
    <w:lvl w:ilvl="6" w:tplc="E0246B80">
      <w:start w:val="1"/>
      <w:numFmt w:val="bullet"/>
      <w:lvlText w:val=""/>
      <w:lvlJc w:val="left"/>
      <w:pPr>
        <w:ind w:left="5040" w:hanging="360"/>
      </w:pPr>
      <w:rPr>
        <w:rFonts w:ascii="Symbol" w:hAnsi="Symbol" w:hint="default"/>
      </w:rPr>
    </w:lvl>
    <w:lvl w:ilvl="7" w:tplc="7416108E">
      <w:start w:val="1"/>
      <w:numFmt w:val="bullet"/>
      <w:lvlText w:val="o"/>
      <w:lvlJc w:val="left"/>
      <w:pPr>
        <w:ind w:left="5760" w:hanging="360"/>
      </w:pPr>
      <w:rPr>
        <w:rFonts w:ascii="Courier New" w:hAnsi="Courier New" w:hint="default"/>
      </w:rPr>
    </w:lvl>
    <w:lvl w:ilvl="8" w:tplc="82B2625C">
      <w:start w:val="1"/>
      <w:numFmt w:val="bullet"/>
      <w:lvlText w:val=""/>
      <w:lvlJc w:val="left"/>
      <w:pPr>
        <w:ind w:left="6480" w:hanging="360"/>
      </w:pPr>
      <w:rPr>
        <w:rFonts w:ascii="Wingdings" w:hAnsi="Wingdings" w:hint="default"/>
      </w:rPr>
    </w:lvl>
  </w:abstractNum>
  <w:abstractNum w:abstractNumId="16" w15:restartNumberingAfterBreak="0">
    <w:nsid w:val="17776326"/>
    <w:multiLevelType w:val="hybridMultilevel"/>
    <w:tmpl w:val="0A828084"/>
    <w:lvl w:ilvl="0" w:tplc="E6340ABC">
      <w:start w:val="1"/>
      <w:numFmt w:val="bullet"/>
      <w:lvlText w:val=""/>
      <w:lvlJc w:val="left"/>
      <w:pPr>
        <w:ind w:left="720" w:hanging="360"/>
      </w:pPr>
      <w:rPr>
        <w:rFonts w:ascii="Symbol" w:hAnsi="Symbol"/>
      </w:rPr>
    </w:lvl>
    <w:lvl w:ilvl="1" w:tplc="3AEA86E6">
      <w:start w:val="1"/>
      <w:numFmt w:val="bullet"/>
      <w:lvlText w:val=""/>
      <w:lvlJc w:val="left"/>
      <w:pPr>
        <w:ind w:left="720" w:hanging="360"/>
      </w:pPr>
      <w:rPr>
        <w:rFonts w:ascii="Symbol" w:hAnsi="Symbol"/>
      </w:rPr>
    </w:lvl>
    <w:lvl w:ilvl="2" w:tplc="C240C3BA">
      <w:start w:val="1"/>
      <w:numFmt w:val="bullet"/>
      <w:lvlText w:val=""/>
      <w:lvlJc w:val="left"/>
      <w:pPr>
        <w:ind w:left="720" w:hanging="360"/>
      </w:pPr>
      <w:rPr>
        <w:rFonts w:ascii="Symbol" w:hAnsi="Symbol"/>
      </w:rPr>
    </w:lvl>
    <w:lvl w:ilvl="3" w:tplc="63263D0C">
      <w:start w:val="1"/>
      <w:numFmt w:val="bullet"/>
      <w:lvlText w:val=""/>
      <w:lvlJc w:val="left"/>
      <w:pPr>
        <w:ind w:left="720" w:hanging="360"/>
      </w:pPr>
      <w:rPr>
        <w:rFonts w:ascii="Symbol" w:hAnsi="Symbol"/>
      </w:rPr>
    </w:lvl>
    <w:lvl w:ilvl="4" w:tplc="7A2C9122">
      <w:start w:val="1"/>
      <w:numFmt w:val="bullet"/>
      <w:lvlText w:val=""/>
      <w:lvlJc w:val="left"/>
      <w:pPr>
        <w:ind w:left="720" w:hanging="360"/>
      </w:pPr>
      <w:rPr>
        <w:rFonts w:ascii="Symbol" w:hAnsi="Symbol"/>
      </w:rPr>
    </w:lvl>
    <w:lvl w:ilvl="5" w:tplc="2E9EE132">
      <w:start w:val="1"/>
      <w:numFmt w:val="bullet"/>
      <w:lvlText w:val=""/>
      <w:lvlJc w:val="left"/>
      <w:pPr>
        <w:ind w:left="720" w:hanging="360"/>
      </w:pPr>
      <w:rPr>
        <w:rFonts w:ascii="Symbol" w:hAnsi="Symbol"/>
      </w:rPr>
    </w:lvl>
    <w:lvl w:ilvl="6" w:tplc="CDD4E316">
      <w:start w:val="1"/>
      <w:numFmt w:val="bullet"/>
      <w:lvlText w:val=""/>
      <w:lvlJc w:val="left"/>
      <w:pPr>
        <w:ind w:left="720" w:hanging="360"/>
      </w:pPr>
      <w:rPr>
        <w:rFonts w:ascii="Symbol" w:hAnsi="Symbol"/>
      </w:rPr>
    </w:lvl>
    <w:lvl w:ilvl="7" w:tplc="47AC058C">
      <w:start w:val="1"/>
      <w:numFmt w:val="bullet"/>
      <w:lvlText w:val=""/>
      <w:lvlJc w:val="left"/>
      <w:pPr>
        <w:ind w:left="720" w:hanging="360"/>
      </w:pPr>
      <w:rPr>
        <w:rFonts w:ascii="Symbol" w:hAnsi="Symbol"/>
      </w:rPr>
    </w:lvl>
    <w:lvl w:ilvl="8" w:tplc="3E14FFC2">
      <w:start w:val="1"/>
      <w:numFmt w:val="bullet"/>
      <w:lvlText w:val=""/>
      <w:lvlJc w:val="left"/>
      <w:pPr>
        <w:ind w:left="720" w:hanging="360"/>
      </w:pPr>
      <w:rPr>
        <w:rFonts w:ascii="Symbol" w:hAnsi="Symbol"/>
      </w:rPr>
    </w:lvl>
  </w:abstractNum>
  <w:abstractNum w:abstractNumId="17" w15:restartNumberingAfterBreak="0">
    <w:nsid w:val="178E658F"/>
    <w:multiLevelType w:val="hybridMultilevel"/>
    <w:tmpl w:val="FFFFFFFF"/>
    <w:lvl w:ilvl="0" w:tplc="6F06A73C">
      <w:start w:val="1"/>
      <w:numFmt w:val="bullet"/>
      <w:lvlText w:val="-"/>
      <w:lvlJc w:val="left"/>
      <w:pPr>
        <w:ind w:left="842" w:hanging="360"/>
      </w:pPr>
      <w:rPr>
        <w:rFonts w:ascii="Aptos" w:hAnsi="Aptos" w:hint="default"/>
      </w:rPr>
    </w:lvl>
    <w:lvl w:ilvl="1" w:tplc="4C7C8938">
      <w:start w:val="1"/>
      <w:numFmt w:val="bullet"/>
      <w:lvlText w:val="o"/>
      <w:lvlJc w:val="left"/>
      <w:pPr>
        <w:ind w:left="1562" w:hanging="360"/>
      </w:pPr>
      <w:rPr>
        <w:rFonts w:ascii="Courier New" w:hAnsi="Courier New" w:hint="default"/>
      </w:rPr>
    </w:lvl>
    <w:lvl w:ilvl="2" w:tplc="C3F296EE">
      <w:start w:val="1"/>
      <w:numFmt w:val="bullet"/>
      <w:lvlText w:val=""/>
      <w:lvlJc w:val="left"/>
      <w:pPr>
        <w:ind w:left="2282" w:hanging="360"/>
      </w:pPr>
      <w:rPr>
        <w:rFonts w:ascii="Wingdings" w:hAnsi="Wingdings" w:hint="default"/>
      </w:rPr>
    </w:lvl>
    <w:lvl w:ilvl="3" w:tplc="D840AA7C">
      <w:start w:val="1"/>
      <w:numFmt w:val="bullet"/>
      <w:lvlText w:val=""/>
      <w:lvlJc w:val="left"/>
      <w:pPr>
        <w:ind w:left="3002" w:hanging="360"/>
      </w:pPr>
      <w:rPr>
        <w:rFonts w:ascii="Symbol" w:hAnsi="Symbol" w:hint="default"/>
      </w:rPr>
    </w:lvl>
    <w:lvl w:ilvl="4" w:tplc="C582B26C">
      <w:start w:val="1"/>
      <w:numFmt w:val="bullet"/>
      <w:lvlText w:val="o"/>
      <w:lvlJc w:val="left"/>
      <w:pPr>
        <w:ind w:left="3722" w:hanging="360"/>
      </w:pPr>
      <w:rPr>
        <w:rFonts w:ascii="Courier New" w:hAnsi="Courier New" w:hint="default"/>
      </w:rPr>
    </w:lvl>
    <w:lvl w:ilvl="5" w:tplc="49B8684E">
      <w:start w:val="1"/>
      <w:numFmt w:val="bullet"/>
      <w:lvlText w:val=""/>
      <w:lvlJc w:val="left"/>
      <w:pPr>
        <w:ind w:left="4442" w:hanging="360"/>
      </w:pPr>
      <w:rPr>
        <w:rFonts w:ascii="Wingdings" w:hAnsi="Wingdings" w:hint="default"/>
      </w:rPr>
    </w:lvl>
    <w:lvl w:ilvl="6" w:tplc="1A5CC236">
      <w:start w:val="1"/>
      <w:numFmt w:val="bullet"/>
      <w:lvlText w:val=""/>
      <w:lvlJc w:val="left"/>
      <w:pPr>
        <w:ind w:left="5162" w:hanging="360"/>
      </w:pPr>
      <w:rPr>
        <w:rFonts w:ascii="Symbol" w:hAnsi="Symbol" w:hint="default"/>
      </w:rPr>
    </w:lvl>
    <w:lvl w:ilvl="7" w:tplc="3300CFE2">
      <w:start w:val="1"/>
      <w:numFmt w:val="bullet"/>
      <w:lvlText w:val="o"/>
      <w:lvlJc w:val="left"/>
      <w:pPr>
        <w:ind w:left="5882" w:hanging="360"/>
      </w:pPr>
      <w:rPr>
        <w:rFonts w:ascii="Courier New" w:hAnsi="Courier New" w:hint="default"/>
      </w:rPr>
    </w:lvl>
    <w:lvl w:ilvl="8" w:tplc="997CC742">
      <w:start w:val="1"/>
      <w:numFmt w:val="bullet"/>
      <w:lvlText w:val=""/>
      <w:lvlJc w:val="left"/>
      <w:pPr>
        <w:ind w:left="6602" w:hanging="360"/>
      </w:pPr>
      <w:rPr>
        <w:rFonts w:ascii="Wingdings" w:hAnsi="Wingdings" w:hint="default"/>
      </w:rPr>
    </w:lvl>
  </w:abstractNum>
  <w:abstractNum w:abstractNumId="18" w15:restartNumberingAfterBreak="0">
    <w:nsid w:val="195D4159"/>
    <w:multiLevelType w:val="hybridMultilevel"/>
    <w:tmpl w:val="A3E64D18"/>
    <w:lvl w:ilvl="0" w:tplc="EA82355A">
      <w:start w:val="5"/>
      <w:numFmt w:val="bullet"/>
      <w:lvlText w:val="-"/>
      <w:lvlJc w:val="left"/>
      <w:pPr>
        <w:ind w:left="720" w:hanging="360"/>
      </w:pPr>
      <w:rPr>
        <w:rFonts w:ascii="Calibri" w:hAnsi="Calibri" w:hint="default"/>
      </w:rPr>
    </w:lvl>
    <w:lvl w:ilvl="1" w:tplc="1E9E0F4C" w:tentative="1">
      <w:start w:val="1"/>
      <w:numFmt w:val="bullet"/>
      <w:lvlText w:val="o"/>
      <w:lvlJc w:val="left"/>
      <w:pPr>
        <w:ind w:left="1440" w:hanging="360"/>
      </w:pPr>
      <w:rPr>
        <w:rFonts w:ascii="Courier New" w:hAnsi="Courier New" w:hint="default"/>
      </w:rPr>
    </w:lvl>
    <w:lvl w:ilvl="2" w:tplc="28828B70" w:tentative="1">
      <w:start w:val="1"/>
      <w:numFmt w:val="bullet"/>
      <w:lvlText w:val=""/>
      <w:lvlJc w:val="left"/>
      <w:pPr>
        <w:ind w:left="2160" w:hanging="360"/>
      </w:pPr>
      <w:rPr>
        <w:rFonts w:ascii="Wingdings" w:hAnsi="Wingdings" w:hint="default"/>
      </w:rPr>
    </w:lvl>
    <w:lvl w:ilvl="3" w:tplc="C4B297CA" w:tentative="1">
      <w:start w:val="1"/>
      <w:numFmt w:val="bullet"/>
      <w:lvlText w:val=""/>
      <w:lvlJc w:val="left"/>
      <w:pPr>
        <w:ind w:left="2880" w:hanging="360"/>
      </w:pPr>
      <w:rPr>
        <w:rFonts w:ascii="Symbol" w:hAnsi="Symbol" w:hint="default"/>
      </w:rPr>
    </w:lvl>
    <w:lvl w:ilvl="4" w:tplc="CF72013E" w:tentative="1">
      <w:start w:val="1"/>
      <w:numFmt w:val="bullet"/>
      <w:lvlText w:val="o"/>
      <w:lvlJc w:val="left"/>
      <w:pPr>
        <w:ind w:left="3600" w:hanging="360"/>
      </w:pPr>
      <w:rPr>
        <w:rFonts w:ascii="Courier New" w:hAnsi="Courier New" w:hint="default"/>
      </w:rPr>
    </w:lvl>
    <w:lvl w:ilvl="5" w:tplc="1DCEC190" w:tentative="1">
      <w:start w:val="1"/>
      <w:numFmt w:val="bullet"/>
      <w:lvlText w:val=""/>
      <w:lvlJc w:val="left"/>
      <w:pPr>
        <w:ind w:left="4320" w:hanging="360"/>
      </w:pPr>
      <w:rPr>
        <w:rFonts w:ascii="Wingdings" w:hAnsi="Wingdings" w:hint="default"/>
      </w:rPr>
    </w:lvl>
    <w:lvl w:ilvl="6" w:tplc="481015FE" w:tentative="1">
      <w:start w:val="1"/>
      <w:numFmt w:val="bullet"/>
      <w:lvlText w:val=""/>
      <w:lvlJc w:val="left"/>
      <w:pPr>
        <w:ind w:left="5040" w:hanging="360"/>
      </w:pPr>
      <w:rPr>
        <w:rFonts w:ascii="Symbol" w:hAnsi="Symbol" w:hint="default"/>
      </w:rPr>
    </w:lvl>
    <w:lvl w:ilvl="7" w:tplc="373C72C2" w:tentative="1">
      <w:start w:val="1"/>
      <w:numFmt w:val="bullet"/>
      <w:lvlText w:val="o"/>
      <w:lvlJc w:val="left"/>
      <w:pPr>
        <w:ind w:left="5760" w:hanging="360"/>
      </w:pPr>
      <w:rPr>
        <w:rFonts w:ascii="Courier New" w:hAnsi="Courier New" w:hint="default"/>
      </w:rPr>
    </w:lvl>
    <w:lvl w:ilvl="8" w:tplc="D6086F80" w:tentative="1">
      <w:start w:val="1"/>
      <w:numFmt w:val="bullet"/>
      <w:lvlText w:val=""/>
      <w:lvlJc w:val="left"/>
      <w:pPr>
        <w:ind w:left="6480" w:hanging="360"/>
      </w:pPr>
      <w:rPr>
        <w:rFonts w:ascii="Wingdings" w:hAnsi="Wingdings" w:hint="default"/>
      </w:rPr>
    </w:lvl>
  </w:abstractNum>
  <w:abstractNum w:abstractNumId="19" w15:restartNumberingAfterBreak="0">
    <w:nsid w:val="1A2B2AEF"/>
    <w:multiLevelType w:val="multilevel"/>
    <w:tmpl w:val="BEA44D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1A8A8A17"/>
    <w:multiLevelType w:val="hybridMultilevel"/>
    <w:tmpl w:val="FFFFFFFF"/>
    <w:lvl w:ilvl="0" w:tplc="EA22C94A">
      <w:start w:val="1"/>
      <w:numFmt w:val="bullet"/>
      <w:lvlText w:val=""/>
      <w:lvlJc w:val="left"/>
      <w:pPr>
        <w:ind w:left="720" w:hanging="360"/>
      </w:pPr>
      <w:rPr>
        <w:rFonts w:ascii="Symbol" w:hAnsi="Symbol" w:hint="default"/>
      </w:rPr>
    </w:lvl>
    <w:lvl w:ilvl="1" w:tplc="AF4EF982">
      <w:start w:val="1"/>
      <w:numFmt w:val="bullet"/>
      <w:lvlText w:val="o"/>
      <w:lvlJc w:val="left"/>
      <w:pPr>
        <w:ind w:left="1440" w:hanging="360"/>
      </w:pPr>
      <w:rPr>
        <w:rFonts w:ascii="Courier New" w:hAnsi="Courier New" w:hint="default"/>
      </w:rPr>
    </w:lvl>
    <w:lvl w:ilvl="2" w:tplc="AA1A2CBE">
      <w:start w:val="1"/>
      <w:numFmt w:val="bullet"/>
      <w:lvlText w:val=""/>
      <w:lvlJc w:val="left"/>
      <w:pPr>
        <w:ind w:left="2160" w:hanging="360"/>
      </w:pPr>
      <w:rPr>
        <w:rFonts w:ascii="Wingdings" w:hAnsi="Wingdings" w:hint="default"/>
      </w:rPr>
    </w:lvl>
    <w:lvl w:ilvl="3" w:tplc="BBE4A21A">
      <w:start w:val="1"/>
      <w:numFmt w:val="bullet"/>
      <w:lvlText w:val=""/>
      <w:lvlJc w:val="left"/>
      <w:pPr>
        <w:ind w:left="2880" w:hanging="360"/>
      </w:pPr>
      <w:rPr>
        <w:rFonts w:ascii="Symbol" w:hAnsi="Symbol" w:hint="default"/>
      </w:rPr>
    </w:lvl>
    <w:lvl w:ilvl="4" w:tplc="27AC4B60">
      <w:start w:val="1"/>
      <w:numFmt w:val="bullet"/>
      <w:lvlText w:val="o"/>
      <w:lvlJc w:val="left"/>
      <w:pPr>
        <w:ind w:left="3600" w:hanging="360"/>
      </w:pPr>
      <w:rPr>
        <w:rFonts w:ascii="Courier New" w:hAnsi="Courier New" w:hint="default"/>
      </w:rPr>
    </w:lvl>
    <w:lvl w:ilvl="5" w:tplc="FA3EDD46">
      <w:start w:val="1"/>
      <w:numFmt w:val="bullet"/>
      <w:lvlText w:val=""/>
      <w:lvlJc w:val="left"/>
      <w:pPr>
        <w:ind w:left="4320" w:hanging="360"/>
      </w:pPr>
      <w:rPr>
        <w:rFonts w:ascii="Wingdings" w:hAnsi="Wingdings" w:hint="default"/>
      </w:rPr>
    </w:lvl>
    <w:lvl w:ilvl="6" w:tplc="7B5E4994">
      <w:start w:val="1"/>
      <w:numFmt w:val="bullet"/>
      <w:lvlText w:val=""/>
      <w:lvlJc w:val="left"/>
      <w:pPr>
        <w:ind w:left="5040" w:hanging="360"/>
      </w:pPr>
      <w:rPr>
        <w:rFonts w:ascii="Symbol" w:hAnsi="Symbol" w:hint="default"/>
      </w:rPr>
    </w:lvl>
    <w:lvl w:ilvl="7" w:tplc="013249C4">
      <w:start w:val="1"/>
      <w:numFmt w:val="bullet"/>
      <w:lvlText w:val="o"/>
      <w:lvlJc w:val="left"/>
      <w:pPr>
        <w:ind w:left="5760" w:hanging="360"/>
      </w:pPr>
      <w:rPr>
        <w:rFonts w:ascii="Courier New" w:hAnsi="Courier New" w:hint="default"/>
      </w:rPr>
    </w:lvl>
    <w:lvl w:ilvl="8" w:tplc="5156E472">
      <w:start w:val="1"/>
      <w:numFmt w:val="bullet"/>
      <w:lvlText w:val=""/>
      <w:lvlJc w:val="left"/>
      <w:pPr>
        <w:ind w:left="6480" w:hanging="360"/>
      </w:pPr>
      <w:rPr>
        <w:rFonts w:ascii="Wingdings" w:hAnsi="Wingdings" w:hint="default"/>
      </w:rPr>
    </w:lvl>
  </w:abstractNum>
  <w:abstractNum w:abstractNumId="21" w15:restartNumberingAfterBreak="0">
    <w:nsid w:val="1B136DF1"/>
    <w:multiLevelType w:val="hybridMultilevel"/>
    <w:tmpl w:val="18EA3360"/>
    <w:lvl w:ilvl="0" w:tplc="70C6FC66">
      <w:start w:val="1"/>
      <w:numFmt w:val="bullet"/>
      <w:lvlText w:val=""/>
      <w:lvlJc w:val="left"/>
      <w:pPr>
        <w:ind w:left="720" w:hanging="360"/>
      </w:pPr>
      <w:rPr>
        <w:rFonts w:ascii="Symbol" w:hAnsi="Symbol"/>
      </w:rPr>
    </w:lvl>
    <w:lvl w:ilvl="1" w:tplc="5FA80F3C">
      <w:start w:val="1"/>
      <w:numFmt w:val="bullet"/>
      <w:lvlText w:val=""/>
      <w:lvlJc w:val="left"/>
      <w:pPr>
        <w:ind w:left="720" w:hanging="360"/>
      </w:pPr>
      <w:rPr>
        <w:rFonts w:ascii="Symbol" w:hAnsi="Symbol"/>
      </w:rPr>
    </w:lvl>
    <w:lvl w:ilvl="2" w:tplc="B6149180">
      <w:start w:val="1"/>
      <w:numFmt w:val="bullet"/>
      <w:lvlText w:val=""/>
      <w:lvlJc w:val="left"/>
      <w:pPr>
        <w:ind w:left="720" w:hanging="360"/>
      </w:pPr>
      <w:rPr>
        <w:rFonts w:ascii="Symbol" w:hAnsi="Symbol"/>
      </w:rPr>
    </w:lvl>
    <w:lvl w:ilvl="3" w:tplc="700C1DAA">
      <w:start w:val="1"/>
      <w:numFmt w:val="bullet"/>
      <w:lvlText w:val=""/>
      <w:lvlJc w:val="left"/>
      <w:pPr>
        <w:ind w:left="720" w:hanging="360"/>
      </w:pPr>
      <w:rPr>
        <w:rFonts w:ascii="Symbol" w:hAnsi="Symbol"/>
      </w:rPr>
    </w:lvl>
    <w:lvl w:ilvl="4" w:tplc="87043A36">
      <w:start w:val="1"/>
      <w:numFmt w:val="bullet"/>
      <w:lvlText w:val=""/>
      <w:lvlJc w:val="left"/>
      <w:pPr>
        <w:ind w:left="720" w:hanging="360"/>
      </w:pPr>
      <w:rPr>
        <w:rFonts w:ascii="Symbol" w:hAnsi="Symbol"/>
      </w:rPr>
    </w:lvl>
    <w:lvl w:ilvl="5" w:tplc="97A07FB8">
      <w:start w:val="1"/>
      <w:numFmt w:val="bullet"/>
      <w:lvlText w:val=""/>
      <w:lvlJc w:val="left"/>
      <w:pPr>
        <w:ind w:left="720" w:hanging="360"/>
      </w:pPr>
      <w:rPr>
        <w:rFonts w:ascii="Symbol" w:hAnsi="Symbol"/>
      </w:rPr>
    </w:lvl>
    <w:lvl w:ilvl="6" w:tplc="1D6AAFB6">
      <w:start w:val="1"/>
      <w:numFmt w:val="bullet"/>
      <w:lvlText w:val=""/>
      <w:lvlJc w:val="left"/>
      <w:pPr>
        <w:ind w:left="720" w:hanging="360"/>
      </w:pPr>
      <w:rPr>
        <w:rFonts w:ascii="Symbol" w:hAnsi="Symbol"/>
      </w:rPr>
    </w:lvl>
    <w:lvl w:ilvl="7" w:tplc="55AAAC36">
      <w:start w:val="1"/>
      <w:numFmt w:val="bullet"/>
      <w:lvlText w:val=""/>
      <w:lvlJc w:val="left"/>
      <w:pPr>
        <w:ind w:left="720" w:hanging="360"/>
      </w:pPr>
      <w:rPr>
        <w:rFonts w:ascii="Symbol" w:hAnsi="Symbol"/>
      </w:rPr>
    </w:lvl>
    <w:lvl w:ilvl="8" w:tplc="1C0425E6">
      <w:start w:val="1"/>
      <w:numFmt w:val="bullet"/>
      <w:lvlText w:val=""/>
      <w:lvlJc w:val="left"/>
      <w:pPr>
        <w:ind w:left="720" w:hanging="360"/>
      </w:pPr>
      <w:rPr>
        <w:rFonts w:ascii="Symbol" w:hAnsi="Symbol"/>
      </w:rPr>
    </w:lvl>
  </w:abstractNum>
  <w:abstractNum w:abstractNumId="22" w15:restartNumberingAfterBreak="0">
    <w:nsid w:val="1B1EFB57"/>
    <w:multiLevelType w:val="hybridMultilevel"/>
    <w:tmpl w:val="FFFFFFFF"/>
    <w:lvl w:ilvl="0" w:tplc="69EE4DFA">
      <w:start w:val="1"/>
      <w:numFmt w:val="bullet"/>
      <w:lvlText w:val="-"/>
      <w:lvlJc w:val="left"/>
      <w:pPr>
        <w:ind w:left="1080" w:hanging="360"/>
      </w:pPr>
      <w:rPr>
        <w:rFonts w:ascii="Aptos" w:hAnsi="Aptos" w:hint="default"/>
      </w:rPr>
    </w:lvl>
    <w:lvl w:ilvl="1" w:tplc="F01C0700">
      <w:start w:val="1"/>
      <w:numFmt w:val="bullet"/>
      <w:lvlText w:val="o"/>
      <w:lvlJc w:val="left"/>
      <w:pPr>
        <w:ind w:left="1800" w:hanging="360"/>
      </w:pPr>
      <w:rPr>
        <w:rFonts w:ascii="Courier New" w:hAnsi="Courier New" w:hint="default"/>
      </w:rPr>
    </w:lvl>
    <w:lvl w:ilvl="2" w:tplc="E34468E2">
      <w:start w:val="1"/>
      <w:numFmt w:val="bullet"/>
      <w:lvlText w:val=""/>
      <w:lvlJc w:val="left"/>
      <w:pPr>
        <w:ind w:left="2520" w:hanging="360"/>
      </w:pPr>
      <w:rPr>
        <w:rFonts w:ascii="Wingdings" w:hAnsi="Wingdings" w:hint="default"/>
      </w:rPr>
    </w:lvl>
    <w:lvl w:ilvl="3" w:tplc="126AE3D6">
      <w:start w:val="1"/>
      <w:numFmt w:val="bullet"/>
      <w:lvlText w:val=""/>
      <w:lvlJc w:val="left"/>
      <w:pPr>
        <w:ind w:left="3240" w:hanging="360"/>
      </w:pPr>
      <w:rPr>
        <w:rFonts w:ascii="Symbol" w:hAnsi="Symbol" w:hint="default"/>
      </w:rPr>
    </w:lvl>
    <w:lvl w:ilvl="4" w:tplc="08CCE8EC">
      <w:start w:val="1"/>
      <w:numFmt w:val="bullet"/>
      <w:lvlText w:val="o"/>
      <w:lvlJc w:val="left"/>
      <w:pPr>
        <w:ind w:left="3960" w:hanging="360"/>
      </w:pPr>
      <w:rPr>
        <w:rFonts w:ascii="Courier New" w:hAnsi="Courier New" w:hint="default"/>
      </w:rPr>
    </w:lvl>
    <w:lvl w:ilvl="5" w:tplc="40C4291A">
      <w:start w:val="1"/>
      <w:numFmt w:val="bullet"/>
      <w:lvlText w:val=""/>
      <w:lvlJc w:val="left"/>
      <w:pPr>
        <w:ind w:left="4680" w:hanging="360"/>
      </w:pPr>
      <w:rPr>
        <w:rFonts w:ascii="Wingdings" w:hAnsi="Wingdings" w:hint="default"/>
      </w:rPr>
    </w:lvl>
    <w:lvl w:ilvl="6" w:tplc="4AE8FC2A">
      <w:start w:val="1"/>
      <w:numFmt w:val="bullet"/>
      <w:lvlText w:val=""/>
      <w:lvlJc w:val="left"/>
      <w:pPr>
        <w:ind w:left="5400" w:hanging="360"/>
      </w:pPr>
      <w:rPr>
        <w:rFonts w:ascii="Symbol" w:hAnsi="Symbol" w:hint="default"/>
      </w:rPr>
    </w:lvl>
    <w:lvl w:ilvl="7" w:tplc="5A08578A">
      <w:start w:val="1"/>
      <w:numFmt w:val="bullet"/>
      <w:lvlText w:val="o"/>
      <w:lvlJc w:val="left"/>
      <w:pPr>
        <w:ind w:left="6120" w:hanging="360"/>
      </w:pPr>
      <w:rPr>
        <w:rFonts w:ascii="Courier New" w:hAnsi="Courier New" w:hint="default"/>
      </w:rPr>
    </w:lvl>
    <w:lvl w:ilvl="8" w:tplc="DBE8FDB4">
      <w:start w:val="1"/>
      <w:numFmt w:val="bullet"/>
      <w:lvlText w:val=""/>
      <w:lvlJc w:val="left"/>
      <w:pPr>
        <w:ind w:left="6840" w:hanging="360"/>
      </w:pPr>
      <w:rPr>
        <w:rFonts w:ascii="Wingdings" w:hAnsi="Wingdings" w:hint="default"/>
      </w:rPr>
    </w:lvl>
  </w:abstractNum>
  <w:abstractNum w:abstractNumId="23" w15:restartNumberingAfterBreak="0">
    <w:nsid w:val="1BE020F6"/>
    <w:multiLevelType w:val="hybridMultilevel"/>
    <w:tmpl w:val="72386866"/>
    <w:lvl w:ilvl="0" w:tplc="B15ED9A6">
      <w:start w:val="1"/>
      <w:numFmt w:val="decimal"/>
      <w:lvlText w:val="%1)"/>
      <w:lvlJc w:val="left"/>
      <w:pPr>
        <w:ind w:left="1020" w:hanging="360"/>
      </w:pPr>
    </w:lvl>
    <w:lvl w:ilvl="1" w:tplc="2F2284BC">
      <w:start w:val="1"/>
      <w:numFmt w:val="decimal"/>
      <w:lvlText w:val="%2)"/>
      <w:lvlJc w:val="left"/>
      <w:pPr>
        <w:ind w:left="1020" w:hanging="360"/>
      </w:pPr>
    </w:lvl>
    <w:lvl w:ilvl="2" w:tplc="7FE26410">
      <w:start w:val="1"/>
      <w:numFmt w:val="decimal"/>
      <w:lvlText w:val="%3)"/>
      <w:lvlJc w:val="left"/>
      <w:pPr>
        <w:ind w:left="1020" w:hanging="360"/>
      </w:pPr>
    </w:lvl>
    <w:lvl w:ilvl="3" w:tplc="251E72C8">
      <w:start w:val="1"/>
      <w:numFmt w:val="decimal"/>
      <w:lvlText w:val="%4)"/>
      <w:lvlJc w:val="left"/>
      <w:pPr>
        <w:ind w:left="1020" w:hanging="360"/>
      </w:pPr>
    </w:lvl>
    <w:lvl w:ilvl="4" w:tplc="D0F26B34">
      <w:start w:val="1"/>
      <w:numFmt w:val="decimal"/>
      <w:lvlText w:val="%5)"/>
      <w:lvlJc w:val="left"/>
      <w:pPr>
        <w:ind w:left="1020" w:hanging="360"/>
      </w:pPr>
    </w:lvl>
    <w:lvl w:ilvl="5" w:tplc="152CAB4A">
      <w:start w:val="1"/>
      <w:numFmt w:val="decimal"/>
      <w:lvlText w:val="%6)"/>
      <w:lvlJc w:val="left"/>
      <w:pPr>
        <w:ind w:left="1020" w:hanging="360"/>
      </w:pPr>
    </w:lvl>
    <w:lvl w:ilvl="6" w:tplc="A8149C92">
      <w:start w:val="1"/>
      <w:numFmt w:val="decimal"/>
      <w:lvlText w:val="%7)"/>
      <w:lvlJc w:val="left"/>
      <w:pPr>
        <w:ind w:left="1020" w:hanging="360"/>
      </w:pPr>
    </w:lvl>
    <w:lvl w:ilvl="7" w:tplc="2248934E">
      <w:start w:val="1"/>
      <w:numFmt w:val="decimal"/>
      <w:lvlText w:val="%8)"/>
      <w:lvlJc w:val="left"/>
      <w:pPr>
        <w:ind w:left="1020" w:hanging="360"/>
      </w:pPr>
    </w:lvl>
    <w:lvl w:ilvl="8" w:tplc="9CB8F092">
      <w:start w:val="1"/>
      <w:numFmt w:val="decimal"/>
      <w:lvlText w:val="%9)"/>
      <w:lvlJc w:val="left"/>
      <w:pPr>
        <w:ind w:left="1020" w:hanging="360"/>
      </w:pPr>
    </w:lvl>
  </w:abstractNum>
  <w:abstractNum w:abstractNumId="24" w15:restartNumberingAfterBreak="0">
    <w:nsid w:val="1CCA3225"/>
    <w:multiLevelType w:val="multilevel"/>
    <w:tmpl w:val="E9D8A9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1CE9544E"/>
    <w:multiLevelType w:val="hybridMultilevel"/>
    <w:tmpl w:val="1486C04C"/>
    <w:lvl w:ilvl="0" w:tplc="A07A0ACA">
      <w:start w:val="1"/>
      <w:numFmt w:val="decimal"/>
      <w:lvlText w:val="%1)"/>
      <w:lvlJc w:val="left"/>
      <w:pPr>
        <w:ind w:left="1020" w:hanging="360"/>
      </w:pPr>
    </w:lvl>
    <w:lvl w:ilvl="1" w:tplc="42A65CCC">
      <w:start w:val="1"/>
      <w:numFmt w:val="decimal"/>
      <w:lvlText w:val="%2)"/>
      <w:lvlJc w:val="left"/>
      <w:pPr>
        <w:ind w:left="1020" w:hanging="360"/>
      </w:pPr>
    </w:lvl>
    <w:lvl w:ilvl="2" w:tplc="57782F76">
      <w:start w:val="1"/>
      <w:numFmt w:val="decimal"/>
      <w:lvlText w:val="%3)"/>
      <w:lvlJc w:val="left"/>
      <w:pPr>
        <w:ind w:left="1020" w:hanging="360"/>
      </w:pPr>
    </w:lvl>
    <w:lvl w:ilvl="3" w:tplc="391C72C8">
      <w:start w:val="1"/>
      <w:numFmt w:val="decimal"/>
      <w:lvlText w:val="%4)"/>
      <w:lvlJc w:val="left"/>
      <w:pPr>
        <w:ind w:left="1020" w:hanging="360"/>
      </w:pPr>
    </w:lvl>
    <w:lvl w:ilvl="4" w:tplc="E2CEAFB0">
      <w:start w:val="1"/>
      <w:numFmt w:val="decimal"/>
      <w:lvlText w:val="%5)"/>
      <w:lvlJc w:val="left"/>
      <w:pPr>
        <w:ind w:left="1020" w:hanging="360"/>
      </w:pPr>
    </w:lvl>
    <w:lvl w:ilvl="5" w:tplc="7E086C40">
      <w:start w:val="1"/>
      <w:numFmt w:val="decimal"/>
      <w:lvlText w:val="%6)"/>
      <w:lvlJc w:val="left"/>
      <w:pPr>
        <w:ind w:left="1020" w:hanging="360"/>
      </w:pPr>
    </w:lvl>
    <w:lvl w:ilvl="6" w:tplc="6032F0DA">
      <w:start w:val="1"/>
      <w:numFmt w:val="decimal"/>
      <w:lvlText w:val="%7)"/>
      <w:lvlJc w:val="left"/>
      <w:pPr>
        <w:ind w:left="1020" w:hanging="360"/>
      </w:pPr>
    </w:lvl>
    <w:lvl w:ilvl="7" w:tplc="66EAB82A">
      <w:start w:val="1"/>
      <w:numFmt w:val="decimal"/>
      <w:lvlText w:val="%8)"/>
      <w:lvlJc w:val="left"/>
      <w:pPr>
        <w:ind w:left="1020" w:hanging="360"/>
      </w:pPr>
    </w:lvl>
    <w:lvl w:ilvl="8" w:tplc="DBEEF82E">
      <w:start w:val="1"/>
      <w:numFmt w:val="decimal"/>
      <w:lvlText w:val="%9)"/>
      <w:lvlJc w:val="left"/>
      <w:pPr>
        <w:ind w:left="1020" w:hanging="360"/>
      </w:pPr>
    </w:lvl>
  </w:abstractNum>
  <w:abstractNum w:abstractNumId="26" w15:restartNumberingAfterBreak="0">
    <w:nsid w:val="1D38FC58"/>
    <w:multiLevelType w:val="hybridMultilevel"/>
    <w:tmpl w:val="FFFFFFFF"/>
    <w:lvl w:ilvl="0" w:tplc="5BE2577E">
      <w:start w:val="1"/>
      <w:numFmt w:val="bullet"/>
      <w:lvlText w:val="-"/>
      <w:lvlJc w:val="left"/>
      <w:pPr>
        <w:ind w:left="720" w:hanging="360"/>
      </w:pPr>
      <w:rPr>
        <w:rFonts w:ascii="Aptos" w:hAnsi="Aptos" w:hint="default"/>
      </w:rPr>
    </w:lvl>
    <w:lvl w:ilvl="1" w:tplc="15DAA2DE">
      <w:start w:val="1"/>
      <w:numFmt w:val="bullet"/>
      <w:lvlText w:val="o"/>
      <w:lvlJc w:val="left"/>
      <w:pPr>
        <w:ind w:left="1440" w:hanging="360"/>
      </w:pPr>
      <w:rPr>
        <w:rFonts w:ascii="Courier New" w:hAnsi="Courier New" w:hint="default"/>
      </w:rPr>
    </w:lvl>
    <w:lvl w:ilvl="2" w:tplc="C778DB42">
      <w:start w:val="1"/>
      <w:numFmt w:val="bullet"/>
      <w:lvlText w:val=""/>
      <w:lvlJc w:val="left"/>
      <w:pPr>
        <w:ind w:left="2160" w:hanging="360"/>
      </w:pPr>
      <w:rPr>
        <w:rFonts w:ascii="Wingdings" w:hAnsi="Wingdings" w:hint="default"/>
      </w:rPr>
    </w:lvl>
    <w:lvl w:ilvl="3" w:tplc="F3849AAA">
      <w:start w:val="1"/>
      <w:numFmt w:val="bullet"/>
      <w:lvlText w:val=""/>
      <w:lvlJc w:val="left"/>
      <w:pPr>
        <w:ind w:left="2880" w:hanging="360"/>
      </w:pPr>
      <w:rPr>
        <w:rFonts w:ascii="Symbol" w:hAnsi="Symbol" w:hint="default"/>
      </w:rPr>
    </w:lvl>
    <w:lvl w:ilvl="4" w:tplc="FA60D78A">
      <w:start w:val="1"/>
      <w:numFmt w:val="bullet"/>
      <w:lvlText w:val="o"/>
      <w:lvlJc w:val="left"/>
      <w:pPr>
        <w:ind w:left="3600" w:hanging="360"/>
      </w:pPr>
      <w:rPr>
        <w:rFonts w:ascii="Courier New" w:hAnsi="Courier New" w:hint="default"/>
      </w:rPr>
    </w:lvl>
    <w:lvl w:ilvl="5" w:tplc="6A26C244">
      <w:start w:val="1"/>
      <w:numFmt w:val="bullet"/>
      <w:lvlText w:val=""/>
      <w:lvlJc w:val="left"/>
      <w:pPr>
        <w:ind w:left="4320" w:hanging="360"/>
      </w:pPr>
      <w:rPr>
        <w:rFonts w:ascii="Wingdings" w:hAnsi="Wingdings" w:hint="default"/>
      </w:rPr>
    </w:lvl>
    <w:lvl w:ilvl="6" w:tplc="24461B00">
      <w:start w:val="1"/>
      <w:numFmt w:val="bullet"/>
      <w:lvlText w:val=""/>
      <w:lvlJc w:val="left"/>
      <w:pPr>
        <w:ind w:left="5040" w:hanging="360"/>
      </w:pPr>
      <w:rPr>
        <w:rFonts w:ascii="Symbol" w:hAnsi="Symbol" w:hint="default"/>
      </w:rPr>
    </w:lvl>
    <w:lvl w:ilvl="7" w:tplc="38160E68">
      <w:start w:val="1"/>
      <w:numFmt w:val="bullet"/>
      <w:lvlText w:val="o"/>
      <w:lvlJc w:val="left"/>
      <w:pPr>
        <w:ind w:left="5760" w:hanging="360"/>
      </w:pPr>
      <w:rPr>
        <w:rFonts w:ascii="Courier New" w:hAnsi="Courier New" w:hint="default"/>
      </w:rPr>
    </w:lvl>
    <w:lvl w:ilvl="8" w:tplc="2BF6C068">
      <w:start w:val="1"/>
      <w:numFmt w:val="bullet"/>
      <w:lvlText w:val=""/>
      <w:lvlJc w:val="left"/>
      <w:pPr>
        <w:ind w:left="6480" w:hanging="360"/>
      </w:pPr>
      <w:rPr>
        <w:rFonts w:ascii="Wingdings" w:hAnsi="Wingdings" w:hint="default"/>
      </w:rPr>
    </w:lvl>
  </w:abstractNum>
  <w:abstractNum w:abstractNumId="27" w15:restartNumberingAfterBreak="0">
    <w:nsid w:val="1D51609B"/>
    <w:multiLevelType w:val="hybridMultilevel"/>
    <w:tmpl w:val="B59825E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1D5A47E0"/>
    <w:multiLevelType w:val="hybridMultilevel"/>
    <w:tmpl w:val="4B4C37B2"/>
    <w:lvl w:ilvl="0" w:tplc="FC56F3E6">
      <w:start w:val="1"/>
      <w:numFmt w:val="decimal"/>
      <w:lvlText w:val="%1."/>
      <w:lvlJc w:val="left"/>
      <w:pPr>
        <w:ind w:left="720" w:hanging="360"/>
      </w:pPr>
    </w:lvl>
    <w:lvl w:ilvl="1" w:tplc="60226CC8">
      <w:start w:val="1"/>
      <w:numFmt w:val="decimal"/>
      <w:lvlText w:val="%2."/>
      <w:lvlJc w:val="left"/>
      <w:pPr>
        <w:ind w:left="720" w:hanging="360"/>
      </w:pPr>
    </w:lvl>
    <w:lvl w:ilvl="2" w:tplc="9FF4D0BE">
      <w:start w:val="1"/>
      <w:numFmt w:val="decimal"/>
      <w:lvlText w:val="%3."/>
      <w:lvlJc w:val="left"/>
      <w:pPr>
        <w:ind w:left="720" w:hanging="360"/>
      </w:pPr>
    </w:lvl>
    <w:lvl w:ilvl="3" w:tplc="7F74E6FC">
      <w:start w:val="1"/>
      <w:numFmt w:val="decimal"/>
      <w:lvlText w:val="%4."/>
      <w:lvlJc w:val="left"/>
      <w:pPr>
        <w:ind w:left="720" w:hanging="360"/>
      </w:pPr>
    </w:lvl>
    <w:lvl w:ilvl="4" w:tplc="06DEEE08">
      <w:start w:val="1"/>
      <w:numFmt w:val="decimal"/>
      <w:lvlText w:val="%5."/>
      <w:lvlJc w:val="left"/>
      <w:pPr>
        <w:ind w:left="720" w:hanging="360"/>
      </w:pPr>
    </w:lvl>
    <w:lvl w:ilvl="5" w:tplc="579C9374">
      <w:start w:val="1"/>
      <w:numFmt w:val="decimal"/>
      <w:lvlText w:val="%6."/>
      <w:lvlJc w:val="left"/>
      <w:pPr>
        <w:ind w:left="720" w:hanging="360"/>
      </w:pPr>
    </w:lvl>
    <w:lvl w:ilvl="6" w:tplc="66E8617A">
      <w:start w:val="1"/>
      <w:numFmt w:val="decimal"/>
      <w:lvlText w:val="%7."/>
      <w:lvlJc w:val="left"/>
      <w:pPr>
        <w:ind w:left="720" w:hanging="360"/>
      </w:pPr>
    </w:lvl>
    <w:lvl w:ilvl="7" w:tplc="0846B8F0">
      <w:start w:val="1"/>
      <w:numFmt w:val="decimal"/>
      <w:lvlText w:val="%8."/>
      <w:lvlJc w:val="left"/>
      <w:pPr>
        <w:ind w:left="720" w:hanging="360"/>
      </w:pPr>
    </w:lvl>
    <w:lvl w:ilvl="8" w:tplc="887EF416">
      <w:start w:val="1"/>
      <w:numFmt w:val="decimal"/>
      <w:lvlText w:val="%9."/>
      <w:lvlJc w:val="left"/>
      <w:pPr>
        <w:ind w:left="720" w:hanging="360"/>
      </w:pPr>
    </w:lvl>
  </w:abstractNum>
  <w:abstractNum w:abstractNumId="29" w15:restartNumberingAfterBreak="0">
    <w:nsid w:val="1DE814D0"/>
    <w:multiLevelType w:val="hybridMultilevel"/>
    <w:tmpl w:val="7826D0A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1F469062"/>
    <w:multiLevelType w:val="hybridMultilevel"/>
    <w:tmpl w:val="FFFFFFFF"/>
    <w:lvl w:ilvl="0" w:tplc="E048B6CA">
      <w:start w:val="1"/>
      <w:numFmt w:val="bullet"/>
      <w:lvlText w:val=""/>
      <w:lvlJc w:val="left"/>
      <w:pPr>
        <w:ind w:left="720" w:hanging="360"/>
      </w:pPr>
      <w:rPr>
        <w:rFonts w:ascii="Symbol" w:hAnsi="Symbol" w:hint="default"/>
      </w:rPr>
    </w:lvl>
    <w:lvl w:ilvl="1" w:tplc="00D06E4A">
      <w:start w:val="1"/>
      <w:numFmt w:val="bullet"/>
      <w:lvlText w:val="o"/>
      <w:lvlJc w:val="left"/>
      <w:pPr>
        <w:ind w:left="1440" w:hanging="360"/>
      </w:pPr>
      <w:rPr>
        <w:rFonts w:ascii="Courier New" w:hAnsi="Courier New" w:hint="default"/>
      </w:rPr>
    </w:lvl>
    <w:lvl w:ilvl="2" w:tplc="817CFE54">
      <w:start w:val="1"/>
      <w:numFmt w:val="bullet"/>
      <w:lvlText w:val=""/>
      <w:lvlJc w:val="left"/>
      <w:pPr>
        <w:ind w:left="2160" w:hanging="360"/>
      </w:pPr>
      <w:rPr>
        <w:rFonts w:ascii="Wingdings" w:hAnsi="Wingdings" w:hint="default"/>
      </w:rPr>
    </w:lvl>
    <w:lvl w:ilvl="3" w:tplc="60B224BC">
      <w:start w:val="1"/>
      <w:numFmt w:val="bullet"/>
      <w:lvlText w:val=""/>
      <w:lvlJc w:val="left"/>
      <w:pPr>
        <w:ind w:left="2880" w:hanging="360"/>
      </w:pPr>
      <w:rPr>
        <w:rFonts w:ascii="Symbol" w:hAnsi="Symbol" w:hint="default"/>
      </w:rPr>
    </w:lvl>
    <w:lvl w:ilvl="4" w:tplc="B4B27EC6">
      <w:start w:val="1"/>
      <w:numFmt w:val="bullet"/>
      <w:lvlText w:val="o"/>
      <w:lvlJc w:val="left"/>
      <w:pPr>
        <w:ind w:left="3600" w:hanging="360"/>
      </w:pPr>
      <w:rPr>
        <w:rFonts w:ascii="Courier New" w:hAnsi="Courier New" w:hint="default"/>
      </w:rPr>
    </w:lvl>
    <w:lvl w:ilvl="5" w:tplc="12C21012">
      <w:start w:val="1"/>
      <w:numFmt w:val="bullet"/>
      <w:lvlText w:val=""/>
      <w:lvlJc w:val="left"/>
      <w:pPr>
        <w:ind w:left="4320" w:hanging="360"/>
      </w:pPr>
      <w:rPr>
        <w:rFonts w:ascii="Wingdings" w:hAnsi="Wingdings" w:hint="default"/>
      </w:rPr>
    </w:lvl>
    <w:lvl w:ilvl="6" w:tplc="CE5047C6">
      <w:start w:val="1"/>
      <w:numFmt w:val="bullet"/>
      <w:lvlText w:val=""/>
      <w:lvlJc w:val="left"/>
      <w:pPr>
        <w:ind w:left="5040" w:hanging="360"/>
      </w:pPr>
      <w:rPr>
        <w:rFonts w:ascii="Symbol" w:hAnsi="Symbol" w:hint="default"/>
      </w:rPr>
    </w:lvl>
    <w:lvl w:ilvl="7" w:tplc="F37A4420">
      <w:start w:val="1"/>
      <w:numFmt w:val="bullet"/>
      <w:lvlText w:val="o"/>
      <w:lvlJc w:val="left"/>
      <w:pPr>
        <w:ind w:left="5760" w:hanging="360"/>
      </w:pPr>
      <w:rPr>
        <w:rFonts w:ascii="Courier New" w:hAnsi="Courier New" w:hint="default"/>
      </w:rPr>
    </w:lvl>
    <w:lvl w:ilvl="8" w:tplc="F5FEB88E">
      <w:start w:val="1"/>
      <w:numFmt w:val="bullet"/>
      <w:lvlText w:val=""/>
      <w:lvlJc w:val="left"/>
      <w:pPr>
        <w:ind w:left="6480" w:hanging="360"/>
      </w:pPr>
      <w:rPr>
        <w:rFonts w:ascii="Wingdings" w:hAnsi="Wingdings" w:hint="default"/>
      </w:rPr>
    </w:lvl>
  </w:abstractNum>
  <w:abstractNum w:abstractNumId="32" w15:restartNumberingAfterBreak="0">
    <w:nsid w:val="1F734306"/>
    <w:multiLevelType w:val="multilevel"/>
    <w:tmpl w:val="19C857CC"/>
    <w:lvl w:ilvl="0">
      <w:start w:val="1"/>
      <w:numFmt w:val="decimal"/>
      <w:pStyle w:val="Heading1"/>
      <w:lvlText w:val="%1."/>
      <w:lvlJc w:val="left"/>
      <w:pPr>
        <w:tabs>
          <w:tab w:val="num" w:pos="480"/>
        </w:tabs>
        <w:ind w:left="480" w:hanging="480"/>
      </w:pPr>
      <w:rPr>
        <w:rFonts w:hint="default"/>
      </w:rPr>
    </w:lvl>
    <w:lvl w:ilvl="1">
      <w:start w:val="1"/>
      <w:numFmt w:val="decimal"/>
      <w:pStyle w:val="Heading2"/>
      <w:lvlText w:val="%1.%2."/>
      <w:lvlJc w:val="left"/>
      <w:pPr>
        <w:tabs>
          <w:tab w:val="num" w:pos="1200"/>
        </w:tabs>
        <w:ind w:left="1200" w:hanging="720"/>
      </w:pPr>
      <w:rPr>
        <w:rFonts w:hint="default"/>
      </w:rPr>
    </w:lvl>
    <w:lvl w:ilvl="2">
      <w:start w:val="1"/>
      <w:numFmt w:val="decimal"/>
      <w:pStyle w:val="Heading3"/>
      <w:lvlText w:val="%1.%2.%3."/>
      <w:lvlJc w:val="left"/>
      <w:pPr>
        <w:tabs>
          <w:tab w:val="num" w:pos="3839"/>
        </w:tabs>
        <w:ind w:left="3839" w:hanging="720"/>
      </w:pPr>
      <w:rPr>
        <w:rFonts w:hint="default"/>
        <w:b w:val="0"/>
        <w:bCs/>
      </w:rPr>
    </w:lvl>
    <w:lvl w:ilvl="3">
      <w:start w:val="1"/>
      <w:numFmt w:val="decimal"/>
      <w:pStyle w:val="Heading4"/>
      <w:lvlText w:val="%1.%2.%3.%4."/>
      <w:lvlJc w:val="left"/>
      <w:pPr>
        <w:tabs>
          <w:tab w:val="num" w:pos="1855"/>
        </w:tabs>
        <w:ind w:left="1855" w:hanging="720"/>
      </w:pPr>
      <w:rPr>
        <w:rFonts w:hint="default"/>
        <w:i w:val="0"/>
        <w:iCs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2103271B"/>
    <w:multiLevelType w:val="hybridMultilevel"/>
    <w:tmpl w:val="E09C4100"/>
    <w:lvl w:ilvl="0" w:tplc="0F5EE1D0">
      <w:start w:val="1"/>
      <w:numFmt w:val="decimal"/>
      <w:lvlText w:val="%1)"/>
      <w:lvlJc w:val="left"/>
      <w:pPr>
        <w:ind w:left="720" w:hanging="360"/>
      </w:pPr>
    </w:lvl>
    <w:lvl w:ilvl="1" w:tplc="924E305A">
      <w:start w:val="1"/>
      <w:numFmt w:val="decimal"/>
      <w:lvlText w:val="%2)"/>
      <w:lvlJc w:val="left"/>
      <w:pPr>
        <w:ind w:left="720" w:hanging="360"/>
      </w:pPr>
    </w:lvl>
    <w:lvl w:ilvl="2" w:tplc="5BC40168">
      <w:start w:val="1"/>
      <w:numFmt w:val="decimal"/>
      <w:lvlText w:val="%3)"/>
      <w:lvlJc w:val="left"/>
      <w:pPr>
        <w:ind w:left="720" w:hanging="360"/>
      </w:pPr>
    </w:lvl>
    <w:lvl w:ilvl="3" w:tplc="4A4CD5D8">
      <w:start w:val="1"/>
      <w:numFmt w:val="decimal"/>
      <w:lvlText w:val="%4)"/>
      <w:lvlJc w:val="left"/>
      <w:pPr>
        <w:ind w:left="720" w:hanging="360"/>
      </w:pPr>
    </w:lvl>
    <w:lvl w:ilvl="4" w:tplc="4C20CFCC">
      <w:start w:val="1"/>
      <w:numFmt w:val="decimal"/>
      <w:lvlText w:val="%5)"/>
      <w:lvlJc w:val="left"/>
      <w:pPr>
        <w:ind w:left="720" w:hanging="360"/>
      </w:pPr>
    </w:lvl>
    <w:lvl w:ilvl="5" w:tplc="3E1AFDEA">
      <w:start w:val="1"/>
      <w:numFmt w:val="decimal"/>
      <w:lvlText w:val="%6)"/>
      <w:lvlJc w:val="left"/>
      <w:pPr>
        <w:ind w:left="720" w:hanging="360"/>
      </w:pPr>
    </w:lvl>
    <w:lvl w:ilvl="6" w:tplc="8B408F16">
      <w:start w:val="1"/>
      <w:numFmt w:val="decimal"/>
      <w:lvlText w:val="%7)"/>
      <w:lvlJc w:val="left"/>
      <w:pPr>
        <w:ind w:left="720" w:hanging="360"/>
      </w:pPr>
    </w:lvl>
    <w:lvl w:ilvl="7" w:tplc="C3BECA84">
      <w:start w:val="1"/>
      <w:numFmt w:val="decimal"/>
      <w:lvlText w:val="%8)"/>
      <w:lvlJc w:val="left"/>
      <w:pPr>
        <w:ind w:left="720" w:hanging="360"/>
      </w:pPr>
    </w:lvl>
    <w:lvl w:ilvl="8" w:tplc="DB226240">
      <w:start w:val="1"/>
      <w:numFmt w:val="decimal"/>
      <w:lvlText w:val="%9)"/>
      <w:lvlJc w:val="left"/>
      <w:pPr>
        <w:ind w:left="720" w:hanging="360"/>
      </w:pPr>
    </w:lvl>
  </w:abstractNum>
  <w:abstractNum w:abstractNumId="34" w15:restartNumberingAfterBreak="0">
    <w:nsid w:val="24823627"/>
    <w:multiLevelType w:val="hybridMultilevel"/>
    <w:tmpl w:val="8E4EC248"/>
    <w:lvl w:ilvl="0" w:tplc="F4F06742">
      <w:start w:val="1"/>
      <w:numFmt w:val="decimal"/>
      <w:lvlText w:val="%1)"/>
      <w:lvlJc w:val="left"/>
      <w:pPr>
        <w:ind w:left="720" w:hanging="360"/>
      </w:pPr>
    </w:lvl>
    <w:lvl w:ilvl="1" w:tplc="D65E9682">
      <w:start w:val="1"/>
      <w:numFmt w:val="decimal"/>
      <w:lvlText w:val="%2)"/>
      <w:lvlJc w:val="left"/>
      <w:pPr>
        <w:ind w:left="720" w:hanging="360"/>
      </w:pPr>
    </w:lvl>
    <w:lvl w:ilvl="2" w:tplc="8D68578C">
      <w:start w:val="1"/>
      <w:numFmt w:val="decimal"/>
      <w:lvlText w:val="%3)"/>
      <w:lvlJc w:val="left"/>
      <w:pPr>
        <w:ind w:left="720" w:hanging="360"/>
      </w:pPr>
    </w:lvl>
    <w:lvl w:ilvl="3" w:tplc="0AB063CA">
      <w:start w:val="1"/>
      <w:numFmt w:val="decimal"/>
      <w:lvlText w:val="%4)"/>
      <w:lvlJc w:val="left"/>
      <w:pPr>
        <w:ind w:left="720" w:hanging="360"/>
      </w:pPr>
    </w:lvl>
    <w:lvl w:ilvl="4" w:tplc="B4A001A2">
      <w:start w:val="1"/>
      <w:numFmt w:val="decimal"/>
      <w:lvlText w:val="%5)"/>
      <w:lvlJc w:val="left"/>
      <w:pPr>
        <w:ind w:left="720" w:hanging="360"/>
      </w:pPr>
    </w:lvl>
    <w:lvl w:ilvl="5" w:tplc="1D1AE8BA">
      <w:start w:val="1"/>
      <w:numFmt w:val="decimal"/>
      <w:lvlText w:val="%6)"/>
      <w:lvlJc w:val="left"/>
      <w:pPr>
        <w:ind w:left="720" w:hanging="360"/>
      </w:pPr>
    </w:lvl>
    <w:lvl w:ilvl="6" w:tplc="EF60B83A">
      <w:start w:val="1"/>
      <w:numFmt w:val="decimal"/>
      <w:lvlText w:val="%7)"/>
      <w:lvlJc w:val="left"/>
      <w:pPr>
        <w:ind w:left="720" w:hanging="360"/>
      </w:pPr>
    </w:lvl>
    <w:lvl w:ilvl="7" w:tplc="040CB7A0">
      <w:start w:val="1"/>
      <w:numFmt w:val="decimal"/>
      <w:lvlText w:val="%8)"/>
      <w:lvlJc w:val="left"/>
      <w:pPr>
        <w:ind w:left="720" w:hanging="360"/>
      </w:pPr>
    </w:lvl>
    <w:lvl w:ilvl="8" w:tplc="E676DCB4">
      <w:start w:val="1"/>
      <w:numFmt w:val="decimal"/>
      <w:lvlText w:val="%9)"/>
      <w:lvlJc w:val="left"/>
      <w:pPr>
        <w:ind w:left="720" w:hanging="360"/>
      </w:pPr>
    </w:lvl>
  </w:abstractNum>
  <w:abstractNum w:abstractNumId="35" w15:restartNumberingAfterBreak="0">
    <w:nsid w:val="24A92D9C"/>
    <w:multiLevelType w:val="hybridMultilevel"/>
    <w:tmpl w:val="F7840E14"/>
    <w:lvl w:ilvl="0" w:tplc="948C51C6">
      <w:start w:val="1"/>
      <w:numFmt w:val="decimal"/>
      <w:lvlText w:val="%1)"/>
      <w:lvlJc w:val="left"/>
      <w:pPr>
        <w:ind w:left="720" w:hanging="360"/>
      </w:pPr>
    </w:lvl>
    <w:lvl w:ilvl="1" w:tplc="924CD598">
      <w:start w:val="1"/>
      <w:numFmt w:val="decimal"/>
      <w:lvlText w:val="%2)"/>
      <w:lvlJc w:val="left"/>
      <w:pPr>
        <w:ind w:left="720" w:hanging="360"/>
      </w:pPr>
    </w:lvl>
    <w:lvl w:ilvl="2" w:tplc="B8261ECE">
      <w:start w:val="1"/>
      <w:numFmt w:val="decimal"/>
      <w:lvlText w:val="%3)"/>
      <w:lvlJc w:val="left"/>
      <w:pPr>
        <w:ind w:left="720" w:hanging="360"/>
      </w:pPr>
    </w:lvl>
    <w:lvl w:ilvl="3" w:tplc="0CE86CE6">
      <w:start w:val="1"/>
      <w:numFmt w:val="decimal"/>
      <w:lvlText w:val="%4)"/>
      <w:lvlJc w:val="left"/>
      <w:pPr>
        <w:ind w:left="720" w:hanging="360"/>
      </w:pPr>
    </w:lvl>
    <w:lvl w:ilvl="4" w:tplc="1EC00FE0">
      <w:start w:val="1"/>
      <w:numFmt w:val="decimal"/>
      <w:lvlText w:val="%5)"/>
      <w:lvlJc w:val="left"/>
      <w:pPr>
        <w:ind w:left="720" w:hanging="360"/>
      </w:pPr>
    </w:lvl>
    <w:lvl w:ilvl="5" w:tplc="7ACAF9CC">
      <w:start w:val="1"/>
      <w:numFmt w:val="decimal"/>
      <w:lvlText w:val="%6)"/>
      <w:lvlJc w:val="left"/>
      <w:pPr>
        <w:ind w:left="720" w:hanging="360"/>
      </w:pPr>
    </w:lvl>
    <w:lvl w:ilvl="6" w:tplc="9168BBE0">
      <w:start w:val="1"/>
      <w:numFmt w:val="decimal"/>
      <w:lvlText w:val="%7)"/>
      <w:lvlJc w:val="left"/>
      <w:pPr>
        <w:ind w:left="720" w:hanging="360"/>
      </w:pPr>
    </w:lvl>
    <w:lvl w:ilvl="7" w:tplc="37589EC0">
      <w:start w:val="1"/>
      <w:numFmt w:val="decimal"/>
      <w:lvlText w:val="%8)"/>
      <w:lvlJc w:val="left"/>
      <w:pPr>
        <w:ind w:left="720" w:hanging="360"/>
      </w:pPr>
    </w:lvl>
    <w:lvl w:ilvl="8" w:tplc="B2FABB04">
      <w:start w:val="1"/>
      <w:numFmt w:val="decimal"/>
      <w:lvlText w:val="%9)"/>
      <w:lvlJc w:val="left"/>
      <w:pPr>
        <w:ind w:left="720" w:hanging="360"/>
      </w:pPr>
    </w:lvl>
  </w:abstractNum>
  <w:abstractNum w:abstractNumId="36" w15:restartNumberingAfterBreak="0">
    <w:nsid w:val="262AA5A9"/>
    <w:multiLevelType w:val="hybridMultilevel"/>
    <w:tmpl w:val="FFFFFFFF"/>
    <w:lvl w:ilvl="0" w:tplc="FE94FF2E">
      <w:start w:val="1"/>
      <w:numFmt w:val="bullet"/>
      <w:lvlText w:val="-"/>
      <w:lvlJc w:val="left"/>
      <w:pPr>
        <w:ind w:left="720" w:hanging="360"/>
      </w:pPr>
      <w:rPr>
        <w:rFonts w:ascii="Aptos" w:hAnsi="Aptos" w:hint="default"/>
      </w:rPr>
    </w:lvl>
    <w:lvl w:ilvl="1" w:tplc="16FC09EE">
      <w:start w:val="1"/>
      <w:numFmt w:val="bullet"/>
      <w:lvlText w:val="o"/>
      <w:lvlJc w:val="left"/>
      <w:pPr>
        <w:ind w:left="1440" w:hanging="360"/>
      </w:pPr>
      <w:rPr>
        <w:rFonts w:ascii="Courier New" w:hAnsi="Courier New" w:hint="default"/>
      </w:rPr>
    </w:lvl>
    <w:lvl w:ilvl="2" w:tplc="5A980300">
      <w:start w:val="1"/>
      <w:numFmt w:val="bullet"/>
      <w:lvlText w:val=""/>
      <w:lvlJc w:val="left"/>
      <w:pPr>
        <w:ind w:left="2160" w:hanging="360"/>
      </w:pPr>
      <w:rPr>
        <w:rFonts w:ascii="Wingdings" w:hAnsi="Wingdings" w:hint="default"/>
      </w:rPr>
    </w:lvl>
    <w:lvl w:ilvl="3" w:tplc="8A685548">
      <w:start w:val="1"/>
      <w:numFmt w:val="bullet"/>
      <w:lvlText w:val=""/>
      <w:lvlJc w:val="left"/>
      <w:pPr>
        <w:ind w:left="2880" w:hanging="360"/>
      </w:pPr>
      <w:rPr>
        <w:rFonts w:ascii="Symbol" w:hAnsi="Symbol" w:hint="default"/>
      </w:rPr>
    </w:lvl>
    <w:lvl w:ilvl="4" w:tplc="43300418">
      <w:start w:val="1"/>
      <w:numFmt w:val="bullet"/>
      <w:lvlText w:val="o"/>
      <w:lvlJc w:val="left"/>
      <w:pPr>
        <w:ind w:left="3600" w:hanging="360"/>
      </w:pPr>
      <w:rPr>
        <w:rFonts w:ascii="Courier New" w:hAnsi="Courier New" w:hint="default"/>
      </w:rPr>
    </w:lvl>
    <w:lvl w:ilvl="5" w:tplc="51EC42F2">
      <w:start w:val="1"/>
      <w:numFmt w:val="bullet"/>
      <w:lvlText w:val=""/>
      <w:lvlJc w:val="left"/>
      <w:pPr>
        <w:ind w:left="4320" w:hanging="360"/>
      </w:pPr>
      <w:rPr>
        <w:rFonts w:ascii="Wingdings" w:hAnsi="Wingdings" w:hint="default"/>
      </w:rPr>
    </w:lvl>
    <w:lvl w:ilvl="6" w:tplc="C2C6CA02">
      <w:start w:val="1"/>
      <w:numFmt w:val="bullet"/>
      <w:lvlText w:val=""/>
      <w:lvlJc w:val="left"/>
      <w:pPr>
        <w:ind w:left="5040" w:hanging="360"/>
      </w:pPr>
      <w:rPr>
        <w:rFonts w:ascii="Symbol" w:hAnsi="Symbol" w:hint="default"/>
      </w:rPr>
    </w:lvl>
    <w:lvl w:ilvl="7" w:tplc="31EEEA56">
      <w:start w:val="1"/>
      <w:numFmt w:val="bullet"/>
      <w:lvlText w:val="o"/>
      <w:lvlJc w:val="left"/>
      <w:pPr>
        <w:ind w:left="5760" w:hanging="360"/>
      </w:pPr>
      <w:rPr>
        <w:rFonts w:ascii="Courier New" w:hAnsi="Courier New" w:hint="default"/>
      </w:rPr>
    </w:lvl>
    <w:lvl w:ilvl="8" w:tplc="A35812E4">
      <w:start w:val="1"/>
      <w:numFmt w:val="bullet"/>
      <w:lvlText w:val=""/>
      <w:lvlJc w:val="left"/>
      <w:pPr>
        <w:ind w:left="6480" w:hanging="360"/>
      </w:pPr>
      <w:rPr>
        <w:rFonts w:ascii="Wingdings" w:hAnsi="Wingdings" w:hint="default"/>
      </w:rPr>
    </w:lvl>
  </w:abstractNum>
  <w:abstractNum w:abstractNumId="37" w15:restartNumberingAfterBreak="0">
    <w:nsid w:val="26345B12"/>
    <w:multiLevelType w:val="hybridMultilevel"/>
    <w:tmpl w:val="29FABA9A"/>
    <w:lvl w:ilvl="0" w:tplc="34727200">
      <w:start w:val="1"/>
      <w:numFmt w:val="bullet"/>
      <w:lvlText w:val=""/>
      <w:lvlJc w:val="left"/>
      <w:pPr>
        <w:ind w:left="720" w:hanging="360"/>
      </w:pPr>
      <w:rPr>
        <w:rFonts w:ascii="Symbol" w:hAnsi="Symbol"/>
      </w:rPr>
    </w:lvl>
    <w:lvl w:ilvl="1" w:tplc="CE869B66">
      <w:start w:val="1"/>
      <w:numFmt w:val="bullet"/>
      <w:lvlText w:val=""/>
      <w:lvlJc w:val="left"/>
      <w:pPr>
        <w:ind w:left="720" w:hanging="360"/>
      </w:pPr>
      <w:rPr>
        <w:rFonts w:ascii="Symbol" w:hAnsi="Symbol"/>
      </w:rPr>
    </w:lvl>
    <w:lvl w:ilvl="2" w:tplc="108AE406">
      <w:start w:val="1"/>
      <w:numFmt w:val="bullet"/>
      <w:lvlText w:val=""/>
      <w:lvlJc w:val="left"/>
      <w:pPr>
        <w:ind w:left="720" w:hanging="360"/>
      </w:pPr>
      <w:rPr>
        <w:rFonts w:ascii="Symbol" w:hAnsi="Symbol"/>
      </w:rPr>
    </w:lvl>
    <w:lvl w:ilvl="3" w:tplc="5A306B66">
      <w:start w:val="1"/>
      <w:numFmt w:val="bullet"/>
      <w:lvlText w:val=""/>
      <w:lvlJc w:val="left"/>
      <w:pPr>
        <w:ind w:left="720" w:hanging="360"/>
      </w:pPr>
      <w:rPr>
        <w:rFonts w:ascii="Symbol" w:hAnsi="Symbol"/>
      </w:rPr>
    </w:lvl>
    <w:lvl w:ilvl="4" w:tplc="88A48C10">
      <w:start w:val="1"/>
      <w:numFmt w:val="bullet"/>
      <w:lvlText w:val=""/>
      <w:lvlJc w:val="left"/>
      <w:pPr>
        <w:ind w:left="720" w:hanging="360"/>
      </w:pPr>
      <w:rPr>
        <w:rFonts w:ascii="Symbol" w:hAnsi="Symbol"/>
      </w:rPr>
    </w:lvl>
    <w:lvl w:ilvl="5" w:tplc="B0D6AE2C">
      <w:start w:val="1"/>
      <w:numFmt w:val="bullet"/>
      <w:lvlText w:val=""/>
      <w:lvlJc w:val="left"/>
      <w:pPr>
        <w:ind w:left="720" w:hanging="360"/>
      </w:pPr>
      <w:rPr>
        <w:rFonts w:ascii="Symbol" w:hAnsi="Symbol"/>
      </w:rPr>
    </w:lvl>
    <w:lvl w:ilvl="6" w:tplc="61FEAF82">
      <w:start w:val="1"/>
      <w:numFmt w:val="bullet"/>
      <w:lvlText w:val=""/>
      <w:lvlJc w:val="left"/>
      <w:pPr>
        <w:ind w:left="720" w:hanging="360"/>
      </w:pPr>
      <w:rPr>
        <w:rFonts w:ascii="Symbol" w:hAnsi="Symbol"/>
      </w:rPr>
    </w:lvl>
    <w:lvl w:ilvl="7" w:tplc="80442950">
      <w:start w:val="1"/>
      <w:numFmt w:val="bullet"/>
      <w:lvlText w:val=""/>
      <w:lvlJc w:val="left"/>
      <w:pPr>
        <w:ind w:left="720" w:hanging="360"/>
      </w:pPr>
      <w:rPr>
        <w:rFonts w:ascii="Symbol" w:hAnsi="Symbol"/>
      </w:rPr>
    </w:lvl>
    <w:lvl w:ilvl="8" w:tplc="4A76F3B4">
      <w:start w:val="1"/>
      <w:numFmt w:val="bullet"/>
      <w:lvlText w:val=""/>
      <w:lvlJc w:val="left"/>
      <w:pPr>
        <w:ind w:left="720" w:hanging="360"/>
      </w:pPr>
      <w:rPr>
        <w:rFonts w:ascii="Symbol" w:hAnsi="Symbol"/>
      </w:rPr>
    </w:lvl>
  </w:abstractNum>
  <w:abstractNum w:abstractNumId="38" w15:restartNumberingAfterBreak="0">
    <w:nsid w:val="266F3119"/>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267A438D"/>
    <w:multiLevelType w:val="hybridMultilevel"/>
    <w:tmpl w:val="816A4520"/>
    <w:lvl w:ilvl="0" w:tplc="4468980A">
      <w:start w:val="1"/>
      <w:numFmt w:val="decimal"/>
      <w:lvlText w:val="%1)"/>
      <w:lvlJc w:val="left"/>
      <w:pPr>
        <w:ind w:left="720" w:hanging="360"/>
      </w:pPr>
    </w:lvl>
    <w:lvl w:ilvl="1" w:tplc="415E1F40">
      <w:start w:val="1"/>
      <w:numFmt w:val="decimal"/>
      <w:lvlText w:val="%2)"/>
      <w:lvlJc w:val="left"/>
      <w:pPr>
        <w:ind w:left="720" w:hanging="360"/>
      </w:pPr>
    </w:lvl>
    <w:lvl w:ilvl="2" w:tplc="5C8AB570">
      <w:start w:val="1"/>
      <w:numFmt w:val="decimal"/>
      <w:lvlText w:val="%3)"/>
      <w:lvlJc w:val="left"/>
      <w:pPr>
        <w:ind w:left="720" w:hanging="360"/>
      </w:pPr>
    </w:lvl>
    <w:lvl w:ilvl="3" w:tplc="37121472">
      <w:start w:val="1"/>
      <w:numFmt w:val="decimal"/>
      <w:lvlText w:val="%4)"/>
      <w:lvlJc w:val="left"/>
      <w:pPr>
        <w:ind w:left="720" w:hanging="360"/>
      </w:pPr>
    </w:lvl>
    <w:lvl w:ilvl="4" w:tplc="D40C8EE4">
      <w:start w:val="1"/>
      <w:numFmt w:val="decimal"/>
      <w:lvlText w:val="%5)"/>
      <w:lvlJc w:val="left"/>
      <w:pPr>
        <w:ind w:left="720" w:hanging="360"/>
      </w:pPr>
    </w:lvl>
    <w:lvl w:ilvl="5" w:tplc="2F88F9C6">
      <w:start w:val="1"/>
      <w:numFmt w:val="decimal"/>
      <w:lvlText w:val="%6)"/>
      <w:lvlJc w:val="left"/>
      <w:pPr>
        <w:ind w:left="720" w:hanging="360"/>
      </w:pPr>
    </w:lvl>
    <w:lvl w:ilvl="6" w:tplc="C00619D8">
      <w:start w:val="1"/>
      <w:numFmt w:val="decimal"/>
      <w:lvlText w:val="%7)"/>
      <w:lvlJc w:val="left"/>
      <w:pPr>
        <w:ind w:left="720" w:hanging="360"/>
      </w:pPr>
    </w:lvl>
    <w:lvl w:ilvl="7" w:tplc="DF7412BC">
      <w:start w:val="1"/>
      <w:numFmt w:val="decimal"/>
      <w:lvlText w:val="%8)"/>
      <w:lvlJc w:val="left"/>
      <w:pPr>
        <w:ind w:left="720" w:hanging="360"/>
      </w:pPr>
    </w:lvl>
    <w:lvl w:ilvl="8" w:tplc="080635A2">
      <w:start w:val="1"/>
      <w:numFmt w:val="decimal"/>
      <w:lvlText w:val="%9)"/>
      <w:lvlJc w:val="left"/>
      <w:pPr>
        <w:ind w:left="720" w:hanging="360"/>
      </w:pPr>
    </w:lvl>
  </w:abstractNum>
  <w:abstractNum w:abstractNumId="40" w15:restartNumberingAfterBreak="0">
    <w:nsid w:val="26CC0CFE"/>
    <w:multiLevelType w:val="hybridMultilevel"/>
    <w:tmpl w:val="530C6EEE"/>
    <w:lvl w:ilvl="0" w:tplc="03869F3A">
      <w:start w:val="1"/>
      <w:numFmt w:val="decimal"/>
      <w:lvlText w:val="%1)"/>
      <w:lvlJc w:val="left"/>
      <w:pPr>
        <w:ind w:left="720" w:hanging="360"/>
      </w:pPr>
    </w:lvl>
    <w:lvl w:ilvl="1" w:tplc="1D70B342">
      <w:start w:val="1"/>
      <w:numFmt w:val="decimal"/>
      <w:lvlText w:val="%2)"/>
      <w:lvlJc w:val="left"/>
      <w:pPr>
        <w:ind w:left="720" w:hanging="360"/>
      </w:pPr>
    </w:lvl>
    <w:lvl w:ilvl="2" w:tplc="954ADC1E">
      <w:start w:val="1"/>
      <w:numFmt w:val="decimal"/>
      <w:lvlText w:val="%3)"/>
      <w:lvlJc w:val="left"/>
      <w:pPr>
        <w:ind w:left="720" w:hanging="360"/>
      </w:pPr>
    </w:lvl>
    <w:lvl w:ilvl="3" w:tplc="EA427ABC">
      <w:start w:val="1"/>
      <w:numFmt w:val="decimal"/>
      <w:lvlText w:val="%4)"/>
      <w:lvlJc w:val="left"/>
      <w:pPr>
        <w:ind w:left="720" w:hanging="360"/>
      </w:pPr>
    </w:lvl>
    <w:lvl w:ilvl="4" w:tplc="E08E60E8">
      <w:start w:val="1"/>
      <w:numFmt w:val="decimal"/>
      <w:lvlText w:val="%5)"/>
      <w:lvlJc w:val="left"/>
      <w:pPr>
        <w:ind w:left="720" w:hanging="360"/>
      </w:pPr>
    </w:lvl>
    <w:lvl w:ilvl="5" w:tplc="2DA8D2EE">
      <w:start w:val="1"/>
      <w:numFmt w:val="decimal"/>
      <w:lvlText w:val="%6)"/>
      <w:lvlJc w:val="left"/>
      <w:pPr>
        <w:ind w:left="720" w:hanging="360"/>
      </w:pPr>
    </w:lvl>
    <w:lvl w:ilvl="6" w:tplc="87D6ADC4">
      <w:start w:val="1"/>
      <w:numFmt w:val="decimal"/>
      <w:lvlText w:val="%7)"/>
      <w:lvlJc w:val="left"/>
      <w:pPr>
        <w:ind w:left="720" w:hanging="360"/>
      </w:pPr>
    </w:lvl>
    <w:lvl w:ilvl="7" w:tplc="C73E3378">
      <w:start w:val="1"/>
      <w:numFmt w:val="decimal"/>
      <w:lvlText w:val="%8)"/>
      <w:lvlJc w:val="left"/>
      <w:pPr>
        <w:ind w:left="720" w:hanging="360"/>
      </w:pPr>
    </w:lvl>
    <w:lvl w:ilvl="8" w:tplc="E296335E">
      <w:start w:val="1"/>
      <w:numFmt w:val="decimal"/>
      <w:lvlText w:val="%9)"/>
      <w:lvlJc w:val="left"/>
      <w:pPr>
        <w:ind w:left="720" w:hanging="360"/>
      </w:pPr>
    </w:lvl>
  </w:abstractNum>
  <w:abstractNum w:abstractNumId="41" w15:restartNumberingAfterBreak="0">
    <w:nsid w:val="2A263E13"/>
    <w:multiLevelType w:val="hybridMultilevel"/>
    <w:tmpl w:val="59046836"/>
    <w:lvl w:ilvl="0" w:tplc="4FFAC440">
      <w:start w:val="1"/>
      <w:numFmt w:val="bullet"/>
      <w:lvlText w:val=""/>
      <w:lvlJc w:val="left"/>
      <w:pPr>
        <w:ind w:left="720" w:hanging="360"/>
      </w:pPr>
      <w:rPr>
        <w:rFonts w:ascii="Symbol" w:hAnsi="Symbol"/>
      </w:rPr>
    </w:lvl>
    <w:lvl w:ilvl="1" w:tplc="433CC644">
      <w:start w:val="1"/>
      <w:numFmt w:val="bullet"/>
      <w:lvlText w:val=""/>
      <w:lvlJc w:val="left"/>
      <w:pPr>
        <w:ind w:left="720" w:hanging="360"/>
      </w:pPr>
      <w:rPr>
        <w:rFonts w:ascii="Symbol" w:hAnsi="Symbol"/>
      </w:rPr>
    </w:lvl>
    <w:lvl w:ilvl="2" w:tplc="9E5C9EA8">
      <w:start w:val="1"/>
      <w:numFmt w:val="bullet"/>
      <w:lvlText w:val=""/>
      <w:lvlJc w:val="left"/>
      <w:pPr>
        <w:ind w:left="720" w:hanging="360"/>
      </w:pPr>
      <w:rPr>
        <w:rFonts w:ascii="Symbol" w:hAnsi="Symbol"/>
      </w:rPr>
    </w:lvl>
    <w:lvl w:ilvl="3" w:tplc="08F0300C">
      <w:start w:val="1"/>
      <w:numFmt w:val="bullet"/>
      <w:lvlText w:val=""/>
      <w:lvlJc w:val="left"/>
      <w:pPr>
        <w:ind w:left="720" w:hanging="360"/>
      </w:pPr>
      <w:rPr>
        <w:rFonts w:ascii="Symbol" w:hAnsi="Symbol"/>
      </w:rPr>
    </w:lvl>
    <w:lvl w:ilvl="4" w:tplc="8A0671F8">
      <w:start w:val="1"/>
      <w:numFmt w:val="bullet"/>
      <w:lvlText w:val=""/>
      <w:lvlJc w:val="left"/>
      <w:pPr>
        <w:ind w:left="720" w:hanging="360"/>
      </w:pPr>
      <w:rPr>
        <w:rFonts w:ascii="Symbol" w:hAnsi="Symbol"/>
      </w:rPr>
    </w:lvl>
    <w:lvl w:ilvl="5" w:tplc="C17087C8">
      <w:start w:val="1"/>
      <w:numFmt w:val="bullet"/>
      <w:lvlText w:val=""/>
      <w:lvlJc w:val="left"/>
      <w:pPr>
        <w:ind w:left="720" w:hanging="360"/>
      </w:pPr>
      <w:rPr>
        <w:rFonts w:ascii="Symbol" w:hAnsi="Symbol"/>
      </w:rPr>
    </w:lvl>
    <w:lvl w:ilvl="6" w:tplc="754AF1AE">
      <w:start w:val="1"/>
      <w:numFmt w:val="bullet"/>
      <w:lvlText w:val=""/>
      <w:lvlJc w:val="left"/>
      <w:pPr>
        <w:ind w:left="720" w:hanging="360"/>
      </w:pPr>
      <w:rPr>
        <w:rFonts w:ascii="Symbol" w:hAnsi="Symbol"/>
      </w:rPr>
    </w:lvl>
    <w:lvl w:ilvl="7" w:tplc="4782989E">
      <w:start w:val="1"/>
      <w:numFmt w:val="bullet"/>
      <w:lvlText w:val=""/>
      <w:lvlJc w:val="left"/>
      <w:pPr>
        <w:ind w:left="720" w:hanging="360"/>
      </w:pPr>
      <w:rPr>
        <w:rFonts w:ascii="Symbol" w:hAnsi="Symbol"/>
      </w:rPr>
    </w:lvl>
    <w:lvl w:ilvl="8" w:tplc="90EAEEC0">
      <w:start w:val="1"/>
      <w:numFmt w:val="bullet"/>
      <w:lvlText w:val=""/>
      <w:lvlJc w:val="left"/>
      <w:pPr>
        <w:ind w:left="720" w:hanging="360"/>
      </w:pPr>
      <w:rPr>
        <w:rFonts w:ascii="Symbol" w:hAnsi="Symbol"/>
      </w:rPr>
    </w:lvl>
  </w:abstractNum>
  <w:abstractNum w:abstractNumId="42" w15:restartNumberingAfterBreak="0">
    <w:nsid w:val="2A966E5A"/>
    <w:multiLevelType w:val="hybridMultilevel"/>
    <w:tmpl w:val="9EA84200"/>
    <w:lvl w:ilvl="0" w:tplc="CE1EC8C6">
      <w:numFmt w:val="bullet"/>
      <w:lvlText w:val="-"/>
      <w:lvlJc w:val="left"/>
      <w:pPr>
        <w:ind w:left="720" w:hanging="360"/>
      </w:pPr>
      <w:rPr>
        <w:rFonts w:ascii="Calibri" w:hAnsi="Calibri" w:hint="default"/>
      </w:rPr>
    </w:lvl>
    <w:lvl w:ilvl="1" w:tplc="F85ED264" w:tentative="1">
      <w:start w:val="1"/>
      <w:numFmt w:val="bullet"/>
      <w:lvlText w:val="o"/>
      <w:lvlJc w:val="left"/>
      <w:pPr>
        <w:ind w:left="1440" w:hanging="360"/>
      </w:pPr>
      <w:rPr>
        <w:rFonts w:ascii="Courier New" w:hAnsi="Courier New" w:hint="default"/>
      </w:rPr>
    </w:lvl>
    <w:lvl w:ilvl="2" w:tplc="DE7CFD2C" w:tentative="1">
      <w:start w:val="1"/>
      <w:numFmt w:val="bullet"/>
      <w:lvlText w:val=""/>
      <w:lvlJc w:val="left"/>
      <w:pPr>
        <w:ind w:left="2160" w:hanging="360"/>
      </w:pPr>
      <w:rPr>
        <w:rFonts w:ascii="Wingdings" w:hAnsi="Wingdings" w:hint="default"/>
      </w:rPr>
    </w:lvl>
    <w:lvl w:ilvl="3" w:tplc="29D41176" w:tentative="1">
      <w:start w:val="1"/>
      <w:numFmt w:val="bullet"/>
      <w:lvlText w:val=""/>
      <w:lvlJc w:val="left"/>
      <w:pPr>
        <w:ind w:left="2880" w:hanging="360"/>
      </w:pPr>
      <w:rPr>
        <w:rFonts w:ascii="Symbol" w:hAnsi="Symbol" w:hint="default"/>
      </w:rPr>
    </w:lvl>
    <w:lvl w:ilvl="4" w:tplc="29BEC92E" w:tentative="1">
      <w:start w:val="1"/>
      <w:numFmt w:val="bullet"/>
      <w:lvlText w:val="o"/>
      <w:lvlJc w:val="left"/>
      <w:pPr>
        <w:ind w:left="3600" w:hanging="360"/>
      </w:pPr>
      <w:rPr>
        <w:rFonts w:ascii="Courier New" w:hAnsi="Courier New" w:hint="default"/>
      </w:rPr>
    </w:lvl>
    <w:lvl w:ilvl="5" w:tplc="604CADB8" w:tentative="1">
      <w:start w:val="1"/>
      <w:numFmt w:val="bullet"/>
      <w:lvlText w:val=""/>
      <w:lvlJc w:val="left"/>
      <w:pPr>
        <w:ind w:left="4320" w:hanging="360"/>
      </w:pPr>
      <w:rPr>
        <w:rFonts w:ascii="Wingdings" w:hAnsi="Wingdings" w:hint="default"/>
      </w:rPr>
    </w:lvl>
    <w:lvl w:ilvl="6" w:tplc="1160F83E" w:tentative="1">
      <w:start w:val="1"/>
      <w:numFmt w:val="bullet"/>
      <w:lvlText w:val=""/>
      <w:lvlJc w:val="left"/>
      <w:pPr>
        <w:ind w:left="5040" w:hanging="360"/>
      </w:pPr>
      <w:rPr>
        <w:rFonts w:ascii="Symbol" w:hAnsi="Symbol" w:hint="default"/>
      </w:rPr>
    </w:lvl>
    <w:lvl w:ilvl="7" w:tplc="1DCA42E2" w:tentative="1">
      <w:start w:val="1"/>
      <w:numFmt w:val="bullet"/>
      <w:lvlText w:val="o"/>
      <w:lvlJc w:val="left"/>
      <w:pPr>
        <w:ind w:left="5760" w:hanging="360"/>
      </w:pPr>
      <w:rPr>
        <w:rFonts w:ascii="Courier New" w:hAnsi="Courier New" w:hint="default"/>
      </w:rPr>
    </w:lvl>
    <w:lvl w:ilvl="8" w:tplc="341A11A0" w:tentative="1">
      <w:start w:val="1"/>
      <w:numFmt w:val="bullet"/>
      <w:lvlText w:val=""/>
      <w:lvlJc w:val="left"/>
      <w:pPr>
        <w:ind w:left="6480" w:hanging="360"/>
      </w:pPr>
      <w:rPr>
        <w:rFonts w:ascii="Wingdings" w:hAnsi="Wingdings" w:hint="default"/>
      </w:rPr>
    </w:lvl>
  </w:abstractNum>
  <w:abstractNum w:abstractNumId="43" w15:restartNumberingAfterBreak="0">
    <w:nsid w:val="2AFA7FEF"/>
    <w:multiLevelType w:val="hybridMultilevel"/>
    <w:tmpl w:val="861A296E"/>
    <w:lvl w:ilvl="0" w:tplc="B19069F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2B36031A"/>
    <w:multiLevelType w:val="hybridMultilevel"/>
    <w:tmpl w:val="AFD02FE2"/>
    <w:lvl w:ilvl="0" w:tplc="221CD742">
      <w:start w:val="2"/>
      <w:numFmt w:val="bullet"/>
      <w:lvlText w:val="-"/>
      <w:lvlJc w:val="left"/>
      <w:pPr>
        <w:ind w:left="720" w:hanging="360"/>
      </w:pPr>
      <w:rPr>
        <w:rFonts w:ascii="Times New Roman" w:hAnsi="Times New Roman" w:hint="default"/>
      </w:rPr>
    </w:lvl>
    <w:lvl w:ilvl="1" w:tplc="B888ECB8" w:tentative="1">
      <w:start w:val="1"/>
      <w:numFmt w:val="bullet"/>
      <w:lvlText w:val="o"/>
      <w:lvlJc w:val="left"/>
      <w:pPr>
        <w:ind w:left="1440" w:hanging="360"/>
      </w:pPr>
      <w:rPr>
        <w:rFonts w:ascii="Courier New" w:hAnsi="Courier New" w:hint="default"/>
      </w:rPr>
    </w:lvl>
    <w:lvl w:ilvl="2" w:tplc="10EA38A6" w:tentative="1">
      <w:start w:val="1"/>
      <w:numFmt w:val="bullet"/>
      <w:lvlText w:val=""/>
      <w:lvlJc w:val="left"/>
      <w:pPr>
        <w:ind w:left="2160" w:hanging="360"/>
      </w:pPr>
      <w:rPr>
        <w:rFonts w:ascii="Wingdings" w:hAnsi="Wingdings" w:hint="default"/>
      </w:rPr>
    </w:lvl>
    <w:lvl w:ilvl="3" w:tplc="BF188630" w:tentative="1">
      <w:start w:val="1"/>
      <w:numFmt w:val="bullet"/>
      <w:lvlText w:val=""/>
      <w:lvlJc w:val="left"/>
      <w:pPr>
        <w:ind w:left="2880" w:hanging="360"/>
      </w:pPr>
      <w:rPr>
        <w:rFonts w:ascii="Symbol" w:hAnsi="Symbol" w:hint="default"/>
      </w:rPr>
    </w:lvl>
    <w:lvl w:ilvl="4" w:tplc="7638D1C6" w:tentative="1">
      <w:start w:val="1"/>
      <w:numFmt w:val="bullet"/>
      <w:lvlText w:val="o"/>
      <w:lvlJc w:val="left"/>
      <w:pPr>
        <w:ind w:left="3600" w:hanging="360"/>
      </w:pPr>
      <w:rPr>
        <w:rFonts w:ascii="Courier New" w:hAnsi="Courier New" w:hint="default"/>
      </w:rPr>
    </w:lvl>
    <w:lvl w:ilvl="5" w:tplc="5810E09C" w:tentative="1">
      <w:start w:val="1"/>
      <w:numFmt w:val="bullet"/>
      <w:lvlText w:val=""/>
      <w:lvlJc w:val="left"/>
      <w:pPr>
        <w:ind w:left="4320" w:hanging="360"/>
      </w:pPr>
      <w:rPr>
        <w:rFonts w:ascii="Wingdings" w:hAnsi="Wingdings" w:hint="default"/>
      </w:rPr>
    </w:lvl>
    <w:lvl w:ilvl="6" w:tplc="47AE5CF2" w:tentative="1">
      <w:start w:val="1"/>
      <w:numFmt w:val="bullet"/>
      <w:lvlText w:val=""/>
      <w:lvlJc w:val="left"/>
      <w:pPr>
        <w:ind w:left="5040" w:hanging="360"/>
      </w:pPr>
      <w:rPr>
        <w:rFonts w:ascii="Symbol" w:hAnsi="Symbol" w:hint="default"/>
      </w:rPr>
    </w:lvl>
    <w:lvl w:ilvl="7" w:tplc="0844630C" w:tentative="1">
      <w:start w:val="1"/>
      <w:numFmt w:val="bullet"/>
      <w:lvlText w:val="o"/>
      <w:lvlJc w:val="left"/>
      <w:pPr>
        <w:ind w:left="5760" w:hanging="360"/>
      </w:pPr>
      <w:rPr>
        <w:rFonts w:ascii="Courier New" w:hAnsi="Courier New" w:hint="default"/>
      </w:rPr>
    </w:lvl>
    <w:lvl w:ilvl="8" w:tplc="47A2722E" w:tentative="1">
      <w:start w:val="1"/>
      <w:numFmt w:val="bullet"/>
      <w:lvlText w:val=""/>
      <w:lvlJc w:val="left"/>
      <w:pPr>
        <w:ind w:left="6480" w:hanging="360"/>
      </w:pPr>
      <w:rPr>
        <w:rFonts w:ascii="Wingdings" w:hAnsi="Wingdings" w:hint="default"/>
      </w:rPr>
    </w:lvl>
  </w:abstractNum>
  <w:abstractNum w:abstractNumId="45" w15:restartNumberingAfterBreak="0">
    <w:nsid w:val="2B60348D"/>
    <w:multiLevelType w:val="hybridMultilevel"/>
    <w:tmpl w:val="A5BA4184"/>
    <w:lvl w:ilvl="0" w:tplc="FD2AC6AA">
      <w:start w:val="1"/>
      <w:numFmt w:val="bullet"/>
      <w:lvlText w:val="-"/>
      <w:lvlJc w:val="left"/>
      <w:pPr>
        <w:ind w:left="720" w:hanging="360"/>
      </w:pPr>
      <w:rPr>
        <w:rFonts w:ascii="Calibri" w:hAnsi="Calibri" w:hint="default"/>
      </w:rPr>
    </w:lvl>
    <w:lvl w:ilvl="1" w:tplc="20EE8C78" w:tentative="1">
      <w:start w:val="1"/>
      <w:numFmt w:val="bullet"/>
      <w:lvlText w:val="o"/>
      <w:lvlJc w:val="left"/>
      <w:pPr>
        <w:ind w:left="1440" w:hanging="360"/>
      </w:pPr>
      <w:rPr>
        <w:rFonts w:ascii="Courier New" w:hAnsi="Courier New" w:hint="default"/>
      </w:rPr>
    </w:lvl>
    <w:lvl w:ilvl="2" w:tplc="731425D2" w:tentative="1">
      <w:start w:val="1"/>
      <w:numFmt w:val="bullet"/>
      <w:lvlText w:val=""/>
      <w:lvlJc w:val="left"/>
      <w:pPr>
        <w:ind w:left="2160" w:hanging="360"/>
      </w:pPr>
      <w:rPr>
        <w:rFonts w:ascii="Wingdings" w:hAnsi="Wingdings" w:hint="default"/>
      </w:rPr>
    </w:lvl>
    <w:lvl w:ilvl="3" w:tplc="2DE62F56" w:tentative="1">
      <w:start w:val="1"/>
      <w:numFmt w:val="bullet"/>
      <w:lvlText w:val=""/>
      <w:lvlJc w:val="left"/>
      <w:pPr>
        <w:ind w:left="2880" w:hanging="360"/>
      </w:pPr>
      <w:rPr>
        <w:rFonts w:ascii="Symbol" w:hAnsi="Symbol" w:hint="default"/>
      </w:rPr>
    </w:lvl>
    <w:lvl w:ilvl="4" w:tplc="7AEE6936" w:tentative="1">
      <w:start w:val="1"/>
      <w:numFmt w:val="bullet"/>
      <w:lvlText w:val="o"/>
      <w:lvlJc w:val="left"/>
      <w:pPr>
        <w:ind w:left="3600" w:hanging="360"/>
      </w:pPr>
      <w:rPr>
        <w:rFonts w:ascii="Courier New" w:hAnsi="Courier New" w:hint="default"/>
      </w:rPr>
    </w:lvl>
    <w:lvl w:ilvl="5" w:tplc="B3A8EBC2" w:tentative="1">
      <w:start w:val="1"/>
      <w:numFmt w:val="bullet"/>
      <w:lvlText w:val=""/>
      <w:lvlJc w:val="left"/>
      <w:pPr>
        <w:ind w:left="4320" w:hanging="360"/>
      </w:pPr>
      <w:rPr>
        <w:rFonts w:ascii="Wingdings" w:hAnsi="Wingdings" w:hint="default"/>
      </w:rPr>
    </w:lvl>
    <w:lvl w:ilvl="6" w:tplc="0576D58A" w:tentative="1">
      <w:start w:val="1"/>
      <w:numFmt w:val="bullet"/>
      <w:lvlText w:val=""/>
      <w:lvlJc w:val="left"/>
      <w:pPr>
        <w:ind w:left="5040" w:hanging="360"/>
      </w:pPr>
      <w:rPr>
        <w:rFonts w:ascii="Symbol" w:hAnsi="Symbol" w:hint="default"/>
      </w:rPr>
    </w:lvl>
    <w:lvl w:ilvl="7" w:tplc="AE1E2506" w:tentative="1">
      <w:start w:val="1"/>
      <w:numFmt w:val="bullet"/>
      <w:lvlText w:val="o"/>
      <w:lvlJc w:val="left"/>
      <w:pPr>
        <w:ind w:left="5760" w:hanging="360"/>
      </w:pPr>
      <w:rPr>
        <w:rFonts w:ascii="Courier New" w:hAnsi="Courier New" w:hint="default"/>
      </w:rPr>
    </w:lvl>
    <w:lvl w:ilvl="8" w:tplc="C98C728E" w:tentative="1">
      <w:start w:val="1"/>
      <w:numFmt w:val="bullet"/>
      <w:lvlText w:val=""/>
      <w:lvlJc w:val="left"/>
      <w:pPr>
        <w:ind w:left="6480" w:hanging="360"/>
      </w:pPr>
      <w:rPr>
        <w:rFonts w:ascii="Wingdings" w:hAnsi="Wingdings" w:hint="default"/>
      </w:rPr>
    </w:lvl>
  </w:abstractNum>
  <w:abstractNum w:abstractNumId="46" w15:restartNumberingAfterBreak="0">
    <w:nsid w:val="2CF9767D"/>
    <w:multiLevelType w:val="hybridMultilevel"/>
    <w:tmpl w:val="DCB4A6D2"/>
    <w:lvl w:ilvl="0" w:tplc="3DDE02DA">
      <w:start w:val="1"/>
      <w:numFmt w:val="bullet"/>
      <w:lvlText w:val=""/>
      <w:lvlJc w:val="left"/>
      <w:pPr>
        <w:ind w:left="720" w:hanging="360"/>
      </w:pPr>
      <w:rPr>
        <w:rFonts w:ascii="Symbol" w:hAnsi="Symbol"/>
      </w:rPr>
    </w:lvl>
    <w:lvl w:ilvl="1" w:tplc="E0DA9826">
      <w:start w:val="1"/>
      <w:numFmt w:val="bullet"/>
      <w:lvlText w:val=""/>
      <w:lvlJc w:val="left"/>
      <w:pPr>
        <w:ind w:left="720" w:hanging="360"/>
      </w:pPr>
      <w:rPr>
        <w:rFonts w:ascii="Symbol" w:hAnsi="Symbol"/>
      </w:rPr>
    </w:lvl>
    <w:lvl w:ilvl="2" w:tplc="62DCF8E0">
      <w:start w:val="1"/>
      <w:numFmt w:val="bullet"/>
      <w:lvlText w:val=""/>
      <w:lvlJc w:val="left"/>
      <w:pPr>
        <w:ind w:left="720" w:hanging="360"/>
      </w:pPr>
      <w:rPr>
        <w:rFonts w:ascii="Symbol" w:hAnsi="Symbol"/>
      </w:rPr>
    </w:lvl>
    <w:lvl w:ilvl="3" w:tplc="2AF6AD00">
      <w:start w:val="1"/>
      <w:numFmt w:val="bullet"/>
      <w:lvlText w:val=""/>
      <w:lvlJc w:val="left"/>
      <w:pPr>
        <w:ind w:left="720" w:hanging="360"/>
      </w:pPr>
      <w:rPr>
        <w:rFonts w:ascii="Symbol" w:hAnsi="Symbol"/>
      </w:rPr>
    </w:lvl>
    <w:lvl w:ilvl="4" w:tplc="61BE485A">
      <w:start w:val="1"/>
      <w:numFmt w:val="bullet"/>
      <w:lvlText w:val=""/>
      <w:lvlJc w:val="left"/>
      <w:pPr>
        <w:ind w:left="720" w:hanging="360"/>
      </w:pPr>
      <w:rPr>
        <w:rFonts w:ascii="Symbol" w:hAnsi="Symbol"/>
      </w:rPr>
    </w:lvl>
    <w:lvl w:ilvl="5" w:tplc="2E02681A">
      <w:start w:val="1"/>
      <w:numFmt w:val="bullet"/>
      <w:lvlText w:val=""/>
      <w:lvlJc w:val="left"/>
      <w:pPr>
        <w:ind w:left="720" w:hanging="360"/>
      </w:pPr>
      <w:rPr>
        <w:rFonts w:ascii="Symbol" w:hAnsi="Symbol"/>
      </w:rPr>
    </w:lvl>
    <w:lvl w:ilvl="6" w:tplc="24A04FD4">
      <w:start w:val="1"/>
      <w:numFmt w:val="bullet"/>
      <w:lvlText w:val=""/>
      <w:lvlJc w:val="left"/>
      <w:pPr>
        <w:ind w:left="720" w:hanging="360"/>
      </w:pPr>
      <w:rPr>
        <w:rFonts w:ascii="Symbol" w:hAnsi="Symbol"/>
      </w:rPr>
    </w:lvl>
    <w:lvl w:ilvl="7" w:tplc="CF8CD7A0">
      <w:start w:val="1"/>
      <w:numFmt w:val="bullet"/>
      <w:lvlText w:val=""/>
      <w:lvlJc w:val="left"/>
      <w:pPr>
        <w:ind w:left="720" w:hanging="360"/>
      </w:pPr>
      <w:rPr>
        <w:rFonts w:ascii="Symbol" w:hAnsi="Symbol"/>
      </w:rPr>
    </w:lvl>
    <w:lvl w:ilvl="8" w:tplc="8C94A236">
      <w:start w:val="1"/>
      <w:numFmt w:val="bullet"/>
      <w:lvlText w:val=""/>
      <w:lvlJc w:val="left"/>
      <w:pPr>
        <w:ind w:left="720" w:hanging="360"/>
      </w:pPr>
      <w:rPr>
        <w:rFonts w:ascii="Symbol" w:hAnsi="Symbol"/>
      </w:rPr>
    </w:lvl>
  </w:abstractNum>
  <w:abstractNum w:abstractNumId="47" w15:restartNumberingAfterBreak="0">
    <w:nsid w:val="2DC4DC86"/>
    <w:multiLevelType w:val="hybridMultilevel"/>
    <w:tmpl w:val="FFFFFFFF"/>
    <w:lvl w:ilvl="0" w:tplc="B650A048">
      <w:start w:val="1"/>
      <w:numFmt w:val="bullet"/>
      <w:lvlText w:val="·"/>
      <w:lvlJc w:val="left"/>
      <w:pPr>
        <w:ind w:left="720" w:hanging="360"/>
      </w:pPr>
      <w:rPr>
        <w:rFonts w:ascii="Symbol" w:hAnsi="Symbol" w:hint="default"/>
      </w:rPr>
    </w:lvl>
    <w:lvl w:ilvl="1" w:tplc="63C84774">
      <w:start w:val="1"/>
      <w:numFmt w:val="bullet"/>
      <w:lvlText w:val="o"/>
      <w:lvlJc w:val="left"/>
      <w:pPr>
        <w:ind w:left="1440" w:hanging="360"/>
      </w:pPr>
      <w:rPr>
        <w:rFonts w:ascii="Courier New" w:hAnsi="Courier New" w:hint="default"/>
      </w:rPr>
    </w:lvl>
    <w:lvl w:ilvl="2" w:tplc="BF780D2A">
      <w:start w:val="1"/>
      <w:numFmt w:val="bullet"/>
      <w:lvlText w:val=""/>
      <w:lvlJc w:val="left"/>
      <w:pPr>
        <w:ind w:left="2160" w:hanging="360"/>
      </w:pPr>
      <w:rPr>
        <w:rFonts w:ascii="Wingdings" w:hAnsi="Wingdings" w:hint="default"/>
      </w:rPr>
    </w:lvl>
    <w:lvl w:ilvl="3" w:tplc="5948A74C">
      <w:start w:val="1"/>
      <w:numFmt w:val="bullet"/>
      <w:lvlText w:val=""/>
      <w:lvlJc w:val="left"/>
      <w:pPr>
        <w:ind w:left="2880" w:hanging="360"/>
      </w:pPr>
      <w:rPr>
        <w:rFonts w:ascii="Symbol" w:hAnsi="Symbol" w:hint="default"/>
      </w:rPr>
    </w:lvl>
    <w:lvl w:ilvl="4" w:tplc="89F87BBA">
      <w:start w:val="1"/>
      <w:numFmt w:val="bullet"/>
      <w:lvlText w:val="o"/>
      <w:lvlJc w:val="left"/>
      <w:pPr>
        <w:ind w:left="3600" w:hanging="360"/>
      </w:pPr>
      <w:rPr>
        <w:rFonts w:ascii="Courier New" w:hAnsi="Courier New" w:hint="default"/>
      </w:rPr>
    </w:lvl>
    <w:lvl w:ilvl="5" w:tplc="18827136">
      <w:start w:val="1"/>
      <w:numFmt w:val="bullet"/>
      <w:lvlText w:val=""/>
      <w:lvlJc w:val="left"/>
      <w:pPr>
        <w:ind w:left="4320" w:hanging="360"/>
      </w:pPr>
      <w:rPr>
        <w:rFonts w:ascii="Wingdings" w:hAnsi="Wingdings" w:hint="default"/>
      </w:rPr>
    </w:lvl>
    <w:lvl w:ilvl="6" w:tplc="A0205CF8">
      <w:start w:val="1"/>
      <w:numFmt w:val="bullet"/>
      <w:lvlText w:val=""/>
      <w:lvlJc w:val="left"/>
      <w:pPr>
        <w:ind w:left="5040" w:hanging="360"/>
      </w:pPr>
      <w:rPr>
        <w:rFonts w:ascii="Symbol" w:hAnsi="Symbol" w:hint="default"/>
      </w:rPr>
    </w:lvl>
    <w:lvl w:ilvl="7" w:tplc="EBDAC108">
      <w:start w:val="1"/>
      <w:numFmt w:val="bullet"/>
      <w:lvlText w:val="o"/>
      <w:lvlJc w:val="left"/>
      <w:pPr>
        <w:ind w:left="5760" w:hanging="360"/>
      </w:pPr>
      <w:rPr>
        <w:rFonts w:ascii="Courier New" w:hAnsi="Courier New" w:hint="default"/>
      </w:rPr>
    </w:lvl>
    <w:lvl w:ilvl="8" w:tplc="016E3FD8">
      <w:start w:val="1"/>
      <w:numFmt w:val="bullet"/>
      <w:lvlText w:val=""/>
      <w:lvlJc w:val="left"/>
      <w:pPr>
        <w:ind w:left="6480" w:hanging="360"/>
      </w:pPr>
      <w:rPr>
        <w:rFonts w:ascii="Wingdings" w:hAnsi="Wingdings" w:hint="default"/>
      </w:rPr>
    </w:lvl>
  </w:abstractNum>
  <w:abstractNum w:abstractNumId="48" w15:restartNumberingAfterBreak="0">
    <w:nsid w:val="2DC65268"/>
    <w:multiLevelType w:val="multilevel"/>
    <w:tmpl w:val="2EC45B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9" w15:restartNumberingAfterBreak="0">
    <w:nsid w:val="2EBA5D99"/>
    <w:multiLevelType w:val="hybridMultilevel"/>
    <w:tmpl w:val="17BAC422"/>
    <w:lvl w:ilvl="0" w:tplc="C59EEABE">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2EE01005"/>
    <w:multiLevelType w:val="hybridMultilevel"/>
    <w:tmpl w:val="86CE0B2C"/>
    <w:lvl w:ilvl="0" w:tplc="11148B12">
      <w:start w:val="1"/>
      <w:numFmt w:val="bullet"/>
      <w:lvlText w:val=""/>
      <w:lvlJc w:val="left"/>
      <w:pPr>
        <w:ind w:left="1440" w:hanging="360"/>
      </w:pPr>
      <w:rPr>
        <w:rFonts w:ascii="Symbol" w:hAnsi="Symbol"/>
      </w:rPr>
    </w:lvl>
    <w:lvl w:ilvl="1" w:tplc="B3321970">
      <w:start w:val="1"/>
      <w:numFmt w:val="bullet"/>
      <w:lvlText w:val=""/>
      <w:lvlJc w:val="left"/>
      <w:pPr>
        <w:ind w:left="1440" w:hanging="360"/>
      </w:pPr>
      <w:rPr>
        <w:rFonts w:ascii="Symbol" w:hAnsi="Symbol"/>
      </w:rPr>
    </w:lvl>
    <w:lvl w:ilvl="2" w:tplc="4EC2CF94">
      <w:start w:val="1"/>
      <w:numFmt w:val="bullet"/>
      <w:lvlText w:val=""/>
      <w:lvlJc w:val="left"/>
      <w:pPr>
        <w:ind w:left="1440" w:hanging="360"/>
      </w:pPr>
      <w:rPr>
        <w:rFonts w:ascii="Symbol" w:hAnsi="Symbol"/>
      </w:rPr>
    </w:lvl>
    <w:lvl w:ilvl="3" w:tplc="D5FEF418">
      <w:start w:val="1"/>
      <w:numFmt w:val="bullet"/>
      <w:lvlText w:val=""/>
      <w:lvlJc w:val="left"/>
      <w:pPr>
        <w:ind w:left="1440" w:hanging="360"/>
      </w:pPr>
      <w:rPr>
        <w:rFonts w:ascii="Symbol" w:hAnsi="Symbol"/>
      </w:rPr>
    </w:lvl>
    <w:lvl w:ilvl="4" w:tplc="F6C0C30C">
      <w:start w:val="1"/>
      <w:numFmt w:val="bullet"/>
      <w:lvlText w:val=""/>
      <w:lvlJc w:val="left"/>
      <w:pPr>
        <w:ind w:left="1440" w:hanging="360"/>
      </w:pPr>
      <w:rPr>
        <w:rFonts w:ascii="Symbol" w:hAnsi="Symbol"/>
      </w:rPr>
    </w:lvl>
    <w:lvl w:ilvl="5" w:tplc="1BBA125C">
      <w:start w:val="1"/>
      <w:numFmt w:val="bullet"/>
      <w:lvlText w:val=""/>
      <w:lvlJc w:val="left"/>
      <w:pPr>
        <w:ind w:left="1440" w:hanging="360"/>
      </w:pPr>
      <w:rPr>
        <w:rFonts w:ascii="Symbol" w:hAnsi="Symbol"/>
      </w:rPr>
    </w:lvl>
    <w:lvl w:ilvl="6" w:tplc="9850A758">
      <w:start w:val="1"/>
      <w:numFmt w:val="bullet"/>
      <w:lvlText w:val=""/>
      <w:lvlJc w:val="left"/>
      <w:pPr>
        <w:ind w:left="1440" w:hanging="360"/>
      </w:pPr>
      <w:rPr>
        <w:rFonts w:ascii="Symbol" w:hAnsi="Symbol"/>
      </w:rPr>
    </w:lvl>
    <w:lvl w:ilvl="7" w:tplc="6D1EA07C">
      <w:start w:val="1"/>
      <w:numFmt w:val="bullet"/>
      <w:lvlText w:val=""/>
      <w:lvlJc w:val="left"/>
      <w:pPr>
        <w:ind w:left="1440" w:hanging="360"/>
      </w:pPr>
      <w:rPr>
        <w:rFonts w:ascii="Symbol" w:hAnsi="Symbol"/>
      </w:rPr>
    </w:lvl>
    <w:lvl w:ilvl="8" w:tplc="3E0A53DE">
      <w:start w:val="1"/>
      <w:numFmt w:val="bullet"/>
      <w:lvlText w:val=""/>
      <w:lvlJc w:val="left"/>
      <w:pPr>
        <w:ind w:left="1440" w:hanging="360"/>
      </w:pPr>
      <w:rPr>
        <w:rFonts w:ascii="Symbol" w:hAnsi="Symbol"/>
      </w:rPr>
    </w:lvl>
  </w:abstractNum>
  <w:abstractNum w:abstractNumId="51" w15:restartNumberingAfterBreak="0">
    <w:nsid w:val="2F1D1AD0"/>
    <w:multiLevelType w:val="hybridMultilevel"/>
    <w:tmpl w:val="B6963FA8"/>
    <w:lvl w:ilvl="0" w:tplc="675A4E9C">
      <w:start w:val="1"/>
      <w:numFmt w:val="decimal"/>
      <w:lvlText w:val="%1)"/>
      <w:lvlJc w:val="left"/>
      <w:pPr>
        <w:ind w:left="720" w:hanging="360"/>
      </w:pPr>
    </w:lvl>
    <w:lvl w:ilvl="1" w:tplc="3FD41F62">
      <w:start w:val="1"/>
      <w:numFmt w:val="decimal"/>
      <w:lvlText w:val="%2)"/>
      <w:lvlJc w:val="left"/>
      <w:pPr>
        <w:ind w:left="720" w:hanging="360"/>
      </w:pPr>
    </w:lvl>
    <w:lvl w:ilvl="2" w:tplc="42AAF1E2">
      <w:start w:val="1"/>
      <w:numFmt w:val="decimal"/>
      <w:lvlText w:val="%3)"/>
      <w:lvlJc w:val="left"/>
      <w:pPr>
        <w:ind w:left="720" w:hanging="360"/>
      </w:pPr>
    </w:lvl>
    <w:lvl w:ilvl="3" w:tplc="150E246C">
      <w:start w:val="1"/>
      <w:numFmt w:val="decimal"/>
      <w:lvlText w:val="%4)"/>
      <w:lvlJc w:val="left"/>
      <w:pPr>
        <w:ind w:left="720" w:hanging="360"/>
      </w:pPr>
    </w:lvl>
    <w:lvl w:ilvl="4" w:tplc="984ADE1C">
      <w:start w:val="1"/>
      <w:numFmt w:val="decimal"/>
      <w:lvlText w:val="%5)"/>
      <w:lvlJc w:val="left"/>
      <w:pPr>
        <w:ind w:left="720" w:hanging="360"/>
      </w:pPr>
    </w:lvl>
    <w:lvl w:ilvl="5" w:tplc="61DA4AA6">
      <w:start w:val="1"/>
      <w:numFmt w:val="decimal"/>
      <w:lvlText w:val="%6)"/>
      <w:lvlJc w:val="left"/>
      <w:pPr>
        <w:ind w:left="720" w:hanging="360"/>
      </w:pPr>
    </w:lvl>
    <w:lvl w:ilvl="6" w:tplc="220C9236">
      <w:start w:val="1"/>
      <w:numFmt w:val="decimal"/>
      <w:lvlText w:val="%7)"/>
      <w:lvlJc w:val="left"/>
      <w:pPr>
        <w:ind w:left="720" w:hanging="360"/>
      </w:pPr>
    </w:lvl>
    <w:lvl w:ilvl="7" w:tplc="A2680C4A">
      <w:start w:val="1"/>
      <w:numFmt w:val="decimal"/>
      <w:lvlText w:val="%8)"/>
      <w:lvlJc w:val="left"/>
      <w:pPr>
        <w:ind w:left="720" w:hanging="360"/>
      </w:pPr>
    </w:lvl>
    <w:lvl w:ilvl="8" w:tplc="DC4CDB02">
      <w:start w:val="1"/>
      <w:numFmt w:val="decimal"/>
      <w:lvlText w:val="%9)"/>
      <w:lvlJc w:val="left"/>
      <w:pPr>
        <w:ind w:left="720" w:hanging="360"/>
      </w:pPr>
    </w:lvl>
  </w:abstractNum>
  <w:abstractNum w:abstractNumId="52" w15:restartNumberingAfterBreak="0">
    <w:nsid w:val="3181508F"/>
    <w:multiLevelType w:val="hybridMultilevel"/>
    <w:tmpl w:val="1D383A46"/>
    <w:lvl w:ilvl="0" w:tplc="C0D2B282">
      <w:start w:val="1"/>
      <w:numFmt w:val="bullet"/>
      <w:pStyle w:val="bullettext"/>
      <w:lvlText w:val=""/>
      <w:lvlJc w:val="left"/>
      <w:pPr>
        <w:ind w:left="720" w:hanging="360"/>
      </w:pPr>
      <w:rPr>
        <w:rFonts w:ascii="Symbol" w:hAnsi="Symbol" w:hint="default"/>
        <w:b/>
        <w:i w:val="0"/>
        <w:color w:val="325BAA"/>
        <w:sz w:val="24"/>
      </w:rPr>
    </w:lvl>
    <w:lvl w:ilvl="1" w:tplc="961C1824">
      <w:start w:val="1"/>
      <w:numFmt w:val="bullet"/>
      <w:lvlText w:val="o"/>
      <w:lvlJc w:val="left"/>
      <w:pPr>
        <w:ind w:left="1440" w:hanging="360"/>
      </w:pPr>
      <w:rPr>
        <w:rFonts w:ascii="Courier New" w:hAnsi="Courier New" w:hint="default"/>
      </w:rPr>
    </w:lvl>
    <w:lvl w:ilvl="2" w:tplc="649E5970" w:tentative="1">
      <w:start w:val="1"/>
      <w:numFmt w:val="bullet"/>
      <w:lvlText w:val=""/>
      <w:lvlJc w:val="left"/>
      <w:pPr>
        <w:ind w:left="2160" w:hanging="360"/>
      </w:pPr>
      <w:rPr>
        <w:rFonts w:ascii="Wingdings" w:hAnsi="Wingdings" w:hint="default"/>
      </w:rPr>
    </w:lvl>
    <w:lvl w:ilvl="3" w:tplc="B7BA0E90" w:tentative="1">
      <w:start w:val="1"/>
      <w:numFmt w:val="bullet"/>
      <w:lvlText w:val=""/>
      <w:lvlJc w:val="left"/>
      <w:pPr>
        <w:ind w:left="2880" w:hanging="360"/>
      </w:pPr>
      <w:rPr>
        <w:rFonts w:ascii="Symbol" w:hAnsi="Symbol" w:hint="default"/>
      </w:rPr>
    </w:lvl>
    <w:lvl w:ilvl="4" w:tplc="04C2FE4C" w:tentative="1">
      <w:start w:val="1"/>
      <w:numFmt w:val="bullet"/>
      <w:lvlText w:val="o"/>
      <w:lvlJc w:val="left"/>
      <w:pPr>
        <w:ind w:left="3600" w:hanging="360"/>
      </w:pPr>
      <w:rPr>
        <w:rFonts w:ascii="Courier New" w:hAnsi="Courier New" w:hint="default"/>
      </w:rPr>
    </w:lvl>
    <w:lvl w:ilvl="5" w:tplc="3A2C2D34" w:tentative="1">
      <w:start w:val="1"/>
      <w:numFmt w:val="bullet"/>
      <w:lvlText w:val=""/>
      <w:lvlJc w:val="left"/>
      <w:pPr>
        <w:ind w:left="4320" w:hanging="360"/>
      </w:pPr>
      <w:rPr>
        <w:rFonts w:ascii="Wingdings" w:hAnsi="Wingdings" w:hint="default"/>
      </w:rPr>
    </w:lvl>
    <w:lvl w:ilvl="6" w:tplc="96DCE13E" w:tentative="1">
      <w:start w:val="1"/>
      <w:numFmt w:val="bullet"/>
      <w:lvlText w:val=""/>
      <w:lvlJc w:val="left"/>
      <w:pPr>
        <w:ind w:left="5040" w:hanging="360"/>
      </w:pPr>
      <w:rPr>
        <w:rFonts w:ascii="Symbol" w:hAnsi="Symbol" w:hint="default"/>
      </w:rPr>
    </w:lvl>
    <w:lvl w:ilvl="7" w:tplc="B562EEB6" w:tentative="1">
      <w:start w:val="1"/>
      <w:numFmt w:val="bullet"/>
      <w:lvlText w:val="o"/>
      <w:lvlJc w:val="left"/>
      <w:pPr>
        <w:ind w:left="5760" w:hanging="360"/>
      </w:pPr>
      <w:rPr>
        <w:rFonts w:ascii="Courier New" w:hAnsi="Courier New" w:hint="default"/>
      </w:rPr>
    </w:lvl>
    <w:lvl w:ilvl="8" w:tplc="58BC985E" w:tentative="1">
      <w:start w:val="1"/>
      <w:numFmt w:val="bullet"/>
      <w:lvlText w:val=""/>
      <w:lvlJc w:val="left"/>
      <w:pPr>
        <w:ind w:left="6480" w:hanging="360"/>
      </w:pPr>
      <w:rPr>
        <w:rFonts w:ascii="Wingdings" w:hAnsi="Wingdings" w:hint="default"/>
      </w:rPr>
    </w:lvl>
  </w:abstractNum>
  <w:abstractNum w:abstractNumId="53" w15:restartNumberingAfterBreak="0">
    <w:nsid w:val="320D4F1F"/>
    <w:multiLevelType w:val="hybridMultilevel"/>
    <w:tmpl w:val="616E2BF8"/>
    <w:lvl w:ilvl="0" w:tplc="ABB6E128">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4" w15:restartNumberingAfterBreak="0">
    <w:nsid w:val="33225B8D"/>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5" w15:restartNumberingAfterBreak="0">
    <w:nsid w:val="33A169DC"/>
    <w:multiLevelType w:val="multilevel"/>
    <w:tmpl w:val="BC5454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6" w15:restartNumberingAfterBreak="0">
    <w:nsid w:val="347D5432"/>
    <w:multiLevelType w:val="hybridMultilevel"/>
    <w:tmpl w:val="A5123660"/>
    <w:lvl w:ilvl="0" w:tplc="914205AA">
      <w:start w:val="1"/>
      <w:numFmt w:val="bullet"/>
      <w:lvlText w:val=""/>
      <w:lvlJc w:val="left"/>
      <w:pPr>
        <w:ind w:left="780" w:hanging="360"/>
      </w:pPr>
      <w:rPr>
        <w:rFonts w:ascii="Symbol" w:hAnsi="Symbol" w:hint="default"/>
      </w:rPr>
    </w:lvl>
    <w:lvl w:ilvl="1" w:tplc="A314E0F0" w:tentative="1">
      <w:start w:val="1"/>
      <w:numFmt w:val="bullet"/>
      <w:lvlText w:val="o"/>
      <w:lvlJc w:val="left"/>
      <w:pPr>
        <w:ind w:left="1500" w:hanging="360"/>
      </w:pPr>
      <w:rPr>
        <w:rFonts w:ascii="Courier New" w:hAnsi="Courier New" w:hint="default"/>
      </w:rPr>
    </w:lvl>
    <w:lvl w:ilvl="2" w:tplc="D0E0A2BE" w:tentative="1">
      <w:start w:val="1"/>
      <w:numFmt w:val="bullet"/>
      <w:lvlText w:val=""/>
      <w:lvlJc w:val="left"/>
      <w:pPr>
        <w:ind w:left="2220" w:hanging="360"/>
      </w:pPr>
      <w:rPr>
        <w:rFonts w:ascii="Wingdings" w:hAnsi="Wingdings" w:hint="default"/>
      </w:rPr>
    </w:lvl>
    <w:lvl w:ilvl="3" w:tplc="F91A1EDA" w:tentative="1">
      <w:start w:val="1"/>
      <w:numFmt w:val="bullet"/>
      <w:lvlText w:val=""/>
      <w:lvlJc w:val="left"/>
      <w:pPr>
        <w:ind w:left="2940" w:hanging="360"/>
      </w:pPr>
      <w:rPr>
        <w:rFonts w:ascii="Symbol" w:hAnsi="Symbol" w:hint="default"/>
      </w:rPr>
    </w:lvl>
    <w:lvl w:ilvl="4" w:tplc="E1D0A5D4" w:tentative="1">
      <w:start w:val="1"/>
      <w:numFmt w:val="bullet"/>
      <w:lvlText w:val="o"/>
      <w:lvlJc w:val="left"/>
      <w:pPr>
        <w:ind w:left="3660" w:hanging="360"/>
      </w:pPr>
      <w:rPr>
        <w:rFonts w:ascii="Courier New" w:hAnsi="Courier New" w:hint="default"/>
      </w:rPr>
    </w:lvl>
    <w:lvl w:ilvl="5" w:tplc="290ACE50" w:tentative="1">
      <w:start w:val="1"/>
      <w:numFmt w:val="bullet"/>
      <w:lvlText w:val=""/>
      <w:lvlJc w:val="left"/>
      <w:pPr>
        <w:ind w:left="4380" w:hanging="360"/>
      </w:pPr>
      <w:rPr>
        <w:rFonts w:ascii="Wingdings" w:hAnsi="Wingdings" w:hint="default"/>
      </w:rPr>
    </w:lvl>
    <w:lvl w:ilvl="6" w:tplc="60B2227C" w:tentative="1">
      <w:start w:val="1"/>
      <w:numFmt w:val="bullet"/>
      <w:lvlText w:val=""/>
      <w:lvlJc w:val="left"/>
      <w:pPr>
        <w:ind w:left="5100" w:hanging="360"/>
      </w:pPr>
      <w:rPr>
        <w:rFonts w:ascii="Symbol" w:hAnsi="Symbol" w:hint="default"/>
      </w:rPr>
    </w:lvl>
    <w:lvl w:ilvl="7" w:tplc="3146BF78" w:tentative="1">
      <w:start w:val="1"/>
      <w:numFmt w:val="bullet"/>
      <w:lvlText w:val="o"/>
      <w:lvlJc w:val="left"/>
      <w:pPr>
        <w:ind w:left="5820" w:hanging="360"/>
      </w:pPr>
      <w:rPr>
        <w:rFonts w:ascii="Courier New" w:hAnsi="Courier New" w:hint="default"/>
      </w:rPr>
    </w:lvl>
    <w:lvl w:ilvl="8" w:tplc="DDBE6960" w:tentative="1">
      <w:start w:val="1"/>
      <w:numFmt w:val="bullet"/>
      <w:lvlText w:val=""/>
      <w:lvlJc w:val="left"/>
      <w:pPr>
        <w:ind w:left="6540" w:hanging="360"/>
      </w:pPr>
      <w:rPr>
        <w:rFonts w:ascii="Wingdings" w:hAnsi="Wingdings" w:hint="default"/>
      </w:rPr>
    </w:lvl>
  </w:abstractNum>
  <w:abstractNum w:abstractNumId="57" w15:restartNumberingAfterBreak="0">
    <w:nsid w:val="35B93E47"/>
    <w:multiLevelType w:val="hybridMultilevel"/>
    <w:tmpl w:val="C66A4582"/>
    <w:lvl w:ilvl="0" w:tplc="D0F605E6">
      <w:start w:val="1"/>
      <w:numFmt w:val="bullet"/>
      <w:lvlText w:val=""/>
      <w:lvlJc w:val="left"/>
      <w:pPr>
        <w:ind w:left="720" w:hanging="360"/>
      </w:pPr>
      <w:rPr>
        <w:rFonts w:ascii="Symbol" w:hAnsi="Symbol" w:hint="default"/>
        <w:u w:val="none"/>
      </w:rPr>
    </w:lvl>
    <w:lvl w:ilvl="1" w:tplc="89B2EEAE" w:tentative="1">
      <w:start w:val="1"/>
      <w:numFmt w:val="bullet"/>
      <w:lvlText w:val="o"/>
      <w:lvlJc w:val="left"/>
      <w:pPr>
        <w:ind w:left="1440" w:hanging="360"/>
      </w:pPr>
      <w:rPr>
        <w:rFonts w:ascii="Courier New" w:hAnsi="Courier New" w:hint="default"/>
      </w:rPr>
    </w:lvl>
    <w:lvl w:ilvl="2" w:tplc="40AA410E" w:tentative="1">
      <w:start w:val="1"/>
      <w:numFmt w:val="bullet"/>
      <w:lvlText w:val=""/>
      <w:lvlJc w:val="left"/>
      <w:pPr>
        <w:ind w:left="2160" w:hanging="360"/>
      </w:pPr>
      <w:rPr>
        <w:rFonts w:ascii="Wingdings" w:hAnsi="Wingdings" w:hint="default"/>
      </w:rPr>
    </w:lvl>
    <w:lvl w:ilvl="3" w:tplc="07908D3C" w:tentative="1">
      <w:start w:val="1"/>
      <w:numFmt w:val="bullet"/>
      <w:lvlText w:val=""/>
      <w:lvlJc w:val="left"/>
      <w:pPr>
        <w:ind w:left="2880" w:hanging="360"/>
      </w:pPr>
      <w:rPr>
        <w:rFonts w:ascii="Symbol" w:hAnsi="Symbol" w:hint="default"/>
      </w:rPr>
    </w:lvl>
    <w:lvl w:ilvl="4" w:tplc="C0DC4CF6" w:tentative="1">
      <w:start w:val="1"/>
      <w:numFmt w:val="bullet"/>
      <w:lvlText w:val="o"/>
      <w:lvlJc w:val="left"/>
      <w:pPr>
        <w:ind w:left="3600" w:hanging="360"/>
      </w:pPr>
      <w:rPr>
        <w:rFonts w:ascii="Courier New" w:hAnsi="Courier New" w:hint="default"/>
      </w:rPr>
    </w:lvl>
    <w:lvl w:ilvl="5" w:tplc="DBFE60B2" w:tentative="1">
      <w:start w:val="1"/>
      <w:numFmt w:val="bullet"/>
      <w:lvlText w:val=""/>
      <w:lvlJc w:val="left"/>
      <w:pPr>
        <w:ind w:left="4320" w:hanging="360"/>
      </w:pPr>
      <w:rPr>
        <w:rFonts w:ascii="Wingdings" w:hAnsi="Wingdings" w:hint="default"/>
      </w:rPr>
    </w:lvl>
    <w:lvl w:ilvl="6" w:tplc="1B7CA8F0" w:tentative="1">
      <w:start w:val="1"/>
      <w:numFmt w:val="bullet"/>
      <w:lvlText w:val=""/>
      <w:lvlJc w:val="left"/>
      <w:pPr>
        <w:ind w:left="5040" w:hanging="360"/>
      </w:pPr>
      <w:rPr>
        <w:rFonts w:ascii="Symbol" w:hAnsi="Symbol" w:hint="default"/>
      </w:rPr>
    </w:lvl>
    <w:lvl w:ilvl="7" w:tplc="B220EE7E" w:tentative="1">
      <w:start w:val="1"/>
      <w:numFmt w:val="bullet"/>
      <w:lvlText w:val="o"/>
      <w:lvlJc w:val="left"/>
      <w:pPr>
        <w:ind w:left="5760" w:hanging="360"/>
      </w:pPr>
      <w:rPr>
        <w:rFonts w:ascii="Courier New" w:hAnsi="Courier New" w:hint="default"/>
      </w:rPr>
    </w:lvl>
    <w:lvl w:ilvl="8" w:tplc="22104656" w:tentative="1">
      <w:start w:val="1"/>
      <w:numFmt w:val="bullet"/>
      <w:lvlText w:val=""/>
      <w:lvlJc w:val="left"/>
      <w:pPr>
        <w:ind w:left="6480" w:hanging="360"/>
      </w:pPr>
      <w:rPr>
        <w:rFonts w:ascii="Wingdings" w:hAnsi="Wingdings" w:hint="default"/>
      </w:rPr>
    </w:lvl>
  </w:abstractNum>
  <w:abstractNum w:abstractNumId="58" w15:restartNumberingAfterBreak="0">
    <w:nsid w:val="374B7B24"/>
    <w:multiLevelType w:val="hybridMultilevel"/>
    <w:tmpl w:val="9412F620"/>
    <w:lvl w:ilvl="0" w:tplc="76C01AB6">
      <w:start w:val="5"/>
      <w:numFmt w:val="bullet"/>
      <w:lvlText w:val="-"/>
      <w:lvlJc w:val="left"/>
      <w:pPr>
        <w:ind w:left="360" w:hanging="360"/>
      </w:pPr>
      <w:rPr>
        <w:rFonts w:ascii="Arial" w:hAnsi="Arial" w:hint="default"/>
      </w:rPr>
    </w:lvl>
    <w:lvl w:ilvl="1" w:tplc="2122A216">
      <w:start w:val="1"/>
      <w:numFmt w:val="bullet"/>
      <w:lvlText w:val="o"/>
      <w:lvlJc w:val="left"/>
      <w:pPr>
        <w:ind w:left="1080" w:hanging="360"/>
      </w:pPr>
      <w:rPr>
        <w:rFonts w:ascii="Courier New" w:hAnsi="Courier New" w:hint="default"/>
      </w:rPr>
    </w:lvl>
    <w:lvl w:ilvl="2" w:tplc="C3D8D282">
      <w:start w:val="1"/>
      <w:numFmt w:val="bullet"/>
      <w:lvlText w:val=""/>
      <w:lvlJc w:val="left"/>
      <w:pPr>
        <w:ind w:left="1800" w:hanging="360"/>
      </w:pPr>
      <w:rPr>
        <w:rFonts w:ascii="Wingdings" w:hAnsi="Wingdings" w:hint="default"/>
      </w:rPr>
    </w:lvl>
    <w:lvl w:ilvl="3" w:tplc="3AF4195C" w:tentative="1">
      <w:start w:val="1"/>
      <w:numFmt w:val="bullet"/>
      <w:lvlText w:val=""/>
      <w:lvlJc w:val="left"/>
      <w:pPr>
        <w:ind w:left="2520" w:hanging="360"/>
      </w:pPr>
      <w:rPr>
        <w:rFonts w:ascii="Symbol" w:hAnsi="Symbol" w:hint="default"/>
      </w:rPr>
    </w:lvl>
    <w:lvl w:ilvl="4" w:tplc="204A27BE" w:tentative="1">
      <w:start w:val="1"/>
      <w:numFmt w:val="bullet"/>
      <w:lvlText w:val="o"/>
      <w:lvlJc w:val="left"/>
      <w:pPr>
        <w:ind w:left="3240" w:hanging="360"/>
      </w:pPr>
      <w:rPr>
        <w:rFonts w:ascii="Courier New" w:hAnsi="Courier New" w:hint="default"/>
      </w:rPr>
    </w:lvl>
    <w:lvl w:ilvl="5" w:tplc="E8DCBE90" w:tentative="1">
      <w:start w:val="1"/>
      <w:numFmt w:val="bullet"/>
      <w:lvlText w:val=""/>
      <w:lvlJc w:val="left"/>
      <w:pPr>
        <w:ind w:left="3960" w:hanging="360"/>
      </w:pPr>
      <w:rPr>
        <w:rFonts w:ascii="Wingdings" w:hAnsi="Wingdings" w:hint="default"/>
      </w:rPr>
    </w:lvl>
    <w:lvl w:ilvl="6" w:tplc="0A4074C8" w:tentative="1">
      <w:start w:val="1"/>
      <w:numFmt w:val="bullet"/>
      <w:lvlText w:val=""/>
      <w:lvlJc w:val="left"/>
      <w:pPr>
        <w:ind w:left="4680" w:hanging="360"/>
      </w:pPr>
      <w:rPr>
        <w:rFonts w:ascii="Symbol" w:hAnsi="Symbol" w:hint="default"/>
      </w:rPr>
    </w:lvl>
    <w:lvl w:ilvl="7" w:tplc="C1C8CC24" w:tentative="1">
      <w:start w:val="1"/>
      <w:numFmt w:val="bullet"/>
      <w:lvlText w:val="o"/>
      <w:lvlJc w:val="left"/>
      <w:pPr>
        <w:ind w:left="5400" w:hanging="360"/>
      </w:pPr>
      <w:rPr>
        <w:rFonts w:ascii="Courier New" w:hAnsi="Courier New" w:hint="default"/>
      </w:rPr>
    </w:lvl>
    <w:lvl w:ilvl="8" w:tplc="F8CA1844" w:tentative="1">
      <w:start w:val="1"/>
      <w:numFmt w:val="bullet"/>
      <w:lvlText w:val=""/>
      <w:lvlJc w:val="left"/>
      <w:pPr>
        <w:ind w:left="6120" w:hanging="360"/>
      </w:pPr>
      <w:rPr>
        <w:rFonts w:ascii="Wingdings" w:hAnsi="Wingdings" w:hint="default"/>
      </w:rPr>
    </w:lvl>
  </w:abstractNum>
  <w:abstractNum w:abstractNumId="59" w15:restartNumberingAfterBreak="0">
    <w:nsid w:val="38717C6C"/>
    <w:multiLevelType w:val="hybridMultilevel"/>
    <w:tmpl w:val="FEB87912"/>
    <w:lvl w:ilvl="0" w:tplc="576C341A">
      <w:start w:val="1"/>
      <w:numFmt w:val="decimal"/>
      <w:lvlText w:val="%1."/>
      <w:lvlJc w:val="left"/>
      <w:pPr>
        <w:ind w:left="1069" w:hanging="360"/>
      </w:p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60" w15:restartNumberingAfterBreak="0">
    <w:nsid w:val="39955A45"/>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1" w15:restartNumberingAfterBreak="0">
    <w:nsid w:val="3BE216CA"/>
    <w:multiLevelType w:val="hybridMultilevel"/>
    <w:tmpl w:val="D98A0A88"/>
    <w:lvl w:ilvl="0" w:tplc="73841984">
      <w:start w:val="1"/>
      <w:numFmt w:val="bullet"/>
      <w:lvlText w:val=""/>
      <w:lvlJc w:val="left"/>
      <w:pPr>
        <w:ind w:left="1020" w:hanging="360"/>
      </w:pPr>
      <w:rPr>
        <w:rFonts w:ascii="Symbol" w:hAnsi="Symbol"/>
      </w:rPr>
    </w:lvl>
    <w:lvl w:ilvl="1" w:tplc="223800D2">
      <w:start w:val="1"/>
      <w:numFmt w:val="bullet"/>
      <w:lvlText w:val=""/>
      <w:lvlJc w:val="left"/>
      <w:pPr>
        <w:ind w:left="1020" w:hanging="360"/>
      </w:pPr>
      <w:rPr>
        <w:rFonts w:ascii="Symbol" w:hAnsi="Symbol"/>
      </w:rPr>
    </w:lvl>
    <w:lvl w:ilvl="2" w:tplc="F58A5174">
      <w:start w:val="1"/>
      <w:numFmt w:val="bullet"/>
      <w:lvlText w:val=""/>
      <w:lvlJc w:val="left"/>
      <w:pPr>
        <w:ind w:left="1020" w:hanging="360"/>
      </w:pPr>
      <w:rPr>
        <w:rFonts w:ascii="Symbol" w:hAnsi="Symbol"/>
      </w:rPr>
    </w:lvl>
    <w:lvl w:ilvl="3" w:tplc="54F47228">
      <w:start w:val="1"/>
      <w:numFmt w:val="bullet"/>
      <w:lvlText w:val=""/>
      <w:lvlJc w:val="left"/>
      <w:pPr>
        <w:ind w:left="1020" w:hanging="360"/>
      </w:pPr>
      <w:rPr>
        <w:rFonts w:ascii="Symbol" w:hAnsi="Symbol"/>
      </w:rPr>
    </w:lvl>
    <w:lvl w:ilvl="4" w:tplc="D02E2F4A">
      <w:start w:val="1"/>
      <w:numFmt w:val="bullet"/>
      <w:lvlText w:val=""/>
      <w:lvlJc w:val="left"/>
      <w:pPr>
        <w:ind w:left="1020" w:hanging="360"/>
      </w:pPr>
      <w:rPr>
        <w:rFonts w:ascii="Symbol" w:hAnsi="Symbol"/>
      </w:rPr>
    </w:lvl>
    <w:lvl w:ilvl="5" w:tplc="7C66CFE4">
      <w:start w:val="1"/>
      <w:numFmt w:val="bullet"/>
      <w:lvlText w:val=""/>
      <w:lvlJc w:val="left"/>
      <w:pPr>
        <w:ind w:left="1020" w:hanging="360"/>
      </w:pPr>
      <w:rPr>
        <w:rFonts w:ascii="Symbol" w:hAnsi="Symbol"/>
      </w:rPr>
    </w:lvl>
    <w:lvl w:ilvl="6" w:tplc="FD2635B6">
      <w:start w:val="1"/>
      <w:numFmt w:val="bullet"/>
      <w:lvlText w:val=""/>
      <w:lvlJc w:val="left"/>
      <w:pPr>
        <w:ind w:left="1020" w:hanging="360"/>
      </w:pPr>
      <w:rPr>
        <w:rFonts w:ascii="Symbol" w:hAnsi="Symbol"/>
      </w:rPr>
    </w:lvl>
    <w:lvl w:ilvl="7" w:tplc="14B23A2C">
      <w:start w:val="1"/>
      <w:numFmt w:val="bullet"/>
      <w:lvlText w:val=""/>
      <w:lvlJc w:val="left"/>
      <w:pPr>
        <w:ind w:left="1020" w:hanging="360"/>
      </w:pPr>
      <w:rPr>
        <w:rFonts w:ascii="Symbol" w:hAnsi="Symbol"/>
      </w:rPr>
    </w:lvl>
    <w:lvl w:ilvl="8" w:tplc="3CA86B34">
      <w:start w:val="1"/>
      <w:numFmt w:val="bullet"/>
      <w:lvlText w:val=""/>
      <w:lvlJc w:val="left"/>
      <w:pPr>
        <w:ind w:left="1020" w:hanging="360"/>
      </w:pPr>
      <w:rPr>
        <w:rFonts w:ascii="Symbol" w:hAnsi="Symbol"/>
      </w:rPr>
    </w:lvl>
  </w:abstractNum>
  <w:abstractNum w:abstractNumId="62"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63" w15:restartNumberingAfterBreak="0">
    <w:nsid w:val="3D581722"/>
    <w:multiLevelType w:val="hybridMultilevel"/>
    <w:tmpl w:val="6B50421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3F2107D2"/>
    <w:multiLevelType w:val="multilevel"/>
    <w:tmpl w:val="8140F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07AF41C"/>
    <w:multiLevelType w:val="hybridMultilevel"/>
    <w:tmpl w:val="FFFFFFFF"/>
    <w:lvl w:ilvl="0" w:tplc="2632A930">
      <w:start w:val="1"/>
      <w:numFmt w:val="bullet"/>
      <w:lvlText w:val="-"/>
      <w:lvlJc w:val="left"/>
      <w:pPr>
        <w:ind w:left="720" w:hanging="360"/>
      </w:pPr>
      <w:rPr>
        <w:rFonts w:ascii="Aptos" w:hAnsi="Aptos" w:hint="default"/>
      </w:rPr>
    </w:lvl>
    <w:lvl w:ilvl="1" w:tplc="03A4F124">
      <w:start w:val="1"/>
      <w:numFmt w:val="bullet"/>
      <w:lvlText w:val="o"/>
      <w:lvlJc w:val="left"/>
      <w:pPr>
        <w:ind w:left="1440" w:hanging="360"/>
      </w:pPr>
      <w:rPr>
        <w:rFonts w:ascii="Courier New" w:hAnsi="Courier New" w:hint="default"/>
      </w:rPr>
    </w:lvl>
    <w:lvl w:ilvl="2" w:tplc="8220A874">
      <w:start w:val="1"/>
      <w:numFmt w:val="bullet"/>
      <w:lvlText w:val=""/>
      <w:lvlJc w:val="left"/>
      <w:pPr>
        <w:ind w:left="2160" w:hanging="360"/>
      </w:pPr>
      <w:rPr>
        <w:rFonts w:ascii="Wingdings" w:hAnsi="Wingdings" w:hint="default"/>
      </w:rPr>
    </w:lvl>
    <w:lvl w:ilvl="3" w:tplc="ECCE1ADE">
      <w:start w:val="1"/>
      <w:numFmt w:val="bullet"/>
      <w:lvlText w:val=""/>
      <w:lvlJc w:val="left"/>
      <w:pPr>
        <w:ind w:left="2880" w:hanging="360"/>
      </w:pPr>
      <w:rPr>
        <w:rFonts w:ascii="Symbol" w:hAnsi="Symbol" w:hint="default"/>
      </w:rPr>
    </w:lvl>
    <w:lvl w:ilvl="4" w:tplc="18865228">
      <w:start w:val="1"/>
      <w:numFmt w:val="bullet"/>
      <w:lvlText w:val="o"/>
      <w:lvlJc w:val="left"/>
      <w:pPr>
        <w:ind w:left="3600" w:hanging="360"/>
      </w:pPr>
      <w:rPr>
        <w:rFonts w:ascii="Courier New" w:hAnsi="Courier New" w:hint="default"/>
      </w:rPr>
    </w:lvl>
    <w:lvl w:ilvl="5" w:tplc="51221CD8">
      <w:start w:val="1"/>
      <w:numFmt w:val="bullet"/>
      <w:lvlText w:val=""/>
      <w:lvlJc w:val="left"/>
      <w:pPr>
        <w:ind w:left="4320" w:hanging="360"/>
      </w:pPr>
      <w:rPr>
        <w:rFonts w:ascii="Wingdings" w:hAnsi="Wingdings" w:hint="default"/>
      </w:rPr>
    </w:lvl>
    <w:lvl w:ilvl="6" w:tplc="F34EA754">
      <w:start w:val="1"/>
      <w:numFmt w:val="bullet"/>
      <w:lvlText w:val=""/>
      <w:lvlJc w:val="left"/>
      <w:pPr>
        <w:ind w:left="5040" w:hanging="360"/>
      </w:pPr>
      <w:rPr>
        <w:rFonts w:ascii="Symbol" w:hAnsi="Symbol" w:hint="default"/>
      </w:rPr>
    </w:lvl>
    <w:lvl w:ilvl="7" w:tplc="B1B4EBF0">
      <w:start w:val="1"/>
      <w:numFmt w:val="bullet"/>
      <w:lvlText w:val="o"/>
      <w:lvlJc w:val="left"/>
      <w:pPr>
        <w:ind w:left="5760" w:hanging="360"/>
      </w:pPr>
      <w:rPr>
        <w:rFonts w:ascii="Courier New" w:hAnsi="Courier New" w:hint="default"/>
      </w:rPr>
    </w:lvl>
    <w:lvl w:ilvl="8" w:tplc="F25C65B0">
      <w:start w:val="1"/>
      <w:numFmt w:val="bullet"/>
      <w:lvlText w:val=""/>
      <w:lvlJc w:val="left"/>
      <w:pPr>
        <w:ind w:left="6480" w:hanging="360"/>
      </w:pPr>
      <w:rPr>
        <w:rFonts w:ascii="Wingdings" w:hAnsi="Wingdings" w:hint="default"/>
      </w:rPr>
    </w:lvl>
  </w:abstractNum>
  <w:abstractNum w:abstractNumId="66" w15:restartNumberingAfterBreak="0">
    <w:nsid w:val="409D19DB"/>
    <w:multiLevelType w:val="hybridMultilevel"/>
    <w:tmpl w:val="58286964"/>
    <w:lvl w:ilvl="0" w:tplc="7BDE57FA">
      <w:start w:val="1"/>
      <w:numFmt w:val="decimal"/>
      <w:lvlText w:val="%1)"/>
      <w:lvlJc w:val="left"/>
      <w:pPr>
        <w:ind w:left="720" w:hanging="360"/>
      </w:pPr>
    </w:lvl>
    <w:lvl w:ilvl="1" w:tplc="70A4A848">
      <w:start w:val="1"/>
      <w:numFmt w:val="decimal"/>
      <w:lvlText w:val="%2)"/>
      <w:lvlJc w:val="left"/>
      <w:pPr>
        <w:ind w:left="720" w:hanging="360"/>
      </w:pPr>
    </w:lvl>
    <w:lvl w:ilvl="2" w:tplc="75B893D8">
      <w:start w:val="1"/>
      <w:numFmt w:val="decimal"/>
      <w:lvlText w:val="%3)"/>
      <w:lvlJc w:val="left"/>
      <w:pPr>
        <w:ind w:left="720" w:hanging="360"/>
      </w:pPr>
    </w:lvl>
    <w:lvl w:ilvl="3" w:tplc="70F26FA6">
      <w:start w:val="1"/>
      <w:numFmt w:val="decimal"/>
      <w:lvlText w:val="%4)"/>
      <w:lvlJc w:val="left"/>
      <w:pPr>
        <w:ind w:left="720" w:hanging="360"/>
      </w:pPr>
    </w:lvl>
    <w:lvl w:ilvl="4" w:tplc="B1BAB458">
      <w:start w:val="1"/>
      <w:numFmt w:val="decimal"/>
      <w:lvlText w:val="%5)"/>
      <w:lvlJc w:val="left"/>
      <w:pPr>
        <w:ind w:left="720" w:hanging="360"/>
      </w:pPr>
    </w:lvl>
    <w:lvl w:ilvl="5" w:tplc="28F6C584">
      <w:start w:val="1"/>
      <w:numFmt w:val="decimal"/>
      <w:lvlText w:val="%6)"/>
      <w:lvlJc w:val="left"/>
      <w:pPr>
        <w:ind w:left="720" w:hanging="360"/>
      </w:pPr>
    </w:lvl>
    <w:lvl w:ilvl="6" w:tplc="006EBC14">
      <w:start w:val="1"/>
      <w:numFmt w:val="decimal"/>
      <w:lvlText w:val="%7)"/>
      <w:lvlJc w:val="left"/>
      <w:pPr>
        <w:ind w:left="720" w:hanging="360"/>
      </w:pPr>
    </w:lvl>
    <w:lvl w:ilvl="7" w:tplc="E0C0EB02">
      <w:start w:val="1"/>
      <w:numFmt w:val="decimal"/>
      <w:lvlText w:val="%8)"/>
      <w:lvlJc w:val="left"/>
      <w:pPr>
        <w:ind w:left="720" w:hanging="360"/>
      </w:pPr>
    </w:lvl>
    <w:lvl w:ilvl="8" w:tplc="3038376A">
      <w:start w:val="1"/>
      <w:numFmt w:val="decimal"/>
      <w:lvlText w:val="%9)"/>
      <w:lvlJc w:val="left"/>
      <w:pPr>
        <w:ind w:left="720" w:hanging="360"/>
      </w:pPr>
    </w:lvl>
  </w:abstractNum>
  <w:abstractNum w:abstractNumId="67" w15:restartNumberingAfterBreak="0">
    <w:nsid w:val="42044D19"/>
    <w:multiLevelType w:val="hybridMultilevel"/>
    <w:tmpl w:val="215293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42A90ACE"/>
    <w:multiLevelType w:val="hybridMultilevel"/>
    <w:tmpl w:val="5AB08910"/>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43B0002B"/>
    <w:multiLevelType w:val="hybridMultilevel"/>
    <w:tmpl w:val="56348432"/>
    <w:lvl w:ilvl="0" w:tplc="F9024D12">
      <w:start w:val="1"/>
      <w:numFmt w:val="bullet"/>
      <w:lvlText w:val=""/>
      <w:lvlJc w:val="left"/>
      <w:pPr>
        <w:ind w:left="720" w:hanging="360"/>
      </w:pPr>
      <w:rPr>
        <w:rFonts w:ascii="Symbol" w:hAnsi="Symbol"/>
      </w:rPr>
    </w:lvl>
    <w:lvl w:ilvl="1" w:tplc="1DC20EFE">
      <w:start w:val="1"/>
      <w:numFmt w:val="bullet"/>
      <w:lvlText w:val=""/>
      <w:lvlJc w:val="left"/>
      <w:pPr>
        <w:ind w:left="720" w:hanging="360"/>
      </w:pPr>
      <w:rPr>
        <w:rFonts w:ascii="Symbol" w:hAnsi="Symbol"/>
      </w:rPr>
    </w:lvl>
    <w:lvl w:ilvl="2" w:tplc="91DE7356">
      <w:start w:val="1"/>
      <w:numFmt w:val="bullet"/>
      <w:lvlText w:val=""/>
      <w:lvlJc w:val="left"/>
      <w:pPr>
        <w:ind w:left="720" w:hanging="360"/>
      </w:pPr>
      <w:rPr>
        <w:rFonts w:ascii="Symbol" w:hAnsi="Symbol"/>
      </w:rPr>
    </w:lvl>
    <w:lvl w:ilvl="3" w:tplc="1B9C97A0">
      <w:start w:val="1"/>
      <w:numFmt w:val="bullet"/>
      <w:lvlText w:val=""/>
      <w:lvlJc w:val="left"/>
      <w:pPr>
        <w:ind w:left="720" w:hanging="360"/>
      </w:pPr>
      <w:rPr>
        <w:rFonts w:ascii="Symbol" w:hAnsi="Symbol"/>
      </w:rPr>
    </w:lvl>
    <w:lvl w:ilvl="4" w:tplc="85442476">
      <w:start w:val="1"/>
      <w:numFmt w:val="bullet"/>
      <w:lvlText w:val=""/>
      <w:lvlJc w:val="left"/>
      <w:pPr>
        <w:ind w:left="720" w:hanging="360"/>
      </w:pPr>
      <w:rPr>
        <w:rFonts w:ascii="Symbol" w:hAnsi="Symbol"/>
      </w:rPr>
    </w:lvl>
    <w:lvl w:ilvl="5" w:tplc="2A820504">
      <w:start w:val="1"/>
      <w:numFmt w:val="bullet"/>
      <w:lvlText w:val=""/>
      <w:lvlJc w:val="left"/>
      <w:pPr>
        <w:ind w:left="720" w:hanging="360"/>
      </w:pPr>
      <w:rPr>
        <w:rFonts w:ascii="Symbol" w:hAnsi="Symbol"/>
      </w:rPr>
    </w:lvl>
    <w:lvl w:ilvl="6" w:tplc="D49C0734">
      <w:start w:val="1"/>
      <w:numFmt w:val="bullet"/>
      <w:lvlText w:val=""/>
      <w:lvlJc w:val="left"/>
      <w:pPr>
        <w:ind w:left="720" w:hanging="360"/>
      </w:pPr>
      <w:rPr>
        <w:rFonts w:ascii="Symbol" w:hAnsi="Symbol"/>
      </w:rPr>
    </w:lvl>
    <w:lvl w:ilvl="7" w:tplc="BB506910">
      <w:start w:val="1"/>
      <w:numFmt w:val="bullet"/>
      <w:lvlText w:val=""/>
      <w:lvlJc w:val="left"/>
      <w:pPr>
        <w:ind w:left="720" w:hanging="360"/>
      </w:pPr>
      <w:rPr>
        <w:rFonts w:ascii="Symbol" w:hAnsi="Symbol"/>
      </w:rPr>
    </w:lvl>
    <w:lvl w:ilvl="8" w:tplc="FD7621D8">
      <w:start w:val="1"/>
      <w:numFmt w:val="bullet"/>
      <w:lvlText w:val=""/>
      <w:lvlJc w:val="left"/>
      <w:pPr>
        <w:ind w:left="720" w:hanging="360"/>
      </w:pPr>
      <w:rPr>
        <w:rFonts w:ascii="Symbol" w:hAnsi="Symbol"/>
      </w:rPr>
    </w:lvl>
  </w:abstractNum>
  <w:abstractNum w:abstractNumId="70" w15:restartNumberingAfterBreak="0">
    <w:nsid w:val="45045E73"/>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1" w15:restartNumberingAfterBreak="0">
    <w:nsid w:val="46891A53"/>
    <w:multiLevelType w:val="hybridMultilevel"/>
    <w:tmpl w:val="FFFFFFFF"/>
    <w:lvl w:ilvl="0" w:tplc="5A0CF546">
      <w:start w:val="1"/>
      <w:numFmt w:val="bullet"/>
      <w:lvlText w:val="–"/>
      <w:lvlJc w:val="left"/>
      <w:pPr>
        <w:ind w:left="720" w:hanging="360"/>
      </w:pPr>
      <w:rPr>
        <w:rFonts w:ascii="Calibri" w:hAnsi="Calibri" w:hint="default"/>
      </w:rPr>
    </w:lvl>
    <w:lvl w:ilvl="1" w:tplc="20E8D91C">
      <w:start w:val="1"/>
      <w:numFmt w:val="bullet"/>
      <w:lvlText w:val="o"/>
      <w:lvlJc w:val="left"/>
      <w:pPr>
        <w:ind w:left="1440" w:hanging="360"/>
      </w:pPr>
      <w:rPr>
        <w:rFonts w:ascii="Courier New" w:hAnsi="Courier New" w:hint="default"/>
      </w:rPr>
    </w:lvl>
    <w:lvl w:ilvl="2" w:tplc="A28EBCCC">
      <w:start w:val="1"/>
      <w:numFmt w:val="bullet"/>
      <w:lvlText w:val=""/>
      <w:lvlJc w:val="left"/>
      <w:pPr>
        <w:ind w:left="2160" w:hanging="360"/>
      </w:pPr>
      <w:rPr>
        <w:rFonts w:ascii="Wingdings" w:hAnsi="Wingdings" w:hint="default"/>
      </w:rPr>
    </w:lvl>
    <w:lvl w:ilvl="3" w:tplc="6D3E7BB6">
      <w:start w:val="1"/>
      <w:numFmt w:val="bullet"/>
      <w:lvlText w:val=""/>
      <w:lvlJc w:val="left"/>
      <w:pPr>
        <w:ind w:left="2880" w:hanging="360"/>
      </w:pPr>
      <w:rPr>
        <w:rFonts w:ascii="Symbol" w:hAnsi="Symbol" w:hint="default"/>
      </w:rPr>
    </w:lvl>
    <w:lvl w:ilvl="4" w:tplc="7EBC7DC6">
      <w:start w:val="1"/>
      <w:numFmt w:val="bullet"/>
      <w:lvlText w:val="o"/>
      <w:lvlJc w:val="left"/>
      <w:pPr>
        <w:ind w:left="3600" w:hanging="360"/>
      </w:pPr>
      <w:rPr>
        <w:rFonts w:ascii="Courier New" w:hAnsi="Courier New" w:hint="default"/>
      </w:rPr>
    </w:lvl>
    <w:lvl w:ilvl="5" w:tplc="7EFE473A">
      <w:start w:val="1"/>
      <w:numFmt w:val="bullet"/>
      <w:lvlText w:val=""/>
      <w:lvlJc w:val="left"/>
      <w:pPr>
        <w:ind w:left="4320" w:hanging="360"/>
      </w:pPr>
      <w:rPr>
        <w:rFonts w:ascii="Wingdings" w:hAnsi="Wingdings" w:hint="default"/>
      </w:rPr>
    </w:lvl>
    <w:lvl w:ilvl="6" w:tplc="CAA6BCA4">
      <w:start w:val="1"/>
      <w:numFmt w:val="bullet"/>
      <w:lvlText w:val=""/>
      <w:lvlJc w:val="left"/>
      <w:pPr>
        <w:ind w:left="5040" w:hanging="360"/>
      </w:pPr>
      <w:rPr>
        <w:rFonts w:ascii="Symbol" w:hAnsi="Symbol" w:hint="default"/>
      </w:rPr>
    </w:lvl>
    <w:lvl w:ilvl="7" w:tplc="5B74DCF2">
      <w:start w:val="1"/>
      <w:numFmt w:val="bullet"/>
      <w:lvlText w:val="o"/>
      <w:lvlJc w:val="left"/>
      <w:pPr>
        <w:ind w:left="5760" w:hanging="360"/>
      </w:pPr>
      <w:rPr>
        <w:rFonts w:ascii="Courier New" w:hAnsi="Courier New" w:hint="default"/>
      </w:rPr>
    </w:lvl>
    <w:lvl w:ilvl="8" w:tplc="E5C8D296">
      <w:start w:val="1"/>
      <w:numFmt w:val="bullet"/>
      <w:lvlText w:val=""/>
      <w:lvlJc w:val="left"/>
      <w:pPr>
        <w:ind w:left="6480" w:hanging="360"/>
      </w:pPr>
      <w:rPr>
        <w:rFonts w:ascii="Wingdings" w:hAnsi="Wingdings" w:hint="default"/>
      </w:rPr>
    </w:lvl>
  </w:abstractNum>
  <w:abstractNum w:abstractNumId="72" w15:restartNumberingAfterBreak="0">
    <w:nsid w:val="4830F3F5"/>
    <w:multiLevelType w:val="hybridMultilevel"/>
    <w:tmpl w:val="FFFFFFFF"/>
    <w:lvl w:ilvl="0" w:tplc="F07A3E3C">
      <w:start w:val="1"/>
      <w:numFmt w:val="bullet"/>
      <w:lvlText w:val="·"/>
      <w:lvlJc w:val="left"/>
      <w:pPr>
        <w:ind w:left="720" w:hanging="360"/>
      </w:pPr>
      <w:rPr>
        <w:rFonts w:ascii="Symbol" w:hAnsi="Symbol" w:hint="default"/>
      </w:rPr>
    </w:lvl>
    <w:lvl w:ilvl="1" w:tplc="137030C0">
      <w:start w:val="1"/>
      <w:numFmt w:val="bullet"/>
      <w:lvlText w:val="o"/>
      <w:lvlJc w:val="left"/>
      <w:pPr>
        <w:ind w:left="1440" w:hanging="360"/>
      </w:pPr>
      <w:rPr>
        <w:rFonts w:ascii="Courier New" w:hAnsi="Courier New" w:hint="default"/>
      </w:rPr>
    </w:lvl>
    <w:lvl w:ilvl="2" w:tplc="826CDD16">
      <w:start w:val="1"/>
      <w:numFmt w:val="bullet"/>
      <w:lvlText w:val=""/>
      <w:lvlJc w:val="left"/>
      <w:pPr>
        <w:ind w:left="2160" w:hanging="360"/>
      </w:pPr>
      <w:rPr>
        <w:rFonts w:ascii="Wingdings" w:hAnsi="Wingdings" w:hint="default"/>
      </w:rPr>
    </w:lvl>
    <w:lvl w:ilvl="3" w:tplc="43C8D2EC">
      <w:start w:val="1"/>
      <w:numFmt w:val="bullet"/>
      <w:lvlText w:val=""/>
      <w:lvlJc w:val="left"/>
      <w:pPr>
        <w:ind w:left="2880" w:hanging="360"/>
      </w:pPr>
      <w:rPr>
        <w:rFonts w:ascii="Symbol" w:hAnsi="Symbol" w:hint="default"/>
      </w:rPr>
    </w:lvl>
    <w:lvl w:ilvl="4" w:tplc="3A042554">
      <w:start w:val="1"/>
      <w:numFmt w:val="bullet"/>
      <w:lvlText w:val="o"/>
      <w:lvlJc w:val="left"/>
      <w:pPr>
        <w:ind w:left="3600" w:hanging="360"/>
      </w:pPr>
      <w:rPr>
        <w:rFonts w:ascii="Courier New" w:hAnsi="Courier New" w:hint="default"/>
      </w:rPr>
    </w:lvl>
    <w:lvl w:ilvl="5" w:tplc="72E4238A">
      <w:start w:val="1"/>
      <w:numFmt w:val="bullet"/>
      <w:lvlText w:val=""/>
      <w:lvlJc w:val="left"/>
      <w:pPr>
        <w:ind w:left="4320" w:hanging="360"/>
      </w:pPr>
      <w:rPr>
        <w:rFonts w:ascii="Wingdings" w:hAnsi="Wingdings" w:hint="default"/>
      </w:rPr>
    </w:lvl>
    <w:lvl w:ilvl="6" w:tplc="BC686E64">
      <w:start w:val="1"/>
      <w:numFmt w:val="bullet"/>
      <w:lvlText w:val=""/>
      <w:lvlJc w:val="left"/>
      <w:pPr>
        <w:ind w:left="5040" w:hanging="360"/>
      </w:pPr>
      <w:rPr>
        <w:rFonts w:ascii="Symbol" w:hAnsi="Symbol" w:hint="default"/>
      </w:rPr>
    </w:lvl>
    <w:lvl w:ilvl="7" w:tplc="85B025DA">
      <w:start w:val="1"/>
      <w:numFmt w:val="bullet"/>
      <w:lvlText w:val="o"/>
      <w:lvlJc w:val="left"/>
      <w:pPr>
        <w:ind w:left="5760" w:hanging="360"/>
      </w:pPr>
      <w:rPr>
        <w:rFonts w:ascii="Courier New" w:hAnsi="Courier New" w:hint="default"/>
      </w:rPr>
    </w:lvl>
    <w:lvl w:ilvl="8" w:tplc="94F0468C">
      <w:start w:val="1"/>
      <w:numFmt w:val="bullet"/>
      <w:lvlText w:val=""/>
      <w:lvlJc w:val="left"/>
      <w:pPr>
        <w:ind w:left="6480" w:hanging="360"/>
      </w:pPr>
      <w:rPr>
        <w:rFonts w:ascii="Wingdings" w:hAnsi="Wingdings" w:hint="default"/>
      </w:rPr>
    </w:lvl>
  </w:abstractNum>
  <w:abstractNum w:abstractNumId="73" w15:restartNumberingAfterBreak="0">
    <w:nsid w:val="48C33402"/>
    <w:multiLevelType w:val="hybridMultilevel"/>
    <w:tmpl w:val="CCC40CF2"/>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4" w15:restartNumberingAfterBreak="0">
    <w:nsid w:val="49C74C7B"/>
    <w:multiLevelType w:val="hybridMultilevel"/>
    <w:tmpl w:val="FFFFFFFF"/>
    <w:lvl w:ilvl="0" w:tplc="382422A4">
      <w:start w:val="1"/>
      <w:numFmt w:val="decimal"/>
      <w:lvlText w:val="(0)"/>
      <w:lvlJc w:val="left"/>
      <w:pPr>
        <w:ind w:left="720" w:hanging="360"/>
      </w:pPr>
    </w:lvl>
    <w:lvl w:ilvl="1" w:tplc="4148F580">
      <w:start w:val="1"/>
      <w:numFmt w:val="lowerLetter"/>
      <w:lvlText w:val="%2."/>
      <w:lvlJc w:val="left"/>
      <w:pPr>
        <w:ind w:left="1440" w:hanging="360"/>
      </w:pPr>
    </w:lvl>
    <w:lvl w:ilvl="2" w:tplc="DEEC9168">
      <w:start w:val="1"/>
      <w:numFmt w:val="lowerRoman"/>
      <w:lvlText w:val="%3."/>
      <w:lvlJc w:val="right"/>
      <w:pPr>
        <w:ind w:left="2160" w:hanging="180"/>
      </w:pPr>
    </w:lvl>
    <w:lvl w:ilvl="3" w:tplc="D20460A2">
      <w:start w:val="1"/>
      <w:numFmt w:val="decimal"/>
      <w:lvlText w:val="%4."/>
      <w:lvlJc w:val="left"/>
      <w:pPr>
        <w:ind w:left="2880" w:hanging="360"/>
      </w:pPr>
    </w:lvl>
    <w:lvl w:ilvl="4" w:tplc="8D88469E">
      <w:start w:val="1"/>
      <w:numFmt w:val="lowerLetter"/>
      <w:lvlText w:val="%5."/>
      <w:lvlJc w:val="left"/>
      <w:pPr>
        <w:ind w:left="3600" w:hanging="360"/>
      </w:pPr>
    </w:lvl>
    <w:lvl w:ilvl="5" w:tplc="9BAEF60C">
      <w:start w:val="1"/>
      <w:numFmt w:val="lowerRoman"/>
      <w:lvlText w:val="%6."/>
      <w:lvlJc w:val="right"/>
      <w:pPr>
        <w:ind w:left="4320" w:hanging="180"/>
      </w:pPr>
    </w:lvl>
    <w:lvl w:ilvl="6" w:tplc="BAE0DCD0">
      <w:start w:val="1"/>
      <w:numFmt w:val="decimal"/>
      <w:lvlText w:val="%7."/>
      <w:lvlJc w:val="left"/>
      <w:pPr>
        <w:ind w:left="5040" w:hanging="360"/>
      </w:pPr>
    </w:lvl>
    <w:lvl w:ilvl="7" w:tplc="BE08EBE0">
      <w:start w:val="1"/>
      <w:numFmt w:val="lowerLetter"/>
      <w:lvlText w:val="%8."/>
      <w:lvlJc w:val="left"/>
      <w:pPr>
        <w:ind w:left="5760" w:hanging="360"/>
      </w:pPr>
    </w:lvl>
    <w:lvl w:ilvl="8" w:tplc="A7FCFA48">
      <w:start w:val="1"/>
      <w:numFmt w:val="lowerRoman"/>
      <w:lvlText w:val="%9."/>
      <w:lvlJc w:val="right"/>
      <w:pPr>
        <w:ind w:left="6480" w:hanging="180"/>
      </w:pPr>
    </w:lvl>
  </w:abstractNum>
  <w:abstractNum w:abstractNumId="75" w15:restartNumberingAfterBreak="0">
    <w:nsid w:val="4AD515DB"/>
    <w:multiLevelType w:val="hybridMultilevel"/>
    <w:tmpl w:val="8822E1C0"/>
    <w:lvl w:ilvl="0" w:tplc="0130E8A8">
      <w:start w:val="1"/>
      <w:numFmt w:val="bullet"/>
      <w:lvlText w:val=""/>
      <w:lvlJc w:val="left"/>
      <w:pPr>
        <w:ind w:left="720" w:hanging="360"/>
      </w:pPr>
      <w:rPr>
        <w:rFonts w:ascii="Symbol" w:hAnsi="Symbol" w:hint="default"/>
      </w:rPr>
    </w:lvl>
    <w:lvl w:ilvl="1" w:tplc="1D140346" w:tentative="1">
      <w:start w:val="1"/>
      <w:numFmt w:val="bullet"/>
      <w:lvlText w:val="o"/>
      <w:lvlJc w:val="left"/>
      <w:pPr>
        <w:ind w:left="1440" w:hanging="360"/>
      </w:pPr>
      <w:rPr>
        <w:rFonts w:ascii="Courier New" w:hAnsi="Courier New" w:hint="default"/>
      </w:rPr>
    </w:lvl>
    <w:lvl w:ilvl="2" w:tplc="017EA2BA" w:tentative="1">
      <w:start w:val="1"/>
      <w:numFmt w:val="bullet"/>
      <w:lvlText w:val=""/>
      <w:lvlJc w:val="left"/>
      <w:pPr>
        <w:ind w:left="2160" w:hanging="360"/>
      </w:pPr>
      <w:rPr>
        <w:rFonts w:ascii="Wingdings" w:hAnsi="Wingdings" w:hint="default"/>
      </w:rPr>
    </w:lvl>
    <w:lvl w:ilvl="3" w:tplc="55A630BA" w:tentative="1">
      <w:start w:val="1"/>
      <w:numFmt w:val="bullet"/>
      <w:lvlText w:val=""/>
      <w:lvlJc w:val="left"/>
      <w:pPr>
        <w:ind w:left="2880" w:hanging="360"/>
      </w:pPr>
      <w:rPr>
        <w:rFonts w:ascii="Symbol" w:hAnsi="Symbol" w:hint="default"/>
      </w:rPr>
    </w:lvl>
    <w:lvl w:ilvl="4" w:tplc="D2B61CB0" w:tentative="1">
      <w:start w:val="1"/>
      <w:numFmt w:val="bullet"/>
      <w:lvlText w:val="o"/>
      <w:lvlJc w:val="left"/>
      <w:pPr>
        <w:ind w:left="3600" w:hanging="360"/>
      </w:pPr>
      <w:rPr>
        <w:rFonts w:ascii="Courier New" w:hAnsi="Courier New" w:hint="default"/>
      </w:rPr>
    </w:lvl>
    <w:lvl w:ilvl="5" w:tplc="F2322B4A" w:tentative="1">
      <w:start w:val="1"/>
      <w:numFmt w:val="bullet"/>
      <w:lvlText w:val=""/>
      <w:lvlJc w:val="left"/>
      <w:pPr>
        <w:ind w:left="4320" w:hanging="360"/>
      </w:pPr>
      <w:rPr>
        <w:rFonts w:ascii="Wingdings" w:hAnsi="Wingdings" w:hint="default"/>
      </w:rPr>
    </w:lvl>
    <w:lvl w:ilvl="6" w:tplc="449C9B86" w:tentative="1">
      <w:start w:val="1"/>
      <w:numFmt w:val="bullet"/>
      <w:lvlText w:val=""/>
      <w:lvlJc w:val="left"/>
      <w:pPr>
        <w:ind w:left="5040" w:hanging="360"/>
      </w:pPr>
      <w:rPr>
        <w:rFonts w:ascii="Symbol" w:hAnsi="Symbol" w:hint="default"/>
      </w:rPr>
    </w:lvl>
    <w:lvl w:ilvl="7" w:tplc="14F0C41E" w:tentative="1">
      <w:start w:val="1"/>
      <w:numFmt w:val="bullet"/>
      <w:lvlText w:val="o"/>
      <w:lvlJc w:val="left"/>
      <w:pPr>
        <w:ind w:left="5760" w:hanging="360"/>
      </w:pPr>
      <w:rPr>
        <w:rFonts w:ascii="Courier New" w:hAnsi="Courier New" w:hint="default"/>
      </w:rPr>
    </w:lvl>
    <w:lvl w:ilvl="8" w:tplc="551EE6CC" w:tentative="1">
      <w:start w:val="1"/>
      <w:numFmt w:val="bullet"/>
      <w:lvlText w:val=""/>
      <w:lvlJc w:val="left"/>
      <w:pPr>
        <w:ind w:left="6480" w:hanging="360"/>
      </w:pPr>
      <w:rPr>
        <w:rFonts w:ascii="Wingdings" w:hAnsi="Wingdings" w:hint="default"/>
      </w:rPr>
    </w:lvl>
  </w:abstractNum>
  <w:abstractNum w:abstractNumId="76" w15:restartNumberingAfterBreak="0">
    <w:nsid w:val="4B135C96"/>
    <w:multiLevelType w:val="hybridMultilevel"/>
    <w:tmpl w:val="4DEE317C"/>
    <w:lvl w:ilvl="0" w:tplc="2C423866">
      <w:start w:val="1"/>
      <w:numFmt w:val="bullet"/>
      <w:lvlText w:val=""/>
      <w:lvlJc w:val="left"/>
      <w:pPr>
        <w:ind w:left="720" w:hanging="360"/>
      </w:pPr>
      <w:rPr>
        <w:rFonts w:ascii="Symbol" w:hAnsi="Symbol" w:hint="default"/>
        <w:u w:val="none"/>
      </w:rPr>
    </w:lvl>
    <w:lvl w:ilvl="1" w:tplc="F6EEA62C" w:tentative="1">
      <w:start w:val="1"/>
      <w:numFmt w:val="bullet"/>
      <w:lvlText w:val="o"/>
      <w:lvlJc w:val="left"/>
      <w:pPr>
        <w:ind w:left="1440" w:hanging="360"/>
      </w:pPr>
      <w:rPr>
        <w:rFonts w:ascii="Courier New" w:hAnsi="Courier New" w:hint="default"/>
      </w:rPr>
    </w:lvl>
    <w:lvl w:ilvl="2" w:tplc="6B6A5208" w:tentative="1">
      <w:start w:val="1"/>
      <w:numFmt w:val="bullet"/>
      <w:lvlText w:val=""/>
      <w:lvlJc w:val="left"/>
      <w:pPr>
        <w:ind w:left="2160" w:hanging="360"/>
      </w:pPr>
      <w:rPr>
        <w:rFonts w:ascii="Wingdings" w:hAnsi="Wingdings" w:hint="default"/>
      </w:rPr>
    </w:lvl>
    <w:lvl w:ilvl="3" w:tplc="7216443E" w:tentative="1">
      <w:start w:val="1"/>
      <w:numFmt w:val="bullet"/>
      <w:lvlText w:val=""/>
      <w:lvlJc w:val="left"/>
      <w:pPr>
        <w:ind w:left="2880" w:hanging="360"/>
      </w:pPr>
      <w:rPr>
        <w:rFonts w:ascii="Symbol" w:hAnsi="Symbol" w:hint="default"/>
      </w:rPr>
    </w:lvl>
    <w:lvl w:ilvl="4" w:tplc="69D6D724" w:tentative="1">
      <w:start w:val="1"/>
      <w:numFmt w:val="bullet"/>
      <w:lvlText w:val="o"/>
      <w:lvlJc w:val="left"/>
      <w:pPr>
        <w:ind w:left="3600" w:hanging="360"/>
      </w:pPr>
      <w:rPr>
        <w:rFonts w:ascii="Courier New" w:hAnsi="Courier New" w:hint="default"/>
      </w:rPr>
    </w:lvl>
    <w:lvl w:ilvl="5" w:tplc="0068D95E" w:tentative="1">
      <w:start w:val="1"/>
      <w:numFmt w:val="bullet"/>
      <w:lvlText w:val=""/>
      <w:lvlJc w:val="left"/>
      <w:pPr>
        <w:ind w:left="4320" w:hanging="360"/>
      </w:pPr>
      <w:rPr>
        <w:rFonts w:ascii="Wingdings" w:hAnsi="Wingdings" w:hint="default"/>
      </w:rPr>
    </w:lvl>
    <w:lvl w:ilvl="6" w:tplc="64A0C000" w:tentative="1">
      <w:start w:val="1"/>
      <w:numFmt w:val="bullet"/>
      <w:lvlText w:val=""/>
      <w:lvlJc w:val="left"/>
      <w:pPr>
        <w:ind w:left="5040" w:hanging="360"/>
      </w:pPr>
      <w:rPr>
        <w:rFonts w:ascii="Symbol" w:hAnsi="Symbol" w:hint="default"/>
      </w:rPr>
    </w:lvl>
    <w:lvl w:ilvl="7" w:tplc="79BA35C2" w:tentative="1">
      <w:start w:val="1"/>
      <w:numFmt w:val="bullet"/>
      <w:lvlText w:val="o"/>
      <w:lvlJc w:val="left"/>
      <w:pPr>
        <w:ind w:left="5760" w:hanging="360"/>
      </w:pPr>
      <w:rPr>
        <w:rFonts w:ascii="Courier New" w:hAnsi="Courier New" w:hint="default"/>
      </w:rPr>
    </w:lvl>
    <w:lvl w:ilvl="8" w:tplc="E5987590" w:tentative="1">
      <w:start w:val="1"/>
      <w:numFmt w:val="bullet"/>
      <w:lvlText w:val=""/>
      <w:lvlJc w:val="left"/>
      <w:pPr>
        <w:ind w:left="6480" w:hanging="360"/>
      </w:pPr>
      <w:rPr>
        <w:rFonts w:ascii="Wingdings" w:hAnsi="Wingdings" w:hint="default"/>
      </w:rPr>
    </w:lvl>
  </w:abstractNum>
  <w:abstractNum w:abstractNumId="77" w15:restartNumberingAfterBreak="0">
    <w:nsid w:val="4B566542"/>
    <w:multiLevelType w:val="hybridMultilevel"/>
    <w:tmpl w:val="B034661E"/>
    <w:lvl w:ilvl="0" w:tplc="E8BE7EAE">
      <w:start w:val="1"/>
      <w:numFmt w:val="decimal"/>
      <w:lvlText w:val="%1)"/>
      <w:lvlJc w:val="left"/>
      <w:pPr>
        <w:ind w:left="1020" w:hanging="360"/>
      </w:pPr>
    </w:lvl>
    <w:lvl w:ilvl="1" w:tplc="37FAE776">
      <w:start w:val="1"/>
      <w:numFmt w:val="decimal"/>
      <w:lvlText w:val="%2)"/>
      <w:lvlJc w:val="left"/>
      <w:pPr>
        <w:ind w:left="1020" w:hanging="360"/>
      </w:pPr>
    </w:lvl>
    <w:lvl w:ilvl="2" w:tplc="39ACCBAC">
      <w:start w:val="1"/>
      <w:numFmt w:val="decimal"/>
      <w:lvlText w:val="%3)"/>
      <w:lvlJc w:val="left"/>
      <w:pPr>
        <w:ind w:left="1020" w:hanging="360"/>
      </w:pPr>
    </w:lvl>
    <w:lvl w:ilvl="3" w:tplc="0CE06B44">
      <w:start w:val="1"/>
      <w:numFmt w:val="decimal"/>
      <w:lvlText w:val="%4)"/>
      <w:lvlJc w:val="left"/>
      <w:pPr>
        <w:ind w:left="1020" w:hanging="360"/>
      </w:pPr>
    </w:lvl>
    <w:lvl w:ilvl="4" w:tplc="8A346848">
      <w:start w:val="1"/>
      <w:numFmt w:val="decimal"/>
      <w:lvlText w:val="%5)"/>
      <w:lvlJc w:val="left"/>
      <w:pPr>
        <w:ind w:left="1020" w:hanging="360"/>
      </w:pPr>
    </w:lvl>
    <w:lvl w:ilvl="5" w:tplc="F586BE3E">
      <w:start w:val="1"/>
      <w:numFmt w:val="decimal"/>
      <w:lvlText w:val="%6)"/>
      <w:lvlJc w:val="left"/>
      <w:pPr>
        <w:ind w:left="1020" w:hanging="360"/>
      </w:pPr>
    </w:lvl>
    <w:lvl w:ilvl="6" w:tplc="D30A9CEC">
      <w:start w:val="1"/>
      <w:numFmt w:val="decimal"/>
      <w:lvlText w:val="%7)"/>
      <w:lvlJc w:val="left"/>
      <w:pPr>
        <w:ind w:left="1020" w:hanging="360"/>
      </w:pPr>
    </w:lvl>
    <w:lvl w:ilvl="7" w:tplc="9C8E9322">
      <w:start w:val="1"/>
      <w:numFmt w:val="decimal"/>
      <w:lvlText w:val="%8)"/>
      <w:lvlJc w:val="left"/>
      <w:pPr>
        <w:ind w:left="1020" w:hanging="360"/>
      </w:pPr>
    </w:lvl>
    <w:lvl w:ilvl="8" w:tplc="F8D4968E">
      <w:start w:val="1"/>
      <w:numFmt w:val="decimal"/>
      <w:lvlText w:val="%9)"/>
      <w:lvlJc w:val="left"/>
      <w:pPr>
        <w:ind w:left="1020" w:hanging="360"/>
      </w:pPr>
    </w:lvl>
  </w:abstractNum>
  <w:abstractNum w:abstractNumId="78" w15:restartNumberingAfterBreak="0">
    <w:nsid w:val="4B68256D"/>
    <w:multiLevelType w:val="hybridMultilevel"/>
    <w:tmpl w:val="DC240F36"/>
    <w:lvl w:ilvl="0" w:tplc="D6C24810">
      <w:start w:val="1"/>
      <w:numFmt w:val="bullet"/>
      <w:lvlText w:val=""/>
      <w:lvlJc w:val="left"/>
      <w:pPr>
        <w:ind w:left="360" w:hanging="360"/>
      </w:pPr>
      <w:rPr>
        <w:rFonts w:ascii="Symbol" w:hAnsi="Symbol" w:hint="default"/>
      </w:rPr>
    </w:lvl>
    <w:lvl w:ilvl="1" w:tplc="DCD8E130">
      <w:start w:val="1"/>
      <w:numFmt w:val="bullet"/>
      <w:lvlText w:val="o"/>
      <w:lvlJc w:val="left"/>
      <w:pPr>
        <w:ind w:left="1080" w:hanging="360"/>
      </w:pPr>
      <w:rPr>
        <w:rFonts w:ascii="Courier New" w:hAnsi="Courier New" w:hint="default"/>
      </w:rPr>
    </w:lvl>
    <w:lvl w:ilvl="2" w:tplc="ADBA299C">
      <w:start w:val="1"/>
      <w:numFmt w:val="bullet"/>
      <w:lvlText w:val=""/>
      <w:lvlJc w:val="left"/>
      <w:pPr>
        <w:ind w:left="1800" w:hanging="360"/>
      </w:pPr>
      <w:rPr>
        <w:rFonts w:ascii="Wingdings" w:hAnsi="Wingdings" w:hint="default"/>
      </w:rPr>
    </w:lvl>
    <w:lvl w:ilvl="3" w:tplc="9384BED0">
      <w:start w:val="1"/>
      <w:numFmt w:val="bullet"/>
      <w:lvlText w:val=""/>
      <w:lvlJc w:val="left"/>
      <w:pPr>
        <w:ind w:left="2520" w:hanging="360"/>
      </w:pPr>
      <w:rPr>
        <w:rFonts w:ascii="Symbol" w:hAnsi="Symbol" w:hint="default"/>
      </w:rPr>
    </w:lvl>
    <w:lvl w:ilvl="4" w:tplc="AE28A94C">
      <w:start w:val="1"/>
      <w:numFmt w:val="bullet"/>
      <w:lvlText w:val="o"/>
      <w:lvlJc w:val="left"/>
      <w:pPr>
        <w:ind w:left="3240" w:hanging="360"/>
      </w:pPr>
      <w:rPr>
        <w:rFonts w:ascii="Courier New" w:hAnsi="Courier New" w:hint="default"/>
      </w:rPr>
    </w:lvl>
    <w:lvl w:ilvl="5" w:tplc="457AA764">
      <w:start w:val="1"/>
      <w:numFmt w:val="bullet"/>
      <w:lvlText w:val=""/>
      <w:lvlJc w:val="left"/>
      <w:pPr>
        <w:ind w:left="3960" w:hanging="360"/>
      </w:pPr>
      <w:rPr>
        <w:rFonts w:ascii="Wingdings" w:hAnsi="Wingdings" w:hint="default"/>
      </w:rPr>
    </w:lvl>
    <w:lvl w:ilvl="6" w:tplc="345AC148">
      <w:start w:val="1"/>
      <w:numFmt w:val="bullet"/>
      <w:lvlText w:val=""/>
      <w:lvlJc w:val="left"/>
      <w:pPr>
        <w:ind w:left="4680" w:hanging="360"/>
      </w:pPr>
      <w:rPr>
        <w:rFonts w:ascii="Symbol" w:hAnsi="Symbol" w:hint="default"/>
      </w:rPr>
    </w:lvl>
    <w:lvl w:ilvl="7" w:tplc="72465622">
      <w:start w:val="1"/>
      <w:numFmt w:val="bullet"/>
      <w:lvlText w:val="o"/>
      <w:lvlJc w:val="left"/>
      <w:pPr>
        <w:ind w:left="5400" w:hanging="360"/>
      </w:pPr>
      <w:rPr>
        <w:rFonts w:ascii="Courier New" w:hAnsi="Courier New" w:hint="default"/>
      </w:rPr>
    </w:lvl>
    <w:lvl w:ilvl="8" w:tplc="C0E23B90">
      <w:start w:val="1"/>
      <w:numFmt w:val="bullet"/>
      <w:lvlText w:val=""/>
      <w:lvlJc w:val="left"/>
      <w:pPr>
        <w:ind w:left="6120" w:hanging="360"/>
      </w:pPr>
      <w:rPr>
        <w:rFonts w:ascii="Wingdings" w:hAnsi="Wingdings" w:hint="default"/>
      </w:rPr>
    </w:lvl>
  </w:abstractNum>
  <w:abstractNum w:abstractNumId="79" w15:restartNumberingAfterBreak="0">
    <w:nsid w:val="4C2C7F7D"/>
    <w:multiLevelType w:val="multilevel"/>
    <w:tmpl w:val="6E1CC58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0" w15:restartNumberingAfterBreak="0">
    <w:nsid w:val="4D002F07"/>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15:restartNumberingAfterBreak="0">
    <w:nsid w:val="4F1B7816"/>
    <w:multiLevelType w:val="hybridMultilevel"/>
    <w:tmpl w:val="63345E82"/>
    <w:lvl w:ilvl="0" w:tplc="D6D8AFAE">
      <w:start w:val="1"/>
      <w:numFmt w:val="bullet"/>
      <w:lvlText w:val=""/>
      <w:lvlJc w:val="left"/>
      <w:pPr>
        <w:ind w:left="720" w:hanging="360"/>
      </w:pPr>
      <w:rPr>
        <w:rFonts w:ascii="Symbol" w:hAnsi="Symbol" w:hint="default"/>
        <w:u w:val="none"/>
      </w:rPr>
    </w:lvl>
    <w:lvl w:ilvl="1" w:tplc="15D03EAA" w:tentative="1">
      <w:start w:val="1"/>
      <w:numFmt w:val="bullet"/>
      <w:lvlText w:val="o"/>
      <w:lvlJc w:val="left"/>
      <w:pPr>
        <w:ind w:left="1440" w:hanging="360"/>
      </w:pPr>
      <w:rPr>
        <w:rFonts w:ascii="Courier New" w:hAnsi="Courier New" w:hint="default"/>
      </w:rPr>
    </w:lvl>
    <w:lvl w:ilvl="2" w:tplc="7DC8E29E" w:tentative="1">
      <w:start w:val="1"/>
      <w:numFmt w:val="bullet"/>
      <w:lvlText w:val=""/>
      <w:lvlJc w:val="left"/>
      <w:pPr>
        <w:ind w:left="2160" w:hanging="360"/>
      </w:pPr>
      <w:rPr>
        <w:rFonts w:ascii="Wingdings" w:hAnsi="Wingdings" w:hint="default"/>
      </w:rPr>
    </w:lvl>
    <w:lvl w:ilvl="3" w:tplc="56F2DD7E" w:tentative="1">
      <w:start w:val="1"/>
      <w:numFmt w:val="bullet"/>
      <w:lvlText w:val=""/>
      <w:lvlJc w:val="left"/>
      <w:pPr>
        <w:ind w:left="2880" w:hanging="360"/>
      </w:pPr>
      <w:rPr>
        <w:rFonts w:ascii="Symbol" w:hAnsi="Symbol" w:hint="default"/>
      </w:rPr>
    </w:lvl>
    <w:lvl w:ilvl="4" w:tplc="C868F516" w:tentative="1">
      <w:start w:val="1"/>
      <w:numFmt w:val="bullet"/>
      <w:lvlText w:val="o"/>
      <w:lvlJc w:val="left"/>
      <w:pPr>
        <w:ind w:left="3600" w:hanging="360"/>
      </w:pPr>
      <w:rPr>
        <w:rFonts w:ascii="Courier New" w:hAnsi="Courier New" w:hint="default"/>
      </w:rPr>
    </w:lvl>
    <w:lvl w:ilvl="5" w:tplc="F1B65EAC" w:tentative="1">
      <w:start w:val="1"/>
      <w:numFmt w:val="bullet"/>
      <w:lvlText w:val=""/>
      <w:lvlJc w:val="left"/>
      <w:pPr>
        <w:ind w:left="4320" w:hanging="360"/>
      </w:pPr>
      <w:rPr>
        <w:rFonts w:ascii="Wingdings" w:hAnsi="Wingdings" w:hint="default"/>
      </w:rPr>
    </w:lvl>
    <w:lvl w:ilvl="6" w:tplc="44FCF2E2" w:tentative="1">
      <w:start w:val="1"/>
      <w:numFmt w:val="bullet"/>
      <w:lvlText w:val=""/>
      <w:lvlJc w:val="left"/>
      <w:pPr>
        <w:ind w:left="5040" w:hanging="360"/>
      </w:pPr>
      <w:rPr>
        <w:rFonts w:ascii="Symbol" w:hAnsi="Symbol" w:hint="default"/>
      </w:rPr>
    </w:lvl>
    <w:lvl w:ilvl="7" w:tplc="4AC28A1A" w:tentative="1">
      <w:start w:val="1"/>
      <w:numFmt w:val="bullet"/>
      <w:lvlText w:val="o"/>
      <w:lvlJc w:val="left"/>
      <w:pPr>
        <w:ind w:left="5760" w:hanging="360"/>
      </w:pPr>
      <w:rPr>
        <w:rFonts w:ascii="Courier New" w:hAnsi="Courier New" w:hint="default"/>
      </w:rPr>
    </w:lvl>
    <w:lvl w:ilvl="8" w:tplc="722EF2D2" w:tentative="1">
      <w:start w:val="1"/>
      <w:numFmt w:val="bullet"/>
      <w:lvlText w:val=""/>
      <w:lvlJc w:val="left"/>
      <w:pPr>
        <w:ind w:left="6480" w:hanging="360"/>
      </w:pPr>
      <w:rPr>
        <w:rFonts w:ascii="Wingdings" w:hAnsi="Wingdings" w:hint="default"/>
      </w:rPr>
    </w:lvl>
  </w:abstractNum>
  <w:abstractNum w:abstractNumId="82" w15:restartNumberingAfterBreak="0">
    <w:nsid w:val="4FC20A0E"/>
    <w:multiLevelType w:val="hybridMultilevel"/>
    <w:tmpl w:val="FFFFFFFF"/>
    <w:lvl w:ilvl="0" w:tplc="524825C0">
      <w:start w:val="1"/>
      <w:numFmt w:val="decimal"/>
      <w:lvlText w:val="%1."/>
      <w:lvlJc w:val="left"/>
      <w:pPr>
        <w:ind w:left="720" w:hanging="360"/>
      </w:pPr>
    </w:lvl>
    <w:lvl w:ilvl="1" w:tplc="999443B4">
      <w:start w:val="1"/>
      <w:numFmt w:val="lowerLetter"/>
      <w:lvlText w:val="%2."/>
      <w:lvlJc w:val="left"/>
      <w:pPr>
        <w:ind w:left="1440" w:hanging="360"/>
      </w:pPr>
    </w:lvl>
    <w:lvl w:ilvl="2" w:tplc="BE94CCFA">
      <w:start w:val="1"/>
      <w:numFmt w:val="lowerRoman"/>
      <w:lvlText w:val="%3."/>
      <w:lvlJc w:val="right"/>
      <w:pPr>
        <w:ind w:left="2160" w:hanging="180"/>
      </w:pPr>
    </w:lvl>
    <w:lvl w:ilvl="3" w:tplc="2F90F684">
      <w:start w:val="1"/>
      <w:numFmt w:val="decimal"/>
      <w:lvlText w:val="%4."/>
      <w:lvlJc w:val="left"/>
      <w:pPr>
        <w:ind w:left="2880" w:hanging="360"/>
      </w:pPr>
    </w:lvl>
    <w:lvl w:ilvl="4" w:tplc="D2B4CBA2">
      <w:start w:val="1"/>
      <w:numFmt w:val="lowerLetter"/>
      <w:lvlText w:val="%5."/>
      <w:lvlJc w:val="left"/>
      <w:pPr>
        <w:ind w:left="3600" w:hanging="360"/>
      </w:pPr>
    </w:lvl>
    <w:lvl w:ilvl="5" w:tplc="AB1E46DE">
      <w:start w:val="1"/>
      <w:numFmt w:val="lowerRoman"/>
      <w:lvlText w:val="%6."/>
      <w:lvlJc w:val="right"/>
      <w:pPr>
        <w:ind w:left="4320" w:hanging="180"/>
      </w:pPr>
    </w:lvl>
    <w:lvl w:ilvl="6" w:tplc="32E4CEE2">
      <w:start w:val="1"/>
      <w:numFmt w:val="decimal"/>
      <w:lvlText w:val="%7."/>
      <w:lvlJc w:val="left"/>
      <w:pPr>
        <w:ind w:left="5040" w:hanging="360"/>
      </w:pPr>
    </w:lvl>
    <w:lvl w:ilvl="7" w:tplc="4B2411CA">
      <w:start w:val="1"/>
      <w:numFmt w:val="lowerLetter"/>
      <w:lvlText w:val="%8."/>
      <w:lvlJc w:val="left"/>
      <w:pPr>
        <w:ind w:left="5760" w:hanging="360"/>
      </w:pPr>
    </w:lvl>
    <w:lvl w:ilvl="8" w:tplc="E8B04088">
      <w:start w:val="1"/>
      <w:numFmt w:val="lowerRoman"/>
      <w:lvlText w:val="%9."/>
      <w:lvlJc w:val="right"/>
      <w:pPr>
        <w:ind w:left="6480" w:hanging="180"/>
      </w:pPr>
    </w:lvl>
  </w:abstractNum>
  <w:abstractNum w:abstractNumId="83" w15:restartNumberingAfterBreak="0">
    <w:nsid w:val="511842E8"/>
    <w:multiLevelType w:val="hybridMultilevel"/>
    <w:tmpl w:val="14AA3F0A"/>
    <w:lvl w:ilvl="0" w:tplc="DBEEBE52">
      <w:start w:val="1"/>
      <w:numFmt w:val="bullet"/>
      <w:lvlText w:val=""/>
      <w:lvlJc w:val="left"/>
      <w:pPr>
        <w:ind w:left="720" w:hanging="360"/>
      </w:pPr>
      <w:rPr>
        <w:rFonts w:ascii="Symbol" w:hAnsi="Symbol" w:hint="default"/>
      </w:rPr>
    </w:lvl>
    <w:lvl w:ilvl="1" w:tplc="C0D2D07A" w:tentative="1">
      <w:start w:val="1"/>
      <w:numFmt w:val="bullet"/>
      <w:lvlText w:val="o"/>
      <w:lvlJc w:val="left"/>
      <w:pPr>
        <w:ind w:left="1440" w:hanging="360"/>
      </w:pPr>
      <w:rPr>
        <w:rFonts w:ascii="Courier New" w:hAnsi="Courier New" w:hint="default"/>
      </w:rPr>
    </w:lvl>
    <w:lvl w:ilvl="2" w:tplc="7F78A70C" w:tentative="1">
      <w:start w:val="1"/>
      <w:numFmt w:val="bullet"/>
      <w:lvlText w:val=""/>
      <w:lvlJc w:val="left"/>
      <w:pPr>
        <w:ind w:left="2160" w:hanging="360"/>
      </w:pPr>
      <w:rPr>
        <w:rFonts w:ascii="Wingdings" w:hAnsi="Wingdings" w:hint="default"/>
      </w:rPr>
    </w:lvl>
    <w:lvl w:ilvl="3" w:tplc="28D26FA2" w:tentative="1">
      <w:start w:val="1"/>
      <w:numFmt w:val="bullet"/>
      <w:lvlText w:val=""/>
      <w:lvlJc w:val="left"/>
      <w:pPr>
        <w:ind w:left="2880" w:hanging="360"/>
      </w:pPr>
      <w:rPr>
        <w:rFonts w:ascii="Symbol" w:hAnsi="Symbol" w:hint="default"/>
      </w:rPr>
    </w:lvl>
    <w:lvl w:ilvl="4" w:tplc="FEACBAF6" w:tentative="1">
      <w:start w:val="1"/>
      <w:numFmt w:val="bullet"/>
      <w:lvlText w:val="o"/>
      <w:lvlJc w:val="left"/>
      <w:pPr>
        <w:ind w:left="3600" w:hanging="360"/>
      </w:pPr>
      <w:rPr>
        <w:rFonts w:ascii="Courier New" w:hAnsi="Courier New" w:hint="default"/>
      </w:rPr>
    </w:lvl>
    <w:lvl w:ilvl="5" w:tplc="EE92D6A2" w:tentative="1">
      <w:start w:val="1"/>
      <w:numFmt w:val="bullet"/>
      <w:lvlText w:val=""/>
      <w:lvlJc w:val="left"/>
      <w:pPr>
        <w:ind w:left="4320" w:hanging="360"/>
      </w:pPr>
      <w:rPr>
        <w:rFonts w:ascii="Wingdings" w:hAnsi="Wingdings" w:hint="default"/>
      </w:rPr>
    </w:lvl>
    <w:lvl w:ilvl="6" w:tplc="C6AC69BC" w:tentative="1">
      <w:start w:val="1"/>
      <w:numFmt w:val="bullet"/>
      <w:lvlText w:val=""/>
      <w:lvlJc w:val="left"/>
      <w:pPr>
        <w:ind w:left="5040" w:hanging="360"/>
      </w:pPr>
      <w:rPr>
        <w:rFonts w:ascii="Symbol" w:hAnsi="Symbol" w:hint="default"/>
      </w:rPr>
    </w:lvl>
    <w:lvl w:ilvl="7" w:tplc="B1CA1BC2" w:tentative="1">
      <w:start w:val="1"/>
      <w:numFmt w:val="bullet"/>
      <w:lvlText w:val="o"/>
      <w:lvlJc w:val="left"/>
      <w:pPr>
        <w:ind w:left="5760" w:hanging="360"/>
      </w:pPr>
      <w:rPr>
        <w:rFonts w:ascii="Courier New" w:hAnsi="Courier New" w:hint="default"/>
      </w:rPr>
    </w:lvl>
    <w:lvl w:ilvl="8" w:tplc="20525BE2" w:tentative="1">
      <w:start w:val="1"/>
      <w:numFmt w:val="bullet"/>
      <w:lvlText w:val=""/>
      <w:lvlJc w:val="left"/>
      <w:pPr>
        <w:ind w:left="6480" w:hanging="360"/>
      </w:pPr>
      <w:rPr>
        <w:rFonts w:ascii="Wingdings" w:hAnsi="Wingdings" w:hint="default"/>
      </w:rPr>
    </w:lvl>
  </w:abstractNum>
  <w:abstractNum w:abstractNumId="84" w15:restartNumberingAfterBreak="0">
    <w:nsid w:val="51E338C8"/>
    <w:multiLevelType w:val="hybridMultilevel"/>
    <w:tmpl w:val="0702390A"/>
    <w:lvl w:ilvl="0" w:tplc="914461BE">
      <w:start w:val="1"/>
      <w:numFmt w:val="bullet"/>
      <w:lvlText w:val=""/>
      <w:lvlJc w:val="left"/>
      <w:pPr>
        <w:ind w:left="720" w:hanging="360"/>
      </w:pPr>
      <w:rPr>
        <w:rFonts w:ascii="Symbol" w:hAnsi="Symbol"/>
      </w:rPr>
    </w:lvl>
    <w:lvl w:ilvl="1" w:tplc="1C205460">
      <w:start w:val="1"/>
      <w:numFmt w:val="bullet"/>
      <w:lvlText w:val=""/>
      <w:lvlJc w:val="left"/>
      <w:pPr>
        <w:ind w:left="720" w:hanging="360"/>
      </w:pPr>
      <w:rPr>
        <w:rFonts w:ascii="Symbol" w:hAnsi="Symbol"/>
      </w:rPr>
    </w:lvl>
    <w:lvl w:ilvl="2" w:tplc="38127A84">
      <w:start w:val="1"/>
      <w:numFmt w:val="bullet"/>
      <w:lvlText w:val=""/>
      <w:lvlJc w:val="left"/>
      <w:pPr>
        <w:ind w:left="720" w:hanging="360"/>
      </w:pPr>
      <w:rPr>
        <w:rFonts w:ascii="Symbol" w:hAnsi="Symbol"/>
      </w:rPr>
    </w:lvl>
    <w:lvl w:ilvl="3" w:tplc="BE1238A4">
      <w:start w:val="1"/>
      <w:numFmt w:val="bullet"/>
      <w:lvlText w:val=""/>
      <w:lvlJc w:val="left"/>
      <w:pPr>
        <w:ind w:left="720" w:hanging="360"/>
      </w:pPr>
      <w:rPr>
        <w:rFonts w:ascii="Symbol" w:hAnsi="Symbol"/>
      </w:rPr>
    </w:lvl>
    <w:lvl w:ilvl="4" w:tplc="769CB408">
      <w:start w:val="1"/>
      <w:numFmt w:val="bullet"/>
      <w:lvlText w:val=""/>
      <w:lvlJc w:val="left"/>
      <w:pPr>
        <w:ind w:left="720" w:hanging="360"/>
      </w:pPr>
      <w:rPr>
        <w:rFonts w:ascii="Symbol" w:hAnsi="Symbol"/>
      </w:rPr>
    </w:lvl>
    <w:lvl w:ilvl="5" w:tplc="2E6AF7D8">
      <w:start w:val="1"/>
      <w:numFmt w:val="bullet"/>
      <w:lvlText w:val=""/>
      <w:lvlJc w:val="left"/>
      <w:pPr>
        <w:ind w:left="720" w:hanging="360"/>
      </w:pPr>
      <w:rPr>
        <w:rFonts w:ascii="Symbol" w:hAnsi="Symbol"/>
      </w:rPr>
    </w:lvl>
    <w:lvl w:ilvl="6" w:tplc="A400231C">
      <w:start w:val="1"/>
      <w:numFmt w:val="bullet"/>
      <w:lvlText w:val=""/>
      <w:lvlJc w:val="left"/>
      <w:pPr>
        <w:ind w:left="720" w:hanging="360"/>
      </w:pPr>
      <w:rPr>
        <w:rFonts w:ascii="Symbol" w:hAnsi="Symbol"/>
      </w:rPr>
    </w:lvl>
    <w:lvl w:ilvl="7" w:tplc="517462C8">
      <w:start w:val="1"/>
      <w:numFmt w:val="bullet"/>
      <w:lvlText w:val=""/>
      <w:lvlJc w:val="left"/>
      <w:pPr>
        <w:ind w:left="720" w:hanging="360"/>
      </w:pPr>
      <w:rPr>
        <w:rFonts w:ascii="Symbol" w:hAnsi="Symbol"/>
      </w:rPr>
    </w:lvl>
    <w:lvl w:ilvl="8" w:tplc="1A847DFE">
      <w:start w:val="1"/>
      <w:numFmt w:val="bullet"/>
      <w:lvlText w:val=""/>
      <w:lvlJc w:val="left"/>
      <w:pPr>
        <w:ind w:left="720" w:hanging="360"/>
      </w:pPr>
      <w:rPr>
        <w:rFonts w:ascii="Symbol" w:hAnsi="Symbol"/>
      </w:rPr>
    </w:lvl>
  </w:abstractNum>
  <w:abstractNum w:abstractNumId="85" w15:restartNumberingAfterBreak="0">
    <w:nsid w:val="5340F138"/>
    <w:multiLevelType w:val="hybridMultilevel"/>
    <w:tmpl w:val="FFFFFFFF"/>
    <w:lvl w:ilvl="0" w:tplc="BE822C32">
      <w:start w:val="1"/>
      <w:numFmt w:val="bullet"/>
      <w:lvlText w:val=""/>
      <w:lvlJc w:val="left"/>
      <w:pPr>
        <w:ind w:left="720" w:hanging="360"/>
      </w:pPr>
      <w:rPr>
        <w:rFonts w:ascii="Symbol" w:hAnsi="Symbol" w:hint="default"/>
      </w:rPr>
    </w:lvl>
    <w:lvl w:ilvl="1" w:tplc="D3CE30E2">
      <w:start w:val="1"/>
      <w:numFmt w:val="bullet"/>
      <w:lvlText w:val="o"/>
      <w:lvlJc w:val="left"/>
      <w:pPr>
        <w:ind w:left="1440" w:hanging="360"/>
      </w:pPr>
      <w:rPr>
        <w:rFonts w:ascii="Courier New" w:hAnsi="Courier New" w:hint="default"/>
      </w:rPr>
    </w:lvl>
    <w:lvl w:ilvl="2" w:tplc="A524DE7C">
      <w:start w:val="1"/>
      <w:numFmt w:val="bullet"/>
      <w:lvlText w:val=""/>
      <w:lvlJc w:val="left"/>
      <w:pPr>
        <w:ind w:left="2160" w:hanging="360"/>
      </w:pPr>
      <w:rPr>
        <w:rFonts w:ascii="Wingdings" w:hAnsi="Wingdings" w:hint="default"/>
      </w:rPr>
    </w:lvl>
    <w:lvl w:ilvl="3" w:tplc="F4B6A024">
      <w:start w:val="1"/>
      <w:numFmt w:val="bullet"/>
      <w:lvlText w:val=""/>
      <w:lvlJc w:val="left"/>
      <w:pPr>
        <w:ind w:left="2880" w:hanging="360"/>
      </w:pPr>
      <w:rPr>
        <w:rFonts w:ascii="Symbol" w:hAnsi="Symbol" w:hint="default"/>
      </w:rPr>
    </w:lvl>
    <w:lvl w:ilvl="4" w:tplc="2C482BF0">
      <w:start w:val="1"/>
      <w:numFmt w:val="bullet"/>
      <w:lvlText w:val="o"/>
      <w:lvlJc w:val="left"/>
      <w:pPr>
        <w:ind w:left="3600" w:hanging="360"/>
      </w:pPr>
      <w:rPr>
        <w:rFonts w:ascii="Courier New" w:hAnsi="Courier New" w:hint="default"/>
      </w:rPr>
    </w:lvl>
    <w:lvl w:ilvl="5" w:tplc="0A20D18C">
      <w:start w:val="1"/>
      <w:numFmt w:val="bullet"/>
      <w:lvlText w:val=""/>
      <w:lvlJc w:val="left"/>
      <w:pPr>
        <w:ind w:left="4320" w:hanging="360"/>
      </w:pPr>
      <w:rPr>
        <w:rFonts w:ascii="Wingdings" w:hAnsi="Wingdings" w:hint="default"/>
      </w:rPr>
    </w:lvl>
    <w:lvl w:ilvl="6" w:tplc="971A33EE">
      <w:start w:val="1"/>
      <w:numFmt w:val="bullet"/>
      <w:lvlText w:val=""/>
      <w:lvlJc w:val="left"/>
      <w:pPr>
        <w:ind w:left="5040" w:hanging="360"/>
      </w:pPr>
      <w:rPr>
        <w:rFonts w:ascii="Symbol" w:hAnsi="Symbol" w:hint="default"/>
      </w:rPr>
    </w:lvl>
    <w:lvl w:ilvl="7" w:tplc="B0542C4A">
      <w:start w:val="1"/>
      <w:numFmt w:val="bullet"/>
      <w:lvlText w:val="o"/>
      <w:lvlJc w:val="left"/>
      <w:pPr>
        <w:ind w:left="5760" w:hanging="360"/>
      </w:pPr>
      <w:rPr>
        <w:rFonts w:ascii="Courier New" w:hAnsi="Courier New" w:hint="default"/>
      </w:rPr>
    </w:lvl>
    <w:lvl w:ilvl="8" w:tplc="905A4FEC">
      <w:start w:val="1"/>
      <w:numFmt w:val="bullet"/>
      <w:lvlText w:val=""/>
      <w:lvlJc w:val="left"/>
      <w:pPr>
        <w:ind w:left="6480" w:hanging="360"/>
      </w:pPr>
      <w:rPr>
        <w:rFonts w:ascii="Wingdings" w:hAnsi="Wingdings" w:hint="default"/>
      </w:rPr>
    </w:lvl>
  </w:abstractNum>
  <w:abstractNum w:abstractNumId="86" w15:restartNumberingAfterBreak="0">
    <w:nsid w:val="552F01CC"/>
    <w:multiLevelType w:val="hybridMultilevel"/>
    <w:tmpl w:val="FFFFFFFF"/>
    <w:lvl w:ilvl="0" w:tplc="717C2746">
      <w:start w:val="1"/>
      <w:numFmt w:val="bullet"/>
      <w:lvlText w:val="-"/>
      <w:lvlJc w:val="left"/>
      <w:pPr>
        <w:ind w:left="720" w:hanging="360"/>
      </w:pPr>
      <w:rPr>
        <w:rFonts w:ascii="Aptos" w:hAnsi="Aptos" w:hint="default"/>
      </w:rPr>
    </w:lvl>
    <w:lvl w:ilvl="1" w:tplc="F552FEA6">
      <w:start w:val="1"/>
      <w:numFmt w:val="bullet"/>
      <w:lvlText w:val="o"/>
      <w:lvlJc w:val="left"/>
      <w:pPr>
        <w:ind w:left="1440" w:hanging="360"/>
      </w:pPr>
      <w:rPr>
        <w:rFonts w:ascii="Courier New" w:hAnsi="Courier New" w:hint="default"/>
      </w:rPr>
    </w:lvl>
    <w:lvl w:ilvl="2" w:tplc="CA2460C0">
      <w:start w:val="1"/>
      <w:numFmt w:val="bullet"/>
      <w:lvlText w:val=""/>
      <w:lvlJc w:val="left"/>
      <w:pPr>
        <w:ind w:left="2160" w:hanging="360"/>
      </w:pPr>
      <w:rPr>
        <w:rFonts w:ascii="Wingdings" w:hAnsi="Wingdings" w:hint="default"/>
      </w:rPr>
    </w:lvl>
    <w:lvl w:ilvl="3" w:tplc="2BDE404C">
      <w:start w:val="1"/>
      <w:numFmt w:val="bullet"/>
      <w:lvlText w:val=""/>
      <w:lvlJc w:val="left"/>
      <w:pPr>
        <w:ind w:left="2880" w:hanging="360"/>
      </w:pPr>
      <w:rPr>
        <w:rFonts w:ascii="Symbol" w:hAnsi="Symbol" w:hint="default"/>
      </w:rPr>
    </w:lvl>
    <w:lvl w:ilvl="4" w:tplc="37D09138">
      <w:start w:val="1"/>
      <w:numFmt w:val="bullet"/>
      <w:lvlText w:val="o"/>
      <w:lvlJc w:val="left"/>
      <w:pPr>
        <w:ind w:left="3600" w:hanging="360"/>
      </w:pPr>
      <w:rPr>
        <w:rFonts w:ascii="Courier New" w:hAnsi="Courier New" w:hint="default"/>
      </w:rPr>
    </w:lvl>
    <w:lvl w:ilvl="5" w:tplc="7C88D53A">
      <w:start w:val="1"/>
      <w:numFmt w:val="bullet"/>
      <w:lvlText w:val=""/>
      <w:lvlJc w:val="left"/>
      <w:pPr>
        <w:ind w:left="4320" w:hanging="360"/>
      </w:pPr>
      <w:rPr>
        <w:rFonts w:ascii="Wingdings" w:hAnsi="Wingdings" w:hint="default"/>
      </w:rPr>
    </w:lvl>
    <w:lvl w:ilvl="6" w:tplc="9370D3E8">
      <w:start w:val="1"/>
      <w:numFmt w:val="bullet"/>
      <w:lvlText w:val=""/>
      <w:lvlJc w:val="left"/>
      <w:pPr>
        <w:ind w:left="5040" w:hanging="360"/>
      </w:pPr>
      <w:rPr>
        <w:rFonts w:ascii="Symbol" w:hAnsi="Symbol" w:hint="default"/>
      </w:rPr>
    </w:lvl>
    <w:lvl w:ilvl="7" w:tplc="02F481D0">
      <w:start w:val="1"/>
      <w:numFmt w:val="bullet"/>
      <w:lvlText w:val="o"/>
      <w:lvlJc w:val="left"/>
      <w:pPr>
        <w:ind w:left="5760" w:hanging="360"/>
      </w:pPr>
      <w:rPr>
        <w:rFonts w:ascii="Courier New" w:hAnsi="Courier New" w:hint="default"/>
      </w:rPr>
    </w:lvl>
    <w:lvl w:ilvl="8" w:tplc="78D4E6F6">
      <w:start w:val="1"/>
      <w:numFmt w:val="bullet"/>
      <w:lvlText w:val=""/>
      <w:lvlJc w:val="left"/>
      <w:pPr>
        <w:ind w:left="6480" w:hanging="360"/>
      </w:pPr>
      <w:rPr>
        <w:rFonts w:ascii="Wingdings" w:hAnsi="Wingdings" w:hint="default"/>
      </w:rPr>
    </w:lvl>
  </w:abstractNum>
  <w:abstractNum w:abstractNumId="87" w15:restartNumberingAfterBreak="0">
    <w:nsid w:val="55444F3C"/>
    <w:multiLevelType w:val="hybridMultilevel"/>
    <w:tmpl w:val="D396C35E"/>
    <w:lvl w:ilvl="0" w:tplc="632C2A4E">
      <w:start w:val="1"/>
      <w:numFmt w:val="decimal"/>
      <w:lvlText w:val="%1."/>
      <w:lvlJc w:val="left"/>
      <w:pPr>
        <w:ind w:left="720" w:hanging="360"/>
      </w:pPr>
    </w:lvl>
    <w:lvl w:ilvl="1" w:tplc="7E249614">
      <w:start w:val="1"/>
      <w:numFmt w:val="decimal"/>
      <w:lvlText w:val="%2."/>
      <w:lvlJc w:val="left"/>
      <w:pPr>
        <w:ind w:left="720" w:hanging="360"/>
      </w:pPr>
    </w:lvl>
    <w:lvl w:ilvl="2" w:tplc="F6D01674">
      <w:start w:val="1"/>
      <w:numFmt w:val="decimal"/>
      <w:lvlText w:val="%3."/>
      <w:lvlJc w:val="left"/>
      <w:pPr>
        <w:ind w:left="720" w:hanging="360"/>
      </w:pPr>
    </w:lvl>
    <w:lvl w:ilvl="3" w:tplc="BDF86074">
      <w:start w:val="1"/>
      <w:numFmt w:val="decimal"/>
      <w:lvlText w:val="%4."/>
      <w:lvlJc w:val="left"/>
      <w:pPr>
        <w:ind w:left="720" w:hanging="360"/>
      </w:pPr>
    </w:lvl>
    <w:lvl w:ilvl="4" w:tplc="C22C8FAA">
      <w:start w:val="1"/>
      <w:numFmt w:val="decimal"/>
      <w:lvlText w:val="%5."/>
      <w:lvlJc w:val="left"/>
      <w:pPr>
        <w:ind w:left="720" w:hanging="360"/>
      </w:pPr>
    </w:lvl>
    <w:lvl w:ilvl="5" w:tplc="D5688F34">
      <w:start w:val="1"/>
      <w:numFmt w:val="decimal"/>
      <w:lvlText w:val="%6."/>
      <w:lvlJc w:val="left"/>
      <w:pPr>
        <w:ind w:left="720" w:hanging="360"/>
      </w:pPr>
    </w:lvl>
    <w:lvl w:ilvl="6" w:tplc="2A904E52">
      <w:start w:val="1"/>
      <w:numFmt w:val="decimal"/>
      <w:lvlText w:val="%7."/>
      <w:lvlJc w:val="left"/>
      <w:pPr>
        <w:ind w:left="720" w:hanging="360"/>
      </w:pPr>
    </w:lvl>
    <w:lvl w:ilvl="7" w:tplc="39D8828E">
      <w:start w:val="1"/>
      <w:numFmt w:val="decimal"/>
      <w:lvlText w:val="%8."/>
      <w:lvlJc w:val="left"/>
      <w:pPr>
        <w:ind w:left="720" w:hanging="360"/>
      </w:pPr>
    </w:lvl>
    <w:lvl w:ilvl="8" w:tplc="0054DB7C">
      <w:start w:val="1"/>
      <w:numFmt w:val="decimal"/>
      <w:lvlText w:val="%9."/>
      <w:lvlJc w:val="left"/>
      <w:pPr>
        <w:ind w:left="720" w:hanging="360"/>
      </w:pPr>
    </w:lvl>
  </w:abstractNum>
  <w:abstractNum w:abstractNumId="88" w15:restartNumberingAfterBreak="0">
    <w:nsid w:val="56DF63B3"/>
    <w:multiLevelType w:val="hybridMultilevel"/>
    <w:tmpl w:val="B5E6B09C"/>
    <w:lvl w:ilvl="0" w:tplc="F38CEB02">
      <w:start w:val="1"/>
      <w:numFmt w:val="bullet"/>
      <w:lvlText w:val="o"/>
      <w:lvlJc w:val="left"/>
      <w:pPr>
        <w:ind w:left="1080" w:hanging="360"/>
      </w:pPr>
      <w:rPr>
        <w:rFonts w:ascii="Courier New" w:hAnsi="Courier New" w:hint="default"/>
        <w:u w:val="none"/>
      </w:rPr>
    </w:lvl>
    <w:lvl w:ilvl="1" w:tplc="43B60EF8" w:tentative="1">
      <w:start w:val="1"/>
      <w:numFmt w:val="bullet"/>
      <w:lvlText w:val="o"/>
      <w:lvlJc w:val="left"/>
      <w:pPr>
        <w:ind w:left="1800" w:hanging="360"/>
      </w:pPr>
      <w:rPr>
        <w:rFonts w:ascii="Courier New" w:hAnsi="Courier New" w:hint="default"/>
      </w:rPr>
    </w:lvl>
    <w:lvl w:ilvl="2" w:tplc="B18CC05A" w:tentative="1">
      <w:start w:val="1"/>
      <w:numFmt w:val="bullet"/>
      <w:lvlText w:val=""/>
      <w:lvlJc w:val="left"/>
      <w:pPr>
        <w:ind w:left="2520" w:hanging="360"/>
      </w:pPr>
      <w:rPr>
        <w:rFonts w:ascii="Wingdings" w:hAnsi="Wingdings" w:hint="default"/>
      </w:rPr>
    </w:lvl>
    <w:lvl w:ilvl="3" w:tplc="DAF6B968" w:tentative="1">
      <w:start w:val="1"/>
      <w:numFmt w:val="bullet"/>
      <w:lvlText w:val=""/>
      <w:lvlJc w:val="left"/>
      <w:pPr>
        <w:ind w:left="3240" w:hanging="360"/>
      </w:pPr>
      <w:rPr>
        <w:rFonts w:ascii="Symbol" w:hAnsi="Symbol" w:hint="default"/>
      </w:rPr>
    </w:lvl>
    <w:lvl w:ilvl="4" w:tplc="8214DD8C" w:tentative="1">
      <w:start w:val="1"/>
      <w:numFmt w:val="bullet"/>
      <w:lvlText w:val="o"/>
      <w:lvlJc w:val="left"/>
      <w:pPr>
        <w:ind w:left="3960" w:hanging="360"/>
      </w:pPr>
      <w:rPr>
        <w:rFonts w:ascii="Courier New" w:hAnsi="Courier New" w:hint="default"/>
      </w:rPr>
    </w:lvl>
    <w:lvl w:ilvl="5" w:tplc="E1807D68" w:tentative="1">
      <w:start w:val="1"/>
      <w:numFmt w:val="bullet"/>
      <w:lvlText w:val=""/>
      <w:lvlJc w:val="left"/>
      <w:pPr>
        <w:ind w:left="4680" w:hanging="360"/>
      </w:pPr>
      <w:rPr>
        <w:rFonts w:ascii="Wingdings" w:hAnsi="Wingdings" w:hint="default"/>
      </w:rPr>
    </w:lvl>
    <w:lvl w:ilvl="6" w:tplc="69344D84" w:tentative="1">
      <w:start w:val="1"/>
      <w:numFmt w:val="bullet"/>
      <w:lvlText w:val=""/>
      <w:lvlJc w:val="left"/>
      <w:pPr>
        <w:ind w:left="5400" w:hanging="360"/>
      </w:pPr>
      <w:rPr>
        <w:rFonts w:ascii="Symbol" w:hAnsi="Symbol" w:hint="default"/>
      </w:rPr>
    </w:lvl>
    <w:lvl w:ilvl="7" w:tplc="1C1EFB5E" w:tentative="1">
      <w:start w:val="1"/>
      <w:numFmt w:val="bullet"/>
      <w:lvlText w:val="o"/>
      <w:lvlJc w:val="left"/>
      <w:pPr>
        <w:ind w:left="6120" w:hanging="360"/>
      </w:pPr>
      <w:rPr>
        <w:rFonts w:ascii="Courier New" w:hAnsi="Courier New" w:hint="default"/>
      </w:rPr>
    </w:lvl>
    <w:lvl w:ilvl="8" w:tplc="E67CACDE" w:tentative="1">
      <w:start w:val="1"/>
      <w:numFmt w:val="bullet"/>
      <w:lvlText w:val=""/>
      <w:lvlJc w:val="left"/>
      <w:pPr>
        <w:ind w:left="6840" w:hanging="360"/>
      </w:pPr>
      <w:rPr>
        <w:rFonts w:ascii="Wingdings" w:hAnsi="Wingdings" w:hint="default"/>
      </w:rPr>
    </w:lvl>
  </w:abstractNum>
  <w:abstractNum w:abstractNumId="89" w15:restartNumberingAfterBreak="0">
    <w:nsid w:val="582C9338"/>
    <w:multiLevelType w:val="hybridMultilevel"/>
    <w:tmpl w:val="FFFFFFFF"/>
    <w:lvl w:ilvl="0" w:tplc="2C9E1F6E">
      <w:start w:val="1"/>
      <w:numFmt w:val="bullet"/>
      <w:lvlText w:val=""/>
      <w:lvlJc w:val="left"/>
      <w:pPr>
        <w:ind w:left="1080" w:hanging="360"/>
      </w:pPr>
      <w:rPr>
        <w:rFonts w:ascii="Symbol" w:hAnsi="Symbol" w:hint="default"/>
      </w:rPr>
    </w:lvl>
    <w:lvl w:ilvl="1" w:tplc="2C145BFC">
      <w:start w:val="1"/>
      <w:numFmt w:val="bullet"/>
      <w:lvlText w:val="o"/>
      <w:lvlJc w:val="left"/>
      <w:pPr>
        <w:ind w:left="1800" w:hanging="360"/>
      </w:pPr>
      <w:rPr>
        <w:rFonts w:ascii="Courier New" w:hAnsi="Courier New" w:hint="default"/>
      </w:rPr>
    </w:lvl>
    <w:lvl w:ilvl="2" w:tplc="4790C6BE">
      <w:start w:val="1"/>
      <w:numFmt w:val="bullet"/>
      <w:lvlText w:val=""/>
      <w:lvlJc w:val="left"/>
      <w:pPr>
        <w:ind w:left="2520" w:hanging="360"/>
      </w:pPr>
      <w:rPr>
        <w:rFonts w:ascii="Wingdings" w:hAnsi="Wingdings" w:hint="default"/>
      </w:rPr>
    </w:lvl>
    <w:lvl w:ilvl="3" w:tplc="0B6EE688">
      <w:start w:val="1"/>
      <w:numFmt w:val="bullet"/>
      <w:lvlText w:val=""/>
      <w:lvlJc w:val="left"/>
      <w:pPr>
        <w:ind w:left="3240" w:hanging="360"/>
      </w:pPr>
      <w:rPr>
        <w:rFonts w:ascii="Symbol" w:hAnsi="Symbol" w:hint="default"/>
      </w:rPr>
    </w:lvl>
    <w:lvl w:ilvl="4" w:tplc="821CF42E">
      <w:start w:val="1"/>
      <w:numFmt w:val="bullet"/>
      <w:lvlText w:val="o"/>
      <w:lvlJc w:val="left"/>
      <w:pPr>
        <w:ind w:left="3960" w:hanging="360"/>
      </w:pPr>
      <w:rPr>
        <w:rFonts w:ascii="Courier New" w:hAnsi="Courier New" w:hint="default"/>
      </w:rPr>
    </w:lvl>
    <w:lvl w:ilvl="5" w:tplc="2BF6F190">
      <w:start w:val="1"/>
      <w:numFmt w:val="bullet"/>
      <w:lvlText w:val=""/>
      <w:lvlJc w:val="left"/>
      <w:pPr>
        <w:ind w:left="4680" w:hanging="360"/>
      </w:pPr>
      <w:rPr>
        <w:rFonts w:ascii="Wingdings" w:hAnsi="Wingdings" w:hint="default"/>
      </w:rPr>
    </w:lvl>
    <w:lvl w:ilvl="6" w:tplc="EC1EEE00">
      <w:start w:val="1"/>
      <w:numFmt w:val="bullet"/>
      <w:lvlText w:val=""/>
      <w:lvlJc w:val="left"/>
      <w:pPr>
        <w:ind w:left="5400" w:hanging="360"/>
      </w:pPr>
      <w:rPr>
        <w:rFonts w:ascii="Symbol" w:hAnsi="Symbol" w:hint="default"/>
      </w:rPr>
    </w:lvl>
    <w:lvl w:ilvl="7" w:tplc="1242C1FE">
      <w:start w:val="1"/>
      <w:numFmt w:val="bullet"/>
      <w:lvlText w:val="o"/>
      <w:lvlJc w:val="left"/>
      <w:pPr>
        <w:ind w:left="6120" w:hanging="360"/>
      </w:pPr>
      <w:rPr>
        <w:rFonts w:ascii="Courier New" w:hAnsi="Courier New" w:hint="default"/>
      </w:rPr>
    </w:lvl>
    <w:lvl w:ilvl="8" w:tplc="C90C79BC">
      <w:start w:val="1"/>
      <w:numFmt w:val="bullet"/>
      <w:lvlText w:val=""/>
      <w:lvlJc w:val="left"/>
      <w:pPr>
        <w:ind w:left="6840" w:hanging="360"/>
      </w:pPr>
      <w:rPr>
        <w:rFonts w:ascii="Wingdings" w:hAnsi="Wingdings" w:hint="default"/>
      </w:rPr>
    </w:lvl>
  </w:abstractNum>
  <w:abstractNum w:abstractNumId="90" w15:restartNumberingAfterBreak="0">
    <w:nsid w:val="59596948"/>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1" w15:restartNumberingAfterBreak="0">
    <w:nsid w:val="5A553F63"/>
    <w:multiLevelType w:val="hybridMultilevel"/>
    <w:tmpl w:val="E76A7228"/>
    <w:lvl w:ilvl="0" w:tplc="FE98D2D2">
      <w:start w:val="1"/>
      <w:numFmt w:val="decimal"/>
      <w:lvlText w:val="%1)"/>
      <w:lvlJc w:val="left"/>
      <w:pPr>
        <w:ind w:left="1020" w:hanging="360"/>
      </w:pPr>
    </w:lvl>
    <w:lvl w:ilvl="1" w:tplc="7D6E611C">
      <w:start w:val="1"/>
      <w:numFmt w:val="decimal"/>
      <w:lvlText w:val="%2)"/>
      <w:lvlJc w:val="left"/>
      <w:pPr>
        <w:ind w:left="1020" w:hanging="360"/>
      </w:pPr>
    </w:lvl>
    <w:lvl w:ilvl="2" w:tplc="D0724E06">
      <w:start w:val="1"/>
      <w:numFmt w:val="decimal"/>
      <w:lvlText w:val="%3)"/>
      <w:lvlJc w:val="left"/>
      <w:pPr>
        <w:ind w:left="1020" w:hanging="360"/>
      </w:pPr>
    </w:lvl>
    <w:lvl w:ilvl="3" w:tplc="93CA2172">
      <w:start w:val="1"/>
      <w:numFmt w:val="decimal"/>
      <w:lvlText w:val="%4)"/>
      <w:lvlJc w:val="left"/>
      <w:pPr>
        <w:ind w:left="1020" w:hanging="360"/>
      </w:pPr>
    </w:lvl>
    <w:lvl w:ilvl="4" w:tplc="67662374">
      <w:start w:val="1"/>
      <w:numFmt w:val="decimal"/>
      <w:lvlText w:val="%5)"/>
      <w:lvlJc w:val="left"/>
      <w:pPr>
        <w:ind w:left="1020" w:hanging="360"/>
      </w:pPr>
    </w:lvl>
    <w:lvl w:ilvl="5" w:tplc="5FB072A8">
      <w:start w:val="1"/>
      <w:numFmt w:val="decimal"/>
      <w:lvlText w:val="%6)"/>
      <w:lvlJc w:val="left"/>
      <w:pPr>
        <w:ind w:left="1020" w:hanging="360"/>
      </w:pPr>
    </w:lvl>
    <w:lvl w:ilvl="6" w:tplc="10641BF2">
      <w:start w:val="1"/>
      <w:numFmt w:val="decimal"/>
      <w:lvlText w:val="%7)"/>
      <w:lvlJc w:val="left"/>
      <w:pPr>
        <w:ind w:left="1020" w:hanging="360"/>
      </w:pPr>
    </w:lvl>
    <w:lvl w:ilvl="7" w:tplc="57FCE538">
      <w:start w:val="1"/>
      <w:numFmt w:val="decimal"/>
      <w:lvlText w:val="%8)"/>
      <w:lvlJc w:val="left"/>
      <w:pPr>
        <w:ind w:left="1020" w:hanging="360"/>
      </w:pPr>
    </w:lvl>
    <w:lvl w:ilvl="8" w:tplc="5504F9B0">
      <w:start w:val="1"/>
      <w:numFmt w:val="decimal"/>
      <w:lvlText w:val="%9)"/>
      <w:lvlJc w:val="left"/>
      <w:pPr>
        <w:ind w:left="1020" w:hanging="360"/>
      </w:pPr>
    </w:lvl>
  </w:abstractNum>
  <w:abstractNum w:abstractNumId="92" w15:restartNumberingAfterBreak="0">
    <w:nsid w:val="5B504777"/>
    <w:multiLevelType w:val="hybridMultilevel"/>
    <w:tmpl w:val="DE3AF3C8"/>
    <w:lvl w:ilvl="0" w:tplc="A72240C8">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5C99A0F6"/>
    <w:multiLevelType w:val="hybridMultilevel"/>
    <w:tmpl w:val="FFFFFFFF"/>
    <w:lvl w:ilvl="0" w:tplc="AFF4BD4C">
      <w:start w:val="1"/>
      <w:numFmt w:val="bullet"/>
      <w:lvlText w:val="·"/>
      <w:lvlJc w:val="left"/>
      <w:pPr>
        <w:ind w:left="720" w:hanging="360"/>
      </w:pPr>
      <w:rPr>
        <w:rFonts w:ascii="Symbol" w:hAnsi="Symbol" w:hint="default"/>
      </w:rPr>
    </w:lvl>
    <w:lvl w:ilvl="1" w:tplc="8976118E">
      <w:start w:val="1"/>
      <w:numFmt w:val="bullet"/>
      <w:lvlText w:val="o"/>
      <w:lvlJc w:val="left"/>
      <w:pPr>
        <w:ind w:left="1440" w:hanging="360"/>
      </w:pPr>
      <w:rPr>
        <w:rFonts w:ascii="Courier New" w:hAnsi="Courier New" w:hint="default"/>
      </w:rPr>
    </w:lvl>
    <w:lvl w:ilvl="2" w:tplc="E7985CFC">
      <w:start w:val="1"/>
      <w:numFmt w:val="bullet"/>
      <w:lvlText w:val=""/>
      <w:lvlJc w:val="left"/>
      <w:pPr>
        <w:ind w:left="2160" w:hanging="360"/>
      </w:pPr>
      <w:rPr>
        <w:rFonts w:ascii="Wingdings" w:hAnsi="Wingdings" w:hint="default"/>
      </w:rPr>
    </w:lvl>
    <w:lvl w:ilvl="3" w:tplc="B2A88750">
      <w:start w:val="1"/>
      <w:numFmt w:val="bullet"/>
      <w:lvlText w:val=""/>
      <w:lvlJc w:val="left"/>
      <w:pPr>
        <w:ind w:left="2880" w:hanging="360"/>
      </w:pPr>
      <w:rPr>
        <w:rFonts w:ascii="Symbol" w:hAnsi="Symbol" w:hint="default"/>
      </w:rPr>
    </w:lvl>
    <w:lvl w:ilvl="4" w:tplc="9C68B37E">
      <w:start w:val="1"/>
      <w:numFmt w:val="bullet"/>
      <w:lvlText w:val="o"/>
      <w:lvlJc w:val="left"/>
      <w:pPr>
        <w:ind w:left="3600" w:hanging="360"/>
      </w:pPr>
      <w:rPr>
        <w:rFonts w:ascii="Courier New" w:hAnsi="Courier New" w:hint="default"/>
      </w:rPr>
    </w:lvl>
    <w:lvl w:ilvl="5" w:tplc="5F581E42">
      <w:start w:val="1"/>
      <w:numFmt w:val="bullet"/>
      <w:lvlText w:val=""/>
      <w:lvlJc w:val="left"/>
      <w:pPr>
        <w:ind w:left="4320" w:hanging="360"/>
      </w:pPr>
      <w:rPr>
        <w:rFonts w:ascii="Wingdings" w:hAnsi="Wingdings" w:hint="default"/>
      </w:rPr>
    </w:lvl>
    <w:lvl w:ilvl="6" w:tplc="26AABABE">
      <w:start w:val="1"/>
      <w:numFmt w:val="bullet"/>
      <w:lvlText w:val=""/>
      <w:lvlJc w:val="left"/>
      <w:pPr>
        <w:ind w:left="5040" w:hanging="360"/>
      </w:pPr>
      <w:rPr>
        <w:rFonts w:ascii="Symbol" w:hAnsi="Symbol" w:hint="default"/>
      </w:rPr>
    </w:lvl>
    <w:lvl w:ilvl="7" w:tplc="A508AB3C">
      <w:start w:val="1"/>
      <w:numFmt w:val="bullet"/>
      <w:lvlText w:val="o"/>
      <w:lvlJc w:val="left"/>
      <w:pPr>
        <w:ind w:left="5760" w:hanging="360"/>
      </w:pPr>
      <w:rPr>
        <w:rFonts w:ascii="Courier New" w:hAnsi="Courier New" w:hint="default"/>
      </w:rPr>
    </w:lvl>
    <w:lvl w:ilvl="8" w:tplc="B35C7182">
      <w:start w:val="1"/>
      <w:numFmt w:val="bullet"/>
      <w:lvlText w:val=""/>
      <w:lvlJc w:val="left"/>
      <w:pPr>
        <w:ind w:left="6480" w:hanging="360"/>
      </w:pPr>
      <w:rPr>
        <w:rFonts w:ascii="Wingdings" w:hAnsi="Wingdings" w:hint="default"/>
      </w:rPr>
    </w:lvl>
  </w:abstractNum>
  <w:abstractNum w:abstractNumId="94" w15:restartNumberingAfterBreak="0">
    <w:nsid w:val="5CE1623A"/>
    <w:multiLevelType w:val="hybridMultilevel"/>
    <w:tmpl w:val="1E3AF4AA"/>
    <w:lvl w:ilvl="0" w:tplc="F7B684A6">
      <w:start w:val="1"/>
      <w:numFmt w:val="bullet"/>
      <w:lvlText w:val=""/>
      <w:lvlJc w:val="left"/>
      <w:pPr>
        <w:ind w:left="720" w:hanging="360"/>
      </w:pPr>
      <w:rPr>
        <w:rFonts w:ascii="Symbol" w:hAnsi="Symbol" w:hint="default"/>
      </w:rPr>
    </w:lvl>
    <w:lvl w:ilvl="1" w:tplc="55C25F90">
      <w:numFmt w:val="bullet"/>
      <w:lvlText w:val="-"/>
      <w:lvlJc w:val="left"/>
      <w:pPr>
        <w:ind w:left="1440" w:hanging="360"/>
      </w:pPr>
      <w:rPr>
        <w:rFonts w:ascii="Calibri" w:hAnsi="Calibri" w:hint="default"/>
      </w:rPr>
    </w:lvl>
    <w:lvl w:ilvl="2" w:tplc="A7702362" w:tentative="1">
      <w:start w:val="1"/>
      <w:numFmt w:val="bullet"/>
      <w:lvlText w:val=""/>
      <w:lvlJc w:val="left"/>
      <w:pPr>
        <w:ind w:left="2160" w:hanging="360"/>
      </w:pPr>
      <w:rPr>
        <w:rFonts w:ascii="Wingdings" w:hAnsi="Wingdings" w:hint="default"/>
      </w:rPr>
    </w:lvl>
    <w:lvl w:ilvl="3" w:tplc="E82474EA" w:tentative="1">
      <w:start w:val="1"/>
      <w:numFmt w:val="bullet"/>
      <w:lvlText w:val=""/>
      <w:lvlJc w:val="left"/>
      <w:pPr>
        <w:ind w:left="2880" w:hanging="360"/>
      </w:pPr>
      <w:rPr>
        <w:rFonts w:ascii="Symbol" w:hAnsi="Symbol" w:hint="default"/>
      </w:rPr>
    </w:lvl>
    <w:lvl w:ilvl="4" w:tplc="9AF40146" w:tentative="1">
      <w:start w:val="1"/>
      <w:numFmt w:val="bullet"/>
      <w:lvlText w:val="o"/>
      <w:lvlJc w:val="left"/>
      <w:pPr>
        <w:ind w:left="3600" w:hanging="360"/>
      </w:pPr>
      <w:rPr>
        <w:rFonts w:ascii="Courier New" w:hAnsi="Courier New" w:hint="default"/>
      </w:rPr>
    </w:lvl>
    <w:lvl w:ilvl="5" w:tplc="5C2A0BBC" w:tentative="1">
      <w:start w:val="1"/>
      <w:numFmt w:val="bullet"/>
      <w:lvlText w:val=""/>
      <w:lvlJc w:val="left"/>
      <w:pPr>
        <w:ind w:left="4320" w:hanging="360"/>
      </w:pPr>
      <w:rPr>
        <w:rFonts w:ascii="Wingdings" w:hAnsi="Wingdings" w:hint="default"/>
      </w:rPr>
    </w:lvl>
    <w:lvl w:ilvl="6" w:tplc="79DC615E" w:tentative="1">
      <w:start w:val="1"/>
      <w:numFmt w:val="bullet"/>
      <w:lvlText w:val=""/>
      <w:lvlJc w:val="left"/>
      <w:pPr>
        <w:ind w:left="5040" w:hanging="360"/>
      </w:pPr>
      <w:rPr>
        <w:rFonts w:ascii="Symbol" w:hAnsi="Symbol" w:hint="default"/>
      </w:rPr>
    </w:lvl>
    <w:lvl w:ilvl="7" w:tplc="D0B445C0" w:tentative="1">
      <w:start w:val="1"/>
      <w:numFmt w:val="bullet"/>
      <w:lvlText w:val="o"/>
      <w:lvlJc w:val="left"/>
      <w:pPr>
        <w:ind w:left="5760" w:hanging="360"/>
      </w:pPr>
      <w:rPr>
        <w:rFonts w:ascii="Courier New" w:hAnsi="Courier New" w:hint="default"/>
      </w:rPr>
    </w:lvl>
    <w:lvl w:ilvl="8" w:tplc="6DDAC344" w:tentative="1">
      <w:start w:val="1"/>
      <w:numFmt w:val="bullet"/>
      <w:lvlText w:val=""/>
      <w:lvlJc w:val="left"/>
      <w:pPr>
        <w:ind w:left="6480" w:hanging="360"/>
      </w:pPr>
      <w:rPr>
        <w:rFonts w:ascii="Wingdings" w:hAnsi="Wingdings" w:hint="default"/>
      </w:rPr>
    </w:lvl>
  </w:abstractNum>
  <w:abstractNum w:abstractNumId="95" w15:restartNumberingAfterBreak="0">
    <w:nsid w:val="5D7AC9E4"/>
    <w:multiLevelType w:val="hybridMultilevel"/>
    <w:tmpl w:val="FFFFFFFF"/>
    <w:lvl w:ilvl="0" w:tplc="AEC43FAE">
      <w:start w:val="5"/>
      <w:numFmt w:val="bullet"/>
      <w:lvlText w:val="-"/>
      <w:lvlJc w:val="left"/>
      <w:pPr>
        <w:ind w:left="720" w:hanging="360"/>
      </w:pPr>
      <w:rPr>
        <w:rFonts w:ascii="Arial" w:hAnsi="Arial" w:hint="default"/>
      </w:rPr>
    </w:lvl>
    <w:lvl w:ilvl="1" w:tplc="8BF82E94">
      <w:start w:val="1"/>
      <w:numFmt w:val="bullet"/>
      <w:lvlText w:val="o"/>
      <w:lvlJc w:val="left"/>
      <w:pPr>
        <w:ind w:left="1440" w:hanging="360"/>
      </w:pPr>
      <w:rPr>
        <w:rFonts w:ascii="Courier New" w:hAnsi="Courier New" w:hint="default"/>
      </w:rPr>
    </w:lvl>
    <w:lvl w:ilvl="2" w:tplc="35E6333A">
      <w:start w:val="1"/>
      <w:numFmt w:val="bullet"/>
      <w:lvlText w:val=""/>
      <w:lvlJc w:val="left"/>
      <w:pPr>
        <w:ind w:left="2160" w:hanging="360"/>
      </w:pPr>
      <w:rPr>
        <w:rFonts w:ascii="Wingdings" w:hAnsi="Wingdings" w:hint="default"/>
      </w:rPr>
    </w:lvl>
    <w:lvl w:ilvl="3" w:tplc="9A369120">
      <w:start w:val="1"/>
      <w:numFmt w:val="bullet"/>
      <w:lvlText w:val=""/>
      <w:lvlJc w:val="left"/>
      <w:pPr>
        <w:ind w:left="2880" w:hanging="360"/>
      </w:pPr>
      <w:rPr>
        <w:rFonts w:ascii="Symbol" w:hAnsi="Symbol" w:hint="default"/>
      </w:rPr>
    </w:lvl>
    <w:lvl w:ilvl="4" w:tplc="1F927CE6">
      <w:start w:val="1"/>
      <w:numFmt w:val="bullet"/>
      <w:lvlText w:val="o"/>
      <w:lvlJc w:val="left"/>
      <w:pPr>
        <w:ind w:left="3600" w:hanging="360"/>
      </w:pPr>
      <w:rPr>
        <w:rFonts w:ascii="Courier New" w:hAnsi="Courier New" w:hint="default"/>
      </w:rPr>
    </w:lvl>
    <w:lvl w:ilvl="5" w:tplc="27540664">
      <w:start w:val="1"/>
      <w:numFmt w:val="bullet"/>
      <w:lvlText w:val=""/>
      <w:lvlJc w:val="left"/>
      <w:pPr>
        <w:ind w:left="4320" w:hanging="360"/>
      </w:pPr>
      <w:rPr>
        <w:rFonts w:ascii="Wingdings" w:hAnsi="Wingdings" w:hint="default"/>
      </w:rPr>
    </w:lvl>
    <w:lvl w:ilvl="6" w:tplc="7DD4A4E2">
      <w:start w:val="1"/>
      <w:numFmt w:val="bullet"/>
      <w:lvlText w:val=""/>
      <w:lvlJc w:val="left"/>
      <w:pPr>
        <w:ind w:left="5040" w:hanging="360"/>
      </w:pPr>
      <w:rPr>
        <w:rFonts w:ascii="Symbol" w:hAnsi="Symbol" w:hint="default"/>
      </w:rPr>
    </w:lvl>
    <w:lvl w:ilvl="7" w:tplc="23C0F998">
      <w:start w:val="1"/>
      <w:numFmt w:val="bullet"/>
      <w:lvlText w:val="o"/>
      <w:lvlJc w:val="left"/>
      <w:pPr>
        <w:ind w:left="5760" w:hanging="360"/>
      </w:pPr>
      <w:rPr>
        <w:rFonts w:ascii="Courier New" w:hAnsi="Courier New" w:hint="default"/>
      </w:rPr>
    </w:lvl>
    <w:lvl w:ilvl="8" w:tplc="02A85E98">
      <w:start w:val="1"/>
      <w:numFmt w:val="bullet"/>
      <w:lvlText w:val=""/>
      <w:lvlJc w:val="left"/>
      <w:pPr>
        <w:ind w:left="6480" w:hanging="360"/>
      </w:pPr>
      <w:rPr>
        <w:rFonts w:ascii="Wingdings" w:hAnsi="Wingdings" w:hint="default"/>
      </w:rPr>
    </w:lvl>
  </w:abstractNum>
  <w:abstractNum w:abstractNumId="96" w15:restartNumberingAfterBreak="0">
    <w:nsid w:val="5F102341"/>
    <w:multiLevelType w:val="hybridMultilevel"/>
    <w:tmpl w:val="943A126E"/>
    <w:lvl w:ilvl="0" w:tplc="B428F884">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7" w15:restartNumberingAfterBreak="0">
    <w:nsid w:val="60155000"/>
    <w:multiLevelType w:val="multilevel"/>
    <w:tmpl w:val="87BA5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02E2513"/>
    <w:multiLevelType w:val="hybridMultilevel"/>
    <w:tmpl w:val="FFFFFFFF"/>
    <w:lvl w:ilvl="0" w:tplc="89B0868E">
      <w:start w:val="1"/>
      <w:numFmt w:val="bullet"/>
      <w:lvlText w:val=""/>
      <w:lvlJc w:val="left"/>
      <w:pPr>
        <w:ind w:left="720" w:hanging="360"/>
      </w:pPr>
      <w:rPr>
        <w:rFonts w:ascii="Symbol" w:hAnsi="Symbol" w:hint="default"/>
      </w:rPr>
    </w:lvl>
    <w:lvl w:ilvl="1" w:tplc="9738CDA8">
      <w:start w:val="1"/>
      <w:numFmt w:val="bullet"/>
      <w:lvlText w:val="o"/>
      <w:lvlJc w:val="left"/>
      <w:pPr>
        <w:ind w:left="1440" w:hanging="360"/>
      </w:pPr>
      <w:rPr>
        <w:rFonts w:ascii="Courier New" w:hAnsi="Courier New" w:hint="default"/>
      </w:rPr>
    </w:lvl>
    <w:lvl w:ilvl="2" w:tplc="47D6376E">
      <w:start w:val="1"/>
      <w:numFmt w:val="bullet"/>
      <w:lvlText w:val=""/>
      <w:lvlJc w:val="left"/>
      <w:pPr>
        <w:ind w:left="2160" w:hanging="360"/>
      </w:pPr>
      <w:rPr>
        <w:rFonts w:ascii="Wingdings" w:hAnsi="Wingdings" w:hint="default"/>
      </w:rPr>
    </w:lvl>
    <w:lvl w:ilvl="3" w:tplc="C7663830">
      <w:start w:val="1"/>
      <w:numFmt w:val="bullet"/>
      <w:lvlText w:val=""/>
      <w:lvlJc w:val="left"/>
      <w:pPr>
        <w:ind w:left="2880" w:hanging="360"/>
      </w:pPr>
      <w:rPr>
        <w:rFonts w:ascii="Symbol" w:hAnsi="Symbol" w:hint="default"/>
      </w:rPr>
    </w:lvl>
    <w:lvl w:ilvl="4" w:tplc="F3E2CF98">
      <w:start w:val="1"/>
      <w:numFmt w:val="bullet"/>
      <w:lvlText w:val="o"/>
      <w:lvlJc w:val="left"/>
      <w:pPr>
        <w:ind w:left="3600" w:hanging="360"/>
      </w:pPr>
      <w:rPr>
        <w:rFonts w:ascii="Courier New" w:hAnsi="Courier New" w:hint="default"/>
      </w:rPr>
    </w:lvl>
    <w:lvl w:ilvl="5" w:tplc="9FA03E7C">
      <w:start w:val="1"/>
      <w:numFmt w:val="bullet"/>
      <w:lvlText w:val=""/>
      <w:lvlJc w:val="left"/>
      <w:pPr>
        <w:ind w:left="4320" w:hanging="360"/>
      </w:pPr>
      <w:rPr>
        <w:rFonts w:ascii="Wingdings" w:hAnsi="Wingdings" w:hint="default"/>
      </w:rPr>
    </w:lvl>
    <w:lvl w:ilvl="6" w:tplc="974E2C96">
      <w:start w:val="1"/>
      <w:numFmt w:val="bullet"/>
      <w:lvlText w:val=""/>
      <w:lvlJc w:val="left"/>
      <w:pPr>
        <w:ind w:left="5040" w:hanging="360"/>
      </w:pPr>
      <w:rPr>
        <w:rFonts w:ascii="Symbol" w:hAnsi="Symbol" w:hint="default"/>
      </w:rPr>
    </w:lvl>
    <w:lvl w:ilvl="7" w:tplc="E73CB01C">
      <w:start w:val="1"/>
      <w:numFmt w:val="bullet"/>
      <w:lvlText w:val="o"/>
      <w:lvlJc w:val="left"/>
      <w:pPr>
        <w:ind w:left="5760" w:hanging="360"/>
      </w:pPr>
      <w:rPr>
        <w:rFonts w:ascii="Courier New" w:hAnsi="Courier New" w:hint="default"/>
      </w:rPr>
    </w:lvl>
    <w:lvl w:ilvl="8" w:tplc="93C0DBAA">
      <w:start w:val="1"/>
      <w:numFmt w:val="bullet"/>
      <w:lvlText w:val=""/>
      <w:lvlJc w:val="left"/>
      <w:pPr>
        <w:ind w:left="6480" w:hanging="360"/>
      </w:pPr>
      <w:rPr>
        <w:rFonts w:ascii="Wingdings" w:hAnsi="Wingdings" w:hint="default"/>
      </w:rPr>
    </w:lvl>
  </w:abstractNum>
  <w:abstractNum w:abstractNumId="99"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00" w15:restartNumberingAfterBreak="0">
    <w:nsid w:val="60AE3059"/>
    <w:multiLevelType w:val="hybridMultilevel"/>
    <w:tmpl w:val="83A02530"/>
    <w:lvl w:ilvl="0" w:tplc="EDFA1A82">
      <w:start w:val="1"/>
      <w:numFmt w:val="bullet"/>
      <w:lvlText w:val=""/>
      <w:lvlJc w:val="left"/>
      <w:pPr>
        <w:ind w:left="1440" w:hanging="360"/>
      </w:pPr>
      <w:rPr>
        <w:rFonts w:ascii="Symbol" w:hAnsi="Symbol"/>
      </w:rPr>
    </w:lvl>
    <w:lvl w:ilvl="1" w:tplc="1BFAC2E2">
      <w:start w:val="1"/>
      <w:numFmt w:val="bullet"/>
      <w:lvlText w:val=""/>
      <w:lvlJc w:val="left"/>
      <w:pPr>
        <w:ind w:left="2160" w:hanging="360"/>
      </w:pPr>
      <w:rPr>
        <w:rFonts w:ascii="Symbol" w:hAnsi="Symbol"/>
      </w:rPr>
    </w:lvl>
    <w:lvl w:ilvl="2" w:tplc="6C021EE2">
      <w:start w:val="1"/>
      <w:numFmt w:val="bullet"/>
      <w:lvlText w:val=""/>
      <w:lvlJc w:val="left"/>
      <w:pPr>
        <w:ind w:left="1440" w:hanging="360"/>
      </w:pPr>
      <w:rPr>
        <w:rFonts w:ascii="Symbol" w:hAnsi="Symbol"/>
      </w:rPr>
    </w:lvl>
    <w:lvl w:ilvl="3" w:tplc="4D6EF804">
      <w:start w:val="1"/>
      <w:numFmt w:val="bullet"/>
      <w:lvlText w:val=""/>
      <w:lvlJc w:val="left"/>
      <w:pPr>
        <w:ind w:left="1440" w:hanging="360"/>
      </w:pPr>
      <w:rPr>
        <w:rFonts w:ascii="Symbol" w:hAnsi="Symbol"/>
      </w:rPr>
    </w:lvl>
    <w:lvl w:ilvl="4" w:tplc="4F664CDA">
      <w:start w:val="1"/>
      <w:numFmt w:val="bullet"/>
      <w:lvlText w:val=""/>
      <w:lvlJc w:val="left"/>
      <w:pPr>
        <w:ind w:left="1440" w:hanging="360"/>
      </w:pPr>
      <w:rPr>
        <w:rFonts w:ascii="Symbol" w:hAnsi="Symbol"/>
      </w:rPr>
    </w:lvl>
    <w:lvl w:ilvl="5" w:tplc="96D4CA9E">
      <w:start w:val="1"/>
      <w:numFmt w:val="bullet"/>
      <w:lvlText w:val=""/>
      <w:lvlJc w:val="left"/>
      <w:pPr>
        <w:ind w:left="1440" w:hanging="360"/>
      </w:pPr>
      <w:rPr>
        <w:rFonts w:ascii="Symbol" w:hAnsi="Symbol"/>
      </w:rPr>
    </w:lvl>
    <w:lvl w:ilvl="6" w:tplc="C06093B4">
      <w:start w:val="1"/>
      <w:numFmt w:val="bullet"/>
      <w:lvlText w:val=""/>
      <w:lvlJc w:val="left"/>
      <w:pPr>
        <w:ind w:left="1440" w:hanging="360"/>
      </w:pPr>
      <w:rPr>
        <w:rFonts w:ascii="Symbol" w:hAnsi="Symbol"/>
      </w:rPr>
    </w:lvl>
    <w:lvl w:ilvl="7" w:tplc="E0522492">
      <w:start w:val="1"/>
      <w:numFmt w:val="bullet"/>
      <w:lvlText w:val=""/>
      <w:lvlJc w:val="left"/>
      <w:pPr>
        <w:ind w:left="1440" w:hanging="360"/>
      </w:pPr>
      <w:rPr>
        <w:rFonts w:ascii="Symbol" w:hAnsi="Symbol"/>
      </w:rPr>
    </w:lvl>
    <w:lvl w:ilvl="8" w:tplc="412A62DA">
      <w:start w:val="1"/>
      <w:numFmt w:val="bullet"/>
      <w:lvlText w:val=""/>
      <w:lvlJc w:val="left"/>
      <w:pPr>
        <w:ind w:left="1440" w:hanging="360"/>
      </w:pPr>
      <w:rPr>
        <w:rFonts w:ascii="Symbol" w:hAnsi="Symbol"/>
      </w:rPr>
    </w:lvl>
  </w:abstractNum>
  <w:abstractNum w:abstractNumId="101" w15:restartNumberingAfterBreak="0">
    <w:nsid w:val="60D22BD4"/>
    <w:multiLevelType w:val="hybridMultilevel"/>
    <w:tmpl w:val="D33C564C"/>
    <w:lvl w:ilvl="0" w:tplc="1A161576">
      <w:start w:val="1"/>
      <w:numFmt w:val="bullet"/>
      <w:lvlText w:val=""/>
      <w:lvlJc w:val="left"/>
      <w:pPr>
        <w:ind w:left="720" w:hanging="360"/>
      </w:pPr>
      <w:rPr>
        <w:rFonts w:ascii="Symbol" w:hAnsi="Symbol" w:hint="default"/>
      </w:rPr>
    </w:lvl>
    <w:lvl w:ilvl="1" w:tplc="8E70FA26" w:tentative="1">
      <w:start w:val="1"/>
      <w:numFmt w:val="bullet"/>
      <w:lvlText w:val="o"/>
      <w:lvlJc w:val="left"/>
      <w:pPr>
        <w:ind w:left="1440" w:hanging="360"/>
      </w:pPr>
      <w:rPr>
        <w:rFonts w:ascii="Courier New" w:hAnsi="Courier New" w:hint="default"/>
      </w:rPr>
    </w:lvl>
    <w:lvl w:ilvl="2" w:tplc="0E94C81A" w:tentative="1">
      <w:start w:val="1"/>
      <w:numFmt w:val="bullet"/>
      <w:lvlText w:val=""/>
      <w:lvlJc w:val="left"/>
      <w:pPr>
        <w:ind w:left="2160" w:hanging="360"/>
      </w:pPr>
      <w:rPr>
        <w:rFonts w:ascii="Wingdings" w:hAnsi="Wingdings" w:hint="default"/>
      </w:rPr>
    </w:lvl>
    <w:lvl w:ilvl="3" w:tplc="117C311C" w:tentative="1">
      <w:start w:val="1"/>
      <w:numFmt w:val="bullet"/>
      <w:lvlText w:val=""/>
      <w:lvlJc w:val="left"/>
      <w:pPr>
        <w:ind w:left="2880" w:hanging="360"/>
      </w:pPr>
      <w:rPr>
        <w:rFonts w:ascii="Symbol" w:hAnsi="Symbol" w:hint="default"/>
      </w:rPr>
    </w:lvl>
    <w:lvl w:ilvl="4" w:tplc="560C5EAA" w:tentative="1">
      <w:start w:val="1"/>
      <w:numFmt w:val="bullet"/>
      <w:lvlText w:val="o"/>
      <w:lvlJc w:val="left"/>
      <w:pPr>
        <w:ind w:left="3600" w:hanging="360"/>
      </w:pPr>
      <w:rPr>
        <w:rFonts w:ascii="Courier New" w:hAnsi="Courier New" w:hint="default"/>
      </w:rPr>
    </w:lvl>
    <w:lvl w:ilvl="5" w:tplc="1004A7BC" w:tentative="1">
      <w:start w:val="1"/>
      <w:numFmt w:val="bullet"/>
      <w:lvlText w:val=""/>
      <w:lvlJc w:val="left"/>
      <w:pPr>
        <w:ind w:left="4320" w:hanging="360"/>
      </w:pPr>
      <w:rPr>
        <w:rFonts w:ascii="Wingdings" w:hAnsi="Wingdings" w:hint="default"/>
      </w:rPr>
    </w:lvl>
    <w:lvl w:ilvl="6" w:tplc="6CE27E0E" w:tentative="1">
      <w:start w:val="1"/>
      <w:numFmt w:val="bullet"/>
      <w:lvlText w:val=""/>
      <w:lvlJc w:val="left"/>
      <w:pPr>
        <w:ind w:left="5040" w:hanging="360"/>
      </w:pPr>
      <w:rPr>
        <w:rFonts w:ascii="Symbol" w:hAnsi="Symbol" w:hint="default"/>
      </w:rPr>
    </w:lvl>
    <w:lvl w:ilvl="7" w:tplc="7C1A9556" w:tentative="1">
      <w:start w:val="1"/>
      <w:numFmt w:val="bullet"/>
      <w:lvlText w:val="o"/>
      <w:lvlJc w:val="left"/>
      <w:pPr>
        <w:ind w:left="5760" w:hanging="360"/>
      </w:pPr>
      <w:rPr>
        <w:rFonts w:ascii="Courier New" w:hAnsi="Courier New" w:hint="default"/>
      </w:rPr>
    </w:lvl>
    <w:lvl w:ilvl="8" w:tplc="98D6BF20" w:tentative="1">
      <w:start w:val="1"/>
      <w:numFmt w:val="bullet"/>
      <w:lvlText w:val=""/>
      <w:lvlJc w:val="left"/>
      <w:pPr>
        <w:ind w:left="6480" w:hanging="360"/>
      </w:pPr>
      <w:rPr>
        <w:rFonts w:ascii="Wingdings" w:hAnsi="Wingdings" w:hint="default"/>
      </w:rPr>
    </w:lvl>
  </w:abstractNum>
  <w:abstractNum w:abstractNumId="102" w15:restartNumberingAfterBreak="0">
    <w:nsid w:val="61861072"/>
    <w:multiLevelType w:val="hybridMultilevel"/>
    <w:tmpl w:val="190404D6"/>
    <w:lvl w:ilvl="0" w:tplc="322C0DC2">
      <w:start w:val="5"/>
      <w:numFmt w:val="bullet"/>
      <w:lvlText w:val="-"/>
      <w:lvlJc w:val="left"/>
      <w:pPr>
        <w:ind w:left="720" w:hanging="360"/>
      </w:pPr>
      <w:rPr>
        <w:rFonts w:ascii="Arial" w:hAnsi="Arial" w:hint="default"/>
      </w:rPr>
    </w:lvl>
    <w:lvl w:ilvl="1" w:tplc="1CAAFFB8" w:tentative="1">
      <w:start w:val="1"/>
      <w:numFmt w:val="bullet"/>
      <w:lvlText w:val="o"/>
      <w:lvlJc w:val="left"/>
      <w:pPr>
        <w:ind w:left="1440" w:hanging="360"/>
      </w:pPr>
      <w:rPr>
        <w:rFonts w:ascii="Courier New" w:hAnsi="Courier New" w:hint="default"/>
      </w:rPr>
    </w:lvl>
    <w:lvl w:ilvl="2" w:tplc="CE2AB42A" w:tentative="1">
      <w:start w:val="1"/>
      <w:numFmt w:val="bullet"/>
      <w:lvlText w:val=""/>
      <w:lvlJc w:val="left"/>
      <w:pPr>
        <w:ind w:left="2160" w:hanging="360"/>
      </w:pPr>
      <w:rPr>
        <w:rFonts w:ascii="Wingdings" w:hAnsi="Wingdings" w:hint="default"/>
      </w:rPr>
    </w:lvl>
    <w:lvl w:ilvl="3" w:tplc="5D364252" w:tentative="1">
      <w:start w:val="1"/>
      <w:numFmt w:val="bullet"/>
      <w:lvlText w:val=""/>
      <w:lvlJc w:val="left"/>
      <w:pPr>
        <w:ind w:left="2880" w:hanging="360"/>
      </w:pPr>
      <w:rPr>
        <w:rFonts w:ascii="Symbol" w:hAnsi="Symbol" w:hint="default"/>
      </w:rPr>
    </w:lvl>
    <w:lvl w:ilvl="4" w:tplc="A13AD342" w:tentative="1">
      <w:start w:val="1"/>
      <w:numFmt w:val="bullet"/>
      <w:lvlText w:val="o"/>
      <w:lvlJc w:val="left"/>
      <w:pPr>
        <w:ind w:left="3600" w:hanging="360"/>
      </w:pPr>
      <w:rPr>
        <w:rFonts w:ascii="Courier New" w:hAnsi="Courier New" w:hint="default"/>
      </w:rPr>
    </w:lvl>
    <w:lvl w:ilvl="5" w:tplc="027A5C0A" w:tentative="1">
      <w:start w:val="1"/>
      <w:numFmt w:val="bullet"/>
      <w:lvlText w:val=""/>
      <w:lvlJc w:val="left"/>
      <w:pPr>
        <w:ind w:left="4320" w:hanging="360"/>
      </w:pPr>
      <w:rPr>
        <w:rFonts w:ascii="Wingdings" w:hAnsi="Wingdings" w:hint="default"/>
      </w:rPr>
    </w:lvl>
    <w:lvl w:ilvl="6" w:tplc="3EDE5892" w:tentative="1">
      <w:start w:val="1"/>
      <w:numFmt w:val="bullet"/>
      <w:lvlText w:val=""/>
      <w:lvlJc w:val="left"/>
      <w:pPr>
        <w:ind w:left="5040" w:hanging="360"/>
      </w:pPr>
      <w:rPr>
        <w:rFonts w:ascii="Symbol" w:hAnsi="Symbol" w:hint="default"/>
      </w:rPr>
    </w:lvl>
    <w:lvl w:ilvl="7" w:tplc="614636AC" w:tentative="1">
      <w:start w:val="1"/>
      <w:numFmt w:val="bullet"/>
      <w:lvlText w:val="o"/>
      <w:lvlJc w:val="left"/>
      <w:pPr>
        <w:ind w:left="5760" w:hanging="360"/>
      </w:pPr>
      <w:rPr>
        <w:rFonts w:ascii="Courier New" w:hAnsi="Courier New" w:hint="default"/>
      </w:rPr>
    </w:lvl>
    <w:lvl w:ilvl="8" w:tplc="EDB833F8" w:tentative="1">
      <w:start w:val="1"/>
      <w:numFmt w:val="bullet"/>
      <w:lvlText w:val=""/>
      <w:lvlJc w:val="left"/>
      <w:pPr>
        <w:ind w:left="6480" w:hanging="360"/>
      </w:pPr>
      <w:rPr>
        <w:rFonts w:ascii="Wingdings" w:hAnsi="Wingdings" w:hint="default"/>
      </w:rPr>
    </w:lvl>
  </w:abstractNum>
  <w:abstractNum w:abstractNumId="103" w15:restartNumberingAfterBreak="0">
    <w:nsid w:val="61C5B430"/>
    <w:multiLevelType w:val="hybridMultilevel"/>
    <w:tmpl w:val="FFFFFFFF"/>
    <w:lvl w:ilvl="0" w:tplc="EA50B568">
      <w:start w:val="1"/>
      <w:numFmt w:val="bullet"/>
      <w:lvlText w:val=""/>
      <w:lvlJc w:val="left"/>
      <w:pPr>
        <w:ind w:left="720" w:hanging="360"/>
      </w:pPr>
      <w:rPr>
        <w:rFonts w:ascii="Symbol" w:hAnsi="Symbol" w:hint="default"/>
      </w:rPr>
    </w:lvl>
    <w:lvl w:ilvl="1" w:tplc="081A16FE">
      <w:start w:val="1"/>
      <w:numFmt w:val="bullet"/>
      <w:lvlText w:val="o"/>
      <w:lvlJc w:val="left"/>
      <w:pPr>
        <w:ind w:left="1440" w:hanging="360"/>
      </w:pPr>
      <w:rPr>
        <w:rFonts w:ascii="Courier New" w:hAnsi="Courier New" w:hint="default"/>
      </w:rPr>
    </w:lvl>
    <w:lvl w:ilvl="2" w:tplc="59A47F1E">
      <w:start w:val="1"/>
      <w:numFmt w:val="bullet"/>
      <w:lvlText w:val=""/>
      <w:lvlJc w:val="left"/>
      <w:pPr>
        <w:ind w:left="2160" w:hanging="360"/>
      </w:pPr>
      <w:rPr>
        <w:rFonts w:ascii="Wingdings" w:hAnsi="Wingdings" w:hint="default"/>
      </w:rPr>
    </w:lvl>
    <w:lvl w:ilvl="3" w:tplc="00FAF06A">
      <w:start w:val="1"/>
      <w:numFmt w:val="bullet"/>
      <w:lvlText w:val=""/>
      <w:lvlJc w:val="left"/>
      <w:pPr>
        <w:ind w:left="2880" w:hanging="360"/>
      </w:pPr>
      <w:rPr>
        <w:rFonts w:ascii="Symbol" w:hAnsi="Symbol" w:hint="default"/>
      </w:rPr>
    </w:lvl>
    <w:lvl w:ilvl="4" w:tplc="A86E16CA">
      <w:start w:val="1"/>
      <w:numFmt w:val="bullet"/>
      <w:lvlText w:val="o"/>
      <w:lvlJc w:val="left"/>
      <w:pPr>
        <w:ind w:left="3600" w:hanging="360"/>
      </w:pPr>
      <w:rPr>
        <w:rFonts w:ascii="Courier New" w:hAnsi="Courier New" w:hint="default"/>
      </w:rPr>
    </w:lvl>
    <w:lvl w:ilvl="5" w:tplc="C568AEB2">
      <w:start w:val="1"/>
      <w:numFmt w:val="bullet"/>
      <w:lvlText w:val=""/>
      <w:lvlJc w:val="left"/>
      <w:pPr>
        <w:ind w:left="4320" w:hanging="360"/>
      </w:pPr>
      <w:rPr>
        <w:rFonts w:ascii="Wingdings" w:hAnsi="Wingdings" w:hint="default"/>
      </w:rPr>
    </w:lvl>
    <w:lvl w:ilvl="6" w:tplc="72E64E4C">
      <w:start w:val="1"/>
      <w:numFmt w:val="bullet"/>
      <w:lvlText w:val=""/>
      <w:lvlJc w:val="left"/>
      <w:pPr>
        <w:ind w:left="5040" w:hanging="360"/>
      </w:pPr>
      <w:rPr>
        <w:rFonts w:ascii="Symbol" w:hAnsi="Symbol" w:hint="default"/>
      </w:rPr>
    </w:lvl>
    <w:lvl w:ilvl="7" w:tplc="38A463BA">
      <w:start w:val="1"/>
      <w:numFmt w:val="bullet"/>
      <w:lvlText w:val="o"/>
      <w:lvlJc w:val="left"/>
      <w:pPr>
        <w:ind w:left="5760" w:hanging="360"/>
      </w:pPr>
      <w:rPr>
        <w:rFonts w:ascii="Courier New" w:hAnsi="Courier New" w:hint="default"/>
      </w:rPr>
    </w:lvl>
    <w:lvl w:ilvl="8" w:tplc="5FF803C6">
      <w:start w:val="1"/>
      <w:numFmt w:val="bullet"/>
      <w:lvlText w:val=""/>
      <w:lvlJc w:val="left"/>
      <w:pPr>
        <w:ind w:left="6480" w:hanging="360"/>
      </w:pPr>
      <w:rPr>
        <w:rFonts w:ascii="Wingdings" w:hAnsi="Wingdings" w:hint="default"/>
      </w:rPr>
    </w:lvl>
  </w:abstractNum>
  <w:abstractNum w:abstractNumId="104" w15:restartNumberingAfterBreak="0">
    <w:nsid w:val="635E5CEE"/>
    <w:multiLevelType w:val="hybridMultilevel"/>
    <w:tmpl w:val="11703904"/>
    <w:lvl w:ilvl="0" w:tplc="072EACD6">
      <w:start w:val="1"/>
      <w:numFmt w:val="bullet"/>
      <w:lvlText w:val=""/>
      <w:lvlJc w:val="left"/>
      <w:pPr>
        <w:ind w:left="1440" w:hanging="360"/>
      </w:pPr>
      <w:rPr>
        <w:rFonts w:ascii="Symbol" w:hAnsi="Symbol"/>
      </w:rPr>
    </w:lvl>
    <w:lvl w:ilvl="1" w:tplc="BE9AB574">
      <w:start w:val="1"/>
      <w:numFmt w:val="bullet"/>
      <w:lvlText w:val=""/>
      <w:lvlJc w:val="left"/>
      <w:pPr>
        <w:ind w:left="2160" w:hanging="360"/>
      </w:pPr>
      <w:rPr>
        <w:rFonts w:ascii="Symbol" w:hAnsi="Symbol"/>
      </w:rPr>
    </w:lvl>
    <w:lvl w:ilvl="2" w:tplc="EF82147E">
      <w:start w:val="1"/>
      <w:numFmt w:val="bullet"/>
      <w:lvlText w:val=""/>
      <w:lvlJc w:val="left"/>
      <w:pPr>
        <w:ind w:left="1440" w:hanging="360"/>
      </w:pPr>
      <w:rPr>
        <w:rFonts w:ascii="Symbol" w:hAnsi="Symbol"/>
      </w:rPr>
    </w:lvl>
    <w:lvl w:ilvl="3" w:tplc="6292F7C8">
      <w:start w:val="1"/>
      <w:numFmt w:val="bullet"/>
      <w:lvlText w:val=""/>
      <w:lvlJc w:val="left"/>
      <w:pPr>
        <w:ind w:left="1440" w:hanging="360"/>
      </w:pPr>
      <w:rPr>
        <w:rFonts w:ascii="Symbol" w:hAnsi="Symbol"/>
      </w:rPr>
    </w:lvl>
    <w:lvl w:ilvl="4" w:tplc="642C5E42">
      <w:start w:val="1"/>
      <w:numFmt w:val="bullet"/>
      <w:lvlText w:val=""/>
      <w:lvlJc w:val="left"/>
      <w:pPr>
        <w:ind w:left="1440" w:hanging="360"/>
      </w:pPr>
      <w:rPr>
        <w:rFonts w:ascii="Symbol" w:hAnsi="Symbol"/>
      </w:rPr>
    </w:lvl>
    <w:lvl w:ilvl="5" w:tplc="977275A6">
      <w:start w:val="1"/>
      <w:numFmt w:val="bullet"/>
      <w:lvlText w:val=""/>
      <w:lvlJc w:val="left"/>
      <w:pPr>
        <w:ind w:left="1440" w:hanging="360"/>
      </w:pPr>
      <w:rPr>
        <w:rFonts w:ascii="Symbol" w:hAnsi="Symbol"/>
      </w:rPr>
    </w:lvl>
    <w:lvl w:ilvl="6" w:tplc="C96CE776">
      <w:start w:val="1"/>
      <w:numFmt w:val="bullet"/>
      <w:lvlText w:val=""/>
      <w:lvlJc w:val="left"/>
      <w:pPr>
        <w:ind w:left="1440" w:hanging="360"/>
      </w:pPr>
      <w:rPr>
        <w:rFonts w:ascii="Symbol" w:hAnsi="Symbol"/>
      </w:rPr>
    </w:lvl>
    <w:lvl w:ilvl="7" w:tplc="379EF0EC">
      <w:start w:val="1"/>
      <w:numFmt w:val="bullet"/>
      <w:lvlText w:val=""/>
      <w:lvlJc w:val="left"/>
      <w:pPr>
        <w:ind w:left="1440" w:hanging="360"/>
      </w:pPr>
      <w:rPr>
        <w:rFonts w:ascii="Symbol" w:hAnsi="Symbol"/>
      </w:rPr>
    </w:lvl>
    <w:lvl w:ilvl="8" w:tplc="3A4AAFA0">
      <w:start w:val="1"/>
      <w:numFmt w:val="bullet"/>
      <w:lvlText w:val=""/>
      <w:lvlJc w:val="left"/>
      <w:pPr>
        <w:ind w:left="1440" w:hanging="360"/>
      </w:pPr>
      <w:rPr>
        <w:rFonts w:ascii="Symbol" w:hAnsi="Symbol"/>
      </w:rPr>
    </w:lvl>
  </w:abstractNum>
  <w:abstractNum w:abstractNumId="105" w15:restartNumberingAfterBreak="0">
    <w:nsid w:val="636D1533"/>
    <w:multiLevelType w:val="hybridMultilevel"/>
    <w:tmpl w:val="0106C05A"/>
    <w:lvl w:ilvl="0" w:tplc="81FE8D6A">
      <w:start w:val="1"/>
      <w:numFmt w:val="bullet"/>
      <w:lvlText w:val=""/>
      <w:lvlJc w:val="left"/>
      <w:pPr>
        <w:ind w:left="720" w:hanging="360"/>
      </w:pPr>
      <w:rPr>
        <w:rFonts w:ascii="Symbol" w:hAnsi="Symbol" w:hint="default"/>
      </w:rPr>
    </w:lvl>
    <w:lvl w:ilvl="1" w:tplc="89F89166" w:tentative="1">
      <w:start w:val="1"/>
      <w:numFmt w:val="bullet"/>
      <w:lvlText w:val="o"/>
      <w:lvlJc w:val="left"/>
      <w:pPr>
        <w:ind w:left="1440" w:hanging="360"/>
      </w:pPr>
      <w:rPr>
        <w:rFonts w:ascii="Courier New" w:hAnsi="Courier New" w:hint="default"/>
      </w:rPr>
    </w:lvl>
    <w:lvl w:ilvl="2" w:tplc="9D32F978" w:tentative="1">
      <w:start w:val="1"/>
      <w:numFmt w:val="bullet"/>
      <w:lvlText w:val=""/>
      <w:lvlJc w:val="left"/>
      <w:pPr>
        <w:ind w:left="2160" w:hanging="360"/>
      </w:pPr>
      <w:rPr>
        <w:rFonts w:ascii="Wingdings" w:hAnsi="Wingdings" w:hint="default"/>
      </w:rPr>
    </w:lvl>
    <w:lvl w:ilvl="3" w:tplc="0350713E" w:tentative="1">
      <w:start w:val="1"/>
      <w:numFmt w:val="bullet"/>
      <w:lvlText w:val=""/>
      <w:lvlJc w:val="left"/>
      <w:pPr>
        <w:ind w:left="2880" w:hanging="360"/>
      </w:pPr>
      <w:rPr>
        <w:rFonts w:ascii="Symbol" w:hAnsi="Symbol" w:hint="default"/>
      </w:rPr>
    </w:lvl>
    <w:lvl w:ilvl="4" w:tplc="E8849D7A" w:tentative="1">
      <w:start w:val="1"/>
      <w:numFmt w:val="bullet"/>
      <w:lvlText w:val="o"/>
      <w:lvlJc w:val="left"/>
      <w:pPr>
        <w:ind w:left="3600" w:hanging="360"/>
      </w:pPr>
      <w:rPr>
        <w:rFonts w:ascii="Courier New" w:hAnsi="Courier New" w:hint="default"/>
      </w:rPr>
    </w:lvl>
    <w:lvl w:ilvl="5" w:tplc="DAC43888" w:tentative="1">
      <w:start w:val="1"/>
      <w:numFmt w:val="bullet"/>
      <w:lvlText w:val=""/>
      <w:lvlJc w:val="left"/>
      <w:pPr>
        <w:ind w:left="4320" w:hanging="360"/>
      </w:pPr>
      <w:rPr>
        <w:rFonts w:ascii="Wingdings" w:hAnsi="Wingdings" w:hint="default"/>
      </w:rPr>
    </w:lvl>
    <w:lvl w:ilvl="6" w:tplc="2132EC60" w:tentative="1">
      <w:start w:val="1"/>
      <w:numFmt w:val="bullet"/>
      <w:lvlText w:val=""/>
      <w:lvlJc w:val="left"/>
      <w:pPr>
        <w:ind w:left="5040" w:hanging="360"/>
      </w:pPr>
      <w:rPr>
        <w:rFonts w:ascii="Symbol" w:hAnsi="Symbol" w:hint="default"/>
      </w:rPr>
    </w:lvl>
    <w:lvl w:ilvl="7" w:tplc="9E14D20C" w:tentative="1">
      <w:start w:val="1"/>
      <w:numFmt w:val="bullet"/>
      <w:lvlText w:val="o"/>
      <w:lvlJc w:val="left"/>
      <w:pPr>
        <w:ind w:left="5760" w:hanging="360"/>
      </w:pPr>
      <w:rPr>
        <w:rFonts w:ascii="Courier New" w:hAnsi="Courier New" w:hint="default"/>
      </w:rPr>
    </w:lvl>
    <w:lvl w:ilvl="8" w:tplc="98C8AC2A" w:tentative="1">
      <w:start w:val="1"/>
      <w:numFmt w:val="bullet"/>
      <w:lvlText w:val=""/>
      <w:lvlJc w:val="left"/>
      <w:pPr>
        <w:ind w:left="6480" w:hanging="360"/>
      </w:pPr>
      <w:rPr>
        <w:rFonts w:ascii="Wingdings" w:hAnsi="Wingdings" w:hint="default"/>
      </w:rPr>
    </w:lvl>
  </w:abstractNum>
  <w:abstractNum w:abstractNumId="106" w15:restartNumberingAfterBreak="0">
    <w:nsid w:val="64CEF71A"/>
    <w:multiLevelType w:val="hybridMultilevel"/>
    <w:tmpl w:val="FFFFFFFF"/>
    <w:lvl w:ilvl="0" w:tplc="1AF44308">
      <w:start w:val="1"/>
      <w:numFmt w:val="bullet"/>
      <w:lvlText w:val="-"/>
      <w:lvlJc w:val="left"/>
      <w:pPr>
        <w:ind w:left="360" w:hanging="360"/>
      </w:pPr>
      <w:rPr>
        <w:rFonts w:ascii="Aptos" w:hAnsi="Aptos" w:hint="default"/>
      </w:rPr>
    </w:lvl>
    <w:lvl w:ilvl="1" w:tplc="FE780376">
      <w:start w:val="1"/>
      <w:numFmt w:val="bullet"/>
      <w:lvlText w:val="o"/>
      <w:lvlJc w:val="left"/>
      <w:pPr>
        <w:ind w:left="1080" w:hanging="360"/>
      </w:pPr>
      <w:rPr>
        <w:rFonts w:ascii="Courier New" w:hAnsi="Courier New" w:hint="default"/>
      </w:rPr>
    </w:lvl>
    <w:lvl w:ilvl="2" w:tplc="23302BF0">
      <w:start w:val="1"/>
      <w:numFmt w:val="bullet"/>
      <w:lvlText w:val=""/>
      <w:lvlJc w:val="left"/>
      <w:pPr>
        <w:ind w:left="1800" w:hanging="360"/>
      </w:pPr>
      <w:rPr>
        <w:rFonts w:ascii="Wingdings" w:hAnsi="Wingdings" w:hint="default"/>
      </w:rPr>
    </w:lvl>
    <w:lvl w:ilvl="3" w:tplc="0ACEF754">
      <w:start w:val="1"/>
      <w:numFmt w:val="bullet"/>
      <w:lvlText w:val=""/>
      <w:lvlJc w:val="left"/>
      <w:pPr>
        <w:ind w:left="2520" w:hanging="360"/>
      </w:pPr>
      <w:rPr>
        <w:rFonts w:ascii="Symbol" w:hAnsi="Symbol" w:hint="default"/>
      </w:rPr>
    </w:lvl>
    <w:lvl w:ilvl="4" w:tplc="DDE66B24">
      <w:start w:val="1"/>
      <w:numFmt w:val="bullet"/>
      <w:lvlText w:val="o"/>
      <w:lvlJc w:val="left"/>
      <w:pPr>
        <w:ind w:left="3240" w:hanging="360"/>
      </w:pPr>
      <w:rPr>
        <w:rFonts w:ascii="Courier New" w:hAnsi="Courier New" w:hint="default"/>
      </w:rPr>
    </w:lvl>
    <w:lvl w:ilvl="5" w:tplc="D8360B5A">
      <w:start w:val="1"/>
      <w:numFmt w:val="bullet"/>
      <w:lvlText w:val=""/>
      <w:lvlJc w:val="left"/>
      <w:pPr>
        <w:ind w:left="3960" w:hanging="360"/>
      </w:pPr>
      <w:rPr>
        <w:rFonts w:ascii="Wingdings" w:hAnsi="Wingdings" w:hint="default"/>
      </w:rPr>
    </w:lvl>
    <w:lvl w:ilvl="6" w:tplc="D59A0240">
      <w:start w:val="1"/>
      <w:numFmt w:val="bullet"/>
      <w:lvlText w:val=""/>
      <w:lvlJc w:val="left"/>
      <w:pPr>
        <w:ind w:left="4680" w:hanging="360"/>
      </w:pPr>
      <w:rPr>
        <w:rFonts w:ascii="Symbol" w:hAnsi="Symbol" w:hint="default"/>
      </w:rPr>
    </w:lvl>
    <w:lvl w:ilvl="7" w:tplc="A7282986">
      <w:start w:val="1"/>
      <w:numFmt w:val="bullet"/>
      <w:lvlText w:val="o"/>
      <w:lvlJc w:val="left"/>
      <w:pPr>
        <w:ind w:left="5400" w:hanging="360"/>
      </w:pPr>
      <w:rPr>
        <w:rFonts w:ascii="Courier New" w:hAnsi="Courier New" w:hint="default"/>
      </w:rPr>
    </w:lvl>
    <w:lvl w:ilvl="8" w:tplc="76A4DF48">
      <w:start w:val="1"/>
      <w:numFmt w:val="bullet"/>
      <w:lvlText w:val=""/>
      <w:lvlJc w:val="left"/>
      <w:pPr>
        <w:ind w:left="6120" w:hanging="360"/>
      </w:pPr>
      <w:rPr>
        <w:rFonts w:ascii="Wingdings" w:hAnsi="Wingdings" w:hint="default"/>
      </w:rPr>
    </w:lvl>
  </w:abstractNum>
  <w:abstractNum w:abstractNumId="107" w15:restartNumberingAfterBreak="0">
    <w:nsid w:val="64D75C60"/>
    <w:multiLevelType w:val="hybridMultilevel"/>
    <w:tmpl w:val="539279F0"/>
    <w:lvl w:ilvl="0" w:tplc="87A4398A">
      <w:start w:val="1"/>
      <w:numFmt w:val="bullet"/>
      <w:lvlText w:val=""/>
      <w:lvlJc w:val="left"/>
      <w:pPr>
        <w:ind w:left="720" w:hanging="360"/>
      </w:pPr>
      <w:rPr>
        <w:rFonts w:ascii="Symbol" w:hAnsi="Symbol"/>
      </w:rPr>
    </w:lvl>
    <w:lvl w:ilvl="1" w:tplc="B6845D9C">
      <w:start w:val="1"/>
      <w:numFmt w:val="bullet"/>
      <w:lvlText w:val=""/>
      <w:lvlJc w:val="left"/>
      <w:pPr>
        <w:ind w:left="720" w:hanging="360"/>
      </w:pPr>
      <w:rPr>
        <w:rFonts w:ascii="Symbol" w:hAnsi="Symbol"/>
      </w:rPr>
    </w:lvl>
    <w:lvl w:ilvl="2" w:tplc="BE566512">
      <w:start w:val="1"/>
      <w:numFmt w:val="bullet"/>
      <w:lvlText w:val=""/>
      <w:lvlJc w:val="left"/>
      <w:pPr>
        <w:ind w:left="720" w:hanging="360"/>
      </w:pPr>
      <w:rPr>
        <w:rFonts w:ascii="Symbol" w:hAnsi="Symbol"/>
      </w:rPr>
    </w:lvl>
    <w:lvl w:ilvl="3" w:tplc="BDD8A08C">
      <w:start w:val="1"/>
      <w:numFmt w:val="bullet"/>
      <w:lvlText w:val=""/>
      <w:lvlJc w:val="left"/>
      <w:pPr>
        <w:ind w:left="720" w:hanging="360"/>
      </w:pPr>
      <w:rPr>
        <w:rFonts w:ascii="Symbol" w:hAnsi="Symbol"/>
      </w:rPr>
    </w:lvl>
    <w:lvl w:ilvl="4" w:tplc="8A6AA8BE">
      <w:start w:val="1"/>
      <w:numFmt w:val="bullet"/>
      <w:lvlText w:val=""/>
      <w:lvlJc w:val="left"/>
      <w:pPr>
        <w:ind w:left="720" w:hanging="360"/>
      </w:pPr>
      <w:rPr>
        <w:rFonts w:ascii="Symbol" w:hAnsi="Symbol"/>
      </w:rPr>
    </w:lvl>
    <w:lvl w:ilvl="5" w:tplc="2D522D20">
      <w:start w:val="1"/>
      <w:numFmt w:val="bullet"/>
      <w:lvlText w:val=""/>
      <w:lvlJc w:val="left"/>
      <w:pPr>
        <w:ind w:left="720" w:hanging="360"/>
      </w:pPr>
      <w:rPr>
        <w:rFonts w:ascii="Symbol" w:hAnsi="Symbol"/>
      </w:rPr>
    </w:lvl>
    <w:lvl w:ilvl="6" w:tplc="6EA8915C">
      <w:start w:val="1"/>
      <w:numFmt w:val="bullet"/>
      <w:lvlText w:val=""/>
      <w:lvlJc w:val="left"/>
      <w:pPr>
        <w:ind w:left="720" w:hanging="360"/>
      </w:pPr>
      <w:rPr>
        <w:rFonts w:ascii="Symbol" w:hAnsi="Symbol"/>
      </w:rPr>
    </w:lvl>
    <w:lvl w:ilvl="7" w:tplc="0944D518">
      <w:start w:val="1"/>
      <w:numFmt w:val="bullet"/>
      <w:lvlText w:val=""/>
      <w:lvlJc w:val="left"/>
      <w:pPr>
        <w:ind w:left="720" w:hanging="360"/>
      </w:pPr>
      <w:rPr>
        <w:rFonts w:ascii="Symbol" w:hAnsi="Symbol"/>
      </w:rPr>
    </w:lvl>
    <w:lvl w:ilvl="8" w:tplc="7DF6B3AE">
      <w:start w:val="1"/>
      <w:numFmt w:val="bullet"/>
      <w:lvlText w:val=""/>
      <w:lvlJc w:val="left"/>
      <w:pPr>
        <w:ind w:left="720" w:hanging="360"/>
      </w:pPr>
      <w:rPr>
        <w:rFonts w:ascii="Symbol" w:hAnsi="Symbol"/>
      </w:rPr>
    </w:lvl>
  </w:abstractNum>
  <w:abstractNum w:abstractNumId="108" w15:restartNumberingAfterBreak="0">
    <w:nsid w:val="66CC642B"/>
    <w:multiLevelType w:val="hybridMultilevel"/>
    <w:tmpl w:val="1E46AE82"/>
    <w:lvl w:ilvl="0" w:tplc="4B2EABD4">
      <w:start w:val="1"/>
      <w:numFmt w:val="decimal"/>
      <w:lvlText w:val="%1)"/>
      <w:lvlJc w:val="left"/>
      <w:pPr>
        <w:ind w:left="720" w:hanging="360"/>
      </w:pPr>
    </w:lvl>
    <w:lvl w:ilvl="1" w:tplc="8918FCB8">
      <w:start w:val="1"/>
      <w:numFmt w:val="decimal"/>
      <w:lvlText w:val="%2)"/>
      <w:lvlJc w:val="left"/>
      <w:pPr>
        <w:ind w:left="720" w:hanging="360"/>
      </w:pPr>
    </w:lvl>
    <w:lvl w:ilvl="2" w:tplc="E3FCB9FC">
      <w:start w:val="1"/>
      <w:numFmt w:val="decimal"/>
      <w:lvlText w:val="%3)"/>
      <w:lvlJc w:val="left"/>
      <w:pPr>
        <w:ind w:left="720" w:hanging="360"/>
      </w:pPr>
    </w:lvl>
    <w:lvl w:ilvl="3" w:tplc="6F1E677E">
      <w:start w:val="1"/>
      <w:numFmt w:val="decimal"/>
      <w:lvlText w:val="%4)"/>
      <w:lvlJc w:val="left"/>
      <w:pPr>
        <w:ind w:left="720" w:hanging="360"/>
      </w:pPr>
    </w:lvl>
    <w:lvl w:ilvl="4" w:tplc="D38644DA">
      <w:start w:val="1"/>
      <w:numFmt w:val="decimal"/>
      <w:lvlText w:val="%5)"/>
      <w:lvlJc w:val="left"/>
      <w:pPr>
        <w:ind w:left="720" w:hanging="360"/>
      </w:pPr>
    </w:lvl>
    <w:lvl w:ilvl="5" w:tplc="BF104EB4">
      <w:start w:val="1"/>
      <w:numFmt w:val="decimal"/>
      <w:lvlText w:val="%6)"/>
      <w:lvlJc w:val="left"/>
      <w:pPr>
        <w:ind w:left="720" w:hanging="360"/>
      </w:pPr>
    </w:lvl>
    <w:lvl w:ilvl="6" w:tplc="B71EA578">
      <w:start w:val="1"/>
      <w:numFmt w:val="decimal"/>
      <w:lvlText w:val="%7)"/>
      <w:lvlJc w:val="left"/>
      <w:pPr>
        <w:ind w:left="720" w:hanging="360"/>
      </w:pPr>
    </w:lvl>
    <w:lvl w:ilvl="7" w:tplc="7E9A519E">
      <w:start w:val="1"/>
      <w:numFmt w:val="decimal"/>
      <w:lvlText w:val="%8)"/>
      <w:lvlJc w:val="left"/>
      <w:pPr>
        <w:ind w:left="720" w:hanging="360"/>
      </w:pPr>
    </w:lvl>
    <w:lvl w:ilvl="8" w:tplc="9F6EA980">
      <w:start w:val="1"/>
      <w:numFmt w:val="decimal"/>
      <w:lvlText w:val="%9)"/>
      <w:lvlJc w:val="left"/>
      <w:pPr>
        <w:ind w:left="720" w:hanging="360"/>
      </w:pPr>
    </w:lvl>
  </w:abstractNum>
  <w:abstractNum w:abstractNumId="109" w15:restartNumberingAfterBreak="0">
    <w:nsid w:val="66FB68D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0" w15:restartNumberingAfterBreak="0">
    <w:nsid w:val="6728404E"/>
    <w:multiLevelType w:val="multilevel"/>
    <w:tmpl w:val="5A6E9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69896AD5"/>
    <w:multiLevelType w:val="hybridMultilevel"/>
    <w:tmpl w:val="9708737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2" w15:restartNumberingAfterBreak="0">
    <w:nsid w:val="6A7971A6"/>
    <w:multiLevelType w:val="hybridMultilevel"/>
    <w:tmpl w:val="0F5E0AB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3" w15:restartNumberingAfterBreak="0">
    <w:nsid w:val="6CA7D7AB"/>
    <w:multiLevelType w:val="hybridMultilevel"/>
    <w:tmpl w:val="FFFFFFFF"/>
    <w:lvl w:ilvl="0" w:tplc="C8B2D442">
      <w:start w:val="1"/>
      <w:numFmt w:val="bullet"/>
      <w:lvlText w:val="-"/>
      <w:lvlJc w:val="left"/>
      <w:pPr>
        <w:ind w:left="360" w:hanging="360"/>
      </w:pPr>
      <w:rPr>
        <w:rFonts w:ascii="Aptos" w:hAnsi="Aptos" w:hint="default"/>
      </w:rPr>
    </w:lvl>
    <w:lvl w:ilvl="1" w:tplc="76948984">
      <w:start w:val="1"/>
      <w:numFmt w:val="bullet"/>
      <w:lvlText w:val="o"/>
      <w:lvlJc w:val="left"/>
      <w:pPr>
        <w:ind w:left="1080" w:hanging="360"/>
      </w:pPr>
      <w:rPr>
        <w:rFonts w:ascii="Courier New" w:hAnsi="Courier New" w:hint="default"/>
      </w:rPr>
    </w:lvl>
    <w:lvl w:ilvl="2" w:tplc="26DE8364">
      <w:start w:val="1"/>
      <w:numFmt w:val="bullet"/>
      <w:lvlText w:val=""/>
      <w:lvlJc w:val="left"/>
      <w:pPr>
        <w:ind w:left="1800" w:hanging="360"/>
      </w:pPr>
      <w:rPr>
        <w:rFonts w:ascii="Wingdings" w:hAnsi="Wingdings" w:hint="default"/>
      </w:rPr>
    </w:lvl>
    <w:lvl w:ilvl="3" w:tplc="1E0299E0">
      <w:start w:val="1"/>
      <w:numFmt w:val="bullet"/>
      <w:lvlText w:val=""/>
      <w:lvlJc w:val="left"/>
      <w:pPr>
        <w:ind w:left="2520" w:hanging="360"/>
      </w:pPr>
      <w:rPr>
        <w:rFonts w:ascii="Symbol" w:hAnsi="Symbol" w:hint="default"/>
      </w:rPr>
    </w:lvl>
    <w:lvl w:ilvl="4" w:tplc="96B66D9C">
      <w:start w:val="1"/>
      <w:numFmt w:val="bullet"/>
      <w:lvlText w:val="o"/>
      <w:lvlJc w:val="left"/>
      <w:pPr>
        <w:ind w:left="3240" w:hanging="360"/>
      </w:pPr>
      <w:rPr>
        <w:rFonts w:ascii="Courier New" w:hAnsi="Courier New" w:hint="default"/>
      </w:rPr>
    </w:lvl>
    <w:lvl w:ilvl="5" w:tplc="8216E714">
      <w:start w:val="1"/>
      <w:numFmt w:val="bullet"/>
      <w:lvlText w:val=""/>
      <w:lvlJc w:val="left"/>
      <w:pPr>
        <w:ind w:left="3960" w:hanging="360"/>
      </w:pPr>
      <w:rPr>
        <w:rFonts w:ascii="Wingdings" w:hAnsi="Wingdings" w:hint="default"/>
      </w:rPr>
    </w:lvl>
    <w:lvl w:ilvl="6" w:tplc="6808836E">
      <w:start w:val="1"/>
      <w:numFmt w:val="bullet"/>
      <w:lvlText w:val=""/>
      <w:lvlJc w:val="left"/>
      <w:pPr>
        <w:ind w:left="4680" w:hanging="360"/>
      </w:pPr>
      <w:rPr>
        <w:rFonts w:ascii="Symbol" w:hAnsi="Symbol" w:hint="default"/>
      </w:rPr>
    </w:lvl>
    <w:lvl w:ilvl="7" w:tplc="AF084DF8">
      <w:start w:val="1"/>
      <w:numFmt w:val="bullet"/>
      <w:lvlText w:val="o"/>
      <w:lvlJc w:val="left"/>
      <w:pPr>
        <w:ind w:left="5400" w:hanging="360"/>
      </w:pPr>
      <w:rPr>
        <w:rFonts w:ascii="Courier New" w:hAnsi="Courier New" w:hint="default"/>
      </w:rPr>
    </w:lvl>
    <w:lvl w:ilvl="8" w:tplc="8F24C65C">
      <w:start w:val="1"/>
      <w:numFmt w:val="bullet"/>
      <w:lvlText w:val=""/>
      <w:lvlJc w:val="left"/>
      <w:pPr>
        <w:ind w:left="6120" w:hanging="360"/>
      </w:pPr>
      <w:rPr>
        <w:rFonts w:ascii="Wingdings" w:hAnsi="Wingdings" w:hint="default"/>
      </w:rPr>
    </w:lvl>
  </w:abstractNum>
  <w:abstractNum w:abstractNumId="114" w15:restartNumberingAfterBreak="0">
    <w:nsid w:val="6CF95D80"/>
    <w:multiLevelType w:val="hybridMultilevel"/>
    <w:tmpl w:val="839C6998"/>
    <w:lvl w:ilvl="0" w:tplc="8DDA839A">
      <w:start w:val="1"/>
      <w:numFmt w:val="decimal"/>
      <w:lvlText w:val="%1)"/>
      <w:lvlJc w:val="left"/>
      <w:pPr>
        <w:ind w:left="1020" w:hanging="360"/>
      </w:pPr>
    </w:lvl>
    <w:lvl w:ilvl="1" w:tplc="25AA344C">
      <w:start w:val="1"/>
      <w:numFmt w:val="decimal"/>
      <w:lvlText w:val="%2)"/>
      <w:lvlJc w:val="left"/>
      <w:pPr>
        <w:ind w:left="1020" w:hanging="360"/>
      </w:pPr>
    </w:lvl>
    <w:lvl w:ilvl="2" w:tplc="B7E8F422">
      <w:start w:val="1"/>
      <w:numFmt w:val="decimal"/>
      <w:lvlText w:val="%3)"/>
      <w:lvlJc w:val="left"/>
      <w:pPr>
        <w:ind w:left="1020" w:hanging="360"/>
      </w:pPr>
    </w:lvl>
    <w:lvl w:ilvl="3" w:tplc="6B144C16">
      <w:start w:val="1"/>
      <w:numFmt w:val="decimal"/>
      <w:lvlText w:val="%4)"/>
      <w:lvlJc w:val="left"/>
      <w:pPr>
        <w:ind w:left="1020" w:hanging="360"/>
      </w:pPr>
    </w:lvl>
    <w:lvl w:ilvl="4" w:tplc="43D6E8E2">
      <w:start w:val="1"/>
      <w:numFmt w:val="decimal"/>
      <w:lvlText w:val="%5)"/>
      <w:lvlJc w:val="left"/>
      <w:pPr>
        <w:ind w:left="1020" w:hanging="360"/>
      </w:pPr>
    </w:lvl>
    <w:lvl w:ilvl="5" w:tplc="BF14DBF2">
      <w:start w:val="1"/>
      <w:numFmt w:val="decimal"/>
      <w:lvlText w:val="%6)"/>
      <w:lvlJc w:val="left"/>
      <w:pPr>
        <w:ind w:left="1020" w:hanging="360"/>
      </w:pPr>
    </w:lvl>
    <w:lvl w:ilvl="6" w:tplc="6A8284A8">
      <w:start w:val="1"/>
      <w:numFmt w:val="decimal"/>
      <w:lvlText w:val="%7)"/>
      <w:lvlJc w:val="left"/>
      <w:pPr>
        <w:ind w:left="1020" w:hanging="360"/>
      </w:pPr>
    </w:lvl>
    <w:lvl w:ilvl="7" w:tplc="B436F75A">
      <w:start w:val="1"/>
      <w:numFmt w:val="decimal"/>
      <w:lvlText w:val="%8)"/>
      <w:lvlJc w:val="left"/>
      <w:pPr>
        <w:ind w:left="1020" w:hanging="360"/>
      </w:pPr>
    </w:lvl>
    <w:lvl w:ilvl="8" w:tplc="C706DEE6">
      <w:start w:val="1"/>
      <w:numFmt w:val="decimal"/>
      <w:lvlText w:val="%9)"/>
      <w:lvlJc w:val="left"/>
      <w:pPr>
        <w:ind w:left="1020" w:hanging="360"/>
      </w:pPr>
    </w:lvl>
  </w:abstractNum>
  <w:abstractNum w:abstractNumId="115" w15:restartNumberingAfterBreak="0">
    <w:nsid w:val="6F4576E3"/>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6" w15:restartNumberingAfterBreak="0">
    <w:nsid w:val="6F6078C5"/>
    <w:multiLevelType w:val="hybridMultilevel"/>
    <w:tmpl w:val="5C68768A"/>
    <w:lvl w:ilvl="0" w:tplc="FAECED7A">
      <w:numFmt w:val="bullet"/>
      <w:lvlText w:val="-"/>
      <w:lvlJc w:val="left"/>
      <w:pPr>
        <w:ind w:left="417" w:hanging="360"/>
      </w:pPr>
      <w:rPr>
        <w:rFonts w:ascii="Aptos" w:hAnsi="Aptos" w:hint="default"/>
        <w:b/>
      </w:rPr>
    </w:lvl>
    <w:lvl w:ilvl="1" w:tplc="164483C6" w:tentative="1">
      <w:start w:val="1"/>
      <w:numFmt w:val="bullet"/>
      <w:lvlText w:val="o"/>
      <w:lvlJc w:val="left"/>
      <w:pPr>
        <w:ind w:left="1137" w:hanging="360"/>
      </w:pPr>
      <w:rPr>
        <w:rFonts w:ascii="Courier New" w:hAnsi="Courier New" w:hint="default"/>
      </w:rPr>
    </w:lvl>
    <w:lvl w:ilvl="2" w:tplc="D1BE240C" w:tentative="1">
      <w:start w:val="1"/>
      <w:numFmt w:val="bullet"/>
      <w:lvlText w:val=""/>
      <w:lvlJc w:val="left"/>
      <w:pPr>
        <w:ind w:left="1857" w:hanging="360"/>
      </w:pPr>
      <w:rPr>
        <w:rFonts w:ascii="Wingdings" w:hAnsi="Wingdings" w:hint="default"/>
      </w:rPr>
    </w:lvl>
    <w:lvl w:ilvl="3" w:tplc="3D148E82" w:tentative="1">
      <w:start w:val="1"/>
      <w:numFmt w:val="bullet"/>
      <w:lvlText w:val=""/>
      <w:lvlJc w:val="left"/>
      <w:pPr>
        <w:ind w:left="2577" w:hanging="360"/>
      </w:pPr>
      <w:rPr>
        <w:rFonts w:ascii="Symbol" w:hAnsi="Symbol" w:hint="default"/>
      </w:rPr>
    </w:lvl>
    <w:lvl w:ilvl="4" w:tplc="ABD22EBE" w:tentative="1">
      <w:start w:val="1"/>
      <w:numFmt w:val="bullet"/>
      <w:lvlText w:val="o"/>
      <w:lvlJc w:val="left"/>
      <w:pPr>
        <w:ind w:left="3297" w:hanging="360"/>
      </w:pPr>
      <w:rPr>
        <w:rFonts w:ascii="Courier New" w:hAnsi="Courier New" w:hint="default"/>
      </w:rPr>
    </w:lvl>
    <w:lvl w:ilvl="5" w:tplc="B736333E" w:tentative="1">
      <w:start w:val="1"/>
      <w:numFmt w:val="bullet"/>
      <w:lvlText w:val=""/>
      <w:lvlJc w:val="left"/>
      <w:pPr>
        <w:ind w:left="4017" w:hanging="360"/>
      </w:pPr>
      <w:rPr>
        <w:rFonts w:ascii="Wingdings" w:hAnsi="Wingdings" w:hint="default"/>
      </w:rPr>
    </w:lvl>
    <w:lvl w:ilvl="6" w:tplc="58D8CCFA" w:tentative="1">
      <w:start w:val="1"/>
      <w:numFmt w:val="bullet"/>
      <w:lvlText w:val=""/>
      <w:lvlJc w:val="left"/>
      <w:pPr>
        <w:ind w:left="4737" w:hanging="360"/>
      </w:pPr>
      <w:rPr>
        <w:rFonts w:ascii="Symbol" w:hAnsi="Symbol" w:hint="default"/>
      </w:rPr>
    </w:lvl>
    <w:lvl w:ilvl="7" w:tplc="2FD8EFD8" w:tentative="1">
      <w:start w:val="1"/>
      <w:numFmt w:val="bullet"/>
      <w:lvlText w:val="o"/>
      <w:lvlJc w:val="left"/>
      <w:pPr>
        <w:ind w:left="5457" w:hanging="360"/>
      </w:pPr>
      <w:rPr>
        <w:rFonts w:ascii="Courier New" w:hAnsi="Courier New" w:hint="default"/>
      </w:rPr>
    </w:lvl>
    <w:lvl w:ilvl="8" w:tplc="BBEE1EC4" w:tentative="1">
      <w:start w:val="1"/>
      <w:numFmt w:val="bullet"/>
      <w:lvlText w:val=""/>
      <w:lvlJc w:val="left"/>
      <w:pPr>
        <w:ind w:left="6177" w:hanging="360"/>
      </w:pPr>
      <w:rPr>
        <w:rFonts w:ascii="Wingdings" w:hAnsi="Wingdings" w:hint="default"/>
      </w:rPr>
    </w:lvl>
  </w:abstractNum>
  <w:abstractNum w:abstractNumId="117" w15:restartNumberingAfterBreak="0">
    <w:nsid w:val="70B50F54"/>
    <w:multiLevelType w:val="hybridMultilevel"/>
    <w:tmpl w:val="9F16BAB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8" w15:restartNumberingAfterBreak="0">
    <w:nsid w:val="70B9B341"/>
    <w:multiLevelType w:val="hybridMultilevel"/>
    <w:tmpl w:val="FFFFFFFF"/>
    <w:lvl w:ilvl="0" w:tplc="04326708">
      <w:start w:val="1"/>
      <w:numFmt w:val="bullet"/>
      <w:lvlText w:val="-"/>
      <w:lvlJc w:val="left"/>
      <w:pPr>
        <w:ind w:left="720" w:hanging="360"/>
      </w:pPr>
      <w:rPr>
        <w:rFonts w:ascii="Calibri" w:hAnsi="Calibri" w:hint="default"/>
      </w:rPr>
    </w:lvl>
    <w:lvl w:ilvl="1" w:tplc="0496679E">
      <w:start w:val="1"/>
      <w:numFmt w:val="bullet"/>
      <w:lvlText w:val="o"/>
      <w:lvlJc w:val="left"/>
      <w:pPr>
        <w:ind w:left="1440" w:hanging="360"/>
      </w:pPr>
      <w:rPr>
        <w:rFonts w:ascii="Courier New" w:hAnsi="Courier New" w:hint="default"/>
      </w:rPr>
    </w:lvl>
    <w:lvl w:ilvl="2" w:tplc="7B1417DC">
      <w:start w:val="1"/>
      <w:numFmt w:val="bullet"/>
      <w:lvlText w:val=""/>
      <w:lvlJc w:val="left"/>
      <w:pPr>
        <w:ind w:left="2160" w:hanging="360"/>
      </w:pPr>
      <w:rPr>
        <w:rFonts w:ascii="Wingdings" w:hAnsi="Wingdings" w:hint="default"/>
      </w:rPr>
    </w:lvl>
    <w:lvl w:ilvl="3" w:tplc="B088F5E4">
      <w:start w:val="1"/>
      <w:numFmt w:val="bullet"/>
      <w:lvlText w:val=""/>
      <w:lvlJc w:val="left"/>
      <w:pPr>
        <w:ind w:left="2880" w:hanging="360"/>
      </w:pPr>
      <w:rPr>
        <w:rFonts w:ascii="Symbol" w:hAnsi="Symbol" w:hint="default"/>
      </w:rPr>
    </w:lvl>
    <w:lvl w:ilvl="4" w:tplc="B9DE266A">
      <w:start w:val="1"/>
      <w:numFmt w:val="bullet"/>
      <w:lvlText w:val="o"/>
      <w:lvlJc w:val="left"/>
      <w:pPr>
        <w:ind w:left="3600" w:hanging="360"/>
      </w:pPr>
      <w:rPr>
        <w:rFonts w:ascii="Courier New" w:hAnsi="Courier New" w:hint="default"/>
      </w:rPr>
    </w:lvl>
    <w:lvl w:ilvl="5" w:tplc="FAFE65F6">
      <w:start w:val="1"/>
      <w:numFmt w:val="bullet"/>
      <w:lvlText w:val=""/>
      <w:lvlJc w:val="left"/>
      <w:pPr>
        <w:ind w:left="4320" w:hanging="360"/>
      </w:pPr>
      <w:rPr>
        <w:rFonts w:ascii="Wingdings" w:hAnsi="Wingdings" w:hint="default"/>
      </w:rPr>
    </w:lvl>
    <w:lvl w:ilvl="6" w:tplc="2D9E93D2">
      <w:start w:val="1"/>
      <w:numFmt w:val="bullet"/>
      <w:lvlText w:val=""/>
      <w:lvlJc w:val="left"/>
      <w:pPr>
        <w:ind w:left="5040" w:hanging="360"/>
      </w:pPr>
      <w:rPr>
        <w:rFonts w:ascii="Symbol" w:hAnsi="Symbol" w:hint="default"/>
      </w:rPr>
    </w:lvl>
    <w:lvl w:ilvl="7" w:tplc="4D343608">
      <w:start w:val="1"/>
      <w:numFmt w:val="bullet"/>
      <w:lvlText w:val="o"/>
      <w:lvlJc w:val="left"/>
      <w:pPr>
        <w:ind w:left="5760" w:hanging="360"/>
      </w:pPr>
      <w:rPr>
        <w:rFonts w:ascii="Courier New" w:hAnsi="Courier New" w:hint="default"/>
      </w:rPr>
    </w:lvl>
    <w:lvl w:ilvl="8" w:tplc="40AC6FBA">
      <w:start w:val="1"/>
      <w:numFmt w:val="bullet"/>
      <w:lvlText w:val=""/>
      <w:lvlJc w:val="left"/>
      <w:pPr>
        <w:ind w:left="6480" w:hanging="360"/>
      </w:pPr>
      <w:rPr>
        <w:rFonts w:ascii="Wingdings" w:hAnsi="Wingdings" w:hint="default"/>
      </w:rPr>
    </w:lvl>
  </w:abstractNum>
  <w:abstractNum w:abstractNumId="119" w15:restartNumberingAfterBreak="0">
    <w:nsid w:val="720E4FA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0" w15:restartNumberingAfterBreak="0">
    <w:nsid w:val="72508520"/>
    <w:multiLevelType w:val="hybridMultilevel"/>
    <w:tmpl w:val="FFFFFFFF"/>
    <w:lvl w:ilvl="0" w:tplc="C2086242">
      <w:start w:val="1"/>
      <w:numFmt w:val="bullet"/>
      <w:lvlText w:val="-"/>
      <w:lvlJc w:val="left"/>
      <w:pPr>
        <w:ind w:left="720" w:hanging="360"/>
      </w:pPr>
      <w:rPr>
        <w:rFonts w:ascii="Aptos" w:hAnsi="Aptos" w:hint="default"/>
      </w:rPr>
    </w:lvl>
    <w:lvl w:ilvl="1" w:tplc="ECCCFD0C">
      <w:start w:val="1"/>
      <w:numFmt w:val="bullet"/>
      <w:lvlText w:val="o"/>
      <w:lvlJc w:val="left"/>
      <w:pPr>
        <w:ind w:left="1440" w:hanging="360"/>
      </w:pPr>
      <w:rPr>
        <w:rFonts w:ascii="Courier New" w:hAnsi="Courier New" w:hint="default"/>
      </w:rPr>
    </w:lvl>
    <w:lvl w:ilvl="2" w:tplc="3B84ADB2">
      <w:start w:val="1"/>
      <w:numFmt w:val="bullet"/>
      <w:lvlText w:val=""/>
      <w:lvlJc w:val="left"/>
      <w:pPr>
        <w:ind w:left="2160" w:hanging="360"/>
      </w:pPr>
      <w:rPr>
        <w:rFonts w:ascii="Wingdings" w:hAnsi="Wingdings" w:hint="default"/>
      </w:rPr>
    </w:lvl>
    <w:lvl w:ilvl="3" w:tplc="2604B770">
      <w:start w:val="1"/>
      <w:numFmt w:val="bullet"/>
      <w:lvlText w:val=""/>
      <w:lvlJc w:val="left"/>
      <w:pPr>
        <w:ind w:left="2880" w:hanging="360"/>
      </w:pPr>
      <w:rPr>
        <w:rFonts w:ascii="Symbol" w:hAnsi="Symbol" w:hint="default"/>
      </w:rPr>
    </w:lvl>
    <w:lvl w:ilvl="4" w:tplc="CFA6A624">
      <w:start w:val="1"/>
      <w:numFmt w:val="bullet"/>
      <w:lvlText w:val="o"/>
      <w:lvlJc w:val="left"/>
      <w:pPr>
        <w:ind w:left="3600" w:hanging="360"/>
      </w:pPr>
      <w:rPr>
        <w:rFonts w:ascii="Courier New" w:hAnsi="Courier New" w:hint="default"/>
      </w:rPr>
    </w:lvl>
    <w:lvl w:ilvl="5" w:tplc="46405E3C">
      <w:start w:val="1"/>
      <w:numFmt w:val="bullet"/>
      <w:lvlText w:val=""/>
      <w:lvlJc w:val="left"/>
      <w:pPr>
        <w:ind w:left="4320" w:hanging="360"/>
      </w:pPr>
      <w:rPr>
        <w:rFonts w:ascii="Wingdings" w:hAnsi="Wingdings" w:hint="default"/>
      </w:rPr>
    </w:lvl>
    <w:lvl w:ilvl="6" w:tplc="B3B8319E">
      <w:start w:val="1"/>
      <w:numFmt w:val="bullet"/>
      <w:lvlText w:val=""/>
      <w:lvlJc w:val="left"/>
      <w:pPr>
        <w:ind w:left="5040" w:hanging="360"/>
      </w:pPr>
      <w:rPr>
        <w:rFonts w:ascii="Symbol" w:hAnsi="Symbol" w:hint="default"/>
      </w:rPr>
    </w:lvl>
    <w:lvl w:ilvl="7" w:tplc="D89440F6">
      <w:start w:val="1"/>
      <w:numFmt w:val="bullet"/>
      <w:lvlText w:val="o"/>
      <w:lvlJc w:val="left"/>
      <w:pPr>
        <w:ind w:left="5760" w:hanging="360"/>
      </w:pPr>
      <w:rPr>
        <w:rFonts w:ascii="Courier New" w:hAnsi="Courier New" w:hint="default"/>
      </w:rPr>
    </w:lvl>
    <w:lvl w:ilvl="8" w:tplc="821603D4">
      <w:start w:val="1"/>
      <w:numFmt w:val="bullet"/>
      <w:lvlText w:val=""/>
      <w:lvlJc w:val="left"/>
      <w:pPr>
        <w:ind w:left="6480" w:hanging="360"/>
      </w:pPr>
      <w:rPr>
        <w:rFonts w:ascii="Wingdings" w:hAnsi="Wingdings" w:hint="default"/>
      </w:rPr>
    </w:lvl>
  </w:abstractNum>
  <w:abstractNum w:abstractNumId="121" w15:restartNumberingAfterBreak="0">
    <w:nsid w:val="726441F5"/>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2" w15:restartNumberingAfterBreak="0">
    <w:nsid w:val="736636A4"/>
    <w:multiLevelType w:val="hybridMultilevel"/>
    <w:tmpl w:val="FFFFFFFF"/>
    <w:lvl w:ilvl="0" w:tplc="6F58F1FA">
      <w:start w:val="1"/>
      <w:numFmt w:val="bullet"/>
      <w:lvlText w:val=""/>
      <w:lvlJc w:val="left"/>
      <w:pPr>
        <w:ind w:left="720" w:hanging="360"/>
      </w:pPr>
      <w:rPr>
        <w:rFonts w:ascii="Symbol" w:hAnsi="Symbol" w:hint="default"/>
      </w:rPr>
    </w:lvl>
    <w:lvl w:ilvl="1" w:tplc="9B02471E">
      <w:start w:val="1"/>
      <w:numFmt w:val="bullet"/>
      <w:lvlText w:val="o"/>
      <w:lvlJc w:val="left"/>
      <w:pPr>
        <w:ind w:left="1440" w:hanging="360"/>
      </w:pPr>
      <w:rPr>
        <w:rFonts w:ascii="Courier New" w:hAnsi="Courier New" w:hint="default"/>
      </w:rPr>
    </w:lvl>
    <w:lvl w:ilvl="2" w:tplc="C576F70A">
      <w:start w:val="1"/>
      <w:numFmt w:val="bullet"/>
      <w:lvlText w:val=""/>
      <w:lvlJc w:val="left"/>
      <w:pPr>
        <w:ind w:left="2160" w:hanging="360"/>
      </w:pPr>
      <w:rPr>
        <w:rFonts w:ascii="Wingdings" w:hAnsi="Wingdings" w:hint="default"/>
      </w:rPr>
    </w:lvl>
    <w:lvl w:ilvl="3" w:tplc="E4901848">
      <w:start w:val="1"/>
      <w:numFmt w:val="bullet"/>
      <w:lvlText w:val=""/>
      <w:lvlJc w:val="left"/>
      <w:pPr>
        <w:ind w:left="2880" w:hanging="360"/>
      </w:pPr>
      <w:rPr>
        <w:rFonts w:ascii="Symbol" w:hAnsi="Symbol" w:hint="default"/>
      </w:rPr>
    </w:lvl>
    <w:lvl w:ilvl="4" w:tplc="E9561B06">
      <w:start w:val="1"/>
      <w:numFmt w:val="bullet"/>
      <w:lvlText w:val="o"/>
      <w:lvlJc w:val="left"/>
      <w:pPr>
        <w:ind w:left="3600" w:hanging="360"/>
      </w:pPr>
      <w:rPr>
        <w:rFonts w:ascii="Courier New" w:hAnsi="Courier New" w:hint="default"/>
      </w:rPr>
    </w:lvl>
    <w:lvl w:ilvl="5" w:tplc="2A9AA57A">
      <w:start w:val="1"/>
      <w:numFmt w:val="bullet"/>
      <w:lvlText w:val=""/>
      <w:lvlJc w:val="left"/>
      <w:pPr>
        <w:ind w:left="4320" w:hanging="360"/>
      </w:pPr>
      <w:rPr>
        <w:rFonts w:ascii="Wingdings" w:hAnsi="Wingdings" w:hint="default"/>
      </w:rPr>
    </w:lvl>
    <w:lvl w:ilvl="6" w:tplc="D6E2359A">
      <w:start w:val="1"/>
      <w:numFmt w:val="bullet"/>
      <w:lvlText w:val=""/>
      <w:lvlJc w:val="left"/>
      <w:pPr>
        <w:ind w:left="5040" w:hanging="360"/>
      </w:pPr>
      <w:rPr>
        <w:rFonts w:ascii="Symbol" w:hAnsi="Symbol" w:hint="default"/>
      </w:rPr>
    </w:lvl>
    <w:lvl w:ilvl="7" w:tplc="9FD2CC12">
      <w:start w:val="1"/>
      <w:numFmt w:val="bullet"/>
      <w:lvlText w:val="o"/>
      <w:lvlJc w:val="left"/>
      <w:pPr>
        <w:ind w:left="5760" w:hanging="360"/>
      </w:pPr>
      <w:rPr>
        <w:rFonts w:ascii="Courier New" w:hAnsi="Courier New" w:hint="default"/>
      </w:rPr>
    </w:lvl>
    <w:lvl w:ilvl="8" w:tplc="5CF8FC00">
      <w:start w:val="1"/>
      <w:numFmt w:val="bullet"/>
      <w:lvlText w:val=""/>
      <w:lvlJc w:val="left"/>
      <w:pPr>
        <w:ind w:left="6480" w:hanging="360"/>
      </w:pPr>
      <w:rPr>
        <w:rFonts w:ascii="Wingdings" w:hAnsi="Wingdings" w:hint="default"/>
      </w:rPr>
    </w:lvl>
  </w:abstractNum>
  <w:abstractNum w:abstractNumId="123" w15:restartNumberingAfterBreak="0">
    <w:nsid w:val="74413F79"/>
    <w:multiLevelType w:val="hybridMultilevel"/>
    <w:tmpl w:val="C98A409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A72240C8">
      <w:start w:val="1"/>
      <w:numFmt w:val="lowerRoman"/>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75737B9F"/>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5" w15:restartNumberingAfterBreak="0">
    <w:nsid w:val="771B0B68"/>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6" w15:restartNumberingAfterBreak="0">
    <w:nsid w:val="785B0073"/>
    <w:multiLevelType w:val="hybridMultilevel"/>
    <w:tmpl w:val="0C7C3D1A"/>
    <w:lvl w:ilvl="0" w:tplc="A31855FC">
      <w:start w:val="1"/>
      <w:numFmt w:val="bullet"/>
      <w:lvlText w:val=""/>
      <w:lvlJc w:val="left"/>
      <w:pPr>
        <w:ind w:left="720" w:hanging="360"/>
      </w:pPr>
      <w:rPr>
        <w:rFonts w:ascii="Symbol" w:hAnsi="Symbol" w:hint="default"/>
        <w:u w:val="none"/>
      </w:rPr>
    </w:lvl>
    <w:lvl w:ilvl="1" w:tplc="0FC436B8" w:tentative="1">
      <w:start w:val="1"/>
      <w:numFmt w:val="bullet"/>
      <w:lvlText w:val="o"/>
      <w:lvlJc w:val="left"/>
      <w:pPr>
        <w:ind w:left="1440" w:hanging="360"/>
      </w:pPr>
      <w:rPr>
        <w:rFonts w:ascii="Courier New" w:hAnsi="Courier New" w:hint="default"/>
      </w:rPr>
    </w:lvl>
    <w:lvl w:ilvl="2" w:tplc="7C28A9EC" w:tentative="1">
      <w:start w:val="1"/>
      <w:numFmt w:val="bullet"/>
      <w:lvlText w:val=""/>
      <w:lvlJc w:val="left"/>
      <w:pPr>
        <w:ind w:left="2160" w:hanging="360"/>
      </w:pPr>
      <w:rPr>
        <w:rFonts w:ascii="Wingdings" w:hAnsi="Wingdings" w:hint="default"/>
      </w:rPr>
    </w:lvl>
    <w:lvl w:ilvl="3" w:tplc="2C029982" w:tentative="1">
      <w:start w:val="1"/>
      <w:numFmt w:val="bullet"/>
      <w:lvlText w:val=""/>
      <w:lvlJc w:val="left"/>
      <w:pPr>
        <w:ind w:left="2880" w:hanging="360"/>
      </w:pPr>
      <w:rPr>
        <w:rFonts w:ascii="Symbol" w:hAnsi="Symbol" w:hint="default"/>
      </w:rPr>
    </w:lvl>
    <w:lvl w:ilvl="4" w:tplc="9286C7D4" w:tentative="1">
      <w:start w:val="1"/>
      <w:numFmt w:val="bullet"/>
      <w:lvlText w:val="o"/>
      <w:lvlJc w:val="left"/>
      <w:pPr>
        <w:ind w:left="3600" w:hanging="360"/>
      </w:pPr>
      <w:rPr>
        <w:rFonts w:ascii="Courier New" w:hAnsi="Courier New" w:hint="default"/>
      </w:rPr>
    </w:lvl>
    <w:lvl w:ilvl="5" w:tplc="B0F05CCC" w:tentative="1">
      <w:start w:val="1"/>
      <w:numFmt w:val="bullet"/>
      <w:lvlText w:val=""/>
      <w:lvlJc w:val="left"/>
      <w:pPr>
        <w:ind w:left="4320" w:hanging="360"/>
      </w:pPr>
      <w:rPr>
        <w:rFonts w:ascii="Wingdings" w:hAnsi="Wingdings" w:hint="default"/>
      </w:rPr>
    </w:lvl>
    <w:lvl w:ilvl="6" w:tplc="52EA455E" w:tentative="1">
      <w:start w:val="1"/>
      <w:numFmt w:val="bullet"/>
      <w:lvlText w:val=""/>
      <w:lvlJc w:val="left"/>
      <w:pPr>
        <w:ind w:left="5040" w:hanging="360"/>
      </w:pPr>
      <w:rPr>
        <w:rFonts w:ascii="Symbol" w:hAnsi="Symbol" w:hint="default"/>
      </w:rPr>
    </w:lvl>
    <w:lvl w:ilvl="7" w:tplc="98C09130" w:tentative="1">
      <w:start w:val="1"/>
      <w:numFmt w:val="bullet"/>
      <w:lvlText w:val="o"/>
      <w:lvlJc w:val="left"/>
      <w:pPr>
        <w:ind w:left="5760" w:hanging="360"/>
      </w:pPr>
      <w:rPr>
        <w:rFonts w:ascii="Courier New" w:hAnsi="Courier New" w:hint="default"/>
      </w:rPr>
    </w:lvl>
    <w:lvl w:ilvl="8" w:tplc="4140B84A" w:tentative="1">
      <w:start w:val="1"/>
      <w:numFmt w:val="bullet"/>
      <w:lvlText w:val=""/>
      <w:lvlJc w:val="left"/>
      <w:pPr>
        <w:ind w:left="6480" w:hanging="360"/>
      </w:pPr>
      <w:rPr>
        <w:rFonts w:ascii="Wingdings" w:hAnsi="Wingdings" w:hint="default"/>
      </w:rPr>
    </w:lvl>
  </w:abstractNum>
  <w:abstractNum w:abstractNumId="127" w15:restartNumberingAfterBreak="0">
    <w:nsid w:val="790D23B6"/>
    <w:multiLevelType w:val="hybridMultilevel"/>
    <w:tmpl w:val="FFFFFFFF"/>
    <w:lvl w:ilvl="0" w:tplc="73748386">
      <w:start w:val="1"/>
      <w:numFmt w:val="bullet"/>
      <w:lvlText w:val="-"/>
      <w:lvlJc w:val="left"/>
      <w:pPr>
        <w:ind w:left="720" w:hanging="360"/>
      </w:pPr>
      <w:rPr>
        <w:rFonts w:ascii="Calibri" w:hAnsi="Calibri" w:hint="default"/>
      </w:rPr>
    </w:lvl>
    <w:lvl w:ilvl="1" w:tplc="0B729966">
      <w:start w:val="1"/>
      <w:numFmt w:val="bullet"/>
      <w:lvlText w:val="o"/>
      <w:lvlJc w:val="left"/>
      <w:pPr>
        <w:ind w:left="1440" w:hanging="360"/>
      </w:pPr>
      <w:rPr>
        <w:rFonts w:ascii="Courier New" w:hAnsi="Courier New" w:hint="default"/>
      </w:rPr>
    </w:lvl>
    <w:lvl w:ilvl="2" w:tplc="68F28B54">
      <w:start w:val="1"/>
      <w:numFmt w:val="bullet"/>
      <w:lvlText w:val=""/>
      <w:lvlJc w:val="left"/>
      <w:pPr>
        <w:ind w:left="2160" w:hanging="360"/>
      </w:pPr>
      <w:rPr>
        <w:rFonts w:ascii="Wingdings" w:hAnsi="Wingdings" w:hint="default"/>
      </w:rPr>
    </w:lvl>
    <w:lvl w:ilvl="3" w:tplc="BDA4F3C4">
      <w:start w:val="1"/>
      <w:numFmt w:val="bullet"/>
      <w:lvlText w:val=""/>
      <w:lvlJc w:val="left"/>
      <w:pPr>
        <w:ind w:left="2880" w:hanging="360"/>
      </w:pPr>
      <w:rPr>
        <w:rFonts w:ascii="Symbol" w:hAnsi="Symbol" w:hint="default"/>
      </w:rPr>
    </w:lvl>
    <w:lvl w:ilvl="4" w:tplc="40987F62">
      <w:start w:val="1"/>
      <w:numFmt w:val="bullet"/>
      <w:lvlText w:val="o"/>
      <w:lvlJc w:val="left"/>
      <w:pPr>
        <w:ind w:left="3600" w:hanging="360"/>
      </w:pPr>
      <w:rPr>
        <w:rFonts w:ascii="Courier New" w:hAnsi="Courier New" w:hint="default"/>
      </w:rPr>
    </w:lvl>
    <w:lvl w:ilvl="5" w:tplc="442A82C0">
      <w:start w:val="1"/>
      <w:numFmt w:val="bullet"/>
      <w:lvlText w:val=""/>
      <w:lvlJc w:val="left"/>
      <w:pPr>
        <w:ind w:left="4320" w:hanging="360"/>
      </w:pPr>
      <w:rPr>
        <w:rFonts w:ascii="Wingdings" w:hAnsi="Wingdings" w:hint="default"/>
      </w:rPr>
    </w:lvl>
    <w:lvl w:ilvl="6" w:tplc="6B483B6A">
      <w:start w:val="1"/>
      <w:numFmt w:val="bullet"/>
      <w:lvlText w:val=""/>
      <w:lvlJc w:val="left"/>
      <w:pPr>
        <w:ind w:left="5040" w:hanging="360"/>
      </w:pPr>
      <w:rPr>
        <w:rFonts w:ascii="Symbol" w:hAnsi="Symbol" w:hint="default"/>
      </w:rPr>
    </w:lvl>
    <w:lvl w:ilvl="7" w:tplc="B450E522">
      <w:start w:val="1"/>
      <w:numFmt w:val="bullet"/>
      <w:lvlText w:val="o"/>
      <w:lvlJc w:val="left"/>
      <w:pPr>
        <w:ind w:left="5760" w:hanging="360"/>
      </w:pPr>
      <w:rPr>
        <w:rFonts w:ascii="Courier New" w:hAnsi="Courier New" w:hint="default"/>
      </w:rPr>
    </w:lvl>
    <w:lvl w:ilvl="8" w:tplc="F9526336">
      <w:start w:val="1"/>
      <w:numFmt w:val="bullet"/>
      <w:lvlText w:val=""/>
      <w:lvlJc w:val="left"/>
      <w:pPr>
        <w:ind w:left="6480" w:hanging="360"/>
      </w:pPr>
      <w:rPr>
        <w:rFonts w:ascii="Wingdings" w:hAnsi="Wingdings" w:hint="default"/>
      </w:rPr>
    </w:lvl>
  </w:abstractNum>
  <w:abstractNum w:abstractNumId="128" w15:restartNumberingAfterBreak="0">
    <w:nsid w:val="797C5E7C"/>
    <w:multiLevelType w:val="hybridMultilevel"/>
    <w:tmpl w:val="16284CBC"/>
    <w:lvl w:ilvl="0" w:tplc="357E9FB6">
      <w:numFmt w:val="bullet"/>
      <w:lvlText w:val="-"/>
      <w:lvlJc w:val="left"/>
      <w:pPr>
        <w:ind w:left="720" w:hanging="360"/>
      </w:pPr>
      <w:rPr>
        <w:rFonts w:ascii="Calibri" w:hAnsi="Calibri" w:hint="default"/>
      </w:rPr>
    </w:lvl>
    <w:lvl w:ilvl="1" w:tplc="7B8ACF2C" w:tentative="1">
      <w:start w:val="1"/>
      <w:numFmt w:val="bullet"/>
      <w:lvlText w:val="o"/>
      <w:lvlJc w:val="left"/>
      <w:pPr>
        <w:ind w:left="1440" w:hanging="360"/>
      </w:pPr>
      <w:rPr>
        <w:rFonts w:ascii="Courier New" w:hAnsi="Courier New" w:hint="default"/>
      </w:rPr>
    </w:lvl>
    <w:lvl w:ilvl="2" w:tplc="55D4154E" w:tentative="1">
      <w:start w:val="1"/>
      <w:numFmt w:val="bullet"/>
      <w:lvlText w:val=""/>
      <w:lvlJc w:val="left"/>
      <w:pPr>
        <w:ind w:left="2160" w:hanging="360"/>
      </w:pPr>
      <w:rPr>
        <w:rFonts w:ascii="Wingdings" w:hAnsi="Wingdings" w:hint="default"/>
      </w:rPr>
    </w:lvl>
    <w:lvl w:ilvl="3" w:tplc="AA5ACE4C" w:tentative="1">
      <w:start w:val="1"/>
      <w:numFmt w:val="bullet"/>
      <w:lvlText w:val=""/>
      <w:lvlJc w:val="left"/>
      <w:pPr>
        <w:ind w:left="2880" w:hanging="360"/>
      </w:pPr>
      <w:rPr>
        <w:rFonts w:ascii="Symbol" w:hAnsi="Symbol" w:hint="default"/>
      </w:rPr>
    </w:lvl>
    <w:lvl w:ilvl="4" w:tplc="B2F0484E" w:tentative="1">
      <w:start w:val="1"/>
      <w:numFmt w:val="bullet"/>
      <w:lvlText w:val="o"/>
      <w:lvlJc w:val="left"/>
      <w:pPr>
        <w:ind w:left="3600" w:hanging="360"/>
      </w:pPr>
      <w:rPr>
        <w:rFonts w:ascii="Courier New" w:hAnsi="Courier New" w:hint="default"/>
      </w:rPr>
    </w:lvl>
    <w:lvl w:ilvl="5" w:tplc="2BA6F542" w:tentative="1">
      <w:start w:val="1"/>
      <w:numFmt w:val="bullet"/>
      <w:lvlText w:val=""/>
      <w:lvlJc w:val="left"/>
      <w:pPr>
        <w:ind w:left="4320" w:hanging="360"/>
      </w:pPr>
      <w:rPr>
        <w:rFonts w:ascii="Wingdings" w:hAnsi="Wingdings" w:hint="default"/>
      </w:rPr>
    </w:lvl>
    <w:lvl w:ilvl="6" w:tplc="AF200F4C" w:tentative="1">
      <w:start w:val="1"/>
      <w:numFmt w:val="bullet"/>
      <w:lvlText w:val=""/>
      <w:lvlJc w:val="left"/>
      <w:pPr>
        <w:ind w:left="5040" w:hanging="360"/>
      </w:pPr>
      <w:rPr>
        <w:rFonts w:ascii="Symbol" w:hAnsi="Symbol" w:hint="default"/>
      </w:rPr>
    </w:lvl>
    <w:lvl w:ilvl="7" w:tplc="1F7AEBA0" w:tentative="1">
      <w:start w:val="1"/>
      <w:numFmt w:val="bullet"/>
      <w:lvlText w:val="o"/>
      <w:lvlJc w:val="left"/>
      <w:pPr>
        <w:ind w:left="5760" w:hanging="360"/>
      </w:pPr>
      <w:rPr>
        <w:rFonts w:ascii="Courier New" w:hAnsi="Courier New" w:hint="default"/>
      </w:rPr>
    </w:lvl>
    <w:lvl w:ilvl="8" w:tplc="D7EC1A4C" w:tentative="1">
      <w:start w:val="1"/>
      <w:numFmt w:val="bullet"/>
      <w:lvlText w:val=""/>
      <w:lvlJc w:val="left"/>
      <w:pPr>
        <w:ind w:left="6480" w:hanging="360"/>
      </w:pPr>
      <w:rPr>
        <w:rFonts w:ascii="Wingdings" w:hAnsi="Wingdings" w:hint="default"/>
      </w:rPr>
    </w:lvl>
  </w:abstractNum>
  <w:abstractNum w:abstractNumId="129" w15:restartNumberingAfterBreak="0">
    <w:nsid w:val="79904DFF"/>
    <w:multiLevelType w:val="hybridMultilevel"/>
    <w:tmpl w:val="FFFFFFFF"/>
    <w:lvl w:ilvl="0" w:tplc="A2D2FD42">
      <w:start w:val="1"/>
      <w:numFmt w:val="bullet"/>
      <w:lvlText w:val=""/>
      <w:lvlJc w:val="left"/>
      <w:pPr>
        <w:ind w:left="720" w:hanging="360"/>
      </w:pPr>
      <w:rPr>
        <w:rFonts w:ascii="Symbol" w:hAnsi="Symbol" w:hint="default"/>
      </w:rPr>
    </w:lvl>
    <w:lvl w:ilvl="1" w:tplc="84CE6196">
      <w:start w:val="1"/>
      <w:numFmt w:val="bullet"/>
      <w:lvlText w:val="o"/>
      <w:lvlJc w:val="left"/>
      <w:pPr>
        <w:ind w:left="1440" w:hanging="360"/>
      </w:pPr>
      <w:rPr>
        <w:rFonts w:ascii="Courier New" w:hAnsi="Courier New" w:hint="default"/>
      </w:rPr>
    </w:lvl>
    <w:lvl w:ilvl="2" w:tplc="4AEE072C">
      <w:start w:val="1"/>
      <w:numFmt w:val="bullet"/>
      <w:lvlText w:val=""/>
      <w:lvlJc w:val="left"/>
      <w:pPr>
        <w:ind w:left="2160" w:hanging="360"/>
      </w:pPr>
      <w:rPr>
        <w:rFonts w:ascii="Wingdings" w:hAnsi="Wingdings" w:hint="default"/>
      </w:rPr>
    </w:lvl>
    <w:lvl w:ilvl="3" w:tplc="7DC8EBDE">
      <w:start w:val="1"/>
      <w:numFmt w:val="bullet"/>
      <w:lvlText w:val=""/>
      <w:lvlJc w:val="left"/>
      <w:pPr>
        <w:ind w:left="2880" w:hanging="360"/>
      </w:pPr>
      <w:rPr>
        <w:rFonts w:ascii="Symbol" w:hAnsi="Symbol" w:hint="default"/>
      </w:rPr>
    </w:lvl>
    <w:lvl w:ilvl="4" w:tplc="40FC8470">
      <w:start w:val="1"/>
      <w:numFmt w:val="bullet"/>
      <w:lvlText w:val="o"/>
      <w:lvlJc w:val="left"/>
      <w:pPr>
        <w:ind w:left="3600" w:hanging="360"/>
      </w:pPr>
      <w:rPr>
        <w:rFonts w:ascii="Courier New" w:hAnsi="Courier New" w:hint="default"/>
      </w:rPr>
    </w:lvl>
    <w:lvl w:ilvl="5" w:tplc="3FC24C6E">
      <w:start w:val="1"/>
      <w:numFmt w:val="bullet"/>
      <w:lvlText w:val=""/>
      <w:lvlJc w:val="left"/>
      <w:pPr>
        <w:ind w:left="4320" w:hanging="360"/>
      </w:pPr>
      <w:rPr>
        <w:rFonts w:ascii="Wingdings" w:hAnsi="Wingdings" w:hint="default"/>
      </w:rPr>
    </w:lvl>
    <w:lvl w:ilvl="6" w:tplc="73E0EAAC">
      <w:start w:val="1"/>
      <w:numFmt w:val="bullet"/>
      <w:lvlText w:val=""/>
      <w:lvlJc w:val="left"/>
      <w:pPr>
        <w:ind w:left="5040" w:hanging="360"/>
      </w:pPr>
      <w:rPr>
        <w:rFonts w:ascii="Symbol" w:hAnsi="Symbol" w:hint="default"/>
      </w:rPr>
    </w:lvl>
    <w:lvl w:ilvl="7" w:tplc="790EAE98">
      <w:start w:val="1"/>
      <w:numFmt w:val="bullet"/>
      <w:lvlText w:val="o"/>
      <w:lvlJc w:val="left"/>
      <w:pPr>
        <w:ind w:left="5760" w:hanging="360"/>
      </w:pPr>
      <w:rPr>
        <w:rFonts w:ascii="Courier New" w:hAnsi="Courier New" w:hint="default"/>
      </w:rPr>
    </w:lvl>
    <w:lvl w:ilvl="8" w:tplc="8AF0A292">
      <w:start w:val="1"/>
      <w:numFmt w:val="bullet"/>
      <w:lvlText w:val=""/>
      <w:lvlJc w:val="left"/>
      <w:pPr>
        <w:ind w:left="6480" w:hanging="360"/>
      </w:pPr>
      <w:rPr>
        <w:rFonts w:ascii="Wingdings" w:hAnsi="Wingdings" w:hint="default"/>
      </w:rPr>
    </w:lvl>
  </w:abstractNum>
  <w:abstractNum w:abstractNumId="130" w15:restartNumberingAfterBreak="0">
    <w:nsid w:val="7BB35015"/>
    <w:multiLevelType w:val="hybridMultilevel"/>
    <w:tmpl w:val="DE4C9992"/>
    <w:lvl w:ilvl="0" w:tplc="04186F36">
      <w:start w:val="1"/>
      <w:numFmt w:val="bullet"/>
      <w:lvlText w:val=""/>
      <w:lvlJc w:val="left"/>
      <w:pPr>
        <w:ind w:left="720" w:hanging="360"/>
      </w:pPr>
      <w:rPr>
        <w:rFonts w:ascii="Symbol" w:hAnsi="Symbol" w:hint="default"/>
      </w:rPr>
    </w:lvl>
    <w:lvl w:ilvl="1" w:tplc="D9DA0A78" w:tentative="1">
      <w:start w:val="1"/>
      <w:numFmt w:val="bullet"/>
      <w:lvlText w:val="o"/>
      <w:lvlJc w:val="left"/>
      <w:pPr>
        <w:ind w:left="1440" w:hanging="360"/>
      </w:pPr>
      <w:rPr>
        <w:rFonts w:ascii="Courier New" w:hAnsi="Courier New" w:hint="default"/>
      </w:rPr>
    </w:lvl>
    <w:lvl w:ilvl="2" w:tplc="02249DA8" w:tentative="1">
      <w:start w:val="1"/>
      <w:numFmt w:val="bullet"/>
      <w:lvlText w:val=""/>
      <w:lvlJc w:val="left"/>
      <w:pPr>
        <w:ind w:left="2160" w:hanging="360"/>
      </w:pPr>
      <w:rPr>
        <w:rFonts w:ascii="Wingdings" w:hAnsi="Wingdings" w:hint="default"/>
      </w:rPr>
    </w:lvl>
    <w:lvl w:ilvl="3" w:tplc="A11637B6" w:tentative="1">
      <w:start w:val="1"/>
      <w:numFmt w:val="bullet"/>
      <w:lvlText w:val=""/>
      <w:lvlJc w:val="left"/>
      <w:pPr>
        <w:ind w:left="2880" w:hanging="360"/>
      </w:pPr>
      <w:rPr>
        <w:rFonts w:ascii="Symbol" w:hAnsi="Symbol" w:hint="default"/>
      </w:rPr>
    </w:lvl>
    <w:lvl w:ilvl="4" w:tplc="CAA83432" w:tentative="1">
      <w:start w:val="1"/>
      <w:numFmt w:val="bullet"/>
      <w:lvlText w:val="o"/>
      <w:lvlJc w:val="left"/>
      <w:pPr>
        <w:ind w:left="3600" w:hanging="360"/>
      </w:pPr>
      <w:rPr>
        <w:rFonts w:ascii="Courier New" w:hAnsi="Courier New" w:hint="default"/>
      </w:rPr>
    </w:lvl>
    <w:lvl w:ilvl="5" w:tplc="ED5EE794" w:tentative="1">
      <w:start w:val="1"/>
      <w:numFmt w:val="bullet"/>
      <w:lvlText w:val=""/>
      <w:lvlJc w:val="left"/>
      <w:pPr>
        <w:ind w:left="4320" w:hanging="360"/>
      </w:pPr>
      <w:rPr>
        <w:rFonts w:ascii="Wingdings" w:hAnsi="Wingdings" w:hint="default"/>
      </w:rPr>
    </w:lvl>
    <w:lvl w:ilvl="6" w:tplc="D81C2AD6" w:tentative="1">
      <w:start w:val="1"/>
      <w:numFmt w:val="bullet"/>
      <w:lvlText w:val=""/>
      <w:lvlJc w:val="left"/>
      <w:pPr>
        <w:ind w:left="5040" w:hanging="360"/>
      </w:pPr>
      <w:rPr>
        <w:rFonts w:ascii="Symbol" w:hAnsi="Symbol" w:hint="default"/>
      </w:rPr>
    </w:lvl>
    <w:lvl w:ilvl="7" w:tplc="A6B05C18" w:tentative="1">
      <w:start w:val="1"/>
      <w:numFmt w:val="bullet"/>
      <w:lvlText w:val="o"/>
      <w:lvlJc w:val="left"/>
      <w:pPr>
        <w:ind w:left="5760" w:hanging="360"/>
      </w:pPr>
      <w:rPr>
        <w:rFonts w:ascii="Courier New" w:hAnsi="Courier New" w:hint="default"/>
      </w:rPr>
    </w:lvl>
    <w:lvl w:ilvl="8" w:tplc="640C9E9A" w:tentative="1">
      <w:start w:val="1"/>
      <w:numFmt w:val="bullet"/>
      <w:lvlText w:val=""/>
      <w:lvlJc w:val="left"/>
      <w:pPr>
        <w:ind w:left="6480" w:hanging="360"/>
      </w:pPr>
      <w:rPr>
        <w:rFonts w:ascii="Wingdings" w:hAnsi="Wingdings" w:hint="default"/>
      </w:rPr>
    </w:lvl>
  </w:abstractNum>
  <w:abstractNum w:abstractNumId="131" w15:restartNumberingAfterBreak="0">
    <w:nsid w:val="7D5026EA"/>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2" w15:restartNumberingAfterBreak="0">
    <w:nsid w:val="7DED335C"/>
    <w:multiLevelType w:val="hybridMultilevel"/>
    <w:tmpl w:val="02B4000A"/>
    <w:lvl w:ilvl="0" w:tplc="76C872DA">
      <w:start w:val="1"/>
      <w:numFmt w:val="bullet"/>
      <w:lvlText w:val="-"/>
      <w:lvlJc w:val="left"/>
      <w:pPr>
        <w:ind w:left="720" w:hanging="360"/>
      </w:pPr>
      <w:rPr>
        <w:rFonts w:ascii="Calibri" w:hAnsi="Calibri" w:hint="default"/>
      </w:rPr>
    </w:lvl>
    <w:lvl w:ilvl="1" w:tplc="9AE83A42" w:tentative="1">
      <w:start w:val="1"/>
      <w:numFmt w:val="bullet"/>
      <w:lvlText w:val="o"/>
      <w:lvlJc w:val="left"/>
      <w:pPr>
        <w:ind w:left="1440" w:hanging="360"/>
      </w:pPr>
      <w:rPr>
        <w:rFonts w:ascii="Courier New" w:hAnsi="Courier New" w:hint="default"/>
      </w:rPr>
    </w:lvl>
    <w:lvl w:ilvl="2" w:tplc="7FFA3022" w:tentative="1">
      <w:start w:val="1"/>
      <w:numFmt w:val="bullet"/>
      <w:lvlText w:val=""/>
      <w:lvlJc w:val="left"/>
      <w:pPr>
        <w:ind w:left="2160" w:hanging="360"/>
      </w:pPr>
      <w:rPr>
        <w:rFonts w:ascii="Wingdings" w:hAnsi="Wingdings" w:hint="default"/>
      </w:rPr>
    </w:lvl>
    <w:lvl w:ilvl="3" w:tplc="006A3EB6" w:tentative="1">
      <w:start w:val="1"/>
      <w:numFmt w:val="bullet"/>
      <w:lvlText w:val=""/>
      <w:lvlJc w:val="left"/>
      <w:pPr>
        <w:ind w:left="2880" w:hanging="360"/>
      </w:pPr>
      <w:rPr>
        <w:rFonts w:ascii="Symbol" w:hAnsi="Symbol" w:hint="default"/>
      </w:rPr>
    </w:lvl>
    <w:lvl w:ilvl="4" w:tplc="3FC48F40" w:tentative="1">
      <w:start w:val="1"/>
      <w:numFmt w:val="bullet"/>
      <w:lvlText w:val="o"/>
      <w:lvlJc w:val="left"/>
      <w:pPr>
        <w:ind w:left="3600" w:hanging="360"/>
      </w:pPr>
      <w:rPr>
        <w:rFonts w:ascii="Courier New" w:hAnsi="Courier New" w:hint="default"/>
      </w:rPr>
    </w:lvl>
    <w:lvl w:ilvl="5" w:tplc="178E1DF4" w:tentative="1">
      <w:start w:val="1"/>
      <w:numFmt w:val="bullet"/>
      <w:lvlText w:val=""/>
      <w:lvlJc w:val="left"/>
      <w:pPr>
        <w:ind w:left="4320" w:hanging="360"/>
      </w:pPr>
      <w:rPr>
        <w:rFonts w:ascii="Wingdings" w:hAnsi="Wingdings" w:hint="default"/>
      </w:rPr>
    </w:lvl>
    <w:lvl w:ilvl="6" w:tplc="7F4C1286" w:tentative="1">
      <w:start w:val="1"/>
      <w:numFmt w:val="bullet"/>
      <w:lvlText w:val=""/>
      <w:lvlJc w:val="left"/>
      <w:pPr>
        <w:ind w:left="5040" w:hanging="360"/>
      </w:pPr>
      <w:rPr>
        <w:rFonts w:ascii="Symbol" w:hAnsi="Symbol" w:hint="default"/>
      </w:rPr>
    </w:lvl>
    <w:lvl w:ilvl="7" w:tplc="F54C1186" w:tentative="1">
      <w:start w:val="1"/>
      <w:numFmt w:val="bullet"/>
      <w:lvlText w:val="o"/>
      <w:lvlJc w:val="left"/>
      <w:pPr>
        <w:ind w:left="5760" w:hanging="360"/>
      </w:pPr>
      <w:rPr>
        <w:rFonts w:ascii="Courier New" w:hAnsi="Courier New" w:hint="default"/>
      </w:rPr>
    </w:lvl>
    <w:lvl w:ilvl="8" w:tplc="C262E5CE" w:tentative="1">
      <w:start w:val="1"/>
      <w:numFmt w:val="bullet"/>
      <w:lvlText w:val=""/>
      <w:lvlJc w:val="left"/>
      <w:pPr>
        <w:ind w:left="6480" w:hanging="360"/>
      </w:pPr>
      <w:rPr>
        <w:rFonts w:ascii="Wingdings" w:hAnsi="Wingdings" w:hint="default"/>
      </w:rPr>
    </w:lvl>
  </w:abstractNum>
  <w:abstractNum w:abstractNumId="133" w15:restartNumberingAfterBreak="0">
    <w:nsid w:val="7E5B3091"/>
    <w:multiLevelType w:val="hybridMultilevel"/>
    <w:tmpl w:val="C69E4C90"/>
    <w:lvl w:ilvl="0" w:tplc="AA12EAE4">
      <w:start w:val="1"/>
      <w:numFmt w:val="decimal"/>
      <w:lvlText w:val="%1)"/>
      <w:lvlJc w:val="left"/>
      <w:pPr>
        <w:ind w:left="1020" w:hanging="360"/>
      </w:pPr>
    </w:lvl>
    <w:lvl w:ilvl="1" w:tplc="ECDC4DB8">
      <w:start w:val="1"/>
      <w:numFmt w:val="decimal"/>
      <w:lvlText w:val="%2)"/>
      <w:lvlJc w:val="left"/>
      <w:pPr>
        <w:ind w:left="1020" w:hanging="360"/>
      </w:pPr>
    </w:lvl>
    <w:lvl w:ilvl="2" w:tplc="E26608EA">
      <w:start w:val="1"/>
      <w:numFmt w:val="decimal"/>
      <w:lvlText w:val="%3)"/>
      <w:lvlJc w:val="left"/>
      <w:pPr>
        <w:ind w:left="1020" w:hanging="360"/>
      </w:pPr>
    </w:lvl>
    <w:lvl w:ilvl="3" w:tplc="6D92FA92">
      <w:start w:val="1"/>
      <w:numFmt w:val="decimal"/>
      <w:lvlText w:val="%4)"/>
      <w:lvlJc w:val="left"/>
      <w:pPr>
        <w:ind w:left="1020" w:hanging="360"/>
      </w:pPr>
    </w:lvl>
    <w:lvl w:ilvl="4" w:tplc="6456B314">
      <w:start w:val="1"/>
      <w:numFmt w:val="decimal"/>
      <w:lvlText w:val="%5)"/>
      <w:lvlJc w:val="left"/>
      <w:pPr>
        <w:ind w:left="1020" w:hanging="360"/>
      </w:pPr>
    </w:lvl>
    <w:lvl w:ilvl="5" w:tplc="B522556A">
      <w:start w:val="1"/>
      <w:numFmt w:val="decimal"/>
      <w:lvlText w:val="%6)"/>
      <w:lvlJc w:val="left"/>
      <w:pPr>
        <w:ind w:left="1020" w:hanging="360"/>
      </w:pPr>
    </w:lvl>
    <w:lvl w:ilvl="6" w:tplc="1E503F74">
      <w:start w:val="1"/>
      <w:numFmt w:val="decimal"/>
      <w:lvlText w:val="%7)"/>
      <w:lvlJc w:val="left"/>
      <w:pPr>
        <w:ind w:left="1020" w:hanging="360"/>
      </w:pPr>
    </w:lvl>
    <w:lvl w:ilvl="7" w:tplc="AD24CB6C">
      <w:start w:val="1"/>
      <w:numFmt w:val="decimal"/>
      <w:lvlText w:val="%8)"/>
      <w:lvlJc w:val="left"/>
      <w:pPr>
        <w:ind w:left="1020" w:hanging="360"/>
      </w:pPr>
    </w:lvl>
    <w:lvl w:ilvl="8" w:tplc="78329BCA">
      <w:start w:val="1"/>
      <w:numFmt w:val="decimal"/>
      <w:lvlText w:val="%9)"/>
      <w:lvlJc w:val="left"/>
      <w:pPr>
        <w:ind w:left="1020" w:hanging="360"/>
      </w:pPr>
    </w:lvl>
  </w:abstractNum>
  <w:num w:numId="1">
    <w:abstractNumId w:val="62"/>
  </w:num>
  <w:num w:numId="2">
    <w:abstractNumId w:val="99"/>
  </w:num>
  <w:num w:numId="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2"/>
  </w:num>
  <w:num w:numId="6">
    <w:abstractNumId w:val="64"/>
  </w:num>
  <w:num w:numId="7">
    <w:abstractNumId w:val="110"/>
  </w:num>
  <w:num w:numId="8">
    <w:abstractNumId w:val="29"/>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52"/>
  </w:num>
  <w:num w:numId="12">
    <w:abstractNumId w:val="7"/>
  </w:num>
  <w:num w:numId="13">
    <w:abstractNumId w:val="79"/>
  </w:num>
  <w:num w:numId="14">
    <w:abstractNumId w:val="78"/>
  </w:num>
  <w:num w:numId="15">
    <w:abstractNumId w:val="58"/>
  </w:num>
  <w:num w:numId="16">
    <w:abstractNumId w:val="71"/>
  </w:num>
  <w:num w:numId="17">
    <w:abstractNumId w:val="75"/>
  </w:num>
  <w:num w:numId="18">
    <w:abstractNumId w:val="101"/>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6"/>
  </w:num>
  <w:num w:numId="47">
    <w:abstractNumId w:val="61"/>
  </w:num>
  <w:num w:numId="48">
    <w:abstractNumId w:val="3"/>
  </w:num>
  <w:num w:numId="49">
    <w:abstractNumId w:val="77"/>
  </w:num>
  <w:num w:numId="50">
    <w:abstractNumId w:val="39"/>
  </w:num>
  <w:num w:numId="51">
    <w:abstractNumId w:val="25"/>
  </w:num>
  <w:num w:numId="52">
    <w:abstractNumId w:val="40"/>
  </w:num>
  <w:num w:numId="53">
    <w:abstractNumId w:val="34"/>
  </w:num>
  <w:num w:numId="54">
    <w:abstractNumId w:val="51"/>
  </w:num>
  <w:num w:numId="55">
    <w:abstractNumId w:val="33"/>
  </w:num>
  <w:num w:numId="56">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4"/>
  </w:num>
  <w:num w:numId="58">
    <w:abstractNumId w:val="104"/>
  </w:num>
  <w:num w:numId="59">
    <w:abstractNumId w:val="21"/>
  </w:num>
  <w:num w:numId="60">
    <w:abstractNumId w:val="100"/>
  </w:num>
  <w:num w:numId="61">
    <w:abstractNumId w:val="69"/>
  </w:num>
  <w:num w:numId="62">
    <w:abstractNumId w:val="50"/>
  </w:num>
  <w:num w:numId="63">
    <w:abstractNumId w:val="84"/>
  </w:num>
  <w:num w:numId="64">
    <w:abstractNumId w:val="37"/>
  </w:num>
  <w:num w:numId="65">
    <w:abstractNumId w:val="107"/>
  </w:num>
  <w:num w:numId="66">
    <w:abstractNumId w:val="16"/>
  </w:num>
  <w:num w:numId="67">
    <w:abstractNumId w:val="41"/>
  </w:num>
  <w:num w:numId="68">
    <w:abstractNumId w:val="9"/>
  </w:num>
  <w:num w:numId="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4"/>
  </w:num>
  <w:num w:numId="71">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16"/>
  </w:num>
  <w:num w:numId="7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86"/>
  </w:num>
  <w:num w:numId="76">
    <w:abstractNumId w:val="36"/>
  </w:num>
  <w:num w:numId="77">
    <w:abstractNumId w:val="32"/>
  </w:num>
  <w:num w:numId="78">
    <w:abstractNumId w:val="106"/>
  </w:num>
  <w:num w:numId="79">
    <w:abstractNumId w:val="113"/>
  </w:num>
  <w:num w:numId="80">
    <w:abstractNumId w:val="14"/>
  </w:num>
  <w:num w:numId="81">
    <w:abstractNumId w:val="26"/>
  </w:num>
  <w:num w:numId="82">
    <w:abstractNumId w:val="15"/>
  </w:num>
  <w:num w:numId="83">
    <w:abstractNumId w:val="83"/>
  </w:num>
  <w:num w:numId="84">
    <w:abstractNumId w:val="28"/>
  </w:num>
  <w:num w:numId="85">
    <w:abstractNumId w:val="53"/>
  </w:num>
  <w:num w:numId="86">
    <w:abstractNumId w:val="63"/>
  </w:num>
  <w:num w:numId="87">
    <w:abstractNumId w:val="49"/>
  </w:num>
  <w:num w:numId="88">
    <w:abstractNumId w:val="67"/>
  </w:num>
  <w:num w:numId="89">
    <w:abstractNumId w:val="0"/>
  </w:num>
  <w:num w:numId="90">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4"/>
  </w:num>
  <w:num w:numId="9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28"/>
  </w:num>
  <w:num w:numId="94">
    <w:abstractNumId w:val="81"/>
  </w:num>
  <w:num w:numId="95">
    <w:abstractNumId w:val="76"/>
  </w:num>
  <w:num w:numId="96">
    <w:abstractNumId w:val="57"/>
  </w:num>
  <w:num w:numId="97">
    <w:abstractNumId w:val="126"/>
  </w:num>
  <w:num w:numId="98">
    <w:abstractNumId w:val="88"/>
  </w:num>
  <w:num w:numId="99">
    <w:abstractNumId w:val="5"/>
  </w:num>
  <w:num w:numId="100">
    <w:abstractNumId w:val="97"/>
  </w:num>
  <w:num w:numId="101">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42"/>
  </w:num>
  <w:num w:numId="103">
    <w:abstractNumId w:val="56"/>
  </w:num>
  <w:num w:numId="104">
    <w:abstractNumId w:val="105"/>
  </w:num>
  <w:num w:numId="105">
    <w:abstractNumId w:val="87"/>
  </w:num>
  <w:num w:numId="106">
    <w:abstractNumId w:val="91"/>
  </w:num>
  <w:num w:numId="107">
    <w:abstractNumId w:val="8"/>
  </w:num>
  <w:num w:numId="108">
    <w:abstractNumId w:val="27"/>
  </w:num>
  <w:num w:numId="109">
    <w:abstractNumId w:val="48"/>
  </w:num>
  <w:num w:numId="110">
    <w:abstractNumId w:val="19"/>
  </w:num>
  <w:num w:numId="111">
    <w:abstractNumId w:val="24"/>
  </w:num>
  <w:num w:numId="112">
    <w:abstractNumId w:val="12"/>
  </w:num>
  <w:num w:numId="113">
    <w:abstractNumId w:val="55"/>
  </w:num>
  <w:num w:numId="114">
    <w:abstractNumId w:val="32"/>
  </w:num>
  <w:num w:numId="115">
    <w:abstractNumId w:val="6"/>
    <w:lvlOverride w:ilvl="0"/>
    <w:lvlOverride w:ilvl="1"/>
    <w:lvlOverride w:ilvl="2">
      <w:startOverride w:val="1"/>
    </w:lvlOverride>
    <w:lvlOverride w:ilvl="3"/>
    <w:lvlOverride w:ilvl="4"/>
    <w:lvlOverride w:ilvl="5"/>
    <w:lvlOverride w:ilvl="6"/>
    <w:lvlOverride w:ilvl="7"/>
    <w:lvlOverride w:ilvl="8"/>
  </w:num>
  <w:num w:numId="116">
    <w:abstractNumId w:val="32"/>
  </w:num>
  <w:num w:numId="117">
    <w:abstractNumId w:val="32"/>
  </w:num>
  <w:num w:numId="118">
    <w:abstractNumId w:val="32"/>
  </w:num>
  <w:num w:numId="119">
    <w:abstractNumId w:val="32"/>
  </w:num>
  <w:num w:numId="120">
    <w:abstractNumId w:val="32"/>
  </w:num>
  <w:num w:numId="121">
    <w:abstractNumId w:val="32"/>
  </w:num>
  <w:num w:numId="122">
    <w:abstractNumId w:val="32"/>
  </w:num>
  <w:num w:numId="123">
    <w:abstractNumId w:val="32"/>
  </w:num>
  <w:num w:numId="124">
    <w:abstractNumId w:val="32"/>
  </w:num>
  <w:num w:numId="125">
    <w:abstractNumId w:val="114"/>
  </w:num>
  <w:num w:numId="126">
    <w:abstractNumId w:val="35"/>
  </w:num>
  <w:num w:numId="127">
    <w:abstractNumId w:val="23"/>
  </w:num>
  <w:num w:numId="128">
    <w:abstractNumId w:val="108"/>
  </w:num>
  <w:num w:numId="129">
    <w:abstractNumId w:val="133"/>
  </w:num>
  <w:num w:numId="130">
    <w:abstractNumId w:val="66"/>
  </w:num>
  <w:num w:numId="131">
    <w:abstractNumId w:val="32"/>
  </w:num>
  <w:num w:numId="132">
    <w:abstractNumId w:val="32"/>
  </w:num>
  <w:num w:numId="133">
    <w:abstractNumId w:val="32"/>
  </w:num>
  <w:num w:numId="134">
    <w:abstractNumId w:val="32"/>
  </w:num>
  <w:num w:numId="135">
    <w:abstractNumId w:val="32"/>
  </w:num>
  <w:num w:numId="136">
    <w:abstractNumId w:val="32"/>
  </w:num>
  <w:num w:numId="137">
    <w:abstractNumId w:val="6"/>
  </w:num>
  <w:num w:numId="138">
    <w:abstractNumId w:val="130"/>
  </w:num>
  <w:num w:numId="139">
    <w:abstractNumId w:val="32"/>
  </w:num>
  <w:num w:numId="140">
    <w:abstractNumId w:val="32"/>
  </w:num>
  <w:num w:numId="141">
    <w:abstractNumId w:val="32"/>
  </w:num>
  <w:num w:numId="142">
    <w:abstractNumId w:val="32"/>
  </w:num>
  <w:num w:numId="143">
    <w:abstractNumId w:val="32"/>
  </w:num>
  <w:num w:numId="144">
    <w:abstractNumId w:val="17"/>
  </w:num>
  <w:num w:numId="145">
    <w:abstractNumId w:val="65"/>
  </w:num>
  <w:num w:numId="146">
    <w:abstractNumId w:val="22"/>
  </w:num>
  <w:num w:numId="14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90"/>
  </w:num>
  <w:num w:numId="149">
    <w:abstractNumId w:val="60"/>
  </w:num>
  <w:num w:numId="150">
    <w:abstractNumId w:val="54"/>
  </w:num>
  <w:num w:numId="151">
    <w:abstractNumId w:val="32"/>
  </w:num>
  <w:num w:numId="152">
    <w:abstractNumId w:val="38"/>
  </w:num>
  <w:num w:numId="153">
    <w:abstractNumId w:val="109"/>
  </w:num>
  <w:num w:numId="154">
    <w:abstractNumId w:val="89"/>
  </w:num>
  <w:num w:numId="155">
    <w:abstractNumId w:val="118"/>
  </w:num>
  <w:num w:numId="156">
    <w:abstractNumId w:val="2"/>
  </w:num>
  <w:num w:numId="157">
    <w:abstractNumId w:val="131"/>
  </w:num>
  <w:num w:numId="158">
    <w:abstractNumId w:val="125"/>
  </w:num>
  <w:num w:numId="159">
    <w:abstractNumId w:val="127"/>
  </w:num>
  <w:num w:numId="160">
    <w:abstractNumId w:val="11"/>
  </w:num>
  <w:num w:numId="161">
    <w:abstractNumId w:val="129"/>
  </w:num>
  <w:num w:numId="162">
    <w:abstractNumId w:val="96"/>
  </w:num>
  <w:num w:numId="163">
    <w:abstractNumId w:val="45"/>
  </w:num>
  <w:num w:numId="164">
    <w:abstractNumId w:val="132"/>
  </w:num>
  <w:num w:numId="165">
    <w:abstractNumId w:val="95"/>
  </w:num>
  <w:num w:numId="166">
    <w:abstractNumId w:val="119"/>
  </w:num>
  <w:num w:numId="167">
    <w:abstractNumId w:val="4"/>
  </w:num>
  <w:num w:numId="168">
    <w:abstractNumId w:val="115"/>
  </w:num>
  <w:num w:numId="169">
    <w:abstractNumId w:val="70"/>
  </w:num>
  <w:num w:numId="170">
    <w:abstractNumId w:val="80"/>
  </w:num>
  <w:num w:numId="171">
    <w:abstractNumId w:val="121"/>
  </w:num>
  <w:num w:numId="172">
    <w:abstractNumId w:val="85"/>
  </w:num>
  <w:num w:numId="173">
    <w:abstractNumId w:val="103"/>
  </w:num>
  <w:num w:numId="174">
    <w:abstractNumId w:val="20"/>
  </w:num>
  <w:num w:numId="175">
    <w:abstractNumId w:val="98"/>
  </w:num>
  <w:num w:numId="176">
    <w:abstractNumId w:val="31"/>
  </w:num>
  <w:num w:numId="177">
    <w:abstractNumId w:val="122"/>
  </w:num>
  <w:num w:numId="178">
    <w:abstractNumId w:val="59"/>
  </w:num>
  <w:num w:numId="179">
    <w:abstractNumId w:val="18"/>
  </w:num>
  <w:num w:numId="180">
    <w:abstractNumId w:val="1"/>
  </w:num>
  <w:num w:numId="181">
    <w:abstractNumId w:val="82"/>
  </w:num>
  <w:num w:numId="182">
    <w:abstractNumId w:val="93"/>
  </w:num>
  <w:num w:numId="183">
    <w:abstractNumId w:val="32"/>
  </w:num>
  <w:num w:numId="184">
    <w:abstractNumId w:val="32"/>
  </w:num>
  <w:num w:numId="185">
    <w:abstractNumId w:val="68"/>
  </w:num>
  <w:num w:numId="186">
    <w:abstractNumId w:val="73"/>
  </w:num>
  <w:num w:numId="187">
    <w:abstractNumId w:val="92"/>
  </w:num>
  <w:num w:numId="188">
    <w:abstractNumId w:val="123"/>
  </w:num>
  <w:num w:numId="189">
    <w:abstractNumId w:val="32"/>
  </w:num>
  <w:num w:numId="190">
    <w:abstractNumId w:val="32"/>
  </w:num>
  <w:num w:numId="191">
    <w:abstractNumId w:val="30"/>
  </w:num>
  <w:num w:numId="192">
    <w:abstractNumId w:val="32"/>
  </w:num>
  <w:num w:numId="193">
    <w:abstractNumId w:val="32"/>
  </w:num>
  <w:num w:numId="194">
    <w:abstractNumId w:val="32"/>
  </w:num>
  <w:num w:numId="195">
    <w:abstractNumId w:val="32"/>
  </w:num>
  <w:num w:numId="196">
    <w:abstractNumId w:val="13"/>
  </w:num>
  <w:num w:numId="197">
    <w:abstractNumId w:val="43"/>
  </w:num>
  <w:num w:numId="198">
    <w:abstractNumId w:val="74"/>
  </w:num>
  <w:num w:numId="199">
    <w:abstractNumId w:val="47"/>
  </w:num>
  <w:num w:numId="200">
    <w:abstractNumId w:val="72"/>
  </w:num>
  <w:num w:numId="201">
    <w:abstractNumId w:val="120"/>
  </w:num>
  <w:numIdMacAtCleanup w:val="1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8989F737-3EF5-480D-9155-7F223478CAFE"/>
    <w:docVar w:name="LW_COVERPAGE_TYPE" w:val="1"/>
    <w:docVar w:name="LW_CROSSREFERENCE" w:val="{COM(2026) 16 final} - {SEC(2026) 14 final} - {SWD(2026) 14 final}"/>
    <w:docVar w:name="LW_DocType" w:val="NORMAL"/>
    <w:docVar w:name="LW_EMISSION" w:val="21.1.2026"/>
    <w:docVar w:name="LW_EMISSION_ISODATE" w:val="2026-01-21"/>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REGULATION OF THE EUROPEAN PARLIAMENT AND OF THE COUNCIL_x000d__x000d__x000d__x000d__x000b_on digital networks, amending Regulation (EU) 2015/2120, Directive 2002/58/EC and Decision No 676/2002/EC and repealing Regulation (EU) 2018/1971, Directive (EU) 2018/1972 and Decision No 243/2012/EU (Digital Networks Act)"/>
    <w:docVar w:name="LW_PART_NBR" w:val="1"/>
    <w:docVar w:name="LW_PART_NBR_TOTAL" w:val="3"/>
    <w:docVar w:name="LW_REF.INST.NEW" w:val="SWD"/>
    <w:docVar w:name="LW_REF.INST.NEW_ADOPTED" w:val="final"/>
    <w:docVar w:name="LW_REF.INST.NEW_TEXT" w:val="(2026) 1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Proposal for a "/>
    <w:docVar w:name="LwApiVersions" w:val="LW4CoDe 1.24.5.0; LW 9.2, Build 20251112"/>
  </w:docVars>
  <w:rsids>
    <w:rsidRoot w:val="006B087E"/>
    <w:rsid w:val="00000035"/>
    <w:rsid w:val="00000146"/>
    <w:rsid w:val="00000174"/>
    <w:rsid w:val="0000017E"/>
    <w:rsid w:val="00000181"/>
    <w:rsid w:val="00000184"/>
    <w:rsid w:val="000001A0"/>
    <w:rsid w:val="000001C1"/>
    <w:rsid w:val="000001DF"/>
    <w:rsid w:val="000001ED"/>
    <w:rsid w:val="0000020A"/>
    <w:rsid w:val="00000326"/>
    <w:rsid w:val="0000032E"/>
    <w:rsid w:val="000003F8"/>
    <w:rsid w:val="00000413"/>
    <w:rsid w:val="0000041F"/>
    <w:rsid w:val="0000047E"/>
    <w:rsid w:val="0000048B"/>
    <w:rsid w:val="0000049C"/>
    <w:rsid w:val="0000049F"/>
    <w:rsid w:val="00000578"/>
    <w:rsid w:val="00000583"/>
    <w:rsid w:val="000005E2"/>
    <w:rsid w:val="0000064C"/>
    <w:rsid w:val="00000664"/>
    <w:rsid w:val="0000067A"/>
    <w:rsid w:val="000006AC"/>
    <w:rsid w:val="000006BC"/>
    <w:rsid w:val="00000710"/>
    <w:rsid w:val="00000724"/>
    <w:rsid w:val="00000729"/>
    <w:rsid w:val="00000745"/>
    <w:rsid w:val="00000769"/>
    <w:rsid w:val="000007CA"/>
    <w:rsid w:val="000007E9"/>
    <w:rsid w:val="0000085B"/>
    <w:rsid w:val="0000087E"/>
    <w:rsid w:val="000008BF"/>
    <w:rsid w:val="000008E8"/>
    <w:rsid w:val="0000095F"/>
    <w:rsid w:val="00000982"/>
    <w:rsid w:val="000009C7"/>
    <w:rsid w:val="000009F9"/>
    <w:rsid w:val="00000A10"/>
    <w:rsid w:val="00000A18"/>
    <w:rsid w:val="00000A71"/>
    <w:rsid w:val="00000ADB"/>
    <w:rsid w:val="00000AF3"/>
    <w:rsid w:val="00000BC8"/>
    <w:rsid w:val="00000C3F"/>
    <w:rsid w:val="00000C9A"/>
    <w:rsid w:val="00000CC6"/>
    <w:rsid w:val="00000CCF"/>
    <w:rsid w:val="00000CFD"/>
    <w:rsid w:val="00000D2A"/>
    <w:rsid w:val="00000D8D"/>
    <w:rsid w:val="00000D9A"/>
    <w:rsid w:val="00000E0D"/>
    <w:rsid w:val="00000E3A"/>
    <w:rsid w:val="00000E3F"/>
    <w:rsid w:val="00000E57"/>
    <w:rsid w:val="00000EC6"/>
    <w:rsid w:val="00000EEA"/>
    <w:rsid w:val="00000F41"/>
    <w:rsid w:val="00000F5A"/>
    <w:rsid w:val="00000F8F"/>
    <w:rsid w:val="00000FA9"/>
    <w:rsid w:val="00000FE2"/>
    <w:rsid w:val="00000FEC"/>
    <w:rsid w:val="00001008"/>
    <w:rsid w:val="00001030"/>
    <w:rsid w:val="0000104B"/>
    <w:rsid w:val="00001058"/>
    <w:rsid w:val="0000107F"/>
    <w:rsid w:val="00001081"/>
    <w:rsid w:val="0000108A"/>
    <w:rsid w:val="000010A0"/>
    <w:rsid w:val="00001112"/>
    <w:rsid w:val="00001131"/>
    <w:rsid w:val="00001150"/>
    <w:rsid w:val="000011E9"/>
    <w:rsid w:val="0000123A"/>
    <w:rsid w:val="00001328"/>
    <w:rsid w:val="0000136B"/>
    <w:rsid w:val="000013A4"/>
    <w:rsid w:val="000013BA"/>
    <w:rsid w:val="000013C4"/>
    <w:rsid w:val="00001444"/>
    <w:rsid w:val="0000147A"/>
    <w:rsid w:val="000014AF"/>
    <w:rsid w:val="000014C6"/>
    <w:rsid w:val="000014DA"/>
    <w:rsid w:val="00001541"/>
    <w:rsid w:val="00001579"/>
    <w:rsid w:val="000015AC"/>
    <w:rsid w:val="00001608"/>
    <w:rsid w:val="00001668"/>
    <w:rsid w:val="00001676"/>
    <w:rsid w:val="0000171E"/>
    <w:rsid w:val="00001754"/>
    <w:rsid w:val="000017BE"/>
    <w:rsid w:val="000017C0"/>
    <w:rsid w:val="000017C4"/>
    <w:rsid w:val="000017FC"/>
    <w:rsid w:val="00001810"/>
    <w:rsid w:val="0000181F"/>
    <w:rsid w:val="0000187C"/>
    <w:rsid w:val="000018D5"/>
    <w:rsid w:val="000018DD"/>
    <w:rsid w:val="00001934"/>
    <w:rsid w:val="00001949"/>
    <w:rsid w:val="000019B2"/>
    <w:rsid w:val="000019D8"/>
    <w:rsid w:val="000019FA"/>
    <w:rsid w:val="00001A3A"/>
    <w:rsid w:val="00001A5D"/>
    <w:rsid w:val="00001B38"/>
    <w:rsid w:val="00001B3F"/>
    <w:rsid w:val="00001BAD"/>
    <w:rsid w:val="00001BC8"/>
    <w:rsid w:val="00001C13"/>
    <w:rsid w:val="00001C56"/>
    <w:rsid w:val="00001C58"/>
    <w:rsid w:val="00001C61"/>
    <w:rsid w:val="00001C95"/>
    <w:rsid w:val="00001D3C"/>
    <w:rsid w:val="00001E3A"/>
    <w:rsid w:val="00001E41"/>
    <w:rsid w:val="00001E5C"/>
    <w:rsid w:val="00001E9D"/>
    <w:rsid w:val="00001F24"/>
    <w:rsid w:val="00001FBE"/>
    <w:rsid w:val="00002000"/>
    <w:rsid w:val="00002121"/>
    <w:rsid w:val="00002131"/>
    <w:rsid w:val="0000214D"/>
    <w:rsid w:val="00002166"/>
    <w:rsid w:val="0000218D"/>
    <w:rsid w:val="0000219F"/>
    <w:rsid w:val="00002277"/>
    <w:rsid w:val="000022DD"/>
    <w:rsid w:val="000022F2"/>
    <w:rsid w:val="000023C0"/>
    <w:rsid w:val="000023F3"/>
    <w:rsid w:val="00002437"/>
    <w:rsid w:val="0000243F"/>
    <w:rsid w:val="00002488"/>
    <w:rsid w:val="000024E3"/>
    <w:rsid w:val="00002513"/>
    <w:rsid w:val="00002514"/>
    <w:rsid w:val="00002572"/>
    <w:rsid w:val="00002589"/>
    <w:rsid w:val="000025A5"/>
    <w:rsid w:val="000025C7"/>
    <w:rsid w:val="000025DB"/>
    <w:rsid w:val="0000263D"/>
    <w:rsid w:val="00002675"/>
    <w:rsid w:val="00002676"/>
    <w:rsid w:val="000026DB"/>
    <w:rsid w:val="000026EB"/>
    <w:rsid w:val="00002717"/>
    <w:rsid w:val="0000277B"/>
    <w:rsid w:val="0000282E"/>
    <w:rsid w:val="0000283B"/>
    <w:rsid w:val="00002863"/>
    <w:rsid w:val="000028B7"/>
    <w:rsid w:val="00002903"/>
    <w:rsid w:val="00002914"/>
    <w:rsid w:val="00002961"/>
    <w:rsid w:val="00002994"/>
    <w:rsid w:val="000029B9"/>
    <w:rsid w:val="000029E9"/>
    <w:rsid w:val="00002A21"/>
    <w:rsid w:val="00002A25"/>
    <w:rsid w:val="00002A6A"/>
    <w:rsid w:val="00002A9B"/>
    <w:rsid w:val="00002ABF"/>
    <w:rsid w:val="00002AE1"/>
    <w:rsid w:val="00002B5F"/>
    <w:rsid w:val="00002BA0"/>
    <w:rsid w:val="00002BB0"/>
    <w:rsid w:val="00002BC1"/>
    <w:rsid w:val="00002BD5"/>
    <w:rsid w:val="00002C43"/>
    <w:rsid w:val="00002C6D"/>
    <w:rsid w:val="00002C75"/>
    <w:rsid w:val="00002CF2"/>
    <w:rsid w:val="00002D24"/>
    <w:rsid w:val="00002D39"/>
    <w:rsid w:val="00002DBF"/>
    <w:rsid w:val="00002DC2"/>
    <w:rsid w:val="00002E2C"/>
    <w:rsid w:val="00002E51"/>
    <w:rsid w:val="00002EE8"/>
    <w:rsid w:val="00002F6B"/>
    <w:rsid w:val="00002F7B"/>
    <w:rsid w:val="00002FBA"/>
    <w:rsid w:val="00002FFB"/>
    <w:rsid w:val="00003031"/>
    <w:rsid w:val="00003053"/>
    <w:rsid w:val="000030EE"/>
    <w:rsid w:val="0000313F"/>
    <w:rsid w:val="0000314F"/>
    <w:rsid w:val="0000315E"/>
    <w:rsid w:val="000031C1"/>
    <w:rsid w:val="000031FB"/>
    <w:rsid w:val="00003255"/>
    <w:rsid w:val="000032AF"/>
    <w:rsid w:val="000032C9"/>
    <w:rsid w:val="00003327"/>
    <w:rsid w:val="0000332F"/>
    <w:rsid w:val="00003355"/>
    <w:rsid w:val="0000335F"/>
    <w:rsid w:val="00003384"/>
    <w:rsid w:val="000033A8"/>
    <w:rsid w:val="000033B9"/>
    <w:rsid w:val="000033D1"/>
    <w:rsid w:val="0000343A"/>
    <w:rsid w:val="000034A1"/>
    <w:rsid w:val="000034C1"/>
    <w:rsid w:val="000034D2"/>
    <w:rsid w:val="000034D8"/>
    <w:rsid w:val="00003542"/>
    <w:rsid w:val="00003602"/>
    <w:rsid w:val="00003672"/>
    <w:rsid w:val="00003696"/>
    <w:rsid w:val="0000369D"/>
    <w:rsid w:val="00003750"/>
    <w:rsid w:val="00003793"/>
    <w:rsid w:val="000037A9"/>
    <w:rsid w:val="000037C4"/>
    <w:rsid w:val="000037F1"/>
    <w:rsid w:val="00003816"/>
    <w:rsid w:val="0000383E"/>
    <w:rsid w:val="00003840"/>
    <w:rsid w:val="00003878"/>
    <w:rsid w:val="000038D7"/>
    <w:rsid w:val="00003926"/>
    <w:rsid w:val="0000395E"/>
    <w:rsid w:val="00003997"/>
    <w:rsid w:val="000039D6"/>
    <w:rsid w:val="00003A11"/>
    <w:rsid w:val="00003A79"/>
    <w:rsid w:val="00003A7B"/>
    <w:rsid w:val="00003A88"/>
    <w:rsid w:val="00003A8E"/>
    <w:rsid w:val="00003AA2"/>
    <w:rsid w:val="00003AB5"/>
    <w:rsid w:val="00003ADA"/>
    <w:rsid w:val="00003AE8"/>
    <w:rsid w:val="00003B0C"/>
    <w:rsid w:val="00003B59"/>
    <w:rsid w:val="00003BFA"/>
    <w:rsid w:val="00003C48"/>
    <w:rsid w:val="00003C8F"/>
    <w:rsid w:val="00003CC8"/>
    <w:rsid w:val="00003D0F"/>
    <w:rsid w:val="00003D27"/>
    <w:rsid w:val="00003D34"/>
    <w:rsid w:val="00003D45"/>
    <w:rsid w:val="00003D64"/>
    <w:rsid w:val="00003D69"/>
    <w:rsid w:val="00003D72"/>
    <w:rsid w:val="00003D7E"/>
    <w:rsid w:val="00003DD8"/>
    <w:rsid w:val="00003DE2"/>
    <w:rsid w:val="00003DF2"/>
    <w:rsid w:val="00003E18"/>
    <w:rsid w:val="00003E2E"/>
    <w:rsid w:val="00003E4C"/>
    <w:rsid w:val="00003E74"/>
    <w:rsid w:val="00003F2C"/>
    <w:rsid w:val="00003F3C"/>
    <w:rsid w:val="00003F60"/>
    <w:rsid w:val="00004079"/>
    <w:rsid w:val="0000409D"/>
    <w:rsid w:val="000040BB"/>
    <w:rsid w:val="00004140"/>
    <w:rsid w:val="0000416D"/>
    <w:rsid w:val="00004187"/>
    <w:rsid w:val="00004190"/>
    <w:rsid w:val="00004194"/>
    <w:rsid w:val="0000419B"/>
    <w:rsid w:val="000041DE"/>
    <w:rsid w:val="00004217"/>
    <w:rsid w:val="0000426E"/>
    <w:rsid w:val="00004352"/>
    <w:rsid w:val="0000435F"/>
    <w:rsid w:val="0000437E"/>
    <w:rsid w:val="000043CA"/>
    <w:rsid w:val="00004404"/>
    <w:rsid w:val="00004423"/>
    <w:rsid w:val="00004438"/>
    <w:rsid w:val="000044E4"/>
    <w:rsid w:val="0000453F"/>
    <w:rsid w:val="0000456F"/>
    <w:rsid w:val="00004594"/>
    <w:rsid w:val="00004605"/>
    <w:rsid w:val="00004660"/>
    <w:rsid w:val="00004673"/>
    <w:rsid w:val="000046C1"/>
    <w:rsid w:val="000046CC"/>
    <w:rsid w:val="000046DE"/>
    <w:rsid w:val="0000472C"/>
    <w:rsid w:val="00004733"/>
    <w:rsid w:val="00004775"/>
    <w:rsid w:val="000047F6"/>
    <w:rsid w:val="00004801"/>
    <w:rsid w:val="000048DE"/>
    <w:rsid w:val="000049AE"/>
    <w:rsid w:val="00004A3C"/>
    <w:rsid w:val="00004A3E"/>
    <w:rsid w:val="00004A4E"/>
    <w:rsid w:val="00004A92"/>
    <w:rsid w:val="00004AFB"/>
    <w:rsid w:val="00004B1D"/>
    <w:rsid w:val="00004B2B"/>
    <w:rsid w:val="00004BA8"/>
    <w:rsid w:val="00004BD2"/>
    <w:rsid w:val="00004C09"/>
    <w:rsid w:val="00004D09"/>
    <w:rsid w:val="00004D47"/>
    <w:rsid w:val="00004D5A"/>
    <w:rsid w:val="00004D92"/>
    <w:rsid w:val="00004DC3"/>
    <w:rsid w:val="00004DD9"/>
    <w:rsid w:val="00004F0F"/>
    <w:rsid w:val="00004F1D"/>
    <w:rsid w:val="00004F8D"/>
    <w:rsid w:val="00004FFF"/>
    <w:rsid w:val="0000504D"/>
    <w:rsid w:val="000050AF"/>
    <w:rsid w:val="000050BD"/>
    <w:rsid w:val="000050BF"/>
    <w:rsid w:val="000051BA"/>
    <w:rsid w:val="00005215"/>
    <w:rsid w:val="0000525B"/>
    <w:rsid w:val="00005289"/>
    <w:rsid w:val="00005322"/>
    <w:rsid w:val="00005350"/>
    <w:rsid w:val="0000535F"/>
    <w:rsid w:val="00005395"/>
    <w:rsid w:val="000053DE"/>
    <w:rsid w:val="000054C7"/>
    <w:rsid w:val="000055CD"/>
    <w:rsid w:val="00005635"/>
    <w:rsid w:val="0000565C"/>
    <w:rsid w:val="00005670"/>
    <w:rsid w:val="00005682"/>
    <w:rsid w:val="0000572C"/>
    <w:rsid w:val="00005768"/>
    <w:rsid w:val="000057A0"/>
    <w:rsid w:val="000057AE"/>
    <w:rsid w:val="0000586A"/>
    <w:rsid w:val="0000592B"/>
    <w:rsid w:val="00005970"/>
    <w:rsid w:val="000059B9"/>
    <w:rsid w:val="000059D3"/>
    <w:rsid w:val="00005A3D"/>
    <w:rsid w:val="00005A83"/>
    <w:rsid w:val="00005AC2"/>
    <w:rsid w:val="00005B48"/>
    <w:rsid w:val="00005B4F"/>
    <w:rsid w:val="00005B58"/>
    <w:rsid w:val="00005B67"/>
    <w:rsid w:val="00005B98"/>
    <w:rsid w:val="00005BEB"/>
    <w:rsid w:val="00005BFE"/>
    <w:rsid w:val="00005C28"/>
    <w:rsid w:val="00005C55"/>
    <w:rsid w:val="00005CDD"/>
    <w:rsid w:val="00005CE2"/>
    <w:rsid w:val="00005D64"/>
    <w:rsid w:val="00005D79"/>
    <w:rsid w:val="00005D92"/>
    <w:rsid w:val="00005DB3"/>
    <w:rsid w:val="00005DB4"/>
    <w:rsid w:val="00005E5D"/>
    <w:rsid w:val="00005E75"/>
    <w:rsid w:val="00005EB8"/>
    <w:rsid w:val="00005ED3"/>
    <w:rsid w:val="00005F42"/>
    <w:rsid w:val="00005F97"/>
    <w:rsid w:val="00005F9B"/>
    <w:rsid w:val="0000604A"/>
    <w:rsid w:val="00006093"/>
    <w:rsid w:val="00006128"/>
    <w:rsid w:val="00006145"/>
    <w:rsid w:val="000061BA"/>
    <w:rsid w:val="00006202"/>
    <w:rsid w:val="00006244"/>
    <w:rsid w:val="00006278"/>
    <w:rsid w:val="000062C1"/>
    <w:rsid w:val="00006303"/>
    <w:rsid w:val="00006330"/>
    <w:rsid w:val="000063C3"/>
    <w:rsid w:val="000063E6"/>
    <w:rsid w:val="000063ED"/>
    <w:rsid w:val="00006449"/>
    <w:rsid w:val="0000644A"/>
    <w:rsid w:val="00006466"/>
    <w:rsid w:val="00006515"/>
    <w:rsid w:val="0000654B"/>
    <w:rsid w:val="000065AD"/>
    <w:rsid w:val="000065C4"/>
    <w:rsid w:val="000065D3"/>
    <w:rsid w:val="000065F8"/>
    <w:rsid w:val="000065FC"/>
    <w:rsid w:val="000065FD"/>
    <w:rsid w:val="00006642"/>
    <w:rsid w:val="000066A3"/>
    <w:rsid w:val="000066C2"/>
    <w:rsid w:val="00006725"/>
    <w:rsid w:val="00006751"/>
    <w:rsid w:val="00006773"/>
    <w:rsid w:val="000067CB"/>
    <w:rsid w:val="000067EF"/>
    <w:rsid w:val="000067FD"/>
    <w:rsid w:val="00006840"/>
    <w:rsid w:val="0000688B"/>
    <w:rsid w:val="000068C8"/>
    <w:rsid w:val="000068EE"/>
    <w:rsid w:val="00006982"/>
    <w:rsid w:val="000069E3"/>
    <w:rsid w:val="00006A1E"/>
    <w:rsid w:val="00006A4D"/>
    <w:rsid w:val="00006A9E"/>
    <w:rsid w:val="00006B09"/>
    <w:rsid w:val="00006B2E"/>
    <w:rsid w:val="00006B62"/>
    <w:rsid w:val="00006B9E"/>
    <w:rsid w:val="00006BAB"/>
    <w:rsid w:val="00006BBE"/>
    <w:rsid w:val="00006C07"/>
    <w:rsid w:val="00006C28"/>
    <w:rsid w:val="00006C2B"/>
    <w:rsid w:val="00006C95"/>
    <w:rsid w:val="00006D05"/>
    <w:rsid w:val="00006D19"/>
    <w:rsid w:val="00006D9A"/>
    <w:rsid w:val="00006D9D"/>
    <w:rsid w:val="00006DC8"/>
    <w:rsid w:val="00006E0A"/>
    <w:rsid w:val="00006E6A"/>
    <w:rsid w:val="00006E86"/>
    <w:rsid w:val="00006EAB"/>
    <w:rsid w:val="00006EB9"/>
    <w:rsid w:val="00006EC4"/>
    <w:rsid w:val="00006EFB"/>
    <w:rsid w:val="00006F33"/>
    <w:rsid w:val="00006FFB"/>
    <w:rsid w:val="0000700B"/>
    <w:rsid w:val="00007018"/>
    <w:rsid w:val="000071A0"/>
    <w:rsid w:val="000071AD"/>
    <w:rsid w:val="00007220"/>
    <w:rsid w:val="00007266"/>
    <w:rsid w:val="000072B4"/>
    <w:rsid w:val="000072D5"/>
    <w:rsid w:val="000073B0"/>
    <w:rsid w:val="000073C1"/>
    <w:rsid w:val="000073CA"/>
    <w:rsid w:val="000073DE"/>
    <w:rsid w:val="000073E4"/>
    <w:rsid w:val="000074D1"/>
    <w:rsid w:val="000074DF"/>
    <w:rsid w:val="000074EF"/>
    <w:rsid w:val="0000755E"/>
    <w:rsid w:val="0000756C"/>
    <w:rsid w:val="000075A7"/>
    <w:rsid w:val="000075C5"/>
    <w:rsid w:val="000075CA"/>
    <w:rsid w:val="000075EC"/>
    <w:rsid w:val="0000763E"/>
    <w:rsid w:val="00007645"/>
    <w:rsid w:val="000076FA"/>
    <w:rsid w:val="00007701"/>
    <w:rsid w:val="0000770D"/>
    <w:rsid w:val="00007714"/>
    <w:rsid w:val="00007717"/>
    <w:rsid w:val="00007806"/>
    <w:rsid w:val="00007860"/>
    <w:rsid w:val="000078B5"/>
    <w:rsid w:val="000078BE"/>
    <w:rsid w:val="000078C5"/>
    <w:rsid w:val="000078F9"/>
    <w:rsid w:val="00007911"/>
    <w:rsid w:val="00007946"/>
    <w:rsid w:val="000079C6"/>
    <w:rsid w:val="00007A25"/>
    <w:rsid w:val="00007B07"/>
    <w:rsid w:val="00007B1D"/>
    <w:rsid w:val="00007B40"/>
    <w:rsid w:val="00007B77"/>
    <w:rsid w:val="00007B83"/>
    <w:rsid w:val="00007B92"/>
    <w:rsid w:val="00007BD6"/>
    <w:rsid w:val="00007BF1"/>
    <w:rsid w:val="00007C52"/>
    <w:rsid w:val="00007CAA"/>
    <w:rsid w:val="00007D59"/>
    <w:rsid w:val="00007DB0"/>
    <w:rsid w:val="00007DB6"/>
    <w:rsid w:val="00007E9B"/>
    <w:rsid w:val="00007E9C"/>
    <w:rsid w:val="00007EC4"/>
    <w:rsid w:val="00007F43"/>
    <w:rsid w:val="00007F6D"/>
    <w:rsid w:val="00007F9D"/>
    <w:rsid w:val="00007FA0"/>
    <w:rsid w:val="00007FF4"/>
    <w:rsid w:val="00007FFD"/>
    <w:rsid w:val="0000AA2B"/>
    <w:rsid w:val="00010023"/>
    <w:rsid w:val="00010113"/>
    <w:rsid w:val="0001014F"/>
    <w:rsid w:val="00010165"/>
    <w:rsid w:val="000101B5"/>
    <w:rsid w:val="000101F8"/>
    <w:rsid w:val="00010223"/>
    <w:rsid w:val="00010231"/>
    <w:rsid w:val="00010266"/>
    <w:rsid w:val="00010278"/>
    <w:rsid w:val="000102A6"/>
    <w:rsid w:val="000102DE"/>
    <w:rsid w:val="000102E7"/>
    <w:rsid w:val="00010345"/>
    <w:rsid w:val="000103C5"/>
    <w:rsid w:val="00010438"/>
    <w:rsid w:val="0001043E"/>
    <w:rsid w:val="00010454"/>
    <w:rsid w:val="000104D8"/>
    <w:rsid w:val="000104FB"/>
    <w:rsid w:val="00010556"/>
    <w:rsid w:val="00010558"/>
    <w:rsid w:val="0001055D"/>
    <w:rsid w:val="00010641"/>
    <w:rsid w:val="0001068E"/>
    <w:rsid w:val="000106C3"/>
    <w:rsid w:val="00010725"/>
    <w:rsid w:val="0001073D"/>
    <w:rsid w:val="00010749"/>
    <w:rsid w:val="00010753"/>
    <w:rsid w:val="000107C5"/>
    <w:rsid w:val="000107C7"/>
    <w:rsid w:val="000107EE"/>
    <w:rsid w:val="00010859"/>
    <w:rsid w:val="000108A6"/>
    <w:rsid w:val="00010949"/>
    <w:rsid w:val="00010967"/>
    <w:rsid w:val="000109F0"/>
    <w:rsid w:val="00010A0C"/>
    <w:rsid w:val="00010A4D"/>
    <w:rsid w:val="00010A8F"/>
    <w:rsid w:val="00010AC6"/>
    <w:rsid w:val="00010B29"/>
    <w:rsid w:val="00010B34"/>
    <w:rsid w:val="00010B62"/>
    <w:rsid w:val="00010BA5"/>
    <w:rsid w:val="00010BC1"/>
    <w:rsid w:val="00010BCB"/>
    <w:rsid w:val="00010BEA"/>
    <w:rsid w:val="00010C1D"/>
    <w:rsid w:val="00010C78"/>
    <w:rsid w:val="00010C7D"/>
    <w:rsid w:val="00010C9D"/>
    <w:rsid w:val="00010C9E"/>
    <w:rsid w:val="00010CB0"/>
    <w:rsid w:val="00010CD4"/>
    <w:rsid w:val="00010CDE"/>
    <w:rsid w:val="00010CEE"/>
    <w:rsid w:val="00010CF3"/>
    <w:rsid w:val="00010D49"/>
    <w:rsid w:val="00010D70"/>
    <w:rsid w:val="00010DA6"/>
    <w:rsid w:val="00010DA8"/>
    <w:rsid w:val="00010DD5"/>
    <w:rsid w:val="00010DDF"/>
    <w:rsid w:val="00010E39"/>
    <w:rsid w:val="00010EAE"/>
    <w:rsid w:val="00010ECC"/>
    <w:rsid w:val="00010EE0"/>
    <w:rsid w:val="00010EF6"/>
    <w:rsid w:val="00010EFD"/>
    <w:rsid w:val="00010FAD"/>
    <w:rsid w:val="00010FB1"/>
    <w:rsid w:val="0001104E"/>
    <w:rsid w:val="0001106D"/>
    <w:rsid w:val="00011074"/>
    <w:rsid w:val="00011079"/>
    <w:rsid w:val="000110E3"/>
    <w:rsid w:val="0001113B"/>
    <w:rsid w:val="0001120D"/>
    <w:rsid w:val="000112B4"/>
    <w:rsid w:val="000112E8"/>
    <w:rsid w:val="00011319"/>
    <w:rsid w:val="00011354"/>
    <w:rsid w:val="0001135B"/>
    <w:rsid w:val="00011393"/>
    <w:rsid w:val="000113B0"/>
    <w:rsid w:val="000113D5"/>
    <w:rsid w:val="000114A6"/>
    <w:rsid w:val="000114CD"/>
    <w:rsid w:val="00011509"/>
    <w:rsid w:val="0001153D"/>
    <w:rsid w:val="00011550"/>
    <w:rsid w:val="00011571"/>
    <w:rsid w:val="00011574"/>
    <w:rsid w:val="00011581"/>
    <w:rsid w:val="00011592"/>
    <w:rsid w:val="00011593"/>
    <w:rsid w:val="000115AB"/>
    <w:rsid w:val="000115F0"/>
    <w:rsid w:val="00011633"/>
    <w:rsid w:val="0001170B"/>
    <w:rsid w:val="00011717"/>
    <w:rsid w:val="00011768"/>
    <w:rsid w:val="0001177B"/>
    <w:rsid w:val="00011797"/>
    <w:rsid w:val="000117F0"/>
    <w:rsid w:val="00011824"/>
    <w:rsid w:val="000118C7"/>
    <w:rsid w:val="000118DD"/>
    <w:rsid w:val="000118EE"/>
    <w:rsid w:val="0001198F"/>
    <w:rsid w:val="000119AC"/>
    <w:rsid w:val="000119ED"/>
    <w:rsid w:val="00011A03"/>
    <w:rsid w:val="00011A75"/>
    <w:rsid w:val="00011AAF"/>
    <w:rsid w:val="00011B10"/>
    <w:rsid w:val="00011B2E"/>
    <w:rsid w:val="00011BCC"/>
    <w:rsid w:val="00011C28"/>
    <w:rsid w:val="00011C30"/>
    <w:rsid w:val="00011C3B"/>
    <w:rsid w:val="00011CDA"/>
    <w:rsid w:val="00011D27"/>
    <w:rsid w:val="00011D80"/>
    <w:rsid w:val="00011DA9"/>
    <w:rsid w:val="00011DE3"/>
    <w:rsid w:val="00011E55"/>
    <w:rsid w:val="00011E64"/>
    <w:rsid w:val="00011E6D"/>
    <w:rsid w:val="00011E7C"/>
    <w:rsid w:val="00011E91"/>
    <w:rsid w:val="00011EF7"/>
    <w:rsid w:val="00011F7E"/>
    <w:rsid w:val="000120CD"/>
    <w:rsid w:val="0001212D"/>
    <w:rsid w:val="00012179"/>
    <w:rsid w:val="00012198"/>
    <w:rsid w:val="000121AB"/>
    <w:rsid w:val="000121CB"/>
    <w:rsid w:val="000121F1"/>
    <w:rsid w:val="000122A2"/>
    <w:rsid w:val="000122A6"/>
    <w:rsid w:val="000122AF"/>
    <w:rsid w:val="00012303"/>
    <w:rsid w:val="00012320"/>
    <w:rsid w:val="0001239A"/>
    <w:rsid w:val="00012472"/>
    <w:rsid w:val="0001247F"/>
    <w:rsid w:val="0001252B"/>
    <w:rsid w:val="00012538"/>
    <w:rsid w:val="00012569"/>
    <w:rsid w:val="000125BF"/>
    <w:rsid w:val="00012653"/>
    <w:rsid w:val="000126C8"/>
    <w:rsid w:val="000126DF"/>
    <w:rsid w:val="0001278C"/>
    <w:rsid w:val="0001286E"/>
    <w:rsid w:val="0001288D"/>
    <w:rsid w:val="000128E4"/>
    <w:rsid w:val="00012912"/>
    <w:rsid w:val="0001293A"/>
    <w:rsid w:val="00012976"/>
    <w:rsid w:val="00012A11"/>
    <w:rsid w:val="00012A44"/>
    <w:rsid w:val="00012A53"/>
    <w:rsid w:val="00012A7D"/>
    <w:rsid w:val="00012A8E"/>
    <w:rsid w:val="00012AE5"/>
    <w:rsid w:val="00012AEA"/>
    <w:rsid w:val="00012AED"/>
    <w:rsid w:val="00012B54"/>
    <w:rsid w:val="00012B66"/>
    <w:rsid w:val="00012BAB"/>
    <w:rsid w:val="00012BF8"/>
    <w:rsid w:val="00012C2A"/>
    <w:rsid w:val="00012C9B"/>
    <w:rsid w:val="00012C9E"/>
    <w:rsid w:val="00012D53"/>
    <w:rsid w:val="00012D91"/>
    <w:rsid w:val="00012DAB"/>
    <w:rsid w:val="00012DD0"/>
    <w:rsid w:val="00012DE2"/>
    <w:rsid w:val="00012EAE"/>
    <w:rsid w:val="00012EB9"/>
    <w:rsid w:val="00012EE7"/>
    <w:rsid w:val="00012F0E"/>
    <w:rsid w:val="00012F26"/>
    <w:rsid w:val="00012F27"/>
    <w:rsid w:val="00013013"/>
    <w:rsid w:val="0001304B"/>
    <w:rsid w:val="000130B0"/>
    <w:rsid w:val="0001310B"/>
    <w:rsid w:val="00013138"/>
    <w:rsid w:val="0001314B"/>
    <w:rsid w:val="0001316A"/>
    <w:rsid w:val="000131AC"/>
    <w:rsid w:val="000131CC"/>
    <w:rsid w:val="00013219"/>
    <w:rsid w:val="00013254"/>
    <w:rsid w:val="0001327E"/>
    <w:rsid w:val="000132C2"/>
    <w:rsid w:val="00013305"/>
    <w:rsid w:val="00013332"/>
    <w:rsid w:val="00013340"/>
    <w:rsid w:val="00013376"/>
    <w:rsid w:val="00013410"/>
    <w:rsid w:val="00013437"/>
    <w:rsid w:val="0001345D"/>
    <w:rsid w:val="000134EE"/>
    <w:rsid w:val="000134FE"/>
    <w:rsid w:val="0001353B"/>
    <w:rsid w:val="00013596"/>
    <w:rsid w:val="00013666"/>
    <w:rsid w:val="00013669"/>
    <w:rsid w:val="0001369D"/>
    <w:rsid w:val="000136C6"/>
    <w:rsid w:val="000136D1"/>
    <w:rsid w:val="00013767"/>
    <w:rsid w:val="0001376C"/>
    <w:rsid w:val="00013790"/>
    <w:rsid w:val="000137DE"/>
    <w:rsid w:val="000137E9"/>
    <w:rsid w:val="0001388B"/>
    <w:rsid w:val="0001389A"/>
    <w:rsid w:val="000138A8"/>
    <w:rsid w:val="0001390E"/>
    <w:rsid w:val="00013938"/>
    <w:rsid w:val="00013979"/>
    <w:rsid w:val="000139F1"/>
    <w:rsid w:val="000139F4"/>
    <w:rsid w:val="000139F6"/>
    <w:rsid w:val="00013A48"/>
    <w:rsid w:val="00013A9A"/>
    <w:rsid w:val="00013AA4"/>
    <w:rsid w:val="00013B1C"/>
    <w:rsid w:val="00013B24"/>
    <w:rsid w:val="00013B45"/>
    <w:rsid w:val="00013C35"/>
    <w:rsid w:val="00013C6F"/>
    <w:rsid w:val="00013C77"/>
    <w:rsid w:val="00013D26"/>
    <w:rsid w:val="00013D46"/>
    <w:rsid w:val="00013D52"/>
    <w:rsid w:val="00013D6B"/>
    <w:rsid w:val="00013DA3"/>
    <w:rsid w:val="00013E48"/>
    <w:rsid w:val="00013E7F"/>
    <w:rsid w:val="00013E8E"/>
    <w:rsid w:val="00013EA2"/>
    <w:rsid w:val="00013F75"/>
    <w:rsid w:val="00014007"/>
    <w:rsid w:val="0001400F"/>
    <w:rsid w:val="0001401C"/>
    <w:rsid w:val="0001406B"/>
    <w:rsid w:val="00014084"/>
    <w:rsid w:val="000140B1"/>
    <w:rsid w:val="00014119"/>
    <w:rsid w:val="0001412E"/>
    <w:rsid w:val="00014136"/>
    <w:rsid w:val="00014143"/>
    <w:rsid w:val="00014159"/>
    <w:rsid w:val="00014189"/>
    <w:rsid w:val="000141FC"/>
    <w:rsid w:val="00014209"/>
    <w:rsid w:val="00014245"/>
    <w:rsid w:val="000142D6"/>
    <w:rsid w:val="00014324"/>
    <w:rsid w:val="0001436E"/>
    <w:rsid w:val="00014466"/>
    <w:rsid w:val="0001449D"/>
    <w:rsid w:val="00014541"/>
    <w:rsid w:val="000145EC"/>
    <w:rsid w:val="00014644"/>
    <w:rsid w:val="0001467A"/>
    <w:rsid w:val="00014708"/>
    <w:rsid w:val="0001471E"/>
    <w:rsid w:val="0001475D"/>
    <w:rsid w:val="00014779"/>
    <w:rsid w:val="0001478D"/>
    <w:rsid w:val="000147AA"/>
    <w:rsid w:val="000147EA"/>
    <w:rsid w:val="00014815"/>
    <w:rsid w:val="00014886"/>
    <w:rsid w:val="000149D0"/>
    <w:rsid w:val="000149D2"/>
    <w:rsid w:val="00014A39"/>
    <w:rsid w:val="00014A8A"/>
    <w:rsid w:val="00014B48"/>
    <w:rsid w:val="00014B4B"/>
    <w:rsid w:val="00014B79"/>
    <w:rsid w:val="00014BC9"/>
    <w:rsid w:val="00014C1C"/>
    <w:rsid w:val="00014C2D"/>
    <w:rsid w:val="00014C5F"/>
    <w:rsid w:val="00014C7E"/>
    <w:rsid w:val="00014C80"/>
    <w:rsid w:val="00014CED"/>
    <w:rsid w:val="00014D5A"/>
    <w:rsid w:val="00014D9C"/>
    <w:rsid w:val="00014DD0"/>
    <w:rsid w:val="00014DDF"/>
    <w:rsid w:val="00014DED"/>
    <w:rsid w:val="00014DF0"/>
    <w:rsid w:val="00014E4A"/>
    <w:rsid w:val="00014E5D"/>
    <w:rsid w:val="00014E6A"/>
    <w:rsid w:val="00014E9D"/>
    <w:rsid w:val="00014EE7"/>
    <w:rsid w:val="00014F05"/>
    <w:rsid w:val="00014FB1"/>
    <w:rsid w:val="00014FC5"/>
    <w:rsid w:val="00014FC7"/>
    <w:rsid w:val="00014FF1"/>
    <w:rsid w:val="0001506D"/>
    <w:rsid w:val="000150F9"/>
    <w:rsid w:val="000151F8"/>
    <w:rsid w:val="00015290"/>
    <w:rsid w:val="000152BA"/>
    <w:rsid w:val="000152F2"/>
    <w:rsid w:val="00015318"/>
    <w:rsid w:val="00015348"/>
    <w:rsid w:val="0001536C"/>
    <w:rsid w:val="000153A8"/>
    <w:rsid w:val="00015491"/>
    <w:rsid w:val="000154A3"/>
    <w:rsid w:val="000154AB"/>
    <w:rsid w:val="000154CF"/>
    <w:rsid w:val="00015597"/>
    <w:rsid w:val="000155D2"/>
    <w:rsid w:val="00015641"/>
    <w:rsid w:val="0001575F"/>
    <w:rsid w:val="0001579C"/>
    <w:rsid w:val="000157D9"/>
    <w:rsid w:val="000157E4"/>
    <w:rsid w:val="000157FC"/>
    <w:rsid w:val="00015803"/>
    <w:rsid w:val="000158AF"/>
    <w:rsid w:val="00015908"/>
    <w:rsid w:val="000159B0"/>
    <w:rsid w:val="000159B9"/>
    <w:rsid w:val="00015A1B"/>
    <w:rsid w:val="00015A57"/>
    <w:rsid w:val="00015B03"/>
    <w:rsid w:val="00015B25"/>
    <w:rsid w:val="00015B38"/>
    <w:rsid w:val="00015B54"/>
    <w:rsid w:val="00015B56"/>
    <w:rsid w:val="00015C6F"/>
    <w:rsid w:val="00015D1A"/>
    <w:rsid w:val="00015D3E"/>
    <w:rsid w:val="00015D42"/>
    <w:rsid w:val="00015D57"/>
    <w:rsid w:val="00015DDB"/>
    <w:rsid w:val="00015DFB"/>
    <w:rsid w:val="00015E3F"/>
    <w:rsid w:val="00015E7C"/>
    <w:rsid w:val="00015E9B"/>
    <w:rsid w:val="00015F19"/>
    <w:rsid w:val="00015F2B"/>
    <w:rsid w:val="00015F9A"/>
    <w:rsid w:val="00015FC6"/>
    <w:rsid w:val="00015FFA"/>
    <w:rsid w:val="00016022"/>
    <w:rsid w:val="00016042"/>
    <w:rsid w:val="0001604F"/>
    <w:rsid w:val="0001605E"/>
    <w:rsid w:val="0001613F"/>
    <w:rsid w:val="00016141"/>
    <w:rsid w:val="0001614A"/>
    <w:rsid w:val="000161DA"/>
    <w:rsid w:val="0001628B"/>
    <w:rsid w:val="0001631A"/>
    <w:rsid w:val="00016355"/>
    <w:rsid w:val="00016359"/>
    <w:rsid w:val="00016373"/>
    <w:rsid w:val="00016384"/>
    <w:rsid w:val="000163D6"/>
    <w:rsid w:val="00016424"/>
    <w:rsid w:val="0001644E"/>
    <w:rsid w:val="00016475"/>
    <w:rsid w:val="0001648C"/>
    <w:rsid w:val="0001649F"/>
    <w:rsid w:val="000164AD"/>
    <w:rsid w:val="000164C9"/>
    <w:rsid w:val="00016513"/>
    <w:rsid w:val="00016522"/>
    <w:rsid w:val="00016547"/>
    <w:rsid w:val="00016590"/>
    <w:rsid w:val="0001660B"/>
    <w:rsid w:val="00016644"/>
    <w:rsid w:val="000166FD"/>
    <w:rsid w:val="00016817"/>
    <w:rsid w:val="00016855"/>
    <w:rsid w:val="000168A6"/>
    <w:rsid w:val="000168CC"/>
    <w:rsid w:val="000168D8"/>
    <w:rsid w:val="00016911"/>
    <w:rsid w:val="00016959"/>
    <w:rsid w:val="00016969"/>
    <w:rsid w:val="0001696C"/>
    <w:rsid w:val="0001698A"/>
    <w:rsid w:val="00016994"/>
    <w:rsid w:val="000169D9"/>
    <w:rsid w:val="00016A2B"/>
    <w:rsid w:val="00016A5D"/>
    <w:rsid w:val="00016AC6"/>
    <w:rsid w:val="00016AE0"/>
    <w:rsid w:val="00016AF9"/>
    <w:rsid w:val="00016B1C"/>
    <w:rsid w:val="00016BB7"/>
    <w:rsid w:val="00016BFE"/>
    <w:rsid w:val="00016C29"/>
    <w:rsid w:val="00016C9F"/>
    <w:rsid w:val="00016D20"/>
    <w:rsid w:val="00016D56"/>
    <w:rsid w:val="00016D7E"/>
    <w:rsid w:val="00016DAE"/>
    <w:rsid w:val="00016DFB"/>
    <w:rsid w:val="00016E0C"/>
    <w:rsid w:val="00016ECD"/>
    <w:rsid w:val="00016F54"/>
    <w:rsid w:val="00016FEE"/>
    <w:rsid w:val="00017082"/>
    <w:rsid w:val="000170B0"/>
    <w:rsid w:val="000170DD"/>
    <w:rsid w:val="000170F6"/>
    <w:rsid w:val="000171BE"/>
    <w:rsid w:val="000171EE"/>
    <w:rsid w:val="00017251"/>
    <w:rsid w:val="00017286"/>
    <w:rsid w:val="0001728D"/>
    <w:rsid w:val="0001729C"/>
    <w:rsid w:val="000172A3"/>
    <w:rsid w:val="000172B6"/>
    <w:rsid w:val="000172DE"/>
    <w:rsid w:val="00017307"/>
    <w:rsid w:val="00017353"/>
    <w:rsid w:val="000173CB"/>
    <w:rsid w:val="0001742F"/>
    <w:rsid w:val="00017437"/>
    <w:rsid w:val="00017469"/>
    <w:rsid w:val="00017477"/>
    <w:rsid w:val="000174E9"/>
    <w:rsid w:val="000174FD"/>
    <w:rsid w:val="00017534"/>
    <w:rsid w:val="00017634"/>
    <w:rsid w:val="00017644"/>
    <w:rsid w:val="00017680"/>
    <w:rsid w:val="0001769F"/>
    <w:rsid w:val="000176A6"/>
    <w:rsid w:val="000176F4"/>
    <w:rsid w:val="00017756"/>
    <w:rsid w:val="00017758"/>
    <w:rsid w:val="00017765"/>
    <w:rsid w:val="00017774"/>
    <w:rsid w:val="000177CF"/>
    <w:rsid w:val="00017861"/>
    <w:rsid w:val="00017887"/>
    <w:rsid w:val="000178BB"/>
    <w:rsid w:val="000178CF"/>
    <w:rsid w:val="000178FB"/>
    <w:rsid w:val="00017946"/>
    <w:rsid w:val="00017974"/>
    <w:rsid w:val="0001798D"/>
    <w:rsid w:val="000179F8"/>
    <w:rsid w:val="00017A0F"/>
    <w:rsid w:val="00017A57"/>
    <w:rsid w:val="00017B43"/>
    <w:rsid w:val="00017B45"/>
    <w:rsid w:val="00017B60"/>
    <w:rsid w:val="00017BA7"/>
    <w:rsid w:val="00017C12"/>
    <w:rsid w:val="00017C6C"/>
    <w:rsid w:val="00017CDE"/>
    <w:rsid w:val="00017D64"/>
    <w:rsid w:val="00017D70"/>
    <w:rsid w:val="00017D8E"/>
    <w:rsid w:val="00017DA9"/>
    <w:rsid w:val="00017DE8"/>
    <w:rsid w:val="00017E01"/>
    <w:rsid w:val="00017E2A"/>
    <w:rsid w:val="00017E56"/>
    <w:rsid w:val="00017E95"/>
    <w:rsid w:val="00017EE2"/>
    <w:rsid w:val="00017F2B"/>
    <w:rsid w:val="00017F2F"/>
    <w:rsid w:val="00017F5A"/>
    <w:rsid w:val="00017F82"/>
    <w:rsid w:val="00017FA5"/>
    <w:rsid w:val="00018116"/>
    <w:rsid w:val="00020017"/>
    <w:rsid w:val="00020052"/>
    <w:rsid w:val="000200F9"/>
    <w:rsid w:val="0002012A"/>
    <w:rsid w:val="00020182"/>
    <w:rsid w:val="0002019E"/>
    <w:rsid w:val="000201D4"/>
    <w:rsid w:val="0002023B"/>
    <w:rsid w:val="00020267"/>
    <w:rsid w:val="0002030A"/>
    <w:rsid w:val="0002034B"/>
    <w:rsid w:val="000203B3"/>
    <w:rsid w:val="0002043F"/>
    <w:rsid w:val="00020495"/>
    <w:rsid w:val="000204B9"/>
    <w:rsid w:val="00020522"/>
    <w:rsid w:val="00020543"/>
    <w:rsid w:val="000205BE"/>
    <w:rsid w:val="000205F7"/>
    <w:rsid w:val="00020711"/>
    <w:rsid w:val="0002073D"/>
    <w:rsid w:val="00020787"/>
    <w:rsid w:val="000207C3"/>
    <w:rsid w:val="000207E3"/>
    <w:rsid w:val="000207EA"/>
    <w:rsid w:val="00020823"/>
    <w:rsid w:val="00020870"/>
    <w:rsid w:val="0002089E"/>
    <w:rsid w:val="000208A0"/>
    <w:rsid w:val="000208DD"/>
    <w:rsid w:val="00020921"/>
    <w:rsid w:val="00020995"/>
    <w:rsid w:val="000209C1"/>
    <w:rsid w:val="00020A1C"/>
    <w:rsid w:val="00020A44"/>
    <w:rsid w:val="00020AB8"/>
    <w:rsid w:val="00020C2C"/>
    <w:rsid w:val="00020C43"/>
    <w:rsid w:val="00020CA3"/>
    <w:rsid w:val="00020CCC"/>
    <w:rsid w:val="00020CE6"/>
    <w:rsid w:val="00020D72"/>
    <w:rsid w:val="00020D9E"/>
    <w:rsid w:val="00020DBF"/>
    <w:rsid w:val="00020DD6"/>
    <w:rsid w:val="00020DE2"/>
    <w:rsid w:val="00020E2D"/>
    <w:rsid w:val="00020E59"/>
    <w:rsid w:val="00020E88"/>
    <w:rsid w:val="00020EFD"/>
    <w:rsid w:val="00020F46"/>
    <w:rsid w:val="00020F55"/>
    <w:rsid w:val="00020F62"/>
    <w:rsid w:val="00020F6C"/>
    <w:rsid w:val="00020FD5"/>
    <w:rsid w:val="00020FEB"/>
    <w:rsid w:val="00021053"/>
    <w:rsid w:val="00021088"/>
    <w:rsid w:val="000210C7"/>
    <w:rsid w:val="00021127"/>
    <w:rsid w:val="00021144"/>
    <w:rsid w:val="0002116E"/>
    <w:rsid w:val="000211A9"/>
    <w:rsid w:val="000211AD"/>
    <w:rsid w:val="00021244"/>
    <w:rsid w:val="00021316"/>
    <w:rsid w:val="0002131F"/>
    <w:rsid w:val="00021327"/>
    <w:rsid w:val="0002139D"/>
    <w:rsid w:val="000213AE"/>
    <w:rsid w:val="000213C9"/>
    <w:rsid w:val="000213F8"/>
    <w:rsid w:val="0002142E"/>
    <w:rsid w:val="00021533"/>
    <w:rsid w:val="000215D3"/>
    <w:rsid w:val="00021644"/>
    <w:rsid w:val="00021659"/>
    <w:rsid w:val="00021696"/>
    <w:rsid w:val="000216AA"/>
    <w:rsid w:val="000216B9"/>
    <w:rsid w:val="000216E5"/>
    <w:rsid w:val="000216F1"/>
    <w:rsid w:val="0002171D"/>
    <w:rsid w:val="0002172E"/>
    <w:rsid w:val="00021730"/>
    <w:rsid w:val="00021777"/>
    <w:rsid w:val="000217D6"/>
    <w:rsid w:val="0002186D"/>
    <w:rsid w:val="00021892"/>
    <w:rsid w:val="00021894"/>
    <w:rsid w:val="000218B8"/>
    <w:rsid w:val="000218DA"/>
    <w:rsid w:val="000218F5"/>
    <w:rsid w:val="0002193D"/>
    <w:rsid w:val="00021956"/>
    <w:rsid w:val="00021971"/>
    <w:rsid w:val="00021998"/>
    <w:rsid w:val="000219B0"/>
    <w:rsid w:val="00021A02"/>
    <w:rsid w:val="00021A40"/>
    <w:rsid w:val="00021A64"/>
    <w:rsid w:val="00021A70"/>
    <w:rsid w:val="00021A72"/>
    <w:rsid w:val="00021AB1"/>
    <w:rsid w:val="00021AB8"/>
    <w:rsid w:val="00021AF2"/>
    <w:rsid w:val="00021B3C"/>
    <w:rsid w:val="00021B45"/>
    <w:rsid w:val="00021B5F"/>
    <w:rsid w:val="00021B77"/>
    <w:rsid w:val="00021C97"/>
    <w:rsid w:val="00021CAD"/>
    <w:rsid w:val="00021CCC"/>
    <w:rsid w:val="00021D0F"/>
    <w:rsid w:val="00021D13"/>
    <w:rsid w:val="00021D7E"/>
    <w:rsid w:val="00021E03"/>
    <w:rsid w:val="00021E0E"/>
    <w:rsid w:val="00021E2E"/>
    <w:rsid w:val="00021EBC"/>
    <w:rsid w:val="00021EC0"/>
    <w:rsid w:val="00021F4E"/>
    <w:rsid w:val="00021FD0"/>
    <w:rsid w:val="00021FF4"/>
    <w:rsid w:val="000220B7"/>
    <w:rsid w:val="000220C4"/>
    <w:rsid w:val="000220C9"/>
    <w:rsid w:val="0002211E"/>
    <w:rsid w:val="0002213E"/>
    <w:rsid w:val="0002214F"/>
    <w:rsid w:val="000221C9"/>
    <w:rsid w:val="000221F0"/>
    <w:rsid w:val="00022217"/>
    <w:rsid w:val="00022245"/>
    <w:rsid w:val="0002224A"/>
    <w:rsid w:val="00022314"/>
    <w:rsid w:val="0002235D"/>
    <w:rsid w:val="000223BD"/>
    <w:rsid w:val="000223BF"/>
    <w:rsid w:val="000223EE"/>
    <w:rsid w:val="000223FF"/>
    <w:rsid w:val="0002240E"/>
    <w:rsid w:val="00022472"/>
    <w:rsid w:val="00022493"/>
    <w:rsid w:val="000224B9"/>
    <w:rsid w:val="000224BE"/>
    <w:rsid w:val="000224C7"/>
    <w:rsid w:val="00022529"/>
    <w:rsid w:val="00022558"/>
    <w:rsid w:val="00022570"/>
    <w:rsid w:val="00022575"/>
    <w:rsid w:val="00022626"/>
    <w:rsid w:val="0002268B"/>
    <w:rsid w:val="000226CF"/>
    <w:rsid w:val="00022711"/>
    <w:rsid w:val="00022718"/>
    <w:rsid w:val="00022738"/>
    <w:rsid w:val="0002276C"/>
    <w:rsid w:val="00022792"/>
    <w:rsid w:val="000227CD"/>
    <w:rsid w:val="000227CE"/>
    <w:rsid w:val="00022830"/>
    <w:rsid w:val="000228BF"/>
    <w:rsid w:val="000228FF"/>
    <w:rsid w:val="00022902"/>
    <w:rsid w:val="0002291A"/>
    <w:rsid w:val="00022921"/>
    <w:rsid w:val="00022947"/>
    <w:rsid w:val="00022993"/>
    <w:rsid w:val="000229EA"/>
    <w:rsid w:val="00022A05"/>
    <w:rsid w:val="00022A2C"/>
    <w:rsid w:val="00022AA4"/>
    <w:rsid w:val="00022B52"/>
    <w:rsid w:val="00022C2D"/>
    <w:rsid w:val="00022C4C"/>
    <w:rsid w:val="00022C57"/>
    <w:rsid w:val="00022CBF"/>
    <w:rsid w:val="00022D30"/>
    <w:rsid w:val="00022D4B"/>
    <w:rsid w:val="00022E04"/>
    <w:rsid w:val="00022E16"/>
    <w:rsid w:val="00022E23"/>
    <w:rsid w:val="00022E70"/>
    <w:rsid w:val="00022E78"/>
    <w:rsid w:val="00022E91"/>
    <w:rsid w:val="00022EFB"/>
    <w:rsid w:val="00022EFE"/>
    <w:rsid w:val="00022F2A"/>
    <w:rsid w:val="00022F2C"/>
    <w:rsid w:val="00022F4F"/>
    <w:rsid w:val="00022F7D"/>
    <w:rsid w:val="00023002"/>
    <w:rsid w:val="00023075"/>
    <w:rsid w:val="0002308F"/>
    <w:rsid w:val="00023101"/>
    <w:rsid w:val="00023157"/>
    <w:rsid w:val="000231CF"/>
    <w:rsid w:val="000231DD"/>
    <w:rsid w:val="000231DF"/>
    <w:rsid w:val="0002323A"/>
    <w:rsid w:val="000232C2"/>
    <w:rsid w:val="000232DD"/>
    <w:rsid w:val="0002330D"/>
    <w:rsid w:val="00023357"/>
    <w:rsid w:val="00023397"/>
    <w:rsid w:val="000233FB"/>
    <w:rsid w:val="00023401"/>
    <w:rsid w:val="00023434"/>
    <w:rsid w:val="00023488"/>
    <w:rsid w:val="000234D1"/>
    <w:rsid w:val="000234D5"/>
    <w:rsid w:val="000234F0"/>
    <w:rsid w:val="000234FA"/>
    <w:rsid w:val="00023516"/>
    <w:rsid w:val="00023576"/>
    <w:rsid w:val="0002358F"/>
    <w:rsid w:val="0002361E"/>
    <w:rsid w:val="00023620"/>
    <w:rsid w:val="0002365E"/>
    <w:rsid w:val="000236B0"/>
    <w:rsid w:val="000236EE"/>
    <w:rsid w:val="000236F5"/>
    <w:rsid w:val="00023731"/>
    <w:rsid w:val="0002375C"/>
    <w:rsid w:val="0002383F"/>
    <w:rsid w:val="00023843"/>
    <w:rsid w:val="0002388A"/>
    <w:rsid w:val="000238B0"/>
    <w:rsid w:val="000238EF"/>
    <w:rsid w:val="000238F2"/>
    <w:rsid w:val="00023906"/>
    <w:rsid w:val="0002397B"/>
    <w:rsid w:val="000239A5"/>
    <w:rsid w:val="00023A2E"/>
    <w:rsid w:val="00023AB1"/>
    <w:rsid w:val="00023AE0"/>
    <w:rsid w:val="00023AFB"/>
    <w:rsid w:val="00023B54"/>
    <w:rsid w:val="00023B9F"/>
    <w:rsid w:val="00023BE8"/>
    <w:rsid w:val="00023C59"/>
    <w:rsid w:val="00023CB5"/>
    <w:rsid w:val="00023CCD"/>
    <w:rsid w:val="00023CF4"/>
    <w:rsid w:val="00023D1E"/>
    <w:rsid w:val="00023D61"/>
    <w:rsid w:val="00023D69"/>
    <w:rsid w:val="00023E4E"/>
    <w:rsid w:val="00023E90"/>
    <w:rsid w:val="00023E95"/>
    <w:rsid w:val="00023EB6"/>
    <w:rsid w:val="00023F7C"/>
    <w:rsid w:val="00023FBA"/>
    <w:rsid w:val="00024020"/>
    <w:rsid w:val="00024021"/>
    <w:rsid w:val="0002407C"/>
    <w:rsid w:val="000240C9"/>
    <w:rsid w:val="000240E8"/>
    <w:rsid w:val="00024113"/>
    <w:rsid w:val="00024141"/>
    <w:rsid w:val="00024225"/>
    <w:rsid w:val="0002428A"/>
    <w:rsid w:val="000242A9"/>
    <w:rsid w:val="00024321"/>
    <w:rsid w:val="000243D9"/>
    <w:rsid w:val="0002441F"/>
    <w:rsid w:val="00024424"/>
    <w:rsid w:val="0002443C"/>
    <w:rsid w:val="00024464"/>
    <w:rsid w:val="0002449B"/>
    <w:rsid w:val="000244D2"/>
    <w:rsid w:val="000244EB"/>
    <w:rsid w:val="0002451F"/>
    <w:rsid w:val="00024522"/>
    <w:rsid w:val="00024562"/>
    <w:rsid w:val="000245C7"/>
    <w:rsid w:val="0002466E"/>
    <w:rsid w:val="0002468B"/>
    <w:rsid w:val="0002469E"/>
    <w:rsid w:val="000246D0"/>
    <w:rsid w:val="0002470D"/>
    <w:rsid w:val="00024740"/>
    <w:rsid w:val="00024795"/>
    <w:rsid w:val="0002479B"/>
    <w:rsid w:val="000247CC"/>
    <w:rsid w:val="000247F3"/>
    <w:rsid w:val="00024817"/>
    <w:rsid w:val="0002485B"/>
    <w:rsid w:val="00024861"/>
    <w:rsid w:val="000248DF"/>
    <w:rsid w:val="0002492C"/>
    <w:rsid w:val="000249D6"/>
    <w:rsid w:val="000249DA"/>
    <w:rsid w:val="00024A39"/>
    <w:rsid w:val="00024A4B"/>
    <w:rsid w:val="00024A75"/>
    <w:rsid w:val="00024AF6"/>
    <w:rsid w:val="00024B0F"/>
    <w:rsid w:val="00024B84"/>
    <w:rsid w:val="00024B9E"/>
    <w:rsid w:val="00024BA4"/>
    <w:rsid w:val="00024BA5"/>
    <w:rsid w:val="00024BD7"/>
    <w:rsid w:val="00024BFD"/>
    <w:rsid w:val="00024C2B"/>
    <w:rsid w:val="00024C62"/>
    <w:rsid w:val="00024C9E"/>
    <w:rsid w:val="00024CC7"/>
    <w:rsid w:val="00024D3A"/>
    <w:rsid w:val="00024D47"/>
    <w:rsid w:val="00024D60"/>
    <w:rsid w:val="00024DF7"/>
    <w:rsid w:val="00024E3C"/>
    <w:rsid w:val="00024E93"/>
    <w:rsid w:val="00024EF6"/>
    <w:rsid w:val="00025031"/>
    <w:rsid w:val="000250D9"/>
    <w:rsid w:val="000250F1"/>
    <w:rsid w:val="000251AD"/>
    <w:rsid w:val="000251D4"/>
    <w:rsid w:val="00025229"/>
    <w:rsid w:val="00025279"/>
    <w:rsid w:val="0002527B"/>
    <w:rsid w:val="00025495"/>
    <w:rsid w:val="000254D8"/>
    <w:rsid w:val="000254EB"/>
    <w:rsid w:val="0002550A"/>
    <w:rsid w:val="0002555B"/>
    <w:rsid w:val="00025595"/>
    <w:rsid w:val="000255B5"/>
    <w:rsid w:val="000255E6"/>
    <w:rsid w:val="0002562A"/>
    <w:rsid w:val="00025662"/>
    <w:rsid w:val="0002566B"/>
    <w:rsid w:val="00025720"/>
    <w:rsid w:val="000257A3"/>
    <w:rsid w:val="000257AD"/>
    <w:rsid w:val="000257EF"/>
    <w:rsid w:val="000258B6"/>
    <w:rsid w:val="000258FD"/>
    <w:rsid w:val="00025903"/>
    <w:rsid w:val="0002592C"/>
    <w:rsid w:val="00025976"/>
    <w:rsid w:val="000259C0"/>
    <w:rsid w:val="000259CB"/>
    <w:rsid w:val="00025A38"/>
    <w:rsid w:val="00025A74"/>
    <w:rsid w:val="00025AED"/>
    <w:rsid w:val="00025AF0"/>
    <w:rsid w:val="00025B0B"/>
    <w:rsid w:val="00025B2E"/>
    <w:rsid w:val="00025B38"/>
    <w:rsid w:val="00025BBE"/>
    <w:rsid w:val="00025BE0"/>
    <w:rsid w:val="00025C23"/>
    <w:rsid w:val="00025C52"/>
    <w:rsid w:val="00025CFA"/>
    <w:rsid w:val="00025D92"/>
    <w:rsid w:val="00025E85"/>
    <w:rsid w:val="00025F07"/>
    <w:rsid w:val="00025F30"/>
    <w:rsid w:val="00025F5A"/>
    <w:rsid w:val="00025F88"/>
    <w:rsid w:val="00025FCB"/>
    <w:rsid w:val="00025FEE"/>
    <w:rsid w:val="00026001"/>
    <w:rsid w:val="00026016"/>
    <w:rsid w:val="00026033"/>
    <w:rsid w:val="00026049"/>
    <w:rsid w:val="0002608E"/>
    <w:rsid w:val="000260B1"/>
    <w:rsid w:val="000260B5"/>
    <w:rsid w:val="000260F7"/>
    <w:rsid w:val="00026108"/>
    <w:rsid w:val="00026139"/>
    <w:rsid w:val="000261B4"/>
    <w:rsid w:val="0002625C"/>
    <w:rsid w:val="00026282"/>
    <w:rsid w:val="000262A1"/>
    <w:rsid w:val="0002632C"/>
    <w:rsid w:val="0002633E"/>
    <w:rsid w:val="0002634B"/>
    <w:rsid w:val="0002634D"/>
    <w:rsid w:val="000263C4"/>
    <w:rsid w:val="000263C6"/>
    <w:rsid w:val="000263CD"/>
    <w:rsid w:val="00026473"/>
    <w:rsid w:val="000264B3"/>
    <w:rsid w:val="000264C1"/>
    <w:rsid w:val="00026517"/>
    <w:rsid w:val="00026528"/>
    <w:rsid w:val="00026549"/>
    <w:rsid w:val="00026596"/>
    <w:rsid w:val="000265AD"/>
    <w:rsid w:val="000266C9"/>
    <w:rsid w:val="00026725"/>
    <w:rsid w:val="000267CA"/>
    <w:rsid w:val="0002684D"/>
    <w:rsid w:val="00026862"/>
    <w:rsid w:val="00026866"/>
    <w:rsid w:val="0002687D"/>
    <w:rsid w:val="00026895"/>
    <w:rsid w:val="000268C5"/>
    <w:rsid w:val="000268F4"/>
    <w:rsid w:val="00026903"/>
    <w:rsid w:val="0002692A"/>
    <w:rsid w:val="0002697D"/>
    <w:rsid w:val="000269BE"/>
    <w:rsid w:val="000269E1"/>
    <w:rsid w:val="00026A40"/>
    <w:rsid w:val="00026AD2"/>
    <w:rsid w:val="00026B03"/>
    <w:rsid w:val="00026B1C"/>
    <w:rsid w:val="00026B3E"/>
    <w:rsid w:val="00026B5C"/>
    <w:rsid w:val="00026BC8"/>
    <w:rsid w:val="00026C5A"/>
    <w:rsid w:val="00026C64"/>
    <w:rsid w:val="00026C83"/>
    <w:rsid w:val="00026CE3"/>
    <w:rsid w:val="00026CEA"/>
    <w:rsid w:val="00026CF4"/>
    <w:rsid w:val="00026D91"/>
    <w:rsid w:val="00026DAF"/>
    <w:rsid w:val="00026DC2"/>
    <w:rsid w:val="00026DE3"/>
    <w:rsid w:val="00026DE8"/>
    <w:rsid w:val="00026E2A"/>
    <w:rsid w:val="00026E57"/>
    <w:rsid w:val="00026E60"/>
    <w:rsid w:val="00026EB5"/>
    <w:rsid w:val="00026EC5"/>
    <w:rsid w:val="00026F07"/>
    <w:rsid w:val="00026F1D"/>
    <w:rsid w:val="00026F70"/>
    <w:rsid w:val="00026FCF"/>
    <w:rsid w:val="00027014"/>
    <w:rsid w:val="00027046"/>
    <w:rsid w:val="0002708D"/>
    <w:rsid w:val="00027166"/>
    <w:rsid w:val="000271BE"/>
    <w:rsid w:val="000271F9"/>
    <w:rsid w:val="0002726E"/>
    <w:rsid w:val="00027271"/>
    <w:rsid w:val="000272A4"/>
    <w:rsid w:val="00027380"/>
    <w:rsid w:val="000273FD"/>
    <w:rsid w:val="000273FE"/>
    <w:rsid w:val="0002741C"/>
    <w:rsid w:val="0002745B"/>
    <w:rsid w:val="000274C1"/>
    <w:rsid w:val="000274E0"/>
    <w:rsid w:val="0002760C"/>
    <w:rsid w:val="00027617"/>
    <w:rsid w:val="0002761A"/>
    <w:rsid w:val="00027645"/>
    <w:rsid w:val="000276B4"/>
    <w:rsid w:val="000276DC"/>
    <w:rsid w:val="00027702"/>
    <w:rsid w:val="00027765"/>
    <w:rsid w:val="000277E7"/>
    <w:rsid w:val="0002781F"/>
    <w:rsid w:val="00027877"/>
    <w:rsid w:val="00027923"/>
    <w:rsid w:val="000279B4"/>
    <w:rsid w:val="000279D3"/>
    <w:rsid w:val="000279F3"/>
    <w:rsid w:val="00027A1A"/>
    <w:rsid w:val="00027A3C"/>
    <w:rsid w:val="00027A54"/>
    <w:rsid w:val="00027AFA"/>
    <w:rsid w:val="00027B33"/>
    <w:rsid w:val="00027BB5"/>
    <w:rsid w:val="00027C02"/>
    <w:rsid w:val="00027C36"/>
    <w:rsid w:val="00027C46"/>
    <w:rsid w:val="00027C84"/>
    <w:rsid w:val="00027CDB"/>
    <w:rsid w:val="00027CEA"/>
    <w:rsid w:val="00027D65"/>
    <w:rsid w:val="00027DAB"/>
    <w:rsid w:val="00027DBA"/>
    <w:rsid w:val="00027EAC"/>
    <w:rsid w:val="00027F77"/>
    <w:rsid w:val="00027F9C"/>
    <w:rsid w:val="0002977C"/>
    <w:rsid w:val="000300CE"/>
    <w:rsid w:val="000300E2"/>
    <w:rsid w:val="0003010C"/>
    <w:rsid w:val="00030145"/>
    <w:rsid w:val="000301A7"/>
    <w:rsid w:val="000301AE"/>
    <w:rsid w:val="000302C3"/>
    <w:rsid w:val="000302C5"/>
    <w:rsid w:val="000302CE"/>
    <w:rsid w:val="0003030C"/>
    <w:rsid w:val="0003036D"/>
    <w:rsid w:val="0003039C"/>
    <w:rsid w:val="0003039E"/>
    <w:rsid w:val="000303DB"/>
    <w:rsid w:val="000303FD"/>
    <w:rsid w:val="00030408"/>
    <w:rsid w:val="00030415"/>
    <w:rsid w:val="0003045B"/>
    <w:rsid w:val="00030491"/>
    <w:rsid w:val="000304C0"/>
    <w:rsid w:val="000304CB"/>
    <w:rsid w:val="000304D3"/>
    <w:rsid w:val="000304E4"/>
    <w:rsid w:val="00030524"/>
    <w:rsid w:val="00030599"/>
    <w:rsid w:val="00030606"/>
    <w:rsid w:val="0003068B"/>
    <w:rsid w:val="000306AC"/>
    <w:rsid w:val="000306E8"/>
    <w:rsid w:val="00030713"/>
    <w:rsid w:val="0003077E"/>
    <w:rsid w:val="00030792"/>
    <w:rsid w:val="0003083C"/>
    <w:rsid w:val="00030850"/>
    <w:rsid w:val="000308C2"/>
    <w:rsid w:val="000308D3"/>
    <w:rsid w:val="000308EB"/>
    <w:rsid w:val="00030909"/>
    <w:rsid w:val="0003090F"/>
    <w:rsid w:val="0003094A"/>
    <w:rsid w:val="00030966"/>
    <w:rsid w:val="000309FC"/>
    <w:rsid w:val="00030A00"/>
    <w:rsid w:val="00030A51"/>
    <w:rsid w:val="00030A6C"/>
    <w:rsid w:val="00030B09"/>
    <w:rsid w:val="00030B5A"/>
    <w:rsid w:val="00030B69"/>
    <w:rsid w:val="00030C21"/>
    <w:rsid w:val="00030C73"/>
    <w:rsid w:val="00030D2C"/>
    <w:rsid w:val="00030DC3"/>
    <w:rsid w:val="00030DC5"/>
    <w:rsid w:val="00030DC7"/>
    <w:rsid w:val="00030DE0"/>
    <w:rsid w:val="00030E22"/>
    <w:rsid w:val="00030E4E"/>
    <w:rsid w:val="00030E68"/>
    <w:rsid w:val="00030F02"/>
    <w:rsid w:val="00030F10"/>
    <w:rsid w:val="00030F97"/>
    <w:rsid w:val="00030FF5"/>
    <w:rsid w:val="0003108B"/>
    <w:rsid w:val="0003108F"/>
    <w:rsid w:val="000310CA"/>
    <w:rsid w:val="000310FF"/>
    <w:rsid w:val="00031155"/>
    <w:rsid w:val="00031184"/>
    <w:rsid w:val="000311EC"/>
    <w:rsid w:val="000311FB"/>
    <w:rsid w:val="00031233"/>
    <w:rsid w:val="00031260"/>
    <w:rsid w:val="00031282"/>
    <w:rsid w:val="000312A4"/>
    <w:rsid w:val="000312D4"/>
    <w:rsid w:val="00031327"/>
    <w:rsid w:val="00031440"/>
    <w:rsid w:val="0003156D"/>
    <w:rsid w:val="00031581"/>
    <w:rsid w:val="00031609"/>
    <w:rsid w:val="0003161D"/>
    <w:rsid w:val="0003169F"/>
    <w:rsid w:val="000316E1"/>
    <w:rsid w:val="00031709"/>
    <w:rsid w:val="00031713"/>
    <w:rsid w:val="00031716"/>
    <w:rsid w:val="00031736"/>
    <w:rsid w:val="00031746"/>
    <w:rsid w:val="000317A1"/>
    <w:rsid w:val="000317BF"/>
    <w:rsid w:val="0003182A"/>
    <w:rsid w:val="0003188E"/>
    <w:rsid w:val="000318B1"/>
    <w:rsid w:val="000318B2"/>
    <w:rsid w:val="00031926"/>
    <w:rsid w:val="00031936"/>
    <w:rsid w:val="00031938"/>
    <w:rsid w:val="00031950"/>
    <w:rsid w:val="0003195F"/>
    <w:rsid w:val="0003197E"/>
    <w:rsid w:val="000319D5"/>
    <w:rsid w:val="000319F6"/>
    <w:rsid w:val="00031A65"/>
    <w:rsid w:val="00031A66"/>
    <w:rsid w:val="00031A82"/>
    <w:rsid w:val="00031A89"/>
    <w:rsid w:val="00031AE2"/>
    <w:rsid w:val="00031AF5"/>
    <w:rsid w:val="00031B09"/>
    <w:rsid w:val="00031B0F"/>
    <w:rsid w:val="00031B20"/>
    <w:rsid w:val="00031B4E"/>
    <w:rsid w:val="00031BF4"/>
    <w:rsid w:val="00031BF9"/>
    <w:rsid w:val="00031C02"/>
    <w:rsid w:val="00031C19"/>
    <w:rsid w:val="00031C62"/>
    <w:rsid w:val="00031C76"/>
    <w:rsid w:val="00031C8C"/>
    <w:rsid w:val="00031CFE"/>
    <w:rsid w:val="00031D54"/>
    <w:rsid w:val="00031D5F"/>
    <w:rsid w:val="00031D67"/>
    <w:rsid w:val="00031DF2"/>
    <w:rsid w:val="00031E39"/>
    <w:rsid w:val="00031E9C"/>
    <w:rsid w:val="00031F9A"/>
    <w:rsid w:val="0003205C"/>
    <w:rsid w:val="0003206D"/>
    <w:rsid w:val="000320C3"/>
    <w:rsid w:val="000320D6"/>
    <w:rsid w:val="00032125"/>
    <w:rsid w:val="0003215D"/>
    <w:rsid w:val="000321DD"/>
    <w:rsid w:val="00032239"/>
    <w:rsid w:val="00032287"/>
    <w:rsid w:val="00032324"/>
    <w:rsid w:val="000323B9"/>
    <w:rsid w:val="000323D0"/>
    <w:rsid w:val="0003243B"/>
    <w:rsid w:val="0003245B"/>
    <w:rsid w:val="000324AF"/>
    <w:rsid w:val="00032517"/>
    <w:rsid w:val="00032531"/>
    <w:rsid w:val="0003255A"/>
    <w:rsid w:val="0003255F"/>
    <w:rsid w:val="000325FD"/>
    <w:rsid w:val="00032619"/>
    <w:rsid w:val="0003267B"/>
    <w:rsid w:val="000326DF"/>
    <w:rsid w:val="00032703"/>
    <w:rsid w:val="00032726"/>
    <w:rsid w:val="0003272B"/>
    <w:rsid w:val="0003273F"/>
    <w:rsid w:val="000327E1"/>
    <w:rsid w:val="0003282D"/>
    <w:rsid w:val="0003284A"/>
    <w:rsid w:val="00032865"/>
    <w:rsid w:val="00032892"/>
    <w:rsid w:val="000328A3"/>
    <w:rsid w:val="00032905"/>
    <w:rsid w:val="0003291A"/>
    <w:rsid w:val="0003291E"/>
    <w:rsid w:val="0003295C"/>
    <w:rsid w:val="00032990"/>
    <w:rsid w:val="00032995"/>
    <w:rsid w:val="000329B4"/>
    <w:rsid w:val="000329D4"/>
    <w:rsid w:val="00032A68"/>
    <w:rsid w:val="00032A7F"/>
    <w:rsid w:val="00032BBC"/>
    <w:rsid w:val="00032BD8"/>
    <w:rsid w:val="00032BE4"/>
    <w:rsid w:val="00032C15"/>
    <w:rsid w:val="00032D14"/>
    <w:rsid w:val="00032D4B"/>
    <w:rsid w:val="00032D58"/>
    <w:rsid w:val="00032D9D"/>
    <w:rsid w:val="00032DA3"/>
    <w:rsid w:val="00032DAD"/>
    <w:rsid w:val="00032DFF"/>
    <w:rsid w:val="00032E48"/>
    <w:rsid w:val="00032E4B"/>
    <w:rsid w:val="00032E92"/>
    <w:rsid w:val="00032EBC"/>
    <w:rsid w:val="00032F2D"/>
    <w:rsid w:val="00032F3E"/>
    <w:rsid w:val="00032F8B"/>
    <w:rsid w:val="00032FAD"/>
    <w:rsid w:val="00033047"/>
    <w:rsid w:val="00033066"/>
    <w:rsid w:val="00033087"/>
    <w:rsid w:val="0003311B"/>
    <w:rsid w:val="0003311E"/>
    <w:rsid w:val="00033173"/>
    <w:rsid w:val="000331CC"/>
    <w:rsid w:val="0003331A"/>
    <w:rsid w:val="00033345"/>
    <w:rsid w:val="00033368"/>
    <w:rsid w:val="000333DA"/>
    <w:rsid w:val="00033416"/>
    <w:rsid w:val="0003343A"/>
    <w:rsid w:val="00033441"/>
    <w:rsid w:val="00033492"/>
    <w:rsid w:val="000334A4"/>
    <w:rsid w:val="000334AF"/>
    <w:rsid w:val="000334BA"/>
    <w:rsid w:val="0003350C"/>
    <w:rsid w:val="00033522"/>
    <w:rsid w:val="000335E3"/>
    <w:rsid w:val="0003360D"/>
    <w:rsid w:val="00033692"/>
    <w:rsid w:val="0003377B"/>
    <w:rsid w:val="00033806"/>
    <w:rsid w:val="00033839"/>
    <w:rsid w:val="0003383E"/>
    <w:rsid w:val="00033930"/>
    <w:rsid w:val="0003393F"/>
    <w:rsid w:val="00033976"/>
    <w:rsid w:val="00033999"/>
    <w:rsid w:val="00033A30"/>
    <w:rsid w:val="00033A58"/>
    <w:rsid w:val="00033AD1"/>
    <w:rsid w:val="00033B47"/>
    <w:rsid w:val="00033BA5"/>
    <w:rsid w:val="00033BAD"/>
    <w:rsid w:val="00033BB6"/>
    <w:rsid w:val="00033BE1"/>
    <w:rsid w:val="00033C40"/>
    <w:rsid w:val="00033C6F"/>
    <w:rsid w:val="00033C80"/>
    <w:rsid w:val="00033CE4"/>
    <w:rsid w:val="00033CFE"/>
    <w:rsid w:val="00033D75"/>
    <w:rsid w:val="00033D87"/>
    <w:rsid w:val="00033DA6"/>
    <w:rsid w:val="00033DCC"/>
    <w:rsid w:val="00033ECB"/>
    <w:rsid w:val="00033F95"/>
    <w:rsid w:val="00033FD8"/>
    <w:rsid w:val="00033FD9"/>
    <w:rsid w:val="00033FF1"/>
    <w:rsid w:val="0003403B"/>
    <w:rsid w:val="00034059"/>
    <w:rsid w:val="0003405E"/>
    <w:rsid w:val="00034060"/>
    <w:rsid w:val="00034070"/>
    <w:rsid w:val="00034092"/>
    <w:rsid w:val="00034095"/>
    <w:rsid w:val="000340BD"/>
    <w:rsid w:val="000340C9"/>
    <w:rsid w:val="00034104"/>
    <w:rsid w:val="00034128"/>
    <w:rsid w:val="00034154"/>
    <w:rsid w:val="00034173"/>
    <w:rsid w:val="00034187"/>
    <w:rsid w:val="000341D7"/>
    <w:rsid w:val="00034218"/>
    <w:rsid w:val="0003425C"/>
    <w:rsid w:val="00034281"/>
    <w:rsid w:val="00034292"/>
    <w:rsid w:val="00034389"/>
    <w:rsid w:val="000343EF"/>
    <w:rsid w:val="00034499"/>
    <w:rsid w:val="000344CF"/>
    <w:rsid w:val="00034534"/>
    <w:rsid w:val="00034581"/>
    <w:rsid w:val="000345A6"/>
    <w:rsid w:val="000345B2"/>
    <w:rsid w:val="000345D8"/>
    <w:rsid w:val="00034623"/>
    <w:rsid w:val="0003463F"/>
    <w:rsid w:val="00034670"/>
    <w:rsid w:val="00034677"/>
    <w:rsid w:val="0003468A"/>
    <w:rsid w:val="000346BB"/>
    <w:rsid w:val="00034758"/>
    <w:rsid w:val="0003476F"/>
    <w:rsid w:val="000347E3"/>
    <w:rsid w:val="0003487B"/>
    <w:rsid w:val="000348CD"/>
    <w:rsid w:val="000348DB"/>
    <w:rsid w:val="000348E9"/>
    <w:rsid w:val="0003496E"/>
    <w:rsid w:val="000349BA"/>
    <w:rsid w:val="000349BB"/>
    <w:rsid w:val="00034A31"/>
    <w:rsid w:val="00034A34"/>
    <w:rsid w:val="00034A43"/>
    <w:rsid w:val="00034A54"/>
    <w:rsid w:val="00034ABA"/>
    <w:rsid w:val="00034AE4"/>
    <w:rsid w:val="00034AE7"/>
    <w:rsid w:val="00034AFA"/>
    <w:rsid w:val="00034B72"/>
    <w:rsid w:val="00034B8F"/>
    <w:rsid w:val="00034BF6"/>
    <w:rsid w:val="00034CA4"/>
    <w:rsid w:val="00034CB5"/>
    <w:rsid w:val="00034D29"/>
    <w:rsid w:val="00034D33"/>
    <w:rsid w:val="00034D7A"/>
    <w:rsid w:val="00034DAF"/>
    <w:rsid w:val="00034E0B"/>
    <w:rsid w:val="00034E63"/>
    <w:rsid w:val="00034E7E"/>
    <w:rsid w:val="00034E92"/>
    <w:rsid w:val="00034EB8"/>
    <w:rsid w:val="00034F29"/>
    <w:rsid w:val="00034FE1"/>
    <w:rsid w:val="0003500E"/>
    <w:rsid w:val="00035037"/>
    <w:rsid w:val="0003504A"/>
    <w:rsid w:val="0003504E"/>
    <w:rsid w:val="0003506A"/>
    <w:rsid w:val="0003508B"/>
    <w:rsid w:val="0003515D"/>
    <w:rsid w:val="00035218"/>
    <w:rsid w:val="00035268"/>
    <w:rsid w:val="000352B8"/>
    <w:rsid w:val="000352C1"/>
    <w:rsid w:val="000352CF"/>
    <w:rsid w:val="000352E7"/>
    <w:rsid w:val="000352F2"/>
    <w:rsid w:val="00035317"/>
    <w:rsid w:val="00035340"/>
    <w:rsid w:val="00035341"/>
    <w:rsid w:val="00035392"/>
    <w:rsid w:val="000353A9"/>
    <w:rsid w:val="000353D8"/>
    <w:rsid w:val="00035416"/>
    <w:rsid w:val="0003545F"/>
    <w:rsid w:val="000354D0"/>
    <w:rsid w:val="0003551C"/>
    <w:rsid w:val="0003551D"/>
    <w:rsid w:val="00035527"/>
    <w:rsid w:val="0003552C"/>
    <w:rsid w:val="0003553D"/>
    <w:rsid w:val="00035585"/>
    <w:rsid w:val="000355B6"/>
    <w:rsid w:val="000355DB"/>
    <w:rsid w:val="000355EC"/>
    <w:rsid w:val="000355F6"/>
    <w:rsid w:val="00035630"/>
    <w:rsid w:val="00035631"/>
    <w:rsid w:val="000356B5"/>
    <w:rsid w:val="000356C9"/>
    <w:rsid w:val="00035714"/>
    <w:rsid w:val="00035787"/>
    <w:rsid w:val="00035791"/>
    <w:rsid w:val="000357B0"/>
    <w:rsid w:val="000357C3"/>
    <w:rsid w:val="000357CB"/>
    <w:rsid w:val="00035808"/>
    <w:rsid w:val="00035887"/>
    <w:rsid w:val="000358C7"/>
    <w:rsid w:val="00035991"/>
    <w:rsid w:val="000359B4"/>
    <w:rsid w:val="000359DB"/>
    <w:rsid w:val="000359E9"/>
    <w:rsid w:val="00035AA5"/>
    <w:rsid w:val="00035AAC"/>
    <w:rsid w:val="00035BF3"/>
    <w:rsid w:val="00035C09"/>
    <w:rsid w:val="00035C16"/>
    <w:rsid w:val="00035CA9"/>
    <w:rsid w:val="00035CC8"/>
    <w:rsid w:val="00035D0B"/>
    <w:rsid w:val="00035D3D"/>
    <w:rsid w:val="00035D70"/>
    <w:rsid w:val="00035D87"/>
    <w:rsid w:val="00035DA6"/>
    <w:rsid w:val="00035DBC"/>
    <w:rsid w:val="00035DDF"/>
    <w:rsid w:val="00035DF0"/>
    <w:rsid w:val="00035E6A"/>
    <w:rsid w:val="00035E70"/>
    <w:rsid w:val="00035E8A"/>
    <w:rsid w:val="00035E9A"/>
    <w:rsid w:val="00035F18"/>
    <w:rsid w:val="00035F32"/>
    <w:rsid w:val="00035F9B"/>
    <w:rsid w:val="00035FBE"/>
    <w:rsid w:val="000360B0"/>
    <w:rsid w:val="000360FD"/>
    <w:rsid w:val="00036135"/>
    <w:rsid w:val="00036142"/>
    <w:rsid w:val="00036149"/>
    <w:rsid w:val="0003617D"/>
    <w:rsid w:val="000361E6"/>
    <w:rsid w:val="00036219"/>
    <w:rsid w:val="00036485"/>
    <w:rsid w:val="000364A9"/>
    <w:rsid w:val="000364E2"/>
    <w:rsid w:val="000364EC"/>
    <w:rsid w:val="000364FF"/>
    <w:rsid w:val="0003656F"/>
    <w:rsid w:val="0003673D"/>
    <w:rsid w:val="00036747"/>
    <w:rsid w:val="00036780"/>
    <w:rsid w:val="000367F0"/>
    <w:rsid w:val="0003680D"/>
    <w:rsid w:val="00036837"/>
    <w:rsid w:val="00036882"/>
    <w:rsid w:val="00036890"/>
    <w:rsid w:val="00036906"/>
    <w:rsid w:val="0003690B"/>
    <w:rsid w:val="0003691A"/>
    <w:rsid w:val="0003692A"/>
    <w:rsid w:val="00036967"/>
    <w:rsid w:val="0003696F"/>
    <w:rsid w:val="000369A8"/>
    <w:rsid w:val="000369BD"/>
    <w:rsid w:val="00036A47"/>
    <w:rsid w:val="00036ADF"/>
    <w:rsid w:val="00036B4A"/>
    <w:rsid w:val="00036B5D"/>
    <w:rsid w:val="00036B65"/>
    <w:rsid w:val="00036B99"/>
    <w:rsid w:val="00036C56"/>
    <w:rsid w:val="00036C6F"/>
    <w:rsid w:val="00036CC0"/>
    <w:rsid w:val="00036CD2"/>
    <w:rsid w:val="00036D0A"/>
    <w:rsid w:val="00036D0C"/>
    <w:rsid w:val="00036D1A"/>
    <w:rsid w:val="00036D42"/>
    <w:rsid w:val="00036DA6"/>
    <w:rsid w:val="00036DC4"/>
    <w:rsid w:val="00036DDE"/>
    <w:rsid w:val="00036EAE"/>
    <w:rsid w:val="00036EAF"/>
    <w:rsid w:val="00036F2F"/>
    <w:rsid w:val="00036FBD"/>
    <w:rsid w:val="00036FC6"/>
    <w:rsid w:val="0003702A"/>
    <w:rsid w:val="00037037"/>
    <w:rsid w:val="00037061"/>
    <w:rsid w:val="000370E3"/>
    <w:rsid w:val="000370F8"/>
    <w:rsid w:val="00037158"/>
    <w:rsid w:val="00037183"/>
    <w:rsid w:val="00037194"/>
    <w:rsid w:val="000371A1"/>
    <w:rsid w:val="000371DE"/>
    <w:rsid w:val="00037203"/>
    <w:rsid w:val="00037287"/>
    <w:rsid w:val="0003729C"/>
    <w:rsid w:val="000372BF"/>
    <w:rsid w:val="0003732B"/>
    <w:rsid w:val="000373DC"/>
    <w:rsid w:val="000373F5"/>
    <w:rsid w:val="00037407"/>
    <w:rsid w:val="00037418"/>
    <w:rsid w:val="0003742B"/>
    <w:rsid w:val="0003745A"/>
    <w:rsid w:val="000375CD"/>
    <w:rsid w:val="000375D0"/>
    <w:rsid w:val="000375F5"/>
    <w:rsid w:val="00037656"/>
    <w:rsid w:val="00037658"/>
    <w:rsid w:val="00037668"/>
    <w:rsid w:val="0003768C"/>
    <w:rsid w:val="00037721"/>
    <w:rsid w:val="00037768"/>
    <w:rsid w:val="00037786"/>
    <w:rsid w:val="0003779D"/>
    <w:rsid w:val="000377A7"/>
    <w:rsid w:val="000377B8"/>
    <w:rsid w:val="000377C8"/>
    <w:rsid w:val="00037857"/>
    <w:rsid w:val="00037887"/>
    <w:rsid w:val="00037936"/>
    <w:rsid w:val="000379B5"/>
    <w:rsid w:val="000379BD"/>
    <w:rsid w:val="000379FD"/>
    <w:rsid w:val="00037A3C"/>
    <w:rsid w:val="00037A58"/>
    <w:rsid w:val="00037AD2"/>
    <w:rsid w:val="00037AE9"/>
    <w:rsid w:val="00037AF0"/>
    <w:rsid w:val="00037B84"/>
    <w:rsid w:val="00037B8C"/>
    <w:rsid w:val="00037BB8"/>
    <w:rsid w:val="00037BCF"/>
    <w:rsid w:val="00037BE1"/>
    <w:rsid w:val="00037C22"/>
    <w:rsid w:val="00037C35"/>
    <w:rsid w:val="00037C76"/>
    <w:rsid w:val="00037CDB"/>
    <w:rsid w:val="00037CE9"/>
    <w:rsid w:val="00037D42"/>
    <w:rsid w:val="00037DA5"/>
    <w:rsid w:val="00037EC8"/>
    <w:rsid w:val="00037F1B"/>
    <w:rsid w:val="00037F6E"/>
    <w:rsid w:val="00037F8C"/>
    <w:rsid w:val="00037F9A"/>
    <w:rsid w:val="00037FE4"/>
    <w:rsid w:val="00040018"/>
    <w:rsid w:val="00040063"/>
    <w:rsid w:val="00040064"/>
    <w:rsid w:val="00040073"/>
    <w:rsid w:val="00040080"/>
    <w:rsid w:val="00040081"/>
    <w:rsid w:val="0004008D"/>
    <w:rsid w:val="000400BF"/>
    <w:rsid w:val="000400C8"/>
    <w:rsid w:val="000400F0"/>
    <w:rsid w:val="00040122"/>
    <w:rsid w:val="0004012B"/>
    <w:rsid w:val="0004014E"/>
    <w:rsid w:val="00040168"/>
    <w:rsid w:val="000401B2"/>
    <w:rsid w:val="000401E3"/>
    <w:rsid w:val="000401EF"/>
    <w:rsid w:val="000401F0"/>
    <w:rsid w:val="0004020A"/>
    <w:rsid w:val="0004023C"/>
    <w:rsid w:val="000402D6"/>
    <w:rsid w:val="00040361"/>
    <w:rsid w:val="000403C5"/>
    <w:rsid w:val="000403D9"/>
    <w:rsid w:val="0004045B"/>
    <w:rsid w:val="00040489"/>
    <w:rsid w:val="000404E6"/>
    <w:rsid w:val="00040531"/>
    <w:rsid w:val="0004059F"/>
    <w:rsid w:val="000405E8"/>
    <w:rsid w:val="00040618"/>
    <w:rsid w:val="0004067A"/>
    <w:rsid w:val="000406C5"/>
    <w:rsid w:val="0004070A"/>
    <w:rsid w:val="00040725"/>
    <w:rsid w:val="0004073A"/>
    <w:rsid w:val="00040743"/>
    <w:rsid w:val="0004074D"/>
    <w:rsid w:val="000407C8"/>
    <w:rsid w:val="000407CE"/>
    <w:rsid w:val="000407F5"/>
    <w:rsid w:val="00040835"/>
    <w:rsid w:val="00040836"/>
    <w:rsid w:val="000408FD"/>
    <w:rsid w:val="000409F6"/>
    <w:rsid w:val="00040A46"/>
    <w:rsid w:val="00040AB2"/>
    <w:rsid w:val="00040AC5"/>
    <w:rsid w:val="00040B3A"/>
    <w:rsid w:val="00040B52"/>
    <w:rsid w:val="00040B8C"/>
    <w:rsid w:val="00040BA5"/>
    <w:rsid w:val="00040BDA"/>
    <w:rsid w:val="00040C6B"/>
    <w:rsid w:val="00040C73"/>
    <w:rsid w:val="00040C7A"/>
    <w:rsid w:val="00040CAC"/>
    <w:rsid w:val="00040CC6"/>
    <w:rsid w:val="00040D3D"/>
    <w:rsid w:val="00040D54"/>
    <w:rsid w:val="00040DE6"/>
    <w:rsid w:val="00040DFD"/>
    <w:rsid w:val="00040E16"/>
    <w:rsid w:val="00040E21"/>
    <w:rsid w:val="00040E44"/>
    <w:rsid w:val="00040E68"/>
    <w:rsid w:val="00040EA5"/>
    <w:rsid w:val="00040EB1"/>
    <w:rsid w:val="00040F91"/>
    <w:rsid w:val="00040FDC"/>
    <w:rsid w:val="00040FEE"/>
    <w:rsid w:val="0004104A"/>
    <w:rsid w:val="00041061"/>
    <w:rsid w:val="00041073"/>
    <w:rsid w:val="00041147"/>
    <w:rsid w:val="00041190"/>
    <w:rsid w:val="000411E4"/>
    <w:rsid w:val="0004120D"/>
    <w:rsid w:val="00041233"/>
    <w:rsid w:val="00041276"/>
    <w:rsid w:val="000412F3"/>
    <w:rsid w:val="00041318"/>
    <w:rsid w:val="0004132F"/>
    <w:rsid w:val="0004136E"/>
    <w:rsid w:val="00041383"/>
    <w:rsid w:val="00041392"/>
    <w:rsid w:val="000413EF"/>
    <w:rsid w:val="00041401"/>
    <w:rsid w:val="0004141A"/>
    <w:rsid w:val="0004142F"/>
    <w:rsid w:val="00041463"/>
    <w:rsid w:val="000414D6"/>
    <w:rsid w:val="00041510"/>
    <w:rsid w:val="00041513"/>
    <w:rsid w:val="00041586"/>
    <w:rsid w:val="000415A1"/>
    <w:rsid w:val="000415FE"/>
    <w:rsid w:val="00041627"/>
    <w:rsid w:val="000416CD"/>
    <w:rsid w:val="00041701"/>
    <w:rsid w:val="00041733"/>
    <w:rsid w:val="00041755"/>
    <w:rsid w:val="000417AF"/>
    <w:rsid w:val="000417B1"/>
    <w:rsid w:val="0004180D"/>
    <w:rsid w:val="0004186C"/>
    <w:rsid w:val="000418B0"/>
    <w:rsid w:val="000418E4"/>
    <w:rsid w:val="000418EE"/>
    <w:rsid w:val="0004195B"/>
    <w:rsid w:val="0004195E"/>
    <w:rsid w:val="00041992"/>
    <w:rsid w:val="00041A51"/>
    <w:rsid w:val="00041A54"/>
    <w:rsid w:val="00041A70"/>
    <w:rsid w:val="00041A85"/>
    <w:rsid w:val="00041AA8"/>
    <w:rsid w:val="00041AAE"/>
    <w:rsid w:val="00041AB2"/>
    <w:rsid w:val="00041B47"/>
    <w:rsid w:val="00041B52"/>
    <w:rsid w:val="00041BDF"/>
    <w:rsid w:val="00041C34"/>
    <w:rsid w:val="00041C95"/>
    <w:rsid w:val="00041CBA"/>
    <w:rsid w:val="00041D0E"/>
    <w:rsid w:val="00041D16"/>
    <w:rsid w:val="00041D7D"/>
    <w:rsid w:val="00041E78"/>
    <w:rsid w:val="00041EA4"/>
    <w:rsid w:val="00041EE0"/>
    <w:rsid w:val="00041F04"/>
    <w:rsid w:val="00041FA4"/>
    <w:rsid w:val="00041FDD"/>
    <w:rsid w:val="00042042"/>
    <w:rsid w:val="00042063"/>
    <w:rsid w:val="00042103"/>
    <w:rsid w:val="0004214C"/>
    <w:rsid w:val="00042179"/>
    <w:rsid w:val="000421A9"/>
    <w:rsid w:val="00042220"/>
    <w:rsid w:val="0004224A"/>
    <w:rsid w:val="0004224C"/>
    <w:rsid w:val="0004228E"/>
    <w:rsid w:val="000422BF"/>
    <w:rsid w:val="00042328"/>
    <w:rsid w:val="00042338"/>
    <w:rsid w:val="00042381"/>
    <w:rsid w:val="00042396"/>
    <w:rsid w:val="00042397"/>
    <w:rsid w:val="000423BD"/>
    <w:rsid w:val="000423CE"/>
    <w:rsid w:val="00042434"/>
    <w:rsid w:val="00042439"/>
    <w:rsid w:val="0004247F"/>
    <w:rsid w:val="000424D3"/>
    <w:rsid w:val="00042506"/>
    <w:rsid w:val="00042585"/>
    <w:rsid w:val="000425C4"/>
    <w:rsid w:val="000425E8"/>
    <w:rsid w:val="00042667"/>
    <w:rsid w:val="0004269E"/>
    <w:rsid w:val="000426F4"/>
    <w:rsid w:val="00042744"/>
    <w:rsid w:val="00042760"/>
    <w:rsid w:val="00042825"/>
    <w:rsid w:val="00042853"/>
    <w:rsid w:val="00042858"/>
    <w:rsid w:val="000428DA"/>
    <w:rsid w:val="000429B6"/>
    <w:rsid w:val="00042A30"/>
    <w:rsid w:val="00042A32"/>
    <w:rsid w:val="00042A73"/>
    <w:rsid w:val="00042A8C"/>
    <w:rsid w:val="00042AA8"/>
    <w:rsid w:val="00042ADD"/>
    <w:rsid w:val="00042ADF"/>
    <w:rsid w:val="00042B5B"/>
    <w:rsid w:val="00042B67"/>
    <w:rsid w:val="00042BB4"/>
    <w:rsid w:val="00042C5E"/>
    <w:rsid w:val="00042C6F"/>
    <w:rsid w:val="00042C89"/>
    <w:rsid w:val="00042D77"/>
    <w:rsid w:val="00042D8A"/>
    <w:rsid w:val="00042E2A"/>
    <w:rsid w:val="00042E6E"/>
    <w:rsid w:val="00042F20"/>
    <w:rsid w:val="00042F6B"/>
    <w:rsid w:val="00042F75"/>
    <w:rsid w:val="00042FC0"/>
    <w:rsid w:val="000430CA"/>
    <w:rsid w:val="00043139"/>
    <w:rsid w:val="0004313E"/>
    <w:rsid w:val="0004318A"/>
    <w:rsid w:val="000431DF"/>
    <w:rsid w:val="0004322F"/>
    <w:rsid w:val="00043239"/>
    <w:rsid w:val="000432A4"/>
    <w:rsid w:val="000432D7"/>
    <w:rsid w:val="000432F8"/>
    <w:rsid w:val="00043309"/>
    <w:rsid w:val="00043340"/>
    <w:rsid w:val="0004339C"/>
    <w:rsid w:val="000433A1"/>
    <w:rsid w:val="000433E3"/>
    <w:rsid w:val="000433E5"/>
    <w:rsid w:val="000433FF"/>
    <w:rsid w:val="00043426"/>
    <w:rsid w:val="00043446"/>
    <w:rsid w:val="00043494"/>
    <w:rsid w:val="00043576"/>
    <w:rsid w:val="0004357C"/>
    <w:rsid w:val="000435BA"/>
    <w:rsid w:val="000435F6"/>
    <w:rsid w:val="00043638"/>
    <w:rsid w:val="00043658"/>
    <w:rsid w:val="00043698"/>
    <w:rsid w:val="00043713"/>
    <w:rsid w:val="00043760"/>
    <w:rsid w:val="000437C6"/>
    <w:rsid w:val="000437D6"/>
    <w:rsid w:val="000437ED"/>
    <w:rsid w:val="00043804"/>
    <w:rsid w:val="00043821"/>
    <w:rsid w:val="00043838"/>
    <w:rsid w:val="00043839"/>
    <w:rsid w:val="0004384F"/>
    <w:rsid w:val="000438E7"/>
    <w:rsid w:val="00043933"/>
    <w:rsid w:val="0004395A"/>
    <w:rsid w:val="00043A23"/>
    <w:rsid w:val="00043A64"/>
    <w:rsid w:val="00043AF3"/>
    <w:rsid w:val="00043B30"/>
    <w:rsid w:val="00043BD0"/>
    <w:rsid w:val="00043BF6"/>
    <w:rsid w:val="00043C2A"/>
    <w:rsid w:val="00043C6B"/>
    <w:rsid w:val="00043CA7"/>
    <w:rsid w:val="00043D37"/>
    <w:rsid w:val="00043DCB"/>
    <w:rsid w:val="00043E12"/>
    <w:rsid w:val="00043E97"/>
    <w:rsid w:val="00043EA0"/>
    <w:rsid w:val="00043EB3"/>
    <w:rsid w:val="00043F0A"/>
    <w:rsid w:val="00043F3A"/>
    <w:rsid w:val="00043F50"/>
    <w:rsid w:val="00043F55"/>
    <w:rsid w:val="00043F72"/>
    <w:rsid w:val="00043FE0"/>
    <w:rsid w:val="00043FF6"/>
    <w:rsid w:val="00044006"/>
    <w:rsid w:val="0004400A"/>
    <w:rsid w:val="00044036"/>
    <w:rsid w:val="0004405B"/>
    <w:rsid w:val="00044069"/>
    <w:rsid w:val="00044093"/>
    <w:rsid w:val="000440B5"/>
    <w:rsid w:val="000440B7"/>
    <w:rsid w:val="000440CA"/>
    <w:rsid w:val="0004412E"/>
    <w:rsid w:val="00044150"/>
    <w:rsid w:val="0004419F"/>
    <w:rsid w:val="000441BE"/>
    <w:rsid w:val="000441C5"/>
    <w:rsid w:val="000441CA"/>
    <w:rsid w:val="0004422D"/>
    <w:rsid w:val="00044234"/>
    <w:rsid w:val="0004427D"/>
    <w:rsid w:val="000442A3"/>
    <w:rsid w:val="000443CE"/>
    <w:rsid w:val="000443E9"/>
    <w:rsid w:val="0004440F"/>
    <w:rsid w:val="00044413"/>
    <w:rsid w:val="0004447A"/>
    <w:rsid w:val="00044484"/>
    <w:rsid w:val="00044499"/>
    <w:rsid w:val="0004450C"/>
    <w:rsid w:val="0004451C"/>
    <w:rsid w:val="000445A1"/>
    <w:rsid w:val="000445B6"/>
    <w:rsid w:val="000445C1"/>
    <w:rsid w:val="000445E3"/>
    <w:rsid w:val="0004460E"/>
    <w:rsid w:val="0004462E"/>
    <w:rsid w:val="00044651"/>
    <w:rsid w:val="000446BF"/>
    <w:rsid w:val="000446DC"/>
    <w:rsid w:val="000446DD"/>
    <w:rsid w:val="000446E3"/>
    <w:rsid w:val="00044705"/>
    <w:rsid w:val="00044741"/>
    <w:rsid w:val="0004474A"/>
    <w:rsid w:val="00044756"/>
    <w:rsid w:val="00044796"/>
    <w:rsid w:val="000447F3"/>
    <w:rsid w:val="0004482C"/>
    <w:rsid w:val="0004490B"/>
    <w:rsid w:val="00044915"/>
    <w:rsid w:val="0004494B"/>
    <w:rsid w:val="00044965"/>
    <w:rsid w:val="00044982"/>
    <w:rsid w:val="000449B5"/>
    <w:rsid w:val="00044A0B"/>
    <w:rsid w:val="00044A8E"/>
    <w:rsid w:val="00044BEC"/>
    <w:rsid w:val="00044BF2"/>
    <w:rsid w:val="00044BF8"/>
    <w:rsid w:val="00044C34"/>
    <w:rsid w:val="00044C7C"/>
    <w:rsid w:val="00044C80"/>
    <w:rsid w:val="00044C81"/>
    <w:rsid w:val="00044C92"/>
    <w:rsid w:val="00044CB4"/>
    <w:rsid w:val="00044CFB"/>
    <w:rsid w:val="00044D02"/>
    <w:rsid w:val="00044D0B"/>
    <w:rsid w:val="00044D5B"/>
    <w:rsid w:val="00044DE1"/>
    <w:rsid w:val="00044DF6"/>
    <w:rsid w:val="00044E2F"/>
    <w:rsid w:val="00044E63"/>
    <w:rsid w:val="00044F32"/>
    <w:rsid w:val="00044F6C"/>
    <w:rsid w:val="00044FD2"/>
    <w:rsid w:val="00045010"/>
    <w:rsid w:val="000450AF"/>
    <w:rsid w:val="00045117"/>
    <w:rsid w:val="00045140"/>
    <w:rsid w:val="0004514D"/>
    <w:rsid w:val="00045208"/>
    <w:rsid w:val="00045224"/>
    <w:rsid w:val="00045257"/>
    <w:rsid w:val="00045273"/>
    <w:rsid w:val="000452DB"/>
    <w:rsid w:val="000452FB"/>
    <w:rsid w:val="00045339"/>
    <w:rsid w:val="0004538E"/>
    <w:rsid w:val="00045395"/>
    <w:rsid w:val="000453B7"/>
    <w:rsid w:val="000453D1"/>
    <w:rsid w:val="00045400"/>
    <w:rsid w:val="00045435"/>
    <w:rsid w:val="00045436"/>
    <w:rsid w:val="00045438"/>
    <w:rsid w:val="0004543B"/>
    <w:rsid w:val="0004544A"/>
    <w:rsid w:val="0004545C"/>
    <w:rsid w:val="0004547F"/>
    <w:rsid w:val="00045480"/>
    <w:rsid w:val="000454DC"/>
    <w:rsid w:val="00045541"/>
    <w:rsid w:val="0004554E"/>
    <w:rsid w:val="00045587"/>
    <w:rsid w:val="000455CF"/>
    <w:rsid w:val="000455FE"/>
    <w:rsid w:val="00045679"/>
    <w:rsid w:val="000456D4"/>
    <w:rsid w:val="0004570D"/>
    <w:rsid w:val="00045711"/>
    <w:rsid w:val="00045730"/>
    <w:rsid w:val="000457A0"/>
    <w:rsid w:val="000457ED"/>
    <w:rsid w:val="00045841"/>
    <w:rsid w:val="0004585F"/>
    <w:rsid w:val="00045869"/>
    <w:rsid w:val="0004588B"/>
    <w:rsid w:val="000458E9"/>
    <w:rsid w:val="00045915"/>
    <w:rsid w:val="00045944"/>
    <w:rsid w:val="000459F7"/>
    <w:rsid w:val="00045A25"/>
    <w:rsid w:val="00045A75"/>
    <w:rsid w:val="00045A91"/>
    <w:rsid w:val="00045AE0"/>
    <w:rsid w:val="00045AEC"/>
    <w:rsid w:val="00045AF7"/>
    <w:rsid w:val="00045B07"/>
    <w:rsid w:val="00045B13"/>
    <w:rsid w:val="00045B2D"/>
    <w:rsid w:val="00045B47"/>
    <w:rsid w:val="00045B60"/>
    <w:rsid w:val="00045BAD"/>
    <w:rsid w:val="00045BC4"/>
    <w:rsid w:val="00045BE7"/>
    <w:rsid w:val="00045C0D"/>
    <w:rsid w:val="00045CB0"/>
    <w:rsid w:val="00045CD0"/>
    <w:rsid w:val="00045D11"/>
    <w:rsid w:val="00045E12"/>
    <w:rsid w:val="00045E3A"/>
    <w:rsid w:val="00045E48"/>
    <w:rsid w:val="00045E65"/>
    <w:rsid w:val="00045E68"/>
    <w:rsid w:val="00045EA9"/>
    <w:rsid w:val="00045ECE"/>
    <w:rsid w:val="00045F47"/>
    <w:rsid w:val="00045F94"/>
    <w:rsid w:val="00045F95"/>
    <w:rsid w:val="00045FFC"/>
    <w:rsid w:val="0004600B"/>
    <w:rsid w:val="0004601F"/>
    <w:rsid w:val="00046056"/>
    <w:rsid w:val="000460B9"/>
    <w:rsid w:val="000460E7"/>
    <w:rsid w:val="000460F2"/>
    <w:rsid w:val="0004616F"/>
    <w:rsid w:val="000461E8"/>
    <w:rsid w:val="000462B0"/>
    <w:rsid w:val="0004631A"/>
    <w:rsid w:val="0004633F"/>
    <w:rsid w:val="0004634F"/>
    <w:rsid w:val="00046373"/>
    <w:rsid w:val="0004644B"/>
    <w:rsid w:val="0004645A"/>
    <w:rsid w:val="00046489"/>
    <w:rsid w:val="000464EF"/>
    <w:rsid w:val="000464FC"/>
    <w:rsid w:val="00046560"/>
    <w:rsid w:val="000465BB"/>
    <w:rsid w:val="000465BE"/>
    <w:rsid w:val="000465EB"/>
    <w:rsid w:val="00046610"/>
    <w:rsid w:val="00046623"/>
    <w:rsid w:val="00046631"/>
    <w:rsid w:val="00046632"/>
    <w:rsid w:val="000466F1"/>
    <w:rsid w:val="00046702"/>
    <w:rsid w:val="00046776"/>
    <w:rsid w:val="000467FE"/>
    <w:rsid w:val="0004683C"/>
    <w:rsid w:val="00046882"/>
    <w:rsid w:val="000468FF"/>
    <w:rsid w:val="0004692A"/>
    <w:rsid w:val="000469C9"/>
    <w:rsid w:val="000469D8"/>
    <w:rsid w:val="00046A1F"/>
    <w:rsid w:val="00046A47"/>
    <w:rsid w:val="00046A7C"/>
    <w:rsid w:val="00046A88"/>
    <w:rsid w:val="00046AA7"/>
    <w:rsid w:val="00046ADC"/>
    <w:rsid w:val="00046B16"/>
    <w:rsid w:val="00046B33"/>
    <w:rsid w:val="00046B5E"/>
    <w:rsid w:val="00046B7D"/>
    <w:rsid w:val="00046B91"/>
    <w:rsid w:val="00046BB6"/>
    <w:rsid w:val="00046BC5"/>
    <w:rsid w:val="00046C00"/>
    <w:rsid w:val="00046C0F"/>
    <w:rsid w:val="00046C30"/>
    <w:rsid w:val="00046D4B"/>
    <w:rsid w:val="00046DA6"/>
    <w:rsid w:val="00046DC6"/>
    <w:rsid w:val="00046DCB"/>
    <w:rsid w:val="00046DDD"/>
    <w:rsid w:val="00046DDE"/>
    <w:rsid w:val="00046DEB"/>
    <w:rsid w:val="00046E42"/>
    <w:rsid w:val="00046E82"/>
    <w:rsid w:val="00046E84"/>
    <w:rsid w:val="00046EAA"/>
    <w:rsid w:val="00046EAC"/>
    <w:rsid w:val="00046F01"/>
    <w:rsid w:val="00046F0E"/>
    <w:rsid w:val="00046F26"/>
    <w:rsid w:val="00046F3A"/>
    <w:rsid w:val="00046FBA"/>
    <w:rsid w:val="00046FE4"/>
    <w:rsid w:val="00047019"/>
    <w:rsid w:val="00047040"/>
    <w:rsid w:val="00047066"/>
    <w:rsid w:val="000470B3"/>
    <w:rsid w:val="000470EC"/>
    <w:rsid w:val="0004711F"/>
    <w:rsid w:val="0004712C"/>
    <w:rsid w:val="00047168"/>
    <w:rsid w:val="0004716D"/>
    <w:rsid w:val="000471B5"/>
    <w:rsid w:val="000471FB"/>
    <w:rsid w:val="0004720A"/>
    <w:rsid w:val="00047268"/>
    <w:rsid w:val="00047279"/>
    <w:rsid w:val="00047280"/>
    <w:rsid w:val="000472A5"/>
    <w:rsid w:val="0004733F"/>
    <w:rsid w:val="00047341"/>
    <w:rsid w:val="00047345"/>
    <w:rsid w:val="000473C1"/>
    <w:rsid w:val="000473DA"/>
    <w:rsid w:val="000474F5"/>
    <w:rsid w:val="00047539"/>
    <w:rsid w:val="0004754D"/>
    <w:rsid w:val="00047575"/>
    <w:rsid w:val="000475A5"/>
    <w:rsid w:val="000475E7"/>
    <w:rsid w:val="00047600"/>
    <w:rsid w:val="0004764A"/>
    <w:rsid w:val="000476DF"/>
    <w:rsid w:val="0004770B"/>
    <w:rsid w:val="00047733"/>
    <w:rsid w:val="00047738"/>
    <w:rsid w:val="0004778B"/>
    <w:rsid w:val="000477A7"/>
    <w:rsid w:val="00047813"/>
    <w:rsid w:val="00047835"/>
    <w:rsid w:val="000478CD"/>
    <w:rsid w:val="000478F3"/>
    <w:rsid w:val="0004790C"/>
    <w:rsid w:val="00047924"/>
    <w:rsid w:val="0004793B"/>
    <w:rsid w:val="0004796B"/>
    <w:rsid w:val="00047974"/>
    <w:rsid w:val="000479A7"/>
    <w:rsid w:val="000479DF"/>
    <w:rsid w:val="00047A70"/>
    <w:rsid w:val="00047AAF"/>
    <w:rsid w:val="00047AFE"/>
    <w:rsid w:val="00047B7F"/>
    <w:rsid w:val="00047BC7"/>
    <w:rsid w:val="00047BE2"/>
    <w:rsid w:val="00047C4E"/>
    <w:rsid w:val="00047C5C"/>
    <w:rsid w:val="00047C97"/>
    <w:rsid w:val="00047D62"/>
    <w:rsid w:val="00047D78"/>
    <w:rsid w:val="00047D7A"/>
    <w:rsid w:val="00047E02"/>
    <w:rsid w:val="00047E0C"/>
    <w:rsid w:val="00047E3A"/>
    <w:rsid w:val="00047E40"/>
    <w:rsid w:val="00047E4B"/>
    <w:rsid w:val="00047E5A"/>
    <w:rsid w:val="00047E9C"/>
    <w:rsid w:val="00047EB3"/>
    <w:rsid w:val="00047EE1"/>
    <w:rsid w:val="00047EE5"/>
    <w:rsid w:val="00047F63"/>
    <w:rsid w:val="00047F86"/>
    <w:rsid w:val="00047FA3"/>
    <w:rsid w:val="00050005"/>
    <w:rsid w:val="00050044"/>
    <w:rsid w:val="000500AA"/>
    <w:rsid w:val="000500AC"/>
    <w:rsid w:val="000500FC"/>
    <w:rsid w:val="0005011A"/>
    <w:rsid w:val="0005011C"/>
    <w:rsid w:val="00050129"/>
    <w:rsid w:val="0005012E"/>
    <w:rsid w:val="0005014C"/>
    <w:rsid w:val="00050192"/>
    <w:rsid w:val="000501F3"/>
    <w:rsid w:val="00050216"/>
    <w:rsid w:val="0005025A"/>
    <w:rsid w:val="00050292"/>
    <w:rsid w:val="0005039B"/>
    <w:rsid w:val="000503FC"/>
    <w:rsid w:val="00050424"/>
    <w:rsid w:val="00050450"/>
    <w:rsid w:val="00050498"/>
    <w:rsid w:val="000504D9"/>
    <w:rsid w:val="000504DA"/>
    <w:rsid w:val="000504EB"/>
    <w:rsid w:val="0005051F"/>
    <w:rsid w:val="0005056D"/>
    <w:rsid w:val="00050588"/>
    <w:rsid w:val="0005058A"/>
    <w:rsid w:val="0005058C"/>
    <w:rsid w:val="00050590"/>
    <w:rsid w:val="000505D3"/>
    <w:rsid w:val="00050612"/>
    <w:rsid w:val="00050684"/>
    <w:rsid w:val="000506E8"/>
    <w:rsid w:val="000507FF"/>
    <w:rsid w:val="00050808"/>
    <w:rsid w:val="00050813"/>
    <w:rsid w:val="00050874"/>
    <w:rsid w:val="00050879"/>
    <w:rsid w:val="000508D1"/>
    <w:rsid w:val="000508F8"/>
    <w:rsid w:val="00050903"/>
    <w:rsid w:val="0005090D"/>
    <w:rsid w:val="00050961"/>
    <w:rsid w:val="00050984"/>
    <w:rsid w:val="0005099A"/>
    <w:rsid w:val="000509AB"/>
    <w:rsid w:val="00050A09"/>
    <w:rsid w:val="00050A9B"/>
    <w:rsid w:val="00050A9E"/>
    <w:rsid w:val="00050ABD"/>
    <w:rsid w:val="00050AFF"/>
    <w:rsid w:val="00050B2D"/>
    <w:rsid w:val="00050B36"/>
    <w:rsid w:val="00050C69"/>
    <w:rsid w:val="00050C83"/>
    <w:rsid w:val="00050CAD"/>
    <w:rsid w:val="00050CF3"/>
    <w:rsid w:val="00050D66"/>
    <w:rsid w:val="00050DDE"/>
    <w:rsid w:val="00050DFF"/>
    <w:rsid w:val="00050E0E"/>
    <w:rsid w:val="00050E1E"/>
    <w:rsid w:val="00050E64"/>
    <w:rsid w:val="00050E91"/>
    <w:rsid w:val="00050EAE"/>
    <w:rsid w:val="00050ED9"/>
    <w:rsid w:val="00050EEB"/>
    <w:rsid w:val="00050F58"/>
    <w:rsid w:val="00050FA3"/>
    <w:rsid w:val="00050FBC"/>
    <w:rsid w:val="00050FD2"/>
    <w:rsid w:val="00050FDF"/>
    <w:rsid w:val="00051034"/>
    <w:rsid w:val="00051035"/>
    <w:rsid w:val="00051047"/>
    <w:rsid w:val="000510D2"/>
    <w:rsid w:val="000510E2"/>
    <w:rsid w:val="00051126"/>
    <w:rsid w:val="00051134"/>
    <w:rsid w:val="000511F0"/>
    <w:rsid w:val="00051208"/>
    <w:rsid w:val="000512C4"/>
    <w:rsid w:val="000512DA"/>
    <w:rsid w:val="00051309"/>
    <w:rsid w:val="0005131D"/>
    <w:rsid w:val="0005134C"/>
    <w:rsid w:val="00051368"/>
    <w:rsid w:val="00051457"/>
    <w:rsid w:val="00051485"/>
    <w:rsid w:val="00051493"/>
    <w:rsid w:val="000514C0"/>
    <w:rsid w:val="00051513"/>
    <w:rsid w:val="00051523"/>
    <w:rsid w:val="000515A9"/>
    <w:rsid w:val="0005166C"/>
    <w:rsid w:val="0005166F"/>
    <w:rsid w:val="00051692"/>
    <w:rsid w:val="00051696"/>
    <w:rsid w:val="00051702"/>
    <w:rsid w:val="00051720"/>
    <w:rsid w:val="0005173D"/>
    <w:rsid w:val="00051756"/>
    <w:rsid w:val="00051772"/>
    <w:rsid w:val="000517B9"/>
    <w:rsid w:val="000517D3"/>
    <w:rsid w:val="000517E9"/>
    <w:rsid w:val="000517F3"/>
    <w:rsid w:val="00051827"/>
    <w:rsid w:val="0005185F"/>
    <w:rsid w:val="0005186F"/>
    <w:rsid w:val="000518DA"/>
    <w:rsid w:val="00051907"/>
    <w:rsid w:val="00051987"/>
    <w:rsid w:val="00051A0F"/>
    <w:rsid w:val="00051A64"/>
    <w:rsid w:val="00051AA0"/>
    <w:rsid w:val="00051AAD"/>
    <w:rsid w:val="00051AC0"/>
    <w:rsid w:val="00051AC7"/>
    <w:rsid w:val="00051AF6"/>
    <w:rsid w:val="00051B0E"/>
    <w:rsid w:val="00051B36"/>
    <w:rsid w:val="00051B7D"/>
    <w:rsid w:val="00051BF3"/>
    <w:rsid w:val="00051BFF"/>
    <w:rsid w:val="00051C00"/>
    <w:rsid w:val="00051C55"/>
    <w:rsid w:val="00051CB5"/>
    <w:rsid w:val="00051CBD"/>
    <w:rsid w:val="00051CEC"/>
    <w:rsid w:val="00051D36"/>
    <w:rsid w:val="00051D48"/>
    <w:rsid w:val="00051E2E"/>
    <w:rsid w:val="00051EC0"/>
    <w:rsid w:val="00051ECF"/>
    <w:rsid w:val="00051F3C"/>
    <w:rsid w:val="00051F5A"/>
    <w:rsid w:val="00051F90"/>
    <w:rsid w:val="00052071"/>
    <w:rsid w:val="000520DE"/>
    <w:rsid w:val="0005215E"/>
    <w:rsid w:val="000521A2"/>
    <w:rsid w:val="0005229D"/>
    <w:rsid w:val="0005236A"/>
    <w:rsid w:val="0005241E"/>
    <w:rsid w:val="00052487"/>
    <w:rsid w:val="00052499"/>
    <w:rsid w:val="000524A3"/>
    <w:rsid w:val="00052522"/>
    <w:rsid w:val="00052647"/>
    <w:rsid w:val="000526A2"/>
    <w:rsid w:val="000526A5"/>
    <w:rsid w:val="000526E9"/>
    <w:rsid w:val="000526FA"/>
    <w:rsid w:val="0005294B"/>
    <w:rsid w:val="00052968"/>
    <w:rsid w:val="00052976"/>
    <w:rsid w:val="000529B3"/>
    <w:rsid w:val="00052A0A"/>
    <w:rsid w:val="00052AA5"/>
    <w:rsid w:val="00052AC5"/>
    <w:rsid w:val="00052B35"/>
    <w:rsid w:val="00052B46"/>
    <w:rsid w:val="00052B99"/>
    <w:rsid w:val="00052C26"/>
    <w:rsid w:val="00052C2B"/>
    <w:rsid w:val="00052C3B"/>
    <w:rsid w:val="00052C4B"/>
    <w:rsid w:val="00052CC9"/>
    <w:rsid w:val="00052D4B"/>
    <w:rsid w:val="00052DAA"/>
    <w:rsid w:val="00052DAE"/>
    <w:rsid w:val="00052DB9"/>
    <w:rsid w:val="00052E39"/>
    <w:rsid w:val="00052E3F"/>
    <w:rsid w:val="00052E67"/>
    <w:rsid w:val="00052E75"/>
    <w:rsid w:val="00052E7E"/>
    <w:rsid w:val="00052EB0"/>
    <w:rsid w:val="00052EB5"/>
    <w:rsid w:val="00052FAB"/>
    <w:rsid w:val="00052FDA"/>
    <w:rsid w:val="00052FEC"/>
    <w:rsid w:val="0005301D"/>
    <w:rsid w:val="00053105"/>
    <w:rsid w:val="00053134"/>
    <w:rsid w:val="0005315F"/>
    <w:rsid w:val="00053167"/>
    <w:rsid w:val="000531A9"/>
    <w:rsid w:val="000531E7"/>
    <w:rsid w:val="000531F6"/>
    <w:rsid w:val="0005320D"/>
    <w:rsid w:val="00053218"/>
    <w:rsid w:val="000532C1"/>
    <w:rsid w:val="00053300"/>
    <w:rsid w:val="00053358"/>
    <w:rsid w:val="0005339B"/>
    <w:rsid w:val="000533A3"/>
    <w:rsid w:val="000533D8"/>
    <w:rsid w:val="000533EF"/>
    <w:rsid w:val="0005343B"/>
    <w:rsid w:val="0005343F"/>
    <w:rsid w:val="00053451"/>
    <w:rsid w:val="00053486"/>
    <w:rsid w:val="000534DF"/>
    <w:rsid w:val="000534FF"/>
    <w:rsid w:val="0005350A"/>
    <w:rsid w:val="00053581"/>
    <w:rsid w:val="000535CF"/>
    <w:rsid w:val="00053615"/>
    <w:rsid w:val="00053634"/>
    <w:rsid w:val="00053667"/>
    <w:rsid w:val="00053693"/>
    <w:rsid w:val="000536A2"/>
    <w:rsid w:val="00053713"/>
    <w:rsid w:val="00053821"/>
    <w:rsid w:val="00053836"/>
    <w:rsid w:val="0005383F"/>
    <w:rsid w:val="00053911"/>
    <w:rsid w:val="000539A8"/>
    <w:rsid w:val="000539B4"/>
    <w:rsid w:val="000539BB"/>
    <w:rsid w:val="000539E5"/>
    <w:rsid w:val="000539F6"/>
    <w:rsid w:val="00053A23"/>
    <w:rsid w:val="00053A4D"/>
    <w:rsid w:val="00053ABE"/>
    <w:rsid w:val="00053ACA"/>
    <w:rsid w:val="00053AFD"/>
    <w:rsid w:val="00053B31"/>
    <w:rsid w:val="00053B39"/>
    <w:rsid w:val="00053B61"/>
    <w:rsid w:val="00053BA4"/>
    <w:rsid w:val="00053BA7"/>
    <w:rsid w:val="00053BB7"/>
    <w:rsid w:val="00053BC6"/>
    <w:rsid w:val="00053C55"/>
    <w:rsid w:val="00053C8E"/>
    <w:rsid w:val="00053C97"/>
    <w:rsid w:val="00053C98"/>
    <w:rsid w:val="00053D0B"/>
    <w:rsid w:val="00053D57"/>
    <w:rsid w:val="00053D76"/>
    <w:rsid w:val="00053D9C"/>
    <w:rsid w:val="00053DB9"/>
    <w:rsid w:val="00053DC2"/>
    <w:rsid w:val="00053DCD"/>
    <w:rsid w:val="00053E09"/>
    <w:rsid w:val="00053E10"/>
    <w:rsid w:val="00053E16"/>
    <w:rsid w:val="00053E99"/>
    <w:rsid w:val="00053ED3"/>
    <w:rsid w:val="00053EF2"/>
    <w:rsid w:val="00053F9B"/>
    <w:rsid w:val="00053FA1"/>
    <w:rsid w:val="00053FAB"/>
    <w:rsid w:val="00053FC4"/>
    <w:rsid w:val="00053FD6"/>
    <w:rsid w:val="0005406E"/>
    <w:rsid w:val="00054071"/>
    <w:rsid w:val="00054080"/>
    <w:rsid w:val="000540DD"/>
    <w:rsid w:val="000540EA"/>
    <w:rsid w:val="00054121"/>
    <w:rsid w:val="00054126"/>
    <w:rsid w:val="00054168"/>
    <w:rsid w:val="000541C0"/>
    <w:rsid w:val="00054232"/>
    <w:rsid w:val="00054279"/>
    <w:rsid w:val="0005428A"/>
    <w:rsid w:val="000542B0"/>
    <w:rsid w:val="000542E0"/>
    <w:rsid w:val="00054383"/>
    <w:rsid w:val="000543D6"/>
    <w:rsid w:val="0005441C"/>
    <w:rsid w:val="00054435"/>
    <w:rsid w:val="00054436"/>
    <w:rsid w:val="00054443"/>
    <w:rsid w:val="00054484"/>
    <w:rsid w:val="0005451B"/>
    <w:rsid w:val="0005453E"/>
    <w:rsid w:val="0005455A"/>
    <w:rsid w:val="00054581"/>
    <w:rsid w:val="00054588"/>
    <w:rsid w:val="0005460B"/>
    <w:rsid w:val="00054647"/>
    <w:rsid w:val="00054668"/>
    <w:rsid w:val="000546BF"/>
    <w:rsid w:val="000547A4"/>
    <w:rsid w:val="000547C8"/>
    <w:rsid w:val="000547CB"/>
    <w:rsid w:val="000547DE"/>
    <w:rsid w:val="000547E2"/>
    <w:rsid w:val="00054844"/>
    <w:rsid w:val="00054898"/>
    <w:rsid w:val="000548A8"/>
    <w:rsid w:val="00054939"/>
    <w:rsid w:val="00054973"/>
    <w:rsid w:val="0005497D"/>
    <w:rsid w:val="000549FC"/>
    <w:rsid w:val="00054A03"/>
    <w:rsid w:val="00054A05"/>
    <w:rsid w:val="00054A2E"/>
    <w:rsid w:val="00054A3F"/>
    <w:rsid w:val="00054A48"/>
    <w:rsid w:val="00054AC2"/>
    <w:rsid w:val="00054AC5"/>
    <w:rsid w:val="00054B13"/>
    <w:rsid w:val="00054B1A"/>
    <w:rsid w:val="00054B81"/>
    <w:rsid w:val="00054C07"/>
    <w:rsid w:val="00054C5A"/>
    <w:rsid w:val="00054CDA"/>
    <w:rsid w:val="00054CEA"/>
    <w:rsid w:val="00054D5E"/>
    <w:rsid w:val="00054D65"/>
    <w:rsid w:val="00054D84"/>
    <w:rsid w:val="00054D9D"/>
    <w:rsid w:val="00054DC7"/>
    <w:rsid w:val="00054DF3"/>
    <w:rsid w:val="00054EF5"/>
    <w:rsid w:val="00054FA1"/>
    <w:rsid w:val="00054FC9"/>
    <w:rsid w:val="00054FEC"/>
    <w:rsid w:val="0005501C"/>
    <w:rsid w:val="00055035"/>
    <w:rsid w:val="0005503A"/>
    <w:rsid w:val="00055089"/>
    <w:rsid w:val="00055094"/>
    <w:rsid w:val="00055193"/>
    <w:rsid w:val="000551B8"/>
    <w:rsid w:val="000551EA"/>
    <w:rsid w:val="00055222"/>
    <w:rsid w:val="00055276"/>
    <w:rsid w:val="000552AB"/>
    <w:rsid w:val="000552D2"/>
    <w:rsid w:val="00055331"/>
    <w:rsid w:val="00055334"/>
    <w:rsid w:val="0005536F"/>
    <w:rsid w:val="00055380"/>
    <w:rsid w:val="0005539F"/>
    <w:rsid w:val="000553A8"/>
    <w:rsid w:val="000553C9"/>
    <w:rsid w:val="00055435"/>
    <w:rsid w:val="00055478"/>
    <w:rsid w:val="0005549A"/>
    <w:rsid w:val="00055517"/>
    <w:rsid w:val="00055587"/>
    <w:rsid w:val="000555BD"/>
    <w:rsid w:val="000555C1"/>
    <w:rsid w:val="000555E6"/>
    <w:rsid w:val="00055637"/>
    <w:rsid w:val="00055651"/>
    <w:rsid w:val="0005567B"/>
    <w:rsid w:val="00055683"/>
    <w:rsid w:val="000556CD"/>
    <w:rsid w:val="00055763"/>
    <w:rsid w:val="000557A2"/>
    <w:rsid w:val="000557E2"/>
    <w:rsid w:val="000557EB"/>
    <w:rsid w:val="000557F1"/>
    <w:rsid w:val="0005580A"/>
    <w:rsid w:val="00055842"/>
    <w:rsid w:val="00055850"/>
    <w:rsid w:val="00055890"/>
    <w:rsid w:val="00055894"/>
    <w:rsid w:val="000558C2"/>
    <w:rsid w:val="0005596D"/>
    <w:rsid w:val="00055A07"/>
    <w:rsid w:val="00055A28"/>
    <w:rsid w:val="00055A66"/>
    <w:rsid w:val="00055AAD"/>
    <w:rsid w:val="00055ABC"/>
    <w:rsid w:val="00055B0C"/>
    <w:rsid w:val="00055B21"/>
    <w:rsid w:val="00055B52"/>
    <w:rsid w:val="00055B94"/>
    <w:rsid w:val="00055BC3"/>
    <w:rsid w:val="00055BC7"/>
    <w:rsid w:val="00055C39"/>
    <w:rsid w:val="00055C4E"/>
    <w:rsid w:val="00055D5D"/>
    <w:rsid w:val="00055DD6"/>
    <w:rsid w:val="00055E08"/>
    <w:rsid w:val="00055E0A"/>
    <w:rsid w:val="00055E8B"/>
    <w:rsid w:val="00055EBE"/>
    <w:rsid w:val="00055F73"/>
    <w:rsid w:val="00055F87"/>
    <w:rsid w:val="00055FC3"/>
    <w:rsid w:val="00055FF9"/>
    <w:rsid w:val="0005602C"/>
    <w:rsid w:val="0005602F"/>
    <w:rsid w:val="0005628A"/>
    <w:rsid w:val="00056294"/>
    <w:rsid w:val="000562C9"/>
    <w:rsid w:val="00056331"/>
    <w:rsid w:val="00056355"/>
    <w:rsid w:val="000563B4"/>
    <w:rsid w:val="000563F7"/>
    <w:rsid w:val="000564B5"/>
    <w:rsid w:val="00056526"/>
    <w:rsid w:val="00056611"/>
    <w:rsid w:val="0005662B"/>
    <w:rsid w:val="00056636"/>
    <w:rsid w:val="0005663C"/>
    <w:rsid w:val="000566D7"/>
    <w:rsid w:val="000566DA"/>
    <w:rsid w:val="000566E8"/>
    <w:rsid w:val="000566F6"/>
    <w:rsid w:val="00056712"/>
    <w:rsid w:val="0005672D"/>
    <w:rsid w:val="000567D1"/>
    <w:rsid w:val="00056811"/>
    <w:rsid w:val="00056843"/>
    <w:rsid w:val="00056874"/>
    <w:rsid w:val="00056888"/>
    <w:rsid w:val="00056894"/>
    <w:rsid w:val="00056895"/>
    <w:rsid w:val="000568B2"/>
    <w:rsid w:val="0005694E"/>
    <w:rsid w:val="00056975"/>
    <w:rsid w:val="00056982"/>
    <w:rsid w:val="000569AB"/>
    <w:rsid w:val="000569E1"/>
    <w:rsid w:val="000569E5"/>
    <w:rsid w:val="000569E6"/>
    <w:rsid w:val="00056A26"/>
    <w:rsid w:val="00056A2F"/>
    <w:rsid w:val="00056A59"/>
    <w:rsid w:val="00056A73"/>
    <w:rsid w:val="00056B21"/>
    <w:rsid w:val="00056B94"/>
    <w:rsid w:val="00056BCD"/>
    <w:rsid w:val="00056BE4"/>
    <w:rsid w:val="00056C03"/>
    <w:rsid w:val="00056C1E"/>
    <w:rsid w:val="00056C22"/>
    <w:rsid w:val="00056C3C"/>
    <w:rsid w:val="00056C61"/>
    <w:rsid w:val="00056D6F"/>
    <w:rsid w:val="00056D80"/>
    <w:rsid w:val="00056D9D"/>
    <w:rsid w:val="00056DA4"/>
    <w:rsid w:val="00056DCE"/>
    <w:rsid w:val="00056E27"/>
    <w:rsid w:val="00056E65"/>
    <w:rsid w:val="00056EEE"/>
    <w:rsid w:val="00056F4C"/>
    <w:rsid w:val="00056F51"/>
    <w:rsid w:val="00056F6D"/>
    <w:rsid w:val="00056FB1"/>
    <w:rsid w:val="00056FE5"/>
    <w:rsid w:val="00057088"/>
    <w:rsid w:val="0005708A"/>
    <w:rsid w:val="00057094"/>
    <w:rsid w:val="000570F8"/>
    <w:rsid w:val="0005716F"/>
    <w:rsid w:val="000571A3"/>
    <w:rsid w:val="000572ED"/>
    <w:rsid w:val="000572FD"/>
    <w:rsid w:val="00057329"/>
    <w:rsid w:val="00057333"/>
    <w:rsid w:val="00057339"/>
    <w:rsid w:val="00057341"/>
    <w:rsid w:val="0005734F"/>
    <w:rsid w:val="0005736A"/>
    <w:rsid w:val="00057384"/>
    <w:rsid w:val="00057388"/>
    <w:rsid w:val="000573DF"/>
    <w:rsid w:val="0005742B"/>
    <w:rsid w:val="000574B1"/>
    <w:rsid w:val="0005752D"/>
    <w:rsid w:val="0005754F"/>
    <w:rsid w:val="0005759D"/>
    <w:rsid w:val="000575F5"/>
    <w:rsid w:val="00057612"/>
    <w:rsid w:val="00057704"/>
    <w:rsid w:val="00057709"/>
    <w:rsid w:val="00057753"/>
    <w:rsid w:val="00057793"/>
    <w:rsid w:val="000577A2"/>
    <w:rsid w:val="000577EB"/>
    <w:rsid w:val="000577F5"/>
    <w:rsid w:val="000577FC"/>
    <w:rsid w:val="000577FD"/>
    <w:rsid w:val="00057802"/>
    <w:rsid w:val="00057810"/>
    <w:rsid w:val="00057831"/>
    <w:rsid w:val="0005788F"/>
    <w:rsid w:val="00057902"/>
    <w:rsid w:val="00057948"/>
    <w:rsid w:val="0005796C"/>
    <w:rsid w:val="0005798F"/>
    <w:rsid w:val="000579E0"/>
    <w:rsid w:val="00057A0D"/>
    <w:rsid w:val="00057A0E"/>
    <w:rsid w:val="00057A31"/>
    <w:rsid w:val="00057ABE"/>
    <w:rsid w:val="00057B7A"/>
    <w:rsid w:val="00057BC8"/>
    <w:rsid w:val="00057BE4"/>
    <w:rsid w:val="00057BF5"/>
    <w:rsid w:val="00057C05"/>
    <w:rsid w:val="00057C61"/>
    <w:rsid w:val="00057C6B"/>
    <w:rsid w:val="00057C9D"/>
    <w:rsid w:val="00057D04"/>
    <w:rsid w:val="00057D49"/>
    <w:rsid w:val="00057DD6"/>
    <w:rsid w:val="00057EC5"/>
    <w:rsid w:val="00057EF3"/>
    <w:rsid w:val="00057F0C"/>
    <w:rsid w:val="00057F63"/>
    <w:rsid w:val="00057F7D"/>
    <w:rsid w:val="00057F93"/>
    <w:rsid w:val="00057FA6"/>
    <w:rsid w:val="00057FC1"/>
    <w:rsid w:val="00060035"/>
    <w:rsid w:val="000600CC"/>
    <w:rsid w:val="00060114"/>
    <w:rsid w:val="000601F7"/>
    <w:rsid w:val="000601FB"/>
    <w:rsid w:val="00060234"/>
    <w:rsid w:val="00060292"/>
    <w:rsid w:val="000602B4"/>
    <w:rsid w:val="0006031E"/>
    <w:rsid w:val="0006033B"/>
    <w:rsid w:val="00060399"/>
    <w:rsid w:val="00060422"/>
    <w:rsid w:val="000604BD"/>
    <w:rsid w:val="00060527"/>
    <w:rsid w:val="000605BC"/>
    <w:rsid w:val="00060617"/>
    <w:rsid w:val="00060618"/>
    <w:rsid w:val="00060623"/>
    <w:rsid w:val="00060673"/>
    <w:rsid w:val="00060676"/>
    <w:rsid w:val="00060679"/>
    <w:rsid w:val="00060685"/>
    <w:rsid w:val="000606A5"/>
    <w:rsid w:val="000606EA"/>
    <w:rsid w:val="0006072B"/>
    <w:rsid w:val="00060782"/>
    <w:rsid w:val="000607B5"/>
    <w:rsid w:val="000607CC"/>
    <w:rsid w:val="00060811"/>
    <w:rsid w:val="00060814"/>
    <w:rsid w:val="00060845"/>
    <w:rsid w:val="000608B9"/>
    <w:rsid w:val="00060959"/>
    <w:rsid w:val="0006095F"/>
    <w:rsid w:val="00060A50"/>
    <w:rsid w:val="00060A65"/>
    <w:rsid w:val="00060A84"/>
    <w:rsid w:val="00060AD7"/>
    <w:rsid w:val="00060B1B"/>
    <w:rsid w:val="00060B30"/>
    <w:rsid w:val="00060B45"/>
    <w:rsid w:val="00060B57"/>
    <w:rsid w:val="00060B6F"/>
    <w:rsid w:val="00060BE6"/>
    <w:rsid w:val="00060C1F"/>
    <w:rsid w:val="00060C52"/>
    <w:rsid w:val="00060C8A"/>
    <w:rsid w:val="00060CD5"/>
    <w:rsid w:val="00060D4C"/>
    <w:rsid w:val="00060D53"/>
    <w:rsid w:val="00060E82"/>
    <w:rsid w:val="00060E89"/>
    <w:rsid w:val="00060EF7"/>
    <w:rsid w:val="00060F98"/>
    <w:rsid w:val="00060FB0"/>
    <w:rsid w:val="00060FE3"/>
    <w:rsid w:val="00061004"/>
    <w:rsid w:val="0006106C"/>
    <w:rsid w:val="000610AE"/>
    <w:rsid w:val="00061112"/>
    <w:rsid w:val="000611A4"/>
    <w:rsid w:val="000611B1"/>
    <w:rsid w:val="0006121F"/>
    <w:rsid w:val="0006123C"/>
    <w:rsid w:val="000612B6"/>
    <w:rsid w:val="00061302"/>
    <w:rsid w:val="00061368"/>
    <w:rsid w:val="0006136B"/>
    <w:rsid w:val="00061380"/>
    <w:rsid w:val="000613AF"/>
    <w:rsid w:val="000613E3"/>
    <w:rsid w:val="000613F5"/>
    <w:rsid w:val="000614E6"/>
    <w:rsid w:val="000614E8"/>
    <w:rsid w:val="00061507"/>
    <w:rsid w:val="00061550"/>
    <w:rsid w:val="000615B2"/>
    <w:rsid w:val="000615B3"/>
    <w:rsid w:val="000615F8"/>
    <w:rsid w:val="0006163C"/>
    <w:rsid w:val="0006170C"/>
    <w:rsid w:val="00061738"/>
    <w:rsid w:val="00061787"/>
    <w:rsid w:val="000617D8"/>
    <w:rsid w:val="00061843"/>
    <w:rsid w:val="0006192C"/>
    <w:rsid w:val="00061933"/>
    <w:rsid w:val="00061952"/>
    <w:rsid w:val="00061976"/>
    <w:rsid w:val="000619DB"/>
    <w:rsid w:val="00061A84"/>
    <w:rsid w:val="00061AA1"/>
    <w:rsid w:val="00061B61"/>
    <w:rsid w:val="00061B8E"/>
    <w:rsid w:val="00061C1F"/>
    <w:rsid w:val="00061C2B"/>
    <w:rsid w:val="00061C37"/>
    <w:rsid w:val="00061C81"/>
    <w:rsid w:val="00061C95"/>
    <w:rsid w:val="00061CCA"/>
    <w:rsid w:val="00061CDF"/>
    <w:rsid w:val="00061D2F"/>
    <w:rsid w:val="00061D3E"/>
    <w:rsid w:val="00061D9F"/>
    <w:rsid w:val="00061DAF"/>
    <w:rsid w:val="00061DD1"/>
    <w:rsid w:val="00061DD6"/>
    <w:rsid w:val="00061E3A"/>
    <w:rsid w:val="00061EA7"/>
    <w:rsid w:val="00061F46"/>
    <w:rsid w:val="00061F77"/>
    <w:rsid w:val="00061FC6"/>
    <w:rsid w:val="00062028"/>
    <w:rsid w:val="00062192"/>
    <w:rsid w:val="000621A2"/>
    <w:rsid w:val="000621B4"/>
    <w:rsid w:val="000621EA"/>
    <w:rsid w:val="00062264"/>
    <w:rsid w:val="000622B5"/>
    <w:rsid w:val="00062398"/>
    <w:rsid w:val="000623D5"/>
    <w:rsid w:val="000623F9"/>
    <w:rsid w:val="00062402"/>
    <w:rsid w:val="00062403"/>
    <w:rsid w:val="00062435"/>
    <w:rsid w:val="00062452"/>
    <w:rsid w:val="00062497"/>
    <w:rsid w:val="000624D9"/>
    <w:rsid w:val="0006252C"/>
    <w:rsid w:val="0006259E"/>
    <w:rsid w:val="000625F1"/>
    <w:rsid w:val="0006263A"/>
    <w:rsid w:val="00062644"/>
    <w:rsid w:val="00062655"/>
    <w:rsid w:val="000626D9"/>
    <w:rsid w:val="000626F2"/>
    <w:rsid w:val="0006270D"/>
    <w:rsid w:val="0006271A"/>
    <w:rsid w:val="00062748"/>
    <w:rsid w:val="0006276D"/>
    <w:rsid w:val="0006276E"/>
    <w:rsid w:val="00062817"/>
    <w:rsid w:val="0006284D"/>
    <w:rsid w:val="00062888"/>
    <w:rsid w:val="00062898"/>
    <w:rsid w:val="000628DB"/>
    <w:rsid w:val="000628DC"/>
    <w:rsid w:val="0006292A"/>
    <w:rsid w:val="00062994"/>
    <w:rsid w:val="000629A4"/>
    <w:rsid w:val="000629AF"/>
    <w:rsid w:val="000629F1"/>
    <w:rsid w:val="00062A3F"/>
    <w:rsid w:val="00062AA9"/>
    <w:rsid w:val="00062ABD"/>
    <w:rsid w:val="00062B2F"/>
    <w:rsid w:val="00062B3A"/>
    <w:rsid w:val="00062B3B"/>
    <w:rsid w:val="00062B3C"/>
    <w:rsid w:val="00062B84"/>
    <w:rsid w:val="00062B8A"/>
    <w:rsid w:val="00062BBA"/>
    <w:rsid w:val="00062BCA"/>
    <w:rsid w:val="00062C23"/>
    <w:rsid w:val="00062C2B"/>
    <w:rsid w:val="00062C3C"/>
    <w:rsid w:val="00062C53"/>
    <w:rsid w:val="00062C90"/>
    <w:rsid w:val="00062CA9"/>
    <w:rsid w:val="00062D34"/>
    <w:rsid w:val="00062D51"/>
    <w:rsid w:val="00062D82"/>
    <w:rsid w:val="00062D89"/>
    <w:rsid w:val="00062D94"/>
    <w:rsid w:val="00062DB9"/>
    <w:rsid w:val="00062DF1"/>
    <w:rsid w:val="00062E39"/>
    <w:rsid w:val="00062E3B"/>
    <w:rsid w:val="00062E63"/>
    <w:rsid w:val="00062E8C"/>
    <w:rsid w:val="00062EAE"/>
    <w:rsid w:val="00062EE3"/>
    <w:rsid w:val="00062EEA"/>
    <w:rsid w:val="00062EF5"/>
    <w:rsid w:val="00062F09"/>
    <w:rsid w:val="00062F4A"/>
    <w:rsid w:val="00062F4E"/>
    <w:rsid w:val="00062F7D"/>
    <w:rsid w:val="00062F8A"/>
    <w:rsid w:val="00062FC5"/>
    <w:rsid w:val="00063019"/>
    <w:rsid w:val="00063046"/>
    <w:rsid w:val="00063079"/>
    <w:rsid w:val="00063080"/>
    <w:rsid w:val="0006309E"/>
    <w:rsid w:val="000630B5"/>
    <w:rsid w:val="0006313D"/>
    <w:rsid w:val="0006315A"/>
    <w:rsid w:val="0006315F"/>
    <w:rsid w:val="000631DB"/>
    <w:rsid w:val="000631F3"/>
    <w:rsid w:val="00063209"/>
    <w:rsid w:val="00063237"/>
    <w:rsid w:val="0006324F"/>
    <w:rsid w:val="00063273"/>
    <w:rsid w:val="000632F4"/>
    <w:rsid w:val="000632F9"/>
    <w:rsid w:val="00063316"/>
    <w:rsid w:val="0006334A"/>
    <w:rsid w:val="00063388"/>
    <w:rsid w:val="000633A0"/>
    <w:rsid w:val="00063488"/>
    <w:rsid w:val="000634C1"/>
    <w:rsid w:val="000634F6"/>
    <w:rsid w:val="0006353D"/>
    <w:rsid w:val="0006364D"/>
    <w:rsid w:val="00063651"/>
    <w:rsid w:val="0006366C"/>
    <w:rsid w:val="00063671"/>
    <w:rsid w:val="000636AB"/>
    <w:rsid w:val="0006370C"/>
    <w:rsid w:val="000637FA"/>
    <w:rsid w:val="0006380C"/>
    <w:rsid w:val="00063814"/>
    <w:rsid w:val="0006387C"/>
    <w:rsid w:val="00063889"/>
    <w:rsid w:val="000638DA"/>
    <w:rsid w:val="000638EE"/>
    <w:rsid w:val="00063907"/>
    <w:rsid w:val="00063986"/>
    <w:rsid w:val="00063A6B"/>
    <w:rsid w:val="00063A92"/>
    <w:rsid w:val="00063AB8"/>
    <w:rsid w:val="00063ADE"/>
    <w:rsid w:val="00063AE5"/>
    <w:rsid w:val="00063B81"/>
    <w:rsid w:val="00063B8C"/>
    <w:rsid w:val="00063B8F"/>
    <w:rsid w:val="00063BDB"/>
    <w:rsid w:val="00063BE4"/>
    <w:rsid w:val="00063C8A"/>
    <w:rsid w:val="00063CC2"/>
    <w:rsid w:val="00063CCC"/>
    <w:rsid w:val="00063D77"/>
    <w:rsid w:val="00063DEA"/>
    <w:rsid w:val="00063DF4"/>
    <w:rsid w:val="00063E2A"/>
    <w:rsid w:val="00063E3C"/>
    <w:rsid w:val="00063E5A"/>
    <w:rsid w:val="00063FC0"/>
    <w:rsid w:val="00063FCB"/>
    <w:rsid w:val="0006407C"/>
    <w:rsid w:val="000640A7"/>
    <w:rsid w:val="0006410F"/>
    <w:rsid w:val="00064116"/>
    <w:rsid w:val="00064117"/>
    <w:rsid w:val="00064142"/>
    <w:rsid w:val="00064174"/>
    <w:rsid w:val="000641AD"/>
    <w:rsid w:val="000641BF"/>
    <w:rsid w:val="0006423D"/>
    <w:rsid w:val="00064259"/>
    <w:rsid w:val="00064278"/>
    <w:rsid w:val="00064281"/>
    <w:rsid w:val="000642A5"/>
    <w:rsid w:val="000642B3"/>
    <w:rsid w:val="0006430C"/>
    <w:rsid w:val="0006434A"/>
    <w:rsid w:val="000643E1"/>
    <w:rsid w:val="000643EC"/>
    <w:rsid w:val="000643FB"/>
    <w:rsid w:val="0006449B"/>
    <w:rsid w:val="000644B6"/>
    <w:rsid w:val="000644BD"/>
    <w:rsid w:val="000644D9"/>
    <w:rsid w:val="00064524"/>
    <w:rsid w:val="00064558"/>
    <w:rsid w:val="00064581"/>
    <w:rsid w:val="000645BD"/>
    <w:rsid w:val="000645F8"/>
    <w:rsid w:val="000645FB"/>
    <w:rsid w:val="00064681"/>
    <w:rsid w:val="000646A6"/>
    <w:rsid w:val="0006477F"/>
    <w:rsid w:val="000647A8"/>
    <w:rsid w:val="00064815"/>
    <w:rsid w:val="00064889"/>
    <w:rsid w:val="000648DE"/>
    <w:rsid w:val="000648F0"/>
    <w:rsid w:val="00064936"/>
    <w:rsid w:val="0006495B"/>
    <w:rsid w:val="00064964"/>
    <w:rsid w:val="000649D2"/>
    <w:rsid w:val="000649D7"/>
    <w:rsid w:val="000649EB"/>
    <w:rsid w:val="00064A79"/>
    <w:rsid w:val="00064AAA"/>
    <w:rsid w:val="00064B30"/>
    <w:rsid w:val="00064B3E"/>
    <w:rsid w:val="00064BD8"/>
    <w:rsid w:val="00064BF2"/>
    <w:rsid w:val="00064C5C"/>
    <w:rsid w:val="00064CCA"/>
    <w:rsid w:val="00064CF4"/>
    <w:rsid w:val="00064D0F"/>
    <w:rsid w:val="00064D70"/>
    <w:rsid w:val="00064DF1"/>
    <w:rsid w:val="00064E09"/>
    <w:rsid w:val="00064E1C"/>
    <w:rsid w:val="00064E4A"/>
    <w:rsid w:val="00064F1A"/>
    <w:rsid w:val="00064F20"/>
    <w:rsid w:val="00064F56"/>
    <w:rsid w:val="00064F86"/>
    <w:rsid w:val="00064F95"/>
    <w:rsid w:val="00064F9C"/>
    <w:rsid w:val="00064FC7"/>
    <w:rsid w:val="00065087"/>
    <w:rsid w:val="000650B5"/>
    <w:rsid w:val="000651A9"/>
    <w:rsid w:val="000651F6"/>
    <w:rsid w:val="000652EF"/>
    <w:rsid w:val="000652FD"/>
    <w:rsid w:val="00065310"/>
    <w:rsid w:val="0006532B"/>
    <w:rsid w:val="000653C8"/>
    <w:rsid w:val="000654C3"/>
    <w:rsid w:val="000654EC"/>
    <w:rsid w:val="000654FB"/>
    <w:rsid w:val="0006552C"/>
    <w:rsid w:val="00065580"/>
    <w:rsid w:val="000655E0"/>
    <w:rsid w:val="00065640"/>
    <w:rsid w:val="0006566B"/>
    <w:rsid w:val="0006568D"/>
    <w:rsid w:val="000657EB"/>
    <w:rsid w:val="0006581E"/>
    <w:rsid w:val="00065836"/>
    <w:rsid w:val="00065897"/>
    <w:rsid w:val="000658C5"/>
    <w:rsid w:val="00065913"/>
    <w:rsid w:val="0006593D"/>
    <w:rsid w:val="00065946"/>
    <w:rsid w:val="00065973"/>
    <w:rsid w:val="0006598D"/>
    <w:rsid w:val="000659A1"/>
    <w:rsid w:val="000659FD"/>
    <w:rsid w:val="00065A00"/>
    <w:rsid w:val="00065A15"/>
    <w:rsid w:val="00065A3C"/>
    <w:rsid w:val="00065B5E"/>
    <w:rsid w:val="00065BD7"/>
    <w:rsid w:val="00065C4D"/>
    <w:rsid w:val="00065C4F"/>
    <w:rsid w:val="00065CA5"/>
    <w:rsid w:val="00065CEA"/>
    <w:rsid w:val="00065D5F"/>
    <w:rsid w:val="00065D63"/>
    <w:rsid w:val="00065D66"/>
    <w:rsid w:val="00065DC3"/>
    <w:rsid w:val="00065E1F"/>
    <w:rsid w:val="00065E7A"/>
    <w:rsid w:val="00065F11"/>
    <w:rsid w:val="00065F14"/>
    <w:rsid w:val="00065F31"/>
    <w:rsid w:val="00065F53"/>
    <w:rsid w:val="00065F58"/>
    <w:rsid w:val="00065FD3"/>
    <w:rsid w:val="00065FFF"/>
    <w:rsid w:val="00066075"/>
    <w:rsid w:val="00066087"/>
    <w:rsid w:val="0006608D"/>
    <w:rsid w:val="000660B1"/>
    <w:rsid w:val="000660F2"/>
    <w:rsid w:val="000660F4"/>
    <w:rsid w:val="000661D5"/>
    <w:rsid w:val="0006622E"/>
    <w:rsid w:val="00066291"/>
    <w:rsid w:val="000662E3"/>
    <w:rsid w:val="000662F1"/>
    <w:rsid w:val="000662F8"/>
    <w:rsid w:val="00066352"/>
    <w:rsid w:val="00066446"/>
    <w:rsid w:val="00066451"/>
    <w:rsid w:val="0006648D"/>
    <w:rsid w:val="00066491"/>
    <w:rsid w:val="000664B7"/>
    <w:rsid w:val="000664C1"/>
    <w:rsid w:val="0006650C"/>
    <w:rsid w:val="0006652C"/>
    <w:rsid w:val="000665A9"/>
    <w:rsid w:val="000665C0"/>
    <w:rsid w:val="000665FA"/>
    <w:rsid w:val="00066633"/>
    <w:rsid w:val="00066654"/>
    <w:rsid w:val="000666A3"/>
    <w:rsid w:val="000666C8"/>
    <w:rsid w:val="0006672E"/>
    <w:rsid w:val="00066763"/>
    <w:rsid w:val="00066773"/>
    <w:rsid w:val="000667DC"/>
    <w:rsid w:val="000667E6"/>
    <w:rsid w:val="000667F8"/>
    <w:rsid w:val="0006680D"/>
    <w:rsid w:val="00066878"/>
    <w:rsid w:val="00066918"/>
    <w:rsid w:val="00066956"/>
    <w:rsid w:val="00066976"/>
    <w:rsid w:val="0006698C"/>
    <w:rsid w:val="000669F9"/>
    <w:rsid w:val="00066A27"/>
    <w:rsid w:val="00066A59"/>
    <w:rsid w:val="00066ABD"/>
    <w:rsid w:val="00066ABE"/>
    <w:rsid w:val="00066B9E"/>
    <w:rsid w:val="00066BBE"/>
    <w:rsid w:val="00066BDB"/>
    <w:rsid w:val="00066C00"/>
    <w:rsid w:val="00066C23"/>
    <w:rsid w:val="00066C78"/>
    <w:rsid w:val="00066C7B"/>
    <w:rsid w:val="00066C80"/>
    <w:rsid w:val="00066CBF"/>
    <w:rsid w:val="00066CE6"/>
    <w:rsid w:val="00066CF1"/>
    <w:rsid w:val="00066CF9"/>
    <w:rsid w:val="00066D9B"/>
    <w:rsid w:val="00066DF6"/>
    <w:rsid w:val="00066E51"/>
    <w:rsid w:val="00066E55"/>
    <w:rsid w:val="00066E8B"/>
    <w:rsid w:val="00066E98"/>
    <w:rsid w:val="00066EA1"/>
    <w:rsid w:val="00066F1D"/>
    <w:rsid w:val="00066F54"/>
    <w:rsid w:val="00066F7C"/>
    <w:rsid w:val="00066F86"/>
    <w:rsid w:val="00066FDD"/>
    <w:rsid w:val="00067018"/>
    <w:rsid w:val="0006701A"/>
    <w:rsid w:val="0006706A"/>
    <w:rsid w:val="00067070"/>
    <w:rsid w:val="0006708C"/>
    <w:rsid w:val="000670B2"/>
    <w:rsid w:val="0006715E"/>
    <w:rsid w:val="000671AE"/>
    <w:rsid w:val="000671DB"/>
    <w:rsid w:val="0006723E"/>
    <w:rsid w:val="000672D7"/>
    <w:rsid w:val="0006731A"/>
    <w:rsid w:val="00067346"/>
    <w:rsid w:val="00067378"/>
    <w:rsid w:val="000673C9"/>
    <w:rsid w:val="0006741D"/>
    <w:rsid w:val="00067467"/>
    <w:rsid w:val="00067492"/>
    <w:rsid w:val="000674C8"/>
    <w:rsid w:val="0006752C"/>
    <w:rsid w:val="00067530"/>
    <w:rsid w:val="00067543"/>
    <w:rsid w:val="0006754A"/>
    <w:rsid w:val="00067575"/>
    <w:rsid w:val="000675A8"/>
    <w:rsid w:val="000675F4"/>
    <w:rsid w:val="0006760E"/>
    <w:rsid w:val="00067632"/>
    <w:rsid w:val="00067636"/>
    <w:rsid w:val="000676F3"/>
    <w:rsid w:val="00067710"/>
    <w:rsid w:val="0006771E"/>
    <w:rsid w:val="000677A1"/>
    <w:rsid w:val="000677A4"/>
    <w:rsid w:val="000677CE"/>
    <w:rsid w:val="000677DA"/>
    <w:rsid w:val="000677DC"/>
    <w:rsid w:val="000677F7"/>
    <w:rsid w:val="00067826"/>
    <w:rsid w:val="00067832"/>
    <w:rsid w:val="000678DB"/>
    <w:rsid w:val="00067971"/>
    <w:rsid w:val="00067973"/>
    <w:rsid w:val="0006798E"/>
    <w:rsid w:val="00067A49"/>
    <w:rsid w:val="00067A73"/>
    <w:rsid w:val="00067AC9"/>
    <w:rsid w:val="00067B39"/>
    <w:rsid w:val="00067B6E"/>
    <w:rsid w:val="00067BBC"/>
    <w:rsid w:val="00067BD4"/>
    <w:rsid w:val="00067C54"/>
    <w:rsid w:val="00067C84"/>
    <w:rsid w:val="00067CA2"/>
    <w:rsid w:val="00067CC1"/>
    <w:rsid w:val="00067CE3"/>
    <w:rsid w:val="00067CE7"/>
    <w:rsid w:val="00067D78"/>
    <w:rsid w:val="00067D79"/>
    <w:rsid w:val="00067D7A"/>
    <w:rsid w:val="00067E18"/>
    <w:rsid w:val="00067E4F"/>
    <w:rsid w:val="00067E76"/>
    <w:rsid w:val="00067FA2"/>
    <w:rsid w:val="0007002A"/>
    <w:rsid w:val="000700A7"/>
    <w:rsid w:val="000700B0"/>
    <w:rsid w:val="000700B9"/>
    <w:rsid w:val="00070131"/>
    <w:rsid w:val="000701C9"/>
    <w:rsid w:val="0007022A"/>
    <w:rsid w:val="00070233"/>
    <w:rsid w:val="00070244"/>
    <w:rsid w:val="0007025F"/>
    <w:rsid w:val="0007026B"/>
    <w:rsid w:val="00070279"/>
    <w:rsid w:val="0007029D"/>
    <w:rsid w:val="000702B8"/>
    <w:rsid w:val="000702E9"/>
    <w:rsid w:val="00070308"/>
    <w:rsid w:val="000703D2"/>
    <w:rsid w:val="000704A3"/>
    <w:rsid w:val="000704C9"/>
    <w:rsid w:val="00070577"/>
    <w:rsid w:val="00070589"/>
    <w:rsid w:val="000705F2"/>
    <w:rsid w:val="0007061C"/>
    <w:rsid w:val="0007065E"/>
    <w:rsid w:val="000706C2"/>
    <w:rsid w:val="00070779"/>
    <w:rsid w:val="000707D0"/>
    <w:rsid w:val="00070807"/>
    <w:rsid w:val="0007083B"/>
    <w:rsid w:val="00070851"/>
    <w:rsid w:val="00070898"/>
    <w:rsid w:val="00070899"/>
    <w:rsid w:val="000708A5"/>
    <w:rsid w:val="000708E0"/>
    <w:rsid w:val="0007092C"/>
    <w:rsid w:val="0007096B"/>
    <w:rsid w:val="00070986"/>
    <w:rsid w:val="0007098A"/>
    <w:rsid w:val="0007099D"/>
    <w:rsid w:val="000709D0"/>
    <w:rsid w:val="00070A8A"/>
    <w:rsid w:val="00070A9A"/>
    <w:rsid w:val="00070AF5"/>
    <w:rsid w:val="00070B08"/>
    <w:rsid w:val="00070BE5"/>
    <w:rsid w:val="00070BEE"/>
    <w:rsid w:val="00070C48"/>
    <w:rsid w:val="00070C72"/>
    <w:rsid w:val="00070CAE"/>
    <w:rsid w:val="00070CC9"/>
    <w:rsid w:val="00070D2D"/>
    <w:rsid w:val="00070D3B"/>
    <w:rsid w:val="00070D8B"/>
    <w:rsid w:val="00070D8D"/>
    <w:rsid w:val="00070DCE"/>
    <w:rsid w:val="00070E0F"/>
    <w:rsid w:val="00070E11"/>
    <w:rsid w:val="00070E20"/>
    <w:rsid w:val="00070E43"/>
    <w:rsid w:val="00070F16"/>
    <w:rsid w:val="00070F3A"/>
    <w:rsid w:val="0007106E"/>
    <w:rsid w:val="0007107B"/>
    <w:rsid w:val="000710A0"/>
    <w:rsid w:val="000710BF"/>
    <w:rsid w:val="000710F6"/>
    <w:rsid w:val="00071107"/>
    <w:rsid w:val="000711C4"/>
    <w:rsid w:val="00071217"/>
    <w:rsid w:val="000713BB"/>
    <w:rsid w:val="000713F2"/>
    <w:rsid w:val="000714CB"/>
    <w:rsid w:val="00071560"/>
    <w:rsid w:val="00071569"/>
    <w:rsid w:val="000715FE"/>
    <w:rsid w:val="00071635"/>
    <w:rsid w:val="000717E5"/>
    <w:rsid w:val="00071812"/>
    <w:rsid w:val="00071818"/>
    <w:rsid w:val="0007182A"/>
    <w:rsid w:val="00071832"/>
    <w:rsid w:val="00071860"/>
    <w:rsid w:val="00071911"/>
    <w:rsid w:val="00071945"/>
    <w:rsid w:val="0007195D"/>
    <w:rsid w:val="00071972"/>
    <w:rsid w:val="00071978"/>
    <w:rsid w:val="00071995"/>
    <w:rsid w:val="000719E5"/>
    <w:rsid w:val="00071A65"/>
    <w:rsid w:val="00071AB6"/>
    <w:rsid w:val="00071AF2"/>
    <w:rsid w:val="00071B09"/>
    <w:rsid w:val="00071B2E"/>
    <w:rsid w:val="00071B5D"/>
    <w:rsid w:val="00071B70"/>
    <w:rsid w:val="00071B73"/>
    <w:rsid w:val="00071B86"/>
    <w:rsid w:val="00071C26"/>
    <w:rsid w:val="00071C32"/>
    <w:rsid w:val="00071C40"/>
    <w:rsid w:val="00071C58"/>
    <w:rsid w:val="00071C7F"/>
    <w:rsid w:val="00071C8F"/>
    <w:rsid w:val="00071C9B"/>
    <w:rsid w:val="00071CF5"/>
    <w:rsid w:val="00071CFB"/>
    <w:rsid w:val="00071D6B"/>
    <w:rsid w:val="00071DBE"/>
    <w:rsid w:val="00071DC6"/>
    <w:rsid w:val="00071DCC"/>
    <w:rsid w:val="00071E1C"/>
    <w:rsid w:val="00071E83"/>
    <w:rsid w:val="00071E9C"/>
    <w:rsid w:val="00071F0B"/>
    <w:rsid w:val="00071F5D"/>
    <w:rsid w:val="00071F64"/>
    <w:rsid w:val="00071F77"/>
    <w:rsid w:val="00071F81"/>
    <w:rsid w:val="00071FAC"/>
    <w:rsid w:val="00071FC3"/>
    <w:rsid w:val="00071FDB"/>
    <w:rsid w:val="00072027"/>
    <w:rsid w:val="0007209B"/>
    <w:rsid w:val="000720D9"/>
    <w:rsid w:val="000720ED"/>
    <w:rsid w:val="00072109"/>
    <w:rsid w:val="0007215B"/>
    <w:rsid w:val="00072163"/>
    <w:rsid w:val="00072172"/>
    <w:rsid w:val="000721A0"/>
    <w:rsid w:val="000721A8"/>
    <w:rsid w:val="000721F2"/>
    <w:rsid w:val="00072296"/>
    <w:rsid w:val="000722EC"/>
    <w:rsid w:val="000722ED"/>
    <w:rsid w:val="00072385"/>
    <w:rsid w:val="000723B8"/>
    <w:rsid w:val="000723BD"/>
    <w:rsid w:val="00072458"/>
    <w:rsid w:val="000725B8"/>
    <w:rsid w:val="000725D5"/>
    <w:rsid w:val="000725D7"/>
    <w:rsid w:val="00072634"/>
    <w:rsid w:val="0007264F"/>
    <w:rsid w:val="000726F6"/>
    <w:rsid w:val="00072711"/>
    <w:rsid w:val="00072715"/>
    <w:rsid w:val="00072735"/>
    <w:rsid w:val="00072738"/>
    <w:rsid w:val="0007274D"/>
    <w:rsid w:val="0007278A"/>
    <w:rsid w:val="0007278F"/>
    <w:rsid w:val="000727B0"/>
    <w:rsid w:val="00072837"/>
    <w:rsid w:val="00072864"/>
    <w:rsid w:val="00072874"/>
    <w:rsid w:val="000728AB"/>
    <w:rsid w:val="000728B7"/>
    <w:rsid w:val="000728FB"/>
    <w:rsid w:val="0007297E"/>
    <w:rsid w:val="000729AF"/>
    <w:rsid w:val="000729BA"/>
    <w:rsid w:val="000729BC"/>
    <w:rsid w:val="000729C7"/>
    <w:rsid w:val="000729DE"/>
    <w:rsid w:val="00072A0E"/>
    <w:rsid w:val="00072A1F"/>
    <w:rsid w:val="00072A23"/>
    <w:rsid w:val="00072A3C"/>
    <w:rsid w:val="00072AA7"/>
    <w:rsid w:val="00072ADD"/>
    <w:rsid w:val="00072AF2"/>
    <w:rsid w:val="00072AFA"/>
    <w:rsid w:val="00072B09"/>
    <w:rsid w:val="00072B6E"/>
    <w:rsid w:val="00072B97"/>
    <w:rsid w:val="00072B98"/>
    <w:rsid w:val="00072B99"/>
    <w:rsid w:val="00072BA6"/>
    <w:rsid w:val="00072BB3"/>
    <w:rsid w:val="00072BBE"/>
    <w:rsid w:val="00072BDA"/>
    <w:rsid w:val="00072BE2"/>
    <w:rsid w:val="00072BFA"/>
    <w:rsid w:val="00072C0A"/>
    <w:rsid w:val="00072C83"/>
    <w:rsid w:val="00072CCF"/>
    <w:rsid w:val="00072D64"/>
    <w:rsid w:val="00072D68"/>
    <w:rsid w:val="00072DA8"/>
    <w:rsid w:val="00072E35"/>
    <w:rsid w:val="00072E54"/>
    <w:rsid w:val="00072E7D"/>
    <w:rsid w:val="00072E93"/>
    <w:rsid w:val="00072EC0"/>
    <w:rsid w:val="00072EC1"/>
    <w:rsid w:val="00072EE2"/>
    <w:rsid w:val="00072EE7"/>
    <w:rsid w:val="00072F07"/>
    <w:rsid w:val="00072F60"/>
    <w:rsid w:val="00072F62"/>
    <w:rsid w:val="00072F93"/>
    <w:rsid w:val="00072F97"/>
    <w:rsid w:val="00072FEC"/>
    <w:rsid w:val="0007300C"/>
    <w:rsid w:val="0007300E"/>
    <w:rsid w:val="00073058"/>
    <w:rsid w:val="00073071"/>
    <w:rsid w:val="00073127"/>
    <w:rsid w:val="00073164"/>
    <w:rsid w:val="0007319D"/>
    <w:rsid w:val="000731AE"/>
    <w:rsid w:val="00073214"/>
    <w:rsid w:val="00073226"/>
    <w:rsid w:val="00073296"/>
    <w:rsid w:val="00073304"/>
    <w:rsid w:val="0007331F"/>
    <w:rsid w:val="000733DE"/>
    <w:rsid w:val="000733EE"/>
    <w:rsid w:val="000733FE"/>
    <w:rsid w:val="000733FF"/>
    <w:rsid w:val="00073407"/>
    <w:rsid w:val="0007347E"/>
    <w:rsid w:val="0007350E"/>
    <w:rsid w:val="0007357C"/>
    <w:rsid w:val="00073580"/>
    <w:rsid w:val="00073600"/>
    <w:rsid w:val="0007362A"/>
    <w:rsid w:val="0007364E"/>
    <w:rsid w:val="000737DF"/>
    <w:rsid w:val="000737EB"/>
    <w:rsid w:val="000737F8"/>
    <w:rsid w:val="00073843"/>
    <w:rsid w:val="00073854"/>
    <w:rsid w:val="000738BB"/>
    <w:rsid w:val="00073904"/>
    <w:rsid w:val="0007395B"/>
    <w:rsid w:val="0007396C"/>
    <w:rsid w:val="0007399E"/>
    <w:rsid w:val="000739AA"/>
    <w:rsid w:val="000739DA"/>
    <w:rsid w:val="00073A26"/>
    <w:rsid w:val="00073AB0"/>
    <w:rsid w:val="00073AB5"/>
    <w:rsid w:val="00073ABA"/>
    <w:rsid w:val="00073AC3"/>
    <w:rsid w:val="00073AE4"/>
    <w:rsid w:val="00073B40"/>
    <w:rsid w:val="00073B98"/>
    <w:rsid w:val="00073BBD"/>
    <w:rsid w:val="00073BED"/>
    <w:rsid w:val="00073C7F"/>
    <w:rsid w:val="00073CA2"/>
    <w:rsid w:val="00073CAF"/>
    <w:rsid w:val="00073CCD"/>
    <w:rsid w:val="00073CD4"/>
    <w:rsid w:val="00073D81"/>
    <w:rsid w:val="00073D88"/>
    <w:rsid w:val="00073DA0"/>
    <w:rsid w:val="00073E7A"/>
    <w:rsid w:val="00073E8F"/>
    <w:rsid w:val="00073ECB"/>
    <w:rsid w:val="00073EDC"/>
    <w:rsid w:val="00073F09"/>
    <w:rsid w:val="00073FC3"/>
    <w:rsid w:val="00074021"/>
    <w:rsid w:val="0007408B"/>
    <w:rsid w:val="00074090"/>
    <w:rsid w:val="000740F9"/>
    <w:rsid w:val="000741AB"/>
    <w:rsid w:val="000741AC"/>
    <w:rsid w:val="0007420C"/>
    <w:rsid w:val="00074262"/>
    <w:rsid w:val="000742C0"/>
    <w:rsid w:val="00074331"/>
    <w:rsid w:val="000743F6"/>
    <w:rsid w:val="00074459"/>
    <w:rsid w:val="00074495"/>
    <w:rsid w:val="000744E9"/>
    <w:rsid w:val="00074522"/>
    <w:rsid w:val="000745E8"/>
    <w:rsid w:val="000745FC"/>
    <w:rsid w:val="0007464F"/>
    <w:rsid w:val="0007467B"/>
    <w:rsid w:val="000746F5"/>
    <w:rsid w:val="00074708"/>
    <w:rsid w:val="00074712"/>
    <w:rsid w:val="00074809"/>
    <w:rsid w:val="0007481A"/>
    <w:rsid w:val="000748D2"/>
    <w:rsid w:val="000748F6"/>
    <w:rsid w:val="00074922"/>
    <w:rsid w:val="00074976"/>
    <w:rsid w:val="0007498A"/>
    <w:rsid w:val="00074A96"/>
    <w:rsid w:val="00074AC0"/>
    <w:rsid w:val="00074B37"/>
    <w:rsid w:val="00074B3C"/>
    <w:rsid w:val="00074B5B"/>
    <w:rsid w:val="00074BB8"/>
    <w:rsid w:val="00074BF3"/>
    <w:rsid w:val="00074BFB"/>
    <w:rsid w:val="00074C15"/>
    <w:rsid w:val="00074CB2"/>
    <w:rsid w:val="00074CF7"/>
    <w:rsid w:val="00074D1D"/>
    <w:rsid w:val="00074D34"/>
    <w:rsid w:val="00074D4A"/>
    <w:rsid w:val="00074E08"/>
    <w:rsid w:val="00074EA3"/>
    <w:rsid w:val="00074EEA"/>
    <w:rsid w:val="00074F2A"/>
    <w:rsid w:val="00074F9E"/>
    <w:rsid w:val="00074FA1"/>
    <w:rsid w:val="00074FA8"/>
    <w:rsid w:val="00074FDF"/>
    <w:rsid w:val="00074FE7"/>
    <w:rsid w:val="000750BB"/>
    <w:rsid w:val="000750D8"/>
    <w:rsid w:val="0007519A"/>
    <w:rsid w:val="000751B4"/>
    <w:rsid w:val="000751DD"/>
    <w:rsid w:val="00075239"/>
    <w:rsid w:val="0007526D"/>
    <w:rsid w:val="000752E8"/>
    <w:rsid w:val="00075303"/>
    <w:rsid w:val="0007537E"/>
    <w:rsid w:val="00075395"/>
    <w:rsid w:val="000753B7"/>
    <w:rsid w:val="0007544B"/>
    <w:rsid w:val="0007546D"/>
    <w:rsid w:val="00075479"/>
    <w:rsid w:val="000754B5"/>
    <w:rsid w:val="000754C8"/>
    <w:rsid w:val="000754D6"/>
    <w:rsid w:val="00075527"/>
    <w:rsid w:val="00075534"/>
    <w:rsid w:val="00075568"/>
    <w:rsid w:val="000755E7"/>
    <w:rsid w:val="00075610"/>
    <w:rsid w:val="00075639"/>
    <w:rsid w:val="00075663"/>
    <w:rsid w:val="00075673"/>
    <w:rsid w:val="0007567E"/>
    <w:rsid w:val="00075681"/>
    <w:rsid w:val="0007569F"/>
    <w:rsid w:val="00075732"/>
    <w:rsid w:val="00075747"/>
    <w:rsid w:val="00075791"/>
    <w:rsid w:val="000757A0"/>
    <w:rsid w:val="000757A7"/>
    <w:rsid w:val="000757AA"/>
    <w:rsid w:val="000757BB"/>
    <w:rsid w:val="000757CE"/>
    <w:rsid w:val="000757D4"/>
    <w:rsid w:val="000757D5"/>
    <w:rsid w:val="000758B0"/>
    <w:rsid w:val="000758BD"/>
    <w:rsid w:val="000758CD"/>
    <w:rsid w:val="000758F5"/>
    <w:rsid w:val="0007590A"/>
    <w:rsid w:val="00075919"/>
    <w:rsid w:val="000759C5"/>
    <w:rsid w:val="00075A08"/>
    <w:rsid w:val="00075A6F"/>
    <w:rsid w:val="00075A87"/>
    <w:rsid w:val="00075A94"/>
    <w:rsid w:val="00075A99"/>
    <w:rsid w:val="00075AA7"/>
    <w:rsid w:val="00075AD2"/>
    <w:rsid w:val="00075AE4"/>
    <w:rsid w:val="00075B04"/>
    <w:rsid w:val="00075B50"/>
    <w:rsid w:val="00075B51"/>
    <w:rsid w:val="00075B97"/>
    <w:rsid w:val="00075BD2"/>
    <w:rsid w:val="00075BFE"/>
    <w:rsid w:val="00075C09"/>
    <w:rsid w:val="00075C52"/>
    <w:rsid w:val="00075C7C"/>
    <w:rsid w:val="00075C7D"/>
    <w:rsid w:val="00075CCB"/>
    <w:rsid w:val="00075D14"/>
    <w:rsid w:val="00075D23"/>
    <w:rsid w:val="00075D54"/>
    <w:rsid w:val="00075DA5"/>
    <w:rsid w:val="00075DE6"/>
    <w:rsid w:val="00075E6B"/>
    <w:rsid w:val="00075E8C"/>
    <w:rsid w:val="00075EA4"/>
    <w:rsid w:val="00075EB0"/>
    <w:rsid w:val="00075EC9"/>
    <w:rsid w:val="00075F3A"/>
    <w:rsid w:val="00075F9E"/>
    <w:rsid w:val="00075FAA"/>
    <w:rsid w:val="00075FDF"/>
    <w:rsid w:val="00076019"/>
    <w:rsid w:val="00076058"/>
    <w:rsid w:val="0007607B"/>
    <w:rsid w:val="0007608D"/>
    <w:rsid w:val="000760A2"/>
    <w:rsid w:val="000760A3"/>
    <w:rsid w:val="000760EA"/>
    <w:rsid w:val="0007612D"/>
    <w:rsid w:val="00076162"/>
    <w:rsid w:val="000762D8"/>
    <w:rsid w:val="00076310"/>
    <w:rsid w:val="0007631C"/>
    <w:rsid w:val="00076328"/>
    <w:rsid w:val="000763EF"/>
    <w:rsid w:val="00076429"/>
    <w:rsid w:val="0007647D"/>
    <w:rsid w:val="0007649A"/>
    <w:rsid w:val="0007649E"/>
    <w:rsid w:val="000764B8"/>
    <w:rsid w:val="00076507"/>
    <w:rsid w:val="00076525"/>
    <w:rsid w:val="000765B9"/>
    <w:rsid w:val="000765FA"/>
    <w:rsid w:val="00076601"/>
    <w:rsid w:val="00076605"/>
    <w:rsid w:val="00076641"/>
    <w:rsid w:val="0007665C"/>
    <w:rsid w:val="00076661"/>
    <w:rsid w:val="00076686"/>
    <w:rsid w:val="000766A3"/>
    <w:rsid w:val="000766C4"/>
    <w:rsid w:val="000766FF"/>
    <w:rsid w:val="00076700"/>
    <w:rsid w:val="00076709"/>
    <w:rsid w:val="00076740"/>
    <w:rsid w:val="0007677C"/>
    <w:rsid w:val="0007679B"/>
    <w:rsid w:val="000767F1"/>
    <w:rsid w:val="00076829"/>
    <w:rsid w:val="00076906"/>
    <w:rsid w:val="0007693A"/>
    <w:rsid w:val="0007695A"/>
    <w:rsid w:val="00076961"/>
    <w:rsid w:val="0007696B"/>
    <w:rsid w:val="000769BD"/>
    <w:rsid w:val="000769D5"/>
    <w:rsid w:val="00076A34"/>
    <w:rsid w:val="00076A88"/>
    <w:rsid w:val="00076A8F"/>
    <w:rsid w:val="00076A9C"/>
    <w:rsid w:val="00076AB5"/>
    <w:rsid w:val="00076ABB"/>
    <w:rsid w:val="00076AF1"/>
    <w:rsid w:val="00076AF4"/>
    <w:rsid w:val="00076C15"/>
    <w:rsid w:val="00076C2B"/>
    <w:rsid w:val="00076CAA"/>
    <w:rsid w:val="00076CEA"/>
    <w:rsid w:val="00076D8B"/>
    <w:rsid w:val="00076DA8"/>
    <w:rsid w:val="00076DE1"/>
    <w:rsid w:val="00076DF3"/>
    <w:rsid w:val="00076E13"/>
    <w:rsid w:val="00076E90"/>
    <w:rsid w:val="00076F2F"/>
    <w:rsid w:val="00076FC6"/>
    <w:rsid w:val="00077063"/>
    <w:rsid w:val="0007713B"/>
    <w:rsid w:val="00077163"/>
    <w:rsid w:val="000771A8"/>
    <w:rsid w:val="000771B4"/>
    <w:rsid w:val="000771DE"/>
    <w:rsid w:val="00077237"/>
    <w:rsid w:val="0007725D"/>
    <w:rsid w:val="00077274"/>
    <w:rsid w:val="000772E6"/>
    <w:rsid w:val="000772E7"/>
    <w:rsid w:val="0007732C"/>
    <w:rsid w:val="0007733B"/>
    <w:rsid w:val="00077372"/>
    <w:rsid w:val="000773D6"/>
    <w:rsid w:val="000773E7"/>
    <w:rsid w:val="00077460"/>
    <w:rsid w:val="00077463"/>
    <w:rsid w:val="000774B3"/>
    <w:rsid w:val="000774E9"/>
    <w:rsid w:val="0007750F"/>
    <w:rsid w:val="0007752D"/>
    <w:rsid w:val="00077570"/>
    <w:rsid w:val="00077588"/>
    <w:rsid w:val="00077702"/>
    <w:rsid w:val="0007773A"/>
    <w:rsid w:val="00077744"/>
    <w:rsid w:val="0007777E"/>
    <w:rsid w:val="0007779B"/>
    <w:rsid w:val="000777CC"/>
    <w:rsid w:val="000777ED"/>
    <w:rsid w:val="000777FB"/>
    <w:rsid w:val="00077839"/>
    <w:rsid w:val="00077886"/>
    <w:rsid w:val="000778AA"/>
    <w:rsid w:val="000778D2"/>
    <w:rsid w:val="00077979"/>
    <w:rsid w:val="000779C5"/>
    <w:rsid w:val="00077A8F"/>
    <w:rsid w:val="00077ACF"/>
    <w:rsid w:val="00077B00"/>
    <w:rsid w:val="00077B0B"/>
    <w:rsid w:val="00077B13"/>
    <w:rsid w:val="00077B2B"/>
    <w:rsid w:val="00077B3B"/>
    <w:rsid w:val="00077B4B"/>
    <w:rsid w:val="00077CD4"/>
    <w:rsid w:val="00077D3B"/>
    <w:rsid w:val="00077D74"/>
    <w:rsid w:val="00077D8A"/>
    <w:rsid w:val="00077D91"/>
    <w:rsid w:val="00077E10"/>
    <w:rsid w:val="00077E7F"/>
    <w:rsid w:val="00077EC4"/>
    <w:rsid w:val="00077F16"/>
    <w:rsid w:val="00077F84"/>
    <w:rsid w:val="00080069"/>
    <w:rsid w:val="00080096"/>
    <w:rsid w:val="000800AC"/>
    <w:rsid w:val="000800F2"/>
    <w:rsid w:val="0008012E"/>
    <w:rsid w:val="0008017B"/>
    <w:rsid w:val="00080181"/>
    <w:rsid w:val="000801A6"/>
    <w:rsid w:val="0008023F"/>
    <w:rsid w:val="00080276"/>
    <w:rsid w:val="0008027D"/>
    <w:rsid w:val="000802C5"/>
    <w:rsid w:val="000802C8"/>
    <w:rsid w:val="000802F0"/>
    <w:rsid w:val="00080326"/>
    <w:rsid w:val="00080372"/>
    <w:rsid w:val="0008037B"/>
    <w:rsid w:val="00080385"/>
    <w:rsid w:val="000803F6"/>
    <w:rsid w:val="00080402"/>
    <w:rsid w:val="0008045D"/>
    <w:rsid w:val="000804DE"/>
    <w:rsid w:val="000804F0"/>
    <w:rsid w:val="000804FD"/>
    <w:rsid w:val="00080543"/>
    <w:rsid w:val="0008059A"/>
    <w:rsid w:val="000806D3"/>
    <w:rsid w:val="0008071E"/>
    <w:rsid w:val="00080777"/>
    <w:rsid w:val="00080787"/>
    <w:rsid w:val="000807C4"/>
    <w:rsid w:val="000807FF"/>
    <w:rsid w:val="00080825"/>
    <w:rsid w:val="00080882"/>
    <w:rsid w:val="000808AB"/>
    <w:rsid w:val="000808B8"/>
    <w:rsid w:val="000808F2"/>
    <w:rsid w:val="0008095A"/>
    <w:rsid w:val="0008097C"/>
    <w:rsid w:val="000809DB"/>
    <w:rsid w:val="000809DD"/>
    <w:rsid w:val="000809EE"/>
    <w:rsid w:val="00080AC8"/>
    <w:rsid w:val="00080ADF"/>
    <w:rsid w:val="00080AE6"/>
    <w:rsid w:val="00080B7F"/>
    <w:rsid w:val="00080BA5"/>
    <w:rsid w:val="00080C0C"/>
    <w:rsid w:val="00080C41"/>
    <w:rsid w:val="00080CB7"/>
    <w:rsid w:val="00080CBA"/>
    <w:rsid w:val="00080CD3"/>
    <w:rsid w:val="00080CDF"/>
    <w:rsid w:val="00080CFB"/>
    <w:rsid w:val="00080D1A"/>
    <w:rsid w:val="00080D5A"/>
    <w:rsid w:val="00080E3F"/>
    <w:rsid w:val="00080E5E"/>
    <w:rsid w:val="00080E69"/>
    <w:rsid w:val="00080F46"/>
    <w:rsid w:val="00081007"/>
    <w:rsid w:val="0008104A"/>
    <w:rsid w:val="0008104B"/>
    <w:rsid w:val="00081053"/>
    <w:rsid w:val="0008105B"/>
    <w:rsid w:val="000810B1"/>
    <w:rsid w:val="000810E7"/>
    <w:rsid w:val="00081116"/>
    <w:rsid w:val="0008111D"/>
    <w:rsid w:val="00081165"/>
    <w:rsid w:val="00081169"/>
    <w:rsid w:val="00081174"/>
    <w:rsid w:val="00081182"/>
    <w:rsid w:val="0008119B"/>
    <w:rsid w:val="000811B3"/>
    <w:rsid w:val="000811CE"/>
    <w:rsid w:val="0008122B"/>
    <w:rsid w:val="00081254"/>
    <w:rsid w:val="000812F4"/>
    <w:rsid w:val="0008130C"/>
    <w:rsid w:val="0008133B"/>
    <w:rsid w:val="0008136C"/>
    <w:rsid w:val="00081395"/>
    <w:rsid w:val="000813B6"/>
    <w:rsid w:val="000813E3"/>
    <w:rsid w:val="00081457"/>
    <w:rsid w:val="0008154B"/>
    <w:rsid w:val="000815B4"/>
    <w:rsid w:val="0008162F"/>
    <w:rsid w:val="00081633"/>
    <w:rsid w:val="0008163B"/>
    <w:rsid w:val="0008166C"/>
    <w:rsid w:val="000816DD"/>
    <w:rsid w:val="00081715"/>
    <w:rsid w:val="0008172A"/>
    <w:rsid w:val="00081793"/>
    <w:rsid w:val="000817CC"/>
    <w:rsid w:val="000817F2"/>
    <w:rsid w:val="00081807"/>
    <w:rsid w:val="0008183E"/>
    <w:rsid w:val="00081842"/>
    <w:rsid w:val="000818A4"/>
    <w:rsid w:val="000818F8"/>
    <w:rsid w:val="00081910"/>
    <w:rsid w:val="00081965"/>
    <w:rsid w:val="00081982"/>
    <w:rsid w:val="00081A08"/>
    <w:rsid w:val="00081A1F"/>
    <w:rsid w:val="00081AC9"/>
    <w:rsid w:val="00081AD3"/>
    <w:rsid w:val="00081BB0"/>
    <w:rsid w:val="00081BBD"/>
    <w:rsid w:val="00081C1A"/>
    <w:rsid w:val="00081C79"/>
    <w:rsid w:val="00081C8A"/>
    <w:rsid w:val="00081CE0"/>
    <w:rsid w:val="00081CEF"/>
    <w:rsid w:val="00081DD4"/>
    <w:rsid w:val="00081DD8"/>
    <w:rsid w:val="00081E06"/>
    <w:rsid w:val="00081E32"/>
    <w:rsid w:val="00081E68"/>
    <w:rsid w:val="00081E7C"/>
    <w:rsid w:val="00081ED9"/>
    <w:rsid w:val="00081EF5"/>
    <w:rsid w:val="00081F6B"/>
    <w:rsid w:val="00081F8D"/>
    <w:rsid w:val="00082054"/>
    <w:rsid w:val="000820FC"/>
    <w:rsid w:val="000821BF"/>
    <w:rsid w:val="00082209"/>
    <w:rsid w:val="00082215"/>
    <w:rsid w:val="00082231"/>
    <w:rsid w:val="00082281"/>
    <w:rsid w:val="00082294"/>
    <w:rsid w:val="0008229B"/>
    <w:rsid w:val="0008234C"/>
    <w:rsid w:val="0008236E"/>
    <w:rsid w:val="00082384"/>
    <w:rsid w:val="0008238E"/>
    <w:rsid w:val="000823E2"/>
    <w:rsid w:val="000823FF"/>
    <w:rsid w:val="0008240B"/>
    <w:rsid w:val="0008251D"/>
    <w:rsid w:val="00082527"/>
    <w:rsid w:val="00082543"/>
    <w:rsid w:val="0008256D"/>
    <w:rsid w:val="000825AB"/>
    <w:rsid w:val="000825BD"/>
    <w:rsid w:val="000825C9"/>
    <w:rsid w:val="000825ED"/>
    <w:rsid w:val="00082612"/>
    <w:rsid w:val="00082677"/>
    <w:rsid w:val="000826AC"/>
    <w:rsid w:val="000826B0"/>
    <w:rsid w:val="000826CA"/>
    <w:rsid w:val="00082716"/>
    <w:rsid w:val="0008280B"/>
    <w:rsid w:val="000828E4"/>
    <w:rsid w:val="00082947"/>
    <w:rsid w:val="00082999"/>
    <w:rsid w:val="0008299C"/>
    <w:rsid w:val="000829A8"/>
    <w:rsid w:val="000829AA"/>
    <w:rsid w:val="000829E3"/>
    <w:rsid w:val="00082A05"/>
    <w:rsid w:val="00082A10"/>
    <w:rsid w:val="00082A45"/>
    <w:rsid w:val="00082A46"/>
    <w:rsid w:val="00082A88"/>
    <w:rsid w:val="00082A94"/>
    <w:rsid w:val="00082AFC"/>
    <w:rsid w:val="00082BEA"/>
    <w:rsid w:val="00082C02"/>
    <w:rsid w:val="00082C73"/>
    <w:rsid w:val="00082CC1"/>
    <w:rsid w:val="00082D04"/>
    <w:rsid w:val="00082D71"/>
    <w:rsid w:val="00082D96"/>
    <w:rsid w:val="00082DB4"/>
    <w:rsid w:val="00082E12"/>
    <w:rsid w:val="00082E29"/>
    <w:rsid w:val="00082E56"/>
    <w:rsid w:val="00082E64"/>
    <w:rsid w:val="00082E88"/>
    <w:rsid w:val="00082EDC"/>
    <w:rsid w:val="00082F2A"/>
    <w:rsid w:val="00082FCE"/>
    <w:rsid w:val="00082FF9"/>
    <w:rsid w:val="000830A2"/>
    <w:rsid w:val="000830C0"/>
    <w:rsid w:val="00083136"/>
    <w:rsid w:val="000831AA"/>
    <w:rsid w:val="000831AE"/>
    <w:rsid w:val="00083238"/>
    <w:rsid w:val="000832A1"/>
    <w:rsid w:val="000832B0"/>
    <w:rsid w:val="000832D5"/>
    <w:rsid w:val="000832F0"/>
    <w:rsid w:val="000832FA"/>
    <w:rsid w:val="00083358"/>
    <w:rsid w:val="000833B3"/>
    <w:rsid w:val="000833CD"/>
    <w:rsid w:val="00083446"/>
    <w:rsid w:val="00083490"/>
    <w:rsid w:val="0008359A"/>
    <w:rsid w:val="000835E2"/>
    <w:rsid w:val="000835E4"/>
    <w:rsid w:val="000835EC"/>
    <w:rsid w:val="0008361E"/>
    <w:rsid w:val="00083666"/>
    <w:rsid w:val="0008368B"/>
    <w:rsid w:val="000836D3"/>
    <w:rsid w:val="000836F2"/>
    <w:rsid w:val="0008370C"/>
    <w:rsid w:val="00083722"/>
    <w:rsid w:val="00083743"/>
    <w:rsid w:val="0008375E"/>
    <w:rsid w:val="0008375F"/>
    <w:rsid w:val="0008376C"/>
    <w:rsid w:val="000838D4"/>
    <w:rsid w:val="00083930"/>
    <w:rsid w:val="00083945"/>
    <w:rsid w:val="0008399B"/>
    <w:rsid w:val="00083A0F"/>
    <w:rsid w:val="00083A4A"/>
    <w:rsid w:val="00083AD9"/>
    <w:rsid w:val="00083B1A"/>
    <w:rsid w:val="00083BAA"/>
    <w:rsid w:val="00083BDC"/>
    <w:rsid w:val="00083BDF"/>
    <w:rsid w:val="00083C3D"/>
    <w:rsid w:val="00083C56"/>
    <w:rsid w:val="00083C58"/>
    <w:rsid w:val="00083C7F"/>
    <w:rsid w:val="00083C9F"/>
    <w:rsid w:val="00083CCC"/>
    <w:rsid w:val="00083CF5"/>
    <w:rsid w:val="00083D63"/>
    <w:rsid w:val="00083DA2"/>
    <w:rsid w:val="00083DB0"/>
    <w:rsid w:val="00083DD4"/>
    <w:rsid w:val="00083E30"/>
    <w:rsid w:val="00083E39"/>
    <w:rsid w:val="00083E90"/>
    <w:rsid w:val="00083EAF"/>
    <w:rsid w:val="00083F53"/>
    <w:rsid w:val="00083FC1"/>
    <w:rsid w:val="00083FC4"/>
    <w:rsid w:val="0008402A"/>
    <w:rsid w:val="00084046"/>
    <w:rsid w:val="00084083"/>
    <w:rsid w:val="000840B8"/>
    <w:rsid w:val="000840DE"/>
    <w:rsid w:val="000840F1"/>
    <w:rsid w:val="000841EB"/>
    <w:rsid w:val="00084215"/>
    <w:rsid w:val="0008428D"/>
    <w:rsid w:val="000842CA"/>
    <w:rsid w:val="000842DC"/>
    <w:rsid w:val="0008434A"/>
    <w:rsid w:val="0008434F"/>
    <w:rsid w:val="000843E7"/>
    <w:rsid w:val="000843EC"/>
    <w:rsid w:val="00084476"/>
    <w:rsid w:val="000844BD"/>
    <w:rsid w:val="000844DA"/>
    <w:rsid w:val="000844F4"/>
    <w:rsid w:val="00084505"/>
    <w:rsid w:val="00084561"/>
    <w:rsid w:val="0008456E"/>
    <w:rsid w:val="00084588"/>
    <w:rsid w:val="000845AF"/>
    <w:rsid w:val="000845B6"/>
    <w:rsid w:val="000845FB"/>
    <w:rsid w:val="00084648"/>
    <w:rsid w:val="00084679"/>
    <w:rsid w:val="0008467E"/>
    <w:rsid w:val="000846B5"/>
    <w:rsid w:val="000846CE"/>
    <w:rsid w:val="00084743"/>
    <w:rsid w:val="00084841"/>
    <w:rsid w:val="000848D2"/>
    <w:rsid w:val="000848E7"/>
    <w:rsid w:val="00084904"/>
    <w:rsid w:val="0008493E"/>
    <w:rsid w:val="000849A7"/>
    <w:rsid w:val="00084A0D"/>
    <w:rsid w:val="00084A94"/>
    <w:rsid w:val="00084A98"/>
    <w:rsid w:val="00084ABC"/>
    <w:rsid w:val="00084AD5"/>
    <w:rsid w:val="00084ADB"/>
    <w:rsid w:val="00084AFD"/>
    <w:rsid w:val="00084B20"/>
    <w:rsid w:val="00084B32"/>
    <w:rsid w:val="00084B93"/>
    <w:rsid w:val="00084C21"/>
    <w:rsid w:val="00084C39"/>
    <w:rsid w:val="00084C3D"/>
    <w:rsid w:val="00084CBE"/>
    <w:rsid w:val="00084CE8"/>
    <w:rsid w:val="00084D30"/>
    <w:rsid w:val="00084D36"/>
    <w:rsid w:val="00084D5B"/>
    <w:rsid w:val="00084D6E"/>
    <w:rsid w:val="00084D94"/>
    <w:rsid w:val="00084DDF"/>
    <w:rsid w:val="00084E21"/>
    <w:rsid w:val="00084E72"/>
    <w:rsid w:val="00084E76"/>
    <w:rsid w:val="00084F1B"/>
    <w:rsid w:val="00084F5E"/>
    <w:rsid w:val="00084FB1"/>
    <w:rsid w:val="00084FD4"/>
    <w:rsid w:val="00085039"/>
    <w:rsid w:val="0008506B"/>
    <w:rsid w:val="0008506D"/>
    <w:rsid w:val="00085165"/>
    <w:rsid w:val="00085180"/>
    <w:rsid w:val="000851D1"/>
    <w:rsid w:val="000851D9"/>
    <w:rsid w:val="00085241"/>
    <w:rsid w:val="00085268"/>
    <w:rsid w:val="0008527E"/>
    <w:rsid w:val="000852A2"/>
    <w:rsid w:val="000852EB"/>
    <w:rsid w:val="00085311"/>
    <w:rsid w:val="0008531B"/>
    <w:rsid w:val="000853D8"/>
    <w:rsid w:val="000853F3"/>
    <w:rsid w:val="00085404"/>
    <w:rsid w:val="00085467"/>
    <w:rsid w:val="0008546E"/>
    <w:rsid w:val="0008552A"/>
    <w:rsid w:val="00085547"/>
    <w:rsid w:val="00085602"/>
    <w:rsid w:val="0008564C"/>
    <w:rsid w:val="000856CC"/>
    <w:rsid w:val="0008571E"/>
    <w:rsid w:val="0008572B"/>
    <w:rsid w:val="00085778"/>
    <w:rsid w:val="0008587B"/>
    <w:rsid w:val="000858AA"/>
    <w:rsid w:val="000858B1"/>
    <w:rsid w:val="00085958"/>
    <w:rsid w:val="0008595F"/>
    <w:rsid w:val="00085964"/>
    <w:rsid w:val="00085976"/>
    <w:rsid w:val="000859A0"/>
    <w:rsid w:val="000859BB"/>
    <w:rsid w:val="00085B08"/>
    <w:rsid w:val="00085B54"/>
    <w:rsid w:val="00085B70"/>
    <w:rsid w:val="00085B95"/>
    <w:rsid w:val="00085B9F"/>
    <w:rsid w:val="00085BBE"/>
    <w:rsid w:val="00085BF7"/>
    <w:rsid w:val="00085C11"/>
    <w:rsid w:val="00085D2D"/>
    <w:rsid w:val="00085D42"/>
    <w:rsid w:val="00085DA1"/>
    <w:rsid w:val="00085DA5"/>
    <w:rsid w:val="00085DF1"/>
    <w:rsid w:val="00085E7B"/>
    <w:rsid w:val="00085EA5"/>
    <w:rsid w:val="00085EA8"/>
    <w:rsid w:val="00085ED6"/>
    <w:rsid w:val="00085EDA"/>
    <w:rsid w:val="00085EFC"/>
    <w:rsid w:val="00085EFF"/>
    <w:rsid w:val="00085FA5"/>
    <w:rsid w:val="00085FCD"/>
    <w:rsid w:val="00085FD7"/>
    <w:rsid w:val="00086024"/>
    <w:rsid w:val="00086076"/>
    <w:rsid w:val="000860D5"/>
    <w:rsid w:val="000860D9"/>
    <w:rsid w:val="000860DD"/>
    <w:rsid w:val="00086116"/>
    <w:rsid w:val="00086180"/>
    <w:rsid w:val="0008619F"/>
    <w:rsid w:val="000861CB"/>
    <w:rsid w:val="00086209"/>
    <w:rsid w:val="0008620A"/>
    <w:rsid w:val="00086234"/>
    <w:rsid w:val="0008624E"/>
    <w:rsid w:val="000862A5"/>
    <w:rsid w:val="000862B3"/>
    <w:rsid w:val="000862E7"/>
    <w:rsid w:val="0008631D"/>
    <w:rsid w:val="00086350"/>
    <w:rsid w:val="0008635F"/>
    <w:rsid w:val="0008637F"/>
    <w:rsid w:val="000863C7"/>
    <w:rsid w:val="000863CF"/>
    <w:rsid w:val="000863ED"/>
    <w:rsid w:val="00086414"/>
    <w:rsid w:val="00086418"/>
    <w:rsid w:val="0008641B"/>
    <w:rsid w:val="0008641F"/>
    <w:rsid w:val="0008643A"/>
    <w:rsid w:val="0008643C"/>
    <w:rsid w:val="000864CA"/>
    <w:rsid w:val="00086522"/>
    <w:rsid w:val="00086535"/>
    <w:rsid w:val="0008657B"/>
    <w:rsid w:val="00086599"/>
    <w:rsid w:val="000865C3"/>
    <w:rsid w:val="0008665B"/>
    <w:rsid w:val="00086668"/>
    <w:rsid w:val="00086675"/>
    <w:rsid w:val="000866B8"/>
    <w:rsid w:val="000866CC"/>
    <w:rsid w:val="00086749"/>
    <w:rsid w:val="00086768"/>
    <w:rsid w:val="00086790"/>
    <w:rsid w:val="000867B8"/>
    <w:rsid w:val="000867F0"/>
    <w:rsid w:val="00086900"/>
    <w:rsid w:val="00086911"/>
    <w:rsid w:val="00086913"/>
    <w:rsid w:val="0008692A"/>
    <w:rsid w:val="0008698D"/>
    <w:rsid w:val="00086A0B"/>
    <w:rsid w:val="00086A5D"/>
    <w:rsid w:val="00086AC2"/>
    <w:rsid w:val="00086AC4"/>
    <w:rsid w:val="00086AD5"/>
    <w:rsid w:val="00086ADB"/>
    <w:rsid w:val="00086AFB"/>
    <w:rsid w:val="00086B2B"/>
    <w:rsid w:val="00086B6C"/>
    <w:rsid w:val="00086B79"/>
    <w:rsid w:val="00086B9A"/>
    <w:rsid w:val="00086BF9"/>
    <w:rsid w:val="00086C14"/>
    <w:rsid w:val="00086D6D"/>
    <w:rsid w:val="00086E54"/>
    <w:rsid w:val="00086EDC"/>
    <w:rsid w:val="00086EE1"/>
    <w:rsid w:val="00086F35"/>
    <w:rsid w:val="00086F95"/>
    <w:rsid w:val="00086F9D"/>
    <w:rsid w:val="00086FC3"/>
    <w:rsid w:val="0008700C"/>
    <w:rsid w:val="000870B2"/>
    <w:rsid w:val="00087142"/>
    <w:rsid w:val="0008714C"/>
    <w:rsid w:val="0008715B"/>
    <w:rsid w:val="00087173"/>
    <w:rsid w:val="00087196"/>
    <w:rsid w:val="000871BD"/>
    <w:rsid w:val="00087235"/>
    <w:rsid w:val="0008724A"/>
    <w:rsid w:val="0008728F"/>
    <w:rsid w:val="000872D5"/>
    <w:rsid w:val="000872E8"/>
    <w:rsid w:val="00087326"/>
    <w:rsid w:val="00087327"/>
    <w:rsid w:val="0008740B"/>
    <w:rsid w:val="0008747F"/>
    <w:rsid w:val="000874B5"/>
    <w:rsid w:val="000874BF"/>
    <w:rsid w:val="000874E3"/>
    <w:rsid w:val="0008750C"/>
    <w:rsid w:val="000875A0"/>
    <w:rsid w:val="000875F4"/>
    <w:rsid w:val="0008764E"/>
    <w:rsid w:val="00087655"/>
    <w:rsid w:val="00087695"/>
    <w:rsid w:val="000876A6"/>
    <w:rsid w:val="000876BF"/>
    <w:rsid w:val="0008778A"/>
    <w:rsid w:val="0008780F"/>
    <w:rsid w:val="00087831"/>
    <w:rsid w:val="00087868"/>
    <w:rsid w:val="000878B2"/>
    <w:rsid w:val="000878C5"/>
    <w:rsid w:val="00087935"/>
    <w:rsid w:val="000879FB"/>
    <w:rsid w:val="00087A13"/>
    <w:rsid w:val="00087A87"/>
    <w:rsid w:val="00087ACC"/>
    <w:rsid w:val="00087ACD"/>
    <w:rsid w:val="00087ACE"/>
    <w:rsid w:val="00087AF3"/>
    <w:rsid w:val="00087B01"/>
    <w:rsid w:val="00087B30"/>
    <w:rsid w:val="00087B5F"/>
    <w:rsid w:val="00087BA2"/>
    <w:rsid w:val="00087BAC"/>
    <w:rsid w:val="00087C18"/>
    <w:rsid w:val="00087C72"/>
    <w:rsid w:val="00087D2F"/>
    <w:rsid w:val="00087D3A"/>
    <w:rsid w:val="00087D57"/>
    <w:rsid w:val="00087DD2"/>
    <w:rsid w:val="00087DE6"/>
    <w:rsid w:val="00087E47"/>
    <w:rsid w:val="00087E5C"/>
    <w:rsid w:val="00087EB1"/>
    <w:rsid w:val="00087ED6"/>
    <w:rsid w:val="00087EDF"/>
    <w:rsid w:val="00087EF5"/>
    <w:rsid w:val="00087F0D"/>
    <w:rsid w:val="00087F31"/>
    <w:rsid w:val="00087F3E"/>
    <w:rsid w:val="00087F4A"/>
    <w:rsid w:val="00087F4D"/>
    <w:rsid w:val="00087FDC"/>
    <w:rsid w:val="00087FFB"/>
    <w:rsid w:val="0008A6B6"/>
    <w:rsid w:val="0009000C"/>
    <w:rsid w:val="00090036"/>
    <w:rsid w:val="000900FE"/>
    <w:rsid w:val="0009018D"/>
    <w:rsid w:val="000901B9"/>
    <w:rsid w:val="00090212"/>
    <w:rsid w:val="0009022F"/>
    <w:rsid w:val="0009024C"/>
    <w:rsid w:val="000902A2"/>
    <w:rsid w:val="000902E1"/>
    <w:rsid w:val="00090330"/>
    <w:rsid w:val="00090340"/>
    <w:rsid w:val="00090356"/>
    <w:rsid w:val="00090390"/>
    <w:rsid w:val="000903C4"/>
    <w:rsid w:val="00090402"/>
    <w:rsid w:val="0009041E"/>
    <w:rsid w:val="00090462"/>
    <w:rsid w:val="00090492"/>
    <w:rsid w:val="00090512"/>
    <w:rsid w:val="00090520"/>
    <w:rsid w:val="0009056C"/>
    <w:rsid w:val="0009061C"/>
    <w:rsid w:val="00090635"/>
    <w:rsid w:val="00090658"/>
    <w:rsid w:val="0009069D"/>
    <w:rsid w:val="000906C7"/>
    <w:rsid w:val="000906FB"/>
    <w:rsid w:val="00090754"/>
    <w:rsid w:val="00090772"/>
    <w:rsid w:val="00090798"/>
    <w:rsid w:val="000907EB"/>
    <w:rsid w:val="000907F6"/>
    <w:rsid w:val="0009081B"/>
    <w:rsid w:val="00090825"/>
    <w:rsid w:val="00090842"/>
    <w:rsid w:val="00090877"/>
    <w:rsid w:val="00090888"/>
    <w:rsid w:val="000908BA"/>
    <w:rsid w:val="000908D9"/>
    <w:rsid w:val="000908DD"/>
    <w:rsid w:val="000909F8"/>
    <w:rsid w:val="00090A19"/>
    <w:rsid w:val="00090A8E"/>
    <w:rsid w:val="00090AC2"/>
    <w:rsid w:val="00090B87"/>
    <w:rsid w:val="00090B88"/>
    <w:rsid w:val="00090BEB"/>
    <w:rsid w:val="00090BFF"/>
    <w:rsid w:val="00090C9B"/>
    <w:rsid w:val="00090CB2"/>
    <w:rsid w:val="00090CBD"/>
    <w:rsid w:val="00090CE8"/>
    <w:rsid w:val="00090D0D"/>
    <w:rsid w:val="00090D28"/>
    <w:rsid w:val="00090D33"/>
    <w:rsid w:val="00090D3C"/>
    <w:rsid w:val="00090D49"/>
    <w:rsid w:val="00090D82"/>
    <w:rsid w:val="00090D8F"/>
    <w:rsid w:val="00090DA0"/>
    <w:rsid w:val="00090DD1"/>
    <w:rsid w:val="00090E76"/>
    <w:rsid w:val="00090E82"/>
    <w:rsid w:val="00090E9F"/>
    <w:rsid w:val="00090EB5"/>
    <w:rsid w:val="00090EC2"/>
    <w:rsid w:val="00090EF9"/>
    <w:rsid w:val="00090F90"/>
    <w:rsid w:val="00091013"/>
    <w:rsid w:val="00091036"/>
    <w:rsid w:val="0009108E"/>
    <w:rsid w:val="000910D7"/>
    <w:rsid w:val="00091134"/>
    <w:rsid w:val="0009123D"/>
    <w:rsid w:val="00091243"/>
    <w:rsid w:val="00091250"/>
    <w:rsid w:val="00091298"/>
    <w:rsid w:val="00091350"/>
    <w:rsid w:val="00091356"/>
    <w:rsid w:val="00091370"/>
    <w:rsid w:val="00091389"/>
    <w:rsid w:val="00091452"/>
    <w:rsid w:val="0009148A"/>
    <w:rsid w:val="000914DA"/>
    <w:rsid w:val="00091518"/>
    <w:rsid w:val="000915AB"/>
    <w:rsid w:val="000915C4"/>
    <w:rsid w:val="000915DA"/>
    <w:rsid w:val="000915F4"/>
    <w:rsid w:val="000915F7"/>
    <w:rsid w:val="00091677"/>
    <w:rsid w:val="0009168A"/>
    <w:rsid w:val="000916F7"/>
    <w:rsid w:val="00091706"/>
    <w:rsid w:val="0009170C"/>
    <w:rsid w:val="00091753"/>
    <w:rsid w:val="0009175C"/>
    <w:rsid w:val="000917AB"/>
    <w:rsid w:val="000917B9"/>
    <w:rsid w:val="000918BD"/>
    <w:rsid w:val="000918C7"/>
    <w:rsid w:val="00091905"/>
    <w:rsid w:val="00091969"/>
    <w:rsid w:val="000919B0"/>
    <w:rsid w:val="00091A4F"/>
    <w:rsid w:val="00091AC9"/>
    <w:rsid w:val="00091BC1"/>
    <w:rsid w:val="00091BDF"/>
    <w:rsid w:val="00091C0B"/>
    <w:rsid w:val="00091C69"/>
    <w:rsid w:val="00091CF4"/>
    <w:rsid w:val="00091DC1"/>
    <w:rsid w:val="00091DE5"/>
    <w:rsid w:val="00091E01"/>
    <w:rsid w:val="00091E07"/>
    <w:rsid w:val="00091E1C"/>
    <w:rsid w:val="00091E8D"/>
    <w:rsid w:val="00091EA7"/>
    <w:rsid w:val="00091F26"/>
    <w:rsid w:val="00091FD9"/>
    <w:rsid w:val="00091FEC"/>
    <w:rsid w:val="00092039"/>
    <w:rsid w:val="0009204F"/>
    <w:rsid w:val="00092066"/>
    <w:rsid w:val="00092082"/>
    <w:rsid w:val="00092087"/>
    <w:rsid w:val="0009213D"/>
    <w:rsid w:val="0009213F"/>
    <w:rsid w:val="00092196"/>
    <w:rsid w:val="000921D0"/>
    <w:rsid w:val="00092208"/>
    <w:rsid w:val="00092225"/>
    <w:rsid w:val="0009232E"/>
    <w:rsid w:val="0009232F"/>
    <w:rsid w:val="0009237B"/>
    <w:rsid w:val="00092380"/>
    <w:rsid w:val="000923EA"/>
    <w:rsid w:val="00092416"/>
    <w:rsid w:val="00092436"/>
    <w:rsid w:val="00092465"/>
    <w:rsid w:val="00092489"/>
    <w:rsid w:val="000924B2"/>
    <w:rsid w:val="00092588"/>
    <w:rsid w:val="000925B1"/>
    <w:rsid w:val="00092603"/>
    <w:rsid w:val="0009260D"/>
    <w:rsid w:val="0009263C"/>
    <w:rsid w:val="00092651"/>
    <w:rsid w:val="00092676"/>
    <w:rsid w:val="00092693"/>
    <w:rsid w:val="00092694"/>
    <w:rsid w:val="00092699"/>
    <w:rsid w:val="000926A6"/>
    <w:rsid w:val="00092721"/>
    <w:rsid w:val="00092748"/>
    <w:rsid w:val="00092800"/>
    <w:rsid w:val="00092802"/>
    <w:rsid w:val="00092870"/>
    <w:rsid w:val="000928A2"/>
    <w:rsid w:val="000928A8"/>
    <w:rsid w:val="000928CD"/>
    <w:rsid w:val="000928DB"/>
    <w:rsid w:val="000928E7"/>
    <w:rsid w:val="00092940"/>
    <w:rsid w:val="00092964"/>
    <w:rsid w:val="000929FC"/>
    <w:rsid w:val="000929FF"/>
    <w:rsid w:val="00092A48"/>
    <w:rsid w:val="00092A9B"/>
    <w:rsid w:val="00092AC9"/>
    <w:rsid w:val="00092B3D"/>
    <w:rsid w:val="00092BD8"/>
    <w:rsid w:val="00092BFD"/>
    <w:rsid w:val="00092C04"/>
    <w:rsid w:val="00092C69"/>
    <w:rsid w:val="00092D06"/>
    <w:rsid w:val="00092DD2"/>
    <w:rsid w:val="00092E40"/>
    <w:rsid w:val="00092EB1"/>
    <w:rsid w:val="00092EF3"/>
    <w:rsid w:val="00092F5E"/>
    <w:rsid w:val="00093015"/>
    <w:rsid w:val="000930C0"/>
    <w:rsid w:val="000930EB"/>
    <w:rsid w:val="00093105"/>
    <w:rsid w:val="0009312B"/>
    <w:rsid w:val="0009315C"/>
    <w:rsid w:val="00093168"/>
    <w:rsid w:val="000931C5"/>
    <w:rsid w:val="00093248"/>
    <w:rsid w:val="0009324B"/>
    <w:rsid w:val="0009326E"/>
    <w:rsid w:val="00093275"/>
    <w:rsid w:val="0009327D"/>
    <w:rsid w:val="0009328A"/>
    <w:rsid w:val="000932AF"/>
    <w:rsid w:val="000932F2"/>
    <w:rsid w:val="000932FD"/>
    <w:rsid w:val="000933F9"/>
    <w:rsid w:val="00093404"/>
    <w:rsid w:val="00093445"/>
    <w:rsid w:val="00093493"/>
    <w:rsid w:val="000934A8"/>
    <w:rsid w:val="000934E3"/>
    <w:rsid w:val="000934EF"/>
    <w:rsid w:val="00093529"/>
    <w:rsid w:val="0009356F"/>
    <w:rsid w:val="00093574"/>
    <w:rsid w:val="00093587"/>
    <w:rsid w:val="0009359C"/>
    <w:rsid w:val="000935C2"/>
    <w:rsid w:val="00093657"/>
    <w:rsid w:val="0009367C"/>
    <w:rsid w:val="00093689"/>
    <w:rsid w:val="000936BD"/>
    <w:rsid w:val="000936E9"/>
    <w:rsid w:val="000936F2"/>
    <w:rsid w:val="000936F8"/>
    <w:rsid w:val="000937BA"/>
    <w:rsid w:val="000937FE"/>
    <w:rsid w:val="00093818"/>
    <w:rsid w:val="00093828"/>
    <w:rsid w:val="0009387F"/>
    <w:rsid w:val="000938D7"/>
    <w:rsid w:val="00093932"/>
    <w:rsid w:val="00093969"/>
    <w:rsid w:val="00093974"/>
    <w:rsid w:val="000939B8"/>
    <w:rsid w:val="000939E1"/>
    <w:rsid w:val="000939E2"/>
    <w:rsid w:val="000939E8"/>
    <w:rsid w:val="000939F0"/>
    <w:rsid w:val="00093A11"/>
    <w:rsid w:val="00093B18"/>
    <w:rsid w:val="00093BA1"/>
    <w:rsid w:val="00093C2F"/>
    <w:rsid w:val="00093C48"/>
    <w:rsid w:val="00093C4D"/>
    <w:rsid w:val="00093C61"/>
    <w:rsid w:val="00093C6D"/>
    <w:rsid w:val="00093D34"/>
    <w:rsid w:val="00093D59"/>
    <w:rsid w:val="00093D9F"/>
    <w:rsid w:val="00093E24"/>
    <w:rsid w:val="00093E30"/>
    <w:rsid w:val="00093F15"/>
    <w:rsid w:val="00093FB0"/>
    <w:rsid w:val="00093FC0"/>
    <w:rsid w:val="0009402F"/>
    <w:rsid w:val="0009407A"/>
    <w:rsid w:val="00094086"/>
    <w:rsid w:val="000940E1"/>
    <w:rsid w:val="000940EF"/>
    <w:rsid w:val="000940F2"/>
    <w:rsid w:val="00094135"/>
    <w:rsid w:val="0009413D"/>
    <w:rsid w:val="00094186"/>
    <w:rsid w:val="000941A5"/>
    <w:rsid w:val="00094230"/>
    <w:rsid w:val="00094253"/>
    <w:rsid w:val="0009426F"/>
    <w:rsid w:val="00094273"/>
    <w:rsid w:val="00094279"/>
    <w:rsid w:val="00094303"/>
    <w:rsid w:val="00094314"/>
    <w:rsid w:val="00094320"/>
    <w:rsid w:val="00094328"/>
    <w:rsid w:val="0009432F"/>
    <w:rsid w:val="00094354"/>
    <w:rsid w:val="00094379"/>
    <w:rsid w:val="000943B0"/>
    <w:rsid w:val="000943B1"/>
    <w:rsid w:val="0009444C"/>
    <w:rsid w:val="00094482"/>
    <w:rsid w:val="00094539"/>
    <w:rsid w:val="000945DD"/>
    <w:rsid w:val="000946C1"/>
    <w:rsid w:val="000946E0"/>
    <w:rsid w:val="00094710"/>
    <w:rsid w:val="0009471C"/>
    <w:rsid w:val="0009471D"/>
    <w:rsid w:val="0009478F"/>
    <w:rsid w:val="000947BC"/>
    <w:rsid w:val="00094803"/>
    <w:rsid w:val="000948F2"/>
    <w:rsid w:val="00094926"/>
    <w:rsid w:val="000949B8"/>
    <w:rsid w:val="000949C2"/>
    <w:rsid w:val="000949C7"/>
    <w:rsid w:val="00094A1A"/>
    <w:rsid w:val="00094A1B"/>
    <w:rsid w:val="00094A52"/>
    <w:rsid w:val="00094ABF"/>
    <w:rsid w:val="00094B12"/>
    <w:rsid w:val="00094B2D"/>
    <w:rsid w:val="00094BED"/>
    <w:rsid w:val="00094BFF"/>
    <w:rsid w:val="00094C8B"/>
    <w:rsid w:val="00094C8F"/>
    <w:rsid w:val="00094C92"/>
    <w:rsid w:val="00094DCD"/>
    <w:rsid w:val="00094DFB"/>
    <w:rsid w:val="00094E0F"/>
    <w:rsid w:val="00094E2F"/>
    <w:rsid w:val="00094E5C"/>
    <w:rsid w:val="00094E5D"/>
    <w:rsid w:val="00094E66"/>
    <w:rsid w:val="00094EA9"/>
    <w:rsid w:val="00094EF3"/>
    <w:rsid w:val="00094F05"/>
    <w:rsid w:val="00094F07"/>
    <w:rsid w:val="00094FAA"/>
    <w:rsid w:val="00094FBA"/>
    <w:rsid w:val="00095006"/>
    <w:rsid w:val="00095087"/>
    <w:rsid w:val="000950B2"/>
    <w:rsid w:val="000950E6"/>
    <w:rsid w:val="0009510A"/>
    <w:rsid w:val="00095118"/>
    <w:rsid w:val="0009519E"/>
    <w:rsid w:val="000951F6"/>
    <w:rsid w:val="00095201"/>
    <w:rsid w:val="00095210"/>
    <w:rsid w:val="0009524C"/>
    <w:rsid w:val="0009524F"/>
    <w:rsid w:val="00095251"/>
    <w:rsid w:val="00095258"/>
    <w:rsid w:val="00095264"/>
    <w:rsid w:val="00095294"/>
    <w:rsid w:val="0009529D"/>
    <w:rsid w:val="000952C8"/>
    <w:rsid w:val="0009530A"/>
    <w:rsid w:val="0009530B"/>
    <w:rsid w:val="00095348"/>
    <w:rsid w:val="0009534F"/>
    <w:rsid w:val="00095363"/>
    <w:rsid w:val="00095384"/>
    <w:rsid w:val="000953D0"/>
    <w:rsid w:val="00095428"/>
    <w:rsid w:val="00095516"/>
    <w:rsid w:val="0009558F"/>
    <w:rsid w:val="00095647"/>
    <w:rsid w:val="00095680"/>
    <w:rsid w:val="00095698"/>
    <w:rsid w:val="000956BA"/>
    <w:rsid w:val="00095709"/>
    <w:rsid w:val="00095714"/>
    <w:rsid w:val="00095754"/>
    <w:rsid w:val="0009575B"/>
    <w:rsid w:val="0009577C"/>
    <w:rsid w:val="000957F1"/>
    <w:rsid w:val="00095814"/>
    <w:rsid w:val="0009581A"/>
    <w:rsid w:val="00095822"/>
    <w:rsid w:val="00095879"/>
    <w:rsid w:val="00095884"/>
    <w:rsid w:val="00095892"/>
    <w:rsid w:val="000958C8"/>
    <w:rsid w:val="000958E4"/>
    <w:rsid w:val="0009592F"/>
    <w:rsid w:val="0009595D"/>
    <w:rsid w:val="0009597A"/>
    <w:rsid w:val="000959FB"/>
    <w:rsid w:val="00095A46"/>
    <w:rsid w:val="00095A57"/>
    <w:rsid w:val="00095B35"/>
    <w:rsid w:val="00095B3C"/>
    <w:rsid w:val="00095BED"/>
    <w:rsid w:val="00095C38"/>
    <w:rsid w:val="00095CD3"/>
    <w:rsid w:val="00095D3E"/>
    <w:rsid w:val="00095DAE"/>
    <w:rsid w:val="00095E40"/>
    <w:rsid w:val="00095E7A"/>
    <w:rsid w:val="00095E7C"/>
    <w:rsid w:val="00095ECB"/>
    <w:rsid w:val="00095F05"/>
    <w:rsid w:val="00095FEE"/>
    <w:rsid w:val="00096023"/>
    <w:rsid w:val="0009603A"/>
    <w:rsid w:val="00096074"/>
    <w:rsid w:val="0009607C"/>
    <w:rsid w:val="0009609A"/>
    <w:rsid w:val="000960A0"/>
    <w:rsid w:val="000960B1"/>
    <w:rsid w:val="000960C5"/>
    <w:rsid w:val="00096106"/>
    <w:rsid w:val="0009610D"/>
    <w:rsid w:val="00096115"/>
    <w:rsid w:val="00096117"/>
    <w:rsid w:val="0009614E"/>
    <w:rsid w:val="0009617C"/>
    <w:rsid w:val="0009617F"/>
    <w:rsid w:val="000961A7"/>
    <w:rsid w:val="000961D0"/>
    <w:rsid w:val="000961FF"/>
    <w:rsid w:val="00096211"/>
    <w:rsid w:val="00096233"/>
    <w:rsid w:val="0009634D"/>
    <w:rsid w:val="00096359"/>
    <w:rsid w:val="00096370"/>
    <w:rsid w:val="00096393"/>
    <w:rsid w:val="000963B6"/>
    <w:rsid w:val="0009641E"/>
    <w:rsid w:val="000964C9"/>
    <w:rsid w:val="0009664F"/>
    <w:rsid w:val="00096665"/>
    <w:rsid w:val="00096691"/>
    <w:rsid w:val="000966CE"/>
    <w:rsid w:val="00096789"/>
    <w:rsid w:val="0009678F"/>
    <w:rsid w:val="00096858"/>
    <w:rsid w:val="00096859"/>
    <w:rsid w:val="00096877"/>
    <w:rsid w:val="000968A9"/>
    <w:rsid w:val="000968CB"/>
    <w:rsid w:val="00096903"/>
    <w:rsid w:val="00096965"/>
    <w:rsid w:val="000969BE"/>
    <w:rsid w:val="000969DF"/>
    <w:rsid w:val="00096A22"/>
    <w:rsid w:val="00096A64"/>
    <w:rsid w:val="00096AD0"/>
    <w:rsid w:val="00096AEA"/>
    <w:rsid w:val="00096B76"/>
    <w:rsid w:val="00096BB7"/>
    <w:rsid w:val="00096C00"/>
    <w:rsid w:val="00096C1E"/>
    <w:rsid w:val="00096C57"/>
    <w:rsid w:val="00096C86"/>
    <w:rsid w:val="00096CDE"/>
    <w:rsid w:val="00096D36"/>
    <w:rsid w:val="00096D90"/>
    <w:rsid w:val="00096DA6"/>
    <w:rsid w:val="00096DCD"/>
    <w:rsid w:val="00096E19"/>
    <w:rsid w:val="00096E40"/>
    <w:rsid w:val="00096E75"/>
    <w:rsid w:val="00096ED5"/>
    <w:rsid w:val="00096EF9"/>
    <w:rsid w:val="00096F06"/>
    <w:rsid w:val="00096F42"/>
    <w:rsid w:val="00097000"/>
    <w:rsid w:val="0009705A"/>
    <w:rsid w:val="00097087"/>
    <w:rsid w:val="00097170"/>
    <w:rsid w:val="000971C3"/>
    <w:rsid w:val="000971CC"/>
    <w:rsid w:val="000971E9"/>
    <w:rsid w:val="0009722C"/>
    <w:rsid w:val="0009727D"/>
    <w:rsid w:val="000972B3"/>
    <w:rsid w:val="0009732B"/>
    <w:rsid w:val="0009733A"/>
    <w:rsid w:val="00097367"/>
    <w:rsid w:val="00097384"/>
    <w:rsid w:val="0009738F"/>
    <w:rsid w:val="00097394"/>
    <w:rsid w:val="000973A6"/>
    <w:rsid w:val="000973B1"/>
    <w:rsid w:val="000973C5"/>
    <w:rsid w:val="000973D8"/>
    <w:rsid w:val="000973E4"/>
    <w:rsid w:val="0009745F"/>
    <w:rsid w:val="000974A2"/>
    <w:rsid w:val="000974FC"/>
    <w:rsid w:val="00097521"/>
    <w:rsid w:val="00097545"/>
    <w:rsid w:val="00097682"/>
    <w:rsid w:val="000976A4"/>
    <w:rsid w:val="000977CF"/>
    <w:rsid w:val="00097827"/>
    <w:rsid w:val="00097846"/>
    <w:rsid w:val="00097859"/>
    <w:rsid w:val="000978BA"/>
    <w:rsid w:val="000978CA"/>
    <w:rsid w:val="000978F0"/>
    <w:rsid w:val="00097933"/>
    <w:rsid w:val="00097946"/>
    <w:rsid w:val="00097967"/>
    <w:rsid w:val="00097973"/>
    <w:rsid w:val="000979AB"/>
    <w:rsid w:val="000979DF"/>
    <w:rsid w:val="00097A1D"/>
    <w:rsid w:val="00097A2A"/>
    <w:rsid w:val="00097A3B"/>
    <w:rsid w:val="00097A87"/>
    <w:rsid w:val="00097B15"/>
    <w:rsid w:val="00097B26"/>
    <w:rsid w:val="00097BAE"/>
    <w:rsid w:val="00097C04"/>
    <w:rsid w:val="00097C17"/>
    <w:rsid w:val="00097C71"/>
    <w:rsid w:val="00097C8F"/>
    <w:rsid w:val="00097CA5"/>
    <w:rsid w:val="00097CD3"/>
    <w:rsid w:val="00097CE7"/>
    <w:rsid w:val="00097CEE"/>
    <w:rsid w:val="00097D3A"/>
    <w:rsid w:val="00097D77"/>
    <w:rsid w:val="00097DA3"/>
    <w:rsid w:val="00097DC9"/>
    <w:rsid w:val="00097DCF"/>
    <w:rsid w:val="00097E52"/>
    <w:rsid w:val="00097EBF"/>
    <w:rsid w:val="00097EE9"/>
    <w:rsid w:val="00097EF9"/>
    <w:rsid w:val="00097F01"/>
    <w:rsid w:val="00097F1A"/>
    <w:rsid w:val="00097F6B"/>
    <w:rsid w:val="00097F8E"/>
    <w:rsid w:val="00097FD1"/>
    <w:rsid w:val="00097FE6"/>
    <w:rsid w:val="00097FFB"/>
    <w:rsid w:val="000A00A7"/>
    <w:rsid w:val="000A013E"/>
    <w:rsid w:val="000A0146"/>
    <w:rsid w:val="000A0157"/>
    <w:rsid w:val="000A01ED"/>
    <w:rsid w:val="000A01F3"/>
    <w:rsid w:val="000A01F6"/>
    <w:rsid w:val="000A02E9"/>
    <w:rsid w:val="000A0323"/>
    <w:rsid w:val="000A0371"/>
    <w:rsid w:val="000A03A9"/>
    <w:rsid w:val="000A03E4"/>
    <w:rsid w:val="000A03EF"/>
    <w:rsid w:val="000A041C"/>
    <w:rsid w:val="000A042C"/>
    <w:rsid w:val="000A0463"/>
    <w:rsid w:val="000A0474"/>
    <w:rsid w:val="000A048F"/>
    <w:rsid w:val="000A04B7"/>
    <w:rsid w:val="000A04F0"/>
    <w:rsid w:val="000A0541"/>
    <w:rsid w:val="000A05DC"/>
    <w:rsid w:val="000A0661"/>
    <w:rsid w:val="000A068A"/>
    <w:rsid w:val="000A069B"/>
    <w:rsid w:val="000A06B3"/>
    <w:rsid w:val="000A0703"/>
    <w:rsid w:val="000A070F"/>
    <w:rsid w:val="000A073A"/>
    <w:rsid w:val="000A0767"/>
    <w:rsid w:val="000A079E"/>
    <w:rsid w:val="000A0802"/>
    <w:rsid w:val="000A0826"/>
    <w:rsid w:val="000A08BE"/>
    <w:rsid w:val="000A08E6"/>
    <w:rsid w:val="000A08FE"/>
    <w:rsid w:val="000A09B0"/>
    <w:rsid w:val="000A09E4"/>
    <w:rsid w:val="000A09F0"/>
    <w:rsid w:val="000A09FD"/>
    <w:rsid w:val="000A0A08"/>
    <w:rsid w:val="000A0A4F"/>
    <w:rsid w:val="000A0A55"/>
    <w:rsid w:val="000A0AD2"/>
    <w:rsid w:val="000A0B2D"/>
    <w:rsid w:val="000A0BC2"/>
    <w:rsid w:val="000A0BD7"/>
    <w:rsid w:val="000A0C82"/>
    <w:rsid w:val="000A0D0B"/>
    <w:rsid w:val="000A0D10"/>
    <w:rsid w:val="000A0D70"/>
    <w:rsid w:val="000A0DC4"/>
    <w:rsid w:val="000A0E4D"/>
    <w:rsid w:val="000A0E79"/>
    <w:rsid w:val="000A0E87"/>
    <w:rsid w:val="000A0EEF"/>
    <w:rsid w:val="000A0F20"/>
    <w:rsid w:val="000A0F2B"/>
    <w:rsid w:val="000A0FA0"/>
    <w:rsid w:val="000A100C"/>
    <w:rsid w:val="000A1010"/>
    <w:rsid w:val="000A101B"/>
    <w:rsid w:val="000A104F"/>
    <w:rsid w:val="000A105A"/>
    <w:rsid w:val="000A1123"/>
    <w:rsid w:val="000A1188"/>
    <w:rsid w:val="000A118B"/>
    <w:rsid w:val="000A1191"/>
    <w:rsid w:val="000A1248"/>
    <w:rsid w:val="000A124B"/>
    <w:rsid w:val="000A1278"/>
    <w:rsid w:val="000A12D3"/>
    <w:rsid w:val="000A1334"/>
    <w:rsid w:val="000A1339"/>
    <w:rsid w:val="000A135D"/>
    <w:rsid w:val="000A1410"/>
    <w:rsid w:val="000A14B7"/>
    <w:rsid w:val="000A14C0"/>
    <w:rsid w:val="000A14C1"/>
    <w:rsid w:val="000A1505"/>
    <w:rsid w:val="000A1522"/>
    <w:rsid w:val="000A15CF"/>
    <w:rsid w:val="000A15FD"/>
    <w:rsid w:val="000A1643"/>
    <w:rsid w:val="000A165C"/>
    <w:rsid w:val="000A16A2"/>
    <w:rsid w:val="000A16BA"/>
    <w:rsid w:val="000A16D7"/>
    <w:rsid w:val="000A16F3"/>
    <w:rsid w:val="000A170F"/>
    <w:rsid w:val="000A1713"/>
    <w:rsid w:val="000A1771"/>
    <w:rsid w:val="000A178D"/>
    <w:rsid w:val="000A1821"/>
    <w:rsid w:val="000A1853"/>
    <w:rsid w:val="000A18F3"/>
    <w:rsid w:val="000A18FF"/>
    <w:rsid w:val="000A1926"/>
    <w:rsid w:val="000A194D"/>
    <w:rsid w:val="000A1A42"/>
    <w:rsid w:val="000A1A47"/>
    <w:rsid w:val="000A1ABA"/>
    <w:rsid w:val="000A1AD5"/>
    <w:rsid w:val="000A1B19"/>
    <w:rsid w:val="000A1B1D"/>
    <w:rsid w:val="000A1B53"/>
    <w:rsid w:val="000A1B60"/>
    <w:rsid w:val="000A1B9E"/>
    <w:rsid w:val="000A1BD5"/>
    <w:rsid w:val="000A1BE0"/>
    <w:rsid w:val="000A1BE1"/>
    <w:rsid w:val="000A1C6C"/>
    <w:rsid w:val="000A1CDF"/>
    <w:rsid w:val="000A1CFA"/>
    <w:rsid w:val="000A1CFF"/>
    <w:rsid w:val="000A1D9A"/>
    <w:rsid w:val="000A1DA8"/>
    <w:rsid w:val="000A1DBC"/>
    <w:rsid w:val="000A1DF7"/>
    <w:rsid w:val="000A1E25"/>
    <w:rsid w:val="000A1E42"/>
    <w:rsid w:val="000A1EB5"/>
    <w:rsid w:val="000A1EDC"/>
    <w:rsid w:val="000A1EFD"/>
    <w:rsid w:val="000A1F07"/>
    <w:rsid w:val="000A1F5F"/>
    <w:rsid w:val="000A1F64"/>
    <w:rsid w:val="000A1F77"/>
    <w:rsid w:val="000A1F92"/>
    <w:rsid w:val="000A1FEC"/>
    <w:rsid w:val="000A204D"/>
    <w:rsid w:val="000A2089"/>
    <w:rsid w:val="000A20A7"/>
    <w:rsid w:val="000A20AB"/>
    <w:rsid w:val="000A20B3"/>
    <w:rsid w:val="000A20D1"/>
    <w:rsid w:val="000A20E6"/>
    <w:rsid w:val="000A20EE"/>
    <w:rsid w:val="000A2164"/>
    <w:rsid w:val="000A21E7"/>
    <w:rsid w:val="000A222C"/>
    <w:rsid w:val="000A2277"/>
    <w:rsid w:val="000A22AB"/>
    <w:rsid w:val="000A2325"/>
    <w:rsid w:val="000A23B3"/>
    <w:rsid w:val="000A2425"/>
    <w:rsid w:val="000A242E"/>
    <w:rsid w:val="000A245E"/>
    <w:rsid w:val="000A24AE"/>
    <w:rsid w:val="000A252D"/>
    <w:rsid w:val="000A2557"/>
    <w:rsid w:val="000A257E"/>
    <w:rsid w:val="000A2638"/>
    <w:rsid w:val="000A2717"/>
    <w:rsid w:val="000A2731"/>
    <w:rsid w:val="000A2737"/>
    <w:rsid w:val="000A2773"/>
    <w:rsid w:val="000A277C"/>
    <w:rsid w:val="000A2781"/>
    <w:rsid w:val="000A27F0"/>
    <w:rsid w:val="000A27FC"/>
    <w:rsid w:val="000A2886"/>
    <w:rsid w:val="000A28CC"/>
    <w:rsid w:val="000A2921"/>
    <w:rsid w:val="000A295F"/>
    <w:rsid w:val="000A2965"/>
    <w:rsid w:val="000A29B6"/>
    <w:rsid w:val="000A2A39"/>
    <w:rsid w:val="000A2A4C"/>
    <w:rsid w:val="000A2A70"/>
    <w:rsid w:val="000A2A8B"/>
    <w:rsid w:val="000A2AB6"/>
    <w:rsid w:val="000A2B79"/>
    <w:rsid w:val="000A2B96"/>
    <w:rsid w:val="000A2BDF"/>
    <w:rsid w:val="000A2C04"/>
    <w:rsid w:val="000A2C18"/>
    <w:rsid w:val="000A2C34"/>
    <w:rsid w:val="000A2C94"/>
    <w:rsid w:val="000A2CB3"/>
    <w:rsid w:val="000A2CD8"/>
    <w:rsid w:val="000A2CE9"/>
    <w:rsid w:val="000A2E91"/>
    <w:rsid w:val="000A2EA9"/>
    <w:rsid w:val="000A2ED8"/>
    <w:rsid w:val="000A300D"/>
    <w:rsid w:val="000A3054"/>
    <w:rsid w:val="000A305C"/>
    <w:rsid w:val="000A3062"/>
    <w:rsid w:val="000A3092"/>
    <w:rsid w:val="000A30A5"/>
    <w:rsid w:val="000A313D"/>
    <w:rsid w:val="000A31B2"/>
    <w:rsid w:val="000A31BA"/>
    <w:rsid w:val="000A320A"/>
    <w:rsid w:val="000A320B"/>
    <w:rsid w:val="000A3235"/>
    <w:rsid w:val="000A32A7"/>
    <w:rsid w:val="000A32ED"/>
    <w:rsid w:val="000A32F3"/>
    <w:rsid w:val="000A3301"/>
    <w:rsid w:val="000A3315"/>
    <w:rsid w:val="000A3403"/>
    <w:rsid w:val="000A341C"/>
    <w:rsid w:val="000A34DC"/>
    <w:rsid w:val="000A3518"/>
    <w:rsid w:val="000A3547"/>
    <w:rsid w:val="000A35AA"/>
    <w:rsid w:val="000A35B4"/>
    <w:rsid w:val="000A35C5"/>
    <w:rsid w:val="000A35C7"/>
    <w:rsid w:val="000A35CC"/>
    <w:rsid w:val="000A35F5"/>
    <w:rsid w:val="000A364C"/>
    <w:rsid w:val="000A36D3"/>
    <w:rsid w:val="000A36FF"/>
    <w:rsid w:val="000A3713"/>
    <w:rsid w:val="000A3770"/>
    <w:rsid w:val="000A377D"/>
    <w:rsid w:val="000A37BC"/>
    <w:rsid w:val="000A37C0"/>
    <w:rsid w:val="000A37E6"/>
    <w:rsid w:val="000A3802"/>
    <w:rsid w:val="000A385D"/>
    <w:rsid w:val="000A3862"/>
    <w:rsid w:val="000A3870"/>
    <w:rsid w:val="000A38B6"/>
    <w:rsid w:val="000A38C4"/>
    <w:rsid w:val="000A38EA"/>
    <w:rsid w:val="000A3900"/>
    <w:rsid w:val="000A3948"/>
    <w:rsid w:val="000A396D"/>
    <w:rsid w:val="000A3974"/>
    <w:rsid w:val="000A3A0F"/>
    <w:rsid w:val="000A3A1F"/>
    <w:rsid w:val="000A3A45"/>
    <w:rsid w:val="000A3ABA"/>
    <w:rsid w:val="000A3B0A"/>
    <w:rsid w:val="000A3B4F"/>
    <w:rsid w:val="000A3B50"/>
    <w:rsid w:val="000A3B70"/>
    <w:rsid w:val="000A3BF7"/>
    <w:rsid w:val="000A3BF9"/>
    <w:rsid w:val="000A3C1D"/>
    <w:rsid w:val="000A3C35"/>
    <w:rsid w:val="000A3C8D"/>
    <w:rsid w:val="000A3CE2"/>
    <w:rsid w:val="000A3D2B"/>
    <w:rsid w:val="000A3D50"/>
    <w:rsid w:val="000A3D5C"/>
    <w:rsid w:val="000A3D5D"/>
    <w:rsid w:val="000A3D95"/>
    <w:rsid w:val="000A3DB5"/>
    <w:rsid w:val="000A3DED"/>
    <w:rsid w:val="000A3F31"/>
    <w:rsid w:val="000A3F3F"/>
    <w:rsid w:val="000A4017"/>
    <w:rsid w:val="000A4029"/>
    <w:rsid w:val="000A4073"/>
    <w:rsid w:val="000A4141"/>
    <w:rsid w:val="000A414D"/>
    <w:rsid w:val="000A4173"/>
    <w:rsid w:val="000A41B1"/>
    <w:rsid w:val="000A41C4"/>
    <w:rsid w:val="000A420D"/>
    <w:rsid w:val="000A421A"/>
    <w:rsid w:val="000A424A"/>
    <w:rsid w:val="000A4279"/>
    <w:rsid w:val="000A42B2"/>
    <w:rsid w:val="000A430E"/>
    <w:rsid w:val="000A4311"/>
    <w:rsid w:val="000A431D"/>
    <w:rsid w:val="000A4325"/>
    <w:rsid w:val="000A434C"/>
    <w:rsid w:val="000A4367"/>
    <w:rsid w:val="000A4379"/>
    <w:rsid w:val="000A439E"/>
    <w:rsid w:val="000A43D7"/>
    <w:rsid w:val="000A43D8"/>
    <w:rsid w:val="000A44AD"/>
    <w:rsid w:val="000A44B1"/>
    <w:rsid w:val="000A4526"/>
    <w:rsid w:val="000A456F"/>
    <w:rsid w:val="000A45A1"/>
    <w:rsid w:val="000A4603"/>
    <w:rsid w:val="000A4687"/>
    <w:rsid w:val="000A46A9"/>
    <w:rsid w:val="000A46EF"/>
    <w:rsid w:val="000A46F9"/>
    <w:rsid w:val="000A4710"/>
    <w:rsid w:val="000A4713"/>
    <w:rsid w:val="000A490B"/>
    <w:rsid w:val="000A49C2"/>
    <w:rsid w:val="000A49C7"/>
    <w:rsid w:val="000A49CB"/>
    <w:rsid w:val="000A49FD"/>
    <w:rsid w:val="000A4A12"/>
    <w:rsid w:val="000A4A7D"/>
    <w:rsid w:val="000A4A9C"/>
    <w:rsid w:val="000A4AB2"/>
    <w:rsid w:val="000A4B14"/>
    <w:rsid w:val="000A4B6A"/>
    <w:rsid w:val="000A4C0F"/>
    <w:rsid w:val="000A4C16"/>
    <w:rsid w:val="000A4C26"/>
    <w:rsid w:val="000A4C31"/>
    <w:rsid w:val="000A4C42"/>
    <w:rsid w:val="000A4C71"/>
    <w:rsid w:val="000A4C82"/>
    <w:rsid w:val="000A4C8F"/>
    <w:rsid w:val="000A4C9B"/>
    <w:rsid w:val="000A4CB3"/>
    <w:rsid w:val="000A4CD8"/>
    <w:rsid w:val="000A4D63"/>
    <w:rsid w:val="000A4D9D"/>
    <w:rsid w:val="000A4DE9"/>
    <w:rsid w:val="000A4E9D"/>
    <w:rsid w:val="000A4F03"/>
    <w:rsid w:val="000A4F29"/>
    <w:rsid w:val="000A4F3D"/>
    <w:rsid w:val="000A4F90"/>
    <w:rsid w:val="000A4FAB"/>
    <w:rsid w:val="000A5012"/>
    <w:rsid w:val="000A501D"/>
    <w:rsid w:val="000A5038"/>
    <w:rsid w:val="000A5099"/>
    <w:rsid w:val="000A50C2"/>
    <w:rsid w:val="000A511D"/>
    <w:rsid w:val="000A513A"/>
    <w:rsid w:val="000A5167"/>
    <w:rsid w:val="000A51D7"/>
    <w:rsid w:val="000A51E5"/>
    <w:rsid w:val="000A52CC"/>
    <w:rsid w:val="000A5317"/>
    <w:rsid w:val="000A538E"/>
    <w:rsid w:val="000A53CB"/>
    <w:rsid w:val="000A545F"/>
    <w:rsid w:val="000A54E6"/>
    <w:rsid w:val="000A553C"/>
    <w:rsid w:val="000A56F8"/>
    <w:rsid w:val="000A570D"/>
    <w:rsid w:val="000A5729"/>
    <w:rsid w:val="000A5787"/>
    <w:rsid w:val="000A5792"/>
    <w:rsid w:val="000A57BE"/>
    <w:rsid w:val="000A57E4"/>
    <w:rsid w:val="000A57F5"/>
    <w:rsid w:val="000A5818"/>
    <w:rsid w:val="000A5850"/>
    <w:rsid w:val="000A585A"/>
    <w:rsid w:val="000A5861"/>
    <w:rsid w:val="000A5862"/>
    <w:rsid w:val="000A58D5"/>
    <w:rsid w:val="000A5906"/>
    <w:rsid w:val="000A5916"/>
    <w:rsid w:val="000A5948"/>
    <w:rsid w:val="000A5951"/>
    <w:rsid w:val="000A5A07"/>
    <w:rsid w:val="000A5A14"/>
    <w:rsid w:val="000A5AA3"/>
    <w:rsid w:val="000A5AAA"/>
    <w:rsid w:val="000A5AC9"/>
    <w:rsid w:val="000A5ADD"/>
    <w:rsid w:val="000A5B13"/>
    <w:rsid w:val="000A5B53"/>
    <w:rsid w:val="000A5B80"/>
    <w:rsid w:val="000A5BA2"/>
    <w:rsid w:val="000A5BBF"/>
    <w:rsid w:val="000A5BC5"/>
    <w:rsid w:val="000A5BD4"/>
    <w:rsid w:val="000A5C2A"/>
    <w:rsid w:val="000A5CCB"/>
    <w:rsid w:val="000A5CDF"/>
    <w:rsid w:val="000A5D3D"/>
    <w:rsid w:val="000A5D43"/>
    <w:rsid w:val="000A5D58"/>
    <w:rsid w:val="000A5D83"/>
    <w:rsid w:val="000A5DC3"/>
    <w:rsid w:val="000A5EA5"/>
    <w:rsid w:val="000A5ED2"/>
    <w:rsid w:val="000A5F59"/>
    <w:rsid w:val="000A5F5F"/>
    <w:rsid w:val="000A5F60"/>
    <w:rsid w:val="000A5FF5"/>
    <w:rsid w:val="000A5FFE"/>
    <w:rsid w:val="000A6063"/>
    <w:rsid w:val="000A606C"/>
    <w:rsid w:val="000A60B8"/>
    <w:rsid w:val="000A60C0"/>
    <w:rsid w:val="000A60CD"/>
    <w:rsid w:val="000A60EF"/>
    <w:rsid w:val="000A6142"/>
    <w:rsid w:val="000A61A1"/>
    <w:rsid w:val="000A61C7"/>
    <w:rsid w:val="000A620C"/>
    <w:rsid w:val="000A625A"/>
    <w:rsid w:val="000A62ED"/>
    <w:rsid w:val="000A63A1"/>
    <w:rsid w:val="000A63C4"/>
    <w:rsid w:val="000A6405"/>
    <w:rsid w:val="000A6438"/>
    <w:rsid w:val="000A64BB"/>
    <w:rsid w:val="000A64CC"/>
    <w:rsid w:val="000A64F1"/>
    <w:rsid w:val="000A6502"/>
    <w:rsid w:val="000A655B"/>
    <w:rsid w:val="000A6561"/>
    <w:rsid w:val="000A656B"/>
    <w:rsid w:val="000A656D"/>
    <w:rsid w:val="000A65C4"/>
    <w:rsid w:val="000A65E3"/>
    <w:rsid w:val="000A6600"/>
    <w:rsid w:val="000A6657"/>
    <w:rsid w:val="000A6667"/>
    <w:rsid w:val="000A667B"/>
    <w:rsid w:val="000A6683"/>
    <w:rsid w:val="000A668F"/>
    <w:rsid w:val="000A6699"/>
    <w:rsid w:val="000A66B3"/>
    <w:rsid w:val="000A66F1"/>
    <w:rsid w:val="000A678D"/>
    <w:rsid w:val="000A67E3"/>
    <w:rsid w:val="000A6808"/>
    <w:rsid w:val="000A682E"/>
    <w:rsid w:val="000A6834"/>
    <w:rsid w:val="000A6868"/>
    <w:rsid w:val="000A687D"/>
    <w:rsid w:val="000A68A0"/>
    <w:rsid w:val="000A68C6"/>
    <w:rsid w:val="000A68E2"/>
    <w:rsid w:val="000A68FA"/>
    <w:rsid w:val="000A6902"/>
    <w:rsid w:val="000A690B"/>
    <w:rsid w:val="000A691B"/>
    <w:rsid w:val="000A6930"/>
    <w:rsid w:val="000A6958"/>
    <w:rsid w:val="000A6959"/>
    <w:rsid w:val="000A6987"/>
    <w:rsid w:val="000A69A4"/>
    <w:rsid w:val="000A69D1"/>
    <w:rsid w:val="000A6A07"/>
    <w:rsid w:val="000A6A24"/>
    <w:rsid w:val="000A6A50"/>
    <w:rsid w:val="000A6A7B"/>
    <w:rsid w:val="000A6AD9"/>
    <w:rsid w:val="000A6AF6"/>
    <w:rsid w:val="000A6BA2"/>
    <w:rsid w:val="000A6C1A"/>
    <w:rsid w:val="000A6C44"/>
    <w:rsid w:val="000A6C54"/>
    <w:rsid w:val="000A6CA7"/>
    <w:rsid w:val="000A6CDF"/>
    <w:rsid w:val="000A6CF5"/>
    <w:rsid w:val="000A6D06"/>
    <w:rsid w:val="000A6E05"/>
    <w:rsid w:val="000A6E37"/>
    <w:rsid w:val="000A6E98"/>
    <w:rsid w:val="000A6EE3"/>
    <w:rsid w:val="000A6EF3"/>
    <w:rsid w:val="000A6F0C"/>
    <w:rsid w:val="000A6F16"/>
    <w:rsid w:val="000A6F41"/>
    <w:rsid w:val="000A6FFC"/>
    <w:rsid w:val="000A7019"/>
    <w:rsid w:val="000A7040"/>
    <w:rsid w:val="000A7066"/>
    <w:rsid w:val="000A7067"/>
    <w:rsid w:val="000A7083"/>
    <w:rsid w:val="000A71BC"/>
    <w:rsid w:val="000A71C0"/>
    <w:rsid w:val="000A71EA"/>
    <w:rsid w:val="000A71F8"/>
    <w:rsid w:val="000A71FB"/>
    <w:rsid w:val="000A724A"/>
    <w:rsid w:val="000A7254"/>
    <w:rsid w:val="000A731D"/>
    <w:rsid w:val="000A731F"/>
    <w:rsid w:val="000A73AE"/>
    <w:rsid w:val="000A73B5"/>
    <w:rsid w:val="000A73E7"/>
    <w:rsid w:val="000A73F7"/>
    <w:rsid w:val="000A748F"/>
    <w:rsid w:val="000A74D3"/>
    <w:rsid w:val="000A7514"/>
    <w:rsid w:val="000A7537"/>
    <w:rsid w:val="000A7567"/>
    <w:rsid w:val="000A7574"/>
    <w:rsid w:val="000A75B0"/>
    <w:rsid w:val="000A763D"/>
    <w:rsid w:val="000A7692"/>
    <w:rsid w:val="000A76AA"/>
    <w:rsid w:val="000A76D0"/>
    <w:rsid w:val="000A7789"/>
    <w:rsid w:val="000A77C8"/>
    <w:rsid w:val="000A77FA"/>
    <w:rsid w:val="000A7827"/>
    <w:rsid w:val="000A78D0"/>
    <w:rsid w:val="000A7906"/>
    <w:rsid w:val="000A79B4"/>
    <w:rsid w:val="000A7A05"/>
    <w:rsid w:val="000A7A37"/>
    <w:rsid w:val="000A7A6A"/>
    <w:rsid w:val="000A7A71"/>
    <w:rsid w:val="000A7ABA"/>
    <w:rsid w:val="000A7AE6"/>
    <w:rsid w:val="000A7B77"/>
    <w:rsid w:val="000A7B84"/>
    <w:rsid w:val="000A7BB9"/>
    <w:rsid w:val="000A7C17"/>
    <w:rsid w:val="000A7C3F"/>
    <w:rsid w:val="000A7C9D"/>
    <w:rsid w:val="000A7D01"/>
    <w:rsid w:val="000A7D24"/>
    <w:rsid w:val="000A7D6F"/>
    <w:rsid w:val="000A7D73"/>
    <w:rsid w:val="000A7D8A"/>
    <w:rsid w:val="000A7DEA"/>
    <w:rsid w:val="000A7EB7"/>
    <w:rsid w:val="000A7EC0"/>
    <w:rsid w:val="000A7EDA"/>
    <w:rsid w:val="000A7EFC"/>
    <w:rsid w:val="000A7FD1"/>
    <w:rsid w:val="000A7FEC"/>
    <w:rsid w:val="000B004D"/>
    <w:rsid w:val="000B00BB"/>
    <w:rsid w:val="000B010B"/>
    <w:rsid w:val="000B0191"/>
    <w:rsid w:val="000B01D3"/>
    <w:rsid w:val="000B0200"/>
    <w:rsid w:val="000B0234"/>
    <w:rsid w:val="000B0276"/>
    <w:rsid w:val="000B02A4"/>
    <w:rsid w:val="000B02C1"/>
    <w:rsid w:val="000B0331"/>
    <w:rsid w:val="000B0365"/>
    <w:rsid w:val="000B03AF"/>
    <w:rsid w:val="000B03ED"/>
    <w:rsid w:val="000B0402"/>
    <w:rsid w:val="000B041B"/>
    <w:rsid w:val="000B0461"/>
    <w:rsid w:val="000B0477"/>
    <w:rsid w:val="000B0479"/>
    <w:rsid w:val="000B04F6"/>
    <w:rsid w:val="000B0514"/>
    <w:rsid w:val="000B0547"/>
    <w:rsid w:val="000B05AB"/>
    <w:rsid w:val="000B05D2"/>
    <w:rsid w:val="000B063C"/>
    <w:rsid w:val="000B06DE"/>
    <w:rsid w:val="000B0726"/>
    <w:rsid w:val="000B074F"/>
    <w:rsid w:val="000B0763"/>
    <w:rsid w:val="000B0773"/>
    <w:rsid w:val="000B078B"/>
    <w:rsid w:val="000B0822"/>
    <w:rsid w:val="000B0826"/>
    <w:rsid w:val="000B0841"/>
    <w:rsid w:val="000B0846"/>
    <w:rsid w:val="000B08DE"/>
    <w:rsid w:val="000B09C3"/>
    <w:rsid w:val="000B0A24"/>
    <w:rsid w:val="000B0A25"/>
    <w:rsid w:val="000B0A38"/>
    <w:rsid w:val="000B0A3C"/>
    <w:rsid w:val="000B0A59"/>
    <w:rsid w:val="000B0A96"/>
    <w:rsid w:val="000B0ACF"/>
    <w:rsid w:val="000B0AF5"/>
    <w:rsid w:val="000B0B27"/>
    <w:rsid w:val="000B0B2A"/>
    <w:rsid w:val="000B0B59"/>
    <w:rsid w:val="000B0B63"/>
    <w:rsid w:val="000B0BE3"/>
    <w:rsid w:val="000B0BF3"/>
    <w:rsid w:val="000B0BFC"/>
    <w:rsid w:val="000B0C31"/>
    <w:rsid w:val="000B0C83"/>
    <w:rsid w:val="000B0C9F"/>
    <w:rsid w:val="000B0DFC"/>
    <w:rsid w:val="000B0E18"/>
    <w:rsid w:val="000B0E2F"/>
    <w:rsid w:val="000B0E3E"/>
    <w:rsid w:val="000B0EBC"/>
    <w:rsid w:val="000B0EF8"/>
    <w:rsid w:val="000B0F66"/>
    <w:rsid w:val="000B0F7B"/>
    <w:rsid w:val="000B1009"/>
    <w:rsid w:val="000B101B"/>
    <w:rsid w:val="000B101F"/>
    <w:rsid w:val="000B103F"/>
    <w:rsid w:val="000B106F"/>
    <w:rsid w:val="000B1073"/>
    <w:rsid w:val="000B10CD"/>
    <w:rsid w:val="000B110A"/>
    <w:rsid w:val="000B1112"/>
    <w:rsid w:val="000B114A"/>
    <w:rsid w:val="000B1176"/>
    <w:rsid w:val="000B11C7"/>
    <w:rsid w:val="000B1233"/>
    <w:rsid w:val="000B12B6"/>
    <w:rsid w:val="000B12E3"/>
    <w:rsid w:val="000B12F7"/>
    <w:rsid w:val="000B1315"/>
    <w:rsid w:val="000B1318"/>
    <w:rsid w:val="000B131B"/>
    <w:rsid w:val="000B1361"/>
    <w:rsid w:val="000B136A"/>
    <w:rsid w:val="000B1412"/>
    <w:rsid w:val="000B1426"/>
    <w:rsid w:val="000B142D"/>
    <w:rsid w:val="000B1485"/>
    <w:rsid w:val="000B14A8"/>
    <w:rsid w:val="000B14CE"/>
    <w:rsid w:val="000B14EA"/>
    <w:rsid w:val="000B169C"/>
    <w:rsid w:val="000B169E"/>
    <w:rsid w:val="000B17AC"/>
    <w:rsid w:val="000B18DA"/>
    <w:rsid w:val="000B18DD"/>
    <w:rsid w:val="000B1993"/>
    <w:rsid w:val="000B19CB"/>
    <w:rsid w:val="000B19E1"/>
    <w:rsid w:val="000B1A86"/>
    <w:rsid w:val="000B1ACD"/>
    <w:rsid w:val="000B1B42"/>
    <w:rsid w:val="000B1ECB"/>
    <w:rsid w:val="000B1ECC"/>
    <w:rsid w:val="000B1ED2"/>
    <w:rsid w:val="000B1EF7"/>
    <w:rsid w:val="000B1F1B"/>
    <w:rsid w:val="000B1F6F"/>
    <w:rsid w:val="000B1F95"/>
    <w:rsid w:val="000B1FAF"/>
    <w:rsid w:val="000B1FBF"/>
    <w:rsid w:val="000B1FFF"/>
    <w:rsid w:val="000B2062"/>
    <w:rsid w:val="000B20CE"/>
    <w:rsid w:val="000B2117"/>
    <w:rsid w:val="000B212F"/>
    <w:rsid w:val="000B215E"/>
    <w:rsid w:val="000B21DE"/>
    <w:rsid w:val="000B224D"/>
    <w:rsid w:val="000B2250"/>
    <w:rsid w:val="000B22B0"/>
    <w:rsid w:val="000B22C3"/>
    <w:rsid w:val="000B2356"/>
    <w:rsid w:val="000B235C"/>
    <w:rsid w:val="000B2396"/>
    <w:rsid w:val="000B23A5"/>
    <w:rsid w:val="000B23CB"/>
    <w:rsid w:val="000B2405"/>
    <w:rsid w:val="000B2428"/>
    <w:rsid w:val="000B2462"/>
    <w:rsid w:val="000B2583"/>
    <w:rsid w:val="000B2588"/>
    <w:rsid w:val="000B25DE"/>
    <w:rsid w:val="000B25E2"/>
    <w:rsid w:val="000B264E"/>
    <w:rsid w:val="000B2662"/>
    <w:rsid w:val="000B2689"/>
    <w:rsid w:val="000B268E"/>
    <w:rsid w:val="000B26D1"/>
    <w:rsid w:val="000B2727"/>
    <w:rsid w:val="000B2758"/>
    <w:rsid w:val="000B2777"/>
    <w:rsid w:val="000B2794"/>
    <w:rsid w:val="000B27BE"/>
    <w:rsid w:val="000B27E1"/>
    <w:rsid w:val="000B2884"/>
    <w:rsid w:val="000B2889"/>
    <w:rsid w:val="000B28A6"/>
    <w:rsid w:val="000B298D"/>
    <w:rsid w:val="000B29A2"/>
    <w:rsid w:val="000B29A3"/>
    <w:rsid w:val="000B29AD"/>
    <w:rsid w:val="000B2A0C"/>
    <w:rsid w:val="000B2A37"/>
    <w:rsid w:val="000B2AD2"/>
    <w:rsid w:val="000B2B34"/>
    <w:rsid w:val="000B2B76"/>
    <w:rsid w:val="000B2BA7"/>
    <w:rsid w:val="000B2BEA"/>
    <w:rsid w:val="000B2C8A"/>
    <w:rsid w:val="000B2CA8"/>
    <w:rsid w:val="000B2CC7"/>
    <w:rsid w:val="000B2CDE"/>
    <w:rsid w:val="000B2D0D"/>
    <w:rsid w:val="000B2D50"/>
    <w:rsid w:val="000B2D6D"/>
    <w:rsid w:val="000B2D70"/>
    <w:rsid w:val="000B2D99"/>
    <w:rsid w:val="000B2DCE"/>
    <w:rsid w:val="000B2DEC"/>
    <w:rsid w:val="000B2E23"/>
    <w:rsid w:val="000B2E38"/>
    <w:rsid w:val="000B2E3A"/>
    <w:rsid w:val="000B2E60"/>
    <w:rsid w:val="000B2E9D"/>
    <w:rsid w:val="000B2EAA"/>
    <w:rsid w:val="000B2EB2"/>
    <w:rsid w:val="000B2EC4"/>
    <w:rsid w:val="000B2EC8"/>
    <w:rsid w:val="000B2EFA"/>
    <w:rsid w:val="000B2F41"/>
    <w:rsid w:val="000B2F42"/>
    <w:rsid w:val="000B2F93"/>
    <w:rsid w:val="000B2FCA"/>
    <w:rsid w:val="000B2FD7"/>
    <w:rsid w:val="000B30AE"/>
    <w:rsid w:val="000B30C7"/>
    <w:rsid w:val="000B30E0"/>
    <w:rsid w:val="000B3107"/>
    <w:rsid w:val="000B3185"/>
    <w:rsid w:val="000B3196"/>
    <w:rsid w:val="000B31C7"/>
    <w:rsid w:val="000B3216"/>
    <w:rsid w:val="000B321A"/>
    <w:rsid w:val="000B3228"/>
    <w:rsid w:val="000B3296"/>
    <w:rsid w:val="000B32AE"/>
    <w:rsid w:val="000B32D6"/>
    <w:rsid w:val="000B32E5"/>
    <w:rsid w:val="000B336C"/>
    <w:rsid w:val="000B33B6"/>
    <w:rsid w:val="000B33C0"/>
    <w:rsid w:val="000B3431"/>
    <w:rsid w:val="000B3462"/>
    <w:rsid w:val="000B3479"/>
    <w:rsid w:val="000B34AF"/>
    <w:rsid w:val="000B3543"/>
    <w:rsid w:val="000B3567"/>
    <w:rsid w:val="000B3572"/>
    <w:rsid w:val="000B3578"/>
    <w:rsid w:val="000B3585"/>
    <w:rsid w:val="000B35F1"/>
    <w:rsid w:val="000B35F3"/>
    <w:rsid w:val="000B3611"/>
    <w:rsid w:val="000B362B"/>
    <w:rsid w:val="000B362E"/>
    <w:rsid w:val="000B3648"/>
    <w:rsid w:val="000B36C6"/>
    <w:rsid w:val="000B36CD"/>
    <w:rsid w:val="000B36F9"/>
    <w:rsid w:val="000B3712"/>
    <w:rsid w:val="000B3726"/>
    <w:rsid w:val="000B3741"/>
    <w:rsid w:val="000B375A"/>
    <w:rsid w:val="000B3769"/>
    <w:rsid w:val="000B37A4"/>
    <w:rsid w:val="000B3836"/>
    <w:rsid w:val="000B3851"/>
    <w:rsid w:val="000B3866"/>
    <w:rsid w:val="000B3878"/>
    <w:rsid w:val="000B38B1"/>
    <w:rsid w:val="000B38BF"/>
    <w:rsid w:val="000B38C5"/>
    <w:rsid w:val="000B38DA"/>
    <w:rsid w:val="000B38E8"/>
    <w:rsid w:val="000B3927"/>
    <w:rsid w:val="000B3932"/>
    <w:rsid w:val="000B39C7"/>
    <w:rsid w:val="000B39E5"/>
    <w:rsid w:val="000B3A1C"/>
    <w:rsid w:val="000B3A29"/>
    <w:rsid w:val="000B3A55"/>
    <w:rsid w:val="000B3A61"/>
    <w:rsid w:val="000B3ACF"/>
    <w:rsid w:val="000B3AD7"/>
    <w:rsid w:val="000B3B2E"/>
    <w:rsid w:val="000B3B62"/>
    <w:rsid w:val="000B3B64"/>
    <w:rsid w:val="000B3C0B"/>
    <w:rsid w:val="000B3C0E"/>
    <w:rsid w:val="000B3C1F"/>
    <w:rsid w:val="000B3C54"/>
    <w:rsid w:val="000B3C7B"/>
    <w:rsid w:val="000B3CB3"/>
    <w:rsid w:val="000B3D10"/>
    <w:rsid w:val="000B3D2C"/>
    <w:rsid w:val="000B3DB8"/>
    <w:rsid w:val="000B3DDD"/>
    <w:rsid w:val="000B3DEF"/>
    <w:rsid w:val="000B3DF8"/>
    <w:rsid w:val="000B3E57"/>
    <w:rsid w:val="000B3E5A"/>
    <w:rsid w:val="000B3E65"/>
    <w:rsid w:val="000B3E68"/>
    <w:rsid w:val="000B3EBB"/>
    <w:rsid w:val="000B3EDD"/>
    <w:rsid w:val="000B3F2F"/>
    <w:rsid w:val="000B3F5B"/>
    <w:rsid w:val="000B3F68"/>
    <w:rsid w:val="000B3FD3"/>
    <w:rsid w:val="000B4038"/>
    <w:rsid w:val="000B4064"/>
    <w:rsid w:val="000B40DA"/>
    <w:rsid w:val="000B40FC"/>
    <w:rsid w:val="000B41FF"/>
    <w:rsid w:val="000B4211"/>
    <w:rsid w:val="000B422D"/>
    <w:rsid w:val="000B4293"/>
    <w:rsid w:val="000B42AD"/>
    <w:rsid w:val="000B42B7"/>
    <w:rsid w:val="000B42BB"/>
    <w:rsid w:val="000B4307"/>
    <w:rsid w:val="000B4353"/>
    <w:rsid w:val="000B4374"/>
    <w:rsid w:val="000B43C8"/>
    <w:rsid w:val="000B43CC"/>
    <w:rsid w:val="000B43D0"/>
    <w:rsid w:val="000B4410"/>
    <w:rsid w:val="000B4446"/>
    <w:rsid w:val="000B44BB"/>
    <w:rsid w:val="000B4523"/>
    <w:rsid w:val="000B454A"/>
    <w:rsid w:val="000B457D"/>
    <w:rsid w:val="000B4611"/>
    <w:rsid w:val="000B4625"/>
    <w:rsid w:val="000B464C"/>
    <w:rsid w:val="000B466A"/>
    <w:rsid w:val="000B470D"/>
    <w:rsid w:val="000B4719"/>
    <w:rsid w:val="000B4747"/>
    <w:rsid w:val="000B47D7"/>
    <w:rsid w:val="000B4803"/>
    <w:rsid w:val="000B4830"/>
    <w:rsid w:val="000B4833"/>
    <w:rsid w:val="000B4839"/>
    <w:rsid w:val="000B4877"/>
    <w:rsid w:val="000B4899"/>
    <w:rsid w:val="000B48B3"/>
    <w:rsid w:val="000B48D8"/>
    <w:rsid w:val="000B4900"/>
    <w:rsid w:val="000B495E"/>
    <w:rsid w:val="000B4977"/>
    <w:rsid w:val="000B49C0"/>
    <w:rsid w:val="000B4A23"/>
    <w:rsid w:val="000B4A2E"/>
    <w:rsid w:val="000B4A3A"/>
    <w:rsid w:val="000B4AD4"/>
    <w:rsid w:val="000B4B08"/>
    <w:rsid w:val="000B4BB1"/>
    <w:rsid w:val="000B4BE6"/>
    <w:rsid w:val="000B4C78"/>
    <w:rsid w:val="000B4CD6"/>
    <w:rsid w:val="000B4D4D"/>
    <w:rsid w:val="000B4E5F"/>
    <w:rsid w:val="000B4EC3"/>
    <w:rsid w:val="000B4EDC"/>
    <w:rsid w:val="000B4EFB"/>
    <w:rsid w:val="000B4F11"/>
    <w:rsid w:val="000B4F47"/>
    <w:rsid w:val="000B4FE1"/>
    <w:rsid w:val="000B5013"/>
    <w:rsid w:val="000B5082"/>
    <w:rsid w:val="000B509C"/>
    <w:rsid w:val="000B50DC"/>
    <w:rsid w:val="000B5114"/>
    <w:rsid w:val="000B512F"/>
    <w:rsid w:val="000B51DF"/>
    <w:rsid w:val="000B5227"/>
    <w:rsid w:val="000B5232"/>
    <w:rsid w:val="000B5244"/>
    <w:rsid w:val="000B525E"/>
    <w:rsid w:val="000B52CA"/>
    <w:rsid w:val="000B52D4"/>
    <w:rsid w:val="000B52EE"/>
    <w:rsid w:val="000B537F"/>
    <w:rsid w:val="000B53C5"/>
    <w:rsid w:val="000B543D"/>
    <w:rsid w:val="000B5464"/>
    <w:rsid w:val="000B54AE"/>
    <w:rsid w:val="000B54D0"/>
    <w:rsid w:val="000B5547"/>
    <w:rsid w:val="000B554F"/>
    <w:rsid w:val="000B55AD"/>
    <w:rsid w:val="000B5603"/>
    <w:rsid w:val="000B5604"/>
    <w:rsid w:val="000B5664"/>
    <w:rsid w:val="000B5695"/>
    <w:rsid w:val="000B5703"/>
    <w:rsid w:val="000B572A"/>
    <w:rsid w:val="000B5741"/>
    <w:rsid w:val="000B5757"/>
    <w:rsid w:val="000B575E"/>
    <w:rsid w:val="000B57C7"/>
    <w:rsid w:val="000B5896"/>
    <w:rsid w:val="000B589B"/>
    <w:rsid w:val="000B590C"/>
    <w:rsid w:val="000B593A"/>
    <w:rsid w:val="000B5961"/>
    <w:rsid w:val="000B5999"/>
    <w:rsid w:val="000B59D9"/>
    <w:rsid w:val="000B5A51"/>
    <w:rsid w:val="000B5AB9"/>
    <w:rsid w:val="000B5B71"/>
    <w:rsid w:val="000B5B90"/>
    <w:rsid w:val="000B5BAA"/>
    <w:rsid w:val="000B5C57"/>
    <w:rsid w:val="000B5C64"/>
    <w:rsid w:val="000B5CCA"/>
    <w:rsid w:val="000B5CD9"/>
    <w:rsid w:val="000B5D31"/>
    <w:rsid w:val="000B5D98"/>
    <w:rsid w:val="000B5DA8"/>
    <w:rsid w:val="000B5DDB"/>
    <w:rsid w:val="000B5E19"/>
    <w:rsid w:val="000B5E78"/>
    <w:rsid w:val="000B5EB9"/>
    <w:rsid w:val="000B5EF1"/>
    <w:rsid w:val="000B5F14"/>
    <w:rsid w:val="000B5F3D"/>
    <w:rsid w:val="000B5F86"/>
    <w:rsid w:val="000B5F99"/>
    <w:rsid w:val="000B5FA7"/>
    <w:rsid w:val="000B5FAD"/>
    <w:rsid w:val="000B5FB1"/>
    <w:rsid w:val="000B5FD5"/>
    <w:rsid w:val="000B6051"/>
    <w:rsid w:val="000B6063"/>
    <w:rsid w:val="000B608B"/>
    <w:rsid w:val="000B610C"/>
    <w:rsid w:val="000B6114"/>
    <w:rsid w:val="000B6152"/>
    <w:rsid w:val="000B6159"/>
    <w:rsid w:val="000B615C"/>
    <w:rsid w:val="000B6183"/>
    <w:rsid w:val="000B62C8"/>
    <w:rsid w:val="000B631D"/>
    <w:rsid w:val="000B6352"/>
    <w:rsid w:val="000B63AA"/>
    <w:rsid w:val="000B63BE"/>
    <w:rsid w:val="000B63E1"/>
    <w:rsid w:val="000B6438"/>
    <w:rsid w:val="000B643A"/>
    <w:rsid w:val="000B6443"/>
    <w:rsid w:val="000B6454"/>
    <w:rsid w:val="000B650F"/>
    <w:rsid w:val="000B651F"/>
    <w:rsid w:val="000B653E"/>
    <w:rsid w:val="000B65DA"/>
    <w:rsid w:val="000B65EF"/>
    <w:rsid w:val="000B6659"/>
    <w:rsid w:val="000B6660"/>
    <w:rsid w:val="000B66B3"/>
    <w:rsid w:val="000B66C4"/>
    <w:rsid w:val="000B66E0"/>
    <w:rsid w:val="000B66F8"/>
    <w:rsid w:val="000B6717"/>
    <w:rsid w:val="000B6793"/>
    <w:rsid w:val="000B67EF"/>
    <w:rsid w:val="000B67FB"/>
    <w:rsid w:val="000B680B"/>
    <w:rsid w:val="000B6848"/>
    <w:rsid w:val="000B6909"/>
    <w:rsid w:val="000B6950"/>
    <w:rsid w:val="000B6980"/>
    <w:rsid w:val="000B699F"/>
    <w:rsid w:val="000B69BA"/>
    <w:rsid w:val="000B6A11"/>
    <w:rsid w:val="000B6A62"/>
    <w:rsid w:val="000B6A7B"/>
    <w:rsid w:val="000B6B3C"/>
    <w:rsid w:val="000B6B3F"/>
    <w:rsid w:val="000B6B9C"/>
    <w:rsid w:val="000B6BC8"/>
    <w:rsid w:val="000B6BE8"/>
    <w:rsid w:val="000B6C12"/>
    <w:rsid w:val="000B6CA6"/>
    <w:rsid w:val="000B6CAF"/>
    <w:rsid w:val="000B6D82"/>
    <w:rsid w:val="000B6D8D"/>
    <w:rsid w:val="000B6DA2"/>
    <w:rsid w:val="000B6DA9"/>
    <w:rsid w:val="000B6DF7"/>
    <w:rsid w:val="000B6EC1"/>
    <w:rsid w:val="000B6ECF"/>
    <w:rsid w:val="000B6F4F"/>
    <w:rsid w:val="000B6F62"/>
    <w:rsid w:val="000B6F78"/>
    <w:rsid w:val="000B6FF7"/>
    <w:rsid w:val="000B6FFE"/>
    <w:rsid w:val="000B7000"/>
    <w:rsid w:val="000B701B"/>
    <w:rsid w:val="000B7039"/>
    <w:rsid w:val="000B7046"/>
    <w:rsid w:val="000B708C"/>
    <w:rsid w:val="000B7095"/>
    <w:rsid w:val="000B70A3"/>
    <w:rsid w:val="000B70AF"/>
    <w:rsid w:val="000B70BC"/>
    <w:rsid w:val="000B7113"/>
    <w:rsid w:val="000B712B"/>
    <w:rsid w:val="000B715E"/>
    <w:rsid w:val="000B71DB"/>
    <w:rsid w:val="000B723E"/>
    <w:rsid w:val="000B7251"/>
    <w:rsid w:val="000B72AC"/>
    <w:rsid w:val="000B72C9"/>
    <w:rsid w:val="000B742C"/>
    <w:rsid w:val="000B7471"/>
    <w:rsid w:val="000B7474"/>
    <w:rsid w:val="000B74BC"/>
    <w:rsid w:val="000B74CA"/>
    <w:rsid w:val="000B74CF"/>
    <w:rsid w:val="000B750E"/>
    <w:rsid w:val="000B7535"/>
    <w:rsid w:val="000B7547"/>
    <w:rsid w:val="000B7548"/>
    <w:rsid w:val="000B7558"/>
    <w:rsid w:val="000B75A8"/>
    <w:rsid w:val="000B75F9"/>
    <w:rsid w:val="000B7674"/>
    <w:rsid w:val="000B76C7"/>
    <w:rsid w:val="000B76C9"/>
    <w:rsid w:val="000B76ED"/>
    <w:rsid w:val="000B76FB"/>
    <w:rsid w:val="000B770E"/>
    <w:rsid w:val="000B780D"/>
    <w:rsid w:val="000B782D"/>
    <w:rsid w:val="000B7859"/>
    <w:rsid w:val="000B789B"/>
    <w:rsid w:val="000B78BD"/>
    <w:rsid w:val="000B7953"/>
    <w:rsid w:val="000B7AA6"/>
    <w:rsid w:val="000B7AFD"/>
    <w:rsid w:val="000B7B35"/>
    <w:rsid w:val="000B7B42"/>
    <w:rsid w:val="000B7BCD"/>
    <w:rsid w:val="000B7C01"/>
    <w:rsid w:val="000B7C2A"/>
    <w:rsid w:val="000B7C44"/>
    <w:rsid w:val="000B7CAE"/>
    <w:rsid w:val="000B7CE2"/>
    <w:rsid w:val="000B7D28"/>
    <w:rsid w:val="000B7D7D"/>
    <w:rsid w:val="000B7D8B"/>
    <w:rsid w:val="000B7DDD"/>
    <w:rsid w:val="000B7E31"/>
    <w:rsid w:val="000B7E8A"/>
    <w:rsid w:val="000B7EC9"/>
    <w:rsid w:val="000B7F09"/>
    <w:rsid w:val="000B7F2F"/>
    <w:rsid w:val="000B7F71"/>
    <w:rsid w:val="000B7F72"/>
    <w:rsid w:val="000B7F80"/>
    <w:rsid w:val="000B7FD0"/>
    <w:rsid w:val="000C000D"/>
    <w:rsid w:val="000C003F"/>
    <w:rsid w:val="000C0086"/>
    <w:rsid w:val="000C00C6"/>
    <w:rsid w:val="000C00EB"/>
    <w:rsid w:val="000C0107"/>
    <w:rsid w:val="000C0136"/>
    <w:rsid w:val="000C0161"/>
    <w:rsid w:val="000C016A"/>
    <w:rsid w:val="000C01D9"/>
    <w:rsid w:val="000C0234"/>
    <w:rsid w:val="000C0305"/>
    <w:rsid w:val="000C030B"/>
    <w:rsid w:val="000C0349"/>
    <w:rsid w:val="000C03BE"/>
    <w:rsid w:val="000C03DD"/>
    <w:rsid w:val="000C043F"/>
    <w:rsid w:val="000C04C0"/>
    <w:rsid w:val="000C0526"/>
    <w:rsid w:val="000C05E1"/>
    <w:rsid w:val="000C05E5"/>
    <w:rsid w:val="000C069F"/>
    <w:rsid w:val="000C06FF"/>
    <w:rsid w:val="000C0703"/>
    <w:rsid w:val="000C07D0"/>
    <w:rsid w:val="000C081C"/>
    <w:rsid w:val="000C096F"/>
    <w:rsid w:val="000C09B6"/>
    <w:rsid w:val="000C09BE"/>
    <w:rsid w:val="000C0A0E"/>
    <w:rsid w:val="000C0A15"/>
    <w:rsid w:val="000C0A4A"/>
    <w:rsid w:val="000C0AA4"/>
    <w:rsid w:val="000C0ACB"/>
    <w:rsid w:val="000C0B13"/>
    <w:rsid w:val="000C0BA4"/>
    <w:rsid w:val="000C0BFF"/>
    <w:rsid w:val="000C0C19"/>
    <w:rsid w:val="000C0C95"/>
    <w:rsid w:val="000C0CC9"/>
    <w:rsid w:val="000C0CDC"/>
    <w:rsid w:val="000C0D16"/>
    <w:rsid w:val="000C0D36"/>
    <w:rsid w:val="000C0D90"/>
    <w:rsid w:val="000C0D9D"/>
    <w:rsid w:val="000C0DA3"/>
    <w:rsid w:val="000C0DBF"/>
    <w:rsid w:val="000C0DD4"/>
    <w:rsid w:val="000C0E1F"/>
    <w:rsid w:val="000C0E63"/>
    <w:rsid w:val="000C0EAE"/>
    <w:rsid w:val="000C0EF6"/>
    <w:rsid w:val="000C0F10"/>
    <w:rsid w:val="000C0F1D"/>
    <w:rsid w:val="000C110E"/>
    <w:rsid w:val="000C11B5"/>
    <w:rsid w:val="000C11F2"/>
    <w:rsid w:val="000C127E"/>
    <w:rsid w:val="000C12E8"/>
    <w:rsid w:val="000C134B"/>
    <w:rsid w:val="000C13B4"/>
    <w:rsid w:val="000C144A"/>
    <w:rsid w:val="000C1471"/>
    <w:rsid w:val="000C15DC"/>
    <w:rsid w:val="000C1639"/>
    <w:rsid w:val="000C163B"/>
    <w:rsid w:val="000C171F"/>
    <w:rsid w:val="000C1765"/>
    <w:rsid w:val="000C183C"/>
    <w:rsid w:val="000C1890"/>
    <w:rsid w:val="000C1898"/>
    <w:rsid w:val="000C18B9"/>
    <w:rsid w:val="000C18CB"/>
    <w:rsid w:val="000C190C"/>
    <w:rsid w:val="000C1975"/>
    <w:rsid w:val="000C197B"/>
    <w:rsid w:val="000C19B0"/>
    <w:rsid w:val="000C19E7"/>
    <w:rsid w:val="000C1A05"/>
    <w:rsid w:val="000C1A0D"/>
    <w:rsid w:val="000C1A4B"/>
    <w:rsid w:val="000C1A65"/>
    <w:rsid w:val="000C1AA6"/>
    <w:rsid w:val="000C1ACF"/>
    <w:rsid w:val="000C1B7A"/>
    <w:rsid w:val="000C1C11"/>
    <w:rsid w:val="000C1D07"/>
    <w:rsid w:val="000C1D2E"/>
    <w:rsid w:val="000C1D9C"/>
    <w:rsid w:val="000C1DAB"/>
    <w:rsid w:val="000C1DF0"/>
    <w:rsid w:val="000C1E05"/>
    <w:rsid w:val="000C1E3A"/>
    <w:rsid w:val="000C1F4E"/>
    <w:rsid w:val="000C1F60"/>
    <w:rsid w:val="000C1FAB"/>
    <w:rsid w:val="000C1FC8"/>
    <w:rsid w:val="000C1FCD"/>
    <w:rsid w:val="000C20DF"/>
    <w:rsid w:val="000C20F1"/>
    <w:rsid w:val="000C2129"/>
    <w:rsid w:val="000C2162"/>
    <w:rsid w:val="000C21F0"/>
    <w:rsid w:val="000C220A"/>
    <w:rsid w:val="000C220F"/>
    <w:rsid w:val="000C2260"/>
    <w:rsid w:val="000C234F"/>
    <w:rsid w:val="000C2360"/>
    <w:rsid w:val="000C23B0"/>
    <w:rsid w:val="000C2432"/>
    <w:rsid w:val="000C2459"/>
    <w:rsid w:val="000C2481"/>
    <w:rsid w:val="000C2485"/>
    <w:rsid w:val="000C249E"/>
    <w:rsid w:val="000C24A6"/>
    <w:rsid w:val="000C252E"/>
    <w:rsid w:val="000C25DB"/>
    <w:rsid w:val="000C266F"/>
    <w:rsid w:val="000C26D0"/>
    <w:rsid w:val="000C26E5"/>
    <w:rsid w:val="000C2700"/>
    <w:rsid w:val="000C2714"/>
    <w:rsid w:val="000C27F8"/>
    <w:rsid w:val="000C2802"/>
    <w:rsid w:val="000C281B"/>
    <w:rsid w:val="000C285F"/>
    <w:rsid w:val="000C287F"/>
    <w:rsid w:val="000C289B"/>
    <w:rsid w:val="000C28B4"/>
    <w:rsid w:val="000C290E"/>
    <w:rsid w:val="000C2984"/>
    <w:rsid w:val="000C29A7"/>
    <w:rsid w:val="000C29E4"/>
    <w:rsid w:val="000C29E6"/>
    <w:rsid w:val="000C2A4E"/>
    <w:rsid w:val="000C2A50"/>
    <w:rsid w:val="000C2A89"/>
    <w:rsid w:val="000C2ABE"/>
    <w:rsid w:val="000C2C22"/>
    <w:rsid w:val="000C2C40"/>
    <w:rsid w:val="000C2C7F"/>
    <w:rsid w:val="000C2C9F"/>
    <w:rsid w:val="000C2CDB"/>
    <w:rsid w:val="000C2D0A"/>
    <w:rsid w:val="000C2D8A"/>
    <w:rsid w:val="000C2D9F"/>
    <w:rsid w:val="000C2DB7"/>
    <w:rsid w:val="000C2E2B"/>
    <w:rsid w:val="000C2EAE"/>
    <w:rsid w:val="000C2EBD"/>
    <w:rsid w:val="000C2ED0"/>
    <w:rsid w:val="000C2F03"/>
    <w:rsid w:val="000C2F31"/>
    <w:rsid w:val="000C2F4B"/>
    <w:rsid w:val="000C2F6F"/>
    <w:rsid w:val="000C2F9A"/>
    <w:rsid w:val="000C2FA4"/>
    <w:rsid w:val="000C300A"/>
    <w:rsid w:val="000C3095"/>
    <w:rsid w:val="000C30A5"/>
    <w:rsid w:val="000C30BE"/>
    <w:rsid w:val="000C30E5"/>
    <w:rsid w:val="000C3117"/>
    <w:rsid w:val="000C3142"/>
    <w:rsid w:val="000C3173"/>
    <w:rsid w:val="000C320B"/>
    <w:rsid w:val="000C3219"/>
    <w:rsid w:val="000C324D"/>
    <w:rsid w:val="000C327D"/>
    <w:rsid w:val="000C327E"/>
    <w:rsid w:val="000C3284"/>
    <w:rsid w:val="000C3288"/>
    <w:rsid w:val="000C32A0"/>
    <w:rsid w:val="000C32E7"/>
    <w:rsid w:val="000C32EF"/>
    <w:rsid w:val="000C3424"/>
    <w:rsid w:val="000C3476"/>
    <w:rsid w:val="000C347C"/>
    <w:rsid w:val="000C34AF"/>
    <w:rsid w:val="000C34BC"/>
    <w:rsid w:val="000C34DA"/>
    <w:rsid w:val="000C3501"/>
    <w:rsid w:val="000C3523"/>
    <w:rsid w:val="000C3553"/>
    <w:rsid w:val="000C356F"/>
    <w:rsid w:val="000C35EF"/>
    <w:rsid w:val="000C3632"/>
    <w:rsid w:val="000C369B"/>
    <w:rsid w:val="000C36FD"/>
    <w:rsid w:val="000C3721"/>
    <w:rsid w:val="000C373D"/>
    <w:rsid w:val="000C376E"/>
    <w:rsid w:val="000C3773"/>
    <w:rsid w:val="000C3776"/>
    <w:rsid w:val="000C377F"/>
    <w:rsid w:val="000C3821"/>
    <w:rsid w:val="000C3873"/>
    <w:rsid w:val="000C38AE"/>
    <w:rsid w:val="000C38CF"/>
    <w:rsid w:val="000C3AE1"/>
    <w:rsid w:val="000C3AFD"/>
    <w:rsid w:val="000C3B22"/>
    <w:rsid w:val="000C3B3D"/>
    <w:rsid w:val="000C3B48"/>
    <w:rsid w:val="000C3B4C"/>
    <w:rsid w:val="000C3BD2"/>
    <w:rsid w:val="000C3C3E"/>
    <w:rsid w:val="000C3C6E"/>
    <w:rsid w:val="000C3C80"/>
    <w:rsid w:val="000C3C8F"/>
    <w:rsid w:val="000C3C95"/>
    <w:rsid w:val="000C3CA0"/>
    <w:rsid w:val="000C3CC8"/>
    <w:rsid w:val="000C3D1E"/>
    <w:rsid w:val="000C3D8E"/>
    <w:rsid w:val="000C3DA0"/>
    <w:rsid w:val="000C3DDB"/>
    <w:rsid w:val="000C3E38"/>
    <w:rsid w:val="000C3E64"/>
    <w:rsid w:val="000C3EE0"/>
    <w:rsid w:val="000C3EE3"/>
    <w:rsid w:val="000C3EF2"/>
    <w:rsid w:val="000C3F71"/>
    <w:rsid w:val="000C3F8B"/>
    <w:rsid w:val="000C3FA3"/>
    <w:rsid w:val="000C3FE2"/>
    <w:rsid w:val="000C3FEB"/>
    <w:rsid w:val="000C3FF1"/>
    <w:rsid w:val="000C3FF5"/>
    <w:rsid w:val="000C4007"/>
    <w:rsid w:val="000C412F"/>
    <w:rsid w:val="000C426D"/>
    <w:rsid w:val="000C4283"/>
    <w:rsid w:val="000C42A0"/>
    <w:rsid w:val="000C42D8"/>
    <w:rsid w:val="000C431D"/>
    <w:rsid w:val="000C4346"/>
    <w:rsid w:val="000C43E0"/>
    <w:rsid w:val="000C446D"/>
    <w:rsid w:val="000C449C"/>
    <w:rsid w:val="000C44A1"/>
    <w:rsid w:val="000C45A7"/>
    <w:rsid w:val="000C45C3"/>
    <w:rsid w:val="000C461A"/>
    <w:rsid w:val="000C46A0"/>
    <w:rsid w:val="000C4705"/>
    <w:rsid w:val="000C4708"/>
    <w:rsid w:val="000C4719"/>
    <w:rsid w:val="000C4743"/>
    <w:rsid w:val="000C47EC"/>
    <w:rsid w:val="000C485B"/>
    <w:rsid w:val="000C4866"/>
    <w:rsid w:val="000C488A"/>
    <w:rsid w:val="000C48F6"/>
    <w:rsid w:val="000C496F"/>
    <w:rsid w:val="000C49A1"/>
    <w:rsid w:val="000C49D3"/>
    <w:rsid w:val="000C4A6F"/>
    <w:rsid w:val="000C4ADA"/>
    <w:rsid w:val="000C4B55"/>
    <w:rsid w:val="000C4C0D"/>
    <w:rsid w:val="000C4C9B"/>
    <w:rsid w:val="000C4CC8"/>
    <w:rsid w:val="000C4CF1"/>
    <w:rsid w:val="000C4D0E"/>
    <w:rsid w:val="000C4D15"/>
    <w:rsid w:val="000C4D29"/>
    <w:rsid w:val="000C4DB0"/>
    <w:rsid w:val="000C4DDD"/>
    <w:rsid w:val="000C4E46"/>
    <w:rsid w:val="000C4F08"/>
    <w:rsid w:val="000C4F1A"/>
    <w:rsid w:val="000C4F98"/>
    <w:rsid w:val="000C4FBF"/>
    <w:rsid w:val="000C4FF0"/>
    <w:rsid w:val="000C5008"/>
    <w:rsid w:val="000C50A0"/>
    <w:rsid w:val="000C50CD"/>
    <w:rsid w:val="000C5172"/>
    <w:rsid w:val="000C51F6"/>
    <w:rsid w:val="000C5326"/>
    <w:rsid w:val="000C533A"/>
    <w:rsid w:val="000C533B"/>
    <w:rsid w:val="000C5361"/>
    <w:rsid w:val="000C539A"/>
    <w:rsid w:val="000C53BE"/>
    <w:rsid w:val="000C53D5"/>
    <w:rsid w:val="000C541B"/>
    <w:rsid w:val="000C5438"/>
    <w:rsid w:val="000C5443"/>
    <w:rsid w:val="000C545A"/>
    <w:rsid w:val="000C545B"/>
    <w:rsid w:val="000C5478"/>
    <w:rsid w:val="000C549D"/>
    <w:rsid w:val="000C553F"/>
    <w:rsid w:val="000C55AE"/>
    <w:rsid w:val="000C55B5"/>
    <w:rsid w:val="000C5637"/>
    <w:rsid w:val="000C567C"/>
    <w:rsid w:val="000C5688"/>
    <w:rsid w:val="000C56A3"/>
    <w:rsid w:val="000C56ED"/>
    <w:rsid w:val="000C580C"/>
    <w:rsid w:val="000C5848"/>
    <w:rsid w:val="000C5882"/>
    <w:rsid w:val="000C58CF"/>
    <w:rsid w:val="000C58EF"/>
    <w:rsid w:val="000C58F0"/>
    <w:rsid w:val="000C59A1"/>
    <w:rsid w:val="000C5A72"/>
    <w:rsid w:val="000C5ABE"/>
    <w:rsid w:val="000C5ACD"/>
    <w:rsid w:val="000C5AD1"/>
    <w:rsid w:val="000C5B25"/>
    <w:rsid w:val="000C5B49"/>
    <w:rsid w:val="000C5B9A"/>
    <w:rsid w:val="000C5BA0"/>
    <w:rsid w:val="000C5BFC"/>
    <w:rsid w:val="000C5C18"/>
    <w:rsid w:val="000C5C23"/>
    <w:rsid w:val="000C5C26"/>
    <w:rsid w:val="000C5C75"/>
    <w:rsid w:val="000C5C88"/>
    <w:rsid w:val="000C5CA2"/>
    <w:rsid w:val="000C5CF1"/>
    <w:rsid w:val="000C5D11"/>
    <w:rsid w:val="000C5D6F"/>
    <w:rsid w:val="000C5D77"/>
    <w:rsid w:val="000C5DDE"/>
    <w:rsid w:val="000C5E16"/>
    <w:rsid w:val="000C5E22"/>
    <w:rsid w:val="000C5E3A"/>
    <w:rsid w:val="000C5E84"/>
    <w:rsid w:val="000C5EB3"/>
    <w:rsid w:val="000C5EC4"/>
    <w:rsid w:val="000C5F24"/>
    <w:rsid w:val="000C5F48"/>
    <w:rsid w:val="000C5F88"/>
    <w:rsid w:val="000C5F97"/>
    <w:rsid w:val="000C5FBC"/>
    <w:rsid w:val="000C603F"/>
    <w:rsid w:val="000C60B3"/>
    <w:rsid w:val="000C618D"/>
    <w:rsid w:val="000C61D4"/>
    <w:rsid w:val="000C61FD"/>
    <w:rsid w:val="000C6230"/>
    <w:rsid w:val="000C62DD"/>
    <w:rsid w:val="000C62DF"/>
    <w:rsid w:val="000C634C"/>
    <w:rsid w:val="000C6379"/>
    <w:rsid w:val="000C63FE"/>
    <w:rsid w:val="000C6443"/>
    <w:rsid w:val="000C646C"/>
    <w:rsid w:val="000C652F"/>
    <w:rsid w:val="000C6534"/>
    <w:rsid w:val="000C654D"/>
    <w:rsid w:val="000C66BC"/>
    <w:rsid w:val="000C66C1"/>
    <w:rsid w:val="000C66CD"/>
    <w:rsid w:val="000C672C"/>
    <w:rsid w:val="000C673B"/>
    <w:rsid w:val="000C674B"/>
    <w:rsid w:val="000C6762"/>
    <w:rsid w:val="000C67C7"/>
    <w:rsid w:val="000C67CF"/>
    <w:rsid w:val="000C6829"/>
    <w:rsid w:val="000C686D"/>
    <w:rsid w:val="000C68FA"/>
    <w:rsid w:val="000C6959"/>
    <w:rsid w:val="000C6988"/>
    <w:rsid w:val="000C698B"/>
    <w:rsid w:val="000C6A2F"/>
    <w:rsid w:val="000C6AC5"/>
    <w:rsid w:val="000C6AD2"/>
    <w:rsid w:val="000C6AE5"/>
    <w:rsid w:val="000C6B1F"/>
    <w:rsid w:val="000C6B56"/>
    <w:rsid w:val="000C6B69"/>
    <w:rsid w:val="000C6C25"/>
    <w:rsid w:val="000C6C36"/>
    <w:rsid w:val="000C6C3C"/>
    <w:rsid w:val="000C6C41"/>
    <w:rsid w:val="000C6C9E"/>
    <w:rsid w:val="000C6CA5"/>
    <w:rsid w:val="000C6D09"/>
    <w:rsid w:val="000C6D88"/>
    <w:rsid w:val="000C6DB1"/>
    <w:rsid w:val="000C6DE9"/>
    <w:rsid w:val="000C6E31"/>
    <w:rsid w:val="000C6E63"/>
    <w:rsid w:val="000C6EBB"/>
    <w:rsid w:val="000C6F13"/>
    <w:rsid w:val="000C6F38"/>
    <w:rsid w:val="000C7048"/>
    <w:rsid w:val="000C704A"/>
    <w:rsid w:val="000C70AF"/>
    <w:rsid w:val="000C70BF"/>
    <w:rsid w:val="000C7145"/>
    <w:rsid w:val="000C716D"/>
    <w:rsid w:val="000C717B"/>
    <w:rsid w:val="000C718B"/>
    <w:rsid w:val="000C7193"/>
    <w:rsid w:val="000C719F"/>
    <w:rsid w:val="000C7221"/>
    <w:rsid w:val="000C7254"/>
    <w:rsid w:val="000C728D"/>
    <w:rsid w:val="000C72CB"/>
    <w:rsid w:val="000C7338"/>
    <w:rsid w:val="000C7368"/>
    <w:rsid w:val="000C73BB"/>
    <w:rsid w:val="000C73BF"/>
    <w:rsid w:val="000C73D8"/>
    <w:rsid w:val="000C74B8"/>
    <w:rsid w:val="000C754B"/>
    <w:rsid w:val="000C7598"/>
    <w:rsid w:val="000C75BB"/>
    <w:rsid w:val="000C761C"/>
    <w:rsid w:val="000C7621"/>
    <w:rsid w:val="000C7626"/>
    <w:rsid w:val="000C7647"/>
    <w:rsid w:val="000C7687"/>
    <w:rsid w:val="000C7710"/>
    <w:rsid w:val="000C7749"/>
    <w:rsid w:val="000C774B"/>
    <w:rsid w:val="000C776E"/>
    <w:rsid w:val="000C77D1"/>
    <w:rsid w:val="000C77E0"/>
    <w:rsid w:val="000C7812"/>
    <w:rsid w:val="000C785D"/>
    <w:rsid w:val="000C7873"/>
    <w:rsid w:val="000C78A0"/>
    <w:rsid w:val="000C79AF"/>
    <w:rsid w:val="000C79FC"/>
    <w:rsid w:val="000C7A63"/>
    <w:rsid w:val="000C7A6F"/>
    <w:rsid w:val="000C7A74"/>
    <w:rsid w:val="000C7B15"/>
    <w:rsid w:val="000C7B17"/>
    <w:rsid w:val="000C7B6B"/>
    <w:rsid w:val="000C7B7D"/>
    <w:rsid w:val="000C7B81"/>
    <w:rsid w:val="000C7BB5"/>
    <w:rsid w:val="000C7BDE"/>
    <w:rsid w:val="000C7C08"/>
    <w:rsid w:val="000C7C27"/>
    <w:rsid w:val="000C7C70"/>
    <w:rsid w:val="000C7C98"/>
    <w:rsid w:val="000C7CE1"/>
    <w:rsid w:val="000C7D3E"/>
    <w:rsid w:val="000C7D94"/>
    <w:rsid w:val="000C7D99"/>
    <w:rsid w:val="000C7DB8"/>
    <w:rsid w:val="000C7E27"/>
    <w:rsid w:val="000C7E38"/>
    <w:rsid w:val="000C7E48"/>
    <w:rsid w:val="000C7E4F"/>
    <w:rsid w:val="000C7EC8"/>
    <w:rsid w:val="000C7EE4"/>
    <w:rsid w:val="000C7EE8"/>
    <w:rsid w:val="000C7EEF"/>
    <w:rsid w:val="000C7F37"/>
    <w:rsid w:val="000C7F7F"/>
    <w:rsid w:val="000C7F8E"/>
    <w:rsid w:val="000D0071"/>
    <w:rsid w:val="000D009C"/>
    <w:rsid w:val="000D009E"/>
    <w:rsid w:val="000D0110"/>
    <w:rsid w:val="000D0112"/>
    <w:rsid w:val="000D0141"/>
    <w:rsid w:val="000D0143"/>
    <w:rsid w:val="000D0197"/>
    <w:rsid w:val="000D019D"/>
    <w:rsid w:val="000D01B7"/>
    <w:rsid w:val="000D01D1"/>
    <w:rsid w:val="000D0204"/>
    <w:rsid w:val="000D0219"/>
    <w:rsid w:val="000D029D"/>
    <w:rsid w:val="000D02D9"/>
    <w:rsid w:val="000D034A"/>
    <w:rsid w:val="000D0355"/>
    <w:rsid w:val="000D03B5"/>
    <w:rsid w:val="000D03B7"/>
    <w:rsid w:val="000D0420"/>
    <w:rsid w:val="000D046A"/>
    <w:rsid w:val="000D047F"/>
    <w:rsid w:val="000D04F9"/>
    <w:rsid w:val="000D04FB"/>
    <w:rsid w:val="000D0509"/>
    <w:rsid w:val="000D0519"/>
    <w:rsid w:val="000D0523"/>
    <w:rsid w:val="000D0538"/>
    <w:rsid w:val="000D0597"/>
    <w:rsid w:val="000D05D4"/>
    <w:rsid w:val="000D072F"/>
    <w:rsid w:val="000D07B6"/>
    <w:rsid w:val="000D0863"/>
    <w:rsid w:val="000D08C0"/>
    <w:rsid w:val="000D0918"/>
    <w:rsid w:val="000D091D"/>
    <w:rsid w:val="000D0940"/>
    <w:rsid w:val="000D097B"/>
    <w:rsid w:val="000D099E"/>
    <w:rsid w:val="000D0A29"/>
    <w:rsid w:val="000D0A4B"/>
    <w:rsid w:val="000D0A6A"/>
    <w:rsid w:val="000D0AE7"/>
    <w:rsid w:val="000D0B35"/>
    <w:rsid w:val="000D0B64"/>
    <w:rsid w:val="000D0B75"/>
    <w:rsid w:val="000D0BFB"/>
    <w:rsid w:val="000D0C05"/>
    <w:rsid w:val="000D0C34"/>
    <w:rsid w:val="000D0C5E"/>
    <w:rsid w:val="000D0CA0"/>
    <w:rsid w:val="000D0CC7"/>
    <w:rsid w:val="000D0D26"/>
    <w:rsid w:val="000D0DE8"/>
    <w:rsid w:val="000D0DEE"/>
    <w:rsid w:val="000D0DF0"/>
    <w:rsid w:val="000D0E36"/>
    <w:rsid w:val="000D0EC0"/>
    <w:rsid w:val="000D0ED5"/>
    <w:rsid w:val="000D0F55"/>
    <w:rsid w:val="000D0F98"/>
    <w:rsid w:val="000D0FBB"/>
    <w:rsid w:val="000D103A"/>
    <w:rsid w:val="000D1066"/>
    <w:rsid w:val="000D10C1"/>
    <w:rsid w:val="000D10F4"/>
    <w:rsid w:val="000D10FA"/>
    <w:rsid w:val="000D11B8"/>
    <w:rsid w:val="000D122B"/>
    <w:rsid w:val="000D13CD"/>
    <w:rsid w:val="000D14D1"/>
    <w:rsid w:val="000D14F1"/>
    <w:rsid w:val="000D1578"/>
    <w:rsid w:val="000D15A1"/>
    <w:rsid w:val="000D15F0"/>
    <w:rsid w:val="000D1619"/>
    <w:rsid w:val="000D1634"/>
    <w:rsid w:val="000D167E"/>
    <w:rsid w:val="000D1684"/>
    <w:rsid w:val="000D1697"/>
    <w:rsid w:val="000D16D5"/>
    <w:rsid w:val="000D17D7"/>
    <w:rsid w:val="000D1834"/>
    <w:rsid w:val="000D188D"/>
    <w:rsid w:val="000D18C0"/>
    <w:rsid w:val="000D18C7"/>
    <w:rsid w:val="000D1988"/>
    <w:rsid w:val="000D19E5"/>
    <w:rsid w:val="000D1A47"/>
    <w:rsid w:val="000D1AAC"/>
    <w:rsid w:val="000D1ACD"/>
    <w:rsid w:val="000D1AD8"/>
    <w:rsid w:val="000D1ADB"/>
    <w:rsid w:val="000D1B06"/>
    <w:rsid w:val="000D1B19"/>
    <w:rsid w:val="000D1B77"/>
    <w:rsid w:val="000D1BCC"/>
    <w:rsid w:val="000D1BE5"/>
    <w:rsid w:val="000D1C02"/>
    <w:rsid w:val="000D1C09"/>
    <w:rsid w:val="000D1C4D"/>
    <w:rsid w:val="000D1C6F"/>
    <w:rsid w:val="000D1CEB"/>
    <w:rsid w:val="000D1CFC"/>
    <w:rsid w:val="000D1D1E"/>
    <w:rsid w:val="000D1D41"/>
    <w:rsid w:val="000D1D4F"/>
    <w:rsid w:val="000D1DAD"/>
    <w:rsid w:val="000D1DE2"/>
    <w:rsid w:val="000D1E4D"/>
    <w:rsid w:val="000D1E71"/>
    <w:rsid w:val="000D1E82"/>
    <w:rsid w:val="000D1EC9"/>
    <w:rsid w:val="000D1EF2"/>
    <w:rsid w:val="000D1F7C"/>
    <w:rsid w:val="000D1F93"/>
    <w:rsid w:val="000D1FCC"/>
    <w:rsid w:val="000D2034"/>
    <w:rsid w:val="000D2046"/>
    <w:rsid w:val="000D2081"/>
    <w:rsid w:val="000D2086"/>
    <w:rsid w:val="000D20C6"/>
    <w:rsid w:val="000D20D8"/>
    <w:rsid w:val="000D213B"/>
    <w:rsid w:val="000D2153"/>
    <w:rsid w:val="000D21B9"/>
    <w:rsid w:val="000D21E8"/>
    <w:rsid w:val="000D2226"/>
    <w:rsid w:val="000D22BE"/>
    <w:rsid w:val="000D22E7"/>
    <w:rsid w:val="000D232C"/>
    <w:rsid w:val="000D23BB"/>
    <w:rsid w:val="000D23E6"/>
    <w:rsid w:val="000D23FE"/>
    <w:rsid w:val="000D2434"/>
    <w:rsid w:val="000D24D0"/>
    <w:rsid w:val="000D252A"/>
    <w:rsid w:val="000D2545"/>
    <w:rsid w:val="000D25DC"/>
    <w:rsid w:val="000D2617"/>
    <w:rsid w:val="000D2651"/>
    <w:rsid w:val="000D26E2"/>
    <w:rsid w:val="000D2720"/>
    <w:rsid w:val="000D272E"/>
    <w:rsid w:val="000D2756"/>
    <w:rsid w:val="000D27F7"/>
    <w:rsid w:val="000D2874"/>
    <w:rsid w:val="000D2890"/>
    <w:rsid w:val="000D28D7"/>
    <w:rsid w:val="000D292F"/>
    <w:rsid w:val="000D2952"/>
    <w:rsid w:val="000D29BB"/>
    <w:rsid w:val="000D29BC"/>
    <w:rsid w:val="000D29DB"/>
    <w:rsid w:val="000D29FA"/>
    <w:rsid w:val="000D2A39"/>
    <w:rsid w:val="000D2A3F"/>
    <w:rsid w:val="000D2A85"/>
    <w:rsid w:val="000D2A95"/>
    <w:rsid w:val="000D2AF7"/>
    <w:rsid w:val="000D2B10"/>
    <w:rsid w:val="000D2B56"/>
    <w:rsid w:val="000D2B67"/>
    <w:rsid w:val="000D2BB3"/>
    <w:rsid w:val="000D2BC7"/>
    <w:rsid w:val="000D2BC8"/>
    <w:rsid w:val="000D2BED"/>
    <w:rsid w:val="000D2C54"/>
    <w:rsid w:val="000D2C67"/>
    <w:rsid w:val="000D2C6F"/>
    <w:rsid w:val="000D2C73"/>
    <w:rsid w:val="000D2CA0"/>
    <w:rsid w:val="000D2CAA"/>
    <w:rsid w:val="000D2CB5"/>
    <w:rsid w:val="000D2CF4"/>
    <w:rsid w:val="000D2D6B"/>
    <w:rsid w:val="000D2D94"/>
    <w:rsid w:val="000D2D9F"/>
    <w:rsid w:val="000D2DB2"/>
    <w:rsid w:val="000D2DD9"/>
    <w:rsid w:val="000D2DE3"/>
    <w:rsid w:val="000D2E4E"/>
    <w:rsid w:val="000D2E66"/>
    <w:rsid w:val="000D2EDE"/>
    <w:rsid w:val="000D2F17"/>
    <w:rsid w:val="000D2F35"/>
    <w:rsid w:val="000D2F55"/>
    <w:rsid w:val="000D2F99"/>
    <w:rsid w:val="000D301D"/>
    <w:rsid w:val="000D302E"/>
    <w:rsid w:val="000D306F"/>
    <w:rsid w:val="000D3093"/>
    <w:rsid w:val="000D30E1"/>
    <w:rsid w:val="000D30ED"/>
    <w:rsid w:val="000D317D"/>
    <w:rsid w:val="000D3185"/>
    <w:rsid w:val="000D323B"/>
    <w:rsid w:val="000D328F"/>
    <w:rsid w:val="000D3291"/>
    <w:rsid w:val="000D32A6"/>
    <w:rsid w:val="000D32E2"/>
    <w:rsid w:val="000D32FA"/>
    <w:rsid w:val="000D333A"/>
    <w:rsid w:val="000D3370"/>
    <w:rsid w:val="000D3441"/>
    <w:rsid w:val="000D3474"/>
    <w:rsid w:val="000D34C6"/>
    <w:rsid w:val="000D34DA"/>
    <w:rsid w:val="000D350E"/>
    <w:rsid w:val="000D351A"/>
    <w:rsid w:val="000D3559"/>
    <w:rsid w:val="000D357C"/>
    <w:rsid w:val="000D3594"/>
    <w:rsid w:val="000D35AB"/>
    <w:rsid w:val="000D35D9"/>
    <w:rsid w:val="000D35EF"/>
    <w:rsid w:val="000D35F3"/>
    <w:rsid w:val="000D35F4"/>
    <w:rsid w:val="000D3601"/>
    <w:rsid w:val="000D3647"/>
    <w:rsid w:val="000D364F"/>
    <w:rsid w:val="000D3691"/>
    <w:rsid w:val="000D3699"/>
    <w:rsid w:val="000D37A0"/>
    <w:rsid w:val="000D37B4"/>
    <w:rsid w:val="000D3899"/>
    <w:rsid w:val="000D38D6"/>
    <w:rsid w:val="000D38F6"/>
    <w:rsid w:val="000D393D"/>
    <w:rsid w:val="000D393E"/>
    <w:rsid w:val="000D395A"/>
    <w:rsid w:val="000D397B"/>
    <w:rsid w:val="000D39C2"/>
    <w:rsid w:val="000D3A05"/>
    <w:rsid w:val="000D3A15"/>
    <w:rsid w:val="000D3AA5"/>
    <w:rsid w:val="000D3AAE"/>
    <w:rsid w:val="000D3AB2"/>
    <w:rsid w:val="000D3AE8"/>
    <w:rsid w:val="000D3B3F"/>
    <w:rsid w:val="000D3B42"/>
    <w:rsid w:val="000D3B52"/>
    <w:rsid w:val="000D3B9F"/>
    <w:rsid w:val="000D3BBA"/>
    <w:rsid w:val="000D3BE7"/>
    <w:rsid w:val="000D3BE8"/>
    <w:rsid w:val="000D3BF5"/>
    <w:rsid w:val="000D3BF6"/>
    <w:rsid w:val="000D3C09"/>
    <w:rsid w:val="000D3C51"/>
    <w:rsid w:val="000D3CA8"/>
    <w:rsid w:val="000D3CBE"/>
    <w:rsid w:val="000D3D67"/>
    <w:rsid w:val="000D3D6A"/>
    <w:rsid w:val="000D3D8E"/>
    <w:rsid w:val="000D3E3A"/>
    <w:rsid w:val="000D3ECB"/>
    <w:rsid w:val="000D3EE1"/>
    <w:rsid w:val="000D3EF1"/>
    <w:rsid w:val="000D3EF6"/>
    <w:rsid w:val="000D3F21"/>
    <w:rsid w:val="000D3F39"/>
    <w:rsid w:val="000D3F69"/>
    <w:rsid w:val="000D3F74"/>
    <w:rsid w:val="000D3F7E"/>
    <w:rsid w:val="000D3FA1"/>
    <w:rsid w:val="000D3FDA"/>
    <w:rsid w:val="000D3FE0"/>
    <w:rsid w:val="000D3FE5"/>
    <w:rsid w:val="000D405F"/>
    <w:rsid w:val="000D407C"/>
    <w:rsid w:val="000D40FE"/>
    <w:rsid w:val="000D411C"/>
    <w:rsid w:val="000D416A"/>
    <w:rsid w:val="000D41B9"/>
    <w:rsid w:val="000D425D"/>
    <w:rsid w:val="000D42AF"/>
    <w:rsid w:val="000D4359"/>
    <w:rsid w:val="000D4360"/>
    <w:rsid w:val="000D441F"/>
    <w:rsid w:val="000D4448"/>
    <w:rsid w:val="000D44FC"/>
    <w:rsid w:val="000D451B"/>
    <w:rsid w:val="000D4568"/>
    <w:rsid w:val="000D45A2"/>
    <w:rsid w:val="000D45AC"/>
    <w:rsid w:val="000D45D2"/>
    <w:rsid w:val="000D462B"/>
    <w:rsid w:val="000D4687"/>
    <w:rsid w:val="000D46B6"/>
    <w:rsid w:val="000D46C5"/>
    <w:rsid w:val="000D46D3"/>
    <w:rsid w:val="000D4775"/>
    <w:rsid w:val="000D47AB"/>
    <w:rsid w:val="000D47AC"/>
    <w:rsid w:val="000D47CA"/>
    <w:rsid w:val="000D484C"/>
    <w:rsid w:val="000D48EB"/>
    <w:rsid w:val="000D48FF"/>
    <w:rsid w:val="000D494E"/>
    <w:rsid w:val="000D496B"/>
    <w:rsid w:val="000D498F"/>
    <w:rsid w:val="000D4A11"/>
    <w:rsid w:val="000D4A1A"/>
    <w:rsid w:val="000D4A72"/>
    <w:rsid w:val="000D4A96"/>
    <w:rsid w:val="000D4ABF"/>
    <w:rsid w:val="000D4B5E"/>
    <w:rsid w:val="000D4B73"/>
    <w:rsid w:val="000D4BB9"/>
    <w:rsid w:val="000D4BFE"/>
    <w:rsid w:val="000D4C10"/>
    <w:rsid w:val="000D4CCA"/>
    <w:rsid w:val="000D4CCC"/>
    <w:rsid w:val="000D4CD6"/>
    <w:rsid w:val="000D4E38"/>
    <w:rsid w:val="000D4E3B"/>
    <w:rsid w:val="000D4E79"/>
    <w:rsid w:val="000D4E93"/>
    <w:rsid w:val="000D4EB0"/>
    <w:rsid w:val="000D4EB9"/>
    <w:rsid w:val="000D4EF4"/>
    <w:rsid w:val="000D4F16"/>
    <w:rsid w:val="000D4F80"/>
    <w:rsid w:val="000D4F83"/>
    <w:rsid w:val="000D4F9E"/>
    <w:rsid w:val="000D4FA6"/>
    <w:rsid w:val="000D4FB7"/>
    <w:rsid w:val="000D4FBA"/>
    <w:rsid w:val="000D507F"/>
    <w:rsid w:val="000D5081"/>
    <w:rsid w:val="000D508B"/>
    <w:rsid w:val="000D511E"/>
    <w:rsid w:val="000D51AB"/>
    <w:rsid w:val="000D51CD"/>
    <w:rsid w:val="000D522B"/>
    <w:rsid w:val="000D52CC"/>
    <w:rsid w:val="000D53A4"/>
    <w:rsid w:val="000D53A6"/>
    <w:rsid w:val="000D53DF"/>
    <w:rsid w:val="000D54BF"/>
    <w:rsid w:val="000D54E2"/>
    <w:rsid w:val="000D54FE"/>
    <w:rsid w:val="000D551E"/>
    <w:rsid w:val="000D5530"/>
    <w:rsid w:val="000D555B"/>
    <w:rsid w:val="000D5561"/>
    <w:rsid w:val="000D55D1"/>
    <w:rsid w:val="000D566A"/>
    <w:rsid w:val="000D569A"/>
    <w:rsid w:val="000D56F2"/>
    <w:rsid w:val="000D570B"/>
    <w:rsid w:val="000D5729"/>
    <w:rsid w:val="000D5799"/>
    <w:rsid w:val="000D57BD"/>
    <w:rsid w:val="000D57CD"/>
    <w:rsid w:val="000D58C8"/>
    <w:rsid w:val="000D58F6"/>
    <w:rsid w:val="000D590A"/>
    <w:rsid w:val="000D593D"/>
    <w:rsid w:val="000D599E"/>
    <w:rsid w:val="000D5AB4"/>
    <w:rsid w:val="000D5ACE"/>
    <w:rsid w:val="000D5B0A"/>
    <w:rsid w:val="000D5B14"/>
    <w:rsid w:val="000D5B15"/>
    <w:rsid w:val="000D5B4C"/>
    <w:rsid w:val="000D5B82"/>
    <w:rsid w:val="000D5BBC"/>
    <w:rsid w:val="000D5C74"/>
    <w:rsid w:val="000D5D5E"/>
    <w:rsid w:val="000D5D93"/>
    <w:rsid w:val="000D5DAE"/>
    <w:rsid w:val="000D5DCE"/>
    <w:rsid w:val="000D5E64"/>
    <w:rsid w:val="000D5E9A"/>
    <w:rsid w:val="000D5ED6"/>
    <w:rsid w:val="000D5F0E"/>
    <w:rsid w:val="000D5F37"/>
    <w:rsid w:val="000D5F70"/>
    <w:rsid w:val="000D5F9F"/>
    <w:rsid w:val="000D5FB3"/>
    <w:rsid w:val="000D5FF3"/>
    <w:rsid w:val="000D601C"/>
    <w:rsid w:val="000D6048"/>
    <w:rsid w:val="000D604C"/>
    <w:rsid w:val="000D612E"/>
    <w:rsid w:val="000D6134"/>
    <w:rsid w:val="000D6163"/>
    <w:rsid w:val="000D6243"/>
    <w:rsid w:val="000D6245"/>
    <w:rsid w:val="000D625C"/>
    <w:rsid w:val="000D625F"/>
    <w:rsid w:val="000D6359"/>
    <w:rsid w:val="000D63B1"/>
    <w:rsid w:val="000D63DF"/>
    <w:rsid w:val="000D6418"/>
    <w:rsid w:val="000D6425"/>
    <w:rsid w:val="000D647C"/>
    <w:rsid w:val="000D64AB"/>
    <w:rsid w:val="000D6505"/>
    <w:rsid w:val="000D654F"/>
    <w:rsid w:val="000D6556"/>
    <w:rsid w:val="000D6559"/>
    <w:rsid w:val="000D663B"/>
    <w:rsid w:val="000D6654"/>
    <w:rsid w:val="000D6702"/>
    <w:rsid w:val="000D6722"/>
    <w:rsid w:val="000D6731"/>
    <w:rsid w:val="000D674E"/>
    <w:rsid w:val="000D677A"/>
    <w:rsid w:val="000D67E3"/>
    <w:rsid w:val="000D67F7"/>
    <w:rsid w:val="000D6853"/>
    <w:rsid w:val="000D6885"/>
    <w:rsid w:val="000D689C"/>
    <w:rsid w:val="000D6902"/>
    <w:rsid w:val="000D6A11"/>
    <w:rsid w:val="000D6A17"/>
    <w:rsid w:val="000D6A41"/>
    <w:rsid w:val="000D6A74"/>
    <w:rsid w:val="000D6A8B"/>
    <w:rsid w:val="000D6B1F"/>
    <w:rsid w:val="000D6BFB"/>
    <w:rsid w:val="000D6C09"/>
    <w:rsid w:val="000D6C10"/>
    <w:rsid w:val="000D6C6C"/>
    <w:rsid w:val="000D6CA0"/>
    <w:rsid w:val="000D6D45"/>
    <w:rsid w:val="000D6DDF"/>
    <w:rsid w:val="000D6E2F"/>
    <w:rsid w:val="000D6E49"/>
    <w:rsid w:val="000D6E96"/>
    <w:rsid w:val="000D6EB9"/>
    <w:rsid w:val="000D6EC3"/>
    <w:rsid w:val="000D6F1C"/>
    <w:rsid w:val="000D6F5D"/>
    <w:rsid w:val="000D6F70"/>
    <w:rsid w:val="000D6FA6"/>
    <w:rsid w:val="000D6FBA"/>
    <w:rsid w:val="000D6FCB"/>
    <w:rsid w:val="000D7012"/>
    <w:rsid w:val="000D7030"/>
    <w:rsid w:val="000D7050"/>
    <w:rsid w:val="000D7059"/>
    <w:rsid w:val="000D707C"/>
    <w:rsid w:val="000D70AD"/>
    <w:rsid w:val="000D710B"/>
    <w:rsid w:val="000D710E"/>
    <w:rsid w:val="000D7187"/>
    <w:rsid w:val="000D71AF"/>
    <w:rsid w:val="000D71E7"/>
    <w:rsid w:val="000D71F9"/>
    <w:rsid w:val="000D722A"/>
    <w:rsid w:val="000D72A5"/>
    <w:rsid w:val="000D72FA"/>
    <w:rsid w:val="000D73FB"/>
    <w:rsid w:val="000D748B"/>
    <w:rsid w:val="000D74A5"/>
    <w:rsid w:val="000D74DC"/>
    <w:rsid w:val="000D754E"/>
    <w:rsid w:val="000D759B"/>
    <w:rsid w:val="000D75D6"/>
    <w:rsid w:val="000D7600"/>
    <w:rsid w:val="000D7606"/>
    <w:rsid w:val="000D7679"/>
    <w:rsid w:val="000D7684"/>
    <w:rsid w:val="000D769A"/>
    <w:rsid w:val="000D76BB"/>
    <w:rsid w:val="000D76CC"/>
    <w:rsid w:val="000D76D4"/>
    <w:rsid w:val="000D7792"/>
    <w:rsid w:val="000D786F"/>
    <w:rsid w:val="000D7888"/>
    <w:rsid w:val="000D7940"/>
    <w:rsid w:val="000D795F"/>
    <w:rsid w:val="000D7976"/>
    <w:rsid w:val="000D797B"/>
    <w:rsid w:val="000D7A09"/>
    <w:rsid w:val="000D7A3A"/>
    <w:rsid w:val="000D7A5D"/>
    <w:rsid w:val="000D7AA0"/>
    <w:rsid w:val="000D7ABA"/>
    <w:rsid w:val="000D7AC1"/>
    <w:rsid w:val="000D7B1C"/>
    <w:rsid w:val="000D7B7B"/>
    <w:rsid w:val="000D7C0F"/>
    <w:rsid w:val="000D7C18"/>
    <w:rsid w:val="000D7C48"/>
    <w:rsid w:val="000D7C4A"/>
    <w:rsid w:val="000D7C9D"/>
    <w:rsid w:val="000D7CDA"/>
    <w:rsid w:val="000D7CEE"/>
    <w:rsid w:val="000D7D1D"/>
    <w:rsid w:val="000D7D54"/>
    <w:rsid w:val="000D7DB9"/>
    <w:rsid w:val="000D7E0E"/>
    <w:rsid w:val="000D7EB0"/>
    <w:rsid w:val="000D7F34"/>
    <w:rsid w:val="000D7FBF"/>
    <w:rsid w:val="000D7FC4"/>
    <w:rsid w:val="000D7FCB"/>
    <w:rsid w:val="000E0000"/>
    <w:rsid w:val="000E0188"/>
    <w:rsid w:val="000E01B3"/>
    <w:rsid w:val="000E01B9"/>
    <w:rsid w:val="000E01BC"/>
    <w:rsid w:val="000E0212"/>
    <w:rsid w:val="000E0213"/>
    <w:rsid w:val="000E02DE"/>
    <w:rsid w:val="000E0353"/>
    <w:rsid w:val="000E0357"/>
    <w:rsid w:val="000E035A"/>
    <w:rsid w:val="000E0364"/>
    <w:rsid w:val="000E037B"/>
    <w:rsid w:val="000E037F"/>
    <w:rsid w:val="000E03A1"/>
    <w:rsid w:val="000E0400"/>
    <w:rsid w:val="000E0409"/>
    <w:rsid w:val="000E042F"/>
    <w:rsid w:val="000E0434"/>
    <w:rsid w:val="000E0476"/>
    <w:rsid w:val="000E0478"/>
    <w:rsid w:val="000E04A4"/>
    <w:rsid w:val="000E0541"/>
    <w:rsid w:val="000E0568"/>
    <w:rsid w:val="000E05EE"/>
    <w:rsid w:val="000E0614"/>
    <w:rsid w:val="000E061F"/>
    <w:rsid w:val="000E063B"/>
    <w:rsid w:val="000E0643"/>
    <w:rsid w:val="000E064E"/>
    <w:rsid w:val="000E065F"/>
    <w:rsid w:val="000E0683"/>
    <w:rsid w:val="000E06A5"/>
    <w:rsid w:val="000E06B1"/>
    <w:rsid w:val="000E06F5"/>
    <w:rsid w:val="000E0726"/>
    <w:rsid w:val="000E0733"/>
    <w:rsid w:val="000E0734"/>
    <w:rsid w:val="000E074A"/>
    <w:rsid w:val="000E07A1"/>
    <w:rsid w:val="000E07A5"/>
    <w:rsid w:val="000E07AA"/>
    <w:rsid w:val="000E07DC"/>
    <w:rsid w:val="000E07E2"/>
    <w:rsid w:val="000E07E3"/>
    <w:rsid w:val="000E080B"/>
    <w:rsid w:val="000E084F"/>
    <w:rsid w:val="000E085F"/>
    <w:rsid w:val="000E08F2"/>
    <w:rsid w:val="000E090D"/>
    <w:rsid w:val="000E092A"/>
    <w:rsid w:val="000E096F"/>
    <w:rsid w:val="000E0974"/>
    <w:rsid w:val="000E09C4"/>
    <w:rsid w:val="000E09EB"/>
    <w:rsid w:val="000E0A01"/>
    <w:rsid w:val="000E0A34"/>
    <w:rsid w:val="000E0A49"/>
    <w:rsid w:val="000E0AA0"/>
    <w:rsid w:val="000E0AD5"/>
    <w:rsid w:val="000E0B1B"/>
    <w:rsid w:val="000E0B57"/>
    <w:rsid w:val="000E0B89"/>
    <w:rsid w:val="000E0B96"/>
    <w:rsid w:val="000E0BDF"/>
    <w:rsid w:val="000E0BE5"/>
    <w:rsid w:val="000E0C04"/>
    <w:rsid w:val="000E0C05"/>
    <w:rsid w:val="000E0C2B"/>
    <w:rsid w:val="000E0C3E"/>
    <w:rsid w:val="000E0C66"/>
    <w:rsid w:val="000E0C90"/>
    <w:rsid w:val="000E0D09"/>
    <w:rsid w:val="000E0D31"/>
    <w:rsid w:val="000E0D38"/>
    <w:rsid w:val="000E0DC9"/>
    <w:rsid w:val="000E0E2B"/>
    <w:rsid w:val="000E0E79"/>
    <w:rsid w:val="000E0F1E"/>
    <w:rsid w:val="000E0FC5"/>
    <w:rsid w:val="000E105D"/>
    <w:rsid w:val="000E1074"/>
    <w:rsid w:val="000E10A4"/>
    <w:rsid w:val="000E10D4"/>
    <w:rsid w:val="000E10D6"/>
    <w:rsid w:val="000E10F9"/>
    <w:rsid w:val="000E113E"/>
    <w:rsid w:val="000E115B"/>
    <w:rsid w:val="000E11D0"/>
    <w:rsid w:val="000E11D9"/>
    <w:rsid w:val="000E11DB"/>
    <w:rsid w:val="000E1289"/>
    <w:rsid w:val="000E12A8"/>
    <w:rsid w:val="000E12B3"/>
    <w:rsid w:val="000E12BE"/>
    <w:rsid w:val="000E131D"/>
    <w:rsid w:val="000E1369"/>
    <w:rsid w:val="000E13DE"/>
    <w:rsid w:val="000E1406"/>
    <w:rsid w:val="000E1417"/>
    <w:rsid w:val="000E1452"/>
    <w:rsid w:val="000E1478"/>
    <w:rsid w:val="000E1488"/>
    <w:rsid w:val="000E148F"/>
    <w:rsid w:val="000E14D9"/>
    <w:rsid w:val="000E14DD"/>
    <w:rsid w:val="000E1542"/>
    <w:rsid w:val="000E1571"/>
    <w:rsid w:val="000E1586"/>
    <w:rsid w:val="000E15B6"/>
    <w:rsid w:val="000E15FD"/>
    <w:rsid w:val="000E16B9"/>
    <w:rsid w:val="000E16EB"/>
    <w:rsid w:val="000E1742"/>
    <w:rsid w:val="000E1747"/>
    <w:rsid w:val="000E176C"/>
    <w:rsid w:val="000E17F0"/>
    <w:rsid w:val="000E183F"/>
    <w:rsid w:val="000E1A20"/>
    <w:rsid w:val="000E1A26"/>
    <w:rsid w:val="000E1AC2"/>
    <w:rsid w:val="000E1B43"/>
    <w:rsid w:val="000E1C58"/>
    <w:rsid w:val="000E1CA2"/>
    <w:rsid w:val="000E1D8A"/>
    <w:rsid w:val="000E1DE7"/>
    <w:rsid w:val="000E1DFA"/>
    <w:rsid w:val="000E1DFE"/>
    <w:rsid w:val="000E1E4B"/>
    <w:rsid w:val="000E1EA7"/>
    <w:rsid w:val="000E1EC3"/>
    <w:rsid w:val="000E1F52"/>
    <w:rsid w:val="000E1F69"/>
    <w:rsid w:val="000E1FE5"/>
    <w:rsid w:val="000E1FF1"/>
    <w:rsid w:val="000E2054"/>
    <w:rsid w:val="000E2074"/>
    <w:rsid w:val="000E213D"/>
    <w:rsid w:val="000E2145"/>
    <w:rsid w:val="000E2156"/>
    <w:rsid w:val="000E2179"/>
    <w:rsid w:val="000E2186"/>
    <w:rsid w:val="000E21A7"/>
    <w:rsid w:val="000E21FF"/>
    <w:rsid w:val="000E2200"/>
    <w:rsid w:val="000E2242"/>
    <w:rsid w:val="000E225D"/>
    <w:rsid w:val="000E22AE"/>
    <w:rsid w:val="000E22CA"/>
    <w:rsid w:val="000E22E6"/>
    <w:rsid w:val="000E230D"/>
    <w:rsid w:val="000E2322"/>
    <w:rsid w:val="000E2339"/>
    <w:rsid w:val="000E2373"/>
    <w:rsid w:val="000E238A"/>
    <w:rsid w:val="000E23B4"/>
    <w:rsid w:val="000E23D6"/>
    <w:rsid w:val="000E23DC"/>
    <w:rsid w:val="000E244D"/>
    <w:rsid w:val="000E24B0"/>
    <w:rsid w:val="000E24C1"/>
    <w:rsid w:val="000E24DD"/>
    <w:rsid w:val="000E252F"/>
    <w:rsid w:val="000E2558"/>
    <w:rsid w:val="000E2581"/>
    <w:rsid w:val="000E25C7"/>
    <w:rsid w:val="000E25CC"/>
    <w:rsid w:val="000E25D5"/>
    <w:rsid w:val="000E25EC"/>
    <w:rsid w:val="000E2618"/>
    <w:rsid w:val="000E26C3"/>
    <w:rsid w:val="000E26F1"/>
    <w:rsid w:val="000E2719"/>
    <w:rsid w:val="000E2767"/>
    <w:rsid w:val="000E276E"/>
    <w:rsid w:val="000E2783"/>
    <w:rsid w:val="000E27B4"/>
    <w:rsid w:val="000E27BA"/>
    <w:rsid w:val="000E280F"/>
    <w:rsid w:val="000E2819"/>
    <w:rsid w:val="000E2870"/>
    <w:rsid w:val="000E28AE"/>
    <w:rsid w:val="000E297F"/>
    <w:rsid w:val="000E299A"/>
    <w:rsid w:val="000E299E"/>
    <w:rsid w:val="000E29AF"/>
    <w:rsid w:val="000E29E2"/>
    <w:rsid w:val="000E2A21"/>
    <w:rsid w:val="000E2ADB"/>
    <w:rsid w:val="000E2B23"/>
    <w:rsid w:val="000E2BF3"/>
    <w:rsid w:val="000E2C0E"/>
    <w:rsid w:val="000E2C13"/>
    <w:rsid w:val="000E2C36"/>
    <w:rsid w:val="000E2C3C"/>
    <w:rsid w:val="000E2C46"/>
    <w:rsid w:val="000E2C6F"/>
    <w:rsid w:val="000E2C7D"/>
    <w:rsid w:val="000E2C95"/>
    <w:rsid w:val="000E2CE9"/>
    <w:rsid w:val="000E2CF3"/>
    <w:rsid w:val="000E2D0E"/>
    <w:rsid w:val="000E2D3D"/>
    <w:rsid w:val="000E2D52"/>
    <w:rsid w:val="000E2DC9"/>
    <w:rsid w:val="000E2E97"/>
    <w:rsid w:val="000E2F08"/>
    <w:rsid w:val="000E2F6B"/>
    <w:rsid w:val="000E2FA2"/>
    <w:rsid w:val="000E2FA8"/>
    <w:rsid w:val="000E2FC0"/>
    <w:rsid w:val="000E2FC2"/>
    <w:rsid w:val="000E2FED"/>
    <w:rsid w:val="000E3002"/>
    <w:rsid w:val="000E3016"/>
    <w:rsid w:val="000E304A"/>
    <w:rsid w:val="000E3051"/>
    <w:rsid w:val="000E3086"/>
    <w:rsid w:val="000E30F1"/>
    <w:rsid w:val="000E31A5"/>
    <w:rsid w:val="000E31C6"/>
    <w:rsid w:val="000E320C"/>
    <w:rsid w:val="000E323D"/>
    <w:rsid w:val="000E324D"/>
    <w:rsid w:val="000E3260"/>
    <w:rsid w:val="000E3304"/>
    <w:rsid w:val="000E335B"/>
    <w:rsid w:val="000E335F"/>
    <w:rsid w:val="000E33D1"/>
    <w:rsid w:val="000E33DE"/>
    <w:rsid w:val="000E345B"/>
    <w:rsid w:val="000E346C"/>
    <w:rsid w:val="000E348E"/>
    <w:rsid w:val="000E34E6"/>
    <w:rsid w:val="000E3529"/>
    <w:rsid w:val="000E35C6"/>
    <w:rsid w:val="000E36D1"/>
    <w:rsid w:val="000E36FB"/>
    <w:rsid w:val="000E3708"/>
    <w:rsid w:val="000E37ED"/>
    <w:rsid w:val="000E3803"/>
    <w:rsid w:val="000E3880"/>
    <w:rsid w:val="000E38B8"/>
    <w:rsid w:val="000E38F2"/>
    <w:rsid w:val="000E3979"/>
    <w:rsid w:val="000E399E"/>
    <w:rsid w:val="000E39AF"/>
    <w:rsid w:val="000E3A54"/>
    <w:rsid w:val="000E3A83"/>
    <w:rsid w:val="000E3A9A"/>
    <w:rsid w:val="000E3AA0"/>
    <w:rsid w:val="000E3AC6"/>
    <w:rsid w:val="000E3AE5"/>
    <w:rsid w:val="000E3B06"/>
    <w:rsid w:val="000E3B0F"/>
    <w:rsid w:val="000E3BD9"/>
    <w:rsid w:val="000E3C34"/>
    <w:rsid w:val="000E3C40"/>
    <w:rsid w:val="000E3CB1"/>
    <w:rsid w:val="000E3CD4"/>
    <w:rsid w:val="000E3CEA"/>
    <w:rsid w:val="000E3D0F"/>
    <w:rsid w:val="000E3D44"/>
    <w:rsid w:val="000E3D93"/>
    <w:rsid w:val="000E3DE5"/>
    <w:rsid w:val="000E3E8E"/>
    <w:rsid w:val="000E3EF8"/>
    <w:rsid w:val="000E3F56"/>
    <w:rsid w:val="000E4098"/>
    <w:rsid w:val="000E40BB"/>
    <w:rsid w:val="000E4171"/>
    <w:rsid w:val="000E418B"/>
    <w:rsid w:val="000E41A6"/>
    <w:rsid w:val="000E41AD"/>
    <w:rsid w:val="000E4213"/>
    <w:rsid w:val="000E4228"/>
    <w:rsid w:val="000E422B"/>
    <w:rsid w:val="000E42AB"/>
    <w:rsid w:val="000E42F6"/>
    <w:rsid w:val="000E4349"/>
    <w:rsid w:val="000E4352"/>
    <w:rsid w:val="000E436A"/>
    <w:rsid w:val="000E4378"/>
    <w:rsid w:val="000E439D"/>
    <w:rsid w:val="000E43AC"/>
    <w:rsid w:val="000E43D7"/>
    <w:rsid w:val="000E43EB"/>
    <w:rsid w:val="000E4420"/>
    <w:rsid w:val="000E449B"/>
    <w:rsid w:val="000E44FB"/>
    <w:rsid w:val="000E4508"/>
    <w:rsid w:val="000E4518"/>
    <w:rsid w:val="000E4539"/>
    <w:rsid w:val="000E4551"/>
    <w:rsid w:val="000E4577"/>
    <w:rsid w:val="000E4593"/>
    <w:rsid w:val="000E4596"/>
    <w:rsid w:val="000E45A3"/>
    <w:rsid w:val="000E465B"/>
    <w:rsid w:val="000E4673"/>
    <w:rsid w:val="000E46A2"/>
    <w:rsid w:val="000E4715"/>
    <w:rsid w:val="000E4792"/>
    <w:rsid w:val="000E47E3"/>
    <w:rsid w:val="000E47F9"/>
    <w:rsid w:val="000E4812"/>
    <w:rsid w:val="000E486D"/>
    <w:rsid w:val="000E4897"/>
    <w:rsid w:val="000E4918"/>
    <w:rsid w:val="000E492F"/>
    <w:rsid w:val="000E493C"/>
    <w:rsid w:val="000E4976"/>
    <w:rsid w:val="000E49A0"/>
    <w:rsid w:val="000E49BC"/>
    <w:rsid w:val="000E4AB1"/>
    <w:rsid w:val="000E4ADA"/>
    <w:rsid w:val="000E4AE9"/>
    <w:rsid w:val="000E4B44"/>
    <w:rsid w:val="000E4BE1"/>
    <w:rsid w:val="000E4C63"/>
    <w:rsid w:val="000E4C92"/>
    <w:rsid w:val="000E4CBB"/>
    <w:rsid w:val="000E4CEB"/>
    <w:rsid w:val="000E4D28"/>
    <w:rsid w:val="000E4D3C"/>
    <w:rsid w:val="000E4D5B"/>
    <w:rsid w:val="000E4D83"/>
    <w:rsid w:val="000E4D98"/>
    <w:rsid w:val="000E4DB2"/>
    <w:rsid w:val="000E4E6E"/>
    <w:rsid w:val="000E4E8C"/>
    <w:rsid w:val="000E4E95"/>
    <w:rsid w:val="000E4EC9"/>
    <w:rsid w:val="000E4EE6"/>
    <w:rsid w:val="000E4F30"/>
    <w:rsid w:val="000E4F33"/>
    <w:rsid w:val="000E4F37"/>
    <w:rsid w:val="000E4F3B"/>
    <w:rsid w:val="000E4F53"/>
    <w:rsid w:val="000E4F56"/>
    <w:rsid w:val="000E5017"/>
    <w:rsid w:val="000E501A"/>
    <w:rsid w:val="000E502E"/>
    <w:rsid w:val="000E504B"/>
    <w:rsid w:val="000E5091"/>
    <w:rsid w:val="000E50CD"/>
    <w:rsid w:val="000E5111"/>
    <w:rsid w:val="000E5142"/>
    <w:rsid w:val="000E516D"/>
    <w:rsid w:val="000E51B8"/>
    <w:rsid w:val="000E51BF"/>
    <w:rsid w:val="000E51CD"/>
    <w:rsid w:val="000E522E"/>
    <w:rsid w:val="000E5231"/>
    <w:rsid w:val="000E52B9"/>
    <w:rsid w:val="000E52FC"/>
    <w:rsid w:val="000E53B0"/>
    <w:rsid w:val="000E5448"/>
    <w:rsid w:val="000E5456"/>
    <w:rsid w:val="000E549F"/>
    <w:rsid w:val="000E54E3"/>
    <w:rsid w:val="000E5539"/>
    <w:rsid w:val="000E5589"/>
    <w:rsid w:val="000E55E3"/>
    <w:rsid w:val="000E5633"/>
    <w:rsid w:val="000E5769"/>
    <w:rsid w:val="000E57A5"/>
    <w:rsid w:val="000E57C3"/>
    <w:rsid w:val="000E57F3"/>
    <w:rsid w:val="000E57FA"/>
    <w:rsid w:val="000E5862"/>
    <w:rsid w:val="000E589E"/>
    <w:rsid w:val="000E58C0"/>
    <w:rsid w:val="000E5919"/>
    <w:rsid w:val="000E59CC"/>
    <w:rsid w:val="000E59D5"/>
    <w:rsid w:val="000E59E9"/>
    <w:rsid w:val="000E5A2D"/>
    <w:rsid w:val="000E5AB5"/>
    <w:rsid w:val="000E5AD5"/>
    <w:rsid w:val="000E5B5B"/>
    <w:rsid w:val="000E5B5F"/>
    <w:rsid w:val="000E5B71"/>
    <w:rsid w:val="000E5B81"/>
    <w:rsid w:val="000E5BB1"/>
    <w:rsid w:val="000E5BED"/>
    <w:rsid w:val="000E5BFF"/>
    <w:rsid w:val="000E5C2A"/>
    <w:rsid w:val="000E5C6D"/>
    <w:rsid w:val="000E5CC1"/>
    <w:rsid w:val="000E5D39"/>
    <w:rsid w:val="000E5DB5"/>
    <w:rsid w:val="000E5DD6"/>
    <w:rsid w:val="000E5E02"/>
    <w:rsid w:val="000E5E78"/>
    <w:rsid w:val="000E5E81"/>
    <w:rsid w:val="000E5E85"/>
    <w:rsid w:val="000E5E87"/>
    <w:rsid w:val="000E5F24"/>
    <w:rsid w:val="000E5F4C"/>
    <w:rsid w:val="000E5F57"/>
    <w:rsid w:val="000E5FBF"/>
    <w:rsid w:val="000E5FE2"/>
    <w:rsid w:val="000E604F"/>
    <w:rsid w:val="000E6058"/>
    <w:rsid w:val="000E6112"/>
    <w:rsid w:val="000E6157"/>
    <w:rsid w:val="000E61F1"/>
    <w:rsid w:val="000E6251"/>
    <w:rsid w:val="000E62B7"/>
    <w:rsid w:val="000E62F6"/>
    <w:rsid w:val="000E6392"/>
    <w:rsid w:val="000E63E4"/>
    <w:rsid w:val="000E6419"/>
    <w:rsid w:val="000E6435"/>
    <w:rsid w:val="000E6457"/>
    <w:rsid w:val="000E645C"/>
    <w:rsid w:val="000E6492"/>
    <w:rsid w:val="000E64BF"/>
    <w:rsid w:val="000E64C5"/>
    <w:rsid w:val="000E6500"/>
    <w:rsid w:val="000E65C4"/>
    <w:rsid w:val="000E65D7"/>
    <w:rsid w:val="000E65EB"/>
    <w:rsid w:val="000E667E"/>
    <w:rsid w:val="000E6710"/>
    <w:rsid w:val="000E6722"/>
    <w:rsid w:val="000E6736"/>
    <w:rsid w:val="000E683A"/>
    <w:rsid w:val="000E687E"/>
    <w:rsid w:val="000E68A7"/>
    <w:rsid w:val="000E6921"/>
    <w:rsid w:val="000E692F"/>
    <w:rsid w:val="000E69B3"/>
    <w:rsid w:val="000E69C1"/>
    <w:rsid w:val="000E6A03"/>
    <w:rsid w:val="000E6A3D"/>
    <w:rsid w:val="000E6A3F"/>
    <w:rsid w:val="000E6ABA"/>
    <w:rsid w:val="000E6B0F"/>
    <w:rsid w:val="000E6B43"/>
    <w:rsid w:val="000E6B60"/>
    <w:rsid w:val="000E6B64"/>
    <w:rsid w:val="000E6BAE"/>
    <w:rsid w:val="000E6BEE"/>
    <w:rsid w:val="000E6C5F"/>
    <w:rsid w:val="000E6C83"/>
    <w:rsid w:val="000E6D7D"/>
    <w:rsid w:val="000E6D82"/>
    <w:rsid w:val="000E6E39"/>
    <w:rsid w:val="000E6E81"/>
    <w:rsid w:val="000E6E91"/>
    <w:rsid w:val="000E6EA3"/>
    <w:rsid w:val="000E6EBE"/>
    <w:rsid w:val="000E6EF4"/>
    <w:rsid w:val="000E6F91"/>
    <w:rsid w:val="000E6FA3"/>
    <w:rsid w:val="000E6FBF"/>
    <w:rsid w:val="000E7016"/>
    <w:rsid w:val="000E706C"/>
    <w:rsid w:val="000E707C"/>
    <w:rsid w:val="000E7086"/>
    <w:rsid w:val="000E70A0"/>
    <w:rsid w:val="000E7102"/>
    <w:rsid w:val="000E7142"/>
    <w:rsid w:val="000E7159"/>
    <w:rsid w:val="000E7161"/>
    <w:rsid w:val="000E7176"/>
    <w:rsid w:val="000E718A"/>
    <w:rsid w:val="000E718E"/>
    <w:rsid w:val="000E719A"/>
    <w:rsid w:val="000E71D7"/>
    <w:rsid w:val="000E7203"/>
    <w:rsid w:val="000E7281"/>
    <w:rsid w:val="000E7432"/>
    <w:rsid w:val="000E7483"/>
    <w:rsid w:val="000E749E"/>
    <w:rsid w:val="000E74E7"/>
    <w:rsid w:val="000E74E8"/>
    <w:rsid w:val="000E74E9"/>
    <w:rsid w:val="000E753D"/>
    <w:rsid w:val="000E7540"/>
    <w:rsid w:val="000E7550"/>
    <w:rsid w:val="000E756E"/>
    <w:rsid w:val="000E7596"/>
    <w:rsid w:val="000E759A"/>
    <w:rsid w:val="000E7665"/>
    <w:rsid w:val="000E768C"/>
    <w:rsid w:val="000E7729"/>
    <w:rsid w:val="000E7749"/>
    <w:rsid w:val="000E778E"/>
    <w:rsid w:val="000E77A1"/>
    <w:rsid w:val="000E77A2"/>
    <w:rsid w:val="000E77A9"/>
    <w:rsid w:val="000E77BD"/>
    <w:rsid w:val="000E77C5"/>
    <w:rsid w:val="000E77D8"/>
    <w:rsid w:val="000E77F5"/>
    <w:rsid w:val="000E77F6"/>
    <w:rsid w:val="000E77FE"/>
    <w:rsid w:val="000E782B"/>
    <w:rsid w:val="000E78C4"/>
    <w:rsid w:val="000E78D2"/>
    <w:rsid w:val="000E78F5"/>
    <w:rsid w:val="000E7923"/>
    <w:rsid w:val="000E7964"/>
    <w:rsid w:val="000E7A37"/>
    <w:rsid w:val="000E7A62"/>
    <w:rsid w:val="000E7ADC"/>
    <w:rsid w:val="000E7AE4"/>
    <w:rsid w:val="000E7AF7"/>
    <w:rsid w:val="000E7B10"/>
    <w:rsid w:val="000E7B92"/>
    <w:rsid w:val="000E7B93"/>
    <w:rsid w:val="000E7BFA"/>
    <w:rsid w:val="000E7C34"/>
    <w:rsid w:val="000E7C6C"/>
    <w:rsid w:val="000E7C9C"/>
    <w:rsid w:val="000E7DAD"/>
    <w:rsid w:val="000E7DBE"/>
    <w:rsid w:val="000E7DD4"/>
    <w:rsid w:val="000E7E2D"/>
    <w:rsid w:val="000E7EC0"/>
    <w:rsid w:val="000E7F04"/>
    <w:rsid w:val="000E7F85"/>
    <w:rsid w:val="000E7FAC"/>
    <w:rsid w:val="000E7FF9"/>
    <w:rsid w:val="000E82C0"/>
    <w:rsid w:val="000ECD5C"/>
    <w:rsid w:val="000F0041"/>
    <w:rsid w:val="000F004C"/>
    <w:rsid w:val="000F0052"/>
    <w:rsid w:val="000F0071"/>
    <w:rsid w:val="000F0157"/>
    <w:rsid w:val="000F016D"/>
    <w:rsid w:val="000F019F"/>
    <w:rsid w:val="000F01DA"/>
    <w:rsid w:val="000F01E6"/>
    <w:rsid w:val="000F023D"/>
    <w:rsid w:val="000F02A7"/>
    <w:rsid w:val="000F034D"/>
    <w:rsid w:val="000F0392"/>
    <w:rsid w:val="000F03CC"/>
    <w:rsid w:val="000F03E4"/>
    <w:rsid w:val="000F0439"/>
    <w:rsid w:val="000F049B"/>
    <w:rsid w:val="000F04B7"/>
    <w:rsid w:val="000F04DB"/>
    <w:rsid w:val="000F04EC"/>
    <w:rsid w:val="000F0548"/>
    <w:rsid w:val="000F0685"/>
    <w:rsid w:val="000F06C0"/>
    <w:rsid w:val="000F0740"/>
    <w:rsid w:val="000F075E"/>
    <w:rsid w:val="000F07CF"/>
    <w:rsid w:val="000F07EE"/>
    <w:rsid w:val="000F0857"/>
    <w:rsid w:val="000F0887"/>
    <w:rsid w:val="000F09C5"/>
    <w:rsid w:val="000F09DD"/>
    <w:rsid w:val="000F09E3"/>
    <w:rsid w:val="000F0A8E"/>
    <w:rsid w:val="000F0AD7"/>
    <w:rsid w:val="000F0B12"/>
    <w:rsid w:val="000F0B5C"/>
    <w:rsid w:val="000F0B68"/>
    <w:rsid w:val="000F0B6A"/>
    <w:rsid w:val="000F0BBE"/>
    <w:rsid w:val="000F0C04"/>
    <w:rsid w:val="000F0C20"/>
    <w:rsid w:val="000F0C4E"/>
    <w:rsid w:val="000F0C8E"/>
    <w:rsid w:val="000F0CA1"/>
    <w:rsid w:val="000F0CC3"/>
    <w:rsid w:val="000F0D2B"/>
    <w:rsid w:val="000F0D60"/>
    <w:rsid w:val="000F0D68"/>
    <w:rsid w:val="000F0DC8"/>
    <w:rsid w:val="000F0DEE"/>
    <w:rsid w:val="000F0DF3"/>
    <w:rsid w:val="000F0E0A"/>
    <w:rsid w:val="000F0E17"/>
    <w:rsid w:val="000F0E93"/>
    <w:rsid w:val="000F0F32"/>
    <w:rsid w:val="000F0F3C"/>
    <w:rsid w:val="000F0F5E"/>
    <w:rsid w:val="000F0F76"/>
    <w:rsid w:val="000F0F85"/>
    <w:rsid w:val="000F1020"/>
    <w:rsid w:val="000F1087"/>
    <w:rsid w:val="000F108F"/>
    <w:rsid w:val="000F1125"/>
    <w:rsid w:val="000F11A5"/>
    <w:rsid w:val="000F11AD"/>
    <w:rsid w:val="000F11EA"/>
    <w:rsid w:val="000F12CC"/>
    <w:rsid w:val="000F1308"/>
    <w:rsid w:val="000F135A"/>
    <w:rsid w:val="000F13E7"/>
    <w:rsid w:val="000F141F"/>
    <w:rsid w:val="000F157F"/>
    <w:rsid w:val="000F15BB"/>
    <w:rsid w:val="000F15C4"/>
    <w:rsid w:val="000F15DE"/>
    <w:rsid w:val="000F1665"/>
    <w:rsid w:val="000F1670"/>
    <w:rsid w:val="000F169C"/>
    <w:rsid w:val="000F16A0"/>
    <w:rsid w:val="000F17DE"/>
    <w:rsid w:val="000F1809"/>
    <w:rsid w:val="000F1810"/>
    <w:rsid w:val="000F1814"/>
    <w:rsid w:val="000F1847"/>
    <w:rsid w:val="000F184D"/>
    <w:rsid w:val="000F1858"/>
    <w:rsid w:val="000F18A9"/>
    <w:rsid w:val="000F18FC"/>
    <w:rsid w:val="000F192B"/>
    <w:rsid w:val="000F1931"/>
    <w:rsid w:val="000F193D"/>
    <w:rsid w:val="000F198B"/>
    <w:rsid w:val="000F198D"/>
    <w:rsid w:val="000F19A5"/>
    <w:rsid w:val="000F1A5F"/>
    <w:rsid w:val="000F1AFB"/>
    <w:rsid w:val="000F1B4C"/>
    <w:rsid w:val="000F1B7B"/>
    <w:rsid w:val="000F1C3D"/>
    <w:rsid w:val="000F1C5C"/>
    <w:rsid w:val="000F1C60"/>
    <w:rsid w:val="000F1C7D"/>
    <w:rsid w:val="000F1CC0"/>
    <w:rsid w:val="000F1CEA"/>
    <w:rsid w:val="000F1CF9"/>
    <w:rsid w:val="000F1D31"/>
    <w:rsid w:val="000F1D3E"/>
    <w:rsid w:val="000F1D64"/>
    <w:rsid w:val="000F1D78"/>
    <w:rsid w:val="000F1DCA"/>
    <w:rsid w:val="000F1DE7"/>
    <w:rsid w:val="000F1E0E"/>
    <w:rsid w:val="000F1ED1"/>
    <w:rsid w:val="000F1F1A"/>
    <w:rsid w:val="000F1F4A"/>
    <w:rsid w:val="000F1F7E"/>
    <w:rsid w:val="000F1F92"/>
    <w:rsid w:val="000F200C"/>
    <w:rsid w:val="000F20C5"/>
    <w:rsid w:val="000F20C8"/>
    <w:rsid w:val="000F212E"/>
    <w:rsid w:val="000F218D"/>
    <w:rsid w:val="000F21B4"/>
    <w:rsid w:val="000F21E2"/>
    <w:rsid w:val="000F2236"/>
    <w:rsid w:val="000F2254"/>
    <w:rsid w:val="000F2282"/>
    <w:rsid w:val="000F22E3"/>
    <w:rsid w:val="000F235A"/>
    <w:rsid w:val="000F237E"/>
    <w:rsid w:val="000F23BD"/>
    <w:rsid w:val="000F23CB"/>
    <w:rsid w:val="000F2432"/>
    <w:rsid w:val="000F247F"/>
    <w:rsid w:val="000F248B"/>
    <w:rsid w:val="000F2526"/>
    <w:rsid w:val="000F2597"/>
    <w:rsid w:val="000F25D7"/>
    <w:rsid w:val="000F2616"/>
    <w:rsid w:val="000F2622"/>
    <w:rsid w:val="000F26A3"/>
    <w:rsid w:val="000F26EC"/>
    <w:rsid w:val="000F27D9"/>
    <w:rsid w:val="000F2848"/>
    <w:rsid w:val="000F285C"/>
    <w:rsid w:val="000F2885"/>
    <w:rsid w:val="000F28A6"/>
    <w:rsid w:val="000F28D4"/>
    <w:rsid w:val="000F28EB"/>
    <w:rsid w:val="000F2923"/>
    <w:rsid w:val="000F2972"/>
    <w:rsid w:val="000F299A"/>
    <w:rsid w:val="000F2A16"/>
    <w:rsid w:val="000F2A7B"/>
    <w:rsid w:val="000F2A9C"/>
    <w:rsid w:val="000F2B3B"/>
    <w:rsid w:val="000F2B86"/>
    <w:rsid w:val="000F2BD7"/>
    <w:rsid w:val="000F2BEF"/>
    <w:rsid w:val="000F2C3E"/>
    <w:rsid w:val="000F2D47"/>
    <w:rsid w:val="000F2D48"/>
    <w:rsid w:val="000F2D88"/>
    <w:rsid w:val="000F2D96"/>
    <w:rsid w:val="000F2D9D"/>
    <w:rsid w:val="000F2E2F"/>
    <w:rsid w:val="000F2E3C"/>
    <w:rsid w:val="000F2E45"/>
    <w:rsid w:val="000F2EE5"/>
    <w:rsid w:val="000F2F16"/>
    <w:rsid w:val="000F2F2E"/>
    <w:rsid w:val="000F2F46"/>
    <w:rsid w:val="000F2FA3"/>
    <w:rsid w:val="000F2FFE"/>
    <w:rsid w:val="000F301A"/>
    <w:rsid w:val="000F3036"/>
    <w:rsid w:val="000F304D"/>
    <w:rsid w:val="000F3166"/>
    <w:rsid w:val="000F319C"/>
    <w:rsid w:val="000F31AA"/>
    <w:rsid w:val="000F31D6"/>
    <w:rsid w:val="000F31F2"/>
    <w:rsid w:val="000F3203"/>
    <w:rsid w:val="000F3212"/>
    <w:rsid w:val="000F3259"/>
    <w:rsid w:val="000F32A1"/>
    <w:rsid w:val="000F32B4"/>
    <w:rsid w:val="000F32FA"/>
    <w:rsid w:val="000F3344"/>
    <w:rsid w:val="000F3350"/>
    <w:rsid w:val="000F3388"/>
    <w:rsid w:val="000F340A"/>
    <w:rsid w:val="000F3412"/>
    <w:rsid w:val="000F3433"/>
    <w:rsid w:val="000F343E"/>
    <w:rsid w:val="000F3444"/>
    <w:rsid w:val="000F3450"/>
    <w:rsid w:val="000F3468"/>
    <w:rsid w:val="000F3505"/>
    <w:rsid w:val="000F3573"/>
    <w:rsid w:val="000F3579"/>
    <w:rsid w:val="000F3584"/>
    <w:rsid w:val="000F35B1"/>
    <w:rsid w:val="000F35C2"/>
    <w:rsid w:val="000F3606"/>
    <w:rsid w:val="000F3754"/>
    <w:rsid w:val="000F376B"/>
    <w:rsid w:val="000F37F0"/>
    <w:rsid w:val="000F3837"/>
    <w:rsid w:val="000F386C"/>
    <w:rsid w:val="000F38D5"/>
    <w:rsid w:val="000F3965"/>
    <w:rsid w:val="000F3968"/>
    <w:rsid w:val="000F3983"/>
    <w:rsid w:val="000F39A3"/>
    <w:rsid w:val="000F3A6C"/>
    <w:rsid w:val="000F3AA8"/>
    <w:rsid w:val="000F3AB9"/>
    <w:rsid w:val="000F3ADC"/>
    <w:rsid w:val="000F3AE5"/>
    <w:rsid w:val="000F3B2A"/>
    <w:rsid w:val="000F3B47"/>
    <w:rsid w:val="000F3BAE"/>
    <w:rsid w:val="000F3BC0"/>
    <w:rsid w:val="000F3C83"/>
    <w:rsid w:val="000F3D09"/>
    <w:rsid w:val="000F3D1E"/>
    <w:rsid w:val="000F3D2D"/>
    <w:rsid w:val="000F3D3E"/>
    <w:rsid w:val="000F3D97"/>
    <w:rsid w:val="000F3EBF"/>
    <w:rsid w:val="000F3EFC"/>
    <w:rsid w:val="000F3F4F"/>
    <w:rsid w:val="000F3F53"/>
    <w:rsid w:val="000F3F7E"/>
    <w:rsid w:val="000F3F9D"/>
    <w:rsid w:val="000F3FE2"/>
    <w:rsid w:val="000F3FEB"/>
    <w:rsid w:val="000F3FFB"/>
    <w:rsid w:val="000F4011"/>
    <w:rsid w:val="000F4022"/>
    <w:rsid w:val="000F4091"/>
    <w:rsid w:val="000F40C8"/>
    <w:rsid w:val="000F40D0"/>
    <w:rsid w:val="000F410F"/>
    <w:rsid w:val="000F4135"/>
    <w:rsid w:val="000F416F"/>
    <w:rsid w:val="000F4173"/>
    <w:rsid w:val="000F41B7"/>
    <w:rsid w:val="000F41D1"/>
    <w:rsid w:val="000F41E9"/>
    <w:rsid w:val="000F41EC"/>
    <w:rsid w:val="000F420B"/>
    <w:rsid w:val="000F4220"/>
    <w:rsid w:val="000F4240"/>
    <w:rsid w:val="000F42D8"/>
    <w:rsid w:val="000F42E4"/>
    <w:rsid w:val="000F4306"/>
    <w:rsid w:val="000F430A"/>
    <w:rsid w:val="000F435E"/>
    <w:rsid w:val="000F437B"/>
    <w:rsid w:val="000F4389"/>
    <w:rsid w:val="000F4413"/>
    <w:rsid w:val="000F4481"/>
    <w:rsid w:val="000F44D6"/>
    <w:rsid w:val="000F4510"/>
    <w:rsid w:val="000F45D9"/>
    <w:rsid w:val="000F45F8"/>
    <w:rsid w:val="000F4606"/>
    <w:rsid w:val="000F4671"/>
    <w:rsid w:val="000F467B"/>
    <w:rsid w:val="000F4692"/>
    <w:rsid w:val="000F4698"/>
    <w:rsid w:val="000F471F"/>
    <w:rsid w:val="000F47A0"/>
    <w:rsid w:val="000F484E"/>
    <w:rsid w:val="000F487B"/>
    <w:rsid w:val="000F48A1"/>
    <w:rsid w:val="000F48E8"/>
    <w:rsid w:val="000F4979"/>
    <w:rsid w:val="000F4A42"/>
    <w:rsid w:val="000F4A4A"/>
    <w:rsid w:val="000F4A59"/>
    <w:rsid w:val="000F4A62"/>
    <w:rsid w:val="000F4AB4"/>
    <w:rsid w:val="000F4AC0"/>
    <w:rsid w:val="000F4AC8"/>
    <w:rsid w:val="000F4C00"/>
    <w:rsid w:val="000F4C1A"/>
    <w:rsid w:val="000F4CA7"/>
    <w:rsid w:val="000F4D21"/>
    <w:rsid w:val="000F4DA0"/>
    <w:rsid w:val="000F4DC2"/>
    <w:rsid w:val="000F4DE9"/>
    <w:rsid w:val="000F4E8A"/>
    <w:rsid w:val="000F4EAB"/>
    <w:rsid w:val="000F4EB0"/>
    <w:rsid w:val="000F4ECF"/>
    <w:rsid w:val="000F4EFD"/>
    <w:rsid w:val="000F4F02"/>
    <w:rsid w:val="000F4FB0"/>
    <w:rsid w:val="000F5002"/>
    <w:rsid w:val="000F500B"/>
    <w:rsid w:val="000F503A"/>
    <w:rsid w:val="000F507E"/>
    <w:rsid w:val="000F50B0"/>
    <w:rsid w:val="000F50BE"/>
    <w:rsid w:val="000F50E2"/>
    <w:rsid w:val="000F50F3"/>
    <w:rsid w:val="000F5111"/>
    <w:rsid w:val="000F515C"/>
    <w:rsid w:val="000F5172"/>
    <w:rsid w:val="000F517D"/>
    <w:rsid w:val="000F51CD"/>
    <w:rsid w:val="000F51DF"/>
    <w:rsid w:val="000F5205"/>
    <w:rsid w:val="000F5207"/>
    <w:rsid w:val="000F524C"/>
    <w:rsid w:val="000F52E0"/>
    <w:rsid w:val="000F5319"/>
    <w:rsid w:val="000F5320"/>
    <w:rsid w:val="000F5393"/>
    <w:rsid w:val="000F53C5"/>
    <w:rsid w:val="000F53D3"/>
    <w:rsid w:val="000F5415"/>
    <w:rsid w:val="000F5442"/>
    <w:rsid w:val="000F5484"/>
    <w:rsid w:val="000F54B3"/>
    <w:rsid w:val="000F54C5"/>
    <w:rsid w:val="000F54D8"/>
    <w:rsid w:val="000F54FE"/>
    <w:rsid w:val="000F551E"/>
    <w:rsid w:val="000F5533"/>
    <w:rsid w:val="000F5597"/>
    <w:rsid w:val="000F5632"/>
    <w:rsid w:val="000F564F"/>
    <w:rsid w:val="000F568B"/>
    <w:rsid w:val="000F56D4"/>
    <w:rsid w:val="000F5728"/>
    <w:rsid w:val="000F5745"/>
    <w:rsid w:val="000F5759"/>
    <w:rsid w:val="000F57B5"/>
    <w:rsid w:val="000F5827"/>
    <w:rsid w:val="000F5831"/>
    <w:rsid w:val="000F588D"/>
    <w:rsid w:val="000F58B8"/>
    <w:rsid w:val="000F58D6"/>
    <w:rsid w:val="000F58D9"/>
    <w:rsid w:val="000F58DF"/>
    <w:rsid w:val="000F58E9"/>
    <w:rsid w:val="000F5970"/>
    <w:rsid w:val="000F59AC"/>
    <w:rsid w:val="000F5A4B"/>
    <w:rsid w:val="000F5A65"/>
    <w:rsid w:val="000F5A71"/>
    <w:rsid w:val="000F5A8B"/>
    <w:rsid w:val="000F5B10"/>
    <w:rsid w:val="000F5B27"/>
    <w:rsid w:val="000F5B53"/>
    <w:rsid w:val="000F5B7C"/>
    <w:rsid w:val="000F5B7D"/>
    <w:rsid w:val="000F5BDF"/>
    <w:rsid w:val="000F5BF5"/>
    <w:rsid w:val="000F5C0F"/>
    <w:rsid w:val="000F5C14"/>
    <w:rsid w:val="000F5C30"/>
    <w:rsid w:val="000F5CA4"/>
    <w:rsid w:val="000F5CA8"/>
    <w:rsid w:val="000F5CB4"/>
    <w:rsid w:val="000F5CE1"/>
    <w:rsid w:val="000F5D99"/>
    <w:rsid w:val="000F5E03"/>
    <w:rsid w:val="000F5E07"/>
    <w:rsid w:val="000F5E08"/>
    <w:rsid w:val="000F5E7B"/>
    <w:rsid w:val="000F5EDE"/>
    <w:rsid w:val="000F5F15"/>
    <w:rsid w:val="000F5F2F"/>
    <w:rsid w:val="000F5F36"/>
    <w:rsid w:val="000F5F4A"/>
    <w:rsid w:val="000F5FD0"/>
    <w:rsid w:val="000F6012"/>
    <w:rsid w:val="000F6018"/>
    <w:rsid w:val="000F6036"/>
    <w:rsid w:val="000F60A7"/>
    <w:rsid w:val="000F60BA"/>
    <w:rsid w:val="000F60F7"/>
    <w:rsid w:val="000F61AF"/>
    <w:rsid w:val="000F6273"/>
    <w:rsid w:val="000F6294"/>
    <w:rsid w:val="000F62D9"/>
    <w:rsid w:val="000F6339"/>
    <w:rsid w:val="000F634E"/>
    <w:rsid w:val="000F639D"/>
    <w:rsid w:val="000F63C9"/>
    <w:rsid w:val="000F63D9"/>
    <w:rsid w:val="000F63DA"/>
    <w:rsid w:val="000F63E4"/>
    <w:rsid w:val="000F63EF"/>
    <w:rsid w:val="000F6425"/>
    <w:rsid w:val="000F6436"/>
    <w:rsid w:val="000F6442"/>
    <w:rsid w:val="000F64B3"/>
    <w:rsid w:val="000F64C4"/>
    <w:rsid w:val="000F6513"/>
    <w:rsid w:val="000F6517"/>
    <w:rsid w:val="000F651F"/>
    <w:rsid w:val="000F65A9"/>
    <w:rsid w:val="000F65B6"/>
    <w:rsid w:val="000F6623"/>
    <w:rsid w:val="000F6633"/>
    <w:rsid w:val="000F664F"/>
    <w:rsid w:val="000F6661"/>
    <w:rsid w:val="000F6672"/>
    <w:rsid w:val="000F6677"/>
    <w:rsid w:val="000F669C"/>
    <w:rsid w:val="000F66B3"/>
    <w:rsid w:val="000F66BE"/>
    <w:rsid w:val="000F66FC"/>
    <w:rsid w:val="000F671F"/>
    <w:rsid w:val="000F67AF"/>
    <w:rsid w:val="000F6820"/>
    <w:rsid w:val="000F68BC"/>
    <w:rsid w:val="000F68CA"/>
    <w:rsid w:val="000F68FE"/>
    <w:rsid w:val="000F690D"/>
    <w:rsid w:val="000F6956"/>
    <w:rsid w:val="000F6993"/>
    <w:rsid w:val="000F69AD"/>
    <w:rsid w:val="000F6A39"/>
    <w:rsid w:val="000F6A7D"/>
    <w:rsid w:val="000F6A82"/>
    <w:rsid w:val="000F6B03"/>
    <w:rsid w:val="000F6B04"/>
    <w:rsid w:val="000F6B94"/>
    <w:rsid w:val="000F6BD0"/>
    <w:rsid w:val="000F6BD3"/>
    <w:rsid w:val="000F6BED"/>
    <w:rsid w:val="000F6C56"/>
    <w:rsid w:val="000F6C5E"/>
    <w:rsid w:val="000F6C5F"/>
    <w:rsid w:val="000F6C6C"/>
    <w:rsid w:val="000F6C6D"/>
    <w:rsid w:val="000F6CE3"/>
    <w:rsid w:val="000F6D05"/>
    <w:rsid w:val="000F6D06"/>
    <w:rsid w:val="000F6D7A"/>
    <w:rsid w:val="000F6DB8"/>
    <w:rsid w:val="000F6DD4"/>
    <w:rsid w:val="000F6E0D"/>
    <w:rsid w:val="000F6E2B"/>
    <w:rsid w:val="000F6E7C"/>
    <w:rsid w:val="000F6F60"/>
    <w:rsid w:val="000F6F6E"/>
    <w:rsid w:val="000F6FA6"/>
    <w:rsid w:val="000F6FA8"/>
    <w:rsid w:val="000F6FAD"/>
    <w:rsid w:val="000F7009"/>
    <w:rsid w:val="000F7022"/>
    <w:rsid w:val="000F7050"/>
    <w:rsid w:val="000F7057"/>
    <w:rsid w:val="000F70E2"/>
    <w:rsid w:val="000F70FC"/>
    <w:rsid w:val="000F7132"/>
    <w:rsid w:val="000F7151"/>
    <w:rsid w:val="000F718D"/>
    <w:rsid w:val="000F71D8"/>
    <w:rsid w:val="000F71FB"/>
    <w:rsid w:val="000F726E"/>
    <w:rsid w:val="000F72E0"/>
    <w:rsid w:val="000F7355"/>
    <w:rsid w:val="000F73A6"/>
    <w:rsid w:val="000F740F"/>
    <w:rsid w:val="000F7494"/>
    <w:rsid w:val="000F75C2"/>
    <w:rsid w:val="000F760E"/>
    <w:rsid w:val="000F7618"/>
    <w:rsid w:val="000F7670"/>
    <w:rsid w:val="000F7675"/>
    <w:rsid w:val="000F76C3"/>
    <w:rsid w:val="000F76F7"/>
    <w:rsid w:val="000F7731"/>
    <w:rsid w:val="000F7735"/>
    <w:rsid w:val="000F77B3"/>
    <w:rsid w:val="000F783E"/>
    <w:rsid w:val="000F7881"/>
    <w:rsid w:val="000F791E"/>
    <w:rsid w:val="000F7950"/>
    <w:rsid w:val="000F7974"/>
    <w:rsid w:val="000F797B"/>
    <w:rsid w:val="000F7994"/>
    <w:rsid w:val="000F79B2"/>
    <w:rsid w:val="000F79D5"/>
    <w:rsid w:val="000F7A08"/>
    <w:rsid w:val="000F7A60"/>
    <w:rsid w:val="000F7AD1"/>
    <w:rsid w:val="000F7B38"/>
    <w:rsid w:val="000F7B42"/>
    <w:rsid w:val="000F7B44"/>
    <w:rsid w:val="000F7B65"/>
    <w:rsid w:val="000F7C16"/>
    <w:rsid w:val="000F7C55"/>
    <w:rsid w:val="000F7C88"/>
    <w:rsid w:val="000F7C97"/>
    <w:rsid w:val="000F7C98"/>
    <w:rsid w:val="000F7CFE"/>
    <w:rsid w:val="000F7D49"/>
    <w:rsid w:val="000F7D75"/>
    <w:rsid w:val="000F7DD3"/>
    <w:rsid w:val="000F7E45"/>
    <w:rsid w:val="000F7E59"/>
    <w:rsid w:val="000F7E9A"/>
    <w:rsid w:val="000F7EAD"/>
    <w:rsid w:val="000F7EC8"/>
    <w:rsid w:val="000F7EED"/>
    <w:rsid w:val="000F7F13"/>
    <w:rsid w:val="000F7F1F"/>
    <w:rsid w:val="000F7F56"/>
    <w:rsid w:val="000F7FA8"/>
    <w:rsid w:val="000F7FE1"/>
    <w:rsid w:val="00100013"/>
    <w:rsid w:val="00100022"/>
    <w:rsid w:val="00100033"/>
    <w:rsid w:val="0010005F"/>
    <w:rsid w:val="00100087"/>
    <w:rsid w:val="00100099"/>
    <w:rsid w:val="00100131"/>
    <w:rsid w:val="0010014B"/>
    <w:rsid w:val="00100200"/>
    <w:rsid w:val="001002BD"/>
    <w:rsid w:val="001002E6"/>
    <w:rsid w:val="001002E8"/>
    <w:rsid w:val="001002EA"/>
    <w:rsid w:val="00100351"/>
    <w:rsid w:val="001003B5"/>
    <w:rsid w:val="00100423"/>
    <w:rsid w:val="0010043F"/>
    <w:rsid w:val="0010044A"/>
    <w:rsid w:val="00100512"/>
    <w:rsid w:val="00100581"/>
    <w:rsid w:val="001005AC"/>
    <w:rsid w:val="001005F9"/>
    <w:rsid w:val="00100608"/>
    <w:rsid w:val="00100618"/>
    <w:rsid w:val="00100627"/>
    <w:rsid w:val="00100648"/>
    <w:rsid w:val="00100649"/>
    <w:rsid w:val="00100669"/>
    <w:rsid w:val="0010067E"/>
    <w:rsid w:val="001006C7"/>
    <w:rsid w:val="001006D9"/>
    <w:rsid w:val="00100722"/>
    <w:rsid w:val="00100798"/>
    <w:rsid w:val="00100811"/>
    <w:rsid w:val="00100873"/>
    <w:rsid w:val="001008CF"/>
    <w:rsid w:val="001008FE"/>
    <w:rsid w:val="00100956"/>
    <w:rsid w:val="00100961"/>
    <w:rsid w:val="001009F3"/>
    <w:rsid w:val="00100A2D"/>
    <w:rsid w:val="00100A40"/>
    <w:rsid w:val="00100ABB"/>
    <w:rsid w:val="00100AC7"/>
    <w:rsid w:val="00100B06"/>
    <w:rsid w:val="00100BDD"/>
    <w:rsid w:val="00100C00"/>
    <w:rsid w:val="00100C08"/>
    <w:rsid w:val="00100C29"/>
    <w:rsid w:val="00100C75"/>
    <w:rsid w:val="00100CAD"/>
    <w:rsid w:val="00100CB1"/>
    <w:rsid w:val="00100D0F"/>
    <w:rsid w:val="00100D14"/>
    <w:rsid w:val="00100D3E"/>
    <w:rsid w:val="00100D63"/>
    <w:rsid w:val="00100D67"/>
    <w:rsid w:val="00100D9C"/>
    <w:rsid w:val="00100DAE"/>
    <w:rsid w:val="00100E03"/>
    <w:rsid w:val="00100E35"/>
    <w:rsid w:val="00100E65"/>
    <w:rsid w:val="00100E8D"/>
    <w:rsid w:val="00100E9D"/>
    <w:rsid w:val="00100ECE"/>
    <w:rsid w:val="00100EE2"/>
    <w:rsid w:val="00100F28"/>
    <w:rsid w:val="00100F5C"/>
    <w:rsid w:val="001010DC"/>
    <w:rsid w:val="00101162"/>
    <w:rsid w:val="00101174"/>
    <w:rsid w:val="001011C9"/>
    <w:rsid w:val="001011D2"/>
    <w:rsid w:val="00101212"/>
    <w:rsid w:val="00101224"/>
    <w:rsid w:val="00101225"/>
    <w:rsid w:val="001012B8"/>
    <w:rsid w:val="001012C6"/>
    <w:rsid w:val="00101339"/>
    <w:rsid w:val="00101341"/>
    <w:rsid w:val="00101346"/>
    <w:rsid w:val="0010136A"/>
    <w:rsid w:val="001013D2"/>
    <w:rsid w:val="001013D4"/>
    <w:rsid w:val="00101495"/>
    <w:rsid w:val="00101517"/>
    <w:rsid w:val="00101594"/>
    <w:rsid w:val="0010164D"/>
    <w:rsid w:val="001016D7"/>
    <w:rsid w:val="00101703"/>
    <w:rsid w:val="00101752"/>
    <w:rsid w:val="00101758"/>
    <w:rsid w:val="00101779"/>
    <w:rsid w:val="0010179D"/>
    <w:rsid w:val="001017C5"/>
    <w:rsid w:val="0010180B"/>
    <w:rsid w:val="00101829"/>
    <w:rsid w:val="00101840"/>
    <w:rsid w:val="00101890"/>
    <w:rsid w:val="0010189F"/>
    <w:rsid w:val="001018A6"/>
    <w:rsid w:val="001018C1"/>
    <w:rsid w:val="0010199C"/>
    <w:rsid w:val="001019A3"/>
    <w:rsid w:val="00101A49"/>
    <w:rsid w:val="00101B00"/>
    <w:rsid w:val="00101B34"/>
    <w:rsid w:val="00101B5C"/>
    <w:rsid w:val="00101BA5"/>
    <w:rsid w:val="00101BE6"/>
    <w:rsid w:val="00101BF3"/>
    <w:rsid w:val="00101C12"/>
    <w:rsid w:val="00101C35"/>
    <w:rsid w:val="00101C8A"/>
    <w:rsid w:val="00101C90"/>
    <w:rsid w:val="00101C92"/>
    <w:rsid w:val="00101D07"/>
    <w:rsid w:val="00101D2A"/>
    <w:rsid w:val="00101D32"/>
    <w:rsid w:val="00101D3E"/>
    <w:rsid w:val="00101D68"/>
    <w:rsid w:val="00101D70"/>
    <w:rsid w:val="00101DA4"/>
    <w:rsid w:val="00101E5A"/>
    <w:rsid w:val="00101F24"/>
    <w:rsid w:val="00101F77"/>
    <w:rsid w:val="00101F89"/>
    <w:rsid w:val="00101FCC"/>
    <w:rsid w:val="00102049"/>
    <w:rsid w:val="001020DD"/>
    <w:rsid w:val="00102164"/>
    <w:rsid w:val="00102167"/>
    <w:rsid w:val="0010217E"/>
    <w:rsid w:val="0010219F"/>
    <w:rsid w:val="00102240"/>
    <w:rsid w:val="00102255"/>
    <w:rsid w:val="00102286"/>
    <w:rsid w:val="0010229F"/>
    <w:rsid w:val="001022BA"/>
    <w:rsid w:val="001022BC"/>
    <w:rsid w:val="00102361"/>
    <w:rsid w:val="0010237C"/>
    <w:rsid w:val="001023C6"/>
    <w:rsid w:val="00102432"/>
    <w:rsid w:val="0010244E"/>
    <w:rsid w:val="0010247D"/>
    <w:rsid w:val="001024C4"/>
    <w:rsid w:val="001024FA"/>
    <w:rsid w:val="0010255F"/>
    <w:rsid w:val="00102564"/>
    <w:rsid w:val="001025AC"/>
    <w:rsid w:val="001025B1"/>
    <w:rsid w:val="001025BF"/>
    <w:rsid w:val="001025C5"/>
    <w:rsid w:val="001025E4"/>
    <w:rsid w:val="00102651"/>
    <w:rsid w:val="001026CE"/>
    <w:rsid w:val="001026DD"/>
    <w:rsid w:val="001026E1"/>
    <w:rsid w:val="00102745"/>
    <w:rsid w:val="00102756"/>
    <w:rsid w:val="00102794"/>
    <w:rsid w:val="001027B3"/>
    <w:rsid w:val="001027D0"/>
    <w:rsid w:val="001027D9"/>
    <w:rsid w:val="00102824"/>
    <w:rsid w:val="00102831"/>
    <w:rsid w:val="0010286B"/>
    <w:rsid w:val="0010289D"/>
    <w:rsid w:val="001028AE"/>
    <w:rsid w:val="001028B0"/>
    <w:rsid w:val="001028BC"/>
    <w:rsid w:val="0010293A"/>
    <w:rsid w:val="00102974"/>
    <w:rsid w:val="00102978"/>
    <w:rsid w:val="00102984"/>
    <w:rsid w:val="001029CE"/>
    <w:rsid w:val="00102A20"/>
    <w:rsid w:val="00102A3B"/>
    <w:rsid w:val="00102A52"/>
    <w:rsid w:val="00102AD4"/>
    <w:rsid w:val="00102AE0"/>
    <w:rsid w:val="00102B51"/>
    <w:rsid w:val="00102B93"/>
    <w:rsid w:val="00102BBF"/>
    <w:rsid w:val="00102BF7"/>
    <w:rsid w:val="00102C4E"/>
    <w:rsid w:val="00102CDE"/>
    <w:rsid w:val="00102D24"/>
    <w:rsid w:val="00102D4C"/>
    <w:rsid w:val="00102D66"/>
    <w:rsid w:val="00102D93"/>
    <w:rsid w:val="00102DE7"/>
    <w:rsid w:val="00102E71"/>
    <w:rsid w:val="00102E74"/>
    <w:rsid w:val="00102E90"/>
    <w:rsid w:val="00102F02"/>
    <w:rsid w:val="00102F07"/>
    <w:rsid w:val="00102F5C"/>
    <w:rsid w:val="00102F63"/>
    <w:rsid w:val="00102FA5"/>
    <w:rsid w:val="0010307C"/>
    <w:rsid w:val="00103152"/>
    <w:rsid w:val="00103158"/>
    <w:rsid w:val="001031FE"/>
    <w:rsid w:val="00103292"/>
    <w:rsid w:val="001032A4"/>
    <w:rsid w:val="0010330B"/>
    <w:rsid w:val="00103339"/>
    <w:rsid w:val="00103356"/>
    <w:rsid w:val="0010336A"/>
    <w:rsid w:val="001033B9"/>
    <w:rsid w:val="001033F7"/>
    <w:rsid w:val="001034B1"/>
    <w:rsid w:val="001034C0"/>
    <w:rsid w:val="00103536"/>
    <w:rsid w:val="00103567"/>
    <w:rsid w:val="001035D5"/>
    <w:rsid w:val="0010364B"/>
    <w:rsid w:val="0010368F"/>
    <w:rsid w:val="00103695"/>
    <w:rsid w:val="001036AF"/>
    <w:rsid w:val="001036B3"/>
    <w:rsid w:val="0010370E"/>
    <w:rsid w:val="00103721"/>
    <w:rsid w:val="00103749"/>
    <w:rsid w:val="001037BB"/>
    <w:rsid w:val="0010380C"/>
    <w:rsid w:val="0010383B"/>
    <w:rsid w:val="0010385F"/>
    <w:rsid w:val="00103886"/>
    <w:rsid w:val="0010389F"/>
    <w:rsid w:val="001038E3"/>
    <w:rsid w:val="001038F9"/>
    <w:rsid w:val="0010397F"/>
    <w:rsid w:val="00103A8C"/>
    <w:rsid w:val="00103AD0"/>
    <w:rsid w:val="00103ADC"/>
    <w:rsid w:val="00103AE0"/>
    <w:rsid w:val="00103B88"/>
    <w:rsid w:val="00103BB2"/>
    <w:rsid w:val="00103BD1"/>
    <w:rsid w:val="00103C11"/>
    <w:rsid w:val="00103C2D"/>
    <w:rsid w:val="00103C56"/>
    <w:rsid w:val="00103C70"/>
    <w:rsid w:val="00103C88"/>
    <w:rsid w:val="00103D1B"/>
    <w:rsid w:val="00103D46"/>
    <w:rsid w:val="00103D9F"/>
    <w:rsid w:val="00103DFE"/>
    <w:rsid w:val="00103E8A"/>
    <w:rsid w:val="00103EB8"/>
    <w:rsid w:val="00103F07"/>
    <w:rsid w:val="00103F0F"/>
    <w:rsid w:val="00103F4E"/>
    <w:rsid w:val="00103F5C"/>
    <w:rsid w:val="00103FA0"/>
    <w:rsid w:val="00103FDB"/>
    <w:rsid w:val="00103FE2"/>
    <w:rsid w:val="00103FF4"/>
    <w:rsid w:val="0010400A"/>
    <w:rsid w:val="00104034"/>
    <w:rsid w:val="001040AA"/>
    <w:rsid w:val="001040EC"/>
    <w:rsid w:val="00104105"/>
    <w:rsid w:val="0010412D"/>
    <w:rsid w:val="0010413C"/>
    <w:rsid w:val="001041D9"/>
    <w:rsid w:val="001041E0"/>
    <w:rsid w:val="00104220"/>
    <w:rsid w:val="00104247"/>
    <w:rsid w:val="00104276"/>
    <w:rsid w:val="0010429A"/>
    <w:rsid w:val="001042A7"/>
    <w:rsid w:val="0010430C"/>
    <w:rsid w:val="00104343"/>
    <w:rsid w:val="0010444F"/>
    <w:rsid w:val="001044A7"/>
    <w:rsid w:val="001044AB"/>
    <w:rsid w:val="0010452C"/>
    <w:rsid w:val="00104537"/>
    <w:rsid w:val="00104557"/>
    <w:rsid w:val="00104594"/>
    <w:rsid w:val="001045D1"/>
    <w:rsid w:val="001045E1"/>
    <w:rsid w:val="001045F4"/>
    <w:rsid w:val="0010462F"/>
    <w:rsid w:val="001046A4"/>
    <w:rsid w:val="00104745"/>
    <w:rsid w:val="00104751"/>
    <w:rsid w:val="00104772"/>
    <w:rsid w:val="001047A1"/>
    <w:rsid w:val="001047CA"/>
    <w:rsid w:val="0010482A"/>
    <w:rsid w:val="0010483A"/>
    <w:rsid w:val="00104858"/>
    <w:rsid w:val="001048AF"/>
    <w:rsid w:val="0010496F"/>
    <w:rsid w:val="001049B7"/>
    <w:rsid w:val="001049BF"/>
    <w:rsid w:val="001049EC"/>
    <w:rsid w:val="001049F8"/>
    <w:rsid w:val="00104A0D"/>
    <w:rsid w:val="00104A38"/>
    <w:rsid w:val="00104A70"/>
    <w:rsid w:val="00104A95"/>
    <w:rsid w:val="00104AC8"/>
    <w:rsid w:val="00104AE1"/>
    <w:rsid w:val="00104AF8"/>
    <w:rsid w:val="00104B0E"/>
    <w:rsid w:val="00104B16"/>
    <w:rsid w:val="00104B30"/>
    <w:rsid w:val="00104C1C"/>
    <w:rsid w:val="00104C81"/>
    <w:rsid w:val="00104CD0"/>
    <w:rsid w:val="00104CF2"/>
    <w:rsid w:val="00104D0D"/>
    <w:rsid w:val="00104D22"/>
    <w:rsid w:val="00104D2F"/>
    <w:rsid w:val="00104D3B"/>
    <w:rsid w:val="00104DAB"/>
    <w:rsid w:val="00104DD0"/>
    <w:rsid w:val="00104E14"/>
    <w:rsid w:val="00104E88"/>
    <w:rsid w:val="00104EB6"/>
    <w:rsid w:val="00104EC2"/>
    <w:rsid w:val="00104EE7"/>
    <w:rsid w:val="00104F0A"/>
    <w:rsid w:val="00104F60"/>
    <w:rsid w:val="00104F6C"/>
    <w:rsid w:val="00104F95"/>
    <w:rsid w:val="00104FEC"/>
    <w:rsid w:val="00105088"/>
    <w:rsid w:val="001050DE"/>
    <w:rsid w:val="00105146"/>
    <w:rsid w:val="00105163"/>
    <w:rsid w:val="001051E5"/>
    <w:rsid w:val="00105257"/>
    <w:rsid w:val="001052F5"/>
    <w:rsid w:val="0010532C"/>
    <w:rsid w:val="00105356"/>
    <w:rsid w:val="00105357"/>
    <w:rsid w:val="00105369"/>
    <w:rsid w:val="00105385"/>
    <w:rsid w:val="001053DB"/>
    <w:rsid w:val="001053FB"/>
    <w:rsid w:val="0010542C"/>
    <w:rsid w:val="0010542E"/>
    <w:rsid w:val="00105438"/>
    <w:rsid w:val="00105513"/>
    <w:rsid w:val="00105583"/>
    <w:rsid w:val="001055AE"/>
    <w:rsid w:val="001055EE"/>
    <w:rsid w:val="00105628"/>
    <w:rsid w:val="00105673"/>
    <w:rsid w:val="00105677"/>
    <w:rsid w:val="0010567D"/>
    <w:rsid w:val="00105686"/>
    <w:rsid w:val="00105690"/>
    <w:rsid w:val="001056D1"/>
    <w:rsid w:val="001056E3"/>
    <w:rsid w:val="001056FF"/>
    <w:rsid w:val="00105700"/>
    <w:rsid w:val="00105712"/>
    <w:rsid w:val="00105767"/>
    <w:rsid w:val="001057D5"/>
    <w:rsid w:val="00105839"/>
    <w:rsid w:val="00105878"/>
    <w:rsid w:val="001058A1"/>
    <w:rsid w:val="001058BF"/>
    <w:rsid w:val="001058D5"/>
    <w:rsid w:val="001058D9"/>
    <w:rsid w:val="001058FD"/>
    <w:rsid w:val="00105929"/>
    <w:rsid w:val="00105953"/>
    <w:rsid w:val="001059F4"/>
    <w:rsid w:val="001059FE"/>
    <w:rsid w:val="00105A0D"/>
    <w:rsid w:val="00105A15"/>
    <w:rsid w:val="00105A43"/>
    <w:rsid w:val="00105A5D"/>
    <w:rsid w:val="00105A96"/>
    <w:rsid w:val="00105ADF"/>
    <w:rsid w:val="00105B04"/>
    <w:rsid w:val="00105B0A"/>
    <w:rsid w:val="00105B13"/>
    <w:rsid w:val="00105B3D"/>
    <w:rsid w:val="00105B6B"/>
    <w:rsid w:val="00105BE5"/>
    <w:rsid w:val="00105C87"/>
    <w:rsid w:val="00105D12"/>
    <w:rsid w:val="00105D1D"/>
    <w:rsid w:val="00105D39"/>
    <w:rsid w:val="00105E04"/>
    <w:rsid w:val="00105E07"/>
    <w:rsid w:val="00105E68"/>
    <w:rsid w:val="00105EF3"/>
    <w:rsid w:val="00105EF6"/>
    <w:rsid w:val="00105F2D"/>
    <w:rsid w:val="00105F4B"/>
    <w:rsid w:val="00105F65"/>
    <w:rsid w:val="00105FBD"/>
    <w:rsid w:val="00105FEC"/>
    <w:rsid w:val="00106017"/>
    <w:rsid w:val="00106034"/>
    <w:rsid w:val="001060B7"/>
    <w:rsid w:val="001060B9"/>
    <w:rsid w:val="00106274"/>
    <w:rsid w:val="001062DE"/>
    <w:rsid w:val="00106307"/>
    <w:rsid w:val="00106328"/>
    <w:rsid w:val="00106386"/>
    <w:rsid w:val="00106392"/>
    <w:rsid w:val="001063B2"/>
    <w:rsid w:val="001063D7"/>
    <w:rsid w:val="00106422"/>
    <w:rsid w:val="0010642D"/>
    <w:rsid w:val="00106497"/>
    <w:rsid w:val="001064C3"/>
    <w:rsid w:val="001064E9"/>
    <w:rsid w:val="001064F7"/>
    <w:rsid w:val="00106500"/>
    <w:rsid w:val="001065AA"/>
    <w:rsid w:val="001065AB"/>
    <w:rsid w:val="00106645"/>
    <w:rsid w:val="0010665C"/>
    <w:rsid w:val="001066A4"/>
    <w:rsid w:val="0010674E"/>
    <w:rsid w:val="0010680F"/>
    <w:rsid w:val="00106863"/>
    <w:rsid w:val="00106881"/>
    <w:rsid w:val="0010691D"/>
    <w:rsid w:val="0010692F"/>
    <w:rsid w:val="00106953"/>
    <w:rsid w:val="0010696C"/>
    <w:rsid w:val="00106991"/>
    <w:rsid w:val="0010699A"/>
    <w:rsid w:val="00106A03"/>
    <w:rsid w:val="00106B64"/>
    <w:rsid w:val="00106BA0"/>
    <w:rsid w:val="00106BB1"/>
    <w:rsid w:val="00106BC6"/>
    <w:rsid w:val="00106C31"/>
    <w:rsid w:val="00106C6C"/>
    <w:rsid w:val="00106C9C"/>
    <w:rsid w:val="00106CB2"/>
    <w:rsid w:val="00106CD7"/>
    <w:rsid w:val="00106D19"/>
    <w:rsid w:val="00106D86"/>
    <w:rsid w:val="00106DBB"/>
    <w:rsid w:val="00106DC0"/>
    <w:rsid w:val="00106E31"/>
    <w:rsid w:val="00106E38"/>
    <w:rsid w:val="00106E55"/>
    <w:rsid w:val="00106E83"/>
    <w:rsid w:val="00106EE4"/>
    <w:rsid w:val="00106F0A"/>
    <w:rsid w:val="00107063"/>
    <w:rsid w:val="0010709E"/>
    <w:rsid w:val="001070A0"/>
    <w:rsid w:val="001070C2"/>
    <w:rsid w:val="001070DB"/>
    <w:rsid w:val="00107123"/>
    <w:rsid w:val="001071B0"/>
    <w:rsid w:val="0010724A"/>
    <w:rsid w:val="0010725C"/>
    <w:rsid w:val="00107325"/>
    <w:rsid w:val="0010734E"/>
    <w:rsid w:val="00107371"/>
    <w:rsid w:val="001073EF"/>
    <w:rsid w:val="001074C9"/>
    <w:rsid w:val="001074E7"/>
    <w:rsid w:val="00107510"/>
    <w:rsid w:val="00107530"/>
    <w:rsid w:val="0010753C"/>
    <w:rsid w:val="00107552"/>
    <w:rsid w:val="00107558"/>
    <w:rsid w:val="001075C5"/>
    <w:rsid w:val="00107615"/>
    <w:rsid w:val="0010768E"/>
    <w:rsid w:val="00107692"/>
    <w:rsid w:val="00107696"/>
    <w:rsid w:val="001076BE"/>
    <w:rsid w:val="001076E5"/>
    <w:rsid w:val="0010771A"/>
    <w:rsid w:val="00107755"/>
    <w:rsid w:val="00107781"/>
    <w:rsid w:val="00107793"/>
    <w:rsid w:val="001077A9"/>
    <w:rsid w:val="001077C6"/>
    <w:rsid w:val="0010787E"/>
    <w:rsid w:val="00107899"/>
    <w:rsid w:val="001078D9"/>
    <w:rsid w:val="001078F2"/>
    <w:rsid w:val="00107930"/>
    <w:rsid w:val="0010795A"/>
    <w:rsid w:val="001079A5"/>
    <w:rsid w:val="001079DC"/>
    <w:rsid w:val="00107A74"/>
    <w:rsid w:val="00107ACE"/>
    <w:rsid w:val="00107ADF"/>
    <w:rsid w:val="00107AE4"/>
    <w:rsid w:val="00107B1E"/>
    <w:rsid w:val="00107BA7"/>
    <w:rsid w:val="00107BE6"/>
    <w:rsid w:val="00107BE9"/>
    <w:rsid w:val="00107BFA"/>
    <w:rsid w:val="00107C4A"/>
    <w:rsid w:val="00107C4F"/>
    <w:rsid w:val="00107CB1"/>
    <w:rsid w:val="00107CFE"/>
    <w:rsid w:val="00107D58"/>
    <w:rsid w:val="00107E1B"/>
    <w:rsid w:val="00107E2B"/>
    <w:rsid w:val="00107E9A"/>
    <w:rsid w:val="00107E9F"/>
    <w:rsid w:val="00107EE6"/>
    <w:rsid w:val="00107F26"/>
    <w:rsid w:val="00107F33"/>
    <w:rsid w:val="00107F64"/>
    <w:rsid w:val="00107F72"/>
    <w:rsid w:val="00107F78"/>
    <w:rsid w:val="00107FFD"/>
    <w:rsid w:val="0010DD67"/>
    <w:rsid w:val="00110036"/>
    <w:rsid w:val="00110098"/>
    <w:rsid w:val="001100A1"/>
    <w:rsid w:val="001100FE"/>
    <w:rsid w:val="00110117"/>
    <w:rsid w:val="00110135"/>
    <w:rsid w:val="0011014B"/>
    <w:rsid w:val="00110160"/>
    <w:rsid w:val="00110193"/>
    <w:rsid w:val="00110196"/>
    <w:rsid w:val="001101EB"/>
    <w:rsid w:val="00110269"/>
    <w:rsid w:val="001102A5"/>
    <w:rsid w:val="001102FE"/>
    <w:rsid w:val="00110315"/>
    <w:rsid w:val="001103FD"/>
    <w:rsid w:val="00110453"/>
    <w:rsid w:val="00110473"/>
    <w:rsid w:val="001104B7"/>
    <w:rsid w:val="001104C5"/>
    <w:rsid w:val="00110503"/>
    <w:rsid w:val="00110527"/>
    <w:rsid w:val="00110567"/>
    <w:rsid w:val="00110577"/>
    <w:rsid w:val="00110580"/>
    <w:rsid w:val="001105C9"/>
    <w:rsid w:val="0011060A"/>
    <w:rsid w:val="0011062D"/>
    <w:rsid w:val="00110651"/>
    <w:rsid w:val="00110675"/>
    <w:rsid w:val="001106E3"/>
    <w:rsid w:val="001106FA"/>
    <w:rsid w:val="001106FF"/>
    <w:rsid w:val="0011075E"/>
    <w:rsid w:val="00110787"/>
    <w:rsid w:val="00110793"/>
    <w:rsid w:val="001107BE"/>
    <w:rsid w:val="001107E3"/>
    <w:rsid w:val="001107E4"/>
    <w:rsid w:val="00110832"/>
    <w:rsid w:val="001108B3"/>
    <w:rsid w:val="0011090A"/>
    <w:rsid w:val="0011096E"/>
    <w:rsid w:val="00110988"/>
    <w:rsid w:val="001109A4"/>
    <w:rsid w:val="001109F3"/>
    <w:rsid w:val="00110A55"/>
    <w:rsid w:val="00110AAB"/>
    <w:rsid w:val="00110ADD"/>
    <w:rsid w:val="00110B1D"/>
    <w:rsid w:val="00110B34"/>
    <w:rsid w:val="00110B6C"/>
    <w:rsid w:val="00110B83"/>
    <w:rsid w:val="00110BD8"/>
    <w:rsid w:val="00110C5B"/>
    <w:rsid w:val="00110CC8"/>
    <w:rsid w:val="00110D13"/>
    <w:rsid w:val="00110D61"/>
    <w:rsid w:val="00110DB6"/>
    <w:rsid w:val="00110DD0"/>
    <w:rsid w:val="00110E33"/>
    <w:rsid w:val="00110E72"/>
    <w:rsid w:val="00110E7E"/>
    <w:rsid w:val="00110E9B"/>
    <w:rsid w:val="00110EAA"/>
    <w:rsid w:val="00110F8F"/>
    <w:rsid w:val="00110FB2"/>
    <w:rsid w:val="00110FB3"/>
    <w:rsid w:val="00111001"/>
    <w:rsid w:val="00111022"/>
    <w:rsid w:val="00111042"/>
    <w:rsid w:val="00111055"/>
    <w:rsid w:val="00111057"/>
    <w:rsid w:val="00111084"/>
    <w:rsid w:val="0011108F"/>
    <w:rsid w:val="001110AE"/>
    <w:rsid w:val="001110FD"/>
    <w:rsid w:val="00111182"/>
    <w:rsid w:val="00111231"/>
    <w:rsid w:val="0011129C"/>
    <w:rsid w:val="001112A5"/>
    <w:rsid w:val="001112B7"/>
    <w:rsid w:val="001112CE"/>
    <w:rsid w:val="001113D6"/>
    <w:rsid w:val="001113E8"/>
    <w:rsid w:val="001113FB"/>
    <w:rsid w:val="00111404"/>
    <w:rsid w:val="00111420"/>
    <w:rsid w:val="00111436"/>
    <w:rsid w:val="0011143A"/>
    <w:rsid w:val="00111454"/>
    <w:rsid w:val="00111465"/>
    <w:rsid w:val="0011148A"/>
    <w:rsid w:val="001114BE"/>
    <w:rsid w:val="001114DC"/>
    <w:rsid w:val="001114F6"/>
    <w:rsid w:val="00111529"/>
    <w:rsid w:val="00111568"/>
    <w:rsid w:val="001115DD"/>
    <w:rsid w:val="00111618"/>
    <w:rsid w:val="001116A8"/>
    <w:rsid w:val="001116D3"/>
    <w:rsid w:val="001116DA"/>
    <w:rsid w:val="001116DD"/>
    <w:rsid w:val="00111779"/>
    <w:rsid w:val="00111789"/>
    <w:rsid w:val="0011179D"/>
    <w:rsid w:val="001117E1"/>
    <w:rsid w:val="001117F4"/>
    <w:rsid w:val="00111881"/>
    <w:rsid w:val="001118A4"/>
    <w:rsid w:val="001118B6"/>
    <w:rsid w:val="001118D1"/>
    <w:rsid w:val="001118DE"/>
    <w:rsid w:val="001118F4"/>
    <w:rsid w:val="00111970"/>
    <w:rsid w:val="00111A2A"/>
    <w:rsid w:val="00111A8A"/>
    <w:rsid w:val="00111A91"/>
    <w:rsid w:val="00111ADF"/>
    <w:rsid w:val="00111B93"/>
    <w:rsid w:val="00111C53"/>
    <w:rsid w:val="00111CA5"/>
    <w:rsid w:val="00111CDA"/>
    <w:rsid w:val="00111D2D"/>
    <w:rsid w:val="00111D55"/>
    <w:rsid w:val="00111D68"/>
    <w:rsid w:val="00111D8F"/>
    <w:rsid w:val="00111D92"/>
    <w:rsid w:val="00111D93"/>
    <w:rsid w:val="00111DDE"/>
    <w:rsid w:val="00111E32"/>
    <w:rsid w:val="00111E45"/>
    <w:rsid w:val="00111E9F"/>
    <w:rsid w:val="00111EA3"/>
    <w:rsid w:val="00111EC2"/>
    <w:rsid w:val="00111F36"/>
    <w:rsid w:val="00111F5F"/>
    <w:rsid w:val="00111FAE"/>
    <w:rsid w:val="00111FB3"/>
    <w:rsid w:val="00111FF6"/>
    <w:rsid w:val="0011200C"/>
    <w:rsid w:val="0011200D"/>
    <w:rsid w:val="001120D1"/>
    <w:rsid w:val="00112142"/>
    <w:rsid w:val="00112177"/>
    <w:rsid w:val="00112179"/>
    <w:rsid w:val="0011219E"/>
    <w:rsid w:val="001121C4"/>
    <w:rsid w:val="001121C6"/>
    <w:rsid w:val="001121C8"/>
    <w:rsid w:val="00112211"/>
    <w:rsid w:val="0011221D"/>
    <w:rsid w:val="00112225"/>
    <w:rsid w:val="0011223C"/>
    <w:rsid w:val="001122A7"/>
    <w:rsid w:val="001122C4"/>
    <w:rsid w:val="001122CF"/>
    <w:rsid w:val="001123C4"/>
    <w:rsid w:val="00112416"/>
    <w:rsid w:val="0011241E"/>
    <w:rsid w:val="0011243D"/>
    <w:rsid w:val="001124E6"/>
    <w:rsid w:val="001124F2"/>
    <w:rsid w:val="001124F6"/>
    <w:rsid w:val="00112502"/>
    <w:rsid w:val="0011250A"/>
    <w:rsid w:val="001125B5"/>
    <w:rsid w:val="001125C0"/>
    <w:rsid w:val="0011262E"/>
    <w:rsid w:val="00112666"/>
    <w:rsid w:val="0011266D"/>
    <w:rsid w:val="001126F8"/>
    <w:rsid w:val="00112753"/>
    <w:rsid w:val="0011279A"/>
    <w:rsid w:val="00112875"/>
    <w:rsid w:val="001128C1"/>
    <w:rsid w:val="001128D6"/>
    <w:rsid w:val="00112910"/>
    <w:rsid w:val="00112912"/>
    <w:rsid w:val="00112919"/>
    <w:rsid w:val="0011295E"/>
    <w:rsid w:val="00112970"/>
    <w:rsid w:val="001129B4"/>
    <w:rsid w:val="001129C1"/>
    <w:rsid w:val="001129CB"/>
    <w:rsid w:val="001129EC"/>
    <w:rsid w:val="00112AA6"/>
    <w:rsid w:val="00112AAF"/>
    <w:rsid w:val="00112AE5"/>
    <w:rsid w:val="00112AED"/>
    <w:rsid w:val="00112AF5"/>
    <w:rsid w:val="00112AFF"/>
    <w:rsid w:val="00112B65"/>
    <w:rsid w:val="00112B6A"/>
    <w:rsid w:val="00112B93"/>
    <w:rsid w:val="00112BB2"/>
    <w:rsid w:val="00112C24"/>
    <w:rsid w:val="00112C37"/>
    <w:rsid w:val="00112C66"/>
    <w:rsid w:val="00112C83"/>
    <w:rsid w:val="00112D8A"/>
    <w:rsid w:val="00112DD0"/>
    <w:rsid w:val="00112E53"/>
    <w:rsid w:val="00112EB1"/>
    <w:rsid w:val="00112EC9"/>
    <w:rsid w:val="00112F84"/>
    <w:rsid w:val="00112FA9"/>
    <w:rsid w:val="00112FD7"/>
    <w:rsid w:val="00112FF8"/>
    <w:rsid w:val="00113070"/>
    <w:rsid w:val="00113095"/>
    <w:rsid w:val="001130CD"/>
    <w:rsid w:val="001130FC"/>
    <w:rsid w:val="0011311C"/>
    <w:rsid w:val="0011314A"/>
    <w:rsid w:val="0011314D"/>
    <w:rsid w:val="001131C0"/>
    <w:rsid w:val="00113203"/>
    <w:rsid w:val="00113262"/>
    <w:rsid w:val="001132CD"/>
    <w:rsid w:val="0011332A"/>
    <w:rsid w:val="001133C8"/>
    <w:rsid w:val="001133E4"/>
    <w:rsid w:val="00113415"/>
    <w:rsid w:val="001134E1"/>
    <w:rsid w:val="00113516"/>
    <w:rsid w:val="0011354E"/>
    <w:rsid w:val="00113560"/>
    <w:rsid w:val="001135A2"/>
    <w:rsid w:val="001135EB"/>
    <w:rsid w:val="00113602"/>
    <w:rsid w:val="00113665"/>
    <w:rsid w:val="001136C3"/>
    <w:rsid w:val="001136F0"/>
    <w:rsid w:val="00113716"/>
    <w:rsid w:val="0011372F"/>
    <w:rsid w:val="00113761"/>
    <w:rsid w:val="00113783"/>
    <w:rsid w:val="001137A5"/>
    <w:rsid w:val="0011384B"/>
    <w:rsid w:val="00113850"/>
    <w:rsid w:val="0011390E"/>
    <w:rsid w:val="0011394A"/>
    <w:rsid w:val="001139AD"/>
    <w:rsid w:val="001139B5"/>
    <w:rsid w:val="001139D9"/>
    <w:rsid w:val="001139E8"/>
    <w:rsid w:val="001139EC"/>
    <w:rsid w:val="001139FA"/>
    <w:rsid w:val="00113A0E"/>
    <w:rsid w:val="00113AC8"/>
    <w:rsid w:val="00113B18"/>
    <w:rsid w:val="00113B3B"/>
    <w:rsid w:val="00113B3F"/>
    <w:rsid w:val="00113B4A"/>
    <w:rsid w:val="00113C2C"/>
    <w:rsid w:val="00113C39"/>
    <w:rsid w:val="00113C4F"/>
    <w:rsid w:val="00113C7C"/>
    <w:rsid w:val="00113D37"/>
    <w:rsid w:val="00113D69"/>
    <w:rsid w:val="00113DE3"/>
    <w:rsid w:val="00113E54"/>
    <w:rsid w:val="00113E65"/>
    <w:rsid w:val="00113E66"/>
    <w:rsid w:val="00113EE7"/>
    <w:rsid w:val="00113F20"/>
    <w:rsid w:val="00113F29"/>
    <w:rsid w:val="00113F39"/>
    <w:rsid w:val="00113F5D"/>
    <w:rsid w:val="00113F69"/>
    <w:rsid w:val="00113F9A"/>
    <w:rsid w:val="00113FBC"/>
    <w:rsid w:val="00113FC1"/>
    <w:rsid w:val="00113FC7"/>
    <w:rsid w:val="00113FFF"/>
    <w:rsid w:val="0011400D"/>
    <w:rsid w:val="001140C0"/>
    <w:rsid w:val="001140C8"/>
    <w:rsid w:val="001140D7"/>
    <w:rsid w:val="001140E6"/>
    <w:rsid w:val="0011413D"/>
    <w:rsid w:val="001141A4"/>
    <w:rsid w:val="001141D1"/>
    <w:rsid w:val="00114205"/>
    <w:rsid w:val="0011423C"/>
    <w:rsid w:val="00114242"/>
    <w:rsid w:val="001142B8"/>
    <w:rsid w:val="001142C0"/>
    <w:rsid w:val="00114319"/>
    <w:rsid w:val="0011432B"/>
    <w:rsid w:val="0011436B"/>
    <w:rsid w:val="00114397"/>
    <w:rsid w:val="00114409"/>
    <w:rsid w:val="00114413"/>
    <w:rsid w:val="00114424"/>
    <w:rsid w:val="00114431"/>
    <w:rsid w:val="00114443"/>
    <w:rsid w:val="001144F5"/>
    <w:rsid w:val="001144F6"/>
    <w:rsid w:val="0011454D"/>
    <w:rsid w:val="00114560"/>
    <w:rsid w:val="001145C1"/>
    <w:rsid w:val="001145E2"/>
    <w:rsid w:val="001145E3"/>
    <w:rsid w:val="001145FB"/>
    <w:rsid w:val="00114712"/>
    <w:rsid w:val="00114776"/>
    <w:rsid w:val="001147B3"/>
    <w:rsid w:val="0011483A"/>
    <w:rsid w:val="0011485E"/>
    <w:rsid w:val="00114873"/>
    <w:rsid w:val="0011489C"/>
    <w:rsid w:val="001148A8"/>
    <w:rsid w:val="001148C1"/>
    <w:rsid w:val="00114932"/>
    <w:rsid w:val="001149F1"/>
    <w:rsid w:val="00114A0A"/>
    <w:rsid w:val="00114A86"/>
    <w:rsid w:val="00114A8F"/>
    <w:rsid w:val="00114ABF"/>
    <w:rsid w:val="00114C0D"/>
    <w:rsid w:val="00114C25"/>
    <w:rsid w:val="00114C43"/>
    <w:rsid w:val="00114C66"/>
    <w:rsid w:val="00114C8A"/>
    <w:rsid w:val="00114CC3"/>
    <w:rsid w:val="00114CFD"/>
    <w:rsid w:val="00114D31"/>
    <w:rsid w:val="00114D92"/>
    <w:rsid w:val="00114DA1"/>
    <w:rsid w:val="00114DAB"/>
    <w:rsid w:val="00114E10"/>
    <w:rsid w:val="00114E55"/>
    <w:rsid w:val="00114EFE"/>
    <w:rsid w:val="00114F6D"/>
    <w:rsid w:val="00114FA8"/>
    <w:rsid w:val="00115019"/>
    <w:rsid w:val="00115042"/>
    <w:rsid w:val="00115056"/>
    <w:rsid w:val="00115180"/>
    <w:rsid w:val="001151DD"/>
    <w:rsid w:val="001151E4"/>
    <w:rsid w:val="00115201"/>
    <w:rsid w:val="00115228"/>
    <w:rsid w:val="0011529B"/>
    <w:rsid w:val="00115345"/>
    <w:rsid w:val="00115371"/>
    <w:rsid w:val="001153D5"/>
    <w:rsid w:val="00115447"/>
    <w:rsid w:val="001154BC"/>
    <w:rsid w:val="00115561"/>
    <w:rsid w:val="001155A8"/>
    <w:rsid w:val="001155D1"/>
    <w:rsid w:val="001155F2"/>
    <w:rsid w:val="00115632"/>
    <w:rsid w:val="00115670"/>
    <w:rsid w:val="001156A8"/>
    <w:rsid w:val="00115714"/>
    <w:rsid w:val="00115759"/>
    <w:rsid w:val="0011577D"/>
    <w:rsid w:val="00115783"/>
    <w:rsid w:val="0011582A"/>
    <w:rsid w:val="00115859"/>
    <w:rsid w:val="001158C7"/>
    <w:rsid w:val="00115940"/>
    <w:rsid w:val="00115968"/>
    <w:rsid w:val="001159EA"/>
    <w:rsid w:val="001159F8"/>
    <w:rsid w:val="00115A14"/>
    <w:rsid w:val="00115A5B"/>
    <w:rsid w:val="00115A95"/>
    <w:rsid w:val="00115AA0"/>
    <w:rsid w:val="00115B38"/>
    <w:rsid w:val="00115B49"/>
    <w:rsid w:val="00115B5F"/>
    <w:rsid w:val="00115B63"/>
    <w:rsid w:val="00115B64"/>
    <w:rsid w:val="00115B98"/>
    <w:rsid w:val="00115C12"/>
    <w:rsid w:val="00115C3E"/>
    <w:rsid w:val="00115CA3"/>
    <w:rsid w:val="00115CF5"/>
    <w:rsid w:val="00115D02"/>
    <w:rsid w:val="00115D3D"/>
    <w:rsid w:val="00115D7D"/>
    <w:rsid w:val="00115DA0"/>
    <w:rsid w:val="00115DAE"/>
    <w:rsid w:val="00115DDA"/>
    <w:rsid w:val="00115DF9"/>
    <w:rsid w:val="00115E16"/>
    <w:rsid w:val="00115EC9"/>
    <w:rsid w:val="00115EF1"/>
    <w:rsid w:val="00115EFC"/>
    <w:rsid w:val="00115F07"/>
    <w:rsid w:val="00115F1C"/>
    <w:rsid w:val="00115F42"/>
    <w:rsid w:val="00115F6C"/>
    <w:rsid w:val="00115F79"/>
    <w:rsid w:val="00115FDB"/>
    <w:rsid w:val="00115FE2"/>
    <w:rsid w:val="0011601F"/>
    <w:rsid w:val="00116089"/>
    <w:rsid w:val="001160BC"/>
    <w:rsid w:val="001160C8"/>
    <w:rsid w:val="001160D8"/>
    <w:rsid w:val="00116128"/>
    <w:rsid w:val="00116138"/>
    <w:rsid w:val="0011614E"/>
    <w:rsid w:val="0011619E"/>
    <w:rsid w:val="0011623C"/>
    <w:rsid w:val="00116243"/>
    <w:rsid w:val="001162AB"/>
    <w:rsid w:val="001162D4"/>
    <w:rsid w:val="00116329"/>
    <w:rsid w:val="0011636F"/>
    <w:rsid w:val="0011642B"/>
    <w:rsid w:val="00116436"/>
    <w:rsid w:val="00116445"/>
    <w:rsid w:val="00116459"/>
    <w:rsid w:val="001164D0"/>
    <w:rsid w:val="001164F8"/>
    <w:rsid w:val="00116577"/>
    <w:rsid w:val="001165CA"/>
    <w:rsid w:val="001165DD"/>
    <w:rsid w:val="001165E3"/>
    <w:rsid w:val="00116604"/>
    <w:rsid w:val="00116628"/>
    <w:rsid w:val="001166BF"/>
    <w:rsid w:val="00116700"/>
    <w:rsid w:val="00116718"/>
    <w:rsid w:val="00116754"/>
    <w:rsid w:val="00116791"/>
    <w:rsid w:val="001168A5"/>
    <w:rsid w:val="001168BE"/>
    <w:rsid w:val="001168F3"/>
    <w:rsid w:val="001168FF"/>
    <w:rsid w:val="0011694B"/>
    <w:rsid w:val="00116972"/>
    <w:rsid w:val="0011697C"/>
    <w:rsid w:val="00116982"/>
    <w:rsid w:val="001169F3"/>
    <w:rsid w:val="00116A01"/>
    <w:rsid w:val="00116A28"/>
    <w:rsid w:val="00116A51"/>
    <w:rsid w:val="00116AB4"/>
    <w:rsid w:val="00116AE3"/>
    <w:rsid w:val="00116B0C"/>
    <w:rsid w:val="00116B25"/>
    <w:rsid w:val="00116B3E"/>
    <w:rsid w:val="00116B5B"/>
    <w:rsid w:val="00116B73"/>
    <w:rsid w:val="00116BAD"/>
    <w:rsid w:val="00116BAF"/>
    <w:rsid w:val="00116BB1"/>
    <w:rsid w:val="00116BE6"/>
    <w:rsid w:val="00116BEE"/>
    <w:rsid w:val="00116C32"/>
    <w:rsid w:val="00116C50"/>
    <w:rsid w:val="00116C51"/>
    <w:rsid w:val="00116C80"/>
    <w:rsid w:val="00116CCE"/>
    <w:rsid w:val="00116CF9"/>
    <w:rsid w:val="00116DA5"/>
    <w:rsid w:val="00116EE5"/>
    <w:rsid w:val="00116F36"/>
    <w:rsid w:val="00116F40"/>
    <w:rsid w:val="00116F61"/>
    <w:rsid w:val="00116FA5"/>
    <w:rsid w:val="00116FEF"/>
    <w:rsid w:val="00117045"/>
    <w:rsid w:val="001170B9"/>
    <w:rsid w:val="001171A5"/>
    <w:rsid w:val="001171D5"/>
    <w:rsid w:val="0011720D"/>
    <w:rsid w:val="00117227"/>
    <w:rsid w:val="001172C9"/>
    <w:rsid w:val="00117388"/>
    <w:rsid w:val="001173A4"/>
    <w:rsid w:val="001173C6"/>
    <w:rsid w:val="0011741D"/>
    <w:rsid w:val="00117435"/>
    <w:rsid w:val="00117449"/>
    <w:rsid w:val="00117463"/>
    <w:rsid w:val="001174AD"/>
    <w:rsid w:val="00117608"/>
    <w:rsid w:val="00117621"/>
    <w:rsid w:val="0011763E"/>
    <w:rsid w:val="00117687"/>
    <w:rsid w:val="001176D1"/>
    <w:rsid w:val="001176D9"/>
    <w:rsid w:val="00117704"/>
    <w:rsid w:val="0011772E"/>
    <w:rsid w:val="0011776A"/>
    <w:rsid w:val="0011779D"/>
    <w:rsid w:val="001177A5"/>
    <w:rsid w:val="00117838"/>
    <w:rsid w:val="0011783F"/>
    <w:rsid w:val="001178DB"/>
    <w:rsid w:val="001178FA"/>
    <w:rsid w:val="00117927"/>
    <w:rsid w:val="00117964"/>
    <w:rsid w:val="00117A69"/>
    <w:rsid w:val="00117AB5"/>
    <w:rsid w:val="00117B31"/>
    <w:rsid w:val="00117B36"/>
    <w:rsid w:val="00117C15"/>
    <w:rsid w:val="00117C94"/>
    <w:rsid w:val="00117CB9"/>
    <w:rsid w:val="00117D10"/>
    <w:rsid w:val="00117D42"/>
    <w:rsid w:val="00117D4B"/>
    <w:rsid w:val="00117D56"/>
    <w:rsid w:val="00117D69"/>
    <w:rsid w:val="00117D90"/>
    <w:rsid w:val="00117DF7"/>
    <w:rsid w:val="00117E42"/>
    <w:rsid w:val="00117E53"/>
    <w:rsid w:val="00117E72"/>
    <w:rsid w:val="00117E81"/>
    <w:rsid w:val="00117ECB"/>
    <w:rsid w:val="00117EF0"/>
    <w:rsid w:val="00117F60"/>
    <w:rsid w:val="00117FDE"/>
    <w:rsid w:val="00120012"/>
    <w:rsid w:val="0012004A"/>
    <w:rsid w:val="001200C8"/>
    <w:rsid w:val="00120117"/>
    <w:rsid w:val="00120163"/>
    <w:rsid w:val="001201EF"/>
    <w:rsid w:val="00120268"/>
    <w:rsid w:val="00120287"/>
    <w:rsid w:val="0012029E"/>
    <w:rsid w:val="00120307"/>
    <w:rsid w:val="00120324"/>
    <w:rsid w:val="001203E4"/>
    <w:rsid w:val="00120400"/>
    <w:rsid w:val="00120449"/>
    <w:rsid w:val="00120496"/>
    <w:rsid w:val="0012049B"/>
    <w:rsid w:val="001204A2"/>
    <w:rsid w:val="0012055B"/>
    <w:rsid w:val="00120571"/>
    <w:rsid w:val="0012059F"/>
    <w:rsid w:val="001205C4"/>
    <w:rsid w:val="00120692"/>
    <w:rsid w:val="001206E4"/>
    <w:rsid w:val="00120704"/>
    <w:rsid w:val="00120717"/>
    <w:rsid w:val="0012075E"/>
    <w:rsid w:val="0012078C"/>
    <w:rsid w:val="001207B3"/>
    <w:rsid w:val="001207E9"/>
    <w:rsid w:val="001207EF"/>
    <w:rsid w:val="00120823"/>
    <w:rsid w:val="00120872"/>
    <w:rsid w:val="001208F8"/>
    <w:rsid w:val="001208F9"/>
    <w:rsid w:val="0012093E"/>
    <w:rsid w:val="00120964"/>
    <w:rsid w:val="00120968"/>
    <w:rsid w:val="001209B6"/>
    <w:rsid w:val="001209CA"/>
    <w:rsid w:val="001209D8"/>
    <w:rsid w:val="00120A4D"/>
    <w:rsid w:val="00120AF6"/>
    <w:rsid w:val="00120BDF"/>
    <w:rsid w:val="00120C0D"/>
    <w:rsid w:val="00120C77"/>
    <w:rsid w:val="00120C9A"/>
    <w:rsid w:val="00120D1A"/>
    <w:rsid w:val="00120D55"/>
    <w:rsid w:val="00120D70"/>
    <w:rsid w:val="00120D7D"/>
    <w:rsid w:val="00120D94"/>
    <w:rsid w:val="00120DBF"/>
    <w:rsid w:val="00120DE2"/>
    <w:rsid w:val="00120E03"/>
    <w:rsid w:val="00120E1D"/>
    <w:rsid w:val="00120E88"/>
    <w:rsid w:val="00120EE8"/>
    <w:rsid w:val="00120F03"/>
    <w:rsid w:val="00120F94"/>
    <w:rsid w:val="00120FCA"/>
    <w:rsid w:val="00120FF4"/>
    <w:rsid w:val="00121038"/>
    <w:rsid w:val="00121086"/>
    <w:rsid w:val="00121105"/>
    <w:rsid w:val="00121124"/>
    <w:rsid w:val="00121189"/>
    <w:rsid w:val="00121196"/>
    <w:rsid w:val="0012119F"/>
    <w:rsid w:val="001211A0"/>
    <w:rsid w:val="001211E0"/>
    <w:rsid w:val="001211F6"/>
    <w:rsid w:val="00121203"/>
    <w:rsid w:val="00121208"/>
    <w:rsid w:val="00121272"/>
    <w:rsid w:val="00121351"/>
    <w:rsid w:val="001213C9"/>
    <w:rsid w:val="001213D6"/>
    <w:rsid w:val="001213DB"/>
    <w:rsid w:val="001213F6"/>
    <w:rsid w:val="00121405"/>
    <w:rsid w:val="0012140B"/>
    <w:rsid w:val="00121452"/>
    <w:rsid w:val="00121484"/>
    <w:rsid w:val="001214CA"/>
    <w:rsid w:val="00121507"/>
    <w:rsid w:val="00121522"/>
    <w:rsid w:val="00121525"/>
    <w:rsid w:val="00121574"/>
    <w:rsid w:val="0012157B"/>
    <w:rsid w:val="00121636"/>
    <w:rsid w:val="00121638"/>
    <w:rsid w:val="0012164F"/>
    <w:rsid w:val="001216C4"/>
    <w:rsid w:val="001216D5"/>
    <w:rsid w:val="00121719"/>
    <w:rsid w:val="00121723"/>
    <w:rsid w:val="0012172A"/>
    <w:rsid w:val="00121742"/>
    <w:rsid w:val="0012179F"/>
    <w:rsid w:val="001217A8"/>
    <w:rsid w:val="001217F0"/>
    <w:rsid w:val="00121808"/>
    <w:rsid w:val="00121861"/>
    <w:rsid w:val="00121864"/>
    <w:rsid w:val="00121972"/>
    <w:rsid w:val="00121998"/>
    <w:rsid w:val="0012199C"/>
    <w:rsid w:val="001219E9"/>
    <w:rsid w:val="00121A0F"/>
    <w:rsid w:val="00121A2A"/>
    <w:rsid w:val="00121A59"/>
    <w:rsid w:val="00121A73"/>
    <w:rsid w:val="00121AB7"/>
    <w:rsid w:val="00121AB8"/>
    <w:rsid w:val="00121ACD"/>
    <w:rsid w:val="00121ADE"/>
    <w:rsid w:val="00121B88"/>
    <w:rsid w:val="00121BE7"/>
    <w:rsid w:val="00121C0B"/>
    <w:rsid w:val="00121C18"/>
    <w:rsid w:val="00121C2F"/>
    <w:rsid w:val="00121C30"/>
    <w:rsid w:val="00121C38"/>
    <w:rsid w:val="00121C67"/>
    <w:rsid w:val="00121CAB"/>
    <w:rsid w:val="00121D04"/>
    <w:rsid w:val="00121D1B"/>
    <w:rsid w:val="00121D51"/>
    <w:rsid w:val="00121D76"/>
    <w:rsid w:val="00121DB9"/>
    <w:rsid w:val="00121E1B"/>
    <w:rsid w:val="00121E36"/>
    <w:rsid w:val="00121E87"/>
    <w:rsid w:val="00121EB6"/>
    <w:rsid w:val="00121EB8"/>
    <w:rsid w:val="00121EE1"/>
    <w:rsid w:val="00121EF1"/>
    <w:rsid w:val="00121F28"/>
    <w:rsid w:val="00121F3D"/>
    <w:rsid w:val="00121F70"/>
    <w:rsid w:val="00121F99"/>
    <w:rsid w:val="00122099"/>
    <w:rsid w:val="001220ED"/>
    <w:rsid w:val="0012216A"/>
    <w:rsid w:val="00122179"/>
    <w:rsid w:val="001221B3"/>
    <w:rsid w:val="001221B5"/>
    <w:rsid w:val="001221C6"/>
    <w:rsid w:val="001221EF"/>
    <w:rsid w:val="00122213"/>
    <w:rsid w:val="00122233"/>
    <w:rsid w:val="00122242"/>
    <w:rsid w:val="00122248"/>
    <w:rsid w:val="001222AB"/>
    <w:rsid w:val="001222D0"/>
    <w:rsid w:val="001222E8"/>
    <w:rsid w:val="0012231A"/>
    <w:rsid w:val="00122361"/>
    <w:rsid w:val="00122392"/>
    <w:rsid w:val="001223D2"/>
    <w:rsid w:val="001223E2"/>
    <w:rsid w:val="00122436"/>
    <w:rsid w:val="0012243D"/>
    <w:rsid w:val="001224C2"/>
    <w:rsid w:val="001224DF"/>
    <w:rsid w:val="00122576"/>
    <w:rsid w:val="00122598"/>
    <w:rsid w:val="0012264B"/>
    <w:rsid w:val="0012268A"/>
    <w:rsid w:val="001226A9"/>
    <w:rsid w:val="0012270F"/>
    <w:rsid w:val="00122778"/>
    <w:rsid w:val="0012285E"/>
    <w:rsid w:val="001228AD"/>
    <w:rsid w:val="001228B8"/>
    <w:rsid w:val="001228C6"/>
    <w:rsid w:val="00122928"/>
    <w:rsid w:val="001229BD"/>
    <w:rsid w:val="001229C8"/>
    <w:rsid w:val="001229CE"/>
    <w:rsid w:val="00122A40"/>
    <w:rsid w:val="00122A51"/>
    <w:rsid w:val="00122A88"/>
    <w:rsid w:val="00122A8C"/>
    <w:rsid w:val="00122B28"/>
    <w:rsid w:val="00122BD0"/>
    <w:rsid w:val="00122BEE"/>
    <w:rsid w:val="00122C69"/>
    <w:rsid w:val="00122CE1"/>
    <w:rsid w:val="00122CE5"/>
    <w:rsid w:val="00122CE7"/>
    <w:rsid w:val="00122D0F"/>
    <w:rsid w:val="00122D95"/>
    <w:rsid w:val="00122DB1"/>
    <w:rsid w:val="00122E37"/>
    <w:rsid w:val="00122E66"/>
    <w:rsid w:val="00122E99"/>
    <w:rsid w:val="00122F46"/>
    <w:rsid w:val="00122FEA"/>
    <w:rsid w:val="00123111"/>
    <w:rsid w:val="00123113"/>
    <w:rsid w:val="00123125"/>
    <w:rsid w:val="00123149"/>
    <w:rsid w:val="00123208"/>
    <w:rsid w:val="0012322D"/>
    <w:rsid w:val="001232B6"/>
    <w:rsid w:val="00123309"/>
    <w:rsid w:val="00123398"/>
    <w:rsid w:val="001233B0"/>
    <w:rsid w:val="001233D8"/>
    <w:rsid w:val="001235AD"/>
    <w:rsid w:val="001235C2"/>
    <w:rsid w:val="001235FC"/>
    <w:rsid w:val="00123676"/>
    <w:rsid w:val="0012368F"/>
    <w:rsid w:val="00123705"/>
    <w:rsid w:val="00123710"/>
    <w:rsid w:val="0012372D"/>
    <w:rsid w:val="0012374A"/>
    <w:rsid w:val="0012374E"/>
    <w:rsid w:val="001237A6"/>
    <w:rsid w:val="001237BF"/>
    <w:rsid w:val="001237D2"/>
    <w:rsid w:val="001237DE"/>
    <w:rsid w:val="0012380F"/>
    <w:rsid w:val="0012384E"/>
    <w:rsid w:val="00123859"/>
    <w:rsid w:val="0012388D"/>
    <w:rsid w:val="001238AE"/>
    <w:rsid w:val="001238E0"/>
    <w:rsid w:val="00123991"/>
    <w:rsid w:val="001239C7"/>
    <w:rsid w:val="001239CB"/>
    <w:rsid w:val="001239D2"/>
    <w:rsid w:val="001239D9"/>
    <w:rsid w:val="001239FC"/>
    <w:rsid w:val="00123A2C"/>
    <w:rsid w:val="00123A52"/>
    <w:rsid w:val="00123A55"/>
    <w:rsid w:val="00123AA3"/>
    <w:rsid w:val="00123ACD"/>
    <w:rsid w:val="00123B04"/>
    <w:rsid w:val="00123B57"/>
    <w:rsid w:val="00123B79"/>
    <w:rsid w:val="00123B9A"/>
    <w:rsid w:val="00123BC0"/>
    <w:rsid w:val="00123C38"/>
    <w:rsid w:val="00123C40"/>
    <w:rsid w:val="00123C55"/>
    <w:rsid w:val="00123C8D"/>
    <w:rsid w:val="00123C9F"/>
    <w:rsid w:val="00123CD1"/>
    <w:rsid w:val="00123D0E"/>
    <w:rsid w:val="00123D19"/>
    <w:rsid w:val="00123D80"/>
    <w:rsid w:val="00123E5F"/>
    <w:rsid w:val="00123E7B"/>
    <w:rsid w:val="00123E89"/>
    <w:rsid w:val="00123E9C"/>
    <w:rsid w:val="00123ED2"/>
    <w:rsid w:val="00123F26"/>
    <w:rsid w:val="00123F58"/>
    <w:rsid w:val="00123F64"/>
    <w:rsid w:val="00123F7F"/>
    <w:rsid w:val="00123F80"/>
    <w:rsid w:val="00123FB2"/>
    <w:rsid w:val="00123FBC"/>
    <w:rsid w:val="00123FBF"/>
    <w:rsid w:val="00124029"/>
    <w:rsid w:val="00124065"/>
    <w:rsid w:val="0012407C"/>
    <w:rsid w:val="001240E5"/>
    <w:rsid w:val="001241A6"/>
    <w:rsid w:val="001241FE"/>
    <w:rsid w:val="00124210"/>
    <w:rsid w:val="00124285"/>
    <w:rsid w:val="001242B7"/>
    <w:rsid w:val="001242C3"/>
    <w:rsid w:val="00124362"/>
    <w:rsid w:val="001243B8"/>
    <w:rsid w:val="001243F4"/>
    <w:rsid w:val="00124422"/>
    <w:rsid w:val="00124431"/>
    <w:rsid w:val="0012444C"/>
    <w:rsid w:val="00124479"/>
    <w:rsid w:val="0012447F"/>
    <w:rsid w:val="001244B0"/>
    <w:rsid w:val="001244B2"/>
    <w:rsid w:val="00124510"/>
    <w:rsid w:val="00124602"/>
    <w:rsid w:val="001246CA"/>
    <w:rsid w:val="001246E2"/>
    <w:rsid w:val="001246FC"/>
    <w:rsid w:val="00124705"/>
    <w:rsid w:val="00124849"/>
    <w:rsid w:val="00124861"/>
    <w:rsid w:val="001248FF"/>
    <w:rsid w:val="00124905"/>
    <w:rsid w:val="00124936"/>
    <w:rsid w:val="00124980"/>
    <w:rsid w:val="0012499F"/>
    <w:rsid w:val="001249DF"/>
    <w:rsid w:val="001249E0"/>
    <w:rsid w:val="00124A5A"/>
    <w:rsid w:val="00124A8E"/>
    <w:rsid w:val="00124ADB"/>
    <w:rsid w:val="00124B08"/>
    <w:rsid w:val="00124B11"/>
    <w:rsid w:val="00124B39"/>
    <w:rsid w:val="00124B71"/>
    <w:rsid w:val="00124B74"/>
    <w:rsid w:val="00124BB6"/>
    <w:rsid w:val="00124C58"/>
    <w:rsid w:val="00124C7F"/>
    <w:rsid w:val="00124C8C"/>
    <w:rsid w:val="00124CD8"/>
    <w:rsid w:val="00124D33"/>
    <w:rsid w:val="00124DCC"/>
    <w:rsid w:val="00124DDF"/>
    <w:rsid w:val="00124DE6"/>
    <w:rsid w:val="00124E1B"/>
    <w:rsid w:val="00124E4B"/>
    <w:rsid w:val="00124E96"/>
    <w:rsid w:val="00124EF6"/>
    <w:rsid w:val="00124F22"/>
    <w:rsid w:val="00124F52"/>
    <w:rsid w:val="00124F68"/>
    <w:rsid w:val="00124FBE"/>
    <w:rsid w:val="00124FD0"/>
    <w:rsid w:val="00125019"/>
    <w:rsid w:val="00125059"/>
    <w:rsid w:val="001250DE"/>
    <w:rsid w:val="001251B6"/>
    <w:rsid w:val="001251BC"/>
    <w:rsid w:val="001251DE"/>
    <w:rsid w:val="001251F4"/>
    <w:rsid w:val="00125204"/>
    <w:rsid w:val="0012520C"/>
    <w:rsid w:val="0012522A"/>
    <w:rsid w:val="00125272"/>
    <w:rsid w:val="00125273"/>
    <w:rsid w:val="00125285"/>
    <w:rsid w:val="001252AB"/>
    <w:rsid w:val="00125304"/>
    <w:rsid w:val="00125355"/>
    <w:rsid w:val="00125361"/>
    <w:rsid w:val="0012548B"/>
    <w:rsid w:val="0012551A"/>
    <w:rsid w:val="00125553"/>
    <w:rsid w:val="001255DB"/>
    <w:rsid w:val="00125698"/>
    <w:rsid w:val="001256A1"/>
    <w:rsid w:val="00125706"/>
    <w:rsid w:val="00125775"/>
    <w:rsid w:val="0012581E"/>
    <w:rsid w:val="00125884"/>
    <w:rsid w:val="001258AE"/>
    <w:rsid w:val="001258E3"/>
    <w:rsid w:val="001258F1"/>
    <w:rsid w:val="00125923"/>
    <w:rsid w:val="00125927"/>
    <w:rsid w:val="001259F8"/>
    <w:rsid w:val="00125A16"/>
    <w:rsid w:val="00125A4F"/>
    <w:rsid w:val="00125AA6"/>
    <w:rsid w:val="00125B13"/>
    <w:rsid w:val="00125B18"/>
    <w:rsid w:val="00125B30"/>
    <w:rsid w:val="00125B3A"/>
    <w:rsid w:val="00125B3D"/>
    <w:rsid w:val="00125B68"/>
    <w:rsid w:val="00125B82"/>
    <w:rsid w:val="00125BC0"/>
    <w:rsid w:val="00125C22"/>
    <w:rsid w:val="00125C43"/>
    <w:rsid w:val="00125C90"/>
    <w:rsid w:val="00125CDA"/>
    <w:rsid w:val="00125D99"/>
    <w:rsid w:val="00125DCC"/>
    <w:rsid w:val="00125E27"/>
    <w:rsid w:val="00125E5B"/>
    <w:rsid w:val="00125EAE"/>
    <w:rsid w:val="00125EDF"/>
    <w:rsid w:val="00125FA1"/>
    <w:rsid w:val="00125FAB"/>
    <w:rsid w:val="00125FBB"/>
    <w:rsid w:val="00125FF4"/>
    <w:rsid w:val="00125FF9"/>
    <w:rsid w:val="0012604A"/>
    <w:rsid w:val="00126057"/>
    <w:rsid w:val="001260A2"/>
    <w:rsid w:val="00126109"/>
    <w:rsid w:val="0012612E"/>
    <w:rsid w:val="00126140"/>
    <w:rsid w:val="00126142"/>
    <w:rsid w:val="0012617C"/>
    <w:rsid w:val="0012629E"/>
    <w:rsid w:val="001262B3"/>
    <w:rsid w:val="0012634D"/>
    <w:rsid w:val="00126360"/>
    <w:rsid w:val="001263A7"/>
    <w:rsid w:val="001263C8"/>
    <w:rsid w:val="001263FB"/>
    <w:rsid w:val="0012642E"/>
    <w:rsid w:val="001264E3"/>
    <w:rsid w:val="0012664F"/>
    <w:rsid w:val="001266A3"/>
    <w:rsid w:val="001266A9"/>
    <w:rsid w:val="001266FE"/>
    <w:rsid w:val="00126730"/>
    <w:rsid w:val="0012676A"/>
    <w:rsid w:val="001267C3"/>
    <w:rsid w:val="0012681A"/>
    <w:rsid w:val="00126864"/>
    <w:rsid w:val="001268F8"/>
    <w:rsid w:val="0012692E"/>
    <w:rsid w:val="0012693E"/>
    <w:rsid w:val="00126981"/>
    <w:rsid w:val="001269B2"/>
    <w:rsid w:val="001269B8"/>
    <w:rsid w:val="001269C9"/>
    <w:rsid w:val="001269F6"/>
    <w:rsid w:val="00126A98"/>
    <w:rsid w:val="00126AA7"/>
    <w:rsid w:val="00126AD3"/>
    <w:rsid w:val="00126AD6"/>
    <w:rsid w:val="00126AD7"/>
    <w:rsid w:val="00126AEE"/>
    <w:rsid w:val="00126AEF"/>
    <w:rsid w:val="00126B0F"/>
    <w:rsid w:val="00126B34"/>
    <w:rsid w:val="00126B64"/>
    <w:rsid w:val="00126B8B"/>
    <w:rsid w:val="00126BB1"/>
    <w:rsid w:val="00126C18"/>
    <w:rsid w:val="00126CBB"/>
    <w:rsid w:val="00126CC5"/>
    <w:rsid w:val="00126CEC"/>
    <w:rsid w:val="00126D19"/>
    <w:rsid w:val="00126D1F"/>
    <w:rsid w:val="00126E09"/>
    <w:rsid w:val="00126E13"/>
    <w:rsid w:val="00126E18"/>
    <w:rsid w:val="00126E4E"/>
    <w:rsid w:val="00126E96"/>
    <w:rsid w:val="00126ECD"/>
    <w:rsid w:val="00126EE2"/>
    <w:rsid w:val="00126F25"/>
    <w:rsid w:val="00126F2F"/>
    <w:rsid w:val="00126F78"/>
    <w:rsid w:val="00126FD5"/>
    <w:rsid w:val="00126FEC"/>
    <w:rsid w:val="00126FFD"/>
    <w:rsid w:val="00127020"/>
    <w:rsid w:val="00127154"/>
    <w:rsid w:val="00127211"/>
    <w:rsid w:val="00127227"/>
    <w:rsid w:val="0012729E"/>
    <w:rsid w:val="00127307"/>
    <w:rsid w:val="001273C3"/>
    <w:rsid w:val="00127460"/>
    <w:rsid w:val="00127584"/>
    <w:rsid w:val="001275B7"/>
    <w:rsid w:val="0012763E"/>
    <w:rsid w:val="00127664"/>
    <w:rsid w:val="001276CE"/>
    <w:rsid w:val="001276F1"/>
    <w:rsid w:val="00127729"/>
    <w:rsid w:val="00127785"/>
    <w:rsid w:val="0012779D"/>
    <w:rsid w:val="001277C3"/>
    <w:rsid w:val="001277EA"/>
    <w:rsid w:val="001277FF"/>
    <w:rsid w:val="00127802"/>
    <w:rsid w:val="00127822"/>
    <w:rsid w:val="00127859"/>
    <w:rsid w:val="0012789D"/>
    <w:rsid w:val="001278A6"/>
    <w:rsid w:val="001278C3"/>
    <w:rsid w:val="001278F6"/>
    <w:rsid w:val="00127900"/>
    <w:rsid w:val="00127950"/>
    <w:rsid w:val="001279D0"/>
    <w:rsid w:val="001279D5"/>
    <w:rsid w:val="00127A8F"/>
    <w:rsid w:val="00127AA3"/>
    <w:rsid w:val="00127AC8"/>
    <w:rsid w:val="00127ACF"/>
    <w:rsid w:val="00127AD2"/>
    <w:rsid w:val="00127B33"/>
    <w:rsid w:val="00127B34"/>
    <w:rsid w:val="00127B9E"/>
    <w:rsid w:val="00127BB2"/>
    <w:rsid w:val="00127C10"/>
    <w:rsid w:val="00127C18"/>
    <w:rsid w:val="00127C26"/>
    <w:rsid w:val="00127C81"/>
    <w:rsid w:val="00127CD4"/>
    <w:rsid w:val="00127CFA"/>
    <w:rsid w:val="00127D32"/>
    <w:rsid w:val="00127D61"/>
    <w:rsid w:val="00127D87"/>
    <w:rsid w:val="00127DCC"/>
    <w:rsid w:val="00127E52"/>
    <w:rsid w:val="00127E7A"/>
    <w:rsid w:val="00127E8B"/>
    <w:rsid w:val="00127E9F"/>
    <w:rsid w:val="00127EEF"/>
    <w:rsid w:val="00127F5F"/>
    <w:rsid w:val="00127F7E"/>
    <w:rsid w:val="00130121"/>
    <w:rsid w:val="00130175"/>
    <w:rsid w:val="00130181"/>
    <w:rsid w:val="001301D1"/>
    <w:rsid w:val="00130202"/>
    <w:rsid w:val="00130215"/>
    <w:rsid w:val="0013021D"/>
    <w:rsid w:val="001302DA"/>
    <w:rsid w:val="001302F5"/>
    <w:rsid w:val="00130308"/>
    <w:rsid w:val="00130326"/>
    <w:rsid w:val="001303EC"/>
    <w:rsid w:val="00130413"/>
    <w:rsid w:val="00130471"/>
    <w:rsid w:val="0013048B"/>
    <w:rsid w:val="001304B2"/>
    <w:rsid w:val="0013050E"/>
    <w:rsid w:val="00130592"/>
    <w:rsid w:val="0013059A"/>
    <w:rsid w:val="001305AA"/>
    <w:rsid w:val="00130673"/>
    <w:rsid w:val="001306AF"/>
    <w:rsid w:val="001306E2"/>
    <w:rsid w:val="00130726"/>
    <w:rsid w:val="00130755"/>
    <w:rsid w:val="001307A3"/>
    <w:rsid w:val="001307C5"/>
    <w:rsid w:val="00130807"/>
    <w:rsid w:val="00130815"/>
    <w:rsid w:val="00130816"/>
    <w:rsid w:val="00130829"/>
    <w:rsid w:val="001308BF"/>
    <w:rsid w:val="001308C8"/>
    <w:rsid w:val="001308E2"/>
    <w:rsid w:val="001308EC"/>
    <w:rsid w:val="00130943"/>
    <w:rsid w:val="0013097D"/>
    <w:rsid w:val="001309B8"/>
    <w:rsid w:val="001309CC"/>
    <w:rsid w:val="00130A07"/>
    <w:rsid w:val="00130A56"/>
    <w:rsid w:val="00130ADB"/>
    <w:rsid w:val="00130B11"/>
    <w:rsid w:val="00130B48"/>
    <w:rsid w:val="00130B5A"/>
    <w:rsid w:val="00130B77"/>
    <w:rsid w:val="00130B8E"/>
    <w:rsid w:val="00130C09"/>
    <w:rsid w:val="00130C1D"/>
    <w:rsid w:val="00130CE2"/>
    <w:rsid w:val="00130D76"/>
    <w:rsid w:val="00130D8B"/>
    <w:rsid w:val="00130D99"/>
    <w:rsid w:val="00130D9A"/>
    <w:rsid w:val="00130DE4"/>
    <w:rsid w:val="00130E30"/>
    <w:rsid w:val="00130E7B"/>
    <w:rsid w:val="00130F0D"/>
    <w:rsid w:val="0013102A"/>
    <w:rsid w:val="0013105B"/>
    <w:rsid w:val="00131106"/>
    <w:rsid w:val="0013111B"/>
    <w:rsid w:val="00131188"/>
    <w:rsid w:val="001311EB"/>
    <w:rsid w:val="00131219"/>
    <w:rsid w:val="0013122E"/>
    <w:rsid w:val="00131238"/>
    <w:rsid w:val="00131268"/>
    <w:rsid w:val="0013129D"/>
    <w:rsid w:val="0013129E"/>
    <w:rsid w:val="001312E6"/>
    <w:rsid w:val="00131311"/>
    <w:rsid w:val="0013131A"/>
    <w:rsid w:val="00131320"/>
    <w:rsid w:val="00131338"/>
    <w:rsid w:val="00131395"/>
    <w:rsid w:val="001313AD"/>
    <w:rsid w:val="00131432"/>
    <w:rsid w:val="00131481"/>
    <w:rsid w:val="001314FB"/>
    <w:rsid w:val="00131588"/>
    <w:rsid w:val="001315A4"/>
    <w:rsid w:val="001315AA"/>
    <w:rsid w:val="00131630"/>
    <w:rsid w:val="00131644"/>
    <w:rsid w:val="00131699"/>
    <w:rsid w:val="001316B6"/>
    <w:rsid w:val="00131705"/>
    <w:rsid w:val="00131780"/>
    <w:rsid w:val="00131788"/>
    <w:rsid w:val="001317FE"/>
    <w:rsid w:val="0013189D"/>
    <w:rsid w:val="001318A2"/>
    <w:rsid w:val="001318AC"/>
    <w:rsid w:val="001318CC"/>
    <w:rsid w:val="0013194A"/>
    <w:rsid w:val="001319DB"/>
    <w:rsid w:val="00131A03"/>
    <w:rsid w:val="00131B02"/>
    <w:rsid w:val="00131B2F"/>
    <w:rsid w:val="00131B81"/>
    <w:rsid w:val="00131B86"/>
    <w:rsid w:val="00131BE1"/>
    <w:rsid w:val="00131C1C"/>
    <w:rsid w:val="00131C2A"/>
    <w:rsid w:val="00131CFA"/>
    <w:rsid w:val="00131D03"/>
    <w:rsid w:val="00131D1B"/>
    <w:rsid w:val="00131D30"/>
    <w:rsid w:val="00131D5A"/>
    <w:rsid w:val="00131D62"/>
    <w:rsid w:val="00131D96"/>
    <w:rsid w:val="00131DA1"/>
    <w:rsid w:val="00131DD6"/>
    <w:rsid w:val="00131DE2"/>
    <w:rsid w:val="00131DF6"/>
    <w:rsid w:val="00131E10"/>
    <w:rsid w:val="00131E34"/>
    <w:rsid w:val="00131E52"/>
    <w:rsid w:val="00131E6E"/>
    <w:rsid w:val="00131EB6"/>
    <w:rsid w:val="00131ED5"/>
    <w:rsid w:val="00131EDA"/>
    <w:rsid w:val="00131F87"/>
    <w:rsid w:val="00131F8B"/>
    <w:rsid w:val="00131FDA"/>
    <w:rsid w:val="00132070"/>
    <w:rsid w:val="00132073"/>
    <w:rsid w:val="0013208A"/>
    <w:rsid w:val="001320F8"/>
    <w:rsid w:val="0013215E"/>
    <w:rsid w:val="001321DE"/>
    <w:rsid w:val="001322EC"/>
    <w:rsid w:val="00132379"/>
    <w:rsid w:val="0013239B"/>
    <w:rsid w:val="00132522"/>
    <w:rsid w:val="0013253C"/>
    <w:rsid w:val="001325BF"/>
    <w:rsid w:val="001325C1"/>
    <w:rsid w:val="001325C2"/>
    <w:rsid w:val="00132699"/>
    <w:rsid w:val="001326EA"/>
    <w:rsid w:val="00132700"/>
    <w:rsid w:val="00132707"/>
    <w:rsid w:val="0013276F"/>
    <w:rsid w:val="0013277A"/>
    <w:rsid w:val="001327A7"/>
    <w:rsid w:val="001327B1"/>
    <w:rsid w:val="001327E9"/>
    <w:rsid w:val="0013281D"/>
    <w:rsid w:val="0013282D"/>
    <w:rsid w:val="00132833"/>
    <w:rsid w:val="001328F0"/>
    <w:rsid w:val="00132903"/>
    <w:rsid w:val="00132964"/>
    <w:rsid w:val="001329C7"/>
    <w:rsid w:val="001329E0"/>
    <w:rsid w:val="001329EE"/>
    <w:rsid w:val="00132A4B"/>
    <w:rsid w:val="00132AF6"/>
    <w:rsid w:val="00132B1D"/>
    <w:rsid w:val="00132BB4"/>
    <w:rsid w:val="00132BDA"/>
    <w:rsid w:val="00132C28"/>
    <w:rsid w:val="00132C32"/>
    <w:rsid w:val="00132C94"/>
    <w:rsid w:val="00132D69"/>
    <w:rsid w:val="00132D9B"/>
    <w:rsid w:val="00132DF5"/>
    <w:rsid w:val="00132DFB"/>
    <w:rsid w:val="00132E12"/>
    <w:rsid w:val="00132E6C"/>
    <w:rsid w:val="00132F01"/>
    <w:rsid w:val="00132F2C"/>
    <w:rsid w:val="00132F2E"/>
    <w:rsid w:val="00132F91"/>
    <w:rsid w:val="00132F99"/>
    <w:rsid w:val="00132FE0"/>
    <w:rsid w:val="00133037"/>
    <w:rsid w:val="0013305E"/>
    <w:rsid w:val="00133068"/>
    <w:rsid w:val="00133096"/>
    <w:rsid w:val="001330C1"/>
    <w:rsid w:val="001330D8"/>
    <w:rsid w:val="001330FC"/>
    <w:rsid w:val="00133133"/>
    <w:rsid w:val="00133162"/>
    <w:rsid w:val="00133203"/>
    <w:rsid w:val="00133240"/>
    <w:rsid w:val="00133291"/>
    <w:rsid w:val="001332A0"/>
    <w:rsid w:val="001332AB"/>
    <w:rsid w:val="001332C1"/>
    <w:rsid w:val="00133334"/>
    <w:rsid w:val="00133398"/>
    <w:rsid w:val="001333F4"/>
    <w:rsid w:val="0013343B"/>
    <w:rsid w:val="0013343E"/>
    <w:rsid w:val="001334A3"/>
    <w:rsid w:val="001334F4"/>
    <w:rsid w:val="00133559"/>
    <w:rsid w:val="001335FB"/>
    <w:rsid w:val="001336A5"/>
    <w:rsid w:val="00133768"/>
    <w:rsid w:val="001337D4"/>
    <w:rsid w:val="00133897"/>
    <w:rsid w:val="001338F8"/>
    <w:rsid w:val="00133911"/>
    <w:rsid w:val="00133919"/>
    <w:rsid w:val="0013392E"/>
    <w:rsid w:val="00133943"/>
    <w:rsid w:val="00133960"/>
    <w:rsid w:val="00133A74"/>
    <w:rsid w:val="00133A7A"/>
    <w:rsid w:val="00133A8D"/>
    <w:rsid w:val="00133AAB"/>
    <w:rsid w:val="00133B7E"/>
    <w:rsid w:val="00133B82"/>
    <w:rsid w:val="00133BF0"/>
    <w:rsid w:val="00133C57"/>
    <w:rsid w:val="00133C5F"/>
    <w:rsid w:val="00133C69"/>
    <w:rsid w:val="00133C6E"/>
    <w:rsid w:val="00133C92"/>
    <w:rsid w:val="00133CC8"/>
    <w:rsid w:val="00133D0C"/>
    <w:rsid w:val="00133D22"/>
    <w:rsid w:val="00133D89"/>
    <w:rsid w:val="00133D92"/>
    <w:rsid w:val="00133DC4"/>
    <w:rsid w:val="00133DC6"/>
    <w:rsid w:val="00133DC8"/>
    <w:rsid w:val="00133E31"/>
    <w:rsid w:val="00133ED1"/>
    <w:rsid w:val="00133EDB"/>
    <w:rsid w:val="00133EF8"/>
    <w:rsid w:val="00133F08"/>
    <w:rsid w:val="00133F2A"/>
    <w:rsid w:val="00133F5B"/>
    <w:rsid w:val="00133F9E"/>
    <w:rsid w:val="00133FFB"/>
    <w:rsid w:val="00133FFD"/>
    <w:rsid w:val="0013403E"/>
    <w:rsid w:val="00134040"/>
    <w:rsid w:val="00134062"/>
    <w:rsid w:val="00134085"/>
    <w:rsid w:val="001340E8"/>
    <w:rsid w:val="0013412A"/>
    <w:rsid w:val="00134156"/>
    <w:rsid w:val="001341DF"/>
    <w:rsid w:val="0013424C"/>
    <w:rsid w:val="00134285"/>
    <w:rsid w:val="00134286"/>
    <w:rsid w:val="0013429F"/>
    <w:rsid w:val="001342B0"/>
    <w:rsid w:val="001342FE"/>
    <w:rsid w:val="00134327"/>
    <w:rsid w:val="0013432B"/>
    <w:rsid w:val="001343AB"/>
    <w:rsid w:val="00134406"/>
    <w:rsid w:val="0013443B"/>
    <w:rsid w:val="0013444C"/>
    <w:rsid w:val="00134466"/>
    <w:rsid w:val="0013448D"/>
    <w:rsid w:val="00134586"/>
    <w:rsid w:val="001345CA"/>
    <w:rsid w:val="00134606"/>
    <w:rsid w:val="00134670"/>
    <w:rsid w:val="001346E2"/>
    <w:rsid w:val="001346F9"/>
    <w:rsid w:val="0013472E"/>
    <w:rsid w:val="0013474A"/>
    <w:rsid w:val="00134757"/>
    <w:rsid w:val="00134797"/>
    <w:rsid w:val="001347C4"/>
    <w:rsid w:val="001347D4"/>
    <w:rsid w:val="001347D5"/>
    <w:rsid w:val="00134807"/>
    <w:rsid w:val="00134817"/>
    <w:rsid w:val="0013483D"/>
    <w:rsid w:val="00134853"/>
    <w:rsid w:val="00134856"/>
    <w:rsid w:val="00134886"/>
    <w:rsid w:val="001348CD"/>
    <w:rsid w:val="00134941"/>
    <w:rsid w:val="00134A02"/>
    <w:rsid w:val="00134A2F"/>
    <w:rsid w:val="00134A36"/>
    <w:rsid w:val="00134A3D"/>
    <w:rsid w:val="00134A87"/>
    <w:rsid w:val="00134ADA"/>
    <w:rsid w:val="00134B2D"/>
    <w:rsid w:val="00134B39"/>
    <w:rsid w:val="00134B5D"/>
    <w:rsid w:val="00134BF2"/>
    <w:rsid w:val="00134C3F"/>
    <w:rsid w:val="00134C88"/>
    <w:rsid w:val="00134CB4"/>
    <w:rsid w:val="00134D0A"/>
    <w:rsid w:val="00134D25"/>
    <w:rsid w:val="00134D47"/>
    <w:rsid w:val="00134E3F"/>
    <w:rsid w:val="00134E85"/>
    <w:rsid w:val="00134E9E"/>
    <w:rsid w:val="00134EAF"/>
    <w:rsid w:val="00134EDB"/>
    <w:rsid w:val="00134F39"/>
    <w:rsid w:val="00134FD6"/>
    <w:rsid w:val="0013501F"/>
    <w:rsid w:val="00135039"/>
    <w:rsid w:val="00135067"/>
    <w:rsid w:val="00135091"/>
    <w:rsid w:val="001350A7"/>
    <w:rsid w:val="001350E1"/>
    <w:rsid w:val="00135112"/>
    <w:rsid w:val="001351E8"/>
    <w:rsid w:val="001351EC"/>
    <w:rsid w:val="00135207"/>
    <w:rsid w:val="00135210"/>
    <w:rsid w:val="00135213"/>
    <w:rsid w:val="00135259"/>
    <w:rsid w:val="001352CC"/>
    <w:rsid w:val="001352EF"/>
    <w:rsid w:val="001352F9"/>
    <w:rsid w:val="001352FD"/>
    <w:rsid w:val="00135330"/>
    <w:rsid w:val="001353B7"/>
    <w:rsid w:val="001353C5"/>
    <w:rsid w:val="00135412"/>
    <w:rsid w:val="00135438"/>
    <w:rsid w:val="001354D2"/>
    <w:rsid w:val="00135508"/>
    <w:rsid w:val="0013551E"/>
    <w:rsid w:val="00135525"/>
    <w:rsid w:val="00135533"/>
    <w:rsid w:val="00135536"/>
    <w:rsid w:val="0013560D"/>
    <w:rsid w:val="0013570E"/>
    <w:rsid w:val="00135772"/>
    <w:rsid w:val="00135787"/>
    <w:rsid w:val="001357A2"/>
    <w:rsid w:val="001357A7"/>
    <w:rsid w:val="001357B1"/>
    <w:rsid w:val="001357E7"/>
    <w:rsid w:val="0013580F"/>
    <w:rsid w:val="0013583A"/>
    <w:rsid w:val="00135879"/>
    <w:rsid w:val="001358FF"/>
    <w:rsid w:val="00135906"/>
    <w:rsid w:val="00135912"/>
    <w:rsid w:val="0013592A"/>
    <w:rsid w:val="0013592F"/>
    <w:rsid w:val="00135946"/>
    <w:rsid w:val="0013596E"/>
    <w:rsid w:val="0013597A"/>
    <w:rsid w:val="001359DD"/>
    <w:rsid w:val="001359E3"/>
    <w:rsid w:val="00135A0E"/>
    <w:rsid w:val="00135A66"/>
    <w:rsid w:val="00135A94"/>
    <w:rsid w:val="00135B1D"/>
    <w:rsid w:val="00135B33"/>
    <w:rsid w:val="00135B49"/>
    <w:rsid w:val="00135B62"/>
    <w:rsid w:val="00135B9F"/>
    <w:rsid w:val="00135BAF"/>
    <w:rsid w:val="00135BE0"/>
    <w:rsid w:val="00135BE2"/>
    <w:rsid w:val="00135C1B"/>
    <w:rsid w:val="00135C31"/>
    <w:rsid w:val="00135C4F"/>
    <w:rsid w:val="00135C69"/>
    <w:rsid w:val="00135C7F"/>
    <w:rsid w:val="00135C9E"/>
    <w:rsid w:val="00135CAA"/>
    <w:rsid w:val="00135CEB"/>
    <w:rsid w:val="00135CF7"/>
    <w:rsid w:val="00135D02"/>
    <w:rsid w:val="00135D42"/>
    <w:rsid w:val="00135D48"/>
    <w:rsid w:val="00135E14"/>
    <w:rsid w:val="00135E1D"/>
    <w:rsid w:val="00135E9A"/>
    <w:rsid w:val="00135ED0"/>
    <w:rsid w:val="00135F53"/>
    <w:rsid w:val="00135F6F"/>
    <w:rsid w:val="00135F86"/>
    <w:rsid w:val="00135F93"/>
    <w:rsid w:val="00136018"/>
    <w:rsid w:val="00136054"/>
    <w:rsid w:val="00136083"/>
    <w:rsid w:val="0013610F"/>
    <w:rsid w:val="00136160"/>
    <w:rsid w:val="00136177"/>
    <w:rsid w:val="001361C6"/>
    <w:rsid w:val="00136266"/>
    <w:rsid w:val="0013626F"/>
    <w:rsid w:val="00136278"/>
    <w:rsid w:val="00136282"/>
    <w:rsid w:val="001362A8"/>
    <w:rsid w:val="001362B3"/>
    <w:rsid w:val="001362E6"/>
    <w:rsid w:val="001362FF"/>
    <w:rsid w:val="00136308"/>
    <w:rsid w:val="0013631C"/>
    <w:rsid w:val="00136339"/>
    <w:rsid w:val="0013635B"/>
    <w:rsid w:val="001363AF"/>
    <w:rsid w:val="001363EB"/>
    <w:rsid w:val="001363F2"/>
    <w:rsid w:val="001363FE"/>
    <w:rsid w:val="00136408"/>
    <w:rsid w:val="0013640E"/>
    <w:rsid w:val="0013642A"/>
    <w:rsid w:val="00136430"/>
    <w:rsid w:val="00136469"/>
    <w:rsid w:val="0013646A"/>
    <w:rsid w:val="00136482"/>
    <w:rsid w:val="00136486"/>
    <w:rsid w:val="001364F3"/>
    <w:rsid w:val="001365B0"/>
    <w:rsid w:val="001365C2"/>
    <w:rsid w:val="001365D7"/>
    <w:rsid w:val="00136710"/>
    <w:rsid w:val="00136728"/>
    <w:rsid w:val="00136737"/>
    <w:rsid w:val="00136755"/>
    <w:rsid w:val="0013679F"/>
    <w:rsid w:val="00136824"/>
    <w:rsid w:val="001368B5"/>
    <w:rsid w:val="001368BD"/>
    <w:rsid w:val="00136986"/>
    <w:rsid w:val="001369C2"/>
    <w:rsid w:val="001369D2"/>
    <w:rsid w:val="001369F1"/>
    <w:rsid w:val="001369F7"/>
    <w:rsid w:val="00136A00"/>
    <w:rsid w:val="00136A14"/>
    <w:rsid w:val="00136A94"/>
    <w:rsid w:val="00136A9F"/>
    <w:rsid w:val="00136AC8"/>
    <w:rsid w:val="00136B6F"/>
    <w:rsid w:val="00136B7A"/>
    <w:rsid w:val="00136B9E"/>
    <w:rsid w:val="00136C05"/>
    <w:rsid w:val="00136C0F"/>
    <w:rsid w:val="00136C27"/>
    <w:rsid w:val="00136CAC"/>
    <w:rsid w:val="00136D26"/>
    <w:rsid w:val="00136D35"/>
    <w:rsid w:val="00136D8D"/>
    <w:rsid w:val="00136DA8"/>
    <w:rsid w:val="00136E5A"/>
    <w:rsid w:val="00136EDF"/>
    <w:rsid w:val="00136EF7"/>
    <w:rsid w:val="00136F63"/>
    <w:rsid w:val="00136FA2"/>
    <w:rsid w:val="00137008"/>
    <w:rsid w:val="00137023"/>
    <w:rsid w:val="00137032"/>
    <w:rsid w:val="00137068"/>
    <w:rsid w:val="001370D7"/>
    <w:rsid w:val="001370E7"/>
    <w:rsid w:val="00137106"/>
    <w:rsid w:val="0013712C"/>
    <w:rsid w:val="00137175"/>
    <w:rsid w:val="00137183"/>
    <w:rsid w:val="001371DE"/>
    <w:rsid w:val="00137211"/>
    <w:rsid w:val="001372A1"/>
    <w:rsid w:val="0013731C"/>
    <w:rsid w:val="00137338"/>
    <w:rsid w:val="001373B0"/>
    <w:rsid w:val="001373C4"/>
    <w:rsid w:val="001373E8"/>
    <w:rsid w:val="001373F8"/>
    <w:rsid w:val="00137429"/>
    <w:rsid w:val="00137430"/>
    <w:rsid w:val="00137462"/>
    <w:rsid w:val="00137490"/>
    <w:rsid w:val="001375DC"/>
    <w:rsid w:val="00137600"/>
    <w:rsid w:val="00137612"/>
    <w:rsid w:val="00137675"/>
    <w:rsid w:val="001376CD"/>
    <w:rsid w:val="0013772C"/>
    <w:rsid w:val="0013773E"/>
    <w:rsid w:val="00137775"/>
    <w:rsid w:val="0013783D"/>
    <w:rsid w:val="001378D8"/>
    <w:rsid w:val="00137977"/>
    <w:rsid w:val="00137A24"/>
    <w:rsid w:val="00137A36"/>
    <w:rsid w:val="00137A83"/>
    <w:rsid w:val="00137A9F"/>
    <w:rsid w:val="00137AA0"/>
    <w:rsid w:val="00137AD7"/>
    <w:rsid w:val="00137B71"/>
    <w:rsid w:val="00137B74"/>
    <w:rsid w:val="00137BAE"/>
    <w:rsid w:val="00137BCC"/>
    <w:rsid w:val="00137BE3"/>
    <w:rsid w:val="00137C0B"/>
    <w:rsid w:val="00137C30"/>
    <w:rsid w:val="00137D9E"/>
    <w:rsid w:val="00137DBA"/>
    <w:rsid w:val="00137DBD"/>
    <w:rsid w:val="00137E09"/>
    <w:rsid w:val="00137E12"/>
    <w:rsid w:val="00137E1D"/>
    <w:rsid w:val="00137E51"/>
    <w:rsid w:val="00137EB5"/>
    <w:rsid w:val="00137F1C"/>
    <w:rsid w:val="00137F22"/>
    <w:rsid w:val="00137F79"/>
    <w:rsid w:val="00137F82"/>
    <w:rsid w:val="00137FE1"/>
    <w:rsid w:val="0013E7EE"/>
    <w:rsid w:val="00140049"/>
    <w:rsid w:val="0014005B"/>
    <w:rsid w:val="0014006E"/>
    <w:rsid w:val="00140098"/>
    <w:rsid w:val="001400D7"/>
    <w:rsid w:val="001400DA"/>
    <w:rsid w:val="001400F4"/>
    <w:rsid w:val="0014010E"/>
    <w:rsid w:val="00140112"/>
    <w:rsid w:val="00140154"/>
    <w:rsid w:val="00140155"/>
    <w:rsid w:val="001401CB"/>
    <w:rsid w:val="001401EB"/>
    <w:rsid w:val="001402BD"/>
    <w:rsid w:val="001402C9"/>
    <w:rsid w:val="001402E6"/>
    <w:rsid w:val="001402F9"/>
    <w:rsid w:val="001402FB"/>
    <w:rsid w:val="0014031E"/>
    <w:rsid w:val="00140382"/>
    <w:rsid w:val="00140414"/>
    <w:rsid w:val="00140419"/>
    <w:rsid w:val="00140541"/>
    <w:rsid w:val="00140560"/>
    <w:rsid w:val="0014058E"/>
    <w:rsid w:val="001405F1"/>
    <w:rsid w:val="00140645"/>
    <w:rsid w:val="00140678"/>
    <w:rsid w:val="001406ED"/>
    <w:rsid w:val="00140717"/>
    <w:rsid w:val="0014075E"/>
    <w:rsid w:val="00140775"/>
    <w:rsid w:val="0014078C"/>
    <w:rsid w:val="001407B2"/>
    <w:rsid w:val="001407BE"/>
    <w:rsid w:val="00140801"/>
    <w:rsid w:val="0014081C"/>
    <w:rsid w:val="00140822"/>
    <w:rsid w:val="0014085E"/>
    <w:rsid w:val="0014089C"/>
    <w:rsid w:val="001408C1"/>
    <w:rsid w:val="0014090C"/>
    <w:rsid w:val="00140921"/>
    <w:rsid w:val="0014095F"/>
    <w:rsid w:val="0014098A"/>
    <w:rsid w:val="001409D0"/>
    <w:rsid w:val="001409DB"/>
    <w:rsid w:val="00140A01"/>
    <w:rsid w:val="00140AB2"/>
    <w:rsid w:val="00140AD4"/>
    <w:rsid w:val="00140AED"/>
    <w:rsid w:val="00140B4A"/>
    <w:rsid w:val="00140B5D"/>
    <w:rsid w:val="00140B66"/>
    <w:rsid w:val="00140B75"/>
    <w:rsid w:val="00140C8E"/>
    <w:rsid w:val="00140CAA"/>
    <w:rsid w:val="00140D73"/>
    <w:rsid w:val="00140D98"/>
    <w:rsid w:val="00140DD3"/>
    <w:rsid w:val="00140E34"/>
    <w:rsid w:val="00140EA8"/>
    <w:rsid w:val="00140FF2"/>
    <w:rsid w:val="00141005"/>
    <w:rsid w:val="00141027"/>
    <w:rsid w:val="0014104C"/>
    <w:rsid w:val="00141078"/>
    <w:rsid w:val="0014108F"/>
    <w:rsid w:val="0014109A"/>
    <w:rsid w:val="00141111"/>
    <w:rsid w:val="00141130"/>
    <w:rsid w:val="00141171"/>
    <w:rsid w:val="001411A1"/>
    <w:rsid w:val="0014126C"/>
    <w:rsid w:val="001412A3"/>
    <w:rsid w:val="001412DD"/>
    <w:rsid w:val="00141390"/>
    <w:rsid w:val="001413D7"/>
    <w:rsid w:val="001413E6"/>
    <w:rsid w:val="0014147F"/>
    <w:rsid w:val="001414E2"/>
    <w:rsid w:val="001414F0"/>
    <w:rsid w:val="00141620"/>
    <w:rsid w:val="00141621"/>
    <w:rsid w:val="0014164D"/>
    <w:rsid w:val="0014165D"/>
    <w:rsid w:val="00141687"/>
    <w:rsid w:val="0014168F"/>
    <w:rsid w:val="001416C1"/>
    <w:rsid w:val="001416C4"/>
    <w:rsid w:val="001416CA"/>
    <w:rsid w:val="001416D1"/>
    <w:rsid w:val="001416DF"/>
    <w:rsid w:val="00141732"/>
    <w:rsid w:val="00141743"/>
    <w:rsid w:val="001417B0"/>
    <w:rsid w:val="001417C9"/>
    <w:rsid w:val="00141852"/>
    <w:rsid w:val="0014185A"/>
    <w:rsid w:val="001418AE"/>
    <w:rsid w:val="0014194B"/>
    <w:rsid w:val="0014195D"/>
    <w:rsid w:val="00141999"/>
    <w:rsid w:val="00141A24"/>
    <w:rsid w:val="00141A32"/>
    <w:rsid w:val="00141A70"/>
    <w:rsid w:val="00141A7A"/>
    <w:rsid w:val="00141ABD"/>
    <w:rsid w:val="00141B29"/>
    <w:rsid w:val="00141B60"/>
    <w:rsid w:val="00141B6C"/>
    <w:rsid w:val="00141BEE"/>
    <w:rsid w:val="00141C41"/>
    <w:rsid w:val="00141C48"/>
    <w:rsid w:val="00141C5B"/>
    <w:rsid w:val="00141C87"/>
    <w:rsid w:val="00141C99"/>
    <w:rsid w:val="00141CA0"/>
    <w:rsid w:val="00141CC5"/>
    <w:rsid w:val="00141CDA"/>
    <w:rsid w:val="00141DC6"/>
    <w:rsid w:val="00141E50"/>
    <w:rsid w:val="00141E75"/>
    <w:rsid w:val="00141EAF"/>
    <w:rsid w:val="00141EB3"/>
    <w:rsid w:val="00141EBA"/>
    <w:rsid w:val="00141EED"/>
    <w:rsid w:val="00141F0E"/>
    <w:rsid w:val="00141F30"/>
    <w:rsid w:val="00141F75"/>
    <w:rsid w:val="00141FAE"/>
    <w:rsid w:val="0014205F"/>
    <w:rsid w:val="0014209A"/>
    <w:rsid w:val="001420AE"/>
    <w:rsid w:val="001420D4"/>
    <w:rsid w:val="001420FC"/>
    <w:rsid w:val="0014210B"/>
    <w:rsid w:val="00142132"/>
    <w:rsid w:val="0014219D"/>
    <w:rsid w:val="001421B7"/>
    <w:rsid w:val="0014221F"/>
    <w:rsid w:val="00142220"/>
    <w:rsid w:val="0014224B"/>
    <w:rsid w:val="0014225B"/>
    <w:rsid w:val="00142268"/>
    <w:rsid w:val="00142294"/>
    <w:rsid w:val="001422E5"/>
    <w:rsid w:val="00142347"/>
    <w:rsid w:val="0014236C"/>
    <w:rsid w:val="001423B8"/>
    <w:rsid w:val="001423D4"/>
    <w:rsid w:val="00142403"/>
    <w:rsid w:val="00142457"/>
    <w:rsid w:val="001424A2"/>
    <w:rsid w:val="00142508"/>
    <w:rsid w:val="0014252C"/>
    <w:rsid w:val="00142544"/>
    <w:rsid w:val="001425B4"/>
    <w:rsid w:val="0014269F"/>
    <w:rsid w:val="001426AD"/>
    <w:rsid w:val="00142754"/>
    <w:rsid w:val="0014277C"/>
    <w:rsid w:val="001427A3"/>
    <w:rsid w:val="001427BC"/>
    <w:rsid w:val="001427EE"/>
    <w:rsid w:val="00142821"/>
    <w:rsid w:val="0014286D"/>
    <w:rsid w:val="001428A1"/>
    <w:rsid w:val="00142967"/>
    <w:rsid w:val="00142987"/>
    <w:rsid w:val="00142992"/>
    <w:rsid w:val="001429A5"/>
    <w:rsid w:val="00142A1B"/>
    <w:rsid w:val="00142A35"/>
    <w:rsid w:val="00142A6B"/>
    <w:rsid w:val="00142AD0"/>
    <w:rsid w:val="00142B20"/>
    <w:rsid w:val="00142B51"/>
    <w:rsid w:val="00142C64"/>
    <w:rsid w:val="00142C6A"/>
    <w:rsid w:val="00142CC5"/>
    <w:rsid w:val="00142D77"/>
    <w:rsid w:val="00142D82"/>
    <w:rsid w:val="00142DB9"/>
    <w:rsid w:val="00142DDB"/>
    <w:rsid w:val="00142E13"/>
    <w:rsid w:val="00142E7A"/>
    <w:rsid w:val="00142EA3"/>
    <w:rsid w:val="00142ED0"/>
    <w:rsid w:val="00142F0B"/>
    <w:rsid w:val="00142F64"/>
    <w:rsid w:val="00142F9E"/>
    <w:rsid w:val="00142FC3"/>
    <w:rsid w:val="0014305A"/>
    <w:rsid w:val="0014305E"/>
    <w:rsid w:val="0014309C"/>
    <w:rsid w:val="001430DB"/>
    <w:rsid w:val="001430E6"/>
    <w:rsid w:val="001430EA"/>
    <w:rsid w:val="0014311A"/>
    <w:rsid w:val="001431C4"/>
    <w:rsid w:val="0014326D"/>
    <w:rsid w:val="001432C3"/>
    <w:rsid w:val="001432F2"/>
    <w:rsid w:val="0014333C"/>
    <w:rsid w:val="00143386"/>
    <w:rsid w:val="00143403"/>
    <w:rsid w:val="00143476"/>
    <w:rsid w:val="001434BE"/>
    <w:rsid w:val="00143523"/>
    <w:rsid w:val="00143532"/>
    <w:rsid w:val="0014353A"/>
    <w:rsid w:val="0014356C"/>
    <w:rsid w:val="0014359F"/>
    <w:rsid w:val="00143695"/>
    <w:rsid w:val="0014369B"/>
    <w:rsid w:val="001436B1"/>
    <w:rsid w:val="00143733"/>
    <w:rsid w:val="00143793"/>
    <w:rsid w:val="001437F5"/>
    <w:rsid w:val="0014383D"/>
    <w:rsid w:val="00143856"/>
    <w:rsid w:val="0014386A"/>
    <w:rsid w:val="00143872"/>
    <w:rsid w:val="0014394C"/>
    <w:rsid w:val="0014396F"/>
    <w:rsid w:val="00143993"/>
    <w:rsid w:val="00143A3B"/>
    <w:rsid w:val="00143A3D"/>
    <w:rsid w:val="00143A53"/>
    <w:rsid w:val="00143AC5"/>
    <w:rsid w:val="00143AD6"/>
    <w:rsid w:val="00143B45"/>
    <w:rsid w:val="00143B4E"/>
    <w:rsid w:val="00143B6F"/>
    <w:rsid w:val="00143B72"/>
    <w:rsid w:val="00143B8E"/>
    <w:rsid w:val="00143BEC"/>
    <w:rsid w:val="00143C43"/>
    <w:rsid w:val="00143C4B"/>
    <w:rsid w:val="00143C7D"/>
    <w:rsid w:val="00143C93"/>
    <w:rsid w:val="00143CA8"/>
    <w:rsid w:val="00143CC4"/>
    <w:rsid w:val="00143D24"/>
    <w:rsid w:val="00143D67"/>
    <w:rsid w:val="00143DB3"/>
    <w:rsid w:val="00143E00"/>
    <w:rsid w:val="00143E12"/>
    <w:rsid w:val="00143E69"/>
    <w:rsid w:val="00143E6E"/>
    <w:rsid w:val="00143E74"/>
    <w:rsid w:val="00143E89"/>
    <w:rsid w:val="00143E96"/>
    <w:rsid w:val="00143ECD"/>
    <w:rsid w:val="00143ECE"/>
    <w:rsid w:val="00143F02"/>
    <w:rsid w:val="00143F07"/>
    <w:rsid w:val="00143F36"/>
    <w:rsid w:val="00143F52"/>
    <w:rsid w:val="00143F8A"/>
    <w:rsid w:val="00143FB0"/>
    <w:rsid w:val="00143FE0"/>
    <w:rsid w:val="00144029"/>
    <w:rsid w:val="00144094"/>
    <w:rsid w:val="00144112"/>
    <w:rsid w:val="00144123"/>
    <w:rsid w:val="001441E2"/>
    <w:rsid w:val="001441F5"/>
    <w:rsid w:val="0014420D"/>
    <w:rsid w:val="00144210"/>
    <w:rsid w:val="0014421A"/>
    <w:rsid w:val="0014431A"/>
    <w:rsid w:val="0014433A"/>
    <w:rsid w:val="00144360"/>
    <w:rsid w:val="00144366"/>
    <w:rsid w:val="00144384"/>
    <w:rsid w:val="00144425"/>
    <w:rsid w:val="0014444A"/>
    <w:rsid w:val="00144465"/>
    <w:rsid w:val="001444E4"/>
    <w:rsid w:val="0014456B"/>
    <w:rsid w:val="00144576"/>
    <w:rsid w:val="001445FD"/>
    <w:rsid w:val="00144613"/>
    <w:rsid w:val="00144626"/>
    <w:rsid w:val="00144664"/>
    <w:rsid w:val="00144675"/>
    <w:rsid w:val="001446B0"/>
    <w:rsid w:val="001446B4"/>
    <w:rsid w:val="0014479A"/>
    <w:rsid w:val="001447A9"/>
    <w:rsid w:val="001447B5"/>
    <w:rsid w:val="001447C4"/>
    <w:rsid w:val="001447E5"/>
    <w:rsid w:val="001447FC"/>
    <w:rsid w:val="0014484F"/>
    <w:rsid w:val="0014485E"/>
    <w:rsid w:val="00144865"/>
    <w:rsid w:val="0014487F"/>
    <w:rsid w:val="0014488C"/>
    <w:rsid w:val="001448BB"/>
    <w:rsid w:val="001449EF"/>
    <w:rsid w:val="00144A13"/>
    <w:rsid w:val="00144A65"/>
    <w:rsid w:val="00144A9C"/>
    <w:rsid w:val="00144AF4"/>
    <w:rsid w:val="00144B01"/>
    <w:rsid w:val="00144B0A"/>
    <w:rsid w:val="00144B35"/>
    <w:rsid w:val="00144B41"/>
    <w:rsid w:val="00144B65"/>
    <w:rsid w:val="00144B77"/>
    <w:rsid w:val="00144B93"/>
    <w:rsid w:val="00144BBD"/>
    <w:rsid w:val="00144BC2"/>
    <w:rsid w:val="00144BDF"/>
    <w:rsid w:val="00144C06"/>
    <w:rsid w:val="00144C07"/>
    <w:rsid w:val="00144C12"/>
    <w:rsid w:val="00144C79"/>
    <w:rsid w:val="00144C8B"/>
    <w:rsid w:val="00144C91"/>
    <w:rsid w:val="00144CAF"/>
    <w:rsid w:val="00144CE1"/>
    <w:rsid w:val="00144D4D"/>
    <w:rsid w:val="00144D8D"/>
    <w:rsid w:val="00144DEC"/>
    <w:rsid w:val="00144DF5"/>
    <w:rsid w:val="00144F33"/>
    <w:rsid w:val="00144F63"/>
    <w:rsid w:val="00144FAD"/>
    <w:rsid w:val="0014501E"/>
    <w:rsid w:val="001450B1"/>
    <w:rsid w:val="001450CA"/>
    <w:rsid w:val="00145101"/>
    <w:rsid w:val="00145107"/>
    <w:rsid w:val="001451DB"/>
    <w:rsid w:val="001451E3"/>
    <w:rsid w:val="00145328"/>
    <w:rsid w:val="00145339"/>
    <w:rsid w:val="0014541C"/>
    <w:rsid w:val="00145437"/>
    <w:rsid w:val="001454E7"/>
    <w:rsid w:val="0014554A"/>
    <w:rsid w:val="00145555"/>
    <w:rsid w:val="0014557A"/>
    <w:rsid w:val="00145610"/>
    <w:rsid w:val="0014565D"/>
    <w:rsid w:val="00145686"/>
    <w:rsid w:val="00145756"/>
    <w:rsid w:val="00145775"/>
    <w:rsid w:val="00145782"/>
    <w:rsid w:val="001457C6"/>
    <w:rsid w:val="001457F7"/>
    <w:rsid w:val="00145822"/>
    <w:rsid w:val="00145886"/>
    <w:rsid w:val="0014588F"/>
    <w:rsid w:val="001458B6"/>
    <w:rsid w:val="001458D9"/>
    <w:rsid w:val="001459DE"/>
    <w:rsid w:val="001459F4"/>
    <w:rsid w:val="00145A09"/>
    <w:rsid w:val="00145A27"/>
    <w:rsid w:val="00145A4F"/>
    <w:rsid w:val="00145AEA"/>
    <w:rsid w:val="00145B79"/>
    <w:rsid w:val="00145BED"/>
    <w:rsid w:val="00145C6A"/>
    <w:rsid w:val="00145CD1"/>
    <w:rsid w:val="00145CD2"/>
    <w:rsid w:val="00145CEF"/>
    <w:rsid w:val="00145D30"/>
    <w:rsid w:val="00145D52"/>
    <w:rsid w:val="00145D81"/>
    <w:rsid w:val="00145D9C"/>
    <w:rsid w:val="00145DB4"/>
    <w:rsid w:val="00145DBE"/>
    <w:rsid w:val="00145E9D"/>
    <w:rsid w:val="00145EDA"/>
    <w:rsid w:val="00145F18"/>
    <w:rsid w:val="00145F85"/>
    <w:rsid w:val="0014601B"/>
    <w:rsid w:val="00146051"/>
    <w:rsid w:val="0014608C"/>
    <w:rsid w:val="001460B2"/>
    <w:rsid w:val="001460DD"/>
    <w:rsid w:val="00146196"/>
    <w:rsid w:val="00146286"/>
    <w:rsid w:val="001462C0"/>
    <w:rsid w:val="001462C1"/>
    <w:rsid w:val="001462D6"/>
    <w:rsid w:val="0014643F"/>
    <w:rsid w:val="001464B3"/>
    <w:rsid w:val="001465FD"/>
    <w:rsid w:val="00146608"/>
    <w:rsid w:val="00146609"/>
    <w:rsid w:val="001466BE"/>
    <w:rsid w:val="00146717"/>
    <w:rsid w:val="00146723"/>
    <w:rsid w:val="00146755"/>
    <w:rsid w:val="00146759"/>
    <w:rsid w:val="00146762"/>
    <w:rsid w:val="00146767"/>
    <w:rsid w:val="0014677A"/>
    <w:rsid w:val="001467A9"/>
    <w:rsid w:val="001467C7"/>
    <w:rsid w:val="001467E2"/>
    <w:rsid w:val="00146895"/>
    <w:rsid w:val="001468B7"/>
    <w:rsid w:val="001468EE"/>
    <w:rsid w:val="00146913"/>
    <w:rsid w:val="00146957"/>
    <w:rsid w:val="0014699F"/>
    <w:rsid w:val="001469BC"/>
    <w:rsid w:val="001469EE"/>
    <w:rsid w:val="00146A3A"/>
    <w:rsid w:val="00146A8C"/>
    <w:rsid w:val="00146B42"/>
    <w:rsid w:val="00146BFB"/>
    <w:rsid w:val="00146CA1"/>
    <w:rsid w:val="00146CBA"/>
    <w:rsid w:val="00146CCA"/>
    <w:rsid w:val="00146CCD"/>
    <w:rsid w:val="00146D45"/>
    <w:rsid w:val="00146E05"/>
    <w:rsid w:val="00146E45"/>
    <w:rsid w:val="00146EC9"/>
    <w:rsid w:val="00146EDD"/>
    <w:rsid w:val="00146F8D"/>
    <w:rsid w:val="00146F98"/>
    <w:rsid w:val="00146FC2"/>
    <w:rsid w:val="00146FD1"/>
    <w:rsid w:val="00146FE0"/>
    <w:rsid w:val="0014701E"/>
    <w:rsid w:val="0014704A"/>
    <w:rsid w:val="001471AE"/>
    <w:rsid w:val="00147270"/>
    <w:rsid w:val="00147295"/>
    <w:rsid w:val="001472DA"/>
    <w:rsid w:val="00147339"/>
    <w:rsid w:val="00147343"/>
    <w:rsid w:val="001473A8"/>
    <w:rsid w:val="001473D5"/>
    <w:rsid w:val="00147410"/>
    <w:rsid w:val="0014742A"/>
    <w:rsid w:val="0014748F"/>
    <w:rsid w:val="001474CC"/>
    <w:rsid w:val="001474D6"/>
    <w:rsid w:val="001474E7"/>
    <w:rsid w:val="00147518"/>
    <w:rsid w:val="00147519"/>
    <w:rsid w:val="0014753F"/>
    <w:rsid w:val="0014754C"/>
    <w:rsid w:val="0014756F"/>
    <w:rsid w:val="00147575"/>
    <w:rsid w:val="00147584"/>
    <w:rsid w:val="0014758D"/>
    <w:rsid w:val="0014759C"/>
    <w:rsid w:val="001475B2"/>
    <w:rsid w:val="001475EF"/>
    <w:rsid w:val="00147613"/>
    <w:rsid w:val="00147690"/>
    <w:rsid w:val="001476A5"/>
    <w:rsid w:val="001476D7"/>
    <w:rsid w:val="0014770C"/>
    <w:rsid w:val="0014772B"/>
    <w:rsid w:val="0014777D"/>
    <w:rsid w:val="001477EA"/>
    <w:rsid w:val="0014781A"/>
    <w:rsid w:val="00147821"/>
    <w:rsid w:val="00147828"/>
    <w:rsid w:val="00147845"/>
    <w:rsid w:val="0014784B"/>
    <w:rsid w:val="001478C2"/>
    <w:rsid w:val="00147924"/>
    <w:rsid w:val="00147930"/>
    <w:rsid w:val="00147931"/>
    <w:rsid w:val="0014795F"/>
    <w:rsid w:val="00147975"/>
    <w:rsid w:val="0014798B"/>
    <w:rsid w:val="001479F7"/>
    <w:rsid w:val="001479FD"/>
    <w:rsid w:val="00147A32"/>
    <w:rsid w:val="00147A3C"/>
    <w:rsid w:val="00147B2E"/>
    <w:rsid w:val="00147B57"/>
    <w:rsid w:val="00147B94"/>
    <w:rsid w:val="00147BC1"/>
    <w:rsid w:val="00147BC5"/>
    <w:rsid w:val="00147BDD"/>
    <w:rsid w:val="00147BF5"/>
    <w:rsid w:val="00147C4F"/>
    <w:rsid w:val="00147C9F"/>
    <w:rsid w:val="00147CC0"/>
    <w:rsid w:val="00147CF5"/>
    <w:rsid w:val="00147CFB"/>
    <w:rsid w:val="00147CFE"/>
    <w:rsid w:val="00147D45"/>
    <w:rsid w:val="00147D54"/>
    <w:rsid w:val="00147DC7"/>
    <w:rsid w:val="00147DF2"/>
    <w:rsid w:val="00147DFA"/>
    <w:rsid w:val="00147E05"/>
    <w:rsid w:val="00147E39"/>
    <w:rsid w:val="00147EA1"/>
    <w:rsid w:val="00147EC9"/>
    <w:rsid w:val="00147EFA"/>
    <w:rsid w:val="00147F7E"/>
    <w:rsid w:val="00147FE4"/>
    <w:rsid w:val="0015008A"/>
    <w:rsid w:val="001500B5"/>
    <w:rsid w:val="00150107"/>
    <w:rsid w:val="00150130"/>
    <w:rsid w:val="00150167"/>
    <w:rsid w:val="001501A8"/>
    <w:rsid w:val="001501AF"/>
    <w:rsid w:val="001501C7"/>
    <w:rsid w:val="0015026C"/>
    <w:rsid w:val="0015028F"/>
    <w:rsid w:val="001502A5"/>
    <w:rsid w:val="00150352"/>
    <w:rsid w:val="00150378"/>
    <w:rsid w:val="001503E4"/>
    <w:rsid w:val="00150475"/>
    <w:rsid w:val="0015048F"/>
    <w:rsid w:val="00150508"/>
    <w:rsid w:val="00150517"/>
    <w:rsid w:val="0015051A"/>
    <w:rsid w:val="00150571"/>
    <w:rsid w:val="0015057A"/>
    <w:rsid w:val="001505D0"/>
    <w:rsid w:val="00150663"/>
    <w:rsid w:val="00150664"/>
    <w:rsid w:val="0015066E"/>
    <w:rsid w:val="00150678"/>
    <w:rsid w:val="001506C7"/>
    <w:rsid w:val="0015075C"/>
    <w:rsid w:val="001507A9"/>
    <w:rsid w:val="001507B2"/>
    <w:rsid w:val="0015084A"/>
    <w:rsid w:val="001508AA"/>
    <w:rsid w:val="001508B2"/>
    <w:rsid w:val="001508C5"/>
    <w:rsid w:val="00150925"/>
    <w:rsid w:val="001509AA"/>
    <w:rsid w:val="001509CA"/>
    <w:rsid w:val="001509E8"/>
    <w:rsid w:val="00150A5D"/>
    <w:rsid w:val="00150A95"/>
    <w:rsid w:val="00150AB8"/>
    <w:rsid w:val="00150AE3"/>
    <w:rsid w:val="00150AFD"/>
    <w:rsid w:val="00150BB8"/>
    <w:rsid w:val="00150C00"/>
    <w:rsid w:val="00150C03"/>
    <w:rsid w:val="00150C10"/>
    <w:rsid w:val="00150C13"/>
    <w:rsid w:val="00150CA1"/>
    <w:rsid w:val="00150CF0"/>
    <w:rsid w:val="00150D01"/>
    <w:rsid w:val="00150D1E"/>
    <w:rsid w:val="00150D94"/>
    <w:rsid w:val="00150DEC"/>
    <w:rsid w:val="00150E73"/>
    <w:rsid w:val="00150E82"/>
    <w:rsid w:val="00150E8F"/>
    <w:rsid w:val="00150EA4"/>
    <w:rsid w:val="00150EEA"/>
    <w:rsid w:val="00150F4B"/>
    <w:rsid w:val="00150F70"/>
    <w:rsid w:val="0015100C"/>
    <w:rsid w:val="00151060"/>
    <w:rsid w:val="001510C7"/>
    <w:rsid w:val="001510F9"/>
    <w:rsid w:val="0015114D"/>
    <w:rsid w:val="00151151"/>
    <w:rsid w:val="00151155"/>
    <w:rsid w:val="00151165"/>
    <w:rsid w:val="00151231"/>
    <w:rsid w:val="00151297"/>
    <w:rsid w:val="001512B8"/>
    <w:rsid w:val="001512C9"/>
    <w:rsid w:val="001512CE"/>
    <w:rsid w:val="00151310"/>
    <w:rsid w:val="00151335"/>
    <w:rsid w:val="0015135C"/>
    <w:rsid w:val="00151367"/>
    <w:rsid w:val="00151373"/>
    <w:rsid w:val="00151387"/>
    <w:rsid w:val="00151478"/>
    <w:rsid w:val="001514A9"/>
    <w:rsid w:val="001514AC"/>
    <w:rsid w:val="00151535"/>
    <w:rsid w:val="0015156E"/>
    <w:rsid w:val="0015158C"/>
    <w:rsid w:val="001515DD"/>
    <w:rsid w:val="0015162C"/>
    <w:rsid w:val="00151689"/>
    <w:rsid w:val="00151727"/>
    <w:rsid w:val="00151750"/>
    <w:rsid w:val="00151755"/>
    <w:rsid w:val="00151769"/>
    <w:rsid w:val="001517F7"/>
    <w:rsid w:val="00151860"/>
    <w:rsid w:val="00151863"/>
    <w:rsid w:val="0015188A"/>
    <w:rsid w:val="00151890"/>
    <w:rsid w:val="001518BB"/>
    <w:rsid w:val="001518F6"/>
    <w:rsid w:val="001518FA"/>
    <w:rsid w:val="001518FB"/>
    <w:rsid w:val="00151917"/>
    <w:rsid w:val="00151934"/>
    <w:rsid w:val="001519D4"/>
    <w:rsid w:val="001519F1"/>
    <w:rsid w:val="00151A4C"/>
    <w:rsid w:val="00151A81"/>
    <w:rsid w:val="00151AC8"/>
    <w:rsid w:val="00151AEB"/>
    <w:rsid w:val="00151B03"/>
    <w:rsid w:val="00151B0E"/>
    <w:rsid w:val="00151B55"/>
    <w:rsid w:val="00151BAE"/>
    <w:rsid w:val="00151C09"/>
    <w:rsid w:val="00151C20"/>
    <w:rsid w:val="00151C26"/>
    <w:rsid w:val="00151C6F"/>
    <w:rsid w:val="00151CBC"/>
    <w:rsid w:val="00151CCB"/>
    <w:rsid w:val="00151D28"/>
    <w:rsid w:val="00151D5A"/>
    <w:rsid w:val="00151D8F"/>
    <w:rsid w:val="00151DBB"/>
    <w:rsid w:val="00151E0A"/>
    <w:rsid w:val="00151EAC"/>
    <w:rsid w:val="00151ED1"/>
    <w:rsid w:val="00151EE6"/>
    <w:rsid w:val="00151FA8"/>
    <w:rsid w:val="0015203B"/>
    <w:rsid w:val="00152084"/>
    <w:rsid w:val="0015208D"/>
    <w:rsid w:val="001520F7"/>
    <w:rsid w:val="00152111"/>
    <w:rsid w:val="00152135"/>
    <w:rsid w:val="00152172"/>
    <w:rsid w:val="0015217F"/>
    <w:rsid w:val="00152230"/>
    <w:rsid w:val="00152242"/>
    <w:rsid w:val="001522C1"/>
    <w:rsid w:val="00152336"/>
    <w:rsid w:val="0015238E"/>
    <w:rsid w:val="001523BC"/>
    <w:rsid w:val="001523E3"/>
    <w:rsid w:val="0015243B"/>
    <w:rsid w:val="0015245B"/>
    <w:rsid w:val="0015253A"/>
    <w:rsid w:val="00152590"/>
    <w:rsid w:val="00152603"/>
    <w:rsid w:val="00152654"/>
    <w:rsid w:val="00152662"/>
    <w:rsid w:val="001526EE"/>
    <w:rsid w:val="00152791"/>
    <w:rsid w:val="001527A2"/>
    <w:rsid w:val="00152800"/>
    <w:rsid w:val="0015288E"/>
    <w:rsid w:val="001528B0"/>
    <w:rsid w:val="0015292E"/>
    <w:rsid w:val="001529E6"/>
    <w:rsid w:val="001529F3"/>
    <w:rsid w:val="00152A1D"/>
    <w:rsid w:val="00152A44"/>
    <w:rsid w:val="00152A50"/>
    <w:rsid w:val="00152A77"/>
    <w:rsid w:val="00152AEC"/>
    <w:rsid w:val="00152B01"/>
    <w:rsid w:val="00152B3A"/>
    <w:rsid w:val="00152B82"/>
    <w:rsid w:val="00152B9D"/>
    <w:rsid w:val="00152BBA"/>
    <w:rsid w:val="00152BC2"/>
    <w:rsid w:val="00152BE8"/>
    <w:rsid w:val="00152BFF"/>
    <w:rsid w:val="00152C19"/>
    <w:rsid w:val="00152C30"/>
    <w:rsid w:val="00152C48"/>
    <w:rsid w:val="00152C73"/>
    <w:rsid w:val="00152C7B"/>
    <w:rsid w:val="00152CE7"/>
    <w:rsid w:val="00152D23"/>
    <w:rsid w:val="00152D7E"/>
    <w:rsid w:val="00152D8F"/>
    <w:rsid w:val="00152DDA"/>
    <w:rsid w:val="00152DE4"/>
    <w:rsid w:val="00152DEB"/>
    <w:rsid w:val="00152E2F"/>
    <w:rsid w:val="00152E51"/>
    <w:rsid w:val="00152E5C"/>
    <w:rsid w:val="00152E94"/>
    <w:rsid w:val="00152F1D"/>
    <w:rsid w:val="00152FD8"/>
    <w:rsid w:val="00152FE5"/>
    <w:rsid w:val="00153000"/>
    <w:rsid w:val="00153044"/>
    <w:rsid w:val="001530D0"/>
    <w:rsid w:val="001530D4"/>
    <w:rsid w:val="00153116"/>
    <w:rsid w:val="00153157"/>
    <w:rsid w:val="00153188"/>
    <w:rsid w:val="001532E6"/>
    <w:rsid w:val="0015331F"/>
    <w:rsid w:val="00153332"/>
    <w:rsid w:val="00153358"/>
    <w:rsid w:val="00153372"/>
    <w:rsid w:val="00153399"/>
    <w:rsid w:val="001533D1"/>
    <w:rsid w:val="00153401"/>
    <w:rsid w:val="0015342E"/>
    <w:rsid w:val="001534DD"/>
    <w:rsid w:val="001534EF"/>
    <w:rsid w:val="0015354B"/>
    <w:rsid w:val="00153568"/>
    <w:rsid w:val="0015358C"/>
    <w:rsid w:val="001535BF"/>
    <w:rsid w:val="00153607"/>
    <w:rsid w:val="00153622"/>
    <w:rsid w:val="0015365C"/>
    <w:rsid w:val="00153662"/>
    <w:rsid w:val="0015376B"/>
    <w:rsid w:val="00153773"/>
    <w:rsid w:val="001537D0"/>
    <w:rsid w:val="00153801"/>
    <w:rsid w:val="0015381C"/>
    <w:rsid w:val="0015385B"/>
    <w:rsid w:val="00153861"/>
    <w:rsid w:val="00153866"/>
    <w:rsid w:val="00153874"/>
    <w:rsid w:val="001538D4"/>
    <w:rsid w:val="00153902"/>
    <w:rsid w:val="00153920"/>
    <w:rsid w:val="00153976"/>
    <w:rsid w:val="001539AD"/>
    <w:rsid w:val="001539C1"/>
    <w:rsid w:val="001539C5"/>
    <w:rsid w:val="00153A28"/>
    <w:rsid w:val="00153AB9"/>
    <w:rsid w:val="00153ADC"/>
    <w:rsid w:val="00153B30"/>
    <w:rsid w:val="00153B38"/>
    <w:rsid w:val="00153C09"/>
    <w:rsid w:val="00153C56"/>
    <w:rsid w:val="00153C6D"/>
    <w:rsid w:val="00153C8A"/>
    <w:rsid w:val="00153D39"/>
    <w:rsid w:val="00153D52"/>
    <w:rsid w:val="00153D5A"/>
    <w:rsid w:val="00153DCD"/>
    <w:rsid w:val="00153E47"/>
    <w:rsid w:val="00153E4C"/>
    <w:rsid w:val="00153F2F"/>
    <w:rsid w:val="00153F4F"/>
    <w:rsid w:val="00153F5A"/>
    <w:rsid w:val="00153F5E"/>
    <w:rsid w:val="00153FFD"/>
    <w:rsid w:val="00154030"/>
    <w:rsid w:val="0015405D"/>
    <w:rsid w:val="001540FE"/>
    <w:rsid w:val="00154151"/>
    <w:rsid w:val="00154170"/>
    <w:rsid w:val="0015417B"/>
    <w:rsid w:val="0015418A"/>
    <w:rsid w:val="00154193"/>
    <w:rsid w:val="001541CD"/>
    <w:rsid w:val="00154210"/>
    <w:rsid w:val="00154243"/>
    <w:rsid w:val="0015424C"/>
    <w:rsid w:val="00154271"/>
    <w:rsid w:val="001542A2"/>
    <w:rsid w:val="001542DC"/>
    <w:rsid w:val="0015433E"/>
    <w:rsid w:val="00154379"/>
    <w:rsid w:val="00154428"/>
    <w:rsid w:val="00154457"/>
    <w:rsid w:val="0015448A"/>
    <w:rsid w:val="001544F1"/>
    <w:rsid w:val="0015452A"/>
    <w:rsid w:val="0015452F"/>
    <w:rsid w:val="0015456D"/>
    <w:rsid w:val="001545D6"/>
    <w:rsid w:val="00154601"/>
    <w:rsid w:val="00154609"/>
    <w:rsid w:val="0015467D"/>
    <w:rsid w:val="00154718"/>
    <w:rsid w:val="00154737"/>
    <w:rsid w:val="00154766"/>
    <w:rsid w:val="001547D2"/>
    <w:rsid w:val="0015482B"/>
    <w:rsid w:val="00154832"/>
    <w:rsid w:val="0015485A"/>
    <w:rsid w:val="00154A02"/>
    <w:rsid w:val="00154B08"/>
    <w:rsid w:val="00154B40"/>
    <w:rsid w:val="00154B49"/>
    <w:rsid w:val="00154BB0"/>
    <w:rsid w:val="00154BED"/>
    <w:rsid w:val="00154C37"/>
    <w:rsid w:val="00154C80"/>
    <w:rsid w:val="00154CB2"/>
    <w:rsid w:val="00154D1C"/>
    <w:rsid w:val="00154DF8"/>
    <w:rsid w:val="00154E0C"/>
    <w:rsid w:val="00154E0E"/>
    <w:rsid w:val="00154E10"/>
    <w:rsid w:val="00154E1B"/>
    <w:rsid w:val="00154E9C"/>
    <w:rsid w:val="00154F0A"/>
    <w:rsid w:val="00154F51"/>
    <w:rsid w:val="00154F65"/>
    <w:rsid w:val="00154F71"/>
    <w:rsid w:val="00154FB9"/>
    <w:rsid w:val="00154FDA"/>
    <w:rsid w:val="00155003"/>
    <w:rsid w:val="00155023"/>
    <w:rsid w:val="00155071"/>
    <w:rsid w:val="00155081"/>
    <w:rsid w:val="00155084"/>
    <w:rsid w:val="0015509C"/>
    <w:rsid w:val="001550D7"/>
    <w:rsid w:val="001550FD"/>
    <w:rsid w:val="0015513F"/>
    <w:rsid w:val="00155157"/>
    <w:rsid w:val="00155176"/>
    <w:rsid w:val="0015517E"/>
    <w:rsid w:val="0015519D"/>
    <w:rsid w:val="001552A0"/>
    <w:rsid w:val="001552AD"/>
    <w:rsid w:val="0015534E"/>
    <w:rsid w:val="0015538F"/>
    <w:rsid w:val="001553E3"/>
    <w:rsid w:val="0015543F"/>
    <w:rsid w:val="00155487"/>
    <w:rsid w:val="001554AF"/>
    <w:rsid w:val="001554B2"/>
    <w:rsid w:val="001554B4"/>
    <w:rsid w:val="00155542"/>
    <w:rsid w:val="00155548"/>
    <w:rsid w:val="001555C0"/>
    <w:rsid w:val="00155641"/>
    <w:rsid w:val="00155653"/>
    <w:rsid w:val="00155690"/>
    <w:rsid w:val="001556A2"/>
    <w:rsid w:val="00155712"/>
    <w:rsid w:val="00155722"/>
    <w:rsid w:val="00155731"/>
    <w:rsid w:val="001557F3"/>
    <w:rsid w:val="00155801"/>
    <w:rsid w:val="00155856"/>
    <w:rsid w:val="0015585C"/>
    <w:rsid w:val="0015585F"/>
    <w:rsid w:val="00155948"/>
    <w:rsid w:val="001559FA"/>
    <w:rsid w:val="00155A84"/>
    <w:rsid w:val="00155AC8"/>
    <w:rsid w:val="00155AD3"/>
    <w:rsid w:val="00155B40"/>
    <w:rsid w:val="00155B62"/>
    <w:rsid w:val="00155BEF"/>
    <w:rsid w:val="00155C0D"/>
    <w:rsid w:val="00155C16"/>
    <w:rsid w:val="00155CA7"/>
    <w:rsid w:val="00155CDB"/>
    <w:rsid w:val="00155D2C"/>
    <w:rsid w:val="00155DC5"/>
    <w:rsid w:val="00155E44"/>
    <w:rsid w:val="00155E4B"/>
    <w:rsid w:val="00155E55"/>
    <w:rsid w:val="00155E98"/>
    <w:rsid w:val="00155ED9"/>
    <w:rsid w:val="00155F0A"/>
    <w:rsid w:val="00155F2A"/>
    <w:rsid w:val="00155FE3"/>
    <w:rsid w:val="00155FE5"/>
    <w:rsid w:val="00156015"/>
    <w:rsid w:val="00156052"/>
    <w:rsid w:val="0015608E"/>
    <w:rsid w:val="00156120"/>
    <w:rsid w:val="00156138"/>
    <w:rsid w:val="0015618F"/>
    <w:rsid w:val="0015619C"/>
    <w:rsid w:val="001561A6"/>
    <w:rsid w:val="001561CE"/>
    <w:rsid w:val="001561F1"/>
    <w:rsid w:val="00156272"/>
    <w:rsid w:val="00156276"/>
    <w:rsid w:val="001562D1"/>
    <w:rsid w:val="00156350"/>
    <w:rsid w:val="00156361"/>
    <w:rsid w:val="00156366"/>
    <w:rsid w:val="001563C5"/>
    <w:rsid w:val="001563EF"/>
    <w:rsid w:val="001563FD"/>
    <w:rsid w:val="00156463"/>
    <w:rsid w:val="0015646B"/>
    <w:rsid w:val="001564D1"/>
    <w:rsid w:val="001564F3"/>
    <w:rsid w:val="00156508"/>
    <w:rsid w:val="00156578"/>
    <w:rsid w:val="001565B7"/>
    <w:rsid w:val="001565BF"/>
    <w:rsid w:val="001565C6"/>
    <w:rsid w:val="001565E6"/>
    <w:rsid w:val="00156611"/>
    <w:rsid w:val="00156620"/>
    <w:rsid w:val="00156658"/>
    <w:rsid w:val="001566CB"/>
    <w:rsid w:val="001566E6"/>
    <w:rsid w:val="001566E7"/>
    <w:rsid w:val="00156723"/>
    <w:rsid w:val="00156761"/>
    <w:rsid w:val="0015676C"/>
    <w:rsid w:val="00156809"/>
    <w:rsid w:val="00156825"/>
    <w:rsid w:val="00156837"/>
    <w:rsid w:val="00156842"/>
    <w:rsid w:val="00156864"/>
    <w:rsid w:val="001568AA"/>
    <w:rsid w:val="001568CD"/>
    <w:rsid w:val="0015690E"/>
    <w:rsid w:val="00156915"/>
    <w:rsid w:val="0015692F"/>
    <w:rsid w:val="001569C6"/>
    <w:rsid w:val="00156A28"/>
    <w:rsid w:val="00156A69"/>
    <w:rsid w:val="00156A86"/>
    <w:rsid w:val="00156B23"/>
    <w:rsid w:val="00156BE9"/>
    <w:rsid w:val="00156BF5"/>
    <w:rsid w:val="00156C21"/>
    <w:rsid w:val="00156CAB"/>
    <w:rsid w:val="00156CC3"/>
    <w:rsid w:val="00156D00"/>
    <w:rsid w:val="00156D28"/>
    <w:rsid w:val="00156D8C"/>
    <w:rsid w:val="00156DDC"/>
    <w:rsid w:val="00156E1C"/>
    <w:rsid w:val="00156E21"/>
    <w:rsid w:val="00156E32"/>
    <w:rsid w:val="00156E73"/>
    <w:rsid w:val="00156EAE"/>
    <w:rsid w:val="00156EB2"/>
    <w:rsid w:val="00156F0C"/>
    <w:rsid w:val="00156F57"/>
    <w:rsid w:val="00156F9D"/>
    <w:rsid w:val="00157028"/>
    <w:rsid w:val="00157037"/>
    <w:rsid w:val="001570E9"/>
    <w:rsid w:val="001570FF"/>
    <w:rsid w:val="00157105"/>
    <w:rsid w:val="00157166"/>
    <w:rsid w:val="00157175"/>
    <w:rsid w:val="001571E0"/>
    <w:rsid w:val="0015724B"/>
    <w:rsid w:val="00157276"/>
    <w:rsid w:val="00157281"/>
    <w:rsid w:val="00157293"/>
    <w:rsid w:val="001572AD"/>
    <w:rsid w:val="0015736E"/>
    <w:rsid w:val="001573BD"/>
    <w:rsid w:val="001573CE"/>
    <w:rsid w:val="0015741C"/>
    <w:rsid w:val="0015742B"/>
    <w:rsid w:val="00157445"/>
    <w:rsid w:val="00157455"/>
    <w:rsid w:val="00157456"/>
    <w:rsid w:val="00157457"/>
    <w:rsid w:val="001574E6"/>
    <w:rsid w:val="0015751B"/>
    <w:rsid w:val="0015753F"/>
    <w:rsid w:val="0015765E"/>
    <w:rsid w:val="0015766D"/>
    <w:rsid w:val="001576E5"/>
    <w:rsid w:val="00157717"/>
    <w:rsid w:val="00157775"/>
    <w:rsid w:val="00157779"/>
    <w:rsid w:val="0015778F"/>
    <w:rsid w:val="001577FC"/>
    <w:rsid w:val="00157875"/>
    <w:rsid w:val="00157880"/>
    <w:rsid w:val="00157888"/>
    <w:rsid w:val="001578EF"/>
    <w:rsid w:val="00157917"/>
    <w:rsid w:val="0015795C"/>
    <w:rsid w:val="0015797E"/>
    <w:rsid w:val="00157988"/>
    <w:rsid w:val="001579D8"/>
    <w:rsid w:val="001579F5"/>
    <w:rsid w:val="00157A0D"/>
    <w:rsid w:val="00157A95"/>
    <w:rsid w:val="00157AA7"/>
    <w:rsid w:val="00157AAC"/>
    <w:rsid w:val="00157AE7"/>
    <w:rsid w:val="00157B54"/>
    <w:rsid w:val="00157B9C"/>
    <w:rsid w:val="00157BBF"/>
    <w:rsid w:val="00157BFB"/>
    <w:rsid w:val="00157C76"/>
    <w:rsid w:val="00157CA9"/>
    <w:rsid w:val="00157CDC"/>
    <w:rsid w:val="00157D2A"/>
    <w:rsid w:val="00157D42"/>
    <w:rsid w:val="00157D4A"/>
    <w:rsid w:val="00157E54"/>
    <w:rsid w:val="00157E7E"/>
    <w:rsid w:val="00157EA0"/>
    <w:rsid w:val="00157EAB"/>
    <w:rsid w:val="00157EE9"/>
    <w:rsid w:val="00157F53"/>
    <w:rsid w:val="00157FD1"/>
    <w:rsid w:val="00158262"/>
    <w:rsid w:val="00160009"/>
    <w:rsid w:val="00160093"/>
    <w:rsid w:val="001600BA"/>
    <w:rsid w:val="001600C0"/>
    <w:rsid w:val="001600C7"/>
    <w:rsid w:val="00160122"/>
    <w:rsid w:val="0016015F"/>
    <w:rsid w:val="00160178"/>
    <w:rsid w:val="00160204"/>
    <w:rsid w:val="0016020A"/>
    <w:rsid w:val="0016027A"/>
    <w:rsid w:val="001602A5"/>
    <w:rsid w:val="001602AE"/>
    <w:rsid w:val="001602CB"/>
    <w:rsid w:val="00160349"/>
    <w:rsid w:val="00160377"/>
    <w:rsid w:val="001603C3"/>
    <w:rsid w:val="001603E6"/>
    <w:rsid w:val="00160409"/>
    <w:rsid w:val="00160421"/>
    <w:rsid w:val="00160424"/>
    <w:rsid w:val="001604EF"/>
    <w:rsid w:val="001604FC"/>
    <w:rsid w:val="001605C7"/>
    <w:rsid w:val="001605E3"/>
    <w:rsid w:val="001606B6"/>
    <w:rsid w:val="001606EC"/>
    <w:rsid w:val="00160734"/>
    <w:rsid w:val="0016073E"/>
    <w:rsid w:val="0016074A"/>
    <w:rsid w:val="001607D1"/>
    <w:rsid w:val="001607D3"/>
    <w:rsid w:val="001607D9"/>
    <w:rsid w:val="00160802"/>
    <w:rsid w:val="00160813"/>
    <w:rsid w:val="0016081D"/>
    <w:rsid w:val="0016087E"/>
    <w:rsid w:val="00160895"/>
    <w:rsid w:val="00160952"/>
    <w:rsid w:val="001609A8"/>
    <w:rsid w:val="001609E4"/>
    <w:rsid w:val="001609EA"/>
    <w:rsid w:val="001609ED"/>
    <w:rsid w:val="00160A13"/>
    <w:rsid w:val="00160A3F"/>
    <w:rsid w:val="00160A9C"/>
    <w:rsid w:val="00160AAC"/>
    <w:rsid w:val="00160AB2"/>
    <w:rsid w:val="00160AE9"/>
    <w:rsid w:val="00160AEF"/>
    <w:rsid w:val="00160B01"/>
    <w:rsid w:val="00160B83"/>
    <w:rsid w:val="00160B88"/>
    <w:rsid w:val="00160C03"/>
    <w:rsid w:val="00160C13"/>
    <w:rsid w:val="00160C6C"/>
    <w:rsid w:val="00160C80"/>
    <w:rsid w:val="00160C94"/>
    <w:rsid w:val="00160CA6"/>
    <w:rsid w:val="00160D32"/>
    <w:rsid w:val="00160DFD"/>
    <w:rsid w:val="00160E36"/>
    <w:rsid w:val="00160E37"/>
    <w:rsid w:val="00160E41"/>
    <w:rsid w:val="00160E66"/>
    <w:rsid w:val="00160E72"/>
    <w:rsid w:val="00160E87"/>
    <w:rsid w:val="00160F1F"/>
    <w:rsid w:val="00160F82"/>
    <w:rsid w:val="00160FA3"/>
    <w:rsid w:val="00160FC1"/>
    <w:rsid w:val="00161009"/>
    <w:rsid w:val="00161042"/>
    <w:rsid w:val="001610CA"/>
    <w:rsid w:val="0016110E"/>
    <w:rsid w:val="00161158"/>
    <w:rsid w:val="00161190"/>
    <w:rsid w:val="00161206"/>
    <w:rsid w:val="0016129A"/>
    <w:rsid w:val="00161300"/>
    <w:rsid w:val="0016132D"/>
    <w:rsid w:val="00161367"/>
    <w:rsid w:val="0016136D"/>
    <w:rsid w:val="001613A8"/>
    <w:rsid w:val="0016148C"/>
    <w:rsid w:val="001614BE"/>
    <w:rsid w:val="0016156F"/>
    <w:rsid w:val="0016157F"/>
    <w:rsid w:val="0016162E"/>
    <w:rsid w:val="00161644"/>
    <w:rsid w:val="00161658"/>
    <w:rsid w:val="001616E2"/>
    <w:rsid w:val="001617A5"/>
    <w:rsid w:val="001617FF"/>
    <w:rsid w:val="0016180F"/>
    <w:rsid w:val="001618F2"/>
    <w:rsid w:val="0016194D"/>
    <w:rsid w:val="00161979"/>
    <w:rsid w:val="00161A1E"/>
    <w:rsid w:val="00161A55"/>
    <w:rsid w:val="00161AA1"/>
    <w:rsid w:val="00161AA9"/>
    <w:rsid w:val="00161AB2"/>
    <w:rsid w:val="00161B12"/>
    <w:rsid w:val="00161B6C"/>
    <w:rsid w:val="00161BA7"/>
    <w:rsid w:val="00161BB2"/>
    <w:rsid w:val="00161C09"/>
    <w:rsid w:val="00161C22"/>
    <w:rsid w:val="00161C49"/>
    <w:rsid w:val="00161C68"/>
    <w:rsid w:val="00161C82"/>
    <w:rsid w:val="00161D01"/>
    <w:rsid w:val="00161D9F"/>
    <w:rsid w:val="00161E4E"/>
    <w:rsid w:val="00161E61"/>
    <w:rsid w:val="00161EA2"/>
    <w:rsid w:val="00161EB9"/>
    <w:rsid w:val="00161EEC"/>
    <w:rsid w:val="00161F49"/>
    <w:rsid w:val="0016207E"/>
    <w:rsid w:val="001620CF"/>
    <w:rsid w:val="001620D6"/>
    <w:rsid w:val="001620DC"/>
    <w:rsid w:val="00162143"/>
    <w:rsid w:val="0016216E"/>
    <w:rsid w:val="00162199"/>
    <w:rsid w:val="001621E2"/>
    <w:rsid w:val="00162244"/>
    <w:rsid w:val="00162246"/>
    <w:rsid w:val="00162322"/>
    <w:rsid w:val="0016235B"/>
    <w:rsid w:val="001623B2"/>
    <w:rsid w:val="001623C2"/>
    <w:rsid w:val="001623E9"/>
    <w:rsid w:val="001623F7"/>
    <w:rsid w:val="00162400"/>
    <w:rsid w:val="00162420"/>
    <w:rsid w:val="00162428"/>
    <w:rsid w:val="00162498"/>
    <w:rsid w:val="001624AE"/>
    <w:rsid w:val="001624DE"/>
    <w:rsid w:val="00162509"/>
    <w:rsid w:val="001625B8"/>
    <w:rsid w:val="001625D4"/>
    <w:rsid w:val="0016260C"/>
    <w:rsid w:val="0016262C"/>
    <w:rsid w:val="0016267C"/>
    <w:rsid w:val="001626AE"/>
    <w:rsid w:val="00162705"/>
    <w:rsid w:val="0016278C"/>
    <w:rsid w:val="001627CA"/>
    <w:rsid w:val="001627DB"/>
    <w:rsid w:val="0016280B"/>
    <w:rsid w:val="00162812"/>
    <w:rsid w:val="0016284E"/>
    <w:rsid w:val="001628E0"/>
    <w:rsid w:val="001628E1"/>
    <w:rsid w:val="00162903"/>
    <w:rsid w:val="0016293C"/>
    <w:rsid w:val="0016298F"/>
    <w:rsid w:val="001629A1"/>
    <w:rsid w:val="001629E2"/>
    <w:rsid w:val="00162A4F"/>
    <w:rsid w:val="00162C54"/>
    <w:rsid w:val="00162CCB"/>
    <w:rsid w:val="00162CF5"/>
    <w:rsid w:val="00162D31"/>
    <w:rsid w:val="00162D50"/>
    <w:rsid w:val="00162DA1"/>
    <w:rsid w:val="00162DBD"/>
    <w:rsid w:val="00162DD3"/>
    <w:rsid w:val="00162E4F"/>
    <w:rsid w:val="00162E5E"/>
    <w:rsid w:val="00162E8F"/>
    <w:rsid w:val="00162ECD"/>
    <w:rsid w:val="00162EDB"/>
    <w:rsid w:val="00162F09"/>
    <w:rsid w:val="00162F0C"/>
    <w:rsid w:val="00162F3A"/>
    <w:rsid w:val="00162F3C"/>
    <w:rsid w:val="00162F77"/>
    <w:rsid w:val="00162F89"/>
    <w:rsid w:val="00162F98"/>
    <w:rsid w:val="00162FC1"/>
    <w:rsid w:val="00162FDC"/>
    <w:rsid w:val="0016305F"/>
    <w:rsid w:val="0016306C"/>
    <w:rsid w:val="00163079"/>
    <w:rsid w:val="001630CE"/>
    <w:rsid w:val="001630FB"/>
    <w:rsid w:val="00163126"/>
    <w:rsid w:val="00163132"/>
    <w:rsid w:val="0016316B"/>
    <w:rsid w:val="001631AD"/>
    <w:rsid w:val="001631C7"/>
    <w:rsid w:val="001631C9"/>
    <w:rsid w:val="001631FF"/>
    <w:rsid w:val="0016326E"/>
    <w:rsid w:val="00163369"/>
    <w:rsid w:val="00163379"/>
    <w:rsid w:val="00163392"/>
    <w:rsid w:val="001633EC"/>
    <w:rsid w:val="00163509"/>
    <w:rsid w:val="00163511"/>
    <w:rsid w:val="00163572"/>
    <w:rsid w:val="0016359A"/>
    <w:rsid w:val="001635A7"/>
    <w:rsid w:val="001636BE"/>
    <w:rsid w:val="001636CA"/>
    <w:rsid w:val="0016373C"/>
    <w:rsid w:val="0016374D"/>
    <w:rsid w:val="00163764"/>
    <w:rsid w:val="001637AC"/>
    <w:rsid w:val="001637C9"/>
    <w:rsid w:val="001637E6"/>
    <w:rsid w:val="001637EA"/>
    <w:rsid w:val="00163803"/>
    <w:rsid w:val="0016380C"/>
    <w:rsid w:val="00163835"/>
    <w:rsid w:val="00163890"/>
    <w:rsid w:val="00163899"/>
    <w:rsid w:val="001638D8"/>
    <w:rsid w:val="001638E4"/>
    <w:rsid w:val="00163936"/>
    <w:rsid w:val="00163947"/>
    <w:rsid w:val="001639A0"/>
    <w:rsid w:val="001639AB"/>
    <w:rsid w:val="00163A23"/>
    <w:rsid w:val="00163A7C"/>
    <w:rsid w:val="00163AD3"/>
    <w:rsid w:val="00163AEF"/>
    <w:rsid w:val="00163B1E"/>
    <w:rsid w:val="00163B67"/>
    <w:rsid w:val="00163B74"/>
    <w:rsid w:val="00163B9C"/>
    <w:rsid w:val="00163BB3"/>
    <w:rsid w:val="00163BC9"/>
    <w:rsid w:val="00163BFA"/>
    <w:rsid w:val="00163C27"/>
    <w:rsid w:val="00163C2E"/>
    <w:rsid w:val="00163CA0"/>
    <w:rsid w:val="00163CC3"/>
    <w:rsid w:val="00163D04"/>
    <w:rsid w:val="00163D2F"/>
    <w:rsid w:val="00163D6C"/>
    <w:rsid w:val="00163D7E"/>
    <w:rsid w:val="00163DA4"/>
    <w:rsid w:val="00163DB2"/>
    <w:rsid w:val="00163DFB"/>
    <w:rsid w:val="00163E70"/>
    <w:rsid w:val="00163E95"/>
    <w:rsid w:val="00163F40"/>
    <w:rsid w:val="00163FC2"/>
    <w:rsid w:val="00163FC9"/>
    <w:rsid w:val="00163FD6"/>
    <w:rsid w:val="00164087"/>
    <w:rsid w:val="00164112"/>
    <w:rsid w:val="00164154"/>
    <w:rsid w:val="00164166"/>
    <w:rsid w:val="00164198"/>
    <w:rsid w:val="001641CB"/>
    <w:rsid w:val="001641F1"/>
    <w:rsid w:val="00164278"/>
    <w:rsid w:val="001642D0"/>
    <w:rsid w:val="0016432A"/>
    <w:rsid w:val="0016432C"/>
    <w:rsid w:val="0016437B"/>
    <w:rsid w:val="00164385"/>
    <w:rsid w:val="001643D6"/>
    <w:rsid w:val="001643FB"/>
    <w:rsid w:val="0016441A"/>
    <w:rsid w:val="00164478"/>
    <w:rsid w:val="001644EA"/>
    <w:rsid w:val="0016452D"/>
    <w:rsid w:val="0016459A"/>
    <w:rsid w:val="001645C5"/>
    <w:rsid w:val="001645ED"/>
    <w:rsid w:val="0016462F"/>
    <w:rsid w:val="0016463C"/>
    <w:rsid w:val="00164664"/>
    <w:rsid w:val="00164691"/>
    <w:rsid w:val="00164700"/>
    <w:rsid w:val="00164734"/>
    <w:rsid w:val="00164749"/>
    <w:rsid w:val="00164775"/>
    <w:rsid w:val="00164781"/>
    <w:rsid w:val="00164783"/>
    <w:rsid w:val="00164860"/>
    <w:rsid w:val="0016489B"/>
    <w:rsid w:val="001648A8"/>
    <w:rsid w:val="001648B2"/>
    <w:rsid w:val="001648E7"/>
    <w:rsid w:val="00164915"/>
    <w:rsid w:val="0016496C"/>
    <w:rsid w:val="00164996"/>
    <w:rsid w:val="001649F4"/>
    <w:rsid w:val="001649FA"/>
    <w:rsid w:val="00164A4B"/>
    <w:rsid w:val="00164A5A"/>
    <w:rsid w:val="00164A68"/>
    <w:rsid w:val="00164A70"/>
    <w:rsid w:val="00164AAD"/>
    <w:rsid w:val="00164AC2"/>
    <w:rsid w:val="00164AC7"/>
    <w:rsid w:val="00164B7D"/>
    <w:rsid w:val="00164B94"/>
    <w:rsid w:val="00164BAD"/>
    <w:rsid w:val="00164BD1"/>
    <w:rsid w:val="00164BDC"/>
    <w:rsid w:val="00164BDD"/>
    <w:rsid w:val="00164C47"/>
    <w:rsid w:val="00164C8F"/>
    <w:rsid w:val="00164CA9"/>
    <w:rsid w:val="00164D5D"/>
    <w:rsid w:val="00164D97"/>
    <w:rsid w:val="00164D98"/>
    <w:rsid w:val="00164E17"/>
    <w:rsid w:val="00164E2A"/>
    <w:rsid w:val="00164EB0"/>
    <w:rsid w:val="00164EE3"/>
    <w:rsid w:val="00164EFC"/>
    <w:rsid w:val="00164F03"/>
    <w:rsid w:val="00164FB0"/>
    <w:rsid w:val="00164FB1"/>
    <w:rsid w:val="00164FF1"/>
    <w:rsid w:val="0016505B"/>
    <w:rsid w:val="00165060"/>
    <w:rsid w:val="00165064"/>
    <w:rsid w:val="00165083"/>
    <w:rsid w:val="001650DC"/>
    <w:rsid w:val="00165139"/>
    <w:rsid w:val="00165156"/>
    <w:rsid w:val="00165190"/>
    <w:rsid w:val="001651B4"/>
    <w:rsid w:val="001651F5"/>
    <w:rsid w:val="001652C2"/>
    <w:rsid w:val="001653DB"/>
    <w:rsid w:val="001653E6"/>
    <w:rsid w:val="0016544E"/>
    <w:rsid w:val="0016549A"/>
    <w:rsid w:val="001654A5"/>
    <w:rsid w:val="001654B3"/>
    <w:rsid w:val="001654C1"/>
    <w:rsid w:val="001654DA"/>
    <w:rsid w:val="001654FC"/>
    <w:rsid w:val="00165595"/>
    <w:rsid w:val="001655D9"/>
    <w:rsid w:val="0016562B"/>
    <w:rsid w:val="00165662"/>
    <w:rsid w:val="00165692"/>
    <w:rsid w:val="00165696"/>
    <w:rsid w:val="001656AF"/>
    <w:rsid w:val="0016570B"/>
    <w:rsid w:val="0016573A"/>
    <w:rsid w:val="0016575C"/>
    <w:rsid w:val="001657D4"/>
    <w:rsid w:val="0016588D"/>
    <w:rsid w:val="001658B0"/>
    <w:rsid w:val="001658C7"/>
    <w:rsid w:val="00165944"/>
    <w:rsid w:val="00165995"/>
    <w:rsid w:val="001659AC"/>
    <w:rsid w:val="00165A17"/>
    <w:rsid w:val="00165A30"/>
    <w:rsid w:val="00165A57"/>
    <w:rsid w:val="00165ABB"/>
    <w:rsid w:val="00165AD6"/>
    <w:rsid w:val="00165B4C"/>
    <w:rsid w:val="00165B79"/>
    <w:rsid w:val="00165B7E"/>
    <w:rsid w:val="00165B8E"/>
    <w:rsid w:val="00165BC1"/>
    <w:rsid w:val="00165BEB"/>
    <w:rsid w:val="00165C08"/>
    <w:rsid w:val="00165CC5"/>
    <w:rsid w:val="00165D7B"/>
    <w:rsid w:val="00165DFC"/>
    <w:rsid w:val="00165E68"/>
    <w:rsid w:val="00165E6B"/>
    <w:rsid w:val="00165E82"/>
    <w:rsid w:val="00165EA0"/>
    <w:rsid w:val="00165ED4"/>
    <w:rsid w:val="00165F65"/>
    <w:rsid w:val="00165F89"/>
    <w:rsid w:val="00165FE9"/>
    <w:rsid w:val="0016604E"/>
    <w:rsid w:val="00166057"/>
    <w:rsid w:val="00166095"/>
    <w:rsid w:val="001660A4"/>
    <w:rsid w:val="001660EC"/>
    <w:rsid w:val="0016611D"/>
    <w:rsid w:val="0016612B"/>
    <w:rsid w:val="0016617E"/>
    <w:rsid w:val="0016622F"/>
    <w:rsid w:val="00166269"/>
    <w:rsid w:val="00166310"/>
    <w:rsid w:val="00166363"/>
    <w:rsid w:val="00166396"/>
    <w:rsid w:val="00166463"/>
    <w:rsid w:val="001664C6"/>
    <w:rsid w:val="001664DE"/>
    <w:rsid w:val="0016653F"/>
    <w:rsid w:val="001665C3"/>
    <w:rsid w:val="001665E3"/>
    <w:rsid w:val="001665ED"/>
    <w:rsid w:val="00166609"/>
    <w:rsid w:val="00166665"/>
    <w:rsid w:val="001666B0"/>
    <w:rsid w:val="00166705"/>
    <w:rsid w:val="00166720"/>
    <w:rsid w:val="0016672F"/>
    <w:rsid w:val="00166733"/>
    <w:rsid w:val="00166758"/>
    <w:rsid w:val="00166760"/>
    <w:rsid w:val="00166779"/>
    <w:rsid w:val="00166789"/>
    <w:rsid w:val="001667B0"/>
    <w:rsid w:val="001667BA"/>
    <w:rsid w:val="001668BF"/>
    <w:rsid w:val="001668C2"/>
    <w:rsid w:val="00166974"/>
    <w:rsid w:val="001669EC"/>
    <w:rsid w:val="001669F8"/>
    <w:rsid w:val="00166A26"/>
    <w:rsid w:val="00166A3A"/>
    <w:rsid w:val="00166A84"/>
    <w:rsid w:val="00166AA8"/>
    <w:rsid w:val="00166AAB"/>
    <w:rsid w:val="00166ABB"/>
    <w:rsid w:val="00166AF3"/>
    <w:rsid w:val="00166B22"/>
    <w:rsid w:val="00166B4E"/>
    <w:rsid w:val="00166C20"/>
    <w:rsid w:val="00166C4F"/>
    <w:rsid w:val="00166C94"/>
    <w:rsid w:val="00166CA8"/>
    <w:rsid w:val="00166CD0"/>
    <w:rsid w:val="00166D06"/>
    <w:rsid w:val="00166D20"/>
    <w:rsid w:val="00166D49"/>
    <w:rsid w:val="00166D83"/>
    <w:rsid w:val="00166D92"/>
    <w:rsid w:val="00166E3E"/>
    <w:rsid w:val="00166E43"/>
    <w:rsid w:val="00166E49"/>
    <w:rsid w:val="00166E68"/>
    <w:rsid w:val="00166E9F"/>
    <w:rsid w:val="00166EB3"/>
    <w:rsid w:val="00166F05"/>
    <w:rsid w:val="00166F29"/>
    <w:rsid w:val="00166F3A"/>
    <w:rsid w:val="00166F3F"/>
    <w:rsid w:val="00166F57"/>
    <w:rsid w:val="00167000"/>
    <w:rsid w:val="0016702D"/>
    <w:rsid w:val="00167035"/>
    <w:rsid w:val="0016704A"/>
    <w:rsid w:val="00167058"/>
    <w:rsid w:val="00167060"/>
    <w:rsid w:val="0016710F"/>
    <w:rsid w:val="00167179"/>
    <w:rsid w:val="001671C9"/>
    <w:rsid w:val="001671E7"/>
    <w:rsid w:val="001671FE"/>
    <w:rsid w:val="0016724E"/>
    <w:rsid w:val="00167365"/>
    <w:rsid w:val="001673BF"/>
    <w:rsid w:val="001673C1"/>
    <w:rsid w:val="001673C4"/>
    <w:rsid w:val="0016742C"/>
    <w:rsid w:val="001674FA"/>
    <w:rsid w:val="00167513"/>
    <w:rsid w:val="00167516"/>
    <w:rsid w:val="00167553"/>
    <w:rsid w:val="0016755C"/>
    <w:rsid w:val="00167570"/>
    <w:rsid w:val="0016759E"/>
    <w:rsid w:val="001675E6"/>
    <w:rsid w:val="00167607"/>
    <w:rsid w:val="00167623"/>
    <w:rsid w:val="0016765A"/>
    <w:rsid w:val="0016765F"/>
    <w:rsid w:val="00167676"/>
    <w:rsid w:val="0016776B"/>
    <w:rsid w:val="00167800"/>
    <w:rsid w:val="00167853"/>
    <w:rsid w:val="00167867"/>
    <w:rsid w:val="00167882"/>
    <w:rsid w:val="00167886"/>
    <w:rsid w:val="001678AD"/>
    <w:rsid w:val="001678EA"/>
    <w:rsid w:val="00167932"/>
    <w:rsid w:val="00167951"/>
    <w:rsid w:val="00167980"/>
    <w:rsid w:val="0016798F"/>
    <w:rsid w:val="00167A90"/>
    <w:rsid w:val="00167A93"/>
    <w:rsid w:val="00167AEA"/>
    <w:rsid w:val="00167B1A"/>
    <w:rsid w:val="00167B24"/>
    <w:rsid w:val="00167B5F"/>
    <w:rsid w:val="00167B7B"/>
    <w:rsid w:val="00167BC0"/>
    <w:rsid w:val="00167BCB"/>
    <w:rsid w:val="00167C6E"/>
    <w:rsid w:val="00167CA0"/>
    <w:rsid w:val="00167CAA"/>
    <w:rsid w:val="00167CD0"/>
    <w:rsid w:val="00167DEF"/>
    <w:rsid w:val="00167E69"/>
    <w:rsid w:val="00167E8C"/>
    <w:rsid w:val="00167EB6"/>
    <w:rsid w:val="00167EC2"/>
    <w:rsid w:val="00167ED5"/>
    <w:rsid w:val="00167F12"/>
    <w:rsid w:val="00167F21"/>
    <w:rsid w:val="00167F2B"/>
    <w:rsid w:val="00167F4A"/>
    <w:rsid w:val="0017001C"/>
    <w:rsid w:val="00170051"/>
    <w:rsid w:val="001700D1"/>
    <w:rsid w:val="00170176"/>
    <w:rsid w:val="0017017F"/>
    <w:rsid w:val="00170190"/>
    <w:rsid w:val="001701DA"/>
    <w:rsid w:val="0017023E"/>
    <w:rsid w:val="001702AA"/>
    <w:rsid w:val="001702AB"/>
    <w:rsid w:val="00170367"/>
    <w:rsid w:val="001703AE"/>
    <w:rsid w:val="001703BB"/>
    <w:rsid w:val="001703EB"/>
    <w:rsid w:val="00170408"/>
    <w:rsid w:val="00170450"/>
    <w:rsid w:val="00170458"/>
    <w:rsid w:val="00170476"/>
    <w:rsid w:val="00170479"/>
    <w:rsid w:val="0017053B"/>
    <w:rsid w:val="00170565"/>
    <w:rsid w:val="00170593"/>
    <w:rsid w:val="0017059B"/>
    <w:rsid w:val="001705BE"/>
    <w:rsid w:val="001705CD"/>
    <w:rsid w:val="001705E8"/>
    <w:rsid w:val="001705F9"/>
    <w:rsid w:val="00170601"/>
    <w:rsid w:val="0017061C"/>
    <w:rsid w:val="00170631"/>
    <w:rsid w:val="00170636"/>
    <w:rsid w:val="0017066D"/>
    <w:rsid w:val="00170681"/>
    <w:rsid w:val="001706C5"/>
    <w:rsid w:val="001706F1"/>
    <w:rsid w:val="0017076D"/>
    <w:rsid w:val="0017077E"/>
    <w:rsid w:val="0017079D"/>
    <w:rsid w:val="001707AE"/>
    <w:rsid w:val="001707B5"/>
    <w:rsid w:val="00170830"/>
    <w:rsid w:val="00170864"/>
    <w:rsid w:val="0017087E"/>
    <w:rsid w:val="0017093A"/>
    <w:rsid w:val="00170A4F"/>
    <w:rsid w:val="00170A57"/>
    <w:rsid w:val="00170A8E"/>
    <w:rsid w:val="00170ABC"/>
    <w:rsid w:val="00170B02"/>
    <w:rsid w:val="00170B24"/>
    <w:rsid w:val="00170B5A"/>
    <w:rsid w:val="00170BB9"/>
    <w:rsid w:val="00170BBB"/>
    <w:rsid w:val="00170C50"/>
    <w:rsid w:val="00170C69"/>
    <w:rsid w:val="00170CBC"/>
    <w:rsid w:val="00170CE9"/>
    <w:rsid w:val="00170D4E"/>
    <w:rsid w:val="00170D67"/>
    <w:rsid w:val="00170D81"/>
    <w:rsid w:val="00170EF2"/>
    <w:rsid w:val="00170EF5"/>
    <w:rsid w:val="00170F14"/>
    <w:rsid w:val="00170F4D"/>
    <w:rsid w:val="00170F9F"/>
    <w:rsid w:val="00170FEA"/>
    <w:rsid w:val="00171088"/>
    <w:rsid w:val="001710F1"/>
    <w:rsid w:val="00171195"/>
    <w:rsid w:val="001711D7"/>
    <w:rsid w:val="001711F8"/>
    <w:rsid w:val="00171207"/>
    <w:rsid w:val="00171281"/>
    <w:rsid w:val="001712AF"/>
    <w:rsid w:val="001712B7"/>
    <w:rsid w:val="001712D5"/>
    <w:rsid w:val="001712DE"/>
    <w:rsid w:val="00171361"/>
    <w:rsid w:val="0017141A"/>
    <w:rsid w:val="00171469"/>
    <w:rsid w:val="001714BA"/>
    <w:rsid w:val="001714C3"/>
    <w:rsid w:val="00171596"/>
    <w:rsid w:val="001715DD"/>
    <w:rsid w:val="001716A4"/>
    <w:rsid w:val="001716B7"/>
    <w:rsid w:val="001716B9"/>
    <w:rsid w:val="0017177B"/>
    <w:rsid w:val="001717C3"/>
    <w:rsid w:val="001717C8"/>
    <w:rsid w:val="0017180C"/>
    <w:rsid w:val="00171812"/>
    <w:rsid w:val="00171873"/>
    <w:rsid w:val="001718B2"/>
    <w:rsid w:val="001718F2"/>
    <w:rsid w:val="0017190E"/>
    <w:rsid w:val="0017192D"/>
    <w:rsid w:val="00171966"/>
    <w:rsid w:val="0017196E"/>
    <w:rsid w:val="00171970"/>
    <w:rsid w:val="00171971"/>
    <w:rsid w:val="001719A5"/>
    <w:rsid w:val="00171A47"/>
    <w:rsid w:val="00171A4F"/>
    <w:rsid w:val="00171AB9"/>
    <w:rsid w:val="00171AD0"/>
    <w:rsid w:val="00171B08"/>
    <w:rsid w:val="00171B6C"/>
    <w:rsid w:val="00171B9B"/>
    <w:rsid w:val="00171B9C"/>
    <w:rsid w:val="00171BA6"/>
    <w:rsid w:val="00171BBE"/>
    <w:rsid w:val="00171BC1"/>
    <w:rsid w:val="00171BD9"/>
    <w:rsid w:val="00171BF4"/>
    <w:rsid w:val="00171C14"/>
    <w:rsid w:val="00171C88"/>
    <w:rsid w:val="00171C8A"/>
    <w:rsid w:val="00171CB4"/>
    <w:rsid w:val="00171CEB"/>
    <w:rsid w:val="00171CF8"/>
    <w:rsid w:val="00171D42"/>
    <w:rsid w:val="00171DC4"/>
    <w:rsid w:val="00171E44"/>
    <w:rsid w:val="00171E54"/>
    <w:rsid w:val="00171F09"/>
    <w:rsid w:val="00171F9A"/>
    <w:rsid w:val="00172089"/>
    <w:rsid w:val="001720AD"/>
    <w:rsid w:val="001720B0"/>
    <w:rsid w:val="001720C4"/>
    <w:rsid w:val="0017210F"/>
    <w:rsid w:val="0017212D"/>
    <w:rsid w:val="0017217E"/>
    <w:rsid w:val="001721B9"/>
    <w:rsid w:val="00172225"/>
    <w:rsid w:val="0017227E"/>
    <w:rsid w:val="00172286"/>
    <w:rsid w:val="001722E2"/>
    <w:rsid w:val="00172311"/>
    <w:rsid w:val="0017233A"/>
    <w:rsid w:val="00172364"/>
    <w:rsid w:val="00172423"/>
    <w:rsid w:val="00172482"/>
    <w:rsid w:val="00172497"/>
    <w:rsid w:val="001724A3"/>
    <w:rsid w:val="0017256B"/>
    <w:rsid w:val="00172570"/>
    <w:rsid w:val="00172576"/>
    <w:rsid w:val="00172580"/>
    <w:rsid w:val="001725A4"/>
    <w:rsid w:val="001725CD"/>
    <w:rsid w:val="001725CF"/>
    <w:rsid w:val="00172626"/>
    <w:rsid w:val="00172665"/>
    <w:rsid w:val="00172676"/>
    <w:rsid w:val="0017269E"/>
    <w:rsid w:val="001726DB"/>
    <w:rsid w:val="0017272E"/>
    <w:rsid w:val="00172741"/>
    <w:rsid w:val="00172758"/>
    <w:rsid w:val="001727B0"/>
    <w:rsid w:val="001727BF"/>
    <w:rsid w:val="00172824"/>
    <w:rsid w:val="00172833"/>
    <w:rsid w:val="00172850"/>
    <w:rsid w:val="00172872"/>
    <w:rsid w:val="001728B2"/>
    <w:rsid w:val="001728C0"/>
    <w:rsid w:val="001729C5"/>
    <w:rsid w:val="001729F2"/>
    <w:rsid w:val="00172A11"/>
    <w:rsid w:val="00172AB3"/>
    <w:rsid w:val="00172AEB"/>
    <w:rsid w:val="00172B29"/>
    <w:rsid w:val="00172B3C"/>
    <w:rsid w:val="00172C55"/>
    <w:rsid w:val="00172D6C"/>
    <w:rsid w:val="00172E69"/>
    <w:rsid w:val="00172E78"/>
    <w:rsid w:val="00172EAC"/>
    <w:rsid w:val="00172EB6"/>
    <w:rsid w:val="00172F1D"/>
    <w:rsid w:val="00172F33"/>
    <w:rsid w:val="00172F67"/>
    <w:rsid w:val="00172F6F"/>
    <w:rsid w:val="00172F74"/>
    <w:rsid w:val="00172FA0"/>
    <w:rsid w:val="00172FCD"/>
    <w:rsid w:val="0017309B"/>
    <w:rsid w:val="001730C1"/>
    <w:rsid w:val="001730E8"/>
    <w:rsid w:val="00173104"/>
    <w:rsid w:val="00173123"/>
    <w:rsid w:val="0017315C"/>
    <w:rsid w:val="0017316C"/>
    <w:rsid w:val="00173182"/>
    <w:rsid w:val="001731D4"/>
    <w:rsid w:val="00173209"/>
    <w:rsid w:val="0017322E"/>
    <w:rsid w:val="0017323C"/>
    <w:rsid w:val="0017324B"/>
    <w:rsid w:val="00173258"/>
    <w:rsid w:val="0017325A"/>
    <w:rsid w:val="00173278"/>
    <w:rsid w:val="001732C5"/>
    <w:rsid w:val="001732CA"/>
    <w:rsid w:val="00173369"/>
    <w:rsid w:val="001733DE"/>
    <w:rsid w:val="00173414"/>
    <w:rsid w:val="00173420"/>
    <w:rsid w:val="0017344A"/>
    <w:rsid w:val="0017346D"/>
    <w:rsid w:val="00173483"/>
    <w:rsid w:val="0017349E"/>
    <w:rsid w:val="001734BF"/>
    <w:rsid w:val="00173525"/>
    <w:rsid w:val="00173598"/>
    <w:rsid w:val="0017359E"/>
    <w:rsid w:val="001735A0"/>
    <w:rsid w:val="00173674"/>
    <w:rsid w:val="00173696"/>
    <w:rsid w:val="00173698"/>
    <w:rsid w:val="001736A3"/>
    <w:rsid w:val="0017377F"/>
    <w:rsid w:val="001737A1"/>
    <w:rsid w:val="00173816"/>
    <w:rsid w:val="0017381E"/>
    <w:rsid w:val="00173830"/>
    <w:rsid w:val="00173845"/>
    <w:rsid w:val="00173877"/>
    <w:rsid w:val="0017387D"/>
    <w:rsid w:val="00173881"/>
    <w:rsid w:val="0017389B"/>
    <w:rsid w:val="001738C0"/>
    <w:rsid w:val="001738C1"/>
    <w:rsid w:val="001738C6"/>
    <w:rsid w:val="001739BA"/>
    <w:rsid w:val="001739DE"/>
    <w:rsid w:val="001739FD"/>
    <w:rsid w:val="00173A13"/>
    <w:rsid w:val="00173A44"/>
    <w:rsid w:val="00173A47"/>
    <w:rsid w:val="00173A57"/>
    <w:rsid w:val="00173AA7"/>
    <w:rsid w:val="00173AB0"/>
    <w:rsid w:val="00173AC6"/>
    <w:rsid w:val="00173B04"/>
    <w:rsid w:val="00173B0F"/>
    <w:rsid w:val="00173B4C"/>
    <w:rsid w:val="00173B62"/>
    <w:rsid w:val="00173B67"/>
    <w:rsid w:val="00173B71"/>
    <w:rsid w:val="00173B7A"/>
    <w:rsid w:val="00173BDD"/>
    <w:rsid w:val="00173C0E"/>
    <w:rsid w:val="00173C4B"/>
    <w:rsid w:val="00173C73"/>
    <w:rsid w:val="00173D09"/>
    <w:rsid w:val="00173D31"/>
    <w:rsid w:val="00173D33"/>
    <w:rsid w:val="00173D35"/>
    <w:rsid w:val="00173D4D"/>
    <w:rsid w:val="00173D4F"/>
    <w:rsid w:val="00173D62"/>
    <w:rsid w:val="00173D81"/>
    <w:rsid w:val="00173DBD"/>
    <w:rsid w:val="00173DCB"/>
    <w:rsid w:val="00173E6E"/>
    <w:rsid w:val="00173E7D"/>
    <w:rsid w:val="00173E8E"/>
    <w:rsid w:val="00173F0E"/>
    <w:rsid w:val="00173F2F"/>
    <w:rsid w:val="00173F3F"/>
    <w:rsid w:val="00173FCC"/>
    <w:rsid w:val="00173FDE"/>
    <w:rsid w:val="00173FE2"/>
    <w:rsid w:val="0017402A"/>
    <w:rsid w:val="001740A8"/>
    <w:rsid w:val="001740C4"/>
    <w:rsid w:val="001740D2"/>
    <w:rsid w:val="001740E4"/>
    <w:rsid w:val="001740F6"/>
    <w:rsid w:val="00174123"/>
    <w:rsid w:val="0017423B"/>
    <w:rsid w:val="00174253"/>
    <w:rsid w:val="00174267"/>
    <w:rsid w:val="00174269"/>
    <w:rsid w:val="00174289"/>
    <w:rsid w:val="00174290"/>
    <w:rsid w:val="00174292"/>
    <w:rsid w:val="0017429A"/>
    <w:rsid w:val="001742F5"/>
    <w:rsid w:val="0017432C"/>
    <w:rsid w:val="00174356"/>
    <w:rsid w:val="001743CF"/>
    <w:rsid w:val="001743E3"/>
    <w:rsid w:val="0017440B"/>
    <w:rsid w:val="00174461"/>
    <w:rsid w:val="001744A6"/>
    <w:rsid w:val="001744B0"/>
    <w:rsid w:val="001744C7"/>
    <w:rsid w:val="001744CD"/>
    <w:rsid w:val="0017451F"/>
    <w:rsid w:val="0017456C"/>
    <w:rsid w:val="0017458D"/>
    <w:rsid w:val="00174599"/>
    <w:rsid w:val="001745D9"/>
    <w:rsid w:val="0017461D"/>
    <w:rsid w:val="0017462B"/>
    <w:rsid w:val="00174682"/>
    <w:rsid w:val="001746C7"/>
    <w:rsid w:val="001746EA"/>
    <w:rsid w:val="00174708"/>
    <w:rsid w:val="00174763"/>
    <w:rsid w:val="001747C6"/>
    <w:rsid w:val="00174824"/>
    <w:rsid w:val="00174831"/>
    <w:rsid w:val="00174903"/>
    <w:rsid w:val="0017493F"/>
    <w:rsid w:val="00174969"/>
    <w:rsid w:val="00174993"/>
    <w:rsid w:val="001749DA"/>
    <w:rsid w:val="00174A18"/>
    <w:rsid w:val="00174A65"/>
    <w:rsid w:val="00174AD1"/>
    <w:rsid w:val="00174ADE"/>
    <w:rsid w:val="00174B57"/>
    <w:rsid w:val="00174BA4"/>
    <w:rsid w:val="00174BA7"/>
    <w:rsid w:val="00174BC4"/>
    <w:rsid w:val="00174BDC"/>
    <w:rsid w:val="00174BEB"/>
    <w:rsid w:val="00174C99"/>
    <w:rsid w:val="00174C9A"/>
    <w:rsid w:val="00174C9C"/>
    <w:rsid w:val="00174CD9"/>
    <w:rsid w:val="00174CE3"/>
    <w:rsid w:val="00174DA8"/>
    <w:rsid w:val="00174DED"/>
    <w:rsid w:val="00174E1D"/>
    <w:rsid w:val="00174E7C"/>
    <w:rsid w:val="00174E87"/>
    <w:rsid w:val="00174EE6"/>
    <w:rsid w:val="00174EF2"/>
    <w:rsid w:val="00174F00"/>
    <w:rsid w:val="00174F94"/>
    <w:rsid w:val="00174FA6"/>
    <w:rsid w:val="0017501A"/>
    <w:rsid w:val="00175034"/>
    <w:rsid w:val="00175035"/>
    <w:rsid w:val="0017505D"/>
    <w:rsid w:val="0017505E"/>
    <w:rsid w:val="0017507C"/>
    <w:rsid w:val="0017514C"/>
    <w:rsid w:val="00175160"/>
    <w:rsid w:val="00175176"/>
    <w:rsid w:val="00175187"/>
    <w:rsid w:val="001751A1"/>
    <w:rsid w:val="0017522B"/>
    <w:rsid w:val="00175248"/>
    <w:rsid w:val="0017524E"/>
    <w:rsid w:val="00175292"/>
    <w:rsid w:val="001752D3"/>
    <w:rsid w:val="0017532E"/>
    <w:rsid w:val="00175386"/>
    <w:rsid w:val="001753C3"/>
    <w:rsid w:val="00175408"/>
    <w:rsid w:val="00175415"/>
    <w:rsid w:val="00175439"/>
    <w:rsid w:val="0017546F"/>
    <w:rsid w:val="00175491"/>
    <w:rsid w:val="001754CF"/>
    <w:rsid w:val="001754DC"/>
    <w:rsid w:val="00175529"/>
    <w:rsid w:val="0017556B"/>
    <w:rsid w:val="00175631"/>
    <w:rsid w:val="00175639"/>
    <w:rsid w:val="00175645"/>
    <w:rsid w:val="00175660"/>
    <w:rsid w:val="001756A4"/>
    <w:rsid w:val="00175721"/>
    <w:rsid w:val="0017576A"/>
    <w:rsid w:val="00175787"/>
    <w:rsid w:val="001757B8"/>
    <w:rsid w:val="00175823"/>
    <w:rsid w:val="00175825"/>
    <w:rsid w:val="00175847"/>
    <w:rsid w:val="0017587D"/>
    <w:rsid w:val="001758DC"/>
    <w:rsid w:val="001758F0"/>
    <w:rsid w:val="0017590B"/>
    <w:rsid w:val="0017592A"/>
    <w:rsid w:val="00175976"/>
    <w:rsid w:val="001759D5"/>
    <w:rsid w:val="00175A40"/>
    <w:rsid w:val="00175B46"/>
    <w:rsid w:val="00175B98"/>
    <w:rsid w:val="00175C41"/>
    <w:rsid w:val="00175C53"/>
    <w:rsid w:val="00175C9B"/>
    <w:rsid w:val="00175C9C"/>
    <w:rsid w:val="00175CD1"/>
    <w:rsid w:val="00175CDA"/>
    <w:rsid w:val="00175CE9"/>
    <w:rsid w:val="00175D5A"/>
    <w:rsid w:val="00175D96"/>
    <w:rsid w:val="00175DBD"/>
    <w:rsid w:val="00175DC2"/>
    <w:rsid w:val="00175DDC"/>
    <w:rsid w:val="00175DE9"/>
    <w:rsid w:val="00175EAF"/>
    <w:rsid w:val="00175EC7"/>
    <w:rsid w:val="00175F59"/>
    <w:rsid w:val="00175F76"/>
    <w:rsid w:val="00175F99"/>
    <w:rsid w:val="00175F9C"/>
    <w:rsid w:val="00175FEF"/>
    <w:rsid w:val="00176026"/>
    <w:rsid w:val="00176032"/>
    <w:rsid w:val="0017604C"/>
    <w:rsid w:val="00176096"/>
    <w:rsid w:val="001760A8"/>
    <w:rsid w:val="001760AA"/>
    <w:rsid w:val="001760E9"/>
    <w:rsid w:val="0017616D"/>
    <w:rsid w:val="00176213"/>
    <w:rsid w:val="00176217"/>
    <w:rsid w:val="00176219"/>
    <w:rsid w:val="001762A8"/>
    <w:rsid w:val="001762C8"/>
    <w:rsid w:val="001762E9"/>
    <w:rsid w:val="001762F9"/>
    <w:rsid w:val="001762FB"/>
    <w:rsid w:val="0017630E"/>
    <w:rsid w:val="00176344"/>
    <w:rsid w:val="00176355"/>
    <w:rsid w:val="001763A1"/>
    <w:rsid w:val="001763AA"/>
    <w:rsid w:val="001763BB"/>
    <w:rsid w:val="0017648B"/>
    <w:rsid w:val="001764A7"/>
    <w:rsid w:val="001764DF"/>
    <w:rsid w:val="0017651A"/>
    <w:rsid w:val="0017656C"/>
    <w:rsid w:val="0017659C"/>
    <w:rsid w:val="001765D0"/>
    <w:rsid w:val="0017661B"/>
    <w:rsid w:val="00176624"/>
    <w:rsid w:val="00176671"/>
    <w:rsid w:val="00176760"/>
    <w:rsid w:val="001767A9"/>
    <w:rsid w:val="001767CB"/>
    <w:rsid w:val="001767D0"/>
    <w:rsid w:val="0017680A"/>
    <w:rsid w:val="0017684E"/>
    <w:rsid w:val="00176884"/>
    <w:rsid w:val="0017691A"/>
    <w:rsid w:val="0017694C"/>
    <w:rsid w:val="00176998"/>
    <w:rsid w:val="0017699C"/>
    <w:rsid w:val="001769BE"/>
    <w:rsid w:val="001769BF"/>
    <w:rsid w:val="00176A45"/>
    <w:rsid w:val="00176A49"/>
    <w:rsid w:val="00176AE9"/>
    <w:rsid w:val="00176B13"/>
    <w:rsid w:val="00176B41"/>
    <w:rsid w:val="00176B72"/>
    <w:rsid w:val="00176BB7"/>
    <w:rsid w:val="00176BCA"/>
    <w:rsid w:val="00176BFD"/>
    <w:rsid w:val="00176C05"/>
    <w:rsid w:val="00176C07"/>
    <w:rsid w:val="00176DA4"/>
    <w:rsid w:val="00176DB5"/>
    <w:rsid w:val="00176DBA"/>
    <w:rsid w:val="00176DEF"/>
    <w:rsid w:val="00176E73"/>
    <w:rsid w:val="00176E86"/>
    <w:rsid w:val="00176EC7"/>
    <w:rsid w:val="00176FD8"/>
    <w:rsid w:val="00176FEF"/>
    <w:rsid w:val="00177009"/>
    <w:rsid w:val="0017701C"/>
    <w:rsid w:val="00177050"/>
    <w:rsid w:val="001770BD"/>
    <w:rsid w:val="00177146"/>
    <w:rsid w:val="0017719F"/>
    <w:rsid w:val="001771F6"/>
    <w:rsid w:val="0017723E"/>
    <w:rsid w:val="001772D1"/>
    <w:rsid w:val="001772D2"/>
    <w:rsid w:val="001772D8"/>
    <w:rsid w:val="0017730B"/>
    <w:rsid w:val="00177328"/>
    <w:rsid w:val="00177356"/>
    <w:rsid w:val="0017738E"/>
    <w:rsid w:val="00177415"/>
    <w:rsid w:val="00177434"/>
    <w:rsid w:val="0017744F"/>
    <w:rsid w:val="00177462"/>
    <w:rsid w:val="001774CE"/>
    <w:rsid w:val="00177539"/>
    <w:rsid w:val="00177554"/>
    <w:rsid w:val="0017756E"/>
    <w:rsid w:val="001775CE"/>
    <w:rsid w:val="001775DD"/>
    <w:rsid w:val="001775E2"/>
    <w:rsid w:val="0017761A"/>
    <w:rsid w:val="00177661"/>
    <w:rsid w:val="001776C8"/>
    <w:rsid w:val="00177734"/>
    <w:rsid w:val="00177736"/>
    <w:rsid w:val="001777BC"/>
    <w:rsid w:val="001777ED"/>
    <w:rsid w:val="00177807"/>
    <w:rsid w:val="0017781F"/>
    <w:rsid w:val="00177851"/>
    <w:rsid w:val="0017786F"/>
    <w:rsid w:val="001778E8"/>
    <w:rsid w:val="0017795D"/>
    <w:rsid w:val="00177984"/>
    <w:rsid w:val="00177A21"/>
    <w:rsid w:val="00177A2F"/>
    <w:rsid w:val="00177A69"/>
    <w:rsid w:val="00177ABE"/>
    <w:rsid w:val="00177B58"/>
    <w:rsid w:val="00177BEF"/>
    <w:rsid w:val="00177BFA"/>
    <w:rsid w:val="00177C09"/>
    <w:rsid w:val="00177C1D"/>
    <w:rsid w:val="00177C37"/>
    <w:rsid w:val="00177CA6"/>
    <w:rsid w:val="00177DBA"/>
    <w:rsid w:val="00177DC0"/>
    <w:rsid w:val="00177E32"/>
    <w:rsid w:val="00177E9D"/>
    <w:rsid w:val="00177EBC"/>
    <w:rsid w:val="00177ECB"/>
    <w:rsid w:val="00177EDC"/>
    <w:rsid w:val="00177F67"/>
    <w:rsid w:val="00177FA2"/>
    <w:rsid w:val="00177FE0"/>
    <w:rsid w:val="00177FFE"/>
    <w:rsid w:val="00180079"/>
    <w:rsid w:val="001800B1"/>
    <w:rsid w:val="001800BD"/>
    <w:rsid w:val="001801E4"/>
    <w:rsid w:val="00180233"/>
    <w:rsid w:val="00180272"/>
    <w:rsid w:val="001802FF"/>
    <w:rsid w:val="00180332"/>
    <w:rsid w:val="00180364"/>
    <w:rsid w:val="00180369"/>
    <w:rsid w:val="001803CA"/>
    <w:rsid w:val="00180528"/>
    <w:rsid w:val="0018057C"/>
    <w:rsid w:val="0018057F"/>
    <w:rsid w:val="0018058D"/>
    <w:rsid w:val="001805A7"/>
    <w:rsid w:val="001805EB"/>
    <w:rsid w:val="00180625"/>
    <w:rsid w:val="0018062D"/>
    <w:rsid w:val="00180634"/>
    <w:rsid w:val="001806A8"/>
    <w:rsid w:val="0018071F"/>
    <w:rsid w:val="0018073B"/>
    <w:rsid w:val="001807A1"/>
    <w:rsid w:val="001807B6"/>
    <w:rsid w:val="00180802"/>
    <w:rsid w:val="0018087B"/>
    <w:rsid w:val="00180924"/>
    <w:rsid w:val="00180964"/>
    <w:rsid w:val="00180988"/>
    <w:rsid w:val="001809EB"/>
    <w:rsid w:val="001809F9"/>
    <w:rsid w:val="00180A97"/>
    <w:rsid w:val="00180A9E"/>
    <w:rsid w:val="00180A9F"/>
    <w:rsid w:val="00180AB9"/>
    <w:rsid w:val="00180AD1"/>
    <w:rsid w:val="00180AE2"/>
    <w:rsid w:val="00180AF2"/>
    <w:rsid w:val="00180B5C"/>
    <w:rsid w:val="00180C1D"/>
    <w:rsid w:val="00180CC1"/>
    <w:rsid w:val="00180D00"/>
    <w:rsid w:val="00180D3E"/>
    <w:rsid w:val="00180D44"/>
    <w:rsid w:val="00180D48"/>
    <w:rsid w:val="00180D51"/>
    <w:rsid w:val="00180DE7"/>
    <w:rsid w:val="00180EFB"/>
    <w:rsid w:val="00180F41"/>
    <w:rsid w:val="00180F81"/>
    <w:rsid w:val="00181007"/>
    <w:rsid w:val="0018107D"/>
    <w:rsid w:val="001810D4"/>
    <w:rsid w:val="0018111F"/>
    <w:rsid w:val="0018117D"/>
    <w:rsid w:val="001811D5"/>
    <w:rsid w:val="001811D8"/>
    <w:rsid w:val="001811F7"/>
    <w:rsid w:val="00181205"/>
    <w:rsid w:val="00181228"/>
    <w:rsid w:val="0018125C"/>
    <w:rsid w:val="00181266"/>
    <w:rsid w:val="00181277"/>
    <w:rsid w:val="00181282"/>
    <w:rsid w:val="00181288"/>
    <w:rsid w:val="0018134A"/>
    <w:rsid w:val="0018134E"/>
    <w:rsid w:val="0018135D"/>
    <w:rsid w:val="00181377"/>
    <w:rsid w:val="00181381"/>
    <w:rsid w:val="00181475"/>
    <w:rsid w:val="001814B1"/>
    <w:rsid w:val="0018152B"/>
    <w:rsid w:val="00181577"/>
    <w:rsid w:val="00181587"/>
    <w:rsid w:val="00181594"/>
    <w:rsid w:val="00181598"/>
    <w:rsid w:val="001815D6"/>
    <w:rsid w:val="001815F1"/>
    <w:rsid w:val="00181615"/>
    <w:rsid w:val="00181645"/>
    <w:rsid w:val="00181650"/>
    <w:rsid w:val="0018167C"/>
    <w:rsid w:val="001816D0"/>
    <w:rsid w:val="001816E8"/>
    <w:rsid w:val="00181763"/>
    <w:rsid w:val="001817C5"/>
    <w:rsid w:val="001817C8"/>
    <w:rsid w:val="001817DF"/>
    <w:rsid w:val="0018184A"/>
    <w:rsid w:val="00181860"/>
    <w:rsid w:val="00181882"/>
    <w:rsid w:val="00181898"/>
    <w:rsid w:val="001818E7"/>
    <w:rsid w:val="001818EF"/>
    <w:rsid w:val="0018193F"/>
    <w:rsid w:val="00181954"/>
    <w:rsid w:val="0018196F"/>
    <w:rsid w:val="001819C5"/>
    <w:rsid w:val="00181A33"/>
    <w:rsid w:val="00181AD8"/>
    <w:rsid w:val="00181B30"/>
    <w:rsid w:val="00181B6B"/>
    <w:rsid w:val="00181B83"/>
    <w:rsid w:val="00181BB1"/>
    <w:rsid w:val="00181BC6"/>
    <w:rsid w:val="00181C24"/>
    <w:rsid w:val="00181C78"/>
    <w:rsid w:val="00181CB4"/>
    <w:rsid w:val="00181CC7"/>
    <w:rsid w:val="00181D06"/>
    <w:rsid w:val="00181D3D"/>
    <w:rsid w:val="00181D8C"/>
    <w:rsid w:val="00181D95"/>
    <w:rsid w:val="00181DBC"/>
    <w:rsid w:val="00181DD5"/>
    <w:rsid w:val="00181E0D"/>
    <w:rsid w:val="00181EB5"/>
    <w:rsid w:val="00181F0B"/>
    <w:rsid w:val="00181F0C"/>
    <w:rsid w:val="00181F36"/>
    <w:rsid w:val="00181F66"/>
    <w:rsid w:val="00181FD2"/>
    <w:rsid w:val="00182086"/>
    <w:rsid w:val="00182095"/>
    <w:rsid w:val="001820B6"/>
    <w:rsid w:val="001820B8"/>
    <w:rsid w:val="00182106"/>
    <w:rsid w:val="0018213F"/>
    <w:rsid w:val="00182151"/>
    <w:rsid w:val="0018216B"/>
    <w:rsid w:val="001821DD"/>
    <w:rsid w:val="00182291"/>
    <w:rsid w:val="001822CA"/>
    <w:rsid w:val="001822D2"/>
    <w:rsid w:val="0018237D"/>
    <w:rsid w:val="00182385"/>
    <w:rsid w:val="001823A9"/>
    <w:rsid w:val="00182443"/>
    <w:rsid w:val="0018244B"/>
    <w:rsid w:val="00182493"/>
    <w:rsid w:val="001824C6"/>
    <w:rsid w:val="001824F1"/>
    <w:rsid w:val="001824F4"/>
    <w:rsid w:val="00182511"/>
    <w:rsid w:val="00182527"/>
    <w:rsid w:val="00182538"/>
    <w:rsid w:val="00182568"/>
    <w:rsid w:val="00182578"/>
    <w:rsid w:val="001825EE"/>
    <w:rsid w:val="0018263D"/>
    <w:rsid w:val="001826BF"/>
    <w:rsid w:val="001826C4"/>
    <w:rsid w:val="001826DA"/>
    <w:rsid w:val="0018270D"/>
    <w:rsid w:val="00182729"/>
    <w:rsid w:val="0018282D"/>
    <w:rsid w:val="00182892"/>
    <w:rsid w:val="001828B8"/>
    <w:rsid w:val="0018291C"/>
    <w:rsid w:val="00182943"/>
    <w:rsid w:val="00182982"/>
    <w:rsid w:val="001829AF"/>
    <w:rsid w:val="001829BF"/>
    <w:rsid w:val="001829C1"/>
    <w:rsid w:val="001829DD"/>
    <w:rsid w:val="00182A03"/>
    <w:rsid w:val="00182A0B"/>
    <w:rsid w:val="00182A93"/>
    <w:rsid w:val="00182AB4"/>
    <w:rsid w:val="00182B7D"/>
    <w:rsid w:val="00182BB4"/>
    <w:rsid w:val="00182C2A"/>
    <w:rsid w:val="00182C33"/>
    <w:rsid w:val="00182C49"/>
    <w:rsid w:val="00182C70"/>
    <w:rsid w:val="00182C7A"/>
    <w:rsid w:val="00182CB0"/>
    <w:rsid w:val="00182D44"/>
    <w:rsid w:val="00182D62"/>
    <w:rsid w:val="00182D9D"/>
    <w:rsid w:val="00182E65"/>
    <w:rsid w:val="00182E8D"/>
    <w:rsid w:val="00182EAB"/>
    <w:rsid w:val="00182F22"/>
    <w:rsid w:val="00182FA3"/>
    <w:rsid w:val="00183026"/>
    <w:rsid w:val="0018302D"/>
    <w:rsid w:val="00183076"/>
    <w:rsid w:val="001830A4"/>
    <w:rsid w:val="001830A5"/>
    <w:rsid w:val="00183126"/>
    <w:rsid w:val="00183188"/>
    <w:rsid w:val="00183189"/>
    <w:rsid w:val="001831B5"/>
    <w:rsid w:val="001831E4"/>
    <w:rsid w:val="00183208"/>
    <w:rsid w:val="00183220"/>
    <w:rsid w:val="0018328A"/>
    <w:rsid w:val="0018329F"/>
    <w:rsid w:val="001832AD"/>
    <w:rsid w:val="001832E4"/>
    <w:rsid w:val="00183367"/>
    <w:rsid w:val="0018337B"/>
    <w:rsid w:val="001833F0"/>
    <w:rsid w:val="00183467"/>
    <w:rsid w:val="0018349B"/>
    <w:rsid w:val="001834CB"/>
    <w:rsid w:val="0018350B"/>
    <w:rsid w:val="0018353D"/>
    <w:rsid w:val="00183540"/>
    <w:rsid w:val="001835AF"/>
    <w:rsid w:val="001835D2"/>
    <w:rsid w:val="0018361B"/>
    <w:rsid w:val="00183621"/>
    <w:rsid w:val="00183730"/>
    <w:rsid w:val="00183754"/>
    <w:rsid w:val="00183789"/>
    <w:rsid w:val="0018381C"/>
    <w:rsid w:val="0018381E"/>
    <w:rsid w:val="0018383F"/>
    <w:rsid w:val="00183888"/>
    <w:rsid w:val="00183926"/>
    <w:rsid w:val="0018395A"/>
    <w:rsid w:val="0018397F"/>
    <w:rsid w:val="001839D8"/>
    <w:rsid w:val="00183A11"/>
    <w:rsid w:val="00183A12"/>
    <w:rsid w:val="00183AA1"/>
    <w:rsid w:val="00183ACB"/>
    <w:rsid w:val="00183AF5"/>
    <w:rsid w:val="00183BC2"/>
    <w:rsid w:val="00183C91"/>
    <w:rsid w:val="00183C97"/>
    <w:rsid w:val="00183D54"/>
    <w:rsid w:val="00183DA0"/>
    <w:rsid w:val="00183E09"/>
    <w:rsid w:val="00183E20"/>
    <w:rsid w:val="00183E81"/>
    <w:rsid w:val="00183EA3"/>
    <w:rsid w:val="00183EC8"/>
    <w:rsid w:val="00183F1A"/>
    <w:rsid w:val="00184008"/>
    <w:rsid w:val="0018400B"/>
    <w:rsid w:val="00184029"/>
    <w:rsid w:val="001840AF"/>
    <w:rsid w:val="0018417C"/>
    <w:rsid w:val="0018418C"/>
    <w:rsid w:val="001841D4"/>
    <w:rsid w:val="00184201"/>
    <w:rsid w:val="00184246"/>
    <w:rsid w:val="00184256"/>
    <w:rsid w:val="00184283"/>
    <w:rsid w:val="0018429B"/>
    <w:rsid w:val="00184327"/>
    <w:rsid w:val="00184394"/>
    <w:rsid w:val="00184455"/>
    <w:rsid w:val="00184555"/>
    <w:rsid w:val="0018456C"/>
    <w:rsid w:val="00184570"/>
    <w:rsid w:val="00184586"/>
    <w:rsid w:val="00184628"/>
    <w:rsid w:val="00184641"/>
    <w:rsid w:val="001846B4"/>
    <w:rsid w:val="001846C3"/>
    <w:rsid w:val="001846CC"/>
    <w:rsid w:val="00184709"/>
    <w:rsid w:val="00184728"/>
    <w:rsid w:val="0018474A"/>
    <w:rsid w:val="00184750"/>
    <w:rsid w:val="001847EB"/>
    <w:rsid w:val="0018483C"/>
    <w:rsid w:val="0018486F"/>
    <w:rsid w:val="00184880"/>
    <w:rsid w:val="001848B1"/>
    <w:rsid w:val="001848E2"/>
    <w:rsid w:val="001848EF"/>
    <w:rsid w:val="00184902"/>
    <w:rsid w:val="0018491B"/>
    <w:rsid w:val="00184973"/>
    <w:rsid w:val="001849E8"/>
    <w:rsid w:val="00184AF3"/>
    <w:rsid w:val="00184B14"/>
    <w:rsid w:val="00184B16"/>
    <w:rsid w:val="00184B4F"/>
    <w:rsid w:val="00184BA0"/>
    <w:rsid w:val="00184C14"/>
    <w:rsid w:val="00184C3E"/>
    <w:rsid w:val="00184CBF"/>
    <w:rsid w:val="00184D25"/>
    <w:rsid w:val="00184D81"/>
    <w:rsid w:val="00184DA7"/>
    <w:rsid w:val="00184E21"/>
    <w:rsid w:val="00184E69"/>
    <w:rsid w:val="00184E83"/>
    <w:rsid w:val="00184EED"/>
    <w:rsid w:val="00184F74"/>
    <w:rsid w:val="00184F80"/>
    <w:rsid w:val="00184F91"/>
    <w:rsid w:val="00184FAA"/>
    <w:rsid w:val="00184FD1"/>
    <w:rsid w:val="00185015"/>
    <w:rsid w:val="0018502A"/>
    <w:rsid w:val="00185037"/>
    <w:rsid w:val="00185050"/>
    <w:rsid w:val="00185093"/>
    <w:rsid w:val="001850FD"/>
    <w:rsid w:val="00185146"/>
    <w:rsid w:val="0018518F"/>
    <w:rsid w:val="001851DF"/>
    <w:rsid w:val="00185230"/>
    <w:rsid w:val="0018524C"/>
    <w:rsid w:val="0018527D"/>
    <w:rsid w:val="001852D1"/>
    <w:rsid w:val="001852F8"/>
    <w:rsid w:val="0018535F"/>
    <w:rsid w:val="00185388"/>
    <w:rsid w:val="001853C9"/>
    <w:rsid w:val="00185406"/>
    <w:rsid w:val="00185456"/>
    <w:rsid w:val="00185459"/>
    <w:rsid w:val="001854CA"/>
    <w:rsid w:val="001854DC"/>
    <w:rsid w:val="00185558"/>
    <w:rsid w:val="0018556B"/>
    <w:rsid w:val="001855B5"/>
    <w:rsid w:val="001856CE"/>
    <w:rsid w:val="0018570C"/>
    <w:rsid w:val="00185714"/>
    <w:rsid w:val="0018578C"/>
    <w:rsid w:val="001857EC"/>
    <w:rsid w:val="0018581F"/>
    <w:rsid w:val="00185822"/>
    <w:rsid w:val="00185885"/>
    <w:rsid w:val="001858CD"/>
    <w:rsid w:val="001858ED"/>
    <w:rsid w:val="00185911"/>
    <w:rsid w:val="0018593C"/>
    <w:rsid w:val="00185996"/>
    <w:rsid w:val="00185997"/>
    <w:rsid w:val="001859F6"/>
    <w:rsid w:val="00185A16"/>
    <w:rsid w:val="00185A4A"/>
    <w:rsid w:val="00185A61"/>
    <w:rsid w:val="00185A63"/>
    <w:rsid w:val="00185A77"/>
    <w:rsid w:val="00185A9A"/>
    <w:rsid w:val="00185AA1"/>
    <w:rsid w:val="00185AB4"/>
    <w:rsid w:val="00185B0A"/>
    <w:rsid w:val="00185B1C"/>
    <w:rsid w:val="00185BCD"/>
    <w:rsid w:val="00185BE9"/>
    <w:rsid w:val="00185C01"/>
    <w:rsid w:val="00185C81"/>
    <w:rsid w:val="00185C97"/>
    <w:rsid w:val="00185CCA"/>
    <w:rsid w:val="00185CD6"/>
    <w:rsid w:val="00185D03"/>
    <w:rsid w:val="00185E04"/>
    <w:rsid w:val="00185E12"/>
    <w:rsid w:val="00185E34"/>
    <w:rsid w:val="00185E94"/>
    <w:rsid w:val="00185F30"/>
    <w:rsid w:val="00185F9A"/>
    <w:rsid w:val="00186021"/>
    <w:rsid w:val="00186058"/>
    <w:rsid w:val="001860F7"/>
    <w:rsid w:val="001861AB"/>
    <w:rsid w:val="001861F1"/>
    <w:rsid w:val="0018623D"/>
    <w:rsid w:val="00186295"/>
    <w:rsid w:val="001862A7"/>
    <w:rsid w:val="00186318"/>
    <w:rsid w:val="001863B1"/>
    <w:rsid w:val="001863C0"/>
    <w:rsid w:val="001863E1"/>
    <w:rsid w:val="0018647D"/>
    <w:rsid w:val="00186482"/>
    <w:rsid w:val="001864CD"/>
    <w:rsid w:val="001864D8"/>
    <w:rsid w:val="001864DB"/>
    <w:rsid w:val="001864E8"/>
    <w:rsid w:val="001864F1"/>
    <w:rsid w:val="00186547"/>
    <w:rsid w:val="0018654B"/>
    <w:rsid w:val="0018654D"/>
    <w:rsid w:val="00186580"/>
    <w:rsid w:val="001865DE"/>
    <w:rsid w:val="00186602"/>
    <w:rsid w:val="00186614"/>
    <w:rsid w:val="0018665B"/>
    <w:rsid w:val="001867D6"/>
    <w:rsid w:val="00186804"/>
    <w:rsid w:val="0018680D"/>
    <w:rsid w:val="00186816"/>
    <w:rsid w:val="00186837"/>
    <w:rsid w:val="0018684D"/>
    <w:rsid w:val="0018691A"/>
    <w:rsid w:val="00186965"/>
    <w:rsid w:val="00186984"/>
    <w:rsid w:val="00186A00"/>
    <w:rsid w:val="00186A43"/>
    <w:rsid w:val="00186AB1"/>
    <w:rsid w:val="00186B02"/>
    <w:rsid w:val="00186B11"/>
    <w:rsid w:val="00186B1D"/>
    <w:rsid w:val="00186B25"/>
    <w:rsid w:val="00186B28"/>
    <w:rsid w:val="00186B5F"/>
    <w:rsid w:val="00186B70"/>
    <w:rsid w:val="00186BA7"/>
    <w:rsid w:val="00186BF5"/>
    <w:rsid w:val="00186C08"/>
    <w:rsid w:val="00186D28"/>
    <w:rsid w:val="00186D2C"/>
    <w:rsid w:val="00186D56"/>
    <w:rsid w:val="00186D5E"/>
    <w:rsid w:val="00186DCF"/>
    <w:rsid w:val="00186EEF"/>
    <w:rsid w:val="00186F48"/>
    <w:rsid w:val="00186F4A"/>
    <w:rsid w:val="00186F7A"/>
    <w:rsid w:val="00186F92"/>
    <w:rsid w:val="00186FE7"/>
    <w:rsid w:val="00187076"/>
    <w:rsid w:val="0018714A"/>
    <w:rsid w:val="00187157"/>
    <w:rsid w:val="00187175"/>
    <w:rsid w:val="001871EB"/>
    <w:rsid w:val="001871ED"/>
    <w:rsid w:val="0018726B"/>
    <w:rsid w:val="00187270"/>
    <w:rsid w:val="0018728A"/>
    <w:rsid w:val="001872A0"/>
    <w:rsid w:val="00187314"/>
    <w:rsid w:val="00187333"/>
    <w:rsid w:val="00187377"/>
    <w:rsid w:val="0018738B"/>
    <w:rsid w:val="001873A2"/>
    <w:rsid w:val="001873BB"/>
    <w:rsid w:val="00187449"/>
    <w:rsid w:val="001874DF"/>
    <w:rsid w:val="001874E3"/>
    <w:rsid w:val="0018750E"/>
    <w:rsid w:val="0018753F"/>
    <w:rsid w:val="001875CF"/>
    <w:rsid w:val="00187648"/>
    <w:rsid w:val="001876B1"/>
    <w:rsid w:val="001876D0"/>
    <w:rsid w:val="001876F1"/>
    <w:rsid w:val="0018778A"/>
    <w:rsid w:val="001877E2"/>
    <w:rsid w:val="001878C2"/>
    <w:rsid w:val="00187956"/>
    <w:rsid w:val="00187980"/>
    <w:rsid w:val="001879A4"/>
    <w:rsid w:val="001879B3"/>
    <w:rsid w:val="001879B8"/>
    <w:rsid w:val="00187A30"/>
    <w:rsid w:val="00187A3F"/>
    <w:rsid w:val="00187A5C"/>
    <w:rsid w:val="00187AC3"/>
    <w:rsid w:val="00187ACF"/>
    <w:rsid w:val="00187B12"/>
    <w:rsid w:val="00187B8F"/>
    <w:rsid w:val="00187BA9"/>
    <w:rsid w:val="00187BAE"/>
    <w:rsid w:val="00187BE1"/>
    <w:rsid w:val="00187BEB"/>
    <w:rsid w:val="00187BF0"/>
    <w:rsid w:val="00187CAE"/>
    <w:rsid w:val="00187CBB"/>
    <w:rsid w:val="00187D2A"/>
    <w:rsid w:val="00187D4F"/>
    <w:rsid w:val="00187DCC"/>
    <w:rsid w:val="00187E1C"/>
    <w:rsid w:val="00187E94"/>
    <w:rsid w:val="00187EAD"/>
    <w:rsid w:val="00187EB4"/>
    <w:rsid w:val="00187F2D"/>
    <w:rsid w:val="00187FE7"/>
    <w:rsid w:val="00190018"/>
    <w:rsid w:val="00190140"/>
    <w:rsid w:val="0019014F"/>
    <w:rsid w:val="001901BE"/>
    <w:rsid w:val="001901DE"/>
    <w:rsid w:val="00190209"/>
    <w:rsid w:val="00190223"/>
    <w:rsid w:val="00190271"/>
    <w:rsid w:val="00190281"/>
    <w:rsid w:val="001902D1"/>
    <w:rsid w:val="0019034C"/>
    <w:rsid w:val="00190352"/>
    <w:rsid w:val="001903E0"/>
    <w:rsid w:val="00190410"/>
    <w:rsid w:val="00190441"/>
    <w:rsid w:val="0019047C"/>
    <w:rsid w:val="001904A8"/>
    <w:rsid w:val="0019052D"/>
    <w:rsid w:val="0019055F"/>
    <w:rsid w:val="0019056D"/>
    <w:rsid w:val="001905C2"/>
    <w:rsid w:val="00190618"/>
    <w:rsid w:val="00190625"/>
    <w:rsid w:val="00190657"/>
    <w:rsid w:val="001906AB"/>
    <w:rsid w:val="0019071B"/>
    <w:rsid w:val="001907A7"/>
    <w:rsid w:val="001907E0"/>
    <w:rsid w:val="00190801"/>
    <w:rsid w:val="001908BE"/>
    <w:rsid w:val="001908F5"/>
    <w:rsid w:val="001908FD"/>
    <w:rsid w:val="00190906"/>
    <w:rsid w:val="00190956"/>
    <w:rsid w:val="00190965"/>
    <w:rsid w:val="00190973"/>
    <w:rsid w:val="0019099C"/>
    <w:rsid w:val="00190A1B"/>
    <w:rsid w:val="00190A21"/>
    <w:rsid w:val="00190A99"/>
    <w:rsid w:val="00190B1D"/>
    <w:rsid w:val="00190B45"/>
    <w:rsid w:val="00190B6B"/>
    <w:rsid w:val="00190BC9"/>
    <w:rsid w:val="00190BFD"/>
    <w:rsid w:val="00190C0A"/>
    <w:rsid w:val="00190C68"/>
    <w:rsid w:val="00190D3C"/>
    <w:rsid w:val="00190D55"/>
    <w:rsid w:val="00190D82"/>
    <w:rsid w:val="00190DEF"/>
    <w:rsid w:val="00190E45"/>
    <w:rsid w:val="00190E77"/>
    <w:rsid w:val="00190E86"/>
    <w:rsid w:val="00190FB3"/>
    <w:rsid w:val="00190FC9"/>
    <w:rsid w:val="00190FD8"/>
    <w:rsid w:val="00190FE8"/>
    <w:rsid w:val="00191048"/>
    <w:rsid w:val="00191099"/>
    <w:rsid w:val="001910CC"/>
    <w:rsid w:val="0019119A"/>
    <w:rsid w:val="001911B4"/>
    <w:rsid w:val="001911D9"/>
    <w:rsid w:val="00191266"/>
    <w:rsid w:val="0019126D"/>
    <w:rsid w:val="001912A4"/>
    <w:rsid w:val="001912CC"/>
    <w:rsid w:val="001912F0"/>
    <w:rsid w:val="00191329"/>
    <w:rsid w:val="00191378"/>
    <w:rsid w:val="00191383"/>
    <w:rsid w:val="001913A9"/>
    <w:rsid w:val="001913BC"/>
    <w:rsid w:val="00191465"/>
    <w:rsid w:val="0019146C"/>
    <w:rsid w:val="001914B6"/>
    <w:rsid w:val="001914B8"/>
    <w:rsid w:val="00191518"/>
    <w:rsid w:val="0019155A"/>
    <w:rsid w:val="00191591"/>
    <w:rsid w:val="001915AE"/>
    <w:rsid w:val="001915D6"/>
    <w:rsid w:val="00191619"/>
    <w:rsid w:val="0019167D"/>
    <w:rsid w:val="0019168C"/>
    <w:rsid w:val="0019169C"/>
    <w:rsid w:val="001916B4"/>
    <w:rsid w:val="001916C1"/>
    <w:rsid w:val="001916FF"/>
    <w:rsid w:val="00191708"/>
    <w:rsid w:val="0019174E"/>
    <w:rsid w:val="00191793"/>
    <w:rsid w:val="001917A0"/>
    <w:rsid w:val="001917B1"/>
    <w:rsid w:val="00191883"/>
    <w:rsid w:val="001918AD"/>
    <w:rsid w:val="001918C6"/>
    <w:rsid w:val="001918D8"/>
    <w:rsid w:val="001918F5"/>
    <w:rsid w:val="00191956"/>
    <w:rsid w:val="00191A3C"/>
    <w:rsid w:val="00191A7E"/>
    <w:rsid w:val="00191AC6"/>
    <w:rsid w:val="00191B9C"/>
    <w:rsid w:val="00191BF1"/>
    <w:rsid w:val="00191C51"/>
    <w:rsid w:val="00191C5C"/>
    <w:rsid w:val="00191C82"/>
    <w:rsid w:val="00191CC2"/>
    <w:rsid w:val="00191CC6"/>
    <w:rsid w:val="00191CF4"/>
    <w:rsid w:val="00191CF6"/>
    <w:rsid w:val="00191CFB"/>
    <w:rsid w:val="00191D15"/>
    <w:rsid w:val="00191DBF"/>
    <w:rsid w:val="00191E2C"/>
    <w:rsid w:val="00191E40"/>
    <w:rsid w:val="00191E4C"/>
    <w:rsid w:val="00191E55"/>
    <w:rsid w:val="00191E56"/>
    <w:rsid w:val="00191E59"/>
    <w:rsid w:val="00191E60"/>
    <w:rsid w:val="00191EC7"/>
    <w:rsid w:val="00191ED0"/>
    <w:rsid w:val="00191EE6"/>
    <w:rsid w:val="00191EF1"/>
    <w:rsid w:val="00191F0C"/>
    <w:rsid w:val="00191FB5"/>
    <w:rsid w:val="00192000"/>
    <w:rsid w:val="0019205F"/>
    <w:rsid w:val="001920A3"/>
    <w:rsid w:val="001921AB"/>
    <w:rsid w:val="001921DD"/>
    <w:rsid w:val="001922CE"/>
    <w:rsid w:val="001922F9"/>
    <w:rsid w:val="00192387"/>
    <w:rsid w:val="00192405"/>
    <w:rsid w:val="0019240C"/>
    <w:rsid w:val="00192414"/>
    <w:rsid w:val="00192464"/>
    <w:rsid w:val="0019246B"/>
    <w:rsid w:val="001924BE"/>
    <w:rsid w:val="001924EA"/>
    <w:rsid w:val="001924EF"/>
    <w:rsid w:val="001924F1"/>
    <w:rsid w:val="0019254C"/>
    <w:rsid w:val="0019257A"/>
    <w:rsid w:val="00192595"/>
    <w:rsid w:val="001925A4"/>
    <w:rsid w:val="001925C5"/>
    <w:rsid w:val="001925CA"/>
    <w:rsid w:val="001925F8"/>
    <w:rsid w:val="0019261B"/>
    <w:rsid w:val="00192622"/>
    <w:rsid w:val="001926DA"/>
    <w:rsid w:val="00192735"/>
    <w:rsid w:val="001927FB"/>
    <w:rsid w:val="001927FF"/>
    <w:rsid w:val="00192867"/>
    <w:rsid w:val="00192906"/>
    <w:rsid w:val="00192A00"/>
    <w:rsid w:val="00192A55"/>
    <w:rsid w:val="00192AC3"/>
    <w:rsid w:val="00192B7F"/>
    <w:rsid w:val="00192C26"/>
    <w:rsid w:val="00192C2C"/>
    <w:rsid w:val="00192C48"/>
    <w:rsid w:val="00192CF0"/>
    <w:rsid w:val="00192CF3"/>
    <w:rsid w:val="00192D56"/>
    <w:rsid w:val="00192D72"/>
    <w:rsid w:val="00192D8D"/>
    <w:rsid w:val="00192DB1"/>
    <w:rsid w:val="00192DB7"/>
    <w:rsid w:val="00192DED"/>
    <w:rsid w:val="00192E29"/>
    <w:rsid w:val="00192E63"/>
    <w:rsid w:val="00192F6F"/>
    <w:rsid w:val="00192FD7"/>
    <w:rsid w:val="0019303B"/>
    <w:rsid w:val="001930C6"/>
    <w:rsid w:val="001930DE"/>
    <w:rsid w:val="00193114"/>
    <w:rsid w:val="001931A6"/>
    <w:rsid w:val="001931B4"/>
    <w:rsid w:val="00193222"/>
    <w:rsid w:val="001932DE"/>
    <w:rsid w:val="00193335"/>
    <w:rsid w:val="0019333C"/>
    <w:rsid w:val="00193358"/>
    <w:rsid w:val="0019335E"/>
    <w:rsid w:val="001933C0"/>
    <w:rsid w:val="001933CB"/>
    <w:rsid w:val="001933E9"/>
    <w:rsid w:val="0019340A"/>
    <w:rsid w:val="00193427"/>
    <w:rsid w:val="0019344C"/>
    <w:rsid w:val="0019346B"/>
    <w:rsid w:val="0019348D"/>
    <w:rsid w:val="00193542"/>
    <w:rsid w:val="001935B6"/>
    <w:rsid w:val="001935B9"/>
    <w:rsid w:val="00193681"/>
    <w:rsid w:val="001936D6"/>
    <w:rsid w:val="001936D9"/>
    <w:rsid w:val="001936E7"/>
    <w:rsid w:val="00193716"/>
    <w:rsid w:val="0019374E"/>
    <w:rsid w:val="0019375C"/>
    <w:rsid w:val="00193779"/>
    <w:rsid w:val="001937C6"/>
    <w:rsid w:val="001937EE"/>
    <w:rsid w:val="00193846"/>
    <w:rsid w:val="00193852"/>
    <w:rsid w:val="00193878"/>
    <w:rsid w:val="001938A7"/>
    <w:rsid w:val="001938D2"/>
    <w:rsid w:val="0019394F"/>
    <w:rsid w:val="00193A23"/>
    <w:rsid w:val="00193B29"/>
    <w:rsid w:val="00193B64"/>
    <w:rsid w:val="00193B78"/>
    <w:rsid w:val="00193BC3"/>
    <w:rsid w:val="00193BEE"/>
    <w:rsid w:val="00193C09"/>
    <w:rsid w:val="00193C69"/>
    <w:rsid w:val="00193C80"/>
    <w:rsid w:val="00193D75"/>
    <w:rsid w:val="00193DB5"/>
    <w:rsid w:val="00193DB8"/>
    <w:rsid w:val="00193DC3"/>
    <w:rsid w:val="00193E4D"/>
    <w:rsid w:val="00193E8D"/>
    <w:rsid w:val="00193EB4"/>
    <w:rsid w:val="00193F2E"/>
    <w:rsid w:val="00193F65"/>
    <w:rsid w:val="00193F90"/>
    <w:rsid w:val="00193FA7"/>
    <w:rsid w:val="00194011"/>
    <w:rsid w:val="0019405A"/>
    <w:rsid w:val="0019407E"/>
    <w:rsid w:val="0019415A"/>
    <w:rsid w:val="001941A5"/>
    <w:rsid w:val="001941B3"/>
    <w:rsid w:val="001941F2"/>
    <w:rsid w:val="001941F7"/>
    <w:rsid w:val="00194206"/>
    <w:rsid w:val="0019421B"/>
    <w:rsid w:val="0019427B"/>
    <w:rsid w:val="0019431D"/>
    <w:rsid w:val="00194323"/>
    <w:rsid w:val="0019441A"/>
    <w:rsid w:val="0019445C"/>
    <w:rsid w:val="001944C2"/>
    <w:rsid w:val="001944DB"/>
    <w:rsid w:val="00194540"/>
    <w:rsid w:val="00194567"/>
    <w:rsid w:val="001945DE"/>
    <w:rsid w:val="001947BD"/>
    <w:rsid w:val="001947D7"/>
    <w:rsid w:val="00194821"/>
    <w:rsid w:val="00194833"/>
    <w:rsid w:val="0019483C"/>
    <w:rsid w:val="0019484F"/>
    <w:rsid w:val="0019494B"/>
    <w:rsid w:val="0019498E"/>
    <w:rsid w:val="00194997"/>
    <w:rsid w:val="00194999"/>
    <w:rsid w:val="001949FC"/>
    <w:rsid w:val="00194AA5"/>
    <w:rsid w:val="00194AEA"/>
    <w:rsid w:val="00194B3B"/>
    <w:rsid w:val="00194B3E"/>
    <w:rsid w:val="00194B9E"/>
    <w:rsid w:val="00194BBE"/>
    <w:rsid w:val="00194BF8"/>
    <w:rsid w:val="00194C05"/>
    <w:rsid w:val="00194C28"/>
    <w:rsid w:val="00194CBA"/>
    <w:rsid w:val="00194CD9"/>
    <w:rsid w:val="00194CFE"/>
    <w:rsid w:val="00194D05"/>
    <w:rsid w:val="00194D60"/>
    <w:rsid w:val="00194D64"/>
    <w:rsid w:val="00194D72"/>
    <w:rsid w:val="00194DC0"/>
    <w:rsid w:val="00194E0E"/>
    <w:rsid w:val="00194E4D"/>
    <w:rsid w:val="00194E5D"/>
    <w:rsid w:val="00194EA8"/>
    <w:rsid w:val="00194EAB"/>
    <w:rsid w:val="00194ECF"/>
    <w:rsid w:val="00194EEA"/>
    <w:rsid w:val="00194F09"/>
    <w:rsid w:val="00194F1E"/>
    <w:rsid w:val="00194FB4"/>
    <w:rsid w:val="00194FC7"/>
    <w:rsid w:val="00194FD2"/>
    <w:rsid w:val="00194FD8"/>
    <w:rsid w:val="00195016"/>
    <w:rsid w:val="00195061"/>
    <w:rsid w:val="00195083"/>
    <w:rsid w:val="001950B0"/>
    <w:rsid w:val="001950F4"/>
    <w:rsid w:val="0019513E"/>
    <w:rsid w:val="00195156"/>
    <w:rsid w:val="00195172"/>
    <w:rsid w:val="0019525B"/>
    <w:rsid w:val="00195260"/>
    <w:rsid w:val="001952EE"/>
    <w:rsid w:val="0019532B"/>
    <w:rsid w:val="00195333"/>
    <w:rsid w:val="00195356"/>
    <w:rsid w:val="0019543B"/>
    <w:rsid w:val="00195488"/>
    <w:rsid w:val="00195492"/>
    <w:rsid w:val="0019549A"/>
    <w:rsid w:val="001954E5"/>
    <w:rsid w:val="00195596"/>
    <w:rsid w:val="001955A7"/>
    <w:rsid w:val="001955AD"/>
    <w:rsid w:val="001955EF"/>
    <w:rsid w:val="00195658"/>
    <w:rsid w:val="00195665"/>
    <w:rsid w:val="0019566E"/>
    <w:rsid w:val="0019567C"/>
    <w:rsid w:val="001956E4"/>
    <w:rsid w:val="00195702"/>
    <w:rsid w:val="0019571A"/>
    <w:rsid w:val="0019577D"/>
    <w:rsid w:val="00195797"/>
    <w:rsid w:val="001957DD"/>
    <w:rsid w:val="00195826"/>
    <w:rsid w:val="00195841"/>
    <w:rsid w:val="00195960"/>
    <w:rsid w:val="00195996"/>
    <w:rsid w:val="00195A0A"/>
    <w:rsid w:val="00195A41"/>
    <w:rsid w:val="00195AC8"/>
    <w:rsid w:val="00195ADC"/>
    <w:rsid w:val="00195B99"/>
    <w:rsid w:val="00195BAF"/>
    <w:rsid w:val="00195C1F"/>
    <w:rsid w:val="00195C73"/>
    <w:rsid w:val="00195CF2"/>
    <w:rsid w:val="00195D43"/>
    <w:rsid w:val="00195D47"/>
    <w:rsid w:val="00195D92"/>
    <w:rsid w:val="00195DFE"/>
    <w:rsid w:val="00195ECD"/>
    <w:rsid w:val="00195EE6"/>
    <w:rsid w:val="00195EF2"/>
    <w:rsid w:val="00195F03"/>
    <w:rsid w:val="00195F0A"/>
    <w:rsid w:val="00195F28"/>
    <w:rsid w:val="00195F68"/>
    <w:rsid w:val="00195FAC"/>
    <w:rsid w:val="00195FAF"/>
    <w:rsid w:val="0019604E"/>
    <w:rsid w:val="00196068"/>
    <w:rsid w:val="00196098"/>
    <w:rsid w:val="001960B3"/>
    <w:rsid w:val="0019611C"/>
    <w:rsid w:val="00196174"/>
    <w:rsid w:val="0019623D"/>
    <w:rsid w:val="0019625D"/>
    <w:rsid w:val="001962D6"/>
    <w:rsid w:val="00196335"/>
    <w:rsid w:val="00196395"/>
    <w:rsid w:val="0019643C"/>
    <w:rsid w:val="00196479"/>
    <w:rsid w:val="001964E9"/>
    <w:rsid w:val="00196538"/>
    <w:rsid w:val="001965C4"/>
    <w:rsid w:val="00196645"/>
    <w:rsid w:val="00196686"/>
    <w:rsid w:val="00196721"/>
    <w:rsid w:val="00196740"/>
    <w:rsid w:val="00196788"/>
    <w:rsid w:val="001967CB"/>
    <w:rsid w:val="00196805"/>
    <w:rsid w:val="00196814"/>
    <w:rsid w:val="001968E2"/>
    <w:rsid w:val="00196A06"/>
    <w:rsid w:val="00196A9D"/>
    <w:rsid w:val="00196AAC"/>
    <w:rsid w:val="00196ABD"/>
    <w:rsid w:val="00196B35"/>
    <w:rsid w:val="00196B44"/>
    <w:rsid w:val="00196C53"/>
    <w:rsid w:val="00196C62"/>
    <w:rsid w:val="00196C6F"/>
    <w:rsid w:val="00196C78"/>
    <w:rsid w:val="00196CFE"/>
    <w:rsid w:val="00196D24"/>
    <w:rsid w:val="00196D45"/>
    <w:rsid w:val="00196D67"/>
    <w:rsid w:val="00196E5A"/>
    <w:rsid w:val="00196E5B"/>
    <w:rsid w:val="00196E6B"/>
    <w:rsid w:val="00196E97"/>
    <w:rsid w:val="00196EA6"/>
    <w:rsid w:val="00196EBB"/>
    <w:rsid w:val="00196EC5"/>
    <w:rsid w:val="00196EDD"/>
    <w:rsid w:val="00196F0B"/>
    <w:rsid w:val="00196F79"/>
    <w:rsid w:val="00196F9A"/>
    <w:rsid w:val="00196FFD"/>
    <w:rsid w:val="00197070"/>
    <w:rsid w:val="0019707F"/>
    <w:rsid w:val="001970BB"/>
    <w:rsid w:val="001970E6"/>
    <w:rsid w:val="0019711B"/>
    <w:rsid w:val="00197133"/>
    <w:rsid w:val="0019713C"/>
    <w:rsid w:val="0019720A"/>
    <w:rsid w:val="00197239"/>
    <w:rsid w:val="00197249"/>
    <w:rsid w:val="001972AA"/>
    <w:rsid w:val="001972AB"/>
    <w:rsid w:val="0019733F"/>
    <w:rsid w:val="00197348"/>
    <w:rsid w:val="00197356"/>
    <w:rsid w:val="0019738D"/>
    <w:rsid w:val="001973D9"/>
    <w:rsid w:val="00197486"/>
    <w:rsid w:val="0019748C"/>
    <w:rsid w:val="00197521"/>
    <w:rsid w:val="0019752B"/>
    <w:rsid w:val="0019753C"/>
    <w:rsid w:val="001975D0"/>
    <w:rsid w:val="001975D3"/>
    <w:rsid w:val="001975F3"/>
    <w:rsid w:val="00197660"/>
    <w:rsid w:val="00197790"/>
    <w:rsid w:val="001977AB"/>
    <w:rsid w:val="001977C0"/>
    <w:rsid w:val="001977E9"/>
    <w:rsid w:val="00197856"/>
    <w:rsid w:val="001978EB"/>
    <w:rsid w:val="00197913"/>
    <w:rsid w:val="00197948"/>
    <w:rsid w:val="0019797A"/>
    <w:rsid w:val="0019799B"/>
    <w:rsid w:val="00197A03"/>
    <w:rsid w:val="00197A0A"/>
    <w:rsid w:val="00197A0D"/>
    <w:rsid w:val="00197A24"/>
    <w:rsid w:val="00197A27"/>
    <w:rsid w:val="00197A8C"/>
    <w:rsid w:val="00197A92"/>
    <w:rsid w:val="00197AE6"/>
    <w:rsid w:val="00197B34"/>
    <w:rsid w:val="00197B3A"/>
    <w:rsid w:val="00197B53"/>
    <w:rsid w:val="00197B75"/>
    <w:rsid w:val="00197B93"/>
    <w:rsid w:val="00197BF5"/>
    <w:rsid w:val="00197C1D"/>
    <w:rsid w:val="00197C21"/>
    <w:rsid w:val="00197C3F"/>
    <w:rsid w:val="00197D23"/>
    <w:rsid w:val="00197D47"/>
    <w:rsid w:val="00197D61"/>
    <w:rsid w:val="00197D66"/>
    <w:rsid w:val="00197DB2"/>
    <w:rsid w:val="00197DF5"/>
    <w:rsid w:val="00197E3E"/>
    <w:rsid w:val="00197E43"/>
    <w:rsid w:val="00197E54"/>
    <w:rsid w:val="00197E5B"/>
    <w:rsid w:val="00197EAD"/>
    <w:rsid w:val="00197EC9"/>
    <w:rsid w:val="00197F1D"/>
    <w:rsid w:val="00197F33"/>
    <w:rsid w:val="00197F8E"/>
    <w:rsid w:val="00197FA9"/>
    <w:rsid w:val="00197FC6"/>
    <w:rsid w:val="00197FCC"/>
    <w:rsid w:val="001A00A2"/>
    <w:rsid w:val="001A00DA"/>
    <w:rsid w:val="001A00F1"/>
    <w:rsid w:val="001A0173"/>
    <w:rsid w:val="001A020D"/>
    <w:rsid w:val="001A0239"/>
    <w:rsid w:val="001A029E"/>
    <w:rsid w:val="001A0307"/>
    <w:rsid w:val="001A030E"/>
    <w:rsid w:val="001A0327"/>
    <w:rsid w:val="001A0350"/>
    <w:rsid w:val="001A039A"/>
    <w:rsid w:val="001A03AD"/>
    <w:rsid w:val="001A0479"/>
    <w:rsid w:val="001A0507"/>
    <w:rsid w:val="001A05CE"/>
    <w:rsid w:val="001A05F6"/>
    <w:rsid w:val="001A0626"/>
    <w:rsid w:val="001A066B"/>
    <w:rsid w:val="001A07AD"/>
    <w:rsid w:val="001A07D6"/>
    <w:rsid w:val="001A0811"/>
    <w:rsid w:val="001A085E"/>
    <w:rsid w:val="001A086B"/>
    <w:rsid w:val="001A088D"/>
    <w:rsid w:val="001A08A9"/>
    <w:rsid w:val="001A08B3"/>
    <w:rsid w:val="001A08F0"/>
    <w:rsid w:val="001A0A20"/>
    <w:rsid w:val="001A0A4D"/>
    <w:rsid w:val="001A0A94"/>
    <w:rsid w:val="001A0ACD"/>
    <w:rsid w:val="001A0B0A"/>
    <w:rsid w:val="001A0B15"/>
    <w:rsid w:val="001A0B84"/>
    <w:rsid w:val="001A0C37"/>
    <w:rsid w:val="001A0C47"/>
    <w:rsid w:val="001A0D13"/>
    <w:rsid w:val="001A0D59"/>
    <w:rsid w:val="001A0D72"/>
    <w:rsid w:val="001A0DBA"/>
    <w:rsid w:val="001A0DCE"/>
    <w:rsid w:val="001A0E0B"/>
    <w:rsid w:val="001A0E14"/>
    <w:rsid w:val="001A0E20"/>
    <w:rsid w:val="001A0E3E"/>
    <w:rsid w:val="001A0EAA"/>
    <w:rsid w:val="001A0F79"/>
    <w:rsid w:val="001A0F91"/>
    <w:rsid w:val="001A0FE3"/>
    <w:rsid w:val="001A0FF5"/>
    <w:rsid w:val="001A0FFA"/>
    <w:rsid w:val="001A1004"/>
    <w:rsid w:val="001A1075"/>
    <w:rsid w:val="001A10B3"/>
    <w:rsid w:val="001A110F"/>
    <w:rsid w:val="001A1133"/>
    <w:rsid w:val="001A1191"/>
    <w:rsid w:val="001A11A4"/>
    <w:rsid w:val="001A11CA"/>
    <w:rsid w:val="001A11F3"/>
    <w:rsid w:val="001A1228"/>
    <w:rsid w:val="001A1264"/>
    <w:rsid w:val="001A1272"/>
    <w:rsid w:val="001A127F"/>
    <w:rsid w:val="001A12B2"/>
    <w:rsid w:val="001A12B5"/>
    <w:rsid w:val="001A12DD"/>
    <w:rsid w:val="001A12FC"/>
    <w:rsid w:val="001A13C5"/>
    <w:rsid w:val="001A14A1"/>
    <w:rsid w:val="001A151B"/>
    <w:rsid w:val="001A15CE"/>
    <w:rsid w:val="001A1618"/>
    <w:rsid w:val="001A1620"/>
    <w:rsid w:val="001A1638"/>
    <w:rsid w:val="001A1692"/>
    <w:rsid w:val="001A16D2"/>
    <w:rsid w:val="001A16EE"/>
    <w:rsid w:val="001A16F1"/>
    <w:rsid w:val="001A16FF"/>
    <w:rsid w:val="001A1712"/>
    <w:rsid w:val="001A1734"/>
    <w:rsid w:val="001A176D"/>
    <w:rsid w:val="001A17C8"/>
    <w:rsid w:val="001A182A"/>
    <w:rsid w:val="001A182B"/>
    <w:rsid w:val="001A1832"/>
    <w:rsid w:val="001A18A2"/>
    <w:rsid w:val="001A1929"/>
    <w:rsid w:val="001A19A5"/>
    <w:rsid w:val="001A19CA"/>
    <w:rsid w:val="001A1A2E"/>
    <w:rsid w:val="001A1AB8"/>
    <w:rsid w:val="001A1ADA"/>
    <w:rsid w:val="001A1B08"/>
    <w:rsid w:val="001A1B09"/>
    <w:rsid w:val="001A1B4F"/>
    <w:rsid w:val="001A1B85"/>
    <w:rsid w:val="001A1B8A"/>
    <w:rsid w:val="001A1BA8"/>
    <w:rsid w:val="001A1C21"/>
    <w:rsid w:val="001A1C85"/>
    <w:rsid w:val="001A1D3A"/>
    <w:rsid w:val="001A1D8A"/>
    <w:rsid w:val="001A1EC2"/>
    <w:rsid w:val="001A1F32"/>
    <w:rsid w:val="001A1F56"/>
    <w:rsid w:val="001A1FE6"/>
    <w:rsid w:val="001A203D"/>
    <w:rsid w:val="001A2053"/>
    <w:rsid w:val="001A2099"/>
    <w:rsid w:val="001A20C3"/>
    <w:rsid w:val="001A20F3"/>
    <w:rsid w:val="001A21D5"/>
    <w:rsid w:val="001A21DA"/>
    <w:rsid w:val="001A223F"/>
    <w:rsid w:val="001A226F"/>
    <w:rsid w:val="001A2276"/>
    <w:rsid w:val="001A227F"/>
    <w:rsid w:val="001A22A7"/>
    <w:rsid w:val="001A22BB"/>
    <w:rsid w:val="001A22E7"/>
    <w:rsid w:val="001A2310"/>
    <w:rsid w:val="001A2314"/>
    <w:rsid w:val="001A234A"/>
    <w:rsid w:val="001A23B7"/>
    <w:rsid w:val="001A23BC"/>
    <w:rsid w:val="001A24B7"/>
    <w:rsid w:val="001A253E"/>
    <w:rsid w:val="001A2540"/>
    <w:rsid w:val="001A255E"/>
    <w:rsid w:val="001A2571"/>
    <w:rsid w:val="001A2597"/>
    <w:rsid w:val="001A25D3"/>
    <w:rsid w:val="001A25FF"/>
    <w:rsid w:val="001A2630"/>
    <w:rsid w:val="001A266F"/>
    <w:rsid w:val="001A2693"/>
    <w:rsid w:val="001A27AF"/>
    <w:rsid w:val="001A27D0"/>
    <w:rsid w:val="001A2850"/>
    <w:rsid w:val="001A2852"/>
    <w:rsid w:val="001A28AD"/>
    <w:rsid w:val="001A28D4"/>
    <w:rsid w:val="001A28D9"/>
    <w:rsid w:val="001A28E5"/>
    <w:rsid w:val="001A28EF"/>
    <w:rsid w:val="001A2951"/>
    <w:rsid w:val="001A29CD"/>
    <w:rsid w:val="001A29E0"/>
    <w:rsid w:val="001A29F7"/>
    <w:rsid w:val="001A2B00"/>
    <w:rsid w:val="001A2B02"/>
    <w:rsid w:val="001A2B10"/>
    <w:rsid w:val="001A2B36"/>
    <w:rsid w:val="001A2B49"/>
    <w:rsid w:val="001A2C3F"/>
    <w:rsid w:val="001A2C7E"/>
    <w:rsid w:val="001A2C99"/>
    <w:rsid w:val="001A2C9D"/>
    <w:rsid w:val="001A2D41"/>
    <w:rsid w:val="001A2D9E"/>
    <w:rsid w:val="001A2DBA"/>
    <w:rsid w:val="001A2DC5"/>
    <w:rsid w:val="001A2E4E"/>
    <w:rsid w:val="001A2EAD"/>
    <w:rsid w:val="001A2EBF"/>
    <w:rsid w:val="001A2EC5"/>
    <w:rsid w:val="001A2ED8"/>
    <w:rsid w:val="001A2F1D"/>
    <w:rsid w:val="001A2F39"/>
    <w:rsid w:val="001A2F48"/>
    <w:rsid w:val="001A2F7F"/>
    <w:rsid w:val="001A2FB8"/>
    <w:rsid w:val="001A2FF9"/>
    <w:rsid w:val="001A308C"/>
    <w:rsid w:val="001A30CA"/>
    <w:rsid w:val="001A30DF"/>
    <w:rsid w:val="001A30EB"/>
    <w:rsid w:val="001A31C0"/>
    <w:rsid w:val="001A31F2"/>
    <w:rsid w:val="001A3214"/>
    <w:rsid w:val="001A321F"/>
    <w:rsid w:val="001A329C"/>
    <w:rsid w:val="001A32FC"/>
    <w:rsid w:val="001A3304"/>
    <w:rsid w:val="001A3309"/>
    <w:rsid w:val="001A3379"/>
    <w:rsid w:val="001A3380"/>
    <w:rsid w:val="001A33A8"/>
    <w:rsid w:val="001A33AC"/>
    <w:rsid w:val="001A33DB"/>
    <w:rsid w:val="001A3404"/>
    <w:rsid w:val="001A3428"/>
    <w:rsid w:val="001A34AA"/>
    <w:rsid w:val="001A34BC"/>
    <w:rsid w:val="001A34C4"/>
    <w:rsid w:val="001A3532"/>
    <w:rsid w:val="001A357E"/>
    <w:rsid w:val="001A3591"/>
    <w:rsid w:val="001A35F1"/>
    <w:rsid w:val="001A3614"/>
    <w:rsid w:val="001A3686"/>
    <w:rsid w:val="001A36DD"/>
    <w:rsid w:val="001A36E0"/>
    <w:rsid w:val="001A371E"/>
    <w:rsid w:val="001A3754"/>
    <w:rsid w:val="001A37AC"/>
    <w:rsid w:val="001A37E1"/>
    <w:rsid w:val="001A37F1"/>
    <w:rsid w:val="001A3842"/>
    <w:rsid w:val="001A3843"/>
    <w:rsid w:val="001A3878"/>
    <w:rsid w:val="001A3881"/>
    <w:rsid w:val="001A388F"/>
    <w:rsid w:val="001A3986"/>
    <w:rsid w:val="001A398E"/>
    <w:rsid w:val="001A3A80"/>
    <w:rsid w:val="001A3A86"/>
    <w:rsid w:val="001A3AA1"/>
    <w:rsid w:val="001A3AB6"/>
    <w:rsid w:val="001A3B24"/>
    <w:rsid w:val="001A3B37"/>
    <w:rsid w:val="001A3BA9"/>
    <w:rsid w:val="001A3BE0"/>
    <w:rsid w:val="001A3BE7"/>
    <w:rsid w:val="001A3BFF"/>
    <w:rsid w:val="001A3C1B"/>
    <w:rsid w:val="001A3C74"/>
    <w:rsid w:val="001A3D1C"/>
    <w:rsid w:val="001A3D6B"/>
    <w:rsid w:val="001A3DDF"/>
    <w:rsid w:val="001A3DEF"/>
    <w:rsid w:val="001A3E43"/>
    <w:rsid w:val="001A3E4A"/>
    <w:rsid w:val="001A3F49"/>
    <w:rsid w:val="001A3F65"/>
    <w:rsid w:val="001A3FA4"/>
    <w:rsid w:val="001A3FB5"/>
    <w:rsid w:val="001A4035"/>
    <w:rsid w:val="001A4106"/>
    <w:rsid w:val="001A410A"/>
    <w:rsid w:val="001A412A"/>
    <w:rsid w:val="001A416C"/>
    <w:rsid w:val="001A4170"/>
    <w:rsid w:val="001A417D"/>
    <w:rsid w:val="001A4184"/>
    <w:rsid w:val="001A41E7"/>
    <w:rsid w:val="001A4236"/>
    <w:rsid w:val="001A4270"/>
    <w:rsid w:val="001A4281"/>
    <w:rsid w:val="001A42A6"/>
    <w:rsid w:val="001A42A8"/>
    <w:rsid w:val="001A42BF"/>
    <w:rsid w:val="001A42D1"/>
    <w:rsid w:val="001A42D6"/>
    <w:rsid w:val="001A42E8"/>
    <w:rsid w:val="001A42F6"/>
    <w:rsid w:val="001A434F"/>
    <w:rsid w:val="001A4355"/>
    <w:rsid w:val="001A437E"/>
    <w:rsid w:val="001A4383"/>
    <w:rsid w:val="001A439E"/>
    <w:rsid w:val="001A43A4"/>
    <w:rsid w:val="001A43D6"/>
    <w:rsid w:val="001A446C"/>
    <w:rsid w:val="001A448D"/>
    <w:rsid w:val="001A4554"/>
    <w:rsid w:val="001A4594"/>
    <w:rsid w:val="001A4597"/>
    <w:rsid w:val="001A45F4"/>
    <w:rsid w:val="001A45F8"/>
    <w:rsid w:val="001A4600"/>
    <w:rsid w:val="001A4602"/>
    <w:rsid w:val="001A464C"/>
    <w:rsid w:val="001A46F4"/>
    <w:rsid w:val="001A4749"/>
    <w:rsid w:val="001A47F8"/>
    <w:rsid w:val="001A4801"/>
    <w:rsid w:val="001A485A"/>
    <w:rsid w:val="001A48FC"/>
    <w:rsid w:val="001A493A"/>
    <w:rsid w:val="001A4946"/>
    <w:rsid w:val="001A4971"/>
    <w:rsid w:val="001A499B"/>
    <w:rsid w:val="001A4A5D"/>
    <w:rsid w:val="001A4A61"/>
    <w:rsid w:val="001A4A67"/>
    <w:rsid w:val="001A4A8F"/>
    <w:rsid w:val="001A4AC7"/>
    <w:rsid w:val="001A4AF1"/>
    <w:rsid w:val="001A4AFB"/>
    <w:rsid w:val="001A4B28"/>
    <w:rsid w:val="001A4B5C"/>
    <w:rsid w:val="001A4BAC"/>
    <w:rsid w:val="001A4BB7"/>
    <w:rsid w:val="001A4BEA"/>
    <w:rsid w:val="001A4C05"/>
    <w:rsid w:val="001A4C12"/>
    <w:rsid w:val="001A4CC1"/>
    <w:rsid w:val="001A4CF6"/>
    <w:rsid w:val="001A4D40"/>
    <w:rsid w:val="001A4D55"/>
    <w:rsid w:val="001A4DA1"/>
    <w:rsid w:val="001A4E2A"/>
    <w:rsid w:val="001A4E4D"/>
    <w:rsid w:val="001A4E73"/>
    <w:rsid w:val="001A4E88"/>
    <w:rsid w:val="001A4F13"/>
    <w:rsid w:val="001A4F1D"/>
    <w:rsid w:val="001A4F4F"/>
    <w:rsid w:val="001A4F8C"/>
    <w:rsid w:val="001A4FAB"/>
    <w:rsid w:val="001A4FBD"/>
    <w:rsid w:val="001A4FD4"/>
    <w:rsid w:val="001A5030"/>
    <w:rsid w:val="001A5045"/>
    <w:rsid w:val="001A50AA"/>
    <w:rsid w:val="001A50E5"/>
    <w:rsid w:val="001A5131"/>
    <w:rsid w:val="001A516A"/>
    <w:rsid w:val="001A51C8"/>
    <w:rsid w:val="001A51E1"/>
    <w:rsid w:val="001A5212"/>
    <w:rsid w:val="001A529D"/>
    <w:rsid w:val="001A534A"/>
    <w:rsid w:val="001A534B"/>
    <w:rsid w:val="001A5388"/>
    <w:rsid w:val="001A539D"/>
    <w:rsid w:val="001A53D4"/>
    <w:rsid w:val="001A53EF"/>
    <w:rsid w:val="001A5430"/>
    <w:rsid w:val="001A5480"/>
    <w:rsid w:val="001A5522"/>
    <w:rsid w:val="001A552D"/>
    <w:rsid w:val="001A559A"/>
    <w:rsid w:val="001A559D"/>
    <w:rsid w:val="001A55D2"/>
    <w:rsid w:val="001A5614"/>
    <w:rsid w:val="001A5618"/>
    <w:rsid w:val="001A5625"/>
    <w:rsid w:val="001A5660"/>
    <w:rsid w:val="001A5694"/>
    <w:rsid w:val="001A5734"/>
    <w:rsid w:val="001A5785"/>
    <w:rsid w:val="001A579C"/>
    <w:rsid w:val="001A57CF"/>
    <w:rsid w:val="001A5878"/>
    <w:rsid w:val="001A588A"/>
    <w:rsid w:val="001A58C7"/>
    <w:rsid w:val="001A5933"/>
    <w:rsid w:val="001A5941"/>
    <w:rsid w:val="001A596B"/>
    <w:rsid w:val="001A59FF"/>
    <w:rsid w:val="001A5A30"/>
    <w:rsid w:val="001A5A3A"/>
    <w:rsid w:val="001A5AAB"/>
    <w:rsid w:val="001A5AB0"/>
    <w:rsid w:val="001A5ABD"/>
    <w:rsid w:val="001A5B15"/>
    <w:rsid w:val="001A5B25"/>
    <w:rsid w:val="001A5C09"/>
    <w:rsid w:val="001A5C17"/>
    <w:rsid w:val="001A5CA5"/>
    <w:rsid w:val="001A5CBC"/>
    <w:rsid w:val="001A5D07"/>
    <w:rsid w:val="001A5D20"/>
    <w:rsid w:val="001A5DC6"/>
    <w:rsid w:val="001A5DFA"/>
    <w:rsid w:val="001A5E1F"/>
    <w:rsid w:val="001A5EBC"/>
    <w:rsid w:val="001A5F27"/>
    <w:rsid w:val="001A5F2D"/>
    <w:rsid w:val="001A5F3B"/>
    <w:rsid w:val="001A5F65"/>
    <w:rsid w:val="001A5F92"/>
    <w:rsid w:val="001A601D"/>
    <w:rsid w:val="001A603B"/>
    <w:rsid w:val="001A603F"/>
    <w:rsid w:val="001A60DA"/>
    <w:rsid w:val="001A6169"/>
    <w:rsid w:val="001A61E2"/>
    <w:rsid w:val="001A6235"/>
    <w:rsid w:val="001A62B4"/>
    <w:rsid w:val="001A62C3"/>
    <w:rsid w:val="001A632F"/>
    <w:rsid w:val="001A6372"/>
    <w:rsid w:val="001A6380"/>
    <w:rsid w:val="001A6396"/>
    <w:rsid w:val="001A63EB"/>
    <w:rsid w:val="001A641B"/>
    <w:rsid w:val="001A6472"/>
    <w:rsid w:val="001A649B"/>
    <w:rsid w:val="001A6511"/>
    <w:rsid w:val="001A6516"/>
    <w:rsid w:val="001A657A"/>
    <w:rsid w:val="001A6586"/>
    <w:rsid w:val="001A6667"/>
    <w:rsid w:val="001A666C"/>
    <w:rsid w:val="001A66AB"/>
    <w:rsid w:val="001A6726"/>
    <w:rsid w:val="001A6752"/>
    <w:rsid w:val="001A6770"/>
    <w:rsid w:val="001A67DE"/>
    <w:rsid w:val="001A6820"/>
    <w:rsid w:val="001A6856"/>
    <w:rsid w:val="001A685B"/>
    <w:rsid w:val="001A6881"/>
    <w:rsid w:val="001A68BD"/>
    <w:rsid w:val="001A68D8"/>
    <w:rsid w:val="001A68EC"/>
    <w:rsid w:val="001A68F1"/>
    <w:rsid w:val="001A6915"/>
    <w:rsid w:val="001A697F"/>
    <w:rsid w:val="001A69BC"/>
    <w:rsid w:val="001A6A06"/>
    <w:rsid w:val="001A6A2A"/>
    <w:rsid w:val="001A6A96"/>
    <w:rsid w:val="001A6AD3"/>
    <w:rsid w:val="001A6ADE"/>
    <w:rsid w:val="001A6AF8"/>
    <w:rsid w:val="001A6BE5"/>
    <w:rsid w:val="001A6BF6"/>
    <w:rsid w:val="001A6C4D"/>
    <w:rsid w:val="001A6CA8"/>
    <w:rsid w:val="001A6CC8"/>
    <w:rsid w:val="001A6D9B"/>
    <w:rsid w:val="001A6E90"/>
    <w:rsid w:val="001A6E92"/>
    <w:rsid w:val="001A6EB2"/>
    <w:rsid w:val="001A6EBF"/>
    <w:rsid w:val="001A6EE1"/>
    <w:rsid w:val="001A6F0D"/>
    <w:rsid w:val="001A6F99"/>
    <w:rsid w:val="001A6FAF"/>
    <w:rsid w:val="001A702D"/>
    <w:rsid w:val="001A704C"/>
    <w:rsid w:val="001A718A"/>
    <w:rsid w:val="001A71B4"/>
    <w:rsid w:val="001A7203"/>
    <w:rsid w:val="001A7223"/>
    <w:rsid w:val="001A72F6"/>
    <w:rsid w:val="001A738D"/>
    <w:rsid w:val="001A73AA"/>
    <w:rsid w:val="001A73E9"/>
    <w:rsid w:val="001A7434"/>
    <w:rsid w:val="001A747D"/>
    <w:rsid w:val="001A74CA"/>
    <w:rsid w:val="001A750F"/>
    <w:rsid w:val="001A7534"/>
    <w:rsid w:val="001A754D"/>
    <w:rsid w:val="001A754E"/>
    <w:rsid w:val="001A75FC"/>
    <w:rsid w:val="001A7606"/>
    <w:rsid w:val="001A7618"/>
    <w:rsid w:val="001A768C"/>
    <w:rsid w:val="001A7719"/>
    <w:rsid w:val="001A77C1"/>
    <w:rsid w:val="001A77E1"/>
    <w:rsid w:val="001A7834"/>
    <w:rsid w:val="001A786E"/>
    <w:rsid w:val="001A788D"/>
    <w:rsid w:val="001A78CD"/>
    <w:rsid w:val="001A78EC"/>
    <w:rsid w:val="001A78FF"/>
    <w:rsid w:val="001A7909"/>
    <w:rsid w:val="001A7960"/>
    <w:rsid w:val="001A7992"/>
    <w:rsid w:val="001A799F"/>
    <w:rsid w:val="001A79C4"/>
    <w:rsid w:val="001A7A45"/>
    <w:rsid w:val="001A7A86"/>
    <w:rsid w:val="001A7A8A"/>
    <w:rsid w:val="001A7AB5"/>
    <w:rsid w:val="001A7AF0"/>
    <w:rsid w:val="001A7B4E"/>
    <w:rsid w:val="001A7B59"/>
    <w:rsid w:val="001A7BA4"/>
    <w:rsid w:val="001A7CC6"/>
    <w:rsid w:val="001A7D53"/>
    <w:rsid w:val="001A7D8A"/>
    <w:rsid w:val="001A7DA7"/>
    <w:rsid w:val="001A7E0C"/>
    <w:rsid w:val="001A7E1D"/>
    <w:rsid w:val="001A7E26"/>
    <w:rsid w:val="001A7E41"/>
    <w:rsid w:val="001A7E5F"/>
    <w:rsid w:val="001A7EBC"/>
    <w:rsid w:val="001A7F06"/>
    <w:rsid w:val="001A7F21"/>
    <w:rsid w:val="001A7F8A"/>
    <w:rsid w:val="001A7F8D"/>
    <w:rsid w:val="001A7F98"/>
    <w:rsid w:val="001A7FB0"/>
    <w:rsid w:val="001A7FB1"/>
    <w:rsid w:val="001A7FE1"/>
    <w:rsid w:val="001A7FE3"/>
    <w:rsid w:val="001B000F"/>
    <w:rsid w:val="001B001A"/>
    <w:rsid w:val="001B008C"/>
    <w:rsid w:val="001B00D9"/>
    <w:rsid w:val="001B00F1"/>
    <w:rsid w:val="001B010E"/>
    <w:rsid w:val="001B0111"/>
    <w:rsid w:val="001B0124"/>
    <w:rsid w:val="001B012C"/>
    <w:rsid w:val="001B013E"/>
    <w:rsid w:val="001B0161"/>
    <w:rsid w:val="001B01C4"/>
    <w:rsid w:val="001B01FC"/>
    <w:rsid w:val="001B023C"/>
    <w:rsid w:val="001B02B2"/>
    <w:rsid w:val="001B02CD"/>
    <w:rsid w:val="001B02E8"/>
    <w:rsid w:val="001B02FB"/>
    <w:rsid w:val="001B0307"/>
    <w:rsid w:val="001B0350"/>
    <w:rsid w:val="001B0389"/>
    <w:rsid w:val="001B0395"/>
    <w:rsid w:val="001B03E4"/>
    <w:rsid w:val="001B0411"/>
    <w:rsid w:val="001B0416"/>
    <w:rsid w:val="001B043D"/>
    <w:rsid w:val="001B0456"/>
    <w:rsid w:val="001B0464"/>
    <w:rsid w:val="001B0478"/>
    <w:rsid w:val="001B04A0"/>
    <w:rsid w:val="001B04B3"/>
    <w:rsid w:val="001B050F"/>
    <w:rsid w:val="001B054B"/>
    <w:rsid w:val="001B0550"/>
    <w:rsid w:val="001B0599"/>
    <w:rsid w:val="001B05AD"/>
    <w:rsid w:val="001B05C8"/>
    <w:rsid w:val="001B05EA"/>
    <w:rsid w:val="001B05FB"/>
    <w:rsid w:val="001B0661"/>
    <w:rsid w:val="001B0680"/>
    <w:rsid w:val="001B0686"/>
    <w:rsid w:val="001B06CF"/>
    <w:rsid w:val="001B06D5"/>
    <w:rsid w:val="001B0707"/>
    <w:rsid w:val="001B0717"/>
    <w:rsid w:val="001B0743"/>
    <w:rsid w:val="001B0775"/>
    <w:rsid w:val="001B0798"/>
    <w:rsid w:val="001B0844"/>
    <w:rsid w:val="001B0877"/>
    <w:rsid w:val="001B088F"/>
    <w:rsid w:val="001B08C7"/>
    <w:rsid w:val="001B08DC"/>
    <w:rsid w:val="001B08FB"/>
    <w:rsid w:val="001B090F"/>
    <w:rsid w:val="001B0AF6"/>
    <w:rsid w:val="001B0B07"/>
    <w:rsid w:val="001B0B95"/>
    <w:rsid w:val="001B0BAA"/>
    <w:rsid w:val="001B0BD7"/>
    <w:rsid w:val="001B0BE8"/>
    <w:rsid w:val="001B0BEB"/>
    <w:rsid w:val="001B0C1A"/>
    <w:rsid w:val="001B0C35"/>
    <w:rsid w:val="001B0CAE"/>
    <w:rsid w:val="001B0CDE"/>
    <w:rsid w:val="001B0CE6"/>
    <w:rsid w:val="001B0D26"/>
    <w:rsid w:val="001B0D38"/>
    <w:rsid w:val="001B0D60"/>
    <w:rsid w:val="001B0DCE"/>
    <w:rsid w:val="001B0DE3"/>
    <w:rsid w:val="001B0DFE"/>
    <w:rsid w:val="001B0E2C"/>
    <w:rsid w:val="001B0E30"/>
    <w:rsid w:val="001B0E4F"/>
    <w:rsid w:val="001B0E97"/>
    <w:rsid w:val="001B0ED4"/>
    <w:rsid w:val="001B0EDB"/>
    <w:rsid w:val="001B0F26"/>
    <w:rsid w:val="001B0F73"/>
    <w:rsid w:val="001B1012"/>
    <w:rsid w:val="001B10A3"/>
    <w:rsid w:val="001B10BE"/>
    <w:rsid w:val="001B10C5"/>
    <w:rsid w:val="001B10E0"/>
    <w:rsid w:val="001B10FB"/>
    <w:rsid w:val="001B113C"/>
    <w:rsid w:val="001B115A"/>
    <w:rsid w:val="001B1178"/>
    <w:rsid w:val="001B11BF"/>
    <w:rsid w:val="001B1232"/>
    <w:rsid w:val="001B12D0"/>
    <w:rsid w:val="001B130A"/>
    <w:rsid w:val="001B1370"/>
    <w:rsid w:val="001B139C"/>
    <w:rsid w:val="001B1415"/>
    <w:rsid w:val="001B1433"/>
    <w:rsid w:val="001B145D"/>
    <w:rsid w:val="001B1503"/>
    <w:rsid w:val="001B152A"/>
    <w:rsid w:val="001B16D8"/>
    <w:rsid w:val="001B170E"/>
    <w:rsid w:val="001B1741"/>
    <w:rsid w:val="001B1792"/>
    <w:rsid w:val="001B17B1"/>
    <w:rsid w:val="001B1824"/>
    <w:rsid w:val="001B1882"/>
    <w:rsid w:val="001B1895"/>
    <w:rsid w:val="001B18E6"/>
    <w:rsid w:val="001B1960"/>
    <w:rsid w:val="001B19A8"/>
    <w:rsid w:val="001B19F6"/>
    <w:rsid w:val="001B1A0E"/>
    <w:rsid w:val="001B1A18"/>
    <w:rsid w:val="001B1A41"/>
    <w:rsid w:val="001B1A6F"/>
    <w:rsid w:val="001B1AC6"/>
    <w:rsid w:val="001B1AF4"/>
    <w:rsid w:val="001B1B03"/>
    <w:rsid w:val="001B1B52"/>
    <w:rsid w:val="001B1B54"/>
    <w:rsid w:val="001B1B8E"/>
    <w:rsid w:val="001B1BBD"/>
    <w:rsid w:val="001B1BD5"/>
    <w:rsid w:val="001B1BEC"/>
    <w:rsid w:val="001B1C7E"/>
    <w:rsid w:val="001B1C9D"/>
    <w:rsid w:val="001B1CB7"/>
    <w:rsid w:val="001B1CC2"/>
    <w:rsid w:val="001B1CE2"/>
    <w:rsid w:val="001B1CF4"/>
    <w:rsid w:val="001B1D13"/>
    <w:rsid w:val="001B1D22"/>
    <w:rsid w:val="001B1D23"/>
    <w:rsid w:val="001B1D2E"/>
    <w:rsid w:val="001B1D72"/>
    <w:rsid w:val="001B1D78"/>
    <w:rsid w:val="001B1D82"/>
    <w:rsid w:val="001B1E24"/>
    <w:rsid w:val="001B1E3F"/>
    <w:rsid w:val="001B1E69"/>
    <w:rsid w:val="001B1E88"/>
    <w:rsid w:val="001B1F11"/>
    <w:rsid w:val="001B1F13"/>
    <w:rsid w:val="001B2020"/>
    <w:rsid w:val="001B2059"/>
    <w:rsid w:val="001B20CF"/>
    <w:rsid w:val="001B20F1"/>
    <w:rsid w:val="001B213E"/>
    <w:rsid w:val="001B215C"/>
    <w:rsid w:val="001B2173"/>
    <w:rsid w:val="001B21A0"/>
    <w:rsid w:val="001B21BF"/>
    <w:rsid w:val="001B21D3"/>
    <w:rsid w:val="001B21E7"/>
    <w:rsid w:val="001B221E"/>
    <w:rsid w:val="001B226A"/>
    <w:rsid w:val="001B2276"/>
    <w:rsid w:val="001B2284"/>
    <w:rsid w:val="001B2295"/>
    <w:rsid w:val="001B22E1"/>
    <w:rsid w:val="001B2314"/>
    <w:rsid w:val="001B2368"/>
    <w:rsid w:val="001B236F"/>
    <w:rsid w:val="001B23BB"/>
    <w:rsid w:val="001B23D9"/>
    <w:rsid w:val="001B23E2"/>
    <w:rsid w:val="001B23E4"/>
    <w:rsid w:val="001B2415"/>
    <w:rsid w:val="001B24A9"/>
    <w:rsid w:val="001B24E8"/>
    <w:rsid w:val="001B2519"/>
    <w:rsid w:val="001B2542"/>
    <w:rsid w:val="001B255E"/>
    <w:rsid w:val="001B2590"/>
    <w:rsid w:val="001B259A"/>
    <w:rsid w:val="001B25B5"/>
    <w:rsid w:val="001B25E2"/>
    <w:rsid w:val="001B25E8"/>
    <w:rsid w:val="001B2684"/>
    <w:rsid w:val="001B26DA"/>
    <w:rsid w:val="001B26E1"/>
    <w:rsid w:val="001B279D"/>
    <w:rsid w:val="001B27C3"/>
    <w:rsid w:val="001B27DE"/>
    <w:rsid w:val="001B28E2"/>
    <w:rsid w:val="001B28E8"/>
    <w:rsid w:val="001B2958"/>
    <w:rsid w:val="001B2A01"/>
    <w:rsid w:val="001B2A05"/>
    <w:rsid w:val="001B2AF9"/>
    <w:rsid w:val="001B2BCC"/>
    <w:rsid w:val="001B2C1B"/>
    <w:rsid w:val="001B2C50"/>
    <w:rsid w:val="001B2C5B"/>
    <w:rsid w:val="001B2CAB"/>
    <w:rsid w:val="001B2CDB"/>
    <w:rsid w:val="001B2DB8"/>
    <w:rsid w:val="001B2EE1"/>
    <w:rsid w:val="001B2F19"/>
    <w:rsid w:val="001B2F5A"/>
    <w:rsid w:val="001B2F5C"/>
    <w:rsid w:val="001B2FB9"/>
    <w:rsid w:val="001B2FBF"/>
    <w:rsid w:val="001B2FC2"/>
    <w:rsid w:val="001B3041"/>
    <w:rsid w:val="001B3044"/>
    <w:rsid w:val="001B308E"/>
    <w:rsid w:val="001B30A5"/>
    <w:rsid w:val="001B30C0"/>
    <w:rsid w:val="001B30FD"/>
    <w:rsid w:val="001B316C"/>
    <w:rsid w:val="001B3189"/>
    <w:rsid w:val="001B31AD"/>
    <w:rsid w:val="001B321B"/>
    <w:rsid w:val="001B32DD"/>
    <w:rsid w:val="001B33D5"/>
    <w:rsid w:val="001B33DA"/>
    <w:rsid w:val="001B3415"/>
    <w:rsid w:val="001B346C"/>
    <w:rsid w:val="001B3478"/>
    <w:rsid w:val="001B34D8"/>
    <w:rsid w:val="001B3536"/>
    <w:rsid w:val="001B3544"/>
    <w:rsid w:val="001B354F"/>
    <w:rsid w:val="001B35B3"/>
    <w:rsid w:val="001B35C7"/>
    <w:rsid w:val="001B3607"/>
    <w:rsid w:val="001B363E"/>
    <w:rsid w:val="001B365A"/>
    <w:rsid w:val="001B3670"/>
    <w:rsid w:val="001B367E"/>
    <w:rsid w:val="001B36A3"/>
    <w:rsid w:val="001B36E3"/>
    <w:rsid w:val="001B36E4"/>
    <w:rsid w:val="001B36E6"/>
    <w:rsid w:val="001B3742"/>
    <w:rsid w:val="001B37DC"/>
    <w:rsid w:val="001B37E0"/>
    <w:rsid w:val="001B3822"/>
    <w:rsid w:val="001B3850"/>
    <w:rsid w:val="001B3881"/>
    <w:rsid w:val="001B3893"/>
    <w:rsid w:val="001B38BA"/>
    <w:rsid w:val="001B390B"/>
    <w:rsid w:val="001B395C"/>
    <w:rsid w:val="001B39DC"/>
    <w:rsid w:val="001B3A43"/>
    <w:rsid w:val="001B3A9E"/>
    <w:rsid w:val="001B3AE2"/>
    <w:rsid w:val="001B3AF3"/>
    <w:rsid w:val="001B3B86"/>
    <w:rsid w:val="001B3BCC"/>
    <w:rsid w:val="001B3BEA"/>
    <w:rsid w:val="001B3C19"/>
    <w:rsid w:val="001B3C40"/>
    <w:rsid w:val="001B3CDF"/>
    <w:rsid w:val="001B3D12"/>
    <w:rsid w:val="001B3D3B"/>
    <w:rsid w:val="001B3D5B"/>
    <w:rsid w:val="001B3D71"/>
    <w:rsid w:val="001B3DE1"/>
    <w:rsid w:val="001B3E43"/>
    <w:rsid w:val="001B3E50"/>
    <w:rsid w:val="001B3E6B"/>
    <w:rsid w:val="001B3E8C"/>
    <w:rsid w:val="001B3EA5"/>
    <w:rsid w:val="001B3ECB"/>
    <w:rsid w:val="001B3EF7"/>
    <w:rsid w:val="001B3F09"/>
    <w:rsid w:val="001B3F57"/>
    <w:rsid w:val="001B3F62"/>
    <w:rsid w:val="001B3F85"/>
    <w:rsid w:val="001B3FA7"/>
    <w:rsid w:val="001B3FAF"/>
    <w:rsid w:val="001B3FEC"/>
    <w:rsid w:val="001B3FF3"/>
    <w:rsid w:val="001B3FFA"/>
    <w:rsid w:val="001B4012"/>
    <w:rsid w:val="001B4063"/>
    <w:rsid w:val="001B40A4"/>
    <w:rsid w:val="001B40E2"/>
    <w:rsid w:val="001B414B"/>
    <w:rsid w:val="001B4176"/>
    <w:rsid w:val="001B42C7"/>
    <w:rsid w:val="001B42CF"/>
    <w:rsid w:val="001B42ED"/>
    <w:rsid w:val="001B4308"/>
    <w:rsid w:val="001B431D"/>
    <w:rsid w:val="001B4361"/>
    <w:rsid w:val="001B4394"/>
    <w:rsid w:val="001B43E0"/>
    <w:rsid w:val="001B43E7"/>
    <w:rsid w:val="001B43EC"/>
    <w:rsid w:val="001B4403"/>
    <w:rsid w:val="001B4407"/>
    <w:rsid w:val="001B4476"/>
    <w:rsid w:val="001B44C3"/>
    <w:rsid w:val="001B44DA"/>
    <w:rsid w:val="001B44E1"/>
    <w:rsid w:val="001B450E"/>
    <w:rsid w:val="001B4520"/>
    <w:rsid w:val="001B452A"/>
    <w:rsid w:val="001B454C"/>
    <w:rsid w:val="001B45AE"/>
    <w:rsid w:val="001B45DF"/>
    <w:rsid w:val="001B460A"/>
    <w:rsid w:val="001B4651"/>
    <w:rsid w:val="001B4681"/>
    <w:rsid w:val="001B46D3"/>
    <w:rsid w:val="001B46D4"/>
    <w:rsid w:val="001B46E1"/>
    <w:rsid w:val="001B4725"/>
    <w:rsid w:val="001B4814"/>
    <w:rsid w:val="001B482C"/>
    <w:rsid w:val="001B48B6"/>
    <w:rsid w:val="001B48E6"/>
    <w:rsid w:val="001B4950"/>
    <w:rsid w:val="001B4961"/>
    <w:rsid w:val="001B4974"/>
    <w:rsid w:val="001B498A"/>
    <w:rsid w:val="001B49C0"/>
    <w:rsid w:val="001B49C6"/>
    <w:rsid w:val="001B49FF"/>
    <w:rsid w:val="001B4ACE"/>
    <w:rsid w:val="001B4AE2"/>
    <w:rsid w:val="001B4B2B"/>
    <w:rsid w:val="001B4B39"/>
    <w:rsid w:val="001B4B3A"/>
    <w:rsid w:val="001B4B4B"/>
    <w:rsid w:val="001B4B51"/>
    <w:rsid w:val="001B4B6B"/>
    <w:rsid w:val="001B4B9D"/>
    <w:rsid w:val="001B4BC3"/>
    <w:rsid w:val="001B4BCD"/>
    <w:rsid w:val="001B4C6D"/>
    <w:rsid w:val="001B4C79"/>
    <w:rsid w:val="001B4C92"/>
    <w:rsid w:val="001B4C9C"/>
    <w:rsid w:val="001B4C9E"/>
    <w:rsid w:val="001B4CA8"/>
    <w:rsid w:val="001B4D09"/>
    <w:rsid w:val="001B4D5F"/>
    <w:rsid w:val="001B4DBE"/>
    <w:rsid w:val="001B4DD5"/>
    <w:rsid w:val="001B4DEA"/>
    <w:rsid w:val="001B4E01"/>
    <w:rsid w:val="001B4EC8"/>
    <w:rsid w:val="001B4F58"/>
    <w:rsid w:val="001B4FD7"/>
    <w:rsid w:val="001B4FE0"/>
    <w:rsid w:val="001B5042"/>
    <w:rsid w:val="001B509F"/>
    <w:rsid w:val="001B50F7"/>
    <w:rsid w:val="001B512C"/>
    <w:rsid w:val="001B5138"/>
    <w:rsid w:val="001B5156"/>
    <w:rsid w:val="001B5175"/>
    <w:rsid w:val="001B519C"/>
    <w:rsid w:val="001B51A0"/>
    <w:rsid w:val="001B51DE"/>
    <w:rsid w:val="001B5269"/>
    <w:rsid w:val="001B5279"/>
    <w:rsid w:val="001B5300"/>
    <w:rsid w:val="001B530A"/>
    <w:rsid w:val="001B53C3"/>
    <w:rsid w:val="001B53ED"/>
    <w:rsid w:val="001B540E"/>
    <w:rsid w:val="001B5423"/>
    <w:rsid w:val="001B5446"/>
    <w:rsid w:val="001B5488"/>
    <w:rsid w:val="001B54C0"/>
    <w:rsid w:val="001B559B"/>
    <w:rsid w:val="001B55D2"/>
    <w:rsid w:val="001B5624"/>
    <w:rsid w:val="001B5626"/>
    <w:rsid w:val="001B5654"/>
    <w:rsid w:val="001B566D"/>
    <w:rsid w:val="001B56F8"/>
    <w:rsid w:val="001B5722"/>
    <w:rsid w:val="001B572B"/>
    <w:rsid w:val="001B57BE"/>
    <w:rsid w:val="001B5805"/>
    <w:rsid w:val="001B585D"/>
    <w:rsid w:val="001B5889"/>
    <w:rsid w:val="001B5895"/>
    <w:rsid w:val="001B58AD"/>
    <w:rsid w:val="001B58B9"/>
    <w:rsid w:val="001B5904"/>
    <w:rsid w:val="001B595B"/>
    <w:rsid w:val="001B596D"/>
    <w:rsid w:val="001B59BA"/>
    <w:rsid w:val="001B59D0"/>
    <w:rsid w:val="001B5A2D"/>
    <w:rsid w:val="001B5AEF"/>
    <w:rsid w:val="001B5B42"/>
    <w:rsid w:val="001B5BD1"/>
    <w:rsid w:val="001B5BD6"/>
    <w:rsid w:val="001B5C70"/>
    <w:rsid w:val="001B5C76"/>
    <w:rsid w:val="001B5CD7"/>
    <w:rsid w:val="001B5CF9"/>
    <w:rsid w:val="001B5D3E"/>
    <w:rsid w:val="001B5D54"/>
    <w:rsid w:val="001B5D5B"/>
    <w:rsid w:val="001B5D7C"/>
    <w:rsid w:val="001B5E03"/>
    <w:rsid w:val="001B5E1F"/>
    <w:rsid w:val="001B5E91"/>
    <w:rsid w:val="001B5EA7"/>
    <w:rsid w:val="001B5ECD"/>
    <w:rsid w:val="001B5F19"/>
    <w:rsid w:val="001B5F23"/>
    <w:rsid w:val="001B5FC3"/>
    <w:rsid w:val="001B5FCD"/>
    <w:rsid w:val="001B6087"/>
    <w:rsid w:val="001B60A6"/>
    <w:rsid w:val="001B60A7"/>
    <w:rsid w:val="001B60B9"/>
    <w:rsid w:val="001B60C7"/>
    <w:rsid w:val="001B60D6"/>
    <w:rsid w:val="001B612F"/>
    <w:rsid w:val="001B613C"/>
    <w:rsid w:val="001B61A2"/>
    <w:rsid w:val="001B6234"/>
    <w:rsid w:val="001B638B"/>
    <w:rsid w:val="001B63A9"/>
    <w:rsid w:val="001B63C8"/>
    <w:rsid w:val="001B640C"/>
    <w:rsid w:val="001B642B"/>
    <w:rsid w:val="001B6444"/>
    <w:rsid w:val="001B64B1"/>
    <w:rsid w:val="001B64B2"/>
    <w:rsid w:val="001B64BB"/>
    <w:rsid w:val="001B6548"/>
    <w:rsid w:val="001B654B"/>
    <w:rsid w:val="001B65CD"/>
    <w:rsid w:val="001B65F3"/>
    <w:rsid w:val="001B666D"/>
    <w:rsid w:val="001B6672"/>
    <w:rsid w:val="001B6719"/>
    <w:rsid w:val="001B671D"/>
    <w:rsid w:val="001B674D"/>
    <w:rsid w:val="001B67EB"/>
    <w:rsid w:val="001B684B"/>
    <w:rsid w:val="001B6899"/>
    <w:rsid w:val="001B68E7"/>
    <w:rsid w:val="001B6908"/>
    <w:rsid w:val="001B69B0"/>
    <w:rsid w:val="001B69BE"/>
    <w:rsid w:val="001B69D6"/>
    <w:rsid w:val="001B69E5"/>
    <w:rsid w:val="001B6B15"/>
    <w:rsid w:val="001B6BA9"/>
    <w:rsid w:val="001B6BE6"/>
    <w:rsid w:val="001B6C00"/>
    <w:rsid w:val="001B6C07"/>
    <w:rsid w:val="001B6C25"/>
    <w:rsid w:val="001B6C67"/>
    <w:rsid w:val="001B6CD7"/>
    <w:rsid w:val="001B6D09"/>
    <w:rsid w:val="001B6D2E"/>
    <w:rsid w:val="001B6E08"/>
    <w:rsid w:val="001B6E15"/>
    <w:rsid w:val="001B6E48"/>
    <w:rsid w:val="001B6E5A"/>
    <w:rsid w:val="001B6EB2"/>
    <w:rsid w:val="001B6EEC"/>
    <w:rsid w:val="001B6F1C"/>
    <w:rsid w:val="001B6F85"/>
    <w:rsid w:val="001B6FC4"/>
    <w:rsid w:val="001B6FCD"/>
    <w:rsid w:val="001B701F"/>
    <w:rsid w:val="001B7055"/>
    <w:rsid w:val="001B707A"/>
    <w:rsid w:val="001B707D"/>
    <w:rsid w:val="001B7104"/>
    <w:rsid w:val="001B7143"/>
    <w:rsid w:val="001B7158"/>
    <w:rsid w:val="001B7184"/>
    <w:rsid w:val="001B71CC"/>
    <w:rsid w:val="001B7232"/>
    <w:rsid w:val="001B726D"/>
    <w:rsid w:val="001B726F"/>
    <w:rsid w:val="001B72CB"/>
    <w:rsid w:val="001B73B1"/>
    <w:rsid w:val="001B73EB"/>
    <w:rsid w:val="001B743A"/>
    <w:rsid w:val="001B7486"/>
    <w:rsid w:val="001B74AB"/>
    <w:rsid w:val="001B7567"/>
    <w:rsid w:val="001B756D"/>
    <w:rsid w:val="001B7570"/>
    <w:rsid w:val="001B75AE"/>
    <w:rsid w:val="001B75B8"/>
    <w:rsid w:val="001B75C0"/>
    <w:rsid w:val="001B75E0"/>
    <w:rsid w:val="001B7640"/>
    <w:rsid w:val="001B7648"/>
    <w:rsid w:val="001B7677"/>
    <w:rsid w:val="001B7705"/>
    <w:rsid w:val="001B7707"/>
    <w:rsid w:val="001B7723"/>
    <w:rsid w:val="001B772A"/>
    <w:rsid w:val="001B7767"/>
    <w:rsid w:val="001B777C"/>
    <w:rsid w:val="001B7781"/>
    <w:rsid w:val="001B77A0"/>
    <w:rsid w:val="001B77BB"/>
    <w:rsid w:val="001B7824"/>
    <w:rsid w:val="001B785A"/>
    <w:rsid w:val="001B7868"/>
    <w:rsid w:val="001B7869"/>
    <w:rsid w:val="001B78A5"/>
    <w:rsid w:val="001B790B"/>
    <w:rsid w:val="001B7929"/>
    <w:rsid w:val="001B7985"/>
    <w:rsid w:val="001B799E"/>
    <w:rsid w:val="001B7A0F"/>
    <w:rsid w:val="001B7A22"/>
    <w:rsid w:val="001B7A24"/>
    <w:rsid w:val="001B7A9E"/>
    <w:rsid w:val="001B7B23"/>
    <w:rsid w:val="001B7B73"/>
    <w:rsid w:val="001B7B8A"/>
    <w:rsid w:val="001B7BD8"/>
    <w:rsid w:val="001B7C31"/>
    <w:rsid w:val="001B7C5F"/>
    <w:rsid w:val="001B7CEB"/>
    <w:rsid w:val="001B7CF7"/>
    <w:rsid w:val="001B7D35"/>
    <w:rsid w:val="001B7DE4"/>
    <w:rsid w:val="001B7E03"/>
    <w:rsid w:val="001B7E34"/>
    <w:rsid w:val="001B7E8F"/>
    <w:rsid w:val="001B7EBF"/>
    <w:rsid w:val="001B7F00"/>
    <w:rsid w:val="001B7F83"/>
    <w:rsid w:val="001B7FD8"/>
    <w:rsid w:val="001B7FD9"/>
    <w:rsid w:val="001BFD8B"/>
    <w:rsid w:val="001C0018"/>
    <w:rsid w:val="001C0042"/>
    <w:rsid w:val="001C0047"/>
    <w:rsid w:val="001C00A8"/>
    <w:rsid w:val="001C00DC"/>
    <w:rsid w:val="001C00F1"/>
    <w:rsid w:val="001C0109"/>
    <w:rsid w:val="001C011A"/>
    <w:rsid w:val="001C0157"/>
    <w:rsid w:val="001C0181"/>
    <w:rsid w:val="001C01B6"/>
    <w:rsid w:val="001C01C4"/>
    <w:rsid w:val="001C01CE"/>
    <w:rsid w:val="001C01FC"/>
    <w:rsid w:val="001C0229"/>
    <w:rsid w:val="001C02E3"/>
    <w:rsid w:val="001C02EB"/>
    <w:rsid w:val="001C0354"/>
    <w:rsid w:val="001C037D"/>
    <w:rsid w:val="001C0383"/>
    <w:rsid w:val="001C03A4"/>
    <w:rsid w:val="001C03BC"/>
    <w:rsid w:val="001C03CC"/>
    <w:rsid w:val="001C03F0"/>
    <w:rsid w:val="001C0400"/>
    <w:rsid w:val="001C04D6"/>
    <w:rsid w:val="001C04FA"/>
    <w:rsid w:val="001C0515"/>
    <w:rsid w:val="001C053A"/>
    <w:rsid w:val="001C0563"/>
    <w:rsid w:val="001C05B8"/>
    <w:rsid w:val="001C0626"/>
    <w:rsid w:val="001C065A"/>
    <w:rsid w:val="001C06C5"/>
    <w:rsid w:val="001C0770"/>
    <w:rsid w:val="001C07BE"/>
    <w:rsid w:val="001C07DC"/>
    <w:rsid w:val="001C07F7"/>
    <w:rsid w:val="001C087B"/>
    <w:rsid w:val="001C0881"/>
    <w:rsid w:val="001C0896"/>
    <w:rsid w:val="001C08B4"/>
    <w:rsid w:val="001C08BE"/>
    <w:rsid w:val="001C08C2"/>
    <w:rsid w:val="001C08CC"/>
    <w:rsid w:val="001C08E4"/>
    <w:rsid w:val="001C08EB"/>
    <w:rsid w:val="001C08F1"/>
    <w:rsid w:val="001C08F9"/>
    <w:rsid w:val="001C0943"/>
    <w:rsid w:val="001C099E"/>
    <w:rsid w:val="001C09AE"/>
    <w:rsid w:val="001C0A17"/>
    <w:rsid w:val="001C0A5E"/>
    <w:rsid w:val="001C0AF7"/>
    <w:rsid w:val="001C0AFE"/>
    <w:rsid w:val="001C0B10"/>
    <w:rsid w:val="001C0B61"/>
    <w:rsid w:val="001C0BAD"/>
    <w:rsid w:val="001C0C13"/>
    <w:rsid w:val="001C0C42"/>
    <w:rsid w:val="001C0D5B"/>
    <w:rsid w:val="001C0D60"/>
    <w:rsid w:val="001C0DA7"/>
    <w:rsid w:val="001C0ECD"/>
    <w:rsid w:val="001C0F20"/>
    <w:rsid w:val="001C0FB4"/>
    <w:rsid w:val="001C0FCA"/>
    <w:rsid w:val="001C0FCF"/>
    <w:rsid w:val="001C1107"/>
    <w:rsid w:val="001C1185"/>
    <w:rsid w:val="001C11C5"/>
    <w:rsid w:val="001C11D0"/>
    <w:rsid w:val="001C11ED"/>
    <w:rsid w:val="001C121C"/>
    <w:rsid w:val="001C1247"/>
    <w:rsid w:val="001C1248"/>
    <w:rsid w:val="001C1266"/>
    <w:rsid w:val="001C1288"/>
    <w:rsid w:val="001C128F"/>
    <w:rsid w:val="001C137C"/>
    <w:rsid w:val="001C137E"/>
    <w:rsid w:val="001C13AC"/>
    <w:rsid w:val="001C13AE"/>
    <w:rsid w:val="001C13E8"/>
    <w:rsid w:val="001C1432"/>
    <w:rsid w:val="001C1447"/>
    <w:rsid w:val="001C1468"/>
    <w:rsid w:val="001C1474"/>
    <w:rsid w:val="001C1569"/>
    <w:rsid w:val="001C15C3"/>
    <w:rsid w:val="001C1600"/>
    <w:rsid w:val="001C168A"/>
    <w:rsid w:val="001C1692"/>
    <w:rsid w:val="001C16A6"/>
    <w:rsid w:val="001C16C0"/>
    <w:rsid w:val="001C1707"/>
    <w:rsid w:val="001C1748"/>
    <w:rsid w:val="001C178D"/>
    <w:rsid w:val="001C17DF"/>
    <w:rsid w:val="001C1803"/>
    <w:rsid w:val="001C1866"/>
    <w:rsid w:val="001C1903"/>
    <w:rsid w:val="001C1960"/>
    <w:rsid w:val="001C1962"/>
    <w:rsid w:val="001C19F8"/>
    <w:rsid w:val="001C1AD3"/>
    <w:rsid w:val="001C1B1D"/>
    <w:rsid w:val="001C1B43"/>
    <w:rsid w:val="001C1B5F"/>
    <w:rsid w:val="001C1B68"/>
    <w:rsid w:val="001C1B73"/>
    <w:rsid w:val="001C1B94"/>
    <w:rsid w:val="001C1BC7"/>
    <w:rsid w:val="001C1C2E"/>
    <w:rsid w:val="001C1C54"/>
    <w:rsid w:val="001C1C8E"/>
    <w:rsid w:val="001C1D06"/>
    <w:rsid w:val="001C1D08"/>
    <w:rsid w:val="001C1D4F"/>
    <w:rsid w:val="001C1D80"/>
    <w:rsid w:val="001C1E98"/>
    <w:rsid w:val="001C1ECA"/>
    <w:rsid w:val="001C1EF3"/>
    <w:rsid w:val="001C1F36"/>
    <w:rsid w:val="001C1FBE"/>
    <w:rsid w:val="001C1FD4"/>
    <w:rsid w:val="001C2037"/>
    <w:rsid w:val="001C2077"/>
    <w:rsid w:val="001C2088"/>
    <w:rsid w:val="001C2095"/>
    <w:rsid w:val="001C2111"/>
    <w:rsid w:val="001C21A8"/>
    <w:rsid w:val="001C21C1"/>
    <w:rsid w:val="001C21C4"/>
    <w:rsid w:val="001C220B"/>
    <w:rsid w:val="001C22E7"/>
    <w:rsid w:val="001C22EF"/>
    <w:rsid w:val="001C2393"/>
    <w:rsid w:val="001C23B5"/>
    <w:rsid w:val="001C2433"/>
    <w:rsid w:val="001C2567"/>
    <w:rsid w:val="001C2597"/>
    <w:rsid w:val="001C25BE"/>
    <w:rsid w:val="001C25C5"/>
    <w:rsid w:val="001C25C9"/>
    <w:rsid w:val="001C2696"/>
    <w:rsid w:val="001C26A3"/>
    <w:rsid w:val="001C2735"/>
    <w:rsid w:val="001C27AD"/>
    <w:rsid w:val="001C27E6"/>
    <w:rsid w:val="001C2845"/>
    <w:rsid w:val="001C2888"/>
    <w:rsid w:val="001C28D6"/>
    <w:rsid w:val="001C28E0"/>
    <w:rsid w:val="001C28E7"/>
    <w:rsid w:val="001C290E"/>
    <w:rsid w:val="001C295D"/>
    <w:rsid w:val="001C2968"/>
    <w:rsid w:val="001C2A17"/>
    <w:rsid w:val="001C2A38"/>
    <w:rsid w:val="001C2AFF"/>
    <w:rsid w:val="001C2B90"/>
    <w:rsid w:val="001C2BB5"/>
    <w:rsid w:val="001C2BEC"/>
    <w:rsid w:val="001C2C41"/>
    <w:rsid w:val="001C2C6F"/>
    <w:rsid w:val="001C2CAB"/>
    <w:rsid w:val="001C2CAE"/>
    <w:rsid w:val="001C2CFD"/>
    <w:rsid w:val="001C2D49"/>
    <w:rsid w:val="001C2DAD"/>
    <w:rsid w:val="001C2DAE"/>
    <w:rsid w:val="001C2DB2"/>
    <w:rsid w:val="001C2DD2"/>
    <w:rsid w:val="001C2DEC"/>
    <w:rsid w:val="001C2E25"/>
    <w:rsid w:val="001C2F29"/>
    <w:rsid w:val="001C2FB6"/>
    <w:rsid w:val="001C2FC7"/>
    <w:rsid w:val="001C30B7"/>
    <w:rsid w:val="001C3148"/>
    <w:rsid w:val="001C3168"/>
    <w:rsid w:val="001C3171"/>
    <w:rsid w:val="001C3184"/>
    <w:rsid w:val="001C31B4"/>
    <w:rsid w:val="001C31CA"/>
    <w:rsid w:val="001C31FA"/>
    <w:rsid w:val="001C323D"/>
    <w:rsid w:val="001C325E"/>
    <w:rsid w:val="001C326A"/>
    <w:rsid w:val="001C3330"/>
    <w:rsid w:val="001C3350"/>
    <w:rsid w:val="001C338A"/>
    <w:rsid w:val="001C338E"/>
    <w:rsid w:val="001C33F9"/>
    <w:rsid w:val="001C3456"/>
    <w:rsid w:val="001C3491"/>
    <w:rsid w:val="001C351B"/>
    <w:rsid w:val="001C3630"/>
    <w:rsid w:val="001C3643"/>
    <w:rsid w:val="001C367A"/>
    <w:rsid w:val="001C373C"/>
    <w:rsid w:val="001C3755"/>
    <w:rsid w:val="001C3781"/>
    <w:rsid w:val="001C37B3"/>
    <w:rsid w:val="001C380E"/>
    <w:rsid w:val="001C381B"/>
    <w:rsid w:val="001C388D"/>
    <w:rsid w:val="001C38A8"/>
    <w:rsid w:val="001C38C4"/>
    <w:rsid w:val="001C396F"/>
    <w:rsid w:val="001C39F4"/>
    <w:rsid w:val="001C3A07"/>
    <w:rsid w:val="001C3A13"/>
    <w:rsid w:val="001C3A61"/>
    <w:rsid w:val="001C3A6A"/>
    <w:rsid w:val="001C3A76"/>
    <w:rsid w:val="001C3A84"/>
    <w:rsid w:val="001C3A9D"/>
    <w:rsid w:val="001C3AB8"/>
    <w:rsid w:val="001C3AD6"/>
    <w:rsid w:val="001C3B30"/>
    <w:rsid w:val="001C3B35"/>
    <w:rsid w:val="001C3B48"/>
    <w:rsid w:val="001C3B53"/>
    <w:rsid w:val="001C3B60"/>
    <w:rsid w:val="001C3B7D"/>
    <w:rsid w:val="001C3B87"/>
    <w:rsid w:val="001C3BAA"/>
    <w:rsid w:val="001C3BC7"/>
    <w:rsid w:val="001C3BE6"/>
    <w:rsid w:val="001C3CBA"/>
    <w:rsid w:val="001C3CCE"/>
    <w:rsid w:val="001C3CE4"/>
    <w:rsid w:val="001C3D7C"/>
    <w:rsid w:val="001C3D88"/>
    <w:rsid w:val="001C3DDE"/>
    <w:rsid w:val="001C3DE3"/>
    <w:rsid w:val="001C3E0F"/>
    <w:rsid w:val="001C3E71"/>
    <w:rsid w:val="001C3F0B"/>
    <w:rsid w:val="001C3F19"/>
    <w:rsid w:val="001C4003"/>
    <w:rsid w:val="001C400D"/>
    <w:rsid w:val="001C4042"/>
    <w:rsid w:val="001C4068"/>
    <w:rsid w:val="001C4071"/>
    <w:rsid w:val="001C4094"/>
    <w:rsid w:val="001C409E"/>
    <w:rsid w:val="001C40C2"/>
    <w:rsid w:val="001C4121"/>
    <w:rsid w:val="001C41C4"/>
    <w:rsid w:val="001C4211"/>
    <w:rsid w:val="001C4212"/>
    <w:rsid w:val="001C4215"/>
    <w:rsid w:val="001C424F"/>
    <w:rsid w:val="001C425F"/>
    <w:rsid w:val="001C427A"/>
    <w:rsid w:val="001C4341"/>
    <w:rsid w:val="001C4351"/>
    <w:rsid w:val="001C4358"/>
    <w:rsid w:val="001C4581"/>
    <w:rsid w:val="001C45E8"/>
    <w:rsid w:val="001C4656"/>
    <w:rsid w:val="001C467F"/>
    <w:rsid w:val="001C4686"/>
    <w:rsid w:val="001C4698"/>
    <w:rsid w:val="001C46B6"/>
    <w:rsid w:val="001C46D7"/>
    <w:rsid w:val="001C4742"/>
    <w:rsid w:val="001C47BE"/>
    <w:rsid w:val="001C47F1"/>
    <w:rsid w:val="001C482B"/>
    <w:rsid w:val="001C4833"/>
    <w:rsid w:val="001C488D"/>
    <w:rsid w:val="001C48CA"/>
    <w:rsid w:val="001C48FA"/>
    <w:rsid w:val="001C499C"/>
    <w:rsid w:val="001C49A6"/>
    <w:rsid w:val="001C4A53"/>
    <w:rsid w:val="001C4A63"/>
    <w:rsid w:val="001C4AE0"/>
    <w:rsid w:val="001C4AF9"/>
    <w:rsid w:val="001C4B61"/>
    <w:rsid w:val="001C4B7A"/>
    <w:rsid w:val="001C4BEA"/>
    <w:rsid w:val="001C4C0F"/>
    <w:rsid w:val="001C4C6D"/>
    <w:rsid w:val="001C4C78"/>
    <w:rsid w:val="001C4CE2"/>
    <w:rsid w:val="001C4D01"/>
    <w:rsid w:val="001C4D1E"/>
    <w:rsid w:val="001C4D48"/>
    <w:rsid w:val="001C4D9F"/>
    <w:rsid w:val="001C4DAD"/>
    <w:rsid w:val="001C4DFA"/>
    <w:rsid w:val="001C4E0C"/>
    <w:rsid w:val="001C4E1D"/>
    <w:rsid w:val="001C4E3F"/>
    <w:rsid w:val="001C4E4D"/>
    <w:rsid w:val="001C4E56"/>
    <w:rsid w:val="001C4E8E"/>
    <w:rsid w:val="001C4EA2"/>
    <w:rsid w:val="001C4EAE"/>
    <w:rsid w:val="001C4F83"/>
    <w:rsid w:val="001C4FAE"/>
    <w:rsid w:val="001C502E"/>
    <w:rsid w:val="001C5042"/>
    <w:rsid w:val="001C504F"/>
    <w:rsid w:val="001C50B9"/>
    <w:rsid w:val="001C50C9"/>
    <w:rsid w:val="001C50E7"/>
    <w:rsid w:val="001C5110"/>
    <w:rsid w:val="001C51CB"/>
    <w:rsid w:val="001C51FF"/>
    <w:rsid w:val="001C5286"/>
    <w:rsid w:val="001C5291"/>
    <w:rsid w:val="001C52FF"/>
    <w:rsid w:val="001C540B"/>
    <w:rsid w:val="001C545D"/>
    <w:rsid w:val="001C5481"/>
    <w:rsid w:val="001C54A6"/>
    <w:rsid w:val="001C54C5"/>
    <w:rsid w:val="001C54DA"/>
    <w:rsid w:val="001C5516"/>
    <w:rsid w:val="001C55A6"/>
    <w:rsid w:val="001C560D"/>
    <w:rsid w:val="001C5680"/>
    <w:rsid w:val="001C5693"/>
    <w:rsid w:val="001C5699"/>
    <w:rsid w:val="001C56B8"/>
    <w:rsid w:val="001C570E"/>
    <w:rsid w:val="001C5765"/>
    <w:rsid w:val="001C57B2"/>
    <w:rsid w:val="001C57F7"/>
    <w:rsid w:val="001C5845"/>
    <w:rsid w:val="001C5867"/>
    <w:rsid w:val="001C58A4"/>
    <w:rsid w:val="001C58DF"/>
    <w:rsid w:val="001C596D"/>
    <w:rsid w:val="001C59C4"/>
    <w:rsid w:val="001C59F4"/>
    <w:rsid w:val="001C5A1D"/>
    <w:rsid w:val="001C5A93"/>
    <w:rsid w:val="001C5B32"/>
    <w:rsid w:val="001C5B65"/>
    <w:rsid w:val="001C5BD3"/>
    <w:rsid w:val="001C5BD7"/>
    <w:rsid w:val="001C5C13"/>
    <w:rsid w:val="001C5C6E"/>
    <w:rsid w:val="001C5C75"/>
    <w:rsid w:val="001C5C80"/>
    <w:rsid w:val="001C5CB6"/>
    <w:rsid w:val="001C5D43"/>
    <w:rsid w:val="001C5D51"/>
    <w:rsid w:val="001C5DA4"/>
    <w:rsid w:val="001C5DC3"/>
    <w:rsid w:val="001C5E1B"/>
    <w:rsid w:val="001C5E2C"/>
    <w:rsid w:val="001C5E3C"/>
    <w:rsid w:val="001C5E97"/>
    <w:rsid w:val="001C5E9D"/>
    <w:rsid w:val="001C5EA4"/>
    <w:rsid w:val="001C5EC8"/>
    <w:rsid w:val="001C5ED5"/>
    <w:rsid w:val="001C5EFE"/>
    <w:rsid w:val="001C5F12"/>
    <w:rsid w:val="001C5FC7"/>
    <w:rsid w:val="001C6001"/>
    <w:rsid w:val="001C6035"/>
    <w:rsid w:val="001C6057"/>
    <w:rsid w:val="001C6067"/>
    <w:rsid w:val="001C6096"/>
    <w:rsid w:val="001C60E5"/>
    <w:rsid w:val="001C616C"/>
    <w:rsid w:val="001C619A"/>
    <w:rsid w:val="001C61E4"/>
    <w:rsid w:val="001C620E"/>
    <w:rsid w:val="001C6270"/>
    <w:rsid w:val="001C6313"/>
    <w:rsid w:val="001C632A"/>
    <w:rsid w:val="001C6380"/>
    <w:rsid w:val="001C63BE"/>
    <w:rsid w:val="001C642B"/>
    <w:rsid w:val="001C644D"/>
    <w:rsid w:val="001C6475"/>
    <w:rsid w:val="001C64C1"/>
    <w:rsid w:val="001C658D"/>
    <w:rsid w:val="001C65E9"/>
    <w:rsid w:val="001C65F6"/>
    <w:rsid w:val="001C6612"/>
    <w:rsid w:val="001C661A"/>
    <w:rsid w:val="001C6631"/>
    <w:rsid w:val="001C664F"/>
    <w:rsid w:val="001C6682"/>
    <w:rsid w:val="001C6687"/>
    <w:rsid w:val="001C66A0"/>
    <w:rsid w:val="001C6771"/>
    <w:rsid w:val="001C67D3"/>
    <w:rsid w:val="001C67F1"/>
    <w:rsid w:val="001C683C"/>
    <w:rsid w:val="001C684B"/>
    <w:rsid w:val="001C6878"/>
    <w:rsid w:val="001C687A"/>
    <w:rsid w:val="001C68E0"/>
    <w:rsid w:val="001C68E1"/>
    <w:rsid w:val="001C693C"/>
    <w:rsid w:val="001C6A16"/>
    <w:rsid w:val="001C6A2B"/>
    <w:rsid w:val="001C6A2F"/>
    <w:rsid w:val="001C6A4D"/>
    <w:rsid w:val="001C6A64"/>
    <w:rsid w:val="001C6A6F"/>
    <w:rsid w:val="001C6B07"/>
    <w:rsid w:val="001C6B1C"/>
    <w:rsid w:val="001C6B1E"/>
    <w:rsid w:val="001C6B5C"/>
    <w:rsid w:val="001C6B70"/>
    <w:rsid w:val="001C6BC2"/>
    <w:rsid w:val="001C6BCC"/>
    <w:rsid w:val="001C6C0F"/>
    <w:rsid w:val="001C6C2A"/>
    <w:rsid w:val="001C6C36"/>
    <w:rsid w:val="001C6C3F"/>
    <w:rsid w:val="001C6CCA"/>
    <w:rsid w:val="001C6CEE"/>
    <w:rsid w:val="001C6CFA"/>
    <w:rsid w:val="001C6D0F"/>
    <w:rsid w:val="001C6D26"/>
    <w:rsid w:val="001C6D58"/>
    <w:rsid w:val="001C6D87"/>
    <w:rsid w:val="001C6DC2"/>
    <w:rsid w:val="001C6DE9"/>
    <w:rsid w:val="001C6DED"/>
    <w:rsid w:val="001C6EC0"/>
    <w:rsid w:val="001C6EE5"/>
    <w:rsid w:val="001C6F04"/>
    <w:rsid w:val="001C6F9D"/>
    <w:rsid w:val="001C6FE5"/>
    <w:rsid w:val="001C6FF6"/>
    <w:rsid w:val="001C7011"/>
    <w:rsid w:val="001C70AC"/>
    <w:rsid w:val="001C70CD"/>
    <w:rsid w:val="001C70D5"/>
    <w:rsid w:val="001C7109"/>
    <w:rsid w:val="001C7126"/>
    <w:rsid w:val="001C712C"/>
    <w:rsid w:val="001C7181"/>
    <w:rsid w:val="001C71F3"/>
    <w:rsid w:val="001C722D"/>
    <w:rsid w:val="001C7277"/>
    <w:rsid w:val="001C72E4"/>
    <w:rsid w:val="001C72F5"/>
    <w:rsid w:val="001C7303"/>
    <w:rsid w:val="001C7307"/>
    <w:rsid w:val="001C7378"/>
    <w:rsid w:val="001C7387"/>
    <w:rsid w:val="001C7391"/>
    <w:rsid w:val="001C73D4"/>
    <w:rsid w:val="001C7422"/>
    <w:rsid w:val="001C7438"/>
    <w:rsid w:val="001C745D"/>
    <w:rsid w:val="001C7460"/>
    <w:rsid w:val="001C74A2"/>
    <w:rsid w:val="001C7575"/>
    <w:rsid w:val="001C757A"/>
    <w:rsid w:val="001C7632"/>
    <w:rsid w:val="001C7647"/>
    <w:rsid w:val="001C764B"/>
    <w:rsid w:val="001C7690"/>
    <w:rsid w:val="001C7711"/>
    <w:rsid w:val="001C7717"/>
    <w:rsid w:val="001C7777"/>
    <w:rsid w:val="001C77EA"/>
    <w:rsid w:val="001C79DA"/>
    <w:rsid w:val="001C7A40"/>
    <w:rsid w:val="001C7B8E"/>
    <w:rsid w:val="001C7C36"/>
    <w:rsid w:val="001C7C47"/>
    <w:rsid w:val="001C7C7B"/>
    <w:rsid w:val="001C7D9B"/>
    <w:rsid w:val="001C7E19"/>
    <w:rsid w:val="001C7EE6"/>
    <w:rsid w:val="001C7F0C"/>
    <w:rsid w:val="001C7F94"/>
    <w:rsid w:val="001D0004"/>
    <w:rsid w:val="001D0013"/>
    <w:rsid w:val="001D006C"/>
    <w:rsid w:val="001D00F1"/>
    <w:rsid w:val="001D0114"/>
    <w:rsid w:val="001D0167"/>
    <w:rsid w:val="001D0182"/>
    <w:rsid w:val="001D018A"/>
    <w:rsid w:val="001D01B5"/>
    <w:rsid w:val="001D01BD"/>
    <w:rsid w:val="001D01F2"/>
    <w:rsid w:val="001D0208"/>
    <w:rsid w:val="001D020C"/>
    <w:rsid w:val="001D0229"/>
    <w:rsid w:val="001D022A"/>
    <w:rsid w:val="001D0247"/>
    <w:rsid w:val="001D0279"/>
    <w:rsid w:val="001D02C0"/>
    <w:rsid w:val="001D0345"/>
    <w:rsid w:val="001D0357"/>
    <w:rsid w:val="001D035E"/>
    <w:rsid w:val="001D03DA"/>
    <w:rsid w:val="001D040A"/>
    <w:rsid w:val="001D0422"/>
    <w:rsid w:val="001D0471"/>
    <w:rsid w:val="001D0473"/>
    <w:rsid w:val="001D04F7"/>
    <w:rsid w:val="001D0525"/>
    <w:rsid w:val="001D056D"/>
    <w:rsid w:val="001D05C2"/>
    <w:rsid w:val="001D05F8"/>
    <w:rsid w:val="001D060F"/>
    <w:rsid w:val="001D0618"/>
    <w:rsid w:val="001D0621"/>
    <w:rsid w:val="001D0626"/>
    <w:rsid w:val="001D0647"/>
    <w:rsid w:val="001D0670"/>
    <w:rsid w:val="001D0705"/>
    <w:rsid w:val="001D0774"/>
    <w:rsid w:val="001D0782"/>
    <w:rsid w:val="001D0798"/>
    <w:rsid w:val="001D07C8"/>
    <w:rsid w:val="001D07D6"/>
    <w:rsid w:val="001D080B"/>
    <w:rsid w:val="001D082E"/>
    <w:rsid w:val="001D0850"/>
    <w:rsid w:val="001D0866"/>
    <w:rsid w:val="001D086A"/>
    <w:rsid w:val="001D08F5"/>
    <w:rsid w:val="001D090D"/>
    <w:rsid w:val="001D0969"/>
    <w:rsid w:val="001D09FE"/>
    <w:rsid w:val="001D0A18"/>
    <w:rsid w:val="001D0A7B"/>
    <w:rsid w:val="001D0A8F"/>
    <w:rsid w:val="001D0B69"/>
    <w:rsid w:val="001D0B8E"/>
    <w:rsid w:val="001D0C2B"/>
    <w:rsid w:val="001D0CB2"/>
    <w:rsid w:val="001D0CDC"/>
    <w:rsid w:val="001D0DB0"/>
    <w:rsid w:val="001D0DBB"/>
    <w:rsid w:val="001D0DC5"/>
    <w:rsid w:val="001D0E9B"/>
    <w:rsid w:val="001D0EFC"/>
    <w:rsid w:val="001D0F2D"/>
    <w:rsid w:val="001D0F5F"/>
    <w:rsid w:val="001D0FBA"/>
    <w:rsid w:val="001D0FE0"/>
    <w:rsid w:val="001D1064"/>
    <w:rsid w:val="001D1073"/>
    <w:rsid w:val="001D1083"/>
    <w:rsid w:val="001D10D3"/>
    <w:rsid w:val="001D10F6"/>
    <w:rsid w:val="001D1271"/>
    <w:rsid w:val="001D127D"/>
    <w:rsid w:val="001D1293"/>
    <w:rsid w:val="001D12C9"/>
    <w:rsid w:val="001D1333"/>
    <w:rsid w:val="001D1359"/>
    <w:rsid w:val="001D136B"/>
    <w:rsid w:val="001D138D"/>
    <w:rsid w:val="001D13EF"/>
    <w:rsid w:val="001D140F"/>
    <w:rsid w:val="001D14BA"/>
    <w:rsid w:val="001D14FA"/>
    <w:rsid w:val="001D1528"/>
    <w:rsid w:val="001D15C1"/>
    <w:rsid w:val="001D1613"/>
    <w:rsid w:val="001D1617"/>
    <w:rsid w:val="001D1625"/>
    <w:rsid w:val="001D1636"/>
    <w:rsid w:val="001D1747"/>
    <w:rsid w:val="001D1755"/>
    <w:rsid w:val="001D178E"/>
    <w:rsid w:val="001D1790"/>
    <w:rsid w:val="001D179B"/>
    <w:rsid w:val="001D17BE"/>
    <w:rsid w:val="001D180C"/>
    <w:rsid w:val="001D180F"/>
    <w:rsid w:val="001D1858"/>
    <w:rsid w:val="001D186A"/>
    <w:rsid w:val="001D18A6"/>
    <w:rsid w:val="001D18C1"/>
    <w:rsid w:val="001D18C4"/>
    <w:rsid w:val="001D1919"/>
    <w:rsid w:val="001D195B"/>
    <w:rsid w:val="001D1975"/>
    <w:rsid w:val="001D19A3"/>
    <w:rsid w:val="001D1AF3"/>
    <w:rsid w:val="001D1BC8"/>
    <w:rsid w:val="001D1BF0"/>
    <w:rsid w:val="001D1C20"/>
    <w:rsid w:val="001D1C62"/>
    <w:rsid w:val="001D1C73"/>
    <w:rsid w:val="001D1C97"/>
    <w:rsid w:val="001D1D44"/>
    <w:rsid w:val="001D1DA6"/>
    <w:rsid w:val="001D1DBB"/>
    <w:rsid w:val="001D1DD7"/>
    <w:rsid w:val="001D1E0C"/>
    <w:rsid w:val="001D1E33"/>
    <w:rsid w:val="001D1E3E"/>
    <w:rsid w:val="001D1E64"/>
    <w:rsid w:val="001D1E8E"/>
    <w:rsid w:val="001D1EE1"/>
    <w:rsid w:val="001D1FAD"/>
    <w:rsid w:val="001D1FD5"/>
    <w:rsid w:val="001D2009"/>
    <w:rsid w:val="001D2063"/>
    <w:rsid w:val="001D20AE"/>
    <w:rsid w:val="001D20AF"/>
    <w:rsid w:val="001D20EE"/>
    <w:rsid w:val="001D212C"/>
    <w:rsid w:val="001D2142"/>
    <w:rsid w:val="001D214D"/>
    <w:rsid w:val="001D216E"/>
    <w:rsid w:val="001D21B2"/>
    <w:rsid w:val="001D21CE"/>
    <w:rsid w:val="001D220B"/>
    <w:rsid w:val="001D2230"/>
    <w:rsid w:val="001D22DA"/>
    <w:rsid w:val="001D2311"/>
    <w:rsid w:val="001D23E2"/>
    <w:rsid w:val="001D241B"/>
    <w:rsid w:val="001D2466"/>
    <w:rsid w:val="001D246E"/>
    <w:rsid w:val="001D24A5"/>
    <w:rsid w:val="001D2510"/>
    <w:rsid w:val="001D2526"/>
    <w:rsid w:val="001D252C"/>
    <w:rsid w:val="001D2556"/>
    <w:rsid w:val="001D25A0"/>
    <w:rsid w:val="001D25E1"/>
    <w:rsid w:val="001D263E"/>
    <w:rsid w:val="001D2691"/>
    <w:rsid w:val="001D2709"/>
    <w:rsid w:val="001D272B"/>
    <w:rsid w:val="001D275F"/>
    <w:rsid w:val="001D27F1"/>
    <w:rsid w:val="001D282A"/>
    <w:rsid w:val="001D28AC"/>
    <w:rsid w:val="001D2901"/>
    <w:rsid w:val="001D290B"/>
    <w:rsid w:val="001D2955"/>
    <w:rsid w:val="001D298D"/>
    <w:rsid w:val="001D2A08"/>
    <w:rsid w:val="001D2A6F"/>
    <w:rsid w:val="001D2A7D"/>
    <w:rsid w:val="001D2B41"/>
    <w:rsid w:val="001D2B4B"/>
    <w:rsid w:val="001D2B4E"/>
    <w:rsid w:val="001D2B61"/>
    <w:rsid w:val="001D2B84"/>
    <w:rsid w:val="001D2BA1"/>
    <w:rsid w:val="001D2BF0"/>
    <w:rsid w:val="001D2C5C"/>
    <w:rsid w:val="001D2CCB"/>
    <w:rsid w:val="001D2CFA"/>
    <w:rsid w:val="001D2D0F"/>
    <w:rsid w:val="001D2D2C"/>
    <w:rsid w:val="001D2DAA"/>
    <w:rsid w:val="001D2E0B"/>
    <w:rsid w:val="001D2E9A"/>
    <w:rsid w:val="001D2E9C"/>
    <w:rsid w:val="001D2F51"/>
    <w:rsid w:val="001D2F79"/>
    <w:rsid w:val="001D2F96"/>
    <w:rsid w:val="001D3034"/>
    <w:rsid w:val="001D304D"/>
    <w:rsid w:val="001D3065"/>
    <w:rsid w:val="001D307C"/>
    <w:rsid w:val="001D309C"/>
    <w:rsid w:val="001D30D3"/>
    <w:rsid w:val="001D3104"/>
    <w:rsid w:val="001D314B"/>
    <w:rsid w:val="001D31AC"/>
    <w:rsid w:val="001D31AD"/>
    <w:rsid w:val="001D3245"/>
    <w:rsid w:val="001D32BF"/>
    <w:rsid w:val="001D32D0"/>
    <w:rsid w:val="001D331E"/>
    <w:rsid w:val="001D3333"/>
    <w:rsid w:val="001D33C7"/>
    <w:rsid w:val="001D3433"/>
    <w:rsid w:val="001D3530"/>
    <w:rsid w:val="001D35B2"/>
    <w:rsid w:val="001D35C5"/>
    <w:rsid w:val="001D3742"/>
    <w:rsid w:val="001D375D"/>
    <w:rsid w:val="001D376A"/>
    <w:rsid w:val="001D37A4"/>
    <w:rsid w:val="001D37CE"/>
    <w:rsid w:val="001D3817"/>
    <w:rsid w:val="001D3936"/>
    <w:rsid w:val="001D3955"/>
    <w:rsid w:val="001D3A2D"/>
    <w:rsid w:val="001D3A3F"/>
    <w:rsid w:val="001D3A56"/>
    <w:rsid w:val="001D3A5B"/>
    <w:rsid w:val="001D3ACD"/>
    <w:rsid w:val="001D3B0B"/>
    <w:rsid w:val="001D3B28"/>
    <w:rsid w:val="001D3B48"/>
    <w:rsid w:val="001D3B6C"/>
    <w:rsid w:val="001D3BC5"/>
    <w:rsid w:val="001D3BD5"/>
    <w:rsid w:val="001D3BDB"/>
    <w:rsid w:val="001D3BEE"/>
    <w:rsid w:val="001D3C52"/>
    <w:rsid w:val="001D3C5E"/>
    <w:rsid w:val="001D3CD5"/>
    <w:rsid w:val="001D3D3F"/>
    <w:rsid w:val="001D3D50"/>
    <w:rsid w:val="001D3DD8"/>
    <w:rsid w:val="001D3E70"/>
    <w:rsid w:val="001D3EBA"/>
    <w:rsid w:val="001D3F0F"/>
    <w:rsid w:val="001D3F10"/>
    <w:rsid w:val="001D401B"/>
    <w:rsid w:val="001D40C9"/>
    <w:rsid w:val="001D40D2"/>
    <w:rsid w:val="001D40F1"/>
    <w:rsid w:val="001D415A"/>
    <w:rsid w:val="001D415E"/>
    <w:rsid w:val="001D4179"/>
    <w:rsid w:val="001D41F1"/>
    <w:rsid w:val="001D4238"/>
    <w:rsid w:val="001D42C1"/>
    <w:rsid w:val="001D431E"/>
    <w:rsid w:val="001D438C"/>
    <w:rsid w:val="001D438F"/>
    <w:rsid w:val="001D43D1"/>
    <w:rsid w:val="001D440D"/>
    <w:rsid w:val="001D4449"/>
    <w:rsid w:val="001D446E"/>
    <w:rsid w:val="001D4474"/>
    <w:rsid w:val="001D44BB"/>
    <w:rsid w:val="001D44EE"/>
    <w:rsid w:val="001D452F"/>
    <w:rsid w:val="001D4537"/>
    <w:rsid w:val="001D4547"/>
    <w:rsid w:val="001D4571"/>
    <w:rsid w:val="001D459C"/>
    <w:rsid w:val="001D45B4"/>
    <w:rsid w:val="001D4607"/>
    <w:rsid w:val="001D4697"/>
    <w:rsid w:val="001D46A0"/>
    <w:rsid w:val="001D46B8"/>
    <w:rsid w:val="001D46EB"/>
    <w:rsid w:val="001D46F3"/>
    <w:rsid w:val="001D4738"/>
    <w:rsid w:val="001D47A5"/>
    <w:rsid w:val="001D47BA"/>
    <w:rsid w:val="001D47BE"/>
    <w:rsid w:val="001D4853"/>
    <w:rsid w:val="001D4863"/>
    <w:rsid w:val="001D48CE"/>
    <w:rsid w:val="001D490B"/>
    <w:rsid w:val="001D49A8"/>
    <w:rsid w:val="001D49ED"/>
    <w:rsid w:val="001D49F9"/>
    <w:rsid w:val="001D4A7A"/>
    <w:rsid w:val="001D4AA3"/>
    <w:rsid w:val="001D4ACA"/>
    <w:rsid w:val="001D4AD1"/>
    <w:rsid w:val="001D4AE0"/>
    <w:rsid w:val="001D4AE5"/>
    <w:rsid w:val="001D4AE7"/>
    <w:rsid w:val="001D4AFC"/>
    <w:rsid w:val="001D4B48"/>
    <w:rsid w:val="001D4B70"/>
    <w:rsid w:val="001D4BEF"/>
    <w:rsid w:val="001D4C83"/>
    <w:rsid w:val="001D4D5E"/>
    <w:rsid w:val="001D4D8E"/>
    <w:rsid w:val="001D4D90"/>
    <w:rsid w:val="001D4E32"/>
    <w:rsid w:val="001D4ED7"/>
    <w:rsid w:val="001D4EE2"/>
    <w:rsid w:val="001D4F22"/>
    <w:rsid w:val="001D5049"/>
    <w:rsid w:val="001D5094"/>
    <w:rsid w:val="001D509C"/>
    <w:rsid w:val="001D509F"/>
    <w:rsid w:val="001D50C3"/>
    <w:rsid w:val="001D510E"/>
    <w:rsid w:val="001D5127"/>
    <w:rsid w:val="001D514F"/>
    <w:rsid w:val="001D5173"/>
    <w:rsid w:val="001D5184"/>
    <w:rsid w:val="001D51E6"/>
    <w:rsid w:val="001D52CD"/>
    <w:rsid w:val="001D5308"/>
    <w:rsid w:val="001D5374"/>
    <w:rsid w:val="001D53D6"/>
    <w:rsid w:val="001D53DA"/>
    <w:rsid w:val="001D53E2"/>
    <w:rsid w:val="001D5420"/>
    <w:rsid w:val="001D5481"/>
    <w:rsid w:val="001D54A9"/>
    <w:rsid w:val="001D54DF"/>
    <w:rsid w:val="001D555B"/>
    <w:rsid w:val="001D55CC"/>
    <w:rsid w:val="001D55E4"/>
    <w:rsid w:val="001D5607"/>
    <w:rsid w:val="001D5611"/>
    <w:rsid w:val="001D5612"/>
    <w:rsid w:val="001D56EA"/>
    <w:rsid w:val="001D5715"/>
    <w:rsid w:val="001D572C"/>
    <w:rsid w:val="001D579E"/>
    <w:rsid w:val="001D57C5"/>
    <w:rsid w:val="001D5917"/>
    <w:rsid w:val="001D591F"/>
    <w:rsid w:val="001D5949"/>
    <w:rsid w:val="001D597A"/>
    <w:rsid w:val="001D59C7"/>
    <w:rsid w:val="001D59D0"/>
    <w:rsid w:val="001D59D2"/>
    <w:rsid w:val="001D59F6"/>
    <w:rsid w:val="001D5AAA"/>
    <w:rsid w:val="001D5AC8"/>
    <w:rsid w:val="001D5ACB"/>
    <w:rsid w:val="001D5ADD"/>
    <w:rsid w:val="001D5B12"/>
    <w:rsid w:val="001D5B22"/>
    <w:rsid w:val="001D5B71"/>
    <w:rsid w:val="001D5BE8"/>
    <w:rsid w:val="001D5C99"/>
    <w:rsid w:val="001D5CD0"/>
    <w:rsid w:val="001D5D12"/>
    <w:rsid w:val="001D5D1A"/>
    <w:rsid w:val="001D5D40"/>
    <w:rsid w:val="001D5D52"/>
    <w:rsid w:val="001D5DDF"/>
    <w:rsid w:val="001D5DEC"/>
    <w:rsid w:val="001D5DFC"/>
    <w:rsid w:val="001D5E4B"/>
    <w:rsid w:val="001D5E79"/>
    <w:rsid w:val="001D5E95"/>
    <w:rsid w:val="001D5EE7"/>
    <w:rsid w:val="001D5F08"/>
    <w:rsid w:val="001D5F23"/>
    <w:rsid w:val="001D5F3A"/>
    <w:rsid w:val="001D5F45"/>
    <w:rsid w:val="001D5FDE"/>
    <w:rsid w:val="001D6036"/>
    <w:rsid w:val="001D60B8"/>
    <w:rsid w:val="001D60D7"/>
    <w:rsid w:val="001D6103"/>
    <w:rsid w:val="001D615D"/>
    <w:rsid w:val="001D6173"/>
    <w:rsid w:val="001D6177"/>
    <w:rsid w:val="001D622D"/>
    <w:rsid w:val="001D629D"/>
    <w:rsid w:val="001D6309"/>
    <w:rsid w:val="001D6316"/>
    <w:rsid w:val="001D6328"/>
    <w:rsid w:val="001D63BE"/>
    <w:rsid w:val="001D6458"/>
    <w:rsid w:val="001D648F"/>
    <w:rsid w:val="001D64B1"/>
    <w:rsid w:val="001D64DE"/>
    <w:rsid w:val="001D64E2"/>
    <w:rsid w:val="001D6506"/>
    <w:rsid w:val="001D6588"/>
    <w:rsid w:val="001D65E6"/>
    <w:rsid w:val="001D6655"/>
    <w:rsid w:val="001D66B2"/>
    <w:rsid w:val="001D67DE"/>
    <w:rsid w:val="001D68F9"/>
    <w:rsid w:val="001D6907"/>
    <w:rsid w:val="001D691A"/>
    <w:rsid w:val="001D695C"/>
    <w:rsid w:val="001D6961"/>
    <w:rsid w:val="001D6A0C"/>
    <w:rsid w:val="001D6A60"/>
    <w:rsid w:val="001D6A6E"/>
    <w:rsid w:val="001D6A86"/>
    <w:rsid w:val="001D6A9C"/>
    <w:rsid w:val="001D6ACC"/>
    <w:rsid w:val="001D6B93"/>
    <w:rsid w:val="001D6BDD"/>
    <w:rsid w:val="001D6C0D"/>
    <w:rsid w:val="001D6C4A"/>
    <w:rsid w:val="001D6C89"/>
    <w:rsid w:val="001D6D3D"/>
    <w:rsid w:val="001D6D6B"/>
    <w:rsid w:val="001D6DAB"/>
    <w:rsid w:val="001D6DD8"/>
    <w:rsid w:val="001D6E0F"/>
    <w:rsid w:val="001D6E34"/>
    <w:rsid w:val="001D6E48"/>
    <w:rsid w:val="001D6E8C"/>
    <w:rsid w:val="001D6E99"/>
    <w:rsid w:val="001D6EAE"/>
    <w:rsid w:val="001D6EC0"/>
    <w:rsid w:val="001D6EF0"/>
    <w:rsid w:val="001D6F48"/>
    <w:rsid w:val="001D6FA2"/>
    <w:rsid w:val="001D6FA4"/>
    <w:rsid w:val="001D6FA5"/>
    <w:rsid w:val="001D702C"/>
    <w:rsid w:val="001D7034"/>
    <w:rsid w:val="001D706C"/>
    <w:rsid w:val="001D709B"/>
    <w:rsid w:val="001D70F7"/>
    <w:rsid w:val="001D716A"/>
    <w:rsid w:val="001D722D"/>
    <w:rsid w:val="001D7240"/>
    <w:rsid w:val="001D7260"/>
    <w:rsid w:val="001D72C5"/>
    <w:rsid w:val="001D72EA"/>
    <w:rsid w:val="001D731B"/>
    <w:rsid w:val="001D7333"/>
    <w:rsid w:val="001D7391"/>
    <w:rsid w:val="001D73E6"/>
    <w:rsid w:val="001D7404"/>
    <w:rsid w:val="001D7426"/>
    <w:rsid w:val="001D746E"/>
    <w:rsid w:val="001D748A"/>
    <w:rsid w:val="001D74A3"/>
    <w:rsid w:val="001D74B2"/>
    <w:rsid w:val="001D74BD"/>
    <w:rsid w:val="001D751E"/>
    <w:rsid w:val="001D75B5"/>
    <w:rsid w:val="001D7628"/>
    <w:rsid w:val="001D763C"/>
    <w:rsid w:val="001D7680"/>
    <w:rsid w:val="001D76D4"/>
    <w:rsid w:val="001D76DD"/>
    <w:rsid w:val="001D7767"/>
    <w:rsid w:val="001D77B8"/>
    <w:rsid w:val="001D77D3"/>
    <w:rsid w:val="001D7831"/>
    <w:rsid w:val="001D7838"/>
    <w:rsid w:val="001D794C"/>
    <w:rsid w:val="001D7A9E"/>
    <w:rsid w:val="001D7AC1"/>
    <w:rsid w:val="001D7ADE"/>
    <w:rsid w:val="001D7B0F"/>
    <w:rsid w:val="001D7BE5"/>
    <w:rsid w:val="001D7BFB"/>
    <w:rsid w:val="001D7C1F"/>
    <w:rsid w:val="001D7C28"/>
    <w:rsid w:val="001D7C43"/>
    <w:rsid w:val="001D7C69"/>
    <w:rsid w:val="001D7C87"/>
    <w:rsid w:val="001D7D0B"/>
    <w:rsid w:val="001D7D15"/>
    <w:rsid w:val="001D7D80"/>
    <w:rsid w:val="001D7DC4"/>
    <w:rsid w:val="001D7DE8"/>
    <w:rsid w:val="001D7DF5"/>
    <w:rsid w:val="001D7DFD"/>
    <w:rsid w:val="001D7E2F"/>
    <w:rsid w:val="001D7F15"/>
    <w:rsid w:val="001D7F2D"/>
    <w:rsid w:val="001D7F3E"/>
    <w:rsid w:val="001D7F4F"/>
    <w:rsid w:val="001D7F64"/>
    <w:rsid w:val="001D7F92"/>
    <w:rsid w:val="001D7FB8"/>
    <w:rsid w:val="001D7FD3"/>
    <w:rsid w:val="001D8505"/>
    <w:rsid w:val="001E0031"/>
    <w:rsid w:val="001E003A"/>
    <w:rsid w:val="001E006B"/>
    <w:rsid w:val="001E00B0"/>
    <w:rsid w:val="001E01AA"/>
    <w:rsid w:val="001E024D"/>
    <w:rsid w:val="001E0266"/>
    <w:rsid w:val="001E0280"/>
    <w:rsid w:val="001E0294"/>
    <w:rsid w:val="001E02E7"/>
    <w:rsid w:val="001E02E8"/>
    <w:rsid w:val="001E032B"/>
    <w:rsid w:val="001E0393"/>
    <w:rsid w:val="001E03E8"/>
    <w:rsid w:val="001E03F6"/>
    <w:rsid w:val="001E0424"/>
    <w:rsid w:val="001E044A"/>
    <w:rsid w:val="001E0633"/>
    <w:rsid w:val="001E069C"/>
    <w:rsid w:val="001E06A3"/>
    <w:rsid w:val="001E06A8"/>
    <w:rsid w:val="001E06BA"/>
    <w:rsid w:val="001E0749"/>
    <w:rsid w:val="001E07BD"/>
    <w:rsid w:val="001E07C4"/>
    <w:rsid w:val="001E07E2"/>
    <w:rsid w:val="001E0837"/>
    <w:rsid w:val="001E087A"/>
    <w:rsid w:val="001E0885"/>
    <w:rsid w:val="001E08E8"/>
    <w:rsid w:val="001E091B"/>
    <w:rsid w:val="001E09C6"/>
    <w:rsid w:val="001E0A25"/>
    <w:rsid w:val="001E0A40"/>
    <w:rsid w:val="001E0A49"/>
    <w:rsid w:val="001E0A56"/>
    <w:rsid w:val="001E0B28"/>
    <w:rsid w:val="001E0B2C"/>
    <w:rsid w:val="001E0BC3"/>
    <w:rsid w:val="001E0C42"/>
    <w:rsid w:val="001E0C5F"/>
    <w:rsid w:val="001E0C64"/>
    <w:rsid w:val="001E0C75"/>
    <w:rsid w:val="001E0C83"/>
    <w:rsid w:val="001E0CC9"/>
    <w:rsid w:val="001E0CCB"/>
    <w:rsid w:val="001E0D7B"/>
    <w:rsid w:val="001E0D87"/>
    <w:rsid w:val="001E0E0E"/>
    <w:rsid w:val="001E0E10"/>
    <w:rsid w:val="001E0E14"/>
    <w:rsid w:val="001E0E4B"/>
    <w:rsid w:val="001E0E6E"/>
    <w:rsid w:val="001E0E7E"/>
    <w:rsid w:val="001E0ECE"/>
    <w:rsid w:val="001E0EF7"/>
    <w:rsid w:val="001E0F0C"/>
    <w:rsid w:val="001E0F4B"/>
    <w:rsid w:val="001E0F4C"/>
    <w:rsid w:val="001E0F57"/>
    <w:rsid w:val="001E100A"/>
    <w:rsid w:val="001E1015"/>
    <w:rsid w:val="001E1046"/>
    <w:rsid w:val="001E10A3"/>
    <w:rsid w:val="001E10B0"/>
    <w:rsid w:val="001E10CF"/>
    <w:rsid w:val="001E1227"/>
    <w:rsid w:val="001E127D"/>
    <w:rsid w:val="001E1282"/>
    <w:rsid w:val="001E1286"/>
    <w:rsid w:val="001E1295"/>
    <w:rsid w:val="001E129A"/>
    <w:rsid w:val="001E12B8"/>
    <w:rsid w:val="001E1307"/>
    <w:rsid w:val="001E130B"/>
    <w:rsid w:val="001E1335"/>
    <w:rsid w:val="001E13F7"/>
    <w:rsid w:val="001E1401"/>
    <w:rsid w:val="001E1408"/>
    <w:rsid w:val="001E141A"/>
    <w:rsid w:val="001E1422"/>
    <w:rsid w:val="001E1432"/>
    <w:rsid w:val="001E146C"/>
    <w:rsid w:val="001E1538"/>
    <w:rsid w:val="001E153C"/>
    <w:rsid w:val="001E158D"/>
    <w:rsid w:val="001E1696"/>
    <w:rsid w:val="001E16A4"/>
    <w:rsid w:val="001E16A6"/>
    <w:rsid w:val="001E16C7"/>
    <w:rsid w:val="001E16E3"/>
    <w:rsid w:val="001E16ED"/>
    <w:rsid w:val="001E1775"/>
    <w:rsid w:val="001E17A0"/>
    <w:rsid w:val="001E17C3"/>
    <w:rsid w:val="001E17CF"/>
    <w:rsid w:val="001E1812"/>
    <w:rsid w:val="001E182A"/>
    <w:rsid w:val="001E1889"/>
    <w:rsid w:val="001E1892"/>
    <w:rsid w:val="001E18B7"/>
    <w:rsid w:val="001E18C0"/>
    <w:rsid w:val="001E1915"/>
    <w:rsid w:val="001E191D"/>
    <w:rsid w:val="001E192B"/>
    <w:rsid w:val="001E1955"/>
    <w:rsid w:val="001E199C"/>
    <w:rsid w:val="001E19D6"/>
    <w:rsid w:val="001E1A0D"/>
    <w:rsid w:val="001E1A0E"/>
    <w:rsid w:val="001E1A3B"/>
    <w:rsid w:val="001E1A5F"/>
    <w:rsid w:val="001E1AAF"/>
    <w:rsid w:val="001E1AB0"/>
    <w:rsid w:val="001E1AEB"/>
    <w:rsid w:val="001E1B45"/>
    <w:rsid w:val="001E1B47"/>
    <w:rsid w:val="001E1B65"/>
    <w:rsid w:val="001E1B80"/>
    <w:rsid w:val="001E1B95"/>
    <w:rsid w:val="001E1BF6"/>
    <w:rsid w:val="001E1C1F"/>
    <w:rsid w:val="001E1C38"/>
    <w:rsid w:val="001E1CCD"/>
    <w:rsid w:val="001E1D34"/>
    <w:rsid w:val="001E1D5C"/>
    <w:rsid w:val="001E1DEF"/>
    <w:rsid w:val="001E1E2B"/>
    <w:rsid w:val="001E1E2F"/>
    <w:rsid w:val="001E1E48"/>
    <w:rsid w:val="001E1E78"/>
    <w:rsid w:val="001E1EDA"/>
    <w:rsid w:val="001E1F63"/>
    <w:rsid w:val="001E1F6B"/>
    <w:rsid w:val="001E1F9D"/>
    <w:rsid w:val="001E1FEE"/>
    <w:rsid w:val="001E2002"/>
    <w:rsid w:val="001E2006"/>
    <w:rsid w:val="001E203E"/>
    <w:rsid w:val="001E204E"/>
    <w:rsid w:val="001E2074"/>
    <w:rsid w:val="001E20A7"/>
    <w:rsid w:val="001E20A8"/>
    <w:rsid w:val="001E20AB"/>
    <w:rsid w:val="001E2100"/>
    <w:rsid w:val="001E212D"/>
    <w:rsid w:val="001E214C"/>
    <w:rsid w:val="001E2185"/>
    <w:rsid w:val="001E21E7"/>
    <w:rsid w:val="001E2214"/>
    <w:rsid w:val="001E223A"/>
    <w:rsid w:val="001E2244"/>
    <w:rsid w:val="001E224E"/>
    <w:rsid w:val="001E22A0"/>
    <w:rsid w:val="001E22D3"/>
    <w:rsid w:val="001E22F8"/>
    <w:rsid w:val="001E230B"/>
    <w:rsid w:val="001E2394"/>
    <w:rsid w:val="001E23A7"/>
    <w:rsid w:val="001E23B8"/>
    <w:rsid w:val="001E23E7"/>
    <w:rsid w:val="001E245C"/>
    <w:rsid w:val="001E24AE"/>
    <w:rsid w:val="001E2550"/>
    <w:rsid w:val="001E25F6"/>
    <w:rsid w:val="001E25FD"/>
    <w:rsid w:val="001E260A"/>
    <w:rsid w:val="001E2659"/>
    <w:rsid w:val="001E26A6"/>
    <w:rsid w:val="001E26BA"/>
    <w:rsid w:val="001E26CC"/>
    <w:rsid w:val="001E26F7"/>
    <w:rsid w:val="001E2753"/>
    <w:rsid w:val="001E2771"/>
    <w:rsid w:val="001E27C3"/>
    <w:rsid w:val="001E2839"/>
    <w:rsid w:val="001E2861"/>
    <w:rsid w:val="001E2881"/>
    <w:rsid w:val="001E28E7"/>
    <w:rsid w:val="001E2921"/>
    <w:rsid w:val="001E2940"/>
    <w:rsid w:val="001E2999"/>
    <w:rsid w:val="001E29A7"/>
    <w:rsid w:val="001E29EF"/>
    <w:rsid w:val="001E2A19"/>
    <w:rsid w:val="001E2A42"/>
    <w:rsid w:val="001E2A5F"/>
    <w:rsid w:val="001E2AC8"/>
    <w:rsid w:val="001E2AD6"/>
    <w:rsid w:val="001E2AF1"/>
    <w:rsid w:val="001E2B49"/>
    <w:rsid w:val="001E2B99"/>
    <w:rsid w:val="001E2B9D"/>
    <w:rsid w:val="001E2C08"/>
    <w:rsid w:val="001E2C3A"/>
    <w:rsid w:val="001E2C4B"/>
    <w:rsid w:val="001E2C9A"/>
    <w:rsid w:val="001E2CAC"/>
    <w:rsid w:val="001E2D14"/>
    <w:rsid w:val="001E2D2E"/>
    <w:rsid w:val="001E2E03"/>
    <w:rsid w:val="001E2E19"/>
    <w:rsid w:val="001E2E53"/>
    <w:rsid w:val="001E2EC6"/>
    <w:rsid w:val="001E2EE9"/>
    <w:rsid w:val="001E2F1F"/>
    <w:rsid w:val="001E2F97"/>
    <w:rsid w:val="001E3013"/>
    <w:rsid w:val="001E301B"/>
    <w:rsid w:val="001E3043"/>
    <w:rsid w:val="001E308E"/>
    <w:rsid w:val="001E30AE"/>
    <w:rsid w:val="001E315D"/>
    <w:rsid w:val="001E3166"/>
    <w:rsid w:val="001E316D"/>
    <w:rsid w:val="001E31AD"/>
    <w:rsid w:val="001E31F1"/>
    <w:rsid w:val="001E3204"/>
    <w:rsid w:val="001E329E"/>
    <w:rsid w:val="001E32BB"/>
    <w:rsid w:val="001E32C8"/>
    <w:rsid w:val="001E3379"/>
    <w:rsid w:val="001E337B"/>
    <w:rsid w:val="001E33AD"/>
    <w:rsid w:val="001E33C5"/>
    <w:rsid w:val="001E33E3"/>
    <w:rsid w:val="001E34BD"/>
    <w:rsid w:val="001E34E3"/>
    <w:rsid w:val="001E3508"/>
    <w:rsid w:val="001E3529"/>
    <w:rsid w:val="001E35D5"/>
    <w:rsid w:val="001E360C"/>
    <w:rsid w:val="001E3624"/>
    <w:rsid w:val="001E3679"/>
    <w:rsid w:val="001E3686"/>
    <w:rsid w:val="001E36C8"/>
    <w:rsid w:val="001E375E"/>
    <w:rsid w:val="001E37E2"/>
    <w:rsid w:val="001E383D"/>
    <w:rsid w:val="001E3855"/>
    <w:rsid w:val="001E3863"/>
    <w:rsid w:val="001E38AE"/>
    <w:rsid w:val="001E3993"/>
    <w:rsid w:val="001E39A3"/>
    <w:rsid w:val="001E39A8"/>
    <w:rsid w:val="001E39D1"/>
    <w:rsid w:val="001E39EC"/>
    <w:rsid w:val="001E3A62"/>
    <w:rsid w:val="001E3A84"/>
    <w:rsid w:val="001E3B13"/>
    <w:rsid w:val="001E3B90"/>
    <w:rsid w:val="001E3BAF"/>
    <w:rsid w:val="001E3BD8"/>
    <w:rsid w:val="001E3C1C"/>
    <w:rsid w:val="001E3C40"/>
    <w:rsid w:val="001E3C4B"/>
    <w:rsid w:val="001E3C8B"/>
    <w:rsid w:val="001E3CFE"/>
    <w:rsid w:val="001E3D12"/>
    <w:rsid w:val="001E3DAF"/>
    <w:rsid w:val="001E3DCA"/>
    <w:rsid w:val="001E3DDE"/>
    <w:rsid w:val="001E3EF7"/>
    <w:rsid w:val="001E3F18"/>
    <w:rsid w:val="001E3F20"/>
    <w:rsid w:val="001E3F41"/>
    <w:rsid w:val="001E4038"/>
    <w:rsid w:val="001E403F"/>
    <w:rsid w:val="001E40C6"/>
    <w:rsid w:val="001E410C"/>
    <w:rsid w:val="001E410D"/>
    <w:rsid w:val="001E415F"/>
    <w:rsid w:val="001E42C1"/>
    <w:rsid w:val="001E4302"/>
    <w:rsid w:val="001E431A"/>
    <w:rsid w:val="001E431B"/>
    <w:rsid w:val="001E4355"/>
    <w:rsid w:val="001E4357"/>
    <w:rsid w:val="001E4385"/>
    <w:rsid w:val="001E4416"/>
    <w:rsid w:val="001E4424"/>
    <w:rsid w:val="001E4484"/>
    <w:rsid w:val="001E4499"/>
    <w:rsid w:val="001E44B2"/>
    <w:rsid w:val="001E4514"/>
    <w:rsid w:val="001E4571"/>
    <w:rsid w:val="001E4580"/>
    <w:rsid w:val="001E45D0"/>
    <w:rsid w:val="001E45DD"/>
    <w:rsid w:val="001E45DE"/>
    <w:rsid w:val="001E4694"/>
    <w:rsid w:val="001E469C"/>
    <w:rsid w:val="001E46D1"/>
    <w:rsid w:val="001E474E"/>
    <w:rsid w:val="001E47BD"/>
    <w:rsid w:val="001E47D3"/>
    <w:rsid w:val="001E47DB"/>
    <w:rsid w:val="001E485F"/>
    <w:rsid w:val="001E489A"/>
    <w:rsid w:val="001E48A0"/>
    <w:rsid w:val="001E4960"/>
    <w:rsid w:val="001E499D"/>
    <w:rsid w:val="001E49B3"/>
    <w:rsid w:val="001E49BF"/>
    <w:rsid w:val="001E49DE"/>
    <w:rsid w:val="001E49E5"/>
    <w:rsid w:val="001E4A0D"/>
    <w:rsid w:val="001E4A12"/>
    <w:rsid w:val="001E4A5F"/>
    <w:rsid w:val="001E4A93"/>
    <w:rsid w:val="001E4ACB"/>
    <w:rsid w:val="001E4B14"/>
    <w:rsid w:val="001E4B20"/>
    <w:rsid w:val="001E4B59"/>
    <w:rsid w:val="001E4B5B"/>
    <w:rsid w:val="001E4B93"/>
    <w:rsid w:val="001E4BB5"/>
    <w:rsid w:val="001E4C26"/>
    <w:rsid w:val="001E4C40"/>
    <w:rsid w:val="001E4C9F"/>
    <w:rsid w:val="001E4CED"/>
    <w:rsid w:val="001E4D0A"/>
    <w:rsid w:val="001E4D2B"/>
    <w:rsid w:val="001E4D69"/>
    <w:rsid w:val="001E4DCC"/>
    <w:rsid w:val="001E4DD0"/>
    <w:rsid w:val="001E4E1B"/>
    <w:rsid w:val="001E4E1D"/>
    <w:rsid w:val="001E4E42"/>
    <w:rsid w:val="001E4E59"/>
    <w:rsid w:val="001E4ED2"/>
    <w:rsid w:val="001E4EF7"/>
    <w:rsid w:val="001E4F21"/>
    <w:rsid w:val="001E4F33"/>
    <w:rsid w:val="001E4FC1"/>
    <w:rsid w:val="001E5036"/>
    <w:rsid w:val="001E5145"/>
    <w:rsid w:val="001E5150"/>
    <w:rsid w:val="001E51A4"/>
    <w:rsid w:val="001E51BB"/>
    <w:rsid w:val="001E51C2"/>
    <w:rsid w:val="001E51C7"/>
    <w:rsid w:val="001E51D2"/>
    <w:rsid w:val="001E51E3"/>
    <w:rsid w:val="001E5220"/>
    <w:rsid w:val="001E5234"/>
    <w:rsid w:val="001E5262"/>
    <w:rsid w:val="001E52A3"/>
    <w:rsid w:val="001E52F6"/>
    <w:rsid w:val="001E5339"/>
    <w:rsid w:val="001E5350"/>
    <w:rsid w:val="001E539C"/>
    <w:rsid w:val="001E53BC"/>
    <w:rsid w:val="001E53ED"/>
    <w:rsid w:val="001E540F"/>
    <w:rsid w:val="001E5448"/>
    <w:rsid w:val="001E54AB"/>
    <w:rsid w:val="001E54D1"/>
    <w:rsid w:val="001E5552"/>
    <w:rsid w:val="001E55C2"/>
    <w:rsid w:val="001E55EE"/>
    <w:rsid w:val="001E5607"/>
    <w:rsid w:val="001E5613"/>
    <w:rsid w:val="001E561F"/>
    <w:rsid w:val="001E5652"/>
    <w:rsid w:val="001E5758"/>
    <w:rsid w:val="001E5762"/>
    <w:rsid w:val="001E5811"/>
    <w:rsid w:val="001E5815"/>
    <w:rsid w:val="001E584F"/>
    <w:rsid w:val="001E587E"/>
    <w:rsid w:val="001E5A6D"/>
    <w:rsid w:val="001E5A94"/>
    <w:rsid w:val="001E5A9A"/>
    <w:rsid w:val="001E5B34"/>
    <w:rsid w:val="001E5B3B"/>
    <w:rsid w:val="001E5B42"/>
    <w:rsid w:val="001E5B4E"/>
    <w:rsid w:val="001E5B54"/>
    <w:rsid w:val="001E5B6B"/>
    <w:rsid w:val="001E5B9E"/>
    <w:rsid w:val="001E5BB9"/>
    <w:rsid w:val="001E5BD9"/>
    <w:rsid w:val="001E5C0F"/>
    <w:rsid w:val="001E5C14"/>
    <w:rsid w:val="001E5C38"/>
    <w:rsid w:val="001E5C45"/>
    <w:rsid w:val="001E5C65"/>
    <w:rsid w:val="001E5CC6"/>
    <w:rsid w:val="001E5CF5"/>
    <w:rsid w:val="001E5DD6"/>
    <w:rsid w:val="001E5E3F"/>
    <w:rsid w:val="001E5E67"/>
    <w:rsid w:val="001E5E77"/>
    <w:rsid w:val="001E5E7F"/>
    <w:rsid w:val="001E5E8E"/>
    <w:rsid w:val="001E5EAF"/>
    <w:rsid w:val="001E5F02"/>
    <w:rsid w:val="001E5F85"/>
    <w:rsid w:val="001E6002"/>
    <w:rsid w:val="001E602A"/>
    <w:rsid w:val="001E6054"/>
    <w:rsid w:val="001E60BB"/>
    <w:rsid w:val="001E60CF"/>
    <w:rsid w:val="001E610A"/>
    <w:rsid w:val="001E6171"/>
    <w:rsid w:val="001E61B3"/>
    <w:rsid w:val="001E620C"/>
    <w:rsid w:val="001E622B"/>
    <w:rsid w:val="001E62C0"/>
    <w:rsid w:val="001E632F"/>
    <w:rsid w:val="001E633E"/>
    <w:rsid w:val="001E63F3"/>
    <w:rsid w:val="001E6416"/>
    <w:rsid w:val="001E64BB"/>
    <w:rsid w:val="001E6523"/>
    <w:rsid w:val="001E6545"/>
    <w:rsid w:val="001E6564"/>
    <w:rsid w:val="001E656E"/>
    <w:rsid w:val="001E6689"/>
    <w:rsid w:val="001E6712"/>
    <w:rsid w:val="001E671C"/>
    <w:rsid w:val="001E677E"/>
    <w:rsid w:val="001E6791"/>
    <w:rsid w:val="001E6798"/>
    <w:rsid w:val="001E67A2"/>
    <w:rsid w:val="001E67BE"/>
    <w:rsid w:val="001E67CA"/>
    <w:rsid w:val="001E686E"/>
    <w:rsid w:val="001E68A0"/>
    <w:rsid w:val="001E68A1"/>
    <w:rsid w:val="001E68AB"/>
    <w:rsid w:val="001E68CF"/>
    <w:rsid w:val="001E68D8"/>
    <w:rsid w:val="001E68EB"/>
    <w:rsid w:val="001E6909"/>
    <w:rsid w:val="001E6925"/>
    <w:rsid w:val="001E6988"/>
    <w:rsid w:val="001E69A9"/>
    <w:rsid w:val="001E6A33"/>
    <w:rsid w:val="001E6A39"/>
    <w:rsid w:val="001E6A6C"/>
    <w:rsid w:val="001E6AF2"/>
    <w:rsid w:val="001E6B04"/>
    <w:rsid w:val="001E6B0C"/>
    <w:rsid w:val="001E6B11"/>
    <w:rsid w:val="001E6BAF"/>
    <w:rsid w:val="001E6BCB"/>
    <w:rsid w:val="001E6BD0"/>
    <w:rsid w:val="001E6C17"/>
    <w:rsid w:val="001E6D00"/>
    <w:rsid w:val="001E6D10"/>
    <w:rsid w:val="001E6D11"/>
    <w:rsid w:val="001E6D19"/>
    <w:rsid w:val="001E6D63"/>
    <w:rsid w:val="001E6D82"/>
    <w:rsid w:val="001E6E0C"/>
    <w:rsid w:val="001E6E3B"/>
    <w:rsid w:val="001E6E88"/>
    <w:rsid w:val="001E6E91"/>
    <w:rsid w:val="001E6EAA"/>
    <w:rsid w:val="001E6F6D"/>
    <w:rsid w:val="001E6F90"/>
    <w:rsid w:val="001E6FA8"/>
    <w:rsid w:val="001E6FAF"/>
    <w:rsid w:val="001E7072"/>
    <w:rsid w:val="001E70DA"/>
    <w:rsid w:val="001E7101"/>
    <w:rsid w:val="001E716A"/>
    <w:rsid w:val="001E7175"/>
    <w:rsid w:val="001E7177"/>
    <w:rsid w:val="001E71BD"/>
    <w:rsid w:val="001E71C0"/>
    <w:rsid w:val="001E71C3"/>
    <w:rsid w:val="001E71E3"/>
    <w:rsid w:val="001E7274"/>
    <w:rsid w:val="001E72BA"/>
    <w:rsid w:val="001E7319"/>
    <w:rsid w:val="001E7339"/>
    <w:rsid w:val="001E73B9"/>
    <w:rsid w:val="001E73D1"/>
    <w:rsid w:val="001E7401"/>
    <w:rsid w:val="001E7421"/>
    <w:rsid w:val="001E7430"/>
    <w:rsid w:val="001E7445"/>
    <w:rsid w:val="001E746B"/>
    <w:rsid w:val="001E74AE"/>
    <w:rsid w:val="001E74F3"/>
    <w:rsid w:val="001E7555"/>
    <w:rsid w:val="001E755C"/>
    <w:rsid w:val="001E757B"/>
    <w:rsid w:val="001E7641"/>
    <w:rsid w:val="001E7658"/>
    <w:rsid w:val="001E77B7"/>
    <w:rsid w:val="001E77C4"/>
    <w:rsid w:val="001E7891"/>
    <w:rsid w:val="001E78B2"/>
    <w:rsid w:val="001E7927"/>
    <w:rsid w:val="001E7953"/>
    <w:rsid w:val="001E795F"/>
    <w:rsid w:val="001E79B8"/>
    <w:rsid w:val="001E79C7"/>
    <w:rsid w:val="001E7A88"/>
    <w:rsid w:val="001E7B0F"/>
    <w:rsid w:val="001E7D31"/>
    <w:rsid w:val="001E7D62"/>
    <w:rsid w:val="001E7DF1"/>
    <w:rsid w:val="001E7E23"/>
    <w:rsid w:val="001E7E52"/>
    <w:rsid w:val="001E7EEA"/>
    <w:rsid w:val="001F0009"/>
    <w:rsid w:val="001F007C"/>
    <w:rsid w:val="001F0092"/>
    <w:rsid w:val="001F00F1"/>
    <w:rsid w:val="001F0103"/>
    <w:rsid w:val="001F0107"/>
    <w:rsid w:val="001F013D"/>
    <w:rsid w:val="001F014D"/>
    <w:rsid w:val="001F0184"/>
    <w:rsid w:val="001F01FE"/>
    <w:rsid w:val="001F02A4"/>
    <w:rsid w:val="001F02FF"/>
    <w:rsid w:val="001F0364"/>
    <w:rsid w:val="001F03A4"/>
    <w:rsid w:val="001F03B8"/>
    <w:rsid w:val="001F03F4"/>
    <w:rsid w:val="001F040E"/>
    <w:rsid w:val="001F042A"/>
    <w:rsid w:val="001F04EF"/>
    <w:rsid w:val="001F053F"/>
    <w:rsid w:val="001F05E1"/>
    <w:rsid w:val="001F0602"/>
    <w:rsid w:val="001F063D"/>
    <w:rsid w:val="001F06E0"/>
    <w:rsid w:val="001F06EA"/>
    <w:rsid w:val="001F0712"/>
    <w:rsid w:val="001F0734"/>
    <w:rsid w:val="001F0746"/>
    <w:rsid w:val="001F074F"/>
    <w:rsid w:val="001F077B"/>
    <w:rsid w:val="001F078C"/>
    <w:rsid w:val="001F07C0"/>
    <w:rsid w:val="001F07CE"/>
    <w:rsid w:val="001F07F3"/>
    <w:rsid w:val="001F080C"/>
    <w:rsid w:val="001F0820"/>
    <w:rsid w:val="001F08AD"/>
    <w:rsid w:val="001F090B"/>
    <w:rsid w:val="001F0938"/>
    <w:rsid w:val="001F0962"/>
    <w:rsid w:val="001F098C"/>
    <w:rsid w:val="001F09D3"/>
    <w:rsid w:val="001F0A02"/>
    <w:rsid w:val="001F0A04"/>
    <w:rsid w:val="001F0A50"/>
    <w:rsid w:val="001F0A67"/>
    <w:rsid w:val="001F0ABF"/>
    <w:rsid w:val="001F0AE7"/>
    <w:rsid w:val="001F0B01"/>
    <w:rsid w:val="001F0B1A"/>
    <w:rsid w:val="001F0B68"/>
    <w:rsid w:val="001F0BD0"/>
    <w:rsid w:val="001F0BE9"/>
    <w:rsid w:val="001F0C2F"/>
    <w:rsid w:val="001F0C3A"/>
    <w:rsid w:val="001F0C51"/>
    <w:rsid w:val="001F0CA7"/>
    <w:rsid w:val="001F0CB7"/>
    <w:rsid w:val="001F0CFE"/>
    <w:rsid w:val="001F0D4D"/>
    <w:rsid w:val="001F0D6D"/>
    <w:rsid w:val="001F0D71"/>
    <w:rsid w:val="001F0DE9"/>
    <w:rsid w:val="001F0E01"/>
    <w:rsid w:val="001F0E87"/>
    <w:rsid w:val="001F0EC3"/>
    <w:rsid w:val="001F0ED2"/>
    <w:rsid w:val="001F0F14"/>
    <w:rsid w:val="001F0F2E"/>
    <w:rsid w:val="001F0FB9"/>
    <w:rsid w:val="001F0FD3"/>
    <w:rsid w:val="001F0FDE"/>
    <w:rsid w:val="001F104F"/>
    <w:rsid w:val="001F106E"/>
    <w:rsid w:val="001F10B4"/>
    <w:rsid w:val="001F1143"/>
    <w:rsid w:val="001F116B"/>
    <w:rsid w:val="001F1190"/>
    <w:rsid w:val="001F126E"/>
    <w:rsid w:val="001F136F"/>
    <w:rsid w:val="001F13C8"/>
    <w:rsid w:val="001F145B"/>
    <w:rsid w:val="001F1484"/>
    <w:rsid w:val="001F149E"/>
    <w:rsid w:val="001F14DF"/>
    <w:rsid w:val="001F14FC"/>
    <w:rsid w:val="001F154A"/>
    <w:rsid w:val="001F1573"/>
    <w:rsid w:val="001F1580"/>
    <w:rsid w:val="001F15D7"/>
    <w:rsid w:val="001F1602"/>
    <w:rsid w:val="001F1623"/>
    <w:rsid w:val="001F1637"/>
    <w:rsid w:val="001F164D"/>
    <w:rsid w:val="001F166F"/>
    <w:rsid w:val="001F1699"/>
    <w:rsid w:val="001F16B0"/>
    <w:rsid w:val="001F16BB"/>
    <w:rsid w:val="001F16FA"/>
    <w:rsid w:val="001F1806"/>
    <w:rsid w:val="001F185B"/>
    <w:rsid w:val="001F1865"/>
    <w:rsid w:val="001F1887"/>
    <w:rsid w:val="001F18C6"/>
    <w:rsid w:val="001F18F4"/>
    <w:rsid w:val="001F1907"/>
    <w:rsid w:val="001F197E"/>
    <w:rsid w:val="001F19B2"/>
    <w:rsid w:val="001F1A1F"/>
    <w:rsid w:val="001F1A75"/>
    <w:rsid w:val="001F1AD7"/>
    <w:rsid w:val="001F1B19"/>
    <w:rsid w:val="001F1B22"/>
    <w:rsid w:val="001F1B2F"/>
    <w:rsid w:val="001F1B37"/>
    <w:rsid w:val="001F1B47"/>
    <w:rsid w:val="001F1B48"/>
    <w:rsid w:val="001F1BE7"/>
    <w:rsid w:val="001F1C17"/>
    <w:rsid w:val="001F1C8A"/>
    <w:rsid w:val="001F1CAA"/>
    <w:rsid w:val="001F1CBE"/>
    <w:rsid w:val="001F1CD7"/>
    <w:rsid w:val="001F1CE6"/>
    <w:rsid w:val="001F1D0A"/>
    <w:rsid w:val="001F1D14"/>
    <w:rsid w:val="001F1D23"/>
    <w:rsid w:val="001F1D46"/>
    <w:rsid w:val="001F1D4D"/>
    <w:rsid w:val="001F1D6F"/>
    <w:rsid w:val="001F1DB9"/>
    <w:rsid w:val="001F1E71"/>
    <w:rsid w:val="001F1E7C"/>
    <w:rsid w:val="001F1E7D"/>
    <w:rsid w:val="001F1EA4"/>
    <w:rsid w:val="001F2052"/>
    <w:rsid w:val="001F2088"/>
    <w:rsid w:val="001F2098"/>
    <w:rsid w:val="001F20A0"/>
    <w:rsid w:val="001F20C4"/>
    <w:rsid w:val="001F2102"/>
    <w:rsid w:val="001F2147"/>
    <w:rsid w:val="001F217B"/>
    <w:rsid w:val="001F21DE"/>
    <w:rsid w:val="001F2208"/>
    <w:rsid w:val="001F220B"/>
    <w:rsid w:val="001F2231"/>
    <w:rsid w:val="001F229C"/>
    <w:rsid w:val="001F22AB"/>
    <w:rsid w:val="001F22D8"/>
    <w:rsid w:val="001F230E"/>
    <w:rsid w:val="001F232A"/>
    <w:rsid w:val="001F2367"/>
    <w:rsid w:val="001F2378"/>
    <w:rsid w:val="001F23C3"/>
    <w:rsid w:val="001F23E0"/>
    <w:rsid w:val="001F2419"/>
    <w:rsid w:val="001F2468"/>
    <w:rsid w:val="001F2486"/>
    <w:rsid w:val="001F2517"/>
    <w:rsid w:val="001F2553"/>
    <w:rsid w:val="001F2585"/>
    <w:rsid w:val="001F2639"/>
    <w:rsid w:val="001F2662"/>
    <w:rsid w:val="001F2663"/>
    <w:rsid w:val="001F26E9"/>
    <w:rsid w:val="001F2786"/>
    <w:rsid w:val="001F2813"/>
    <w:rsid w:val="001F282D"/>
    <w:rsid w:val="001F283B"/>
    <w:rsid w:val="001F2887"/>
    <w:rsid w:val="001F289F"/>
    <w:rsid w:val="001F28AF"/>
    <w:rsid w:val="001F28E5"/>
    <w:rsid w:val="001F28FD"/>
    <w:rsid w:val="001F29B2"/>
    <w:rsid w:val="001F29F5"/>
    <w:rsid w:val="001F2B07"/>
    <w:rsid w:val="001F2B09"/>
    <w:rsid w:val="001F2B1C"/>
    <w:rsid w:val="001F2B28"/>
    <w:rsid w:val="001F2B5F"/>
    <w:rsid w:val="001F2B68"/>
    <w:rsid w:val="001F2B75"/>
    <w:rsid w:val="001F2C23"/>
    <w:rsid w:val="001F2C7E"/>
    <w:rsid w:val="001F2C90"/>
    <w:rsid w:val="001F2CC0"/>
    <w:rsid w:val="001F2CD1"/>
    <w:rsid w:val="001F2D4C"/>
    <w:rsid w:val="001F2DF6"/>
    <w:rsid w:val="001F2E96"/>
    <w:rsid w:val="001F2EAF"/>
    <w:rsid w:val="001F2EB6"/>
    <w:rsid w:val="001F2FE4"/>
    <w:rsid w:val="001F2FE5"/>
    <w:rsid w:val="001F2FFA"/>
    <w:rsid w:val="001F3092"/>
    <w:rsid w:val="001F3093"/>
    <w:rsid w:val="001F309C"/>
    <w:rsid w:val="001F30EA"/>
    <w:rsid w:val="001F30F9"/>
    <w:rsid w:val="001F31A3"/>
    <w:rsid w:val="001F31D6"/>
    <w:rsid w:val="001F31E2"/>
    <w:rsid w:val="001F31FF"/>
    <w:rsid w:val="001F3259"/>
    <w:rsid w:val="001F3262"/>
    <w:rsid w:val="001F3274"/>
    <w:rsid w:val="001F327B"/>
    <w:rsid w:val="001F3283"/>
    <w:rsid w:val="001F336F"/>
    <w:rsid w:val="001F3393"/>
    <w:rsid w:val="001F33ED"/>
    <w:rsid w:val="001F3427"/>
    <w:rsid w:val="001F3449"/>
    <w:rsid w:val="001F344D"/>
    <w:rsid w:val="001F34BA"/>
    <w:rsid w:val="001F3519"/>
    <w:rsid w:val="001F3539"/>
    <w:rsid w:val="001F3576"/>
    <w:rsid w:val="001F3590"/>
    <w:rsid w:val="001F35E4"/>
    <w:rsid w:val="001F35E9"/>
    <w:rsid w:val="001F3640"/>
    <w:rsid w:val="001F3652"/>
    <w:rsid w:val="001F366E"/>
    <w:rsid w:val="001F36E3"/>
    <w:rsid w:val="001F3705"/>
    <w:rsid w:val="001F3756"/>
    <w:rsid w:val="001F375B"/>
    <w:rsid w:val="001F3765"/>
    <w:rsid w:val="001F378A"/>
    <w:rsid w:val="001F37BF"/>
    <w:rsid w:val="001F380D"/>
    <w:rsid w:val="001F3811"/>
    <w:rsid w:val="001F382A"/>
    <w:rsid w:val="001F38DB"/>
    <w:rsid w:val="001F38FF"/>
    <w:rsid w:val="001F3907"/>
    <w:rsid w:val="001F3916"/>
    <w:rsid w:val="001F395A"/>
    <w:rsid w:val="001F39B2"/>
    <w:rsid w:val="001F39C0"/>
    <w:rsid w:val="001F3A85"/>
    <w:rsid w:val="001F3A89"/>
    <w:rsid w:val="001F3A98"/>
    <w:rsid w:val="001F3AAB"/>
    <w:rsid w:val="001F3ADE"/>
    <w:rsid w:val="001F3AF6"/>
    <w:rsid w:val="001F3AFA"/>
    <w:rsid w:val="001F3B0B"/>
    <w:rsid w:val="001F3B43"/>
    <w:rsid w:val="001F3B4B"/>
    <w:rsid w:val="001F3B62"/>
    <w:rsid w:val="001F3BA0"/>
    <w:rsid w:val="001F3BDE"/>
    <w:rsid w:val="001F3C72"/>
    <w:rsid w:val="001F3C88"/>
    <w:rsid w:val="001F3C8E"/>
    <w:rsid w:val="001F3D15"/>
    <w:rsid w:val="001F3D20"/>
    <w:rsid w:val="001F3D59"/>
    <w:rsid w:val="001F3D8C"/>
    <w:rsid w:val="001F3D9C"/>
    <w:rsid w:val="001F3DB4"/>
    <w:rsid w:val="001F3DD9"/>
    <w:rsid w:val="001F3EC5"/>
    <w:rsid w:val="001F3F02"/>
    <w:rsid w:val="001F3F0C"/>
    <w:rsid w:val="001F3F35"/>
    <w:rsid w:val="001F3F5D"/>
    <w:rsid w:val="001F3F9B"/>
    <w:rsid w:val="001F4009"/>
    <w:rsid w:val="001F4032"/>
    <w:rsid w:val="001F40DB"/>
    <w:rsid w:val="001F4188"/>
    <w:rsid w:val="001F4206"/>
    <w:rsid w:val="001F421F"/>
    <w:rsid w:val="001F4231"/>
    <w:rsid w:val="001F423E"/>
    <w:rsid w:val="001F4264"/>
    <w:rsid w:val="001F42FB"/>
    <w:rsid w:val="001F430B"/>
    <w:rsid w:val="001F4316"/>
    <w:rsid w:val="001F432B"/>
    <w:rsid w:val="001F43A1"/>
    <w:rsid w:val="001F43B2"/>
    <w:rsid w:val="001F43F4"/>
    <w:rsid w:val="001F4519"/>
    <w:rsid w:val="001F4546"/>
    <w:rsid w:val="001F4566"/>
    <w:rsid w:val="001F4610"/>
    <w:rsid w:val="001F4624"/>
    <w:rsid w:val="001F462C"/>
    <w:rsid w:val="001F4740"/>
    <w:rsid w:val="001F4771"/>
    <w:rsid w:val="001F478A"/>
    <w:rsid w:val="001F481C"/>
    <w:rsid w:val="001F4836"/>
    <w:rsid w:val="001F484B"/>
    <w:rsid w:val="001F48B3"/>
    <w:rsid w:val="001F48C8"/>
    <w:rsid w:val="001F48D1"/>
    <w:rsid w:val="001F48E2"/>
    <w:rsid w:val="001F4906"/>
    <w:rsid w:val="001F4A10"/>
    <w:rsid w:val="001F4B41"/>
    <w:rsid w:val="001F4B87"/>
    <w:rsid w:val="001F4B8C"/>
    <w:rsid w:val="001F4B9F"/>
    <w:rsid w:val="001F4BA7"/>
    <w:rsid w:val="001F4BC0"/>
    <w:rsid w:val="001F4BE7"/>
    <w:rsid w:val="001F4C3E"/>
    <w:rsid w:val="001F4CAE"/>
    <w:rsid w:val="001F4CCA"/>
    <w:rsid w:val="001F4CF8"/>
    <w:rsid w:val="001F4D27"/>
    <w:rsid w:val="001F4DAB"/>
    <w:rsid w:val="001F4DC3"/>
    <w:rsid w:val="001F4DF3"/>
    <w:rsid w:val="001F4E30"/>
    <w:rsid w:val="001F4E70"/>
    <w:rsid w:val="001F4E8C"/>
    <w:rsid w:val="001F4EDD"/>
    <w:rsid w:val="001F4F45"/>
    <w:rsid w:val="001F4F9E"/>
    <w:rsid w:val="001F503B"/>
    <w:rsid w:val="001F5070"/>
    <w:rsid w:val="001F509E"/>
    <w:rsid w:val="001F50E0"/>
    <w:rsid w:val="001F510A"/>
    <w:rsid w:val="001F5110"/>
    <w:rsid w:val="001F5114"/>
    <w:rsid w:val="001F5179"/>
    <w:rsid w:val="001F5192"/>
    <w:rsid w:val="001F52CA"/>
    <w:rsid w:val="001F52D9"/>
    <w:rsid w:val="001F52FF"/>
    <w:rsid w:val="001F5338"/>
    <w:rsid w:val="001F5341"/>
    <w:rsid w:val="001F5360"/>
    <w:rsid w:val="001F536E"/>
    <w:rsid w:val="001F53A6"/>
    <w:rsid w:val="001F543D"/>
    <w:rsid w:val="001F545C"/>
    <w:rsid w:val="001F54BB"/>
    <w:rsid w:val="001F54BF"/>
    <w:rsid w:val="001F54DF"/>
    <w:rsid w:val="001F553C"/>
    <w:rsid w:val="001F5562"/>
    <w:rsid w:val="001F55E6"/>
    <w:rsid w:val="001F566F"/>
    <w:rsid w:val="001F56BB"/>
    <w:rsid w:val="001F5757"/>
    <w:rsid w:val="001F57F5"/>
    <w:rsid w:val="001F5835"/>
    <w:rsid w:val="001F58AC"/>
    <w:rsid w:val="001F5938"/>
    <w:rsid w:val="001F593A"/>
    <w:rsid w:val="001F5984"/>
    <w:rsid w:val="001F59E2"/>
    <w:rsid w:val="001F59F2"/>
    <w:rsid w:val="001F5A44"/>
    <w:rsid w:val="001F5A64"/>
    <w:rsid w:val="001F5A6A"/>
    <w:rsid w:val="001F5A73"/>
    <w:rsid w:val="001F5A78"/>
    <w:rsid w:val="001F5A7E"/>
    <w:rsid w:val="001F5A7F"/>
    <w:rsid w:val="001F5ABC"/>
    <w:rsid w:val="001F5AF3"/>
    <w:rsid w:val="001F5B14"/>
    <w:rsid w:val="001F5B3F"/>
    <w:rsid w:val="001F5BA3"/>
    <w:rsid w:val="001F5CAB"/>
    <w:rsid w:val="001F5CD0"/>
    <w:rsid w:val="001F5CE1"/>
    <w:rsid w:val="001F5CF9"/>
    <w:rsid w:val="001F5D1B"/>
    <w:rsid w:val="001F5D76"/>
    <w:rsid w:val="001F5DB8"/>
    <w:rsid w:val="001F5DDA"/>
    <w:rsid w:val="001F5E44"/>
    <w:rsid w:val="001F5E46"/>
    <w:rsid w:val="001F5EA4"/>
    <w:rsid w:val="001F5EDA"/>
    <w:rsid w:val="001F5EE0"/>
    <w:rsid w:val="001F5EFE"/>
    <w:rsid w:val="001F5F40"/>
    <w:rsid w:val="001F5F72"/>
    <w:rsid w:val="001F5FA1"/>
    <w:rsid w:val="001F5FB0"/>
    <w:rsid w:val="001F5FB1"/>
    <w:rsid w:val="001F5FE8"/>
    <w:rsid w:val="001F6059"/>
    <w:rsid w:val="001F6087"/>
    <w:rsid w:val="001F60AF"/>
    <w:rsid w:val="001F60DF"/>
    <w:rsid w:val="001F60EA"/>
    <w:rsid w:val="001F60FD"/>
    <w:rsid w:val="001F6127"/>
    <w:rsid w:val="001F614D"/>
    <w:rsid w:val="001F6168"/>
    <w:rsid w:val="001F616A"/>
    <w:rsid w:val="001F61DF"/>
    <w:rsid w:val="001F6202"/>
    <w:rsid w:val="001F623F"/>
    <w:rsid w:val="001F6253"/>
    <w:rsid w:val="001F6284"/>
    <w:rsid w:val="001F6285"/>
    <w:rsid w:val="001F62EF"/>
    <w:rsid w:val="001F62FC"/>
    <w:rsid w:val="001F630D"/>
    <w:rsid w:val="001F6322"/>
    <w:rsid w:val="001F6356"/>
    <w:rsid w:val="001F6391"/>
    <w:rsid w:val="001F63F2"/>
    <w:rsid w:val="001F6417"/>
    <w:rsid w:val="001F6479"/>
    <w:rsid w:val="001F647D"/>
    <w:rsid w:val="001F64F7"/>
    <w:rsid w:val="001F6578"/>
    <w:rsid w:val="001F65BC"/>
    <w:rsid w:val="001F6664"/>
    <w:rsid w:val="001F6714"/>
    <w:rsid w:val="001F671A"/>
    <w:rsid w:val="001F676B"/>
    <w:rsid w:val="001F6788"/>
    <w:rsid w:val="001F67FD"/>
    <w:rsid w:val="001F6829"/>
    <w:rsid w:val="001F6870"/>
    <w:rsid w:val="001F689C"/>
    <w:rsid w:val="001F68C4"/>
    <w:rsid w:val="001F68FA"/>
    <w:rsid w:val="001F6935"/>
    <w:rsid w:val="001F6936"/>
    <w:rsid w:val="001F695B"/>
    <w:rsid w:val="001F6999"/>
    <w:rsid w:val="001F69C5"/>
    <w:rsid w:val="001F69F9"/>
    <w:rsid w:val="001F6A05"/>
    <w:rsid w:val="001F6B95"/>
    <w:rsid w:val="001F6C05"/>
    <w:rsid w:val="001F6C0E"/>
    <w:rsid w:val="001F6C44"/>
    <w:rsid w:val="001F6C86"/>
    <w:rsid w:val="001F6C89"/>
    <w:rsid w:val="001F6D21"/>
    <w:rsid w:val="001F6D9B"/>
    <w:rsid w:val="001F6DC8"/>
    <w:rsid w:val="001F6DFF"/>
    <w:rsid w:val="001F6EFD"/>
    <w:rsid w:val="001F7006"/>
    <w:rsid w:val="001F7021"/>
    <w:rsid w:val="001F707C"/>
    <w:rsid w:val="001F70BF"/>
    <w:rsid w:val="001F70C8"/>
    <w:rsid w:val="001F70D1"/>
    <w:rsid w:val="001F711D"/>
    <w:rsid w:val="001F7166"/>
    <w:rsid w:val="001F7189"/>
    <w:rsid w:val="001F7199"/>
    <w:rsid w:val="001F7412"/>
    <w:rsid w:val="001F7447"/>
    <w:rsid w:val="001F74EE"/>
    <w:rsid w:val="001F751B"/>
    <w:rsid w:val="001F7543"/>
    <w:rsid w:val="001F7554"/>
    <w:rsid w:val="001F755C"/>
    <w:rsid w:val="001F75EF"/>
    <w:rsid w:val="001F7610"/>
    <w:rsid w:val="001F762E"/>
    <w:rsid w:val="001F767E"/>
    <w:rsid w:val="001F770A"/>
    <w:rsid w:val="001F7721"/>
    <w:rsid w:val="001F7738"/>
    <w:rsid w:val="001F777C"/>
    <w:rsid w:val="001F77B0"/>
    <w:rsid w:val="001F77BC"/>
    <w:rsid w:val="001F77F3"/>
    <w:rsid w:val="001F780C"/>
    <w:rsid w:val="001F786C"/>
    <w:rsid w:val="001F78B6"/>
    <w:rsid w:val="001F78FF"/>
    <w:rsid w:val="001F792D"/>
    <w:rsid w:val="001F7944"/>
    <w:rsid w:val="001F79AF"/>
    <w:rsid w:val="001F7A55"/>
    <w:rsid w:val="001F7AC6"/>
    <w:rsid w:val="001F7AFD"/>
    <w:rsid w:val="001F7B1E"/>
    <w:rsid w:val="001F7B36"/>
    <w:rsid w:val="001F7BEF"/>
    <w:rsid w:val="001F7BFB"/>
    <w:rsid w:val="001F7C07"/>
    <w:rsid w:val="001F7C4E"/>
    <w:rsid w:val="001F7CA3"/>
    <w:rsid w:val="001F7CD3"/>
    <w:rsid w:val="001F7D89"/>
    <w:rsid w:val="001F7DC3"/>
    <w:rsid w:val="001F7DD5"/>
    <w:rsid w:val="001F7ED7"/>
    <w:rsid w:val="001F7EFB"/>
    <w:rsid w:val="001F7F11"/>
    <w:rsid w:val="001F7F80"/>
    <w:rsid w:val="001F7F92"/>
    <w:rsid w:val="001F7FA3"/>
    <w:rsid w:val="001F7FA9"/>
    <w:rsid w:val="001F88C2"/>
    <w:rsid w:val="001F8F56"/>
    <w:rsid w:val="0020001C"/>
    <w:rsid w:val="00200067"/>
    <w:rsid w:val="00200068"/>
    <w:rsid w:val="00200105"/>
    <w:rsid w:val="002001A8"/>
    <w:rsid w:val="002001AC"/>
    <w:rsid w:val="002001D7"/>
    <w:rsid w:val="002001F2"/>
    <w:rsid w:val="0020021C"/>
    <w:rsid w:val="0020022F"/>
    <w:rsid w:val="00200246"/>
    <w:rsid w:val="0020028C"/>
    <w:rsid w:val="002002DF"/>
    <w:rsid w:val="0020033A"/>
    <w:rsid w:val="0020033B"/>
    <w:rsid w:val="0020033E"/>
    <w:rsid w:val="0020039A"/>
    <w:rsid w:val="002003C3"/>
    <w:rsid w:val="002003F8"/>
    <w:rsid w:val="002003FE"/>
    <w:rsid w:val="00200486"/>
    <w:rsid w:val="002004AF"/>
    <w:rsid w:val="002004C1"/>
    <w:rsid w:val="002004E7"/>
    <w:rsid w:val="002004F1"/>
    <w:rsid w:val="00200508"/>
    <w:rsid w:val="00200530"/>
    <w:rsid w:val="00200567"/>
    <w:rsid w:val="00200573"/>
    <w:rsid w:val="002005C8"/>
    <w:rsid w:val="0020060C"/>
    <w:rsid w:val="0020060D"/>
    <w:rsid w:val="00200664"/>
    <w:rsid w:val="00200781"/>
    <w:rsid w:val="002007F2"/>
    <w:rsid w:val="00200830"/>
    <w:rsid w:val="00200838"/>
    <w:rsid w:val="002008F0"/>
    <w:rsid w:val="00200919"/>
    <w:rsid w:val="00200972"/>
    <w:rsid w:val="00200A37"/>
    <w:rsid w:val="00200A80"/>
    <w:rsid w:val="00200B23"/>
    <w:rsid w:val="00200BDD"/>
    <w:rsid w:val="00200CBE"/>
    <w:rsid w:val="00200D14"/>
    <w:rsid w:val="00200D65"/>
    <w:rsid w:val="00200D6B"/>
    <w:rsid w:val="00200DA0"/>
    <w:rsid w:val="00200DA1"/>
    <w:rsid w:val="00200DD6"/>
    <w:rsid w:val="00200E55"/>
    <w:rsid w:val="00200E7D"/>
    <w:rsid w:val="00200EA6"/>
    <w:rsid w:val="00200F6E"/>
    <w:rsid w:val="0020103A"/>
    <w:rsid w:val="002010C3"/>
    <w:rsid w:val="002010E2"/>
    <w:rsid w:val="002010FB"/>
    <w:rsid w:val="0020111E"/>
    <w:rsid w:val="00201134"/>
    <w:rsid w:val="00201153"/>
    <w:rsid w:val="0020116A"/>
    <w:rsid w:val="0020118D"/>
    <w:rsid w:val="002011B3"/>
    <w:rsid w:val="00201254"/>
    <w:rsid w:val="002012D4"/>
    <w:rsid w:val="002012E2"/>
    <w:rsid w:val="002012F3"/>
    <w:rsid w:val="0020130A"/>
    <w:rsid w:val="002013C1"/>
    <w:rsid w:val="002013CB"/>
    <w:rsid w:val="002014F5"/>
    <w:rsid w:val="0020150D"/>
    <w:rsid w:val="0020154A"/>
    <w:rsid w:val="002015A4"/>
    <w:rsid w:val="002015AD"/>
    <w:rsid w:val="002015F0"/>
    <w:rsid w:val="00201636"/>
    <w:rsid w:val="0020165A"/>
    <w:rsid w:val="00201675"/>
    <w:rsid w:val="0020169A"/>
    <w:rsid w:val="00201787"/>
    <w:rsid w:val="0020178D"/>
    <w:rsid w:val="002018A1"/>
    <w:rsid w:val="002018EF"/>
    <w:rsid w:val="0020192E"/>
    <w:rsid w:val="00201938"/>
    <w:rsid w:val="0020195F"/>
    <w:rsid w:val="00201982"/>
    <w:rsid w:val="00201A77"/>
    <w:rsid w:val="00201AC3"/>
    <w:rsid w:val="00201AC8"/>
    <w:rsid w:val="00201B06"/>
    <w:rsid w:val="00201B41"/>
    <w:rsid w:val="00201B96"/>
    <w:rsid w:val="00201BE1"/>
    <w:rsid w:val="00201BF1"/>
    <w:rsid w:val="00201BF2"/>
    <w:rsid w:val="00201C24"/>
    <w:rsid w:val="00201C54"/>
    <w:rsid w:val="00201C60"/>
    <w:rsid w:val="00201C70"/>
    <w:rsid w:val="00201CE5"/>
    <w:rsid w:val="00201DEE"/>
    <w:rsid w:val="00201E64"/>
    <w:rsid w:val="00201EC5"/>
    <w:rsid w:val="00201F27"/>
    <w:rsid w:val="00201F36"/>
    <w:rsid w:val="00201F53"/>
    <w:rsid w:val="00201F79"/>
    <w:rsid w:val="00201F95"/>
    <w:rsid w:val="0020204D"/>
    <w:rsid w:val="00202116"/>
    <w:rsid w:val="00202176"/>
    <w:rsid w:val="00202193"/>
    <w:rsid w:val="00202247"/>
    <w:rsid w:val="00202302"/>
    <w:rsid w:val="0020230C"/>
    <w:rsid w:val="0020239B"/>
    <w:rsid w:val="002023F2"/>
    <w:rsid w:val="00202485"/>
    <w:rsid w:val="002024E3"/>
    <w:rsid w:val="002024FA"/>
    <w:rsid w:val="0020252D"/>
    <w:rsid w:val="0020253D"/>
    <w:rsid w:val="0020259C"/>
    <w:rsid w:val="00202663"/>
    <w:rsid w:val="0020269E"/>
    <w:rsid w:val="002026B8"/>
    <w:rsid w:val="00202792"/>
    <w:rsid w:val="002027A3"/>
    <w:rsid w:val="0020281B"/>
    <w:rsid w:val="00202853"/>
    <w:rsid w:val="00202860"/>
    <w:rsid w:val="002028B0"/>
    <w:rsid w:val="002028CD"/>
    <w:rsid w:val="0020293D"/>
    <w:rsid w:val="0020298F"/>
    <w:rsid w:val="002029DC"/>
    <w:rsid w:val="002029DF"/>
    <w:rsid w:val="002029F3"/>
    <w:rsid w:val="00202A24"/>
    <w:rsid w:val="00202AFD"/>
    <w:rsid w:val="00202BA1"/>
    <w:rsid w:val="00202BB2"/>
    <w:rsid w:val="00202BEE"/>
    <w:rsid w:val="00202C1D"/>
    <w:rsid w:val="00202C48"/>
    <w:rsid w:val="00202CB6"/>
    <w:rsid w:val="00202CCD"/>
    <w:rsid w:val="00202CD6"/>
    <w:rsid w:val="00202D0D"/>
    <w:rsid w:val="00202D16"/>
    <w:rsid w:val="00202D47"/>
    <w:rsid w:val="00202D5E"/>
    <w:rsid w:val="00202D74"/>
    <w:rsid w:val="00202D91"/>
    <w:rsid w:val="00202DB8"/>
    <w:rsid w:val="00202E2A"/>
    <w:rsid w:val="00202E34"/>
    <w:rsid w:val="00202E7B"/>
    <w:rsid w:val="00202EA9"/>
    <w:rsid w:val="00202F3B"/>
    <w:rsid w:val="00202F4E"/>
    <w:rsid w:val="00202F6F"/>
    <w:rsid w:val="00202F71"/>
    <w:rsid w:val="00202F73"/>
    <w:rsid w:val="00202FC7"/>
    <w:rsid w:val="00203018"/>
    <w:rsid w:val="0020303B"/>
    <w:rsid w:val="002030D5"/>
    <w:rsid w:val="00203110"/>
    <w:rsid w:val="00203131"/>
    <w:rsid w:val="0020318A"/>
    <w:rsid w:val="002031B0"/>
    <w:rsid w:val="002031EE"/>
    <w:rsid w:val="002031F6"/>
    <w:rsid w:val="0020321E"/>
    <w:rsid w:val="002032A8"/>
    <w:rsid w:val="0020330B"/>
    <w:rsid w:val="002033BC"/>
    <w:rsid w:val="002033C0"/>
    <w:rsid w:val="002033D6"/>
    <w:rsid w:val="002033E8"/>
    <w:rsid w:val="002033F1"/>
    <w:rsid w:val="002034A8"/>
    <w:rsid w:val="002035BE"/>
    <w:rsid w:val="0020360E"/>
    <w:rsid w:val="0020362F"/>
    <w:rsid w:val="0020366A"/>
    <w:rsid w:val="00203671"/>
    <w:rsid w:val="002036B6"/>
    <w:rsid w:val="002036F5"/>
    <w:rsid w:val="002036FD"/>
    <w:rsid w:val="0020374E"/>
    <w:rsid w:val="00203797"/>
    <w:rsid w:val="002037AE"/>
    <w:rsid w:val="002037CA"/>
    <w:rsid w:val="002037ED"/>
    <w:rsid w:val="0020380C"/>
    <w:rsid w:val="0020382D"/>
    <w:rsid w:val="00203831"/>
    <w:rsid w:val="00203845"/>
    <w:rsid w:val="00203850"/>
    <w:rsid w:val="00203935"/>
    <w:rsid w:val="002039A6"/>
    <w:rsid w:val="002039BF"/>
    <w:rsid w:val="002039C7"/>
    <w:rsid w:val="00203A00"/>
    <w:rsid w:val="00203A0A"/>
    <w:rsid w:val="00203A10"/>
    <w:rsid w:val="00203A25"/>
    <w:rsid w:val="00203A8B"/>
    <w:rsid w:val="00203AC5"/>
    <w:rsid w:val="00203AFC"/>
    <w:rsid w:val="00203B52"/>
    <w:rsid w:val="00203B5F"/>
    <w:rsid w:val="00203B83"/>
    <w:rsid w:val="00203BA1"/>
    <w:rsid w:val="00203C32"/>
    <w:rsid w:val="00203C96"/>
    <w:rsid w:val="00203CA1"/>
    <w:rsid w:val="00203CFB"/>
    <w:rsid w:val="00203CFF"/>
    <w:rsid w:val="00203D33"/>
    <w:rsid w:val="00203D6C"/>
    <w:rsid w:val="00203D90"/>
    <w:rsid w:val="00203DEA"/>
    <w:rsid w:val="00203E32"/>
    <w:rsid w:val="00203ED0"/>
    <w:rsid w:val="00203EE0"/>
    <w:rsid w:val="00203EE1"/>
    <w:rsid w:val="00203F03"/>
    <w:rsid w:val="00203F19"/>
    <w:rsid w:val="00203F4C"/>
    <w:rsid w:val="00203F8E"/>
    <w:rsid w:val="00203FF1"/>
    <w:rsid w:val="0020400F"/>
    <w:rsid w:val="0020405C"/>
    <w:rsid w:val="00204076"/>
    <w:rsid w:val="00204099"/>
    <w:rsid w:val="002040B3"/>
    <w:rsid w:val="002040D1"/>
    <w:rsid w:val="002041AA"/>
    <w:rsid w:val="002041FA"/>
    <w:rsid w:val="00204254"/>
    <w:rsid w:val="002042E4"/>
    <w:rsid w:val="0020431D"/>
    <w:rsid w:val="0020434F"/>
    <w:rsid w:val="002043AE"/>
    <w:rsid w:val="002044CF"/>
    <w:rsid w:val="00204542"/>
    <w:rsid w:val="00204591"/>
    <w:rsid w:val="002045BB"/>
    <w:rsid w:val="002046C9"/>
    <w:rsid w:val="002046F1"/>
    <w:rsid w:val="00204718"/>
    <w:rsid w:val="0020471A"/>
    <w:rsid w:val="0020476D"/>
    <w:rsid w:val="002047DB"/>
    <w:rsid w:val="00204811"/>
    <w:rsid w:val="0020484E"/>
    <w:rsid w:val="00204881"/>
    <w:rsid w:val="0020489E"/>
    <w:rsid w:val="0020491B"/>
    <w:rsid w:val="0020494A"/>
    <w:rsid w:val="002049B2"/>
    <w:rsid w:val="002049E4"/>
    <w:rsid w:val="00204A00"/>
    <w:rsid w:val="00204A97"/>
    <w:rsid w:val="00204AAF"/>
    <w:rsid w:val="00204AE6"/>
    <w:rsid w:val="00204B94"/>
    <w:rsid w:val="00204C0C"/>
    <w:rsid w:val="00204C4D"/>
    <w:rsid w:val="00204C76"/>
    <w:rsid w:val="00204CA0"/>
    <w:rsid w:val="00204D57"/>
    <w:rsid w:val="00204DC7"/>
    <w:rsid w:val="00204DCD"/>
    <w:rsid w:val="00204DE1"/>
    <w:rsid w:val="00204DF0"/>
    <w:rsid w:val="00204E18"/>
    <w:rsid w:val="00204E90"/>
    <w:rsid w:val="00204F4B"/>
    <w:rsid w:val="00204FB5"/>
    <w:rsid w:val="00205050"/>
    <w:rsid w:val="00205104"/>
    <w:rsid w:val="00205144"/>
    <w:rsid w:val="0020515F"/>
    <w:rsid w:val="00205195"/>
    <w:rsid w:val="002051D9"/>
    <w:rsid w:val="00205236"/>
    <w:rsid w:val="0020523D"/>
    <w:rsid w:val="0020528B"/>
    <w:rsid w:val="002052AE"/>
    <w:rsid w:val="002052DF"/>
    <w:rsid w:val="00205304"/>
    <w:rsid w:val="00205312"/>
    <w:rsid w:val="00205365"/>
    <w:rsid w:val="0020538D"/>
    <w:rsid w:val="002053C6"/>
    <w:rsid w:val="002054B6"/>
    <w:rsid w:val="002054C9"/>
    <w:rsid w:val="002054E4"/>
    <w:rsid w:val="0020552E"/>
    <w:rsid w:val="0020558A"/>
    <w:rsid w:val="002055CE"/>
    <w:rsid w:val="002055DA"/>
    <w:rsid w:val="0020562C"/>
    <w:rsid w:val="00205672"/>
    <w:rsid w:val="00205689"/>
    <w:rsid w:val="002056A7"/>
    <w:rsid w:val="002056AB"/>
    <w:rsid w:val="00205724"/>
    <w:rsid w:val="00205735"/>
    <w:rsid w:val="0020573A"/>
    <w:rsid w:val="0020573C"/>
    <w:rsid w:val="00205768"/>
    <w:rsid w:val="00205882"/>
    <w:rsid w:val="0020589A"/>
    <w:rsid w:val="00205972"/>
    <w:rsid w:val="002059E6"/>
    <w:rsid w:val="00205A32"/>
    <w:rsid w:val="00205A55"/>
    <w:rsid w:val="00205A5C"/>
    <w:rsid w:val="00205A6C"/>
    <w:rsid w:val="00205A8D"/>
    <w:rsid w:val="00205ABF"/>
    <w:rsid w:val="00205AD6"/>
    <w:rsid w:val="00205B01"/>
    <w:rsid w:val="00205B60"/>
    <w:rsid w:val="00205BBD"/>
    <w:rsid w:val="00205C17"/>
    <w:rsid w:val="00205C84"/>
    <w:rsid w:val="00205CBB"/>
    <w:rsid w:val="00205D05"/>
    <w:rsid w:val="00205D19"/>
    <w:rsid w:val="00205E56"/>
    <w:rsid w:val="00205F68"/>
    <w:rsid w:val="00205F9B"/>
    <w:rsid w:val="00205FCE"/>
    <w:rsid w:val="00205FF1"/>
    <w:rsid w:val="0020600D"/>
    <w:rsid w:val="00206030"/>
    <w:rsid w:val="00206036"/>
    <w:rsid w:val="00206051"/>
    <w:rsid w:val="0020605B"/>
    <w:rsid w:val="002060F6"/>
    <w:rsid w:val="0020610D"/>
    <w:rsid w:val="002061B6"/>
    <w:rsid w:val="002061E8"/>
    <w:rsid w:val="002061F8"/>
    <w:rsid w:val="0020625C"/>
    <w:rsid w:val="00206272"/>
    <w:rsid w:val="00206294"/>
    <w:rsid w:val="002062A3"/>
    <w:rsid w:val="00206308"/>
    <w:rsid w:val="0020631E"/>
    <w:rsid w:val="0020634E"/>
    <w:rsid w:val="0020637C"/>
    <w:rsid w:val="002063BD"/>
    <w:rsid w:val="002063F2"/>
    <w:rsid w:val="002064C2"/>
    <w:rsid w:val="002065A5"/>
    <w:rsid w:val="002065A6"/>
    <w:rsid w:val="002065D0"/>
    <w:rsid w:val="002065EC"/>
    <w:rsid w:val="0020663B"/>
    <w:rsid w:val="00206646"/>
    <w:rsid w:val="002066FD"/>
    <w:rsid w:val="00206754"/>
    <w:rsid w:val="0020676C"/>
    <w:rsid w:val="002067CF"/>
    <w:rsid w:val="002068D7"/>
    <w:rsid w:val="002068E9"/>
    <w:rsid w:val="0020690C"/>
    <w:rsid w:val="0020690F"/>
    <w:rsid w:val="00206992"/>
    <w:rsid w:val="002069AC"/>
    <w:rsid w:val="002069DF"/>
    <w:rsid w:val="002069E2"/>
    <w:rsid w:val="00206A06"/>
    <w:rsid w:val="00206A29"/>
    <w:rsid w:val="00206A61"/>
    <w:rsid w:val="00206A98"/>
    <w:rsid w:val="00206AE5"/>
    <w:rsid w:val="00206B06"/>
    <w:rsid w:val="00206B2A"/>
    <w:rsid w:val="00206B5C"/>
    <w:rsid w:val="00206B87"/>
    <w:rsid w:val="00206B99"/>
    <w:rsid w:val="00206B9E"/>
    <w:rsid w:val="00206BC2"/>
    <w:rsid w:val="00206BC6"/>
    <w:rsid w:val="00206C0A"/>
    <w:rsid w:val="00206D02"/>
    <w:rsid w:val="00206D2C"/>
    <w:rsid w:val="00206D49"/>
    <w:rsid w:val="00206D5B"/>
    <w:rsid w:val="00206D8A"/>
    <w:rsid w:val="00206DC8"/>
    <w:rsid w:val="00206DEA"/>
    <w:rsid w:val="00206E15"/>
    <w:rsid w:val="00206E2C"/>
    <w:rsid w:val="00206EEF"/>
    <w:rsid w:val="00206F23"/>
    <w:rsid w:val="00206F2E"/>
    <w:rsid w:val="00206F5A"/>
    <w:rsid w:val="00206FE9"/>
    <w:rsid w:val="00207018"/>
    <w:rsid w:val="0020704E"/>
    <w:rsid w:val="00207051"/>
    <w:rsid w:val="00207063"/>
    <w:rsid w:val="00207081"/>
    <w:rsid w:val="00207086"/>
    <w:rsid w:val="002070A4"/>
    <w:rsid w:val="00207103"/>
    <w:rsid w:val="0020714A"/>
    <w:rsid w:val="00207177"/>
    <w:rsid w:val="0020719C"/>
    <w:rsid w:val="002071D3"/>
    <w:rsid w:val="002071EF"/>
    <w:rsid w:val="00207200"/>
    <w:rsid w:val="00207229"/>
    <w:rsid w:val="00207233"/>
    <w:rsid w:val="00207282"/>
    <w:rsid w:val="002072B6"/>
    <w:rsid w:val="0020730E"/>
    <w:rsid w:val="0020735F"/>
    <w:rsid w:val="00207371"/>
    <w:rsid w:val="00207377"/>
    <w:rsid w:val="0020742D"/>
    <w:rsid w:val="0020746C"/>
    <w:rsid w:val="00207517"/>
    <w:rsid w:val="00207532"/>
    <w:rsid w:val="0020755D"/>
    <w:rsid w:val="002075ED"/>
    <w:rsid w:val="0020761C"/>
    <w:rsid w:val="002076E9"/>
    <w:rsid w:val="0020772C"/>
    <w:rsid w:val="00207780"/>
    <w:rsid w:val="002077CC"/>
    <w:rsid w:val="00207815"/>
    <w:rsid w:val="00207839"/>
    <w:rsid w:val="0020784F"/>
    <w:rsid w:val="00207867"/>
    <w:rsid w:val="00207884"/>
    <w:rsid w:val="002078AE"/>
    <w:rsid w:val="002078E4"/>
    <w:rsid w:val="0020791F"/>
    <w:rsid w:val="00207992"/>
    <w:rsid w:val="002079AC"/>
    <w:rsid w:val="00207A1B"/>
    <w:rsid w:val="00207A27"/>
    <w:rsid w:val="00207A5E"/>
    <w:rsid w:val="00207AA3"/>
    <w:rsid w:val="00207B4D"/>
    <w:rsid w:val="00207B50"/>
    <w:rsid w:val="00207B6D"/>
    <w:rsid w:val="00207B9A"/>
    <w:rsid w:val="00207BAF"/>
    <w:rsid w:val="00207C01"/>
    <w:rsid w:val="00207CB8"/>
    <w:rsid w:val="00207CEA"/>
    <w:rsid w:val="00207D5A"/>
    <w:rsid w:val="00207D8A"/>
    <w:rsid w:val="00207D93"/>
    <w:rsid w:val="00207DF9"/>
    <w:rsid w:val="00207DFD"/>
    <w:rsid w:val="00207E3B"/>
    <w:rsid w:val="00207E6F"/>
    <w:rsid w:val="00207E83"/>
    <w:rsid w:val="00207EC1"/>
    <w:rsid w:val="00207F3D"/>
    <w:rsid w:val="00207F5B"/>
    <w:rsid w:val="00207F8D"/>
    <w:rsid w:val="0020E221"/>
    <w:rsid w:val="0021002E"/>
    <w:rsid w:val="0021004A"/>
    <w:rsid w:val="0021008F"/>
    <w:rsid w:val="00210199"/>
    <w:rsid w:val="002101D7"/>
    <w:rsid w:val="0021020A"/>
    <w:rsid w:val="002102E4"/>
    <w:rsid w:val="00210324"/>
    <w:rsid w:val="0021033D"/>
    <w:rsid w:val="00210485"/>
    <w:rsid w:val="00210500"/>
    <w:rsid w:val="00210526"/>
    <w:rsid w:val="0021055A"/>
    <w:rsid w:val="00210569"/>
    <w:rsid w:val="002105AC"/>
    <w:rsid w:val="002105B0"/>
    <w:rsid w:val="002105C9"/>
    <w:rsid w:val="0021063A"/>
    <w:rsid w:val="00210657"/>
    <w:rsid w:val="0021065B"/>
    <w:rsid w:val="00210670"/>
    <w:rsid w:val="002106F8"/>
    <w:rsid w:val="00210817"/>
    <w:rsid w:val="00210841"/>
    <w:rsid w:val="00210867"/>
    <w:rsid w:val="002108C7"/>
    <w:rsid w:val="0021095A"/>
    <w:rsid w:val="00210961"/>
    <w:rsid w:val="00210995"/>
    <w:rsid w:val="002109CF"/>
    <w:rsid w:val="00210A43"/>
    <w:rsid w:val="00210A7D"/>
    <w:rsid w:val="00210ACB"/>
    <w:rsid w:val="00210B1A"/>
    <w:rsid w:val="00210B1E"/>
    <w:rsid w:val="00210B69"/>
    <w:rsid w:val="00210B73"/>
    <w:rsid w:val="00210B7A"/>
    <w:rsid w:val="00210C2C"/>
    <w:rsid w:val="00210C78"/>
    <w:rsid w:val="00210C8C"/>
    <w:rsid w:val="00210CBF"/>
    <w:rsid w:val="00210D85"/>
    <w:rsid w:val="00210DB5"/>
    <w:rsid w:val="00210DCE"/>
    <w:rsid w:val="00210DFF"/>
    <w:rsid w:val="00210ECD"/>
    <w:rsid w:val="00210EE0"/>
    <w:rsid w:val="00210F00"/>
    <w:rsid w:val="00210F3E"/>
    <w:rsid w:val="00210F64"/>
    <w:rsid w:val="00210FA8"/>
    <w:rsid w:val="00210FFE"/>
    <w:rsid w:val="00211019"/>
    <w:rsid w:val="00211045"/>
    <w:rsid w:val="0021104C"/>
    <w:rsid w:val="002110E3"/>
    <w:rsid w:val="002110E8"/>
    <w:rsid w:val="00211101"/>
    <w:rsid w:val="00211102"/>
    <w:rsid w:val="00211153"/>
    <w:rsid w:val="00211188"/>
    <w:rsid w:val="00211244"/>
    <w:rsid w:val="002112E9"/>
    <w:rsid w:val="002112EB"/>
    <w:rsid w:val="0021131B"/>
    <w:rsid w:val="0021140E"/>
    <w:rsid w:val="00211470"/>
    <w:rsid w:val="002114F5"/>
    <w:rsid w:val="00211506"/>
    <w:rsid w:val="0021150C"/>
    <w:rsid w:val="0021151D"/>
    <w:rsid w:val="00211547"/>
    <w:rsid w:val="0021154E"/>
    <w:rsid w:val="0021158A"/>
    <w:rsid w:val="0021159A"/>
    <w:rsid w:val="0021162A"/>
    <w:rsid w:val="0021166F"/>
    <w:rsid w:val="00211682"/>
    <w:rsid w:val="002116A8"/>
    <w:rsid w:val="002116F9"/>
    <w:rsid w:val="002117C9"/>
    <w:rsid w:val="002117F7"/>
    <w:rsid w:val="0021182D"/>
    <w:rsid w:val="0021182E"/>
    <w:rsid w:val="002118CE"/>
    <w:rsid w:val="00211A24"/>
    <w:rsid w:val="00211A4F"/>
    <w:rsid w:val="00211A5F"/>
    <w:rsid w:val="00211A8F"/>
    <w:rsid w:val="00211AA5"/>
    <w:rsid w:val="00211AE0"/>
    <w:rsid w:val="00211BF0"/>
    <w:rsid w:val="00211BF6"/>
    <w:rsid w:val="00211C6D"/>
    <w:rsid w:val="00211D15"/>
    <w:rsid w:val="00211D79"/>
    <w:rsid w:val="00211DEA"/>
    <w:rsid w:val="00211DFA"/>
    <w:rsid w:val="00211E8B"/>
    <w:rsid w:val="00211EB6"/>
    <w:rsid w:val="00211EDB"/>
    <w:rsid w:val="00211EF9"/>
    <w:rsid w:val="00211F93"/>
    <w:rsid w:val="00212059"/>
    <w:rsid w:val="0021207F"/>
    <w:rsid w:val="0021213B"/>
    <w:rsid w:val="00212156"/>
    <w:rsid w:val="0021216E"/>
    <w:rsid w:val="002121D8"/>
    <w:rsid w:val="002121D9"/>
    <w:rsid w:val="002121E4"/>
    <w:rsid w:val="002121FB"/>
    <w:rsid w:val="00212229"/>
    <w:rsid w:val="0021222C"/>
    <w:rsid w:val="00212291"/>
    <w:rsid w:val="00212293"/>
    <w:rsid w:val="002122C5"/>
    <w:rsid w:val="002122EF"/>
    <w:rsid w:val="00212305"/>
    <w:rsid w:val="0021235F"/>
    <w:rsid w:val="00212371"/>
    <w:rsid w:val="002123A7"/>
    <w:rsid w:val="002123D8"/>
    <w:rsid w:val="00212449"/>
    <w:rsid w:val="0021245A"/>
    <w:rsid w:val="00212465"/>
    <w:rsid w:val="002124D3"/>
    <w:rsid w:val="002124E5"/>
    <w:rsid w:val="0021257D"/>
    <w:rsid w:val="002125C7"/>
    <w:rsid w:val="002125CD"/>
    <w:rsid w:val="002125DF"/>
    <w:rsid w:val="00212607"/>
    <w:rsid w:val="0021263B"/>
    <w:rsid w:val="00212654"/>
    <w:rsid w:val="0021267E"/>
    <w:rsid w:val="00212697"/>
    <w:rsid w:val="002126DB"/>
    <w:rsid w:val="00212766"/>
    <w:rsid w:val="00212807"/>
    <w:rsid w:val="00212834"/>
    <w:rsid w:val="00212850"/>
    <w:rsid w:val="002128AE"/>
    <w:rsid w:val="0021292A"/>
    <w:rsid w:val="00212947"/>
    <w:rsid w:val="00212959"/>
    <w:rsid w:val="00212972"/>
    <w:rsid w:val="0021297B"/>
    <w:rsid w:val="002129A0"/>
    <w:rsid w:val="00212A28"/>
    <w:rsid w:val="00212A3A"/>
    <w:rsid w:val="00212A56"/>
    <w:rsid w:val="00212A8C"/>
    <w:rsid w:val="00212B06"/>
    <w:rsid w:val="00212B14"/>
    <w:rsid w:val="00212B39"/>
    <w:rsid w:val="00212B4F"/>
    <w:rsid w:val="00212B68"/>
    <w:rsid w:val="00212B8E"/>
    <w:rsid w:val="00212BBF"/>
    <w:rsid w:val="00212BFC"/>
    <w:rsid w:val="00212C18"/>
    <w:rsid w:val="00212C34"/>
    <w:rsid w:val="00212C67"/>
    <w:rsid w:val="00212C6C"/>
    <w:rsid w:val="00212CB9"/>
    <w:rsid w:val="00212CC1"/>
    <w:rsid w:val="00212CC7"/>
    <w:rsid w:val="00212CFD"/>
    <w:rsid w:val="00212D5E"/>
    <w:rsid w:val="00212D8D"/>
    <w:rsid w:val="00212DE8"/>
    <w:rsid w:val="00212E08"/>
    <w:rsid w:val="00212E2C"/>
    <w:rsid w:val="00212EBA"/>
    <w:rsid w:val="00212EF2"/>
    <w:rsid w:val="00212F7F"/>
    <w:rsid w:val="00213010"/>
    <w:rsid w:val="0021306D"/>
    <w:rsid w:val="002130E4"/>
    <w:rsid w:val="002130E9"/>
    <w:rsid w:val="0021317D"/>
    <w:rsid w:val="00213230"/>
    <w:rsid w:val="00213253"/>
    <w:rsid w:val="00213265"/>
    <w:rsid w:val="002132D1"/>
    <w:rsid w:val="002132F9"/>
    <w:rsid w:val="0021331B"/>
    <w:rsid w:val="00213380"/>
    <w:rsid w:val="002133B8"/>
    <w:rsid w:val="002133C5"/>
    <w:rsid w:val="002133D8"/>
    <w:rsid w:val="00213406"/>
    <w:rsid w:val="0021342B"/>
    <w:rsid w:val="00213483"/>
    <w:rsid w:val="0021353C"/>
    <w:rsid w:val="00213551"/>
    <w:rsid w:val="002135C5"/>
    <w:rsid w:val="002135CA"/>
    <w:rsid w:val="0021364A"/>
    <w:rsid w:val="00213661"/>
    <w:rsid w:val="00213695"/>
    <w:rsid w:val="002136A6"/>
    <w:rsid w:val="002136D7"/>
    <w:rsid w:val="00213706"/>
    <w:rsid w:val="0021375E"/>
    <w:rsid w:val="00213770"/>
    <w:rsid w:val="002137C4"/>
    <w:rsid w:val="002138CF"/>
    <w:rsid w:val="00213929"/>
    <w:rsid w:val="00213943"/>
    <w:rsid w:val="00213948"/>
    <w:rsid w:val="0021394A"/>
    <w:rsid w:val="00213991"/>
    <w:rsid w:val="002139C1"/>
    <w:rsid w:val="00213A0F"/>
    <w:rsid w:val="00213A2F"/>
    <w:rsid w:val="00213A3B"/>
    <w:rsid w:val="00213A40"/>
    <w:rsid w:val="00213A87"/>
    <w:rsid w:val="00213A98"/>
    <w:rsid w:val="00213AD7"/>
    <w:rsid w:val="00213B01"/>
    <w:rsid w:val="00213B3E"/>
    <w:rsid w:val="00213B8A"/>
    <w:rsid w:val="00213B8D"/>
    <w:rsid w:val="00213B9F"/>
    <w:rsid w:val="00213BB0"/>
    <w:rsid w:val="00213BC7"/>
    <w:rsid w:val="00213BD6"/>
    <w:rsid w:val="00213C09"/>
    <w:rsid w:val="00213C24"/>
    <w:rsid w:val="00213C5D"/>
    <w:rsid w:val="00213D1C"/>
    <w:rsid w:val="00213D60"/>
    <w:rsid w:val="00213DAE"/>
    <w:rsid w:val="00213DE3"/>
    <w:rsid w:val="00213E42"/>
    <w:rsid w:val="00213E4A"/>
    <w:rsid w:val="00213E92"/>
    <w:rsid w:val="00213EAE"/>
    <w:rsid w:val="00213EFB"/>
    <w:rsid w:val="00213F2D"/>
    <w:rsid w:val="00213F46"/>
    <w:rsid w:val="0021400E"/>
    <w:rsid w:val="002140A8"/>
    <w:rsid w:val="002140A9"/>
    <w:rsid w:val="002141CA"/>
    <w:rsid w:val="002141D4"/>
    <w:rsid w:val="002141DE"/>
    <w:rsid w:val="0021426C"/>
    <w:rsid w:val="0021427D"/>
    <w:rsid w:val="002142E1"/>
    <w:rsid w:val="00214375"/>
    <w:rsid w:val="00214386"/>
    <w:rsid w:val="00214388"/>
    <w:rsid w:val="002144E2"/>
    <w:rsid w:val="00214527"/>
    <w:rsid w:val="0021458D"/>
    <w:rsid w:val="00214600"/>
    <w:rsid w:val="00214613"/>
    <w:rsid w:val="00214682"/>
    <w:rsid w:val="002146CD"/>
    <w:rsid w:val="002146D8"/>
    <w:rsid w:val="00214780"/>
    <w:rsid w:val="0021479A"/>
    <w:rsid w:val="002147D9"/>
    <w:rsid w:val="002147F4"/>
    <w:rsid w:val="002148D5"/>
    <w:rsid w:val="00214958"/>
    <w:rsid w:val="00214962"/>
    <w:rsid w:val="0021496A"/>
    <w:rsid w:val="00214978"/>
    <w:rsid w:val="00214981"/>
    <w:rsid w:val="00214A2B"/>
    <w:rsid w:val="00214A6A"/>
    <w:rsid w:val="00214AAD"/>
    <w:rsid w:val="00214ABB"/>
    <w:rsid w:val="00214AC0"/>
    <w:rsid w:val="00214B04"/>
    <w:rsid w:val="00214B3A"/>
    <w:rsid w:val="00214B73"/>
    <w:rsid w:val="00214B81"/>
    <w:rsid w:val="00214B8F"/>
    <w:rsid w:val="00214B9E"/>
    <w:rsid w:val="00214BEB"/>
    <w:rsid w:val="00214BF5"/>
    <w:rsid w:val="00214C0F"/>
    <w:rsid w:val="00214C23"/>
    <w:rsid w:val="00214CAF"/>
    <w:rsid w:val="00214D75"/>
    <w:rsid w:val="00214DA4"/>
    <w:rsid w:val="00214DB2"/>
    <w:rsid w:val="00214DE4"/>
    <w:rsid w:val="00214E49"/>
    <w:rsid w:val="00214E84"/>
    <w:rsid w:val="00214EDE"/>
    <w:rsid w:val="00214F17"/>
    <w:rsid w:val="00214F28"/>
    <w:rsid w:val="00214F40"/>
    <w:rsid w:val="00214FD0"/>
    <w:rsid w:val="0021501A"/>
    <w:rsid w:val="0021502B"/>
    <w:rsid w:val="00215088"/>
    <w:rsid w:val="002150B0"/>
    <w:rsid w:val="002150D9"/>
    <w:rsid w:val="0021511D"/>
    <w:rsid w:val="00215135"/>
    <w:rsid w:val="0021514C"/>
    <w:rsid w:val="00215151"/>
    <w:rsid w:val="00215192"/>
    <w:rsid w:val="002151B2"/>
    <w:rsid w:val="002151E9"/>
    <w:rsid w:val="00215204"/>
    <w:rsid w:val="00215227"/>
    <w:rsid w:val="00215240"/>
    <w:rsid w:val="00215282"/>
    <w:rsid w:val="002152A7"/>
    <w:rsid w:val="00215321"/>
    <w:rsid w:val="00215325"/>
    <w:rsid w:val="002153E2"/>
    <w:rsid w:val="0021548F"/>
    <w:rsid w:val="0021553F"/>
    <w:rsid w:val="0021562C"/>
    <w:rsid w:val="00215669"/>
    <w:rsid w:val="00215680"/>
    <w:rsid w:val="002156DE"/>
    <w:rsid w:val="002156EE"/>
    <w:rsid w:val="00215714"/>
    <w:rsid w:val="002157A8"/>
    <w:rsid w:val="002157DC"/>
    <w:rsid w:val="002157E8"/>
    <w:rsid w:val="00215807"/>
    <w:rsid w:val="00215828"/>
    <w:rsid w:val="00215896"/>
    <w:rsid w:val="002158DB"/>
    <w:rsid w:val="0021591D"/>
    <w:rsid w:val="002159D5"/>
    <w:rsid w:val="00215A27"/>
    <w:rsid w:val="00215A3D"/>
    <w:rsid w:val="00215A6B"/>
    <w:rsid w:val="00215A8B"/>
    <w:rsid w:val="00215B32"/>
    <w:rsid w:val="00215B65"/>
    <w:rsid w:val="00215B82"/>
    <w:rsid w:val="00215B8D"/>
    <w:rsid w:val="00215B98"/>
    <w:rsid w:val="00215BBA"/>
    <w:rsid w:val="00215C41"/>
    <w:rsid w:val="00215CA9"/>
    <w:rsid w:val="00215D13"/>
    <w:rsid w:val="00215D55"/>
    <w:rsid w:val="00215DAF"/>
    <w:rsid w:val="00215E0D"/>
    <w:rsid w:val="00215E36"/>
    <w:rsid w:val="00215E88"/>
    <w:rsid w:val="00215EF9"/>
    <w:rsid w:val="00215F12"/>
    <w:rsid w:val="00215F33"/>
    <w:rsid w:val="00215F8D"/>
    <w:rsid w:val="00216019"/>
    <w:rsid w:val="0021601B"/>
    <w:rsid w:val="0021606C"/>
    <w:rsid w:val="00216074"/>
    <w:rsid w:val="002160D5"/>
    <w:rsid w:val="00216150"/>
    <w:rsid w:val="00216191"/>
    <w:rsid w:val="00216196"/>
    <w:rsid w:val="0021623E"/>
    <w:rsid w:val="002162E7"/>
    <w:rsid w:val="00216351"/>
    <w:rsid w:val="00216356"/>
    <w:rsid w:val="00216370"/>
    <w:rsid w:val="0021638A"/>
    <w:rsid w:val="002163B5"/>
    <w:rsid w:val="00216423"/>
    <w:rsid w:val="00216430"/>
    <w:rsid w:val="00216492"/>
    <w:rsid w:val="002164D7"/>
    <w:rsid w:val="002164E7"/>
    <w:rsid w:val="002164F7"/>
    <w:rsid w:val="00216530"/>
    <w:rsid w:val="00216583"/>
    <w:rsid w:val="002165B3"/>
    <w:rsid w:val="002165B6"/>
    <w:rsid w:val="00216744"/>
    <w:rsid w:val="00216750"/>
    <w:rsid w:val="0021676A"/>
    <w:rsid w:val="0021678A"/>
    <w:rsid w:val="0021680F"/>
    <w:rsid w:val="00216816"/>
    <w:rsid w:val="00216834"/>
    <w:rsid w:val="00216839"/>
    <w:rsid w:val="00216841"/>
    <w:rsid w:val="0021684D"/>
    <w:rsid w:val="00216877"/>
    <w:rsid w:val="00216884"/>
    <w:rsid w:val="002168C6"/>
    <w:rsid w:val="002168EA"/>
    <w:rsid w:val="00216919"/>
    <w:rsid w:val="0021693D"/>
    <w:rsid w:val="00216982"/>
    <w:rsid w:val="00216993"/>
    <w:rsid w:val="00216A9D"/>
    <w:rsid w:val="00216AD0"/>
    <w:rsid w:val="00216AF4"/>
    <w:rsid w:val="00216B5A"/>
    <w:rsid w:val="00216B96"/>
    <w:rsid w:val="00216BD3"/>
    <w:rsid w:val="00216C25"/>
    <w:rsid w:val="00216C58"/>
    <w:rsid w:val="00216C75"/>
    <w:rsid w:val="00216CA2"/>
    <w:rsid w:val="00216CA3"/>
    <w:rsid w:val="00216CF0"/>
    <w:rsid w:val="00216D0C"/>
    <w:rsid w:val="00216D88"/>
    <w:rsid w:val="00216E06"/>
    <w:rsid w:val="00216E9A"/>
    <w:rsid w:val="00216EB9"/>
    <w:rsid w:val="00216EC2"/>
    <w:rsid w:val="00216EF7"/>
    <w:rsid w:val="00216F27"/>
    <w:rsid w:val="00216F35"/>
    <w:rsid w:val="002170D8"/>
    <w:rsid w:val="002170DE"/>
    <w:rsid w:val="00217177"/>
    <w:rsid w:val="002171AC"/>
    <w:rsid w:val="002171AE"/>
    <w:rsid w:val="002171C7"/>
    <w:rsid w:val="00217224"/>
    <w:rsid w:val="00217230"/>
    <w:rsid w:val="0021724D"/>
    <w:rsid w:val="00217290"/>
    <w:rsid w:val="002172C7"/>
    <w:rsid w:val="002172EE"/>
    <w:rsid w:val="00217336"/>
    <w:rsid w:val="0021737C"/>
    <w:rsid w:val="0021738E"/>
    <w:rsid w:val="002173E6"/>
    <w:rsid w:val="00217419"/>
    <w:rsid w:val="00217465"/>
    <w:rsid w:val="002174E9"/>
    <w:rsid w:val="0021753D"/>
    <w:rsid w:val="0021753F"/>
    <w:rsid w:val="0021759C"/>
    <w:rsid w:val="002176BF"/>
    <w:rsid w:val="002176F1"/>
    <w:rsid w:val="00217737"/>
    <w:rsid w:val="0021773D"/>
    <w:rsid w:val="002177C6"/>
    <w:rsid w:val="00217835"/>
    <w:rsid w:val="00217851"/>
    <w:rsid w:val="002178AD"/>
    <w:rsid w:val="002178C9"/>
    <w:rsid w:val="0021796F"/>
    <w:rsid w:val="00217A04"/>
    <w:rsid w:val="00217A25"/>
    <w:rsid w:val="00217A27"/>
    <w:rsid w:val="00217AB5"/>
    <w:rsid w:val="00217ACA"/>
    <w:rsid w:val="00217AEA"/>
    <w:rsid w:val="00217B06"/>
    <w:rsid w:val="00217B10"/>
    <w:rsid w:val="00217B49"/>
    <w:rsid w:val="00217B5E"/>
    <w:rsid w:val="00217B62"/>
    <w:rsid w:val="00217B76"/>
    <w:rsid w:val="00217BDB"/>
    <w:rsid w:val="00217C51"/>
    <w:rsid w:val="00217CED"/>
    <w:rsid w:val="00217D61"/>
    <w:rsid w:val="00217D7A"/>
    <w:rsid w:val="00217E33"/>
    <w:rsid w:val="00217F22"/>
    <w:rsid w:val="00217F64"/>
    <w:rsid w:val="00220002"/>
    <w:rsid w:val="002200D2"/>
    <w:rsid w:val="00220132"/>
    <w:rsid w:val="00220134"/>
    <w:rsid w:val="0022016E"/>
    <w:rsid w:val="0022019C"/>
    <w:rsid w:val="002201A8"/>
    <w:rsid w:val="0022025D"/>
    <w:rsid w:val="002202B0"/>
    <w:rsid w:val="0022041C"/>
    <w:rsid w:val="002204BC"/>
    <w:rsid w:val="002204BF"/>
    <w:rsid w:val="002204D7"/>
    <w:rsid w:val="0022053B"/>
    <w:rsid w:val="002206AC"/>
    <w:rsid w:val="002206E3"/>
    <w:rsid w:val="00220702"/>
    <w:rsid w:val="00220709"/>
    <w:rsid w:val="00220785"/>
    <w:rsid w:val="002207C5"/>
    <w:rsid w:val="002207FE"/>
    <w:rsid w:val="00220862"/>
    <w:rsid w:val="0022086A"/>
    <w:rsid w:val="0022089C"/>
    <w:rsid w:val="00220914"/>
    <w:rsid w:val="0022096A"/>
    <w:rsid w:val="002209D3"/>
    <w:rsid w:val="002209DB"/>
    <w:rsid w:val="00220A85"/>
    <w:rsid w:val="00220ABF"/>
    <w:rsid w:val="00220BCB"/>
    <w:rsid w:val="00220BCE"/>
    <w:rsid w:val="00220C09"/>
    <w:rsid w:val="00220C14"/>
    <w:rsid w:val="00220C97"/>
    <w:rsid w:val="00220CDC"/>
    <w:rsid w:val="00220D4A"/>
    <w:rsid w:val="00220D56"/>
    <w:rsid w:val="00220D99"/>
    <w:rsid w:val="00220DAD"/>
    <w:rsid w:val="00220DC7"/>
    <w:rsid w:val="00220E5C"/>
    <w:rsid w:val="00220E63"/>
    <w:rsid w:val="00220E9C"/>
    <w:rsid w:val="00220F15"/>
    <w:rsid w:val="00220F36"/>
    <w:rsid w:val="00220FD3"/>
    <w:rsid w:val="00220FF4"/>
    <w:rsid w:val="00221054"/>
    <w:rsid w:val="002210B9"/>
    <w:rsid w:val="00221114"/>
    <w:rsid w:val="00221172"/>
    <w:rsid w:val="002211BC"/>
    <w:rsid w:val="0022129D"/>
    <w:rsid w:val="0022129F"/>
    <w:rsid w:val="0022131D"/>
    <w:rsid w:val="00221334"/>
    <w:rsid w:val="00221381"/>
    <w:rsid w:val="002213E2"/>
    <w:rsid w:val="00221456"/>
    <w:rsid w:val="0022146D"/>
    <w:rsid w:val="0022146E"/>
    <w:rsid w:val="002214DA"/>
    <w:rsid w:val="00221507"/>
    <w:rsid w:val="0022155F"/>
    <w:rsid w:val="002215B8"/>
    <w:rsid w:val="00221641"/>
    <w:rsid w:val="00221670"/>
    <w:rsid w:val="0022169C"/>
    <w:rsid w:val="002216C9"/>
    <w:rsid w:val="002216EA"/>
    <w:rsid w:val="00221720"/>
    <w:rsid w:val="0022173E"/>
    <w:rsid w:val="0022178F"/>
    <w:rsid w:val="002217A0"/>
    <w:rsid w:val="002217F2"/>
    <w:rsid w:val="0022187C"/>
    <w:rsid w:val="002218D5"/>
    <w:rsid w:val="00221909"/>
    <w:rsid w:val="0022190D"/>
    <w:rsid w:val="00221974"/>
    <w:rsid w:val="0022197C"/>
    <w:rsid w:val="0022198A"/>
    <w:rsid w:val="002219B5"/>
    <w:rsid w:val="002219FC"/>
    <w:rsid w:val="00221A42"/>
    <w:rsid w:val="00221A55"/>
    <w:rsid w:val="00221A58"/>
    <w:rsid w:val="00221AE7"/>
    <w:rsid w:val="00221B43"/>
    <w:rsid w:val="00221BB3"/>
    <w:rsid w:val="00221C38"/>
    <w:rsid w:val="00221D0B"/>
    <w:rsid w:val="00221D6B"/>
    <w:rsid w:val="00221DF5"/>
    <w:rsid w:val="00221E26"/>
    <w:rsid w:val="00221E30"/>
    <w:rsid w:val="00221E77"/>
    <w:rsid w:val="00221EE1"/>
    <w:rsid w:val="00221F55"/>
    <w:rsid w:val="00221FAD"/>
    <w:rsid w:val="00221FF7"/>
    <w:rsid w:val="00222001"/>
    <w:rsid w:val="00222019"/>
    <w:rsid w:val="002220B2"/>
    <w:rsid w:val="002220D5"/>
    <w:rsid w:val="002220DA"/>
    <w:rsid w:val="0022221E"/>
    <w:rsid w:val="00222225"/>
    <w:rsid w:val="0022223C"/>
    <w:rsid w:val="00222273"/>
    <w:rsid w:val="00222288"/>
    <w:rsid w:val="00222321"/>
    <w:rsid w:val="00222374"/>
    <w:rsid w:val="0022237E"/>
    <w:rsid w:val="00222393"/>
    <w:rsid w:val="002223E4"/>
    <w:rsid w:val="00222451"/>
    <w:rsid w:val="002225CA"/>
    <w:rsid w:val="00222617"/>
    <w:rsid w:val="0022265C"/>
    <w:rsid w:val="0022267A"/>
    <w:rsid w:val="002226EC"/>
    <w:rsid w:val="002227EC"/>
    <w:rsid w:val="00222856"/>
    <w:rsid w:val="00222866"/>
    <w:rsid w:val="002228AA"/>
    <w:rsid w:val="002228BC"/>
    <w:rsid w:val="002228C8"/>
    <w:rsid w:val="002228E3"/>
    <w:rsid w:val="002228E7"/>
    <w:rsid w:val="002228FD"/>
    <w:rsid w:val="00222924"/>
    <w:rsid w:val="00222963"/>
    <w:rsid w:val="00222995"/>
    <w:rsid w:val="002229B0"/>
    <w:rsid w:val="002229B2"/>
    <w:rsid w:val="00222A10"/>
    <w:rsid w:val="00222A32"/>
    <w:rsid w:val="00222A71"/>
    <w:rsid w:val="00222A7F"/>
    <w:rsid w:val="00222AE2"/>
    <w:rsid w:val="00222B03"/>
    <w:rsid w:val="00222B06"/>
    <w:rsid w:val="00222B49"/>
    <w:rsid w:val="00222B52"/>
    <w:rsid w:val="00222B65"/>
    <w:rsid w:val="00222B90"/>
    <w:rsid w:val="00222BC4"/>
    <w:rsid w:val="00222BE2"/>
    <w:rsid w:val="00222C10"/>
    <w:rsid w:val="00222CB7"/>
    <w:rsid w:val="00222CD2"/>
    <w:rsid w:val="00222CEF"/>
    <w:rsid w:val="00222D09"/>
    <w:rsid w:val="00222D1A"/>
    <w:rsid w:val="00222D20"/>
    <w:rsid w:val="00222D38"/>
    <w:rsid w:val="00222DAC"/>
    <w:rsid w:val="00222E02"/>
    <w:rsid w:val="00222F2C"/>
    <w:rsid w:val="00222F5B"/>
    <w:rsid w:val="00222FB9"/>
    <w:rsid w:val="002230C1"/>
    <w:rsid w:val="00223148"/>
    <w:rsid w:val="0022314C"/>
    <w:rsid w:val="00223154"/>
    <w:rsid w:val="002231E8"/>
    <w:rsid w:val="00223204"/>
    <w:rsid w:val="00223207"/>
    <w:rsid w:val="00223209"/>
    <w:rsid w:val="00223214"/>
    <w:rsid w:val="0022321C"/>
    <w:rsid w:val="00223271"/>
    <w:rsid w:val="002232A8"/>
    <w:rsid w:val="002232EE"/>
    <w:rsid w:val="002232F4"/>
    <w:rsid w:val="00223344"/>
    <w:rsid w:val="00223363"/>
    <w:rsid w:val="002233CD"/>
    <w:rsid w:val="00223478"/>
    <w:rsid w:val="002234B3"/>
    <w:rsid w:val="0022352D"/>
    <w:rsid w:val="00223575"/>
    <w:rsid w:val="0022359E"/>
    <w:rsid w:val="002235BC"/>
    <w:rsid w:val="00223632"/>
    <w:rsid w:val="0022372B"/>
    <w:rsid w:val="002237AF"/>
    <w:rsid w:val="002237C7"/>
    <w:rsid w:val="0022381B"/>
    <w:rsid w:val="00223821"/>
    <w:rsid w:val="00223831"/>
    <w:rsid w:val="00223848"/>
    <w:rsid w:val="0022386A"/>
    <w:rsid w:val="00223874"/>
    <w:rsid w:val="00223882"/>
    <w:rsid w:val="0022389C"/>
    <w:rsid w:val="002238AA"/>
    <w:rsid w:val="002238C2"/>
    <w:rsid w:val="002238F9"/>
    <w:rsid w:val="00223962"/>
    <w:rsid w:val="002239D7"/>
    <w:rsid w:val="00223A36"/>
    <w:rsid w:val="00223A76"/>
    <w:rsid w:val="00223ABB"/>
    <w:rsid w:val="00223AC5"/>
    <w:rsid w:val="00223AD7"/>
    <w:rsid w:val="00223AE6"/>
    <w:rsid w:val="00223B2C"/>
    <w:rsid w:val="00223B71"/>
    <w:rsid w:val="00223BDB"/>
    <w:rsid w:val="00223D31"/>
    <w:rsid w:val="00223D61"/>
    <w:rsid w:val="00223D78"/>
    <w:rsid w:val="00223DC6"/>
    <w:rsid w:val="00223E07"/>
    <w:rsid w:val="00223E8E"/>
    <w:rsid w:val="00223EAD"/>
    <w:rsid w:val="00223EDF"/>
    <w:rsid w:val="00223F2F"/>
    <w:rsid w:val="00223FA6"/>
    <w:rsid w:val="00223FCC"/>
    <w:rsid w:val="00223FD3"/>
    <w:rsid w:val="00223FD5"/>
    <w:rsid w:val="00224037"/>
    <w:rsid w:val="00224086"/>
    <w:rsid w:val="002240A3"/>
    <w:rsid w:val="002240DA"/>
    <w:rsid w:val="002240DF"/>
    <w:rsid w:val="0022412F"/>
    <w:rsid w:val="00224154"/>
    <w:rsid w:val="002241E3"/>
    <w:rsid w:val="00224209"/>
    <w:rsid w:val="0022429E"/>
    <w:rsid w:val="002242B5"/>
    <w:rsid w:val="002242E1"/>
    <w:rsid w:val="002242F3"/>
    <w:rsid w:val="0022437F"/>
    <w:rsid w:val="002243C2"/>
    <w:rsid w:val="002243FA"/>
    <w:rsid w:val="0022443B"/>
    <w:rsid w:val="002244A3"/>
    <w:rsid w:val="002244CE"/>
    <w:rsid w:val="002244E8"/>
    <w:rsid w:val="002244F1"/>
    <w:rsid w:val="0022456B"/>
    <w:rsid w:val="0022464B"/>
    <w:rsid w:val="00224656"/>
    <w:rsid w:val="0022469E"/>
    <w:rsid w:val="00224723"/>
    <w:rsid w:val="00224779"/>
    <w:rsid w:val="002247AC"/>
    <w:rsid w:val="00224831"/>
    <w:rsid w:val="00224890"/>
    <w:rsid w:val="002248CC"/>
    <w:rsid w:val="002248ED"/>
    <w:rsid w:val="002248FC"/>
    <w:rsid w:val="00224929"/>
    <w:rsid w:val="00224935"/>
    <w:rsid w:val="00224943"/>
    <w:rsid w:val="002249DB"/>
    <w:rsid w:val="00224A59"/>
    <w:rsid w:val="00224C09"/>
    <w:rsid w:val="00224C1A"/>
    <w:rsid w:val="00224C75"/>
    <w:rsid w:val="00224F02"/>
    <w:rsid w:val="00224F53"/>
    <w:rsid w:val="00224F57"/>
    <w:rsid w:val="00224F95"/>
    <w:rsid w:val="00224F97"/>
    <w:rsid w:val="00224FA8"/>
    <w:rsid w:val="0022504E"/>
    <w:rsid w:val="00225073"/>
    <w:rsid w:val="00225096"/>
    <w:rsid w:val="002250C2"/>
    <w:rsid w:val="0022511C"/>
    <w:rsid w:val="00225171"/>
    <w:rsid w:val="002251A1"/>
    <w:rsid w:val="002251B3"/>
    <w:rsid w:val="002251D2"/>
    <w:rsid w:val="002251D8"/>
    <w:rsid w:val="0022521C"/>
    <w:rsid w:val="00225258"/>
    <w:rsid w:val="0022528F"/>
    <w:rsid w:val="002252CF"/>
    <w:rsid w:val="00225324"/>
    <w:rsid w:val="00225331"/>
    <w:rsid w:val="002253C4"/>
    <w:rsid w:val="002253D7"/>
    <w:rsid w:val="00225421"/>
    <w:rsid w:val="00225477"/>
    <w:rsid w:val="002254E8"/>
    <w:rsid w:val="00225505"/>
    <w:rsid w:val="00225536"/>
    <w:rsid w:val="00225590"/>
    <w:rsid w:val="002255F4"/>
    <w:rsid w:val="002255F7"/>
    <w:rsid w:val="00225696"/>
    <w:rsid w:val="00225715"/>
    <w:rsid w:val="002257B7"/>
    <w:rsid w:val="00225818"/>
    <w:rsid w:val="0022586A"/>
    <w:rsid w:val="002258F7"/>
    <w:rsid w:val="002258FC"/>
    <w:rsid w:val="00225903"/>
    <w:rsid w:val="00225908"/>
    <w:rsid w:val="00225915"/>
    <w:rsid w:val="0022595F"/>
    <w:rsid w:val="0022599C"/>
    <w:rsid w:val="002259EA"/>
    <w:rsid w:val="00225A3C"/>
    <w:rsid w:val="00225A7C"/>
    <w:rsid w:val="00225AD5"/>
    <w:rsid w:val="00225B62"/>
    <w:rsid w:val="00225BBD"/>
    <w:rsid w:val="00225BD0"/>
    <w:rsid w:val="00225BE1"/>
    <w:rsid w:val="00225BF5"/>
    <w:rsid w:val="00225C2A"/>
    <w:rsid w:val="00225C4E"/>
    <w:rsid w:val="00225C86"/>
    <w:rsid w:val="00225C97"/>
    <w:rsid w:val="00225CFF"/>
    <w:rsid w:val="00225D48"/>
    <w:rsid w:val="00225D65"/>
    <w:rsid w:val="00225DB1"/>
    <w:rsid w:val="00225E03"/>
    <w:rsid w:val="00225E15"/>
    <w:rsid w:val="00225E7A"/>
    <w:rsid w:val="00225E7E"/>
    <w:rsid w:val="00225ED6"/>
    <w:rsid w:val="00225ED7"/>
    <w:rsid w:val="00225F5A"/>
    <w:rsid w:val="00225F75"/>
    <w:rsid w:val="00225F87"/>
    <w:rsid w:val="00225FAC"/>
    <w:rsid w:val="00225FC7"/>
    <w:rsid w:val="00225FFA"/>
    <w:rsid w:val="00226023"/>
    <w:rsid w:val="00226024"/>
    <w:rsid w:val="00226052"/>
    <w:rsid w:val="00226053"/>
    <w:rsid w:val="002260F7"/>
    <w:rsid w:val="0022615A"/>
    <w:rsid w:val="002261E2"/>
    <w:rsid w:val="0022622C"/>
    <w:rsid w:val="00226268"/>
    <w:rsid w:val="00226278"/>
    <w:rsid w:val="002262EF"/>
    <w:rsid w:val="00226329"/>
    <w:rsid w:val="00226341"/>
    <w:rsid w:val="00226348"/>
    <w:rsid w:val="00226409"/>
    <w:rsid w:val="0022644D"/>
    <w:rsid w:val="0022645D"/>
    <w:rsid w:val="0022649E"/>
    <w:rsid w:val="0022649F"/>
    <w:rsid w:val="002264B5"/>
    <w:rsid w:val="00226507"/>
    <w:rsid w:val="0022653A"/>
    <w:rsid w:val="002265A8"/>
    <w:rsid w:val="002265EB"/>
    <w:rsid w:val="00226616"/>
    <w:rsid w:val="00226645"/>
    <w:rsid w:val="0022667D"/>
    <w:rsid w:val="002266DA"/>
    <w:rsid w:val="002267D6"/>
    <w:rsid w:val="0022680C"/>
    <w:rsid w:val="00226832"/>
    <w:rsid w:val="00226840"/>
    <w:rsid w:val="00226860"/>
    <w:rsid w:val="002268F7"/>
    <w:rsid w:val="002268FB"/>
    <w:rsid w:val="00226926"/>
    <w:rsid w:val="0022692B"/>
    <w:rsid w:val="00226945"/>
    <w:rsid w:val="00226950"/>
    <w:rsid w:val="00226979"/>
    <w:rsid w:val="002269A2"/>
    <w:rsid w:val="002269B5"/>
    <w:rsid w:val="002269FC"/>
    <w:rsid w:val="00226A01"/>
    <w:rsid w:val="00226A18"/>
    <w:rsid w:val="00226A35"/>
    <w:rsid w:val="00226A40"/>
    <w:rsid w:val="00226A4D"/>
    <w:rsid w:val="00226A6E"/>
    <w:rsid w:val="00226ABD"/>
    <w:rsid w:val="00226AC4"/>
    <w:rsid w:val="00226B10"/>
    <w:rsid w:val="00226C1D"/>
    <w:rsid w:val="00226C38"/>
    <w:rsid w:val="00226C40"/>
    <w:rsid w:val="00226CB3"/>
    <w:rsid w:val="00226CFB"/>
    <w:rsid w:val="00226D3F"/>
    <w:rsid w:val="00226DEB"/>
    <w:rsid w:val="00226E1C"/>
    <w:rsid w:val="00226E75"/>
    <w:rsid w:val="00226EB2"/>
    <w:rsid w:val="00226F3A"/>
    <w:rsid w:val="0022704F"/>
    <w:rsid w:val="00227087"/>
    <w:rsid w:val="002270C5"/>
    <w:rsid w:val="002270C6"/>
    <w:rsid w:val="002270CB"/>
    <w:rsid w:val="00227169"/>
    <w:rsid w:val="0022716E"/>
    <w:rsid w:val="002271BB"/>
    <w:rsid w:val="002271FA"/>
    <w:rsid w:val="002271FD"/>
    <w:rsid w:val="00227224"/>
    <w:rsid w:val="00227337"/>
    <w:rsid w:val="002273AE"/>
    <w:rsid w:val="00227410"/>
    <w:rsid w:val="00227445"/>
    <w:rsid w:val="002274F1"/>
    <w:rsid w:val="00227581"/>
    <w:rsid w:val="00227678"/>
    <w:rsid w:val="0022769A"/>
    <w:rsid w:val="002276CD"/>
    <w:rsid w:val="002276EA"/>
    <w:rsid w:val="0022774A"/>
    <w:rsid w:val="002277CE"/>
    <w:rsid w:val="002277D1"/>
    <w:rsid w:val="002278F5"/>
    <w:rsid w:val="00227923"/>
    <w:rsid w:val="00227969"/>
    <w:rsid w:val="00227976"/>
    <w:rsid w:val="002279A1"/>
    <w:rsid w:val="00227A73"/>
    <w:rsid w:val="00227A75"/>
    <w:rsid w:val="00227A89"/>
    <w:rsid w:val="00227AA0"/>
    <w:rsid w:val="00227AA1"/>
    <w:rsid w:val="00227B40"/>
    <w:rsid w:val="00227BB7"/>
    <w:rsid w:val="00227BEA"/>
    <w:rsid w:val="00227C07"/>
    <w:rsid w:val="00227C50"/>
    <w:rsid w:val="00227C64"/>
    <w:rsid w:val="00227D2A"/>
    <w:rsid w:val="00227D8F"/>
    <w:rsid w:val="00227DC5"/>
    <w:rsid w:val="00227E3C"/>
    <w:rsid w:val="0023004C"/>
    <w:rsid w:val="002300F3"/>
    <w:rsid w:val="0023012F"/>
    <w:rsid w:val="002301C0"/>
    <w:rsid w:val="0023034B"/>
    <w:rsid w:val="002303CD"/>
    <w:rsid w:val="002303F9"/>
    <w:rsid w:val="0023040A"/>
    <w:rsid w:val="00230414"/>
    <w:rsid w:val="002304EA"/>
    <w:rsid w:val="00230505"/>
    <w:rsid w:val="00230511"/>
    <w:rsid w:val="00230578"/>
    <w:rsid w:val="00230585"/>
    <w:rsid w:val="00230599"/>
    <w:rsid w:val="002305D5"/>
    <w:rsid w:val="0023067F"/>
    <w:rsid w:val="0023069C"/>
    <w:rsid w:val="002306B6"/>
    <w:rsid w:val="0023072A"/>
    <w:rsid w:val="00230730"/>
    <w:rsid w:val="0023075A"/>
    <w:rsid w:val="0023076B"/>
    <w:rsid w:val="0023076D"/>
    <w:rsid w:val="002307BE"/>
    <w:rsid w:val="002307ED"/>
    <w:rsid w:val="002307FB"/>
    <w:rsid w:val="0023081D"/>
    <w:rsid w:val="00230821"/>
    <w:rsid w:val="0023085C"/>
    <w:rsid w:val="00230881"/>
    <w:rsid w:val="00230953"/>
    <w:rsid w:val="00230969"/>
    <w:rsid w:val="002309EC"/>
    <w:rsid w:val="00230A08"/>
    <w:rsid w:val="00230A49"/>
    <w:rsid w:val="00230B6B"/>
    <w:rsid w:val="00230B70"/>
    <w:rsid w:val="00230BBC"/>
    <w:rsid w:val="00230C2F"/>
    <w:rsid w:val="00230CBB"/>
    <w:rsid w:val="00230CBC"/>
    <w:rsid w:val="00230CC2"/>
    <w:rsid w:val="00230D79"/>
    <w:rsid w:val="00230DC7"/>
    <w:rsid w:val="00230E7B"/>
    <w:rsid w:val="00230E99"/>
    <w:rsid w:val="00230E9D"/>
    <w:rsid w:val="00230EAD"/>
    <w:rsid w:val="00230ED3"/>
    <w:rsid w:val="00230ED8"/>
    <w:rsid w:val="00230EFE"/>
    <w:rsid w:val="00230F55"/>
    <w:rsid w:val="00230F7A"/>
    <w:rsid w:val="00230F87"/>
    <w:rsid w:val="00230FB0"/>
    <w:rsid w:val="00230FDD"/>
    <w:rsid w:val="00231048"/>
    <w:rsid w:val="00231082"/>
    <w:rsid w:val="00231112"/>
    <w:rsid w:val="00231127"/>
    <w:rsid w:val="002311AE"/>
    <w:rsid w:val="002311C6"/>
    <w:rsid w:val="00231222"/>
    <w:rsid w:val="0023125B"/>
    <w:rsid w:val="002312D2"/>
    <w:rsid w:val="002312F4"/>
    <w:rsid w:val="00231312"/>
    <w:rsid w:val="00231344"/>
    <w:rsid w:val="0023139A"/>
    <w:rsid w:val="0023139D"/>
    <w:rsid w:val="002313BF"/>
    <w:rsid w:val="002313C4"/>
    <w:rsid w:val="002314A7"/>
    <w:rsid w:val="00231541"/>
    <w:rsid w:val="002315D1"/>
    <w:rsid w:val="002316B2"/>
    <w:rsid w:val="002317D0"/>
    <w:rsid w:val="002317D5"/>
    <w:rsid w:val="002317F3"/>
    <w:rsid w:val="00231834"/>
    <w:rsid w:val="0023184C"/>
    <w:rsid w:val="0023185E"/>
    <w:rsid w:val="0023189D"/>
    <w:rsid w:val="002318E9"/>
    <w:rsid w:val="0023197D"/>
    <w:rsid w:val="00231995"/>
    <w:rsid w:val="002319B3"/>
    <w:rsid w:val="002319D1"/>
    <w:rsid w:val="002319ED"/>
    <w:rsid w:val="00231A45"/>
    <w:rsid w:val="00231A50"/>
    <w:rsid w:val="00231A83"/>
    <w:rsid w:val="00231AB9"/>
    <w:rsid w:val="00231ACE"/>
    <w:rsid w:val="00231AF4"/>
    <w:rsid w:val="00231B0E"/>
    <w:rsid w:val="00231B27"/>
    <w:rsid w:val="00231BA2"/>
    <w:rsid w:val="00231CC1"/>
    <w:rsid w:val="00231D01"/>
    <w:rsid w:val="00231D14"/>
    <w:rsid w:val="00231D2B"/>
    <w:rsid w:val="00231D2E"/>
    <w:rsid w:val="00231D55"/>
    <w:rsid w:val="00231D9E"/>
    <w:rsid w:val="00231DAA"/>
    <w:rsid w:val="00231DAC"/>
    <w:rsid w:val="00231DB1"/>
    <w:rsid w:val="00231DBA"/>
    <w:rsid w:val="00231E3C"/>
    <w:rsid w:val="00231E6C"/>
    <w:rsid w:val="00231E7B"/>
    <w:rsid w:val="00231EB0"/>
    <w:rsid w:val="00231F2B"/>
    <w:rsid w:val="00231F3A"/>
    <w:rsid w:val="00231F52"/>
    <w:rsid w:val="00231F5D"/>
    <w:rsid w:val="00231F72"/>
    <w:rsid w:val="00231F95"/>
    <w:rsid w:val="00231FAD"/>
    <w:rsid w:val="00231FB5"/>
    <w:rsid w:val="00231FF6"/>
    <w:rsid w:val="00232008"/>
    <w:rsid w:val="0023200D"/>
    <w:rsid w:val="002320D8"/>
    <w:rsid w:val="002320FD"/>
    <w:rsid w:val="0023215E"/>
    <w:rsid w:val="002321D5"/>
    <w:rsid w:val="002321DE"/>
    <w:rsid w:val="00232200"/>
    <w:rsid w:val="00232281"/>
    <w:rsid w:val="00232289"/>
    <w:rsid w:val="002322A5"/>
    <w:rsid w:val="002322CA"/>
    <w:rsid w:val="002322D7"/>
    <w:rsid w:val="0023235F"/>
    <w:rsid w:val="0023237E"/>
    <w:rsid w:val="002323D3"/>
    <w:rsid w:val="002323D9"/>
    <w:rsid w:val="002323FB"/>
    <w:rsid w:val="00232445"/>
    <w:rsid w:val="0023247B"/>
    <w:rsid w:val="002324F6"/>
    <w:rsid w:val="00232591"/>
    <w:rsid w:val="00232598"/>
    <w:rsid w:val="002325AC"/>
    <w:rsid w:val="002325D1"/>
    <w:rsid w:val="002325DF"/>
    <w:rsid w:val="002326BF"/>
    <w:rsid w:val="002326CD"/>
    <w:rsid w:val="002326EB"/>
    <w:rsid w:val="0023276F"/>
    <w:rsid w:val="00232796"/>
    <w:rsid w:val="00232846"/>
    <w:rsid w:val="00232868"/>
    <w:rsid w:val="00232879"/>
    <w:rsid w:val="002328E0"/>
    <w:rsid w:val="002329AE"/>
    <w:rsid w:val="00232B07"/>
    <w:rsid w:val="00232B2A"/>
    <w:rsid w:val="00232B57"/>
    <w:rsid w:val="00232B9D"/>
    <w:rsid w:val="00232BAD"/>
    <w:rsid w:val="00232BFC"/>
    <w:rsid w:val="00232C9D"/>
    <w:rsid w:val="00232CF4"/>
    <w:rsid w:val="00232D0B"/>
    <w:rsid w:val="00232D8D"/>
    <w:rsid w:val="00232DF6"/>
    <w:rsid w:val="00232DF7"/>
    <w:rsid w:val="00232E00"/>
    <w:rsid w:val="00232E20"/>
    <w:rsid w:val="00232E2E"/>
    <w:rsid w:val="00232E5D"/>
    <w:rsid w:val="00232EC4"/>
    <w:rsid w:val="00232EE5"/>
    <w:rsid w:val="00232F0F"/>
    <w:rsid w:val="00232F1D"/>
    <w:rsid w:val="00232F44"/>
    <w:rsid w:val="00232FFB"/>
    <w:rsid w:val="0023300B"/>
    <w:rsid w:val="00233023"/>
    <w:rsid w:val="002330EF"/>
    <w:rsid w:val="002330FE"/>
    <w:rsid w:val="00233125"/>
    <w:rsid w:val="00233126"/>
    <w:rsid w:val="0023314B"/>
    <w:rsid w:val="0023314C"/>
    <w:rsid w:val="002331B4"/>
    <w:rsid w:val="002331C4"/>
    <w:rsid w:val="002331E8"/>
    <w:rsid w:val="00233269"/>
    <w:rsid w:val="00233270"/>
    <w:rsid w:val="002332E2"/>
    <w:rsid w:val="00233332"/>
    <w:rsid w:val="00233334"/>
    <w:rsid w:val="00233378"/>
    <w:rsid w:val="00233381"/>
    <w:rsid w:val="002333B5"/>
    <w:rsid w:val="002333CA"/>
    <w:rsid w:val="002333CC"/>
    <w:rsid w:val="00233424"/>
    <w:rsid w:val="00233446"/>
    <w:rsid w:val="0023345D"/>
    <w:rsid w:val="0023346B"/>
    <w:rsid w:val="00233482"/>
    <w:rsid w:val="002334C2"/>
    <w:rsid w:val="00233537"/>
    <w:rsid w:val="0023356E"/>
    <w:rsid w:val="00233589"/>
    <w:rsid w:val="0023359E"/>
    <w:rsid w:val="002335AB"/>
    <w:rsid w:val="002335F4"/>
    <w:rsid w:val="002335F5"/>
    <w:rsid w:val="002336D9"/>
    <w:rsid w:val="002336FA"/>
    <w:rsid w:val="0023373E"/>
    <w:rsid w:val="0023377A"/>
    <w:rsid w:val="002337A4"/>
    <w:rsid w:val="002337C2"/>
    <w:rsid w:val="002337D3"/>
    <w:rsid w:val="002337D9"/>
    <w:rsid w:val="00233823"/>
    <w:rsid w:val="00233828"/>
    <w:rsid w:val="00233875"/>
    <w:rsid w:val="00233884"/>
    <w:rsid w:val="0023388B"/>
    <w:rsid w:val="0023389B"/>
    <w:rsid w:val="002338B5"/>
    <w:rsid w:val="002338E6"/>
    <w:rsid w:val="00233904"/>
    <w:rsid w:val="00233971"/>
    <w:rsid w:val="002339AD"/>
    <w:rsid w:val="002339EE"/>
    <w:rsid w:val="00233A1F"/>
    <w:rsid w:val="00233A3F"/>
    <w:rsid w:val="00233AB5"/>
    <w:rsid w:val="00233AC1"/>
    <w:rsid w:val="00233AF3"/>
    <w:rsid w:val="00233AF5"/>
    <w:rsid w:val="00233B08"/>
    <w:rsid w:val="00233B44"/>
    <w:rsid w:val="00233B8F"/>
    <w:rsid w:val="00233BB2"/>
    <w:rsid w:val="00233BCB"/>
    <w:rsid w:val="00233C20"/>
    <w:rsid w:val="00233C7E"/>
    <w:rsid w:val="00233D48"/>
    <w:rsid w:val="00233D6C"/>
    <w:rsid w:val="00233E56"/>
    <w:rsid w:val="00233E6A"/>
    <w:rsid w:val="00233EA2"/>
    <w:rsid w:val="00233F32"/>
    <w:rsid w:val="00233F4F"/>
    <w:rsid w:val="00233F72"/>
    <w:rsid w:val="00233F99"/>
    <w:rsid w:val="00233FAC"/>
    <w:rsid w:val="00233FC1"/>
    <w:rsid w:val="00233FC7"/>
    <w:rsid w:val="00234030"/>
    <w:rsid w:val="0023403F"/>
    <w:rsid w:val="0023409D"/>
    <w:rsid w:val="00234122"/>
    <w:rsid w:val="00234168"/>
    <w:rsid w:val="0023417D"/>
    <w:rsid w:val="00234186"/>
    <w:rsid w:val="002341D8"/>
    <w:rsid w:val="00234237"/>
    <w:rsid w:val="0023424C"/>
    <w:rsid w:val="0023427D"/>
    <w:rsid w:val="00234300"/>
    <w:rsid w:val="0023435E"/>
    <w:rsid w:val="002343B4"/>
    <w:rsid w:val="00234410"/>
    <w:rsid w:val="00234432"/>
    <w:rsid w:val="00234453"/>
    <w:rsid w:val="0023445C"/>
    <w:rsid w:val="00234487"/>
    <w:rsid w:val="002344DC"/>
    <w:rsid w:val="00234570"/>
    <w:rsid w:val="00234586"/>
    <w:rsid w:val="002345A7"/>
    <w:rsid w:val="002345CD"/>
    <w:rsid w:val="002345FC"/>
    <w:rsid w:val="0023468B"/>
    <w:rsid w:val="00234745"/>
    <w:rsid w:val="0023474D"/>
    <w:rsid w:val="00234773"/>
    <w:rsid w:val="002347E0"/>
    <w:rsid w:val="002347E4"/>
    <w:rsid w:val="0023484A"/>
    <w:rsid w:val="002348EC"/>
    <w:rsid w:val="00234981"/>
    <w:rsid w:val="002349DB"/>
    <w:rsid w:val="002349E7"/>
    <w:rsid w:val="002349F1"/>
    <w:rsid w:val="002349FB"/>
    <w:rsid w:val="00234A4C"/>
    <w:rsid w:val="00234A8F"/>
    <w:rsid w:val="00234AE2"/>
    <w:rsid w:val="00234AF6"/>
    <w:rsid w:val="00234B2D"/>
    <w:rsid w:val="00234B41"/>
    <w:rsid w:val="00234B7B"/>
    <w:rsid w:val="00234BC3"/>
    <w:rsid w:val="00234C87"/>
    <w:rsid w:val="00234CC4"/>
    <w:rsid w:val="00234D26"/>
    <w:rsid w:val="00234D58"/>
    <w:rsid w:val="00234D5E"/>
    <w:rsid w:val="00234DA9"/>
    <w:rsid w:val="00234DBE"/>
    <w:rsid w:val="00234DD9"/>
    <w:rsid w:val="00234DDA"/>
    <w:rsid w:val="00234DFE"/>
    <w:rsid w:val="00234E0C"/>
    <w:rsid w:val="00234E51"/>
    <w:rsid w:val="00234EF7"/>
    <w:rsid w:val="00234F0B"/>
    <w:rsid w:val="00234F0E"/>
    <w:rsid w:val="00234FB4"/>
    <w:rsid w:val="00235001"/>
    <w:rsid w:val="00235005"/>
    <w:rsid w:val="00235007"/>
    <w:rsid w:val="002350AC"/>
    <w:rsid w:val="002350F2"/>
    <w:rsid w:val="0023512F"/>
    <w:rsid w:val="00235137"/>
    <w:rsid w:val="00235189"/>
    <w:rsid w:val="002351AF"/>
    <w:rsid w:val="002351C5"/>
    <w:rsid w:val="002351E6"/>
    <w:rsid w:val="00235202"/>
    <w:rsid w:val="00235278"/>
    <w:rsid w:val="002352A4"/>
    <w:rsid w:val="002352AF"/>
    <w:rsid w:val="002352C6"/>
    <w:rsid w:val="0023533A"/>
    <w:rsid w:val="00235360"/>
    <w:rsid w:val="002353E3"/>
    <w:rsid w:val="0023544E"/>
    <w:rsid w:val="00235454"/>
    <w:rsid w:val="0023545B"/>
    <w:rsid w:val="002354AD"/>
    <w:rsid w:val="002354F2"/>
    <w:rsid w:val="0023553F"/>
    <w:rsid w:val="0023557B"/>
    <w:rsid w:val="0023563D"/>
    <w:rsid w:val="0023565F"/>
    <w:rsid w:val="00235694"/>
    <w:rsid w:val="0023579D"/>
    <w:rsid w:val="002357AF"/>
    <w:rsid w:val="002357E9"/>
    <w:rsid w:val="002357FF"/>
    <w:rsid w:val="00235814"/>
    <w:rsid w:val="00235831"/>
    <w:rsid w:val="002358F2"/>
    <w:rsid w:val="00235929"/>
    <w:rsid w:val="00235994"/>
    <w:rsid w:val="002359A6"/>
    <w:rsid w:val="002359C6"/>
    <w:rsid w:val="002359DC"/>
    <w:rsid w:val="00235A9C"/>
    <w:rsid w:val="00235B55"/>
    <w:rsid w:val="00235B58"/>
    <w:rsid w:val="00235B76"/>
    <w:rsid w:val="00235BBF"/>
    <w:rsid w:val="00235BDD"/>
    <w:rsid w:val="00235C73"/>
    <w:rsid w:val="00235C7D"/>
    <w:rsid w:val="00235C90"/>
    <w:rsid w:val="00235CAA"/>
    <w:rsid w:val="00235CB1"/>
    <w:rsid w:val="00235CB4"/>
    <w:rsid w:val="00235CC8"/>
    <w:rsid w:val="00235CDF"/>
    <w:rsid w:val="00235DD0"/>
    <w:rsid w:val="00235E12"/>
    <w:rsid w:val="00235E33"/>
    <w:rsid w:val="00235E48"/>
    <w:rsid w:val="00235E76"/>
    <w:rsid w:val="00235EAE"/>
    <w:rsid w:val="00235F1A"/>
    <w:rsid w:val="00235F1C"/>
    <w:rsid w:val="00235F67"/>
    <w:rsid w:val="00235F78"/>
    <w:rsid w:val="00235F8A"/>
    <w:rsid w:val="002360B1"/>
    <w:rsid w:val="002360EA"/>
    <w:rsid w:val="0023611A"/>
    <w:rsid w:val="00236141"/>
    <w:rsid w:val="002361E2"/>
    <w:rsid w:val="002361FC"/>
    <w:rsid w:val="00236228"/>
    <w:rsid w:val="00236263"/>
    <w:rsid w:val="00236266"/>
    <w:rsid w:val="002362DB"/>
    <w:rsid w:val="002362E0"/>
    <w:rsid w:val="002362FE"/>
    <w:rsid w:val="00236366"/>
    <w:rsid w:val="002363D8"/>
    <w:rsid w:val="002363E5"/>
    <w:rsid w:val="00236412"/>
    <w:rsid w:val="00236425"/>
    <w:rsid w:val="0023642D"/>
    <w:rsid w:val="00236443"/>
    <w:rsid w:val="0023645A"/>
    <w:rsid w:val="0023647B"/>
    <w:rsid w:val="0023650D"/>
    <w:rsid w:val="0023653E"/>
    <w:rsid w:val="0023654D"/>
    <w:rsid w:val="00236569"/>
    <w:rsid w:val="00236595"/>
    <w:rsid w:val="002365A9"/>
    <w:rsid w:val="00236610"/>
    <w:rsid w:val="00236657"/>
    <w:rsid w:val="00236736"/>
    <w:rsid w:val="00236751"/>
    <w:rsid w:val="00236772"/>
    <w:rsid w:val="0023678E"/>
    <w:rsid w:val="002367C7"/>
    <w:rsid w:val="0023687D"/>
    <w:rsid w:val="002368BA"/>
    <w:rsid w:val="002368E5"/>
    <w:rsid w:val="0023693B"/>
    <w:rsid w:val="00236956"/>
    <w:rsid w:val="00236959"/>
    <w:rsid w:val="0023697B"/>
    <w:rsid w:val="00236B04"/>
    <w:rsid w:val="00236B1A"/>
    <w:rsid w:val="00236B23"/>
    <w:rsid w:val="00236B42"/>
    <w:rsid w:val="00236B6C"/>
    <w:rsid w:val="00236BBD"/>
    <w:rsid w:val="00236CA0"/>
    <w:rsid w:val="00236CA2"/>
    <w:rsid w:val="00236CB3"/>
    <w:rsid w:val="00236CBF"/>
    <w:rsid w:val="00236D42"/>
    <w:rsid w:val="00236D43"/>
    <w:rsid w:val="00236D56"/>
    <w:rsid w:val="00236D66"/>
    <w:rsid w:val="00236D8E"/>
    <w:rsid w:val="00236DDA"/>
    <w:rsid w:val="00236E31"/>
    <w:rsid w:val="00236E38"/>
    <w:rsid w:val="00236E50"/>
    <w:rsid w:val="00236E73"/>
    <w:rsid w:val="00236E98"/>
    <w:rsid w:val="00236E9C"/>
    <w:rsid w:val="00236ECA"/>
    <w:rsid w:val="00236ED9"/>
    <w:rsid w:val="00236F00"/>
    <w:rsid w:val="00236F05"/>
    <w:rsid w:val="00237044"/>
    <w:rsid w:val="0023709D"/>
    <w:rsid w:val="0023715F"/>
    <w:rsid w:val="00237183"/>
    <w:rsid w:val="00237184"/>
    <w:rsid w:val="00237189"/>
    <w:rsid w:val="002371BA"/>
    <w:rsid w:val="002371BF"/>
    <w:rsid w:val="002371EC"/>
    <w:rsid w:val="0023723F"/>
    <w:rsid w:val="002372A2"/>
    <w:rsid w:val="002372A8"/>
    <w:rsid w:val="002372DF"/>
    <w:rsid w:val="002373A5"/>
    <w:rsid w:val="002373BC"/>
    <w:rsid w:val="00237400"/>
    <w:rsid w:val="00237431"/>
    <w:rsid w:val="0023743F"/>
    <w:rsid w:val="002374E1"/>
    <w:rsid w:val="002374EF"/>
    <w:rsid w:val="00237504"/>
    <w:rsid w:val="0023750F"/>
    <w:rsid w:val="00237510"/>
    <w:rsid w:val="0023759B"/>
    <w:rsid w:val="002375A7"/>
    <w:rsid w:val="002375B6"/>
    <w:rsid w:val="00237619"/>
    <w:rsid w:val="00237649"/>
    <w:rsid w:val="00237696"/>
    <w:rsid w:val="002376F1"/>
    <w:rsid w:val="002376FA"/>
    <w:rsid w:val="0023773B"/>
    <w:rsid w:val="0023773F"/>
    <w:rsid w:val="0023777C"/>
    <w:rsid w:val="00237790"/>
    <w:rsid w:val="002377B4"/>
    <w:rsid w:val="002377CC"/>
    <w:rsid w:val="00237809"/>
    <w:rsid w:val="00237842"/>
    <w:rsid w:val="00237863"/>
    <w:rsid w:val="00237869"/>
    <w:rsid w:val="002378B3"/>
    <w:rsid w:val="00237A1D"/>
    <w:rsid w:val="00237A2D"/>
    <w:rsid w:val="00237A9C"/>
    <w:rsid w:val="00237B03"/>
    <w:rsid w:val="00237B33"/>
    <w:rsid w:val="00237B55"/>
    <w:rsid w:val="00237B71"/>
    <w:rsid w:val="00237B79"/>
    <w:rsid w:val="00237BDF"/>
    <w:rsid w:val="00237CB9"/>
    <w:rsid w:val="00237D11"/>
    <w:rsid w:val="00237D7D"/>
    <w:rsid w:val="00237DF6"/>
    <w:rsid w:val="00237EB4"/>
    <w:rsid w:val="00237F78"/>
    <w:rsid w:val="00240014"/>
    <w:rsid w:val="00240017"/>
    <w:rsid w:val="00240076"/>
    <w:rsid w:val="0024007A"/>
    <w:rsid w:val="002400BE"/>
    <w:rsid w:val="0024010B"/>
    <w:rsid w:val="00240127"/>
    <w:rsid w:val="00240159"/>
    <w:rsid w:val="002401B3"/>
    <w:rsid w:val="002401C2"/>
    <w:rsid w:val="002401F2"/>
    <w:rsid w:val="00240219"/>
    <w:rsid w:val="0024023F"/>
    <w:rsid w:val="002402E6"/>
    <w:rsid w:val="002402E7"/>
    <w:rsid w:val="00240377"/>
    <w:rsid w:val="002403B4"/>
    <w:rsid w:val="002403E4"/>
    <w:rsid w:val="002403F7"/>
    <w:rsid w:val="00240403"/>
    <w:rsid w:val="0024043B"/>
    <w:rsid w:val="002404F8"/>
    <w:rsid w:val="0024056C"/>
    <w:rsid w:val="0024059C"/>
    <w:rsid w:val="002405D8"/>
    <w:rsid w:val="002405F6"/>
    <w:rsid w:val="00240605"/>
    <w:rsid w:val="0024060C"/>
    <w:rsid w:val="00240633"/>
    <w:rsid w:val="00240665"/>
    <w:rsid w:val="0024067D"/>
    <w:rsid w:val="002406B5"/>
    <w:rsid w:val="002406DB"/>
    <w:rsid w:val="002406E9"/>
    <w:rsid w:val="002406F4"/>
    <w:rsid w:val="00240778"/>
    <w:rsid w:val="002407B3"/>
    <w:rsid w:val="0024082C"/>
    <w:rsid w:val="00240839"/>
    <w:rsid w:val="002408BA"/>
    <w:rsid w:val="002408C4"/>
    <w:rsid w:val="002408FA"/>
    <w:rsid w:val="00240951"/>
    <w:rsid w:val="00240971"/>
    <w:rsid w:val="002409AD"/>
    <w:rsid w:val="00240A44"/>
    <w:rsid w:val="00240A52"/>
    <w:rsid w:val="00240A98"/>
    <w:rsid w:val="00240AB3"/>
    <w:rsid w:val="00240AE0"/>
    <w:rsid w:val="00240B5A"/>
    <w:rsid w:val="00240BAF"/>
    <w:rsid w:val="00240C09"/>
    <w:rsid w:val="00240C3E"/>
    <w:rsid w:val="00240CBD"/>
    <w:rsid w:val="00240D4A"/>
    <w:rsid w:val="00240D99"/>
    <w:rsid w:val="00240DD3"/>
    <w:rsid w:val="00240F20"/>
    <w:rsid w:val="00240F47"/>
    <w:rsid w:val="00240F4E"/>
    <w:rsid w:val="00240F9A"/>
    <w:rsid w:val="00240F9B"/>
    <w:rsid w:val="00241050"/>
    <w:rsid w:val="00241067"/>
    <w:rsid w:val="002410D7"/>
    <w:rsid w:val="00241109"/>
    <w:rsid w:val="0024110A"/>
    <w:rsid w:val="00241152"/>
    <w:rsid w:val="002411EC"/>
    <w:rsid w:val="002411F9"/>
    <w:rsid w:val="00241214"/>
    <w:rsid w:val="002412CD"/>
    <w:rsid w:val="002412F1"/>
    <w:rsid w:val="002413BA"/>
    <w:rsid w:val="002414E0"/>
    <w:rsid w:val="00241541"/>
    <w:rsid w:val="0024156C"/>
    <w:rsid w:val="00241578"/>
    <w:rsid w:val="00241579"/>
    <w:rsid w:val="002415B2"/>
    <w:rsid w:val="00241625"/>
    <w:rsid w:val="0024164C"/>
    <w:rsid w:val="00241670"/>
    <w:rsid w:val="0024167F"/>
    <w:rsid w:val="002416A2"/>
    <w:rsid w:val="002416CF"/>
    <w:rsid w:val="002416DA"/>
    <w:rsid w:val="002416EE"/>
    <w:rsid w:val="002416EF"/>
    <w:rsid w:val="00241710"/>
    <w:rsid w:val="0024177B"/>
    <w:rsid w:val="0024178A"/>
    <w:rsid w:val="002417C4"/>
    <w:rsid w:val="002417C6"/>
    <w:rsid w:val="002417D0"/>
    <w:rsid w:val="0024181F"/>
    <w:rsid w:val="0024183F"/>
    <w:rsid w:val="0024185A"/>
    <w:rsid w:val="0024186B"/>
    <w:rsid w:val="00241882"/>
    <w:rsid w:val="00241884"/>
    <w:rsid w:val="0024192C"/>
    <w:rsid w:val="00241947"/>
    <w:rsid w:val="002419DD"/>
    <w:rsid w:val="00241A48"/>
    <w:rsid w:val="00241AC5"/>
    <w:rsid w:val="00241ACE"/>
    <w:rsid w:val="00241B87"/>
    <w:rsid w:val="00241BB5"/>
    <w:rsid w:val="00241BE1"/>
    <w:rsid w:val="00241C25"/>
    <w:rsid w:val="00241C35"/>
    <w:rsid w:val="00241C91"/>
    <w:rsid w:val="00241D0A"/>
    <w:rsid w:val="00241D42"/>
    <w:rsid w:val="00241DAC"/>
    <w:rsid w:val="00241DC1"/>
    <w:rsid w:val="00241E12"/>
    <w:rsid w:val="00241E3C"/>
    <w:rsid w:val="00241EF4"/>
    <w:rsid w:val="00241F07"/>
    <w:rsid w:val="00241F28"/>
    <w:rsid w:val="00241F33"/>
    <w:rsid w:val="00241FA4"/>
    <w:rsid w:val="00241FB3"/>
    <w:rsid w:val="0024203E"/>
    <w:rsid w:val="00242067"/>
    <w:rsid w:val="00242084"/>
    <w:rsid w:val="002420DC"/>
    <w:rsid w:val="002420E5"/>
    <w:rsid w:val="002421BE"/>
    <w:rsid w:val="002421F4"/>
    <w:rsid w:val="00242210"/>
    <w:rsid w:val="00242289"/>
    <w:rsid w:val="00242292"/>
    <w:rsid w:val="0024231B"/>
    <w:rsid w:val="00242328"/>
    <w:rsid w:val="0024232B"/>
    <w:rsid w:val="00242367"/>
    <w:rsid w:val="00242391"/>
    <w:rsid w:val="00242394"/>
    <w:rsid w:val="002423C2"/>
    <w:rsid w:val="00242416"/>
    <w:rsid w:val="002424B8"/>
    <w:rsid w:val="002424F6"/>
    <w:rsid w:val="00242518"/>
    <w:rsid w:val="00242519"/>
    <w:rsid w:val="00242538"/>
    <w:rsid w:val="00242556"/>
    <w:rsid w:val="002425E2"/>
    <w:rsid w:val="002426CB"/>
    <w:rsid w:val="00242722"/>
    <w:rsid w:val="0024275C"/>
    <w:rsid w:val="00242772"/>
    <w:rsid w:val="002427AE"/>
    <w:rsid w:val="002427BF"/>
    <w:rsid w:val="002427DA"/>
    <w:rsid w:val="002427E5"/>
    <w:rsid w:val="0024289C"/>
    <w:rsid w:val="002428CC"/>
    <w:rsid w:val="002428EB"/>
    <w:rsid w:val="00242901"/>
    <w:rsid w:val="00242999"/>
    <w:rsid w:val="002429A1"/>
    <w:rsid w:val="00242A2C"/>
    <w:rsid w:val="00242A8B"/>
    <w:rsid w:val="00242A8C"/>
    <w:rsid w:val="00242AC8"/>
    <w:rsid w:val="00242B03"/>
    <w:rsid w:val="00242B04"/>
    <w:rsid w:val="00242B2E"/>
    <w:rsid w:val="00242B77"/>
    <w:rsid w:val="00242BE6"/>
    <w:rsid w:val="00242BEA"/>
    <w:rsid w:val="00242C20"/>
    <w:rsid w:val="00242C7D"/>
    <w:rsid w:val="00242C89"/>
    <w:rsid w:val="00242C95"/>
    <w:rsid w:val="00242CB0"/>
    <w:rsid w:val="00242D0D"/>
    <w:rsid w:val="00242D34"/>
    <w:rsid w:val="00242D35"/>
    <w:rsid w:val="00242D4D"/>
    <w:rsid w:val="00242DF5"/>
    <w:rsid w:val="00242E2C"/>
    <w:rsid w:val="00242E3C"/>
    <w:rsid w:val="00242EC9"/>
    <w:rsid w:val="00242F20"/>
    <w:rsid w:val="00242F25"/>
    <w:rsid w:val="00242F81"/>
    <w:rsid w:val="00242F83"/>
    <w:rsid w:val="00242FC5"/>
    <w:rsid w:val="00242FD7"/>
    <w:rsid w:val="00242FF0"/>
    <w:rsid w:val="00242FF3"/>
    <w:rsid w:val="0024304A"/>
    <w:rsid w:val="002430CF"/>
    <w:rsid w:val="002430E7"/>
    <w:rsid w:val="002431F5"/>
    <w:rsid w:val="00243227"/>
    <w:rsid w:val="002432F3"/>
    <w:rsid w:val="002433B7"/>
    <w:rsid w:val="00243454"/>
    <w:rsid w:val="00243455"/>
    <w:rsid w:val="0024348C"/>
    <w:rsid w:val="002435E1"/>
    <w:rsid w:val="00243601"/>
    <w:rsid w:val="00243605"/>
    <w:rsid w:val="00243636"/>
    <w:rsid w:val="002436AD"/>
    <w:rsid w:val="002436AE"/>
    <w:rsid w:val="002436AF"/>
    <w:rsid w:val="002436FB"/>
    <w:rsid w:val="00243737"/>
    <w:rsid w:val="00243751"/>
    <w:rsid w:val="00243752"/>
    <w:rsid w:val="00243761"/>
    <w:rsid w:val="002437A0"/>
    <w:rsid w:val="002437CA"/>
    <w:rsid w:val="00243819"/>
    <w:rsid w:val="00243826"/>
    <w:rsid w:val="0024384B"/>
    <w:rsid w:val="00243861"/>
    <w:rsid w:val="002438BC"/>
    <w:rsid w:val="0024395D"/>
    <w:rsid w:val="00243963"/>
    <w:rsid w:val="00243A05"/>
    <w:rsid w:val="00243A26"/>
    <w:rsid w:val="00243A2F"/>
    <w:rsid w:val="00243A7C"/>
    <w:rsid w:val="00243AE5"/>
    <w:rsid w:val="00243B07"/>
    <w:rsid w:val="00243B0F"/>
    <w:rsid w:val="00243B16"/>
    <w:rsid w:val="00243B67"/>
    <w:rsid w:val="00243B90"/>
    <w:rsid w:val="00243BBD"/>
    <w:rsid w:val="00243C0A"/>
    <w:rsid w:val="00243C3B"/>
    <w:rsid w:val="00243CEA"/>
    <w:rsid w:val="00243CF5"/>
    <w:rsid w:val="00243CFF"/>
    <w:rsid w:val="00243D22"/>
    <w:rsid w:val="00243D75"/>
    <w:rsid w:val="00243DE8"/>
    <w:rsid w:val="00243DFB"/>
    <w:rsid w:val="00243E60"/>
    <w:rsid w:val="00243EC1"/>
    <w:rsid w:val="00243EFF"/>
    <w:rsid w:val="00243F05"/>
    <w:rsid w:val="00243F52"/>
    <w:rsid w:val="00243FDD"/>
    <w:rsid w:val="00243FE7"/>
    <w:rsid w:val="00244008"/>
    <w:rsid w:val="00244032"/>
    <w:rsid w:val="00244060"/>
    <w:rsid w:val="00244088"/>
    <w:rsid w:val="002440AF"/>
    <w:rsid w:val="002440D5"/>
    <w:rsid w:val="00244111"/>
    <w:rsid w:val="0024411C"/>
    <w:rsid w:val="002441EF"/>
    <w:rsid w:val="00244207"/>
    <w:rsid w:val="0024423E"/>
    <w:rsid w:val="0024426C"/>
    <w:rsid w:val="002442AA"/>
    <w:rsid w:val="002442F6"/>
    <w:rsid w:val="00244306"/>
    <w:rsid w:val="00244383"/>
    <w:rsid w:val="002443C9"/>
    <w:rsid w:val="00244430"/>
    <w:rsid w:val="00244490"/>
    <w:rsid w:val="002444CE"/>
    <w:rsid w:val="002444F6"/>
    <w:rsid w:val="00244523"/>
    <w:rsid w:val="00244530"/>
    <w:rsid w:val="00244567"/>
    <w:rsid w:val="00244586"/>
    <w:rsid w:val="002445BA"/>
    <w:rsid w:val="00244615"/>
    <w:rsid w:val="00244637"/>
    <w:rsid w:val="0024463D"/>
    <w:rsid w:val="00244654"/>
    <w:rsid w:val="00244738"/>
    <w:rsid w:val="0024474F"/>
    <w:rsid w:val="002447A2"/>
    <w:rsid w:val="002447AB"/>
    <w:rsid w:val="002447AF"/>
    <w:rsid w:val="002447FD"/>
    <w:rsid w:val="0024482B"/>
    <w:rsid w:val="00244894"/>
    <w:rsid w:val="002448EC"/>
    <w:rsid w:val="00244912"/>
    <w:rsid w:val="00244943"/>
    <w:rsid w:val="00244974"/>
    <w:rsid w:val="0024499A"/>
    <w:rsid w:val="002449B1"/>
    <w:rsid w:val="002449DA"/>
    <w:rsid w:val="002449E1"/>
    <w:rsid w:val="00244AF7"/>
    <w:rsid w:val="00244AF9"/>
    <w:rsid w:val="00244B0E"/>
    <w:rsid w:val="00244B20"/>
    <w:rsid w:val="00244B33"/>
    <w:rsid w:val="00244B47"/>
    <w:rsid w:val="00244C12"/>
    <w:rsid w:val="00244C39"/>
    <w:rsid w:val="00244C5B"/>
    <w:rsid w:val="00244C73"/>
    <w:rsid w:val="00244CF5"/>
    <w:rsid w:val="00244D43"/>
    <w:rsid w:val="00244D52"/>
    <w:rsid w:val="00244D7C"/>
    <w:rsid w:val="00244DDE"/>
    <w:rsid w:val="00244E3B"/>
    <w:rsid w:val="00244E94"/>
    <w:rsid w:val="00244EB6"/>
    <w:rsid w:val="00244ED5"/>
    <w:rsid w:val="00244EFE"/>
    <w:rsid w:val="00244FBA"/>
    <w:rsid w:val="00245048"/>
    <w:rsid w:val="002450A4"/>
    <w:rsid w:val="002450D3"/>
    <w:rsid w:val="00245192"/>
    <w:rsid w:val="002451A0"/>
    <w:rsid w:val="002451F3"/>
    <w:rsid w:val="002451FE"/>
    <w:rsid w:val="00245201"/>
    <w:rsid w:val="00245223"/>
    <w:rsid w:val="0024525F"/>
    <w:rsid w:val="00245260"/>
    <w:rsid w:val="0024527A"/>
    <w:rsid w:val="002452B2"/>
    <w:rsid w:val="002452DE"/>
    <w:rsid w:val="00245314"/>
    <w:rsid w:val="00245439"/>
    <w:rsid w:val="0024543D"/>
    <w:rsid w:val="0024544B"/>
    <w:rsid w:val="00245483"/>
    <w:rsid w:val="002454A6"/>
    <w:rsid w:val="002454B2"/>
    <w:rsid w:val="00245511"/>
    <w:rsid w:val="0024553C"/>
    <w:rsid w:val="00245640"/>
    <w:rsid w:val="0024569D"/>
    <w:rsid w:val="002456CD"/>
    <w:rsid w:val="002457EF"/>
    <w:rsid w:val="0024581C"/>
    <w:rsid w:val="0024581E"/>
    <w:rsid w:val="00245857"/>
    <w:rsid w:val="00245878"/>
    <w:rsid w:val="0024587A"/>
    <w:rsid w:val="0024589D"/>
    <w:rsid w:val="002458E3"/>
    <w:rsid w:val="00245907"/>
    <w:rsid w:val="00245914"/>
    <w:rsid w:val="00245919"/>
    <w:rsid w:val="00245970"/>
    <w:rsid w:val="00245993"/>
    <w:rsid w:val="002459B6"/>
    <w:rsid w:val="002459E5"/>
    <w:rsid w:val="002459EE"/>
    <w:rsid w:val="002459FB"/>
    <w:rsid w:val="00245AC3"/>
    <w:rsid w:val="00245B35"/>
    <w:rsid w:val="00245BC4"/>
    <w:rsid w:val="00245BD1"/>
    <w:rsid w:val="00245D19"/>
    <w:rsid w:val="00245D8B"/>
    <w:rsid w:val="00245DB8"/>
    <w:rsid w:val="00245DD0"/>
    <w:rsid w:val="00245DE1"/>
    <w:rsid w:val="00245E36"/>
    <w:rsid w:val="00245E3D"/>
    <w:rsid w:val="00245E7A"/>
    <w:rsid w:val="00245E8B"/>
    <w:rsid w:val="00245E90"/>
    <w:rsid w:val="00246000"/>
    <w:rsid w:val="00246006"/>
    <w:rsid w:val="0024600C"/>
    <w:rsid w:val="0024600D"/>
    <w:rsid w:val="002460C0"/>
    <w:rsid w:val="002460E0"/>
    <w:rsid w:val="002460FA"/>
    <w:rsid w:val="00246112"/>
    <w:rsid w:val="0024611A"/>
    <w:rsid w:val="0024613B"/>
    <w:rsid w:val="00246170"/>
    <w:rsid w:val="002461A2"/>
    <w:rsid w:val="002461B3"/>
    <w:rsid w:val="0024627D"/>
    <w:rsid w:val="002462C1"/>
    <w:rsid w:val="00246345"/>
    <w:rsid w:val="002463B6"/>
    <w:rsid w:val="002463F5"/>
    <w:rsid w:val="002463F9"/>
    <w:rsid w:val="00246495"/>
    <w:rsid w:val="002464E1"/>
    <w:rsid w:val="0024658C"/>
    <w:rsid w:val="002465C5"/>
    <w:rsid w:val="002465E5"/>
    <w:rsid w:val="0024668E"/>
    <w:rsid w:val="002466FA"/>
    <w:rsid w:val="00246701"/>
    <w:rsid w:val="002467CC"/>
    <w:rsid w:val="0024680A"/>
    <w:rsid w:val="00246815"/>
    <w:rsid w:val="0024681D"/>
    <w:rsid w:val="00246827"/>
    <w:rsid w:val="00246882"/>
    <w:rsid w:val="002468F4"/>
    <w:rsid w:val="00246942"/>
    <w:rsid w:val="00246954"/>
    <w:rsid w:val="00246967"/>
    <w:rsid w:val="00246975"/>
    <w:rsid w:val="002469A4"/>
    <w:rsid w:val="00246A61"/>
    <w:rsid w:val="00246A99"/>
    <w:rsid w:val="00246ABB"/>
    <w:rsid w:val="00246AEE"/>
    <w:rsid w:val="00246B8F"/>
    <w:rsid w:val="00246B99"/>
    <w:rsid w:val="00246BB4"/>
    <w:rsid w:val="00246BC9"/>
    <w:rsid w:val="00246BDA"/>
    <w:rsid w:val="00246BDC"/>
    <w:rsid w:val="00246C6E"/>
    <w:rsid w:val="00246CD2"/>
    <w:rsid w:val="00246CD4"/>
    <w:rsid w:val="00246D13"/>
    <w:rsid w:val="00246D8E"/>
    <w:rsid w:val="00246D96"/>
    <w:rsid w:val="00246DAB"/>
    <w:rsid w:val="00246DFA"/>
    <w:rsid w:val="00246E80"/>
    <w:rsid w:val="00246E8D"/>
    <w:rsid w:val="00246E91"/>
    <w:rsid w:val="00246E93"/>
    <w:rsid w:val="00246EB2"/>
    <w:rsid w:val="00246EC1"/>
    <w:rsid w:val="00246F41"/>
    <w:rsid w:val="00246F58"/>
    <w:rsid w:val="00246F63"/>
    <w:rsid w:val="00246FB7"/>
    <w:rsid w:val="00246FEA"/>
    <w:rsid w:val="0024705F"/>
    <w:rsid w:val="00247097"/>
    <w:rsid w:val="0024709E"/>
    <w:rsid w:val="002470C0"/>
    <w:rsid w:val="002470F0"/>
    <w:rsid w:val="002470F7"/>
    <w:rsid w:val="00247173"/>
    <w:rsid w:val="00247185"/>
    <w:rsid w:val="002471AC"/>
    <w:rsid w:val="0024721C"/>
    <w:rsid w:val="00247268"/>
    <w:rsid w:val="0024727D"/>
    <w:rsid w:val="0024731E"/>
    <w:rsid w:val="00247322"/>
    <w:rsid w:val="00247387"/>
    <w:rsid w:val="0024738D"/>
    <w:rsid w:val="00247460"/>
    <w:rsid w:val="0024746C"/>
    <w:rsid w:val="00247525"/>
    <w:rsid w:val="002475C1"/>
    <w:rsid w:val="002475F6"/>
    <w:rsid w:val="00247653"/>
    <w:rsid w:val="00247662"/>
    <w:rsid w:val="00247690"/>
    <w:rsid w:val="002476EF"/>
    <w:rsid w:val="0024773A"/>
    <w:rsid w:val="0024775E"/>
    <w:rsid w:val="00247783"/>
    <w:rsid w:val="0024779B"/>
    <w:rsid w:val="002477A1"/>
    <w:rsid w:val="002477CD"/>
    <w:rsid w:val="002477DC"/>
    <w:rsid w:val="002477F3"/>
    <w:rsid w:val="002477FD"/>
    <w:rsid w:val="0024784D"/>
    <w:rsid w:val="00247856"/>
    <w:rsid w:val="002478AD"/>
    <w:rsid w:val="002478B8"/>
    <w:rsid w:val="002478E7"/>
    <w:rsid w:val="00247902"/>
    <w:rsid w:val="0024792E"/>
    <w:rsid w:val="00247933"/>
    <w:rsid w:val="00247979"/>
    <w:rsid w:val="00247981"/>
    <w:rsid w:val="002479BD"/>
    <w:rsid w:val="00247A72"/>
    <w:rsid w:val="00247B00"/>
    <w:rsid w:val="00247B2B"/>
    <w:rsid w:val="00247B47"/>
    <w:rsid w:val="00247B62"/>
    <w:rsid w:val="00247BA0"/>
    <w:rsid w:val="00247BA5"/>
    <w:rsid w:val="00247BF3"/>
    <w:rsid w:val="00247C11"/>
    <w:rsid w:val="00247CAB"/>
    <w:rsid w:val="00247CFD"/>
    <w:rsid w:val="00247DF8"/>
    <w:rsid w:val="00247E07"/>
    <w:rsid w:val="00247E46"/>
    <w:rsid w:val="00247E5D"/>
    <w:rsid w:val="00247E90"/>
    <w:rsid w:val="00247EA7"/>
    <w:rsid w:val="00247ED4"/>
    <w:rsid w:val="00247F2B"/>
    <w:rsid w:val="00247F7B"/>
    <w:rsid w:val="00247FE5"/>
    <w:rsid w:val="0024C76C"/>
    <w:rsid w:val="0024F341"/>
    <w:rsid w:val="002500A0"/>
    <w:rsid w:val="002500AD"/>
    <w:rsid w:val="0025011C"/>
    <w:rsid w:val="002501B5"/>
    <w:rsid w:val="002501C4"/>
    <w:rsid w:val="002501CB"/>
    <w:rsid w:val="00250233"/>
    <w:rsid w:val="0025025F"/>
    <w:rsid w:val="00250335"/>
    <w:rsid w:val="00250344"/>
    <w:rsid w:val="002503F0"/>
    <w:rsid w:val="0025040D"/>
    <w:rsid w:val="00250472"/>
    <w:rsid w:val="0025047E"/>
    <w:rsid w:val="00250490"/>
    <w:rsid w:val="00250495"/>
    <w:rsid w:val="002504C3"/>
    <w:rsid w:val="002504D0"/>
    <w:rsid w:val="00250539"/>
    <w:rsid w:val="00250560"/>
    <w:rsid w:val="0025059A"/>
    <w:rsid w:val="002505AD"/>
    <w:rsid w:val="002505D7"/>
    <w:rsid w:val="00250618"/>
    <w:rsid w:val="00250677"/>
    <w:rsid w:val="0025068E"/>
    <w:rsid w:val="002506A0"/>
    <w:rsid w:val="002506CC"/>
    <w:rsid w:val="0025076F"/>
    <w:rsid w:val="0025078F"/>
    <w:rsid w:val="00250886"/>
    <w:rsid w:val="00250898"/>
    <w:rsid w:val="002508D9"/>
    <w:rsid w:val="002508EB"/>
    <w:rsid w:val="0025093E"/>
    <w:rsid w:val="0025099A"/>
    <w:rsid w:val="002509E5"/>
    <w:rsid w:val="002509ED"/>
    <w:rsid w:val="00250A18"/>
    <w:rsid w:val="00250A25"/>
    <w:rsid w:val="00250A29"/>
    <w:rsid w:val="00250A71"/>
    <w:rsid w:val="00250B2E"/>
    <w:rsid w:val="00250BEE"/>
    <w:rsid w:val="00250BFB"/>
    <w:rsid w:val="00250C14"/>
    <w:rsid w:val="00250C36"/>
    <w:rsid w:val="00250CC2"/>
    <w:rsid w:val="00250DB4"/>
    <w:rsid w:val="00250DCC"/>
    <w:rsid w:val="00250DE5"/>
    <w:rsid w:val="00250DE8"/>
    <w:rsid w:val="00250E4C"/>
    <w:rsid w:val="00250F1B"/>
    <w:rsid w:val="00250F21"/>
    <w:rsid w:val="0025107E"/>
    <w:rsid w:val="0025108F"/>
    <w:rsid w:val="002510B2"/>
    <w:rsid w:val="002510BB"/>
    <w:rsid w:val="00251119"/>
    <w:rsid w:val="00251125"/>
    <w:rsid w:val="00251142"/>
    <w:rsid w:val="00251178"/>
    <w:rsid w:val="00251275"/>
    <w:rsid w:val="0025148B"/>
    <w:rsid w:val="00251500"/>
    <w:rsid w:val="0025152D"/>
    <w:rsid w:val="0025153E"/>
    <w:rsid w:val="00251571"/>
    <w:rsid w:val="00251660"/>
    <w:rsid w:val="002516C9"/>
    <w:rsid w:val="002516D2"/>
    <w:rsid w:val="002516D3"/>
    <w:rsid w:val="002516E0"/>
    <w:rsid w:val="00251709"/>
    <w:rsid w:val="0025170C"/>
    <w:rsid w:val="00251774"/>
    <w:rsid w:val="0025187F"/>
    <w:rsid w:val="00251882"/>
    <w:rsid w:val="002518DE"/>
    <w:rsid w:val="00251905"/>
    <w:rsid w:val="0025191C"/>
    <w:rsid w:val="0025192E"/>
    <w:rsid w:val="00251939"/>
    <w:rsid w:val="00251955"/>
    <w:rsid w:val="002519A9"/>
    <w:rsid w:val="002519AD"/>
    <w:rsid w:val="002519D9"/>
    <w:rsid w:val="002519F9"/>
    <w:rsid w:val="00251A57"/>
    <w:rsid w:val="00251AB5"/>
    <w:rsid w:val="00251AED"/>
    <w:rsid w:val="00251B03"/>
    <w:rsid w:val="00251B21"/>
    <w:rsid w:val="00251B7B"/>
    <w:rsid w:val="00251B8E"/>
    <w:rsid w:val="00251BBF"/>
    <w:rsid w:val="00251BDB"/>
    <w:rsid w:val="00251BEF"/>
    <w:rsid w:val="00251C0A"/>
    <w:rsid w:val="00251C58"/>
    <w:rsid w:val="00251C82"/>
    <w:rsid w:val="00251CD2"/>
    <w:rsid w:val="00251CE1"/>
    <w:rsid w:val="00251D23"/>
    <w:rsid w:val="00251D5E"/>
    <w:rsid w:val="00251D75"/>
    <w:rsid w:val="00251D84"/>
    <w:rsid w:val="00251DCE"/>
    <w:rsid w:val="00251E91"/>
    <w:rsid w:val="00251E95"/>
    <w:rsid w:val="00251EA3"/>
    <w:rsid w:val="00251EF5"/>
    <w:rsid w:val="00251F6A"/>
    <w:rsid w:val="00251F73"/>
    <w:rsid w:val="0025204A"/>
    <w:rsid w:val="00252066"/>
    <w:rsid w:val="00252068"/>
    <w:rsid w:val="0025208A"/>
    <w:rsid w:val="0025209B"/>
    <w:rsid w:val="002520A7"/>
    <w:rsid w:val="002520EC"/>
    <w:rsid w:val="0025212B"/>
    <w:rsid w:val="00252205"/>
    <w:rsid w:val="00252279"/>
    <w:rsid w:val="002522EB"/>
    <w:rsid w:val="002522EE"/>
    <w:rsid w:val="002522F8"/>
    <w:rsid w:val="00252325"/>
    <w:rsid w:val="0025238F"/>
    <w:rsid w:val="002523CC"/>
    <w:rsid w:val="002523D7"/>
    <w:rsid w:val="00252419"/>
    <w:rsid w:val="00252438"/>
    <w:rsid w:val="0025246A"/>
    <w:rsid w:val="00252470"/>
    <w:rsid w:val="002524A0"/>
    <w:rsid w:val="002524D6"/>
    <w:rsid w:val="002524E4"/>
    <w:rsid w:val="00252506"/>
    <w:rsid w:val="0025251C"/>
    <w:rsid w:val="00252611"/>
    <w:rsid w:val="00252668"/>
    <w:rsid w:val="00252673"/>
    <w:rsid w:val="0025273C"/>
    <w:rsid w:val="002527BA"/>
    <w:rsid w:val="002527F9"/>
    <w:rsid w:val="0025280F"/>
    <w:rsid w:val="00252851"/>
    <w:rsid w:val="0025288B"/>
    <w:rsid w:val="0025289A"/>
    <w:rsid w:val="0025289F"/>
    <w:rsid w:val="002528A8"/>
    <w:rsid w:val="002528AC"/>
    <w:rsid w:val="002528D8"/>
    <w:rsid w:val="00252975"/>
    <w:rsid w:val="0025297E"/>
    <w:rsid w:val="0025298F"/>
    <w:rsid w:val="002529C9"/>
    <w:rsid w:val="002529D0"/>
    <w:rsid w:val="00252A2E"/>
    <w:rsid w:val="00252A8A"/>
    <w:rsid w:val="00252AB0"/>
    <w:rsid w:val="00252ACE"/>
    <w:rsid w:val="00252B58"/>
    <w:rsid w:val="00252B67"/>
    <w:rsid w:val="00252B82"/>
    <w:rsid w:val="00252C1D"/>
    <w:rsid w:val="00252C5C"/>
    <w:rsid w:val="00252CF0"/>
    <w:rsid w:val="00252D09"/>
    <w:rsid w:val="00252D58"/>
    <w:rsid w:val="00252D8F"/>
    <w:rsid w:val="00252DF6"/>
    <w:rsid w:val="00252E04"/>
    <w:rsid w:val="00252E18"/>
    <w:rsid w:val="00252E59"/>
    <w:rsid w:val="00252E8F"/>
    <w:rsid w:val="00252EF9"/>
    <w:rsid w:val="00252FB2"/>
    <w:rsid w:val="00252FC5"/>
    <w:rsid w:val="00252FCA"/>
    <w:rsid w:val="00252FD8"/>
    <w:rsid w:val="00253059"/>
    <w:rsid w:val="0025305C"/>
    <w:rsid w:val="00253155"/>
    <w:rsid w:val="002531E7"/>
    <w:rsid w:val="0025322C"/>
    <w:rsid w:val="0025326F"/>
    <w:rsid w:val="002532B8"/>
    <w:rsid w:val="002532C8"/>
    <w:rsid w:val="002533AB"/>
    <w:rsid w:val="002533FF"/>
    <w:rsid w:val="00253407"/>
    <w:rsid w:val="00253462"/>
    <w:rsid w:val="002534C5"/>
    <w:rsid w:val="00253550"/>
    <w:rsid w:val="002535C8"/>
    <w:rsid w:val="002535E5"/>
    <w:rsid w:val="00253605"/>
    <w:rsid w:val="00253611"/>
    <w:rsid w:val="0025364F"/>
    <w:rsid w:val="0025366F"/>
    <w:rsid w:val="002536DE"/>
    <w:rsid w:val="00253706"/>
    <w:rsid w:val="0025372F"/>
    <w:rsid w:val="00253744"/>
    <w:rsid w:val="00253773"/>
    <w:rsid w:val="002537FA"/>
    <w:rsid w:val="0025380A"/>
    <w:rsid w:val="00253813"/>
    <w:rsid w:val="0025384D"/>
    <w:rsid w:val="00253852"/>
    <w:rsid w:val="00253982"/>
    <w:rsid w:val="00253983"/>
    <w:rsid w:val="002539CD"/>
    <w:rsid w:val="00253A24"/>
    <w:rsid w:val="00253A9B"/>
    <w:rsid w:val="00253AF5"/>
    <w:rsid w:val="00253BD4"/>
    <w:rsid w:val="00253BF1"/>
    <w:rsid w:val="00253C05"/>
    <w:rsid w:val="00253C09"/>
    <w:rsid w:val="00253C14"/>
    <w:rsid w:val="00253D1E"/>
    <w:rsid w:val="00253D9F"/>
    <w:rsid w:val="00253DB1"/>
    <w:rsid w:val="00253DBE"/>
    <w:rsid w:val="00253DC2"/>
    <w:rsid w:val="00253DF0"/>
    <w:rsid w:val="00253DFB"/>
    <w:rsid w:val="00253E03"/>
    <w:rsid w:val="00253E10"/>
    <w:rsid w:val="00253E2C"/>
    <w:rsid w:val="00253E63"/>
    <w:rsid w:val="00253E87"/>
    <w:rsid w:val="00253EAA"/>
    <w:rsid w:val="00253ED5"/>
    <w:rsid w:val="00253F70"/>
    <w:rsid w:val="00253F87"/>
    <w:rsid w:val="00253F9E"/>
    <w:rsid w:val="00253FD5"/>
    <w:rsid w:val="00253FFF"/>
    <w:rsid w:val="00254022"/>
    <w:rsid w:val="0025404C"/>
    <w:rsid w:val="002540D4"/>
    <w:rsid w:val="002540FD"/>
    <w:rsid w:val="0025410D"/>
    <w:rsid w:val="002541AD"/>
    <w:rsid w:val="002542D9"/>
    <w:rsid w:val="002542EA"/>
    <w:rsid w:val="00254369"/>
    <w:rsid w:val="00254388"/>
    <w:rsid w:val="0025439E"/>
    <w:rsid w:val="002543C1"/>
    <w:rsid w:val="002543C4"/>
    <w:rsid w:val="002543FF"/>
    <w:rsid w:val="00254425"/>
    <w:rsid w:val="00254490"/>
    <w:rsid w:val="002544A6"/>
    <w:rsid w:val="002544C4"/>
    <w:rsid w:val="002544D9"/>
    <w:rsid w:val="002544E2"/>
    <w:rsid w:val="002544FD"/>
    <w:rsid w:val="0025450C"/>
    <w:rsid w:val="00254518"/>
    <w:rsid w:val="002545AF"/>
    <w:rsid w:val="002545B7"/>
    <w:rsid w:val="00254605"/>
    <w:rsid w:val="002546CE"/>
    <w:rsid w:val="00254715"/>
    <w:rsid w:val="002547B8"/>
    <w:rsid w:val="002547D2"/>
    <w:rsid w:val="002547D5"/>
    <w:rsid w:val="002548CD"/>
    <w:rsid w:val="002548FB"/>
    <w:rsid w:val="0025498C"/>
    <w:rsid w:val="00254993"/>
    <w:rsid w:val="002549BD"/>
    <w:rsid w:val="002549C5"/>
    <w:rsid w:val="00254A15"/>
    <w:rsid w:val="00254A4E"/>
    <w:rsid w:val="00254A79"/>
    <w:rsid w:val="00254A83"/>
    <w:rsid w:val="00254AA0"/>
    <w:rsid w:val="00254AA1"/>
    <w:rsid w:val="00254ABF"/>
    <w:rsid w:val="00254AFA"/>
    <w:rsid w:val="00254B36"/>
    <w:rsid w:val="00254B56"/>
    <w:rsid w:val="00254B85"/>
    <w:rsid w:val="00254C51"/>
    <w:rsid w:val="00254C8D"/>
    <w:rsid w:val="00254CA7"/>
    <w:rsid w:val="00254D60"/>
    <w:rsid w:val="00254E68"/>
    <w:rsid w:val="00254F25"/>
    <w:rsid w:val="0025500A"/>
    <w:rsid w:val="0025500D"/>
    <w:rsid w:val="00255035"/>
    <w:rsid w:val="002550CD"/>
    <w:rsid w:val="002550D6"/>
    <w:rsid w:val="002550DD"/>
    <w:rsid w:val="0025510E"/>
    <w:rsid w:val="00255138"/>
    <w:rsid w:val="0025519A"/>
    <w:rsid w:val="002551F8"/>
    <w:rsid w:val="0025523E"/>
    <w:rsid w:val="0025524C"/>
    <w:rsid w:val="002552D7"/>
    <w:rsid w:val="0025531D"/>
    <w:rsid w:val="0025533D"/>
    <w:rsid w:val="0025534F"/>
    <w:rsid w:val="002553CD"/>
    <w:rsid w:val="002553FD"/>
    <w:rsid w:val="00255422"/>
    <w:rsid w:val="00255435"/>
    <w:rsid w:val="00255469"/>
    <w:rsid w:val="002554C7"/>
    <w:rsid w:val="002554FF"/>
    <w:rsid w:val="00255516"/>
    <w:rsid w:val="0025556B"/>
    <w:rsid w:val="002555A1"/>
    <w:rsid w:val="002555B6"/>
    <w:rsid w:val="002555EE"/>
    <w:rsid w:val="00255658"/>
    <w:rsid w:val="0025568A"/>
    <w:rsid w:val="002556A4"/>
    <w:rsid w:val="0025573C"/>
    <w:rsid w:val="0025574C"/>
    <w:rsid w:val="002557F5"/>
    <w:rsid w:val="002558BE"/>
    <w:rsid w:val="002558CE"/>
    <w:rsid w:val="00255925"/>
    <w:rsid w:val="00255963"/>
    <w:rsid w:val="002559E1"/>
    <w:rsid w:val="00255A6B"/>
    <w:rsid w:val="00255AFA"/>
    <w:rsid w:val="00255B0F"/>
    <w:rsid w:val="00255B10"/>
    <w:rsid w:val="00255B1F"/>
    <w:rsid w:val="00255BBE"/>
    <w:rsid w:val="00255C76"/>
    <w:rsid w:val="00255C86"/>
    <w:rsid w:val="00255CBC"/>
    <w:rsid w:val="00255CC4"/>
    <w:rsid w:val="00255CE6"/>
    <w:rsid w:val="00255CEF"/>
    <w:rsid w:val="00255D09"/>
    <w:rsid w:val="00255D60"/>
    <w:rsid w:val="00255D6A"/>
    <w:rsid w:val="00255D7C"/>
    <w:rsid w:val="00255ECF"/>
    <w:rsid w:val="00255EE7"/>
    <w:rsid w:val="00255F1B"/>
    <w:rsid w:val="00255F83"/>
    <w:rsid w:val="00256022"/>
    <w:rsid w:val="0025603E"/>
    <w:rsid w:val="00256093"/>
    <w:rsid w:val="00256150"/>
    <w:rsid w:val="002561AD"/>
    <w:rsid w:val="002561CC"/>
    <w:rsid w:val="002563A5"/>
    <w:rsid w:val="0025642F"/>
    <w:rsid w:val="00256430"/>
    <w:rsid w:val="00256442"/>
    <w:rsid w:val="0025645D"/>
    <w:rsid w:val="002564A7"/>
    <w:rsid w:val="002564B5"/>
    <w:rsid w:val="002564DE"/>
    <w:rsid w:val="00256501"/>
    <w:rsid w:val="00256518"/>
    <w:rsid w:val="00256545"/>
    <w:rsid w:val="00256568"/>
    <w:rsid w:val="002565BC"/>
    <w:rsid w:val="00256662"/>
    <w:rsid w:val="00256679"/>
    <w:rsid w:val="002566BF"/>
    <w:rsid w:val="002566F8"/>
    <w:rsid w:val="00256771"/>
    <w:rsid w:val="002567C5"/>
    <w:rsid w:val="00256800"/>
    <w:rsid w:val="0025680A"/>
    <w:rsid w:val="002568D0"/>
    <w:rsid w:val="00256906"/>
    <w:rsid w:val="00256917"/>
    <w:rsid w:val="00256961"/>
    <w:rsid w:val="00256A0C"/>
    <w:rsid w:val="00256A12"/>
    <w:rsid w:val="00256A41"/>
    <w:rsid w:val="00256A78"/>
    <w:rsid w:val="00256A8E"/>
    <w:rsid w:val="00256ABB"/>
    <w:rsid w:val="00256B33"/>
    <w:rsid w:val="00256D00"/>
    <w:rsid w:val="00256E17"/>
    <w:rsid w:val="00256E6C"/>
    <w:rsid w:val="00256EB4"/>
    <w:rsid w:val="00256F44"/>
    <w:rsid w:val="00256F67"/>
    <w:rsid w:val="00256F6D"/>
    <w:rsid w:val="00256F87"/>
    <w:rsid w:val="00256FE1"/>
    <w:rsid w:val="0025701D"/>
    <w:rsid w:val="00257037"/>
    <w:rsid w:val="0025703E"/>
    <w:rsid w:val="0025707A"/>
    <w:rsid w:val="00257093"/>
    <w:rsid w:val="0025713D"/>
    <w:rsid w:val="0025718F"/>
    <w:rsid w:val="002571E0"/>
    <w:rsid w:val="00257255"/>
    <w:rsid w:val="00257445"/>
    <w:rsid w:val="00257449"/>
    <w:rsid w:val="002574E3"/>
    <w:rsid w:val="00257551"/>
    <w:rsid w:val="00257589"/>
    <w:rsid w:val="002575A8"/>
    <w:rsid w:val="002575D7"/>
    <w:rsid w:val="0025760A"/>
    <w:rsid w:val="0025763A"/>
    <w:rsid w:val="0025763E"/>
    <w:rsid w:val="00257668"/>
    <w:rsid w:val="0025766D"/>
    <w:rsid w:val="002576CE"/>
    <w:rsid w:val="002576D6"/>
    <w:rsid w:val="002576FA"/>
    <w:rsid w:val="0025773E"/>
    <w:rsid w:val="00257778"/>
    <w:rsid w:val="0025777F"/>
    <w:rsid w:val="002577DB"/>
    <w:rsid w:val="00257804"/>
    <w:rsid w:val="00257838"/>
    <w:rsid w:val="0025784A"/>
    <w:rsid w:val="00257866"/>
    <w:rsid w:val="0025787C"/>
    <w:rsid w:val="00257883"/>
    <w:rsid w:val="002578E7"/>
    <w:rsid w:val="00257927"/>
    <w:rsid w:val="0025793D"/>
    <w:rsid w:val="0025796C"/>
    <w:rsid w:val="00257A0B"/>
    <w:rsid w:val="00257A12"/>
    <w:rsid w:val="00257A82"/>
    <w:rsid w:val="00257ABE"/>
    <w:rsid w:val="00257AF9"/>
    <w:rsid w:val="00257B37"/>
    <w:rsid w:val="00257B7E"/>
    <w:rsid w:val="00257BB2"/>
    <w:rsid w:val="00257BD8"/>
    <w:rsid w:val="00257C48"/>
    <w:rsid w:val="00257C6A"/>
    <w:rsid w:val="00257C76"/>
    <w:rsid w:val="00257C88"/>
    <w:rsid w:val="00257CCB"/>
    <w:rsid w:val="00257D2F"/>
    <w:rsid w:val="00257D5D"/>
    <w:rsid w:val="00257D7E"/>
    <w:rsid w:val="00257D88"/>
    <w:rsid w:val="00257DE6"/>
    <w:rsid w:val="00257E0D"/>
    <w:rsid w:val="00257E94"/>
    <w:rsid w:val="00257EB2"/>
    <w:rsid w:val="00257EBD"/>
    <w:rsid w:val="00257EBE"/>
    <w:rsid w:val="00257ED3"/>
    <w:rsid w:val="00257F27"/>
    <w:rsid w:val="00257F61"/>
    <w:rsid w:val="00257FB7"/>
    <w:rsid w:val="00257FDE"/>
    <w:rsid w:val="0025A379"/>
    <w:rsid w:val="0025C5BE"/>
    <w:rsid w:val="00260069"/>
    <w:rsid w:val="002600CE"/>
    <w:rsid w:val="002600E5"/>
    <w:rsid w:val="00260142"/>
    <w:rsid w:val="0026017F"/>
    <w:rsid w:val="00260187"/>
    <w:rsid w:val="00260215"/>
    <w:rsid w:val="0026023D"/>
    <w:rsid w:val="002602DB"/>
    <w:rsid w:val="002602F3"/>
    <w:rsid w:val="0026033A"/>
    <w:rsid w:val="00260350"/>
    <w:rsid w:val="0026036B"/>
    <w:rsid w:val="0026038F"/>
    <w:rsid w:val="00260421"/>
    <w:rsid w:val="0026044B"/>
    <w:rsid w:val="0026047A"/>
    <w:rsid w:val="00260527"/>
    <w:rsid w:val="0026054A"/>
    <w:rsid w:val="0026055F"/>
    <w:rsid w:val="0026057D"/>
    <w:rsid w:val="002605B7"/>
    <w:rsid w:val="002605B9"/>
    <w:rsid w:val="00260698"/>
    <w:rsid w:val="002606E9"/>
    <w:rsid w:val="00260734"/>
    <w:rsid w:val="00260739"/>
    <w:rsid w:val="00260789"/>
    <w:rsid w:val="00260793"/>
    <w:rsid w:val="002607A7"/>
    <w:rsid w:val="00260805"/>
    <w:rsid w:val="0026085E"/>
    <w:rsid w:val="002608C0"/>
    <w:rsid w:val="002608C3"/>
    <w:rsid w:val="002608C8"/>
    <w:rsid w:val="002608D5"/>
    <w:rsid w:val="002608D9"/>
    <w:rsid w:val="002608E2"/>
    <w:rsid w:val="0026093E"/>
    <w:rsid w:val="00260964"/>
    <w:rsid w:val="00260A15"/>
    <w:rsid w:val="00260A1E"/>
    <w:rsid w:val="00260A23"/>
    <w:rsid w:val="00260A53"/>
    <w:rsid w:val="00260A5A"/>
    <w:rsid w:val="00260A75"/>
    <w:rsid w:val="00260A7D"/>
    <w:rsid w:val="00260A90"/>
    <w:rsid w:val="00260AF0"/>
    <w:rsid w:val="00260B00"/>
    <w:rsid w:val="00260B33"/>
    <w:rsid w:val="00260B36"/>
    <w:rsid w:val="00260B3D"/>
    <w:rsid w:val="00260B66"/>
    <w:rsid w:val="00260BAA"/>
    <w:rsid w:val="00260BE1"/>
    <w:rsid w:val="00260BF7"/>
    <w:rsid w:val="00260C3F"/>
    <w:rsid w:val="00260D1F"/>
    <w:rsid w:val="00260D46"/>
    <w:rsid w:val="00260D71"/>
    <w:rsid w:val="00260DCD"/>
    <w:rsid w:val="00260E5E"/>
    <w:rsid w:val="00260E7F"/>
    <w:rsid w:val="00260E97"/>
    <w:rsid w:val="00260EC3"/>
    <w:rsid w:val="00260F0B"/>
    <w:rsid w:val="00260F24"/>
    <w:rsid w:val="00260F2C"/>
    <w:rsid w:val="00260F2E"/>
    <w:rsid w:val="00260F46"/>
    <w:rsid w:val="00260F5D"/>
    <w:rsid w:val="00260F60"/>
    <w:rsid w:val="00260F76"/>
    <w:rsid w:val="00260FC5"/>
    <w:rsid w:val="00260FC9"/>
    <w:rsid w:val="00260FDE"/>
    <w:rsid w:val="00261029"/>
    <w:rsid w:val="0026107B"/>
    <w:rsid w:val="0026111F"/>
    <w:rsid w:val="00261201"/>
    <w:rsid w:val="00261280"/>
    <w:rsid w:val="00261284"/>
    <w:rsid w:val="00261285"/>
    <w:rsid w:val="002612EE"/>
    <w:rsid w:val="00261304"/>
    <w:rsid w:val="00261313"/>
    <w:rsid w:val="00261382"/>
    <w:rsid w:val="002613B1"/>
    <w:rsid w:val="002613BB"/>
    <w:rsid w:val="002613BE"/>
    <w:rsid w:val="002613BF"/>
    <w:rsid w:val="002613D1"/>
    <w:rsid w:val="00261400"/>
    <w:rsid w:val="00261403"/>
    <w:rsid w:val="00261426"/>
    <w:rsid w:val="0026143E"/>
    <w:rsid w:val="002614A6"/>
    <w:rsid w:val="002614E8"/>
    <w:rsid w:val="00261546"/>
    <w:rsid w:val="0026154E"/>
    <w:rsid w:val="0026155D"/>
    <w:rsid w:val="00261574"/>
    <w:rsid w:val="0026158B"/>
    <w:rsid w:val="002615B3"/>
    <w:rsid w:val="0026162F"/>
    <w:rsid w:val="00261687"/>
    <w:rsid w:val="00261695"/>
    <w:rsid w:val="002616B7"/>
    <w:rsid w:val="002616BB"/>
    <w:rsid w:val="00261705"/>
    <w:rsid w:val="00261709"/>
    <w:rsid w:val="0026174D"/>
    <w:rsid w:val="002617CC"/>
    <w:rsid w:val="00261934"/>
    <w:rsid w:val="0026193C"/>
    <w:rsid w:val="002619A2"/>
    <w:rsid w:val="00261A10"/>
    <w:rsid w:val="00261A3E"/>
    <w:rsid w:val="00261A41"/>
    <w:rsid w:val="00261A87"/>
    <w:rsid w:val="00261AE5"/>
    <w:rsid w:val="00261AE9"/>
    <w:rsid w:val="00261B33"/>
    <w:rsid w:val="00261B4E"/>
    <w:rsid w:val="00261B64"/>
    <w:rsid w:val="00261B68"/>
    <w:rsid w:val="00261B72"/>
    <w:rsid w:val="00261C01"/>
    <w:rsid w:val="00261C43"/>
    <w:rsid w:val="00261C4F"/>
    <w:rsid w:val="00261CD5"/>
    <w:rsid w:val="00261CE3"/>
    <w:rsid w:val="00261D16"/>
    <w:rsid w:val="00261D36"/>
    <w:rsid w:val="00261D4F"/>
    <w:rsid w:val="00261DE0"/>
    <w:rsid w:val="00261DE2"/>
    <w:rsid w:val="00261E5D"/>
    <w:rsid w:val="00261E6A"/>
    <w:rsid w:val="00261E7B"/>
    <w:rsid w:val="00261E84"/>
    <w:rsid w:val="00261E85"/>
    <w:rsid w:val="00261EA3"/>
    <w:rsid w:val="00261EB0"/>
    <w:rsid w:val="00261F44"/>
    <w:rsid w:val="00261F94"/>
    <w:rsid w:val="00261FE7"/>
    <w:rsid w:val="00262052"/>
    <w:rsid w:val="002620F6"/>
    <w:rsid w:val="00262138"/>
    <w:rsid w:val="0026219E"/>
    <w:rsid w:val="002621A6"/>
    <w:rsid w:val="002621B1"/>
    <w:rsid w:val="0026226A"/>
    <w:rsid w:val="00262270"/>
    <w:rsid w:val="0026238C"/>
    <w:rsid w:val="0026244B"/>
    <w:rsid w:val="0026247A"/>
    <w:rsid w:val="00262546"/>
    <w:rsid w:val="00262551"/>
    <w:rsid w:val="0026257D"/>
    <w:rsid w:val="0026261A"/>
    <w:rsid w:val="00262620"/>
    <w:rsid w:val="0026263E"/>
    <w:rsid w:val="00262690"/>
    <w:rsid w:val="0026269B"/>
    <w:rsid w:val="002626A4"/>
    <w:rsid w:val="002626C3"/>
    <w:rsid w:val="002626C7"/>
    <w:rsid w:val="00262718"/>
    <w:rsid w:val="002627BC"/>
    <w:rsid w:val="002627C8"/>
    <w:rsid w:val="00262834"/>
    <w:rsid w:val="0026287C"/>
    <w:rsid w:val="00262927"/>
    <w:rsid w:val="0026292B"/>
    <w:rsid w:val="00262947"/>
    <w:rsid w:val="002629A1"/>
    <w:rsid w:val="002629F1"/>
    <w:rsid w:val="00262B1A"/>
    <w:rsid w:val="00262B26"/>
    <w:rsid w:val="00262BA8"/>
    <w:rsid w:val="00262BC0"/>
    <w:rsid w:val="00262BCE"/>
    <w:rsid w:val="00262C06"/>
    <w:rsid w:val="00262C7B"/>
    <w:rsid w:val="00262D09"/>
    <w:rsid w:val="00262D25"/>
    <w:rsid w:val="00262D59"/>
    <w:rsid w:val="00262D70"/>
    <w:rsid w:val="00262DC2"/>
    <w:rsid w:val="00262DC6"/>
    <w:rsid w:val="00262DD2"/>
    <w:rsid w:val="00262E3E"/>
    <w:rsid w:val="00262E89"/>
    <w:rsid w:val="00262E8F"/>
    <w:rsid w:val="00262EA0"/>
    <w:rsid w:val="00262F25"/>
    <w:rsid w:val="00262FE1"/>
    <w:rsid w:val="00263000"/>
    <w:rsid w:val="00263060"/>
    <w:rsid w:val="00263068"/>
    <w:rsid w:val="0026307B"/>
    <w:rsid w:val="002630CD"/>
    <w:rsid w:val="00263126"/>
    <w:rsid w:val="00263148"/>
    <w:rsid w:val="00263163"/>
    <w:rsid w:val="00263174"/>
    <w:rsid w:val="002631C9"/>
    <w:rsid w:val="0026321B"/>
    <w:rsid w:val="00263229"/>
    <w:rsid w:val="0026323A"/>
    <w:rsid w:val="00263257"/>
    <w:rsid w:val="00263274"/>
    <w:rsid w:val="002632B6"/>
    <w:rsid w:val="00263305"/>
    <w:rsid w:val="0026331A"/>
    <w:rsid w:val="0026333C"/>
    <w:rsid w:val="00263417"/>
    <w:rsid w:val="00263486"/>
    <w:rsid w:val="00263497"/>
    <w:rsid w:val="00263525"/>
    <w:rsid w:val="0026356A"/>
    <w:rsid w:val="002635BB"/>
    <w:rsid w:val="002635F4"/>
    <w:rsid w:val="0026364B"/>
    <w:rsid w:val="0026365A"/>
    <w:rsid w:val="0026367D"/>
    <w:rsid w:val="002636CE"/>
    <w:rsid w:val="00263744"/>
    <w:rsid w:val="0026375F"/>
    <w:rsid w:val="0026376E"/>
    <w:rsid w:val="00263876"/>
    <w:rsid w:val="002638AF"/>
    <w:rsid w:val="00263957"/>
    <w:rsid w:val="00263969"/>
    <w:rsid w:val="0026397F"/>
    <w:rsid w:val="002639B9"/>
    <w:rsid w:val="00263A0D"/>
    <w:rsid w:val="00263A5A"/>
    <w:rsid w:val="00263A7E"/>
    <w:rsid w:val="00263AB1"/>
    <w:rsid w:val="00263AE6"/>
    <w:rsid w:val="00263B6A"/>
    <w:rsid w:val="00263BE1"/>
    <w:rsid w:val="00263BFF"/>
    <w:rsid w:val="00263C73"/>
    <w:rsid w:val="00263C81"/>
    <w:rsid w:val="00263CA0"/>
    <w:rsid w:val="00263D6B"/>
    <w:rsid w:val="00263DF4"/>
    <w:rsid w:val="00263E47"/>
    <w:rsid w:val="00263E6D"/>
    <w:rsid w:val="00263EAE"/>
    <w:rsid w:val="00263EC2"/>
    <w:rsid w:val="00263F23"/>
    <w:rsid w:val="00263F3D"/>
    <w:rsid w:val="00263F51"/>
    <w:rsid w:val="00263FD5"/>
    <w:rsid w:val="00263FD9"/>
    <w:rsid w:val="00263FF9"/>
    <w:rsid w:val="0026402B"/>
    <w:rsid w:val="00264030"/>
    <w:rsid w:val="0026403C"/>
    <w:rsid w:val="00264095"/>
    <w:rsid w:val="002640CA"/>
    <w:rsid w:val="002640FF"/>
    <w:rsid w:val="00264111"/>
    <w:rsid w:val="00264134"/>
    <w:rsid w:val="00264195"/>
    <w:rsid w:val="0026419E"/>
    <w:rsid w:val="002641B8"/>
    <w:rsid w:val="002641D6"/>
    <w:rsid w:val="002641F5"/>
    <w:rsid w:val="0026420E"/>
    <w:rsid w:val="00264217"/>
    <w:rsid w:val="00264277"/>
    <w:rsid w:val="0026427E"/>
    <w:rsid w:val="002642BB"/>
    <w:rsid w:val="002642EE"/>
    <w:rsid w:val="00264331"/>
    <w:rsid w:val="00264350"/>
    <w:rsid w:val="00264357"/>
    <w:rsid w:val="0026436D"/>
    <w:rsid w:val="002643A9"/>
    <w:rsid w:val="002643D5"/>
    <w:rsid w:val="0026441A"/>
    <w:rsid w:val="00264426"/>
    <w:rsid w:val="002644B5"/>
    <w:rsid w:val="00264526"/>
    <w:rsid w:val="00264552"/>
    <w:rsid w:val="0026457F"/>
    <w:rsid w:val="0026463A"/>
    <w:rsid w:val="0026465A"/>
    <w:rsid w:val="002646AC"/>
    <w:rsid w:val="002646D4"/>
    <w:rsid w:val="00264729"/>
    <w:rsid w:val="00264745"/>
    <w:rsid w:val="0026474E"/>
    <w:rsid w:val="002647AD"/>
    <w:rsid w:val="002647E3"/>
    <w:rsid w:val="00264817"/>
    <w:rsid w:val="00264874"/>
    <w:rsid w:val="002648DC"/>
    <w:rsid w:val="00264930"/>
    <w:rsid w:val="002649A8"/>
    <w:rsid w:val="002649F3"/>
    <w:rsid w:val="00264A5B"/>
    <w:rsid w:val="00264A7F"/>
    <w:rsid w:val="00264B30"/>
    <w:rsid w:val="00264B47"/>
    <w:rsid w:val="00264B54"/>
    <w:rsid w:val="00264B88"/>
    <w:rsid w:val="00264B91"/>
    <w:rsid w:val="00264BD7"/>
    <w:rsid w:val="00264BF1"/>
    <w:rsid w:val="00264C23"/>
    <w:rsid w:val="00264C62"/>
    <w:rsid w:val="00264C7A"/>
    <w:rsid w:val="00264C86"/>
    <w:rsid w:val="00264CD2"/>
    <w:rsid w:val="00264D32"/>
    <w:rsid w:val="00264D35"/>
    <w:rsid w:val="00264D85"/>
    <w:rsid w:val="00264D8B"/>
    <w:rsid w:val="00264D8E"/>
    <w:rsid w:val="00264DF2"/>
    <w:rsid w:val="00264DF3"/>
    <w:rsid w:val="00264E33"/>
    <w:rsid w:val="00264E68"/>
    <w:rsid w:val="00264E6E"/>
    <w:rsid w:val="00264F08"/>
    <w:rsid w:val="00264F30"/>
    <w:rsid w:val="00264F3F"/>
    <w:rsid w:val="00264F6F"/>
    <w:rsid w:val="00264F8D"/>
    <w:rsid w:val="00265008"/>
    <w:rsid w:val="00265138"/>
    <w:rsid w:val="00265178"/>
    <w:rsid w:val="002651AD"/>
    <w:rsid w:val="002651B5"/>
    <w:rsid w:val="002651EB"/>
    <w:rsid w:val="00265216"/>
    <w:rsid w:val="00265251"/>
    <w:rsid w:val="00265320"/>
    <w:rsid w:val="002653B1"/>
    <w:rsid w:val="002653ED"/>
    <w:rsid w:val="0026541A"/>
    <w:rsid w:val="002654C9"/>
    <w:rsid w:val="00265559"/>
    <w:rsid w:val="00265560"/>
    <w:rsid w:val="0026556D"/>
    <w:rsid w:val="00265592"/>
    <w:rsid w:val="002655C0"/>
    <w:rsid w:val="00265613"/>
    <w:rsid w:val="0026562E"/>
    <w:rsid w:val="002656EB"/>
    <w:rsid w:val="002657A3"/>
    <w:rsid w:val="002657D2"/>
    <w:rsid w:val="002657F7"/>
    <w:rsid w:val="00265801"/>
    <w:rsid w:val="00265818"/>
    <w:rsid w:val="0026587E"/>
    <w:rsid w:val="00265881"/>
    <w:rsid w:val="002658BC"/>
    <w:rsid w:val="002658EB"/>
    <w:rsid w:val="00265908"/>
    <w:rsid w:val="0026592D"/>
    <w:rsid w:val="00265962"/>
    <w:rsid w:val="002659BC"/>
    <w:rsid w:val="002659CE"/>
    <w:rsid w:val="002659FE"/>
    <w:rsid w:val="00265A00"/>
    <w:rsid w:val="00265A8E"/>
    <w:rsid w:val="00265AD4"/>
    <w:rsid w:val="00265AD5"/>
    <w:rsid w:val="00265B31"/>
    <w:rsid w:val="00265B32"/>
    <w:rsid w:val="00265B59"/>
    <w:rsid w:val="00265B82"/>
    <w:rsid w:val="00265C0B"/>
    <w:rsid w:val="00265C8E"/>
    <w:rsid w:val="00265D01"/>
    <w:rsid w:val="00265D6A"/>
    <w:rsid w:val="00265DA6"/>
    <w:rsid w:val="00265DF0"/>
    <w:rsid w:val="00265EE5"/>
    <w:rsid w:val="00265F06"/>
    <w:rsid w:val="00265F31"/>
    <w:rsid w:val="00265F4D"/>
    <w:rsid w:val="00265F6C"/>
    <w:rsid w:val="00266002"/>
    <w:rsid w:val="002661C1"/>
    <w:rsid w:val="00266241"/>
    <w:rsid w:val="002662AE"/>
    <w:rsid w:val="002662F5"/>
    <w:rsid w:val="00266312"/>
    <w:rsid w:val="0026632F"/>
    <w:rsid w:val="002663AF"/>
    <w:rsid w:val="002663B8"/>
    <w:rsid w:val="0026641C"/>
    <w:rsid w:val="00266446"/>
    <w:rsid w:val="00266461"/>
    <w:rsid w:val="00266469"/>
    <w:rsid w:val="002664FF"/>
    <w:rsid w:val="00266562"/>
    <w:rsid w:val="002665F5"/>
    <w:rsid w:val="00266629"/>
    <w:rsid w:val="00266685"/>
    <w:rsid w:val="002666A6"/>
    <w:rsid w:val="002666C5"/>
    <w:rsid w:val="002666CD"/>
    <w:rsid w:val="00266751"/>
    <w:rsid w:val="002667C1"/>
    <w:rsid w:val="002667D4"/>
    <w:rsid w:val="002667D6"/>
    <w:rsid w:val="002667F3"/>
    <w:rsid w:val="00266864"/>
    <w:rsid w:val="00266872"/>
    <w:rsid w:val="0026688A"/>
    <w:rsid w:val="002668B1"/>
    <w:rsid w:val="00266902"/>
    <w:rsid w:val="00266956"/>
    <w:rsid w:val="00266970"/>
    <w:rsid w:val="0026698D"/>
    <w:rsid w:val="00266A3C"/>
    <w:rsid w:val="00266A56"/>
    <w:rsid w:val="00266A67"/>
    <w:rsid w:val="00266B4F"/>
    <w:rsid w:val="00266B80"/>
    <w:rsid w:val="00266BA2"/>
    <w:rsid w:val="00266BB7"/>
    <w:rsid w:val="00266C14"/>
    <w:rsid w:val="00266C2F"/>
    <w:rsid w:val="00266C4F"/>
    <w:rsid w:val="00266C9F"/>
    <w:rsid w:val="00266CA2"/>
    <w:rsid w:val="00266CCB"/>
    <w:rsid w:val="00266D38"/>
    <w:rsid w:val="00266D71"/>
    <w:rsid w:val="00266D85"/>
    <w:rsid w:val="00266DD9"/>
    <w:rsid w:val="00266DE2"/>
    <w:rsid w:val="00266E28"/>
    <w:rsid w:val="00266E5A"/>
    <w:rsid w:val="00266EE1"/>
    <w:rsid w:val="00266EE9"/>
    <w:rsid w:val="00266EF4"/>
    <w:rsid w:val="00266F1A"/>
    <w:rsid w:val="00266F95"/>
    <w:rsid w:val="00267039"/>
    <w:rsid w:val="00267071"/>
    <w:rsid w:val="00267072"/>
    <w:rsid w:val="002670C3"/>
    <w:rsid w:val="002670EA"/>
    <w:rsid w:val="00267142"/>
    <w:rsid w:val="0026715A"/>
    <w:rsid w:val="0026730D"/>
    <w:rsid w:val="0026731A"/>
    <w:rsid w:val="00267360"/>
    <w:rsid w:val="00267377"/>
    <w:rsid w:val="0026738B"/>
    <w:rsid w:val="0026741F"/>
    <w:rsid w:val="0026742E"/>
    <w:rsid w:val="00267430"/>
    <w:rsid w:val="0026743B"/>
    <w:rsid w:val="0026743D"/>
    <w:rsid w:val="0026749A"/>
    <w:rsid w:val="00267579"/>
    <w:rsid w:val="00267584"/>
    <w:rsid w:val="00267590"/>
    <w:rsid w:val="002675E5"/>
    <w:rsid w:val="00267669"/>
    <w:rsid w:val="0026766B"/>
    <w:rsid w:val="002676AA"/>
    <w:rsid w:val="002676DA"/>
    <w:rsid w:val="00267724"/>
    <w:rsid w:val="00267753"/>
    <w:rsid w:val="0026778D"/>
    <w:rsid w:val="002677FC"/>
    <w:rsid w:val="0026783D"/>
    <w:rsid w:val="002678C3"/>
    <w:rsid w:val="002678D3"/>
    <w:rsid w:val="00267998"/>
    <w:rsid w:val="002679CE"/>
    <w:rsid w:val="002679E2"/>
    <w:rsid w:val="00267A05"/>
    <w:rsid w:val="00267A1D"/>
    <w:rsid w:val="00267A59"/>
    <w:rsid w:val="00267A9B"/>
    <w:rsid w:val="00267BF0"/>
    <w:rsid w:val="00267C03"/>
    <w:rsid w:val="00267C04"/>
    <w:rsid w:val="00267C8B"/>
    <w:rsid w:val="00267CBB"/>
    <w:rsid w:val="00267D24"/>
    <w:rsid w:val="00267D2C"/>
    <w:rsid w:val="00267D3D"/>
    <w:rsid w:val="00267D6A"/>
    <w:rsid w:val="00267DEF"/>
    <w:rsid w:val="00267EB3"/>
    <w:rsid w:val="00267ECE"/>
    <w:rsid w:val="00267F1F"/>
    <w:rsid w:val="00267F45"/>
    <w:rsid w:val="00267F87"/>
    <w:rsid w:val="00267F9A"/>
    <w:rsid w:val="00267FB0"/>
    <w:rsid w:val="00270040"/>
    <w:rsid w:val="0027005E"/>
    <w:rsid w:val="00270113"/>
    <w:rsid w:val="00270129"/>
    <w:rsid w:val="00270266"/>
    <w:rsid w:val="0027027D"/>
    <w:rsid w:val="002702AB"/>
    <w:rsid w:val="00270319"/>
    <w:rsid w:val="002703D6"/>
    <w:rsid w:val="002703DB"/>
    <w:rsid w:val="002703EE"/>
    <w:rsid w:val="002703FC"/>
    <w:rsid w:val="0027042C"/>
    <w:rsid w:val="00270450"/>
    <w:rsid w:val="00270463"/>
    <w:rsid w:val="0027046E"/>
    <w:rsid w:val="002704BB"/>
    <w:rsid w:val="002704FC"/>
    <w:rsid w:val="00270513"/>
    <w:rsid w:val="00270549"/>
    <w:rsid w:val="00270571"/>
    <w:rsid w:val="00270578"/>
    <w:rsid w:val="0027061C"/>
    <w:rsid w:val="0027062D"/>
    <w:rsid w:val="00270645"/>
    <w:rsid w:val="0027067F"/>
    <w:rsid w:val="002706A2"/>
    <w:rsid w:val="0027074F"/>
    <w:rsid w:val="002707DB"/>
    <w:rsid w:val="002707DE"/>
    <w:rsid w:val="00270879"/>
    <w:rsid w:val="00270892"/>
    <w:rsid w:val="002708A8"/>
    <w:rsid w:val="0027093E"/>
    <w:rsid w:val="00270975"/>
    <w:rsid w:val="00270A08"/>
    <w:rsid w:val="00270ACE"/>
    <w:rsid w:val="00270B00"/>
    <w:rsid w:val="00270B19"/>
    <w:rsid w:val="00270B45"/>
    <w:rsid w:val="00270B8F"/>
    <w:rsid w:val="00270BA3"/>
    <w:rsid w:val="00270BD6"/>
    <w:rsid w:val="00270C2C"/>
    <w:rsid w:val="00270C75"/>
    <w:rsid w:val="00270C92"/>
    <w:rsid w:val="00270CF7"/>
    <w:rsid w:val="00270D00"/>
    <w:rsid w:val="00270D1D"/>
    <w:rsid w:val="00270DAD"/>
    <w:rsid w:val="00270DB4"/>
    <w:rsid w:val="00270DE1"/>
    <w:rsid w:val="00270DF1"/>
    <w:rsid w:val="00270E82"/>
    <w:rsid w:val="00270E85"/>
    <w:rsid w:val="00270E9B"/>
    <w:rsid w:val="00270EB7"/>
    <w:rsid w:val="00270F77"/>
    <w:rsid w:val="00270F7C"/>
    <w:rsid w:val="00270F90"/>
    <w:rsid w:val="00270FC0"/>
    <w:rsid w:val="0027103D"/>
    <w:rsid w:val="00271041"/>
    <w:rsid w:val="0027107B"/>
    <w:rsid w:val="002710D0"/>
    <w:rsid w:val="002710F5"/>
    <w:rsid w:val="00271106"/>
    <w:rsid w:val="00271160"/>
    <w:rsid w:val="002711DC"/>
    <w:rsid w:val="00271217"/>
    <w:rsid w:val="002712A3"/>
    <w:rsid w:val="002712F3"/>
    <w:rsid w:val="00271308"/>
    <w:rsid w:val="0027131A"/>
    <w:rsid w:val="00271347"/>
    <w:rsid w:val="00271377"/>
    <w:rsid w:val="002713EC"/>
    <w:rsid w:val="00271481"/>
    <w:rsid w:val="002714CD"/>
    <w:rsid w:val="002714E2"/>
    <w:rsid w:val="00271556"/>
    <w:rsid w:val="00271591"/>
    <w:rsid w:val="002715DF"/>
    <w:rsid w:val="002715F2"/>
    <w:rsid w:val="002716B5"/>
    <w:rsid w:val="002716FE"/>
    <w:rsid w:val="00271710"/>
    <w:rsid w:val="0027173C"/>
    <w:rsid w:val="00271793"/>
    <w:rsid w:val="00271836"/>
    <w:rsid w:val="00271838"/>
    <w:rsid w:val="0027185B"/>
    <w:rsid w:val="0027185D"/>
    <w:rsid w:val="002718E1"/>
    <w:rsid w:val="002718E6"/>
    <w:rsid w:val="00271902"/>
    <w:rsid w:val="00271914"/>
    <w:rsid w:val="00271942"/>
    <w:rsid w:val="00271951"/>
    <w:rsid w:val="002719A4"/>
    <w:rsid w:val="002719A6"/>
    <w:rsid w:val="002719AC"/>
    <w:rsid w:val="00271A17"/>
    <w:rsid w:val="00271B81"/>
    <w:rsid w:val="00271BB7"/>
    <w:rsid w:val="00271BFF"/>
    <w:rsid w:val="00271C28"/>
    <w:rsid w:val="00271C3E"/>
    <w:rsid w:val="00271C49"/>
    <w:rsid w:val="00271C80"/>
    <w:rsid w:val="00271C83"/>
    <w:rsid w:val="00271C9A"/>
    <w:rsid w:val="00271CB2"/>
    <w:rsid w:val="00271CC4"/>
    <w:rsid w:val="00271CD5"/>
    <w:rsid w:val="00271D18"/>
    <w:rsid w:val="00271D4C"/>
    <w:rsid w:val="00271D86"/>
    <w:rsid w:val="00271DDB"/>
    <w:rsid w:val="00271E20"/>
    <w:rsid w:val="00271E68"/>
    <w:rsid w:val="00271EE1"/>
    <w:rsid w:val="00271EE2"/>
    <w:rsid w:val="00271FA6"/>
    <w:rsid w:val="00271FAF"/>
    <w:rsid w:val="00271FC7"/>
    <w:rsid w:val="00272015"/>
    <w:rsid w:val="00272027"/>
    <w:rsid w:val="00272074"/>
    <w:rsid w:val="002720AE"/>
    <w:rsid w:val="002720BC"/>
    <w:rsid w:val="002720D0"/>
    <w:rsid w:val="00272109"/>
    <w:rsid w:val="0027211D"/>
    <w:rsid w:val="0027216D"/>
    <w:rsid w:val="002721B5"/>
    <w:rsid w:val="002722BB"/>
    <w:rsid w:val="002722D3"/>
    <w:rsid w:val="00272322"/>
    <w:rsid w:val="002723AC"/>
    <w:rsid w:val="002723C3"/>
    <w:rsid w:val="002724BB"/>
    <w:rsid w:val="002724D2"/>
    <w:rsid w:val="00272546"/>
    <w:rsid w:val="002725D9"/>
    <w:rsid w:val="00272631"/>
    <w:rsid w:val="0027267B"/>
    <w:rsid w:val="0027270A"/>
    <w:rsid w:val="0027272E"/>
    <w:rsid w:val="0027273E"/>
    <w:rsid w:val="0027275B"/>
    <w:rsid w:val="00272799"/>
    <w:rsid w:val="002727A9"/>
    <w:rsid w:val="002727CB"/>
    <w:rsid w:val="00272816"/>
    <w:rsid w:val="0027282F"/>
    <w:rsid w:val="00272871"/>
    <w:rsid w:val="0027287D"/>
    <w:rsid w:val="0027288A"/>
    <w:rsid w:val="002728D1"/>
    <w:rsid w:val="00272910"/>
    <w:rsid w:val="00272985"/>
    <w:rsid w:val="002729A0"/>
    <w:rsid w:val="00272A45"/>
    <w:rsid w:val="00272A71"/>
    <w:rsid w:val="00272AE7"/>
    <w:rsid w:val="00272AEF"/>
    <w:rsid w:val="00272B27"/>
    <w:rsid w:val="00272B41"/>
    <w:rsid w:val="00272B44"/>
    <w:rsid w:val="00272B7D"/>
    <w:rsid w:val="00272BBD"/>
    <w:rsid w:val="00272BE2"/>
    <w:rsid w:val="00272CE6"/>
    <w:rsid w:val="00272DC3"/>
    <w:rsid w:val="00272DC6"/>
    <w:rsid w:val="00272DE3"/>
    <w:rsid w:val="00272E85"/>
    <w:rsid w:val="00272ED6"/>
    <w:rsid w:val="00272EF0"/>
    <w:rsid w:val="00272F0A"/>
    <w:rsid w:val="00272F63"/>
    <w:rsid w:val="00272F92"/>
    <w:rsid w:val="00272F9D"/>
    <w:rsid w:val="0027304E"/>
    <w:rsid w:val="0027308A"/>
    <w:rsid w:val="002730C0"/>
    <w:rsid w:val="002730CA"/>
    <w:rsid w:val="0027315D"/>
    <w:rsid w:val="00273173"/>
    <w:rsid w:val="0027319F"/>
    <w:rsid w:val="0027323E"/>
    <w:rsid w:val="002732AA"/>
    <w:rsid w:val="002732CB"/>
    <w:rsid w:val="002732D2"/>
    <w:rsid w:val="002732E0"/>
    <w:rsid w:val="002732E1"/>
    <w:rsid w:val="002733C3"/>
    <w:rsid w:val="002733FF"/>
    <w:rsid w:val="00273494"/>
    <w:rsid w:val="002734C5"/>
    <w:rsid w:val="002734F3"/>
    <w:rsid w:val="0027350A"/>
    <w:rsid w:val="00273540"/>
    <w:rsid w:val="0027354F"/>
    <w:rsid w:val="0027359A"/>
    <w:rsid w:val="002735AF"/>
    <w:rsid w:val="002735CF"/>
    <w:rsid w:val="00273603"/>
    <w:rsid w:val="00273630"/>
    <w:rsid w:val="0027364D"/>
    <w:rsid w:val="00273657"/>
    <w:rsid w:val="002736FE"/>
    <w:rsid w:val="0027372B"/>
    <w:rsid w:val="002737C5"/>
    <w:rsid w:val="00273808"/>
    <w:rsid w:val="00273879"/>
    <w:rsid w:val="002738E8"/>
    <w:rsid w:val="00273942"/>
    <w:rsid w:val="0027395D"/>
    <w:rsid w:val="0027399C"/>
    <w:rsid w:val="00273A6E"/>
    <w:rsid w:val="00273AB6"/>
    <w:rsid w:val="00273B1F"/>
    <w:rsid w:val="00273B37"/>
    <w:rsid w:val="00273BC3"/>
    <w:rsid w:val="00273BE5"/>
    <w:rsid w:val="00273C53"/>
    <w:rsid w:val="00273C72"/>
    <w:rsid w:val="00273C81"/>
    <w:rsid w:val="00273CC1"/>
    <w:rsid w:val="00273D49"/>
    <w:rsid w:val="00273D75"/>
    <w:rsid w:val="00273D76"/>
    <w:rsid w:val="00273DA9"/>
    <w:rsid w:val="00273DE4"/>
    <w:rsid w:val="00273E66"/>
    <w:rsid w:val="00273E6A"/>
    <w:rsid w:val="00273EA2"/>
    <w:rsid w:val="00273EAB"/>
    <w:rsid w:val="00273EF8"/>
    <w:rsid w:val="00273F03"/>
    <w:rsid w:val="00273F12"/>
    <w:rsid w:val="00273FB4"/>
    <w:rsid w:val="00273FCF"/>
    <w:rsid w:val="0027401F"/>
    <w:rsid w:val="002740A2"/>
    <w:rsid w:val="002740F9"/>
    <w:rsid w:val="00274136"/>
    <w:rsid w:val="00274212"/>
    <w:rsid w:val="00274259"/>
    <w:rsid w:val="00274260"/>
    <w:rsid w:val="00274367"/>
    <w:rsid w:val="0027438F"/>
    <w:rsid w:val="00274393"/>
    <w:rsid w:val="002743B3"/>
    <w:rsid w:val="002743BF"/>
    <w:rsid w:val="002743E0"/>
    <w:rsid w:val="002744B4"/>
    <w:rsid w:val="002744FE"/>
    <w:rsid w:val="0027451F"/>
    <w:rsid w:val="00274556"/>
    <w:rsid w:val="00274669"/>
    <w:rsid w:val="0027469B"/>
    <w:rsid w:val="002746CB"/>
    <w:rsid w:val="00274759"/>
    <w:rsid w:val="002747BD"/>
    <w:rsid w:val="002747C9"/>
    <w:rsid w:val="00274810"/>
    <w:rsid w:val="00274864"/>
    <w:rsid w:val="002748FE"/>
    <w:rsid w:val="00274965"/>
    <w:rsid w:val="00274996"/>
    <w:rsid w:val="002749B9"/>
    <w:rsid w:val="00274A5F"/>
    <w:rsid w:val="00274A76"/>
    <w:rsid w:val="00274AC9"/>
    <w:rsid w:val="00274AE5"/>
    <w:rsid w:val="00274B10"/>
    <w:rsid w:val="00274B23"/>
    <w:rsid w:val="00274B36"/>
    <w:rsid w:val="00274B5A"/>
    <w:rsid w:val="00274C1F"/>
    <w:rsid w:val="00274CE6"/>
    <w:rsid w:val="00274DCE"/>
    <w:rsid w:val="00274F01"/>
    <w:rsid w:val="00274F20"/>
    <w:rsid w:val="00274F34"/>
    <w:rsid w:val="00274F59"/>
    <w:rsid w:val="0027500B"/>
    <w:rsid w:val="002750D6"/>
    <w:rsid w:val="002750E5"/>
    <w:rsid w:val="002750FC"/>
    <w:rsid w:val="00275102"/>
    <w:rsid w:val="00275108"/>
    <w:rsid w:val="0027512D"/>
    <w:rsid w:val="0027518E"/>
    <w:rsid w:val="002751A4"/>
    <w:rsid w:val="002751C9"/>
    <w:rsid w:val="002751F5"/>
    <w:rsid w:val="002751FB"/>
    <w:rsid w:val="00275218"/>
    <w:rsid w:val="00275226"/>
    <w:rsid w:val="0027523A"/>
    <w:rsid w:val="002752BA"/>
    <w:rsid w:val="002752EC"/>
    <w:rsid w:val="002752FC"/>
    <w:rsid w:val="0027532C"/>
    <w:rsid w:val="0027533B"/>
    <w:rsid w:val="0027534A"/>
    <w:rsid w:val="0027539F"/>
    <w:rsid w:val="002753EE"/>
    <w:rsid w:val="002753F1"/>
    <w:rsid w:val="00275400"/>
    <w:rsid w:val="00275414"/>
    <w:rsid w:val="0027542F"/>
    <w:rsid w:val="00275437"/>
    <w:rsid w:val="00275572"/>
    <w:rsid w:val="00275589"/>
    <w:rsid w:val="00275595"/>
    <w:rsid w:val="002755A5"/>
    <w:rsid w:val="00275602"/>
    <w:rsid w:val="0027563E"/>
    <w:rsid w:val="0027565A"/>
    <w:rsid w:val="0027566A"/>
    <w:rsid w:val="002756A0"/>
    <w:rsid w:val="002756DC"/>
    <w:rsid w:val="0027577D"/>
    <w:rsid w:val="002757E8"/>
    <w:rsid w:val="002757EE"/>
    <w:rsid w:val="0027587D"/>
    <w:rsid w:val="00275883"/>
    <w:rsid w:val="002758C7"/>
    <w:rsid w:val="00275902"/>
    <w:rsid w:val="00275910"/>
    <w:rsid w:val="0027596F"/>
    <w:rsid w:val="00275978"/>
    <w:rsid w:val="002759AE"/>
    <w:rsid w:val="002759D0"/>
    <w:rsid w:val="00275A09"/>
    <w:rsid w:val="00275A1F"/>
    <w:rsid w:val="00275A31"/>
    <w:rsid w:val="00275A38"/>
    <w:rsid w:val="00275A4A"/>
    <w:rsid w:val="00275A84"/>
    <w:rsid w:val="00275AB1"/>
    <w:rsid w:val="00275ABB"/>
    <w:rsid w:val="00275ACC"/>
    <w:rsid w:val="00275AD4"/>
    <w:rsid w:val="00275B15"/>
    <w:rsid w:val="00275B57"/>
    <w:rsid w:val="00275BAB"/>
    <w:rsid w:val="00275BE2"/>
    <w:rsid w:val="00275BE8"/>
    <w:rsid w:val="00275C46"/>
    <w:rsid w:val="00275CAB"/>
    <w:rsid w:val="00275D46"/>
    <w:rsid w:val="00275D5D"/>
    <w:rsid w:val="00275DBF"/>
    <w:rsid w:val="00275DE5"/>
    <w:rsid w:val="00275DFA"/>
    <w:rsid w:val="00275E89"/>
    <w:rsid w:val="00275E91"/>
    <w:rsid w:val="00275F0C"/>
    <w:rsid w:val="00275F19"/>
    <w:rsid w:val="00275F33"/>
    <w:rsid w:val="00275F5B"/>
    <w:rsid w:val="00275F61"/>
    <w:rsid w:val="00275FCD"/>
    <w:rsid w:val="00275FD0"/>
    <w:rsid w:val="00275FE8"/>
    <w:rsid w:val="00276000"/>
    <w:rsid w:val="00276007"/>
    <w:rsid w:val="0027604B"/>
    <w:rsid w:val="00276079"/>
    <w:rsid w:val="002760A6"/>
    <w:rsid w:val="002760EC"/>
    <w:rsid w:val="002760F5"/>
    <w:rsid w:val="00276161"/>
    <w:rsid w:val="00276209"/>
    <w:rsid w:val="0027622C"/>
    <w:rsid w:val="0027625A"/>
    <w:rsid w:val="002762C8"/>
    <w:rsid w:val="002762F7"/>
    <w:rsid w:val="00276450"/>
    <w:rsid w:val="00276480"/>
    <w:rsid w:val="00276497"/>
    <w:rsid w:val="00276505"/>
    <w:rsid w:val="00276553"/>
    <w:rsid w:val="0027658E"/>
    <w:rsid w:val="00276660"/>
    <w:rsid w:val="00276663"/>
    <w:rsid w:val="00276682"/>
    <w:rsid w:val="002766B0"/>
    <w:rsid w:val="00276703"/>
    <w:rsid w:val="0027670F"/>
    <w:rsid w:val="0027677C"/>
    <w:rsid w:val="002767B1"/>
    <w:rsid w:val="0027680A"/>
    <w:rsid w:val="00276823"/>
    <w:rsid w:val="002768D1"/>
    <w:rsid w:val="00276928"/>
    <w:rsid w:val="00276A26"/>
    <w:rsid w:val="00276A46"/>
    <w:rsid w:val="00276A4F"/>
    <w:rsid w:val="00276AA5"/>
    <w:rsid w:val="00276AAC"/>
    <w:rsid w:val="00276AC4"/>
    <w:rsid w:val="00276ACA"/>
    <w:rsid w:val="00276B6B"/>
    <w:rsid w:val="00276C1B"/>
    <w:rsid w:val="00276C27"/>
    <w:rsid w:val="00276C3B"/>
    <w:rsid w:val="00276CA8"/>
    <w:rsid w:val="00276D15"/>
    <w:rsid w:val="00276D18"/>
    <w:rsid w:val="00276D34"/>
    <w:rsid w:val="00276D9E"/>
    <w:rsid w:val="00276E1C"/>
    <w:rsid w:val="00276E62"/>
    <w:rsid w:val="00276EEF"/>
    <w:rsid w:val="00276EFE"/>
    <w:rsid w:val="00276F5A"/>
    <w:rsid w:val="00276F74"/>
    <w:rsid w:val="00276FC7"/>
    <w:rsid w:val="00276FDE"/>
    <w:rsid w:val="00277010"/>
    <w:rsid w:val="00277024"/>
    <w:rsid w:val="00277062"/>
    <w:rsid w:val="00277066"/>
    <w:rsid w:val="00277072"/>
    <w:rsid w:val="00277080"/>
    <w:rsid w:val="00277081"/>
    <w:rsid w:val="002770C3"/>
    <w:rsid w:val="00277140"/>
    <w:rsid w:val="00277171"/>
    <w:rsid w:val="002771DB"/>
    <w:rsid w:val="00277288"/>
    <w:rsid w:val="00277297"/>
    <w:rsid w:val="002772B5"/>
    <w:rsid w:val="002772D5"/>
    <w:rsid w:val="00277340"/>
    <w:rsid w:val="00277345"/>
    <w:rsid w:val="00277361"/>
    <w:rsid w:val="00277370"/>
    <w:rsid w:val="00277378"/>
    <w:rsid w:val="0027738F"/>
    <w:rsid w:val="002773F8"/>
    <w:rsid w:val="0027740D"/>
    <w:rsid w:val="00277416"/>
    <w:rsid w:val="0027748C"/>
    <w:rsid w:val="0027752E"/>
    <w:rsid w:val="00277534"/>
    <w:rsid w:val="0027753E"/>
    <w:rsid w:val="00277589"/>
    <w:rsid w:val="002775B0"/>
    <w:rsid w:val="002775BE"/>
    <w:rsid w:val="00277621"/>
    <w:rsid w:val="0027763B"/>
    <w:rsid w:val="00277651"/>
    <w:rsid w:val="0027767D"/>
    <w:rsid w:val="002776E0"/>
    <w:rsid w:val="002776E8"/>
    <w:rsid w:val="0027772B"/>
    <w:rsid w:val="00277751"/>
    <w:rsid w:val="00277786"/>
    <w:rsid w:val="0027778D"/>
    <w:rsid w:val="002777B7"/>
    <w:rsid w:val="002777E0"/>
    <w:rsid w:val="002777E3"/>
    <w:rsid w:val="0027781A"/>
    <w:rsid w:val="0027781D"/>
    <w:rsid w:val="00277856"/>
    <w:rsid w:val="0027787A"/>
    <w:rsid w:val="002778A8"/>
    <w:rsid w:val="0027790B"/>
    <w:rsid w:val="002779B2"/>
    <w:rsid w:val="002779D0"/>
    <w:rsid w:val="00277A49"/>
    <w:rsid w:val="00277A57"/>
    <w:rsid w:val="00277AF6"/>
    <w:rsid w:val="00277B4D"/>
    <w:rsid w:val="00277B55"/>
    <w:rsid w:val="00277B78"/>
    <w:rsid w:val="00277B87"/>
    <w:rsid w:val="00277BA1"/>
    <w:rsid w:val="00277BA3"/>
    <w:rsid w:val="00277BCA"/>
    <w:rsid w:val="00277BD7"/>
    <w:rsid w:val="00277C20"/>
    <w:rsid w:val="00277C30"/>
    <w:rsid w:val="00277CC3"/>
    <w:rsid w:val="00277D24"/>
    <w:rsid w:val="00277D3D"/>
    <w:rsid w:val="00277D63"/>
    <w:rsid w:val="00277DB0"/>
    <w:rsid w:val="00277DE3"/>
    <w:rsid w:val="00277DF1"/>
    <w:rsid w:val="00277DFD"/>
    <w:rsid w:val="00277E3F"/>
    <w:rsid w:val="00277E4E"/>
    <w:rsid w:val="00277E6D"/>
    <w:rsid w:val="00277E91"/>
    <w:rsid w:val="00277EF4"/>
    <w:rsid w:val="00277F12"/>
    <w:rsid w:val="00277F48"/>
    <w:rsid w:val="00279404"/>
    <w:rsid w:val="0027B060"/>
    <w:rsid w:val="0028008D"/>
    <w:rsid w:val="002800AF"/>
    <w:rsid w:val="002800D8"/>
    <w:rsid w:val="002800EC"/>
    <w:rsid w:val="002800FA"/>
    <w:rsid w:val="00280120"/>
    <w:rsid w:val="00280124"/>
    <w:rsid w:val="00280172"/>
    <w:rsid w:val="0028018F"/>
    <w:rsid w:val="00280191"/>
    <w:rsid w:val="002801F1"/>
    <w:rsid w:val="0028023B"/>
    <w:rsid w:val="00280254"/>
    <w:rsid w:val="002802A9"/>
    <w:rsid w:val="002802AA"/>
    <w:rsid w:val="002802CA"/>
    <w:rsid w:val="002802D6"/>
    <w:rsid w:val="00280375"/>
    <w:rsid w:val="0028038B"/>
    <w:rsid w:val="002803A4"/>
    <w:rsid w:val="002803B0"/>
    <w:rsid w:val="002803D1"/>
    <w:rsid w:val="00280482"/>
    <w:rsid w:val="002804BE"/>
    <w:rsid w:val="00280506"/>
    <w:rsid w:val="00280518"/>
    <w:rsid w:val="0028059A"/>
    <w:rsid w:val="002805CD"/>
    <w:rsid w:val="0028061C"/>
    <w:rsid w:val="00280621"/>
    <w:rsid w:val="00280657"/>
    <w:rsid w:val="00280735"/>
    <w:rsid w:val="00280802"/>
    <w:rsid w:val="00280826"/>
    <w:rsid w:val="0028082C"/>
    <w:rsid w:val="00280852"/>
    <w:rsid w:val="002808F1"/>
    <w:rsid w:val="002808FC"/>
    <w:rsid w:val="002808FE"/>
    <w:rsid w:val="00280919"/>
    <w:rsid w:val="00280969"/>
    <w:rsid w:val="002809E1"/>
    <w:rsid w:val="00280A25"/>
    <w:rsid w:val="00280A5F"/>
    <w:rsid w:val="00280A63"/>
    <w:rsid w:val="00280A73"/>
    <w:rsid w:val="00280A8B"/>
    <w:rsid w:val="00280A99"/>
    <w:rsid w:val="00280AD5"/>
    <w:rsid w:val="00280AE5"/>
    <w:rsid w:val="00280B15"/>
    <w:rsid w:val="00280B24"/>
    <w:rsid w:val="00280B8B"/>
    <w:rsid w:val="00280B93"/>
    <w:rsid w:val="00280BCC"/>
    <w:rsid w:val="00280BE4"/>
    <w:rsid w:val="00280C4B"/>
    <w:rsid w:val="00280C52"/>
    <w:rsid w:val="00280CA9"/>
    <w:rsid w:val="00280CAF"/>
    <w:rsid w:val="00280CF6"/>
    <w:rsid w:val="00280D3E"/>
    <w:rsid w:val="00280E31"/>
    <w:rsid w:val="00280E47"/>
    <w:rsid w:val="00280EAD"/>
    <w:rsid w:val="00280F68"/>
    <w:rsid w:val="00280FA7"/>
    <w:rsid w:val="00281030"/>
    <w:rsid w:val="0028104A"/>
    <w:rsid w:val="0028112E"/>
    <w:rsid w:val="0028114A"/>
    <w:rsid w:val="00281150"/>
    <w:rsid w:val="002811FD"/>
    <w:rsid w:val="00281205"/>
    <w:rsid w:val="00281207"/>
    <w:rsid w:val="0028125C"/>
    <w:rsid w:val="002812A9"/>
    <w:rsid w:val="002812D0"/>
    <w:rsid w:val="002812E8"/>
    <w:rsid w:val="00281303"/>
    <w:rsid w:val="00281358"/>
    <w:rsid w:val="002813D2"/>
    <w:rsid w:val="002814A4"/>
    <w:rsid w:val="0028150D"/>
    <w:rsid w:val="0028151A"/>
    <w:rsid w:val="00281539"/>
    <w:rsid w:val="00281573"/>
    <w:rsid w:val="002815DE"/>
    <w:rsid w:val="002815F0"/>
    <w:rsid w:val="00281646"/>
    <w:rsid w:val="002816C3"/>
    <w:rsid w:val="002816C9"/>
    <w:rsid w:val="002816D0"/>
    <w:rsid w:val="002817A2"/>
    <w:rsid w:val="002817A3"/>
    <w:rsid w:val="002817BB"/>
    <w:rsid w:val="0028183A"/>
    <w:rsid w:val="00281857"/>
    <w:rsid w:val="0028187C"/>
    <w:rsid w:val="00281923"/>
    <w:rsid w:val="002819AF"/>
    <w:rsid w:val="002819CC"/>
    <w:rsid w:val="002819D9"/>
    <w:rsid w:val="00281A1D"/>
    <w:rsid w:val="00281A2E"/>
    <w:rsid w:val="00281A7A"/>
    <w:rsid w:val="00281A85"/>
    <w:rsid w:val="00281AD0"/>
    <w:rsid w:val="00281ADE"/>
    <w:rsid w:val="00281AE4"/>
    <w:rsid w:val="00281AFF"/>
    <w:rsid w:val="00281B28"/>
    <w:rsid w:val="00281B2D"/>
    <w:rsid w:val="00281B91"/>
    <w:rsid w:val="00281BB1"/>
    <w:rsid w:val="00281BF9"/>
    <w:rsid w:val="00281C94"/>
    <w:rsid w:val="00281C9F"/>
    <w:rsid w:val="00281CA4"/>
    <w:rsid w:val="00281CD1"/>
    <w:rsid w:val="00281D4B"/>
    <w:rsid w:val="00281D84"/>
    <w:rsid w:val="00281DD5"/>
    <w:rsid w:val="00281E1D"/>
    <w:rsid w:val="00281E67"/>
    <w:rsid w:val="00281EE3"/>
    <w:rsid w:val="00281EEF"/>
    <w:rsid w:val="00281F54"/>
    <w:rsid w:val="00281F88"/>
    <w:rsid w:val="00281F9D"/>
    <w:rsid w:val="00282021"/>
    <w:rsid w:val="00282040"/>
    <w:rsid w:val="002820E4"/>
    <w:rsid w:val="00282177"/>
    <w:rsid w:val="0028219B"/>
    <w:rsid w:val="0028221B"/>
    <w:rsid w:val="0028222F"/>
    <w:rsid w:val="00282250"/>
    <w:rsid w:val="00282271"/>
    <w:rsid w:val="0028230A"/>
    <w:rsid w:val="00282392"/>
    <w:rsid w:val="0028241B"/>
    <w:rsid w:val="00282423"/>
    <w:rsid w:val="00282443"/>
    <w:rsid w:val="0028245E"/>
    <w:rsid w:val="002824BB"/>
    <w:rsid w:val="002825DC"/>
    <w:rsid w:val="00282636"/>
    <w:rsid w:val="00282678"/>
    <w:rsid w:val="0028268E"/>
    <w:rsid w:val="002826F5"/>
    <w:rsid w:val="002827FF"/>
    <w:rsid w:val="00282815"/>
    <w:rsid w:val="00282831"/>
    <w:rsid w:val="00282832"/>
    <w:rsid w:val="00282837"/>
    <w:rsid w:val="0028284D"/>
    <w:rsid w:val="0028285F"/>
    <w:rsid w:val="00282883"/>
    <w:rsid w:val="002828D5"/>
    <w:rsid w:val="002828E6"/>
    <w:rsid w:val="00282917"/>
    <w:rsid w:val="0028292D"/>
    <w:rsid w:val="002829E8"/>
    <w:rsid w:val="00282A38"/>
    <w:rsid w:val="00282A66"/>
    <w:rsid w:val="00282A71"/>
    <w:rsid w:val="00282A7C"/>
    <w:rsid w:val="00282AB2"/>
    <w:rsid w:val="00282AB4"/>
    <w:rsid w:val="00282AB8"/>
    <w:rsid w:val="00282ABA"/>
    <w:rsid w:val="00282AEC"/>
    <w:rsid w:val="00282B74"/>
    <w:rsid w:val="00282BBC"/>
    <w:rsid w:val="00282C1E"/>
    <w:rsid w:val="00282C69"/>
    <w:rsid w:val="00282C87"/>
    <w:rsid w:val="00282CE5"/>
    <w:rsid w:val="00282D65"/>
    <w:rsid w:val="00282D77"/>
    <w:rsid w:val="00282DC3"/>
    <w:rsid w:val="00282E2A"/>
    <w:rsid w:val="00282E6A"/>
    <w:rsid w:val="00282E94"/>
    <w:rsid w:val="00282EAB"/>
    <w:rsid w:val="00282EB3"/>
    <w:rsid w:val="00282EEC"/>
    <w:rsid w:val="00282F01"/>
    <w:rsid w:val="00282F55"/>
    <w:rsid w:val="00282F7F"/>
    <w:rsid w:val="00282F8D"/>
    <w:rsid w:val="00282FA8"/>
    <w:rsid w:val="00282FAF"/>
    <w:rsid w:val="00282FC9"/>
    <w:rsid w:val="002830F9"/>
    <w:rsid w:val="0028310B"/>
    <w:rsid w:val="0028316D"/>
    <w:rsid w:val="002831DE"/>
    <w:rsid w:val="00283202"/>
    <w:rsid w:val="00283225"/>
    <w:rsid w:val="00283237"/>
    <w:rsid w:val="00283238"/>
    <w:rsid w:val="0028323B"/>
    <w:rsid w:val="0028324A"/>
    <w:rsid w:val="0028327B"/>
    <w:rsid w:val="00283287"/>
    <w:rsid w:val="0028328B"/>
    <w:rsid w:val="002832A9"/>
    <w:rsid w:val="00283370"/>
    <w:rsid w:val="002833BD"/>
    <w:rsid w:val="00283448"/>
    <w:rsid w:val="00283455"/>
    <w:rsid w:val="00283465"/>
    <w:rsid w:val="00283473"/>
    <w:rsid w:val="002834F8"/>
    <w:rsid w:val="00283502"/>
    <w:rsid w:val="0028352A"/>
    <w:rsid w:val="00283531"/>
    <w:rsid w:val="002835DE"/>
    <w:rsid w:val="00283600"/>
    <w:rsid w:val="0028364F"/>
    <w:rsid w:val="0028366B"/>
    <w:rsid w:val="00283670"/>
    <w:rsid w:val="00283740"/>
    <w:rsid w:val="002837BB"/>
    <w:rsid w:val="002837E5"/>
    <w:rsid w:val="00283834"/>
    <w:rsid w:val="0028396E"/>
    <w:rsid w:val="002839D2"/>
    <w:rsid w:val="002839E0"/>
    <w:rsid w:val="002839ED"/>
    <w:rsid w:val="00283A0A"/>
    <w:rsid w:val="00283A2E"/>
    <w:rsid w:val="00283A35"/>
    <w:rsid w:val="00283A87"/>
    <w:rsid w:val="00283A93"/>
    <w:rsid w:val="00283AF1"/>
    <w:rsid w:val="00283B06"/>
    <w:rsid w:val="00283B1A"/>
    <w:rsid w:val="00283BE2"/>
    <w:rsid w:val="00283C25"/>
    <w:rsid w:val="00283C5B"/>
    <w:rsid w:val="00283C73"/>
    <w:rsid w:val="00283D62"/>
    <w:rsid w:val="00283D72"/>
    <w:rsid w:val="00283DC8"/>
    <w:rsid w:val="00283E17"/>
    <w:rsid w:val="00283E82"/>
    <w:rsid w:val="00284075"/>
    <w:rsid w:val="002840EA"/>
    <w:rsid w:val="00284150"/>
    <w:rsid w:val="0028417F"/>
    <w:rsid w:val="00284189"/>
    <w:rsid w:val="002841A0"/>
    <w:rsid w:val="00284209"/>
    <w:rsid w:val="0028424A"/>
    <w:rsid w:val="002842A7"/>
    <w:rsid w:val="00284364"/>
    <w:rsid w:val="002843A8"/>
    <w:rsid w:val="0028443D"/>
    <w:rsid w:val="00284459"/>
    <w:rsid w:val="0028445B"/>
    <w:rsid w:val="0028445E"/>
    <w:rsid w:val="00284503"/>
    <w:rsid w:val="002845AB"/>
    <w:rsid w:val="002845F2"/>
    <w:rsid w:val="0028460F"/>
    <w:rsid w:val="00284692"/>
    <w:rsid w:val="002846BF"/>
    <w:rsid w:val="002846CF"/>
    <w:rsid w:val="002846D6"/>
    <w:rsid w:val="00284703"/>
    <w:rsid w:val="0028474A"/>
    <w:rsid w:val="0028476A"/>
    <w:rsid w:val="0028478F"/>
    <w:rsid w:val="00284799"/>
    <w:rsid w:val="0028479E"/>
    <w:rsid w:val="00284855"/>
    <w:rsid w:val="00284861"/>
    <w:rsid w:val="00284864"/>
    <w:rsid w:val="00284875"/>
    <w:rsid w:val="00284887"/>
    <w:rsid w:val="002848A1"/>
    <w:rsid w:val="002848CC"/>
    <w:rsid w:val="00284902"/>
    <w:rsid w:val="00284915"/>
    <w:rsid w:val="00284922"/>
    <w:rsid w:val="0028492D"/>
    <w:rsid w:val="0028493A"/>
    <w:rsid w:val="002849FC"/>
    <w:rsid w:val="00284A67"/>
    <w:rsid w:val="00284AA2"/>
    <w:rsid w:val="00284AB2"/>
    <w:rsid w:val="00284B65"/>
    <w:rsid w:val="00284B83"/>
    <w:rsid w:val="00284BAA"/>
    <w:rsid w:val="00284BE1"/>
    <w:rsid w:val="00284C5F"/>
    <w:rsid w:val="00284C92"/>
    <w:rsid w:val="00284CF5"/>
    <w:rsid w:val="00284D04"/>
    <w:rsid w:val="00284D26"/>
    <w:rsid w:val="00284D75"/>
    <w:rsid w:val="00284DC2"/>
    <w:rsid w:val="00284DE9"/>
    <w:rsid w:val="00284E3F"/>
    <w:rsid w:val="00284E5B"/>
    <w:rsid w:val="00284E8E"/>
    <w:rsid w:val="00284FF2"/>
    <w:rsid w:val="002850F2"/>
    <w:rsid w:val="0028511A"/>
    <w:rsid w:val="0028518E"/>
    <w:rsid w:val="002851E6"/>
    <w:rsid w:val="002851FD"/>
    <w:rsid w:val="00285259"/>
    <w:rsid w:val="00285272"/>
    <w:rsid w:val="002852FD"/>
    <w:rsid w:val="0028530C"/>
    <w:rsid w:val="00285373"/>
    <w:rsid w:val="00285375"/>
    <w:rsid w:val="002853AA"/>
    <w:rsid w:val="002853CB"/>
    <w:rsid w:val="0028545F"/>
    <w:rsid w:val="00285467"/>
    <w:rsid w:val="002854EB"/>
    <w:rsid w:val="002854F5"/>
    <w:rsid w:val="002854F6"/>
    <w:rsid w:val="00285511"/>
    <w:rsid w:val="00285515"/>
    <w:rsid w:val="00285557"/>
    <w:rsid w:val="002855BD"/>
    <w:rsid w:val="002855F3"/>
    <w:rsid w:val="00285649"/>
    <w:rsid w:val="002856FD"/>
    <w:rsid w:val="00285790"/>
    <w:rsid w:val="002857C9"/>
    <w:rsid w:val="002857E3"/>
    <w:rsid w:val="00285875"/>
    <w:rsid w:val="002858D3"/>
    <w:rsid w:val="002858FB"/>
    <w:rsid w:val="0028593F"/>
    <w:rsid w:val="00285969"/>
    <w:rsid w:val="00285986"/>
    <w:rsid w:val="0028599E"/>
    <w:rsid w:val="002859F5"/>
    <w:rsid w:val="00285A9F"/>
    <w:rsid w:val="00285ADD"/>
    <w:rsid w:val="00285B22"/>
    <w:rsid w:val="00285BE6"/>
    <w:rsid w:val="00285BF6"/>
    <w:rsid w:val="00285C03"/>
    <w:rsid w:val="00285CD3"/>
    <w:rsid w:val="00285D1C"/>
    <w:rsid w:val="00285D1E"/>
    <w:rsid w:val="00285D44"/>
    <w:rsid w:val="00285D68"/>
    <w:rsid w:val="00285D75"/>
    <w:rsid w:val="00285DAE"/>
    <w:rsid w:val="00285DF7"/>
    <w:rsid w:val="00285E2E"/>
    <w:rsid w:val="00285EC6"/>
    <w:rsid w:val="00285EEB"/>
    <w:rsid w:val="0028604E"/>
    <w:rsid w:val="00286091"/>
    <w:rsid w:val="00286095"/>
    <w:rsid w:val="00286097"/>
    <w:rsid w:val="00286103"/>
    <w:rsid w:val="0028611E"/>
    <w:rsid w:val="00286130"/>
    <w:rsid w:val="00286133"/>
    <w:rsid w:val="002861F5"/>
    <w:rsid w:val="002861F9"/>
    <w:rsid w:val="002862B0"/>
    <w:rsid w:val="002862E7"/>
    <w:rsid w:val="00286318"/>
    <w:rsid w:val="00286353"/>
    <w:rsid w:val="00286363"/>
    <w:rsid w:val="00286399"/>
    <w:rsid w:val="002863F7"/>
    <w:rsid w:val="00286402"/>
    <w:rsid w:val="00286433"/>
    <w:rsid w:val="0028643B"/>
    <w:rsid w:val="00286469"/>
    <w:rsid w:val="002864B9"/>
    <w:rsid w:val="002864E0"/>
    <w:rsid w:val="002864EB"/>
    <w:rsid w:val="002864F5"/>
    <w:rsid w:val="0028654D"/>
    <w:rsid w:val="00286614"/>
    <w:rsid w:val="00286618"/>
    <w:rsid w:val="00286688"/>
    <w:rsid w:val="00286733"/>
    <w:rsid w:val="0028677C"/>
    <w:rsid w:val="002867AF"/>
    <w:rsid w:val="002868AA"/>
    <w:rsid w:val="002868C2"/>
    <w:rsid w:val="002868CD"/>
    <w:rsid w:val="002868D7"/>
    <w:rsid w:val="002869BC"/>
    <w:rsid w:val="00286A1B"/>
    <w:rsid w:val="00286A69"/>
    <w:rsid w:val="00286B07"/>
    <w:rsid w:val="00286B08"/>
    <w:rsid w:val="00286B86"/>
    <w:rsid w:val="00286BD5"/>
    <w:rsid w:val="00286C1D"/>
    <w:rsid w:val="00286C60"/>
    <w:rsid w:val="00286C8B"/>
    <w:rsid w:val="00286CC1"/>
    <w:rsid w:val="00286CD9"/>
    <w:rsid w:val="00286D21"/>
    <w:rsid w:val="00286D32"/>
    <w:rsid w:val="00286D52"/>
    <w:rsid w:val="00286D7D"/>
    <w:rsid w:val="00286E1E"/>
    <w:rsid w:val="00286E3E"/>
    <w:rsid w:val="00286E67"/>
    <w:rsid w:val="00286E8C"/>
    <w:rsid w:val="00286EA7"/>
    <w:rsid w:val="00286EB2"/>
    <w:rsid w:val="00286EDE"/>
    <w:rsid w:val="00286EFF"/>
    <w:rsid w:val="00286F0D"/>
    <w:rsid w:val="00286F6E"/>
    <w:rsid w:val="00286F98"/>
    <w:rsid w:val="00286F9E"/>
    <w:rsid w:val="00286FF8"/>
    <w:rsid w:val="0028702B"/>
    <w:rsid w:val="00287036"/>
    <w:rsid w:val="0028705B"/>
    <w:rsid w:val="00287131"/>
    <w:rsid w:val="00287179"/>
    <w:rsid w:val="0028717C"/>
    <w:rsid w:val="0028719E"/>
    <w:rsid w:val="002871CD"/>
    <w:rsid w:val="002871FC"/>
    <w:rsid w:val="0028721B"/>
    <w:rsid w:val="0028722A"/>
    <w:rsid w:val="0028723C"/>
    <w:rsid w:val="002872F2"/>
    <w:rsid w:val="00287306"/>
    <w:rsid w:val="00287356"/>
    <w:rsid w:val="002873B1"/>
    <w:rsid w:val="00287447"/>
    <w:rsid w:val="00287487"/>
    <w:rsid w:val="002874C4"/>
    <w:rsid w:val="002874CD"/>
    <w:rsid w:val="002874FE"/>
    <w:rsid w:val="00287506"/>
    <w:rsid w:val="00287674"/>
    <w:rsid w:val="0028767C"/>
    <w:rsid w:val="002876A1"/>
    <w:rsid w:val="002876F1"/>
    <w:rsid w:val="00287729"/>
    <w:rsid w:val="00287747"/>
    <w:rsid w:val="002877D6"/>
    <w:rsid w:val="002877DE"/>
    <w:rsid w:val="002877EB"/>
    <w:rsid w:val="00287828"/>
    <w:rsid w:val="00287844"/>
    <w:rsid w:val="00287875"/>
    <w:rsid w:val="00287908"/>
    <w:rsid w:val="0028791A"/>
    <w:rsid w:val="0028791B"/>
    <w:rsid w:val="00287939"/>
    <w:rsid w:val="0028799D"/>
    <w:rsid w:val="00287A75"/>
    <w:rsid w:val="00287B7E"/>
    <w:rsid w:val="00287B8C"/>
    <w:rsid w:val="00287B98"/>
    <w:rsid w:val="00287BA9"/>
    <w:rsid w:val="00287BCA"/>
    <w:rsid w:val="00287BCB"/>
    <w:rsid w:val="00287BDB"/>
    <w:rsid w:val="00287C02"/>
    <w:rsid w:val="00287C17"/>
    <w:rsid w:val="00287C1A"/>
    <w:rsid w:val="00287C2C"/>
    <w:rsid w:val="00287C87"/>
    <w:rsid w:val="00287CA7"/>
    <w:rsid w:val="00287D1E"/>
    <w:rsid w:val="00287D21"/>
    <w:rsid w:val="00287D37"/>
    <w:rsid w:val="00287D83"/>
    <w:rsid w:val="00287D84"/>
    <w:rsid w:val="00287DFC"/>
    <w:rsid w:val="00287E41"/>
    <w:rsid w:val="00287EA1"/>
    <w:rsid w:val="00287EA2"/>
    <w:rsid w:val="00287EE0"/>
    <w:rsid w:val="00287F0C"/>
    <w:rsid w:val="00287F1A"/>
    <w:rsid w:val="00287F4F"/>
    <w:rsid w:val="00287F88"/>
    <w:rsid w:val="00287FD4"/>
    <w:rsid w:val="00287FE9"/>
    <w:rsid w:val="00287FF6"/>
    <w:rsid w:val="0029009F"/>
    <w:rsid w:val="002900C1"/>
    <w:rsid w:val="002900FA"/>
    <w:rsid w:val="0029011F"/>
    <w:rsid w:val="00290127"/>
    <w:rsid w:val="00290144"/>
    <w:rsid w:val="0029019D"/>
    <w:rsid w:val="002901CA"/>
    <w:rsid w:val="00290227"/>
    <w:rsid w:val="00290236"/>
    <w:rsid w:val="0029025D"/>
    <w:rsid w:val="00290403"/>
    <w:rsid w:val="00290427"/>
    <w:rsid w:val="0029044E"/>
    <w:rsid w:val="002904B4"/>
    <w:rsid w:val="002904C1"/>
    <w:rsid w:val="002904D6"/>
    <w:rsid w:val="002904DF"/>
    <w:rsid w:val="00290524"/>
    <w:rsid w:val="002905BE"/>
    <w:rsid w:val="002905DB"/>
    <w:rsid w:val="00290699"/>
    <w:rsid w:val="002907C9"/>
    <w:rsid w:val="002907E7"/>
    <w:rsid w:val="00290866"/>
    <w:rsid w:val="00290881"/>
    <w:rsid w:val="00290899"/>
    <w:rsid w:val="00290975"/>
    <w:rsid w:val="0029099F"/>
    <w:rsid w:val="002909D1"/>
    <w:rsid w:val="00290AC8"/>
    <w:rsid w:val="00290B32"/>
    <w:rsid w:val="00290B89"/>
    <w:rsid w:val="00290B99"/>
    <w:rsid w:val="00290C19"/>
    <w:rsid w:val="00290C31"/>
    <w:rsid w:val="00290C32"/>
    <w:rsid w:val="00290D02"/>
    <w:rsid w:val="00290D14"/>
    <w:rsid w:val="00290D39"/>
    <w:rsid w:val="00290D59"/>
    <w:rsid w:val="00290DA7"/>
    <w:rsid w:val="00290DD3"/>
    <w:rsid w:val="00290E7A"/>
    <w:rsid w:val="00290EDB"/>
    <w:rsid w:val="00290F0F"/>
    <w:rsid w:val="00290F9F"/>
    <w:rsid w:val="00290FA6"/>
    <w:rsid w:val="00291087"/>
    <w:rsid w:val="00291129"/>
    <w:rsid w:val="002911B3"/>
    <w:rsid w:val="002911E8"/>
    <w:rsid w:val="002911EA"/>
    <w:rsid w:val="00291280"/>
    <w:rsid w:val="00291299"/>
    <w:rsid w:val="002912C0"/>
    <w:rsid w:val="002912E0"/>
    <w:rsid w:val="002912FA"/>
    <w:rsid w:val="00291301"/>
    <w:rsid w:val="00291380"/>
    <w:rsid w:val="00291384"/>
    <w:rsid w:val="002913E4"/>
    <w:rsid w:val="00291400"/>
    <w:rsid w:val="00291424"/>
    <w:rsid w:val="00291488"/>
    <w:rsid w:val="002914A4"/>
    <w:rsid w:val="002914F8"/>
    <w:rsid w:val="00291567"/>
    <w:rsid w:val="00291577"/>
    <w:rsid w:val="00291586"/>
    <w:rsid w:val="002915EA"/>
    <w:rsid w:val="002916FD"/>
    <w:rsid w:val="0029174B"/>
    <w:rsid w:val="0029178D"/>
    <w:rsid w:val="002917A5"/>
    <w:rsid w:val="002917A7"/>
    <w:rsid w:val="002917D3"/>
    <w:rsid w:val="00291849"/>
    <w:rsid w:val="002918A6"/>
    <w:rsid w:val="002918AA"/>
    <w:rsid w:val="002918B5"/>
    <w:rsid w:val="002918D0"/>
    <w:rsid w:val="002918F4"/>
    <w:rsid w:val="00291915"/>
    <w:rsid w:val="00291970"/>
    <w:rsid w:val="0029197E"/>
    <w:rsid w:val="002919B8"/>
    <w:rsid w:val="00291A20"/>
    <w:rsid w:val="00291A55"/>
    <w:rsid w:val="00291A56"/>
    <w:rsid w:val="00291A62"/>
    <w:rsid w:val="00291B17"/>
    <w:rsid w:val="00291B59"/>
    <w:rsid w:val="00291BE5"/>
    <w:rsid w:val="00291BFA"/>
    <w:rsid w:val="00291C33"/>
    <w:rsid w:val="00291C7F"/>
    <w:rsid w:val="00291CF9"/>
    <w:rsid w:val="00291D28"/>
    <w:rsid w:val="00291D60"/>
    <w:rsid w:val="00291D83"/>
    <w:rsid w:val="00291D9B"/>
    <w:rsid w:val="00291E03"/>
    <w:rsid w:val="00291E3B"/>
    <w:rsid w:val="00291E75"/>
    <w:rsid w:val="00291F6A"/>
    <w:rsid w:val="00291F6F"/>
    <w:rsid w:val="00291F74"/>
    <w:rsid w:val="00291F90"/>
    <w:rsid w:val="00291FC4"/>
    <w:rsid w:val="00291FE1"/>
    <w:rsid w:val="00292040"/>
    <w:rsid w:val="0029204F"/>
    <w:rsid w:val="0029205C"/>
    <w:rsid w:val="0029207C"/>
    <w:rsid w:val="002920AE"/>
    <w:rsid w:val="002920BB"/>
    <w:rsid w:val="002920E1"/>
    <w:rsid w:val="00292104"/>
    <w:rsid w:val="0029213D"/>
    <w:rsid w:val="00292192"/>
    <w:rsid w:val="00292224"/>
    <w:rsid w:val="00292267"/>
    <w:rsid w:val="00292276"/>
    <w:rsid w:val="002922F9"/>
    <w:rsid w:val="00292475"/>
    <w:rsid w:val="002924B7"/>
    <w:rsid w:val="002924C1"/>
    <w:rsid w:val="002924F6"/>
    <w:rsid w:val="00292521"/>
    <w:rsid w:val="0029253B"/>
    <w:rsid w:val="0029255A"/>
    <w:rsid w:val="002925A9"/>
    <w:rsid w:val="002925E5"/>
    <w:rsid w:val="00292643"/>
    <w:rsid w:val="0029271D"/>
    <w:rsid w:val="00292748"/>
    <w:rsid w:val="00292775"/>
    <w:rsid w:val="00292787"/>
    <w:rsid w:val="00292799"/>
    <w:rsid w:val="0029279F"/>
    <w:rsid w:val="002927C2"/>
    <w:rsid w:val="002927EC"/>
    <w:rsid w:val="0029281A"/>
    <w:rsid w:val="00292874"/>
    <w:rsid w:val="00292878"/>
    <w:rsid w:val="00292895"/>
    <w:rsid w:val="0029289F"/>
    <w:rsid w:val="002929B5"/>
    <w:rsid w:val="00292A17"/>
    <w:rsid w:val="00292AF7"/>
    <w:rsid w:val="00292B3E"/>
    <w:rsid w:val="00292B7D"/>
    <w:rsid w:val="00292B99"/>
    <w:rsid w:val="00292BB2"/>
    <w:rsid w:val="00292C25"/>
    <w:rsid w:val="00292C3B"/>
    <w:rsid w:val="00292C46"/>
    <w:rsid w:val="00292C5D"/>
    <w:rsid w:val="00292CB8"/>
    <w:rsid w:val="00292D0C"/>
    <w:rsid w:val="00292D19"/>
    <w:rsid w:val="00292DA8"/>
    <w:rsid w:val="00292DAC"/>
    <w:rsid w:val="00292E50"/>
    <w:rsid w:val="00292ECD"/>
    <w:rsid w:val="00292ECF"/>
    <w:rsid w:val="00292F1D"/>
    <w:rsid w:val="00292F38"/>
    <w:rsid w:val="00292F51"/>
    <w:rsid w:val="00292FDD"/>
    <w:rsid w:val="00292FE6"/>
    <w:rsid w:val="00292FED"/>
    <w:rsid w:val="00293009"/>
    <w:rsid w:val="0029300A"/>
    <w:rsid w:val="0029300B"/>
    <w:rsid w:val="00293095"/>
    <w:rsid w:val="00293189"/>
    <w:rsid w:val="002931A1"/>
    <w:rsid w:val="002931B9"/>
    <w:rsid w:val="002931FB"/>
    <w:rsid w:val="00293284"/>
    <w:rsid w:val="00293291"/>
    <w:rsid w:val="00293292"/>
    <w:rsid w:val="00293293"/>
    <w:rsid w:val="002932A2"/>
    <w:rsid w:val="002932AC"/>
    <w:rsid w:val="00293327"/>
    <w:rsid w:val="00293350"/>
    <w:rsid w:val="00293362"/>
    <w:rsid w:val="0029339E"/>
    <w:rsid w:val="002933D0"/>
    <w:rsid w:val="002933FA"/>
    <w:rsid w:val="00293484"/>
    <w:rsid w:val="002934A4"/>
    <w:rsid w:val="002935A1"/>
    <w:rsid w:val="00293604"/>
    <w:rsid w:val="0029360A"/>
    <w:rsid w:val="00293628"/>
    <w:rsid w:val="00293644"/>
    <w:rsid w:val="00293720"/>
    <w:rsid w:val="0029378F"/>
    <w:rsid w:val="002937B6"/>
    <w:rsid w:val="0029381A"/>
    <w:rsid w:val="00293857"/>
    <w:rsid w:val="00293884"/>
    <w:rsid w:val="0029388B"/>
    <w:rsid w:val="002938DE"/>
    <w:rsid w:val="002938ED"/>
    <w:rsid w:val="0029390C"/>
    <w:rsid w:val="00293A5D"/>
    <w:rsid w:val="00293A60"/>
    <w:rsid w:val="00293A65"/>
    <w:rsid w:val="00293A72"/>
    <w:rsid w:val="00293A99"/>
    <w:rsid w:val="00293A9C"/>
    <w:rsid w:val="00293AAC"/>
    <w:rsid w:val="00293AD2"/>
    <w:rsid w:val="00293AEF"/>
    <w:rsid w:val="00293AFA"/>
    <w:rsid w:val="00293B2F"/>
    <w:rsid w:val="00293B70"/>
    <w:rsid w:val="00293C52"/>
    <w:rsid w:val="00293C76"/>
    <w:rsid w:val="00293C81"/>
    <w:rsid w:val="00293CCC"/>
    <w:rsid w:val="00293CD8"/>
    <w:rsid w:val="00293CE5"/>
    <w:rsid w:val="00293D67"/>
    <w:rsid w:val="00293D8D"/>
    <w:rsid w:val="00293E2F"/>
    <w:rsid w:val="00293E5A"/>
    <w:rsid w:val="00293E81"/>
    <w:rsid w:val="00293E99"/>
    <w:rsid w:val="00293EC8"/>
    <w:rsid w:val="00293ECB"/>
    <w:rsid w:val="00293EED"/>
    <w:rsid w:val="00293EF3"/>
    <w:rsid w:val="00293EF7"/>
    <w:rsid w:val="00293F08"/>
    <w:rsid w:val="00293F72"/>
    <w:rsid w:val="00293F75"/>
    <w:rsid w:val="00293FD2"/>
    <w:rsid w:val="0029400F"/>
    <w:rsid w:val="00294086"/>
    <w:rsid w:val="0029409A"/>
    <w:rsid w:val="002940DD"/>
    <w:rsid w:val="00294168"/>
    <w:rsid w:val="0029419A"/>
    <w:rsid w:val="00294250"/>
    <w:rsid w:val="00294266"/>
    <w:rsid w:val="00294267"/>
    <w:rsid w:val="00294289"/>
    <w:rsid w:val="002942DB"/>
    <w:rsid w:val="002942F6"/>
    <w:rsid w:val="0029432E"/>
    <w:rsid w:val="0029435E"/>
    <w:rsid w:val="002943B0"/>
    <w:rsid w:val="002943E1"/>
    <w:rsid w:val="002943F0"/>
    <w:rsid w:val="00294403"/>
    <w:rsid w:val="00294462"/>
    <w:rsid w:val="00294468"/>
    <w:rsid w:val="00294507"/>
    <w:rsid w:val="00294567"/>
    <w:rsid w:val="00294586"/>
    <w:rsid w:val="002945BA"/>
    <w:rsid w:val="002945FC"/>
    <w:rsid w:val="00294600"/>
    <w:rsid w:val="00294675"/>
    <w:rsid w:val="00294690"/>
    <w:rsid w:val="00294718"/>
    <w:rsid w:val="0029473B"/>
    <w:rsid w:val="0029478C"/>
    <w:rsid w:val="0029482D"/>
    <w:rsid w:val="00294942"/>
    <w:rsid w:val="00294976"/>
    <w:rsid w:val="0029498A"/>
    <w:rsid w:val="00294A08"/>
    <w:rsid w:val="00294A47"/>
    <w:rsid w:val="00294A4D"/>
    <w:rsid w:val="00294A84"/>
    <w:rsid w:val="00294A88"/>
    <w:rsid w:val="00294A94"/>
    <w:rsid w:val="00294AE1"/>
    <w:rsid w:val="00294AE7"/>
    <w:rsid w:val="00294B4C"/>
    <w:rsid w:val="00294B50"/>
    <w:rsid w:val="00294B7E"/>
    <w:rsid w:val="00294C2C"/>
    <w:rsid w:val="00294C43"/>
    <w:rsid w:val="00294C6C"/>
    <w:rsid w:val="00294C9C"/>
    <w:rsid w:val="00294CDF"/>
    <w:rsid w:val="00294D17"/>
    <w:rsid w:val="00294D27"/>
    <w:rsid w:val="00294D4F"/>
    <w:rsid w:val="00294DA1"/>
    <w:rsid w:val="00294DAC"/>
    <w:rsid w:val="00294E23"/>
    <w:rsid w:val="00294E53"/>
    <w:rsid w:val="00294F39"/>
    <w:rsid w:val="00294F3F"/>
    <w:rsid w:val="00294F44"/>
    <w:rsid w:val="00294F4C"/>
    <w:rsid w:val="00294F75"/>
    <w:rsid w:val="00294FD9"/>
    <w:rsid w:val="00294FEC"/>
    <w:rsid w:val="00294FF4"/>
    <w:rsid w:val="00294FFF"/>
    <w:rsid w:val="00295055"/>
    <w:rsid w:val="00295064"/>
    <w:rsid w:val="002950D2"/>
    <w:rsid w:val="00295137"/>
    <w:rsid w:val="00295181"/>
    <w:rsid w:val="002951EB"/>
    <w:rsid w:val="00295274"/>
    <w:rsid w:val="0029527F"/>
    <w:rsid w:val="002952A1"/>
    <w:rsid w:val="00295358"/>
    <w:rsid w:val="00295382"/>
    <w:rsid w:val="002953F6"/>
    <w:rsid w:val="0029541D"/>
    <w:rsid w:val="00295443"/>
    <w:rsid w:val="00295488"/>
    <w:rsid w:val="002954C6"/>
    <w:rsid w:val="0029551B"/>
    <w:rsid w:val="002955A0"/>
    <w:rsid w:val="00295645"/>
    <w:rsid w:val="0029569D"/>
    <w:rsid w:val="002956A9"/>
    <w:rsid w:val="002956E5"/>
    <w:rsid w:val="002957A1"/>
    <w:rsid w:val="00295810"/>
    <w:rsid w:val="00295889"/>
    <w:rsid w:val="00295950"/>
    <w:rsid w:val="002959AF"/>
    <w:rsid w:val="002959F8"/>
    <w:rsid w:val="00295A32"/>
    <w:rsid w:val="00295A3A"/>
    <w:rsid w:val="00295A3E"/>
    <w:rsid w:val="00295B86"/>
    <w:rsid w:val="00295B8D"/>
    <w:rsid w:val="00295BAE"/>
    <w:rsid w:val="00295BD9"/>
    <w:rsid w:val="00295C34"/>
    <w:rsid w:val="00295C36"/>
    <w:rsid w:val="00295CFC"/>
    <w:rsid w:val="00295D26"/>
    <w:rsid w:val="00295D2E"/>
    <w:rsid w:val="00295D49"/>
    <w:rsid w:val="00295D89"/>
    <w:rsid w:val="00295DDC"/>
    <w:rsid w:val="00295E21"/>
    <w:rsid w:val="00295E23"/>
    <w:rsid w:val="00295E46"/>
    <w:rsid w:val="00295E49"/>
    <w:rsid w:val="00295E57"/>
    <w:rsid w:val="00295E5D"/>
    <w:rsid w:val="00295EDE"/>
    <w:rsid w:val="00295F2C"/>
    <w:rsid w:val="00295FEE"/>
    <w:rsid w:val="00296078"/>
    <w:rsid w:val="00296079"/>
    <w:rsid w:val="00296084"/>
    <w:rsid w:val="0029608C"/>
    <w:rsid w:val="00296098"/>
    <w:rsid w:val="00296117"/>
    <w:rsid w:val="0029613B"/>
    <w:rsid w:val="0029617E"/>
    <w:rsid w:val="002961AE"/>
    <w:rsid w:val="002961DD"/>
    <w:rsid w:val="002961E1"/>
    <w:rsid w:val="0029622D"/>
    <w:rsid w:val="00296232"/>
    <w:rsid w:val="0029623F"/>
    <w:rsid w:val="002962A6"/>
    <w:rsid w:val="00296345"/>
    <w:rsid w:val="00296359"/>
    <w:rsid w:val="00296386"/>
    <w:rsid w:val="002963D9"/>
    <w:rsid w:val="00296418"/>
    <w:rsid w:val="00296446"/>
    <w:rsid w:val="00296482"/>
    <w:rsid w:val="0029649E"/>
    <w:rsid w:val="002964A1"/>
    <w:rsid w:val="002964A4"/>
    <w:rsid w:val="002964CD"/>
    <w:rsid w:val="002964FF"/>
    <w:rsid w:val="00296534"/>
    <w:rsid w:val="00296548"/>
    <w:rsid w:val="0029656B"/>
    <w:rsid w:val="00296573"/>
    <w:rsid w:val="00296596"/>
    <w:rsid w:val="002965AD"/>
    <w:rsid w:val="002965AE"/>
    <w:rsid w:val="002965C4"/>
    <w:rsid w:val="002965CA"/>
    <w:rsid w:val="0029667F"/>
    <w:rsid w:val="002966A5"/>
    <w:rsid w:val="002966AD"/>
    <w:rsid w:val="00296740"/>
    <w:rsid w:val="0029677C"/>
    <w:rsid w:val="0029678D"/>
    <w:rsid w:val="002967F8"/>
    <w:rsid w:val="00296816"/>
    <w:rsid w:val="00296819"/>
    <w:rsid w:val="00296820"/>
    <w:rsid w:val="00296898"/>
    <w:rsid w:val="002968BE"/>
    <w:rsid w:val="00296923"/>
    <w:rsid w:val="00296999"/>
    <w:rsid w:val="002969CB"/>
    <w:rsid w:val="002969F4"/>
    <w:rsid w:val="00296A73"/>
    <w:rsid w:val="00296ABA"/>
    <w:rsid w:val="00296AC9"/>
    <w:rsid w:val="00296AE1"/>
    <w:rsid w:val="00296B40"/>
    <w:rsid w:val="00296BDB"/>
    <w:rsid w:val="00296C56"/>
    <w:rsid w:val="00296CCF"/>
    <w:rsid w:val="00296CD2"/>
    <w:rsid w:val="00296D9F"/>
    <w:rsid w:val="00296DC7"/>
    <w:rsid w:val="00296E08"/>
    <w:rsid w:val="00296E57"/>
    <w:rsid w:val="00296E6E"/>
    <w:rsid w:val="00296E79"/>
    <w:rsid w:val="00296E95"/>
    <w:rsid w:val="00296EC1"/>
    <w:rsid w:val="00296F0A"/>
    <w:rsid w:val="00296F39"/>
    <w:rsid w:val="00296F83"/>
    <w:rsid w:val="00296FDB"/>
    <w:rsid w:val="002971CA"/>
    <w:rsid w:val="002971D8"/>
    <w:rsid w:val="00297214"/>
    <w:rsid w:val="00297238"/>
    <w:rsid w:val="002972DE"/>
    <w:rsid w:val="002972FA"/>
    <w:rsid w:val="00297315"/>
    <w:rsid w:val="00297351"/>
    <w:rsid w:val="002973A9"/>
    <w:rsid w:val="002973D9"/>
    <w:rsid w:val="0029741D"/>
    <w:rsid w:val="00297421"/>
    <w:rsid w:val="00297453"/>
    <w:rsid w:val="00297467"/>
    <w:rsid w:val="0029747C"/>
    <w:rsid w:val="00297521"/>
    <w:rsid w:val="00297623"/>
    <w:rsid w:val="002976F3"/>
    <w:rsid w:val="0029771C"/>
    <w:rsid w:val="002977D8"/>
    <w:rsid w:val="00297831"/>
    <w:rsid w:val="00297835"/>
    <w:rsid w:val="0029787A"/>
    <w:rsid w:val="002978FF"/>
    <w:rsid w:val="00297902"/>
    <w:rsid w:val="00297939"/>
    <w:rsid w:val="00297952"/>
    <w:rsid w:val="0029797C"/>
    <w:rsid w:val="00297982"/>
    <w:rsid w:val="002979A0"/>
    <w:rsid w:val="002979C8"/>
    <w:rsid w:val="002979EF"/>
    <w:rsid w:val="00297A26"/>
    <w:rsid w:val="00297A53"/>
    <w:rsid w:val="00297A73"/>
    <w:rsid w:val="00297A79"/>
    <w:rsid w:val="00297A82"/>
    <w:rsid w:val="00297ABB"/>
    <w:rsid w:val="00297ABF"/>
    <w:rsid w:val="00297AC9"/>
    <w:rsid w:val="00297ACD"/>
    <w:rsid w:val="00297B2C"/>
    <w:rsid w:val="00297B37"/>
    <w:rsid w:val="00297B50"/>
    <w:rsid w:val="00297B94"/>
    <w:rsid w:val="00297BE5"/>
    <w:rsid w:val="00297C1C"/>
    <w:rsid w:val="00297C33"/>
    <w:rsid w:val="00297C4B"/>
    <w:rsid w:val="00297C7A"/>
    <w:rsid w:val="00297CD6"/>
    <w:rsid w:val="00297CF5"/>
    <w:rsid w:val="00297DCC"/>
    <w:rsid w:val="00297E3D"/>
    <w:rsid w:val="00297E65"/>
    <w:rsid w:val="00297EAF"/>
    <w:rsid w:val="00297EC0"/>
    <w:rsid w:val="00297EC1"/>
    <w:rsid w:val="00297EE1"/>
    <w:rsid w:val="00297F0C"/>
    <w:rsid w:val="00297F4B"/>
    <w:rsid w:val="00297F68"/>
    <w:rsid w:val="00297F82"/>
    <w:rsid w:val="00297FB5"/>
    <w:rsid w:val="0029DFAD"/>
    <w:rsid w:val="002A002C"/>
    <w:rsid w:val="002A008D"/>
    <w:rsid w:val="002A00AA"/>
    <w:rsid w:val="002A00B0"/>
    <w:rsid w:val="002A00B6"/>
    <w:rsid w:val="002A016A"/>
    <w:rsid w:val="002A0198"/>
    <w:rsid w:val="002A01B1"/>
    <w:rsid w:val="002A01EE"/>
    <w:rsid w:val="002A0221"/>
    <w:rsid w:val="002A0228"/>
    <w:rsid w:val="002A02A3"/>
    <w:rsid w:val="002A02EE"/>
    <w:rsid w:val="002A030C"/>
    <w:rsid w:val="002A031F"/>
    <w:rsid w:val="002A037F"/>
    <w:rsid w:val="002A0384"/>
    <w:rsid w:val="002A03C8"/>
    <w:rsid w:val="002A04A2"/>
    <w:rsid w:val="002A04B8"/>
    <w:rsid w:val="002A0500"/>
    <w:rsid w:val="002A057E"/>
    <w:rsid w:val="002A06C2"/>
    <w:rsid w:val="002A06D1"/>
    <w:rsid w:val="002A06EB"/>
    <w:rsid w:val="002A0737"/>
    <w:rsid w:val="002A0741"/>
    <w:rsid w:val="002A0748"/>
    <w:rsid w:val="002A0778"/>
    <w:rsid w:val="002A079C"/>
    <w:rsid w:val="002A07C5"/>
    <w:rsid w:val="002A07C7"/>
    <w:rsid w:val="002A080D"/>
    <w:rsid w:val="002A0839"/>
    <w:rsid w:val="002A0881"/>
    <w:rsid w:val="002A08F4"/>
    <w:rsid w:val="002A0933"/>
    <w:rsid w:val="002A09BA"/>
    <w:rsid w:val="002A09FC"/>
    <w:rsid w:val="002A0A17"/>
    <w:rsid w:val="002A0A18"/>
    <w:rsid w:val="002A0A2B"/>
    <w:rsid w:val="002A0A83"/>
    <w:rsid w:val="002A0AB6"/>
    <w:rsid w:val="002A0AC2"/>
    <w:rsid w:val="002A0B15"/>
    <w:rsid w:val="002A0B51"/>
    <w:rsid w:val="002A0B5A"/>
    <w:rsid w:val="002A0BB3"/>
    <w:rsid w:val="002A0BC6"/>
    <w:rsid w:val="002A0BD1"/>
    <w:rsid w:val="002A0BE4"/>
    <w:rsid w:val="002A0C2E"/>
    <w:rsid w:val="002A0C2F"/>
    <w:rsid w:val="002A0CB0"/>
    <w:rsid w:val="002A0CBA"/>
    <w:rsid w:val="002A0D05"/>
    <w:rsid w:val="002A0D0C"/>
    <w:rsid w:val="002A0D4E"/>
    <w:rsid w:val="002A0D56"/>
    <w:rsid w:val="002A0D6B"/>
    <w:rsid w:val="002A0DD0"/>
    <w:rsid w:val="002A0E12"/>
    <w:rsid w:val="002A0E28"/>
    <w:rsid w:val="002A0E4E"/>
    <w:rsid w:val="002A0E56"/>
    <w:rsid w:val="002A0F0F"/>
    <w:rsid w:val="002A0FB1"/>
    <w:rsid w:val="002A0FE1"/>
    <w:rsid w:val="002A1009"/>
    <w:rsid w:val="002A1040"/>
    <w:rsid w:val="002A1044"/>
    <w:rsid w:val="002A106F"/>
    <w:rsid w:val="002A10FA"/>
    <w:rsid w:val="002A1116"/>
    <w:rsid w:val="002A1180"/>
    <w:rsid w:val="002A11E6"/>
    <w:rsid w:val="002A124B"/>
    <w:rsid w:val="002A12BF"/>
    <w:rsid w:val="002A1341"/>
    <w:rsid w:val="002A1343"/>
    <w:rsid w:val="002A139D"/>
    <w:rsid w:val="002A13C7"/>
    <w:rsid w:val="002A13CA"/>
    <w:rsid w:val="002A143A"/>
    <w:rsid w:val="002A1475"/>
    <w:rsid w:val="002A14E0"/>
    <w:rsid w:val="002A151B"/>
    <w:rsid w:val="002A1523"/>
    <w:rsid w:val="002A1530"/>
    <w:rsid w:val="002A1552"/>
    <w:rsid w:val="002A1559"/>
    <w:rsid w:val="002A1563"/>
    <w:rsid w:val="002A1598"/>
    <w:rsid w:val="002A15ED"/>
    <w:rsid w:val="002A15F2"/>
    <w:rsid w:val="002A160D"/>
    <w:rsid w:val="002A160E"/>
    <w:rsid w:val="002A1686"/>
    <w:rsid w:val="002A16A3"/>
    <w:rsid w:val="002A16A9"/>
    <w:rsid w:val="002A16B3"/>
    <w:rsid w:val="002A16EB"/>
    <w:rsid w:val="002A16FC"/>
    <w:rsid w:val="002A170F"/>
    <w:rsid w:val="002A1790"/>
    <w:rsid w:val="002A1803"/>
    <w:rsid w:val="002A188F"/>
    <w:rsid w:val="002A18F2"/>
    <w:rsid w:val="002A1904"/>
    <w:rsid w:val="002A1932"/>
    <w:rsid w:val="002A1934"/>
    <w:rsid w:val="002A193A"/>
    <w:rsid w:val="002A1954"/>
    <w:rsid w:val="002A197C"/>
    <w:rsid w:val="002A19C3"/>
    <w:rsid w:val="002A1A43"/>
    <w:rsid w:val="002A1A46"/>
    <w:rsid w:val="002A1A7B"/>
    <w:rsid w:val="002A1AB1"/>
    <w:rsid w:val="002A1ABE"/>
    <w:rsid w:val="002A1AFF"/>
    <w:rsid w:val="002A1B50"/>
    <w:rsid w:val="002A1B61"/>
    <w:rsid w:val="002A1B95"/>
    <w:rsid w:val="002A1B9C"/>
    <w:rsid w:val="002A1BC2"/>
    <w:rsid w:val="002A1BF0"/>
    <w:rsid w:val="002A1BFA"/>
    <w:rsid w:val="002A1C23"/>
    <w:rsid w:val="002A1C2F"/>
    <w:rsid w:val="002A1CB2"/>
    <w:rsid w:val="002A1CB5"/>
    <w:rsid w:val="002A1CEE"/>
    <w:rsid w:val="002A1D41"/>
    <w:rsid w:val="002A1D5E"/>
    <w:rsid w:val="002A1DD3"/>
    <w:rsid w:val="002A1E0B"/>
    <w:rsid w:val="002A1E1A"/>
    <w:rsid w:val="002A1E26"/>
    <w:rsid w:val="002A1F21"/>
    <w:rsid w:val="002A1F40"/>
    <w:rsid w:val="002A1F86"/>
    <w:rsid w:val="002A1FA5"/>
    <w:rsid w:val="002A1FB8"/>
    <w:rsid w:val="002A1FEF"/>
    <w:rsid w:val="002A202D"/>
    <w:rsid w:val="002A2113"/>
    <w:rsid w:val="002A2161"/>
    <w:rsid w:val="002A2185"/>
    <w:rsid w:val="002A2359"/>
    <w:rsid w:val="002A2392"/>
    <w:rsid w:val="002A23C0"/>
    <w:rsid w:val="002A23E4"/>
    <w:rsid w:val="002A240E"/>
    <w:rsid w:val="002A2412"/>
    <w:rsid w:val="002A246A"/>
    <w:rsid w:val="002A2492"/>
    <w:rsid w:val="002A2495"/>
    <w:rsid w:val="002A24CB"/>
    <w:rsid w:val="002A24E2"/>
    <w:rsid w:val="002A2521"/>
    <w:rsid w:val="002A25CB"/>
    <w:rsid w:val="002A25CD"/>
    <w:rsid w:val="002A2623"/>
    <w:rsid w:val="002A2693"/>
    <w:rsid w:val="002A2699"/>
    <w:rsid w:val="002A26B8"/>
    <w:rsid w:val="002A26F0"/>
    <w:rsid w:val="002A2721"/>
    <w:rsid w:val="002A272E"/>
    <w:rsid w:val="002A2765"/>
    <w:rsid w:val="002A27A2"/>
    <w:rsid w:val="002A2897"/>
    <w:rsid w:val="002A28D0"/>
    <w:rsid w:val="002A28F0"/>
    <w:rsid w:val="002A291E"/>
    <w:rsid w:val="002A2956"/>
    <w:rsid w:val="002A295A"/>
    <w:rsid w:val="002A296D"/>
    <w:rsid w:val="002A2995"/>
    <w:rsid w:val="002A2A09"/>
    <w:rsid w:val="002A2A0C"/>
    <w:rsid w:val="002A2A2E"/>
    <w:rsid w:val="002A2A4A"/>
    <w:rsid w:val="002A2AD1"/>
    <w:rsid w:val="002A2AE5"/>
    <w:rsid w:val="002A2B09"/>
    <w:rsid w:val="002A2BE2"/>
    <w:rsid w:val="002A2BE3"/>
    <w:rsid w:val="002A2C18"/>
    <w:rsid w:val="002A2CE3"/>
    <w:rsid w:val="002A2CF4"/>
    <w:rsid w:val="002A2D2F"/>
    <w:rsid w:val="002A2DD2"/>
    <w:rsid w:val="002A2E3B"/>
    <w:rsid w:val="002A2E6F"/>
    <w:rsid w:val="002A2E74"/>
    <w:rsid w:val="002A2ECB"/>
    <w:rsid w:val="002A2EE3"/>
    <w:rsid w:val="002A2F02"/>
    <w:rsid w:val="002A2F94"/>
    <w:rsid w:val="002A2F96"/>
    <w:rsid w:val="002A3005"/>
    <w:rsid w:val="002A3075"/>
    <w:rsid w:val="002A3129"/>
    <w:rsid w:val="002A312C"/>
    <w:rsid w:val="002A31B1"/>
    <w:rsid w:val="002A31CE"/>
    <w:rsid w:val="002A31E2"/>
    <w:rsid w:val="002A3228"/>
    <w:rsid w:val="002A326F"/>
    <w:rsid w:val="002A32E8"/>
    <w:rsid w:val="002A3345"/>
    <w:rsid w:val="002A3351"/>
    <w:rsid w:val="002A3387"/>
    <w:rsid w:val="002A33A1"/>
    <w:rsid w:val="002A33BF"/>
    <w:rsid w:val="002A345D"/>
    <w:rsid w:val="002A349E"/>
    <w:rsid w:val="002A34E1"/>
    <w:rsid w:val="002A3514"/>
    <w:rsid w:val="002A353D"/>
    <w:rsid w:val="002A35C3"/>
    <w:rsid w:val="002A35C4"/>
    <w:rsid w:val="002A35D1"/>
    <w:rsid w:val="002A3649"/>
    <w:rsid w:val="002A365D"/>
    <w:rsid w:val="002A3669"/>
    <w:rsid w:val="002A3676"/>
    <w:rsid w:val="002A36F4"/>
    <w:rsid w:val="002A3747"/>
    <w:rsid w:val="002A37B7"/>
    <w:rsid w:val="002A37F7"/>
    <w:rsid w:val="002A37F8"/>
    <w:rsid w:val="002A383D"/>
    <w:rsid w:val="002A385C"/>
    <w:rsid w:val="002A387F"/>
    <w:rsid w:val="002A389C"/>
    <w:rsid w:val="002A39B1"/>
    <w:rsid w:val="002A39DD"/>
    <w:rsid w:val="002A3A2F"/>
    <w:rsid w:val="002A3A6A"/>
    <w:rsid w:val="002A3A77"/>
    <w:rsid w:val="002A3A8A"/>
    <w:rsid w:val="002A3AEC"/>
    <w:rsid w:val="002A3B1A"/>
    <w:rsid w:val="002A3B4A"/>
    <w:rsid w:val="002A3B72"/>
    <w:rsid w:val="002A3B83"/>
    <w:rsid w:val="002A3BF2"/>
    <w:rsid w:val="002A3C20"/>
    <w:rsid w:val="002A3C40"/>
    <w:rsid w:val="002A3C41"/>
    <w:rsid w:val="002A3CD9"/>
    <w:rsid w:val="002A3D1C"/>
    <w:rsid w:val="002A3DED"/>
    <w:rsid w:val="002A3E1B"/>
    <w:rsid w:val="002A3E60"/>
    <w:rsid w:val="002A3EAF"/>
    <w:rsid w:val="002A3EB4"/>
    <w:rsid w:val="002A3FB9"/>
    <w:rsid w:val="002A3FE3"/>
    <w:rsid w:val="002A3FF3"/>
    <w:rsid w:val="002A4043"/>
    <w:rsid w:val="002A405E"/>
    <w:rsid w:val="002A40B6"/>
    <w:rsid w:val="002A40BD"/>
    <w:rsid w:val="002A40D3"/>
    <w:rsid w:val="002A410F"/>
    <w:rsid w:val="002A411B"/>
    <w:rsid w:val="002A414D"/>
    <w:rsid w:val="002A4194"/>
    <w:rsid w:val="002A41A6"/>
    <w:rsid w:val="002A4248"/>
    <w:rsid w:val="002A42FA"/>
    <w:rsid w:val="002A432B"/>
    <w:rsid w:val="002A4356"/>
    <w:rsid w:val="002A43DA"/>
    <w:rsid w:val="002A4414"/>
    <w:rsid w:val="002A4474"/>
    <w:rsid w:val="002A4493"/>
    <w:rsid w:val="002A44D4"/>
    <w:rsid w:val="002A44E5"/>
    <w:rsid w:val="002A4517"/>
    <w:rsid w:val="002A459E"/>
    <w:rsid w:val="002A4608"/>
    <w:rsid w:val="002A4614"/>
    <w:rsid w:val="002A46C5"/>
    <w:rsid w:val="002A46D9"/>
    <w:rsid w:val="002A46ED"/>
    <w:rsid w:val="002A4754"/>
    <w:rsid w:val="002A4797"/>
    <w:rsid w:val="002A47AE"/>
    <w:rsid w:val="002A47DE"/>
    <w:rsid w:val="002A47E7"/>
    <w:rsid w:val="002A47F6"/>
    <w:rsid w:val="002A480B"/>
    <w:rsid w:val="002A485B"/>
    <w:rsid w:val="002A4862"/>
    <w:rsid w:val="002A48E6"/>
    <w:rsid w:val="002A4917"/>
    <w:rsid w:val="002A4921"/>
    <w:rsid w:val="002A4950"/>
    <w:rsid w:val="002A49B1"/>
    <w:rsid w:val="002A49E3"/>
    <w:rsid w:val="002A49FC"/>
    <w:rsid w:val="002A4A29"/>
    <w:rsid w:val="002A4A56"/>
    <w:rsid w:val="002A4A6A"/>
    <w:rsid w:val="002A4A80"/>
    <w:rsid w:val="002A4AB0"/>
    <w:rsid w:val="002A4AC2"/>
    <w:rsid w:val="002A4AEF"/>
    <w:rsid w:val="002A4AF3"/>
    <w:rsid w:val="002A4B31"/>
    <w:rsid w:val="002A4B43"/>
    <w:rsid w:val="002A4B6E"/>
    <w:rsid w:val="002A4BB5"/>
    <w:rsid w:val="002A4D7A"/>
    <w:rsid w:val="002A4DDA"/>
    <w:rsid w:val="002A4E01"/>
    <w:rsid w:val="002A4E8C"/>
    <w:rsid w:val="002A4E98"/>
    <w:rsid w:val="002A4F75"/>
    <w:rsid w:val="002A4F99"/>
    <w:rsid w:val="002A503D"/>
    <w:rsid w:val="002A5045"/>
    <w:rsid w:val="002A5077"/>
    <w:rsid w:val="002A50A8"/>
    <w:rsid w:val="002A50BE"/>
    <w:rsid w:val="002A50E6"/>
    <w:rsid w:val="002A5131"/>
    <w:rsid w:val="002A51BA"/>
    <w:rsid w:val="002A51E5"/>
    <w:rsid w:val="002A51EF"/>
    <w:rsid w:val="002A51FF"/>
    <w:rsid w:val="002A5229"/>
    <w:rsid w:val="002A5288"/>
    <w:rsid w:val="002A52A5"/>
    <w:rsid w:val="002A52E2"/>
    <w:rsid w:val="002A5353"/>
    <w:rsid w:val="002A5370"/>
    <w:rsid w:val="002A5394"/>
    <w:rsid w:val="002A5396"/>
    <w:rsid w:val="002A540E"/>
    <w:rsid w:val="002A5429"/>
    <w:rsid w:val="002A542C"/>
    <w:rsid w:val="002A542E"/>
    <w:rsid w:val="002A543A"/>
    <w:rsid w:val="002A5491"/>
    <w:rsid w:val="002A54C4"/>
    <w:rsid w:val="002A54C7"/>
    <w:rsid w:val="002A5572"/>
    <w:rsid w:val="002A5583"/>
    <w:rsid w:val="002A5609"/>
    <w:rsid w:val="002A5630"/>
    <w:rsid w:val="002A5651"/>
    <w:rsid w:val="002A5653"/>
    <w:rsid w:val="002A567F"/>
    <w:rsid w:val="002A5698"/>
    <w:rsid w:val="002A56A2"/>
    <w:rsid w:val="002A57C3"/>
    <w:rsid w:val="002A5848"/>
    <w:rsid w:val="002A58BC"/>
    <w:rsid w:val="002A59A8"/>
    <w:rsid w:val="002A5A49"/>
    <w:rsid w:val="002A5B4A"/>
    <w:rsid w:val="002A5B53"/>
    <w:rsid w:val="002A5B54"/>
    <w:rsid w:val="002A5B62"/>
    <w:rsid w:val="002A5BA5"/>
    <w:rsid w:val="002A5BD4"/>
    <w:rsid w:val="002A5BE9"/>
    <w:rsid w:val="002A5C4D"/>
    <w:rsid w:val="002A5CE8"/>
    <w:rsid w:val="002A5D32"/>
    <w:rsid w:val="002A5E6F"/>
    <w:rsid w:val="002A5F54"/>
    <w:rsid w:val="002A5FC7"/>
    <w:rsid w:val="002A60B5"/>
    <w:rsid w:val="002A60B6"/>
    <w:rsid w:val="002A60B9"/>
    <w:rsid w:val="002A6120"/>
    <w:rsid w:val="002A6136"/>
    <w:rsid w:val="002A61A2"/>
    <w:rsid w:val="002A61A4"/>
    <w:rsid w:val="002A61AE"/>
    <w:rsid w:val="002A61F0"/>
    <w:rsid w:val="002A61F8"/>
    <w:rsid w:val="002A6210"/>
    <w:rsid w:val="002A6285"/>
    <w:rsid w:val="002A6299"/>
    <w:rsid w:val="002A62CE"/>
    <w:rsid w:val="002A6318"/>
    <w:rsid w:val="002A633C"/>
    <w:rsid w:val="002A634A"/>
    <w:rsid w:val="002A6395"/>
    <w:rsid w:val="002A63C4"/>
    <w:rsid w:val="002A63C8"/>
    <w:rsid w:val="002A63F5"/>
    <w:rsid w:val="002A63FA"/>
    <w:rsid w:val="002A641C"/>
    <w:rsid w:val="002A6424"/>
    <w:rsid w:val="002A6477"/>
    <w:rsid w:val="002A6487"/>
    <w:rsid w:val="002A64D8"/>
    <w:rsid w:val="002A64DB"/>
    <w:rsid w:val="002A6541"/>
    <w:rsid w:val="002A6691"/>
    <w:rsid w:val="002A66C6"/>
    <w:rsid w:val="002A66FA"/>
    <w:rsid w:val="002A6715"/>
    <w:rsid w:val="002A6723"/>
    <w:rsid w:val="002A6755"/>
    <w:rsid w:val="002A67C0"/>
    <w:rsid w:val="002A67D9"/>
    <w:rsid w:val="002A67F0"/>
    <w:rsid w:val="002A6891"/>
    <w:rsid w:val="002A68D4"/>
    <w:rsid w:val="002A6920"/>
    <w:rsid w:val="002A6930"/>
    <w:rsid w:val="002A693C"/>
    <w:rsid w:val="002A6965"/>
    <w:rsid w:val="002A6989"/>
    <w:rsid w:val="002A69AC"/>
    <w:rsid w:val="002A69BC"/>
    <w:rsid w:val="002A69BD"/>
    <w:rsid w:val="002A6A08"/>
    <w:rsid w:val="002A6A4D"/>
    <w:rsid w:val="002A6A92"/>
    <w:rsid w:val="002A6A96"/>
    <w:rsid w:val="002A6B10"/>
    <w:rsid w:val="002A6B16"/>
    <w:rsid w:val="002A6B8D"/>
    <w:rsid w:val="002A6BD8"/>
    <w:rsid w:val="002A6BE8"/>
    <w:rsid w:val="002A6C08"/>
    <w:rsid w:val="002A6C22"/>
    <w:rsid w:val="002A6C92"/>
    <w:rsid w:val="002A6CA5"/>
    <w:rsid w:val="002A6CCF"/>
    <w:rsid w:val="002A6CDF"/>
    <w:rsid w:val="002A6D5C"/>
    <w:rsid w:val="002A6D69"/>
    <w:rsid w:val="002A6D73"/>
    <w:rsid w:val="002A6DBF"/>
    <w:rsid w:val="002A6E35"/>
    <w:rsid w:val="002A6E3C"/>
    <w:rsid w:val="002A6E6C"/>
    <w:rsid w:val="002A6EC6"/>
    <w:rsid w:val="002A6F3A"/>
    <w:rsid w:val="002A6FAD"/>
    <w:rsid w:val="002A6FCB"/>
    <w:rsid w:val="002A6FDC"/>
    <w:rsid w:val="002A6FF0"/>
    <w:rsid w:val="002A7046"/>
    <w:rsid w:val="002A7085"/>
    <w:rsid w:val="002A70BD"/>
    <w:rsid w:val="002A7160"/>
    <w:rsid w:val="002A71F8"/>
    <w:rsid w:val="002A7211"/>
    <w:rsid w:val="002A72DC"/>
    <w:rsid w:val="002A73CE"/>
    <w:rsid w:val="002A73D0"/>
    <w:rsid w:val="002A73F6"/>
    <w:rsid w:val="002A746D"/>
    <w:rsid w:val="002A749E"/>
    <w:rsid w:val="002A74AB"/>
    <w:rsid w:val="002A7567"/>
    <w:rsid w:val="002A7569"/>
    <w:rsid w:val="002A7573"/>
    <w:rsid w:val="002A758F"/>
    <w:rsid w:val="002A75D6"/>
    <w:rsid w:val="002A7612"/>
    <w:rsid w:val="002A7650"/>
    <w:rsid w:val="002A7655"/>
    <w:rsid w:val="002A76F4"/>
    <w:rsid w:val="002A7777"/>
    <w:rsid w:val="002A77CB"/>
    <w:rsid w:val="002A77E3"/>
    <w:rsid w:val="002A77F5"/>
    <w:rsid w:val="002A7802"/>
    <w:rsid w:val="002A789E"/>
    <w:rsid w:val="002A7951"/>
    <w:rsid w:val="002A79B8"/>
    <w:rsid w:val="002A7A31"/>
    <w:rsid w:val="002A7A5A"/>
    <w:rsid w:val="002A7A5E"/>
    <w:rsid w:val="002A7A85"/>
    <w:rsid w:val="002A7AC6"/>
    <w:rsid w:val="002A7B37"/>
    <w:rsid w:val="002A7BBC"/>
    <w:rsid w:val="002A7BBF"/>
    <w:rsid w:val="002A7BF5"/>
    <w:rsid w:val="002A7C3F"/>
    <w:rsid w:val="002A7C6F"/>
    <w:rsid w:val="002A7C8D"/>
    <w:rsid w:val="002A7CEB"/>
    <w:rsid w:val="002A7DB7"/>
    <w:rsid w:val="002A7DEB"/>
    <w:rsid w:val="002A7E2F"/>
    <w:rsid w:val="002A7E3F"/>
    <w:rsid w:val="002A7E70"/>
    <w:rsid w:val="002A7EB4"/>
    <w:rsid w:val="002A7EBB"/>
    <w:rsid w:val="002A7EE4"/>
    <w:rsid w:val="002A7F16"/>
    <w:rsid w:val="002A7FCA"/>
    <w:rsid w:val="002B002D"/>
    <w:rsid w:val="002B0065"/>
    <w:rsid w:val="002B0076"/>
    <w:rsid w:val="002B00B7"/>
    <w:rsid w:val="002B00BA"/>
    <w:rsid w:val="002B00EC"/>
    <w:rsid w:val="002B014D"/>
    <w:rsid w:val="002B0175"/>
    <w:rsid w:val="002B0277"/>
    <w:rsid w:val="002B02BE"/>
    <w:rsid w:val="002B030A"/>
    <w:rsid w:val="002B0320"/>
    <w:rsid w:val="002B0335"/>
    <w:rsid w:val="002B0357"/>
    <w:rsid w:val="002B03B8"/>
    <w:rsid w:val="002B03BF"/>
    <w:rsid w:val="002B048D"/>
    <w:rsid w:val="002B04A8"/>
    <w:rsid w:val="002B04AF"/>
    <w:rsid w:val="002B051D"/>
    <w:rsid w:val="002B0572"/>
    <w:rsid w:val="002B05EB"/>
    <w:rsid w:val="002B05FA"/>
    <w:rsid w:val="002B06BC"/>
    <w:rsid w:val="002B071C"/>
    <w:rsid w:val="002B0761"/>
    <w:rsid w:val="002B078C"/>
    <w:rsid w:val="002B078F"/>
    <w:rsid w:val="002B080A"/>
    <w:rsid w:val="002B081C"/>
    <w:rsid w:val="002B08D6"/>
    <w:rsid w:val="002B08F0"/>
    <w:rsid w:val="002B0995"/>
    <w:rsid w:val="002B0A02"/>
    <w:rsid w:val="002B0A60"/>
    <w:rsid w:val="002B0B46"/>
    <w:rsid w:val="002B0B4E"/>
    <w:rsid w:val="002B0BD2"/>
    <w:rsid w:val="002B0BE1"/>
    <w:rsid w:val="002B0BE3"/>
    <w:rsid w:val="002B0C2C"/>
    <w:rsid w:val="002B0CA0"/>
    <w:rsid w:val="002B0D3D"/>
    <w:rsid w:val="002B0D7B"/>
    <w:rsid w:val="002B0D92"/>
    <w:rsid w:val="002B0DC5"/>
    <w:rsid w:val="002B0DC9"/>
    <w:rsid w:val="002B0DD9"/>
    <w:rsid w:val="002B0E6F"/>
    <w:rsid w:val="002B0E92"/>
    <w:rsid w:val="002B0EBC"/>
    <w:rsid w:val="002B0ECE"/>
    <w:rsid w:val="002B0EE8"/>
    <w:rsid w:val="002B0F17"/>
    <w:rsid w:val="002B0F1D"/>
    <w:rsid w:val="002B0F7E"/>
    <w:rsid w:val="002B0FF6"/>
    <w:rsid w:val="002B101F"/>
    <w:rsid w:val="002B103A"/>
    <w:rsid w:val="002B106D"/>
    <w:rsid w:val="002B10DB"/>
    <w:rsid w:val="002B110E"/>
    <w:rsid w:val="002B1125"/>
    <w:rsid w:val="002B112D"/>
    <w:rsid w:val="002B1151"/>
    <w:rsid w:val="002B1174"/>
    <w:rsid w:val="002B11E5"/>
    <w:rsid w:val="002B11F5"/>
    <w:rsid w:val="002B127A"/>
    <w:rsid w:val="002B12EF"/>
    <w:rsid w:val="002B1307"/>
    <w:rsid w:val="002B1308"/>
    <w:rsid w:val="002B1358"/>
    <w:rsid w:val="002B13CD"/>
    <w:rsid w:val="002B13E1"/>
    <w:rsid w:val="002B142B"/>
    <w:rsid w:val="002B1430"/>
    <w:rsid w:val="002B1472"/>
    <w:rsid w:val="002B1494"/>
    <w:rsid w:val="002B158C"/>
    <w:rsid w:val="002B15D4"/>
    <w:rsid w:val="002B1619"/>
    <w:rsid w:val="002B166A"/>
    <w:rsid w:val="002B16FF"/>
    <w:rsid w:val="002B1754"/>
    <w:rsid w:val="002B1768"/>
    <w:rsid w:val="002B1799"/>
    <w:rsid w:val="002B17A1"/>
    <w:rsid w:val="002B17B9"/>
    <w:rsid w:val="002B17D8"/>
    <w:rsid w:val="002B17E7"/>
    <w:rsid w:val="002B1816"/>
    <w:rsid w:val="002B1862"/>
    <w:rsid w:val="002B187A"/>
    <w:rsid w:val="002B18CF"/>
    <w:rsid w:val="002B1919"/>
    <w:rsid w:val="002B19B0"/>
    <w:rsid w:val="002B19D3"/>
    <w:rsid w:val="002B1A0A"/>
    <w:rsid w:val="002B1A21"/>
    <w:rsid w:val="002B1A9F"/>
    <w:rsid w:val="002B1AE0"/>
    <w:rsid w:val="002B1BB2"/>
    <w:rsid w:val="002B1BB5"/>
    <w:rsid w:val="002B1BCB"/>
    <w:rsid w:val="002B1C2A"/>
    <w:rsid w:val="002B1C6F"/>
    <w:rsid w:val="002B1D03"/>
    <w:rsid w:val="002B1D27"/>
    <w:rsid w:val="002B1E19"/>
    <w:rsid w:val="002B1E96"/>
    <w:rsid w:val="002B1F23"/>
    <w:rsid w:val="002B1F40"/>
    <w:rsid w:val="002B1F81"/>
    <w:rsid w:val="002B1F8A"/>
    <w:rsid w:val="002B1FE2"/>
    <w:rsid w:val="002B200E"/>
    <w:rsid w:val="002B2023"/>
    <w:rsid w:val="002B2029"/>
    <w:rsid w:val="002B2037"/>
    <w:rsid w:val="002B203E"/>
    <w:rsid w:val="002B2043"/>
    <w:rsid w:val="002B2052"/>
    <w:rsid w:val="002B206B"/>
    <w:rsid w:val="002B2086"/>
    <w:rsid w:val="002B209D"/>
    <w:rsid w:val="002B20BC"/>
    <w:rsid w:val="002B216F"/>
    <w:rsid w:val="002B2177"/>
    <w:rsid w:val="002B21A7"/>
    <w:rsid w:val="002B2248"/>
    <w:rsid w:val="002B2259"/>
    <w:rsid w:val="002B228E"/>
    <w:rsid w:val="002B22BA"/>
    <w:rsid w:val="002B22E2"/>
    <w:rsid w:val="002B237D"/>
    <w:rsid w:val="002B23C4"/>
    <w:rsid w:val="002B2444"/>
    <w:rsid w:val="002B2451"/>
    <w:rsid w:val="002B2456"/>
    <w:rsid w:val="002B2463"/>
    <w:rsid w:val="002B24BC"/>
    <w:rsid w:val="002B2501"/>
    <w:rsid w:val="002B2525"/>
    <w:rsid w:val="002B2539"/>
    <w:rsid w:val="002B254A"/>
    <w:rsid w:val="002B2553"/>
    <w:rsid w:val="002B255D"/>
    <w:rsid w:val="002B2570"/>
    <w:rsid w:val="002B25A9"/>
    <w:rsid w:val="002B261C"/>
    <w:rsid w:val="002B264D"/>
    <w:rsid w:val="002B26BB"/>
    <w:rsid w:val="002B26D2"/>
    <w:rsid w:val="002B26E7"/>
    <w:rsid w:val="002B26FB"/>
    <w:rsid w:val="002B2769"/>
    <w:rsid w:val="002B27D8"/>
    <w:rsid w:val="002B27E3"/>
    <w:rsid w:val="002B2820"/>
    <w:rsid w:val="002B28DE"/>
    <w:rsid w:val="002B28EF"/>
    <w:rsid w:val="002B2904"/>
    <w:rsid w:val="002B290D"/>
    <w:rsid w:val="002B2936"/>
    <w:rsid w:val="002B2998"/>
    <w:rsid w:val="002B2A25"/>
    <w:rsid w:val="002B2A44"/>
    <w:rsid w:val="002B2A8B"/>
    <w:rsid w:val="002B2AD4"/>
    <w:rsid w:val="002B2B24"/>
    <w:rsid w:val="002B2B28"/>
    <w:rsid w:val="002B2B3C"/>
    <w:rsid w:val="002B2B40"/>
    <w:rsid w:val="002B2B48"/>
    <w:rsid w:val="002B2B5B"/>
    <w:rsid w:val="002B2B6A"/>
    <w:rsid w:val="002B2BBB"/>
    <w:rsid w:val="002B2BC2"/>
    <w:rsid w:val="002B2BC5"/>
    <w:rsid w:val="002B2BEC"/>
    <w:rsid w:val="002B2C29"/>
    <w:rsid w:val="002B2C2A"/>
    <w:rsid w:val="002B2C3D"/>
    <w:rsid w:val="002B2C43"/>
    <w:rsid w:val="002B2C54"/>
    <w:rsid w:val="002B2CF2"/>
    <w:rsid w:val="002B2D4C"/>
    <w:rsid w:val="002B2D73"/>
    <w:rsid w:val="002B2D78"/>
    <w:rsid w:val="002B2DF5"/>
    <w:rsid w:val="002B2E5D"/>
    <w:rsid w:val="002B2F47"/>
    <w:rsid w:val="002B2F98"/>
    <w:rsid w:val="002B2FAF"/>
    <w:rsid w:val="002B2FF9"/>
    <w:rsid w:val="002B3000"/>
    <w:rsid w:val="002B3009"/>
    <w:rsid w:val="002B3044"/>
    <w:rsid w:val="002B3061"/>
    <w:rsid w:val="002B30B3"/>
    <w:rsid w:val="002B3134"/>
    <w:rsid w:val="002B3166"/>
    <w:rsid w:val="002B3266"/>
    <w:rsid w:val="002B32A7"/>
    <w:rsid w:val="002B32D8"/>
    <w:rsid w:val="002B32DD"/>
    <w:rsid w:val="002B32E3"/>
    <w:rsid w:val="002B32FB"/>
    <w:rsid w:val="002B330C"/>
    <w:rsid w:val="002B330E"/>
    <w:rsid w:val="002B3325"/>
    <w:rsid w:val="002B334D"/>
    <w:rsid w:val="002B339C"/>
    <w:rsid w:val="002B33F5"/>
    <w:rsid w:val="002B3409"/>
    <w:rsid w:val="002B342F"/>
    <w:rsid w:val="002B3475"/>
    <w:rsid w:val="002B34C5"/>
    <w:rsid w:val="002B34E7"/>
    <w:rsid w:val="002B353F"/>
    <w:rsid w:val="002B3552"/>
    <w:rsid w:val="002B35C4"/>
    <w:rsid w:val="002B362F"/>
    <w:rsid w:val="002B3659"/>
    <w:rsid w:val="002B3674"/>
    <w:rsid w:val="002B36B1"/>
    <w:rsid w:val="002B36C3"/>
    <w:rsid w:val="002B370D"/>
    <w:rsid w:val="002B374C"/>
    <w:rsid w:val="002B37A7"/>
    <w:rsid w:val="002B37E7"/>
    <w:rsid w:val="002B37E8"/>
    <w:rsid w:val="002B37EC"/>
    <w:rsid w:val="002B3820"/>
    <w:rsid w:val="002B382F"/>
    <w:rsid w:val="002B390D"/>
    <w:rsid w:val="002B394A"/>
    <w:rsid w:val="002B3964"/>
    <w:rsid w:val="002B3992"/>
    <w:rsid w:val="002B39A5"/>
    <w:rsid w:val="002B3A3D"/>
    <w:rsid w:val="002B3A64"/>
    <w:rsid w:val="002B3B4B"/>
    <w:rsid w:val="002B3B74"/>
    <w:rsid w:val="002B3C09"/>
    <w:rsid w:val="002B3C51"/>
    <w:rsid w:val="002B3C73"/>
    <w:rsid w:val="002B3CA3"/>
    <w:rsid w:val="002B3D2D"/>
    <w:rsid w:val="002B3D53"/>
    <w:rsid w:val="002B3D6E"/>
    <w:rsid w:val="002B3D89"/>
    <w:rsid w:val="002B3DC6"/>
    <w:rsid w:val="002B3DFB"/>
    <w:rsid w:val="002B3E21"/>
    <w:rsid w:val="002B3E48"/>
    <w:rsid w:val="002B3E4B"/>
    <w:rsid w:val="002B3E7E"/>
    <w:rsid w:val="002B3E86"/>
    <w:rsid w:val="002B3F0A"/>
    <w:rsid w:val="002B3FBC"/>
    <w:rsid w:val="002B3FBF"/>
    <w:rsid w:val="002B3FFD"/>
    <w:rsid w:val="002B4011"/>
    <w:rsid w:val="002B408E"/>
    <w:rsid w:val="002B4151"/>
    <w:rsid w:val="002B41A3"/>
    <w:rsid w:val="002B41AD"/>
    <w:rsid w:val="002B41C8"/>
    <w:rsid w:val="002B41E5"/>
    <w:rsid w:val="002B4206"/>
    <w:rsid w:val="002B4249"/>
    <w:rsid w:val="002B4270"/>
    <w:rsid w:val="002B4286"/>
    <w:rsid w:val="002B429D"/>
    <w:rsid w:val="002B42AB"/>
    <w:rsid w:val="002B4300"/>
    <w:rsid w:val="002B433E"/>
    <w:rsid w:val="002B4364"/>
    <w:rsid w:val="002B4368"/>
    <w:rsid w:val="002B43C5"/>
    <w:rsid w:val="002B441E"/>
    <w:rsid w:val="002B455A"/>
    <w:rsid w:val="002B45BA"/>
    <w:rsid w:val="002B45FC"/>
    <w:rsid w:val="002B463E"/>
    <w:rsid w:val="002B4665"/>
    <w:rsid w:val="002B469C"/>
    <w:rsid w:val="002B46D5"/>
    <w:rsid w:val="002B4777"/>
    <w:rsid w:val="002B4798"/>
    <w:rsid w:val="002B4815"/>
    <w:rsid w:val="002B485D"/>
    <w:rsid w:val="002B4898"/>
    <w:rsid w:val="002B489B"/>
    <w:rsid w:val="002B48F4"/>
    <w:rsid w:val="002B499F"/>
    <w:rsid w:val="002B49F4"/>
    <w:rsid w:val="002B4AB7"/>
    <w:rsid w:val="002B4B35"/>
    <w:rsid w:val="002B4B5E"/>
    <w:rsid w:val="002B4BD2"/>
    <w:rsid w:val="002B4BEB"/>
    <w:rsid w:val="002B4C64"/>
    <w:rsid w:val="002B4C65"/>
    <w:rsid w:val="002B4CBF"/>
    <w:rsid w:val="002B4D1B"/>
    <w:rsid w:val="002B4D3F"/>
    <w:rsid w:val="002B4D85"/>
    <w:rsid w:val="002B4DC4"/>
    <w:rsid w:val="002B4EE7"/>
    <w:rsid w:val="002B4F3C"/>
    <w:rsid w:val="002B4F68"/>
    <w:rsid w:val="002B5051"/>
    <w:rsid w:val="002B519C"/>
    <w:rsid w:val="002B51D2"/>
    <w:rsid w:val="002B5210"/>
    <w:rsid w:val="002B5243"/>
    <w:rsid w:val="002B524B"/>
    <w:rsid w:val="002B524D"/>
    <w:rsid w:val="002B528C"/>
    <w:rsid w:val="002B52FC"/>
    <w:rsid w:val="002B530A"/>
    <w:rsid w:val="002B5340"/>
    <w:rsid w:val="002B536F"/>
    <w:rsid w:val="002B5419"/>
    <w:rsid w:val="002B5429"/>
    <w:rsid w:val="002B543B"/>
    <w:rsid w:val="002B5485"/>
    <w:rsid w:val="002B5490"/>
    <w:rsid w:val="002B54A2"/>
    <w:rsid w:val="002B553F"/>
    <w:rsid w:val="002B557D"/>
    <w:rsid w:val="002B565D"/>
    <w:rsid w:val="002B5664"/>
    <w:rsid w:val="002B5672"/>
    <w:rsid w:val="002B567F"/>
    <w:rsid w:val="002B5690"/>
    <w:rsid w:val="002B571D"/>
    <w:rsid w:val="002B5796"/>
    <w:rsid w:val="002B5839"/>
    <w:rsid w:val="002B587B"/>
    <w:rsid w:val="002B58B5"/>
    <w:rsid w:val="002B58BD"/>
    <w:rsid w:val="002B58E8"/>
    <w:rsid w:val="002B590C"/>
    <w:rsid w:val="002B599B"/>
    <w:rsid w:val="002B59AC"/>
    <w:rsid w:val="002B5A1C"/>
    <w:rsid w:val="002B5A23"/>
    <w:rsid w:val="002B5A93"/>
    <w:rsid w:val="002B5AAD"/>
    <w:rsid w:val="002B5AB1"/>
    <w:rsid w:val="002B5B07"/>
    <w:rsid w:val="002B5B18"/>
    <w:rsid w:val="002B5B53"/>
    <w:rsid w:val="002B5BD3"/>
    <w:rsid w:val="002B5BED"/>
    <w:rsid w:val="002B5C32"/>
    <w:rsid w:val="002B5C92"/>
    <w:rsid w:val="002B5CAF"/>
    <w:rsid w:val="002B5CCB"/>
    <w:rsid w:val="002B5CE6"/>
    <w:rsid w:val="002B5D2C"/>
    <w:rsid w:val="002B5D32"/>
    <w:rsid w:val="002B5D40"/>
    <w:rsid w:val="002B5D6B"/>
    <w:rsid w:val="002B5E26"/>
    <w:rsid w:val="002B5E32"/>
    <w:rsid w:val="002B5E75"/>
    <w:rsid w:val="002B5EA3"/>
    <w:rsid w:val="002B5F22"/>
    <w:rsid w:val="002B5F58"/>
    <w:rsid w:val="002B5F68"/>
    <w:rsid w:val="002B5F8B"/>
    <w:rsid w:val="002B5FE7"/>
    <w:rsid w:val="002B5FEA"/>
    <w:rsid w:val="002B6009"/>
    <w:rsid w:val="002B6021"/>
    <w:rsid w:val="002B60A5"/>
    <w:rsid w:val="002B60A8"/>
    <w:rsid w:val="002B60AA"/>
    <w:rsid w:val="002B613B"/>
    <w:rsid w:val="002B6149"/>
    <w:rsid w:val="002B615B"/>
    <w:rsid w:val="002B6193"/>
    <w:rsid w:val="002B61B6"/>
    <w:rsid w:val="002B61C3"/>
    <w:rsid w:val="002B61C9"/>
    <w:rsid w:val="002B61DB"/>
    <w:rsid w:val="002B61F4"/>
    <w:rsid w:val="002B6288"/>
    <w:rsid w:val="002B628C"/>
    <w:rsid w:val="002B62BD"/>
    <w:rsid w:val="002B62E4"/>
    <w:rsid w:val="002B62F1"/>
    <w:rsid w:val="002B63AC"/>
    <w:rsid w:val="002B63CF"/>
    <w:rsid w:val="002B63FB"/>
    <w:rsid w:val="002B6412"/>
    <w:rsid w:val="002B644A"/>
    <w:rsid w:val="002B6480"/>
    <w:rsid w:val="002B6495"/>
    <w:rsid w:val="002B64AF"/>
    <w:rsid w:val="002B64EB"/>
    <w:rsid w:val="002B651A"/>
    <w:rsid w:val="002B653B"/>
    <w:rsid w:val="002B6543"/>
    <w:rsid w:val="002B65C6"/>
    <w:rsid w:val="002B65D7"/>
    <w:rsid w:val="002B66B5"/>
    <w:rsid w:val="002B66BF"/>
    <w:rsid w:val="002B66C9"/>
    <w:rsid w:val="002B66F6"/>
    <w:rsid w:val="002B6708"/>
    <w:rsid w:val="002B6759"/>
    <w:rsid w:val="002B67AB"/>
    <w:rsid w:val="002B67D0"/>
    <w:rsid w:val="002B6836"/>
    <w:rsid w:val="002B684F"/>
    <w:rsid w:val="002B686D"/>
    <w:rsid w:val="002B68C1"/>
    <w:rsid w:val="002B68FC"/>
    <w:rsid w:val="002B6975"/>
    <w:rsid w:val="002B697F"/>
    <w:rsid w:val="002B699E"/>
    <w:rsid w:val="002B69A4"/>
    <w:rsid w:val="002B6A43"/>
    <w:rsid w:val="002B6AAD"/>
    <w:rsid w:val="002B6AB0"/>
    <w:rsid w:val="002B6B58"/>
    <w:rsid w:val="002B6BA6"/>
    <w:rsid w:val="002B6BB3"/>
    <w:rsid w:val="002B6BC4"/>
    <w:rsid w:val="002B6BE3"/>
    <w:rsid w:val="002B6BF0"/>
    <w:rsid w:val="002B6C41"/>
    <w:rsid w:val="002B6C44"/>
    <w:rsid w:val="002B6C82"/>
    <w:rsid w:val="002B6D24"/>
    <w:rsid w:val="002B6D59"/>
    <w:rsid w:val="002B6D7E"/>
    <w:rsid w:val="002B6D88"/>
    <w:rsid w:val="002B6D95"/>
    <w:rsid w:val="002B6DC2"/>
    <w:rsid w:val="002B6DD7"/>
    <w:rsid w:val="002B6DE1"/>
    <w:rsid w:val="002B6E45"/>
    <w:rsid w:val="002B6E63"/>
    <w:rsid w:val="002B6EB0"/>
    <w:rsid w:val="002B6EB9"/>
    <w:rsid w:val="002B6EFF"/>
    <w:rsid w:val="002B6F13"/>
    <w:rsid w:val="002B6F43"/>
    <w:rsid w:val="002B6F4A"/>
    <w:rsid w:val="002B6FBA"/>
    <w:rsid w:val="002B6FF9"/>
    <w:rsid w:val="002B6FFF"/>
    <w:rsid w:val="002B702A"/>
    <w:rsid w:val="002B706B"/>
    <w:rsid w:val="002B707E"/>
    <w:rsid w:val="002B70A7"/>
    <w:rsid w:val="002B70CA"/>
    <w:rsid w:val="002B70FF"/>
    <w:rsid w:val="002B7157"/>
    <w:rsid w:val="002B71FC"/>
    <w:rsid w:val="002B7301"/>
    <w:rsid w:val="002B73B0"/>
    <w:rsid w:val="002B73F3"/>
    <w:rsid w:val="002B7422"/>
    <w:rsid w:val="002B7454"/>
    <w:rsid w:val="002B74C0"/>
    <w:rsid w:val="002B74CE"/>
    <w:rsid w:val="002B74E2"/>
    <w:rsid w:val="002B74EE"/>
    <w:rsid w:val="002B74EF"/>
    <w:rsid w:val="002B754F"/>
    <w:rsid w:val="002B75D0"/>
    <w:rsid w:val="002B75D1"/>
    <w:rsid w:val="002B75DE"/>
    <w:rsid w:val="002B75FA"/>
    <w:rsid w:val="002B7646"/>
    <w:rsid w:val="002B76B4"/>
    <w:rsid w:val="002B76E3"/>
    <w:rsid w:val="002B7759"/>
    <w:rsid w:val="002B7775"/>
    <w:rsid w:val="002B77B9"/>
    <w:rsid w:val="002B7803"/>
    <w:rsid w:val="002B7827"/>
    <w:rsid w:val="002B7842"/>
    <w:rsid w:val="002B7872"/>
    <w:rsid w:val="002B78CB"/>
    <w:rsid w:val="002B78FB"/>
    <w:rsid w:val="002B799E"/>
    <w:rsid w:val="002B79DB"/>
    <w:rsid w:val="002B7AA4"/>
    <w:rsid w:val="002B7B40"/>
    <w:rsid w:val="002B7B43"/>
    <w:rsid w:val="002B7B55"/>
    <w:rsid w:val="002B7B8D"/>
    <w:rsid w:val="002B7BB9"/>
    <w:rsid w:val="002B7BEA"/>
    <w:rsid w:val="002B7C14"/>
    <w:rsid w:val="002B7C1E"/>
    <w:rsid w:val="002B7C2E"/>
    <w:rsid w:val="002B7C36"/>
    <w:rsid w:val="002B7C63"/>
    <w:rsid w:val="002B7C6C"/>
    <w:rsid w:val="002B7C79"/>
    <w:rsid w:val="002B7C9C"/>
    <w:rsid w:val="002B7CC9"/>
    <w:rsid w:val="002B7CEE"/>
    <w:rsid w:val="002B7D03"/>
    <w:rsid w:val="002B7D21"/>
    <w:rsid w:val="002B7D5F"/>
    <w:rsid w:val="002B7DE8"/>
    <w:rsid w:val="002B7E0F"/>
    <w:rsid w:val="002B7E43"/>
    <w:rsid w:val="002B7E8B"/>
    <w:rsid w:val="002B7E99"/>
    <w:rsid w:val="002B7EB4"/>
    <w:rsid w:val="002B7EDF"/>
    <w:rsid w:val="002B7F3B"/>
    <w:rsid w:val="002B7F78"/>
    <w:rsid w:val="002B7FA8"/>
    <w:rsid w:val="002B7FF9"/>
    <w:rsid w:val="002C0014"/>
    <w:rsid w:val="002C0050"/>
    <w:rsid w:val="002C009E"/>
    <w:rsid w:val="002C00B5"/>
    <w:rsid w:val="002C00B8"/>
    <w:rsid w:val="002C0191"/>
    <w:rsid w:val="002C01CE"/>
    <w:rsid w:val="002C01DC"/>
    <w:rsid w:val="002C01FE"/>
    <w:rsid w:val="002C0234"/>
    <w:rsid w:val="002C024F"/>
    <w:rsid w:val="002C0288"/>
    <w:rsid w:val="002C0289"/>
    <w:rsid w:val="002C02D9"/>
    <w:rsid w:val="002C0334"/>
    <w:rsid w:val="002C0346"/>
    <w:rsid w:val="002C0350"/>
    <w:rsid w:val="002C03FB"/>
    <w:rsid w:val="002C05C7"/>
    <w:rsid w:val="002C060F"/>
    <w:rsid w:val="002C0660"/>
    <w:rsid w:val="002C0662"/>
    <w:rsid w:val="002C0666"/>
    <w:rsid w:val="002C066A"/>
    <w:rsid w:val="002C069B"/>
    <w:rsid w:val="002C069D"/>
    <w:rsid w:val="002C0718"/>
    <w:rsid w:val="002C0755"/>
    <w:rsid w:val="002C076D"/>
    <w:rsid w:val="002C07FA"/>
    <w:rsid w:val="002C0820"/>
    <w:rsid w:val="002C0826"/>
    <w:rsid w:val="002C0882"/>
    <w:rsid w:val="002C08A0"/>
    <w:rsid w:val="002C08BA"/>
    <w:rsid w:val="002C08CB"/>
    <w:rsid w:val="002C0959"/>
    <w:rsid w:val="002C095C"/>
    <w:rsid w:val="002C0964"/>
    <w:rsid w:val="002C099A"/>
    <w:rsid w:val="002C09C9"/>
    <w:rsid w:val="002C09DB"/>
    <w:rsid w:val="002C09EE"/>
    <w:rsid w:val="002C0A39"/>
    <w:rsid w:val="002C0A60"/>
    <w:rsid w:val="002C0A87"/>
    <w:rsid w:val="002C0A8B"/>
    <w:rsid w:val="002C0B83"/>
    <w:rsid w:val="002C0BA6"/>
    <w:rsid w:val="002C0BCE"/>
    <w:rsid w:val="002C0CA6"/>
    <w:rsid w:val="002C0CB1"/>
    <w:rsid w:val="002C0D69"/>
    <w:rsid w:val="002C0DEB"/>
    <w:rsid w:val="002C0DFC"/>
    <w:rsid w:val="002C0EB8"/>
    <w:rsid w:val="002C0FFE"/>
    <w:rsid w:val="002C1016"/>
    <w:rsid w:val="002C1051"/>
    <w:rsid w:val="002C10DC"/>
    <w:rsid w:val="002C10E2"/>
    <w:rsid w:val="002C1138"/>
    <w:rsid w:val="002C11B0"/>
    <w:rsid w:val="002C11C5"/>
    <w:rsid w:val="002C1251"/>
    <w:rsid w:val="002C1256"/>
    <w:rsid w:val="002C127E"/>
    <w:rsid w:val="002C12B0"/>
    <w:rsid w:val="002C12CE"/>
    <w:rsid w:val="002C12D0"/>
    <w:rsid w:val="002C12F9"/>
    <w:rsid w:val="002C1314"/>
    <w:rsid w:val="002C1316"/>
    <w:rsid w:val="002C134E"/>
    <w:rsid w:val="002C13D7"/>
    <w:rsid w:val="002C148E"/>
    <w:rsid w:val="002C14E4"/>
    <w:rsid w:val="002C152C"/>
    <w:rsid w:val="002C1562"/>
    <w:rsid w:val="002C158A"/>
    <w:rsid w:val="002C158B"/>
    <w:rsid w:val="002C15E2"/>
    <w:rsid w:val="002C1612"/>
    <w:rsid w:val="002C1617"/>
    <w:rsid w:val="002C1662"/>
    <w:rsid w:val="002C166E"/>
    <w:rsid w:val="002C1686"/>
    <w:rsid w:val="002C16F1"/>
    <w:rsid w:val="002C1720"/>
    <w:rsid w:val="002C172A"/>
    <w:rsid w:val="002C1743"/>
    <w:rsid w:val="002C179F"/>
    <w:rsid w:val="002C17D6"/>
    <w:rsid w:val="002C17D7"/>
    <w:rsid w:val="002C17F4"/>
    <w:rsid w:val="002C182C"/>
    <w:rsid w:val="002C1894"/>
    <w:rsid w:val="002C1898"/>
    <w:rsid w:val="002C19F5"/>
    <w:rsid w:val="002C1A79"/>
    <w:rsid w:val="002C1A96"/>
    <w:rsid w:val="002C1A97"/>
    <w:rsid w:val="002C1AC2"/>
    <w:rsid w:val="002C1AC4"/>
    <w:rsid w:val="002C1BBC"/>
    <w:rsid w:val="002C1BC4"/>
    <w:rsid w:val="002C1BF1"/>
    <w:rsid w:val="002C1BF6"/>
    <w:rsid w:val="002C1C02"/>
    <w:rsid w:val="002C1C45"/>
    <w:rsid w:val="002C1C55"/>
    <w:rsid w:val="002C1CFE"/>
    <w:rsid w:val="002C1D31"/>
    <w:rsid w:val="002C1D71"/>
    <w:rsid w:val="002C1EBE"/>
    <w:rsid w:val="002C2029"/>
    <w:rsid w:val="002C2065"/>
    <w:rsid w:val="002C2088"/>
    <w:rsid w:val="002C20B7"/>
    <w:rsid w:val="002C20E7"/>
    <w:rsid w:val="002C20FD"/>
    <w:rsid w:val="002C2180"/>
    <w:rsid w:val="002C219D"/>
    <w:rsid w:val="002C21A1"/>
    <w:rsid w:val="002C21BC"/>
    <w:rsid w:val="002C21C0"/>
    <w:rsid w:val="002C21E3"/>
    <w:rsid w:val="002C21F8"/>
    <w:rsid w:val="002C2221"/>
    <w:rsid w:val="002C2226"/>
    <w:rsid w:val="002C2290"/>
    <w:rsid w:val="002C22A5"/>
    <w:rsid w:val="002C22EA"/>
    <w:rsid w:val="002C2305"/>
    <w:rsid w:val="002C23A7"/>
    <w:rsid w:val="002C23F8"/>
    <w:rsid w:val="002C240B"/>
    <w:rsid w:val="002C2437"/>
    <w:rsid w:val="002C248E"/>
    <w:rsid w:val="002C24AF"/>
    <w:rsid w:val="002C24BE"/>
    <w:rsid w:val="002C24CD"/>
    <w:rsid w:val="002C2548"/>
    <w:rsid w:val="002C25B3"/>
    <w:rsid w:val="002C25F6"/>
    <w:rsid w:val="002C260E"/>
    <w:rsid w:val="002C2614"/>
    <w:rsid w:val="002C261E"/>
    <w:rsid w:val="002C2684"/>
    <w:rsid w:val="002C2691"/>
    <w:rsid w:val="002C26AF"/>
    <w:rsid w:val="002C2707"/>
    <w:rsid w:val="002C271A"/>
    <w:rsid w:val="002C271F"/>
    <w:rsid w:val="002C2762"/>
    <w:rsid w:val="002C279D"/>
    <w:rsid w:val="002C279E"/>
    <w:rsid w:val="002C27A9"/>
    <w:rsid w:val="002C27ED"/>
    <w:rsid w:val="002C28B6"/>
    <w:rsid w:val="002C28F5"/>
    <w:rsid w:val="002C2932"/>
    <w:rsid w:val="002C2950"/>
    <w:rsid w:val="002C2990"/>
    <w:rsid w:val="002C29BE"/>
    <w:rsid w:val="002C2A2C"/>
    <w:rsid w:val="002C2A38"/>
    <w:rsid w:val="002C2A4D"/>
    <w:rsid w:val="002C2AC6"/>
    <w:rsid w:val="002C2AD6"/>
    <w:rsid w:val="002C2B3B"/>
    <w:rsid w:val="002C2B99"/>
    <w:rsid w:val="002C2BCC"/>
    <w:rsid w:val="002C2BDA"/>
    <w:rsid w:val="002C2BE3"/>
    <w:rsid w:val="002C2BFD"/>
    <w:rsid w:val="002C2C28"/>
    <w:rsid w:val="002C2C46"/>
    <w:rsid w:val="002C2CF5"/>
    <w:rsid w:val="002C2D1C"/>
    <w:rsid w:val="002C2D23"/>
    <w:rsid w:val="002C2D4D"/>
    <w:rsid w:val="002C2D59"/>
    <w:rsid w:val="002C2DB2"/>
    <w:rsid w:val="002C2DD5"/>
    <w:rsid w:val="002C2E0A"/>
    <w:rsid w:val="002C2E2C"/>
    <w:rsid w:val="002C2E37"/>
    <w:rsid w:val="002C2E76"/>
    <w:rsid w:val="002C2E9B"/>
    <w:rsid w:val="002C2ED2"/>
    <w:rsid w:val="002C2F1F"/>
    <w:rsid w:val="002C2F87"/>
    <w:rsid w:val="002C2F91"/>
    <w:rsid w:val="002C3007"/>
    <w:rsid w:val="002C300F"/>
    <w:rsid w:val="002C3033"/>
    <w:rsid w:val="002C3092"/>
    <w:rsid w:val="002C31A0"/>
    <w:rsid w:val="002C31FA"/>
    <w:rsid w:val="002C3206"/>
    <w:rsid w:val="002C3245"/>
    <w:rsid w:val="002C3257"/>
    <w:rsid w:val="002C32C6"/>
    <w:rsid w:val="002C32C7"/>
    <w:rsid w:val="002C32CF"/>
    <w:rsid w:val="002C32E7"/>
    <w:rsid w:val="002C32EF"/>
    <w:rsid w:val="002C330B"/>
    <w:rsid w:val="002C338D"/>
    <w:rsid w:val="002C338F"/>
    <w:rsid w:val="002C33B2"/>
    <w:rsid w:val="002C33C8"/>
    <w:rsid w:val="002C33CF"/>
    <w:rsid w:val="002C3482"/>
    <w:rsid w:val="002C348D"/>
    <w:rsid w:val="002C34D6"/>
    <w:rsid w:val="002C34D9"/>
    <w:rsid w:val="002C34FF"/>
    <w:rsid w:val="002C354B"/>
    <w:rsid w:val="002C3553"/>
    <w:rsid w:val="002C35D2"/>
    <w:rsid w:val="002C3636"/>
    <w:rsid w:val="002C3671"/>
    <w:rsid w:val="002C36E3"/>
    <w:rsid w:val="002C371E"/>
    <w:rsid w:val="002C3766"/>
    <w:rsid w:val="002C377E"/>
    <w:rsid w:val="002C37B0"/>
    <w:rsid w:val="002C37B8"/>
    <w:rsid w:val="002C37EE"/>
    <w:rsid w:val="002C3883"/>
    <w:rsid w:val="002C3899"/>
    <w:rsid w:val="002C38A4"/>
    <w:rsid w:val="002C38B6"/>
    <w:rsid w:val="002C38C7"/>
    <w:rsid w:val="002C38DF"/>
    <w:rsid w:val="002C390C"/>
    <w:rsid w:val="002C3937"/>
    <w:rsid w:val="002C399A"/>
    <w:rsid w:val="002C39F9"/>
    <w:rsid w:val="002C3A30"/>
    <w:rsid w:val="002C3A42"/>
    <w:rsid w:val="002C3A95"/>
    <w:rsid w:val="002C3AA8"/>
    <w:rsid w:val="002C3AD4"/>
    <w:rsid w:val="002C3AE8"/>
    <w:rsid w:val="002C3B2D"/>
    <w:rsid w:val="002C3B31"/>
    <w:rsid w:val="002C3B41"/>
    <w:rsid w:val="002C3B5E"/>
    <w:rsid w:val="002C3BA6"/>
    <w:rsid w:val="002C3BC3"/>
    <w:rsid w:val="002C3C62"/>
    <w:rsid w:val="002C3C67"/>
    <w:rsid w:val="002C3C7A"/>
    <w:rsid w:val="002C3CEF"/>
    <w:rsid w:val="002C3D09"/>
    <w:rsid w:val="002C3D27"/>
    <w:rsid w:val="002C3D43"/>
    <w:rsid w:val="002C3D5A"/>
    <w:rsid w:val="002C3D66"/>
    <w:rsid w:val="002C3DBA"/>
    <w:rsid w:val="002C3E6A"/>
    <w:rsid w:val="002C3F3C"/>
    <w:rsid w:val="002C3FDA"/>
    <w:rsid w:val="002C401A"/>
    <w:rsid w:val="002C404F"/>
    <w:rsid w:val="002C4088"/>
    <w:rsid w:val="002C40A5"/>
    <w:rsid w:val="002C40CA"/>
    <w:rsid w:val="002C40F8"/>
    <w:rsid w:val="002C415A"/>
    <w:rsid w:val="002C415E"/>
    <w:rsid w:val="002C41AA"/>
    <w:rsid w:val="002C41C0"/>
    <w:rsid w:val="002C41E7"/>
    <w:rsid w:val="002C4202"/>
    <w:rsid w:val="002C4222"/>
    <w:rsid w:val="002C42DF"/>
    <w:rsid w:val="002C42E5"/>
    <w:rsid w:val="002C42F3"/>
    <w:rsid w:val="002C431E"/>
    <w:rsid w:val="002C4340"/>
    <w:rsid w:val="002C435D"/>
    <w:rsid w:val="002C443C"/>
    <w:rsid w:val="002C4483"/>
    <w:rsid w:val="002C44E7"/>
    <w:rsid w:val="002C4527"/>
    <w:rsid w:val="002C452A"/>
    <w:rsid w:val="002C459B"/>
    <w:rsid w:val="002C45D9"/>
    <w:rsid w:val="002C45DE"/>
    <w:rsid w:val="002C4624"/>
    <w:rsid w:val="002C462B"/>
    <w:rsid w:val="002C4673"/>
    <w:rsid w:val="002C467B"/>
    <w:rsid w:val="002C4838"/>
    <w:rsid w:val="002C4863"/>
    <w:rsid w:val="002C48A8"/>
    <w:rsid w:val="002C48AE"/>
    <w:rsid w:val="002C48C4"/>
    <w:rsid w:val="002C48C8"/>
    <w:rsid w:val="002C48FA"/>
    <w:rsid w:val="002C494F"/>
    <w:rsid w:val="002C4A50"/>
    <w:rsid w:val="002C4A5A"/>
    <w:rsid w:val="002C4A61"/>
    <w:rsid w:val="002C4A83"/>
    <w:rsid w:val="002C4ABF"/>
    <w:rsid w:val="002C4AC9"/>
    <w:rsid w:val="002C4B07"/>
    <w:rsid w:val="002C4B0D"/>
    <w:rsid w:val="002C4B13"/>
    <w:rsid w:val="002C4B18"/>
    <w:rsid w:val="002C4B24"/>
    <w:rsid w:val="002C4B39"/>
    <w:rsid w:val="002C4BAF"/>
    <w:rsid w:val="002C4C1C"/>
    <w:rsid w:val="002C4C1D"/>
    <w:rsid w:val="002C4C30"/>
    <w:rsid w:val="002C4C45"/>
    <w:rsid w:val="002C4C81"/>
    <w:rsid w:val="002C4CA6"/>
    <w:rsid w:val="002C4CB3"/>
    <w:rsid w:val="002C4CB6"/>
    <w:rsid w:val="002C4D08"/>
    <w:rsid w:val="002C4D28"/>
    <w:rsid w:val="002C4D32"/>
    <w:rsid w:val="002C4D4F"/>
    <w:rsid w:val="002C4D7B"/>
    <w:rsid w:val="002C4DA0"/>
    <w:rsid w:val="002C4DCF"/>
    <w:rsid w:val="002C4E13"/>
    <w:rsid w:val="002C4E1F"/>
    <w:rsid w:val="002C4E48"/>
    <w:rsid w:val="002C4E7F"/>
    <w:rsid w:val="002C4EB9"/>
    <w:rsid w:val="002C4ED6"/>
    <w:rsid w:val="002C4F15"/>
    <w:rsid w:val="002C4F2D"/>
    <w:rsid w:val="002C4F4B"/>
    <w:rsid w:val="002C4F9B"/>
    <w:rsid w:val="002C4FD4"/>
    <w:rsid w:val="002C501C"/>
    <w:rsid w:val="002C5028"/>
    <w:rsid w:val="002C5036"/>
    <w:rsid w:val="002C5069"/>
    <w:rsid w:val="002C50BE"/>
    <w:rsid w:val="002C510F"/>
    <w:rsid w:val="002C5129"/>
    <w:rsid w:val="002C5138"/>
    <w:rsid w:val="002C51A1"/>
    <w:rsid w:val="002C51E7"/>
    <w:rsid w:val="002C51F0"/>
    <w:rsid w:val="002C5215"/>
    <w:rsid w:val="002C5255"/>
    <w:rsid w:val="002C528D"/>
    <w:rsid w:val="002C52F1"/>
    <w:rsid w:val="002C532F"/>
    <w:rsid w:val="002C534B"/>
    <w:rsid w:val="002C5365"/>
    <w:rsid w:val="002C5370"/>
    <w:rsid w:val="002C53D0"/>
    <w:rsid w:val="002C53E9"/>
    <w:rsid w:val="002C5455"/>
    <w:rsid w:val="002C546B"/>
    <w:rsid w:val="002C54B7"/>
    <w:rsid w:val="002C54D4"/>
    <w:rsid w:val="002C5521"/>
    <w:rsid w:val="002C5535"/>
    <w:rsid w:val="002C55A6"/>
    <w:rsid w:val="002C55AC"/>
    <w:rsid w:val="002C5629"/>
    <w:rsid w:val="002C562B"/>
    <w:rsid w:val="002C56C6"/>
    <w:rsid w:val="002C57BF"/>
    <w:rsid w:val="002C5810"/>
    <w:rsid w:val="002C5815"/>
    <w:rsid w:val="002C5841"/>
    <w:rsid w:val="002C5852"/>
    <w:rsid w:val="002C58BD"/>
    <w:rsid w:val="002C58D7"/>
    <w:rsid w:val="002C5921"/>
    <w:rsid w:val="002C5996"/>
    <w:rsid w:val="002C59FE"/>
    <w:rsid w:val="002C5A0B"/>
    <w:rsid w:val="002C5A1D"/>
    <w:rsid w:val="002C5A62"/>
    <w:rsid w:val="002C5A7B"/>
    <w:rsid w:val="002C5A97"/>
    <w:rsid w:val="002C5AF6"/>
    <w:rsid w:val="002C5B99"/>
    <w:rsid w:val="002C5C07"/>
    <w:rsid w:val="002C5CBF"/>
    <w:rsid w:val="002C5CDB"/>
    <w:rsid w:val="002C5CDE"/>
    <w:rsid w:val="002C5D30"/>
    <w:rsid w:val="002C5D38"/>
    <w:rsid w:val="002C5D60"/>
    <w:rsid w:val="002C5D7D"/>
    <w:rsid w:val="002C5DC5"/>
    <w:rsid w:val="002C5DE5"/>
    <w:rsid w:val="002C5DFC"/>
    <w:rsid w:val="002C5E41"/>
    <w:rsid w:val="002C5E70"/>
    <w:rsid w:val="002C5EED"/>
    <w:rsid w:val="002C5F5C"/>
    <w:rsid w:val="002C5F72"/>
    <w:rsid w:val="002C5F83"/>
    <w:rsid w:val="002C5FA7"/>
    <w:rsid w:val="002C6014"/>
    <w:rsid w:val="002C6115"/>
    <w:rsid w:val="002C6161"/>
    <w:rsid w:val="002C6178"/>
    <w:rsid w:val="002C61ED"/>
    <w:rsid w:val="002C6229"/>
    <w:rsid w:val="002C6282"/>
    <w:rsid w:val="002C62BF"/>
    <w:rsid w:val="002C6354"/>
    <w:rsid w:val="002C636F"/>
    <w:rsid w:val="002C63CE"/>
    <w:rsid w:val="002C63E3"/>
    <w:rsid w:val="002C6435"/>
    <w:rsid w:val="002C6445"/>
    <w:rsid w:val="002C6454"/>
    <w:rsid w:val="002C6487"/>
    <w:rsid w:val="002C6505"/>
    <w:rsid w:val="002C6515"/>
    <w:rsid w:val="002C6535"/>
    <w:rsid w:val="002C6546"/>
    <w:rsid w:val="002C657B"/>
    <w:rsid w:val="002C65A0"/>
    <w:rsid w:val="002C6619"/>
    <w:rsid w:val="002C661C"/>
    <w:rsid w:val="002C664E"/>
    <w:rsid w:val="002C667B"/>
    <w:rsid w:val="002C6693"/>
    <w:rsid w:val="002C66D1"/>
    <w:rsid w:val="002C66DF"/>
    <w:rsid w:val="002C6720"/>
    <w:rsid w:val="002C6735"/>
    <w:rsid w:val="002C67A7"/>
    <w:rsid w:val="002C67DB"/>
    <w:rsid w:val="002C680F"/>
    <w:rsid w:val="002C6813"/>
    <w:rsid w:val="002C6843"/>
    <w:rsid w:val="002C6846"/>
    <w:rsid w:val="002C6869"/>
    <w:rsid w:val="002C6895"/>
    <w:rsid w:val="002C6A9E"/>
    <w:rsid w:val="002C6AA5"/>
    <w:rsid w:val="002C6ABD"/>
    <w:rsid w:val="002C6B0A"/>
    <w:rsid w:val="002C6B22"/>
    <w:rsid w:val="002C6B40"/>
    <w:rsid w:val="002C6BB1"/>
    <w:rsid w:val="002C6BBB"/>
    <w:rsid w:val="002C6BF4"/>
    <w:rsid w:val="002C6C58"/>
    <w:rsid w:val="002C6C7B"/>
    <w:rsid w:val="002C6CF4"/>
    <w:rsid w:val="002C6D12"/>
    <w:rsid w:val="002C6DE6"/>
    <w:rsid w:val="002C6DFE"/>
    <w:rsid w:val="002C6E0C"/>
    <w:rsid w:val="002C6E23"/>
    <w:rsid w:val="002C6E3E"/>
    <w:rsid w:val="002C6E5B"/>
    <w:rsid w:val="002C6EC7"/>
    <w:rsid w:val="002C6EE5"/>
    <w:rsid w:val="002C6F27"/>
    <w:rsid w:val="002C6F54"/>
    <w:rsid w:val="002C6F94"/>
    <w:rsid w:val="002C6FD4"/>
    <w:rsid w:val="002C701F"/>
    <w:rsid w:val="002C702A"/>
    <w:rsid w:val="002C705B"/>
    <w:rsid w:val="002C7063"/>
    <w:rsid w:val="002C706B"/>
    <w:rsid w:val="002C719D"/>
    <w:rsid w:val="002C71B0"/>
    <w:rsid w:val="002C71C9"/>
    <w:rsid w:val="002C721E"/>
    <w:rsid w:val="002C725D"/>
    <w:rsid w:val="002C7261"/>
    <w:rsid w:val="002C7306"/>
    <w:rsid w:val="002C730B"/>
    <w:rsid w:val="002C7319"/>
    <w:rsid w:val="002C7418"/>
    <w:rsid w:val="002C747D"/>
    <w:rsid w:val="002C74F9"/>
    <w:rsid w:val="002C7509"/>
    <w:rsid w:val="002C7594"/>
    <w:rsid w:val="002C75F9"/>
    <w:rsid w:val="002C7697"/>
    <w:rsid w:val="002C76B1"/>
    <w:rsid w:val="002C76DA"/>
    <w:rsid w:val="002C76EB"/>
    <w:rsid w:val="002C7720"/>
    <w:rsid w:val="002C7760"/>
    <w:rsid w:val="002C7784"/>
    <w:rsid w:val="002C77C3"/>
    <w:rsid w:val="002C77D3"/>
    <w:rsid w:val="002C7805"/>
    <w:rsid w:val="002C7831"/>
    <w:rsid w:val="002C78B5"/>
    <w:rsid w:val="002C78E2"/>
    <w:rsid w:val="002C7920"/>
    <w:rsid w:val="002C7932"/>
    <w:rsid w:val="002C7943"/>
    <w:rsid w:val="002C795B"/>
    <w:rsid w:val="002C796D"/>
    <w:rsid w:val="002C79A5"/>
    <w:rsid w:val="002C79FE"/>
    <w:rsid w:val="002C7A28"/>
    <w:rsid w:val="002C7A4E"/>
    <w:rsid w:val="002C7A52"/>
    <w:rsid w:val="002C7AC1"/>
    <w:rsid w:val="002C7ACF"/>
    <w:rsid w:val="002C7B29"/>
    <w:rsid w:val="002C7B63"/>
    <w:rsid w:val="002C7BCD"/>
    <w:rsid w:val="002C7BDF"/>
    <w:rsid w:val="002C7BF2"/>
    <w:rsid w:val="002C7C20"/>
    <w:rsid w:val="002C7C70"/>
    <w:rsid w:val="002C7C9E"/>
    <w:rsid w:val="002C7CC0"/>
    <w:rsid w:val="002C7CC1"/>
    <w:rsid w:val="002C7CC5"/>
    <w:rsid w:val="002C7CCE"/>
    <w:rsid w:val="002C7CD3"/>
    <w:rsid w:val="002C7D33"/>
    <w:rsid w:val="002C7D35"/>
    <w:rsid w:val="002C7D51"/>
    <w:rsid w:val="002C7D72"/>
    <w:rsid w:val="002C7D88"/>
    <w:rsid w:val="002C7DD2"/>
    <w:rsid w:val="002C7DD7"/>
    <w:rsid w:val="002C7DF5"/>
    <w:rsid w:val="002C7E13"/>
    <w:rsid w:val="002C7EDC"/>
    <w:rsid w:val="002C7EE6"/>
    <w:rsid w:val="002C7F65"/>
    <w:rsid w:val="002C7F87"/>
    <w:rsid w:val="002C7FC5"/>
    <w:rsid w:val="002C7FD2"/>
    <w:rsid w:val="002CDAAE"/>
    <w:rsid w:val="002D0013"/>
    <w:rsid w:val="002D008C"/>
    <w:rsid w:val="002D012E"/>
    <w:rsid w:val="002D013D"/>
    <w:rsid w:val="002D019A"/>
    <w:rsid w:val="002D01A1"/>
    <w:rsid w:val="002D01DC"/>
    <w:rsid w:val="002D01DE"/>
    <w:rsid w:val="002D02A5"/>
    <w:rsid w:val="002D02CD"/>
    <w:rsid w:val="002D0321"/>
    <w:rsid w:val="002D0346"/>
    <w:rsid w:val="002D034F"/>
    <w:rsid w:val="002D03E4"/>
    <w:rsid w:val="002D0450"/>
    <w:rsid w:val="002D0459"/>
    <w:rsid w:val="002D04E2"/>
    <w:rsid w:val="002D050F"/>
    <w:rsid w:val="002D051C"/>
    <w:rsid w:val="002D057C"/>
    <w:rsid w:val="002D063E"/>
    <w:rsid w:val="002D063F"/>
    <w:rsid w:val="002D0654"/>
    <w:rsid w:val="002D0656"/>
    <w:rsid w:val="002D0665"/>
    <w:rsid w:val="002D06F9"/>
    <w:rsid w:val="002D071B"/>
    <w:rsid w:val="002D0751"/>
    <w:rsid w:val="002D0755"/>
    <w:rsid w:val="002D0758"/>
    <w:rsid w:val="002D075B"/>
    <w:rsid w:val="002D07CD"/>
    <w:rsid w:val="002D07CF"/>
    <w:rsid w:val="002D081D"/>
    <w:rsid w:val="002D082B"/>
    <w:rsid w:val="002D0835"/>
    <w:rsid w:val="002D086E"/>
    <w:rsid w:val="002D086F"/>
    <w:rsid w:val="002D0886"/>
    <w:rsid w:val="002D08BD"/>
    <w:rsid w:val="002D08DC"/>
    <w:rsid w:val="002D0909"/>
    <w:rsid w:val="002D0951"/>
    <w:rsid w:val="002D09C3"/>
    <w:rsid w:val="002D0A33"/>
    <w:rsid w:val="002D0AAA"/>
    <w:rsid w:val="002D0AAC"/>
    <w:rsid w:val="002D0AFD"/>
    <w:rsid w:val="002D0B55"/>
    <w:rsid w:val="002D0BAA"/>
    <w:rsid w:val="002D0BB9"/>
    <w:rsid w:val="002D0C29"/>
    <w:rsid w:val="002D0C60"/>
    <w:rsid w:val="002D0C98"/>
    <w:rsid w:val="002D0D0A"/>
    <w:rsid w:val="002D0D5E"/>
    <w:rsid w:val="002D0E21"/>
    <w:rsid w:val="002D0E2C"/>
    <w:rsid w:val="002D0E7C"/>
    <w:rsid w:val="002D0ECD"/>
    <w:rsid w:val="002D0F69"/>
    <w:rsid w:val="002D0FB0"/>
    <w:rsid w:val="002D0FFB"/>
    <w:rsid w:val="002D100D"/>
    <w:rsid w:val="002D103D"/>
    <w:rsid w:val="002D10F4"/>
    <w:rsid w:val="002D10FA"/>
    <w:rsid w:val="002D115A"/>
    <w:rsid w:val="002D11EE"/>
    <w:rsid w:val="002D120C"/>
    <w:rsid w:val="002D127E"/>
    <w:rsid w:val="002D12C0"/>
    <w:rsid w:val="002D131A"/>
    <w:rsid w:val="002D138A"/>
    <w:rsid w:val="002D138E"/>
    <w:rsid w:val="002D13B2"/>
    <w:rsid w:val="002D13F1"/>
    <w:rsid w:val="002D142A"/>
    <w:rsid w:val="002D1430"/>
    <w:rsid w:val="002D1459"/>
    <w:rsid w:val="002D1476"/>
    <w:rsid w:val="002D147F"/>
    <w:rsid w:val="002D14C1"/>
    <w:rsid w:val="002D1563"/>
    <w:rsid w:val="002D1583"/>
    <w:rsid w:val="002D15D1"/>
    <w:rsid w:val="002D160B"/>
    <w:rsid w:val="002D162A"/>
    <w:rsid w:val="002D164D"/>
    <w:rsid w:val="002D16A9"/>
    <w:rsid w:val="002D16B0"/>
    <w:rsid w:val="002D16C0"/>
    <w:rsid w:val="002D1724"/>
    <w:rsid w:val="002D1761"/>
    <w:rsid w:val="002D177A"/>
    <w:rsid w:val="002D17CC"/>
    <w:rsid w:val="002D17E6"/>
    <w:rsid w:val="002D1835"/>
    <w:rsid w:val="002D18EA"/>
    <w:rsid w:val="002D18FB"/>
    <w:rsid w:val="002D192D"/>
    <w:rsid w:val="002D1981"/>
    <w:rsid w:val="002D1999"/>
    <w:rsid w:val="002D1A46"/>
    <w:rsid w:val="002D1A52"/>
    <w:rsid w:val="002D1AC7"/>
    <w:rsid w:val="002D1AE5"/>
    <w:rsid w:val="002D1B27"/>
    <w:rsid w:val="002D1B33"/>
    <w:rsid w:val="002D1B3C"/>
    <w:rsid w:val="002D1B86"/>
    <w:rsid w:val="002D1BB2"/>
    <w:rsid w:val="002D1BBF"/>
    <w:rsid w:val="002D1C0A"/>
    <w:rsid w:val="002D1C4A"/>
    <w:rsid w:val="002D1C50"/>
    <w:rsid w:val="002D1C95"/>
    <w:rsid w:val="002D1D26"/>
    <w:rsid w:val="002D1D2E"/>
    <w:rsid w:val="002D1D76"/>
    <w:rsid w:val="002D1DF4"/>
    <w:rsid w:val="002D1E03"/>
    <w:rsid w:val="002D1E09"/>
    <w:rsid w:val="002D1E22"/>
    <w:rsid w:val="002D1E3F"/>
    <w:rsid w:val="002D1EC0"/>
    <w:rsid w:val="002D1ECC"/>
    <w:rsid w:val="002D1EE3"/>
    <w:rsid w:val="002D1F2C"/>
    <w:rsid w:val="002D1F3F"/>
    <w:rsid w:val="002D1F47"/>
    <w:rsid w:val="002D1F93"/>
    <w:rsid w:val="002D1FD2"/>
    <w:rsid w:val="002D1FD6"/>
    <w:rsid w:val="002D2066"/>
    <w:rsid w:val="002D20AA"/>
    <w:rsid w:val="002D20BC"/>
    <w:rsid w:val="002D20ED"/>
    <w:rsid w:val="002D20F0"/>
    <w:rsid w:val="002D20F5"/>
    <w:rsid w:val="002D211B"/>
    <w:rsid w:val="002D221E"/>
    <w:rsid w:val="002D222C"/>
    <w:rsid w:val="002D223F"/>
    <w:rsid w:val="002D2283"/>
    <w:rsid w:val="002D2295"/>
    <w:rsid w:val="002D22F1"/>
    <w:rsid w:val="002D232C"/>
    <w:rsid w:val="002D23F9"/>
    <w:rsid w:val="002D247D"/>
    <w:rsid w:val="002D249C"/>
    <w:rsid w:val="002D2509"/>
    <w:rsid w:val="002D257F"/>
    <w:rsid w:val="002D2591"/>
    <w:rsid w:val="002D2608"/>
    <w:rsid w:val="002D2661"/>
    <w:rsid w:val="002D267C"/>
    <w:rsid w:val="002D2696"/>
    <w:rsid w:val="002D26BC"/>
    <w:rsid w:val="002D2705"/>
    <w:rsid w:val="002D2858"/>
    <w:rsid w:val="002D2873"/>
    <w:rsid w:val="002D28BB"/>
    <w:rsid w:val="002D28DF"/>
    <w:rsid w:val="002D2938"/>
    <w:rsid w:val="002D298E"/>
    <w:rsid w:val="002D299B"/>
    <w:rsid w:val="002D29DD"/>
    <w:rsid w:val="002D2A0B"/>
    <w:rsid w:val="002D2A21"/>
    <w:rsid w:val="002D2A68"/>
    <w:rsid w:val="002D2A75"/>
    <w:rsid w:val="002D2AA3"/>
    <w:rsid w:val="002D2ABC"/>
    <w:rsid w:val="002D2AD2"/>
    <w:rsid w:val="002D2AE0"/>
    <w:rsid w:val="002D2AE8"/>
    <w:rsid w:val="002D2B07"/>
    <w:rsid w:val="002D2B78"/>
    <w:rsid w:val="002D2BF1"/>
    <w:rsid w:val="002D2C1F"/>
    <w:rsid w:val="002D2C5A"/>
    <w:rsid w:val="002D2D3A"/>
    <w:rsid w:val="002D2D3C"/>
    <w:rsid w:val="002D2DB3"/>
    <w:rsid w:val="002D2E84"/>
    <w:rsid w:val="002D2EBB"/>
    <w:rsid w:val="002D2F2B"/>
    <w:rsid w:val="002D2FEA"/>
    <w:rsid w:val="002D3051"/>
    <w:rsid w:val="002D306B"/>
    <w:rsid w:val="002D3104"/>
    <w:rsid w:val="002D312D"/>
    <w:rsid w:val="002D31BB"/>
    <w:rsid w:val="002D31D6"/>
    <w:rsid w:val="002D3275"/>
    <w:rsid w:val="002D32AA"/>
    <w:rsid w:val="002D330A"/>
    <w:rsid w:val="002D3338"/>
    <w:rsid w:val="002D3357"/>
    <w:rsid w:val="002D33C3"/>
    <w:rsid w:val="002D3417"/>
    <w:rsid w:val="002D3423"/>
    <w:rsid w:val="002D34A8"/>
    <w:rsid w:val="002D34FA"/>
    <w:rsid w:val="002D34FB"/>
    <w:rsid w:val="002D354F"/>
    <w:rsid w:val="002D3591"/>
    <w:rsid w:val="002D35AD"/>
    <w:rsid w:val="002D35B6"/>
    <w:rsid w:val="002D35D4"/>
    <w:rsid w:val="002D35E0"/>
    <w:rsid w:val="002D3611"/>
    <w:rsid w:val="002D3660"/>
    <w:rsid w:val="002D3682"/>
    <w:rsid w:val="002D36DE"/>
    <w:rsid w:val="002D36F0"/>
    <w:rsid w:val="002D3700"/>
    <w:rsid w:val="002D371B"/>
    <w:rsid w:val="002D379B"/>
    <w:rsid w:val="002D37B5"/>
    <w:rsid w:val="002D3821"/>
    <w:rsid w:val="002D386F"/>
    <w:rsid w:val="002D3878"/>
    <w:rsid w:val="002D388E"/>
    <w:rsid w:val="002D3892"/>
    <w:rsid w:val="002D38B9"/>
    <w:rsid w:val="002D3905"/>
    <w:rsid w:val="002D390B"/>
    <w:rsid w:val="002D392B"/>
    <w:rsid w:val="002D393E"/>
    <w:rsid w:val="002D396F"/>
    <w:rsid w:val="002D3991"/>
    <w:rsid w:val="002D3A0E"/>
    <w:rsid w:val="002D3A8D"/>
    <w:rsid w:val="002D3A98"/>
    <w:rsid w:val="002D3AD8"/>
    <w:rsid w:val="002D3AE7"/>
    <w:rsid w:val="002D3B48"/>
    <w:rsid w:val="002D3B4A"/>
    <w:rsid w:val="002D3BDC"/>
    <w:rsid w:val="002D3CC8"/>
    <w:rsid w:val="002D3CD5"/>
    <w:rsid w:val="002D3CE7"/>
    <w:rsid w:val="002D3D54"/>
    <w:rsid w:val="002D3D5C"/>
    <w:rsid w:val="002D3D63"/>
    <w:rsid w:val="002D3D92"/>
    <w:rsid w:val="002D3DB1"/>
    <w:rsid w:val="002D3DB3"/>
    <w:rsid w:val="002D3DB6"/>
    <w:rsid w:val="002D3DF8"/>
    <w:rsid w:val="002D3E98"/>
    <w:rsid w:val="002D3E9F"/>
    <w:rsid w:val="002D3F06"/>
    <w:rsid w:val="002D3F1C"/>
    <w:rsid w:val="002D3F63"/>
    <w:rsid w:val="002D3F93"/>
    <w:rsid w:val="002D3F9C"/>
    <w:rsid w:val="002D3FBF"/>
    <w:rsid w:val="002D3FC7"/>
    <w:rsid w:val="002D3FF5"/>
    <w:rsid w:val="002D4034"/>
    <w:rsid w:val="002D4035"/>
    <w:rsid w:val="002D4042"/>
    <w:rsid w:val="002D40A9"/>
    <w:rsid w:val="002D40E3"/>
    <w:rsid w:val="002D40F9"/>
    <w:rsid w:val="002D4163"/>
    <w:rsid w:val="002D4182"/>
    <w:rsid w:val="002D419A"/>
    <w:rsid w:val="002D41C8"/>
    <w:rsid w:val="002D41D4"/>
    <w:rsid w:val="002D41D8"/>
    <w:rsid w:val="002D41EE"/>
    <w:rsid w:val="002D4277"/>
    <w:rsid w:val="002D427B"/>
    <w:rsid w:val="002D433F"/>
    <w:rsid w:val="002D4349"/>
    <w:rsid w:val="002D4377"/>
    <w:rsid w:val="002D43FB"/>
    <w:rsid w:val="002D4420"/>
    <w:rsid w:val="002D445D"/>
    <w:rsid w:val="002D4475"/>
    <w:rsid w:val="002D44C4"/>
    <w:rsid w:val="002D44FC"/>
    <w:rsid w:val="002D4508"/>
    <w:rsid w:val="002D457E"/>
    <w:rsid w:val="002D4587"/>
    <w:rsid w:val="002D45E1"/>
    <w:rsid w:val="002D46AC"/>
    <w:rsid w:val="002D46C9"/>
    <w:rsid w:val="002D4707"/>
    <w:rsid w:val="002D4761"/>
    <w:rsid w:val="002D47F6"/>
    <w:rsid w:val="002D47FD"/>
    <w:rsid w:val="002D4866"/>
    <w:rsid w:val="002D48A8"/>
    <w:rsid w:val="002D4945"/>
    <w:rsid w:val="002D49B8"/>
    <w:rsid w:val="002D4A45"/>
    <w:rsid w:val="002D4A79"/>
    <w:rsid w:val="002D4A7C"/>
    <w:rsid w:val="002D4A95"/>
    <w:rsid w:val="002D4AA5"/>
    <w:rsid w:val="002D4AD0"/>
    <w:rsid w:val="002D4AF9"/>
    <w:rsid w:val="002D4BEE"/>
    <w:rsid w:val="002D4C01"/>
    <w:rsid w:val="002D4C30"/>
    <w:rsid w:val="002D4C4C"/>
    <w:rsid w:val="002D4CF3"/>
    <w:rsid w:val="002D4D65"/>
    <w:rsid w:val="002D4D93"/>
    <w:rsid w:val="002D4D95"/>
    <w:rsid w:val="002D4DC4"/>
    <w:rsid w:val="002D4E12"/>
    <w:rsid w:val="002D4E7C"/>
    <w:rsid w:val="002D4E8E"/>
    <w:rsid w:val="002D4EC0"/>
    <w:rsid w:val="002D4EF3"/>
    <w:rsid w:val="002D4F02"/>
    <w:rsid w:val="002D4F22"/>
    <w:rsid w:val="002D4F43"/>
    <w:rsid w:val="002D4F8B"/>
    <w:rsid w:val="002D4F9B"/>
    <w:rsid w:val="002D4F9F"/>
    <w:rsid w:val="002D4FF1"/>
    <w:rsid w:val="002D502D"/>
    <w:rsid w:val="002D5035"/>
    <w:rsid w:val="002D5045"/>
    <w:rsid w:val="002D504D"/>
    <w:rsid w:val="002D5074"/>
    <w:rsid w:val="002D50B7"/>
    <w:rsid w:val="002D50B9"/>
    <w:rsid w:val="002D511E"/>
    <w:rsid w:val="002D5147"/>
    <w:rsid w:val="002D5175"/>
    <w:rsid w:val="002D5227"/>
    <w:rsid w:val="002D5230"/>
    <w:rsid w:val="002D527D"/>
    <w:rsid w:val="002D528F"/>
    <w:rsid w:val="002D52C8"/>
    <w:rsid w:val="002D5320"/>
    <w:rsid w:val="002D5364"/>
    <w:rsid w:val="002D53AD"/>
    <w:rsid w:val="002D5484"/>
    <w:rsid w:val="002D54B7"/>
    <w:rsid w:val="002D5507"/>
    <w:rsid w:val="002D553F"/>
    <w:rsid w:val="002D55FA"/>
    <w:rsid w:val="002D5601"/>
    <w:rsid w:val="002D563C"/>
    <w:rsid w:val="002D5642"/>
    <w:rsid w:val="002D5650"/>
    <w:rsid w:val="002D5676"/>
    <w:rsid w:val="002D5679"/>
    <w:rsid w:val="002D56A2"/>
    <w:rsid w:val="002D5700"/>
    <w:rsid w:val="002D5798"/>
    <w:rsid w:val="002D5824"/>
    <w:rsid w:val="002D582C"/>
    <w:rsid w:val="002D58E3"/>
    <w:rsid w:val="002D5956"/>
    <w:rsid w:val="002D5976"/>
    <w:rsid w:val="002D59AD"/>
    <w:rsid w:val="002D59CD"/>
    <w:rsid w:val="002D5A44"/>
    <w:rsid w:val="002D5A49"/>
    <w:rsid w:val="002D5AAA"/>
    <w:rsid w:val="002D5ADB"/>
    <w:rsid w:val="002D5AE8"/>
    <w:rsid w:val="002D5B1A"/>
    <w:rsid w:val="002D5B72"/>
    <w:rsid w:val="002D5B78"/>
    <w:rsid w:val="002D5B90"/>
    <w:rsid w:val="002D5BCF"/>
    <w:rsid w:val="002D5BFD"/>
    <w:rsid w:val="002D5C1E"/>
    <w:rsid w:val="002D5C24"/>
    <w:rsid w:val="002D5C3F"/>
    <w:rsid w:val="002D5C58"/>
    <w:rsid w:val="002D5C6B"/>
    <w:rsid w:val="002D5CAB"/>
    <w:rsid w:val="002D5CDB"/>
    <w:rsid w:val="002D5D7E"/>
    <w:rsid w:val="002D5DCA"/>
    <w:rsid w:val="002D5DCF"/>
    <w:rsid w:val="002D5DEB"/>
    <w:rsid w:val="002D5E3E"/>
    <w:rsid w:val="002D5E4C"/>
    <w:rsid w:val="002D5E9F"/>
    <w:rsid w:val="002D5EA3"/>
    <w:rsid w:val="002D5EAA"/>
    <w:rsid w:val="002D5EB7"/>
    <w:rsid w:val="002D5ECC"/>
    <w:rsid w:val="002D5F36"/>
    <w:rsid w:val="002D5FD2"/>
    <w:rsid w:val="002D5FDB"/>
    <w:rsid w:val="002D600D"/>
    <w:rsid w:val="002D60AA"/>
    <w:rsid w:val="002D60DB"/>
    <w:rsid w:val="002D60DC"/>
    <w:rsid w:val="002D6163"/>
    <w:rsid w:val="002D617F"/>
    <w:rsid w:val="002D61DB"/>
    <w:rsid w:val="002D61FE"/>
    <w:rsid w:val="002D6217"/>
    <w:rsid w:val="002D626A"/>
    <w:rsid w:val="002D627E"/>
    <w:rsid w:val="002D62C9"/>
    <w:rsid w:val="002D6353"/>
    <w:rsid w:val="002D6372"/>
    <w:rsid w:val="002D6428"/>
    <w:rsid w:val="002D64C4"/>
    <w:rsid w:val="002D6516"/>
    <w:rsid w:val="002D6548"/>
    <w:rsid w:val="002D654C"/>
    <w:rsid w:val="002D65A7"/>
    <w:rsid w:val="002D65AA"/>
    <w:rsid w:val="002D65AC"/>
    <w:rsid w:val="002D6672"/>
    <w:rsid w:val="002D668E"/>
    <w:rsid w:val="002D66DC"/>
    <w:rsid w:val="002D66DD"/>
    <w:rsid w:val="002D677C"/>
    <w:rsid w:val="002D6787"/>
    <w:rsid w:val="002D689E"/>
    <w:rsid w:val="002D68D1"/>
    <w:rsid w:val="002D68D5"/>
    <w:rsid w:val="002D69DA"/>
    <w:rsid w:val="002D6A15"/>
    <w:rsid w:val="002D6A38"/>
    <w:rsid w:val="002D6A47"/>
    <w:rsid w:val="002D6ADE"/>
    <w:rsid w:val="002D6B24"/>
    <w:rsid w:val="002D6B41"/>
    <w:rsid w:val="002D6BB3"/>
    <w:rsid w:val="002D6BD0"/>
    <w:rsid w:val="002D6C25"/>
    <w:rsid w:val="002D6DAD"/>
    <w:rsid w:val="002D6DB9"/>
    <w:rsid w:val="002D6E1C"/>
    <w:rsid w:val="002D6E45"/>
    <w:rsid w:val="002D6E76"/>
    <w:rsid w:val="002D6EAB"/>
    <w:rsid w:val="002D6EE4"/>
    <w:rsid w:val="002D6EE7"/>
    <w:rsid w:val="002D6EF1"/>
    <w:rsid w:val="002D6F07"/>
    <w:rsid w:val="002D6FD0"/>
    <w:rsid w:val="002D7040"/>
    <w:rsid w:val="002D7043"/>
    <w:rsid w:val="002D7053"/>
    <w:rsid w:val="002D70A4"/>
    <w:rsid w:val="002D710A"/>
    <w:rsid w:val="002D71B0"/>
    <w:rsid w:val="002D71D3"/>
    <w:rsid w:val="002D71D9"/>
    <w:rsid w:val="002D7234"/>
    <w:rsid w:val="002D7273"/>
    <w:rsid w:val="002D72B4"/>
    <w:rsid w:val="002D72D9"/>
    <w:rsid w:val="002D72EC"/>
    <w:rsid w:val="002D72F2"/>
    <w:rsid w:val="002D736D"/>
    <w:rsid w:val="002D73D7"/>
    <w:rsid w:val="002D7472"/>
    <w:rsid w:val="002D74B5"/>
    <w:rsid w:val="002D74B7"/>
    <w:rsid w:val="002D74F0"/>
    <w:rsid w:val="002D7551"/>
    <w:rsid w:val="002D7592"/>
    <w:rsid w:val="002D759C"/>
    <w:rsid w:val="002D75C4"/>
    <w:rsid w:val="002D75D4"/>
    <w:rsid w:val="002D7604"/>
    <w:rsid w:val="002D760E"/>
    <w:rsid w:val="002D7647"/>
    <w:rsid w:val="002D76E7"/>
    <w:rsid w:val="002D772F"/>
    <w:rsid w:val="002D7739"/>
    <w:rsid w:val="002D780E"/>
    <w:rsid w:val="002D787F"/>
    <w:rsid w:val="002D7885"/>
    <w:rsid w:val="002D78AA"/>
    <w:rsid w:val="002D78B2"/>
    <w:rsid w:val="002D78B7"/>
    <w:rsid w:val="002D790D"/>
    <w:rsid w:val="002D7974"/>
    <w:rsid w:val="002D7A16"/>
    <w:rsid w:val="002D7A1F"/>
    <w:rsid w:val="002D7C14"/>
    <w:rsid w:val="002D7C1B"/>
    <w:rsid w:val="002D7C4C"/>
    <w:rsid w:val="002D7C78"/>
    <w:rsid w:val="002D7CA2"/>
    <w:rsid w:val="002D7CA9"/>
    <w:rsid w:val="002D7CEE"/>
    <w:rsid w:val="002D7DA5"/>
    <w:rsid w:val="002D7DCD"/>
    <w:rsid w:val="002D7DE1"/>
    <w:rsid w:val="002D7DF2"/>
    <w:rsid w:val="002D7E06"/>
    <w:rsid w:val="002D7E17"/>
    <w:rsid w:val="002D7E66"/>
    <w:rsid w:val="002D7E69"/>
    <w:rsid w:val="002D7E74"/>
    <w:rsid w:val="002D7F86"/>
    <w:rsid w:val="002D7FDD"/>
    <w:rsid w:val="002E001D"/>
    <w:rsid w:val="002E0054"/>
    <w:rsid w:val="002E00A7"/>
    <w:rsid w:val="002E0127"/>
    <w:rsid w:val="002E013E"/>
    <w:rsid w:val="002E0163"/>
    <w:rsid w:val="002E01C6"/>
    <w:rsid w:val="002E022D"/>
    <w:rsid w:val="002E025A"/>
    <w:rsid w:val="002E025E"/>
    <w:rsid w:val="002E028E"/>
    <w:rsid w:val="002E02AF"/>
    <w:rsid w:val="002E0314"/>
    <w:rsid w:val="002E03A3"/>
    <w:rsid w:val="002E03B1"/>
    <w:rsid w:val="002E03B2"/>
    <w:rsid w:val="002E03C6"/>
    <w:rsid w:val="002E03FA"/>
    <w:rsid w:val="002E0404"/>
    <w:rsid w:val="002E04A5"/>
    <w:rsid w:val="002E04E3"/>
    <w:rsid w:val="002E0507"/>
    <w:rsid w:val="002E0579"/>
    <w:rsid w:val="002E0597"/>
    <w:rsid w:val="002E05A4"/>
    <w:rsid w:val="002E0619"/>
    <w:rsid w:val="002E062B"/>
    <w:rsid w:val="002E06A5"/>
    <w:rsid w:val="002E0704"/>
    <w:rsid w:val="002E0717"/>
    <w:rsid w:val="002E072A"/>
    <w:rsid w:val="002E0763"/>
    <w:rsid w:val="002E07B6"/>
    <w:rsid w:val="002E07D5"/>
    <w:rsid w:val="002E08A5"/>
    <w:rsid w:val="002E0930"/>
    <w:rsid w:val="002E0956"/>
    <w:rsid w:val="002E096E"/>
    <w:rsid w:val="002E0982"/>
    <w:rsid w:val="002E09B8"/>
    <w:rsid w:val="002E0A00"/>
    <w:rsid w:val="002E0A48"/>
    <w:rsid w:val="002E0A51"/>
    <w:rsid w:val="002E0A61"/>
    <w:rsid w:val="002E0A8B"/>
    <w:rsid w:val="002E0AF5"/>
    <w:rsid w:val="002E0BD1"/>
    <w:rsid w:val="002E0C1B"/>
    <w:rsid w:val="002E0C30"/>
    <w:rsid w:val="002E0C37"/>
    <w:rsid w:val="002E0C56"/>
    <w:rsid w:val="002E0C9F"/>
    <w:rsid w:val="002E0D89"/>
    <w:rsid w:val="002E0DA2"/>
    <w:rsid w:val="002E0DA3"/>
    <w:rsid w:val="002E0E08"/>
    <w:rsid w:val="002E0E15"/>
    <w:rsid w:val="002E0E6D"/>
    <w:rsid w:val="002E0E9D"/>
    <w:rsid w:val="002E0EAD"/>
    <w:rsid w:val="002E0F45"/>
    <w:rsid w:val="002E0F4D"/>
    <w:rsid w:val="002E0F57"/>
    <w:rsid w:val="002E0F5A"/>
    <w:rsid w:val="002E0FC3"/>
    <w:rsid w:val="002E0FE2"/>
    <w:rsid w:val="002E100A"/>
    <w:rsid w:val="002E1046"/>
    <w:rsid w:val="002E1079"/>
    <w:rsid w:val="002E1092"/>
    <w:rsid w:val="002E10A1"/>
    <w:rsid w:val="002E10D4"/>
    <w:rsid w:val="002E10E3"/>
    <w:rsid w:val="002E10F5"/>
    <w:rsid w:val="002E115C"/>
    <w:rsid w:val="002E1171"/>
    <w:rsid w:val="002E11EF"/>
    <w:rsid w:val="002E11F0"/>
    <w:rsid w:val="002E1274"/>
    <w:rsid w:val="002E1284"/>
    <w:rsid w:val="002E1286"/>
    <w:rsid w:val="002E1292"/>
    <w:rsid w:val="002E132D"/>
    <w:rsid w:val="002E1374"/>
    <w:rsid w:val="002E13A6"/>
    <w:rsid w:val="002E13AB"/>
    <w:rsid w:val="002E13BE"/>
    <w:rsid w:val="002E13C2"/>
    <w:rsid w:val="002E1406"/>
    <w:rsid w:val="002E1410"/>
    <w:rsid w:val="002E141A"/>
    <w:rsid w:val="002E146D"/>
    <w:rsid w:val="002E1587"/>
    <w:rsid w:val="002E15A2"/>
    <w:rsid w:val="002E15CF"/>
    <w:rsid w:val="002E16C1"/>
    <w:rsid w:val="002E172F"/>
    <w:rsid w:val="002E174E"/>
    <w:rsid w:val="002E175A"/>
    <w:rsid w:val="002E179C"/>
    <w:rsid w:val="002E180B"/>
    <w:rsid w:val="002E1810"/>
    <w:rsid w:val="002E1856"/>
    <w:rsid w:val="002E1903"/>
    <w:rsid w:val="002E19AC"/>
    <w:rsid w:val="002E19DF"/>
    <w:rsid w:val="002E1A03"/>
    <w:rsid w:val="002E1A4A"/>
    <w:rsid w:val="002E1A66"/>
    <w:rsid w:val="002E1A6D"/>
    <w:rsid w:val="002E1AA9"/>
    <w:rsid w:val="002E1AB0"/>
    <w:rsid w:val="002E1AD8"/>
    <w:rsid w:val="002E1AFF"/>
    <w:rsid w:val="002E1B12"/>
    <w:rsid w:val="002E1B2C"/>
    <w:rsid w:val="002E1B7C"/>
    <w:rsid w:val="002E1BF0"/>
    <w:rsid w:val="002E1C50"/>
    <w:rsid w:val="002E1D1A"/>
    <w:rsid w:val="002E1D38"/>
    <w:rsid w:val="002E1D47"/>
    <w:rsid w:val="002E1D4D"/>
    <w:rsid w:val="002E1D6C"/>
    <w:rsid w:val="002E1DB7"/>
    <w:rsid w:val="002E1E27"/>
    <w:rsid w:val="002E1EE8"/>
    <w:rsid w:val="002E1EEB"/>
    <w:rsid w:val="002E1F05"/>
    <w:rsid w:val="002E1F54"/>
    <w:rsid w:val="002E1FB3"/>
    <w:rsid w:val="002E1FBC"/>
    <w:rsid w:val="002E1FD7"/>
    <w:rsid w:val="002E2020"/>
    <w:rsid w:val="002E202D"/>
    <w:rsid w:val="002E210D"/>
    <w:rsid w:val="002E2113"/>
    <w:rsid w:val="002E211E"/>
    <w:rsid w:val="002E2139"/>
    <w:rsid w:val="002E2162"/>
    <w:rsid w:val="002E2167"/>
    <w:rsid w:val="002E2173"/>
    <w:rsid w:val="002E2178"/>
    <w:rsid w:val="002E2180"/>
    <w:rsid w:val="002E21C6"/>
    <w:rsid w:val="002E21CB"/>
    <w:rsid w:val="002E21DA"/>
    <w:rsid w:val="002E220A"/>
    <w:rsid w:val="002E220F"/>
    <w:rsid w:val="002E22F6"/>
    <w:rsid w:val="002E2352"/>
    <w:rsid w:val="002E2377"/>
    <w:rsid w:val="002E238F"/>
    <w:rsid w:val="002E23A3"/>
    <w:rsid w:val="002E23A8"/>
    <w:rsid w:val="002E23D6"/>
    <w:rsid w:val="002E23EC"/>
    <w:rsid w:val="002E245D"/>
    <w:rsid w:val="002E2520"/>
    <w:rsid w:val="002E2529"/>
    <w:rsid w:val="002E258F"/>
    <w:rsid w:val="002E25AF"/>
    <w:rsid w:val="002E25B1"/>
    <w:rsid w:val="002E25B5"/>
    <w:rsid w:val="002E25E2"/>
    <w:rsid w:val="002E2633"/>
    <w:rsid w:val="002E263A"/>
    <w:rsid w:val="002E264C"/>
    <w:rsid w:val="002E268A"/>
    <w:rsid w:val="002E26DA"/>
    <w:rsid w:val="002E2707"/>
    <w:rsid w:val="002E2718"/>
    <w:rsid w:val="002E274C"/>
    <w:rsid w:val="002E2899"/>
    <w:rsid w:val="002E28BE"/>
    <w:rsid w:val="002E2984"/>
    <w:rsid w:val="002E29AB"/>
    <w:rsid w:val="002E29E0"/>
    <w:rsid w:val="002E2A95"/>
    <w:rsid w:val="002E2ABB"/>
    <w:rsid w:val="002E2B44"/>
    <w:rsid w:val="002E2B5D"/>
    <w:rsid w:val="002E2B5F"/>
    <w:rsid w:val="002E2BC2"/>
    <w:rsid w:val="002E2BFB"/>
    <w:rsid w:val="002E2BFC"/>
    <w:rsid w:val="002E2C0C"/>
    <w:rsid w:val="002E2C54"/>
    <w:rsid w:val="002E2D2C"/>
    <w:rsid w:val="002E2D42"/>
    <w:rsid w:val="002E2D5D"/>
    <w:rsid w:val="002E2D66"/>
    <w:rsid w:val="002E2D92"/>
    <w:rsid w:val="002E2DDB"/>
    <w:rsid w:val="002E2E0B"/>
    <w:rsid w:val="002E2E25"/>
    <w:rsid w:val="002E2E6E"/>
    <w:rsid w:val="002E2EC6"/>
    <w:rsid w:val="002E2F4A"/>
    <w:rsid w:val="002E2F5B"/>
    <w:rsid w:val="002E2FAA"/>
    <w:rsid w:val="002E30A8"/>
    <w:rsid w:val="002E30FC"/>
    <w:rsid w:val="002E31C0"/>
    <w:rsid w:val="002E31D9"/>
    <w:rsid w:val="002E31E4"/>
    <w:rsid w:val="002E31EB"/>
    <w:rsid w:val="002E3226"/>
    <w:rsid w:val="002E323C"/>
    <w:rsid w:val="002E3262"/>
    <w:rsid w:val="002E32B7"/>
    <w:rsid w:val="002E32C3"/>
    <w:rsid w:val="002E330D"/>
    <w:rsid w:val="002E3335"/>
    <w:rsid w:val="002E3364"/>
    <w:rsid w:val="002E3374"/>
    <w:rsid w:val="002E3375"/>
    <w:rsid w:val="002E33A6"/>
    <w:rsid w:val="002E33A7"/>
    <w:rsid w:val="002E33D5"/>
    <w:rsid w:val="002E33F5"/>
    <w:rsid w:val="002E341E"/>
    <w:rsid w:val="002E3480"/>
    <w:rsid w:val="002E34FC"/>
    <w:rsid w:val="002E3504"/>
    <w:rsid w:val="002E352F"/>
    <w:rsid w:val="002E3575"/>
    <w:rsid w:val="002E358A"/>
    <w:rsid w:val="002E36FD"/>
    <w:rsid w:val="002E3704"/>
    <w:rsid w:val="002E3765"/>
    <w:rsid w:val="002E37D4"/>
    <w:rsid w:val="002E37E2"/>
    <w:rsid w:val="002E37F9"/>
    <w:rsid w:val="002E3801"/>
    <w:rsid w:val="002E3843"/>
    <w:rsid w:val="002E3869"/>
    <w:rsid w:val="002E38A3"/>
    <w:rsid w:val="002E38B6"/>
    <w:rsid w:val="002E38CA"/>
    <w:rsid w:val="002E390A"/>
    <w:rsid w:val="002E390B"/>
    <w:rsid w:val="002E395A"/>
    <w:rsid w:val="002E396A"/>
    <w:rsid w:val="002E39E0"/>
    <w:rsid w:val="002E3AB4"/>
    <w:rsid w:val="002E3B4B"/>
    <w:rsid w:val="002E3B69"/>
    <w:rsid w:val="002E3B8F"/>
    <w:rsid w:val="002E3BA2"/>
    <w:rsid w:val="002E3BB1"/>
    <w:rsid w:val="002E3BB8"/>
    <w:rsid w:val="002E3C13"/>
    <w:rsid w:val="002E3C16"/>
    <w:rsid w:val="002E3C4E"/>
    <w:rsid w:val="002E3C6A"/>
    <w:rsid w:val="002E3C8F"/>
    <w:rsid w:val="002E3D68"/>
    <w:rsid w:val="002E3D6E"/>
    <w:rsid w:val="002E3E51"/>
    <w:rsid w:val="002E3E6A"/>
    <w:rsid w:val="002E3E75"/>
    <w:rsid w:val="002E3E95"/>
    <w:rsid w:val="002E3EA4"/>
    <w:rsid w:val="002E3EAC"/>
    <w:rsid w:val="002E3EBF"/>
    <w:rsid w:val="002E3ECD"/>
    <w:rsid w:val="002E3F12"/>
    <w:rsid w:val="002E3F63"/>
    <w:rsid w:val="002E3F82"/>
    <w:rsid w:val="002E401F"/>
    <w:rsid w:val="002E406F"/>
    <w:rsid w:val="002E4080"/>
    <w:rsid w:val="002E40C7"/>
    <w:rsid w:val="002E40CA"/>
    <w:rsid w:val="002E4103"/>
    <w:rsid w:val="002E4151"/>
    <w:rsid w:val="002E4153"/>
    <w:rsid w:val="002E4163"/>
    <w:rsid w:val="002E41D5"/>
    <w:rsid w:val="002E4233"/>
    <w:rsid w:val="002E4267"/>
    <w:rsid w:val="002E4277"/>
    <w:rsid w:val="002E4288"/>
    <w:rsid w:val="002E43E4"/>
    <w:rsid w:val="002E4411"/>
    <w:rsid w:val="002E443E"/>
    <w:rsid w:val="002E4470"/>
    <w:rsid w:val="002E4514"/>
    <w:rsid w:val="002E4526"/>
    <w:rsid w:val="002E455F"/>
    <w:rsid w:val="002E457D"/>
    <w:rsid w:val="002E45B3"/>
    <w:rsid w:val="002E45BD"/>
    <w:rsid w:val="002E45E1"/>
    <w:rsid w:val="002E45E5"/>
    <w:rsid w:val="002E4625"/>
    <w:rsid w:val="002E467A"/>
    <w:rsid w:val="002E4732"/>
    <w:rsid w:val="002E477E"/>
    <w:rsid w:val="002E47D4"/>
    <w:rsid w:val="002E47FB"/>
    <w:rsid w:val="002E4836"/>
    <w:rsid w:val="002E483C"/>
    <w:rsid w:val="002E484D"/>
    <w:rsid w:val="002E4863"/>
    <w:rsid w:val="002E4873"/>
    <w:rsid w:val="002E48B7"/>
    <w:rsid w:val="002E48D5"/>
    <w:rsid w:val="002E48FC"/>
    <w:rsid w:val="002E4934"/>
    <w:rsid w:val="002E497F"/>
    <w:rsid w:val="002E4982"/>
    <w:rsid w:val="002E49A6"/>
    <w:rsid w:val="002E49B3"/>
    <w:rsid w:val="002E4A28"/>
    <w:rsid w:val="002E4A4C"/>
    <w:rsid w:val="002E4A51"/>
    <w:rsid w:val="002E4AA2"/>
    <w:rsid w:val="002E4AF6"/>
    <w:rsid w:val="002E4B4A"/>
    <w:rsid w:val="002E4B85"/>
    <w:rsid w:val="002E4B93"/>
    <w:rsid w:val="002E4BBE"/>
    <w:rsid w:val="002E4BD7"/>
    <w:rsid w:val="002E4C8C"/>
    <w:rsid w:val="002E4C8D"/>
    <w:rsid w:val="002E4CAF"/>
    <w:rsid w:val="002E4CD4"/>
    <w:rsid w:val="002E4D01"/>
    <w:rsid w:val="002E4D1E"/>
    <w:rsid w:val="002E4DD7"/>
    <w:rsid w:val="002E4E13"/>
    <w:rsid w:val="002E4E37"/>
    <w:rsid w:val="002E4EEB"/>
    <w:rsid w:val="002E4F03"/>
    <w:rsid w:val="002E4F1F"/>
    <w:rsid w:val="002E4F4B"/>
    <w:rsid w:val="002E4F9C"/>
    <w:rsid w:val="002E4FBF"/>
    <w:rsid w:val="002E4FF9"/>
    <w:rsid w:val="002E500F"/>
    <w:rsid w:val="002E5037"/>
    <w:rsid w:val="002E50BA"/>
    <w:rsid w:val="002E50D7"/>
    <w:rsid w:val="002E5153"/>
    <w:rsid w:val="002E519D"/>
    <w:rsid w:val="002E5239"/>
    <w:rsid w:val="002E5255"/>
    <w:rsid w:val="002E52AE"/>
    <w:rsid w:val="002E52BE"/>
    <w:rsid w:val="002E533F"/>
    <w:rsid w:val="002E5349"/>
    <w:rsid w:val="002E5358"/>
    <w:rsid w:val="002E539E"/>
    <w:rsid w:val="002E53EF"/>
    <w:rsid w:val="002E53F9"/>
    <w:rsid w:val="002E540B"/>
    <w:rsid w:val="002E544F"/>
    <w:rsid w:val="002E5481"/>
    <w:rsid w:val="002E54B7"/>
    <w:rsid w:val="002E54D2"/>
    <w:rsid w:val="002E555B"/>
    <w:rsid w:val="002E5576"/>
    <w:rsid w:val="002E5578"/>
    <w:rsid w:val="002E558D"/>
    <w:rsid w:val="002E55C5"/>
    <w:rsid w:val="002E560D"/>
    <w:rsid w:val="002E560F"/>
    <w:rsid w:val="002E5637"/>
    <w:rsid w:val="002E564E"/>
    <w:rsid w:val="002E5685"/>
    <w:rsid w:val="002E56D9"/>
    <w:rsid w:val="002E56F9"/>
    <w:rsid w:val="002E56FA"/>
    <w:rsid w:val="002E56FC"/>
    <w:rsid w:val="002E572E"/>
    <w:rsid w:val="002E57C0"/>
    <w:rsid w:val="002E57DA"/>
    <w:rsid w:val="002E57EB"/>
    <w:rsid w:val="002E583C"/>
    <w:rsid w:val="002E583D"/>
    <w:rsid w:val="002E588C"/>
    <w:rsid w:val="002E58C1"/>
    <w:rsid w:val="002E58FB"/>
    <w:rsid w:val="002E58FC"/>
    <w:rsid w:val="002E5944"/>
    <w:rsid w:val="002E5956"/>
    <w:rsid w:val="002E597C"/>
    <w:rsid w:val="002E598C"/>
    <w:rsid w:val="002E59A8"/>
    <w:rsid w:val="002E5A3C"/>
    <w:rsid w:val="002E5A61"/>
    <w:rsid w:val="002E5AFB"/>
    <w:rsid w:val="002E5AFC"/>
    <w:rsid w:val="002E5B0E"/>
    <w:rsid w:val="002E5BB5"/>
    <w:rsid w:val="002E5BB7"/>
    <w:rsid w:val="002E5BD0"/>
    <w:rsid w:val="002E5C0A"/>
    <w:rsid w:val="002E5CDB"/>
    <w:rsid w:val="002E5CFA"/>
    <w:rsid w:val="002E5D12"/>
    <w:rsid w:val="002E5D39"/>
    <w:rsid w:val="002E5D84"/>
    <w:rsid w:val="002E5D9C"/>
    <w:rsid w:val="002E5F6B"/>
    <w:rsid w:val="002E5FB8"/>
    <w:rsid w:val="002E5FBE"/>
    <w:rsid w:val="002E5FCC"/>
    <w:rsid w:val="002E5FDF"/>
    <w:rsid w:val="002E6027"/>
    <w:rsid w:val="002E6050"/>
    <w:rsid w:val="002E608F"/>
    <w:rsid w:val="002E60EB"/>
    <w:rsid w:val="002E6144"/>
    <w:rsid w:val="002E6199"/>
    <w:rsid w:val="002E61E2"/>
    <w:rsid w:val="002E61F8"/>
    <w:rsid w:val="002E6243"/>
    <w:rsid w:val="002E627F"/>
    <w:rsid w:val="002E6299"/>
    <w:rsid w:val="002E6361"/>
    <w:rsid w:val="002E6399"/>
    <w:rsid w:val="002E639D"/>
    <w:rsid w:val="002E63C8"/>
    <w:rsid w:val="002E6454"/>
    <w:rsid w:val="002E6466"/>
    <w:rsid w:val="002E64DC"/>
    <w:rsid w:val="002E65CE"/>
    <w:rsid w:val="002E65EC"/>
    <w:rsid w:val="002E6603"/>
    <w:rsid w:val="002E660D"/>
    <w:rsid w:val="002E660E"/>
    <w:rsid w:val="002E667C"/>
    <w:rsid w:val="002E668A"/>
    <w:rsid w:val="002E66F2"/>
    <w:rsid w:val="002E6712"/>
    <w:rsid w:val="002E6789"/>
    <w:rsid w:val="002E67B8"/>
    <w:rsid w:val="002E67EA"/>
    <w:rsid w:val="002E6872"/>
    <w:rsid w:val="002E6892"/>
    <w:rsid w:val="002E6920"/>
    <w:rsid w:val="002E692E"/>
    <w:rsid w:val="002E69C0"/>
    <w:rsid w:val="002E69D9"/>
    <w:rsid w:val="002E69F5"/>
    <w:rsid w:val="002E69F6"/>
    <w:rsid w:val="002E6AED"/>
    <w:rsid w:val="002E6B2C"/>
    <w:rsid w:val="002E6B5E"/>
    <w:rsid w:val="002E6B66"/>
    <w:rsid w:val="002E6B71"/>
    <w:rsid w:val="002E6BB7"/>
    <w:rsid w:val="002E6BF5"/>
    <w:rsid w:val="002E6C44"/>
    <w:rsid w:val="002E6C7A"/>
    <w:rsid w:val="002E6D0B"/>
    <w:rsid w:val="002E6D3D"/>
    <w:rsid w:val="002E6D5A"/>
    <w:rsid w:val="002E6D5C"/>
    <w:rsid w:val="002E6D8B"/>
    <w:rsid w:val="002E6DEA"/>
    <w:rsid w:val="002E6E03"/>
    <w:rsid w:val="002E6E08"/>
    <w:rsid w:val="002E6E1B"/>
    <w:rsid w:val="002E6E59"/>
    <w:rsid w:val="002E6E9F"/>
    <w:rsid w:val="002E6F1F"/>
    <w:rsid w:val="002E6FA7"/>
    <w:rsid w:val="002E6FAF"/>
    <w:rsid w:val="002E6FF8"/>
    <w:rsid w:val="002E7000"/>
    <w:rsid w:val="002E707B"/>
    <w:rsid w:val="002E70BD"/>
    <w:rsid w:val="002E70F2"/>
    <w:rsid w:val="002E7173"/>
    <w:rsid w:val="002E7287"/>
    <w:rsid w:val="002E72AE"/>
    <w:rsid w:val="002E72EB"/>
    <w:rsid w:val="002E72F3"/>
    <w:rsid w:val="002E73C4"/>
    <w:rsid w:val="002E73D0"/>
    <w:rsid w:val="002E742D"/>
    <w:rsid w:val="002E7465"/>
    <w:rsid w:val="002E746A"/>
    <w:rsid w:val="002E74A2"/>
    <w:rsid w:val="002E7505"/>
    <w:rsid w:val="002E750B"/>
    <w:rsid w:val="002E752F"/>
    <w:rsid w:val="002E7537"/>
    <w:rsid w:val="002E755E"/>
    <w:rsid w:val="002E757E"/>
    <w:rsid w:val="002E75BC"/>
    <w:rsid w:val="002E7643"/>
    <w:rsid w:val="002E7707"/>
    <w:rsid w:val="002E7712"/>
    <w:rsid w:val="002E7716"/>
    <w:rsid w:val="002E778F"/>
    <w:rsid w:val="002E779B"/>
    <w:rsid w:val="002E785F"/>
    <w:rsid w:val="002E787F"/>
    <w:rsid w:val="002E788C"/>
    <w:rsid w:val="002E7893"/>
    <w:rsid w:val="002E78B3"/>
    <w:rsid w:val="002E7905"/>
    <w:rsid w:val="002E793E"/>
    <w:rsid w:val="002E7957"/>
    <w:rsid w:val="002E7977"/>
    <w:rsid w:val="002E79AC"/>
    <w:rsid w:val="002E7A4F"/>
    <w:rsid w:val="002E7A72"/>
    <w:rsid w:val="002E7A9C"/>
    <w:rsid w:val="002E7B07"/>
    <w:rsid w:val="002E7BD6"/>
    <w:rsid w:val="002E7C04"/>
    <w:rsid w:val="002E7C05"/>
    <w:rsid w:val="002E7C42"/>
    <w:rsid w:val="002E7CA1"/>
    <w:rsid w:val="002E7D0F"/>
    <w:rsid w:val="002E7D2F"/>
    <w:rsid w:val="002E7D6B"/>
    <w:rsid w:val="002E7D6E"/>
    <w:rsid w:val="002E7DCE"/>
    <w:rsid w:val="002E7DDF"/>
    <w:rsid w:val="002E7E0E"/>
    <w:rsid w:val="002E7E19"/>
    <w:rsid w:val="002E7E39"/>
    <w:rsid w:val="002E7E59"/>
    <w:rsid w:val="002E7E62"/>
    <w:rsid w:val="002E7EA3"/>
    <w:rsid w:val="002E7ECC"/>
    <w:rsid w:val="002E7F50"/>
    <w:rsid w:val="002F006E"/>
    <w:rsid w:val="002F00F6"/>
    <w:rsid w:val="002F011B"/>
    <w:rsid w:val="002F0218"/>
    <w:rsid w:val="002F0266"/>
    <w:rsid w:val="002F028D"/>
    <w:rsid w:val="002F029D"/>
    <w:rsid w:val="002F02F0"/>
    <w:rsid w:val="002F0376"/>
    <w:rsid w:val="002F0389"/>
    <w:rsid w:val="002F03A4"/>
    <w:rsid w:val="002F03B8"/>
    <w:rsid w:val="002F03C5"/>
    <w:rsid w:val="002F04BF"/>
    <w:rsid w:val="002F04DD"/>
    <w:rsid w:val="002F0585"/>
    <w:rsid w:val="002F05BF"/>
    <w:rsid w:val="002F05FD"/>
    <w:rsid w:val="002F060F"/>
    <w:rsid w:val="002F0619"/>
    <w:rsid w:val="002F0642"/>
    <w:rsid w:val="002F0686"/>
    <w:rsid w:val="002F06BD"/>
    <w:rsid w:val="002F0729"/>
    <w:rsid w:val="002F074C"/>
    <w:rsid w:val="002F0798"/>
    <w:rsid w:val="002F07D9"/>
    <w:rsid w:val="002F0819"/>
    <w:rsid w:val="002F087C"/>
    <w:rsid w:val="002F0895"/>
    <w:rsid w:val="002F08B5"/>
    <w:rsid w:val="002F090F"/>
    <w:rsid w:val="002F0919"/>
    <w:rsid w:val="002F094B"/>
    <w:rsid w:val="002F0971"/>
    <w:rsid w:val="002F099B"/>
    <w:rsid w:val="002F09D6"/>
    <w:rsid w:val="002F0A08"/>
    <w:rsid w:val="002F0A0A"/>
    <w:rsid w:val="002F0A22"/>
    <w:rsid w:val="002F0A83"/>
    <w:rsid w:val="002F0B1B"/>
    <w:rsid w:val="002F0B3C"/>
    <w:rsid w:val="002F0B94"/>
    <w:rsid w:val="002F0BB8"/>
    <w:rsid w:val="002F0BEC"/>
    <w:rsid w:val="002F0BF6"/>
    <w:rsid w:val="002F0BFF"/>
    <w:rsid w:val="002F0C02"/>
    <w:rsid w:val="002F0C06"/>
    <w:rsid w:val="002F0C0D"/>
    <w:rsid w:val="002F0C7E"/>
    <w:rsid w:val="002F0D11"/>
    <w:rsid w:val="002F0D8F"/>
    <w:rsid w:val="002F0D97"/>
    <w:rsid w:val="002F0DBE"/>
    <w:rsid w:val="002F0DDC"/>
    <w:rsid w:val="002F0E3B"/>
    <w:rsid w:val="002F0E40"/>
    <w:rsid w:val="002F0E4D"/>
    <w:rsid w:val="002F0E89"/>
    <w:rsid w:val="002F0ED4"/>
    <w:rsid w:val="002F0F2A"/>
    <w:rsid w:val="002F0F48"/>
    <w:rsid w:val="002F0F5D"/>
    <w:rsid w:val="002F0F66"/>
    <w:rsid w:val="002F1065"/>
    <w:rsid w:val="002F1082"/>
    <w:rsid w:val="002F10B7"/>
    <w:rsid w:val="002F10F6"/>
    <w:rsid w:val="002F114B"/>
    <w:rsid w:val="002F118B"/>
    <w:rsid w:val="002F11D1"/>
    <w:rsid w:val="002F11F3"/>
    <w:rsid w:val="002F1207"/>
    <w:rsid w:val="002F1225"/>
    <w:rsid w:val="002F1270"/>
    <w:rsid w:val="002F12F0"/>
    <w:rsid w:val="002F12FF"/>
    <w:rsid w:val="002F1306"/>
    <w:rsid w:val="002F1317"/>
    <w:rsid w:val="002F131F"/>
    <w:rsid w:val="002F13AC"/>
    <w:rsid w:val="002F13CD"/>
    <w:rsid w:val="002F13D5"/>
    <w:rsid w:val="002F13E1"/>
    <w:rsid w:val="002F1468"/>
    <w:rsid w:val="002F14F5"/>
    <w:rsid w:val="002F1665"/>
    <w:rsid w:val="002F168B"/>
    <w:rsid w:val="002F16A7"/>
    <w:rsid w:val="002F16F5"/>
    <w:rsid w:val="002F171E"/>
    <w:rsid w:val="002F1720"/>
    <w:rsid w:val="002F1762"/>
    <w:rsid w:val="002F17E0"/>
    <w:rsid w:val="002F183A"/>
    <w:rsid w:val="002F18A2"/>
    <w:rsid w:val="002F18DC"/>
    <w:rsid w:val="002F190E"/>
    <w:rsid w:val="002F192A"/>
    <w:rsid w:val="002F1945"/>
    <w:rsid w:val="002F196E"/>
    <w:rsid w:val="002F1974"/>
    <w:rsid w:val="002F1ACA"/>
    <w:rsid w:val="002F1AF5"/>
    <w:rsid w:val="002F1B30"/>
    <w:rsid w:val="002F1B35"/>
    <w:rsid w:val="002F1B41"/>
    <w:rsid w:val="002F1B55"/>
    <w:rsid w:val="002F1C10"/>
    <w:rsid w:val="002F1C4A"/>
    <w:rsid w:val="002F1C67"/>
    <w:rsid w:val="002F1C7E"/>
    <w:rsid w:val="002F1CDE"/>
    <w:rsid w:val="002F1CF9"/>
    <w:rsid w:val="002F1D30"/>
    <w:rsid w:val="002F1DB6"/>
    <w:rsid w:val="002F1DE6"/>
    <w:rsid w:val="002F1E0D"/>
    <w:rsid w:val="002F1F1E"/>
    <w:rsid w:val="002F1F44"/>
    <w:rsid w:val="002F1FE6"/>
    <w:rsid w:val="002F1FEA"/>
    <w:rsid w:val="002F210A"/>
    <w:rsid w:val="002F21EB"/>
    <w:rsid w:val="002F22A0"/>
    <w:rsid w:val="002F22A4"/>
    <w:rsid w:val="002F2329"/>
    <w:rsid w:val="002F233C"/>
    <w:rsid w:val="002F23F6"/>
    <w:rsid w:val="002F2485"/>
    <w:rsid w:val="002F2538"/>
    <w:rsid w:val="002F25AA"/>
    <w:rsid w:val="002F2601"/>
    <w:rsid w:val="002F2655"/>
    <w:rsid w:val="002F26DC"/>
    <w:rsid w:val="002F26DD"/>
    <w:rsid w:val="002F26DF"/>
    <w:rsid w:val="002F273D"/>
    <w:rsid w:val="002F2743"/>
    <w:rsid w:val="002F2764"/>
    <w:rsid w:val="002F27A5"/>
    <w:rsid w:val="002F27C2"/>
    <w:rsid w:val="002F27CC"/>
    <w:rsid w:val="002F27D9"/>
    <w:rsid w:val="002F2878"/>
    <w:rsid w:val="002F288F"/>
    <w:rsid w:val="002F2898"/>
    <w:rsid w:val="002F28B6"/>
    <w:rsid w:val="002F2948"/>
    <w:rsid w:val="002F29CB"/>
    <w:rsid w:val="002F2A00"/>
    <w:rsid w:val="002F2A2A"/>
    <w:rsid w:val="002F2AA2"/>
    <w:rsid w:val="002F2B36"/>
    <w:rsid w:val="002F2C3F"/>
    <w:rsid w:val="002F2CA5"/>
    <w:rsid w:val="002F2CB1"/>
    <w:rsid w:val="002F2CCB"/>
    <w:rsid w:val="002F2D14"/>
    <w:rsid w:val="002F2D2F"/>
    <w:rsid w:val="002F2D7F"/>
    <w:rsid w:val="002F2DA9"/>
    <w:rsid w:val="002F2DD7"/>
    <w:rsid w:val="002F2E20"/>
    <w:rsid w:val="002F2E35"/>
    <w:rsid w:val="002F2E37"/>
    <w:rsid w:val="002F2E7B"/>
    <w:rsid w:val="002F2E98"/>
    <w:rsid w:val="002F2E9D"/>
    <w:rsid w:val="002F2F13"/>
    <w:rsid w:val="002F2F77"/>
    <w:rsid w:val="002F2F96"/>
    <w:rsid w:val="002F2FF7"/>
    <w:rsid w:val="002F3014"/>
    <w:rsid w:val="002F306E"/>
    <w:rsid w:val="002F3077"/>
    <w:rsid w:val="002F30D6"/>
    <w:rsid w:val="002F30F2"/>
    <w:rsid w:val="002F3158"/>
    <w:rsid w:val="002F318E"/>
    <w:rsid w:val="002F319A"/>
    <w:rsid w:val="002F31A0"/>
    <w:rsid w:val="002F3205"/>
    <w:rsid w:val="002F3220"/>
    <w:rsid w:val="002F3223"/>
    <w:rsid w:val="002F3239"/>
    <w:rsid w:val="002F3241"/>
    <w:rsid w:val="002F32BE"/>
    <w:rsid w:val="002F32F6"/>
    <w:rsid w:val="002F3388"/>
    <w:rsid w:val="002F33AB"/>
    <w:rsid w:val="002F33E0"/>
    <w:rsid w:val="002F33EB"/>
    <w:rsid w:val="002F350A"/>
    <w:rsid w:val="002F3598"/>
    <w:rsid w:val="002F35E4"/>
    <w:rsid w:val="002F35E5"/>
    <w:rsid w:val="002F35EE"/>
    <w:rsid w:val="002F35FF"/>
    <w:rsid w:val="002F366A"/>
    <w:rsid w:val="002F367D"/>
    <w:rsid w:val="002F3723"/>
    <w:rsid w:val="002F37D4"/>
    <w:rsid w:val="002F385E"/>
    <w:rsid w:val="002F38B0"/>
    <w:rsid w:val="002F38BA"/>
    <w:rsid w:val="002F38C6"/>
    <w:rsid w:val="002F3902"/>
    <w:rsid w:val="002F3910"/>
    <w:rsid w:val="002F3929"/>
    <w:rsid w:val="002F399A"/>
    <w:rsid w:val="002F39AB"/>
    <w:rsid w:val="002F3A12"/>
    <w:rsid w:val="002F3A2D"/>
    <w:rsid w:val="002F3A82"/>
    <w:rsid w:val="002F3B36"/>
    <w:rsid w:val="002F3B4A"/>
    <w:rsid w:val="002F3B53"/>
    <w:rsid w:val="002F3B71"/>
    <w:rsid w:val="002F3BCE"/>
    <w:rsid w:val="002F3BEF"/>
    <w:rsid w:val="002F3C1D"/>
    <w:rsid w:val="002F3C43"/>
    <w:rsid w:val="002F3C59"/>
    <w:rsid w:val="002F3CC4"/>
    <w:rsid w:val="002F3CCF"/>
    <w:rsid w:val="002F3D0E"/>
    <w:rsid w:val="002F3D4A"/>
    <w:rsid w:val="002F3D6E"/>
    <w:rsid w:val="002F3D79"/>
    <w:rsid w:val="002F3D95"/>
    <w:rsid w:val="002F3DFB"/>
    <w:rsid w:val="002F3E22"/>
    <w:rsid w:val="002F3E66"/>
    <w:rsid w:val="002F3ED1"/>
    <w:rsid w:val="002F3EFD"/>
    <w:rsid w:val="002F3F10"/>
    <w:rsid w:val="002F3F34"/>
    <w:rsid w:val="002F3FCD"/>
    <w:rsid w:val="002F4082"/>
    <w:rsid w:val="002F4085"/>
    <w:rsid w:val="002F40C7"/>
    <w:rsid w:val="002F40CC"/>
    <w:rsid w:val="002F40DD"/>
    <w:rsid w:val="002F4123"/>
    <w:rsid w:val="002F413C"/>
    <w:rsid w:val="002F4225"/>
    <w:rsid w:val="002F4226"/>
    <w:rsid w:val="002F4231"/>
    <w:rsid w:val="002F4239"/>
    <w:rsid w:val="002F4258"/>
    <w:rsid w:val="002F4259"/>
    <w:rsid w:val="002F4267"/>
    <w:rsid w:val="002F4276"/>
    <w:rsid w:val="002F4293"/>
    <w:rsid w:val="002F42D8"/>
    <w:rsid w:val="002F42F5"/>
    <w:rsid w:val="002F4352"/>
    <w:rsid w:val="002F4355"/>
    <w:rsid w:val="002F4366"/>
    <w:rsid w:val="002F43B7"/>
    <w:rsid w:val="002F441E"/>
    <w:rsid w:val="002F4447"/>
    <w:rsid w:val="002F4490"/>
    <w:rsid w:val="002F44E2"/>
    <w:rsid w:val="002F4524"/>
    <w:rsid w:val="002F455D"/>
    <w:rsid w:val="002F4567"/>
    <w:rsid w:val="002F458F"/>
    <w:rsid w:val="002F45B3"/>
    <w:rsid w:val="002F45CE"/>
    <w:rsid w:val="002F4602"/>
    <w:rsid w:val="002F4609"/>
    <w:rsid w:val="002F4659"/>
    <w:rsid w:val="002F4669"/>
    <w:rsid w:val="002F4678"/>
    <w:rsid w:val="002F4690"/>
    <w:rsid w:val="002F46CB"/>
    <w:rsid w:val="002F474E"/>
    <w:rsid w:val="002F4777"/>
    <w:rsid w:val="002F47C7"/>
    <w:rsid w:val="002F47E8"/>
    <w:rsid w:val="002F4847"/>
    <w:rsid w:val="002F4854"/>
    <w:rsid w:val="002F487D"/>
    <w:rsid w:val="002F48D0"/>
    <w:rsid w:val="002F4973"/>
    <w:rsid w:val="002F49D4"/>
    <w:rsid w:val="002F49E2"/>
    <w:rsid w:val="002F49F4"/>
    <w:rsid w:val="002F4A67"/>
    <w:rsid w:val="002F4ABC"/>
    <w:rsid w:val="002F4B22"/>
    <w:rsid w:val="002F4B65"/>
    <w:rsid w:val="002F4B81"/>
    <w:rsid w:val="002F4B91"/>
    <w:rsid w:val="002F4C4C"/>
    <w:rsid w:val="002F4C6E"/>
    <w:rsid w:val="002F4C88"/>
    <w:rsid w:val="002F4CB6"/>
    <w:rsid w:val="002F4D0E"/>
    <w:rsid w:val="002F4D41"/>
    <w:rsid w:val="002F4D49"/>
    <w:rsid w:val="002F4D70"/>
    <w:rsid w:val="002F4D88"/>
    <w:rsid w:val="002F4DC3"/>
    <w:rsid w:val="002F4DFC"/>
    <w:rsid w:val="002F4EA3"/>
    <w:rsid w:val="002F4F5E"/>
    <w:rsid w:val="002F4FD4"/>
    <w:rsid w:val="002F4FE7"/>
    <w:rsid w:val="002F501F"/>
    <w:rsid w:val="002F5069"/>
    <w:rsid w:val="002F5143"/>
    <w:rsid w:val="002F5166"/>
    <w:rsid w:val="002F516F"/>
    <w:rsid w:val="002F51D5"/>
    <w:rsid w:val="002F5202"/>
    <w:rsid w:val="002F52D4"/>
    <w:rsid w:val="002F5314"/>
    <w:rsid w:val="002F532D"/>
    <w:rsid w:val="002F5398"/>
    <w:rsid w:val="002F53D6"/>
    <w:rsid w:val="002F54AC"/>
    <w:rsid w:val="002F54DE"/>
    <w:rsid w:val="002F5560"/>
    <w:rsid w:val="002F5594"/>
    <w:rsid w:val="002F55AB"/>
    <w:rsid w:val="002F5657"/>
    <w:rsid w:val="002F5668"/>
    <w:rsid w:val="002F56E2"/>
    <w:rsid w:val="002F56E6"/>
    <w:rsid w:val="002F56EA"/>
    <w:rsid w:val="002F5708"/>
    <w:rsid w:val="002F5709"/>
    <w:rsid w:val="002F5718"/>
    <w:rsid w:val="002F5724"/>
    <w:rsid w:val="002F5732"/>
    <w:rsid w:val="002F5789"/>
    <w:rsid w:val="002F57C6"/>
    <w:rsid w:val="002F57DE"/>
    <w:rsid w:val="002F57E8"/>
    <w:rsid w:val="002F580F"/>
    <w:rsid w:val="002F5818"/>
    <w:rsid w:val="002F584D"/>
    <w:rsid w:val="002F5859"/>
    <w:rsid w:val="002F58CA"/>
    <w:rsid w:val="002F58D5"/>
    <w:rsid w:val="002F59F5"/>
    <w:rsid w:val="002F5A31"/>
    <w:rsid w:val="002F5A5D"/>
    <w:rsid w:val="002F5A6F"/>
    <w:rsid w:val="002F5AB8"/>
    <w:rsid w:val="002F5ABA"/>
    <w:rsid w:val="002F5ADC"/>
    <w:rsid w:val="002F5AE2"/>
    <w:rsid w:val="002F5AF7"/>
    <w:rsid w:val="002F5B10"/>
    <w:rsid w:val="002F5B26"/>
    <w:rsid w:val="002F5BEC"/>
    <w:rsid w:val="002F5C09"/>
    <w:rsid w:val="002F5C58"/>
    <w:rsid w:val="002F5D01"/>
    <w:rsid w:val="002F5D3B"/>
    <w:rsid w:val="002F5D5F"/>
    <w:rsid w:val="002F5E39"/>
    <w:rsid w:val="002F5E67"/>
    <w:rsid w:val="002F5E9A"/>
    <w:rsid w:val="002F5EDA"/>
    <w:rsid w:val="002F5EED"/>
    <w:rsid w:val="002F5F18"/>
    <w:rsid w:val="002F5F4E"/>
    <w:rsid w:val="002F5F8E"/>
    <w:rsid w:val="002F6076"/>
    <w:rsid w:val="002F60A7"/>
    <w:rsid w:val="002F60B5"/>
    <w:rsid w:val="002F60C9"/>
    <w:rsid w:val="002F60F9"/>
    <w:rsid w:val="002F6170"/>
    <w:rsid w:val="002F6183"/>
    <w:rsid w:val="002F618A"/>
    <w:rsid w:val="002F620D"/>
    <w:rsid w:val="002F6230"/>
    <w:rsid w:val="002F62AB"/>
    <w:rsid w:val="002F62B6"/>
    <w:rsid w:val="002F62D5"/>
    <w:rsid w:val="002F630A"/>
    <w:rsid w:val="002F6354"/>
    <w:rsid w:val="002F6363"/>
    <w:rsid w:val="002F6387"/>
    <w:rsid w:val="002F6390"/>
    <w:rsid w:val="002F639A"/>
    <w:rsid w:val="002F64C7"/>
    <w:rsid w:val="002F6504"/>
    <w:rsid w:val="002F6549"/>
    <w:rsid w:val="002F657E"/>
    <w:rsid w:val="002F6588"/>
    <w:rsid w:val="002F65A7"/>
    <w:rsid w:val="002F65BC"/>
    <w:rsid w:val="002F66F3"/>
    <w:rsid w:val="002F6748"/>
    <w:rsid w:val="002F67DE"/>
    <w:rsid w:val="002F6803"/>
    <w:rsid w:val="002F686A"/>
    <w:rsid w:val="002F6891"/>
    <w:rsid w:val="002F68DA"/>
    <w:rsid w:val="002F68E6"/>
    <w:rsid w:val="002F68E9"/>
    <w:rsid w:val="002F692C"/>
    <w:rsid w:val="002F69E1"/>
    <w:rsid w:val="002F69FC"/>
    <w:rsid w:val="002F6A29"/>
    <w:rsid w:val="002F6ABD"/>
    <w:rsid w:val="002F6ACF"/>
    <w:rsid w:val="002F6AF2"/>
    <w:rsid w:val="002F6C07"/>
    <w:rsid w:val="002F6C2E"/>
    <w:rsid w:val="002F6C36"/>
    <w:rsid w:val="002F6CEC"/>
    <w:rsid w:val="002F6CF9"/>
    <w:rsid w:val="002F6DA3"/>
    <w:rsid w:val="002F6E9D"/>
    <w:rsid w:val="002F6EA2"/>
    <w:rsid w:val="002F6F05"/>
    <w:rsid w:val="002F6F77"/>
    <w:rsid w:val="002F6FA0"/>
    <w:rsid w:val="002F6FD9"/>
    <w:rsid w:val="002F7026"/>
    <w:rsid w:val="002F7097"/>
    <w:rsid w:val="002F70C6"/>
    <w:rsid w:val="002F716C"/>
    <w:rsid w:val="002F71AA"/>
    <w:rsid w:val="002F71D9"/>
    <w:rsid w:val="002F7265"/>
    <w:rsid w:val="002F7290"/>
    <w:rsid w:val="002F72CC"/>
    <w:rsid w:val="002F737F"/>
    <w:rsid w:val="002F73F6"/>
    <w:rsid w:val="002F7488"/>
    <w:rsid w:val="002F74D8"/>
    <w:rsid w:val="002F74EA"/>
    <w:rsid w:val="002F74FA"/>
    <w:rsid w:val="002F75AA"/>
    <w:rsid w:val="002F75BC"/>
    <w:rsid w:val="002F75F9"/>
    <w:rsid w:val="002F7619"/>
    <w:rsid w:val="002F763D"/>
    <w:rsid w:val="002F76BC"/>
    <w:rsid w:val="002F7709"/>
    <w:rsid w:val="002F7756"/>
    <w:rsid w:val="002F7761"/>
    <w:rsid w:val="002F77C3"/>
    <w:rsid w:val="002F7867"/>
    <w:rsid w:val="002F796B"/>
    <w:rsid w:val="002F797E"/>
    <w:rsid w:val="002F7A4B"/>
    <w:rsid w:val="002F7A51"/>
    <w:rsid w:val="002F7A53"/>
    <w:rsid w:val="002F7A5C"/>
    <w:rsid w:val="002F7A8E"/>
    <w:rsid w:val="002F7B74"/>
    <w:rsid w:val="002F7BA8"/>
    <w:rsid w:val="002F7BE2"/>
    <w:rsid w:val="002F7BE6"/>
    <w:rsid w:val="002F7BFA"/>
    <w:rsid w:val="002F7C29"/>
    <w:rsid w:val="002F7C63"/>
    <w:rsid w:val="002F7CB7"/>
    <w:rsid w:val="002F7CE5"/>
    <w:rsid w:val="002F7CEE"/>
    <w:rsid w:val="002F7D8E"/>
    <w:rsid w:val="002F7DAD"/>
    <w:rsid w:val="002F7DDE"/>
    <w:rsid w:val="002F7E73"/>
    <w:rsid w:val="002F7EE4"/>
    <w:rsid w:val="002F7F06"/>
    <w:rsid w:val="002F7F24"/>
    <w:rsid w:val="002F7F83"/>
    <w:rsid w:val="00300004"/>
    <w:rsid w:val="00300030"/>
    <w:rsid w:val="0030005B"/>
    <w:rsid w:val="003000D8"/>
    <w:rsid w:val="00300106"/>
    <w:rsid w:val="00300172"/>
    <w:rsid w:val="003001A0"/>
    <w:rsid w:val="003001D5"/>
    <w:rsid w:val="003001D6"/>
    <w:rsid w:val="00300235"/>
    <w:rsid w:val="0030026D"/>
    <w:rsid w:val="00300292"/>
    <w:rsid w:val="00300331"/>
    <w:rsid w:val="00300415"/>
    <w:rsid w:val="00300416"/>
    <w:rsid w:val="00300437"/>
    <w:rsid w:val="00300494"/>
    <w:rsid w:val="00300526"/>
    <w:rsid w:val="0030056B"/>
    <w:rsid w:val="0030056E"/>
    <w:rsid w:val="00300598"/>
    <w:rsid w:val="003005F0"/>
    <w:rsid w:val="00300617"/>
    <w:rsid w:val="00300667"/>
    <w:rsid w:val="003006D7"/>
    <w:rsid w:val="00300704"/>
    <w:rsid w:val="00300713"/>
    <w:rsid w:val="003007DE"/>
    <w:rsid w:val="00300803"/>
    <w:rsid w:val="0030089E"/>
    <w:rsid w:val="0030094C"/>
    <w:rsid w:val="003009D2"/>
    <w:rsid w:val="003009E6"/>
    <w:rsid w:val="00300A7B"/>
    <w:rsid w:val="00300AA5"/>
    <w:rsid w:val="00300AE0"/>
    <w:rsid w:val="00300B09"/>
    <w:rsid w:val="00300B27"/>
    <w:rsid w:val="00300B4B"/>
    <w:rsid w:val="00300C18"/>
    <w:rsid w:val="00300C60"/>
    <w:rsid w:val="00300C89"/>
    <w:rsid w:val="00300C94"/>
    <w:rsid w:val="00300D25"/>
    <w:rsid w:val="00300DC7"/>
    <w:rsid w:val="00300DE2"/>
    <w:rsid w:val="00300DEF"/>
    <w:rsid w:val="00300E30"/>
    <w:rsid w:val="00300E94"/>
    <w:rsid w:val="00300F0F"/>
    <w:rsid w:val="00300F3F"/>
    <w:rsid w:val="00300F41"/>
    <w:rsid w:val="003010B8"/>
    <w:rsid w:val="003010DC"/>
    <w:rsid w:val="00301123"/>
    <w:rsid w:val="00301137"/>
    <w:rsid w:val="00301152"/>
    <w:rsid w:val="003011CC"/>
    <w:rsid w:val="003011CF"/>
    <w:rsid w:val="003011D7"/>
    <w:rsid w:val="00301215"/>
    <w:rsid w:val="003012AC"/>
    <w:rsid w:val="003012B1"/>
    <w:rsid w:val="003012C4"/>
    <w:rsid w:val="003012F3"/>
    <w:rsid w:val="0030132A"/>
    <w:rsid w:val="0030132E"/>
    <w:rsid w:val="003013A9"/>
    <w:rsid w:val="0030141B"/>
    <w:rsid w:val="00301458"/>
    <w:rsid w:val="00301495"/>
    <w:rsid w:val="0030157D"/>
    <w:rsid w:val="003015FD"/>
    <w:rsid w:val="00301612"/>
    <w:rsid w:val="0030163E"/>
    <w:rsid w:val="00301666"/>
    <w:rsid w:val="0030166C"/>
    <w:rsid w:val="00301693"/>
    <w:rsid w:val="003016A8"/>
    <w:rsid w:val="003016CB"/>
    <w:rsid w:val="003016D7"/>
    <w:rsid w:val="003016FA"/>
    <w:rsid w:val="00301700"/>
    <w:rsid w:val="00301756"/>
    <w:rsid w:val="00301771"/>
    <w:rsid w:val="00301832"/>
    <w:rsid w:val="00301895"/>
    <w:rsid w:val="003018B3"/>
    <w:rsid w:val="003018B7"/>
    <w:rsid w:val="003018E8"/>
    <w:rsid w:val="00301951"/>
    <w:rsid w:val="003019A3"/>
    <w:rsid w:val="003019EB"/>
    <w:rsid w:val="00301A90"/>
    <w:rsid w:val="00301B0B"/>
    <w:rsid w:val="00301B15"/>
    <w:rsid w:val="00301B1D"/>
    <w:rsid w:val="00301B5C"/>
    <w:rsid w:val="00301B6B"/>
    <w:rsid w:val="00301B72"/>
    <w:rsid w:val="00301B76"/>
    <w:rsid w:val="00301B86"/>
    <w:rsid w:val="00301BF8"/>
    <w:rsid w:val="00301C10"/>
    <w:rsid w:val="00301C1E"/>
    <w:rsid w:val="00301C6B"/>
    <w:rsid w:val="00301CDD"/>
    <w:rsid w:val="00301D1D"/>
    <w:rsid w:val="00301D3C"/>
    <w:rsid w:val="00301D46"/>
    <w:rsid w:val="00301D94"/>
    <w:rsid w:val="00301DCE"/>
    <w:rsid w:val="00301DF2"/>
    <w:rsid w:val="00301E8F"/>
    <w:rsid w:val="00301EA0"/>
    <w:rsid w:val="00301EB3"/>
    <w:rsid w:val="00301EB7"/>
    <w:rsid w:val="00301F19"/>
    <w:rsid w:val="00301F3A"/>
    <w:rsid w:val="00301F90"/>
    <w:rsid w:val="00301FC5"/>
    <w:rsid w:val="00301FC7"/>
    <w:rsid w:val="00301FF3"/>
    <w:rsid w:val="0030202F"/>
    <w:rsid w:val="00302033"/>
    <w:rsid w:val="00302055"/>
    <w:rsid w:val="00302066"/>
    <w:rsid w:val="0030208E"/>
    <w:rsid w:val="003020C0"/>
    <w:rsid w:val="003020C5"/>
    <w:rsid w:val="0030213C"/>
    <w:rsid w:val="0030214C"/>
    <w:rsid w:val="00302161"/>
    <w:rsid w:val="0030218A"/>
    <w:rsid w:val="003021AD"/>
    <w:rsid w:val="003021AE"/>
    <w:rsid w:val="003021C4"/>
    <w:rsid w:val="003021ED"/>
    <w:rsid w:val="00302209"/>
    <w:rsid w:val="0030223E"/>
    <w:rsid w:val="00302242"/>
    <w:rsid w:val="00302274"/>
    <w:rsid w:val="003022B3"/>
    <w:rsid w:val="003023FC"/>
    <w:rsid w:val="0030240C"/>
    <w:rsid w:val="00302434"/>
    <w:rsid w:val="00302442"/>
    <w:rsid w:val="00302489"/>
    <w:rsid w:val="0030248A"/>
    <w:rsid w:val="003024AC"/>
    <w:rsid w:val="003024B4"/>
    <w:rsid w:val="003024BB"/>
    <w:rsid w:val="0030257B"/>
    <w:rsid w:val="0030259A"/>
    <w:rsid w:val="0030259F"/>
    <w:rsid w:val="003025DE"/>
    <w:rsid w:val="00302676"/>
    <w:rsid w:val="00302682"/>
    <w:rsid w:val="00302686"/>
    <w:rsid w:val="0030269D"/>
    <w:rsid w:val="0030269E"/>
    <w:rsid w:val="003027E9"/>
    <w:rsid w:val="00302815"/>
    <w:rsid w:val="00302833"/>
    <w:rsid w:val="00302844"/>
    <w:rsid w:val="0030289C"/>
    <w:rsid w:val="003028ED"/>
    <w:rsid w:val="00302923"/>
    <w:rsid w:val="00302940"/>
    <w:rsid w:val="003029A5"/>
    <w:rsid w:val="003029DB"/>
    <w:rsid w:val="00302A4B"/>
    <w:rsid w:val="00302A53"/>
    <w:rsid w:val="00302AC0"/>
    <w:rsid w:val="00302B17"/>
    <w:rsid w:val="00302B3C"/>
    <w:rsid w:val="00302BED"/>
    <w:rsid w:val="00302C28"/>
    <w:rsid w:val="00302C2F"/>
    <w:rsid w:val="00302C43"/>
    <w:rsid w:val="00302C8F"/>
    <w:rsid w:val="00302CDB"/>
    <w:rsid w:val="00302CE3"/>
    <w:rsid w:val="00302D34"/>
    <w:rsid w:val="00302D4F"/>
    <w:rsid w:val="00302D5C"/>
    <w:rsid w:val="00302D77"/>
    <w:rsid w:val="00302DB0"/>
    <w:rsid w:val="00302DC9"/>
    <w:rsid w:val="00302DEF"/>
    <w:rsid w:val="00302E34"/>
    <w:rsid w:val="00302EA5"/>
    <w:rsid w:val="00302EBD"/>
    <w:rsid w:val="00302EC1"/>
    <w:rsid w:val="00302ECF"/>
    <w:rsid w:val="00302F0B"/>
    <w:rsid w:val="00302F2C"/>
    <w:rsid w:val="00302F64"/>
    <w:rsid w:val="00302FCB"/>
    <w:rsid w:val="00302FF9"/>
    <w:rsid w:val="00303076"/>
    <w:rsid w:val="00303089"/>
    <w:rsid w:val="0030317F"/>
    <w:rsid w:val="00303221"/>
    <w:rsid w:val="00303251"/>
    <w:rsid w:val="00303276"/>
    <w:rsid w:val="00303291"/>
    <w:rsid w:val="003032FD"/>
    <w:rsid w:val="00303310"/>
    <w:rsid w:val="0030336F"/>
    <w:rsid w:val="00303410"/>
    <w:rsid w:val="00303431"/>
    <w:rsid w:val="00303433"/>
    <w:rsid w:val="0030344A"/>
    <w:rsid w:val="00303470"/>
    <w:rsid w:val="0030347B"/>
    <w:rsid w:val="0030356C"/>
    <w:rsid w:val="00303571"/>
    <w:rsid w:val="003035D3"/>
    <w:rsid w:val="003035F8"/>
    <w:rsid w:val="003035FA"/>
    <w:rsid w:val="00303611"/>
    <w:rsid w:val="0030362F"/>
    <w:rsid w:val="0030363A"/>
    <w:rsid w:val="0030364F"/>
    <w:rsid w:val="0030370C"/>
    <w:rsid w:val="00303771"/>
    <w:rsid w:val="003037ED"/>
    <w:rsid w:val="0030381E"/>
    <w:rsid w:val="0030385B"/>
    <w:rsid w:val="003038AC"/>
    <w:rsid w:val="003038BC"/>
    <w:rsid w:val="003038D2"/>
    <w:rsid w:val="003038DE"/>
    <w:rsid w:val="0030390B"/>
    <w:rsid w:val="00303966"/>
    <w:rsid w:val="003039A6"/>
    <w:rsid w:val="00303A10"/>
    <w:rsid w:val="00303A2B"/>
    <w:rsid w:val="00303A5B"/>
    <w:rsid w:val="00303AB1"/>
    <w:rsid w:val="00303AFF"/>
    <w:rsid w:val="00303B14"/>
    <w:rsid w:val="00303B31"/>
    <w:rsid w:val="00303B74"/>
    <w:rsid w:val="00303B8A"/>
    <w:rsid w:val="00303B9E"/>
    <w:rsid w:val="00303BA7"/>
    <w:rsid w:val="00303BD2"/>
    <w:rsid w:val="00303C0C"/>
    <w:rsid w:val="00303C87"/>
    <w:rsid w:val="00303C9C"/>
    <w:rsid w:val="00303D3B"/>
    <w:rsid w:val="00303D4C"/>
    <w:rsid w:val="00303D84"/>
    <w:rsid w:val="00303D99"/>
    <w:rsid w:val="00303D9A"/>
    <w:rsid w:val="00303DF5"/>
    <w:rsid w:val="00303E33"/>
    <w:rsid w:val="00303E37"/>
    <w:rsid w:val="00303E60"/>
    <w:rsid w:val="00303EC5"/>
    <w:rsid w:val="00303EC9"/>
    <w:rsid w:val="00303F0F"/>
    <w:rsid w:val="00303F18"/>
    <w:rsid w:val="00303F4A"/>
    <w:rsid w:val="00303F4D"/>
    <w:rsid w:val="00304005"/>
    <w:rsid w:val="0030410C"/>
    <w:rsid w:val="00304123"/>
    <w:rsid w:val="00304134"/>
    <w:rsid w:val="003041E2"/>
    <w:rsid w:val="003042CB"/>
    <w:rsid w:val="003042E3"/>
    <w:rsid w:val="00304354"/>
    <w:rsid w:val="00304370"/>
    <w:rsid w:val="00304373"/>
    <w:rsid w:val="003043E1"/>
    <w:rsid w:val="003043FB"/>
    <w:rsid w:val="00304451"/>
    <w:rsid w:val="0030447E"/>
    <w:rsid w:val="003044CE"/>
    <w:rsid w:val="003045C6"/>
    <w:rsid w:val="00304617"/>
    <w:rsid w:val="00304674"/>
    <w:rsid w:val="00304705"/>
    <w:rsid w:val="00304757"/>
    <w:rsid w:val="0030478F"/>
    <w:rsid w:val="003048DC"/>
    <w:rsid w:val="003048E4"/>
    <w:rsid w:val="003048F9"/>
    <w:rsid w:val="0030490C"/>
    <w:rsid w:val="00304A4E"/>
    <w:rsid w:val="00304AB2"/>
    <w:rsid w:val="00304B52"/>
    <w:rsid w:val="00304B68"/>
    <w:rsid w:val="00304B74"/>
    <w:rsid w:val="00304BAA"/>
    <w:rsid w:val="00304BC6"/>
    <w:rsid w:val="00304BEC"/>
    <w:rsid w:val="00304C0E"/>
    <w:rsid w:val="00304C1B"/>
    <w:rsid w:val="00304C3D"/>
    <w:rsid w:val="00304C5E"/>
    <w:rsid w:val="00304C7B"/>
    <w:rsid w:val="00304CDD"/>
    <w:rsid w:val="00304D44"/>
    <w:rsid w:val="00304D9F"/>
    <w:rsid w:val="00304DAC"/>
    <w:rsid w:val="00304DE3"/>
    <w:rsid w:val="00304DF7"/>
    <w:rsid w:val="00304E08"/>
    <w:rsid w:val="00304E77"/>
    <w:rsid w:val="00304EAA"/>
    <w:rsid w:val="00304EBB"/>
    <w:rsid w:val="00304F0C"/>
    <w:rsid w:val="00304F1F"/>
    <w:rsid w:val="00304F41"/>
    <w:rsid w:val="00304F62"/>
    <w:rsid w:val="00304F9B"/>
    <w:rsid w:val="00304F9D"/>
    <w:rsid w:val="00304FB3"/>
    <w:rsid w:val="00305021"/>
    <w:rsid w:val="003050F8"/>
    <w:rsid w:val="00305136"/>
    <w:rsid w:val="003051A8"/>
    <w:rsid w:val="003051CE"/>
    <w:rsid w:val="003051F3"/>
    <w:rsid w:val="00305230"/>
    <w:rsid w:val="0030524F"/>
    <w:rsid w:val="00305264"/>
    <w:rsid w:val="0030526D"/>
    <w:rsid w:val="0030527F"/>
    <w:rsid w:val="003052F2"/>
    <w:rsid w:val="003052FB"/>
    <w:rsid w:val="00305314"/>
    <w:rsid w:val="00305315"/>
    <w:rsid w:val="0030533A"/>
    <w:rsid w:val="00305379"/>
    <w:rsid w:val="0030538A"/>
    <w:rsid w:val="003053E3"/>
    <w:rsid w:val="003053F0"/>
    <w:rsid w:val="00305462"/>
    <w:rsid w:val="0030547F"/>
    <w:rsid w:val="003054D2"/>
    <w:rsid w:val="003054EF"/>
    <w:rsid w:val="00305519"/>
    <w:rsid w:val="0030553B"/>
    <w:rsid w:val="0030554C"/>
    <w:rsid w:val="0030568B"/>
    <w:rsid w:val="00305702"/>
    <w:rsid w:val="0030572D"/>
    <w:rsid w:val="00305746"/>
    <w:rsid w:val="0030579E"/>
    <w:rsid w:val="003058CC"/>
    <w:rsid w:val="003058E5"/>
    <w:rsid w:val="0030596F"/>
    <w:rsid w:val="00305988"/>
    <w:rsid w:val="00305A17"/>
    <w:rsid w:val="00305A66"/>
    <w:rsid w:val="00305A9C"/>
    <w:rsid w:val="00305AA7"/>
    <w:rsid w:val="00305B90"/>
    <w:rsid w:val="00305B99"/>
    <w:rsid w:val="00305C37"/>
    <w:rsid w:val="00305CE7"/>
    <w:rsid w:val="00305CF4"/>
    <w:rsid w:val="00305D89"/>
    <w:rsid w:val="00305DAA"/>
    <w:rsid w:val="00305DC4"/>
    <w:rsid w:val="00305DFD"/>
    <w:rsid w:val="00305E53"/>
    <w:rsid w:val="00305E66"/>
    <w:rsid w:val="00305EA7"/>
    <w:rsid w:val="00305F42"/>
    <w:rsid w:val="00305F79"/>
    <w:rsid w:val="00305FFD"/>
    <w:rsid w:val="0030601B"/>
    <w:rsid w:val="00306072"/>
    <w:rsid w:val="003060D9"/>
    <w:rsid w:val="0030610B"/>
    <w:rsid w:val="0030611B"/>
    <w:rsid w:val="00306122"/>
    <w:rsid w:val="00306163"/>
    <w:rsid w:val="003061D9"/>
    <w:rsid w:val="003062CD"/>
    <w:rsid w:val="00306306"/>
    <w:rsid w:val="00306387"/>
    <w:rsid w:val="003063DD"/>
    <w:rsid w:val="00306407"/>
    <w:rsid w:val="0030640B"/>
    <w:rsid w:val="0030642A"/>
    <w:rsid w:val="0030642C"/>
    <w:rsid w:val="00306452"/>
    <w:rsid w:val="003064B9"/>
    <w:rsid w:val="00306566"/>
    <w:rsid w:val="00306570"/>
    <w:rsid w:val="003065CA"/>
    <w:rsid w:val="00306608"/>
    <w:rsid w:val="0030663B"/>
    <w:rsid w:val="0030665A"/>
    <w:rsid w:val="0030665C"/>
    <w:rsid w:val="0030665E"/>
    <w:rsid w:val="00306677"/>
    <w:rsid w:val="00306704"/>
    <w:rsid w:val="0030676D"/>
    <w:rsid w:val="003067A2"/>
    <w:rsid w:val="003067CB"/>
    <w:rsid w:val="00306851"/>
    <w:rsid w:val="00306862"/>
    <w:rsid w:val="003068C3"/>
    <w:rsid w:val="003068D6"/>
    <w:rsid w:val="0030691A"/>
    <w:rsid w:val="00306967"/>
    <w:rsid w:val="003069B9"/>
    <w:rsid w:val="003069F1"/>
    <w:rsid w:val="00306A66"/>
    <w:rsid w:val="00306B21"/>
    <w:rsid w:val="00306BFD"/>
    <w:rsid w:val="00306C35"/>
    <w:rsid w:val="00306CA2"/>
    <w:rsid w:val="00306D65"/>
    <w:rsid w:val="00306DCE"/>
    <w:rsid w:val="00306E9B"/>
    <w:rsid w:val="00306EA9"/>
    <w:rsid w:val="00306F5D"/>
    <w:rsid w:val="00306FB6"/>
    <w:rsid w:val="00307003"/>
    <w:rsid w:val="00307007"/>
    <w:rsid w:val="0030703A"/>
    <w:rsid w:val="00307071"/>
    <w:rsid w:val="00307084"/>
    <w:rsid w:val="003070D5"/>
    <w:rsid w:val="003070E7"/>
    <w:rsid w:val="00307125"/>
    <w:rsid w:val="003071AD"/>
    <w:rsid w:val="003072D7"/>
    <w:rsid w:val="00307312"/>
    <w:rsid w:val="0030735C"/>
    <w:rsid w:val="003073D1"/>
    <w:rsid w:val="003074F4"/>
    <w:rsid w:val="00307503"/>
    <w:rsid w:val="00307529"/>
    <w:rsid w:val="00307564"/>
    <w:rsid w:val="00307594"/>
    <w:rsid w:val="0030766F"/>
    <w:rsid w:val="003076FB"/>
    <w:rsid w:val="0030773B"/>
    <w:rsid w:val="00307785"/>
    <w:rsid w:val="003077AD"/>
    <w:rsid w:val="0030783D"/>
    <w:rsid w:val="003078DD"/>
    <w:rsid w:val="00307991"/>
    <w:rsid w:val="0030799B"/>
    <w:rsid w:val="003079E8"/>
    <w:rsid w:val="003079F5"/>
    <w:rsid w:val="00307A0B"/>
    <w:rsid w:val="00307A30"/>
    <w:rsid w:val="00307AB1"/>
    <w:rsid w:val="00307ADD"/>
    <w:rsid w:val="00307AE9"/>
    <w:rsid w:val="00307B16"/>
    <w:rsid w:val="00307B1F"/>
    <w:rsid w:val="00307B3E"/>
    <w:rsid w:val="00307BA4"/>
    <w:rsid w:val="00307BAB"/>
    <w:rsid w:val="00307BD8"/>
    <w:rsid w:val="00307BDD"/>
    <w:rsid w:val="00307C3F"/>
    <w:rsid w:val="00307C5F"/>
    <w:rsid w:val="00307C7B"/>
    <w:rsid w:val="00307CA7"/>
    <w:rsid w:val="00307CC9"/>
    <w:rsid w:val="00307CFC"/>
    <w:rsid w:val="00307D01"/>
    <w:rsid w:val="00307D1E"/>
    <w:rsid w:val="00307D20"/>
    <w:rsid w:val="00307D34"/>
    <w:rsid w:val="00307D5A"/>
    <w:rsid w:val="00307D7E"/>
    <w:rsid w:val="00307DE8"/>
    <w:rsid w:val="00307E15"/>
    <w:rsid w:val="00307EFF"/>
    <w:rsid w:val="00307F35"/>
    <w:rsid w:val="00307F4F"/>
    <w:rsid w:val="00307F89"/>
    <w:rsid w:val="00307FA9"/>
    <w:rsid w:val="00310013"/>
    <w:rsid w:val="0031009C"/>
    <w:rsid w:val="003100B0"/>
    <w:rsid w:val="003100C1"/>
    <w:rsid w:val="00310101"/>
    <w:rsid w:val="00310128"/>
    <w:rsid w:val="00310145"/>
    <w:rsid w:val="00310174"/>
    <w:rsid w:val="003101EB"/>
    <w:rsid w:val="00310243"/>
    <w:rsid w:val="00310299"/>
    <w:rsid w:val="003102C8"/>
    <w:rsid w:val="003102D4"/>
    <w:rsid w:val="00310393"/>
    <w:rsid w:val="00310396"/>
    <w:rsid w:val="0031039B"/>
    <w:rsid w:val="0031043D"/>
    <w:rsid w:val="00310452"/>
    <w:rsid w:val="00310472"/>
    <w:rsid w:val="00310491"/>
    <w:rsid w:val="003104B4"/>
    <w:rsid w:val="003105CC"/>
    <w:rsid w:val="003105EA"/>
    <w:rsid w:val="00310603"/>
    <w:rsid w:val="00310683"/>
    <w:rsid w:val="003106AF"/>
    <w:rsid w:val="003106D0"/>
    <w:rsid w:val="00310754"/>
    <w:rsid w:val="003107D7"/>
    <w:rsid w:val="00310844"/>
    <w:rsid w:val="00310897"/>
    <w:rsid w:val="003108F1"/>
    <w:rsid w:val="0031090D"/>
    <w:rsid w:val="00310942"/>
    <w:rsid w:val="00310965"/>
    <w:rsid w:val="003109AD"/>
    <w:rsid w:val="003109FE"/>
    <w:rsid w:val="003109FF"/>
    <w:rsid w:val="00310A16"/>
    <w:rsid w:val="00310A57"/>
    <w:rsid w:val="00310A77"/>
    <w:rsid w:val="00310AA9"/>
    <w:rsid w:val="00310AE8"/>
    <w:rsid w:val="00310B12"/>
    <w:rsid w:val="00310B54"/>
    <w:rsid w:val="00310C03"/>
    <w:rsid w:val="00310CB5"/>
    <w:rsid w:val="00310CC2"/>
    <w:rsid w:val="00310CD0"/>
    <w:rsid w:val="00310CE2"/>
    <w:rsid w:val="00310CEF"/>
    <w:rsid w:val="00310D17"/>
    <w:rsid w:val="00310D1B"/>
    <w:rsid w:val="00310D67"/>
    <w:rsid w:val="00310D6E"/>
    <w:rsid w:val="00310DE0"/>
    <w:rsid w:val="00310EA3"/>
    <w:rsid w:val="00310EAE"/>
    <w:rsid w:val="00310EFE"/>
    <w:rsid w:val="00310F17"/>
    <w:rsid w:val="00310F4E"/>
    <w:rsid w:val="00310F54"/>
    <w:rsid w:val="00310FCA"/>
    <w:rsid w:val="00310FDE"/>
    <w:rsid w:val="00311010"/>
    <w:rsid w:val="0031102D"/>
    <w:rsid w:val="003110AC"/>
    <w:rsid w:val="003110FE"/>
    <w:rsid w:val="00311106"/>
    <w:rsid w:val="0031118F"/>
    <w:rsid w:val="0031119D"/>
    <w:rsid w:val="00311213"/>
    <w:rsid w:val="00311220"/>
    <w:rsid w:val="00311270"/>
    <w:rsid w:val="003112DF"/>
    <w:rsid w:val="00311354"/>
    <w:rsid w:val="0031140F"/>
    <w:rsid w:val="00311432"/>
    <w:rsid w:val="0031146F"/>
    <w:rsid w:val="0031149F"/>
    <w:rsid w:val="003114C6"/>
    <w:rsid w:val="003114D7"/>
    <w:rsid w:val="003114DF"/>
    <w:rsid w:val="00311549"/>
    <w:rsid w:val="00311592"/>
    <w:rsid w:val="003115B6"/>
    <w:rsid w:val="003116E9"/>
    <w:rsid w:val="003116EA"/>
    <w:rsid w:val="003116FA"/>
    <w:rsid w:val="00311744"/>
    <w:rsid w:val="003117AF"/>
    <w:rsid w:val="003117CC"/>
    <w:rsid w:val="003117D8"/>
    <w:rsid w:val="0031182C"/>
    <w:rsid w:val="0031184C"/>
    <w:rsid w:val="00311854"/>
    <w:rsid w:val="00311868"/>
    <w:rsid w:val="00311913"/>
    <w:rsid w:val="00311914"/>
    <w:rsid w:val="00311975"/>
    <w:rsid w:val="0031197E"/>
    <w:rsid w:val="00311A2A"/>
    <w:rsid w:val="00311A2B"/>
    <w:rsid w:val="00311A40"/>
    <w:rsid w:val="00311A44"/>
    <w:rsid w:val="00311BC0"/>
    <w:rsid w:val="00311BF1"/>
    <w:rsid w:val="00311CC1"/>
    <w:rsid w:val="00311CC6"/>
    <w:rsid w:val="00311D53"/>
    <w:rsid w:val="00311D55"/>
    <w:rsid w:val="00311D70"/>
    <w:rsid w:val="00311D71"/>
    <w:rsid w:val="00311DAC"/>
    <w:rsid w:val="00311DD4"/>
    <w:rsid w:val="00311E36"/>
    <w:rsid w:val="00311E4B"/>
    <w:rsid w:val="00311E58"/>
    <w:rsid w:val="00311E6F"/>
    <w:rsid w:val="00311EA4"/>
    <w:rsid w:val="00311ED9"/>
    <w:rsid w:val="00311EE2"/>
    <w:rsid w:val="00311F23"/>
    <w:rsid w:val="00311F9D"/>
    <w:rsid w:val="00311FA6"/>
    <w:rsid w:val="00311FA7"/>
    <w:rsid w:val="00311FE1"/>
    <w:rsid w:val="00311FF8"/>
    <w:rsid w:val="00312012"/>
    <w:rsid w:val="0031202F"/>
    <w:rsid w:val="00312034"/>
    <w:rsid w:val="00312099"/>
    <w:rsid w:val="003120B6"/>
    <w:rsid w:val="003120C1"/>
    <w:rsid w:val="0031215F"/>
    <w:rsid w:val="00312165"/>
    <w:rsid w:val="0031216C"/>
    <w:rsid w:val="00312202"/>
    <w:rsid w:val="00312242"/>
    <w:rsid w:val="0031229F"/>
    <w:rsid w:val="003122A8"/>
    <w:rsid w:val="003122B2"/>
    <w:rsid w:val="0031230D"/>
    <w:rsid w:val="0031233E"/>
    <w:rsid w:val="0031235E"/>
    <w:rsid w:val="0031237A"/>
    <w:rsid w:val="0031243D"/>
    <w:rsid w:val="00312477"/>
    <w:rsid w:val="003124C5"/>
    <w:rsid w:val="003124F5"/>
    <w:rsid w:val="00312506"/>
    <w:rsid w:val="00312568"/>
    <w:rsid w:val="0031258A"/>
    <w:rsid w:val="00312597"/>
    <w:rsid w:val="003125A1"/>
    <w:rsid w:val="003125C1"/>
    <w:rsid w:val="0031260F"/>
    <w:rsid w:val="00312628"/>
    <w:rsid w:val="0031264E"/>
    <w:rsid w:val="0031267B"/>
    <w:rsid w:val="00312710"/>
    <w:rsid w:val="00312738"/>
    <w:rsid w:val="0031273C"/>
    <w:rsid w:val="003127B7"/>
    <w:rsid w:val="0031287E"/>
    <w:rsid w:val="003128FA"/>
    <w:rsid w:val="0031297C"/>
    <w:rsid w:val="00312A0C"/>
    <w:rsid w:val="00312A2E"/>
    <w:rsid w:val="00312A70"/>
    <w:rsid w:val="00312A8F"/>
    <w:rsid w:val="00312ADD"/>
    <w:rsid w:val="00312AFA"/>
    <w:rsid w:val="00312B15"/>
    <w:rsid w:val="00312B23"/>
    <w:rsid w:val="00312B43"/>
    <w:rsid w:val="00312B92"/>
    <w:rsid w:val="00312BC7"/>
    <w:rsid w:val="00312BCD"/>
    <w:rsid w:val="00312BCE"/>
    <w:rsid w:val="00312CCE"/>
    <w:rsid w:val="00312D19"/>
    <w:rsid w:val="00312D34"/>
    <w:rsid w:val="00312D54"/>
    <w:rsid w:val="00312DBB"/>
    <w:rsid w:val="00312DFF"/>
    <w:rsid w:val="00312E34"/>
    <w:rsid w:val="00312E3D"/>
    <w:rsid w:val="00312EB7"/>
    <w:rsid w:val="00312F4F"/>
    <w:rsid w:val="00312FAB"/>
    <w:rsid w:val="00312FB2"/>
    <w:rsid w:val="0031318E"/>
    <w:rsid w:val="00313266"/>
    <w:rsid w:val="0031329F"/>
    <w:rsid w:val="003132B6"/>
    <w:rsid w:val="003132CF"/>
    <w:rsid w:val="00313386"/>
    <w:rsid w:val="003134B6"/>
    <w:rsid w:val="003134C3"/>
    <w:rsid w:val="003134ED"/>
    <w:rsid w:val="003134FD"/>
    <w:rsid w:val="0031351C"/>
    <w:rsid w:val="00313573"/>
    <w:rsid w:val="003135C0"/>
    <w:rsid w:val="003135E8"/>
    <w:rsid w:val="0031362E"/>
    <w:rsid w:val="003136E5"/>
    <w:rsid w:val="00313709"/>
    <w:rsid w:val="00313715"/>
    <w:rsid w:val="0031373B"/>
    <w:rsid w:val="003137C3"/>
    <w:rsid w:val="0031387A"/>
    <w:rsid w:val="003138D0"/>
    <w:rsid w:val="003138D2"/>
    <w:rsid w:val="0031394B"/>
    <w:rsid w:val="00313965"/>
    <w:rsid w:val="00313976"/>
    <w:rsid w:val="003139A2"/>
    <w:rsid w:val="003139FC"/>
    <w:rsid w:val="00313A18"/>
    <w:rsid w:val="00313A1A"/>
    <w:rsid w:val="00313A97"/>
    <w:rsid w:val="00313AFA"/>
    <w:rsid w:val="00313B52"/>
    <w:rsid w:val="00313B8F"/>
    <w:rsid w:val="00313BC0"/>
    <w:rsid w:val="00313BFF"/>
    <w:rsid w:val="00313C83"/>
    <w:rsid w:val="00313CAC"/>
    <w:rsid w:val="00313CE6"/>
    <w:rsid w:val="00313D1C"/>
    <w:rsid w:val="00313D2C"/>
    <w:rsid w:val="00313D34"/>
    <w:rsid w:val="00313D5E"/>
    <w:rsid w:val="00313DA5"/>
    <w:rsid w:val="00313DEC"/>
    <w:rsid w:val="00313EE4"/>
    <w:rsid w:val="00313F31"/>
    <w:rsid w:val="00313F45"/>
    <w:rsid w:val="00313F6E"/>
    <w:rsid w:val="0031400C"/>
    <w:rsid w:val="0031401D"/>
    <w:rsid w:val="00314086"/>
    <w:rsid w:val="003140E5"/>
    <w:rsid w:val="003140F4"/>
    <w:rsid w:val="00314110"/>
    <w:rsid w:val="0031411F"/>
    <w:rsid w:val="00314149"/>
    <w:rsid w:val="00314166"/>
    <w:rsid w:val="00314189"/>
    <w:rsid w:val="003141E2"/>
    <w:rsid w:val="00314206"/>
    <w:rsid w:val="003142AD"/>
    <w:rsid w:val="003142D3"/>
    <w:rsid w:val="0031436A"/>
    <w:rsid w:val="003143BC"/>
    <w:rsid w:val="003143E3"/>
    <w:rsid w:val="00314431"/>
    <w:rsid w:val="003144FD"/>
    <w:rsid w:val="00314539"/>
    <w:rsid w:val="0031455E"/>
    <w:rsid w:val="003145A7"/>
    <w:rsid w:val="003145A8"/>
    <w:rsid w:val="003145FA"/>
    <w:rsid w:val="0031465B"/>
    <w:rsid w:val="00314686"/>
    <w:rsid w:val="0031472D"/>
    <w:rsid w:val="003147A3"/>
    <w:rsid w:val="003147BC"/>
    <w:rsid w:val="003147CC"/>
    <w:rsid w:val="00314817"/>
    <w:rsid w:val="00314893"/>
    <w:rsid w:val="003148DC"/>
    <w:rsid w:val="00314915"/>
    <w:rsid w:val="0031491E"/>
    <w:rsid w:val="00314926"/>
    <w:rsid w:val="0031493B"/>
    <w:rsid w:val="0031494F"/>
    <w:rsid w:val="00314993"/>
    <w:rsid w:val="00314A5E"/>
    <w:rsid w:val="00314B16"/>
    <w:rsid w:val="00314BEE"/>
    <w:rsid w:val="00314C6E"/>
    <w:rsid w:val="00314CB5"/>
    <w:rsid w:val="00314D02"/>
    <w:rsid w:val="00314D24"/>
    <w:rsid w:val="00314D28"/>
    <w:rsid w:val="00314D59"/>
    <w:rsid w:val="00314D88"/>
    <w:rsid w:val="00314DA6"/>
    <w:rsid w:val="00314DC9"/>
    <w:rsid w:val="00314DF3"/>
    <w:rsid w:val="00314E26"/>
    <w:rsid w:val="00314E60"/>
    <w:rsid w:val="00314E89"/>
    <w:rsid w:val="00314E9F"/>
    <w:rsid w:val="00314EE1"/>
    <w:rsid w:val="00314F13"/>
    <w:rsid w:val="00314F5D"/>
    <w:rsid w:val="00314FCC"/>
    <w:rsid w:val="00315007"/>
    <w:rsid w:val="0031506E"/>
    <w:rsid w:val="0031508A"/>
    <w:rsid w:val="003150C7"/>
    <w:rsid w:val="00315221"/>
    <w:rsid w:val="0031525B"/>
    <w:rsid w:val="00315260"/>
    <w:rsid w:val="0031526D"/>
    <w:rsid w:val="003152B6"/>
    <w:rsid w:val="003152CF"/>
    <w:rsid w:val="003152EC"/>
    <w:rsid w:val="003152FB"/>
    <w:rsid w:val="00315311"/>
    <w:rsid w:val="0031532A"/>
    <w:rsid w:val="0031537F"/>
    <w:rsid w:val="003153BA"/>
    <w:rsid w:val="003153C2"/>
    <w:rsid w:val="00315414"/>
    <w:rsid w:val="0031542A"/>
    <w:rsid w:val="0031545C"/>
    <w:rsid w:val="00315496"/>
    <w:rsid w:val="003154D8"/>
    <w:rsid w:val="003154E4"/>
    <w:rsid w:val="0031550A"/>
    <w:rsid w:val="00315542"/>
    <w:rsid w:val="00315583"/>
    <w:rsid w:val="003155C7"/>
    <w:rsid w:val="003155E2"/>
    <w:rsid w:val="00315605"/>
    <w:rsid w:val="0031563D"/>
    <w:rsid w:val="0031569C"/>
    <w:rsid w:val="003156F9"/>
    <w:rsid w:val="003156FE"/>
    <w:rsid w:val="0031570E"/>
    <w:rsid w:val="00315725"/>
    <w:rsid w:val="0031578B"/>
    <w:rsid w:val="003157DB"/>
    <w:rsid w:val="0031580C"/>
    <w:rsid w:val="00315846"/>
    <w:rsid w:val="0031586B"/>
    <w:rsid w:val="003158F5"/>
    <w:rsid w:val="0031596C"/>
    <w:rsid w:val="00315981"/>
    <w:rsid w:val="00315A0F"/>
    <w:rsid w:val="00315A28"/>
    <w:rsid w:val="00315A38"/>
    <w:rsid w:val="00315A47"/>
    <w:rsid w:val="00315A4F"/>
    <w:rsid w:val="00315A67"/>
    <w:rsid w:val="00315AA6"/>
    <w:rsid w:val="00315AA8"/>
    <w:rsid w:val="00315ACA"/>
    <w:rsid w:val="00315B43"/>
    <w:rsid w:val="00315BA5"/>
    <w:rsid w:val="00315BEB"/>
    <w:rsid w:val="00315C4B"/>
    <w:rsid w:val="00315CF2"/>
    <w:rsid w:val="00315D1C"/>
    <w:rsid w:val="00315D51"/>
    <w:rsid w:val="00315D5A"/>
    <w:rsid w:val="00315D6D"/>
    <w:rsid w:val="00315DAB"/>
    <w:rsid w:val="00315DC7"/>
    <w:rsid w:val="00315DDA"/>
    <w:rsid w:val="00315E21"/>
    <w:rsid w:val="00315E27"/>
    <w:rsid w:val="00315E84"/>
    <w:rsid w:val="00315EA5"/>
    <w:rsid w:val="00315EC7"/>
    <w:rsid w:val="00315EEA"/>
    <w:rsid w:val="00315F0D"/>
    <w:rsid w:val="00315FB0"/>
    <w:rsid w:val="00315FB7"/>
    <w:rsid w:val="00315FD8"/>
    <w:rsid w:val="00316010"/>
    <w:rsid w:val="0031604F"/>
    <w:rsid w:val="0031605E"/>
    <w:rsid w:val="0031606C"/>
    <w:rsid w:val="003160A5"/>
    <w:rsid w:val="003160B7"/>
    <w:rsid w:val="003160D2"/>
    <w:rsid w:val="0031612A"/>
    <w:rsid w:val="00316136"/>
    <w:rsid w:val="003162CB"/>
    <w:rsid w:val="0031637D"/>
    <w:rsid w:val="00316539"/>
    <w:rsid w:val="0031655E"/>
    <w:rsid w:val="003165D9"/>
    <w:rsid w:val="00316611"/>
    <w:rsid w:val="00316644"/>
    <w:rsid w:val="00316663"/>
    <w:rsid w:val="0031667A"/>
    <w:rsid w:val="00316685"/>
    <w:rsid w:val="0031679F"/>
    <w:rsid w:val="003167D5"/>
    <w:rsid w:val="003167DD"/>
    <w:rsid w:val="00316868"/>
    <w:rsid w:val="003168DD"/>
    <w:rsid w:val="003168EC"/>
    <w:rsid w:val="00316910"/>
    <w:rsid w:val="00316958"/>
    <w:rsid w:val="0031698E"/>
    <w:rsid w:val="003169A3"/>
    <w:rsid w:val="003169AE"/>
    <w:rsid w:val="003169B7"/>
    <w:rsid w:val="003169E9"/>
    <w:rsid w:val="00316A35"/>
    <w:rsid w:val="00316A4C"/>
    <w:rsid w:val="00316A56"/>
    <w:rsid w:val="00316A85"/>
    <w:rsid w:val="00316AE0"/>
    <w:rsid w:val="00316AE5"/>
    <w:rsid w:val="00316AF1"/>
    <w:rsid w:val="00316B3A"/>
    <w:rsid w:val="00316B44"/>
    <w:rsid w:val="00316B83"/>
    <w:rsid w:val="00316BBF"/>
    <w:rsid w:val="00316BCE"/>
    <w:rsid w:val="00316BDF"/>
    <w:rsid w:val="00316C30"/>
    <w:rsid w:val="00316C33"/>
    <w:rsid w:val="00316C84"/>
    <w:rsid w:val="00316CD8"/>
    <w:rsid w:val="00316CF5"/>
    <w:rsid w:val="00316DA6"/>
    <w:rsid w:val="00316DBB"/>
    <w:rsid w:val="00316DEB"/>
    <w:rsid w:val="00316DF6"/>
    <w:rsid w:val="00316E1F"/>
    <w:rsid w:val="00316E27"/>
    <w:rsid w:val="00316E5D"/>
    <w:rsid w:val="00316E71"/>
    <w:rsid w:val="00316F5D"/>
    <w:rsid w:val="00316F63"/>
    <w:rsid w:val="00316F8D"/>
    <w:rsid w:val="00316F9A"/>
    <w:rsid w:val="00316FA2"/>
    <w:rsid w:val="00316FAF"/>
    <w:rsid w:val="00316FD2"/>
    <w:rsid w:val="00316FD8"/>
    <w:rsid w:val="00316FED"/>
    <w:rsid w:val="00317013"/>
    <w:rsid w:val="003170A0"/>
    <w:rsid w:val="003170A3"/>
    <w:rsid w:val="003170B6"/>
    <w:rsid w:val="003170D9"/>
    <w:rsid w:val="00317150"/>
    <w:rsid w:val="00317167"/>
    <w:rsid w:val="00317179"/>
    <w:rsid w:val="0031717F"/>
    <w:rsid w:val="00317192"/>
    <w:rsid w:val="00317287"/>
    <w:rsid w:val="003172B2"/>
    <w:rsid w:val="003172E3"/>
    <w:rsid w:val="003172FF"/>
    <w:rsid w:val="00317329"/>
    <w:rsid w:val="00317359"/>
    <w:rsid w:val="0031736B"/>
    <w:rsid w:val="0031739F"/>
    <w:rsid w:val="00317467"/>
    <w:rsid w:val="00317475"/>
    <w:rsid w:val="003174A5"/>
    <w:rsid w:val="003174B4"/>
    <w:rsid w:val="003174EE"/>
    <w:rsid w:val="00317579"/>
    <w:rsid w:val="0031759C"/>
    <w:rsid w:val="003175BA"/>
    <w:rsid w:val="003175C4"/>
    <w:rsid w:val="003175CA"/>
    <w:rsid w:val="003175E8"/>
    <w:rsid w:val="00317608"/>
    <w:rsid w:val="00317690"/>
    <w:rsid w:val="003176AE"/>
    <w:rsid w:val="003176D1"/>
    <w:rsid w:val="0031770C"/>
    <w:rsid w:val="00317713"/>
    <w:rsid w:val="0031774B"/>
    <w:rsid w:val="00317750"/>
    <w:rsid w:val="00317788"/>
    <w:rsid w:val="003177AA"/>
    <w:rsid w:val="003177CB"/>
    <w:rsid w:val="003177EC"/>
    <w:rsid w:val="00317938"/>
    <w:rsid w:val="00317982"/>
    <w:rsid w:val="003179BC"/>
    <w:rsid w:val="003179E3"/>
    <w:rsid w:val="00317A06"/>
    <w:rsid w:val="00317A4B"/>
    <w:rsid w:val="00317A57"/>
    <w:rsid w:val="00317A6C"/>
    <w:rsid w:val="00317A93"/>
    <w:rsid w:val="00317AF7"/>
    <w:rsid w:val="00317AFD"/>
    <w:rsid w:val="00317B0D"/>
    <w:rsid w:val="00317BD1"/>
    <w:rsid w:val="00317C92"/>
    <w:rsid w:val="00317CCA"/>
    <w:rsid w:val="00317DC8"/>
    <w:rsid w:val="00317DD8"/>
    <w:rsid w:val="00317E11"/>
    <w:rsid w:val="00317E40"/>
    <w:rsid w:val="00317EBE"/>
    <w:rsid w:val="00317ECA"/>
    <w:rsid w:val="00317FC0"/>
    <w:rsid w:val="00317FD4"/>
    <w:rsid w:val="0031B885"/>
    <w:rsid w:val="00320004"/>
    <w:rsid w:val="00320023"/>
    <w:rsid w:val="00320055"/>
    <w:rsid w:val="003200A0"/>
    <w:rsid w:val="003200A6"/>
    <w:rsid w:val="00320102"/>
    <w:rsid w:val="0032012E"/>
    <w:rsid w:val="00320153"/>
    <w:rsid w:val="003201C0"/>
    <w:rsid w:val="0032021D"/>
    <w:rsid w:val="00320252"/>
    <w:rsid w:val="003202BD"/>
    <w:rsid w:val="003202BE"/>
    <w:rsid w:val="003202D2"/>
    <w:rsid w:val="0032030A"/>
    <w:rsid w:val="00320328"/>
    <w:rsid w:val="00320331"/>
    <w:rsid w:val="00320339"/>
    <w:rsid w:val="00320362"/>
    <w:rsid w:val="003203BD"/>
    <w:rsid w:val="003203DB"/>
    <w:rsid w:val="003203E8"/>
    <w:rsid w:val="0032040D"/>
    <w:rsid w:val="00320426"/>
    <w:rsid w:val="0032047B"/>
    <w:rsid w:val="0032049A"/>
    <w:rsid w:val="003204B0"/>
    <w:rsid w:val="003204E3"/>
    <w:rsid w:val="00320536"/>
    <w:rsid w:val="0032054B"/>
    <w:rsid w:val="00320578"/>
    <w:rsid w:val="003205C9"/>
    <w:rsid w:val="003205EF"/>
    <w:rsid w:val="00320614"/>
    <w:rsid w:val="003206B3"/>
    <w:rsid w:val="003206C2"/>
    <w:rsid w:val="003206D6"/>
    <w:rsid w:val="00320707"/>
    <w:rsid w:val="00320719"/>
    <w:rsid w:val="00320760"/>
    <w:rsid w:val="003207E3"/>
    <w:rsid w:val="0032083D"/>
    <w:rsid w:val="00320855"/>
    <w:rsid w:val="003208CC"/>
    <w:rsid w:val="003208CE"/>
    <w:rsid w:val="0032093A"/>
    <w:rsid w:val="0032094D"/>
    <w:rsid w:val="00320974"/>
    <w:rsid w:val="003209B3"/>
    <w:rsid w:val="003209BA"/>
    <w:rsid w:val="003209BC"/>
    <w:rsid w:val="003209DC"/>
    <w:rsid w:val="00320AB3"/>
    <w:rsid w:val="00320AC6"/>
    <w:rsid w:val="00320B22"/>
    <w:rsid w:val="00320BB3"/>
    <w:rsid w:val="00320BCE"/>
    <w:rsid w:val="00320C00"/>
    <w:rsid w:val="00320C53"/>
    <w:rsid w:val="00320CAB"/>
    <w:rsid w:val="00320CAD"/>
    <w:rsid w:val="00320D78"/>
    <w:rsid w:val="00320D7D"/>
    <w:rsid w:val="00320DB6"/>
    <w:rsid w:val="00320DD6"/>
    <w:rsid w:val="00320E4E"/>
    <w:rsid w:val="00320E5B"/>
    <w:rsid w:val="00321073"/>
    <w:rsid w:val="003210ED"/>
    <w:rsid w:val="003210FE"/>
    <w:rsid w:val="00321100"/>
    <w:rsid w:val="0032114D"/>
    <w:rsid w:val="00321180"/>
    <w:rsid w:val="00321181"/>
    <w:rsid w:val="003211F5"/>
    <w:rsid w:val="003211FE"/>
    <w:rsid w:val="00321202"/>
    <w:rsid w:val="0032120F"/>
    <w:rsid w:val="00321213"/>
    <w:rsid w:val="00321214"/>
    <w:rsid w:val="00321265"/>
    <w:rsid w:val="00321330"/>
    <w:rsid w:val="00321364"/>
    <w:rsid w:val="0032138F"/>
    <w:rsid w:val="00321425"/>
    <w:rsid w:val="0032146A"/>
    <w:rsid w:val="00321496"/>
    <w:rsid w:val="003214CC"/>
    <w:rsid w:val="003214FD"/>
    <w:rsid w:val="00321532"/>
    <w:rsid w:val="0032153C"/>
    <w:rsid w:val="003215D2"/>
    <w:rsid w:val="003215E9"/>
    <w:rsid w:val="003215F1"/>
    <w:rsid w:val="00321653"/>
    <w:rsid w:val="00321663"/>
    <w:rsid w:val="0032166D"/>
    <w:rsid w:val="0032167D"/>
    <w:rsid w:val="0032168F"/>
    <w:rsid w:val="00321695"/>
    <w:rsid w:val="00321720"/>
    <w:rsid w:val="00321766"/>
    <w:rsid w:val="003217C0"/>
    <w:rsid w:val="0032189F"/>
    <w:rsid w:val="003218E9"/>
    <w:rsid w:val="0032191C"/>
    <w:rsid w:val="0032199A"/>
    <w:rsid w:val="003219E6"/>
    <w:rsid w:val="003219FB"/>
    <w:rsid w:val="00321A47"/>
    <w:rsid w:val="00321A57"/>
    <w:rsid w:val="00321A5A"/>
    <w:rsid w:val="00321A5D"/>
    <w:rsid w:val="00321AE7"/>
    <w:rsid w:val="00321AF5"/>
    <w:rsid w:val="00321AFA"/>
    <w:rsid w:val="00321B12"/>
    <w:rsid w:val="00321B63"/>
    <w:rsid w:val="00321B6A"/>
    <w:rsid w:val="00321B70"/>
    <w:rsid w:val="00321B9F"/>
    <w:rsid w:val="00321BBD"/>
    <w:rsid w:val="00321BD1"/>
    <w:rsid w:val="00321C0A"/>
    <w:rsid w:val="00321C66"/>
    <w:rsid w:val="00321CE0"/>
    <w:rsid w:val="00321D0B"/>
    <w:rsid w:val="00321D7A"/>
    <w:rsid w:val="00321D92"/>
    <w:rsid w:val="00321DB6"/>
    <w:rsid w:val="00321E28"/>
    <w:rsid w:val="00321E57"/>
    <w:rsid w:val="00321EED"/>
    <w:rsid w:val="00321EFE"/>
    <w:rsid w:val="00321F0B"/>
    <w:rsid w:val="00321F1E"/>
    <w:rsid w:val="00321F40"/>
    <w:rsid w:val="00321F49"/>
    <w:rsid w:val="00322008"/>
    <w:rsid w:val="0032205B"/>
    <w:rsid w:val="0032207F"/>
    <w:rsid w:val="00322146"/>
    <w:rsid w:val="003221A3"/>
    <w:rsid w:val="003221F4"/>
    <w:rsid w:val="00322291"/>
    <w:rsid w:val="0032229D"/>
    <w:rsid w:val="0032232F"/>
    <w:rsid w:val="0032239D"/>
    <w:rsid w:val="003223FE"/>
    <w:rsid w:val="003224CD"/>
    <w:rsid w:val="003224EA"/>
    <w:rsid w:val="0032251D"/>
    <w:rsid w:val="00322529"/>
    <w:rsid w:val="00322549"/>
    <w:rsid w:val="00322559"/>
    <w:rsid w:val="00322562"/>
    <w:rsid w:val="00322606"/>
    <w:rsid w:val="00322623"/>
    <w:rsid w:val="0032265C"/>
    <w:rsid w:val="00322682"/>
    <w:rsid w:val="003226B5"/>
    <w:rsid w:val="0032270F"/>
    <w:rsid w:val="00322764"/>
    <w:rsid w:val="003227C6"/>
    <w:rsid w:val="003227D1"/>
    <w:rsid w:val="003227D5"/>
    <w:rsid w:val="003227DB"/>
    <w:rsid w:val="00322841"/>
    <w:rsid w:val="00322843"/>
    <w:rsid w:val="00322894"/>
    <w:rsid w:val="003228DA"/>
    <w:rsid w:val="00322929"/>
    <w:rsid w:val="003229A8"/>
    <w:rsid w:val="00322A5B"/>
    <w:rsid w:val="00322A62"/>
    <w:rsid w:val="00322A7E"/>
    <w:rsid w:val="00322B48"/>
    <w:rsid w:val="00322B6A"/>
    <w:rsid w:val="00322B8F"/>
    <w:rsid w:val="00322C04"/>
    <w:rsid w:val="00322C7B"/>
    <w:rsid w:val="00322CFB"/>
    <w:rsid w:val="00322D3D"/>
    <w:rsid w:val="00322E37"/>
    <w:rsid w:val="00322E6A"/>
    <w:rsid w:val="00322E90"/>
    <w:rsid w:val="00322EC6"/>
    <w:rsid w:val="00322ECC"/>
    <w:rsid w:val="00322FA4"/>
    <w:rsid w:val="003230B3"/>
    <w:rsid w:val="003230C6"/>
    <w:rsid w:val="003230F3"/>
    <w:rsid w:val="00323128"/>
    <w:rsid w:val="0032312E"/>
    <w:rsid w:val="00323137"/>
    <w:rsid w:val="003231C6"/>
    <w:rsid w:val="003231CF"/>
    <w:rsid w:val="00323240"/>
    <w:rsid w:val="00323241"/>
    <w:rsid w:val="00323269"/>
    <w:rsid w:val="003232AF"/>
    <w:rsid w:val="0032330D"/>
    <w:rsid w:val="0032336E"/>
    <w:rsid w:val="0032337E"/>
    <w:rsid w:val="003233C5"/>
    <w:rsid w:val="00323403"/>
    <w:rsid w:val="00323440"/>
    <w:rsid w:val="0032348D"/>
    <w:rsid w:val="0032350B"/>
    <w:rsid w:val="00323512"/>
    <w:rsid w:val="0032354D"/>
    <w:rsid w:val="00323551"/>
    <w:rsid w:val="00323567"/>
    <w:rsid w:val="003235A1"/>
    <w:rsid w:val="003235CD"/>
    <w:rsid w:val="00323645"/>
    <w:rsid w:val="003236A7"/>
    <w:rsid w:val="00323738"/>
    <w:rsid w:val="00323740"/>
    <w:rsid w:val="003237D3"/>
    <w:rsid w:val="00323829"/>
    <w:rsid w:val="0032387B"/>
    <w:rsid w:val="00323954"/>
    <w:rsid w:val="003239C9"/>
    <w:rsid w:val="00323A3E"/>
    <w:rsid w:val="00323AD0"/>
    <w:rsid w:val="00323AD1"/>
    <w:rsid w:val="00323B70"/>
    <w:rsid w:val="00323C1F"/>
    <w:rsid w:val="00323C3E"/>
    <w:rsid w:val="00323C49"/>
    <w:rsid w:val="00323C51"/>
    <w:rsid w:val="00323C5C"/>
    <w:rsid w:val="00323C65"/>
    <w:rsid w:val="00323C89"/>
    <w:rsid w:val="00323C9B"/>
    <w:rsid w:val="00323D19"/>
    <w:rsid w:val="00323D24"/>
    <w:rsid w:val="00323D33"/>
    <w:rsid w:val="00323D9C"/>
    <w:rsid w:val="00323E27"/>
    <w:rsid w:val="00323E53"/>
    <w:rsid w:val="00323ED1"/>
    <w:rsid w:val="00323F04"/>
    <w:rsid w:val="00323F65"/>
    <w:rsid w:val="00323FA0"/>
    <w:rsid w:val="00324049"/>
    <w:rsid w:val="003240AB"/>
    <w:rsid w:val="003240B2"/>
    <w:rsid w:val="0032411A"/>
    <w:rsid w:val="00324129"/>
    <w:rsid w:val="0032412B"/>
    <w:rsid w:val="0032414E"/>
    <w:rsid w:val="0032414F"/>
    <w:rsid w:val="00324154"/>
    <w:rsid w:val="003241B4"/>
    <w:rsid w:val="003241E8"/>
    <w:rsid w:val="00324206"/>
    <w:rsid w:val="00324215"/>
    <w:rsid w:val="00324261"/>
    <w:rsid w:val="00324264"/>
    <w:rsid w:val="003242F7"/>
    <w:rsid w:val="00324318"/>
    <w:rsid w:val="00324335"/>
    <w:rsid w:val="00324365"/>
    <w:rsid w:val="00324371"/>
    <w:rsid w:val="0032442E"/>
    <w:rsid w:val="003244CD"/>
    <w:rsid w:val="00324515"/>
    <w:rsid w:val="00324559"/>
    <w:rsid w:val="0032455C"/>
    <w:rsid w:val="0032458A"/>
    <w:rsid w:val="003245DF"/>
    <w:rsid w:val="0032463B"/>
    <w:rsid w:val="00324658"/>
    <w:rsid w:val="00324688"/>
    <w:rsid w:val="003246D0"/>
    <w:rsid w:val="00324716"/>
    <w:rsid w:val="00324734"/>
    <w:rsid w:val="003247C4"/>
    <w:rsid w:val="0032486D"/>
    <w:rsid w:val="00324898"/>
    <w:rsid w:val="003248D6"/>
    <w:rsid w:val="003248EB"/>
    <w:rsid w:val="0032492D"/>
    <w:rsid w:val="003249B9"/>
    <w:rsid w:val="003249F9"/>
    <w:rsid w:val="00324A45"/>
    <w:rsid w:val="00324A51"/>
    <w:rsid w:val="00324A7B"/>
    <w:rsid w:val="00324A9E"/>
    <w:rsid w:val="00324AB3"/>
    <w:rsid w:val="00324B1C"/>
    <w:rsid w:val="00324B86"/>
    <w:rsid w:val="00324BDB"/>
    <w:rsid w:val="00324BE2"/>
    <w:rsid w:val="00324BE4"/>
    <w:rsid w:val="00324BE6"/>
    <w:rsid w:val="00324C2C"/>
    <w:rsid w:val="00324C95"/>
    <w:rsid w:val="00324C9A"/>
    <w:rsid w:val="00324CA4"/>
    <w:rsid w:val="00324CCB"/>
    <w:rsid w:val="00324D96"/>
    <w:rsid w:val="00324DAF"/>
    <w:rsid w:val="00324E06"/>
    <w:rsid w:val="00324E38"/>
    <w:rsid w:val="00324EB2"/>
    <w:rsid w:val="00324EE4"/>
    <w:rsid w:val="00324F51"/>
    <w:rsid w:val="00324FED"/>
    <w:rsid w:val="00325065"/>
    <w:rsid w:val="003250AE"/>
    <w:rsid w:val="0032510B"/>
    <w:rsid w:val="00325162"/>
    <w:rsid w:val="00325181"/>
    <w:rsid w:val="00325189"/>
    <w:rsid w:val="003251C1"/>
    <w:rsid w:val="0032524F"/>
    <w:rsid w:val="00325258"/>
    <w:rsid w:val="0032537C"/>
    <w:rsid w:val="003253B2"/>
    <w:rsid w:val="0032543F"/>
    <w:rsid w:val="00325480"/>
    <w:rsid w:val="003255D3"/>
    <w:rsid w:val="0032561A"/>
    <w:rsid w:val="003256C8"/>
    <w:rsid w:val="003256CC"/>
    <w:rsid w:val="003256FB"/>
    <w:rsid w:val="0032570B"/>
    <w:rsid w:val="0032576F"/>
    <w:rsid w:val="003257B3"/>
    <w:rsid w:val="00325849"/>
    <w:rsid w:val="00325920"/>
    <w:rsid w:val="0032594D"/>
    <w:rsid w:val="0032595E"/>
    <w:rsid w:val="00325969"/>
    <w:rsid w:val="003259B9"/>
    <w:rsid w:val="00325A51"/>
    <w:rsid w:val="00325A85"/>
    <w:rsid w:val="00325B28"/>
    <w:rsid w:val="00325BC8"/>
    <w:rsid w:val="00325C2D"/>
    <w:rsid w:val="00325C30"/>
    <w:rsid w:val="00325D1E"/>
    <w:rsid w:val="00325D30"/>
    <w:rsid w:val="00325D33"/>
    <w:rsid w:val="00325D43"/>
    <w:rsid w:val="00325D55"/>
    <w:rsid w:val="00325DA4"/>
    <w:rsid w:val="00325DAB"/>
    <w:rsid w:val="00325E1A"/>
    <w:rsid w:val="00325E29"/>
    <w:rsid w:val="00325E65"/>
    <w:rsid w:val="00325E74"/>
    <w:rsid w:val="00325EE1"/>
    <w:rsid w:val="00325F4B"/>
    <w:rsid w:val="00325FF9"/>
    <w:rsid w:val="0032607A"/>
    <w:rsid w:val="00326084"/>
    <w:rsid w:val="003260C6"/>
    <w:rsid w:val="003260C9"/>
    <w:rsid w:val="003260E3"/>
    <w:rsid w:val="003260FE"/>
    <w:rsid w:val="00326119"/>
    <w:rsid w:val="003261DA"/>
    <w:rsid w:val="0032622D"/>
    <w:rsid w:val="0032623C"/>
    <w:rsid w:val="0032627A"/>
    <w:rsid w:val="003262E5"/>
    <w:rsid w:val="003262F3"/>
    <w:rsid w:val="00326320"/>
    <w:rsid w:val="0032632C"/>
    <w:rsid w:val="0032633E"/>
    <w:rsid w:val="00326362"/>
    <w:rsid w:val="003263D9"/>
    <w:rsid w:val="003263E8"/>
    <w:rsid w:val="00326475"/>
    <w:rsid w:val="0032649A"/>
    <w:rsid w:val="003264E9"/>
    <w:rsid w:val="0032655C"/>
    <w:rsid w:val="00326588"/>
    <w:rsid w:val="003265A8"/>
    <w:rsid w:val="003265B5"/>
    <w:rsid w:val="003265D7"/>
    <w:rsid w:val="0032661E"/>
    <w:rsid w:val="003266BC"/>
    <w:rsid w:val="00326730"/>
    <w:rsid w:val="00326747"/>
    <w:rsid w:val="003267CB"/>
    <w:rsid w:val="00326865"/>
    <w:rsid w:val="00326867"/>
    <w:rsid w:val="00326874"/>
    <w:rsid w:val="0032687B"/>
    <w:rsid w:val="00326880"/>
    <w:rsid w:val="00326882"/>
    <w:rsid w:val="00326892"/>
    <w:rsid w:val="003268AF"/>
    <w:rsid w:val="003268B6"/>
    <w:rsid w:val="00326943"/>
    <w:rsid w:val="00326974"/>
    <w:rsid w:val="00326A5C"/>
    <w:rsid w:val="00326A9E"/>
    <w:rsid w:val="00326AC0"/>
    <w:rsid w:val="00326AE6"/>
    <w:rsid w:val="00326B02"/>
    <w:rsid w:val="00326B5A"/>
    <w:rsid w:val="00326BA8"/>
    <w:rsid w:val="00326C06"/>
    <w:rsid w:val="00326CAE"/>
    <w:rsid w:val="00326D7C"/>
    <w:rsid w:val="00326DB4"/>
    <w:rsid w:val="00326DD9"/>
    <w:rsid w:val="00326E44"/>
    <w:rsid w:val="00326E6D"/>
    <w:rsid w:val="00326ED5"/>
    <w:rsid w:val="00326F1A"/>
    <w:rsid w:val="00326FC6"/>
    <w:rsid w:val="00326FCF"/>
    <w:rsid w:val="00327003"/>
    <w:rsid w:val="00327062"/>
    <w:rsid w:val="003270CE"/>
    <w:rsid w:val="00327106"/>
    <w:rsid w:val="00327111"/>
    <w:rsid w:val="003271E2"/>
    <w:rsid w:val="00327298"/>
    <w:rsid w:val="003272CB"/>
    <w:rsid w:val="00327307"/>
    <w:rsid w:val="00327382"/>
    <w:rsid w:val="003273A6"/>
    <w:rsid w:val="0032748C"/>
    <w:rsid w:val="003274DC"/>
    <w:rsid w:val="00327517"/>
    <w:rsid w:val="00327520"/>
    <w:rsid w:val="00327562"/>
    <w:rsid w:val="003275DF"/>
    <w:rsid w:val="0032760B"/>
    <w:rsid w:val="003276A1"/>
    <w:rsid w:val="003276BA"/>
    <w:rsid w:val="003276DA"/>
    <w:rsid w:val="00327792"/>
    <w:rsid w:val="003277BE"/>
    <w:rsid w:val="003277D5"/>
    <w:rsid w:val="003277F2"/>
    <w:rsid w:val="00327855"/>
    <w:rsid w:val="003278A3"/>
    <w:rsid w:val="003278BD"/>
    <w:rsid w:val="003278C3"/>
    <w:rsid w:val="0032796B"/>
    <w:rsid w:val="003279A5"/>
    <w:rsid w:val="003279B7"/>
    <w:rsid w:val="00327A5A"/>
    <w:rsid w:val="00327AAE"/>
    <w:rsid w:val="00327B6A"/>
    <w:rsid w:val="00327C26"/>
    <w:rsid w:val="00327C63"/>
    <w:rsid w:val="00327C7C"/>
    <w:rsid w:val="00327D20"/>
    <w:rsid w:val="00327D6E"/>
    <w:rsid w:val="00327DA1"/>
    <w:rsid w:val="00327DC4"/>
    <w:rsid w:val="00327DCC"/>
    <w:rsid w:val="00327EF7"/>
    <w:rsid w:val="00327F36"/>
    <w:rsid w:val="00327F45"/>
    <w:rsid w:val="0033001E"/>
    <w:rsid w:val="00330073"/>
    <w:rsid w:val="0033009D"/>
    <w:rsid w:val="003300EC"/>
    <w:rsid w:val="0033026A"/>
    <w:rsid w:val="003302F5"/>
    <w:rsid w:val="003302F6"/>
    <w:rsid w:val="00330316"/>
    <w:rsid w:val="003303DA"/>
    <w:rsid w:val="00330437"/>
    <w:rsid w:val="0033043D"/>
    <w:rsid w:val="0033045C"/>
    <w:rsid w:val="003304A7"/>
    <w:rsid w:val="003304A8"/>
    <w:rsid w:val="003304C0"/>
    <w:rsid w:val="003304C4"/>
    <w:rsid w:val="003304C9"/>
    <w:rsid w:val="003304F6"/>
    <w:rsid w:val="00330538"/>
    <w:rsid w:val="00330555"/>
    <w:rsid w:val="003305F4"/>
    <w:rsid w:val="00330658"/>
    <w:rsid w:val="00330669"/>
    <w:rsid w:val="00330681"/>
    <w:rsid w:val="0033069A"/>
    <w:rsid w:val="003306ED"/>
    <w:rsid w:val="00330751"/>
    <w:rsid w:val="003307BA"/>
    <w:rsid w:val="0033086C"/>
    <w:rsid w:val="003308CA"/>
    <w:rsid w:val="00330903"/>
    <w:rsid w:val="00330975"/>
    <w:rsid w:val="00330977"/>
    <w:rsid w:val="00330996"/>
    <w:rsid w:val="003309DB"/>
    <w:rsid w:val="00330A77"/>
    <w:rsid w:val="00330A7C"/>
    <w:rsid w:val="00330AA1"/>
    <w:rsid w:val="00330ABC"/>
    <w:rsid w:val="00330ACF"/>
    <w:rsid w:val="00330B74"/>
    <w:rsid w:val="00330C01"/>
    <w:rsid w:val="00330C19"/>
    <w:rsid w:val="00330C27"/>
    <w:rsid w:val="00330C62"/>
    <w:rsid w:val="00330C86"/>
    <w:rsid w:val="00330CC7"/>
    <w:rsid w:val="00330CCB"/>
    <w:rsid w:val="00330D17"/>
    <w:rsid w:val="00330D53"/>
    <w:rsid w:val="00330D77"/>
    <w:rsid w:val="00330DB2"/>
    <w:rsid w:val="00330E2E"/>
    <w:rsid w:val="00330EC2"/>
    <w:rsid w:val="00330ED5"/>
    <w:rsid w:val="00330F21"/>
    <w:rsid w:val="00330F50"/>
    <w:rsid w:val="00330F54"/>
    <w:rsid w:val="00330F56"/>
    <w:rsid w:val="00330F6C"/>
    <w:rsid w:val="00330F86"/>
    <w:rsid w:val="003310FC"/>
    <w:rsid w:val="0033110D"/>
    <w:rsid w:val="00331116"/>
    <w:rsid w:val="0033112A"/>
    <w:rsid w:val="00331143"/>
    <w:rsid w:val="0033114B"/>
    <w:rsid w:val="00331181"/>
    <w:rsid w:val="0033119D"/>
    <w:rsid w:val="003311B8"/>
    <w:rsid w:val="003311C0"/>
    <w:rsid w:val="003311F0"/>
    <w:rsid w:val="00331210"/>
    <w:rsid w:val="00331232"/>
    <w:rsid w:val="00331240"/>
    <w:rsid w:val="00331265"/>
    <w:rsid w:val="00331295"/>
    <w:rsid w:val="003313D9"/>
    <w:rsid w:val="003313E9"/>
    <w:rsid w:val="00331402"/>
    <w:rsid w:val="00331427"/>
    <w:rsid w:val="00331474"/>
    <w:rsid w:val="0033147C"/>
    <w:rsid w:val="00331486"/>
    <w:rsid w:val="0033148B"/>
    <w:rsid w:val="003314B2"/>
    <w:rsid w:val="00331511"/>
    <w:rsid w:val="00331558"/>
    <w:rsid w:val="0033156D"/>
    <w:rsid w:val="00331598"/>
    <w:rsid w:val="003315B9"/>
    <w:rsid w:val="003315DE"/>
    <w:rsid w:val="00331623"/>
    <w:rsid w:val="00331698"/>
    <w:rsid w:val="003316C7"/>
    <w:rsid w:val="003316F2"/>
    <w:rsid w:val="003316F8"/>
    <w:rsid w:val="00331756"/>
    <w:rsid w:val="00331764"/>
    <w:rsid w:val="003317BF"/>
    <w:rsid w:val="003318B0"/>
    <w:rsid w:val="003318E1"/>
    <w:rsid w:val="003318F3"/>
    <w:rsid w:val="003318F5"/>
    <w:rsid w:val="0033190B"/>
    <w:rsid w:val="00331932"/>
    <w:rsid w:val="0033196D"/>
    <w:rsid w:val="00331974"/>
    <w:rsid w:val="003319F7"/>
    <w:rsid w:val="00331A5D"/>
    <w:rsid w:val="00331AA8"/>
    <w:rsid w:val="00331AB0"/>
    <w:rsid w:val="00331AB7"/>
    <w:rsid w:val="00331B88"/>
    <w:rsid w:val="00331BA2"/>
    <w:rsid w:val="00331BA8"/>
    <w:rsid w:val="00331C09"/>
    <w:rsid w:val="00331C18"/>
    <w:rsid w:val="00331C4C"/>
    <w:rsid w:val="00331C53"/>
    <w:rsid w:val="00331C89"/>
    <w:rsid w:val="00331CD0"/>
    <w:rsid w:val="00331D0A"/>
    <w:rsid w:val="00331D3A"/>
    <w:rsid w:val="00331D7D"/>
    <w:rsid w:val="00331D9B"/>
    <w:rsid w:val="00331DBF"/>
    <w:rsid w:val="00331DEF"/>
    <w:rsid w:val="00331E16"/>
    <w:rsid w:val="00331E53"/>
    <w:rsid w:val="00331E9B"/>
    <w:rsid w:val="00331EB5"/>
    <w:rsid w:val="00331EF6"/>
    <w:rsid w:val="00331F09"/>
    <w:rsid w:val="00331F0A"/>
    <w:rsid w:val="00331F0B"/>
    <w:rsid w:val="00331F15"/>
    <w:rsid w:val="00331F27"/>
    <w:rsid w:val="00331F29"/>
    <w:rsid w:val="00331FC6"/>
    <w:rsid w:val="00331FCD"/>
    <w:rsid w:val="00332071"/>
    <w:rsid w:val="00332083"/>
    <w:rsid w:val="003320AA"/>
    <w:rsid w:val="003320CB"/>
    <w:rsid w:val="0033213E"/>
    <w:rsid w:val="00332170"/>
    <w:rsid w:val="0033218F"/>
    <w:rsid w:val="003321D1"/>
    <w:rsid w:val="0033230E"/>
    <w:rsid w:val="00332312"/>
    <w:rsid w:val="00332368"/>
    <w:rsid w:val="00332391"/>
    <w:rsid w:val="003323D8"/>
    <w:rsid w:val="003323EB"/>
    <w:rsid w:val="00332469"/>
    <w:rsid w:val="003324AE"/>
    <w:rsid w:val="0033253F"/>
    <w:rsid w:val="00332560"/>
    <w:rsid w:val="0033258B"/>
    <w:rsid w:val="00332590"/>
    <w:rsid w:val="00332594"/>
    <w:rsid w:val="003325E2"/>
    <w:rsid w:val="003325E9"/>
    <w:rsid w:val="00332616"/>
    <w:rsid w:val="0033263E"/>
    <w:rsid w:val="00332680"/>
    <w:rsid w:val="00332696"/>
    <w:rsid w:val="0033281C"/>
    <w:rsid w:val="003328A8"/>
    <w:rsid w:val="00332926"/>
    <w:rsid w:val="0033298B"/>
    <w:rsid w:val="003329A6"/>
    <w:rsid w:val="00332A51"/>
    <w:rsid w:val="00332A8F"/>
    <w:rsid w:val="00332A91"/>
    <w:rsid w:val="00332ACB"/>
    <w:rsid w:val="00332B41"/>
    <w:rsid w:val="00332B55"/>
    <w:rsid w:val="00332BB9"/>
    <w:rsid w:val="00332BDB"/>
    <w:rsid w:val="00332BFC"/>
    <w:rsid w:val="00332C0F"/>
    <w:rsid w:val="00332C65"/>
    <w:rsid w:val="00332D1D"/>
    <w:rsid w:val="00332E2D"/>
    <w:rsid w:val="00332E7B"/>
    <w:rsid w:val="00332EB3"/>
    <w:rsid w:val="00332ECF"/>
    <w:rsid w:val="00332ED2"/>
    <w:rsid w:val="00332F64"/>
    <w:rsid w:val="00332F9D"/>
    <w:rsid w:val="00332FAA"/>
    <w:rsid w:val="00332FE7"/>
    <w:rsid w:val="0033300C"/>
    <w:rsid w:val="00333050"/>
    <w:rsid w:val="00333070"/>
    <w:rsid w:val="0033308B"/>
    <w:rsid w:val="003330C1"/>
    <w:rsid w:val="003330D0"/>
    <w:rsid w:val="00333163"/>
    <w:rsid w:val="00333207"/>
    <w:rsid w:val="00333217"/>
    <w:rsid w:val="0033327D"/>
    <w:rsid w:val="003332F7"/>
    <w:rsid w:val="0033332B"/>
    <w:rsid w:val="00333342"/>
    <w:rsid w:val="0033338E"/>
    <w:rsid w:val="003333C4"/>
    <w:rsid w:val="00333412"/>
    <w:rsid w:val="0033341B"/>
    <w:rsid w:val="0033342C"/>
    <w:rsid w:val="00333494"/>
    <w:rsid w:val="003334C6"/>
    <w:rsid w:val="003334C9"/>
    <w:rsid w:val="003334D1"/>
    <w:rsid w:val="003334EE"/>
    <w:rsid w:val="0033353D"/>
    <w:rsid w:val="00333573"/>
    <w:rsid w:val="003335C0"/>
    <w:rsid w:val="003335E4"/>
    <w:rsid w:val="003335E9"/>
    <w:rsid w:val="003335F0"/>
    <w:rsid w:val="00333647"/>
    <w:rsid w:val="003336A7"/>
    <w:rsid w:val="003336BF"/>
    <w:rsid w:val="003336C4"/>
    <w:rsid w:val="003336F0"/>
    <w:rsid w:val="00333736"/>
    <w:rsid w:val="003337D4"/>
    <w:rsid w:val="0033383A"/>
    <w:rsid w:val="00333866"/>
    <w:rsid w:val="003338B9"/>
    <w:rsid w:val="003338EA"/>
    <w:rsid w:val="00333930"/>
    <w:rsid w:val="00333941"/>
    <w:rsid w:val="00333A31"/>
    <w:rsid w:val="00333A3B"/>
    <w:rsid w:val="00333A8B"/>
    <w:rsid w:val="00333AE6"/>
    <w:rsid w:val="00333B11"/>
    <w:rsid w:val="00333B1A"/>
    <w:rsid w:val="00333B39"/>
    <w:rsid w:val="00333B47"/>
    <w:rsid w:val="00333C3E"/>
    <w:rsid w:val="00333CA7"/>
    <w:rsid w:val="00333CF5"/>
    <w:rsid w:val="00333D5F"/>
    <w:rsid w:val="00333DC2"/>
    <w:rsid w:val="00333DCF"/>
    <w:rsid w:val="00333DF3"/>
    <w:rsid w:val="00333EA6"/>
    <w:rsid w:val="00333EF9"/>
    <w:rsid w:val="00333F4B"/>
    <w:rsid w:val="00334049"/>
    <w:rsid w:val="0033404F"/>
    <w:rsid w:val="003340D8"/>
    <w:rsid w:val="00334112"/>
    <w:rsid w:val="00334161"/>
    <w:rsid w:val="003341A5"/>
    <w:rsid w:val="003341AE"/>
    <w:rsid w:val="00334205"/>
    <w:rsid w:val="003342F8"/>
    <w:rsid w:val="00334312"/>
    <w:rsid w:val="00334323"/>
    <w:rsid w:val="0033435D"/>
    <w:rsid w:val="00334395"/>
    <w:rsid w:val="0033439C"/>
    <w:rsid w:val="0033439E"/>
    <w:rsid w:val="003343AA"/>
    <w:rsid w:val="00334416"/>
    <w:rsid w:val="00334463"/>
    <w:rsid w:val="003344BA"/>
    <w:rsid w:val="003344BC"/>
    <w:rsid w:val="003344CE"/>
    <w:rsid w:val="00334504"/>
    <w:rsid w:val="00334535"/>
    <w:rsid w:val="00334573"/>
    <w:rsid w:val="003345EB"/>
    <w:rsid w:val="003345F6"/>
    <w:rsid w:val="0033462D"/>
    <w:rsid w:val="00334685"/>
    <w:rsid w:val="003346CA"/>
    <w:rsid w:val="0033474B"/>
    <w:rsid w:val="0033485E"/>
    <w:rsid w:val="00334872"/>
    <w:rsid w:val="0033488A"/>
    <w:rsid w:val="003348B6"/>
    <w:rsid w:val="00334904"/>
    <w:rsid w:val="0033497E"/>
    <w:rsid w:val="003349A3"/>
    <w:rsid w:val="00334A36"/>
    <w:rsid w:val="00334A61"/>
    <w:rsid w:val="00334AED"/>
    <w:rsid w:val="00334B36"/>
    <w:rsid w:val="00334B7F"/>
    <w:rsid w:val="00334B8D"/>
    <w:rsid w:val="00334BCD"/>
    <w:rsid w:val="00334C69"/>
    <w:rsid w:val="00334CAF"/>
    <w:rsid w:val="00334CF0"/>
    <w:rsid w:val="00334D43"/>
    <w:rsid w:val="00334D49"/>
    <w:rsid w:val="00334D51"/>
    <w:rsid w:val="00334D73"/>
    <w:rsid w:val="00334D77"/>
    <w:rsid w:val="00334D8A"/>
    <w:rsid w:val="00334D97"/>
    <w:rsid w:val="00334E27"/>
    <w:rsid w:val="00334E44"/>
    <w:rsid w:val="00334E82"/>
    <w:rsid w:val="00334EB5"/>
    <w:rsid w:val="00334EDA"/>
    <w:rsid w:val="00334F06"/>
    <w:rsid w:val="00334F31"/>
    <w:rsid w:val="00334FD5"/>
    <w:rsid w:val="00334FEF"/>
    <w:rsid w:val="00335055"/>
    <w:rsid w:val="00335073"/>
    <w:rsid w:val="0033507F"/>
    <w:rsid w:val="00335102"/>
    <w:rsid w:val="00335118"/>
    <w:rsid w:val="00335142"/>
    <w:rsid w:val="00335158"/>
    <w:rsid w:val="00335160"/>
    <w:rsid w:val="0033519C"/>
    <w:rsid w:val="003351DE"/>
    <w:rsid w:val="003351E5"/>
    <w:rsid w:val="0033524A"/>
    <w:rsid w:val="00335250"/>
    <w:rsid w:val="00335253"/>
    <w:rsid w:val="0033525B"/>
    <w:rsid w:val="00335287"/>
    <w:rsid w:val="003352BB"/>
    <w:rsid w:val="0033535C"/>
    <w:rsid w:val="00335375"/>
    <w:rsid w:val="00335472"/>
    <w:rsid w:val="0033549A"/>
    <w:rsid w:val="003354B9"/>
    <w:rsid w:val="00335573"/>
    <w:rsid w:val="00335579"/>
    <w:rsid w:val="00335585"/>
    <w:rsid w:val="0033559B"/>
    <w:rsid w:val="00335641"/>
    <w:rsid w:val="003356A0"/>
    <w:rsid w:val="003356A3"/>
    <w:rsid w:val="003356CE"/>
    <w:rsid w:val="003356D2"/>
    <w:rsid w:val="003356D9"/>
    <w:rsid w:val="00335707"/>
    <w:rsid w:val="00335730"/>
    <w:rsid w:val="00335753"/>
    <w:rsid w:val="00335764"/>
    <w:rsid w:val="003357B5"/>
    <w:rsid w:val="003357BB"/>
    <w:rsid w:val="003357EE"/>
    <w:rsid w:val="00335827"/>
    <w:rsid w:val="00335830"/>
    <w:rsid w:val="0033585A"/>
    <w:rsid w:val="0033587D"/>
    <w:rsid w:val="003358AA"/>
    <w:rsid w:val="0033592F"/>
    <w:rsid w:val="00335952"/>
    <w:rsid w:val="00335A1A"/>
    <w:rsid w:val="00335A5A"/>
    <w:rsid w:val="00335A7D"/>
    <w:rsid w:val="00335A9D"/>
    <w:rsid w:val="00335AB0"/>
    <w:rsid w:val="00335B16"/>
    <w:rsid w:val="00335B26"/>
    <w:rsid w:val="00335B3D"/>
    <w:rsid w:val="00335B52"/>
    <w:rsid w:val="00335B8B"/>
    <w:rsid w:val="00335C16"/>
    <w:rsid w:val="00335C34"/>
    <w:rsid w:val="00335C7B"/>
    <w:rsid w:val="00335CD5"/>
    <w:rsid w:val="00335CDF"/>
    <w:rsid w:val="00335D31"/>
    <w:rsid w:val="00335D45"/>
    <w:rsid w:val="00335D58"/>
    <w:rsid w:val="00335D68"/>
    <w:rsid w:val="00335D9A"/>
    <w:rsid w:val="00335DAC"/>
    <w:rsid w:val="00335E25"/>
    <w:rsid w:val="00335EC3"/>
    <w:rsid w:val="00335F0F"/>
    <w:rsid w:val="00335F39"/>
    <w:rsid w:val="00335F41"/>
    <w:rsid w:val="00335FFF"/>
    <w:rsid w:val="0033606C"/>
    <w:rsid w:val="003360FC"/>
    <w:rsid w:val="00336106"/>
    <w:rsid w:val="00336111"/>
    <w:rsid w:val="00336125"/>
    <w:rsid w:val="0033616B"/>
    <w:rsid w:val="003361AA"/>
    <w:rsid w:val="003361EA"/>
    <w:rsid w:val="0033620E"/>
    <w:rsid w:val="00336240"/>
    <w:rsid w:val="0033626D"/>
    <w:rsid w:val="00336272"/>
    <w:rsid w:val="00336382"/>
    <w:rsid w:val="003363CC"/>
    <w:rsid w:val="003364BF"/>
    <w:rsid w:val="003364C2"/>
    <w:rsid w:val="00336505"/>
    <w:rsid w:val="0033650D"/>
    <w:rsid w:val="0033652C"/>
    <w:rsid w:val="0033653C"/>
    <w:rsid w:val="003365CE"/>
    <w:rsid w:val="003365D1"/>
    <w:rsid w:val="003365E7"/>
    <w:rsid w:val="0033662D"/>
    <w:rsid w:val="0033665D"/>
    <w:rsid w:val="00336679"/>
    <w:rsid w:val="00336693"/>
    <w:rsid w:val="003366A9"/>
    <w:rsid w:val="003366ED"/>
    <w:rsid w:val="003367A6"/>
    <w:rsid w:val="003367B8"/>
    <w:rsid w:val="003367EA"/>
    <w:rsid w:val="003367FA"/>
    <w:rsid w:val="00336881"/>
    <w:rsid w:val="003368C4"/>
    <w:rsid w:val="003368DA"/>
    <w:rsid w:val="003368DE"/>
    <w:rsid w:val="003368F4"/>
    <w:rsid w:val="00336947"/>
    <w:rsid w:val="00336977"/>
    <w:rsid w:val="0033698D"/>
    <w:rsid w:val="00336A1F"/>
    <w:rsid w:val="00336A2B"/>
    <w:rsid w:val="00336A4F"/>
    <w:rsid w:val="00336AFD"/>
    <w:rsid w:val="00336B12"/>
    <w:rsid w:val="00336B67"/>
    <w:rsid w:val="00336BC8"/>
    <w:rsid w:val="00336BD4"/>
    <w:rsid w:val="00336C12"/>
    <w:rsid w:val="00336CED"/>
    <w:rsid w:val="00336D33"/>
    <w:rsid w:val="00336D38"/>
    <w:rsid w:val="00336DF9"/>
    <w:rsid w:val="00336E94"/>
    <w:rsid w:val="00336ED6"/>
    <w:rsid w:val="00336EDF"/>
    <w:rsid w:val="00336EE7"/>
    <w:rsid w:val="00336F29"/>
    <w:rsid w:val="00336F9E"/>
    <w:rsid w:val="00336FA7"/>
    <w:rsid w:val="00337022"/>
    <w:rsid w:val="00337044"/>
    <w:rsid w:val="00337083"/>
    <w:rsid w:val="003370CD"/>
    <w:rsid w:val="003370F4"/>
    <w:rsid w:val="00337110"/>
    <w:rsid w:val="00337115"/>
    <w:rsid w:val="00337161"/>
    <w:rsid w:val="003371CB"/>
    <w:rsid w:val="00337231"/>
    <w:rsid w:val="003372AA"/>
    <w:rsid w:val="0033738A"/>
    <w:rsid w:val="0033742B"/>
    <w:rsid w:val="0033744B"/>
    <w:rsid w:val="0033748F"/>
    <w:rsid w:val="003374B1"/>
    <w:rsid w:val="003374CC"/>
    <w:rsid w:val="003374D1"/>
    <w:rsid w:val="00337573"/>
    <w:rsid w:val="003375B3"/>
    <w:rsid w:val="00337605"/>
    <w:rsid w:val="0033765E"/>
    <w:rsid w:val="003376BB"/>
    <w:rsid w:val="003377F9"/>
    <w:rsid w:val="003378A2"/>
    <w:rsid w:val="003378A5"/>
    <w:rsid w:val="00337950"/>
    <w:rsid w:val="00337975"/>
    <w:rsid w:val="00337AAB"/>
    <w:rsid w:val="00337ABB"/>
    <w:rsid w:val="00337AE5"/>
    <w:rsid w:val="00337AEA"/>
    <w:rsid w:val="00337B85"/>
    <w:rsid w:val="00337B8B"/>
    <w:rsid w:val="00337B92"/>
    <w:rsid w:val="00337BBF"/>
    <w:rsid w:val="00337BE7"/>
    <w:rsid w:val="00337C9B"/>
    <w:rsid w:val="00337CB4"/>
    <w:rsid w:val="00337CB9"/>
    <w:rsid w:val="00337CF4"/>
    <w:rsid w:val="00337D59"/>
    <w:rsid w:val="00337E85"/>
    <w:rsid w:val="00337EB2"/>
    <w:rsid w:val="00337F09"/>
    <w:rsid w:val="00337F0C"/>
    <w:rsid w:val="00337FF4"/>
    <w:rsid w:val="00337FFA"/>
    <w:rsid w:val="00340004"/>
    <w:rsid w:val="0034002E"/>
    <w:rsid w:val="0034003A"/>
    <w:rsid w:val="00340091"/>
    <w:rsid w:val="0034009C"/>
    <w:rsid w:val="003400C4"/>
    <w:rsid w:val="003400CD"/>
    <w:rsid w:val="003400F1"/>
    <w:rsid w:val="00340111"/>
    <w:rsid w:val="00340143"/>
    <w:rsid w:val="00340176"/>
    <w:rsid w:val="00340276"/>
    <w:rsid w:val="00340279"/>
    <w:rsid w:val="0034037F"/>
    <w:rsid w:val="00340428"/>
    <w:rsid w:val="0034047B"/>
    <w:rsid w:val="003404AF"/>
    <w:rsid w:val="003404C9"/>
    <w:rsid w:val="0034051E"/>
    <w:rsid w:val="003405BC"/>
    <w:rsid w:val="003405D9"/>
    <w:rsid w:val="00340643"/>
    <w:rsid w:val="00340686"/>
    <w:rsid w:val="0034068B"/>
    <w:rsid w:val="003406C1"/>
    <w:rsid w:val="003406E6"/>
    <w:rsid w:val="00340735"/>
    <w:rsid w:val="003407B2"/>
    <w:rsid w:val="003407E7"/>
    <w:rsid w:val="00340817"/>
    <w:rsid w:val="0034082A"/>
    <w:rsid w:val="00340831"/>
    <w:rsid w:val="0034083C"/>
    <w:rsid w:val="0034084D"/>
    <w:rsid w:val="003408EA"/>
    <w:rsid w:val="003408EF"/>
    <w:rsid w:val="00340900"/>
    <w:rsid w:val="003409B1"/>
    <w:rsid w:val="003409B8"/>
    <w:rsid w:val="003409C8"/>
    <w:rsid w:val="003409D4"/>
    <w:rsid w:val="003409EE"/>
    <w:rsid w:val="00340A58"/>
    <w:rsid w:val="00340A6F"/>
    <w:rsid w:val="00340A9E"/>
    <w:rsid w:val="00340AFA"/>
    <w:rsid w:val="00340B05"/>
    <w:rsid w:val="00340B49"/>
    <w:rsid w:val="00340B62"/>
    <w:rsid w:val="00340B84"/>
    <w:rsid w:val="00340BB9"/>
    <w:rsid w:val="00340BBC"/>
    <w:rsid w:val="00340BDE"/>
    <w:rsid w:val="00340C03"/>
    <w:rsid w:val="00340C24"/>
    <w:rsid w:val="00340C27"/>
    <w:rsid w:val="00340C48"/>
    <w:rsid w:val="00340C4D"/>
    <w:rsid w:val="00340C69"/>
    <w:rsid w:val="00340C7E"/>
    <w:rsid w:val="00340CF4"/>
    <w:rsid w:val="00340D05"/>
    <w:rsid w:val="00340DA3"/>
    <w:rsid w:val="00340DC7"/>
    <w:rsid w:val="00340DE5"/>
    <w:rsid w:val="00340DF1"/>
    <w:rsid w:val="00340E3B"/>
    <w:rsid w:val="00340E3D"/>
    <w:rsid w:val="00340E7E"/>
    <w:rsid w:val="00340F67"/>
    <w:rsid w:val="00340F6F"/>
    <w:rsid w:val="00340F7B"/>
    <w:rsid w:val="0034101A"/>
    <w:rsid w:val="0034103E"/>
    <w:rsid w:val="003410F4"/>
    <w:rsid w:val="003411EC"/>
    <w:rsid w:val="00341202"/>
    <w:rsid w:val="0034121E"/>
    <w:rsid w:val="00341277"/>
    <w:rsid w:val="003412A4"/>
    <w:rsid w:val="00341319"/>
    <w:rsid w:val="00341371"/>
    <w:rsid w:val="0034139F"/>
    <w:rsid w:val="003413A0"/>
    <w:rsid w:val="003413A2"/>
    <w:rsid w:val="003413C6"/>
    <w:rsid w:val="003413DA"/>
    <w:rsid w:val="0034141D"/>
    <w:rsid w:val="00341434"/>
    <w:rsid w:val="0034149B"/>
    <w:rsid w:val="0034151C"/>
    <w:rsid w:val="0034153D"/>
    <w:rsid w:val="0034162A"/>
    <w:rsid w:val="0034163D"/>
    <w:rsid w:val="00341641"/>
    <w:rsid w:val="00341755"/>
    <w:rsid w:val="00341786"/>
    <w:rsid w:val="003417EF"/>
    <w:rsid w:val="00341867"/>
    <w:rsid w:val="003418A1"/>
    <w:rsid w:val="003418F8"/>
    <w:rsid w:val="003418FF"/>
    <w:rsid w:val="00341934"/>
    <w:rsid w:val="003419C9"/>
    <w:rsid w:val="00341AB7"/>
    <w:rsid w:val="00341B4A"/>
    <w:rsid w:val="00341B65"/>
    <w:rsid w:val="00341B74"/>
    <w:rsid w:val="00341C75"/>
    <w:rsid w:val="00341C94"/>
    <w:rsid w:val="00341CC3"/>
    <w:rsid w:val="00341D82"/>
    <w:rsid w:val="00341E5C"/>
    <w:rsid w:val="00341E75"/>
    <w:rsid w:val="00341EF2"/>
    <w:rsid w:val="00341F4D"/>
    <w:rsid w:val="00341FFC"/>
    <w:rsid w:val="00342000"/>
    <w:rsid w:val="00342023"/>
    <w:rsid w:val="00342040"/>
    <w:rsid w:val="00342054"/>
    <w:rsid w:val="0034209E"/>
    <w:rsid w:val="0034212B"/>
    <w:rsid w:val="0034215B"/>
    <w:rsid w:val="00342208"/>
    <w:rsid w:val="00342234"/>
    <w:rsid w:val="00342293"/>
    <w:rsid w:val="00342295"/>
    <w:rsid w:val="003422F8"/>
    <w:rsid w:val="00342356"/>
    <w:rsid w:val="00342378"/>
    <w:rsid w:val="00342385"/>
    <w:rsid w:val="003424E0"/>
    <w:rsid w:val="003424F5"/>
    <w:rsid w:val="0034253B"/>
    <w:rsid w:val="003425D7"/>
    <w:rsid w:val="003426A3"/>
    <w:rsid w:val="003426D6"/>
    <w:rsid w:val="00342715"/>
    <w:rsid w:val="00342773"/>
    <w:rsid w:val="003427A0"/>
    <w:rsid w:val="003428B2"/>
    <w:rsid w:val="00342969"/>
    <w:rsid w:val="00342971"/>
    <w:rsid w:val="0034297E"/>
    <w:rsid w:val="003429A4"/>
    <w:rsid w:val="00342A25"/>
    <w:rsid w:val="00342A32"/>
    <w:rsid w:val="00342A51"/>
    <w:rsid w:val="00342A93"/>
    <w:rsid w:val="00342A96"/>
    <w:rsid w:val="00342B79"/>
    <w:rsid w:val="00342BD4"/>
    <w:rsid w:val="00342C61"/>
    <w:rsid w:val="00342C69"/>
    <w:rsid w:val="00342D1B"/>
    <w:rsid w:val="00342D92"/>
    <w:rsid w:val="00342D9A"/>
    <w:rsid w:val="00342DAA"/>
    <w:rsid w:val="00342DC3"/>
    <w:rsid w:val="00342DD5"/>
    <w:rsid w:val="00342DE8"/>
    <w:rsid w:val="00342EE4"/>
    <w:rsid w:val="00342EFA"/>
    <w:rsid w:val="00342F0A"/>
    <w:rsid w:val="00342F1C"/>
    <w:rsid w:val="00342F4A"/>
    <w:rsid w:val="00342F94"/>
    <w:rsid w:val="00342F9A"/>
    <w:rsid w:val="003430BB"/>
    <w:rsid w:val="003430D0"/>
    <w:rsid w:val="0034312D"/>
    <w:rsid w:val="00343167"/>
    <w:rsid w:val="003431E8"/>
    <w:rsid w:val="003431EA"/>
    <w:rsid w:val="00343277"/>
    <w:rsid w:val="003432A5"/>
    <w:rsid w:val="003432AF"/>
    <w:rsid w:val="003432B3"/>
    <w:rsid w:val="003432B8"/>
    <w:rsid w:val="003432E0"/>
    <w:rsid w:val="00343366"/>
    <w:rsid w:val="003433C8"/>
    <w:rsid w:val="00343420"/>
    <w:rsid w:val="00343423"/>
    <w:rsid w:val="00343426"/>
    <w:rsid w:val="003434C1"/>
    <w:rsid w:val="003434DA"/>
    <w:rsid w:val="00343525"/>
    <w:rsid w:val="0034353A"/>
    <w:rsid w:val="0034355C"/>
    <w:rsid w:val="00343567"/>
    <w:rsid w:val="003436B5"/>
    <w:rsid w:val="003436C5"/>
    <w:rsid w:val="0034371F"/>
    <w:rsid w:val="0034372A"/>
    <w:rsid w:val="003437B9"/>
    <w:rsid w:val="0034383B"/>
    <w:rsid w:val="00343871"/>
    <w:rsid w:val="003438A0"/>
    <w:rsid w:val="003439BA"/>
    <w:rsid w:val="003439F9"/>
    <w:rsid w:val="00343A3E"/>
    <w:rsid w:val="00343A62"/>
    <w:rsid w:val="00343A63"/>
    <w:rsid w:val="00343A68"/>
    <w:rsid w:val="00343AB2"/>
    <w:rsid w:val="00343ADB"/>
    <w:rsid w:val="00343B36"/>
    <w:rsid w:val="00343B53"/>
    <w:rsid w:val="00343BC2"/>
    <w:rsid w:val="00343C86"/>
    <w:rsid w:val="00343CB0"/>
    <w:rsid w:val="00343D1B"/>
    <w:rsid w:val="00343DB1"/>
    <w:rsid w:val="00343DDB"/>
    <w:rsid w:val="00343E08"/>
    <w:rsid w:val="00343E18"/>
    <w:rsid w:val="00343E21"/>
    <w:rsid w:val="00343E58"/>
    <w:rsid w:val="00343E82"/>
    <w:rsid w:val="00343F5E"/>
    <w:rsid w:val="00343FAC"/>
    <w:rsid w:val="00343FAE"/>
    <w:rsid w:val="00344062"/>
    <w:rsid w:val="003440A6"/>
    <w:rsid w:val="003440A8"/>
    <w:rsid w:val="0034410F"/>
    <w:rsid w:val="003441CE"/>
    <w:rsid w:val="00344268"/>
    <w:rsid w:val="003442BB"/>
    <w:rsid w:val="0034432D"/>
    <w:rsid w:val="00344345"/>
    <w:rsid w:val="003443B2"/>
    <w:rsid w:val="0034440E"/>
    <w:rsid w:val="003444BD"/>
    <w:rsid w:val="003444FE"/>
    <w:rsid w:val="0034455A"/>
    <w:rsid w:val="0034456B"/>
    <w:rsid w:val="003445CB"/>
    <w:rsid w:val="0034466E"/>
    <w:rsid w:val="00344678"/>
    <w:rsid w:val="0034467D"/>
    <w:rsid w:val="003446B3"/>
    <w:rsid w:val="00344745"/>
    <w:rsid w:val="00344757"/>
    <w:rsid w:val="00344774"/>
    <w:rsid w:val="0034478D"/>
    <w:rsid w:val="00344793"/>
    <w:rsid w:val="003447A4"/>
    <w:rsid w:val="003447BF"/>
    <w:rsid w:val="003447D7"/>
    <w:rsid w:val="00344823"/>
    <w:rsid w:val="003448E0"/>
    <w:rsid w:val="0034497F"/>
    <w:rsid w:val="00344995"/>
    <w:rsid w:val="0034499B"/>
    <w:rsid w:val="003449DF"/>
    <w:rsid w:val="00344A78"/>
    <w:rsid w:val="00344AB6"/>
    <w:rsid w:val="00344B77"/>
    <w:rsid w:val="00344B95"/>
    <w:rsid w:val="00344BB4"/>
    <w:rsid w:val="00344BBF"/>
    <w:rsid w:val="00344C32"/>
    <w:rsid w:val="00344C34"/>
    <w:rsid w:val="00344C89"/>
    <w:rsid w:val="00344CC9"/>
    <w:rsid w:val="00344D4F"/>
    <w:rsid w:val="00344D6D"/>
    <w:rsid w:val="00344D7A"/>
    <w:rsid w:val="00344DD4"/>
    <w:rsid w:val="00344E08"/>
    <w:rsid w:val="00344E44"/>
    <w:rsid w:val="00344E54"/>
    <w:rsid w:val="00344E5F"/>
    <w:rsid w:val="00344E63"/>
    <w:rsid w:val="00344EF9"/>
    <w:rsid w:val="00344F1E"/>
    <w:rsid w:val="00344F9B"/>
    <w:rsid w:val="00344FE4"/>
    <w:rsid w:val="003450C4"/>
    <w:rsid w:val="003450EF"/>
    <w:rsid w:val="00345130"/>
    <w:rsid w:val="0034513E"/>
    <w:rsid w:val="0034516F"/>
    <w:rsid w:val="00345175"/>
    <w:rsid w:val="0034518F"/>
    <w:rsid w:val="00345199"/>
    <w:rsid w:val="003451B0"/>
    <w:rsid w:val="003451D6"/>
    <w:rsid w:val="00345232"/>
    <w:rsid w:val="0034523B"/>
    <w:rsid w:val="00345255"/>
    <w:rsid w:val="003452BD"/>
    <w:rsid w:val="003452E4"/>
    <w:rsid w:val="003453C3"/>
    <w:rsid w:val="003453DB"/>
    <w:rsid w:val="00345446"/>
    <w:rsid w:val="0034544B"/>
    <w:rsid w:val="00345560"/>
    <w:rsid w:val="003455CF"/>
    <w:rsid w:val="00345707"/>
    <w:rsid w:val="0034576C"/>
    <w:rsid w:val="003457EC"/>
    <w:rsid w:val="0034585F"/>
    <w:rsid w:val="0034586C"/>
    <w:rsid w:val="00345879"/>
    <w:rsid w:val="00345880"/>
    <w:rsid w:val="003458C5"/>
    <w:rsid w:val="003458C6"/>
    <w:rsid w:val="00345909"/>
    <w:rsid w:val="00345984"/>
    <w:rsid w:val="00345A27"/>
    <w:rsid w:val="00345A6C"/>
    <w:rsid w:val="00345AEC"/>
    <w:rsid w:val="00345B45"/>
    <w:rsid w:val="00345B75"/>
    <w:rsid w:val="00345B9D"/>
    <w:rsid w:val="00345BC4"/>
    <w:rsid w:val="00345BDE"/>
    <w:rsid w:val="00345C08"/>
    <w:rsid w:val="00345C43"/>
    <w:rsid w:val="00345E98"/>
    <w:rsid w:val="00345EBF"/>
    <w:rsid w:val="00345EDD"/>
    <w:rsid w:val="00345F65"/>
    <w:rsid w:val="00345F8D"/>
    <w:rsid w:val="00345FDA"/>
    <w:rsid w:val="00346003"/>
    <w:rsid w:val="003460BC"/>
    <w:rsid w:val="00346102"/>
    <w:rsid w:val="00346137"/>
    <w:rsid w:val="00346162"/>
    <w:rsid w:val="003461B6"/>
    <w:rsid w:val="00346211"/>
    <w:rsid w:val="0034628D"/>
    <w:rsid w:val="003462C9"/>
    <w:rsid w:val="003462CD"/>
    <w:rsid w:val="003462E4"/>
    <w:rsid w:val="003462F3"/>
    <w:rsid w:val="00346390"/>
    <w:rsid w:val="003463AA"/>
    <w:rsid w:val="003463C1"/>
    <w:rsid w:val="003463C3"/>
    <w:rsid w:val="003463E5"/>
    <w:rsid w:val="00346412"/>
    <w:rsid w:val="0034646F"/>
    <w:rsid w:val="0034649D"/>
    <w:rsid w:val="003464AE"/>
    <w:rsid w:val="0034656A"/>
    <w:rsid w:val="003465E8"/>
    <w:rsid w:val="003466B0"/>
    <w:rsid w:val="003466C3"/>
    <w:rsid w:val="00346767"/>
    <w:rsid w:val="00346776"/>
    <w:rsid w:val="003467B7"/>
    <w:rsid w:val="003467D4"/>
    <w:rsid w:val="00346810"/>
    <w:rsid w:val="003468CD"/>
    <w:rsid w:val="003468EC"/>
    <w:rsid w:val="00346933"/>
    <w:rsid w:val="00346978"/>
    <w:rsid w:val="00346995"/>
    <w:rsid w:val="00346A45"/>
    <w:rsid w:val="00346ACF"/>
    <w:rsid w:val="00346BB4"/>
    <w:rsid w:val="00346BEF"/>
    <w:rsid w:val="00346C90"/>
    <w:rsid w:val="00346C9E"/>
    <w:rsid w:val="00346CBA"/>
    <w:rsid w:val="00346CE1"/>
    <w:rsid w:val="00346D6B"/>
    <w:rsid w:val="00346D7A"/>
    <w:rsid w:val="00346DB7"/>
    <w:rsid w:val="00346E4C"/>
    <w:rsid w:val="00346E5D"/>
    <w:rsid w:val="00346EEB"/>
    <w:rsid w:val="00346F4A"/>
    <w:rsid w:val="00346F5E"/>
    <w:rsid w:val="00346F74"/>
    <w:rsid w:val="00346F96"/>
    <w:rsid w:val="00346FE3"/>
    <w:rsid w:val="003470DB"/>
    <w:rsid w:val="00347152"/>
    <w:rsid w:val="00347157"/>
    <w:rsid w:val="003471AB"/>
    <w:rsid w:val="003471CA"/>
    <w:rsid w:val="0034722F"/>
    <w:rsid w:val="0034727E"/>
    <w:rsid w:val="0034734F"/>
    <w:rsid w:val="00347365"/>
    <w:rsid w:val="0034736B"/>
    <w:rsid w:val="00347438"/>
    <w:rsid w:val="003474D3"/>
    <w:rsid w:val="00347545"/>
    <w:rsid w:val="0034756A"/>
    <w:rsid w:val="00347590"/>
    <w:rsid w:val="003475C0"/>
    <w:rsid w:val="003475FB"/>
    <w:rsid w:val="00347674"/>
    <w:rsid w:val="003476B6"/>
    <w:rsid w:val="003476F0"/>
    <w:rsid w:val="003476FA"/>
    <w:rsid w:val="003476FF"/>
    <w:rsid w:val="00347720"/>
    <w:rsid w:val="003477B0"/>
    <w:rsid w:val="003477C2"/>
    <w:rsid w:val="003477F2"/>
    <w:rsid w:val="00347824"/>
    <w:rsid w:val="00347833"/>
    <w:rsid w:val="00347860"/>
    <w:rsid w:val="00347870"/>
    <w:rsid w:val="0034788E"/>
    <w:rsid w:val="00347891"/>
    <w:rsid w:val="003478BF"/>
    <w:rsid w:val="003479A8"/>
    <w:rsid w:val="003479C5"/>
    <w:rsid w:val="00347A30"/>
    <w:rsid w:val="00347A7D"/>
    <w:rsid w:val="00347AFA"/>
    <w:rsid w:val="00347B26"/>
    <w:rsid w:val="00347B5B"/>
    <w:rsid w:val="00347BAE"/>
    <w:rsid w:val="00347BE6"/>
    <w:rsid w:val="00347C43"/>
    <w:rsid w:val="00347CA7"/>
    <w:rsid w:val="00347D14"/>
    <w:rsid w:val="00347D43"/>
    <w:rsid w:val="00347D59"/>
    <w:rsid w:val="00347D98"/>
    <w:rsid w:val="00347E64"/>
    <w:rsid w:val="00347EFC"/>
    <w:rsid w:val="00347F2D"/>
    <w:rsid w:val="00347F51"/>
    <w:rsid w:val="00347F70"/>
    <w:rsid w:val="00347FA1"/>
    <w:rsid w:val="00347FF0"/>
    <w:rsid w:val="00349212"/>
    <w:rsid w:val="00350031"/>
    <w:rsid w:val="00350039"/>
    <w:rsid w:val="00350040"/>
    <w:rsid w:val="0035008D"/>
    <w:rsid w:val="0035009D"/>
    <w:rsid w:val="003500AF"/>
    <w:rsid w:val="003500D7"/>
    <w:rsid w:val="003500DC"/>
    <w:rsid w:val="003500FE"/>
    <w:rsid w:val="00350192"/>
    <w:rsid w:val="003501D7"/>
    <w:rsid w:val="003501D8"/>
    <w:rsid w:val="00350242"/>
    <w:rsid w:val="0035024F"/>
    <w:rsid w:val="00350269"/>
    <w:rsid w:val="00350343"/>
    <w:rsid w:val="0035036F"/>
    <w:rsid w:val="00350373"/>
    <w:rsid w:val="0035038D"/>
    <w:rsid w:val="003503B4"/>
    <w:rsid w:val="003503CA"/>
    <w:rsid w:val="00350422"/>
    <w:rsid w:val="0035047F"/>
    <w:rsid w:val="0035049E"/>
    <w:rsid w:val="003504AA"/>
    <w:rsid w:val="003504F5"/>
    <w:rsid w:val="0035055B"/>
    <w:rsid w:val="00350585"/>
    <w:rsid w:val="00350605"/>
    <w:rsid w:val="0035065C"/>
    <w:rsid w:val="003506A0"/>
    <w:rsid w:val="003507A8"/>
    <w:rsid w:val="003507AD"/>
    <w:rsid w:val="0035084C"/>
    <w:rsid w:val="00350861"/>
    <w:rsid w:val="003508DC"/>
    <w:rsid w:val="00350906"/>
    <w:rsid w:val="0035090E"/>
    <w:rsid w:val="00350919"/>
    <w:rsid w:val="0035093B"/>
    <w:rsid w:val="003509B2"/>
    <w:rsid w:val="003509FA"/>
    <w:rsid w:val="003509FB"/>
    <w:rsid w:val="00350A05"/>
    <w:rsid w:val="00350A2B"/>
    <w:rsid w:val="00350A2C"/>
    <w:rsid w:val="00350A36"/>
    <w:rsid w:val="00350AE6"/>
    <w:rsid w:val="00350B45"/>
    <w:rsid w:val="00350B5E"/>
    <w:rsid w:val="00350B60"/>
    <w:rsid w:val="00350B6C"/>
    <w:rsid w:val="00350BD1"/>
    <w:rsid w:val="00350C19"/>
    <w:rsid w:val="00350D15"/>
    <w:rsid w:val="00350ECC"/>
    <w:rsid w:val="00350EE3"/>
    <w:rsid w:val="00350EFA"/>
    <w:rsid w:val="00350F40"/>
    <w:rsid w:val="00350F49"/>
    <w:rsid w:val="00350F6D"/>
    <w:rsid w:val="00350F94"/>
    <w:rsid w:val="00351086"/>
    <w:rsid w:val="003510C8"/>
    <w:rsid w:val="003510F9"/>
    <w:rsid w:val="00351109"/>
    <w:rsid w:val="00351116"/>
    <w:rsid w:val="003511F8"/>
    <w:rsid w:val="00351223"/>
    <w:rsid w:val="00351224"/>
    <w:rsid w:val="00351258"/>
    <w:rsid w:val="00351271"/>
    <w:rsid w:val="0035127F"/>
    <w:rsid w:val="003512C7"/>
    <w:rsid w:val="003512FA"/>
    <w:rsid w:val="0035132E"/>
    <w:rsid w:val="0035133C"/>
    <w:rsid w:val="00351468"/>
    <w:rsid w:val="00351474"/>
    <w:rsid w:val="00351491"/>
    <w:rsid w:val="003514D9"/>
    <w:rsid w:val="00351577"/>
    <w:rsid w:val="00351587"/>
    <w:rsid w:val="003515AD"/>
    <w:rsid w:val="003515B2"/>
    <w:rsid w:val="003515BE"/>
    <w:rsid w:val="003515CA"/>
    <w:rsid w:val="003516CB"/>
    <w:rsid w:val="003516D6"/>
    <w:rsid w:val="003516E1"/>
    <w:rsid w:val="00351711"/>
    <w:rsid w:val="00351745"/>
    <w:rsid w:val="0035179E"/>
    <w:rsid w:val="003517AB"/>
    <w:rsid w:val="003517DF"/>
    <w:rsid w:val="003517E3"/>
    <w:rsid w:val="00351839"/>
    <w:rsid w:val="0035184F"/>
    <w:rsid w:val="003518B6"/>
    <w:rsid w:val="003518CA"/>
    <w:rsid w:val="00351902"/>
    <w:rsid w:val="0035192E"/>
    <w:rsid w:val="00351958"/>
    <w:rsid w:val="00351979"/>
    <w:rsid w:val="003519AF"/>
    <w:rsid w:val="00351B14"/>
    <w:rsid w:val="00351B46"/>
    <w:rsid w:val="00351B59"/>
    <w:rsid w:val="00351B9E"/>
    <w:rsid w:val="00351BC3"/>
    <w:rsid w:val="00351BD5"/>
    <w:rsid w:val="00351BE3"/>
    <w:rsid w:val="00351C11"/>
    <w:rsid w:val="00351C7B"/>
    <w:rsid w:val="00351CE9"/>
    <w:rsid w:val="00351CED"/>
    <w:rsid w:val="00351D00"/>
    <w:rsid w:val="00351D8C"/>
    <w:rsid w:val="00351D93"/>
    <w:rsid w:val="00351D95"/>
    <w:rsid w:val="00351DB7"/>
    <w:rsid w:val="00351DBA"/>
    <w:rsid w:val="00351DE4"/>
    <w:rsid w:val="00351DE9"/>
    <w:rsid w:val="00351EC0"/>
    <w:rsid w:val="00351ECE"/>
    <w:rsid w:val="00351F16"/>
    <w:rsid w:val="00351F4D"/>
    <w:rsid w:val="00351F56"/>
    <w:rsid w:val="00351F88"/>
    <w:rsid w:val="00351F8E"/>
    <w:rsid w:val="00351F98"/>
    <w:rsid w:val="00351FB1"/>
    <w:rsid w:val="0035203B"/>
    <w:rsid w:val="00352042"/>
    <w:rsid w:val="00352069"/>
    <w:rsid w:val="003520B1"/>
    <w:rsid w:val="003520B9"/>
    <w:rsid w:val="0035218D"/>
    <w:rsid w:val="003522AF"/>
    <w:rsid w:val="003522BF"/>
    <w:rsid w:val="003522CE"/>
    <w:rsid w:val="003522DF"/>
    <w:rsid w:val="003522F4"/>
    <w:rsid w:val="003523AB"/>
    <w:rsid w:val="00352454"/>
    <w:rsid w:val="00352455"/>
    <w:rsid w:val="00352457"/>
    <w:rsid w:val="003524EA"/>
    <w:rsid w:val="00352515"/>
    <w:rsid w:val="00352541"/>
    <w:rsid w:val="0035256E"/>
    <w:rsid w:val="00352626"/>
    <w:rsid w:val="00352642"/>
    <w:rsid w:val="00352682"/>
    <w:rsid w:val="003526C5"/>
    <w:rsid w:val="003526DB"/>
    <w:rsid w:val="003526DF"/>
    <w:rsid w:val="00352750"/>
    <w:rsid w:val="0035279B"/>
    <w:rsid w:val="003527BD"/>
    <w:rsid w:val="003527D7"/>
    <w:rsid w:val="00352806"/>
    <w:rsid w:val="00352834"/>
    <w:rsid w:val="00352863"/>
    <w:rsid w:val="003528FD"/>
    <w:rsid w:val="0035290E"/>
    <w:rsid w:val="00352914"/>
    <w:rsid w:val="00352948"/>
    <w:rsid w:val="00352952"/>
    <w:rsid w:val="003529EB"/>
    <w:rsid w:val="00352A56"/>
    <w:rsid w:val="00352A8E"/>
    <w:rsid w:val="00352AA8"/>
    <w:rsid w:val="00352AB2"/>
    <w:rsid w:val="00352AF3"/>
    <w:rsid w:val="00352B03"/>
    <w:rsid w:val="00352B36"/>
    <w:rsid w:val="00352B9B"/>
    <w:rsid w:val="00352C01"/>
    <w:rsid w:val="00352C40"/>
    <w:rsid w:val="00352C73"/>
    <w:rsid w:val="00352C82"/>
    <w:rsid w:val="00352CC0"/>
    <w:rsid w:val="00352CD6"/>
    <w:rsid w:val="00352D0B"/>
    <w:rsid w:val="00352D28"/>
    <w:rsid w:val="00352D42"/>
    <w:rsid w:val="00352D67"/>
    <w:rsid w:val="00352D7E"/>
    <w:rsid w:val="00352D89"/>
    <w:rsid w:val="00352D8E"/>
    <w:rsid w:val="00352D91"/>
    <w:rsid w:val="00352DA1"/>
    <w:rsid w:val="00352E13"/>
    <w:rsid w:val="00352E55"/>
    <w:rsid w:val="00352E85"/>
    <w:rsid w:val="00352E9C"/>
    <w:rsid w:val="00352EC8"/>
    <w:rsid w:val="00352F05"/>
    <w:rsid w:val="00352F42"/>
    <w:rsid w:val="00352F49"/>
    <w:rsid w:val="00352FBB"/>
    <w:rsid w:val="00352FDF"/>
    <w:rsid w:val="0035300F"/>
    <w:rsid w:val="003530C1"/>
    <w:rsid w:val="0035318D"/>
    <w:rsid w:val="003531D7"/>
    <w:rsid w:val="0035321E"/>
    <w:rsid w:val="0035323B"/>
    <w:rsid w:val="00353242"/>
    <w:rsid w:val="003532A0"/>
    <w:rsid w:val="003532D4"/>
    <w:rsid w:val="003533AC"/>
    <w:rsid w:val="003533C5"/>
    <w:rsid w:val="003533F1"/>
    <w:rsid w:val="00353429"/>
    <w:rsid w:val="00353441"/>
    <w:rsid w:val="00353443"/>
    <w:rsid w:val="00353472"/>
    <w:rsid w:val="003534AC"/>
    <w:rsid w:val="003534AE"/>
    <w:rsid w:val="003534B0"/>
    <w:rsid w:val="003534DC"/>
    <w:rsid w:val="003535C3"/>
    <w:rsid w:val="0035364E"/>
    <w:rsid w:val="003536CD"/>
    <w:rsid w:val="003536EF"/>
    <w:rsid w:val="0035377B"/>
    <w:rsid w:val="00353790"/>
    <w:rsid w:val="00353791"/>
    <w:rsid w:val="003537C2"/>
    <w:rsid w:val="003537EE"/>
    <w:rsid w:val="00353806"/>
    <w:rsid w:val="00353829"/>
    <w:rsid w:val="00353838"/>
    <w:rsid w:val="003538A9"/>
    <w:rsid w:val="003538C2"/>
    <w:rsid w:val="0035391A"/>
    <w:rsid w:val="00353925"/>
    <w:rsid w:val="00353927"/>
    <w:rsid w:val="00353943"/>
    <w:rsid w:val="003539A8"/>
    <w:rsid w:val="00353A17"/>
    <w:rsid w:val="00353A24"/>
    <w:rsid w:val="00353A4B"/>
    <w:rsid w:val="00353A67"/>
    <w:rsid w:val="00353AA1"/>
    <w:rsid w:val="00353AA8"/>
    <w:rsid w:val="00353AD5"/>
    <w:rsid w:val="00353B23"/>
    <w:rsid w:val="00353B25"/>
    <w:rsid w:val="00353B3C"/>
    <w:rsid w:val="00353BA0"/>
    <w:rsid w:val="00353BA7"/>
    <w:rsid w:val="00353BAF"/>
    <w:rsid w:val="00353BC2"/>
    <w:rsid w:val="00353BE2"/>
    <w:rsid w:val="00353C3E"/>
    <w:rsid w:val="00353C54"/>
    <w:rsid w:val="00353CCB"/>
    <w:rsid w:val="00353CD2"/>
    <w:rsid w:val="00353D02"/>
    <w:rsid w:val="00353D5E"/>
    <w:rsid w:val="00353D64"/>
    <w:rsid w:val="00353D91"/>
    <w:rsid w:val="00353DDA"/>
    <w:rsid w:val="00353DDE"/>
    <w:rsid w:val="00353E03"/>
    <w:rsid w:val="00353E17"/>
    <w:rsid w:val="00353E56"/>
    <w:rsid w:val="00353EE1"/>
    <w:rsid w:val="00353F13"/>
    <w:rsid w:val="00353F30"/>
    <w:rsid w:val="00353FE9"/>
    <w:rsid w:val="00353FFA"/>
    <w:rsid w:val="00354066"/>
    <w:rsid w:val="00354070"/>
    <w:rsid w:val="00354080"/>
    <w:rsid w:val="003540EC"/>
    <w:rsid w:val="00354111"/>
    <w:rsid w:val="003541AA"/>
    <w:rsid w:val="003541D5"/>
    <w:rsid w:val="00354223"/>
    <w:rsid w:val="00354227"/>
    <w:rsid w:val="00354262"/>
    <w:rsid w:val="003542E1"/>
    <w:rsid w:val="0035441C"/>
    <w:rsid w:val="00354452"/>
    <w:rsid w:val="003544C1"/>
    <w:rsid w:val="003544E4"/>
    <w:rsid w:val="00354528"/>
    <w:rsid w:val="0035455C"/>
    <w:rsid w:val="00354561"/>
    <w:rsid w:val="0035458D"/>
    <w:rsid w:val="003545B9"/>
    <w:rsid w:val="003545BF"/>
    <w:rsid w:val="00354702"/>
    <w:rsid w:val="0035474A"/>
    <w:rsid w:val="0035474B"/>
    <w:rsid w:val="00354789"/>
    <w:rsid w:val="00354825"/>
    <w:rsid w:val="0035483A"/>
    <w:rsid w:val="00354869"/>
    <w:rsid w:val="00354896"/>
    <w:rsid w:val="0035491E"/>
    <w:rsid w:val="00354927"/>
    <w:rsid w:val="0035494A"/>
    <w:rsid w:val="0035496A"/>
    <w:rsid w:val="003549A3"/>
    <w:rsid w:val="00354AA1"/>
    <w:rsid w:val="00354AC5"/>
    <w:rsid w:val="00354B82"/>
    <w:rsid w:val="00354B8C"/>
    <w:rsid w:val="00354BAA"/>
    <w:rsid w:val="00354BC4"/>
    <w:rsid w:val="00354BEA"/>
    <w:rsid w:val="00354C0A"/>
    <w:rsid w:val="00354C31"/>
    <w:rsid w:val="00354C37"/>
    <w:rsid w:val="00354C99"/>
    <w:rsid w:val="00354CCA"/>
    <w:rsid w:val="00354CF8"/>
    <w:rsid w:val="00354D0D"/>
    <w:rsid w:val="00354D25"/>
    <w:rsid w:val="00354D35"/>
    <w:rsid w:val="00354D87"/>
    <w:rsid w:val="00354DB8"/>
    <w:rsid w:val="00354E3B"/>
    <w:rsid w:val="00354F63"/>
    <w:rsid w:val="00354F65"/>
    <w:rsid w:val="00354FA3"/>
    <w:rsid w:val="00354FCB"/>
    <w:rsid w:val="00355064"/>
    <w:rsid w:val="003550B8"/>
    <w:rsid w:val="003550D4"/>
    <w:rsid w:val="003551C8"/>
    <w:rsid w:val="003552B9"/>
    <w:rsid w:val="003552F3"/>
    <w:rsid w:val="0035534C"/>
    <w:rsid w:val="003554BF"/>
    <w:rsid w:val="00355581"/>
    <w:rsid w:val="0035559D"/>
    <w:rsid w:val="003555A8"/>
    <w:rsid w:val="003555C6"/>
    <w:rsid w:val="003555D3"/>
    <w:rsid w:val="003555D4"/>
    <w:rsid w:val="00355625"/>
    <w:rsid w:val="0035569B"/>
    <w:rsid w:val="003556A8"/>
    <w:rsid w:val="003556C1"/>
    <w:rsid w:val="00355710"/>
    <w:rsid w:val="00355716"/>
    <w:rsid w:val="003557BB"/>
    <w:rsid w:val="003557D8"/>
    <w:rsid w:val="003557E8"/>
    <w:rsid w:val="0035580E"/>
    <w:rsid w:val="003558A7"/>
    <w:rsid w:val="003558C9"/>
    <w:rsid w:val="00355914"/>
    <w:rsid w:val="0035594E"/>
    <w:rsid w:val="0035597C"/>
    <w:rsid w:val="003559D9"/>
    <w:rsid w:val="00355A01"/>
    <w:rsid w:val="00355A0A"/>
    <w:rsid w:val="00355AF2"/>
    <w:rsid w:val="00355B0C"/>
    <w:rsid w:val="00355B1B"/>
    <w:rsid w:val="00355B2A"/>
    <w:rsid w:val="00355BBD"/>
    <w:rsid w:val="00355BD9"/>
    <w:rsid w:val="00355BF2"/>
    <w:rsid w:val="00355C07"/>
    <w:rsid w:val="00355C4E"/>
    <w:rsid w:val="00355C66"/>
    <w:rsid w:val="00355CC1"/>
    <w:rsid w:val="00355CF8"/>
    <w:rsid w:val="00355D19"/>
    <w:rsid w:val="00355D4D"/>
    <w:rsid w:val="00355E26"/>
    <w:rsid w:val="00355E72"/>
    <w:rsid w:val="00355E85"/>
    <w:rsid w:val="00355EC6"/>
    <w:rsid w:val="00355EC7"/>
    <w:rsid w:val="00355F2C"/>
    <w:rsid w:val="00355F5D"/>
    <w:rsid w:val="00355FE8"/>
    <w:rsid w:val="00355FFE"/>
    <w:rsid w:val="00356014"/>
    <w:rsid w:val="00356082"/>
    <w:rsid w:val="003560D1"/>
    <w:rsid w:val="0035612F"/>
    <w:rsid w:val="0035615A"/>
    <w:rsid w:val="0035617A"/>
    <w:rsid w:val="00356194"/>
    <w:rsid w:val="003561D1"/>
    <w:rsid w:val="00356201"/>
    <w:rsid w:val="0035626B"/>
    <w:rsid w:val="0035627C"/>
    <w:rsid w:val="00356293"/>
    <w:rsid w:val="00356370"/>
    <w:rsid w:val="0035637F"/>
    <w:rsid w:val="00356490"/>
    <w:rsid w:val="003564C6"/>
    <w:rsid w:val="003564F1"/>
    <w:rsid w:val="003565AA"/>
    <w:rsid w:val="0035661E"/>
    <w:rsid w:val="00356642"/>
    <w:rsid w:val="00356649"/>
    <w:rsid w:val="0035664E"/>
    <w:rsid w:val="0035665E"/>
    <w:rsid w:val="003566D2"/>
    <w:rsid w:val="003566EB"/>
    <w:rsid w:val="0035670E"/>
    <w:rsid w:val="00356722"/>
    <w:rsid w:val="003567A6"/>
    <w:rsid w:val="003567C1"/>
    <w:rsid w:val="003567C7"/>
    <w:rsid w:val="003567FC"/>
    <w:rsid w:val="00356811"/>
    <w:rsid w:val="003568BD"/>
    <w:rsid w:val="003568FE"/>
    <w:rsid w:val="0035691A"/>
    <w:rsid w:val="00356925"/>
    <w:rsid w:val="0035692C"/>
    <w:rsid w:val="0035698E"/>
    <w:rsid w:val="003569D0"/>
    <w:rsid w:val="003569F6"/>
    <w:rsid w:val="003569F7"/>
    <w:rsid w:val="003569FD"/>
    <w:rsid w:val="00356A35"/>
    <w:rsid w:val="00356A4F"/>
    <w:rsid w:val="00356A6A"/>
    <w:rsid w:val="00356A72"/>
    <w:rsid w:val="00356A74"/>
    <w:rsid w:val="00356A82"/>
    <w:rsid w:val="00356AB2"/>
    <w:rsid w:val="00356ABF"/>
    <w:rsid w:val="00356B0E"/>
    <w:rsid w:val="00356B1E"/>
    <w:rsid w:val="00356B4F"/>
    <w:rsid w:val="00356B5C"/>
    <w:rsid w:val="00356B7E"/>
    <w:rsid w:val="00356BC6"/>
    <w:rsid w:val="00356BD0"/>
    <w:rsid w:val="00356C20"/>
    <w:rsid w:val="00356C5C"/>
    <w:rsid w:val="00356D05"/>
    <w:rsid w:val="00356D1F"/>
    <w:rsid w:val="00356D50"/>
    <w:rsid w:val="00356DB6"/>
    <w:rsid w:val="00356E39"/>
    <w:rsid w:val="00356E3E"/>
    <w:rsid w:val="00356E41"/>
    <w:rsid w:val="00356F00"/>
    <w:rsid w:val="00356F10"/>
    <w:rsid w:val="00356F20"/>
    <w:rsid w:val="00356F5A"/>
    <w:rsid w:val="00356FA5"/>
    <w:rsid w:val="00357024"/>
    <w:rsid w:val="0035706D"/>
    <w:rsid w:val="00357085"/>
    <w:rsid w:val="00357097"/>
    <w:rsid w:val="00357101"/>
    <w:rsid w:val="00357104"/>
    <w:rsid w:val="003571A0"/>
    <w:rsid w:val="003571A4"/>
    <w:rsid w:val="003571F7"/>
    <w:rsid w:val="0035727F"/>
    <w:rsid w:val="00357287"/>
    <w:rsid w:val="003572AC"/>
    <w:rsid w:val="003572FB"/>
    <w:rsid w:val="0035733A"/>
    <w:rsid w:val="00357343"/>
    <w:rsid w:val="0035734E"/>
    <w:rsid w:val="00357400"/>
    <w:rsid w:val="0035740F"/>
    <w:rsid w:val="00357449"/>
    <w:rsid w:val="003574A0"/>
    <w:rsid w:val="003574A1"/>
    <w:rsid w:val="003574C3"/>
    <w:rsid w:val="003574DD"/>
    <w:rsid w:val="003574ED"/>
    <w:rsid w:val="003574F9"/>
    <w:rsid w:val="003574FB"/>
    <w:rsid w:val="00357515"/>
    <w:rsid w:val="0035751B"/>
    <w:rsid w:val="00357605"/>
    <w:rsid w:val="003576BA"/>
    <w:rsid w:val="003576BD"/>
    <w:rsid w:val="003576C9"/>
    <w:rsid w:val="003576F5"/>
    <w:rsid w:val="00357781"/>
    <w:rsid w:val="00357787"/>
    <w:rsid w:val="003577A1"/>
    <w:rsid w:val="00357897"/>
    <w:rsid w:val="003578A1"/>
    <w:rsid w:val="003578C6"/>
    <w:rsid w:val="0035794C"/>
    <w:rsid w:val="00357967"/>
    <w:rsid w:val="003579E1"/>
    <w:rsid w:val="00357A09"/>
    <w:rsid w:val="00357A5D"/>
    <w:rsid w:val="00357B65"/>
    <w:rsid w:val="00357C29"/>
    <w:rsid w:val="00357C2D"/>
    <w:rsid w:val="00357C54"/>
    <w:rsid w:val="00357CA8"/>
    <w:rsid w:val="00357CB0"/>
    <w:rsid w:val="00357D23"/>
    <w:rsid w:val="00357D54"/>
    <w:rsid w:val="00357D74"/>
    <w:rsid w:val="00357D8C"/>
    <w:rsid w:val="00357DC1"/>
    <w:rsid w:val="00357E0F"/>
    <w:rsid w:val="00357E16"/>
    <w:rsid w:val="00357E94"/>
    <w:rsid w:val="00357EA8"/>
    <w:rsid w:val="00357EB6"/>
    <w:rsid w:val="00357EDD"/>
    <w:rsid w:val="00357F20"/>
    <w:rsid w:val="00360015"/>
    <w:rsid w:val="003600B5"/>
    <w:rsid w:val="003600BB"/>
    <w:rsid w:val="003600FB"/>
    <w:rsid w:val="00360103"/>
    <w:rsid w:val="0036019B"/>
    <w:rsid w:val="003601C4"/>
    <w:rsid w:val="003601F4"/>
    <w:rsid w:val="00360239"/>
    <w:rsid w:val="003602D3"/>
    <w:rsid w:val="00360309"/>
    <w:rsid w:val="00360329"/>
    <w:rsid w:val="0036032D"/>
    <w:rsid w:val="00360352"/>
    <w:rsid w:val="0036037E"/>
    <w:rsid w:val="00360384"/>
    <w:rsid w:val="00360394"/>
    <w:rsid w:val="003603A3"/>
    <w:rsid w:val="003603A8"/>
    <w:rsid w:val="003603EF"/>
    <w:rsid w:val="003603F0"/>
    <w:rsid w:val="003603F2"/>
    <w:rsid w:val="00360423"/>
    <w:rsid w:val="0036046B"/>
    <w:rsid w:val="003604A9"/>
    <w:rsid w:val="003604F3"/>
    <w:rsid w:val="00360512"/>
    <w:rsid w:val="0036053D"/>
    <w:rsid w:val="00360543"/>
    <w:rsid w:val="00360576"/>
    <w:rsid w:val="0036058F"/>
    <w:rsid w:val="00360599"/>
    <w:rsid w:val="0036059C"/>
    <w:rsid w:val="003605AA"/>
    <w:rsid w:val="003605CA"/>
    <w:rsid w:val="003605DA"/>
    <w:rsid w:val="003606CA"/>
    <w:rsid w:val="003606F9"/>
    <w:rsid w:val="0036074A"/>
    <w:rsid w:val="00360768"/>
    <w:rsid w:val="003607D3"/>
    <w:rsid w:val="003607FB"/>
    <w:rsid w:val="0036082E"/>
    <w:rsid w:val="0036086B"/>
    <w:rsid w:val="00360872"/>
    <w:rsid w:val="00360941"/>
    <w:rsid w:val="00360959"/>
    <w:rsid w:val="00360981"/>
    <w:rsid w:val="003609C0"/>
    <w:rsid w:val="003609DC"/>
    <w:rsid w:val="003609E1"/>
    <w:rsid w:val="003609EA"/>
    <w:rsid w:val="00360A1F"/>
    <w:rsid w:val="00360AEB"/>
    <w:rsid w:val="00360B06"/>
    <w:rsid w:val="00360B33"/>
    <w:rsid w:val="00360B49"/>
    <w:rsid w:val="00360BBC"/>
    <w:rsid w:val="00360C38"/>
    <w:rsid w:val="00360C8B"/>
    <w:rsid w:val="00360CB8"/>
    <w:rsid w:val="00360CD9"/>
    <w:rsid w:val="00360D1A"/>
    <w:rsid w:val="00360D25"/>
    <w:rsid w:val="00360D4D"/>
    <w:rsid w:val="00360D74"/>
    <w:rsid w:val="00360DBF"/>
    <w:rsid w:val="00360EB1"/>
    <w:rsid w:val="00360ECB"/>
    <w:rsid w:val="00360EE8"/>
    <w:rsid w:val="00360F30"/>
    <w:rsid w:val="00360F37"/>
    <w:rsid w:val="00360F41"/>
    <w:rsid w:val="00360F82"/>
    <w:rsid w:val="00360FB3"/>
    <w:rsid w:val="00360FF6"/>
    <w:rsid w:val="0036105D"/>
    <w:rsid w:val="00361090"/>
    <w:rsid w:val="0036112F"/>
    <w:rsid w:val="00361142"/>
    <w:rsid w:val="0036115C"/>
    <w:rsid w:val="0036118B"/>
    <w:rsid w:val="003611FF"/>
    <w:rsid w:val="00361203"/>
    <w:rsid w:val="00361232"/>
    <w:rsid w:val="0036125D"/>
    <w:rsid w:val="00361287"/>
    <w:rsid w:val="003612D2"/>
    <w:rsid w:val="0036131F"/>
    <w:rsid w:val="00361342"/>
    <w:rsid w:val="00361358"/>
    <w:rsid w:val="00361363"/>
    <w:rsid w:val="003613BB"/>
    <w:rsid w:val="003613F3"/>
    <w:rsid w:val="00361455"/>
    <w:rsid w:val="0036148B"/>
    <w:rsid w:val="0036148F"/>
    <w:rsid w:val="003614B9"/>
    <w:rsid w:val="00361534"/>
    <w:rsid w:val="0036156F"/>
    <w:rsid w:val="00361574"/>
    <w:rsid w:val="003615C3"/>
    <w:rsid w:val="003615D9"/>
    <w:rsid w:val="0036168A"/>
    <w:rsid w:val="003616AC"/>
    <w:rsid w:val="003616D0"/>
    <w:rsid w:val="003616F7"/>
    <w:rsid w:val="00361736"/>
    <w:rsid w:val="0036178A"/>
    <w:rsid w:val="00361799"/>
    <w:rsid w:val="003617B4"/>
    <w:rsid w:val="003617C3"/>
    <w:rsid w:val="00361809"/>
    <w:rsid w:val="00361849"/>
    <w:rsid w:val="0036186B"/>
    <w:rsid w:val="00361877"/>
    <w:rsid w:val="00361894"/>
    <w:rsid w:val="0036195F"/>
    <w:rsid w:val="0036196E"/>
    <w:rsid w:val="00361983"/>
    <w:rsid w:val="003619EC"/>
    <w:rsid w:val="00361A61"/>
    <w:rsid w:val="00361A85"/>
    <w:rsid w:val="00361AAC"/>
    <w:rsid w:val="00361AC7"/>
    <w:rsid w:val="00361AE2"/>
    <w:rsid w:val="00361AF6"/>
    <w:rsid w:val="00361B20"/>
    <w:rsid w:val="00361BA6"/>
    <w:rsid w:val="00361BEE"/>
    <w:rsid w:val="00361C26"/>
    <w:rsid w:val="00361C2C"/>
    <w:rsid w:val="00361C2D"/>
    <w:rsid w:val="00361C7A"/>
    <w:rsid w:val="00361C92"/>
    <w:rsid w:val="00361CEC"/>
    <w:rsid w:val="00361DA7"/>
    <w:rsid w:val="00361E37"/>
    <w:rsid w:val="00361E3C"/>
    <w:rsid w:val="00361E52"/>
    <w:rsid w:val="00361E88"/>
    <w:rsid w:val="00361EB9"/>
    <w:rsid w:val="00361EBA"/>
    <w:rsid w:val="00361EC4"/>
    <w:rsid w:val="00361F37"/>
    <w:rsid w:val="00361FB9"/>
    <w:rsid w:val="00361FBD"/>
    <w:rsid w:val="00361FD9"/>
    <w:rsid w:val="00362002"/>
    <w:rsid w:val="0036200C"/>
    <w:rsid w:val="003620BB"/>
    <w:rsid w:val="003620C5"/>
    <w:rsid w:val="003620DC"/>
    <w:rsid w:val="003620E9"/>
    <w:rsid w:val="003620FA"/>
    <w:rsid w:val="00362109"/>
    <w:rsid w:val="0036220C"/>
    <w:rsid w:val="00362221"/>
    <w:rsid w:val="0036223B"/>
    <w:rsid w:val="00362262"/>
    <w:rsid w:val="0036231C"/>
    <w:rsid w:val="00362337"/>
    <w:rsid w:val="0036234A"/>
    <w:rsid w:val="003623BB"/>
    <w:rsid w:val="003623C9"/>
    <w:rsid w:val="00362423"/>
    <w:rsid w:val="003624E7"/>
    <w:rsid w:val="0036252B"/>
    <w:rsid w:val="0036253C"/>
    <w:rsid w:val="00362598"/>
    <w:rsid w:val="003625A3"/>
    <w:rsid w:val="003625AE"/>
    <w:rsid w:val="003625B3"/>
    <w:rsid w:val="003625C7"/>
    <w:rsid w:val="00362654"/>
    <w:rsid w:val="00362672"/>
    <w:rsid w:val="00362748"/>
    <w:rsid w:val="00362769"/>
    <w:rsid w:val="0036279B"/>
    <w:rsid w:val="003627B0"/>
    <w:rsid w:val="003627B7"/>
    <w:rsid w:val="003627C2"/>
    <w:rsid w:val="003627CD"/>
    <w:rsid w:val="00362856"/>
    <w:rsid w:val="003628A0"/>
    <w:rsid w:val="003628A8"/>
    <w:rsid w:val="003628CA"/>
    <w:rsid w:val="003629F9"/>
    <w:rsid w:val="00362A5F"/>
    <w:rsid w:val="00362A9D"/>
    <w:rsid w:val="00362AC4"/>
    <w:rsid w:val="00362AC6"/>
    <w:rsid w:val="00362B06"/>
    <w:rsid w:val="00362B3D"/>
    <w:rsid w:val="00362BA6"/>
    <w:rsid w:val="00362BC0"/>
    <w:rsid w:val="00362C02"/>
    <w:rsid w:val="00362C66"/>
    <w:rsid w:val="00362C71"/>
    <w:rsid w:val="00362C76"/>
    <w:rsid w:val="00362D2D"/>
    <w:rsid w:val="00362DD5"/>
    <w:rsid w:val="00362E6F"/>
    <w:rsid w:val="00362EC0"/>
    <w:rsid w:val="00362EFB"/>
    <w:rsid w:val="00362F1B"/>
    <w:rsid w:val="00362F26"/>
    <w:rsid w:val="00362F40"/>
    <w:rsid w:val="00362F41"/>
    <w:rsid w:val="00362F4D"/>
    <w:rsid w:val="00362FB5"/>
    <w:rsid w:val="00362FCF"/>
    <w:rsid w:val="00362FD6"/>
    <w:rsid w:val="0036304D"/>
    <w:rsid w:val="0036307A"/>
    <w:rsid w:val="0036308B"/>
    <w:rsid w:val="003630BA"/>
    <w:rsid w:val="003630D1"/>
    <w:rsid w:val="00363113"/>
    <w:rsid w:val="00363151"/>
    <w:rsid w:val="0036319F"/>
    <w:rsid w:val="003631B9"/>
    <w:rsid w:val="003631C4"/>
    <w:rsid w:val="003631CF"/>
    <w:rsid w:val="003631E0"/>
    <w:rsid w:val="003632A2"/>
    <w:rsid w:val="003632AB"/>
    <w:rsid w:val="00363334"/>
    <w:rsid w:val="0036333E"/>
    <w:rsid w:val="003633C6"/>
    <w:rsid w:val="00363459"/>
    <w:rsid w:val="0036348C"/>
    <w:rsid w:val="003634A9"/>
    <w:rsid w:val="003634C1"/>
    <w:rsid w:val="003634D2"/>
    <w:rsid w:val="00363560"/>
    <w:rsid w:val="00363566"/>
    <w:rsid w:val="00363576"/>
    <w:rsid w:val="0036357F"/>
    <w:rsid w:val="00363610"/>
    <w:rsid w:val="00363627"/>
    <w:rsid w:val="0036365B"/>
    <w:rsid w:val="003636D7"/>
    <w:rsid w:val="0036370E"/>
    <w:rsid w:val="0036371B"/>
    <w:rsid w:val="003637F7"/>
    <w:rsid w:val="003637F9"/>
    <w:rsid w:val="0036381B"/>
    <w:rsid w:val="0036389C"/>
    <w:rsid w:val="00363951"/>
    <w:rsid w:val="003639B5"/>
    <w:rsid w:val="00363A26"/>
    <w:rsid w:val="00363A2C"/>
    <w:rsid w:val="00363AD1"/>
    <w:rsid w:val="00363ADB"/>
    <w:rsid w:val="00363B2E"/>
    <w:rsid w:val="00363B4A"/>
    <w:rsid w:val="00363B4F"/>
    <w:rsid w:val="00363B59"/>
    <w:rsid w:val="00363B73"/>
    <w:rsid w:val="00363BC4"/>
    <w:rsid w:val="00363BD2"/>
    <w:rsid w:val="00363BD6"/>
    <w:rsid w:val="00363BE1"/>
    <w:rsid w:val="00363BEB"/>
    <w:rsid w:val="00363C92"/>
    <w:rsid w:val="00363CFC"/>
    <w:rsid w:val="00363D5C"/>
    <w:rsid w:val="00363D6F"/>
    <w:rsid w:val="00363DB2"/>
    <w:rsid w:val="00363E65"/>
    <w:rsid w:val="00363F1A"/>
    <w:rsid w:val="00363F48"/>
    <w:rsid w:val="00363F93"/>
    <w:rsid w:val="00363FA4"/>
    <w:rsid w:val="00363FE8"/>
    <w:rsid w:val="00363FEE"/>
    <w:rsid w:val="0036405E"/>
    <w:rsid w:val="0036406A"/>
    <w:rsid w:val="003640CE"/>
    <w:rsid w:val="003640D2"/>
    <w:rsid w:val="0036412D"/>
    <w:rsid w:val="0036426C"/>
    <w:rsid w:val="003642AF"/>
    <w:rsid w:val="003642F0"/>
    <w:rsid w:val="003642F8"/>
    <w:rsid w:val="003642FA"/>
    <w:rsid w:val="00364376"/>
    <w:rsid w:val="00364382"/>
    <w:rsid w:val="003643AE"/>
    <w:rsid w:val="003643D1"/>
    <w:rsid w:val="00364401"/>
    <w:rsid w:val="0036441A"/>
    <w:rsid w:val="00364425"/>
    <w:rsid w:val="00364491"/>
    <w:rsid w:val="003644A5"/>
    <w:rsid w:val="003644C1"/>
    <w:rsid w:val="0036451F"/>
    <w:rsid w:val="0036452C"/>
    <w:rsid w:val="0036453F"/>
    <w:rsid w:val="00364556"/>
    <w:rsid w:val="0036456C"/>
    <w:rsid w:val="00364572"/>
    <w:rsid w:val="00364585"/>
    <w:rsid w:val="00364603"/>
    <w:rsid w:val="0036466F"/>
    <w:rsid w:val="0036469C"/>
    <w:rsid w:val="003646AF"/>
    <w:rsid w:val="003646CB"/>
    <w:rsid w:val="003646F1"/>
    <w:rsid w:val="0036472E"/>
    <w:rsid w:val="00364733"/>
    <w:rsid w:val="00364778"/>
    <w:rsid w:val="00364779"/>
    <w:rsid w:val="0036479B"/>
    <w:rsid w:val="003647AF"/>
    <w:rsid w:val="003647DD"/>
    <w:rsid w:val="003647DE"/>
    <w:rsid w:val="0036483B"/>
    <w:rsid w:val="003648B7"/>
    <w:rsid w:val="003648DC"/>
    <w:rsid w:val="003648E4"/>
    <w:rsid w:val="00364956"/>
    <w:rsid w:val="00364A0E"/>
    <w:rsid w:val="00364A18"/>
    <w:rsid w:val="00364A23"/>
    <w:rsid w:val="00364A76"/>
    <w:rsid w:val="00364AD2"/>
    <w:rsid w:val="00364B47"/>
    <w:rsid w:val="00364B5E"/>
    <w:rsid w:val="00364BBF"/>
    <w:rsid w:val="00364BEB"/>
    <w:rsid w:val="00364C0C"/>
    <w:rsid w:val="00364C13"/>
    <w:rsid w:val="00364C28"/>
    <w:rsid w:val="00364C2B"/>
    <w:rsid w:val="00364C57"/>
    <w:rsid w:val="00364C84"/>
    <w:rsid w:val="00364C8B"/>
    <w:rsid w:val="00364CB9"/>
    <w:rsid w:val="00364CF0"/>
    <w:rsid w:val="00364CF9"/>
    <w:rsid w:val="00364D0B"/>
    <w:rsid w:val="00364D2B"/>
    <w:rsid w:val="00364E49"/>
    <w:rsid w:val="00364EE3"/>
    <w:rsid w:val="00364F3A"/>
    <w:rsid w:val="00364FC5"/>
    <w:rsid w:val="00364FCB"/>
    <w:rsid w:val="00364FCE"/>
    <w:rsid w:val="00364FEB"/>
    <w:rsid w:val="00364FF2"/>
    <w:rsid w:val="0036501C"/>
    <w:rsid w:val="0036501D"/>
    <w:rsid w:val="0036507C"/>
    <w:rsid w:val="00365081"/>
    <w:rsid w:val="0036516F"/>
    <w:rsid w:val="00365190"/>
    <w:rsid w:val="003651A0"/>
    <w:rsid w:val="003651FE"/>
    <w:rsid w:val="00365264"/>
    <w:rsid w:val="00365272"/>
    <w:rsid w:val="00365277"/>
    <w:rsid w:val="0036530C"/>
    <w:rsid w:val="0036532D"/>
    <w:rsid w:val="0036534A"/>
    <w:rsid w:val="00365364"/>
    <w:rsid w:val="00365376"/>
    <w:rsid w:val="003653E6"/>
    <w:rsid w:val="0036540D"/>
    <w:rsid w:val="00365413"/>
    <w:rsid w:val="003655F6"/>
    <w:rsid w:val="00365644"/>
    <w:rsid w:val="00365679"/>
    <w:rsid w:val="003656A4"/>
    <w:rsid w:val="003657D8"/>
    <w:rsid w:val="003657D9"/>
    <w:rsid w:val="00365805"/>
    <w:rsid w:val="0036587D"/>
    <w:rsid w:val="00365904"/>
    <w:rsid w:val="0036596C"/>
    <w:rsid w:val="003659D2"/>
    <w:rsid w:val="003659F1"/>
    <w:rsid w:val="00365A4A"/>
    <w:rsid w:val="00365A4C"/>
    <w:rsid w:val="00365A5C"/>
    <w:rsid w:val="00365A72"/>
    <w:rsid w:val="00365A87"/>
    <w:rsid w:val="00365ABD"/>
    <w:rsid w:val="00365AE4"/>
    <w:rsid w:val="00365AF9"/>
    <w:rsid w:val="00365B0B"/>
    <w:rsid w:val="00365B49"/>
    <w:rsid w:val="00365B4E"/>
    <w:rsid w:val="00365B93"/>
    <w:rsid w:val="00365BBF"/>
    <w:rsid w:val="00365C08"/>
    <w:rsid w:val="00365C32"/>
    <w:rsid w:val="00365C3A"/>
    <w:rsid w:val="00365C9E"/>
    <w:rsid w:val="00365CB2"/>
    <w:rsid w:val="00365CCE"/>
    <w:rsid w:val="00365CD0"/>
    <w:rsid w:val="00365D41"/>
    <w:rsid w:val="00365D87"/>
    <w:rsid w:val="00365DA3"/>
    <w:rsid w:val="00365DCF"/>
    <w:rsid w:val="00365DDD"/>
    <w:rsid w:val="00365E85"/>
    <w:rsid w:val="00365F35"/>
    <w:rsid w:val="00365FC6"/>
    <w:rsid w:val="00365FE5"/>
    <w:rsid w:val="00365FE9"/>
    <w:rsid w:val="00366074"/>
    <w:rsid w:val="00366082"/>
    <w:rsid w:val="0036610E"/>
    <w:rsid w:val="0036610F"/>
    <w:rsid w:val="003661E7"/>
    <w:rsid w:val="003661F8"/>
    <w:rsid w:val="0036621D"/>
    <w:rsid w:val="00366297"/>
    <w:rsid w:val="00366306"/>
    <w:rsid w:val="00366316"/>
    <w:rsid w:val="00366333"/>
    <w:rsid w:val="00366345"/>
    <w:rsid w:val="00366398"/>
    <w:rsid w:val="0036639E"/>
    <w:rsid w:val="003663BA"/>
    <w:rsid w:val="003663C1"/>
    <w:rsid w:val="0036641D"/>
    <w:rsid w:val="00366443"/>
    <w:rsid w:val="0036645E"/>
    <w:rsid w:val="0036665B"/>
    <w:rsid w:val="0036667F"/>
    <w:rsid w:val="00366692"/>
    <w:rsid w:val="003666DA"/>
    <w:rsid w:val="003666F9"/>
    <w:rsid w:val="00366702"/>
    <w:rsid w:val="0036691E"/>
    <w:rsid w:val="0036692F"/>
    <w:rsid w:val="0036694B"/>
    <w:rsid w:val="00366A0D"/>
    <w:rsid w:val="00366A29"/>
    <w:rsid w:val="00366A3A"/>
    <w:rsid w:val="00366A6D"/>
    <w:rsid w:val="00366A82"/>
    <w:rsid w:val="00366A97"/>
    <w:rsid w:val="00366AE7"/>
    <w:rsid w:val="00366AFD"/>
    <w:rsid w:val="00366B1B"/>
    <w:rsid w:val="00366B2A"/>
    <w:rsid w:val="00366B51"/>
    <w:rsid w:val="00366B72"/>
    <w:rsid w:val="00366BB6"/>
    <w:rsid w:val="00366BC0"/>
    <w:rsid w:val="00366C61"/>
    <w:rsid w:val="00366C6A"/>
    <w:rsid w:val="00366CC6"/>
    <w:rsid w:val="00366D4F"/>
    <w:rsid w:val="00366D87"/>
    <w:rsid w:val="00366D95"/>
    <w:rsid w:val="00366DB4"/>
    <w:rsid w:val="00366E45"/>
    <w:rsid w:val="00366EB6"/>
    <w:rsid w:val="00366EE2"/>
    <w:rsid w:val="00366EEF"/>
    <w:rsid w:val="00367016"/>
    <w:rsid w:val="00367091"/>
    <w:rsid w:val="003670E3"/>
    <w:rsid w:val="00367154"/>
    <w:rsid w:val="00367155"/>
    <w:rsid w:val="0036715A"/>
    <w:rsid w:val="0036719D"/>
    <w:rsid w:val="003671B3"/>
    <w:rsid w:val="003671F5"/>
    <w:rsid w:val="00367219"/>
    <w:rsid w:val="00367262"/>
    <w:rsid w:val="003672F6"/>
    <w:rsid w:val="00367305"/>
    <w:rsid w:val="003673AE"/>
    <w:rsid w:val="003673DC"/>
    <w:rsid w:val="00367474"/>
    <w:rsid w:val="00367494"/>
    <w:rsid w:val="003674A6"/>
    <w:rsid w:val="00367528"/>
    <w:rsid w:val="0036758F"/>
    <w:rsid w:val="00367590"/>
    <w:rsid w:val="003675AD"/>
    <w:rsid w:val="0036767C"/>
    <w:rsid w:val="00367770"/>
    <w:rsid w:val="00367794"/>
    <w:rsid w:val="003677AB"/>
    <w:rsid w:val="00367829"/>
    <w:rsid w:val="00367849"/>
    <w:rsid w:val="003678A2"/>
    <w:rsid w:val="00367901"/>
    <w:rsid w:val="00367940"/>
    <w:rsid w:val="00367967"/>
    <w:rsid w:val="0036796E"/>
    <w:rsid w:val="003679B1"/>
    <w:rsid w:val="003679CF"/>
    <w:rsid w:val="00367A01"/>
    <w:rsid w:val="00367A21"/>
    <w:rsid w:val="00367A4D"/>
    <w:rsid w:val="00367A90"/>
    <w:rsid w:val="00367A9A"/>
    <w:rsid w:val="00367AA8"/>
    <w:rsid w:val="00367BAA"/>
    <w:rsid w:val="00367BB2"/>
    <w:rsid w:val="00367C1A"/>
    <w:rsid w:val="00367C1C"/>
    <w:rsid w:val="00367C2D"/>
    <w:rsid w:val="00367C4D"/>
    <w:rsid w:val="00367C57"/>
    <w:rsid w:val="00367C6D"/>
    <w:rsid w:val="00367CCB"/>
    <w:rsid w:val="00367CCC"/>
    <w:rsid w:val="00367CD2"/>
    <w:rsid w:val="00367D52"/>
    <w:rsid w:val="00367D72"/>
    <w:rsid w:val="00367E33"/>
    <w:rsid w:val="00367E9D"/>
    <w:rsid w:val="00367EB3"/>
    <w:rsid w:val="00367F10"/>
    <w:rsid w:val="00367F3D"/>
    <w:rsid w:val="00367F98"/>
    <w:rsid w:val="00367FAA"/>
    <w:rsid w:val="00367FC7"/>
    <w:rsid w:val="0037006C"/>
    <w:rsid w:val="00370098"/>
    <w:rsid w:val="003700B8"/>
    <w:rsid w:val="0037011D"/>
    <w:rsid w:val="00370173"/>
    <w:rsid w:val="00370195"/>
    <w:rsid w:val="003701AE"/>
    <w:rsid w:val="003701D3"/>
    <w:rsid w:val="003702CA"/>
    <w:rsid w:val="003702D8"/>
    <w:rsid w:val="003702EA"/>
    <w:rsid w:val="00370370"/>
    <w:rsid w:val="003703A4"/>
    <w:rsid w:val="003703DF"/>
    <w:rsid w:val="0037046A"/>
    <w:rsid w:val="003704A9"/>
    <w:rsid w:val="003704DF"/>
    <w:rsid w:val="003705DD"/>
    <w:rsid w:val="003705E9"/>
    <w:rsid w:val="00370608"/>
    <w:rsid w:val="00370627"/>
    <w:rsid w:val="0037064A"/>
    <w:rsid w:val="00370659"/>
    <w:rsid w:val="003706AE"/>
    <w:rsid w:val="003706C7"/>
    <w:rsid w:val="0037071D"/>
    <w:rsid w:val="00370724"/>
    <w:rsid w:val="00370725"/>
    <w:rsid w:val="00370758"/>
    <w:rsid w:val="00370771"/>
    <w:rsid w:val="00370772"/>
    <w:rsid w:val="0037078B"/>
    <w:rsid w:val="003707B8"/>
    <w:rsid w:val="00370876"/>
    <w:rsid w:val="0037099B"/>
    <w:rsid w:val="003709B0"/>
    <w:rsid w:val="003709B5"/>
    <w:rsid w:val="00370A0B"/>
    <w:rsid w:val="00370A13"/>
    <w:rsid w:val="00370A34"/>
    <w:rsid w:val="00370A48"/>
    <w:rsid w:val="00370A71"/>
    <w:rsid w:val="00370AAC"/>
    <w:rsid w:val="00370AC6"/>
    <w:rsid w:val="00370AEA"/>
    <w:rsid w:val="00370B08"/>
    <w:rsid w:val="00370B24"/>
    <w:rsid w:val="00370B62"/>
    <w:rsid w:val="00370B87"/>
    <w:rsid w:val="00370BA2"/>
    <w:rsid w:val="00370C94"/>
    <w:rsid w:val="00370CA7"/>
    <w:rsid w:val="00370D50"/>
    <w:rsid w:val="00370D9C"/>
    <w:rsid w:val="00370DBF"/>
    <w:rsid w:val="00370DCB"/>
    <w:rsid w:val="00370E72"/>
    <w:rsid w:val="00370EC2"/>
    <w:rsid w:val="00370ED2"/>
    <w:rsid w:val="00370F28"/>
    <w:rsid w:val="00370F5C"/>
    <w:rsid w:val="00370F8F"/>
    <w:rsid w:val="00370F97"/>
    <w:rsid w:val="00370FD2"/>
    <w:rsid w:val="00370FE6"/>
    <w:rsid w:val="00370FFB"/>
    <w:rsid w:val="00371055"/>
    <w:rsid w:val="003710CD"/>
    <w:rsid w:val="003710D1"/>
    <w:rsid w:val="00371165"/>
    <w:rsid w:val="003711DA"/>
    <w:rsid w:val="00371234"/>
    <w:rsid w:val="0037123A"/>
    <w:rsid w:val="00371240"/>
    <w:rsid w:val="00371247"/>
    <w:rsid w:val="00371248"/>
    <w:rsid w:val="0037125F"/>
    <w:rsid w:val="00371337"/>
    <w:rsid w:val="0037136B"/>
    <w:rsid w:val="00371389"/>
    <w:rsid w:val="0037138A"/>
    <w:rsid w:val="00371421"/>
    <w:rsid w:val="00371442"/>
    <w:rsid w:val="0037144E"/>
    <w:rsid w:val="00371480"/>
    <w:rsid w:val="0037148E"/>
    <w:rsid w:val="003714B6"/>
    <w:rsid w:val="003714E8"/>
    <w:rsid w:val="00371502"/>
    <w:rsid w:val="00371519"/>
    <w:rsid w:val="00371565"/>
    <w:rsid w:val="00371599"/>
    <w:rsid w:val="003715C2"/>
    <w:rsid w:val="003715E6"/>
    <w:rsid w:val="003715E7"/>
    <w:rsid w:val="00371656"/>
    <w:rsid w:val="00371682"/>
    <w:rsid w:val="003716BF"/>
    <w:rsid w:val="003716F1"/>
    <w:rsid w:val="00371719"/>
    <w:rsid w:val="00371723"/>
    <w:rsid w:val="0037176A"/>
    <w:rsid w:val="0037176B"/>
    <w:rsid w:val="003717C5"/>
    <w:rsid w:val="003717F3"/>
    <w:rsid w:val="00371819"/>
    <w:rsid w:val="0037185A"/>
    <w:rsid w:val="003718BC"/>
    <w:rsid w:val="003718C2"/>
    <w:rsid w:val="003718D9"/>
    <w:rsid w:val="003718DA"/>
    <w:rsid w:val="003718E5"/>
    <w:rsid w:val="0037191D"/>
    <w:rsid w:val="003719D7"/>
    <w:rsid w:val="003719DF"/>
    <w:rsid w:val="00371A1B"/>
    <w:rsid w:val="00371A74"/>
    <w:rsid w:val="00371A90"/>
    <w:rsid w:val="00371A9B"/>
    <w:rsid w:val="00371AA2"/>
    <w:rsid w:val="00371AB6"/>
    <w:rsid w:val="00371AC2"/>
    <w:rsid w:val="00371B20"/>
    <w:rsid w:val="00371B54"/>
    <w:rsid w:val="00371BDF"/>
    <w:rsid w:val="00371BEA"/>
    <w:rsid w:val="00371C1C"/>
    <w:rsid w:val="00371C36"/>
    <w:rsid w:val="00371C88"/>
    <w:rsid w:val="00371CFD"/>
    <w:rsid w:val="00371D34"/>
    <w:rsid w:val="00371D78"/>
    <w:rsid w:val="00371D8F"/>
    <w:rsid w:val="00371DB6"/>
    <w:rsid w:val="00371DE2"/>
    <w:rsid w:val="00371E37"/>
    <w:rsid w:val="00371E6B"/>
    <w:rsid w:val="00371E73"/>
    <w:rsid w:val="00371EE5"/>
    <w:rsid w:val="00371EFC"/>
    <w:rsid w:val="00371F53"/>
    <w:rsid w:val="00371F82"/>
    <w:rsid w:val="00371F98"/>
    <w:rsid w:val="00371FE5"/>
    <w:rsid w:val="0037204A"/>
    <w:rsid w:val="00372053"/>
    <w:rsid w:val="00372055"/>
    <w:rsid w:val="0037205B"/>
    <w:rsid w:val="00372072"/>
    <w:rsid w:val="00372084"/>
    <w:rsid w:val="003721B8"/>
    <w:rsid w:val="00372225"/>
    <w:rsid w:val="00372233"/>
    <w:rsid w:val="003722EC"/>
    <w:rsid w:val="003722F0"/>
    <w:rsid w:val="00372306"/>
    <w:rsid w:val="0037232A"/>
    <w:rsid w:val="0037239A"/>
    <w:rsid w:val="003723AF"/>
    <w:rsid w:val="003723E0"/>
    <w:rsid w:val="003723F1"/>
    <w:rsid w:val="00372421"/>
    <w:rsid w:val="0037244B"/>
    <w:rsid w:val="00372486"/>
    <w:rsid w:val="003724B2"/>
    <w:rsid w:val="003724E0"/>
    <w:rsid w:val="003724E6"/>
    <w:rsid w:val="0037251F"/>
    <w:rsid w:val="00372521"/>
    <w:rsid w:val="00372533"/>
    <w:rsid w:val="00372546"/>
    <w:rsid w:val="00372590"/>
    <w:rsid w:val="0037267A"/>
    <w:rsid w:val="003726A1"/>
    <w:rsid w:val="0037272F"/>
    <w:rsid w:val="003727BB"/>
    <w:rsid w:val="0037282D"/>
    <w:rsid w:val="0037284B"/>
    <w:rsid w:val="0037288B"/>
    <w:rsid w:val="0037299A"/>
    <w:rsid w:val="00372A0E"/>
    <w:rsid w:val="00372A26"/>
    <w:rsid w:val="00372A37"/>
    <w:rsid w:val="00372A63"/>
    <w:rsid w:val="00372AE3"/>
    <w:rsid w:val="00372B2B"/>
    <w:rsid w:val="00372B5C"/>
    <w:rsid w:val="00372C00"/>
    <w:rsid w:val="00372CE0"/>
    <w:rsid w:val="00372CE5"/>
    <w:rsid w:val="00372D16"/>
    <w:rsid w:val="00372D2C"/>
    <w:rsid w:val="00372D73"/>
    <w:rsid w:val="00372DAA"/>
    <w:rsid w:val="00372DFE"/>
    <w:rsid w:val="00372EA6"/>
    <w:rsid w:val="00372EA8"/>
    <w:rsid w:val="00372EF7"/>
    <w:rsid w:val="00372F0E"/>
    <w:rsid w:val="00372F24"/>
    <w:rsid w:val="00372F29"/>
    <w:rsid w:val="00372F59"/>
    <w:rsid w:val="00372F91"/>
    <w:rsid w:val="00372FB3"/>
    <w:rsid w:val="00372FCA"/>
    <w:rsid w:val="00372FED"/>
    <w:rsid w:val="00373013"/>
    <w:rsid w:val="00373022"/>
    <w:rsid w:val="00373029"/>
    <w:rsid w:val="00373045"/>
    <w:rsid w:val="00373051"/>
    <w:rsid w:val="003730CD"/>
    <w:rsid w:val="00373144"/>
    <w:rsid w:val="00373177"/>
    <w:rsid w:val="003731F4"/>
    <w:rsid w:val="0037321B"/>
    <w:rsid w:val="0037329A"/>
    <w:rsid w:val="003732F6"/>
    <w:rsid w:val="00373303"/>
    <w:rsid w:val="003733AB"/>
    <w:rsid w:val="003733B3"/>
    <w:rsid w:val="003733DF"/>
    <w:rsid w:val="003733E2"/>
    <w:rsid w:val="0037348C"/>
    <w:rsid w:val="00373521"/>
    <w:rsid w:val="00373660"/>
    <w:rsid w:val="003736D5"/>
    <w:rsid w:val="003736F1"/>
    <w:rsid w:val="0037379C"/>
    <w:rsid w:val="00373813"/>
    <w:rsid w:val="00373830"/>
    <w:rsid w:val="00373841"/>
    <w:rsid w:val="00373852"/>
    <w:rsid w:val="00373866"/>
    <w:rsid w:val="003738EB"/>
    <w:rsid w:val="003738FB"/>
    <w:rsid w:val="00373901"/>
    <w:rsid w:val="00373993"/>
    <w:rsid w:val="003739D1"/>
    <w:rsid w:val="003739F2"/>
    <w:rsid w:val="003739FA"/>
    <w:rsid w:val="00373A3A"/>
    <w:rsid w:val="00373AE2"/>
    <w:rsid w:val="00373B43"/>
    <w:rsid w:val="00373B5C"/>
    <w:rsid w:val="00373B92"/>
    <w:rsid w:val="00373BA8"/>
    <w:rsid w:val="00373BD9"/>
    <w:rsid w:val="00373C09"/>
    <w:rsid w:val="00373C19"/>
    <w:rsid w:val="00373C53"/>
    <w:rsid w:val="00373CAF"/>
    <w:rsid w:val="00373D8F"/>
    <w:rsid w:val="00373E89"/>
    <w:rsid w:val="00373E8E"/>
    <w:rsid w:val="00373EBA"/>
    <w:rsid w:val="00373EF8"/>
    <w:rsid w:val="00373EFA"/>
    <w:rsid w:val="00373F40"/>
    <w:rsid w:val="00373F6A"/>
    <w:rsid w:val="00373F74"/>
    <w:rsid w:val="00374026"/>
    <w:rsid w:val="0037403B"/>
    <w:rsid w:val="003740CC"/>
    <w:rsid w:val="003740EE"/>
    <w:rsid w:val="003741F4"/>
    <w:rsid w:val="0037422A"/>
    <w:rsid w:val="00374262"/>
    <w:rsid w:val="003742B7"/>
    <w:rsid w:val="0037430D"/>
    <w:rsid w:val="003743ED"/>
    <w:rsid w:val="0037443D"/>
    <w:rsid w:val="003744F0"/>
    <w:rsid w:val="00374512"/>
    <w:rsid w:val="0037454C"/>
    <w:rsid w:val="003745B4"/>
    <w:rsid w:val="00374663"/>
    <w:rsid w:val="00374672"/>
    <w:rsid w:val="0037469F"/>
    <w:rsid w:val="003746B1"/>
    <w:rsid w:val="00374701"/>
    <w:rsid w:val="0037470F"/>
    <w:rsid w:val="00374745"/>
    <w:rsid w:val="0037480C"/>
    <w:rsid w:val="00374871"/>
    <w:rsid w:val="00374876"/>
    <w:rsid w:val="003748D6"/>
    <w:rsid w:val="003748F6"/>
    <w:rsid w:val="00374939"/>
    <w:rsid w:val="00374967"/>
    <w:rsid w:val="00374987"/>
    <w:rsid w:val="0037499E"/>
    <w:rsid w:val="003749B7"/>
    <w:rsid w:val="003749DD"/>
    <w:rsid w:val="00374A01"/>
    <w:rsid w:val="00374A2D"/>
    <w:rsid w:val="00374A6A"/>
    <w:rsid w:val="00374A9A"/>
    <w:rsid w:val="00374B18"/>
    <w:rsid w:val="00374B23"/>
    <w:rsid w:val="00374B40"/>
    <w:rsid w:val="00374B4C"/>
    <w:rsid w:val="00374BD0"/>
    <w:rsid w:val="00374C3C"/>
    <w:rsid w:val="00374C8E"/>
    <w:rsid w:val="00374CA2"/>
    <w:rsid w:val="00374CBF"/>
    <w:rsid w:val="00374CC9"/>
    <w:rsid w:val="00374CCF"/>
    <w:rsid w:val="00374CE4"/>
    <w:rsid w:val="00374D10"/>
    <w:rsid w:val="00374D60"/>
    <w:rsid w:val="00374D7A"/>
    <w:rsid w:val="00374DC1"/>
    <w:rsid w:val="00374DFE"/>
    <w:rsid w:val="00374E3C"/>
    <w:rsid w:val="00374E70"/>
    <w:rsid w:val="00374E7A"/>
    <w:rsid w:val="00374ECA"/>
    <w:rsid w:val="00374F0D"/>
    <w:rsid w:val="00374F9C"/>
    <w:rsid w:val="00374FA9"/>
    <w:rsid w:val="00374FC5"/>
    <w:rsid w:val="00375068"/>
    <w:rsid w:val="0037509B"/>
    <w:rsid w:val="003750A3"/>
    <w:rsid w:val="003750D0"/>
    <w:rsid w:val="003750F3"/>
    <w:rsid w:val="00375140"/>
    <w:rsid w:val="00375183"/>
    <w:rsid w:val="003751A4"/>
    <w:rsid w:val="003751A8"/>
    <w:rsid w:val="003751D2"/>
    <w:rsid w:val="00375261"/>
    <w:rsid w:val="00375296"/>
    <w:rsid w:val="003752DB"/>
    <w:rsid w:val="00375352"/>
    <w:rsid w:val="00375377"/>
    <w:rsid w:val="003753A8"/>
    <w:rsid w:val="0037542E"/>
    <w:rsid w:val="00375478"/>
    <w:rsid w:val="0037548A"/>
    <w:rsid w:val="003754A3"/>
    <w:rsid w:val="00375555"/>
    <w:rsid w:val="00375563"/>
    <w:rsid w:val="003755CC"/>
    <w:rsid w:val="00375606"/>
    <w:rsid w:val="0037562F"/>
    <w:rsid w:val="0037564C"/>
    <w:rsid w:val="0037566F"/>
    <w:rsid w:val="003756AC"/>
    <w:rsid w:val="003756B2"/>
    <w:rsid w:val="003756D1"/>
    <w:rsid w:val="00375725"/>
    <w:rsid w:val="00375728"/>
    <w:rsid w:val="00375738"/>
    <w:rsid w:val="00375750"/>
    <w:rsid w:val="00375826"/>
    <w:rsid w:val="003758BA"/>
    <w:rsid w:val="00375941"/>
    <w:rsid w:val="00375945"/>
    <w:rsid w:val="00375993"/>
    <w:rsid w:val="003759EA"/>
    <w:rsid w:val="00375A0A"/>
    <w:rsid w:val="00375A8B"/>
    <w:rsid w:val="00375B2D"/>
    <w:rsid w:val="00375B4D"/>
    <w:rsid w:val="00375BB2"/>
    <w:rsid w:val="00375C8E"/>
    <w:rsid w:val="00375CEE"/>
    <w:rsid w:val="00375DBD"/>
    <w:rsid w:val="00375DC2"/>
    <w:rsid w:val="00375E3C"/>
    <w:rsid w:val="00375E6A"/>
    <w:rsid w:val="00375F53"/>
    <w:rsid w:val="00375FC0"/>
    <w:rsid w:val="00375FEA"/>
    <w:rsid w:val="00375FF9"/>
    <w:rsid w:val="0037606A"/>
    <w:rsid w:val="00376081"/>
    <w:rsid w:val="00376085"/>
    <w:rsid w:val="003760BC"/>
    <w:rsid w:val="003760C8"/>
    <w:rsid w:val="0037613C"/>
    <w:rsid w:val="00376141"/>
    <w:rsid w:val="0037619C"/>
    <w:rsid w:val="003761E7"/>
    <w:rsid w:val="003761F2"/>
    <w:rsid w:val="0037628F"/>
    <w:rsid w:val="003762A6"/>
    <w:rsid w:val="003762C1"/>
    <w:rsid w:val="00376313"/>
    <w:rsid w:val="00376333"/>
    <w:rsid w:val="00376341"/>
    <w:rsid w:val="00376353"/>
    <w:rsid w:val="0037636F"/>
    <w:rsid w:val="0037638E"/>
    <w:rsid w:val="00376399"/>
    <w:rsid w:val="003763E5"/>
    <w:rsid w:val="00376415"/>
    <w:rsid w:val="00376450"/>
    <w:rsid w:val="003764A6"/>
    <w:rsid w:val="003764AC"/>
    <w:rsid w:val="003764F9"/>
    <w:rsid w:val="003765A8"/>
    <w:rsid w:val="003765AE"/>
    <w:rsid w:val="003765F5"/>
    <w:rsid w:val="00376676"/>
    <w:rsid w:val="003766E2"/>
    <w:rsid w:val="0037670F"/>
    <w:rsid w:val="00376749"/>
    <w:rsid w:val="003767A5"/>
    <w:rsid w:val="003767EC"/>
    <w:rsid w:val="003767F0"/>
    <w:rsid w:val="003767F6"/>
    <w:rsid w:val="0037685D"/>
    <w:rsid w:val="003768EF"/>
    <w:rsid w:val="00376900"/>
    <w:rsid w:val="00376937"/>
    <w:rsid w:val="00376994"/>
    <w:rsid w:val="0037699F"/>
    <w:rsid w:val="003769A8"/>
    <w:rsid w:val="00376A41"/>
    <w:rsid w:val="00376A46"/>
    <w:rsid w:val="00376A75"/>
    <w:rsid w:val="00376AE4"/>
    <w:rsid w:val="00376AEE"/>
    <w:rsid w:val="00376B44"/>
    <w:rsid w:val="00376B72"/>
    <w:rsid w:val="00376B77"/>
    <w:rsid w:val="00376B86"/>
    <w:rsid w:val="00376BAD"/>
    <w:rsid w:val="00376BB1"/>
    <w:rsid w:val="00376BE3"/>
    <w:rsid w:val="00376C04"/>
    <w:rsid w:val="00376C19"/>
    <w:rsid w:val="00376C2E"/>
    <w:rsid w:val="00376CC2"/>
    <w:rsid w:val="00376CD9"/>
    <w:rsid w:val="00376CE7"/>
    <w:rsid w:val="00376D10"/>
    <w:rsid w:val="00376D46"/>
    <w:rsid w:val="00376D76"/>
    <w:rsid w:val="00376D77"/>
    <w:rsid w:val="00376DAC"/>
    <w:rsid w:val="00376DF6"/>
    <w:rsid w:val="00376EA3"/>
    <w:rsid w:val="00376EB0"/>
    <w:rsid w:val="00376F21"/>
    <w:rsid w:val="00376F63"/>
    <w:rsid w:val="00376F91"/>
    <w:rsid w:val="00376FCC"/>
    <w:rsid w:val="00377063"/>
    <w:rsid w:val="00377088"/>
    <w:rsid w:val="00377090"/>
    <w:rsid w:val="00377155"/>
    <w:rsid w:val="00377182"/>
    <w:rsid w:val="003771A8"/>
    <w:rsid w:val="003771BD"/>
    <w:rsid w:val="003771D2"/>
    <w:rsid w:val="003771EC"/>
    <w:rsid w:val="00377219"/>
    <w:rsid w:val="0037727C"/>
    <w:rsid w:val="0037727F"/>
    <w:rsid w:val="003772C5"/>
    <w:rsid w:val="003772FB"/>
    <w:rsid w:val="0037732D"/>
    <w:rsid w:val="00377332"/>
    <w:rsid w:val="003773A8"/>
    <w:rsid w:val="0037743D"/>
    <w:rsid w:val="00377506"/>
    <w:rsid w:val="0037750C"/>
    <w:rsid w:val="0037751D"/>
    <w:rsid w:val="00377522"/>
    <w:rsid w:val="00377523"/>
    <w:rsid w:val="00377569"/>
    <w:rsid w:val="00377578"/>
    <w:rsid w:val="003775DA"/>
    <w:rsid w:val="00377688"/>
    <w:rsid w:val="003776C7"/>
    <w:rsid w:val="00377706"/>
    <w:rsid w:val="0037775F"/>
    <w:rsid w:val="00377768"/>
    <w:rsid w:val="0037778E"/>
    <w:rsid w:val="003777BA"/>
    <w:rsid w:val="003777C5"/>
    <w:rsid w:val="003777EA"/>
    <w:rsid w:val="00377831"/>
    <w:rsid w:val="00377846"/>
    <w:rsid w:val="00377885"/>
    <w:rsid w:val="003778A1"/>
    <w:rsid w:val="003778B7"/>
    <w:rsid w:val="003778BA"/>
    <w:rsid w:val="003778C2"/>
    <w:rsid w:val="003778CB"/>
    <w:rsid w:val="00377916"/>
    <w:rsid w:val="00377924"/>
    <w:rsid w:val="0037795A"/>
    <w:rsid w:val="00377986"/>
    <w:rsid w:val="00377A0E"/>
    <w:rsid w:val="00377A45"/>
    <w:rsid w:val="00377AEA"/>
    <w:rsid w:val="00377B20"/>
    <w:rsid w:val="00377B37"/>
    <w:rsid w:val="00377B40"/>
    <w:rsid w:val="00377B5C"/>
    <w:rsid w:val="00377BCA"/>
    <w:rsid w:val="00377BCC"/>
    <w:rsid w:val="00377BF5"/>
    <w:rsid w:val="00377BFF"/>
    <w:rsid w:val="00377C34"/>
    <w:rsid w:val="00377C50"/>
    <w:rsid w:val="00377C8C"/>
    <w:rsid w:val="00377C9E"/>
    <w:rsid w:val="00377D67"/>
    <w:rsid w:val="00377D81"/>
    <w:rsid w:val="00377DFE"/>
    <w:rsid w:val="00377E43"/>
    <w:rsid w:val="00377E65"/>
    <w:rsid w:val="00377E91"/>
    <w:rsid w:val="00377EA6"/>
    <w:rsid w:val="00377EFC"/>
    <w:rsid w:val="00377F13"/>
    <w:rsid w:val="00377FB0"/>
    <w:rsid w:val="00377FB9"/>
    <w:rsid w:val="00377FBF"/>
    <w:rsid w:val="00380005"/>
    <w:rsid w:val="0038004D"/>
    <w:rsid w:val="003800BB"/>
    <w:rsid w:val="003800DB"/>
    <w:rsid w:val="003800DF"/>
    <w:rsid w:val="003800FD"/>
    <w:rsid w:val="00380141"/>
    <w:rsid w:val="0038017C"/>
    <w:rsid w:val="00380193"/>
    <w:rsid w:val="003801C8"/>
    <w:rsid w:val="003801EA"/>
    <w:rsid w:val="00380242"/>
    <w:rsid w:val="0038024E"/>
    <w:rsid w:val="00380260"/>
    <w:rsid w:val="00380316"/>
    <w:rsid w:val="0038034D"/>
    <w:rsid w:val="00380360"/>
    <w:rsid w:val="003803A0"/>
    <w:rsid w:val="003804AF"/>
    <w:rsid w:val="003804D8"/>
    <w:rsid w:val="00380507"/>
    <w:rsid w:val="00380508"/>
    <w:rsid w:val="00380623"/>
    <w:rsid w:val="00380658"/>
    <w:rsid w:val="00380663"/>
    <w:rsid w:val="00380686"/>
    <w:rsid w:val="00380703"/>
    <w:rsid w:val="0038075B"/>
    <w:rsid w:val="00380797"/>
    <w:rsid w:val="003807A5"/>
    <w:rsid w:val="003807A9"/>
    <w:rsid w:val="00380850"/>
    <w:rsid w:val="003808B9"/>
    <w:rsid w:val="003808D1"/>
    <w:rsid w:val="003808E0"/>
    <w:rsid w:val="00380909"/>
    <w:rsid w:val="003809E6"/>
    <w:rsid w:val="00380A03"/>
    <w:rsid w:val="00380AB4"/>
    <w:rsid w:val="00380B49"/>
    <w:rsid w:val="00380B5B"/>
    <w:rsid w:val="00380B8A"/>
    <w:rsid w:val="00380C0B"/>
    <w:rsid w:val="00380C7E"/>
    <w:rsid w:val="00380CAA"/>
    <w:rsid w:val="00380CB0"/>
    <w:rsid w:val="00380CD5"/>
    <w:rsid w:val="00380CDB"/>
    <w:rsid w:val="00380D9C"/>
    <w:rsid w:val="00380E77"/>
    <w:rsid w:val="00380EEC"/>
    <w:rsid w:val="00380EF9"/>
    <w:rsid w:val="00380F1A"/>
    <w:rsid w:val="00380F7A"/>
    <w:rsid w:val="00380FA3"/>
    <w:rsid w:val="00380FB0"/>
    <w:rsid w:val="00381057"/>
    <w:rsid w:val="0038107A"/>
    <w:rsid w:val="003810AE"/>
    <w:rsid w:val="003810BE"/>
    <w:rsid w:val="003812AD"/>
    <w:rsid w:val="003812B2"/>
    <w:rsid w:val="003812DE"/>
    <w:rsid w:val="00381328"/>
    <w:rsid w:val="0038139A"/>
    <w:rsid w:val="003813AA"/>
    <w:rsid w:val="0038151F"/>
    <w:rsid w:val="0038156E"/>
    <w:rsid w:val="0038162E"/>
    <w:rsid w:val="00381671"/>
    <w:rsid w:val="003816BF"/>
    <w:rsid w:val="003816EC"/>
    <w:rsid w:val="00381761"/>
    <w:rsid w:val="00381769"/>
    <w:rsid w:val="00381781"/>
    <w:rsid w:val="003817BF"/>
    <w:rsid w:val="003817E8"/>
    <w:rsid w:val="003817EC"/>
    <w:rsid w:val="00381807"/>
    <w:rsid w:val="003818F8"/>
    <w:rsid w:val="0038191F"/>
    <w:rsid w:val="00381950"/>
    <w:rsid w:val="00381999"/>
    <w:rsid w:val="003819F2"/>
    <w:rsid w:val="00381A36"/>
    <w:rsid w:val="00381A47"/>
    <w:rsid w:val="00381AE4"/>
    <w:rsid w:val="00381AE6"/>
    <w:rsid w:val="00381AEF"/>
    <w:rsid w:val="00381AF1"/>
    <w:rsid w:val="00381B10"/>
    <w:rsid w:val="00381B7B"/>
    <w:rsid w:val="00381BB8"/>
    <w:rsid w:val="00381CA0"/>
    <w:rsid w:val="00381D4F"/>
    <w:rsid w:val="00381D58"/>
    <w:rsid w:val="00381D8B"/>
    <w:rsid w:val="00381DA5"/>
    <w:rsid w:val="00381DE7"/>
    <w:rsid w:val="00381DF5"/>
    <w:rsid w:val="00381E49"/>
    <w:rsid w:val="00381E9D"/>
    <w:rsid w:val="00381EB1"/>
    <w:rsid w:val="00381F0C"/>
    <w:rsid w:val="00381F5B"/>
    <w:rsid w:val="00381F6E"/>
    <w:rsid w:val="00381F99"/>
    <w:rsid w:val="00382050"/>
    <w:rsid w:val="0038205B"/>
    <w:rsid w:val="00382076"/>
    <w:rsid w:val="00382126"/>
    <w:rsid w:val="0038216C"/>
    <w:rsid w:val="00382183"/>
    <w:rsid w:val="00382239"/>
    <w:rsid w:val="00382290"/>
    <w:rsid w:val="0038237A"/>
    <w:rsid w:val="00382414"/>
    <w:rsid w:val="0038253E"/>
    <w:rsid w:val="003825B4"/>
    <w:rsid w:val="003825B6"/>
    <w:rsid w:val="003825BA"/>
    <w:rsid w:val="0038260C"/>
    <w:rsid w:val="00382649"/>
    <w:rsid w:val="00382690"/>
    <w:rsid w:val="003826AA"/>
    <w:rsid w:val="003826BF"/>
    <w:rsid w:val="003826EC"/>
    <w:rsid w:val="0038273F"/>
    <w:rsid w:val="0038277D"/>
    <w:rsid w:val="0038278A"/>
    <w:rsid w:val="003827DA"/>
    <w:rsid w:val="0038285F"/>
    <w:rsid w:val="00382861"/>
    <w:rsid w:val="0038289E"/>
    <w:rsid w:val="003828E9"/>
    <w:rsid w:val="00382994"/>
    <w:rsid w:val="003829D9"/>
    <w:rsid w:val="00382A29"/>
    <w:rsid w:val="00382AA9"/>
    <w:rsid w:val="00382AEB"/>
    <w:rsid w:val="00382B0F"/>
    <w:rsid w:val="00382B1E"/>
    <w:rsid w:val="00382B50"/>
    <w:rsid w:val="00382B71"/>
    <w:rsid w:val="00382BAC"/>
    <w:rsid w:val="00382BAF"/>
    <w:rsid w:val="00382BBC"/>
    <w:rsid w:val="00382BE2"/>
    <w:rsid w:val="00382BEB"/>
    <w:rsid w:val="00382BED"/>
    <w:rsid w:val="00382C55"/>
    <w:rsid w:val="00382C5C"/>
    <w:rsid w:val="00382CB1"/>
    <w:rsid w:val="00382D9A"/>
    <w:rsid w:val="00382DB2"/>
    <w:rsid w:val="00382DCE"/>
    <w:rsid w:val="00382E1C"/>
    <w:rsid w:val="00382E56"/>
    <w:rsid w:val="00382E5A"/>
    <w:rsid w:val="00382E61"/>
    <w:rsid w:val="00382E6A"/>
    <w:rsid w:val="00382EC1"/>
    <w:rsid w:val="00382ED5"/>
    <w:rsid w:val="00382F09"/>
    <w:rsid w:val="00382F10"/>
    <w:rsid w:val="0038302A"/>
    <w:rsid w:val="00383061"/>
    <w:rsid w:val="003831E0"/>
    <w:rsid w:val="003831F8"/>
    <w:rsid w:val="00383223"/>
    <w:rsid w:val="00383232"/>
    <w:rsid w:val="003832A8"/>
    <w:rsid w:val="003832B9"/>
    <w:rsid w:val="0038333E"/>
    <w:rsid w:val="0038334E"/>
    <w:rsid w:val="003833C9"/>
    <w:rsid w:val="00383451"/>
    <w:rsid w:val="00383464"/>
    <w:rsid w:val="00383474"/>
    <w:rsid w:val="0038349E"/>
    <w:rsid w:val="003834CC"/>
    <w:rsid w:val="003834ED"/>
    <w:rsid w:val="00383554"/>
    <w:rsid w:val="00383562"/>
    <w:rsid w:val="00383566"/>
    <w:rsid w:val="003835B0"/>
    <w:rsid w:val="00383616"/>
    <w:rsid w:val="00383677"/>
    <w:rsid w:val="003836CC"/>
    <w:rsid w:val="00383730"/>
    <w:rsid w:val="00383739"/>
    <w:rsid w:val="0038375A"/>
    <w:rsid w:val="00383800"/>
    <w:rsid w:val="0038380C"/>
    <w:rsid w:val="00383860"/>
    <w:rsid w:val="0038388A"/>
    <w:rsid w:val="003838CC"/>
    <w:rsid w:val="003838DD"/>
    <w:rsid w:val="003838FB"/>
    <w:rsid w:val="00383984"/>
    <w:rsid w:val="00383999"/>
    <w:rsid w:val="0038399A"/>
    <w:rsid w:val="003839A2"/>
    <w:rsid w:val="00383A00"/>
    <w:rsid w:val="00383AC1"/>
    <w:rsid w:val="00383B48"/>
    <w:rsid w:val="00383C40"/>
    <w:rsid w:val="00383D31"/>
    <w:rsid w:val="00383EC9"/>
    <w:rsid w:val="00383EF0"/>
    <w:rsid w:val="00383F12"/>
    <w:rsid w:val="00383F57"/>
    <w:rsid w:val="00383F5B"/>
    <w:rsid w:val="00383F74"/>
    <w:rsid w:val="00383F88"/>
    <w:rsid w:val="00383FA4"/>
    <w:rsid w:val="00383FF5"/>
    <w:rsid w:val="00383FFB"/>
    <w:rsid w:val="0038407A"/>
    <w:rsid w:val="00384140"/>
    <w:rsid w:val="003841B3"/>
    <w:rsid w:val="00384201"/>
    <w:rsid w:val="003842CD"/>
    <w:rsid w:val="003842FE"/>
    <w:rsid w:val="00384303"/>
    <w:rsid w:val="0038430D"/>
    <w:rsid w:val="0038432E"/>
    <w:rsid w:val="0038435D"/>
    <w:rsid w:val="0038437A"/>
    <w:rsid w:val="003843BD"/>
    <w:rsid w:val="003843F0"/>
    <w:rsid w:val="00384440"/>
    <w:rsid w:val="00384448"/>
    <w:rsid w:val="0038454D"/>
    <w:rsid w:val="00384557"/>
    <w:rsid w:val="00384569"/>
    <w:rsid w:val="0038458B"/>
    <w:rsid w:val="0038461C"/>
    <w:rsid w:val="00384627"/>
    <w:rsid w:val="00384678"/>
    <w:rsid w:val="00384697"/>
    <w:rsid w:val="003846BE"/>
    <w:rsid w:val="0038470D"/>
    <w:rsid w:val="00384741"/>
    <w:rsid w:val="0038475A"/>
    <w:rsid w:val="00384775"/>
    <w:rsid w:val="003847AC"/>
    <w:rsid w:val="003847AD"/>
    <w:rsid w:val="0038485D"/>
    <w:rsid w:val="00384867"/>
    <w:rsid w:val="00384869"/>
    <w:rsid w:val="00384871"/>
    <w:rsid w:val="0038488B"/>
    <w:rsid w:val="003848D8"/>
    <w:rsid w:val="003848F2"/>
    <w:rsid w:val="0038490A"/>
    <w:rsid w:val="0038490E"/>
    <w:rsid w:val="0038492F"/>
    <w:rsid w:val="00384933"/>
    <w:rsid w:val="0038496C"/>
    <w:rsid w:val="003849D4"/>
    <w:rsid w:val="003849DA"/>
    <w:rsid w:val="003849FA"/>
    <w:rsid w:val="00384A04"/>
    <w:rsid w:val="00384A0D"/>
    <w:rsid w:val="00384A1E"/>
    <w:rsid w:val="00384A30"/>
    <w:rsid w:val="00384A86"/>
    <w:rsid w:val="00384ACC"/>
    <w:rsid w:val="00384B01"/>
    <w:rsid w:val="00384B99"/>
    <w:rsid w:val="00384BD5"/>
    <w:rsid w:val="00384BE4"/>
    <w:rsid w:val="00384C0A"/>
    <w:rsid w:val="00384C29"/>
    <w:rsid w:val="00384C3F"/>
    <w:rsid w:val="00384C8E"/>
    <w:rsid w:val="00384CA4"/>
    <w:rsid w:val="00384D1C"/>
    <w:rsid w:val="00384DC6"/>
    <w:rsid w:val="00384DE2"/>
    <w:rsid w:val="00384DF3"/>
    <w:rsid w:val="00384E00"/>
    <w:rsid w:val="00384E9D"/>
    <w:rsid w:val="00384EA7"/>
    <w:rsid w:val="00384EDE"/>
    <w:rsid w:val="00384F20"/>
    <w:rsid w:val="00384F54"/>
    <w:rsid w:val="00384F58"/>
    <w:rsid w:val="00384F75"/>
    <w:rsid w:val="00384FE7"/>
    <w:rsid w:val="00384FFF"/>
    <w:rsid w:val="0038504A"/>
    <w:rsid w:val="0038504D"/>
    <w:rsid w:val="00385060"/>
    <w:rsid w:val="00385095"/>
    <w:rsid w:val="003850EA"/>
    <w:rsid w:val="003850F2"/>
    <w:rsid w:val="0038511B"/>
    <w:rsid w:val="00385129"/>
    <w:rsid w:val="0038514D"/>
    <w:rsid w:val="003851C6"/>
    <w:rsid w:val="0038521F"/>
    <w:rsid w:val="00385229"/>
    <w:rsid w:val="00385327"/>
    <w:rsid w:val="0038532E"/>
    <w:rsid w:val="0038535E"/>
    <w:rsid w:val="0038535F"/>
    <w:rsid w:val="00385363"/>
    <w:rsid w:val="00385366"/>
    <w:rsid w:val="003853E9"/>
    <w:rsid w:val="0038546D"/>
    <w:rsid w:val="00385479"/>
    <w:rsid w:val="003854AA"/>
    <w:rsid w:val="003854C0"/>
    <w:rsid w:val="003854E5"/>
    <w:rsid w:val="00385519"/>
    <w:rsid w:val="0038553D"/>
    <w:rsid w:val="0038556F"/>
    <w:rsid w:val="0038562C"/>
    <w:rsid w:val="003856B6"/>
    <w:rsid w:val="00385727"/>
    <w:rsid w:val="003857D9"/>
    <w:rsid w:val="003857F6"/>
    <w:rsid w:val="00385815"/>
    <w:rsid w:val="00385866"/>
    <w:rsid w:val="003858D6"/>
    <w:rsid w:val="003858E1"/>
    <w:rsid w:val="00385972"/>
    <w:rsid w:val="00385996"/>
    <w:rsid w:val="003859CD"/>
    <w:rsid w:val="00385A7A"/>
    <w:rsid w:val="00385AF0"/>
    <w:rsid w:val="00385B67"/>
    <w:rsid w:val="00385BB9"/>
    <w:rsid w:val="00385C12"/>
    <w:rsid w:val="00385C1C"/>
    <w:rsid w:val="00385CAE"/>
    <w:rsid w:val="00385CB7"/>
    <w:rsid w:val="00385CD1"/>
    <w:rsid w:val="00385CEA"/>
    <w:rsid w:val="00385D05"/>
    <w:rsid w:val="00385D11"/>
    <w:rsid w:val="00385DA2"/>
    <w:rsid w:val="00385DCC"/>
    <w:rsid w:val="00385DCE"/>
    <w:rsid w:val="00385E09"/>
    <w:rsid w:val="00385E31"/>
    <w:rsid w:val="00385E93"/>
    <w:rsid w:val="00385ECC"/>
    <w:rsid w:val="00385F95"/>
    <w:rsid w:val="00385FAF"/>
    <w:rsid w:val="00385FC5"/>
    <w:rsid w:val="00385FFE"/>
    <w:rsid w:val="00386012"/>
    <w:rsid w:val="0038603A"/>
    <w:rsid w:val="00386080"/>
    <w:rsid w:val="003860AC"/>
    <w:rsid w:val="003860D1"/>
    <w:rsid w:val="0038616E"/>
    <w:rsid w:val="00386176"/>
    <w:rsid w:val="003861BD"/>
    <w:rsid w:val="003861CD"/>
    <w:rsid w:val="00386206"/>
    <w:rsid w:val="0038625D"/>
    <w:rsid w:val="0038629D"/>
    <w:rsid w:val="00386305"/>
    <w:rsid w:val="0038637A"/>
    <w:rsid w:val="003863B8"/>
    <w:rsid w:val="003863B9"/>
    <w:rsid w:val="003863C7"/>
    <w:rsid w:val="003863DA"/>
    <w:rsid w:val="00386412"/>
    <w:rsid w:val="00386429"/>
    <w:rsid w:val="0038645C"/>
    <w:rsid w:val="0038647D"/>
    <w:rsid w:val="00386526"/>
    <w:rsid w:val="00386555"/>
    <w:rsid w:val="00386575"/>
    <w:rsid w:val="00386584"/>
    <w:rsid w:val="003865B9"/>
    <w:rsid w:val="003865BF"/>
    <w:rsid w:val="003865D7"/>
    <w:rsid w:val="00386618"/>
    <w:rsid w:val="003866E2"/>
    <w:rsid w:val="00386709"/>
    <w:rsid w:val="003867AF"/>
    <w:rsid w:val="003867E6"/>
    <w:rsid w:val="003867E8"/>
    <w:rsid w:val="003867F0"/>
    <w:rsid w:val="003867F1"/>
    <w:rsid w:val="0038687E"/>
    <w:rsid w:val="00386918"/>
    <w:rsid w:val="00386949"/>
    <w:rsid w:val="00386970"/>
    <w:rsid w:val="003869A9"/>
    <w:rsid w:val="003869D7"/>
    <w:rsid w:val="003869FA"/>
    <w:rsid w:val="00386A51"/>
    <w:rsid w:val="00386A63"/>
    <w:rsid w:val="00386ADB"/>
    <w:rsid w:val="00386B09"/>
    <w:rsid w:val="00386B18"/>
    <w:rsid w:val="00386B29"/>
    <w:rsid w:val="00386B82"/>
    <w:rsid w:val="00386B8D"/>
    <w:rsid w:val="00386BB5"/>
    <w:rsid w:val="00386C29"/>
    <w:rsid w:val="00386C2C"/>
    <w:rsid w:val="00386C81"/>
    <w:rsid w:val="00386CF3"/>
    <w:rsid w:val="00386D32"/>
    <w:rsid w:val="00386D36"/>
    <w:rsid w:val="00386D5C"/>
    <w:rsid w:val="00386E04"/>
    <w:rsid w:val="00386E13"/>
    <w:rsid w:val="00386E28"/>
    <w:rsid w:val="00386E75"/>
    <w:rsid w:val="00386F46"/>
    <w:rsid w:val="00386F85"/>
    <w:rsid w:val="00386F8B"/>
    <w:rsid w:val="00386FAF"/>
    <w:rsid w:val="00386FF6"/>
    <w:rsid w:val="00387008"/>
    <w:rsid w:val="00387131"/>
    <w:rsid w:val="00387142"/>
    <w:rsid w:val="0038715C"/>
    <w:rsid w:val="00387163"/>
    <w:rsid w:val="003871BA"/>
    <w:rsid w:val="003871BE"/>
    <w:rsid w:val="003872DF"/>
    <w:rsid w:val="003872F9"/>
    <w:rsid w:val="003872FE"/>
    <w:rsid w:val="00387336"/>
    <w:rsid w:val="00387343"/>
    <w:rsid w:val="00387382"/>
    <w:rsid w:val="00387385"/>
    <w:rsid w:val="003873A9"/>
    <w:rsid w:val="0038741D"/>
    <w:rsid w:val="00387432"/>
    <w:rsid w:val="003874BA"/>
    <w:rsid w:val="003874E8"/>
    <w:rsid w:val="0038751C"/>
    <w:rsid w:val="00387547"/>
    <w:rsid w:val="00387582"/>
    <w:rsid w:val="00387584"/>
    <w:rsid w:val="00387605"/>
    <w:rsid w:val="00387619"/>
    <w:rsid w:val="00387645"/>
    <w:rsid w:val="00387646"/>
    <w:rsid w:val="00387684"/>
    <w:rsid w:val="003876E2"/>
    <w:rsid w:val="003876F1"/>
    <w:rsid w:val="00387705"/>
    <w:rsid w:val="0038771F"/>
    <w:rsid w:val="0038772B"/>
    <w:rsid w:val="0038774C"/>
    <w:rsid w:val="00387780"/>
    <w:rsid w:val="003877CC"/>
    <w:rsid w:val="003877F7"/>
    <w:rsid w:val="0038781A"/>
    <w:rsid w:val="0038784A"/>
    <w:rsid w:val="00387856"/>
    <w:rsid w:val="003878A4"/>
    <w:rsid w:val="003878D8"/>
    <w:rsid w:val="003878E4"/>
    <w:rsid w:val="00387928"/>
    <w:rsid w:val="0038795F"/>
    <w:rsid w:val="00387963"/>
    <w:rsid w:val="003879CD"/>
    <w:rsid w:val="00387A3A"/>
    <w:rsid w:val="00387A67"/>
    <w:rsid w:val="00387A6F"/>
    <w:rsid w:val="00387A98"/>
    <w:rsid w:val="00387AA5"/>
    <w:rsid w:val="00387AB6"/>
    <w:rsid w:val="00387B23"/>
    <w:rsid w:val="00387B9F"/>
    <w:rsid w:val="00387BEE"/>
    <w:rsid w:val="00387BF1"/>
    <w:rsid w:val="00387BFF"/>
    <w:rsid w:val="00387C32"/>
    <w:rsid w:val="00387CF1"/>
    <w:rsid w:val="00387D38"/>
    <w:rsid w:val="00387D3B"/>
    <w:rsid w:val="00387D59"/>
    <w:rsid w:val="00387D85"/>
    <w:rsid w:val="00387D86"/>
    <w:rsid w:val="00387DEC"/>
    <w:rsid w:val="00387E1B"/>
    <w:rsid w:val="00387E84"/>
    <w:rsid w:val="00387EA1"/>
    <w:rsid w:val="00387EC7"/>
    <w:rsid w:val="00387EEE"/>
    <w:rsid w:val="00387FDD"/>
    <w:rsid w:val="00387FF9"/>
    <w:rsid w:val="00390048"/>
    <w:rsid w:val="003900AF"/>
    <w:rsid w:val="00390122"/>
    <w:rsid w:val="00390177"/>
    <w:rsid w:val="00390221"/>
    <w:rsid w:val="00390223"/>
    <w:rsid w:val="003902AC"/>
    <w:rsid w:val="00390312"/>
    <w:rsid w:val="00390323"/>
    <w:rsid w:val="00390340"/>
    <w:rsid w:val="0039035D"/>
    <w:rsid w:val="00390387"/>
    <w:rsid w:val="00390393"/>
    <w:rsid w:val="003903E6"/>
    <w:rsid w:val="00390408"/>
    <w:rsid w:val="0039042D"/>
    <w:rsid w:val="00390430"/>
    <w:rsid w:val="00390470"/>
    <w:rsid w:val="003904C6"/>
    <w:rsid w:val="0039050F"/>
    <w:rsid w:val="00390516"/>
    <w:rsid w:val="00390541"/>
    <w:rsid w:val="00390591"/>
    <w:rsid w:val="00390594"/>
    <w:rsid w:val="0039059D"/>
    <w:rsid w:val="003905F2"/>
    <w:rsid w:val="00390619"/>
    <w:rsid w:val="0039062D"/>
    <w:rsid w:val="00390724"/>
    <w:rsid w:val="00390782"/>
    <w:rsid w:val="003907A8"/>
    <w:rsid w:val="003907D3"/>
    <w:rsid w:val="003907F7"/>
    <w:rsid w:val="00390825"/>
    <w:rsid w:val="0039091C"/>
    <w:rsid w:val="0039093D"/>
    <w:rsid w:val="0039096B"/>
    <w:rsid w:val="00390A6A"/>
    <w:rsid w:val="00390A87"/>
    <w:rsid w:val="00390B3D"/>
    <w:rsid w:val="00390B4C"/>
    <w:rsid w:val="00390BB3"/>
    <w:rsid w:val="00390C97"/>
    <w:rsid w:val="00390CC2"/>
    <w:rsid w:val="00390CE0"/>
    <w:rsid w:val="00390D23"/>
    <w:rsid w:val="00390D38"/>
    <w:rsid w:val="00390D82"/>
    <w:rsid w:val="00390D93"/>
    <w:rsid w:val="00390DAB"/>
    <w:rsid w:val="00390DC5"/>
    <w:rsid w:val="00390E19"/>
    <w:rsid w:val="00390EC9"/>
    <w:rsid w:val="00390EED"/>
    <w:rsid w:val="00390F1E"/>
    <w:rsid w:val="00390F3A"/>
    <w:rsid w:val="00390F5E"/>
    <w:rsid w:val="00390F66"/>
    <w:rsid w:val="00390F79"/>
    <w:rsid w:val="00390F96"/>
    <w:rsid w:val="0039103F"/>
    <w:rsid w:val="00391045"/>
    <w:rsid w:val="003910BD"/>
    <w:rsid w:val="003910C4"/>
    <w:rsid w:val="003910CF"/>
    <w:rsid w:val="00391106"/>
    <w:rsid w:val="00391121"/>
    <w:rsid w:val="00391164"/>
    <w:rsid w:val="0039119F"/>
    <w:rsid w:val="003911BA"/>
    <w:rsid w:val="003911FC"/>
    <w:rsid w:val="00391230"/>
    <w:rsid w:val="0039126F"/>
    <w:rsid w:val="003912A8"/>
    <w:rsid w:val="003912DB"/>
    <w:rsid w:val="003912E5"/>
    <w:rsid w:val="00391310"/>
    <w:rsid w:val="00391333"/>
    <w:rsid w:val="0039133C"/>
    <w:rsid w:val="00391352"/>
    <w:rsid w:val="0039138B"/>
    <w:rsid w:val="003913A7"/>
    <w:rsid w:val="003913FC"/>
    <w:rsid w:val="0039142D"/>
    <w:rsid w:val="0039147B"/>
    <w:rsid w:val="0039147C"/>
    <w:rsid w:val="00391535"/>
    <w:rsid w:val="00391555"/>
    <w:rsid w:val="00391571"/>
    <w:rsid w:val="003915E2"/>
    <w:rsid w:val="00391686"/>
    <w:rsid w:val="003916E0"/>
    <w:rsid w:val="003916E7"/>
    <w:rsid w:val="003916EA"/>
    <w:rsid w:val="0039171A"/>
    <w:rsid w:val="003917BE"/>
    <w:rsid w:val="003918A2"/>
    <w:rsid w:val="00391940"/>
    <w:rsid w:val="00391982"/>
    <w:rsid w:val="003919DF"/>
    <w:rsid w:val="003919E4"/>
    <w:rsid w:val="00391A56"/>
    <w:rsid w:val="00391A86"/>
    <w:rsid w:val="00391A95"/>
    <w:rsid w:val="00391B25"/>
    <w:rsid w:val="00391B4D"/>
    <w:rsid w:val="00391B6A"/>
    <w:rsid w:val="00391B98"/>
    <w:rsid w:val="00391C2D"/>
    <w:rsid w:val="00391C35"/>
    <w:rsid w:val="00391C3C"/>
    <w:rsid w:val="00391C59"/>
    <w:rsid w:val="00391C87"/>
    <w:rsid w:val="00391C88"/>
    <w:rsid w:val="00391CB5"/>
    <w:rsid w:val="00391CD4"/>
    <w:rsid w:val="00391D31"/>
    <w:rsid w:val="00391D58"/>
    <w:rsid w:val="00391D9F"/>
    <w:rsid w:val="00391DFD"/>
    <w:rsid w:val="00391DFE"/>
    <w:rsid w:val="00391E24"/>
    <w:rsid w:val="00391E84"/>
    <w:rsid w:val="00391E85"/>
    <w:rsid w:val="00391E90"/>
    <w:rsid w:val="00391EB8"/>
    <w:rsid w:val="00391F07"/>
    <w:rsid w:val="00391F23"/>
    <w:rsid w:val="00391FA9"/>
    <w:rsid w:val="00391FC6"/>
    <w:rsid w:val="00392037"/>
    <w:rsid w:val="00392047"/>
    <w:rsid w:val="003920A7"/>
    <w:rsid w:val="003920B4"/>
    <w:rsid w:val="003920CF"/>
    <w:rsid w:val="0039214B"/>
    <w:rsid w:val="00392160"/>
    <w:rsid w:val="003921C2"/>
    <w:rsid w:val="0039222B"/>
    <w:rsid w:val="00392248"/>
    <w:rsid w:val="00392268"/>
    <w:rsid w:val="0039227B"/>
    <w:rsid w:val="003922C7"/>
    <w:rsid w:val="003922DD"/>
    <w:rsid w:val="0039237D"/>
    <w:rsid w:val="00392481"/>
    <w:rsid w:val="00392497"/>
    <w:rsid w:val="003924D9"/>
    <w:rsid w:val="00392588"/>
    <w:rsid w:val="00392599"/>
    <w:rsid w:val="003925A8"/>
    <w:rsid w:val="003925B1"/>
    <w:rsid w:val="003925D7"/>
    <w:rsid w:val="003925F8"/>
    <w:rsid w:val="0039263F"/>
    <w:rsid w:val="00392664"/>
    <w:rsid w:val="003926F9"/>
    <w:rsid w:val="00392703"/>
    <w:rsid w:val="0039270D"/>
    <w:rsid w:val="00392715"/>
    <w:rsid w:val="00392829"/>
    <w:rsid w:val="0039282B"/>
    <w:rsid w:val="00392833"/>
    <w:rsid w:val="0039289A"/>
    <w:rsid w:val="003928AE"/>
    <w:rsid w:val="003928BE"/>
    <w:rsid w:val="00392995"/>
    <w:rsid w:val="003929D3"/>
    <w:rsid w:val="003929EE"/>
    <w:rsid w:val="003929FB"/>
    <w:rsid w:val="003929FD"/>
    <w:rsid w:val="00392A27"/>
    <w:rsid w:val="00392A6A"/>
    <w:rsid w:val="00392AA4"/>
    <w:rsid w:val="00392B43"/>
    <w:rsid w:val="00392BDB"/>
    <w:rsid w:val="00392BE1"/>
    <w:rsid w:val="00392BFF"/>
    <w:rsid w:val="00392C05"/>
    <w:rsid w:val="00392C5D"/>
    <w:rsid w:val="00392C80"/>
    <w:rsid w:val="00392CB7"/>
    <w:rsid w:val="00392CE9"/>
    <w:rsid w:val="00392D00"/>
    <w:rsid w:val="00392D3D"/>
    <w:rsid w:val="00392D74"/>
    <w:rsid w:val="00392D8A"/>
    <w:rsid w:val="00392E06"/>
    <w:rsid w:val="00392E49"/>
    <w:rsid w:val="00392ED8"/>
    <w:rsid w:val="00392EE3"/>
    <w:rsid w:val="00392EFD"/>
    <w:rsid w:val="00392F74"/>
    <w:rsid w:val="00392FAA"/>
    <w:rsid w:val="00392FD0"/>
    <w:rsid w:val="00392FDC"/>
    <w:rsid w:val="00393030"/>
    <w:rsid w:val="00393099"/>
    <w:rsid w:val="003930D9"/>
    <w:rsid w:val="003930E1"/>
    <w:rsid w:val="00393106"/>
    <w:rsid w:val="00393123"/>
    <w:rsid w:val="00393131"/>
    <w:rsid w:val="00393133"/>
    <w:rsid w:val="00393187"/>
    <w:rsid w:val="003931BA"/>
    <w:rsid w:val="003931D0"/>
    <w:rsid w:val="00393265"/>
    <w:rsid w:val="0039327E"/>
    <w:rsid w:val="0039329D"/>
    <w:rsid w:val="003932A8"/>
    <w:rsid w:val="00393325"/>
    <w:rsid w:val="00393354"/>
    <w:rsid w:val="0039335C"/>
    <w:rsid w:val="0039339F"/>
    <w:rsid w:val="003933E1"/>
    <w:rsid w:val="00393424"/>
    <w:rsid w:val="00393432"/>
    <w:rsid w:val="00393437"/>
    <w:rsid w:val="0039343B"/>
    <w:rsid w:val="0039348A"/>
    <w:rsid w:val="003934A5"/>
    <w:rsid w:val="00393501"/>
    <w:rsid w:val="00393546"/>
    <w:rsid w:val="003935C9"/>
    <w:rsid w:val="003935F3"/>
    <w:rsid w:val="00393680"/>
    <w:rsid w:val="003936BC"/>
    <w:rsid w:val="003936EA"/>
    <w:rsid w:val="00393713"/>
    <w:rsid w:val="00393731"/>
    <w:rsid w:val="003937AE"/>
    <w:rsid w:val="00393838"/>
    <w:rsid w:val="0039386E"/>
    <w:rsid w:val="0039387C"/>
    <w:rsid w:val="003939E0"/>
    <w:rsid w:val="003939E2"/>
    <w:rsid w:val="003939EC"/>
    <w:rsid w:val="003939F4"/>
    <w:rsid w:val="00393A3D"/>
    <w:rsid w:val="00393A3E"/>
    <w:rsid w:val="00393A90"/>
    <w:rsid w:val="00393A93"/>
    <w:rsid w:val="00393AA3"/>
    <w:rsid w:val="00393AB9"/>
    <w:rsid w:val="00393ABF"/>
    <w:rsid w:val="00393B1C"/>
    <w:rsid w:val="00393B2E"/>
    <w:rsid w:val="00393BAE"/>
    <w:rsid w:val="00393BD1"/>
    <w:rsid w:val="00393C23"/>
    <w:rsid w:val="00393C4A"/>
    <w:rsid w:val="00393C6B"/>
    <w:rsid w:val="00393C77"/>
    <w:rsid w:val="00393C9A"/>
    <w:rsid w:val="00393C9B"/>
    <w:rsid w:val="00393D5C"/>
    <w:rsid w:val="00393D8B"/>
    <w:rsid w:val="00393D96"/>
    <w:rsid w:val="00393DDE"/>
    <w:rsid w:val="00393DE4"/>
    <w:rsid w:val="00393E30"/>
    <w:rsid w:val="00393E3A"/>
    <w:rsid w:val="00393EA4"/>
    <w:rsid w:val="00393EA7"/>
    <w:rsid w:val="00393EE2"/>
    <w:rsid w:val="00393F4A"/>
    <w:rsid w:val="00393F6B"/>
    <w:rsid w:val="00393F85"/>
    <w:rsid w:val="00393F90"/>
    <w:rsid w:val="00393FDB"/>
    <w:rsid w:val="00393FDE"/>
    <w:rsid w:val="00394049"/>
    <w:rsid w:val="00394095"/>
    <w:rsid w:val="003940C2"/>
    <w:rsid w:val="003940C8"/>
    <w:rsid w:val="00394115"/>
    <w:rsid w:val="00394176"/>
    <w:rsid w:val="003941B9"/>
    <w:rsid w:val="003941CB"/>
    <w:rsid w:val="003941CE"/>
    <w:rsid w:val="003941F8"/>
    <w:rsid w:val="00394230"/>
    <w:rsid w:val="00394325"/>
    <w:rsid w:val="0039432F"/>
    <w:rsid w:val="00394388"/>
    <w:rsid w:val="00394396"/>
    <w:rsid w:val="00394474"/>
    <w:rsid w:val="00394523"/>
    <w:rsid w:val="00394590"/>
    <w:rsid w:val="003945CC"/>
    <w:rsid w:val="003945E6"/>
    <w:rsid w:val="00394638"/>
    <w:rsid w:val="0039463A"/>
    <w:rsid w:val="0039463F"/>
    <w:rsid w:val="00394641"/>
    <w:rsid w:val="0039464D"/>
    <w:rsid w:val="00394672"/>
    <w:rsid w:val="00394686"/>
    <w:rsid w:val="00394717"/>
    <w:rsid w:val="0039471A"/>
    <w:rsid w:val="00394727"/>
    <w:rsid w:val="00394734"/>
    <w:rsid w:val="0039474F"/>
    <w:rsid w:val="00394780"/>
    <w:rsid w:val="003947D5"/>
    <w:rsid w:val="003947E7"/>
    <w:rsid w:val="0039480B"/>
    <w:rsid w:val="00394816"/>
    <w:rsid w:val="0039486D"/>
    <w:rsid w:val="0039496B"/>
    <w:rsid w:val="003949AF"/>
    <w:rsid w:val="003949FE"/>
    <w:rsid w:val="00394A23"/>
    <w:rsid w:val="00394A6A"/>
    <w:rsid w:val="00394A78"/>
    <w:rsid w:val="00394A79"/>
    <w:rsid w:val="00394A93"/>
    <w:rsid w:val="00394A96"/>
    <w:rsid w:val="00394A9B"/>
    <w:rsid w:val="00394B0B"/>
    <w:rsid w:val="00394B3A"/>
    <w:rsid w:val="00394BA3"/>
    <w:rsid w:val="00394BDC"/>
    <w:rsid w:val="00394C45"/>
    <w:rsid w:val="00394CA7"/>
    <w:rsid w:val="00394D5C"/>
    <w:rsid w:val="00394D88"/>
    <w:rsid w:val="00394DC7"/>
    <w:rsid w:val="00394E05"/>
    <w:rsid w:val="00394E13"/>
    <w:rsid w:val="00394E7A"/>
    <w:rsid w:val="00394EF1"/>
    <w:rsid w:val="00394F3D"/>
    <w:rsid w:val="00394F5B"/>
    <w:rsid w:val="00394FBC"/>
    <w:rsid w:val="00395054"/>
    <w:rsid w:val="00395083"/>
    <w:rsid w:val="0039513A"/>
    <w:rsid w:val="0039513B"/>
    <w:rsid w:val="003951A1"/>
    <w:rsid w:val="003951B9"/>
    <w:rsid w:val="003951DB"/>
    <w:rsid w:val="003951E7"/>
    <w:rsid w:val="00395224"/>
    <w:rsid w:val="00395294"/>
    <w:rsid w:val="003952D7"/>
    <w:rsid w:val="003952DB"/>
    <w:rsid w:val="003952ED"/>
    <w:rsid w:val="00395366"/>
    <w:rsid w:val="00395389"/>
    <w:rsid w:val="003953A0"/>
    <w:rsid w:val="00395460"/>
    <w:rsid w:val="0039547C"/>
    <w:rsid w:val="0039548A"/>
    <w:rsid w:val="003954E9"/>
    <w:rsid w:val="00395513"/>
    <w:rsid w:val="00395522"/>
    <w:rsid w:val="0039557A"/>
    <w:rsid w:val="00395635"/>
    <w:rsid w:val="00395650"/>
    <w:rsid w:val="00395672"/>
    <w:rsid w:val="0039568C"/>
    <w:rsid w:val="003956A5"/>
    <w:rsid w:val="003956D6"/>
    <w:rsid w:val="00395703"/>
    <w:rsid w:val="00395717"/>
    <w:rsid w:val="0039578A"/>
    <w:rsid w:val="003957F8"/>
    <w:rsid w:val="003958B5"/>
    <w:rsid w:val="00395939"/>
    <w:rsid w:val="003959B7"/>
    <w:rsid w:val="003959EB"/>
    <w:rsid w:val="003959FC"/>
    <w:rsid w:val="00395A03"/>
    <w:rsid w:val="00395A1D"/>
    <w:rsid w:val="00395A27"/>
    <w:rsid w:val="00395A7B"/>
    <w:rsid w:val="00395AD3"/>
    <w:rsid w:val="00395AE7"/>
    <w:rsid w:val="00395AF0"/>
    <w:rsid w:val="00395AF4"/>
    <w:rsid w:val="00395B0F"/>
    <w:rsid w:val="00395B6E"/>
    <w:rsid w:val="00395B70"/>
    <w:rsid w:val="00395BCD"/>
    <w:rsid w:val="00395BDC"/>
    <w:rsid w:val="00395C48"/>
    <w:rsid w:val="00395C53"/>
    <w:rsid w:val="00395CB5"/>
    <w:rsid w:val="00395D35"/>
    <w:rsid w:val="00395D6C"/>
    <w:rsid w:val="00395D7E"/>
    <w:rsid w:val="00395DAD"/>
    <w:rsid w:val="00395DEF"/>
    <w:rsid w:val="00395E1A"/>
    <w:rsid w:val="00395E1E"/>
    <w:rsid w:val="00395E6E"/>
    <w:rsid w:val="00395EC8"/>
    <w:rsid w:val="00395F0A"/>
    <w:rsid w:val="00395F76"/>
    <w:rsid w:val="00395F8C"/>
    <w:rsid w:val="00395FFB"/>
    <w:rsid w:val="0039601F"/>
    <w:rsid w:val="00396062"/>
    <w:rsid w:val="0039606A"/>
    <w:rsid w:val="003961B6"/>
    <w:rsid w:val="003961D3"/>
    <w:rsid w:val="003961DB"/>
    <w:rsid w:val="003961FE"/>
    <w:rsid w:val="00396206"/>
    <w:rsid w:val="00396210"/>
    <w:rsid w:val="00396227"/>
    <w:rsid w:val="00396229"/>
    <w:rsid w:val="00396271"/>
    <w:rsid w:val="0039632C"/>
    <w:rsid w:val="00396358"/>
    <w:rsid w:val="0039645B"/>
    <w:rsid w:val="003964EB"/>
    <w:rsid w:val="00396561"/>
    <w:rsid w:val="00396685"/>
    <w:rsid w:val="003966F1"/>
    <w:rsid w:val="00396731"/>
    <w:rsid w:val="00396751"/>
    <w:rsid w:val="003967B9"/>
    <w:rsid w:val="003967C2"/>
    <w:rsid w:val="003967C5"/>
    <w:rsid w:val="00396853"/>
    <w:rsid w:val="0039685D"/>
    <w:rsid w:val="00396861"/>
    <w:rsid w:val="00396882"/>
    <w:rsid w:val="0039690D"/>
    <w:rsid w:val="00396965"/>
    <w:rsid w:val="00396996"/>
    <w:rsid w:val="003969F2"/>
    <w:rsid w:val="00396A00"/>
    <w:rsid w:val="00396A2C"/>
    <w:rsid w:val="00396A79"/>
    <w:rsid w:val="00396AF4"/>
    <w:rsid w:val="00396B2D"/>
    <w:rsid w:val="00396B9C"/>
    <w:rsid w:val="00396C0B"/>
    <w:rsid w:val="00396C45"/>
    <w:rsid w:val="00396C8B"/>
    <w:rsid w:val="00396C8F"/>
    <w:rsid w:val="00396CA8"/>
    <w:rsid w:val="00396CCA"/>
    <w:rsid w:val="00396D64"/>
    <w:rsid w:val="00396D74"/>
    <w:rsid w:val="00396D7A"/>
    <w:rsid w:val="00396DD0"/>
    <w:rsid w:val="00396DEE"/>
    <w:rsid w:val="00396E37"/>
    <w:rsid w:val="00396E8F"/>
    <w:rsid w:val="00396E9A"/>
    <w:rsid w:val="00396EB5"/>
    <w:rsid w:val="00396EE1"/>
    <w:rsid w:val="00396F88"/>
    <w:rsid w:val="00397010"/>
    <w:rsid w:val="00397036"/>
    <w:rsid w:val="00397051"/>
    <w:rsid w:val="00397078"/>
    <w:rsid w:val="0039708C"/>
    <w:rsid w:val="00397098"/>
    <w:rsid w:val="003970C1"/>
    <w:rsid w:val="003970CD"/>
    <w:rsid w:val="0039710A"/>
    <w:rsid w:val="0039710C"/>
    <w:rsid w:val="0039711F"/>
    <w:rsid w:val="00397154"/>
    <w:rsid w:val="003971DF"/>
    <w:rsid w:val="003971EF"/>
    <w:rsid w:val="003971F3"/>
    <w:rsid w:val="00397272"/>
    <w:rsid w:val="003972CD"/>
    <w:rsid w:val="00397324"/>
    <w:rsid w:val="0039733E"/>
    <w:rsid w:val="0039733F"/>
    <w:rsid w:val="00397365"/>
    <w:rsid w:val="0039749C"/>
    <w:rsid w:val="003974A7"/>
    <w:rsid w:val="003974DC"/>
    <w:rsid w:val="003974EE"/>
    <w:rsid w:val="00397556"/>
    <w:rsid w:val="003975E8"/>
    <w:rsid w:val="00397611"/>
    <w:rsid w:val="00397645"/>
    <w:rsid w:val="0039764C"/>
    <w:rsid w:val="00397655"/>
    <w:rsid w:val="0039767C"/>
    <w:rsid w:val="0039769F"/>
    <w:rsid w:val="003976C8"/>
    <w:rsid w:val="0039779E"/>
    <w:rsid w:val="00397842"/>
    <w:rsid w:val="00397848"/>
    <w:rsid w:val="00397876"/>
    <w:rsid w:val="003978A0"/>
    <w:rsid w:val="003978CF"/>
    <w:rsid w:val="00397927"/>
    <w:rsid w:val="0039794A"/>
    <w:rsid w:val="00397AA7"/>
    <w:rsid w:val="00397B0F"/>
    <w:rsid w:val="00397B45"/>
    <w:rsid w:val="00397C04"/>
    <w:rsid w:val="00397C0A"/>
    <w:rsid w:val="00397C2E"/>
    <w:rsid w:val="00397C57"/>
    <w:rsid w:val="00397C5D"/>
    <w:rsid w:val="00397C70"/>
    <w:rsid w:val="00397CB6"/>
    <w:rsid w:val="00397CBC"/>
    <w:rsid w:val="00397CDC"/>
    <w:rsid w:val="00397D70"/>
    <w:rsid w:val="00397DC7"/>
    <w:rsid w:val="00397DD3"/>
    <w:rsid w:val="00397DF9"/>
    <w:rsid w:val="00397E1B"/>
    <w:rsid w:val="00397E4F"/>
    <w:rsid w:val="00397F1B"/>
    <w:rsid w:val="00397F24"/>
    <w:rsid w:val="00397F6B"/>
    <w:rsid w:val="00397F93"/>
    <w:rsid w:val="00397FA2"/>
    <w:rsid w:val="00397FB3"/>
    <w:rsid w:val="003A0072"/>
    <w:rsid w:val="003A00F1"/>
    <w:rsid w:val="003A01E2"/>
    <w:rsid w:val="003A0274"/>
    <w:rsid w:val="003A02A8"/>
    <w:rsid w:val="003A02AF"/>
    <w:rsid w:val="003A0361"/>
    <w:rsid w:val="003A040E"/>
    <w:rsid w:val="003A0433"/>
    <w:rsid w:val="003A0470"/>
    <w:rsid w:val="003A0473"/>
    <w:rsid w:val="003A04A7"/>
    <w:rsid w:val="003A04CF"/>
    <w:rsid w:val="003A0540"/>
    <w:rsid w:val="003A05B3"/>
    <w:rsid w:val="003A05ED"/>
    <w:rsid w:val="003A0618"/>
    <w:rsid w:val="003A0635"/>
    <w:rsid w:val="003A0652"/>
    <w:rsid w:val="003A066A"/>
    <w:rsid w:val="003A067A"/>
    <w:rsid w:val="003A06E8"/>
    <w:rsid w:val="003A071F"/>
    <w:rsid w:val="003A072D"/>
    <w:rsid w:val="003A079E"/>
    <w:rsid w:val="003A07C8"/>
    <w:rsid w:val="003A07D2"/>
    <w:rsid w:val="003A0802"/>
    <w:rsid w:val="003A08C5"/>
    <w:rsid w:val="003A0902"/>
    <w:rsid w:val="003A0961"/>
    <w:rsid w:val="003A09AB"/>
    <w:rsid w:val="003A0A78"/>
    <w:rsid w:val="003A0A8C"/>
    <w:rsid w:val="003A0AED"/>
    <w:rsid w:val="003A0B18"/>
    <w:rsid w:val="003A0B52"/>
    <w:rsid w:val="003A0B7C"/>
    <w:rsid w:val="003A0B8A"/>
    <w:rsid w:val="003A0B9C"/>
    <w:rsid w:val="003A0BD9"/>
    <w:rsid w:val="003A0C32"/>
    <w:rsid w:val="003A0C76"/>
    <w:rsid w:val="003A0CAD"/>
    <w:rsid w:val="003A0D25"/>
    <w:rsid w:val="003A0D52"/>
    <w:rsid w:val="003A0D57"/>
    <w:rsid w:val="003A0D5C"/>
    <w:rsid w:val="003A0D9D"/>
    <w:rsid w:val="003A0DF7"/>
    <w:rsid w:val="003A0DFC"/>
    <w:rsid w:val="003A0E26"/>
    <w:rsid w:val="003A0E60"/>
    <w:rsid w:val="003A0E69"/>
    <w:rsid w:val="003A0E7C"/>
    <w:rsid w:val="003A0EED"/>
    <w:rsid w:val="003A0F4B"/>
    <w:rsid w:val="003A0F58"/>
    <w:rsid w:val="003A0FC6"/>
    <w:rsid w:val="003A0FEA"/>
    <w:rsid w:val="003A1070"/>
    <w:rsid w:val="003A107B"/>
    <w:rsid w:val="003A107D"/>
    <w:rsid w:val="003A110D"/>
    <w:rsid w:val="003A117B"/>
    <w:rsid w:val="003A11B6"/>
    <w:rsid w:val="003A120E"/>
    <w:rsid w:val="003A1212"/>
    <w:rsid w:val="003A1238"/>
    <w:rsid w:val="003A1241"/>
    <w:rsid w:val="003A1312"/>
    <w:rsid w:val="003A1324"/>
    <w:rsid w:val="003A1327"/>
    <w:rsid w:val="003A1355"/>
    <w:rsid w:val="003A1365"/>
    <w:rsid w:val="003A136B"/>
    <w:rsid w:val="003A1388"/>
    <w:rsid w:val="003A139E"/>
    <w:rsid w:val="003A1400"/>
    <w:rsid w:val="003A1424"/>
    <w:rsid w:val="003A1427"/>
    <w:rsid w:val="003A1428"/>
    <w:rsid w:val="003A1488"/>
    <w:rsid w:val="003A1507"/>
    <w:rsid w:val="003A15AB"/>
    <w:rsid w:val="003A15C3"/>
    <w:rsid w:val="003A15D2"/>
    <w:rsid w:val="003A1611"/>
    <w:rsid w:val="003A1625"/>
    <w:rsid w:val="003A165A"/>
    <w:rsid w:val="003A1719"/>
    <w:rsid w:val="003A17E1"/>
    <w:rsid w:val="003A17F8"/>
    <w:rsid w:val="003A1808"/>
    <w:rsid w:val="003A183F"/>
    <w:rsid w:val="003A186B"/>
    <w:rsid w:val="003A1876"/>
    <w:rsid w:val="003A197B"/>
    <w:rsid w:val="003A198E"/>
    <w:rsid w:val="003A19A7"/>
    <w:rsid w:val="003A19D8"/>
    <w:rsid w:val="003A1A0D"/>
    <w:rsid w:val="003A1A18"/>
    <w:rsid w:val="003A1A1C"/>
    <w:rsid w:val="003A1A3F"/>
    <w:rsid w:val="003A1A53"/>
    <w:rsid w:val="003A1A78"/>
    <w:rsid w:val="003A1AA7"/>
    <w:rsid w:val="003A1AA8"/>
    <w:rsid w:val="003A1AF6"/>
    <w:rsid w:val="003A1B87"/>
    <w:rsid w:val="003A1BB4"/>
    <w:rsid w:val="003A1BC2"/>
    <w:rsid w:val="003A1BC6"/>
    <w:rsid w:val="003A1BF4"/>
    <w:rsid w:val="003A1BFF"/>
    <w:rsid w:val="003A1CC8"/>
    <w:rsid w:val="003A1CEC"/>
    <w:rsid w:val="003A1D8A"/>
    <w:rsid w:val="003A1D8B"/>
    <w:rsid w:val="003A1E30"/>
    <w:rsid w:val="003A1E58"/>
    <w:rsid w:val="003A1FA2"/>
    <w:rsid w:val="003A1FDB"/>
    <w:rsid w:val="003A1FFD"/>
    <w:rsid w:val="003A2006"/>
    <w:rsid w:val="003A205B"/>
    <w:rsid w:val="003A205C"/>
    <w:rsid w:val="003A20FE"/>
    <w:rsid w:val="003A211A"/>
    <w:rsid w:val="003A21A0"/>
    <w:rsid w:val="003A21AE"/>
    <w:rsid w:val="003A21C1"/>
    <w:rsid w:val="003A2245"/>
    <w:rsid w:val="003A2249"/>
    <w:rsid w:val="003A2251"/>
    <w:rsid w:val="003A22CB"/>
    <w:rsid w:val="003A22DB"/>
    <w:rsid w:val="003A235C"/>
    <w:rsid w:val="003A239C"/>
    <w:rsid w:val="003A23DB"/>
    <w:rsid w:val="003A23F8"/>
    <w:rsid w:val="003A2408"/>
    <w:rsid w:val="003A2507"/>
    <w:rsid w:val="003A2550"/>
    <w:rsid w:val="003A2574"/>
    <w:rsid w:val="003A25D3"/>
    <w:rsid w:val="003A2626"/>
    <w:rsid w:val="003A2637"/>
    <w:rsid w:val="003A272D"/>
    <w:rsid w:val="003A275E"/>
    <w:rsid w:val="003A2771"/>
    <w:rsid w:val="003A279F"/>
    <w:rsid w:val="003A27BC"/>
    <w:rsid w:val="003A27BF"/>
    <w:rsid w:val="003A27D7"/>
    <w:rsid w:val="003A2806"/>
    <w:rsid w:val="003A281B"/>
    <w:rsid w:val="003A2822"/>
    <w:rsid w:val="003A2889"/>
    <w:rsid w:val="003A2920"/>
    <w:rsid w:val="003A2940"/>
    <w:rsid w:val="003A29B8"/>
    <w:rsid w:val="003A2A3B"/>
    <w:rsid w:val="003A2A69"/>
    <w:rsid w:val="003A2ADF"/>
    <w:rsid w:val="003A2B24"/>
    <w:rsid w:val="003A2B26"/>
    <w:rsid w:val="003A2B2B"/>
    <w:rsid w:val="003A2B35"/>
    <w:rsid w:val="003A2B6E"/>
    <w:rsid w:val="003A2B8B"/>
    <w:rsid w:val="003A2BB6"/>
    <w:rsid w:val="003A2C68"/>
    <w:rsid w:val="003A2C83"/>
    <w:rsid w:val="003A2CCD"/>
    <w:rsid w:val="003A2D56"/>
    <w:rsid w:val="003A2DBD"/>
    <w:rsid w:val="003A2DEA"/>
    <w:rsid w:val="003A2EB0"/>
    <w:rsid w:val="003A2FA3"/>
    <w:rsid w:val="003A2FE1"/>
    <w:rsid w:val="003A3033"/>
    <w:rsid w:val="003A30C5"/>
    <w:rsid w:val="003A316C"/>
    <w:rsid w:val="003A3179"/>
    <w:rsid w:val="003A317B"/>
    <w:rsid w:val="003A3184"/>
    <w:rsid w:val="003A319D"/>
    <w:rsid w:val="003A3234"/>
    <w:rsid w:val="003A3239"/>
    <w:rsid w:val="003A324C"/>
    <w:rsid w:val="003A3257"/>
    <w:rsid w:val="003A326D"/>
    <w:rsid w:val="003A32AA"/>
    <w:rsid w:val="003A32AF"/>
    <w:rsid w:val="003A331C"/>
    <w:rsid w:val="003A33B6"/>
    <w:rsid w:val="003A33CB"/>
    <w:rsid w:val="003A34F8"/>
    <w:rsid w:val="003A3539"/>
    <w:rsid w:val="003A357F"/>
    <w:rsid w:val="003A362B"/>
    <w:rsid w:val="003A36D8"/>
    <w:rsid w:val="003A3717"/>
    <w:rsid w:val="003A375D"/>
    <w:rsid w:val="003A3768"/>
    <w:rsid w:val="003A379E"/>
    <w:rsid w:val="003A37D8"/>
    <w:rsid w:val="003A37DC"/>
    <w:rsid w:val="003A3827"/>
    <w:rsid w:val="003A3828"/>
    <w:rsid w:val="003A382A"/>
    <w:rsid w:val="003A382E"/>
    <w:rsid w:val="003A38C6"/>
    <w:rsid w:val="003A395F"/>
    <w:rsid w:val="003A3988"/>
    <w:rsid w:val="003A3A10"/>
    <w:rsid w:val="003A3A47"/>
    <w:rsid w:val="003A3A6C"/>
    <w:rsid w:val="003A3AAF"/>
    <w:rsid w:val="003A3AD5"/>
    <w:rsid w:val="003A3B04"/>
    <w:rsid w:val="003A3B43"/>
    <w:rsid w:val="003A3B47"/>
    <w:rsid w:val="003A3B6C"/>
    <w:rsid w:val="003A3BC8"/>
    <w:rsid w:val="003A3C04"/>
    <w:rsid w:val="003A3C09"/>
    <w:rsid w:val="003A3CBB"/>
    <w:rsid w:val="003A3D33"/>
    <w:rsid w:val="003A3DE1"/>
    <w:rsid w:val="003A3DFC"/>
    <w:rsid w:val="003A3E59"/>
    <w:rsid w:val="003A3EC0"/>
    <w:rsid w:val="003A3F48"/>
    <w:rsid w:val="003A3F6E"/>
    <w:rsid w:val="003A3FDD"/>
    <w:rsid w:val="003A407C"/>
    <w:rsid w:val="003A40A9"/>
    <w:rsid w:val="003A40AB"/>
    <w:rsid w:val="003A40E0"/>
    <w:rsid w:val="003A4126"/>
    <w:rsid w:val="003A4147"/>
    <w:rsid w:val="003A414F"/>
    <w:rsid w:val="003A4151"/>
    <w:rsid w:val="003A4170"/>
    <w:rsid w:val="003A417E"/>
    <w:rsid w:val="003A4184"/>
    <w:rsid w:val="003A41AB"/>
    <w:rsid w:val="003A41AE"/>
    <w:rsid w:val="003A41D4"/>
    <w:rsid w:val="003A41E3"/>
    <w:rsid w:val="003A41FC"/>
    <w:rsid w:val="003A4225"/>
    <w:rsid w:val="003A422F"/>
    <w:rsid w:val="003A423D"/>
    <w:rsid w:val="003A4279"/>
    <w:rsid w:val="003A42C8"/>
    <w:rsid w:val="003A4393"/>
    <w:rsid w:val="003A4429"/>
    <w:rsid w:val="003A4466"/>
    <w:rsid w:val="003A4481"/>
    <w:rsid w:val="003A448C"/>
    <w:rsid w:val="003A4511"/>
    <w:rsid w:val="003A4512"/>
    <w:rsid w:val="003A452C"/>
    <w:rsid w:val="003A4558"/>
    <w:rsid w:val="003A456F"/>
    <w:rsid w:val="003A4583"/>
    <w:rsid w:val="003A459B"/>
    <w:rsid w:val="003A45CB"/>
    <w:rsid w:val="003A4641"/>
    <w:rsid w:val="003A4684"/>
    <w:rsid w:val="003A4698"/>
    <w:rsid w:val="003A46F3"/>
    <w:rsid w:val="003A4700"/>
    <w:rsid w:val="003A47A4"/>
    <w:rsid w:val="003A4815"/>
    <w:rsid w:val="003A4851"/>
    <w:rsid w:val="003A488C"/>
    <w:rsid w:val="003A4930"/>
    <w:rsid w:val="003A4933"/>
    <w:rsid w:val="003A4937"/>
    <w:rsid w:val="003A4969"/>
    <w:rsid w:val="003A4987"/>
    <w:rsid w:val="003A49C2"/>
    <w:rsid w:val="003A49CA"/>
    <w:rsid w:val="003A4A21"/>
    <w:rsid w:val="003A4AE2"/>
    <w:rsid w:val="003A4B24"/>
    <w:rsid w:val="003A4B8A"/>
    <w:rsid w:val="003A4BCA"/>
    <w:rsid w:val="003A4BD1"/>
    <w:rsid w:val="003A4C27"/>
    <w:rsid w:val="003A4C4C"/>
    <w:rsid w:val="003A4CB7"/>
    <w:rsid w:val="003A4CCF"/>
    <w:rsid w:val="003A4D27"/>
    <w:rsid w:val="003A4D59"/>
    <w:rsid w:val="003A4D95"/>
    <w:rsid w:val="003A4E5B"/>
    <w:rsid w:val="003A4E78"/>
    <w:rsid w:val="003A4EA9"/>
    <w:rsid w:val="003A4EB0"/>
    <w:rsid w:val="003A4EBF"/>
    <w:rsid w:val="003A4ED3"/>
    <w:rsid w:val="003A4EFF"/>
    <w:rsid w:val="003A4F41"/>
    <w:rsid w:val="003A4FCC"/>
    <w:rsid w:val="003A5013"/>
    <w:rsid w:val="003A5089"/>
    <w:rsid w:val="003A509C"/>
    <w:rsid w:val="003A50B6"/>
    <w:rsid w:val="003A515E"/>
    <w:rsid w:val="003A5160"/>
    <w:rsid w:val="003A51ED"/>
    <w:rsid w:val="003A520E"/>
    <w:rsid w:val="003A5261"/>
    <w:rsid w:val="003A52B9"/>
    <w:rsid w:val="003A52F6"/>
    <w:rsid w:val="003A5309"/>
    <w:rsid w:val="003A5381"/>
    <w:rsid w:val="003A53FE"/>
    <w:rsid w:val="003A5406"/>
    <w:rsid w:val="003A5446"/>
    <w:rsid w:val="003A555A"/>
    <w:rsid w:val="003A555D"/>
    <w:rsid w:val="003A5572"/>
    <w:rsid w:val="003A557C"/>
    <w:rsid w:val="003A55DE"/>
    <w:rsid w:val="003A564C"/>
    <w:rsid w:val="003A5674"/>
    <w:rsid w:val="003A567C"/>
    <w:rsid w:val="003A569E"/>
    <w:rsid w:val="003A56C4"/>
    <w:rsid w:val="003A579B"/>
    <w:rsid w:val="003A57AA"/>
    <w:rsid w:val="003A581E"/>
    <w:rsid w:val="003A582C"/>
    <w:rsid w:val="003A5838"/>
    <w:rsid w:val="003A58D0"/>
    <w:rsid w:val="003A58EE"/>
    <w:rsid w:val="003A5925"/>
    <w:rsid w:val="003A5969"/>
    <w:rsid w:val="003A59F7"/>
    <w:rsid w:val="003A5A1D"/>
    <w:rsid w:val="003A5A5B"/>
    <w:rsid w:val="003A5A89"/>
    <w:rsid w:val="003A5B06"/>
    <w:rsid w:val="003A5B24"/>
    <w:rsid w:val="003A5B88"/>
    <w:rsid w:val="003A5BFE"/>
    <w:rsid w:val="003A5C4D"/>
    <w:rsid w:val="003A5C80"/>
    <w:rsid w:val="003A5CC5"/>
    <w:rsid w:val="003A5CE8"/>
    <w:rsid w:val="003A5CEA"/>
    <w:rsid w:val="003A5D13"/>
    <w:rsid w:val="003A5D20"/>
    <w:rsid w:val="003A5D91"/>
    <w:rsid w:val="003A5DC4"/>
    <w:rsid w:val="003A5DD6"/>
    <w:rsid w:val="003A5E08"/>
    <w:rsid w:val="003A5E13"/>
    <w:rsid w:val="003A5F0F"/>
    <w:rsid w:val="003A5F70"/>
    <w:rsid w:val="003A5FC4"/>
    <w:rsid w:val="003A5FCB"/>
    <w:rsid w:val="003A5FF9"/>
    <w:rsid w:val="003A608E"/>
    <w:rsid w:val="003A60A2"/>
    <w:rsid w:val="003A60D9"/>
    <w:rsid w:val="003A6148"/>
    <w:rsid w:val="003A6158"/>
    <w:rsid w:val="003A616B"/>
    <w:rsid w:val="003A6228"/>
    <w:rsid w:val="003A6235"/>
    <w:rsid w:val="003A623E"/>
    <w:rsid w:val="003A6288"/>
    <w:rsid w:val="003A62B5"/>
    <w:rsid w:val="003A62C4"/>
    <w:rsid w:val="003A62D3"/>
    <w:rsid w:val="003A6362"/>
    <w:rsid w:val="003A6365"/>
    <w:rsid w:val="003A63B0"/>
    <w:rsid w:val="003A63F2"/>
    <w:rsid w:val="003A6422"/>
    <w:rsid w:val="003A6431"/>
    <w:rsid w:val="003A6461"/>
    <w:rsid w:val="003A6512"/>
    <w:rsid w:val="003A6566"/>
    <w:rsid w:val="003A656C"/>
    <w:rsid w:val="003A656F"/>
    <w:rsid w:val="003A6619"/>
    <w:rsid w:val="003A6633"/>
    <w:rsid w:val="003A663C"/>
    <w:rsid w:val="003A6687"/>
    <w:rsid w:val="003A66AC"/>
    <w:rsid w:val="003A673C"/>
    <w:rsid w:val="003A6775"/>
    <w:rsid w:val="003A679B"/>
    <w:rsid w:val="003A6855"/>
    <w:rsid w:val="003A6874"/>
    <w:rsid w:val="003A688A"/>
    <w:rsid w:val="003A6926"/>
    <w:rsid w:val="003A6930"/>
    <w:rsid w:val="003A69D5"/>
    <w:rsid w:val="003A69F9"/>
    <w:rsid w:val="003A6A06"/>
    <w:rsid w:val="003A6A4A"/>
    <w:rsid w:val="003A6AB2"/>
    <w:rsid w:val="003A6AD7"/>
    <w:rsid w:val="003A6B15"/>
    <w:rsid w:val="003A6B42"/>
    <w:rsid w:val="003A6B49"/>
    <w:rsid w:val="003A6B4C"/>
    <w:rsid w:val="003A6B67"/>
    <w:rsid w:val="003A6C01"/>
    <w:rsid w:val="003A6C53"/>
    <w:rsid w:val="003A6CB5"/>
    <w:rsid w:val="003A6CD1"/>
    <w:rsid w:val="003A6CD6"/>
    <w:rsid w:val="003A6D18"/>
    <w:rsid w:val="003A6D6B"/>
    <w:rsid w:val="003A6D83"/>
    <w:rsid w:val="003A6DFD"/>
    <w:rsid w:val="003A6E20"/>
    <w:rsid w:val="003A6E3A"/>
    <w:rsid w:val="003A6E3C"/>
    <w:rsid w:val="003A6E40"/>
    <w:rsid w:val="003A6E5C"/>
    <w:rsid w:val="003A6E70"/>
    <w:rsid w:val="003A6E83"/>
    <w:rsid w:val="003A6F05"/>
    <w:rsid w:val="003A6F4A"/>
    <w:rsid w:val="003A6F71"/>
    <w:rsid w:val="003A6FB7"/>
    <w:rsid w:val="003A6FDF"/>
    <w:rsid w:val="003A7051"/>
    <w:rsid w:val="003A7066"/>
    <w:rsid w:val="003A7079"/>
    <w:rsid w:val="003A70A2"/>
    <w:rsid w:val="003A70AB"/>
    <w:rsid w:val="003A70CC"/>
    <w:rsid w:val="003A711A"/>
    <w:rsid w:val="003A7161"/>
    <w:rsid w:val="003A7162"/>
    <w:rsid w:val="003A7195"/>
    <w:rsid w:val="003A71C2"/>
    <w:rsid w:val="003A7238"/>
    <w:rsid w:val="003A7279"/>
    <w:rsid w:val="003A72D9"/>
    <w:rsid w:val="003A72EB"/>
    <w:rsid w:val="003A735C"/>
    <w:rsid w:val="003A736D"/>
    <w:rsid w:val="003A740B"/>
    <w:rsid w:val="003A7437"/>
    <w:rsid w:val="003A744F"/>
    <w:rsid w:val="003A7458"/>
    <w:rsid w:val="003A7493"/>
    <w:rsid w:val="003A74BA"/>
    <w:rsid w:val="003A74BF"/>
    <w:rsid w:val="003A7501"/>
    <w:rsid w:val="003A751F"/>
    <w:rsid w:val="003A756D"/>
    <w:rsid w:val="003A75AD"/>
    <w:rsid w:val="003A7651"/>
    <w:rsid w:val="003A76ED"/>
    <w:rsid w:val="003A7781"/>
    <w:rsid w:val="003A77D2"/>
    <w:rsid w:val="003A77FE"/>
    <w:rsid w:val="003A780C"/>
    <w:rsid w:val="003A7819"/>
    <w:rsid w:val="003A7867"/>
    <w:rsid w:val="003A786C"/>
    <w:rsid w:val="003A7871"/>
    <w:rsid w:val="003A7877"/>
    <w:rsid w:val="003A787C"/>
    <w:rsid w:val="003A7881"/>
    <w:rsid w:val="003A78AE"/>
    <w:rsid w:val="003A78BE"/>
    <w:rsid w:val="003A78CA"/>
    <w:rsid w:val="003A7949"/>
    <w:rsid w:val="003A7960"/>
    <w:rsid w:val="003A7984"/>
    <w:rsid w:val="003A7A06"/>
    <w:rsid w:val="003A7A47"/>
    <w:rsid w:val="003A7A5D"/>
    <w:rsid w:val="003A7AE6"/>
    <w:rsid w:val="003A7B21"/>
    <w:rsid w:val="003A7BB8"/>
    <w:rsid w:val="003A7C71"/>
    <w:rsid w:val="003A7D5A"/>
    <w:rsid w:val="003A7DB3"/>
    <w:rsid w:val="003A7DC2"/>
    <w:rsid w:val="003A7E66"/>
    <w:rsid w:val="003A7E78"/>
    <w:rsid w:val="003A7EE6"/>
    <w:rsid w:val="003A7EF2"/>
    <w:rsid w:val="003A7EFE"/>
    <w:rsid w:val="003A7F79"/>
    <w:rsid w:val="003A7F80"/>
    <w:rsid w:val="003A7F82"/>
    <w:rsid w:val="003A7F89"/>
    <w:rsid w:val="003A7FF3"/>
    <w:rsid w:val="003B0000"/>
    <w:rsid w:val="003B005F"/>
    <w:rsid w:val="003B0074"/>
    <w:rsid w:val="003B00DA"/>
    <w:rsid w:val="003B00FC"/>
    <w:rsid w:val="003B01CD"/>
    <w:rsid w:val="003B028A"/>
    <w:rsid w:val="003B02AF"/>
    <w:rsid w:val="003B02DF"/>
    <w:rsid w:val="003B0337"/>
    <w:rsid w:val="003B033E"/>
    <w:rsid w:val="003B03EB"/>
    <w:rsid w:val="003B0469"/>
    <w:rsid w:val="003B052C"/>
    <w:rsid w:val="003B0562"/>
    <w:rsid w:val="003B05DB"/>
    <w:rsid w:val="003B0646"/>
    <w:rsid w:val="003B0679"/>
    <w:rsid w:val="003B06EB"/>
    <w:rsid w:val="003B07BF"/>
    <w:rsid w:val="003B07E0"/>
    <w:rsid w:val="003B082C"/>
    <w:rsid w:val="003B084F"/>
    <w:rsid w:val="003B08CA"/>
    <w:rsid w:val="003B093A"/>
    <w:rsid w:val="003B0950"/>
    <w:rsid w:val="003B09B8"/>
    <w:rsid w:val="003B09D8"/>
    <w:rsid w:val="003B09DC"/>
    <w:rsid w:val="003B09F9"/>
    <w:rsid w:val="003B0A56"/>
    <w:rsid w:val="003B0A73"/>
    <w:rsid w:val="003B0AB4"/>
    <w:rsid w:val="003B0B65"/>
    <w:rsid w:val="003B0BD4"/>
    <w:rsid w:val="003B0C3A"/>
    <w:rsid w:val="003B0C98"/>
    <w:rsid w:val="003B0D67"/>
    <w:rsid w:val="003B0D95"/>
    <w:rsid w:val="003B0DEC"/>
    <w:rsid w:val="003B0E5B"/>
    <w:rsid w:val="003B0ECE"/>
    <w:rsid w:val="003B0EED"/>
    <w:rsid w:val="003B0EFD"/>
    <w:rsid w:val="003B0F05"/>
    <w:rsid w:val="003B0F13"/>
    <w:rsid w:val="003B0F1C"/>
    <w:rsid w:val="003B0F43"/>
    <w:rsid w:val="003B0FE6"/>
    <w:rsid w:val="003B1027"/>
    <w:rsid w:val="003B1069"/>
    <w:rsid w:val="003B106C"/>
    <w:rsid w:val="003B1070"/>
    <w:rsid w:val="003B1078"/>
    <w:rsid w:val="003B10E8"/>
    <w:rsid w:val="003B1101"/>
    <w:rsid w:val="003B1164"/>
    <w:rsid w:val="003B1196"/>
    <w:rsid w:val="003B11D0"/>
    <w:rsid w:val="003B1252"/>
    <w:rsid w:val="003B1262"/>
    <w:rsid w:val="003B1280"/>
    <w:rsid w:val="003B12C4"/>
    <w:rsid w:val="003B12C6"/>
    <w:rsid w:val="003B12CE"/>
    <w:rsid w:val="003B13E5"/>
    <w:rsid w:val="003B1452"/>
    <w:rsid w:val="003B1464"/>
    <w:rsid w:val="003B1477"/>
    <w:rsid w:val="003B1504"/>
    <w:rsid w:val="003B15C2"/>
    <w:rsid w:val="003B15DE"/>
    <w:rsid w:val="003B15E8"/>
    <w:rsid w:val="003B164E"/>
    <w:rsid w:val="003B16A6"/>
    <w:rsid w:val="003B16AA"/>
    <w:rsid w:val="003B16C4"/>
    <w:rsid w:val="003B1708"/>
    <w:rsid w:val="003B1759"/>
    <w:rsid w:val="003B1761"/>
    <w:rsid w:val="003B177B"/>
    <w:rsid w:val="003B180B"/>
    <w:rsid w:val="003B183F"/>
    <w:rsid w:val="003B1874"/>
    <w:rsid w:val="003B1890"/>
    <w:rsid w:val="003B1958"/>
    <w:rsid w:val="003B197D"/>
    <w:rsid w:val="003B19C2"/>
    <w:rsid w:val="003B1A34"/>
    <w:rsid w:val="003B1A3C"/>
    <w:rsid w:val="003B1A56"/>
    <w:rsid w:val="003B1A7D"/>
    <w:rsid w:val="003B1AC4"/>
    <w:rsid w:val="003B1B1B"/>
    <w:rsid w:val="003B1BD7"/>
    <w:rsid w:val="003B1BDD"/>
    <w:rsid w:val="003B1BEF"/>
    <w:rsid w:val="003B1C58"/>
    <w:rsid w:val="003B1CC3"/>
    <w:rsid w:val="003B1D74"/>
    <w:rsid w:val="003B1D97"/>
    <w:rsid w:val="003B1DE8"/>
    <w:rsid w:val="003B1DFE"/>
    <w:rsid w:val="003B1E84"/>
    <w:rsid w:val="003B1E9D"/>
    <w:rsid w:val="003B1EA0"/>
    <w:rsid w:val="003B1EB4"/>
    <w:rsid w:val="003B1ED5"/>
    <w:rsid w:val="003B1EF7"/>
    <w:rsid w:val="003B1F16"/>
    <w:rsid w:val="003B1F27"/>
    <w:rsid w:val="003B1F8A"/>
    <w:rsid w:val="003B1FA4"/>
    <w:rsid w:val="003B205D"/>
    <w:rsid w:val="003B20A6"/>
    <w:rsid w:val="003B2156"/>
    <w:rsid w:val="003B220E"/>
    <w:rsid w:val="003B22F0"/>
    <w:rsid w:val="003B232E"/>
    <w:rsid w:val="003B2396"/>
    <w:rsid w:val="003B23CC"/>
    <w:rsid w:val="003B2418"/>
    <w:rsid w:val="003B24AA"/>
    <w:rsid w:val="003B24E6"/>
    <w:rsid w:val="003B2540"/>
    <w:rsid w:val="003B254E"/>
    <w:rsid w:val="003B256A"/>
    <w:rsid w:val="003B2588"/>
    <w:rsid w:val="003B258D"/>
    <w:rsid w:val="003B2596"/>
    <w:rsid w:val="003B260C"/>
    <w:rsid w:val="003B260D"/>
    <w:rsid w:val="003B2627"/>
    <w:rsid w:val="003B2631"/>
    <w:rsid w:val="003B2637"/>
    <w:rsid w:val="003B2638"/>
    <w:rsid w:val="003B26D6"/>
    <w:rsid w:val="003B2724"/>
    <w:rsid w:val="003B277F"/>
    <w:rsid w:val="003B27D4"/>
    <w:rsid w:val="003B287A"/>
    <w:rsid w:val="003B28D0"/>
    <w:rsid w:val="003B28D2"/>
    <w:rsid w:val="003B2934"/>
    <w:rsid w:val="003B2966"/>
    <w:rsid w:val="003B29A9"/>
    <w:rsid w:val="003B29C3"/>
    <w:rsid w:val="003B29DF"/>
    <w:rsid w:val="003B2A5D"/>
    <w:rsid w:val="003B2A5E"/>
    <w:rsid w:val="003B2AD1"/>
    <w:rsid w:val="003B2B04"/>
    <w:rsid w:val="003B2B17"/>
    <w:rsid w:val="003B2B8B"/>
    <w:rsid w:val="003B2BBC"/>
    <w:rsid w:val="003B2C41"/>
    <w:rsid w:val="003B2C48"/>
    <w:rsid w:val="003B2C5A"/>
    <w:rsid w:val="003B2C5B"/>
    <w:rsid w:val="003B2C7C"/>
    <w:rsid w:val="003B2C8E"/>
    <w:rsid w:val="003B2D6A"/>
    <w:rsid w:val="003B2D8B"/>
    <w:rsid w:val="003B2D90"/>
    <w:rsid w:val="003B2DE2"/>
    <w:rsid w:val="003B2E75"/>
    <w:rsid w:val="003B2E86"/>
    <w:rsid w:val="003B2E8D"/>
    <w:rsid w:val="003B2EA7"/>
    <w:rsid w:val="003B2EFE"/>
    <w:rsid w:val="003B2F0F"/>
    <w:rsid w:val="003B2F3D"/>
    <w:rsid w:val="003B2F6E"/>
    <w:rsid w:val="003B2FA1"/>
    <w:rsid w:val="003B2FD1"/>
    <w:rsid w:val="003B2FD8"/>
    <w:rsid w:val="003B2FDB"/>
    <w:rsid w:val="003B3028"/>
    <w:rsid w:val="003B3029"/>
    <w:rsid w:val="003B304A"/>
    <w:rsid w:val="003B30A6"/>
    <w:rsid w:val="003B310F"/>
    <w:rsid w:val="003B3199"/>
    <w:rsid w:val="003B31A1"/>
    <w:rsid w:val="003B31A8"/>
    <w:rsid w:val="003B326F"/>
    <w:rsid w:val="003B3291"/>
    <w:rsid w:val="003B32DF"/>
    <w:rsid w:val="003B3388"/>
    <w:rsid w:val="003B3394"/>
    <w:rsid w:val="003B33B9"/>
    <w:rsid w:val="003B342F"/>
    <w:rsid w:val="003B343A"/>
    <w:rsid w:val="003B3470"/>
    <w:rsid w:val="003B3496"/>
    <w:rsid w:val="003B350D"/>
    <w:rsid w:val="003B356F"/>
    <w:rsid w:val="003B3586"/>
    <w:rsid w:val="003B35BC"/>
    <w:rsid w:val="003B35D5"/>
    <w:rsid w:val="003B362D"/>
    <w:rsid w:val="003B366A"/>
    <w:rsid w:val="003B368F"/>
    <w:rsid w:val="003B36B5"/>
    <w:rsid w:val="003B36D7"/>
    <w:rsid w:val="003B36DB"/>
    <w:rsid w:val="003B379B"/>
    <w:rsid w:val="003B379C"/>
    <w:rsid w:val="003B379F"/>
    <w:rsid w:val="003B37B6"/>
    <w:rsid w:val="003B380F"/>
    <w:rsid w:val="003B3838"/>
    <w:rsid w:val="003B38AB"/>
    <w:rsid w:val="003B3924"/>
    <w:rsid w:val="003B3950"/>
    <w:rsid w:val="003B3968"/>
    <w:rsid w:val="003B3A14"/>
    <w:rsid w:val="003B3ABD"/>
    <w:rsid w:val="003B3ACB"/>
    <w:rsid w:val="003B3B06"/>
    <w:rsid w:val="003B3B07"/>
    <w:rsid w:val="003B3B2D"/>
    <w:rsid w:val="003B3B74"/>
    <w:rsid w:val="003B3B93"/>
    <w:rsid w:val="003B3B9A"/>
    <w:rsid w:val="003B3BBC"/>
    <w:rsid w:val="003B3C19"/>
    <w:rsid w:val="003B3C1A"/>
    <w:rsid w:val="003B3C29"/>
    <w:rsid w:val="003B3CEC"/>
    <w:rsid w:val="003B3D2A"/>
    <w:rsid w:val="003B3D5D"/>
    <w:rsid w:val="003B3E0F"/>
    <w:rsid w:val="003B3F27"/>
    <w:rsid w:val="003B3FB4"/>
    <w:rsid w:val="003B3FF9"/>
    <w:rsid w:val="003B402C"/>
    <w:rsid w:val="003B4047"/>
    <w:rsid w:val="003B40B6"/>
    <w:rsid w:val="003B40CB"/>
    <w:rsid w:val="003B4104"/>
    <w:rsid w:val="003B4186"/>
    <w:rsid w:val="003B419F"/>
    <w:rsid w:val="003B41EA"/>
    <w:rsid w:val="003B41EB"/>
    <w:rsid w:val="003B41FC"/>
    <w:rsid w:val="003B4215"/>
    <w:rsid w:val="003B421D"/>
    <w:rsid w:val="003B4261"/>
    <w:rsid w:val="003B4262"/>
    <w:rsid w:val="003B4270"/>
    <w:rsid w:val="003B4291"/>
    <w:rsid w:val="003B43CF"/>
    <w:rsid w:val="003B43E6"/>
    <w:rsid w:val="003B4405"/>
    <w:rsid w:val="003B445D"/>
    <w:rsid w:val="003B4474"/>
    <w:rsid w:val="003B44AC"/>
    <w:rsid w:val="003B44CD"/>
    <w:rsid w:val="003B457E"/>
    <w:rsid w:val="003B4585"/>
    <w:rsid w:val="003B45ED"/>
    <w:rsid w:val="003B4611"/>
    <w:rsid w:val="003B46E3"/>
    <w:rsid w:val="003B46FE"/>
    <w:rsid w:val="003B4740"/>
    <w:rsid w:val="003B4741"/>
    <w:rsid w:val="003B4743"/>
    <w:rsid w:val="003B4763"/>
    <w:rsid w:val="003B4783"/>
    <w:rsid w:val="003B479D"/>
    <w:rsid w:val="003B47C6"/>
    <w:rsid w:val="003B4800"/>
    <w:rsid w:val="003B4856"/>
    <w:rsid w:val="003B4872"/>
    <w:rsid w:val="003B489A"/>
    <w:rsid w:val="003B48B4"/>
    <w:rsid w:val="003B48BA"/>
    <w:rsid w:val="003B48D5"/>
    <w:rsid w:val="003B48DF"/>
    <w:rsid w:val="003B4918"/>
    <w:rsid w:val="003B491C"/>
    <w:rsid w:val="003B4972"/>
    <w:rsid w:val="003B49C6"/>
    <w:rsid w:val="003B4A0B"/>
    <w:rsid w:val="003B4A59"/>
    <w:rsid w:val="003B4AC3"/>
    <w:rsid w:val="003B4ACC"/>
    <w:rsid w:val="003B4AFA"/>
    <w:rsid w:val="003B4B0E"/>
    <w:rsid w:val="003B4B6A"/>
    <w:rsid w:val="003B4B73"/>
    <w:rsid w:val="003B4B76"/>
    <w:rsid w:val="003B4B9A"/>
    <w:rsid w:val="003B4D74"/>
    <w:rsid w:val="003B4D9E"/>
    <w:rsid w:val="003B4EA6"/>
    <w:rsid w:val="003B4EB3"/>
    <w:rsid w:val="003B4EDE"/>
    <w:rsid w:val="003B4EDF"/>
    <w:rsid w:val="003B4F3E"/>
    <w:rsid w:val="003B4F5E"/>
    <w:rsid w:val="003B4F7D"/>
    <w:rsid w:val="003B4F87"/>
    <w:rsid w:val="003B4FA9"/>
    <w:rsid w:val="003B4FB1"/>
    <w:rsid w:val="003B4FBC"/>
    <w:rsid w:val="003B503E"/>
    <w:rsid w:val="003B5094"/>
    <w:rsid w:val="003B5168"/>
    <w:rsid w:val="003B51B9"/>
    <w:rsid w:val="003B5213"/>
    <w:rsid w:val="003B52AD"/>
    <w:rsid w:val="003B52CA"/>
    <w:rsid w:val="003B533A"/>
    <w:rsid w:val="003B53E6"/>
    <w:rsid w:val="003B541F"/>
    <w:rsid w:val="003B5457"/>
    <w:rsid w:val="003B5465"/>
    <w:rsid w:val="003B546B"/>
    <w:rsid w:val="003B54E5"/>
    <w:rsid w:val="003B54FF"/>
    <w:rsid w:val="003B5542"/>
    <w:rsid w:val="003B5574"/>
    <w:rsid w:val="003B558D"/>
    <w:rsid w:val="003B55BB"/>
    <w:rsid w:val="003B561C"/>
    <w:rsid w:val="003B5630"/>
    <w:rsid w:val="003B5644"/>
    <w:rsid w:val="003B5664"/>
    <w:rsid w:val="003B5682"/>
    <w:rsid w:val="003B569F"/>
    <w:rsid w:val="003B56A0"/>
    <w:rsid w:val="003B573B"/>
    <w:rsid w:val="003B5787"/>
    <w:rsid w:val="003B578C"/>
    <w:rsid w:val="003B5806"/>
    <w:rsid w:val="003B5865"/>
    <w:rsid w:val="003B5977"/>
    <w:rsid w:val="003B5986"/>
    <w:rsid w:val="003B5A88"/>
    <w:rsid w:val="003B5AA8"/>
    <w:rsid w:val="003B5AB9"/>
    <w:rsid w:val="003B5AF4"/>
    <w:rsid w:val="003B5B31"/>
    <w:rsid w:val="003B5B69"/>
    <w:rsid w:val="003B5BA3"/>
    <w:rsid w:val="003B5C89"/>
    <w:rsid w:val="003B5C92"/>
    <w:rsid w:val="003B5C9B"/>
    <w:rsid w:val="003B5CF8"/>
    <w:rsid w:val="003B5D0A"/>
    <w:rsid w:val="003B5D1D"/>
    <w:rsid w:val="003B5D71"/>
    <w:rsid w:val="003B5D87"/>
    <w:rsid w:val="003B5E42"/>
    <w:rsid w:val="003B5E97"/>
    <w:rsid w:val="003B5EB6"/>
    <w:rsid w:val="003B5F11"/>
    <w:rsid w:val="003B5F18"/>
    <w:rsid w:val="003B5F2D"/>
    <w:rsid w:val="003B5F5E"/>
    <w:rsid w:val="003B5F6E"/>
    <w:rsid w:val="003B6027"/>
    <w:rsid w:val="003B6100"/>
    <w:rsid w:val="003B6148"/>
    <w:rsid w:val="003B6197"/>
    <w:rsid w:val="003B6200"/>
    <w:rsid w:val="003B6285"/>
    <w:rsid w:val="003B62AD"/>
    <w:rsid w:val="003B62BB"/>
    <w:rsid w:val="003B6331"/>
    <w:rsid w:val="003B6350"/>
    <w:rsid w:val="003B6375"/>
    <w:rsid w:val="003B6377"/>
    <w:rsid w:val="003B63AA"/>
    <w:rsid w:val="003B6438"/>
    <w:rsid w:val="003B647C"/>
    <w:rsid w:val="003B64BD"/>
    <w:rsid w:val="003B656C"/>
    <w:rsid w:val="003B6591"/>
    <w:rsid w:val="003B65A4"/>
    <w:rsid w:val="003B65FE"/>
    <w:rsid w:val="003B6633"/>
    <w:rsid w:val="003B6643"/>
    <w:rsid w:val="003B6680"/>
    <w:rsid w:val="003B66CE"/>
    <w:rsid w:val="003B66F2"/>
    <w:rsid w:val="003B6737"/>
    <w:rsid w:val="003B6756"/>
    <w:rsid w:val="003B6762"/>
    <w:rsid w:val="003B678B"/>
    <w:rsid w:val="003B6816"/>
    <w:rsid w:val="003B6824"/>
    <w:rsid w:val="003B682A"/>
    <w:rsid w:val="003B683B"/>
    <w:rsid w:val="003B6870"/>
    <w:rsid w:val="003B6877"/>
    <w:rsid w:val="003B687C"/>
    <w:rsid w:val="003B6890"/>
    <w:rsid w:val="003B6908"/>
    <w:rsid w:val="003B696A"/>
    <w:rsid w:val="003B69A5"/>
    <w:rsid w:val="003B69CF"/>
    <w:rsid w:val="003B69ED"/>
    <w:rsid w:val="003B69FC"/>
    <w:rsid w:val="003B6A01"/>
    <w:rsid w:val="003B6A64"/>
    <w:rsid w:val="003B6ACE"/>
    <w:rsid w:val="003B6AEA"/>
    <w:rsid w:val="003B6B96"/>
    <w:rsid w:val="003B6BAD"/>
    <w:rsid w:val="003B6BCB"/>
    <w:rsid w:val="003B6BD0"/>
    <w:rsid w:val="003B6BDF"/>
    <w:rsid w:val="003B6C15"/>
    <w:rsid w:val="003B6C57"/>
    <w:rsid w:val="003B6CCF"/>
    <w:rsid w:val="003B6CF1"/>
    <w:rsid w:val="003B6D1E"/>
    <w:rsid w:val="003B6D1F"/>
    <w:rsid w:val="003B6D5F"/>
    <w:rsid w:val="003B6D75"/>
    <w:rsid w:val="003B6D83"/>
    <w:rsid w:val="003B6D87"/>
    <w:rsid w:val="003B6DA0"/>
    <w:rsid w:val="003B6E7D"/>
    <w:rsid w:val="003B6EAA"/>
    <w:rsid w:val="003B6EFE"/>
    <w:rsid w:val="003B6F57"/>
    <w:rsid w:val="003B6F64"/>
    <w:rsid w:val="003B6F72"/>
    <w:rsid w:val="003B6F7D"/>
    <w:rsid w:val="003B6F9C"/>
    <w:rsid w:val="003B7013"/>
    <w:rsid w:val="003B70AA"/>
    <w:rsid w:val="003B70C6"/>
    <w:rsid w:val="003B70EA"/>
    <w:rsid w:val="003B7105"/>
    <w:rsid w:val="003B7144"/>
    <w:rsid w:val="003B7191"/>
    <w:rsid w:val="003B71F4"/>
    <w:rsid w:val="003B7299"/>
    <w:rsid w:val="003B72AB"/>
    <w:rsid w:val="003B72AD"/>
    <w:rsid w:val="003B72F6"/>
    <w:rsid w:val="003B7389"/>
    <w:rsid w:val="003B73D0"/>
    <w:rsid w:val="003B7406"/>
    <w:rsid w:val="003B745F"/>
    <w:rsid w:val="003B74F8"/>
    <w:rsid w:val="003B7501"/>
    <w:rsid w:val="003B7508"/>
    <w:rsid w:val="003B750B"/>
    <w:rsid w:val="003B75BB"/>
    <w:rsid w:val="003B7616"/>
    <w:rsid w:val="003B7632"/>
    <w:rsid w:val="003B763C"/>
    <w:rsid w:val="003B7658"/>
    <w:rsid w:val="003B771B"/>
    <w:rsid w:val="003B7721"/>
    <w:rsid w:val="003B7738"/>
    <w:rsid w:val="003B773C"/>
    <w:rsid w:val="003B7775"/>
    <w:rsid w:val="003B7779"/>
    <w:rsid w:val="003B77D5"/>
    <w:rsid w:val="003B7800"/>
    <w:rsid w:val="003B783F"/>
    <w:rsid w:val="003B7861"/>
    <w:rsid w:val="003B787C"/>
    <w:rsid w:val="003B789D"/>
    <w:rsid w:val="003B78CD"/>
    <w:rsid w:val="003B78D8"/>
    <w:rsid w:val="003B7988"/>
    <w:rsid w:val="003B79F1"/>
    <w:rsid w:val="003B7A09"/>
    <w:rsid w:val="003B7A14"/>
    <w:rsid w:val="003B7ABB"/>
    <w:rsid w:val="003B7B1C"/>
    <w:rsid w:val="003B7B31"/>
    <w:rsid w:val="003B7BAA"/>
    <w:rsid w:val="003B7BF6"/>
    <w:rsid w:val="003B7C03"/>
    <w:rsid w:val="003B7C10"/>
    <w:rsid w:val="003B7C4D"/>
    <w:rsid w:val="003B7CF7"/>
    <w:rsid w:val="003B7D76"/>
    <w:rsid w:val="003B7D8A"/>
    <w:rsid w:val="003B7DCC"/>
    <w:rsid w:val="003B7E36"/>
    <w:rsid w:val="003B7E4F"/>
    <w:rsid w:val="003B7E74"/>
    <w:rsid w:val="003B7E81"/>
    <w:rsid w:val="003B7EEC"/>
    <w:rsid w:val="003B7EF0"/>
    <w:rsid w:val="003B7F1B"/>
    <w:rsid w:val="003B7F7A"/>
    <w:rsid w:val="003B7FBB"/>
    <w:rsid w:val="003B7FBE"/>
    <w:rsid w:val="003B7FD3"/>
    <w:rsid w:val="003C000C"/>
    <w:rsid w:val="003C0047"/>
    <w:rsid w:val="003C0086"/>
    <w:rsid w:val="003C00B9"/>
    <w:rsid w:val="003C00D7"/>
    <w:rsid w:val="003C0144"/>
    <w:rsid w:val="003C01AE"/>
    <w:rsid w:val="003C01E5"/>
    <w:rsid w:val="003C0200"/>
    <w:rsid w:val="003C0204"/>
    <w:rsid w:val="003C020C"/>
    <w:rsid w:val="003C0240"/>
    <w:rsid w:val="003C0310"/>
    <w:rsid w:val="003C0322"/>
    <w:rsid w:val="003C0352"/>
    <w:rsid w:val="003C042F"/>
    <w:rsid w:val="003C045A"/>
    <w:rsid w:val="003C045C"/>
    <w:rsid w:val="003C04AA"/>
    <w:rsid w:val="003C0522"/>
    <w:rsid w:val="003C0592"/>
    <w:rsid w:val="003C05AA"/>
    <w:rsid w:val="003C05BE"/>
    <w:rsid w:val="003C0654"/>
    <w:rsid w:val="003C0669"/>
    <w:rsid w:val="003C06BA"/>
    <w:rsid w:val="003C06DE"/>
    <w:rsid w:val="003C0727"/>
    <w:rsid w:val="003C072A"/>
    <w:rsid w:val="003C0744"/>
    <w:rsid w:val="003C0760"/>
    <w:rsid w:val="003C078E"/>
    <w:rsid w:val="003C07DA"/>
    <w:rsid w:val="003C08F8"/>
    <w:rsid w:val="003C0920"/>
    <w:rsid w:val="003C0935"/>
    <w:rsid w:val="003C0977"/>
    <w:rsid w:val="003C09C0"/>
    <w:rsid w:val="003C0A16"/>
    <w:rsid w:val="003C0A20"/>
    <w:rsid w:val="003C0A52"/>
    <w:rsid w:val="003C0A54"/>
    <w:rsid w:val="003C0AC1"/>
    <w:rsid w:val="003C0B09"/>
    <w:rsid w:val="003C0B0F"/>
    <w:rsid w:val="003C0B2F"/>
    <w:rsid w:val="003C0B54"/>
    <w:rsid w:val="003C0B97"/>
    <w:rsid w:val="003C0BA0"/>
    <w:rsid w:val="003C0C21"/>
    <w:rsid w:val="003C0C50"/>
    <w:rsid w:val="003C0CC1"/>
    <w:rsid w:val="003C0CC8"/>
    <w:rsid w:val="003C0D0D"/>
    <w:rsid w:val="003C0D3D"/>
    <w:rsid w:val="003C0DE7"/>
    <w:rsid w:val="003C0DEB"/>
    <w:rsid w:val="003C0E46"/>
    <w:rsid w:val="003C0E63"/>
    <w:rsid w:val="003C0E87"/>
    <w:rsid w:val="003C0ED5"/>
    <w:rsid w:val="003C0EE9"/>
    <w:rsid w:val="003C0EF0"/>
    <w:rsid w:val="003C0F17"/>
    <w:rsid w:val="003C0F1F"/>
    <w:rsid w:val="003C0F8C"/>
    <w:rsid w:val="003C0FAE"/>
    <w:rsid w:val="003C105A"/>
    <w:rsid w:val="003C107A"/>
    <w:rsid w:val="003C1097"/>
    <w:rsid w:val="003C1104"/>
    <w:rsid w:val="003C1174"/>
    <w:rsid w:val="003C11F4"/>
    <w:rsid w:val="003C1257"/>
    <w:rsid w:val="003C125A"/>
    <w:rsid w:val="003C126F"/>
    <w:rsid w:val="003C12B7"/>
    <w:rsid w:val="003C12BC"/>
    <w:rsid w:val="003C12EA"/>
    <w:rsid w:val="003C1309"/>
    <w:rsid w:val="003C13C0"/>
    <w:rsid w:val="003C1426"/>
    <w:rsid w:val="003C1458"/>
    <w:rsid w:val="003C146C"/>
    <w:rsid w:val="003C1548"/>
    <w:rsid w:val="003C15B0"/>
    <w:rsid w:val="003C1604"/>
    <w:rsid w:val="003C162B"/>
    <w:rsid w:val="003C1649"/>
    <w:rsid w:val="003C165B"/>
    <w:rsid w:val="003C16FA"/>
    <w:rsid w:val="003C16FB"/>
    <w:rsid w:val="003C172E"/>
    <w:rsid w:val="003C173A"/>
    <w:rsid w:val="003C1742"/>
    <w:rsid w:val="003C1784"/>
    <w:rsid w:val="003C17B6"/>
    <w:rsid w:val="003C17B9"/>
    <w:rsid w:val="003C17C9"/>
    <w:rsid w:val="003C17D0"/>
    <w:rsid w:val="003C17E1"/>
    <w:rsid w:val="003C1800"/>
    <w:rsid w:val="003C184D"/>
    <w:rsid w:val="003C1881"/>
    <w:rsid w:val="003C18B8"/>
    <w:rsid w:val="003C18F2"/>
    <w:rsid w:val="003C1936"/>
    <w:rsid w:val="003C1966"/>
    <w:rsid w:val="003C1982"/>
    <w:rsid w:val="003C19D8"/>
    <w:rsid w:val="003C1A4E"/>
    <w:rsid w:val="003C1A88"/>
    <w:rsid w:val="003C1A93"/>
    <w:rsid w:val="003C1ACE"/>
    <w:rsid w:val="003C1AD7"/>
    <w:rsid w:val="003C1B1F"/>
    <w:rsid w:val="003C1B3B"/>
    <w:rsid w:val="003C1B6C"/>
    <w:rsid w:val="003C1BA4"/>
    <w:rsid w:val="003C1BF3"/>
    <w:rsid w:val="003C1C21"/>
    <w:rsid w:val="003C1C2D"/>
    <w:rsid w:val="003C1C3F"/>
    <w:rsid w:val="003C1CB6"/>
    <w:rsid w:val="003C1CDD"/>
    <w:rsid w:val="003C1CFC"/>
    <w:rsid w:val="003C1D27"/>
    <w:rsid w:val="003C1D28"/>
    <w:rsid w:val="003C1D42"/>
    <w:rsid w:val="003C1D60"/>
    <w:rsid w:val="003C1D90"/>
    <w:rsid w:val="003C1E0A"/>
    <w:rsid w:val="003C1E92"/>
    <w:rsid w:val="003C1E9C"/>
    <w:rsid w:val="003C1ED2"/>
    <w:rsid w:val="003C1ED4"/>
    <w:rsid w:val="003C1EEC"/>
    <w:rsid w:val="003C1EFA"/>
    <w:rsid w:val="003C1F2D"/>
    <w:rsid w:val="003C1F6B"/>
    <w:rsid w:val="003C1F99"/>
    <w:rsid w:val="003C1FDB"/>
    <w:rsid w:val="003C2022"/>
    <w:rsid w:val="003C2126"/>
    <w:rsid w:val="003C212F"/>
    <w:rsid w:val="003C2147"/>
    <w:rsid w:val="003C224E"/>
    <w:rsid w:val="003C226D"/>
    <w:rsid w:val="003C237C"/>
    <w:rsid w:val="003C23C3"/>
    <w:rsid w:val="003C23CB"/>
    <w:rsid w:val="003C23CC"/>
    <w:rsid w:val="003C2444"/>
    <w:rsid w:val="003C2496"/>
    <w:rsid w:val="003C24AA"/>
    <w:rsid w:val="003C252E"/>
    <w:rsid w:val="003C255B"/>
    <w:rsid w:val="003C2566"/>
    <w:rsid w:val="003C25F7"/>
    <w:rsid w:val="003C2603"/>
    <w:rsid w:val="003C2634"/>
    <w:rsid w:val="003C2691"/>
    <w:rsid w:val="003C26CA"/>
    <w:rsid w:val="003C26F8"/>
    <w:rsid w:val="003C2788"/>
    <w:rsid w:val="003C2798"/>
    <w:rsid w:val="003C27EC"/>
    <w:rsid w:val="003C2860"/>
    <w:rsid w:val="003C29B1"/>
    <w:rsid w:val="003C29CB"/>
    <w:rsid w:val="003C29F9"/>
    <w:rsid w:val="003C2A24"/>
    <w:rsid w:val="003C2A76"/>
    <w:rsid w:val="003C2AF0"/>
    <w:rsid w:val="003C2B18"/>
    <w:rsid w:val="003C2B57"/>
    <w:rsid w:val="003C2BE8"/>
    <w:rsid w:val="003C2BF1"/>
    <w:rsid w:val="003C2C40"/>
    <w:rsid w:val="003C2C49"/>
    <w:rsid w:val="003C2C82"/>
    <w:rsid w:val="003C2CD4"/>
    <w:rsid w:val="003C2CE7"/>
    <w:rsid w:val="003C2D1A"/>
    <w:rsid w:val="003C2D79"/>
    <w:rsid w:val="003C2DA0"/>
    <w:rsid w:val="003C2DB7"/>
    <w:rsid w:val="003C2DE1"/>
    <w:rsid w:val="003C2E2F"/>
    <w:rsid w:val="003C2E4C"/>
    <w:rsid w:val="003C2E6B"/>
    <w:rsid w:val="003C2EBF"/>
    <w:rsid w:val="003C2EE0"/>
    <w:rsid w:val="003C2EF6"/>
    <w:rsid w:val="003C3005"/>
    <w:rsid w:val="003C307B"/>
    <w:rsid w:val="003C315E"/>
    <w:rsid w:val="003C316D"/>
    <w:rsid w:val="003C318E"/>
    <w:rsid w:val="003C31C3"/>
    <w:rsid w:val="003C3227"/>
    <w:rsid w:val="003C327E"/>
    <w:rsid w:val="003C3287"/>
    <w:rsid w:val="003C3291"/>
    <w:rsid w:val="003C3362"/>
    <w:rsid w:val="003C3363"/>
    <w:rsid w:val="003C336B"/>
    <w:rsid w:val="003C3377"/>
    <w:rsid w:val="003C3396"/>
    <w:rsid w:val="003C33A6"/>
    <w:rsid w:val="003C33AA"/>
    <w:rsid w:val="003C33D0"/>
    <w:rsid w:val="003C340F"/>
    <w:rsid w:val="003C3444"/>
    <w:rsid w:val="003C344E"/>
    <w:rsid w:val="003C3465"/>
    <w:rsid w:val="003C3492"/>
    <w:rsid w:val="003C34C6"/>
    <w:rsid w:val="003C34CC"/>
    <w:rsid w:val="003C3506"/>
    <w:rsid w:val="003C3632"/>
    <w:rsid w:val="003C3647"/>
    <w:rsid w:val="003C367A"/>
    <w:rsid w:val="003C369F"/>
    <w:rsid w:val="003C36B6"/>
    <w:rsid w:val="003C36EF"/>
    <w:rsid w:val="003C370E"/>
    <w:rsid w:val="003C37E3"/>
    <w:rsid w:val="003C37FA"/>
    <w:rsid w:val="003C3814"/>
    <w:rsid w:val="003C388D"/>
    <w:rsid w:val="003C38A1"/>
    <w:rsid w:val="003C3925"/>
    <w:rsid w:val="003C39E2"/>
    <w:rsid w:val="003C39E3"/>
    <w:rsid w:val="003C3A32"/>
    <w:rsid w:val="003C3A3A"/>
    <w:rsid w:val="003C3A3F"/>
    <w:rsid w:val="003C3A72"/>
    <w:rsid w:val="003C3A79"/>
    <w:rsid w:val="003C3A84"/>
    <w:rsid w:val="003C3A9E"/>
    <w:rsid w:val="003C3AB5"/>
    <w:rsid w:val="003C3AD0"/>
    <w:rsid w:val="003C3B12"/>
    <w:rsid w:val="003C3B39"/>
    <w:rsid w:val="003C3BB7"/>
    <w:rsid w:val="003C3BEC"/>
    <w:rsid w:val="003C3BEE"/>
    <w:rsid w:val="003C3C05"/>
    <w:rsid w:val="003C3CB0"/>
    <w:rsid w:val="003C3CB6"/>
    <w:rsid w:val="003C3CD7"/>
    <w:rsid w:val="003C3D59"/>
    <w:rsid w:val="003C3D8F"/>
    <w:rsid w:val="003C3EA4"/>
    <w:rsid w:val="003C3ED7"/>
    <w:rsid w:val="003C3F24"/>
    <w:rsid w:val="003C3F61"/>
    <w:rsid w:val="003C3F6C"/>
    <w:rsid w:val="003C403B"/>
    <w:rsid w:val="003C409B"/>
    <w:rsid w:val="003C409F"/>
    <w:rsid w:val="003C4102"/>
    <w:rsid w:val="003C4157"/>
    <w:rsid w:val="003C4165"/>
    <w:rsid w:val="003C4168"/>
    <w:rsid w:val="003C4173"/>
    <w:rsid w:val="003C418B"/>
    <w:rsid w:val="003C4231"/>
    <w:rsid w:val="003C4258"/>
    <w:rsid w:val="003C42D2"/>
    <w:rsid w:val="003C42E1"/>
    <w:rsid w:val="003C430F"/>
    <w:rsid w:val="003C43A3"/>
    <w:rsid w:val="003C43D2"/>
    <w:rsid w:val="003C43D3"/>
    <w:rsid w:val="003C43FF"/>
    <w:rsid w:val="003C4469"/>
    <w:rsid w:val="003C44BC"/>
    <w:rsid w:val="003C4537"/>
    <w:rsid w:val="003C467D"/>
    <w:rsid w:val="003C4713"/>
    <w:rsid w:val="003C472B"/>
    <w:rsid w:val="003C4748"/>
    <w:rsid w:val="003C4790"/>
    <w:rsid w:val="003C47A2"/>
    <w:rsid w:val="003C47C6"/>
    <w:rsid w:val="003C47E4"/>
    <w:rsid w:val="003C4812"/>
    <w:rsid w:val="003C4835"/>
    <w:rsid w:val="003C4884"/>
    <w:rsid w:val="003C48AC"/>
    <w:rsid w:val="003C48B9"/>
    <w:rsid w:val="003C4927"/>
    <w:rsid w:val="003C495D"/>
    <w:rsid w:val="003C4986"/>
    <w:rsid w:val="003C4A1C"/>
    <w:rsid w:val="003C4A66"/>
    <w:rsid w:val="003C4A6B"/>
    <w:rsid w:val="003C4A87"/>
    <w:rsid w:val="003C4AB0"/>
    <w:rsid w:val="003C4B05"/>
    <w:rsid w:val="003C4B3F"/>
    <w:rsid w:val="003C4B4F"/>
    <w:rsid w:val="003C4B90"/>
    <w:rsid w:val="003C4C02"/>
    <w:rsid w:val="003C4C1E"/>
    <w:rsid w:val="003C4C45"/>
    <w:rsid w:val="003C4C54"/>
    <w:rsid w:val="003C4C6C"/>
    <w:rsid w:val="003C4D30"/>
    <w:rsid w:val="003C4D75"/>
    <w:rsid w:val="003C4D7B"/>
    <w:rsid w:val="003C4DB9"/>
    <w:rsid w:val="003C4DDA"/>
    <w:rsid w:val="003C4E68"/>
    <w:rsid w:val="003C4E86"/>
    <w:rsid w:val="003C4ECF"/>
    <w:rsid w:val="003C4EF8"/>
    <w:rsid w:val="003C4F02"/>
    <w:rsid w:val="003C4F34"/>
    <w:rsid w:val="003C4F49"/>
    <w:rsid w:val="003C4F6D"/>
    <w:rsid w:val="003C4F74"/>
    <w:rsid w:val="003C4F90"/>
    <w:rsid w:val="003C4FED"/>
    <w:rsid w:val="003C5052"/>
    <w:rsid w:val="003C50D3"/>
    <w:rsid w:val="003C50EA"/>
    <w:rsid w:val="003C50F9"/>
    <w:rsid w:val="003C50FB"/>
    <w:rsid w:val="003C5181"/>
    <w:rsid w:val="003C5246"/>
    <w:rsid w:val="003C5271"/>
    <w:rsid w:val="003C5332"/>
    <w:rsid w:val="003C53B4"/>
    <w:rsid w:val="003C53CF"/>
    <w:rsid w:val="003C53EB"/>
    <w:rsid w:val="003C5475"/>
    <w:rsid w:val="003C5547"/>
    <w:rsid w:val="003C55A0"/>
    <w:rsid w:val="003C55FA"/>
    <w:rsid w:val="003C5619"/>
    <w:rsid w:val="003C5684"/>
    <w:rsid w:val="003C56B2"/>
    <w:rsid w:val="003C56CB"/>
    <w:rsid w:val="003C56E9"/>
    <w:rsid w:val="003C5721"/>
    <w:rsid w:val="003C5768"/>
    <w:rsid w:val="003C577F"/>
    <w:rsid w:val="003C5794"/>
    <w:rsid w:val="003C57AF"/>
    <w:rsid w:val="003C583E"/>
    <w:rsid w:val="003C58E7"/>
    <w:rsid w:val="003C58EE"/>
    <w:rsid w:val="003C5905"/>
    <w:rsid w:val="003C5908"/>
    <w:rsid w:val="003C590A"/>
    <w:rsid w:val="003C5953"/>
    <w:rsid w:val="003C595E"/>
    <w:rsid w:val="003C59F1"/>
    <w:rsid w:val="003C59FD"/>
    <w:rsid w:val="003C5A17"/>
    <w:rsid w:val="003C5A42"/>
    <w:rsid w:val="003C5AFC"/>
    <w:rsid w:val="003C5C68"/>
    <w:rsid w:val="003C5D44"/>
    <w:rsid w:val="003C5DE0"/>
    <w:rsid w:val="003C5E02"/>
    <w:rsid w:val="003C5E44"/>
    <w:rsid w:val="003C5E9D"/>
    <w:rsid w:val="003C5EA3"/>
    <w:rsid w:val="003C5EB0"/>
    <w:rsid w:val="003C5EFB"/>
    <w:rsid w:val="003C5F43"/>
    <w:rsid w:val="003C5FB6"/>
    <w:rsid w:val="003C6027"/>
    <w:rsid w:val="003C6061"/>
    <w:rsid w:val="003C60F8"/>
    <w:rsid w:val="003C6126"/>
    <w:rsid w:val="003C61A5"/>
    <w:rsid w:val="003C61C0"/>
    <w:rsid w:val="003C6225"/>
    <w:rsid w:val="003C62C1"/>
    <w:rsid w:val="003C62C3"/>
    <w:rsid w:val="003C62C8"/>
    <w:rsid w:val="003C62E9"/>
    <w:rsid w:val="003C6309"/>
    <w:rsid w:val="003C6312"/>
    <w:rsid w:val="003C631C"/>
    <w:rsid w:val="003C63FA"/>
    <w:rsid w:val="003C6455"/>
    <w:rsid w:val="003C64A7"/>
    <w:rsid w:val="003C64AF"/>
    <w:rsid w:val="003C64DE"/>
    <w:rsid w:val="003C64E2"/>
    <w:rsid w:val="003C65B8"/>
    <w:rsid w:val="003C65F6"/>
    <w:rsid w:val="003C6612"/>
    <w:rsid w:val="003C6664"/>
    <w:rsid w:val="003C667E"/>
    <w:rsid w:val="003C66B9"/>
    <w:rsid w:val="003C6745"/>
    <w:rsid w:val="003C6758"/>
    <w:rsid w:val="003C6881"/>
    <w:rsid w:val="003C68BA"/>
    <w:rsid w:val="003C68E0"/>
    <w:rsid w:val="003C6944"/>
    <w:rsid w:val="003C697B"/>
    <w:rsid w:val="003C69AD"/>
    <w:rsid w:val="003C69DF"/>
    <w:rsid w:val="003C6A1B"/>
    <w:rsid w:val="003C6A39"/>
    <w:rsid w:val="003C6A83"/>
    <w:rsid w:val="003C6A8C"/>
    <w:rsid w:val="003C6ABC"/>
    <w:rsid w:val="003C6AD9"/>
    <w:rsid w:val="003C6B7B"/>
    <w:rsid w:val="003C6BF2"/>
    <w:rsid w:val="003C6C0A"/>
    <w:rsid w:val="003C6C30"/>
    <w:rsid w:val="003C6C3D"/>
    <w:rsid w:val="003C6DC0"/>
    <w:rsid w:val="003C6E4B"/>
    <w:rsid w:val="003C6E50"/>
    <w:rsid w:val="003C6E89"/>
    <w:rsid w:val="003C6EC2"/>
    <w:rsid w:val="003C6EE3"/>
    <w:rsid w:val="003C6FA8"/>
    <w:rsid w:val="003C6FB8"/>
    <w:rsid w:val="003C6FC8"/>
    <w:rsid w:val="003C6FCF"/>
    <w:rsid w:val="003C6FDC"/>
    <w:rsid w:val="003C6FE2"/>
    <w:rsid w:val="003C6FF1"/>
    <w:rsid w:val="003C7031"/>
    <w:rsid w:val="003C709E"/>
    <w:rsid w:val="003C70BA"/>
    <w:rsid w:val="003C710B"/>
    <w:rsid w:val="003C71D7"/>
    <w:rsid w:val="003C7259"/>
    <w:rsid w:val="003C729C"/>
    <w:rsid w:val="003C72C2"/>
    <w:rsid w:val="003C731F"/>
    <w:rsid w:val="003C7339"/>
    <w:rsid w:val="003C7361"/>
    <w:rsid w:val="003C737D"/>
    <w:rsid w:val="003C738D"/>
    <w:rsid w:val="003C7399"/>
    <w:rsid w:val="003C73E1"/>
    <w:rsid w:val="003C73FD"/>
    <w:rsid w:val="003C747F"/>
    <w:rsid w:val="003C74BD"/>
    <w:rsid w:val="003C7501"/>
    <w:rsid w:val="003C750F"/>
    <w:rsid w:val="003C7537"/>
    <w:rsid w:val="003C75EA"/>
    <w:rsid w:val="003C7638"/>
    <w:rsid w:val="003C763A"/>
    <w:rsid w:val="003C7655"/>
    <w:rsid w:val="003C7722"/>
    <w:rsid w:val="003C7742"/>
    <w:rsid w:val="003C7744"/>
    <w:rsid w:val="003C77B6"/>
    <w:rsid w:val="003C77C6"/>
    <w:rsid w:val="003C77E0"/>
    <w:rsid w:val="003C78B7"/>
    <w:rsid w:val="003C78D9"/>
    <w:rsid w:val="003C7934"/>
    <w:rsid w:val="003C7A08"/>
    <w:rsid w:val="003C7A97"/>
    <w:rsid w:val="003C7AD5"/>
    <w:rsid w:val="003C7AE0"/>
    <w:rsid w:val="003C7AED"/>
    <w:rsid w:val="003C7B0A"/>
    <w:rsid w:val="003C7B42"/>
    <w:rsid w:val="003C7B72"/>
    <w:rsid w:val="003C7BEA"/>
    <w:rsid w:val="003C7BFA"/>
    <w:rsid w:val="003C7C6B"/>
    <w:rsid w:val="003C7C72"/>
    <w:rsid w:val="003C7C83"/>
    <w:rsid w:val="003C7CB3"/>
    <w:rsid w:val="003C7CF4"/>
    <w:rsid w:val="003C7CFD"/>
    <w:rsid w:val="003C7DF5"/>
    <w:rsid w:val="003C7DF7"/>
    <w:rsid w:val="003C7E02"/>
    <w:rsid w:val="003C7E7C"/>
    <w:rsid w:val="003C7EB1"/>
    <w:rsid w:val="003C7EED"/>
    <w:rsid w:val="003C7EEF"/>
    <w:rsid w:val="003C7EF7"/>
    <w:rsid w:val="003C7EFA"/>
    <w:rsid w:val="003C7F20"/>
    <w:rsid w:val="003C7F67"/>
    <w:rsid w:val="003C7F8B"/>
    <w:rsid w:val="003C7F90"/>
    <w:rsid w:val="003C7FB7"/>
    <w:rsid w:val="003CAABD"/>
    <w:rsid w:val="003D0109"/>
    <w:rsid w:val="003D01A3"/>
    <w:rsid w:val="003D025C"/>
    <w:rsid w:val="003D02A5"/>
    <w:rsid w:val="003D02E8"/>
    <w:rsid w:val="003D0309"/>
    <w:rsid w:val="003D034B"/>
    <w:rsid w:val="003D035F"/>
    <w:rsid w:val="003D039D"/>
    <w:rsid w:val="003D039F"/>
    <w:rsid w:val="003D03CF"/>
    <w:rsid w:val="003D03D4"/>
    <w:rsid w:val="003D03FC"/>
    <w:rsid w:val="003D0408"/>
    <w:rsid w:val="003D0417"/>
    <w:rsid w:val="003D046A"/>
    <w:rsid w:val="003D047D"/>
    <w:rsid w:val="003D05EB"/>
    <w:rsid w:val="003D062F"/>
    <w:rsid w:val="003D069D"/>
    <w:rsid w:val="003D06CC"/>
    <w:rsid w:val="003D06F4"/>
    <w:rsid w:val="003D0714"/>
    <w:rsid w:val="003D0792"/>
    <w:rsid w:val="003D083A"/>
    <w:rsid w:val="003D088F"/>
    <w:rsid w:val="003D089F"/>
    <w:rsid w:val="003D092E"/>
    <w:rsid w:val="003D096D"/>
    <w:rsid w:val="003D0978"/>
    <w:rsid w:val="003D09C6"/>
    <w:rsid w:val="003D0A28"/>
    <w:rsid w:val="003D0A3E"/>
    <w:rsid w:val="003D0A45"/>
    <w:rsid w:val="003D0AF4"/>
    <w:rsid w:val="003D0B07"/>
    <w:rsid w:val="003D0B23"/>
    <w:rsid w:val="003D0B34"/>
    <w:rsid w:val="003D0B87"/>
    <w:rsid w:val="003D0C09"/>
    <w:rsid w:val="003D0C42"/>
    <w:rsid w:val="003D0C43"/>
    <w:rsid w:val="003D0C90"/>
    <w:rsid w:val="003D0C9B"/>
    <w:rsid w:val="003D0CAF"/>
    <w:rsid w:val="003D0CEB"/>
    <w:rsid w:val="003D0CEC"/>
    <w:rsid w:val="003D0D61"/>
    <w:rsid w:val="003D0D69"/>
    <w:rsid w:val="003D0E1F"/>
    <w:rsid w:val="003D0E5D"/>
    <w:rsid w:val="003D0EE3"/>
    <w:rsid w:val="003D0EEB"/>
    <w:rsid w:val="003D0F19"/>
    <w:rsid w:val="003D0F2C"/>
    <w:rsid w:val="003D0F7A"/>
    <w:rsid w:val="003D0F8D"/>
    <w:rsid w:val="003D0FF8"/>
    <w:rsid w:val="003D103E"/>
    <w:rsid w:val="003D1047"/>
    <w:rsid w:val="003D104C"/>
    <w:rsid w:val="003D1061"/>
    <w:rsid w:val="003D107B"/>
    <w:rsid w:val="003D1081"/>
    <w:rsid w:val="003D1089"/>
    <w:rsid w:val="003D1096"/>
    <w:rsid w:val="003D10B2"/>
    <w:rsid w:val="003D1128"/>
    <w:rsid w:val="003D1145"/>
    <w:rsid w:val="003D11A4"/>
    <w:rsid w:val="003D11CB"/>
    <w:rsid w:val="003D1217"/>
    <w:rsid w:val="003D1249"/>
    <w:rsid w:val="003D1298"/>
    <w:rsid w:val="003D132D"/>
    <w:rsid w:val="003D139F"/>
    <w:rsid w:val="003D13BD"/>
    <w:rsid w:val="003D13F0"/>
    <w:rsid w:val="003D1473"/>
    <w:rsid w:val="003D147D"/>
    <w:rsid w:val="003D14C5"/>
    <w:rsid w:val="003D1517"/>
    <w:rsid w:val="003D152C"/>
    <w:rsid w:val="003D165A"/>
    <w:rsid w:val="003D1669"/>
    <w:rsid w:val="003D168B"/>
    <w:rsid w:val="003D168D"/>
    <w:rsid w:val="003D1699"/>
    <w:rsid w:val="003D1758"/>
    <w:rsid w:val="003D179E"/>
    <w:rsid w:val="003D17A2"/>
    <w:rsid w:val="003D17C3"/>
    <w:rsid w:val="003D181E"/>
    <w:rsid w:val="003D1823"/>
    <w:rsid w:val="003D188A"/>
    <w:rsid w:val="003D18B7"/>
    <w:rsid w:val="003D18E4"/>
    <w:rsid w:val="003D18EC"/>
    <w:rsid w:val="003D190F"/>
    <w:rsid w:val="003D194B"/>
    <w:rsid w:val="003D199B"/>
    <w:rsid w:val="003D1A22"/>
    <w:rsid w:val="003D1A59"/>
    <w:rsid w:val="003D1A68"/>
    <w:rsid w:val="003D1A7D"/>
    <w:rsid w:val="003D1AF3"/>
    <w:rsid w:val="003D1BE3"/>
    <w:rsid w:val="003D1C34"/>
    <w:rsid w:val="003D1CCA"/>
    <w:rsid w:val="003D1CEA"/>
    <w:rsid w:val="003D1D2D"/>
    <w:rsid w:val="003D1DE1"/>
    <w:rsid w:val="003D1E04"/>
    <w:rsid w:val="003D1F3C"/>
    <w:rsid w:val="003D1F55"/>
    <w:rsid w:val="003D1F6D"/>
    <w:rsid w:val="003D1FAF"/>
    <w:rsid w:val="003D1FB7"/>
    <w:rsid w:val="003D1FB9"/>
    <w:rsid w:val="003D2021"/>
    <w:rsid w:val="003D2108"/>
    <w:rsid w:val="003D211F"/>
    <w:rsid w:val="003D2130"/>
    <w:rsid w:val="003D214C"/>
    <w:rsid w:val="003D2179"/>
    <w:rsid w:val="003D2187"/>
    <w:rsid w:val="003D2214"/>
    <w:rsid w:val="003D2234"/>
    <w:rsid w:val="003D2256"/>
    <w:rsid w:val="003D2285"/>
    <w:rsid w:val="003D2322"/>
    <w:rsid w:val="003D238D"/>
    <w:rsid w:val="003D2394"/>
    <w:rsid w:val="003D2441"/>
    <w:rsid w:val="003D2463"/>
    <w:rsid w:val="003D248A"/>
    <w:rsid w:val="003D24CB"/>
    <w:rsid w:val="003D2523"/>
    <w:rsid w:val="003D264D"/>
    <w:rsid w:val="003D267B"/>
    <w:rsid w:val="003D26D7"/>
    <w:rsid w:val="003D26FE"/>
    <w:rsid w:val="003D2722"/>
    <w:rsid w:val="003D2737"/>
    <w:rsid w:val="003D2784"/>
    <w:rsid w:val="003D27FB"/>
    <w:rsid w:val="003D2824"/>
    <w:rsid w:val="003D2826"/>
    <w:rsid w:val="003D2852"/>
    <w:rsid w:val="003D2858"/>
    <w:rsid w:val="003D2987"/>
    <w:rsid w:val="003D29B2"/>
    <w:rsid w:val="003D29D3"/>
    <w:rsid w:val="003D2A33"/>
    <w:rsid w:val="003D2A72"/>
    <w:rsid w:val="003D2A86"/>
    <w:rsid w:val="003D2AC3"/>
    <w:rsid w:val="003D2B2F"/>
    <w:rsid w:val="003D2B41"/>
    <w:rsid w:val="003D2BD0"/>
    <w:rsid w:val="003D2BD5"/>
    <w:rsid w:val="003D2C69"/>
    <w:rsid w:val="003D2C99"/>
    <w:rsid w:val="003D2CE3"/>
    <w:rsid w:val="003D2D7D"/>
    <w:rsid w:val="003D2D99"/>
    <w:rsid w:val="003D2D9E"/>
    <w:rsid w:val="003D2DDB"/>
    <w:rsid w:val="003D2DE2"/>
    <w:rsid w:val="003D2E3D"/>
    <w:rsid w:val="003D2EC7"/>
    <w:rsid w:val="003D2F2D"/>
    <w:rsid w:val="003D2F5E"/>
    <w:rsid w:val="003D2F6C"/>
    <w:rsid w:val="003D2FA3"/>
    <w:rsid w:val="003D2FBA"/>
    <w:rsid w:val="003D3008"/>
    <w:rsid w:val="003D30AA"/>
    <w:rsid w:val="003D30AC"/>
    <w:rsid w:val="003D30E5"/>
    <w:rsid w:val="003D3112"/>
    <w:rsid w:val="003D318B"/>
    <w:rsid w:val="003D31A7"/>
    <w:rsid w:val="003D31E4"/>
    <w:rsid w:val="003D32E4"/>
    <w:rsid w:val="003D3322"/>
    <w:rsid w:val="003D334B"/>
    <w:rsid w:val="003D3358"/>
    <w:rsid w:val="003D335C"/>
    <w:rsid w:val="003D3378"/>
    <w:rsid w:val="003D3381"/>
    <w:rsid w:val="003D33A8"/>
    <w:rsid w:val="003D33AB"/>
    <w:rsid w:val="003D33B8"/>
    <w:rsid w:val="003D342E"/>
    <w:rsid w:val="003D343F"/>
    <w:rsid w:val="003D3473"/>
    <w:rsid w:val="003D347A"/>
    <w:rsid w:val="003D347E"/>
    <w:rsid w:val="003D347F"/>
    <w:rsid w:val="003D3522"/>
    <w:rsid w:val="003D355F"/>
    <w:rsid w:val="003D35B3"/>
    <w:rsid w:val="003D35DA"/>
    <w:rsid w:val="003D35E1"/>
    <w:rsid w:val="003D3605"/>
    <w:rsid w:val="003D364D"/>
    <w:rsid w:val="003D3669"/>
    <w:rsid w:val="003D3676"/>
    <w:rsid w:val="003D374A"/>
    <w:rsid w:val="003D3752"/>
    <w:rsid w:val="003D377B"/>
    <w:rsid w:val="003D3806"/>
    <w:rsid w:val="003D3814"/>
    <w:rsid w:val="003D387E"/>
    <w:rsid w:val="003D396C"/>
    <w:rsid w:val="003D3A3E"/>
    <w:rsid w:val="003D3A57"/>
    <w:rsid w:val="003D3A6C"/>
    <w:rsid w:val="003D3AB6"/>
    <w:rsid w:val="003D3AC0"/>
    <w:rsid w:val="003D3B11"/>
    <w:rsid w:val="003D3B3D"/>
    <w:rsid w:val="003D3BC0"/>
    <w:rsid w:val="003D3BF0"/>
    <w:rsid w:val="003D3C50"/>
    <w:rsid w:val="003D3C64"/>
    <w:rsid w:val="003D3C75"/>
    <w:rsid w:val="003D3C97"/>
    <w:rsid w:val="003D3CB5"/>
    <w:rsid w:val="003D3CC8"/>
    <w:rsid w:val="003D3D41"/>
    <w:rsid w:val="003D3D50"/>
    <w:rsid w:val="003D3DBA"/>
    <w:rsid w:val="003D3DC2"/>
    <w:rsid w:val="003D3DC6"/>
    <w:rsid w:val="003D3DE7"/>
    <w:rsid w:val="003D3E13"/>
    <w:rsid w:val="003D3E16"/>
    <w:rsid w:val="003D3EA6"/>
    <w:rsid w:val="003D3EAB"/>
    <w:rsid w:val="003D3ED7"/>
    <w:rsid w:val="003D3EE1"/>
    <w:rsid w:val="003D3FA4"/>
    <w:rsid w:val="003D4004"/>
    <w:rsid w:val="003D4028"/>
    <w:rsid w:val="003D4042"/>
    <w:rsid w:val="003D4095"/>
    <w:rsid w:val="003D40E9"/>
    <w:rsid w:val="003D413C"/>
    <w:rsid w:val="003D416C"/>
    <w:rsid w:val="003D4171"/>
    <w:rsid w:val="003D4181"/>
    <w:rsid w:val="003D419C"/>
    <w:rsid w:val="003D41B3"/>
    <w:rsid w:val="003D424E"/>
    <w:rsid w:val="003D4273"/>
    <w:rsid w:val="003D42A2"/>
    <w:rsid w:val="003D42F4"/>
    <w:rsid w:val="003D4304"/>
    <w:rsid w:val="003D4305"/>
    <w:rsid w:val="003D4319"/>
    <w:rsid w:val="003D4324"/>
    <w:rsid w:val="003D434B"/>
    <w:rsid w:val="003D4389"/>
    <w:rsid w:val="003D439A"/>
    <w:rsid w:val="003D439C"/>
    <w:rsid w:val="003D43DF"/>
    <w:rsid w:val="003D4407"/>
    <w:rsid w:val="003D444D"/>
    <w:rsid w:val="003D446A"/>
    <w:rsid w:val="003D4493"/>
    <w:rsid w:val="003D4502"/>
    <w:rsid w:val="003D4566"/>
    <w:rsid w:val="003D46AC"/>
    <w:rsid w:val="003D46DB"/>
    <w:rsid w:val="003D46DF"/>
    <w:rsid w:val="003D475C"/>
    <w:rsid w:val="003D4777"/>
    <w:rsid w:val="003D4778"/>
    <w:rsid w:val="003D482C"/>
    <w:rsid w:val="003D482E"/>
    <w:rsid w:val="003D4883"/>
    <w:rsid w:val="003D4902"/>
    <w:rsid w:val="003D4944"/>
    <w:rsid w:val="003D4956"/>
    <w:rsid w:val="003D49A9"/>
    <w:rsid w:val="003D4A0A"/>
    <w:rsid w:val="003D4A44"/>
    <w:rsid w:val="003D4A65"/>
    <w:rsid w:val="003D4AA8"/>
    <w:rsid w:val="003D4ACD"/>
    <w:rsid w:val="003D4ADB"/>
    <w:rsid w:val="003D4AFD"/>
    <w:rsid w:val="003D4B0E"/>
    <w:rsid w:val="003D4B76"/>
    <w:rsid w:val="003D4BB3"/>
    <w:rsid w:val="003D4BE2"/>
    <w:rsid w:val="003D4C05"/>
    <w:rsid w:val="003D4C1F"/>
    <w:rsid w:val="003D4C68"/>
    <w:rsid w:val="003D4C9A"/>
    <w:rsid w:val="003D4CA5"/>
    <w:rsid w:val="003D4D3E"/>
    <w:rsid w:val="003D4D42"/>
    <w:rsid w:val="003D4D57"/>
    <w:rsid w:val="003D4D9F"/>
    <w:rsid w:val="003D4DBA"/>
    <w:rsid w:val="003D4E03"/>
    <w:rsid w:val="003D4E58"/>
    <w:rsid w:val="003D4E6B"/>
    <w:rsid w:val="003D4E82"/>
    <w:rsid w:val="003D4F14"/>
    <w:rsid w:val="003D4FA0"/>
    <w:rsid w:val="003D4FCE"/>
    <w:rsid w:val="003D4FD6"/>
    <w:rsid w:val="003D4FF6"/>
    <w:rsid w:val="003D501F"/>
    <w:rsid w:val="003D5045"/>
    <w:rsid w:val="003D5171"/>
    <w:rsid w:val="003D51A7"/>
    <w:rsid w:val="003D51B0"/>
    <w:rsid w:val="003D51BB"/>
    <w:rsid w:val="003D51F2"/>
    <w:rsid w:val="003D5202"/>
    <w:rsid w:val="003D5289"/>
    <w:rsid w:val="003D52CA"/>
    <w:rsid w:val="003D52D6"/>
    <w:rsid w:val="003D52F0"/>
    <w:rsid w:val="003D530F"/>
    <w:rsid w:val="003D532A"/>
    <w:rsid w:val="003D5349"/>
    <w:rsid w:val="003D534F"/>
    <w:rsid w:val="003D536C"/>
    <w:rsid w:val="003D53DA"/>
    <w:rsid w:val="003D546B"/>
    <w:rsid w:val="003D54A7"/>
    <w:rsid w:val="003D54BE"/>
    <w:rsid w:val="003D552B"/>
    <w:rsid w:val="003D553C"/>
    <w:rsid w:val="003D557F"/>
    <w:rsid w:val="003D55EB"/>
    <w:rsid w:val="003D5657"/>
    <w:rsid w:val="003D5697"/>
    <w:rsid w:val="003D56A7"/>
    <w:rsid w:val="003D56D2"/>
    <w:rsid w:val="003D5733"/>
    <w:rsid w:val="003D5739"/>
    <w:rsid w:val="003D5819"/>
    <w:rsid w:val="003D5839"/>
    <w:rsid w:val="003D5879"/>
    <w:rsid w:val="003D58D2"/>
    <w:rsid w:val="003D58D4"/>
    <w:rsid w:val="003D5989"/>
    <w:rsid w:val="003D5A01"/>
    <w:rsid w:val="003D5A38"/>
    <w:rsid w:val="003D5A3D"/>
    <w:rsid w:val="003D5A45"/>
    <w:rsid w:val="003D5A74"/>
    <w:rsid w:val="003D5ADF"/>
    <w:rsid w:val="003D5B4B"/>
    <w:rsid w:val="003D5C03"/>
    <w:rsid w:val="003D5C48"/>
    <w:rsid w:val="003D5CC4"/>
    <w:rsid w:val="003D5CDA"/>
    <w:rsid w:val="003D5D0F"/>
    <w:rsid w:val="003D5D3F"/>
    <w:rsid w:val="003D5D81"/>
    <w:rsid w:val="003D5DBB"/>
    <w:rsid w:val="003D5DD7"/>
    <w:rsid w:val="003D5E14"/>
    <w:rsid w:val="003D5E3E"/>
    <w:rsid w:val="003D5EBB"/>
    <w:rsid w:val="003D5EDF"/>
    <w:rsid w:val="003D5EE7"/>
    <w:rsid w:val="003D5FA1"/>
    <w:rsid w:val="003D5FDB"/>
    <w:rsid w:val="003D5FE7"/>
    <w:rsid w:val="003D5FF9"/>
    <w:rsid w:val="003D6009"/>
    <w:rsid w:val="003D6071"/>
    <w:rsid w:val="003D6073"/>
    <w:rsid w:val="003D607B"/>
    <w:rsid w:val="003D6094"/>
    <w:rsid w:val="003D60DE"/>
    <w:rsid w:val="003D60E4"/>
    <w:rsid w:val="003D6191"/>
    <w:rsid w:val="003D619B"/>
    <w:rsid w:val="003D61A4"/>
    <w:rsid w:val="003D61BE"/>
    <w:rsid w:val="003D61CD"/>
    <w:rsid w:val="003D622B"/>
    <w:rsid w:val="003D6263"/>
    <w:rsid w:val="003D6332"/>
    <w:rsid w:val="003D6339"/>
    <w:rsid w:val="003D633C"/>
    <w:rsid w:val="003D63BC"/>
    <w:rsid w:val="003D64A5"/>
    <w:rsid w:val="003D64FF"/>
    <w:rsid w:val="003D656B"/>
    <w:rsid w:val="003D660C"/>
    <w:rsid w:val="003D665D"/>
    <w:rsid w:val="003D6661"/>
    <w:rsid w:val="003D66F5"/>
    <w:rsid w:val="003D677B"/>
    <w:rsid w:val="003D67D5"/>
    <w:rsid w:val="003D6808"/>
    <w:rsid w:val="003D6904"/>
    <w:rsid w:val="003D6952"/>
    <w:rsid w:val="003D697C"/>
    <w:rsid w:val="003D69C2"/>
    <w:rsid w:val="003D6A07"/>
    <w:rsid w:val="003D6A16"/>
    <w:rsid w:val="003D6AC8"/>
    <w:rsid w:val="003D6B08"/>
    <w:rsid w:val="003D6B49"/>
    <w:rsid w:val="003D6B69"/>
    <w:rsid w:val="003D6BE4"/>
    <w:rsid w:val="003D6C37"/>
    <w:rsid w:val="003D6D14"/>
    <w:rsid w:val="003D6D78"/>
    <w:rsid w:val="003D6DAC"/>
    <w:rsid w:val="003D6DAD"/>
    <w:rsid w:val="003D6DF8"/>
    <w:rsid w:val="003D6E1A"/>
    <w:rsid w:val="003D6E38"/>
    <w:rsid w:val="003D6E94"/>
    <w:rsid w:val="003D6ECE"/>
    <w:rsid w:val="003D6EF5"/>
    <w:rsid w:val="003D6F24"/>
    <w:rsid w:val="003D6FB1"/>
    <w:rsid w:val="003D6FEC"/>
    <w:rsid w:val="003D6FFC"/>
    <w:rsid w:val="003D7063"/>
    <w:rsid w:val="003D7069"/>
    <w:rsid w:val="003D70A8"/>
    <w:rsid w:val="003D710A"/>
    <w:rsid w:val="003D7142"/>
    <w:rsid w:val="003D715E"/>
    <w:rsid w:val="003D7169"/>
    <w:rsid w:val="003D716D"/>
    <w:rsid w:val="003D71C5"/>
    <w:rsid w:val="003D7235"/>
    <w:rsid w:val="003D7238"/>
    <w:rsid w:val="003D7280"/>
    <w:rsid w:val="003D72F1"/>
    <w:rsid w:val="003D73B4"/>
    <w:rsid w:val="003D73BE"/>
    <w:rsid w:val="003D7407"/>
    <w:rsid w:val="003D742C"/>
    <w:rsid w:val="003D746D"/>
    <w:rsid w:val="003D747E"/>
    <w:rsid w:val="003D7495"/>
    <w:rsid w:val="003D751C"/>
    <w:rsid w:val="003D7544"/>
    <w:rsid w:val="003D7548"/>
    <w:rsid w:val="003D7552"/>
    <w:rsid w:val="003D763C"/>
    <w:rsid w:val="003D7646"/>
    <w:rsid w:val="003D7659"/>
    <w:rsid w:val="003D7696"/>
    <w:rsid w:val="003D7720"/>
    <w:rsid w:val="003D7741"/>
    <w:rsid w:val="003D77BD"/>
    <w:rsid w:val="003D77E3"/>
    <w:rsid w:val="003D780F"/>
    <w:rsid w:val="003D7895"/>
    <w:rsid w:val="003D78A9"/>
    <w:rsid w:val="003D790F"/>
    <w:rsid w:val="003D79B6"/>
    <w:rsid w:val="003D7B43"/>
    <w:rsid w:val="003D7B90"/>
    <w:rsid w:val="003D7B95"/>
    <w:rsid w:val="003D7BA1"/>
    <w:rsid w:val="003D7C65"/>
    <w:rsid w:val="003D7C79"/>
    <w:rsid w:val="003D7C84"/>
    <w:rsid w:val="003D7C99"/>
    <w:rsid w:val="003D7CC9"/>
    <w:rsid w:val="003D7CED"/>
    <w:rsid w:val="003D7D7E"/>
    <w:rsid w:val="003D7DE6"/>
    <w:rsid w:val="003D7E12"/>
    <w:rsid w:val="003D7E27"/>
    <w:rsid w:val="003D7E45"/>
    <w:rsid w:val="003D7E9B"/>
    <w:rsid w:val="003D7F12"/>
    <w:rsid w:val="003D7F74"/>
    <w:rsid w:val="003D7FB3"/>
    <w:rsid w:val="003D7FD0"/>
    <w:rsid w:val="003E0027"/>
    <w:rsid w:val="003E0089"/>
    <w:rsid w:val="003E00DB"/>
    <w:rsid w:val="003E0149"/>
    <w:rsid w:val="003E0150"/>
    <w:rsid w:val="003E017D"/>
    <w:rsid w:val="003E024E"/>
    <w:rsid w:val="003E02B0"/>
    <w:rsid w:val="003E02D2"/>
    <w:rsid w:val="003E02DF"/>
    <w:rsid w:val="003E034B"/>
    <w:rsid w:val="003E0398"/>
    <w:rsid w:val="003E03C8"/>
    <w:rsid w:val="003E03E7"/>
    <w:rsid w:val="003E0401"/>
    <w:rsid w:val="003E04FB"/>
    <w:rsid w:val="003E051A"/>
    <w:rsid w:val="003E0565"/>
    <w:rsid w:val="003E064A"/>
    <w:rsid w:val="003E0681"/>
    <w:rsid w:val="003E06AF"/>
    <w:rsid w:val="003E06DC"/>
    <w:rsid w:val="003E071F"/>
    <w:rsid w:val="003E0760"/>
    <w:rsid w:val="003E07A4"/>
    <w:rsid w:val="003E083A"/>
    <w:rsid w:val="003E0856"/>
    <w:rsid w:val="003E086E"/>
    <w:rsid w:val="003E08AB"/>
    <w:rsid w:val="003E08BC"/>
    <w:rsid w:val="003E08BF"/>
    <w:rsid w:val="003E0915"/>
    <w:rsid w:val="003E092D"/>
    <w:rsid w:val="003E09CE"/>
    <w:rsid w:val="003E0A8C"/>
    <w:rsid w:val="003E0B80"/>
    <w:rsid w:val="003E0BC3"/>
    <w:rsid w:val="003E0BD5"/>
    <w:rsid w:val="003E0C0E"/>
    <w:rsid w:val="003E0C12"/>
    <w:rsid w:val="003E0C18"/>
    <w:rsid w:val="003E0CA5"/>
    <w:rsid w:val="003E0CF3"/>
    <w:rsid w:val="003E0D2E"/>
    <w:rsid w:val="003E0D7B"/>
    <w:rsid w:val="003E0DB1"/>
    <w:rsid w:val="003E0DF9"/>
    <w:rsid w:val="003E0E21"/>
    <w:rsid w:val="003E0EBC"/>
    <w:rsid w:val="003E0F14"/>
    <w:rsid w:val="003E0F3D"/>
    <w:rsid w:val="003E0F67"/>
    <w:rsid w:val="003E0F8E"/>
    <w:rsid w:val="003E0FE2"/>
    <w:rsid w:val="003E0FEA"/>
    <w:rsid w:val="003E0FFA"/>
    <w:rsid w:val="003E1001"/>
    <w:rsid w:val="003E10BC"/>
    <w:rsid w:val="003E1198"/>
    <w:rsid w:val="003E11C1"/>
    <w:rsid w:val="003E120B"/>
    <w:rsid w:val="003E122B"/>
    <w:rsid w:val="003E123A"/>
    <w:rsid w:val="003E12FB"/>
    <w:rsid w:val="003E13D9"/>
    <w:rsid w:val="003E13EA"/>
    <w:rsid w:val="003E1445"/>
    <w:rsid w:val="003E1457"/>
    <w:rsid w:val="003E14AC"/>
    <w:rsid w:val="003E14B7"/>
    <w:rsid w:val="003E14C2"/>
    <w:rsid w:val="003E14FD"/>
    <w:rsid w:val="003E1540"/>
    <w:rsid w:val="003E1560"/>
    <w:rsid w:val="003E1587"/>
    <w:rsid w:val="003E1591"/>
    <w:rsid w:val="003E1593"/>
    <w:rsid w:val="003E15D2"/>
    <w:rsid w:val="003E15DD"/>
    <w:rsid w:val="003E15FB"/>
    <w:rsid w:val="003E161C"/>
    <w:rsid w:val="003E16F8"/>
    <w:rsid w:val="003E1702"/>
    <w:rsid w:val="003E1751"/>
    <w:rsid w:val="003E1764"/>
    <w:rsid w:val="003E17AF"/>
    <w:rsid w:val="003E17EB"/>
    <w:rsid w:val="003E17FF"/>
    <w:rsid w:val="003E1806"/>
    <w:rsid w:val="003E186D"/>
    <w:rsid w:val="003E18DC"/>
    <w:rsid w:val="003E18E0"/>
    <w:rsid w:val="003E18E2"/>
    <w:rsid w:val="003E18FF"/>
    <w:rsid w:val="003E191D"/>
    <w:rsid w:val="003E194E"/>
    <w:rsid w:val="003E1959"/>
    <w:rsid w:val="003E1991"/>
    <w:rsid w:val="003E1A19"/>
    <w:rsid w:val="003E1A66"/>
    <w:rsid w:val="003E1A91"/>
    <w:rsid w:val="003E1AB6"/>
    <w:rsid w:val="003E1B08"/>
    <w:rsid w:val="003E1B42"/>
    <w:rsid w:val="003E1B5D"/>
    <w:rsid w:val="003E1B72"/>
    <w:rsid w:val="003E1BB5"/>
    <w:rsid w:val="003E1C5F"/>
    <w:rsid w:val="003E1C70"/>
    <w:rsid w:val="003E1CA3"/>
    <w:rsid w:val="003E1CD8"/>
    <w:rsid w:val="003E1D47"/>
    <w:rsid w:val="003E1D49"/>
    <w:rsid w:val="003E1D61"/>
    <w:rsid w:val="003E1D75"/>
    <w:rsid w:val="003E1D7B"/>
    <w:rsid w:val="003E1DDF"/>
    <w:rsid w:val="003E1E5D"/>
    <w:rsid w:val="003E1E80"/>
    <w:rsid w:val="003E1EE9"/>
    <w:rsid w:val="003E1F90"/>
    <w:rsid w:val="003E1FAA"/>
    <w:rsid w:val="003E1FD0"/>
    <w:rsid w:val="003E1FEC"/>
    <w:rsid w:val="003E2022"/>
    <w:rsid w:val="003E202C"/>
    <w:rsid w:val="003E2083"/>
    <w:rsid w:val="003E2087"/>
    <w:rsid w:val="003E20CA"/>
    <w:rsid w:val="003E212F"/>
    <w:rsid w:val="003E2193"/>
    <w:rsid w:val="003E222F"/>
    <w:rsid w:val="003E227A"/>
    <w:rsid w:val="003E2293"/>
    <w:rsid w:val="003E23E2"/>
    <w:rsid w:val="003E2436"/>
    <w:rsid w:val="003E244F"/>
    <w:rsid w:val="003E24DE"/>
    <w:rsid w:val="003E24E3"/>
    <w:rsid w:val="003E24EC"/>
    <w:rsid w:val="003E251D"/>
    <w:rsid w:val="003E25D0"/>
    <w:rsid w:val="003E2603"/>
    <w:rsid w:val="003E262F"/>
    <w:rsid w:val="003E2657"/>
    <w:rsid w:val="003E2680"/>
    <w:rsid w:val="003E26A3"/>
    <w:rsid w:val="003E26D5"/>
    <w:rsid w:val="003E26DB"/>
    <w:rsid w:val="003E26FB"/>
    <w:rsid w:val="003E2710"/>
    <w:rsid w:val="003E2748"/>
    <w:rsid w:val="003E2774"/>
    <w:rsid w:val="003E27DB"/>
    <w:rsid w:val="003E2840"/>
    <w:rsid w:val="003E2867"/>
    <w:rsid w:val="003E287D"/>
    <w:rsid w:val="003E28D6"/>
    <w:rsid w:val="003E2963"/>
    <w:rsid w:val="003E2A5A"/>
    <w:rsid w:val="003E2A8E"/>
    <w:rsid w:val="003E2AA0"/>
    <w:rsid w:val="003E2AA1"/>
    <w:rsid w:val="003E2AAB"/>
    <w:rsid w:val="003E2B0C"/>
    <w:rsid w:val="003E2B15"/>
    <w:rsid w:val="003E2B18"/>
    <w:rsid w:val="003E2B5F"/>
    <w:rsid w:val="003E2B71"/>
    <w:rsid w:val="003E2B87"/>
    <w:rsid w:val="003E2BB3"/>
    <w:rsid w:val="003E2BF0"/>
    <w:rsid w:val="003E2C28"/>
    <w:rsid w:val="003E2C6E"/>
    <w:rsid w:val="003E2C7F"/>
    <w:rsid w:val="003E2C92"/>
    <w:rsid w:val="003E2CA2"/>
    <w:rsid w:val="003E2CA4"/>
    <w:rsid w:val="003E2CB6"/>
    <w:rsid w:val="003E2CB9"/>
    <w:rsid w:val="003E2CE6"/>
    <w:rsid w:val="003E2CFB"/>
    <w:rsid w:val="003E2D02"/>
    <w:rsid w:val="003E2D09"/>
    <w:rsid w:val="003E2D21"/>
    <w:rsid w:val="003E2D3B"/>
    <w:rsid w:val="003E2D8C"/>
    <w:rsid w:val="003E2DAE"/>
    <w:rsid w:val="003E2DF3"/>
    <w:rsid w:val="003E2E31"/>
    <w:rsid w:val="003E2EE9"/>
    <w:rsid w:val="003E2F87"/>
    <w:rsid w:val="003E3008"/>
    <w:rsid w:val="003E300B"/>
    <w:rsid w:val="003E3012"/>
    <w:rsid w:val="003E3027"/>
    <w:rsid w:val="003E302E"/>
    <w:rsid w:val="003E3044"/>
    <w:rsid w:val="003E30A5"/>
    <w:rsid w:val="003E30E2"/>
    <w:rsid w:val="003E30ED"/>
    <w:rsid w:val="003E30F8"/>
    <w:rsid w:val="003E31CE"/>
    <w:rsid w:val="003E31D7"/>
    <w:rsid w:val="003E31DD"/>
    <w:rsid w:val="003E31E8"/>
    <w:rsid w:val="003E3260"/>
    <w:rsid w:val="003E32A8"/>
    <w:rsid w:val="003E332F"/>
    <w:rsid w:val="003E3388"/>
    <w:rsid w:val="003E33A4"/>
    <w:rsid w:val="003E33DD"/>
    <w:rsid w:val="003E3400"/>
    <w:rsid w:val="003E346C"/>
    <w:rsid w:val="003E350D"/>
    <w:rsid w:val="003E3510"/>
    <w:rsid w:val="003E3559"/>
    <w:rsid w:val="003E3578"/>
    <w:rsid w:val="003E35CA"/>
    <w:rsid w:val="003E3636"/>
    <w:rsid w:val="003E367C"/>
    <w:rsid w:val="003E36F2"/>
    <w:rsid w:val="003E3717"/>
    <w:rsid w:val="003E378F"/>
    <w:rsid w:val="003E3796"/>
    <w:rsid w:val="003E37D4"/>
    <w:rsid w:val="003E37ED"/>
    <w:rsid w:val="003E383D"/>
    <w:rsid w:val="003E38D2"/>
    <w:rsid w:val="003E38F9"/>
    <w:rsid w:val="003E38FD"/>
    <w:rsid w:val="003E3935"/>
    <w:rsid w:val="003E3971"/>
    <w:rsid w:val="003E398B"/>
    <w:rsid w:val="003E39CC"/>
    <w:rsid w:val="003E39D8"/>
    <w:rsid w:val="003E39E4"/>
    <w:rsid w:val="003E39E7"/>
    <w:rsid w:val="003E39E8"/>
    <w:rsid w:val="003E3A5B"/>
    <w:rsid w:val="003E3A89"/>
    <w:rsid w:val="003E3AD4"/>
    <w:rsid w:val="003E3B4E"/>
    <w:rsid w:val="003E3B56"/>
    <w:rsid w:val="003E3B5C"/>
    <w:rsid w:val="003E3C51"/>
    <w:rsid w:val="003E3D23"/>
    <w:rsid w:val="003E3D99"/>
    <w:rsid w:val="003E3DCB"/>
    <w:rsid w:val="003E3DF5"/>
    <w:rsid w:val="003E3DFA"/>
    <w:rsid w:val="003E3E16"/>
    <w:rsid w:val="003E3E1F"/>
    <w:rsid w:val="003E3E3B"/>
    <w:rsid w:val="003E3EB1"/>
    <w:rsid w:val="003E3EE5"/>
    <w:rsid w:val="003E3F7B"/>
    <w:rsid w:val="003E3F9F"/>
    <w:rsid w:val="003E3FE3"/>
    <w:rsid w:val="003E3FEC"/>
    <w:rsid w:val="003E3FFD"/>
    <w:rsid w:val="003E403C"/>
    <w:rsid w:val="003E4068"/>
    <w:rsid w:val="003E4092"/>
    <w:rsid w:val="003E4098"/>
    <w:rsid w:val="003E40B5"/>
    <w:rsid w:val="003E4104"/>
    <w:rsid w:val="003E4131"/>
    <w:rsid w:val="003E41C3"/>
    <w:rsid w:val="003E41DF"/>
    <w:rsid w:val="003E41E9"/>
    <w:rsid w:val="003E4261"/>
    <w:rsid w:val="003E426E"/>
    <w:rsid w:val="003E4283"/>
    <w:rsid w:val="003E42BB"/>
    <w:rsid w:val="003E4316"/>
    <w:rsid w:val="003E431F"/>
    <w:rsid w:val="003E4369"/>
    <w:rsid w:val="003E439D"/>
    <w:rsid w:val="003E43AF"/>
    <w:rsid w:val="003E43BC"/>
    <w:rsid w:val="003E43D3"/>
    <w:rsid w:val="003E43E9"/>
    <w:rsid w:val="003E43FE"/>
    <w:rsid w:val="003E4426"/>
    <w:rsid w:val="003E442B"/>
    <w:rsid w:val="003E447D"/>
    <w:rsid w:val="003E44A3"/>
    <w:rsid w:val="003E44CD"/>
    <w:rsid w:val="003E451A"/>
    <w:rsid w:val="003E454A"/>
    <w:rsid w:val="003E45F5"/>
    <w:rsid w:val="003E4643"/>
    <w:rsid w:val="003E4678"/>
    <w:rsid w:val="003E46C6"/>
    <w:rsid w:val="003E46EE"/>
    <w:rsid w:val="003E476D"/>
    <w:rsid w:val="003E478E"/>
    <w:rsid w:val="003E47A0"/>
    <w:rsid w:val="003E481B"/>
    <w:rsid w:val="003E4827"/>
    <w:rsid w:val="003E48A1"/>
    <w:rsid w:val="003E4900"/>
    <w:rsid w:val="003E4953"/>
    <w:rsid w:val="003E497D"/>
    <w:rsid w:val="003E49B2"/>
    <w:rsid w:val="003E49B7"/>
    <w:rsid w:val="003E4A12"/>
    <w:rsid w:val="003E4A15"/>
    <w:rsid w:val="003E4A48"/>
    <w:rsid w:val="003E4AC1"/>
    <w:rsid w:val="003E4B61"/>
    <w:rsid w:val="003E4BBF"/>
    <w:rsid w:val="003E4BF8"/>
    <w:rsid w:val="003E4C28"/>
    <w:rsid w:val="003E4C4D"/>
    <w:rsid w:val="003E4C5A"/>
    <w:rsid w:val="003E4C5C"/>
    <w:rsid w:val="003E4C67"/>
    <w:rsid w:val="003E4CCC"/>
    <w:rsid w:val="003E4CFA"/>
    <w:rsid w:val="003E4D02"/>
    <w:rsid w:val="003E4D10"/>
    <w:rsid w:val="003E4D35"/>
    <w:rsid w:val="003E4D4A"/>
    <w:rsid w:val="003E4D7D"/>
    <w:rsid w:val="003E4DCB"/>
    <w:rsid w:val="003E4DDE"/>
    <w:rsid w:val="003E4DE2"/>
    <w:rsid w:val="003E4E65"/>
    <w:rsid w:val="003E4E9F"/>
    <w:rsid w:val="003E4EB7"/>
    <w:rsid w:val="003E4F21"/>
    <w:rsid w:val="003E4F2C"/>
    <w:rsid w:val="003E4FBA"/>
    <w:rsid w:val="003E4FC7"/>
    <w:rsid w:val="003E4FCA"/>
    <w:rsid w:val="003E4FFB"/>
    <w:rsid w:val="003E5043"/>
    <w:rsid w:val="003E5072"/>
    <w:rsid w:val="003E511A"/>
    <w:rsid w:val="003E512C"/>
    <w:rsid w:val="003E515B"/>
    <w:rsid w:val="003E528D"/>
    <w:rsid w:val="003E5293"/>
    <w:rsid w:val="003E52DB"/>
    <w:rsid w:val="003E5359"/>
    <w:rsid w:val="003E5382"/>
    <w:rsid w:val="003E53D1"/>
    <w:rsid w:val="003E53E3"/>
    <w:rsid w:val="003E5431"/>
    <w:rsid w:val="003E5439"/>
    <w:rsid w:val="003E5447"/>
    <w:rsid w:val="003E548D"/>
    <w:rsid w:val="003E54D8"/>
    <w:rsid w:val="003E55A8"/>
    <w:rsid w:val="003E562E"/>
    <w:rsid w:val="003E56CA"/>
    <w:rsid w:val="003E576D"/>
    <w:rsid w:val="003E577D"/>
    <w:rsid w:val="003E5798"/>
    <w:rsid w:val="003E57BB"/>
    <w:rsid w:val="003E581B"/>
    <w:rsid w:val="003E5874"/>
    <w:rsid w:val="003E5875"/>
    <w:rsid w:val="003E5878"/>
    <w:rsid w:val="003E58D1"/>
    <w:rsid w:val="003E5958"/>
    <w:rsid w:val="003E5986"/>
    <w:rsid w:val="003E59FB"/>
    <w:rsid w:val="003E5A17"/>
    <w:rsid w:val="003E5A74"/>
    <w:rsid w:val="003E5A7B"/>
    <w:rsid w:val="003E5A93"/>
    <w:rsid w:val="003E5AB5"/>
    <w:rsid w:val="003E5AC6"/>
    <w:rsid w:val="003E5B32"/>
    <w:rsid w:val="003E5B62"/>
    <w:rsid w:val="003E5BDC"/>
    <w:rsid w:val="003E5C5D"/>
    <w:rsid w:val="003E5C7F"/>
    <w:rsid w:val="003E5CC5"/>
    <w:rsid w:val="003E5D86"/>
    <w:rsid w:val="003E5DCB"/>
    <w:rsid w:val="003E5DDF"/>
    <w:rsid w:val="003E5DE2"/>
    <w:rsid w:val="003E5E0E"/>
    <w:rsid w:val="003E5E65"/>
    <w:rsid w:val="003E5E6F"/>
    <w:rsid w:val="003E5EBD"/>
    <w:rsid w:val="003E5ECF"/>
    <w:rsid w:val="003E5F06"/>
    <w:rsid w:val="003E5F12"/>
    <w:rsid w:val="003E5F5A"/>
    <w:rsid w:val="003E5F6B"/>
    <w:rsid w:val="003E5F9C"/>
    <w:rsid w:val="003E604F"/>
    <w:rsid w:val="003E6088"/>
    <w:rsid w:val="003E6096"/>
    <w:rsid w:val="003E60B1"/>
    <w:rsid w:val="003E60C3"/>
    <w:rsid w:val="003E6109"/>
    <w:rsid w:val="003E6177"/>
    <w:rsid w:val="003E61B3"/>
    <w:rsid w:val="003E62D4"/>
    <w:rsid w:val="003E6411"/>
    <w:rsid w:val="003E6490"/>
    <w:rsid w:val="003E64CF"/>
    <w:rsid w:val="003E64D4"/>
    <w:rsid w:val="003E6502"/>
    <w:rsid w:val="003E6520"/>
    <w:rsid w:val="003E6527"/>
    <w:rsid w:val="003E657E"/>
    <w:rsid w:val="003E65D7"/>
    <w:rsid w:val="003E6645"/>
    <w:rsid w:val="003E667B"/>
    <w:rsid w:val="003E667F"/>
    <w:rsid w:val="003E66F2"/>
    <w:rsid w:val="003E670B"/>
    <w:rsid w:val="003E6717"/>
    <w:rsid w:val="003E678F"/>
    <w:rsid w:val="003E67B5"/>
    <w:rsid w:val="003E68A0"/>
    <w:rsid w:val="003E68C6"/>
    <w:rsid w:val="003E6921"/>
    <w:rsid w:val="003E69A1"/>
    <w:rsid w:val="003E6A33"/>
    <w:rsid w:val="003E6A48"/>
    <w:rsid w:val="003E6ABC"/>
    <w:rsid w:val="003E6B17"/>
    <w:rsid w:val="003E6B35"/>
    <w:rsid w:val="003E6B7A"/>
    <w:rsid w:val="003E6C29"/>
    <w:rsid w:val="003E6C70"/>
    <w:rsid w:val="003E6CC1"/>
    <w:rsid w:val="003E6CEF"/>
    <w:rsid w:val="003E6CFB"/>
    <w:rsid w:val="003E6D80"/>
    <w:rsid w:val="003E6D82"/>
    <w:rsid w:val="003E6E02"/>
    <w:rsid w:val="003E6E46"/>
    <w:rsid w:val="003E6E83"/>
    <w:rsid w:val="003E6EB4"/>
    <w:rsid w:val="003E6ED4"/>
    <w:rsid w:val="003E6F96"/>
    <w:rsid w:val="003E6FA7"/>
    <w:rsid w:val="003E6FBE"/>
    <w:rsid w:val="003E7077"/>
    <w:rsid w:val="003E7099"/>
    <w:rsid w:val="003E7183"/>
    <w:rsid w:val="003E71D6"/>
    <w:rsid w:val="003E724C"/>
    <w:rsid w:val="003E72EE"/>
    <w:rsid w:val="003E7375"/>
    <w:rsid w:val="003E739A"/>
    <w:rsid w:val="003E73A2"/>
    <w:rsid w:val="003E73B6"/>
    <w:rsid w:val="003E743B"/>
    <w:rsid w:val="003E7450"/>
    <w:rsid w:val="003E7472"/>
    <w:rsid w:val="003E74AB"/>
    <w:rsid w:val="003E74C1"/>
    <w:rsid w:val="003E7531"/>
    <w:rsid w:val="003E7546"/>
    <w:rsid w:val="003E754C"/>
    <w:rsid w:val="003E7555"/>
    <w:rsid w:val="003E759A"/>
    <w:rsid w:val="003E75B7"/>
    <w:rsid w:val="003E75C8"/>
    <w:rsid w:val="003E75CA"/>
    <w:rsid w:val="003E7604"/>
    <w:rsid w:val="003E766B"/>
    <w:rsid w:val="003E767F"/>
    <w:rsid w:val="003E76AB"/>
    <w:rsid w:val="003E76AC"/>
    <w:rsid w:val="003E76DB"/>
    <w:rsid w:val="003E7704"/>
    <w:rsid w:val="003E772D"/>
    <w:rsid w:val="003E778E"/>
    <w:rsid w:val="003E7832"/>
    <w:rsid w:val="003E7839"/>
    <w:rsid w:val="003E784D"/>
    <w:rsid w:val="003E7869"/>
    <w:rsid w:val="003E79A1"/>
    <w:rsid w:val="003E7A17"/>
    <w:rsid w:val="003E7A3E"/>
    <w:rsid w:val="003E7AAA"/>
    <w:rsid w:val="003E7B2C"/>
    <w:rsid w:val="003E7B3F"/>
    <w:rsid w:val="003E7B4E"/>
    <w:rsid w:val="003E7BE8"/>
    <w:rsid w:val="003E7C57"/>
    <w:rsid w:val="003E7C64"/>
    <w:rsid w:val="003E7C9C"/>
    <w:rsid w:val="003E7D56"/>
    <w:rsid w:val="003E7DCB"/>
    <w:rsid w:val="003E7DD0"/>
    <w:rsid w:val="003E7E0A"/>
    <w:rsid w:val="003E7E20"/>
    <w:rsid w:val="003E7E22"/>
    <w:rsid w:val="003E7EC8"/>
    <w:rsid w:val="003E7ED5"/>
    <w:rsid w:val="003F0005"/>
    <w:rsid w:val="003F0010"/>
    <w:rsid w:val="003F0015"/>
    <w:rsid w:val="003F0016"/>
    <w:rsid w:val="003F001A"/>
    <w:rsid w:val="003F0069"/>
    <w:rsid w:val="003F00E5"/>
    <w:rsid w:val="003F012E"/>
    <w:rsid w:val="003F0166"/>
    <w:rsid w:val="003F01CE"/>
    <w:rsid w:val="003F0216"/>
    <w:rsid w:val="003F0225"/>
    <w:rsid w:val="003F025D"/>
    <w:rsid w:val="003F026A"/>
    <w:rsid w:val="003F028D"/>
    <w:rsid w:val="003F02BE"/>
    <w:rsid w:val="003F02DB"/>
    <w:rsid w:val="003F030C"/>
    <w:rsid w:val="003F0360"/>
    <w:rsid w:val="003F03A6"/>
    <w:rsid w:val="003F03F8"/>
    <w:rsid w:val="003F0419"/>
    <w:rsid w:val="003F0467"/>
    <w:rsid w:val="003F046F"/>
    <w:rsid w:val="003F04CE"/>
    <w:rsid w:val="003F051C"/>
    <w:rsid w:val="003F0549"/>
    <w:rsid w:val="003F057A"/>
    <w:rsid w:val="003F05A1"/>
    <w:rsid w:val="003F0664"/>
    <w:rsid w:val="003F06A3"/>
    <w:rsid w:val="003F06C3"/>
    <w:rsid w:val="003F06DB"/>
    <w:rsid w:val="003F0776"/>
    <w:rsid w:val="003F077E"/>
    <w:rsid w:val="003F07E8"/>
    <w:rsid w:val="003F08B3"/>
    <w:rsid w:val="003F08DF"/>
    <w:rsid w:val="003F092E"/>
    <w:rsid w:val="003F0934"/>
    <w:rsid w:val="003F0937"/>
    <w:rsid w:val="003F094F"/>
    <w:rsid w:val="003F0962"/>
    <w:rsid w:val="003F09A4"/>
    <w:rsid w:val="003F09AF"/>
    <w:rsid w:val="003F09E2"/>
    <w:rsid w:val="003F0A25"/>
    <w:rsid w:val="003F0A35"/>
    <w:rsid w:val="003F0A37"/>
    <w:rsid w:val="003F0A5C"/>
    <w:rsid w:val="003F0A6B"/>
    <w:rsid w:val="003F0A99"/>
    <w:rsid w:val="003F0C41"/>
    <w:rsid w:val="003F0C6E"/>
    <w:rsid w:val="003F0C75"/>
    <w:rsid w:val="003F0C94"/>
    <w:rsid w:val="003F0CB3"/>
    <w:rsid w:val="003F0CD5"/>
    <w:rsid w:val="003F0CDA"/>
    <w:rsid w:val="003F0CF2"/>
    <w:rsid w:val="003F0CFE"/>
    <w:rsid w:val="003F0D7C"/>
    <w:rsid w:val="003F0EE4"/>
    <w:rsid w:val="003F0F6F"/>
    <w:rsid w:val="003F0FAE"/>
    <w:rsid w:val="003F1033"/>
    <w:rsid w:val="003F105D"/>
    <w:rsid w:val="003F109A"/>
    <w:rsid w:val="003F10AB"/>
    <w:rsid w:val="003F10DF"/>
    <w:rsid w:val="003F10EE"/>
    <w:rsid w:val="003F1138"/>
    <w:rsid w:val="003F1176"/>
    <w:rsid w:val="003F125A"/>
    <w:rsid w:val="003F1266"/>
    <w:rsid w:val="003F129B"/>
    <w:rsid w:val="003F12A1"/>
    <w:rsid w:val="003F12E7"/>
    <w:rsid w:val="003F132E"/>
    <w:rsid w:val="003F1338"/>
    <w:rsid w:val="003F134D"/>
    <w:rsid w:val="003F1359"/>
    <w:rsid w:val="003F1409"/>
    <w:rsid w:val="003F146C"/>
    <w:rsid w:val="003F1498"/>
    <w:rsid w:val="003F14D9"/>
    <w:rsid w:val="003F1527"/>
    <w:rsid w:val="003F1529"/>
    <w:rsid w:val="003F152B"/>
    <w:rsid w:val="003F1541"/>
    <w:rsid w:val="003F1575"/>
    <w:rsid w:val="003F15CA"/>
    <w:rsid w:val="003F15FB"/>
    <w:rsid w:val="003F162B"/>
    <w:rsid w:val="003F1656"/>
    <w:rsid w:val="003F167D"/>
    <w:rsid w:val="003F1757"/>
    <w:rsid w:val="003F17E3"/>
    <w:rsid w:val="003F17FB"/>
    <w:rsid w:val="003F18A9"/>
    <w:rsid w:val="003F19C8"/>
    <w:rsid w:val="003F19F8"/>
    <w:rsid w:val="003F1A43"/>
    <w:rsid w:val="003F1A82"/>
    <w:rsid w:val="003F1AAF"/>
    <w:rsid w:val="003F1B4F"/>
    <w:rsid w:val="003F1B62"/>
    <w:rsid w:val="003F1BA8"/>
    <w:rsid w:val="003F1BB8"/>
    <w:rsid w:val="003F1BF7"/>
    <w:rsid w:val="003F1C0E"/>
    <w:rsid w:val="003F1C1C"/>
    <w:rsid w:val="003F1CC6"/>
    <w:rsid w:val="003F1CD0"/>
    <w:rsid w:val="003F1CF5"/>
    <w:rsid w:val="003F1D41"/>
    <w:rsid w:val="003F1DA7"/>
    <w:rsid w:val="003F1DCD"/>
    <w:rsid w:val="003F1E2D"/>
    <w:rsid w:val="003F1E91"/>
    <w:rsid w:val="003F1EA2"/>
    <w:rsid w:val="003F1F37"/>
    <w:rsid w:val="003F1FFC"/>
    <w:rsid w:val="003F20BC"/>
    <w:rsid w:val="003F20E8"/>
    <w:rsid w:val="003F20FA"/>
    <w:rsid w:val="003F214B"/>
    <w:rsid w:val="003F215C"/>
    <w:rsid w:val="003F2184"/>
    <w:rsid w:val="003F21B3"/>
    <w:rsid w:val="003F21C0"/>
    <w:rsid w:val="003F21CD"/>
    <w:rsid w:val="003F21E4"/>
    <w:rsid w:val="003F2251"/>
    <w:rsid w:val="003F2273"/>
    <w:rsid w:val="003F22A4"/>
    <w:rsid w:val="003F22C3"/>
    <w:rsid w:val="003F2370"/>
    <w:rsid w:val="003F241A"/>
    <w:rsid w:val="003F2624"/>
    <w:rsid w:val="003F2630"/>
    <w:rsid w:val="003F268C"/>
    <w:rsid w:val="003F270F"/>
    <w:rsid w:val="003F273C"/>
    <w:rsid w:val="003F274E"/>
    <w:rsid w:val="003F275D"/>
    <w:rsid w:val="003F277D"/>
    <w:rsid w:val="003F27AE"/>
    <w:rsid w:val="003F27D3"/>
    <w:rsid w:val="003F27F3"/>
    <w:rsid w:val="003F28E0"/>
    <w:rsid w:val="003F2943"/>
    <w:rsid w:val="003F295C"/>
    <w:rsid w:val="003F2987"/>
    <w:rsid w:val="003F299F"/>
    <w:rsid w:val="003F29BE"/>
    <w:rsid w:val="003F2A25"/>
    <w:rsid w:val="003F2B09"/>
    <w:rsid w:val="003F2B0B"/>
    <w:rsid w:val="003F2B18"/>
    <w:rsid w:val="003F2B4B"/>
    <w:rsid w:val="003F2BD4"/>
    <w:rsid w:val="003F2C1E"/>
    <w:rsid w:val="003F2C25"/>
    <w:rsid w:val="003F2C82"/>
    <w:rsid w:val="003F2C9A"/>
    <w:rsid w:val="003F2D06"/>
    <w:rsid w:val="003F2D26"/>
    <w:rsid w:val="003F2D93"/>
    <w:rsid w:val="003F2D9E"/>
    <w:rsid w:val="003F2DCC"/>
    <w:rsid w:val="003F2E12"/>
    <w:rsid w:val="003F2EC7"/>
    <w:rsid w:val="003F2ED9"/>
    <w:rsid w:val="003F2F05"/>
    <w:rsid w:val="003F2F2D"/>
    <w:rsid w:val="003F2F48"/>
    <w:rsid w:val="003F2FAA"/>
    <w:rsid w:val="003F2FBB"/>
    <w:rsid w:val="003F2FCB"/>
    <w:rsid w:val="003F3041"/>
    <w:rsid w:val="003F3077"/>
    <w:rsid w:val="003F3079"/>
    <w:rsid w:val="003F3082"/>
    <w:rsid w:val="003F3097"/>
    <w:rsid w:val="003F3138"/>
    <w:rsid w:val="003F31AC"/>
    <w:rsid w:val="003F31F8"/>
    <w:rsid w:val="003F3279"/>
    <w:rsid w:val="003F327E"/>
    <w:rsid w:val="003F328E"/>
    <w:rsid w:val="003F32D6"/>
    <w:rsid w:val="003F32E3"/>
    <w:rsid w:val="003F3316"/>
    <w:rsid w:val="003F3341"/>
    <w:rsid w:val="003F3388"/>
    <w:rsid w:val="003F33A0"/>
    <w:rsid w:val="003F33CE"/>
    <w:rsid w:val="003F33DC"/>
    <w:rsid w:val="003F33DF"/>
    <w:rsid w:val="003F3451"/>
    <w:rsid w:val="003F3474"/>
    <w:rsid w:val="003F3475"/>
    <w:rsid w:val="003F3490"/>
    <w:rsid w:val="003F3514"/>
    <w:rsid w:val="003F35AA"/>
    <w:rsid w:val="003F35BA"/>
    <w:rsid w:val="003F35DB"/>
    <w:rsid w:val="003F368D"/>
    <w:rsid w:val="003F36AF"/>
    <w:rsid w:val="003F36CA"/>
    <w:rsid w:val="003F3724"/>
    <w:rsid w:val="003F3769"/>
    <w:rsid w:val="003F3816"/>
    <w:rsid w:val="003F3865"/>
    <w:rsid w:val="003F3945"/>
    <w:rsid w:val="003F39A3"/>
    <w:rsid w:val="003F39C0"/>
    <w:rsid w:val="003F3A7B"/>
    <w:rsid w:val="003F3A83"/>
    <w:rsid w:val="003F3AC7"/>
    <w:rsid w:val="003F3B03"/>
    <w:rsid w:val="003F3B4A"/>
    <w:rsid w:val="003F3BAE"/>
    <w:rsid w:val="003F3C71"/>
    <w:rsid w:val="003F3CD9"/>
    <w:rsid w:val="003F3CF4"/>
    <w:rsid w:val="003F3D23"/>
    <w:rsid w:val="003F3DD7"/>
    <w:rsid w:val="003F3E0C"/>
    <w:rsid w:val="003F3E11"/>
    <w:rsid w:val="003F3ECA"/>
    <w:rsid w:val="003F3F06"/>
    <w:rsid w:val="003F3F40"/>
    <w:rsid w:val="003F3F55"/>
    <w:rsid w:val="003F3F61"/>
    <w:rsid w:val="003F3F91"/>
    <w:rsid w:val="003F3FDF"/>
    <w:rsid w:val="003F4045"/>
    <w:rsid w:val="003F404C"/>
    <w:rsid w:val="003F4051"/>
    <w:rsid w:val="003F4063"/>
    <w:rsid w:val="003F4068"/>
    <w:rsid w:val="003F4087"/>
    <w:rsid w:val="003F408B"/>
    <w:rsid w:val="003F409A"/>
    <w:rsid w:val="003F40B8"/>
    <w:rsid w:val="003F40F3"/>
    <w:rsid w:val="003F411C"/>
    <w:rsid w:val="003F417F"/>
    <w:rsid w:val="003F41CA"/>
    <w:rsid w:val="003F41DF"/>
    <w:rsid w:val="003F420B"/>
    <w:rsid w:val="003F42B8"/>
    <w:rsid w:val="003F4350"/>
    <w:rsid w:val="003F4354"/>
    <w:rsid w:val="003F4380"/>
    <w:rsid w:val="003F4474"/>
    <w:rsid w:val="003F454D"/>
    <w:rsid w:val="003F4567"/>
    <w:rsid w:val="003F45F6"/>
    <w:rsid w:val="003F463D"/>
    <w:rsid w:val="003F466E"/>
    <w:rsid w:val="003F4718"/>
    <w:rsid w:val="003F477E"/>
    <w:rsid w:val="003F4782"/>
    <w:rsid w:val="003F479E"/>
    <w:rsid w:val="003F4830"/>
    <w:rsid w:val="003F4872"/>
    <w:rsid w:val="003F4889"/>
    <w:rsid w:val="003F48A2"/>
    <w:rsid w:val="003F4982"/>
    <w:rsid w:val="003F49AE"/>
    <w:rsid w:val="003F49F4"/>
    <w:rsid w:val="003F4A28"/>
    <w:rsid w:val="003F4A4A"/>
    <w:rsid w:val="003F4A79"/>
    <w:rsid w:val="003F4A8A"/>
    <w:rsid w:val="003F4AAB"/>
    <w:rsid w:val="003F4AC7"/>
    <w:rsid w:val="003F4ADF"/>
    <w:rsid w:val="003F4BC7"/>
    <w:rsid w:val="003F4BCA"/>
    <w:rsid w:val="003F4BCE"/>
    <w:rsid w:val="003F4BEB"/>
    <w:rsid w:val="003F4BEF"/>
    <w:rsid w:val="003F4C5F"/>
    <w:rsid w:val="003F4D0D"/>
    <w:rsid w:val="003F4D4A"/>
    <w:rsid w:val="003F4DD2"/>
    <w:rsid w:val="003F4DEE"/>
    <w:rsid w:val="003F4DF8"/>
    <w:rsid w:val="003F4DF9"/>
    <w:rsid w:val="003F4E52"/>
    <w:rsid w:val="003F4EAD"/>
    <w:rsid w:val="003F4EF8"/>
    <w:rsid w:val="003F4F0B"/>
    <w:rsid w:val="003F4F55"/>
    <w:rsid w:val="003F4F71"/>
    <w:rsid w:val="003F4FA1"/>
    <w:rsid w:val="003F5029"/>
    <w:rsid w:val="003F5092"/>
    <w:rsid w:val="003F50B5"/>
    <w:rsid w:val="003F51A8"/>
    <w:rsid w:val="003F51F8"/>
    <w:rsid w:val="003F528D"/>
    <w:rsid w:val="003F52A4"/>
    <w:rsid w:val="003F52B7"/>
    <w:rsid w:val="003F52C9"/>
    <w:rsid w:val="003F52E6"/>
    <w:rsid w:val="003F5301"/>
    <w:rsid w:val="003F531E"/>
    <w:rsid w:val="003F532E"/>
    <w:rsid w:val="003F5335"/>
    <w:rsid w:val="003F5379"/>
    <w:rsid w:val="003F53E8"/>
    <w:rsid w:val="003F544B"/>
    <w:rsid w:val="003F545B"/>
    <w:rsid w:val="003F5474"/>
    <w:rsid w:val="003F54BE"/>
    <w:rsid w:val="003F54E9"/>
    <w:rsid w:val="003F559D"/>
    <w:rsid w:val="003F5676"/>
    <w:rsid w:val="003F56D1"/>
    <w:rsid w:val="003F5742"/>
    <w:rsid w:val="003F57B1"/>
    <w:rsid w:val="003F57BE"/>
    <w:rsid w:val="003F5901"/>
    <w:rsid w:val="003F593D"/>
    <w:rsid w:val="003F5940"/>
    <w:rsid w:val="003F595C"/>
    <w:rsid w:val="003F5998"/>
    <w:rsid w:val="003F59F4"/>
    <w:rsid w:val="003F5ACD"/>
    <w:rsid w:val="003F5AD6"/>
    <w:rsid w:val="003F5B53"/>
    <w:rsid w:val="003F5B90"/>
    <w:rsid w:val="003F5BD4"/>
    <w:rsid w:val="003F5BE5"/>
    <w:rsid w:val="003F5C96"/>
    <w:rsid w:val="003F5CBF"/>
    <w:rsid w:val="003F5CD0"/>
    <w:rsid w:val="003F5D22"/>
    <w:rsid w:val="003F5DB9"/>
    <w:rsid w:val="003F5DFF"/>
    <w:rsid w:val="003F5EC2"/>
    <w:rsid w:val="003F5EDB"/>
    <w:rsid w:val="003F5EE6"/>
    <w:rsid w:val="003F5F06"/>
    <w:rsid w:val="003F5F4C"/>
    <w:rsid w:val="003F5FA4"/>
    <w:rsid w:val="003F5FD5"/>
    <w:rsid w:val="003F6014"/>
    <w:rsid w:val="003F606F"/>
    <w:rsid w:val="003F6074"/>
    <w:rsid w:val="003F608C"/>
    <w:rsid w:val="003F608F"/>
    <w:rsid w:val="003F60CC"/>
    <w:rsid w:val="003F60EF"/>
    <w:rsid w:val="003F6109"/>
    <w:rsid w:val="003F612E"/>
    <w:rsid w:val="003F613B"/>
    <w:rsid w:val="003F61A3"/>
    <w:rsid w:val="003F61C7"/>
    <w:rsid w:val="003F620F"/>
    <w:rsid w:val="003F6258"/>
    <w:rsid w:val="003F6380"/>
    <w:rsid w:val="003F63DC"/>
    <w:rsid w:val="003F63DD"/>
    <w:rsid w:val="003F6441"/>
    <w:rsid w:val="003F6456"/>
    <w:rsid w:val="003F645F"/>
    <w:rsid w:val="003F64AA"/>
    <w:rsid w:val="003F64C7"/>
    <w:rsid w:val="003F6540"/>
    <w:rsid w:val="003F6557"/>
    <w:rsid w:val="003F657A"/>
    <w:rsid w:val="003F65D4"/>
    <w:rsid w:val="003F65DA"/>
    <w:rsid w:val="003F65DC"/>
    <w:rsid w:val="003F6615"/>
    <w:rsid w:val="003F6643"/>
    <w:rsid w:val="003F6658"/>
    <w:rsid w:val="003F6669"/>
    <w:rsid w:val="003F66B2"/>
    <w:rsid w:val="003F66ED"/>
    <w:rsid w:val="003F675A"/>
    <w:rsid w:val="003F6773"/>
    <w:rsid w:val="003F678C"/>
    <w:rsid w:val="003F67B6"/>
    <w:rsid w:val="003F6896"/>
    <w:rsid w:val="003F68CA"/>
    <w:rsid w:val="003F68E3"/>
    <w:rsid w:val="003F6999"/>
    <w:rsid w:val="003F699B"/>
    <w:rsid w:val="003F6A34"/>
    <w:rsid w:val="003F6A40"/>
    <w:rsid w:val="003F6A57"/>
    <w:rsid w:val="003F6A6E"/>
    <w:rsid w:val="003F6A6F"/>
    <w:rsid w:val="003F6A73"/>
    <w:rsid w:val="003F6ACE"/>
    <w:rsid w:val="003F6AF8"/>
    <w:rsid w:val="003F6B0D"/>
    <w:rsid w:val="003F6B54"/>
    <w:rsid w:val="003F6B69"/>
    <w:rsid w:val="003F6BC7"/>
    <w:rsid w:val="003F6C46"/>
    <w:rsid w:val="003F6C7F"/>
    <w:rsid w:val="003F6CD7"/>
    <w:rsid w:val="003F6CE8"/>
    <w:rsid w:val="003F6CFD"/>
    <w:rsid w:val="003F6D07"/>
    <w:rsid w:val="003F6DA9"/>
    <w:rsid w:val="003F6DC3"/>
    <w:rsid w:val="003F6DCC"/>
    <w:rsid w:val="003F6E1F"/>
    <w:rsid w:val="003F6E63"/>
    <w:rsid w:val="003F6E9C"/>
    <w:rsid w:val="003F6EAF"/>
    <w:rsid w:val="003F6F2A"/>
    <w:rsid w:val="003F6F2C"/>
    <w:rsid w:val="003F6F8F"/>
    <w:rsid w:val="003F6FBA"/>
    <w:rsid w:val="003F6FCC"/>
    <w:rsid w:val="003F6FF3"/>
    <w:rsid w:val="003F7016"/>
    <w:rsid w:val="003F7024"/>
    <w:rsid w:val="003F7025"/>
    <w:rsid w:val="003F7032"/>
    <w:rsid w:val="003F704A"/>
    <w:rsid w:val="003F707A"/>
    <w:rsid w:val="003F70BB"/>
    <w:rsid w:val="003F70D7"/>
    <w:rsid w:val="003F71EB"/>
    <w:rsid w:val="003F7220"/>
    <w:rsid w:val="003F726A"/>
    <w:rsid w:val="003F727B"/>
    <w:rsid w:val="003F72A1"/>
    <w:rsid w:val="003F72AB"/>
    <w:rsid w:val="003F72BF"/>
    <w:rsid w:val="003F72F5"/>
    <w:rsid w:val="003F731B"/>
    <w:rsid w:val="003F73F2"/>
    <w:rsid w:val="003F746A"/>
    <w:rsid w:val="003F74C5"/>
    <w:rsid w:val="003F750A"/>
    <w:rsid w:val="003F7523"/>
    <w:rsid w:val="003F7545"/>
    <w:rsid w:val="003F75A9"/>
    <w:rsid w:val="003F75B2"/>
    <w:rsid w:val="003F75B3"/>
    <w:rsid w:val="003F7617"/>
    <w:rsid w:val="003F7671"/>
    <w:rsid w:val="003F76F3"/>
    <w:rsid w:val="003F7741"/>
    <w:rsid w:val="003F7792"/>
    <w:rsid w:val="003F780B"/>
    <w:rsid w:val="003F785C"/>
    <w:rsid w:val="003F787B"/>
    <w:rsid w:val="003F78B7"/>
    <w:rsid w:val="003F7902"/>
    <w:rsid w:val="003F790D"/>
    <w:rsid w:val="003F792D"/>
    <w:rsid w:val="003F7981"/>
    <w:rsid w:val="003F7987"/>
    <w:rsid w:val="003F79DD"/>
    <w:rsid w:val="003F7A36"/>
    <w:rsid w:val="003F7A5A"/>
    <w:rsid w:val="003F7A69"/>
    <w:rsid w:val="003F7AB3"/>
    <w:rsid w:val="003F7B37"/>
    <w:rsid w:val="003F7B55"/>
    <w:rsid w:val="003F7B7E"/>
    <w:rsid w:val="003F7B8B"/>
    <w:rsid w:val="003F7BBE"/>
    <w:rsid w:val="003F7BCD"/>
    <w:rsid w:val="003F7C46"/>
    <w:rsid w:val="003F7C59"/>
    <w:rsid w:val="003F7CBD"/>
    <w:rsid w:val="003F7D78"/>
    <w:rsid w:val="003F7DC4"/>
    <w:rsid w:val="003F7DEB"/>
    <w:rsid w:val="003F7E57"/>
    <w:rsid w:val="003F7E67"/>
    <w:rsid w:val="003F7E98"/>
    <w:rsid w:val="003F7E99"/>
    <w:rsid w:val="003F7EE9"/>
    <w:rsid w:val="003F7EF1"/>
    <w:rsid w:val="003F7F17"/>
    <w:rsid w:val="003F7F18"/>
    <w:rsid w:val="003F7F5E"/>
    <w:rsid w:val="003F7FB8"/>
    <w:rsid w:val="003F7FCA"/>
    <w:rsid w:val="003F7FD7"/>
    <w:rsid w:val="00400024"/>
    <w:rsid w:val="00400107"/>
    <w:rsid w:val="00400157"/>
    <w:rsid w:val="0040017F"/>
    <w:rsid w:val="00400187"/>
    <w:rsid w:val="004001DA"/>
    <w:rsid w:val="0040037E"/>
    <w:rsid w:val="00400390"/>
    <w:rsid w:val="004003C9"/>
    <w:rsid w:val="004003EF"/>
    <w:rsid w:val="00400476"/>
    <w:rsid w:val="004004F0"/>
    <w:rsid w:val="004004F6"/>
    <w:rsid w:val="00400502"/>
    <w:rsid w:val="00400559"/>
    <w:rsid w:val="004005AB"/>
    <w:rsid w:val="004005D9"/>
    <w:rsid w:val="004005E3"/>
    <w:rsid w:val="004005ED"/>
    <w:rsid w:val="0040060A"/>
    <w:rsid w:val="00400669"/>
    <w:rsid w:val="00400685"/>
    <w:rsid w:val="00400689"/>
    <w:rsid w:val="004006C1"/>
    <w:rsid w:val="004006C9"/>
    <w:rsid w:val="0040072A"/>
    <w:rsid w:val="004007A3"/>
    <w:rsid w:val="004007BB"/>
    <w:rsid w:val="00400815"/>
    <w:rsid w:val="00400825"/>
    <w:rsid w:val="0040082E"/>
    <w:rsid w:val="00400832"/>
    <w:rsid w:val="004008AB"/>
    <w:rsid w:val="0040095F"/>
    <w:rsid w:val="00400980"/>
    <w:rsid w:val="004009C7"/>
    <w:rsid w:val="004009CD"/>
    <w:rsid w:val="00400A48"/>
    <w:rsid w:val="00400A4C"/>
    <w:rsid w:val="00400A86"/>
    <w:rsid w:val="00400AD3"/>
    <w:rsid w:val="00400B1D"/>
    <w:rsid w:val="00400B99"/>
    <w:rsid w:val="00400BC9"/>
    <w:rsid w:val="00400C65"/>
    <w:rsid w:val="00400C80"/>
    <w:rsid w:val="00400C88"/>
    <w:rsid w:val="00400C9C"/>
    <w:rsid w:val="00400CFF"/>
    <w:rsid w:val="00400D03"/>
    <w:rsid w:val="00400D59"/>
    <w:rsid w:val="00400D7F"/>
    <w:rsid w:val="00400E33"/>
    <w:rsid w:val="00400E39"/>
    <w:rsid w:val="00400EA0"/>
    <w:rsid w:val="00400ED2"/>
    <w:rsid w:val="00400F14"/>
    <w:rsid w:val="00400F17"/>
    <w:rsid w:val="00400F45"/>
    <w:rsid w:val="00400FB9"/>
    <w:rsid w:val="00400FD0"/>
    <w:rsid w:val="00401020"/>
    <w:rsid w:val="0040107B"/>
    <w:rsid w:val="004010CA"/>
    <w:rsid w:val="0040111C"/>
    <w:rsid w:val="00401154"/>
    <w:rsid w:val="00401179"/>
    <w:rsid w:val="00401191"/>
    <w:rsid w:val="00401232"/>
    <w:rsid w:val="00401268"/>
    <w:rsid w:val="0040126E"/>
    <w:rsid w:val="004012C2"/>
    <w:rsid w:val="00401303"/>
    <w:rsid w:val="00401322"/>
    <w:rsid w:val="00401409"/>
    <w:rsid w:val="0040143C"/>
    <w:rsid w:val="00401448"/>
    <w:rsid w:val="00401452"/>
    <w:rsid w:val="0040145F"/>
    <w:rsid w:val="004014B1"/>
    <w:rsid w:val="004014F9"/>
    <w:rsid w:val="00401537"/>
    <w:rsid w:val="0040157C"/>
    <w:rsid w:val="004015F3"/>
    <w:rsid w:val="004015F6"/>
    <w:rsid w:val="00401714"/>
    <w:rsid w:val="00401727"/>
    <w:rsid w:val="0040177D"/>
    <w:rsid w:val="004017AF"/>
    <w:rsid w:val="004017B0"/>
    <w:rsid w:val="004017C9"/>
    <w:rsid w:val="004017E9"/>
    <w:rsid w:val="00401849"/>
    <w:rsid w:val="00401858"/>
    <w:rsid w:val="004018D7"/>
    <w:rsid w:val="00401910"/>
    <w:rsid w:val="0040193F"/>
    <w:rsid w:val="0040199A"/>
    <w:rsid w:val="004019B4"/>
    <w:rsid w:val="00401A1B"/>
    <w:rsid w:val="00401A38"/>
    <w:rsid w:val="00401A41"/>
    <w:rsid w:val="00401A75"/>
    <w:rsid w:val="00401ACD"/>
    <w:rsid w:val="00401ACF"/>
    <w:rsid w:val="00401B7B"/>
    <w:rsid w:val="00401BCB"/>
    <w:rsid w:val="00401C22"/>
    <w:rsid w:val="00401C4E"/>
    <w:rsid w:val="00401C62"/>
    <w:rsid w:val="00401CDA"/>
    <w:rsid w:val="00401D21"/>
    <w:rsid w:val="00401D5F"/>
    <w:rsid w:val="00401D92"/>
    <w:rsid w:val="00401DC8"/>
    <w:rsid w:val="00401DEA"/>
    <w:rsid w:val="00401EA9"/>
    <w:rsid w:val="00401EBA"/>
    <w:rsid w:val="00401F52"/>
    <w:rsid w:val="00401FA8"/>
    <w:rsid w:val="00401FB3"/>
    <w:rsid w:val="00401FD7"/>
    <w:rsid w:val="00401FE2"/>
    <w:rsid w:val="00401FE9"/>
    <w:rsid w:val="00402015"/>
    <w:rsid w:val="00402067"/>
    <w:rsid w:val="004020C9"/>
    <w:rsid w:val="004020CC"/>
    <w:rsid w:val="00402184"/>
    <w:rsid w:val="00402189"/>
    <w:rsid w:val="004021E4"/>
    <w:rsid w:val="00402254"/>
    <w:rsid w:val="0040226D"/>
    <w:rsid w:val="004022B9"/>
    <w:rsid w:val="0040231B"/>
    <w:rsid w:val="00402357"/>
    <w:rsid w:val="0040239C"/>
    <w:rsid w:val="004023C3"/>
    <w:rsid w:val="004023F5"/>
    <w:rsid w:val="004024B3"/>
    <w:rsid w:val="0040254E"/>
    <w:rsid w:val="00402561"/>
    <w:rsid w:val="00402582"/>
    <w:rsid w:val="00402596"/>
    <w:rsid w:val="004025E3"/>
    <w:rsid w:val="0040266D"/>
    <w:rsid w:val="00402681"/>
    <w:rsid w:val="004026BE"/>
    <w:rsid w:val="004026C0"/>
    <w:rsid w:val="004026CF"/>
    <w:rsid w:val="00402700"/>
    <w:rsid w:val="00402734"/>
    <w:rsid w:val="00402812"/>
    <w:rsid w:val="0040282D"/>
    <w:rsid w:val="00402856"/>
    <w:rsid w:val="00402951"/>
    <w:rsid w:val="0040296C"/>
    <w:rsid w:val="0040297E"/>
    <w:rsid w:val="004029E3"/>
    <w:rsid w:val="00402A00"/>
    <w:rsid w:val="00402A3B"/>
    <w:rsid w:val="00402A43"/>
    <w:rsid w:val="00402A5A"/>
    <w:rsid w:val="00402A6A"/>
    <w:rsid w:val="00402A93"/>
    <w:rsid w:val="00402A9C"/>
    <w:rsid w:val="00402AAA"/>
    <w:rsid w:val="00402ABC"/>
    <w:rsid w:val="00402AD7"/>
    <w:rsid w:val="00402B23"/>
    <w:rsid w:val="00402B30"/>
    <w:rsid w:val="00402B4D"/>
    <w:rsid w:val="00402BBE"/>
    <w:rsid w:val="00402BF8"/>
    <w:rsid w:val="00402C62"/>
    <w:rsid w:val="00402CFC"/>
    <w:rsid w:val="00402D1A"/>
    <w:rsid w:val="00402D46"/>
    <w:rsid w:val="00402E0B"/>
    <w:rsid w:val="00402E27"/>
    <w:rsid w:val="00402E2D"/>
    <w:rsid w:val="00402E7D"/>
    <w:rsid w:val="00402EEC"/>
    <w:rsid w:val="00402EF3"/>
    <w:rsid w:val="00402F32"/>
    <w:rsid w:val="00402F49"/>
    <w:rsid w:val="00402FAB"/>
    <w:rsid w:val="00403014"/>
    <w:rsid w:val="0040302F"/>
    <w:rsid w:val="00403055"/>
    <w:rsid w:val="0040305D"/>
    <w:rsid w:val="00403127"/>
    <w:rsid w:val="00403160"/>
    <w:rsid w:val="004031BF"/>
    <w:rsid w:val="004031F4"/>
    <w:rsid w:val="0040329D"/>
    <w:rsid w:val="004032F7"/>
    <w:rsid w:val="00403314"/>
    <w:rsid w:val="0040331B"/>
    <w:rsid w:val="00403345"/>
    <w:rsid w:val="00403377"/>
    <w:rsid w:val="00403381"/>
    <w:rsid w:val="004033A1"/>
    <w:rsid w:val="004033E8"/>
    <w:rsid w:val="00403422"/>
    <w:rsid w:val="0040349D"/>
    <w:rsid w:val="004034A4"/>
    <w:rsid w:val="004034D8"/>
    <w:rsid w:val="0040350E"/>
    <w:rsid w:val="004035A3"/>
    <w:rsid w:val="004036AD"/>
    <w:rsid w:val="004036D7"/>
    <w:rsid w:val="00403716"/>
    <w:rsid w:val="00403769"/>
    <w:rsid w:val="00403838"/>
    <w:rsid w:val="00403900"/>
    <w:rsid w:val="0040395B"/>
    <w:rsid w:val="00403972"/>
    <w:rsid w:val="00403974"/>
    <w:rsid w:val="00403979"/>
    <w:rsid w:val="004039A2"/>
    <w:rsid w:val="004039C3"/>
    <w:rsid w:val="00403A6F"/>
    <w:rsid w:val="00403A7C"/>
    <w:rsid w:val="00403A7E"/>
    <w:rsid w:val="00403AA4"/>
    <w:rsid w:val="00403AF2"/>
    <w:rsid w:val="00403BAD"/>
    <w:rsid w:val="00403BB5"/>
    <w:rsid w:val="00403BCD"/>
    <w:rsid w:val="00403BCE"/>
    <w:rsid w:val="00403BF1"/>
    <w:rsid w:val="00403BF2"/>
    <w:rsid w:val="00403C04"/>
    <w:rsid w:val="00403C69"/>
    <w:rsid w:val="00403CA0"/>
    <w:rsid w:val="00403CB1"/>
    <w:rsid w:val="00403CD5"/>
    <w:rsid w:val="00403D3E"/>
    <w:rsid w:val="00403D69"/>
    <w:rsid w:val="00403D99"/>
    <w:rsid w:val="00403DC2"/>
    <w:rsid w:val="00403DEE"/>
    <w:rsid w:val="00403EBE"/>
    <w:rsid w:val="00403F91"/>
    <w:rsid w:val="00403FF6"/>
    <w:rsid w:val="00404025"/>
    <w:rsid w:val="00404066"/>
    <w:rsid w:val="004040D7"/>
    <w:rsid w:val="00404123"/>
    <w:rsid w:val="00404149"/>
    <w:rsid w:val="00404157"/>
    <w:rsid w:val="0040417B"/>
    <w:rsid w:val="0040423A"/>
    <w:rsid w:val="00404245"/>
    <w:rsid w:val="0040427F"/>
    <w:rsid w:val="004042AE"/>
    <w:rsid w:val="004042BC"/>
    <w:rsid w:val="00404304"/>
    <w:rsid w:val="00404339"/>
    <w:rsid w:val="004043E9"/>
    <w:rsid w:val="0040440C"/>
    <w:rsid w:val="00404483"/>
    <w:rsid w:val="00404597"/>
    <w:rsid w:val="004045D9"/>
    <w:rsid w:val="004045F0"/>
    <w:rsid w:val="00404605"/>
    <w:rsid w:val="0040466D"/>
    <w:rsid w:val="00404699"/>
    <w:rsid w:val="004046BC"/>
    <w:rsid w:val="0040471D"/>
    <w:rsid w:val="004047C4"/>
    <w:rsid w:val="00404829"/>
    <w:rsid w:val="0040483F"/>
    <w:rsid w:val="0040485A"/>
    <w:rsid w:val="0040491D"/>
    <w:rsid w:val="00404928"/>
    <w:rsid w:val="00404933"/>
    <w:rsid w:val="0040495C"/>
    <w:rsid w:val="004049B9"/>
    <w:rsid w:val="004049D9"/>
    <w:rsid w:val="00404A94"/>
    <w:rsid w:val="00404AD0"/>
    <w:rsid w:val="00404B24"/>
    <w:rsid w:val="00404B3F"/>
    <w:rsid w:val="00404B4D"/>
    <w:rsid w:val="00404BB4"/>
    <w:rsid w:val="00404BB7"/>
    <w:rsid w:val="00404C32"/>
    <w:rsid w:val="00404C42"/>
    <w:rsid w:val="00404C6C"/>
    <w:rsid w:val="00404C7E"/>
    <w:rsid w:val="00404CAA"/>
    <w:rsid w:val="00404CEF"/>
    <w:rsid w:val="00404D41"/>
    <w:rsid w:val="00404D43"/>
    <w:rsid w:val="00404D5E"/>
    <w:rsid w:val="00404D60"/>
    <w:rsid w:val="00404D66"/>
    <w:rsid w:val="00404D8E"/>
    <w:rsid w:val="00404DE0"/>
    <w:rsid w:val="00404DF1"/>
    <w:rsid w:val="00404DFD"/>
    <w:rsid w:val="00404E2B"/>
    <w:rsid w:val="00404E92"/>
    <w:rsid w:val="00404EB1"/>
    <w:rsid w:val="00404EE2"/>
    <w:rsid w:val="00404F67"/>
    <w:rsid w:val="00404FD0"/>
    <w:rsid w:val="00405027"/>
    <w:rsid w:val="004050A2"/>
    <w:rsid w:val="00405167"/>
    <w:rsid w:val="004052A5"/>
    <w:rsid w:val="004052A7"/>
    <w:rsid w:val="004052FA"/>
    <w:rsid w:val="0040530B"/>
    <w:rsid w:val="0040530F"/>
    <w:rsid w:val="0040532D"/>
    <w:rsid w:val="00405390"/>
    <w:rsid w:val="004053B0"/>
    <w:rsid w:val="00405440"/>
    <w:rsid w:val="0040549C"/>
    <w:rsid w:val="00405519"/>
    <w:rsid w:val="0040551A"/>
    <w:rsid w:val="00405537"/>
    <w:rsid w:val="0040556F"/>
    <w:rsid w:val="00405576"/>
    <w:rsid w:val="004055C2"/>
    <w:rsid w:val="004055D7"/>
    <w:rsid w:val="00405607"/>
    <w:rsid w:val="0040564F"/>
    <w:rsid w:val="004056D9"/>
    <w:rsid w:val="00405703"/>
    <w:rsid w:val="00405706"/>
    <w:rsid w:val="0040571C"/>
    <w:rsid w:val="0040572E"/>
    <w:rsid w:val="0040575F"/>
    <w:rsid w:val="0040577F"/>
    <w:rsid w:val="004057ED"/>
    <w:rsid w:val="004057F6"/>
    <w:rsid w:val="00405817"/>
    <w:rsid w:val="0040587C"/>
    <w:rsid w:val="0040589F"/>
    <w:rsid w:val="004058BA"/>
    <w:rsid w:val="004058C4"/>
    <w:rsid w:val="00405931"/>
    <w:rsid w:val="00405962"/>
    <w:rsid w:val="00405985"/>
    <w:rsid w:val="00405997"/>
    <w:rsid w:val="004059DD"/>
    <w:rsid w:val="00405ACB"/>
    <w:rsid w:val="00405AF3"/>
    <w:rsid w:val="00405B59"/>
    <w:rsid w:val="00405B6B"/>
    <w:rsid w:val="00405B86"/>
    <w:rsid w:val="00405B8A"/>
    <w:rsid w:val="00405BAB"/>
    <w:rsid w:val="00405C1E"/>
    <w:rsid w:val="00405C3A"/>
    <w:rsid w:val="00405C55"/>
    <w:rsid w:val="00405C5F"/>
    <w:rsid w:val="00405C64"/>
    <w:rsid w:val="00405CD6"/>
    <w:rsid w:val="00405CE3"/>
    <w:rsid w:val="00405CF4"/>
    <w:rsid w:val="00405D70"/>
    <w:rsid w:val="00405DD8"/>
    <w:rsid w:val="00405E33"/>
    <w:rsid w:val="00405EDE"/>
    <w:rsid w:val="00405FA7"/>
    <w:rsid w:val="00405FB4"/>
    <w:rsid w:val="00405FBD"/>
    <w:rsid w:val="00406005"/>
    <w:rsid w:val="00406018"/>
    <w:rsid w:val="0040606E"/>
    <w:rsid w:val="0040608F"/>
    <w:rsid w:val="004060D4"/>
    <w:rsid w:val="0040614B"/>
    <w:rsid w:val="00406160"/>
    <w:rsid w:val="00406287"/>
    <w:rsid w:val="004062B9"/>
    <w:rsid w:val="00406303"/>
    <w:rsid w:val="00406304"/>
    <w:rsid w:val="00406472"/>
    <w:rsid w:val="004064D0"/>
    <w:rsid w:val="00406524"/>
    <w:rsid w:val="00406540"/>
    <w:rsid w:val="004065AB"/>
    <w:rsid w:val="004065B1"/>
    <w:rsid w:val="004065BE"/>
    <w:rsid w:val="004065D1"/>
    <w:rsid w:val="004065E9"/>
    <w:rsid w:val="00406666"/>
    <w:rsid w:val="004066AD"/>
    <w:rsid w:val="00406705"/>
    <w:rsid w:val="0040670A"/>
    <w:rsid w:val="00406745"/>
    <w:rsid w:val="00406747"/>
    <w:rsid w:val="00406750"/>
    <w:rsid w:val="00406756"/>
    <w:rsid w:val="004067AF"/>
    <w:rsid w:val="00406882"/>
    <w:rsid w:val="004068EE"/>
    <w:rsid w:val="00406A13"/>
    <w:rsid w:val="00406A1D"/>
    <w:rsid w:val="00406A4A"/>
    <w:rsid w:val="00406A5C"/>
    <w:rsid w:val="00406A84"/>
    <w:rsid w:val="00406A87"/>
    <w:rsid w:val="00406AA6"/>
    <w:rsid w:val="00406AE7"/>
    <w:rsid w:val="00406B23"/>
    <w:rsid w:val="00406B2C"/>
    <w:rsid w:val="00406BAF"/>
    <w:rsid w:val="00406C6F"/>
    <w:rsid w:val="00406CE8"/>
    <w:rsid w:val="00406E2B"/>
    <w:rsid w:val="00406E35"/>
    <w:rsid w:val="00406E4F"/>
    <w:rsid w:val="00406E72"/>
    <w:rsid w:val="00406EA0"/>
    <w:rsid w:val="00406F01"/>
    <w:rsid w:val="00406F77"/>
    <w:rsid w:val="00406FFB"/>
    <w:rsid w:val="0040703F"/>
    <w:rsid w:val="00407085"/>
    <w:rsid w:val="00407133"/>
    <w:rsid w:val="00407185"/>
    <w:rsid w:val="004071E4"/>
    <w:rsid w:val="0040722D"/>
    <w:rsid w:val="00407254"/>
    <w:rsid w:val="00407286"/>
    <w:rsid w:val="0040728F"/>
    <w:rsid w:val="004072BE"/>
    <w:rsid w:val="004072D7"/>
    <w:rsid w:val="004072D8"/>
    <w:rsid w:val="004072E3"/>
    <w:rsid w:val="00407382"/>
    <w:rsid w:val="004073F0"/>
    <w:rsid w:val="004073F6"/>
    <w:rsid w:val="0040742B"/>
    <w:rsid w:val="00407439"/>
    <w:rsid w:val="00407445"/>
    <w:rsid w:val="0040744A"/>
    <w:rsid w:val="00407480"/>
    <w:rsid w:val="0040749C"/>
    <w:rsid w:val="004074B0"/>
    <w:rsid w:val="004074F9"/>
    <w:rsid w:val="0040756B"/>
    <w:rsid w:val="0040756F"/>
    <w:rsid w:val="00407622"/>
    <w:rsid w:val="00407686"/>
    <w:rsid w:val="004076C2"/>
    <w:rsid w:val="00407707"/>
    <w:rsid w:val="00407751"/>
    <w:rsid w:val="00407760"/>
    <w:rsid w:val="00407768"/>
    <w:rsid w:val="0040776F"/>
    <w:rsid w:val="00407898"/>
    <w:rsid w:val="004078A7"/>
    <w:rsid w:val="004078F7"/>
    <w:rsid w:val="00407913"/>
    <w:rsid w:val="004079E6"/>
    <w:rsid w:val="00407A0B"/>
    <w:rsid w:val="00407A36"/>
    <w:rsid w:val="00407A5F"/>
    <w:rsid w:val="00407AC1"/>
    <w:rsid w:val="00407B23"/>
    <w:rsid w:val="00407C17"/>
    <w:rsid w:val="00407C20"/>
    <w:rsid w:val="00407C53"/>
    <w:rsid w:val="00407C6F"/>
    <w:rsid w:val="00407C78"/>
    <w:rsid w:val="00407C8A"/>
    <w:rsid w:val="00407CA3"/>
    <w:rsid w:val="00407CD6"/>
    <w:rsid w:val="00407CFB"/>
    <w:rsid w:val="00407D36"/>
    <w:rsid w:val="00407D4F"/>
    <w:rsid w:val="00407D6E"/>
    <w:rsid w:val="00407D9D"/>
    <w:rsid w:val="00407DE7"/>
    <w:rsid w:val="00407E77"/>
    <w:rsid w:val="00407E7A"/>
    <w:rsid w:val="00407EA8"/>
    <w:rsid w:val="00407EF8"/>
    <w:rsid w:val="00407F45"/>
    <w:rsid w:val="00407F4B"/>
    <w:rsid w:val="00407F66"/>
    <w:rsid w:val="00407F68"/>
    <w:rsid w:val="00407FAA"/>
    <w:rsid w:val="00407FB5"/>
    <w:rsid w:val="0040DD55"/>
    <w:rsid w:val="00410015"/>
    <w:rsid w:val="00410028"/>
    <w:rsid w:val="00410057"/>
    <w:rsid w:val="0041007F"/>
    <w:rsid w:val="004100A4"/>
    <w:rsid w:val="004100F4"/>
    <w:rsid w:val="004100FC"/>
    <w:rsid w:val="004101B0"/>
    <w:rsid w:val="004101B2"/>
    <w:rsid w:val="004101FA"/>
    <w:rsid w:val="0041021B"/>
    <w:rsid w:val="0041021D"/>
    <w:rsid w:val="00410237"/>
    <w:rsid w:val="0041028A"/>
    <w:rsid w:val="004102A5"/>
    <w:rsid w:val="004102FB"/>
    <w:rsid w:val="00410359"/>
    <w:rsid w:val="0041037C"/>
    <w:rsid w:val="00410384"/>
    <w:rsid w:val="0041038A"/>
    <w:rsid w:val="0041038B"/>
    <w:rsid w:val="004103B2"/>
    <w:rsid w:val="004103C0"/>
    <w:rsid w:val="004103DA"/>
    <w:rsid w:val="004103EB"/>
    <w:rsid w:val="00410404"/>
    <w:rsid w:val="00410408"/>
    <w:rsid w:val="00410432"/>
    <w:rsid w:val="00410453"/>
    <w:rsid w:val="00410496"/>
    <w:rsid w:val="00410552"/>
    <w:rsid w:val="004105B6"/>
    <w:rsid w:val="004105E4"/>
    <w:rsid w:val="00410625"/>
    <w:rsid w:val="00410629"/>
    <w:rsid w:val="00410633"/>
    <w:rsid w:val="00410634"/>
    <w:rsid w:val="00410641"/>
    <w:rsid w:val="00410647"/>
    <w:rsid w:val="0041065A"/>
    <w:rsid w:val="0041069E"/>
    <w:rsid w:val="004106AE"/>
    <w:rsid w:val="004106F1"/>
    <w:rsid w:val="00410807"/>
    <w:rsid w:val="0041082A"/>
    <w:rsid w:val="00410865"/>
    <w:rsid w:val="0041089A"/>
    <w:rsid w:val="00410905"/>
    <w:rsid w:val="00410915"/>
    <w:rsid w:val="00410962"/>
    <w:rsid w:val="004109A1"/>
    <w:rsid w:val="004109A5"/>
    <w:rsid w:val="004109F6"/>
    <w:rsid w:val="00410A22"/>
    <w:rsid w:val="00410A86"/>
    <w:rsid w:val="00410A9F"/>
    <w:rsid w:val="00410B38"/>
    <w:rsid w:val="00410B86"/>
    <w:rsid w:val="00410BC3"/>
    <w:rsid w:val="00410BD6"/>
    <w:rsid w:val="00410BF2"/>
    <w:rsid w:val="00410BF3"/>
    <w:rsid w:val="00410C06"/>
    <w:rsid w:val="00410C2A"/>
    <w:rsid w:val="00410C45"/>
    <w:rsid w:val="00410C4F"/>
    <w:rsid w:val="00410D0B"/>
    <w:rsid w:val="00410D48"/>
    <w:rsid w:val="00410D88"/>
    <w:rsid w:val="00410DEB"/>
    <w:rsid w:val="00410E18"/>
    <w:rsid w:val="00410E97"/>
    <w:rsid w:val="00410ED7"/>
    <w:rsid w:val="00410F00"/>
    <w:rsid w:val="00410F45"/>
    <w:rsid w:val="00410FA4"/>
    <w:rsid w:val="00410FC1"/>
    <w:rsid w:val="00410FD2"/>
    <w:rsid w:val="00410FFF"/>
    <w:rsid w:val="00411076"/>
    <w:rsid w:val="004110A3"/>
    <w:rsid w:val="00411119"/>
    <w:rsid w:val="00411128"/>
    <w:rsid w:val="0041122A"/>
    <w:rsid w:val="00411287"/>
    <w:rsid w:val="004112E6"/>
    <w:rsid w:val="00411303"/>
    <w:rsid w:val="00411319"/>
    <w:rsid w:val="004113DA"/>
    <w:rsid w:val="004113E6"/>
    <w:rsid w:val="00411450"/>
    <w:rsid w:val="004114AF"/>
    <w:rsid w:val="004114CF"/>
    <w:rsid w:val="0041150C"/>
    <w:rsid w:val="00411553"/>
    <w:rsid w:val="00411562"/>
    <w:rsid w:val="004115A0"/>
    <w:rsid w:val="004115C7"/>
    <w:rsid w:val="004115C9"/>
    <w:rsid w:val="0041160C"/>
    <w:rsid w:val="00411625"/>
    <w:rsid w:val="00411671"/>
    <w:rsid w:val="004116A3"/>
    <w:rsid w:val="00411709"/>
    <w:rsid w:val="00411794"/>
    <w:rsid w:val="00411809"/>
    <w:rsid w:val="0041183B"/>
    <w:rsid w:val="0041185B"/>
    <w:rsid w:val="00411862"/>
    <w:rsid w:val="0041187F"/>
    <w:rsid w:val="004118BD"/>
    <w:rsid w:val="004119D6"/>
    <w:rsid w:val="004119EC"/>
    <w:rsid w:val="00411A46"/>
    <w:rsid w:val="00411ABE"/>
    <w:rsid w:val="00411AD5"/>
    <w:rsid w:val="00411BDF"/>
    <w:rsid w:val="00411C3A"/>
    <w:rsid w:val="00411CCE"/>
    <w:rsid w:val="00411D38"/>
    <w:rsid w:val="00411D3B"/>
    <w:rsid w:val="00411D61"/>
    <w:rsid w:val="00411D91"/>
    <w:rsid w:val="00411DAA"/>
    <w:rsid w:val="00411DB2"/>
    <w:rsid w:val="00411DC5"/>
    <w:rsid w:val="00411E64"/>
    <w:rsid w:val="00411F00"/>
    <w:rsid w:val="00411F06"/>
    <w:rsid w:val="00411F6D"/>
    <w:rsid w:val="00411F7F"/>
    <w:rsid w:val="00411F88"/>
    <w:rsid w:val="00411F9F"/>
    <w:rsid w:val="00411FC1"/>
    <w:rsid w:val="00412004"/>
    <w:rsid w:val="00412055"/>
    <w:rsid w:val="00412059"/>
    <w:rsid w:val="00412077"/>
    <w:rsid w:val="00412135"/>
    <w:rsid w:val="00412173"/>
    <w:rsid w:val="0041218D"/>
    <w:rsid w:val="004121DA"/>
    <w:rsid w:val="0041223A"/>
    <w:rsid w:val="004122F3"/>
    <w:rsid w:val="004123AF"/>
    <w:rsid w:val="004123B7"/>
    <w:rsid w:val="004123C3"/>
    <w:rsid w:val="004123CF"/>
    <w:rsid w:val="004123F4"/>
    <w:rsid w:val="00412492"/>
    <w:rsid w:val="004124BC"/>
    <w:rsid w:val="00412548"/>
    <w:rsid w:val="004125BC"/>
    <w:rsid w:val="004125DF"/>
    <w:rsid w:val="00412602"/>
    <w:rsid w:val="0041267C"/>
    <w:rsid w:val="004126C2"/>
    <w:rsid w:val="004127AA"/>
    <w:rsid w:val="004127F8"/>
    <w:rsid w:val="0041280A"/>
    <w:rsid w:val="00412811"/>
    <w:rsid w:val="00412829"/>
    <w:rsid w:val="00412855"/>
    <w:rsid w:val="00412858"/>
    <w:rsid w:val="00412870"/>
    <w:rsid w:val="00412887"/>
    <w:rsid w:val="0041298F"/>
    <w:rsid w:val="00412997"/>
    <w:rsid w:val="00412A2E"/>
    <w:rsid w:val="00412A47"/>
    <w:rsid w:val="00412A68"/>
    <w:rsid w:val="00412AA2"/>
    <w:rsid w:val="00412ABE"/>
    <w:rsid w:val="00412AEB"/>
    <w:rsid w:val="00412AFB"/>
    <w:rsid w:val="00412B4F"/>
    <w:rsid w:val="00412B69"/>
    <w:rsid w:val="00412B97"/>
    <w:rsid w:val="00412BCD"/>
    <w:rsid w:val="00412C50"/>
    <w:rsid w:val="00412CC0"/>
    <w:rsid w:val="00412CD2"/>
    <w:rsid w:val="00412CF3"/>
    <w:rsid w:val="00412D22"/>
    <w:rsid w:val="00412D2F"/>
    <w:rsid w:val="00412D3B"/>
    <w:rsid w:val="00412D69"/>
    <w:rsid w:val="00412D9F"/>
    <w:rsid w:val="00412DC1"/>
    <w:rsid w:val="00412DD2"/>
    <w:rsid w:val="00412DFE"/>
    <w:rsid w:val="00412E21"/>
    <w:rsid w:val="00412E72"/>
    <w:rsid w:val="00412F0E"/>
    <w:rsid w:val="00412F91"/>
    <w:rsid w:val="00412FAD"/>
    <w:rsid w:val="0041301C"/>
    <w:rsid w:val="0041303A"/>
    <w:rsid w:val="0041303B"/>
    <w:rsid w:val="00413069"/>
    <w:rsid w:val="0041306D"/>
    <w:rsid w:val="00413086"/>
    <w:rsid w:val="00413092"/>
    <w:rsid w:val="0041310B"/>
    <w:rsid w:val="00413122"/>
    <w:rsid w:val="0041315E"/>
    <w:rsid w:val="004132CD"/>
    <w:rsid w:val="004132E3"/>
    <w:rsid w:val="004133CA"/>
    <w:rsid w:val="004133FE"/>
    <w:rsid w:val="00413414"/>
    <w:rsid w:val="00413460"/>
    <w:rsid w:val="00413479"/>
    <w:rsid w:val="004134A2"/>
    <w:rsid w:val="00413588"/>
    <w:rsid w:val="00413597"/>
    <w:rsid w:val="0041359D"/>
    <w:rsid w:val="004135AA"/>
    <w:rsid w:val="004135F4"/>
    <w:rsid w:val="00413642"/>
    <w:rsid w:val="0041364C"/>
    <w:rsid w:val="0041366C"/>
    <w:rsid w:val="0041367E"/>
    <w:rsid w:val="00413681"/>
    <w:rsid w:val="0041369D"/>
    <w:rsid w:val="004136AA"/>
    <w:rsid w:val="0041372F"/>
    <w:rsid w:val="00413740"/>
    <w:rsid w:val="0041375F"/>
    <w:rsid w:val="004137E2"/>
    <w:rsid w:val="00413815"/>
    <w:rsid w:val="00413826"/>
    <w:rsid w:val="00413868"/>
    <w:rsid w:val="004138CD"/>
    <w:rsid w:val="004138FD"/>
    <w:rsid w:val="00413923"/>
    <w:rsid w:val="00413939"/>
    <w:rsid w:val="0041396F"/>
    <w:rsid w:val="00413A00"/>
    <w:rsid w:val="00413A30"/>
    <w:rsid w:val="00413AC0"/>
    <w:rsid w:val="00413ADD"/>
    <w:rsid w:val="00413AFE"/>
    <w:rsid w:val="00413B1B"/>
    <w:rsid w:val="00413B48"/>
    <w:rsid w:val="00413BCE"/>
    <w:rsid w:val="00413C04"/>
    <w:rsid w:val="00413C2E"/>
    <w:rsid w:val="00413C2F"/>
    <w:rsid w:val="00413C55"/>
    <w:rsid w:val="00413C5E"/>
    <w:rsid w:val="00413CA8"/>
    <w:rsid w:val="00413CB7"/>
    <w:rsid w:val="00413CCF"/>
    <w:rsid w:val="00413D12"/>
    <w:rsid w:val="00413D1B"/>
    <w:rsid w:val="00413D4C"/>
    <w:rsid w:val="00413DA2"/>
    <w:rsid w:val="00413DFE"/>
    <w:rsid w:val="00413E02"/>
    <w:rsid w:val="00413E68"/>
    <w:rsid w:val="00413E8E"/>
    <w:rsid w:val="00413F19"/>
    <w:rsid w:val="00413F47"/>
    <w:rsid w:val="00413F62"/>
    <w:rsid w:val="00413F73"/>
    <w:rsid w:val="00413FB7"/>
    <w:rsid w:val="00413FDE"/>
    <w:rsid w:val="0041414B"/>
    <w:rsid w:val="0041415A"/>
    <w:rsid w:val="00414194"/>
    <w:rsid w:val="00414199"/>
    <w:rsid w:val="004141C8"/>
    <w:rsid w:val="0041424B"/>
    <w:rsid w:val="00414261"/>
    <w:rsid w:val="0041429C"/>
    <w:rsid w:val="0041430C"/>
    <w:rsid w:val="00414381"/>
    <w:rsid w:val="004143FA"/>
    <w:rsid w:val="00414489"/>
    <w:rsid w:val="00414493"/>
    <w:rsid w:val="004144A0"/>
    <w:rsid w:val="004144B0"/>
    <w:rsid w:val="004144DD"/>
    <w:rsid w:val="00414503"/>
    <w:rsid w:val="00414511"/>
    <w:rsid w:val="0041451E"/>
    <w:rsid w:val="00414526"/>
    <w:rsid w:val="00414552"/>
    <w:rsid w:val="0041455D"/>
    <w:rsid w:val="00414561"/>
    <w:rsid w:val="00414575"/>
    <w:rsid w:val="0041457C"/>
    <w:rsid w:val="0041458A"/>
    <w:rsid w:val="0041458D"/>
    <w:rsid w:val="004145C2"/>
    <w:rsid w:val="00414629"/>
    <w:rsid w:val="004146BA"/>
    <w:rsid w:val="004146EC"/>
    <w:rsid w:val="00414742"/>
    <w:rsid w:val="00414751"/>
    <w:rsid w:val="004147ED"/>
    <w:rsid w:val="00414847"/>
    <w:rsid w:val="00414856"/>
    <w:rsid w:val="004148AA"/>
    <w:rsid w:val="004148FC"/>
    <w:rsid w:val="00414915"/>
    <w:rsid w:val="0041494F"/>
    <w:rsid w:val="00414963"/>
    <w:rsid w:val="00414A09"/>
    <w:rsid w:val="00414A36"/>
    <w:rsid w:val="00414A64"/>
    <w:rsid w:val="00414A95"/>
    <w:rsid w:val="00414ADA"/>
    <w:rsid w:val="00414C05"/>
    <w:rsid w:val="00414C19"/>
    <w:rsid w:val="00414CAA"/>
    <w:rsid w:val="00414D54"/>
    <w:rsid w:val="00414DAD"/>
    <w:rsid w:val="00414DD6"/>
    <w:rsid w:val="00414E5C"/>
    <w:rsid w:val="00414EA5"/>
    <w:rsid w:val="00414EBE"/>
    <w:rsid w:val="00414EF3"/>
    <w:rsid w:val="00414F0D"/>
    <w:rsid w:val="00414F29"/>
    <w:rsid w:val="00414F3C"/>
    <w:rsid w:val="00414F66"/>
    <w:rsid w:val="00414F90"/>
    <w:rsid w:val="00415033"/>
    <w:rsid w:val="0041503C"/>
    <w:rsid w:val="0041506D"/>
    <w:rsid w:val="00415139"/>
    <w:rsid w:val="00415161"/>
    <w:rsid w:val="00415198"/>
    <w:rsid w:val="00415264"/>
    <w:rsid w:val="00415274"/>
    <w:rsid w:val="0041528C"/>
    <w:rsid w:val="00415306"/>
    <w:rsid w:val="00415337"/>
    <w:rsid w:val="004153B4"/>
    <w:rsid w:val="004153B6"/>
    <w:rsid w:val="004153FA"/>
    <w:rsid w:val="00415410"/>
    <w:rsid w:val="004154D9"/>
    <w:rsid w:val="004154FD"/>
    <w:rsid w:val="0041551B"/>
    <w:rsid w:val="0041552F"/>
    <w:rsid w:val="00415584"/>
    <w:rsid w:val="00415587"/>
    <w:rsid w:val="00415646"/>
    <w:rsid w:val="00415656"/>
    <w:rsid w:val="004156B3"/>
    <w:rsid w:val="0041575A"/>
    <w:rsid w:val="0041578B"/>
    <w:rsid w:val="004157B1"/>
    <w:rsid w:val="00415824"/>
    <w:rsid w:val="00415843"/>
    <w:rsid w:val="00415895"/>
    <w:rsid w:val="0041589A"/>
    <w:rsid w:val="0041589B"/>
    <w:rsid w:val="0041594E"/>
    <w:rsid w:val="0041596F"/>
    <w:rsid w:val="004159BD"/>
    <w:rsid w:val="00415A0C"/>
    <w:rsid w:val="00415B0E"/>
    <w:rsid w:val="00415B10"/>
    <w:rsid w:val="00415B44"/>
    <w:rsid w:val="00415B58"/>
    <w:rsid w:val="00415B62"/>
    <w:rsid w:val="00415B6A"/>
    <w:rsid w:val="00415B76"/>
    <w:rsid w:val="00415BD3"/>
    <w:rsid w:val="00415C2E"/>
    <w:rsid w:val="00415C4E"/>
    <w:rsid w:val="00415C55"/>
    <w:rsid w:val="00415C5E"/>
    <w:rsid w:val="00415CAC"/>
    <w:rsid w:val="00415D39"/>
    <w:rsid w:val="00415D3C"/>
    <w:rsid w:val="00415D49"/>
    <w:rsid w:val="00415D9D"/>
    <w:rsid w:val="00415DB2"/>
    <w:rsid w:val="00415DCE"/>
    <w:rsid w:val="00415DD6"/>
    <w:rsid w:val="00415DFE"/>
    <w:rsid w:val="00415E17"/>
    <w:rsid w:val="00415ED6"/>
    <w:rsid w:val="00415EFC"/>
    <w:rsid w:val="00415F32"/>
    <w:rsid w:val="00415F33"/>
    <w:rsid w:val="00415F60"/>
    <w:rsid w:val="00415F99"/>
    <w:rsid w:val="00415FD0"/>
    <w:rsid w:val="00416024"/>
    <w:rsid w:val="0041602D"/>
    <w:rsid w:val="00416047"/>
    <w:rsid w:val="00416052"/>
    <w:rsid w:val="0041607E"/>
    <w:rsid w:val="004160B3"/>
    <w:rsid w:val="004160C9"/>
    <w:rsid w:val="0041611D"/>
    <w:rsid w:val="00416143"/>
    <w:rsid w:val="0041618B"/>
    <w:rsid w:val="004161A1"/>
    <w:rsid w:val="004161FD"/>
    <w:rsid w:val="00416252"/>
    <w:rsid w:val="0041626E"/>
    <w:rsid w:val="00416277"/>
    <w:rsid w:val="0041630A"/>
    <w:rsid w:val="0041630E"/>
    <w:rsid w:val="00416314"/>
    <w:rsid w:val="00416412"/>
    <w:rsid w:val="0041645D"/>
    <w:rsid w:val="004164C7"/>
    <w:rsid w:val="004164EE"/>
    <w:rsid w:val="0041657C"/>
    <w:rsid w:val="0041658D"/>
    <w:rsid w:val="004165C5"/>
    <w:rsid w:val="004165CF"/>
    <w:rsid w:val="004165D7"/>
    <w:rsid w:val="00416604"/>
    <w:rsid w:val="00416681"/>
    <w:rsid w:val="004166E0"/>
    <w:rsid w:val="0041676C"/>
    <w:rsid w:val="00416774"/>
    <w:rsid w:val="004167C5"/>
    <w:rsid w:val="004167E8"/>
    <w:rsid w:val="00416806"/>
    <w:rsid w:val="00416838"/>
    <w:rsid w:val="00416849"/>
    <w:rsid w:val="004168A8"/>
    <w:rsid w:val="00416A08"/>
    <w:rsid w:val="00416AA5"/>
    <w:rsid w:val="00416ACF"/>
    <w:rsid w:val="00416AD2"/>
    <w:rsid w:val="00416AF4"/>
    <w:rsid w:val="00416C5E"/>
    <w:rsid w:val="00416C79"/>
    <w:rsid w:val="00416CCB"/>
    <w:rsid w:val="00416CD7"/>
    <w:rsid w:val="00416CFA"/>
    <w:rsid w:val="00416CFB"/>
    <w:rsid w:val="00416D57"/>
    <w:rsid w:val="00416D6D"/>
    <w:rsid w:val="00416D71"/>
    <w:rsid w:val="00416D76"/>
    <w:rsid w:val="00416DB2"/>
    <w:rsid w:val="00416DE9"/>
    <w:rsid w:val="00416DEE"/>
    <w:rsid w:val="00416E11"/>
    <w:rsid w:val="00416E7D"/>
    <w:rsid w:val="00416EEF"/>
    <w:rsid w:val="00416F4B"/>
    <w:rsid w:val="00416F87"/>
    <w:rsid w:val="00416FBF"/>
    <w:rsid w:val="00416FE2"/>
    <w:rsid w:val="004170CB"/>
    <w:rsid w:val="00417161"/>
    <w:rsid w:val="00417197"/>
    <w:rsid w:val="004171AC"/>
    <w:rsid w:val="004171E7"/>
    <w:rsid w:val="004171F7"/>
    <w:rsid w:val="00417208"/>
    <w:rsid w:val="0041720E"/>
    <w:rsid w:val="0041722E"/>
    <w:rsid w:val="00417240"/>
    <w:rsid w:val="0041725E"/>
    <w:rsid w:val="004172AC"/>
    <w:rsid w:val="004172FD"/>
    <w:rsid w:val="00417338"/>
    <w:rsid w:val="0041735C"/>
    <w:rsid w:val="004173EB"/>
    <w:rsid w:val="00417422"/>
    <w:rsid w:val="00417447"/>
    <w:rsid w:val="0041748A"/>
    <w:rsid w:val="004174A5"/>
    <w:rsid w:val="004174C8"/>
    <w:rsid w:val="0041751B"/>
    <w:rsid w:val="0041755F"/>
    <w:rsid w:val="00417569"/>
    <w:rsid w:val="004175BD"/>
    <w:rsid w:val="004175C8"/>
    <w:rsid w:val="004175DE"/>
    <w:rsid w:val="00417620"/>
    <w:rsid w:val="00417779"/>
    <w:rsid w:val="00417784"/>
    <w:rsid w:val="00417796"/>
    <w:rsid w:val="004177A4"/>
    <w:rsid w:val="004177BA"/>
    <w:rsid w:val="00417831"/>
    <w:rsid w:val="004178DE"/>
    <w:rsid w:val="0041792F"/>
    <w:rsid w:val="00417951"/>
    <w:rsid w:val="004179B5"/>
    <w:rsid w:val="004179C2"/>
    <w:rsid w:val="004179CF"/>
    <w:rsid w:val="004179D0"/>
    <w:rsid w:val="004179F7"/>
    <w:rsid w:val="00417A1F"/>
    <w:rsid w:val="00417A40"/>
    <w:rsid w:val="00417AB6"/>
    <w:rsid w:val="00417BD1"/>
    <w:rsid w:val="00417C72"/>
    <w:rsid w:val="00417C88"/>
    <w:rsid w:val="00417C90"/>
    <w:rsid w:val="00417CCD"/>
    <w:rsid w:val="00417CE3"/>
    <w:rsid w:val="00417D0C"/>
    <w:rsid w:val="00417D2D"/>
    <w:rsid w:val="00417D5D"/>
    <w:rsid w:val="00417E6C"/>
    <w:rsid w:val="00417EBB"/>
    <w:rsid w:val="00417ED1"/>
    <w:rsid w:val="00417F6D"/>
    <w:rsid w:val="00417F86"/>
    <w:rsid w:val="00417FBF"/>
    <w:rsid w:val="00417FF8"/>
    <w:rsid w:val="004200D1"/>
    <w:rsid w:val="00420103"/>
    <w:rsid w:val="00420105"/>
    <w:rsid w:val="0042010D"/>
    <w:rsid w:val="00420187"/>
    <w:rsid w:val="004201B7"/>
    <w:rsid w:val="004201E7"/>
    <w:rsid w:val="0042021B"/>
    <w:rsid w:val="00420245"/>
    <w:rsid w:val="0042024B"/>
    <w:rsid w:val="00420256"/>
    <w:rsid w:val="004202A0"/>
    <w:rsid w:val="004202BC"/>
    <w:rsid w:val="0042030B"/>
    <w:rsid w:val="0042036B"/>
    <w:rsid w:val="00420375"/>
    <w:rsid w:val="004203A9"/>
    <w:rsid w:val="004203FF"/>
    <w:rsid w:val="00420408"/>
    <w:rsid w:val="00420435"/>
    <w:rsid w:val="004204C1"/>
    <w:rsid w:val="004204DE"/>
    <w:rsid w:val="0042050C"/>
    <w:rsid w:val="00420516"/>
    <w:rsid w:val="00420536"/>
    <w:rsid w:val="00420547"/>
    <w:rsid w:val="00420553"/>
    <w:rsid w:val="004205C5"/>
    <w:rsid w:val="004205C7"/>
    <w:rsid w:val="00420627"/>
    <w:rsid w:val="00420631"/>
    <w:rsid w:val="00420667"/>
    <w:rsid w:val="00420675"/>
    <w:rsid w:val="004206AD"/>
    <w:rsid w:val="004206D6"/>
    <w:rsid w:val="004206EF"/>
    <w:rsid w:val="0042070D"/>
    <w:rsid w:val="0042073C"/>
    <w:rsid w:val="00420742"/>
    <w:rsid w:val="0042074D"/>
    <w:rsid w:val="00420767"/>
    <w:rsid w:val="0042079D"/>
    <w:rsid w:val="004207F7"/>
    <w:rsid w:val="0042084E"/>
    <w:rsid w:val="00420873"/>
    <w:rsid w:val="0042089F"/>
    <w:rsid w:val="004208A0"/>
    <w:rsid w:val="004208B0"/>
    <w:rsid w:val="00420911"/>
    <w:rsid w:val="00420927"/>
    <w:rsid w:val="00420931"/>
    <w:rsid w:val="0042094C"/>
    <w:rsid w:val="0042095C"/>
    <w:rsid w:val="00420A01"/>
    <w:rsid w:val="00420AC1"/>
    <w:rsid w:val="00420ADF"/>
    <w:rsid w:val="00420B00"/>
    <w:rsid w:val="00420B52"/>
    <w:rsid w:val="00420BD0"/>
    <w:rsid w:val="00420C0B"/>
    <w:rsid w:val="00420C70"/>
    <w:rsid w:val="00420D18"/>
    <w:rsid w:val="00420D2D"/>
    <w:rsid w:val="00420D5B"/>
    <w:rsid w:val="00420DA4"/>
    <w:rsid w:val="00420DE4"/>
    <w:rsid w:val="00420E65"/>
    <w:rsid w:val="00420ECB"/>
    <w:rsid w:val="00420ED1"/>
    <w:rsid w:val="00420EF7"/>
    <w:rsid w:val="00420F03"/>
    <w:rsid w:val="00420F3E"/>
    <w:rsid w:val="00420FA4"/>
    <w:rsid w:val="00420FC7"/>
    <w:rsid w:val="00420FF7"/>
    <w:rsid w:val="00421004"/>
    <w:rsid w:val="00421022"/>
    <w:rsid w:val="004210CA"/>
    <w:rsid w:val="0042112F"/>
    <w:rsid w:val="0042116F"/>
    <w:rsid w:val="00421192"/>
    <w:rsid w:val="00421194"/>
    <w:rsid w:val="004211AD"/>
    <w:rsid w:val="004211DA"/>
    <w:rsid w:val="004211E1"/>
    <w:rsid w:val="004211F6"/>
    <w:rsid w:val="00421213"/>
    <w:rsid w:val="0042124F"/>
    <w:rsid w:val="0042128A"/>
    <w:rsid w:val="004212A1"/>
    <w:rsid w:val="0042130B"/>
    <w:rsid w:val="00421333"/>
    <w:rsid w:val="00421384"/>
    <w:rsid w:val="0042138D"/>
    <w:rsid w:val="00421395"/>
    <w:rsid w:val="004213EE"/>
    <w:rsid w:val="00421465"/>
    <w:rsid w:val="00421482"/>
    <w:rsid w:val="004214BB"/>
    <w:rsid w:val="004214E5"/>
    <w:rsid w:val="004214FF"/>
    <w:rsid w:val="0042155B"/>
    <w:rsid w:val="00421621"/>
    <w:rsid w:val="0042162B"/>
    <w:rsid w:val="00421652"/>
    <w:rsid w:val="0042167E"/>
    <w:rsid w:val="0042169B"/>
    <w:rsid w:val="004216A0"/>
    <w:rsid w:val="00421813"/>
    <w:rsid w:val="0042181C"/>
    <w:rsid w:val="00421857"/>
    <w:rsid w:val="0042188F"/>
    <w:rsid w:val="00421893"/>
    <w:rsid w:val="004218CB"/>
    <w:rsid w:val="004218CD"/>
    <w:rsid w:val="004218ED"/>
    <w:rsid w:val="00421906"/>
    <w:rsid w:val="00421959"/>
    <w:rsid w:val="0042198C"/>
    <w:rsid w:val="004219B0"/>
    <w:rsid w:val="004219FB"/>
    <w:rsid w:val="00421A30"/>
    <w:rsid w:val="00421A56"/>
    <w:rsid w:val="00421B41"/>
    <w:rsid w:val="00421B4D"/>
    <w:rsid w:val="00421B64"/>
    <w:rsid w:val="00421C00"/>
    <w:rsid w:val="00421C03"/>
    <w:rsid w:val="00421C0E"/>
    <w:rsid w:val="00421C3B"/>
    <w:rsid w:val="00421C68"/>
    <w:rsid w:val="00421CF2"/>
    <w:rsid w:val="00421D76"/>
    <w:rsid w:val="00421D9D"/>
    <w:rsid w:val="00421E10"/>
    <w:rsid w:val="00421E3F"/>
    <w:rsid w:val="00421E47"/>
    <w:rsid w:val="00421F7F"/>
    <w:rsid w:val="00422028"/>
    <w:rsid w:val="00422057"/>
    <w:rsid w:val="00422067"/>
    <w:rsid w:val="00422086"/>
    <w:rsid w:val="004220A4"/>
    <w:rsid w:val="004220A9"/>
    <w:rsid w:val="004220CC"/>
    <w:rsid w:val="004220E8"/>
    <w:rsid w:val="00422145"/>
    <w:rsid w:val="00422169"/>
    <w:rsid w:val="0042216B"/>
    <w:rsid w:val="0042217E"/>
    <w:rsid w:val="004221C6"/>
    <w:rsid w:val="004221DB"/>
    <w:rsid w:val="004221DC"/>
    <w:rsid w:val="004221FE"/>
    <w:rsid w:val="00422271"/>
    <w:rsid w:val="0042228B"/>
    <w:rsid w:val="004222CD"/>
    <w:rsid w:val="00422317"/>
    <w:rsid w:val="0042237E"/>
    <w:rsid w:val="004223BB"/>
    <w:rsid w:val="004223D8"/>
    <w:rsid w:val="004224BA"/>
    <w:rsid w:val="00422574"/>
    <w:rsid w:val="00422625"/>
    <w:rsid w:val="00422629"/>
    <w:rsid w:val="00422658"/>
    <w:rsid w:val="004226F9"/>
    <w:rsid w:val="0042278D"/>
    <w:rsid w:val="00422802"/>
    <w:rsid w:val="0042285D"/>
    <w:rsid w:val="004228C1"/>
    <w:rsid w:val="00422926"/>
    <w:rsid w:val="00422948"/>
    <w:rsid w:val="00422975"/>
    <w:rsid w:val="00422985"/>
    <w:rsid w:val="004229AB"/>
    <w:rsid w:val="004229D1"/>
    <w:rsid w:val="004229E3"/>
    <w:rsid w:val="004229EF"/>
    <w:rsid w:val="00422A84"/>
    <w:rsid w:val="00422A93"/>
    <w:rsid w:val="00422AD3"/>
    <w:rsid w:val="00422B9D"/>
    <w:rsid w:val="00422BA4"/>
    <w:rsid w:val="00422BD4"/>
    <w:rsid w:val="00422C1C"/>
    <w:rsid w:val="00422C22"/>
    <w:rsid w:val="00422C5D"/>
    <w:rsid w:val="00422C62"/>
    <w:rsid w:val="00422CF9"/>
    <w:rsid w:val="00422D5D"/>
    <w:rsid w:val="00422D6B"/>
    <w:rsid w:val="00422E30"/>
    <w:rsid w:val="00422E50"/>
    <w:rsid w:val="00422E71"/>
    <w:rsid w:val="00422E90"/>
    <w:rsid w:val="00422EDF"/>
    <w:rsid w:val="00422FCA"/>
    <w:rsid w:val="004230D2"/>
    <w:rsid w:val="004230E6"/>
    <w:rsid w:val="00423121"/>
    <w:rsid w:val="0042313E"/>
    <w:rsid w:val="0042318B"/>
    <w:rsid w:val="004231DA"/>
    <w:rsid w:val="004231E0"/>
    <w:rsid w:val="00423219"/>
    <w:rsid w:val="00423223"/>
    <w:rsid w:val="00423266"/>
    <w:rsid w:val="004232A8"/>
    <w:rsid w:val="004232ED"/>
    <w:rsid w:val="00423317"/>
    <w:rsid w:val="00423328"/>
    <w:rsid w:val="0042335B"/>
    <w:rsid w:val="004233EE"/>
    <w:rsid w:val="0042347F"/>
    <w:rsid w:val="004234AC"/>
    <w:rsid w:val="004234C9"/>
    <w:rsid w:val="00423538"/>
    <w:rsid w:val="00423562"/>
    <w:rsid w:val="0042364A"/>
    <w:rsid w:val="0042365F"/>
    <w:rsid w:val="00423731"/>
    <w:rsid w:val="004237E4"/>
    <w:rsid w:val="004238AE"/>
    <w:rsid w:val="0042397A"/>
    <w:rsid w:val="00423992"/>
    <w:rsid w:val="00423A1F"/>
    <w:rsid w:val="00423A40"/>
    <w:rsid w:val="00423A71"/>
    <w:rsid w:val="00423B34"/>
    <w:rsid w:val="00423B41"/>
    <w:rsid w:val="00423BAC"/>
    <w:rsid w:val="00423BB1"/>
    <w:rsid w:val="00423BC7"/>
    <w:rsid w:val="00423BD0"/>
    <w:rsid w:val="00423CFC"/>
    <w:rsid w:val="00423D04"/>
    <w:rsid w:val="00423D1A"/>
    <w:rsid w:val="00423D84"/>
    <w:rsid w:val="00423DF3"/>
    <w:rsid w:val="00423E2C"/>
    <w:rsid w:val="00423E2F"/>
    <w:rsid w:val="00423EA7"/>
    <w:rsid w:val="00423ED0"/>
    <w:rsid w:val="00423ED3"/>
    <w:rsid w:val="00423ED5"/>
    <w:rsid w:val="00423F10"/>
    <w:rsid w:val="00423F79"/>
    <w:rsid w:val="00423FC2"/>
    <w:rsid w:val="00423FD4"/>
    <w:rsid w:val="00423FED"/>
    <w:rsid w:val="0042400B"/>
    <w:rsid w:val="00424059"/>
    <w:rsid w:val="004240B4"/>
    <w:rsid w:val="00424113"/>
    <w:rsid w:val="00424227"/>
    <w:rsid w:val="00424248"/>
    <w:rsid w:val="0042424C"/>
    <w:rsid w:val="004242D6"/>
    <w:rsid w:val="004242E3"/>
    <w:rsid w:val="004242E5"/>
    <w:rsid w:val="00424391"/>
    <w:rsid w:val="004243CE"/>
    <w:rsid w:val="004243D3"/>
    <w:rsid w:val="00424449"/>
    <w:rsid w:val="004244BD"/>
    <w:rsid w:val="00424515"/>
    <w:rsid w:val="00424535"/>
    <w:rsid w:val="00424566"/>
    <w:rsid w:val="00424586"/>
    <w:rsid w:val="004245C8"/>
    <w:rsid w:val="00424610"/>
    <w:rsid w:val="0042462B"/>
    <w:rsid w:val="00424645"/>
    <w:rsid w:val="00424653"/>
    <w:rsid w:val="004246A6"/>
    <w:rsid w:val="00424701"/>
    <w:rsid w:val="0042470A"/>
    <w:rsid w:val="0042475C"/>
    <w:rsid w:val="0042481E"/>
    <w:rsid w:val="00424832"/>
    <w:rsid w:val="0042486E"/>
    <w:rsid w:val="0042491A"/>
    <w:rsid w:val="0042499B"/>
    <w:rsid w:val="004249D1"/>
    <w:rsid w:val="004249DD"/>
    <w:rsid w:val="00424A16"/>
    <w:rsid w:val="00424AE3"/>
    <w:rsid w:val="00424B2D"/>
    <w:rsid w:val="00424B3B"/>
    <w:rsid w:val="00424B4B"/>
    <w:rsid w:val="00424B58"/>
    <w:rsid w:val="00424B9F"/>
    <w:rsid w:val="00424BCF"/>
    <w:rsid w:val="00424BD2"/>
    <w:rsid w:val="00424BE6"/>
    <w:rsid w:val="00424C00"/>
    <w:rsid w:val="00424C49"/>
    <w:rsid w:val="00424CBE"/>
    <w:rsid w:val="00424D01"/>
    <w:rsid w:val="00424D78"/>
    <w:rsid w:val="00424D8C"/>
    <w:rsid w:val="00424DA2"/>
    <w:rsid w:val="00424E58"/>
    <w:rsid w:val="00424E77"/>
    <w:rsid w:val="00424F03"/>
    <w:rsid w:val="00424F1F"/>
    <w:rsid w:val="00424F62"/>
    <w:rsid w:val="00424FEB"/>
    <w:rsid w:val="00425014"/>
    <w:rsid w:val="0042508A"/>
    <w:rsid w:val="004250F9"/>
    <w:rsid w:val="00425102"/>
    <w:rsid w:val="0042510C"/>
    <w:rsid w:val="0042512C"/>
    <w:rsid w:val="00425161"/>
    <w:rsid w:val="0042517C"/>
    <w:rsid w:val="0042526A"/>
    <w:rsid w:val="0042526F"/>
    <w:rsid w:val="0042529C"/>
    <w:rsid w:val="004252AA"/>
    <w:rsid w:val="004252AE"/>
    <w:rsid w:val="004252BB"/>
    <w:rsid w:val="004252FB"/>
    <w:rsid w:val="004253E3"/>
    <w:rsid w:val="0042541E"/>
    <w:rsid w:val="00425437"/>
    <w:rsid w:val="00425495"/>
    <w:rsid w:val="004254C6"/>
    <w:rsid w:val="004254D5"/>
    <w:rsid w:val="00425516"/>
    <w:rsid w:val="0042552C"/>
    <w:rsid w:val="00425533"/>
    <w:rsid w:val="0042553B"/>
    <w:rsid w:val="00425557"/>
    <w:rsid w:val="00425577"/>
    <w:rsid w:val="00425637"/>
    <w:rsid w:val="0042566C"/>
    <w:rsid w:val="00425679"/>
    <w:rsid w:val="004256FF"/>
    <w:rsid w:val="00425705"/>
    <w:rsid w:val="00425718"/>
    <w:rsid w:val="00425723"/>
    <w:rsid w:val="00425732"/>
    <w:rsid w:val="00425739"/>
    <w:rsid w:val="00425803"/>
    <w:rsid w:val="00425853"/>
    <w:rsid w:val="00425854"/>
    <w:rsid w:val="00425896"/>
    <w:rsid w:val="004258BC"/>
    <w:rsid w:val="00425901"/>
    <w:rsid w:val="00425914"/>
    <w:rsid w:val="004259C8"/>
    <w:rsid w:val="004259CB"/>
    <w:rsid w:val="00425A0B"/>
    <w:rsid w:val="00425A9E"/>
    <w:rsid w:val="00425AD2"/>
    <w:rsid w:val="00425B0C"/>
    <w:rsid w:val="00425B8D"/>
    <w:rsid w:val="00425C10"/>
    <w:rsid w:val="00425C92"/>
    <w:rsid w:val="00425CDD"/>
    <w:rsid w:val="00425CF0"/>
    <w:rsid w:val="00425D35"/>
    <w:rsid w:val="00425D47"/>
    <w:rsid w:val="00425D4C"/>
    <w:rsid w:val="00425D6D"/>
    <w:rsid w:val="00425DA6"/>
    <w:rsid w:val="00425E26"/>
    <w:rsid w:val="00425E58"/>
    <w:rsid w:val="00425E90"/>
    <w:rsid w:val="00425F01"/>
    <w:rsid w:val="00425F95"/>
    <w:rsid w:val="00425FB8"/>
    <w:rsid w:val="0042600A"/>
    <w:rsid w:val="0042602E"/>
    <w:rsid w:val="004260E4"/>
    <w:rsid w:val="004260FA"/>
    <w:rsid w:val="00426157"/>
    <w:rsid w:val="00426170"/>
    <w:rsid w:val="0042617F"/>
    <w:rsid w:val="004261C1"/>
    <w:rsid w:val="00426202"/>
    <w:rsid w:val="00426241"/>
    <w:rsid w:val="0042625E"/>
    <w:rsid w:val="004262C7"/>
    <w:rsid w:val="004262FB"/>
    <w:rsid w:val="00426319"/>
    <w:rsid w:val="004263C1"/>
    <w:rsid w:val="004263DF"/>
    <w:rsid w:val="004263E4"/>
    <w:rsid w:val="0042641C"/>
    <w:rsid w:val="0042653B"/>
    <w:rsid w:val="004265C4"/>
    <w:rsid w:val="004265FF"/>
    <w:rsid w:val="0042660A"/>
    <w:rsid w:val="0042662B"/>
    <w:rsid w:val="0042665B"/>
    <w:rsid w:val="00426678"/>
    <w:rsid w:val="004266BF"/>
    <w:rsid w:val="00426707"/>
    <w:rsid w:val="00426748"/>
    <w:rsid w:val="0042675F"/>
    <w:rsid w:val="004267B2"/>
    <w:rsid w:val="00426855"/>
    <w:rsid w:val="00426856"/>
    <w:rsid w:val="0042685E"/>
    <w:rsid w:val="00426880"/>
    <w:rsid w:val="004268D8"/>
    <w:rsid w:val="004268EF"/>
    <w:rsid w:val="0042694B"/>
    <w:rsid w:val="004269B1"/>
    <w:rsid w:val="00426A1F"/>
    <w:rsid w:val="00426B2F"/>
    <w:rsid w:val="00426B3B"/>
    <w:rsid w:val="00426B6B"/>
    <w:rsid w:val="00426B8D"/>
    <w:rsid w:val="00426BB6"/>
    <w:rsid w:val="00426BB7"/>
    <w:rsid w:val="00426C0C"/>
    <w:rsid w:val="00426C0F"/>
    <w:rsid w:val="00426C34"/>
    <w:rsid w:val="00426C4B"/>
    <w:rsid w:val="00426CC2"/>
    <w:rsid w:val="00426CC6"/>
    <w:rsid w:val="00426D9B"/>
    <w:rsid w:val="00426DD1"/>
    <w:rsid w:val="00426DE9"/>
    <w:rsid w:val="00426DFF"/>
    <w:rsid w:val="00426E44"/>
    <w:rsid w:val="00426EAD"/>
    <w:rsid w:val="00426F2B"/>
    <w:rsid w:val="00427001"/>
    <w:rsid w:val="00427011"/>
    <w:rsid w:val="0042701A"/>
    <w:rsid w:val="004270B2"/>
    <w:rsid w:val="004270BA"/>
    <w:rsid w:val="004270C1"/>
    <w:rsid w:val="004270D8"/>
    <w:rsid w:val="0042721B"/>
    <w:rsid w:val="00427245"/>
    <w:rsid w:val="0042727B"/>
    <w:rsid w:val="004272A0"/>
    <w:rsid w:val="004272C6"/>
    <w:rsid w:val="00427331"/>
    <w:rsid w:val="00427363"/>
    <w:rsid w:val="00427376"/>
    <w:rsid w:val="004273D9"/>
    <w:rsid w:val="00427425"/>
    <w:rsid w:val="0042747D"/>
    <w:rsid w:val="004274CC"/>
    <w:rsid w:val="004274DC"/>
    <w:rsid w:val="004274F8"/>
    <w:rsid w:val="004274FC"/>
    <w:rsid w:val="00427520"/>
    <w:rsid w:val="00427538"/>
    <w:rsid w:val="00427580"/>
    <w:rsid w:val="004275A4"/>
    <w:rsid w:val="004275DA"/>
    <w:rsid w:val="00427609"/>
    <w:rsid w:val="0042764F"/>
    <w:rsid w:val="00427654"/>
    <w:rsid w:val="0042767F"/>
    <w:rsid w:val="00427684"/>
    <w:rsid w:val="004277A3"/>
    <w:rsid w:val="004277A5"/>
    <w:rsid w:val="004277EA"/>
    <w:rsid w:val="004277F6"/>
    <w:rsid w:val="004277FD"/>
    <w:rsid w:val="0042785A"/>
    <w:rsid w:val="0042789E"/>
    <w:rsid w:val="004278FC"/>
    <w:rsid w:val="00427931"/>
    <w:rsid w:val="004279A4"/>
    <w:rsid w:val="004279B7"/>
    <w:rsid w:val="004279C2"/>
    <w:rsid w:val="004279CC"/>
    <w:rsid w:val="004279D7"/>
    <w:rsid w:val="004279F5"/>
    <w:rsid w:val="004279FC"/>
    <w:rsid w:val="00427A07"/>
    <w:rsid w:val="00427A1E"/>
    <w:rsid w:val="00427A5C"/>
    <w:rsid w:val="00427A7D"/>
    <w:rsid w:val="00427AC3"/>
    <w:rsid w:val="00427ADD"/>
    <w:rsid w:val="00427B2E"/>
    <w:rsid w:val="00427C0C"/>
    <w:rsid w:val="00427C36"/>
    <w:rsid w:val="00427C54"/>
    <w:rsid w:val="00427C93"/>
    <w:rsid w:val="00427CD6"/>
    <w:rsid w:val="00427CEB"/>
    <w:rsid w:val="00427D0E"/>
    <w:rsid w:val="00427D38"/>
    <w:rsid w:val="00427D71"/>
    <w:rsid w:val="00427D73"/>
    <w:rsid w:val="00427DB8"/>
    <w:rsid w:val="00427DF5"/>
    <w:rsid w:val="00427E01"/>
    <w:rsid w:val="00427E1F"/>
    <w:rsid w:val="00427E33"/>
    <w:rsid w:val="00427E35"/>
    <w:rsid w:val="00427E5A"/>
    <w:rsid w:val="00427E82"/>
    <w:rsid w:val="00427ECC"/>
    <w:rsid w:val="00427F92"/>
    <w:rsid w:val="00427FA7"/>
    <w:rsid w:val="00430073"/>
    <w:rsid w:val="004300A9"/>
    <w:rsid w:val="00430131"/>
    <w:rsid w:val="0043013B"/>
    <w:rsid w:val="004301C2"/>
    <w:rsid w:val="004301D0"/>
    <w:rsid w:val="004301E6"/>
    <w:rsid w:val="004301F4"/>
    <w:rsid w:val="0043026D"/>
    <w:rsid w:val="004302A8"/>
    <w:rsid w:val="004302D1"/>
    <w:rsid w:val="00430302"/>
    <w:rsid w:val="00430308"/>
    <w:rsid w:val="0043034C"/>
    <w:rsid w:val="00430380"/>
    <w:rsid w:val="00430383"/>
    <w:rsid w:val="004303C0"/>
    <w:rsid w:val="004303CC"/>
    <w:rsid w:val="00430483"/>
    <w:rsid w:val="004304AC"/>
    <w:rsid w:val="00430529"/>
    <w:rsid w:val="004305C1"/>
    <w:rsid w:val="004305E9"/>
    <w:rsid w:val="0043061D"/>
    <w:rsid w:val="0043067F"/>
    <w:rsid w:val="004306DA"/>
    <w:rsid w:val="004306E8"/>
    <w:rsid w:val="0043070C"/>
    <w:rsid w:val="00430724"/>
    <w:rsid w:val="0043072E"/>
    <w:rsid w:val="0043077C"/>
    <w:rsid w:val="004307D2"/>
    <w:rsid w:val="0043081D"/>
    <w:rsid w:val="00430845"/>
    <w:rsid w:val="00430858"/>
    <w:rsid w:val="004308B5"/>
    <w:rsid w:val="004308BD"/>
    <w:rsid w:val="00430971"/>
    <w:rsid w:val="00430975"/>
    <w:rsid w:val="00430982"/>
    <w:rsid w:val="00430988"/>
    <w:rsid w:val="004309FA"/>
    <w:rsid w:val="00430A79"/>
    <w:rsid w:val="00430A9B"/>
    <w:rsid w:val="00430AD3"/>
    <w:rsid w:val="00430B0B"/>
    <w:rsid w:val="00430B1A"/>
    <w:rsid w:val="00430B1E"/>
    <w:rsid w:val="00430B6C"/>
    <w:rsid w:val="00430B6F"/>
    <w:rsid w:val="00430B81"/>
    <w:rsid w:val="00430BD3"/>
    <w:rsid w:val="00430D11"/>
    <w:rsid w:val="00430DCC"/>
    <w:rsid w:val="00430DE4"/>
    <w:rsid w:val="00430F61"/>
    <w:rsid w:val="00430FA0"/>
    <w:rsid w:val="00430FC4"/>
    <w:rsid w:val="00430FCE"/>
    <w:rsid w:val="0043100F"/>
    <w:rsid w:val="00431011"/>
    <w:rsid w:val="00431045"/>
    <w:rsid w:val="00431048"/>
    <w:rsid w:val="0043105D"/>
    <w:rsid w:val="0043106B"/>
    <w:rsid w:val="0043110B"/>
    <w:rsid w:val="00431111"/>
    <w:rsid w:val="00431118"/>
    <w:rsid w:val="00431134"/>
    <w:rsid w:val="00431163"/>
    <w:rsid w:val="004311A2"/>
    <w:rsid w:val="0043123E"/>
    <w:rsid w:val="00431253"/>
    <w:rsid w:val="0043125A"/>
    <w:rsid w:val="0043128B"/>
    <w:rsid w:val="004312D3"/>
    <w:rsid w:val="0043137E"/>
    <w:rsid w:val="004313B5"/>
    <w:rsid w:val="00431408"/>
    <w:rsid w:val="0043141B"/>
    <w:rsid w:val="00431490"/>
    <w:rsid w:val="0043152B"/>
    <w:rsid w:val="00431653"/>
    <w:rsid w:val="00431689"/>
    <w:rsid w:val="00431709"/>
    <w:rsid w:val="0043175A"/>
    <w:rsid w:val="0043179A"/>
    <w:rsid w:val="004317C5"/>
    <w:rsid w:val="004317F8"/>
    <w:rsid w:val="00431866"/>
    <w:rsid w:val="00431896"/>
    <w:rsid w:val="004318B3"/>
    <w:rsid w:val="004318E7"/>
    <w:rsid w:val="0043194F"/>
    <w:rsid w:val="0043198A"/>
    <w:rsid w:val="0043199E"/>
    <w:rsid w:val="004319C7"/>
    <w:rsid w:val="004319C8"/>
    <w:rsid w:val="00431A74"/>
    <w:rsid w:val="00431A81"/>
    <w:rsid w:val="00431ABA"/>
    <w:rsid w:val="00431B1E"/>
    <w:rsid w:val="00431BA1"/>
    <w:rsid w:val="00431C63"/>
    <w:rsid w:val="00431C77"/>
    <w:rsid w:val="00431C96"/>
    <w:rsid w:val="00431CB1"/>
    <w:rsid w:val="00431D6E"/>
    <w:rsid w:val="00431D9B"/>
    <w:rsid w:val="00431DD8"/>
    <w:rsid w:val="00431DE1"/>
    <w:rsid w:val="00431DF8"/>
    <w:rsid w:val="00431E4A"/>
    <w:rsid w:val="00431E98"/>
    <w:rsid w:val="00431F33"/>
    <w:rsid w:val="00432052"/>
    <w:rsid w:val="00432064"/>
    <w:rsid w:val="00432073"/>
    <w:rsid w:val="004320AF"/>
    <w:rsid w:val="0043212A"/>
    <w:rsid w:val="004321B7"/>
    <w:rsid w:val="004321CB"/>
    <w:rsid w:val="004321CF"/>
    <w:rsid w:val="0043220C"/>
    <w:rsid w:val="0043221A"/>
    <w:rsid w:val="00432278"/>
    <w:rsid w:val="00432286"/>
    <w:rsid w:val="004323BC"/>
    <w:rsid w:val="004323C5"/>
    <w:rsid w:val="004323DC"/>
    <w:rsid w:val="0043240A"/>
    <w:rsid w:val="00432420"/>
    <w:rsid w:val="00432454"/>
    <w:rsid w:val="004324E6"/>
    <w:rsid w:val="00432533"/>
    <w:rsid w:val="0043254B"/>
    <w:rsid w:val="00432554"/>
    <w:rsid w:val="0043256E"/>
    <w:rsid w:val="004325F2"/>
    <w:rsid w:val="00432630"/>
    <w:rsid w:val="00432657"/>
    <w:rsid w:val="0043268F"/>
    <w:rsid w:val="0043278B"/>
    <w:rsid w:val="004327E7"/>
    <w:rsid w:val="004327F7"/>
    <w:rsid w:val="0043281E"/>
    <w:rsid w:val="0043281F"/>
    <w:rsid w:val="00432858"/>
    <w:rsid w:val="0043289D"/>
    <w:rsid w:val="004328AF"/>
    <w:rsid w:val="00432936"/>
    <w:rsid w:val="0043293E"/>
    <w:rsid w:val="0043295F"/>
    <w:rsid w:val="00432991"/>
    <w:rsid w:val="004329C3"/>
    <w:rsid w:val="004329E5"/>
    <w:rsid w:val="004329F8"/>
    <w:rsid w:val="00432A02"/>
    <w:rsid w:val="00432A49"/>
    <w:rsid w:val="00432B03"/>
    <w:rsid w:val="00432B98"/>
    <w:rsid w:val="00432BB0"/>
    <w:rsid w:val="00432BDA"/>
    <w:rsid w:val="00432C20"/>
    <w:rsid w:val="00432CA6"/>
    <w:rsid w:val="00432D83"/>
    <w:rsid w:val="00432DA9"/>
    <w:rsid w:val="00432DB9"/>
    <w:rsid w:val="00432E0F"/>
    <w:rsid w:val="00432E53"/>
    <w:rsid w:val="00432E5F"/>
    <w:rsid w:val="00432E74"/>
    <w:rsid w:val="00432E7F"/>
    <w:rsid w:val="00432E92"/>
    <w:rsid w:val="00433039"/>
    <w:rsid w:val="0043311F"/>
    <w:rsid w:val="004331CA"/>
    <w:rsid w:val="004331F6"/>
    <w:rsid w:val="00433208"/>
    <w:rsid w:val="00433285"/>
    <w:rsid w:val="004332DF"/>
    <w:rsid w:val="00433322"/>
    <w:rsid w:val="00433324"/>
    <w:rsid w:val="00433367"/>
    <w:rsid w:val="004333AD"/>
    <w:rsid w:val="004333D0"/>
    <w:rsid w:val="00433458"/>
    <w:rsid w:val="004335B4"/>
    <w:rsid w:val="004335D7"/>
    <w:rsid w:val="004335ED"/>
    <w:rsid w:val="00433669"/>
    <w:rsid w:val="0043366F"/>
    <w:rsid w:val="00433708"/>
    <w:rsid w:val="0043371E"/>
    <w:rsid w:val="0043375C"/>
    <w:rsid w:val="00433806"/>
    <w:rsid w:val="00433859"/>
    <w:rsid w:val="0043388F"/>
    <w:rsid w:val="00433897"/>
    <w:rsid w:val="004338B6"/>
    <w:rsid w:val="0043392B"/>
    <w:rsid w:val="00433936"/>
    <w:rsid w:val="00433958"/>
    <w:rsid w:val="004339C6"/>
    <w:rsid w:val="004339CD"/>
    <w:rsid w:val="004339DD"/>
    <w:rsid w:val="00433A25"/>
    <w:rsid w:val="00433A58"/>
    <w:rsid w:val="00433B25"/>
    <w:rsid w:val="00433B60"/>
    <w:rsid w:val="00433B7F"/>
    <w:rsid w:val="00433B84"/>
    <w:rsid w:val="00433C46"/>
    <w:rsid w:val="00433CA5"/>
    <w:rsid w:val="00433CF4"/>
    <w:rsid w:val="00433D77"/>
    <w:rsid w:val="00433D81"/>
    <w:rsid w:val="00433DA4"/>
    <w:rsid w:val="00433DCA"/>
    <w:rsid w:val="00433E1C"/>
    <w:rsid w:val="00433E3C"/>
    <w:rsid w:val="00433E42"/>
    <w:rsid w:val="00433E94"/>
    <w:rsid w:val="00433EC8"/>
    <w:rsid w:val="00433FD7"/>
    <w:rsid w:val="00433FF7"/>
    <w:rsid w:val="00434082"/>
    <w:rsid w:val="004340C5"/>
    <w:rsid w:val="004340D9"/>
    <w:rsid w:val="004340ED"/>
    <w:rsid w:val="00434116"/>
    <w:rsid w:val="0043414C"/>
    <w:rsid w:val="00434165"/>
    <w:rsid w:val="0043416A"/>
    <w:rsid w:val="00434187"/>
    <w:rsid w:val="00434193"/>
    <w:rsid w:val="004341A6"/>
    <w:rsid w:val="004341C7"/>
    <w:rsid w:val="004341F0"/>
    <w:rsid w:val="00434258"/>
    <w:rsid w:val="00434276"/>
    <w:rsid w:val="0043427D"/>
    <w:rsid w:val="00434290"/>
    <w:rsid w:val="004342AF"/>
    <w:rsid w:val="0043431E"/>
    <w:rsid w:val="0043436C"/>
    <w:rsid w:val="00434371"/>
    <w:rsid w:val="00434390"/>
    <w:rsid w:val="004343B6"/>
    <w:rsid w:val="00434435"/>
    <w:rsid w:val="00434453"/>
    <w:rsid w:val="004344D7"/>
    <w:rsid w:val="004344DF"/>
    <w:rsid w:val="0043452F"/>
    <w:rsid w:val="00434545"/>
    <w:rsid w:val="0043454F"/>
    <w:rsid w:val="0043462A"/>
    <w:rsid w:val="00434668"/>
    <w:rsid w:val="004346AF"/>
    <w:rsid w:val="004346BA"/>
    <w:rsid w:val="004346E9"/>
    <w:rsid w:val="004346F2"/>
    <w:rsid w:val="00434703"/>
    <w:rsid w:val="00434768"/>
    <w:rsid w:val="004347A8"/>
    <w:rsid w:val="004347AA"/>
    <w:rsid w:val="00434805"/>
    <w:rsid w:val="00434838"/>
    <w:rsid w:val="0043484F"/>
    <w:rsid w:val="00434860"/>
    <w:rsid w:val="0043486E"/>
    <w:rsid w:val="004348CA"/>
    <w:rsid w:val="0043491C"/>
    <w:rsid w:val="00434928"/>
    <w:rsid w:val="0043495C"/>
    <w:rsid w:val="0043496C"/>
    <w:rsid w:val="004349BB"/>
    <w:rsid w:val="004349DC"/>
    <w:rsid w:val="00434A06"/>
    <w:rsid w:val="00434A0B"/>
    <w:rsid w:val="00434A17"/>
    <w:rsid w:val="00434A45"/>
    <w:rsid w:val="00434A7E"/>
    <w:rsid w:val="00434AF5"/>
    <w:rsid w:val="00434B57"/>
    <w:rsid w:val="00434B61"/>
    <w:rsid w:val="00434B9C"/>
    <w:rsid w:val="00434BC1"/>
    <w:rsid w:val="00434BDB"/>
    <w:rsid w:val="00434C47"/>
    <w:rsid w:val="00434C53"/>
    <w:rsid w:val="00434C7C"/>
    <w:rsid w:val="00434CC0"/>
    <w:rsid w:val="00434D62"/>
    <w:rsid w:val="00434DC4"/>
    <w:rsid w:val="00434E2D"/>
    <w:rsid w:val="00434F83"/>
    <w:rsid w:val="0043500F"/>
    <w:rsid w:val="00435077"/>
    <w:rsid w:val="004350D6"/>
    <w:rsid w:val="00435116"/>
    <w:rsid w:val="0043515E"/>
    <w:rsid w:val="00435179"/>
    <w:rsid w:val="00435240"/>
    <w:rsid w:val="00435242"/>
    <w:rsid w:val="00435246"/>
    <w:rsid w:val="004352B1"/>
    <w:rsid w:val="004352BD"/>
    <w:rsid w:val="00435404"/>
    <w:rsid w:val="0043548F"/>
    <w:rsid w:val="004354A4"/>
    <w:rsid w:val="004354D0"/>
    <w:rsid w:val="004354F6"/>
    <w:rsid w:val="00435534"/>
    <w:rsid w:val="0043555B"/>
    <w:rsid w:val="004355B8"/>
    <w:rsid w:val="004355D7"/>
    <w:rsid w:val="0043576E"/>
    <w:rsid w:val="004357D1"/>
    <w:rsid w:val="0043586E"/>
    <w:rsid w:val="004358AD"/>
    <w:rsid w:val="00435918"/>
    <w:rsid w:val="00435964"/>
    <w:rsid w:val="004359AA"/>
    <w:rsid w:val="004359BE"/>
    <w:rsid w:val="004359D2"/>
    <w:rsid w:val="00435A18"/>
    <w:rsid w:val="00435A1E"/>
    <w:rsid w:val="00435A6F"/>
    <w:rsid w:val="00435AF5"/>
    <w:rsid w:val="00435C24"/>
    <w:rsid w:val="00435D29"/>
    <w:rsid w:val="00435D5D"/>
    <w:rsid w:val="00435DD2"/>
    <w:rsid w:val="00435E66"/>
    <w:rsid w:val="00435E6C"/>
    <w:rsid w:val="00435E7C"/>
    <w:rsid w:val="00435F4C"/>
    <w:rsid w:val="0043601D"/>
    <w:rsid w:val="00436051"/>
    <w:rsid w:val="00436070"/>
    <w:rsid w:val="0043609B"/>
    <w:rsid w:val="004360C4"/>
    <w:rsid w:val="004360D9"/>
    <w:rsid w:val="0043618D"/>
    <w:rsid w:val="004361D8"/>
    <w:rsid w:val="004361F6"/>
    <w:rsid w:val="00436222"/>
    <w:rsid w:val="0043622A"/>
    <w:rsid w:val="00436258"/>
    <w:rsid w:val="00436262"/>
    <w:rsid w:val="004362B8"/>
    <w:rsid w:val="00436348"/>
    <w:rsid w:val="0043634B"/>
    <w:rsid w:val="004363A6"/>
    <w:rsid w:val="0043642D"/>
    <w:rsid w:val="00436573"/>
    <w:rsid w:val="004365CB"/>
    <w:rsid w:val="0043664A"/>
    <w:rsid w:val="00436674"/>
    <w:rsid w:val="004366B0"/>
    <w:rsid w:val="004366E8"/>
    <w:rsid w:val="00436734"/>
    <w:rsid w:val="00436774"/>
    <w:rsid w:val="004367C9"/>
    <w:rsid w:val="0043686F"/>
    <w:rsid w:val="004368D1"/>
    <w:rsid w:val="004368FC"/>
    <w:rsid w:val="004369A7"/>
    <w:rsid w:val="00436A30"/>
    <w:rsid w:val="00436A41"/>
    <w:rsid w:val="00436A83"/>
    <w:rsid w:val="00436A8E"/>
    <w:rsid w:val="00436AA6"/>
    <w:rsid w:val="00436AAB"/>
    <w:rsid w:val="00436AB9"/>
    <w:rsid w:val="00436B30"/>
    <w:rsid w:val="00436B37"/>
    <w:rsid w:val="00436B8E"/>
    <w:rsid w:val="00436BBB"/>
    <w:rsid w:val="00436C56"/>
    <w:rsid w:val="00436CA6"/>
    <w:rsid w:val="00436CDB"/>
    <w:rsid w:val="00436D4E"/>
    <w:rsid w:val="00436DBD"/>
    <w:rsid w:val="00436E2F"/>
    <w:rsid w:val="00436E5B"/>
    <w:rsid w:val="00436E74"/>
    <w:rsid w:val="00436ECF"/>
    <w:rsid w:val="00436EFA"/>
    <w:rsid w:val="00436F01"/>
    <w:rsid w:val="00436F8D"/>
    <w:rsid w:val="00436F8E"/>
    <w:rsid w:val="00436F9A"/>
    <w:rsid w:val="00436FB8"/>
    <w:rsid w:val="004370CD"/>
    <w:rsid w:val="00437117"/>
    <w:rsid w:val="0043716D"/>
    <w:rsid w:val="004371EE"/>
    <w:rsid w:val="004371FE"/>
    <w:rsid w:val="0043732C"/>
    <w:rsid w:val="00437333"/>
    <w:rsid w:val="0043734E"/>
    <w:rsid w:val="00437370"/>
    <w:rsid w:val="00437401"/>
    <w:rsid w:val="0043741E"/>
    <w:rsid w:val="004374A9"/>
    <w:rsid w:val="004374C6"/>
    <w:rsid w:val="004374CE"/>
    <w:rsid w:val="00437506"/>
    <w:rsid w:val="00437586"/>
    <w:rsid w:val="0043759E"/>
    <w:rsid w:val="004375F0"/>
    <w:rsid w:val="0043762F"/>
    <w:rsid w:val="004376DD"/>
    <w:rsid w:val="004376EC"/>
    <w:rsid w:val="0043772B"/>
    <w:rsid w:val="00437753"/>
    <w:rsid w:val="0043776A"/>
    <w:rsid w:val="00437776"/>
    <w:rsid w:val="0043782D"/>
    <w:rsid w:val="00437841"/>
    <w:rsid w:val="00437863"/>
    <w:rsid w:val="004378A9"/>
    <w:rsid w:val="0043791D"/>
    <w:rsid w:val="0043793F"/>
    <w:rsid w:val="00437955"/>
    <w:rsid w:val="00437991"/>
    <w:rsid w:val="004379AF"/>
    <w:rsid w:val="004379F2"/>
    <w:rsid w:val="00437A70"/>
    <w:rsid w:val="00437A75"/>
    <w:rsid w:val="00437ACD"/>
    <w:rsid w:val="00437B97"/>
    <w:rsid w:val="00437C0A"/>
    <w:rsid w:val="00437C5F"/>
    <w:rsid w:val="00437CA7"/>
    <w:rsid w:val="00437CE8"/>
    <w:rsid w:val="00437CF6"/>
    <w:rsid w:val="00437D69"/>
    <w:rsid w:val="00437D91"/>
    <w:rsid w:val="00437DAB"/>
    <w:rsid w:val="00437DCC"/>
    <w:rsid w:val="00437E4D"/>
    <w:rsid w:val="00437E71"/>
    <w:rsid w:val="00437E9B"/>
    <w:rsid w:val="00437EF3"/>
    <w:rsid w:val="00437EF9"/>
    <w:rsid w:val="00437F46"/>
    <w:rsid w:val="00437FBE"/>
    <w:rsid w:val="00437FD7"/>
    <w:rsid w:val="00439F17"/>
    <w:rsid w:val="00440009"/>
    <w:rsid w:val="0044001F"/>
    <w:rsid w:val="004400AC"/>
    <w:rsid w:val="00440137"/>
    <w:rsid w:val="0044013B"/>
    <w:rsid w:val="00440141"/>
    <w:rsid w:val="0044014E"/>
    <w:rsid w:val="0044016F"/>
    <w:rsid w:val="004401AC"/>
    <w:rsid w:val="004401DE"/>
    <w:rsid w:val="00440202"/>
    <w:rsid w:val="0044020A"/>
    <w:rsid w:val="00440265"/>
    <w:rsid w:val="004402A9"/>
    <w:rsid w:val="004402B1"/>
    <w:rsid w:val="004402D0"/>
    <w:rsid w:val="004402ED"/>
    <w:rsid w:val="00440362"/>
    <w:rsid w:val="00440396"/>
    <w:rsid w:val="004403E5"/>
    <w:rsid w:val="00440423"/>
    <w:rsid w:val="004404AA"/>
    <w:rsid w:val="004404C6"/>
    <w:rsid w:val="004404CB"/>
    <w:rsid w:val="004404CD"/>
    <w:rsid w:val="004404F5"/>
    <w:rsid w:val="0044053D"/>
    <w:rsid w:val="00440572"/>
    <w:rsid w:val="004405E9"/>
    <w:rsid w:val="004405FF"/>
    <w:rsid w:val="00440651"/>
    <w:rsid w:val="00440695"/>
    <w:rsid w:val="00440740"/>
    <w:rsid w:val="0044075D"/>
    <w:rsid w:val="0044076E"/>
    <w:rsid w:val="00440826"/>
    <w:rsid w:val="00440880"/>
    <w:rsid w:val="00440884"/>
    <w:rsid w:val="00440897"/>
    <w:rsid w:val="004408CA"/>
    <w:rsid w:val="0044091C"/>
    <w:rsid w:val="0044093E"/>
    <w:rsid w:val="004409E5"/>
    <w:rsid w:val="00440A04"/>
    <w:rsid w:val="00440ABE"/>
    <w:rsid w:val="00440B23"/>
    <w:rsid w:val="00440B65"/>
    <w:rsid w:val="00440B75"/>
    <w:rsid w:val="00440BA4"/>
    <w:rsid w:val="00440C64"/>
    <w:rsid w:val="00440CBF"/>
    <w:rsid w:val="00440CC4"/>
    <w:rsid w:val="00440CDE"/>
    <w:rsid w:val="00440D46"/>
    <w:rsid w:val="00440D8B"/>
    <w:rsid w:val="00440D9F"/>
    <w:rsid w:val="00440DBA"/>
    <w:rsid w:val="00440DBF"/>
    <w:rsid w:val="00440DDC"/>
    <w:rsid w:val="00440E50"/>
    <w:rsid w:val="00440E73"/>
    <w:rsid w:val="00440FC7"/>
    <w:rsid w:val="00440FCF"/>
    <w:rsid w:val="00440FE2"/>
    <w:rsid w:val="0044101E"/>
    <w:rsid w:val="00441033"/>
    <w:rsid w:val="004410F0"/>
    <w:rsid w:val="0044110B"/>
    <w:rsid w:val="00441282"/>
    <w:rsid w:val="004412C6"/>
    <w:rsid w:val="00441379"/>
    <w:rsid w:val="0044149E"/>
    <w:rsid w:val="004414CD"/>
    <w:rsid w:val="004414D8"/>
    <w:rsid w:val="00441529"/>
    <w:rsid w:val="00441546"/>
    <w:rsid w:val="0044160B"/>
    <w:rsid w:val="00441625"/>
    <w:rsid w:val="00441658"/>
    <w:rsid w:val="0044165D"/>
    <w:rsid w:val="004416CD"/>
    <w:rsid w:val="004416E5"/>
    <w:rsid w:val="00441848"/>
    <w:rsid w:val="004418F6"/>
    <w:rsid w:val="0044191D"/>
    <w:rsid w:val="0044191F"/>
    <w:rsid w:val="00441936"/>
    <w:rsid w:val="00441960"/>
    <w:rsid w:val="0044196E"/>
    <w:rsid w:val="00441996"/>
    <w:rsid w:val="004419CF"/>
    <w:rsid w:val="00441A17"/>
    <w:rsid w:val="00441A7A"/>
    <w:rsid w:val="00441AC3"/>
    <w:rsid w:val="00441AFE"/>
    <w:rsid w:val="00441B26"/>
    <w:rsid w:val="00441C24"/>
    <w:rsid w:val="00441C69"/>
    <w:rsid w:val="00441CE4"/>
    <w:rsid w:val="00441D01"/>
    <w:rsid w:val="00441D59"/>
    <w:rsid w:val="00441D64"/>
    <w:rsid w:val="00441D7E"/>
    <w:rsid w:val="00441DA4"/>
    <w:rsid w:val="00441DB0"/>
    <w:rsid w:val="00441DCA"/>
    <w:rsid w:val="00441E01"/>
    <w:rsid w:val="00441E26"/>
    <w:rsid w:val="00441E39"/>
    <w:rsid w:val="00441E89"/>
    <w:rsid w:val="00441EA5"/>
    <w:rsid w:val="00441EBC"/>
    <w:rsid w:val="00441EFC"/>
    <w:rsid w:val="00441F32"/>
    <w:rsid w:val="00441F5F"/>
    <w:rsid w:val="00441F83"/>
    <w:rsid w:val="00442040"/>
    <w:rsid w:val="004420A6"/>
    <w:rsid w:val="0044211B"/>
    <w:rsid w:val="00442125"/>
    <w:rsid w:val="0044212C"/>
    <w:rsid w:val="0044217C"/>
    <w:rsid w:val="004421AD"/>
    <w:rsid w:val="004421C9"/>
    <w:rsid w:val="004421EB"/>
    <w:rsid w:val="0044221B"/>
    <w:rsid w:val="0044223A"/>
    <w:rsid w:val="004422AA"/>
    <w:rsid w:val="004422DD"/>
    <w:rsid w:val="004422F8"/>
    <w:rsid w:val="0044232B"/>
    <w:rsid w:val="00442344"/>
    <w:rsid w:val="00442354"/>
    <w:rsid w:val="00442397"/>
    <w:rsid w:val="004423B1"/>
    <w:rsid w:val="004423DE"/>
    <w:rsid w:val="00442401"/>
    <w:rsid w:val="0044240A"/>
    <w:rsid w:val="00442423"/>
    <w:rsid w:val="0044243F"/>
    <w:rsid w:val="00442450"/>
    <w:rsid w:val="00442464"/>
    <w:rsid w:val="00442490"/>
    <w:rsid w:val="00442516"/>
    <w:rsid w:val="00442599"/>
    <w:rsid w:val="004425A0"/>
    <w:rsid w:val="004425B5"/>
    <w:rsid w:val="004425D8"/>
    <w:rsid w:val="004425DA"/>
    <w:rsid w:val="00442630"/>
    <w:rsid w:val="00442685"/>
    <w:rsid w:val="004426C2"/>
    <w:rsid w:val="004426EF"/>
    <w:rsid w:val="00442763"/>
    <w:rsid w:val="004427A4"/>
    <w:rsid w:val="004427CC"/>
    <w:rsid w:val="004427D5"/>
    <w:rsid w:val="004427E5"/>
    <w:rsid w:val="004427F8"/>
    <w:rsid w:val="0044282B"/>
    <w:rsid w:val="0044286A"/>
    <w:rsid w:val="004428C6"/>
    <w:rsid w:val="00442961"/>
    <w:rsid w:val="00442986"/>
    <w:rsid w:val="004429AA"/>
    <w:rsid w:val="004429C2"/>
    <w:rsid w:val="00442A3B"/>
    <w:rsid w:val="00442AC3"/>
    <w:rsid w:val="00442B23"/>
    <w:rsid w:val="00442B4C"/>
    <w:rsid w:val="00442BB9"/>
    <w:rsid w:val="00442BCD"/>
    <w:rsid w:val="00442BF8"/>
    <w:rsid w:val="00442C06"/>
    <w:rsid w:val="00442C35"/>
    <w:rsid w:val="00442C7B"/>
    <w:rsid w:val="00442C91"/>
    <w:rsid w:val="00442CB0"/>
    <w:rsid w:val="00442CBB"/>
    <w:rsid w:val="00442D28"/>
    <w:rsid w:val="00442E35"/>
    <w:rsid w:val="00442E8A"/>
    <w:rsid w:val="00442EAA"/>
    <w:rsid w:val="00442F0E"/>
    <w:rsid w:val="00442F14"/>
    <w:rsid w:val="00442F6F"/>
    <w:rsid w:val="00442FBA"/>
    <w:rsid w:val="00442FD4"/>
    <w:rsid w:val="00443033"/>
    <w:rsid w:val="004430BF"/>
    <w:rsid w:val="0044310F"/>
    <w:rsid w:val="00443135"/>
    <w:rsid w:val="00443170"/>
    <w:rsid w:val="0044319D"/>
    <w:rsid w:val="004431DE"/>
    <w:rsid w:val="004431E5"/>
    <w:rsid w:val="0044321E"/>
    <w:rsid w:val="0044322A"/>
    <w:rsid w:val="0044328D"/>
    <w:rsid w:val="004432A2"/>
    <w:rsid w:val="004432CF"/>
    <w:rsid w:val="004432E7"/>
    <w:rsid w:val="00443331"/>
    <w:rsid w:val="00443348"/>
    <w:rsid w:val="00443358"/>
    <w:rsid w:val="00443366"/>
    <w:rsid w:val="00443417"/>
    <w:rsid w:val="00443432"/>
    <w:rsid w:val="00443448"/>
    <w:rsid w:val="0044345F"/>
    <w:rsid w:val="00443499"/>
    <w:rsid w:val="004434AE"/>
    <w:rsid w:val="00443528"/>
    <w:rsid w:val="004435F8"/>
    <w:rsid w:val="0044369B"/>
    <w:rsid w:val="004436D2"/>
    <w:rsid w:val="004436D8"/>
    <w:rsid w:val="00443709"/>
    <w:rsid w:val="0044378E"/>
    <w:rsid w:val="00443790"/>
    <w:rsid w:val="004437CC"/>
    <w:rsid w:val="0044383F"/>
    <w:rsid w:val="0044388A"/>
    <w:rsid w:val="004438A7"/>
    <w:rsid w:val="004438EE"/>
    <w:rsid w:val="0044391E"/>
    <w:rsid w:val="00443937"/>
    <w:rsid w:val="004439F0"/>
    <w:rsid w:val="00443A77"/>
    <w:rsid w:val="00443AED"/>
    <w:rsid w:val="00443AF8"/>
    <w:rsid w:val="00443B7B"/>
    <w:rsid w:val="00443B83"/>
    <w:rsid w:val="00443BFA"/>
    <w:rsid w:val="00443C20"/>
    <w:rsid w:val="00443C31"/>
    <w:rsid w:val="00443C91"/>
    <w:rsid w:val="00443CA8"/>
    <w:rsid w:val="00443CCF"/>
    <w:rsid w:val="00443D43"/>
    <w:rsid w:val="00443D4A"/>
    <w:rsid w:val="00443D78"/>
    <w:rsid w:val="00443DA3"/>
    <w:rsid w:val="00443DD8"/>
    <w:rsid w:val="00443DEC"/>
    <w:rsid w:val="00443E27"/>
    <w:rsid w:val="00443E3C"/>
    <w:rsid w:val="00443E85"/>
    <w:rsid w:val="00443E87"/>
    <w:rsid w:val="00443FA1"/>
    <w:rsid w:val="00443FA4"/>
    <w:rsid w:val="00443FF7"/>
    <w:rsid w:val="0044404D"/>
    <w:rsid w:val="00444075"/>
    <w:rsid w:val="00444118"/>
    <w:rsid w:val="0044414D"/>
    <w:rsid w:val="0044416F"/>
    <w:rsid w:val="004441F7"/>
    <w:rsid w:val="0044425B"/>
    <w:rsid w:val="00444279"/>
    <w:rsid w:val="0044428A"/>
    <w:rsid w:val="004443D4"/>
    <w:rsid w:val="004443F5"/>
    <w:rsid w:val="004444C1"/>
    <w:rsid w:val="004444E3"/>
    <w:rsid w:val="004444E6"/>
    <w:rsid w:val="00444503"/>
    <w:rsid w:val="0044453C"/>
    <w:rsid w:val="00444588"/>
    <w:rsid w:val="004445AA"/>
    <w:rsid w:val="004445F8"/>
    <w:rsid w:val="00444639"/>
    <w:rsid w:val="0044464B"/>
    <w:rsid w:val="00444664"/>
    <w:rsid w:val="00444674"/>
    <w:rsid w:val="004446B5"/>
    <w:rsid w:val="00444782"/>
    <w:rsid w:val="00444820"/>
    <w:rsid w:val="00444824"/>
    <w:rsid w:val="00444832"/>
    <w:rsid w:val="0044485E"/>
    <w:rsid w:val="0044487B"/>
    <w:rsid w:val="00444911"/>
    <w:rsid w:val="0044492B"/>
    <w:rsid w:val="0044497D"/>
    <w:rsid w:val="004449B7"/>
    <w:rsid w:val="00444A3A"/>
    <w:rsid w:val="00444A5A"/>
    <w:rsid w:val="00444A88"/>
    <w:rsid w:val="00444A8E"/>
    <w:rsid w:val="00444B28"/>
    <w:rsid w:val="00444B31"/>
    <w:rsid w:val="00444BF8"/>
    <w:rsid w:val="00444C04"/>
    <w:rsid w:val="00444C93"/>
    <w:rsid w:val="00444CF7"/>
    <w:rsid w:val="00444D34"/>
    <w:rsid w:val="00444D40"/>
    <w:rsid w:val="00444D9C"/>
    <w:rsid w:val="00444E0D"/>
    <w:rsid w:val="00444E77"/>
    <w:rsid w:val="00444ECF"/>
    <w:rsid w:val="00444F9D"/>
    <w:rsid w:val="00444FDB"/>
    <w:rsid w:val="00445041"/>
    <w:rsid w:val="0044504B"/>
    <w:rsid w:val="004450C6"/>
    <w:rsid w:val="004450D2"/>
    <w:rsid w:val="00445130"/>
    <w:rsid w:val="00445164"/>
    <w:rsid w:val="0044525F"/>
    <w:rsid w:val="0044526B"/>
    <w:rsid w:val="00445301"/>
    <w:rsid w:val="00445436"/>
    <w:rsid w:val="004454B1"/>
    <w:rsid w:val="00445536"/>
    <w:rsid w:val="004455AF"/>
    <w:rsid w:val="004455C6"/>
    <w:rsid w:val="004455DA"/>
    <w:rsid w:val="0044561B"/>
    <w:rsid w:val="0044562E"/>
    <w:rsid w:val="00445694"/>
    <w:rsid w:val="0044571E"/>
    <w:rsid w:val="00445739"/>
    <w:rsid w:val="00445787"/>
    <w:rsid w:val="004457A6"/>
    <w:rsid w:val="00445834"/>
    <w:rsid w:val="00445841"/>
    <w:rsid w:val="004458BE"/>
    <w:rsid w:val="004458E4"/>
    <w:rsid w:val="00445968"/>
    <w:rsid w:val="004459CF"/>
    <w:rsid w:val="00445A09"/>
    <w:rsid w:val="00445A2D"/>
    <w:rsid w:val="00445AAA"/>
    <w:rsid w:val="00445AB6"/>
    <w:rsid w:val="00445B3C"/>
    <w:rsid w:val="00445B53"/>
    <w:rsid w:val="00445BDD"/>
    <w:rsid w:val="00445BF9"/>
    <w:rsid w:val="00445C03"/>
    <w:rsid w:val="00445C79"/>
    <w:rsid w:val="00445C8C"/>
    <w:rsid w:val="00445C8D"/>
    <w:rsid w:val="00445CCC"/>
    <w:rsid w:val="00445CF2"/>
    <w:rsid w:val="00445D40"/>
    <w:rsid w:val="00445E0C"/>
    <w:rsid w:val="00445E25"/>
    <w:rsid w:val="00445EE5"/>
    <w:rsid w:val="00445F31"/>
    <w:rsid w:val="00445FEF"/>
    <w:rsid w:val="00446029"/>
    <w:rsid w:val="00446074"/>
    <w:rsid w:val="00446098"/>
    <w:rsid w:val="004460BB"/>
    <w:rsid w:val="004460EE"/>
    <w:rsid w:val="004460F8"/>
    <w:rsid w:val="0044615C"/>
    <w:rsid w:val="0044618D"/>
    <w:rsid w:val="004461B8"/>
    <w:rsid w:val="004461D5"/>
    <w:rsid w:val="00446231"/>
    <w:rsid w:val="00446289"/>
    <w:rsid w:val="00446294"/>
    <w:rsid w:val="00446302"/>
    <w:rsid w:val="00446388"/>
    <w:rsid w:val="0044639A"/>
    <w:rsid w:val="004463C4"/>
    <w:rsid w:val="00446414"/>
    <w:rsid w:val="0044648F"/>
    <w:rsid w:val="004464AE"/>
    <w:rsid w:val="004464B6"/>
    <w:rsid w:val="004464CB"/>
    <w:rsid w:val="00446533"/>
    <w:rsid w:val="00446548"/>
    <w:rsid w:val="0044654A"/>
    <w:rsid w:val="00446579"/>
    <w:rsid w:val="00446680"/>
    <w:rsid w:val="00446709"/>
    <w:rsid w:val="00446724"/>
    <w:rsid w:val="0044673B"/>
    <w:rsid w:val="00446773"/>
    <w:rsid w:val="0044678C"/>
    <w:rsid w:val="004467B6"/>
    <w:rsid w:val="004467C8"/>
    <w:rsid w:val="00446869"/>
    <w:rsid w:val="0044686F"/>
    <w:rsid w:val="004468A1"/>
    <w:rsid w:val="00446968"/>
    <w:rsid w:val="004469D6"/>
    <w:rsid w:val="004469FD"/>
    <w:rsid w:val="00446A18"/>
    <w:rsid w:val="00446A44"/>
    <w:rsid w:val="00446AF1"/>
    <w:rsid w:val="00446B29"/>
    <w:rsid w:val="00446D1B"/>
    <w:rsid w:val="00446D48"/>
    <w:rsid w:val="00446E01"/>
    <w:rsid w:val="00446E58"/>
    <w:rsid w:val="00446EB3"/>
    <w:rsid w:val="00446F6B"/>
    <w:rsid w:val="00446FD8"/>
    <w:rsid w:val="00447008"/>
    <w:rsid w:val="00447035"/>
    <w:rsid w:val="00447054"/>
    <w:rsid w:val="00447075"/>
    <w:rsid w:val="00447080"/>
    <w:rsid w:val="004470C9"/>
    <w:rsid w:val="0044712E"/>
    <w:rsid w:val="0044714C"/>
    <w:rsid w:val="00447169"/>
    <w:rsid w:val="0044718B"/>
    <w:rsid w:val="004471C0"/>
    <w:rsid w:val="004471FF"/>
    <w:rsid w:val="0044721E"/>
    <w:rsid w:val="0044722E"/>
    <w:rsid w:val="00447230"/>
    <w:rsid w:val="00447257"/>
    <w:rsid w:val="0044728F"/>
    <w:rsid w:val="00447291"/>
    <w:rsid w:val="0044729F"/>
    <w:rsid w:val="0044730B"/>
    <w:rsid w:val="00447456"/>
    <w:rsid w:val="00447499"/>
    <w:rsid w:val="00447514"/>
    <w:rsid w:val="0044753C"/>
    <w:rsid w:val="00447567"/>
    <w:rsid w:val="00447585"/>
    <w:rsid w:val="00447588"/>
    <w:rsid w:val="0044765C"/>
    <w:rsid w:val="004476D1"/>
    <w:rsid w:val="00447791"/>
    <w:rsid w:val="00447792"/>
    <w:rsid w:val="004477A8"/>
    <w:rsid w:val="004477E9"/>
    <w:rsid w:val="00447822"/>
    <w:rsid w:val="00447864"/>
    <w:rsid w:val="004478A0"/>
    <w:rsid w:val="004478D3"/>
    <w:rsid w:val="004478D6"/>
    <w:rsid w:val="00447940"/>
    <w:rsid w:val="00447A54"/>
    <w:rsid w:val="00447A56"/>
    <w:rsid w:val="00447AA1"/>
    <w:rsid w:val="00447AC7"/>
    <w:rsid w:val="00447AE3"/>
    <w:rsid w:val="00447B1E"/>
    <w:rsid w:val="00447BB1"/>
    <w:rsid w:val="00447C61"/>
    <w:rsid w:val="00447C63"/>
    <w:rsid w:val="00447C97"/>
    <w:rsid w:val="00447CED"/>
    <w:rsid w:val="00447D3C"/>
    <w:rsid w:val="00447D67"/>
    <w:rsid w:val="00447D76"/>
    <w:rsid w:val="00447DFC"/>
    <w:rsid w:val="00447E06"/>
    <w:rsid w:val="00447E2B"/>
    <w:rsid w:val="00447E2F"/>
    <w:rsid w:val="00447E4C"/>
    <w:rsid w:val="00447E51"/>
    <w:rsid w:val="00447E69"/>
    <w:rsid w:val="00447E84"/>
    <w:rsid w:val="00447E99"/>
    <w:rsid w:val="00447F41"/>
    <w:rsid w:val="00447F91"/>
    <w:rsid w:val="00447FBA"/>
    <w:rsid w:val="00447FE4"/>
    <w:rsid w:val="0045003B"/>
    <w:rsid w:val="00450041"/>
    <w:rsid w:val="0045006D"/>
    <w:rsid w:val="0045007E"/>
    <w:rsid w:val="004500A0"/>
    <w:rsid w:val="004500C4"/>
    <w:rsid w:val="004500C8"/>
    <w:rsid w:val="004500EF"/>
    <w:rsid w:val="004500F6"/>
    <w:rsid w:val="0045010D"/>
    <w:rsid w:val="004501B8"/>
    <w:rsid w:val="00450204"/>
    <w:rsid w:val="00450273"/>
    <w:rsid w:val="004502B6"/>
    <w:rsid w:val="004502F3"/>
    <w:rsid w:val="00450370"/>
    <w:rsid w:val="00450397"/>
    <w:rsid w:val="004503A8"/>
    <w:rsid w:val="004503AD"/>
    <w:rsid w:val="004503B7"/>
    <w:rsid w:val="004504A8"/>
    <w:rsid w:val="004504CA"/>
    <w:rsid w:val="004504FA"/>
    <w:rsid w:val="00450523"/>
    <w:rsid w:val="004505AE"/>
    <w:rsid w:val="004505D4"/>
    <w:rsid w:val="00450670"/>
    <w:rsid w:val="00450676"/>
    <w:rsid w:val="004506B0"/>
    <w:rsid w:val="0045082B"/>
    <w:rsid w:val="0045089F"/>
    <w:rsid w:val="004508DB"/>
    <w:rsid w:val="00450917"/>
    <w:rsid w:val="00450941"/>
    <w:rsid w:val="00450954"/>
    <w:rsid w:val="00450998"/>
    <w:rsid w:val="004509F3"/>
    <w:rsid w:val="00450A31"/>
    <w:rsid w:val="00450A82"/>
    <w:rsid w:val="00450AA5"/>
    <w:rsid w:val="00450ADC"/>
    <w:rsid w:val="00450B16"/>
    <w:rsid w:val="00450B3E"/>
    <w:rsid w:val="00450C50"/>
    <w:rsid w:val="00450CC7"/>
    <w:rsid w:val="00450CF5"/>
    <w:rsid w:val="00450D9E"/>
    <w:rsid w:val="00450DCF"/>
    <w:rsid w:val="00450DEF"/>
    <w:rsid w:val="00450DFC"/>
    <w:rsid w:val="00450E09"/>
    <w:rsid w:val="00450E24"/>
    <w:rsid w:val="00450E76"/>
    <w:rsid w:val="00450EBD"/>
    <w:rsid w:val="00450F21"/>
    <w:rsid w:val="00450F3B"/>
    <w:rsid w:val="00450F5C"/>
    <w:rsid w:val="00450FB0"/>
    <w:rsid w:val="00450FBA"/>
    <w:rsid w:val="00450FDD"/>
    <w:rsid w:val="00450FE3"/>
    <w:rsid w:val="00451004"/>
    <w:rsid w:val="00451052"/>
    <w:rsid w:val="0045106D"/>
    <w:rsid w:val="004510D2"/>
    <w:rsid w:val="00451106"/>
    <w:rsid w:val="00451138"/>
    <w:rsid w:val="0045113D"/>
    <w:rsid w:val="0045116F"/>
    <w:rsid w:val="004511F6"/>
    <w:rsid w:val="00451204"/>
    <w:rsid w:val="0045124A"/>
    <w:rsid w:val="004512E3"/>
    <w:rsid w:val="004512F9"/>
    <w:rsid w:val="00451323"/>
    <w:rsid w:val="004513C5"/>
    <w:rsid w:val="00451431"/>
    <w:rsid w:val="0045153C"/>
    <w:rsid w:val="00451569"/>
    <w:rsid w:val="004515EA"/>
    <w:rsid w:val="004515F6"/>
    <w:rsid w:val="004516B6"/>
    <w:rsid w:val="004516DB"/>
    <w:rsid w:val="00451724"/>
    <w:rsid w:val="00451766"/>
    <w:rsid w:val="0045177E"/>
    <w:rsid w:val="004517BB"/>
    <w:rsid w:val="004517C5"/>
    <w:rsid w:val="004517C8"/>
    <w:rsid w:val="004517E8"/>
    <w:rsid w:val="00451802"/>
    <w:rsid w:val="0045184A"/>
    <w:rsid w:val="0045185C"/>
    <w:rsid w:val="004518A1"/>
    <w:rsid w:val="004518CF"/>
    <w:rsid w:val="00451933"/>
    <w:rsid w:val="00451938"/>
    <w:rsid w:val="0045193B"/>
    <w:rsid w:val="00451948"/>
    <w:rsid w:val="00451964"/>
    <w:rsid w:val="004519A3"/>
    <w:rsid w:val="004519CF"/>
    <w:rsid w:val="004519DB"/>
    <w:rsid w:val="004519E1"/>
    <w:rsid w:val="004519FF"/>
    <w:rsid w:val="00451A00"/>
    <w:rsid w:val="00451A42"/>
    <w:rsid w:val="00451A4C"/>
    <w:rsid w:val="00451A5B"/>
    <w:rsid w:val="00451A81"/>
    <w:rsid w:val="00451A95"/>
    <w:rsid w:val="00451B4B"/>
    <w:rsid w:val="00451B7C"/>
    <w:rsid w:val="00451B87"/>
    <w:rsid w:val="00451B8E"/>
    <w:rsid w:val="00451BBD"/>
    <w:rsid w:val="00451C04"/>
    <w:rsid w:val="00451C91"/>
    <w:rsid w:val="00451CA9"/>
    <w:rsid w:val="00451CD8"/>
    <w:rsid w:val="00451CF2"/>
    <w:rsid w:val="00451D0E"/>
    <w:rsid w:val="00451D4E"/>
    <w:rsid w:val="00451D71"/>
    <w:rsid w:val="00451DC2"/>
    <w:rsid w:val="00451DD6"/>
    <w:rsid w:val="00451E3B"/>
    <w:rsid w:val="00451E4C"/>
    <w:rsid w:val="00451E5B"/>
    <w:rsid w:val="00451EB1"/>
    <w:rsid w:val="00451F07"/>
    <w:rsid w:val="00451FB4"/>
    <w:rsid w:val="00452081"/>
    <w:rsid w:val="00452186"/>
    <w:rsid w:val="004521BC"/>
    <w:rsid w:val="0045220E"/>
    <w:rsid w:val="0045222C"/>
    <w:rsid w:val="00452245"/>
    <w:rsid w:val="004522B7"/>
    <w:rsid w:val="004522CA"/>
    <w:rsid w:val="00452335"/>
    <w:rsid w:val="00452358"/>
    <w:rsid w:val="004524EC"/>
    <w:rsid w:val="00452511"/>
    <w:rsid w:val="00452545"/>
    <w:rsid w:val="004525A9"/>
    <w:rsid w:val="004525BF"/>
    <w:rsid w:val="00452708"/>
    <w:rsid w:val="00452722"/>
    <w:rsid w:val="004527A2"/>
    <w:rsid w:val="004527E0"/>
    <w:rsid w:val="00452847"/>
    <w:rsid w:val="00452867"/>
    <w:rsid w:val="00452879"/>
    <w:rsid w:val="00452898"/>
    <w:rsid w:val="004528BE"/>
    <w:rsid w:val="0045292E"/>
    <w:rsid w:val="00452A1E"/>
    <w:rsid w:val="00452A27"/>
    <w:rsid w:val="00452A76"/>
    <w:rsid w:val="00452A92"/>
    <w:rsid w:val="00452AC4"/>
    <w:rsid w:val="00452B42"/>
    <w:rsid w:val="00452B74"/>
    <w:rsid w:val="00452C7E"/>
    <w:rsid w:val="00452CAB"/>
    <w:rsid w:val="00452CC7"/>
    <w:rsid w:val="00452D16"/>
    <w:rsid w:val="00452D17"/>
    <w:rsid w:val="00452D2D"/>
    <w:rsid w:val="00452D72"/>
    <w:rsid w:val="00452DA1"/>
    <w:rsid w:val="00452DAD"/>
    <w:rsid w:val="00452E68"/>
    <w:rsid w:val="00452EB2"/>
    <w:rsid w:val="00452EEE"/>
    <w:rsid w:val="00452EF2"/>
    <w:rsid w:val="00452F1F"/>
    <w:rsid w:val="00452F94"/>
    <w:rsid w:val="00452FDD"/>
    <w:rsid w:val="00452FE4"/>
    <w:rsid w:val="00453014"/>
    <w:rsid w:val="0045302F"/>
    <w:rsid w:val="0045306D"/>
    <w:rsid w:val="004530B8"/>
    <w:rsid w:val="004530F1"/>
    <w:rsid w:val="004530FF"/>
    <w:rsid w:val="0045312C"/>
    <w:rsid w:val="00453160"/>
    <w:rsid w:val="004531CE"/>
    <w:rsid w:val="004531F5"/>
    <w:rsid w:val="004531FD"/>
    <w:rsid w:val="00453205"/>
    <w:rsid w:val="00453213"/>
    <w:rsid w:val="0045321D"/>
    <w:rsid w:val="00453277"/>
    <w:rsid w:val="00453285"/>
    <w:rsid w:val="0045329B"/>
    <w:rsid w:val="0045333B"/>
    <w:rsid w:val="0045343C"/>
    <w:rsid w:val="00453455"/>
    <w:rsid w:val="00453467"/>
    <w:rsid w:val="00453484"/>
    <w:rsid w:val="004534AF"/>
    <w:rsid w:val="004534C1"/>
    <w:rsid w:val="00453525"/>
    <w:rsid w:val="0045354B"/>
    <w:rsid w:val="004535BB"/>
    <w:rsid w:val="004535D7"/>
    <w:rsid w:val="0045361A"/>
    <w:rsid w:val="0045362D"/>
    <w:rsid w:val="004536FE"/>
    <w:rsid w:val="00453726"/>
    <w:rsid w:val="00453790"/>
    <w:rsid w:val="004537AC"/>
    <w:rsid w:val="0045382A"/>
    <w:rsid w:val="00453850"/>
    <w:rsid w:val="004538D3"/>
    <w:rsid w:val="004538E0"/>
    <w:rsid w:val="00453914"/>
    <w:rsid w:val="00453959"/>
    <w:rsid w:val="0045395A"/>
    <w:rsid w:val="004539E5"/>
    <w:rsid w:val="00453A11"/>
    <w:rsid w:val="00453A21"/>
    <w:rsid w:val="00453A25"/>
    <w:rsid w:val="00453A40"/>
    <w:rsid w:val="00453A6A"/>
    <w:rsid w:val="00453AFD"/>
    <w:rsid w:val="00453AFF"/>
    <w:rsid w:val="00453B7F"/>
    <w:rsid w:val="00453BDD"/>
    <w:rsid w:val="00453BE8"/>
    <w:rsid w:val="00453BFD"/>
    <w:rsid w:val="00453C09"/>
    <w:rsid w:val="00453C44"/>
    <w:rsid w:val="00453C69"/>
    <w:rsid w:val="00453C86"/>
    <w:rsid w:val="00453CAC"/>
    <w:rsid w:val="00453CC4"/>
    <w:rsid w:val="00453CE3"/>
    <w:rsid w:val="00453CEF"/>
    <w:rsid w:val="00453D4C"/>
    <w:rsid w:val="00453D75"/>
    <w:rsid w:val="00453D8C"/>
    <w:rsid w:val="00453DBF"/>
    <w:rsid w:val="00453DF7"/>
    <w:rsid w:val="00453E2B"/>
    <w:rsid w:val="00453F0F"/>
    <w:rsid w:val="00453F16"/>
    <w:rsid w:val="00453F4D"/>
    <w:rsid w:val="00453F79"/>
    <w:rsid w:val="00453F86"/>
    <w:rsid w:val="00453FA2"/>
    <w:rsid w:val="00453FB4"/>
    <w:rsid w:val="00453FBB"/>
    <w:rsid w:val="00454018"/>
    <w:rsid w:val="00454109"/>
    <w:rsid w:val="00454121"/>
    <w:rsid w:val="00454122"/>
    <w:rsid w:val="004541D8"/>
    <w:rsid w:val="0045420C"/>
    <w:rsid w:val="00454244"/>
    <w:rsid w:val="00454279"/>
    <w:rsid w:val="00454299"/>
    <w:rsid w:val="004542CC"/>
    <w:rsid w:val="004542FD"/>
    <w:rsid w:val="0045434A"/>
    <w:rsid w:val="004543F9"/>
    <w:rsid w:val="004543FB"/>
    <w:rsid w:val="00454467"/>
    <w:rsid w:val="00454485"/>
    <w:rsid w:val="00454517"/>
    <w:rsid w:val="00454567"/>
    <w:rsid w:val="0045456C"/>
    <w:rsid w:val="00454588"/>
    <w:rsid w:val="004545D4"/>
    <w:rsid w:val="004545F2"/>
    <w:rsid w:val="00454632"/>
    <w:rsid w:val="0045465F"/>
    <w:rsid w:val="0045468C"/>
    <w:rsid w:val="00454694"/>
    <w:rsid w:val="004546A9"/>
    <w:rsid w:val="004546D4"/>
    <w:rsid w:val="004546F6"/>
    <w:rsid w:val="00454702"/>
    <w:rsid w:val="004547D0"/>
    <w:rsid w:val="004547D4"/>
    <w:rsid w:val="0045481A"/>
    <w:rsid w:val="00454896"/>
    <w:rsid w:val="004548B6"/>
    <w:rsid w:val="004548B7"/>
    <w:rsid w:val="0045492C"/>
    <w:rsid w:val="00454961"/>
    <w:rsid w:val="00454975"/>
    <w:rsid w:val="004549C9"/>
    <w:rsid w:val="004549CA"/>
    <w:rsid w:val="00454A6D"/>
    <w:rsid w:val="00454B00"/>
    <w:rsid w:val="00454B23"/>
    <w:rsid w:val="00454BA1"/>
    <w:rsid w:val="00454C09"/>
    <w:rsid w:val="00454C4B"/>
    <w:rsid w:val="00454C5F"/>
    <w:rsid w:val="00454CE6"/>
    <w:rsid w:val="00454CEB"/>
    <w:rsid w:val="00454D51"/>
    <w:rsid w:val="00454D69"/>
    <w:rsid w:val="00454DAB"/>
    <w:rsid w:val="00454E87"/>
    <w:rsid w:val="00454E95"/>
    <w:rsid w:val="00454ED7"/>
    <w:rsid w:val="00454EFC"/>
    <w:rsid w:val="00454F12"/>
    <w:rsid w:val="00454F1A"/>
    <w:rsid w:val="00454F2F"/>
    <w:rsid w:val="00454F5B"/>
    <w:rsid w:val="00454F64"/>
    <w:rsid w:val="00454F75"/>
    <w:rsid w:val="00454F81"/>
    <w:rsid w:val="00454F8E"/>
    <w:rsid w:val="00454F9A"/>
    <w:rsid w:val="00454FC0"/>
    <w:rsid w:val="00454FDE"/>
    <w:rsid w:val="00455080"/>
    <w:rsid w:val="004550AB"/>
    <w:rsid w:val="004550BD"/>
    <w:rsid w:val="004550C0"/>
    <w:rsid w:val="00455168"/>
    <w:rsid w:val="0045519B"/>
    <w:rsid w:val="0045531E"/>
    <w:rsid w:val="0045539E"/>
    <w:rsid w:val="004553BA"/>
    <w:rsid w:val="004553F8"/>
    <w:rsid w:val="00455571"/>
    <w:rsid w:val="0045557E"/>
    <w:rsid w:val="00455614"/>
    <w:rsid w:val="00455663"/>
    <w:rsid w:val="00455669"/>
    <w:rsid w:val="00455673"/>
    <w:rsid w:val="004556CA"/>
    <w:rsid w:val="00455705"/>
    <w:rsid w:val="00455707"/>
    <w:rsid w:val="0045577C"/>
    <w:rsid w:val="004557AE"/>
    <w:rsid w:val="00455835"/>
    <w:rsid w:val="00455866"/>
    <w:rsid w:val="0045588B"/>
    <w:rsid w:val="0045591B"/>
    <w:rsid w:val="00455934"/>
    <w:rsid w:val="0045594E"/>
    <w:rsid w:val="00455A02"/>
    <w:rsid w:val="00455A3B"/>
    <w:rsid w:val="00455A53"/>
    <w:rsid w:val="00455AB1"/>
    <w:rsid w:val="00455AC8"/>
    <w:rsid w:val="00455ADB"/>
    <w:rsid w:val="00455B1E"/>
    <w:rsid w:val="00455B42"/>
    <w:rsid w:val="00455BBC"/>
    <w:rsid w:val="00455BD3"/>
    <w:rsid w:val="00455BE6"/>
    <w:rsid w:val="00455C0D"/>
    <w:rsid w:val="00455C66"/>
    <w:rsid w:val="00455C85"/>
    <w:rsid w:val="00455C8B"/>
    <w:rsid w:val="00455C91"/>
    <w:rsid w:val="00455C98"/>
    <w:rsid w:val="00455D3C"/>
    <w:rsid w:val="00455D65"/>
    <w:rsid w:val="00455D72"/>
    <w:rsid w:val="00455DC6"/>
    <w:rsid w:val="00455E20"/>
    <w:rsid w:val="00455E87"/>
    <w:rsid w:val="00455ED7"/>
    <w:rsid w:val="00455EF9"/>
    <w:rsid w:val="00455F1A"/>
    <w:rsid w:val="00455F5B"/>
    <w:rsid w:val="00455F65"/>
    <w:rsid w:val="00455F77"/>
    <w:rsid w:val="00455F8B"/>
    <w:rsid w:val="00455F97"/>
    <w:rsid w:val="00456013"/>
    <w:rsid w:val="0045601D"/>
    <w:rsid w:val="0045604D"/>
    <w:rsid w:val="004560AF"/>
    <w:rsid w:val="004560C1"/>
    <w:rsid w:val="004560F5"/>
    <w:rsid w:val="0045611B"/>
    <w:rsid w:val="00456151"/>
    <w:rsid w:val="00456152"/>
    <w:rsid w:val="00456167"/>
    <w:rsid w:val="004561A3"/>
    <w:rsid w:val="004561B8"/>
    <w:rsid w:val="004561BD"/>
    <w:rsid w:val="004561FE"/>
    <w:rsid w:val="00456242"/>
    <w:rsid w:val="00456284"/>
    <w:rsid w:val="0045629A"/>
    <w:rsid w:val="004562AD"/>
    <w:rsid w:val="004562F1"/>
    <w:rsid w:val="004562FC"/>
    <w:rsid w:val="004563BF"/>
    <w:rsid w:val="004563D2"/>
    <w:rsid w:val="00456438"/>
    <w:rsid w:val="0045645B"/>
    <w:rsid w:val="004564DA"/>
    <w:rsid w:val="004564FA"/>
    <w:rsid w:val="004564FE"/>
    <w:rsid w:val="00456538"/>
    <w:rsid w:val="0045654E"/>
    <w:rsid w:val="0045656D"/>
    <w:rsid w:val="004565C1"/>
    <w:rsid w:val="00456643"/>
    <w:rsid w:val="00456699"/>
    <w:rsid w:val="004567AA"/>
    <w:rsid w:val="004567E3"/>
    <w:rsid w:val="0045680E"/>
    <w:rsid w:val="00456850"/>
    <w:rsid w:val="00456862"/>
    <w:rsid w:val="0045688A"/>
    <w:rsid w:val="0045695F"/>
    <w:rsid w:val="00456A23"/>
    <w:rsid w:val="00456A2C"/>
    <w:rsid w:val="00456A95"/>
    <w:rsid w:val="00456B2A"/>
    <w:rsid w:val="00456B4F"/>
    <w:rsid w:val="00456B86"/>
    <w:rsid w:val="00456B8E"/>
    <w:rsid w:val="00456C2B"/>
    <w:rsid w:val="00456C44"/>
    <w:rsid w:val="00456C59"/>
    <w:rsid w:val="00456C6A"/>
    <w:rsid w:val="00456C6E"/>
    <w:rsid w:val="00456C7F"/>
    <w:rsid w:val="00456CC6"/>
    <w:rsid w:val="00456D34"/>
    <w:rsid w:val="00456D5E"/>
    <w:rsid w:val="00456DDA"/>
    <w:rsid w:val="00456DDB"/>
    <w:rsid w:val="00456E0C"/>
    <w:rsid w:val="00456EBF"/>
    <w:rsid w:val="00456EF6"/>
    <w:rsid w:val="00456EFF"/>
    <w:rsid w:val="00456F27"/>
    <w:rsid w:val="00456F2D"/>
    <w:rsid w:val="00456F8F"/>
    <w:rsid w:val="00456FA3"/>
    <w:rsid w:val="00456FAD"/>
    <w:rsid w:val="00456FB6"/>
    <w:rsid w:val="00456FD6"/>
    <w:rsid w:val="0045705D"/>
    <w:rsid w:val="004570E1"/>
    <w:rsid w:val="0045710F"/>
    <w:rsid w:val="00457132"/>
    <w:rsid w:val="00457156"/>
    <w:rsid w:val="0045715B"/>
    <w:rsid w:val="00457181"/>
    <w:rsid w:val="0045718D"/>
    <w:rsid w:val="0045718E"/>
    <w:rsid w:val="0045719A"/>
    <w:rsid w:val="0045723F"/>
    <w:rsid w:val="00457283"/>
    <w:rsid w:val="004572E1"/>
    <w:rsid w:val="004573DE"/>
    <w:rsid w:val="004573FC"/>
    <w:rsid w:val="0045745F"/>
    <w:rsid w:val="0045747B"/>
    <w:rsid w:val="004574A4"/>
    <w:rsid w:val="004574B0"/>
    <w:rsid w:val="004574E7"/>
    <w:rsid w:val="00457517"/>
    <w:rsid w:val="00457535"/>
    <w:rsid w:val="0045759D"/>
    <w:rsid w:val="00457604"/>
    <w:rsid w:val="0045766B"/>
    <w:rsid w:val="00457695"/>
    <w:rsid w:val="004576D5"/>
    <w:rsid w:val="0045777A"/>
    <w:rsid w:val="0045778F"/>
    <w:rsid w:val="004577B1"/>
    <w:rsid w:val="004577F7"/>
    <w:rsid w:val="00457829"/>
    <w:rsid w:val="0045783D"/>
    <w:rsid w:val="004578C0"/>
    <w:rsid w:val="00457910"/>
    <w:rsid w:val="0045793A"/>
    <w:rsid w:val="0045793F"/>
    <w:rsid w:val="00457948"/>
    <w:rsid w:val="00457951"/>
    <w:rsid w:val="00457995"/>
    <w:rsid w:val="004579A0"/>
    <w:rsid w:val="004579D9"/>
    <w:rsid w:val="00457A01"/>
    <w:rsid w:val="00457A50"/>
    <w:rsid w:val="00457AA2"/>
    <w:rsid w:val="00457ADB"/>
    <w:rsid w:val="00457B4A"/>
    <w:rsid w:val="00457BB2"/>
    <w:rsid w:val="00457BD0"/>
    <w:rsid w:val="00457BE7"/>
    <w:rsid w:val="00457BF6"/>
    <w:rsid w:val="00457C08"/>
    <w:rsid w:val="00457C6B"/>
    <w:rsid w:val="00457C7C"/>
    <w:rsid w:val="00457C87"/>
    <w:rsid w:val="00457D4C"/>
    <w:rsid w:val="00457D57"/>
    <w:rsid w:val="00457E51"/>
    <w:rsid w:val="00457E6A"/>
    <w:rsid w:val="00457F27"/>
    <w:rsid w:val="00457F76"/>
    <w:rsid w:val="00457FAD"/>
    <w:rsid w:val="0046000A"/>
    <w:rsid w:val="004600B6"/>
    <w:rsid w:val="004600E8"/>
    <w:rsid w:val="00460155"/>
    <w:rsid w:val="0046017A"/>
    <w:rsid w:val="0046018D"/>
    <w:rsid w:val="0046021A"/>
    <w:rsid w:val="00460295"/>
    <w:rsid w:val="004602A0"/>
    <w:rsid w:val="004602CB"/>
    <w:rsid w:val="0046031B"/>
    <w:rsid w:val="004603A6"/>
    <w:rsid w:val="004603CD"/>
    <w:rsid w:val="004604AF"/>
    <w:rsid w:val="00460509"/>
    <w:rsid w:val="0046053B"/>
    <w:rsid w:val="00460554"/>
    <w:rsid w:val="004605B4"/>
    <w:rsid w:val="004605B9"/>
    <w:rsid w:val="004605C8"/>
    <w:rsid w:val="0046063F"/>
    <w:rsid w:val="00460663"/>
    <w:rsid w:val="00460674"/>
    <w:rsid w:val="004606A7"/>
    <w:rsid w:val="004606B2"/>
    <w:rsid w:val="004606EA"/>
    <w:rsid w:val="00460724"/>
    <w:rsid w:val="00460749"/>
    <w:rsid w:val="00460784"/>
    <w:rsid w:val="00460834"/>
    <w:rsid w:val="00460857"/>
    <w:rsid w:val="0046085C"/>
    <w:rsid w:val="0046086D"/>
    <w:rsid w:val="0046087D"/>
    <w:rsid w:val="00460886"/>
    <w:rsid w:val="004608A8"/>
    <w:rsid w:val="004608AC"/>
    <w:rsid w:val="004608E7"/>
    <w:rsid w:val="0046094C"/>
    <w:rsid w:val="004609AD"/>
    <w:rsid w:val="004609C0"/>
    <w:rsid w:val="004609F1"/>
    <w:rsid w:val="00460A26"/>
    <w:rsid w:val="00460A3F"/>
    <w:rsid w:val="00460A50"/>
    <w:rsid w:val="00460A58"/>
    <w:rsid w:val="00460A9C"/>
    <w:rsid w:val="00460B01"/>
    <w:rsid w:val="00460B15"/>
    <w:rsid w:val="00460BBC"/>
    <w:rsid w:val="00460BC0"/>
    <w:rsid w:val="00460BC4"/>
    <w:rsid w:val="00460BE2"/>
    <w:rsid w:val="00460BF8"/>
    <w:rsid w:val="00460C7D"/>
    <w:rsid w:val="00460CEB"/>
    <w:rsid w:val="00460D3C"/>
    <w:rsid w:val="00460D68"/>
    <w:rsid w:val="00460D8F"/>
    <w:rsid w:val="00460EEB"/>
    <w:rsid w:val="00460F73"/>
    <w:rsid w:val="00460FB0"/>
    <w:rsid w:val="00460FC9"/>
    <w:rsid w:val="00460FE3"/>
    <w:rsid w:val="00460FF4"/>
    <w:rsid w:val="00461010"/>
    <w:rsid w:val="00461027"/>
    <w:rsid w:val="00461031"/>
    <w:rsid w:val="00461129"/>
    <w:rsid w:val="0046112F"/>
    <w:rsid w:val="00461144"/>
    <w:rsid w:val="00461175"/>
    <w:rsid w:val="0046119D"/>
    <w:rsid w:val="00461211"/>
    <w:rsid w:val="0046133B"/>
    <w:rsid w:val="0046135D"/>
    <w:rsid w:val="004613B4"/>
    <w:rsid w:val="004613F8"/>
    <w:rsid w:val="00461455"/>
    <w:rsid w:val="0046146D"/>
    <w:rsid w:val="00461489"/>
    <w:rsid w:val="004614B2"/>
    <w:rsid w:val="004614C0"/>
    <w:rsid w:val="004614E3"/>
    <w:rsid w:val="0046156B"/>
    <w:rsid w:val="00461584"/>
    <w:rsid w:val="00461636"/>
    <w:rsid w:val="00461648"/>
    <w:rsid w:val="00461657"/>
    <w:rsid w:val="00461662"/>
    <w:rsid w:val="004616C0"/>
    <w:rsid w:val="00461720"/>
    <w:rsid w:val="00461748"/>
    <w:rsid w:val="004617F9"/>
    <w:rsid w:val="0046185A"/>
    <w:rsid w:val="0046187F"/>
    <w:rsid w:val="0046188F"/>
    <w:rsid w:val="004618A2"/>
    <w:rsid w:val="0046196B"/>
    <w:rsid w:val="004619A5"/>
    <w:rsid w:val="004619E4"/>
    <w:rsid w:val="004619F3"/>
    <w:rsid w:val="00461A2D"/>
    <w:rsid w:val="00461A44"/>
    <w:rsid w:val="00461A59"/>
    <w:rsid w:val="00461AB5"/>
    <w:rsid w:val="00461AC8"/>
    <w:rsid w:val="00461B2F"/>
    <w:rsid w:val="00461B60"/>
    <w:rsid w:val="00461BEE"/>
    <w:rsid w:val="00461C28"/>
    <w:rsid w:val="00461C63"/>
    <w:rsid w:val="00461C99"/>
    <w:rsid w:val="00461CA4"/>
    <w:rsid w:val="00461CF3"/>
    <w:rsid w:val="00461D61"/>
    <w:rsid w:val="00461D71"/>
    <w:rsid w:val="00461DA0"/>
    <w:rsid w:val="00461ECD"/>
    <w:rsid w:val="00461F0C"/>
    <w:rsid w:val="00461F4D"/>
    <w:rsid w:val="00461F7D"/>
    <w:rsid w:val="00461FA1"/>
    <w:rsid w:val="00462017"/>
    <w:rsid w:val="004620D0"/>
    <w:rsid w:val="004620DA"/>
    <w:rsid w:val="004620EE"/>
    <w:rsid w:val="004620FF"/>
    <w:rsid w:val="00462100"/>
    <w:rsid w:val="00462149"/>
    <w:rsid w:val="004621FC"/>
    <w:rsid w:val="00462229"/>
    <w:rsid w:val="00462245"/>
    <w:rsid w:val="004622AA"/>
    <w:rsid w:val="00462338"/>
    <w:rsid w:val="00462340"/>
    <w:rsid w:val="0046234B"/>
    <w:rsid w:val="004623C2"/>
    <w:rsid w:val="004623F5"/>
    <w:rsid w:val="004623FB"/>
    <w:rsid w:val="00462461"/>
    <w:rsid w:val="00462467"/>
    <w:rsid w:val="004624CB"/>
    <w:rsid w:val="004624D8"/>
    <w:rsid w:val="00462586"/>
    <w:rsid w:val="0046261B"/>
    <w:rsid w:val="0046266B"/>
    <w:rsid w:val="00462671"/>
    <w:rsid w:val="004626B2"/>
    <w:rsid w:val="004626BB"/>
    <w:rsid w:val="0046270E"/>
    <w:rsid w:val="0046272F"/>
    <w:rsid w:val="0046274E"/>
    <w:rsid w:val="00462760"/>
    <w:rsid w:val="0046278E"/>
    <w:rsid w:val="00462791"/>
    <w:rsid w:val="00462841"/>
    <w:rsid w:val="0046284A"/>
    <w:rsid w:val="0046284E"/>
    <w:rsid w:val="00462869"/>
    <w:rsid w:val="00462898"/>
    <w:rsid w:val="004628AC"/>
    <w:rsid w:val="004628B3"/>
    <w:rsid w:val="004628DC"/>
    <w:rsid w:val="004628FD"/>
    <w:rsid w:val="0046292D"/>
    <w:rsid w:val="00462953"/>
    <w:rsid w:val="0046299D"/>
    <w:rsid w:val="004629A5"/>
    <w:rsid w:val="004629E8"/>
    <w:rsid w:val="00462A18"/>
    <w:rsid w:val="00462A42"/>
    <w:rsid w:val="00462A7E"/>
    <w:rsid w:val="00462B0F"/>
    <w:rsid w:val="00462B85"/>
    <w:rsid w:val="00462BA5"/>
    <w:rsid w:val="00462C55"/>
    <w:rsid w:val="00462C80"/>
    <w:rsid w:val="00462CF5"/>
    <w:rsid w:val="00462D59"/>
    <w:rsid w:val="00462DB9"/>
    <w:rsid w:val="00462DD5"/>
    <w:rsid w:val="00462E73"/>
    <w:rsid w:val="00462E77"/>
    <w:rsid w:val="00462E9F"/>
    <w:rsid w:val="00462ED9"/>
    <w:rsid w:val="00462EE3"/>
    <w:rsid w:val="00462EE5"/>
    <w:rsid w:val="00462EEA"/>
    <w:rsid w:val="00462F19"/>
    <w:rsid w:val="00463021"/>
    <w:rsid w:val="00463050"/>
    <w:rsid w:val="00463056"/>
    <w:rsid w:val="00463074"/>
    <w:rsid w:val="00463076"/>
    <w:rsid w:val="004630AF"/>
    <w:rsid w:val="00463184"/>
    <w:rsid w:val="004631F5"/>
    <w:rsid w:val="0046320B"/>
    <w:rsid w:val="00463212"/>
    <w:rsid w:val="004632B0"/>
    <w:rsid w:val="004632E8"/>
    <w:rsid w:val="00463362"/>
    <w:rsid w:val="00463385"/>
    <w:rsid w:val="00463399"/>
    <w:rsid w:val="004633C9"/>
    <w:rsid w:val="00463408"/>
    <w:rsid w:val="0046340B"/>
    <w:rsid w:val="0046346A"/>
    <w:rsid w:val="004634DD"/>
    <w:rsid w:val="00463517"/>
    <w:rsid w:val="0046355B"/>
    <w:rsid w:val="00463562"/>
    <w:rsid w:val="004635F1"/>
    <w:rsid w:val="00463652"/>
    <w:rsid w:val="0046368A"/>
    <w:rsid w:val="004636C0"/>
    <w:rsid w:val="0046373A"/>
    <w:rsid w:val="00463767"/>
    <w:rsid w:val="00463776"/>
    <w:rsid w:val="00463828"/>
    <w:rsid w:val="0046386A"/>
    <w:rsid w:val="00463871"/>
    <w:rsid w:val="00463884"/>
    <w:rsid w:val="004638A8"/>
    <w:rsid w:val="0046391A"/>
    <w:rsid w:val="00463958"/>
    <w:rsid w:val="00463AB1"/>
    <w:rsid w:val="00463AD2"/>
    <w:rsid w:val="00463B0B"/>
    <w:rsid w:val="00463B42"/>
    <w:rsid w:val="00463B79"/>
    <w:rsid w:val="00463B7C"/>
    <w:rsid w:val="00463BD4"/>
    <w:rsid w:val="00463BE4"/>
    <w:rsid w:val="00463BE8"/>
    <w:rsid w:val="00463C31"/>
    <w:rsid w:val="00463C76"/>
    <w:rsid w:val="00463CC0"/>
    <w:rsid w:val="00463CE7"/>
    <w:rsid w:val="00463CED"/>
    <w:rsid w:val="00463CFE"/>
    <w:rsid w:val="00463D0C"/>
    <w:rsid w:val="00463D1C"/>
    <w:rsid w:val="00463E11"/>
    <w:rsid w:val="00463E19"/>
    <w:rsid w:val="00463E1B"/>
    <w:rsid w:val="00463E83"/>
    <w:rsid w:val="00463F2C"/>
    <w:rsid w:val="00463FB2"/>
    <w:rsid w:val="00463FBE"/>
    <w:rsid w:val="0046403A"/>
    <w:rsid w:val="0046403E"/>
    <w:rsid w:val="00464045"/>
    <w:rsid w:val="0046404D"/>
    <w:rsid w:val="00464081"/>
    <w:rsid w:val="004640CB"/>
    <w:rsid w:val="00464104"/>
    <w:rsid w:val="00464117"/>
    <w:rsid w:val="0046414E"/>
    <w:rsid w:val="0046416A"/>
    <w:rsid w:val="00464186"/>
    <w:rsid w:val="00464202"/>
    <w:rsid w:val="0046421A"/>
    <w:rsid w:val="0046427C"/>
    <w:rsid w:val="004642E5"/>
    <w:rsid w:val="0046432D"/>
    <w:rsid w:val="004643D5"/>
    <w:rsid w:val="004643E5"/>
    <w:rsid w:val="004643F4"/>
    <w:rsid w:val="0046440C"/>
    <w:rsid w:val="0046442B"/>
    <w:rsid w:val="00464481"/>
    <w:rsid w:val="00464483"/>
    <w:rsid w:val="0046449F"/>
    <w:rsid w:val="004644CD"/>
    <w:rsid w:val="004644D6"/>
    <w:rsid w:val="00464546"/>
    <w:rsid w:val="004645BD"/>
    <w:rsid w:val="004645C2"/>
    <w:rsid w:val="004645D1"/>
    <w:rsid w:val="00464611"/>
    <w:rsid w:val="00464628"/>
    <w:rsid w:val="0046463C"/>
    <w:rsid w:val="0046468F"/>
    <w:rsid w:val="0046478B"/>
    <w:rsid w:val="00464826"/>
    <w:rsid w:val="00464910"/>
    <w:rsid w:val="00464918"/>
    <w:rsid w:val="00464925"/>
    <w:rsid w:val="00464970"/>
    <w:rsid w:val="004649BD"/>
    <w:rsid w:val="00464A1C"/>
    <w:rsid w:val="00464A26"/>
    <w:rsid w:val="00464A71"/>
    <w:rsid w:val="00464A93"/>
    <w:rsid w:val="00464AE8"/>
    <w:rsid w:val="00464B0E"/>
    <w:rsid w:val="00464BA2"/>
    <w:rsid w:val="00464BA8"/>
    <w:rsid w:val="00464C1B"/>
    <w:rsid w:val="00464C49"/>
    <w:rsid w:val="00464C7C"/>
    <w:rsid w:val="00464D1F"/>
    <w:rsid w:val="00464D33"/>
    <w:rsid w:val="00464D7E"/>
    <w:rsid w:val="00464DCB"/>
    <w:rsid w:val="00464E24"/>
    <w:rsid w:val="00464E6F"/>
    <w:rsid w:val="00464EE5"/>
    <w:rsid w:val="00464EE8"/>
    <w:rsid w:val="00464F19"/>
    <w:rsid w:val="00464F2B"/>
    <w:rsid w:val="00464FD0"/>
    <w:rsid w:val="00465011"/>
    <w:rsid w:val="00465042"/>
    <w:rsid w:val="004650BA"/>
    <w:rsid w:val="0046510A"/>
    <w:rsid w:val="0046515B"/>
    <w:rsid w:val="00465160"/>
    <w:rsid w:val="00465192"/>
    <w:rsid w:val="004651DB"/>
    <w:rsid w:val="004651FA"/>
    <w:rsid w:val="00465289"/>
    <w:rsid w:val="004652BA"/>
    <w:rsid w:val="004652C6"/>
    <w:rsid w:val="004652CE"/>
    <w:rsid w:val="00465310"/>
    <w:rsid w:val="0046535F"/>
    <w:rsid w:val="00465362"/>
    <w:rsid w:val="00465378"/>
    <w:rsid w:val="0046538C"/>
    <w:rsid w:val="004653D9"/>
    <w:rsid w:val="004653E5"/>
    <w:rsid w:val="00465434"/>
    <w:rsid w:val="00465471"/>
    <w:rsid w:val="004654CB"/>
    <w:rsid w:val="004654D8"/>
    <w:rsid w:val="00465531"/>
    <w:rsid w:val="004655EF"/>
    <w:rsid w:val="00465618"/>
    <w:rsid w:val="00465630"/>
    <w:rsid w:val="00465657"/>
    <w:rsid w:val="00465674"/>
    <w:rsid w:val="00465695"/>
    <w:rsid w:val="004656A3"/>
    <w:rsid w:val="004656B0"/>
    <w:rsid w:val="004656E9"/>
    <w:rsid w:val="00465705"/>
    <w:rsid w:val="0046577D"/>
    <w:rsid w:val="0046578B"/>
    <w:rsid w:val="004657B8"/>
    <w:rsid w:val="004658A5"/>
    <w:rsid w:val="0046592E"/>
    <w:rsid w:val="00465938"/>
    <w:rsid w:val="00465959"/>
    <w:rsid w:val="0046595F"/>
    <w:rsid w:val="00465991"/>
    <w:rsid w:val="004659EA"/>
    <w:rsid w:val="00465A4B"/>
    <w:rsid w:val="00465A8E"/>
    <w:rsid w:val="00465AA0"/>
    <w:rsid w:val="00465B04"/>
    <w:rsid w:val="00465B0A"/>
    <w:rsid w:val="00465B17"/>
    <w:rsid w:val="00465BDF"/>
    <w:rsid w:val="00465C11"/>
    <w:rsid w:val="00465C1D"/>
    <w:rsid w:val="00465C2E"/>
    <w:rsid w:val="00465C56"/>
    <w:rsid w:val="00465CB2"/>
    <w:rsid w:val="00465D07"/>
    <w:rsid w:val="00465D0F"/>
    <w:rsid w:val="00465D14"/>
    <w:rsid w:val="00465D5D"/>
    <w:rsid w:val="00465D64"/>
    <w:rsid w:val="00465DEF"/>
    <w:rsid w:val="00465DF7"/>
    <w:rsid w:val="00465DFA"/>
    <w:rsid w:val="00465E05"/>
    <w:rsid w:val="00465E5B"/>
    <w:rsid w:val="00465E94"/>
    <w:rsid w:val="00465ECF"/>
    <w:rsid w:val="00465F0F"/>
    <w:rsid w:val="00465F3C"/>
    <w:rsid w:val="00465F5E"/>
    <w:rsid w:val="00465FBB"/>
    <w:rsid w:val="00466024"/>
    <w:rsid w:val="00466035"/>
    <w:rsid w:val="00466039"/>
    <w:rsid w:val="00466050"/>
    <w:rsid w:val="0046605F"/>
    <w:rsid w:val="00466083"/>
    <w:rsid w:val="004660BE"/>
    <w:rsid w:val="004660F2"/>
    <w:rsid w:val="0046612E"/>
    <w:rsid w:val="00466161"/>
    <w:rsid w:val="004661B0"/>
    <w:rsid w:val="004661D2"/>
    <w:rsid w:val="004661D4"/>
    <w:rsid w:val="004661E3"/>
    <w:rsid w:val="00466208"/>
    <w:rsid w:val="00466276"/>
    <w:rsid w:val="0046628E"/>
    <w:rsid w:val="00466367"/>
    <w:rsid w:val="0046640E"/>
    <w:rsid w:val="00466427"/>
    <w:rsid w:val="0046643C"/>
    <w:rsid w:val="00466451"/>
    <w:rsid w:val="004664B1"/>
    <w:rsid w:val="00466514"/>
    <w:rsid w:val="00466536"/>
    <w:rsid w:val="00466591"/>
    <w:rsid w:val="004665CD"/>
    <w:rsid w:val="004665F5"/>
    <w:rsid w:val="00466612"/>
    <w:rsid w:val="00466670"/>
    <w:rsid w:val="00466772"/>
    <w:rsid w:val="00466774"/>
    <w:rsid w:val="004667BE"/>
    <w:rsid w:val="00466816"/>
    <w:rsid w:val="0046684C"/>
    <w:rsid w:val="00466894"/>
    <w:rsid w:val="004668A0"/>
    <w:rsid w:val="004668E4"/>
    <w:rsid w:val="00466916"/>
    <w:rsid w:val="00466946"/>
    <w:rsid w:val="00466992"/>
    <w:rsid w:val="004669D4"/>
    <w:rsid w:val="00466A45"/>
    <w:rsid w:val="00466A5D"/>
    <w:rsid w:val="00466A69"/>
    <w:rsid w:val="00466A8F"/>
    <w:rsid w:val="00466AC4"/>
    <w:rsid w:val="00466B02"/>
    <w:rsid w:val="00466B08"/>
    <w:rsid w:val="00466B3A"/>
    <w:rsid w:val="00466B96"/>
    <w:rsid w:val="00466BAD"/>
    <w:rsid w:val="00466C51"/>
    <w:rsid w:val="00466C7D"/>
    <w:rsid w:val="00466CAB"/>
    <w:rsid w:val="00466CD8"/>
    <w:rsid w:val="00466CF3"/>
    <w:rsid w:val="00466D10"/>
    <w:rsid w:val="00466D2A"/>
    <w:rsid w:val="00466D85"/>
    <w:rsid w:val="00466DAB"/>
    <w:rsid w:val="00466E3E"/>
    <w:rsid w:val="00466EF5"/>
    <w:rsid w:val="00466EFA"/>
    <w:rsid w:val="00466EFE"/>
    <w:rsid w:val="00466F04"/>
    <w:rsid w:val="00466F14"/>
    <w:rsid w:val="00466F3D"/>
    <w:rsid w:val="00466FB7"/>
    <w:rsid w:val="004670BE"/>
    <w:rsid w:val="00467103"/>
    <w:rsid w:val="00467104"/>
    <w:rsid w:val="0046710E"/>
    <w:rsid w:val="00467147"/>
    <w:rsid w:val="0046714F"/>
    <w:rsid w:val="00467150"/>
    <w:rsid w:val="00467175"/>
    <w:rsid w:val="00467186"/>
    <w:rsid w:val="004671C2"/>
    <w:rsid w:val="004671C8"/>
    <w:rsid w:val="004671ED"/>
    <w:rsid w:val="00467299"/>
    <w:rsid w:val="004672A8"/>
    <w:rsid w:val="004672FB"/>
    <w:rsid w:val="0046734C"/>
    <w:rsid w:val="0046739B"/>
    <w:rsid w:val="004673C5"/>
    <w:rsid w:val="004673F3"/>
    <w:rsid w:val="0046744C"/>
    <w:rsid w:val="004674A8"/>
    <w:rsid w:val="004674AF"/>
    <w:rsid w:val="004674C0"/>
    <w:rsid w:val="004674FF"/>
    <w:rsid w:val="0046750C"/>
    <w:rsid w:val="0046752A"/>
    <w:rsid w:val="0046752E"/>
    <w:rsid w:val="0046755F"/>
    <w:rsid w:val="0046756F"/>
    <w:rsid w:val="00467571"/>
    <w:rsid w:val="004675B5"/>
    <w:rsid w:val="004675B9"/>
    <w:rsid w:val="004675F5"/>
    <w:rsid w:val="00467605"/>
    <w:rsid w:val="0046760D"/>
    <w:rsid w:val="00467618"/>
    <w:rsid w:val="00467621"/>
    <w:rsid w:val="00467651"/>
    <w:rsid w:val="0046765E"/>
    <w:rsid w:val="00467686"/>
    <w:rsid w:val="00467703"/>
    <w:rsid w:val="00467710"/>
    <w:rsid w:val="0046777D"/>
    <w:rsid w:val="004677AB"/>
    <w:rsid w:val="004677C7"/>
    <w:rsid w:val="004677F2"/>
    <w:rsid w:val="00467806"/>
    <w:rsid w:val="004678B1"/>
    <w:rsid w:val="00467919"/>
    <w:rsid w:val="00467957"/>
    <w:rsid w:val="0046795B"/>
    <w:rsid w:val="0046796E"/>
    <w:rsid w:val="004679D1"/>
    <w:rsid w:val="00467AA1"/>
    <w:rsid w:val="00467AAC"/>
    <w:rsid w:val="00467ADD"/>
    <w:rsid w:val="00467AF6"/>
    <w:rsid w:val="00467B12"/>
    <w:rsid w:val="00467B1D"/>
    <w:rsid w:val="00467B5F"/>
    <w:rsid w:val="00467C23"/>
    <w:rsid w:val="00467C4A"/>
    <w:rsid w:val="00467C5B"/>
    <w:rsid w:val="00467C8D"/>
    <w:rsid w:val="00467C9F"/>
    <w:rsid w:val="00467CA4"/>
    <w:rsid w:val="00467D42"/>
    <w:rsid w:val="00467D56"/>
    <w:rsid w:val="00467D75"/>
    <w:rsid w:val="00467D9E"/>
    <w:rsid w:val="00467DD1"/>
    <w:rsid w:val="00467DDB"/>
    <w:rsid w:val="00467DEF"/>
    <w:rsid w:val="00467E0A"/>
    <w:rsid w:val="00467EB1"/>
    <w:rsid w:val="00467F4C"/>
    <w:rsid w:val="00467F74"/>
    <w:rsid w:val="00467F81"/>
    <w:rsid w:val="00467F85"/>
    <w:rsid w:val="00467F87"/>
    <w:rsid w:val="00470007"/>
    <w:rsid w:val="00470025"/>
    <w:rsid w:val="0047008E"/>
    <w:rsid w:val="0047009A"/>
    <w:rsid w:val="0047009B"/>
    <w:rsid w:val="004700CC"/>
    <w:rsid w:val="0047010E"/>
    <w:rsid w:val="00470131"/>
    <w:rsid w:val="00470161"/>
    <w:rsid w:val="004701EF"/>
    <w:rsid w:val="004702B2"/>
    <w:rsid w:val="004702E8"/>
    <w:rsid w:val="0047031E"/>
    <w:rsid w:val="00470328"/>
    <w:rsid w:val="00470339"/>
    <w:rsid w:val="0047034B"/>
    <w:rsid w:val="00470357"/>
    <w:rsid w:val="00470381"/>
    <w:rsid w:val="00470386"/>
    <w:rsid w:val="004703B1"/>
    <w:rsid w:val="004703E8"/>
    <w:rsid w:val="00470433"/>
    <w:rsid w:val="0047044D"/>
    <w:rsid w:val="00470464"/>
    <w:rsid w:val="004704CD"/>
    <w:rsid w:val="004705E7"/>
    <w:rsid w:val="004705F4"/>
    <w:rsid w:val="0047069A"/>
    <w:rsid w:val="004706D1"/>
    <w:rsid w:val="00470756"/>
    <w:rsid w:val="004708F0"/>
    <w:rsid w:val="00470916"/>
    <w:rsid w:val="00470928"/>
    <w:rsid w:val="00470973"/>
    <w:rsid w:val="004709A8"/>
    <w:rsid w:val="004709D6"/>
    <w:rsid w:val="00470AD8"/>
    <w:rsid w:val="00470B25"/>
    <w:rsid w:val="00470B3B"/>
    <w:rsid w:val="00470B43"/>
    <w:rsid w:val="00470C54"/>
    <w:rsid w:val="00470C83"/>
    <w:rsid w:val="00470C89"/>
    <w:rsid w:val="00470CB8"/>
    <w:rsid w:val="00470CC7"/>
    <w:rsid w:val="00470CD7"/>
    <w:rsid w:val="00470D11"/>
    <w:rsid w:val="00470D5E"/>
    <w:rsid w:val="00470DAF"/>
    <w:rsid w:val="00470E2F"/>
    <w:rsid w:val="00470E47"/>
    <w:rsid w:val="00470E69"/>
    <w:rsid w:val="00470E6B"/>
    <w:rsid w:val="00470E85"/>
    <w:rsid w:val="00470FC3"/>
    <w:rsid w:val="00471086"/>
    <w:rsid w:val="0047108A"/>
    <w:rsid w:val="00471102"/>
    <w:rsid w:val="004711A9"/>
    <w:rsid w:val="004711FB"/>
    <w:rsid w:val="00471231"/>
    <w:rsid w:val="00471239"/>
    <w:rsid w:val="00471252"/>
    <w:rsid w:val="004712B5"/>
    <w:rsid w:val="004712CF"/>
    <w:rsid w:val="00471376"/>
    <w:rsid w:val="00471389"/>
    <w:rsid w:val="004713A6"/>
    <w:rsid w:val="0047140D"/>
    <w:rsid w:val="0047142C"/>
    <w:rsid w:val="0047147E"/>
    <w:rsid w:val="00471484"/>
    <w:rsid w:val="004714A2"/>
    <w:rsid w:val="00471569"/>
    <w:rsid w:val="0047157A"/>
    <w:rsid w:val="004715A9"/>
    <w:rsid w:val="004715C4"/>
    <w:rsid w:val="004715E5"/>
    <w:rsid w:val="00471653"/>
    <w:rsid w:val="00471657"/>
    <w:rsid w:val="004716C4"/>
    <w:rsid w:val="004716EF"/>
    <w:rsid w:val="0047170D"/>
    <w:rsid w:val="004717B7"/>
    <w:rsid w:val="004717BE"/>
    <w:rsid w:val="004717E7"/>
    <w:rsid w:val="004717EB"/>
    <w:rsid w:val="004718D3"/>
    <w:rsid w:val="004718E6"/>
    <w:rsid w:val="00471927"/>
    <w:rsid w:val="004719D4"/>
    <w:rsid w:val="004719E9"/>
    <w:rsid w:val="004719FD"/>
    <w:rsid w:val="00471A4A"/>
    <w:rsid w:val="00471A54"/>
    <w:rsid w:val="00471AD7"/>
    <w:rsid w:val="00471AEA"/>
    <w:rsid w:val="00471AFC"/>
    <w:rsid w:val="00471B0C"/>
    <w:rsid w:val="00471B52"/>
    <w:rsid w:val="00471B64"/>
    <w:rsid w:val="00471B81"/>
    <w:rsid w:val="00471B94"/>
    <w:rsid w:val="00471BBE"/>
    <w:rsid w:val="00471BCE"/>
    <w:rsid w:val="00471BDA"/>
    <w:rsid w:val="00471C03"/>
    <w:rsid w:val="00471C37"/>
    <w:rsid w:val="00471C6D"/>
    <w:rsid w:val="00471C84"/>
    <w:rsid w:val="00471C8E"/>
    <w:rsid w:val="00471C9C"/>
    <w:rsid w:val="00471C9D"/>
    <w:rsid w:val="00471CB9"/>
    <w:rsid w:val="00471CBB"/>
    <w:rsid w:val="00471CD0"/>
    <w:rsid w:val="00471CDE"/>
    <w:rsid w:val="00471D10"/>
    <w:rsid w:val="00471D25"/>
    <w:rsid w:val="00471D88"/>
    <w:rsid w:val="00471DA0"/>
    <w:rsid w:val="00471DAA"/>
    <w:rsid w:val="00471DB2"/>
    <w:rsid w:val="00471E50"/>
    <w:rsid w:val="00471E8E"/>
    <w:rsid w:val="00471EA3"/>
    <w:rsid w:val="00471EE4"/>
    <w:rsid w:val="00471EEA"/>
    <w:rsid w:val="00471EF5"/>
    <w:rsid w:val="00471EFB"/>
    <w:rsid w:val="00471F08"/>
    <w:rsid w:val="00471F27"/>
    <w:rsid w:val="00471F8E"/>
    <w:rsid w:val="00471FCA"/>
    <w:rsid w:val="00471FFD"/>
    <w:rsid w:val="0047200F"/>
    <w:rsid w:val="00472046"/>
    <w:rsid w:val="00472047"/>
    <w:rsid w:val="00472054"/>
    <w:rsid w:val="0047205B"/>
    <w:rsid w:val="00472061"/>
    <w:rsid w:val="0047209D"/>
    <w:rsid w:val="004720BE"/>
    <w:rsid w:val="004720D4"/>
    <w:rsid w:val="004720E6"/>
    <w:rsid w:val="004720F8"/>
    <w:rsid w:val="0047217C"/>
    <w:rsid w:val="004721FF"/>
    <w:rsid w:val="0047221F"/>
    <w:rsid w:val="0047222D"/>
    <w:rsid w:val="00472248"/>
    <w:rsid w:val="0047224F"/>
    <w:rsid w:val="00472277"/>
    <w:rsid w:val="004722C3"/>
    <w:rsid w:val="004722CB"/>
    <w:rsid w:val="00472304"/>
    <w:rsid w:val="00472359"/>
    <w:rsid w:val="00472378"/>
    <w:rsid w:val="004723CD"/>
    <w:rsid w:val="004723D0"/>
    <w:rsid w:val="004723D9"/>
    <w:rsid w:val="00472424"/>
    <w:rsid w:val="0047244F"/>
    <w:rsid w:val="00472462"/>
    <w:rsid w:val="00472471"/>
    <w:rsid w:val="00472474"/>
    <w:rsid w:val="00472489"/>
    <w:rsid w:val="004724CB"/>
    <w:rsid w:val="004724DF"/>
    <w:rsid w:val="00472590"/>
    <w:rsid w:val="004725D1"/>
    <w:rsid w:val="004725E9"/>
    <w:rsid w:val="00472604"/>
    <w:rsid w:val="0047260E"/>
    <w:rsid w:val="00472666"/>
    <w:rsid w:val="0047269F"/>
    <w:rsid w:val="004726A6"/>
    <w:rsid w:val="004727AC"/>
    <w:rsid w:val="004727C5"/>
    <w:rsid w:val="0047282C"/>
    <w:rsid w:val="0047282F"/>
    <w:rsid w:val="00472848"/>
    <w:rsid w:val="0047284E"/>
    <w:rsid w:val="0047285D"/>
    <w:rsid w:val="004728FC"/>
    <w:rsid w:val="004729BD"/>
    <w:rsid w:val="004729EF"/>
    <w:rsid w:val="004729FC"/>
    <w:rsid w:val="00472B36"/>
    <w:rsid w:val="00472C0B"/>
    <w:rsid w:val="00472C9B"/>
    <w:rsid w:val="00472CA9"/>
    <w:rsid w:val="00472DB3"/>
    <w:rsid w:val="00472DE1"/>
    <w:rsid w:val="00472EB1"/>
    <w:rsid w:val="00472ED0"/>
    <w:rsid w:val="00472EE7"/>
    <w:rsid w:val="00472F06"/>
    <w:rsid w:val="00472F3D"/>
    <w:rsid w:val="00472F43"/>
    <w:rsid w:val="00472F6C"/>
    <w:rsid w:val="00472F75"/>
    <w:rsid w:val="00473002"/>
    <w:rsid w:val="00473038"/>
    <w:rsid w:val="00473045"/>
    <w:rsid w:val="00473060"/>
    <w:rsid w:val="00473107"/>
    <w:rsid w:val="0047310F"/>
    <w:rsid w:val="00473186"/>
    <w:rsid w:val="004731AB"/>
    <w:rsid w:val="004731B1"/>
    <w:rsid w:val="004731BC"/>
    <w:rsid w:val="0047324A"/>
    <w:rsid w:val="00473269"/>
    <w:rsid w:val="004732F5"/>
    <w:rsid w:val="00473343"/>
    <w:rsid w:val="0047334C"/>
    <w:rsid w:val="0047337D"/>
    <w:rsid w:val="0047338B"/>
    <w:rsid w:val="0047338F"/>
    <w:rsid w:val="004733AC"/>
    <w:rsid w:val="004733CA"/>
    <w:rsid w:val="004733E7"/>
    <w:rsid w:val="00473417"/>
    <w:rsid w:val="00473425"/>
    <w:rsid w:val="0047342E"/>
    <w:rsid w:val="00473439"/>
    <w:rsid w:val="004734AB"/>
    <w:rsid w:val="004734C6"/>
    <w:rsid w:val="0047352B"/>
    <w:rsid w:val="00473602"/>
    <w:rsid w:val="00473610"/>
    <w:rsid w:val="0047363A"/>
    <w:rsid w:val="00473648"/>
    <w:rsid w:val="0047368C"/>
    <w:rsid w:val="004736E9"/>
    <w:rsid w:val="00473733"/>
    <w:rsid w:val="00473739"/>
    <w:rsid w:val="00473747"/>
    <w:rsid w:val="0047377C"/>
    <w:rsid w:val="0047378C"/>
    <w:rsid w:val="00473795"/>
    <w:rsid w:val="00473797"/>
    <w:rsid w:val="004737A8"/>
    <w:rsid w:val="00473814"/>
    <w:rsid w:val="004738BC"/>
    <w:rsid w:val="00473977"/>
    <w:rsid w:val="004739C2"/>
    <w:rsid w:val="004739DD"/>
    <w:rsid w:val="00473A1F"/>
    <w:rsid w:val="00473A74"/>
    <w:rsid w:val="00473B3D"/>
    <w:rsid w:val="00473C0F"/>
    <w:rsid w:val="00473CDF"/>
    <w:rsid w:val="00473CFA"/>
    <w:rsid w:val="00473D03"/>
    <w:rsid w:val="00473D19"/>
    <w:rsid w:val="00473D45"/>
    <w:rsid w:val="00473D74"/>
    <w:rsid w:val="00473D7B"/>
    <w:rsid w:val="00473E41"/>
    <w:rsid w:val="00473E75"/>
    <w:rsid w:val="00473E81"/>
    <w:rsid w:val="00473E97"/>
    <w:rsid w:val="00473EE1"/>
    <w:rsid w:val="00473F1C"/>
    <w:rsid w:val="00473F35"/>
    <w:rsid w:val="00473F99"/>
    <w:rsid w:val="00473FAE"/>
    <w:rsid w:val="00473FE5"/>
    <w:rsid w:val="00474083"/>
    <w:rsid w:val="0047408B"/>
    <w:rsid w:val="004740B2"/>
    <w:rsid w:val="004740CB"/>
    <w:rsid w:val="004740DA"/>
    <w:rsid w:val="004741E3"/>
    <w:rsid w:val="004741FF"/>
    <w:rsid w:val="004742A4"/>
    <w:rsid w:val="004742D2"/>
    <w:rsid w:val="004742E6"/>
    <w:rsid w:val="004743FA"/>
    <w:rsid w:val="004744C9"/>
    <w:rsid w:val="0047462F"/>
    <w:rsid w:val="0047468C"/>
    <w:rsid w:val="004746B7"/>
    <w:rsid w:val="004746DF"/>
    <w:rsid w:val="00474726"/>
    <w:rsid w:val="00474744"/>
    <w:rsid w:val="00474746"/>
    <w:rsid w:val="004747C2"/>
    <w:rsid w:val="00474833"/>
    <w:rsid w:val="00474852"/>
    <w:rsid w:val="004748C8"/>
    <w:rsid w:val="004748E7"/>
    <w:rsid w:val="004748F3"/>
    <w:rsid w:val="0047491C"/>
    <w:rsid w:val="00474960"/>
    <w:rsid w:val="00474985"/>
    <w:rsid w:val="00474A07"/>
    <w:rsid w:val="00474A4F"/>
    <w:rsid w:val="00474A56"/>
    <w:rsid w:val="00474A71"/>
    <w:rsid w:val="00474B17"/>
    <w:rsid w:val="00474B68"/>
    <w:rsid w:val="00474BD6"/>
    <w:rsid w:val="00474BDE"/>
    <w:rsid w:val="00474C00"/>
    <w:rsid w:val="00474C07"/>
    <w:rsid w:val="00474C9C"/>
    <w:rsid w:val="00474D03"/>
    <w:rsid w:val="00474D49"/>
    <w:rsid w:val="00474D61"/>
    <w:rsid w:val="00474D91"/>
    <w:rsid w:val="00474DB5"/>
    <w:rsid w:val="00474DDF"/>
    <w:rsid w:val="00474DF3"/>
    <w:rsid w:val="00474E2D"/>
    <w:rsid w:val="00474E39"/>
    <w:rsid w:val="00474E3F"/>
    <w:rsid w:val="00474E65"/>
    <w:rsid w:val="00474EBE"/>
    <w:rsid w:val="00474EE4"/>
    <w:rsid w:val="00474EFC"/>
    <w:rsid w:val="00474F85"/>
    <w:rsid w:val="00474FA0"/>
    <w:rsid w:val="00474FDD"/>
    <w:rsid w:val="00474FEA"/>
    <w:rsid w:val="0047503B"/>
    <w:rsid w:val="00475044"/>
    <w:rsid w:val="0047506E"/>
    <w:rsid w:val="00475089"/>
    <w:rsid w:val="004750A8"/>
    <w:rsid w:val="004750C8"/>
    <w:rsid w:val="004750F9"/>
    <w:rsid w:val="00475164"/>
    <w:rsid w:val="004751B8"/>
    <w:rsid w:val="004751C0"/>
    <w:rsid w:val="004751F7"/>
    <w:rsid w:val="00475225"/>
    <w:rsid w:val="004752BE"/>
    <w:rsid w:val="004752C8"/>
    <w:rsid w:val="00475317"/>
    <w:rsid w:val="00475366"/>
    <w:rsid w:val="0047536F"/>
    <w:rsid w:val="00475387"/>
    <w:rsid w:val="0047539A"/>
    <w:rsid w:val="004753EC"/>
    <w:rsid w:val="004753F9"/>
    <w:rsid w:val="00475408"/>
    <w:rsid w:val="0047541A"/>
    <w:rsid w:val="00475441"/>
    <w:rsid w:val="004754B9"/>
    <w:rsid w:val="0047556D"/>
    <w:rsid w:val="0047558E"/>
    <w:rsid w:val="004755A5"/>
    <w:rsid w:val="004755F6"/>
    <w:rsid w:val="004755FB"/>
    <w:rsid w:val="00475614"/>
    <w:rsid w:val="0047562C"/>
    <w:rsid w:val="00475630"/>
    <w:rsid w:val="00475681"/>
    <w:rsid w:val="00475694"/>
    <w:rsid w:val="004756DD"/>
    <w:rsid w:val="004756EB"/>
    <w:rsid w:val="00475773"/>
    <w:rsid w:val="0047583D"/>
    <w:rsid w:val="0047587D"/>
    <w:rsid w:val="004758BF"/>
    <w:rsid w:val="0047597C"/>
    <w:rsid w:val="004759E6"/>
    <w:rsid w:val="004759F3"/>
    <w:rsid w:val="00475AF0"/>
    <w:rsid w:val="00475B42"/>
    <w:rsid w:val="00475B57"/>
    <w:rsid w:val="00475B94"/>
    <w:rsid w:val="00475BB3"/>
    <w:rsid w:val="00475C04"/>
    <w:rsid w:val="00475C4C"/>
    <w:rsid w:val="00475C70"/>
    <w:rsid w:val="00475CC5"/>
    <w:rsid w:val="00475CF2"/>
    <w:rsid w:val="00475D0E"/>
    <w:rsid w:val="00475D99"/>
    <w:rsid w:val="00475E2E"/>
    <w:rsid w:val="00475E7C"/>
    <w:rsid w:val="00475E96"/>
    <w:rsid w:val="00475EBE"/>
    <w:rsid w:val="00475F0A"/>
    <w:rsid w:val="00475F93"/>
    <w:rsid w:val="00475FD8"/>
    <w:rsid w:val="00475FF6"/>
    <w:rsid w:val="00476007"/>
    <w:rsid w:val="00476033"/>
    <w:rsid w:val="0047603D"/>
    <w:rsid w:val="0047604A"/>
    <w:rsid w:val="00476075"/>
    <w:rsid w:val="00476116"/>
    <w:rsid w:val="00476171"/>
    <w:rsid w:val="0047618B"/>
    <w:rsid w:val="0047619C"/>
    <w:rsid w:val="004761C6"/>
    <w:rsid w:val="0047623E"/>
    <w:rsid w:val="004762E9"/>
    <w:rsid w:val="00476327"/>
    <w:rsid w:val="00476330"/>
    <w:rsid w:val="0047637E"/>
    <w:rsid w:val="004763DF"/>
    <w:rsid w:val="00476431"/>
    <w:rsid w:val="0047648A"/>
    <w:rsid w:val="004764DA"/>
    <w:rsid w:val="004765D2"/>
    <w:rsid w:val="00476650"/>
    <w:rsid w:val="00476662"/>
    <w:rsid w:val="00476694"/>
    <w:rsid w:val="004767EA"/>
    <w:rsid w:val="00476845"/>
    <w:rsid w:val="00476908"/>
    <w:rsid w:val="0047691C"/>
    <w:rsid w:val="00476938"/>
    <w:rsid w:val="004769A5"/>
    <w:rsid w:val="00476A29"/>
    <w:rsid w:val="00476AA6"/>
    <w:rsid w:val="00476AB4"/>
    <w:rsid w:val="00476ACB"/>
    <w:rsid w:val="00476AF1"/>
    <w:rsid w:val="00476AF4"/>
    <w:rsid w:val="00476B05"/>
    <w:rsid w:val="00476B23"/>
    <w:rsid w:val="00476B5B"/>
    <w:rsid w:val="00476B63"/>
    <w:rsid w:val="00476B8F"/>
    <w:rsid w:val="00476C73"/>
    <w:rsid w:val="00476CC6"/>
    <w:rsid w:val="00476D0D"/>
    <w:rsid w:val="00476D2F"/>
    <w:rsid w:val="00476D51"/>
    <w:rsid w:val="00476D7A"/>
    <w:rsid w:val="00476DA2"/>
    <w:rsid w:val="00476E17"/>
    <w:rsid w:val="00476E4A"/>
    <w:rsid w:val="00476E59"/>
    <w:rsid w:val="00476EC8"/>
    <w:rsid w:val="00476EEB"/>
    <w:rsid w:val="00476F13"/>
    <w:rsid w:val="00476F51"/>
    <w:rsid w:val="00476F97"/>
    <w:rsid w:val="00476FAB"/>
    <w:rsid w:val="00476FC1"/>
    <w:rsid w:val="00476FDD"/>
    <w:rsid w:val="0047700D"/>
    <w:rsid w:val="0047707B"/>
    <w:rsid w:val="00477081"/>
    <w:rsid w:val="0047709F"/>
    <w:rsid w:val="004770A2"/>
    <w:rsid w:val="004770CF"/>
    <w:rsid w:val="004770D0"/>
    <w:rsid w:val="004770D1"/>
    <w:rsid w:val="004770FA"/>
    <w:rsid w:val="0047710C"/>
    <w:rsid w:val="0047713B"/>
    <w:rsid w:val="00477158"/>
    <w:rsid w:val="004771A3"/>
    <w:rsid w:val="0047721D"/>
    <w:rsid w:val="00477276"/>
    <w:rsid w:val="004772E0"/>
    <w:rsid w:val="0047730C"/>
    <w:rsid w:val="0047733A"/>
    <w:rsid w:val="004773A6"/>
    <w:rsid w:val="00477438"/>
    <w:rsid w:val="00477469"/>
    <w:rsid w:val="0047749A"/>
    <w:rsid w:val="004774D8"/>
    <w:rsid w:val="00477550"/>
    <w:rsid w:val="00477578"/>
    <w:rsid w:val="00477667"/>
    <w:rsid w:val="00477699"/>
    <w:rsid w:val="0047770A"/>
    <w:rsid w:val="0047776F"/>
    <w:rsid w:val="0047780B"/>
    <w:rsid w:val="00477856"/>
    <w:rsid w:val="0047785D"/>
    <w:rsid w:val="004778A5"/>
    <w:rsid w:val="004778BC"/>
    <w:rsid w:val="004778C2"/>
    <w:rsid w:val="004778D1"/>
    <w:rsid w:val="0047798A"/>
    <w:rsid w:val="004779A6"/>
    <w:rsid w:val="004779AE"/>
    <w:rsid w:val="004779E3"/>
    <w:rsid w:val="00477A09"/>
    <w:rsid w:val="00477A31"/>
    <w:rsid w:val="00477A36"/>
    <w:rsid w:val="00477A59"/>
    <w:rsid w:val="00477A6B"/>
    <w:rsid w:val="00477AA5"/>
    <w:rsid w:val="00477ABE"/>
    <w:rsid w:val="00477AE5"/>
    <w:rsid w:val="00477B3A"/>
    <w:rsid w:val="00477B3D"/>
    <w:rsid w:val="00477B7E"/>
    <w:rsid w:val="00477B7F"/>
    <w:rsid w:val="00477BD0"/>
    <w:rsid w:val="00477BFE"/>
    <w:rsid w:val="00477C4D"/>
    <w:rsid w:val="00477C52"/>
    <w:rsid w:val="00477C73"/>
    <w:rsid w:val="00477C85"/>
    <w:rsid w:val="00477CBB"/>
    <w:rsid w:val="00477CF9"/>
    <w:rsid w:val="00477D1E"/>
    <w:rsid w:val="00477D75"/>
    <w:rsid w:val="00477D81"/>
    <w:rsid w:val="00477E2A"/>
    <w:rsid w:val="00477E3F"/>
    <w:rsid w:val="00477E44"/>
    <w:rsid w:val="00477F02"/>
    <w:rsid w:val="00477FAC"/>
    <w:rsid w:val="00477FD3"/>
    <w:rsid w:val="00477FD8"/>
    <w:rsid w:val="0047E939"/>
    <w:rsid w:val="0048001B"/>
    <w:rsid w:val="004800A2"/>
    <w:rsid w:val="0048012E"/>
    <w:rsid w:val="004802C7"/>
    <w:rsid w:val="004802D6"/>
    <w:rsid w:val="004802E3"/>
    <w:rsid w:val="00480301"/>
    <w:rsid w:val="0048035B"/>
    <w:rsid w:val="004803AD"/>
    <w:rsid w:val="004804D8"/>
    <w:rsid w:val="004804F5"/>
    <w:rsid w:val="0048053E"/>
    <w:rsid w:val="00480591"/>
    <w:rsid w:val="00480608"/>
    <w:rsid w:val="00480611"/>
    <w:rsid w:val="004806A0"/>
    <w:rsid w:val="004806BD"/>
    <w:rsid w:val="00480706"/>
    <w:rsid w:val="00480711"/>
    <w:rsid w:val="0048076F"/>
    <w:rsid w:val="0048079A"/>
    <w:rsid w:val="0048079B"/>
    <w:rsid w:val="004808C6"/>
    <w:rsid w:val="00480988"/>
    <w:rsid w:val="004809AD"/>
    <w:rsid w:val="00480A2C"/>
    <w:rsid w:val="00480A36"/>
    <w:rsid w:val="00480ACB"/>
    <w:rsid w:val="00480AF9"/>
    <w:rsid w:val="00480AFE"/>
    <w:rsid w:val="00480B78"/>
    <w:rsid w:val="00480B88"/>
    <w:rsid w:val="00480BD7"/>
    <w:rsid w:val="00480BFF"/>
    <w:rsid w:val="00480C12"/>
    <w:rsid w:val="00480C52"/>
    <w:rsid w:val="00480C55"/>
    <w:rsid w:val="00480C66"/>
    <w:rsid w:val="00480C81"/>
    <w:rsid w:val="00480D9F"/>
    <w:rsid w:val="00480E26"/>
    <w:rsid w:val="00480E29"/>
    <w:rsid w:val="00480EA6"/>
    <w:rsid w:val="00480F6B"/>
    <w:rsid w:val="00480F6F"/>
    <w:rsid w:val="00481041"/>
    <w:rsid w:val="00481043"/>
    <w:rsid w:val="00481066"/>
    <w:rsid w:val="0048109A"/>
    <w:rsid w:val="0048109F"/>
    <w:rsid w:val="004810C5"/>
    <w:rsid w:val="004810C9"/>
    <w:rsid w:val="00481104"/>
    <w:rsid w:val="00481112"/>
    <w:rsid w:val="0048117A"/>
    <w:rsid w:val="00481206"/>
    <w:rsid w:val="00481221"/>
    <w:rsid w:val="00481264"/>
    <w:rsid w:val="00481271"/>
    <w:rsid w:val="00481275"/>
    <w:rsid w:val="004812E0"/>
    <w:rsid w:val="0048130D"/>
    <w:rsid w:val="00481318"/>
    <w:rsid w:val="00481411"/>
    <w:rsid w:val="0048148A"/>
    <w:rsid w:val="004814AA"/>
    <w:rsid w:val="004814B9"/>
    <w:rsid w:val="004814E4"/>
    <w:rsid w:val="0048152F"/>
    <w:rsid w:val="00481548"/>
    <w:rsid w:val="0048157E"/>
    <w:rsid w:val="004815D0"/>
    <w:rsid w:val="004815E2"/>
    <w:rsid w:val="0048168E"/>
    <w:rsid w:val="00481729"/>
    <w:rsid w:val="0048174B"/>
    <w:rsid w:val="00481758"/>
    <w:rsid w:val="00481775"/>
    <w:rsid w:val="0048178A"/>
    <w:rsid w:val="0048179F"/>
    <w:rsid w:val="00481809"/>
    <w:rsid w:val="0048188B"/>
    <w:rsid w:val="0048192E"/>
    <w:rsid w:val="00481964"/>
    <w:rsid w:val="004819E7"/>
    <w:rsid w:val="00481A00"/>
    <w:rsid w:val="00481A18"/>
    <w:rsid w:val="00481A76"/>
    <w:rsid w:val="00481A88"/>
    <w:rsid w:val="00481A92"/>
    <w:rsid w:val="00481AE2"/>
    <w:rsid w:val="00481B07"/>
    <w:rsid w:val="00481B6E"/>
    <w:rsid w:val="00481BBE"/>
    <w:rsid w:val="00481BD2"/>
    <w:rsid w:val="00481BDD"/>
    <w:rsid w:val="00481C27"/>
    <w:rsid w:val="00481C39"/>
    <w:rsid w:val="00481C85"/>
    <w:rsid w:val="00481CA8"/>
    <w:rsid w:val="00481CDF"/>
    <w:rsid w:val="00481D4D"/>
    <w:rsid w:val="00481DB3"/>
    <w:rsid w:val="00481EB0"/>
    <w:rsid w:val="00481EC6"/>
    <w:rsid w:val="00481ED6"/>
    <w:rsid w:val="00481EF0"/>
    <w:rsid w:val="00481F65"/>
    <w:rsid w:val="00481F70"/>
    <w:rsid w:val="00481F9A"/>
    <w:rsid w:val="00481F9F"/>
    <w:rsid w:val="00482006"/>
    <w:rsid w:val="0048203D"/>
    <w:rsid w:val="00482040"/>
    <w:rsid w:val="00482074"/>
    <w:rsid w:val="004820B2"/>
    <w:rsid w:val="004820EB"/>
    <w:rsid w:val="0048210F"/>
    <w:rsid w:val="00482112"/>
    <w:rsid w:val="00482189"/>
    <w:rsid w:val="004821B1"/>
    <w:rsid w:val="00482207"/>
    <w:rsid w:val="0048224C"/>
    <w:rsid w:val="004822E5"/>
    <w:rsid w:val="004822E7"/>
    <w:rsid w:val="00482323"/>
    <w:rsid w:val="00482349"/>
    <w:rsid w:val="00482390"/>
    <w:rsid w:val="004823AC"/>
    <w:rsid w:val="004823CD"/>
    <w:rsid w:val="00482421"/>
    <w:rsid w:val="00482470"/>
    <w:rsid w:val="00482487"/>
    <w:rsid w:val="004824D2"/>
    <w:rsid w:val="004824DC"/>
    <w:rsid w:val="004824F7"/>
    <w:rsid w:val="00482548"/>
    <w:rsid w:val="0048256C"/>
    <w:rsid w:val="004825A6"/>
    <w:rsid w:val="004825DA"/>
    <w:rsid w:val="0048265E"/>
    <w:rsid w:val="0048269C"/>
    <w:rsid w:val="004826D6"/>
    <w:rsid w:val="00482741"/>
    <w:rsid w:val="00482776"/>
    <w:rsid w:val="0048279B"/>
    <w:rsid w:val="0048280C"/>
    <w:rsid w:val="00482825"/>
    <w:rsid w:val="00482868"/>
    <w:rsid w:val="0048289B"/>
    <w:rsid w:val="004828BE"/>
    <w:rsid w:val="00482943"/>
    <w:rsid w:val="0048298B"/>
    <w:rsid w:val="004829F5"/>
    <w:rsid w:val="00482A44"/>
    <w:rsid w:val="00482A5D"/>
    <w:rsid w:val="00482A62"/>
    <w:rsid w:val="00482A79"/>
    <w:rsid w:val="00482A7E"/>
    <w:rsid w:val="00482A8C"/>
    <w:rsid w:val="00482AD1"/>
    <w:rsid w:val="00482B05"/>
    <w:rsid w:val="00482B1F"/>
    <w:rsid w:val="00482B2E"/>
    <w:rsid w:val="00482BBA"/>
    <w:rsid w:val="00482BE3"/>
    <w:rsid w:val="00482C0B"/>
    <w:rsid w:val="00482C33"/>
    <w:rsid w:val="00482C4F"/>
    <w:rsid w:val="00482C7A"/>
    <w:rsid w:val="00482CA3"/>
    <w:rsid w:val="00482CCD"/>
    <w:rsid w:val="00482DA8"/>
    <w:rsid w:val="00482DD0"/>
    <w:rsid w:val="00482E4F"/>
    <w:rsid w:val="00482F04"/>
    <w:rsid w:val="00482F0F"/>
    <w:rsid w:val="00482F2E"/>
    <w:rsid w:val="00482F54"/>
    <w:rsid w:val="00482F72"/>
    <w:rsid w:val="00482FA0"/>
    <w:rsid w:val="00482FA4"/>
    <w:rsid w:val="00483067"/>
    <w:rsid w:val="00483068"/>
    <w:rsid w:val="00483074"/>
    <w:rsid w:val="0048315D"/>
    <w:rsid w:val="00483167"/>
    <w:rsid w:val="00483193"/>
    <w:rsid w:val="004831B6"/>
    <w:rsid w:val="004831E1"/>
    <w:rsid w:val="0048320F"/>
    <w:rsid w:val="00483222"/>
    <w:rsid w:val="0048323B"/>
    <w:rsid w:val="00483297"/>
    <w:rsid w:val="004832B2"/>
    <w:rsid w:val="00483381"/>
    <w:rsid w:val="004833BD"/>
    <w:rsid w:val="004833E1"/>
    <w:rsid w:val="004833EF"/>
    <w:rsid w:val="004834B0"/>
    <w:rsid w:val="004834B3"/>
    <w:rsid w:val="004834D3"/>
    <w:rsid w:val="00483511"/>
    <w:rsid w:val="004835D1"/>
    <w:rsid w:val="0048365D"/>
    <w:rsid w:val="00483683"/>
    <w:rsid w:val="00483687"/>
    <w:rsid w:val="004836A9"/>
    <w:rsid w:val="004836BF"/>
    <w:rsid w:val="00483752"/>
    <w:rsid w:val="00483779"/>
    <w:rsid w:val="0048377D"/>
    <w:rsid w:val="004837CF"/>
    <w:rsid w:val="004837E0"/>
    <w:rsid w:val="0048380B"/>
    <w:rsid w:val="00483833"/>
    <w:rsid w:val="00483840"/>
    <w:rsid w:val="00483909"/>
    <w:rsid w:val="0048391A"/>
    <w:rsid w:val="0048391B"/>
    <w:rsid w:val="00483957"/>
    <w:rsid w:val="0048396F"/>
    <w:rsid w:val="004839AD"/>
    <w:rsid w:val="004839BF"/>
    <w:rsid w:val="004839C3"/>
    <w:rsid w:val="00483A2E"/>
    <w:rsid w:val="00483A38"/>
    <w:rsid w:val="00483A4D"/>
    <w:rsid w:val="00483A6D"/>
    <w:rsid w:val="00483A91"/>
    <w:rsid w:val="00483BA9"/>
    <w:rsid w:val="00483BC0"/>
    <w:rsid w:val="00483C28"/>
    <w:rsid w:val="00483C8D"/>
    <w:rsid w:val="00483CC5"/>
    <w:rsid w:val="00483DAE"/>
    <w:rsid w:val="00483DB9"/>
    <w:rsid w:val="00483DE9"/>
    <w:rsid w:val="00483E74"/>
    <w:rsid w:val="00483ED3"/>
    <w:rsid w:val="00483F04"/>
    <w:rsid w:val="00483F44"/>
    <w:rsid w:val="00483FDD"/>
    <w:rsid w:val="00483FF6"/>
    <w:rsid w:val="00484098"/>
    <w:rsid w:val="004840A0"/>
    <w:rsid w:val="004840BE"/>
    <w:rsid w:val="0048411C"/>
    <w:rsid w:val="0048424D"/>
    <w:rsid w:val="00484252"/>
    <w:rsid w:val="0048426B"/>
    <w:rsid w:val="00484276"/>
    <w:rsid w:val="00484289"/>
    <w:rsid w:val="004842DB"/>
    <w:rsid w:val="004842F2"/>
    <w:rsid w:val="0048435B"/>
    <w:rsid w:val="00484396"/>
    <w:rsid w:val="004843E0"/>
    <w:rsid w:val="004843E1"/>
    <w:rsid w:val="0048441B"/>
    <w:rsid w:val="0048441D"/>
    <w:rsid w:val="0048449C"/>
    <w:rsid w:val="004844BC"/>
    <w:rsid w:val="00484529"/>
    <w:rsid w:val="00484539"/>
    <w:rsid w:val="00484542"/>
    <w:rsid w:val="00484576"/>
    <w:rsid w:val="004845AA"/>
    <w:rsid w:val="004845C7"/>
    <w:rsid w:val="004845D6"/>
    <w:rsid w:val="0048461E"/>
    <w:rsid w:val="00484630"/>
    <w:rsid w:val="00484687"/>
    <w:rsid w:val="004846D1"/>
    <w:rsid w:val="00484735"/>
    <w:rsid w:val="00484743"/>
    <w:rsid w:val="00484794"/>
    <w:rsid w:val="004847AC"/>
    <w:rsid w:val="00484806"/>
    <w:rsid w:val="00484843"/>
    <w:rsid w:val="0048486E"/>
    <w:rsid w:val="00484881"/>
    <w:rsid w:val="004848C2"/>
    <w:rsid w:val="004848F2"/>
    <w:rsid w:val="004848F5"/>
    <w:rsid w:val="00484918"/>
    <w:rsid w:val="0048493D"/>
    <w:rsid w:val="004849D4"/>
    <w:rsid w:val="00484A45"/>
    <w:rsid w:val="00484ACA"/>
    <w:rsid w:val="00484AF7"/>
    <w:rsid w:val="00484B18"/>
    <w:rsid w:val="00484B9E"/>
    <w:rsid w:val="00484BC0"/>
    <w:rsid w:val="00484C2C"/>
    <w:rsid w:val="00484C9B"/>
    <w:rsid w:val="00484CAE"/>
    <w:rsid w:val="00484CD5"/>
    <w:rsid w:val="00484CE1"/>
    <w:rsid w:val="00484D70"/>
    <w:rsid w:val="00484D74"/>
    <w:rsid w:val="00484D97"/>
    <w:rsid w:val="00484DF1"/>
    <w:rsid w:val="00484E14"/>
    <w:rsid w:val="00484E26"/>
    <w:rsid w:val="00484E66"/>
    <w:rsid w:val="00484EC2"/>
    <w:rsid w:val="00484F01"/>
    <w:rsid w:val="00484F20"/>
    <w:rsid w:val="00484F81"/>
    <w:rsid w:val="0048501A"/>
    <w:rsid w:val="0048502F"/>
    <w:rsid w:val="00485057"/>
    <w:rsid w:val="00485059"/>
    <w:rsid w:val="0048509D"/>
    <w:rsid w:val="004850B3"/>
    <w:rsid w:val="004850D3"/>
    <w:rsid w:val="004850DB"/>
    <w:rsid w:val="004850FE"/>
    <w:rsid w:val="0048510E"/>
    <w:rsid w:val="0048511A"/>
    <w:rsid w:val="00485136"/>
    <w:rsid w:val="00485166"/>
    <w:rsid w:val="00485193"/>
    <w:rsid w:val="004851C1"/>
    <w:rsid w:val="00485256"/>
    <w:rsid w:val="00485263"/>
    <w:rsid w:val="00485267"/>
    <w:rsid w:val="004852A4"/>
    <w:rsid w:val="004852CE"/>
    <w:rsid w:val="004853DA"/>
    <w:rsid w:val="00485434"/>
    <w:rsid w:val="004854BD"/>
    <w:rsid w:val="004854D4"/>
    <w:rsid w:val="00485576"/>
    <w:rsid w:val="0048564F"/>
    <w:rsid w:val="0048567D"/>
    <w:rsid w:val="004856ED"/>
    <w:rsid w:val="00485744"/>
    <w:rsid w:val="004857CE"/>
    <w:rsid w:val="0048585E"/>
    <w:rsid w:val="0048588B"/>
    <w:rsid w:val="00485892"/>
    <w:rsid w:val="00485896"/>
    <w:rsid w:val="00485902"/>
    <w:rsid w:val="0048590D"/>
    <w:rsid w:val="0048591B"/>
    <w:rsid w:val="0048592B"/>
    <w:rsid w:val="0048598F"/>
    <w:rsid w:val="0048599C"/>
    <w:rsid w:val="004859A1"/>
    <w:rsid w:val="00485A0B"/>
    <w:rsid w:val="00485A75"/>
    <w:rsid w:val="00485A98"/>
    <w:rsid w:val="00485AF1"/>
    <w:rsid w:val="00485B05"/>
    <w:rsid w:val="00485BAD"/>
    <w:rsid w:val="00485BC5"/>
    <w:rsid w:val="00485C00"/>
    <w:rsid w:val="00485C2C"/>
    <w:rsid w:val="00485CFF"/>
    <w:rsid w:val="00485D8F"/>
    <w:rsid w:val="00485D99"/>
    <w:rsid w:val="00485E0C"/>
    <w:rsid w:val="00485F10"/>
    <w:rsid w:val="00485F90"/>
    <w:rsid w:val="00485FB5"/>
    <w:rsid w:val="00485FB7"/>
    <w:rsid w:val="00485FE7"/>
    <w:rsid w:val="00485FE9"/>
    <w:rsid w:val="0048600D"/>
    <w:rsid w:val="00486031"/>
    <w:rsid w:val="00486058"/>
    <w:rsid w:val="00486072"/>
    <w:rsid w:val="00486104"/>
    <w:rsid w:val="00486126"/>
    <w:rsid w:val="0048615E"/>
    <w:rsid w:val="004861B9"/>
    <w:rsid w:val="004861C2"/>
    <w:rsid w:val="004861D2"/>
    <w:rsid w:val="00486259"/>
    <w:rsid w:val="004862EB"/>
    <w:rsid w:val="004862F5"/>
    <w:rsid w:val="00486300"/>
    <w:rsid w:val="004863D5"/>
    <w:rsid w:val="00486428"/>
    <w:rsid w:val="0048646A"/>
    <w:rsid w:val="004864A6"/>
    <w:rsid w:val="00486506"/>
    <w:rsid w:val="00486507"/>
    <w:rsid w:val="00486560"/>
    <w:rsid w:val="00486564"/>
    <w:rsid w:val="0048658B"/>
    <w:rsid w:val="004865DE"/>
    <w:rsid w:val="00486616"/>
    <w:rsid w:val="00486621"/>
    <w:rsid w:val="00486664"/>
    <w:rsid w:val="0048674F"/>
    <w:rsid w:val="00486789"/>
    <w:rsid w:val="004868D4"/>
    <w:rsid w:val="004868E9"/>
    <w:rsid w:val="00486915"/>
    <w:rsid w:val="00486940"/>
    <w:rsid w:val="00486969"/>
    <w:rsid w:val="0048696B"/>
    <w:rsid w:val="004869DA"/>
    <w:rsid w:val="004869DD"/>
    <w:rsid w:val="00486A38"/>
    <w:rsid w:val="00486AA1"/>
    <w:rsid w:val="00486AB4"/>
    <w:rsid w:val="00486AB8"/>
    <w:rsid w:val="00486ABE"/>
    <w:rsid w:val="00486AEB"/>
    <w:rsid w:val="00486B03"/>
    <w:rsid w:val="00486B68"/>
    <w:rsid w:val="00486B6A"/>
    <w:rsid w:val="00486BF4"/>
    <w:rsid w:val="00486C1D"/>
    <w:rsid w:val="00486CCC"/>
    <w:rsid w:val="00486CD7"/>
    <w:rsid w:val="00486CDF"/>
    <w:rsid w:val="00486D6D"/>
    <w:rsid w:val="00486D8F"/>
    <w:rsid w:val="00486DFA"/>
    <w:rsid w:val="00486E09"/>
    <w:rsid w:val="00486F0D"/>
    <w:rsid w:val="00486F3E"/>
    <w:rsid w:val="00486F7F"/>
    <w:rsid w:val="00486FA5"/>
    <w:rsid w:val="0048700B"/>
    <w:rsid w:val="00487046"/>
    <w:rsid w:val="0048705F"/>
    <w:rsid w:val="0048708C"/>
    <w:rsid w:val="004870C3"/>
    <w:rsid w:val="0048716B"/>
    <w:rsid w:val="00487192"/>
    <w:rsid w:val="0048719B"/>
    <w:rsid w:val="004871A8"/>
    <w:rsid w:val="004871B5"/>
    <w:rsid w:val="004871CC"/>
    <w:rsid w:val="004871D3"/>
    <w:rsid w:val="00487248"/>
    <w:rsid w:val="004872B3"/>
    <w:rsid w:val="004872CC"/>
    <w:rsid w:val="004872DE"/>
    <w:rsid w:val="00487320"/>
    <w:rsid w:val="00487341"/>
    <w:rsid w:val="00487356"/>
    <w:rsid w:val="00487373"/>
    <w:rsid w:val="004873EC"/>
    <w:rsid w:val="0048744E"/>
    <w:rsid w:val="00487472"/>
    <w:rsid w:val="00487492"/>
    <w:rsid w:val="00487497"/>
    <w:rsid w:val="0048749D"/>
    <w:rsid w:val="004874A6"/>
    <w:rsid w:val="004874B8"/>
    <w:rsid w:val="004874F5"/>
    <w:rsid w:val="004875A6"/>
    <w:rsid w:val="004875BD"/>
    <w:rsid w:val="004875CC"/>
    <w:rsid w:val="00487627"/>
    <w:rsid w:val="00487629"/>
    <w:rsid w:val="00487649"/>
    <w:rsid w:val="00487676"/>
    <w:rsid w:val="004876CD"/>
    <w:rsid w:val="004876D0"/>
    <w:rsid w:val="0048773B"/>
    <w:rsid w:val="004877A4"/>
    <w:rsid w:val="004877F6"/>
    <w:rsid w:val="004877FE"/>
    <w:rsid w:val="0048780A"/>
    <w:rsid w:val="00487817"/>
    <w:rsid w:val="00487842"/>
    <w:rsid w:val="0048785A"/>
    <w:rsid w:val="00487874"/>
    <w:rsid w:val="0048787A"/>
    <w:rsid w:val="00487916"/>
    <w:rsid w:val="0048791A"/>
    <w:rsid w:val="0048795F"/>
    <w:rsid w:val="004879C5"/>
    <w:rsid w:val="004879E6"/>
    <w:rsid w:val="00487A19"/>
    <w:rsid w:val="00487A25"/>
    <w:rsid w:val="00487A58"/>
    <w:rsid w:val="00487AE6"/>
    <w:rsid w:val="00487B2A"/>
    <w:rsid w:val="00487B96"/>
    <w:rsid w:val="00487BF1"/>
    <w:rsid w:val="00487C19"/>
    <w:rsid w:val="00487C32"/>
    <w:rsid w:val="00487C36"/>
    <w:rsid w:val="00487C38"/>
    <w:rsid w:val="00487C4D"/>
    <w:rsid w:val="00487C99"/>
    <w:rsid w:val="00487CA7"/>
    <w:rsid w:val="00487CAD"/>
    <w:rsid w:val="00487CB0"/>
    <w:rsid w:val="00487DF1"/>
    <w:rsid w:val="00487E63"/>
    <w:rsid w:val="00487F49"/>
    <w:rsid w:val="00487F53"/>
    <w:rsid w:val="00487FD0"/>
    <w:rsid w:val="0049002D"/>
    <w:rsid w:val="004900E2"/>
    <w:rsid w:val="004900ED"/>
    <w:rsid w:val="0049011B"/>
    <w:rsid w:val="00490181"/>
    <w:rsid w:val="00490191"/>
    <w:rsid w:val="004901AF"/>
    <w:rsid w:val="00490209"/>
    <w:rsid w:val="00490298"/>
    <w:rsid w:val="004902AF"/>
    <w:rsid w:val="004902C4"/>
    <w:rsid w:val="00490300"/>
    <w:rsid w:val="00490332"/>
    <w:rsid w:val="00490368"/>
    <w:rsid w:val="00490375"/>
    <w:rsid w:val="00490379"/>
    <w:rsid w:val="004903D8"/>
    <w:rsid w:val="00490403"/>
    <w:rsid w:val="00490450"/>
    <w:rsid w:val="0049045D"/>
    <w:rsid w:val="0049049E"/>
    <w:rsid w:val="004904C0"/>
    <w:rsid w:val="004904CF"/>
    <w:rsid w:val="00490537"/>
    <w:rsid w:val="00490556"/>
    <w:rsid w:val="00490572"/>
    <w:rsid w:val="00490610"/>
    <w:rsid w:val="00490645"/>
    <w:rsid w:val="00490657"/>
    <w:rsid w:val="00490666"/>
    <w:rsid w:val="0049066E"/>
    <w:rsid w:val="0049071B"/>
    <w:rsid w:val="00490724"/>
    <w:rsid w:val="00490789"/>
    <w:rsid w:val="004907D1"/>
    <w:rsid w:val="00490810"/>
    <w:rsid w:val="00490822"/>
    <w:rsid w:val="0049092F"/>
    <w:rsid w:val="00490964"/>
    <w:rsid w:val="0049097B"/>
    <w:rsid w:val="00490988"/>
    <w:rsid w:val="004909A2"/>
    <w:rsid w:val="00490A1A"/>
    <w:rsid w:val="00490A58"/>
    <w:rsid w:val="00490A5E"/>
    <w:rsid w:val="00490A7C"/>
    <w:rsid w:val="00490A89"/>
    <w:rsid w:val="00490AAD"/>
    <w:rsid w:val="00490AC9"/>
    <w:rsid w:val="00490AD3"/>
    <w:rsid w:val="00490AE9"/>
    <w:rsid w:val="00490B63"/>
    <w:rsid w:val="00490B9C"/>
    <w:rsid w:val="00490BF9"/>
    <w:rsid w:val="00490C08"/>
    <w:rsid w:val="00490C56"/>
    <w:rsid w:val="00490C61"/>
    <w:rsid w:val="00490CCD"/>
    <w:rsid w:val="00490CCF"/>
    <w:rsid w:val="00490D95"/>
    <w:rsid w:val="00490DA1"/>
    <w:rsid w:val="00490DDA"/>
    <w:rsid w:val="00490E2F"/>
    <w:rsid w:val="00490E5A"/>
    <w:rsid w:val="00490EF2"/>
    <w:rsid w:val="00490F06"/>
    <w:rsid w:val="00490F08"/>
    <w:rsid w:val="00490F47"/>
    <w:rsid w:val="00490FC0"/>
    <w:rsid w:val="00490FC7"/>
    <w:rsid w:val="00490FD2"/>
    <w:rsid w:val="00491022"/>
    <w:rsid w:val="00491081"/>
    <w:rsid w:val="004910B2"/>
    <w:rsid w:val="0049111F"/>
    <w:rsid w:val="00491199"/>
    <w:rsid w:val="004911AC"/>
    <w:rsid w:val="004911BD"/>
    <w:rsid w:val="004911EB"/>
    <w:rsid w:val="0049124D"/>
    <w:rsid w:val="00491275"/>
    <w:rsid w:val="00491299"/>
    <w:rsid w:val="004912A4"/>
    <w:rsid w:val="004912CB"/>
    <w:rsid w:val="0049130C"/>
    <w:rsid w:val="00491374"/>
    <w:rsid w:val="00491384"/>
    <w:rsid w:val="004913A3"/>
    <w:rsid w:val="004913C1"/>
    <w:rsid w:val="004914AE"/>
    <w:rsid w:val="00491530"/>
    <w:rsid w:val="00491536"/>
    <w:rsid w:val="0049154E"/>
    <w:rsid w:val="004915CC"/>
    <w:rsid w:val="004915F1"/>
    <w:rsid w:val="004915FA"/>
    <w:rsid w:val="00491614"/>
    <w:rsid w:val="00491695"/>
    <w:rsid w:val="004916E8"/>
    <w:rsid w:val="00491708"/>
    <w:rsid w:val="0049171E"/>
    <w:rsid w:val="00491730"/>
    <w:rsid w:val="00491776"/>
    <w:rsid w:val="004917A5"/>
    <w:rsid w:val="004917C8"/>
    <w:rsid w:val="004917C9"/>
    <w:rsid w:val="004917F6"/>
    <w:rsid w:val="00491846"/>
    <w:rsid w:val="0049188A"/>
    <w:rsid w:val="0049189D"/>
    <w:rsid w:val="004918A4"/>
    <w:rsid w:val="004918E8"/>
    <w:rsid w:val="004918F5"/>
    <w:rsid w:val="00491919"/>
    <w:rsid w:val="0049193E"/>
    <w:rsid w:val="0049194E"/>
    <w:rsid w:val="00491953"/>
    <w:rsid w:val="00491989"/>
    <w:rsid w:val="004919EF"/>
    <w:rsid w:val="00491A49"/>
    <w:rsid w:val="00491AA4"/>
    <w:rsid w:val="00491AFE"/>
    <w:rsid w:val="00491B17"/>
    <w:rsid w:val="00491B65"/>
    <w:rsid w:val="00491BC7"/>
    <w:rsid w:val="00491BCB"/>
    <w:rsid w:val="00491BED"/>
    <w:rsid w:val="00491C39"/>
    <w:rsid w:val="00491C5E"/>
    <w:rsid w:val="00491C82"/>
    <w:rsid w:val="00491CAD"/>
    <w:rsid w:val="00491CED"/>
    <w:rsid w:val="00491D8D"/>
    <w:rsid w:val="00491DD2"/>
    <w:rsid w:val="00491DDA"/>
    <w:rsid w:val="00491DF0"/>
    <w:rsid w:val="00491DF5"/>
    <w:rsid w:val="00491E0B"/>
    <w:rsid w:val="00491E53"/>
    <w:rsid w:val="00491E58"/>
    <w:rsid w:val="00491F4E"/>
    <w:rsid w:val="00491F62"/>
    <w:rsid w:val="00491F71"/>
    <w:rsid w:val="00491FBC"/>
    <w:rsid w:val="00491FFB"/>
    <w:rsid w:val="00492000"/>
    <w:rsid w:val="0049202C"/>
    <w:rsid w:val="00492119"/>
    <w:rsid w:val="0049219B"/>
    <w:rsid w:val="004921E6"/>
    <w:rsid w:val="0049228E"/>
    <w:rsid w:val="004922BA"/>
    <w:rsid w:val="00492323"/>
    <w:rsid w:val="0049234A"/>
    <w:rsid w:val="0049237D"/>
    <w:rsid w:val="004923BA"/>
    <w:rsid w:val="004923F2"/>
    <w:rsid w:val="0049248A"/>
    <w:rsid w:val="0049249F"/>
    <w:rsid w:val="00492511"/>
    <w:rsid w:val="00492544"/>
    <w:rsid w:val="00492562"/>
    <w:rsid w:val="00492581"/>
    <w:rsid w:val="00492583"/>
    <w:rsid w:val="004925FB"/>
    <w:rsid w:val="00492647"/>
    <w:rsid w:val="00492660"/>
    <w:rsid w:val="0049269B"/>
    <w:rsid w:val="004926C8"/>
    <w:rsid w:val="00492708"/>
    <w:rsid w:val="00492741"/>
    <w:rsid w:val="004927DF"/>
    <w:rsid w:val="00492809"/>
    <w:rsid w:val="00492886"/>
    <w:rsid w:val="004928EE"/>
    <w:rsid w:val="004928F0"/>
    <w:rsid w:val="00492918"/>
    <w:rsid w:val="00492947"/>
    <w:rsid w:val="0049294D"/>
    <w:rsid w:val="0049297F"/>
    <w:rsid w:val="00492A1D"/>
    <w:rsid w:val="00492A3C"/>
    <w:rsid w:val="00492A66"/>
    <w:rsid w:val="00492A6A"/>
    <w:rsid w:val="00492A6C"/>
    <w:rsid w:val="00492AC0"/>
    <w:rsid w:val="00492B17"/>
    <w:rsid w:val="00492B58"/>
    <w:rsid w:val="00492C1B"/>
    <w:rsid w:val="00492D08"/>
    <w:rsid w:val="00492D58"/>
    <w:rsid w:val="00492DB0"/>
    <w:rsid w:val="00492DDC"/>
    <w:rsid w:val="00492DDE"/>
    <w:rsid w:val="00492E0F"/>
    <w:rsid w:val="00492EB3"/>
    <w:rsid w:val="00492ED9"/>
    <w:rsid w:val="00492EDA"/>
    <w:rsid w:val="00492F4C"/>
    <w:rsid w:val="00492F6F"/>
    <w:rsid w:val="00492F8F"/>
    <w:rsid w:val="00492FB9"/>
    <w:rsid w:val="0049300F"/>
    <w:rsid w:val="0049305F"/>
    <w:rsid w:val="00493172"/>
    <w:rsid w:val="004931E6"/>
    <w:rsid w:val="004931E8"/>
    <w:rsid w:val="00493336"/>
    <w:rsid w:val="0049338D"/>
    <w:rsid w:val="00493390"/>
    <w:rsid w:val="00493392"/>
    <w:rsid w:val="00493496"/>
    <w:rsid w:val="004934A9"/>
    <w:rsid w:val="00493546"/>
    <w:rsid w:val="0049355D"/>
    <w:rsid w:val="0049357D"/>
    <w:rsid w:val="0049359E"/>
    <w:rsid w:val="004935A6"/>
    <w:rsid w:val="004935C5"/>
    <w:rsid w:val="00493620"/>
    <w:rsid w:val="00493693"/>
    <w:rsid w:val="00493703"/>
    <w:rsid w:val="00493712"/>
    <w:rsid w:val="004937FC"/>
    <w:rsid w:val="0049381A"/>
    <w:rsid w:val="00493824"/>
    <w:rsid w:val="004938B5"/>
    <w:rsid w:val="0049390A"/>
    <w:rsid w:val="00493939"/>
    <w:rsid w:val="0049398B"/>
    <w:rsid w:val="004939C8"/>
    <w:rsid w:val="00493A18"/>
    <w:rsid w:val="00493AE4"/>
    <w:rsid w:val="00493B7C"/>
    <w:rsid w:val="00493B87"/>
    <w:rsid w:val="00493BB9"/>
    <w:rsid w:val="00493C43"/>
    <w:rsid w:val="00493EC4"/>
    <w:rsid w:val="00493EE3"/>
    <w:rsid w:val="00493EF6"/>
    <w:rsid w:val="00493F4A"/>
    <w:rsid w:val="00493FEA"/>
    <w:rsid w:val="00494014"/>
    <w:rsid w:val="004940C3"/>
    <w:rsid w:val="00494124"/>
    <w:rsid w:val="0049415F"/>
    <w:rsid w:val="00494181"/>
    <w:rsid w:val="004941B9"/>
    <w:rsid w:val="004941EF"/>
    <w:rsid w:val="00494208"/>
    <w:rsid w:val="00494254"/>
    <w:rsid w:val="004942B7"/>
    <w:rsid w:val="004942D0"/>
    <w:rsid w:val="0049431A"/>
    <w:rsid w:val="00494336"/>
    <w:rsid w:val="0049435A"/>
    <w:rsid w:val="0049437A"/>
    <w:rsid w:val="00494402"/>
    <w:rsid w:val="0049440F"/>
    <w:rsid w:val="00494441"/>
    <w:rsid w:val="004944B3"/>
    <w:rsid w:val="004944D9"/>
    <w:rsid w:val="004944F6"/>
    <w:rsid w:val="00494563"/>
    <w:rsid w:val="00494572"/>
    <w:rsid w:val="00494581"/>
    <w:rsid w:val="004945B9"/>
    <w:rsid w:val="004945ED"/>
    <w:rsid w:val="00494639"/>
    <w:rsid w:val="00494707"/>
    <w:rsid w:val="00494895"/>
    <w:rsid w:val="004948B8"/>
    <w:rsid w:val="004948D6"/>
    <w:rsid w:val="00494917"/>
    <w:rsid w:val="0049493D"/>
    <w:rsid w:val="00494977"/>
    <w:rsid w:val="00494981"/>
    <w:rsid w:val="00494A6D"/>
    <w:rsid w:val="00494AF7"/>
    <w:rsid w:val="00494B3D"/>
    <w:rsid w:val="00494B98"/>
    <w:rsid w:val="00494B99"/>
    <w:rsid w:val="00494C27"/>
    <w:rsid w:val="00494C4F"/>
    <w:rsid w:val="00494C93"/>
    <w:rsid w:val="00494CDC"/>
    <w:rsid w:val="00494CFF"/>
    <w:rsid w:val="00494D36"/>
    <w:rsid w:val="00494D6C"/>
    <w:rsid w:val="00494EF3"/>
    <w:rsid w:val="0049502B"/>
    <w:rsid w:val="0049503E"/>
    <w:rsid w:val="00495050"/>
    <w:rsid w:val="00495082"/>
    <w:rsid w:val="004950A1"/>
    <w:rsid w:val="004950B7"/>
    <w:rsid w:val="00495109"/>
    <w:rsid w:val="0049514A"/>
    <w:rsid w:val="00495150"/>
    <w:rsid w:val="0049516F"/>
    <w:rsid w:val="0049517E"/>
    <w:rsid w:val="00495181"/>
    <w:rsid w:val="004952E5"/>
    <w:rsid w:val="00495309"/>
    <w:rsid w:val="0049539E"/>
    <w:rsid w:val="004953B4"/>
    <w:rsid w:val="0049541C"/>
    <w:rsid w:val="004954D8"/>
    <w:rsid w:val="0049552E"/>
    <w:rsid w:val="0049555B"/>
    <w:rsid w:val="004955B9"/>
    <w:rsid w:val="004955CC"/>
    <w:rsid w:val="00495651"/>
    <w:rsid w:val="00495655"/>
    <w:rsid w:val="00495684"/>
    <w:rsid w:val="004956B4"/>
    <w:rsid w:val="004956BD"/>
    <w:rsid w:val="0049580B"/>
    <w:rsid w:val="00495885"/>
    <w:rsid w:val="004958C8"/>
    <w:rsid w:val="0049591C"/>
    <w:rsid w:val="004959C5"/>
    <w:rsid w:val="004959CF"/>
    <w:rsid w:val="00495A02"/>
    <w:rsid w:val="00495A24"/>
    <w:rsid w:val="00495A32"/>
    <w:rsid w:val="00495A80"/>
    <w:rsid w:val="00495B51"/>
    <w:rsid w:val="00495B97"/>
    <w:rsid w:val="00495BD3"/>
    <w:rsid w:val="00495C91"/>
    <w:rsid w:val="00495C9A"/>
    <w:rsid w:val="00495D0F"/>
    <w:rsid w:val="00495D35"/>
    <w:rsid w:val="00495D51"/>
    <w:rsid w:val="00495D73"/>
    <w:rsid w:val="00495D82"/>
    <w:rsid w:val="00495DF7"/>
    <w:rsid w:val="00495E74"/>
    <w:rsid w:val="00495F16"/>
    <w:rsid w:val="00495F4A"/>
    <w:rsid w:val="00495F9B"/>
    <w:rsid w:val="00495FC1"/>
    <w:rsid w:val="00495FCA"/>
    <w:rsid w:val="00496047"/>
    <w:rsid w:val="0049604D"/>
    <w:rsid w:val="00496062"/>
    <w:rsid w:val="004960B5"/>
    <w:rsid w:val="004960F2"/>
    <w:rsid w:val="004960FE"/>
    <w:rsid w:val="0049610E"/>
    <w:rsid w:val="0049610F"/>
    <w:rsid w:val="00496159"/>
    <w:rsid w:val="00496178"/>
    <w:rsid w:val="004961FE"/>
    <w:rsid w:val="0049625E"/>
    <w:rsid w:val="0049628D"/>
    <w:rsid w:val="004962AB"/>
    <w:rsid w:val="004963EE"/>
    <w:rsid w:val="00496440"/>
    <w:rsid w:val="00496467"/>
    <w:rsid w:val="004964A5"/>
    <w:rsid w:val="004964C8"/>
    <w:rsid w:val="004964CE"/>
    <w:rsid w:val="0049654E"/>
    <w:rsid w:val="00496559"/>
    <w:rsid w:val="00496562"/>
    <w:rsid w:val="00496564"/>
    <w:rsid w:val="004965D2"/>
    <w:rsid w:val="004965EC"/>
    <w:rsid w:val="00496679"/>
    <w:rsid w:val="0049669B"/>
    <w:rsid w:val="00496714"/>
    <w:rsid w:val="004967E3"/>
    <w:rsid w:val="00496870"/>
    <w:rsid w:val="0049689D"/>
    <w:rsid w:val="004968ED"/>
    <w:rsid w:val="0049691A"/>
    <w:rsid w:val="00496923"/>
    <w:rsid w:val="00496977"/>
    <w:rsid w:val="0049697E"/>
    <w:rsid w:val="004969B2"/>
    <w:rsid w:val="004969CB"/>
    <w:rsid w:val="004969F6"/>
    <w:rsid w:val="00496A3F"/>
    <w:rsid w:val="00496A80"/>
    <w:rsid w:val="00496AD5"/>
    <w:rsid w:val="00496B16"/>
    <w:rsid w:val="00496B50"/>
    <w:rsid w:val="00496B9E"/>
    <w:rsid w:val="00496BFD"/>
    <w:rsid w:val="00496C1F"/>
    <w:rsid w:val="00496C3B"/>
    <w:rsid w:val="00496C65"/>
    <w:rsid w:val="00496CBA"/>
    <w:rsid w:val="00496D7A"/>
    <w:rsid w:val="00496D8C"/>
    <w:rsid w:val="00496DCC"/>
    <w:rsid w:val="00496DD0"/>
    <w:rsid w:val="00496E5B"/>
    <w:rsid w:val="00496E68"/>
    <w:rsid w:val="00496ED8"/>
    <w:rsid w:val="00496F03"/>
    <w:rsid w:val="00496F60"/>
    <w:rsid w:val="00496FA6"/>
    <w:rsid w:val="004970F5"/>
    <w:rsid w:val="004970FA"/>
    <w:rsid w:val="00497108"/>
    <w:rsid w:val="0049716F"/>
    <w:rsid w:val="00497172"/>
    <w:rsid w:val="00497208"/>
    <w:rsid w:val="0049727E"/>
    <w:rsid w:val="004972E2"/>
    <w:rsid w:val="004972F7"/>
    <w:rsid w:val="0049731D"/>
    <w:rsid w:val="004973C1"/>
    <w:rsid w:val="00497402"/>
    <w:rsid w:val="0049740D"/>
    <w:rsid w:val="00497422"/>
    <w:rsid w:val="00497447"/>
    <w:rsid w:val="00497484"/>
    <w:rsid w:val="004974A7"/>
    <w:rsid w:val="004974B9"/>
    <w:rsid w:val="004974F1"/>
    <w:rsid w:val="00497502"/>
    <w:rsid w:val="0049755A"/>
    <w:rsid w:val="0049755C"/>
    <w:rsid w:val="004977A9"/>
    <w:rsid w:val="004977ED"/>
    <w:rsid w:val="004977FE"/>
    <w:rsid w:val="00497822"/>
    <w:rsid w:val="00497830"/>
    <w:rsid w:val="00497867"/>
    <w:rsid w:val="00497868"/>
    <w:rsid w:val="004978AC"/>
    <w:rsid w:val="004978CF"/>
    <w:rsid w:val="004978D6"/>
    <w:rsid w:val="00497905"/>
    <w:rsid w:val="0049793F"/>
    <w:rsid w:val="0049794F"/>
    <w:rsid w:val="00497965"/>
    <w:rsid w:val="004979EB"/>
    <w:rsid w:val="00497A2B"/>
    <w:rsid w:val="00497B4B"/>
    <w:rsid w:val="00497B53"/>
    <w:rsid w:val="00497B89"/>
    <w:rsid w:val="00497B8E"/>
    <w:rsid w:val="00497C18"/>
    <w:rsid w:val="00497C2D"/>
    <w:rsid w:val="00497C97"/>
    <w:rsid w:val="00497CB7"/>
    <w:rsid w:val="00497D10"/>
    <w:rsid w:val="00497D17"/>
    <w:rsid w:val="00497D3A"/>
    <w:rsid w:val="00497D55"/>
    <w:rsid w:val="00497D57"/>
    <w:rsid w:val="00497D7C"/>
    <w:rsid w:val="00497D89"/>
    <w:rsid w:val="00497DF0"/>
    <w:rsid w:val="00497E13"/>
    <w:rsid w:val="00497E50"/>
    <w:rsid w:val="00497E6A"/>
    <w:rsid w:val="00497E81"/>
    <w:rsid w:val="00497F09"/>
    <w:rsid w:val="00497F3A"/>
    <w:rsid w:val="00497F54"/>
    <w:rsid w:val="00497F9E"/>
    <w:rsid w:val="00497FFE"/>
    <w:rsid w:val="004A0041"/>
    <w:rsid w:val="004A005C"/>
    <w:rsid w:val="004A007B"/>
    <w:rsid w:val="004A00E4"/>
    <w:rsid w:val="004A0120"/>
    <w:rsid w:val="004A016B"/>
    <w:rsid w:val="004A016F"/>
    <w:rsid w:val="004A01AB"/>
    <w:rsid w:val="004A025B"/>
    <w:rsid w:val="004A02CF"/>
    <w:rsid w:val="004A0374"/>
    <w:rsid w:val="004A03B7"/>
    <w:rsid w:val="004A03B8"/>
    <w:rsid w:val="004A03F4"/>
    <w:rsid w:val="004A0439"/>
    <w:rsid w:val="004A0506"/>
    <w:rsid w:val="004A0517"/>
    <w:rsid w:val="004A0540"/>
    <w:rsid w:val="004A056A"/>
    <w:rsid w:val="004A05CD"/>
    <w:rsid w:val="004A05D6"/>
    <w:rsid w:val="004A05F3"/>
    <w:rsid w:val="004A060F"/>
    <w:rsid w:val="004A0648"/>
    <w:rsid w:val="004A06BB"/>
    <w:rsid w:val="004A073D"/>
    <w:rsid w:val="004A0753"/>
    <w:rsid w:val="004A07B4"/>
    <w:rsid w:val="004A07EA"/>
    <w:rsid w:val="004A080C"/>
    <w:rsid w:val="004A082A"/>
    <w:rsid w:val="004A0844"/>
    <w:rsid w:val="004A0853"/>
    <w:rsid w:val="004A08A6"/>
    <w:rsid w:val="004A0995"/>
    <w:rsid w:val="004A09DB"/>
    <w:rsid w:val="004A0A08"/>
    <w:rsid w:val="004A0A0A"/>
    <w:rsid w:val="004A0A30"/>
    <w:rsid w:val="004A0A47"/>
    <w:rsid w:val="004A0B0C"/>
    <w:rsid w:val="004A0B31"/>
    <w:rsid w:val="004A0B53"/>
    <w:rsid w:val="004A0B94"/>
    <w:rsid w:val="004A0BDE"/>
    <w:rsid w:val="004A0BF4"/>
    <w:rsid w:val="004A0C02"/>
    <w:rsid w:val="004A0C3A"/>
    <w:rsid w:val="004A0C9F"/>
    <w:rsid w:val="004A0CA4"/>
    <w:rsid w:val="004A0CE1"/>
    <w:rsid w:val="004A0D5F"/>
    <w:rsid w:val="004A0DB7"/>
    <w:rsid w:val="004A0DBD"/>
    <w:rsid w:val="004A0EE3"/>
    <w:rsid w:val="004A0FA2"/>
    <w:rsid w:val="004A0FD8"/>
    <w:rsid w:val="004A100E"/>
    <w:rsid w:val="004A1062"/>
    <w:rsid w:val="004A1069"/>
    <w:rsid w:val="004A1101"/>
    <w:rsid w:val="004A1121"/>
    <w:rsid w:val="004A1143"/>
    <w:rsid w:val="004A1160"/>
    <w:rsid w:val="004A1172"/>
    <w:rsid w:val="004A1178"/>
    <w:rsid w:val="004A11FB"/>
    <w:rsid w:val="004A1238"/>
    <w:rsid w:val="004A123C"/>
    <w:rsid w:val="004A12BD"/>
    <w:rsid w:val="004A12E1"/>
    <w:rsid w:val="004A12F8"/>
    <w:rsid w:val="004A132A"/>
    <w:rsid w:val="004A13AA"/>
    <w:rsid w:val="004A13C0"/>
    <w:rsid w:val="004A148E"/>
    <w:rsid w:val="004A14AA"/>
    <w:rsid w:val="004A14C7"/>
    <w:rsid w:val="004A1503"/>
    <w:rsid w:val="004A1614"/>
    <w:rsid w:val="004A1623"/>
    <w:rsid w:val="004A163B"/>
    <w:rsid w:val="004A16F2"/>
    <w:rsid w:val="004A16FD"/>
    <w:rsid w:val="004A1738"/>
    <w:rsid w:val="004A1739"/>
    <w:rsid w:val="004A173A"/>
    <w:rsid w:val="004A181E"/>
    <w:rsid w:val="004A1826"/>
    <w:rsid w:val="004A1877"/>
    <w:rsid w:val="004A1883"/>
    <w:rsid w:val="004A18AA"/>
    <w:rsid w:val="004A18D4"/>
    <w:rsid w:val="004A1A4B"/>
    <w:rsid w:val="004A1A76"/>
    <w:rsid w:val="004A1AD1"/>
    <w:rsid w:val="004A1AD8"/>
    <w:rsid w:val="004A1ADC"/>
    <w:rsid w:val="004A1B62"/>
    <w:rsid w:val="004A1B6D"/>
    <w:rsid w:val="004A1B86"/>
    <w:rsid w:val="004A1B98"/>
    <w:rsid w:val="004A1BA2"/>
    <w:rsid w:val="004A1BDD"/>
    <w:rsid w:val="004A1BF1"/>
    <w:rsid w:val="004A1C2C"/>
    <w:rsid w:val="004A1C4D"/>
    <w:rsid w:val="004A1C72"/>
    <w:rsid w:val="004A1C74"/>
    <w:rsid w:val="004A1C91"/>
    <w:rsid w:val="004A1CE9"/>
    <w:rsid w:val="004A1CF9"/>
    <w:rsid w:val="004A1D1F"/>
    <w:rsid w:val="004A1D4E"/>
    <w:rsid w:val="004A1D7C"/>
    <w:rsid w:val="004A1D8C"/>
    <w:rsid w:val="004A1D92"/>
    <w:rsid w:val="004A1D9D"/>
    <w:rsid w:val="004A1DCE"/>
    <w:rsid w:val="004A1DF6"/>
    <w:rsid w:val="004A1E39"/>
    <w:rsid w:val="004A1EC8"/>
    <w:rsid w:val="004A1EDB"/>
    <w:rsid w:val="004A1F04"/>
    <w:rsid w:val="004A1F10"/>
    <w:rsid w:val="004A1F5D"/>
    <w:rsid w:val="004A1F85"/>
    <w:rsid w:val="004A1F89"/>
    <w:rsid w:val="004A1FBE"/>
    <w:rsid w:val="004A1FC2"/>
    <w:rsid w:val="004A1FCE"/>
    <w:rsid w:val="004A1FF6"/>
    <w:rsid w:val="004A2070"/>
    <w:rsid w:val="004A2098"/>
    <w:rsid w:val="004A20A8"/>
    <w:rsid w:val="004A211B"/>
    <w:rsid w:val="004A216F"/>
    <w:rsid w:val="004A21FA"/>
    <w:rsid w:val="004A226C"/>
    <w:rsid w:val="004A22BE"/>
    <w:rsid w:val="004A22C0"/>
    <w:rsid w:val="004A22EE"/>
    <w:rsid w:val="004A235C"/>
    <w:rsid w:val="004A2379"/>
    <w:rsid w:val="004A2393"/>
    <w:rsid w:val="004A23DE"/>
    <w:rsid w:val="004A23FD"/>
    <w:rsid w:val="004A2411"/>
    <w:rsid w:val="004A241D"/>
    <w:rsid w:val="004A24AD"/>
    <w:rsid w:val="004A24B1"/>
    <w:rsid w:val="004A24E9"/>
    <w:rsid w:val="004A2530"/>
    <w:rsid w:val="004A25E6"/>
    <w:rsid w:val="004A25F1"/>
    <w:rsid w:val="004A2659"/>
    <w:rsid w:val="004A265C"/>
    <w:rsid w:val="004A27D8"/>
    <w:rsid w:val="004A27DA"/>
    <w:rsid w:val="004A284A"/>
    <w:rsid w:val="004A287D"/>
    <w:rsid w:val="004A28F3"/>
    <w:rsid w:val="004A293B"/>
    <w:rsid w:val="004A29A3"/>
    <w:rsid w:val="004A29CA"/>
    <w:rsid w:val="004A2A20"/>
    <w:rsid w:val="004A2A55"/>
    <w:rsid w:val="004A2A57"/>
    <w:rsid w:val="004A2AB3"/>
    <w:rsid w:val="004A2AB8"/>
    <w:rsid w:val="004A2ACE"/>
    <w:rsid w:val="004A2AE6"/>
    <w:rsid w:val="004A2B05"/>
    <w:rsid w:val="004A2B4A"/>
    <w:rsid w:val="004A2BAC"/>
    <w:rsid w:val="004A2CB4"/>
    <w:rsid w:val="004A2CEB"/>
    <w:rsid w:val="004A2D29"/>
    <w:rsid w:val="004A2D81"/>
    <w:rsid w:val="004A2D8A"/>
    <w:rsid w:val="004A2DE3"/>
    <w:rsid w:val="004A2E7A"/>
    <w:rsid w:val="004A2E96"/>
    <w:rsid w:val="004A2EB2"/>
    <w:rsid w:val="004A2EB3"/>
    <w:rsid w:val="004A2F02"/>
    <w:rsid w:val="004A2F4D"/>
    <w:rsid w:val="004A2FF5"/>
    <w:rsid w:val="004A3011"/>
    <w:rsid w:val="004A304F"/>
    <w:rsid w:val="004A3052"/>
    <w:rsid w:val="004A305F"/>
    <w:rsid w:val="004A3069"/>
    <w:rsid w:val="004A30CD"/>
    <w:rsid w:val="004A3288"/>
    <w:rsid w:val="004A3293"/>
    <w:rsid w:val="004A330F"/>
    <w:rsid w:val="004A3363"/>
    <w:rsid w:val="004A3367"/>
    <w:rsid w:val="004A33F4"/>
    <w:rsid w:val="004A3417"/>
    <w:rsid w:val="004A343C"/>
    <w:rsid w:val="004A345B"/>
    <w:rsid w:val="004A346D"/>
    <w:rsid w:val="004A34B4"/>
    <w:rsid w:val="004A356A"/>
    <w:rsid w:val="004A3589"/>
    <w:rsid w:val="004A358F"/>
    <w:rsid w:val="004A35AF"/>
    <w:rsid w:val="004A35F8"/>
    <w:rsid w:val="004A3642"/>
    <w:rsid w:val="004A364C"/>
    <w:rsid w:val="004A365E"/>
    <w:rsid w:val="004A36BA"/>
    <w:rsid w:val="004A37C9"/>
    <w:rsid w:val="004A37DF"/>
    <w:rsid w:val="004A386D"/>
    <w:rsid w:val="004A3892"/>
    <w:rsid w:val="004A38D0"/>
    <w:rsid w:val="004A38E6"/>
    <w:rsid w:val="004A38F9"/>
    <w:rsid w:val="004A3935"/>
    <w:rsid w:val="004A39A3"/>
    <w:rsid w:val="004A39BC"/>
    <w:rsid w:val="004A39CF"/>
    <w:rsid w:val="004A39E9"/>
    <w:rsid w:val="004A39F9"/>
    <w:rsid w:val="004A3A0D"/>
    <w:rsid w:val="004A3A85"/>
    <w:rsid w:val="004A3A8E"/>
    <w:rsid w:val="004A3AAC"/>
    <w:rsid w:val="004A3AF5"/>
    <w:rsid w:val="004A3B4F"/>
    <w:rsid w:val="004A3B9B"/>
    <w:rsid w:val="004A3BDC"/>
    <w:rsid w:val="004A3BF0"/>
    <w:rsid w:val="004A3C02"/>
    <w:rsid w:val="004A3C08"/>
    <w:rsid w:val="004A3C4F"/>
    <w:rsid w:val="004A3C5D"/>
    <w:rsid w:val="004A3C5E"/>
    <w:rsid w:val="004A3CEB"/>
    <w:rsid w:val="004A3D39"/>
    <w:rsid w:val="004A3D47"/>
    <w:rsid w:val="004A3D62"/>
    <w:rsid w:val="004A3DC1"/>
    <w:rsid w:val="004A3E85"/>
    <w:rsid w:val="004A3E8C"/>
    <w:rsid w:val="004A3EC4"/>
    <w:rsid w:val="004A3EEB"/>
    <w:rsid w:val="004A3F21"/>
    <w:rsid w:val="004A3F26"/>
    <w:rsid w:val="004A3F58"/>
    <w:rsid w:val="004A3FE5"/>
    <w:rsid w:val="004A406B"/>
    <w:rsid w:val="004A409F"/>
    <w:rsid w:val="004A40A0"/>
    <w:rsid w:val="004A40AF"/>
    <w:rsid w:val="004A40B6"/>
    <w:rsid w:val="004A4106"/>
    <w:rsid w:val="004A4137"/>
    <w:rsid w:val="004A4155"/>
    <w:rsid w:val="004A41E1"/>
    <w:rsid w:val="004A41EF"/>
    <w:rsid w:val="004A41FE"/>
    <w:rsid w:val="004A4229"/>
    <w:rsid w:val="004A4230"/>
    <w:rsid w:val="004A4298"/>
    <w:rsid w:val="004A42BD"/>
    <w:rsid w:val="004A42D2"/>
    <w:rsid w:val="004A42E2"/>
    <w:rsid w:val="004A42F8"/>
    <w:rsid w:val="004A4362"/>
    <w:rsid w:val="004A43F6"/>
    <w:rsid w:val="004A4417"/>
    <w:rsid w:val="004A44CA"/>
    <w:rsid w:val="004A44CC"/>
    <w:rsid w:val="004A44D8"/>
    <w:rsid w:val="004A44E3"/>
    <w:rsid w:val="004A450B"/>
    <w:rsid w:val="004A4540"/>
    <w:rsid w:val="004A458C"/>
    <w:rsid w:val="004A45C6"/>
    <w:rsid w:val="004A45D7"/>
    <w:rsid w:val="004A4621"/>
    <w:rsid w:val="004A4631"/>
    <w:rsid w:val="004A464E"/>
    <w:rsid w:val="004A4651"/>
    <w:rsid w:val="004A4680"/>
    <w:rsid w:val="004A46B3"/>
    <w:rsid w:val="004A46FE"/>
    <w:rsid w:val="004A4766"/>
    <w:rsid w:val="004A479D"/>
    <w:rsid w:val="004A47A4"/>
    <w:rsid w:val="004A47AC"/>
    <w:rsid w:val="004A4867"/>
    <w:rsid w:val="004A4887"/>
    <w:rsid w:val="004A488A"/>
    <w:rsid w:val="004A4894"/>
    <w:rsid w:val="004A48D9"/>
    <w:rsid w:val="004A4913"/>
    <w:rsid w:val="004A4940"/>
    <w:rsid w:val="004A4949"/>
    <w:rsid w:val="004A497A"/>
    <w:rsid w:val="004A49B6"/>
    <w:rsid w:val="004A4A02"/>
    <w:rsid w:val="004A4A2F"/>
    <w:rsid w:val="004A4A93"/>
    <w:rsid w:val="004A4ACF"/>
    <w:rsid w:val="004A4B12"/>
    <w:rsid w:val="004A4B51"/>
    <w:rsid w:val="004A4B7A"/>
    <w:rsid w:val="004A4BB1"/>
    <w:rsid w:val="004A4BFE"/>
    <w:rsid w:val="004A4C10"/>
    <w:rsid w:val="004A4C13"/>
    <w:rsid w:val="004A4C27"/>
    <w:rsid w:val="004A4C66"/>
    <w:rsid w:val="004A4C74"/>
    <w:rsid w:val="004A4D07"/>
    <w:rsid w:val="004A4D5D"/>
    <w:rsid w:val="004A4D6B"/>
    <w:rsid w:val="004A4E05"/>
    <w:rsid w:val="004A4E10"/>
    <w:rsid w:val="004A4E2B"/>
    <w:rsid w:val="004A4E7F"/>
    <w:rsid w:val="004A4EB0"/>
    <w:rsid w:val="004A4F99"/>
    <w:rsid w:val="004A504F"/>
    <w:rsid w:val="004A5071"/>
    <w:rsid w:val="004A5087"/>
    <w:rsid w:val="004A5089"/>
    <w:rsid w:val="004A50C1"/>
    <w:rsid w:val="004A5143"/>
    <w:rsid w:val="004A519C"/>
    <w:rsid w:val="004A520B"/>
    <w:rsid w:val="004A5252"/>
    <w:rsid w:val="004A52BC"/>
    <w:rsid w:val="004A52CE"/>
    <w:rsid w:val="004A52D6"/>
    <w:rsid w:val="004A538B"/>
    <w:rsid w:val="004A53A1"/>
    <w:rsid w:val="004A53C3"/>
    <w:rsid w:val="004A53EA"/>
    <w:rsid w:val="004A540E"/>
    <w:rsid w:val="004A5422"/>
    <w:rsid w:val="004A5477"/>
    <w:rsid w:val="004A54A0"/>
    <w:rsid w:val="004A5511"/>
    <w:rsid w:val="004A5517"/>
    <w:rsid w:val="004A5533"/>
    <w:rsid w:val="004A553F"/>
    <w:rsid w:val="004A5575"/>
    <w:rsid w:val="004A55E4"/>
    <w:rsid w:val="004A560E"/>
    <w:rsid w:val="004A5666"/>
    <w:rsid w:val="004A568D"/>
    <w:rsid w:val="004A5698"/>
    <w:rsid w:val="004A56FE"/>
    <w:rsid w:val="004A5728"/>
    <w:rsid w:val="004A574B"/>
    <w:rsid w:val="004A579F"/>
    <w:rsid w:val="004A589E"/>
    <w:rsid w:val="004A58E9"/>
    <w:rsid w:val="004A58F7"/>
    <w:rsid w:val="004A5911"/>
    <w:rsid w:val="004A591A"/>
    <w:rsid w:val="004A5931"/>
    <w:rsid w:val="004A5A23"/>
    <w:rsid w:val="004A5A80"/>
    <w:rsid w:val="004A5A97"/>
    <w:rsid w:val="004A5BDA"/>
    <w:rsid w:val="004A5BF1"/>
    <w:rsid w:val="004A5C93"/>
    <w:rsid w:val="004A5CD4"/>
    <w:rsid w:val="004A5D2C"/>
    <w:rsid w:val="004A5D66"/>
    <w:rsid w:val="004A5DA7"/>
    <w:rsid w:val="004A5E38"/>
    <w:rsid w:val="004A5E9B"/>
    <w:rsid w:val="004A5F32"/>
    <w:rsid w:val="004A5F45"/>
    <w:rsid w:val="004A5F6F"/>
    <w:rsid w:val="004A5FD5"/>
    <w:rsid w:val="004A6084"/>
    <w:rsid w:val="004A60C8"/>
    <w:rsid w:val="004A6174"/>
    <w:rsid w:val="004A61B1"/>
    <w:rsid w:val="004A61C5"/>
    <w:rsid w:val="004A6275"/>
    <w:rsid w:val="004A62AC"/>
    <w:rsid w:val="004A62C7"/>
    <w:rsid w:val="004A62E0"/>
    <w:rsid w:val="004A63B8"/>
    <w:rsid w:val="004A63EB"/>
    <w:rsid w:val="004A6485"/>
    <w:rsid w:val="004A651F"/>
    <w:rsid w:val="004A6545"/>
    <w:rsid w:val="004A6567"/>
    <w:rsid w:val="004A66A2"/>
    <w:rsid w:val="004A66C1"/>
    <w:rsid w:val="004A66CB"/>
    <w:rsid w:val="004A671F"/>
    <w:rsid w:val="004A675D"/>
    <w:rsid w:val="004A6775"/>
    <w:rsid w:val="004A67BB"/>
    <w:rsid w:val="004A6807"/>
    <w:rsid w:val="004A68A9"/>
    <w:rsid w:val="004A6944"/>
    <w:rsid w:val="004A695D"/>
    <w:rsid w:val="004A698D"/>
    <w:rsid w:val="004A69C5"/>
    <w:rsid w:val="004A6A48"/>
    <w:rsid w:val="004A6A52"/>
    <w:rsid w:val="004A6A66"/>
    <w:rsid w:val="004A6A6C"/>
    <w:rsid w:val="004A6A7A"/>
    <w:rsid w:val="004A6A99"/>
    <w:rsid w:val="004A6B7C"/>
    <w:rsid w:val="004A6B97"/>
    <w:rsid w:val="004A6BB1"/>
    <w:rsid w:val="004A6BB5"/>
    <w:rsid w:val="004A6C50"/>
    <w:rsid w:val="004A6C77"/>
    <w:rsid w:val="004A6CC8"/>
    <w:rsid w:val="004A6CD7"/>
    <w:rsid w:val="004A6D20"/>
    <w:rsid w:val="004A6D8C"/>
    <w:rsid w:val="004A6DCB"/>
    <w:rsid w:val="004A6E0C"/>
    <w:rsid w:val="004A6E0E"/>
    <w:rsid w:val="004A6E25"/>
    <w:rsid w:val="004A6E59"/>
    <w:rsid w:val="004A6E79"/>
    <w:rsid w:val="004A6E7E"/>
    <w:rsid w:val="004A6EA0"/>
    <w:rsid w:val="004A6ED4"/>
    <w:rsid w:val="004A6EE7"/>
    <w:rsid w:val="004A6EEB"/>
    <w:rsid w:val="004A6F35"/>
    <w:rsid w:val="004A6F5B"/>
    <w:rsid w:val="004A6F9E"/>
    <w:rsid w:val="004A6FAA"/>
    <w:rsid w:val="004A6FE3"/>
    <w:rsid w:val="004A7022"/>
    <w:rsid w:val="004A7035"/>
    <w:rsid w:val="004A7096"/>
    <w:rsid w:val="004A70EB"/>
    <w:rsid w:val="004A7149"/>
    <w:rsid w:val="004A71A3"/>
    <w:rsid w:val="004A71CD"/>
    <w:rsid w:val="004A7256"/>
    <w:rsid w:val="004A7271"/>
    <w:rsid w:val="004A7391"/>
    <w:rsid w:val="004A73BA"/>
    <w:rsid w:val="004A746F"/>
    <w:rsid w:val="004A7475"/>
    <w:rsid w:val="004A7479"/>
    <w:rsid w:val="004A74D9"/>
    <w:rsid w:val="004A7518"/>
    <w:rsid w:val="004A755B"/>
    <w:rsid w:val="004A75C6"/>
    <w:rsid w:val="004A7678"/>
    <w:rsid w:val="004A76A0"/>
    <w:rsid w:val="004A76A4"/>
    <w:rsid w:val="004A76D9"/>
    <w:rsid w:val="004A76DF"/>
    <w:rsid w:val="004A773C"/>
    <w:rsid w:val="004A77A9"/>
    <w:rsid w:val="004A77F2"/>
    <w:rsid w:val="004A7803"/>
    <w:rsid w:val="004A78E2"/>
    <w:rsid w:val="004A7912"/>
    <w:rsid w:val="004A792B"/>
    <w:rsid w:val="004A79CF"/>
    <w:rsid w:val="004A7A07"/>
    <w:rsid w:val="004A7A3A"/>
    <w:rsid w:val="004A7A8F"/>
    <w:rsid w:val="004A7AE8"/>
    <w:rsid w:val="004A7B4D"/>
    <w:rsid w:val="004A7B74"/>
    <w:rsid w:val="004A7B77"/>
    <w:rsid w:val="004A7BAF"/>
    <w:rsid w:val="004A7BB5"/>
    <w:rsid w:val="004A7BB6"/>
    <w:rsid w:val="004A7BF4"/>
    <w:rsid w:val="004A7BFE"/>
    <w:rsid w:val="004A7C06"/>
    <w:rsid w:val="004A7C47"/>
    <w:rsid w:val="004A7CEA"/>
    <w:rsid w:val="004A7D9A"/>
    <w:rsid w:val="004A7DAC"/>
    <w:rsid w:val="004A7DD6"/>
    <w:rsid w:val="004A7DDC"/>
    <w:rsid w:val="004A7DEB"/>
    <w:rsid w:val="004A7E3B"/>
    <w:rsid w:val="004A7EE6"/>
    <w:rsid w:val="004A7EF3"/>
    <w:rsid w:val="004A7FA3"/>
    <w:rsid w:val="004A7FAF"/>
    <w:rsid w:val="004B0072"/>
    <w:rsid w:val="004B0079"/>
    <w:rsid w:val="004B00C4"/>
    <w:rsid w:val="004B00EA"/>
    <w:rsid w:val="004B016F"/>
    <w:rsid w:val="004B019E"/>
    <w:rsid w:val="004B01E6"/>
    <w:rsid w:val="004B0246"/>
    <w:rsid w:val="004B02D8"/>
    <w:rsid w:val="004B0313"/>
    <w:rsid w:val="004B0319"/>
    <w:rsid w:val="004B0331"/>
    <w:rsid w:val="004B0337"/>
    <w:rsid w:val="004B0387"/>
    <w:rsid w:val="004B0475"/>
    <w:rsid w:val="004B049B"/>
    <w:rsid w:val="004B0567"/>
    <w:rsid w:val="004B0580"/>
    <w:rsid w:val="004B0590"/>
    <w:rsid w:val="004B06BD"/>
    <w:rsid w:val="004B06C2"/>
    <w:rsid w:val="004B079A"/>
    <w:rsid w:val="004B07C8"/>
    <w:rsid w:val="004B07CC"/>
    <w:rsid w:val="004B07D0"/>
    <w:rsid w:val="004B07F8"/>
    <w:rsid w:val="004B0848"/>
    <w:rsid w:val="004B0907"/>
    <w:rsid w:val="004B0995"/>
    <w:rsid w:val="004B0997"/>
    <w:rsid w:val="004B0A67"/>
    <w:rsid w:val="004B0A99"/>
    <w:rsid w:val="004B0B5B"/>
    <w:rsid w:val="004B0B6B"/>
    <w:rsid w:val="004B0BBE"/>
    <w:rsid w:val="004B0CD7"/>
    <w:rsid w:val="004B0CDD"/>
    <w:rsid w:val="004B0D91"/>
    <w:rsid w:val="004B0DAF"/>
    <w:rsid w:val="004B0E92"/>
    <w:rsid w:val="004B0EDE"/>
    <w:rsid w:val="004B0F3E"/>
    <w:rsid w:val="004B0FBC"/>
    <w:rsid w:val="004B0FBF"/>
    <w:rsid w:val="004B1033"/>
    <w:rsid w:val="004B108D"/>
    <w:rsid w:val="004B10E4"/>
    <w:rsid w:val="004B10F6"/>
    <w:rsid w:val="004B10F9"/>
    <w:rsid w:val="004B116F"/>
    <w:rsid w:val="004B1210"/>
    <w:rsid w:val="004B1239"/>
    <w:rsid w:val="004B124B"/>
    <w:rsid w:val="004B126D"/>
    <w:rsid w:val="004B1288"/>
    <w:rsid w:val="004B12C0"/>
    <w:rsid w:val="004B12C4"/>
    <w:rsid w:val="004B12D7"/>
    <w:rsid w:val="004B12DB"/>
    <w:rsid w:val="004B1398"/>
    <w:rsid w:val="004B13A0"/>
    <w:rsid w:val="004B13D2"/>
    <w:rsid w:val="004B13EB"/>
    <w:rsid w:val="004B1429"/>
    <w:rsid w:val="004B1431"/>
    <w:rsid w:val="004B1487"/>
    <w:rsid w:val="004B14B1"/>
    <w:rsid w:val="004B14C6"/>
    <w:rsid w:val="004B1507"/>
    <w:rsid w:val="004B1531"/>
    <w:rsid w:val="004B1547"/>
    <w:rsid w:val="004B154B"/>
    <w:rsid w:val="004B15CA"/>
    <w:rsid w:val="004B1641"/>
    <w:rsid w:val="004B1672"/>
    <w:rsid w:val="004B16A3"/>
    <w:rsid w:val="004B1722"/>
    <w:rsid w:val="004B1760"/>
    <w:rsid w:val="004B1793"/>
    <w:rsid w:val="004B17C4"/>
    <w:rsid w:val="004B17F1"/>
    <w:rsid w:val="004B180E"/>
    <w:rsid w:val="004B1845"/>
    <w:rsid w:val="004B184D"/>
    <w:rsid w:val="004B188F"/>
    <w:rsid w:val="004B18BA"/>
    <w:rsid w:val="004B190D"/>
    <w:rsid w:val="004B1954"/>
    <w:rsid w:val="004B1973"/>
    <w:rsid w:val="004B1989"/>
    <w:rsid w:val="004B1999"/>
    <w:rsid w:val="004B1A0C"/>
    <w:rsid w:val="004B1A84"/>
    <w:rsid w:val="004B1ABA"/>
    <w:rsid w:val="004B1ADB"/>
    <w:rsid w:val="004B1AE5"/>
    <w:rsid w:val="004B1AF3"/>
    <w:rsid w:val="004B1B0B"/>
    <w:rsid w:val="004B1B20"/>
    <w:rsid w:val="004B1B4B"/>
    <w:rsid w:val="004B1B73"/>
    <w:rsid w:val="004B1B84"/>
    <w:rsid w:val="004B1BC0"/>
    <w:rsid w:val="004B1BCA"/>
    <w:rsid w:val="004B1D41"/>
    <w:rsid w:val="004B1D75"/>
    <w:rsid w:val="004B1D91"/>
    <w:rsid w:val="004B1E0D"/>
    <w:rsid w:val="004B1E28"/>
    <w:rsid w:val="004B1E5A"/>
    <w:rsid w:val="004B1E6F"/>
    <w:rsid w:val="004B1EE0"/>
    <w:rsid w:val="004B1F21"/>
    <w:rsid w:val="004B1F45"/>
    <w:rsid w:val="004B1FD9"/>
    <w:rsid w:val="004B202B"/>
    <w:rsid w:val="004B202C"/>
    <w:rsid w:val="004B204F"/>
    <w:rsid w:val="004B2090"/>
    <w:rsid w:val="004B20EB"/>
    <w:rsid w:val="004B2107"/>
    <w:rsid w:val="004B2147"/>
    <w:rsid w:val="004B2173"/>
    <w:rsid w:val="004B2199"/>
    <w:rsid w:val="004B2211"/>
    <w:rsid w:val="004B222F"/>
    <w:rsid w:val="004B228E"/>
    <w:rsid w:val="004B22B1"/>
    <w:rsid w:val="004B22D5"/>
    <w:rsid w:val="004B22DF"/>
    <w:rsid w:val="004B22EC"/>
    <w:rsid w:val="004B2322"/>
    <w:rsid w:val="004B2340"/>
    <w:rsid w:val="004B2370"/>
    <w:rsid w:val="004B2371"/>
    <w:rsid w:val="004B2400"/>
    <w:rsid w:val="004B2432"/>
    <w:rsid w:val="004B244F"/>
    <w:rsid w:val="004B2469"/>
    <w:rsid w:val="004B2493"/>
    <w:rsid w:val="004B249F"/>
    <w:rsid w:val="004B24CF"/>
    <w:rsid w:val="004B24D9"/>
    <w:rsid w:val="004B24EF"/>
    <w:rsid w:val="004B24F2"/>
    <w:rsid w:val="004B2503"/>
    <w:rsid w:val="004B251F"/>
    <w:rsid w:val="004B259D"/>
    <w:rsid w:val="004B25C3"/>
    <w:rsid w:val="004B263D"/>
    <w:rsid w:val="004B26B4"/>
    <w:rsid w:val="004B2708"/>
    <w:rsid w:val="004B274D"/>
    <w:rsid w:val="004B2758"/>
    <w:rsid w:val="004B275A"/>
    <w:rsid w:val="004B27AB"/>
    <w:rsid w:val="004B2848"/>
    <w:rsid w:val="004B28E2"/>
    <w:rsid w:val="004B2949"/>
    <w:rsid w:val="004B2963"/>
    <w:rsid w:val="004B2977"/>
    <w:rsid w:val="004B297F"/>
    <w:rsid w:val="004B29AE"/>
    <w:rsid w:val="004B2A1C"/>
    <w:rsid w:val="004B2A39"/>
    <w:rsid w:val="004B2A47"/>
    <w:rsid w:val="004B2A8B"/>
    <w:rsid w:val="004B2AD4"/>
    <w:rsid w:val="004B2B0D"/>
    <w:rsid w:val="004B2B5D"/>
    <w:rsid w:val="004B2BA0"/>
    <w:rsid w:val="004B2C0B"/>
    <w:rsid w:val="004B2C3A"/>
    <w:rsid w:val="004B2C99"/>
    <w:rsid w:val="004B2CC9"/>
    <w:rsid w:val="004B2CD3"/>
    <w:rsid w:val="004B2DD1"/>
    <w:rsid w:val="004B2E36"/>
    <w:rsid w:val="004B2E56"/>
    <w:rsid w:val="004B2E7B"/>
    <w:rsid w:val="004B2E83"/>
    <w:rsid w:val="004B2EF7"/>
    <w:rsid w:val="004B2EFF"/>
    <w:rsid w:val="004B2F0F"/>
    <w:rsid w:val="004B2FAF"/>
    <w:rsid w:val="004B2FDB"/>
    <w:rsid w:val="004B3020"/>
    <w:rsid w:val="004B3034"/>
    <w:rsid w:val="004B304E"/>
    <w:rsid w:val="004B306B"/>
    <w:rsid w:val="004B3070"/>
    <w:rsid w:val="004B314D"/>
    <w:rsid w:val="004B315D"/>
    <w:rsid w:val="004B3170"/>
    <w:rsid w:val="004B3178"/>
    <w:rsid w:val="004B3180"/>
    <w:rsid w:val="004B3187"/>
    <w:rsid w:val="004B3286"/>
    <w:rsid w:val="004B32A5"/>
    <w:rsid w:val="004B336B"/>
    <w:rsid w:val="004B342C"/>
    <w:rsid w:val="004B34B8"/>
    <w:rsid w:val="004B354E"/>
    <w:rsid w:val="004B357A"/>
    <w:rsid w:val="004B358A"/>
    <w:rsid w:val="004B35DE"/>
    <w:rsid w:val="004B35FE"/>
    <w:rsid w:val="004B364E"/>
    <w:rsid w:val="004B36BA"/>
    <w:rsid w:val="004B36BB"/>
    <w:rsid w:val="004B3789"/>
    <w:rsid w:val="004B3819"/>
    <w:rsid w:val="004B386D"/>
    <w:rsid w:val="004B3932"/>
    <w:rsid w:val="004B393A"/>
    <w:rsid w:val="004B394D"/>
    <w:rsid w:val="004B39A0"/>
    <w:rsid w:val="004B3A47"/>
    <w:rsid w:val="004B3A81"/>
    <w:rsid w:val="004B3B69"/>
    <w:rsid w:val="004B3BA2"/>
    <w:rsid w:val="004B3BB6"/>
    <w:rsid w:val="004B3BC2"/>
    <w:rsid w:val="004B3C5A"/>
    <w:rsid w:val="004B3D3C"/>
    <w:rsid w:val="004B3D9D"/>
    <w:rsid w:val="004B3D9E"/>
    <w:rsid w:val="004B3DEE"/>
    <w:rsid w:val="004B3F0A"/>
    <w:rsid w:val="004B3F86"/>
    <w:rsid w:val="004B3F87"/>
    <w:rsid w:val="004B406D"/>
    <w:rsid w:val="004B4093"/>
    <w:rsid w:val="004B4127"/>
    <w:rsid w:val="004B41B6"/>
    <w:rsid w:val="004B4212"/>
    <w:rsid w:val="004B422A"/>
    <w:rsid w:val="004B426A"/>
    <w:rsid w:val="004B42AF"/>
    <w:rsid w:val="004B4312"/>
    <w:rsid w:val="004B4348"/>
    <w:rsid w:val="004B438E"/>
    <w:rsid w:val="004B43F6"/>
    <w:rsid w:val="004B43FA"/>
    <w:rsid w:val="004B4485"/>
    <w:rsid w:val="004B44BB"/>
    <w:rsid w:val="004B44C2"/>
    <w:rsid w:val="004B44CB"/>
    <w:rsid w:val="004B44F6"/>
    <w:rsid w:val="004B4509"/>
    <w:rsid w:val="004B450E"/>
    <w:rsid w:val="004B453A"/>
    <w:rsid w:val="004B45DC"/>
    <w:rsid w:val="004B45DD"/>
    <w:rsid w:val="004B4616"/>
    <w:rsid w:val="004B4632"/>
    <w:rsid w:val="004B468C"/>
    <w:rsid w:val="004B469B"/>
    <w:rsid w:val="004B46AE"/>
    <w:rsid w:val="004B46B3"/>
    <w:rsid w:val="004B46BB"/>
    <w:rsid w:val="004B46D5"/>
    <w:rsid w:val="004B473D"/>
    <w:rsid w:val="004B47C1"/>
    <w:rsid w:val="004B486D"/>
    <w:rsid w:val="004B4871"/>
    <w:rsid w:val="004B4946"/>
    <w:rsid w:val="004B495B"/>
    <w:rsid w:val="004B496D"/>
    <w:rsid w:val="004B49A8"/>
    <w:rsid w:val="004B49AB"/>
    <w:rsid w:val="004B49C1"/>
    <w:rsid w:val="004B4A16"/>
    <w:rsid w:val="004B4A9E"/>
    <w:rsid w:val="004B4ACF"/>
    <w:rsid w:val="004B4B6C"/>
    <w:rsid w:val="004B4BF9"/>
    <w:rsid w:val="004B4C38"/>
    <w:rsid w:val="004B4C85"/>
    <w:rsid w:val="004B4C8A"/>
    <w:rsid w:val="004B4CA0"/>
    <w:rsid w:val="004B4D6D"/>
    <w:rsid w:val="004B4DFD"/>
    <w:rsid w:val="004B4E6F"/>
    <w:rsid w:val="004B4FBE"/>
    <w:rsid w:val="004B4FC3"/>
    <w:rsid w:val="004B4FFB"/>
    <w:rsid w:val="004B501F"/>
    <w:rsid w:val="004B5073"/>
    <w:rsid w:val="004B5096"/>
    <w:rsid w:val="004B50F5"/>
    <w:rsid w:val="004B511B"/>
    <w:rsid w:val="004B514F"/>
    <w:rsid w:val="004B5152"/>
    <w:rsid w:val="004B517C"/>
    <w:rsid w:val="004B51B0"/>
    <w:rsid w:val="004B51D0"/>
    <w:rsid w:val="004B51DA"/>
    <w:rsid w:val="004B51FC"/>
    <w:rsid w:val="004B5275"/>
    <w:rsid w:val="004B527F"/>
    <w:rsid w:val="004B5294"/>
    <w:rsid w:val="004B529A"/>
    <w:rsid w:val="004B52D2"/>
    <w:rsid w:val="004B5317"/>
    <w:rsid w:val="004B53A5"/>
    <w:rsid w:val="004B53F4"/>
    <w:rsid w:val="004B53FD"/>
    <w:rsid w:val="004B5400"/>
    <w:rsid w:val="004B54AB"/>
    <w:rsid w:val="004B5509"/>
    <w:rsid w:val="004B5512"/>
    <w:rsid w:val="004B5534"/>
    <w:rsid w:val="004B5541"/>
    <w:rsid w:val="004B55B9"/>
    <w:rsid w:val="004B55E1"/>
    <w:rsid w:val="004B55ED"/>
    <w:rsid w:val="004B5679"/>
    <w:rsid w:val="004B5754"/>
    <w:rsid w:val="004B577E"/>
    <w:rsid w:val="004B57A0"/>
    <w:rsid w:val="004B57B5"/>
    <w:rsid w:val="004B5827"/>
    <w:rsid w:val="004B58A9"/>
    <w:rsid w:val="004B590C"/>
    <w:rsid w:val="004B594F"/>
    <w:rsid w:val="004B59AE"/>
    <w:rsid w:val="004B59C0"/>
    <w:rsid w:val="004B5A5A"/>
    <w:rsid w:val="004B5AC5"/>
    <w:rsid w:val="004B5AFA"/>
    <w:rsid w:val="004B5B09"/>
    <w:rsid w:val="004B5B0C"/>
    <w:rsid w:val="004B5B24"/>
    <w:rsid w:val="004B5B33"/>
    <w:rsid w:val="004B5B57"/>
    <w:rsid w:val="004B5B5F"/>
    <w:rsid w:val="004B5C37"/>
    <w:rsid w:val="004B5C5A"/>
    <w:rsid w:val="004B5D33"/>
    <w:rsid w:val="004B5D39"/>
    <w:rsid w:val="004B5D82"/>
    <w:rsid w:val="004B5DB3"/>
    <w:rsid w:val="004B5DB4"/>
    <w:rsid w:val="004B5DED"/>
    <w:rsid w:val="004B5DFD"/>
    <w:rsid w:val="004B5E00"/>
    <w:rsid w:val="004B5EB9"/>
    <w:rsid w:val="004B5EC5"/>
    <w:rsid w:val="004B5EC6"/>
    <w:rsid w:val="004B5FEB"/>
    <w:rsid w:val="004B605D"/>
    <w:rsid w:val="004B6070"/>
    <w:rsid w:val="004B60F8"/>
    <w:rsid w:val="004B614A"/>
    <w:rsid w:val="004B61F2"/>
    <w:rsid w:val="004B622C"/>
    <w:rsid w:val="004B626F"/>
    <w:rsid w:val="004B62B5"/>
    <w:rsid w:val="004B6308"/>
    <w:rsid w:val="004B63EB"/>
    <w:rsid w:val="004B641B"/>
    <w:rsid w:val="004B64D5"/>
    <w:rsid w:val="004B6509"/>
    <w:rsid w:val="004B6535"/>
    <w:rsid w:val="004B65A5"/>
    <w:rsid w:val="004B65CE"/>
    <w:rsid w:val="004B65EB"/>
    <w:rsid w:val="004B6634"/>
    <w:rsid w:val="004B663D"/>
    <w:rsid w:val="004B66A9"/>
    <w:rsid w:val="004B66B3"/>
    <w:rsid w:val="004B6701"/>
    <w:rsid w:val="004B6703"/>
    <w:rsid w:val="004B675C"/>
    <w:rsid w:val="004B67B0"/>
    <w:rsid w:val="004B67E1"/>
    <w:rsid w:val="004B680E"/>
    <w:rsid w:val="004B692B"/>
    <w:rsid w:val="004B694F"/>
    <w:rsid w:val="004B6985"/>
    <w:rsid w:val="004B69D1"/>
    <w:rsid w:val="004B6A93"/>
    <w:rsid w:val="004B6A99"/>
    <w:rsid w:val="004B6AC0"/>
    <w:rsid w:val="004B6ADF"/>
    <w:rsid w:val="004B6B15"/>
    <w:rsid w:val="004B6B17"/>
    <w:rsid w:val="004B6B55"/>
    <w:rsid w:val="004B6BB8"/>
    <w:rsid w:val="004B6C17"/>
    <w:rsid w:val="004B6CEC"/>
    <w:rsid w:val="004B6D0C"/>
    <w:rsid w:val="004B6D52"/>
    <w:rsid w:val="004B6D6B"/>
    <w:rsid w:val="004B6DD4"/>
    <w:rsid w:val="004B6DEF"/>
    <w:rsid w:val="004B6E57"/>
    <w:rsid w:val="004B6EE2"/>
    <w:rsid w:val="004B6F04"/>
    <w:rsid w:val="004B6FAE"/>
    <w:rsid w:val="004B6FEA"/>
    <w:rsid w:val="004B6FEF"/>
    <w:rsid w:val="004B6FF4"/>
    <w:rsid w:val="004B7006"/>
    <w:rsid w:val="004B703B"/>
    <w:rsid w:val="004B703C"/>
    <w:rsid w:val="004B707D"/>
    <w:rsid w:val="004B70D1"/>
    <w:rsid w:val="004B7120"/>
    <w:rsid w:val="004B7125"/>
    <w:rsid w:val="004B7144"/>
    <w:rsid w:val="004B7182"/>
    <w:rsid w:val="004B71A9"/>
    <w:rsid w:val="004B71D4"/>
    <w:rsid w:val="004B721A"/>
    <w:rsid w:val="004B7259"/>
    <w:rsid w:val="004B7309"/>
    <w:rsid w:val="004B732E"/>
    <w:rsid w:val="004B7379"/>
    <w:rsid w:val="004B73BA"/>
    <w:rsid w:val="004B7437"/>
    <w:rsid w:val="004B7442"/>
    <w:rsid w:val="004B7469"/>
    <w:rsid w:val="004B748B"/>
    <w:rsid w:val="004B748F"/>
    <w:rsid w:val="004B74A1"/>
    <w:rsid w:val="004B74BF"/>
    <w:rsid w:val="004B74D6"/>
    <w:rsid w:val="004B7549"/>
    <w:rsid w:val="004B7578"/>
    <w:rsid w:val="004B75D8"/>
    <w:rsid w:val="004B7621"/>
    <w:rsid w:val="004B762D"/>
    <w:rsid w:val="004B7668"/>
    <w:rsid w:val="004B7697"/>
    <w:rsid w:val="004B769D"/>
    <w:rsid w:val="004B76F5"/>
    <w:rsid w:val="004B770C"/>
    <w:rsid w:val="004B770F"/>
    <w:rsid w:val="004B7749"/>
    <w:rsid w:val="004B77D8"/>
    <w:rsid w:val="004B77E2"/>
    <w:rsid w:val="004B7817"/>
    <w:rsid w:val="004B788B"/>
    <w:rsid w:val="004B7933"/>
    <w:rsid w:val="004B7969"/>
    <w:rsid w:val="004B796E"/>
    <w:rsid w:val="004B7A5C"/>
    <w:rsid w:val="004B7A6A"/>
    <w:rsid w:val="004B7AB5"/>
    <w:rsid w:val="004B7B0F"/>
    <w:rsid w:val="004B7B5F"/>
    <w:rsid w:val="004B7B72"/>
    <w:rsid w:val="004B7BE7"/>
    <w:rsid w:val="004B7C15"/>
    <w:rsid w:val="004B7CA0"/>
    <w:rsid w:val="004B7CA5"/>
    <w:rsid w:val="004B7CFC"/>
    <w:rsid w:val="004B7D49"/>
    <w:rsid w:val="004B7DC7"/>
    <w:rsid w:val="004B7DDB"/>
    <w:rsid w:val="004B7DE8"/>
    <w:rsid w:val="004B7E0F"/>
    <w:rsid w:val="004B7E1F"/>
    <w:rsid w:val="004B7E63"/>
    <w:rsid w:val="004B7E8A"/>
    <w:rsid w:val="004B7E9E"/>
    <w:rsid w:val="004B7F3C"/>
    <w:rsid w:val="004B7F43"/>
    <w:rsid w:val="004B7FBF"/>
    <w:rsid w:val="004B7FFE"/>
    <w:rsid w:val="004C0004"/>
    <w:rsid w:val="004C001E"/>
    <w:rsid w:val="004C006B"/>
    <w:rsid w:val="004C00C4"/>
    <w:rsid w:val="004C00F9"/>
    <w:rsid w:val="004C0114"/>
    <w:rsid w:val="004C0146"/>
    <w:rsid w:val="004C0189"/>
    <w:rsid w:val="004C01CF"/>
    <w:rsid w:val="004C024D"/>
    <w:rsid w:val="004C0333"/>
    <w:rsid w:val="004C03BF"/>
    <w:rsid w:val="004C03DC"/>
    <w:rsid w:val="004C03DF"/>
    <w:rsid w:val="004C03EC"/>
    <w:rsid w:val="004C041F"/>
    <w:rsid w:val="004C0423"/>
    <w:rsid w:val="004C0465"/>
    <w:rsid w:val="004C04FD"/>
    <w:rsid w:val="004C053B"/>
    <w:rsid w:val="004C059E"/>
    <w:rsid w:val="004C05C4"/>
    <w:rsid w:val="004C05EB"/>
    <w:rsid w:val="004C05F5"/>
    <w:rsid w:val="004C0698"/>
    <w:rsid w:val="004C069F"/>
    <w:rsid w:val="004C06C7"/>
    <w:rsid w:val="004C0723"/>
    <w:rsid w:val="004C073B"/>
    <w:rsid w:val="004C07D1"/>
    <w:rsid w:val="004C084E"/>
    <w:rsid w:val="004C085E"/>
    <w:rsid w:val="004C0876"/>
    <w:rsid w:val="004C08B8"/>
    <w:rsid w:val="004C08BD"/>
    <w:rsid w:val="004C0932"/>
    <w:rsid w:val="004C096D"/>
    <w:rsid w:val="004C0989"/>
    <w:rsid w:val="004C099A"/>
    <w:rsid w:val="004C09AB"/>
    <w:rsid w:val="004C09D1"/>
    <w:rsid w:val="004C0A41"/>
    <w:rsid w:val="004C0A4F"/>
    <w:rsid w:val="004C0B38"/>
    <w:rsid w:val="004C0B85"/>
    <w:rsid w:val="004C0B9C"/>
    <w:rsid w:val="004C0C5B"/>
    <w:rsid w:val="004C0CD3"/>
    <w:rsid w:val="004C0CFD"/>
    <w:rsid w:val="004C0D7D"/>
    <w:rsid w:val="004C0DAA"/>
    <w:rsid w:val="004C0DEF"/>
    <w:rsid w:val="004C0DFA"/>
    <w:rsid w:val="004C0DFE"/>
    <w:rsid w:val="004C0E04"/>
    <w:rsid w:val="004C0E18"/>
    <w:rsid w:val="004C0E2E"/>
    <w:rsid w:val="004C0E5A"/>
    <w:rsid w:val="004C0E8E"/>
    <w:rsid w:val="004C0ED7"/>
    <w:rsid w:val="004C0EF7"/>
    <w:rsid w:val="004C0F39"/>
    <w:rsid w:val="004C0F6F"/>
    <w:rsid w:val="004C1030"/>
    <w:rsid w:val="004C105B"/>
    <w:rsid w:val="004C10C7"/>
    <w:rsid w:val="004C1125"/>
    <w:rsid w:val="004C114C"/>
    <w:rsid w:val="004C114D"/>
    <w:rsid w:val="004C1163"/>
    <w:rsid w:val="004C1176"/>
    <w:rsid w:val="004C11EF"/>
    <w:rsid w:val="004C1256"/>
    <w:rsid w:val="004C12B0"/>
    <w:rsid w:val="004C12B6"/>
    <w:rsid w:val="004C12BB"/>
    <w:rsid w:val="004C12DC"/>
    <w:rsid w:val="004C134F"/>
    <w:rsid w:val="004C13A1"/>
    <w:rsid w:val="004C13FF"/>
    <w:rsid w:val="004C141F"/>
    <w:rsid w:val="004C1422"/>
    <w:rsid w:val="004C1424"/>
    <w:rsid w:val="004C1443"/>
    <w:rsid w:val="004C14CA"/>
    <w:rsid w:val="004C1502"/>
    <w:rsid w:val="004C1568"/>
    <w:rsid w:val="004C15E9"/>
    <w:rsid w:val="004C163A"/>
    <w:rsid w:val="004C1682"/>
    <w:rsid w:val="004C169F"/>
    <w:rsid w:val="004C179A"/>
    <w:rsid w:val="004C17FD"/>
    <w:rsid w:val="004C180E"/>
    <w:rsid w:val="004C184A"/>
    <w:rsid w:val="004C1854"/>
    <w:rsid w:val="004C1875"/>
    <w:rsid w:val="004C1879"/>
    <w:rsid w:val="004C18CF"/>
    <w:rsid w:val="004C18EE"/>
    <w:rsid w:val="004C191F"/>
    <w:rsid w:val="004C1925"/>
    <w:rsid w:val="004C196C"/>
    <w:rsid w:val="004C1975"/>
    <w:rsid w:val="004C1993"/>
    <w:rsid w:val="004C19DD"/>
    <w:rsid w:val="004C1A0A"/>
    <w:rsid w:val="004C1A40"/>
    <w:rsid w:val="004C1A95"/>
    <w:rsid w:val="004C1AA1"/>
    <w:rsid w:val="004C1BB3"/>
    <w:rsid w:val="004C1BB7"/>
    <w:rsid w:val="004C1CAE"/>
    <w:rsid w:val="004C1CE3"/>
    <w:rsid w:val="004C1CE9"/>
    <w:rsid w:val="004C1D13"/>
    <w:rsid w:val="004C1D2E"/>
    <w:rsid w:val="004C1D52"/>
    <w:rsid w:val="004C1E0A"/>
    <w:rsid w:val="004C1E4E"/>
    <w:rsid w:val="004C1EA1"/>
    <w:rsid w:val="004C1ECD"/>
    <w:rsid w:val="004C1F1B"/>
    <w:rsid w:val="004C1F5D"/>
    <w:rsid w:val="004C1F70"/>
    <w:rsid w:val="004C1FB5"/>
    <w:rsid w:val="004C1FF3"/>
    <w:rsid w:val="004C2035"/>
    <w:rsid w:val="004C211E"/>
    <w:rsid w:val="004C2121"/>
    <w:rsid w:val="004C2175"/>
    <w:rsid w:val="004C21B4"/>
    <w:rsid w:val="004C21D0"/>
    <w:rsid w:val="004C21F8"/>
    <w:rsid w:val="004C221D"/>
    <w:rsid w:val="004C22EF"/>
    <w:rsid w:val="004C236C"/>
    <w:rsid w:val="004C23BF"/>
    <w:rsid w:val="004C23EB"/>
    <w:rsid w:val="004C241F"/>
    <w:rsid w:val="004C2426"/>
    <w:rsid w:val="004C2432"/>
    <w:rsid w:val="004C2434"/>
    <w:rsid w:val="004C2444"/>
    <w:rsid w:val="004C2459"/>
    <w:rsid w:val="004C248D"/>
    <w:rsid w:val="004C24C3"/>
    <w:rsid w:val="004C24EB"/>
    <w:rsid w:val="004C24F7"/>
    <w:rsid w:val="004C251B"/>
    <w:rsid w:val="004C257E"/>
    <w:rsid w:val="004C25A9"/>
    <w:rsid w:val="004C25BC"/>
    <w:rsid w:val="004C271C"/>
    <w:rsid w:val="004C2726"/>
    <w:rsid w:val="004C2775"/>
    <w:rsid w:val="004C27A1"/>
    <w:rsid w:val="004C2833"/>
    <w:rsid w:val="004C2892"/>
    <w:rsid w:val="004C28C9"/>
    <w:rsid w:val="004C292D"/>
    <w:rsid w:val="004C29E9"/>
    <w:rsid w:val="004C29F7"/>
    <w:rsid w:val="004C2A5E"/>
    <w:rsid w:val="004C2AB8"/>
    <w:rsid w:val="004C2ABA"/>
    <w:rsid w:val="004C2ACB"/>
    <w:rsid w:val="004C2AE0"/>
    <w:rsid w:val="004C2AE5"/>
    <w:rsid w:val="004C2BA0"/>
    <w:rsid w:val="004C2BAA"/>
    <w:rsid w:val="004C2BEF"/>
    <w:rsid w:val="004C2BF6"/>
    <w:rsid w:val="004C2C8E"/>
    <w:rsid w:val="004C2CD2"/>
    <w:rsid w:val="004C2DEB"/>
    <w:rsid w:val="004C2DF8"/>
    <w:rsid w:val="004C2E51"/>
    <w:rsid w:val="004C2E8A"/>
    <w:rsid w:val="004C2EE5"/>
    <w:rsid w:val="004C2EFA"/>
    <w:rsid w:val="004C2F08"/>
    <w:rsid w:val="004C2F53"/>
    <w:rsid w:val="004C2F78"/>
    <w:rsid w:val="004C2FA3"/>
    <w:rsid w:val="004C2FB4"/>
    <w:rsid w:val="004C2FBE"/>
    <w:rsid w:val="004C3009"/>
    <w:rsid w:val="004C3030"/>
    <w:rsid w:val="004C3093"/>
    <w:rsid w:val="004C30A4"/>
    <w:rsid w:val="004C30C8"/>
    <w:rsid w:val="004C3106"/>
    <w:rsid w:val="004C3111"/>
    <w:rsid w:val="004C3181"/>
    <w:rsid w:val="004C31EB"/>
    <w:rsid w:val="004C3282"/>
    <w:rsid w:val="004C32DE"/>
    <w:rsid w:val="004C331C"/>
    <w:rsid w:val="004C3396"/>
    <w:rsid w:val="004C33BB"/>
    <w:rsid w:val="004C33C5"/>
    <w:rsid w:val="004C33E0"/>
    <w:rsid w:val="004C33EE"/>
    <w:rsid w:val="004C341F"/>
    <w:rsid w:val="004C344F"/>
    <w:rsid w:val="004C34C7"/>
    <w:rsid w:val="004C35E2"/>
    <w:rsid w:val="004C3639"/>
    <w:rsid w:val="004C36CF"/>
    <w:rsid w:val="004C36DF"/>
    <w:rsid w:val="004C3711"/>
    <w:rsid w:val="004C3764"/>
    <w:rsid w:val="004C3766"/>
    <w:rsid w:val="004C379C"/>
    <w:rsid w:val="004C37B7"/>
    <w:rsid w:val="004C385B"/>
    <w:rsid w:val="004C3884"/>
    <w:rsid w:val="004C38F9"/>
    <w:rsid w:val="004C3904"/>
    <w:rsid w:val="004C3A5D"/>
    <w:rsid w:val="004C3AC4"/>
    <w:rsid w:val="004C3B0D"/>
    <w:rsid w:val="004C3B4C"/>
    <w:rsid w:val="004C3B53"/>
    <w:rsid w:val="004C3B68"/>
    <w:rsid w:val="004C3B6A"/>
    <w:rsid w:val="004C3B79"/>
    <w:rsid w:val="004C3BDA"/>
    <w:rsid w:val="004C3C13"/>
    <w:rsid w:val="004C3C54"/>
    <w:rsid w:val="004C3C6C"/>
    <w:rsid w:val="004C3C96"/>
    <w:rsid w:val="004C3CD2"/>
    <w:rsid w:val="004C3CEA"/>
    <w:rsid w:val="004C3D51"/>
    <w:rsid w:val="004C3D6D"/>
    <w:rsid w:val="004C3D98"/>
    <w:rsid w:val="004C3E03"/>
    <w:rsid w:val="004C3E4E"/>
    <w:rsid w:val="004C3EB5"/>
    <w:rsid w:val="004C3EB9"/>
    <w:rsid w:val="004C3ED7"/>
    <w:rsid w:val="004C3F48"/>
    <w:rsid w:val="004C4025"/>
    <w:rsid w:val="004C4032"/>
    <w:rsid w:val="004C40B4"/>
    <w:rsid w:val="004C40BD"/>
    <w:rsid w:val="004C40FF"/>
    <w:rsid w:val="004C4101"/>
    <w:rsid w:val="004C4107"/>
    <w:rsid w:val="004C421E"/>
    <w:rsid w:val="004C4232"/>
    <w:rsid w:val="004C42A1"/>
    <w:rsid w:val="004C42DA"/>
    <w:rsid w:val="004C42E7"/>
    <w:rsid w:val="004C435B"/>
    <w:rsid w:val="004C4381"/>
    <w:rsid w:val="004C43A3"/>
    <w:rsid w:val="004C43B4"/>
    <w:rsid w:val="004C43D4"/>
    <w:rsid w:val="004C440E"/>
    <w:rsid w:val="004C4489"/>
    <w:rsid w:val="004C44AD"/>
    <w:rsid w:val="004C44C1"/>
    <w:rsid w:val="004C4508"/>
    <w:rsid w:val="004C4558"/>
    <w:rsid w:val="004C456E"/>
    <w:rsid w:val="004C457D"/>
    <w:rsid w:val="004C45CC"/>
    <w:rsid w:val="004C45D4"/>
    <w:rsid w:val="004C45E6"/>
    <w:rsid w:val="004C4673"/>
    <w:rsid w:val="004C46A1"/>
    <w:rsid w:val="004C4720"/>
    <w:rsid w:val="004C476C"/>
    <w:rsid w:val="004C480F"/>
    <w:rsid w:val="004C481B"/>
    <w:rsid w:val="004C4844"/>
    <w:rsid w:val="004C48C7"/>
    <w:rsid w:val="004C48EE"/>
    <w:rsid w:val="004C4A3E"/>
    <w:rsid w:val="004C4A71"/>
    <w:rsid w:val="004C4AD5"/>
    <w:rsid w:val="004C4AE2"/>
    <w:rsid w:val="004C4B1E"/>
    <w:rsid w:val="004C4B27"/>
    <w:rsid w:val="004C4B2E"/>
    <w:rsid w:val="004C4B76"/>
    <w:rsid w:val="004C4B80"/>
    <w:rsid w:val="004C4B91"/>
    <w:rsid w:val="004C4BAF"/>
    <w:rsid w:val="004C4BFD"/>
    <w:rsid w:val="004C4C34"/>
    <w:rsid w:val="004C4C38"/>
    <w:rsid w:val="004C4C48"/>
    <w:rsid w:val="004C4C63"/>
    <w:rsid w:val="004C4C70"/>
    <w:rsid w:val="004C4CDD"/>
    <w:rsid w:val="004C4CE6"/>
    <w:rsid w:val="004C4D10"/>
    <w:rsid w:val="004C4D83"/>
    <w:rsid w:val="004C4DCD"/>
    <w:rsid w:val="004C4DD5"/>
    <w:rsid w:val="004C4E3B"/>
    <w:rsid w:val="004C4ECF"/>
    <w:rsid w:val="004C4F02"/>
    <w:rsid w:val="004C4F25"/>
    <w:rsid w:val="004C4F47"/>
    <w:rsid w:val="004C4F51"/>
    <w:rsid w:val="004C4F54"/>
    <w:rsid w:val="004C502B"/>
    <w:rsid w:val="004C5083"/>
    <w:rsid w:val="004C50D5"/>
    <w:rsid w:val="004C515E"/>
    <w:rsid w:val="004C516C"/>
    <w:rsid w:val="004C51D6"/>
    <w:rsid w:val="004C5203"/>
    <w:rsid w:val="004C5220"/>
    <w:rsid w:val="004C52A2"/>
    <w:rsid w:val="004C52B5"/>
    <w:rsid w:val="004C5322"/>
    <w:rsid w:val="004C535D"/>
    <w:rsid w:val="004C5379"/>
    <w:rsid w:val="004C53B2"/>
    <w:rsid w:val="004C53FD"/>
    <w:rsid w:val="004C540F"/>
    <w:rsid w:val="004C5431"/>
    <w:rsid w:val="004C5453"/>
    <w:rsid w:val="004C547D"/>
    <w:rsid w:val="004C5487"/>
    <w:rsid w:val="004C54D2"/>
    <w:rsid w:val="004C54FD"/>
    <w:rsid w:val="004C550C"/>
    <w:rsid w:val="004C551B"/>
    <w:rsid w:val="004C5523"/>
    <w:rsid w:val="004C553F"/>
    <w:rsid w:val="004C5550"/>
    <w:rsid w:val="004C55DF"/>
    <w:rsid w:val="004C562D"/>
    <w:rsid w:val="004C56AD"/>
    <w:rsid w:val="004C56B5"/>
    <w:rsid w:val="004C56C9"/>
    <w:rsid w:val="004C570B"/>
    <w:rsid w:val="004C5769"/>
    <w:rsid w:val="004C576B"/>
    <w:rsid w:val="004C5789"/>
    <w:rsid w:val="004C57AB"/>
    <w:rsid w:val="004C57E3"/>
    <w:rsid w:val="004C580C"/>
    <w:rsid w:val="004C5890"/>
    <w:rsid w:val="004C58D1"/>
    <w:rsid w:val="004C596A"/>
    <w:rsid w:val="004C5973"/>
    <w:rsid w:val="004C59BC"/>
    <w:rsid w:val="004C5A6A"/>
    <w:rsid w:val="004C5B55"/>
    <w:rsid w:val="004C5BBD"/>
    <w:rsid w:val="004C5C55"/>
    <w:rsid w:val="004C5C62"/>
    <w:rsid w:val="004C5CBD"/>
    <w:rsid w:val="004C5CDE"/>
    <w:rsid w:val="004C5CF2"/>
    <w:rsid w:val="004C5D4D"/>
    <w:rsid w:val="004C5D9C"/>
    <w:rsid w:val="004C5DCE"/>
    <w:rsid w:val="004C5DD6"/>
    <w:rsid w:val="004C5DE2"/>
    <w:rsid w:val="004C5DEC"/>
    <w:rsid w:val="004C5EF5"/>
    <w:rsid w:val="004C5F27"/>
    <w:rsid w:val="004C5F5D"/>
    <w:rsid w:val="004C5F78"/>
    <w:rsid w:val="004C5FB4"/>
    <w:rsid w:val="004C5FC5"/>
    <w:rsid w:val="004C60C3"/>
    <w:rsid w:val="004C60EA"/>
    <w:rsid w:val="004C614A"/>
    <w:rsid w:val="004C615B"/>
    <w:rsid w:val="004C61C8"/>
    <w:rsid w:val="004C61D2"/>
    <w:rsid w:val="004C61D5"/>
    <w:rsid w:val="004C620C"/>
    <w:rsid w:val="004C624A"/>
    <w:rsid w:val="004C6294"/>
    <w:rsid w:val="004C62A8"/>
    <w:rsid w:val="004C62C1"/>
    <w:rsid w:val="004C62EF"/>
    <w:rsid w:val="004C635C"/>
    <w:rsid w:val="004C6371"/>
    <w:rsid w:val="004C63B2"/>
    <w:rsid w:val="004C63C8"/>
    <w:rsid w:val="004C63EF"/>
    <w:rsid w:val="004C6499"/>
    <w:rsid w:val="004C64C0"/>
    <w:rsid w:val="004C6501"/>
    <w:rsid w:val="004C651B"/>
    <w:rsid w:val="004C6539"/>
    <w:rsid w:val="004C65B7"/>
    <w:rsid w:val="004C6699"/>
    <w:rsid w:val="004C6782"/>
    <w:rsid w:val="004C6866"/>
    <w:rsid w:val="004C687A"/>
    <w:rsid w:val="004C6885"/>
    <w:rsid w:val="004C69F7"/>
    <w:rsid w:val="004C6A14"/>
    <w:rsid w:val="004C6A37"/>
    <w:rsid w:val="004C6A3B"/>
    <w:rsid w:val="004C6AB0"/>
    <w:rsid w:val="004C6B06"/>
    <w:rsid w:val="004C6B17"/>
    <w:rsid w:val="004C6B20"/>
    <w:rsid w:val="004C6B24"/>
    <w:rsid w:val="004C6B50"/>
    <w:rsid w:val="004C6BB2"/>
    <w:rsid w:val="004C6BC7"/>
    <w:rsid w:val="004C6BDC"/>
    <w:rsid w:val="004C6C03"/>
    <w:rsid w:val="004C6C05"/>
    <w:rsid w:val="004C6C3A"/>
    <w:rsid w:val="004C6C58"/>
    <w:rsid w:val="004C6C73"/>
    <w:rsid w:val="004C6C74"/>
    <w:rsid w:val="004C6CE1"/>
    <w:rsid w:val="004C6CF1"/>
    <w:rsid w:val="004C6D00"/>
    <w:rsid w:val="004C6D1E"/>
    <w:rsid w:val="004C6D57"/>
    <w:rsid w:val="004C6D77"/>
    <w:rsid w:val="004C6D95"/>
    <w:rsid w:val="004C6DAE"/>
    <w:rsid w:val="004C6DE6"/>
    <w:rsid w:val="004C6DFE"/>
    <w:rsid w:val="004C6E5A"/>
    <w:rsid w:val="004C6EFB"/>
    <w:rsid w:val="004C6F16"/>
    <w:rsid w:val="004C6F84"/>
    <w:rsid w:val="004C6F92"/>
    <w:rsid w:val="004C6FB9"/>
    <w:rsid w:val="004C6FC6"/>
    <w:rsid w:val="004C7003"/>
    <w:rsid w:val="004C7071"/>
    <w:rsid w:val="004C70A0"/>
    <w:rsid w:val="004C70BA"/>
    <w:rsid w:val="004C70D1"/>
    <w:rsid w:val="004C70E0"/>
    <w:rsid w:val="004C714B"/>
    <w:rsid w:val="004C718D"/>
    <w:rsid w:val="004C71CB"/>
    <w:rsid w:val="004C71D8"/>
    <w:rsid w:val="004C7200"/>
    <w:rsid w:val="004C7219"/>
    <w:rsid w:val="004C723D"/>
    <w:rsid w:val="004C7293"/>
    <w:rsid w:val="004C72BA"/>
    <w:rsid w:val="004C7312"/>
    <w:rsid w:val="004C732A"/>
    <w:rsid w:val="004C7338"/>
    <w:rsid w:val="004C7391"/>
    <w:rsid w:val="004C73A7"/>
    <w:rsid w:val="004C7485"/>
    <w:rsid w:val="004C74D0"/>
    <w:rsid w:val="004C74D6"/>
    <w:rsid w:val="004C7539"/>
    <w:rsid w:val="004C755C"/>
    <w:rsid w:val="004C75B5"/>
    <w:rsid w:val="004C75C5"/>
    <w:rsid w:val="004C75E2"/>
    <w:rsid w:val="004C764F"/>
    <w:rsid w:val="004C7677"/>
    <w:rsid w:val="004C7705"/>
    <w:rsid w:val="004C7713"/>
    <w:rsid w:val="004C7716"/>
    <w:rsid w:val="004C772E"/>
    <w:rsid w:val="004C7816"/>
    <w:rsid w:val="004C78AF"/>
    <w:rsid w:val="004C79AE"/>
    <w:rsid w:val="004C7B5C"/>
    <w:rsid w:val="004C7BDB"/>
    <w:rsid w:val="004C7BF3"/>
    <w:rsid w:val="004C7C57"/>
    <w:rsid w:val="004C7CB3"/>
    <w:rsid w:val="004C7CFB"/>
    <w:rsid w:val="004C7D1D"/>
    <w:rsid w:val="004C7D72"/>
    <w:rsid w:val="004C7E7C"/>
    <w:rsid w:val="004C7E99"/>
    <w:rsid w:val="004C7ED6"/>
    <w:rsid w:val="004C7F2D"/>
    <w:rsid w:val="004C7F54"/>
    <w:rsid w:val="004C7F5B"/>
    <w:rsid w:val="004C7F77"/>
    <w:rsid w:val="004C7FA5"/>
    <w:rsid w:val="004C7FC3"/>
    <w:rsid w:val="004C7FF4"/>
    <w:rsid w:val="004D000B"/>
    <w:rsid w:val="004D0033"/>
    <w:rsid w:val="004D00A1"/>
    <w:rsid w:val="004D00E5"/>
    <w:rsid w:val="004D00E9"/>
    <w:rsid w:val="004D00F7"/>
    <w:rsid w:val="004D0120"/>
    <w:rsid w:val="004D0153"/>
    <w:rsid w:val="004D015F"/>
    <w:rsid w:val="004D0244"/>
    <w:rsid w:val="004D0257"/>
    <w:rsid w:val="004D0264"/>
    <w:rsid w:val="004D027C"/>
    <w:rsid w:val="004D0285"/>
    <w:rsid w:val="004D031C"/>
    <w:rsid w:val="004D03CD"/>
    <w:rsid w:val="004D03F4"/>
    <w:rsid w:val="004D0426"/>
    <w:rsid w:val="004D048F"/>
    <w:rsid w:val="004D04C3"/>
    <w:rsid w:val="004D04D0"/>
    <w:rsid w:val="004D0510"/>
    <w:rsid w:val="004D052E"/>
    <w:rsid w:val="004D0551"/>
    <w:rsid w:val="004D0593"/>
    <w:rsid w:val="004D05C5"/>
    <w:rsid w:val="004D05D2"/>
    <w:rsid w:val="004D062C"/>
    <w:rsid w:val="004D065C"/>
    <w:rsid w:val="004D068E"/>
    <w:rsid w:val="004D06B0"/>
    <w:rsid w:val="004D0700"/>
    <w:rsid w:val="004D0701"/>
    <w:rsid w:val="004D0721"/>
    <w:rsid w:val="004D07E4"/>
    <w:rsid w:val="004D0821"/>
    <w:rsid w:val="004D082D"/>
    <w:rsid w:val="004D0876"/>
    <w:rsid w:val="004D08BB"/>
    <w:rsid w:val="004D08E2"/>
    <w:rsid w:val="004D08EC"/>
    <w:rsid w:val="004D0964"/>
    <w:rsid w:val="004D09C4"/>
    <w:rsid w:val="004D0AA0"/>
    <w:rsid w:val="004D0AD6"/>
    <w:rsid w:val="004D0B1F"/>
    <w:rsid w:val="004D0B7D"/>
    <w:rsid w:val="004D0B8D"/>
    <w:rsid w:val="004D0BA1"/>
    <w:rsid w:val="004D0BB2"/>
    <w:rsid w:val="004D0BE1"/>
    <w:rsid w:val="004D0C26"/>
    <w:rsid w:val="004D0C34"/>
    <w:rsid w:val="004D0C77"/>
    <w:rsid w:val="004D0CC3"/>
    <w:rsid w:val="004D0CD0"/>
    <w:rsid w:val="004D0CF0"/>
    <w:rsid w:val="004D0D23"/>
    <w:rsid w:val="004D0D3F"/>
    <w:rsid w:val="004D0D5D"/>
    <w:rsid w:val="004D0DAE"/>
    <w:rsid w:val="004D0DB9"/>
    <w:rsid w:val="004D0E18"/>
    <w:rsid w:val="004D0E8A"/>
    <w:rsid w:val="004D0EB6"/>
    <w:rsid w:val="004D0F15"/>
    <w:rsid w:val="004D0F22"/>
    <w:rsid w:val="004D0F41"/>
    <w:rsid w:val="004D0FB7"/>
    <w:rsid w:val="004D103A"/>
    <w:rsid w:val="004D1071"/>
    <w:rsid w:val="004D10B5"/>
    <w:rsid w:val="004D11DD"/>
    <w:rsid w:val="004D1216"/>
    <w:rsid w:val="004D1229"/>
    <w:rsid w:val="004D1232"/>
    <w:rsid w:val="004D1329"/>
    <w:rsid w:val="004D1332"/>
    <w:rsid w:val="004D134B"/>
    <w:rsid w:val="004D1354"/>
    <w:rsid w:val="004D13E3"/>
    <w:rsid w:val="004D1417"/>
    <w:rsid w:val="004D1445"/>
    <w:rsid w:val="004D1459"/>
    <w:rsid w:val="004D1489"/>
    <w:rsid w:val="004D14EC"/>
    <w:rsid w:val="004D14FA"/>
    <w:rsid w:val="004D1500"/>
    <w:rsid w:val="004D1505"/>
    <w:rsid w:val="004D1556"/>
    <w:rsid w:val="004D1574"/>
    <w:rsid w:val="004D15F1"/>
    <w:rsid w:val="004D175A"/>
    <w:rsid w:val="004D17B6"/>
    <w:rsid w:val="004D17E3"/>
    <w:rsid w:val="004D1807"/>
    <w:rsid w:val="004D180D"/>
    <w:rsid w:val="004D1837"/>
    <w:rsid w:val="004D185F"/>
    <w:rsid w:val="004D1886"/>
    <w:rsid w:val="004D18F2"/>
    <w:rsid w:val="004D190A"/>
    <w:rsid w:val="004D1912"/>
    <w:rsid w:val="004D19AF"/>
    <w:rsid w:val="004D1A06"/>
    <w:rsid w:val="004D1A23"/>
    <w:rsid w:val="004D1AD0"/>
    <w:rsid w:val="004D1AD4"/>
    <w:rsid w:val="004D1B37"/>
    <w:rsid w:val="004D1B41"/>
    <w:rsid w:val="004D1B4F"/>
    <w:rsid w:val="004D1B6B"/>
    <w:rsid w:val="004D1B70"/>
    <w:rsid w:val="004D1BD4"/>
    <w:rsid w:val="004D1C05"/>
    <w:rsid w:val="004D1C10"/>
    <w:rsid w:val="004D1C26"/>
    <w:rsid w:val="004D1C3F"/>
    <w:rsid w:val="004D1C68"/>
    <w:rsid w:val="004D1C6C"/>
    <w:rsid w:val="004D1CAA"/>
    <w:rsid w:val="004D1CF6"/>
    <w:rsid w:val="004D1CF9"/>
    <w:rsid w:val="004D1D55"/>
    <w:rsid w:val="004D1D71"/>
    <w:rsid w:val="004D1D81"/>
    <w:rsid w:val="004D1D87"/>
    <w:rsid w:val="004D1DA9"/>
    <w:rsid w:val="004D1DB8"/>
    <w:rsid w:val="004D1EF3"/>
    <w:rsid w:val="004D1F61"/>
    <w:rsid w:val="004D1F8F"/>
    <w:rsid w:val="004D200D"/>
    <w:rsid w:val="004D21A5"/>
    <w:rsid w:val="004D21EA"/>
    <w:rsid w:val="004D21F8"/>
    <w:rsid w:val="004D2205"/>
    <w:rsid w:val="004D2245"/>
    <w:rsid w:val="004D22BC"/>
    <w:rsid w:val="004D22CD"/>
    <w:rsid w:val="004D22EE"/>
    <w:rsid w:val="004D231A"/>
    <w:rsid w:val="004D23AA"/>
    <w:rsid w:val="004D23F2"/>
    <w:rsid w:val="004D2413"/>
    <w:rsid w:val="004D246F"/>
    <w:rsid w:val="004D2472"/>
    <w:rsid w:val="004D2483"/>
    <w:rsid w:val="004D2487"/>
    <w:rsid w:val="004D2494"/>
    <w:rsid w:val="004D24AD"/>
    <w:rsid w:val="004D24B6"/>
    <w:rsid w:val="004D24E8"/>
    <w:rsid w:val="004D2530"/>
    <w:rsid w:val="004D253D"/>
    <w:rsid w:val="004D2572"/>
    <w:rsid w:val="004D259A"/>
    <w:rsid w:val="004D25C1"/>
    <w:rsid w:val="004D25CA"/>
    <w:rsid w:val="004D2637"/>
    <w:rsid w:val="004D2674"/>
    <w:rsid w:val="004D2677"/>
    <w:rsid w:val="004D2679"/>
    <w:rsid w:val="004D2685"/>
    <w:rsid w:val="004D26EC"/>
    <w:rsid w:val="004D2709"/>
    <w:rsid w:val="004D270A"/>
    <w:rsid w:val="004D2717"/>
    <w:rsid w:val="004D2722"/>
    <w:rsid w:val="004D2730"/>
    <w:rsid w:val="004D2777"/>
    <w:rsid w:val="004D284C"/>
    <w:rsid w:val="004D28C3"/>
    <w:rsid w:val="004D28CA"/>
    <w:rsid w:val="004D2908"/>
    <w:rsid w:val="004D295D"/>
    <w:rsid w:val="004D2975"/>
    <w:rsid w:val="004D29CD"/>
    <w:rsid w:val="004D29D2"/>
    <w:rsid w:val="004D2A49"/>
    <w:rsid w:val="004D2A50"/>
    <w:rsid w:val="004D2A93"/>
    <w:rsid w:val="004D2AB2"/>
    <w:rsid w:val="004D2AC1"/>
    <w:rsid w:val="004D2AED"/>
    <w:rsid w:val="004D2B36"/>
    <w:rsid w:val="004D2B41"/>
    <w:rsid w:val="004D2BA0"/>
    <w:rsid w:val="004D2C13"/>
    <w:rsid w:val="004D2C41"/>
    <w:rsid w:val="004D2C75"/>
    <w:rsid w:val="004D2CCA"/>
    <w:rsid w:val="004D2D28"/>
    <w:rsid w:val="004D2D35"/>
    <w:rsid w:val="004D2D8E"/>
    <w:rsid w:val="004D2D98"/>
    <w:rsid w:val="004D2E7A"/>
    <w:rsid w:val="004D2E89"/>
    <w:rsid w:val="004D2EEF"/>
    <w:rsid w:val="004D2F4C"/>
    <w:rsid w:val="004D2FAF"/>
    <w:rsid w:val="004D2FBA"/>
    <w:rsid w:val="004D2FEB"/>
    <w:rsid w:val="004D3009"/>
    <w:rsid w:val="004D3010"/>
    <w:rsid w:val="004D3020"/>
    <w:rsid w:val="004D302C"/>
    <w:rsid w:val="004D3054"/>
    <w:rsid w:val="004D315E"/>
    <w:rsid w:val="004D317B"/>
    <w:rsid w:val="004D31C5"/>
    <w:rsid w:val="004D323C"/>
    <w:rsid w:val="004D3253"/>
    <w:rsid w:val="004D3277"/>
    <w:rsid w:val="004D329A"/>
    <w:rsid w:val="004D32C4"/>
    <w:rsid w:val="004D32D9"/>
    <w:rsid w:val="004D3348"/>
    <w:rsid w:val="004D3360"/>
    <w:rsid w:val="004D3376"/>
    <w:rsid w:val="004D337B"/>
    <w:rsid w:val="004D3383"/>
    <w:rsid w:val="004D3409"/>
    <w:rsid w:val="004D3413"/>
    <w:rsid w:val="004D341F"/>
    <w:rsid w:val="004D3427"/>
    <w:rsid w:val="004D3441"/>
    <w:rsid w:val="004D346B"/>
    <w:rsid w:val="004D347D"/>
    <w:rsid w:val="004D349C"/>
    <w:rsid w:val="004D34A9"/>
    <w:rsid w:val="004D34F9"/>
    <w:rsid w:val="004D3544"/>
    <w:rsid w:val="004D3583"/>
    <w:rsid w:val="004D35C0"/>
    <w:rsid w:val="004D35C1"/>
    <w:rsid w:val="004D35F5"/>
    <w:rsid w:val="004D362B"/>
    <w:rsid w:val="004D3632"/>
    <w:rsid w:val="004D363D"/>
    <w:rsid w:val="004D365F"/>
    <w:rsid w:val="004D3716"/>
    <w:rsid w:val="004D3727"/>
    <w:rsid w:val="004D3728"/>
    <w:rsid w:val="004D37E7"/>
    <w:rsid w:val="004D380B"/>
    <w:rsid w:val="004D3841"/>
    <w:rsid w:val="004D3882"/>
    <w:rsid w:val="004D3897"/>
    <w:rsid w:val="004D38EE"/>
    <w:rsid w:val="004D3939"/>
    <w:rsid w:val="004D3A13"/>
    <w:rsid w:val="004D3A1B"/>
    <w:rsid w:val="004D3A31"/>
    <w:rsid w:val="004D3A86"/>
    <w:rsid w:val="004D3A92"/>
    <w:rsid w:val="004D3AD2"/>
    <w:rsid w:val="004D3B3A"/>
    <w:rsid w:val="004D3B41"/>
    <w:rsid w:val="004D3B56"/>
    <w:rsid w:val="004D3BA3"/>
    <w:rsid w:val="004D3BB6"/>
    <w:rsid w:val="004D3BD0"/>
    <w:rsid w:val="004D3BF0"/>
    <w:rsid w:val="004D3C0F"/>
    <w:rsid w:val="004D3C18"/>
    <w:rsid w:val="004D3C1E"/>
    <w:rsid w:val="004D3C23"/>
    <w:rsid w:val="004D3CE5"/>
    <w:rsid w:val="004D3D02"/>
    <w:rsid w:val="004D3D9E"/>
    <w:rsid w:val="004D3DDC"/>
    <w:rsid w:val="004D3E03"/>
    <w:rsid w:val="004D3E31"/>
    <w:rsid w:val="004D3E54"/>
    <w:rsid w:val="004D3E66"/>
    <w:rsid w:val="004D3E82"/>
    <w:rsid w:val="004D3ED8"/>
    <w:rsid w:val="004D3EDB"/>
    <w:rsid w:val="004D3F6D"/>
    <w:rsid w:val="004D3F76"/>
    <w:rsid w:val="004D3F83"/>
    <w:rsid w:val="004D3F91"/>
    <w:rsid w:val="004D3FC1"/>
    <w:rsid w:val="004D3FC5"/>
    <w:rsid w:val="004D40F8"/>
    <w:rsid w:val="004D4152"/>
    <w:rsid w:val="004D41E2"/>
    <w:rsid w:val="004D4204"/>
    <w:rsid w:val="004D421B"/>
    <w:rsid w:val="004D429B"/>
    <w:rsid w:val="004D42AC"/>
    <w:rsid w:val="004D42E8"/>
    <w:rsid w:val="004D435B"/>
    <w:rsid w:val="004D43E1"/>
    <w:rsid w:val="004D4445"/>
    <w:rsid w:val="004D444B"/>
    <w:rsid w:val="004D4458"/>
    <w:rsid w:val="004D4467"/>
    <w:rsid w:val="004D44A6"/>
    <w:rsid w:val="004D44B7"/>
    <w:rsid w:val="004D44CF"/>
    <w:rsid w:val="004D452F"/>
    <w:rsid w:val="004D4576"/>
    <w:rsid w:val="004D4583"/>
    <w:rsid w:val="004D458A"/>
    <w:rsid w:val="004D4593"/>
    <w:rsid w:val="004D45C1"/>
    <w:rsid w:val="004D45CE"/>
    <w:rsid w:val="004D4601"/>
    <w:rsid w:val="004D46AD"/>
    <w:rsid w:val="004D46C8"/>
    <w:rsid w:val="004D471E"/>
    <w:rsid w:val="004D4756"/>
    <w:rsid w:val="004D4770"/>
    <w:rsid w:val="004D47DB"/>
    <w:rsid w:val="004D483C"/>
    <w:rsid w:val="004D484B"/>
    <w:rsid w:val="004D4851"/>
    <w:rsid w:val="004D488C"/>
    <w:rsid w:val="004D48B8"/>
    <w:rsid w:val="004D48FF"/>
    <w:rsid w:val="004D49A7"/>
    <w:rsid w:val="004D49F6"/>
    <w:rsid w:val="004D4B07"/>
    <w:rsid w:val="004D4B7A"/>
    <w:rsid w:val="004D4BC4"/>
    <w:rsid w:val="004D4C0C"/>
    <w:rsid w:val="004D4C7A"/>
    <w:rsid w:val="004D4CD8"/>
    <w:rsid w:val="004D4D65"/>
    <w:rsid w:val="004D4DA2"/>
    <w:rsid w:val="004D4DB8"/>
    <w:rsid w:val="004D4E0B"/>
    <w:rsid w:val="004D4E1F"/>
    <w:rsid w:val="004D4E36"/>
    <w:rsid w:val="004D4E49"/>
    <w:rsid w:val="004D4E6C"/>
    <w:rsid w:val="004D4E7E"/>
    <w:rsid w:val="004D4E99"/>
    <w:rsid w:val="004D4EFA"/>
    <w:rsid w:val="004D4F06"/>
    <w:rsid w:val="004D4F2B"/>
    <w:rsid w:val="004D4F45"/>
    <w:rsid w:val="004D4F69"/>
    <w:rsid w:val="004D4F6B"/>
    <w:rsid w:val="004D4FA3"/>
    <w:rsid w:val="004D4FF7"/>
    <w:rsid w:val="004D501C"/>
    <w:rsid w:val="004D503D"/>
    <w:rsid w:val="004D506B"/>
    <w:rsid w:val="004D50C8"/>
    <w:rsid w:val="004D5127"/>
    <w:rsid w:val="004D5169"/>
    <w:rsid w:val="004D5171"/>
    <w:rsid w:val="004D5176"/>
    <w:rsid w:val="004D51A1"/>
    <w:rsid w:val="004D51A6"/>
    <w:rsid w:val="004D51D1"/>
    <w:rsid w:val="004D5244"/>
    <w:rsid w:val="004D525D"/>
    <w:rsid w:val="004D5266"/>
    <w:rsid w:val="004D5269"/>
    <w:rsid w:val="004D530E"/>
    <w:rsid w:val="004D5324"/>
    <w:rsid w:val="004D535F"/>
    <w:rsid w:val="004D5367"/>
    <w:rsid w:val="004D539A"/>
    <w:rsid w:val="004D53C9"/>
    <w:rsid w:val="004D53F5"/>
    <w:rsid w:val="004D53F7"/>
    <w:rsid w:val="004D5441"/>
    <w:rsid w:val="004D545A"/>
    <w:rsid w:val="004D5479"/>
    <w:rsid w:val="004D5493"/>
    <w:rsid w:val="004D54A0"/>
    <w:rsid w:val="004D54BE"/>
    <w:rsid w:val="004D553C"/>
    <w:rsid w:val="004D5559"/>
    <w:rsid w:val="004D5567"/>
    <w:rsid w:val="004D5580"/>
    <w:rsid w:val="004D55BB"/>
    <w:rsid w:val="004D55C3"/>
    <w:rsid w:val="004D5633"/>
    <w:rsid w:val="004D568E"/>
    <w:rsid w:val="004D56B8"/>
    <w:rsid w:val="004D56BA"/>
    <w:rsid w:val="004D56C4"/>
    <w:rsid w:val="004D5759"/>
    <w:rsid w:val="004D5823"/>
    <w:rsid w:val="004D5831"/>
    <w:rsid w:val="004D583B"/>
    <w:rsid w:val="004D5868"/>
    <w:rsid w:val="004D5877"/>
    <w:rsid w:val="004D589C"/>
    <w:rsid w:val="004D58A4"/>
    <w:rsid w:val="004D58AB"/>
    <w:rsid w:val="004D58D9"/>
    <w:rsid w:val="004D5958"/>
    <w:rsid w:val="004D59CD"/>
    <w:rsid w:val="004D59EA"/>
    <w:rsid w:val="004D5A3E"/>
    <w:rsid w:val="004D5AA4"/>
    <w:rsid w:val="004D5ABD"/>
    <w:rsid w:val="004D5AF0"/>
    <w:rsid w:val="004D5B14"/>
    <w:rsid w:val="004D5B20"/>
    <w:rsid w:val="004D5B82"/>
    <w:rsid w:val="004D5BD5"/>
    <w:rsid w:val="004D5C20"/>
    <w:rsid w:val="004D5C67"/>
    <w:rsid w:val="004D5C7E"/>
    <w:rsid w:val="004D5CBA"/>
    <w:rsid w:val="004D5D2F"/>
    <w:rsid w:val="004D5D37"/>
    <w:rsid w:val="004D5D84"/>
    <w:rsid w:val="004D5DCE"/>
    <w:rsid w:val="004D5DDD"/>
    <w:rsid w:val="004D5DFC"/>
    <w:rsid w:val="004D5E18"/>
    <w:rsid w:val="004D5E65"/>
    <w:rsid w:val="004D5EB0"/>
    <w:rsid w:val="004D5EF9"/>
    <w:rsid w:val="004D5F6C"/>
    <w:rsid w:val="004D5FAE"/>
    <w:rsid w:val="004D5FD8"/>
    <w:rsid w:val="004D5FE6"/>
    <w:rsid w:val="004D60AB"/>
    <w:rsid w:val="004D61B6"/>
    <w:rsid w:val="004D61DE"/>
    <w:rsid w:val="004D6207"/>
    <w:rsid w:val="004D6377"/>
    <w:rsid w:val="004D63FA"/>
    <w:rsid w:val="004D63FD"/>
    <w:rsid w:val="004D644C"/>
    <w:rsid w:val="004D6461"/>
    <w:rsid w:val="004D6465"/>
    <w:rsid w:val="004D647F"/>
    <w:rsid w:val="004D6486"/>
    <w:rsid w:val="004D649E"/>
    <w:rsid w:val="004D64C2"/>
    <w:rsid w:val="004D64D0"/>
    <w:rsid w:val="004D64DE"/>
    <w:rsid w:val="004D6513"/>
    <w:rsid w:val="004D657A"/>
    <w:rsid w:val="004D659E"/>
    <w:rsid w:val="004D65B3"/>
    <w:rsid w:val="004D65F1"/>
    <w:rsid w:val="004D6624"/>
    <w:rsid w:val="004D6671"/>
    <w:rsid w:val="004D66AD"/>
    <w:rsid w:val="004D6777"/>
    <w:rsid w:val="004D679A"/>
    <w:rsid w:val="004D67AE"/>
    <w:rsid w:val="004D67E9"/>
    <w:rsid w:val="004D6833"/>
    <w:rsid w:val="004D6904"/>
    <w:rsid w:val="004D6947"/>
    <w:rsid w:val="004D6956"/>
    <w:rsid w:val="004D6985"/>
    <w:rsid w:val="004D698C"/>
    <w:rsid w:val="004D69DB"/>
    <w:rsid w:val="004D6A0C"/>
    <w:rsid w:val="004D6A6B"/>
    <w:rsid w:val="004D6A71"/>
    <w:rsid w:val="004D6AB0"/>
    <w:rsid w:val="004D6B5A"/>
    <w:rsid w:val="004D6B77"/>
    <w:rsid w:val="004D6B98"/>
    <w:rsid w:val="004D6C06"/>
    <w:rsid w:val="004D6C23"/>
    <w:rsid w:val="004D6CB0"/>
    <w:rsid w:val="004D6CC3"/>
    <w:rsid w:val="004D6D8F"/>
    <w:rsid w:val="004D6D96"/>
    <w:rsid w:val="004D6E18"/>
    <w:rsid w:val="004D6ED2"/>
    <w:rsid w:val="004D6F0C"/>
    <w:rsid w:val="004D6F43"/>
    <w:rsid w:val="004D6F56"/>
    <w:rsid w:val="004D6F81"/>
    <w:rsid w:val="004D6F9A"/>
    <w:rsid w:val="004D6F9E"/>
    <w:rsid w:val="004D6FC1"/>
    <w:rsid w:val="004D6FE4"/>
    <w:rsid w:val="004D7001"/>
    <w:rsid w:val="004D7030"/>
    <w:rsid w:val="004D7046"/>
    <w:rsid w:val="004D7084"/>
    <w:rsid w:val="004D70A1"/>
    <w:rsid w:val="004D70AE"/>
    <w:rsid w:val="004D70F2"/>
    <w:rsid w:val="004D70F9"/>
    <w:rsid w:val="004D7150"/>
    <w:rsid w:val="004D71A5"/>
    <w:rsid w:val="004D71CC"/>
    <w:rsid w:val="004D71ED"/>
    <w:rsid w:val="004D71FC"/>
    <w:rsid w:val="004D7229"/>
    <w:rsid w:val="004D729D"/>
    <w:rsid w:val="004D72E8"/>
    <w:rsid w:val="004D731A"/>
    <w:rsid w:val="004D7367"/>
    <w:rsid w:val="004D73A9"/>
    <w:rsid w:val="004D743E"/>
    <w:rsid w:val="004D7448"/>
    <w:rsid w:val="004D745B"/>
    <w:rsid w:val="004D7494"/>
    <w:rsid w:val="004D74D7"/>
    <w:rsid w:val="004D74D9"/>
    <w:rsid w:val="004D7500"/>
    <w:rsid w:val="004D752F"/>
    <w:rsid w:val="004D7561"/>
    <w:rsid w:val="004D7595"/>
    <w:rsid w:val="004D75D3"/>
    <w:rsid w:val="004D7609"/>
    <w:rsid w:val="004D7626"/>
    <w:rsid w:val="004D76C3"/>
    <w:rsid w:val="004D76C9"/>
    <w:rsid w:val="004D76D4"/>
    <w:rsid w:val="004D7776"/>
    <w:rsid w:val="004D7780"/>
    <w:rsid w:val="004D77B3"/>
    <w:rsid w:val="004D78A5"/>
    <w:rsid w:val="004D78D7"/>
    <w:rsid w:val="004D78DB"/>
    <w:rsid w:val="004D78ED"/>
    <w:rsid w:val="004D78EF"/>
    <w:rsid w:val="004D796B"/>
    <w:rsid w:val="004D796C"/>
    <w:rsid w:val="004D79C1"/>
    <w:rsid w:val="004D79EE"/>
    <w:rsid w:val="004D7AA3"/>
    <w:rsid w:val="004D7B9F"/>
    <w:rsid w:val="004D7BA3"/>
    <w:rsid w:val="004D7BDC"/>
    <w:rsid w:val="004D7BEA"/>
    <w:rsid w:val="004D7BED"/>
    <w:rsid w:val="004D7C00"/>
    <w:rsid w:val="004D7C11"/>
    <w:rsid w:val="004D7C1C"/>
    <w:rsid w:val="004D7C64"/>
    <w:rsid w:val="004D7C73"/>
    <w:rsid w:val="004D7CA2"/>
    <w:rsid w:val="004D7CB0"/>
    <w:rsid w:val="004D7CDA"/>
    <w:rsid w:val="004D7CE2"/>
    <w:rsid w:val="004D7D25"/>
    <w:rsid w:val="004D7DA3"/>
    <w:rsid w:val="004D7DE8"/>
    <w:rsid w:val="004D7EC3"/>
    <w:rsid w:val="004D7EC5"/>
    <w:rsid w:val="004D7EE8"/>
    <w:rsid w:val="004D7F07"/>
    <w:rsid w:val="004D7F0B"/>
    <w:rsid w:val="004D7F69"/>
    <w:rsid w:val="004D7F79"/>
    <w:rsid w:val="004D7F9D"/>
    <w:rsid w:val="004D7FAD"/>
    <w:rsid w:val="004D7FED"/>
    <w:rsid w:val="004D7FF4"/>
    <w:rsid w:val="004E0011"/>
    <w:rsid w:val="004E0034"/>
    <w:rsid w:val="004E0035"/>
    <w:rsid w:val="004E0063"/>
    <w:rsid w:val="004E006D"/>
    <w:rsid w:val="004E0070"/>
    <w:rsid w:val="004E00B7"/>
    <w:rsid w:val="004E0128"/>
    <w:rsid w:val="004E0142"/>
    <w:rsid w:val="004E0150"/>
    <w:rsid w:val="004E0168"/>
    <w:rsid w:val="004E0170"/>
    <w:rsid w:val="004E0187"/>
    <w:rsid w:val="004E0195"/>
    <w:rsid w:val="004E02A6"/>
    <w:rsid w:val="004E02AE"/>
    <w:rsid w:val="004E030E"/>
    <w:rsid w:val="004E031A"/>
    <w:rsid w:val="004E03F4"/>
    <w:rsid w:val="004E043D"/>
    <w:rsid w:val="004E049A"/>
    <w:rsid w:val="004E04B7"/>
    <w:rsid w:val="004E04C5"/>
    <w:rsid w:val="004E04E8"/>
    <w:rsid w:val="004E04F2"/>
    <w:rsid w:val="004E0506"/>
    <w:rsid w:val="004E0519"/>
    <w:rsid w:val="004E055D"/>
    <w:rsid w:val="004E0607"/>
    <w:rsid w:val="004E0622"/>
    <w:rsid w:val="004E0630"/>
    <w:rsid w:val="004E0634"/>
    <w:rsid w:val="004E06FF"/>
    <w:rsid w:val="004E074B"/>
    <w:rsid w:val="004E0754"/>
    <w:rsid w:val="004E0796"/>
    <w:rsid w:val="004E07A3"/>
    <w:rsid w:val="004E07EE"/>
    <w:rsid w:val="004E080B"/>
    <w:rsid w:val="004E080D"/>
    <w:rsid w:val="004E0818"/>
    <w:rsid w:val="004E0858"/>
    <w:rsid w:val="004E089C"/>
    <w:rsid w:val="004E08CD"/>
    <w:rsid w:val="004E08FD"/>
    <w:rsid w:val="004E0908"/>
    <w:rsid w:val="004E09BC"/>
    <w:rsid w:val="004E09CD"/>
    <w:rsid w:val="004E0A57"/>
    <w:rsid w:val="004E0A59"/>
    <w:rsid w:val="004E0A9A"/>
    <w:rsid w:val="004E0AFA"/>
    <w:rsid w:val="004E0B16"/>
    <w:rsid w:val="004E0B1F"/>
    <w:rsid w:val="004E0B7D"/>
    <w:rsid w:val="004E0B82"/>
    <w:rsid w:val="004E0BC3"/>
    <w:rsid w:val="004E0BC8"/>
    <w:rsid w:val="004E0BCB"/>
    <w:rsid w:val="004E0BF3"/>
    <w:rsid w:val="004E0BF4"/>
    <w:rsid w:val="004E0C54"/>
    <w:rsid w:val="004E0D1C"/>
    <w:rsid w:val="004E0D22"/>
    <w:rsid w:val="004E0D30"/>
    <w:rsid w:val="004E0D37"/>
    <w:rsid w:val="004E0D6C"/>
    <w:rsid w:val="004E0E33"/>
    <w:rsid w:val="004E0E35"/>
    <w:rsid w:val="004E0E5D"/>
    <w:rsid w:val="004E0E90"/>
    <w:rsid w:val="004E0F34"/>
    <w:rsid w:val="004E0F5E"/>
    <w:rsid w:val="004E0F98"/>
    <w:rsid w:val="004E0FC9"/>
    <w:rsid w:val="004E0FCA"/>
    <w:rsid w:val="004E0FD3"/>
    <w:rsid w:val="004E1008"/>
    <w:rsid w:val="004E108C"/>
    <w:rsid w:val="004E1091"/>
    <w:rsid w:val="004E10C9"/>
    <w:rsid w:val="004E10E6"/>
    <w:rsid w:val="004E1101"/>
    <w:rsid w:val="004E1130"/>
    <w:rsid w:val="004E11AA"/>
    <w:rsid w:val="004E11CF"/>
    <w:rsid w:val="004E11DD"/>
    <w:rsid w:val="004E11EA"/>
    <w:rsid w:val="004E1213"/>
    <w:rsid w:val="004E1263"/>
    <w:rsid w:val="004E126F"/>
    <w:rsid w:val="004E127B"/>
    <w:rsid w:val="004E12F8"/>
    <w:rsid w:val="004E138B"/>
    <w:rsid w:val="004E1404"/>
    <w:rsid w:val="004E153F"/>
    <w:rsid w:val="004E154B"/>
    <w:rsid w:val="004E1556"/>
    <w:rsid w:val="004E15C5"/>
    <w:rsid w:val="004E1668"/>
    <w:rsid w:val="004E1688"/>
    <w:rsid w:val="004E168B"/>
    <w:rsid w:val="004E16CD"/>
    <w:rsid w:val="004E1743"/>
    <w:rsid w:val="004E174B"/>
    <w:rsid w:val="004E17F2"/>
    <w:rsid w:val="004E1877"/>
    <w:rsid w:val="004E18C3"/>
    <w:rsid w:val="004E18D3"/>
    <w:rsid w:val="004E1927"/>
    <w:rsid w:val="004E1940"/>
    <w:rsid w:val="004E196B"/>
    <w:rsid w:val="004E19BF"/>
    <w:rsid w:val="004E19FC"/>
    <w:rsid w:val="004E1A23"/>
    <w:rsid w:val="004E1A41"/>
    <w:rsid w:val="004E1A87"/>
    <w:rsid w:val="004E1ABC"/>
    <w:rsid w:val="004E1AD3"/>
    <w:rsid w:val="004E1B26"/>
    <w:rsid w:val="004E1B4B"/>
    <w:rsid w:val="004E1B5E"/>
    <w:rsid w:val="004E1B81"/>
    <w:rsid w:val="004E1B87"/>
    <w:rsid w:val="004E1C15"/>
    <w:rsid w:val="004E1C24"/>
    <w:rsid w:val="004E1C3E"/>
    <w:rsid w:val="004E1C40"/>
    <w:rsid w:val="004E1C4E"/>
    <w:rsid w:val="004E1C55"/>
    <w:rsid w:val="004E1CE2"/>
    <w:rsid w:val="004E1D14"/>
    <w:rsid w:val="004E1D28"/>
    <w:rsid w:val="004E1D44"/>
    <w:rsid w:val="004E1DEF"/>
    <w:rsid w:val="004E1DF4"/>
    <w:rsid w:val="004E1F0A"/>
    <w:rsid w:val="004E1F28"/>
    <w:rsid w:val="004E1F6F"/>
    <w:rsid w:val="004E1F9F"/>
    <w:rsid w:val="004E1FD4"/>
    <w:rsid w:val="004E1FEA"/>
    <w:rsid w:val="004E2098"/>
    <w:rsid w:val="004E2130"/>
    <w:rsid w:val="004E2188"/>
    <w:rsid w:val="004E21AE"/>
    <w:rsid w:val="004E21C8"/>
    <w:rsid w:val="004E223C"/>
    <w:rsid w:val="004E2263"/>
    <w:rsid w:val="004E2269"/>
    <w:rsid w:val="004E2272"/>
    <w:rsid w:val="004E228B"/>
    <w:rsid w:val="004E22BE"/>
    <w:rsid w:val="004E22DF"/>
    <w:rsid w:val="004E230A"/>
    <w:rsid w:val="004E231B"/>
    <w:rsid w:val="004E231F"/>
    <w:rsid w:val="004E2329"/>
    <w:rsid w:val="004E238F"/>
    <w:rsid w:val="004E23F9"/>
    <w:rsid w:val="004E24B3"/>
    <w:rsid w:val="004E24C5"/>
    <w:rsid w:val="004E24CB"/>
    <w:rsid w:val="004E258F"/>
    <w:rsid w:val="004E2591"/>
    <w:rsid w:val="004E25B1"/>
    <w:rsid w:val="004E25F0"/>
    <w:rsid w:val="004E2622"/>
    <w:rsid w:val="004E263E"/>
    <w:rsid w:val="004E264C"/>
    <w:rsid w:val="004E264E"/>
    <w:rsid w:val="004E26E0"/>
    <w:rsid w:val="004E2738"/>
    <w:rsid w:val="004E2797"/>
    <w:rsid w:val="004E27CD"/>
    <w:rsid w:val="004E27D0"/>
    <w:rsid w:val="004E2818"/>
    <w:rsid w:val="004E2822"/>
    <w:rsid w:val="004E282C"/>
    <w:rsid w:val="004E2838"/>
    <w:rsid w:val="004E2928"/>
    <w:rsid w:val="004E2945"/>
    <w:rsid w:val="004E2961"/>
    <w:rsid w:val="004E298E"/>
    <w:rsid w:val="004E29A0"/>
    <w:rsid w:val="004E29B8"/>
    <w:rsid w:val="004E2A33"/>
    <w:rsid w:val="004E2A91"/>
    <w:rsid w:val="004E2AED"/>
    <w:rsid w:val="004E2B17"/>
    <w:rsid w:val="004E2B81"/>
    <w:rsid w:val="004E2BA5"/>
    <w:rsid w:val="004E2BCE"/>
    <w:rsid w:val="004E2C38"/>
    <w:rsid w:val="004E2C39"/>
    <w:rsid w:val="004E2CAA"/>
    <w:rsid w:val="004E2CE1"/>
    <w:rsid w:val="004E2D1F"/>
    <w:rsid w:val="004E2DC1"/>
    <w:rsid w:val="004E2DCD"/>
    <w:rsid w:val="004E2DEC"/>
    <w:rsid w:val="004E2DEF"/>
    <w:rsid w:val="004E2E48"/>
    <w:rsid w:val="004E2E54"/>
    <w:rsid w:val="004E2F25"/>
    <w:rsid w:val="004E2F55"/>
    <w:rsid w:val="004E2FEA"/>
    <w:rsid w:val="004E2FED"/>
    <w:rsid w:val="004E300F"/>
    <w:rsid w:val="004E303C"/>
    <w:rsid w:val="004E3052"/>
    <w:rsid w:val="004E3098"/>
    <w:rsid w:val="004E30A5"/>
    <w:rsid w:val="004E30B2"/>
    <w:rsid w:val="004E30C5"/>
    <w:rsid w:val="004E30D4"/>
    <w:rsid w:val="004E3107"/>
    <w:rsid w:val="004E314A"/>
    <w:rsid w:val="004E3187"/>
    <w:rsid w:val="004E31C2"/>
    <w:rsid w:val="004E31E2"/>
    <w:rsid w:val="004E3237"/>
    <w:rsid w:val="004E327A"/>
    <w:rsid w:val="004E328A"/>
    <w:rsid w:val="004E329D"/>
    <w:rsid w:val="004E32BB"/>
    <w:rsid w:val="004E32F6"/>
    <w:rsid w:val="004E336B"/>
    <w:rsid w:val="004E33DC"/>
    <w:rsid w:val="004E345E"/>
    <w:rsid w:val="004E3465"/>
    <w:rsid w:val="004E3474"/>
    <w:rsid w:val="004E3478"/>
    <w:rsid w:val="004E34B6"/>
    <w:rsid w:val="004E35E5"/>
    <w:rsid w:val="004E3606"/>
    <w:rsid w:val="004E3644"/>
    <w:rsid w:val="004E367A"/>
    <w:rsid w:val="004E36D9"/>
    <w:rsid w:val="004E36E1"/>
    <w:rsid w:val="004E36E3"/>
    <w:rsid w:val="004E36E8"/>
    <w:rsid w:val="004E3723"/>
    <w:rsid w:val="004E375B"/>
    <w:rsid w:val="004E376C"/>
    <w:rsid w:val="004E3771"/>
    <w:rsid w:val="004E37C8"/>
    <w:rsid w:val="004E3817"/>
    <w:rsid w:val="004E38B0"/>
    <w:rsid w:val="004E38E5"/>
    <w:rsid w:val="004E39BD"/>
    <w:rsid w:val="004E39D4"/>
    <w:rsid w:val="004E3A1B"/>
    <w:rsid w:val="004E3A56"/>
    <w:rsid w:val="004E3A9D"/>
    <w:rsid w:val="004E3AD6"/>
    <w:rsid w:val="004E3AFE"/>
    <w:rsid w:val="004E3B41"/>
    <w:rsid w:val="004E3B5C"/>
    <w:rsid w:val="004E3BBB"/>
    <w:rsid w:val="004E3D89"/>
    <w:rsid w:val="004E3E7F"/>
    <w:rsid w:val="004E3EFD"/>
    <w:rsid w:val="004E3F04"/>
    <w:rsid w:val="004E3F2B"/>
    <w:rsid w:val="004E3F3E"/>
    <w:rsid w:val="004E3F7F"/>
    <w:rsid w:val="004E3F8D"/>
    <w:rsid w:val="004E4070"/>
    <w:rsid w:val="004E40C0"/>
    <w:rsid w:val="004E4127"/>
    <w:rsid w:val="004E416E"/>
    <w:rsid w:val="004E4176"/>
    <w:rsid w:val="004E4196"/>
    <w:rsid w:val="004E41D8"/>
    <w:rsid w:val="004E41EE"/>
    <w:rsid w:val="004E420A"/>
    <w:rsid w:val="004E422C"/>
    <w:rsid w:val="004E42D8"/>
    <w:rsid w:val="004E4305"/>
    <w:rsid w:val="004E4356"/>
    <w:rsid w:val="004E43D4"/>
    <w:rsid w:val="004E43ED"/>
    <w:rsid w:val="004E4459"/>
    <w:rsid w:val="004E4460"/>
    <w:rsid w:val="004E4491"/>
    <w:rsid w:val="004E4496"/>
    <w:rsid w:val="004E44A1"/>
    <w:rsid w:val="004E44E4"/>
    <w:rsid w:val="004E4580"/>
    <w:rsid w:val="004E45F0"/>
    <w:rsid w:val="004E4621"/>
    <w:rsid w:val="004E4645"/>
    <w:rsid w:val="004E46F3"/>
    <w:rsid w:val="004E4711"/>
    <w:rsid w:val="004E471A"/>
    <w:rsid w:val="004E4738"/>
    <w:rsid w:val="004E47CA"/>
    <w:rsid w:val="004E4823"/>
    <w:rsid w:val="004E487C"/>
    <w:rsid w:val="004E4896"/>
    <w:rsid w:val="004E489C"/>
    <w:rsid w:val="004E48CA"/>
    <w:rsid w:val="004E4957"/>
    <w:rsid w:val="004E49F1"/>
    <w:rsid w:val="004E4A14"/>
    <w:rsid w:val="004E4A40"/>
    <w:rsid w:val="004E4A43"/>
    <w:rsid w:val="004E4A69"/>
    <w:rsid w:val="004E4B0C"/>
    <w:rsid w:val="004E4B2B"/>
    <w:rsid w:val="004E4BA9"/>
    <w:rsid w:val="004E4BB7"/>
    <w:rsid w:val="004E4BC9"/>
    <w:rsid w:val="004E4BD8"/>
    <w:rsid w:val="004E4BEB"/>
    <w:rsid w:val="004E4C59"/>
    <w:rsid w:val="004E4CCA"/>
    <w:rsid w:val="004E4CCB"/>
    <w:rsid w:val="004E4D2B"/>
    <w:rsid w:val="004E4D35"/>
    <w:rsid w:val="004E4D40"/>
    <w:rsid w:val="004E4D48"/>
    <w:rsid w:val="004E4D98"/>
    <w:rsid w:val="004E4DC0"/>
    <w:rsid w:val="004E4E9F"/>
    <w:rsid w:val="004E4ECA"/>
    <w:rsid w:val="004E4F2D"/>
    <w:rsid w:val="004E4F57"/>
    <w:rsid w:val="004E4F5C"/>
    <w:rsid w:val="004E500E"/>
    <w:rsid w:val="004E5010"/>
    <w:rsid w:val="004E5028"/>
    <w:rsid w:val="004E504A"/>
    <w:rsid w:val="004E506F"/>
    <w:rsid w:val="004E507E"/>
    <w:rsid w:val="004E508D"/>
    <w:rsid w:val="004E50A9"/>
    <w:rsid w:val="004E50CC"/>
    <w:rsid w:val="004E5101"/>
    <w:rsid w:val="004E5109"/>
    <w:rsid w:val="004E5117"/>
    <w:rsid w:val="004E518D"/>
    <w:rsid w:val="004E518E"/>
    <w:rsid w:val="004E51DA"/>
    <w:rsid w:val="004E51ED"/>
    <w:rsid w:val="004E51FA"/>
    <w:rsid w:val="004E5214"/>
    <w:rsid w:val="004E5218"/>
    <w:rsid w:val="004E522F"/>
    <w:rsid w:val="004E5267"/>
    <w:rsid w:val="004E5286"/>
    <w:rsid w:val="004E531B"/>
    <w:rsid w:val="004E5350"/>
    <w:rsid w:val="004E539B"/>
    <w:rsid w:val="004E53A6"/>
    <w:rsid w:val="004E53BE"/>
    <w:rsid w:val="004E5446"/>
    <w:rsid w:val="004E549D"/>
    <w:rsid w:val="004E54B7"/>
    <w:rsid w:val="004E5509"/>
    <w:rsid w:val="004E5525"/>
    <w:rsid w:val="004E5547"/>
    <w:rsid w:val="004E555A"/>
    <w:rsid w:val="004E5561"/>
    <w:rsid w:val="004E557A"/>
    <w:rsid w:val="004E557C"/>
    <w:rsid w:val="004E557D"/>
    <w:rsid w:val="004E55D5"/>
    <w:rsid w:val="004E56B4"/>
    <w:rsid w:val="004E56E3"/>
    <w:rsid w:val="004E56F0"/>
    <w:rsid w:val="004E5746"/>
    <w:rsid w:val="004E5764"/>
    <w:rsid w:val="004E5790"/>
    <w:rsid w:val="004E5805"/>
    <w:rsid w:val="004E580B"/>
    <w:rsid w:val="004E5825"/>
    <w:rsid w:val="004E5827"/>
    <w:rsid w:val="004E582E"/>
    <w:rsid w:val="004E584C"/>
    <w:rsid w:val="004E58CA"/>
    <w:rsid w:val="004E591F"/>
    <w:rsid w:val="004E5A8C"/>
    <w:rsid w:val="004E5AAB"/>
    <w:rsid w:val="004E5B1B"/>
    <w:rsid w:val="004E5B3E"/>
    <w:rsid w:val="004E5B57"/>
    <w:rsid w:val="004E5BA1"/>
    <w:rsid w:val="004E5BBF"/>
    <w:rsid w:val="004E5C29"/>
    <w:rsid w:val="004E5C3E"/>
    <w:rsid w:val="004E5CFF"/>
    <w:rsid w:val="004E5D3A"/>
    <w:rsid w:val="004E5D42"/>
    <w:rsid w:val="004E5D8A"/>
    <w:rsid w:val="004E5D96"/>
    <w:rsid w:val="004E5DDA"/>
    <w:rsid w:val="004E5E8B"/>
    <w:rsid w:val="004E5EE4"/>
    <w:rsid w:val="004E5EE9"/>
    <w:rsid w:val="004E5EEE"/>
    <w:rsid w:val="004E5F31"/>
    <w:rsid w:val="004E5F82"/>
    <w:rsid w:val="004E5F86"/>
    <w:rsid w:val="004E5FB8"/>
    <w:rsid w:val="004E6010"/>
    <w:rsid w:val="004E601B"/>
    <w:rsid w:val="004E6065"/>
    <w:rsid w:val="004E60DA"/>
    <w:rsid w:val="004E612C"/>
    <w:rsid w:val="004E6157"/>
    <w:rsid w:val="004E61D1"/>
    <w:rsid w:val="004E61DD"/>
    <w:rsid w:val="004E61EF"/>
    <w:rsid w:val="004E62A0"/>
    <w:rsid w:val="004E631E"/>
    <w:rsid w:val="004E6350"/>
    <w:rsid w:val="004E6369"/>
    <w:rsid w:val="004E6398"/>
    <w:rsid w:val="004E639E"/>
    <w:rsid w:val="004E63D9"/>
    <w:rsid w:val="004E645C"/>
    <w:rsid w:val="004E646D"/>
    <w:rsid w:val="004E64AC"/>
    <w:rsid w:val="004E64D4"/>
    <w:rsid w:val="004E64E5"/>
    <w:rsid w:val="004E64F4"/>
    <w:rsid w:val="004E6512"/>
    <w:rsid w:val="004E652A"/>
    <w:rsid w:val="004E6539"/>
    <w:rsid w:val="004E656C"/>
    <w:rsid w:val="004E65D5"/>
    <w:rsid w:val="004E6608"/>
    <w:rsid w:val="004E6612"/>
    <w:rsid w:val="004E667B"/>
    <w:rsid w:val="004E6687"/>
    <w:rsid w:val="004E6693"/>
    <w:rsid w:val="004E6695"/>
    <w:rsid w:val="004E66B0"/>
    <w:rsid w:val="004E66C0"/>
    <w:rsid w:val="004E6713"/>
    <w:rsid w:val="004E6767"/>
    <w:rsid w:val="004E676C"/>
    <w:rsid w:val="004E6788"/>
    <w:rsid w:val="004E678F"/>
    <w:rsid w:val="004E67AB"/>
    <w:rsid w:val="004E67B9"/>
    <w:rsid w:val="004E67CD"/>
    <w:rsid w:val="004E67F5"/>
    <w:rsid w:val="004E6846"/>
    <w:rsid w:val="004E68F8"/>
    <w:rsid w:val="004E6904"/>
    <w:rsid w:val="004E6968"/>
    <w:rsid w:val="004E697E"/>
    <w:rsid w:val="004E6985"/>
    <w:rsid w:val="004E6992"/>
    <w:rsid w:val="004E69E3"/>
    <w:rsid w:val="004E6A5E"/>
    <w:rsid w:val="004E6AA0"/>
    <w:rsid w:val="004E6B09"/>
    <w:rsid w:val="004E6B28"/>
    <w:rsid w:val="004E6BFB"/>
    <w:rsid w:val="004E6C19"/>
    <w:rsid w:val="004E6C20"/>
    <w:rsid w:val="004E6C4A"/>
    <w:rsid w:val="004E6C63"/>
    <w:rsid w:val="004E6CA0"/>
    <w:rsid w:val="004E6D36"/>
    <w:rsid w:val="004E6D8C"/>
    <w:rsid w:val="004E6D8F"/>
    <w:rsid w:val="004E6DCA"/>
    <w:rsid w:val="004E6EB7"/>
    <w:rsid w:val="004E6F57"/>
    <w:rsid w:val="004E6F66"/>
    <w:rsid w:val="004E6FDA"/>
    <w:rsid w:val="004E7047"/>
    <w:rsid w:val="004E7075"/>
    <w:rsid w:val="004E70D9"/>
    <w:rsid w:val="004E713D"/>
    <w:rsid w:val="004E7208"/>
    <w:rsid w:val="004E720E"/>
    <w:rsid w:val="004E723F"/>
    <w:rsid w:val="004E7260"/>
    <w:rsid w:val="004E7272"/>
    <w:rsid w:val="004E72B6"/>
    <w:rsid w:val="004E72B8"/>
    <w:rsid w:val="004E72C2"/>
    <w:rsid w:val="004E72E9"/>
    <w:rsid w:val="004E734B"/>
    <w:rsid w:val="004E735C"/>
    <w:rsid w:val="004E738E"/>
    <w:rsid w:val="004E741C"/>
    <w:rsid w:val="004E747E"/>
    <w:rsid w:val="004E74A6"/>
    <w:rsid w:val="004E754B"/>
    <w:rsid w:val="004E7553"/>
    <w:rsid w:val="004E7592"/>
    <w:rsid w:val="004E75C2"/>
    <w:rsid w:val="004E75EB"/>
    <w:rsid w:val="004E76A9"/>
    <w:rsid w:val="004E76AE"/>
    <w:rsid w:val="004E76F5"/>
    <w:rsid w:val="004E7730"/>
    <w:rsid w:val="004E773B"/>
    <w:rsid w:val="004E7742"/>
    <w:rsid w:val="004E774D"/>
    <w:rsid w:val="004E7772"/>
    <w:rsid w:val="004E7779"/>
    <w:rsid w:val="004E77A1"/>
    <w:rsid w:val="004E7808"/>
    <w:rsid w:val="004E781C"/>
    <w:rsid w:val="004E7899"/>
    <w:rsid w:val="004E78BA"/>
    <w:rsid w:val="004E78D6"/>
    <w:rsid w:val="004E78E1"/>
    <w:rsid w:val="004E791F"/>
    <w:rsid w:val="004E7957"/>
    <w:rsid w:val="004E7975"/>
    <w:rsid w:val="004E7AAF"/>
    <w:rsid w:val="004E7B3F"/>
    <w:rsid w:val="004E7B64"/>
    <w:rsid w:val="004E7BAD"/>
    <w:rsid w:val="004E7BBB"/>
    <w:rsid w:val="004E7BC1"/>
    <w:rsid w:val="004E7BC8"/>
    <w:rsid w:val="004E7BC9"/>
    <w:rsid w:val="004E7BDB"/>
    <w:rsid w:val="004E7C02"/>
    <w:rsid w:val="004E7C09"/>
    <w:rsid w:val="004E7C0B"/>
    <w:rsid w:val="004E7C73"/>
    <w:rsid w:val="004E7D96"/>
    <w:rsid w:val="004E7DFC"/>
    <w:rsid w:val="004E7E3F"/>
    <w:rsid w:val="004E7EB2"/>
    <w:rsid w:val="004E7EBC"/>
    <w:rsid w:val="004E7EFD"/>
    <w:rsid w:val="004E7F19"/>
    <w:rsid w:val="004E7F3A"/>
    <w:rsid w:val="004E7F8C"/>
    <w:rsid w:val="004E7FAA"/>
    <w:rsid w:val="004E7FAC"/>
    <w:rsid w:val="004E7FC3"/>
    <w:rsid w:val="004F0064"/>
    <w:rsid w:val="004F01D7"/>
    <w:rsid w:val="004F01E9"/>
    <w:rsid w:val="004F022D"/>
    <w:rsid w:val="004F0264"/>
    <w:rsid w:val="004F02A7"/>
    <w:rsid w:val="004F02B3"/>
    <w:rsid w:val="004F02F5"/>
    <w:rsid w:val="004F0340"/>
    <w:rsid w:val="004F038F"/>
    <w:rsid w:val="004F03E9"/>
    <w:rsid w:val="004F0439"/>
    <w:rsid w:val="004F04E9"/>
    <w:rsid w:val="004F050D"/>
    <w:rsid w:val="004F051A"/>
    <w:rsid w:val="004F05C0"/>
    <w:rsid w:val="004F05CA"/>
    <w:rsid w:val="004F0632"/>
    <w:rsid w:val="004F0638"/>
    <w:rsid w:val="004F067C"/>
    <w:rsid w:val="004F06A3"/>
    <w:rsid w:val="004F06A5"/>
    <w:rsid w:val="004F06BB"/>
    <w:rsid w:val="004F0741"/>
    <w:rsid w:val="004F0774"/>
    <w:rsid w:val="004F07C3"/>
    <w:rsid w:val="004F07CF"/>
    <w:rsid w:val="004F07FA"/>
    <w:rsid w:val="004F083A"/>
    <w:rsid w:val="004F083F"/>
    <w:rsid w:val="004F086F"/>
    <w:rsid w:val="004F0875"/>
    <w:rsid w:val="004F08BF"/>
    <w:rsid w:val="004F0937"/>
    <w:rsid w:val="004F0949"/>
    <w:rsid w:val="004F098C"/>
    <w:rsid w:val="004F0996"/>
    <w:rsid w:val="004F0A3D"/>
    <w:rsid w:val="004F0A44"/>
    <w:rsid w:val="004F0A77"/>
    <w:rsid w:val="004F0A91"/>
    <w:rsid w:val="004F0ABD"/>
    <w:rsid w:val="004F0AD1"/>
    <w:rsid w:val="004F0B00"/>
    <w:rsid w:val="004F0B01"/>
    <w:rsid w:val="004F0B26"/>
    <w:rsid w:val="004F0B3D"/>
    <w:rsid w:val="004F0BBC"/>
    <w:rsid w:val="004F0BBD"/>
    <w:rsid w:val="004F0C3F"/>
    <w:rsid w:val="004F0C64"/>
    <w:rsid w:val="004F0CA6"/>
    <w:rsid w:val="004F0CB7"/>
    <w:rsid w:val="004F0D42"/>
    <w:rsid w:val="004F0D43"/>
    <w:rsid w:val="004F0D83"/>
    <w:rsid w:val="004F0D87"/>
    <w:rsid w:val="004F0E04"/>
    <w:rsid w:val="004F0EDD"/>
    <w:rsid w:val="004F0F21"/>
    <w:rsid w:val="004F0F72"/>
    <w:rsid w:val="004F0FDB"/>
    <w:rsid w:val="004F0FFD"/>
    <w:rsid w:val="004F1011"/>
    <w:rsid w:val="004F1027"/>
    <w:rsid w:val="004F1049"/>
    <w:rsid w:val="004F1052"/>
    <w:rsid w:val="004F1059"/>
    <w:rsid w:val="004F1062"/>
    <w:rsid w:val="004F107B"/>
    <w:rsid w:val="004F107E"/>
    <w:rsid w:val="004F1122"/>
    <w:rsid w:val="004F11C0"/>
    <w:rsid w:val="004F11E2"/>
    <w:rsid w:val="004F11F9"/>
    <w:rsid w:val="004F1253"/>
    <w:rsid w:val="004F12B7"/>
    <w:rsid w:val="004F12E3"/>
    <w:rsid w:val="004F12F0"/>
    <w:rsid w:val="004F1360"/>
    <w:rsid w:val="004F136B"/>
    <w:rsid w:val="004F137B"/>
    <w:rsid w:val="004F13B8"/>
    <w:rsid w:val="004F13F7"/>
    <w:rsid w:val="004F1414"/>
    <w:rsid w:val="004F1416"/>
    <w:rsid w:val="004F1436"/>
    <w:rsid w:val="004F1449"/>
    <w:rsid w:val="004F14C7"/>
    <w:rsid w:val="004F1534"/>
    <w:rsid w:val="004F15D6"/>
    <w:rsid w:val="004F16AA"/>
    <w:rsid w:val="004F16ED"/>
    <w:rsid w:val="004F16F9"/>
    <w:rsid w:val="004F1706"/>
    <w:rsid w:val="004F1785"/>
    <w:rsid w:val="004F179A"/>
    <w:rsid w:val="004F1883"/>
    <w:rsid w:val="004F1886"/>
    <w:rsid w:val="004F1898"/>
    <w:rsid w:val="004F18BE"/>
    <w:rsid w:val="004F1921"/>
    <w:rsid w:val="004F19BF"/>
    <w:rsid w:val="004F1A57"/>
    <w:rsid w:val="004F1ADF"/>
    <w:rsid w:val="004F1B04"/>
    <w:rsid w:val="004F1B3C"/>
    <w:rsid w:val="004F1B5E"/>
    <w:rsid w:val="004F1BCD"/>
    <w:rsid w:val="004F1C0C"/>
    <w:rsid w:val="004F1C64"/>
    <w:rsid w:val="004F1C9C"/>
    <w:rsid w:val="004F1CF0"/>
    <w:rsid w:val="004F1CF4"/>
    <w:rsid w:val="004F1DC1"/>
    <w:rsid w:val="004F1DD8"/>
    <w:rsid w:val="004F1DE1"/>
    <w:rsid w:val="004F1DFF"/>
    <w:rsid w:val="004F1E37"/>
    <w:rsid w:val="004F1E58"/>
    <w:rsid w:val="004F1E94"/>
    <w:rsid w:val="004F1EFB"/>
    <w:rsid w:val="004F1F09"/>
    <w:rsid w:val="004F1F1D"/>
    <w:rsid w:val="004F1F68"/>
    <w:rsid w:val="004F1F82"/>
    <w:rsid w:val="004F1F8C"/>
    <w:rsid w:val="004F1FB9"/>
    <w:rsid w:val="004F1FC2"/>
    <w:rsid w:val="004F200E"/>
    <w:rsid w:val="004F202E"/>
    <w:rsid w:val="004F2083"/>
    <w:rsid w:val="004F20F8"/>
    <w:rsid w:val="004F2102"/>
    <w:rsid w:val="004F2122"/>
    <w:rsid w:val="004F213C"/>
    <w:rsid w:val="004F2214"/>
    <w:rsid w:val="004F2231"/>
    <w:rsid w:val="004F2393"/>
    <w:rsid w:val="004F23A2"/>
    <w:rsid w:val="004F23C5"/>
    <w:rsid w:val="004F23FE"/>
    <w:rsid w:val="004F2409"/>
    <w:rsid w:val="004F2466"/>
    <w:rsid w:val="004F251B"/>
    <w:rsid w:val="004F251D"/>
    <w:rsid w:val="004F254E"/>
    <w:rsid w:val="004F258C"/>
    <w:rsid w:val="004F25D0"/>
    <w:rsid w:val="004F2641"/>
    <w:rsid w:val="004F26F1"/>
    <w:rsid w:val="004F2741"/>
    <w:rsid w:val="004F27C4"/>
    <w:rsid w:val="004F27C9"/>
    <w:rsid w:val="004F27F0"/>
    <w:rsid w:val="004F280F"/>
    <w:rsid w:val="004F2840"/>
    <w:rsid w:val="004F28B9"/>
    <w:rsid w:val="004F28C8"/>
    <w:rsid w:val="004F28E4"/>
    <w:rsid w:val="004F2905"/>
    <w:rsid w:val="004F2958"/>
    <w:rsid w:val="004F295E"/>
    <w:rsid w:val="004F2989"/>
    <w:rsid w:val="004F29BB"/>
    <w:rsid w:val="004F2A20"/>
    <w:rsid w:val="004F2A3F"/>
    <w:rsid w:val="004F2A87"/>
    <w:rsid w:val="004F2ADB"/>
    <w:rsid w:val="004F2B0C"/>
    <w:rsid w:val="004F2B88"/>
    <w:rsid w:val="004F2BCA"/>
    <w:rsid w:val="004F2BD5"/>
    <w:rsid w:val="004F2BFB"/>
    <w:rsid w:val="004F2C37"/>
    <w:rsid w:val="004F2C68"/>
    <w:rsid w:val="004F2C9A"/>
    <w:rsid w:val="004F2D02"/>
    <w:rsid w:val="004F2D55"/>
    <w:rsid w:val="004F2DE0"/>
    <w:rsid w:val="004F2E3C"/>
    <w:rsid w:val="004F2EEF"/>
    <w:rsid w:val="004F2F3D"/>
    <w:rsid w:val="004F2F6D"/>
    <w:rsid w:val="004F2F7B"/>
    <w:rsid w:val="004F2FAF"/>
    <w:rsid w:val="004F2FEA"/>
    <w:rsid w:val="004F3056"/>
    <w:rsid w:val="004F3073"/>
    <w:rsid w:val="004F30AD"/>
    <w:rsid w:val="004F3199"/>
    <w:rsid w:val="004F31AC"/>
    <w:rsid w:val="004F31AD"/>
    <w:rsid w:val="004F31BD"/>
    <w:rsid w:val="004F32A6"/>
    <w:rsid w:val="004F32B6"/>
    <w:rsid w:val="004F3308"/>
    <w:rsid w:val="004F3320"/>
    <w:rsid w:val="004F3371"/>
    <w:rsid w:val="004F337F"/>
    <w:rsid w:val="004F33B2"/>
    <w:rsid w:val="004F342C"/>
    <w:rsid w:val="004F34A5"/>
    <w:rsid w:val="004F34B0"/>
    <w:rsid w:val="004F3535"/>
    <w:rsid w:val="004F35E5"/>
    <w:rsid w:val="004F375E"/>
    <w:rsid w:val="004F3769"/>
    <w:rsid w:val="004F3892"/>
    <w:rsid w:val="004F38AB"/>
    <w:rsid w:val="004F391B"/>
    <w:rsid w:val="004F3973"/>
    <w:rsid w:val="004F3992"/>
    <w:rsid w:val="004F39C8"/>
    <w:rsid w:val="004F39F3"/>
    <w:rsid w:val="004F3A8D"/>
    <w:rsid w:val="004F3B45"/>
    <w:rsid w:val="004F3B4E"/>
    <w:rsid w:val="004F3BA2"/>
    <w:rsid w:val="004F3BCA"/>
    <w:rsid w:val="004F3C03"/>
    <w:rsid w:val="004F3C32"/>
    <w:rsid w:val="004F3C51"/>
    <w:rsid w:val="004F3CAB"/>
    <w:rsid w:val="004F3CB6"/>
    <w:rsid w:val="004F3D46"/>
    <w:rsid w:val="004F3D69"/>
    <w:rsid w:val="004F3E25"/>
    <w:rsid w:val="004F3E45"/>
    <w:rsid w:val="004F3E76"/>
    <w:rsid w:val="004F3E95"/>
    <w:rsid w:val="004F3EC9"/>
    <w:rsid w:val="004F3F1C"/>
    <w:rsid w:val="004F3F92"/>
    <w:rsid w:val="004F3FB2"/>
    <w:rsid w:val="004F3FF4"/>
    <w:rsid w:val="004F400F"/>
    <w:rsid w:val="004F4070"/>
    <w:rsid w:val="004F40A9"/>
    <w:rsid w:val="004F40DA"/>
    <w:rsid w:val="004F40DB"/>
    <w:rsid w:val="004F40FC"/>
    <w:rsid w:val="004F414B"/>
    <w:rsid w:val="004F4169"/>
    <w:rsid w:val="004F4292"/>
    <w:rsid w:val="004F4381"/>
    <w:rsid w:val="004F439F"/>
    <w:rsid w:val="004F43CF"/>
    <w:rsid w:val="004F43F7"/>
    <w:rsid w:val="004F4411"/>
    <w:rsid w:val="004F4429"/>
    <w:rsid w:val="004F4446"/>
    <w:rsid w:val="004F4479"/>
    <w:rsid w:val="004F4510"/>
    <w:rsid w:val="004F4569"/>
    <w:rsid w:val="004F456B"/>
    <w:rsid w:val="004F457B"/>
    <w:rsid w:val="004F458A"/>
    <w:rsid w:val="004F4615"/>
    <w:rsid w:val="004F462F"/>
    <w:rsid w:val="004F4668"/>
    <w:rsid w:val="004F46E0"/>
    <w:rsid w:val="004F4758"/>
    <w:rsid w:val="004F4790"/>
    <w:rsid w:val="004F47C1"/>
    <w:rsid w:val="004F47EA"/>
    <w:rsid w:val="004F47FA"/>
    <w:rsid w:val="004F4835"/>
    <w:rsid w:val="004F4838"/>
    <w:rsid w:val="004F4866"/>
    <w:rsid w:val="004F493A"/>
    <w:rsid w:val="004F4959"/>
    <w:rsid w:val="004F498E"/>
    <w:rsid w:val="004F49B4"/>
    <w:rsid w:val="004F49E3"/>
    <w:rsid w:val="004F4ADF"/>
    <w:rsid w:val="004F4BCA"/>
    <w:rsid w:val="004F4BFB"/>
    <w:rsid w:val="004F4C9E"/>
    <w:rsid w:val="004F4CBB"/>
    <w:rsid w:val="004F4CDD"/>
    <w:rsid w:val="004F4D10"/>
    <w:rsid w:val="004F4DAD"/>
    <w:rsid w:val="004F4DF8"/>
    <w:rsid w:val="004F4E15"/>
    <w:rsid w:val="004F4E28"/>
    <w:rsid w:val="004F4EE5"/>
    <w:rsid w:val="004F4F2E"/>
    <w:rsid w:val="004F4F4F"/>
    <w:rsid w:val="004F4FDB"/>
    <w:rsid w:val="004F501E"/>
    <w:rsid w:val="004F5114"/>
    <w:rsid w:val="004F5132"/>
    <w:rsid w:val="004F5134"/>
    <w:rsid w:val="004F5157"/>
    <w:rsid w:val="004F5183"/>
    <w:rsid w:val="004F51E5"/>
    <w:rsid w:val="004F51F4"/>
    <w:rsid w:val="004F5207"/>
    <w:rsid w:val="004F521B"/>
    <w:rsid w:val="004F5261"/>
    <w:rsid w:val="004F5262"/>
    <w:rsid w:val="004F529F"/>
    <w:rsid w:val="004F52A0"/>
    <w:rsid w:val="004F5348"/>
    <w:rsid w:val="004F5371"/>
    <w:rsid w:val="004F53A5"/>
    <w:rsid w:val="004F53A9"/>
    <w:rsid w:val="004F5419"/>
    <w:rsid w:val="004F54FA"/>
    <w:rsid w:val="004F550F"/>
    <w:rsid w:val="004F554A"/>
    <w:rsid w:val="004F55B4"/>
    <w:rsid w:val="004F55FC"/>
    <w:rsid w:val="004F573A"/>
    <w:rsid w:val="004F57E3"/>
    <w:rsid w:val="004F588E"/>
    <w:rsid w:val="004F58ED"/>
    <w:rsid w:val="004F591D"/>
    <w:rsid w:val="004F591E"/>
    <w:rsid w:val="004F5931"/>
    <w:rsid w:val="004F59A9"/>
    <w:rsid w:val="004F59B7"/>
    <w:rsid w:val="004F59C2"/>
    <w:rsid w:val="004F59C5"/>
    <w:rsid w:val="004F59E2"/>
    <w:rsid w:val="004F59F6"/>
    <w:rsid w:val="004F5A0C"/>
    <w:rsid w:val="004F5A35"/>
    <w:rsid w:val="004F5A4C"/>
    <w:rsid w:val="004F5A5E"/>
    <w:rsid w:val="004F5A70"/>
    <w:rsid w:val="004F5AF5"/>
    <w:rsid w:val="004F5B07"/>
    <w:rsid w:val="004F5B2B"/>
    <w:rsid w:val="004F5B88"/>
    <w:rsid w:val="004F5BB3"/>
    <w:rsid w:val="004F5BDA"/>
    <w:rsid w:val="004F5C1A"/>
    <w:rsid w:val="004F5C48"/>
    <w:rsid w:val="004F5C6C"/>
    <w:rsid w:val="004F5C87"/>
    <w:rsid w:val="004F5D72"/>
    <w:rsid w:val="004F5E01"/>
    <w:rsid w:val="004F5E4B"/>
    <w:rsid w:val="004F5EC0"/>
    <w:rsid w:val="004F5ED5"/>
    <w:rsid w:val="004F5F2C"/>
    <w:rsid w:val="004F5F45"/>
    <w:rsid w:val="004F5F6B"/>
    <w:rsid w:val="004F5F94"/>
    <w:rsid w:val="004F5FA1"/>
    <w:rsid w:val="004F5FB8"/>
    <w:rsid w:val="004F5FD3"/>
    <w:rsid w:val="004F5FD5"/>
    <w:rsid w:val="004F5FD8"/>
    <w:rsid w:val="004F5FF6"/>
    <w:rsid w:val="004F6012"/>
    <w:rsid w:val="004F6051"/>
    <w:rsid w:val="004F6066"/>
    <w:rsid w:val="004F6079"/>
    <w:rsid w:val="004F6115"/>
    <w:rsid w:val="004F612E"/>
    <w:rsid w:val="004F6137"/>
    <w:rsid w:val="004F614F"/>
    <w:rsid w:val="004F621F"/>
    <w:rsid w:val="004F6279"/>
    <w:rsid w:val="004F629A"/>
    <w:rsid w:val="004F629D"/>
    <w:rsid w:val="004F62EB"/>
    <w:rsid w:val="004F6331"/>
    <w:rsid w:val="004F635A"/>
    <w:rsid w:val="004F6362"/>
    <w:rsid w:val="004F63A7"/>
    <w:rsid w:val="004F640B"/>
    <w:rsid w:val="004F64EC"/>
    <w:rsid w:val="004F6524"/>
    <w:rsid w:val="004F653B"/>
    <w:rsid w:val="004F65A4"/>
    <w:rsid w:val="004F65E0"/>
    <w:rsid w:val="004F65F8"/>
    <w:rsid w:val="004F6608"/>
    <w:rsid w:val="004F6707"/>
    <w:rsid w:val="004F6736"/>
    <w:rsid w:val="004F67C3"/>
    <w:rsid w:val="004F6813"/>
    <w:rsid w:val="004F686B"/>
    <w:rsid w:val="004F686F"/>
    <w:rsid w:val="004F6872"/>
    <w:rsid w:val="004F68D2"/>
    <w:rsid w:val="004F6948"/>
    <w:rsid w:val="004F69B4"/>
    <w:rsid w:val="004F6A23"/>
    <w:rsid w:val="004F6A3C"/>
    <w:rsid w:val="004F6A48"/>
    <w:rsid w:val="004F6A77"/>
    <w:rsid w:val="004F6AA6"/>
    <w:rsid w:val="004F6AA9"/>
    <w:rsid w:val="004F6AC2"/>
    <w:rsid w:val="004F6B2B"/>
    <w:rsid w:val="004F6B4F"/>
    <w:rsid w:val="004F6B61"/>
    <w:rsid w:val="004F6C23"/>
    <w:rsid w:val="004F6C28"/>
    <w:rsid w:val="004F6C60"/>
    <w:rsid w:val="004F6C7C"/>
    <w:rsid w:val="004F6C81"/>
    <w:rsid w:val="004F6C94"/>
    <w:rsid w:val="004F6D07"/>
    <w:rsid w:val="004F6D56"/>
    <w:rsid w:val="004F6DE8"/>
    <w:rsid w:val="004F6E18"/>
    <w:rsid w:val="004F6E89"/>
    <w:rsid w:val="004F6ECA"/>
    <w:rsid w:val="004F6F3A"/>
    <w:rsid w:val="004F6F9E"/>
    <w:rsid w:val="004F704F"/>
    <w:rsid w:val="004F7120"/>
    <w:rsid w:val="004F71AA"/>
    <w:rsid w:val="004F71D5"/>
    <w:rsid w:val="004F71F8"/>
    <w:rsid w:val="004F724F"/>
    <w:rsid w:val="004F7251"/>
    <w:rsid w:val="004F726C"/>
    <w:rsid w:val="004F7358"/>
    <w:rsid w:val="004F7443"/>
    <w:rsid w:val="004F7463"/>
    <w:rsid w:val="004F7575"/>
    <w:rsid w:val="004F75AF"/>
    <w:rsid w:val="004F760C"/>
    <w:rsid w:val="004F766C"/>
    <w:rsid w:val="004F76EB"/>
    <w:rsid w:val="004F76EE"/>
    <w:rsid w:val="004F76FA"/>
    <w:rsid w:val="004F77EA"/>
    <w:rsid w:val="004F780C"/>
    <w:rsid w:val="004F7829"/>
    <w:rsid w:val="004F7855"/>
    <w:rsid w:val="004F7857"/>
    <w:rsid w:val="004F786B"/>
    <w:rsid w:val="004F786F"/>
    <w:rsid w:val="004F7876"/>
    <w:rsid w:val="004F7931"/>
    <w:rsid w:val="004F796E"/>
    <w:rsid w:val="004F79CF"/>
    <w:rsid w:val="004F7A42"/>
    <w:rsid w:val="004F7A5C"/>
    <w:rsid w:val="004F7B5A"/>
    <w:rsid w:val="004F7B74"/>
    <w:rsid w:val="004F7BB2"/>
    <w:rsid w:val="004F7BED"/>
    <w:rsid w:val="004F7C03"/>
    <w:rsid w:val="004F7C64"/>
    <w:rsid w:val="004F7C6C"/>
    <w:rsid w:val="004F7CFE"/>
    <w:rsid w:val="004F7D16"/>
    <w:rsid w:val="004F7DA3"/>
    <w:rsid w:val="004F7DF9"/>
    <w:rsid w:val="004F7E2E"/>
    <w:rsid w:val="004F7E80"/>
    <w:rsid w:val="004F7E8C"/>
    <w:rsid w:val="004F7F12"/>
    <w:rsid w:val="004F7F4A"/>
    <w:rsid w:val="004F7F79"/>
    <w:rsid w:val="004F7FAC"/>
    <w:rsid w:val="004F7FF3"/>
    <w:rsid w:val="004FFA80"/>
    <w:rsid w:val="00500120"/>
    <w:rsid w:val="005001D9"/>
    <w:rsid w:val="005001EB"/>
    <w:rsid w:val="0050020C"/>
    <w:rsid w:val="00500234"/>
    <w:rsid w:val="005002EE"/>
    <w:rsid w:val="00500304"/>
    <w:rsid w:val="00500315"/>
    <w:rsid w:val="00500348"/>
    <w:rsid w:val="00500357"/>
    <w:rsid w:val="00500428"/>
    <w:rsid w:val="00500431"/>
    <w:rsid w:val="005004D8"/>
    <w:rsid w:val="005004F6"/>
    <w:rsid w:val="00500502"/>
    <w:rsid w:val="00500581"/>
    <w:rsid w:val="005005B4"/>
    <w:rsid w:val="005006B0"/>
    <w:rsid w:val="0050071B"/>
    <w:rsid w:val="0050071F"/>
    <w:rsid w:val="00500726"/>
    <w:rsid w:val="00500773"/>
    <w:rsid w:val="0050077A"/>
    <w:rsid w:val="005007FC"/>
    <w:rsid w:val="00500889"/>
    <w:rsid w:val="0050090D"/>
    <w:rsid w:val="00500912"/>
    <w:rsid w:val="00500947"/>
    <w:rsid w:val="005009A0"/>
    <w:rsid w:val="005009AA"/>
    <w:rsid w:val="00500A08"/>
    <w:rsid w:val="00500A17"/>
    <w:rsid w:val="00500A4F"/>
    <w:rsid w:val="00500AC0"/>
    <w:rsid w:val="00500B08"/>
    <w:rsid w:val="00500B1B"/>
    <w:rsid w:val="00500B35"/>
    <w:rsid w:val="00500B39"/>
    <w:rsid w:val="00500B93"/>
    <w:rsid w:val="00500BBF"/>
    <w:rsid w:val="00500BD1"/>
    <w:rsid w:val="00500C12"/>
    <w:rsid w:val="00500C25"/>
    <w:rsid w:val="00500C58"/>
    <w:rsid w:val="00500CA6"/>
    <w:rsid w:val="00500CBE"/>
    <w:rsid w:val="00500CC7"/>
    <w:rsid w:val="00500D42"/>
    <w:rsid w:val="00500D6A"/>
    <w:rsid w:val="00500D71"/>
    <w:rsid w:val="00500D93"/>
    <w:rsid w:val="00500DAD"/>
    <w:rsid w:val="00500DB6"/>
    <w:rsid w:val="00500DE5"/>
    <w:rsid w:val="00500DE7"/>
    <w:rsid w:val="00500E09"/>
    <w:rsid w:val="00500E7F"/>
    <w:rsid w:val="00500F14"/>
    <w:rsid w:val="00500F24"/>
    <w:rsid w:val="00500F43"/>
    <w:rsid w:val="00500F58"/>
    <w:rsid w:val="00500F95"/>
    <w:rsid w:val="00500FC5"/>
    <w:rsid w:val="00501066"/>
    <w:rsid w:val="00501073"/>
    <w:rsid w:val="0050108E"/>
    <w:rsid w:val="00501097"/>
    <w:rsid w:val="0050110D"/>
    <w:rsid w:val="00501120"/>
    <w:rsid w:val="00501126"/>
    <w:rsid w:val="00501127"/>
    <w:rsid w:val="00501133"/>
    <w:rsid w:val="00501142"/>
    <w:rsid w:val="0050118C"/>
    <w:rsid w:val="0050119F"/>
    <w:rsid w:val="0050120C"/>
    <w:rsid w:val="00501258"/>
    <w:rsid w:val="00501294"/>
    <w:rsid w:val="005012C3"/>
    <w:rsid w:val="005012CB"/>
    <w:rsid w:val="005012CF"/>
    <w:rsid w:val="0050130A"/>
    <w:rsid w:val="00501315"/>
    <w:rsid w:val="00501324"/>
    <w:rsid w:val="005013BB"/>
    <w:rsid w:val="005013CC"/>
    <w:rsid w:val="0050141F"/>
    <w:rsid w:val="005014A5"/>
    <w:rsid w:val="00501572"/>
    <w:rsid w:val="00501602"/>
    <w:rsid w:val="00501619"/>
    <w:rsid w:val="00501668"/>
    <w:rsid w:val="00501692"/>
    <w:rsid w:val="0050169F"/>
    <w:rsid w:val="005016B7"/>
    <w:rsid w:val="0050171E"/>
    <w:rsid w:val="0050173A"/>
    <w:rsid w:val="005017DA"/>
    <w:rsid w:val="0050185E"/>
    <w:rsid w:val="005018A4"/>
    <w:rsid w:val="0050192D"/>
    <w:rsid w:val="00501980"/>
    <w:rsid w:val="0050199F"/>
    <w:rsid w:val="005019CD"/>
    <w:rsid w:val="005019E0"/>
    <w:rsid w:val="00501A23"/>
    <w:rsid w:val="00501A37"/>
    <w:rsid w:val="00501A5A"/>
    <w:rsid w:val="00501AB5"/>
    <w:rsid w:val="00501BD6"/>
    <w:rsid w:val="00501C01"/>
    <w:rsid w:val="00501C0C"/>
    <w:rsid w:val="00501C1B"/>
    <w:rsid w:val="00501C3E"/>
    <w:rsid w:val="00501CBB"/>
    <w:rsid w:val="00501CDD"/>
    <w:rsid w:val="00501D51"/>
    <w:rsid w:val="00501DD2"/>
    <w:rsid w:val="00501E37"/>
    <w:rsid w:val="00501E8E"/>
    <w:rsid w:val="00501E9E"/>
    <w:rsid w:val="00501EA5"/>
    <w:rsid w:val="00501EFF"/>
    <w:rsid w:val="00501F16"/>
    <w:rsid w:val="00501F7E"/>
    <w:rsid w:val="00501F95"/>
    <w:rsid w:val="00502049"/>
    <w:rsid w:val="0050204D"/>
    <w:rsid w:val="00502053"/>
    <w:rsid w:val="005020A0"/>
    <w:rsid w:val="005020BB"/>
    <w:rsid w:val="005021B3"/>
    <w:rsid w:val="005021DB"/>
    <w:rsid w:val="005021E9"/>
    <w:rsid w:val="005021F4"/>
    <w:rsid w:val="0050221C"/>
    <w:rsid w:val="00502222"/>
    <w:rsid w:val="0050235D"/>
    <w:rsid w:val="00502363"/>
    <w:rsid w:val="0050238A"/>
    <w:rsid w:val="0050241B"/>
    <w:rsid w:val="0050243F"/>
    <w:rsid w:val="00502489"/>
    <w:rsid w:val="005024BE"/>
    <w:rsid w:val="005024FD"/>
    <w:rsid w:val="00502531"/>
    <w:rsid w:val="00502560"/>
    <w:rsid w:val="00502579"/>
    <w:rsid w:val="005025B8"/>
    <w:rsid w:val="00502604"/>
    <w:rsid w:val="00502613"/>
    <w:rsid w:val="0050263A"/>
    <w:rsid w:val="00502665"/>
    <w:rsid w:val="00502667"/>
    <w:rsid w:val="00502677"/>
    <w:rsid w:val="00502683"/>
    <w:rsid w:val="005026A2"/>
    <w:rsid w:val="005026DB"/>
    <w:rsid w:val="00502704"/>
    <w:rsid w:val="00502722"/>
    <w:rsid w:val="005027B5"/>
    <w:rsid w:val="005027CE"/>
    <w:rsid w:val="005027EC"/>
    <w:rsid w:val="00502815"/>
    <w:rsid w:val="0050283D"/>
    <w:rsid w:val="00502860"/>
    <w:rsid w:val="00502878"/>
    <w:rsid w:val="005028AA"/>
    <w:rsid w:val="005028B7"/>
    <w:rsid w:val="005028CB"/>
    <w:rsid w:val="0050290B"/>
    <w:rsid w:val="0050291F"/>
    <w:rsid w:val="00502A70"/>
    <w:rsid w:val="00502A79"/>
    <w:rsid w:val="00502AA0"/>
    <w:rsid w:val="00502AEC"/>
    <w:rsid w:val="00502B11"/>
    <w:rsid w:val="00502B21"/>
    <w:rsid w:val="00502B40"/>
    <w:rsid w:val="00502B41"/>
    <w:rsid w:val="00502BDB"/>
    <w:rsid w:val="00502C3F"/>
    <w:rsid w:val="00502C8A"/>
    <w:rsid w:val="00502CC1"/>
    <w:rsid w:val="00502D5B"/>
    <w:rsid w:val="00502DA8"/>
    <w:rsid w:val="00502DE6"/>
    <w:rsid w:val="00502EB1"/>
    <w:rsid w:val="00502EE4"/>
    <w:rsid w:val="0050300A"/>
    <w:rsid w:val="00503026"/>
    <w:rsid w:val="00503044"/>
    <w:rsid w:val="00503057"/>
    <w:rsid w:val="005030B5"/>
    <w:rsid w:val="005030C6"/>
    <w:rsid w:val="00503126"/>
    <w:rsid w:val="00503149"/>
    <w:rsid w:val="00503156"/>
    <w:rsid w:val="00503164"/>
    <w:rsid w:val="005031C5"/>
    <w:rsid w:val="005031CB"/>
    <w:rsid w:val="00503224"/>
    <w:rsid w:val="00503231"/>
    <w:rsid w:val="0050324F"/>
    <w:rsid w:val="005032FB"/>
    <w:rsid w:val="00503310"/>
    <w:rsid w:val="00503328"/>
    <w:rsid w:val="00503396"/>
    <w:rsid w:val="005033F7"/>
    <w:rsid w:val="00503410"/>
    <w:rsid w:val="00503463"/>
    <w:rsid w:val="005034B3"/>
    <w:rsid w:val="0050354C"/>
    <w:rsid w:val="005035EE"/>
    <w:rsid w:val="00503621"/>
    <w:rsid w:val="00503625"/>
    <w:rsid w:val="0050362F"/>
    <w:rsid w:val="00503671"/>
    <w:rsid w:val="00503721"/>
    <w:rsid w:val="00503792"/>
    <w:rsid w:val="005037B3"/>
    <w:rsid w:val="0050383C"/>
    <w:rsid w:val="00503841"/>
    <w:rsid w:val="00503848"/>
    <w:rsid w:val="00503863"/>
    <w:rsid w:val="00503889"/>
    <w:rsid w:val="005038BE"/>
    <w:rsid w:val="005038CF"/>
    <w:rsid w:val="00503904"/>
    <w:rsid w:val="00503950"/>
    <w:rsid w:val="00503A1B"/>
    <w:rsid w:val="00503A8B"/>
    <w:rsid w:val="00503A8D"/>
    <w:rsid w:val="00503AA8"/>
    <w:rsid w:val="00503B0D"/>
    <w:rsid w:val="00503C0D"/>
    <w:rsid w:val="00503C4C"/>
    <w:rsid w:val="00503CBD"/>
    <w:rsid w:val="00503CD6"/>
    <w:rsid w:val="00503CEA"/>
    <w:rsid w:val="00503D12"/>
    <w:rsid w:val="00503D49"/>
    <w:rsid w:val="00503D53"/>
    <w:rsid w:val="00503E20"/>
    <w:rsid w:val="00503E3F"/>
    <w:rsid w:val="00503EEC"/>
    <w:rsid w:val="00503F37"/>
    <w:rsid w:val="00504004"/>
    <w:rsid w:val="0050403F"/>
    <w:rsid w:val="00504044"/>
    <w:rsid w:val="00504091"/>
    <w:rsid w:val="005040EC"/>
    <w:rsid w:val="0050411B"/>
    <w:rsid w:val="005041A3"/>
    <w:rsid w:val="005041CA"/>
    <w:rsid w:val="005041ED"/>
    <w:rsid w:val="00504222"/>
    <w:rsid w:val="00504236"/>
    <w:rsid w:val="00504268"/>
    <w:rsid w:val="005042E5"/>
    <w:rsid w:val="005042F3"/>
    <w:rsid w:val="0050432E"/>
    <w:rsid w:val="00504394"/>
    <w:rsid w:val="005043A1"/>
    <w:rsid w:val="0050444F"/>
    <w:rsid w:val="005044A4"/>
    <w:rsid w:val="005044F8"/>
    <w:rsid w:val="00504581"/>
    <w:rsid w:val="00504639"/>
    <w:rsid w:val="00504705"/>
    <w:rsid w:val="0050479D"/>
    <w:rsid w:val="005047B2"/>
    <w:rsid w:val="005047C1"/>
    <w:rsid w:val="00504865"/>
    <w:rsid w:val="00504870"/>
    <w:rsid w:val="0050487A"/>
    <w:rsid w:val="00504896"/>
    <w:rsid w:val="005049AE"/>
    <w:rsid w:val="005049BD"/>
    <w:rsid w:val="00504A2F"/>
    <w:rsid w:val="00504A87"/>
    <w:rsid w:val="00504AAB"/>
    <w:rsid w:val="00504AC5"/>
    <w:rsid w:val="00504ADC"/>
    <w:rsid w:val="00504AED"/>
    <w:rsid w:val="00504B49"/>
    <w:rsid w:val="00504B59"/>
    <w:rsid w:val="00504B5C"/>
    <w:rsid w:val="00504B5D"/>
    <w:rsid w:val="00504B70"/>
    <w:rsid w:val="00504B83"/>
    <w:rsid w:val="00504C13"/>
    <w:rsid w:val="00504D79"/>
    <w:rsid w:val="00504DBB"/>
    <w:rsid w:val="00504DC6"/>
    <w:rsid w:val="00504DE9"/>
    <w:rsid w:val="00504EA4"/>
    <w:rsid w:val="00504EAE"/>
    <w:rsid w:val="00504EC3"/>
    <w:rsid w:val="00504ED9"/>
    <w:rsid w:val="00504F45"/>
    <w:rsid w:val="00504F66"/>
    <w:rsid w:val="00504F78"/>
    <w:rsid w:val="00504F8F"/>
    <w:rsid w:val="00505031"/>
    <w:rsid w:val="005050CA"/>
    <w:rsid w:val="005050F7"/>
    <w:rsid w:val="00505158"/>
    <w:rsid w:val="005051FC"/>
    <w:rsid w:val="00505206"/>
    <w:rsid w:val="00505210"/>
    <w:rsid w:val="0050521C"/>
    <w:rsid w:val="00505227"/>
    <w:rsid w:val="005052D0"/>
    <w:rsid w:val="0050531D"/>
    <w:rsid w:val="0050531E"/>
    <w:rsid w:val="0050532C"/>
    <w:rsid w:val="0050533B"/>
    <w:rsid w:val="0050534C"/>
    <w:rsid w:val="0050536A"/>
    <w:rsid w:val="005053AB"/>
    <w:rsid w:val="005053B4"/>
    <w:rsid w:val="00505414"/>
    <w:rsid w:val="0050546D"/>
    <w:rsid w:val="00505505"/>
    <w:rsid w:val="00505522"/>
    <w:rsid w:val="005055AF"/>
    <w:rsid w:val="005055C8"/>
    <w:rsid w:val="0050567A"/>
    <w:rsid w:val="005056E2"/>
    <w:rsid w:val="00505720"/>
    <w:rsid w:val="00505754"/>
    <w:rsid w:val="00505807"/>
    <w:rsid w:val="005058C1"/>
    <w:rsid w:val="005058F1"/>
    <w:rsid w:val="00505976"/>
    <w:rsid w:val="00505985"/>
    <w:rsid w:val="005059FC"/>
    <w:rsid w:val="00505A1F"/>
    <w:rsid w:val="00505A54"/>
    <w:rsid w:val="00505AAB"/>
    <w:rsid w:val="00505ABD"/>
    <w:rsid w:val="00505AC4"/>
    <w:rsid w:val="00505B12"/>
    <w:rsid w:val="00505B5E"/>
    <w:rsid w:val="00505BFD"/>
    <w:rsid w:val="00505C15"/>
    <w:rsid w:val="00505C6E"/>
    <w:rsid w:val="00505C75"/>
    <w:rsid w:val="00505C94"/>
    <w:rsid w:val="00505CE4"/>
    <w:rsid w:val="00505D2A"/>
    <w:rsid w:val="00505D44"/>
    <w:rsid w:val="00505D91"/>
    <w:rsid w:val="00505DB2"/>
    <w:rsid w:val="00505EA2"/>
    <w:rsid w:val="00505ED8"/>
    <w:rsid w:val="00505EF0"/>
    <w:rsid w:val="00505EF7"/>
    <w:rsid w:val="00505F74"/>
    <w:rsid w:val="00505F7E"/>
    <w:rsid w:val="00505FB9"/>
    <w:rsid w:val="00505FEE"/>
    <w:rsid w:val="00506084"/>
    <w:rsid w:val="0050608E"/>
    <w:rsid w:val="0050609B"/>
    <w:rsid w:val="005060A1"/>
    <w:rsid w:val="005060E9"/>
    <w:rsid w:val="005060FF"/>
    <w:rsid w:val="005061B2"/>
    <w:rsid w:val="005061CB"/>
    <w:rsid w:val="005061EF"/>
    <w:rsid w:val="00506200"/>
    <w:rsid w:val="0050625D"/>
    <w:rsid w:val="00506270"/>
    <w:rsid w:val="005062A7"/>
    <w:rsid w:val="005062B6"/>
    <w:rsid w:val="005062C5"/>
    <w:rsid w:val="00506334"/>
    <w:rsid w:val="0050633A"/>
    <w:rsid w:val="005063E6"/>
    <w:rsid w:val="0050645D"/>
    <w:rsid w:val="0050647B"/>
    <w:rsid w:val="00506547"/>
    <w:rsid w:val="005065EB"/>
    <w:rsid w:val="005065F5"/>
    <w:rsid w:val="00506656"/>
    <w:rsid w:val="0050668D"/>
    <w:rsid w:val="005066DF"/>
    <w:rsid w:val="005067A9"/>
    <w:rsid w:val="005067BA"/>
    <w:rsid w:val="005067E4"/>
    <w:rsid w:val="005067FD"/>
    <w:rsid w:val="0050682A"/>
    <w:rsid w:val="0050682B"/>
    <w:rsid w:val="00506889"/>
    <w:rsid w:val="005068D9"/>
    <w:rsid w:val="00506980"/>
    <w:rsid w:val="00506999"/>
    <w:rsid w:val="005069B5"/>
    <w:rsid w:val="00506A67"/>
    <w:rsid w:val="00506B57"/>
    <w:rsid w:val="00506B62"/>
    <w:rsid w:val="00506B7E"/>
    <w:rsid w:val="00506C4A"/>
    <w:rsid w:val="00506C67"/>
    <w:rsid w:val="00506C6D"/>
    <w:rsid w:val="00506CE3"/>
    <w:rsid w:val="00506D05"/>
    <w:rsid w:val="00506D33"/>
    <w:rsid w:val="00506D69"/>
    <w:rsid w:val="00506D76"/>
    <w:rsid w:val="00506DF3"/>
    <w:rsid w:val="00506E5F"/>
    <w:rsid w:val="00506EDC"/>
    <w:rsid w:val="00506EF7"/>
    <w:rsid w:val="00506EFE"/>
    <w:rsid w:val="00506F60"/>
    <w:rsid w:val="00506F96"/>
    <w:rsid w:val="00507008"/>
    <w:rsid w:val="0050706A"/>
    <w:rsid w:val="00507083"/>
    <w:rsid w:val="005070A1"/>
    <w:rsid w:val="005070B2"/>
    <w:rsid w:val="005070C2"/>
    <w:rsid w:val="005070C6"/>
    <w:rsid w:val="005070F3"/>
    <w:rsid w:val="00507114"/>
    <w:rsid w:val="00507117"/>
    <w:rsid w:val="0050711E"/>
    <w:rsid w:val="00507151"/>
    <w:rsid w:val="00507156"/>
    <w:rsid w:val="005071C8"/>
    <w:rsid w:val="005071DB"/>
    <w:rsid w:val="005071DF"/>
    <w:rsid w:val="00507216"/>
    <w:rsid w:val="0050722F"/>
    <w:rsid w:val="00507235"/>
    <w:rsid w:val="005072A8"/>
    <w:rsid w:val="005072B8"/>
    <w:rsid w:val="005072C9"/>
    <w:rsid w:val="005072DE"/>
    <w:rsid w:val="005072E1"/>
    <w:rsid w:val="005072FD"/>
    <w:rsid w:val="0050731D"/>
    <w:rsid w:val="0050731E"/>
    <w:rsid w:val="0050732D"/>
    <w:rsid w:val="00507384"/>
    <w:rsid w:val="005073AA"/>
    <w:rsid w:val="005073CF"/>
    <w:rsid w:val="00507445"/>
    <w:rsid w:val="005074B3"/>
    <w:rsid w:val="00507534"/>
    <w:rsid w:val="0050754C"/>
    <w:rsid w:val="005075DD"/>
    <w:rsid w:val="005075FA"/>
    <w:rsid w:val="00507646"/>
    <w:rsid w:val="0050765B"/>
    <w:rsid w:val="0050768C"/>
    <w:rsid w:val="005076F0"/>
    <w:rsid w:val="00507722"/>
    <w:rsid w:val="00507728"/>
    <w:rsid w:val="00507760"/>
    <w:rsid w:val="00507771"/>
    <w:rsid w:val="0050778B"/>
    <w:rsid w:val="0050779D"/>
    <w:rsid w:val="0050779F"/>
    <w:rsid w:val="005077A7"/>
    <w:rsid w:val="00507853"/>
    <w:rsid w:val="00507892"/>
    <w:rsid w:val="0050791D"/>
    <w:rsid w:val="00507931"/>
    <w:rsid w:val="00507942"/>
    <w:rsid w:val="00507957"/>
    <w:rsid w:val="0050798F"/>
    <w:rsid w:val="00507991"/>
    <w:rsid w:val="005079D9"/>
    <w:rsid w:val="00507AAC"/>
    <w:rsid w:val="00507B1E"/>
    <w:rsid w:val="00507BC0"/>
    <w:rsid w:val="00507BF9"/>
    <w:rsid w:val="00507C36"/>
    <w:rsid w:val="00507C4B"/>
    <w:rsid w:val="00507C5A"/>
    <w:rsid w:val="00507CC7"/>
    <w:rsid w:val="00507D53"/>
    <w:rsid w:val="00507DE4"/>
    <w:rsid w:val="00507E0D"/>
    <w:rsid w:val="00507E0F"/>
    <w:rsid w:val="00507F1F"/>
    <w:rsid w:val="00507F58"/>
    <w:rsid w:val="00507FB9"/>
    <w:rsid w:val="00507FF1"/>
    <w:rsid w:val="00507FFD"/>
    <w:rsid w:val="00510009"/>
    <w:rsid w:val="00510035"/>
    <w:rsid w:val="00510043"/>
    <w:rsid w:val="00510048"/>
    <w:rsid w:val="005100B3"/>
    <w:rsid w:val="005100C6"/>
    <w:rsid w:val="005100ED"/>
    <w:rsid w:val="0051015A"/>
    <w:rsid w:val="005101E0"/>
    <w:rsid w:val="00510337"/>
    <w:rsid w:val="0051039F"/>
    <w:rsid w:val="00510401"/>
    <w:rsid w:val="00510446"/>
    <w:rsid w:val="0051044E"/>
    <w:rsid w:val="005104F0"/>
    <w:rsid w:val="005104FC"/>
    <w:rsid w:val="0051053B"/>
    <w:rsid w:val="0051055B"/>
    <w:rsid w:val="00510665"/>
    <w:rsid w:val="0051069D"/>
    <w:rsid w:val="005106A7"/>
    <w:rsid w:val="00510771"/>
    <w:rsid w:val="00510777"/>
    <w:rsid w:val="0051078D"/>
    <w:rsid w:val="00510818"/>
    <w:rsid w:val="0051084E"/>
    <w:rsid w:val="005108BD"/>
    <w:rsid w:val="005108EC"/>
    <w:rsid w:val="0051096C"/>
    <w:rsid w:val="00510977"/>
    <w:rsid w:val="005109A4"/>
    <w:rsid w:val="005109DB"/>
    <w:rsid w:val="00510AF2"/>
    <w:rsid w:val="00510BA0"/>
    <w:rsid w:val="00510BF5"/>
    <w:rsid w:val="00510C2B"/>
    <w:rsid w:val="00510C47"/>
    <w:rsid w:val="00510C99"/>
    <w:rsid w:val="00510D02"/>
    <w:rsid w:val="00510D2F"/>
    <w:rsid w:val="00510D73"/>
    <w:rsid w:val="00510D8E"/>
    <w:rsid w:val="00510DB8"/>
    <w:rsid w:val="00510DCB"/>
    <w:rsid w:val="00510DD4"/>
    <w:rsid w:val="00510E2B"/>
    <w:rsid w:val="00510EAC"/>
    <w:rsid w:val="00510EC4"/>
    <w:rsid w:val="00510F37"/>
    <w:rsid w:val="00510F5D"/>
    <w:rsid w:val="00510F6A"/>
    <w:rsid w:val="00511022"/>
    <w:rsid w:val="0051109A"/>
    <w:rsid w:val="00511121"/>
    <w:rsid w:val="0051114B"/>
    <w:rsid w:val="00511171"/>
    <w:rsid w:val="00511191"/>
    <w:rsid w:val="005111A3"/>
    <w:rsid w:val="005111A7"/>
    <w:rsid w:val="005111C2"/>
    <w:rsid w:val="005111FA"/>
    <w:rsid w:val="005112D2"/>
    <w:rsid w:val="0051130A"/>
    <w:rsid w:val="00511396"/>
    <w:rsid w:val="005113A8"/>
    <w:rsid w:val="005113EB"/>
    <w:rsid w:val="0051142F"/>
    <w:rsid w:val="0051146F"/>
    <w:rsid w:val="0051148D"/>
    <w:rsid w:val="005114C3"/>
    <w:rsid w:val="00511505"/>
    <w:rsid w:val="00511571"/>
    <w:rsid w:val="005115AF"/>
    <w:rsid w:val="005115F8"/>
    <w:rsid w:val="005115FE"/>
    <w:rsid w:val="0051162E"/>
    <w:rsid w:val="0051167E"/>
    <w:rsid w:val="005116B2"/>
    <w:rsid w:val="005117C8"/>
    <w:rsid w:val="00511800"/>
    <w:rsid w:val="0051183B"/>
    <w:rsid w:val="0051187D"/>
    <w:rsid w:val="00511911"/>
    <w:rsid w:val="0051191E"/>
    <w:rsid w:val="00511981"/>
    <w:rsid w:val="005119A6"/>
    <w:rsid w:val="005119DA"/>
    <w:rsid w:val="005119DC"/>
    <w:rsid w:val="005119F1"/>
    <w:rsid w:val="00511A14"/>
    <w:rsid w:val="00511A15"/>
    <w:rsid w:val="00511A1D"/>
    <w:rsid w:val="00511A9E"/>
    <w:rsid w:val="00511AA1"/>
    <w:rsid w:val="00511AB2"/>
    <w:rsid w:val="00511ABB"/>
    <w:rsid w:val="00511AC1"/>
    <w:rsid w:val="00511AC6"/>
    <w:rsid w:val="00511AE0"/>
    <w:rsid w:val="00511AEF"/>
    <w:rsid w:val="00511B28"/>
    <w:rsid w:val="00511B40"/>
    <w:rsid w:val="00511B5B"/>
    <w:rsid w:val="00511BD0"/>
    <w:rsid w:val="00511BFC"/>
    <w:rsid w:val="00511C51"/>
    <w:rsid w:val="00511CB4"/>
    <w:rsid w:val="00511CCB"/>
    <w:rsid w:val="00511CDB"/>
    <w:rsid w:val="00511CED"/>
    <w:rsid w:val="00511D2A"/>
    <w:rsid w:val="00511D3E"/>
    <w:rsid w:val="00511D60"/>
    <w:rsid w:val="00511D83"/>
    <w:rsid w:val="00511DA3"/>
    <w:rsid w:val="00511DA9"/>
    <w:rsid w:val="00511E61"/>
    <w:rsid w:val="00511EAA"/>
    <w:rsid w:val="00511EB3"/>
    <w:rsid w:val="00511EE5"/>
    <w:rsid w:val="00511FD3"/>
    <w:rsid w:val="00511FED"/>
    <w:rsid w:val="00512022"/>
    <w:rsid w:val="00512024"/>
    <w:rsid w:val="00512071"/>
    <w:rsid w:val="005120CE"/>
    <w:rsid w:val="00512170"/>
    <w:rsid w:val="005121AC"/>
    <w:rsid w:val="005121F4"/>
    <w:rsid w:val="005121F6"/>
    <w:rsid w:val="0051222A"/>
    <w:rsid w:val="00512243"/>
    <w:rsid w:val="00512274"/>
    <w:rsid w:val="005122F6"/>
    <w:rsid w:val="00512398"/>
    <w:rsid w:val="005123A2"/>
    <w:rsid w:val="005123CA"/>
    <w:rsid w:val="00512450"/>
    <w:rsid w:val="00512494"/>
    <w:rsid w:val="005124D3"/>
    <w:rsid w:val="0051258A"/>
    <w:rsid w:val="005125A1"/>
    <w:rsid w:val="005125D8"/>
    <w:rsid w:val="005125DC"/>
    <w:rsid w:val="00512630"/>
    <w:rsid w:val="00512656"/>
    <w:rsid w:val="00512658"/>
    <w:rsid w:val="00512671"/>
    <w:rsid w:val="005126B2"/>
    <w:rsid w:val="005126C7"/>
    <w:rsid w:val="005126F7"/>
    <w:rsid w:val="00512749"/>
    <w:rsid w:val="0051277E"/>
    <w:rsid w:val="00512780"/>
    <w:rsid w:val="005127AB"/>
    <w:rsid w:val="005127BD"/>
    <w:rsid w:val="005127C7"/>
    <w:rsid w:val="00512865"/>
    <w:rsid w:val="0051288C"/>
    <w:rsid w:val="00512957"/>
    <w:rsid w:val="005129A4"/>
    <w:rsid w:val="005129A8"/>
    <w:rsid w:val="00512A9F"/>
    <w:rsid w:val="00512AB5"/>
    <w:rsid w:val="00512AD4"/>
    <w:rsid w:val="00512B37"/>
    <w:rsid w:val="00512BC8"/>
    <w:rsid w:val="00512BCC"/>
    <w:rsid w:val="00512CAA"/>
    <w:rsid w:val="00512CAB"/>
    <w:rsid w:val="00512D30"/>
    <w:rsid w:val="00512E14"/>
    <w:rsid w:val="00512E1F"/>
    <w:rsid w:val="00512E20"/>
    <w:rsid w:val="00512EAA"/>
    <w:rsid w:val="00512EBD"/>
    <w:rsid w:val="00512ECC"/>
    <w:rsid w:val="00512ED2"/>
    <w:rsid w:val="00512F1A"/>
    <w:rsid w:val="00512F5E"/>
    <w:rsid w:val="00512FC4"/>
    <w:rsid w:val="00512FF8"/>
    <w:rsid w:val="00513057"/>
    <w:rsid w:val="00513066"/>
    <w:rsid w:val="00513071"/>
    <w:rsid w:val="00513091"/>
    <w:rsid w:val="00513093"/>
    <w:rsid w:val="005130C7"/>
    <w:rsid w:val="005130F4"/>
    <w:rsid w:val="00513183"/>
    <w:rsid w:val="00513187"/>
    <w:rsid w:val="00513198"/>
    <w:rsid w:val="0051319A"/>
    <w:rsid w:val="005131C3"/>
    <w:rsid w:val="005131F3"/>
    <w:rsid w:val="00513231"/>
    <w:rsid w:val="005132AD"/>
    <w:rsid w:val="005132CC"/>
    <w:rsid w:val="005132F5"/>
    <w:rsid w:val="00513368"/>
    <w:rsid w:val="0051339E"/>
    <w:rsid w:val="005133FA"/>
    <w:rsid w:val="00513562"/>
    <w:rsid w:val="0051356B"/>
    <w:rsid w:val="00513580"/>
    <w:rsid w:val="00513589"/>
    <w:rsid w:val="0051359C"/>
    <w:rsid w:val="005135BA"/>
    <w:rsid w:val="0051360F"/>
    <w:rsid w:val="0051362E"/>
    <w:rsid w:val="00513671"/>
    <w:rsid w:val="005136F8"/>
    <w:rsid w:val="0051370F"/>
    <w:rsid w:val="00513759"/>
    <w:rsid w:val="0051375B"/>
    <w:rsid w:val="005137C3"/>
    <w:rsid w:val="00513878"/>
    <w:rsid w:val="0051390D"/>
    <w:rsid w:val="0051392F"/>
    <w:rsid w:val="0051394B"/>
    <w:rsid w:val="005139AD"/>
    <w:rsid w:val="005139D3"/>
    <w:rsid w:val="00513A54"/>
    <w:rsid w:val="00513AB3"/>
    <w:rsid w:val="00513ACC"/>
    <w:rsid w:val="00513AF7"/>
    <w:rsid w:val="00513B1F"/>
    <w:rsid w:val="00513B4D"/>
    <w:rsid w:val="00513BC1"/>
    <w:rsid w:val="00513BC5"/>
    <w:rsid w:val="00513BD4"/>
    <w:rsid w:val="00513C22"/>
    <w:rsid w:val="00513C71"/>
    <w:rsid w:val="00513C83"/>
    <w:rsid w:val="00513CF6"/>
    <w:rsid w:val="00513CFC"/>
    <w:rsid w:val="00513D69"/>
    <w:rsid w:val="00513D8C"/>
    <w:rsid w:val="00513E10"/>
    <w:rsid w:val="00513E1A"/>
    <w:rsid w:val="00513E25"/>
    <w:rsid w:val="00513E8E"/>
    <w:rsid w:val="00513EFA"/>
    <w:rsid w:val="00513F1F"/>
    <w:rsid w:val="00513F8B"/>
    <w:rsid w:val="00513FD9"/>
    <w:rsid w:val="0051400C"/>
    <w:rsid w:val="005140DE"/>
    <w:rsid w:val="00514114"/>
    <w:rsid w:val="0051411E"/>
    <w:rsid w:val="00514128"/>
    <w:rsid w:val="00514189"/>
    <w:rsid w:val="00514215"/>
    <w:rsid w:val="00514216"/>
    <w:rsid w:val="0051424F"/>
    <w:rsid w:val="0051426A"/>
    <w:rsid w:val="0051429C"/>
    <w:rsid w:val="0051434F"/>
    <w:rsid w:val="005143AB"/>
    <w:rsid w:val="005143B7"/>
    <w:rsid w:val="005143C6"/>
    <w:rsid w:val="005143EA"/>
    <w:rsid w:val="00514400"/>
    <w:rsid w:val="00514407"/>
    <w:rsid w:val="0051452A"/>
    <w:rsid w:val="005145E6"/>
    <w:rsid w:val="0051468B"/>
    <w:rsid w:val="005146A0"/>
    <w:rsid w:val="005146AB"/>
    <w:rsid w:val="00514733"/>
    <w:rsid w:val="00514736"/>
    <w:rsid w:val="00514741"/>
    <w:rsid w:val="00514767"/>
    <w:rsid w:val="0051482F"/>
    <w:rsid w:val="0051483B"/>
    <w:rsid w:val="0051483E"/>
    <w:rsid w:val="00514843"/>
    <w:rsid w:val="00514878"/>
    <w:rsid w:val="0051487B"/>
    <w:rsid w:val="005148B1"/>
    <w:rsid w:val="005148D9"/>
    <w:rsid w:val="005148F0"/>
    <w:rsid w:val="005148F9"/>
    <w:rsid w:val="00514901"/>
    <w:rsid w:val="0051498F"/>
    <w:rsid w:val="005149A3"/>
    <w:rsid w:val="005149AC"/>
    <w:rsid w:val="00514A22"/>
    <w:rsid w:val="00514AD0"/>
    <w:rsid w:val="00514AE9"/>
    <w:rsid w:val="00514AF2"/>
    <w:rsid w:val="00514BE6"/>
    <w:rsid w:val="00514BFC"/>
    <w:rsid w:val="00514C13"/>
    <w:rsid w:val="00514C6F"/>
    <w:rsid w:val="00514D04"/>
    <w:rsid w:val="00514D56"/>
    <w:rsid w:val="00514DB7"/>
    <w:rsid w:val="00514E10"/>
    <w:rsid w:val="00514EA4"/>
    <w:rsid w:val="00514EEC"/>
    <w:rsid w:val="00514EEE"/>
    <w:rsid w:val="00514F0C"/>
    <w:rsid w:val="00514F18"/>
    <w:rsid w:val="00514F32"/>
    <w:rsid w:val="00514F4E"/>
    <w:rsid w:val="00514FB1"/>
    <w:rsid w:val="00515003"/>
    <w:rsid w:val="0051501D"/>
    <w:rsid w:val="0051507D"/>
    <w:rsid w:val="005150D7"/>
    <w:rsid w:val="005150E3"/>
    <w:rsid w:val="005150FB"/>
    <w:rsid w:val="00515109"/>
    <w:rsid w:val="00515185"/>
    <w:rsid w:val="0051523D"/>
    <w:rsid w:val="005152A2"/>
    <w:rsid w:val="005152B8"/>
    <w:rsid w:val="005152FB"/>
    <w:rsid w:val="00515353"/>
    <w:rsid w:val="0051538C"/>
    <w:rsid w:val="005153DF"/>
    <w:rsid w:val="0051546C"/>
    <w:rsid w:val="005154A0"/>
    <w:rsid w:val="005155AC"/>
    <w:rsid w:val="005155F8"/>
    <w:rsid w:val="005155FE"/>
    <w:rsid w:val="0051567D"/>
    <w:rsid w:val="005156F0"/>
    <w:rsid w:val="005156F2"/>
    <w:rsid w:val="0051571A"/>
    <w:rsid w:val="005157A4"/>
    <w:rsid w:val="005157AC"/>
    <w:rsid w:val="005157D1"/>
    <w:rsid w:val="005157DE"/>
    <w:rsid w:val="005157E5"/>
    <w:rsid w:val="0051580B"/>
    <w:rsid w:val="00515823"/>
    <w:rsid w:val="00515836"/>
    <w:rsid w:val="005158B6"/>
    <w:rsid w:val="005158D1"/>
    <w:rsid w:val="0051592D"/>
    <w:rsid w:val="0051594C"/>
    <w:rsid w:val="00515956"/>
    <w:rsid w:val="00515971"/>
    <w:rsid w:val="005159D1"/>
    <w:rsid w:val="005159D3"/>
    <w:rsid w:val="005159F2"/>
    <w:rsid w:val="00515A09"/>
    <w:rsid w:val="00515A2C"/>
    <w:rsid w:val="00515A58"/>
    <w:rsid w:val="00515A89"/>
    <w:rsid w:val="00515BB9"/>
    <w:rsid w:val="00515C36"/>
    <w:rsid w:val="00515D23"/>
    <w:rsid w:val="00515D3D"/>
    <w:rsid w:val="00515D5F"/>
    <w:rsid w:val="00515E11"/>
    <w:rsid w:val="00515E4D"/>
    <w:rsid w:val="00515E87"/>
    <w:rsid w:val="00515FB6"/>
    <w:rsid w:val="00515FE3"/>
    <w:rsid w:val="00515FE8"/>
    <w:rsid w:val="0051604E"/>
    <w:rsid w:val="00516081"/>
    <w:rsid w:val="005160D0"/>
    <w:rsid w:val="005160EB"/>
    <w:rsid w:val="0051611B"/>
    <w:rsid w:val="0051614C"/>
    <w:rsid w:val="0051615F"/>
    <w:rsid w:val="00516174"/>
    <w:rsid w:val="0051617E"/>
    <w:rsid w:val="0051619B"/>
    <w:rsid w:val="00516234"/>
    <w:rsid w:val="00516252"/>
    <w:rsid w:val="0051626B"/>
    <w:rsid w:val="00516279"/>
    <w:rsid w:val="0051628F"/>
    <w:rsid w:val="00516372"/>
    <w:rsid w:val="0051638E"/>
    <w:rsid w:val="005163B2"/>
    <w:rsid w:val="005163F8"/>
    <w:rsid w:val="0051643D"/>
    <w:rsid w:val="005164C2"/>
    <w:rsid w:val="00516536"/>
    <w:rsid w:val="0051656D"/>
    <w:rsid w:val="00516579"/>
    <w:rsid w:val="0051658B"/>
    <w:rsid w:val="005165D2"/>
    <w:rsid w:val="0051663C"/>
    <w:rsid w:val="0051665A"/>
    <w:rsid w:val="00516691"/>
    <w:rsid w:val="005166E0"/>
    <w:rsid w:val="0051671F"/>
    <w:rsid w:val="00516781"/>
    <w:rsid w:val="00516789"/>
    <w:rsid w:val="005167F1"/>
    <w:rsid w:val="005167FF"/>
    <w:rsid w:val="00516832"/>
    <w:rsid w:val="0051688E"/>
    <w:rsid w:val="00516904"/>
    <w:rsid w:val="00516928"/>
    <w:rsid w:val="0051693F"/>
    <w:rsid w:val="00516944"/>
    <w:rsid w:val="00516992"/>
    <w:rsid w:val="00516995"/>
    <w:rsid w:val="005169CC"/>
    <w:rsid w:val="005169F7"/>
    <w:rsid w:val="00516A01"/>
    <w:rsid w:val="00516A32"/>
    <w:rsid w:val="00516A5A"/>
    <w:rsid w:val="00516A8A"/>
    <w:rsid w:val="00516AF4"/>
    <w:rsid w:val="00516AF7"/>
    <w:rsid w:val="00516AF9"/>
    <w:rsid w:val="00516B71"/>
    <w:rsid w:val="00516B79"/>
    <w:rsid w:val="00516C43"/>
    <w:rsid w:val="00516C47"/>
    <w:rsid w:val="00516C58"/>
    <w:rsid w:val="00516CB9"/>
    <w:rsid w:val="00516DBB"/>
    <w:rsid w:val="00516DE9"/>
    <w:rsid w:val="00516E0A"/>
    <w:rsid w:val="00516E0D"/>
    <w:rsid w:val="00516E54"/>
    <w:rsid w:val="00516E9A"/>
    <w:rsid w:val="00516EBA"/>
    <w:rsid w:val="00516F0C"/>
    <w:rsid w:val="00516F3C"/>
    <w:rsid w:val="00516F50"/>
    <w:rsid w:val="00516F5E"/>
    <w:rsid w:val="00516F92"/>
    <w:rsid w:val="00516FD2"/>
    <w:rsid w:val="00517005"/>
    <w:rsid w:val="00517023"/>
    <w:rsid w:val="00517036"/>
    <w:rsid w:val="005170F9"/>
    <w:rsid w:val="0051710C"/>
    <w:rsid w:val="0051714C"/>
    <w:rsid w:val="005171E7"/>
    <w:rsid w:val="00517261"/>
    <w:rsid w:val="005172AC"/>
    <w:rsid w:val="005172B5"/>
    <w:rsid w:val="005172B7"/>
    <w:rsid w:val="005172DA"/>
    <w:rsid w:val="00517308"/>
    <w:rsid w:val="00517371"/>
    <w:rsid w:val="005173EF"/>
    <w:rsid w:val="00517461"/>
    <w:rsid w:val="00517471"/>
    <w:rsid w:val="0051748C"/>
    <w:rsid w:val="005174DB"/>
    <w:rsid w:val="0051751B"/>
    <w:rsid w:val="00517529"/>
    <w:rsid w:val="00517567"/>
    <w:rsid w:val="005175E0"/>
    <w:rsid w:val="0051760F"/>
    <w:rsid w:val="00517779"/>
    <w:rsid w:val="0051782A"/>
    <w:rsid w:val="00517857"/>
    <w:rsid w:val="00517898"/>
    <w:rsid w:val="005178E9"/>
    <w:rsid w:val="00517903"/>
    <w:rsid w:val="0051795D"/>
    <w:rsid w:val="00517962"/>
    <w:rsid w:val="00517991"/>
    <w:rsid w:val="00517A18"/>
    <w:rsid w:val="00517A9E"/>
    <w:rsid w:val="00517AA2"/>
    <w:rsid w:val="00517ACF"/>
    <w:rsid w:val="00517ADE"/>
    <w:rsid w:val="00517B1A"/>
    <w:rsid w:val="00517B48"/>
    <w:rsid w:val="00517B7C"/>
    <w:rsid w:val="00517BC7"/>
    <w:rsid w:val="00517BDC"/>
    <w:rsid w:val="00517BF9"/>
    <w:rsid w:val="00517C7A"/>
    <w:rsid w:val="00517CD9"/>
    <w:rsid w:val="00517DFA"/>
    <w:rsid w:val="00517E13"/>
    <w:rsid w:val="00517E16"/>
    <w:rsid w:val="00517E53"/>
    <w:rsid w:val="00517E8B"/>
    <w:rsid w:val="00517ECB"/>
    <w:rsid w:val="00517EDF"/>
    <w:rsid w:val="00517EF6"/>
    <w:rsid w:val="00517F09"/>
    <w:rsid w:val="00517F25"/>
    <w:rsid w:val="00517FC1"/>
    <w:rsid w:val="00520085"/>
    <w:rsid w:val="00520167"/>
    <w:rsid w:val="00520204"/>
    <w:rsid w:val="00520254"/>
    <w:rsid w:val="00520274"/>
    <w:rsid w:val="005202DE"/>
    <w:rsid w:val="0052034B"/>
    <w:rsid w:val="005203AE"/>
    <w:rsid w:val="00520413"/>
    <w:rsid w:val="00520442"/>
    <w:rsid w:val="0052044F"/>
    <w:rsid w:val="00520482"/>
    <w:rsid w:val="00520496"/>
    <w:rsid w:val="005204A5"/>
    <w:rsid w:val="005204F3"/>
    <w:rsid w:val="005204F7"/>
    <w:rsid w:val="005204FB"/>
    <w:rsid w:val="0052051A"/>
    <w:rsid w:val="00520577"/>
    <w:rsid w:val="00520587"/>
    <w:rsid w:val="0052059A"/>
    <w:rsid w:val="005205E6"/>
    <w:rsid w:val="00520636"/>
    <w:rsid w:val="0052070B"/>
    <w:rsid w:val="00520794"/>
    <w:rsid w:val="005207B6"/>
    <w:rsid w:val="00520894"/>
    <w:rsid w:val="005208C7"/>
    <w:rsid w:val="0052091B"/>
    <w:rsid w:val="00520992"/>
    <w:rsid w:val="005209FF"/>
    <w:rsid w:val="00520A11"/>
    <w:rsid w:val="00520A5E"/>
    <w:rsid w:val="00520AB8"/>
    <w:rsid w:val="00520AC2"/>
    <w:rsid w:val="00520AD0"/>
    <w:rsid w:val="00520AFD"/>
    <w:rsid w:val="00520BCB"/>
    <w:rsid w:val="00520C26"/>
    <w:rsid w:val="00520CC4"/>
    <w:rsid w:val="00520CDC"/>
    <w:rsid w:val="00520D2C"/>
    <w:rsid w:val="00520D2E"/>
    <w:rsid w:val="00520D86"/>
    <w:rsid w:val="00520D9A"/>
    <w:rsid w:val="00520DCD"/>
    <w:rsid w:val="00520E03"/>
    <w:rsid w:val="00520E6F"/>
    <w:rsid w:val="00520EE2"/>
    <w:rsid w:val="00520F32"/>
    <w:rsid w:val="00520F51"/>
    <w:rsid w:val="00521035"/>
    <w:rsid w:val="0052103F"/>
    <w:rsid w:val="0052104B"/>
    <w:rsid w:val="0052105A"/>
    <w:rsid w:val="00521063"/>
    <w:rsid w:val="00521077"/>
    <w:rsid w:val="0052109A"/>
    <w:rsid w:val="005210AA"/>
    <w:rsid w:val="005210ED"/>
    <w:rsid w:val="00521236"/>
    <w:rsid w:val="0052124B"/>
    <w:rsid w:val="00521261"/>
    <w:rsid w:val="00521293"/>
    <w:rsid w:val="00521321"/>
    <w:rsid w:val="00521323"/>
    <w:rsid w:val="0052139F"/>
    <w:rsid w:val="0052142E"/>
    <w:rsid w:val="00521440"/>
    <w:rsid w:val="0052144E"/>
    <w:rsid w:val="005214BB"/>
    <w:rsid w:val="00521512"/>
    <w:rsid w:val="005215A2"/>
    <w:rsid w:val="005215B7"/>
    <w:rsid w:val="00521600"/>
    <w:rsid w:val="00521666"/>
    <w:rsid w:val="00521667"/>
    <w:rsid w:val="00521706"/>
    <w:rsid w:val="00521747"/>
    <w:rsid w:val="00521748"/>
    <w:rsid w:val="00521781"/>
    <w:rsid w:val="005217CE"/>
    <w:rsid w:val="005217F7"/>
    <w:rsid w:val="005217FA"/>
    <w:rsid w:val="00521827"/>
    <w:rsid w:val="00521899"/>
    <w:rsid w:val="00521937"/>
    <w:rsid w:val="0052196D"/>
    <w:rsid w:val="005219B9"/>
    <w:rsid w:val="00521A05"/>
    <w:rsid w:val="00521AE9"/>
    <w:rsid w:val="00521CB2"/>
    <w:rsid w:val="00521D89"/>
    <w:rsid w:val="00521E12"/>
    <w:rsid w:val="00521E3A"/>
    <w:rsid w:val="00521E3D"/>
    <w:rsid w:val="00521EFD"/>
    <w:rsid w:val="00521F67"/>
    <w:rsid w:val="00521F6C"/>
    <w:rsid w:val="00521F9D"/>
    <w:rsid w:val="00521FEB"/>
    <w:rsid w:val="0052201D"/>
    <w:rsid w:val="00522063"/>
    <w:rsid w:val="005220C5"/>
    <w:rsid w:val="00522134"/>
    <w:rsid w:val="005221A1"/>
    <w:rsid w:val="005221CA"/>
    <w:rsid w:val="005221DB"/>
    <w:rsid w:val="0052225D"/>
    <w:rsid w:val="0052228C"/>
    <w:rsid w:val="005222AF"/>
    <w:rsid w:val="005222D8"/>
    <w:rsid w:val="0052230D"/>
    <w:rsid w:val="00522356"/>
    <w:rsid w:val="0052236B"/>
    <w:rsid w:val="00522391"/>
    <w:rsid w:val="005223E1"/>
    <w:rsid w:val="005223EE"/>
    <w:rsid w:val="00522430"/>
    <w:rsid w:val="005224D1"/>
    <w:rsid w:val="00522530"/>
    <w:rsid w:val="0052253B"/>
    <w:rsid w:val="005225BC"/>
    <w:rsid w:val="005225BD"/>
    <w:rsid w:val="005225C3"/>
    <w:rsid w:val="005225D8"/>
    <w:rsid w:val="00522607"/>
    <w:rsid w:val="00522632"/>
    <w:rsid w:val="00522681"/>
    <w:rsid w:val="005226FC"/>
    <w:rsid w:val="00522728"/>
    <w:rsid w:val="00522752"/>
    <w:rsid w:val="00522765"/>
    <w:rsid w:val="005228A5"/>
    <w:rsid w:val="005228F7"/>
    <w:rsid w:val="0052297C"/>
    <w:rsid w:val="0052298E"/>
    <w:rsid w:val="00522A00"/>
    <w:rsid w:val="00522A18"/>
    <w:rsid w:val="00522A2D"/>
    <w:rsid w:val="00522A35"/>
    <w:rsid w:val="00522A8D"/>
    <w:rsid w:val="00522A94"/>
    <w:rsid w:val="00522AB0"/>
    <w:rsid w:val="00522AFE"/>
    <w:rsid w:val="00522B2B"/>
    <w:rsid w:val="00522B72"/>
    <w:rsid w:val="00522B81"/>
    <w:rsid w:val="00522B83"/>
    <w:rsid w:val="00522B86"/>
    <w:rsid w:val="00522B92"/>
    <w:rsid w:val="00522BB6"/>
    <w:rsid w:val="00522BD4"/>
    <w:rsid w:val="00522BF7"/>
    <w:rsid w:val="00522C6A"/>
    <w:rsid w:val="00522D43"/>
    <w:rsid w:val="00522DC5"/>
    <w:rsid w:val="00522DE7"/>
    <w:rsid w:val="00522E0F"/>
    <w:rsid w:val="00522E39"/>
    <w:rsid w:val="00522E42"/>
    <w:rsid w:val="00522EBD"/>
    <w:rsid w:val="00522EF8"/>
    <w:rsid w:val="00522F64"/>
    <w:rsid w:val="00522FE4"/>
    <w:rsid w:val="00522FEF"/>
    <w:rsid w:val="00523003"/>
    <w:rsid w:val="0052302F"/>
    <w:rsid w:val="00523085"/>
    <w:rsid w:val="005230FA"/>
    <w:rsid w:val="005231B0"/>
    <w:rsid w:val="005232B1"/>
    <w:rsid w:val="005233A4"/>
    <w:rsid w:val="005233E9"/>
    <w:rsid w:val="00523416"/>
    <w:rsid w:val="0052347B"/>
    <w:rsid w:val="00523494"/>
    <w:rsid w:val="005234A9"/>
    <w:rsid w:val="00523529"/>
    <w:rsid w:val="0052353C"/>
    <w:rsid w:val="0052363E"/>
    <w:rsid w:val="00523656"/>
    <w:rsid w:val="00523696"/>
    <w:rsid w:val="00523714"/>
    <w:rsid w:val="0052371D"/>
    <w:rsid w:val="00523757"/>
    <w:rsid w:val="00523772"/>
    <w:rsid w:val="005237B7"/>
    <w:rsid w:val="00523807"/>
    <w:rsid w:val="00523881"/>
    <w:rsid w:val="00523885"/>
    <w:rsid w:val="005238FA"/>
    <w:rsid w:val="00523904"/>
    <w:rsid w:val="0052394C"/>
    <w:rsid w:val="00523992"/>
    <w:rsid w:val="005239E5"/>
    <w:rsid w:val="00523A0F"/>
    <w:rsid w:val="00523ABE"/>
    <w:rsid w:val="00523AD4"/>
    <w:rsid w:val="00523B09"/>
    <w:rsid w:val="00523B86"/>
    <w:rsid w:val="00523C19"/>
    <w:rsid w:val="00523C1C"/>
    <w:rsid w:val="00523CB8"/>
    <w:rsid w:val="00523CBB"/>
    <w:rsid w:val="00523CC8"/>
    <w:rsid w:val="00523D2C"/>
    <w:rsid w:val="00523E1B"/>
    <w:rsid w:val="00523E5C"/>
    <w:rsid w:val="00523EA2"/>
    <w:rsid w:val="00523EA4"/>
    <w:rsid w:val="00523F09"/>
    <w:rsid w:val="00523F42"/>
    <w:rsid w:val="00523FCE"/>
    <w:rsid w:val="00523FD2"/>
    <w:rsid w:val="00523FDD"/>
    <w:rsid w:val="005240B9"/>
    <w:rsid w:val="005240E8"/>
    <w:rsid w:val="005240F4"/>
    <w:rsid w:val="00524115"/>
    <w:rsid w:val="0052419D"/>
    <w:rsid w:val="005241AC"/>
    <w:rsid w:val="005241F4"/>
    <w:rsid w:val="005242A5"/>
    <w:rsid w:val="00524343"/>
    <w:rsid w:val="00524382"/>
    <w:rsid w:val="00524441"/>
    <w:rsid w:val="0052445C"/>
    <w:rsid w:val="0052446F"/>
    <w:rsid w:val="005244B8"/>
    <w:rsid w:val="005245CE"/>
    <w:rsid w:val="0052461A"/>
    <w:rsid w:val="00524653"/>
    <w:rsid w:val="00524670"/>
    <w:rsid w:val="00524684"/>
    <w:rsid w:val="0052473E"/>
    <w:rsid w:val="0052474A"/>
    <w:rsid w:val="00524757"/>
    <w:rsid w:val="0052478A"/>
    <w:rsid w:val="0052479F"/>
    <w:rsid w:val="005247DD"/>
    <w:rsid w:val="00524855"/>
    <w:rsid w:val="00524858"/>
    <w:rsid w:val="0052487A"/>
    <w:rsid w:val="005248A9"/>
    <w:rsid w:val="00524920"/>
    <w:rsid w:val="00524933"/>
    <w:rsid w:val="00524953"/>
    <w:rsid w:val="0052495C"/>
    <w:rsid w:val="00524971"/>
    <w:rsid w:val="00524988"/>
    <w:rsid w:val="005249CE"/>
    <w:rsid w:val="00524A02"/>
    <w:rsid w:val="00524A06"/>
    <w:rsid w:val="00524A59"/>
    <w:rsid w:val="00524C25"/>
    <w:rsid w:val="00524C3F"/>
    <w:rsid w:val="00524C70"/>
    <w:rsid w:val="00524CCD"/>
    <w:rsid w:val="00524D15"/>
    <w:rsid w:val="00524D44"/>
    <w:rsid w:val="00524DCF"/>
    <w:rsid w:val="00524DD0"/>
    <w:rsid w:val="00524DF0"/>
    <w:rsid w:val="00524DF4"/>
    <w:rsid w:val="00524ED5"/>
    <w:rsid w:val="00524F49"/>
    <w:rsid w:val="00524F71"/>
    <w:rsid w:val="00524FA8"/>
    <w:rsid w:val="00524FD7"/>
    <w:rsid w:val="00524FDD"/>
    <w:rsid w:val="00524FF5"/>
    <w:rsid w:val="00525030"/>
    <w:rsid w:val="00525062"/>
    <w:rsid w:val="00525099"/>
    <w:rsid w:val="005250E9"/>
    <w:rsid w:val="00525103"/>
    <w:rsid w:val="00525199"/>
    <w:rsid w:val="005251FD"/>
    <w:rsid w:val="00525202"/>
    <w:rsid w:val="0052526A"/>
    <w:rsid w:val="005252B0"/>
    <w:rsid w:val="00525312"/>
    <w:rsid w:val="0052532D"/>
    <w:rsid w:val="00525350"/>
    <w:rsid w:val="0052536C"/>
    <w:rsid w:val="005253C9"/>
    <w:rsid w:val="005253CA"/>
    <w:rsid w:val="005253E0"/>
    <w:rsid w:val="00525451"/>
    <w:rsid w:val="00525485"/>
    <w:rsid w:val="005254EA"/>
    <w:rsid w:val="005254EF"/>
    <w:rsid w:val="005254F0"/>
    <w:rsid w:val="00525570"/>
    <w:rsid w:val="00525580"/>
    <w:rsid w:val="0052558F"/>
    <w:rsid w:val="005255C4"/>
    <w:rsid w:val="005255DC"/>
    <w:rsid w:val="00525620"/>
    <w:rsid w:val="0052569B"/>
    <w:rsid w:val="005256E2"/>
    <w:rsid w:val="005256E7"/>
    <w:rsid w:val="005256F2"/>
    <w:rsid w:val="0052571E"/>
    <w:rsid w:val="0052576B"/>
    <w:rsid w:val="00525792"/>
    <w:rsid w:val="005257E6"/>
    <w:rsid w:val="005257F4"/>
    <w:rsid w:val="00525818"/>
    <w:rsid w:val="00525879"/>
    <w:rsid w:val="00525886"/>
    <w:rsid w:val="005258C0"/>
    <w:rsid w:val="005258CB"/>
    <w:rsid w:val="00525958"/>
    <w:rsid w:val="00525996"/>
    <w:rsid w:val="005259B6"/>
    <w:rsid w:val="005259C8"/>
    <w:rsid w:val="005259E4"/>
    <w:rsid w:val="00525A16"/>
    <w:rsid w:val="00525A18"/>
    <w:rsid w:val="00525A57"/>
    <w:rsid w:val="00525AC8"/>
    <w:rsid w:val="00525B0E"/>
    <w:rsid w:val="00525BB2"/>
    <w:rsid w:val="00525C03"/>
    <w:rsid w:val="00525C05"/>
    <w:rsid w:val="00525C3B"/>
    <w:rsid w:val="00525C76"/>
    <w:rsid w:val="00525CC7"/>
    <w:rsid w:val="00525D0D"/>
    <w:rsid w:val="00525D0F"/>
    <w:rsid w:val="00525D18"/>
    <w:rsid w:val="00525DEA"/>
    <w:rsid w:val="00525E58"/>
    <w:rsid w:val="00525E78"/>
    <w:rsid w:val="00525E9D"/>
    <w:rsid w:val="00525ECA"/>
    <w:rsid w:val="00525F3C"/>
    <w:rsid w:val="00525F4C"/>
    <w:rsid w:val="00525F5C"/>
    <w:rsid w:val="00525F96"/>
    <w:rsid w:val="00526010"/>
    <w:rsid w:val="00526020"/>
    <w:rsid w:val="0052603F"/>
    <w:rsid w:val="0052605E"/>
    <w:rsid w:val="00526077"/>
    <w:rsid w:val="005260CF"/>
    <w:rsid w:val="00526118"/>
    <w:rsid w:val="00526131"/>
    <w:rsid w:val="00526227"/>
    <w:rsid w:val="0052627D"/>
    <w:rsid w:val="00526291"/>
    <w:rsid w:val="00526329"/>
    <w:rsid w:val="00526351"/>
    <w:rsid w:val="00526359"/>
    <w:rsid w:val="005264F6"/>
    <w:rsid w:val="00526623"/>
    <w:rsid w:val="00526676"/>
    <w:rsid w:val="00526695"/>
    <w:rsid w:val="005266A3"/>
    <w:rsid w:val="00526716"/>
    <w:rsid w:val="00526794"/>
    <w:rsid w:val="00526840"/>
    <w:rsid w:val="0052685E"/>
    <w:rsid w:val="00526865"/>
    <w:rsid w:val="00526888"/>
    <w:rsid w:val="00526895"/>
    <w:rsid w:val="005268B3"/>
    <w:rsid w:val="00526935"/>
    <w:rsid w:val="00526956"/>
    <w:rsid w:val="00526962"/>
    <w:rsid w:val="00526971"/>
    <w:rsid w:val="0052697E"/>
    <w:rsid w:val="0052698E"/>
    <w:rsid w:val="005269A4"/>
    <w:rsid w:val="00526A2D"/>
    <w:rsid w:val="00526A57"/>
    <w:rsid w:val="00526A89"/>
    <w:rsid w:val="00526AE0"/>
    <w:rsid w:val="00526B5E"/>
    <w:rsid w:val="00526B85"/>
    <w:rsid w:val="00526BB8"/>
    <w:rsid w:val="00526BB9"/>
    <w:rsid w:val="00526BE0"/>
    <w:rsid w:val="00526CB1"/>
    <w:rsid w:val="00526CCA"/>
    <w:rsid w:val="00526DF4"/>
    <w:rsid w:val="00526E19"/>
    <w:rsid w:val="00526E1C"/>
    <w:rsid w:val="00526E5E"/>
    <w:rsid w:val="00526E91"/>
    <w:rsid w:val="00526E96"/>
    <w:rsid w:val="00526ECD"/>
    <w:rsid w:val="00526EF2"/>
    <w:rsid w:val="00526F12"/>
    <w:rsid w:val="00526F2B"/>
    <w:rsid w:val="00526FAA"/>
    <w:rsid w:val="00526FB9"/>
    <w:rsid w:val="00526FD2"/>
    <w:rsid w:val="0052700B"/>
    <w:rsid w:val="00527034"/>
    <w:rsid w:val="0052703A"/>
    <w:rsid w:val="0052708B"/>
    <w:rsid w:val="005270BA"/>
    <w:rsid w:val="005270C4"/>
    <w:rsid w:val="005270CA"/>
    <w:rsid w:val="005270CB"/>
    <w:rsid w:val="005270F6"/>
    <w:rsid w:val="005271C2"/>
    <w:rsid w:val="005271CF"/>
    <w:rsid w:val="00527215"/>
    <w:rsid w:val="00527220"/>
    <w:rsid w:val="00527227"/>
    <w:rsid w:val="005272CD"/>
    <w:rsid w:val="00527371"/>
    <w:rsid w:val="0052737A"/>
    <w:rsid w:val="005273B7"/>
    <w:rsid w:val="005273B9"/>
    <w:rsid w:val="005273C2"/>
    <w:rsid w:val="005273D4"/>
    <w:rsid w:val="00527409"/>
    <w:rsid w:val="00527449"/>
    <w:rsid w:val="0052753F"/>
    <w:rsid w:val="00527541"/>
    <w:rsid w:val="0052756B"/>
    <w:rsid w:val="0052756D"/>
    <w:rsid w:val="0052757B"/>
    <w:rsid w:val="005275A9"/>
    <w:rsid w:val="005275DE"/>
    <w:rsid w:val="0052767F"/>
    <w:rsid w:val="005276AA"/>
    <w:rsid w:val="005276C9"/>
    <w:rsid w:val="00527758"/>
    <w:rsid w:val="00527784"/>
    <w:rsid w:val="005277D9"/>
    <w:rsid w:val="00527826"/>
    <w:rsid w:val="005278D3"/>
    <w:rsid w:val="00527A3C"/>
    <w:rsid w:val="00527AA4"/>
    <w:rsid w:val="00527ACB"/>
    <w:rsid w:val="00527B27"/>
    <w:rsid w:val="00527B87"/>
    <w:rsid w:val="00527B99"/>
    <w:rsid w:val="00527C23"/>
    <w:rsid w:val="00527C53"/>
    <w:rsid w:val="00527C75"/>
    <w:rsid w:val="00527C86"/>
    <w:rsid w:val="00527C95"/>
    <w:rsid w:val="00527CA6"/>
    <w:rsid w:val="00527CD4"/>
    <w:rsid w:val="00527D0D"/>
    <w:rsid w:val="00527D68"/>
    <w:rsid w:val="00527D86"/>
    <w:rsid w:val="00527DC7"/>
    <w:rsid w:val="00527DD1"/>
    <w:rsid w:val="00527DDB"/>
    <w:rsid w:val="00527DF5"/>
    <w:rsid w:val="00527E4B"/>
    <w:rsid w:val="00527E81"/>
    <w:rsid w:val="00527F03"/>
    <w:rsid w:val="00527F34"/>
    <w:rsid w:val="00527F82"/>
    <w:rsid w:val="00527FAF"/>
    <w:rsid w:val="00527FF0"/>
    <w:rsid w:val="0052CDED"/>
    <w:rsid w:val="0053000A"/>
    <w:rsid w:val="00530017"/>
    <w:rsid w:val="00530032"/>
    <w:rsid w:val="0053004B"/>
    <w:rsid w:val="0053004C"/>
    <w:rsid w:val="0053008F"/>
    <w:rsid w:val="005300D8"/>
    <w:rsid w:val="00530183"/>
    <w:rsid w:val="005301C0"/>
    <w:rsid w:val="0053024C"/>
    <w:rsid w:val="005302EE"/>
    <w:rsid w:val="00530325"/>
    <w:rsid w:val="005303FC"/>
    <w:rsid w:val="0053043B"/>
    <w:rsid w:val="00530448"/>
    <w:rsid w:val="00530479"/>
    <w:rsid w:val="0053050E"/>
    <w:rsid w:val="00530556"/>
    <w:rsid w:val="00530591"/>
    <w:rsid w:val="005305AC"/>
    <w:rsid w:val="005305F3"/>
    <w:rsid w:val="00530635"/>
    <w:rsid w:val="00530661"/>
    <w:rsid w:val="005306C5"/>
    <w:rsid w:val="00530741"/>
    <w:rsid w:val="0053079F"/>
    <w:rsid w:val="005307B6"/>
    <w:rsid w:val="005307F5"/>
    <w:rsid w:val="00530805"/>
    <w:rsid w:val="00530855"/>
    <w:rsid w:val="0053086D"/>
    <w:rsid w:val="00530945"/>
    <w:rsid w:val="0053098F"/>
    <w:rsid w:val="00530A06"/>
    <w:rsid w:val="00530A30"/>
    <w:rsid w:val="00530A58"/>
    <w:rsid w:val="00530A7B"/>
    <w:rsid w:val="00530A9A"/>
    <w:rsid w:val="00530B44"/>
    <w:rsid w:val="00530B85"/>
    <w:rsid w:val="00530B91"/>
    <w:rsid w:val="00530C57"/>
    <w:rsid w:val="00530C94"/>
    <w:rsid w:val="00530CDD"/>
    <w:rsid w:val="00530D5E"/>
    <w:rsid w:val="00530D74"/>
    <w:rsid w:val="00530ECF"/>
    <w:rsid w:val="00530ED4"/>
    <w:rsid w:val="00530F15"/>
    <w:rsid w:val="00530F2F"/>
    <w:rsid w:val="00530F47"/>
    <w:rsid w:val="00530F51"/>
    <w:rsid w:val="00530F7C"/>
    <w:rsid w:val="00530FD8"/>
    <w:rsid w:val="00531005"/>
    <w:rsid w:val="00531093"/>
    <w:rsid w:val="005310A5"/>
    <w:rsid w:val="005310B3"/>
    <w:rsid w:val="00531109"/>
    <w:rsid w:val="0053110C"/>
    <w:rsid w:val="0053115F"/>
    <w:rsid w:val="005311A8"/>
    <w:rsid w:val="005311E2"/>
    <w:rsid w:val="005311E6"/>
    <w:rsid w:val="005311F2"/>
    <w:rsid w:val="00531254"/>
    <w:rsid w:val="005312A1"/>
    <w:rsid w:val="005312B2"/>
    <w:rsid w:val="00531368"/>
    <w:rsid w:val="00531388"/>
    <w:rsid w:val="005313EF"/>
    <w:rsid w:val="00531498"/>
    <w:rsid w:val="005314D5"/>
    <w:rsid w:val="005314E5"/>
    <w:rsid w:val="00531520"/>
    <w:rsid w:val="00531565"/>
    <w:rsid w:val="005315B8"/>
    <w:rsid w:val="0053162F"/>
    <w:rsid w:val="00531769"/>
    <w:rsid w:val="0053177F"/>
    <w:rsid w:val="005317E5"/>
    <w:rsid w:val="00531825"/>
    <w:rsid w:val="00531866"/>
    <w:rsid w:val="00531885"/>
    <w:rsid w:val="005318D6"/>
    <w:rsid w:val="005318FF"/>
    <w:rsid w:val="00531911"/>
    <w:rsid w:val="00531925"/>
    <w:rsid w:val="0053192B"/>
    <w:rsid w:val="00531943"/>
    <w:rsid w:val="00531A49"/>
    <w:rsid w:val="00531AB0"/>
    <w:rsid w:val="00531ACE"/>
    <w:rsid w:val="00531ADE"/>
    <w:rsid w:val="00531AF7"/>
    <w:rsid w:val="00531B1F"/>
    <w:rsid w:val="00531BA5"/>
    <w:rsid w:val="00531BD0"/>
    <w:rsid w:val="00531C66"/>
    <w:rsid w:val="00531CA2"/>
    <w:rsid w:val="00531D3E"/>
    <w:rsid w:val="00531D82"/>
    <w:rsid w:val="00531D85"/>
    <w:rsid w:val="00531DEB"/>
    <w:rsid w:val="00531E08"/>
    <w:rsid w:val="00531E0C"/>
    <w:rsid w:val="00531E25"/>
    <w:rsid w:val="00531E35"/>
    <w:rsid w:val="00531E76"/>
    <w:rsid w:val="00531F3F"/>
    <w:rsid w:val="00531F8D"/>
    <w:rsid w:val="00531FB3"/>
    <w:rsid w:val="00532037"/>
    <w:rsid w:val="00532041"/>
    <w:rsid w:val="00532061"/>
    <w:rsid w:val="00532076"/>
    <w:rsid w:val="0053208B"/>
    <w:rsid w:val="005320DB"/>
    <w:rsid w:val="005320E6"/>
    <w:rsid w:val="0053216C"/>
    <w:rsid w:val="005321D3"/>
    <w:rsid w:val="005321DB"/>
    <w:rsid w:val="0053221A"/>
    <w:rsid w:val="00532225"/>
    <w:rsid w:val="00532261"/>
    <w:rsid w:val="00532268"/>
    <w:rsid w:val="00532269"/>
    <w:rsid w:val="0053229A"/>
    <w:rsid w:val="005322F8"/>
    <w:rsid w:val="00532342"/>
    <w:rsid w:val="0053235E"/>
    <w:rsid w:val="005323A0"/>
    <w:rsid w:val="005323D5"/>
    <w:rsid w:val="00532412"/>
    <w:rsid w:val="00532435"/>
    <w:rsid w:val="0053247D"/>
    <w:rsid w:val="005324E2"/>
    <w:rsid w:val="005324F3"/>
    <w:rsid w:val="0053251F"/>
    <w:rsid w:val="0053253C"/>
    <w:rsid w:val="00532575"/>
    <w:rsid w:val="00532589"/>
    <w:rsid w:val="005325BC"/>
    <w:rsid w:val="005325CF"/>
    <w:rsid w:val="00532694"/>
    <w:rsid w:val="005326B2"/>
    <w:rsid w:val="005326F3"/>
    <w:rsid w:val="00532716"/>
    <w:rsid w:val="0053272F"/>
    <w:rsid w:val="00532759"/>
    <w:rsid w:val="0053275C"/>
    <w:rsid w:val="0053276D"/>
    <w:rsid w:val="005327FD"/>
    <w:rsid w:val="00532808"/>
    <w:rsid w:val="00532873"/>
    <w:rsid w:val="00532882"/>
    <w:rsid w:val="005328C1"/>
    <w:rsid w:val="0053291B"/>
    <w:rsid w:val="00532962"/>
    <w:rsid w:val="00532963"/>
    <w:rsid w:val="00532A16"/>
    <w:rsid w:val="00532A44"/>
    <w:rsid w:val="00532A58"/>
    <w:rsid w:val="00532AA5"/>
    <w:rsid w:val="00532AD3"/>
    <w:rsid w:val="00532AF8"/>
    <w:rsid w:val="00532B4D"/>
    <w:rsid w:val="00532B51"/>
    <w:rsid w:val="00532B5F"/>
    <w:rsid w:val="00532B7E"/>
    <w:rsid w:val="00532BB5"/>
    <w:rsid w:val="00532BE1"/>
    <w:rsid w:val="00532C02"/>
    <w:rsid w:val="00532C40"/>
    <w:rsid w:val="00532C61"/>
    <w:rsid w:val="00532C7B"/>
    <w:rsid w:val="00532C87"/>
    <w:rsid w:val="00532CAA"/>
    <w:rsid w:val="00532CC7"/>
    <w:rsid w:val="00532D93"/>
    <w:rsid w:val="00532E29"/>
    <w:rsid w:val="00532E3D"/>
    <w:rsid w:val="00532E4F"/>
    <w:rsid w:val="00532E55"/>
    <w:rsid w:val="00532E5A"/>
    <w:rsid w:val="00532E5E"/>
    <w:rsid w:val="00532E7B"/>
    <w:rsid w:val="00532F00"/>
    <w:rsid w:val="00532F9A"/>
    <w:rsid w:val="00532FAE"/>
    <w:rsid w:val="0053304B"/>
    <w:rsid w:val="0053307B"/>
    <w:rsid w:val="005330A2"/>
    <w:rsid w:val="00533144"/>
    <w:rsid w:val="0053316B"/>
    <w:rsid w:val="005331D8"/>
    <w:rsid w:val="005331E6"/>
    <w:rsid w:val="005331FA"/>
    <w:rsid w:val="00533238"/>
    <w:rsid w:val="0053328C"/>
    <w:rsid w:val="005332BA"/>
    <w:rsid w:val="005332D4"/>
    <w:rsid w:val="0053334E"/>
    <w:rsid w:val="00533482"/>
    <w:rsid w:val="0053348B"/>
    <w:rsid w:val="0053348E"/>
    <w:rsid w:val="005334A5"/>
    <w:rsid w:val="005334D1"/>
    <w:rsid w:val="0053355E"/>
    <w:rsid w:val="005335D9"/>
    <w:rsid w:val="005335FD"/>
    <w:rsid w:val="0053363F"/>
    <w:rsid w:val="0053366C"/>
    <w:rsid w:val="005336FE"/>
    <w:rsid w:val="0053371B"/>
    <w:rsid w:val="00533765"/>
    <w:rsid w:val="00533800"/>
    <w:rsid w:val="0053387D"/>
    <w:rsid w:val="0053388C"/>
    <w:rsid w:val="005339BE"/>
    <w:rsid w:val="005339F9"/>
    <w:rsid w:val="00533A6D"/>
    <w:rsid w:val="00533ACA"/>
    <w:rsid w:val="00533AE6"/>
    <w:rsid w:val="00533B14"/>
    <w:rsid w:val="00533B82"/>
    <w:rsid w:val="00533C01"/>
    <w:rsid w:val="00533C02"/>
    <w:rsid w:val="00533C22"/>
    <w:rsid w:val="00533C24"/>
    <w:rsid w:val="00533C89"/>
    <w:rsid w:val="00533CB1"/>
    <w:rsid w:val="00533CF3"/>
    <w:rsid w:val="00533D12"/>
    <w:rsid w:val="00533D65"/>
    <w:rsid w:val="00533DBF"/>
    <w:rsid w:val="00533DE0"/>
    <w:rsid w:val="00533DF2"/>
    <w:rsid w:val="00533E38"/>
    <w:rsid w:val="00533E52"/>
    <w:rsid w:val="00533E9D"/>
    <w:rsid w:val="00533EA7"/>
    <w:rsid w:val="00533EB2"/>
    <w:rsid w:val="00533EB5"/>
    <w:rsid w:val="00533ED1"/>
    <w:rsid w:val="00533F2C"/>
    <w:rsid w:val="00533F71"/>
    <w:rsid w:val="00533F81"/>
    <w:rsid w:val="00533FB1"/>
    <w:rsid w:val="00533FBB"/>
    <w:rsid w:val="00533FD2"/>
    <w:rsid w:val="00533FE7"/>
    <w:rsid w:val="0053400B"/>
    <w:rsid w:val="0053404A"/>
    <w:rsid w:val="0053404E"/>
    <w:rsid w:val="005340B0"/>
    <w:rsid w:val="005340B4"/>
    <w:rsid w:val="005340CE"/>
    <w:rsid w:val="005340E3"/>
    <w:rsid w:val="0053410D"/>
    <w:rsid w:val="00534120"/>
    <w:rsid w:val="0053417B"/>
    <w:rsid w:val="005341B0"/>
    <w:rsid w:val="00534246"/>
    <w:rsid w:val="00534268"/>
    <w:rsid w:val="00534285"/>
    <w:rsid w:val="005342B3"/>
    <w:rsid w:val="005342CB"/>
    <w:rsid w:val="005342DC"/>
    <w:rsid w:val="00534345"/>
    <w:rsid w:val="00534357"/>
    <w:rsid w:val="0053437F"/>
    <w:rsid w:val="0053442D"/>
    <w:rsid w:val="005344F7"/>
    <w:rsid w:val="00534568"/>
    <w:rsid w:val="005345DA"/>
    <w:rsid w:val="005345F1"/>
    <w:rsid w:val="00534651"/>
    <w:rsid w:val="005346E8"/>
    <w:rsid w:val="00534760"/>
    <w:rsid w:val="00534772"/>
    <w:rsid w:val="00534785"/>
    <w:rsid w:val="005347CE"/>
    <w:rsid w:val="005347FB"/>
    <w:rsid w:val="00534902"/>
    <w:rsid w:val="00534947"/>
    <w:rsid w:val="00534986"/>
    <w:rsid w:val="005349A8"/>
    <w:rsid w:val="005349CF"/>
    <w:rsid w:val="005349D8"/>
    <w:rsid w:val="00534A1B"/>
    <w:rsid w:val="00534A1E"/>
    <w:rsid w:val="00534A31"/>
    <w:rsid w:val="00534A34"/>
    <w:rsid w:val="00534A35"/>
    <w:rsid w:val="00534A50"/>
    <w:rsid w:val="00534A52"/>
    <w:rsid w:val="00534A76"/>
    <w:rsid w:val="00534A95"/>
    <w:rsid w:val="00534AF4"/>
    <w:rsid w:val="00534B16"/>
    <w:rsid w:val="00534B5E"/>
    <w:rsid w:val="00534B74"/>
    <w:rsid w:val="00534B8E"/>
    <w:rsid w:val="00534BAC"/>
    <w:rsid w:val="00534BD3"/>
    <w:rsid w:val="00534BFB"/>
    <w:rsid w:val="00534C86"/>
    <w:rsid w:val="00534D56"/>
    <w:rsid w:val="00534DAD"/>
    <w:rsid w:val="00534DBE"/>
    <w:rsid w:val="00534DDF"/>
    <w:rsid w:val="00534E2B"/>
    <w:rsid w:val="00534E73"/>
    <w:rsid w:val="00534E89"/>
    <w:rsid w:val="00534F0B"/>
    <w:rsid w:val="00534F84"/>
    <w:rsid w:val="00534F9A"/>
    <w:rsid w:val="00534FAC"/>
    <w:rsid w:val="00534FC1"/>
    <w:rsid w:val="00534FF1"/>
    <w:rsid w:val="00534FFA"/>
    <w:rsid w:val="00534FFE"/>
    <w:rsid w:val="00535006"/>
    <w:rsid w:val="0053502D"/>
    <w:rsid w:val="00535056"/>
    <w:rsid w:val="0053508A"/>
    <w:rsid w:val="005350D7"/>
    <w:rsid w:val="00535131"/>
    <w:rsid w:val="005351A5"/>
    <w:rsid w:val="005351B6"/>
    <w:rsid w:val="005351C3"/>
    <w:rsid w:val="005351F5"/>
    <w:rsid w:val="005352A9"/>
    <w:rsid w:val="005352BC"/>
    <w:rsid w:val="005352BD"/>
    <w:rsid w:val="0053532B"/>
    <w:rsid w:val="00535353"/>
    <w:rsid w:val="0053535B"/>
    <w:rsid w:val="0053538C"/>
    <w:rsid w:val="005353AA"/>
    <w:rsid w:val="00535451"/>
    <w:rsid w:val="0053545B"/>
    <w:rsid w:val="00535488"/>
    <w:rsid w:val="005354FC"/>
    <w:rsid w:val="00535532"/>
    <w:rsid w:val="00535545"/>
    <w:rsid w:val="0053558A"/>
    <w:rsid w:val="005355FC"/>
    <w:rsid w:val="00535621"/>
    <w:rsid w:val="00535636"/>
    <w:rsid w:val="00535644"/>
    <w:rsid w:val="005356A2"/>
    <w:rsid w:val="0053570A"/>
    <w:rsid w:val="0053574A"/>
    <w:rsid w:val="00535770"/>
    <w:rsid w:val="0053577E"/>
    <w:rsid w:val="0053578F"/>
    <w:rsid w:val="00535805"/>
    <w:rsid w:val="0053582F"/>
    <w:rsid w:val="0053584B"/>
    <w:rsid w:val="00535929"/>
    <w:rsid w:val="005359E2"/>
    <w:rsid w:val="00535A2B"/>
    <w:rsid w:val="00535A30"/>
    <w:rsid w:val="00535A79"/>
    <w:rsid w:val="00535A83"/>
    <w:rsid w:val="00535AF3"/>
    <w:rsid w:val="00535B39"/>
    <w:rsid w:val="00535B61"/>
    <w:rsid w:val="00535B7D"/>
    <w:rsid w:val="00535BD2"/>
    <w:rsid w:val="00535BDF"/>
    <w:rsid w:val="00535C96"/>
    <w:rsid w:val="00535C9C"/>
    <w:rsid w:val="00535CA5"/>
    <w:rsid w:val="00535CAF"/>
    <w:rsid w:val="00535CBE"/>
    <w:rsid w:val="00535CDC"/>
    <w:rsid w:val="00535D12"/>
    <w:rsid w:val="00535D4D"/>
    <w:rsid w:val="00535D7E"/>
    <w:rsid w:val="00535E4E"/>
    <w:rsid w:val="00535E60"/>
    <w:rsid w:val="00535E9E"/>
    <w:rsid w:val="00535EAD"/>
    <w:rsid w:val="00535F23"/>
    <w:rsid w:val="00535FA0"/>
    <w:rsid w:val="00535FAC"/>
    <w:rsid w:val="00535FB7"/>
    <w:rsid w:val="00535FC4"/>
    <w:rsid w:val="0053603D"/>
    <w:rsid w:val="00536061"/>
    <w:rsid w:val="005360B1"/>
    <w:rsid w:val="005360D6"/>
    <w:rsid w:val="005360F7"/>
    <w:rsid w:val="005360F9"/>
    <w:rsid w:val="0053614B"/>
    <w:rsid w:val="005361B4"/>
    <w:rsid w:val="005361DE"/>
    <w:rsid w:val="0053629C"/>
    <w:rsid w:val="005362AD"/>
    <w:rsid w:val="005362C5"/>
    <w:rsid w:val="005362F6"/>
    <w:rsid w:val="005362F7"/>
    <w:rsid w:val="0053637D"/>
    <w:rsid w:val="005363AA"/>
    <w:rsid w:val="005363EA"/>
    <w:rsid w:val="00536418"/>
    <w:rsid w:val="0053647C"/>
    <w:rsid w:val="005364E1"/>
    <w:rsid w:val="00536520"/>
    <w:rsid w:val="00536556"/>
    <w:rsid w:val="0053656A"/>
    <w:rsid w:val="005365AF"/>
    <w:rsid w:val="00536621"/>
    <w:rsid w:val="00536680"/>
    <w:rsid w:val="0053668F"/>
    <w:rsid w:val="005366A0"/>
    <w:rsid w:val="005366A3"/>
    <w:rsid w:val="005366AE"/>
    <w:rsid w:val="005366B8"/>
    <w:rsid w:val="005366EF"/>
    <w:rsid w:val="00536741"/>
    <w:rsid w:val="00536761"/>
    <w:rsid w:val="0053677A"/>
    <w:rsid w:val="0053677D"/>
    <w:rsid w:val="005367BE"/>
    <w:rsid w:val="005367C1"/>
    <w:rsid w:val="0053683A"/>
    <w:rsid w:val="0053685A"/>
    <w:rsid w:val="0053688D"/>
    <w:rsid w:val="005368A9"/>
    <w:rsid w:val="005368CD"/>
    <w:rsid w:val="005368E7"/>
    <w:rsid w:val="00536917"/>
    <w:rsid w:val="0053691D"/>
    <w:rsid w:val="00536937"/>
    <w:rsid w:val="0053695B"/>
    <w:rsid w:val="00536993"/>
    <w:rsid w:val="005369A0"/>
    <w:rsid w:val="005369AE"/>
    <w:rsid w:val="005369D6"/>
    <w:rsid w:val="005369E5"/>
    <w:rsid w:val="00536A0A"/>
    <w:rsid w:val="00536A7F"/>
    <w:rsid w:val="00536ADA"/>
    <w:rsid w:val="00536B16"/>
    <w:rsid w:val="00536B17"/>
    <w:rsid w:val="00536B31"/>
    <w:rsid w:val="00536CB3"/>
    <w:rsid w:val="00536CC6"/>
    <w:rsid w:val="00536CE2"/>
    <w:rsid w:val="00536D4A"/>
    <w:rsid w:val="00536D9E"/>
    <w:rsid w:val="00536E4E"/>
    <w:rsid w:val="00536E6E"/>
    <w:rsid w:val="00536E83"/>
    <w:rsid w:val="00536E97"/>
    <w:rsid w:val="00536EF5"/>
    <w:rsid w:val="00536F28"/>
    <w:rsid w:val="00536FC9"/>
    <w:rsid w:val="00536FE3"/>
    <w:rsid w:val="00537021"/>
    <w:rsid w:val="00537060"/>
    <w:rsid w:val="005370C9"/>
    <w:rsid w:val="005370CB"/>
    <w:rsid w:val="005370D1"/>
    <w:rsid w:val="00537184"/>
    <w:rsid w:val="005371B2"/>
    <w:rsid w:val="005371D3"/>
    <w:rsid w:val="00537226"/>
    <w:rsid w:val="00537260"/>
    <w:rsid w:val="005372C0"/>
    <w:rsid w:val="005372EA"/>
    <w:rsid w:val="0053731D"/>
    <w:rsid w:val="00537395"/>
    <w:rsid w:val="0053742A"/>
    <w:rsid w:val="005374B6"/>
    <w:rsid w:val="0053760D"/>
    <w:rsid w:val="00537610"/>
    <w:rsid w:val="0053762B"/>
    <w:rsid w:val="005376E7"/>
    <w:rsid w:val="005376F3"/>
    <w:rsid w:val="0053773D"/>
    <w:rsid w:val="005377D9"/>
    <w:rsid w:val="00537813"/>
    <w:rsid w:val="00537A2B"/>
    <w:rsid w:val="00537A4D"/>
    <w:rsid w:val="00537A6B"/>
    <w:rsid w:val="00537A84"/>
    <w:rsid w:val="00537ADF"/>
    <w:rsid w:val="00537AEA"/>
    <w:rsid w:val="00537AF5"/>
    <w:rsid w:val="00537B02"/>
    <w:rsid w:val="00537B18"/>
    <w:rsid w:val="00537B29"/>
    <w:rsid w:val="00537C02"/>
    <w:rsid w:val="00537C21"/>
    <w:rsid w:val="00537C35"/>
    <w:rsid w:val="00537C40"/>
    <w:rsid w:val="00537C49"/>
    <w:rsid w:val="00537CF1"/>
    <w:rsid w:val="00537D20"/>
    <w:rsid w:val="00537D31"/>
    <w:rsid w:val="00537DB1"/>
    <w:rsid w:val="00537E94"/>
    <w:rsid w:val="00537EDE"/>
    <w:rsid w:val="00537F7E"/>
    <w:rsid w:val="00537FC4"/>
    <w:rsid w:val="00537FDD"/>
    <w:rsid w:val="00537FF2"/>
    <w:rsid w:val="0053D258"/>
    <w:rsid w:val="00540022"/>
    <w:rsid w:val="0054002B"/>
    <w:rsid w:val="005400CC"/>
    <w:rsid w:val="005400D3"/>
    <w:rsid w:val="0054010F"/>
    <w:rsid w:val="0054019F"/>
    <w:rsid w:val="005401A5"/>
    <w:rsid w:val="005401CC"/>
    <w:rsid w:val="005401F6"/>
    <w:rsid w:val="00540209"/>
    <w:rsid w:val="0054021B"/>
    <w:rsid w:val="00540275"/>
    <w:rsid w:val="005402D3"/>
    <w:rsid w:val="0054033B"/>
    <w:rsid w:val="0054034A"/>
    <w:rsid w:val="0054039F"/>
    <w:rsid w:val="005403D6"/>
    <w:rsid w:val="005403E7"/>
    <w:rsid w:val="00540421"/>
    <w:rsid w:val="00540461"/>
    <w:rsid w:val="005404E2"/>
    <w:rsid w:val="00540511"/>
    <w:rsid w:val="00540569"/>
    <w:rsid w:val="005405C4"/>
    <w:rsid w:val="005405C9"/>
    <w:rsid w:val="0054060A"/>
    <w:rsid w:val="005406AF"/>
    <w:rsid w:val="005406DE"/>
    <w:rsid w:val="005406FF"/>
    <w:rsid w:val="005407DB"/>
    <w:rsid w:val="00540805"/>
    <w:rsid w:val="00540824"/>
    <w:rsid w:val="00540842"/>
    <w:rsid w:val="005408DC"/>
    <w:rsid w:val="00540915"/>
    <w:rsid w:val="00540966"/>
    <w:rsid w:val="00540977"/>
    <w:rsid w:val="005409BC"/>
    <w:rsid w:val="005409C8"/>
    <w:rsid w:val="00540A4C"/>
    <w:rsid w:val="00540A69"/>
    <w:rsid w:val="00540AAA"/>
    <w:rsid w:val="00540AB1"/>
    <w:rsid w:val="00540ABA"/>
    <w:rsid w:val="00540AE6"/>
    <w:rsid w:val="00540AF5"/>
    <w:rsid w:val="00540B03"/>
    <w:rsid w:val="00540B07"/>
    <w:rsid w:val="00540B56"/>
    <w:rsid w:val="00540B83"/>
    <w:rsid w:val="00540B84"/>
    <w:rsid w:val="00540C27"/>
    <w:rsid w:val="00540C32"/>
    <w:rsid w:val="00540C45"/>
    <w:rsid w:val="00540C4B"/>
    <w:rsid w:val="00540C4E"/>
    <w:rsid w:val="00540C8C"/>
    <w:rsid w:val="00540CAC"/>
    <w:rsid w:val="00540CB2"/>
    <w:rsid w:val="00540CB6"/>
    <w:rsid w:val="00540CCF"/>
    <w:rsid w:val="00540D6F"/>
    <w:rsid w:val="00540DC4"/>
    <w:rsid w:val="00540DC9"/>
    <w:rsid w:val="00540E0C"/>
    <w:rsid w:val="00540E15"/>
    <w:rsid w:val="00540E51"/>
    <w:rsid w:val="00540E59"/>
    <w:rsid w:val="00540E65"/>
    <w:rsid w:val="00540EA2"/>
    <w:rsid w:val="00540EE9"/>
    <w:rsid w:val="00540F5C"/>
    <w:rsid w:val="00540F7E"/>
    <w:rsid w:val="00540FAB"/>
    <w:rsid w:val="00540FAE"/>
    <w:rsid w:val="00540FCE"/>
    <w:rsid w:val="00541056"/>
    <w:rsid w:val="00541105"/>
    <w:rsid w:val="00541112"/>
    <w:rsid w:val="0054117F"/>
    <w:rsid w:val="00541188"/>
    <w:rsid w:val="005411B3"/>
    <w:rsid w:val="005411FF"/>
    <w:rsid w:val="00541206"/>
    <w:rsid w:val="0054120C"/>
    <w:rsid w:val="00541256"/>
    <w:rsid w:val="0054128D"/>
    <w:rsid w:val="005412A0"/>
    <w:rsid w:val="00541315"/>
    <w:rsid w:val="00541363"/>
    <w:rsid w:val="005413C6"/>
    <w:rsid w:val="005413FF"/>
    <w:rsid w:val="0054140E"/>
    <w:rsid w:val="00541507"/>
    <w:rsid w:val="00541512"/>
    <w:rsid w:val="0054156C"/>
    <w:rsid w:val="005415D3"/>
    <w:rsid w:val="005415FA"/>
    <w:rsid w:val="00541630"/>
    <w:rsid w:val="0054163A"/>
    <w:rsid w:val="005416BD"/>
    <w:rsid w:val="0054172E"/>
    <w:rsid w:val="00541763"/>
    <w:rsid w:val="005417AB"/>
    <w:rsid w:val="005417D3"/>
    <w:rsid w:val="005417DB"/>
    <w:rsid w:val="005417FA"/>
    <w:rsid w:val="00541821"/>
    <w:rsid w:val="0054189D"/>
    <w:rsid w:val="00541926"/>
    <w:rsid w:val="005419B7"/>
    <w:rsid w:val="005419BA"/>
    <w:rsid w:val="00541A52"/>
    <w:rsid w:val="00541A5D"/>
    <w:rsid w:val="00541A79"/>
    <w:rsid w:val="00541A88"/>
    <w:rsid w:val="00541B14"/>
    <w:rsid w:val="00541B2B"/>
    <w:rsid w:val="00541B95"/>
    <w:rsid w:val="00541BD1"/>
    <w:rsid w:val="00541CB3"/>
    <w:rsid w:val="00541E25"/>
    <w:rsid w:val="00541E36"/>
    <w:rsid w:val="00541E4D"/>
    <w:rsid w:val="00541ED5"/>
    <w:rsid w:val="00541EE8"/>
    <w:rsid w:val="00541F00"/>
    <w:rsid w:val="00541F20"/>
    <w:rsid w:val="00541F30"/>
    <w:rsid w:val="00541F99"/>
    <w:rsid w:val="00541FBC"/>
    <w:rsid w:val="00542036"/>
    <w:rsid w:val="0054203C"/>
    <w:rsid w:val="00542051"/>
    <w:rsid w:val="00542063"/>
    <w:rsid w:val="00542072"/>
    <w:rsid w:val="00542081"/>
    <w:rsid w:val="0054209B"/>
    <w:rsid w:val="005420B7"/>
    <w:rsid w:val="005420D2"/>
    <w:rsid w:val="005420E9"/>
    <w:rsid w:val="005420FA"/>
    <w:rsid w:val="00542146"/>
    <w:rsid w:val="005421B6"/>
    <w:rsid w:val="00542229"/>
    <w:rsid w:val="00542315"/>
    <w:rsid w:val="00542365"/>
    <w:rsid w:val="005423B2"/>
    <w:rsid w:val="00542403"/>
    <w:rsid w:val="0054241C"/>
    <w:rsid w:val="0054242C"/>
    <w:rsid w:val="0054245C"/>
    <w:rsid w:val="0054247D"/>
    <w:rsid w:val="00542481"/>
    <w:rsid w:val="005424B9"/>
    <w:rsid w:val="005424D4"/>
    <w:rsid w:val="00542565"/>
    <w:rsid w:val="00542597"/>
    <w:rsid w:val="005425A6"/>
    <w:rsid w:val="005425C1"/>
    <w:rsid w:val="00542642"/>
    <w:rsid w:val="0054268C"/>
    <w:rsid w:val="005426E9"/>
    <w:rsid w:val="0054270C"/>
    <w:rsid w:val="00542732"/>
    <w:rsid w:val="00542756"/>
    <w:rsid w:val="0054276B"/>
    <w:rsid w:val="0054276E"/>
    <w:rsid w:val="00542785"/>
    <w:rsid w:val="00542786"/>
    <w:rsid w:val="00542791"/>
    <w:rsid w:val="005427F4"/>
    <w:rsid w:val="00542809"/>
    <w:rsid w:val="0054281A"/>
    <w:rsid w:val="0054281B"/>
    <w:rsid w:val="00542853"/>
    <w:rsid w:val="005428D5"/>
    <w:rsid w:val="0054291B"/>
    <w:rsid w:val="00542920"/>
    <w:rsid w:val="0054292B"/>
    <w:rsid w:val="005429E2"/>
    <w:rsid w:val="005429EA"/>
    <w:rsid w:val="00542A16"/>
    <w:rsid w:val="00542A65"/>
    <w:rsid w:val="00542A6D"/>
    <w:rsid w:val="00542AF5"/>
    <w:rsid w:val="00542B56"/>
    <w:rsid w:val="00542C05"/>
    <w:rsid w:val="00542C5D"/>
    <w:rsid w:val="00542C83"/>
    <w:rsid w:val="00542CB9"/>
    <w:rsid w:val="00542CE9"/>
    <w:rsid w:val="00542D6F"/>
    <w:rsid w:val="00542DE7"/>
    <w:rsid w:val="00542DF6"/>
    <w:rsid w:val="00542E72"/>
    <w:rsid w:val="00542E88"/>
    <w:rsid w:val="00542ECE"/>
    <w:rsid w:val="00542ED1"/>
    <w:rsid w:val="00542F13"/>
    <w:rsid w:val="00542F28"/>
    <w:rsid w:val="00542F84"/>
    <w:rsid w:val="00542FD9"/>
    <w:rsid w:val="0054307D"/>
    <w:rsid w:val="005430A7"/>
    <w:rsid w:val="005430BB"/>
    <w:rsid w:val="005430F9"/>
    <w:rsid w:val="00543120"/>
    <w:rsid w:val="0054315D"/>
    <w:rsid w:val="00543162"/>
    <w:rsid w:val="005431C3"/>
    <w:rsid w:val="005431CF"/>
    <w:rsid w:val="00543233"/>
    <w:rsid w:val="00543243"/>
    <w:rsid w:val="00543286"/>
    <w:rsid w:val="005432A5"/>
    <w:rsid w:val="005433CC"/>
    <w:rsid w:val="005433DA"/>
    <w:rsid w:val="005434B5"/>
    <w:rsid w:val="00543514"/>
    <w:rsid w:val="0054352B"/>
    <w:rsid w:val="005435D9"/>
    <w:rsid w:val="0054360F"/>
    <w:rsid w:val="00543637"/>
    <w:rsid w:val="00543659"/>
    <w:rsid w:val="0054365D"/>
    <w:rsid w:val="0054367C"/>
    <w:rsid w:val="00543682"/>
    <w:rsid w:val="005436D7"/>
    <w:rsid w:val="005436DC"/>
    <w:rsid w:val="005436FF"/>
    <w:rsid w:val="0054370B"/>
    <w:rsid w:val="0054373A"/>
    <w:rsid w:val="005437CB"/>
    <w:rsid w:val="005437E1"/>
    <w:rsid w:val="00543809"/>
    <w:rsid w:val="00543813"/>
    <w:rsid w:val="00543885"/>
    <w:rsid w:val="00543886"/>
    <w:rsid w:val="005438BE"/>
    <w:rsid w:val="005438E3"/>
    <w:rsid w:val="00543922"/>
    <w:rsid w:val="00543993"/>
    <w:rsid w:val="00543999"/>
    <w:rsid w:val="005439AA"/>
    <w:rsid w:val="005439E8"/>
    <w:rsid w:val="00543A5F"/>
    <w:rsid w:val="00543B82"/>
    <w:rsid w:val="00543BA8"/>
    <w:rsid w:val="00543C0E"/>
    <w:rsid w:val="00543C36"/>
    <w:rsid w:val="00543C64"/>
    <w:rsid w:val="00543C81"/>
    <w:rsid w:val="00543C9E"/>
    <w:rsid w:val="00543CCE"/>
    <w:rsid w:val="00543CD6"/>
    <w:rsid w:val="00543CED"/>
    <w:rsid w:val="00543D0B"/>
    <w:rsid w:val="00543D0F"/>
    <w:rsid w:val="00543D26"/>
    <w:rsid w:val="00543D58"/>
    <w:rsid w:val="00543DBF"/>
    <w:rsid w:val="00543E45"/>
    <w:rsid w:val="00543E6D"/>
    <w:rsid w:val="00543EB5"/>
    <w:rsid w:val="00543F1D"/>
    <w:rsid w:val="00543F3D"/>
    <w:rsid w:val="00543F66"/>
    <w:rsid w:val="00543F76"/>
    <w:rsid w:val="00543FA6"/>
    <w:rsid w:val="00543FA8"/>
    <w:rsid w:val="00544009"/>
    <w:rsid w:val="00544059"/>
    <w:rsid w:val="0054408A"/>
    <w:rsid w:val="005440DE"/>
    <w:rsid w:val="005441F5"/>
    <w:rsid w:val="005441FD"/>
    <w:rsid w:val="00544279"/>
    <w:rsid w:val="00544284"/>
    <w:rsid w:val="00544287"/>
    <w:rsid w:val="0054429B"/>
    <w:rsid w:val="005442D7"/>
    <w:rsid w:val="00544322"/>
    <w:rsid w:val="005443F6"/>
    <w:rsid w:val="0054447F"/>
    <w:rsid w:val="005444E7"/>
    <w:rsid w:val="0054456C"/>
    <w:rsid w:val="0054461E"/>
    <w:rsid w:val="00544627"/>
    <w:rsid w:val="0054465B"/>
    <w:rsid w:val="0054465C"/>
    <w:rsid w:val="005446B2"/>
    <w:rsid w:val="005446CB"/>
    <w:rsid w:val="0054470F"/>
    <w:rsid w:val="00544743"/>
    <w:rsid w:val="0054475C"/>
    <w:rsid w:val="005447BD"/>
    <w:rsid w:val="005447CB"/>
    <w:rsid w:val="005447F3"/>
    <w:rsid w:val="005447FD"/>
    <w:rsid w:val="00544851"/>
    <w:rsid w:val="00544895"/>
    <w:rsid w:val="005448B1"/>
    <w:rsid w:val="00544933"/>
    <w:rsid w:val="0054493E"/>
    <w:rsid w:val="0054495C"/>
    <w:rsid w:val="005449F8"/>
    <w:rsid w:val="00544A4D"/>
    <w:rsid w:val="00544A53"/>
    <w:rsid w:val="00544A5F"/>
    <w:rsid w:val="00544A75"/>
    <w:rsid w:val="00544A96"/>
    <w:rsid w:val="00544A9B"/>
    <w:rsid w:val="00544AB5"/>
    <w:rsid w:val="00544AB6"/>
    <w:rsid w:val="00544AC5"/>
    <w:rsid w:val="00544ACE"/>
    <w:rsid w:val="00544AE2"/>
    <w:rsid w:val="00544B5E"/>
    <w:rsid w:val="00544B94"/>
    <w:rsid w:val="00544BC5"/>
    <w:rsid w:val="00544BD9"/>
    <w:rsid w:val="00544C81"/>
    <w:rsid w:val="00544CF1"/>
    <w:rsid w:val="00544D42"/>
    <w:rsid w:val="00544D53"/>
    <w:rsid w:val="00544D5B"/>
    <w:rsid w:val="00544D7C"/>
    <w:rsid w:val="00544D87"/>
    <w:rsid w:val="00544DCA"/>
    <w:rsid w:val="00544E1B"/>
    <w:rsid w:val="00544E39"/>
    <w:rsid w:val="00544E43"/>
    <w:rsid w:val="00544E5B"/>
    <w:rsid w:val="00544E8E"/>
    <w:rsid w:val="00544EE0"/>
    <w:rsid w:val="00544F52"/>
    <w:rsid w:val="00544F58"/>
    <w:rsid w:val="00544F5B"/>
    <w:rsid w:val="00544F64"/>
    <w:rsid w:val="00544F69"/>
    <w:rsid w:val="00544F6E"/>
    <w:rsid w:val="00544F71"/>
    <w:rsid w:val="00544F77"/>
    <w:rsid w:val="00545064"/>
    <w:rsid w:val="00545066"/>
    <w:rsid w:val="00545070"/>
    <w:rsid w:val="00545077"/>
    <w:rsid w:val="005450B1"/>
    <w:rsid w:val="005450B9"/>
    <w:rsid w:val="00545179"/>
    <w:rsid w:val="0054518E"/>
    <w:rsid w:val="00545204"/>
    <w:rsid w:val="00545207"/>
    <w:rsid w:val="0054523C"/>
    <w:rsid w:val="00545259"/>
    <w:rsid w:val="0054525F"/>
    <w:rsid w:val="0054527D"/>
    <w:rsid w:val="0054529D"/>
    <w:rsid w:val="005452C7"/>
    <w:rsid w:val="00545323"/>
    <w:rsid w:val="00545345"/>
    <w:rsid w:val="00545353"/>
    <w:rsid w:val="00545398"/>
    <w:rsid w:val="0054547C"/>
    <w:rsid w:val="0054552F"/>
    <w:rsid w:val="00545539"/>
    <w:rsid w:val="0054556F"/>
    <w:rsid w:val="005455BC"/>
    <w:rsid w:val="00545625"/>
    <w:rsid w:val="005456B7"/>
    <w:rsid w:val="005456FB"/>
    <w:rsid w:val="00545722"/>
    <w:rsid w:val="00545768"/>
    <w:rsid w:val="005457BD"/>
    <w:rsid w:val="00545831"/>
    <w:rsid w:val="0054596D"/>
    <w:rsid w:val="0054598C"/>
    <w:rsid w:val="005459AB"/>
    <w:rsid w:val="005459F8"/>
    <w:rsid w:val="005459FA"/>
    <w:rsid w:val="00545A24"/>
    <w:rsid w:val="00545A33"/>
    <w:rsid w:val="00545A37"/>
    <w:rsid w:val="00545A69"/>
    <w:rsid w:val="00545AE4"/>
    <w:rsid w:val="00545B4C"/>
    <w:rsid w:val="00545B63"/>
    <w:rsid w:val="00545B66"/>
    <w:rsid w:val="00545B7E"/>
    <w:rsid w:val="00545BFA"/>
    <w:rsid w:val="00545C8D"/>
    <w:rsid w:val="00545CA3"/>
    <w:rsid w:val="00545D87"/>
    <w:rsid w:val="00545E6F"/>
    <w:rsid w:val="00545E92"/>
    <w:rsid w:val="00545F61"/>
    <w:rsid w:val="00545FE8"/>
    <w:rsid w:val="00546006"/>
    <w:rsid w:val="00546009"/>
    <w:rsid w:val="005460DF"/>
    <w:rsid w:val="005460ED"/>
    <w:rsid w:val="005460EE"/>
    <w:rsid w:val="005460F1"/>
    <w:rsid w:val="00546151"/>
    <w:rsid w:val="00546157"/>
    <w:rsid w:val="00546186"/>
    <w:rsid w:val="005461CB"/>
    <w:rsid w:val="0054620C"/>
    <w:rsid w:val="0054621E"/>
    <w:rsid w:val="0054627E"/>
    <w:rsid w:val="005462BB"/>
    <w:rsid w:val="005462E5"/>
    <w:rsid w:val="005462E8"/>
    <w:rsid w:val="005462FB"/>
    <w:rsid w:val="00546373"/>
    <w:rsid w:val="00546381"/>
    <w:rsid w:val="005463B2"/>
    <w:rsid w:val="00546424"/>
    <w:rsid w:val="0054645C"/>
    <w:rsid w:val="00546460"/>
    <w:rsid w:val="005464BB"/>
    <w:rsid w:val="005464C8"/>
    <w:rsid w:val="005464C9"/>
    <w:rsid w:val="00546524"/>
    <w:rsid w:val="00546575"/>
    <w:rsid w:val="005465F0"/>
    <w:rsid w:val="0054673C"/>
    <w:rsid w:val="0054675E"/>
    <w:rsid w:val="005468E4"/>
    <w:rsid w:val="005468FA"/>
    <w:rsid w:val="00546914"/>
    <w:rsid w:val="005469DE"/>
    <w:rsid w:val="00546A21"/>
    <w:rsid w:val="00546A9C"/>
    <w:rsid w:val="00546B1E"/>
    <w:rsid w:val="00546B64"/>
    <w:rsid w:val="00546BDE"/>
    <w:rsid w:val="00546C40"/>
    <w:rsid w:val="00546C44"/>
    <w:rsid w:val="00546C53"/>
    <w:rsid w:val="00546C5A"/>
    <w:rsid w:val="00546D26"/>
    <w:rsid w:val="00546D72"/>
    <w:rsid w:val="00546DB7"/>
    <w:rsid w:val="00546DC5"/>
    <w:rsid w:val="00546E06"/>
    <w:rsid w:val="00546E27"/>
    <w:rsid w:val="00546E2F"/>
    <w:rsid w:val="00546EA3"/>
    <w:rsid w:val="00546EBA"/>
    <w:rsid w:val="00546F5F"/>
    <w:rsid w:val="00546F72"/>
    <w:rsid w:val="00546F8A"/>
    <w:rsid w:val="00546F9A"/>
    <w:rsid w:val="00546FD9"/>
    <w:rsid w:val="00546FF1"/>
    <w:rsid w:val="00547000"/>
    <w:rsid w:val="00547046"/>
    <w:rsid w:val="0054708F"/>
    <w:rsid w:val="00547090"/>
    <w:rsid w:val="0054709E"/>
    <w:rsid w:val="00547138"/>
    <w:rsid w:val="00547181"/>
    <w:rsid w:val="0054722F"/>
    <w:rsid w:val="00547287"/>
    <w:rsid w:val="005472B0"/>
    <w:rsid w:val="005472C0"/>
    <w:rsid w:val="005472E6"/>
    <w:rsid w:val="005473E1"/>
    <w:rsid w:val="00547421"/>
    <w:rsid w:val="0054743C"/>
    <w:rsid w:val="0054744B"/>
    <w:rsid w:val="00547456"/>
    <w:rsid w:val="005474A3"/>
    <w:rsid w:val="005474B3"/>
    <w:rsid w:val="005474CA"/>
    <w:rsid w:val="00547572"/>
    <w:rsid w:val="0054758C"/>
    <w:rsid w:val="005475A5"/>
    <w:rsid w:val="005475CB"/>
    <w:rsid w:val="005475EE"/>
    <w:rsid w:val="0054764F"/>
    <w:rsid w:val="00547653"/>
    <w:rsid w:val="00547660"/>
    <w:rsid w:val="0054766A"/>
    <w:rsid w:val="005476CE"/>
    <w:rsid w:val="005476D5"/>
    <w:rsid w:val="005476E2"/>
    <w:rsid w:val="00547726"/>
    <w:rsid w:val="00547762"/>
    <w:rsid w:val="00547770"/>
    <w:rsid w:val="005477D7"/>
    <w:rsid w:val="00547854"/>
    <w:rsid w:val="0054785A"/>
    <w:rsid w:val="00547866"/>
    <w:rsid w:val="0054787B"/>
    <w:rsid w:val="00547884"/>
    <w:rsid w:val="005478A0"/>
    <w:rsid w:val="005478D5"/>
    <w:rsid w:val="00547955"/>
    <w:rsid w:val="005479D9"/>
    <w:rsid w:val="00547A18"/>
    <w:rsid w:val="00547B59"/>
    <w:rsid w:val="00547BC3"/>
    <w:rsid w:val="00547C42"/>
    <w:rsid w:val="00547CB2"/>
    <w:rsid w:val="00547D04"/>
    <w:rsid w:val="00547D07"/>
    <w:rsid w:val="00547DBE"/>
    <w:rsid w:val="00547DCA"/>
    <w:rsid w:val="00547DD7"/>
    <w:rsid w:val="00547E5D"/>
    <w:rsid w:val="00547E5E"/>
    <w:rsid w:val="00547E73"/>
    <w:rsid w:val="00547E97"/>
    <w:rsid w:val="00547EC4"/>
    <w:rsid w:val="00547ED5"/>
    <w:rsid w:val="00547F0A"/>
    <w:rsid w:val="00547F70"/>
    <w:rsid w:val="00547FD7"/>
    <w:rsid w:val="00550004"/>
    <w:rsid w:val="0055004A"/>
    <w:rsid w:val="00550052"/>
    <w:rsid w:val="005500DF"/>
    <w:rsid w:val="005500E9"/>
    <w:rsid w:val="005501A4"/>
    <w:rsid w:val="005501CC"/>
    <w:rsid w:val="00550341"/>
    <w:rsid w:val="00550387"/>
    <w:rsid w:val="005503B9"/>
    <w:rsid w:val="005503C1"/>
    <w:rsid w:val="005503FC"/>
    <w:rsid w:val="00550466"/>
    <w:rsid w:val="005504A3"/>
    <w:rsid w:val="005504BF"/>
    <w:rsid w:val="00550528"/>
    <w:rsid w:val="0055052C"/>
    <w:rsid w:val="005505D4"/>
    <w:rsid w:val="005505E5"/>
    <w:rsid w:val="00550639"/>
    <w:rsid w:val="0055063E"/>
    <w:rsid w:val="00550750"/>
    <w:rsid w:val="0055076B"/>
    <w:rsid w:val="00550772"/>
    <w:rsid w:val="0055086F"/>
    <w:rsid w:val="005508F1"/>
    <w:rsid w:val="00550932"/>
    <w:rsid w:val="00550979"/>
    <w:rsid w:val="005509DD"/>
    <w:rsid w:val="00550A83"/>
    <w:rsid w:val="00550AA6"/>
    <w:rsid w:val="00550AD9"/>
    <w:rsid w:val="00550B67"/>
    <w:rsid w:val="00550B90"/>
    <w:rsid w:val="00550B92"/>
    <w:rsid w:val="00550BC8"/>
    <w:rsid w:val="00550C7D"/>
    <w:rsid w:val="00550C9A"/>
    <w:rsid w:val="00550CA8"/>
    <w:rsid w:val="00550CE6"/>
    <w:rsid w:val="00550D23"/>
    <w:rsid w:val="00550D39"/>
    <w:rsid w:val="00550D87"/>
    <w:rsid w:val="00550D8D"/>
    <w:rsid w:val="00550E52"/>
    <w:rsid w:val="00550E69"/>
    <w:rsid w:val="00550E72"/>
    <w:rsid w:val="00550E98"/>
    <w:rsid w:val="00550ED1"/>
    <w:rsid w:val="00550F13"/>
    <w:rsid w:val="00550F44"/>
    <w:rsid w:val="00550FC8"/>
    <w:rsid w:val="005510ED"/>
    <w:rsid w:val="005510F3"/>
    <w:rsid w:val="0055111B"/>
    <w:rsid w:val="00551127"/>
    <w:rsid w:val="00551141"/>
    <w:rsid w:val="0055115C"/>
    <w:rsid w:val="00551193"/>
    <w:rsid w:val="005511BE"/>
    <w:rsid w:val="005511D8"/>
    <w:rsid w:val="0055122A"/>
    <w:rsid w:val="00551268"/>
    <w:rsid w:val="005512BB"/>
    <w:rsid w:val="00551329"/>
    <w:rsid w:val="0055135D"/>
    <w:rsid w:val="00551386"/>
    <w:rsid w:val="005513A1"/>
    <w:rsid w:val="005513A4"/>
    <w:rsid w:val="005513BC"/>
    <w:rsid w:val="005513C7"/>
    <w:rsid w:val="0055145D"/>
    <w:rsid w:val="00551491"/>
    <w:rsid w:val="005514F9"/>
    <w:rsid w:val="0055168D"/>
    <w:rsid w:val="005516B9"/>
    <w:rsid w:val="005516D3"/>
    <w:rsid w:val="00551713"/>
    <w:rsid w:val="0055174A"/>
    <w:rsid w:val="00551782"/>
    <w:rsid w:val="0055178A"/>
    <w:rsid w:val="005517C3"/>
    <w:rsid w:val="0055181D"/>
    <w:rsid w:val="005518AD"/>
    <w:rsid w:val="005519BF"/>
    <w:rsid w:val="005519C5"/>
    <w:rsid w:val="005519FA"/>
    <w:rsid w:val="00551A25"/>
    <w:rsid w:val="00551ADC"/>
    <w:rsid w:val="00551AF5"/>
    <w:rsid w:val="00551B51"/>
    <w:rsid w:val="00551BA7"/>
    <w:rsid w:val="00551C13"/>
    <w:rsid w:val="00551C39"/>
    <w:rsid w:val="00551C5F"/>
    <w:rsid w:val="00551CDC"/>
    <w:rsid w:val="00551DCE"/>
    <w:rsid w:val="00551DDA"/>
    <w:rsid w:val="00551E9C"/>
    <w:rsid w:val="00551F36"/>
    <w:rsid w:val="00551FB4"/>
    <w:rsid w:val="00551FDC"/>
    <w:rsid w:val="00552066"/>
    <w:rsid w:val="00552094"/>
    <w:rsid w:val="005520DC"/>
    <w:rsid w:val="005520F9"/>
    <w:rsid w:val="00552136"/>
    <w:rsid w:val="00552175"/>
    <w:rsid w:val="0055219B"/>
    <w:rsid w:val="005521BC"/>
    <w:rsid w:val="005521D8"/>
    <w:rsid w:val="0055223F"/>
    <w:rsid w:val="00552247"/>
    <w:rsid w:val="0055224E"/>
    <w:rsid w:val="00552267"/>
    <w:rsid w:val="005522ED"/>
    <w:rsid w:val="00552360"/>
    <w:rsid w:val="00552370"/>
    <w:rsid w:val="00552384"/>
    <w:rsid w:val="00552391"/>
    <w:rsid w:val="005523AE"/>
    <w:rsid w:val="005523DE"/>
    <w:rsid w:val="0055245E"/>
    <w:rsid w:val="0055246E"/>
    <w:rsid w:val="005524C9"/>
    <w:rsid w:val="005524D6"/>
    <w:rsid w:val="0055250C"/>
    <w:rsid w:val="00552519"/>
    <w:rsid w:val="0055264B"/>
    <w:rsid w:val="00552687"/>
    <w:rsid w:val="00552707"/>
    <w:rsid w:val="0055274A"/>
    <w:rsid w:val="0055275D"/>
    <w:rsid w:val="005527ED"/>
    <w:rsid w:val="00552886"/>
    <w:rsid w:val="00552896"/>
    <w:rsid w:val="0055289B"/>
    <w:rsid w:val="005528A2"/>
    <w:rsid w:val="005528B8"/>
    <w:rsid w:val="005528D2"/>
    <w:rsid w:val="005528F2"/>
    <w:rsid w:val="005528F7"/>
    <w:rsid w:val="00552922"/>
    <w:rsid w:val="00552947"/>
    <w:rsid w:val="00552983"/>
    <w:rsid w:val="005529F8"/>
    <w:rsid w:val="00552A5F"/>
    <w:rsid w:val="00552A67"/>
    <w:rsid w:val="00552A76"/>
    <w:rsid w:val="00552AA0"/>
    <w:rsid w:val="00552AAF"/>
    <w:rsid w:val="00552BCA"/>
    <w:rsid w:val="00552C1C"/>
    <w:rsid w:val="00552C4C"/>
    <w:rsid w:val="00552C5E"/>
    <w:rsid w:val="00552D08"/>
    <w:rsid w:val="00552D18"/>
    <w:rsid w:val="00552D33"/>
    <w:rsid w:val="00552D5D"/>
    <w:rsid w:val="00552D6F"/>
    <w:rsid w:val="00552E07"/>
    <w:rsid w:val="00552E86"/>
    <w:rsid w:val="00552EAD"/>
    <w:rsid w:val="00552ED3"/>
    <w:rsid w:val="00552F5D"/>
    <w:rsid w:val="00552F95"/>
    <w:rsid w:val="00553063"/>
    <w:rsid w:val="005530C8"/>
    <w:rsid w:val="005531E9"/>
    <w:rsid w:val="005531F3"/>
    <w:rsid w:val="00553200"/>
    <w:rsid w:val="0055324A"/>
    <w:rsid w:val="005532A0"/>
    <w:rsid w:val="005532BA"/>
    <w:rsid w:val="00553310"/>
    <w:rsid w:val="00553388"/>
    <w:rsid w:val="005533DE"/>
    <w:rsid w:val="005533F6"/>
    <w:rsid w:val="0055347F"/>
    <w:rsid w:val="0055349A"/>
    <w:rsid w:val="005534BC"/>
    <w:rsid w:val="005534C2"/>
    <w:rsid w:val="005534C9"/>
    <w:rsid w:val="005534FF"/>
    <w:rsid w:val="00553524"/>
    <w:rsid w:val="00553573"/>
    <w:rsid w:val="0055362F"/>
    <w:rsid w:val="00553670"/>
    <w:rsid w:val="0055369C"/>
    <w:rsid w:val="005536D4"/>
    <w:rsid w:val="005536EA"/>
    <w:rsid w:val="0055371C"/>
    <w:rsid w:val="00553729"/>
    <w:rsid w:val="0055378C"/>
    <w:rsid w:val="00553823"/>
    <w:rsid w:val="0055386D"/>
    <w:rsid w:val="00553896"/>
    <w:rsid w:val="005538B4"/>
    <w:rsid w:val="005538BF"/>
    <w:rsid w:val="005538C7"/>
    <w:rsid w:val="005538FF"/>
    <w:rsid w:val="00553915"/>
    <w:rsid w:val="00553920"/>
    <w:rsid w:val="0055393B"/>
    <w:rsid w:val="00553942"/>
    <w:rsid w:val="00553980"/>
    <w:rsid w:val="00553999"/>
    <w:rsid w:val="005539E1"/>
    <w:rsid w:val="005539EA"/>
    <w:rsid w:val="00553AC1"/>
    <w:rsid w:val="00553ADD"/>
    <w:rsid w:val="00553AF2"/>
    <w:rsid w:val="00553B09"/>
    <w:rsid w:val="00553B60"/>
    <w:rsid w:val="00553B6A"/>
    <w:rsid w:val="00553B98"/>
    <w:rsid w:val="00553BAE"/>
    <w:rsid w:val="00553BF8"/>
    <w:rsid w:val="00553BFF"/>
    <w:rsid w:val="00553C9C"/>
    <w:rsid w:val="00553CAE"/>
    <w:rsid w:val="00553CDD"/>
    <w:rsid w:val="00553D62"/>
    <w:rsid w:val="00553D8B"/>
    <w:rsid w:val="00553DC9"/>
    <w:rsid w:val="00553E03"/>
    <w:rsid w:val="00553E27"/>
    <w:rsid w:val="00553E7F"/>
    <w:rsid w:val="00553F09"/>
    <w:rsid w:val="00553F13"/>
    <w:rsid w:val="00553F31"/>
    <w:rsid w:val="00553F87"/>
    <w:rsid w:val="0055405A"/>
    <w:rsid w:val="0055409E"/>
    <w:rsid w:val="005540AE"/>
    <w:rsid w:val="005540B7"/>
    <w:rsid w:val="005540E6"/>
    <w:rsid w:val="0055413D"/>
    <w:rsid w:val="005541D3"/>
    <w:rsid w:val="005541F7"/>
    <w:rsid w:val="00554257"/>
    <w:rsid w:val="00554278"/>
    <w:rsid w:val="005542A9"/>
    <w:rsid w:val="005542B5"/>
    <w:rsid w:val="005542D5"/>
    <w:rsid w:val="00554305"/>
    <w:rsid w:val="0055434E"/>
    <w:rsid w:val="0055441D"/>
    <w:rsid w:val="00554454"/>
    <w:rsid w:val="00554484"/>
    <w:rsid w:val="00554491"/>
    <w:rsid w:val="005544D4"/>
    <w:rsid w:val="005544D7"/>
    <w:rsid w:val="005544D9"/>
    <w:rsid w:val="00554515"/>
    <w:rsid w:val="00554542"/>
    <w:rsid w:val="00554556"/>
    <w:rsid w:val="005545BD"/>
    <w:rsid w:val="00554602"/>
    <w:rsid w:val="00554603"/>
    <w:rsid w:val="0055461D"/>
    <w:rsid w:val="00554665"/>
    <w:rsid w:val="0055466F"/>
    <w:rsid w:val="00554691"/>
    <w:rsid w:val="0055469B"/>
    <w:rsid w:val="005546C1"/>
    <w:rsid w:val="005546FB"/>
    <w:rsid w:val="00554711"/>
    <w:rsid w:val="00554755"/>
    <w:rsid w:val="00554792"/>
    <w:rsid w:val="005547D6"/>
    <w:rsid w:val="0055481B"/>
    <w:rsid w:val="0055487C"/>
    <w:rsid w:val="00554903"/>
    <w:rsid w:val="00554989"/>
    <w:rsid w:val="005549C1"/>
    <w:rsid w:val="005549CC"/>
    <w:rsid w:val="00554A0D"/>
    <w:rsid w:val="00554A5F"/>
    <w:rsid w:val="00554A7B"/>
    <w:rsid w:val="00554A9B"/>
    <w:rsid w:val="00554BD1"/>
    <w:rsid w:val="00554C12"/>
    <w:rsid w:val="00554C33"/>
    <w:rsid w:val="00554C55"/>
    <w:rsid w:val="00554C66"/>
    <w:rsid w:val="00554C7C"/>
    <w:rsid w:val="00554CA6"/>
    <w:rsid w:val="00554CAB"/>
    <w:rsid w:val="00554CEA"/>
    <w:rsid w:val="00554D1F"/>
    <w:rsid w:val="00554D5B"/>
    <w:rsid w:val="00554D80"/>
    <w:rsid w:val="00554DB5"/>
    <w:rsid w:val="00554DEA"/>
    <w:rsid w:val="00554E0E"/>
    <w:rsid w:val="00554E5C"/>
    <w:rsid w:val="00554E78"/>
    <w:rsid w:val="00554E8B"/>
    <w:rsid w:val="00554F00"/>
    <w:rsid w:val="00554F51"/>
    <w:rsid w:val="00554F69"/>
    <w:rsid w:val="00554FAB"/>
    <w:rsid w:val="00554FBD"/>
    <w:rsid w:val="00555034"/>
    <w:rsid w:val="00555058"/>
    <w:rsid w:val="00555095"/>
    <w:rsid w:val="005550A4"/>
    <w:rsid w:val="005550D6"/>
    <w:rsid w:val="00555154"/>
    <w:rsid w:val="00555161"/>
    <w:rsid w:val="00555181"/>
    <w:rsid w:val="0055526B"/>
    <w:rsid w:val="00555301"/>
    <w:rsid w:val="0055531D"/>
    <w:rsid w:val="00555344"/>
    <w:rsid w:val="0055536F"/>
    <w:rsid w:val="00555374"/>
    <w:rsid w:val="00555387"/>
    <w:rsid w:val="005553E0"/>
    <w:rsid w:val="005554CF"/>
    <w:rsid w:val="00555519"/>
    <w:rsid w:val="00555528"/>
    <w:rsid w:val="00555567"/>
    <w:rsid w:val="005555BE"/>
    <w:rsid w:val="005555CE"/>
    <w:rsid w:val="005555FD"/>
    <w:rsid w:val="005555FE"/>
    <w:rsid w:val="00555606"/>
    <w:rsid w:val="0055563A"/>
    <w:rsid w:val="00555781"/>
    <w:rsid w:val="00555790"/>
    <w:rsid w:val="005557C0"/>
    <w:rsid w:val="005557FD"/>
    <w:rsid w:val="00555824"/>
    <w:rsid w:val="0055582A"/>
    <w:rsid w:val="00555842"/>
    <w:rsid w:val="00555873"/>
    <w:rsid w:val="005558C7"/>
    <w:rsid w:val="00555940"/>
    <w:rsid w:val="00555976"/>
    <w:rsid w:val="005559FD"/>
    <w:rsid w:val="00555A10"/>
    <w:rsid w:val="00555A27"/>
    <w:rsid w:val="00555A78"/>
    <w:rsid w:val="00555A9A"/>
    <w:rsid w:val="00555A9F"/>
    <w:rsid w:val="00555AE3"/>
    <w:rsid w:val="00555B07"/>
    <w:rsid w:val="00555B42"/>
    <w:rsid w:val="00555B99"/>
    <w:rsid w:val="00555BAD"/>
    <w:rsid w:val="00555BDF"/>
    <w:rsid w:val="00555C3B"/>
    <w:rsid w:val="00555CA9"/>
    <w:rsid w:val="00555D8A"/>
    <w:rsid w:val="00555DAB"/>
    <w:rsid w:val="00555DD7"/>
    <w:rsid w:val="00555DE5"/>
    <w:rsid w:val="00555E48"/>
    <w:rsid w:val="00555E6E"/>
    <w:rsid w:val="00555EE3"/>
    <w:rsid w:val="00555F15"/>
    <w:rsid w:val="00555FD7"/>
    <w:rsid w:val="00555FEA"/>
    <w:rsid w:val="00556019"/>
    <w:rsid w:val="0055602F"/>
    <w:rsid w:val="00556096"/>
    <w:rsid w:val="00556121"/>
    <w:rsid w:val="00556177"/>
    <w:rsid w:val="0055617E"/>
    <w:rsid w:val="005561B9"/>
    <w:rsid w:val="00556207"/>
    <w:rsid w:val="0055624A"/>
    <w:rsid w:val="0055629A"/>
    <w:rsid w:val="005562C1"/>
    <w:rsid w:val="005562FE"/>
    <w:rsid w:val="00556312"/>
    <w:rsid w:val="00556324"/>
    <w:rsid w:val="0055634A"/>
    <w:rsid w:val="005563B7"/>
    <w:rsid w:val="00556423"/>
    <w:rsid w:val="00556471"/>
    <w:rsid w:val="005564E6"/>
    <w:rsid w:val="00556572"/>
    <w:rsid w:val="00556583"/>
    <w:rsid w:val="005565B1"/>
    <w:rsid w:val="00556601"/>
    <w:rsid w:val="00556678"/>
    <w:rsid w:val="0055668E"/>
    <w:rsid w:val="005566A8"/>
    <w:rsid w:val="005566C4"/>
    <w:rsid w:val="005567DB"/>
    <w:rsid w:val="00556804"/>
    <w:rsid w:val="0055680E"/>
    <w:rsid w:val="00556858"/>
    <w:rsid w:val="00556866"/>
    <w:rsid w:val="005568B9"/>
    <w:rsid w:val="005569D9"/>
    <w:rsid w:val="00556A00"/>
    <w:rsid w:val="00556A7B"/>
    <w:rsid w:val="00556A97"/>
    <w:rsid w:val="00556ABD"/>
    <w:rsid w:val="00556AF3"/>
    <w:rsid w:val="00556B09"/>
    <w:rsid w:val="00556B27"/>
    <w:rsid w:val="00556B4C"/>
    <w:rsid w:val="00556B67"/>
    <w:rsid w:val="00556B8C"/>
    <w:rsid w:val="00556BBA"/>
    <w:rsid w:val="00556BDE"/>
    <w:rsid w:val="00556C89"/>
    <w:rsid w:val="00556CAB"/>
    <w:rsid w:val="00556CDB"/>
    <w:rsid w:val="00556D21"/>
    <w:rsid w:val="00556D24"/>
    <w:rsid w:val="00556D3B"/>
    <w:rsid w:val="00556D7F"/>
    <w:rsid w:val="00556D94"/>
    <w:rsid w:val="00556E15"/>
    <w:rsid w:val="00556E45"/>
    <w:rsid w:val="00556EAC"/>
    <w:rsid w:val="00556EB6"/>
    <w:rsid w:val="00556EC8"/>
    <w:rsid w:val="00556EDB"/>
    <w:rsid w:val="00556FFC"/>
    <w:rsid w:val="00557005"/>
    <w:rsid w:val="0055704D"/>
    <w:rsid w:val="005570A6"/>
    <w:rsid w:val="005570E6"/>
    <w:rsid w:val="005570F3"/>
    <w:rsid w:val="00557110"/>
    <w:rsid w:val="0055729F"/>
    <w:rsid w:val="005572B5"/>
    <w:rsid w:val="005572FC"/>
    <w:rsid w:val="0055734B"/>
    <w:rsid w:val="00557398"/>
    <w:rsid w:val="005573DA"/>
    <w:rsid w:val="005573F5"/>
    <w:rsid w:val="0055740B"/>
    <w:rsid w:val="005574A8"/>
    <w:rsid w:val="005574AE"/>
    <w:rsid w:val="005574E3"/>
    <w:rsid w:val="00557547"/>
    <w:rsid w:val="0055754F"/>
    <w:rsid w:val="005575AA"/>
    <w:rsid w:val="005575DE"/>
    <w:rsid w:val="005575E5"/>
    <w:rsid w:val="00557628"/>
    <w:rsid w:val="00557638"/>
    <w:rsid w:val="0055765E"/>
    <w:rsid w:val="00557676"/>
    <w:rsid w:val="005576EB"/>
    <w:rsid w:val="00557726"/>
    <w:rsid w:val="005577AD"/>
    <w:rsid w:val="005577BB"/>
    <w:rsid w:val="005577FD"/>
    <w:rsid w:val="00557839"/>
    <w:rsid w:val="0055783C"/>
    <w:rsid w:val="00557897"/>
    <w:rsid w:val="00557898"/>
    <w:rsid w:val="005578CD"/>
    <w:rsid w:val="005578CE"/>
    <w:rsid w:val="005578F7"/>
    <w:rsid w:val="00557911"/>
    <w:rsid w:val="005579A7"/>
    <w:rsid w:val="005579BE"/>
    <w:rsid w:val="00557A07"/>
    <w:rsid w:val="00557A23"/>
    <w:rsid w:val="00557A95"/>
    <w:rsid w:val="00557AEB"/>
    <w:rsid w:val="00557B15"/>
    <w:rsid w:val="00557B31"/>
    <w:rsid w:val="00557B39"/>
    <w:rsid w:val="00557B4D"/>
    <w:rsid w:val="00557B56"/>
    <w:rsid w:val="00557B63"/>
    <w:rsid w:val="00557BA1"/>
    <w:rsid w:val="00557BA7"/>
    <w:rsid w:val="00557C72"/>
    <w:rsid w:val="00557C82"/>
    <w:rsid w:val="00557C92"/>
    <w:rsid w:val="00557CB8"/>
    <w:rsid w:val="00557D0C"/>
    <w:rsid w:val="00557DE5"/>
    <w:rsid w:val="00557E09"/>
    <w:rsid w:val="00557E0A"/>
    <w:rsid w:val="00557E45"/>
    <w:rsid w:val="00557E91"/>
    <w:rsid w:val="00557F23"/>
    <w:rsid w:val="00557F2D"/>
    <w:rsid w:val="00557F60"/>
    <w:rsid w:val="00557F94"/>
    <w:rsid w:val="00557FE3"/>
    <w:rsid w:val="005600AA"/>
    <w:rsid w:val="005600E3"/>
    <w:rsid w:val="00560113"/>
    <w:rsid w:val="00560168"/>
    <w:rsid w:val="005601CC"/>
    <w:rsid w:val="005601E4"/>
    <w:rsid w:val="005601F1"/>
    <w:rsid w:val="00560254"/>
    <w:rsid w:val="0056025B"/>
    <w:rsid w:val="00560267"/>
    <w:rsid w:val="005602AF"/>
    <w:rsid w:val="00560356"/>
    <w:rsid w:val="00560376"/>
    <w:rsid w:val="0056044F"/>
    <w:rsid w:val="005604A3"/>
    <w:rsid w:val="005604B7"/>
    <w:rsid w:val="005604D2"/>
    <w:rsid w:val="005604E2"/>
    <w:rsid w:val="00560548"/>
    <w:rsid w:val="00560594"/>
    <w:rsid w:val="005605A3"/>
    <w:rsid w:val="0056078A"/>
    <w:rsid w:val="00560852"/>
    <w:rsid w:val="00560861"/>
    <w:rsid w:val="0056087C"/>
    <w:rsid w:val="005608CA"/>
    <w:rsid w:val="005608FB"/>
    <w:rsid w:val="00560938"/>
    <w:rsid w:val="00560979"/>
    <w:rsid w:val="00560A34"/>
    <w:rsid w:val="00560A79"/>
    <w:rsid w:val="00560AD9"/>
    <w:rsid w:val="00560B90"/>
    <w:rsid w:val="00560BB0"/>
    <w:rsid w:val="00560C0D"/>
    <w:rsid w:val="00560C35"/>
    <w:rsid w:val="00560C8D"/>
    <w:rsid w:val="00560C9D"/>
    <w:rsid w:val="00560CAC"/>
    <w:rsid w:val="00560D00"/>
    <w:rsid w:val="00560DA1"/>
    <w:rsid w:val="00560DD3"/>
    <w:rsid w:val="00560DDD"/>
    <w:rsid w:val="00560DF4"/>
    <w:rsid w:val="00560E9E"/>
    <w:rsid w:val="00560EE7"/>
    <w:rsid w:val="00560F0A"/>
    <w:rsid w:val="00560F4A"/>
    <w:rsid w:val="00560F5D"/>
    <w:rsid w:val="00560FAE"/>
    <w:rsid w:val="00560FBC"/>
    <w:rsid w:val="00560FD5"/>
    <w:rsid w:val="00560FD6"/>
    <w:rsid w:val="00561032"/>
    <w:rsid w:val="00561064"/>
    <w:rsid w:val="005610A7"/>
    <w:rsid w:val="00561121"/>
    <w:rsid w:val="005611D2"/>
    <w:rsid w:val="005611D5"/>
    <w:rsid w:val="00561304"/>
    <w:rsid w:val="00561312"/>
    <w:rsid w:val="00561543"/>
    <w:rsid w:val="00561567"/>
    <w:rsid w:val="005615EA"/>
    <w:rsid w:val="00561626"/>
    <w:rsid w:val="00561643"/>
    <w:rsid w:val="00561649"/>
    <w:rsid w:val="0056166D"/>
    <w:rsid w:val="0056167C"/>
    <w:rsid w:val="0056167E"/>
    <w:rsid w:val="00561682"/>
    <w:rsid w:val="005616A3"/>
    <w:rsid w:val="0056171B"/>
    <w:rsid w:val="0056172D"/>
    <w:rsid w:val="0056174D"/>
    <w:rsid w:val="00561776"/>
    <w:rsid w:val="00561791"/>
    <w:rsid w:val="005617BF"/>
    <w:rsid w:val="00561869"/>
    <w:rsid w:val="00561888"/>
    <w:rsid w:val="005618E3"/>
    <w:rsid w:val="005619A4"/>
    <w:rsid w:val="005619D3"/>
    <w:rsid w:val="005619D4"/>
    <w:rsid w:val="005619DC"/>
    <w:rsid w:val="00561A2E"/>
    <w:rsid w:val="00561AC2"/>
    <w:rsid w:val="00561B58"/>
    <w:rsid w:val="00561B7A"/>
    <w:rsid w:val="00561BB8"/>
    <w:rsid w:val="00561C44"/>
    <w:rsid w:val="00561D09"/>
    <w:rsid w:val="00561D26"/>
    <w:rsid w:val="00561D34"/>
    <w:rsid w:val="00561D55"/>
    <w:rsid w:val="00561D8B"/>
    <w:rsid w:val="00561DA8"/>
    <w:rsid w:val="00561DDC"/>
    <w:rsid w:val="00561E8F"/>
    <w:rsid w:val="00561EAA"/>
    <w:rsid w:val="00561EAB"/>
    <w:rsid w:val="00561ED9"/>
    <w:rsid w:val="00561F0A"/>
    <w:rsid w:val="00561FDC"/>
    <w:rsid w:val="00561FF1"/>
    <w:rsid w:val="00562023"/>
    <w:rsid w:val="005620D2"/>
    <w:rsid w:val="0056212C"/>
    <w:rsid w:val="005621C5"/>
    <w:rsid w:val="0056220B"/>
    <w:rsid w:val="0056221D"/>
    <w:rsid w:val="0056223E"/>
    <w:rsid w:val="0056225C"/>
    <w:rsid w:val="005622DB"/>
    <w:rsid w:val="0056238C"/>
    <w:rsid w:val="005623F4"/>
    <w:rsid w:val="00562417"/>
    <w:rsid w:val="0056245C"/>
    <w:rsid w:val="0056249A"/>
    <w:rsid w:val="005624C5"/>
    <w:rsid w:val="005625E1"/>
    <w:rsid w:val="005625EA"/>
    <w:rsid w:val="00562787"/>
    <w:rsid w:val="005627CB"/>
    <w:rsid w:val="00562837"/>
    <w:rsid w:val="00562840"/>
    <w:rsid w:val="0056287E"/>
    <w:rsid w:val="005628A8"/>
    <w:rsid w:val="005628CB"/>
    <w:rsid w:val="00562A74"/>
    <w:rsid w:val="00562A7D"/>
    <w:rsid w:val="00562B93"/>
    <w:rsid w:val="00562B9E"/>
    <w:rsid w:val="00562CA7"/>
    <w:rsid w:val="00562CC7"/>
    <w:rsid w:val="00562CF1"/>
    <w:rsid w:val="00562D6D"/>
    <w:rsid w:val="00562E3D"/>
    <w:rsid w:val="00562E4C"/>
    <w:rsid w:val="00562F08"/>
    <w:rsid w:val="00562F32"/>
    <w:rsid w:val="00562F84"/>
    <w:rsid w:val="00562FAB"/>
    <w:rsid w:val="00562FCD"/>
    <w:rsid w:val="00562FFD"/>
    <w:rsid w:val="00563011"/>
    <w:rsid w:val="0056301D"/>
    <w:rsid w:val="00563035"/>
    <w:rsid w:val="00563093"/>
    <w:rsid w:val="005630D7"/>
    <w:rsid w:val="005630FE"/>
    <w:rsid w:val="0056310E"/>
    <w:rsid w:val="0056317F"/>
    <w:rsid w:val="00563195"/>
    <w:rsid w:val="005631D1"/>
    <w:rsid w:val="00563237"/>
    <w:rsid w:val="00563260"/>
    <w:rsid w:val="00563263"/>
    <w:rsid w:val="0056327C"/>
    <w:rsid w:val="0056327D"/>
    <w:rsid w:val="0056328B"/>
    <w:rsid w:val="005632C1"/>
    <w:rsid w:val="005632F0"/>
    <w:rsid w:val="005633C9"/>
    <w:rsid w:val="005633DF"/>
    <w:rsid w:val="0056340F"/>
    <w:rsid w:val="00563449"/>
    <w:rsid w:val="0056347B"/>
    <w:rsid w:val="005634D8"/>
    <w:rsid w:val="00563541"/>
    <w:rsid w:val="0056358E"/>
    <w:rsid w:val="005635B9"/>
    <w:rsid w:val="0056360C"/>
    <w:rsid w:val="00563639"/>
    <w:rsid w:val="0056364A"/>
    <w:rsid w:val="0056365B"/>
    <w:rsid w:val="00563695"/>
    <w:rsid w:val="00563709"/>
    <w:rsid w:val="00563722"/>
    <w:rsid w:val="0056372E"/>
    <w:rsid w:val="0056377E"/>
    <w:rsid w:val="005637A1"/>
    <w:rsid w:val="005637FE"/>
    <w:rsid w:val="0056380F"/>
    <w:rsid w:val="0056383E"/>
    <w:rsid w:val="0056384A"/>
    <w:rsid w:val="0056385C"/>
    <w:rsid w:val="0056389E"/>
    <w:rsid w:val="005638F6"/>
    <w:rsid w:val="0056391F"/>
    <w:rsid w:val="00563941"/>
    <w:rsid w:val="00563962"/>
    <w:rsid w:val="005639D0"/>
    <w:rsid w:val="00563A7D"/>
    <w:rsid w:val="00563A8A"/>
    <w:rsid w:val="00563ACF"/>
    <w:rsid w:val="00563ADB"/>
    <w:rsid w:val="00563AF8"/>
    <w:rsid w:val="00563B27"/>
    <w:rsid w:val="00563B95"/>
    <w:rsid w:val="00563BBB"/>
    <w:rsid w:val="00563BDA"/>
    <w:rsid w:val="00563C0C"/>
    <w:rsid w:val="00563C1A"/>
    <w:rsid w:val="00563C3B"/>
    <w:rsid w:val="00563CD0"/>
    <w:rsid w:val="00563CD4"/>
    <w:rsid w:val="00563D76"/>
    <w:rsid w:val="00563DB4"/>
    <w:rsid w:val="00563DE5"/>
    <w:rsid w:val="00563E34"/>
    <w:rsid w:val="00563E3D"/>
    <w:rsid w:val="00563E8A"/>
    <w:rsid w:val="00563ED9"/>
    <w:rsid w:val="00563EE2"/>
    <w:rsid w:val="00563EE3"/>
    <w:rsid w:val="00563EE9"/>
    <w:rsid w:val="00563EF1"/>
    <w:rsid w:val="00563F67"/>
    <w:rsid w:val="00563FDC"/>
    <w:rsid w:val="00564010"/>
    <w:rsid w:val="00564030"/>
    <w:rsid w:val="0056404D"/>
    <w:rsid w:val="005640D0"/>
    <w:rsid w:val="005640EB"/>
    <w:rsid w:val="00564145"/>
    <w:rsid w:val="00564209"/>
    <w:rsid w:val="00564270"/>
    <w:rsid w:val="005642C6"/>
    <w:rsid w:val="005642C9"/>
    <w:rsid w:val="005642D1"/>
    <w:rsid w:val="005642F1"/>
    <w:rsid w:val="0056432A"/>
    <w:rsid w:val="005643F7"/>
    <w:rsid w:val="005644C6"/>
    <w:rsid w:val="005644E4"/>
    <w:rsid w:val="005644EA"/>
    <w:rsid w:val="00564543"/>
    <w:rsid w:val="0056467A"/>
    <w:rsid w:val="005646A2"/>
    <w:rsid w:val="005646DA"/>
    <w:rsid w:val="00564717"/>
    <w:rsid w:val="0056477D"/>
    <w:rsid w:val="005647B0"/>
    <w:rsid w:val="005647DE"/>
    <w:rsid w:val="005647F5"/>
    <w:rsid w:val="00564813"/>
    <w:rsid w:val="0056482F"/>
    <w:rsid w:val="00564858"/>
    <w:rsid w:val="005648BC"/>
    <w:rsid w:val="005648C8"/>
    <w:rsid w:val="005648EA"/>
    <w:rsid w:val="00564974"/>
    <w:rsid w:val="00564988"/>
    <w:rsid w:val="00564A6C"/>
    <w:rsid w:val="00564AC4"/>
    <w:rsid w:val="00564AC8"/>
    <w:rsid w:val="00564AEB"/>
    <w:rsid w:val="00564B47"/>
    <w:rsid w:val="00564B89"/>
    <w:rsid w:val="00564C03"/>
    <w:rsid w:val="00564C57"/>
    <w:rsid w:val="00564C82"/>
    <w:rsid w:val="00564C91"/>
    <w:rsid w:val="00564D47"/>
    <w:rsid w:val="00564D52"/>
    <w:rsid w:val="00564D5F"/>
    <w:rsid w:val="00564D6B"/>
    <w:rsid w:val="00564D72"/>
    <w:rsid w:val="00564D88"/>
    <w:rsid w:val="00564E42"/>
    <w:rsid w:val="00564E5E"/>
    <w:rsid w:val="00564EC1"/>
    <w:rsid w:val="00564EE0"/>
    <w:rsid w:val="00564EF7"/>
    <w:rsid w:val="00564F05"/>
    <w:rsid w:val="00564F0F"/>
    <w:rsid w:val="00564F6C"/>
    <w:rsid w:val="0056501A"/>
    <w:rsid w:val="00565076"/>
    <w:rsid w:val="005650EC"/>
    <w:rsid w:val="005651D9"/>
    <w:rsid w:val="005651FB"/>
    <w:rsid w:val="0056522C"/>
    <w:rsid w:val="00565275"/>
    <w:rsid w:val="005652A6"/>
    <w:rsid w:val="005652C8"/>
    <w:rsid w:val="005652E4"/>
    <w:rsid w:val="005652E5"/>
    <w:rsid w:val="005652F7"/>
    <w:rsid w:val="0056532B"/>
    <w:rsid w:val="00565345"/>
    <w:rsid w:val="00565354"/>
    <w:rsid w:val="00565391"/>
    <w:rsid w:val="005653A4"/>
    <w:rsid w:val="005653C6"/>
    <w:rsid w:val="00565403"/>
    <w:rsid w:val="00565444"/>
    <w:rsid w:val="005654A8"/>
    <w:rsid w:val="00565502"/>
    <w:rsid w:val="005655A5"/>
    <w:rsid w:val="005655FF"/>
    <w:rsid w:val="005656F6"/>
    <w:rsid w:val="0056570D"/>
    <w:rsid w:val="00565723"/>
    <w:rsid w:val="00565734"/>
    <w:rsid w:val="00565796"/>
    <w:rsid w:val="0056579E"/>
    <w:rsid w:val="005657CA"/>
    <w:rsid w:val="005657D9"/>
    <w:rsid w:val="005657DD"/>
    <w:rsid w:val="00565808"/>
    <w:rsid w:val="0056581E"/>
    <w:rsid w:val="0056584C"/>
    <w:rsid w:val="005658CF"/>
    <w:rsid w:val="00565938"/>
    <w:rsid w:val="00565943"/>
    <w:rsid w:val="005659AB"/>
    <w:rsid w:val="00565A3F"/>
    <w:rsid w:val="00565A5B"/>
    <w:rsid w:val="00565AD3"/>
    <w:rsid w:val="00565AF3"/>
    <w:rsid w:val="00565B08"/>
    <w:rsid w:val="00565B46"/>
    <w:rsid w:val="00565B68"/>
    <w:rsid w:val="00565C36"/>
    <w:rsid w:val="00565C82"/>
    <w:rsid w:val="00565C98"/>
    <w:rsid w:val="00565CAE"/>
    <w:rsid w:val="00565CEF"/>
    <w:rsid w:val="00565D15"/>
    <w:rsid w:val="00565D3E"/>
    <w:rsid w:val="00565D61"/>
    <w:rsid w:val="00565DDB"/>
    <w:rsid w:val="00565E22"/>
    <w:rsid w:val="00565EC9"/>
    <w:rsid w:val="00565F06"/>
    <w:rsid w:val="00565F2B"/>
    <w:rsid w:val="00565F43"/>
    <w:rsid w:val="00565F46"/>
    <w:rsid w:val="00565F6B"/>
    <w:rsid w:val="00565F77"/>
    <w:rsid w:val="00565FBD"/>
    <w:rsid w:val="00565FF1"/>
    <w:rsid w:val="005660A9"/>
    <w:rsid w:val="005660C1"/>
    <w:rsid w:val="0056614E"/>
    <w:rsid w:val="0056614F"/>
    <w:rsid w:val="00566159"/>
    <w:rsid w:val="00566201"/>
    <w:rsid w:val="0056626D"/>
    <w:rsid w:val="0056628F"/>
    <w:rsid w:val="005662AD"/>
    <w:rsid w:val="005662E9"/>
    <w:rsid w:val="0056649C"/>
    <w:rsid w:val="005664A7"/>
    <w:rsid w:val="005664BB"/>
    <w:rsid w:val="00566529"/>
    <w:rsid w:val="00566593"/>
    <w:rsid w:val="005665B3"/>
    <w:rsid w:val="00566603"/>
    <w:rsid w:val="0056669E"/>
    <w:rsid w:val="0056672A"/>
    <w:rsid w:val="00566747"/>
    <w:rsid w:val="005667BF"/>
    <w:rsid w:val="00566804"/>
    <w:rsid w:val="0056680F"/>
    <w:rsid w:val="0056690F"/>
    <w:rsid w:val="00566911"/>
    <w:rsid w:val="0056699D"/>
    <w:rsid w:val="00566A27"/>
    <w:rsid w:val="00566A8E"/>
    <w:rsid w:val="00566ABC"/>
    <w:rsid w:val="00566AD8"/>
    <w:rsid w:val="00566B04"/>
    <w:rsid w:val="00566B26"/>
    <w:rsid w:val="00566BDC"/>
    <w:rsid w:val="00566C1A"/>
    <w:rsid w:val="00566C34"/>
    <w:rsid w:val="00566C53"/>
    <w:rsid w:val="00566CA1"/>
    <w:rsid w:val="00566D0F"/>
    <w:rsid w:val="00566D63"/>
    <w:rsid w:val="00566DF0"/>
    <w:rsid w:val="00566E4C"/>
    <w:rsid w:val="00566E5E"/>
    <w:rsid w:val="00566EA4"/>
    <w:rsid w:val="00566F04"/>
    <w:rsid w:val="00566F38"/>
    <w:rsid w:val="00566F52"/>
    <w:rsid w:val="00566F63"/>
    <w:rsid w:val="00566FDD"/>
    <w:rsid w:val="00566FE6"/>
    <w:rsid w:val="00567077"/>
    <w:rsid w:val="00567086"/>
    <w:rsid w:val="005670F0"/>
    <w:rsid w:val="00567132"/>
    <w:rsid w:val="0056718E"/>
    <w:rsid w:val="0056721A"/>
    <w:rsid w:val="00567263"/>
    <w:rsid w:val="005672AB"/>
    <w:rsid w:val="005672FC"/>
    <w:rsid w:val="00567340"/>
    <w:rsid w:val="00567366"/>
    <w:rsid w:val="005673CA"/>
    <w:rsid w:val="00567404"/>
    <w:rsid w:val="0056740F"/>
    <w:rsid w:val="00567427"/>
    <w:rsid w:val="0056744B"/>
    <w:rsid w:val="0056751F"/>
    <w:rsid w:val="00567541"/>
    <w:rsid w:val="00567600"/>
    <w:rsid w:val="00567613"/>
    <w:rsid w:val="00567649"/>
    <w:rsid w:val="0056765C"/>
    <w:rsid w:val="00567685"/>
    <w:rsid w:val="00567698"/>
    <w:rsid w:val="005676AF"/>
    <w:rsid w:val="005676E4"/>
    <w:rsid w:val="0056773A"/>
    <w:rsid w:val="00567779"/>
    <w:rsid w:val="00567785"/>
    <w:rsid w:val="005677EC"/>
    <w:rsid w:val="005678C9"/>
    <w:rsid w:val="005678D6"/>
    <w:rsid w:val="005678F9"/>
    <w:rsid w:val="0056790F"/>
    <w:rsid w:val="00567926"/>
    <w:rsid w:val="00567961"/>
    <w:rsid w:val="0056797F"/>
    <w:rsid w:val="005679B5"/>
    <w:rsid w:val="005679F6"/>
    <w:rsid w:val="00567A07"/>
    <w:rsid w:val="00567A18"/>
    <w:rsid w:val="00567A19"/>
    <w:rsid w:val="00567A35"/>
    <w:rsid w:val="00567A4A"/>
    <w:rsid w:val="00567AA3"/>
    <w:rsid w:val="00567ACF"/>
    <w:rsid w:val="00567AD5"/>
    <w:rsid w:val="00567B44"/>
    <w:rsid w:val="00567B7B"/>
    <w:rsid w:val="00567B8F"/>
    <w:rsid w:val="00567B94"/>
    <w:rsid w:val="00567BD8"/>
    <w:rsid w:val="00567C25"/>
    <w:rsid w:val="00567C3A"/>
    <w:rsid w:val="00567C69"/>
    <w:rsid w:val="00567CE9"/>
    <w:rsid w:val="00567CF6"/>
    <w:rsid w:val="00567D1A"/>
    <w:rsid w:val="00567D8E"/>
    <w:rsid w:val="00567DAB"/>
    <w:rsid w:val="00567DE7"/>
    <w:rsid w:val="00567E51"/>
    <w:rsid w:val="00567E70"/>
    <w:rsid w:val="00567EDA"/>
    <w:rsid w:val="00567F3A"/>
    <w:rsid w:val="00567F98"/>
    <w:rsid w:val="00567FD9"/>
    <w:rsid w:val="00567FDB"/>
    <w:rsid w:val="00570008"/>
    <w:rsid w:val="005700CE"/>
    <w:rsid w:val="005701EE"/>
    <w:rsid w:val="00570275"/>
    <w:rsid w:val="00570326"/>
    <w:rsid w:val="0057032A"/>
    <w:rsid w:val="00570353"/>
    <w:rsid w:val="0057038C"/>
    <w:rsid w:val="00570390"/>
    <w:rsid w:val="0057039B"/>
    <w:rsid w:val="00570411"/>
    <w:rsid w:val="00570453"/>
    <w:rsid w:val="005704F0"/>
    <w:rsid w:val="00570525"/>
    <w:rsid w:val="0057053E"/>
    <w:rsid w:val="0057055D"/>
    <w:rsid w:val="005705A4"/>
    <w:rsid w:val="005705B1"/>
    <w:rsid w:val="00570600"/>
    <w:rsid w:val="0057068C"/>
    <w:rsid w:val="0057068E"/>
    <w:rsid w:val="005706B1"/>
    <w:rsid w:val="005706BD"/>
    <w:rsid w:val="005706F5"/>
    <w:rsid w:val="00570752"/>
    <w:rsid w:val="005707D8"/>
    <w:rsid w:val="0057084F"/>
    <w:rsid w:val="00570898"/>
    <w:rsid w:val="00570911"/>
    <w:rsid w:val="0057099F"/>
    <w:rsid w:val="005709A1"/>
    <w:rsid w:val="005709BB"/>
    <w:rsid w:val="005709DE"/>
    <w:rsid w:val="00570A0E"/>
    <w:rsid w:val="00570AE1"/>
    <w:rsid w:val="00570B4F"/>
    <w:rsid w:val="00570B5D"/>
    <w:rsid w:val="00570B73"/>
    <w:rsid w:val="00570C27"/>
    <w:rsid w:val="00570C88"/>
    <w:rsid w:val="00570CBE"/>
    <w:rsid w:val="00570CC8"/>
    <w:rsid w:val="00570D93"/>
    <w:rsid w:val="00570DAD"/>
    <w:rsid w:val="00570DCC"/>
    <w:rsid w:val="00570DEC"/>
    <w:rsid w:val="00570E49"/>
    <w:rsid w:val="00570E6B"/>
    <w:rsid w:val="00570E7F"/>
    <w:rsid w:val="00570F32"/>
    <w:rsid w:val="00570FB0"/>
    <w:rsid w:val="00570FE3"/>
    <w:rsid w:val="00571047"/>
    <w:rsid w:val="0057112D"/>
    <w:rsid w:val="0057114C"/>
    <w:rsid w:val="005711F7"/>
    <w:rsid w:val="00571202"/>
    <w:rsid w:val="00571278"/>
    <w:rsid w:val="005712E8"/>
    <w:rsid w:val="0057130C"/>
    <w:rsid w:val="0057130F"/>
    <w:rsid w:val="00571364"/>
    <w:rsid w:val="0057142E"/>
    <w:rsid w:val="00571468"/>
    <w:rsid w:val="00571469"/>
    <w:rsid w:val="005715BE"/>
    <w:rsid w:val="00571644"/>
    <w:rsid w:val="00571697"/>
    <w:rsid w:val="0057174B"/>
    <w:rsid w:val="0057178A"/>
    <w:rsid w:val="00571790"/>
    <w:rsid w:val="005717A6"/>
    <w:rsid w:val="005717D9"/>
    <w:rsid w:val="005717E3"/>
    <w:rsid w:val="005717FB"/>
    <w:rsid w:val="00571896"/>
    <w:rsid w:val="005718BB"/>
    <w:rsid w:val="0057190E"/>
    <w:rsid w:val="0057191F"/>
    <w:rsid w:val="0057193B"/>
    <w:rsid w:val="0057199C"/>
    <w:rsid w:val="005719EB"/>
    <w:rsid w:val="00571A0F"/>
    <w:rsid w:val="00571A1B"/>
    <w:rsid w:val="00571A32"/>
    <w:rsid w:val="00571A54"/>
    <w:rsid w:val="00571AB1"/>
    <w:rsid w:val="00571AE7"/>
    <w:rsid w:val="00571B18"/>
    <w:rsid w:val="00571B31"/>
    <w:rsid w:val="00571B79"/>
    <w:rsid w:val="00571BBE"/>
    <w:rsid w:val="00571BF9"/>
    <w:rsid w:val="00571C44"/>
    <w:rsid w:val="00571C4E"/>
    <w:rsid w:val="00571CE1"/>
    <w:rsid w:val="00571CE9"/>
    <w:rsid w:val="00571CF3"/>
    <w:rsid w:val="00571CF4"/>
    <w:rsid w:val="00571DB8"/>
    <w:rsid w:val="00571DBB"/>
    <w:rsid w:val="00571DD7"/>
    <w:rsid w:val="00571E2F"/>
    <w:rsid w:val="00571E35"/>
    <w:rsid w:val="00571E94"/>
    <w:rsid w:val="00571F18"/>
    <w:rsid w:val="00571F54"/>
    <w:rsid w:val="005720D4"/>
    <w:rsid w:val="005720D6"/>
    <w:rsid w:val="005720D7"/>
    <w:rsid w:val="005720E1"/>
    <w:rsid w:val="005720E2"/>
    <w:rsid w:val="00572124"/>
    <w:rsid w:val="00572182"/>
    <w:rsid w:val="005721B9"/>
    <w:rsid w:val="005721D3"/>
    <w:rsid w:val="005721FD"/>
    <w:rsid w:val="005722D4"/>
    <w:rsid w:val="005722DB"/>
    <w:rsid w:val="005722E1"/>
    <w:rsid w:val="005722FC"/>
    <w:rsid w:val="00572308"/>
    <w:rsid w:val="00572390"/>
    <w:rsid w:val="00572415"/>
    <w:rsid w:val="00572450"/>
    <w:rsid w:val="0057248D"/>
    <w:rsid w:val="0057253D"/>
    <w:rsid w:val="0057257A"/>
    <w:rsid w:val="0057258B"/>
    <w:rsid w:val="00572673"/>
    <w:rsid w:val="00572690"/>
    <w:rsid w:val="0057269C"/>
    <w:rsid w:val="005726A5"/>
    <w:rsid w:val="005726B3"/>
    <w:rsid w:val="00572702"/>
    <w:rsid w:val="00572708"/>
    <w:rsid w:val="0057270B"/>
    <w:rsid w:val="00572740"/>
    <w:rsid w:val="00572799"/>
    <w:rsid w:val="005727A7"/>
    <w:rsid w:val="005727C3"/>
    <w:rsid w:val="0057282F"/>
    <w:rsid w:val="00572843"/>
    <w:rsid w:val="005728C6"/>
    <w:rsid w:val="00572922"/>
    <w:rsid w:val="0057292B"/>
    <w:rsid w:val="00572992"/>
    <w:rsid w:val="005729C6"/>
    <w:rsid w:val="005729F0"/>
    <w:rsid w:val="00572AC1"/>
    <w:rsid w:val="00572AE7"/>
    <w:rsid w:val="00572BAC"/>
    <w:rsid w:val="00572C11"/>
    <w:rsid w:val="00572C35"/>
    <w:rsid w:val="00572C7B"/>
    <w:rsid w:val="00572CB0"/>
    <w:rsid w:val="00572CEC"/>
    <w:rsid w:val="00572CFA"/>
    <w:rsid w:val="00572D46"/>
    <w:rsid w:val="00572D80"/>
    <w:rsid w:val="00572DA9"/>
    <w:rsid w:val="00572DCF"/>
    <w:rsid w:val="00572DDE"/>
    <w:rsid w:val="00572EBC"/>
    <w:rsid w:val="00572FF0"/>
    <w:rsid w:val="0057301A"/>
    <w:rsid w:val="00573021"/>
    <w:rsid w:val="005730D9"/>
    <w:rsid w:val="00573185"/>
    <w:rsid w:val="0057323A"/>
    <w:rsid w:val="00573243"/>
    <w:rsid w:val="0057324F"/>
    <w:rsid w:val="005732CE"/>
    <w:rsid w:val="005732F6"/>
    <w:rsid w:val="005732F7"/>
    <w:rsid w:val="0057330E"/>
    <w:rsid w:val="00573318"/>
    <w:rsid w:val="005733B7"/>
    <w:rsid w:val="00573454"/>
    <w:rsid w:val="00573458"/>
    <w:rsid w:val="005734D3"/>
    <w:rsid w:val="00573553"/>
    <w:rsid w:val="00573564"/>
    <w:rsid w:val="005735A3"/>
    <w:rsid w:val="00573648"/>
    <w:rsid w:val="0057369A"/>
    <w:rsid w:val="0057369F"/>
    <w:rsid w:val="005736B5"/>
    <w:rsid w:val="005736D5"/>
    <w:rsid w:val="005736F1"/>
    <w:rsid w:val="00573763"/>
    <w:rsid w:val="005737C8"/>
    <w:rsid w:val="005737D3"/>
    <w:rsid w:val="005737EB"/>
    <w:rsid w:val="0057387E"/>
    <w:rsid w:val="00573892"/>
    <w:rsid w:val="00573925"/>
    <w:rsid w:val="0057394C"/>
    <w:rsid w:val="0057399A"/>
    <w:rsid w:val="005739CB"/>
    <w:rsid w:val="005739CE"/>
    <w:rsid w:val="005739FE"/>
    <w:rsid w:val="00573A4F"/>
    <w:rsid w:val="00573A62"/>
    <w:rsid w:val="00573A9D"/>
    <w:rsid w:val="00573B02"/>
    <w:rsid w:val="00573B22"/>
    <w:rsid w:val="00573B2D"/>
    <w:rsid w:val="00573B39"/>
    <w:rsid w:val="00573B5C"/>
    <w:rsid w:val="00573BF7"/>
    <w:rsid w:val="00573CB4"/>
    <w:rsid w:val="00573CD6"/>
    <w:rsid w:val="00573CDA"/>
    <w:rsid w:val="00573D13"/>
    <w:rsid w:val="00573D1B"/>
    <w:rsid w:val="00573D5E"/>
    <w:rsid w:val="00573E47"/>
    <w:rsid w:val="00573E57"/>
    <w:rsid w:val="00573E5C"/>
    <w:rsid w:val="00573E7E"/>
    <w:rsid w:val="00573ED9"/>
    <w:rsid w:val="00573F32"/>
    <w:rsid w:val="00573F43"/>
    <w:rsid w:val="00573F52"/>
    <w:rsid w:val="00573F88"/>
    <w:rsid w:val="00574041"/>
    <w:rsid w:val="0057405E"/>
    <w:rsid w:val="00574113"/>
    <w:rsid w:val="00574147"/>
    <w:rsid w:val="00574166"/>
    <w:rsid w:val="00574181"/>
    <w:rsid w:val="005741C1"/>
    <w:rsid w:val="005741E7"/>
    <w:rsid w:val="005741EB"/>
    <w:rsid w:val="00574206"/>
    <w:rsid w:val="005742AB"/>
    <w:rsid w:val="005742EE"/>
    <w:rsid w:val="00574314"/>
    <w:rsid w:val="00574318"/>
    <w:rsid w:val="00574321"/>
    <w:rsid w:val="00574344"/>
    <w:rsid w:val="0057435D"/>
    <w:rsid w:val="00574381"/>
    <w:rsid w:val="0057438B"/>
    <w:rsid w:val="005743DA"/>
    <w:rsid w:val="005743E1"/>
    <w:rsid w:val="005743E2"/>
    <w:rsid w:val="00574401"/>
    <w:rsid w:val="00574402"/>
    <w:rsid w:val="0057446E"/>
    <w:rsid w:val="005744A0"/>
    <w:rsid w:val="005744B5"/>
    <w:rsid w:val="00574526"/>
    <w:rsid w:val="00574575"/>
    <w:rsid w:val="0057459A"/>
    <w:rsid w:val="005745A3"/>
    <w:rsid w:val="005745B2"/>
    <w:rsid w:val="005746A6"/>
    <w:rsid w:val="005746BF"/>
    <w:rsid w:val="00574740"/>
    <w:rsid w:val="00574772"/>
    <w:rsid w:val="005747C4"/>
    <w:rsid w:val="00574865"/>
    <w:rsid w:val="00574873"/>
    <w:rsid w:val="0057487F"/>
    <w:rsid w:val="005748B5"/>
    <w:rsid w:val="005748DB"/>
    <w:rsid w:val="00574939"/>
    <w:rsid w:val="005749BF"/>
    <w:rsid w:val="005749DF"/>
    <w:rsid w:val="00574A33"/>
    <w:rsid w:val="00574AAA"/>
    <w:rsid w:val="00574B03"/>
    <w:rsid w:val="00574B1F"/>
    <w:rsid w:val="00574B24"/>
    <w:rsid w:val="00574B46"/>
    <w:rsid w:val="00574B62"/>
    <w:rsid w:val="00574B80"/>
    <w:rsid w:val="00574BFD"/>
    <w:rsid w:val="00574C51"/>
    <w:rsid w:val="00574C54"/>
    <w:rsid w:val="00574C78"/>
    <w:rsid w:val="00574CA7"/>
    <w:rsid w:val="00574CB5"/>
    <w:rsid w:val="00574CC0"/>
    <w:rsid w:val="00574CD9"/>
    <w:rsid w:val="00574CF0"/>
    <w:rsid w:val="00574D83"/>
    <w:rsid w:val="00574D8C"/>
    <w:rsid w:val="00574DAC"/>
    <w:rsid w:val="00574DB0"/>
    <w:rsid w:val="00574DF3"/>
    <w:rsid w:val="00574E20"/>
    <w:rsid w:val="00574E25"/>
    <w:rsid w:val="00574E37"/>
    <w:rsid w:val="00574EA9"/>
    <w:rsid w:val="00574F4C"/>
    <w:rsid w:val="00574F63"/>
    <w:rsid w:val="00574F65"/>
    <w:rsid w:val="00574F6C"/>
    <w:rsid w:val="00574FCF"/>
    <w:rsid w:val="00574FF8"/>
    <w:rsid w:val="0057503F"/>
    <w:rsid w:val="005750EB"/>
    <w:rsid w:val="0057511C"/>
    <w:rsid w:val="00575258"/>
    <w:rsid w:val="00575297"/>
    <w:rsid w:val="005752C4"/>
    <w:rsid w:val="00575340"/>
    <w:rsid w:val="00575345"/>
    <w:rsid w:val="005753A3"/>
    <w:rsid w:val="005753C4"/>
    <w:rsid w:val="0057549D"/>
    <w:rsid w:val="00575549"/>
    <w:rsid w:val="0057554A"/>
    <w:rsid w:val="00575565"/>
    <w:rsid w:val="00575624"/>
    <w:rsid w:val="00575661"/>
    <w:rsid w:val="005756DE"/>
    <w:rsid w:val="005756E9"/>
    <w:rsid w:val="00575716"/>
    <w:rsid w:val="00575737"/>
    <w:rsid w:val="00575752"/>
    <w:rsid w:val="0057576E"/>
    <w:rsid w:val="00575788"/>
    <w:rsid w:val="005757C4"/>
    <w:rsid w:val="005757D8"/>
    <w:rsid w:val="0057585F"/>
    <w:rsid w:val="00575880"/>
    <w:rsid w:val="005758B2"/>
    <w:rsid w:val="005758CB"/>
    <w:rsid w:val="005758D7"/>
    <w:rsid w:val="005758FC"/>
    <w:rsid w:val="0057590B"/>
    <w:rsid w:val="00575945"/>
    <w:rsid w:val="0057594E"/>
    <w:rsid w:val="00575963"/>
    <w:rsid w:val="00575999"/>
    <w:rsid w:val="0057599D"/>
    <w:rsid w:val="00575A0C"/>
    <w:rsid w:val="00575A43"/>
    <w:rsid w:val="00575B0D"/>
    <w:rsid w:val="00575B1B"/>
    <w:rsid w:val="00575B88"/>
    <w:rsid w:val="00575C52"/>
    <w:rsid w:val="00575C5B"/>
    <w:rsid w:val="00575C87"/>
    <w:rsid w:val="00575CA2"/>
    <w:rsid w:val="00575CA9"/>
    <w:rsid w:val="00575D5B"/>
    <w:rsid w:val="00575DB8"/>
    <w:rsid w:val="00575DCD"/>
    <w:rsid w:val="00575DD8"/>
    <w:rsid w:val="00575E31"/>
    <w:rsid w:val="00575E38"/>
    <w:rsid w:val="00575E57"/>
    <w:rsid w:val="00575EA6"/>
    <w:rsid w:val="00575ED4"/>
    <w:rsid w:val="00576130"/>
    <w:rsid w:val="0057616D"/>
    <w:rsid w:val="0057618B"/>
    <w:rsid w:val="005761A8"/>
    <w:rsid w:val="005761C5"/>
    <w:rsid w:val="00576244"/>
    <w:rsid w:val="005762F8"/>
    <w:rsid w:val="00576302"/>
    <w:rsid w:val="00576395"/>
    <w:rsid w:val="0057645B"/>
    <w:rsid w:val="005764B1"/>
    <w:rsid w:val="00576559"/>
    <w:rsid w:val="0057658B"/>
    <w:rsid w:val="005765BD"/>
    <w:rsid w:val="005765BF"/>
    <w:rsid w:val="005765C4"/>
    <w:rsid w:val="0057662A"/>
    <w:rsid w:val="00576658"/>
    <w:rsid w:val="00576693"/>
    <w:rsid w:val="00576696"/>
    <w:rsid w:val="005766C1"/>
    <w:rsid w:val="00576737"/>
    <w:rsid w:val="0057675B"/>
    <w:rsid w:val="0057682B"/>
    <w:rsid w:val="0057685A"/>
    <w:rsid w:val="00576884"/>
    <w:rsid w:val="0057689B"/>
    <w:rsid w:val="005768B0"/>
    <w:rsid w:val="005768C1"/>
    <w:rsid w:val="0057694B"/>
    <w:rsid w:val="005769E2"/>
    <w:rsid w:val="00576A66"/>
    <w:rsid w:val="00576A75"/>
    <w:rsid w:val="00576AA4"/>
    <w:rsid w:val="00576AB3"/>
    <w:rsid w:val="00576BA3"/>
    <w:rsid w:val="00576BDD"/>
    <w:rsid w:val="00576C54"/>
    <w:rsid w:val="00576CA1"/>
    <w:rsid w:val="00576CF3"/>
    <w:rsid w:val="00576D1E"/>
    <w:rsid w:val="00576E37"/>
    <w:rsid w:val="00576E89"/>
    <w:rsid w:val="00576EAE"/>
    <w:rsid w:val="00576EB4"/>
    <w:rsid w:val="00576EB8"/>
    <w:rsid w:val="00576EDC"/>
    <w:rsid w:val="00576F56"/>
    <w:rsid w:val="00576F80"/>
    <w:rsid w:val="00576FE8"/>
    <w:rsid w:val="00576FF9"/>
    <w:rsid w:val="00577026"/>
    <w:rsid w:val="00577039"/>
    <w:rsid w:val="00577071"/>
    <w:rsid w:val="00577074"/>
    <w:rsid w:val="00577090"/>
    <w:rsid w:val="005770D8"/>
    <w:rsid w:val="005770FB"/>
    <w:rsid w:val="00577148"/>
    <w:rsid w:val="00577153"/>
    <w:rsid w:val="005771AC"/>
    <w:rsid w:val="005771B8"/>
    <w:rsid w:val="00577233"/>
    <w:rsid w:val="00577236"/>
    <w:rsid w:val="00577254"/>
    <w:rsid w:val="005772BD"/>
    <w:rsid w:val="005772EE"/>
    <w:rsid w:val="005772F9"/>
    <w:rsid w:val="00577346"/>
    <w:rsid w:val="00577367"/>
    <w:rsid w:val="00577387"/>
    <w:rsid w:val="00577394"/>
    <w:rsid w:val="005773FC"/>
    <w:rsid w:val="00577478"/>
    <w:rsid w:val="00577485"/>
    <w:rsid w:val="005774BA"/>
    <w:rsid w:val="005774CC"/>
    <w:rsid w:val="005774ED"/>
    <w:rsid w:val="005774F9"/>
    <w:rsid w:val="00577537"/>
    <w:rsid w:val="00577607"/>
    <w:rsid w:val="00577663"/>
    <w:rsid w:val="00577668"/>
    <w:rsid w:val="00577670"/>
    <w:rsid w:val="005776A8"/>
    <w:rsid w:val="005776BE"/>
    <w:rsid w:val="005776E3"/>
    <w:rsid w:val="00577732"/>
    <w:rsid w:val="00577748"/>
    <w:rsid w:val="0057778A"/>
    <w:rsid w:val="005777F7"/>
    <w:rsid w:val="005777F9"/>
    <w:rsid w:val="0057786F"/>
    <w:rsid w:val="005778F5"/>
    <w:rsid w:val="005778FA"/>
    <w:rsid w:val="00577917"/>
    <w:rsid w:val="00577974"/>
    <w:rsid w:val="0057798B"/>
    <w:rsid w:val="0057799F"/>
    <w:rsid w:val="005779B2"/>
    <w:rsid w:val="005779F2"/>
    <w:rsid w:val="005779FB"/>
    <w:rsid w:val="00577A20"/>
    <w:rsid w:val="00577A32"/>
    <w:rsid w:val="00577A4C"/>
    <w:rsid w:val="00577A8A"/>
    <w:rsid w:val="00577A9F"/>
    <w:rsid w:val="00577AC5"/>
    <w:rsid w:val="00577ACE"/>
    <w:rsid w:val="00577B02"/>
    <w:rsid w:val="00577B48"/>
    <w:rsid w:val="00577B9B"/>
    <w:rsid w:val="00577BA5"/>
    <w:rsid w:val="00577C14"/>
    <w:rsid w:val="00577C5E"/>
    <w:rsid w:val="00577CE7"/>
    <w:rsid w:val="00577D5A"/>
    <w:rsid w:val="00577D7B"/>
    <w:rsid w:val="00577DD3"/>
    <w:rsid w:val="00577DF4"/>
    <w:rsid w:val="00577E46"/>
    <w:rsid w:val="00577E8A"/>
    <w:rsid w:val="00577F16"/>
    <w:rsid w:val="00577F67"/>
    <w:rsid w:val="00577FA1"/>
    <w:rsid w:val="00577FA3"/>
    <w:rsid w:val="0058001F"/>
    <w:rsid w:val="00580068"/>
    <w:rsid w:val="00580082"/>
    <w:rsid w:val="00580162"/>
    <w:rsid w:val="005801F0"/>
    <w:rsid w:val="005802BD"/>
    <w:rsid w:val="005802EF"/>
    <w:rsid w:val="00580303"/>
    <w:rsid w:val="0058030C"/>
    <w:rsid w:val="00580410"/>
    <w:rsid w:val="00580473"/>
    <w:rsid w:val="005804E2"/>
    <w:rsid w:val="00580513"/>
    <w:rsid w:val="00580575"/>
    <w:rsid w:val="005805C1"/>
    <w:rsid w:val="005805DD"/>
    <w:rsid w:val="00580620"/>
    <w:rsid w:val="00580651"/>
    <w:rsid w:val="0058066B"/>
    <w:rsid w:val="0058071F"/>
    <w:rsid w:val="0058078E"/>
    <w:rsid w:val="00580815"/>
    <w:rsid w:val="005808C4"/>
    <w:rsid w:val="005808EC"/>
    <w:rsid w:val="00580916"/>
    <w:rsid w:val="00580918"/>
    <w:rsid w:val="00580975"/>
    <w:rsid w:val="005809A4"/>
    <w:rsid w:val="00580B03"/>
    <w:rsid w:val="00580B75"/>
    <w:rsid w:val="00580B94"/>
    <w:rsid w:val="00580B9F"/>
    <w:rsid w:val="00580BBA"/>
    <w:rsid w:val="00580BC8"/>
    <w:rsid w:val="00580BD2"/>
    <w:rsid w:val="00580C0F"/>
    <w:rsid w:val="00580C17"/>
    <w:rsid w:val="00580C50"/>
    <w:rsid w:val="00580C5C"/>
    <w:rsid w:val="00580C6E"/>
    <w:rsid w:val="00580CCD"/>
    <w:rsid w:val="00580CCF"/>
    <w:rsid w:val="00580CF3"/>
    <w:rsid w:val="00580DF8"/>
    <w:rsid w:val="00580E0C"/>
    <w:rsid w:val="00580EBB"/>
    <w:rsid w:val="00580EC6"/>
    <w:rsid w:val="00580EE3"/>
    <w:rsid w:val="00580F78"/>
    <w:rsid w:val="00580FAB"/>
    <w:rsid w:val="00580FC8"/>
    <w:rsid w:val="00581009"/>
    <w:rsid w:val="00581025"/>
    <w:rsid w:val="0058104C"/>
    <w:rsid w:val="00581050"/>
    <w:rsid w:val="00581066"/>
    <w:rsid w:val="005810E2"/>
    <w:rsid w:val="0058117F"/>
    <w:rsid w:val="00581187"/>
    <w:rsid w:val="00581192"/>
    <w:rsid w:val="00581218"/>
    <w:rsid w:val="00581222"/>
    <w:rsid w:val="00581226"/>
    <w:rsid w:val="00581257"/>
    <w:rsid w:val="0058126B"/>
    <w:rsid w:val="005812BF"/>
    <w:rsid w:val="005812F4"/>
    <w:rsid w:val="005812F6"/>
    <w:rsid w:val="00581327"/>
    <w:rsid w:val="0058132D"/>
    <w:rsid w:val="0058139F"/>
    <w:rsid w:val="005813CF"/>
    <w:rsid w:val="005813D8"/>
    <w:rsid w:val="00581415"/>
    <w:rsid w:val="00581437"/>
    <w:rsid w:val="0058143F"/>
    <w:rsid w:val="00581456"/>
    <w:rsid w:val="0058148E"/>
    <w:rsid w:val="005814AF"/>
    <w:rsid w:val="005814DB"/>
    <w:rsid w:val="005814DD"/>
    <w:rsid w:val="005814ED"/>
    <w:rsid w:val="0058154D"/>
    <w:rsid w:val="0058159E"/>
    <w:rsid w:val="00581656"/>
    <w:rsid w:val="00581678"/>
    <w:rsid w:val="0058168B"/>
    <w:rsid w:val="005816BD"/>
    <w:rsid w:val="005816F1"/>
    <w:rsid w:val="00581712"/>
    <w:rsid w:val="00581784"/>
    <w:rsid w:val="00581807"/>
    <w:rsid w:val="0058188B"/>
    <w:rsid w:val="005818AF"/>
    <w:rsid w:val="005818EC"/>
    <w:rsid w:val="0058192E"/>
    <w:rsid w:val="00581932"/>
    <w:rsid w:val="0058194E"/>
    <w:rsid w:val="005819BB"/>
    <w:rsid w:val="005819C0"/>
    <w:rsid w:val="00581A00"/>
    <w:rsid w:val="00581A03"/>
    <w:rsid w:val="00581A7B"/>
    <w:rsid w:val="00581AD5"/>
    <w:rsid w:val="00581B13"/>
    <w:rsid w:val="00581B35"/>
    <w:rsid w:val="00581B36"/>
    <w:rsid w:val="00581C53"/>
    <w:rsid w:val="00581C70"/>
    <w:rsid w:val="00581CE4"/>
    <w:rsid w:val="00581D3C"/>
    <w:rsid w:val="00581D83"/>
    <w:rsid w:val="00581D8C"/>
    <w:rsid w:val="00581D9A"/>
    <w:rsid w:val="00581E7E"/>
    <w:rsid w:val="00581EA1"/>
    <w:rsid w:val="00581F3A"/>
    <w:rsid w:val="00581F40"/>
    <w:rsid w:val="00581F48"/>
    <w:rsid w:val="00581F66"/>
    <w:rsid w:val="00581F6B"/>
    <w:rsid w:val="00581F96"/>
    <w:rsid w:val="00581FDF"/>
    <w:rsid w:val="00582056"/>
    <w:rsid w:val="00582057"/>
    <w:rsid w:val="00582066"/>
    <w:rsid w:val="005820A0"/>
    <w:rsid w:val="0058210B"/>
    <w:rsid w:val="0058214E"/>
    <w:rsid w:val="005821AB"/>
    <w:rsid w:val="005821EF"/>
    <w:rsid w:val="00582208"/>
    <w:rsid w:val="00582212"/>
    <w:rsid w:val="00582219"/>
    <w:rsid w:val="005822CA"/>
    <w:rsid w:val="005822DC"/>
    <w:rsid w:val="005822E9"/>
    <w:rsid w:val="00582332"/>
    <w:rsid w:val="0058233F"/>
    <w:rsid w:val="00582354"/>
    <w:rsid w:val="00582403"/>
    <w:rsid w:val="00582448"/>
    <w:rsid w:val="00582464"/>
    <w:rsid w:val="0058247A"/>
    <w:rsid w:val="005824CC"/>
    <w:rsid w:val="005824EB"/>
    <w:rsid w:val="00582584"/>
    <w:rsid w:val="00582644"/>
    <w:rsid w:val="0058267E"/>
    <w:rsid w:val="005826E1"/>
    <w:rsid w:val="0058270B"/>
    <w:rsid w:val="00582719"/>
    <w:rsid w:val="00582736"/>
    <w:rsid w:val="0058275C"/>
    <w:rsid w:val="005827E8"/>
    <w:rsid w:val="0058281D"/>
    <w:rsid w:val="0058282D"/>
    <w:rsid w:val="00582847"/>
    <w:rsid w:val="005828AC"/>
    <w:rsid w:val="005828C5"/>
    <w:rsid w:val="0058290D"/>
    <w:rsid w:val="00582925"/>
    <w:rsid w:val="00582941"/>
    <w:rsid w:val="0058295F"/>
    <w:rsid w:val="005829BB"/>
    <w:rsid w:val="00582A77"/>
    <w:rsid w:val="00582AAF"/>
    <w:rsid w:val="00582B08"/>
    <w:rsid w:val="00582B32"/>
    <w:rsid w:val="00582B6F"/>
    <w:rsid w:val="00582B70"/>
    <w:rsid w:val="00582BBC"/>
    <w:rsid w:val="00582BD3"/>
    <w:rsid w:val="00582C43"/>
    <w:rsid w:val="00582C52"/>
    <w:rsid w:val="00582C6E"/>
    <w:rsid w:val="00582CF5"/>
    <w:rsid w:val="00582D2B"/>
    <w:rsid w:val="00582D31"/>
    <w:rsid w:val="00582D3C"/>
    <w:rsid w:val="00582DA3"/>
    <w:rsid w:val="00582DCD"/>
    <w:rsid w:val="00582E4C"/>
    <w:rsid w:val="00582E5F"/>
    <w:rsid w:val="00582E9F"/>
    <w:rsid w:val="00582ED7"/>
    <w:rsid w:val="00582F0C"/>
    <w:rsid w:val="00582F52"/>
    <w:rsid w:val="00582FF9"/>
    <w:rsid w:val="00583017"/>
    <w:rsid w:val="00583024"/>
    <w:rsid w:val="0058307F"/>
    <w:rsid w:val="00583108"/>
    <w:rsid w:val="0058310D"/>
    <w:rsid w:val="0058316F"/>
    <w:rsid w:val="0058317B"/>
    <w:rsid w:val="0058322B"/>
    <w:rsid w:val="0058326B"/>
    <w:rsid w:val="00583291"/>
    <w:rsid w:val="005832A3"/>
    <w:rsid w:val="005832AE"/>
    <w:rsid w:val="005832EE"/>
    <w:rsid w:val="00583344"/>
    <w:rsid w:val="005833E2"/>
    <w:rsid w:val="005833E5"/>
    <w:rsid w:val="00583464"/>
    <w:rsid w:val="005834A5"/>
    <w:rsid w:val="005834B7"/>
    <w:rsid w:val="005834DE"/>
    <w:rsid w:val="00583536"/>
    <w:rsid w:val="005836CE"/>
    <w:rsid w:val="005836D1"/>
    <w:rsid w:val="0058370C"/>
    <w:rsid w:val="0058375E"/>
    <w:rsid w:val="005837A6"/>
    <w:rsid w:val="005837E4"/>
    <w:rsid w:val="0058381D"/>
    <w:rsid w:val="00583864"/>
    <w:rsid w:val="0058387B"/>
    <w:rsid w:val="0058388F"/>
    <w:rsid w:val="005838C4"/>
    <w:rsid w:val="00583948"/>
    <w:rsid w:val="00583958"/>
    <w:rsid w:val="00583964"/>
    <w:rsid w:val="00583A4A"/>
    <w:rsid w:val="00583A62"/>
    <w:rsid w:val="00583AA5"/>
    <w:rsid w:val="00583AC4"/>
    <w:rsid w:val="00583B4C"/>
    <w:rsid w:val="00583B97"/>
    <w:rsid w:val="00583BE8"/>
    <w:rsid w:val="00583C07"/>
    <w:rsid w:val="00583C5A"/>
    <w:rsid w:val="00583C8B"/>
    <w:rsid w:val="00583C8E"/>
    <w:rsid w:val="00583CAF"/>
    <w:rsid w:val="00583D01"/>
    <w:rsid w:val="00583D3E"/>
    <w:rsid w:val="00583D82"/>
    <w:rsid w:val="00583D9F"/>
    <w:rsid w:val="00583DB0"/>
    <w:rsid w:val="00583DC0"/>
    <w:rsid w:val="00583DC1"/>
    <w:rsid w:val="00583DC4"/>
    <w:rsid w:val="00583DEE"/>
    <w:rsid w:val="00583DF2"/>
    <w:rsid w:val="00583E0B"/>
    <w:rsid w:val="00583E21"/>
    <w:rsid w:val="00583EC4"/>
    <w:rsid w:val="00583F02"/>
    <w:rsid w:val="00583F27"/>
    <w:rsid w:val="00583F7A"/>
    <w:rsid w:val="00584013"/>
    <w:rsid w:val="0058408A"/>
    <w:rsid w:val="005840D0"/>
    <w:rsid w:val="005840F0"/>
    <w:rsid w:val="005840F8"/>
    <w:rsid w:val="0058413F"/>
    <w:rsid w:val="00584185"/>
    <w:rsid w:val="005841B4"/>
    <w:rsid w:val="005841D9"/>
    <w:rsid w:val="0058421E"/>
    <w:rsid w:val="00584241"/>
    <w:rsid w:val="00584251"/>
    <w:rsid w:val="00584258"/>
    <w:rsid w:val="00584282"/>
    <w:rsid w:val="005842A4"/>
    <w:rsid w:val="005842B7"/>
    <w:rsid w:val="005842E1"/>
    <w:rsid w:val="0058437A"/>
    <w:rsid w:val="005843EF"/>
    <w:rsid w:val="00584454"/>
    <w:rsid w:val="005844B2"/>
    <w:rsid w:val="005844BF"/>
    <w:rsid w:val="005844C6"/>
    <w:rsid w:val="0058453E"/>
    <w:rsid w:val="00584572"/>
    <w:rsid w:val="005845A7"/>
    <w:rsid w:val="0058467D"/>
    <w:rsid w:val="00584680"/>
    <w:rsid w:val="00584685"/>
    <w:rsid w:val="00584695"/>
    <w:rsid w:val="0058473F"/>
    <w:rsid w:val="00584742"/>
    <w:rsid w:val="0058477A"/>
    <w:rsid w:val="00584830"/>
    <w:rsid w:val="0058487F"/>
    <w:rsid w:val="00584895"/>
    <w:rsid w:val="0058499B"/>
    <w:rsid w:val="00584A0E"/>
    <w:rsid w:val="00584A69"/>
    <w:rsid w:val="00584A7F"/>
    <w:rsid w:val="00584A8F"/>
    <w:rsid w:val="00584B52"/>
    <w:rsid w:val="00584B70"/>
    <w:rsid w:val="00584BB5"/>
    <w:rsid w:val="00584BD7"/>
    <w:rsid w:val="00584BD9"/>
    <w:rsid w:val="00584BF8"/>
    <w:rsid w:val="00584C06"/>
    <w:rsid w:val="00584CAB"/>
    <w:rsid w:val="00584D08"/>
    <w:rsid w:val="00584D0F"/>
    <w:rsid w:val="00584D37"/>
    <w:rsid w:val="00584DBC"/>
    <w:rsid w:val="00584DC0"/>
    <w:rsid w:val="00584E25"/>
    <w:rsid w:val="00584E63"/>
    <w:rsid w:val="00584E64"/>
    <w:rsid w:val="00584E6B"/>
    <w:rsid w:val="00584EAF"/>
    <w:rsid w:val="00584EFB"/>
    <w:rsid w:val="00584F17"/>
    <w:rsid w:val="00584FBD"/>
    <w:rsid w:val="00584FC6"/>
    <w:rsid w:val="00584FDF"/>
    <w:rsid w:val="00585011"/>
    <w:rsid w:val="00585061"/>
    <w:rsid w:val="005850C5"/>
    <w:rsid w:val="0058512F"/>
    <w:rsid w:val="00585162"/>
    <w:rsid w:val="00585185"/>
    <w:rsid w:val="00585193"/>
    <w:rsid w:val="005851CA"/>
    <w:rsid w:val="005851CE"/>
    <w:rsid w:val="005851F4"/>
    <w:rsid w:val="00585228"/>
    <w:rsid w:val="00585232"/>
    <w:rsid w:val="00585269"/>
    <w:rsid w:val="00585293"/>
    <w:rsid w:val="005852AE"/>
    <w:rsid w:val="005852F0"/>
    <w:rsid w:val="00585330"/>
    <w:rsid w:val="0058534E"/>
    <w:rsid w:val="00585367"/>
    <w:rsid w:val="005853BB"/>
    <w:rsid w:val="00585457"/>
    <w:rsid w:val="0058546C"/>
    <w:rsid w:val="005854BE"/>
    <w:rsid w:val="005854D4"/>
    <w:rsid w:val="005854F3"/>
    <w:rsid w:val="005854F7"/>
    <w:rsid w:val="00585582"/>
    <w:rsid w:val="00585596"/>
    <w:rsid w:val="005856AA"/>
    <w:rsid w:val="005856F0"/>
    <w:rsid w:val="00585708"/>
    <w:rsid w:val="00585713"/>
    <w:rsid w:val="0058571C"/>
    <w:rsid w:val="0058579D"/>
    <w:rsid w:val="005857AC"/>
    <w:rsid w:val="00585829"/>
    <w:rsid w:val="0058585A"/>
    <w:rsid w:val="005858C2"/>
    <w:rsid w:val="0058597F"/>
    <w:rsid w:val="00585995"/>
    <w:rsid w:val="00585998"/>
    <w:rsid w:val="005859BA"/>
    <w:rsid w:val="005859CA"/>
    <w:rsid w:val="005859E7"/>
    <w:rsid w:val="00585A3E"/>
    <w:rsid w:val="00585A54"/>
    <w:rsid w:val="00585A5A"/>
    <w:rsid w:val="00585A6B"/>
    <w:rsid w:val="00585A86"/>
    <w:rsid w:val="00585AE8"/>
    <w:rsid w:val="00585B4B"/>
    <w:rsid w:val="00585B59"/>
    <w:rsid w:val="00585BDF"/>
    <w:rsid w:val="00585C25"/>
    <w:rsid w:val="00585C46"/>
    <w:rsid w:val="00585C92"/>
    <w:rsid w:val="00585CD0"/>
    <w:rsid w:val="00585CFB"/>
    <w:rsid w:val="00585D3A"/>
    <w:rsid w:val="00585D3B"/>
    <w:rsid w:val="00585D78"/>
    <w:rsid w:val="00585DAC"/>
    <w:rsid w:val="00585DED"/>
    <w:rsid w:val="00585E3E"/>
    <w:rsid w:val="00585E6B"/>
    <w:rsid w:val="00585E6D"/>
    <w:rsid w:val="00585EA0"/>
    <w:rsid w:val="00585EE5"/>
    <w:rsid w:val="00585F3E"/>
    <w:rsid w:val="00585F8D"/>
    <w:rsid w:val="00585F98"/>
    <w:rsid w:val="00585FB4"/>
    <w:rsid w:val="00585FC1"/>
    <w:rsid w:val="0058603D"/>
    <w:rsid w:val="0058605C"/>
    <w:rsid w:val="00586160"/>
    <w:rsid w:val="0058617F"/>
    <w:rsid w:val="005861BA"/>
    <w:rsid w:val="0058625F"/>
    <w:rsid w:val="00586265"/>
    <w:rsid w:val="0058627C"/>
    <w:rsid w:val="005862AD"/>
    <w:rsid w:val="005862F1"/>
    <w:rsid w:val="00586303"/>
    <w:rsid w:val="0058630E"/>
    <w:rsid w:val="00586312"/>
    <w:rsid w:val="00586351"/>
    <w:rsid w:val="00586425"/>
    <w:rsid w:val="00586444"/>
    <w:rsid w:val="0058644C"/>
    <w:rsid w:val="0058645A"/>
    <w:rsid w:val="005864A3"/>
    <w:rsid w:val="005864DE"/>
    <w:rsid w:val="00586522"/>
    <w:rsid w:val="0058653D"/>
    <w:rsid w:val="00586563"/>
    <w:rsid w:val="00586571"/>
    <w:rsid w:val="005865A1"/>
    <w:rsid w:val="005865DC"/>
    <w:rsid w:val="0058660E"/>
    <w:rsid w:val="005866C1"/>
    <w:rsid w:val="005866C5"/>
    <w:rsid w:val="005866CB"/>
    <w:rsid w:val="0058672F"/>
    <w:rsid w:val="00586767"/>
    <w:rsid w:val="00586790"/>
    <w:rsid w:val="00586846"/>
    <w:rsid w:val="00586850"/>
    <w:rsid w:val="005868AE"/>
    <w:rsid w:val="005868B4"/>
    <w:rsid w:val="005868EB"/>
    <w:rsid w:val="00586933"/>
    <w:rsid w:val="005869D2"/>
    <w:rsid w:val="005869F0"/>
    <w:rsid w:val="00586A2A"/>
    <w:rsid w:val="00586A96"/>
    <w:rsid w:val="00586AB0"/>
    <w:rsid w:val="00586AE4"/>
    <w:rsid w:val="00586B1F"/>
    <w:rsid w:val="00586BEB"/>
    <w:rsid w:val="00586C1D"/>
    <w:rsid w:val="00586C22"/>
    <w:rsid w:val="00586C33"/>
    <w:rsid w:val="00586C3E"/>
    <w:rsid w:val="00586CBC"/>
    <w:rsid w:val="00586CFF"/>
    <w:rsid w:val="00586D1E"/>
    <w:rsid w:val="00586D2C"/>
    <w:rsid w:val="00586D36"/>
    <w:rsid w:val="00586D42"/>
    <w:rsid w:val="00586D8A"/>
    <w:rsid w:val="00586E08"/>
    <w:rsid w:val="00586E63"/>
    <w:rsid w:val="00586E91"/>
    <w:rsid w:val="00586ECD"/>
    <w:rsid w:val="00586F0A"/>
    <w:rsid w:val="00586F2A"/>
    <w:rsid w:val="00586F68"/>
    <w:rsid w:val="00586F86"/>
    <w:rsid w:val="00586FD4"/>
    <w:rsid w:val="0058701F"/>
    <w:rsid w:val="0058704D"/>
    <w:rsid w:val="00587074"/>
    <w:rsid w:val="005870B0"/>
    <w:rsid w:val="005870D2"/>
    <w:rsid w:val="005870E5"/>
    <w:rsid w:val="0058711C"/>
    <w:rsid w:val="005871A9"/>
    <w:rsid w:val="005871BD"/>
    <w:rsid w:val="005871FA"/>
    <w:rsid w:val="00587237"/>
    <w:rsid w:val="0058725A"/>
    <w:rsid w:val="00587278"/>
    <w:rsid w:val="005872D8"/>
    <w:rsid w:val="005872DB"/>
    <w:rsid w:val="005872F7"/>
    <w:rsid w:val="0058746C"/>
    <w:rsid w:val="00587474"/>
    <w:rsid w:val="00587489"/>
    <w:rsid w:val="005874AA"/>
    <w:rsid w:val="005874AE"/>
    <w:rsid w:val="005874D7"/>
    <w:rsid w:val="00587526"/>
    <w:rsid w:val="00587574"/>
    <w:rsid w:val="0058758B"/>
    <w:rsid w:val="0058758E"/>
    <w:rsid w:val="00587594"/>
    <w:rsid w:val="0058759C"/>
    <w:rsid w:val="005875A5"/>
    <w:rsid w:val="005875B4"/>
    <w:rsid w:val="00587618"/>
    <w:rsid w:val="0058762B"/>
    <w:rsid w:val="005876D7"/>
    <w:rsid w:val="0058772D"/>
    <w:rsid w:val="0058773A"/>
    <w:rsid w:val="0058773F"/>
    <w:rsid w:val="00587783"/>
    <w:rsid w:val="00587784"/>
    <w:rsid w:val="00587789"/>
    <w:rsid w:val="0058778C"/>
    <w:rsid w:val="00587801"/>
    <w:rsid w:val="00587839"/>
    <w:rsid w:val="0058783C"/>
    <w:rsid w:val="0058784A"/>
    <w:rsid w:val="0058784F"/>
    <w:rsid w:val="00587859"/>
    <w:rsid w:val="005878BD"/>
    <w:rsid w:val="005878C2"/>
    <w:rsid w:val="00587973"/>
    <w:rsid w:val="00587998"/>
    <w:rsid w:val="005879C1"/>
    <w:rsid w:val="005879D4"/>
    <w:rsid w:val="00587A09"/>
    <w:rsid w:val="00587A2C"/>
    <w:rsid w:val="00587A7B"/>
    <w:rsid w:val="00587ACB"/>
    <w:rsid w:val="00587AD0"/>
    <w:rsid w:val="00587B51"/>
    <w:rsid w:val="00587B53"/>
    <w:rsid w:val="00587B75"/>
    <w:rsid w:val="00587BBA"/>
    <w:rsid w:val="00587C0B"/>
    <w:rsid w:val="00587C2F"/>
    <w:rsid w:val="00587C4B"/>
    <w:rsid w:val="00587C6C"/>
    <w:rsid w:val="00587C91"/>
    <w:rsid w:val="00587CA3"/>
    <w:rsid w:val="00587CD2"/>
    <w:rsid w:val="00587DAF"/>
    <w:rsid w:val="00587DED"/>
    <w:rsid w:val="00587DF4"/>
    <w:rsid w:val="00587E39"/>
    <w:rsid w:val="00587E5C"/>
    <w:rsid w:val="00587EC7"/>
    <w:rsid w:val="00587F13"/>
    <w:rsid w:val="00587F64"/>
    <w:rsid w:val="00587F86"/>
    <w:rsid w:val="00587FE7"/>
    <w:rsid w:val="00590002"/>
    <w:rsid w:val="00590024"/>
    <w:rsid w:val="0059003F"/>
    <w:rsid w:val="00590049"/>
    <w:rsid w:val="00590060"/>
    <w:rsid w:val="00590083"/>
    <w:rsid w:val="005900E3"/>
    <w:rsid w:val="0059011B"/>
    <w:rsid w:val="005901A3"/>
    <w:rsid w:val="005901B4"/>
    <w:rsid w:val="005901F0"/>
    <w:rsid w:val="00590208"/>
    <w:rsid w:val="0059034F"/>
    <w:rsid w:val="005903BC"/>
    <w:rsid w:val="005904B7"/>
    <w:rsid w:val="00590557"/>
    <w:rsid w:val="00590577"/>
    <w:rsid w:val="00590639"/>
    <w:rsid w:val="00590654"/>
    <w:rsid w:val="00590710"/>
    <w:rsid w:val="00590719"/>
    <w:rsid w:val="00590723"/>
    <w:rsid w:val="0059074B"/>
    <w:rsid w:val="00590750"/>
    <w:rsid w:val="00590760"/>
    <w:rsid w:val="005907B4"/>
    <w:rsid w:val="005907BE"/>
    <w:rsid w:val="00590824"/>
    <w:rsid w:val="00590830"/>
    <w:rsid w:val="0059084F"/>
    <w:rsid w:val="005908C3"/>
    <w:rsid w:val="005908D2"/>
    <w:rsid w:val="005908D7"/>
    <w:rsid w:val="005909B4"/>
    <w:rsid w:val="00590A3D"/>
    <w:rsid w:val="00590B11"/>
    <w:rsid w:val="00590B37"/>
    <w:rsid w:val="00590B58"/>
    <w:rsid w:val="00590B96"/>
    <w:rsid w:val="00590C01"/>
    <w:rsid w:val="00590C6F"/>
    <w:rsid w:val="00590C70"/>
    <w:rsid w:val="00590C96"/>
    <w:rsid w:val="00590CD9"/>
    <w:rsid w:val="00590DCC"/>
    <w:rsid w:val="00590DF1"/>
    <w:rsid w:val="00590E26"/>
    <w:rsid w:val="00590E4B"/>
    <w:rsid w:val="00590E92"/>
    <w:rsid w:val="00590EA6"/>
    <w:rsid w:val="00590EB9"/>
    <w:rsid w:val="00590EC0"/>
    <w:rsid w:val="00590F39"/>
    <w:rsid w:val="00590FF4"/>
    <w:rsid w:val="00590FF7"/>
    <w:rsid w:val="0059108F"/>
    <w:rsid w:val="005910CE"/>
    <w:rsid w:val="0059110F"/>
    <w:rsid w:val="0059111E"/>
    <w:rsid w:val="00591159"/>
    <w:rsid w:val="005911EE"/>
    <w:rsid w:val="005911F8"/>
    <w:rsid w:val="00591245"/>
    <w:rsid w:val="005912E6"/>
    <w:rsid w:val="00591302"/>
    <w:rsid w:val="0059136C"/>
    <w:rsid w:val="005913B0"/>
    <w:rsid w:val="005913D4"/>
    <w:rsid w:val="0059143E"/>
    <w:rsid w:val="00591460"/>
    <w:rsid w:val="0059148F"/>
    <w:rsid w:val="005914EC"/>
    <w:rsid w:val="005914F3"/>
    <w:rsid w:val="00591506"/>
    <w:rsid w:val="0059153D"/>
    <w:rsid w:val="005915B0"/>
    <w:rsid w:val="005915BF"/>
    <w:rsid w:val="005915FC"/>
    <w:rsid w:val="00591637"/>
    <w:rsid w:val="00591651"/>
    <w:rsid w:val="00591696"/>
    <w:rsid w:val="005916C0"/>
    <w:rsid w:val="005916D2"/>
    <w:rsid w:val="005916F2"/>
    <w:rsid w:val="00591763"/>
    <w:rsid w:val="00591778"/>
    <w:rsid w:val="0059179F"/>
    <w:rsid w:val="005917D0"/>
    <w:rsid w:val="00591835"/>
    <w:rsid w:val="0059185C"/>
    <w:rsid w:val="005918A4"/>
    <w:rsid w:val="00591940"/>
    <w:rsid w:val="00591975"/>
    <w:rsid w:val="0059198D"/>
    <w:rsid w:val="00591993"/>
    <w:rsid w:val="005919D1"/>
    <w:rsid w:val="005919E1"/>
    <w:rsid w:val="00591A11"/>
    <w:rsid w:val="00591A41"/>
    <w:rsid w:val="00591A79"/>
    <w:rsid w:val="00591A98"/>
    <w:rsid w:val="00591AB1"/>
    <w:rsid w:val="00591AB2"/>
    <w:rsid w:val="00591AB6"/>
    <w:rsid w:val="00591B54"/>
    <w:rsid w:val="00591B85"/>
    <w:rsid w:val="00591CC8"/>
    <w:rsid w:val="00591CF9"/>
    <w:rsid w:val="00591D7D"/>
    <w:rsid w:val="00591DB0"/>
    <w:rsid w:val="00591DB5"/>
    <w:rsid w:val="00591DDF"/>
    <w:rsid w:val="00591E1B"/>
    <w:rsid w:val="00591E36"/>
    <w:rsid w:val="00591E3E"/>
    <w:rsid w:val="00591E8C"/>
    <w:rsid w:val="00591E99"/>
    <w:rsid w:val="00591F91"/>
    <w:rsid w:val="00591FA3"/>
    <w:rsid w:val="00591FCD"/>
    <w:rsid w:val="00591FD1"/>
    <w:rsid w:val="0059207F"/>
    <w:rsid w:val="005920A6"/>
    <w:rsid w:val="00592140"/>
    <w:rsid w:val="00592154"/>
    <w:rsid w:val="00592288"/>
    <w:rsid w:val="00592297"/>
    <w:rsid w:val="00592299"/>
    <w:rsid w:val="0059229D"/>
    <w:rsid w:val="0059229E"/>
    <w:rsid w:val="005922AB"/>
    <w:rsid w:val="00592333"/>
    <w:rsid w:val="0059234B"/>
    <w:rsid w:val="0059237D"/>
    <w:rsid w:val="00592383"/>
    <w:rsid w:val="005923C1"/>
    <w:rsid w:val="00592459"/>
    <w:rsid w:val="0059247E"/>
    <w:rsid w:val="00592508"/>
    <w:rsid w:val="005925C6"/>
    <w:rsid w:val="005925FC"/>
    <w:rsid w:val="0059260D"/>
    <w:rsid w:val="005926B1"/>
    <w:rsid w:val="0059273C"/>
    <w:rsid w:val="00592749"/>
    <w:rsid w:val="00592753"/>
    <w:rsid w:val="00592793"/>
    <w:rsid w:val="005927CA"/>
    <w:rsid w:val="005927E0"/>
    <w:rsid w:val="0059280C"/>
    <w:rsid w:val="00592824"/>
    <w:rsid w:val="00592858"/>
    <w:rsid w:val="005928C4"/>
    <w:rsid w:val="005928F2"/>
    <w:rsid w:val="005929AB"/>
    <w:rsid w:val="005929B5"/>
    <w:rsid w:val="005929C6"/>
    <w:rsid w:val="005929DC"/>
    <w:rsid w:val="005929E1"/>
    <w:rsid w:val="00592A18"/>
    <w:rsid w:val="00592A44"/>
    <w:rsid w:val="00592A68"/>
    <w:rsid w:val="00592A92"/>
    <w:rsid w:val="00592A95"/>
    <w:rsid w:val="00592AB0"/>
    <w:rsid w:val="00592ACA"/>
    <w:rsid w:val="00592B17"/>
    <w:rsid w:val="00592B64"/>
    <w:rsid w:val="00592B66"/>
    <w:rsid w:val="00592B7C"/>
    <w:rsid w:val="00592B7D"/>
    <w:rsid w:val="00592BA3"/>
    <w:rsid w:val="00592CB0"/>
    <w:rsid w:val="00592D4C"/>
    <w:rsid w:val="00592D76"/>
    <w:rsid w:val="00592DB2"/>
    <w:rsid w:val="00592DCF"/>
    <w:rsid w:val="00592DE8"/>
    <w:rsid w:val="00592DEE"/>
    <w:rsid w:val="00592DF9"/>
    <w:rsid w:val="00592E0B"/>
    <w:rsid w:val="00592E2D"/>
    <w:rsid w:val="00592E63"/>
    <w:rsid w:val="00592EB0"/>
    <w:rsid w:val="00592EF9"/>
    <w:rsid w:val="00592F10"/>
    <w:rsid w:val="00592F58"/>
    <w:rsid w:val="00592F66"/>
    <w:rsid w:val="00592FFA"/>
    <w:rsid w:val="00593019"/>
    <w:rsid w:val="00593087"/>
    <w:rsid w:val="00593095"/>
    <w:rsid w:val="005930C2"/>
    <w:rsid w:val="005930D0"/>
    <w:rsid w:val="00593102"/>
    <w:rsid w:val="00593174"/>
    <w:rsid w:val="00593179"/>
    <w:rsid w:val="00593190"/>
    <w:rsid w:val="00593252"/>
    <w:rsid w:val="005932C7"/>
    <w:rsid w:val="005932FF"/>
    <w:rsid w:val="0059332C"/>
    <w:rsid w:val="00593338"/>
    <w:rsid w:val="0059333C"/>
    <w:rsid w:val="005933C9"/>
    <w:rsid w:val="005933FB"/>
    <w:rsid w:val="0059343F"/>
    <w:rsid w:val="00593443"/>
    <w:rsid w:val="0059345E"/>
    <w:rsid w:val="0059350C"/>
    <w:rsid w:val="0059351D"/>
    <w:rsid w:val="0059354B"/>
    <w:rsid w:val="00593581"/>
    <w:rsid w:val="005935CE"/>
    <w:rsid w:val="00593610"/>
    <w:rsid w:val="0059362E"/>
    <w:rsid w:val="00593631"/>
    <w:rsid w:val="00593641"/>
    <w:rsid w:val="00593679"/>
    <w:rsid w:val="00593686"/>
    <w:rsid w:val="005936AD"/>
    <w:rsid w:val="005936C3"/>
    <w:rsid w:val="005936E8"/>
    <w:rsid w:val="0059379E"/>
    <w:rsid w:val="005937D1"/>
    <w:rsid w:val="00593845"/>
    <w:rsid w:val="00593863"/>
    <w:rsid w:val="005938D5"/>
    <w:rsid w:val="005938EC"/>
    <w:rsid w:val="005938F9"/>
    <w:rsid w:val="0059390D"/>
    <w:rsid w:val="00593916"/>
    <w:rsid w:val="00593919"/>
    <w:rsid w:val="0059391C"/>
    <w:rsid w:val="0059392F"/>
    <w:rsid w:val="00593945"/>
    <w:rsid w:val="00593B04"/>
    <w:rsid w:val="00593B0E"/>
    <w:rsid w:val="00593B2F"/>
    <w:rsid w:val="00593B3C"/>
    <w:rsid w:val="00593B94"/>
    <w:rsid w:val="00593B9D"/>
    <w:rsid w:val="00593BA8"/>
    <w:rsid w:val="00593BDC"/>
    <w:rsid w:val="00593C72"/>
    <w:rsid w:val="00593C78"/>
    <w:rsid w:val="00593C92"/>
    <w:rsid w:val="00593C9F"/>
    <w:rsid w:val="00593D0B"/>
    <w:rsid w:val="00593D18"/>
    <w:rsid w:val="00593D44"/>
    <w:rsid w:val="00593DAA"/>
    <w:rsid w:val="00593DCE"/>
    <w:rsid w:val="00593DE3"/>
    <w:rsid w:val="00593E15"/>
    <w:rsid w:val="00593E43"/>
    <w:rsid w:val="00593E4C"/>
    <w:rsid w:val="00593EA4"/>
    <w:rsid w:val="00593F50"/>
    <w:rsid w:val="00593F98"/>
    <w:rsid w:val="00593FC1"/>
    <w:rsid w:val="00593FDC"/>
    <w:rsid w:val="00593FED"/>
    <w:rsid w:val="005940EC"/>
    <w:rsid w:val="0059411F"/>
    <w:rsid w:val="005941A4"/>
    <w:rsid w:val="005941C3"/>
    <w:rsid w:val="005941D8"/>
    <w:rsid w:val="005941F3"/>
    <w:rsid w:val="005941FE"/>
    <w:rsid w:val="00594242"/>
    <w:rsid w:val="00594261"/>
    <w:rsid w:val="0059428B"/>
    <w:rsid w:val="005942EA"/>
    <w:rsid w:val="005943EB"/>
    <w:rsid w:val="0059447D"/>
    <w:rsid w:val="005944A7"/>
    <w:rsid w:val="0059452F"/>
    <w:rsid w:val="0059455C"/>
    <w:rsid w:val="00594565"/>
    <w:rsid w:val="005945BE"/>
    <w:rsid w:val="005945C2"/>
    <w:rsid w:val="005945F0"/>
    <w:rsid w:val="0059462A"/>
    <w:rsid w:val="0059463A"/>
    <w:rsid w:val="00594692"/>
    <w:rsid w:val="00594721"/>
    <w:rsid w:val="00594761"/>
    <w:rsid w:val="005947CE"/>
    <w:rsid w:val="005947E6"/>
    <w:rsid w:val="00594807"/>
    <w:rsid w:val="00594857"/>
    <w:rsid w:val="005948A8"/>
    <w:rsid w:val="0059492B"/>
    <w:rsid w:val="0059496D"/>
    <w:rsid w:val="0059496E"/>
    <w:rsid w:val="00594A10"/>
    <w:rsid w:val="00594AA3"/>
    <w:rsid w:val="00594AC1"/>
    <w:rsid w:val="00594B2E"/>
    <w:rsid w:val="00594B33"/>
    <w:rsid w:val="00594BBE"/>
    <w:rsid w:val="00594BC1"/>
    <w:rsid w:val="00594BE3"/>
    <w:rsid w:val="00594C07"/>
    <w:rsid w:val="00594C37"/>
    <w:rsid w:val="00594D5E"/>
    <w:rsid w:val="00594D8E"/>
    <w:rsid w:val="00594DD2"/>
    <w:rsid w:val="00594DF0"/>
    <w:rsid w:val="00594E4A"/>
    <w:rsid w:val="00594E60"/>
    <w:rsid w:val="00594E6B"/>
    <w:rsid w:val="00594F54"/>
    <w:rsid w:val="00594F8A"/>
    <w:rsid w:val="00594FE8"/>
    <w:rsid w:val="0059500B"/>
    <w:rsid w:val="00595026"/>
    <w:rsid w:val="00595038"/>
    <w:rsid w:val="00595057"/>
    <w:rsid w:val="005950CF"/>
    <w:rsid w:val="005950E8"/>
    <w:rsid w:val="005950FA"/>
    <w:rsid w:val="00595107"/>
    <w:rsid w:val="0059510F"/>
    <w:rsid w:val="00595188"/>
    <w:rsid w:val="005951E5"/>
    <w:rsid w:val="00595202"/>
    <w:rsid w:val="00595216"/>
    <w:rsid w:val="00595277"/>
    <w:rsid w:val="00595278"/>
    <w:rsid w:val="005952A7"/>
    <w:rsid w:val="005952B5"/>
    <w:rsid w:val="0059536F"/>
    <w:rsid w:val="0059537E"/>
    <w:rsid w:val="005953BC"/>
    <w:rsid w:val="005953CD"/>
    <w:rsid w:val="005953D5"/>
    <w:rsid w:val="005953F5"/>
    <w:rsid w:val="00595475"/>
    <w:rsid w:val="005955A5"/>
    <w:rsid w:val="005955EF"/>
    <w:rsid w:val="00595602"/>
    <w:rsid w:val="00595658"/>
    <w:rsid w:val="00595672"/>
    <w:rsid w:val="005957E2"/>
    <w:rsid w:val="00595830"/>
    <w:rsid w:val="00595860"/>
    <w:rsid w:val="0059594D"/>
    <w:rsid w:val="005959A3"/>
    <w:rsid w:val="005959E0"/>
    <w:rsid w:val="005959FD"/>
    <w:rsid w:val="00595AE7"/>
    <w:rsid w:val="00595AF5"/>
    <w:rsid w:val="00595B31"/>
    <w:rsid w:val="00595C2B"/>
    <w:rsid w:val="00595C71"/>
    <w:rsid w:val="00595CA6"/>
    <w:rsid w:val="00595CBB"/>
    <w:rsid w:val="00595CBE"/>
    <w:rsid w:val="00595CC9"/>
    <w:rsid w:val="00595CE7"/>
    <w:rsid w:val="00595D14"/>
    <w:rsid w:val="00595DC2"/>
    <w:rsid w:val="00595DDB"/>
    <w:rsid w:val="00595E43"/>
    <w:rsid w:val="00595EA8"/>
    <w:rsid w:val="00595F00"/>
    <w:rsid w:val="00595F6D"/>
    <w:rsid w:val="00595FAC"/>
    <w:rsid w:val="00596010"/>
    <w:rsid w:val="00596030"/>
    <w:rsid w:val="005960EE"/>
    <w:rsid w:val="0059612C"/>
    <w:rsid w:val="00596138"/>
    <w:rsid w:val="0059613F"/>
    <w:rsid w:val="0059614C"/>
    <w:rsid w:val="0059617D"/>
    <w:rsid w:val="005961B4"/>
    <w:rsid w:val="005961BF"/>
    <w:rsid w:val="005961E9"/>
    <w:rsid w:val="005961F6"/>
    <w:rsid w:val="00596235"/>
    <w:rsid w:val="00596242"/>
    <w:rsid w:val="005962A1"/>
    <w:rsid w:val="005962E8"/>
    <w:rsid w:val="0059634F"/>
    <w:rsid w:val="0059636F"/>
    <w:rsid w:val="005963B2"/>
    <w:rsid w:val="0059643A"/>
    <w:rsid w:val="0059645A"/>
    <w:rsid w:val="00596463"/>
    <w:rsid w:val="005964A5"/>
    <w:rsid w:val="005964B5"/>
    <w:rsid w:val="00596507"/>
    <w:rsid w:val="0059653F"/>
    <w:rsid w:val="00596549"/>
    <w:rsid w:val="0059658B"/>
    <w:rsid w:val="0059658F"/>
    <w:rsid w:val="005965D0"/>
    <w:rsid w:val="00596603"/>
    <w:rsid w:val="00596625"/>
    <w:rsid w:val="0059663A"/>
    <w:rsid w:val="00596660"/>
    <w:rsid w:val="00596668"/>
    <w:rsid w:val="0059667F"/>
    <w:rsid w:val="005966E6"/>
    <w:rsid w:val="0059671E"/>
    <w:rsid w:val="00596757"/>
    <w:rsid w:val="00596796"/>
    <w:rsid w:val="005967CB"/>
    <w:rsid w:val="005967EA"/>
    <w:rsid w:val="00596825"/>
    <w:rsid w:val="00596881"/>
    <w:rsid w:val="00596909"/>
    <w:rsid w:val="0059694C"/>
    <w:rsid w:val="00596954"/>
    <w:rsid w:val="00596960"/>
    <w:rsid w:val="005969A9"/>
    <w:rsid w:val="005969AF"/>
    <w:rsid w:val="00596A34"/>
    <w:rsid w:val="00596A48"/>
    <w:rsid w:val="00596A6A"/>
    <w:rsid w:val="00596A76"/>
    <w:rsid w:val="00596ADC"/>
    <w:rsid w:val="00596B1F"/>
    <w:rsid w:val="00596B43"/>
    <w:rsid w:val="00596B99"/>
    <w:rsid w:val="00596BCC"/>
    <w:rsid w:val="00596BE7"/>
    <w:rsid w:val="00596C96"/>
    <w:rsid w:val="00596CB9"/>
    <w:rsid w:val="00596CD1"/>
    <w:rsid w:val="00596CF3"/>
    <w:rsid w:val="00596D39"/>
    <w:rsid w:val="00596DDC"/>
    <w:rsid w:val="00596E00"/>
    <w:rsid w:val="00596E3D"/>
    <w:rsid w:val="00596EA8"/>
    <w:rsid w:val="00596EAC"/>
    <w:rsid w:val="00596ED9"/>
    <w:rsid w:val="00596EDF"/>
    <w:rsid w:val="00596F2B"/>
    <w:rsid w:val="00596F35"/>
    <w:rsid w:val="00596F37"/>
    <w:rsid w:val="00596FD7"/>
    <w:rsid w:val="0059704A"/>
    <w:rsid w:val="005970A0"/>
    <w:rsid w:val="005970B9"/>
    <w:rsid w:val="005970BC"/>
    <w:rsid w:val="005970FC"/>
    <w:rsid w:val="0059711E"/>
    <w:rsid w:val="00597129"/>
    <w:rsid w:val="0059714E"/>
    <w:rsid w:val="00597160"/>
    <w:rsid w:val="0059717E"/>
    <w:rsid w:val="005971B3"/>
    <w:rsid w:val="005971CB"/>
    <w:rsid w:val="00597213"/>
    <w:rsid w:val="00597236"/>
    <w:rsid w:val="0059725C"/>
    <w:rsid w:val="0059727F"/>
    <w:rsid w:val="0059729E"/>
    <w:rsid w:val="00597306"/>
    <w:rsid w:val="0059733B"/>
    <w:rsid w:val="005973D8"/>
    <w:rsid w:val="00597408"/>
    <w:rsid w:val="00597467"/>
    <w:rsid w:val="00597469"/>
    <w:rsid w:val="0059747D"/>
    <w:rsid w:val="005974F6"/>
    <w:rsid w:val="00597500"/>
    <w:rsid w:val="0059752B"/>
    <w:rsid w:val="0059754B"/>
    <w:rsid w:val="00597589"/>
    <w:rsid w:val="005975A5"/>
    <w:rsid w:val="005975D6"/>
    <w:rsid w:val="00597636"/>
    <w:rsid w:val="005976A0"/>
    <w:rsid w:val="005976CF"/>
    <w:rsid w:val="005976F9"/>
    <w:rsid w:val="00597705"/>
    <w:rsid w:val="00597757"/>
    <w:rsid w:val="00597766"/>
    <w:rsid w:val="0059779E"/>
    <w:rsid w:val="0059780A"/>
    <w:rsid w:val="0059782B"/>
    <w:rsid w:val="00597840"/>
    <w:rsid w:val="00597848"/>
    <w:rsid w:val="0059785A"/>
    <w:rsid w:val="005979C1"/>
    <w:rsid w:val="00597A48"/>
    <w:rsid w:val="00597AA2"/>
    <w:rsid w:val="00597AEC"/>
    <w:rsid w:val="00597B18"/>
    <w:rsid w:val="00597B6C"/>
    <w:rsid w:val="00597BF2"/>
    <w:rsid w:val="00597BF3"/>
    <w:rsid w:val="00597C39"/>
    <w:rsid w:val="00597C40"/>
    <w:rsid w:val="00597C47"/>
    <w:rsid w:val="00597D09"/>
    <w:rsid w:val="00597DEC"/>
    <w:rsid w:val="00597E01"/>
    <w:rsid w:val="00597E72"/>
    <w:rsid w:val="00597ED5"/>
    <w:rsid w:val="00597F55"/>
    <w:rsid w:val="00597FCC"/>
    <w:rsid w:val="00597FDE"/>
    <w:rsid w:val="0059828F"/>
    <w:rsid w:val="005A0012"/>
    <w:rsid w:val="005A005A"/>
    <w:rsid w:val="005A007E"/>
    <w:rsid w:val="005A00C4"/>
    <w:rsid w:val="005A00CF"/>
    <w:rsid w:val="005A014C"/>
    <w:rsid w:val="005A018A"/>
    <w:rsid w:val="005A01B6"/>
    <w:rsid w:val="005A01F4"/>
    <w:rsid w:val="005A01FD"/>
    <w:rsid w:val="005A020A"/>
    <w:rsid w:val="005A0210"/>
    <w:rsid w:val="005A0264"/>
    <w:rsid w:val="005A0290"/>
    <w:rsid w:val="005A02B2"/>
    <w:rsid w:val="005A02B8"/>
    <w:rsid w:val="005A02D2"/>
    <w:rsid w:val="005A0343"/>
    <w:rsid w:val="005A0371"/>
    <w:rsid w:val="005A03E6"/>
    <w:rsid w:val="005A03FF"/>
    <w:rsid w:val="005A040A"/>
    <w:rsid w:val="005A0423"/>
    <w:rsid w:val="005A0432"/>
    <w:rsid w:val="005A0443"/>
    <w:rsid w:val="005A0479"/>
    <w:rsid w:val="005A0514"/>
    <w:rsid w:val="005A0558"/>
    <w:rsid w:val="005A0567"/>
    <w:rsid w:val="005A05B6"/>
    <w:rsid w:val="005A05E9"/>
    <w:rsid w:val="005A0676"/>
    <w:rsid w:val="005A06FB"/>
    <w:rsid w:val="005A0704"/>
    <w:rsid w:val="005A0742"/>
    <w:rsid w:val="005A077B"/>
    <w:rsid w:val="005A07C5"/>
    <w:rsid w:val="005A082D"/>
    <w:rsid w:val="005A08EE"/>
    <w:rsid w:val="005A08F4"/>
    <w:rsid w:val="005A0961"/>
    <w:rsid w:val="005A097B"/>
    <w:rsid w:val="005A09CA"/>
    <w:rsid w:val="005A09CE"/>
    <w:rsid w:val="005A0A59"/>
    <w:rsid w:val="005A0AD2"/>
    <w:rsid w:val="005A0AEF"/>
    <w:rsid w:val="005A0B2E"/>
    <w:rsid w:val="005A0B70"/>
    <w:rsid w:val="005A0B88"/>
    <w:rsid w:val="005A0B95"/>
    <w:rsid w:val="005A0C3E"/>
    <w:rsid w:val="005A0C90"/>
    <w:rsid w:val="005A0C91"/>
    <w:rsid w:val="005A0CF3"/>
    <w:rsid w:val="005A0D2C"/>
    <w:rsid w:val="005A0D64"/>
    <w:rsid w:val="005A0D9E"/>
    <w:rsid w:val="005A0DBA"/>
    <w:rsid w:val="005A0DC1"/>
    <w:rsid w:val="005A0DDE"/>
    <w:rsid w:val="005A0DEA"/>
    <w:rsid w:val="005A0DF1"/>
    <w:rsid w:val="005A0E9C"/>
    <w:rsid w:val="005A0EE3"/>
    <w:rsid w:val="005A0EFD"/>
    <w:rsid w:val="005A0F06"/>
    <w:rsid w:val="005A0F31"/>
    <w:rsid w:val="005A0F78"/>
    <w:rsid w:val="005A0FB8"/>
    <w:rsid w:val="005A1039"/>
    <w:rsid w:val="005A1106"/>
    <w:rsid w:val="005A11A2"/>
    <w:rsid w:val="005A11B8"/>
    <w:rsid w:val="005A1267"/>
    <w:rsid w:val="005A127F"/>
    <w:rsid w:val="005A1280"/>
    <w:rsid w:val="005A12C7"/>
    <w:rsid w:val="005A12FB"/>
    <w:rsid w:val="005A1333"/>
    <w:rsid w:val="005A1337"/>
    <w:rsid w:val="005A1363"/>
    <w:rsid w:val="005A136E"/>
    <w:rsid w:val="005A14A0"/>
    <w:rsid w:val="005A14B5"/>
    <w:rsid w:val="005A153C"/>
    <w:rsid w:val="005A1547"/>
    <w:rsid w:val="005A155B"/>
    <w:rsid w:val="005A15DA"/>
    <w:rsid w:val="005A15E4"/>
    <w:rsid w:val="005A1665"/>
    <w:rsid w:val="005A16BA"/>
    <w:rsid w:val="005A1737"/>
    <w:rsid w:val="005A174B"/>
    <w:rsid w:val="005A176C"/>
    <w:rsid w:val="005A1798"/>
    <w:rsid w:val="005A181F"/>
    <w:rsid w:val="005A183A"/>
    <w:rsid w:val="005A1882"/>
    <w:rsid w:val="005A1912"/>
    <w:rsid w:val="005A192E"/>
    <w:rsid w:val="005A1967"/>
    <w:rsid w:val="005A196F"/>
    <w:rsid w:val="005A1979"/>
    <w:rsid w:val="005A19D8"/>
    <w:rsid w:val="005A1A6C"/>
    <w:rsid w:val="005A1A9D"/>
    <w:rsid w:val="005A1AA2"/>
    <w:rsid w:val="005A1AAB"/>
    <w:rsid w:val="005A1B18"/>
    <w:rsid w:val="005A1B76"/>
    <w:rsid w:val="005A1BF2"/>
    <w:rsid w:val="005A1BF6"/>
    <w:rsid w:val="005A1CC0"/>
    <w:rsid w:val="005A1CC5"/>
    <w:rsid w:val="005A1CE1"/>
    <w:rsid w:val="005A1CFC"/>
    <w:rsid w:val="005A1D47"/>
    <w:rsid w:val="005A1D85"/>
    <w:rsid w:val="005A1DF2"/>
    <w:rsid w:val="005A1E17"/>
    <w:rsid w:val="005A1E38"/>
    <w:rsid w:val="005A1E4F"/>
    <w:rsid w:val="005A1EE8"/>
    <w:rsid w:val="005A1F0F"/>
    <w:rsid w:val="005A1F46"/>
    <w:rsid w:val="005A1F49"/>
    <w:rsid w:val="005A1F4B"/>
    <w:rsid w:val="005A1F5E"/>
    <w:rsid w:val="005A1F61"/>
    <w:rsid w:val="005A1FCB"/>
    <w:rsid w:val="005A2023"/>
    <w:rsid w:val="005A203C"/>
    <w:rsid w:val="005A20AB"/>
    <w:rsid w:val="005A20E2"/>
    <w:rsid w:val="005A21F2"/>
    <w:rsid w:val="005A223C"/>
    <w:rsid w:val="005A2275"/>
    <w:rsid w:val="005A2338"/>
    <w:rsid w:val="005A2392"/>
    <w:rsid w:val="005A23BB"/>
    <w:rsid w:val="005A23BE"/>
    <w:rsid w:val="005A2463"/>
    <w:rsid w:val="005A24C2"/>
    <w:rsid w:val="005A24CE"/>
    <w:rsid w:val="005A2528"/>
    <w:rsid w:val="005A2534"/>
    <w:rsid w:val="005A2579"/>
    <w:rsid w:val="005A25A5"/>
    <w:rsid w:val="005A25CB"/>
    <w:rsid w:val="005A2631"/>
    <w:rsid w:val="005A2634"/>
    <w:rsid w:val="005A263B"/>
    <w:rsid w:val="005A2647"/>
    <w:rsid w:val="005A2649"/>
    <w:rsid w:val="005A266D"/>
    <w:rsid w:val="005A26A0"/>
    <w:rsid w:val="005A26BF"/>
    <w:rsid w:val="005A26CD"/>
    <w:rsid w:val="005A26F4"/>
    <w:rsid w:val="005A2768"/>
    <w:rsid w:val="005A27AC"/>
    <w:rsid w:val="005A27BD"/>
    <w:rsid w:val="005A27CD"/>
    <w:rsid w:val="005A2800"/>
    <w:rsid w:val="005A2818"/>
    <w:rsid w:val="005A283D"/>
    <w:rsid w:val="005A2896"/>
    <w:rsid w:val="005A28B4"/>
    <w:rsid w:val="005A28D2"/>
    <w:rsid w:val="005A28DC"/>
    <w:rsid w:val="005A28EA"/>
    <w:rsid w:val="005A28EC"/>
    <w:rsid w:val="005A28F6"/>
    <w:rsid w:val="005A29D1"/>
    <w:rsid w:val="005A29FF"/>
    <w:rsid w:val="005A2A03"/>
    <w:rsid w:val="005A2A1F"/>
    <w:rsid w:val="005A2A43"/>
    <w:rsid w:val="005A2AF0"/>
    <w:rsid w:val="005A2AF5"/>
    <w:rsid w:val="005A2B3A"/>
    <w:rsid w:val="005A2BA5"/>
    <w:rsid w:val="005A2BE3"/>
    <w:rsid w:val="005A2C03"/>
    <w:rsid w:val="005A2C24"/>
    <w:rsid w:val="005A2C33"/>
    <w:rsid w:val="005A2C46"/>
    <w:rsid w:val="005A2CCC"/>
    <w:rsid w:val="005A2CE8"/>
    <w:rsid w:val="005A2D2A"/>
    <w:rsid w:val="005A2D89"/>
    <w:rsid w:val="005A2D93"/>
    <w:rsid w:val="005A2DAF"/>
    <w:rsid w:val="005A2DBD"/>
    <w:rsid w:val="005A2DC5"/>
    <w:rsid w:val="005A2E00"/>
    <w:rsid w:val="005A2E4E"/>
    <w:rsid w:val="005A2EAD"/>
    <w:rsid w:val="005A2ED0"/>
    <w:rsid w:val="005A2EE0"/>
    <w:rsid w:val="005A2F02"/>
    <w:rsid w:val="005A2F8B"/>
    <w:rsid w:val="005A2F99"/>
    <w:rsid w:val="005A2FA0"/>
    <w:rsid w:val="005A2FDE"/>
    <w:rsid w:val="005A2FEB"/>
    <w:rsid w:val="005A3009"/>
    <w:rsid w:val="005A3011"/>
    <w:rsid w:val="005A3024"/>
    <w:rsid w:val="005A3052"/>
    <w:rsid w:val="005A3091"/>
    <w:rsid w:val="005A30EE"/>
    <w:rsid w:val="005A31BE"/>
    <w:rsid w:val="005A3280"/>
    <w:rsid w:val="005A32D1"/>
    <w:rsid w:val="005A3300"/>
    <w:rsid w:val="005A331B"/>
    <w:rsid w:val="005A339D"/>
    <w:rsid w:val="005A33E5"/>
    <w:rsid w:val="005A33F0"/>
    <w:rsid w:val="005A34C7"/>
    <w:rsid w:val="005A34DA"/>
    <w:rsid w:val="005A34E3"/>
    <w:rsid w:val="005A34E6"/>
    <w:rsid w:val="005A34EC"/>
    <w:rsid w:val="005A35DE"/>
    <w:rsid w:val="005A3653"/>
    <w:rsid w:val="005A365B"/>
    <w:rsid w:val="005A3688"/>
    <w:rsid w:val="005A36AB"/>
    <w:rsid w:val="005A36F2"/>
    <w:rsid w:val="005A36F8"/>
    <w:rsid w:val="005A3745"/>
    <w:rsid w:val="005A3769"/>
    <w:rsid w:val="005A3782"/>
    <w:rsid w:val="005A37B0"/>
    <w:rsid w:val="005A37D6"/>
    <w:rsid w:val="005A3825"/>
    <w:rsid w:val="005A3829"/>
    <w:rsid w:val="005A385C"/>
    <w:rsid w:val="005A386A"/>
    <w:rsid w:val="005A394E"/>
    <w:rsid w:val="005A3994"/>
    <w:rsid w:val="005A39BA"/>
    <w:rsid w:val="005A39D8"/>
    <w:rsid w:val="005A3A97"/>
    <w:rsid w:val="005A3AF1"/>
    <w:rsid w:val="005A3B3B"/>
    <w:rsid w:val="005A3B82"/>
    <w:rsid w:val="005A3C09"/>
    <w:rsid w:val="005A3C16"/>
    <w:rsid w:val="005A3C3A"/>
    <w:rsid w:val="005A3CAE"/>
    <w:rsid w:val="005A3D2C"/>
    <w:rsid w:val="005A3D4B"/>
    <w:rsid w:val="005A3D82"/>
    <w:rsid w:val="005A3DA8"/>
    <w:rsid w:val="005A3DAB"/>
    <w:rsid w:val="005A3E1B"/>
    <w:rsid w:val="005A3E21"/>
    <w:rsid w:val="005A3E39"/>
    <w:rsid w:val="005A3EFB"/>
    <w:rsid w:val="005A3F2E"/>
    <w:rsid w:val="005A3F3A"/>
    <w:rsid w:val="005A3F3D"/>
    <w:rsid w:val="005A401D"/>
    <w:rsid w:val="005A4046"/>
    <w:rsid w:val="005A40AC"/>
    <w:rsid w:val="005A4105"/>
    <w:rsid w:val="005A411A"/>
    <w:rsid w:val="005A413A"/>
    <w:rsid w:val="005A41DD"/>
    <w:rsid w:val="005A41EF"/>
    <w:rsid w:val="005A4227"/>
    <w:rsid w:val="005A4244"/>
    <w:rsid w:val="005A4268"/>
    <w:rsid w:val="005A42EE"/>
    <w:rsid w:val="005A431B"/>
    <w:rsid w:val="005A43E5"/>
    <w:rsid w:val="005A44A8"/>
    <w:rsid w:val="005A44F0"/>
    <w:rsid w:val="005A44F9"/>
    <w:rsid w:val="005A450F"/>
    <w:rsid w:val="005A451E"/>
    <w:rsid w:val="005A45CF"/>
    <w:rsid w:val="005A4648"/>
    <w:rsid w:val="005A4691"/>
    <w:rsid w:val="005A46AE"/>
    <w:rsid w:val="005A46DB"/>
    <w:rsid w:val="005A471B"/>
    <w:rsid w:val="005A4752"/>
    <w:rsid w:val="005A4764"/>
    <w:rsid w:val="005A4898"/>
    <w:rsid w:val="005A48C8"/>
    <w:rsid w:val="005A48D7"/>
    <w:rsid w:val="005A48FB"/>
    <w:rsid w:val="005A492C"/>
    <w:rsid w:val="005A496A"/>
    <w:rsid w:val="005A498B"/>
    <w:rsid w:val="005A49BD"/>
    <w:rsid w:val="005A49CD"/>
    <w:rsid w:val="005A4A4D"/>
    <w:rsid w:val="005A4A83"/>
    <w:rsid w:val="005A4AB8"/>
    <w:rsid w:val="005A4B00"/>
    <w:rsid w:val="005A4B27"/>
    <w:rsid w:val="005A4B53"/>
    <w:rsid w:val="005A4B54"/>
    <w:rsid w:val="005A4BC0"/>
    <w:rsid w:val="005A4BCF"/>
    <w:rsid w:val="005A4C02"/>
    <w:rsid w:val="005A4C58"/>
    <w:rsid w:val="005A4C89"/>
    <w:rsid w:val="005A4C8A"/>
    <w:rsid w:val="005A4CAE"/>
    <w:rsid w:val="005A4D15"/>
    <w:rsid w:val="005A4D95"/>
    <w:rsid w:val="005A4DEE"/>
    <w:rsid w:val="005A4F27"/>
    <w:rsid w:val="005A4F4A"/>
    <w:rsid w:val="005A4F86"/>
    <w:rsid w:val="005A4F9E"/>
    <w:rsid w:val="005A4FB0"/>
    <w:rsid w:val="005A4FB8"/>
    <w:rsid w:val="005A5064"/>
    <w:rsid w:val="005A508B"/>
    <w:rsid w:val="005A508C"/>
    <w:rsid w:val="005A5103"/>
    <w:rsid w:val="005A5168"/>
    <w:rsid w:val="005A516C"/>
    <w:rsid w:val="005A518C"/>
    <w:rsid w:val="005A51D0"/>
    <w:rsid w:val="005A524F"/>
    <w:rsid w:val="005A525B"/>
    <w:rsid w:val="005A5282"/>
    <w:rsid w:val="005A52DD"/>
    <w:rsid w:val="005A52FC"/>
    <w:rsid w:val="005A52FF"/>
    <w:rsid w:val="005A5322"/>
    <w:rsid w:val="005A5325"/>
    <w:rsid w:val="005A5326"/>
    <w:rsid w:val="005A532B"/>
    <w:rsid w:val="005A535F"/>
    <w:rsid w:val="005A53EF"/>
    <w:rsid w:val="005A542E"/>
    <w:rsid w:val="005A5432"/>
    <w:rsid w:val="005A5460"/>
    <w:rsid w:val="005A5462"/>
    <w:rsid w:val="005A54B2"/>
    <w:rsid w:val="005A54B3"/>
    <w:rsid w:val="005A54F9"/>
    <w:rsid w:val="005A5506"/>
    <w:rsid w:val="005A555D"/>
    <w:rsid w:val="005A55BF"/>
    <w:rsid w:val="005A5668"/>
    <w:rsid w:val="005A5783"/>
    <w:rsid w:val="005A57C9"/>
    <w:rsid w:val="005A57E8"/>
    <w:rsid w:val="005A57EA"/>
    <w:rsid w:val="005A5801"/>
    <w:rsid w:val="005A5854"/>
    <w:rsid w:val="005A588B"/>
    <w:rsid w:val="005A58D1"/>
    <w:rsid w:val="005A58D8"/>
    <w:rsid w:val="005A5969"/>
    <w:rsid w:val="005A596D"/>
    <w:rsid w:val="005A59AD"/>
    <w:rsid w:val="005A59C0"/>
    <w:rsid w:val="005A5A40"/>
    <w:rsid w:val="005A5A6D"/>
    <w:rsid w:val="005A5A84"/>
    <w:rsid w:val="005A5A9B"/>
    <w:rsid w:val="005A5B01"/>
    <w:rsid w:val="005A5B02"/>
    <w:rsid w:val="005A5B10"/>
    <w:rsid w:val="005A5B62"/>
    <w:rsid w:val="005A5B7E"/>
    <w:rsid w:val="005A5BE2"/>
    <w:rsid w:val="005A5CAC"/>
    <w:rsid w:val="005A5CAE"/>
    <w:rsid w:val="005A5CEC"/>
    <w:rsid w:val="005A5D06"/>
    <w:rsid w:val="005A5D9B"/>
    <w:rsid w:val="005A5E7E"/>
    <w:rsid w:val="005A5E8E"/>
    <w:rsid w:val="005A5E9E"/>
    <w:rsid w:val="005A5EC3"/>
    <w:rsid w:val="005A5ED5"/>
    <w:rsid w:val="005A5EEC"/>
    <w:rsid w:val="005A5F31"/>
    <w:rsid w:val="005A5F35"/>
    <w:rsid w:val="005A5F5C"/>
    <w:rsid w:val="005A5F88"/>
    <w:rsid w:val="005A5FB6"/>
    <w:rsid w:val="005A600F"/>
    <w:rsid w:val="005A604B"/>
    <w:rsid w:val="005A605A"/>
    <w:rsid w:val="005A60A9"/>
    <w:rsid w:val="005A60C6"/>
    <w:rsid w:val="005A614F"/>
    <w:rsid w:val="005A61AA"/>
    <w:rsid w:val="005A6248"/>
    <w:rsid w:val="005A6275"/>
    <w:rsid w:val="005A6284"/>
    <w:rsid w:val="005A6334"/>
    <w:rsid w:val="005A637C"/>
    <w:rsid w:val="005A63FB"/>
    <w:rsid w:val="005A6418"/>
    <w:rsid w:val="005A64AE"/>
    <w:rsid w:val="005A64AF"/>
    <w:rsid w:val="005A6500"/>
    <w:rsid w:val="005A6567"/>
    <w:rsid w:val="005A656B"/>
    <w:rsid w:val="005A6571"/>
    <w:rsid w:val="005A6595"/>
    <w:rsid w:val="005A65C1"/>
    <w:rsid w:val="005A662E"/>
    <w:rsid w:val="005A66D8"/>
    <w:rsid w:val="005A66DA"/>
    <w:rsid w:val="005A6778"/>
    <w:rsid w:val="005A67F0"/>
    <w:rsid w:val="005A6837"/>
    <w:rsid w:val="005A6844"/>
    <w:rsid w:val="005A6861"/>
    <w:rsid w:val="005A6894"/>
    <w:rsid w:val="005A68A3"/>
    <w:rsid w:val="005A692F"/>
    <w:rsid w:val="005A694A"/>
    <w:rsid w:val="005A696E"/>
    <w:rsid w:val="005A69A0"/>
    <w:rsid w:val="005A6A1B"/>
    <w:rsid w:val="005A6A2A"/>
    <w:rsid w:val="005A6A46"/>
    <w:rsid w:val="005A6A60"/>
    <w:rsid w:val="005A6A74"/>
    <w:rsid w:val="005A6BDA"/>
    <w:rsid w:val="005A6C74"/>
    <w:rsid w:val="005A6CC1"/>
    <w:rsid w:val="005A6CD3"/>
    <w:rsid w:val="005A6CFD"/>
    <w:rsid w:val="005A6D6D"/>
    <w:rsid w:val="005A6DCA"/>
    <w:rsid w:val="005A6E1D"/>
    <w:rsid w:val="005A6E4A"/>
    <w:rsid w:val="005A6E9A"/>
    <w:rsid w:val="005A6F15"/>
    <w:rsid w:val="005A6F3E"/>
    <w:rsid w:val="005A6FB8"/>
    <w:rsid w:val="005A6FCE"/>
    <w:rsid w:val="005A6FDD"/>
    <w:rsid w:val="005A7000"/>
    <w:rsid w:val="005A7046"/>
    <w:rsid w:val="005A7063"/>
    <w:rsid w:val="005A7066"/>
    <w:rsid w:val="005A70D5"/>
    <w:rsid w:val="005A7125"/>
    <w:rsid w:val="005A714C"/>
    <w:rsid w:val="005A7180"/>
    <w:rsid w:val="005A7185"/>
    <w:rsid w:val="005A71A2"/>
    <w:rsid w:val="005A71FE"/>
    <w:rsid w:val="005A7202"/>
    <w:rsid w:val="005A7271"/>
    <w:rsid w:val="005A7275"/>
    <w:rsid w:val="005A7286"/>
    <w:rsid w:val="005A72EB"/>
    <w:rsid w:val="005A7303"/>
    <w:rsid w:val="005A731E"/>
    <w:rsid w:val="005A7341"/>
    <w:rsid w:val="005A7364"/>
    <w:rsid w:val="005A74BF"/>
    <w:rsid w:val="005A74FB"/>
    <w:rsid w:val="005A758F"/>
    <w:rsid w:val="005A7624"/>
    <w:rsid w:val="005A7638"/>
    <w:rsid w:val="005A765C"/>
    <w:rsid w:val="005A76AD"/>
    <w:rsid w:val="005A76B1"/>
    <w:rsid w:val="005A7794"/>
    <w:rsid w:val="005A77AA"/>
    <w:rsid w:val="005A77B4"/>
    <w:rsid w:val="005A77D8"/>
    <w:rsid w:val="005A7807"/>
    <w:rsid w:val="005A787D"/>
    <w:rsid w:val="005A78E5"/>
    <w:rsid w:val="005A791B"/>
    <w:rsid w:val="005A7930"/>
    <w:rsid w:val="005A7955"/>
    <w:rsid w:val="005A7A19"/>
    <w:rsid w:val="005A7A82"/>
    <w:rsid w:val="005A7ACF"/>
    <w:rsid w:val="005A7AD3"/>
    <w:rsid w:val="005A7ADD"/>
    <w:rsid w:val="005A7B0B"/>
    <w:rsid w:val="005A7B6C"/>
    <w:rsid w:val="005A7BAE"/>
    <w:rsid w:val="005A7C5A"/>
    <w:rsid w:val="005A7D6F"/>
    <w:rsid w:val="005A7D80"/>
    <w:rsid w:val="005A7DA9"/>
    <w:rsid w:val="005A7DE4"/>
    <w:rsid w:val="005A7DFF"/>
    <w:rsid w:val="005A7E3C"/>
    <w:rsid w:val="005A7E40"/>
    <w:rsid w:val="005A7E47"/>
    <w:rsid w:val="005A7E4B"/>
    <w:rsid w:val="005A7E5C"/>
    <w:rsid w:val="005A7F28"/>
    <w:rsid w:val="005A7F53"/>
    <w:rsid w:val="005A7FCA"/>
    <w:rsid w:val="005B0034"/>
    <w:rsid w:val="005B003F"/>
    <w:rsid w:val="005B0080"/>
    <w:rsid w:val="005B0094"/>
    <w:rsid w:val="005B00B5"/>
    <w:rsid w:val="005B0101"/>
    <w:rsid w:val="005B0115"/>
    <w:rsid w:val="005B012B"/>
    <w:rsid w:val="005B01D8"/>
    <w:rsid w:val="005B01F2"/>
    <w:rsid w:val="005B022B"/>
    <w:rsid w:val="005B0334"/>
    <w:rsid w:val="005B034C"/>
    <w:rsid w:val="005B0361"/>
    <w:rsid w:val="005B036D"/>
    <w:rsid w:val="005B0398"/>
    <w:rsid w:val="005B0399"/>
    <w:rsid w:val="005B047F"/>
    <w:rsid w:val="005B04F9"/>
    <w:rsid w:val="005B058B"/>
    <w:rsid w:val="005B0633"/>
    <w:rsid w:val="005B0679"/>
    <w:rsid w:val="005B06B9"/>
    <w:rsid w:val="005B0710"/>
    <w:rsid w:val="005B073B"/>
    <w:rsid w:val="005B0773"/>
    <w:rsid w:val="005B0828"/>
    <w:rsid w:val="005B08A6"/>
    <w:rsid w:val="005B0959"/>
    <w:rsid w:val="005B096A"/>
    <w:rsid w:val="005B09FE"/>
    <w:rsid w:val="005B0A4A"/>
    <w:rsid w:val="005B0A7B"/>
    <w:rsid w:val="005B0ABD"/>
    <w:rsid w:val="005B0B17"/>
    <w:rsid w:val="005B0B28"/>
    <w:rsid w:val="005B0BA3"/>
    <w:rsid w:val="005B0BD1"/>
    <w:rsid w:val="005B0BEE"/>
    <w:rsid w:val="005B0BFC"/>
    <w:rsid w:val="005B0C58"/>
    <w:rsid w:val="005B0C6A"/>
    <w:rsid w:val="005B0D2B"/>
    <w:rsid w:val="005B0D36"/>
    <w:rsid w:val="005B0DC2"/>
    <w:rsid w:val="005B0E03"/>
    <w:rsid w:val="005B0E1F"/>
    <w:rsid w:val="005B0E7F"/>
    <w:rsid w:val="005B0EAB"/>
    <w:rsid w:val="005B0EAF"/>
    <w:rsid w:val="005B0EE1"/>
    <w:rsid w:val="005B0F10"/>
    <w:rsid w:val="005B0F3E"/>
    <w:rsid w:val="005B0F55"/>
    <w:rsid w:val="005B0F96"/>
    <w:rsid w:val="005B0F9E"/>
    <w:rsid w:val="005B1007"/>
    <w:rsid w:val="005B1051"/>
    <w:rsid w:val="005B1083"/>
    <w:rsid w:val="005B1126"/>
    <w:rsid w:val="005B1159"/>
    <w:rsid w:val="005B11DE"/>
    <w:rsid w:val="005B1206"/>
    <w:rsid w:val="005B1208"/>
    <w:rsid w:val="005B122A"/>
    <w:rsid w:val="005B124A"/>
    <w:rsid w:val="005B1254"/>
    <w:rsid w:val="005B1260"/>
    <w:rsid w:val="005B12CE"/>
    <w:rsid w:val="005B130F"/>
    <w:rsid w:val="005B136C"/>
    <w:rsid w:val="005B137B"/>
    <w:rsid w:val="005B14A5"/>
    <w:rsid w:val="005B14FB"/>
    <w:rsid w:val="005B151C"/>
    <w:rsid w:val="005B152C"/>
    <w:rsid w:val="005B1544"/>
    <w:rsid w:val="005B15A4"/>
    <w:rsid w:val="005B15B8"/>
    <w:rsid w:val="005B15D7"/>
    <w:rsid w:val="005B1609"/>
    <w:rsid w:val="005B167B"/>
    <w:rsid w:val="005B1743"/>
    <w:rsid w:val="005B1761"/>
    <w:rsid w:val="005B177F"/>
    <w:rsid w:val="005B17AD"/>
    <w:rsid w:val="005B1857"/>
    <w:rsid w:val="005B1876"/>
    <w:rsid w:val="005B1888"/>
    <w:rsid w:val="005B18A4"/>
    <w:rsid w:val="005B18F4"/>
    <w:rsid w:val="005B193F"/>
    <w:rsid w:val="005B1952"/>
    <w:rsid w:val="005B1973"/>
    <w:rsid w:val="005B1A24"/>
    <w:rsid w:val="005B1A88"/>
    <w:rsid w:val="005B1AB7"/>
    <w:rsid w:val="005B1ABF"/>
    <w:rsid w:val="005B1BBE"/>
    <w:rsid w:val="005B1BE4"/>
    <w:rsid w:val="005B1C0F"/>
    <w:rsid w:val="005B1CDC"/>
    <w:rsid w:val="005B1CED"/>
    <w:rsid w:val="005B1D08"/>
    <w:rsid w:val="005B1D0D"/>
    <w:rsid w:val="005B1D15"/>
    <w:rsid w:val="005B1D2C"/>
    <w:rsid w:val="005B1D3E"/>
    <w:rsid w:val="005B1D5A"/>
    <w:rsid w:val="005B1D72"/>
    <w:rsid w:val="005B1D8A"/>
    <w:rsid w:val="005B1DBE"/>
    <w:rsid w:val="005B1DD1"/>
    <w:rsid w:val="005B1DFA"/>
    <w:rsid w:val="005B1E1A"/>
    <w:rsid w:val="005B1E33"/>
    <w:rsid w:val="005B1E4F"/>
    <w:rsid w:val="005B1E56"/>
    <w:rsid w:val="005B1EEA"/>
    <w:rsid w:val="005B1EF3"/>
    <w:rsid w:val="005B1F69"/>
    <w:rsid w:val="005B1F84"/>
    <w:rsid w:val="005B1FAF"/>
    <w:rsid w:val="005B2056"/>
    <w:rsid w:val="005B207F"/>
    <w:rsid w:val="005B20F0"/>
    <w:rsid w:val="005B20F4"/>
    <w:rsid w:val="005B215E"/>
    <w:rsid w:val="005B2160"/>
    <w:rsid w:val="005B2185"/>
    <w:rsid w:val="005B2194"/>
    <w:rsid w:val="005B221D"/>
    <w:rsid w:val="005B22D3"/>
    <w:rsid w:val="005B2322"/>
    <w:rsid w:val="005B23B2"/>
    <w:rsid w:val="005B23BB"/>
    <w:rsid w:val="005B23FB"/>
    <w:rsid w:val="005B2448"/>
    <w:rsid w:val="005B2450"/>
    <w:rsid w:val="005B2467"/>
    <w:rsid w:val="005B2490"/>
    <w:rsid w:val="005B24C5"/>
    <w:rsid w:val="005B2530"/>
    <w:rsid w:val="005B2577"/>
    <w:rsid w:val="005B258A"/>
    <w:rsid w:val="005B2594"/>
    <w:rsid w:val="005B25B7"/>
    <w:rsid w:val="005B25EC"/>
    <w:rsid w:val="005B2621"/>
    <w:rsid w:val="005B2628"/>
    <w:rsid w:val="005B265D"/>
    <w:rsid w:val="005B27B8"/>
    <w:rsid w:val="005B282B"/>
    <w:rsid w:val="005B2854"/>
    <w:rsid w:val="005B286E"/>
    <w:rsid w:val="005B28CD"/>
    <w:rsid w:val="005B28F8"/>
    <w:rsid w:val="005B2910"/>
    <w:rsid w:val="005B292A"/>
    <w:rsid w:val="005B2938"/>
    <w:rsid w:val="005B2959"/>
    <w:rsid w:val="005B2971"/>
    <w:rsid w:val="005B2A14"/>
    <w:rsid w:val="005B2A26"/>
    <w:rsid w:val="005B2B1C"/>
    <w:rsid w:val="005B2B47"/>
    <w:rsid w:val="005B2B50"/>
    <w:rsid w:val="005B2BAF"/>
    <w:rsid w:val="005B2C18"/>
    <w:rsid w:val="005B2D06"/>
    <w:rsid w:val="005B2DE4"/>
    <w:rsid w:val="005B2E03"/>
    <w:rsid w:val="005B2E08"/>
    <w:rsid w:val="005B2E15"/>
    <w:rsid w:val="005B2E29"/>
    <w:rsid w:val="005B2E59"/>
    <w:rsid w:val="005B2E5B"/>
    <w:rsid w:val="005B2E6B"/>
    <w:rsid w:val="005B2F13"/>
    <w:rsid w:val="005B2F3C"/>
    <w:rsid w:val="005B2F4F"/>
    <w:rsid w:val="005B2F76"/>
    <w:rsid w:val="005B2FC6"/>
    <w:rsid w:val="005B3005"/>
    <w:rsid w:val="005B3070"/>
    <w:rsid w:val="005B30BC"/>
    <w:rsid w:val="005B3113"/>
    <w:rsid w:val="005B3167"/>
    <w:rsid w:val="005B31E4"/>
    <w:rsid w:val="005B321E"/>
    <w:rsid w:val="005B3247"/>
    <w:rsid w:val="005B324C"/>
    <w:rsid w:val="005B3251"/>
    <w:rsid w:val="005B327E"/>
    <w:rsid w:val="005B3293"/>
    <w:rsid w:val="005B32A8"/>
    <w:rsid w:val="005B32DC"/>
    <w:rsid w:val="005B32DE"/>
    <w:rsid w:val="005B32DF"/>
    <w:rsid w:val="005B335B"/>
    <w:rsid w:val="005B3364"/>
    <w:rsid w:val="005B336E"/>
    <w:rsid w:val="005B33C9"/>
    <w:rsid w:val="005B33CD"/>
    <w:rsid w:val="005B348D"/>
    <w:rsid w:val="005B34BD"/>
    <w:rsid w:val="005B34F0"/>
    <w:rsid w:val="005B3529"/>
    <w:rsid w:val="005B356D"/>
    <w:rsid w:val="005B3578"/>
    <w:rsid w:val="005B35A4"/>
    <w:rsid w:val="005B362A"/>
    <w:rsid w:val="005B362C"/>
    <w:rsid w:val="005B3687"/>
    <w:rsid w:val="005B36A6"/>
    <w:rsid w:val="005B36B2"/>
    <w:rsid w:val="005B3758"/>
    <w:rsid w:val="005B37CB"/>
    <w:rsid w:val="005B3827"/>
    <w:rsid w:val="005B38BA"/>
    <w:rsid w:val="005B38C7"/>
    <w:rsid w:val="005B38CE"/>
    <w:rsid w:val="005B394F"/>
    <w:rsid w:val="005B3964"/>
    <w:rsid w:val="005B39C3"/>
    <w:rsid w:val="005B3A1C"/>
    <w:rsid w:val="005B3A26"/>
    <w:rsid w:val="005B3A69"/>
    <w:rsid w:val="005B3A7D"/>
    <w:rsid w:val="005B3B1F"/>
    <w:rsid w:val="005B3C5A"/>
    <w:rsid w:val="005B3C76"/>
    <w:rsid w:val="005B3C99"/>
    <w:rsid w:val="005B3CF8"/>
    <w:rsid w:val="005B3D0C"/>
    <w:rsid w:val="005B3D31"/>
    <w:rsid w:val="005B3D55"/>
    <w:rsid w:val="005B3D9E"/>
    <w:rsid w:val="005B3DA4"/>
    <w:rsid w:val="005B3E3A"/>
    <w:rsid w:val="005B3E40"/>
    <w:rsid w:val="005B3E46"/>
    <w:rsid w:val="005B3E81"/>
    <w:rsid w:val="005B3E90"/>
    <w:rsid w:val="005B3E95"/>
    <w:rsid w:val="005B3ED6"/>
    <w:rsid w:val="005B3F0F"/>
    <w:rsid w:val="005B3F5F"/>
    <w:rsid w:val="005B3FF9"/>
    <w:rsid w:val="005B40BE"/>
    <w:rsid w:val="005B40EB"/>
    <w:rsid w:val="005B4104"/>
    <w:rsid w:val="005B4120"/>
    <w:rsid w:val="005B4126"/>
    <w:rsid w:val="005B41FE"/>
    <w:rsid w:val="005B421C"/>
    <w:rsid w:val="005B4264"/>
    <w:rsid w:val="005B427A"/>
    <w:rsid w:val="005B42A6"/>
    <w:rsid w:val="005B42E2"/>
    <w:rsid w:val="005B4351"/>
    <w:rsid w:val="005B43AC"/>
    <w:rsid w:val="005B43E7"/>
    <w:rsid w:val="005B454C"/>
    <w:rsid w:val="005B4599"/>
    <w:rsid w:val="005B459A"/>
    <w:rsid w:val="005B45D6"/>
    <w:rsid w:val="005B45E5"/>
    <w:rsid w:val="005B460F"/>
    <w:rsid w:val="005B4646"/>
    <w:rsid w:val="005B4692"/>
    <w:rsid w:val="005B46DD"/>
    <w:rsid w:val="005B4710"/>
    <w:rsid w:val="005B4736"/>
    <w:rsid w:val="005B4744"/>
    <w:rsid w:val="005B4773"/>
    <w:rsid w:val="005B47A3"/>
    <w:rsid w:val="005B47F4"/>
    <w:rsid w:val="005B480B"/>
    <w:rsid w:val="005B484E"/>
    <w:rsid w:val="005B4855"/>
    <w:rsid w:val="005B4886"/>
    <w:rsid w:val="005B4888"/>
    <w:rsid w:val="005B4891"/>
    <w:rsid w:val="005B49E3"/>
    <w:rsid w:val="005B4A63"/>
    <w:rsid w:val="005B4A6C"/>
    <w:rsid w:val="005B4A85"/>
    <w:rsid w:val="005B4B31"/>
    <w:rsid w:val="005B4B33"/>
    <w:rsid w:val="005B4B5C"/>
    <w:rsid w:val="005B4BAC"/>
    <w:rsid w:val="005B4BD9"/>
    <w:rsid w:val="005B4C01"/>
    <w:rsid w:val="005B4C4B"/>
    <w:rsid w:val="005B4D25"/>
    <w:rsid w:val="005B4D57"/>
    <w:rsid w:val="005B4D69"/>
    <w:rsid w:val="005B4DF3"/>
    <w:rsid w:val="005B4E31"/>
    <w:rsid w:val="005B4F43"/>
    <w:rsid w:val="005B4F64"/>
    <w:rsid w:val="005B4F7F"/>
    <w:rsid w:val="005B4FC6"/>
    <w:rsid w:val="005B5011"/>
    <w:rsid w:val="005B503E"/>
    <w:rsid w:val="005B5057"/>
    <w:rsid w:val="005B5080"/>
    <w:rsid w:val="005B509C"/>
    <w:rsid w:val="005B50BE"/>
    <w:rsid w:val="005B50CB"/>
    <w:rsid w:val="005B51D0"/>
    <w:rsid w:val="005B51FC"/>
    <w:rsid w:val="005B5259"/>
    <w:rsid w:val="005B525E"/>
    <w:rsid w:val="005B533A"/>
    <w:rsid w:val="005B533C"/>
    <w:rsid w:val="005B53EE"/>
    <w:rsid w:val="005B546C"/>
    <w:rsid w:val="005B54D1"/>
    <w:rsid w:val="005B55BA"/>
    <w:rsid w:val="005B55DD"/>
    <w:rsid w:val="005B560F"/>
    <w:rsid w:val="005B5661"/>
    <w:rsid w:val="005B56C1"/>
    <w:rsid w:val="005B56E2"/>
    <w:rsid w:val="005B5800"/>
    <w:rsid w:val="005B585A"/>
    <w:rsid w:val="005B5878"/>
    <w:rsid w:val="005B587A"/>
    <w:rsid w:val="005B58EA"/>
    <w:rsid w:val="005B5900"/>
    <w:rsid w:val="005B5927"/>
    <w:rsid w:val="005B5999"/>
    <w:rsid w:val="005B59BC"/>
    <w:rsid w:val="005B59C3"/>
    <w:rsid w:val="005B5A57"/>
    <w:rsid w:val="005B5A76"/>
    <w:rsid w:val="005B5A80"/>
    <w:rsid w:val="005B5A8F"/>
    <w:rsid w:val="005B5C0A"/>
    <w:rsid w:val="005B5C73"/>
    <w:rsid w:val="005B5C89"/>
    <w:rsid w:val="005B5CCF"/>
    <w:rsid w:val="005B5D35"/>
    <w:rsid w:val="005B5D86"/>
    <w:rsid w:val="005B5DB8"/>
    <w:rsid w:val="005B5E00"/>
    <w:rsid w:val="005B5E0B"/>
    <w:rsid w:val="005B5E22"/>
    <w:rsid w:val="005B5E78"/>
    <w:rsid w:val="005B5EF2"/>
    <w:rsid w:val="005B5EFD"/>
    <w:rsid w:val="005B5FD8"/>
    <w:rsid w:val="005B6008"/>
    <w:rsid w:val="005B603F"/>
    <w:rsid w:val="005B6076"/>
    <w:rsid w:val="005B60AD"/>
    <w:rsid w:val="005B60CB"/>
    <w:rsid w:val="005B6153"/>
    <w:rsid w:val="005B61D8"/>
    <w:rsid w:val="005B6202"/>
    <w:rsid w:val="005B6238"/>
    <w:rsid w:val="005B6255"/>
    <w:rsid w:val="005B62EE"/>
    <w:rsid w:val="005B6342"/>
    <w:rsid w:val="005B637D"/>
    <w:rsid w:val="005B63A8"/>
    <w:rsid w:val="005B63B7"/>
    <w:rsid w:val="005B6418"/>
    <w:rsid w:val="005B642C"/>
    <w:rsid w:val="005B6444"/>
    <w:rsid w:val="005B64AA"/>
    <w:rsid w:val="005B64DA"/>
    <w:rsid w:val="005B64F2"/>
    <w:rsid w:val="005B655E"/>
    <w:rsid w:val="005B657C"/>
    <w:rsid w:val="005B65A8"/>
    <w:rsid w:val="005B65D8"/>
    <w:rsid w:val="005B6602"/>
    <w:rsid w:val="005B66A6"/>
    <w:rsid w:val="005B66C2"/>
    <w:rsid w:val="005B6758"/>
    <w:rsid w:val="005B67EC"/>
    <w:rsid w:val="005B684B"/>
    <w:rsid w:val="005B6856"/>
    <w:rsid w:val="005B6869"/>
    <w:rsid w:val="005B6874"/>
    <w:rsid w:val="005B6885"/>
    <w:rsid w:val="005B6889"/>
    <w:rsid w:val="005B68E0"/>
    <w:rsid w:val="005B6909"/>
    <w:rsid w:val="005B6916"/>
    <w:rsid w:val="005B693C"/>
    <w:rsid w:val="005B6964"/>
    <w:rsid w:val="005B6A73"/>
    <w:rsid w:val="005B6B40"/>
    <w:rsid w:val="005B6B86"/>
    <w:rsid w:val="005B6B9B"/>
    <w:rsid w:val="005B6BB1"/>
    <w:rsid w:val="005B6BF2"/>
    <w:rsid w:val="005B6C3D"/>
    <w:rsid w:val="005B6D24"/>
    <w:rsid w:val="005B6D3B"/>
    <w:rsid w:val="005B6DC3"/>
    <w:rsid w:val="005B6DF7"/>
    <w:rsid w:val="005B6E19"/>
    <w:rsid w:val="005B6E95"/>
    <w:rsid w:val="005B6FA7"/>
    <w:rsid w:val="005B6FD7"/>
    <w:rsid w:val="005B6FE4"/>
    <w:rsid w:val="005B70A1"/>
    <w:rsid w:val="005B713C"/>
    <w:rsid w:val="005B7199"/>
    <w:rsid w:val="005B7211"/>
    <w:rsid w:val="005B722B"/>
    <w:rsid w:val="005B7258"/>
    <w:rsid w:val="005B7287"/>
    <w:rsid w:val="005B72A7"/>
    <w:rsid w:val="005B72AE"/>
    <w:rsid w:val="005B72D2"/>
    <w:rsid w:val="005B7308"/>
    <w:rsid w:val="005B7339"/>
    <w:rsid w:val="005B7394"/>
    <w:rsid w:val="005B7395"/>
    <w:rsid w:val="005B73AE"/>
    <w:rsid w:val="005B73ED"/>
    <w:rsid w:val="005B74A2"/>
    <w:rsid w:val="005B74A9"/>
    <w:rsid w:val="005B755B"/>
    <w:rsid w:val="005B755E"/>
    <w:rsid w:val="005B7567"/>
    <w:rsid w:val="005B7571"/>
    <w:rsid w:val="005B7631"/>
    <w:rsid w:val="005B7642"/>
    <w:rsid w:val="005B7674"/>
    <w:rsid w:val="005B76B9"/>
    <w:rsid w:val="005B76BC"/>
    <w:rsid w:val="005B76FC"/>
    <w:rsid w:val="005B773A"/>
    <w:rsid w:val="005B7767"/>
    <w:rsid w:val="005B779D"/>
    <w:rsid w:val="005B77D4"/>
    <w:rsid w:val="005B780A"/>
    <w:rsid w:val="005B7813"/>
    <w:rsid w:val="005B782D"/>
    <w:rsid w:val="005B7928"/>
    <w:rsid w:val="005B7954"/>
    <w:rsid w:val="005B799D"/>
    <w:rsid w:val="005B79FF"/>
    <w:rsid w:val="005B7A48"/>
    <w:rsid w:val="005B7AAD"/>
    <w:rsid w:val="005B7AF5"/>
    <w:rsid w:val="005B7AFB"/>
    <w:rsid w:val="005B7B00"/>
    <w:rsid w:val="005B7B1F"/>
    <w:rsid w:val="005B7B42"/>
    <w:rsid w:val="005B7B62"/>
    <w:rsid w:val="005B7B70"/>
    <w:rsid w:val="005B7BD5"/>
    <w:rsid w:val="005B7BF8"/>
    <w:rsid w:val="005B7C1F"/>
    <w:rsid w:val="005B7C37"/>
    <w:rsid w:val="005B7CB2"/>
    <w:rsid w:val="005B7CE8"/>
    <w:rsid w:val="005B7CEF"/>
    <w:rsid w:val="005B7CF4"/>
    <w:rsid w:val="005B7D4F"/>
    <w:rsid w:val="005B7D59"/>
    <w:rsid w:val="005B7D70"/>
    <w:rsid w:val="005B7D8C"/>
    <w:rsid w:val="005B7DDE"/>
    <w:rsid w:val="005B7DEB"/>
    <w:rsid w:val="005B7E2D"/>
    <w:rsid w:val="005B7E31"/>
    <w:rsid w:val="005B7E37"/>
    <w:rsid w:val="005B7E3A"/>
    <w:rsid w:val="005B7E4A"/>
    <w:rsid w:val="005B7E9D"/>
    <w:rsid w:val="005B7EC1"/>
    <w:rsid w:val="005B7EF2"/>
    <w:rsid w:val="005B7F2A"/>
    <w:rsid w:val="005B7F87"/>
    <w:rsid w:val="005B7FE6"/>
    <w:rsid w:val="005C0016"/>
    <w:rsid w:val="005C0086"/>
    <w:rsid w:val="005C009F"/>
    <w:rsid w:val="005C00B8"/>
    <w:rsid w:val="005C00CD"/>
    <w:rsid w:val="005C0112"/>
    <w:rsid w:val="005C012A"/>
    <w:rsid w:val="005C01A8"/>
    <w:rsid w:val="005C02E8"/>
    <w:rsid w:val="005C02F0"/>
    <w:rsid w:val="005C02F9"/>
    <w:rsid w:val="005C0336"/>
    <w:rsid w:val="005C0341"/>
    <w:rsid w:val="005C0356"/>
    <w:rsid w:val="005C0368"/>
    <w:rsid w:val="005C03A8"/>
    <w:rsid w:val="005C03F9"/>
    <w:rsid w:val="005C040A"/>
    <w:rsid w:val="005C0413"/>
    <w:rsid w:val="005C046C"/>
    <w:rsid w:val="005C049E"/>
    <w:rsid w:val="005C04B0"/>
    <w:rsid w:val="005C04D8"/>
    <w:rsid w:val="005C04DC"/>
    <w:rsid w:val="005C04E2"/>
    <w:rsid w:val="005C0526"/>
    <w:rsid w:val="005C0550"/>
    <w:rsid w:val="005C055D"/>
    <w:rsid w:val="005C05B4"/>
    <w:rsid w:val="005C05FD"/>
    <w:rsid w:val="005C0684"/>
    <w:rsid w:val="005C06E9"/>
    <w:rsid w:val="005C072D"/>
    <w:rsid w:val="005C07E2"/>
    <w:rsid w:val="005C08CE"/>
    <w:rsid w:val="005C08E8"/>
    <w:rsid w:val="005C0947"/>
    <w:rsid w:val="005C0982"/>
    <w:rsid w:val="005C09AA"/>
    <w:rsid w:val="005C09F8"/>
    <w:rsid w:val="005C09FF"/>
    <w:rsid w:val="005C0A11"/>
    <w:rsid w:val="005C0A94"/>
    <w:rsid w:val="005C0AF2"/>
    <w:rsid w:val="005C0AF3"/>
    <w:rsid w:val="005C0B04"/>
    <w:rsid w:val="005C0B1C"/>
    <w:rsid w:val="005C0B41"/>
    <w:rsid w:val="005C0BAE"/>
    <w:rsid w:val="005C0C52"/>
    <w:rsid w:val="005C0C7B"/>
    <w:rsid w:val="005C0CF0"/>
    <w:rsid w:val="005C0D7D"/>
    <w:rsid w:val="005C0DD2"/>
    <w:rsid w:val="005C0E62"/>
    <w:rsid w:val="005C0E9C"/>
    <w:rsid w:val="005C0E9F"/>
    <w:rsid w:val="005C0EE3"/>
    <w:rsid w:val="005C0FA0"/>
    <w:rsid w:val="005C1003"/>
    <w:rsid w:val="005C10B5"/>
    <w:rsid w:val="005C1152"/>
    <w:rsid w:val="005C11DB"/>
    <w:rsid w:val="005C11FE"/>
    <w:rsid w:val="005C125A"/>
    <w:rsid w:val="005C12D4"/>
    <w:rsid w:val="005C130F"/>
    <w:rsid w:val="005C1330"/>
    <w:rsid w:val="005C1343"/>
    <w:rsid w:val="005C138D"/>
    <w:rsid w:val="005C13DD"/>
    <w:rsid w:val="005C13EA"/>
    <w:rsid w:val="005C13F8"/>
    <w:rsid w:val="005C1582"/>
    <w:rsid w:val="005C1616"/>
    <w:rsid w:val="005C162F"/>
    <w:rsid w:val="005C1656"/>
    <w:rsid w:val="005C1679"/>
    <w:rsid w:val="005C1696"/>
    <w:rsid w:val="005C16D3"/>
    <w:rsid w:val="005C174A"/>
    <w:rsid w:val="005C17BE"/>
    <w:rsid w:val="005C17BF"/>
    <w:rsid w:val="005C17E7"/>
    <w:rsid w:val="005C1814"/>
    <w:rsid w:val="005C182C"/>
    <w:rsid w:val="005C1858"/>
    <w:rsid w:val="005C18E5"/>
    <w:rsid w:val="005C1900"/>
    <w:rsid w:val="005C1908"/>
    <w:rsid w:val="005C1946"/>
    <w:rsid w:val="005C19BE"/>
    <w:rsid w:val="005C1A45"/>
    <w:rsid w:val="005C1A76"/>
    <w:rsid w:val="005C1A8E"/>
    <w:rsid w:val="005C1A9B"/>
    <w:rsid w:val="005C1B0D"/>
    <w:rsid w:val="005C1B68"/>
    <w:rsid w:val="005C1B94"/>
    <w:rsid w:val="005C1BD9"/>
    <w:rsid w:val="005C1CA6"/>
    <w:rsid w:val="005C1CCF"/>
    <w:rsid w:val="005C1D2A"/>
    <w:rsid w:val="005C1DFA"/>
    <w:rsid w:val="005C1E1B"/>
    <w:rsid w:val="005C1E8A"/>
    <w:rsid w:val="005C1EA2"/>
    <w:rsid w:val="005C1ED0"/>
    <w:rsid w:val="005C1F2C"/>
    <w:rsid w:val="005C1F47"/>
    <w:rsid w:val="005C1FD6"/>
    <w:rsid w:val="005C1FE7"/>
    <w:rsid w:val="005C2023"/>
    <w:rsid w:val="005C20D1"/>
    <w:rsid w:val="005C218E"/>
    <w:rsid w:val="005C21B4"/>
    <w:rsid w:val="005C21F4"/>
    <w:rsid w:val="005C2240"/>
    <w:rsid w:val="005C224B"/>
    <w:rsid w:val="005C2273"/>
    <w:rsid w:val="005C22C8"/>
    <w:rsid w:val="005C23A5"/>
    <w:rsid w:val="005C2409"/>
    <w:rsid w:val="005C2422"/>
    <w:rsid w:val="005C245F"/>
    <w:rsid w:val="005C2581"/>
    <w:rsid w:val="005C25D2"/>
    <w:rsid w:val="005C2622"/>
    <w:rsid w:val="005C262D"/>
    <w:rsid w:val="005C263A"/>
    <w:rsid w:val="005C266B"/>
    <w:rsid w:val="005C2685"/>
    <w:rsid w:val="005C26D6"/>
    <w:rsid w:val="005C26FD"/>
    <w:rsid w:val="005C2704"/>
    <w:rsid w:val="005C279D"/>
    <w:rsid w:val="005C27C2"/>
    <w:rsid w:val="005C27C6"/>
    <w:rsid w:val="005C27FD"/>
    <w:rsid w:val="005C283A"/>
    <w:rsid w:val="005C2860"/>
    <w:rsid w:val="005C2980"/>
    <w:rsid w:val="005C2986"/>
    <w:rsid w:val="005C2A0D"/>
    <w:rsid w:val="005C2A67"/>
    <w:rsid w:val="005C2A9B"/>
    <w:rsid w:val="005C2B1B"/>
    <w:rsid w:val="005C2B32"/>
    <w:rsid w:val="005C2B38"/>
    <w:rsid w:val="005C2B75"/>
    <w:rsid w:val="005C2B87"/>
    <w:rsid w:val="005C2BCC"/>
    <w:rsid w:val="005C2C03"/>
    <w:rsid w:val="005C2C3A"/>
    <w:rsid w:val="005C2C40"/>
    <w:rsid w:val="005C2C60"/>
    <w:rsid w:val="005C2D28"/>
    <w:rsid w:val="005C2D45"/>
    <w:rsid w:val="005C2D4F"/>
    <w:rsid w:val="005C2D6F"/>
    <w:rsid w:val="005C2D7F"/>
    <w:rsid w:val="005C2DB6"/>
    <w:rsid w:val="005C2DEF"/>
    <w:rsid w:val="005C2E1D"/>
    <w:rsid w:val="005C2E61"/>
    <w:rsid w:val="005C2E77"/>
    <w:rsid w:val="005C2F22"/>
    <w:rsid w:val="005C2F2E"/>
    <w:rsid w:val="005C2FAD"/>
    <w:rsid w:val="005C3013"/>
    <w:rsid w:val="005C3061"/>
    <w:rsid w:val="005C30F7"/>
    <w:rsid w:val="005C3104"/>
    <w:rsid w:val="005C310A"/>
    <w:rsid w:val="005C3176"/>
    <w:rsid w:val="005C317B"/>
    <w:rsid w:val="005C3268"/>
    <w:rsid w:val="005C32C2"/>
    <w:rsid w:val="005C32E5"/>
    <w:rsid w:val="005C3378"/>
    <w:rsid w:val="005C33B9"/>
    <w:rsid w:val="005C33C4"/>
    <w:rsid w:val="005C347A"/>
    <w:rsid w:val="005C347C"/>
    <w:rsid w:val="005C3491"/>
    <w:rsid w:val="005C34D5"/>
    <w:rsid w:val="005C34FB"/>
    <w:rsid w:val="005C35C2"/>
    <w:rsid w:val="005C3650"/>
    <w:rsid w:val="005C3682"/>
    <w:rsid w:val="005C3686"/>
    <w:rsid w:val="005C369E"/>
    <w:rsid w:val="005C36CF"/>
    <w:rsid w:val="005C36DE"/>
    <w:rsid w:val="005C36EF"/>
    <w:rsid w:val="005C375F"/>
    <w:rsid w:val="005C3773"/>
    <w:rsid w:val="005C37B9"/>
    <w:rsid w:val="005C37E8"/>
    <w:rsid w:val="005C385A"/>
    <w:rsid w:val="005C3876"/>
    <w:rsid w:val="005C3886"/>
    <w:rsid w:val="005C389C"/>
    <w:rsid w:val="005C38B3"/>
    <w:rsid w:val="005C38B5"/>
    <w:rsid w:val="005C392E"/>
    <w:rsid w:val="005C398C"/>
    <w:rsid w:val="005C3990"/>
    <w:rsid w:val="005C39C3"/>
    <w:rsid w:val="005C39D1"/>
    <w:rsid w:val="005C3A29"/>
    <w:rsid w:val="005C3A6F"/>
    <w:rsid w:val="005C3AC6"/>
    <w:rsid w:val="005C3B2D"/>
    <w:rsid w:val="005C3B5A"/>
    <w:rsid w:val="005C3B81"/>
    <w:rsid w:val="005C3B84"/>
    <w:rsid w:val="005C3BF1"/>
    <w:rsid w:val="005C3C50"/>
    <w:rsid w:val="005C3D3D"/>
    <w:rsid w:val="005C3D44"/>
    <w:rsid w:val="005C3DDD"/>
    <w:rsid w:val="005C3E8B"/>
    <w:rsid w:val="005C3E8C"/>
    <w:rsid w:val="005C3E8D"/>
    <w:rsid w:val="005C3EAE"/>
    <w:rsid w:val="005C3ED3"/>
    <w:rsid w:val="005C3EE0"/>
    <w:rsid w:val="005C3FA7"/>
    <w:rsid w:val="005C4064"/>
    <w:rsid w:val="005C40CF"/>
    <w:rsid w:val="005C40D9"/>
    <w:rsid w:val="005C40ED"/>
    <w:rsid w:val="005C40EE"/>
    <w:rsid w:val="005C4101"/>
    <w:rsid w:val="005C41A7"/>
    <w:rsid w:val="005C41B5"/>
    <w:rsid w:val="005C41D3"/>
    <w:rsid w:val="005C424C"/>
    <w:rsid w:val="005C4256"/>
    <w:rsid w:val="005C4270"/>
    <w:rsid w:val="005C4361"/>
    <w:rsid w:val="005C4387"/>
    <w:rsid w:val="005C43A9"/>
    <w:rsid w:val="005C43B3"/>
    <w:rsid w:val="005C457C"/>
    <w:rsid w:val="005C45A0"/>
    <w:rsid w:val="005C45FC"/>
    <w:rsid w:val="005C469C"/>
    <w:rsid w:val="005C469F"/>
    <w:rsid w:val="005C46DE"/>
    <w:rsid w:val="005C4772"/>
    <w:rsid w:val="005C47D7"/>
    <w:rsid w:val="005C480C"/>
    <w:rsid w:val="005C4844"/>
    <w:rsid w:val="005C4856"/>
    <w:rsid w:val="005C488D"/>
    <w:rsid w:val="005C48D8"/>
    <w:rsid w:val="005C48DD"/>
    <w:rsid w:val="005C4999"/>
    <w:rsid w:val="005C49D7"/>
    <w:rsid w:val="005C4A2A"/>
    <w:rsid w:val="005C4AAB"/>
    <w:rsid w:val="005C4AE0"/>
    <w:rsid w:val="005C4B46"/>
    <w:rsid w:val="005C4B91"/>
    <w:rsid w:val="005C4BFA"/>
    <w:rsid w:val="005C4C78"/>
    <w:rsid w:val="005C4CF3"/>
    <w:rsid w:val="005C4D72"/>
    <w:rsid w:val="005C4DB3"/>
    <w:rsid w:val="005C4E3A"/>
    <w:rsid w:val="005C4E84"/>
    <w:rsid w:val="005C4EB1"/>
    <w:rsid w:val="005C4EBC"/>
    <w:rsid w:val="005C4EBE"/>
    <w:rsid w:val="005C4ECA"/>
    <w:rsid w:val="005C4F7C"/>
    <w:rsid w:val="005C4F7D"/>
    <w:rsid w:val="005C4F9A"/>
    <w:rsid w:val="005C4F9F"/>
    <w:rsid w:val="005C4FA9"/>
    <w:rsid w:val="005C5070"/>
    <w:rsid w:val="005C5075"/>
    <w:rsid w:val="005C5089"/>
    <w:rsid w:val="005C50B5"/>
    <w:rsid w:val="005C5119"/>
    <w:rsid w:val="005C5199"/>
    <w:rsid w:val="005C51A3"/>
    <w:rsid w:val="005C5274"/>
    <w:rsid w:val="005C52F9"/>
    <w:rsid w:val="005C5394"/>
    <w:rsid w:val="005C5399"/>
    <w:rsid w:val="005C53DE"/>
    <w:rsid w:val="005C53F4"/>
    <w:rsid w:val="005C5444"/>
    <w:rsid w:val="005C551F"/>
    <w:rsid w:val="005C554C"/>
    <w:rsid w:val="005C55D5"/>
    <w:rsid w:val="005C571B"/>
    <w:rsid w:val="005C57FE"/>
    <w:rsid w:val="005C583A"/>
    <w:rsid w:val="005C5859"/>
    <w:rsid w:val="005C590B"/>
    <w:rsid w:val="005C595C"/>
    <w:rsid w:val="005C5966"/>
    <w:rsid w:val="005C59DA"/>
    <w:rsid w:val="005C59E7"/>
    <w:rsid w:val="005C59E8"/>
    <w:rsid w:val="005C5A29"/>
    <w:rsid w:val="005C5A78"/>
    <w:rsid w:val="005C5A9F"/>
    <w:rsid w:val="005C5B41"/>
    <w:rsid w:val="005C5B4C"/>
    <w:rsid w:val="005C5B53"/>
    <w:rsid w:val="005C5B5A"/>
    <w:rsid w:val="005C5B78"/>
    <w:rsid w:val="005C5B96"/>
    <w:rsid w:val="005C5BE3"/>
    <w:rsid w:val="005C5C25"/>
    <w:rsid w:val="005C5C5B"/>
    <w:rsid w:val="005C5C77"/>
    <w:rsid w:val="005C5C81"/>
    <w:rsid w:val="005C5C84"/>
    <w:rsid w:val="005C5CAD"/>
    <w:rsid w:val="005C5CC2"/>
    <w:rsid w:val="005C5CC8"/>
    <w:rsid w:val="005C5D45"/>
    <w:rsid w:val="005C5D84"/>
    <w:rsid w:val="005C5D8E"/>
    <w:rsid w:val="005C5D99"/>
    <w:rsid w:val="005C5D9C"/>
    <w:rsid w:val="005C5EE5"/>
    <w:rsid w:val="005C5FB8"/>
    <w:rsid w:val="005C5FE4"/>
    <w:rsid w:val="005C5FFD"/>
    <w:rsid w:val="005C604E"/>
    <w:rsid w:val="005C605E"/>
    <w:rsid w:val="005C616D"/>
    <w:rsid w:val="005C6173"/>
    <w:rsid w:val="005C61FD"/>
    <w:rsid w:val="005C6206"/>
    <w:rsid w:val="005C6220"/>
    <w:rsid w:val="005C622A"/>
    <w:rsid w:val="005C623D"/>
    <w:rsid w:val="005C6290"/>
    <w:rsid w:val="005C6293"/>
    <w:rsid w:val="005C62DC"/>
    <w:rsid w:val="005C633B"/>
    <w:rsid w:val="005C6344"/>
    <w:rsid w:val="005C636A"/>
    <w:rsid w:val="005C63FA"/>
    <w:rsid w:val="005C6443"/>
    <w:rsid w:val="005C6445"/>
    <w:rsid w:val="005C6450"/>
    <w:rsid w:val="005C646E"/>
    <w:rsid w:val="005C6493"/>
    <w:rsid w:val="005C64DC"/>
    <w:rsid w:val="005C64E9"/>
    <w:rsid w:val="005C650F"/>
    <w:rsid w:val="005C652F"/>
    <w:rsid w:val="005C65A6"/>
    <w:rsid w:val="005C661E"/>
    <w:rsid w:val="005C6629"/>
    <w:rsid w:val="005C66B1"/>
    <w:rsid w:val="005C670C"/>
    <w:rsid w:val="005C6730"/>
    <w:rsid w:val="005C6769"/>
    <w:rsid w:val="005C676B"/>
    <w:rsid w:val="005C67AB"/>
    <w:rsid w:val="005C67C6"/>
    <w:rsid w:val="005C6824"/>
    <w:rsid w:val="005C689B"/>
    <w:rsid w:val="005C68AD"/>
    <w:rsid w:val="005C68B0"/>
    <w:rsid w:val="005C68B6"/>
    <w:rsid w:val="005C68BE"/>
    <w:rsid w:val="005C68E4"/>
    <w:rsid w:val="005C6920"/>
    <w:rsid w:val="005C6936"/>
    <w:rsid w:val="005C6A7F"/>
    <w:rsid w:val="005C6A84"/>
    <w:rsid w:val="005C6ABD"/>
    <w:rsid w:val="005C6AC0"/>
    <w:rsid w:val="005C6AFE"/>
    <w:rsid w:val="005C6B51"/>
    <w:rsid w:val="005C6B5F"/>
    <w:rsid w:val="005C6BA1"/>
    <w:rsid w:val="005C6C49"/>
    <w:rsid w:val="005C6CEC"/>
    <w:rsid w:val="005C6D3D"/>
    <w:rsid w:val="005C6D5F"/>
    <w:rsid w:val="005C6D60"/>
    <w:rsid w:val="005C6D83"/>
    <w:rsid w:val="005C6D8A"/>
    <w:rsid w:val="005C6DC8"/>
    <w:rsid w:val="005C6DCD"/>
    <w:rsid w:val="005C6E42"/>
    <w:rsid w:val="005C6E5C"/>
    <w:rsid w:val="005C6F0E"/>
    <w:rsid w:val="005C6F4F"/>
    <w:rsid w:val="005C6FC9"/>
    <w:rsid w:val="005C6FF2"/>
    <w:rsid w:val="005C7029"/>
    <w:rsid w:val="005C702D"/>
    <w:rsid w:val="005C708F"/>
    <w:rsid w:val="005C709C"/>
    <w:rsid w:val="005C70D7"/>
    <w:rsid w:val="005C70DB"/>
    <w:rsid w:val="005C710A"/>
    <w:rsid w:val="005C711A"/>
    <w:rsid w:val="005C7150"/>
    <w:rsid w:val="005C719F"/>
    <w:rsid w:val="005C71DD"/>
    <w:rsid w:val="005C7254"/>
    <w:rsid w:val="005C728C"/>
    <w:rsid w:val="005C72B6"/>
    <w:rsid w:val="005C731D"/>
    <w:rsid w:val="005C733D"/>
    <w:rsid w:val="005C738A"/>
    <w:rsid w:val="005C738B"/>
    <w:rsid w:val="005C7394"/>
    <w:rsid w:val="005C73A8"/>
    <w:rsid w:val="005C73AB"/>
    <w:rsid w:val="005C741B"/>
    <w:rsid w:val="005C741F"/>
    <w:rsid w:val="005C744C"/>
    <w:rsid w:val="005C7459"/>
    <w:rsid w:val="005C7477"/>
    <w:rsid w:val="005C74CE"/>
    <w:rsid w:val="005C74E9"/>
    <w:rsid w:val="005C750B"/>
    <w:rsid w:val="005C75D1"/>
    <w:rsid w:val="005C7669"/>
    <w:rsid w:val="005C76CE"/>
    <w:rsid w:val="005C76D3"/>
    <w:rsid w:val="005C7718"/>
    <w:rsid w:val="005C7803"/>
    <w:rsid w:val="005C780C"/>
    <w:rsid w:val="005C7839"/>
    <w:rsid w:val="005C7893"/>
    <w:rsid w:val="005C78D4"/>
    <w:rsid w:val="005C78E0"/>
    <w:rsid w:val="005C7908"/>
    <w:rsid w:val="005C7974"/>
    <w:rsid w:val="005C79A2"/>
    <w:rsid w:val="005C7A0C"/>
    <w:rsid w:val="005C7A31"/>
    <w:rsid w:val="005C7A3F"/>
    <w:rsid w:val="005C7A4B"/>
    <w:rsid w:val="005C7A5B"/>
    <w:rsid w:val="005C7A5F"/>
    <w:rsid w:val="005C7A67"/>
    <w:rsid w:val="005C7B0D"/>
    <w:rsid w:val="005C7B71"/>
    <w:rsid w:val="005C7B94"/>
    <w:rsid w:val="005C7C7E"/>
    <w:rsid w:val="005C7C91"/>
    <w:rsid w:val="005C7CC4"/>
    <w:rsid w:val="005C7CCB"/>
    <w:rsid w:val="005C7D5A"/>
    <w:rsid w:val="005C7D5E"/>
    <w:rsid w:val="005C7DB6"/>
    <w:rsid w:val="005C7E49"/>
    <w:rsid w:val="005C7E60"/>
    <w:rsid w:val="005C7E7E"/>
    <w:rsid w:val="005C7FA6"/>
    <w:rsid w:val="005D004F"/>
    <w:rsid w:val="005D0061"/>
    <w:rsid w:val="005D0108"/>
    <w:rsid w:val="005D011E"/>
    <w:rsid w:val="005D015D"/>
    <w:rsid w:val="005D017F"/>
    <w:rsid w:val="005D01C4"/>
    <w:rsid w:val="005D0215"/>
    <w:rsid w:val="005D0247"/>
    <w:rsid w:val="005D0251"/>
    <w:rsid w:val="005D0279"/>
    <w:rsid w:val="005D02AA"/>
    <w:rsid w:val="005D02E6"/>
    <w:rsid w:val="005D02F1"/>
    <w:rsid w:val="005D033E"/>
    <w:rsid w:val="005D037B"/>
    <w:rsid w:val="005D0383"/>
    <w:rsid w:val="005D03E3"/>
    <w:rsid w:val="005D03E8"/>
    <w:rsid w:val="005D03F2"/>
    <w:rsid w:val="005D043F"/>
    <w:rsid w:val="005D0463"/>
    <w:rsid w:val="005D04EC"/>
    <w:rsid w:val="005D050F"/>
    <w:rsid w:val="005D0532"/>
    <w:rsid w:val="005D056D"/>
    <w:rsid w:val="005D0645"/>
    <w:rsid w:val="005D064B"/>
    <w:rsid w:val="005D06B8"/>
    <w:rsid w:val="005D0703"/>
    <w:rsid w:val="005D0719"/>
    <w:rsid w:val="005D0767"/>
    <w:rsid w:val="005D07B3"/>
    <w:rsid w:val="005D080A"/>
    <w:rsid w:val="005D0929"/>
    <w:rsid w:val="005D092B"/>
    <w:rsid w:val="005D0974"/>
    <w:rsid w:val="005D0989"/>
    <w:rsid w:val="005D09B6"/>
    <w:rsid w:val="005D0AA6"/>
    <w:rsid w:val="005D0AB0"/>
    <w:rsid w:val="005D0AD6"/>
    <w:rsid w:val="005D0B0C"/>
    <w:rsid w:val="005D0B67"/>
    <w:rsid w:val="005D0B96"/>
    <w:rsid w:val="005D0BC0"/>
    <w:rsid w:val="005D0BD5"/>
    <w:rsid w:val="005D0C1D"/>
    <w:rsid w:val="005D0C25"/>
    <w:rsid w:val="005D0C38"/>
    <w:rsid w:val="005D0C8F"/>
    <w:rsid w:val="005D0CC2"/>
    <w:rsid w:val="005D0CCE"/>
    <w:rsid w:val="005D0CD6"/>
    <w:rsid w:val="005D0D06"/>
    <w:rsid w:val="005D0D20"/>
    <w:rsid w:val="005D0D70"/>
    <w:rsid w:val="005D0D72"/>
    <w:rsid w:val="005D0D77"/>
    <w:rsid w:val="005D0DEF"/>
    <w:rsid w:val="005D0DF1"/>
    <w:rsid w:val="005D0DFC"/>
    <w:rsid w:val="005D0E0D"/>
    <w:rsid w:val="005D0E49"/>
    <w:rsid w:val="005D0EE4"/>
    <w:rsid w:val="005D0F12"/>
    <w:rsid w:val="005D0F24"/>
    <w:rsid w:val="005D0F3F"/>
    <w:rsid w:val="005D0F56"/>
    <w:rsid w:val="005D0FC2"/>
    <w:rsid w:val="005D0FFD"/>
    <w:rsid w:val="005D101F"/>
    <w:rsid w:val="005D105B"/>
    <w:rsid w:val="005D10D0"/>
    <w:rsid w:val="005D112A"/>
    <w:rsid w:val="005D119C"/>
    <w:rsid w:val="005D11B6"/>
    <w:rsid w:val="005D12B8"/>
    <w:rsid w:val="005D12F9"/>
    <w:rsid w:val="005D1333"/>
    <w:rsid w:val="005D133A"/>
    <w:rsid w:val="005D134D"/>
    <w:rsid w:val="005D1350"/>
    <w:rsid w:val="005D136F"/>
    <w:rsid w:val="005D1396"/>
    <w:rsid w:val="005D14A8"/>
    <w:rsid w:val="005D154B"/>
    <w:rsid w:val="005D155F"/>
    <w:rsid w:val="005D15EF"/>
    <w:rsid w:val="005D162F"/>
    <w:rsid w:val="005D1648"/>
    <w:rsid w:val="005D1682"/>
    <w:rsid w:val="005D16C3"/>
    <w:rsid w:val="005D1743"/>
    <w:rsid w:val="005D1776"/>
    <w:rsid w:val="005D17B9"/>
    <w:rsid w:val="005D18A4"/>
    <w:rsid w:val="005D18BF"/>
    <w:rsid w:val="005D18D1"/>
    <w:rsid w:val="005D18EB"/>
    <w:rsid w:val="005D1934"/>
    <w:rsid w:val="005D195E"/>
    <w:rsid w:val="005D196E"/>
    <w:rsid w:val="005D1A32"/>
    <w:rsid w:val="005D1B01"/>
    <w:rsid w:val="005D1B86"/>
    <w:rsid w:val="005D1BB8"/>
    <w:rsid w:val="005D1BD1"/>
    <w:rsid w:val="005D1BF9"/>
    <w:rsid w:val="005D1C14"/>
    <w:rsid w:val="005D1C3C"/>
    <w:rsid w:val="005D1C5C"/>
    <w:rsid w:val="005D1C69"/>
    <w:rsid w:val="005D1C6F"/>
    <w:rsid w:val="005D1C74"/>
    <w:rsid w:val="005D1C8D"/>
    <w:rsid w:val="005D1CA4"/>
    <w:rsid w:val="005D1CE8"/>
    <w:rsid w:val="005D1CED"/>
    <w:rsid w:val="005D1CF6"/>
    <w:rsid w:val="005D1D18"/>
    <w:rsid w:val="005D1D7F"/>
    <w:rsid w:val="005D1DAA"/>
    <w:rsid w:val="005D1DB1"/>
    <w:rsid w:val="005D1DE4"/>
    <w:rsid w:val="005D1EA9"/>
    <w:rsid w:val="005D1F62"/>
    <w:rsid w:val="005D1F81"/>
    <w:rsid w:val="005D1F91"/>
    <w:rsid w:val="005D1FD7"/>
    <w:rsid w:val="005D1FD8"/>
    <w:rsid w:val="005D2017"/>
    <w:rsid w:val="005D2081"/>
    <w:rsid w:val="005D208C"/>
    <w:rsid w:val="005D20A0"/>
    <w:rsid w:val="005D20D0"/>
    <w:rsid w:val="005D20DF"/>
    <w:rsid w:val="005D20E1"/>
    <w:rsid w:val="005D20F6"/>
    <w:rsid w:val="005D2185"/>
    <w:rsid w:val="005D21A7"/>
    <w:rsid w:val="005D21CA"/>
    <w:rsid w:val="005D222C"/>
    <w:rsid w:val="005D2241"/>
    <w:rsid w:val="005D22E7"/>
    <w:rsid w:val="005D22EE"/>
    <w:rsid w:val="005D2310"/>
    <w:rsid w:val="005D2336"/>
    <w:rsid w:val="005D233B"/>
    <w:rsid w:val="005D23C8"/>
    <w:rsid w:val="005D23D5"/>
    <w:rsid w:val="005D240D"/>
    <w:rsid w:val="005D241B"/>
    <w:rsid w:val="005D241F"/>
    <w:rsid w:val="005D2442"/>
    <w:rsid w:val="005D24BE"/>
    <w:rsid w:val="005D251C"/>
    <w:rsid w:val="005D2523"/>
    <w:rsid w:val="005D2553"/>
    <w:rsid w:val="005D2564"/>
    <w:rsid w:val="005D269B"/>
    <w:rsid w:val="005D2703"/>
    <w:rsid w:val="005D2714"/>
    <w:rsid w:val="005D277F"/>
    <w:rsid w:val="005D27B9"/>
    <w:rsid w:val="005D27CF"/>
    <w:rsid w:val="005D2893"/>
    <w:rsid w:val="005D28A1"/>
    <w:rsid w:val="005D28E0"/>
    <w:rsid w:val="005D28F0"/>
    <w:rsid w:val="005D2A6C"/>
    <w:rsid w:val="005D2A6E"/>
    <w:rsid w:val="005D2A8B"/>
    <w:rsid w:val="005D2AB3"/>
    <w:rsid w:val="005D2ADE"/>
    <w:rsid w:val="005D2B30"/>
    <w:rsid w:val="005D2B91"/>
    <w:rsid w:val="005D2BFA"/>
    <w:rsid w:val="005D2C01"/>
    <w:rsid w:val="005D2C09"/>
    <w:rsid w:val="005D2C60"/>
    <w:rsid w:val="005D2C63"/>
    <w:rsid w:val="005D2C7C"/>
    <w:rsid w:val="005D2CA4"/>
    <w:rsid w:val="005D2CB1"/>
    <w:rsid w:val="005D2CD3"/>
    <w:rsid w:val="005D2D1A"/>
    <w:rsid w:val="005D2DF1"/>
    <w:rsid w:val="005D2E47"/>
    <w:rsid w:val="005D2E68"/>
    <w:rsid w:val="005D2F0C"/>
    <w:rsid w:val="005D2FC6"/>
    <w:rsid w:val="005D308E"/>
    <w:rsid w:val="005D30C2"/>
    <w:rsid w:val="005D30DA"/>
    <w:rsid w:val="005D30DD"/>
    <w:rsid w:val="005D3118"/>
    <w:rsid w:val="005D313E"/>
    <w:rsid w:val="005D317F"/>
    <w:rsid w:val="005D31B5"/>
    <w:rsid w:val="005D3278"/>
    <w:rsid w:val="005D3295"/>
    <w:rsid w:val="005D32BB"/>
    <w:rsid w:val="005D32C5"/>
    <w:rsid w:val="005D3318"/>
    <w:rsid w:val="005D331B"/>
    <w:rsid w:val="005D3415"/>
    <w:rsid w:val="005D34DD"/>
    <w:rsid w:val="005D34EF"/>
    <w:rsid w:val="005D3556"/>
    <w:rsid w:val="005D359E"/>
    <w:rsid w:val="005D35BB"/>
    <w:rsid w:val="005D35DC"/>
    <w:rsid w:val="005D35EC"/>
    <w:rsid w:val="005D3602"/>
    <w:rsid w:val="005D362A"/>
    <w:rsid w:val="005D363B"/>
    <w:rsid w:val="005D3641"/>
    <w:rsid w:val="005D370F"/>
    <w:rsid w:val="005D3713"/>
    <w:rsid w:val="005D3722"/>
    <w:rsid w:val="005D37F7"/>
    <w:rsid w:val="005D3866"/>
    <w:rsid w:val="005D3914"/>
    <w:rsid w:val="005D3952"/>
    <w:rsid w:val="005D39C3"/>
    <w:rsid w:val="005D39E0"/>
    <w:rsid w:val="005D39EF"/>
    <w:rsid w:val="005D3A21"/>
    <w:rsid w:val="005D3A30"/>
    <w:rsid w:val="005D3A40"/>
    <w:rsid w:val="005D3A60"/>
    <w:rsid w:val="005D3A6F"/>
    <w:rsid w:val="005D3AEA"/>
    <w:rsid w:val="005D3B06"/>
    <w:rsid w:val="005D3B38"/>
    <w:rsid w:val="005D3B4C"/>
    <w:rsid w:val="005D3BD6"/>
    <w:rsid w:val="005D3BD9"/>
    <w:rsid w:val="005D3BDF"/>
    <w:rsid w:val="005D3C2B"/>
    <w:rsid w:val="005D3C34"/>
    <w:rsid w:val="005D3D80"/>
    <w:rsid w:val="005D3D81"/>
    <w:rsid w:val="005D3D89"/>
    <w:rsid w:val="005D3DE5"/>
    <w:rsid w:val="005D3E32"/>
    <w:rsid w:val="005D3E72"/>
    <w:rsid w:val="005D3EF5"/>
    <w:rsid w:val="005D3F0B"/>
    <w:rsid w:val="005D3F0E"/>
    <w:rsid w:val="005D3F91"/>
    <w:rsid w:val="005D3FA2"/>
    <w:rsid w:val="005D3FC0"/>
    <w:rsid w:val="005D3FF1"/>
    <w:rsid w:val="005D3FFC"/>
    <w:rsid w:val="005D4077"/>
    <w:rsid w:val="005D4095"/>
    <w:rsid w:val="005D40CB"/>
    <w:rsid w:val="005D40FC"/>
    <w:rsid w:val="005D411B"/>
    <w:rsid w:val="005D412F"/>
    <w:rsid w:val="005D4160"/>
    <w:rsid w:val="005D4163"/>
    <w:rsid w:val="005D4175"/>
    <w:rsid w:val="005D4194"/>
    <w:rsid w:val="005D41C5"/>
    <w:rsid w:val="005D41EA"/>
    <w:rsid w:val="005D4246"/>
    <w:rsid w:val="005D425E"/>
    <w:rsid w:val="005D4279"/>
    <w:rsid w:val="005D42B6"/>
    <w:rsid w:val="005D42E1"/>
    <w:rsid w:val="005D42F6"/>
    <w:rsid w:val="005D4391"/>
    <w:rsid w:val="005D43EC"/>
    <w:rsid w:val="005D444C"/>
    <w:rsid w:val="005D4467"/>
    <w:rsid w:val="005D446F"/>
    <w:rsid w:val="005D4473"/>
    <w:rsid w:val="005D453B"/>
    <w:rsid w:val="005D4549"/>
    <w:rsid w:val="005D4553"/>
    <w:rsid w:val="005D4632"/>
    <w:rsid w:val="005D463F"/>
    <w:rsid w:val="005D4659"/>
    <w:rsid w:val="005D46B2"/>
    <w:rsid w:val="005D4731"/>
    <w:rsid w:val="005D473D"/>
    <w:rsid w:val="005D4741"/>
    <w:rsid w:val="005D479C"/>
    <w:rsid w:val="005D47B6"/>
    <w:rsid w:val="005D480F"/>
    <w:rsid w:val="005D4829"/>
    <w:rsid w:val="005D482A"/>
    <w:rsid w:val="005D4835"/>
    <w:rsid w:val="005D48A3"/>
    <w:rsid w:val="005D48D9"/>
    <w:rsid w:val="005D4968"/>
    <w:rsid w:val="005D4982"/>
    <w:rsid w:val="005D49C4"/>
    <w:rsid w:val="005D4A5A"/>
    <w:rsid w:val="005D4A63"/>
    <w:rsid w:val="005D4A6F"/>
    <w:rsid w:val="005D4AE4"/>
    <w:rsid w:val="005D4B0D"/>
    <w:rsid w:val="005D4B26"/>
    <w:rsid w:val="005D4B44"/>
    <w:rsid w:val="005D4B83"/>
    <w:rsid w:val="005D4BA5"/>
    <w:rsid w:val="005D4BEE"/>
    <w:rsid w:val="005D4C9B"/>
    <w:rsid w:val="005D4DEC"/>
    <w:rsid w:val="005D4DF4"/>
    <w:rsid w:val="005D4E2D"/>
    <w:rsid w:val="005D4E49"/>
    <w:rsid w:val="005D4E83"/>
    <w:rsid w:val="005D4EC8"/>
    <w:rsid w:val="005D4EFB"/>
    <w:rsid w:val="005D4F41"/>
    <w:rsid w:val="005D4FA4"/>
    <w:rsid w:val="005D4FCA"/>
    <w:rsid w:val="005D4FE4"/>
    <w:rsid w:val="005D4FFA"/>
    <w:rsid w:val="005D5005"/>
    <w:rsid w:val="005D5024"/>
    <w:rsid w:val="005D5068"/>
    <w:rsid w:val="005D508D"/>
    <w:rsid w:val="005D50B2"/>
    <w:rsid w:val="005D50D1"/>
    <w:rsid w:val="005D50D5"/>
    <w:rsid w:val="005D510A"/>
    <w:rsid w:val="005D5168"/>
    <w:rsid w:val="005D525B"/>
    <w:rsid w:val="005D52FF"/>
    <w:rsid w:val="005D5309"/>
    <w:rsid w:val="005D5356"/>
    <w:rsid w:val="005D535D"/>
    <w:rsid w:val="005D53F1"/>
    <w:rsid w:val="005D5415"/>
    <w:rsid w:val="005D541C"/>
    <w:rsid w:val="005D54E7"/>
    <w:rsid w:val="005D54EB"/>
    <w:rsid w:val="005D5512"/>
    <w:rsid w:val="005D5514"/>
    <w:rsid w:val="005D553B"/>
    <w:rsid w:val="005D5589"/>
    <w:rsid w:val="005D559D"/>
    <w:rsid w:val="005D55B3"/>
    <w:rsid w:val="005D55C1"/>
    <w:rsid w:val="005D55F2"/>
    <w:rsid w:val="005D5609"/>
    <w:rsid w:val="005D560D"/>
    <w:rsid w:val="005D5658"/>
    <w:rsid w:val="005D568C"/>
    <w:rsid w:val="005D56AA"/>
    <w:rsid w:val="005D5701"/>
    <w:rsid w:val="005D5714"/>
    <w:rsid w:val="005D5747"/>
    <w:rsid w:val="005D5768"/>
    <w:rsid w:val="005D579C"/>
    <w:rsid w:val="005D57D4"/>
    <w:rsid w:val="005D57D5"/>
    <w:rsid w:val="005D57DC"/>
    <w:rsid w:val="005D57F2"/>
    <w:rsid w:val="005D57F5"/>
    <w:rsid w:val="005D5851"/>
    <w:rsid w:val="005D5892"/>
    <w:rsid w:val="005D58A5"/>
    <w:rsid w:val="005D5904"/>
    <w:rsid w:val="005D5911"/>
    <w:rsid w:val="005D591E"/>
    <w:rsid w:val="005D599E"/>
    <w:rsid w:val="005D5A92"/>
    <w:rsid w:val="005D5A9A"/>
    <w:rsid w:val="005D5AD0"/>
    <w:rsid w:val="005D5AD8"/>
    <w:rsid w:val="005D5B21"/>
    <w:rsid w:val="005D5B88"/>
    <w:rsid w:val="005D5C1C"/>
    <w:rsid w:val="005D5C48"/>
    <w:rsid w:val="005D5CB2"/>
    <w:rsid w:val="005D5CB8"/>
    <w:rsid w:val="005D5CD1"/>
    <w:rsid w:val="005D5CF3"/>
    <w:rsid w:val="005D5CF6"/>
    <w:rsid w:val="005D5D7E"/>
    <w:rsid w:val="005D5E54"/>
    <w:rsid w:val="005D5E6B"/>
    <w:rsid w:val="005D5E9C"/>
    <w:rsid w:val="005D5EEA"/>
    <w:rsid w:val="005D5FD3"/>
    <w:rsid w:val="005D6009"/>
    <w:rsid w:val="005D608B"/>
    <w:rsid w:val="005D6092"/>
    <w:rsid w:val="005D60EF"/>
    <w:rsid w:val="005D60FC"/>
    <w:rsid w:val="005D6107"/>
    <w:rsid w:val="005D6113"/>
    <w:rsid w:val="005D61A5"/>
    <w:rsid w:val="005D61B8"/>
    <w:rsid w:val="005D61D1"/>
    <w:rsid w:val="005D6207"/>
    <w:rsid w:val="005D6219"/>
    <w:rsid w:val="005D621E"/>
    <w:rsid w:val="005D627B"/>
    <w:rsid w:val="005D62AC"/>
    <w:rsid w:val="005D6325"/>
    <w:rsid w:val="005D6329"/>
    <w:rsid w:val="005D634C"/>
    <w:rsid w:val="005D63C6"/>
    <w:rsid w:val="005D63C7"/>
    <w:rsid w:val="005D648E"/>
    <w:rsid w:val="005D64A3"/>
    <w:rsid w:val="005D64E6"/>
    <w:rsid w:val="005D6507"/>
    <w:rsid w:val="005D6556"/>
    <w:rsid w:val="005D65E2"/>
    <w:rsid w:val="005D6622"/>
    <w:rsid w:val="005D6699"/>
    <w:rsid w:val="005D66C2"/>
    <w:rsid w:val="005D66DC"/>
    <w:rsid w:val="005D66DD"/>
    <w:rsid w:val="005D675F"/>
    <w:rsid w:val="005D6769"/>
    <w:rsid w:val="005D67B4"/>
    <w:rsid w:val="005D680A"/>
    <w:rsid w:val="005D689D"/>
    <w:rsid w:val="005D6911"/>
    <w:rsid w:val="005D6929"/>
    <w:rsid w:val="005D692C"/>
    <w:rsid w:val="005D6968"/>
    <w:rsid w:val="005D6991"/>
    <w:rsid w:val="005D69BF"/>
    <w:rsid w:val="005D6AD3"/>
    <w:rsid w:val="005D6B40"/>
    <w:rsid w:val="005D6B54"/>
    <w:rsid w:val="005D6B66"/>
    <w:rsid w:val="005D6BD5"/>
    <w:rsid w:val="005D6BE6"/>
    <w:rsid w:val="005D6BF0"/>
    <w:rsid w:val="005D6C45"/>
    <w:rsid w:val="005D6D3E"/>
    <w:rsid w:val="005D6D7A"/>
    <w:rsid w:val="005D6DB6"/>
    <w:rsid w:val="005D6DF6"/>
    <w:rsid w:val="005D6E0A"/>
    <w:rsid w:val="005D6EFD"/>
    <w:rsid w:val="005D6F00"/>
    <w:rsid w:val="005D6F4C"/>
    <w:rsid w:val="005D6F5F"/>
    <w:rsid w:val="005D6FDA"/>
    <w:rsid w:val="005D7000"/>
    <w:rsid w:val="005D7045"/>
    <w:rsid w:val="005D708F"/>
    <w:rsid w:val="005D710E"/>
    <w:rsid w:val="005D718D"/>
    <w:rsid w:val="005D718F"/>
    <w:rsid w:val="005D71AD"/>
    <w:rsid w:val="005D7218"/>
    <w:rsid w:val="005D7251"/>
    <w:rsid w:val="005D72C3"/>
    <w:rsid w:val="005D72F0"/>
    <w:rsid w:val="005D734A"/>
    <w:rsid w:val="005D736D"/>
    <w:rsid w:val="005D7389"/>
    <w:rsid w:val="005D738C"/>
    <w:rsid w:val="005D73B0"/>
    <w:rsid w:val="005D73B3"/>
    <w:rsid w:val="005D73FA"/>
    <w:rsid w:val="005D741C"/>
    <w:rsid w:val="005D7435"/>
    <w:rsid w:val="005D74F9"/>
    <w:rsid w:val="005D7521"/>
    <w:rsid w:val="005D754E"/>
    <w:rsid w:val="005D754F"/>
    <w:rsid w:val="005D75E0"/>
    <w:rsid w:val="005D764D"/>
    <w:rsid w:val="005D7668"/>
    <w:rsid w:val="005D76CA"/>
    <w:rsid w:val="005D76ED"/>
    <w:rsid w:val="005D7712"/>
    <w:rsid w:val="005D774F"/>
    <w:rsid w:val="005D7768"/>
    <w:rsid w:val="005D77E7"/>
    <w:rsid w:val="005D785E"/>
    <w:rsid w:val="005D7869"/>
    <w:rsid w:val="005D7874"/>
    <w:rsid w:val="005D787B"/>
    <w:rsid w:val="005D796A"/>
    <w:rsid w:val="005D7972"/>
    <w:rsid w:val="005D7997"/>
    <w:rsid w:val="005D7A09"/>
    <w:rsid w:val="005D7A0D"/>
    <w:rsid w:val="005D7B0B"/>
    <w:rsid w:val="005D7B25"/>
    <w:rsid w:val="005D7C03"/>
    <w:rsid w:val="005D7C25"/>
    <w:rsid w:val="005D7C35"/>
    <w:rsid w:val="005D7C64"/>
    <w:rsid w:val="005D7C67"/>
    <w:rsid w:val="005D7CB9"/>
    <w:rsid w:val="005D7D2A"/>
    <w:rsid w:val="005D7D77"/>
    <w:rsid w:val="005D7DFA"/>
    <w:rsid w:val="005D7E34"/>
    <w:rsid w:val="005D7EB4"/>
    <w:rsid w:val="005D7F18"/>
    <w:rsid w:val="005D7F1E"/>
    <w:rsid w:val="005D7F43"/>
    <w:rsid w:val="005D7FA8"/>
    <w:rsid w:val="005D7FD4"/>
    <w:rsid w:val="005E000A"/>
    <w:rsid w:val="005E0028"/>
    <w:rsid w:val="005E004C"/>
    <w:rsid w:val="005E0088"/>
    <w:rsid w:val="005E0146"/>
    <w:rsid w:val="005E0176"/>
    <w:rsid w:val="005E01F1"/>
    <w:rsid w:val="005E0219"/>
    <w:rsid w:val="005E0226"/>
    <w:rsid w:val="005E023C"/>
    <w:rsid w:val="005E0260"/>
    <w:rsid w:val="005E0273"/>
    <w:rsid w:val="005E029F"/>
    <w:rsid w:val="005E0356"/>
    <w:rsid w:val="005E0389"/>
    <w:rsid w:val="005E045D"/>
    <w:rsid w:val="005E047A"/>
    <w:rsid w:val="005E0483"/>
    <w:rsid w:val="005E04BE"/>
    <w:rsid w:val="005E04CA"/>
    <w:rsid w:val="005E04D9"/>
    <w:rsid w:val="005E0539"/>
    <w:rsid w:val="005E05BB"/>
    <w:rsid w:val="005E05F2"/>
    <w:rsid w:val="005E0607"/>
    <w:rsid w:val="005E0660"/>
    <w:rsid w:val="005E0678"/>
    <w:rsid w:val="005E0690"/>
    <w:rsid w:val="005E0696"/>
    <w:rsid w:val="005E06A2"/>
    <w:rsid w:val="005E06BC"/>
    <w:rsid w:val="005E06D5"/>
    <w:rsid w:val="005E06E1"/>
    <w:rsid w:val="005E0715"/>
    <w:rsid w:val="005E0725"/>
    <w:rsid w:val="005E0792"/>
    <w:rsid w:val="005E07B7"/>
    <w:rsid w:val="005E07BB"/>
    <w:rsid w:val="005E07C8"/>
    <w:rsid w:val="005E07E8"/>
    <w:rsid w:val="005E08F6"/>
    <w:rsid w:val="005E096F"/>
    <w:rsid w:val="005E09A0"/>
    <w:rsid w:val="005E09D7"/>
    <w:rsid w:val="005E09D8"/>
    <w:rsid w:val="005E09F1"/>
    <w:rsid w:val="005E09F3"/>
    <w:rsid w:val="005E09F4"/>
    <w:rsid w:val="005E0A02"/>
    <w:rsid w:val="005E0A2D"/>
    <w:rsid w:val="005E0A3C"/>
    <w:rsid w:val="005E0A63"/>
    <w:rsid w:val="005E0AC7"/>
    <w:rsid w:val="005E0AF3"/>
    <w:rsid w:val="005E0B23"/>
    <w:rsid w:val="005E0B27"/>
    <w:rsid w:val="005E0B35"/>
    <w:rsid w:val="005E0BC8"/>
    <w:rsid w:val="005E0C03"/>
    <w:rsid w:val="005E0C8A"/>
    <w:rsid w:val="005E0CA3"/>
    <w:rsid w:val="005E0D16"/>
    <w:rsid w:val="005E0DD2"/>
    <w:rsid w:val="005E0E1E"/>
    <w:rsid w:val="005E0E30"/>
    <w:rsid w:val="005E0E52"/>
    <w:rsid w:val="005E0E90"/>
    <w:rsid w:val="005E0EA7"/>
    <w:rsid w:val="005E0EC8"/>
    <w:rsid w:val="005E0F2E"/>
    <w:rsid w:val="005E0F37"/>
    <w:rsid w:val="005E0F5C"/>
    <w:rsid w:val="005E0F7D"/>
    <w:rsid w:val="005E0F88"/>
    <w:rsid w:val="005E0FB2"/>
    <w:rsid w:val="005E104B"/>
    <w:rsid w:val="005E1065"/>
    <w:rsid w:val="005E10BB"/>
    <w:rsid w:val="005E11BA"/>
    <w:rsid w:val="005E11EB"/>
    <w:rsid w:val="005E11F4"/>
    <w:rsid w:val="005E1251"/>
    <w:rsid w:val="005E1326"/>
    <w:rsid w:val="005E136B"/>
    <w:rsid w:val="005E13C2"/>
    <w:rsid w:val="005E13F8"/>
    <w:rsid w:val="005E144E"/>
    <w:rsid w:val="005E1461"/>
    <w:rsid w:val="005E1463"/>
    <w:rsid w:val="005E14A7"/>
    <w:rsid w:val="005E156E"/>
    <w:rsid w:val="005E15D0"/>
    <w:rsid w:val="005E1620"/>
    <w:rsid w:val="005E1652"/>
    <w:rsid w:val="005E16A2"/>
    <w:rsid w:val="005E16AB"/>
    <w:rsid w:val="005E176B"/>
    <w:rsid w:val="005E1785"/>
    <w:rsid w:val="005E1797"/>
    <w:rsid w:val="005E17CF"/>
    <w:rsid w:val="005E17F6"/>
    <w:rsid w:val="005E17FE"/>
    <w:rsid w:val="005E1858"/>
    <w:rsid w:val="005E197C"/>
    <w:rsid w:val="005E1987"/>
    <w:rsid w:val="005E19F1"/>
    <w:rsid w:val="005E1A25"/>
    <w:rsid w:val="005E1A79"/>
    <w:rsid w:val="005E1A89"/>
    <w:rsid w:val="005E1ABD"/>
    <w:rsid w:val="005E1ACA"/>
    <w:rsid w:val="005E1ACF"/>
    <w:rsid w:val="005E1AE1"/>
    <w:rsid w:val="005E1B14"/>
    <w:rsid w:val="005E1B39"/>
    <w:rsid w:val="005E1B6B"/>
    <w:rsid w:val="005E1B79"/>
    <w:rsid w:val="005E1B97"/>
    <w:rsid w:val="005E1B9A"/>
    <w:rsid w:val="005E1C28"/>
    <w:rsid w:val="005E1C2F"/>
    <w:rsid w:val="005E1C3F"/>
    <w:rsid w:val="005E1C93"/>
    <w:rsid w:val="005E1CCA"/>
    <w:rsid w:val="005E1CCE"/>
    <w:rsid w:val="005E1CE0"/>
    <w:rsid w:val="005E1D2C"/>
    <w:rsid w:val="005E1D37"/>
    <w:rsid w:val="005E1D5C"/>
    <w:rsid w:val="005E1D60"/>
    <w:rsid w:val="005E1D7D"/>
    <w:rsid w:val="005E1E15"/>
    <w:rsid w:val="005E1E29"/>
    <w:rsid w:val="005E1E7A"/>
    <w:rsid w:val="005E1F0F"/>
    <w:rsid w:val="005E1FFA"/>
    <w:rsid w:val="005E2030"/>
    <w:rsid w:val="005E204F"/>
    <w:rsid w:val="005E2052"/>
    <w:rsid w:val="005E2078"/>
    <w:rsid w:val="005E2093"/>
    <w:rsid w:val="005E20C9"/>
    <w:rsid w:val="005E2100"/>
    <w:rsid w:val="005E2112"/>
    <w:rsid w:val="005E214B"/>
    <w:rsid w:val="005E2199"/>
    <w:rsid w:val="005E21CB"/>
    <w:rsid w:val="005E21DC"/>
    <w:rsid w:val="005E2224"/>
    <w:rsid w:val="005E2237"/>
    <w:rsid w:val="005E23ED"/>
    <w:rsid w:val="005E23FF"/>
    <w:rsid w:val="005E2408"/>
    <w:rsid w:val="005E2472"/>
    <w:rsid w:val="005E24CA"/>
    <w:rsid w:val="005E250A"/>
    <w:rsid w:val="005E250F"/>
    <w:rsid w:val="005E2539"/>
    <w:rsid w:val="005E258F"/>
    <w:rsid w:val="005E259E"/>
    <w:rsid w:val="005E25A1"/>
    <w:rsid w:val="005E25B5"/>
    <w:rsid w:val="005E25B9"/>
    <w:rsid w:val="005E26DD"/>
    <w:rsid w:val="005E26E7"/>
    <w:rsid w:val="005E26F5"/>
    <w:rsid w:val="005E26FA"/>
    <w:rsid w:val="005E2716"/>
    <w:rsid w:val="005E2766"/>
    <w:rsid w:val="005E277E"/>
    <w:rsid w:val="005E2896"/>
    <w:rsid w:val="005E28A8"/>
    <w:rsid w:val="005E28AC"/>
    <w:rsid w:val="005E28D6"/>
    <w:rsid w:val="005E290B"/>
    <w:rsid w:val="005E2939"/>
    <w:rsid w:val="005E295B"/>
    <w:rsid w:val="005E2A0E"/>
    <w:rsid w:val="005E2A23"/>
    <w:rsid w:val="005E2A2E"/>
    <w:rsid w:val="005E2A60"/>
    <w:rsid w:val="005E2A90"/>
    <w:rsid w:val="005E2ABA"/>
    <w:rsid w:val="005E2BE2"/>
    <w:rsid w:val="005E2BE6"/>
    <w:rsid w:val="005E2C34"/>
    <w:rsid w:val="005E2C6B"/>
    <w:rsid w:val="005E2C8C"/>
    <w:rsid w:val="005E2C9D"/>
    <w:rsid w:val="005E2D24"/>
    <w:rsid w:val="005E2DE0"/>
    <w:rsid w:val="005E2E45"/>
    <w:rsid w:val="005E2E53"/>
    <w:rsid w:val="005E2E6F"/>
    <w:rsid w:val="005E2F9D"/>
    <w:rsid w:val="005E2FCA"/>
    <w:rsid w:val="005E2FCB"/>
    <w:rsid w:val="005E2FF9"/>
    <w:rsid w:val="005E3003"/>
    <w:rsid w:val="005E3043"/>
    <w:rsid w:val="005E304D"/>
    <w:rsid w:val="005E3055"/>
    <w:rsid w:val="005E3061"/>
    <w:rsid w:val="005E30BD"/>
    <w:rsid w:val="005E30CE"/>
    <w:rsid w:val="005E30DE"/>
    <w:rsid w:val="005E30F1"/>
    <w:rsid w:val="005E30FD"/>
    <w:rsid w:val="005E3137"/>
    <w:rsid w:val="005E313B"/>
    <w:rsid w:val="005E31AB"/>
    <w:rsid w:val="005E31BF"/>
    <w:rsid w:val="005E31C6"/>
    <w:rsid w:val="005E322C"/>
    <w:rsid w:val="005E32BE"/>
    <w:rsid w:val="005E330A"/>
    <w:rsid w:val="005E3310"/>
    <w:rsid w:val="005E3329"/>
    <w:rsid w:val="005E3354"/>
    <w:rsid w:val="005E33CE"/>
    <w:rsid w:val="005E3404"/>
    <w:rsid w:val="005E342D"/>
    <w:rsid w:val="005E3439"/>
    <w:rsid w:val="005E344A"/>
    <w:rsid w:val="005E3483"/>
    <w:rsid w:val="005E353A"/>
    <w:rsid w:val="005E35DF"/>
    <w:rsid w:val="005E35E6"/>
    <w:rsid w:val="005E3625"/>
    <w:rsid w:val="005E362E"/>
    <w:rsid w:val="005E3706"/>
    <w:rsid w:val="005E3723"/>
    <w:rsid w:val="005E3735"/>
    <w:rsid w:val="005E3776"/>
    <w:rsid w:val="005E377F"/>
    <w:rsid w:val="005E379C"/>
    <w:rsid w:val="005E37E4"/>
    <w:rsid w:val="005E3851"/>
    <w:rsid w:val="005E385F"/>
    <w:rsid w:val="005E386A"/>
    <w:rsid w:val="005E38BF"/>
    <w:rsid w:val="005E38C7"/>
    <w:rsid w:val="005E38D4"/>
    <w:rsid w:val="005E38D5"/>
    <w:rsid w:val="005E38DB"/>
    <w:rsid w:val="005E394B"/>
    <w:rsid w:val="005E3984"/>
    <w:rsid w:val="005E39B7"/>
    <w:rsid w:val="005E39F5"/>
    <w:rsid w:val="005E3A1E"/>
    <w:rsid w:val="005E3A60"/>
    <w:rsid w:val="005E3AA5"/>
    <w:rsid w:val="005E3AD0"/>
    <w:rsid w:val="005E3B4B"/>
    <w:rsid w:val="005E3B77"/>
    <w:rsid w:val="005E3BDA"/>
    <w:rsid w:val="005E3C00"/>
    <w:rsid w:val="005E3C48"/>
    <w:rsid w:val="005E3C8F"/>
    <w:rsid w:val="005E3C98"/>
    <w:rsid w:val="005E3CD8"/>
    <w:rsid w:val="005E3CE4"/>
    <w:rsid w:val="005E3D67"/>
    <w:rsid w:val="005E3D6B"/>
    <w:rsid w:val="005E3D76"/>
    <w:rsid w:val="005E3D90"/>
    <w:rsid w:val="005E3DC5"/>
    <w:rsid w:val="005E3E61"/>
    <w:rsid w:val="005E3E64"/>
    <w:rsid w:val="005E3EF0"/>
    <w:rsid w:val="005E3F21"/>
    <w:rsid w:val="005E3F36"/>
    <w:rsid w:val="005E3F87"/>
    <w:rsid w:val="005E3F90"/>
    <w:rsid w:val="005E4009"/>
    <w:rsid w:val="005E4059"/>
    <w:rsid w:val="005E40CD"/>
    <w:rsid w:val="005E40FC"/>
    <w:rsid w:val="005E415C"/>
    <w:rsid w:val="005E418F"/>
    <w:rsid w:val="005E41C8"/>
    <w:rsid w:val="005E41DE"/>
    <w:rsid w:val="005E4231"/>
    <w:rsid w:val="005E4320"/>
    <w:rsid w:val="005E4380"/>
    <w:rsid w:val="005E4388"/>
    <w:rsid w:val="005E445B"/>
    <w:rsid w:val="005E44A8"/>
    <w:rsid w:val="005E44AD"/>
    <w:rsid w:val="005E44B6"/>
    <w:rsid w:val="005E44DC"/>
    <w:rsid w:val="005E4503"/>
    <w:rsid w:val="005E4590"/>
    <w:rsid w:val="005E45D2"/>
    <w:rsid w:val="005E4604"/>
    <w:rsid w:val="005E4652"/>
    <w:rsid w:val="005E46AB"/>
    <w:rsid w:val="005E47C0"/>
    <w:rsid w:val="005E47DC"/>
    <w:rsid w:val="005E4857"/>
    <w:rsid w:val="005E4886"/>
    <w:rsid w:val="005E48A9"/>
    <w:rsid w:val="005E48D6"/>
    <w:rsid w:val="005E49DB"/>
    <w:rsid w:val="005E4A1B"/>
    <w:rsid w:val="005E4A46"/>
    <w:rsid w:val="005E4AED"/>
    <w:rsid w:val="005E4B71"/>
    <w:rsid w:val="005E4B93"/>
    <w:rsid w:val="005E4BC0"/>
    <w:rsid w:val="005E4BD1"/>
    <w:rsid w:val="005E4D39"/>
    <w:rsid w:val="005E4D54"/>
    <w:rsid w:val="005E4D87"/>
    <w:rsid w:val="005E4D96"/>
    <w:rsid w:val="005E4DB3"/>
    <w:rsid w:val="005E4DBC"/>
    <w:rsid w:val="005E4DBF"/>
    <w:rsid w:val="005E4DC8"/>
    <w:rsid w:val="005E4DEC"/>
    <w:rsid w:val="005E4E74"/>
    <w:rsid w:val="005E4EEB"/>
    <w:rsid w:val="005E4F41"/>
    <w:rsid w:val="005E4F44"/>
    <w:rsid w:val="005E4F47"/>
    <w:rsid w:val="005E4FC9"/>
    <w:rsid w:val="005E4FFF"/>
    <w:rsid w:val="005E5042"/>
    <w:rsid w:val="005E50B4"/>
    <w:rsid w:val="005E50F6"/>
    <w:rsid w:val="005E5131"/>
    <w:rsid w:val="005E5228"/>
    <w:rsid w:val="005E52BF"/>
    <w:rsid w:val="005E53B7"/>
    <w:rsid w:val="005E53E7"/>
    <w:rsid w:val="005E5404"/>
    <w:rsid w:val="005E5410"/>
    <w:rsid w:val="005E543A"/>
    <w:rsid w:val="005E5443"/>
    <w:rsid w:val="005E54DC"/>
    <w:rsid w:val="005E5532"/>
    <w:rsid w:val="005E5561"/>
    <w:rsid w:val="005E556D"/>
    <w:rsid w:val="005E559D"/>
    <w:rsid w:val="005E55D8"/>
    <w:rsid w:val="005E563E"/>
    <w:rsid w:val="005E564B"/>
    <w:rsid w:val="005E566F"/>
    <w:rsid w:val="005E56E1"/>
    <w:rsid w:val="005E570C"/>
    <w:rsid w:val="005E5749"/>
    <w:rsid w:val="005E5788"/>
    <w:rsid w:val="005E57AF"/>
    <w:rsid w:val="005E57DB"/>
    <w:rsid w:val="005E581E"/>
    <w:rsid w:val="005E5851"/>
    <w:rsid w:val="005E58A0"/>
    <w:rsid w:val="005E58DB"/>
    <w:rsid w:val="005E5900"/>
    <w:rsid w:val="005E5903"/>
    <w:rsid w:val="005E5964"/>
    <w:rsid w:val="005E5993"/>
    <w:rsid w:val="005E59A5"/>
    <w:rsid w:val="005E5A2B"/>
    <w:rsid w:val="005E5AA6"/>
    <w:rsid w:val="005E5AE5"/>
    <w:rsid w:val="005E5B85"/>
    <w:rsid w:val="005E5B9E"/>
    <w:rsid w:val="005E5BD8"/>
    <w:rsid w:val="005E5BEA"/>
    <w:rsid w:val="005E5C06"/>
    <w:rsid w:val="005E5C0C"/>
    <w:rsid w:val="005E5C32"/>
    <w:rsid w:val="005E5C36"/>
    <w:rsid w:val="005E5CD4"/>
    <w:rsid w:val="005E5CE3"/>
    <w:rsid w:val="005E5E22"/>
    <w:rsid w:val="005E5E33"/>
    <w:rsid w:val="005E5E42"/>
    <w:rsid w:val="005E5E4D"/>
    <w:rsid w:val="005E5EFF"/>
    <w:rsid w:val="005E5F13"/>
    <w:rsid w:val="005E5F9D"/>
    <w:rsid w:val="005E5FC5"/>
    <w:rsid w:val="005E600C"/>
    <w:rsid w:val="005E601E"/>
    <w:rsid w:val="005E6028"/>
    <w:rsid w:val="005E6089"/>
    <w:rsid w:val="005E6117"/>
    <w:rsid w:val="005E611F"/>
    <w:rsid w:val="005E6133"/>
    <w:rsid w:val="005E61B3"/>
    <w:rsid w:val="005E61B9"/>
    <w:rsid w:val="005E61CE"/>
    <w:rsid w:val="005E61D9"/>
    <w:rsid w:val="005E6202"/>
    <w:rsid w:val="005E623E"/>
    <w:rsid w:val="005E6278"/>
    <w:rsid w:val="005E62FC"/>
    <w:rsid w:val="005E631C"/>
    <w:rsid w:val="005E6321"/>
    <w:rsid w:val="005E6326"/>
    <w:rsid w:val="005E633A"/>
    <w:rsid w:val="005E63AA"/>
    <w:rsid w:val="005E64A2"/>
    <w:rsid w:val="005E64F0"/>
    <w:rsid w:val="005E6539"/>
    <w:rsid w:val="005E6540"/>
    <w:rsid w:val="005E65D8"/>
    <w:rsid w:val="005E65EE"/>
    <w:rsid w:val="005E66C6"/>
    <w:rsid w:val="005E66DA"/>
    <w:rsid w:val="005E66E4"/>
    <w:rsid w:val="005E66F4"/>
    <w:rsid w:val="005E6773"/>
    <w:rsid w:val="005E6779"/>
    <w:rsid w:val="005E67F3"/>
    <w:rsid w:val="005E6801"/>
    <w:rsid w:val="005E681A"/>
    <w:rsid w:val="005E6878"/>
    <w:rsid w:val="005E6947"/>
    <w:rsid w:val="005E697A"/>
    <w:rsid w:val="005E6A49"/>
    <w:rsid w:val="005E6AC7"/>
    <w:rsid w:val="005E6AE0"/>
    <w:rsid w:val="005E6B3A"/>
    <w:rsid w:val="005E6B6B"/>
    <w:rsid w:val="005E6B8F"/>
    <w:rsid w:val="005E6BCF"/>
    <w:rsid w:val="005E6C00"/>
    <w:rsid w:val="005E6C37"/>
    <w:rsid w:val="005E6C39"/>
    <w:rsid w:val="005E6D06"/>
    <w:rsid w:val="005E6D1D"/>
    <w:rsid w:val="005E6D2D"/>
    <w:rsid w:val="005E6D66"/>
    <w:rsid w:val="005E6D7F"/>
    <w:rsid w:val="005E6DB4"/>
    <w:rsid w:val="005E6E06"/>
    <w:rsid w:val="005E6E26"/>
    <w:rsid w:val="005E6E6D"/>
    <w:rsid w:val="005E6EC6"/>
    <w:rsid w:val="005E7028"/>
    <w:rsid w:val="005E7072"/>
    <w:rsid w:val="005E708F"/>
    <w:rsid w:val="005E7119"/>
    <w:rsid w:val="005E7145"/>
    <w:rsid w:val="005E71BF"/>
    <w:rsid w:val="005E71C9"/>
    <w:rsid w:val="005E725D"/>
    <w:rsid w:val="005E726D"/>
    <w:rsid w:val="005E7274"/>
    <w:rsid w:val="005E727F"/>
    <w:rsid w:val="005E729A"/>
    <w:rsid w:val="005E72E0"/>
    <w:rsid w:val="005E7373"/>
    <w:rsid w:val="005E738A"/>
    <w:rsid w:val="005E73D2"/>
    <w:rsid w:val="005E73ED"/>
    <w:rsid w:val="005E741B"/>
    <w:rsid w:val="005E7423"/>
    <w:rsid w:val="005E74F0"/>
    <w:rsid w:val="005E74F7"/>
    <w:rsid w:val="005E7507"/>
    <w:rsid w:val="005E7509"/>
    <w:rsid w:val="005E7514"/>
    <w:rsid w:val="005E753A"/>
    <w:rsid w:val="005E7557"/>
    <w:rsid w:val="005E758A"/>
    <w:rsid w:val="005E7666"/>
    <w:rsid w:val="005E76A4"/>
    <w:rsid w:val="005E7739"/>
    <w:rsid w:val="005E77E5"/>
    <w:rsid w:val="005E7811"/>
    <w:rsid w:val="005E7826"/>
    <w:rsid w:val="005E7846"/>
    <w:rsid w:val="005E7850"/>
    <w:rsid w:val="005E78C9"/>
    <w:rsid w:val="005E795E"/>
    <w:rsid w:val="005E79B9"/>
    <w:rsid w:val="005E7A30"/>
    <w:rsid w:val="005E7A5F"/>
    <w:rsid w:val="005E7A9F"/>
    <w:rsid w:val="005E7AF0"/>
    <w:rsid w:val="005E7B0C"/>
    <w:rsid w:val="005E7B5F"/>
    <w:rsid w:val="005E7B6F"/>
    <w:rsid w:val="005E7B75"/>
    <w:rsid w:val="005E7B8B"/>
    <w:rsid w:val="005E7BA7"/>
    <w:rsid w:val="005E7BB1"/>
    <w:rsid w:val="005E7BE9"/>
    <w:rsid w:val="005E7BEC"/>
    <w:rsid w:val="005E7D0A"/>
    <w:rsid w:val="005E7D31"/>
    <w:rsid w:val="005E7E65"/>
    <w:rsid w:val="005E7E8F"/>
    <w:rsid w:val="005E7EC6"/>
    <w:rsid w:val="005E7ECE"/>
    <w:rsid w:val="005E7ED4"/>
    <w:rsid w:val="005E7F0C"/>
    <w:rsid w:val="005E7F4D"/>
    <w:rsid w:val="005E7F52"/>
    <w:rsid w:val="005E7F97"/>
    <w:rsid w:val="005E7FA9"/>
    <w:rsid w:val="005E7FE6"/>
    <w:rsid w:val="005E7FEF"/>
    <w:rsid w:val="005E7FF3"/>
    <w:rsid w:val="005F0047"/>
    <w:rsid w:val="005F0115"/>
    <w:rsid w:val="005F019A"/>
    <w:rsid w:val="005F01BC"/>
    <w:rsid w:val="005F01CE"/>
    <w:rsid w:val="005F01F8"/>
    <w:rsid w:val="005F01F9"/>
    <w:rsid w:val="005F02F9"/>
    <w:rsid w:val="005F0332"/>
    <w:rsid w:val="005F0446"/>
    <w:rsid w:val="005F046F"/>
    <w:rsid w:val="005F0477"/>
    <w:rsid w:val="005F0513"/>
    <w:rsid w:val="005F0514"/>
    <w:rsid w:val="005F0596"/>
    <w:rsid w:val="005F05DA"/>
    <w:rsid w:val="005F05DB"/>
    <w:rsid w:val="005F0612"/>
    <w:rsid w:val="005F067C"/>
    <w:rsid w:val="005F069A"/>
    <w:rsid w:val="005F06E7"/>
    <w:rsid w:val="005F0769"/>
    <w:rsid w:val="005F079C"/>
    <w:rsid w:val="005F080E"/>
    <w:rsid w:val="005F0857"/>
    <w:rsid w:val="005F08C8"/>
    <w:rsid w:val="005F0924"/>
    <w:rsid w:val="005F092C"/>
    <w:rsid w:val="005F095A"/>
    <w:rsid w:val="005F0967"/>
    <w:rsid w:val="005F0981"/>
    <w:rsid w:val="005F09A5"/>
    <w:rsid w:val="005F0A24"/>
    <w:rsid w:val="005F0A69"/>
    <w:rsid w:val="005F0A6C"/>
    <w:rsid w:val="005F0AB3"/>
    <w:rsid w:val="005F0AEA"/>
    <w:rsid w:val="005F0B94"/>
    <w:rsid w:val="005F0BF9"/>
    <w:rsid w:val="005F0C3F"/>
    <w:rsid w:val="005F0C58"/>
    <w:rsid w:val="005F0D38"/>
    <w:rsid w:val="005F0D61"/>
    <w:rsid w:val="005F0D71"/>
    <w:rsid w:val="005F0D8C"/>
    <w:rsid w:val="005F0DB6"/>
    <w:rsid w:val="005F0E0F"/>
    <w:rsid w:val="005F0E13"/>
    <w:rsid w:val="005F0E65"/>
    <w:rsid w:val="005F0EB1"/>
    <w:rsid w:val="005F0F04"/>
    <w:rsid w:val="005F0F1F"/>
    <w:rsid w:val="005F0F51"/>
    <w:rsid w:val="005F0F9B"/>
    <w:rsid w:val="005F1010"/>
    <w:rsid w:val="005F1086"/>
    <w:rsid w:val="005F10D0"/>
    <w:rsid w:val="005F10D1"/>
    <w:rsid w:val="005F1116"/>
    <w:rsid w:val="005F118D"/>
    <w:rsid w:val="005F11C9"/>
    <w:rsid w:val="005F11D5"/>
    <w:rsid w:val="005F11F6"/>
    <w:rsid w:val="005F11F7"/>
    <w:rsid w:val="005F122A"/>
    <w:rsid w:val="005F133F"/>
    <w:rsid w:val="005F1359"/>
    <w:rsid w:val="005F1373"/>
    <w:rsid w:val="005F1376"/>
    <w:rsid w:val="005F13E9"/>
    <w:rsid w:val="005F1410"/>
    <w:rsid w:val="005F1442"/>
    <w:rsid w:val="005F14AA"/>
    <w:rsid w:val="005F155A"/>
    <w:rsid w:val="005F155B"/>
    <w:rsid w:val="005F15A7"/>
    <w:rsid w:val="005F15B3"/>
    <w:rsid w:val="005F15C2"/>
    <w:rsid w:val="005F1632"/>
    <w:rsid w:val="005F1660"/>
    <w:rsid w:val="005F16A6"/>
    <w:rsid w:val="005F16DF"/>
    <w:rsid w:val="005F173D"/>
    <w:rsid w:val="005F1761"/>
    <w:rsid w:val="005F17BA"/>
    <w:rsid w:val="005F17E9"/>
    <w:rsid w:val="005F1846"/>
    <w:rsid w:val="005F18E0"/>
    <w:rsid w:val="005F18E7"/>
    <w:rsid w:val="005F18E9"/>
    <w:rsid w:val="005F191B"/>
    <w:rsid w:val="005F1949"/>
    <w:rsid w:val="005F19AC"/>
    <w:rsid w:val="005F19D0"/>
    <w:rsid w:val="005F1A05"/>
    <w:rsid w:val="005F1A1D"/>
    <w:rsid w:val="005F1A28"/>
    <w:rsid w:val="005F1A2C"/>
    <w:rsid w:val="005F1A90"/>
    <w:rsid w:val="005F1AA2"/>
    <w:rsid w:val="005F1AD9"/>
    <w:rsid w:val="005F1ADC"/>
    <w:rsid w:val="005F1B0D"/>
    <w:rsid w:val="005F1B17"/>
    <w:rsid w:val="005F1B4A"/>
    <w:rsid w:val="005F1B9C"/>
    <w:rsid w:val="005F1B9F"/>
    <w:rsid w:val="005F1BC7"/>
    <w:rsid w:val="005F1BF0"/>
    <w:rsid w:val="005F1C27"/>
    <w:rsid w:val="005F1C2C"/>
    <w:rsid w:val="005F1C3F"/>
    <w:rsid w:val="005F1C44"/>
    <w:rsid w:val="005F1C55"/>
    <w:rsid w:val="005F1C6D"/>
    <w:rsid w:val="005F1C84"/>
    <w:rsid w:val="005F1C8B"/>
    <w:rsid w:val="005F1CAA"/>
    <w:rsid w:val="005F1CD6"/>
    <w:rsid w:val="005F1DD2"/>
    <w:rsid w:val="005F1EBE"/>
    <w:rsid w:val="005F1EE5"/>
    <w:rsid w:val="005F1F0E"/>
    <w:rsid w:val="005F1F2E"/>
    <w:rsid w:val="005F1F4B"/>
    <w:rsid w:val="005F1F5D"/>
    <w:rsid w:val="005F1F80"/>
    <w:rsid w:val="005F1FAD"/>
    <w:rsid w:val="005F202A"/>
    <w:rsid w:val="005F2031"/>
    <w:rsid w:val="005F2043"/>
    <w:rsid w:val="005F2052"/>
    <w:rsid w:val="005F2058"/>
    <w:rsid w:val="005F2070"/>
    <w:rsid w:val="005F20BC"/>
    <w:rsid w:val="005F20E8"/>
    <w:rsid w:val="005F220C"/>
    <w:rsid w:val="005F221A"/>
    <w:rsid w:val="005F226D"/>
    <w:rsid w:val="005F2288"/>
    <w:rsid w:val="005F22FB"/>
    <w:rsid w:val="005F2347"/>
    <w:rsid w:val="005F235D"/>
    <w:rsid w:val="005F2374"/>
    <w:rsid w:val="005F23A8"/>
    <w:rsid w:val="005F23E1"/>
    <w:rsid w:val="005F23E7"/>
    <w:rsid w:val="005F2410"/>
    <w:rsid w:val="005F247C"/>
    <w:rsid w:val="005F2541"/>
    <w:rsid w:val="005F2545"/>
    <w:rsid w:val="005F2571"/>
    <w:rsid w:val="005F2576"/>
    <w:rsid w:val="005F25D2"/>
    <w:rsid w:val="005F26AE"/>
    <w:rsid w:val="005F277D"/>
    <w:rsid w:val="005F27D6"/>
    <w:rsid w:val="005F282D"/>
    <w:rsid w:val="005F28E3"/>
    <w:rsid w:val="005F28F3"/>
    <w:rsid w:val="005F29E0"/>
    <w:rsid w:val="005F2A19"/>
    <w:rsid w:val="005F2A52"/>
    <w:rsid w:val="005F2B39"/>
    <w:rsid w:val="005F2BCF"/>
    <w:rsid w:val="005F2C3B"/>
    <w:rsid w:val="005F2C40"/>
    <w:rsid w:val="005F2C6B"/>
    <w:rsid w:val="005F2C6F"/>
    <w:rsid w:val="005F2C9B"/>
    <w:rsid w:val="005F2CF6"/>
    <w:rsid w:val="005F2DB6"/>
    <w:rsid w:val="005F2E1C"/>
    <w:rsid w:val="005F2EA4"/>
    <w:rsid w:val="005F2EBC"/>
    <w:rsid w:val="005F2F0F"/>
    <w:rsid w:val="005F2F19"/>
    <w:rsid w:val="005F2F23"/>
    <w:rsid w:val="005F2F57"/>
    <w:rsid w:val="005F2F7E"/>
    <w:rsid w:val="005F2F9F"/>
    <w:rsid w:val="005F2FA3"/>
    <w:rsid w:val="005F2FEB"/>
    <w:rsid w:val="005F303A"/>
    <w:rsid w:val="005F3066"/>
    <w:rsid w:val="005F3067"/>
    <w:rsid w:val="005F30BC"/>
    <w:rsid w:val="005F30E0"/>
    <w:rsid w:val="005F318C"/>
    <w:rsid w:val="005F31C9"/>
    <w:rsid w:val="005F3249"/>
    <w:rsid w:val="005F324D"/>
    <w:rsid w:val="005F3257"/>
    <w:rsid w:val="005F3283"/>
    <w:rsid w:val="005F32D7"/>
    <w:rsid w:val="005F32DF"/>
    <w:rsid w:val="005F338C"/>
    <w:rsid w:val="005F3419"/>
    <w:rsid w:val="005F3445"/>
    <w:rsid w:val="005F34B1"/>
    <w:rsid w:val="005F34C8"/>
    <w:rsid w:val="005F34E7"/>
    <w:rsid w:val="005F3526"/>
    <w:rsid w:val="005F3585"/>
    <w:rsid w:val="005F364A"/>
    <w:rsid w:val="005F36DA"/>
    <w:rsid w:val="005F36F0"/>
    <w:rsid w:val="005F36F2"/>
    <w:rsid w:val="005F371A"/>
    <w:rsid w:val="005F3742"/>
    <w:rsid w:val="005F374A"/>
    <w:rsid w:val="005F3753"/>
    <w:rsid w:val="005F3758"/>
    <w:rsid w:val="005F377D"/>
    <w:rsid w:val="005F3886"/>
    <w:rsid w:val="005F38A2"/>
    <w:rsid w:val="005F3907"/>
    <w:rsid w:val="005F399B"/>
    <w:rsid w:val="005F3A5A"/>
    <w:rsid w:val="005F3A6C"/>
    <w:rsid w:val="005F3B11"/>
    <w:rsid w:val="005F3B2F"/>
    <w:rsid w:val="005F3B39"/>
    <w:rsid w:val="005F3BA3"/>
    <w:rsid w:val="005F3C22"/>
    <w:rsid w:val="005F3C33"/>
    <w:rsid w:val="005F3CE8"/>
    <w:rsid w:val="005F3D2F"/>
    <w:rsid w:val="005F3D3D"/>
    <w:rsid w:val="005F3D52"/>
    <w:rsid w:val="005F3D60"/>
    <w:rsid w:val="005F3D64"/>
    <w:rsid w:val="005F3DB2"/>
    <w:rsid w:val="005F3DF2"/>
    <w:rsid w:val="005F3E08"/>
    <w:rsid w:val="005F3EE3"/>
    <w:rsid w:val="005F3EED"/>
    <w:rsid w:val="005F3F18"/>
    <w:rsid w:val="005F3F21"/>
    <w:rsid w:val="005F3F46"/>
    <w:rsid w:val="005F3F62"/>
    <w:rsid w:val="005F3FBA"/>
    <w:rsid w:val="005F400C"/>
    <w:rsid w:val="005F406D"/>
    <w:rsid w:val="005F40C2"/>
    <w:rsid w:val="005F40FE"/>
    <w:rsid w:val="005F412A"/>
    <w:rsid w:val="005F4145"/>
    <w:rsid w:val="005F41D3"/>
    <w:rsid w:val="005F41FA"/>
    <w:rsid w:val="005F4201"/>
    <w:rsid w:val="005F4205"/>
    <w:rsid w:val="005F4213"/>
    <w:rsid w:val="005F4294"/>
    <w:rsid w:val="005F42A5"/>
    <w:rsid w:val="005F4308"/>
    <w:rsid w:val="005F432A"/>
    <w:rsid w:val="005F433B"/>
    <w:rsid w:val="005F4361"/>
    <w:rsid w:val="005F43A4"/>
    <w:rsid w:val="005F43D2"/>
    <w:rsid w:val="005F43FF"/>
    <w:rsid w:val="005F445F"/>
    <w:rsid w:val="005F44EB"/>
    <w:rsid w:val="005F450F"/>
    <w:rsid w:val="005F4515"/>
    <w:rsid w:val="005F451B"/>
    <w:rsid w:val="005F451E"/>
    <w:rsid w:val="005F459C"/>
    <w:rsid w:val="005F45A3"/>
    <w:rsid w:val="005F467F"/>
    <w:rsid w:val="005F4683"/>
    <w:rsid w:val="005F46D1"/>
    <w:rsid w:val="005F46D8"/>
    <w:rsid w:val="005F470D"/>
    <w:rsid w:val="005F477A"/>
    <w:rsid w:val="005F47DD"/>
    <w:rsid w:val="005F4817"/>
    <w:rsid w:val="005F4856"/>
    <w:rsid w:val="005F48AA"/>
    <w:rsid w:val="005F4919"/>
    <w:rsid w:val="005F494D"/>
    <w:rsid w:val="005F49C1"/>
    <w:rsid w:val="005F49DD"/>
    <w:rsid w:val="005F4A03"/>
    <w:rsid w:val="005F4A20"/>
    <w:rsid w:val="005F4AD0"/>
    <w:rsid w:val="005F4AF3"/>
    <w:rsid w:val="005F4B09"/>
    <w:rsid w:val="005F4B46"/>
    <w:rsid w:val="005F4B81"/>
    <w:rsid w:val="005F4C13"/>
    <w:rsid w:val="005F4C79"/>
    <w:rsid w:val="005F4CE1"/>
    <w:rsid w:val="005F4D92"/>
    <w:rsid w:val="005F4DCB"/>
    <w:rsid w:val="005F4E37"/>
    <w:rsid w:val="005F4EAF"/>
    <w:rsid w:val="005F4ECA"/>
    <w:rsid w:val="005F4EEA"/>
    <w:rsid w:val="005F4F0F"/>
    <w:rsid w:val="005F4F5B"/>
    <w:rsid w:val="005F4F94"/>
    <w:rsid w:val="005F4FCB"/>
    <w:rsid w:val="005F5024"/>
    <w:rsid w:val="005F5027"/>
    <w:rsid w:val="005F50E7"/>
    <w:rsid w:val="005F5171"/>
    <w:rsid w:val="005F5185"/>
    <w:rsid w:val="005F5195"/>
    <w:rsid w:val="005F51C1"/>
    <w:rsid w:val="005F51CD"/>
    <w:rsid w:val="005F5208"/>
    <w:rsid w:val="005F527A"/>
    <w:rsid w:val="005F5288"/>
    <w:rsid w:val="005F52D9"/>
    <w:rsid w:val="005F533C"/>
    <w:rsid w:val="005F5361"/>
    <w:rsid w:val="005F53B6"/>
    <w:rsid w:val="005F5499"/>
    <w:rsid w:val="005F551F"/>
    <w:rsid w:val="005F5593"/>
    <w:rsid w:val="005F55A4"/>
    <w:rsid w:val="005F55D9"/>
    <w:rsid w:val="005F5610"/>
    <w:rsid w:val="005F5613"/>
    <w:rsid w:val="005F568E"/>
    <w:rsid w:val="005F569C"/>
    <w:rsid w:val="005F5731"/>
    <w:rsid w:val="005F576C"/>
    <w:rsid w:val="005F580D"/>
    <w:rsid w:val="005F5838"/>
    <w:rsid w:val="005F585C"/>
    <w:rsid w:val="005F585E"/>
    <w:rsid w:val="005F5868"/>
    <w:rsid w:val="005F586E"/>
    <w:rsid w:val="005F5900"/>
    <w:rsid w:val="005F5911"/>
    <w:rsid w:val="005F591B"/>
    <w:rsid w:val="005F59AA"/>
    <w:rsid w:val="005F59E5"/>
    <w:rsid w:val="005F59E6"/>
    <w:rsid w:val="005F59FD"/>
    <w:rsid w:val="005F5A36"/>
    <w:rsid w:val="005F5A4E"/>
    <w:rsid w:val="005F5A78"/>
    <w:rsid w:val="005F5AF7"/>
    <w:rsid w:val="005F5AFD"/>
    <w:rsid w:val="005F5B48"/>
    <w:rsid w:val="005F5B5E"/>
    <w:rsid w:val="005F5B99"/>
    <w:rsid w:val="005F5BE2"/>
    <w:rsid w:val="005F5BEF"/>
    <w:rsid w:val="005F5D1F"/>
    <w:rsid w:val="005F5D2D"/>
    <w:rsid w:val="005F5D88"/>
    <w:rsid w:val="005F5DB5"/>
    <w:rsid w:val="005F5DB9"/>
    <w:rsid w:val="005F5E12"/>
    <w:rsid w:val="005F5E44"/>
    <w:rsid w:val="005F5F63"/>
    <w:rsid w:val="005F6095"/>
    <w:rsid w:val="005F6103"/>
    <w:rsid w:val="005F618B"/>
    <w:rsid w:val="005F61A9"/>
    <w:rsid w:val="005F61E4"/>
    <w:rsid w:val="005F6229"/>
    <w:rsid w:val="005F6269"/>
    <w:rsid w:val="005F6377"/>
    <w:rsid w:val="005F63B0"/>
    <w:rsid w:val="005F63CA"/>
    <w:rsid w:val="005F6428"/>
    <w:rsid w:val="005F6473"/>
    <w:rsid w:val="005F64A3"/>
    <w:rsid w:val="005F64E0"/>
    <w:rsid w:val="005F64E8"/>
    <w:rsid w:val="005F654F"/>
    <w:rsid w:val="005F6560"/>
    <w:rsid w:val="005F6563"/>
    <w:rsid w:val="005F65E1"/>
    <w:rsid w:val="005F6613"/>
    <w:rsid w:val="005F6696"/>
    <w:rsid w:val="005F66D8"/>
    <w:rsid w:val="005F66E9"/>
    <w:rsid w:val="005F6717"/>
    <w:rsid w:val="005F671E"/>
    <w:rsid w:val="005F6736"/>
    <w:rsid w:val="005F6777"/>
    <w:rsid w:val="005F67C3"/>
    <w:rsid w:val="005F6800"/>
    <w:rsid w:val="005F6860"/>
    <w:rsid w:val="005F689F"/>
    <w:rsid w:val="005F68F8"/>
    <w:rsid w:val="005F692C"/>
    <w:rsid w:val="005F693C"/>
    <w:rsid w:val="005F698F"/>
    <w:rsid w:val="005F6A4E"/>
    <w:rsid w:val="005F6A5B"/>
    <w:rsid w:val="005F6A7D"/>
    <w:rsid w:val="005F6A91"/>
    <w:rsid w:val="005F6AC7"/>
    <w:rsid w:val="005F6B26"/>
    <w:rsid w:val="005F6B9F"/>
    <w:rsid w:val="005F6BAC"/>
    <w:rsid w:val="005F6BB9"/>
    <w:rsid w:val="005F6BBC"/>
    <w:rsid w:val="005F6C14"/>
    <w:rsid w:val="005F6C20"/>
    <w:rsid w:val="005F6C41"/>
    <w:rsid w:val="005F6C80"/>
    <w:rsid w:val="005F6CCF"/>
    <w:rsid w:val="005F6D3D"/>
    <w:rsid w:val="005F6D5A"/>
    <w:rsid w:val="005F6DEA"/>
    <w:rsid w:val="005F6E24"/>
    <w:rsid w:val="005F6E3E"/>
    <w:rsid w:val="005F6ED2"/>
    <w:rsid w:val="005F6EE5"/>
    <w:rsid w:val="005F6F0E"/>
    <w:rsid w:val="005F6F2B"/>
    <w:rsid w:val="005F6F38"/>
    <w:rsid w:val="005F6FA6"/>
    <w:rsid w:val="005F6FAF"/>
    <w:rsid w:val="005F7014"/>
    <w:rsid w:val="005F7023"/>
    <w:rsid w:val="005F7027"/>
    <w:rsid w:val="005F703E"/>
    <w:rsid w:val="005F7074"/>
    <w:rsid w:val="005F7130"/>
    <w:rsid w:val="005F7179"/>
    <w:rsid w:val="005F7192"/>
    <w:rsid w:val="005F71A7"/>
    <w:rsid w:val="005F71F0"/>
    <w:rsid w:val="005F7211"/>
    <w:rsid w:val="005F7233"/>
    <w:rsid w:val="005F729C"/>
    <w:rsid w:val="005F73F2"/>
    <w:rsid w:val="005F74B5"/>
    <w:rsid w:val="005F74F4"/>
    <w:rsid w:val="005F7500"/>
    <w:rsid w:val="005F750E"/>
    <w:rsid w:val="005F7547"/>
    <w:rsid w:val="005F7577"/>
    <w:rsid w:val="005F7584"/>
    <w:rsid w:val="005F75C6"/>
    <w:rsid w:val="005F7607"/>
    <w:rsid w:val="005F763A"/>
    <w:rsid w:val="005F7646"/>
    <w:rsid w:val="005F764D"/>
    <w:rsid w:val="005F76EB"/>
    <w:rsid w:val="005F771B"/>
    <w:rsid w:val="005F7726"/>
    <w:rsid w:val="005F7751"/>
    <w:rsid w:val="005F77B2"/>
    <w:rsid w:val="005F7887"/>
    <w:rsid w:val="005F78EC"/>
    <w:rsid w:val="005F79CC"/>
    <w:rsid w:val="005F7A0D"/>
    <w:rsid w:val="005F7A4C"/>
    <w:rsid w:val="005F7B9B"/>
    <w:rsid w:val="005F7BB3"/>
    <w:rsid w:val="005F7BCA"/>
    <w:rsid w:val="005F7BFA"/>
    <w:rsid w:val="005F7C4B"/>
    <w:rsid w:val="005F7C92"/>
    <w:rsid w:val="005F7CAB"/>
    <w:rsid w:val="005F7CC0"/>
    <w:rsid w:val="005F7CD9"/>
    <w:rsid w:val="005F7D02"/>
    <w:rsid w:val="005F7D22"/>
    <w:rsid w:val="005F7D43"/>
    <w:rsid w:val="005F7D99"/>
    <w:rsid w:val="005F7DAD"/>
    <w:rsid w:val="005F7DBB"/>
    <w:rsid w:val="005F7DBF"/>
    <w:rsid w:val="005F7DC4"/>
    <w:rsid w:val="005F7E30"/>
    <w:rsid w:val="005F7E4B"/>
    <w:rsid w:val="005F7E79"/>
    <w:rsid w:val="005F7E81"/>
    <w:rsid w:val="005F7ECE"/>
    <w:rsid w:val="005F7F5C"/>
    <w:rsid w:val="005F7F80"/>
    <w:rsid w:val="005F7F81"/>
    <w:rsid w:val="005F7FD4"/>
    <w:rsid w:val="00600001"/>
    <w:rsid w:val="0060001F"/>
    <w:rsid w:val="0060004A"/>
    <w:rsid w:val="00600054"/>
    <w:rsid w:val="00600139"/>
    <w:rsid w:val="00600143"/>
    <w:rsid w:val="00600150"/>
    <w:rsid w:val="006001BA"/>
    <w:rsid w:val="006001E9"/>
    <w:rsid w:val="00600209"/>
    <w:rsid w:val="00600284"/>
    <w:rsid w:val="0060029C"/>
    <w:rsid w:val="00600369"/>
    <w:rsid w:val="006003B5"/>
    <w:rsid w:val="00600445"/>
    <w:rsid w:val="0060047C"/>
    <w:rsid w:val="00600513"/>
    <w:rsid w:val="0060051D"/>
    <w:rsid w:val="0060052C"/>
    <w:rsid w:val="00600569"/>
    <w:rsid w:val="00600575"/>
    <w:rsid w:val="0060059B"/>
    <w:rsid w:val="006005F0"/>
    <w:rsid w:val="00600619"/>
    <w:rsid w:val="0060061E"/>
    <w:rsid w:val="00600634"/>
    <w:rsid w:val="00600658"/>
    <w:rsid w:val="00600662"/>
    <w:rsid w:val="006007E2"/>
    <w:rsid w:val="00600828"/>
    <w:rsid w:val="0060083F"/>
    <w:rsid w:val="0060084B"/>
    <w:rsid w:val="00600899"/>
    <w:rsid w:val="006008D8"/>
    <w:rsid w:val="006008E4"/>
    <w:rsid w:val="006008F0"/>
    <w:rsid w:val="006009A0"/>
    <w:rsid w:val="006009A6"/>
    <w:rsid w:val="00600A29"/>
    <w:rsid w:val="00600A8D"/>
    <w:rsid w:val="00600AB2"/>
    <w:rsid w:val="00600AE6"/>
    <w:rsid w:val="00600B17"/>
    <w:rsid w:val="00600B61"/>
    <w:rsid w:val="00600BAA"/>
    <w:rsid w:val="00600BB1"/>
    <w:rsid w:val="00600BE9"/>
    <w:rsid w:val="00600C32"/>
    <w:rsid w:val="00600C4F"/>
    <w:rsid w:val="00600CD5"/>
    <w:rsid w:val="00600CFD"/>
    <w:rsid w:val="00600D22"/>
    <w:rsid w:val="00600D37"/>
    <w:rsid w:val="00600D3E"/>
    <w:rsid w:val="00600D72"/>
    <w:rsid w:val="00600D73"/>
    <w:rsid w:val="00600DBA"/>
    <w:rsid w:val="00600DC8"/>
    <w:rsid w:val="00600E64"/>
    <w:rsid w:val="00600EDF"/>
    <w:rsid w:val="00600EF9"/>
    <w:rsid w:val="00600F60"/>
    <w:rsid w:val="00600F86"/>
    <w:rsid w:val="00600F9A"/>
    <w:rsid w:val="00600FB5"/>
    <w:rsid w:val="00600FCE"/>
    <w:rsid w:val="00600FE1"/>
    <w:rsid w:val="0060106E"/>
    <w:rsid w:val="006010C2"/>
    <w:rsid w:val="006010C9"/>
    <w:rsid w:val="006010E8"/>
    <w:rsid w:val="00601162"/>
    <w:rsid w:val="00601172"/>
    <w:rsid w:val="0060119A"/>
    <w:rsid w:val="006011F9"/>
    <w:rsid w:val="0060120B"/>
    <w:rsid w:val="0060124E"/>
    <w:rsid w:val="006012CB"/>
    <w:rsid w:val="00601309"/>
    <w:rsid w:val="00601331"/>
    <w:rsid w:val="006013DD"/>
    <w:rsid w:val="006013EB"/>
    <w:rsid w:val="006013F0"/>
    <w:rsid w:val="00601491"/>
    <w:rsid w:val="006015FB"/>
    <w:rsid w:val="0060167D"/>
    <w:rsid w:val="006016AE"/>
    <w:rsid w:val="006016FD"/>
    <w:rsid w:val="00601728"/>
    <w:rsid w:val="0060173F"/>
    <w:rsid w:val="00601752"/>
    <w:rsid w:val="00601770"/>
    <w:rsid w:val="00601784"/>
    <w:rsid w:val="006017BD"/>
    <w:rsid w:val="006017E2"/>
    <w:rsid w:val="006017EE"/>
    <w:rsid w:val="00601815"/>
    <w:rsid w:val="00601884"/>
    <w:rsid w:val="00601A3B"/>
    <w:rsid w:val="00601A73"/>
    <w:rsid w:val="00601B1E"/>
    <w:rsid w:val="00601B4C"/>
    <w:rsid w:val="00601C12"/>
    <w:rsid w:val="00601C5B"/>
    <w:rsid w:val="00601C7A"/>
    <w:rsid w:val="00601C7F"/>
    <w:rsid w:val="00601CA0"/>
    <w:rsid w:val="00601D0B"/>
    <w:rsid w:val="00601D0C"/>
    <w:rsid w:val="00601D28"/>
    <w:rsid w:val="00601DB2"/>
    <w:rsid w:val="00601E69"/>
    <w:rsid w:val="00601EA7"/>
    <w:rsid w:val="00601F52"/>
    <w:rsid w:val="00601F84"/>
    <w:rsid w:val="00602033"/>
    <w:rsid w:val="00602041"/>
    <w:rsid w:val="0060207A"/>
    <w:rsid w:val="006020A4"/>
    <w:rsid w:val="006020BC"/>
    <w:rsid w:val="006020EA"/>
    <w:rsid w:val="0060221C"/>
    <w:rsid w:val="00602262"/>
    <w:rsid w:val="0060227F"/>
    <w:rsid w:val="006022E2"/>
    <w:rsid w:val="006022E7"/>
    <w:rsid w:val="00602303"/>
    <w:rsid w:val="006023D8"/>
    <w:rsid w:val="00602418"/>
    <w:rsid w:val="006024AA"/>
    <w:rsid w:val="006024B4"/>
    <w:rsid w:val="006024BA"/>
    <w:rsid w:val="0060250A"/>
    <w:rsid w:val="0060259A"/>
    <w:rsid w:val="006025AE"/>
    <w:rsid w:val="006025C0"/>
    <w:rsid w:val="006025CB"/>
    <w:rsid w:val="0060260B"/>
    <w:rsid w:val="00602675"/>
    <w:rsid w:val="006026F6"/>
    <w:rsid w:val="0060272F"/>
    <w:rsid w:val="00602734"/>
    <w:rsid w:val="00602766"/>
    <w:rsid w:val="00602791"/>
    <w:rsid w:val="006027D1"/>
    <w:rsid w:val="006027DA"/>
    <w:rsid w:val="006027FD"/>
    <w:rsid w:val="00602846"/>
    <w:rsid w:val="0060288A"/>
    <w:rsid w:val="006028B9"/>
    <w:rsid w:val="006028C2"/>
    <w:rsid w:val="006029AF"/>
    <w:rsid w:val="006029B1"/>
    <w:rsid w:val="006029CF"/>
    <w:rsid w:val="006029E4"/>
    <w:rsid w:val="00602A06"/>
    <w:rsid w:val="00602A0A"/>
    <w:rsid w:val="00602A29"/>
    <w:rsid w:val="00602A76"/>
    <w:rsid w:val="00602A78"/>
    <w:rsid w:val="00602ABD"/>
    <w:rsid w:val="00602B41"/>
    <w:rsid w:val="00602B6D"/>
    <w:rsid w:val="00602B85"/>
    <w:rsid w:val="00602BEC"/>
    <w:rsid w:val="00602C4F"/>
    <w:rsid w:val="00602CAA"/>
    <w:rsid w:val="00602D15"/>
    <w:rsid w:val="00602D63"/>
    <w:rsid w:val="00602D70"/>
    <w:rsid w:val="00602D90"/>
    <w:rsid w:val="00602DD1"/>
    <w:rsid w:val="00602DF2"/>
    <w:rsid w:val="00602E38"/>
    <w:rsid w:val="00602EA2"/>
    <w:rsid w:val="00602EA6"/>
    <w:rsid w:val="00602EAE"/>
    <w:rsid w:val="00602EB1"/>
    <w:rsid w:val="00602ED5"/>
    <w:rsid w:val="00602F51"/>
    <w:rsid w:val="00602FB0"/>
    <w:rsid w:val="00602FD1"/>
    <w:rsid w:val="00602FF3"/>
    <w:rsid w:val="00603064"/>
    <w:rsid w:val="00603104"/>
    <w:rsid w:val="00603127"/>
    <w:rsid w:val="006031DB"/>
    <w:rsid w:val="006031F9"/>
    <w:rsid w:val="00603222"/>
    <w:rsid w:val="0060328B"/>
    <w:rsid w:val="00603367"/>
    <w:rsid w:val="0060337E"/>
    <w:rsid w:val="00603388"/>
    <w:rsid w:val="00603444"/>
    <w:rsid w:val="00603461"/>
    <w:rsid w:val="00603491"/>
    <w:rsid w:val="00603513"/>
    <w:rsid w:val="00603587"/>
    <w:rsid w:val="006035C4"/>
    <w:rsid w:val="006035C6"/>
    <w:rsid w:val="006036C0"/>
    <w:rsid w:val="006036E4"/>
    <w:rsid w:val="00603707"/>
    <w:rsid w:val="00603756"/>
    <w:rsid w:val="00603762"/>
    <w:rsid w:val="00603768"/>
    <w:rsid w:val="0060381B"/>
    <w:rsid w:val="00603883"/>
    <w:rsid w:val="006038B2"/>
    <w:rsid w:val="00603933"/>
    <w:rsid w:val="00603935"/>
    <w:rsid w:val="00603950"/>
    <w:rsid w:val="00603967"/>
    <w:rsid w:val="00603977"/>
    <w:rsid w:val="006039A4"/>
    <w:rsid w:val="00603A15"/>
    <w:rsid w:val="00603A27"/>
    <w:rsid w:val="00603A48"/>
    <w:rsid w:val="00603A69"/>
    <w:rsid w:val="00603A79"/>
    <w:rsid w:val="00603ACB"/>
    <w:rsid w:val="00603B6B"/>
    <w:rsid w:val="00603B93"/>
    <w:rsid w:val="00603BC2"/>
    <w:rsid w:val="00603C91"/>
    <w:rsid w:val="00603C9C"/>
    <w:rsid w:val="00603CA0"/>
    <w:rsid w:val="00603CB0"/>
    <w:rsid w:val="00603D6F"/>
    <w:rsid w:val="00603DDE"/>
    <w:rsid w:val="00603E19"/>
    <w:rsid w:val="00603E62"/>
    <w:rsid w:val="00603E68"/>
    <w:rsid w:val="00603E92"/>
    <w:rsid w:val="00603EA4"/>
    <w:rsid w:val="00603F0B"/>
    <w:rsid w:val="00603F5B"/>
    <w:rsid w:val="00603FB9"/>
    <w:rsid w:val="00603FCE"/>
    <w:rsid w:val="00604026"/>
    <w:rsid w:val="006040F9"/>
    <w:rsid w:val="00604105"/>
    <w:rsid w:val="00604143"/>
    <w:rsid w:val="00604169"/>
    <w:rsid w:val="006041D5"/>
    <w:rsid w:val="006041D9"/>
    <w:rsid w:val="00604220"/>
    <w:rsid w:val="00604384"/>
    <w:rsid w:val="0060444D"/>
    <w:rsid w:val="006044B0"/>
    <w:rsid w:val="006044D0"/>
    <w:rsid w:val="006044F8"/>
    <w:rsid w:val="00604500"/>
    <w:rsid w:val="0060451A"/>
    <w:rsid w:val="0060452D"/>
    <w:rsid w:val="006045AA"/>
    <w:rsid w:val="006045B3"/>
    <w:rsid w:val="00604629"/>
    <w:rsid w:val="006046B2"/>
    <w:rsid w:val="006046CE"/>
    <w:rsid w:val="00604732"/>
    <w:rsid w:val="00604791"/>
    <w:rsid w:val="0060482A"/>
    <w:rsid w:val="00604892"/>
    <w:rsid w:val="006048A1"/>
    <w:rsid w:val="0060493A"/>
    <w:rsid w:val="00604978"/>
    <w:rsid w:val="0060498C"/>
    <w:rsid w:val="0060499C"/>
    <w:rsid w:val="006049A6"/>
    <w:rsid w:val="006049D0"/>
    <w:rsid w:val="00604A01"/>
    <w:rsid w:val="00604A12"/>
    <w:rsid w:val="00604A22"/>
    <w:rsid w:val="00604A53"/>
    <w:rsid w:val="00604A66"/>
    <w:rsid w:val="00604A9D"/>
    <w:rsid w:val="00604AE6"/>
    <w:rsid w:val="00604AEC"/>
    <w:rsid w:val="00604B41"/>
    <w:rsid w:val="00604C00"/>
    <w:rsid w:val="00604C32"/>
    <w:rsid w:val="00604C46"/>
    <w:rsid w:val="00604C50"/>
    <w:rsid w:val="00604C86"/>
    <w:rsid w:val="00604C8A"/>
    <w:rsid w:val="00604C97"/>
    <w:rsid w:val="00604C99"/>
    <w:rsid w:val="00604CFF"/>
    <w:rsid w:val="00604D34"/>
    <w:rsid w:val="00604D4C"/>
    <w:rsid w:val="00604DAE"/>
    <w:rsid w:val="00604DE9"/>
    <w:rsid w:val="00604E68"/>
    <w:rsid w:val="00604E8B"/>
    <w:rsid w:val="00604F16"/>
    <w:rsid w:val="00604F1E"/>
    <w:rsid w:val="00604F4C"/>
    <w:rsid w:val="00604FAC"/>
    <w:rsid w:val="00604FD3"/>
    <w:rsid w:val="00604FDB"/>
    <w:rsid w:val="00604FF8"/>
    <w:rsid w:val="00604FFC"/>
    <w:rsid w:val="00605009"/>
    <w:rsid w:val="00605017"/>
    <w:rsid w:val="00605096"/>
    <w:rsid w:val="006050B6"/>
    <w:rsid w:val="006050C9"/>
    <w:rsid w:val="006050E4"/>
    <w:rsid w:val="006050FA"/>
    <w:rsid w:val="006050FD"/>
    <w:rsid w:val="00605120"/>
    <w:rsid w:val="0060514F"/>
    <w:rsid w:val="006051DC"/>
    <w:rsid w:val="00605209"/>
    <w:rsid w:val="0060532A"/>
    <w:rsid w:val="00605361"/>
    <w:rsid w:val="006053BF"/>
    <w:rsid w:val="0060542D"/>
    <w:rsid w:val="00605454"/>
    <w:rsid w:val="0060546E"/>
    <w:rsid w:val="0060547D"/>
    <w:rsid w:val="0060552F"/>
    <w:rsid w:val="0060553D"/>
    <w:rsid w:val="00605570"/>
    <w:rsid w:val="006055AC"/>
    <w:rsid w:val="0060560F"/>
    <w:rsid w:val="0060561E"/>
    <w:rsid w:val="0060568B"/>
    <w:rsid w:val="00605795"/>
    <w:rsid w:val="006057C4"/>
    <w:rsid w:val="006057E2"/>
    <w:rsid w:val="0060581F"/>
    <w:rsid w:val="0060586E"/>
    <w:rsid w:val="006058FA"/>
    <w:rsid w:val="00605921"/>
    <w:rsid w:val="0060593F"/>
    <w:rsid w:val="0060594C"/>
    <w:rsid w:val="0060595F"/>
    <w:rsid w:val="0060596C"/>
    <w:rsid w:val="0060597A"/>
    <w:rsid w:val="006059D4"/>
    <w:rsid w:val="006059E1"/>
    <w:rsid w:val="00605A18"/>
    <w:rsid w:val="00605AFF"/>
    <w:rsid w:val="00605B2E"/>
    <w:rsid w:val="00605B67"/>
    <w:rsid w:val="00605B7F"/>
    <w:rsid w:val="00605B83"/>
    <w:rsid w:val="00605C6F"/>
    <w:rsid w:val="00605C7D"/>
    <w:rsid w:val="00605CBD"/>
    <w:rsid w:val="00605CC1"/>
    <w:rsid w:val="00605CD6"/>
    <w:rsid w:val="00605D07"/>
    <w:rsid w:val="00605E82"/>
    <w:rsid w:val="00605E92"/>
    <w:rsid w:val="00605E9D"/>
    <w:rsid w:val="00605EAD"/>
    <w:rsid w:val="00605EE4"/>
    <w:rsid w:val="00605F4A"/>
    <w:rsid w:val="00605F73"/>
    <w:rsid w:val="00605FE5"/>
    <w:rsid w:val="00606072"/>
    <w:rsid w:val="00606089"/>
    <w:rsid w:val="0060619F"/>
    <w:rsid w:val="006061C2"/>
    <w:rsid w:val="00606296"/>
    <w:rsid w:val="0060631A"/>
    <w:rsid w:val="0060631F"/>
    <w:rsid w:val="00606329"/>
    <w:rsid w:val="00606385"/>
    <w:rsid w:val="0060639D"/>
    <w:rsid w:val="006063CD"/>
    <w:rsid w:val="00606431"/>
    <w:rsid w:val="0060645E"/>
    <w:rsid w:val="0060649C"/>
    <w:rsid w:val="006064A2"/>
    <w:rsid w:val="006064DD"/>
    <w:rsid w:val="006064F5"/>
    <w:rsid w:val="00606514"/>
    <w:rsid w:val="00606520"/>
    <w:rsid w:val="00606565"/>
    <w:rsid w:val="006065B9"/>
    <w:rsid w:val="006065DF"/>
    <w:rsid w:val="006065F2"/>
    <w:rsid w:val="00606603"/>
    <w:rsid w:val="00606617"/>
    <w:rsid w:val="0060662A"/>
    <w:rsid w:val="00606630"/>
    <w:rsid w:val="006066A2"/>
    <w:rsid w:val="006066E5"/>
    <w:rsid w:val="006066FC"/>
    <w:rsid w:val="00606718"/>
    <w:rsid w:val="0060673E"/>
    <w:rsid w:val="00606757"/>
    <w:rsid w:val="0060679F"/>
    <w:rsid w:val="006067B1"/>
    <w:rsid w:val="006067DC"/>
    <w:rsid w:val="00606808"/>
    <w:rsid w:val="00606865"/>
    <w:rsid w:val="00606891"/>
    <w:rsid w:val="00606894"/>
    <w:rsid w:val="006068A5"/>
    <w:rsid w:val="006068B8"/>
    <w:rsid w:val="006068FF"/>
    <w:rsid w:val="0060692C"/>
    <w:rsid w:val="00606955"/>
    <w:rsid w:val="006069C3"/>
    <w:rsid w:val="00606A32"/>
    <w:rsid w:val="00606A38"/>
    <w:rsid w:val="00606A57"/>
    <w:rsid w:val="00606A83"/>
    <w:rsid w:val="00606AC1"/>
    <w:rsid w:val="00606AEC"/>
    <w:rsid w:val="00606B64"/>
    <w:rsid w:val="00606BA8"/>
    <w:rsid w:val="00606BAE"/>
    <w:rsid w:val="00606BCF"/>
    <w:rsid w:val="00606C82"/>
    <w:rsid w:val="00606CCC"/>
    <w:rsid w:val="00606CE7"/>
    <w:rsid w:val="00606CF7"/>
    <w:rsid w:val="00606D0B"/>
    <w:rsid w:val="00606D2A"/>
    <w:rsid w:val="00606D5C"/>
    <w:rsid w:val="00606D8E"/>
    <w:rsid w:val="00606DBC"/>
    <w:rsid w:val="00606DEA"/>
    <w:rsid w:val="00606E57"/>
    <w:rsid w:val="00606E71"/>
    <w:rsid w:val="00606F16"/>
    <w:rsid w:val="00606F6B"/>
    <w:rsid w:val="00606F6F"/>
    <w:rsid w:val="00606FBC"/>
    <w:rsid w:val="00607033"/>
    <w:rsid w:val="00607038"/>
    <w:rsid w:val="0060704A"/>
    <w:rsid w:val="006070C4"/>
    <w:rsid w:val="006070C7"/>
    <w:rsid w:val="00607109"/>
    <w:rsid w:val="0060715B"/>
    <w:rsid w:val="00607160"/>
    <w:rsid w:val="0060717E"/>
    <w:rsid w:val="0060720F"/>
    <w:rsid w:val="0060725D"/>
    <w:rsid w:val="006072C5"/>
    <w:rsid w:val="006072DE"/>
    <w:rsid w:val="006072E3"/>
    <w:rsid w:val="00607338"/>
    <w:rsid w:val="00607362"/>
    <w:rsid w:val="0060741A"/>
    <w:rsid w:val="006074F3"/>
    <w:rsid w:val="00607511"/>
    <w:rsid w:val="00607512"/>
    <w:rsid w:val="0060755C"/>
    <w:rsid w:val="0060756E"/>
    <w:rsid w:val="00607591"/>
    <w:rsid w:val="00607617"/>
    <w:rsid w:val="006076C4"/>
    <w:rsid w:val="006076E4"/>
    <w:rsid w:val="006076EA"/>
    <w:rsid w:val="0060773D"/>
    <w:rsid w:val="006077E5"/>
    <w:rsid w:val="00607808"/>
    <w:rsid w:val="00607850"/>
    <w:rsid w:val="0060787D"/>
    <w:rsid w:val="0060789F"/>
    <w:rsid w:val="006078B0"/>
    <w:rsid w:val="006078EB"/>
    <w:rsid w:val="0060790A"/>
    <w:rsid w:val="0060794E"/>
    <w:rsid w:val="0060797E"/>
    <w:rsid w:val="00607987"/>
    <w:rsid w:val="00607999"/>
    <w:rsid w:val="006079BA"/>
    <w:rsid w:val="006079EF"/>
    <w:rsid w:val="006079F5"/>
    <w:rsid w:val="00607ACA"/>
    <w:rsid w:val="00607BB4"/>
    <w:rsid w:val="00607BC6"/>
    <w:rsid w:val="00607C1B"/>
    <w:rsid w:val="00607D1A"/>
    <w:rsid w:val="00607D5E"/>
    <w:rsid w:val="00607E22"/>
    <w:rsid w:val="00607E4C"/>
    <w:rsid w:val="00607E52"/>
    <w:rsid w:val="00607E74"/>
    <w:rsid w:val="00607EAF"/>
    <w:rsid w:val="00607ED6"/>
    <w:rsid w:val="00607F2F"/>
    <w:rsid w:val="00607F6B"/>
    <w:rsid w:val="00607FA2"/>
    <w:rsid w:val="0060B738"/>
    <w:rsid w:val="00610047"/>
    <w:rsid w:val="00610049"/>
    <w:rsid w:val="0061010C"/>
    <w:rsid w:val="00610169"/>
    <w:rsid w:val="0061018C"/>
    <w:rsid w:val="00610191"/>
    <w:rsid w:val="006101C3"/>
    <w:rsid w:val="00610217"/>
    <w:rsid w:val="00610221"/>
    <w:rsid w:val="00610249"/>
    <w:rsid w:val="00610250"/>
    <w:rsid w:val="006102BD"/>
    <w:rsid w:val="006102C6"/>
    <w:rsid w:val="006103C3"/>
    <w:rsid w:val="006103CE"/>
    <w:rsid w:val="006103D2"/>
    <w:rsid w:val="006103E1"/>
    <w:rsid w:val="0061054E"/>
    <w:rsid w:val="0061057C"/>
    <w:rsid w:val="00610586"/>
    <w:rsid w:val="00610610"/>
    <w:rsid w:val="00610656"/>
    <w:rsid w:val="0061065C"/>
    <w:rsid w:val="006106C3"/>
    <w:rsid w:val="0061073D"/>
    <w:rsid w:val="00610765"/>
    <w:rsid w:val="00610772"/>
    <w:rsid w:val="006107A2"/>
    <w:rsid w:val="006107C0"/>
    <w:rsid w:val="006107D2"/>
    <w:rsid w:val="00610830"/>
    <w:rsid w:val="00610840"/>
    <w:rsid w:val="0061088D"/>
    <w:rsid w:val="0061091D"/>
    <w:rsid w:val="00610932"/>
    <w:rsid w:val="00610945"/>
    <w:rsid w:val="0061094C"/>
    <w:rsid w:val="00610961"/>
    <w:rsid w:val="00610A54"/>
    <w:rsid w:val="00610AA6"/>
    <w:rsid w:val="00610AD7"/>
    <w:rsid w:val="00610B28"/>
    <w:rsid w:val="00610B95"/>
    <w:rsid w:val="00610B9B"/>
    <w:rsid w:val="00610BA5"/>
    <w:rsid w:val="00610BBE"/>
    <w:rsid w:val="00610BE2"/>
    <w:rsid w:val="00610C2D"/>
    <w:rsid w:val="00610C71"/>
    <w:rsid w:val="00610CA8"/>
    <w:rsid w:val="00610CB5"/>
    <w:rsid w:val="00610CE0"/>
    <w:rsid w:val="00610D66"/>
    <w:rsid w:val="00610D97"/>
    <w:rsid w:val="00610D9D"/>
    <w:rsid w:val="00610DC5"/>
    <w:rsid w:val="00610E01"/>
    <w:rsid w:val="00610E06"/>
    <w:rsid w:val="00610E16"/>
    <w:rsid w:val="00610E33"/>
    <w:rsid w:val="00610EA4"/>
    <w:rsid w:val="00610EB9"/>
    <w:rsid w:val="00610EDE"/>
    <w:rsid w:val="00610EEC"/>
    <w:rsid w:val="00610F38"/>
    <w:rsid w:val="00610F7A"/>
    <w:rsid w:val="00610FF4"/>
    <w:rsid w:val="00611036"/>
    <w:rsid w:val="0061104C"/>
    <w:rsid w:val="00611057"/>
    <w:rsid w:val="00611073"/>
    <w:rsid w:val="006110C5"/>
    <w:rsid w:val="0061118F"/>
    <w:rsid w:val="006111C4"/>
    <w:rsid w:val="006111E7"/>
    <w:rsid w:val="006111FF"/>
    <w:rsid w:val="0061120C"/>
    <w:rsid w:val="00611224"/>
    <w:rsid w:val="00611330"/>
    <w:rsid w:val="006113FF"/>
    <w:rsid w:val="00611402"/>
    <w:rsid w:val="0061141C"/>
    <w:rsid w:val="00611423"/>
    <w:rsid w:val="00611425"/>
    <w:rsid w:val="00611427"/>
    <w:rsid w:val="0061145D"/>
    <w:rsid w:val="0061149A"/>
    <w:rsid w:val="00611514"/>
    <w:rsid w:val="00611527"/>
    <w:rsid w:val="00611537"/>
    <w:rsid w:val="00611564"/>
    <w:rsid w:val="006115A7"/>
    <w:rsid w:val="006115D5"/>
    <w:rsid w:val="00611605"/>
    <w:rsid w:val="0061160F"/>
    <w:rsid w:val="00611629"/>
    <w:rsid w:val="00611679"/>
    <w:rsid w:val="0061174F"/>
    <w:rsid w:val="0061175D"/>
    <w:rsid w:val="006117A6"/>
    <w:rsid w:val="006117B8"/>
    <w:rsid w:val="00611852"/>
    <w:rsid w:val="006118B9"/>
    <w:rsid w:val="006118F3"/>
    <w:rsid w:val="006118F9"/>
    <w:rsid w:val="00611910"/>
    <w:rsid w:val="00611912"/>
    <w:rsid w:val="0061191A"/>
    <w:rsid w:val="00611927"/>
    <w:rsid w:val="00611993"/>
    <w:rsid w:val="006119AD"/>
    <w:rsid w:val="006119B9"/>
    <w:rsid w:val="00611A9C"/>
    <w:rsid w:val="00611AB0"/>
    <w:rsid w:val="00611AC3"/>
    <w:rsid w:val="00611AF2"/>
    <w:rsid w:val="00611B3F"/>
    <w:rsid w:val="00611BF5"/>
    <w:rsid w:val="00611BFD"/>
    <w:rsid w:val="00611C03"/>
    <w:rsid w:val="00611C3D"/>
    <w:rsid w:val="00611C6D"/>
    <w:rsid w:val="00611CD7"/>
    <w:rsid w:val="00611CDD"/>
    <w:rsid w:val="00611CDF"/>
    <w:rsid w:val="00611D00"/>
    <w:rsid w:val="00611D6D"/>
    <w:rsid w:val="00611E2C"/>
    <w:rsid w:val="00611E72"/>
    <w:rsid w:val="00611EBA"/>
    <w:rsid w:val="00611EC3"/>
    <w:rsid w:val="00611EFA"/>
    <w:rsid w:val="00611F0D"/>
    <w:rsid w:val="00611F98"/>
    <w:rsid w:val="00611FA6"/>
    <w:rsid w:val="00611FC1"/>
    <w:rsid w:val="00611FC6"/>
    <w:rsid w:val="0061205C"/>
    <w:rsid w:val="00612083"/>
    <w:rsid w:val="006120D8"/>
    <w:rsid w:val="006120ED"/>
    <w:rsid w:val="00612132"/>
    <w:rsid w:val="0061213D"/>
    <w:rsid w:val="0061214A"/>
    <w:rsid w:val="00612162"/>
    <w:rsid w:val="006121AF"/>
    <w:rsid w:val="006121DD"/>
    <w:rsid w:val="0061220E"/>
    <w:rsid w:val="006122C3"/>
    <w:rsid w:val="006122C9"/>
    <w:rsid w:val="006122DA"/>
    <w:rsid w:val="0061233A"/>
    <w:rsid w:val="00612386"/>
    <w:rsid w:val="00612392"/>
    <w:rsid w:val="006123D1"/>
    <w:rsid w:val="006123FB"/>
    <w:rsid w:val="00612411"/>
    <w:rsid w:val="00612437"/>
    <w:rsid w:val="0061243B"/>
    <w:rsid w:val="0061244B"/>
    <w:rsid w:val="00612493"/>
    <w:rsid w:val="006124A2"/>
    <w:rsid w:val="0061250E"/>
    <w:rsid w:val="0061251E"/>
    <w:rsid w:val="0061255D"/>
    <w:rsid w:val="0061260C"/>
    <w:rsid w:val="00612624"/>
    <w:rsid w:val="0061272E"/>
    <w:rsid w:val="00612730"/>
    <w:rsid w:val="006127CA"/>
    <w:rsid w:val="006127FD"/>
    <w:rsid w:val="00612842"/>
    <w:rsid w:val="0061285F"/>
    <w:rsid w:val="00612889"/>
    <w:rsid w:val="00612932"/>
    <w:rsid w:val="0061298B"/>
    <w:rsid w:val="0061299D"/>
    <w:rsid w:val="006129B9"/>
    <w:rsid w:val="00612A33"/>
    <w:rsid w:val="00612A74"/>
    <w:rsid w:val="00612AB5"/>
    <w:rsid w:val="00612AB8"/>
    <w:rsid w:val="00612AEE"/>
    <w:rsid w:val="00612B81"/>
    <w:rsid w:val="00612BDB"/>
    <w:rsid w:val="00612C1F"/>
    <w:rsid w:val="00612C29"/>
    <w:rsid w:val="00612C60"/>
    <w:rsid w:val="00612C79"/>
    <w:rsid w:val="00612C87"/>
    <w:rsid w:val="00612C9D"/>
    <w:rsid w:val="00612CAA"/>
    <w:rsid w:val="00612CB2"/>
    <w:rsid w:val="00612CF2"/>
    <w:rsid w:val="00612D28"/>
    <w:rsid w:val="00612D88"/>
    <w:rsid w:val="00612DAC"/>
    <w:rsid w:val="00612DC9"/>
    <w:rsid w:val="00612DF4"/>
    <w:rsid w:val="00612E01"/>
    <w:rsid w:val="00612E34"/>
    <w:rsid w:val="00612E56"/>
    <w:rsid w:val="00612E60"/>
    <w:rsid w:val="00612E8E"/>
    <w:rsid w:val="00612ED5"/>
    <w:rsid w:val="00612F03"/>
    <w:rsid w:val="00612F84"/>
    <w:rsid w:val="00612F9C"/>
    <w:rsid w:val="00613006"/>
    <w:rsid w:val="0061300B"/>
    <w:rsid w:val="0061300C"/>
    <w:rsid w:val="00613059"/>
    <w:rsid w:val="00613062"/>
    <w:rsid w:val="0061308A"/>
    <w:rsid w:val="0061309F"/>
    <w:rsid w:val="006130C0"/>
    <w:rsid w:val="006130D9"/>
    <w:rsid w:val="0061318B"/>
    <w:rsid w:val="00613192"/>
    <w:rsid w:val="00613206"/>
    <w:rsid w:val="0061321C"/>
    <w:rsid w:val="00613246"/>
    <w:rsid w:val="0061324C"/>
    <w:rsid w:val="0061327E"/>
    <w:rsid w:val="0061329F"/>
    <w:rsid w:val="00613302"/>
    <w:rsid w:val="00613335"/>
    <w:rsid w:val="00613346"/>
    <w:rsid w:val="0061336C"/>
    <w:rsid w:val="006133C2"/>
    <w:rsid w:val="0061345B"/>
    <w:rsid w:val="00613478"/>
    <w:rsid w:val="00613480"/>
    <w:rsid w:val="006134DD"/>
    <w:rsid w:val="0061350A"/>
    <w:rsid w:val="0061350C"/>
    <w:rsid w:val="0061352B"/>
    <w:rsid w:val="006135B0"/>
    <w:rsid w:val="006135EE"/>
    <w:rsid w:val="0061367F"/>
    <w:rsid w:val="00613706"/>
    <w:rsid w:val="0061370A"/>
    <w:rsid w:val="00613763"/>
    <w:rsid w:val="0061378E"/>
    <w:rsid w:val="00613795"/>
    <w:rsid w:val="0061379A"/>
    <w:rsid w:val="0061379C"/>
    <w:rsid w:val="0061379F"/>
    <w:rsid w:val="006137B0"/>
    <w:rsid w:val="0061384F"/>
    <w:rsid w:val="00613868"/>
    <w:rsid w:val="0061388F"/>
    <w:rsid w:val="006138A2"/>
    <w:rsid w:val="006138A7"/>
    <w:rsid w:val="006138B9"/>
    <w:rsid w:val="006139CB"/>
    <w:rsid w:val="006139F5"/>
    <w:rsid w:val="00613A08"/>
    <w:rsid w:val="00613A0D"/>
    <w:rsid w:val="00613A15"/>
    <w:rsid w:val="00613A38"/>
    <w:rsid w:val="00613AA9"/>
    <w:rsid w:val="00613ADC"/>
    <w:rsid w:val="00613B77"/>
    <w:rsid w:val="00613BCB"/>
    <w:rsid w:val="00613BD8"/>
    <w:rsid w:val="00613C00"/>
    <w:rsid w:val="00613C0B"/>
    <w:rsid w:val="00613D15"/>
    <w:rsid w:val="00613EB6"/>
    <w:rsid w:val="00613ED4"/>
    <w:rsid w:val="00613EF4"/>
    <w:rsid w:val="00613F0E"/>
    <w:rsid w:val="00613F9B"/>
    <w:rsid w:val="00614027"/>
    <w:rsid w:val="0061403F"/>
    <w:rsid w:val="00614144"/>
    <w:rsid w:val="00614177"/>
    <w:rsid w:val="00614199"/>
    <w:rsid w:val="006141AE"/>
    <w:rsid w:val="006141C4"/>
    <w:rsid w:val="006141CB"/>
    <w:rsid w:val="006141D4"/>
    <w:rsid w:val="006141F5"/>
    <w:rsid w:val="00614258"/>
    <w:rsid w:val="0061429B"/>
    <w:rsid w:val="006142A2"/>
    <w:rsid w:val="006142B4"/>
    <w:rsid w:val="006142C9"/>
    <w:rsid w:val="006142ED"/>
    <w:rsid w:val="00614302"/>
    <w:rsid w:val="00614307"/>
    <w:rsid w:val="00614343"/>
    <w:rsid w:val="0061434B"/>
    <w:rsid w:val="0061438F"/>
    <w:rsid w:val="0061444A"/>
    <w:rsid w:val="006144A1"/>
    <w:rsid w:val="006144AD"/>
    <w:rsid w:val="00614537"/>
    <w:rsid w:val="00614548"/>
    <w:rsid w:val="00614549"/>
    <w:rsid w:val="00614555"/>
    <w:rsid w:val="006145DB"/>
    <w:rsid w:val="006145F0"/>
    <w:rsid w:val="00614601"/>
    <w:rsid w:val="00614616"/>
    <w:rsid w:val="006146BA"/>
    <w:rsid w:val="00614745"/>
    <w:rsid w:val="00614765"/>
    <w:rsid w:val="006147A6"/>
    <w:rsid w:val="006147E4"/>
    <w:rsid w:val="006147E6"/>
    <w:rsid w:val="00614805"/>
    <w:rsid w:val="0061484B"/>
    <w:rsid w:val="00614876"/>
    <w:rsid w:val="006148A2"/>
    <w:rsid w:val="006148B7"/>
    <w:rsid w:val="00614974"/>
    <w:rsid w:val="00614975"/>
    <w:rsid w:val="006149D0"/>
    <w:rsid w:val="00614A34"/>
    <w:rsid w:val="00614ACF"/>
    <w:rsid w:val="00614AD0"/>
    <w:rsid w:val="00614B55"/>
    <w:rsid w:val="00614B6B"/>
    <w:rsid w:val="00614C3C"/>
    <w:rsid w:val="00614C4B"/>
    <w:rsid w:val="00614C60"/>
    <w:rsid w:val="00614C71"/>
    <w:rsid w:val="00614C97"/>
    <w:rsid w:val="00614D49"/>
    <w:rsid w:val="00614D53"/>
    <w:rsid w:val="00614D5A"/>
    <w:rsid w:val="00614DDC"/>
    <w:rsid w:val="00614DFE"/>
    <w:rsid w:val="00614E43"/>
    <w:rsid w:val="00614ED6"/>
    <w:rsid w:val="00614ED8"/>
    <w:rsid w:val="00614EDE"/>
    <w:rsid w:val="00614F0C"/>
    <w:rsid w:val="00614F2E"/>
    <w:rsid w:val="00614F37"/>
    <w:rsid w:val="00614F70"/>
    <w:rsid w:val="00614F7A"/>
    <w:rsid w:val="00614F7E"/>
    <w:rsid w:val="00614F9B"/>
    <w:rsid w:val="00614FA3"/>
    <w:rsid w:val="00614FF7"/>
    <w:rsid w:val="00615014"/>
    <w:rsid w:val="0061501F"/>
    <w:rsid w:val="0061505A"/>
    <w:rsid w:val="00615149"/>
    <w:rsid w:val="00615166"/>
    <w:rsid w:val="00615192"/>
    <w:rsid w:val="006151F9"/>
    <w:rsid w:val="00615283"/>
    <w:rsid w:val="00615345"/>
    <w:rsid w:val="00615396"/>
    <w:rsid w:val="006153F4"/>
    <w:rsid w:val="00615442"/>
    <w:rsid w:val="006154FA"/>
    <w:rsid w:val="006155BD"/>
    <w:rsid w:val="0061561E"/>
    <w:rsid w:val="00615647"/>
    <w:rsid w:val="0061567F"/>
    <w:rsid w:val="00615696"/>
    <w:rsid w:val="00615698"/>
    <w:rsid w:val="006156B1"/>
    <w:rsid w:val="006157B5"/>
    <w:rsid w:val="006157FC"/>
    <w:rsid w:val="00615805"/>
    <w:rsid w:val="0061580C"/>
    <w:rsid w:val="0061587E"/>
    <w:rsid w:val="006158B2"/>
    <w:rsid w:val="006158B8"/>
    <w:rsid w:val="006158BE"/>
    <w:rsid w:val="00615937"/>
    <w:rsid w:val="00615984"/>
    <w:rsid w:val="006159D6"/>
    <w:rsid w:val="00615A2E"/>
    <w:rsid w:val="00615A57"/>
    <w:rsid w:val="00615AE8"/>
    <w:rsid w:val="00615AF6"/>
    <w:rsid w:val="00615B16"/>
    <w:rsid w:val="00615B5A"/>
    <w:rsid w:val="00615B64"/>
    <w:rsid w:val="00615B84"/>
    <w:rsid w:val="00615BAC"/>
    <w:rsid w:val="00615BCC"/>
    <w:rsid w:val="00615BD8"/>
    <w:rsid w:val="00615C0D"/>
    <w:rsid w:val="00615C28"/>
    <w:rsid w:val="00615C36"/>
    <w:rsid w:val="00615CBB"/>
    <w:rsid w:val="00615CE2"/>
    <w:rsid w:val="00615D41"/>
    <w:rsid w:val="00615DAB"/>
    <w:rsid w:val="00615DAD"/>
    <w:rsid w:val="00615DD4"/>
    <w:rsid w:val="00615E32"/>
    <w:rsid w:val="00615EB8"/>
    <w:rsid w:val="00615EDA"/>
    <w:rsid w:val="00615F21"/>
    <w:rsid w:val="00615F45"/>
    <w:rsid w:val="00615FB6"/>
    <w:rsid w:val="00615FBC"/>
    <w:rsid w:val="00616069"/>
    <w:rsid w:val="00616091"/>
    <w:rsid w:val="0061614C"/>
    <w:rsid w:val="0061615C"/>
    <w:rsid w:val="00616187"/>
    <w:rsid w:val="006161EB"/>
    <w:rsid w:val="006162CA"/>
    <w:rsid w:val="00616421"/>
    <w:rsid w:val="0061647E"/>
    <w:rsid w:val="0061647F"/>
    <w:rsid w:val="00616493"/>
    <w:rsid w:val="006164C8"/>
    <w:rsid w:val="0061654B"/>
    <w:rsid w:val="00616567"/>
    <w:rsid w:val="006165BD"/>
    <w:rsid w:val="006166A6"/>
    <w:rsid w:val="006166B8"/>
    <w:rsid w:val="0061671C"/>
    <w:rsid w:val="00616793"/>
    <w:rsid w:val="00616828"/>
    <w:rsid w:val="00616866"/>
    <w:rsid w:val="006168A4"/>
    <w:rsid w:val="0061693E"/>
    <w:rsid w:val="006169A4"/>
    <w:rsid w:val="00616A12"/>
    <w:rsid w:val="00616C19"/>
    <w:rsid w:val="00616C36"/>
    <w:rsid w:val="00616C4A"/>
    <w:rsid w:val="00616C5C"/>
    <w:rsid w:val="00616CF1"/>
    <w:rsid w:val="00616CFC"/>
    <w:rsid w:val="00616DE5"/>
    <w:rsid w:val="00616E06"/>
    <w:rsid w:val="00616E28"/>
    <w:rsid w:val="00616E4D"/>
    <w:rsid w:val="00616E61"/>
    <w:rsid w:val="00616E88"/>
    <w:rsid w:val="00616EC1"/>
    <w:rsid w:val="00616ECE"/>
    <w:rsid w:val="00616ED4"/>
    <w:rsid w:val="00616FC4"/>
    <w:rsid w:val="00617016"/>
    <w:rsid w:val="00617041"/>
    <w:rsid w:val="0061705F"/>
    <w:rsid w:val="00617132"/>
    <w:rsid w:val="00617195"/>
    <w:rsid w:val="006171A7"/>
    <w:rsid w:val="006171C9"/>
    <w:rsid w:val="006171D4"/>
    <w:rsid w:val="00617225"/>
    <w:rsid w:val="00617232"/>
    <w:rsid w:val="006172DD"/>
    <w:rsid w:val="006172DE"/>
    <w:rsid w:val="00617344"/>
    <w:rsid w:val="0061735B"/>
    <w:rsid w:val="0061739F"/>
    <w:rsid w:val="006173A0"/>
    <w:rsid w:val="006173BA"/>
    <w:rsid w:val="006173F3"/>
    <w:rsid w:val="00617434"/>
    <w:rsid w:val="00617440"/>
    <w:rsid w:val="0061744C"/>
    <w:rsid w:val="0061745E"/>
    <w:rsid w:val="006174FB"/>
    <w:rsid w:val="00617502"/>
    <w:rsid w:val="00617514"/>
    <w:rsid w:val="0061756E"/>
    <w:rsid w:val="00617574"/>
    <w:rsid w:val="006175C0"/>
    <w:rsid w:val="006175DA"/>
    <w:rsid w:val="006175E2"/>
    <w:rsid w:val="006175FC"/>
    <w:rsid w:val="006175FE"/>
    <w:rsid w:val="0061762C"/>
    <w:rsid w:val="0061768A"/>
    <w:rsid w:val="0061768F"/>
    <w:rsid w:val="006176BD"/>
    <w:rsid w:val="00617734"/>
    <w:rsid w:val="0061776A"/>
    <w:rsid w:val="006177BB"/>
    <w:rsid w:val="006177F5"/>
    <w:rsid w:val="00617822"/>
    <w:rsid w:val="0061782C"/>
    <w:rsid w:val="0061785D"/>
    <w:rsid w:val="00617918"/>
    <w:rsid w:val="0061792C"/>
    <w:rsid w:val="0061794F"/>
    <w:rsid w:val="00617971"/>
    <w:rsid w:val="006179A1"/>
    <w:rsid w:val="006179D9"/>
    <w:rsid w:val="006179DC"/>
    <w:rsid w:val="00617A0B"/>
    <w:rsid w:val="00617A4C"/>
    <w:rsid w:val="00617AA6"/>
    <w:rsid w:val="00617B13"/>
    <w:rsid w:val="00617B1A"/>
    <w:rsid w:val="00617B56"/>
    <w:rsid w:val="00617C3F"/>
    <w:rsid w:val="00617C45"/>
    <w:rsid w:val="00617C68"/>
    <w:rsid w:val="00617C7A"/>
    <w:rsid w:val="00617CD2"/>
    <w:rsid w:val="00617DBA"/>
    <w:rsid w:val="00617E09"/>
    <w:rsid w:val="00617E32"/>
    <w:rsid w:val="00617E3D"/>
    <w:rsid w:val="00617E57"/>
    <w:rsid w:val="00617E86"/>
    <w:rsid w:val="00617F8F"/>
    <w:rsid w:val="00617FC9"/>
    <w:rsid w:val="00617FDC"/>
    <w:rsid w:val="00618F68"/>
    <w:rsid w:val="00620006"/>
    <w:rsid w:val="0062000B"/>
    <w:rsid w:val="00620047"/>
    <w:rsid w:val="006200B5"/>
    <w:rsid w:val="00620140"/>
    <w:rsid w:val="0062015E"/>
    <w:rsid w:val="00620177"/>
    <w:rsid w:val="006201B4"/>
    <w:rsid w:val="00620209"/>
    <w:rsid w:val="0062024C"/>
    <w:rsid w:val="00620329"/>
    <w:rsid w:val="006203BB"/>
    <w:rsid w:val="006203DD"/>
    <w:rsid w:val="00620475"/>
    <w:rsid w:val="00620497"/>
    <w:rsid w:val="006204CD"/>
    <w:rsid w:val="006204FB"/>
    <w:rsid w:val="0062057B"/>
    <w:rsid w:val="006205CF"/>
    <w:rsid w:val="006205DF"/>
    <w:rsid w:val="0062064F"/>
    <w:rsid w:val="00620697"/>
    <w:rsid w:val="006206C1"/>
    <w:rsid w:val="006206C6"/>
    <w:rsid w:val="00620709"/>
    <w:rsid w:val="00620722"/>
    <w:rsid w:val="00620758"/>
    <w:rsid w:val="0062076C"/>
    <w:rsid w:val="006207B1"/>
    <w:rsid w:val="0062080A"/>
    <w:rsid w:val="00620842"/>
    <w:rsid w:val="00620857"/>
    <w:rsid w:val="00620862"/>
    <w:rsid w:val="00620865"/>
    <w:rsid w:val="00620947"/>
    <w:rsid w:val="006209B7"/>
    <w:rsid w:val="006209CA"/>
    <w:rsid w:val="006209D4"/>
    <w:rsid w:val="00620A17"/>
    <w:rsid w:val="00620A20"/>
    <w:rsid w:val="00620A37"/>
    <w:rsid w:val="00620AD3"/>
    <w:rsid w:val="00620B75"/>
    <w:rsid w:val="00620B92"/>
    <w:rsid w:val="00620BDF"/>
    <w:rsid w:val="00620C2C"/>
    <w:rsid w:val="00620C39"/>
    <w:rsid w:val="00620C67"/>
    <w:rsid w:val="00620C97"/>
    <w:rsid w:val="00620CAD"/>
    <w:rsid w:val="00620CBF"/>
    <w:rsid w:val="00620D68"/>
    <w:rsid w:val="00620DB7"/>
    <w:rsid w:val="00620DD2"/>
    <w:rsid w:val="00620E62"/>
    <w:rsid w:val="00620E8D"/>
    <w:rsid w:val="00620E9C"/>
    <w:rsid w:val="00620F3B"/>
    <w:rsid w:val="00620F70"/>
    <w:rsid w:val="00620FF6"/>
    <w:rsid w:val="0062101C"/>
    <w:rsid w:val="0062102A"/>
    <w:rsid w:val="00621080"/>
    <w:rsid w:val="006210D8"/>
    <w:rsid w:val="006210E3"/>
    <w:rsid w:val="006210F3"/>
    <w:rsid w:val="00621102"/>
    <w:rsid w:val="00621115"/>
    <w:rsid w:val="00621137"/>
    <w:rsid w:val="0062115F"/>
    <w:rsid w:val="006211BE"/>
    <w:rsid w:val="0062125E"/>
    <w:rsid w:val="006212FF"/>
    <w:rsid w:val="00621396"/>
    <w:rsid w:val="006213A2"/>
    <w:rsid w:val="006213B6"/>
    <w:rsid w:val="006213BA"/>
    <w:rsid w:val="006213E1"/>
    <w:rsid w:val="00621404"/>
    <w:rsid w:val="0062141A"/>
    <w:rsid w:val="0062145D"/>
    <w:rsid w:val="0062149A"/>
    <w:rsid w:val="006214B9"/>
    <w:rsid w:val="0062154A"/>
    <w:rsid w:val="00621570"/>
    <w:rsid w:val="00621596"/>
    <w:rsid w:val="0062159F"/>
    <w:rsid w:val="006215B5"/>
    <w:rsid w:val="00621605"/>
    <w:rsid w:val="00621623"/>
    <w:rsid w:val="00621626"/>
    <w:rsid w:val="006216A2"/>
    <w:rsid w:val="006216A4"/>
    <w:rsid w:val="006216E1"/>
    <w:rsid w:val="006217EE"/>
    <w:rsid w:val="00621858"/>
    <w:rsid w:val="00621866"/>
    <w:rsid w:val="00621919"/>
    <w:rsid w:val="0062191F"/>
    <w:rsid w:val="00621970"/>
    <w:rsid w:val="006219DC"/>
    <w:rsid w:val="00621A04"/>
    <w:rsid w:val="00621A1E"/>
    <w:rsid w:val="00621A9B"/>
    <w:rsid w:val="00621AB2"/>
    <w:rsid w:val="00621B19"/>
    <w:rsid w:val="00621B28"/>
    <w:rsid w:val="00621B62"/>
    <w:rsid w:val="00621B77"/>
    <w:rsid w:val="00621BFB"/>
    <w:rsid w:val="00621C11"/>
    <w:rsid w:val="00621C13"/>
    <w:rsid w:val="00621C1E"/>
    <w:rsid w:val="00621C7B"/>
    <w:rsid w:val="00621C89"/>
    <w:rsid w:val="00621D12"/>
    <w:rsid w:val="00621D27"/>
    <w:rsid w:val="00621D41"/>
    <w:rsid w:val="00621D73"/>
    <w:rsid w:val="00621E2C"/>
    <w:rsid w:val="00621E32"/>
    <w:rsid w:val="00621EE9"/>
    <w:rsid w:val="00621F05"/>
    <w:rsid w:val="00621F75"/>
    <w:rsid w:val="00621FDC"/>
    <w:rsid w:val="00622055"/>
    <w:rsid w:val="0062207C"/>
    <w:rsid w:val="0062209A"/>
    <w:rsid w:val="006220CF"/>
    <w:rsid w:val="006220FA"/>
    <w:rsid w:val="00622156"/>
    <w:rsid w:val="00622235"/>
    <w:rsid w:val="0062226C"/>
    <w:rsid w:val="0062227D"/>
    <w:rsid w:val="00622288"/>
    <w:rsid w:val="006222B7"/>
    <w:rsid w:val="006222E8"/>
    <w:rsid w:val="0062233D"/>
    <w:rsid w:val="00622340"/>
    <w:rsid w:val="00622343"/>
    <w:rsid w:val="00622348"/>
    <w:rsid w:val="006223AB"/>
    <w:rsid w:val="006223CE"/>
    <w:rsid w:val="0062241F"/>
    <w:rsid w:val="00622422"/>
    <w:rsid w:val="0062242A"/>
    <w:rsid w:val="00622449"/>
    <w:rsid w:val="006224A9"/>
    <w:rsid w:val="0062251C"/>
    <w:rsid w:val="006225C7"/>
    <w:rsid w:val="006225D8"/>
    <w:rsid w:val="006225DF"/>
    <w:rsid w:val="006225E3"/>
    <w:rsid w:val="006225FB"/>
    <w:rsid w:val="00622608"/>
    <w:rsid w:val="00622677"/>
    <w:rsid w:val="0062268E"/>
    <w:rsid w:val="00622707"/>
    <w:rsid w:val="0062278E"/>
    <w:rsid w:val="006227AD"/>
    <w:rsid w:val="006228D5"/>
    <w:rsid w:val="00622927"/>
    <w:rsid w:val="0062297B"/>
    <w:rsid w:val="0062297D"/>
    <w:rsid w:val="00622983"/>
    <w:rsid w:val="00622992"/>
    <w:rsid w:val="0062299B"/>
    <w:rsid w:val="00622A04"/>
    <w:rsid w:val="00622A33"/>
    <w:rsid w:val="00622A62"/>
    <w:rsid w:val="00622AA7"/>
    <w:rsid w:val="00622AD9"/>
    <w:rsid w:val="00622B00"/>
    <w:rsid w:val="00622B08"/>
    <w:rsid w:val="00622B35"/>
    <w:rsid w:val="00622BC2"/>
    <w:rsid w:val="00622C32"/>
    <w:rsid w:val="00622CE0"/>
    <w:rsid w:val="00622D5B"/>
    <w:rsid w:val="00622D5F"/>
    <w:rsid w:val="00622D8C"/>
    <w:rsid w:val="00622E40"/>
    <w:rsid w:val="00622E47"/>
    <w:rsid w:val="00622E53"/>
    <w:rsid w:val="00622E6C"/>
    <w:rsid w:val="00622E8D"/>
    <w:rsid w:val="00622ED0"/>
    <w:rsid w:val="00622EF3"/>
    <w:rsid w:val="00622F08"/>
    <w:rsid w:val="00622F58"/>
    <w:rsid w:val="00622F65"/>
    <w:rsid w:val="00622FF4"/>
    <w:rsid w:val="00622FFD"/>
    <w:rsid w:val="00623009"/>
    <w:rsid w:val="00623029"/>
    <w:rsid w:val="0062307C"/>
    <w:rsid w:val="006230C7"/>
    <w:rsid w:val="0062322E"/>
    <w:rsid w:val="0062325E"/>
    <w:rsid w:val="00623271"/>
    <w:rsid w:val="00623309"/>
    <w:rsid w:val="00623311"/>
    <w:rsid w:val="00623351"/>
    <w:rsid w:val="0062338A"/>
    <w:rsid w:val="0062338E"/>
    <w:rsid w:val="006233C0"/>
    <w:rsid w:val="006233D9"/>
    <w:rsid w:val="0062342F"/>
    <w:rsid w:val="00623453"/>
    <w:rsid w:val="0062345D"/>
    <w:rsid w:val="00623482"/>
    <w:rsid w:val="0062348C"/>
    <w:rsid w:val="006234A9"/>
    <w:rsid w:val="006234AF"/>
    <w:rsid w:val="006234B2"/>
    <w:rsid w:val="00623514"/>
    <w:rsid w:val="00623536"/>
    <w:rsid w:val="00623545"/>
    <w:rsid w:val="0062356D"/>
    <w:rsid w:val="00623592"/>
    <w:rsid w:val="00623619"/>
    <w:rsid w:val="00623626"/>
    <w:rsid w:val="00623661"/>
    <w:rsid w:val="00623666"/>
    <w:rsid w:val="0062369B"/>
    <w:rsid w:val="006236A2"/>
    <w:rsid w:val="006236E0"/>
    <w:rsid w:val="0062373B"/>
    <w:rsid w:val="006237CB"/>
    <w:rsid w:val="006237F6"/>
    <w:rsid w:val="00623834"/>
    <w:rsid w:val="00623894"/>
    <w:rsid w:val="006238CE"/>
    <w:rsid w:val="006238E7"/>
    <w:rsid w:val="00623952"/>
    <w:rsid w:val="0062396A"/>
    <w:rsid w:val="006239C7"/>
    <w:rsid w:val="00623A52"/>
    <w:rsid w:val="00623A73"/>
    <w:rsid w:val="00623A86"/>
    <w:rsid w:val="00623A8C"/>
    <w:rsid w:val="00623A8D"/>
    <w:rsid w:val="00623AD5"/>
    <w:rsid w:val="00623B26"/>
    <w:rsid w:val="00623B7C"/>
    <w:rsid w:val="00623BC9"/>
    <w:rsid w:val="00623BF3"/>
    <w:rsid w:val="00623BF5"/>
    <w:rsid w:val="00623CA5"/>
    <w:rsid w:val="00623CE0"/>
    <w:rsid w:val="00623D02"/>
    <w:rsid w:val="00623D0C"/>
    <w:rsid w:val="00623D1A"/>
    <w:rsid w:val="00623D89"/>
    <w:rsid w:val="00623D9A"/>
    <w:rsid w:val="00623DAD"/>
    <w:rsid w:val="00623DB4"/>
    <w:rsid w:val="00623E03"/>
    <w:rsid w:val="00623E32"/>
    <w:rsid w:val="00623E82"/>
    <w:rsid w:val="00623E8F"/>
    <w:rsid w:val="00623F0C"/>
    <w:rsid w:val="00623F31"/>
    <w:rsid w:val="00623F6B"/>
    <w:rsid w:val="00623FA9"/>
    <w:rsid w:val="00623FDF"/>
    <w:rsid w:val="00624083"/>
    <w:rsid w:val="00624095"/>
    <w:rsid w:val="006240AA"/>
    <w:rsid w:val="006240C7"/>
    <w:rsid w:val="0062413D"/>
    <w:rsid w:val="00624168"/>
    <w:rsid w:val="006241B0"/>
    <w:rsid w:val="006241B1"/>
    <w:rsid w:val="00624235"/>
    <w:rsid w:val="00624274"/>
    <w:rsid w:val="00624277"/>
    <w:rsid w:val="00624281"/>
    <w:rsid w:val="006242A1"/>
    <w:rsid w:val="00624318"/>
    <w:rsid w:val="0062432C"/>
    <w:rsid w:val="0062434E"/>
    <w:rsid w:val="006243B6"/>
    <w:rsid w:val="00624419"/>
    <w:rsid w:val="00624421"/>
    <w:rsid w:val="00624461"/>
    <w:rsid w:val="00624470"/>
    <w:rsid w:val="0062448C"/>
    <w:rsid w:val="006244CE"/>
    <w:rsid w:val="006244FB"/>
    <w:rsid w:val="00624594"/>
    <w:rsid w:val="006245F5"/>
    <w:rsid w:val="00624621"/>
    <w:rsid w:val="0062471F"/>
    <w:rsid w:val="00624728"/>
    <w:rsid w:val="0062477C"/>
    <w:rsid w:val="0062485C"/>
    <w:rsid w:val="00624873"/>
    <w:rsid w:val="0062488F"/>
    <w:rsid w:val="00624903"/>
    <w:rsid w:val="0062499B"/>
    <w:rsid w:val="0062499D"/>
    <w:rsid w:val="00624A00"/>
    <w:rsid w:val="00624A46"/>
    <w:rsid w:val="00624A4D"/>
    <w:rsid w:val="00624ACC"/>
    <w:rsid w:val="00624B5C"/>
    <w:rsid w:val="00624B98"/>
    <w:rsid w:val="00624BAC"/>
    <w:rsid w:val="00624BDD"/>
    <w:rsid w:val="00624C04"/>
    <w:rsid w:val="00624C15"/>
    <w:rsid w:val="00624C5E"/>
    <w:rsid w:val="00624C69"/>
    <w:rsid w:val="00624CCF"/>
    <w:rsid w:val="00624D31"/>
    <w:rsid w:val="00624D63"/>
    <w:rsid w:val="00624D6D"/>
    <w:rsid w:val="00624D8D"/>
    <w:rsid w:val="00624DC1"/>
    <w:rsid w:val="00624DCF"/>
    <w:rsid w:val="00624DDC"/>
    <w:rsid w:val="00624E45"/>
    <w:rsid w:val="00624E4E"/>
    <w:rsid w:val="00624E77"/>
    <w:rsid w:val="00624EC0"/>
    <w:rsid w:val="00624ED4"/>
    <w:rsid w:val="00624EE8"/>
    <w:rsid w:val="00624F0E"/>
    <w:rsid w:val="00624F3E"/>
    <w:rsid w:val="00624FA2"/>
    <w:rsid w:val="00625019"/>
    <w:rsid w:val="00625036"/>
    <w:rsid w:val="006250B5"/>
    <w:rsid w:val="006251A9"/>
    <w:rsid w:val="0062521C"/>
    <w:rsid w:val="00625250"/>
    <w:rsid w:val="006252CB"/>
    <w:rsid w:val="006252EF"/>
    <w:rsid w:val="0062535E"/>
    <w:rsid w:val="0062537A"/>
    <w:rsid w:val="006254FD"/>
    <w:rsid w:val="00625502"/>
    <w:rsid w:val="00625568"/>
    <w:rsid w:val="00625576"/>
    <w:rsid w:val="0062558D"/>
    <w:rsid w:val="00625662"/>
    <w:rsid w:val="0062568D"/>
    <w:rsid w:val="006256C2"/>
    <w:rsid w:val="006256D5"/>
    <w:rsid w:val="006256E3"/>
    <w:rsid w:val="00625736"/>
    <w:rsid w:val="00625752"/>
    <w:rsid w:val="0062577D"/>
    <w:rsid w:val="00625787"/>
    <w:rsid w:val="0062578E"/>
    <w:rsid w:val="006257AC"/>
    <w:rsid w:val="006257B7"/>
    <w:rsid w:val="006257F7"/>
    <w:rsid w:val="00625820"/>
    <w:rsid w:val="006258BE"/>
    <w:rsid w:val="00625930"/>
    <w:rsid w:val="00625985"/>
    <w:rsid w:val="00625994"/>
    <w:rsid w:val="006259D1"/>
    <w:rsid w:val="006259FB"/>
    <w:rsid w:val="00625A60"/>
    <w:rsid w:val="00625AA5"/>
    <w:rsid w:val="00625AC0"/>
    <w:rsid w:val="00625B5F"/>
    <w:rsid w:val="00625B6E"/>
    <w:rsid w:val="00625BDF"/>
    <w:rsid w:val="00625BF5"/>
    <w:rsid w:val="00625C00"/>
    <w:rsid w:val="00625C19"/>
    <w:rsid w:val="00625C5F"/>
    <w:rsid w:val="00625CDC"/>
    <w:rsid w:val="00625D5F"/>
    <w:rsid w:val="00625D92"/>
    <w:rsid w:val="00625D93"/>
    <w:rsid w:val="00625D98"/>
    <w:rsid w:val="00625DB9"/>
    <w:rsid w:val="00625DE2"/>
    <w:rsid w:val="00625E0A"/>
    <w:rsid w:val="00625EA1"/>
    <w:rsid w:val="00625ECA"/>
    <w:rsid w:val="00625F7C"/>
    <w:rsid w:val="00625FF6"/>
    <w:rsid w:val="00626020"/>
    <w:rsid w:val="00626066"/>
    <w:rsid w:val="00626098"/>
    <w:rsid w:val="006260A8"/>
    <w:rsid w:val="006260B5"/>
    <w:rsid w:val="006260ED"/>
    <w:rsid w:val="00626113"/>
    <w:rsid w:val="006261A0"/>
    <w:rsid w:val="006261B7"/>
    <w:rsid w:val="0062620D"/>
    <w:rsid w:val="00626241"/>
    <w:rsid w:val="0062624B"/>
    <w:rsid w:val="00626278"/>
    <w:rsid w:val="00626313"/>
    <w:rsid w:val="0062632C"/>
    <w:rsid w:val="006263C3"/>
    <w:rsid w:val="006263F1"/>
    <w:rsid w:val="006263F6"/>
    <w:rsid w:val="00626467"/>
    <w:rsid w:val="006264E0"/>
    <w:rsid w:val="006264E7"/>
    <w:rsid w:val="00626551"/>
    <w:rsid w:val="006265C3"/>
    <w:rsid w:val="0062663A"/>
    <w:rsid w:val="00626689"/>
    <w:rsid w:val="00626690"/>
    <w:rsid w:val="0062671C"/>
    <w:rsid w:val="0062676B"/>
    <w:rsid w:val="006267B9"/>
    <w:rsid w:val="006267C1"/>
    <w:rsid w:val="006267CD"/>
    <w:rsid w:val="006267E7"/>
    <w:rsid w:val="00626836"/>
    <w:rsid w:val="00626847"/>
    <w:rsid w:val="00626896"/>
    <w:rsid w:val="006268E2"/>
    <w:rsid w:val="00626935"/>
    <w:rsid w:val="0062693C"/>
    <w:rsid w:val="00626954"/>
    <w:rsid w:val="006269ED"/>
    <w:rsid w:val="00626A82"/>
    <w:rsid w:val="00626AB2"/>
    <w:rsid w:val="00626ABB"/>
    <w:rsid w:val="00626AD7"/>
    <w:rsid w:val="00626AE0"/>
    <w:rsid w:val="00626B12"/>
    <w:rsid w:val="00626B94"/>
    <w:rsid w:val="00626BA6"/>
    <w:rsid w:val="00626BE0"/>
    <w:rsid w:val="00626C52"/>
    <w:rsid w:val="00626C5A"/>
    <w:rsid w:val="00626C96"/>
    <w:rsid w:val="00626CC7"/>
    <w:rsid w:val="00626CEE"/>
    <w:rsid w:val="00626D02"/>
    <w:rsid w:val="00626D0D"/>
    <w:rsid w:val="00626D2C"/>
    <w:rsid w:val="00626D2D"/>
    <w:rsid w:val="00626D39"/>
    <w:rsid w:val="00626DAA"/>
    <w:rsid w:val="00626DAD"/>
    <w:rsid w:val="00626DB3"/>
    <w:rsid w:val="00626ED0"/>
    <w:rsid w:val="00626EF2"/>
    <w:rsid w:val="00626F3E"/>
    <w:rsid w:val="00626FC1"/>
    <w:rsid w:val="006270AC"/>
    <w:rsid w:val="00627127"/>
    <w:rsid w:val="00627137"/>
    <w:rsid w:val="0062716C"/>
    <w:rsid w:val="006271E4"/>
    <w:rsid w:val="00627242"/>
    <w:rsid w:val="0062729D"/>
    <w:rsid w:val="006273B4"/>
    <w:rsid w:val="006273BA"/>
    <w:rsid w:val="006273C3"/>
    <w:rsid w:val="006273F0"/>
    <w:rsid w:val="006273F9"/>
    <w:rsid w:val="0062743A"/>
    <w:rsid w:val="006274AC"/>
    <w:rsid w:val="006274B3"/>
    <w:rsid w:val="006274C1"/>
    <w:rsid w:val="006274F0"/>
    <w:rsid w:val="006274F2"/>
    <w:rsid w:val="0062752C"/>
    <w:rsid w:val="0062759D"/>
    <w:rsid w:val="0062765D"/>
    <w:rsid w:val="0062768B"/>
    <w:rsid w:val="006276DB"/>
    <w:rsid w:val="006276EB"/>
    <w:rsid w:val="00627710"/>
    <w:rsid w:val="0062772A"/>
    <w:rsid w:val="006277E7"/>
    <w:rsid w:val="00627884"/>
    <w:rsid w:val="006278CD"/>
    <w:rsid w:val="0062792A"/>
    <w:rsid w:val="00627990"/>
    <w:rsid w:val="00627AAE"/>
    <w:rsid w:val="00627ACA"/>
    <w:rsid w:val="00627AEE"/>
    <w:rsid w:val="00627B33"/>
    <w:rsid w:val="00627BC8"/>
    <w:rsid w:val="00627BD2"/>
    <w:rsid w:val="00627C11"/>
    <w:rsid w:val="00627C16"/>
    <w:rsid w:val="00627C1A"/>
    <w:rsid w:val="00627C61"/>
    <w:rsid w:val="00627CA0"/>
    <w:rsid w:val="00627CF3"/>
    <w:rsid w:val="00627E45"/>
    <w:rsid w:val="00627E5A"/>
    <w:rsid w:val="00627E7E"/>
    <w:rsid w:val="00627EC7"/>
    <w:rsid w:val="00627F08"/>
    <w:rsid w:val="00627F17"/>
    <w:rsid w:val="00627F70"/>
    <w:rsid w:val="00627FF4"/>
    <w:rsid w:val="00630006"/>
    <w:rsid w:val="00630088"/>
    <w:rsid w:val="006300A0"/>
    <w:rsid w:val="006300D5"/>
    <w:rsid w:val="00630120"/>
    <w:rsid w:val="0063012B"/>
    <w:rsid w:val="006301DF"/>
    <w:rsid w:val="006301FA"/>
    <w:rsid w:val="0063023B"/>
    <w:rsid w:val="0063024A"/>
    <w:rsid w:val="00630270"/>
    <w:rsid w:val="006302AC"/>
    <w:rsid w:val="006302B3"/>
    <w:rsid w:val="006302B6"/>
    <w:rsid w:val="006302C0"/>
    <w:rsid w:val="006303DC"/>
    <w:rsid w:val="006303EC"/>
    <w:rsid w:val="006303EF"/>
    <w:rsid w:val="00630409"/>
    <w:rsid w:val="0063048B"/>
    <w:rsid w:val="006304BE"/>
    <w:rsid w:val="00630551"/>
    <w:rsid w:val="00630621"/>
    <w:rsid w:val="0063063D"/>
    <w:rsid w:val="00630674"/>
    <w:rsid w:val="006306B9"/>
    <w:rsid w:val="006306D6"/>
    <w:rsid w:val="00630704"/>
    <w:rsid w:val="0063072B"/>
    <w:rsid w:val="0063072D"/>
    <w:rsid w:val="00630734"/>
    <w:rsid w:val="00630735"/>
    <w:rsid w:val="00630797"/>
    <w:rsid w:val="006307FD"/>
    <w:rsid w:val="00630823"/>
    <w:rsid w:val="00630833"/>
    <w:rsid w:val="0063086E"/>
    <w:rsid w:val="006308A7"/>
    <w:rsid w:val="0063090D"/>
    <w:rsid w:val="006309B9"/>
    <w:rsid w:val="006309C1"/>
    <w:rsid w:val="006309DF"/>
    <w:rsid w:val="006309E4"/>
    <w:rsid w:val="00630A01"/>
    <w:rsid w:val="00630A0A"/>
    <w:rsid w:val="00630A13"/>
    <w:rsid w:val="00630A1B"/>
    <w:rsid w:val="00630A32"/>
    <w:rsid w:val="00630B80"/>
    <w:rsid w:val="00630BC0"/>
    <w:rsid w:val="00630C7D"/>
    <w:rsid w:val="00630C8C"/>
    <w:rsid w:val="00630D14"/>
    <w:rsid w:val="00630D2F"/>
    <w:rsid w:val="00630D4B"/>
    <w:rsid w:val="00630D57"/>
    <w:rsid w:val="00630D5D"/>
    <w:rsid w:val="00630D73"/>
    <w:rsid w:val="00630DB0"/>
    <w:rsid w:val="00630DFF"/>
    <w:rsid w:val="00630E71"/>
    <w:rsid w:val="00630EDF"/>
    <w:rsid w:val="00630FA6"/>
    <w:rsid w:val="00630FAA"/>
    <w:rsid w:val="00630FD9"/>
    <w:rsid w:val="00631042"/>
    <w:rsid w:val="0063108E"/>
    <w:rsid w:val="006310AA"/>
    <w:rsid w:val="00631111"/>
    <w:rsid w:val="0063111A"/>
    <w:rsid w:val="00631215"/>
    <w:rsid w:val="0063126C"/>
    <w:rsid w:val="00631287"/>
    <w:rsid w:val="006312B2"/>
    <w:rsid w:val="006312ED"/>
    <w:rsid w:val="006313CB"/>
    <w:rsid w:val="006313CF"/>
    <w:rsid w:val="006313E0"/>
    <w:rsid w:val="00631450"/>
    <w:rsid w:val="00631490"/>
    <w:rsid w:val="0063149B"/>
    <w:rsid w:val="006314CA"/>
    <w:rsid w:val="006314FA"/>
    <w:rsid w:val="0063152C"/>
    <w:rsid w:val="00631530"/>
    <w:rsid w:val="00631578"/>
    <w:rsid w:val="00631587"/>
    <w:rsid w:val="006315A7"/>
    <w:rsid w:val="006315B6"/>
    <w:rsid w:val="006315E1"/>
    <w:rsid w:val="006316D9"/>
    <w:rsid w:val="00631709"/>
    <w:rsid w:val="00631725"/>
    <w:rsid w:val="006317B6"/>
    <w:rsid w:val="006317F9"/>
    <w:rsid w:val="00631817"/>
    <w:rsid w:val="006318D5"/>
    <w:rsid w:val="00631937"/>
    <w:rsid w:val="006319E3"/>
    <w:rsid w:val="00631B9F"/>
    <w:rsid w:val="00631BB6"/>
    <w:rsid w:val="00631C2C"/>
    <w:rsid w:val="00631C35"/>
    <w:rsid w:val="00631C96"/>
    <w:rsid w:val="00631CBD"/>
    <w:rsid w:val="00631CC0"/>
    <w:rsid w:val="00631CD6"/>
    <w:rsid w:val="00631DFC"/>
    <w:rsid w:val="00631E27"/>
    <w:rsid w:val="00631E96"/>
    <w:rsid w:val="00631EC9"/>
    <w:rsid w:val="00631F06"/>
    <w:rsid w:val="00631F2C"/>
    <w:rsid w:val="00631F77"/>
    <w:rsid w:val="00631FF7"/>
    <w:rsid w:val="0063201A"/>
    <w:rsid w:val="00632031"/>
    <w:rsid w:val="0063205B"/>
    <w:rsid w:val="00632103"/>
    <w:rsid w:val="00632111"/>
    <w:rsid w:val="00632153"/>
    <w:rsid w:val="00632175"/>
    <w:rsid w:val="0063219E"/>
    <w:rsid w:val="006321F2"/>
    <w:rsid w:val="00632228"/>
    <w:rsid w:val="006322A8"/>
    <w:rsid w:val="00632303"/>
    <w:rsid w:val="00632355"/>
    <w:rsid w:val="0063239B"/>
    <w:rsid w:val="00632405"/>
    <w:rsid w:val="0063241E"/>
    <w:rsid w:val="0063242A"/>
    <w:rsid w:val="00632452"/>
    <w:rsid w:val="0063246B"/>
    <w:rsid w:val="006324B5"/>
    <w:rsid w:val="006324FA"/>
    <w:rsid w:val="00632502"/>
    <w:rsid w:val="0063250C"/>
    <w:rsid w:val="0063252F"/>
    <w:rsid w:val="0063256B"/>
    <w:rsid w:val="00632577"/>
    <w:rsid w:val="0063257C"/>
    <w:rsid w:val="00632592"/>
    <w:rsid w:val="006325DD"/>
    <w:rsid w:val="0063266A"/>
    <w:rsid w:val="0063272B"/>
    <w:rsid w:val="00632740"/>
    <w:rsid w:val="0063276D"/>
    <w:rsid w:val="00632785"/>
    <w:rsid w:val="006327BE"/>
    <w:rsid w:val="006327C7"/>
    <w:rsid w:val="0063280D"/>
    <w:rsid w:val="00632814"/>
    <w:rsid w:val="00632865"/>
    <w:rsid w:val="0063286F"/>
    <w:rsid w:val="00632879"/>
    <w:rsid w:val="006328F7"/>
    <w:rsid w:val="0063291B"/>
    <w:rsid w:val="00632951"/>
    <w:rsid w:val="006329AE"/>
    <w:rsid w:val="006329EE"/>
    <w:rsid w:val="006329F1"/>
    <w:rsid w:val="00632A2A"/>
    <w:rsid w:val="00632A2E"/>
    <w:rsid w:val="00632A31"/>
    <w:rsid w:val="00632A43"/>
    <w:rsid w:val="00632A60"/>
    <w:rsid w:val="00632AF4"/>
    <w:rsid w:val="00632B12"/>
    <w:rsid w:val="00632B20"/>
    <w:rsid w:val="00632B4B"/>
    <w:rsid w:val="00632BB8"/>
    <w:rsid w:val="00632BF1"/>
    <w:rsid w:val="00632C0E"/>
    <w:rsid w:val="00632C39"/>
    <w:rsid w:val="00632CE2"/>
    <w:rsid w:val="00632D56"/>
    <w:rsid w:val="00632D82"/>
    <w:rsid w:val="00632DC8"/>
    <w:rsid w:val="00632DF0"/>
    <w:rsid w:val="00632E2D"/>
    <w:rsid w:val="00632E30"/>
    <w:rsid w:val="00632E72"/>
    <w:rsid w:val="00632EFC"/>
    <w:rsid w:val="00632F00"/>
    <w:rsid w:val="00632F12"/>
    <w:rsid w:val="00632FA0"/>
    <w:rsid w:val="00632FA4"/>
    <w:rsid w:val="00632FAB"/>
    <w:rsid w:val="00633037"/>
    <w:rsid w:val="00633055"/>
    <w:rsid w:val="0063305C"/>
    <w:rsid w:val="0063307C"/>
    <w:rsid w:val="00633170"/>
    <w:rsid w:val="006331D8"/>
    <w:rsid w:val="006332C6"/>
    <w:rsid w:val="006332D1"/>
    <w:rsid w:val="006332F3"/>
    <w:rsid w:val="00633316"/>
    <w:rsid w:val="0063331E"/>
    <w:rsid w:val="00633340"/>
    <w:rsid w:val="0063334C"/>
    <w:rsid w:val="00633406"/>
    <w:rsid w:val="00633533"/>
    <w:rsid w:val="0063354A"/>
    <w:rsid w:val="00633589"/>
    <w:rsid w:val="0063359C"/>
    <w:rsid w:val="0063360E"/>
    <w:rsid w:val="00633654"/>
    <w:rsid w:val="006336DC"/>
    <w:rsid w:val="0063370E"/>
    <w:rsid w:val="00633739"/>
    <w:rsid w:val="00633767"/>
    <w:rsid w:val="00633790"/>
    <w:rsid w:val="006337B9"/>
    <w:rsid w:val="0063380B"/>
    <w:rsid w:val="00633869"/>
    <w:rsid w:val="006338B2"/>
    <w:rsid w:val="006338B6"/>
    <w:rsid w:val="00633953"/>
    <w:rsid w:val="00633960"/>
    <w:rsid w:val="0063397D"/>
    <w:rsid w:val="006339B9"/>
    <w:rsid w:val="006339C3"/>
    <w:rsid w:val="006339C6"/>
    <w:rsid w:val="00633A08"/>
    <w:rsid w:val="00633A13"/>
    <w:rsid w:val="00633A30"/>
    <w:rsid w:val="00633A62"/>
    <w:rsid w:val="00633A9B"/>
    <w:rsid w:val="00633ABA"/>
    <w:rsid w:val="00633AF2"/>
    <w:rsid w:val="00633AF4"/>
    <w:rsid w:val="00633B02"/>
    <w:rsid w:val="00633B47"/>
    <w:rsid w:val="00633B62"/>
    <w:rsid w:val="00633B74"/>
    <w:rsid w:val="00633B88"/>
    <w:rsid w:val="00633BAC"/>
    <w:rsid w:val="00633BE6"/>
    <w:rsid w:val="00633C2B"/>
    <w:rsid w:val="00633C9D"/>
    <w:rsid w:val="00633CDA"/>
    <w:rsid w:val="00633D40"/>
    <w:rsid w:val="00633D49"/>
    <w:rsid w:val="00633DA6"/>
    <w:rsid w:val="00633DA9"/>
    <w:rsid w:val="00633DCB"/>
    <w:rsid w:val="00633E19"/>
    <w:rsid w:val="00633E54"/>
    <w:rsid w:val="00633E58"/>
    <w:rsid w:val="00633EB2"/>
    <w:rsid w:val="00633EFF"/>
    <w:rsid w:val="00633F0A"/>
    <w:rsid w:val="00633F16"/>
    <w:rsid w:val="00633F34"/>
    <w:rsid w:val="00633F72"/>
    <w:rsid w:val="00633FA1"/>
    <w:rsid w:val="00633FDE"/>
    <w:rsid w:val="0063400E"/>
    <w:rsid w:val="00634019"/>
    <w:rsid w:val="00634088"/>
    <w:rsid w:val="006340D2"/>
    <w:rsid w:val="006341C1"/>
    <w:rsid w:val="00634220"/>
    <w:rsid w:val="00634255"/>
    <w:rsid w:val="00634279"/>
    <w:rsid w:val="00634286"/>
    <w:rsid w:val="006342BF"/>
    <w:rsid w:val="0063435C"/>
    <w:rsid w:val="00634397"/>
    <w:rsid w:val="00634399"/>
    <w:rsid w:val="006343AF"/>
    <w:rsid w:val="006343BB"/>
    <w:rsid w:val="006343CE"/>
    <w:rsid w:val="00634400"/>
    <w:rsid w:val="00634463"/>
    <w:rsid w:val="00634479"/>
    <w:rsid w:val="0063448A"/>
    <w:rsid w:val="006344FA"/>
    <w:rsid w:val="00634504"/>
    <w:rsid w:val="00634575"/>
    <w:rsid w:val="006345FA"/>
    <w:rsid w:val="00634627"/>
    <w:rsid w:val="00634631"/>
    <w:rsid w:val="00634664"/>
    <w:rsid w:val="006346B8"/>
    <w:rsid w:val="00634719"/>
    <w:rsid w:val="0063472B"/>
    <w:rsid w:val="00634764"/>
    <w:rsid w:val="00634811"/>
    <w:rsid w:val="0063481E"/>
    <w:rsid w:val="006348AD"/>
    <w:rsid w:val="006348E5"/>
    <w:rsid w:val="00634907"/>
    <w:rsid w:val="00634927"/>
    <w:rsid w:val="00634968"/>
    <w:rsid w:val="00634982"/>
    <w:rsid w:val="00634AC6"/>
    <w:rsid w:val="00634BF8"/>
    <w:rsid w:val="00634C50"/>
    <w:rsid w:val="00634D5C"/>
    <w:rsid w:val="00634E09"/>
    <w:rsid w:val="00634EE1"/>
    <w:rsid w:val="00634EFA"/>
    <w:rsid w:val="00634F24"/>
    <w:rsid w:val="00634F82"/>
    <w:rsid w:val="00634F96"/>
    <w:rsid w:val="00634F99"/>
    <w:rsid w:val="00634FD1"/>
    <w:rsid w:val="00634FD5"/>
    <w:rsid w:val="00635061"/>
    <w:rsid w:val="0063507D"/>
    <w:rsid w:val="006350B8"/>
    <w:rsid w:val="006350BF"/>
    <w:rsid w:val="0063511A"/>
    <w:rsid w:val="00635170"/>
    <w:rsid w:val="0063517E"/>
    <w:rsid w:val="00635182"/>
    <w:rsid w:val="0063521E"/>
    <w:rsid w:val="0063527B"/>
    <w:rsid w:val="006352F6"/>
    <w:rsid w:val="00635308"/>
    <w:rsid w:val="0063532A"/>
    <w:rsid w:val="0063533D"/>
    <w:rsid w:val="006353B9"/>
    <w:rsid w:val="006354A3"/>
    <w:rsid w:val="006354EE"/>
    <w:rsid w:val="0063552F"/>
    <w:rsid w:val="00635548"/>
    <w:rsid w:val="0063558A"/>
    <w:rsid w:val="006355A1"/>
    <w:rsid w:val="0063560C"/>
    <w:rsid w:val="00635655"/>
    <w:rsid w:val="00635659"/>
    <w:rsid w:val="00635670"/>
    <w:rsid w:val="006356AC"/>
    <w:rsid w:val="006356C2"/>
    <w:rsid w:val="006356F4"/>
    <w:rsid w:val="00635702"/>
    <w:rsid w:val="00635758"/>
    <w:rsid w:val="00635787"/>
    <w:rsid w:val="0063578A"/>
    <w:rsid w:val="00635790"/>
    <w:rsid w:val="006357E1"/>
    <w:rsid w:val="0063585A"/>
    <w:rsid w:val="00635872"/>
    <w:rsid w:val="006358A8"/>
    <w:rsid w:val="006358AB"/>
    <w:rsid w:val="006358BF"/>
    <w:rsid w:val="00635903"/>
    <w:rsid w:val="00635904"/>
    <w:rsid w:val="0063594F"/>
    <w:rsid w:val="00635982"/>
    <w:rsid w:val="006359B4"/>
    <w:rsid w:val="00635A3E"/>
    <w:rsid w:val="00635A8F"/>
    <w:rsid w:val="00635AE0"/>
    <w:rsid w:val="00635B37"/>
    <w:rsid w:val="00635BE6"/>
    <w:rsid w:val="00635CCC"/>
    <w:rsid w:val="00635CF7"/>
    <w:rsid w:val="00635D4C"/>
    <w:rsid w:val="00635D51"/>
    <w:rsid w:val="00635D6B"/>
    <w:rsid w:val="00635D7D"/>
    <w:rsid w:val="00635D8D"/>
    <w:rsid w:val="00635DB5"/>
    <w:rsid w:val="00635DC2"/>
    <w:rsid w:val="00635EBF"/>
    <w:rsid w:val="00635ECF"/>
    <w:rsid w:val="00635EDD"/>
    <w:rsid w:val="00635EDE"/>
    <w:rsid w:val="00635F01"/>
    <w:rsid w:val="00635F2E"/>
    <w:rsid w:val="00635F71"/>
    <w:rsid w:val="00635F84"/>
    <w:rsid w:val="00635FC5"/>
    <w:rsid w:val="00635FE6"/>
    <w:rsid w:val="00636091"/>
    <w:rsid w:val="006360C6"/>
    <w:rsid w:val="00636127"/>
    <w:rsid w:val="0063612C"/>
    <w:rsid w:val="00636227"/>
    <w:rsid w:val="0063624E"/>
    <w:rsid w:val="00636279"/>
    <w:rsid w:val="00636297"/>
    <w:rsid w:val="006362F6"/>
    <w:rsid w:val="0063635B"/>
    <w:rsid w:val="006363C7"/>
    <w:rsid w:val="0063648E"/>
    <w:rsid w:val="006364C3"/>
    <w:rsid w:val="006364C6"/>
    <w:rsid w:val="006364D2"/>
    <w:rsid w:val="006364D9"/>
    <w:rsid w:val="006364E8"/>
    <w:rsid w:val="00636501"/>
    <w:rsid w:val="00636528"/>
    <w:rsid w:val="0063652F"/>
    <w:rsid w:val="00636531"/>
    <w:rsid w:val="00636540"/>
    <w:rsid w:val="00636542"/>
    <w:rsid w:val="00636581"/>
    <w:rsid w:val="00636588"/>
    <w:rsid w:val="006365DB"/>
    <w:rsid w:val="006365DE"/>
    <w:rsid w:val="00636646"/>
    <w:rsid w:val="0063668D"/>
    <w:rsid w:val="006366B9"/>
    <w:rsid w:val="0063670D"/>
    <w:rsid w:val="0063680C"/>
    <w:rsid w:val="0063699F"/>
    <w:rsid w:val="006369CA"/>
    <w:rsid w:val="006369FA"/>
    <w:rsid w:val="00636A7B"/>
    <w:rsid w:val="00636B3B"/>
    <w:rsid w:val="00636B7D"/>
    <w:rsid w:val="00636BB4"/>
    <w:rsid w:val="00636C05"/>
    <w:rsid w:val="00636C3E"/>
    <w:rsid w:val="00636CEE"/>
    <w:rsid w:val="00636D2F"/>
    <w:rsid w:val="00636D4B"/>
    <w:rsid w:val="00636D57"/>
    <w:rsid w:val="00636D65"/>
    <w:rsid w:val="00636D8B"/>
    <w:rsid w:val="00636DED"/>
    <w:rsid w:val="00636E1F"/>
    <w:rsid w:val="00636E26"/>
    <w:rsid w:val="00636E56"/>
    <w:rsid w:val="00636EF8"/>
    <w:rsid w:val="00636F9A"/>
    <w:rsid w:val="0063701F"/>
    <w:rsid w:val="006370A1"/>
    <w:rsid w:val="006370EC"/>
    <w:rsid w:val="0063712C"/>
    <w:rsid w:val="00637145"/>
    <w:rsid w:val="00637166"/>
    <w:rsid w:val="00637183"/>
    <w:rsid w:val="00637189"/>
    <w:rsid w:val="00637192"/>
    <w:rsid w:val="0063719D"/>
    <w:rsid w:val="006371A4"/>
    <w:rsid w:val="00637323"/>
    <w:rsid w:val="00637340"/>
    <w:rsid w:val="00637363"/>
    <w:rsid w:val="0063738C"/>
    <w:rsid w:val="0063738F"/>
    <w:rsid w:val="00637455"/>
    <w:rsid w:val="00637469"/>
    <w:rsid w:val="0063749A"/>
    <w:rsid w:val="006374A2"/>
    <w:rsid w:val="006374DB"/>
    <w:rsid w:val="006374E8"/>
    <w:rsid w:val="006374F4"/>
    <w:rsid w:val="0063750F"/>
    <w:rsid w:val="006375BA"/>
    <w:rsid w:val="0063765C"/>
    <w:rsid w:val="00637668"/>
    <w:rsid w:val="0063766F"/>
    <w:rsid w:val="00637682"/>
    <w:rsid w:val="00637762"/>
    <w:rsid w:val="0063778C"/>
    <w:rsid w:val="00637792"/>
    <w:rsid w:val="006377C5"/>
    <w:rsid w:val="006378E9"/>
    <w:rsid w:val="006378F9"/>
    <w:rsid w:val="0063796F"/>
    <w:rsid w:val="00637982"/>
    <w:rsid w:val="00637A09"/>
    <w:rsid w:val="00637A41"/>
    <w:rsid w:val="00637A51"/>
    <w:rsid w:val="00637AB7"/>
    <w:rsid w:val="00637ACC"/>
    <w:rsid w:val="00637B19"/>
    <w:rsid w:val="00637B90"/>
    <w:rsid w:val="00637BB2"/>
    <w:rsid w:val="00637BD3"/>
    <w:rsid w:val="00637BE7"/>
    <w:rsid w:val="00637C34"/>
    <w:rsid w:val="00637CCE"/>
    <w:rsid w:val="00637D3C"/>
    <w:rsid w:val="00637D8E"/>
    <w:rsid w:val="00637DBC"/>
    <w:rsid w:val="00637DF4"/>
    <w:rsid w:val="00637DFD"/>
    <w:rsid w:val="00637E02"/>
    <w:rsid w:val="00637E03"/>
    <w:rsid w:val="00637E07"/>
    <w:rsid w:val="00637EA4"/>
    <w:rsid w:val="00637EE5"/>
    <w:rsid w:val="00637EF0"/>
    <w:rsid w:val="00637F39"/>
    <w:rsid w:val="00637F71"/>
    <w:rsid w:val="00637F8F"/>
    <w:rsid w:val="00637FB3"/>
    <w:rsid w:val="00637FB6"/>
    <w:rsid w:val="00637FCF"/>
    <w:rsid w:val="00637FDA"/>
    <w:rsid w:val="006400BB"/>
    <w:rsid w:val="006400F0"/>
    <w:rsid w:val="006400FF"/>
    <w:rsid w:val="00640136"/>
    <w:rsid w:val="0064013A"/>
    <w:rsid w:val="00640153"/>
    <w:rsid w:val="006401AF"/>
    <w:rsid w:val="006401BE"/>
    <w:rsid w:val="006402BE"/>
    <w:rsid w:val="00640341"/>
    <w:rsid w:val="006403EE"/>
    <w:rsid w:val="00640415"/>
    <w:rsid w:val="00640494"/>
    <w:rsid w:val="00640516"/>
    <w:rsid w:val="006405C1"/>
    <w:rsid w:val="006405CC"/>
    <w:rsid w:val="006405E0"/>
    <w:rsid w:val="006405E9"/>
    <w:rsid w:val="00640635"/>
    <w:rsid w:val="00640640"/>
    <w:rsid w:val="0064066F"/>
    <w:rsid w:val="0064067B"/>
    <w:rsid w:val="00640700"/>
    <w:rsid w:val="0064074E"/>
    <w:rsid w:val="00640752"/>
    <w:rsid w:val="00640799"/>
    <w:rsid w:val="006407A5"/>
    <w:rsid w:val="00640806"/>
    <w:rsid w:val="0064080F"/>
    <w:rsid w:val="00640822"/>
    <w:rsid w:val="0064092F"/>
    <w:rsid w:val="0064097E"/>
    <w:rsid w:val="0064099E"/>
    <w:rsid w:val="006409B9"/>
    <w:rsid w:val="006409BC"/>
    <w:rsid w:val="006409D0"/>
    <w:rsid w:val="00640A1E"/>
    <w:rsid w:val="00640B87"/>
    <w:rsid w:val="00640B90"/>
    <w:rsid w:val="00640BAA"/>
    <w:rsid w:val="00640BE5"/>
    <w:rsid w:val="00640BF0"/>
    <w:rsid w:val="00640C04"/>
    <w:rsid w:val="00640C1F"/>
    <w:rsid w:val="00640C55"/>
    <w:rsid w:val="00640DB0"/>
    <w:rsid w:val="00640DF3"/>
    <w:rsid w:val="00640E6C"/>
    <w:rsid w:val="00640EBC"/>
    <w:rsid w:val="00640F32"/>
    <w:rsid w:val="00640F34"/>
    <w:rsid w:val="00640F5A"/>
    <w:rsid w:val="00640F8C"/>
    <w:rsid w:val="00640FAF"/>
    <w:rsid w:val="00640FD5"/>
    <w:rsid w:val="00640FE5"/>
    <w:rsid w:val="00641007"/>
    <w:rsid w:val="00641045"/>
    <w:rsid w:val="00641091"/>
    <w:rsid w:val="00641121"/>
    <w:rsid w:val="00641130"/>
    <w:rsid w:val="006411B1"/>
    <w:rsid w:val="006411EB"/>
    <w:rsid w:val="00641203"/>
    <w:rsid w:val="006412A6"/>
    <w:rsid w:val="006412BA"/>
    <w:rsid w:val="0064133F"/>
    <w:rsid w:val="00641369"/>
    <w:rsid w:val="006413E5"/>
    <w:rsid w:val="00641433"/>
    <w:rsid w:val="0064146A"/>
    <w:rsid w:val="0064147C"/>
    <w:rsid w:val="0064147E"/>
    <w:rsid w:val="006414EB"/>
    <w:rsid w:val="006414FF"/>
    <w:rsid w:val="00641592"/>
    <w:rsid w:val="006415C0"/>
    <w:rsid w:val="006415CD"/>
    <w:rsid w:val="006415E5"/>
    <w:rsid w:val="0064166D"/>
    <w:rsid w:val="00641735"/>
    <w:rsid w:val="00641765"/>
    <w:rsid w:val="0064187C"/>
    <w:rsid w:val="006418D1"/>
    <w:rsid w:val="006418DE"/>
    <w:rsid w:val="006418E6"/>
    <w:rsid w:val="00641924"/>
    <w:rsid w:val="00641984"/>
    <w:rsid w:val="00641A9E"/>
    <w:rsid w:val="00641AEE"/>
    <w:rsid w:val="00641AF7"/>
    <w:rsid w:val="00641B31"/>
    <w:rsid w:val="00641B39"/>
    <w:rsid w:val="00641B6D"/>
    <w:rsid w:val="00641B80"/>
    <w:rsid w:val="00641BD5"/>
    <w:rsid w:val="00641BEA"/>
    <w:rsid w:val="00641C62"/>
    <w:rsid w:val="00641CB0"/>
    <w:rsid w:val="00641CD1"/>
    <w:rsid w:val="00641D52"/>
    <w:rsid w:val="00641D5E"/>
    <w:rsid w:val="00641D81"/>
    <w:rsid w:val="00641D99"/>
    <w:rsid w:val="00641E39"/>
    <w:rsid w:val="00641E5D"/>
    <w:rsid w:val="00641E7F"/>
    <w:rsid w:val="00641EDA"/>
    <w:rsid w:val="00641EE3"/>
    <w:rsid w:val="00641FF9"/>
    <w:rsid w:val="006420B5"/>
    <w:rsid w:val="006420D8"/>
    <w:rsid w:val="00642119"/>
    <w:rsid w:val="0064213B"/>
    <w:rsid w:val="00642177"/>
    <w:rsid w:val="0064217D"/>
    <w:rsid w:val="0064218D"/>
    <w:rsid w:val="00642190"/>
    <w:rsid w:val="006421DC"/>
    <w:rsid w:val="006421EC"/>
    <w:rsid w:val="00642203"/>
    <w:rsid w:val="0064220C"/>
    <w:rsid w:val="00642245"/>
    <w:rsid w:val="006422F7"/>
    <w:rsid w:val="00642308"/>
    <w:rsid w:val="00642315"/>
    <w:rsid w:val="00642350"/>
    <w:rsid w:val="0064237E"/>
    <w:rsid w:val="006423D0"/>
    <w:rsid w:val="00642405"/>
    <w:rsid w:val="00642427"/>
    <w:rsid w:val="0064245B"/>
    <w:rsid w:val="0064246B"/>
    <w:rsid w:val="006424BE"/>
    <w:rsid w:val="006424E9"/>
    <w:rsid w:val="0064264E"/>
    <w:rsid w:val="00642655"/>
    <w:rsid w:val="00642662"/>
    <w:rsid w:val="006426F0"/>
    <w:rsid w:val="0064272A"/>
    <w:rsid w:val="00642752"/>
    <w:rsid w:val="00642763"/>
    <w:rsid w:val="0064276C"/>
    <w:rsid w:val="0064289D"/>
    <w:rsid w:val="006428C6"/>
    <w:rsid w:val="00642911"/>
    <w:rsid w:val="00642912"/>
    <w:rsid w:val="00642937"/>
    <w:rsid w:val="0064293E"/>
    <w:rsid w:val="0064294B"/>
    <w:rsid w:val="0064294E"/>
    <w:rsid w:val="006429AD"/>
    <w:rsid w:val="00642A0C"/>
    <w:rsid w:val="00642A82"/>
    <w:rsid w:val="00642A8A"/>
    <w:rsid w:val="00642AEA"/>
    <w:rsid w:val="00642B05"/>
    <w:rsid w:val="00642B85"/>
    <w:rsid w:val="00642C11"/>
    <w:rsid w:val="00642C51"/>
    <w:rsid w:val="00642D0E"/>
    <w:rsid w:val="00642D57"/>
    <w:rsid w:val="00642D63"/>
    <w:rsid w:val="00642E25"/>
    <w:rsid w:val="00642E2C"/>
    <w:rsid w:val="00642EB7"/>
    <w:rsid w:val="00642ECF"/>
    <w:rsid w:val="00642FC2"/>
    <w:rsid w:val="00643086"/>
    <w:rsid w:val="0064308A"/>
    <w:rsid w:val="006430A4"/>
    <w:rsid w:val="006430B1"/>
    <w:rsid w:val="006430B6"/>
    <w:rsid w:val="006430F2"/>
    <w:rsid w:val="00643123"/>
    <w:rsid w:val="0064315C"/>
    <w:rsid w:val="0064315D"/>
    <w:rsid w:val="00643160"/>
    <w:rsid w:val="00643177"/>
    <w:rsid w:val="006431B6"/>
    <w:rsid w:val="006431D5"/>
    <w:rsid w:val="006431D8"/>
    <w:rsid w:val="00643222"/>
    <w:rsid w:val="00643236"/>
    <w:rsid w:val="00643280"/>
    <w:rsid w:val="0064328D"/>
    <w:rsid w:val="006432BA"/>
    <w:rsid w:val="006432F7"/>
    <w:rsid w:val="00643330"/>
    <w:rsid w:val="00643334"/>
    <w:rsid w:val="00643389"/>
    <w:rsid w:val="00643440"/>
    <w:rsid w:val="00643554"/>
    <w:rsid w:val="006435B4"/>
    <w:rsid w:val="0064361F"/>
    <w:rsid w:val="0064362F"/>
    <w:rsid w:val="00643643"/>
    <w:rsid w:val="00643684"/>
    <w:rsid w:val="006436AF"/>
    <w:rsid w:val="00643720"/>
    <w:rsid w:val="006437C2"/>
    <w:rsid w:val="006437F2"/>
    <w:rsid w:val="00643801"/>
    <w:rsid w:val="0064381B"/>
    <w:rsid w:val="00643892"/>
    <w:rsid w:val="006438AC"/>
    <w:rsid w:val="006438C0"/>
    <w:rsid w:val="0064390C"/>
    <w:rsid w:val="0064395F"/>
    <w:rsid w:val="00643986"/>
    <w:rsid w:val="00643A7C"/>
    <w:rsid w:val="00643AB7"/>
    <w:rsid w:val="00643ADB"/>
    <w:rsid w:val="00643B42"/>
    <w:rsid w:val="00643B5C"/>
    <w:rsid w:val="00643B65"/>
    <w:rsid w:val="00643B7E"/>
    <w:rsid w:val="00643B91"/>
    <w:rsid w:val="00643C03"/>
    <w:rsid w:val="00643C26"/>
    <w:rsid w:val="00643C28"/>
    <w:rsid w:val="00643CD1"/>
    <w:rsid w:val="00643D46"/>
    <w:rsid w:val="00643D67"/>
    <w:rsid w:val="00643D7A"/>
    <w:rsid w:val="00643D87"/>
    <w:rsid w:val="00643D9D"/>
    <w:rsid w:val="00643DDC"/>
    <w:rsid w:val="00643DE0"/>
    <w:rsid w:val="00643DF2"/>
    <w:rsid w:val="00643E26"/>
    <w:rsid w:val="00643E3F"/>
    <w:rsid w:val="00643E59"/>
    <w:rsid w:val="00643E99"/>
    <w:rsid w:val="00643EAD"/>
    <w:rsid w:val="00643EB2"/>
    <w:rsid w:val="00643F23"/>
    <w:rsid w:val="00643F39"/>
    <w:rsid w:val="00643F9C"/>
    <w:rsid w:val="00643FCC"/>
    <w:rsid w:val="00643FFB"/>
    <w:rsid w:val="00644020"/>
    <w:rsid w:val="00644030"/>
    <w:rsid w:val="0064415F"/>
    <w:rsid w:val="00644198"/>
    <w:rsid w:val="006441E6"/>
    <w:rsid w:val="006441E9"/>
    <w:rsid w:val="00644211"/>
    <w:rsid w:val="0064421A"/>
    <w:rsid w:val="00644247"/>
    <w:rsid w:val="0064427F"/>
    <w:rsid w:val="00644295"/>
    <w:rsid w:val="00644359"/>
    <w:rsid w:val="0064435B"/>
    <w:rsid w:val="00644363"/>
    <w:rsid w:val="0064436E"/>
    <w:rsid w:val="00644388"/>
    <w:rsid w:val="006443A2"/>
    <w:rsid w:val="006443AA"/>
    <w:rsid w:val="006443B3"/>
    <w:rsid w:val="006443CA"/>
    <w:rsid w:val="00644446"/>
    <w:rsid w:val="006444A4"/>
    <w:rsid w:val="006444E6"/>
    <w:rsid w:val="0064455F"/>
    <w:rsid w:val="00644565"/>
    <w:rsid w:val="00644572"/>
    <w:rsid w:val="00644630"/>
    <w:rsid w:val="00644655"/>
    <w:rsid w:val="00644716"/>
    <w:rsid w:val="0064472F"/>
    <w:rsid w:val="0064473B"/>
    <w:rsid w:val="0064476C"/>
    <w:rsid w:val="006447AB"/>
    <w:rsid w:val="006447DA"/>
    <w:rsid w:val="006447F8"/>
    <w:rsid w:val="00644834"/>
    <w:rsid w:val="00644864"/>
    <w:rsid w:val="006448AA"/>
    <w:rsid w:val="0064491B"/>
    <w:rsid w:val="00644935"/>
    <w:rsid w:val="00644941"/>
    <w:rsid w:val="006449BA"/>
    <w:rsid w:val="00644A4D"/>
    <w:rsid w:val="00644ABD"/>
    <w:rsid w:val="00644AFB"/>
    <w:rsid w:val="00644B37"/>
    <w:rsid w:val="00644B46"/>
    <w:rsid w:val="00644B7E"/>
    <w:rsid w:val="00644B7F"/>
    <w:rsid w:val="00644B83"/>
    <w:rsid w:val="00644B95"/>
    <w:rsid w:val="00644BF0"/>
    <w:rsid w:val="00644BF7"/>
    <w:rsid w:val="00644C5E"/>
    <w:rsid w:val="00644C82"/>
    <w:rsid w:val="00644C9B"/>
    <w:rsid w:val="00644CDE"/>
    <w:rsid w:val="00644CE0"/>
    <w:rsid w:val="00644D66"/>
    <w:rsid w:val="00644DD9"/>
    <w:rsid w:val="00644E81"/>
    <w:rsid w:val="00644E95"/>
    <w:rsid w:val="00644E9C"/>
    <w:rsid w:val="00644EC5"/>
    <w:rsid w:val="00644F19"/>
    <w:rsid w:val="00644F72"/>
    <w:rsid w:val="00644F76"/>
    <w:rsid w:val="00644F86"/>
    <w:rsid w:val="00644FC6"/>
    <w:rsid w:val="00644FD3"/>
    <w:rsid w:val="0064502E"/>
    <w:rsid w:val="0064507F"/>
    <w:rsid w:val="006450D6"/>
    <w:rsid w:val="006452A3"/>
    <w:rsid w:val="00645320"/>
    <w:rsid w:val="0064538F"/>
    <w:rsid w:val="006453A3"/>
    <w:rsid w:val="006453B5"/>
    <w:rsid w:val="00645406"/>
    <w:rsid w:val="006454A6"/>
    <w:rsid w:val="006454E0"/>
    <w:rsid w:val="0064551B"/>
    <w:rsid w:val="00645560"/>
    <w:rsid w:val="0064556A"/>
    <w:rsid w:val="0064559B"/>
    <w:rsid w:val="00645665"/>
    <w:rsid w:val="006456C5"/>
    <w:rsid w:val="00645702"/>
    <w:rsid w:val="00645720"/>
    <w:rsid w:val="006457D9"/>
    <w:rsid w:val="0064581A"/>
    <w:rsid w:val="0064583A"/>
    <w:rsid w:val="00645856"/>
    <w:rsid w:val="00645865"/>
    <w:rsid w:val="0064587B"/>
    <w:rsid w:val="00645933"/>
    <w:rsid w:val="006459A5"/>
    <w:rsid w:val="006459AD"/>
    <w:rsid w:val="006459DA"/>
    <w:rsid w:val="00645A39"/>
    <w:rsid w:val="00645A3C"/>
    <w:rsid w:val="00645AC8"/>
    <w:rsid w:val="00645B25"/>
    <w:rsid w:val="00645B70"/>
    <w:rsid w:val="00645B76"/>
    <w:rsid w:val="00645B99"/>
    <w:rsid w:val="00645BA5"/>
    <w:rsid w:val="00645BAD"/>
    <w:rsid w:val="00645BE4"/>
    <w:rsid w:val="00645C0B"/>
    <w:rsid w:val="00645C1D"/>
    <w:rsid w:val="00645C23"/>
    <w:rsid w:val="00645C42"/>
    <w:rsid w:val="00645C63"/>
    <w:rsid w:val="00645C7F"/>
    <w:rsid w:val="00645CAF"/>
    <w:rsid w:val="00645D25"/>
    <w:rsid w:val="00645D63"/>
    <w:rsid w:val="00645DBB"/>
    <w:rsid w:val="00645DDB"/>
    <w:rsid w:val="00645DFA"/>
    <w:rsid w:val="00645E3C"/>
    <w:rsid w:val="00645E62"/>
    <w:rsid w:val="00645E6C"/>
    <w:rsid w:val="00645E7E"/>
    <w:rsid w:val="00645EF4"/>
    <w:rsid w:val="00645F61"/>
    <w:rsid w:val="00645F6B"/>
    <w:rsid w:val="00645F84"/>
    <w:rsid w:val="00645F94"/>
    <w:rsid w:val="00645FA5"/>
    <w:rsid w:val="00645FB2"/>
    <w:rsid w:val="00645FC3"/>
    <w:rsid w:val="00646058"/>
    <w:rsid w:val="00646077"/>
    <w:rsid w:val="00646090"/>
    <w:rsid w:val="00646102"/>
    <w:rsid w:val="0064611C"/>
    <w:rsid w:val="0064615A"/>
    <w:rsid w:val="006461F0"/>
    <w:rsid w:val="006461F6"/>
    <w:rsid w:val="00646248"/>
    <w:rsid w:val="00646265"/>
    <w:rsid w:val="0064626A"/>
    <w:rsid w:val="00646286"/>
    <w:rsid w:val="0064632B"/>
    <w:rsid w:val="0064633F"/>
    <w:rsid w:val="00646352"/>
    <w:rsid w:val="00646396"/>
    <w:rsid w:val="006463CE"/>
    <w:rsid w:val="006463D5"/>
    <w:rsid w:val="006463E0"/>
    <w:rsid w:val="006463FE"/>
    <w:rsid w:val="0064641D"/>
    <w:rsid w:val="00646445"/>
    <w:rsid w:val="0064644B"/>
    <w:rsid w:val="0064648D"/>
    <w:rsid w:val="006464FF"/>
    <w:rsid w:val="00646542"/>
    <w:rsid w:val="006465E4"/>
    <w:rsid w:val="006465F3"/>
    <w:rsid w:val="006465F6"/>
    <w:rsid w:val="00646618"/>
    <w:rsid w:val="006466B2"/>
    <w:rsid w:val="006466EC"/>
    <w:rsid w:val="006466F4"/>
    <w:rsid w:val="00646713"/>
    <w:rsid w:val="00646720"/>
    <w:rsid w:val="00646727"/>
    <w:rsid w:val="00646744"/>
    <w:rsid w:val="00646771"/>
    <w:rsid w:val="006467BD"/>
    <w:rsid w:val="006467C3"/>
    <w:rsid w:val="00646822"/>
    <w:rsid w:val="00646844"/>
    <w:rsid w:val="00646859"/>
    <w:rsid w:val="006468FE"/>
    <w:rsid w:val="00646945"/>
    <w:rsid w:val="00646973"/>
    <w:rsid w:val="006469A9"/>
    <w:rsid w:val="00646A52"/>
    <w:rsid w:val="00646A69"/>
    <w:rsid w:val="00646A93"/>
    <w:rsid w:val="00646B01"/>
    <w:rsid w:val="00646B17"/>
    <w:rsid w:val="00646B83"/>
    <w:rsid w:val="00646B9E"/>
    <w:rsid w:val="00646BBD"/>
    <w:rsid w:val="00646C63"/>
    <w:rsid w:val="00646C8F"/>
    <w:rsid w:val="00646C97"/>
    <w:rsid w:val="00646D8F"/>
    <w:rsid w:val="00646E11"/>
    <w:rsid w:val="00646E60"/>
    <w:rsid w:val="00646EC7"/>
    <w:rsid w:val="00646EC9"/>
    <w:rsid w:val="00646F07"/>
    <w:rsid w:val="00646F0F"/>
    <w:rsid w:val="00646F2B"/>
    <w:rsid w:val="00646F46"/>
    <w:rsid w:val="00647069"/>
    <w:rsid w:val="0064706A"/>
    <w:rsid w:val="006470C2"/>
    <w:rsid w:val="006470E5"/>
    <w:rsid w:val="00647134"/>
    <w:rsid w:val="0064715E"/>
    <w:rsid w:val="00647163"/>
    <w:rsid w:val="006471A5"/>
    <w:rsid w:val="006471A7"/>
    <w:rsid w:val="0064722D"/>
    <w:rsid w:val="00647275"/>
    <w:rsid w:val="006472BA"/>
    <w:rsid w:val="006472E2"/>
    <w:rsid w:val="006473C9"/>
    <w:rsid w:val="0064744C"/>
    <w:rsid w:val="00647482"/>
    <w:rsid w:val="006474DA"/>
    <w:rsid w:val="00647519"/>
    <w:rsid w:val="00647595"/>
    <w:rsid w:val="00647704"/>
    <w:rsid w:val="00647762"/>
    <w:rsid w:val="00647778"/>
    <w:rsid w:val="0064778D"/>
    <w:rsid w:val="006477F7"/>
    <w:rsid w:val="0064782F"/>
    <w:rsid w:val="00647877"/>
    <w:rsid w:val="00647915"/>
    <w:rsid w:val="00647935"/>
    <w:rsid w:val="00647962"/>
    <w:rsid w:val="00647964"/>
    <w:rsid w:val="006479BC"/>
    <w:rsid w:val="006479F5"/>
    <w:rsid w:val="006479FF"/>
    <w:rsid w:val="00647A0B"/>
    <w:rsid w:val="00647A62"/>
    <w:rsid w:val="00647A72"/>
    <w:rsid w:val="00647B08"/>
    <w:rsid w:val="00647B83"/>
    <w:rsid w:val="00647B9B"/>
    <w:rsid w:val="00647BEB"/>
    <w:rsid w:val="00647C0B"/>
    <w:rsid w:val="00647C8A"/>
    <w:rsid w:val="00647CDC"/>
    <w:rsid w:val="00647CE0"/>
    <w:rsid w:val="00647D17"/>
    <w:rsid w:val="00647D4B"/>
    <w:rsid w:val="00647D67"/>
    <w:rsid w:val="00647EC3"/>
    <w:rsid w:val="00647F59"/>
    <w:rsid w:val="00647FD8"/>
    <w:rsid w:val="00647FF6"/>
    <w:rsid w:val="0065000A"/>
    <w:rsid w:val="00650020"/>
    <w:rsid w:val="0065004A"/>
    <w:rsid w:val="006500D9"/>
    <w:rsid w:val="00650119"/>
    <w:rsid w:val="00650163"/>
    <w:rsid w:val="00650164"/>
    <w:rsid w:val="0065017E"/>
    <w:rsid w:val="006501B0"/>
    <w:rsid w:val="00650214"/>
    <w:rsid w:val="0065022A"/>
    <w:rsid w:val="0065022D"/>
    <w:rsid w:val="006502AC"/>
    <w:rsid w:val="006502C3"/>
    <w:rsid w:val="00650399"/>
    <w:rsid w:val="006503A2"/>
    <w:rsid w:val="006503C5"/>
    <w:rsid w:val="006503ED"/>
    <w:rsid w:val="00650455"/>
    <w:rsid w:val="0065049E"/>
    <w:rsid w:val="0065055E"/>
    <w:rsid w:val="0065056B"/>
    <w:rsid w:val="006505D1"/>
    <w:rsid w:val="006506E2"/>
    <w:rsid w:val="006506F8"/>
    <w:rsid w:val="0065071D"/>
    <w:rsid w:val="00650735"/>
    <w:rsid w:val="00650780"/>
    <w:rsid w:val="006507A9"/>
    <w:rsid w:val="006507D0"/>
    <w:rsid w:val="00650814"/>
    <w:rsid w:val="0065083E"/>
    <w:rsid w:val="0065088A"/>
    <w:rsid w:val="0065090B"/>
    <w:rsid w:val="006509B3"/>
    <w:rsid w:val="00650A59"/>
    <w:rsid w:val="00650ADE"/>
    <w:rsid w:val="00650B0E"/>
    <w:rsid w:val="00650B9A"/>
    <w:rsid w:val="00650BD5"/>
    <w:rsid w:val="00650BE6"/>
    <w:rsid w:val="00650C0C"/>
    <w:rsid w:val="00650C78"/>
    <w:rsid w:val="00650C84"/>
    <w:rsid w:val="00650CE1"/>
    <w:rsid w:val="00650CEF"/>
    <w:rsid w:val="00650D30"/>
    <w:rsid w:val="00650DA2"/>
    <w:rsid w:val="00650DBC"/>
    <w:rsid w:val="00650DCC"/>
    <w:rsid w:val="00650DE9"/>
    <w:rsid w:val="00650E16"/>
    <w:rsid w:val="00650E22"/>
    <w:rsid w:val="00650E30"/>
    <w:rsid w:val="00650E44"/>
    <w:rsid w:val="00650F1E"/>
    <w:rsid w:val="00650F35"/>
    <w:rsid w:val="00650F5E"/>
    <w:rsid w:val="006510C3"/>
    <w:rsid w:val="006510C9"/>
    <w:rsid w:val="006510E9"/>
    <w:rsid w:val="00651165"/>
    <w:rsid w:val="00651218"/>
    <w:rsid w:val="0065122F"/>
    <w:rsid w:val="0065124F"/>
    <w:rsid w:val="00651275"/>
    <w:rsid w:val="0065128E"/>
    <w:rsid w:val="00651322"/>
    <w:rsid w:val="006513E6"/>
    <w:rsid w:val="00651442"/>
    <w:rsid w:val="00651492"/>
    <w:rsid w:val="006514B7"/>
    <w:rsid w:val="006514BB"/>
    <w:rsid w:val="00651506"/>
    <w:rsid w:val="0065154C"/>
    <w:rsid w:val="00651556"/>
    <w:rsid w:val="0065159A"/>
    <w:rsid w:val="0065160A"/>
    <w:rsid w:val="00651633"/>
    <w:rsid w:val="00651639"/>
    <w:rsid w:val="006516CB"/>
    <w:rsid w:val="006517B7"/>
    <w:rsid w:val="006517F9"/>
    <w:rsid w:val="00651895"/>
    <w:rsid w:val="006518A9"/>
    <w:rsid w:val="006518CE"/>
    <w:rsid w:val="00651968"/>
    <w:rsid w:val="00651984"/>
    <w:rsid w:val="006519B4"/>
    <w:rsid w:val="00651A0A"/>
    <w:rsid w:val="00651A62"/>
    <w:rsid w:val="00651A85"/>
    <w:rsid w:val="00651A93"/>
    <w:rsid w:val="00651AC2"/>
    <w:rsid w:val="00651AC9"/>
    <w:rsid w:val="00651AFD"/>
    <w:rsid w:val="00651B68"/>
    <w:rsid w:val="00651C49"/>
    <w:rsid w:val="00651CA7"/>
    <w:rsid w:val="00651D2B"/>
    <w:rsid w:val="00651D84"/>
    <w:rsid w:val="00651D98"/>
    <w:rsid w:val="00651D9A"/>
    <w:rsid w:val="00651D9F"/>
    <w:rsid w:val="00651DC8"/>
    <w:rsid w:val="00651E7C"/>
    <w:rsid w:val="00651E95"/>
    <w:rsid w:val="00651F05"/>
    <w:rsid w:val="00651F92"/>
    <w:rsid w:val="00651FAC"/>
    <w:rsid w:val="00651FCC"/>
    <w:rsid w:val="00652028"/>
    <w:rsid w:val="00652070"/>
    <w:rsid w:val="0065208C"/>
    <w:rsid w:val="006520FB"/>
    <w:rsid w:val="00652145"/>
    <w:rsid w:val="006521A6"/>
    <w:rsid w:val="006521A9"/>
    <w:rsid w:val="00652224"/>
    <w:rsid w:val="006522A4"/>
    <w:rsid w:val="006522C8"/>
    <w:rsid w:val="006522E2"/>
    <w:rsid w:val="0065234A"/>
    <w:rsid w:val="0065236C"/>
    <w:rsid w:val="006523AF"/>
    <w:rsid w:val="0065245C"/>
    <w:rsid w:val="00652463"/>
    <w:rsid w:val="00652483"/>
    <w:rsid w:val="006525CC"/>
    <w:rsid w:val="006525FD"/>
    <w:rsid w:val="00652628"/>
    <w:rsid w:val="00652678"/>
    <w:rsid w:val="0065268F"/>
    <w:rsid w:val="006526AA"/>
    <w:rsid w:val="006526AB"/>
    <w:rsid w:val="006526CE"/>
    <w:rsid w:val="006526D0"/>
    <w:rsid w:val="006526ED"/>
    <w:rsid w:val="00652717"/>
    <w:rsid w:val="00652734"/>
    <w:rsid w:val="00652771"/>
    <w:rsid w:val="006527DE"/>
    <w:rsid w:val="0065285F"/>
    <w:rsid w:val="006528B1"/>
    <w:rsid w:val="006528D9"/>
    <w:rsid w:val="0065295D"/>
    <w:rsid w:val="006529F2"/>
    <w:rsid w:val="00652A53"/>
    <w:rsid w:val="00652A57"/>
    <w:rsid w:val="00652A62"/>
    <w:rsid w:val="00652A89"/>
    <w:rsid w:val="00652A8F"/>
    <w:rsid w:val="00652AC4"/>
    <w:rsid w:val="00652AEC"/>
    <w:rsid w:val="00652AF9"/>
    <w:rsid w:val="00652B11"/>
    <w:rsid w:val="00652B4C"/>
    <w:rsid w:val="00652B52"/>
    <w:rsid w:val="00652BF8"/>
    <w:rsid w:val="00652C1B"/>
    <w:rsid w:val="00652C2A"/>
    <w:rsid w:val="00652CA0"/>
    <w:rsid w:val="00652CBA"/>
    <w:rsid w:val="00652CD3"/>
    <w:rsid w:val="00652D34"/>
    <w:rsid w:val="00652D57"/>
    <w:rsid w:val="00652DA2"/>
    <w:rsid w:val="00652DCA"/>
    <w:rsid w:val="00652DEC"/>
    <w:rsid w:val="00652DF0"/>
    <w:rsid w:val="00652DF2"/>
    <w:rsid w:val="00652E43"/>
    <w:rsid w:val="00652E83"/>
    <w:rsid w:val="00652E94"/>
    <w:rsid w:val="00652EF7"/>
    <w:rsid w:val="00652F5A"/>
    <w:rsid w:val="00652F78"/>
    <w:rsid w:val="00652F8B"/>
    <w:rsid w:val="00652FAD"/>
    <w:rsid w:val="00652FC8"/>
    <w:rsid w:val="00652FEB"/>
    <w:rsid w:val="00652FFE"/>
    <w:rsid w:val="0065300C"/>
    <w:rsid w:val="0065300F"/>
    <w:rsid w:val="006530AC"/>
    <w:rsid w:val="0065316B"/>
    <w:rsid w:val="0065317E"/>
    <w:rsid w:val="0065318A"/>
    <w:rsid w:val="006531AF"/>
    <w:rsid w:val="006531B4"/>
    <w:rsid w:val="006531DC"/>
    <w:rsid w:val="0065321A"/>
    <w:rsid w:val="00653260"/>
    <w:rsid w:val="006532C4"/>
    <w:rsid w:val="006532DE"/>
    <w:rsid w:val="00653370"/>
    <w:rsid w:val="0065337E"/>
    <w:rsid w:val="006533DA"/>
    <w:rsid w:val="006533E6"/>
    <w:rsid w:val="00653421"/>
    <w:rsid w:val="00653437"/>
    <w:rsid w:val="006534AC"/>
    <w:rsid w:val="006534BB"/>
    <w:rsid w:val="00653529"/>
    <w:rsid w:val="00653533"/>
    <w:rsid w:val="0065356C"/>
    <w:rsid w:val="0065356D"/>
    <w:rsid w:val="00653620"/>
    <w:rsid w:val="0065363E"/>
    <w:rsid w:val="006536A3"/>
    <w:rsid w:val="006536A4"/>
    <w:rsid w:val="006536CA"/>
    <w:rsid w:val="006536E3"/>
    <w:rsid w:val="006536E5"/>
    <w:rsid w:val="00653783"/>
    <w:rsid w:val="006537B7"/>
    <w:rsid w:val="00653840"/>
    <w:rsid w:val="00653846"/>
    <w:rsid w:val="0065385E"/>
    <w:rsid w:val="006538EE"/>
    <w:rsid w:val="006538F2"/>
    <w:rsid w:val="00653972"/>
    <w:rsid w:val="00653989"/>
    <w:rsid w:val="006539D0"/>
    <w:rsid w:val="006539F5"/>
    <w:rsid w:val="00653A26"/>
    <w:rsid w:val="00653A43"/>
    <w:rsid w:val="00653A9D"/>
    <w:rsid w:val="00653AC0"/>
    <w:rsid w:val="00653AF3"/>
    <w:rsid w:val="00653B33"/>
    <w:rsid w:val="00653B99"/>
    <w:rsid w:val="00653C87"/>
    <w:rsid w:val="00653CAF"/>
    <w:rsid w:val="00653CB0"/>
    <w:rsid w:val="00653CD7"/>
    <w:rsid w:val="00653D19"/>
    <w:rsid w:val="00653D4E"/>
    <w:rsid w:val="00653D9C"/>
    <w:rsid w:val="00653DEC"/>
    <w:rsid w:val="00653E59"/>
    <w:rsid w:val="00653FF4"/>
    <w:rsid w:val="0065400B"/>
    <w:rsid w:val="00654039"/>
    <w:rsid w:val="00654087"/>
    <w:rsid w:val="006540B9"/>
    <w:rsid w:val="0065412A"/>
    <w:rsid w:val="0065412C"/>
    <w:rsid w:val="0065413B"/>
    <w:rsid w:val="00654145"/>
    <w:rsid w:val="006541FE"/>
    <w:rsid w:val="00654216"/>
    <w:rsid w:val="0065423F"/>
    <w:rsid w:val="00654245"/>
    <w:rsid w:val="00654299"/>
    <w:rsid w:val="006542B6"/>
    <w:rsid w:val="006542C5"/>
    <w:rsid w:val="00654325"/>
    <w:rsid w:val="00654333"/>
    <w:rsid w:val="00654335"/>
    <w:rsid w:val="0065433E"/>
    <w:rsid w:val="00654360"/>
    <w:rsid w:val="00654501"/>
    <w:rsid w:val="00654521"/>
    <w:rsid w:val="0065452D"/>
    <w:rsid w:val="0065455C"/>
    <w:rsid w:val="00654572"/>
    <w:rsid w:val="00654582"/>
    <w:rsid w:val="006545CC"/>
    <w:rsid w:val="006545EB"/>
    <w:rsid w:val="00654615"/>
    <w:rsid w:val="00654634"/>
    <w:rsid w:val="00654644"/>
    <w:rsid w:val="0065465F"/>
    <w:rsid w:val="00654686"/>
    <w:rsid w:val="006546DD"/>
    <w:rsid w:val="0065472A"/>
    <w:rsid w:val="0065472B"/>
    <w:rsid w:val="00654882"/>
    <w:rsid w:val="0065489E"/>
    <w:rsid w:val="006548A0"/>
    <w:rsid w:val="006548FB"/>
    <w:rsid w:val="0065491A"/>
    <w:rsid w:val="0065495B"/>
    <w:rsid w:val="006549A2"/>
    <w:rsid w:val="00654A63"/>
    <w:rsid w:val="00654A99"/>
    <w:rsid w:val="00654AFC"/>
    <w:rsid w:val="00654B0A"/>
    <w:rsid w:val="00654B10"/>
    <w:rsid w:val="00654BE7"/>
    <w:rsid w:val="00654BF0"/>
    <w:rsid w:val="00654BFF"/>
    <w:rsid w:val="00654C27"/>
    <w:rsid w:val="00654C6C"/>
    <w:rsid w:val="00654C7A"/>
    <w:rsid w:val="00654CF0"/>
    <w:rsid w:val="00654D85"/>
    <w:rsid w:val="00654D93"/>
    <w:rsid w:val="00654DDD"/>
    <w:rsid w:val="00654DF4"/>
    <w:rsid w:val="00654DF9"/>
    <w:rsid w:val="00654DFC"/>
    <w:rsid w:val="00654E2D"/>
    <w:rsid w:val="00654E67"/>
    <w:rsid w:val="00654E69"/>
    <w:rsid w:val="00654E9A"/>
    <w:rsid w:val="00654E9E"/>
    <w:rsid w:val="00654EF5"/>
    <w:rsid w:val="00654F08"/>
    <w:rsid w:val="00655030"/>
    <w:rsid w:val="006551A9"/>
    <w:rsid w:val="006551BE"/>
    <w:rsid w:val="006551C3"/>
    <w:rsid w:val="006551F7"/>
    <w:rsid w:val="00655211"/>
    <w:rsid w:val="00655221"/>
    <w:rsid w:val="00655266"/>
    <w:rsid w:val="00655268"/>
    <w:rsid w:val="006552DF"/>
    <w:rsid w:val="00655347"/>
    <w:rsid w:val="0065537F"/>
    <w:rsid w:val="006553A0"/>
    <w:rsid w:val="00655402"/>
    <w:rsid w:val="0065543F"/>
    <w:rsid w:val="00655522"/>
    <w:rsid w:val="0065553F"/>
    <w:rsid w:val="00655553"/>
    <w:rsid w:val="0065558D"/>
    <w:rsid w:val="006555B1"/>
    <w:rsid w:val="006555B8"/>
    <w:rsid w:val="006555F8"/>
    <w:rsid w:val="00655652"/>
    <w:rsid w:val="0065567C"/>
    <w:rsid w:val="006556C3"/>
    <w:rsid w:val="00655722"/>
    <w:rsid w:val="0065575D"/>
    <w:rsid w:val="00655787"/>
    <w:rsid w:val="00655802"/>
    <w:rsid w:val="0065582B"/>
    <w:rsid w:val="00655858"/>
    <w:rsid w:val="00655861"/>
    <w:rsid w:val="00655868"/>
    <w:rsid w:val="0065590B"/>
    <w:rsid w:val="0065593B"/>
    <w:rsid w:val="00655942"/>
    <w:rsid w:val="00655986"/>
    <w:rsid w:val="006559AB"/>
    <w:rsid w:val="00655A05"/>
    <w:rsid w:val="00655A0A"/>
    <w:rsid w:val="00655B33"/>
    <w:rsid w:val="00655B76"/>
    <w:rsid w:val="00655BDE"/>
    <w:rsid w:val="00655C30"/>
    <w:rsid w:val="00655C37"/>
    <w:rsid w:val="00655CA9"/>
    <w:rsid w:val="00655CAE"/>
    <w:rsid w:val="00655CD2"/>
    <w:rsid w:val="00655D3F"/>
    <w:rsid w:val="00655D63"/>
    <w:rsid w:val="00655D7C"/>
    <w:rsid w:val="00655EB5"/>
    <w:rsid w:val="00655EBC"/>
    <w:rsid w:val="00655EE5"/>
    <w:rsid w:val="00656008"/>
    <w:rsid w:val="00656062"/>
    <w:rsid w:val="0065608B"/>
    <w:rsid w:val="006560B3"/>
    <w:rsid w:val="006560CF"/>
    <w:rsid w:val="006560D7"/>
    <w:rsid w:val="00656146"/>
    <w:rsid w:val="0065625B"/>
    <w:rsid w:val="00656280"/>
    <w:rsid w:val="0065628A"/>
    <w:rsid w:val="006562E8"/>
    <w:rsid w:val="006562EA"/>
    <w:rsid w:val="00656339"/>
    <w:rsid w:val="00656360"/>
    <w:rsid w:val="00656398"/>
    <w:rsid w:val="00656456"/>
    <w:rsid w:val="00656466"/>
    <w:rsid w:val="00656470"/>
    <w:rsid w:val="0065647B"/>
    <w:rsid w:val="006564C3"/>
    <w:rsid w:val="006564D1"/>
    <w:rsid w:val="006564F0"/>
    <w:rsid w:val="00656519"/>
    <w:rsid w:val="0065653A"/>
    <w:rsid w:val="00656548"/>
    <w:rsid w:val="00656557"/>
    <w:rsid w:val="00656586"/>
    <w:rsid w:val="006565B3"/>
    <w:rsid w:val="006565FE"/>
    <w:rsid w:val="00656619"/>
    <w:rsid w:val="006566F8"/>
    <w:rsid w:val="00656722"/>
    <w:rsid w:val="00656736"/>
    <w:rsid w:val="006567DD"/>
    <w:rsid w:val="0065680D"/>
    <w:rsid w:val="00656828"/>
    <w:rsid w:val="00656864"/>
    <w:rsid w:val="00656871"/>
    <w:rsid w:val="006568B4"/>
    <w:rsid w:val="006568E1"/>
    <w:rsid w:val="00656938"/>
    <w:rsid w:val="0065693A"/>
    <w:rsid w:val="0065697B"/>
    <w:rsid w:val="006569C6"/>
    <w:rsid w:val="00656A52"/>
    <w:rsid w:val="00656B45"/>
    <w:rsid w:val="00656B4F"/>
    <w:rsid w:val="00656B8D"/>
    <w:rsid w:val="00656BF0"/>
    <w:rsid w:val="00656C0B"/>
    <w:rsid w:val="00656C18"/>
    <w:rsid w:val="00656C2E"/>
    <w:rsid w:val="00656CF9"/>
    <w:rsid w:val="00656D0F"/>
    <w:rsid w:val="00656D15"/>
    <w:rsid w:val="00656DC5"/>
    <w:rsid w:val="00656DE0"/>
    <w:rsid w:val="00656DE1"/>
    <w:rsid w:val="00656E34"/>
    <w:rsid w:val="00656E44"/>
    <w:rsid w:val="00656E9E"/>
    <w:rsid w:val="00656EC0"/>
    <w:rsid w:val="00656FC4"/>
    <w:rsid w:val="00656FCD"/>
    <w:rsid w:val="00657026"/>
    <w:rsid w:val="0065702B"/>
    <w:rsid w:val="00657039"/>
    <w:rsid w:val="006570B6"/>
    <w:rsid w:val="00657105"/>
    <w:rsid w:val="006571BB"/>
    <w:rsid w:val="00657240"/>
    <w:rsid w:val="00657255"/>
    <w:rsid w:val="00657257"/>
    <w:rsid w:val="0065726B"/>
    <w:rsid w:val="00657276"/>
    <w:rsid w:val="006572BC"/>
    <w:rsid w:val="006572C2"/>
    <w:rsid w:val="0065730B"/>
    <w:rsid w:val="00657327"/>
    <w:rsid w:val="00657344"/>
    <w:rsid w:val="00657346"/>
    <w:rsid w:val="0065734A"/>
    <w:rsid w:val="0065735E"/>
    <w:rsid w:val="00657382"/>
    <w:rsid w:val="006573E1"/>
    <w:rsid w:val="006573EB"/>
    <w:rsid w:val="00657422"/>
    <w:rsid w:val="0065748B"/>
    <w:rsid w:val="006574A4"/>
    <w:rsid w:val="00657519"/>
    <w:rsid w:val="00657535"/>
    <w:rsid w:val="006575D7"/>
    <w:rsid w:val="006575F5"/>
    <w:rsid w:val="0065762E"/>
    <w:rsid w:val="0065766E"/>
    <w:rsid w:val="00657679"/>
    <w:rsid w:val="0065767B"/>
    <w:rsid w:val="006576AB"/>
    <w:rsid w:val="006576C3"/>
    <w:rsid w:val="00657724"/>
    <w:rsid w:val="00657729"/>
    <w:rsid w:val="00657789"/>
    <w:rsid w:val="00657790"/>
    <w:rsid w:val="006577C5"/>
    <w:rsid w:val="0065786B"/>
    <w:rsid w:val="00657913"/>
    <w:rsid w:val="0065792F"/>
    <w:rsid w:val="0065799E"/>
    <w:rsid w:val="00657A48"/>
    <w:rsid w:val="00657A64"/>
    <w:rsid w:val="00657A66"/>
    <w:rsid w:val="00657A7C"/>
    <w:rsid w:val="00657A93"/>
    <w:rsid w:val="00657AB0"/>
    <w:rsid w:val="00657B4B"/>
    <w:rsid w:val="00657B89"/>
    <w:rsid w:val="00657BCE"/>
    <w:rsid w:val="00657C0B"/>
    <w:rsid w:val="00657C28"/>
    <w:rsid w:val="00657C56"/>
    <w:rsid w:val="00657C67"/>
    <w:rsid w:val="00657C70"/>
    <w:rsid w:val="00657CE6"/>
    <w:rsid w:val="00657D09"/>
    <w:rsid w:val="00657D64"/>
    <w:rsid w:val="00657D6F"/>
    <w:rsid w:val="00657D85"/>
    <w:rsid w:val="00657D96"/>
    <w:rsid w:val="00657DA9"/>
    <w:rsid w:val="00657EFB"/>
    <w:rsid w:val="00657F28"/>
    <w:rsid w:val="00657F6A"/>
    <w:rsid w:val="00657FC9"/>
    <w:rsid w:val="0065C432"/>
    <w:rsid w:val="0066000D"/>
    <w:rsid w:val="00660083"/>
    <w:rsid w:val="006600BA"/>
    <w:rsid w:val="006600C2"/>
    <w:rsid w:val="006600D2"/>
    <w:rsid w:val="006600DB"/>
    <w:rsid w:val="006600FC"/>
    <w:rsid w:val="00660117"/>
    <w:rsid w:val="006601F0"/>
    <w:rsid w:val="00660262"/>
    <w:rsid w:val="00660268"/>
    <w:rsid w:val="006602C4"/>
    <w:rsid w:val="006602D4"/>
    <w:rsid w:val="00660349"/>
    <w:rsid w:val="00660362"/>
    <w:rsid w:val="006603AD"/>
    <w:rsid w:val="006603E0"/>
    <w:rsid w:val="00660401"/>
    <w:rsid w:val="00660496"/>
    <w:rsid w:val="0066050E"/>
    <w:rsid w:val="00660515"/>
    <w:rsid w:val="006605B9"/>
    <w:rsid w:val="006605F5"/>
    <w:rsid w:val="0066061A"/>
    <w:rsid w:val="0066061E"/>
    <w:rsid w:val="00660627"/>
    <w:rsid w:val="006606A6"/>
    <w:rsid w:val="006606F2"/>
    <w:rsid w:val="0066071C"/>
    <w:rsid w:val="00660743"/>
    <w:rsid w:val="0066074C"/>
    <w:rsid w:val="006607B4"/>
    <w:rsid w:val="006607BD"/>
    <w:rsid w:val="0066083E"/>
    <w:rsid w:val="0066086F"/>
    <w:rsid w:val="00660878"/>
    <w:rsid w:val="006608D2"/>
    <w:rsid w:val="006608D5"/>
    <w:rsid w:val="0066093D"/>
    <w:rsid w:val="00660940"/>
    <w:rsid w:val="006609E0"/>
    <w:rsid w:val="006609ED"/>
    <w:rsid w:val="00660A4B"/>
    <w:rsid w:val="00660A6B"/>
    <w:rsid w:val="00660A98"/>
    <w:rsid w:val="00660A99"/>
    <w:rsid w:val="00660AAA"/>
    <w:rsid w:val="00660B6A"/>
    <w:rsid w:val="00660B8C"/>
    <w:rsid w:val="00660B9B"/>
    <w:rsid w:val="00660CDE"/>
    <w:rsid w:val="00660CDF"/>
    <w:rsid w:val="00660CF9"/>
    <w:rsid w:val="00660D8B"/>
    <w:rsid w:val="00660DBA"/>
    <w:rsid w:val="00660DBE"/>
    <w:rsid w:val="00660DC1"/>
    <w:rsid w:val="00660DFF"/>
    <w:rsid w:val="00660E27"/>
    <w:rsid w:val="00660E6C"/>
    <w:rsid w:val="00660EAD"/>
    <w:rsid w:val="00660EF0"/>
    <w:rsid w:val="00660F3F"/>
    <w:rsid w:val="00661028"/>
    <w:rsid w:val="0066105A"/>
    <w:rsid w:val="00661071"/>
    <w:rsid w:val="006610E5"/>
    <w:rsid w:val="006610F4"/>
    <w:rsid w:val="006610FA"/>
    <w:rsid w:val="00661167"/>
    <w:rsid w:val="0066117F"/>
    <w:rsid w:val="00661187"/>
    <w:rsid w:val="0066118D"/>
    <w:rsid w:val="006611B6"/>
    <w:rsid w:val="006611D6"/>
    <w:rsid w:val="0066129F"/>
    <w:rsid w:val="006612D9"/>
    <w:rsid w:val="006612FA"/>
    <w:rsid w:val="00661303"/>
    <w:rsid w:val="006613B1"/>
    <w:rsid w:val="006613E7"/>
    <w:rsid w:val="00661401"/>
    <w:rsid w:val="00661435"/>
    <w:rsid w:val="0066148F"/>
    <w:rsid w:val="006615AA"/>
    <w:rsid w:val="006615CC"/>
    <w:rsid w:val="0066163D"/>
    <w:rsid w:val="00661681"/>
    <w:rsid w:val="0066169D"/>
    <w:rsid w:val="006616B9"/>
    <w:rsid w:val="0066181C"/>
    <w:rsid w:val="00661835"/>
    <w:rsid w:val="00661872"/>
    <w:rsid w:val="00661882"/>
    <w:rsid w:val="006618EC"/>
    <w:rsid w:val="0066190A"/>
    <w:rsid w:val="006619D8"/>
    <w:rsid w:val="00661A07"/>
    <w:rsid w:val="00661A16"/>
    <w:rsid w:val="00661A24"/>
    <w:rsid w:val="00661AA7"/>
    <w:rsid w:val="00661ABB"/>
    <w:rsid w:val="00661AF2"/>
    <w:rsid w:val="00661AF3"/>
    <w:rsid w:val="00661B15"/>
    <w:rsid w:val="00661BAA"/>
    <w:rsid w:val="00661BC5"/>
    <w:rsid w:val="00661BF7"/>
    <w:rsid w:val="00661C14"/>
    <w:rsid w:val="00661C33"/>
    <w:rsid w:val="00661C4A"/>
    <w:rsid w:val="00661C75"/>
    <w:rsid w:val="00661C77"/>
    <w:rsid w:val="00661C7B"/>
    <w:rsid w:val="00661CCE"/>
    <w:rsid w:val="00661CE3"/>
    <w:rsid w:val="00661CFE"/>
    <w:rsid w:val="00661D25"/>
    <w:rsid w:val="00661D8A"/>
    <w:rsid w:val="00661DBE"/>
    <w:rsid w:val="00661DFB"/>
    <w:rsid w:val="00661E06"/>
    <w:rsid w:val="00661E25"/>
    <w:rsid w:val="00661E34"/>
    <w:rsid w:val="00661E35"/>
    <w:rsid w:val="00661E3D"/>
    <w:rsid w:val="00661E3E"/>
    <w:rsid w:val="00661E71"/>
    <w:rsid w:val="00661ECB"/>
    <w:rsid w:val="00661EEC"/>
    <w:rsid w:val="00661EEF"/>
    <w:rsid w:val="00661F9B"/>
    <w:rsid w:val="00661FF4"/>
    <w:rsid w:val="0066205F"/>
    <w:rsid w:val="0066206A"/>
    <w:rsid w:val="0066206C"/>
    <w:rsid w:val="006620AD"/>
    <w:rsid w:val="006620B1"/>
    <w:rsid w:val="0066214E"/>
    <w:rsid w:val="0066218B"/>
    <w:rsid w:val="006621F0"/>
    <w:rsid w:val="0066228D"/>
    <w:rsid w:val="006622B4"/>
    <w:rsid w:val="006622BF"/>
    <w:rsid w:val="006622EB"/>
    <w:rsid w:val="0066231C"/>
    <w:rsid w:val="0066231F"/>
    <w:rsid w:val="006623AC"/>
    <w:rsid w:val="006623B6"/>
    <w:rsid w:val="006623BA"/>
    <w:rsid w:val="0066245E"/>
    <w:rsid w:val="00662461"/>
    <w:rsid w:val="006624B9"/>
    <w:rsid w:val="00662528"/>
    <w:rsid w:val="00662587"/>
    <w:rsid w:val="0066258C"/>
    <w:rsid w:val="0066261C"/>
    <w:rsid w:val="0066266E"/>
    <w:rsid w:val="006626A6"/>
    <w:rsid w:val="006626B9"/>
    <w:rsid w:val="006626EE"/>
    <w:rsid w:val="006626FC"/>
    <w:rsid w:val="0066270E"/>
    <w:rsid w:val="00662719"/>
    <w:rsid w:val="0066274E"/>
    <w:rsid w:val="0066276C"/>
    <w:rsid w:val="00662783"/>
    <w:rsid w:val="006627B5"/>
    <w:rsid w:val="006627C6"/>
    <w:rsid w:val="006627FE"/>
    <w:rsid w:val="00662819"/>
    <w:rsid w:val="0066281E"/>
    <w:rsid w:val="0066285B"/>
    <w:rsid w:val="0066285D"/>
    <w:rsid w:val="00662872"/>
    <w:rsid w:val="006628B8"/>
    <w:rsid w:val="006629BC"/>
    <w:rsid w:val="006629BE"/>
    <w:rsid w:val="00662A42"/>
    <w:rsid w:val="00662A87"/>
    <w:rsid w:val="00662A96"/>
    <w:rsid w:val="00662AB1"/>
    <w:rsid w:val="00662B16"/>
    <w:rsid w:val="00662C58"/>
    <w:rsid w:val="00662C7B"/>
    <w:rsid w:val="00662C94"/>
    <w:rsid w:val="00662D7D"/>
    <w:rsid w:val="00662DD7"/>
    <w:rsid w:val="00662E02"/>
    <w:rsid w:val="00662E05"/>
    <w:rsid w:val="00662E12"/>
    <w:rsid w:val="00662E36"/>
    <w:rsid w:val="00662E42"/>
    <w:rsid w:val="00662F7C"/>
    <w:rsid w:val="00662F9C"/>
    <w:rsid w:val="00663004"/>
    <w:rsid w:val="0066302F"/>
    <w:rsid w:val="0066303F"/>
    <w:rsid w:val="006630E3"/>
    <w:rsid w:val="00663210"/>
    <w:rsid w:val="00663243"/>
    <w:rsid w:val="0066328C"/>
    <w:rsid w:val="0066329E"/>
    <w:rsid w:val="006632CF"/>
    <w:rsid w:val="0066332E"/>
    <w:rsid w:val="0066333F"/>
    <w:rsid w:val="0066336E"/>
    <w:rsid w:val="006633CC"/>
    <w:rsid w:val="006633EB"/>
    <w:rsid w:val="00663410"/>
    <w:rsid w:val="00663441"/>
    <w:rsid w:val="0066349E"/>
    <w:rsid w:val="006634E7"/>
    <w:rsid w:val="006634F7"/>
    <w:rsid w:val="00663591"/>
    <w:rsid w:val="006635A6"/>
    <w:rsid w:val="006635AA"/>
    <w:rsid w:val="00663648"/>
    <w:rsid w:val="0066367A"/>
    <w:rsid w:val="006636CF"/>
    <w:rsid w:val="00663753"/>
    <w:rsid w:val="006637D0"/>
    <w:rsid w:val="00663835"/>
    <w:rsid w:val="0066386F"/>
    <w:rsid w:val="00663907"/>
    <w:rsid w:val="0066391F"/>
    <w:rsid w:val="00663923"/>
    <w:rsid w:val="00663929"/>
    <w:rsid w:val="0066396A"/>
    <w:rsid w:val="00663987"/>
    <w:rsid w:val="0066399C"/>
    <w:rsid w:val="006639DD"/>
    <w:rsid w:val="00663A0B"/>
    <w:rsid w:val="00663A89"/>
    <w:rsid w:val="00663AC4"/>
    <w:rsid w:val="00663B1C"/>
    <w:rsid w:val="00663B3C"/>
    <w:rsid w:val="00663B6F"/>
    <w:rsid w:val="00663B71"/>
    <w:rsid w:val="00663BAE"/>
    <w:rsid w:val="00663C5F"/>
    <w:rsid w:val="00663C6A"/>
    <w:rsid w:val="00663C78"/>
    <w:rsid w:val="00663D53"/>
    <w:rsid w:val="00663E9F"/>
    <w:rsid w:val="00663EDB"/>
    <w:rsid w:val="00663F14"/>
    <w:rsid w:val="00663F25"/>
    <w:rsid w:val="00663F31"/>
    <w:rsid w:val="00663F48"/>
    <w:rsid w:val="00663F94"/>
    <w:rsid w:val="00663FFF"/>
    <w:rsid w:val="00664061"/>
    <w:rsid w:val="0066407B"/>
    <w:rsid w:val="006640A1"/>
    <w:rsid w:val="006640F6"/>
    <w:rsid w:val="00664129"/>
    <w:rsid w:val="00664167"/>
    <w:rsid w:val="006641D5"/>
    <w:rsid w:val="006641D9"/>
    <w:rsid w:val="006641E8"/>
    <w:rsid w:val="006641EC"/>
    <w:rsid w:val="00664222"/>
    <w:rsid w:val="006642C6"/>
    <w:rsid w:val="006642E8"/>
    <w:rsid w:val="0066433A"/>
    <w:rsid w:val="00664358"/>
    <w:rsid w:val="0066438E"/>
    <w:rsid w:val="006643B5"/>
    <w:rsid w:val="006643CC"/>
    <w:rsid w:val="00664456"/>
    <w:rsid w:val="00664494"/>
    <w:rsid w:val="006644E8"/>
    <w:rsid w:val="006644ED"/>
    <w:rsid w:val="0066453B"/>
    <w:rsid w:val="0066455D"/>
    <w:rsid w:val="00664598"/>
    <w:rsid w:val="006645B3"/>
    <w:rsid w:val="006645B5"/>
    <w:rsid w:val="00664635"/>
    <w:rsid w:val="0066464A"/>
    <w:rsid w:val="00664678"/>
    <w:rsid w:val="0066467E"/>
    <w:rsid w:val="00664681"/>
    <w:rsid w:val="00664714"/>
    <w:rsid w:val="0066478A"/>
    <w:rsid w:val="0066478C"/>
    <w:rsid w:val="0066479A"/>
    <w:rsid w:val="006647FC"/>
    <w:rsid w:val="00664859"/>
    <w:rsid w:val="00664877"/>
    <w:rsid w:val="0066489A"/>
    <w:rsid w:val="006648B8"/>
    <w:rsid w:val="0066491A"/>
    <w:rsid w:val="00664931"/>
    <w:rsid w:val="00664966"/>
    <w:rsid w:val="0066496B"/>
    <w:rsid w:val="006649C2"/>
    <w:rsid w:val="006649F7"/>
    <w:rsid w:val="00664A1C"/>
    <w:rsid w:val="00664A55"/>
    <w:rsid w:val="00664A84"/>
    <w:rsid w:val="00664B17"/>
    <w:rsid w:val="00664B48"/>
    <w:rsid w:val="00664BD2"/>
    <w:rsid w:val="00664BD5"/>
    <w:rsid w:val="00664C10"/>
    <w:rsid w:val="00664C95"/>
    <w:rsid w:val="00664CB1"/>
    <w:rsid w:val="00664CB7"/>
    <w:rsid w:val="00664CB9"/>
    <w:rsid w:val="00664D07"/>
    <w:rsid w:val="00664D7C"/>
    <w:rsid w:val="00664D8C"/>
    <w:rsid w:val="00664E34"/>
    <w:rsid w:val="00664E79"/>
    <w:rsid w:val="00664EAE"/>
    <w:rsid w:val="00664EB5"/>
    <w:rsid w:val="00664F0C"/>
    <w:rsid w:val="00664F12"/>
    <w:rsid w:val="00664F26"/>
    <w:rsid w:val="00664F43"/>
    <w:rsid w:val="00664F75"/>
    <w:rsid w:val="00664F7A"/>
    <w:rsid w:val="00664FB2"/>
    <w:rsid w:val="00664FF1"/>
    <w:rsid w:val="006650C2"/>
    <w:rsid w:val="006650C3"/>
    <w:rsid w:val="006650FB"/>
    <w:rsid w:val="0066512C"/>
    <w:rsid w:val="00665194"/>
    <w:rsid w:val="006651FA"/>
    <w:rsid w:val="00665222"/>
    <w:rsid w:val="006652A0"/>
    <w:rsid w:val="006652CD"/>
    <w:rsid w:val="00665308"/>
    <w:rsid w:val="0066537E"/>
    <w:rsid w:val="00665429"/>
    <w:rsid w:val="00665463"/>
    <w:rsid w:val="00665471"/>
    <w:rsid w:val="00665474"/>
    <w:rsid w:val="00665479"/>
    <w:rsid w:val="00665483"/>
    <w:rsid w:val="00665494"/>
    <w:rsid w:val="006654B6"/>
    <w:rsid w:val="00665531"/>
    <w:rsid w:val="00665564"/>
    <w:rsid w:val="0066556C"/>
    <w:rsid w:val="00665579"/>
    <w:rsid w:val="0066564E"/>
    <w:rsid w:val="00665678"/>
    <w:rsid w:val="006656C3"/>
    <w:rsid w:val="006656DB"/>
    <w:rsid w:val="006656EC"/>
    <w:rsid w:val="00665763"/>
    <w:rsid w:val="0066577A"/>
    <w:rsid w:val="00665780"/>
    <w:rsid w:val="0066579D"/>
    <w:rsid w:val="006657B9"/>
    <w:rsid w:val="006657DD"/>
    <w:rsid w:val="0066582D"/>
    <w:rsid w:val="006658F6"/>
    <w:rsid w:val="00665904"/>
    <w:rsid w:val="0066594F"/>
    <w:rsid w:val="0066597C"/>
    <w:rsid w:val="006659BA"/>
    <w:rsid w:val="00665A0F"/>
    <w:rsid w:val="00665ACF"/>
    <w:rsid w:val="00665B10"/>
    <w:rsid w:val="00665B42"/>
    <w:rsid w:val="00665B5D"/>
    <w:rsid w:val="00665BA1"/>
    <w:rsid w:val="00665BC6"/>
    <w:rsid w:val="00665C7F"/>
    <w:rsid w:val="00665C98"/>
    <w:rsid w:val="00665CD2"/>
    <w:rsid w:val="00665CFF"/>
    <w:rsid w:val="00665D29"/>
    <w:rsid w:val="00665DD4"/>
    <w:rsid w:val="00665E7A"/>
    <w:rsid w:val="00665E8D"/>
    <w:rsid w:val="00665EAF"/>
    <w:rsid w:val="00665F0F"/>
    <w:rsid w:val="00665F46"/>
    <w:rsid w:val="00665F5E"/>
    <w:rsid w:val="00665F89"/>
    <w:rsid w:val="00665FE4"/>
    <w:rsid w:val="0066600E"/>
    <w:rsid w:val="0066601C"/>
    <w:rsid w:val="00666038"/>
    <w:rsid w:val="00666063"/>
    <w:rsid w:val="006660AD"/>
    <w:rsid w:val="00666128"/>
    <w:rsid w:val="0066612B"/>
    <w:rsid w:val="0066614D"/>
    <w:rsid w:val="006661A0"/>
    <w:rsid w:val="006661FA"/>
    <w:rsid w:val="00666255"/>
    <w:rsid w:val="00666279"/>
    <w:rsid w:val="006662A0"/>
    <w:rsid w:val="006662EE"/>
    <w:rsid w:val="00666330"/>
    <w:rsid w:val="006663C2"/>
    <w:rsid w:val="006663E3"/>
    <w:rsid w:val="006663F3"/>
    <w:rsid w:val="00666401"/>
    <w:rsid w:val="0066645B"/>
    <w:rsid w:val="00666487"/>
    <w:rsid w:val="006664A1"/>
    <w:rsid w:val="0066651B"/>
    <w:rsid w:val="0066653C"/>
    <w:rsid w:val="0066655D"/>
    <w:rsid w:val="0066656D"/>
    <w:rsid w:val="006665A2"/>
    <w:rsid w:val="006665A5"/>
    <w:rsid w:val="006665A9"/>
    <w:rsid w:val="006665B3"/>
    <w:rsid w:val="006665E5"/>
    <w:rsid w:val="00666613"/>
    <w:rsid w:val="0066668A"/>
    <w:rsid w:val="006666A5"/>
    <w:rsid w:val="006666C0"/>
    <w:rsid w:val="006666EB"/>
    <w:rsid w:val="0066670B"/>
    <w:rsid w:val="006668A0"/>
    <w:rsid w:val="006668CB"/>
    <w:rsid w:val="006668E7"/>
    <w:rsid w:val="0066693C"/>
    <w:rsid w:val="00666949"/>
    <w:rsid w:val="0066694D"/>
    <w:rsid w:val="0066697C"/>
    <w:rsid w:val="00666984"/>
    <w:rsid w:val="006669D7"/>
    <w:rsid w:val="00666A38"/>
    <w:rsid w:val="00666A44"/>
    <w:rsid w:val="00666B1D"/>
    <w:rsid w:val="00666B5F"/>
    <w:rsid w:val="00666B79"/>
    <w:rsid w:val="00666C68"/>
    <w:rsid w:val="00666CA3"/>
    <w:rsid w:val="00666CA6"/>
    <w:rsid w:val="00666D45"/>
    <w:rsid w:val="00666D58"/>
    <w:rsid w:val="00666D59"/>
    <w:rsid w:val="00666D7A"/>
    <w:rsid w:val="00666D8B"/>
    <w:rsid w:val="00666DB7"/>
    <w:rsid w:val="00666DE7"/>
    <w:rsid w:val="00666E3A"/>
    <w:rsid w:val="00666E3F"/>
    <w:rsid w:val="00666E4A"/>
    <w:rsid w:val="00666E66"/>
    <w:rsid w:val="00666EEA"/>
    <w:rsid w:val="00666EEE"/>
    <w:rsid w:val="00666EF2"/>
    <w:rsid w:val="00666FB2"/>
    <w:rsid w:val="00666FD4"/>
    <w:rsid w:val="0066705F"/>
    <w:rsid w:val="006670A7"/>
    <w:rsid w:val="006670E7"/>
    <w:rsid w:val="00667102"/>
    <w:rsid w:val="006671A4"/>
    <w:rsid w:val="00667229"/>
    <w:rsid w:val="0066728D"/>
    <w:rsid w:val="0066729A"/>
    <w:rsid w:val="00667309"/>
    <w:rsid w:val="006673E9"/>
    <w:rsid w:val="0066745E"/>
    <w:rsid w:val="0066745F"/>
    <w:rsid w:val="006674A6"/>
    <w:rsid w:val="0066750E"/>
    <w:rsid w:val="0066751B"/>
    <w:rsid w:val="0066753C"/>
    <w:rsid w:val="006675B3"/>
    <w:rsid w:val="006675B8"/>
    <w:rsid w:val="00667607"/>
    <w:rsid w:val="00667608"/>
    <w:rsid w:val="00667633"/>
    <w:rsid w:val="0066764C"/>
    <w:rsid w:val="00667650"/>
    <w:rsid w:val="006676A2"/>
    <w:rsid w:val="006676A8"/>
    <w:rsid w:val="006677CC"/>
    <w:rsid w:val="00667886"/>
    <w:rsid w:val="006678C4"/>
    <w:rsid w:val="006678C8"/>
    <w:rsid w:val="006678DC"/>
    <w:rsid w:val="006678E6"/>
    <w:rsid w:val="00667912"/>
    <w:rsid w:val="00667932"/>
    <w:rsid w:val="00667935"/>
    <w:rsid w:val="00667942"/>
    <w:rsid w:val="006679C0"/>
    <w:rsid w:val="00667A42"/>
    <w:rsid w:val="00667A66"/>
    <w:rsid w:val="00667A99"/>
    <w:rsid w:val="00667AD1"/>
    <w:rsid w:val="00667B70"/>
    <w:rsid w:val="00667B95"/>
    <w:rsid w:val="00667C4A"/>
    <w:rsid w:val="00667CD6"/>
    <w:rsid w:val="00667DB4"/>
    <w:rsid w:val="00667E2A"/>
    <w:rsid w:val="00667E7E"/>
    <w:rsid w:val="00667E9B"/>
    <w:rsid w:val="00667EB3"/>
    <w:rsid w:val="00667EB5"/>
    <w:rsid w:val="00667F0F"/>
    <w:rsid w:val="00667F57"/>
    <w:rsid w:val="00667F66"/>
    <w:rsid w:val="00667F85"/>
    <w:rsid w:val="00667F95"/>
    <w:rsid w:val="00670026"/>
    <w:rsid w:val="0067010B"/>
    <w:rsid w:val="0067014B"/>
    <w:rsid w:val="00670197"/>
    <w:rsid w:val="0067019A"/>
    <w:rsid w:val="006701F9"/>
    <w:rsid w:val="0067021D"/>
    <w:rsid w:val="00670246"/>
    <w:rsid w:val="0067026C"/>
    <w:rsid w:val="0067028E"/>
    <w:rsid w:val="006702AE"/>
    <w:rsid w:val="006702BD"/>
    <w:rsid w:val="0067030F"/>
    <w:rsid w:val="00670392"/>
    <w:rsid w:val="006703C7"/>
    <w:rsid w:val="00670456"/>
    <w:rsid w:val="006704DE"/>
    <w:rsid w:val="0067052C"/>
    <w:rsid w:val="0067058C"/>
    <w:rsid w:val="0067059F"/>
    <w:rsid w:val="00670638"/>
    <w:rsid w:val="0067067A"/>
    <w:rsid w:val="006706B1"/>
    <w:rsid w:val="006706CA"/>
    <w:rsid w:val="00670730"/>
    <w:rsid w:val="006707A8"/>
    <w:rsid w:val="006707B3"/>
    <w:rsid w:val="006707E5"/>
    <w:rsid w:val="0067085D"/>
    <w:rsid w:val="00670871"/>
    <w:rsid w:val="00670899"/>
    <w:rsid w:val="006708B2"/>
    <w:rsid w:val="00670919"/>
    <w:rsid w:val="00670923"/>
    <w:rsid w:val="0067095C"/>
    <w:rsid w:val="00670965"/>
    <w:rsid w:val="00670980"/>
    <w:rsid w:val="006709A3"/>
    <w:rsid w:val="006709D0"/>
    <w:rsid w:val="00670A3C"/>
    <w:rsid w:val="00670A58"/>
    <w:rsid w:val="00670A59"/>
    <w:rsid w:val="00670A5E"/>
    <w:rsid w:val="00670B4A"/>
    <w:rsid w:val="00670B8F"/>
    <w:rsid w:val="00670BF6"/>
    <w:rsid w:val="00670D30"/>
    <w:rsid w:val="00670DE3"/>
    <w:rsid w:val="00670DF3"/>
    <w:rsid w:val="00670E38"/>
    <w:rsid w:val="00670F5B"/>
    <w:rsid w:val="00670F6F"/>
    <w:rsid w:val="00670F89"/>
    <w:rsid w:val="00670FC7"/>
    <w:rsid w:val="00670FD4"/>
    <w:rsid w:val="00670FF8"/>
    <w:rsid w:val="00671059"/>
    <w:rsid w:val="006710A7"/>
    <w:rsid w:val="0067119E"/>
    <w:rsid w:val="006711E6"/>
    <w:rsid w:val="00671294"/>
    <w:rsid w:val="00671299"/>
    <w:rsid w:val="006712AF"/>
    <w:rsid w:val="006712BE"/>
    <w:rsid w:val="006712D4"/>
    <w:rsid w:val="006712E6"/>
    <w:rsid w:val="00671300"/>
    <w:rsid w:val="0067131D"/>
    <w:rsid w:val="00671371"/>
    <w:rsid w:val="006713AC"/>
    <w:rsid w:val="006713DB"/>
    <w:rsid w:val="006713E3"/>
    <w:rsid w:val="00671453"/>
    <w:rsid w:val="00671474"/>
    <w:rsid w:val="00671485"/>
    <w:rsid w:val="00671495"/>
    <w:rsid w:val="0067165C"/>
    <w:rsid w:val="0067167F"/>
    <w:rsid w:val="00671686"/>
    <w:rsid w:val="00671693"/>
    <w:rsid w:val="0067169E"/>
    <w:rsid w:val="006716B2"/>
    <w:rsid w:val="006717AF"/>
    <w:rsid w:val="00671810"/>
    <w:rsid w:val="0067182A"/>
    <w:rsid w:val="00671844"/>
    <w:rsid w:val="006718B6"/>
    <w:rsid w:val="006718B9"/>
    <w:rsid w:val="006718D7"/>
    <w:rsid w:val="00671906"/>
    <w:rsid w:val="0067199C"/>
    <w:rsid w:val="006719B3"/>
    <w:rsid w:val="006719E2"/>
    <w:rsid w:val="00671A05"/>
    <w:rsid w:val="00671A1F"/>
    <w:rsid w:val="00671A4A"/>
    <w:rsid w:val="00671A7D"/>
    <w:rsid w:val="00671A81"/>
    <w:rsid w:val="00671B05"/>
    <w:rsid w:val="00671B08"/>
    <w:rsid w:val="00671BBC"/>
    <w:rsid w:val="00671BD8"/>
    <w:rsid w:val="00671C93"/>
    <w:rsid w:val="00671CA5"/>
    <w:rsid w:val="00671CB2"/>
    <w:rsid w:val="00671CE3"/>
    <w:rsid w:val="00671CE6"/>
    <w:rsid w:val="00671D08"/>
    <w:rsid w:val="00671D85"/>
    <w:rsid w:val="00671D94"/>
    <w:rsid w:val="00671DC5"/>
    <w:rsid w:val="00671E1B"/>
    <w:rsid w:val="00671EF4"/>
    <w:rsid w:val="00671F61"/>
    <w:rsid w:val="00672108"/>
    <w:rsid w:val="00672186"/>
    <w:rsid w:val="006721F0"/>
    <w:rsid w:val="006721FC"/>
    <w:rsid w:val="00672209"/>
    <w:rsid w:val="00672210"/>
    <w:rsid w:val="00672233"/>
    <w:rsid w:val="00672247"/>
    <w:rsid w:val="006722A2"/>
    <w:rsid w:val="006722C0"/>
    <w:rsid w:val="00672393"/>
    <w:rsid w:val="006723A9"/>
    <w:rsid w:val="006723BE"/>
    <w:rsid w:val="006723D2"/>
    <w:rsid w:val="006723DB"/>
    <w:rsid w:val="006723F4"/>
    <w:rsid w:val="0067241A"/>
    <w:rsid w:val="0067242A"/>
    <w:rsid w:val="0067243F"/>
    <w:rsid w:val="006724A3"/>
    <w:rsid w:val="006724F5"/>
    <w:rsid w:val="00672507"/>
    <w:rsid w:val="00672519"/>
    <w:rsid w:val="006725F1"/>
    <w:rsid w:val="0067263F"/>
    <w:rsid w:val="006726B8"/>
    <w:rsid w:val="00672764"/>
    <w:rsid w:val="0067276F"/>
    <w:rsid w:val="0067284E"/>
    <w:rsid w:val="00672856"/>
    <w:rsid w:val="00672873"/>
    <w:rsid w:val="006728D4"/>
    <w:rsid w:val="00672988"/>
    <w:rsid w:val="006729DC"/>
    <w:rsid w:val="00672A10"/>
    <w:rsid w:val="00672ACC"/>
    <w:rsid w:val="00672BD8"/>
    <w:rsid w:val="00672C15"/>
    <w:rsid w:val="00672C24"/>
    <w:rsid w:val="00672C95"/>
    <w:rsid w:val="00672D2A"/>
    <w:rsid w:val="00672E2F"/>
    <w:rsid w:val="00672E7F"/>
    <w:rsid w:val="00672F3F"/>
    <w:rsid w:val="00672F4E"/>
    <w:rsid w:val="00672F9F"/>
    <w:rsid w:val="0067303F"/>
    <w:rsid w:val="0067312D"/>
    <w:rsid w:val="00673171"/>
    <w:rsid w:val="006731A6"/>
    <w:rsid w:val="00673227"/>
    <w:rsid w:val="00673246"/>
    <w:rsid w:val="00673252"/>
    <w:rsid w:val="00673259"/>
    <w:rsid w:val="0067334B"/>
    <w:rsid w:val="006733E0"/>
    <w:rsid w:val="00673425"/>
    <w:rsid w:val="006734E9"/>
    <w:rsid w:val="006734EC"/>
    <w:rsid w:val="00673538"/>
    <w:rsid w:val="00673571"/>
    <w:rsid w:val="006735EF"/>
    <w:rsid w:val="00673664"/>
    <w:rsid w:val="0067366D"/>
    <w:rsid w:val="00673676"/>
    <w:rsid w:val="006736F1"/>
    <w:rsid w:val="006736FC"/>
    <w:rsid w:val="0067379A"/>
    <w:rsid w:val="00673817"/>
    <w:rsid w:val="006738BD"/>
    <w:rsid w:val="006738D6"/>
    <w:rsid w:val="00673910"/>
    <w:rsid w:val="00673942"/>
    <w:rsid w:val="00673945"/>
    <w:rsid w:val="00673948"/>
    <w:rsid w:val="0067397F"/>
    <w:rsid w:val="00673A00"/>
    <w:rsid w:val="00673A1F"/>
    <w:rsid w:val="00673A25"/>
    <w:rsid w:val="00673A48"/>
    <w:rsid w:val="00673A91"/>
    <w:rsid w:val="00673A96"/>
    <w:rsid w:val="00673B11"/>
    <w:rsid w:val="00673B30"/>
    <w:rsid w:val="00673C0A"/>
    <w:rsid w:val="00673C2F"/>
    <w:rsid w:val="00673C76"/>
    <w:rsid w:val="00673CD9"/>
    <w:rsid w:val="00673D3E"/>
    <w:rsid w:val="00673D4E"/>
    <w:rsid w:val="00673D8A"/>
    <w:rsid w:val="00673DCF"/>
    <w:rsid w:val="00673DE3"/>
    <w:rsid w:val="00673E04"/>
    <w:rsid w:val="00673E46"/>
    <w:rsid w:val="00673E5B"/>
    <w:rsid w:val="00673E9F"/>
    <w:rsid w:val="00673F87"/>
    <w:rsid w:val="00673FCC"/>
    <w:rsid w:val="00673FD3"/>
    <w:rsid w:val="0067403D"/>
    <w:rsid w:val="00674089"/>
    <w:rsid w:val="006740C4"/>
    <w:rsid w:val="006740CA"/>
    <w:rsid w:val="0067413F"/>
    <w:rsid w:val="00674146"/>
    <w:rsid w:val="00674158"/>
    <w:rsid w:val="00674170"/>
    <w:rsid w:val="006741C0"/>
    <w:rsid w:val="006741E8"/>
    <w:rsid w:val="00674256"/>
    <w:rsid w:val="006742F2"/>
    <w:rsid w:val="00674311"/>
    <w:rsid w:val="00674313"/>
    <w:rsid w:val="0067434B"/>
    <w:rsid w:val="00674366"/>
    <w:rsid w:val="006743D6"/>
    <w:rsid w:val="0067448D"/>
    <w:rsid w:val="006744BE"/>
    <w:rsid w:val="00674608"/>
    <w:rsid w:val="00674677"/>
    <w:rsid w:val="006746CC"/>
    <w:rsid w:val="00674745"/>
    <w:rsid w:val="00674784"/>
    <w:rsid w:val="00674787"/>
    <w:rsid w:val="00674842"/>
    <w:rsid w:val="00674849"/>
    <w:rsid w:val="00674906"/>
    <w:rsid w:val="00674944"/>
    <w:rsid w:val="00674945"/>
    <w:rsid w:val="00674984"/>
    <w:rsid w:val="00674997"/>
    <w:rsid w:val="006749D1"/>
    <w:rsid w:val="006749E8"/>
    <w:rsid w:val="006749FF"/>
    <w:rsid w:val="00674AED"/>
    <w:rsid w:val="00674B09"/>
    <w:rsid w:val="00674B10"/>
    <w:rsid w:val="00674B2D"/>
    <w:rsid w:val="00674B41"/>
    <w:rsid w:val="00674B44"/>
    <w:rsid w:val="00674C58"/>
    <w:rsid w:val="00674D23"/>
    <w:rsid w:val="00674D2C"/>
    <w:rsid w:val="00674D5C"/>
    <w:rsid w:val="00674DE3"/>
    <w:rsid w:val="00674DE7"/>
    <w:rsid w:val="00674E0E"/>
    <w:rsid w:val="00674E20"/>
    <w:rsid w:val="00674EA9"/>
    <w:rsid w:val="00674EC5"/>
    <w:rsid w:val="00674ED9"/>
    <w:rsid w:val="00674F03"/>
    <w:rsid w:val="00674F0A"/>
    <w:rsid w:val="00674F3F"/>
    <w:rsid w:val="00674F40"/>
    <w:rsid w:val="00675002"/>
    <w:rsid w:val="00675081"/>
    <w:rsid w:val="006750F6"/>
    <w:rsid w:val="00675132"/>
    <w:rsid w:val="006751B6"/>
    <w:rsid w:val="006751EA"/>
    <w:rsid w:val="0067524E"/>
    <w:rsid w:val="0067528D"/>
    <w:rsid w:val="00675299"/>
    <w:rsid w:val="006752EE"/>
    <w:rsid w:val="006752F2"/>
    <w:rsid w:val="00675358"/>
    <w:rsid w:val="0067538B"/>
    <w:rsid w:val="006753C5"/>
    <w:rsid w:val="006753CA"/>
    <w:rsid w:val="006753FF"/>
    <w:rsid w:val="00675459"/>
    <w:rsid w:val="006754A8"/>
    <w:rsid w:val="006754A9"/>
    <w:rsid w:val="006754BE"/>
    <w:rsid w:val="006754FC"/>
    <w:rsid w:val="00675543"/>
    <w:rsid w:val="00675580"/>
    <w:rsid w:val="00675596"/>
    <w:rsid w:val="00675599"/>
    <w:rsid w:val="006755E6"/>
    <w:rsid w:val="006755F6"/>
    <w:rsid w:val="00675634"/>
    <w:rsid w:val="00675645"/>
    <w:rsid w:val="0067567F"/>
    <w:rsid w:val="00675732"/>
    <w:rsid w:val="0067578C"/>
    <w:rsid w:val="0067579D"/>
    <w:rsid w:val="006757BF"/>
    <w:rsid w:val="006758A6"/>
    <w:rsid w:val="0067591C"/>
    <w:rsid w:val="0067593B"/>
    <w:rsid w:val="00675953"/>
    <w:rsid w:val="00675A6C"/>
    <w:rsid w:val="00675A7D"/>
    <w:rsid w:val="00675A7F"/>
    <w:rsid w:val="00675A9C"/>
    <w:rsid w:val="00675B0B"/>
    <w:rsid w:val="00675BB7"/>
    <w:rsid w:val="00675C3F"/>
    <w:rsid w:val="00675C84"/>
    <w:rsid w:val="00675C8D"/>
    <w:rsid w:val="00675C8F"/>
    <w:rsid w:val="00675C99"/>
    <w:rsid w:val="00675CA6"/>
    <w:rsid w:val="00675CB2"/>
    <w:rsid w:val="00675CB7"/>
    <w:rsid w:val="00675D7C"/>
    <w:rsid w:val="00675DEA"/>
    <w:rsid w:val="00675DFF"/>
    <w:rsid w:val="00675E17"/>
    <w:rsid w:val="00675E2F"/>
    <w:rsid w:val="00675E38"/>
    <w:rsid w:val="00675EDD"/>
    <w:rsid w:val="00675EFB"/>
    <w:rsid w:val="00675F2B"/>
    <w:rsid w:val="00675F7C"/>
    <w:rsid w:val="00675F7E"/>
    <w:rsid w:val="00675F8B"/>
    <w:rsid w:val="00675FC7"/>
    <w:rsid w:val="0067602E"/>
    <w:rsid w:val="0067603A"/>
    <w:rsid w:val="0067610E"/>
    <w:rsid w:val="00676129"/>
    <w:rsid w:val="00676140"/>
    <w:rsid w:val="006761AC"/>
    <w:rsid w:val="006761BC"/>
    <w:rsid w:val="006761D0"/>
    <w:rsid w:val="0067623E"/>
    <w:rsid w:val="00676241"/>
    <w:rsid w:val="006762D8"/>
    <w:rsid w:val="00676302"/>
    <w:rsid w:val="0067631B"/>
    <w:rsid w:val="00676324"/>
    <w:rsid w:val="00676343"/>
    <w:rsid w:val="00676371"/>
    <w:rsid w:val="0067638C"/>
    <w:rsid w:val="006763AE"/>
    <w:rsid w:val="006763B9"/>
    <w:rsid w:val="006763C4"/>
    <w:rsid w:val="006763C5"/>
    <w:rsid w:val="0067642B"/>
    <w:rsid w:val="0067644C"/>
    <w:rsid w:val="00676475"/>
    <w:rsid w:val="006764F0"/>
    <w:rsid w:val="00676502"/>
    <w:rsid w:val="00676514"/>
    <w:rsid w:val="00676574"/>
    <w:rsid w:val="006765AF"/>
    <w:rsid w:val="006765D3"/>
    <w:rsid w:val="006765E1"/>
    <w:rsid w:val="006765FA"/>
    <w:rsid w:val="0067665B"/>
    <w:rsid w:val="0067666A"/>
    <w:rsid w:val="0067669C"/>
    <w:rsid w:val="006766A8"/>
    <w:rsid w:val="006766D0"/>
    <w:rsid w:val="006766EB"/>
    <w:rsid w:val="006766F1"/>
    <w:rsid w:val="006766F5"/>
    <w:rsid w:val="00676706"/>
    <w:rsid w:val="006767F2"/>
    <w:rsid w:val="00676803"/>
    <w:rsid w:val="0067681E"/>
    <w:rsid w:val="00676839"/>
    <w:rsid w:val="0067687B"/>
    <w:rsid w:val="006768C6"/>
    <w:rsid w:val="00676905"/>
    <w:rsid w:val="00676934"/>
    <w:rsid w:val="00676A1B"/>
    <w:rsid w:val="00676A9B"/>
    <w:rsid w:val="00676AAC"/>
    <w:rsid w:val="00676AC4"/>
    <w:rsid w:val="00676B2A"/>
    <w:rsid w:val="00676B38"/>
    <w:rsid w:val="00676B52"/>
    <w:rsid w:val="00676B86"/>
    <w:rsid w:val="00676C04"/>
    <w:rsid w:val="00676C35"/>
    <w:rsid w:val="00676C7B"/>
    <w:rsid w:val="00676CFB"/>
    <w:rsid w:val="00676D0A"/>
    <w:rsid w:val="00676DBF"/>
    <w:rsid w:val="00676E12"/>
    <w:rsid w:val="00676E18"/>
    <w:rsid w:val="00676E20"/>
    <w:rsid w:val="00676E6D"/>
    <w:rsid w:val="00676ED6"/>
    <w:rsid w:val="00676F27"/>
    <w:rsid w:val="00676FA2"/>
    <w:rsid w:val="00677010"/>
    <w:rsid w:val="00677031"/>
    <w:rsid w:val="0067703C"/>
    <w:rsid w:val="00677044"/>
    <w:rsid w:val="006770CE"/>
    <w:rsid w:val="00677103"/>
    <w:rsid w:val="00677168"/>
    <w:rsid w:val="00677194"/>
    <w:rsid w:val="006771CC"/>
    <w:rsid w:val="0067729B"/>
    <w:rsid w:val="006772E3"/>
    <w:rsid w:val="006772EF"/>
    <w:rsid w:val="006772F4"/>
    <w:rsid w:val="00677303"/>
    <w:rsid w:val="0067731C"/>
    <w:rsid w:val="0067733C"/>
    <w:rsid w:val="00677391"/>
    <w:rsid w:val="006773D3"/>
    <w:rsid w:val="006773DE"/>
    <w:rsid w:val="006773F8"/>
    <w:rsid w:val="00677453"/>
    <w:rsid w:val="006774A9"/>
    <w:rsid w:val="006774C9"/>
    <w:rsid w:val="006774DD"/>
    <w:rsid w:val="00677543"/>
    <w:rsid w:val="006775B2"/>
    <w:rsid w:val="006776B6"/>
    <w:rsid w:val="006776BB"/>
    <w:rsid w:val="006776C0"/>
    <w:rsid w:val="00677721"/>
    <w:rsid w:val="0067772B"/>
    <w:rsid w:val="0067777A"/>
    <w:rsid w:val="0067792D"/>
    <w:rsid w:val="00677963"/>
    <w:rsid w:val="006779E8"/>
    <w:rsid w:val="00677A26"/>
    <w:rsid w:val="00677AB3"/>
    <w:rsid w:val="00677AC3"/>
    <w:rsid w:val="00677B74"/>
    <w:rsid w:val="00677B93"/>
    <w:rsid w:val="00677BB5"/>
    <w:rsid w:val="00677BD5"/>
    <w:rsid w:val="00677CAD"/>
    <w:rsid w:val="00677CDB"/>
    <w:rsid w:val="00677CE4"/>
    <w:rsid w:val="00677D5D"/>
    <w:rsid w:val="00677D8F"/>
    <w:rsid w:val="00677E75"/>
    <w:rsid w:val="00677EDA"/>
    <w:rsid w:val="00677F25"/>
    <w:rsid w:val="00677F46"/>
    <w:rsid w:val="00677F6E"/>
    <w:rsid w:val="00677F98"/>
    <w:rsid w:val="00677FAD"/>
    <w:rsid w:val="00677FC9"/>
    <w:rsid w:val="00677FD9"/>
    <w:rsid w:val="00680004"/>
    <w:rsid w:val="00680015"/>
    <w:rsid w:val="00680043"/>
    <w:rsid w:val="006800C2"/>
    <w:rsid w:val="006800EE"/>
    <w:rsid w:val="0068010C"/>
    <w:rsid w:val="00680114"/>
    <w:rsid w:val="00680130"/>
    <w:rsid w:val="00680139"/>
    <w:rsid w:val="0068014A"/>
    <w:rsid w:val="0068014E"/>
    <w:rsid w:val="00680238"/>
    <w:rsid w:val="00680292"/>
    <w:rsid w:val="00680295"/>
    <w:rsid w:val="006802D3"/>
    <w:rsid w:val="006802D4"/>
    <w:rsid w:val="00680352"/>
    <w:rsid w:val="0068037A"/>
    <w:rsid w:val="0068038A"/>
    <w:rsid w:val="0068039E"/>
    <w:rsid w:val="006803E5"/>
    <w:rsid w:val="00680529"/>
    <w:rsid w:val="0068055E"/>
    <w:rsid w:val="00680566"/>
    <w:rsid w:val="0068060A"/>
    <w:rsid w:val="0068062E"/>
    <w:rsid w:val="00680649"/>
    <w:rsid w:val="0068067B"/>
    <w:rsid w:val="0068069C"/>
    <w:rsid w:val="006806D0"/>
    <w:rsid w:val="00680762"/>
    <w:rsid w:val="006807D2"/>
    <w:rsid w:val="00680809"/>
    <w:rsid w:val="00680846"/>
    <w:rsid w:val="0068085B"/>
    <w:rsid w:val="00680890"/>
    <w:rsid w:val="006808F7"/>
    <w:rsid w:val="00680930"/>
    <w:rsid w:val="0068094F"/>
    <w:rsid w:val="006809A2"/>
    <w:rsid w:val="006809A3"/>
    <w:rsid w:val="006809EA"/>
    <w:rsid w:val="00680AD2"/>
    <w:rsid w:val="00680BC4"/>
    <w:rsid w:val="00680BD8"/>
    <w:rsid w:val="00680BFB"/>
    <w:rsid w:val="00680BFD"/>
    <w:rsid w:val="00680C83"/>
    <w:rsid w:val="00680C88"/>
    <w:rsid w:val="00680C92"/>
    <w:rsid w:val="00680CD9"/>
    <w:rsid w:val="00680D50"/>
    <w:rsid w:val="00680DF3"/>
    <w:rsid w:val="00680E00"/>
    <w:rsid w:val="00680E04"/>
    <w:rsid w:val="00680E0F"/>
    <w:rsid w:val="00680E2D"/>
    <w:rsid w:val="00680E6B"/>
    <w:rsid w:val="00680E8E"/>
    <w:rsid w:val="00680EDC"/>
    <w:rsid w:val="00680EF2"/>
    <w:rsid w:val="00680EF4"/>
    <w:rsid w:val="00680F07"/>
    <w:rsid w:val="00680F64"/>
    <w:rsid w:val="00680FBC"/>
    <w:rsid w:val="00680FC4"/>
    <w:rsid w:val="00681001"/>
    <w:rsid w:val="0068103D"/>
    <w:rsid w:val="0068107C"/>
    <w:rsid w:val="00681090"/>
    <w:rsid w:val="006810B2"/>
    <w:rsid w:val="0068113A"/>
    <w:rsid w:val="00681140"/>
    <w:rsid w:val="00681154"/>
    <w:rsid w:val="0068118F"/>
    <w:rsid w:val="006811E6"/>
    <w:rsid w:val="006811FD"/>
    <w:rsid w:val="0068131B"/>
    <w:rsid w:val="00681321"/>
    <w:rsid w:val="0068133E"/>
    <w:rsid w:val="00681388"/>
    <w:rsid w:val="006813B6"/>
    <w:rsid w:val="006813C1"/>
    <w:rsid w:val="00681419"/>
    <w:rsid w:val="00681464"/>
    <w:rsid w:val="00681484"/>
    <w:rsid w:val="006814D6"/>
    <w:rsid w:val="006814F1"/>
    <w:rsid w:val="00681537"/>
    <w:rsid w:val="00681587"/>
    <w:rsid w:val="00681592"/>
    <w:rsid w:val="006815CA"/>
    <w:rsid w:val="006815CE"/>
    <w:rsid w:val="0068160F"/>
    <w:rsid w:val="0068163B"/>
    <w:rsid w:val="0068164A"/>
    <w:rsid w:val="00681681"/>
    <w:rsid w:val="0068169F"/>
    <w:rsid w:val="00681741"/>
    <w:rsid w:val="00681760"/>
    <w:rsid w:val="006817BF"/>
    <w:rsid w:val="006817EC"/>
    <w:rsid w:val="006817F3"/>
    <w:rsid w:val="0068188A"/>
    <w:rsid w:val="006818DE"/>
    <w:rsid w:val="00681935"/>
    <w:rsid w:val="00681950"/>
    <w:rsid w:val="00681996"/>
    <w:rsid w:val="0068199E"/>
    <w:rsid w:val="00681A0D"/>
    <w:rsid w:val="00681A2A"/>
    <w:rsid w:val="00681A45"/>
    <w:rsid w:val="00681A60"/>
    <w:rsid w:val="00681A69"/>
    <w:rsid w:val="00681ABB"/>
    <w:rsid w:val="00681AEC"/>
    <w:rsid w:val="00681AFA"/>
    <w:rsid w:val="00681B36"/>
    <w:rsid w:val="00681B3E"/>
    <w:rsid w:val="00681B98"/>
    <w:rsid w:val="00681C0E"/>
    <w:rsid w:val="00681C15"/>
    <w:rsid w:val="00681C1F"/>
    <w:rsid w:val="00681CE3"/>
    <w:rsid w:val="00681D24"/>
    <w:rsid w:val="00681DB4"/>
    <w:rsid w:val="00681DEB"/>
    <w:rsid w:val="00681E1A"/>
    <w:rsid w:val="00681E62"/>
    <w:rsid w:val="00681E6F"/>
    <w:rsid w:val="00681ED3"/>
    <w:rsid w:val="00681FCA"/>
    <w:rsid w:val="006821E4"/>
    <w:rsid w:val="006821EC"/>
    <w:rsid w:val="006821EE"/>
    <w:rsid w:val="0068221B"/>
    <w:rsid w:val="00682299"/>
    <w:rsid w:val="0068239D"/>
    <w:rsid w:val="006823C2"/>
    <w:rsid w:val="0068241D"/>
    <w:rsid w:val="0068242C"/>
    <w:rsid w:val="0068243E"/>
    <w:rsid w:val="0068249C"/>
    <w:rsid w:val="006824E4"/>
    <w:rsid w:val="006824E7"/>
    <w:rsid w:val="006824FB"/>
    <w:rsid w:val="00682566"/>
    <w:rsid w:val="00682571"/>
    <w:rsid w:val="006825B1"/>
    <w:rsid w:val="00682663"/>
    <w:rsid w:val="006826BE"/>
    <w:rsid w:val="006826F2"/>
    <w:rsid w:val="00682779"/>
    <w:rsid w:val="00682784"/>
    <w:rsid w:val="006827AB"/>
    <w:rsid w:val="006827EA"/>
    <w:rsid w:val="00682822"/>
    <w:rsid w:val="0068282A"/>
    <w:rsid w:val="00682849"/>
    <w:rsid w:val="0068289A"/>
    <w:rsid w:val="00682908"/>
    <w:rsid w:val="0068295A"/>
    <w:rsid w:val="00682975"/>
    <w:rsid w:val="0068299C"/>
    <w:rsid w:val="006829C9"/>
    <w:rsid w:val="006829E6"/>
    <w:rsid w:val="006829E9"/>
    <w:rsid w:val="00682A23"/>
    <w:rsid w:val="00682A32"/>
    <w:rsid w:val="00682A40"/>
    <w:rsid w:val="00682A41"/>
    <w:rsid w:val="00682A5B"/>
    <w:rsid w:val="00682A78"/>
    <w:rsid w:val="00682A7C"/>
    <w:rsid w:val="00682A81"/>
    <w:rsid w:val="00682B58"/>
    <w:rsid w:val="00682B77"/>
    <w:rsid w:val="00682BCB"/>
    <w:rsid w:val="00682BFB"/>
    <w:rsid w:val="00682CD2"/>
    <w:rsid w:val="00682D0A"/>
    <w:rsid w:val="00682D29"/>
    <w:rsid w:val="00682E00"/>
    <w:rsid w:val="00682E17"/>
    <w:rsid w:val="00682E42"/>
    <w:rsid w:val="00682E55"/>
    <w:rsid w:val="00682E8C"/>
    <w:rsid w:val="00682E95"/>
    <w:rsid w:val="00682EF5"/>
    <w:rsid w:val="00682F28"/>
    <w:rsid w:val="00682F3E"/>
    <w:rsid w:val="00682F40"/>
    <w:rsid w:val="00682F44"/>
    <w:rsid w:val="00682F4A"/>
    <w:rsid w:val="00682F6B"/>
    <w:rsid w:val="00682F6C"/>
    <w:rsid w:val="00682FB9"/>
    <w:rsid w:val="00682FBA"/>
    <w:rsid w:val="00682FD7"/>
    <w:rsid w:val="00683026"/>
    <w:rsid w:val="006830AD"/>
    <w:rsid w:val="00683107"/>
    <w:rsid w:val="0068310C"/>
    <w:rsid w:val="00683160"/>
    <w:rsid w:val="0068316D"/>
    <w:rsid w:val="006831AE"/>
    <w:rsid w:val="006831B7"/>
    <w:rsid w:val="00683205"/>
    <w:rsid w:val="0068322A"/>
    <w:rsid w:val="0068325C"/>
    <w:rsid w:val="00683261"/>
    <w:rsid w:val="006832BF"/>
    <w:rsid w:val="006832CA"/>
    <w:rsid w:val="006832D1"/>
    <w:rsid w:val="00683381"/>
    <w:rsid w:val="00683462"/>
    <w:rsid w:val="006835D0"/>
    <w:rsid w:val="0068361C"/>
    <w:rsid w:val="00683684"/>
    <w:rsid w:val="0068374B"/>
    <w:rsid w:val="0068375E"/>
    <w:rsid w:val="00683762"/>
    <w:rsid w:val="006837D7"/>
    <w:rsid w:val="0068380C"/>
    <w:rsid w:val="00683832"/>
    <w:rsid w:val="00683843"/>
    <w:rsid w:val="00683854"/>
    <w:rsid w:val="0068385A"/>
    <w:rsid w:val="0068394E"/>
    <w:rsid w:val="006839C5"/>
    <w:rsid w:val="006839E2"/>
    <w:rsid w:val="00683A1A"/>
    <w:rsid w:val="00683B5A"/>
    <w:rsid w:val="00683B81"/>
    <w:rsid w:val="00683BCC"/>
    <w:rsid w:val="00683C14"/>
    <w:rsid w:val="00683C1F"/>
    <w:rsid w:val="00683CD6"/>
    <w:rsid w:val="00683CE6"/>
    <w:rsid w:val="00683D7B"/>
    <w:rsid w:val="00683DBF"/>
    <w:rsid w:val="00683DE7"/>
    <w:rsid w:val="00683F01"/>
    <w:rsid w:val="00683F75"/>
    <w:rsid w:val="00683FD6"/>
    <w:rsid w:val="00684044"/>
    <w:rsid w:val="006840A6"/>
    <w:rsid w:val="0068417E"/>
    <w:rsid w:val="006841D9"/>
    <w:rsid w:val="006841E8"/>
    <w:rsid w:val="00684218"/>
    <w:rsid w:val="0068424D"/>
    <w:rsid w:val="00684275"/>
    <w:rsid w:val="0068428B"/>
    <w:rsid w:val="006842A4"/>
    <w:rsid w:val="006842A7"/>
    <w:rsid w:val="006842C2"/>
    <w:rsid w:val="006842DA"/>
    <w:rsid w:val="00684309"/>
    <w:rsid w:val="0068437C"/>
    <w:rsid w:val="00684396"/>
    <w:rsid w:val="006843AB"/>
    <w:rsid w:val="0068441C"/>
    <w:rsid w:val="006844F6"/>
    <w:rsid w:val="0068452F"/>
    <w:rsid w:val="0068455F"/>
    <w:rsid w:val="0068457D"/>
    <w:rsid w:val="006845AD"/>
    <w:rsid w:val="006845B5"/>
    <w:rsid w:val="006845C9"/>
    <w:rsid w:val="0068462F"/>
    <w:rsid w:val="0068463E"/>
    <w:rsid w:val="00684651"/>
    <w:rsid w:val="0068465B"/>
    <w:rsid w:val="00684672"/>
    <w:rsid w:val="006846B9"/>
    <w:rsid w:val="006846D5"/>
    <w:rsid w:val="0068475B"/>
    <w:rsid w:val="00684794"/>
    <w:rsid w:val="00684795"/>
    <w:rsid w:val="0068479A"/>
    <w:rsid w:val="0068479D"/>
    <w:rsid w:val="0068483C"/>
    <w:rsid w:val="00684894"/>
    <w:rsid w:val="006848BE"/>
    <w:rsid w:val="006848D8"/>
    <w:rsid w:val="0068493B"/>
    <w:rsid w:val="0068494D"/>
    <w:rsid w:val="00684974"/>
    <w:rsid w:val="006849A1"/>
    <w:rsid w:val="006849F1"/>
    <w:rsid w:val="00684A29"/>
    <w:rsid w:val="00684ACF"/>
    <w:rsid w:val="00684B0F"/>
    <w:rsid w:val="00684B64"/>
    <w:rsid w:val="00684B81"/>
    <w:rsid w:val="00684C16"/>
    <w:rsid w:val="00684C21"/>
    <w:rsid w:val="00684C33"/>
    <w:rsid w:val="00684C4E"/>
    <w:rsid w:val="00684C6F"/>
    <w:rsid w:val="00684CDE"/>
    <w:rsid w:val="00684D88"/>
    <w:rsid w:val="00684D93"/>
    <w:rsid w:val="00684DB0"/>
    <w:rsid w:val="00684E11"/>
    <w:rsid w:val="00684EA3"/>
    <w:rsid w:val="00684F61"/>
    <w:rsid w:val="00684F94"/>
    <w:rsid w:val="00684FD1"/>
    <w:rsid w:val="00684FE9"/>
    <w:rsid w:val="00685000"/>
    <w:rsid w:val="00685015"/>
    <w:rsid w:val="00685021"/>
    <w:rsid w:val="00685032"/>
    <w:rsid w:val="0068504C"/>
    <w:rsid w:val="0068508E"/>
    <w:rsid w:val="006850A2"/>
    <w:rsid w:val="0068517E"/>
    <w:rsid w:val="00685197"/>
    <w:rsid w:val="006851D7"/>
    <w:rsid w:val="0068523E"/>
    <w:rsid w:val="0068535D"/>
    <w:rsid w:val="00685361"/>
    <w:rsid w:val="0068536C"/>
    <w:rsid w:val="0068538D"/>
    <w:rsid w:val="006853AB"/>
    <w:rsid w:val="006853BB"/>
    <w:rsid w:val="0068545F"/>
    <w:rsid w:val="0068549D"/>
    <w:rsid w:val="006854A7"/>
    <w:rsid w:val="006854D6"/>
    <w:rsid w:val="006854EF"/>
    <w:rsid w:val="00685514"/>
    <w:rsid w:val="00685535"/>
    <w:rsid w:val="00685550"/>
    <w:rsid w:val="006855CE"/>
    <w:rsid w:val="00685606"/>
    <w:rsid w:val="00685658"/>
    <w:rsid w:val="00685659"/>
    <w:rsid w:val="006856BF"/>
    <w:rsid w:val="0068578D"/>
    <w:rsid w:val="006857A7"/>
    <w:rsid w:val="00685812"/>
    <w:rsid w:val="00685815"/>
    <w:rsid w:val="006858BD"/>
    <w:rsid w:val="00685959"/>
    <w:rsid w:val="0068595C"/>
    <w:rsid w:val="00685962"/>
    <w:rsid w:val="00685985"/>
    <w:rsid w:val="006859BD"/>
    <w:rsid w:val="006859C3"/>
    <w:rsid w:val="00685B02"/>
    <w:rsid w:val="00685B94"/>
    <w:rsid w:val="00685C9F"/>
    <w:rsid w:val="00685CBC"/>
    <w:rsid w:val="00685CC3"/>
    <w:rsid w:val="00685CEB"/>
    <w:rsid w:val="00685CF0"/>
    <w:rsid w:val="00685D2F"/>
    <w:rsid w:val="00685DB7"/>
    <w:rsid w:val="00685DCE"/>
    <w:rsid w:val="00685E12"/>
    <w:rsid w:val="00685E20"/>
    <w:rsid w:val="00685E24"/>
    <w:rsid w:val="00685F13"/>
    <w:rsid w:val="00685F1A"/>
    <w:rsid w:val="00685F3A"/>
    <w:rsid w:val="00685F6E"/>
    <w:rsid w:val="00685F99"/>
    <w:rsid w:val="00685FB3"/>
    <w:rsid w:val="00686033"/>
    <w:rsid w:val="006860C9"/>
    <w:rsid w:val="006860EB"/>
    <w:rsid w:val="00686180"/>
    <w:rsid w:val="006861E0"/>
    <w:rsid w:val="006861E9"/>
    <w:rsid w:val="006861EF"/>
    <w:rsid w:val="0068621E"/>
    <w:rsid w:val="00686223"/>
    <w:rsid w:val="0068627A"/>
    <w:rsid w:val="006862FA"/>
    <w:rsid w:val="006862FC"/>
    <w:rsid w:val="006862FF"/>
    <w:rsid w:val="00686312"/>
    <w:rsid w:val="0068633B"/>
    <w:rsid w:val="0068635B"/>
    <w:rsid w:val="00686397"/>
    <w:rsid w:val="006863AE"/>
    <w:rsid w:val="006863D9"/>
    <w:rsid w:val="00686474"/>
    <w:rsid w:val="0068647F"/>
    <w:rsid w:val="0068665B"/>
    <w:rsid w:val="0068670C"/>
    <w:rsid w:val="00686723"/>
    <w:rsid w:val="0068677F"/>
    <w:rsid w:val="006867D2"/>
    <w:rsid w:val="006867E1"/>
    <w:rsid w:val="0068684C"/>
    <w:rsid w:val="0068688E"/>
    <w:rsid w:val="006868AD"/>
    <w:rsid w:val="006868B7"/>
    <w:rsid w:val="006868CA"/>
    <w:rsid w:val="006868D5"/>
    <w:rsid w:val="006868E3"/>
    <w:rsid w:val="0068691D"/>
    <w:rsid w:val="00686956"/>
    <w:rsid w:val="0068696A"/>
    <w:rsid w:val="00686991"/>
    <w:rsid w:val="006869AC"/>
    <w:rsid w:val="006869B0"/>
    <w:rsid w:val="006869BF"/>
    <w:rsid w:val="006869CF"/>
    <w:rsid w:val="00686A3C"/>
    <w:rsid w:val="00686A7B"/>
    <w:rsid w:val="00686ABA"/>
    <w:rsid w:val="00686ACF"/>
    <w:rsid w:val="00686B07"/>
    <w:rsid w:val="00686B17"/>
    <w:rsid w:val="00686B8B"/>
    <w:rsid w:val="00686BA7"/>
    <w:rsid w:val="00686BEA"/>
    <w:rsid w:val="00686C82"/>
    <w:rsid w:val="00686C8B"/>
    <w:rsid w:val="00686CDC"/>
    <w:rsid w:val="00686CE1"/>
    <w:rsid w:val="00686CF7"/>
    <w:rsid w:val="00686CFB"/>
    <w:rsid w:val="00686D02"/>
    <w:rsid w:val="00686DE2"/>
    <w:rsid w:val="00686DE9"/>
    <w:rsid w:val="00686E05"/>
    <w:rsid w:val="00686E2B"/>
    <w:rsid w:val="00686E3F"/>
    <w:rsid w:val="00686E4F"/>
    <w:rsid w:val="00686E81"/>
    <w:rsid w:val="00686E95"/>
    <w:rsid w:val="00686EAF"/>
    <w:rsid w:val="00686EB5"/>
    <w:rsid w:val="00686EE2"/>
    <w:rsid w:val="00686EE9"/>
    <w:rsid w:val="00686EFD"/>
    <w:rsid w:val="00686F2B"/>
    <w:rsid w:val="00686F2C"/>
    <w:rsid w:val="00686F34"/>
    <w:rsid w:val="00686F76"/>
    <w:rsid w:val="00687008"/>
    <w:rsid w:val="00687014"/>
    <w:rsid w:val="00687084"/>
    <w:rsid w:val="006870B1"/>
    <w:rsid w:val="0068711E"/>
    <w:rsid w:val="0068715F"/>
    <w:rsid w:val="006871DD"/>
    <w:rsid w:val="00687248"/>
    <w:rsid w:val="00687261"/>
    <w:rsid w:val="00687272"/>
    <w:rsid w:val="006872DB"/>
    <w:rsid w:val="006872FB"/>
    <w:rsid w:val="0068732C"/>
    <w:rsid w:val="00687366"/>
    <w:rsid w:val="0068738A"/>
    <w:rsid w:val="006873D1"/>
    <w:rsid w:val="006873D3"/>
    <w:rsid w:val="006873ED"/>
    <w:rsid w:val="0068743C"/>
    <w:rsid w:val="00687443"/>
    <w:rsid w:val="0068746B"/>
    <w:rsid w:val="0068748F"/>
    <w:rsid w:val="006874A3"/>
    <w:rsid w:val="006874F1"/>
    <w:rsid w:val="0068756F"/>
    <w:rsid w:val="00687595"/>
    <w:rsid w:val="00687630"/>
    <w:rsid w:val="0068765A"/>
    <w:rsid w:val="00687673"/>
    <w:rsid w:val="00687681"/>
    <w:rsid w:val="006876B2"/>
    <w:rsid w:val="006876DE"/>
    <w:rsid w:val="00687727"/>
    <w:rsid w:val="00687737"/>
    <w:rsid w:val="00687775"/>
    <w:rsid w:val="006877DD"/>
    <w:rsid w:val="006877EB"/>
    <w:rsid w:val="0068780D"/>
    <w:rsid w:val="0068782D"/>
    <w:rsid w:val="00687842"/>
    <w:rsid w:val="00687860"/>
    <w:rsid w:val="006878AF"/>
    <w:rsid w:val="00687915"/>
    <w:rsid w:val="00687951"/>
    <w:rsid w:val="006879E1"/>
    <w:rsid w:val="00687A7C"/>
    <w:rsid w:val="00687A9A"/>
    <w:rsid w:val="00687AA7"/>
    <w:rsid w:val="00687AB8"/>
    <w:rsid w:val="00687B64"/>
    <w:rsid w:val="00687B81"/>
    <w:rsid w:val="00687BEA"/>
    <w:rsid w:val="00687C24"/>
    <w:rsid w:val="00687C32"/>
    <w:rsid w:val="00687C42"/>
    <w:rsid w:val="00687CF7"/>
    <w:rsid w:val="00687D28"/>
    <w:rsid w:val="00687DF7"/>
    <w:rsid w:val="00687DF9"/>
    <w:rsid w:val="00687DFA"/>
    <w:rsid w:val="00687E71"/>
    <w:rsid w:val="00687F9B"/>
    <w:rsid w:val="00687F9D"/>
    <w:rsid w:val="00687FBF"/>
    <w:rsid w:val="0069004A"/>
    <w:rsid w:val="00690074"/>
    <w:rsid w:val="00690080"/>
    <w:rsid w:val="0069009B"/>
    <w:rsid w:val="006900DD"/>
    <w:rsid w:val="00690118"/>
    <w:rsid w:val="00690177"/>
    <w:rsid w:val="00690199"/>
    <w:rsid w:val="006901BD"/>
    <w:rsid w:val="006902C1"/>
    <w:rsid w:val="006903DB"/>
    <w:rsid w:val="00690445"/>
    <w:rsid w:val="00690453"/>
    <w:rsid w:val="00690494"/>
    <w:rsid w:val="006904AC"/>
    <w:rsid w:val="006904B7"/>
    <w:rsid w:val="0069053E"/>
    <w:rsid w:val="00690550"/>
    <w:rsid w:val="00690567"/>
    <w:rsid w:val="00690588"/>
    <w:rsid w:val="00690592"/>
    <w:rsid w:val="0069060F"/>
    <w:rsid w:val="0069062C"/>
    <w:rsid w:val="0069064E"/>
    <w:rsid w:val="00690698"/>
    <w:rsid w:val="0069074A"/>
    <w:rsid w:val="0069075D"/>
    <w:rsid w:val="0069076A"/>
    <w:rsid w:val="006907A6"/>
    <w:rsid w:val="006907B6"/>
    <w:rsid w:val="006907CB"/>
    <w:rsid w:val="006907E3"/>
    <w:rsid w:val="006907FE"/>
    <w:rsid w:val="00690894"/>
    <w:rsid w:val="006908E8"/>
    <w:rsid w:val="00690906"/>
    <w:rsid w:val="00690910"/>
    <w:rsid w:val="0069098C"/>
    <w:rsid w:val="0069098D"/>
    <w:rsid w:val="00690A61"/>
    <w:rsid w:val="00690AC8"/>
    <w:rsid w:val="00690B54"/>
    <w:rsid w:val="00690B9A"/>
    <w:rsid w:val="00690BC2"/>
    <w:rsid w:val="00690C37"/>
    <w:rsid w:val="00690CAA"/>
    <w:rsid w:val="00690E44"/>
    <w:rsid w:val="00690E54"/>
    <w:rsid w:val="00690E87"/>
    <w:rsid w:val="00690E91"/>
    <w:rsid w:val="00690EA4"/>
    <w:rsid w:val="00690EC5"/>
    <w:rsid w:val="00690F12"/>
    <w:rsid w:val="00690F54"/>
    <w:rsid w:val="0069101A"/>
    <w:rsid w:val="0069104B"/>
    <w:rsid w:val="00691082"/>
    <w:rsid w:val="00691085"/>
    <w:rsid w:val="006910AF"/>
    <w:rsid w:val="00691126"/>
    <w:rsid w:val="00691144"/>
    <w:rsid w:val="00691186"/>
    <w:rsid w:val="00691197"/>
    <w:rsid w:val="006911DA"/>
    <w:rsid w:val="006911E5"/>
    <w:rsid w:val="00691274"/>
    <w:rsid w:val="00691386"/>
    <w:rsid w:val="006913C9"/>
    <w:rsid w:val="006913CE"/>
    <w:rsid w:val="00691415"/>
    <w:rsid w:val="0069144A"/>
    <w:rsid w:val="006914B9"/>
    <w:rsid w:val="006914BA"/>
    <w:rsid w:val="0069156A"/>
    <w:rsid w:val="006915BF"/>
    <w:rsid w:val="00691684"/>
    <w:rsid w:val="006916F1"/>
    <w:rsid w:val="006916F7"/>
    <w:rsid w:val="006916FB"/>
    <w:rsid w:val="006917B3"/>
    <w:rsid w:val="006917CC"/>
    <w:rsid w:val="00691825"/>
    <w:rsid w:val="00691897"/>
    <w:rsid w:val="00691997"/>
    <w:rsid w:val="006919B6"/>
    <w:rsid w:val="00691A67"/>
    <w:rsid w:val="00691A7D"/>
    <w:rsid w:val="00691A97"/>
    <w:rsid w:val="00691AFF"/>
    <w:rsid w:val="00691B19"/>
    <w:rsid w:val="00691B4F"/>
    <w:rsid w:val="00691B7E"/>
    <w:rsid w:val="00691C33"/>
    <w:rsid w:val="00691C72"/>
    <w:rsid w:val="00691C8A"/>
    <w:rsid w:val="00691CC5"/>
    <w:rsid w:val="00691CF5"/>
    <w:rsid w:val="00691D27"/>
    <w:rsid w:val="00691D4A"/>
    <w:rsid w:val="00691D6D"/>
    <w:rsid w:val="00691D72"/>
    <w:rsid w:val="00691DC4"/>
    <w:rsid w:val="00691DDA"/>
    <w:rsid w:val="00691E20"/>
    <w:rsid w:val="00691E37"/>
    <w:rsid w:val="00691E5A"/>
    <w:rsid w:val="00691E9E"/>
    <w:rsid w:val="00691EAE"/>
    <w:rsid w:val="00691EE2"/>
    <w:rsid w:val="00691F0C"/>
    <w:rsid w:val="00691F13"/>
    <w:rsid w:val="00691F6E"/>
    <w:rsid w:val="00691F72"/>
    <w:rsid w:val="00691FB8"/>
    <w:rsid w:val="0069209A"/>
    <w:rsid w:val="0069209D"/>
    <w:rsid w:val="006920C6"/>
    <w:rsid w:val="00692134"/>
    <w:rsid w:val="00692188"/>
    <w:rsid w:val="006921FA"/>
    <w:rsid w:val="00692218"/>
    <w:rsid w:val="00692289"/>
    <w:rsid w:val="006922A9"/>
    <w:rsid w:val="00692348"/>
    <w:rsid w:val="0069234F"/>
    <w:rsid w:val="00692363"/>
    <w:rsid w:val="00692365"/>
    <w:rsid w:val="0069238D"/>
    <w:rsid w:val="00692408"/>
    <w:rsid w:val="00692437"/>
    <w:rsid w:val="006924DB"/>
    <w:rsid w:val="00692570"/>
    <w:rsid w:val="00692593"/>
    <w:rsid w:val="0069259A"/>
    <w:rsid w:val="006925C5"/>
    <w:rsid w:val="006925E6"/>
    <w:rsid w:val="00692618"/>
    <w:rsid w:val="00692644"/>
    <w:rsid w:val="0069264E"/>
    <w:rsid w:val="006926A1"/>
    <w:rsid w:val="006926C2"/>
    <w:rsid w:val="0069276A"/>
    <w:rsid w:val="0069283C"/>
    <w:rsid w:val="00692889"/>
    <w:rsid w:val="006928D5"/>
    <w:rsid w:val="006928D8"/>
    <w:rsid w:val="00692915"/>
    <w:rsid w:val="00692917"/>
    <w:rsid w:val="00692935"/>
    <w:rsid w:val="006929D3"/>
    <w:rsid w:val="006929D5"/>
    <w:rsid w:val="006929E6"/>
    <w:rsid w:val="00692A39"/>
    <w:rsid w:val="00692A5F"/>
    <w:rsid w:val="00692AB1"/>
    <w:rsid w:val="00692ACA"/>
    <w:rsid w:val="00692B09"/>
    <w:rsid w:val="00692B6D"/>
    <w:rsid w:val="00692B88"/>
    <w:rsid w:val="00692C1F"/>
    <w:rsid w:val="00692C88"/>
    <w:rsid w:val="00692CE6"/>
    <w:rsid w:val="00692D83"/>
    <w:rsid w:val="00692DA4"/>
    <w:rsid w:val="00692DA9"/>
    <w:rsid w:val="00692DAD"/>
    <w:rsid w:val="00692DB1"/>
    <w:rsid w:val="00692E28"/>
    <w:rsid w:val="00692EC1"/>
    <w:rsid w:val="00692EF4"/>
    <w:rsid w:val="00692F9F"/>
    <w:rsid w:val="00692FDA"/>
    <w:rsid w:val="00692FFF"/>
    <w:rsid w:val="00693160"/>
    <w:rsid w:val="00693167"/>
    <w:rsid w:val="006931A2"/>
    <w:rsid w:val="006931AD"/>
    <w:rsid w:val="006931BC"/>
    <w:rsid w:val="006932DC"/>
    <w:rsid w:val="00693379"/>
    <w:rsid w:val="00693385"/>
    <w:rsid w:val="006933A4"/>
    <w:rsid w:val="00693415"/>
    <w:rsid w:val="00693463"/>
    <w:rsid w:val="00693502"/>
    <w:rsid w:val="0069352E"/>
    <w:rsid w:val="0069361F"/>
    <w:rsid w:val="0069369C"/>
    <w:rsid w:val="0069370C"/>
    <w:rsid w:val="00693749"/>
    <w:rsid w:val="0069374E"/>
    <w:rsid w:val="00693754"/>
    <w:rsid w:val="0069377A"/>
    <w:rsid w:val="006937A9"/>
    <w:rsid w:val="006937C0"/>
    <w:rsid w:val="00693871"/>
    <w:rsid w:val="006938A0"/>
    <w:rsid w:val="006938FE"/>
    <w:rsid w:val="006939DA"/>
    <w:rsid w:val="006939ED"/>
    <w:rsid w:val="006939FB"/>
    <w:rsid w:val="00693A92"/>
    <w:rsid w:val="00693AA6"/>
    <w:rsid w:val="00693ACE"/>
    <w:rsid w:val="00693B3E"/>
    <w:rsid w:val="00693C55"/>
    <w:rsid w:val="00693C84"/>
    <w:rsid w:val="00693CAA"/>
    <w:rsid w:val="00693CC2"/>
    <w:rsid w:val="00693CCF"/>
    <w:rsid w:val="00693CD8"/>
    <w:rsid w:val="00693CE0"/>
    <w:rsid w:val="00693CE2"/>
    <w:rsid w:val="00693CF2"/>
    <w:rsid w:val="00693D00"/>
    <w:rsid w:val="00693D64"/>
    <w:rsid w:val="00693DC4"/>
    <w:rsid w:val="00693DD5"/>
    <w:rsid w:val="00693DEB"/>
    <w:rsid w:val="00693E47"/>
    <w:rsid w:val="00693E6E"/>
    <w:rsid w:val="00693E84"/>
    <w:rsid w:val="00693E9A"/>
    <w:rsid w:val="00693F8B"/>
    <w:rsid w:val="00693FD9"/>
    <w:rsid w:val="00693FF3"/>
    <w:rsid w:val="00694037"/>
    <w:rsid w:val="0069403D"/>
    <w:rsid w:val="00694050"/>
    <w:rsid w:val="00694125"/>
    <w:rsid w:val="00694149"/>
    <w:rsid w:val="006941B2"/>
    <w:rsid w:val="00694227"/>
    <w:rsid w:val="00694257"/>
    <w:rsid w:val="006942A1"/>
    <w:rsid w:val="006942A3"/>
    <w:rsid w:val="006942B1"/>
    <w:rsid w:val="006942EC"/>
    <w:rsid w:val="00694322"/>
    <w:rsid w:val="00694339"/>
    <w:rsid w:val="00694358"/>
    <w:rsid w:val="0069438C"/>
    <w:rsid w:val="006943AA"/>
    <w:rsid w:val="006943CD"/>
    <w:rsid w:val="0069449C"/>
    <w:rsid w:val="006944A0"/>
    <w:rsid w:val="006944BA"/>
    <w:rsid w:val="006944E3"/>
    <w:rsid w:val="006944FF"/>
    <w:rsid w:val="00694507"/>
    <w:rsid w:val="0069451F"/>
    <w:rsid w:val="00694530"/>
    <w:rsid w:val="0069455F"/>
    <w:rsid w:val="00694576"/>
    <w:rsid w:val="0069457C"/>
    <w:rsid w:val="00694607"/>
    <w:rsid w:val="00694615"/>
    <w:rsid w:val="00694634"/>
    <w:rsid w:val="00694679"/>
    <w:rsid w:val="00694691"/>
    <w:rsid w:val="00694695"/>
    <w:rsid w:val="006946A4"/>
    <w:rsid w:val="006946A9"/>
    <w:rsid w:val="006946BD"/>
    <w:rsid w:val="006946C0"/>
    <w:rsid w:val="0069470A"/>
    <w:rsid w:val="00694736"/>
    <w:rsid w:val="0069475D"/>
    <w:rsid w:val="00694775"/>
    <w:rsid w:val="006947CA"/>
    <w:rsid w:val="00694821"/>
    <w:rsid w:val="00694839"/>
    <w:rsid w:val="00694842"/>
    <w:rsid w:val="00694843"/>
    <w:rsid w:val="0069484A"/>
    <w:rsid w:val="00694854"/>
    <w:rsid w:val="0069488F"/>
    <w:rsid w:val="006948CE"/>
    <w:rsid w:val="006948F6"/>
    <w:rsid w:val="00694941"/>
    <w:rsid w:val="006949C4"/>
    <w:rsid w:val="00694A4C"/>
    <w:rsid w:val="00694A9E"/>
    <w:rsid w:val="00694B49"/>
    <w:rsid w:val="00694B5A"/>
    <w:rsid w:val="00694B5F"/>
    <w:rsid w:val="00694B82"/>
    <w:rsid w:val="00694BB3"/>
    <w:rsid w:val="00694BC6"/>
    <w:rsid w:val="00694C13"/>
    <w:rsid w:val="00694C94"/>
    <w:rsid w:val="00694CA7"/>
    <w:rsid w:val="00694CB3"/>
    <w:rsid w:val="00694D00"/>
    <w:rsid w:val="00694D66"/>
    <w:rsid w:val="00694DF1"/>
    <w:rsid w:val="00694DF3"/>
    <w:rsid w:val="00694E04"/>
    <w:rsid w:val="00694E1D"/>
    <w:rsid w:val="00694E48"/>
    <w:rsid w:val="00694E5D"/>
    <w:rsid w:val="00694EA8"/>
    <w:rsid w:val="00694EBB"/>
    <w:rsid w:val="00694F1C"/>
    <w:rsid w:val="00694F76"/>
    <w:rsid w:val="00694F85"/>
    <w:rsid w:val="00694F96"/>
    <w:rsid w:val="00694FEE"/>
    <w:rsid w:val="0069504A"/>
    <w:rsid w:val="00695051"/>
    <w:rsid w:val="0069505D"/>
    <w:rsid w:val="006950A6"/>
    <w:rsid w:val="0069519B"/>
    <w:rsid w:val="006951DA"/>
    <w:rsid w:val="0069520F"/>
    <w:rsid w:val="00695219"/>
    <w:rsid w:val="00695289"/>
    <w:rsid w:val="0069529C"/>
    <w:rsid w:val="006952B8"/>
    <w:rsid w:val="006952EA"/>
    <w:rsid w:val="00695307"/>
    <w:rsid w:val="0069532D"/>
    <w:rsid w:val="00695391"/>
    <w:rsid w:val="00695419"/>
    <w:rsid w:val="0069543C"/>
    <w:rsid w:val="006954E8"/>
    <w:rsid w:val="00695532"/>
    <w:rsid w:val="006955E6"/>
    <w:rsid w:val="0069560F"/>
    <w:rsid w:val="0069561A"/>
    <w:rsid w:val="00695648"/>
    <w:rsid w:val="00695690"/>
    <w:rsid w:val="006956AE"/>
    <w:rsid w:val="006956B3"/>
    <w:rsid w:val="00695700"/>
    <w:rsid w:val="00695716"/>
    <w:rsid w:val="0069573C"/>
    <w:rsid w:val="0069573D"/>
    <w:rsid w:val="006957D0"/>
    <w:rsid w:val="00695813"/>
    <w:rsid w:val="00695820"/>
    <w:rsid w:val="00695821"/>
    <w:rsid w:val="0069588C"/>
    <w:rsid w:val="0069589E"/>
    <w:rsid w:val="006958E8"/>
    <w:rsid w:val="006958EA"/>
    <w:rsid w:val="0069591F"/>
    <w:rsid w:val="00695936"/>
    <w:rsid w:val="00695992"/>
    <w:rsid w:val="006959A3"/>
    <w:rsid w:val="006959C1"/>
    <w:rsid w:val="00695A01"/>
    <w:rsid w:val="00695A1F"/>
    <w:rsid w:val="00695A4F"/>
    <w:rsid w:val="00695A51"/>
    <w:rsid w:val="00695AE4"/>
    <w:rsid w:val="00695B01"/>
    <w:rsid w:val="00695B24"/>
    <w:rsid w:val="00695B3B"/>
    <w:rsid w:val="00695B49"/>
    <w:rsid w:val="00695B4B"/>
    <w:rsid w:val="00695C17"/>
    <w:rsid w:val="00695C24"/>
    <w:rsid w:val="00695C26"/>
    <w:rsid w:val="00695DD2"/>
    <w:rsid w:val="00695E2C"/>
    <w:rsid w:val="00695E39"/>
    <w:rsid w:val="00695E41"/>
    <w:rsid w:val="00695E45"/>
    <w:rsid w:val="00695E5E"/>
    <w:rsid w:val="00695E64"/>
    <w:rsid w:val="00695E87"/>
    <w:rsid w:val="00695EB3"/>
    <w:rsid w:val="00695F73"/>
    <w:rsid w:val="00695FCC"/>
    <w:rsid w:val="0069604A"/>
    <w:rsid w:val="006960AA"/>
    <w:rsid w:val="00696111"/>
    <w:rsid w:val="006961DE"/>
    <w:rsid w:val="006961FB"/>
    <w:rsid w:val="0069623C"/>
    <w:rsid w:val="0069632F"/>
    <w:rsid w:val="00696345"/>
    <w:rsid w:val="006963D6"/>
    <w:rsid w:val="006963DF"/>
    <w:rsid w:val="00696436"/>
    <w:rsid w:val="00696449"/>
    <w:rsid w:val="00696490"/>
    <w:rsid w:val="006964D5"/>
    <w:rsid w:val="006964DE"/>
    <w:rsid w:val="006965FC"/>
    <w:rsid w:val="006966BF"/>
    <w:rsid w:val="00696723"/>
    <w:rsid w:val="00696760"/>
    <w:rsid w:val="0069677E"/>
    <w:rsid w:val="0069678F"/>
    <w:rsid w:val="006967E6"/>
    <w:rsid w:val="00696861"/>
    <w:rsid w:val="006968BB"/>
    <w:rsid w:val="006968FB"/>
    <w:rsid w:val="00696960"/>
    <w:rsid w:val="00696992"/>
    <w:rsid w:val="006969B8"/>
    <w:rsid w:val="00696A08"/>
    <w:rsid w:val="00696A0B"/>
    <w:rsid w:val="00696A4A"/>
    <w:rsid w:val="00696AAE"/>
    <w:rsid w:val="00696B4E"/>
    <w:rsid w:val="00696B97"/>
    <w:rsid w:val="00696B9D"/>
    <w:rsid w:val="00696BF2"/>
    <w:rsid w:val="00696C8E"/>
    <w:rsid w:val="00696CAD"/>
    <w:rsid w:val="00696CC4"/>
    <w:rsid w:val="00696CC9"/>
    <w:rsid w:val="00696CD5"/>
    <w:rsid w:val="00696D4B"/>
    <w:rsid w:val="00696D4F"/>
    <w:rsid w:val="00696D8D"/>
    <w:rsid w:val="00696DE5"/>
    <w:rsid w:val="00696DEF"/>
    <w:rsid w:val="00696DFD"/>
    <w:rsid w:val="00696E52"/>
    <w:rsid w:val="00696ED4"/>
    <w:rsid w:val="00696EF6"/>
    <w:rsid w:val="00696F00"/>
    <w:rsid w:val="00696F04"/>
    <w:rsid w:val="00696FA3"/>
    <w:rsid w:val="00696FA7"/>
    <w:rsid w:val="0069702F"/>
    <w:rsid w:val="0069705C"/>
    <w:rsid w:val="00697063"/>
    <w:rsid w:val="006970DB"/>
    <w:rsid w:val="00697136"/>
    <w:rsid w:val="0069713F"/>
    <w:rsid w:val="0069715B"/>
    <w:rsid w:val="0069716D"/>
    <w:rsid w:val="00697178"/>
    <w:rsid w:val="0069719B"/>
    <w:rsid w:val="006971A4"/>
    <w:rsid w:val="006971C4"/>
    <w:rsid w:val="006971DF"/>
    <w:rsid w:val="006971ED"/>
    <w:rsid w:val="00697224"/>
    <w:rsid w:val="0069722F"/>
    <w:rsid w:val="00697230"/>
    <w:rsid w:val="00697375"/>
    <w:rsid w:val="00697390"/>
    <w:rsid w:val="006973EF"/>
    <w:rsid w:val="00697491"/>
    <w:rsid w:val="006974C5"/>
    <w:rsid w:val="0069751E"/>
    <w:rsid w:val="00697551"/>
    <w:rsid w:val="00697566"/>
    <w:rsid w:val="00697591"/>
    <w:rsid w:val="00697630"/>
    <w:rsid w:val="00697635"/>
    <w:rsid w:val="0069767D"/>
    <w:rsid w:val="00697736"/>
    <w:rsid w:val="006977A2"/>
    <w:rsid w:val="006977E8"/>
    <w:rsid w:val="00697839"/>
    <w:rsid w:val="00697846"/>
    <w:rsid w:val="00697853"/>
    <w:rsid w:val="0069786B"/>
    <w:rsid w:val="00697947"/>
    <w:rsid w:val="0069794C"/>
    <w:rsid w:val="00697986"/>
    <w:rsid w:val="006979B8"/>
    <w:rsid w:val="006979C2"/>
    <w:rsid w:val="00697A8E"/>
    <w:rsid w:val="00697AD0"/>
    <w:rsid w:val="00697B47"/>
    <w:rsid w:val="00697B9E"/>
    <w:rsid w:val="00697D73"/>
    <w:rsid w:val="00697D79"/>
    <w:rsid w:val="00697DC4"/>
    <w:rsid w:val="00697DDC"/>
    <w:rsid w:val="00697E6F"/>
    <w:rsid w:val="00697F07"/>
    <w:rsid w:val="00697F2C"/>
    <w:rsid w:val="00697F5A"/>
    <w:rsid w:val="00697F74"/>
    <w:rsid w:val="00697F92"/>
    <w:rsid w:val="00697FA3"/>
    <w:rsid w:val="006A0137"/>
    <w:rsid w:val="006A013F"/>
    <w:rsid w:val="006A017F"/>
    <w:rsid w:val="006A01C7"/>
    <w:rsid w:val="006A01E6"/>
    <w:rsid w:val="006A01F7"/>
    <w:rsid w:val="006A022A"/>
    <w:rsid w:val="006A023A"/>
    <w:rsid w:val="006A02C1"/>
    <w:rsid w:val="006A02FB"/>
    <w:rsid w:val="006A0319"/>
    <w:rsid w:val="006A0376"/>
    <w:rsid w:val="006A03D0"/>
    <w:rsid w:val="006A03D3"/>
    <w:rsid w:val="006A0425"/>
    <w:rsid w:val="006A042A"/>
    <w:rsid w:val="006A043C"/>
    <w:rsid w:val="006A0479"/>
    <w:rsid w:val="006A047E"/>
    <w:rsid w:val="006A0496"/>
    <w:rsid w:val="006A049A"/>
    <w:rsid w:val="006A04B6"/>
    <w:rsid w:val="006A04D2"/>
    <w:rsid w:val="006A05A3"/>
    <w:rsid w:val="006A0600"/>
    <w:rsid w:val="006A0601"/>
    <w:rsid w:val="006A0691"/>
    <w:rsid w:val="006A06B6"/>
    <w:rsid w:val="006A0700"/>
    <w:rsid w:val="006A072F"/>
    <w:rsid w:val="006A0787"/>
    <w:rsid w:val="006A0817"/>
    <w:rsid w:val="006A0820"/>
    <w:rsid w:val="006A0831"/>
    <w:rsid w:val="006A0852"/>
    <w:rsid w:val="006A085C"/>
    <w:rsid w:val="006A0880"/>
    <w:rsid w:val="006A0896"/>
    <w:rsid w:val="006A08C5"/>
    <w:rsid w:val="006A09AC"/>
    <w:rsid w:val="006A09E5"/>
    <w:rsid w:val="006A0A20"/>
    <w:rsid w:val="006A0A28"/>
    <w:rsid w:val="006A0AD8"/>
    <w:rsid w:val="006A0AF6"/>
    <w:rsid w:val="006A0B06"/>
    <w:rsid w:val="006A0B26"/>
    <w:rsid w:val="006A0B3F"/>
    <w:rsid w:val="006A0B40"/>
    <w:rsid w:val="006A0B80"/>
    <w:rsid w:val="006A0B83"/>
    <w:rsid w:val="006A0B87"/>
    <w:rsid w:val="006A0BAD"/>
    <w:rsid w:val="006A0C0E"/>
    <w:rsid w:val="006A0C27"/>
    <w:rsid w:val="006A0C36"/>
    <w:rsid w:val="006A0C39"/>
    <w:rsid w:val="006A0C43"/>
    <w:rsid w:val="006A0C68"/>
    <w:rsid w:val="006A0CC3"/>
    <w:rsid w:val="006A0D0E"/>
    <w:rsid w:val="006A0D3B"/>
    <w:rsid w:val="006A0D6A"/>
    <w:rsid w:val="006A0DD8"/>
    <w:rsid w:val="006A0EB3"/>
    <w:rsid w:val="006A0EE5"/>
    <w:rsid w:val="006A1007"/>
    <w:rsid w:val="006A1040"/>
    <w:rsid w:val="006A104F"/>
    <w:rsid w:val="006A1056"/>
    <w:rsid w:val="006A10CA"/>
    <w:rsid w:val="006A11CD"/>
    <w:rsid w:val="006A11F7"/>
    <w:rsid w:val="006A1204"/>
    <w:rsid w:val="006A122B"/>
    <w:rsid w:val="006A12EC"/>
    <w:rsid w:val="006A12EE"/>
    <w:rsid w:val="006A138A"/>
    <w:rsid w:val="006A13D4"/>
    <w:rsid w:val="006A13F3"/>
    <w:rsid w:val="006A146E"/>
    <w:rsid w:val="006A146F"/>
    <w:rsid w:val="006A14A2"/>
    <w:rsid w:val="006A14E3"/>
    <w:rsid w:val="006A14E8"/>
    <w:rsid w:val="006A157D"/>
    <w:rsid w:val="006A1581"/>
    <w:rsid w:val="006A1586"/>
    <w:rsid w:val="006A1595"/>
    <w:rsid w:val="006A15F4"/>
    <w:rsid w:val="006A1639"/>
    <w:rsid w:val="006A1718"/>
    <w:rsid w:val="006A1723"/>
    <w:rsid w:val="006A1731"/>
    <w:rsid w:val="006A173C"/>
    <w:rsid w:val="006A17E0"/>
    <w:rsid w:val="006A18A0"/>
    <w:rsid w:val="006A18B6"/>
    <w:rsid w:val="006A18BD"/>
    <w:rsid w:val="006A18CB"/>
    <w:rsid w:val="006A18D6"/>
    <w:rsid w:val="006A18EC"/>
    <w:rsid w:val="006A1901"/>
    <w:rsid w:val="006A1904"/>
    <w:rsid w:val="006A1931"/>
    <w:rsid w:val="006A1970"/>
    <w:rsid w:val="006A19B1"/>
    <w:rsid w:val="006A19E5"/>
    <w:rsid w:val="006A19EC"/>
    <w:rsid w:val="006A1A1C"/>
    <w:rsid w:val="006A1A73"/>
    <w:rsid w:val="006A1A83"/>
    <w:rsid w:val="006A1AFC"/>
    <w:rsid w:val="006A1C06"/>
    <w:rsid w:val="006A1CF3"/>
    <w:rsid w:val="006A1D69"/>
    <w:rsid w:val="006A1DFC"/>
    <w:rsid w:val="006A1DFF"/>
    <w:rsid w:val="006A1E3A"/>
    <w:rsid w:val="006A1EAB"/>
    <w:rsid w:val="006A1F60"/>
    <w:rsid w:val="006A1FA0"/>
    <w:rsid w:val="006A2024"/>
    <w:rsid w:val="006A20A8"/>
    <w:rsid w:val="006A20DE"/>
    <w:rsid w:val="006A20F1"/>
    <w:rsid w:val="006A20F5"/>
    <w:rsid w:val="006A213D"/>
    <w:rsid w:val="006A214C"/>
    <w:rsid w:val="006A2161"/>
    <w:rsid w:val="006A228E"/>
    <w:rsid w:val="006A22AC"/>
    <w:rsid w:val="006A22B1"/>
    <w:rsid w:val="006A22EA"/>
    <w:rsid w:val="006A22EE"/>
    <w:rsid w:val="006A234A"/>
    <w:rsid w:val="006A237E"/>
    <w:rsid w:val="006A2382"/>
    <w:rsid w:val="006A23DC"/>
    <w:rsid w:val="006A2403"/>
    <w:rsid w:val="006A24A7"/>
    <w:rsid w:val="006A24DA"/>
    <w:rsid w:val="006A24EC"/>
    <w:rsid w:val="006A24FD"/>
    <w:rsid w:val="006A252B"/>
    <w:rsid w:val="006A258D"/>
    <w:rsid w:val="006A25F2"/>
    <w:rsid w:val="006A265C"/>
    <w:rsid w:val="006A26A5"/>
    <w:rsid w:val="006A26FF"/>
    <w:rsid w:val="006A2754"/>
    <w:rsid w:val="006A278E"/>
    <w:rsid w:val="006A27BC"/>
    <w:rsid w:val="006A27C1"/>
    <w:rsid w:val="006A27D1"/>
    <w:rsid w:val="006A27F4"/>
    <w:rsid w:val="006A288A"/>
    <w:rsid w:val="006A28A1"/>
    <w:rsid w:val="006A28E0"/>
    <w:rsid w:val="006A294C"/>
    <w:rsid w:val="006A2951"/>
    <w:rsid w:val="006A2966"/>
    <w:rsid w:val="006A2976"/>
    <w:rsid w:val="006A29E9"/>
    <w:rsid w:val="006A29FA"/>
    <w:rsid w:val="006A2A11"/>
    <w:rsid w:val="006A2ADF"/>
    <w:rsid w:val="006A2AE7"/>
    <w:rsid w:val="006A2B40"/>
    <w:rsid w:val="006A2B5A"/>
    <w:rsid w:val="006A2BD1"/>
    <w:rsid w:val="006A2BD7"/>
    <w:rsid w:val="006A2BFC"/>
    <w:rsid w:val="006A2C51"/>
    <w:rsid w:val="006A2C52"/>
    <w:rsid w:val="006A2C56"/>
    <w:rsid w:val="006A2D20"/>
    <w:rsid w:val="006A2D39"/>
    <w:rsid w:val="006A2D47"/>
    <w:rsid w:val="006A2D57"/>
    <w:rsid w:val="006A2DC2"/>
    <w:rsid w:val="006A2DC5"/>
    <w:rsid w:val="006A2E0C"/>
    <w:rsid w:val="006A2EA3"/>
    <w:rsid w:val="006A2EAF"/>
    <w:rsid w:val="006A2F1E"/>
    <w:rsid w:val="006A2F5D"/>
    <w:rsid w:val="006A2F8A"/>
    <w:rsid w:val="006A2FB1"/>
    <w:rsid w:val="006A3002"/>
    <w:rsid w:val="006A311C"/>
    <w:rsid w:val="006A3173"/>
    <w:rsid w:val="006A317A"/>
    <w:rsid w:val="006A31C3"/>
    <w:rsid w:val="006A3243"/>
    <w:rsid w:val="006A3263"/>
    <w:rsid w:val="006A32C8"/>
    <w:rsid w:val="006A32D3"/>
    <w:rsid w:val="006A3367"/>
    <w:rsid w:val="006A339E"/>
    <w:rsid w:val="006A3466"/>
    <w:rsid w:val="006A348A"/>
    <w:rsid w:val="006A34E8"/>
    <w:rsid w:val="006A350D"/>
    <w:rsid w:val="006A353E"/>
    <w:rsid w:val="006A3639"/>
    <w:rsid w:val="006A3643"/>
    <w:rsid w:val="006A36E4"/>
    <w:rsid w:val="006A3700"/>
    <w:rsid w:val="006A3729"/>
    <w:rsid w:val="006A372F"/>
    <w:rsid w:val="006A3776"/>
    <w:rsid w:val="006A3797"/>
    <w:rsid w:val="006A37CE"/>
    <w:rsid w:val="006A3825"/>
    <w:rsid w:val="006A3869"/>
    <w:rsid w:val="006A3926"/>
    <w:rsid w:val="006A392B"/>
    <w:rsid w:val="006A3975"/>
    <w:rsid w:val="006A39F5"/>
    <w:rsid w:val="006A3A40"/>
    <w:rsid w:val="006A3A7E"/>
    <w:rsid w:val="006A3AA1"/>
    <w:rsid w:val="006A3B37"/>
    <w:rsid w:val="006A3B4A"/>
    <w:rsid w:val="006A3B5A"/>
    <w:rsid w:val="006A3B71"/>
    <w:rsid w:val="006A3B86"/>
    <w:rsid w:val="006A3C1F"/>
    <w:rsid w:val="006A3C58"/>
    <w:rsid w:val="006A3D46"/>
    <w:rsid w:val="006A3D50"/>
    <w:rsid w:val="006A3D53"/>
    <w:rsid w:val="006A3D78"/>
    <w:rsid w:val="006A3D92"/>
    <w:rsid w:val="006A3D93"/>
    <w:rsid w:val="006A3DA8"/>
    <w:rsid w:val="006A3DAE"/>
    <w:rsid w:val="006A3DBF"/>
    <w:rsid w:val="006A3DC4"/>
    <w:rsid w:val="006A3DDC"/>
    <w:rsid w:val="006A3E42"/>
    <w:rsid w:val="006A3E63"/>
    <w:rsid w:val="006A3EE1"/>
    <w:rsid w:val="006A3EFB"/>
    <w:rsid w:val="006A3F37"/>
    <w:rsid w:val="006A3F4B"/>
    <w:rsid w:val="006A3F6F"/>
    <w:rsid w:val="006A3F99"/>
    <w:rsid w:val="006A3FBE"/>
    <w:rsid w:val="006A4086"/>
    <w:rsid w:val="006A40B0"/>
    <w:rsid w:val="006A4104"/>
    <w:rsid w:val="006A4117"/>
    <w:rsid w:val="006A4128"/>
    <w:rsid w:val="006A4168"/>
    <w:rsid w:val="006A417E"/>
    <w:rsid w:val="006A41A2"/>
    <w:rsid w:val="006A427E"/>
    <w:rsid w:val="006A42BF"/>
    <w:rsid w:val="006A42E0"/>
    <w:rsid w:val="006A42F2"/>
    <w:rsid w:val="006A42FE"/>
    <w:rsid w:val="006A4315"/>
    <w:rsid w:val="006A436A"/>
    <w:rsid w:val="006A43A9"/>
    <w:rsid w:val="006A43DB"/>
    <w:rsid w:val="006A4416"/>
    <w:rsid w:val="006A4439"/>
    <w:rsid w:val="006A4477"/>
    <w:rsid w:val="006A44C2"/>
    <w:rsid w:val="006A44C8"/>
    <w:rsid w:val="006A44EB"/>
    <w:rsid w:val="006A450C"/>
    <w:rsid w:val="006A45C3"/>
    <w:rsid w:val="006A45D0"/>
    <w:rsid w:val="006A45E3"/>
    <w:rsid w:val="006A461F"/>
    <w:rsid w:val="006A46BA"/>
    <w:rsid w:val="006A46CE"/>
    <w:rsid w:val="006A4788"/>
    <w:rsid w:val="006A4890"/>
    <w:rsid w:val="006A4891"/>
    <w:rsid w:val="006A48B9"/>
    <w:rsid w:val="006A48CC"/>
    <w:rsid w:val="006A48CE"/>
    <w:rsid w:val="006A48E6"/>
    <w:rsid w:val="006A48F7"/>
    <w:rsid w:val="006A4961"/>
    <w:rsid w:val="006A49A4"/>
    <w:rsid w:val="006A49CD"/>
    <w:rsid w:val="006A4A5D"/>
    <w:rsid w:val="006A4A69"/>
    <w:rsid w:val="006A4A73"/>
    <w:rsid w:val="006A4AA3"/>
    <w:rsid w:val="006A4B32"/>
    <w:rsid w:val="006A4C0F"/>
    <w:rsid w:val="006A4C11"/>
    <w:rsid w:val="006A4C50"/>
    <w:rsid w:val="006A4C51"/>
    <w:rsid w:val="006A4D37"/>
    <w:rsid w:val="006A4D4B"/>
    <w:rsid w:val="006A4D68"/>
    <w:rsid w:val="006A4DFB"/>
    <w:rsid w:val="006A4DFE"/>
    <w:rsid w:val="006A4E13"/>
    <w:rsid w:val="006A4E56"/>
    <w:rsid w:val="006A4E93"/>
    <w:rsid w:val="006A4EB9"/>
    <w:rsid w:val="006A4EE0"/>
    <w:rsid w:val="006A4F4D"/>
    <w:rsid w:val="006A4F62"/>
    <w:rsid w:val="006A4F6B"/>
    <w:rsid w:val="006A4FFE"/>
    <w:rsid w:val="006A5060"/>
    <w:rsid w:val="006A5063"/>
    <w:rsid w:val="006A50A1"/>
    <w:rsid w:val="006A50CD"/>
    <w:rsid w:val="006A5131"/>
    <w:rsid w:val="006A51AD"/>
    <w:rsid w:val="006A51E2"/>
    <w:rsid w:val="006A5230"/>
    <w:rsid w:val="006A528F"/>
    <w:rsid w:val="006A52DB"/>
    <w:rsid w:val="006A5302"/>
    <w:rsid w:val="006A5380"/>
    <w:rsid w:val="006A539D"/>
    <w:rsid w:val="006A5426"/>
    <w:rsid w:val="006A5453"/>
    <w:rsid w:val="006A5469"/>
    <w:rsid w:val="006A54D1"/>
    <w:rsid w:val="006A54D4"/>
    <w:rsid w:val="006A5501"/>
    <w:rsid w:val="006A55BA"/>
    <w:rsid w:val="006A55D8"/>
    <w:rsid w:val="006A562B"/>
    <w:rsid w:val="006A5641"/>
    <w:rsid w:val="006A5679"/>
    <w:rsid w:val="006A56B5"/>
    <w:rsid w:val="006A5732"/>
    <w:rsid w:val="006A575B"/>
    <w:rsid w:val="006A578D"/>
    <w:rsid w:val="006A5889"/>
    <w:rsid w:val="006A588D"/>
    <w:rsid w:val="006A58E7"/>
    <w:rsid w:val="006A58FE"/>
    <w:rsid w:val="006A591E"/>
    <w:rsid w:val="006A5978"/>
    <w:rsid w:val="006A5993"/>
    <w:rsid w:val="006A59FE"/>
    <w:rsid w:val="006A5A08"/>
    <w:rsid w:val="006A5A0A"/>
    <w:rsid w:val="006A5A0D"/>
    <w:rsid w:val="006A5AAC"/>
    <w:rsid w:val="006A5AC8"/>
    <w:rsid w:val="006A5B32"/>
    <w:rsid w:val="006A5B5A"/>
    <w:rsid w:val="006A5B6A"/>
    <w:rsid w:val="006A5B7A"/>
    <w:rsid w:val="006A5C46"/>
    <w:rsid w:val="006A5C83"/>
    <w:rsid w:val="006A5CD3"/>
    <w:rsid w:val="006A5CE3"/>
    <w:rsid w:val="006A5CF3"/>
    <w:rsid w:val="006A5D0D"/>
    <w:rsid w:val="006A5D15"/>
    <w:rsid w:val="006A5D1C"/>
    <w:rsid w:val="006A5D57"/>
    <w:rsid w:val="006A5DA1"/>
    <w:rsid w:val="006A5EAB"/>
    <w:rsid w:val="006A5EAF"/>
    <w:rsid w:val="006A5EC5"/>
    <w:rsid w:val="006A5EE3"/>
    <w:rsid w:val="006A5F03"/>
    <w:rsid w:val="006A5F7E"/>
    <w:rsid w:val="006A5F9F"/>
    <w:rsid w:val="006A6032"/>
    <w:rsid w:val="006A6045"/>
    <w:rsid w:val="006A6051"/>
    <w:rsid w:val="006A6086"/>
    <w:rsid w:val="006A60BE"/>
    <w:rsid w:val="006A612C"/>
    <w:rsid w:val="006A6149"/>
    <w:rsid w:val="006A6185"/>
    <w:rsid w:val="006A61BA"/>
    <w:rsid w:val="006A6223"/>
    <w:rsid w:val="006A6263"/>
    <w:rsid w:val="006A626B"/>
    <w:rsid w:val="006A628E"/>
    <w:rsid w:val="006A62E8"/>
    <w:rsid w:val="006A6305"/>
    <w:rsid w:val="006A632C"/>
    <w:rsid w:val="006A63A6"/>
    <w:rsid w:val="006A6415"/>
    <w:rsid w:val="006A6458"/>
    <w:rsid w:val="006A6461"/>
    <w:rsid w:val="006A6471"/>
    <w:rsid w:val="006A6498"/>
    <w:rsid w:val="006A64E5"/>
    <w:rsid w:val="006A6509"/>
    <w:rsid w:val="006A6580"/>
    <w:rsid w:val="006A6612"/>
    <w:rsid w:val="006A6619"/>
    <w:rsid w:val="006A664C"/>
    <w:rsid w:val="006A6655"/>
    <w:rsid w:val="006A6709"/>
    <w:rsid w:val="006A671C"/>
    <w:rsid w:val="006A6770"/>
    <w:rsid w:val="006A67F9"/>
    <w:rsid w:val="006A6828"/>
    <w:rsid w:val="006A68F3"/>
    <w:rsid w:val="006A6932"/>
    <w:rsid w:val="006A69C0"/>
    <w:rsid w:val="006A69E4"/>
    <w:rsid w:val="006A6A6F"/>
    <w:rsid w:val="006A6B3A"/>
    <w:rsid w:val="006A6B81"/>
    <w:rsid w:val="006A6BCD"/>
    <w:rsid w:val="006A6BF4"/>
    <w:rsid w:val="006A6BF5"/>
    <w:rsid w:val="006A6C24"/>
    <w:rsid w:val="006A6C38"/>
    <w:rsid w:val="006A6CA5"/>
    <w:rsid w:val="006A6CBA"/>
    <w:rsid w:val="006A6CCE"/>
    <w:rsid w:val="006A6CFB"/>
    <w:rsid w:val="006A6D35"/>
    <w:rsid w:val="006A6DAA"/>
    <w:rsid w:val="006A6E71"/>
    <w:rsid w:val="006A6E7A"/>
    <w:rsid w:val="006A6EEA"/>
    <w:rsid w:val="006A6F1A"/>
    <w:rsid w:val="006A6F22"/>
    <w:rsid w:val="006A6F3B"/>
    <w:rsid w:val="006A6F5C"/>
    <w:rsid w:val="006A6F7D"/>
    <w:rsid w:val="006A6FA1"/>
    <w:rsid w:val="006A6FD3"/>
    <w:rsid w:val="006A701E"/>
    <w:rsid w:val="006A7058"/>
    <w:rsid w:val="006A70E2"/>
    <w:rsid w:val="006A7100"/>
    <w:rsid w:val="006A7172"/>
    <w:rsid w:val="006A7199"/>
    <w:rsid w:val="006A71AA"/>
    <w:rsid w:val="006A7232"/>
    <w:rsid w:val="006A72CF"/>
    <w:rsid w:val="006A7309"/>
    <w:rsid w:val="006A733E"/>
    <w:rsid w:val="006A7362"/>
    <w:rsid w:val="006A7381"/>
    <w:rsid w:val="006A738D"/>
    <w:rsid w:val="006A74BA"/>
    <w:rsid w:val="006A758A"/>
    <w:rsid w:val="006A758F"/>
    <w:rsid w:val="006A7594"/>
    <w:rsid w:val="006A75C0"/>
    <w:rsid w:val="006A7615"/>
    <w:rsid w:val="006A7622"/>
    <w:rsid w:val="006A7675"/>
    <w:rsid w:val="006A76E6"/>
    <w:rsid w:val="006A7729"/>
    <w:rsid w:val="006A775C"/>
    <w:rsid w:val="006A77CD"/>
    <w:rsid w:val="006A782B"/>
    <w:rsid w:val="006A7841"/>
    <w:rsid w:val="006A784B"/>
    <w:rsid w:val="006A7891"/>
    <w:rsid w:val="006A78A9"/>
    <w:rsid w:val="006A78AE"/>
    <w:rsid w:val="006A78D5"/>
    <w:rsid w:val="006A7909"/>
    <w:rsid w:val="006A795E"/>
    <w:rsid w:val="006A798A"/>
    <w:rsid w:val="006A7991"/>
    <w:rsid w:val="006A79A9"/>
    <w:rsid w:val="006A79F7"/>
    <w:rsid w:val="006A7A64"/>
    <w:rsid w:val="006A7B1D"/>
    <w:rsid w:val="006A7B38"/>
    <w:rsid w:val="006A7B98"/>
    <w:rsid w:val="006A7BF3"/>
    <w:rsid w:val="006A7C10"/>
    <w:rsid w:val="006A7C3F"/>
    <w:rsid w:val="006A7C4C"/>
    <w:rsid w:val="006A7DAA"/>
    <w:rsid w:val="006A7DE3"/>
    <w:rsid w:val="006A7E2E"/>
    <w:rsid w:val="006A7E7D"/>
    <w:rsid w:val="006A7E85"/>
    <w:rsid w:val="006A7E95"/>
    <w:rsid w:val="006A7EA7"/>
    <w:rsid w:val="006A7EC4"/>
    <w:rsid w:val="006A7EF3"/>
    <w:rsid w:val="006A7FCD"/>
    <w:rsid w:val="006ADD47"/>
    <w:rsid w:val="006B0035"/>
    <w:rsid w:val="006B0045"/>
    <w:rsid w:val="006B0088"/>
    <w:rsid w:val="006B00AC"/>
    <w:rsid w:val="006B00E9"/>
    <w:rsid w:val="006B00EA"/>
    <w:rsid w:val="006B0139"/>
    <w:rsid w:val="006B026E"/>
    <w:rsid w:val="006B02FB"/>
    <w:rsid w:val="006B030C"/>
    <w:rsid w:val="006B0328"/>
    <w:rsid w:val="006B033A"/>
    <w:rsid w:val="006B0392"/>
    <w:rsid w:val="006B03B7"/>
    <w:rsid w:val="006B042B"/>
    <w:rsid w:val="006B042F"/>
    <w:rsid w:val="006B043F"/>
    <w:rsid w:val="006B0448"/>
    <w:rsid w:val="006B045C"/>
    <w:rsid w:val="006B04C7"/>
    <w:rsid w:val="006B04E4"/>
    <w:rsid w:val="006B055E"/>
    <w:rsid w:val="006B0587"/>
    <w:rsid w:val="006B058A"/>
    <w:rsid w:val="006B05AF"/>
    <w:rsid w:val="006B05D4"/>
    <w:rsid w:val="006B05D5"/>
    <w:rsid w:val="006B05DE"/>
    <w:rsid w:val="006B05F7"/>
    <w:rsid w:val="006B0662"/>
    <w:rsid w:val="006B0683"/>
    <w:rsid w:val="006B0689"/>
    <w:rsid w:val="006B06D5"/>
    <w:rsid w:val="006B0823"/>
    <w:rsid w:val="006B087E"/>
    <w:rsid w:val="006B0880"/>
    <w:rsid w:val="006B0929"/>
    <w:rsid w:val="006B093A"/>
    <w:rsid w:val="006B094C"/>
    <w:rsid w:val="006B09C6"/>
    <w:rsid w:val="006B0A2E"/>
    <w:rsid w:val="006B0A43"/>
    <w:rsid w:val="006B0B73"/>
    <w:rsid w:val="006B0BCC"/>
    <w:rsid w:val="006B0BF0"/>
    <w:rsid w:val="006B0BF6"/>
    <w:rsid w:val="006B0BFC"/>
    <w:rsid w:val="006B0C1A"/>
    <w:rsid w:val="006B0C6E"/>
    <w:rsid w:val="006B0C9E"/>
    <w:rsid w:val="006B0CE3"/>
    <w:rsid w:val="006B0CEC"/>
    <w:rsid w:val="006B0CEE"/>
    <w:rsid w:val="006B0D06"/>
    <w:rsid w:val="006B0D16"/>
    <w:rsid w:val="006B0D3F"/>
    <w:rsid w:val="006B0DED"/>
    <w:rsid w:val="006B0DF4"/>
    <w:rsid w:val="006B0E5F"/>
    <w:rsid w:val="006B0E61"/>
    <w:rsid w:val="006B0EF6"/>
    <w:rsid w:val="006B0F1E"/>
    <w:rsid w:val="006B0F83"/>
    <w:rsid w:val="006B1053"/>
    <w:rsid w:val="006B10E7"/>
    <w:rsid w:val="006B1147"/>
    <w:rsid w:val="006B1163"/>
    <w:rsid w:val="006B11E0"/>
    <w:rsid w:val="006B1231"/>
    <w:rsid w:val="006B1244"/>
    <w:rsid w:val="006B12D0"/>
    <w:rsid w:val="006B12D7"/>
    <w:rsid w:val="006B12E1"/>
    <w:rsid w:val="006B130A"/>
    <w:rsid w:val="006B130C"/>
    <w:rsid w:val="006B1320"/>
    <w:rsid w:val="006B1364"/>
    <w:rsid w:val="006B1367"/>
    <w:rsid w:val="006B13DA"/>
    <w:rsid w:val="006B140E"/>
    <w:rsid w:val="006B142F"/>
    <w:rsid w:val="006B1432"/>
    <w:rsid w:val="006B1433"/>
    <w:rsid w:val="006B143B"/>
    <w:rsid w:val="006B1470"/>
    <w:rsid w:val="006B14AD"/>
    <w:rsid w:val="006B14D8"/>
    <w:rsid w:val="006B14EA"/>
    <w:rsid w:val="006B1525"/>
    <w:rsid w:val="006B1601"/>
    <w:rsid w:val="006B1603"/>
    <w:rsid w:val="006B1635"/>
    <w:rsid w:val="006B1692"/>
    <w:rsid w:val="006B16A6"/>
    <w:rsid w:val="006B16C4"/>
    <w:rsid w:val="006B1702"/>
    <w:rsid w:val="006B1742"/>
    <w:rsid w:val="006B1747"/>
    <w:rsid w:val="006B177C"/>
    <w:rsid w:val="006B17C8"/>
    <w:rsid w:val="006B188C"/>
    <w:rsid w:val="006B18AB"/>
    <w:rsid w:val="006B18EB"/>
    <w:rsid w:val="006B19F3"/>
    <w:rsid w:val="006B1A05"/>
    <w:rsid w:val="006B1A0A"/>
    <w:rsid w:val="006B1A3A"/>
    <w:rsid w:val="006B1AF7"/>
    <w:rsid w:val="006B1B53"/>
    <w:rsid w:val="006B1B6D"/>
    <w:rsid w:val="006B1BB1"/>
    <w:rsid w:val="006B1BC3"/>
    <w:rsid w:val="006B1BC4"/>
    <w:rsid w:val="006B1BC5"/>
    <w:rsid w:val="006B1BC8"/>
    <w:rsid w:val="006B1BDB"/>
    <w:rsid w:val="006B1C29"/>
    <w:rsid w:val="006B1CEA"/>
    <w:rsid w:val="006B1D20"/>
    <w:rsid w:val="006B1D33"/>
    <w:rsid w:val="006B1D3C"/>
    <w:rsid w:val="006B1D52"/>
    <w:rsid w:val="006B1D56"/>
    <w:rsid w:val="006B1DBD"/>
    <w:rsid w:val="006B1DDA"/>
    <w:rsid w:val="006B1E10"/>
    <w:rsid w:val="006B1E1F"/>
    <w:rsid w:val="006B1E2D"/>
    <w:rsid w:val="006B1E56"/>
    <w:rsid w:val="006B1F14"/>
    <w:rsid w:val="006B1F50"/>
    <w:rsid w:val="006B2007"/>
    <w:rsid w:val="006B201F"/>
    <w:rsid w:val="006B204C"/>
    <w:rsid w:val="006B2123"/>
    <w:rsid w:val="006B21A9"/>
    <w:rsid w:val="006B21BD"/>
    <w:rsid w:val="006B21D7"/>
    <w:rsid w:val="006B221A"/>
    <w:rsid w:val="006B221E"/>
    <w:rsid w:val="006B2226"/>
    <w:rsid w:val="006B228F"/>
    <w:rsid w:val="006B22A9"/>
    <w:rsid w:val="006B22DC"/>
    <w:rsid w:val="006B22ED"/>
    <w:rsid w:val="006B22F1"/>
    <w:rsid w:val="006B230A"/>
    <w:rsid w:val="006B232A"/>
    <w:rsid w:val="006B233D"/>
    <w:rsid w:val="006B2342"/>
    <w:rsid w:val="006B23E2"/>
    <w:rsid w:val="006B23EC"/>
    <w:rsid w:val="006B242F"/>
    <w:rsid w:val="006B2496"/>
    <w:rsid w:val="006B2524"/>
    <w:rsid w:val="006B2527"/>
    <w:rsid w:val="006B255D"/>
    <w:rsid w:val="006B256C"/>
    <w:rsid w:val="006B2582"/>
    <w:rsid w:val="006B25A8"/>
    <w:rsid w:val="006B25C9"/>
    <w:rsid w:val="006B25D4"/>
    <w:rsid w:val="006B2651"/>
    <w:rsid w:val="006B2680"/>
    <w:rsid w:val="006B269C"/>
    <w:rsid w:val="006B26CA"/>
    <w:rsid w:val="006B26D8"/>
    <w:rsid w:val="006B26F6"/>
    <w:rsid w:val="006B2721"/>
    <w:rsid w:val="006B2799"/>
    <w:rsid w:val="006B279F"/>
    <w:rsid w:val="006B27AD"/>
    <w:rsid w:val="006B27B2"/>
    <w:rsid w:val="006B2814"/>
    <w:rsid w:val="006B281C"/>
    <w:rsid w:val="006B281F"/>
    <w:rsid w:val="006B2829"/>
    <w:rsid w:val="006B282C"/>
    <w:rsid w:val="006B283B"/>
    <w:rsid w:val="006B284B"/>
    <w:rsid w:val="006B286C"/>
    <w:rsid w:val="006B28B5"/>
    <w:rsid w:val="006B28BF"/>
    <w:rsid w:val="006B2955"/>
    <w:rsid w:val="006B2963"/>
    <w:rsid w:val="006B296C"/>
    <w:rsid w:val="006B2999"/>
    <w:rsid w:val="006B299F"/>
    <w:rsid w:val="006B29AB"/>
    <w:rsid w:val="006B29CC"/>
    <w:rsid w:val="006B29EA"/>
    <w:rsid w:val="006B2A0F"/>
    <w:rsid w:val="006B2A25"/>
    <w:rsid w:val="006B2A7D"/>
    <w:rsid w:val="006B2B01"/>
    <w:rsid w:val="006B2C00"/>
    <w:rsid w:val="006B2C2A"/>
    <w:rsid w:val="006B2C35"/>
    <w:rsid w:val="006B2C4B"/>
    <w:rsid w:val="006B2C51"/>
    <w:rsid w:val="006B2C77"/>
    <w:rsid w:val="006B2C8E"/>
    <w:rsid w:val="006B2CB6"/>
    <w:rsid w:val="006B2D2F"/>
    <w:rsid w:val="006B2D6C"/>
    <w:rsid w:val="006B2D82"/>
    <w:rsid w:val="006B2DCF"/>
    <w:rsid w:val="006B2E0C"/>
    <w:rsid w:val="006B2E2E"/>
    <w:rsid w:val="006B2E52"/>
    <w:rsid w:val="006B2E57"/>
    <w:rsid w:val="006B2E8B"/>
    <w:rsid w:val="006B2F3D"/>
    <w:rsid w:val="006B2F44"/>
    <w:rsid w:val="006B2FBD"/>
    <w:rsid w:val="006B2FC4"/>
    <w:rsid w:val="006B2FCE"/>
    <w:rsid w:val="006B3055"/>
    <w:rsid w:val="006B3091"/>
    <w:rsid w:val="006B3094"/>
    <w:rsid w:val="006B30B3"/>
    <w:rsid w:val="006B30D7"/>
    <w:rsid w:val="006B317B"/>
    <w:rsid w:val="006B31F7"/>
    <w:rsid w:val="006B31FC"/>
    <w:rsid w:val="006B3248"/>
    <w:rsid w:val="006B325C"/>
    <w:rsid w:val="006B32B8"/>
    <w:rsid w:val="006B334A"/>
    <w:rsid w:val="006B339B"/>
    <w:rsid w:val="006B3453"/>
    <w:rsid w:val="006B3490"/>
    <w:rsid w:val="006B3556"/>
    <w:rsid w:val="006B35C2"/>
    <w:rsid w:val="006B3643"/>
    <w:rsid w:val="006B3683"/>
    <w:rsid w:val="006B36AB"/>
    <w:rsid w:val="006B36BD"/>
    <w:rsid w:val="006B36E9"/>
    <w:rsid w:val="006B373C"/>
    <w:rsid w:val="006B378E"/>
    <w:rsid w:val="006B37BF"/>
    <w:rsid w:val="006B37E9"/>
    <w:rsid w:val="006B3820"/>
    <w:rsid w:val="006B38AE"/>
    <w:rsid w:val="006B38BC"/>
    <w:rsid w:val="006B38C6"/>
    <w:rsid w:val="006B3938"/>
    <w:rsid w:val="006B3945"/>
    <w:rsid w:val="006B399C"/>
    <w:rsid w:val="006B39A7"/>
    <w:rsid w:val="006B39CC"/>
    <w:rsid w:val="006B39DF"/>
    <w:rsid w:val="006B3AA1"/>
    <w:rsid w:val="006B3AE2"/>
    <w:rsid w:val="006B3BE8"/>
    <w:rsid w:val="006B3BEB"/>
    <w:rsid w:val="006B3C1B"/>
    <w:rsid w:val="006B3C31"/>
    <w:rsid w:val="006B3C41"/>
    <w:rsid w:val="006B3D4D"/>
    <w:rsid w:val="006B3D83"/>
    <w:rsid w:val="006B3DCB"/>
    <w:rsid w:val="006B3E13"/>
    <w:rsid w:val="006B3ED2"/>
    <w:rsid w:val="006B3ED3"/>
    <w:rsid w:val="006B3EE1"/>
    <w:rsid w:val="006B3F20"/>
    <w:rsid w:val="006B3FE6"/>
    <w:rsid w:val="006B400F"/>
    <w:rsid w:val="006B401F"/>
    <w:rsid w:val="006B4038"/>
    <w:rsid w:val="006B4046"/>
    <w:rsid w:val="006B4060"/>
    <w:rsid w:val="006B4084"/>
    <w:rsid w:val="006B409F"/>
    <w:rsid w:val="006B40ED"/>
    <w:rsid w:val="006B41B3"/>
    <w:rsid w:val="006B41EB"/>
    <w:rsid w:val="006B422B"/>
    <w:rsid w:val="006B429A"/>
    <w:rsid w:val="006B42D3"/>
    <w:rsid w:val="006B4396"/>
    <w:rsid w:val="006B439C"/>
    <w:rsid w:val="006B43A1"/>
    <w:rsid w:val="006B43B0"/>
    <w:rsid w:val="006B43D4"/>
    <w:rsid w:val="006B43DB"/>
    <w:rsid w:val="006B43FF"/>
    <w:rsid w:val="006B441B"/>
    <w:rsid w:val="006B4492"/>
    <w:rsid w:val="006B4494"/>
    <w:rsid w:val="006B454D"/>
    <w:rsid w:val="006B4577"/>
    <w:rsid w:val="006B45B8"/>
    <w:rsid w:val="006B45BD"/>
    <w:rsid w:val="006B462E"/>
    <w:rsid w:val="006B463E"/>
    <w:rsid w:val="006B465D"/>
    <w:rsid w:val="006B46BA"/>
    <w:rsid w:val="006B473B"/>
    <w:rsid w:val="006B4758"/>
    <w:rsid w:val="006B47AB"/>
    <w:rsid w:val="006B47CB"/>
    <w:rsid w:val="006B4854"/>
    <w:rsid w:val="006B489A"/>
    <w:rsid w:val="006B48AA"/>
    <w:rsid w:val="006B48DC"/>
    <w:rsid w:val="006B497C"/>
    <w:rsid w:val="006B4986"/>
    <w:rsid w:val="006B49AE"/>
    <w:rsid w:val="006B4A24"/>
    <w:rsid w:val="006B4A4A"/>
    <w:rsid w:val="006B4A7D"/>
    <w:rsid w:val="006B4A81"/>
    <w:rsid w:val="006B4AE4"/>
    <w:rsid w:val="006B4AE9"/>
    <w:rsid w:val="006B4B33"/>
    <w:rsid w:val="006B4B6D"/>
    <w:rsid w:val="006B4B78"/>
    <w:rsid w:val="006B4BA5"/>
    <w:rsid w:val="006B4BEB"/>
    <w:rsid w:val="006B4C1D"/>
    <w:rsid w:val="006B4C7B"/>
    <w:rsid w:val="006B4CE0"/>
    <w:rsid w:val="006B4D14"/>
    <w:rsid w:val="006B4D27"/>
    <w:rsid w:val="006B4D84"/>
    <w:rsid w:val="006B4DE7"/>
    <w:rsid w:val="006B4DE8"/>
    <w:rsid w:val="006B4EA3"/>
    <w:rsid w:val="006B4EDA"/>
    <w:rsid w:val="006B4EF4"/>
    <w:rsid w:val="006B4F3C"/>
    <w:rsid w:val="006B4FC9"/>
    <w:rsid w:val="006B4FE1"/>
    <w:rsid w:val="006B506A"/>
    <w:rsid w:val="006B5086"/>
    <w:rsid w:val="006B50E8"/>
    <w:rsid w:val="006B50F2"/>
    <w:rsid w:val="006B5143"/>
    <w:rsid w:val="006B5161"/>
    <w:rsid w:val="006B517D"/>
    <w:rsid w:val="006B518C"/>
    <w:rsid w:val="006B51E8"/>
    <w:rsid w:val="006B51F9"/>
    <w:rsid w:val="006B52DE"/>
    <w:rsid w:val="006B52E2"/>
    <w:rsid w:val="006B538D"/>
    <w:rsid w:val="006B5395"/>
    <w:rsid w:val="006B53E5"/>
    <w:rsid w:val="006B54A0"/>
    <w:rsid w:val="006B5546"/>
    <w:rsid w:val="006B55CA"/>
    <w:rsid w:val="006B55CC"/>
    <w:rsid w:val="006B55E3"/>
    <w:rsid w:val="006B56A4"/>
    <w:rsid w:val="006B56BF"/>
    <w:rsid w:val="006B56E9"/>
    <w:rsid w:val="006B5778"/>
    <w:rsid w:val="006B57C3"/>
    <w:rsid w:val="006B5869"/>
    <w:rsid w:val="006B58C4"/>
    <w:rsid w:val="006B58E3"/>
    <w:rsid w:val="006B5910"/>
    <w:rsid w:val="006B593A"/>
    <w:rsid w:val="006B5947"/>
    <w:rsid w:val="006B596C"/>
    <w:rsid w:val="006B59CF"/>
    <w:rsid w:val="006B59D0"/>
    <w:rsid w:val="006B5A2B"/>
    <w:rsid w:val="006B5A6B"/>
    <w:rsid w:val="006B5B60"/>
    <w:rsid w:val="006B5B65"/>
    <w:rsid w:val="006B5B6F"/>
    <w:rsid w:val="006B5B7D"/>
    <w:rsid w:val="006B5BA3"/>
    <w:rsid w:val="006B5BE3"/>
    <w:rsid w:val="006B5C0D"/>
    <w:rsid w:val="006B5C2D"/>
    <w:rsid w:val="006B5CA7"/>
    <w:rsid w:val="006B5CE3"/>
    <w:rsid w:val="006B5CF8"/>
    <w:rsid w:val="006B5D1F"/>
    <w:rsid w:val="006B5D4F"/>
    <w:rsid w:val="006B5D63"/>
    <w:rsid w:val="006B5E15"/>
    <w:rsid w:val="006B5E74"/>
    <w:rsid w:val="006B5EEE"/>
    <w:rsid w:val="006B5F67"/>
    <w:rsid w:val="006B5F9E"/>
    <w:rsid w:val="006B601F"/>
    <w:rsid w:val="006B6026"/>
    <w:rsid w:val="006B60B9"/>
    <w:rsid w:val="006B60C3"/>
    <w:rsid w:val="006B60C7"/>
    <w:rsid w:val="006B60EE"/>
    <w:rsid w:val="006B6111"/>
    <w:rsid w:val="006B6120"/>
    <w:rsid w:val="006B6127"/>
    <w:rsid w:val="006B612F"/>
    <w:rsid w:val="006B6177"/>
    <w:rsid w:val="006B6185"/>
    <w:rsid w:val="006B61C3"/>
    <w:rsid w:val="006B61E8"/>
    <w:rsid w:val="006B6217"/>
    <w:rsid w:val="006B621F"/>
    <w:rsid w:val="006B6220"/>
    <w:rsid w:val="006B6295"/>
    <w:rsid w:val="006B6299"/>
    <w:rsid w:val="006B62A5"/>
    <w:rsid w:val="006B62AB"/>
    <w:rsid w:val="006B6312"/>
    <w:rsid w:val="006B6334"/>
    <w:rsid w:val="006B636C"/>
    <w:rsid w:val="006B639F"/>
    <w:rsid w:val="006B63D0"/>
    <w:rsid w:val="006B643D"/>
    <w:rsid w:val="006B644B"/>
    <w:rsid w:val="006B6451"/>
    <w:rsid w:val="006B6508"/>
    <w:rsid w:val="006B652C"/>
    <w:rsid w:val="006B6539"/>
    <w:rsid w:val="006B656D"/>
    <w:rsid w:val="006B6657"/>
    <w:rsid w:val="006B665F"/>
    <w:rsid w:val="006B66D2"/>
    <w:rsid w:val="006B66DB"/>
    <w:rsid w:val="006B66E2"/>
    <w:rsid w:val="006B673E"/>
    <w:rsid w:val="006B676A"/>
    <w:rsid w:val="006B6784"/>
    <w:rsid w:val="006B6797"/>
    <w:rsid w:val="006B67F7"/>
    <w:rsid w:val="006B6827"/>
    <w:rsid w:val="006B6829"/>
    <w:rsid w:val="006B6861"/>
    <w:rsid w:val="006B6891"/>
    <w:rsid w:val="006B6902"/>
    <w:rsid w:val="006B6904"/>
    <w:rsid w:val="006B6986"/>
    <w:rsid w:val="006B699F"/>
    <w:rsid w:val="006B69C4"/>
    <w:rsid w:val="006B69CD"/>
    <w:rsid w:val="006B69DD"/>
    <w:rsid w:val="006B69F0"/>
    <w:rsid w:val="006B6A24"/>
    <w:rsid w:val="006B6A31"/>
    <w:rsid w:val="006B6A58"/>
    <w:rsid w:val="006B6ABA"/>
    <w:rsid w:val="006B6ABC"/>
    <w:rsid w:val="006B6B56"/>
    <w:rsid w:val="006B6BD4"/>
    <w:rsid w:val="006B6C17"/>
    <w:rsid w:val="006B6CC9"/>
    <w:rsid w:val="006B6CDA"/>
    <w:rsid w:val="006B6D08"/>
    <w:rsid w:val="006B6D29"/>
    <w:rsid w:val="006B6D8B"/>
    <w:rsid w:val="006B6D98"/>
    <w:rsid w:val="006B6D9B"/>
    <w:rsid w:val="006B6DE9"/>
    <w:rsid w:val="006B6E2B"/>
    <w:rsid w:val="006B6E66"/>
    <w:rsid w:val="006B6E86"/>
    <w:rsid w:val="006B6EAD"/>
    <w:rsid w:val="006B6F13"/>
    <w:rsid w:val="006B6F4D"/>
    <w:rsid w:val="006B6F52"/>
    <w:rsid w:val="006B6FD0"/>
    <w:rsid w:val="006B6FD7"/>
    <w:rsid w:val="006B7009"/>
    <w:rsid w:val="006B70DA"/>
    <w:rsid w:val="006B7103"/>
    <w:rsid w:val="006B7155"/>
    <w:rsid w:val="006B719E"/>
    <w:rsid w:val="006B71BB"/>
    <w:rsid w:val="006B7289"/>
    <w:rsid w:val="006B729F"/>
    <w:rsid w:val="006B7369"/>
    <w:rsid w:val="006B740B"/>
    <w:rsid w:val="006B745A"/>
    <w:rsid w:val="006B7467"/>
    <w:rsid w:val="006B74B9"/>
    <w:rsid w:val="006B757F"/>
    <w:rsid w:val="006B75DC"/>
    <w:rsid w:val="006B75FE"/>
    <w:rsid w:val="006B769F"/>
    <w:rsid w:val="006B76E6"/>
    <w:rsid w:val="006B7717"/>
    <w:rsid w:val="006B7734"/>
    <w:rsid w:val="006B7777"/>
    <w:rsid w:val="006B7787"/>
    <w:rsid w:val="006B778C"/>
    <w:rsid w:val="006B77EA"/>
    <w:rsid w:val="006B7802"/>
    <w:rsid w:val="006B7844"/>
    <w:rsid w:val="006B7845"/>
    <w:rsid w:val="006B7887"/>
    <w:rsid w:val="006B788D"/>
    <w:rsid w:val="006B78B4"/>
    <w:rsid w:val="006B78E0"/>
    <w:rsid w:val="006B78F1"/>
    <w:rsid w:val="006B790A"/>
    <w:rsid w:val="006B79DB"/>
    <w:rsid w:val="006B7A0D"/>
    <w:rsid w:val="006B7A26"/>
    <w:rsid w:val="006B7A6D"/>
    <w:rsid w:val="006B7AE9"/>
    <w:rsid w:val="006B7B13"/>
    <w:rsid w:val="006B7BFE"/>
    <w:rsid w:val="006B7C2E"/>
    <w:rsid w:val="006B7C88"/>
    <w:rsid w:val="006B7C93"/>
    <w:rsid w:val="006B7D19"/>
    <w:rsid w:val="006B7DA8"/>
    <w:rsid w:val="006B7DBA"/>
    <w:rsid w:val="006B7E12"/>
    <w:rsid w:val="006B7E6A"/>
    <w:rsid w:val="006B7E9E"/>
    <w:rsid w:val="006B7EA5"/>
    <w:rsid w:val="006B7EF4"/>
    <w:rsid w:val="006B7EF8"/>
    <w:rsid w:val="006B7F6C"/>
    <w:rsid w:val="006B7F79"/>
    <w:rsid w:val="006B7FA5"/>
    <w:rsid w:val="006BF40E"/>
    <w:rsid w:val="006C001D"/>
    <w:rsid w:val="006C00AE"/>
    <w:rsid w:val="006C014D"/>
    <w:rsid w:val="006C0181"/>
    <w:rsid w:val="006C0198"/>
    <w:rsid w:val="006C01AB"/>
    <w:rsid w:val="006C024A"/>
    <w:rsid w:val="006C0278"/>
    <w:rsid w:val="006C02B3"/>
    <w:rsid w:val="006C02BE"/>
    <w:rsid w:val="006C02D4"/>
    <w:rsid w:val="006C0309"/>
    <w:rsid w:val="006C0317"/>
    <w:rsid w:val="006C0327"/>
    <w:rsid w:val="006C0347"/>
    <w:rsid w:val="006C03F8"/>
    <w:rsid w:val="006C044F"/>
    <w:rsid w:val="006C0477"/>
    <w:rsid w:val="006C04AF"/>
    <w:rsid w:val="006C04CB"/>
    <w:rsid w:val="006C05EF"/>
    <w:rsid w:val="006C0624"/>
    <w:rsid w:val="006C065D"/>
    <w:rsid w:val="006C0680"/>
    <w:rsid w:val="006C06C6"/>
    <w:rsid w:val="006C0798"/>
    <w:rsid w:val="006C07C8"/>
    <w:rsid w:val="006C0913"/>
    <w:rsid w:val="006C0A29"/>
    <w:rsid w:val="006C0B4F"/>
    <w:rsid w:val="006C0B5B"/>
    <w:rsid w:val="006C0BC1"/>
    <w:rsid w:val="006C0BF3"/>
    <w:rsid w:val="006C0C3B"/>
    <w:rsid w:val="006C0CC8"/>
    <w:rsid w:val="006C0CFC"/>
    <w:rsid w:val="006C0D08"/>
    <w:rsid w:val="006C0E51"/>
    <w:rsid w:val="006C0E62"/>
    <w:rsid w:val="006C0E75"/>
    <w:rsid w:val="006C0EC4"/>
    <w:rsid w:val="006C0EDE"/>
    <w:rsid w:val="006C0EFF"/>
    <w:rsid w:val="006C0F09"/>
    <w:rsid w:val="006C0F4D"/>
    <w:rsid w:val="006C0F4F"/>
    <w:rsid w:val="006C0F7D"/>
    <w:rsid w:val="006C0FC3"/>
    <w:rsid w:val="006C0FE4"/>
    <w:rsid w:val="006C100E"/>
    <w:rsid w:val="006C1017"/>
    <w:rsid w:val="006C1053"/>
    <w:rsid w:val="006C1075"/>
    <w:rsid w:val="006C1093"/>
    <w:rsid w:val="006C10C8"/>
    <w:rsid w:val="006C10DD"/>
    <w:rsid w:val="006C10ED"/>
    <w:rsid w:val="006C1111"/>
    <w:rsid w:val="006C1257"/>
    <w:rsid w:val="006C12DD"/>
    <w:rsid w:val="006C12FD"/>
    <w:rsid w:val="006C1322"/>
    <w:rsid w:val="006C1342"/>
    <w:rsid w:val="006C1352"/>
    <w:rsid w:val="006C13D7"/>
    <w:rsid w:val="006C147F"/>
    <w:rsid w:val="006C14A5"/>
    <w:rsid w:val="006C14BF"/>
    <w:rsid w:val="006C158D"/>
    <w:rsid w:val="006C162A"/>
    <w:rsid w:val="006C1689"/>
    <w:rsid w:val="006C16B8"/>
    <w:rsid w:val="006C1734"/>
    <w:rsid w:val="006C175C"/>
    <w:rsid w:val="006C178B"/>
    <w:rsid w:val="006C17A4"/>
    <w:rsid w:val="006C17C3"/>
    <w:rsid w:val="006C17D3"/>
    <w:rsid w:val="006C1800"/>
    <w:rsid w:val="006C189F"/>
    <w:rsid w:val="006C18D7"/>
    <w:rsid w:val="006C18DE"/>
    <w:rsid w:val="006C18E9"/>
    <w:rsid w:val="006C18F5"/>
    <w:rsid w:val="006C18FB"/>
    <w:rsid w:val="006C1941"/>
    <w:rsid w:val="006C19D1"/>
    <w:rsid w:val="006C19FC"/>
    <w:rsid w:val="006C1A09"/>
    <w:rsid w:val="006C1A15"/>
    <w:rsid w:val="006C1A55"/>
    <w:rsid w:val="006C1A8F"/>
    <w:rsid w:val="006C1AAD"/>
    <w:rsid w:val="006C1B0C"/>
    <w:rsid w:val="006C1B94"/>
    <w:rsid w:val="006C1BDD"/>
    <w:rsid w:val="006C1C8E"/>
    <w:rsid w:val="006C1CF7"/>
    <w:rsid w:val="006C1D4D"/>
    <w:rsid w:val="006C1DA6"/>
    <w:rsid w:val="006C1DCD"/>
    <w:rsid w:val="006C1DD6"/>
    <w:rsid w:val="006C1E36"/>
    <w:rsid w:val="006C1E3B"/>
    <w:rsid w:val="006C1E60"/>
    <w:rsid w:val="006C1ED1"/>
    <w:rsid w:val="006C1EE4"/>
    <w:rsid w:val="006C1F1B"/>
    <w:rsid w:val="006C1F1E"/>
    <w:rsid w:val="006C1F20"/>
    <w:rsid w:val="006C1F9F"/>
    <w:rsid w:val="006C2010"/>
    <w:rsid w:val="006C2022"/>
    <w:rsid w:val="006C20A4"/>
    <w:rsid w:val="006C20B7"/>
    <w:rsid w:val="006C213A"/>
    <w:rsid w:val="006C21A4"/>
    <w:rsid w:val="006C21D9"/>
    <w:rsid w:val="006C21E8"/>
    <w:rsid w:val="006C21EE"/>
    <w:rsid w:val="006C220E"/>
    <w:rsid w:val="006C2228"/>
    <w:rsid w:val="006C2255"/>
    <w:rsid w:val="006C22A2"/>
    <w:rsid w:val="006C2344"/>
    <w:rsid w:val="006C23AA"/>
    <w:rsid w:val="006C23EC"/>
    <w:rsid w:val="006C2411"/>
    <w:rsid w:val="006C241E"/>
    <w:rsid w:val="006C246A"/>
    <w:rsid w:val="006C2488"/>
    <w:rsid w:val="006C266C"/>
    <w:rsid w:val="006C269D"/>
    <w:rsid w:val="006C26AA"/>
    <w:rsid w:val="006C26D2"/>
    <w:rsid w:val="006C2737"/>
    <w:rsid w:val="006C2766"/>
    <w:rsid w:val="006C277B"/>
    <w:rsid w:val="006C2794"/>
    <w:rsid w:val="006C279C"/>
    <w:rsid w:val="006C27AB"/>
    <w:rsid w:val="006C27B0"/>
    <w:rsid w:val="006C280C"/>
    <w:rsid w:val="006C282C"/>
    <w:rsid w:val="006C284A"/>
    <w:rsid w:val="006C2878"/>
    <w:rsid w:val="006C287C"/>
    <w:rsid w:val="006C2915"/>
    <w:rsid w:val="006C2945"/>
    <w:rsid w:val="006C2953"/>
    <w:rsid w:val="006C2A11"/>
    <w:rsid w:val="006C2A1D"/>
    <w:rsid w:val="006C2B0C"/>
    <w:rsid w:val="006C2B93"/>
    <w:rsid w:val="006C2B9D"/>
    <w:rsid w:val="006C2C49"/>
    <w:rsid w:val="006C2C55"/>
    <w:rsid w:val="006C2C69"/>
    <w:rsid w:val="006C2CCF"/>
    <w:rsid w:val="006C2DB8"/>
    <w:rsid w:val="006C2EB4"/>
    <w:rsid w:val="006C2F23"/>
    <w:rsid w:val="006C2F27"/>
    <w:rsid w:val="006C2F7E"/>
    <w:rsid w:val="006C2F8E"/>
    <w:rsid w:val="006C2FA8"/>
    <w:rsid w:val="006C2FB0"/>
    <w:rsid w:val="006C2FCC"/>
    <w:rsid w:val="006C2FF1"/>
    <w:rsid w:val="006C304E"/>
    <w:rsid w:val="006C3052"/>
    <w:rsid w:val="006C307A"/>
    <w:rsid w:val="006C30D7"/>
    <w:rsid w:val="006C311C"/>
    <w:rsid w:val="006C3153"/>
    <w:rsid w:val="006C317D"/>
    <w:rsid w:val="006C31D2"/>
    <w:rsid w:val="006C326D"/>
    <w:rsid w:val="006C3270"/>
    <w:rsid w:val="006C333F"/>
    <w:rsid w:val="006C334A"/>
    <w:rsid w:val="006C3351"/>
    <w:rsid w:val="006C33D3"/>
    <w:rsid w:val="006C340B"/>
    <w:rsid w:val="006C3424"/>
    <w:rsid w:val="006C3499"/>
    <w:rsid w:val="006C34B6"/>
    <w:rsid w:val="006C34C2"/>
    <w:rsid w:val="006C34FA"/>
    <w:rsid w:val="006C354F"/>
    <w:rsid w:val="006C3553"/>
    <w:rsid w:val="006C357B"/>
    <w:rsid w:val="006C359E"/>
    <w:rsid w:val="006C368B"/>
    <w:rsid w:val="006C371C"/>
    <w:rsid w:val="006C374B"/>
    <w:rsid w:val="006C3795"/>
    <w:rsid w:val="006C37F2"/>
    <w:rsid w:val="006C3859"/>
    <w:rsid w:val="006C3875"/>
    <w:rsid w:val="006C38AB"/>
    <w:rsid w:val="006C38C3"/>
    <w:rsid w:val="006C38EE"/>
    <w:rsid w:val="006C38FC"/>
    <w:rsid w:val="006C3930"/>
    <w:rsid w:val="006C39BB"/>
    <w:rsid w:val="006C3A64"/>
    <w:rsid w:val="006C3A91"/>
    <w:rsid w:val="006C3ABA"/>
    <w:rsid w:val="006C3ACF"/>
    <w:rsid w:val="006C3B08"/>
    <w:rsid w:val="006C3B46"/>
    <w:rsid w:val="006C3B61"/>
    <w:rsid w:val="006C3CB1"/>
    <w:rsid w:val="006C3CDB"/>
    <w:rsid w:val="006C3D0C"/>
    <w:rsid w:val="006C3D8F"/>
    <w:rsid w:val="006C3DAA"/>
    <w:rsid w:val="006C3E68"/>
    <w:rsid w:val="006C3E88"/>
    <w:rsid w:val="006C3EE2"/>
    <w:rsid w:val="006C3EF4"/>
    <w:rsid w:val="006C3F11"/>
    <w:rsid w:val="006C3F17"/>
    <w:rsid w:val="006C3F3E"/>
    <w:rsid w:val="006C3F5F"/>
    <w:rsid w:val="006C3FC7"/>
    <w:rsid w:val="006C3FED"/>
    <w:rsid w:val="006C4030"/>
    <w:rsid w:val="006C4072"/>
    <w:rsid w:val="006C40C2"/>
    <w:rsid w:val="006C40F3"/>
    <w:rsid w:val="006C4127"/>
    <w:rsid w:val="006C4188"/>
    <w:rsid w:val="006C41A8"/>
    <w:rsid w:val="006C41BA"/>
    <w:rsid w:val="006C420A"/>
    <w:rsid w:val="006C421F"/>
    <w:rsid w:val="006C4260"/>
    <w:rsid w:val="006C426D"/>
    <w:rsid w:val="006C4287"/>
    <w:rsid w:val="006C42BC"/>
    <w:rsid w:val="006C42D4"/>
    <w:rsid w:val="006C4306"/>
    <w:rsid w:val="006C43A1"/>
    <w:rsid w:val="006C43D2"/>
    <w:rsid w:val="006C43D5"/>
    <w:rsid w:val="006C446B"/>
    <w:rsid w:val="006C44C0"/>
    <w:rsid w:val="006C4517"/>
    <w:rsid w:val="006C453B"/>
    <w:rsid w:val="006C4557"/>
    <w:rsid w:val="006C4559"/>
    <w:rsid w:val="006C4699"/>
    <w:rsid w:val="006C46DE"/>
    <w:rsid w:val="006C4814"/>
    <w:rsid w:val="006C4838"/>
    <w:rsid w:val="006C487A"/>
    <w:rsid w:val="006C489B"/>
    <w:rsid w:val="006C48A6"/>
    <w:rsid w:val="006C48DB"/>
    <w:rsid w:val="006C4921"/>
    <w:rsid w:val="006C4928"/>
    <w:rsid w:val="006C494C"/>
    <w:rsid w:val="006C4962"/>
    <w:rsid w:val="006C4997"/>
    <w:rsid w:val="006C4A85"/>
    <w:rsid w:val="006C4AD3"/>
    <w:rsid w:val="006C4AE0"/>
    <w:rsid w:val="006C4B7A"/>
    <w:rsid w:val="006C4B8C"/>
    <w:rsid w:val="006C4BF8"/>
    <w:rsid w:val="006C4C12"/>
    <w:rsid w:val="006C4CFB"/>
    <w:rsid w:val="006C4D12"/>
    <w:rsid w:val="006C4D8E"/>
    <w:rsid w:val="006C4DB2"/>
    <w:rsid w:val="006C4DD2"/>
    <w:rsid w:val="006C4EB6"/>
    <w:rsid w:val="006C4F0B"/>
    <w:rsid w:val="006C4F41"/>
    <w:rsid w:val="006C4F46"/>
    <w:rsid w:val="006C4F47"/>
    <w:rsid w:val="006C4F65"/>
    <w:rsid w:val="006C4F69"/>
    <w:rsid w:val="006C4F94"/>
    <w:rsid w:val="006C4FF4"/>
    <w:rsid w:val="006C5002"/>
    <w:rsid w:val="006C5061"/>
    <w:rsid w:val="006C506D"/>
    <w:rsid w:val="006C509D"/>
    <w:rsid w:val="006C5113"/>
    <w:rsid w:val="006C5123"/>
    <w:rsid w:val="006C512F"/>
    <w:rsid w:val="006C514F"/>
    <w:rsid w:val="006C516A"/>
    <w:rsid w:val="006C5191"/>
    <w:rsid w:val="006C51B5"/>
    <w:rsid w:val="006C51E2"/>
    <w:rsid w:val="006C5235"/>
    <w:rsid w:val="006C52D8"/>
    <w:rsid w:val="006C5304"/>
    <w:rsid w:val="006C5315"/>
    <w:rsid w:val="006C5347"/>
    <w:rsid w:val="006C534B"/>
    <w:rsid w:val="006C53BC"/>
    <w:rsid w:val="006C53E3"/>
    <w:rsid w:val="006C5540"/>
    <w:rsid w:val="006C559D"/>
    <w:rsid w:val="006C55F4"/>
    <w:rsid w:val="006C55F8"/>
    <w:rsid w:val="006C562D"/>
    <w:rsid w:val="006C56FF"/>
    <w:rsid w:val="006C5718"/>
    <w:rsid w:val="006C5744"/>
    <w:rsid w:val="006C5764"/>
    <w:rsid w:val="006C5794"/>
    <w:rsid w:val="006C585A"/>
    <w:rsid w:val="006C5864"/>
    <w:rsid w:val="006C5893"/>
    <w:rsid w:val="006C58C0"/>
    <w:rsid w:val="006C5988"/>
    <w:rsid w:val="006C59A5"/>
    <w:rsid w:val="006C5A4B"/>
    <w:rsid w:val="006C5A57"/>
    <w:rsid w:val="006C5A9D"/>
    <w:rsid w:val="006C5AA6"/>
    <w:rsid w:val="006C5B29"/>
    <w:rsid w:val="006C5B5B"/>
    <w:rsid w:val="006C5B5C"/>
    <w:rsid w:val="006C5B62"/>
    <w:rsid w:val="006C5B67"/>
    <w:rsid w:val="006C5BB5"/>
    <w:rsid w:val="006C5BD2"/>
    <w:rsid w:val="006C5BE9"/>
    <w:rsid w:val="006C5C67"/>
    <w:rsid w:val="006C5CDC"/>
    <w:rsid w:val="006C5D06"/>
    <w:rsid w:val="006C5D20"/>
    <w:rsid w:val="006C5D4D"/>
    <w:rsid w:val="006C5D50"/>
    <w:rsid w:val="006C5DAF"/>
    <w:rsid w:val="006C5E33"/>
    <w:rsid w:val="006C5EB7"/>
    <w:rsid w:val="006C5EBD"/>
    <w:rsid w:val="006C5EC1"/>
    <w:rsid w:val="006C5F07"/>
    <w:rsid w:val="006C5F5F"/>
    <w:rsid w:val="006C5F74"/>
    <w:rsid w:val="006C5FDD"/>
    <w:rsid w:val="006C6006"/>
    <w:rsid w:val="006C6017"/>
    <w:rsid w:val="006C6020"/>
    <w:rsid w:val="006C603D"/>
    <w:rsid w:val="006C6046"/>
    <w:rsid w:val="006C60BB"/>
    <w:rsid w:val="006C60E9"/>
    <w:rsid w:val="006C6130"/>
    <w:rsid w:val="006C618E"/>
    <w:rsid w:val="006C61A7"/>
    <w:rsid w:val="006C61EA"/>
    <w:rsid w:val="006C620C"/>
    <w:rsid w:val="006C6216"/>
    <w:rsid w:val="006C62B1"/>
    <w:rsid w:val="006C6328"/>
    <w:rsid w:val="006C638D"/>
    <w:rsid w:val="006C6390"/>
    <w:rsid w:val="006C63D8"/>
    <w:rsid w:val="006C6402"/>
    <w:rsid w:val="006C647C"/>
    <w:rsid w:val="006C64DF"/>
    <w:rsid w:val="006C6529"/>
    <w:rsid w:val="006C6531"/>
    <w:rsid w:val="006C6559"/>
    <w:rsid w:val="006C6597"/>
    <w:rsid w:val="006C6643"/>
    <w:rsid w:val="006C6654"/>
    <w:rsid w:val="006C6687"/>
    <w:rsid w:val="006C66A4"/>
    <w:rsid w:val="006C6706"/>
    <w:rsid w:val="006C6821"/>
    <w:rsid w:val="006C6866"/>
    <w:rsid w:val="006C6896"/>
    <w:rsid w:val="006C68C0"/>
    <w:rsid w:val="006C69E4"/>
    <w:rsid w:val="006C69EA"/>
    <w:rsid w:val="006C6A18"/>
    <w:rsid w:val="006C6A26"/>
    <w:rsid w:val="006C6A62"/>
    <w:rsid w:val="006C6B5A"/>
    <w:rsid w:val="006C6B7B"/>
    <w:rsid w:val="006C6C2E"/>
    <w:rsid w:val="006C6CC6"/>
    <w:rsid w:val="006C6CD3"/>
    <w:rsid w:val="006C6D0A"/>
    <w:rsid w:val="006C6D2A"/>
    <w:rsid w:val="006C6D32"/>
    <w:rsid w:val="006C6D61"/>
    <w:rsid w:val="006C6D92"/>
    <w:rsid w:val="006C6E36"/>
    <w:rsid w:val="006C6E40"/>
    <w:rsid w:val="006C6E5C"/>
    <w:rsid w:val="006C6E8D"/>
    <w:rsid w:val="006C6F00"/>
    <w:rsid w:val="006C6F2B"/>
    <w:rsid w:val="006C6F2D"/>
    <w:rsid w:val="006C6F3C"/>
    <w:rsid w:val="006C6F4B"/>
    <w:rsid w:val="006C6F51"/>
    <w:rsid w:val="006C6FCE"/>
    <w:rsid w:val="006C7005"/>
    <w:rsid w:val="006C7033"/>
    <w:rsid w:val="006C703F"/>
    <w:rsid w:val="006C7075"/>
    <w:rsid w:val="006C708D"/>
    <w:rsid w:val="006C709E"/>
    <w:rsid w:val="006C70A5"/>
    <w:rsid w:val="006C70B5"/>
    <w:rsid w:val="006C70EC"/>
    <w:rsid w:val="006C70EF"/>
    <w:rsid w:val="006C710D"/>
    <w:rsid w:val="006C7180"/>
    <w:rsid w:val="006C71C4"/>
    <w:rsid w:val="006C7219"/>
    <w:rsid w:val="006C7256"/>
    <w:rsid w:val="006C72E2"/>
    <w:rsid w:val="006C7318"/>
    <w:rsid w:val="006C732C"/>
    <w:rsid w:val="006C737D"/>
    <w:rsid w:val="006C7381"/>
    <w:rsid w:val="006C73D0"/>
    <w:rsid w:val="006C7442"/>
    <w:rsid w:val="006C744F"/>
    <w:rsid w:val="006C752F"/>
    <w:rsid w:val="006C7557"/>
    <w:rsid w:val="006C757F"/>
    <w:rsid w:val="006C7592"/>
    <w:rsid w:val="006C75D5"/>
    <w:rsid w:val="006C7605"/>
    <w:rsid w:val="006C7607"/>
    <w:rsid w:val="006C765C"/>
    <w:rsid w:val="006C766D"/>
    <w:rsid w:val="006C7692"/>
    <w:rsid w:val="006C7693"/>
    <w:rsid w:val="006C76E0"/>
    <w:rsid w:val="006C7731"/>
    <w:rsid w:val="006C7815"/>
    <w:rsid w:val="006C7834"/>
    <w:rsid w:val="006C791F"/>
    <w:rsid w:val="006C7977"/>
    <w:rsid w:val="006C798E"/>
    <w:rsid w:val="006C7A52"/>
    <w:rsid w:val="006C7AC9"/>
    <w:rsid w:val="006C7B6D"/>
    <w:rsid w:val="006C7BD5"/>
    <w:rsid w:val="006C7C18"/>
    <w:rsid w:val="006C7C1F"/>
    <w:rsid w:val="006C7C23"/>
    <w:rsid w:val="006C7C4B"/>
    <w:rsid w:val="006C7C71"/>
    <w:rsid w:val="006C7C99"/>
    <w:rsid w:val="006C7CAE"/>
    <w:rsid w:val="006C7CDF"/>
    <w:rsid w:val="006C7D5A"/>
    <w:rsid w:val="006C7D89"/>
    <w:rsid w:val="006C7D96"/>
    <w:rsid w:val="006C7EC8"/>
    <w:rsid w:val="006C7F26"/>
    <w:rsid w:val="006C7F8F"/>
    <w:rsid w:val="006C7FCF"/>
    <w:rsid w:val="006C7FD9"/>
    <w:rsid w:val="006D00AE"/>
    <w:rsid w:val="006D00EF"/>
    <w:rsid w:val="006D0147"/>
    <w:rsid w:val="006D0155"/>
    <w:rsid w:val="006D0199"/>
    <w:rsid w:val="006D0207"/>
    <w:rsid w:val="006D0255"/>
    <w:rsid w:val="006D0293"/>
    <w:rsid w:val="006D02E6"/>
    <w:rsid w:val="006D0307"/>
    <w:rsid w:val="006D0384"/>
    <w:rsid w:val="006D03D7"/>
    <w:rsid w:val="006D043E"/>
    <w:rsid w:val="006D047B"/>
    <w:rsid w:val="006D04CF"/>
    <w:rsid w:val="006D0528"/>
    <w:rsid w:val="006D0533"/>
    <w:rsid w:val="006D05A3"/>
    <w:rsid w:val="006D05E7"/>
    <w:rsid w:val="006D0610"/>
    <w:rsid w:val="006D06B0"/>
    <w:rsid w:val="006D06B3"/>
    <w:rsid w:val="006D06CE"/>
    <w:rsid w:val="006D06E2"/>
    <w:rsid w:val="006D071D"/>
    <w:rsid w:val="006D0736"/>
    <w:rsid w:val="006D0741"/>
    <w:rsid w:val="006D0792"/>
    <w:rsid w:val="006D07B7"/>
    <w:rsid w:val="006D087D"/>
    <w:rsid w:val="006D08D5"/>
    <w:rsid w:val="006D095D"/>
    <w:rsid w:val="006D09B3"/>
    <w:rsid w:val="006D09CC"/>
    <w:rsid w:val="006D0A16"/>
    <w:rsid w:val="006D0A2A"/>
    <w:rsid w:val="006D0A5A"/>
    <w:rsid w:val="006D0ABA"/>
    <w:rsid w:val="006D0B4A"/>
    <w:rsid w:val="006D0B57"/>
    <w:rsid w:val="006D0B98"/>
    <w:rsid w:val="006D0BD2"/>
    <w:rsid w:val="006D0C2A"/>
    <w:rsid w:val="006D0C8A"/>
    <w:rsid w:val="006D0CC0"/>
    <w:rsid w:val="006D0CD5"/>
    <w:rsid w:val="006D0D1B"/>
    <w:rsid w:val="006D0DA3"/>
    <w:rsid w:val="006D0DB4"/>
    <w:rsid w:val="006D0DB5"/>
    <w:rsid w:val="006D0E58"/>
    <w:rsid w:val="006D0EBB"/>
    <w:rsid w:val="006D0EF9"/>
    <w:rsid w:val="006D0F2D"/>
    <w:rsid w:val="006D0FF9"/>
    <w:rsid w:val="006D104C"/>
    <w:rsid w:val="006D114C"/>
    <w:rsid w:val="006D1153"/>
    <w:rsid w:val="006D1161"/>
    <w:rsid w:val="006D11C4"/>
    <w:rsid w:val="006D11D0"/>
    <w:rsid w:val="006D11E2"/>
    <w:rsid w:val="006D121C"/>
    <w:rsid w:val="006D134A"/>
    <w:rsid w:val="006D1360"/>
    <w:rsid w:val="006D13EA"/>
    <w:rsid w:val="006D13ED"/>
    <w:rsid w:val="006D1428"/>
    <w:rsid w:val="006D1498"/>
    <w:rsid w:val="006D14BA"/>
    <w:rsid w:val="006D14ED"/>
    <w:rsid w:val="006D1548"/>
    <w:rsid w:val="006D157D"/>
    <w:rsid w:val="006D1682"/>
    <w:rsid w:val="006D16A3"/>
    <w:rsid w:val="006D1740"/>
    <w:rsid w:val="006D1792"/>
    <w:rsid w:val="006D17DF"/>
    <w:rsid w:val="006D17EB"/>
    <w:rsid w:val="006D1839"/>
    <w:rsid w:val="006D1863"/>
    <w:rsid w:val="006D1864"/>
    <w:rsid w:val="006D1887"/>
    <w:rsid w:val="006D18BD"/>
    <w:rsid w:val="006D195D"/>
    <w:rsid w:val="006D1972"/>
    <w:rsid w:val="006D19D9"/>
    <w:rsid w:val="006D1A13"/>
    <w:rsid w:val="006D1A49"/>
    <w:rsid w:val="006D1A96"/>
    <w:rsid w:val="006D1AF0"/>
    <w:rsid w:val="006D1C07"/>
    <w:rsid w:val="006D1CC1"/>
    <w:rsid w:val="006D1CDE"/>
    <w:rsid w:val="006D1CF2"/>
    <w:rsid w:val="006D1D5A"/>
    <w:rsid w:val="006D1DE9"/>
    <w:rsid w:val="006D1E2E"/>
    <w:rsid w:val="006D1E7E"/>
    <w:rsid w:val="006D1EE5"/>
    <w:rsid w:val="006D1F4B"/>
    <w:rsid w:val="006D1F5E"/>
    <w:rsid w:val="006D1FD6"/>
    <w:rsid w:val="006D1FF1"/>
    <w:rsid w:val="006D207A"/>
    <w:rsid w:val="006D20A8"/>
    <w:rsid w:val="006D20C8"/>
    <w:rsid w:val="006D20EE"/>
    <w:rsid w:val="006D2101"/>
    <w:rsid w:val="006D2152"/>
    <w:rsid w:val="006D21F4"/>
    <w:rsid w:val="006D2275"/>
    <w:rsid w:val="006D2283"/>
    <w:rsid w:val="006D22BF"/>
    <w:rsid w:val="006D22F0"/>
    <w:rsid w:val="006D22F3"/>
    <w:rsid w:val="006D2311"/>
    <w:rsid w:val="006D23D7"/>
    <w:rsid w:val="006D2417"/>
    <w:rsid w:val="006D2436"/>
    <w:rsid w:val="006D243A"/>
    <w:rsid w:val="006D243C"/>
    <w:rsid w:val="006D24AC"/>
    <w:rsid w:val="006D24E8"/>
    <w:rsid w:val="006D24F7"/>
    <w:rsid w:val="006D253B"/>
    <w:rsid w:val="006D2573"/>
    <w:rsid w:val="006D25CC"/>
    <w:rsid w:val="006D25FB"/>
    <w:rsid w:val="006D263E"/>
    <w:rsid w:val="006D26A4"/>
    <w:rsid w:val="006D270E"/>
    <w:rsid w:val="006D272A"/>
    <w:rsid w:val="006D274C"/>
    <w:rsid w:val="006D27BF"/>
    <w:rsid w:val="006D27CE"/>
    <w:rsid w:val="006D27ED"/>
    <w:rsid w:val="006D2801"/>
    <w:rsid w:val="006D2830"/>
    <w:rsid w:val="006D285A"/>
    <w:rsid w:val="006D285E"/>
    <w:rsid w:val="006D28EF"/>
    <w:rsid w:val="006D291C"/>
    <w:rsid w:val="006D296A"/>
    <w:rsid w:val="006D2A52"/>
    <w:rsid w:val="006D2A94"/>
    <w:rsid w:val="006D2AB9"/>
    <w:rsid w:val="006D2AC4"/>
    <w:rsid w:val="006D2AFB"/>
    <w:rsid w:val="006D2B41"/>
    <w:rsid w:val="006D2B82"/>
    <w:rsid w:val="006D2BD1"/>
    <w:rsid w:val="006D2C7C"/>
    <w:rsid w:val="006D2C85"/>
    <w:rsid w:val="006D2CDB"/>
    <w:rsid w:val="006D2D4C"/>
    <w:rsid w:val="006D2D8B"/>
    <w:rsid w:val="006D2D8F"/>
    <w:rsid w:val="006D2DC3"/>
    <w:rsid w:val="006D2DEB"/>
    <w:rsid w:val="006D2DEF"/>
    <w:rsid w:val="006D2E07"/>
    <w:rsid w:val="006D2E48"/>
    <w:rsid w:val="006D2EE9"/>
    <w:rsid w:val="006D2EFB"/>
    <w:rsid w:val="006D2F69"/>
    <w:rsid w:val="006D2F78"/>
    <w:rsid w:val="006D2FA8"/>
    <w:rsid w:val="006D3071"/>
    <w:rsid w:val="006D30E2"/>
    <w:rsid w:val="006D30F4"/>
    <w:rsid w:val="006D3118"/>
    <w:rsid w:val="006D312F"/>
    <w:rsid w:val="006D317A"/>
    <w:rsid w:val="006D31AB"/>
    <w:rsid w:val="006D31D8"/>
    <w:rsid w:val="006D31FC"/>
    <w:rsid w:val="006D3226"/>
    <w:rsid w:val="006D323C"/>
    <w:rsid w:val="006D3267"/>
    <w:rsid w:val="006D32D6"/>
    <w:rsid w:val="006D336B"/>
    <w:rsid w:val="006D33B4"/>
    <w:rsid w:val="006D33DC"/>
    <w:rsid w:val="006D3446"/>
    <w:rsid w:val="006D34C7"/>
    <w:rsid w:val="006D34CC"/>
    <w:rsid w:val="006D34FB"/>
    <w:rsid w:val="006D352A"/>
    <w:rsid w:val="006D359C"/>
    <w:rsid w:val="006D35DB"/>
    <w:rsid w:val="006D3652"/>
    <w:rsid w:val="006D3662"/>
    <w:rsid w:val="006D3677"/>
    <w:rsid w:val="006D36A9"/>
    <w:rsid w:val="006D36DA"/>
    <w:rsid w:val="006D374A"/>
    <w:rsid w:val="006D37B9"/>
    <w:rsid w:val="006D3813"/>
    <w:rsid w:val="006D3829"/>
    <w:rsid w:val="006D3838"/>
    <w:rsid w:val="006D3850"/>
    <w:rsid w:val="006D3892"/>
    <w:rsid w:val="006D38C2"/>
    <w:rsid w:val="006D38CC"/>
    <w:rsid w:val="006D397A"/>
    <w:rsid w:val="006D397F"/>
    <w:rsid w:val="006D39BE"/>
    <w:rsid w:val="006D39C5"/>
    <w:rsid w:val="006D39DC"/>
    <w:rsid w:val="006D3A09"/>
    <w:rsid w:val="006D3A1C"/>
    <w:rsid w:val="006D3A8B"/>
    <w:rsid w:val="006D3AE4"/>
    <w:rsid w:val="006D3B1E"/>
    <w:rsid w:val="006D3B95"/>
    <w:rsid w:val="006D3CBE"/>
    <w:rsid w:val="006D3D0D"/>
    <w:rsid w:val="006D3D5D"/>
    <w:rsid w:val="006D3D7E"/>
    <w:rsid w:val="006D3D9E"/>
    <w:rsid w:val="006D3DDB"/>
    <w:rsid w:val="006D3E0F"/>
    <w:rsid w:val="006D3E98"/>
    <w:rsid w:val="006D3EA6"/>
    <w:rsid w:val="006D3F51"/>
    <w:rsid w:val="006D3F54"/>
    <w:rsid w:val="006D3F8F"/>
    <w:rsid w:val="006D3F97"/>
    <w:rsid w:val="006D3FF9"/>
    <w:rsid w:val="006D4019"/>
    <w:rsid w:val="006D4036"/>
    <w:rsid w:val="006D4067"/>
    <w:rsid w:val="006D4097"/>
    <w:rsid w:val="006D4099"/>
    <w:rsid w:val="006D4132"/>
    <w:rsid w:val="006D4136"/>
    <w:rsid w:val="006D4195"/>
    <w:rsid w:val="006D424D"/>
    <w:rsid w:val="006D4286"/>
    <w:rsid w:val="006D42D3"/>
    <w:rsid w:val="006D4322"/>
    <w:rsid w:val="006D43B5"/>
    <w:rsid w:val="006D43BA"/>
    <w:rsid w:val="006D43C9"/>
    <w:rsid w:val="006D43F3"/>
    <w:rsid w:val="006D4400"/>
    <w:rsid w:val="006D444A"/>
    <w:rsid w:val="006D444F"/>
    <w:rsid w:val="006D4523"/>
    <w:rsid w:val="006D4545"/>
    <w:rsid w:val="006D4554"/>
    <w:rsid w:val="006D45F6"/>
    <w:rsid w:val="006D4637"/>
    <w:rsid w:val="006D474D"/>
    <w:rsid w:val="006D4751"/>
    <w:rsid w:val="006D4779"/>
    <w:rsid w:val="006D47BC"/>
    <w:rsid w:val="006D47BF"/>
    <w:rsid w:val="006D47D3"/>
    <w:rsid w:val="006D47E6"/>
    <w:rsid w:val="006D4842"/>
    <w:rsid w:val="006D488C"/>
    <w:rsid w:val="006D48A1"/>
    <w:rsid w:val="006D48C0"/>
    <w:rsid w:val="006D48F9"/>
    <w:rsid w:val="006D48FA"/>
    <w:rsid w:val="006D4936"/>
    <w:rsid w:val="006D49B7"/>
    <w:rsid w:val="006D49D3"/>
    <w:rsid w:val="006D49F0"/>
    <w:rsid w:val="006D4A43"/>
    <w:rsid w:val="006D4A78"/>
    <w:rsid w:val="006D4AC6"/>
    <w:rsid w:val="006D4B9C"/>
    <w:rsid w:val="006D4BCE"/>
    <w:rsid w:val="006D4C07"/>
    <w:rsid w:val="006D4C56"/>
    <w:rsid w:val="006D4C81"/>
    <w:rsid w:val="006D4CAC"/>
    <w:rsid w:val="006D4D79"/>
    <w:rsid w:val="006D4D82"/>
    <w:rsid w:val="006D4DD5"/>
    <w:rsid w:val="006D4EDD"/>
    <w:rsid w:val="006D4F19"/>
    <w:rsid w:val="006D4FB0"/>
    <w:rsid w:val="006D4FC8"/>
    <w:rsid w:val="006D5080"/>
    <w:rsid w:val="006D50EA"/>
    <w:rsid w:val="006D5124"/>
    <w:rsid w:val="006D5132"/>
    <w:rsid w:val="006D5135"/>
    <w:rsid w:val="006D513E"/>
    <w:rsid w:val="006D514D"/>
    <w:rsid w:val="006D5166"/>
    <w:rsid w:val="006D5181"/>
    <w:rsid w:val="006D51A6"/>
    <w:rsid w:val="006D5216"/>
    <w:rsid w:val="006D5219"/>
    <w:rsid w:val="006D5245"/>
    <w:rsid w:val="006D5265"/>
    <w:rsid w:val="006D526B"/>
    <w:rsid w:val="006D52C5"/>
    <w:rsid w:val="006D535B"/>
    <w:rsid w:val="006D535C"/>
    <w:rsid w:val="006D53A6"/>
    <w:rsid w:val="006D548E"/>
    <w:rsid w:val="006D553C"/>
    <w:rsid w:val="006D5547"/>
    <w:rsid w:val="006D5565"/>
    <w:rsid w:val="006D557A"/>
    <w:rsid w:val="006D5586"/>
    <w:rsid w:val="006D558E"/>
    <w:rsid w:val="006D55F0"/>
    <w:rsid w:val="006D55FC"/>
    <w:rsid w:val="006D5649"/>
    <w:rsid w:val="006D5652"/>
    <w:rsid w:val="006D5771"/>
    <w:rsid w:val="006D5788"/>
    <w:rsid w:val="006D581A"/>
    <w:rsid w:val="006D5820"/>
    <w:rsid w:val="006D5852"/>
    <w:rsid w:val="006D5893"/>
    <w:rsid w:val="006D589D"/>
    <w:rsid w:val="006D5902"/>
    <w:rsid w:val="006D59CF"/>
    <w:rsid w:val="006D59DC"/>
    <w:rsid w:val="006D5A02"/>
    <w:rsid w:val="006D5A10"/>
    <w:rsid w:val="006D5A58"/>
    <w:rsid w:val="006D5B76"/>
    <w:rsid w:val="006D5BC4"/>
    <w:rsid w:val="006D5C0D"/>
    <w:rsid w:val="006D5C22"/>
    <w:rsid w:val="006D5C33"/>
    <w:rsid w:val="006D5C37"/>
    <w:rsid w:val="006D5C77"/>
    <w:rsid w:val="006D5CC6"/>
    <w:rsid w:val="006D5CCC"/>
    <w:rsid w:val="006D5D20"/>
    <w:rsid w:val="006D5D97"/>
    <w:rsid w:val="006D5E0F"/>
    <w:rsid w:val="006D5E75"/>
    <w:rsid w:val="006D5E93"/>
    <w:rsid w:val="006D5EC3"/>
    <w:rsid w:val="006D5ED1"/>
    <w:rsid w:val="006D5F1F"/>
    <w:rsid w:val="006D5F60"/>
    <w:rsid w:val="006D5F68"/>
    <w:rsid w:val="006D5F7E"/>
    <w:rsid w:val="006D5FB5"/>
    <w:rsid w:val="006D5FB6"/>
    <w:rsid w:val="006D5FBE"/>
    <w:rsid w:val="006D5FEA"/>
    <w:rsid w:val="006D6029"/>
    <w:rsid w:val="006D603F"/>
    <w:rsid w:val="006D606B"/>
    <w:rsid w:val="006D6092"/>
    <w:rsid w:val="006D60C3"/>
    <w:rsid w:val="006D60D5"/>
    <w:rsid w:val="006D60DC"/>
    <w:rsid w:val="006D6109"/>
    <w:rsid w:val="006D6151"/>
    <w:rsid w:val="006D615C"/>
    <w:rsid w:val="006D618A"/>
    <w:rsid w:val="006D61A2"/>
    <w:rsid w:val="006D61E5"/>
    <w:rsid w:val="006D61E9"/>
    <w:rsid w:val="006D620F"/>
    <w:rsid w:val="006D623F"/>
    <w:rsid w:val="006D6274"/>
    <w:rsid w:val="006D6297"/>
    <w:rsid w:val="006D629F"/>
    <w:rsid w:val="006D630B"/>
    <w:rsid w:val="006D633D"/>
    <w:rsid w:val="006D6384"/>
    <w:rsid w:val="006D63A4"/>
    <w:rsid w:val="006D63CF"/>
    <w:rsid w:val="006D63D0"/>
    <w:rsid w:val="006D6439"/>
    <w:rsid w:val="006D64CA"/>
    <w:rsid w:val="006D6534"/>
    <w:rsid w:val="006D6587"/>
    <w:rsid w:val="006D65E7"/>
    <w:rsid w:val="006D6674"/>
    <w:rsid w:val="006D66B6"/>
    <w:rsid w:val="006D6722"/>
    <w:rsid w:val="006D6726"/>
    <w:rsid w:val="006D673A"/>
    <w:rsid w:val="006D6741"/>
    <w:rsid w:val="006D6747"/>
    <w:rsid w:val="006D67BA"/>
    <w:rsid w:val="006D67D0"/>
    <w:rsid w:val="006D68FE"/>
    <w:rsid w:val="006D6974"/>
    <w:rsid w:val="006D69A1"/>
    <w:rsid w:val="006D69C0"/>
    <w:rsid w:val="006D69E3"/>
    <w:rsid w:val="006D6AEA"/>
    <w:rsid w:val="006D6B5C"/>
    <w:rsid w:val="006D6B6B"/>
    <w:rsid w:val="006D6BA2"/>
    <w:rsid w:val="006D6BB0"/>
    <w:rsid w:val="006D6BE4"/>
    <w:rsid w:val="006D6CA1"/>
    <w:rsid w:val="006D6CF1"/>
    <w:rsid w:val="006D6D46"/>
    <w:rsid w:val="006D6E59"/>
    <w:rsid w:val="006D6E60"/>
    <w:rsid w:val="006D6E7B"/>
    <w:rsid w:val="006D6EA8"/>
    <w:rsid w:val="006D6F28"/>
    <w:rsid w:val="006D6FD8"/>
    <w:rsid w:val="006D7014"/>
    <w:rsid w:val="006D7058"/>
    <w:rsid w:val="006D7069"/>
    <w:rsid w:val="006D7139"/>
    <w:rsid w:val="006D719B"/>
    <w:rsid w:val="006D7232"/>
    <w:rsid w:val="006D7289"/>
    <w:rsid w:val="006D72F6"/>
    <w:rsid w:val="006D7314"/>
    <w:rsid w:val="006D735F"/>
    <w:rsid w:val="006D736D"/>
    <w:rsid w:val="006D738E"/>
    <w:rsid w:val="006D7396"/>
    <w:rsid w:val="006D7399"/>
    <w:rsid w:val="006D73CD"/>
    <w:rsid w:val="006D7414"/>
    <w:rsid w:val="006D7476"/>
    <w:rsid w:val="006D749F"/>
    <w:rsid w:val="006D7525"/>
    <w:rsid w:val="006D7565"/>
    <w:rsid w:val="006D7573"/>
    <w:rsid w:val="006D75AC"/>
    <w:rsid w:val="006D75C3"/>
    <w:rsid w:val="006D75FB"/>
    <w:rsid w:val="006D7671"/>
    <w:rsid w:val="006D76E8"/>
    <w:rsid w:val="006D776A"/>
    <w:rsid w:val="006D7796"/>
    <w:rsid w:val="006D779B"/>
    <w:rsid w:val="006D77F2"/>
    <w:rsid w:val="006D7859"/>
    <w:rsid w:val="006D787A"/>
    <w:rsid w:val="006D78BE"/>
    <w:rsid w:val="006D78C1"/>
    <w:rsid w:val="006D78C2"/>
    <w:rsid w:val="006D78C8"/>
    <w:rsid w:val="006D78E4"/>
    <w:rsid w:val="006D7A3D"/>
    <w:rsid w:val="006D7A4C"/>
    <w:rsid w:val="006D7AF0"/>
    <w:rsid w:val="006D7B3A"/>
    <w:rsid w:val="006D7B59"/>
    <w:rsid w:val="006D7B60"/>
    <w:rsid w:val="006D7B76"/>
    <w:rsid w:val="006D7BE4"/>
    <w:rsid w:val="006D7C28"/>
    <w:rsid w:val="006D7CA8"/>
    <w:rsid w:val="006D7CC9"/>
    <w:rsid w:val="006D7CE2"/>
    <w:rsid w:val="006D7D81"/>
    <w:rsid w:val="006D7D87"/>
    <w:rsid w:val="006D7DF1"/>
    <w:rsid w:val="006D7E17"/>
    <w:rsid w:val="006D7E28"/>
    <w:rsid w:val="006D7EDE"/>
    <w:rsid w:val="006D7F16"/>
    <w:rsid w:val="006E005B"/>
    <w:rsid w:val="006E00DA"/>
    <w:rsid w:val="006E013F"/>
    <w:rsid w:val="006E0154"/>
    <w:rsid w:val="006E0230"/>
    <w:rsid w:val="006E023D"/>
    <w:rsid w:val="006E023F"/>
    <w:rsid w:val="006E0265"/>
    <w:rsid w:val="006E0294"/>
    <w:rsid w:val="006E0299"/>
    <w:rsid w:val="006E02D1"/>
    <w:rsid w:val="006E02E7"/>
    <w:rsid w:val="006E02E9"/>
    <w:rsid w:val="006E02F0"/>
    <w:rsid w:val="006E0355"/>
    <w:rsid w:val="006E0387"/>
    <w:rsid w:val="006E0396"/>
    <w:rsid w:val="006E03BC"/>
    <w:rsid w:val="006E0455"/>
    <w:rsid w:val="006E0492"/>
    <w:rsid w:val="006E0498"/>
    <w:rsid w:val="006E04CA"/>
    <w:rsid w:val="006E0557"/>
    <w:rsid w:val="006E05C2"/>
    <w:rsid w:val="006E0613"/>
    <w:rsid w:val="006E062B"/>
    <w:rsid w:val="006E0641"/>
    <w:rsid w:val="006E067E"/>
    <w:rsid w:val="006E0695"/>
    <w:rsid w:val="006E0697"/>
    <w:rsid w:val="006E06A5"/>
    <w:rsid w:val="006E06E1"/>
    <w:rsid w:val="006E06F5"/>
    <w:rsid w:val="006E073A"/>
    <w:rsid w:val="006E075B"/>
    <w:rsid w:val="006E07BC"/>
    <w:rsid w:val="006E07EB"/>
    <w:rsid w:val="006E081F"/>
    <w:rsid w:val="006E0858"/>
    <w:rsid w:val="006E087B"/>
    <w:rsid w:val="006E08D3"/>
    <w:rsid w:val="006E0904"/>
    <w:rsid w:val="006E09B3"/>
    <w:rsid w:val="006E09BE"/>
    <w:rsid w:val="006E09D3"/>
    <w:rsid w:val="006E09E8"/>
    <w:rsid w:val="006E0ACE"/>
    <w:rsid w:val="006E0B47"/>
    <w:rsid w:val="006E0B96"/>
    <w:rsid w:val="006E0B9F"/>
    <w:rsid w:val="006E0C0B"/>
    <w:rsid w:val="006E0C20"/>
    <w:rsid w:val="006E0C6F"/>
    <w:rsid w:val="006E0CB9"/>
    <w:rsid w:val="006E0D9D"/>
    <w:rsid w:val="006E0DF8"/>
    <w:rsid w:val="006E0E64"/>
    <w:rsid w:val="006E0E69"/>
    <w:rsid w:val="006E0E8D"/>
    <w:rsid w:val="006E0E92"/>
    <w:rsid w:val="006E0EE9"/>
    <w:rsid w:val="006E0FC8"/>
    <w:rsid w:val="006E1019"/>
    <w:rsid w:val="006E1038"/>
    <w:rsid w:val="006E104C"/>
    <w:rsid w:val="006E104F"/>
    <w:rsid w:val="006E1073"/>
    <w:rsid w:val="006E10EE"/>
    <w:rsid w:val="006E1154"/>
    <w:rsid w:val="006E115A"/>
    <w:rsid w:val="006E11C8"/>
    <w:rsid w:val="006E11F3"/>
    <w:rsid w:val="006E1208"/>
    <w:rsid w:val="006E12E7"/>
    <w:rsid w:val="006E12F2"/>
    <w:rsid w:val="006E12FB"/>
    <w:rsid w:val="006E13AD"/>
    <w:rsid w:val="006E140D"/>
    <w:rsid w:val="006E1476"/>
    <w:rsid w:val="006E1526"/>
    <w:rsid w:val="006E157E"/>
    <w:rsid w:val="006E160F"/>
    <w:rsid w:val="006E1624"/>
    <w:rsid w:val="006E1662"/>
    <w:rsid w:val="006E166E"/>
    <w:rsid w:val="006E168D"/>
    <w:rsid w:val="006E16E1"/>
    <w:rsid w:val="006E174B"/>
    <w:rsid w:val="006E1762"/>
    <w:rsid w:val="006E1791"/>
    <w:rsid w:val="006E17C5"/>
    <w:rsid w:val="006E17CC"/>
    <w:rsid w:val="006E17EA"/>
    <w:rsid w:val="006E183B"/>
    <w:rsid w:val="006E183D"/>
    <w:rsid w:val="006E1899"/>
    <w:rsid w:val="006E18B1"/>
    <w:rsid w:val="006E18C3"/>
    <w:rsid w:val="006E18DB"/>
    <w:rsid w:val="006E198C"/>
    <w:rsid w:val="006E198D"/>
    <w:rsid w:val="006E19CC"/>
    <w:rsid w:val="006E19D5"/>
    <w:rsid w:val="006E19D8"/>
    <w:rsid w:val="006E1A60"/>
    <w:rsid w:val="006E1A73"/>
    <w:rsid w:val="006E1A7A"/>
    <w:rsid w:val="006E1A87"/>
    <w:rsid w:val="006E1AA7"/>
    <w:rsid w:val="006E1AC1"/>
    <w:rsid w:val="006E1B1B"/>
    <w:rsid w:val="006E1B4D"/>
    <w:rsid w:val="006E1B9F"/>
    <w:rsid w:val="006E1BC5"/>
    <w:rsid w:val="006E1BEF"/>
    <w:rsid w:val="006E1C1B"/>
    <w:rsid w:val="006E1C55"/>
    <w:rsid w:val="006E1C79"/>
    <w:rsid w:val="006E1CA3"/>
    <w:rsid w:val="006E1CC1"/>
    <w:rsid w:val="006E1CC2"/>
    <w:rsid w:val="006E1CDA"/>
    <w:rsid w:val="006E1CFC"/>
    <w:rsid w:val="006E1D0E"/>
    <w:rsid w:val="006E1D19"/>
    <w:rsid w:val="006E1D33"/>
    <w:rsid w:val="006E1E1E"/>
    <w:rsid w:val="006E1E1F"/>
    <w:rsid w:val="006E1E36"/>
    <w:rsid w:val="006E1EE7"/>
    <w:rsid w:val="006E1F0E"/>
    <w:rsid w:val="006E1F36"/>
    <w:rsid w:val="006E1F96"/>
    <w:rsid w:val="006E2026"/>
    <w:rsid w:val="006E2098"/>
    <w:rsid w:val="006E20FF"/>
    <w:rsid w:val="006E2144"/>
    <w:rsid w:val="006E215A"/>
    <w:rsid w:val="006E2174"/>
    <w:rsid w:val="006E21EF"/>
    <w:rsid w:val="006E2223"/>
    <w:rsid w:val="006E225E"/>
    <w:rsid w:val="006E229F"/>
    <w:rsid w:val="006E22CF"/>
    <w:rsid w:val="006E22D0"/>
    <w:rsid w:val="006E22D9"/>
    <w:rsid w:val="006E230B"/>
    <w:rsid w:val="006E2350"/>
    <w:rsid w:val="006E2445"/>
    <w:rsid w:val="006E2482"/>
    <w:rsid w:val="006E248E"/>
    <w:rsid w:val="006E249E"/>
    <w:rsid w:val="006E24A7"/>
    <w:rsid w:val="006E24D5"/>
    <w:rsid w:val="006E24F9"/>
    <w:rsid w:val="006E2519"/>
    <w:rsid w:val="006E251D"/>
    <w:rsid w:val="006E25B1"/>
    <w:rsid w:val="006E25F1"/>
    <w:rsid w:val="006E2618"/>
    <w:rsid w:val="006E2658"/>
    <w:rsid w:val="006E2753"/>
    <w:rsid w:val="006E27E1"/>
    <w:rsid w:val="006E2818"/>
    <w:rsid w:val="006E283C"/>
    <w:rsid w:val="006E2894"/>
    <w:rsid w:val="006E28A8"/>
    <w:rsid w:val="006E28B3"/>
    <w:rsid w:val="006E2954"/>
    <w:rsid w:val="006E296F"/>
    <w:rsid w:val="006E29B8"/>
    <w:rsid w:val="006E2A78"/>
    <w:rsid w:val="006E2A83"/>
    <w:rsid w:val="006E2A93"/>
    <w:rsid w:val="006E2B02"/>
    <w:rsid w:val="006E2B1C"/>
    <w:rsid w:val="006E2B35"/>
    <w:rsid w:val="006E2B70"/>
    <w:rsid w:val="006E2B7B"/>
    <w:rsid w:val="006E2BD7"/>
    <w:rsid w:val="006E2BE8"/>
    <w:rsid w:val="006E2C28"/>
    <w:rsid w:val="006E2C32"/>
    <w:rsid w:val="006E2C64"/>
    <w:rsid w:val="006E2D09"/>
    <w:rsid w:val="006E2D38"/>
    <w:rsid w:val="006E2D65"/>
    <w:rsid w:val="006E2D6A"/>
    <w:rsid w:val="006E2D9D"/>
    <w:rsid w:val="006E2DC0"/>
    <w:rsid w:val="006E2DDF"/>
    <w:rsid w:val="006E2DE9"/>
    <w:rsid w:val="006E2E97"/>
    <w:rsid w:val="006E2F53"/>
    <w:rsid w:val="006E2F67"/>
    <w:rsid w:val="006E2F8F"/>
    <w:rsid w:val="006E304F"/>
    <w:rsid w:val="006E305B"/>
    <w:rsid w:val="006E3088"/>
    <w:rsid w:val="006E3093"/>
    <w:rsid w:val="006E309F"/>
    <w:rsid w:val="006E30A8"/>
    <w:rsid w:val="006E30AE"/>
    <w:rsid w:val="006E310D"/>
    <w:rsid w:val="006E31B2"/>
    <w:rsid w:val="006E3202"/>
    <w:rsid w:val="006E3210"/>
    <w:rsid w:val="006E3223"/>
    <w:rsid w:val="006E32F5"/>
    <w:rsid w:val="006E32F9"/>
    <w:rsid w:val="006E330C"/>
    <w:rsid w:val="006E331A"/>
    <w:rsid w:val="006E338F"/>
    <w:rsid w:val="006E342E"/>
    <w:rsid w:val="006E3497"/>
    <w:rsid w:val="006E354D"/>
    <w:rsid w:val="006E35D2"/>
    <w:rsid w:val="006E3638"/>
    <w:rsid w:val="006E36A7"/>
    <w:rsid w:val="006E3737"/>
    <w:rsid w:val="006E3784"/>
    <w:rsid w:val="006E37C2"/>
    <w:rsid w:val="006E37C5"/>
    <w:rsid w:val="006E37C7"/>
    <w:rsid w:val="006E37DA"/>
    <w:rsid w:val="006E384F"/>
    <w:rsid w:val="006E3866"/>
    <w:rsid w:val="006E38F9"/>
    <w:rsid w:val="006E392F"/>
    <w:rsid w:val="006E398E"/>
    <w:rsid w:val="006E3AB3"/>
    <w:rsid w:val="006E3AD4"/>
    <w:rsid w:val="006E3AE2"/>
    <w:rsid w:val="006E3BAF"/>
    <w:rsid w:val="006E3BE5"/>
    <w:rsid w:val="006E3C02"/>
    <w:rsid w:val="006E3C3E"/>
    <w:rsid w:val="006E3C43"/>
    <w:rsid w:val="006E3D4D"/>
    <w:rsid w:val="006E3DA8"/>
    <w:rsid w:val="006E3DF6"/>
    <w:rsid w:val="006E3E08"/>
    <w:rsid w:val="006E3E9B"/>
    <w:rsid w:val="006E3EAE"/>
    <w:rsid w:val="006E3F0B"/>
    <w:rsid w:val="006E3F70"/>
    <w:rsid w:val="006E3FCB"/>
    <w:rsid w:val="006E3FDA"/>
    <w:rsid w:val="006E4005"/>
    <w:rsid w:val="006E4058"/>
    <w:rsid w:val="006E40A1"/>
    <w:rsid w:val="006E40EF"/>
    <w:rsid w:val="006E413B"/>
    <w:rsid w:val="006E417E"/>
    <w:rsid w:val="006E4187"/>
    <w:rsid w:val="006E42AD"/>
    <w:rsid w:val="006E42C9"/>
    <w:rsid w:val="006E42FE"/>
    <w:rsid w:val="006E4329"/>
    <w:rsid w:val="006E43CD"/>
    <w:rsid w:val="006E43D3"/>
    <w:rsid w:val="006E43EF"/>
    <w:rsid w:val="006E446B"/>
    <w:rsid w:val="006E451C"/>
    <w:rsid w:val="006E452E"/>
    <w:rsid w:val="006E4634"/>
    <w:rsid w:val="006E46B7"/>
    <w:rsid w:val="006E46FB"/>
    <w:rsid w:val="006E47C7"/>
    <w:rsid w:val="006E47FB"/>
    <w:rsid w:val="006E4836"/>
    <w:rsid w:val="006E4878"/>
    <w:rsid w:val="006E4966"/>
    <w:rsid w:val="006E49C2"/>
    <w:rsid w:val="006E4A09"/>
    <w:rsid w:val="006E4A55"/>
    <w:rsid w:val="006E4A93"/>
    <w:rsid w:val="006E4ABE"/>
    <w:rsid w:val="006E4B0F"/>
    <w:rsid w:val="006E4B45"/>
    <w:rsid w:val="006E4B58"/>
    <w:rsid w:val="006E4BF9"/>
    <w:rsid w:val="006E4C40"/>
    <w:rsid w:val="006E4C50"/>
    <w:rsid w:val="006E4C83"/>
    <w:rsid w:val="006E4CB5"/>
    <w:rsid w:val="006E4D52"/>
    <w:rsid w:val="006E4DAC"/>
    <w:rsid w:val="006E4DAE"/>
    <w:rsid w:val="006E4DAF"/>
    <w:rsid w:val="006E4E48"/>
    <w:rsid w:val="006E4E57"/>
    <w:rsid w:val="006E4E6A"/>
    <w:rsid w:val="006E4E72"/>
    <w:rsid w:val="006E4EC4"/>
    <w:rsid w:val="006E4ECA"/>
    <w:rsid w:val="006E4ECC"/>
    <w:rsid w:val="006E4F18"/>
    <w:rsid w:val="006E4F9F"/>
    <w:rsid w:val="006E5031"/>
    <w:rsid w:val="006E5097"/>
    <w:rsid w:val="006E50A6"/>
    <w:rsid w:val="006E50F9"/>
    <w:rsid w:val="006E5132"/>
    <w:rsid w:val="006E5177"/>
    <w:rsid w:val="006E51AC"/>
    <w:rsid w:val="006E5217"/>
    <w:rsid w:val="006E522D"/>
    <w:rsid w:val="006E5240"/>
    <w:rsid w:val="006E5254"/>
    <w:rsid w:val="006E528D"/>
    <w:rsid w:val="006E52A9"/>
    <w:rsid w:val="006E52C5"/>
    <w:rsid w:val="006E5304"/>
    <w:rsid w:val="006E5306"/>
    <w:rsid w:val="006E5318"/>
    <w:rsid w:val="006E5374"/>
    <w:rsid w:val="006E53B9"/>
    <w:rsid w:val="006E53BB"/>
    <w:rsid w:val="006E53F6"/>
    <w:rsid w:val="006E5420"/>
    <w:rsid w:val="006E548E"/>
    <w:rsid w:val="006E5498"/>
    <w:rsid w:val="006E5530"/>
    <w:rsid w:val="006E558A"/>
    <w:rsid w:val="006E55C1"/>
    <w:rsid w:val="006E55D6"/>
    <w:rsid w:val="006E5640"/>
    <w:rsid w:val="006E56B4"/>
    <w:rsid w:val="006E5772"/>
    <w:rsid w:val="006E578F"/>
    <w:rsid w:val="006E57A1"/>
    <w:rsid w:val="006E57B2"/>
    <w:rsid w:val="006E5814"/>
    <w:rsid w:val="006E583E"/>
    <w:rsid w:val="006E588E"/>
    <w:rsid w:val="006E58BB"/>
    <w:rsid w:val="006E58D2"/>
    <w:rsid w:val="006E593F"/>
    <w:rsid w:val="006E59C0"/>
    <w:rsid w:val="006E59C7"/>
    <w:rsid w:val="006E59EA"/>
    <w:rsid w:val="006E5A05"/>
    <w:rsid w:val="006E5A1B"/>
    <w:rsid w:val="006E5ABD"/>
    <w:rsid w:val="006E5B00"/>
    <w:rsid w:val="006E5B06"/>
    <w:rsid w:val="006E5B13"/>
    <w:rsid w:val="006E5B1F"/>
    <w:rsid w:val="006E5B9C"/>
    <w:rsid w:val="006E5BA2"/>
    <w:rsid w:val="006E5C21"/>
    <w:rsid w:val="006E5C6A"/>
    <w:rsid w:val="006E5C6D"/>
    <w:rsid w:val="006E5C82"/>
    <w:rsid w:val="006E5C99"/>
    <w:rsid w:val="006E5CA6"/>
    <w:rsid w:val="006E5D27"/>
    <w:rsid w:val="006E5D5A"/>
    <w:rsid w:val="006E5D93"/>
    <w:rsid w:val="006E5DCE"/>
    <w:rsid w:val="006E5E12"/>
    <w:rsid w:val="006E5E2E"/>
    <w:rsid w:val="006E5E57"/>
    <w:rsid w:val="006E5EA7"/>
    <w:rsid w:val="006E5F6C"/>
    <w:rsid w:val="006E5F71"/>
    <w:rsid w:val="006E5F81"/>
    <w:rsid w:val="006E5FC5"/>
    <w:rsid w:val="006E5FEF"/>
    <w:rsid w:val="006E6138"/>
    <w:rsid w:val="006E6151"/>
    <w:rsid w:val="006E61C7"/>
    <w:rsid w:val="006E6219"/>
    <w:rsid w:val="006E6225"/>
    <w:rsid w:val="006E623E"/>
    <w:rsid w:val="006E625F"/>
    <w:rsid w:val="006E6277"/>
    <w:rsid w:val="006E6291"/>
    <w:rsid w:val="006E62BC"/>
    <w:rsid w:val="006E62C4"/>
    <w:rsid w:val="006E6336"/>
    <w:rsid w:val="006E6372"/>
    <w:rsid w:val="006E63C0"/>
    <w:rsid w:val="006E63E5"/>
    <w:rsid w:val="006E63F5"/>
    <w:rsid w:val="006E640F"/>
    <w:rsid w:val="006E64A1"/>
    <w:rsid w:val="006E64D4"/>
    <w:rsid w:val="006E64D8"/>
    <w:rsid w:val="006E650D"/>
    <w:rsid w:val="006E654A"/>
    <w:rsid w:val="006E6589"/>
    <w:rsid w:val="006E65EB"/>
    <w:rsid w:val="006E660B"/>
    <w:rsid w:val="006E662E"/>
    <w:rsid w:val="006E662F"/>
    <w:rsid w:val="006E6654"/>
    <w:rsid w:val="006E666B"/>
    <w:rsid w:val="006E6692"/>
    <w:rsid w:val="006E66C6"/>
    <w:rsid w:val="006E66DA"/>
    <w:rsid w:val="006E66FC"/>
    <w:rsid w:val="006E6727"/>
    <w:rsid w:val="006E67BB"/>
    <w:rsid w:val="006E67EE"/>
    <w:rsid w:val="006E67F0"/>
    <w:rsid w:val="006E68BD"/>
    <w:rsid w:val="006E68E8"/>
    <w:rsid w:val="006E68F7"/>
    <w:rsid w:val="006E692B"/>
    <w:rsid w:val="006E6978"/>
    <w:rsid w:val="006E69B4"/>
    <w:rsid w:val="006E69D2"/>
    <w:rsid w:val="006E6A3E"/>
    <w:rsid w:val="006E6AD8"/>
    <w:rsid w:val="006E6B08"/>
    <w:rsid w:val="006E6B55"/>
    <w:rsid w:val="006E6BA8"/>
    <w:rsid w:val="006E6C02"/>
    <w:rsid w:val="006E6C10"/>
    <w:rsid w:val="006E6C29"/>
    <w:rsid w:val="006E6C5A"/>
    <w:rsid w:val="006E6C60"/>
    <w:rsid w:val="006E6C66"/>
    <w:rsid w:val="006E6CBA"/>
    <w:rsid w:val="006E6CC8"/>
    <w:rsid w:val="006E6CCD"/>
    <w:rsid w:val="006E6CF1"/>
    <w:rsid w:val="006E6CF2"/>
    <w:rsid w:val="006E6D88"/>
    <w:rsid w:val="006E6DA9"/>
    <w:rsid w:val="006E6DD4"/>
    <w:rsid w:val="006E6DEB"/>
    <w:rsid w:val="006E6E2D"/>
    <w:rsid w:val="006E6E41"/>
    <w:rsid w:val="006E6E6D"/>
    <w:rsid w:val="006E6E72"/>
    <w:rsid w:val="006E6EBE"/>
    <w:rsid w:val="006E6ECF"/>
    <w:rsid w:val="006E6F68"/>
    <w:rsid w:val="006E6F6F"/>
    <w:rsid w:val="006E6F97"/>
    <w:rsid w:val="006E6FBA"/>
    <w:rsid w:val="006E6FBD"/>
    <w:rsid w:val="006E6FFD"/>
    <w:rsid w:val="006E7006"/>
    <w:rsid w:val="006E704A"/>
    <w:rsid w:val="006E706F"/>
    <w:rsid w:val="006E70AB"/>
    <w:rsid w:val="006E70E3"/>
    <w:rsid w:val="006E7109"/>
    <w:rsid w:val="006E7164"/>
    <w:rsid w:val="006E7168"/>
    <w:rsid w:val="006E71EA"/>
    <w:rsid w:val="006E723B"/>
    <w:rsid w:val="006E72D0"/>
    <w:rsid w:val="006E7316"/>
    <w:rsid w:val="006E733C"/>
    <w:rsid w:val="006E733F"/>
    <w:rsid w:val="006E737D"/>
    <w:rsid w:val="006E738E"/>
    <w:rsid w:val="006E7469"/>
    <w:rsid w:val="006E74A6"/>
    <w:rsid w:val="006E74F4"/>
    <w:rsid w:val="006E7518"/>
    <w:rsid w:val="006E7527"/>
    <w:rsid w:val="006E753E"/>
    <w:rsid w:val="006E7607"/>
    <w:rsid w:val="006E761D"/>
    <w:rsid w:val="006E767F"/>
    <w:rsid w:val="006E76BF"/>
    <w:rsid w:val="006E76D8"/>
    <w:rsid w:val="006E7784"/>
    <w:rsid w:val="006E77C2"/>
    <w:rsid w:val="006E77EA"/>
    <w:rsid w:val="006E7887"/>
    <w:rsid w:val="006E78D5"/>
    <w:rsid w:val="006E792F"/>
    <w:rsid w:val="006E7941"/>
    <w:rsid w:val="006E794C"/>
    <w:rsid w:val="006E79A8"/>
    <w:rsid w:val="006E79E3"/>
    <w:rsid w:val="006E7A67"/>
    <w:rsid w:val="006E7A95"/>
    <w:rsid w:val="006E7AA4"/>
    <w:rsid w:val="006E7AD5"/>
    <w:rsid w:val="006E7AF2"/>
    <w:rsid w:val="006E7B03"/>
    <w:rsid w:val="006E7B1F"/>
    <w:rsid w:val="006E7B24"/>
    <w:rsid w:val="006E7B42"/>
    <w:rsid w:val="006E7BA0"/>
    <w:rsid w:val="006E7CBF"/>
    <w:rsid w:val="006E7CC9"/>
    <w:rsid w:val="006E7CD5"/>
    <w:rsid w:val="006E7CF9"/>
    <w:rsid w:val="006E7CFC"/>
    <w:rsid w:val="006E7D3D"/>
    <w:rsid w:val="006E7D6F"/>
    <w:rsid w:val="006E7D9E"/>
    <w:rsid w:val="006E7DC0"/>
    <w:rsid w:val="006E7E2E"/>
    <w:rsid w:val="006E7E3A"/>
    <w:rsid w:val="006E7E3B"/>
    <w:rsid w:val="006E7E6C"/>
    <w:rsid w:val="006E7EA0"/>
    <w:rsid w:val="006E7F14"/>
    <w:rsid w:val="006F0107"/>
    <w:rsid w:val="006F0190"/>
    <w:rsid w:val="006F01D3"/>
    <w:rsid w:val="006F01F0"/>
    <w:rsid w:val="006F02A2"/>
    <w:rsid w:val="006F02B0"/>
    <w:rsid w:val="006F02ED"/>
    <w:rsid w:val="006F0339"/>
    <w:rsid w:val="006F03A8"/>
    <w:rsid w:val="006F03B4"/>
    <w:rsid w:val="006F03CC"/>
    <w:rsid w:val="006F0427"/>
    <w:rsid w:val="006F044D"/>
    <w:rsid w:val="006F045E"/>
    <w:rsid w:val="006F04DA"/>
    <w:rsid w:val="006F04E4"/>
    <w:rsid w:val="006F0522"/>
    <w:rsid w:val="006F055C"/>
    <w:rsid w:val="006F0562"/>
    <w:rsid w:val="006F057A"/>
    <w:rsid w:val="006F0589"/>
    <w:rsid w:val="006F05ED"/>
    <w:rsid w:val="006F05F6"/>
    <w:rsid w:val="006F063C"/>
    <w:rsid w:val="006F067C"/>
    <w:rsid w:val="006F06C3"/>
    <w:rsid w:val="006F06CD"/>
    <w:rsid w:val="006F072C"/>
    <w:rsid w:val="006F0765"/>
    <w:rsid w:val="006F07B0"/>
    <w:rsid w:val="006F081D"/>
    <w:rsid w:val="006F0837"/>
    <w:rsid w:val="006F0855"/>
    <w:rsid w:val="006F086F"/>
    <w:rsid w:val="006F0888"/>
    <w:rsid w:val="006F08A5"/>
    <w:rsid w:val="006F08CC"/>
    <w:rsid w:val="006F08DC"/>
    <w:rsid w:val="006F0920"/>
    <w:rsid w:val="006F097B"/>
    <w:rsid w:val="006F0990"/>
    <w:rsid w:val="006F09AF"/>
    <w:rsid w:val="006F09F1"/>
    <w:rsid w:val="006F0A1B"/>
    <w:rsid w:val="006F0AB1"/>
    <w:rsid w:val="006F0AD5"/>
    <w:rsid w:val="006F0AFA"/>
    <w:rsid w:val="006F0B94"/>
    <w:rsid w:val="006F0BBF"/>
    <w:rsid w:val="006F0C3B"/>
    <w:rsid w:val="006F0C76"/>
    <w:rsid w:val="006F0CAC"/>
    <w:rsid w:val="006F0CB1"/>
    <w:rsid w:val="006F0CC4"/>
    <w:rsid w:val="006F0CCA"/>
    <w:rsid w:val="006F0D3D"/>
    <w:rsid w:val="006F0D55"/>
    <w:rsid w:val="006F0D80"/>
    <w:rsid w:val="006F0D83"/>
    <w:rsid w:val="006F0D8E"/>
    <w:rsid w:val="006F0DBC"/>
    <w:rsid w:val="006F0DCB"/>
    <w:rsid w:val="006F0DFD"/>
    <w:rsid w:val="006F0E38"/>
    <w:rsid w:val="006F0E5C"/>
    <w:rsid w:val="006F0EAF"/>
    <w:rsid w:val="006F0EBB"/>
    <w:rsid w:val="006F0EDC"/>
    <w:rsid w:val="006F0EE4"/>
    <w:rsid w:val="006F0F03"/>
    <w:rsid w:val="006F0F3A"/>
    <w:rsid w:val="006F0FD6"/>
    <w:rsid w:val="006F0FF1"/>
    <w:rsid w:val="006F1011"/>
    <w:rsid w:val="006F103D"/>
    <w:rsid w:val="006F10D2"/>
    <w:rsid w:val="006F10DC"/>
    <w:rsid w:val="006F10DF"/>
    <w:rsid w:val="006F1141"/>
    <w:rsid w:val="006F1149"/>
    <w:rsid w:val="006F1162"/>
    <w:rsid w:val="006F11B4"/>
    <w:rsid w:val="006F11E8"/>
    <w:rsid w:val="006F11F9"/>
    <w:rsid w:val="006F12A2"/>
    <w:rsid w:val="006F12DE"/>
    <w:rsid w:val="006F1305"/>
    <w:rsid w:val="006F1354"/>
    <w:rsid w:val="006F1389"/>
    <w:rsid w:val="006F13C7"/>
    <w:rsid w:val="006F13E8"/>
    <w:rsid w:val="006F1499"/>
    <w:rsid w:val="006F1528"/>
    <w:rsid w:val="006F153E"/>
    <w:rsid w:val="006F15DB"/>
    <w:rsid w:val="006F164D"/>
    <w:rsid w:val="006F1650"/>
    <w:rsid w:val="006F16CF"/>
    <w:rsid w:val="006F172F"/>
    <w:rsid w:val="006F1788"/>
    <w:rsid w:val="006F17EC"/>
    <w:rsid w:val="006F17F3"/>
    <w:rsid w:val="006F17FB"/>
    <w:rsid w:val="006F1806"/>
    <w:rsid w:val="006F1840"/>
    <w:rsid w:val="006F184C"/>
    <w:rsid w:val="006F18BB"/>
    <w:rsid w:val="006F193A"/>
    <w:rsid w:val="006F193F"/>
    <w:rsid w:val="006F197A"/>
    <w:rsid w:val="006F19E1"/>
    <w:rsid w:val="006F19F4"/>
    <w:rsid w:val="006F1A13"/>
    <w:rsid w:val="006F1A73"/>
    <w:rsid w:val="006F1A8B"/>
    <w:rsid w:val="006F1AAA"/>
    <w:rsid w:val="006F1AAE"/>
    <w:rsid w:val="006F1ACA"/>
    <w:rsid w:val="006F1AD8"/>
    <w:rsid w:val="006F1AFD"/>
    <w:rsid w:val="006F1B25"/>
    <w:rsid w:val="006F1B6E"/>
    <w:rsid w:val="006F1B80"/>
    <w:rsid w:val="006F1BA1"/>
    <w:rsid w:val="006F1C0F"/>
    <w:rsid w:val="006F1CB0"/>
    <w:rsid w:val="006F1CC0"/>
    <w:rsid w:val="006F1CCC"/>
    <w:rsid w:val="006F1CE5"/>
    <w:rsid w:val="006F1CFD"/>
    <w:rsid w:val="006F1D4E"/>
    <w:rsid w:val="006F1D53"/>
    <w:rsid w:val="006F1D54"/>
    <w:rsid w:val="006F1D5D"/>
    <w:rsid w:val="006F1D66"/>
    <w:rsid w:val="006F1E3C"/>
    <w:rsid w:val="006F1E6F"/>
    <w:rsid w:val="006F1EAA"/>
    <w:rsid w:val="006F1F3D"/>
    <w:rsid w:val="006F1F5B"/>
    <w:rsid w:val="006F1FEF"/>
    <w:rsid w:val="006F2027"/>
    <w:rsid w:val="006F202B"/>
    <w:rsid w:val="006F2099"/>
    <w:rsid w:val="006F20BE"/>
    <w:rsid w:val="006F20C4"/>
    <w:rsid w:val="006F20DA"/>
    <w:rsid w:val="006F2101"/>
    <w:rsid w:val="006F2140"/>
    <w:rsid w:val="006F2165"/>
    <w:rsid w:val="006F218C"/>
    <w:rsid w:val="006F2196"/>
    <w:rsid w:val="006F220C"/>
    <w:rsid w:val="006F222F"/>
    <w:rsid w:val="006F2268"/>
    <w:rsid w:val="006F2286"/>
    <w:rsid w:val="006F22BC"/>
    <w:rsid w:val="006F2314"/>
    <w:rsid w:val="006F234B"/>
    <w:rsid w:val="006F2363"/>
    <w:rsid w:val="006F236A"/>
    <w:rsid w:val="006F23B5"/>
    <w:rsid w:val="006F23EC"/>
    <w:rsid w:val="006F2425"/>
    <w:rsid w:val="006F246D"/>
    <w:rsid w:val="006F247B"/>
    <w:rsid w:val="006F24B4"/>
    <w:rsid w:val="006F256E"/>
    <w:rsid w:val="006F25B4"/>
    <w:rsid w:val="006F260F"/>
    <w:rsid w:val="006F26EC"/>
    <w:rsid w:val="006F2784"/>
    <w:rsid w:val="006F2796"/>
    <w:rsid w:val="006F27BF"/>
    <w:rsid w:val="006F27D5"/>
    <w:rsid w:val="006F27F5"/>
    <w:rsid w:val="006F2838"/>
    <w:rsid w:val="006F284A"/>
    <w:rsid w:val="006F28B4"/>
    <w:rsid w:val="006F28C8"/>
    <w:rsid w:val="006F2921"/>
    <w:rsid w:val="006F2943"/>
    <w:rsid w:val="006F2972"/>
    <w:rsid w:val="006F2989"/>
    <w:rsid w:val="006F2A5B"/>
    <w:rsid w:val="006F2ABE"/>
    <w:rsid w:val="006F2B0E"/>
    <w:rsid w:val="006F2B98"/>
    <w:rsid w:val="006F2BB5"/>
    <w:rsid w:val="006F2BEE"/>
    <w:rsid w:val="006F2C24"/>
    <w:rsid w:val="006F2C9D"/>
    <w:rsid w:val="006F2CAE"/>
    <w:rsid w:val="006F2CC6"/>
    <w:rsid w:val="006F2D7B"/>
    <w:rsid w:val="006F2DA5"/>
    <w:rsid w:val="006F2E0D"/>
    <w:rsid w:val="006F2E10"/>
    <w:rsid w:val="006F2E3E"/>
    <w:rsid w:val="006F2E52"/>
    <w:rsid w:val="006F2E7D"/>
    <w:rsid w:val="006F2EA5"/>
    <w:rsid w:val="006F2EDE"/>
    <w:rsid w:val="006F2F8B"/>
    <w:rsid w:val="006F2FEF"/>
    <w:rsid w:val="006F3013"/>
    <w:rsid w:val="006F3023"/>
    <w:rsid w:val="006F3075"/>
    <w:rsid w:val="006F30FC"/>
    <w:rsid w:val="006F3101"/>
    <w:rsid w:val="006F3135"/>
    <w:rsid w:val="006F315C"/>
    <w:rsid w:val="006F3181"/>
    <w:rsid w:val="006F3194"/>
    <w:rsid w:val="006F31DA"/>
    <w:rsid w:val="006F31EF"/>
    <w:rsid w:val="006F31F9"/>
    <w:rsid w:val="006F3226"/>
    <w:rsid w:val="006F32AC"/>
    <w:rsid w:val="006F32EE"/>
    <w:rsid w:val="006F333E"/>
    <w:rsid w:val="006F3387"/>
    <w:rsid w:val="006F34B2"/>
    <w:rsid w:val="006F34CE"/>
    <w:rsid w:val="006F34DC"/>
    <w:rsid w:val="006F35A8"/>
    <w:rsid w:val="006F35C2"/>
    <w:rsid w:val="006F364C"/>
    <w:rsid w:val="006F3685"/>
    <w:rsid w:val="006F36DC"/>
    <w:rsid w:val="006F3720"/>
    <w:rsid w:val="006F373D"/>
    <w:rsid w:val="006F3797"/>
    <w:rsid w:val="006F379A"/>
    <w:rsid w:val="006F37A4"/>
    <w:rsid w:val="006F37DA"/>
    <w:rsid w:val="006F37F1"/>
    <w:rsid w:val="006F38D6"/>
    <w:rsid w:val="006F391F"/>
    <w:rsid w:val="006F3929"/>
    <w:rsid w:val="006F392A"/>
    <w:rsid w:val="006F3984"/>
    <w:rsid w:val="006F39CF"/>
    <w:rsid w:val="006F3A4B"/>
    <w:rsid w:val="006F3A69"/>
    <w:rsid w:val="006F3A9A"/>
    <w:rsid w:val="006F3A9E"/>
    <w:rsid w:val="006F3AB4"/>
    <w:rsid w:val="006F3B18"/>
    <w:rsid w:val="006F3B99"/>
    <w:rsid w:val="006F3BD4"/>
    <w:rsid w:val="006F3C14"/>
    <w:rsid w:val="006F3C28"/>
    <w:rsid w:val="006F3C91"/>
    <w:rsid w:val="006F3CF8"/>
    <w:rsid w:val="006F3D0D"/>
    <w:rsid w:val="006F3D8C"/>
    <w:rsid w:val="006F3DA9"/>
    <w:rsid w:val="006F3DFE"/>
    <w:rsid w:val="006F3ECB"/>
    <w:rsid w:val="006F3F6D"/>
    <w:rsid w:val="006F3F9D"/>
    <w:rsid w:val="006F3FA7"/>
    <w:rsid w:val="006F3FBC"/>
    <w:rsid w:val="006F3FC3"/>
    <w:rsid w:val="006F3FDE"/>
    <w:rsid w:val="006F3FFE"/>
    <w:rsid w:val="006F406D"/>
    <w:rsid w:val="006F40D8"/>
    <w:rsid w:val="006F410E"/>
    <w:rsid w:val="006F4119"/>
    <w:rsid w:val="006F413E"/>
    <w:rsid w:val="006F41D2"/>
    <w:rsid w:val="006F41E8"/>
    <w:rsid w:val="006F4292"/>
    <w:rsid w:val="006F42B9"/>
    <w:rsid w:val="006F42D5"/>
    <w:rsid w:val="006F42D9"/>
    <w:rsid w:val="006F42E6"/>
    <w:rsid w:val="006F42F8"/>
    <w:rsid w:val="006F4326"/>
    <w:rsid w:val="006F432B"/>
    <w:rsid w:val="006F43C8"/>
    <w:rsid w:val="006F4406"/>
    <w:rsid w:val="006F44AE"/>
    <w:rsid w:val="006F450F"/>
    <w:rsid w:val="006F4546"/>
    <w:rsid w:val="006F45AB"/>
    <w:rsid w:val="006F460F"/>
    <w:rsid w:val="006F4696"/>
    <w:rsid w:val="006F46C2"/>
    <w:rsid w:val="006F46C6"/>
    <w:rsid w:val="006F46E3"/>
    <w:rsid w:val="006F4704"/>
    <w:rsid w:val="006F470A"/>
    <w:rsid w:val="006F4763"/>
    <w:rsid w:val="006F4782"/>
    <w:rsid w:val="006F4816"/>
    <w:rsid w:val="006F48AC"/>
    <w:rsid w:val="006F48CB"/>
    <w:rsid w:val="006F4948"/>
    <w:rsid w:val="006F496C"/>
    <w:rsid w:val="006F4990"/>
    <w:rsid w:val="006F4992"/>
    <w:rsid w:val="006F49B4"/>
    <w:rsid w:val="006F4A66"/>
    <w:rsid w:val="006F4AE6"/>
    <w:rsid w:val="006F4AEA"/>
    <w:rsid w:val="006F4B14"/>
    <w:rsid w:val="006F4B1C"/>
    <w:rsid w:val="006F4B42"/>
    <w:rsid w:val="006F4B55"/>
    <w:rsid w:val="006F4B7C"/>
    <w:rsid w:val="006F4BC3"/>
    <w:rsid w:val="006F4BE9"/>
    <w:rsid w:val="006F4BF9"/>
    <w:rsid w:val="006F4C64"/>
    <w:rsid w:val="006F4C7C"/>
    <w:rsid w:val="006F4D16"/>
    <w:rsid w:val="006F4D2D"/>
    <w:rsid w:val="006F4D7D"/>
    <w:rsid w:val="006F4D9A"/>
    <w:rsid w:val="006F4D9B"/>
    <w:rsid w:val="006F4DA0"/>
    <w:rsid w:val="006F4E86"/>
    <w:rsid w:val="006F4E91"/>
    <w:rsid w:val="006F4EA1"/>
    <w:rsid w:val="006F4ED5"/>
    <w:rsid w:val="006F4EF7"/>
    <w:rsid w:val="006F4F03"/>
    <w:rsid w:val="006F4F36"/>
    <w:rsid w:val="006F4F83"/>
    <w:rsid w:val="006F4FA2"/>
    <w:rsid w:val="006F4FA6"/>
    <w:rsid w:val="006F4FCE"/>
    <w:rsid w:val="006F5030"/>
    <w:rsid w:val="006F50BA"/>
    <w:rsid w:val="006F50CE"/>
    <w:rsid w:val="006F50D0"/>
    <w:rsid w:val="006F5128"/>
    <w:rsid w:val="006F512C"/>
    <w:rsid w:val="006F5134"/>
    <w:rsid w:val="006F519C"/>
    <w:rsid w:val="006F51CA"/>
    <w:rsid w:val="006F523C"/>
    <w:rsid w:val="006F52DE"/>
    <w:rsid w:val="006F52E2"/>
    <w:rsid w:val="006F5324"/>
    <w:rsid w:val="006F532B"/>
    <w:rsid w:val="006F5359"/>
    <w:rsid w:val="006F53DC"/>
    <w:rsid w:val="006F53E3"/>
    <w:rsid w:val="006F540A"/>
    <w:rsid w:val="006F5489"/>
    <w:rsid w:val="006F549E"/>
    <w:rsid w:val="006F54A5"/>
    <w:rsid w:val="006F54D4"/>
    <w:rsid w:val="006F54E6"/>
    <w:rsid w:val="006F550C"/>
    <w:rsid w:val="006F558B"/>
    <w:rsid w:val="006F55D1"/>
    <w:rsid w:val="006F561E"/>
    <w:rsid w:val="006F5643"/>
    <w:rsid w:val="006F5697"/>
    <w:rsid w:val="006F579B"/>
    <w:rsid w:val="006F5842"/>
    <w:rsid w:val="006F58B4"/>
    <w:rsid w:val="006F58C8"/>
    <w:rsid w:val="006F58F4"/>
    <w:rsid w:val="006F5915"/>
    <w:rsid w:val="006F592C"/>
    <w:rsid w:val="006F5933"/>
    <w:rsid w:val="006F593A"/>
    <w:rsid w:val="006F59AA"/>
    <w:rsid w:val="006F5A03"/>
    <w:rsid w:val="006F5A0A"/>
    <w:rsid w:val="006F5AB4"/>
    <w:rsid w:val="006F5ACC"/>
    <w:rsid w:val="006F5AE7"/>
    <w:rsid w:val="006F5B00"/>
    <w:rsid w:val="006F5B48"/>
    <w:rsid w:val="006F5B96"/>
    <w:rsid w:val="006F5BC3"/>
    <w:rsid w:val="006F5C02"/>
    <w:rsid w:val="006F5C05"/>
    <w:rsid w:val="006F5C1B"/>
    <w:rsid w:val="006F5C8E"/>
    <w:rsid w:val="006F5C93"/>
    <w:rsid w:val="006F5CC0"/>
    <w:rsid w:val="006F5CCC"/>
    <w:rsid w:val="006F5D47"/>
    <w:rsid w:val="006F5D9B"/>
    <w:rsid w:val="006F5D9E"/>
    <w:rsid w:val="006F5DB5"/>
    <w:rsid w:val="006F5E23"/>
    <w:rsid w:val="006F5E26"/>
    <w:rsid w:val="006F5EE0"/>
    <w:rsid w:val="006F5F44"/>
    <w:rsid w:val="006F5F84"/>
    <w:rsid w:val="006F6084"/>
    <w:rsid w:val="006F6096"/>
    <w:rsid w:val="006F60C0"/>
    <w:rsid w:val="006F613F"/>
    <w:rsid w:val="006F614D"/>
    <w:rsid w:val="006F6155"/>
    <w:rsid w:val="006F6157"/>
    <w:rsid w:val="006F61E5"/>
    <w:rsid w:val="006F61F7"/>
    <w:rsid w:val="006F6212"/>
    <w:rsid w:val="006F623A"/>
    <w:rsid w:val="006F62DF"/>
    <w:rsid w:val="006F62EF"/>
    <w:rsid w:val="006F62FA"/>
    <w:rsid w:val="006F632F"/>
    <w:rsid w:val="006F636E"/>
    <w:rsid w:val="006F640B"/>
    <w:rsid w:val="006F641A"/>
    <w:rsid w:val="006F6498"/>
    <w:rsid w:val="006F64BD"/>
    <w:rsid w:val="006F64E7"/>
    <w:rsid w:val="006F64F8"/>
    <w:rsid w:val="006F6566"/>
    <w:rsid w:val="006F6570"/>
    <w:rsid w:val="006F65F7"/>
    <w:rsid w:val="006F6602"/>
    <w:rsid w:val="006F664B"/>
    <w:rsid w:val="006F665B"/>
    <w:rsid w:val="006F668D"/>
    <w:rsid w:val="006F671F"/>
    <w:rsid w:val="006F6731"/>
    <w:rsid w:val="006F67C4"/>
    <w:rsid w:val="006F67F3"/>
    <w:rsid w:val="006F6872"/>
    <w:rsid w:val="006F6874"/>
    <w:rsid w:val="006F68D0"/>
    <w:rsid w:val="006F68D1"/>
    <w:rsid w:val="006F6A25"/>
    <w:rsid w:val="006F6A3A"/>
    <w:rsid w:val="006F6AB1"/>
    <w:rsid w:val="006F6AB9"/>
    <w:rsid w:val="006F6ACC"/>
    <w:rsid w:val="006F6ADE"/>
    <w:rsid w:val="006F6B07"/>
    <w:rsid w:val="006F6B18"/>
    <w:rsid w:val="006F6BD5"/>
    <w:rsid w:val="006F6BF2"/>
    <w:rsid w:val="006F6C02"/>
    <w:rsid w:val="006F6C1F"/>
    <w:rsid w:val="006F6C7C"/>
    <w:rsid w:val="006F6C8F"/>
    <w:rsid w:val="006F6CC9"/>
    <w:rsid w:val="006F6D26"/>
    <w:rsid w:val="006F6D64"/>
    <w:rsid w:val="006F6D6F"/>
    <w:rsid w:val="006F6DD6"/>
    <w:rsid w:val="006F6E45"/>
    <w:rsid w:val="006F6E67"/>
    <w:rsid w:val="006F6E92"/>
    <w:rsid w:val="006F6E9D"/>
    <w:rsid w:val="006F6EC0"/>
    <w:rsid w:val="006F6EF8"/>
    <w:rsid w:val="006F6EFD"/>
    <w:rsid w:val="006F6F0B"/>
    <w:rsid w:val="006F6F2F"/>
    <w:rsid w:val="006F6F4E"/>
    <w:rsid w:val="006F6F83"/>
    <w:rsid w:val="006F6FF7"/>
    <w:rsid w:val="006F7006"/>
    <w:rsid w:val="006F700F"/>
    <w:rsid w:val="006F702A"/>
    <w:rsid w:val="006F7041"/>
    <w:rsid w:val="006F7053"/>
    <w:rsid w:val="006F705E"/>
    <w:rsid w:val="006F706C"/>
    <w:rsid w:val="006F708F"/>
    <w:rsid w:val="006F70C4"/>
    <w:rsid w:val="006F70E1"/>
    <w:rsid w:val="006F7119"/>
    <w:rsid w:val="006F7138"/>
    <w:rsid w:val="006F7176"/>
    <w:rsid w:val="006F71BA"/>
    <w:rsid w:val="006F71CC"/>
    <w:rsid w:val="006F71E5"/>
    <w:rsid w:val="006F7254"/>
    <w:rsid w:val="006F726A"/>
    <w:rsid w:val="006F7295"/>
    <w:rsid w:val="006F72A4"/>
    <w:rsid w:val="006F72DE"/>
    <w:rsid w:val="006F7345"/>
    <w:rsid w:val="006F735A"/>
    <w:rsid w:val="006F73A4"/>
    <w:rsid w:val="006F73B9"/>
    <w:rsid w:val="006F73E0"/>
    <w:rsid w:val="006F7479"/>
    <w:rsid w:val="006F74B6"/>
    <w:rsid w:val="006F74C1"/>
    <w:rsid w:val="006F7504"/>
    <w:rsid w:val="006F755C"/>
    <w:rsid w:val="006F7560"/>
    <w:rsid w:val="006F75AA"/>
    <w:rsid w:val="006F7637"/>
    <w:rsid w:val="006F7685"/>
    <w:rsid w:val="006F76A2"/>
    <w:rsid w:val="006F7705"/>
    <w:rsid w:val="006F770F"/>
    <w:rsid w:val="006F771B"/>
    <w:rsid w:val="006F773B"/>
    <w:rsid w:val="006F7789"/>
    <w:rsid w:val="006F77CB"/>
    <w:rsid w:val="006F7814"/>
    <w:rsid w:val="006F78C4"/>
    <w:rsid w:val="006F7935"/>
    <w:rsid w:val="006F7955"/>
    <w:rsid w:val="006F79D2"/>
    <w:rsid w:val="006F79D9"/>
    <w:rsid w:val="006F79F9"/>
    <w:rsid w:val="006F7A6A"/>
    <w:rsid w:val="006F7A9F"/>
    <w:rsid w:val="006F7ABD"/>
    <w:rsid w:val="006F7AF4"/>
    <w:rsid w:val="006F7B29"/>
    <w:rsid w:val="006F7B47"/>
    <w:rsid w:val="006F7B58"/>
    <w:rsid w:val="006F7B6F"/>
    <w:rsid w:val="006F7BAA"/>
    <w:rsid w:val="006F7BEE"/>
    <w:rsid w:val="006F7C47"/>
    <w:rsid w:val="006F7C78"/>
    <w:rsid w:val="006F7CB3"/>
    <w:rsid w:val="006F7D14"/>
    <w:rsid w:val="006F7D31"/>
    <w:rsid w:val="006F7D64"/>
    <w:rsid w:val="006F7D65"/>
    <w:rsid w:val="006F7DF6"/>
    <w:rsid w:val="006F7DFC"/>
    <w:rsid w:val="006F7E6D"/>
    <w:rsid w:val="006F7ED0"/>
    <w:rsid w:val="006F7EDB"/>
    <w:rsid w:val="006F7EF4"/>
    <w:rsid w:val="006F7F01"/>
    <w:rsid w:val="006F7F1F"/>
    <w:rsid w:val="006F7F58"/>
    <w:rsid w:val="006F7F67"/>
    <w:rsid w:val="006F7F81"/>
    <w:rsid w:val="006F7F94"/>
    <w:rsid w:val="006F7FF6"/>
    <w:rsid w:val="00700009"/>
    <w:rsid w:val="0070003F"/>
    <w:rsid w:val="0070010E"/>
    <w:rsid w:val="007001A3"/>
    <w:rsid w:val="007001B9"/>
    <w:rsid w:val="007002AC"/>
    <w:rsid w:val="00700343"/>
    <w:rsid w:val="007003B8"/>
    <w:rsid w:val="00700402"/>
    <w:rsid w:val="00700484"/>
    <w:rsid w:val="007004C2"/>
    <w:rsid w:val="007004E2"/>
    <w:rsid w:val="00700552"/>
    <w:rsid w:val="00700585"/>
    <w:rsid w:val="00700607"/>
    <w:rsid w:val="00700751"/>
    <w:rsid w:val="00700790"/>
    <w:rsid w:val="007007A4"/>
    <w:rsid w:val="007007E1"/>
    <w:rsid w:val="007008A3"/>
    <w:rsid w:val="007008F8"/>
    <w:rsid w:val="00700941"/>
    <w:rsid w:val="007009EA"/>
    <w:rsid w:val="00700A1A"/>
    <w:rsid w:val="00700A1D"/>
    <w:rsid w:val="00700A36"/>
    <w:rsid w:val="00700A9D"/>
    <w:rsid w:val="00700AA6"/>
    <w:rsid w:val="00700AC4"/>
    <w:rsid w:val="00700AD1"/>
    <w:rsid w:val="00700AEA"/>
    <w:rsid w:val="00700B0A"/>
    <w:rsid w:val="00700B45"/>
    <w:rsid w:val="00700B64"/>
    <w:rsid w:val="00700C5F"/>
    <w:rsid w:val="00700CC5"/>
    <w:rsid w:val="00700D48"/>
    <w:rsid w:val="00700DDF"/>
    <w:rsid w:val="00700DE0"/>
    <w:rsid w:val="00700E6D"/>
    <w:rsid w:val="00700E99"/>
    <w:rsid w:val="00700EB2"/>
    <w:rsid w:val="00700EB3"/>
    <w:rsid w:val="00700EB8"/>
    <w:rsid w:val="00700F1E"/>
    <w:rsid w:val="00700F4F"/>
    <w:rsid w:val="00701005"/>
    <w:rsid w:val="00701024"/>
    <w:rsid w:val="0070103D"/>
    <w:rsid w:val="0070104D"/>
    <w:rsid w:val="007010C0"/>
    <w:rsid w:val="007010E7"/>
    <w:rsid w:val="0070111B"/>
    <w:rsid w:val="00701183"/>
    <w:rsid w:val="007011E2"/>
    <w:rsid w:val="007011E7"/>
    <w:rsid w:val="007011F4"/>
    <w:rsid w:val="00701248"/>
    <w:rsid w:val="00701256"/>
    <w:rsid w:val="0070125A"/>
    <w:rsid w:val="0070126F"/>
    <w:rsid w:val="00701303"/>
    <w:rsid w:val="00701308"/>
    <w:rsid w:val="00701336"/>
    <w:rsid w:val="0070133F"/>
    <w:rsid w:val="007013AD"/>
    <w:rsid w:val="007013D1"/>
    <w:rsid w:val="007013D5"/>
    <w:rsid w:val="00701473"/>
    <w:rsid w:val="007014D3"/>
    <w:rsid w:val="007014EC"/>
    <w:rsid w:val="0070155C"/>
    <w:rsid w:val="0070158B"/>
    <w:rsid w:val="00701597"/>
    <w:rsid w:val="007015BE"/>
    <w:rsid w:val="00701633"/>
    <w:rsid w:val="0070164C"/>
    <w:rsid w:val="007016A1"/>
    <w:rsid w:val="007016DF"/>
    <w:rsid w:val="00701704"/>
    <w:rsid w:val="00701711"/>
    <w:rsid w:val="00701729"/>
    <w:rsid w:val="007017AE"/>
    <w:rsid w:val="007017C4"/>
    <w:rsid w:val="007017EE"/>
    <w:rsid w:val="0070182E"/>
    <w:rsid w:val="00701843"/>
    <w:rsid w:val="00701850"/>
    <w:rsid w:val="00701874"/>
    <w:rsid w:val="00701975"/>
    <w:rsid w:val="00701A5B"/>
    <w:rsid w:val="00701ACA"/>
    <w:rsid w:val="00701B30"/>
    <w:rsid w:val="00701B8C"/>
    <w:rsid w:val="00701BAB"/>
    <w:rsid w:val="00701BB2"/>
    <w:rsid w:val="00701BBC"/>
    <w:rsid w:val="00701BE3"/>
    <w:rsid w:val="00701C28"/>
    <w:rsid w:val="00701C7C"/>
    <w:rsid w:val="00701CBB"/>
    <w:rsid w:val="00701D70"/>
    <w:rsid w:val="00701DF4"/>
    <w:rsid w:val="00701E74"/>
    <w:rsid w:val="00701E8B"/>
    <w:rsid w:val="00701E96"/>
    <w:rsid w:val="00701EE7"/>
    <w:rsid w:val="00701F3A"/>
    <w:rsid w:val="00701F42"/>
    <w:rsid w:val="00701F44"/>
    <w:rsid w:val="00701F87"/>
    <w:rsid w:val="00701FAD"/>
    <w:rsid w:val="00701FDB"/>
    <w:rsid w:val="00701FF6"/>
    <w:rsid w:val="0070202B"/>
    <w:rsid w:val="0070204F"/>
    <w:rsid w:val="0070207D"/>
    <w:rsid w:val="0070208F"/>
    <w:rsid w:val="007020B2"/>
    <w:rsid w:val="007020F7"/>
    <w:rsid w:val="0070218F"/>
    <w:rsid w:val="007021B7"/>
    <w:rsid w:val="00702247"/>
    <w:rsid w:val="00702251"/>
    <w:rsid w:val="00702273"/>
    <w:rsid w:val="007022CF"/>
    <w:rsid w:val="007022D3"/>
    <w:rsid w:val="007022E2"/>
    <w:rsid w:val="0070233B"/>
    <w:rsid w:val="00702391"/>
    <w:rsid w:val="007023A6"/>
    <w:rsid w:val="007023F2"/>
    <w:rsid w:val="00702417"/>
    <w:rsid w:val="00702435"/>
    <w:rsid w:val="00702451"/>
    <w:rsid w:val="00702488"/>
    <w:rsid w:val="00702494"/>
    <w:rsid w:val="007024A6"/>
    <w:rsid w:val="007024F5"/>
    <w:rsid w:val="007024F9"/>
    <w:rsid w:val="0070252C"/>
    <w:rsid w:val="0070255E"/>
    <w:rsid w:val="00702656"/>
    <w:rsid w:val="0070265A"/>
    <w:rsid w:val="00702721"/>
    <w:rsid w:val="00702722"/>
    <w:rsid w:val="00702797"/>
    <w:rsid w:val="007027A8"/>
    <w:rsid w:val="007027C1"/>
    <w:rsid w:val="00702894"/>
    <w:rsid w:val="007028D0"/>
    <w:rsid w:val="007028F1"/>
    <w:rsid w:val="007028F6"/>
    <w:rsid w:val="00702912"/>
    <w:rsid w:val="0070291E"/>
    <w:rsid w:val="00702996"/>
    <w:rsid w:val="0070299B"/>
    <w:rsid w:val="007029FD"/>
    <w:rsid w:val="00702A9F"/>
    <w:rsid w:val="00702B0D"/>
    <w:rsid w:val="00702B4C"/>
    <w:rsid w:val="00702BE6"/>
    <w:rsid w:val="00702C02"/>
    <w:rsid w:val="00702C84"/>
    <w:rsid w:val="00702C8F"/>
    <w:rsid w:val="00702CDD"/>
    <w:rsid w:val="00702D06"/>
    <w:rsid w:val="00702D20"/>
    <w:rsid w:val="00702D49"/>
    <w:rsid w:val="00702D98"/>
    <w:rsid w:val="00702E66"/>
    <w:rsid w:val="00702EA0"/>
    <w:rsid w:val="00702EAC"/>
    <w:rsid w:val="00702F4E"/>
    <w:rsid w:val="00702F60"/>
    <w:rsid w:val="00702FEA"/>
    <w:rsid w:val="00703099"/>
    <w:rsid w:val="007030CB"/>
    <w:rsid w:val="00703126"/>
    <w:rsid w:val="0070312C"/>
    <w:rsid w:val="00703155"/>
    <w:rsid w:val="00703161"/>
    <w:rsid w:val="0070316E"/>
    <w:rsid w:val="00703184"/>
    <w:rsid w:val="0070318F"/>
    <w:rsid w:val="007031A2"/>
    <w:rsid w:val="00703216"/>
    <w:rsid w:val="00703222"/>
    <w:rsid w:val="00703272"/>
    <w:rsid w:val="007032B9"/>
    <w:rsid w:val="007032C6"/>
    <w:rsid w:val="00703327"/>
    <w:rsid w:val="00703361"/>
    <w:rsid w:val="00703376"/>
    <w:rsid w:val="007033BB"/>
    <w:rsid w:val="0070342F"/>
    <w:rsid w:val="00703454"/>
    <w:rsid w:val="00703459"/>
    <w:rsid w:val="007034D0"/>
    <w:rsid w:val="007034E2"/>
    <w:rsid w:val="007034EE"/>
    <w:rsid w:val="00703518"/>
    <w:rsid w:val="007035AF"/>
    <w:rsid w:val="007035B3"/>
    <w:rsid w:val="00703643"/>
    <w:rsid w:val="0070364F"/>
    <w:rsid w:val="00703678"/>
    <w:rsid w:val="007036A2"/>
    <w:rsid w:val="007036E0"/>
    <w:rsid w:val="007036EA"/>
    <w:rsid w:val="00703705"/>
    <w:rsid w:val="0070370E"/>
    <w:rsid w:val="00703737"/>
    <w:rsid w:val="0070374C"/>
    <w:rsid w:val="00703758"/>
    <w:rsid w:val="0070376C"/>
    <w:rsid w:val="007037DD"/>
    <w:rsid w:val="00703824"/>
    <w:rsid w:val="00703832"/>
    <w:rsid w:val="00703858"/>
    <w:rsid w:val="0070386E"/>
    <w:rsid w:val="00703920"/>
    <w:rsid w:val="0070395B"/>
    <w:rsid w:val="00703999"/>
    <w:rsid w:val="007039ED"/>
    <w:rsid w:val="007039F6"/>
    <w:rsid w:val="00703A0D"/>
    <w:rsid w:val="00703A2E"/>
    <w:rsid w:val="00703A44"/>
    <w:rsid w:val="00703A76"/>
    <w:rsid w:val="00703A7C"/>
    <w:rsid w:val="00703AA2"/>
    <w:rsid w:val="00703AE6"/>
    <w:rsid w:val="00703B00"/>
    <w:rsid w:val="00703B14"/>
    <w:rsid w:val="00703B35"/>
    <w:rsid w:val="00703B6F"/>
    <w:rsid w:val="00703BAE"/>
    <w:rsid w:val="00703BCC"/>
    <w:rsid w:val="00703C1E"/>
    <w:rsid w:val="00703C38"/>
    <w:rsid w:val="00703C6C"/>
    <w:rsid w:val="00703C94"/>
    <w:rsid w:val="00703C96"/>
    <w:rsid w:val="00703CA5"/>
    <w:rsid w:val="00703CAC"/>
    <w:rsid w:val="00703CE4"/>
    <w:rsid w:val="00703CF1"/>
    <w:rsid w:val="00703D43"/>
    <w:rsid w:val="00703D65"/>
    <w:rsid w:val="00703E83"/>
    <w:rsid w:val="00703E9B"/>
    <w:rsid w:val="00703EC9"/>
    <w:rsid w:val="00703F05"/>
    <w:rsid w:val="00703F48"/>
    <w:rsid w:val="00703F88"/>
    <w:rsid w:val="00703FA0"/>
    <w:rsid w:val="00703FB5"/>
    <w:rsid w:val="00703FD4"/>
    <w:rsid w:val="00704038"/>
    <w:rsid w:val="00704062"/>
    <w:rsid w:val="00704090"/>
    <w:rsid w:val="007040D1"/>
    <w:rsid w:val="00704162"/>
    <w:rsid w:val="0070416D"/>
    <w:rsid w:val="00704172"/>
    <w:rsid w:val="00704179"/>
    <w:rsid w:val="007041EB"/>
    <w:rsid w:val="0070425F"/>
    <w:rsid w:val="00704278"/>
    <w:rsid w:val="007042CF"/>
    <w:rsid w:val="007042DB"/>
    <w:rsid w:val="007043CE"/>
    <w:rsid w:val="00704437"/>
    <w:rsid w:val="0070446E"/>
    <w:rsid w:val="00704497"/>
    <w:rsid w:val="007044AD"/>
    <w:rsid w:val="00704512"/>
    <w:rsid w:val="0070455F"/>
    <w:rsid w:val="00704676"/>
    <w:rsid w:val="0070469D"/>
    <w:rsid w:val="007046A4"/>
    <w:rsid w:val="007046A7"/>
    <w:rsid w:val="007046B8"/>
    <w:rsid w:val="007046D2"/>
    <w:rsid w:val="007046E0"/>
    <w:rsid w:val="007046EF"/>
    <w:rsid w:val="007046FF"/>
    <w:rsid w:val="00704765"/>
    <w:rsid w:val="00704769"/>
    <w:rsid w:val="007047A8"/>
    <w:rsid w:val="007047CC"/>
    <w:rsid w:val="00704846"/>
    <w:rsid w:val="007048A1"/>
    <w:rsid w:val="007048B6"/>
    <w:rsid w:val="007048C9"/>
    <w:rsid w:val="00704936"/>
    <w:rsid w:val="00704957"/>
    <w:rsid w:val="00704961"/>
    <w:rsid w:val="00704A20"/>
    <w:rsid w:val="00704A24"/>
    <w:rsid w:val="00704A8C"/>
    <w:rsid w:val="00704AD8"/>
    <w:rsid w:val="00704AE8"/>
    <w:rsid w:val="00704AED"/>
    <w:rsid w:val="00704AF8"/>
    <w:rsid w:val="00704B79"/>
    <w:rsid w:val="00704C2C"/>
    <w:rsid w:val="00704C94"/>
    <w:rsid w:val="00704CB9"/>
    <w:rsid w:val="00704CC0"/>
    <w:rsid w:val="00704CCC"/>
    <w:rsid w:val="00704CD7"/>
    <w:rsid w:val="00704D50"/>
    <w:rsid w:val="00704D64"/>
    <w:rsid w:val="00704D6C"/>
    <w:rsid w:val="00704DD0"/>
    <w:rsid w:val="00704E57"/>
    <w:rsid w:val="00704E68"/>
    <w:rsid w:val="00704EA8"/>
    <w:rsid w:val="00704EA9"/>
    <w:rsid w:val="00704ECB"/>
    <w:rsid w:val="00704EDA"/>
    <w:rsid w:val="00704F70"/>
    <w:rsid w:val="00705014"/>
    <w:rsid w:val="00705016"/>
    <w:rsid w:val="00705022"/>
    <w:rsid w:val="00705032"/>
    <w:rsid w:val="00705102"/>
    <w:rsid w:val="00705122"/>
    <w:rsid w:val="00705158"/>
    <w:rsid w:val="00705183"/>
    <w:rsid w:val="007051BF"/>
    <w:rsid w:val="007051D2"/>
    <w:rsid w:val="007051E6"/>
    <w:rsid w:val="007051EE"/>
    <w:rsid w:val="00705281"/>
    <w:rsid w:val="007052AF"/>
    <w:rsid w:val="007052B0"/>
    <w:rsid w:val="00705320"/>
    <w:rsid w:val="00705377"/>
    <w:rsid w:val="007053A7"/>
    <w:rsid w:val="007053C9"/>
    <w:rsid w:val="007053D2"/>
    <w:rsid w:val="007053DF"/>
    <w:rsid w:val="007053EC"/>
    <w:rsid w:val="007053FB"/>
    <w:rsid w:val="007054D0"/>
    <w:rsid w:val="00705516"/>
    <w:rsid w:val="00705569"/>
    <w:rsid w:val="00705575"/>
    <w:rsid w:val="007055B2"/>
    <w:rsid w:val="007055BF"/>
    <w:rsid w:val="00705621"/>
    <w:rsid w:val="00705628"/>
    <w:rsid w:val="00705647"/>
    <w:rsid w:val="00705651"/>
    <w:rsid w:val="0070568F"/>
    <w:rsid w:val="00705695"/>
    <w:rsid w:val="007056B2"/>
    <w:rsid w:val="007056D4"/>
    <w:rsid w:val="007056E0"/>
    <w:rsid w:val="0070571B"/>
    <w:rsid w:val="00705788"/>
    <w:rsid w:val="00705796"/>
    <w:rsid w:val="0070579F"/>
    <w:rsid w:val="007057B2"/>
    <w:rsid w:val="007057C6"/>
    <w:rsid w:val="007057E6"/>
    <w:rsid w:val="007057F9"/>
    <w:rsid w:val="00705861"/>
    <w:rsid w:val="00705890"/>
    <w:rsid w:val="007058CB"/>
    <w:rsid w:val="007058FF"/>
    <w:rsid w:val="0070592C"/>
    <w:rsid w:val="0070593F"/>
    <w:rsid w:val="007059B6"/>
    <w:rsid w:val="00705A3F"/>
    <w:rsid w:val="00705ADE"/>
    <w:rsid w:val="00705B4D"/>
    <w:rsid w:val="00705B86"/>
    <w:rsid w:val="00705B8A"/>
    <w:rsid w:val="00705BC3"/>
    <w:rsid w:val="00705BF6"/>
    <w:rsid w:val="00705C33"/>
    <w:rsid w:val="00705C50"/>
    <w:rsid w:val="00705CA0"/>
    <w:rsid w:val="00705CB0"/>
    <w:rsid w:val="00705CD5"/>
    <w:rsid w:val="00705CDF"/>
    <w:rsid w:val="00705D68"/>
    <w:rsid w:val="00705DD2"/>
    <w:rsid w:val="00705E11"/>
    <w:rsid w:val="00705EB1"/>
    <w:rsid w:val="00705EC5"/>
    <w:rsid w:val="00705F0A"/>
    <w:rsid w:val="00705F90"/>
    <w:rsid w:val="00706040"/>
    <w:rsid w:val="0070608A"/>
    <w:rsid w:val="00706105"/>
    <w:rsid w:val="007061C9"/>
    <w:rsid w:val="007061CD"/>
    <w:rsid w:val="0070624A"/>
    <w:rsid w:val="00706281"/>
    <w:rsid w:val="007062EC"/>
    <w:rsid w:val="00706301"/>
    <w:rsid w:val="00706364"/>
    <w:rsid w:val="00706374"/>
    <w:rsid w:val="00706382"/>
    <w:rsid w:val="007063DB"/>
    <w:rsid w:val="0070647A"/>
    <w:rsid w:val="007064D2"/>
    <w:rsid w:val="00706516"/>
    <w:rsid w:val="0070655E"/>
    <w:rsid w:val="00706581"/>
    <w:rsid w:val="007065BA"/>
    <w:rsid w:val="007065DD"/>
    <w:rsid w:val="007065F8"/>
    <w:rsid w:val="007065F9"/>
    <w:rsid w:val="007065FB"/>
    <w:rsid w:val="007066AB"/>
    <w:rsid w:val="007066C4"/>
    <w:rsid w:val="007067E0"/>
    <w:rsid w:val="007068BB"/>
    <w:rsid w:val="007068DC"/>
    <w:rsid w:val="007068F4"/>
    <w:rsid w:val="00706925"/>
    <w:rsid w:val="00706939"/>
    <w:rsid w:val="0070695A"/>
    <w:rsid w:val="00706994"/>
    <w:rsid w:val="007069A7"/>
    <w:rsid w:val="00706A21"/>
    <w:rsid w:val="00706A9B"/>
    <w:rsid w:val="00706B4B"/>
    <w:rsid w:val="00706B5D"/>
    <w:rsid w:val="00706B82"/>
    <w:rsid w:val="00706BC3"/>
    <w:rsid w:val="00706BCE"/>
    <w:rsid w:val="00706C1C"/>
    <w:rsid w:val="00706C2E"/>
    <w:rsid w:val="00706C4E"/>
    <w:rsid w:val="00706C65"/>
    <w:rsid w:val="00706C79"/>
    <w:rsid w:val="00706C7B"/>
    <w:rsid w:val="00706CA2"/>
    <w:rsid w:val="00706CBF"/>
    <w:rsid w:val="00706CEF"/>
    <w:rsid w:val="00706DDC"/>
    <w:rsid w:val="00706E16"/>
    <w:rsid w:val="00706E2A"/>
    <w:rsid w:val="00706EE3"/>
    <w:rsid w:val="00706F2D"/>
    <w:rsid w:val="00706FC9"/>
    <w:rsid w:val="0070702F"/>
    <w:rsid w:val="00707193"/>
    <w:rsid w:val="0070719F"/>
    <w:rsid w:val="0070724E"/>
    <w:rsid w:val="0070726F"/>
    <w:rsid w:val="00707294"/>
    <w:rsid w:val="0070731E"/>
    <w:rsid w:val="00707375"/>
    <w:rsid w:val="007073A0"/>
    <w:rsid w:val="007073F2"/>
    <w:rsid w:val="0070748E"/>
    <w:rsid w:val="007074D0"/>
    <w:rsid w:val="007074D2"/>
    <w:rsid w:val="007075FB"/>
    <w:rsid w:val="0070763C"/>
    <w:rsid w:val="007076D3"/>
    <w:rsid w:val="007076E1"/>
    <w:rsid w:val="0070773D"/>
    <w:rsid w:val="007077AA"/>
    <w:rsid w:val="007077DB"/>
    <w:rsid w:val="00707803"/>
    <w:rsid w:val="00707833"/>
    <w:rsid w:val="00707835"/>
    <w:rsid w:val="0070786D"/>
    <w:rsid w:val="0070786E"/>
    <w:rsid w:val="0070787F"/>
    <w:rsid w:val="007078AB"/>
    <w:rsid w:val="007079F2"/>
    <w:rsid w:val="00707A24"/>
    <w:rsid w:val="00707A6A"/>
    <w:rsid w:val="00707AAE"/>
    <w:rsid w:val="00707B64"/>
    <w:rsid w:val="00707BDD"/>
    <w:rsid w:val="00707BE2"/>
    <w:rsid w:val="00707C5A"/>
    <w:rsid w:val="00707C93"/>
    <w:rsid w:val="00707CD5"/>
    <w:rsid w:val="00707D14"/>
    <w:rsid w:val="00707D25"/>
    <w:rsid w:val="00707DA2"/>
    <w:rsid w:val="00707DD1"/>
    <w:rsid w:val="00707DDF"/>
    <w:rsid w:val="00707DF2"/>
    <w:rsid w:val="00707DFB"/>
    <w:rsid w:val="00707E18"/>
    <w:rsid w:val="00707E3E"/>
    <w:rsid w:val="00707E53"/>
    <w:rsid w:val="00707E67"/>
    <w:rsid w:val="00707E6A"/>
    <w:rsid w:val="00707E78"/>
    <w:rsid w:val="00707F00"/>
    <w:rsid w:val="00707F2B"/>
    <w:rsid w:val="00707F41"/>
    <w:rsid w:val="00707F85"/>
    <w:rsid w:val="00707F98"/>
    <w:rsid w:val="00707FEB"/>
    <w:rsid w:val="00710002"/>
    <w:rsid w:val="00710015"/>
    <w:rsid w:val="00710044"/>
    <w:rsid w:val="00710056"/>
    <w:rsid w:val="0071008F"/>
    <w:rsid w:val="00710096"/>
    <w:rsid w:val="007100CE"/>
    <w:rsid w:val="007100D3"/>
    <w:rsid w:val="007100E1"/>
    <w:rsid w:val="0071011C"/>
    <w:rsid w:val="00710140"/>
    <w:rsid w:val="007101BB"/>
    <w:rsid w:val="007101C7"/>
    <w:rsid w:val="007101E5"/>
    <w:rsid w:val="00710222"/>
    <w:rsid w:val="00710239"/>
    <w:rsid w:val="0071029E"/>
    <w:rsid w:val="00710344"/>
    <w:rsid w:val="00710355"/>
    <w:rsid w:val="007103BC"/>
    <w:rsid w:val="007103CF"/>
    <w:rsid w:val="007103D2"/>
    <w:rsid w:val="00710409"/>
    <w:rsid w:val="0071042A"/>
    <w:rsid w:val="007105DE"/>
    <w:rsid w:val="0071065E"/>
    <w:rsid w:val="0071066E"/>
    <w:rsid w:val="00710679"/>
    <w:rsid w:val="007106CE"/>
    <w:rsid w:val="007106DE"/>
    <w:rsid w:val="00710786"/>
    <w:rsid w:val="007107AA"/>
    <w:rsid w:val="007107DF"/>
    <w:rsid w:val="0071082C"/>
    <w:rsid w:val="00710839"/>
    <w:rsid w:val="0071084A"/>
    <w:rsid w:val="00710853"/>
    <w:rsid w:val="0071086C"/>
    <w:rsid w:val="00710880"/>
    <w:rsid w:val="0071089A"/>
    <w:rsid w:val="007108EE"/>
    <w:rsid w:val="00710951"/>
    <w:rsid w:val="00710977"/>
    <w:rsid w:val="00710A0C"/>
    <w:rsid w:val="00710A36"/>
    <w:rsid w:val="00710A71"/>
    <w:rsid w:val="00710AA8"/>
    <w:rsid w:val="00710B15"/>
    <w:rsid w:val="00710B77"/>
    <w:rsid w:val="00710B7A"/>
    <w:rsid w:val="00710B8D"/>
    <w:rsid w:val="00710B9D"/>
    <w:rsid w:val="00710BA0"/>
    <w:rsid w:val="00710BA2"/>
    <w:rsid w:val="00710C04"/>
    <w:rsid w:val="00710C43"/>
    <w:rsid w:val="00710C6F"/>
    <w:rsid w:val="00710CBA"/>
    <w:rsid w:val="00710CE6"/>
    <w:rsid w:val="00710D05"/>
    <w:rsid w:val="00710D3A"/>
    <w:rsid w:val="00710D9D"/>
    <w:rsid w:val="00710DEA"/>
    <w:rsid w:val="00710E24"/>
    <w:rsid w:val="00710E4E"/>
    <w:rsid w:val="00710E6F"/>
    <w:rsid w:val="00710E77"/>
    <w:rsid w:val="00710E97"/>
    <w:rsid w:val="00710EA8"/>
    <w:rsid w:val="00710EAE"/>
    <w:rsid w:val="00710EFF"/>
    <w:rsid w:val="00710F20"/>
    <w:rsid w:val="00710F6A"/>
    <w:rsid w:val="00710F78"/>
    <w:rsid w:val="0071101C"/>
    <w:rsid w:val="0071107A"/>
    <w:rsid w:val="00711116"/>
    <w:rsid w:val="007111B2"/>
    <w:rsid w:val="007111DA"/>
    <w:rsid w:val="007111E7"/>
    <w:rsid w:val="0071127A"/>
    <w:rsid w:val="007112A4"/>
    <w:rsid w:val="007112CA"/>
    <w:rsid w:val="007112D2"/>
    <w:rsid w:val="007112F3"/>
    <w:rsid w:val="007113BA"/>
    <w:rsid w:val="007113C2"/>
    <w:rsid w:val="007113FE"/>
    <w:rsid w:val="00711426"/>
    <w:rsid w:val="00711430"/>
    <w:rsid w:val="0071146F"/>
    <w:rsid w:val="007114C4"/>
    <w:rsid w:val="007114E8"/>
    <w:rsid w:val="00711516"/>
    <w:rsid w:val="00711529"/>
    <w:rsid w:val="00711576"/>
    <w:rsid w:val="00711589"/>
    <w:rsid w:val="007115BF"/>
    <w:rsid w:val="007115D1"/>
    <w:rsid w:val="0071163E"/>
    <w:rsid w:val="007116AE"/>
    <w:rsid w:val="007116B1"/>
    <w:rsid w:val="007116CF"/>
    <w:rsid w:val="0071177B"/>
    <w:rsid w:val="007117CF"/>
    <w:rsid w:val="00711802"/>
    <w:rsid w:val="0071181C"/>
    <w:rsid w:val="00711876"/>
    <w:rsid w:val="00711882"/>
    <w:rsid w:val="0071189C"/>
    <w:rsid w:val="00711965"/>
    <w:rsid w:val="0071197A"/>
    <w:rsid w:val="007119AC"/>
    <w:rsid w:val="007119F9"/>
    <w:rsid w:val="007119FC"/>
    <w:rsid w:val="00711A0F"/>
    <w:rsid w:val="00711A46"/>
    <w:rsid w:val="00711A78"/>
    <w:rsid w:val="00711AB3"/>
    <w:rsid w:val="00711AB6"/>
    <w:rsid w:val="00711B4B"/>
    <w:rsid w:val="00711BA0"/>
    <w:rsid w:val="00711BA9"/>
    <w:rsid w:val="00711BEC"/>
    <w:rsid w:val="00711C39"/>
    <w:rsid w:val="00711CA8"/>
    <w:rsid w:val="00711D53"/>
    <w:rsid w:val="00711DB1"/>
    <w:rsid w:val="00711DDC"/>
    <w:rsid w:val="00711DDF"/>
    <w:rsid w:val="00711E31"/>
    <w:rsid w:val="00711E3E"/>
    <w:rsid w:val="00711EA1"/>
    <w:rsid w:val="00711F5D"/>
    <w:rsid w:val="00711F8D"/>
    <w:rsid w:val="00711FC2"/>
    <w:rsid w:val="00711FD0"/>
    <w:rsid w:val="00711FDD"/>
    <w:rsid w:val="00711FE8"/>
    <w:rsid w:val="00711FF9"/>
    <w:rsid w:val="0071200D"/>
    <w:rsid w:val="00712048"/>
    <w:rsid w:val="00712054"/>
    <w:rsid w:val="007120CE"/>
    <w:rsid w:val="007120F4"/>
    <w:rsid w:val="00712152"/>
    <w:rsid w:val="007121A5"/>
    <w:rsid w:val="007121B0"/>
    <w:rsid w:val="007121C9"/>
    <w:rsid w:val="00712217"/>
    <w:rsid w:val="00712294"/>
    <w:rsid w:val="007122AB"/>
    <w:rsid w:val="007122D7"/>
    <w:rsid w:val="007122E0"/>
    <w:rsid w:val="0071230A"/>
    <w:rsid w:val="007123FE"/>
    <w:rsid w:val="0071243F"/>
    <w:rsid w:val="00712478"/>
    <w:rsid w:val="007124D8"/>
    <w:rsid w:val="00712521"/>
    <w:rsid w:val="00712522"/>
    <w:rsid w:val="0071253C"/>
    <w:rsid w:val="00712583"/>
    <w:rsid w:val="0071262C"/>
    <w:rsid w:val="00712656"/>
    <w:rsid w:val="007126C4"/>
    <w:rsid w:val="0071272D"/>
    <w:rsid w:val="00712743"/>
    <w:rsid w:val="00712768"/>
    <w:rsid w:val="00712778"/>
    <w:rsid w:val="007127B1"/>
    <w:rsid w:val="007127CC"/>
    <w:rsid w:val="007127D7"/>
    <w:rsid w:val="0071281A"/>
    <w:rsid w:val="007128BA"/>
    <w:rsid w:val="00712957"/>
    <w:rsid w:val="00712960"/>
    <w:rsid w:val="007129D8"/>
    <w:rsid w:val="007129DA"/>
    <w:rsid w:val="007129E5"/>
    <w:rsid w:val="007129F7"/>
    <w:rsid w:val="00712A21"/>
    <w:rsid w:val="00712A5B"/>
    <w:rsid w:val="00712AAC"/>
    <w:rsid w:val="00712AEB"/>
    <w:rsid w:val="00712B50"/>
    <w:rsid w:val="00712C31"/>
    <w:rsid w:val="00712C51"/>
    <w:rsid w:val="00712C60"/>
    <w:rsid w:val="00712C73"/>
    <w:rsid w:val="00712C77"/>
    <w:rsid w:val="00712CA1"/>
    <w:rsid w:val="00712D38"/>
    <w:rsid w:val="00712D6B"/>
    <w:rsid w:val="00712E0B"/>
    <w:rsid w:val="00712E13"/>
    <w:rsid w:val="00712E4D"/>
    <w:rsid w:val="00712EDD"/>
    <w:rsid w:val="00712F1F"/>
    <w:rsid w:val="00712FD1"/>
    <w:rsid w:val="0071301D"/>
    <w:rsid w:val="00713093"/>
    <w:rsid w:val="00713096"/>
    <w:rsid w:val="00713139"/>
    <w:rsid w:val="0071317A"/>
    <w:rsid w:val="007131F3"/>
    <w:rsid w:val="00713297"/>
    <w:rsid w:val="007132A5"/>
    <w:rsid w:val="007132F6"/>
    <w:rsid w:val="00713332"/>
    <w:rsid w:val="00713333"/>
    <w:rsid w:val="007133AE"/>
    <w:rsid w:val="007133F8"/>
    <w:rsid w:val="007133FB"/>
    <w:rsid w:val="00713428"/>
    <w:rsid w:val="00713451"/>
    <w:rsid w:val="0071346F"/>
    <w:rsid w:val="007134B2"/>
    <w:rsid w:val="007134E6"/>
    <w:rsid w:val="00713537"/>
    <w:rsid w:val="0071363B"/>
    <w:rsid w:val="00713641"/>
    <w:rsid w:val="0071364D"/>
    <w:rsid w:val="00713668"/>
    <w:rsid w:val="00713674"/>
    <w:rsid w:val="007136B0"/>
    <w:rsid w:val="007136B3"/>
    <w:rsid w:val="00713745"/>
    <w:rsid w:val="00713774"/>
    <w:rsid w:val="00713794"/>
    <w:rsid w:val="007137CA"/>
    <w:rsid w:val="00713819"/>
    <w:rsid w:val="007138A0"/>
    <w:rsid w:val="007138BC"/>
    <w:rsid w:val="0071392D"/>
    <w:rsid w:val="00713951"/>
    <w:rsid w:val="007139A3"/>
    <w:rsid w:val="007139BB"/>
    <w:rsid w:val="007139FB"/>
    <w:rsid w:val="00713A3D"/>
    <w:rsid w:val="00713A49"/>
    <w:rsid w:val="00713ACD"/>
    <w:rsid w:val="00713B62"/>
    <w:rsid w:val="00713BA4"/>
    <w:rsid w:val="00713C09"/>
    <w:rsid w:val="00713C97"/>
    <w:rsid w:val="00713CBF"/>
    <w:rsid w:val="00713D77"/>
    <w:rsid w:val="00713DAF"/>
    <w:rsid w:val="00713DB2"/>
    <w:rsid w:val="00713DED"/>
    <w:rsid w:val="00713DF0"/>
    <w:rsid w:val="00713E02"/>
    <w:rsid w:val="00713E1C"/>
    <w:rsid w:val="00713E35"/>
    <w:rsid w:val="00713F1C"/>
    <w:rsid w:val="00713F20"/>
    <w:rsid w:val="00713F36"/>
    <w:rsid w:val="00713F65"/>
    <w:rsid w:val="00713F8A"/>
    <w:rsid w:val="00713FFE"/>
    <w:rsid w:val="00714009"/>
    <w:rsid w:val="00714015"/>
    <w:rsid w:val="00714064"/>
    <w:rsid w:val="007140BF"/>
    <w:rsid w:val="007140F0"/>
    <w:rsid w:val="00714172"/>
    <w:rsid w:val="00714177"/>
    <w:rsid w:val="007141C4"/>
    <w:rsid w:val="007141C8"/>
    <w:rsid w:val="007141D4"/>
    <w:rsid w:val="007141F5"/>
    <w:rsid w:val="0071421C"/>
    <w:rsid w:val="00714238"/>
    <w:rsid w:val="00714255"/>
    <w:rsid w:val="0071425C"/>
    <w:rsid w:val="007142BB"/>
    <w:rsid w:val="007142FD"/>
    <w:rsid w:val="0071431D"/>
    <w:rsid w:val="0071431E"/>
    <w:rsid w:val="00714382"/>
    <w:rsid w:val="007143D0"/>
    <w:rsid w:val="007143E2"/>
    <w:rsid w:val="0071456D"/>
    <w:rsid w:val="0071459E"/>
    <w:rsid w:val="0071461E"/>
    <w:rsid w:val="0071463E"/>
    <w:rsid w:val="007146B5"/>
    <w:rsid w:val="007146D6"/>
    <w:rsid w:val="00714767"/>
    <w:rsid w:val="00714768"/>
    <w:rsid w:val="00714830"/>
    <w:rsid w:val="0071483C"/>
    <w:rsid w:val="0071484A"/>
    <w:rsid w:val="00714887"/>
    <w:rsid w:val="007148A6"/>
    <w:rsid w:val="007148CB"/>
    <w:rsid w:val="0071492B"/>
    <w:rsid w:val="00714930"/>
    <w:rsid w:val="00714937"/>
    <w:rsid w:val="0071493E"/>
    <w:rsid w:val="007149C6"/>
    <w:rsid w:val="007149E4"/>
    <w:rsid w:val="00714A06"/>
    <w:rsid w:val="00714A72"/>
    <w:rsid w:val="00714A80"/>
    <w:rsid w:val="00714AE1"/>
    <w:rsid w:val="00714BC3"/>
    <w:rsid w:val="00714C5C"/>
    <w:rsid w:val="00714C6C"/>
    <w:rsid w:val="00714CC0"/>
    <w:rsid w:val="00714D02"/>
    <w:rsid w:val="00714D12"/>
    <w:rsid w:val="00714DAF"/>
    <w:rsid w:val="00714DB1"/>
    <w:rsid w:val="00714E66"/>
    <w:rsid w:val="00714E77"/>
    <w:rsid w:val="00714E94"/>
    <w:rsid w:val="00714EA1"/>
    <w:rsid w:val="00714EF5"/>
    <w:rsid w:val="00714FB1"/>
    <w:rsid w:val="00714FF7"/>
    <w:rsid w:val="0071501F"/>
    <w:rsid w:val="00715031"/>
    <w:rsid w:val="00715119"/>
    <w:rsid w:val="0071511E"/>
    <w:rsid w:val="007151F3"/>
    <w:rsid w:val="00715227"/>
    <w:rsid w:val="00715281"/>
    <w:rsid w:val="007152B3"/>
    <w:rsid w:val="00715375"/>
    <w:rsid w:val="00715390"/>
    <w:rsid w:val="007153C6"/>
    <w:rsid w:val="007153E4"/>
    <w:rsid w:val="007153FB"/>
    <w:rsid w:val="0071543F"/>
    <w:rsid w:val="0071546F"/>
    <w:rsid w:val="0071547B"/>
    <w:rsid w:val="0071548F"/>
    <w:rsid w:val="007154AA"/>
    <w:rsid w:val="0071551D"/>
    <w:rsid w:val="00715535"/>
    <w:rsid w:val="00715540"/>
    <w:rsid w:val="0071554F"/>
    <w:rsid w:val="0071555B"/>
    <w:rsid w:val="00715573"/>
    <w:rsid w:val="007155C9"/>
    <w:rsid w:val="0071560F"/>
    <w:rsid w:val="0071564F"/>
    <w:rsid w:val="00715675"/>
    <w:rsid w:val="007156B8"/>
    <w:rsid w:val="0071573A"/>
    <w:rsid w:val="0071573D"/>
    <w:rsid w:val="007157B2"/>
    <w:rsid w:val="00715819"/>
    <w:rsid w:val="0071583D"/>
    <w:rsid w:val="007158CB"/>
    <w:rsid w:val="007158FE"/>
    <w:rsid w:val="007159EE"/>
    <w:rsid w:val="00715A68"/>
    <w:rsid w:val="00715A7E"/>
    <w:rsid w:val="00715AD2"/>
    <w:rsid w:val="00715AD3"/>
    <w:rsid w:val="00715AF4"/>
    <w:rsid w:val="00715AF8"/>
    <w:rsid w:val="00715B77"/>
    <w:rsid w:val="00715C53"/>
    <w:rsid w:val="00715C5F"/>
    <w:rsid w:val="00715C62"/>
    <w:rsid w:val="00715CA7"/>
    <w:rsid w:val="00715CAA"/>
    <w:rsid w:val="00715CD7"/>
    <w:rsid w:val="00715CE3"/>
    <w:rsid w:val="00715D00"/>
    <w:rsid w:val="00715D43"/>
    <w:rsid w:val="00715D7E"/>
    <w:rsid w:val="00715DB1"/>
    <w:rsid w:val="00715DE9"/>
    <w:rsid w:val="00715E34"/>
    <w:rsid w:val="00715E84"/>
    <w:rsid w:val="00715EB8"/>
    <w:rsid w:val="00715EF0"/>
    <w:rsid w:val="00715F57"/>
    <w:rsid w:val="00715F7A"/>
    <w:rsid w:val="00715F82"/>
    <w:rsid w:val="00716026"/>
    <w:rsid w:val="0071603F"/>
    <w:rsid w:val="007160E9"/>
    <w:rsid w:val="00716145"/>
    <w:rsid w:val="00716157"/>
    <w:rsid w:val="0071618C"/>
    <w:rsid w:val="007161A8"/>
    <w:rsid w:val="007161E7"/>
    <w:rsid w:val="007161EB"/>
    <w:rsid w:val="0071625F"/>
    <w:rsid w:val="007162A6"/>
    <w:rsid w:val="007162AE"/>
    <w:rsid w:val="007162BF"/>
    <w:rsid w:val="007162CA"/>
    <w:rsid w:val="007162F1"/>
    <w:rsid w:val="007162FC"/>
    <w:rsid w:val="00716306"/>
    <w:rsid w:val="00716325"/>
    <w:rsid w:val="007163CB"/>
    <w:rsid w:val="00716453"/>
    <w:rsid w:val="00716471"/>
    <w:rsid w:val="007164F2"/>
    <w:rsid w:val="00716516"/>
    <w:rsid w:val="0071651A"/>
    <w:rsid w:val="007165B8"/>
    <w:rsid w:val="007165D5"/>
    <w:rsid w:val="007165E9"/>
    <w:rsid w:val="00716625"/>
    <w:rsid w:val="00716643"/>
    <w:rsid w:val="00716683"/>
    <w:rsid w:val="00716759"/>
    <w:rsid w:val="0071675C"/>
    <w:rsid w:val="00716777"/>
    <w:rsid w:val="00716792"/>
    <w:rsid w:val="007167DB"/>
    <w:rsid w:val="007168F6"/>
    <w:rsid w:val="00716A01"/>
    <w:rsid w:val="00716ABF"/>
    <w:rsid w:val="00716AD6"/>
    <w:rsid w:val="00716B52"/>
    <w:rsid w:val="00716B5D"/>
    <w:rsid w:val="00716B82"/>
    <w:rsid w:val="00716B9A"/>
    <w:rsid w:val="00716B9F"/>
    <w:rsid w:val="00716BA6"/>
    <w:rsid w:val="00716C10"/>
    <w:rsid w:val="00716C8C"/>
    <w:rsid w:val="00716C9A"/>
    <w:rsid w:val="00716CC4"/>
    <w:rsid w:val="00716D58"/>
    <w:rsid w:val="00716DB8"/>
    <w:rsid w:val="00716DF0"/>
    <w:rsid w:val="00716DF5"/>
    <w:rsid w:val="00716E2A"/>
    <w:rsid w:val="00716ECC"/>
    <w:rsid w:val="00716ED4"/>
    <w:rsid w:val="00716F1B"/>
    <w:rsid w:val="00716F2F"/>
    <w:rsid w:val="00716F87"/>
    <w:rsid w:val="00716FC9"/>
    <w:rsid w:val="00716FF7"/>
    <w:rsid w:val="00717001"/>
    <w:rsid w:val="00717013"/>
    <w:rsid w:val="00717082"/>
    <w:rsid w:val="007170AA"/>
    <w:rsid w:val="00717150"/>
    <w:rsid w:val="00717157"/>
    <w:rsid w:val="00717175"/>
    <w:rsid w:val="007171B2"/>
    <w:rsid w:val="00717205"/>
    <w:rsid w:val="0071720C"/>
    <w:rsid w:val="00717216"/>
    <w:rsid w:val="00717246"/>
    <w:rsid w:val="00717249"/>
    <w:rsid w:val="007172A7"/>
    <w:rsid w:val="00717310"/>
    <w:rsid w:val="0071733E"/>
    <w:rsid w:val="00717346"/>
    <w:rsid w:val="0071736F"/>
    <w:rsid w:val="007173C1"/>
    <w:rsid w:val="007173DF"/>
    <w:rsid w:val="007173EE"/>
    <w:rsid w:val="007173F5"/>
    <w:rsid w:val="007174AD"/>
    <w:rsid w:val="007174FC"/>
    <w:rsid w:val="00717511"/>
    <w:rsid w:val="007175D5"/>
    <w:rsid w:val="00717634"/>
    <w:rsid w:val="0071765C"/>
    <w:rsid w:val="007176AB"/>
    <w:rsid w:val="007176E2"/>
    <w:rsid w:val="0071775A"/>
    <w:rsid w:val="0071775D"/>
    <w:rsid w:val="00717832"/>
    <w:rsid w:val="00717852"/>
    <w:rsid w:val="00717859"/>
    <w:rsid w:val="0071788B"/>
    <w:rsid w:val="007178AB"/>
    <w:rsid w:val="007178B2"/>
    <w:rsid w:val="007178BA"/>
    <w:rsid w:val="00717AAF"/>
    <w:rsid w:val="00717C00"/>
    <w:rsid w:val="00717C18"/>
    <w:rsid w:val="00717C2E"/>
    <w:rsid w:val="00717CA9"/>
    <w:rsid w:val="00717D52"/>
    <w:rsid w:val="00717F11"/>
    <w:rsid w:val="00717F85"/>
    <w:rsid w:val="00717FBF"/>
    <w:rsid w:val="00717FCC"/>
    <w:rsid w:val="00720068"/>
    <w:rsid w:val="0072008D"/>
    <w:rsid w:val="007200A2"/>
    <w:rsid w:val="007200E0"/>
    <w:rsid w:val="00720158"/>
    <w:rsid w:val="00720185"/>
    <w:rsid w:val="00720188"/>
    <w:rsid w:val="0072018F"/>
    <w:rsid w:val="007201EF"/>
    <w:rsid w:val="00720264"/>
    <w:rsid w:val="0072028D"/>
    <w:rsid w:val="007202A2"/>
    <w:rsid w:val="007202AA"/>
    <w:rsid w:val="007202BD"/>
    <w:rsid w:val="007202D2"/>
    <w:rsid w:val="007202F7"/>
    <w:rsid w:val="00720367"/>
    <w:rsid w:val="00720390"/>
    <w:rsid w:val="007203F5"/>
    <w:rsid w:val="0072043B"/>
    <w:rsid w:val="0072045F"/>
    <w:rsid w:val="007204BA"/>
    <w:rsid w:val="0072053C"/>
    <w:rsid w:val="0072056F"/>
    <w:rsid w:val="0072058A"/>
    <w:rsid w:val="0072058C"/>
    <w:rsid w:val="007205B3"/>
    <w:rsid w:val="007205EF"/>
    <w:rsid w:val="00720660"/>
    <w:rsid w:val="00720708"/>
    <w:rsid w:val="00720770"/>
    <w:rsid w:val="007207A3"/>
    <w:rsid w:val="007207DD"/>
    <w:rsid w:val="007207E8"/>
    <w:rsid w:val="00720867"/>
    <w:rsid w:val="00720882"/>
    <w:rsid w:val="0072089A"/>
    <w:rsid w:val="007208F2"/>
    <w:rsid w:val="007209BA"/>
    <w:rsid w:val="007209C0"/>
    <w:rsid w:val="00720ACD"/>
    <w:rsid w:val="00720B19"/>
    <w:rsid w:val="00720B1E"/>
    <w:rsid w:val="00720B30"/>
    <w:rsid w:val="00720B46"/>
    <w:rsid w:val="00720B84"/>
    <w:rsid w:val="00720C06"/>
    <w:rsid w:val="00720C85"/>
    <w:rsid w:val="00720D04"/>
    <w:rsid w:val="00720D20"/>
    <w:rsid w:val="00720E1F"/>
    <w:rsid w:val="00720E25"/>
    <w:rsid w:val="00720E91"/>
    <w:rsid w:val="00720F26"/>
    <w:rsid w:val="00720F36"/>
    <w:rsid w:val="00720F51"/>
    <w:rsid w:val="00720F71"/>
    <w:rsid w:val="00720FC3"/>
    <w:rsid w:val="00721084"/>
    <w:rsid w:val="007210D0"/>
    <w:rsid w:val="007210EC"/>
    <w:rsid w:val="00721135"/>
    <w:rsid w:val="00721157"/>
    <w:rsid w:val="0072119C"/>
    <w:rsid w:val="007211FD"/>
    <w:rsid w:val="0072120D"/>
    <w:rsid w:val="007212B7"/>
    <w:rsid w:val="00721339"/>
    <w:rsid w:val="00721349"/>
    <w:rsid w:val="00721363"/>
    <w:rsid w:val="00721370"/>
    <w:rsid w:val="007213FD"/>
    <w:rsid w:val="00721401"/>
    <w:rsid w:val="00721407"/>
    <w:rsid w:val="00721557"/>
    <w:rsid w:val="007215AA"/>
    <w:rsid w:val="007215CF"/>
    <w:rsid w:val="007215F3"/>
    <w:rsid w:val="00721674"/>
    <w:rsid w:val="00721751"/>
    <w:rsid w:val="00721914"/>
    <w:rsid w:val="00721925"/>
    <w:rsid w:val="00721A22"/>
    <w:rsid w:val="00721A38"/>
    <w:rsid w:val="00721A54"/>
    <w:rsid w:val="00721A74"/>
    <w:rsid w:val="00721AD1"/>
    <w:rsid w:val="00721B36"/>
    <w:rsid w:val="00721B38"/>
    <w:rsid w:val="00721B42"/>
    <w:rsid w:val="00721B6D"/>
    <w:rsid w:val="00721BAD"/>
    <w:rsid w:val="00721BB4"/>
    <w:rsid w:val="00721BF9"/>
    <w:rsid w:val="00721C30"/>
    <w:rsid w:val="00721C36"/>
    <w:rsid w:val="00721C4A"/>
    <w:rsid w:val="00721C69"/>
    <w:rsid w:val="00721C94"/>
    <w:rsid w:val="00721CBC"/>
    <w:rsid w:val="00721CD2"/>
    <w:rsid w:val="00721D40"/>
    <w:rsid w:val="00721D60"/>
    <w:rsid w:val="00721D69"/>
    <w:rsid w:val="00721DB9"/>
    <w:rsid w:val="00721E02"/>
    <w:rsid w:val="00721E5D"/>
    <w:rsid w:val="00721E7E"/>
    <w:rsid w:val="00721EC8"/>
    <w:rsid w:val="00721ECC"/>
    <w:rsid w:val="00721EDE"/>
    <w:rsid w:val="00721EE0"/>
    <w:rsid w:val="00721EEA"/>
    <w:rsid w:val="00721F3B"/>
    <w:rsid w:val="00721FAE"/>
    <w:rsid w:val="0072200D"/>
    <w:rsid w:val="0072201B"/>
    <w:rsid w:val="0072203C"/>
    <w:rsid w:val="00722052"/>
    <w:rsid w:val="0072207D"/>
    <w:rsid w:val="0072208B"/>
    <w:rsid w:val="007220F7"/>
    <w:rsid w:val="00722122"/>
    <w:rsid w:val="00722176"/>
    <w:rsid w:val="007221F8"/>
    <w:rsid w:val="00722209"/>
    <w:rsid w:val="0072220F"/>
    <w:rsid w:val="00722220"/>
    <w:rsid w:val="00722247"/>
    <w:rsid w:val="00722269"/>
    <w:rsid w:val="007222C9"/>
    <w:rsid w:val="007222E2"/>
    <w:rsid w:val="0072230A"/>
    <w:rsid w:val="0072231A"/>
    <w:rsid w:val="0072235A"/>
    <w:rsid w:val="0072240A"/>
    <w:rsid w:val="0072248A"/>
    <w:rsid w:val="007224C0"/>
    <w:rsid w:val="007224D0"/>
    <w:rsid w:val="007225FB"/>
    <w:rsid w:val="00722711"/>
    <w:rsid w:val="0072277B"/>
    <w:rsid w:val="007227F2"/>
    <w:rsid w:val="007227FC"/>
    <w:rsid w:val="0072287A"/>
    <w:rsid w:val="007228D3"/>
    <w:rsid w:val="00722943"/>
    <w:rsid w:val="0072296F"/>
    <w:rsid w:val="007229C2"/>
    <w:rsid w:val="007229D7"/>
    <w:rsid w:val="00722A1F"/>
    <w:rsid w:val="00722A24"/>
    <w:rsid w:val="00722A61"/>
    <w:rsid w:val="00722BBC"/>
    <w:rsid w:val="00722C18"/>
    <w:rsid w:val="00722CC9"/>
    <w:rsid w:val="00722D45"/>
    <w:rsid w:val="00722E67"/>
    <w:rsid w:val="00722EB2"/>
    <w:rsid w:val="00722EBD"/>
    <w:rsid w:val="00722EE8"/>
    <w:rsid w:val="00722F03"/>
    <w:rsid w:val="00722F1A"/>
    <w:rsid w:val="00722F35"/>
    <w:rsid w:val="00722F89"/>
    <w:rsid w:val="00722F8B"/>
    <w:rsid w:val="00722FC1"/>
    <w:rsid w:val="00723009"/>
    <w:rsid w:val="0072305E"/>
    <w:rsid w:val="0072309A"/>
    <w:rsid w:val="007230B0"/>
    <w:rsid w:val="007230FA"/>
    <w:rsid w:val="00723110"/>
    <w:rsid w:val="007231C8"/>
    <w:rsid w:val="007231E0"/>
    <w:rsid w:val="007231E9"/>
    <w:rsid w:val="0072321B"/>
    <w:rsid w:val="00723270"/>
    <w:rsid w:val="007232B2"/>
    <w:rsid w:val="007232D2"/>
    <w:rsid w:val="007232F6"/>
    <w:rsid w:val="00723306"/>
    <w:rsid w:val="00723327"/>
    <w:rsid w:val="00723381"/>
    <w:rsid w:val="007234AA"/>
    <w:rsid w:val="00723521"/>
    <w:rsid w:val="00723526"/>
    <w:rsid w:val="0072355A"/>
    <w:rsid w:val="0072356E"/>
    <w:rsid w:val="00723586"/>
    <w:rsid w:val="0072359B"/>
    <w:rsid w:val="0072359D"/>
    <w:rsid w:val="0072368D"/>
    <w:rsid w:val="007236B7"/>
    <w:rsid w:val="00723752"/>
    <w:rsid w:val="00723760"/>
    <w:rsid w:val="007237B5"/>
    <w:rsid w:val="00723827"/>
    <w:rsid w:val="00723881"/>
    <w:rsid w:val="007238A9"/>
    <w:rsid w:val="007238C3"/>
    <w:rsid w:val="007238F4"/>
    <w:rsid w:val="00723945"/>
    <w:rsid w:val="00723984"/>
    <w:rsid w:val="007239FE"/>
    <w:rsid w:val="00723A26"/>
    <w:rsid w:val="00723A33"/>
    <w:rsid w:val="00723B3C"/>
    <w:rsid w:val="00723B51"/>
    <w:rsid w:val="00723B5F"/>
    <w:rsid w:val="00723D17"/>
    <w:rsid w:val="00723D2E"/>
    <w:rsid w:val="00723D39"/>
    <w:rsid w:val="00723D63"/>
    <w:rsid w:val="00723D75"/>
    <w:rsid w:val="00723D96"/>
    <w:rsid w:val="00723E06"/>
    <w:rsid w:val="00723E4E"/>
    <w:rsid w:val="00723E7E"/>
    <w:rsid w:val="00723E97"/>
    <w:rsid w:val="00723EA5"/>
    <w:rsid w:val="00723ED4"/>
    <w:rsid w:val="00723EF9"/>
    <w:rsid w:val="00723F53"/>
    <w:rsid w:val="00723FD6"/>
    <w:rsid w:val="00723FF6"/>
    <w:rsid w:val="00724045"/>
    <w:rsid w:val="00724088"/>
    <w:rsid w:val="007240A9"/>
    <w:rsid w:val="007240F3"/>
    <w:rsid w:val="00724113"/>
    <w:rsid w:val="00724117"/>
    <w:rsid w:val="00724135"/>
    <w:rsid w:val="00724198"/>
    <w:rsid w:val="0072419B"/>
    <w:rsid w:val="007241A2"/>
    <w:rsid w:val="007241E8"/>
    <w:rsid w:val="00724204"/>
    <w:rsid w:val="00724294"/>
    <w:rsid w:val="00724299"/>
    <w:rsid w:val="007242E0"/>
    <w:rsid w:val="007242E8"/>
    <w:rsid w:val="0072430B"/>
    <w:rsid w:val="00724310"/>
    <w:rsid w:val="00724327"/>
    <w:rsid w:val="0072438C"/>
    <w:rsid w:val="007243A5"/>
    <w:rsid w:val="0072440B"/>
    <w:rsid w:val="0072440C"/>
    <w:rsid w:val="00724465"/>
    <w:rsid w:val="0072454B"/>
    <w:rsid w:val="00724551"/>
    <w:rsid w:val="007245E5"/>
    <w:rsid w:val="00724607"/>
    <w:rsid w:val="00724666"/>
    <w:rsid w:val="007246BF"/>
    <w:rsid w:val="007246FA"/>
    <w:rsid w:val="0072473D"/>
    <w:rsid w:val="0072475E"/>
    <w:rsid w:val="00724776"/>
    <w:rsid w:val="00724829"/>
    <w:rsid w:val="00724831"/>
    <w:rsid w:val="007248DC"/>
    <w:rsid w:val="007248EA"/>
    <w:rsid w:val="007248EB"/>
    <w:rsid w:val="00724950"/>
    <w:rsid w:val="00724977"/>
    <w:rsid w:val="0072498C"/>
    <w:rsid w:val="0072498E"/>
    <w:rsid w:val="007249CF"/>
    <w:rsid w:val="00724A78"/>
    <w:rsid w:val="00724A86"/>
    <w:rsid w:val="00724B1A"/>
    <w:rsid w:val="00724B29"/>
    <w:rsid w:val="00724B75"/>
    <w:rsid w:val="00724B98"/>
    <w:rsid w:val="00724BA8"/>
    <w:rsid w:val="00724BAC"/>
    <w:rsid w:val="00724BAE"/>
    <w:rsid w:val="00724C28"/>
    <w:rsid w:val="00724C73"/>
    <w:rsid w:val="00724DAE"/>
    <w:rsid w:val="00724DD5"/>
    <w:rsid w:val="00724DD8"/>
    <w:rsid w:val="00724DFD"/>
    <w:rsid w:val="00724E1E"/>
    <w:rsid w:val="00724EE5"/>
    <w:rsid w:val="00724F19"/>
    <w:rsid w:val="00724F1C"/>
    <w:rsid w:val="00724F55"/>
    <w:rsid w:val="00724F93"/>
    <w:rsid w:val="007250F6"/>
    <w:rsid w:val="00725149"/>
    <w:rsid w:val="0072521C"/>
    <w:rsid w:val="0072523B"/>
    <w:rsid w:val="0072524A"/>
    <w:rsid w:val="00725261"/>
    <w:rsid w:val="0072526A"/>
    <w:rsid w:val="0072527B"/>
    <w:rsid w:val="007252BE"/>
    <w:rsid w:val="00725370"/>
    <w:rsid w:val="00725377"/>
    <w:rsid w:val="007253BD"/>
    <w:rsid w:val="007253D8"/>
    <w:rsid w:val="007253DC"/>
    <w:rsid w:val="007253DD"/>
    <w:rsid w:val="00725415"/>
    <w:rsid w:val="00725419"/>
    <w:rsid w:val="00725430"/>
    <w:rsid w:val="0072543E"/>
    <w:rsid w:val="007254AC"/>
    <w:rsid w:val="0072553E"/>
    <w:rsid w:val="00725546"/>
    <w:rsid w:val="00725570"/>
    <w:rsid w:val="007255D6"/>
    <w:rsid w:val="0072562B"/>
    <w:rsid w:val="00725639"/>
    <w:rsid w:val="00725645"/>
    <w:rsid w:val="0072567C"/>
    <w:rsid w:val="0072568D"/>
    <w:rsid w:val="007256A4"/>
    <w:rsid w:val="00725730"/>
    <w:rsid w:val="00725747"/>
    <w:rsid w:val="00725748"/>
    <w:rsid w:val="00725817"/>
    <w:rsid w:val="0072581D"/>
    <w:rsid w:val="007258C8"/>
    <w:rsid w:val="007258E9"/>
    <w:rsid w:val="007258F2"/>
    <w:rsid w:val="00725937"/>
    <w:rsid w:val="0072597A"/>
    <w:rsid w:val="007259BD"/>
    <w:rsid w:val="007259BE"/>
    <w:rsid w:val="007259C7"/>
    <w:rsid w:val="00725A20"/>
    <w:rsid w:val="00725A23"/>
    <w:rsid w:val="00725A89"/>
    <w:rsid w:val="00725B42"/>
    <w:rsid w:val="00725B68"/>
    <w:rsid w:val="00725B83"/>
    <w:rsid w:val="00725C03"/>
    <w:rsid w:val="00725C0F"/>
    <w:rsid w:val="00725C9F"/>
    <w:rsid w:val="00725CB9"/>
    <w:rsid w:val="00725E03"/>
    <w:rsid w:val="00725E1B"/>
    <w:rsid w:val="00725E30"/>
    <w:rsid w:val="00725E92"/>
    <w:rsid w:val="00725F09"/>
    <w:rsid w:val="00725F96"/>
    <w:rsid w:val="00725FD2"/>
    <w:rsid w:val="0072600C"/>
    <w:rsid w:val="0072609B"/>
    <w:rsid w:val="007260F1"/>
    <w:rsid w:val="00726107"/>
    <w:rsid w:val="00726135"/>
    <w:rsid w:val="0072614E"/>
    <w:rsid w:val="00726169"/>
    <w:rsid w:val="007261DC"/>
    <w:rsid w:val="00726244"/>
    <w:rsid w:val="00726284"/>
    <w:rsid w:val="00726321"/>
    <w:rsid w:val="007263B6"/>
    <w:rsid w:val="007263BF"/>
    <w:rsid w:val="00726427"/>
    <w:rsid w:val="007264BC"/>
    <w:rsid w:val="0072654F"/>
    <w:rsid w:val="00726583"/>
    <w:rsid w:val="007265BB"/>
    <w:rsid w:val="007265CC"/>
    <w:rsid w:val="007265DB"/>
    <w:rsid w:val="007265DF"/>
    <w:rsid w:val="00726643"/>
    <w:rsid w:val="007266E0"/>
    <w:rsid w:val="007266F3"/>
    <w:rsid w:val="00726710"/>
    <w:rsid w:val="00726718"/>
    <w:rsid w:val="00726722"/>
    <w:rsid w:val="00726762"/>
    <w:rsid w:val="007267E0"/>
    <w:rsid w:val="007267F7"/>
    <w:rsid w:val="0072681A"/>
    <w:rsid w:val="0072681C"/>
    <w:rsid w:val="0072687A"/>
    <w:rsid w:val="00726909"/>
    <w:rsid w:val="007269E5"/>
    <w:rsid w:val="00726A91"/>
    <w:rsid w:val="00726B0A"/>
    <w:rsid w:val="00726B37"/>
    <w:rsid w:val="00726B84"/>
    <w:rsid w:val="00726BED"/>
    <w:rsid w:val="00726C08"/>
    <w:rsid w:val="00726D3D"/>
    <w:rsid w:val="00726D87"/>
    <w:rsid w:val="00726D8E"/>
    <w:rsid w:val="00726DD2"/>
    <w:rsid w:val="00726DEB"/>
    <w:rsid w:val="00726DFF"/>
    <w:rsid w:val="00726E23"/>
    <w:rsid w:val="00726E2C"/>
    <w:rsid w:val="00726E90"/>
    <w:rsid w:val="00726EA4"/>
    <w:rsid w:val="00726EB9"/>
    <w:rsid w:val="00726EBD"/>
    <w:rsid w:val="00726EED"/>
    <w:rsid w:val="00726F7D"/>
    <w:rsid w:val="00726F7E"/>
    <w:rsid w:val="00726FC9"/>
    <w:rsid w:val="00726FDD"/>
    <w:rsid w:val="0072702B"/>
    <w:rsid w:val="00727075"/>
    <w:rsid w:val="0072710A"/>
    <w:rsid w:val="00727123"/>
    <w:rsid w:val="00727133"/>
    <w:rsid w:val="00727138"/>
    <w:rsid w:val="007271D6"/>
    <w:rsid w:val="0072722D"/>
    <w:rsid w:val="00727265"/>
    <w:rsid w:val="007272D7"/>
    <w:rsid w:val="00727324"/>
    <w:rsid w:val="00727332"/>
    <w:rsid w:val="0072735C"/>
    <w:rsid w:val="007273AD"/>
    <w:rsid w:val="007273EA"/>
    <w:rsid w:val="00727401"/>
    <w:rsid w:val="00727419"/>
    <w:rsid w:val="0072745B"/>
    <w:rsid w:val="007274C8"/>
    <w:rsid w:val="0072753E"/>
    <w:rsid w:val="00727540"/>
    <w:rsid w:val="00727562"/>
    <w:rsid w:val="00727572"/>
    <w:rsid w:val="00727594"/>
    <w:rsid w:val="007275E8"/>
    <w:rsid w:val="007275F8"/>
    <w:rsid w:val="00727664"/>
    <w:rsid w:val="0072766A"/>
    <w:rsid w:val="0072768D"/>
    <w:rsid w:val="007276BB"/>
    <w:rsid w:val="007276BE"/>
    <w:rsid w:val="007276D0"/>
    <w:rsid w:val="007276DD"/>
    <w:rsid w:val="00727700"/>
    <w:rsid w:val="00727786"/>
    <w:rsid w:val="007277D1"/>
    <w:rsid w:val="007277D4"/>
    <w:rsid w:val="007277FD"/>
    <w:rsid w:val="0072782C"/>
    <w:rsid w:val="00727871"/>
    <w:rsid w:val="00727888"/>
    <w:rsid w:val="007278FE"/>
    <w:rsid w:val="0072793D"/>
    <w:rsid w:val="00727963"/>
    <w:rsid w:val="00727973"/>
    <w:rsid w:val="0072797B"/>
    <w:rsid w:val="00727A39"/>
    <w:rsid w:val="00727A43"/>
    <w:rsid w:val="00727A88"/>
    <w:rsid w:val="00727B07"/>
    <w:rsid w:val="00727B22"/>
    <w:rsid w:val="00727B3F"/>
    <w:rsid w:val="00727B63"/>
    <w:rsid w:val="00727B98"/>
    <w:rsid w:val="00727C24"/>
    <w:rsid w:val="00727C48"/>
    <w:rsid w:val="00727C4E"/>
    <w:rsid w:val="00727C59"/>
    <w:rsid w:val="00727C82"/>
    <w:rsid w:val="00727CCB"/>
    <w:rsid w:val="00727D8A"/>
    <w:rsid w:val="00727D91"/>
    <w:rsid w:val="00727DCA"/>
    <w:rsid w:val="00727E66"/>
    <w:rsid w:val="00727EBE"/>
    <w:rsid w:val="00727F10"/>
    <w:rsid w:val="00727F9D"/>
    <w:rsid w:val="00727FAB"/>
    <w:rsid w:val="00727FBE"/>
    <w:rsid w:val="00727FE9"/>
    <w:rsid w:val="0072AB36"/>
    <w:rsid w:val="00730033"/>
    <w:rsid w:val="0073006E"/>
    <w:rsid w:val="00730117"/>
    <w:rsid w:val="00730169"/>
    <w:rsid w:val="00730198"/>
    <w:rsid w:val="007301DC"/>
    <w:rsid w:val="0073022D"/>
    <w:rsid w:val="00730231"/>
    <w:rsid w:val="00730232"/>
    <w:rsid w:val="0073023F"/>
    <w:rsid w:val="00730285"/>
    <w:rsid w:val="007302BC"/>
    <w:rsid w:val="00730353"/>
    <w:rsid w:val="00730373"/>
    <w:rsid w:val="007303C1"/>
    <w:rsid w:val="007303EA"/>
    <w:rsid w:val="00730477"/>
    <w:rsid w:val="0073048E"/>
    <w:rsid w:val="007304AA"/>
    <w:rsid w:val="0073071A"/>
    <w:rsid w:val="00730721"/>
    <w:rsid w:val="0073078A"/>
    <w:rsid w:val="00730792"/>
    <w:rsid w:val="007307B4"/>
    <w:rsid w:val="00730836"/>
    <w:rsid w:val="00730837"/>
    <w:rsid w:val="00730846"/>
    <w:rsid w:val="0073085B"/>
    <w:rsid w:val="007308DB"/>
    <w:rsid w:val="007308FC"/>
    <w:rsid w:val="0073092C"/>
    <w:rsid w:val="00730951"/>
    <w:rsid w:val="007309CB"/>
    <w:rsid w:val="007309CD"/>
    <w:rsid w:val="007309D3"/>
    <w:rsid w:val="00730A14"/>
    <w:rsid w:val="00730AEE"/>
    <w:rsid w:val="00730B2C"/>
    <w:rsid w:val="00730B31"/>
    <w:rsid w:val="00730B68"/>
    <w:rsid w:val="00730BA3"/>
    <w:rsid w:val="00730BF2"/>
    <w:rsid w:val="00730C23"/>
    <w:rsid w:val="00730C2E"/>
    <w:rsid w:val="00730C7A"/>
    <w:rsid w:val="00730C97"/>
    <w:rsid w:val="00730CEB"/>
    <w:rsid w:val="00730D60"/>
    <w:rsid w:val="00730D69"/>
    <w:rsid w:val="00730DCF"/>
    <w:rsid w:val="00730DE0"/>
    <w:rsid w:val="00730DF3"/>
    <w:rsid w:val="00730E03"/>
    <w:rsid w:val="00730E7A"/>
    <w:rsid w:val="00730E84"/>
    <w:rsid w:val="00730E89"/>
    <w:rsid w:val="00730E8B"/>
    <w:rsid w:val="00730EF8"/>
    <w:rsid w:val="00730F65"/>
    <w:rsid w:val="00730FD0"/>
    <w:rsid w:val="0073104A"/>
    <w:rsid w:val="007310A9"/>
    <w:rsid w:val="007310D3"/>
    <w:rsid w:val="0073113C"/>
    <w:rsid w:val="0073116A"/>
    <w:rsid w:val="007311B3"/>
    <w:rsid w:val="007311C6"/>
    <w:rsid w:val="00731283"/>
    <w:rsid w:val="00731286"/>
    <w:rsid w:val="007312CA"/>
    <w:rsid w:val="007312CC"/>
    <w:rsid w:val="007312D7"/>
    <w:rsid w:val="0073137E"/>
    <w:rsid w:val="007313F8"/>
    <w:rsid w:val="00731403"/>
    <w:rsid w:val="00731430"/>
    <w:rsid w:val="00731458"/>
    <w:rsid w:val="00731467"/>
    <w:rsid w:val="00731480"/>
    <w:rsid w:val="007314DE"/>
    <w:rsid w:val="007314F8"/>
    <w:rsid w:val="00731568"/>
    <w:rsid w:val="0073161B"/>
    <w:rsid w:val="0073162C"/>
    <w:rsid w:val="00731645"/>
    <w:rsid w:val="0073164B"/>
    <w:rsid w:val="007316A5"/>
    <w:rsid w:val="007316E3"/>
    <w:rsid w:val="00731711"/>
    <w:rsid w:val="00731715"/>
    <w:rsid w:val="0073171E"/>
    <w:rsid w:val="00731758"/>
    <w:rsid w:val="00731767"/>
    <w:rsid w:val="00731790"/>
    <w:rsid w:val="007317DF"/>
    <w:rsid w:val="007317EB"/>
    <w:rsid w:val="00731851"/>
    <w:rsid w:val="00731861"/>
    <w:rsid w:val="00731881"/>
    <w:rsid w:val="0073188D"/>
    <w:rsid w:val="00731890"/>
    <w:rsid w:val="0073189B"/>
    <w:rsid w:val="00731A30"/>
    <w:rsid w:val="00731A3A"/>
    <w:rsid w:val="00731A9C"/>
    <w:rsid w:val="00731AED"/>
    <w:rsid w:val="00731B18"/>
    <w:rsid w:val="00731B25"/>
    <w:rsid w:val="00731B43"/>
    <w:rsid w:val="00731C0F"/>
    <w:rsid w:val="00731C12"/>
    <w:rsid w:val="00731C2F"/>
    <w:rsid w:val="00731C98"/>
    <w:rsid w:val="00731CB8"/>
    <w:rsid w:val="00731CCD"/>
    <w:rsid w:val="00731D06"/>
    <w:rsid w:val="00731E3F"/>
    <w:rsid w:val="00731E67"/>
    <w:rsid w:val="00731E72"/>
    <w:rsid w:val="00731E76"/>
    <w:rsid w:val="00731F0E"/>
    <w:rsid w:val="00731F57"/>
    <w:rsid w:val="00731F9D"/>
    <w:rsid w:val="0073204B"/>
    <w:rsid w:val="007320F1"/>
    <w:rsid w:val="00732112"/>
    <w:rsid w:val="00732174"/>
    <w:rsid w:val="007321A3"/>
    <w:rsid w:val="007321CC"/>
    <w:rsid w:val="00732207"/>
    <w:rsid w:val="00732230"/>
    <w:rsid w:val="00732287"/>
    <w:rsid w:val="007322BA"/>
    <w:rsid w:val="007322BF"/>
    <w:rsid w:val="00732360"/>
    <w:rsid w:val="00732370"/>
    <w:rsid w:val="00732429"/>
    <w:rsid w:val="00732434"/>
    <w:rsid w:val="00732488"/>
    <w:rsid w:val="007324DC"/>
    <w:rsid w:val="00732525"/>
    <w:rsid w:val="0073252F"/>
    <w:rsid w:val="0073253C"/>
    <w:rsid w:val="00732554"/>
    <w:rsid w:val="0073256C"/>
    <w:rsid w:val="0073257D"/>
    <w:rsid w:val="00732585"/>
    <w:rsid w:val="007325BA"/>
    <w:rsid w:val="00732646"/>
    <w:rsid w:val="007326FC"/>
    <w:rsid w:val="00732706"/>
    <w:rsid w:val="00732754"/>
    <w:rsid w:val="007327A1"/>
    <w:rsid w:val="007327F4"/>
    <w:rsid w:val="0073280D"/>
    <w:rsid w:val="00732874"/>
    <w:rsid w:val="00732884"/>
    <w:rsid w:val="007328AB"/>
    <w:rsid w:val="00732A1B"/>
    <w:rsid w:val="00732A37"/>
    <w:rsid w:val="00732A3A"/>
    <w:rsid w:val="00732A5C"/>
    <w:rsid w:val="00732B46"/>
    <w:rsid w:val="00732BB5"/>
    <w:rsid w:val="00732C69"/>
    <w:rsid w:val="00732CBF"/>
    <w:rsid w:val="00732CCD"/>
    <w:rsid w:val="00732CD9"/>
    <w:rsid w:val="00732CEE"/>
    <w:rsid w:val="00732D31"/>
    <w:rsid w:val="00732D4A"/>
    <w:rsid w:val="00732D51"/>
    <w:rsid w:val="00732DB1"/>
    <w:rsid w:val="00732E30"/>
    <w:rsid w:val="00732E44"/>
    <w:rsid w:val="00732E77"/>
    <w:rsid w:val="0073303E"/>
    <w:rsid w:val="0073307E"/>
    <w:rsid w:val="0073308B"/>
    <w:rsid w:val="0073308E"/>
    <w:rsid w:val="0073309C"/>
    <w:rsid w:val="007330A6"/>
    <w:rsid w:val="007330AF"/>
    <w:rsid w:val="007330F1"/>
    <w:rsid w:val="00733115"/>
    <w:rsid w:val="0073313F"/>
    <w:rsid w:val="0073316A"/>
    <w:rsid w:val="0073316B"/>
    <w:rsid w:val="007331C8"/>
    <w:rsid w:val="0073327D"/>
    <w:rsid w:val="0073329C"/>
    <w:rsid w:val="00733312"/>
    <w:rsid w:val="0073335A"/>
    <w:rsid w:val="00733362"/>
    <w:rsid w:val="0073338F"/>
    <w:rsid w:val="007333B5"/>
    <w:rsid w:val="007333BF"/>
    <w:rsid w:val="0073347E"/>
    <w:rsid w:val="00733496"/>
    <w:rsid w:val="0073349A"/>
    <w:rsid w:val="00733514"/>
    <w:rsid w:val="0073351D"/>
    <w:rsid w:val="00733546"/>
    <w:rsid w:val="00733566"/>
    <w:rsid w:val="007336E5"/>
    <w:rsid w:val="007336FC"/>
    <w:rsid w:val="00733713"/>
    <w:rsid w:val="00733777"/>
    <w:rsid w:val="00733787"/>
    <w:rsid w:val="00733795"/>
    <w:rsid w:val="007337BC"/>
    <w:rsid w:val="0073381F"/>
    <w:rsid w:val="00733827"/>
    <w:rsid w:val="0073386C"/>
    <w:rsid w:val="00733876"/>
    <w:rsid w:val="00733937"/>
    <w:rsid w:val="007339DB"/>
    <w:rsid w:val="00733A05"/>
    <w:rsid w:val="00733B3B"/>
    <w:rsid w:val="00733B3E"/>
    <w:rsid w:val="00733B70"/>
    <w:rsid w:val="00733BF4"/>
    <w:rsid w:val="00733C56"/>
    <w:rsid w:val="00733C66"/>
    <w:rsid w:val="00733DC3"/>
    <w:rsid w:val="00733E6E"/>
    <w:rsid w:val="00733EA4"/>
    <w:rsid w:val="00733F26"/>
    <w:rsid w:val="00733F50"/>
    <w:rsid w:val="00733F87"/>
    <w:rsid w:val="00733F90"/>
    <w:rsid w:val="00733FFC"/>
    <w:rsid w:val="00734079"/>
    <w:rsid w:val="007340AA"/>
    <w:rsid w:val="007340E3"/>
    <w:rsid w:val="00734155"/>
    <w:rsid w:val="0073416A"/>
    <w:rsid w:val="007341AF"/>
    <w:rsid w:val="00734297"/>
    <w:rsid w:val="007342A0"/>
    <w:rsid w:val="007342A5"/>
    <w:rsid w:val="00734303"/>
    <w:rsid w:val="00734374"/>
    <w:rsid w:val="007343C1"/>
    <w:rsid w:val="007343E8"/>
    <w:rsid w:val="00734431"/>
    <w:rsid w:val="0073444E"/>
    <w:rsid w:val="00734450"/>
    <w:rsid w:val="00734485"/>
    <w:rsid w:val="007344CF"/>
    <w:rsid w:val="00734581"/>
    <w:rsid w:val="007345B2"/>
    <w:rsid w:val="0073462E"/>
    <w:rsid w:val="007346CB"/>
    <w:rsid w:val="00734716"/>
    <w:rsid w:val="0073472B"/>
    <w:rsid w:val="00734765"/>
    <w:rsid w:val="00734785"/>
    <w:rsid w:val="00734833"/>
    <w:rsid w:val="00734921"/>
    <w:rsid w:val="007349CB"/>
    <w:rsid w:val="007349DE"/>
    <w:rsid w:val="007349E1"/>
    <w:rsid w:val="007349E9"/>
    <w:rsid w:val="00734A41"/>
    <w:rsid w:val="00734A46"/>
    <w:rsid w:val="00734A54"/>
    <w:rsid w:val="00734A60"/>
    <w:rsid w:val="00734A72"/>
    <w:rsid w:val="00734AA1"/>
    <w:rsid w:val="00734B28"/>
    <w:rsid w:val="00734BC7"/>
    <w:rsid w:val="00734BD2"/>
    <w:rsid w:val="00734BDB"/>
    <w:rsid w:val="00734BF1"/>
    <w:rsid w:val="00734C23"/>
    <w:rsid w:val="00734C34"/>
    <w:rsid w:val="00734CAB"/>
    <w:rsid w:val="00734CE2"/>
    <w:rsid w:val="00734D07"/>
    <w:rsid w:val="00734D1A"/>
    <w:rsid w:val="00734D1E"/>
    <w:rsid w:val="00734D2A"/>
    <w:rsid w:val="00734D2E"/>
    <w:rsid w:val="00734D4F"/>
    <w:rsid w:val="00734DB1"/>
    <w:rsid w:val="00734E2E"/>
    <w:rsid w:val="00734E34"/>
    <w:rsid w:val="00734E7C"/>
    <w:rsid w:val="00734E82"/>
    <w:rsid w:val="00735013"/>
    <w:rsid w:val="00735016"/>
    <w:rsid w:val="0073509C"/>
    <w:rsid w:val="007350BD"/>
    <w:rsid w:val="007350C0"/>
    <w:rsid w:val="007350CD"/>
    <w:rsid w:val="00735132"/>
    <w:rsid w:val="00735165"/>
    <w:rsid w:val="00735182"/>
    <w:rsid w:val="0073519E"/>
    <w:rsid w:val="007351E6"/>
    <w:rsid w:val="00735284"/>
    <w:rsid w:val="007352A5"/>
    <w:rsid w:val="007352CD"/>
    <w:rsid w:val="007352EA"/>
    <w:rsid w:val="00735307"/>
    <w:rsid w:val="00735330"/>
    <w:rsid w:val="00735364"/>
    <w:rsid w:val="0073538A"/>
    <w:rsid w:val="007353D0"/>
    <w:rsid w:val="00735430"/>
    <w:rsid w:val="0073547E"/>
    <w:rsid w:val="0073548E"/>
    <w:rsid w:val="00735499"/>
    <w:rsid w:val="007354BA"/>
    <w:rsid w:val="00735588"/>
    <w:rsid w:val="0073560E"/>
    <w:rsid w:val="00735666"/>
    <w:rsid w:val="00735675"/>
    <w:rsid w:val="007356A2"/>
    <w:rsid w:val="007356C0"/>
    <w:rsid w:val="00735718"/>
    <w:rsid w:val="00735721"/>
    <w:rsid w:val="0073575F"/>
    <w:rsid w:val="007357A3"/>
    <w:rsid w:val="007357F2"/>
    <w:rsid w:val="00735841"/>
    <w:rsid w:val="0073589D"/>
    <w:rsid w:val="007358A3"/>
    <w:rsid w:val="007358AC"/>
    <w:rsid w:val="007358CF"/>
    <w:rsid w:val="007358EA"/>
    <w:rsid w:val="00735904"/>
    <w:rsid w:val="00735911"/>
    <w:rsid w:val="0073591D"/>
    <w:rsid w:val="00735964"/>
    <w:rsid w:val="007359A9"/>
    <w:rsid w:val="00735A0C"/>
    <w:rsid w:val="00735A48"/>
    <w:rsid w:val="00735A4E"/>
    <w:rsid w:val="00735ABA"/>
    <w:rsid w:val="00735B86"/>
    <w:rsid w:val="00735BAE"/>
    <w:rsid w:val="00735BF8"/>
    <w:rsid w:val="00735C0E"/>
    <w:rsid w:val="00735C29"/>
    <w:rsid w:val="00735C42"/>
    <w:rsid w:val="00735D4A"/>
    <w:rsid w:val="00735D53"/>
    <w:rsid w:val="00735DAF"/>
    <w:rsid w:val="00735DF9"/>
    <w:rsid w:val="00735E97"/>
    <w:rsid w:val="00735EB5"/>
    <w:rsid w:val="00735ECA"/>
    <w:rsid w:val="00735EE3"/>
    <w:rsid w:val="00735F0F"/>
    <w:rsid w:val="00735F23"/>
    <w:rsid w:val="00735F3C"/>
    <w:rsid w:val="00735F4D"/>
    <w:rsid w:val="00735FBD"/>
    <w:rsid w:val="00735FBE"/>
    <w:rsid w:val="0073601F"/>
    <w:rsid w:val="0073604F"/>
    <w:rsid w:val="00736095"/>
    <w:rsid w:val="0073609A"/>
    <w:rsid w:val="007360AD"/>
    <w:rsid w:val="0073612F"/>
    <w:rsid w:val="00736174"/>
    <w:rsid w:val="007361B4"/>
    <w:rsid w:val="00736200"/>
    <w:rsid w:val="00736204"/>
    <w:rsid w:val="00736227"/>
    <w:rsid w:val="0073623C"/>
    <w:rsid w:val="0073624B"/>
    <w:rsid w:val="007362CD"/>
    <w:rsid w:val="00736337"/>
    <w:rsid w:val="007363CA"/>
    <w:rsid w:val="007363E6"/>
    <w:rsid w:val="007363F7"/>
    <w:rsid w:val="00736456"/>
    <w:rsid w:val="007364FE"/>
    <w:rsid w:val="00736531"/>
    <w:rsid w:val="0073658D"/>
    <w:rsid w:val="007365A7"/>
    <w:rsid w:val="007365C8"/>
    <w:rsid w:val="007365F0"/>
    <w:rsid w:val="00736734"/>
    <w:rsid w:val="00736761"/>
    <w:rsid w:val="0073677E"/>
    <w:rsid w:val="00736799"/>
    <w:rsid w:val="00736808"/>
    <w:rsid w:val="0073681E"/>
    <w:rsid w:val="00736828"/>
    <w:rsid w:val="00736838"/>
    <w:rsid w:val="0073689F"/>
    <w:rsid w:val="0073690C"/>
    <w:rsid w:val="00736967"/>
    <w:rsid w:val="00736BE0"/>
    <w:rsid w:val="00736C6B"/>
    <w:rsid w:val="00736C7A"/>
    <w:rsid w:val="00736C90"/>
    <w:rsid w:val="00736CEE"/>
    <w:rsid w:val="00736D00"/>
    <w:rsid w:val="00736D3B"/>
    <w:rsid w:val="00736D91"/>
    <w:rsid w:val="00736D9F"/>
    <w:rsid w:val="00736DC7"/>
    <w:rsid w:val="00736DD0"/>
    <w:rsid w:val="00736DEF"/>
    <w:rsid w:val="00736E2A"/>
    <w:rsid w:val="00736F79"/>
    <w:rsid w:val="00736F92"/>
    <w:rsid w:val="00736FF6"/>
    <w:rsid w:val="00737001"/>
    <w:rsid w:val="007371A8"/>
    <w:rsid w:val="007371B2"/>
    <w:rsid w:val="00737238"/>
    <w:rsid w:val="007372A7"/>
    <w:rsid w:val="007372AD"/>
    <w:rsid w:val="007372D0"/>
    <w:rsid w:val="00737316"/>
    <w:rsid w:val="0073731C"/>
    <w:rsid w:val="00737322"/>
    <w:rsid w:val="00737334"/>
    <w:rsid w:val="00737397"/>
    <w:rsid w:val="007373BC"/>
    <w:rsid w:val="007373C9"/>
    <w:rsid w:val="007373DA"/>
    <w:rsid w:val="007373E0"/>
    <w:rsid w:val="0073740B"/>
    <w:rsid w:val="0073743B"/>
    <w:rsid w:val="00737463"/>
    <w:rsid w:val="00737520"/>
    <w:rsid w:val="00737557"/>
    <w:rsid w:val="007375BF"/>
    <w:rsid w:val="0073762C"/>
    <w:rsid w:val="00737653"/>
    <w:rsid w:val="007376F5"/>
    <w:rsid w:val="00737706"/>
    <w:rsid w:val="00737790"/>
    <w:rsid w:val="00737854"/>
    <w:rsid w:val="00737869"/>
    <w:rsid w:val="007378EB"/>
    <w:rsid w:val="00737973"/>
    <w:rsid w:val="0073799A"/>
    <w:rsid w:val="007379B7"/>
    <w:rsid w:val="00737A52"/>
    <w:rsid w:val="00737B48"/>
    <w:rsid w:val="00737B4A"/>
    <w:rsid w:val="00737B85"/>
    <w:rsid w:val="00737BD4"/>
    <w:rsid w:val="00737C7A"/>
    <w:rsid w:val="00737CB3"/>
    <w:rsid w:val="00737CD8"/>
    <w:rsid w:val="00737CE7"/>
    <w:rsid w:val="00737D50"/>
    <w:rsid w:val="00737DC5"/>
    <w:rsid w:val="00737E0E"/>
    <w:rsid w:val="00737E19"/>
    <w:rsid w:val="00737E37"/>
    <w:rsid w:val="00737E3B"/>
    <w:rsid w:val="00737E3C"/>
    <w:rsid w:val="00737E40"/>
    <w:rsid w:val="00737E97"/>
    <w:rsid w:val="0073BF28"/>
    <w:rsid w:val="0074000A"/>
    <w:rsid w:val="00740014"/>
    <w:rsid w:val="00740030"/>
    <w:rsid w:val="00740048"/>
    <w:rsid w:val="0074010C"/>
    <w:rsid w:val="0074012E"/>
    <w:rsid w:val="0074013E"/>
    <w:rsid w:val="0074013F"/>
    <w:rsid w:val="00740194"/>
    <w:rsid w:val="00740219"/>
    <w:rsid w:val="0074027F"/>
    <w:rsid w:val="007402C5"/>
    <w:rsid w:val="007402D2"/>
    <w:rsid w:val="007402D3"/>
    <w:rsid w:val="0074035C"/>
    <w:rsid w:val="007403AC"/>
    <w:rsid w:val="007403D1"/>
    <w:rsid w:val="007403D7"/>
    <w:rsid w:val="0074043D"/>
    <w:rsid w:val="007404F1"/>
    <w:rsid w:val="007404FB"/>
    <w:rsid w:val="00740517"/>
    <w:rsid w:val="00740529"/>
    <w:rsid w:val="00740537"/>
    <w:rsid w:val="00740575"/>
    <w:rsid w:val="0074057A"/>
    <w:rsid w:val="007405AD"/>
    <w:rsid w:val="007405B1"/>
    <w:rsid w:val="007405C9"/>
    <w:rsid w:val="007405E1"/>
    <w:rsid w:val="007405F3"/>
    <w:rsid w:val="00740600"/>
    <w:rsid w:val="00740634"/>
    <w:rsid w:val="00740647"/>
    <w:rsid w:val="00740670"/>
    <w:rsid w:val="00740773"/>
    <w:rsid w:val="0074077C"/>
    <w:rsid w:val="007407ED"/>
    <w:rsid w:val="0074080E"/>
    <w:rsid w:val="00740849"/>
    <w:rsid w:val="00740859"/>
    <w:rsid w:val="00740868"/>
    <w:rsid w:val="00740896"/>
    <w:rsid w:val="007408AA"/>
    <w:rsid w:val="007408AC"/>
    <w:rsid w:val="007408DA"/>
    <w:rsid w:val="00740958"/>
    <w:rsid w:val="00740996"/>
    <w:rsid w:val="00740A1D"/>
    <w:rsid w:val="00740A54"/>
    <w:rsid w:val="00740B42"/>
    <w:rsid w:val="00740B95"/>
    <w:rsid w:val="00740B98"/>
    <w:rsid w:val="00740B9F"/>
    <w:rsid w:val="00740BC5"/>
    <w:rsid w:val="00740C38"/>
    <w:rsid w:val="00740D35"/>
    <w:rsid w:val="00740D58"/>
    <w:rsid w:val="00740D6F"/>
    <w:rsid w:val="00740DD7"/>
    <w:rsid w:val="00740E22"/>
    <w:rsid w:val="00740E31"/>
    <w:rsid w:val="00740E68"/>
    <w:rsid w:val="00740E88"/>
    <w:rsid w:val="00740E98"/>
    <w:rsid w:val="00740F51"/>
    <w:rsid w:val="00740F5D"/>
    <w:rsid w:val="0074102D"/>
    <w:rsid w:val="0074102F"/>
    <w:rsid w:val="00741038"/>
    <w:rsid w:val="0074103A"/>
    <w:rsid w:val="00741090"/>
    <w:rsid w:val="007410AA"/>
    <w:rsid w:val="007410C3"/>
    <w:rsid w:val="007410FC"/>
    <w:rsid w:val="007411E4"/>
    <w:rsid w:val="007411EE"/>
    <w:rsid w:val="0074120D"/>
    <w:rsid w:val="00741279"/>
    <w:rsid w:val="00741282"/>
    <w:rsid w:val="007412AB"/>
    <w:rsid w:val="007412E9"/>
    <w:rsid w:val="007412FE"/>
    <w:rsid w:val="00741309"/>
    <w:rsid w:val="0074136E"/>
    <w:rsid w:val="00741436"/>
    <w:rsid w:val="0074144B"/>
    <w:rsid w:val="00741473"/>
    <w:rsid w:val="00741484"/>
    <w:rsid w:val="007414FA"/>
    <w:rsid w:val="00741542"/>
    <w:rsid w:val="007415A6"/>
    <w:rsid w:val="007415C0"/>
    <w:rsid w:val="007415C3"/>
    <w:rsid w:val="00741607"/>
    <w:rsid w:val="00741627"/>
    <w:rsid w:val="00741640"/>
    <w:rsid w:val="00741645"/>
    <w:rsid w:val="00741654"/>
    <w:rsid w:val="007416B2"/>
    <w:rsid w:val="00741761"/>
    <w:rsid w:val="00741798"/>
    <w:rsid w:val="007417E8"/>
    <w:rsid w:val="007417ED"/>
    <w:rsid w:val="00741821"/>
    <w:rsid w:val="0074189C"/>
    <w:rsid w:val="007418A5"/>
    <w:rsid w:val="00741960"/>
    <w:rsid w:val="007419D6"/>
    <w:rsid w:val="00741A30"/>
    <w:rsid w:val="00741A31"/>
    <w:rsid w:val="00741A8C"/>
    <w:rsid w:val="00741AEA"/>
    <w:rsid w:val="00741AFE"/>
    <w:rsid w:val="00741B1C"/>
    <w:rsid w:val="00741B5E"/>
    <w:rsid w:val="00741B75"/>
    <w:rsid w:val="00741B7F"/>
    <w:rsid w:val="00741B91"/>
    <w:rsid w:val="00741BF9"/>
    <w:rsid w:val="00741C3B"/>
    <w:rsid w:val="00741C6F"/>
    <w:rsid w:val="00741C78"/>
    <w:rsid w:val="00741C93"/>
    <w:rsid w:val="00741CAA"/>
    <w:rsid w:val="00741D71"/>
    <w:rsid w:val="00741DEF"/>
    <w:rsid w:val="00741E02"/>
    <w:rsid w:val="00741E09"/>
    <w:rsid w:val="00741E93"/>
    <w:rsid w:val="00741EDD"/>
    <w:rsid w:val="00741EF6"/>
    <w:rsid w:val="00741F50"/>
    <w:rsid w:val="00741FBC"/>
    <w:rsid w:val="00741FBD"/>
    <w:rsid w:val="00741FC7"/>
    <w:rsid w:val="00741FDF"/>
    <w:rsid w:val="00742043"/>
    <w:rsid w:val="0074204F"/>
    <w:rsid w:val="00742078"/>
    <w:rsid w:val="007420D1"/>
    <w:rsid w:val="007421B3"/>
    <w:rsid w:val="007421B9"/>
    <w:rsid w:val="00742215"/>
    <w:rsid w:val="0074223C"/>
    <w:rsid w:val="00742270"/>
    <w:rsid w:val="00742291"/>
    <w:rsid w:val="0074229E"/>
    <w:rsid w:val="007422A4"/>
    <w:rsid w:val="007422D6"/>
    <w:rsid w:val="007422DD"/>
    <w:rsid w:val="00742307"/>
    <w:rsid w:val="00742315"/>
    <w:rsid w:val="0074232A"/>
    <w:rsid w:val="00742331"/>
    <w:rsid w:val="007423BC"/>
    <w:rsid w:val="00742440"/>
    <w:rsid w:val="00742509"/>
    <w:rsid w:val="00742590"/>
    <w:rsid w:val="00742604"/>
    <w:rsid w:val="00742779"/>
    <w:rsid w:val="00742789"/>
    <w:rsid w:val="007427AB"/>
    <w:rsid w:val="007427C5"/>
    <w:rsid w:val="007427E5"/>
    <w:rsid w:val="007427EB"/>
    <w:rsid w:val="00742893"/>
    <w:rsid w:val="0074292C"/>
    <w:rsid w:val="00742974"/>
    <w:rsid w:val="0074297C"/>
    <w:rsid w:val="00742996"/>
    <w:rsid w:val="007429F1"/>
    <w:rsid w:val="00742A01"/>
    <w:rsid w:val="00742A82"/>
    <w:rsid w:val="00742AFE"/>
    <w:rsid w:val="00742B03"/>
    <w:rsid w:val="00742B28"/>
    <w:rsid w:val="00742B67"/>
    <w:rsid w:val="00742B88"/>
    <w:rsid w:val="00742C26"/>
    <w:rsid w:val="00742C42"/>
    <w:rsid w:val="00742C65"/>
    <w:rsid w:val="00742CE2"/>
    <w:rsid w:val="00742D05"/>
    <w:rsid w:val="00742D0D"/>
    <w:rsid w:val="00742D22"/>
    <w:rsid w:val="00742D5E"/>
    <w:rsid w:val="00742D89"/>
    <w:rsid w:val="00742D98"/>
    <w:rsid w:val="00742DCF"/>
    <w:rsid w:val="00742DDD"/>
    <w:rsid w:val="00742E6C"/>
    <w:rsid w:val="00742E8B"/>
    <w:rsid w:val="00742F12"/>
    <w:rsid w:val="00742F34"/>
    <w:rsid w:val="00742F40"/>
    <w:rsid w:val="00743037"/>
    <w:rsid w:val="00743041"/>
    <w:rsid w:val="0074306C"/>
    <w:rsid w:val="007430EB"/>
    <w:rsid w:val="007431A6"/>
    <w:rsid w:val="00743285"/>
    <w:rsid w:val="007432BF"/>
    <w:rsid w:val="0074336E"/>
    <w:rsid w:val="0074337D"/>
    <w:rsid w:val="007433D2"/>
    <w:rsid w:val="007433F6"/>
    <w:rsid w:val="00743425"/>
    <w:rsid w:val="0074346C"/>
    <w:rsid w:val="00743579"/>
    <w:rsid w:val="007435AA"/>
    <w:rsid w:val="007435E3"/>
    <w:rsid w:val="007435F8"/>
    <w:rsid w:val="00743629"/>
    <w:rsid w:val="00743632"/>
    <w:rsid w:val="0074365B"/>
    <w:rsid w:val="00743690"/>
    <w:rsid w:val="007436B5"/>
    <w:rsid w:val="007436DA"/>
    <w:rsid w:val="0074372E"/>
    <w:rsid w:val="00743755"/>
    <w:rsid w:val="0074375F"/>
    <w:rsid w:val="00743777"/>
    <w:rsid w:val="007438A4"/>
    <w:rsid w:val="007438E6"/>
    <w:rsid w:val="007438E8"/>
    <w:rsid w:val="007438FA"/>
    <w:rsid w:val="0074391B"/>
    <w:rsid w:val="00743A1A"/>
    <w:rsid w:val="00743A48"/>
    <w:rsid w:val="00743A6D"/>
    <w:rsid w:val="00743AA6"/>
    <w:rsid w:val="00743AD7"/>
    <w:rsid w:val="00743B18"/>
    <w:rsid w:val="00743B32"/>
    <w:rsid w:val="00743B63"/>
    <w:rsid w:val="00743B67"/>
    <w:rsid w:val="00743B80"/>
    <w:rsid w:val="00743B97"/>
    <w:rsid w:val="00743BF2"/>
    <w:rsid w:val="00743C07"/>
    <w:rsid w:val="00743CB2"/>
    <w:rsid w:val="00743CE3"/>
    <w:rsid w:val="00743D39"/>
    <w:rsid w:val="00743D98"/>
    <w:rsid w:val="00743D9C"/>
    <w:rsid w:val="00743DDF"/>
    <w:rsid w:val="00743E81"/>
    <w:rsid w:val="00743F30"/>
    <w:rsid w:val="00743F60"/>
    <w:rsid w:val="00743F77"/>
    <w:rsid w:val="00743FAC"/>
    <w:rsid w:val="00743FC3"/>
    <w:rsid w:val="00743FEE"/>
    <w:rsid w:val="00744016"/>
    <w:rsid w:val="0074401A"/>
    <w:rsid w:val="00744025"/>
    <w:rsid w:val="0074404E"/>
    <w:rsid w:val="00744084"/>
    <w:rsid w:val="007440E7"/>
    <w:rsid w:val="0074410A"/>
    <w:rsid w:val="00744115"/>
    <w:rsid w:val="00744225"/>
    <w:rsid w:val="00744276"/>
    <w:rsid w:val="00744281"/>
    <w:rsid w:val="00744292"/>
    <w:rsid w:val="0074433D"/>
    <w:rsid w:val="00744473"/>
    <w:rsid w:val="007444BB"/>
    <w:rsid w:val="0074455F"/>
    <w:rsid w:val="007445DB"/>
    <w:rsid w:val="007445F4"/>
    <w:rsid w:val="00744645"/>
    <w:rsid w:val="007446B1"/>
    <w:rsid w:val="007446CD"/>
    <w:rsid w:val="007446EB"/>
    <w:rsid w:val="00744734"/>
    <w:rsid w:val="0074475A"/>
    <w:rsid w:val="00744768"/>
    <w:rsid w:val="007447AD"/>
    <w:rsid w:val="007447CF"/>
    <w:rsid w:val="0074480E"/>
    <w:rsid w:val="007448C7"/>
    <w:rsid w:val="0074496E"/>
    <w:rsid w:val="007449EE"/>
    <w:rsid w:val="007449F8"/>
    <w:rsid w:val="00744A39"/>
    <w:rsid w:val="00744A66"/>
    <w:rsid w:val="00744A7E"/>
    <w:rsid w:val="00744AD0"/>
    <w:rsid w:val="00744AFD"/>
    <w:rsid w:val="00744B02"/>
    <w:rsid w:val="00744B29"/>
    <w:rsid w:val="00744B4C"/>
    <w:rsid w:val="00744C21"/>
    <w:rsid w:val="00744C58"/>
    <w:rsid w:val="00744CB5"/>
    <w:rsid w:val="00744CB9"/>
    <w:rsid w:val="00744CD3"/>
    <w:rsid w:val="00744D46"/>
    <w:rsid w:val="00744D65"/>
    <w:rsid w:val="00744D99"/>
    <w:rsid w:val="00744DA3"/>
    <w:rsid w:val="00744DDC"/>
    <w:rsid w:val="00744DDD"/>
    <w:rsid w:val="00744F36"/>
    <w:rsid w:val="00744F4D"/>
    <w:rsid w:val="00744F61"/>
    <w:rsid w:val="00744FAF"/>
    <w:rsid w:val="00744FD2"/>
    <w:rsid w:val="00745013"/>
    <w:rsid w:val="007450CC"/>
    <w:rsid w:val="00745146"/>
    <w:rsid w:val="00745163"/>
    <w:rsid w:val="00745177"/>
    <w:rsid w:val="00745184"/>
    <w:rsid w:val="0074519B"/>
    <w:rsid w:val="007451F7"/>
    <w:rsid w:val="0074525B"/>
    <w:rsid w:val="0074527B"/>
    <w:rsid w:val="00745286"/>
    <w:rsid w:val="0074529F"/>
    <w:rsid w:val="007452A3"/>
    <w:rsid w:val="007452AB"/>
    <w:rsid w:val="007452C4"/>
    <w:rsid w:val="007453BF"/>
    <w:rsid w:val="0074540D"/>
    <w:rsid w:val="00745417"/>
    <w:rsid w:val="00745474"/>
    <w:rsid w:val="0074547B"/>
    <w:rsid w:val="007454A5"/>
    <w:rsid w:val="007454CD"/>
    <w:rsid w:val="00745541"/>
    <w:rsid w:val="0074555F"/>
    <w:rsid w:val="00745588"/>
    <w:rsid w:val="007455AC"/>
    <w:rsid w:val="0074560E"/>
    <w:rsid w:val="00745693"/>
    <w:rsid w:val="00745705"/>
    <w:rsid w:val="00745707"/>
    <w:rsid w:val="00745708"/>
    <w:rsid w:val="0074575F"/>
    <w:rsid w:val="00745777"/>
    <w:rsid w:val="0074578C"/>
    <w:rsid w:val="007457A4"/>
    <w:rsid w:val="007457C0"/>
    <w:rsid w:val="007457F9"/>
    <w:rsid w:val="007458A9"/>
    <w:rsid w:val="007458EC"/>
    <w:rsid w:val="00745939"/>
    <w:rsid w:val="00745941"/>
    <w:rsid w:val="007459FB"/>
    <w:rsid w:val="007459FE"/>
    <w:rsid w:val="00745A7F"/>
    <w:rsid w:val="00745B25"/>
    <w:rsid w:val="00745B5A"/>
    <w:rsid w:val="00745B61"/>
    <w:rsid w:val="00745BF4"/>
    <w:rsid w:val="00745C48"/>
    <w:rsid w:val="00745C9B"/>
    <w:rsid w:val="00745D0A"/>
    <w:rsid w:val="00745D37"/>
    <w:rsid w:val="00745D47"/>
    <w:rsid w:val="00745D84"/>
    <w:rsid w:val="00745E2D"/>
    <w:rsid w:val="00745E59"/>
    <w:rsid w:val="00745F10"/>
    <w:rsid w:val="00745FA2"/>
    <w:rsid w:val="00746000"/>
    <w:rsid w:val="00746033"/>
    <w:rsid w:val="007460D0"/>
    <w:rsid w:val="007460E0"/>
    <w:rsid w:val="00746104"/>
    <w:rsid w:val="00746114"/>
    <w:rsid w:val="00746150"/>
    <w:rsid w:val="00746182"/>
    <w:rsid w:val="007461A7"/>
    <w:rsid w:val="007461D7"/>
    <w:rsid w:val="0074627D"/>
    <w:rsid w:val="0074629E"/>
    <w:rsid w:val="007462A5"/>
    <w:rsid w:val="007462DB"/>
    <w:rsid w:val="00746305"/>
    <w:rsid w:val="0074639F"/>
    <w:rsid w:val="007463CB"/>
    <w:rsid w:val="007463E7"/>
    <w:rsid w:val="007463F9"/>
    <w:rsid w:val="00746414"/>
    <w:rsid w:val="00746432"/>
    <w:rsid w:val="00746483"/>
    <w:rsid w:val="007464C0"/>
    <w:rsid w:val="007464E6"/>
    <w:rsid w:val="00746517"/>
    <w:rsid w:val="007465A9"/>
    <w:rsid w:val="007465DB"/>
    <w:rsid w:val="0074660C"/>
    <w:rsid w:val="0074663B"/>
    <w:rsid w:val="00746688"/>
    <w:rsid w:val="007466B3"/>
    <w:rsid w:val="007466C9"/>
    <w:rsid w:val="007466E5"/>
    <w:rsid w:val="007467C4"/>
    <w:rsid w:val="00746873"/>
    <w:rsid w:val="00746877"/>
    <w:rsid w:val="0074688E"/>
    <w:rsid w:val="00746897"/>
    <w:rsid w:val="007468B9"/>
    <w:rsid w:val="00746935"/>
    <w:rsid w:val="0074694F"/>
    <w:rsid w:val="00746975"/>
    <w:rsid w:val="00746A00"/>
    <w:rsid w:val="00746A1B"/>
    <w:rsid w:val="00746A1F"/>
    <w:rsid w:val="00746A34"/>
    <w:rsid w:val="00746A58"/>
    <w:rsid w:val="00746A73"/>
    <w:rsid w:val="00746A82"/>
    <w:rsid w:val="00746A85"/>
    <w:rsid w:val="00746AA0"/>
    <w:rsid w:val="00746B3D"/>
    <w:rsid w:val="00746B73"/>
    <w:rsid w:val="00746B83"/>
    <w:rsid w:val="00746B94"/>
    <w:rsid w:val="00746BFB"/>
    <w:rsid w:val="00746C3B"/>
    <w:rsid w:val="00746C74"/>
    <w:rsid w:val="00746CCD"/>
    <w:rsid w:val="00746D91"/>
    <w:rsid w:val="00746DB9"/>
    <w:rsid w:val="00746E00"/>
    <w:rsid w:val="00746E4B"/>
    <w:rsid w:val="00746E81"/>
    <w:rsid w:val="00746EFD"/>
    <w:rsid w:val="00746F44"/>
    <w:rsid w:val="00746F4D"/>
    <w:rsid w:val="00746F6C"/>
    <w:rsid w:val="00746F7E"/>
    <w:rsid w:val="00746FC2"/>
    <w:rsid w:val="00746FD3"/>
    <w:rsid w:val="00746FF9"/>
    <w:rsid w:val="00746FFB"/>
    <w:rsid w:val="00747000"/>
    <w:rsid w:val="0074701A"/>
    <w:rsid w:val="00747059"/>
    <w:rsid w:val="00747071"/>
    <w:rsid w:val="007470C1"/>
    <w:rsid w:val="007470EB"/>
    <w:rsid w:val="00747103"/>
    <w:rsid w:val="00747125"/>
    <w:rsid w:val="00747142"/>
    <w:rsid w:val="0074719F"/>
    <w:rsid w:val="007472B2"/>
    <w:rsid w:val="007472C9"/>
    <w:rsid w:val="007472E6"/>
    <w:rsid w:val="007472F0"/>
    <w:rsid w:val="0074732D"/>
    <w:rsid w:val="00747360"/>
    <w:rsid w:val="00747379"/>
    <w:rsid w:val="0074737C"/>
    <w:rsid w:val="007473A0"/>
    <w:rsid w:val="007473A7"/>
    <w:rsid w:val="007473EB"/>
    <w:rsid w:val="007473F1"/>
    <w:rsid w:val="00747425"/>
    <w:rsid w:val="007474C6"/>
    <w:rsid w:val="007474CB"/>
    <w:rsid w:val="007474D4"/>
    <w:rsid w:val="007474D6"/>
    <w:rsid w:val="00747516"/>
    <w:rsid w:val="00747527"/>
    <w:rsid w:val="0074758C"/>
    <w:rsid w:val="007475EB"/>
    <w:rsid w:val="0074764D"/>
    <w:rsid w:val="0074767E"/>
    <w:rsid w:val="0074768D"/>
    <w:rsid w:val="007476ED"/>
    <w:rsid w:val="007476F4"/>
    <w:rsid w:val="007476F7"/>
    <w:rsid w:val="00747715"/>
    <w:rsid w:val="007477B1"/>
    <w:rsid w:val="00747807"/>
    <w:rsid w:val="00747874"/>
    <w:rsid w:val="007478B3"/>
    <w:rsid w:val="0074796E"/>
    <w:rsid w:val="007479B6"/>
    <w:rsid w:val="007479E7"/>
    <w:rsid w:val="00747AD8"/>
    <w:rsid w:val="00747B28"/>
    <w:rsid w:val="00747B2E"/>
    <w:rsid w:val="00747B6A"/>
    <w:rsid w:val="00747B70"/>
    <w:rsid w:val="00747C48"/>
    <w:rsid w:val="00747C64"/>
    <w:rsid w:val="00747CB4"/>
    <w:rsid w:val="00747CE5"/>
    <w:rsid w:val="00747E2C"/>
    <w:rsid w:val="00747E7D"/>
    <w:rsid w:val="00747EAF"/>
    <w:rsid w:val="00747ED7"/>
    <w:rsid w:val="00747EDD"/>
    <w:rsid w:val="00747EE5"/>
    <w:rsid w:val="00747EF1"/>
    <w:rsid w:val="00747F00"/>
    <w:rsid w:val="00747F04"/>
    <w:rsid w:val="00747F17"/>
    <w:rsid w:val="00747F37"/>
    <w:rsid w:val="00747F53"/>
    <w:rsid w:val="00747F6A"/>
    <w:rsid w:val="007500DD"/>
    <w:rsid w:val="007500F3"/>
    <w:rsid w:val="007500FF"/>
    <w:rsid w:val="0075018E"/>
    <w:rsid w:val="007501DC"/>
    <w:rsid w:val="007502D0"/>
    <w:rsid w:val="00750307"/>
    <w:rsid w:val="0075035F"/>
    <w:rsid w:val="00750417"/>
    <w:rsid w:val="0075042F"/>
    <w:rsid w:val="00750450"/>
    <w:rsid w:val="00750461"/>
    <w:rsid w:val="00750471"/>
    <w:rsid w:val="00750498"/>
    <w:rsid w:val="0075049A"/>
    <w:rsid w:val="007504A7"/>
    <w:rsid w:val="00750554"/>
    <w:rsid w:val="00750571"/>
    <w:rsid w:val="00750585"/>
    <w:rsid w:val="007505B1"/>
    <w:rsid w:val="007505D6"/>
    <w:rsid w:val="007505D7"/>
    <w:rsid w:val="00750638"/>
    <w:rsid w:val="00750653"/>
    <w:rsid w:val="0075065E"/>
    <w:rsid w:val="00750691"/>
    <w:rsid w:val="00750747"/>
    <w:rsid w:val="0075076C"/>
    <w:rsid w:val="00750816"/>
    <w:rsid w:val="00750826"/>
    <w:rsid w:val="00750855"/>
    <w:rsid w:val="0075085D"/>
    <w:rsid w:val="0075091E"/>
    <w:rsid w:val="00750956"/>
    <w:rsid w:val="007509A4"/>
    <w:rsid w:val="007509D2"/>
    <w:rsid w:val="007509E8"/>
    <w:rsid w:val="00750A09"/>
    <w:rsid w:val="00750A37"/>
    <w:rsid w:val="00750A39"/>
    <w:rsid w:val="00750A52"/>
    <w:rsid w:val="00750B58"/>
    <w:rsid w:val="00750BEE"/>
    <w:rsid w:val="00750C97"/>
    <w:rsid w:val="00750CAC"/>
    <w:rsid w:val="00750D1D"/>
    <w:rsid w:val="00750D20"/>
    <w:rsid w:val="00750D46"/>
    <w:rsid w:val="00750D5E"/>
    <w:rsid w:val="00750D64"/>
    <w:rsid w:val="00750E2C"/>
    <w:rsid w:val="00750E3F"/>
    <w:rsid w:val="00750E45"/>
    <w:rsid w:val="00750E81"/>
    <w:rsid w:val="00750EA4"/>
    <w:rsid w:val="00750ECC"/>
    <w:rsid w:val="00750F32"/>
    <w:rsid w:val="00750F54"/>
    <w:rsid w:val="00750F66"/>
    <w:rsid w:val="00750FD5"/>
    <w:rsid w:val="00750FE2"/>
    <w:rsid w:val="00751046"/>
    <w:rsid w:val="00751077"/>
    <w:rsid w:val="007510A6"/>
    <w:rsid w:val="007510BD"/>
    <w:rsid w:val="007510C7"/>
    <w:rsid w:val="0075110B"/>
    <w:rsid w:val="00751133"/>
    <w:rsid w:val="00751169"/>
    <w:rsid w:val="0075122D"/>
    <w:rsid w:val="0075122F"/>
    <w:rsid w:val="00751247"/>
    <w:rsid w:val="007512E1"/>
    <w:rsid w:val="0075131B"/>
    <w:rsid w:val="00751376"/>
    <w:rsid w:val="00751438"/>
    <w:rsid w:val="0075147D"/>
    <w:rsid w:val="0075149E"/>
    <w:rsid w:val="00751511"/>
    <w:rsid w:val="00751516"/>
    <w:rsid w:val="00751665"/>
    <w:rsid w:val="00751669"/>
    <w:rsid w:val="00751697"/>
    <w:rsid w:val="007516BA"/>
    <w:rsid w:val="0075170B"/>
    <w:rsid w:val="00751761"/>
    <w:rsid w:val="00751791"/>
    <w:rsid w:val="00751801"/>
    <w:rsid w:val="00751847"/>
    <w:rsid w:val="00751863"/>
    <w:rsid w:val="00751899"/>
    <w:rsid w:val="007518B3"/>
    <w:rsid w:val="007518EA"/>
    <w:rsid w:val="007518ED"/>
    <w:rsid w:val="007518F6"/>
    <w:rsid w:val="00751900"/>
    <w:rsid w:val="00751959"/>
    <w:rsid w:val="0075199C"/>
    <w:rsid w:val="007519FF"/>
    <w:rsid w:val="00751A20"/>
    <w:rsid w:val="00751A25"/>
    <w:rsid w:val="00751A56"/>
    <w:rsid w:val="00751B3C"/>
    <w:rsid w:val="00751B68"/>
    <w:rsid w:val="00751B89"/>
    <w:rsid w:val="00751BF4"/>
    <w:rsid w:val="00751BF9"/>
    <w:rsid w:val="00751BFF"/>
    <w:rsid w:val="00751C22"/>
    <w:rsid w:val="00751C38"/>
    <w:rsid w:val="00751C5D"/>
    <w:rsid w:val="00751C5F"/>
    <w:rsid w:val="00751C7E"/>
    <w:rsid w:val="00751C89"/>
    <w:rsid w:val="00751C99"/>
    <w:rsid w:val="00751CB9"/>
    <w:rsid w:val="00751CFE"/>
    <w:rsid w:val="00751DEB"/>
    <w:rsid w:val="00751E7D"/>
    <w:rsid w:val="00751E86"/>
    <w:rsid w:val="00751E9D"/>
    <w:rsid w:val="00752016"/>
    <w:rsid w:val="0075201A"/>
    <w:rsid w:val="0075207A"/>
    <w:rsid w:val="007520CD"/>
    <w:rsid w:val="007520F9"/>
    <w:rsid w:val="00752150"/>
    <w:rsid w:val="00752182"/>
    <w:rsid w:val="00752190"/>
    <w:rsid w:val="007521BE"/>
    <w:rsid w:val="007521C7"/>
    <w:rsid w:val="007521DD"/>
    <w:rsid w:val="007521E9"/>
    <w:rsid w:val="007521FB"/>
    <w:rsid w:val="007522F3"/>
    <w:rsid w:val="00752336"/>
    <w:rsid w:val="00752338"/>
    <w:rsid w:val="00752346"/>
    <w:rsid w:val="0075238F"/>
    <w:rsid w:val="0075239F"/>
    <w:rsid w:val="007523F5"/>
    <w:rsid w:val="0075241F"/>
    <w:rsid w:val="00752445"/>
    <w:rsid w:val="0075245C"/>
    <w:rsid w:val="0075245E"/>
    <w:rsid w:val="00752475"/>
    <w:rsid w:val="00752484"/>
    <w:rsid w:val="007524AA"/>
    <w:rsid w:val="007524C8"/>
    <w:rsid w:val="00752527"/>
    <w:rsid w:val="00752545"/>
    <w:rsid w:val="00752554"/>
    <w:rsid w:val="0075258E"/>
    <w:rsid w:val="00752595"/>
    <w:rsid w:val="007525B4"/>
    <w:rsid w:val="007525B6"/>
    <w:rsid w:val="007525C4"/>
    <w:rsid w:val="0075260F"/>
    <w:rsid w:val="00752624"/>
    <w:rsid w:val="0075268F"/>
    <w:rsid w:val="007526E5"/>
    <w:rsid w:val="00752745"/>
    <w:rsid w:val="00752779"/>
    <w:rsid w:val="00752794"/>
    <w:rsid w:val="00752799"/>
    <w:rsid w:val="00752803"/>
    <w:rsid w:val="00752833"/>
    <w:rsid w:val="0075283C"/>
    <w:rsid w:val="007528C2"/>
    <w:rsid w:val="007528C4"/>
    <w:rsid w:val="007528C8"/>
    <w:rsid w:val="007528D7"/>
    <w:rsid w:val="00752940"/>
    <w:rsid w:val="00752967"/>
    <w:rsid w:val="007529D5"/>
    <w:rsid w:val="007529E1"/>
    <w:rsid w:val="007529E5"/>
    <w:rsid w:val="00752AA2"/>
    <w:rsid w:val="00752AD8"/>
    <w:rsid w:val="00752AE8"/>
    <w:rsid w:val="00752B13"/>
    <w:rsid w:val="00752B3E"/>
    <w:rsid w:val="00752BAD"/>
    <w:rsid w:val="00752C38"/>
    <w:rsid w:val="00752C69"/>
    <w:rsid w:val="00752C6B"/>
    <w:rsid w:val="00752CCB"/>
    <w:rsid w:val="00752D7F"/>
    <w:rsid w:val="00752DB6"/>
    <w:rsid w:val="00752EC4"/>
    <w:rsid w:val="00752F50"/>
    <w:rsid w:val="00752F5C"/>
    <w:rsid w:val="00752F7E"/>
    <w:rsid w:val="00752FED"/>
    <w:rsid w:val="0075302E"/>
    <w:rsid w:val="00753044"/>
    <w:rsid w:val="00753095"/>
    <w:rsid w:val="0075311F"/>
    <w:rsid w:val="007531D2"/>
    <w:rsid w:val="007531E0"/>
    <w:rsid w:val="0075323A"/>
    <w:rsid w:val="00753240"/>
    <w:rsid w:val="0075324A"/>
    <w:rsid w:val="007532CD"/>
    <w:rsid w:val="0075333A"/>
    <w:rsid w:val="00753358"/>
    <w:rsid w:val="007533FA"/>
    <w:rsid w:val="00753473"/>
    <w:rsid w:val="00753499"/>
    <w:rsid w:val="00753536"/>
    <w:rsid w:val="00753550"/>
    <w:rsid w:val="0075359B"/>
    <w:rsid w:val="00753601"/>
    <w:rsid w:val="00753633"/>
    <w:rsid w:val="0075369A"/>
    <w:rsid w:val="007536D1"/>
    <w:rsid w:val="0075374B"/>
    <w:rsid w:val="00753757"/>
    <w:rsid w:val="0075378F"/>
    <w:rsid w:val="00753795"/>
    <w:rsid w:val="0075379F"/>
    <w:rsid w:val="007537B3"/>
    <w:rsid w:val="007537CB"/>
    <w:rsid w:val="007538F3"/>
    <w:rsid w:val="007538F5"/>
    <w:rsid w:val="0075392B"/>
    <w:rsid w:val="00753942"/>
    <w:rsid w:val="0075395D"/>
    <w:rsid w:val="0075395E"/>
    <w:rsid w:val="007539E6"/>
    <w:rsid w:val="007539F3"/>
    <w:rsid w:val="00753A43"/>
    <w:rsid w:val="00753A45"/>
    <w:rsid w:val="00753A48"/>
    <w:rsid w:val="00753ABB"/>
    <w:rsid w:val="00753B00"/>
    <w:rsid w:val="00753B59"/>
    <w:rsid w:val="00753C19"/>
    <w:rsid w:val="00753C46"/>
    <w:rsid w:val="00753C7F"/>
    <w:rsid w:val="00753CDB"/>
    <w:rsid w:val="00753CF6"/>
    <w:rsid w:val="00753D15"/>
    <w:rsid w:val="00753D1B"/>
    <w:rsid w:val="00753D66"/>
    <w:rsid w:val="00753DE5"/>
    <w:rsid w:val="00753E21"/>
    <w:rsid w:val="00753E63"/>
    <w:rsid w:val="00753E89"/>
    <w:rsid w:val="00753EB6"/>
    <w:rsid w:val="00753EC0"/>
    <w:rsid w:val="00753EC1"/>
    <w:rsid w:val="00753EE2"/>
    <w:rsid w:val="00753FA2"/>
    <w:rsid w:val="00753FC2"/>
    <w:rsid w:val="00753FC5"/>
    <w:rsid w:val="00753FE4"/>
    <w:rsid w:val="00754035"/>
    <w:rsid w:val="00754061"/>
    <w:rsid w:val="00754067"/>
    <w:rsid w:val="007540EF"/>
    <w:rsid w:val="007540FA"/>
    <w:rsid w:val="00754160"/>
    <w:rsid w:val="007541A7"/>
    <w:rsid w:val="007541AF"/>
    <w:rsid w:val="007541B6"/>
    <w:rsid w:val="007541EC"/>
    <w:rsid w:val="007541EE"/>
    <w:rsid w:val="0075422B"/>
    <w:rsid w:val="00754237"/>
    <w:rsid w:val="0075423B"/>
    <w:rsid w:val="00754281"/>
    <w:rsid w:val="0075429D"/>
    <w:rsid w:val="007542B4"/>
    <w:rsid w:val="0075433E"/>
    <w:rsid w:val="00754345"/>
    <w:rsid w:val="0075438C"/>
    <w:rsid w:val="007544A6"/>
    <w:rsid w:val="00754528"/>
    <w:rsid w:val="00754641"/>
    <w:rsid w:val="00754721"/>
    <w:rsid w:val="00754733"/>
    <w:rsid w:val="007547EF"/>
    <w:rsid w:val="00754807"/>
    <w:rsid w:val="00754852"/>
    <w:rsid w:val="00754892"/>
    <w:rsid w:val="007548A2"/>
    <w:rsid w:val="007548E4"/>
    <w:rsid w:val="00754916"/>
    <w:rsid w:val="00754ABD"/>
    <w:rsid w:val="00754ACE"/>
    <w:rsid w:val="00754AFB"/>
    <w:rsid w:val="00754B2F"/>
    <w:rsid w:val="00754B60"/>
    <w:rsid w:val="00754B62"/>
    <w:rsid w:val="00754B8C"/>
    <w:rsid w:val="00754BC4"/>
    <w:rsid w:val="00754BD9"/>
    <w:rsid w:val="00754C20"/>
    <w:rsid w:val="00754CF2"/>
    <w:rsid w:val="00754D0D"/>
    <w:rsid w:val="00754DBA"/>
    <w:rsid w:val="00754E3E"/>
    <w:rsid w:val="00754ED0"/>
    <w:rsid w:val="00754EE9"/>
    <w:rsid w:val="00754EF7"/>
    <w:rsid w:val="00754F0B"/>
    <w:rsid w:val="00754F50"/>
    <w:rsid w:val="00754FC3"/>
    <w:rsid w:val="0075503F"/>
    <w:rsid w:val="00755051"/>
    <w:rsid w:val="00755088"/>
    <w:rsid w:val="00755089"/>
    <w:rsid w:val="00755166"/>
    <w:rsid w:val="007551B2"/>
    <w:rsid w:val="0075522B"/>
    <w:rsid w:val="007552FD"/>
    <w:rsid w:val="0075531B"/>
    <w:rsid w:val="00755359"/>
    <w:rsid w:val="0075536B"/>
    <w:rsid w:val="007554CE"/>
    <w:rsid w:val="007554E1"/>
    <w:rsid w:val="007555AF"/>
    <w:rsid w:val="0075560C"/>
    <w:rsid w:val="00755685"/>
    <w:rsid w:val="007556B0"/>
    <w:rsid w:val="007556B6"/>
    <w:rsid w:val="007556BC"/>
    <w:rsid w:val="007556E4"/>
    <w:rsid w:val="007556F0"/>
    <w:rsid w:val="007556FD"/>
    <w:rsid w:val="0075572F"/>
    <w:rsid w:val="0075574D"/>
    <w:rsid w:val="00755861"/>
    <w:rsid w:val="0075589E"/>
    <w:rsid w:val="007558CB"/>
    <w:rsid w:val="007559A9"/>
    <w:rsid w:val="00755AF8"/>
    <w:rsid w:val="00755B15"/>
    <w:rsid w:val="00755B35"/>
    <w:rsid w:val="00755BCD"/>
    <w:rsid w:val="00755BF1"/>
    <w:rsid w:val="00755C04"/>
    <w:rsid w:val="00755C0E"/>
    <w:rsid w:val="00755CB6"/>
    <w:rsid w:val="00755DDD"/>
    <w:rsid w:val="00755E01"/>
    <w:rsid w:val="00755E73"/>
    <w:rsid w:val="00755E96"/>
    <w:rsid w:val="00755E9A"/>
    <w:rsid w:val="00755EC0"/>
    <w:rsid w:val="00755F18"/>
    <w:rsid w:val="00755F2E"/>
    <w:rsid w:val="00755F45"/>
    <w:rsid w:val="00755F89"/>
    <w:rsid w:val="00755FAE"/>
    <w:rsid w:val="0075604A"/>
    <w:rsid w:val="00756062"/>
    <w:rsid w:val="00756082"/>
    <w:rsid w:val="007560C0"/>
    <w:rsid w:val="00756130"/>
    <w:rsid w:val="0075617E"/>
    <w:rsid w:val="007561AF"/>
    <w:rsid w:val="007561CC"/>
    <w:rsid w:val="0075620F"/>
    <w:rsid w:val="00756263"/>
    <w:rsid w:val="00756271"/>
    <w:rsid w:val="0075627C"/>
    <w:rsid w:val="007562A0"/>
    <w:rsid w:val="0075633F"/>
    <w:rsid w:val="007563E6"/>
    <w:rsid w:val="00756401"/>
    <w:rsid w:val="00756413"/>
    <w:rsid w:val="00756422"/>
    <w:rsid w:val="00756447"/>
    <w:rsid w:val="007564BA"/>
    <w:rsid w:val="007565C9"/>
    <w:rsid w:val="007565FF"/>
    <w:rsid w:val="0075662B"/>
    <w:rsid w:val="00756666"/>
    <w:rsid w:val="00756674"/>
    <w:rsid w:val="0075669B"/>
    <w:rsid w:val="00756732"/>
    <w:rsid w:val="00756756"/>
    <w:rsid w:val="0075677A"/>
    <w:rsid w:val="007567CC"/>
    <w:rsid w:val="007568AB"/>
    <w:rsid w:val="007569AC"/>
    <w:rsid w:val="00756A00"/>
    <w:rsid w:val="00756A04"/>
    <w:rsid w:val="00756A12"/>
    <w:rsid w:val="00756A8D"/>
    <w:rsid w:val="00756AC8"/>
    <w:rsid w:val="00756B43"/>
    <w:rsid w:val="00756B5E"/>
    <w:rsid w:val="00756BC4"/>
    <w:rsid w:val="00756C3C"/>
    <w:rsid w:val="00756C47"/>
    <w:rsid w:val="00756CEA"/>
    <w:rsid w:val="00756CFA"/>
    <w:rsid w:val="00756D7F"/>
    <w:rsid w:val="00756DA8"/>
    <w:rsid w:val="00756E24"/>
    <w:rsid w:val="00756E6E"/>
    <w:rsid w:val="00756E9F"/>
    <w:rsid w:val="00756EC4"/>
    <w:rsid w:val="00756F32"/>
    <w:rsid w:val="00756F36"/>
    <w:rsid w:val="00756F4F"/>
    <w:rsid w:val="00756F77"/>
    <w:rsid w:val="00756FE2"/>
    <w:rsid w:val="0075701E"/>
    <w:rsid w:val="00757033"/>
    <w:rsid w:val="00757096"/>
    <w:rsid w:val="007570AE"/>
    <w:rsid w:val="007570C6"/>
    <w:rsid w:val="00757178"/>
    <w:rsid w:val="0075719E"/>
    <w:rsid w:val="007571B9"/>
    <w:rsid w:val="007571C5"/>
    <w:rsid w:val="00757254"/>
    <w:rsid w:val="0075729C"/>
    <w:rsid w:val="007572F9"/>
    <w:rsid w:val="0075733D"/>
    <w:rsid w:val="0075738D"/>
    <w:rsid w:val="00757390"/>
    <w:rsid w:val="007573B8"/>
    <w:rsid w:val="007573D2"/>
    <w:rsid w:val="00757517"/>
    <w:rsid w:val="00757523"/>
    <w:rsid w:val="0075753E"/>
    <w:rsid w:val="0075756A"/>
    <w:rsid w:val="0075757B"/>
    <w:rsid w:val="0075757C"/>
    <w:rsid w:val="0075759B"/>
    <w:rsid w:val="007575A8"/>
    <w:rsid w:val="007575F5"/>
    <w:rsid w:val="0075768F"/>
    <w:rsid w:val="007576AC"/>
    <w:rsid w:val="00757706"/>
    <w:rsid w:val="00757729"/>
    <w:rsid w:val="0075773D"/>
    <w:rsid w:val="007577DA"/>
    <w:rsid w:val="007577FD"/>
    <w:rsid w:val="0075784D"/>
    <w:rsid w:val="00757850"/>
    <w:rsid w:val="0075786D"/>
    <w:rsid w:val="0075787B"/>
    <w:rsid w:val="007578AF"/>
    <w:rsid w:val="007578D5"/>
    <w:rsid w:val="007578E2"/>
    <w:rsid w:val="007578E9"/>
    <w:rsid w:val="0075791E"/>
    <w:rsid w:val="0075793F"/>
    <w:rsid w:val="00757986"/>
    <w:rsid w:val="00757994"/>
    <w:rsid w:val="007579A8"/>
    <w:rsid w:val="007579B3"/>
    <w:rsid w:val="007579E4"/>
    <w:rsid w:val="00757A38"/>
    <w:rsid w:val="00757A6C"/>
    <w:rsid w:val="00757A94"/>
    <w:rsid w:val="00757B48"/>
    <w:rsid w:val="00757B50"/>
    <w:rsid w:val="00757BFC"/>
    <w:rsid w:val="00757C1E"/>
    <w:rsid w:val="00757C58"/>
    <w:rsid w:val="00757C7A"/>
    <w:rsid w:val="00757C85"/>
    <w:rsid w:val="00757CA2"/>
    <w:rsid w:val="00757D7C"/>
    <w:rsid w:val="00757E48"/>
    <w:rsid w:val="00757E5A"/>
    <w:rsid w:val="00757E69"/>
    <w:rsid w:val="00757E74"/>
    <w:rsid w:val="00757F1C"/>
    <w:rsid w:val="00757FAD"/>
    <w:rsid w:val="00760001"/>
    <w:rsid w:val="00760002"/>
    <w:rsid w:val="00760015"/>
    <w:rsid w:val="0076009A"/>
    <w:rsid w:val="007600C2"/>
    <w:rsid w:val="00760159"/>
    <w:rsid w:val="007601DA"/>
    <w:rsid w:val="00760239"/>
    <w:rsid w:val="007602DC"/>
    <w:rsid w:val="007602EF"/>
    <w:rsid w:val="00760354"/>
    <w:rsid w:val="00760358"/>
    <w:rsid w:val="00760407"/>
    <w:rsid w:val="0076047C"/>
    <w:rsid w:val="007604FF"/>
    <w:rsid w:val="00760596"/>
    <w:rsid w:val="007605D5"/>
    <w:rsid w:val="007605EE"/>
    <w:rsid w:val="007605FC"/>
    <w:rsid w:val="0076065D"/>
    <w:rsid w:val="00760682"/>
    <w:rsid w:val="0076069A"/>
    <w:rsid w:val="007606B0"/>
    <w:rsid w:val="00760764"/>
    <w:rsid w:val="007607DB"/>
    <w:rsid w:val="007607EB"/>
    <w:rsid w:val="0076083C"/>
    <w:rsid w:val="0076084D"/>
    <w:rsid w:val="00760926"/>
    <w:rsid w:val="0076094D"/>
    <w:rsid w:val="0076098B"/>
    <w:rsid w:val="007609A0"/>
    <w:rsid w:val="007609EE"/>
    <w:rsid w:val="00760A38"/>
    <w:rsid w:val="00760A64"/>
    <w:rsid w:val="00760AB0"/>
    <w:rsid w:val="00760ACE"/>
    <w:rsid w:val="00760AF4"/>
    <w:rsid w:val="00760B18"/>
    <w:rsid w:val="00760B22"/>
    <w:rsid w:val="00760B5E"/>
    <w:rsid w:val="00760B8A"/>
    <w:rsid w:val="00760BB8"/>
    <w:rsid w:val="00760BE1"/>
    <w:rsid w:val="00760BF5"/>
    <w:rsid w:val="00760C9C"/>
    <w:rsid w:val="00760D91"/>
    <w:rsid w:val="00760DD2"/>
    <w:rsid w:val="00760E32"/>
    <w:rsid w:val="00760E38"/>
    <w:rsid w:val="00760E4A"/>
    <w:rsid w:val="00760E55"/>
    <w:rsid w:val="00760E86"/>
    <w:rsid w:val="00760E88"/>
    <w:rsid w:val="00760ED5"/>
    <w:rsid w:val="00760FA4"/>
    <w:rsid w:val="00760FA8"/>
    <w:rsid w:val="00760FC5"/>
    <w:rsid w:val="00760FC8"/>
    <w:rsid w:val="00761041"/>
    <w:rsid w:val="00761056"/>
    <w:rsid w:val="00761058"/>
    <w:rsid w:val="00761061"/>
    <w:rsid w:val="00761128"/>
    <w:rsid w:val="0076112C"/>
    <w:rsid w:val="00761139"/>
    <w:rsid w:val="00761180"/>
    <w:rsid w:val="00761183"/>
    <w:rsid w:val="0076125A"/>
    <w:rsid w:val="0076130A"/>
    <w:rsid w:val="007613A1"/>
    <w:rsid w:val="007613C5"/>
    <w:rsid w:val="007613E2"/>
    <w:rsid w:val="00761416"/>
    <w:rsid w:val="00761420"/>
    <w:rsid w:val="00761458"/>
    <w:rsid w:val="00761460"/>
    <w:rsid w:val="00761486"/>
    <w:rsid w:val="007614BB"/>
    <w:rsid w:val="0076151D"/>
    <w:rsid w:val="00761581"/>
    <w:rsid w:val="00761593"/>
    <w:rsid w:val="007615B6"/>
    <w:rsid w:val="007615BD"/>
    <w:rsid w:val="0076163A"/>
    <w:rsid w:val="0076169A"/>
    <w:rsid w:val="007616C3"/>
    <w:rsid w:val="007616CD"/>
    <w:rsid w:val="00761706"/>
    <w:rsid w:val="00761729"/>
    <w:rsid w:val="00761733"/>
    <w:rsid w:val="00761749"/>
    <w:rsid w:val="0076176E"/>
    <w:rsid w:val="0076179E"/>
    <w:rsid w:val="007617D3"/>
    <w:rsid w:val="007617E9"/>
    <w:rsid w:val="0076193C"/>
    <w:rsid w:val="0076195A"/>
    <w:rsid w:val="007619C7"/>
    <w:rsid w:val="00761A0A"/>
    <w:rsid w:val="00761A0D"/>
    <w:rsid w:val="00761A16"/>
    <w:rsid w:val="00761A2E"/>
    <w:rsid w:val="00761A64"/>
    <w:rsid w:val="00761A76"/>
    <w:rsid w:val="00761A7C"/>
    <w:rsid w:val="00761B46"/>
    <w:rsid w:val="00761B4D"/>
    <w:rsid w:val="00761B8A"/>
    <w:rsid w:val="00761B95"/>
    <w:rsid w:val="00761C10"/>
    <w:rsid w:val="00761C36"/>
    <w:rsid w:val="00761C41"/>
    <w:rsid w:val="00761C42"/>
    <w:rsid w:val="00761C5D"/>
    <w:rsid w:val="00761CE4"/>
    <w:rsid w:val="00761CEA"/>
    <w:rsid w:val="00761D21"/>
    <w:rsid w:val="00761D44"/>
    <w:rsid w:val="00761D58"/>
    <w:rsid w:val="00761D77"/>
    <w:rsid w:val="00761DAC"/>
    <w:rsid w:val="00761DEE"/>
    <w:rsid w:val="00761E66"/>
    <w:rsid w:val="00761E92"/>
    <w:rsid w:val="00761F1B"/>
    <w:rsid w:val="00761F52"/>
    <w:rsid w:val="00761FBD"/>
    <w:rsid w:val="00762011"/>
    <w:rsid w:val="0076201D"/>
    <w:rsid w:val="00762070"/>
    <w:rsid w:val="007620DD"/>
    <w:rsid w:val="0076218D"/>
    <w:rsid w:val="007621A1"/>
    <w:rsid w:val="007621A7"/>
    <w:rsid w:val="007621E0"/>
    <w:rsid w:val="00762260"/>
    <w:rsid w:val="00762381"/>
    <w:rsid w:val="007623B4"/>
    <w:rsid w:val="007623B6"/>
    <w:rsid w:val="007623C9"/>
    <w:rsid w:val="007623F9"/>
    <w:rsid w:val="007624FD"/>
    <w:rsid w:val="007625F9"/>
    <w:rsid w:val="00762607"/>
    <w:rsid w:val="00762629"/>
    <w:rsid w:val="00762684"/>
    <w:rsid w:val="007626B5"/>
    <w:rsid w:val="007626C0"/>
    <w:rsid w:val="007626DB"/>
    <w:rsid w:val="007626F3"/>
    <w:rsid w:val="00762706"/>
    <w:rsid w:val="0076279F"/>
    <w:rsid w:val="007627AA"/>
    <w:rsid w:val="007627E4"/>
    <w:rsid w:val="0076282C"/>
    <w:rsid w:val="0076283B"/>
    <w:rsid w:val="00762944"/>
    <w:rsid w:val="007629C0"/>
    <w:rsid w:val="007629C5"/>
    <w:rsid w:val="00762A4A"/>
    <w:rsid w:val="00762B2C"/>
    <w:rsid w:val="00762B39"/>
    <w:rsid w:val="00762B3C"/>
    <w:rsid w:val="00762B6A"/>
    <w:rsid w:val="00762BCC"/>
    <w:rsid w:val="00762C32"/>
    <w:rsid w:val="00762D0F"/>
    <w:rsid w:val="00762D18"/>
    <w:rsid w:val="00762E68"/>
    <w:rsid w:val="00762EB9"/>
    <w:rsid w:val="00762EC2"/>
    <w:rsid w:val="00762F84"/>
    <w:rsid w:val="00762F85"/>
    <w:rsid w:val="00762F89"/>
    <w:rsid w:val="00762FC7"/>
    <w:rsid w:val="0076302D"/>
    <w:rsid w:val="007630DA"/>
    <w:rsid w:val="007630F9"/>
    <w:rsid w:val="0076310B"/>
    <w:rsid w:val="00763119"/>
    <w:rsid w:val="0076318A"/>
    <w:rsid w:val="0076320B"/>
    <w:rsid w:val="0076323A"/>
    <w:rsid w:val="0076325F"/>
    <w:rsid w:val="0076328A"/>
    <w:rsid w:val="00763299"/>
    <w:rsid w:val="007632E6"/>
    <w:rsid w:val="0076339A"/>
    <w:rsid w:val="007633AF"/>
    <w:rsid w:val="007633FA"/>
    <w:rsid w:val="0076340F"/>
    <w:rsid w:val="007634E0"/>
    <w:rsid w:val="00763506"/>
    <w:rsid w:val="0076354A"/>
    <w:rsid w:val="00763557"/>
    <w:rsid w:val="00763558"/>
    <w:rsid w:val="00763563"/>
    <w:rsid w:val="00763570"/>
    <w:rsid w:val="007635B9"/>
    <w:rsid w:val="007635F6"/>
    <w:rsid w:val="00763651"/>
    <w:rsid w:val="0076366E"/>
    <w:rsid w:val="00763686"/>
    <w:rsid w:val="007636C3"/>
    <w:rsid w:val="007636D3"/>
    <w:rsid w:val="0076372B"/>
    <w:rsid w:val="00763795"/>
    <w:rsid w:val="00763796"/>
    <w:rsid w:val="007637AF"/>
    <w:rsid w:val="007637F8"/>
    <w:rsid w:val="00763861"/>
    <w:rsid w:val="0076387E"/>
    <w:rsid w:val="00763884"/>
    <w:rsid w:val="007638F0"/>
    <w:rsid w:val="007638FE"/>
    <w:rsid w:val="00763950"/>
    <w:rsid w:val="0076398C"/>
    <w:rsid w:val="0076398E"/>
    <w:rsid w:val="00763991"/>
    <w:rsid w:val="007639A2"/>
    <w:rsid w:val="00763A09"/>
    <w:rsid w:val="00763A50"/>
    <w:rsid w:val="00763A5F"/>
    <w:rsid w:val="00763AA1"/>
    <w:rsid w:val="00763AC2"/>
    <w:rsid w:val="00763AE0"/>
    <w:rsid w:val="00763B06"/>
    <w:rsid w:val="00763B27"/>
    <w:rsid w:val="00763B2B"/>
    <w:rsid w:val="00763B39"/>
    <w:rsid w:val="00763B85"/>
    <w:rsid w:val="00763BA2"/>
    <w:rsid w:val="00763BF4"/>
    <w:rsid w:val="00763C48"/>
    <w:rsid w:val="00763C49"/>
    <w:rsid w:val="00763CCC"/>
    <w:rsid w:val="00763CCE"/>
    <w:rsid w:val="00763D1A"/>
    <w:rsid w:val="00763D1D"/>
    <w:rsid w:val="00763D35"/>
    <w:rsid w:val="00763D6A"/>
    <w:rsid w:val="00763DC2"/>
    <w:rsid w:val="00763DC4"/>
    <w:rsid w:val="00763E35"/>
    <w:rsid w:val="00763E51"/>
    <w:rsid w:val="00763E68"/>
    <w:rsid w:val="00763E9B"/>
    <w:rsid w:val="00763EC7"/>
    <w:rsid w:val="00763EDE"/>
    <w:rsid w:val="00763EF0"/>
    <w:rsid w:val="00763F0C"/>
    <w:rsid w:val="00763F1F"/>
    <w:rsid w:val="00763F24"/>
    <w:rsid w:val="00763FED"/>
    <w:rsid w:val="00764025"/>
    <w:rsid w:val="00764036"/>
    <w:rsid w:val="00764074"/>
    <w:rsid w:val="0076407B"/>
    <w:rsid w:val="00764120"/>
    <w:rsid w:val="0076417E"/>
    <w:rsid w:val="007641DF"/>
    <w:rsid w:val="00764226"/>
    <w:rsid w:val="007642A4"/>
    <w:rsid w:val="007642ED"/>
    <w:rsid w:val="00764306"/>
    <w:rsid w:val="00764308"/>
    <w:rsid w:val="0076430E"/>
    <w:rsid w:val="00764319"/>
    <w:rsid w:val="00764339"/>
    <w:rsid w:val="007643E4"/>
    <w:rsid w:val="007643F3"/>
    <w:rsid w:val="00764438"/>
    <w:rsid w:val="0076446C"/>
    <w:rsid w:val="00764479"/>
    <w:rsid w:val="007644DF"/>
    <w:rsid w:val="007644EF"/>
    <w:rsid w:val="0076452B"/>
    <w:rsid w:val="00764588"/>
    <w:rsid w:val="007645C4"/>
    <w:rsid w:val="007645C9"/>
    <w:rsid w:val="0076460E"/>
    <w:rsid w:val="007646B7"/>
    <w:rsid w:val="007646CE"/>
    <w:rsid w:val="00764814"/>
    <w:rsid w:val="0076483C"/>
    <w:rsid w:val="00764845"/>
    <w:rsid w:val="00764858"/>
    <w:rsid w:val="007648C3"/>
    <w:rsid w:val="00764980"/>
    <w:rsid w:val="00764A63"/>
    <w:rsid w:val="00764A66"/>
    <w:rsid w:val="00764AC6"/>
    <w:rsid w:val="00764AE5"/>
    <w:rsid w:val="00764B12"/>
    <w:rsid w:val="00764B3F"/>
    <w:rsid w:val="00764B63"/>
    <w:rsid w:val="00764BB5"/>
    <w:rsid w:val="00764BE3"/>
    <w:rsid w:val="00764C1B"/>
    <w:rsid w:val="00764C2C"/>
    <w:rsid w:val="00764CCE"/>
    <w:rsid w:val="00764D33"/>
    <w:rsid w:val="00764D55"/>
    <w:rsid w:val="00764D63"/>
    <w:rsid w:val="00764D75"/>
    <w:rsid w:val="00764D7F"/>
    <w:rsid w:val="00764DF9"/>
    <w:rsid w:val="00764E0F"/>
    <w:rsid w:val="00764E3A"/>
    <w:rsid w:val="00764E42"/>
    <w:rsid w:val="00764E84"/>
    <w:rsid w:val="00764F44"/>
    <w:rsid w:val="00764F4A"/>
    <w:rsid w:val="00764F69"/>
    <w:rsid w:val="00765078"/>
    <w:rsid w:val="007651E9"/>
    <w:rsid w:val="0076520A"/>
    <w:rsid w:val="00765218"/>
    <w:rsid w:val="0076525F"/>
    <w:rsid w:val="00765298"/>
    <w:rsid w:val="007652A2"/>
    <w:rsid w:val="007652C7"/>
    <w:rsid w:val="0076538B"/>
    <w:rsid w:val="0076539C"/>
    <w:rsid w:val="007653BD"/>
    <w:rsid w:val="00765462"/>
    <w:rsid w:val="00765465"/>
    <w:rsid w:val="007654AD"/>
    <w:rsid w:val="007654C0"/>
    <w:rsid w:val="0076550D"/>
    <w:rsid w:val="00765527"/>
    <w:rsid w:val="0076552B"/>
    <w:rsid w:val="00765568"/>
    <w:rsid w:val="007655A3"/>
    <w:rsid w:val="007655CC"/>
    <w:rsid w:val="0076562C"/>
    <w:rsid w:val="00765676"/>
    <w:rsid w:val="0076567E"/>
    <w:rsid w:val="007656B9"/>
    <w:rsid w:val="007656FD"/>
    <w:rsid w:val="00765733"/>
    <w:rsid w:val="00765746"/>
    <w:rsid w:val="00765774"/>
    <w:rsid w:val="0076579E"/>
    <w:rsid w:val="00765817"/>
    <w:rsid w:val="00765823"/>
    <w:rsid w:val="007658A8"/>
    <w:rsid w:val="007658D0"/>
    <w:rsid w:val="007658E5"/>
    <w:rsid w:val="00765908"/>
    <w:rsid w:val="00765964"/>
    <w:rsid w:val="0076596D"/>
    <w:rsid w:val="0076599B"/>
    <w:rsid w:val="007659AE"/>
    <w:rsid w:val="007659B8"/>
    <w:rsid w:val="00765AA8"/>
    <w:rsid w:val="00765AB3"/>
    <w:rsid w:val="00765AD2"/>
    <w:rsid w:val="00765AFD"/>
    <w:rsid w:val="00765B02"/>
    <w:rsid w:val="00765C49"/>
    <w:rsid w:val="00765C5C"/>
    <w:rsid w:val="00765C5F"/>
    <w:rsid w:val="00765D34"/>
    <w:rsid w:val="00765D3C"/>
    <w:rsid w:val="00765D48"/>
    <w:rsid w:val="00765DA1"/>
    <w:rsid w:val="00765DF3"/>
    <w:rsid w:val="00765E7E"/>
    <w:rsid w:val="00765EDF"/>
    <w:rsid w:val="00765EF2"/>
    <w:rsid w:val="00765F0D"/>
    <w:rsid w:val="00765F36"/>
    <w:rsid w:val="00765F4D"/>
    <w:rsid w:val="00765F87"/>
    <w:rsid w:val="00766049"/>
    <w:rsid w:val="00766079"/>
    <w:rsid w:val="0076610D"/>
    <w:rsid w:val="00766134"/>
    <w:rsid w:val="00766194"/>
    <w:rsid w:val="0076620F"/>
    <w:rsid w:val="00766213"/>
    <w:rsid w:val="00766220"/>
    <w:rsid w:val="00766226"/>
    <w:rsid w:val="0076623C"/>
    <w:rsid w:val="00766263"/>
    <w:rsid w:val="00766283"/>
    <w:rsid w:val="007662A4"/>
    <w:rsid w:val="007662E4"/>
    <w:rsid w:val="007662EB"/>
    <w:rsid w:val="007662F0"/>
    <w:rsid w:val="00766315"/>
    <w:rsid w:val="00766364"/>
    <w:rsid w:val="0076636B"/>
    <w:rsid w:val="00766374"/>
    <w:rsid w:val="007663D1"/>
    <w:rsid w:val="007663F2"/>
    <w:rsid w:val="0076646E"/>
    <w:rsid w:val="007664E9"/>
    <w:rsid w:val="00766503"/>
    <w:rsid w:val="00766539"/>
    <w:rsid w:val="0076665F"/>
    <w:rsid w:val="00766678"/>
    <w:rsid w:val="00766693"/>
    <w:rsid w:val="007666B9"/>
    <w:rsid w:val="00766734"/>
    <w:rsid w:val="0076675A"/>
    <w:rsid w:val="0076677A"/>
    <w:rsid w:val="007667AF"/>
    <w:rsid w:val="007667B6"/>
    <w:rsid w:val="007667E8"/>
    <w:rsid w:val="007667F7"/>
    <w:rsid w:val="00766808"/>
    <w:rsid w:val="00766833"/>
    <w:rsid w:val="0076684B"/>
    <w:rsid w:val="00766850"/>
    <w:rsid w:val="00766861"/>
    <w:rsid w:val="00766862"/>
    <w:rsid w:val="007669A3"/>
    <w:rsid w:val="00766A25"/>
    <w:rsid w:val="00766A2C"/>
    <w:rsid w:val="00766A61"/>
    <w:rsid w:val="00766A9E"/>
    <w:rsid w:val="00766B0E"/>
    <w:rsid w:val="00766B2F"/>
    <w:rsid w:val="00766B91"/>
    <w:rsid w:val="00766BDD"/>
    <w:rsid w:val="00766C15"/>
    <w:rsid w:val="00766C33"/>
    <w:rsid w:val="00766C39"/>
    <w:rsid w:val="00766CE9"/>
    <w:rsid w:val="00766D0B"/>
    <w:rsid w:val="00766DAF"/>
    <w:rsid w:val="00766DF5"/>
    <w:rsid w:val="00766DFD"/>
    <w:rsid w:val="00766E34"/>
    <w:rsid w:val="00766E66"/>
    <w:rsid w:val="00766EB0"/>
    <w:rsid w:val="00766EBB"/>
    <w:rsid w:val="00766EBE"/>
    <w:rsid w:val="00766F36"/>
    <w:rsid w:val="00766F48"/>
    <w:rsid w:val="00766F51"/>
    <w:rsid w:val="00766F62"/>
    <w:rsid w:val="00766F99"/>
    <w:rsid w:val="00766FEC"/>
    <w:rsid w:val="00767061"/>
    <w:rsid w:val="00767082"/>
    <w:rsid w:val="007670CE"/>
    <w:rsid w:val="007670FE"/>
    <w:rsid w:val="00767136"/>
    <w:rsid w:val="00767173"/>
    <w:rsid w:val="0076717A"/>
    <w:rsid w:val="00767242"/>
    <w:rsid w:val="0076728E"/>
    <w:rsid w:val="007672B3"/>
    <w:rsid w:val="007672C8"/>
    <w:rsid w:val="007672FC"/>
    <w:rsid w:val="00767356"/>
    <w:rsid w:val="00767379"/>
    <w:rsid w:val="00767399"/>
    <w:rsid w:val="007673C0"/>
    <w:rsid w:val="007674BB"/>
    <w:rsid w:val="0076757D"/>
    <w:rsid w:val="0076757E"/>
    <w:rsid w:val="0076760C"/>
    <w:rsid w:val="00767623"/>
    <w:rsid w:val="00767648"/>
    <w:rsid w:val="00767665"/>
    <w:rsid w:val="0076768D"/>
    <w:rsid w:val="007676B6"/>
    <w:rsid w:val="007676BB"/>
    <w:rsid w:val="007676FC"/>
    <w:rsid w:val="00767718"/>
    <w:rsid w:val="0076778E"/>
    <w:rsid w:val="007677E8"/>
    <w:rsid w:val="007677F5"/>
    <w:rsid w:val="00767802"/>
    <w:rsid w:val="0076780C"/>
    <w:rsid w:val="00767827"/>
    <w:rsid w:val="0076785B"/>
    <w:rsid w:val="007678B7"/>
    <w:rsid w:val="007678BA"/>
    <w:rsid w:val="007678DE"/>
    <w:rsid w:val="00767903"/>
    <w:rsid w:val="00767961"/>
    <w:rsid w:val="007679A1"/>
    <w:rsid w:val="007679E9"/>
    <w:rsid w:val="00767A29"/>
    <w:rsid w:val="00767A2B"/>
    <w:rsid w:val="00767A40"/>
    <w:rsid w:val="00767A49"/>
    <w:rsid w:val="00767A58"/>
    <w:rsid w:val="00767A88"/>
    <w:rsid w:val="00767A92"/>
    <w:rsid w:val="00767B85"/>
    <w:rsid w:val="00767CDF"/>
    <w:rsid w:val="00767D3F"/>
    <w:rsid w:val="00767D84"/>
    <w:rsid w:val="00767E09"/>
    <w:rsid w:val="00767E63"/>
    <w:rsid w:val="00767EAC"/>
    <w:rsid w:val="00767ECF"/>
    <w:rsid w:val="00767F28"/>
    <w:rsid w:val="00767F74"/>
    <w:rsid w:val="00767F89"/>
    <w:rsid w:val="00767FBB"/>
    <w:rsid w:val="00767FDC"/>
    <w:rsid w:val="007693B7"/>
    <w:rsid w:val="0076CB04"/>
    <w:rsid w:val="007700F8"/>
    <w:rsid w:val="00770131"/>
    <w:rsid w:val="007701B3"/>
    <w:rsid w:val="007701BF"/>
    <w:rsid w:val="00770208"/>
    <w:rsid w:val="0077024C"/>
    <w:rsid w:val="0077027E"/>
    <w:rsid w:val="0077028A"/>
    <w:rsid w:val="007702F3"/>
    <w:rsid w:val="007702F8"/>
    <w:rsid w:val="007702FA"/>
    <w:rsid w:val="007702FE"/>
    <w:rsid w:val="00770312"/>
    <w:rsid w:val="00770353"/>
    <w:rsid w:val="00770363"/>
    <w:rsid w:val="007703D7"/>
    <w:rsid w:val="007703F9"/>
    <w:rsid w:val="007703FA"/>
    <w:rsid w:val="007704D1"/>
    <w:rsid w:val="0077053A"/>
    <w:rsid w:val="00770545"/>
    <w:rsid w:val="00770572"/>
    <w:rsid w:val="007705C9"/>
    <w:rsid w:val="007705D4"/>
    <w:rsid w:val="007705E3"/>
    <w:rsid w:val="007705FA"/>
    <w:rsid w:val="00770601"/>
    <w:rsid w:val="00770615"/>
    <w:rsid w:val="00770618"/>
    <w:rsid w:val="00770626"/>
    <w:rsid w:val="0077066B"/>
    <w:rsid w:val="0077069C"/>
    <w:rsid w:val="007706A3"/>
    <w:rsid w:val="007706C8"/>
    <w:rsid w:val="007706F5"/>
    <w:rsid w:val="00770793"/>
    <w:rsid w:val="00770806"/>
    <w:rsid w:val="0077080E"/>
    <w:rsid w:val="00770835"/>
    <w:rsid w:val="00770843"/>
    <w:rsid w:val="00770967"/>
    <w:rsid w:val="00770982"/>
    <w:rsid w:val="007709F0"/>
    <w:rsid w:val="00770A4F"/>
    <w:rsid w:val="00770A58"/>
    <w:rsid w:val="00770AB8"/>
    <w:rsid w:val="00770BA9"/>
    <w:rsid w:val="00770BB3"/>
    <w:rsid w:val="00770BF3"/>
    <w:rsid w:val="00770C29"/>
    <w:rsid w:val="00770C7F"/>
    <w:rsid w:val="00770C82"/>
    <w:rsid w:val="00770C8B"/>
    <w:rsid w:val="00770C93"/>
    <w:rsid w:val="00770C98"/>
    <w:rsid w:val="00770D1D"/>
    <w:rsid w:val="00770D94"/>
    <w:rsid w:val="00770DB0"/>
    <w:rsid w:val="00770E8D"/>
    <w:rsid w:val="00770F4E"/>
    <w:rsid w:val="00770F88"/>
    <w:rsid w:val="007710A2"/>
    <w:rsid w:val="007710B5"/>
    <w:rsid w:val="007710BF"/>
    <w:rsid w:val="00771122"/>
    <w:rsid w:val="0077124C"/>
    <w:rsid w:val="00771264"/>
    <w:rsid w:val="007712F9"/>
    <w:rsid w:val="007713AA"/>
    <w:rsid w:val="007713D8"/>
    <w:rsid w:val="00771425"/>
    <w:rsid w:val="00771492"/>
    <w:rsid w:val="007715D1"/>
    <w:rsid w:val="007715E4"/>
    <w:rsid w:val="00771667"/>
    <w:rsid w:val="0077167C"/>
    <w:rsid w:val="007716BD"/>
    <w:rsid w:val="00771780"/>
    <w:rsid w:val="007717A5"/>
    <w:rsid w:val="007717C9"/>
    <w:rsid w:val="00771845"/>
    <w:rsid w:val="00771873"/>
    <w:rsid w:val="00771888"/>
    <w:rsid w:val="007718AC"/>
    <w:rsid w:val="007718BC"/>
    <w:rsid w:val="007718FB"/>
    <w:rsid w:val="0077192F"/>
    <w:rsid w:val="00771975"/>
    <w:rsid w:val="007719A8"/>
    <w:rsid w:val="007719BA"/>
    <w:rsid w:val="007719E5"/>
    <w:rsid w:val="007719EB"/>
    <w:rsid w:val="00771A32"/>
    <w:rsid w:val="00771A49"/>
    <w:rsid w:val="00771A4F"/>
    <w:rsid w:val="00771A82"/>
    <w:rsid w:val="00771BE3"/>
    <w:rsid w:val="00771C9A"/>
    <w:rsid w:val="00771CAA"/>
    <w:rsid w:val="00771CB7"/>
    <w:rsid w:val="00771CC6"/>
    <w:rsid w:val="00771CF3"/>
    <w:rsid w:val="00771D02"/>
    <w:rsid w:val="00771DD9"/>
    <w:rsid w:val="00771DE1"/>
    <w:rsid w:val="00771DE4"/>
    <w:rsid w:val="00771E0C"/>
    <w:rsid w:val="00771E14"/>
    <w:rsid w:val="00771E2D"/>
    <w:rsid w:val="00771E35"/>
    <w:rsid w:val="00771E3D"/>
    <w:rsid w:val="00771E63"/>
    <w:rsid w:val="00771E83"/>
    <w:rsid w:val="00771EAB"/>
    <w:rsid w:val="00771ECE"/>
    <w:rsid w:val="00771F1B"/>
    <w:rsid w:val="00771F30"/>
    <w:rsid w:val="00771F66"/>
    <w:rsid w:val="00771F6D"/>
    <w:rsid w:val="00771F85"/>
    <w:rsid w:val="00771FC0"/>
    <w:rsid w:val="00771FE5"/>
    <w:rsid w:val="0077201A"/>
    <w:rsid w:val="0077206C"/>
    <w:rsid w:val="0077206D"/>
    <w:rsid w:val="0077209E"/>
    <w:rsid w:val="007720CD"/>
    <w:rsid w:val="007720DF"/>
    <w:rsid w:val="00772110"/>
    <w:rsid w:val="00772116"/>
    <w:rsid w:val="00772135"/>
    <w:rsid w:val="00772187"/>
    <w:rsid w:val="007721F0"/>
    <w:rsid w:val="0077226F"/>
    <w:rsid w:val="0077227F"/>
    <w:rsid w:val="0077228D"/>
    <w:rsid w:val="007722EE"/>
    <w:rsid w:val="00772311"/>
    <w:rsid w:val="00772315"/>
    <w:rsid w:val="00772394"/>
    <w:rsid w:val="007723B4"/>
    <w:rsid w:val="007723CD"/>
    <w:rsid w:val="007723FB"/>
    <w:rsid w:val="00772459"/>
    <w:rsid w:val="00772476"/>
    <w:rsid w:val="00772478"/>
    <w:rsid w:val="007724A1"/>
    <w:rsid w:val="007724B7"/>
    <w:rsid w:val="007724F1"/>
    <w:rsid w:val="007725AB"/>
    <w:rsid w:val="007725B7"/>
    <w:rsid w:val="007725CF"/>
    <w:rsid w:val="007725D6"/>
    <w:rsid w:val="007725E1"/>
    <w:rsid w:val="00772603"/>
    <w:rsid w:val="0077264D"/>
    <w:rsid w:val="00772655"/>
    <w:rsid w:val="00772671"/>
    <w:rsid w:val="007726B4"/>
    <w:rsid w:val="007726EC"/>
    <w:rsid w:val="007727F5"/>
    <w:rsid w:val="0077281E"/>
    <w:rsid w:val="00772886"/>
    <w:rsid w:val="007728C6"/>
    <w:rsid w:val="007728CD"/>
    <w:rsid w:val="00772946"/>
    <w:rsid w:val="00772947"/>
    <w:rsid w:val="00772951"/>
    <w:rsid w:val="0077295F"/>
    <w:rsid w:val="00772A28"/>
    <w:rsid w:val="00772A2D"/>
    <w:rsid w:val="00772A51"/>
    <w:rsid w:val="00772A68"/>
    <w:rsid w:val="00772A7C"/>
    <w:rsid w:val="00772A99"/>
    <w:rsid w:val="00772A9B"/>
    <w:rsid w:val="00772AA6"/>
    <w:rsid w:val="00772AB4"/>
    <w:rsid w:val="00772AC9"/>
    <w:rsid w:val="00772BC0"/>
    <w:rsid w:val="00772BE0"/>
    <w:rsid w:val="00772C29"/>
    <w:rsid w:val="00772C4C"/>
    <w:rsid w:val="00772C50"/>
    <w:rsid w:val="00772CCD"/>
    <w:rsid w:val="00772D1D"/>
    <w:rsid w:val="00772D50"/>
    <w:rsid w:val="00772D60"/>
    <w:rsid w:val="00772D91"/>
    <w:rsid w:val="00772D96"/>
    <w:rsid w:val="00772DB1"/>
    <w:rsid w:val="00772DC4"/>
    <w:rsid w:val="00772DD4"/>
    <w:rsid w:val="00772E5E"/>
    <w:rsid w:val="00772E64"/>
    <w:rsid w:val="00772EC6"/>
    <w:rsid w:val="00772EEF"/>
    <w:rsid w:val="00772F26"/>
    <w:rsid w:val="00772F30"/>
    <w:rsid w:val="00772F95"/>
    <w:rsid w:val="00772FBC"/>
    <w:rsid w:val="00772FE4"/>
    <w:rsid w:val="00772FE7"/>
    <w:rsid w:val="00772FFB"/>
    <w:rsid w:val="0077306A"/>
    <w:rsid w:val="0077308C"/>
    <w:rsid w:val="00773091"/>
    <w:rsid w:val="007731AC"/>
    <w:rsid w:val="00773253"/>
    <w:rsid w:val="00773306"/>
    <w:rsid w:val="007733A7"/>
    <w:rsid w:val="007733F7"/>
    <w:rsid w:val="00773435"/>
    <w:rsid w:val="00773437"/>
    <w:rsid w:val="00773492"/>
    <w:rsid w:val="007734B3"/>
    <w:rsid w:val="007734C2"/>
    <w:rsid w:val="00773502"/>
    <w:rsid w:val="0077350F"/>
    <w:rsid w:val="00773516"/>
    <w:rsid w:val="00773530"/>
    <w:rsid w:val="00773532"/>
    <w:rsid w:val="00773588"/>
    <w:rsid w:val="0077363D"/>
    <w:rsid w:val="00773691"/>
    <w:rsid w:val="007736A3"/>
    <w:rsid w:val="007736AF"/>
    <w:rsid w:val="007736FF"/>
    <w:rsid w:val="00773771"/>
    <w:rsid w:val="0077379C"/>
    <w:rsid w:val="007737AA"/>
    <w:rsid w:val="007737F5"/>
    <w:rsid w:val="00773808"/>
    <w:rsid w:val="00773900"/>
    <w:rsid w:val="0077390F"/>
    <w:rsid w:val="00773918"/>
    <w:rsid w:val="0077391E"/>
    <w:rsid w:val="007739DA"/>
    <w:rsid w:val="00773A26"/>
    <w:rsid w:val="00773A37"/>
    <w:rsid w:val="00773AC4"/>
    <w:rsid w:val="00773AD3"/>
    <w:rsid w:val="00773AF8"/>
    <w:rsid w:val="00773B77"/>
    <w:rsid w:val="00773B96"/>
    <w:rsid w:val="00773C0F"/>
    <w:rsid w:val="00773C4F"/>
    <w:rsid w:val="00773C51"/>
    <w:rsid w:val="00773D24"/>
    <w:rsid w:val="00773D43"/>
    <w:rsid w:val="00773D4C"/>
    <w:rsid w:val="00773D7E"/>
    <w:rsid w:val="00773D96"/>
    <w:rsid w:val="00773DB6"/>
    <w:rsid w:val="00773DCD"/>
    <w:rsid w:val="00773E95"/>
    <w:rsid w:val="00773EB7"/>
    <w:rsid w:val="00773F0E"/>
    <w:rsid w:val="00773F17"/>
    <w:rsid w:val="00773F1E"/>
    <w:rsid w:val="00773F6C"/>
    <w:rsid w:val="00773F9A"/>
    <w:rsid w:val="00773FAD"/>
    <w:rsid w:val="00773FCA"/>
    <w:rsid w:val="00774000"/>
    <w:rsid w:val="00774024"/>
    <w:rsid w:val="007740DC"/>
    <w:rsid w:val="00774103"/>
    <w:rsid w:val="00774139"/>
    <w:rsid w:val="0077414B"/>
    <w:rsid w:val="007741A9"/>
    <w:rsid w:val="007741AC"/>
    <w:rsid w:val="00774209"/>
    <w:rsid w:val="0077425B"/>
    <w:rsid w:val="007742B9"/>
    <w:rsid w:val="00774314"/>
    <w:rsid w:val="0077432A"/>
    <w:rsid w:val="00774382"/>
    <w:rsid w:val="007743A1"/>
    <w:rsid w:val="007743A7"/>
    <w:rsid w:val="007743F3"/>
    <w:rsid w:val="00774412"/>
    <w:rsid w:val="00774445"/>
    <w:rsid w:val="00774461"/>
    <w:rsid w:val="0077447A"/>
    <w:rsid w:val="007744F8"/>
    <w:rsid w:val="00774525"/>
    <w:rsid w:val="0077459D"/>
    <w:rsid w:val="007745B0"/>
    <w:rsid w:val="0077462B"/>
    <w:rsid w:val="00774632"/>
    <w:rsid w:val="00774641"/>
    <w:rsid w:val="0077464B"/>
    <w:rsid w:val="00774658"/>
    <w:rsid w:val="0077467F"/>
    <w:rsid w:val="00774691"/>
    <w:rsid w:val="007746B5"/>
    <w:rsid w:val="007746E0"/>
    <w:rsid w:val="00774713"/>
    <w:rsid w:val="00774730"/>
    <w:rsid w:val="00774741"/>
    <w:rsid w:val="0077478E"/>
    <w:rsid w:val="007747FD"/>
    <w:rsid w:val="00774856"/>
    <w:rsid w:val="007748E2"/>
    <w:rsid w:val="00774901"/>
    <w:rsid w:val="0077494F"/>
    <w:rsid w:val="00774979"/>
    <w:rsid w:val="00774993"/>
    <w:rsid w:val="00774A66"/>
    <w:rsid w:val="00774AE4"/>
    <w:rsid w:val="00774BC1"/>
    <w:rsid w:val="00774C2E"/>
    <w:rsid w:val="00774C3E"/>
    <w:rsid w:val="00774C3F"/>
    <w:rsid w:val="00774C62"/>
    <w:rsid w:val="00774C6F"/>
    <w:rsid w:val="00774C88"/>
    <w:rsid w:val="00774CB5"/>
    <w:rsid w:val="00774CB6"/>
    <w:rsid w:val="00774CC2"/>
    <w:rsid w:val="00774CD9"/>
    <w:rsid w:val="00774D41"/>
    <w:rsid w:val="00774D61"/>
    <w:rsid w:val="00774D78"/>
    <w:rsid w:val="00774E20"/>
    <w:rsid w:val="00774E23"/>
    <w:rsid w:val="00774E58"/>
    <w:rsid w:val="00774ED0"/>
    <w:rsid w:val="00774F43"/>
    <w:rsid w:val="00774F7A"/>
    <w:rsid w:val="00774F7C"/>
    <w:rsid w:val="00774FA9"/>
    <w:rsid w:val="00774FEA"/>
    <w:rsid w:val="00775016"/>
    <w:rsid w:val="007750E7"/>
    <w:rsid w:val="0077513B"/>
    <w:rsid w:val="0077513D"/>
    <w:rsid w:val="00775152"/>
    <w:rsid w:val="00775155"/>
    <w:rsid w:val="0077518A"/>
    <w:rsid w:val="007751FF"/>
    <w:rsid w:val="00775201"/>
    <w:rsid w:val="00775255"/>
    <w:rsid w:val="00775261"/>
    <w:rsid w:val="0077526F"/>
    <w:rsid w:val="0077528F"/>
    <w:rsid w:val="007752AA"/>
    <w:rsid w:val="007753B4"/>
    <w:rsid w:val="007753BB"/>
    <w:rsid w:val="007753C6"/>
    <w:rsid w:val="007753D9"/>
    <w:rsid w:val="007753E3"/>
    <w:rsid w:val="007753F6"/>
    <w:rsid w:val="00775452"/>
    <w:rsid w:val="00775462"/>
    <w:rsid w:val="007754F0"/>
    <w:rsid w:val="0077553C"/>
    <w:rsid w:val="0077557B"/>
    <w:rsid w:val="00775595"/>
    <w:rsid w:val="007755EC"/>
    <w:rsid w:val="007755F9"/>
    <w:rsid w:val="00775610"/>
    <w:rsid w:val="0077564F"/>
    <w:rsid w:val="007756AC"/>
    <w:rsid w:val="007756DF"/>
    <w:rsid w:val="007756F2"/>
    <w:rsid w:val="00775701"/>
    <w:rsid w:val="00775719"/>
    <w:rsid w:val="0077577D"/>
    <w:rsid w:val="00775790"/>
    <w:rsid w:val="0077579B"/>
    <w:rsid w:val="007757A3"/>
    <w:rsid w:val="007757B8"/>
    <w:rsid w:val="007757D0"/>
    <w:rsid w:val="007757D7"/>
    <w:rsid w:val="0077582B"/>
    <w:rsid w:val="0077589D"/>
    <w:rsid w:val="0077598E"/>
    <w:rsid w:val="007759B9"/>
    <w:rsid w:val="007759F2"/>
    <w:rsid w:val="00775A12"/>
    <w:rsid w:val="00775A56"/>
    <w:rsid w:val="00775AAB"/>
    <w:rsid w:val="00775B97"/>
    <w:rsid w:val="00775BF2"/>
    <w:rsid w:val="00775C3D"/>
    <w:rsid w:val="00775C86"/>
    <w:rsid w:val="00775CA3"/>
    <w:rsid w:val="00775CE9"/>
    <w:rsid w:val="00775D7A"/>
    <w:rsid w:val="00775D7B"/>
    <w:rsid w:val="00775DCB"/>
    <w:rsid w:val="00775E1E"/>
    <w:rsid w:val="00775E5B"/>
    <w:rsid w:val="00775ED3"/>
    <w:rsid w:val="00775F14"/>
    <w:rsid w:val="00775F4E"/>
    <w:rsid w:val="00775FBA"/>
    <w:rsid w:val="00775FE1"/>
    <w:rsid w:val="0077602A"/>
    <w:rsid w:val="00776078"/>
    <w:rsid w:val="00776124"/>
    <w:rsid w:val="007761A2"/>
    <w:rsid w:val="007761A5"/>
    <w:rsid w:val="00776216"/>
    <w:rsid w:val="00776223"/>
    <w:rsid w:val="0077623A"/>
    <w:rsid w:val="00776256"/>
    <w:rsid w:val="00776289"/>
    <w:rsid w:val="007762B1"/>
    <w:rsid w:val="007762E1"/>
    <w:rsid w:val="0077633A"/>
    <w:rsid w:val="00776353"/>
    <w:rsid w:val="0077635A"/>
    <w:rsid w:val="00776404"/>
    <w:rsid w:val="0077644F"/>
    <w:rsid w:val="00776495"/>
    <w:rsid w:val="007764BE"/>
    <w:rsid w:val="007764C0"/>
    <w:rsid w:val="007764D7"/>
    <w:rsid w:val="0077651A"/>
    <w:rsid w:val="00776537"/>
    <w:rsid w:val="0077655F"/>
    <w:rsid w:val="0077658F"/>
    <w:rsid w:val="007765CE"/>
    <w:rsid w:val="00776643"/>
    <w:rsid w:val="0077664D"/>
    <w:rsid w:val="00776676"/>
    <w:rsid w:val="007766CB"/>
    <w:rsid w:val="007766FF"/>
    <w:rsid w:val="00776731"/>
    <w:rsid w:val="00776755"/>
    <w:rsid w:val="00776758"/>
    <w:rsid w:val="00776772"/>
    <w:rsid w:val="0077677A"/>
    <w:rsid w:val="007767BF"/>
    <w:rsid w:val="007767D0"/>
    <w:rsid w:val="0077687D"/>
    <w:rsid w:val="00776891"/>
    <w:rsid w:val="007768B2"/>
    <w:rsid w:val="00776905"/>
    <w:rsid w:val="007769BA"/>
    <w:rsid w:val="007769E4"/>
    <w:rsid w:val="00776A26"/>
    <w:rsid w:val="00776A2D"/>
    <w:rsid w:val="00776A39"/>
    <w:rsid w:val="00776A4B"/>
    <w:rsid w:val="00776A59"/>
    <w:rsid w:val="00776AB5"/>
    <w:rsid w:val="00776AB6"/>
    <w:rsid w:val="00776B3D"/>
    <w:rsid w:val="00776B76"/>
    <w:rsid w:val="00776BB3"/>
    <w:rsid w:val="00776C8A"/>
    <w:rsid w:val="00776D94"/>
    <w:rsid w:val="00776DBB"/>
    <w:rsid w:val="00776F8B"/>
    <w:rsid w:val="00776F94"/>
    <w:rsid w:val="00776FB9"/>
    <w:rsid w:val="00776FE3"/>
    <w:rsid w:val="0077706F"/>
    <w:rsid w:val="00777107"/>
    <w:rsid w:val="00777136"/>
    <w:rsid w:val="0077713F"/>
    <w:rsid w:val="007771AE"/>
    <w:rsid w:val="00777205"/>
    <w:rsid w:val="00777217"/>
    <w:rsid w:val="00777227"/>
    <w:rsid w:val="00777246"/>
    <w:rsid w:val="00777279"/>
    <w:rsid w:val="00777296"/>
    <w:rsid w:val="007772A8"/>
    <w:rsid w:val="007772E7"/>
    <w:rsid w:val="00777328"/>
    <w:rsid w:val="00777338"/>
    <w:rsid w:val="007773A4"/>
    <w:rsid w:val="007773DC"/>
    <w:rsid w:val="0077749B"/>
    <w:rsid w:val="007774A0"/>
    <w:rsid w:val="007774AC"/>
    <w:rsid w:val="00777561"/>
    <w:rsid w:val="00777567"/>
    <w:rsid w:val="0077756B"/>
    <w:rsid w:val="00777591"/>
    <w:rsid w:val="007775AB"/>
    <w:rsid w:val="007776B0"/>
    <w:rsid w:val="007776C0"/>
    <w:rsid w:val="007776CE"/>
    <w:rsid w:val="00777741"/>
    <w:rsid w:val="0077776D"/>
    <w:rsid w:val="0077780B"/>
    <w:rsid w:val="00777889"/>
    <w:rsid w:val="0077789F"/>
    <w:rsid w:val="007778C9"/>
    <w:rsid w:val="007778D2"/>
    <w:rsid w:val="00777903"/>
    <w:rsid w:val="00777949"/>
    <w:rsid w:val="0077794D"/>
    <w:rsid w:val="0077798A"/>
    <w:rsid w:val="007779DB"/>
    <w:rsid w:val="007779F6"/>
    <w:rsid w:val="00777A2F"/>
    <w:rsid w:val="00777A42"/>
    <w:rsid w:val="00777A48"/>
    <w:rsid w:val="00777AD7"/>
    <w:rsid w:val="00777AE4"/>
    <w:rsid w:val="00777B14"/>
    <w:rsid w:val="00777B5D"/>
    <w:rsid w:val="00777B93"/>
    <w:rsid w:val="00777BA1"/>
    <w:rsid w:val="00777C06"/>
    <w:rsid w:val="00777C18"/>
    <w:rsid w:val="00777C2E"/>
    <w:rsid w:val="00777CA9"/>
    <w:rsid w:val="00777CBD"/>
    <w:rsid w:val="00777D17"/>
    <w:rsid w:val="00777D30"/>
    <w:rsid w:val="00777D5A"/>
    <w:rsid w:val="00777DA2"/>
    <w:rsid w:val="00777DEF"/>
    <w:rsid w:val="00777E5C"/>
    <w:rsid w:val="00777E6D"/>
    <w:rsid w:val="00777E76"/>
    <w:rsid w:val="00777E9F"/>
    <w:rsid w:val="00777F4E"/>
    <w:rsid w:val="00777F8B"/>
    <w:rsid w:val="00777FA6"/>
    <w:rsid w:val="00777FD2"/>
    <w:rsid w:val="00780016"/>
    <w:rsid w:val="00780035"/>
    <w:rsid w:val="0078008F"/>
    <w:rsid w:val="00780106"/>
    <w:rsid w:val="00780192"/>
    <w:rsid w:val="007801D8"/>
    <w:rsid w:val="007801F5"/>
    <w:rsid w:val="00780205"/>
    <w:rsid w:val="0078020A"/>
    <w:rsid w:val="0078021A"/>
    <w:rsid w:val="00780224"/>
    <w:rsid w:val="00780227"/>
    <w:rsid w:val="00780252"/>
    <w:rsid w:val="00780261"/>
    <w:rsid w:val="007802AA"/>
    <w:rsid w:val="00780342"/>
    <w:rsid w:val="007803B2"/>
    <w:rsid w:val="007803ED"/>
    <w:rsid w:val="00780441"/>
    <w:rsid w:val="007804DC"/>
    <w:rsid w:val="00780531"/>
    <w:rsid w:val="00780584"/>
    <w:rsid w:val="007805A3"/>
    <w:rsid w:val="007805A9"/>
    <w:rsid w:val="007805B8"/>
    <w:rsid w:val="00780661"/>
    <w:rsid w:val="0078079E"/>
    <w:rsid w:val="007807AE"/>
    <w:rsid w:val="007807E9"/>
    <w:rsid w:val="00780845"/>
    <w:rsid w:val="007808D2"/>
    <w:rsid w:val="007808E8"/>
    <w:rsid w:val="007808EB"/>
    <w:rsid w:val="00780915"/>
    <w:rsid w:val="00780920"/>
    <w:rsid w:val="00780954"/>
    <w:rsid w:val="007809AD"/>
    <w:rsid w:val="007809D0"/>
    <w:rsid w:val="00780A7A"/>
    <w:rsid w:val="00780A9F"/>
    <w:rsid w:val="00780ACA"/>
    <w:rsid w:val="00780B48"/>
    <w:rsid w:val="00780B7F"/>
    <w:rsid w:val="00780BB9"/>
    <w:rsid w:val="00780C08"/>
    <w:rsid w:val="00780C3A"/>
    <w:rsid w:val="00780CD8"/>
    <w:rsid w:val="00780D2C"/>
    <w:rsid w:val="00780D2D"/>
    <w:rsid w:val="00780D8E"/>
    <w:rsid w:val="00780DE8"/>
    <w:rsid w:val="00780E04"/>
    <w:rsid w:val="00780E0C"/>
    <w:rsid w:val="00780E18"/>
    <w:rsid w:val="00780E2A"/>
    <w:rsid w:val="00780E33"/>
    <w:rsid w:val="00780E77"/>
    <w:rsid w:val="00780EA8"/>
    <w:rsid w:val="00780F1A"/>
    <w:rsid w:val="00780F33"/>
    <w:rsid w:val="00780F4F"/>
    <w:rsid w:val="00780FB9"/>
    <w:rsid w:val="00780FBD"/>
    <w:rsid w:val="00781004"/>
    <w:rsid w:val="0078101D"/>
    <w:rsid w:val="007810D1"/>
    <w:rsid w:val="0078111C"/>
    <w:rsid w:val="0078115D"/>
    <w:rsid w:val="007811C5"/>
    <w:rsid w:val="00781216"/>
    <w:rsid w:val="00781234"/>
    <w:rsid w:val="007812AA"/>
    <w:rsid w:val="007812B9"/>
    <w:rsid w:val="007812D7"/>
    <w:rsid w:val="007812DB"/>
    <w:rsid w:val="007812E5"/>
    <w:rsid w:val="0078130C"/>
    <w:rsid w:val="00781320"/>
    <w:rsid w:val="0078134B"/>
    <w:rsid w:val="00781360"/>
    <w:rsid w:val="007813AD"/>
    <w:rsid w:val="007813B8"/>
    <w:rsid w:val="0078147A"/>
    <w:rsid w:val="007814D0"/>
    <w:rsid w:val="00781523"/>
    <w:rsid w:val="0078155D"/>
    <w:rsid w:val="0078156C"/>
    <w:rsid w:val="007815B0"/>
    <w:rsid w:val="007815E5"/>
    <w:rsid w:val="0078166C"/>
    <w:rsid w:val="00781686"/>
    <w:rsid w:val="007816D6"/>
    <w:rsid w:val="007817CC"/>
    <w:rsid w:val="0078180C"/>
    <w:rsid w:val="0078181E"/>
    <w:rsid w:val="00781826"/>
    <w:rsid w:val="00781830"/>
    <w:rsid w:val="00781936"/>
    <w:rsid w:val="00781968"/>
    <w:rsid w:val="007819A3"/>
    <w:rsid w:val="007819AB"/>
    <w:rsid w:val="00781A33"/>
    <w:rsid w:val="00781A71"/>
    <w:rsid w:val="00781A79"/>
    <w:rsid w:val="00781A96"/>
    <w:rsid w:val="00781A99"/>
    <w:rsid w:val="00781AE4"/>
    <w:rsid w:val="00781AF5"/>
    <w:rsid w:val="00781AFC"/>
    <w:rsid w:val="00781C06"/>
    <w:rsid w:val="00781C07"/>
    <w:rsid w:val="00781C89"/>
    <w:rsid w:val="00781D61"/>
    <w:rsid w:val="00781D71"/>
    <w:rsid w:val="00781DB0"/>
    <w:rsid w:val="00781EA4"/>
    <w:rsid w:val="00781EAA"/>
    <w:rsid w:val="00781EDA"/>
    <w:rsid w:val="00781F72"/>
    <w:rsid w:val="0078201B"/>
    <w:rsid w:val="00782129"/>
    <w:rsid w:val="0078212F"/>
    <w:rsid w:val="00782174"/>
    <w:rsid w:val="007822A9"/>
    <w:rsid w:val="007822D2"/>
    <w:rsid w:val="007822EB"/>
    <w:rsid w:val="0078231A"/>
    <w:rsid w:val="00782330"/>
    <w:rsid w:val="0078235E"/>
    <w:rsid w:val="0078237C"/>
    <w:rsid w:val="007823CD"/>
    <w:rsid w:val="00782433"/>
    <w:rsid w:val="0078244F"/>
    <w:rsid w:val="0078245B"/>
    <w:rsid w:val="00782495"/>
    <w:rsid w:val="007824CC"/>
    <w:rsid w:val="00782514"/>
    <w:rsid w:val="00782581"/>
    <w:rsid w:val="00782662"/>
    <w:rsid w:val="007826A1"/>
    <w:rsid w:val="007826BE"/>
    <w:rsid w:val="00782750"/>
    <w:rsid w:val="0078276B"/>
    <w:rsid w:val="00782773"/>
    <w:rsid w:val="007827D6"/>
    <w:rsid w:val="007827E9"/>
    <w:rsid w:val="007827FD"/>
    <w:rsid w:val="0078280F"/>
    <w:rsid w:val="00782832"/>
    <w:rsid w:val="0078283E"/>
    <w:rsid w:val="0078285B"/>
    <w:rsid w:val="0078286D"/>
    <w:rsid w:val="00782870"/>
    <w:rsid w:val="007828B6"/>
    <w:rsid w:val="0078292A"/>
    <w:rsid w:val="00782944"/>
    <w:rsid w:val="00782946"/>
    <w:rsid w:val="00782974"/>
    <w:rsid w:val="007829CF"/>
    <w:rsid w:val="007829E0"/>
    <w:rsid w:val="007829E5"/>
    <w:rsid w:val="00782A04"/>
    <w:rsid w:val="00782A35"/>
    <w:rsid w:val="00782A48"/>
    <w:rsid w:val="00782A4C"/>
    <w:rsid w:val="00782A97"/>
    <w:rsid w:val="00782ABE"/>
    <w:rsid w:val="00782BFF"/>
    <w:rsid w:val="00782C09"/>
    <w:rsid w:val="00782C76"/>
    <w:rsid w:val="00782CA4"/>
    <w:rsid w:val="00782CB1"/>
    <w:rsid w:val="00782D3D"/>
    <w:rsid w:val="00782D74"/>
    <w:rsid w:val="00782D8A"/>
    <w:rsid w:val="00782DB7"/>
    <w:rsid w:val="00782E6B"/>
    <w:rsid w:val="00782E9D"/>
    <w:rsid w:val="00782ED4"/>
    <w:rsid w:val="00782EF1"/>
    <w:rsid w:val="00782F06"/>
    <w:rsid w:val="00782F37"/>
    <w:rsid w:val="00782F46"/>
    <w:rsid w:val="00782F49"/>
    <w:rsid w:val="00782F91"/>
    <w:rsid w:val="00782FC7"/>
    <w:rsid w:val="0078300C"/>
    <w:rsid w:val="0078301B"/>
    <w:rsid w:val="00783026"/>
    <w:rsid w:val="0078304C"/>
    <w:rsid w:val="00783134"/>
    <w:rsid w:val="00783160"/>
    <w:rsid w:val="007831CB"/>
    <w:rsid w:val="007831CE"/>
    <w:rsid w:val="007831DE"/>
    <w:rsid w:val="007831DF"/>
    <w:rsid w:val="007831F4"/>
    <w:rsid w:val="00783253"/>
    <w:rsid w:val="0078325A"/>
    <w:rsid w:val="00783278"/>
    <w:rsid w:val="007832A4"/>
    <w:rsid w:val="007832C4"/>
    <w:rsid w:val="007833BD"/>
    <w:rsid w:val="00783400"/>
    <w:rsid w:val="00783410"/>
    <w:rsid w:val="0078343A"/>
    <w:rsid w:val="007834B0"/>
    <w:rsid w:val="00783518"/>
    <w:rsid w:val="0078358B"/>
    <w:rsid w:val="00783594"/>
    <w:rsid w:val="007835EB"/>
    <w:rsid w:val="00783602"/>
    <w:rsid w:val="00783618"/>
    <w:rsid w:val="007836AC"/>
    <w:rsid w:val="007836F0"/>
    <w:rsid w:val="00783720"/>
    <w:rsid w:val="00783776"/>
    <w:rsid w:val="0078378F"/>
    <w:rsid w:val="007837B5"/>
    <w:rsid w:val="007837B7"/>
    <w:rsid w:val="007837C1"/>
    <w:rsid w:val="007837D6"/>
    <w:rsid w:val="007838DC"/>
    <w:rsid w:val="007838F5"/>
    <w:rsid w:val="00783915"/>
    <w:rsid w:val="00783977"/>
    <w:rsid w:val="00783988"/>
    <w:rsid w:val="00783996"/>
    <w:rsid w:val="00783A09"/>
    <w:rsid w:val="00783A17"/>
    <w:rsid w:val="00783A78"/>
    <w:rsid w:val="00783A7F"/>
    <w:rsid w:val="00783B0F"/>
    <w:rsid w:val="00783B41"/>
    <w:rsid w:val="00783B69"/>
    <w:rsid w:val="00783B7E"/>
    <w:rsid w:val="00783B87"/>
    <w:rsid w:val="00783B8F"/>
    <w:rsid w:val="00783BAA"/>
    <w:rsid w:val="00783BE9"/>
    <w:rsid w:val="00783C2F"/>
    <w:rsid w:val="00783C62"/>
    <w:rsid w:val="00783C94"/>
    <w:rsid w:val="00783C96"/>
    <w:rsid w:val="00783CA3"/>
    <w:rsid w:val="00783CF5"/>
    <w:rsid w:val="00783D1A"/>
    <w:rsid w:val="00783D78"/>
    <w:rsid w:val="00783DBF"/>
    <w:rsid w:val="00783E05"/>
    <w:rsid w:val="00783E4B"/>
    <w:rsid w:val="00783E70"/>
    <w:rsid w:val="00783F5D"/>
    <w:rsid w:val="0078402E"/>
    <w:rsid w:val="007840CC"/>
    <w:rsid w:val="00784118"/>
    <w:rsid w:val="0078415D"/>
    <w:rsid w:val="00784163"/>
    <w:rsid w:val="0078418E"/>
    <w:rsid w:val="007841BE"/>
    <w:rsid w:val="007841EB"/>
    <w:rsid w:val="007841F3"/>
    <w:rsid w:val="00784274"/>
    <w:rsid w:val="00784282"/>
    <w:rsid w:val="0078428D"/>
    <w:rsid w:val="007842DE"/>
    <w:rsid w:val="00784300"/>
    <w:rsid w:val="0078430C"/>
    <w:rsid w:val="00784343"/>
    <w:rsid w:val="00784355"/>
    <w:rsid w:val="00784491"/>
    <w:rsid w:val="007844CA"/>
    <w:rsid w:val="007844EE"/>
    <w:rsid w:val="007845A6"/>
    <w:rsid w:val="007845D3"/>
    <w:rsid w:val="00784618"/>
    <w:rsid w:val="0078468D"/>
    <w:rsid w:val="00784721"/>
    <w:rsid w:val="00784735"/>
    <w:rsid w:val="007847A0"/>
    <w:rsid w:val="00784855"/>
    <w:rsid w:val="00784885"/>
    <w:rsid w:val="007848A0"/>
    <w:rsid w:val="007848CC"/>
    <w:rsid w:val="00784907"/>
    <w:rsid w:val="00784934"/>
    <w:rsid w:val="007849BA"/>
    <w:rsid w:val="007849E1"/>
    <w:rsid w:val="007849FC"/>
    <w:rsid w:val="00784A26"/>
    <w:rsid w:val="00784A32"/>
    <w:rsid w:val="00784A85"/>
    <w:rsid w:val="00784B4B"/>
    <w:rsid w:val="00784B85"/>
    <w:rsid w:val="00784C4B"/>
    <w:rsid w:val="00784C6B"/>
    <w:rsid w:val="00784C82"/>
    <w:rsid w:val="00784CC9"/>
    <w:rsid w:val="00784CD0"/>
    <w:rsid w:val="00784CE7"/>
    <w:rsid w:val="00784D78"/>
    <w:rsid w:val="00784D8A"/>
    <w:rsid w:val="00784DCA"/>
    <w:rsid w:val="00784DE0"/>
    <w:rsid w:val="00784DE5"/>
    <w:rsid w:val="00784DE7"/>
    <w:rsid w:val="00784DF7"/>
    <w:rsid w:val="00784E04"/>
    <w:rsid w:val="00784E05"/>
    <w:rsid w:val="00784E93"/>
    <w:rsid w:val="00784EB5"/>
    <w:rsid w:val="00784ECE"/>
    <w:rsid w:val="00784ED1"/>
    <w:rsid w:val="00784F37"/>
    <w:rsid w:val="00784F78"/>
    <w:rsid w:val="00784FA1"/>
    <w:rsid w:val="00784FE1"/>
    <w:rsid w:val="00785011"/>
    <w:rsid w:val="007850BF"/>
    <w:rsid w:val="007850DB"/>
    <w:rsid w:val="00785116"/>
    <w:rsid w:val="0078515B"/>
    <w:rsid w:val="007851AB"/>
    <w:rsid w:val="007851D4"/>
    <w:rsid w:val="00785205"/>
    <w:rsid w:val="0078521B"/>
    <w:rsid w:val="00785258"/>
    <w:rsid w:val="00785273"/>
    <w:rsid w:val="007852E0"/>
    <w:rsid w:val="0078539C"/>
    <w:rsid w:val="007853BB"/>
    <w:rsid w:val="007853D4"/>
    <w:rsid w:val="007853D5"/>
    <w:rsid w:val="0078548F"/>
    <w:rsid w:val="00785499"/>
    <w:rsid w:val="007854B3"/>
    <w:rsid w:val="007856F4"/>
    <w:rsid w:val="00785746"/>
    <w:rsid w:val="0078574E"/>
    <w:rsid w:val="0078576A"/>
    <w:rsid w:val="007857A7"/>
    <w:rsid w:val="0078580B"/>
    <w:rsid w:val="0078580E"/>
    <w:rsid w:val="007858F7"/>
    <w:rsid w:val="00785953"/>
    <w:rsid w:val="0078598E"/>
    <w:rsid w:val="007859B2"/>
    <w:rsid w:val="007859DE"/>
    <w:rsid w:val="00785A08"/>
    <w:rsid w:val="00785AA3"/>
    <w:rsid w:val="00785BC7"/>
    <w:rsid w:val="00785BE4"/>
    <w:rsid w:val="00785BE7"/>
    <w:rsid w:val="00785C0D"/>
    <w:rsid w:val="00785C57"/>
    <w:rsid w:val="00785C7C"/>
    <w:rsid w:val="00785D1B"/>
    <w:rsid w:val="00785D1C"/>
    <w:rsid w:val="00785D32"/>
    <w:rsid w:val="00785D74"/>
    <w:rsid w:val="00785D7E"/>
    <w:rsid w:val="00785DD7"/>
    <w:rsid w:val="00785E5A"/>
    <w:rsid w:val="00785F5E"/>
    <w:rsid w:val="00785F5F"/>
    <w:rsid w:val="0078601F"/>
    <w:rsid w:val="00786139"/>
    <w:rsid w:val="00786155"/>
    <w:rsid w:val="007861B9"/>
    <w:rsid w:val="007861EB"/>
    <w:rsid w:val="00786290"/>
    <w:rsid w:val="007862A6"/>
    <w:rsid w:val="007862EE"/>
    <w:rsid w:val="00786320"/>
    <w:rsid w:val="00786336"/>
    <w:rsid w:val="00786378"/>
    <w:rsid w:val="007863CE"/>
    <w:rsid w:val="007863E0"/>
    <w:rsid w:val="0078644E"/>
    <w:rsid w:val="007864C0"/>
    <w:rsid w:val="007864D9"/>
    <w:rsid w:val="0078652C"/>
    <w:rsid w:val="00786554"/>
    <w:rsid w:val="0078656B"/>
    <w:rsid w:val="007865BA"/>
    <w:rsid w:val="00786631"/>
    <w:rsid w:val="00786649"/>
    <w:rsid w:val="0078664D"/>
    <w:rsid w:val="00786688"/>
    <w:rsid w:val="007866BD"/>
    <w:rsid w:val="007866C9"/>
    <w:rsid w:val="007866FF"/>
    <w:rsid w:val="00786765"/>
    <w:rsid w:val="00786788"/>
    <w:rsid w:val="00786809"/>
    <w:rsid w:val="0078680D"/>
    <w:rsid w:val="00786818"/>
    <w:rsid w:val="0078682E"/>
    <w:rsid w:val="007868D0"/>
    <w:rsid w:val="00786956"/>
    <w:rsid w:val="00786982"/>
    <w:rsid w:val="007869D5"/>
    <w:rsid w:val="007869EC"/>
    <w:rsid w:val="00786AA5"/>
    <w:rsid w:val="00786ABB"/>
    <w:rsid w:val="00786B58"/>
    <w:rsid w:val="00786BB5"/>
    <w:rsid w:val="00786BB8"/>
    <w:rsid w:val="00786BD7"/>
    <w:rsid w:val="00786C17"/>
    <w:rsid w:val="00786D4A"/>
    <w:rsid w:val="00786DB6"/>
    <w:rsid w:val="00786DBC"/>
    <w:rsid w:val="00786DC9"/>
    <w:rsid w:val="00786EA1"/>
    <w:rsid w:val="00786F17"/>
    <w:rsid w:val="00786F18"/>
    <w:rsid w:val="00786F2E"/>
    <w:rsid w:val="00786F6F"/>
    <w:rsid w:val="00786FBE"/>
    <w:rsid w:val="00786FDD"/>
    <w:rsid w:val="00787000"/>
    <w:rsid w:val="0078700C"/>
    <w:rsid w:val="00787027"/>
    <w:rsid w:val="0078705F"/>
    <w:rsid w:val="00787091"/>
    <w:rsid w:val="00787095"/>
    <w:rsid w:val="0078709F"/>
    <w:rsid w:val="00787125"/>
    <w:rsid w:val="0078714D"/>
    <w:rsid w:val="00787159"/>
    <w:rsid w:val="00787178"/>
    <w:rsid w:val="007871C5"/>
    <w:rsid w:val="007871E8"/>
    <w:rsid w:val="007872D2"/>
    <w:rsid w:val="00787312"/>
    <w:rsid w:val="0078735C"/>
    <w:rsid w:val="00787374"/>
    <w:rsid w:val="007873B5"/>
    <w:rsid w:val="007873BF"/>
    <w:rsid w:val="007873F8"/>
    <w:rsid w:val="00787517"/>
    <w:rsid w:val="0078754B"/>
    <w:rsid w:val="0078755A"/>
    <w:rsid w:val="007875BF"/>
    <w:rsid w:val="0078766F"/>
    <w:rsid w:val="00787698"/>
    <w:rsid w:val="0078769F"/>
    <w:rsid w:val="007876A2"/>
    <w:rsid w:val="00787744"/>
    <w:rsid w:val="00787755"/>
    <w:rsid w:val="0078777B"/>
    <w:rsid w:val="00787814"/>
    <w:rsid w:val="00787894"/>
    <w:rsid w:val="0078796A"/>
    <w:rsid w:val="0078796F"/>
    <w:rsid w:val="00787AB0"/>
    <w:rsid w:val="00787B15"/>
    <w:rsid w:val="00787B37"/>
    <w:rsid w:val="00787BA4"/>
    <w:rsid w:val="00787BDC"/>
    <w:rsid w:val="00787C25"/>
    <w:rsid w:val="00787C73"/>
    <w:rsid w:val="00787CC3"/>
    <w:rsid w:val="00787CF5"/>
    <w:rsid w:val="00787D31"/>
    <w:rsid w:val="00787D59"/>
    <w:rsid w:val="00787D5B"/>
    <w:rsid w:val="00787D61"/>
    <w:rsid w:val="00787D65"/>
    <w:rsid w:val="00787D83"/>
    <w:rsid w:val="00787DAC"/>
    <w:rsid w:val="00787DBD"/>
    <w:rsid w:val="00787DE2"/>
    <w:rsid w:val="00787DEC"/>
    <w:rsid w:val="00787E10"/>
    <w:rsid w:val="00787E3B"/>
    <w:rsid w:val="00787E75"/>
    <w:rsid w:val="00787E87"/>
    <w:rsid w:val="00787EF0"/>
    <w:rsid w:val="00787F07"/>
    <w:rsid w:val="00787F08"/>
    <w:rsid w:val="00787F48"/>
    <w:rsid w:val="00787F75"/>
    <w:rsid w:val="00787FFE"/>
    <w:rsid w:val="00790068"/>
    <w:rsid w:val="0079006A"/>
    <w:rsid w:val="0079008B"/>
    <w:rsid w:val="00790132"/>
    <w:rsid w:val="00790157"/>
    <w:rsid w:val="0079015D"/>
    <w:rsid w:val="0079015E"/>
    <w:rsid w:val="00790192"/>
    <w:rsid w:val="007901D2"/>
    <w:rsid w:val="007901FA"/>
    <w:rsid w:val="00790244"/>
    <w:rsid w:val="00790285"/>
    <w:rsid w:val="0079030C"/>
    <w:rsid w:val="00790313"/>
    <w:rsid w:val="007903E4"/>
    <w:rsid w:val="007904A3"/>
    <w:rsid w:val="007904B2"/>
    <w:rsid w:val="007904B5"/>
    <w:rsid w:val="0079052C"/>
    <w:rsid w:val="00790532"/>
    <w:rsid w:val="0079053D"/>
    <w:rsid w:val="0079062D"/>
    <w:rsid w:val="00790638"/>
    <w:rsid w:val="007906C0"/>
    <w:rsid w:val="007906D2"/>
    <w:rsid w:val="007907A2"/>
    <w:rsid w:val="007907E4"/>
    <w:rsid w:val="00790822"/>
    <w:rsid w:val="007908DD"/>
    <w:rsid w:val="00790901"/>
    <w:rsid w:val="00790948"/>
    <w:rsid w:val="0079095A"/>
    <w:rsid w:val="0079099B"/>
    <w:rsid w:val="00790A11"/>
    <w:rsid w:val="00790A19"/>
    <w:rsid w:val="00790A29"/>
    <w:rsid w:val="00790A36"/>
    <w:rsid w:val="00790A55"/>
    <w:rsid w:val="00790A75"/>
    <w:rsid w:val="00790AA3"/>
    <w:rsid w:val="00790AD3"/>
    <w:rsid w:val="00790AD4"/>
    <w:rsid w:val="00790B1C"/>
    <w:rsid w:val="00790B45"/>
    <w:rsid w:val="00790B4C"/>
    <w:rsid w:val="00790B98"/>
    <w:rsid w:val="00790BC4"/>
    <w:rsid w:val="00790BDA"/>
    <w:rsid w:val="00790C2E"/>
    <w:rsid w:val="00790C58"/>
    <w:rsid w:val="00790C62"/>
    <w:rsid w:val="00790CEF"/>
    <w:rsid w:val="00790D02"/>
    <w:rsid w:val="00790D97"/>
    <w:rsid w:val="00790DD4"/>
    <w:rsid w:val="00790EBE"/>
    <w:rsid w:val="00790EC3"/>
    <w:rsid w:val="00790F24"/>
    <w:rsid w:val="00790F4B"/>
    <w:rsid w:val="00790F93"/>
    <w:rsid w:val="00790F9B"/>
    <w:rsid w:val="00790F9E"/>
    <w:rsid w:val="00790FD4"/>
    <w:rsid w:val="00790FEC"/>
    <w:rsid w:val="0079102B"/>
    <w:rsid w:val="0079105E"/>
    <w:rsid w:val="00791068"/>
    <w:rsid w:val="007910C6"/>
    <w:rsid w:val="007910D7"/>
    <w:rsid w:val="007910F1"/>
    <w:rsid w:val="00791150"/>
    <w:rsid w:val="00791212"/>
    <w:rsid w:val="0079122C"/>
    <w:rsid w:val="00791248"/>
    <w:rsid w:val="00791278"/>
    <w:rsid w:val="00791291"/>
    <w:rsid w:val="007912A5"/>
    <w:rsid w:val="007912DB"/>
    <w:rsid w:val="007912F6"/>
    <w:rsid w:val="0079131A"/>
    <w:rsid w:val="00791328"/>
    <w:rsid w:val="00791334"/>
    <w:rsid w:val="00791367"/>
    <w:rsid w:val="00791375"/>
    <w:rsid w:val="007913C9"/>
    <w:rsid w:val="007913E0"/>
    <w:rsid w:val="00791419"/>
    <w:rsid w:val="0079141F"/>
    <w:rsid w:val="00791447"/>
    <w:rsid w:val="007914A1"/>
    <w:rsid w:val="007914D0"/>
    <w:rsid w:val="007914FB"/>
    <w:rsid w:val="00791558"/>
    <w:rsid w:val="007915D8"/>
    <w:rsid w:val="0079160D"/>
    <w:rsid w:val="00791651"/>
    <w:rsid w:val="007916BD"/>
    <w:rsid w:val="0079171F"/>
    <w:rsid w:val="007917BF"/>
    <w:rsid w:val="007917CE"/>
    <w:rsid w:val="0079185F"/>
    <w:rsid w:val="00791873"/>
    <w:rsid w:val="007918D0"/>
    <w:rsid w:val="0079190D"/>
    <w:rsid w:val="00791977"/>
    <w:rsid w:val="0079198E"/>
    <w:rsid w:val="007919AA"/>
    <w:rsid w:val="007919BC"/>
    <w:rsid w:val="007919BD"/>
    <w:rsid w:val="00791A32"/>
    <w:rsid w:val="00791A57"/>
    <w:rsid w:val="00791A6D"/>
    <w:rsid w:val="00791AD8"/>
    <w:rsid w:val="00791B2E"/>
    <w:rsid w:val="00791BB3"/>
    <w:rsid w:val="00791C29"/>
    <w:rsid w:val="00791C3A"/>
    <w:rsid w:val="00791CCD"/>
    <w:rsid w:val="00791D40"/>
    <w:rsid w:val="00791D6F"/>
    <w:rsid w:val="00791DCF"/>
    <w:rsid w:val="00791E36"/>
    <w:rsid w:val="00791E55"/>
    <w:rsid w:val="00791EA7"/>
    <w:rsid w:val="00791ED1"/>
    <w:rsid w:val="0079204D"/>
    <w:rsid w:val="0079205B"/>
    <w:rsid w:val="00792091"/>
    <w:rsid w:val="007920DF"/>
    <w:rsid w:val="00792123"/>
    <w:rsid w:val="00792156"/>
    <w:rsid w:val="00792190"/>
    <w:rsid w:val="007921A9"/>
    <w:rsid w:val="007922A5"/>
    <w:rsid w:val="00792340"/>
    <w:rsid w:val="007923EA"/>
    <w:rsid w:val="0079249A"/>
    <w:rsid w:val="007924DB"/>
    <w:rsid w:val="007924E6"/>
    <w:rsid w:val="0079251A"/>
    <w:rsid w:val="00792527"/>
    <w:rsid w:val="0079257C"/>
    <w:rsid w:val="007925CE"/>
    <w:rsid w:val="007925E5"/>
    <w:rsid w:val="007925F0"/>
    <w:rsid w:val="00792627"/>
    <w:rsid w:val="007926E8"/>
    <w:rsid w:val="00792767"/>
    <w:rsid w:val="0079276E"/>
    <w:rsid w:val="00792780"/>
    <w:rsid w:val="00792832"/>
    <w:rsid w:val="00792886"/>
    <w:rsid w:val="007928AB"/>
    <w:rsid w:val="007928DA"/>
    <w:rsid w:val="007928FC"/>
    <w:rsid w:val="00792913"/>
    <w:rsid w:val="0079292C"/>
    <w:rsid w:val="007929BB"/>
    <w:rsid w:val="007929CA"/>
    <w:rsid w:val="00792A5F"/>
    <w:rsid w:val="00792A83"/>
    <w:rsid w:val="00792ACE"/>
    <w:rsid w:val="00792AD6"/>
    <w:rsid w:val="00792B6F"/>
    <w:rsid w:val="00792B80"/>
    <w:rsid w:val="00792B92"/>
    <w:rsid w:val="00792B9B"/>
    <w:rsid w:val="00792BBE"/>
    <w:rsid w:val="00792C25"/>
    <w:rsid w:val="00792C2E"/>
    <w:rsid w:val="00792C37"/>
    <w:rsid w:val="00792C50"/>
    <w:rsid w:val="00792C66"/>
    <w:rsid w:val="00792CC4"/>
    <w:rsid w:val="00792CE1"/>
    <w:rsid w:val="00792D14"/>
    <w:rsid w:val="00792D19"/>
    <w:rsid w:val="00792D1B"/>
    <w:rsid w:val="00792D96"/>
    <w:rsid w:val="00792DE7"/>
    <w:rsid w:val="00792DFF"/>
    <w:rsid w:val="00792E15"/>
    <w:rsid w:val="00792E51"/>
    <w:rsid w:val="00792EB6"/>
    <w:rsid w:val="00792F0A"/>
    <w:rsid w:val="00792FAD"/>
    <w:rsid w:val="00792FFB"/>
    <w:rsid w:val="00793039"/>
    <w:rsid w:val="00793060"/>
    <w:rsid w:val="007930B9"/>
    <w:rsid w:val="0079310A"/>
    <w:rsid w:val="00793113"/>
    <w:rsid w:val="00793186"/>
    <w:rsid w:val="007931A1"/>
    <w:rsid w:val="007931FD"/>
    <w:rsid w:val="0079321C"/>
    <w:rsid w:val="0079325C"/>
    <w:rsid w:val="00793287"/>
    <w:rsid w:val="007932B8"/>
    <w:rsid w:val="00793303"/>
    <w:rsid w:val="007933BD"/>
    <w:rsid w:val="007933D7"/>
    <w:rsid w:val="007933E6"/>
    <w:rsid w:val="0079343F"/>
    <w:rsid w:val="0079347D"/>
    <w:rsid w:val="00793482"/>
    <w:rsid w:val="007934A8"/>
    <w:rsid w:val="0079354F"/>
    <w:rsid w:val="00793632"/>
    <w:rsid w:val="007936D7"/>
    <w:rsid w:val="007936E9"/>
    <w:rsid w:val="00793704"/>
    <w:rsid w:val="0079376C"/>
    <w:rsid w:val="00793779"/>
    <w:rsid w:val="007937E1"/>
    <w:rsid w:val="00793829"/>
    <w:rsid w:val="00793861"/>
    <w:rsid w:val="007938A7"/>
    <w:rsid w:val="007938CA"/>
    <w:rsid w:val="0079395D"/>
    <w:rsid w:val="0079398A"/>
    <w:rsid w:val="007939A2"/>
    <w:rsid w:val="007939DD"/>
    <w:rsid w:val="00793A44"/>
    <w:rsid w:val="00793B07"/>
    <w:rsid w:val="00793BAC"/>
    <w:rsid w:val="00793BB3"/>
    <w:rsid w:val="00793BD9"/>
    <w:rsid w:val="00793C07"/>
    <w:rsid w:val="00793C6D"/>
    <w:rsid w:val="00793C7C"/>
    <w:rsid w:val="00793C7F"/>
    <w:rsid w:val="00793CB6"/>
    <w:rsid w:val="00793CCB"/>
    <w:rsid w:val="00793D0A"/>
    <w:rsid w:val="00793D12"/>
    <w:rsid w:val="00793D2C"/>
    <w:rsid w:val="00793D4D"/>
    <w:rsid w:val="00793D6D"/>
    <w:rsid w:val="00793EA6"/>
    <w:rsid w:val="00793EDB"/>
    <w:rsid w:val="00793EF6"/>
    <w:rsid w:val="00793F43"/>
    <w:rsid w:val="00793F5C"/>
    <w:rsid w:val="00793F8A"/>
    <w:rsid w:val="00793F92"/>
    <w:rsid w:val="00793F9F"/>
    <w:rsid w:val="00793FA6"/>
    <w:rsid w:val="0079403A"/>
    <w:rsid w:val="0079403B"/>
    <w:rsid w:val="00794056"/>
    <w:rsid w:val="00794084"/>
    <w:rsid w:val="0079408C"/>
    <w:rsid w:val="007940BA"/>
    <w:rsid w:val="007940DB"/>
    <w:rsid w:val="007940FE"/>
    <w:rsid w:val="00794103"/>
    <w:rsid w:val="0079414E"/>
    <w:rsid w:val="00794185"/>
    <w:rsid w:val="00794214"/>
    <w:rsid w:val="00794269"/>
    <w:rsid w:val="00794280"/>
    <w:rsid w:val="0079428C"/>
    <w:rsid w:val="0079428E"/>
    <w:rsid w:val="0079430F"/>
    <w:rsid w:val="00794313"/>
    <w:rsid w:val="00794318"/>
    <w:rsid w:val="00794368"/>
    <w:rsid w:val="007943C7"/>
    <w:rsid w:val="007943F9"/>
    <w:rsid w:val="00794430"/>
    <w:rsid w:val="00794479"/>
    <w:rsid w:val="007944BB"/>
    <w:rsid w:val="00794534"/>
    <w:rsid w:val="0079454E"/>
    <w:rsid w:val="007945DE"/>
    <w:rsid w:val="007945F3"/>
    <w:rsid w:val="0079467A"/>
    <w:rsid w:val="0079467F"/>
    <w:rsid w:val="00794682"/>
    <w:rsid w:val="00794702"/>
    <w:rsid w:val="0079470F"/>
    <w:rsid w:val="00794749"/>
    <w:rsid w:val="007947A2"/>
    <w:rsid w:val="007947BA"/>
    <w:rsid w:val="00794836"/>
    <w:rsid w:val="00794840"/>
    <w:rsid w:val="00794851"/>
    <w:rsid w:val="0079487E"/>
    <w:rsid w:val="00794899"/>
    <w:rsid w:val="007948EC"/>
    <w:rsid w:val="0079490E"/>
    <w:rsid w:val="0079491B"/>
    <w:rsid w:val="00794956"/>
    <w:rsid w:val="0079498C"/>
    <w:rsid w:val="00794994"/>
    <w:rsid w:val="00794A29"/>
    <w:rsid w:val="00794AB1"/>
    <w:rsid w:val="00794ADF"/>
    <w:rsid w:val="00794B2E"/>
    <w:rsid w:val="00794BBF"/>
    <w:rsid w:val="00794BCB"/>
    <w:rsid w:val="00794C03"/>
    <w:rsid w:val="00794C0B"/>
    <w:rsid w:val="00794C1F"/>
    <w:rsid w:val="00794C91"/>
    <w:rsid w:val="00794D46"/>
    <w:rsid w:val="00794D93"/>
    <w:rsid w:val="00794D9C"/>
    <w:rsid w:val="00794E02"/>
    <w:rsid w:val="00794E05"/>
    <w:rsid w:val="00794E1E"/>
    <w:rsid w:val="00794E52"/>
    <w:rsid w:val="00794E92"/>
    <w:rsid w:val="00794EB4"/>
    <w:rsid w:val="00794EE4"/>
    <w:rsid w:val="00794F15"/>
    <w:rsid w:val="00794F50"/>
    <w:rsid w:val="00794F70"/>
    <w:rsid w:val="00794F7D"/>
    <w:rsid w:val="00794F95"/>
    <w:rsid w:val="00794FD7"/>
    <w:rsid w:val="00794FF2"/>
    <w:rsid w:val="00795001"/>
    <w:rsid w:val="00795050"/>
    <w:rsid w:val="00795095"/>
    <w:rsid w:val="007950AB"/>
    <w:rsid w:val="007950F7"/>
    <w:rsid w:val="0079526D"/>
    <w:rsid w:val="007952B9"/>
    <w:rsid w:val="007952E8"/>
    <w:rsid w:val="00795336"/>
    <w:rsid w:val="00795351"/>
    <w:rsid w:val="00795397"/>
    <w:rsid w:val="007953AE"/>
    <w:rsid w:val="00795416"/>
    <w:rsid w:val="00795418"/>
    <w:rsid w:val="00795500"/>
    <w:rsid w:val="00795507"/>
    <w:rsid w:val="00795569"/>
    <w:rsid w:val="00795573"/>
    <w:rsid w:val="007955B0"/>
    <w:rsid w:val="00795630"/>
    <w:rsid w:val="00795657"/>
    <w:rsid w:val="007956D0"/>
    <w:rsid w:val="007956D8"/>
    <w:rsid w:val="007956DE"/>
    <w:rsid w:val="0079572B"/>
    <w:rsid w:val="0079575B"/>
    <w:rsid w:val="0079576C"/>
    <w:rsid w:val="007957BE"/>
    <w:rsid w:val="007957F1"/>
    <w:rsid w:val="00795821"/>
    <w:rsid w:val="00795826"/>
    <w:rsid w:val="00795879"/>
    <w:rsid w:val="0079587C"/>
    <w:rsid w:val="00795893"/>
    <w:rsid w:val="007958A1"/>
    <w:rsid w:val="00795944"/>
    <w:rsid w:val="0079597B"/>
    <w:rsid w:val="007959A5"/>
    <w:rsid w:val="00795A5B"/>
    <w:rsid w:val="00795AD1"/>
    <w:rsid w:val="00795AE2"/>
    <w:rsid w:val="00795BB0"/>
    <w:rsid w:val="00795C55"/>
    <w:rsid w:val="00795C6F"/>
    <w:rsid w:val="00795C92"/>
    <w:rsid w:val="00795D99"/>
    <w:rsid w:val="00795DB7"/>
    <w:rsid w:val="00795DC7"/>
    <w:rsid w:val="00795E06"/>
    <w:rsid w:val="00795E54"/>
    <w:rsid w:val="00795EAD"/>
    <w:rsid w:val="00795EB2"/>
    <w:rsid w:val="00795EF9"/>
    <w:rsid w:val="00795F0A"/>
    <w:rsid w:val="00795F7C"/>
    <w:rsid w:val="00795F94"/>
    <w:rsid w:val="00795FB6"/>
    <w:rsid w:val="00796037"/>
    <w:rsid w:val="00796061"/>
    <w:rsid w:val="007960B4"/>
    <w:rsid w:val="007960DB"/>
    <w:rsid w:val="007960F5"/>
    <w:rsid w:val="00796206"/>
    <w:rsid w:val="0079625A"/>
    <w:rsid w:val="00796268"/>
    <w:rsid w:val="0079626C"/>
    <w:rsid w:val="00796290"/>
    <w:rsid w:val="00796298"/>
    <w:rsid w:val="007962A6"/>
    <w:rsid w:val="00796306"/>
    <w:rsid w:val="00796343"/>
    <w:rsid w:val="0079638E"/>
    <w:rsid w:val="007963EA"/>
    <w:rsid w:val="007963EB"/>
    <w:rsid w:val="007963ED"/>
    <w:rsid w:val="0079644B"/>
    <w:rsid w:val="00796517"/>
    <w:rsid w:val="00796518"/>
    <w:rsid w:val="0079651B"/>
    <w:rsid w:val="00796565"/>
    <w:rsid w:val="00796569"/>
    <w:rsid w:val="00796590"/>
    <w:rsid w:val="00796695"/>
    <w:rsid w:val="007966C5"/>
    <w:rsid w:val="007966DE"/>
    <w:rsid w:val="00796706"/>
    <w:rsid w:val="00796711"/>
    <w:rsid w:val="00796723"/>
    <w:rsid w:val="0079674D"/>
    <w:rsid w:val="007967C9"/>
    <w:rsid w:val="00796819"/>
    <w:rsid w:val="00796841"/>
    <w:rsid w:val="0079687A"/>
    <w:rsid w:val="0079697C"/>
    <w:rsid w:val="007969B2"/>
    <w:rsid w:val="00796AE5"/>
    <w:rsid w:val="00796B4F"/>
    <w:rsid w:val="00796BBE"/>
    <w:rsid w:val="00796BC8"/>
    <w:rsid w:val="00796BCB"/>
    <w:rsid w:val="00796C44"/>
    <w:rsid w:val="00796C9C"/>
    <w:rsid w:val="00796CDF"/>
    <w:rsid w:val="00796D08"/>
    <w:rsid w:val="00796D62"/>
    <w:rsid w:val="00796D6F"/>
    <w:rsid w:val="00796DAF"/>
    <w:rsid w:val="00796E38"/>
    <w:rsid w:val="00796EAF"/>
    <w:rsid w:val="00796F08"/>
    <w:rsid w:val="00796F55"/>
    <w:rsid w:val="00796F83"/>
    <w:rsid w:val="00796FB9"/>
    <w:rsid w:val="00797043"/>
    <w:rsid w:val="0079707D"/>
    <w:rsid w:val="007970C9"/>
    <w:rsid w:val="007970D9"/>
    <w:rsid w:val="007970F5"/>
    <w:rsid w:val="00797179"/>
    <w:rsid w:val="00797181"/>
    <w:rsid w:val="0079726B"/>
    <w:rsid w:val="007972EE"/>
    <w:rsid w:val="00797301"/>
    <w:rsid w:val="00797342"/>
    <w:rsid w:val="0079738B"/>
    <w:rsid w:val="00797390"/>
    <w:rsid w:val="007973D4"/>
    <w:rsid w:val="007973D6"/>
    <w:rsid w:val="0079740A"/>
    <w:rsid w:val="00797437"/>
    <w:rsid w:val="007974A6"/>
    <w:rsid w:val="00797550"/>
    <w:rsid w:val="0079755D"/>
    <w:rsid w:val="00797587"/>
    <w:rsid w:val="007975C3"/>
    <w:rsid w:val="007975DF"/>
    <w:rsid w:val="007975F4"/>
    <w:rsid w:val="00797663"/>
    <w:rsid w:val="00797668"/>
    <w:rsid w:val="007976E3"/>
    <w:rsid w:val="007976E4"/>
    <w:rsid w:val="007976F6"/>
    <w:rsid w:val="0079770B"/>
    <w:rsid w:val="00797748"/>
    <w:rsid w:val="00797758"/>
    <w:rsid w:val="0079777F"/>
    <w:rsid w:val="007977BF"/>
    <w:rsid w:val="007977C8"/>
    <w:rsid w:val="00797806"/>
    <w:rsid w:val="00797831"/>
    <w:rsid w:val="00797846"/>
    <w:rsid w:val="0079785F"/>
    <w:rsid w:val="0079787C"/>
    <w:rsid w:val="00797883"/>
    <w:rsid w:val="007978AB"/>
    <w:rsid w:val="007978B8"/>
    <w:rsid w:val="007978D5"/>
    <w:rsid w:val="007978F4"/>
    <w:rsid w:val="00797914"/>
    <w:rsid w:val="0079795C"/>
    <w:rsid w:val="007979D0"/>
    <w:rsid w:val="007979D8"/>
    <w:rsid w:val="00797A4B"/>
    <w:rsid w:val="00797A63"/>
    <w:rsid w:val="00797AB6"/>
    <w:rsid w:val="00797AD3"/>
    <w:rsid w:val="00797AE5"/>
    <w:rsid w:val="00797AF4"/>
    <w:rsid w:val="00797B01"/>
    <w:rsid w:val="00797CA5"/>
    <w:rsid w:val="00797CB8"/>
    <w:rsid w:val="00797D34"/>
    <w:rsid w:val="00797D59"/>
    <w:rsid w:val="00797D98"/>
    <w:rsid w:val="00797DBA"/>
    <w:rsid w:val="00797DE7"/>
    <w:rsid w:val="00797E67"/>
    <w:rsid w:val="00797F2F"/>
    <w:rsid w:val="00797F54"/>
    <w:rsid w:val="00797F96"/>
    <w:rsid w:val="007A0047"/>
    <w:rsid w:val="007A0048"/>
    <w:rsid w:val="007A004B"/>
    <w:rsid w:val="007A00B1"/>
    <w:rsid w:val="007A00CD"/>
    <w:rsid w:val="007A00D7"/>
    <w:rsid w:val="007A0185"/>
    <w:rsid w:val="007A01AF"/>
    <w:rsid w:val="007A01F6"/>
    <w:rsid w:val="007A0282"/>
    <w:rsid w:val="007A028B"/>
    <w:rsid w:val="007A02A6"/>
    <w:rsid w:val="007A02D6"/>
    <w:rsid w:val="007A031B"/>
    <w:rsid w:val="007A031C"/>
    <w:rsid w:val="007A0338"/>
    <w:rsid w:val="007A0392"/>
    <w:rsid w:val="007A03A8"/>
    <w:rsid w:val="007A03B2"/>
    <w:rsid w:val="007A03C4"/>
    <w:rsid w:val="007A040C"/>
    <w:rsid w:val="007A0427"/>
    <w:rsid w:val="007A04A8"/>
    <w:rsid w:val="007A04FE"/>
    <w:rsid w:val="007A0505"/>
    <w:rsid w:val="007A0509"/>
    <w:rsid w:val="007A0552"/>
    <w:rsid w:val="007A0556"/>
    <w:rsid w:val="007A055A"/>
    <w:rsid w:val="007A0571"/>
    <w:rsid w:val="007A0573"/>
    <w:rsid w:val="007A058B"/>
    <w:rsid w:val="007A0623"/>
    <w:rsid w:val="007A0755"/>
    <w:rsid w:val="007A07A1"/>
    <w:rsid w:val="007A07A7"/>
    <w:rsid w:val="007A07CC"/>
    <w:rsid w:val="007A0897"/>
    <w:rsid w:val="007A08B9"/>
    <w:rsid w:val="007A0935"/>
    <w:rsid w:val="007A0952"/>
    <w:rsid w:val="007A0966"/>
    <w:rsid w:val="007A0999"/>
    <w:rsid w:val="007A09E6"/>
    <w:rsid w:val="007A09FC"/>
    <w:rsid w:val="007A0A00"/>
    <w:rsid w:val="007A0A04"/>
    <w:rsid w:val="007A0A41"/>
    <w:rsid w:val="007A0A7B"/>
    <w:rsid w:val="007A0ADB"/>
    <w:rsid w:val="007A0AEC"/>
    <w:rsid w:val="007A0AED"/>
    <w:rsid w:val="007A0B24"/>
    <w:rsid w:val="007A0BC8"/>
    <w:rsid w:val="007A0BCB"/>
    <w:rsid w:val="007A0C43"/>
    <w:rsid w:val="007A0C4C"/>
    <w:rsid w:val="007A0C99"/>
    <w:rsid w:val="007A0CE6"/>
    <w:rsid w:val="007A0D28"/>
    <w:rsid w:val="007A0D41"/>
    <w:rsid w:val="007A0D89"/>
    <w:rsid w:val="007A0DDF"/>
    <w:rsid w:val="007A0DE9"/>
    <w:rsid w:val="007A0DFA"/>
    <w:rsid w:val="007A0E28"/>
    <w:rsid w:val="007A0E43"/>
    <w:rsid w:val="007A0EEA"/>
    <w:rsid w:val="007A0F19"/>
    <w:rsid w:val="007A0F35"/>
    <w:rsid w:val="007A0F45"/>
    <w:rsid w:val="007A0F76"/>
    <w:rsid w:val="007A0FE0"/>
    <w:rsid w:val="007A0FFB"/>
    <w:rsid w:val="007A0FFE"/>
    <w:rsid w:val="007A1030"/>
    <w:rsid w:val="007A1060"/>
    <w:rsid w:val="007A1067"/>
    <w:rsid w:val="007A1092"/>
    <w:rsid w:val="007A109E"/>
    <w:rsid w:val="007A10C5"/>
    <w:rsid w:val="007A10CF"/>
    <w:rsid w:val="007A10E7"/>
    <w:rsid w:val="007A1143"/>
    <w:rsid w:val="007A11C7"/>
    <w:rsid w:val="007A11E0"/>
    <w:rsid w:val="007A1228"/>
    <w:rsid w:val="007A123B"/>
    <w:rsid w:val="007A124B"/>
    <w:rsid w:val="007A124F"/>
    <w:rsid w:val="007A126A"/>
    <w:rsid w:val="007A126D"/>
    <w:rsid w:val="007A12B0"/>
    <w:rsid w:val="007A12C8"/>
    <w:rsid w:val="007A12CE"/>
    <w:rsid w:val="007A134C"/>
    <w:rsid w:val="007A13BE"/>
    <w:rsid w:val="007A1433"/>
    <w:rsid w:val="007A1478"/>
    <w:rsid w:val="007A1584"/>
    <w:rsid w:val="007A15A4"/>
    <w:rsid w:val="007A15CB"/>
    <w:rsid w:val="007A1661"/>
    <w:rsid w:val="007A166E"/>
    <w:rsid w:val="007A16D9"/>
    <w:rsid w:val="007A1777"/>
    <w:rsid w:val="007A178D"/>
    <w:rsid w:val="007A1794"/>
    <w:rsid w:val="007A17AA"/>
    <w:rsid w:val="007A1816"/>
    <w:rsid w:val="007A181C"/>
    <w:rsid w:val="007A1917"/>
    <w:rsid w:val="007A19AE"/>
    <w:rsid w:val="007A19BB"/>
    <w:rsid w:val="007A1A99"/>
    <w:rsid w:val="007A1ACE"/>
    <w:rsid w:val="007A1B32"/>
    <w:rsid w:val="007A1BB7"/>
    <w:rsid w:val="007A1BDF"/>
    <w:rsid w:val="007A1BFC"/>
    <w:rsid w:val="007A1BFF"/>
    <w:rsid w:val="007A1C22"/>
    <w:rsid w:val="007A1C92"/>
    <w:rsid w:val="007A1D05"/>
    <w:rsid w:val="007A1D28"/>
    <w:rsid w:val="007A1D50"/>
    <w:rsid w:val="007A1DA3"/>
    <w:rsid w:val="007A1DE0"/>
    <w:rsid w:val="007A1E42"/>
    <w:rsid w:val="007A1E8D"/>
    <w:rsid w:val="007A1EA4"/>
    <w:rsid w:val="007A1F1F"/>
    <w:rsid w:val="007A1F3E"/>
    <w:rsid w:val="007A1F4B"/>
    <w:rsid w:val="007A1F60"/>
    <w:rsid w:val="007A1FFF"/>
    <w:rsid w:val="007A20C1"/>
    <w:rsid w:val="007A2193"/>
    <w:rsid w:val="007A21D3"/>
    <w:rsid w:val="007A2216"/>
    <w:rsid w:val="007A2238"/>
    <w:rsid w:val="007A229D"/>
    <w:rsid w:val="007A2329"/>
    <w:rsid w:val="007A23CA"/>
    <w:rsid w:val="007A23F1"/>
    <w:rsid w:val="007A2417"/>
    <w:rsid w:val="007A242D"/>
    <w:rsid w:val="007A245A"/>
    <w:rsid w:val="007A247E"/>
    <w:rsid w:val="007A24C1"/>
    <w:rsid w:val="007A24FB"/>
    <w:rsid w:val="007A2532"/>
    <w:rsid w:val="007A253A"/>
    <w:rsid w:val="007A2544"/>
    <w:rsid w:val="007A25B4"/>
    <w:rsid w:val="007A25E2"/>
    <w:rsid w:val="007A25FC"/>
    <w:rsid w:val="007A2635"/>
    <w:rsid w:val="007A265F"/>
    <w:rsid w:val="007A26CD"/>
    <w:rsid w:val="007A2715"/>
    <w:rsid w:val="007A2797"/>
    <w:rsid w:val="007A27AA"/>
    <w:rsid w:val="007A27D2"/>
    <w:rsid w:val="007A27D4"/>
    <w:rsid w:val="007A27D8"/>
    <w:rsid w:val="007A27FE"/>
    <w:rsid w:val="007A28A5"/>
    <w:rsid w:val="007A28BC"/>
    <w:rsid w:val="007A28F0"/>
    <w:rsid w:val="007A2956"/>
    <w:rsid w:val="007A2993"/>
    <w:rsid w:val="007A29B3"/>
    <w:rsid w:val="007A2A29"/>
    <w:rsid w:val="007A2AA2"/>
    <w:rsid w:val="007A2AB5"/>
    <w:rsid w:val="007A2ACB"/>
    <w:rsid w:val="007A2AE0"/>
    <w:rsid w:val="007A2AF7"/>
    <w:rsid w:val="007A2B32"/>
    <w:rsid w:val="007A2B5B"/>
    <w:rsid w:val="007A2B80"/>
    <w:rsid w:val="007A2B94"/>
    <w:rsid w:val="007A2C87"/>
    <w:rsid w:val="007A2CFC"/>
    <w:rsid w:val="007A2D1F"/>
    <w:rsid w:val="007A2D73"/>
    <w:rsid w:val="007A2D77"/>
    <w:rsid w:val="007A2DE6"/>
    <w:rsid w:val="007A2E20"/>
    <w:rsid w:val="007A2E3D"/>
    <w:rsid w:val="007A2E6B"/>
    <w:rsid w:val="007A2E6E"/>
    <w:rsid w:val="007A2EB7"/>
    <w:rsid w:val="007A2EE2"/>
    <w:rsid w:val="007A2FA0"/>
    <w:rsid w:val="007A302A"/>
    <w:rsid w:val="007A304E"/>
    <w:rsid w:val="007A3091"/>
    <w:rsid w:val="007A30AD"/>
    <w:rsid w:val="007A30CC"/>
    <w:rsid w:val="007A30D3"/>
    <w:rsid w:val="007A30F0"/>
    <w:rsid w:val="007A311C"/>
    <w:rsid w:val="007A313C"/>
    <w:rsid w:val="007A3164"/>
    <w:rsid w:val="007A3167"/>
    <w:rsid w:val="007A3193"/>
    <w:rsid w:val="007A31BB"/>
    <w:rsid w:val="007A31D6"/>
    <w:rsid w:val="007A31E0"/>
    <w:rsid w:val="007A31E3"/>
    <w:rsid w:val="007A31F7"/>
    <w:rsid w:val="007A321C"/>
    <w:rsid w:val="007A3224"/>
    <w:rsid w:val="007A322F"/>
    <w:rsid w:val="007A325A"/>
    <w:rsid w:val="007A3289"/>
    <w:rsid w:val="007A32B8"/>
    <w:rsid w:val="007A32E1"/>
    <w:rsid w:val="007A334D"/>
    <w:rsid w:val="007A33D7"/>
    <w:rsid w:val="007A33DA"/>
    <w:rsid w:val="007A33F9"/>
    <w:rsid w:val="007A3435"/>
    <w:rsid w:val="007A34EF"/>
    <w:rsid w:val="007A34F7"/>
    <w:rsid w:val="007A3506"/>
    <w:rsid w:val="007A3507"/>
    <w:rsid w:val="007A35AE"/>
    <w:rsid w:val="007A35EB"/>
    <w:rsid w:val="007A3606"/>
    <w:rsid w:val="007A3621"/>
    <w:rsid w:val="007A3622"/>
    <w:rsid w:val="007A364E"/>
    <w:rsid w:val="007A369C"/>
    <w:rsid w:val="007A36A7"/>
    <w:rsid w:val="007A36AC"/>
    <w:rsid w:val="007A36BA"/>
    <w:rsid w:val="007A36E7"/>
    <w:rsid w:val="007A36F0"/>
    <w:rsid w:val="007A371F"/>
    <w:rsid w:val="007A374B"/>
    <w:rsid w:val="007A37B9"/>
    <w:rsid w:val="007A37C1"/>
    <w:rsid w:val="007A37FC"/>
    <w:rsid w:val="007A3809"/>
    <w:rsid w:val="007A388F"/>
    <w:rsid w:val="007A389E"/>
    <w:rsid w:val="007A38E6"/>
    <w:rsid w:val="007A391B"/>
    <w:rsid w:val="007A396D"/>
    <w:rsid w:val="007A3999"/>
    <w:rsid w:val="007A39FC"/>
    <w:rsid w:val="007A3A09"/>
    <w:rsid w:val="007A3A79"/>
    <w:rsid w:val="007A3A8F"/>
    <w:rsid w:val="007A3B83"/>
    <w:rsid w:val="007A3B98"/>
    <w:rsid w:val="007A3BA7"/>
    <w:rsid w:val="007A3BCF"/>
    <w:rsid w:val="007A3BEA"/>
    <w:rsid w:val="007A3BF5"/>
    <w:rsid w:val="007A3C10"/>
    <w:rsid w:val="007A3C95"/>
    <w:rsid w:val="007A3CE9"/>
    <w:rsid w:val="007A3D73"/>
    <w:rsid w:val="007A3DA5"/>
    <w:rsid w:val="007A3E26"/>
    <w:rsid w:val="007A3EA1"/>
    <w:rsid w:val="007A3F35"/>
    <w:rsid w:val="007A3F40"/>
    <w:rsid w:val="007A3F5A"/>
    <w:rsid w:val="007A3FA1"/>
    <w:rsid w:val="007A3FF7"/>
    <w:rsid w:val="007A401C"/>
    <w:rsid w:val="007A40B6"/>
    <w:rsid w:val="007A411D"/>
    <w:rsid w:val="007A413A"/>
    <w:rsid w:val="007A415E"/>
    <w:rsid w:val="007A418A"/>
    <w:rsid w:val="007A41D0"/>
    <w:rsid w:val="007A42BD"/>
    <w:rsid w:val="007A42D0"/>
    <w:rsid w:val="007A4399"/>
    <w:rsid w:val="007A43BA"/>
    <w:rsid w:val="007A43E1"/>
    <w:rsid w:val="007A4401"/>
    <w:rsid w:val="007A4453"/>
    <w:rsid w:val="007A4471"/>
    <w:rsid w:val="007A4477"/>
    <w:rsid w:val="007A4496"/>
    <w:rsid w:val="007A449F"/>
    <w:rsid w:val="007A44EF"/>
    <w:rsid w:val="007A450D"/>
    <w:rsid w:val="007A451D"/>
    <w:rsid w:val="007A454E"/>
    <w:rsid w:val="007A4552"/>
    <w:rsid w:val="007A4558"/>
    <w:rsid w:val="007A455C"/>
    <w:rsid w:val="007A45C2"/>
    <w:rsid w:val="007A45E4"/>
    <w:rsid w:val="007A45E6"/>
    <w:rsid w:val="007A461A"/>
    <w:rsid w:val="007A4672"/>
    <w:rsid w:val="007A46CD"/>
    <w:rsid w:val="007A46CE"/>
    <w:rsid w:val="007A47F4"/>
    <w:rsid w:val="007A4816"/>
    <w:rsid w:val="007A4866"/>
    <w:rsid w:val="007A4871"/>
    <w:rsid w:val="007A4875"/>
    <w:rsid w:val="007A4877"/>
    <w:rsid w:val="007A489E"/>
    <w:rsid w:val="007A48B0"/>
    <w:rsid w:val="007A48F6"/>
    <w:rsid w:val="007A4926"/>
    <w:rsid w:val="007A49C4"/>
    <w:rsid w:val="007A49C7"/>
    <w:rsid w:val="007A49DF"/>
    <w:rsid w:val="007A4A19"/>
    <w:rsid w:val="007A4A21"/>
    <w:rsid w:val="007A4A62"/>
    <w:rsid w:val="007A4A6F"/>
    <w:rsid w:val="007A4AF4"/>
    <w:rsid w:val="007A4B3B"/>
    <w:rsid w:val="007A4B7C"/>
    <w:rsid w:val="007A4BE2"/>
    <w:rsid w:val="007A4CE3"/>
    <w:rsid w:val="007A4D57"/>
    <w:rsid w:val="007A4D68"/>
    <w:rsid w:val="007A4E3D"/>
    <w:rsid w:val="007A4EF7"/>
    <w:rsid w:val="007A4F59"/>
    <w:rsid w:val="007A4F88"/>
    <w:rsid w:val="007A4FA3"/>
    <w:rsid w:val="007A5005"/>
    <w:rsid w:val="007A50F7"/>
    <w:rsid w:val="007A5130"/>
    <w:rsid w:val="007A513B"/>
    <w:rsid w:val="007A5188"/>
    <w:rsid w:val="007A518B"/>
    <w:rsid w:val="007A5198"/>
    <w:rsid w:val="007A51F1"/>
    <w:rsid w:val="007A51FD"/>
    <w:rsid w:val="007A5200"/>
    <w:rsid w:val="007A5230"/>
    <w:rsid w:val="007A52A7"/>
    <w:rsid w:val="007A5322"/>
    <w:rsid w:val="007A5330"/>
    <w:rsid w:val="007A538D"/>
    <w:rsid w:val="007A53AA"/>
    <w:rsid w:val="007A53C4"/>
    <w:rsid w:val="007A5402"/>
    <w:rsid w:val="007A5413"/>
    <w:rsid w:val="007A5428"/>
    <w:rsid w:val="007A5434"/>
    <w:rsid w:val="007A5483"/>
    <w:rsid w:val="007A5493"/>
    <w:rsid w:val="007A54D0"/>
    <w:rsid w:val="007A54D1"/>
    <w:rsid w:val="007A5530"/>
    <w:rsid w:val="007A558E"/>
    <w:rsid w:val="007A55C1"/>
    <w:rsid w:val="007A55C4"/>
    <w:rsid w:val="007A55C8"/>
    <w:rsid w:val="007A55D8"/>
    <w:rsid w:val="007A55F0"/>
    <w:rsid w:val="007A56BB"/>
    <w:rsid w:val="007A5748"/>
    <w:rsid w:val="007A5791"/>
    <w:rsid w:val="007A57DB"/>
    <w:rsid w:val="007A57EC"/>
    <w:rsid w:val="007A5826"/>
    <w:rsid w:val="007A5870"/>
    <w:rsid w:val="007A587F"/>
    <w:rsid w:val="007A5934"/>
    <w:rsid w:val="007A5A1C"/>
    <w:rsid w:val="007A5A1D"/>
    <w:rsid w:val="007A5A71"/>
    <w:rsid w:val="007A5AC0"/>
    <w:rsid w:val="007A5AC3"/>
    <w:rsid w:val="007A5AD1"/>
    <w:rsid w:val="007A5ADB"/>
    <w:rsid w:val="007A5ADC"/>
    <w:rsid w:val="007A5AE0"/>
    <w:rsid w:val="007A5B20"/>
    <w:rsid w:val="007A5B3C"/>
    <w:rsid w:val="007A5B61"/>
    <w:rsid w:val="007A5BF3"/>
    <w:rsid w:val="007A5C3A"/>
    <w:rsid w:val="007A5CCE"/>
    <w:rsid w:val="007A5CD8"/>
    <w:rsid w:val="007A5CFB"/>
    <w:rsid w:val="007A5D17"/>
    <w:rsid w:val="007A5D4C"/>
    <w:rsid w:val="007A5D52"/>
    <w:rsid w:val="007A5D87"/>
    <w:rsid w:val="007A5DAD"/>
    <w:rsid w:val="007A5DB3"/>
    <w:rsid w:val="007A5DD9"/>
    <w:rsid w:val="007A5E2D"/>
    <w:rsid w:val="007A5E66"/>
    <w:rsid w:val="007A5E74"/>
    <w:rsid w:val="007A5E7D"/>
    <w:rsid w:val="007A5E9C"/>
    <w:rsid w:val="007A5EA6"/>
    <w:rsid w:val="007A5ED9"/>
    <w:rsid w:val="007A5EDF"/>
    <w:rsid w:val="007A5F8F"/>
    <w:rsid w:val="007A5F92"/>
    <w:rsid w:val="007A5FDD"/>
    <w:rsid w:val="007A6028"/>
    <w:rsid w:val="007A603C"/>
    <w:rsid w:val="007A6129"/>
    <w:rsid w:val="007A61C3"/>
    <w:rsid w:val="007A6218"/>
    <w:rsid w:val="007A6221"/>
    <w:rsid w:val="007A62FA"/>
    <w:rsid w:val="007A6373"/>
    <w:rsid w:val="007A6384"/>
    <w:rsid w:val="007A63F0"/>
    <w:rsid w:val="007A63F1"/>
    <w:rsid w:val="007A64CD"/>
    <w:rsid w:val="007A64EA"/>
    <w:rsid w:val="007A64F4"/>
    <w:rsid w:val="007A64F5"/>
    <w:rsid w:val="007A65E0"/>
    <w:rsid w:val="007A6648"/>
    <w:rsid w:val="007A6683"/>
    <w:rsid w:val="007A669B"/>
    <w:rsid w:val="007A6719"/>
    <w:rsid w:val="007A67D8"/>
    <w:rsid w:val="007A6835"/>
    <w:rsid w:val="007A686C"/>
    <w:rsid w:val="007A68CA"/>
    <w:rsid w:val="007A68CC"/>
    <w:rsid w:val="007A69FC"/>
    <w:rsid w:val="007A6A02"/>
    <w:rsid w:val="007A6A84"/>
    <w:rsid w:val="007A6A9B"/>
    <w:rsid w:val="007A6AF9"/>
    <w:rsid w:val="007A6AFB"/>
    <w:rsid w:val="007A6B3F"/>
    <w:rsid w:val="007A6B42"/>
    <w:rsid w:val="007A6B68"/>
    <w:rsid w:val="007A6B71"/>
    <w:rsid w:val="007A6BB1"/>
    <w:rsid w:val="007A6BBF"/>
    <w:rsid w:val="007A6C2F"/>
    <w:rsid w:val="007A6CB8"/>
    <w:rsid w:val="007A6D73"/>
    <w:rsid w:val="007A6DF2"/>
    <w:rsid w:val="007A6E4C"/>
    <w:rsid w:val="007A6E5E"/>
    <w:rsid w:val="007A6E6F"/>
    <w:rsid w:val="007A6E75"/>
    <w:rsid w:val="007A6EB4"/>
    <w:rsid w:val="007A6EEA"/>
    <w:rsid w:val="007A6F8F"/>
    <w:rsid w:val="007A6FD2"/>
    <w:rsid w:val="007A7017"/>
    <w:rsid w:val="007A701C"/>
    <w:rsid w:val="007A7024"/>
    <w:rsid w:val="007A7059"/>
    <w:rsid w:val="007A706E"/>
    <w:rsid w:val="007A70BD"/>
    <w:rsid w:val="007A7119"/>
    <w:rsid w:val="007A7140"/>
    <w:rsid w:val="007A716A"/>
    <w:rsid w:val="007A71AD"/>
    <w:rsid w:val="007A723A"/>
    <w:rsid w:val="007A7244"/>
    <w:rsid w:val="007A7260"/>
    <w:rsid w:val="007A7263"/>
    <w:rsid w:val="007A72B0"/>
    <w:rsid w:val="007A7305"/>
    <w:rsid w:val="007A7332"/>
    <w:rsid w:val="007A7334"/>
    <w:rsid w:val="007A7358"/>
    <w:rsid w:val="007A735C"/>
    <w:rsid w:val="007A7377"/>
    <w:rsid w:val="007A7389"/>
    <w:rsid w:val="007A73A9"/>
    <w:rsid w:val="007A73D2"/>
    <w:rsid w:val="007A73ED"/>
    <w:rsid w:val="007A73EE"/>
    <w:rsid w:val="007A7408"/>
    <w:rsid w:val="007A74FB"/>
    <w:rsid w:val="007A7507"/>
    <w:rsid w:val="007A7525"/>
    <w:rsid w:val="007A75C4"/>
    <w:rsid w:val="007A75FC"/>
    <w:rsid w:val="007A7611"/>
    <w:rsid w:val="007A762F"/>
    <w:rsid w:val="007A7637"/>
    <w:rsid w:val="007A7682"/>
    <w:rsid w:val="007A7686"/>
    <w:rsid w:val="007A7694"/>
    <w:rsid w:val="007A7708"/>
    <w:rsid w:val="007A776B"/>
    <w:rsid w:val="007A7779"/>
    <w:rsid w:val="007A7822"/>
    <w:rsid w:val="007A78A7"/>
    <w:rsid w:val="007A78B6"/>
    <w:rsid w:val="007A78B7"/>
    <w:rsid w:val="007A7947"/>
    <w:rsid w:val="007A7964"/>
    <w:rsid w:val="007A7966"/>
    <w:rsid w:val="007A7970"/>
    <w:rsid w:val="007A7994"/>
    <w:rsid w:val="007A7A76"/>
    <w:rsid w:val="007A7A7F"/>
    <w:rsid w:val="007A7A8A"/>
    <w:rsid w:val="007A7A94"/>
    <w:rsid w:val="007A7B53"/>
    <w:rsid w:val="007A7CDB"/>
    <w:rsid w:val="007A7D37"/>
    <w:rsid w:val="007A7D52"/>
    <w:rsid w:val="007A7DD1"/>
    <w:rsid w:val="007A7E25"/>
    <w:rsid w:val="007A7E73"/>
    <w:rsid w:val="007A7EA3"/>
    <w:rsid w:val="007A7FE5"/>
    <w:rsid w:val="007AEE34"/>
    <w:rsid w:val="007B008F"/>
    <w:rsid w:val="007B0171"/>
    <w:rsid w:val="007B01BC"/>
    <w:rsid w:val="007B024F"/>
    <w:rsid w:val="007B0287"/>
    <w:rsid w:val="007B02B9"/>
    <w:rsid w:val="007B02D9"/>
    <w:rsid w:val="007B030C"/>
    <w:rsid w:val="007B0371"/>
    <w:rsid w:val="007B0386"/>
    <w:rsid w:val="007B03E9"/>
    <w:rsid w:val="007B041C"/>
    <w:rsid w:val="007B045B"/>
    <w:rsid w:val="007B0481"/>
    <w:rsid w:val="007B04D4"/>
    <w:rsid w:val="007B050A"/>
    <w:rsid w:val="007B0524"/>
    <w:rsid w:val="007B0528"/>
    <w:rsid w:val="007B058C"/>
    <w:rsid w:val="007B05EE"/>
    <w:rsid w:val="007B063D"/>
    <w:rsid w:val="007B068D"/>
    <w:rsid w:val="007B06A8"/>
    <w:rsid w:val="007B06DB"/>
    <w:rsid w:val="007B06E1"/>
    <w:rsid w:val="007B0720"/>
    <w:rsid w:val="007B0729"/>
    <w:rsid w:val="007B072B"/>
    <w:rsid w:val="007B079B"/>
    <w:rsid w:val="007B07BB"/>
    <w:rsid w:val="007B07BC"/>
    <w:rsid w:val="007B0823"/>
    <w:rsid w:val="007B084C"/>
    <w:rsid w:val="007B0870"/>
    <w:rsid w:val="007B0872"/>
    <w:rsid w:val="007B0879"/>
    <w:rsid w:val="007B087D"/>
    <w:rsid w:val="007B08DF"/>
    <w:rsid w:val="007B0941"/>
    <w:rsid w:val="007B09D8"/>
    <w:rsid w:val="007B0A16"/>
    <w:rsid w:val="007B0A51"/>
    <w:rsid w:val="007B0A52"/>
    <w:rsid w:val="007B0A59"/>
    <w:rsid w:val="007B0A70"/>
    <w:rsid w:val="007B0A77"/>
    <w:rsid w:val="007B0A8F"/>
    <w:rsid w:val="007B0AC2"/>
    <w:rsid w:val="007B0B27"/>
    <w:rsid w:val="007B0B2E"/>
    <w:rsid w:val="007B0BA6"/>
    <w:rsid w:val="007B0BC1"/>
    <w:rsid w:val="007B0C25"/>
    <w:rsid w:val="007B0C27"/>
    <w:rsid w:val="007B0C4B"/>
    <w:rsid w:val="007B0C67"/>
    <w:rsid w:val="007B0C8C"/>
    <w:rsid w:val="007B0CA3"/>
    <w:rsid w:val="007B0CAE"/>
    <w:rsid w:val="007B0D22"/>
    <w:rsid w:val="007B0D41"/>
    <w:rsid w:val="007B0D68"/>
    <w:rsid w:val="007B0DA8"/>
    <w:rsid w:val="007B0DBA"/>
    <w:rsid w:val="007B0DC0"/>
    <w:rsid w:val="007B0DE2"/>
    <w:rsid w:val="007B0E23"/>
    <w:rsid w:val="007B0E37"/>
    <w:rsid w:val="007B0E39"/>
    <w:rsid w:val="007B0EA9"/>
    <w:rsid w:val="007B0EDF"/>
    <w:rsid w:val="007B0EF9"/>
    <w:rsid w:val="007B0F1E"/>
    <w:rsid w:val="007B0F39"/>
    <w:rsid w:val="007B0FE4"/>
    <w:rsid w:val="007B1025"/>
    <w:rsid w:val="007B1074"/>
    <w:rsid w:val="007B1087"/>
    <w:rsid w:val="007B1130"/>
    <w:rsid w:val="007B11C8"/>
    <w:rsid w:val="007B1202"/>
    <w:rsid w:val="007B1229"/>
    <w:rsid w:val="007B1295"/>
    <w:rsid w:val="007B134D"/>
    <w:rsid w:val="007B13BD"/>
    <w:rsid w:val="007B13D3"/>
    <w:rsid w:val="007B13F6"/>
    <w:rsid w:val="007B1415"/>
    <w:rsid w:val="007B141F"/>
    <w:rsid w:val="007B1483"/>
    <w:rsid w:val="007B148F"/>
    <w:rsid w:val="007B1511"/>
    <w:rsid w:val="007B15DA"/>
    <w:rsid w:val="007B15E4"/>
    <w:rsid w:val="007B163B"/>
    <w:rsid w:val="007B1665"/>
    <w:rsid w:val="007B16B2"/>
    <w:rsid w:val="007B176A"/>
    <w:rsid w:val="007B17EE"/>
    <w:rsid w:val="007B1828"/>
    <w:rsid w:val="007B182D"/>
    <w:rsid w:val="007B18A4"/>
    <w:rsid w:val="007B18BA"/>
    <w:rsid w:val="007B18E3"/>
    <w:rsid w:val="007B18F0"/>
    <w:rsid w:val="007B1971"/>
    <w:rsid w:val="007B198A"/>
    <w:rsid w:val="007B198D"/>
    <w:rsid w:val="007B19A7"/>
    <w:rsid w:val="007B19FF"/>
    <w:rsid w:val="007B1A84"/>
    <w:rsid w:val="007B1AEA"/>
    <w:rsid w:val="007B1B00"/>
    <w:rsid w:val="007B1B66"/>
    <w:rsid w:val="007B1B71"/>
    <w:rsid w:val="007B1BC8"/>
    <w:rsid w:val="007B1BFF"/>
    <w:rsid w:val="007B1C05"/>
    <w:rsid w:val="007B1C0C"/>
    <w:rsid w:val="007B1C35"/>
    <w:rsid w:val="007B1C5E"/>
    <w:rsid w:val="007B1C88"/>
    <w:rsid w:val="007B1D04"/>
    <w:rsid w:val="007B1D17"/>
    <w:rsid w:val="007B1D3B"/>
    <w:rsid w:val="007B1DD0"/>
    <w:rsid w:val="007B1E06"/>
    <w:rsid w:val="007B1E26"/>
    <w:rsid w:val="007B1EDD"/>
    <w:rsid w:val="007B1F17"/>
    <w:rsid w:val="007B1F5B"/>
    <w:rsid w:val="007B1F6E"/>
    <w:rsid w:val="007B2015"/>
    <w:rsid w:val="007B2074"/>
    <w:rsid w:val="007B20CA"/>
    <w:rsid w:val="007B20E2"/>
    <w:rsid w:val="007B2134"/>
    <w:rsid w:val="007B2161"/>
    <w:rsid w:val="007B2164"/>
    <w:rsid w:val="007B219A"/>
    <w:rsid w:val="007B2249"/>
    <w:rsid w:val="007B225C"/>
    <w:rsid w:val="007B2275"/>
    <w:rsid w:val="007B227C"/>
    <w:rsid w:val="007B22B7"/>
    <w:rsid w:val="007B23B0"/>
    <w:rsid w:val="007B23F2"/>
    <w:rsid w:val="007B23FC"/>
    <w:rsid w:val="007B2488"/>
    <w:rsid w:val="007B249D"/>
    <w:rsid w:val="007B24A0"/>
    <w:rsid w:val="007B24DA"/>
    <w:rsid w:val="007B24F2"/>
    <w:rsid w:val="007B2541"/>
    <w:rsid w:val="007B25D0"/>
    <w:rsid w:val="007B2661"/>
    <w:rsid w:val="007B26FB"/>
    <w:rsid w:val="007B2716"/>
    <w:rsid w:val="007B2750"/>
    <w:rsid w:val="007B27B2"/>
    <w:rsid w:val="007B27B9"/>
    <w:rsid w:val="007B27C1"/>
    <w:rsid w:val="007B27C5"/>
    <w:rsid w:val="007B2866"/>
    <w:rsid w:val="007B286C"/>
    <w:rsid w:val="007B2876"/>
    <w:rsid w:val="007B28FA"/>
    <w:rsid w:val="007B2995"/>
    <w:rsid w:val="007B29C8"/>
    <w:rsid w:val="007B2A0E"/>
    <w:rsid w:val="007B2A11"/>
    <w:rsid w:val="007B2A45"/>
    <w:rsid w:val="007B2A80"/>
    <w:rsid w:val="007B2A89"/>
    <w:rsid w:val="007B2AAD"/>
    <w:rsid w:val="007B2AB1"/>
    <w:rsid w:val="007B2AFA"/>
    <w:rsid w:val="007B2B55"/>
    <w:rsid w:val="007B2BB6"/>
    <w:rsid w:val="007B2BC0"/>
    <w:rsid w:val="007B2BC3"/>
    <w:rsid w:val="007B2BCE"/>
    <w:rsid w:val="007B2C73"/>
    <w:rsid w:val="007B2C78"/>
    <w:rsid w:val="007B2C93"/>
    <w:rsid w:val="007B2D04"/>
    <w:rsid w:val="007B2DB6"/>
    <w:rsid w:val="007B2DDC"/>
    <w:rsid w:val="007B2E6A"/>
    <w:rsid w:val="007B2EB9"/>
    <w:rsid w:val="007B2F6E"/>
    <w:rsid w:val="007B2F90"/>
    <w:rsid w:val="007B2FD6"/>
    <w:rsid w:val="007B2FD7"/>
    <w:rsid w:val="007B2FD9"/>
    <w:rsid w:val="007B2FE3"/>
    <w:rsid w:val="007B302D"/>
    <w:rsid w:val="007B3084"/>
    <w:rsid w:val="007B30D6"/>
    <w:rsid w:val="007B30FB"/>
    <w:rsid w:val="007B3113"/>
    <w:rsid w:val="007B3141"/>
    <w:rsid w:val="007B3189"/>
    <w:rsid w:val="007B31D1"/>
    <w:rsid w:val="007B321F"/>
    <w:rsid w:val="007B3226"/>
    <w:rsid w:val="007B3230"/>
    <w:rsid w:val="007B3274"/>
    <w:rsid w:val="007B3279"/>
    <w:rsid w:val="007B32BC"/>
    <w:rsid w:val="007B32E1"/>
    <w:rsid w:val="007B33AF"/>
    <w:rsid w:val="007B33F1"/>
    <w:rsid w:val="007B3465"/>
    <w:rsid w:val="007B34D5"/>
    <w:rsid w:val="007B34ED"/>
    <w:rsid w:val="007B353F"/>
    <w:rsid w:val="007B35F9"/>
    <w:rsid w:val="007B363C"/>
    <w:rsid w:val="007B370F"/>
    <w:rsid w:val="007B376F"/>
    <w:rsid w:val="007B37BE"/>
    <w:rsid w:val="007B38F0"/>
    <w:rsid w:val="007B390C"/>
    <w:rsid w:val="007B392F"/>
    <w:rsid w:val="007B3979"/>
    <w:rsid w:val="007B3A4F"/>
    <w:rsid w:val="007B3B54"/>
    <w:rsid w:val="007B3B71"/>
    <w:rsid w:val="007B3B88"/>
    <w:rsid w:val="007B3BC2"/>
    <w:rsid w:val="007B3C34"/>
    <w:rsid w:val="007B3C8F"/>
    <w:rsid w:val="007B3CA5"/>
    <w:rsid w:val="007B3CDF"/>
    <w:rsid w:val="007B3D01"/>
    <w:rsid w:val="007B3D54"/>
    <w:rsid w:val="007B3D5B"/>
    <w:rsid w:val="007B3D60"/>
    <w:rsid w:val="007B3DFF"/>
    <w:rsid w:val="007B3E9C"/>
    <w:rsid w:val="007B3ED5"/>
    <w:rsid w:val="007B3F1E"/>
    <w:rsid w:val="007B3F43"/>
    <w:rsid w:val="007B3F54"/>
    <w:rsid w:val="007B3F56"/>
    <w:rsid w:val="007B3F5D"/>
    <w:rsid w:val="007B3FCB"/>
    <w:rsid w:val="007B3FD7"/>
    <w:rsid w:val="007B3FF0"/>
    <w:rsid w:val="007B402F"/>
    <w:rsid w:val="007B4033"/>
    <w:rsid w:val="007B4048"/>
    <w:rsid w:val="007B40CE"/>
    <w:rsid w:val="007B40DF"/>
    <w:rsid w:val="007B40F3"/>
    <w:rsid w:val="007B40F9"/>
    <w:rsid w:val="007B4127"/>
    <w:rsid w:val="007B41AA"/>
    <w:rsid w:val="007B41DC"/>
    <w:rsid w:val="007B4226"/>
    <w:rsid w:val="007B4238"/>
    <w:rsid w:val="007B424C"/>
    <w:rsid w:val="007B4257"/>
    <w:rsid w:val="007B4280"/>
    <w:rsid w:val="007B432C"/>
    <w:rsid w:val="007B43A5"/>
    <w:rsid w:val="007B43C2"/>
    <w:rsid w:val="007B43E3"/>
    <w:rsid w:val="007B43EC"/>
    <w:rsid w:val="007B446C"/>
    <w:rsid w:val="007B4470"/>
    <w:rsid w:val="007B4498"/>
    <w:rsid w:val="007B44B1"/>
    <w:rsid w:val="007B44EE"/>
    <w:rsid w:val="007B44F3"/>
    <w:rsid w:val="007B4508"/>
    <w:rsid w:val="007B4533"/>
    <w:rsid w:val="007B4540"/>
    <w:rsid w:val="007B4576"/>
    <w:rsid w:val="007B4654"/>
    <w:rsid w:val="007B4655"/>
    <w:rsid w:val="007B4671"/>
    <w:rsid w:val="007B46B5"/>
    <w:rsid w:val="007B4725"/>
    <w:rsid w:val="007B473D"/>
    <w:rsid w:val="007B47B1"/>
    <w:rsid w:val="007B47F9"/>
    <w:rsid w:val="007B47FD"/>
    <w:rsid w:val="007B481C"/>
    <w:rsid w:val="007B4834"/>
    <w:rsid w:val="007B488A"/>
    <w:rsid w:val="007B48A5"/>
    <w:rsid w:val="007B48B5"/>
    <w:rsid w:val="007B48C3"/>
    <w:rsid w:val="007B48DF"/>
    <w:rsid w:val="007B48E8"/>
    <w:rsid w:val="007B4917"/>
    <w:rsid w:val="007B493D"/>
    <w:rsid w:val="007B49FF"/>
    <w:rsid w:val="007B4A48"/>
    <w:rsid w:val="007B4A4C"/>
    <w:rsid w:val="007B4A4D"/>
    <w:rsid w:val="007B4A52"/>
    <w:rsid w:val="007B4A58"/>
    <w:rsid w:val="007B4A69"/>
    <w:rsid w:val="007B4A7E"/>
    <w:rsid w:val="007B4A9B"/>
    <w:rsid w:val="007B4AA3"/>
    <w:rsid w:val="007B4ACC"/>
    <w:rsid w:val="007B4B0A"/>
    <w:rsid w:val="007B4B36"/>
    <w:rsid w:val="007B4C0C"/>
    <w:rsid w:val="007B4C16"/>
    <w:rsid w:val="007B4C83"/>
    <w:rsid w:val="007B4CC4"/>
    <w:rsid w:val="007B4CDF"/>
    <w:rsid w:val="007B4D59"/>
    <w:rsid w:val="007B4D94"/>
    <w:rsid w:val="007B4DB7"/>
    <w:rsid w:val="007B4DBA"/>
    <w:rsid w:val="007B4DBE"/>
    <w:rsid w:val="007B4E10"/>
    <w:rsid w:val="007B4E16"/>
    <w:rsid w:val="007B4E72"/>
    <w:rsid w:val="007B4E98"/>
    <w:rsid w:val="007B4ECF"/>
    <w:rsid w:val="007B4F5C"/>
    <w:rsid w:val="007B4FA5"/>
    <w:rsid w:val="007B4FB0"/>
    <w:rsid w:val="007B4FE9"/>
    <w:rsid w:val="007B5007"/>
    <w:rsid w:val="007B5038"/>
    <w:rsid w:val="007B5052"/>
    <w:rsid w:val="007B5097"/>
    <w:rsid w:val="007B5099"/>
    <w:rsid w:val="007B50FF"/>
    <w:rsid w:val="007B5102"/>
    <w:rsid w:val="007B5134"/>
    <w:rsid w:val="007B5159"/>
    <w:rsid w:val="007B516A"/>
    <w:rsid w:val="007B5196"/>
    <w:rsid w:val="007B51A5"/>
    <w:rsid w:val="007B5208"/>
    <w:rsid w:val="007B522C"/>
    <w:rsid w:val="007B523E"/>
    <w:rsid w:val="007B524E"/>
    <w:rsid w:val="007B5252"/>
    <w:rsid w:val="007B525D"/>
    <w:rsid w:val="007B5290"/>
    <w:rsid w:val="007B52A8"/>
    <w:rsid w:val="007B52A9"/>
    <w:rsid w:val="007B52C2"/>
    <w:rsid w:val="007B52EC"/>
    <w:rsid w:val="007B52FD"/>
    <w:rsid w:val="007B531E"/>
    <w:rsid w:val="007B5343"/>
    <w:rsid w:val="007B53C4"/>
    <w:rsid w:val="007B53DC"/>
    <w:rsid w:val="007B53DF"/>
    <w:rsid w:val="007B53F5"/>
    <w:rsid w:val="007B5468"/>
    <w:rsid w:val="007B5494"/>
    <w:rsid w:val="007B5496"/>
    <w:rsid w:val="007B54E0"/>
    <w:rsid w:val="007B54EF"/>
    <w:rsid w:val="007B5539"/>
    <w:rsid w:val="007B55DF"/>
    <w:rsid w:val="007B567A"/>
    <w:rsid w:val="007B569C"/>
    <w:rsid w:val="007B56F0"/>
    <w:rsid w:val="007B56FA"/>
    <w:rsid w:val="007B5701"/>
    <w:rsid w:val="007B5720"/>
    <w:rsid w:val="007B576B"/>
    <w:rsid w:val="007B576D"/>
    <w:rsid w:val="007B57A0"/>
    <w:rsid w:val="007B57D6"/>
    <w:rsid w:val="007B5801"/>
    <w:rsid w:val="007B584B"/>
    <w:rsid w:val="007B5870"/>
    <w:rsid w:val="007B5873"/>
    <w:rsid w:val="007B593A"/>
    <w:rsid w:val="007B595B"/>
    <w:rsid w:val="007B5990"/>
    <w:rsid w:val="007B5992"/>
    <w:rsid w:val="007B59B6"/>
    <w:rsid w:val="007B59EB"/>
    <w:rsid w:val="007B5AD1"/>
    <w:rsid w:val="007B5B22"/>
    <w:rsid w:val="007B5B27"/>
    <w:rsid w:val="007B5C3D"/>
    <w:rsid w:val="007B5C9E"/>
    <w:rsid w:val="007B5CA9"/>
    <w:rsid w:val="007B5CB5"/>
    <w:rsid w:val="007B5CE0"/>
    <w:rsid w:val="007B5D2F"/>
    <w:rsid w:val="007B5D54"/>
    <w:rsid w:val="007B5D55"/>
    <w:rsid w:val="007B5D7F"/>
    <w:rsid w:val="007B5E30"/>
    <w:rsid w:val="007B5E62"/>
    <w:rsid w:val="007B5EDE"/>
    <w:rsid w:val="007B5F33"/>
    <w:rsid w:val="007B5F75"/>
    <w:rsid w:val="007B5F97"/>
    <w:rsid w:val="007B5F9A"/>
    <w:rsid w:val="007B6057"/>
    <w:rsid w:val="007B6090"/>
    <w:rsid w:val="007B60CA"/>
    <w:rsid w:val="007B61B9"/>
    <w:rsid w:val="007B61C8"/>
    <w:rsid w:val="007B61CD"/>
    <w:rsid w:val="007B61E5"/>
    <w:rsid w:val="007B622A"/>
    <w:rsid w:val="007B6231"/>
    <w:rsid w:val="007B627F"/>
    <w:rsid w:val="007B6282"/>
    <w:rsid w:val="007B62D2"/>
    <w:rsid w:val="007B62E1"/>
    <w:rsid w:val="007B62F5"/>
    <w:rsid w:val="007B62F6"/>
    <w:rsid w:val="007B635F"/>
    <w:rsid w:val="007B636F"/>
    <w:rsid w:val="007B63A1"/>
    <w:rsid w:val="007B63EA"/>
    <w:rsid w:val="007B63EE"/>
    <w:rsid w:val="007B644B"/>
    <w:rsid w:val="007B6457"/>
    <w:rsid w:val="007B64B3"/>
    <w:rsid w:val="007B64D5"/>
    <w:rsid w:val="007B64D7"/>
    <w:rsid w:val="007B64D8"/>
    <w:rsid w:val="007B6553"/>
    <w:rsid w:val="007B6572"/>
    <w:rsid w:val="007B65A2"/>
    <w:rsid w:val="007B65C5"/>
    <w:rsid w:val="007B6621"/>
    <w:rsid w:val="007B6624"/>
    <w:rsid w:val="007B6667"/>
    <w:rsid w:val="007B66EA"/>
    <w:rsid w:val="007B6758"/>
    <w:rsid w:val="007B675F"/>
    <w:rsid w:val="007B676C"/>
    <w:rsid w:val="007B682F"/>
    <w:rsid w:val="007B6838"/>
    <w:rsid w:val="007B6843"/>
    <w:rsid w:val="007B688E"/>
    <w:rsid w:val="007B68AB"/>
    <w:rsid w:val="007B6911"/>
    <w:rsid w:val="007B691D"/>
    <w:rsid w:val="007B6946"/>
    <w:rsid w:val="007B6983"/>
    <w:rsid w:val="007B69BA"/>
    <w:rsid w:val="007B6A2C"/>
    <w:rsid w:val="007B6A38"/>
    <w:rsid w:val="007B6ABE"/>
    <w:rsid w:val="007B6AD6"/>
    <w:rsid w:val="007B6AF8"/>
    <w:rsid w:val="007B6AFE"/>
    <w:rsid w:val="007B6BD2"/>
    <w:rsid w:val="007B6C2B"/>
    <w:rsid w:val="007B6CB1"/>
    <w:rsid w:val="007B6CD5"/>
    <w:rsid w:val="007B6CE3"/>
    <w:rsid w:val="007B6E1D"/>
    <w:rsid w:val="007B6E5D"/>
    <w:rsid w:val="007B6ED1"/>
    <w:rsid w:val="007B6EFE"/>
    <w:rsid w:val="007B6F32"/>
    <w:rsid w:val="007B6F42"/>
    <w:rsid w:val="007B6F87"/>
    <w:rsid w:val="007B6FB2"/>
    <w:rsid w:val="007B7035"/>
    <w:rsid w:val="007B7078"/>
    <w:rsid w:val="007B7081"/>
    <w:rsid w:val="007B7087"/>
    <w:rsid w:val="007B70B2"/>
    <w:rsid w:val="007B70E8"/>
    <w:rsid w:val="007B70F9"/>
    <w:rsid w:val="007B716A"/>
    <w:rsid w:val="007B717A"/>
    <w:rsid w:val="007B7182"/>
    <w:rsid w:val="007B71E6"/>
    <w:rsid w:val="007B71F7"/>
    <w:rsid w:val="007B7204"/>
    <w:rsid w:val="007B7255"/>
    <w:rsid w:val="007B7268"/>
    <w:rsid w:val="007B72D6"/>
    <w:rsid w:val="007B72DD"/>
    <w:rsid w:val="007B7317"/>
    <w:rsid w:val="007B7355"/>
    <w:rsid w:val="007B7356"/>
    <w:rsid w:val="007B7358"/>
    <w:rsid w:val="007B7363"/>
    <w:rsid w:val="007B73B9"/>
    <w:rsid w:val="007B73D5"/>
    <w:rsid w:val="007B73D9"/>
    <w:rsid w:val="007B73FC"/>
    <w:rsid w:val="007B7428"/>
    <w:rsid w:val="007B742D"/>
    <w:rsid w:val="007B7453"/>
    <w:rsid w:val="007B748F"/>
    <w:rsid w:val="007B74E6"/>
    <w:rsid w:val="007B74F2"/>
    <w:rsid w:val="007B7502"/>
    <w:rsid w:val="007B7577"/>
    <w:rsid w:val="007B75B8"/>
    <w:rsid w:val="007B75B9"/>
    <w:rsid w:val="007B75E4"/>
    <w:rsid w:val="007B7656"/>
    <w:rsid w:val="007B7782"/>
    <w:rsid w:val="007B7796"/>
    <w:rsid w:val="007B77A4"/>
    <w:rsid w:val="007B77BE"/>
    <w:rsid w:val="007B77D7"/>
    <w:rsid w:val="007B77ED"/>
    <w:rsid w:val="007B7854"/>
    <w:rsid w:val="007B7900"/>
    <w:rsid w:val="007B7904"/>
    <w:rsid w:val="007B79C3"/>
    <w:rsid w:val="007B79FB"/>
    <w:rsid w:val="007B79FF"/>
    <w:rsid w:val="007B7A3F"/>
    <w:rsid w:val="007B7A49"/>
    <w:rsid w:val="007B7A4C"/>
    <w:rsid w:val="007B7A9F"/>
    <w:rsid w:val="007B7AD9"/>
    <w:rsid w:val="007B7B12"/>
    <w:rsid w:val="007B7B41"/>
    <w:rsid w:val="007B7B5F"/>
    <w:rsid w:val="007B7B90"/>
    <w:rsid w:val="007B7BB6"/>
    <w:rsid w:val="007B7BD2"/>
    <w:rsid w:val="007B7BEF"/>
    <w:rsid w:val="007B7BF8"/>
    <w:rsid w:val="007B7C11"/>
    <w:rsid w:val="007B7C62"/>
    <w:rsid w:val="007B7C8A"/>
    <w:rsid w:val="007B7C97"/>
    <w:rsid w:val="007B7CCD"/>
    <w:rsid w:val="007B7DF3"/>
    <w:rsid w:val="007B7E03"/>
    <w:rsid w:val="007B7F13"/>
    <w:rsid w:val="007B7F1C"/>
    <w:rsid w:val="007B7FBA"/>
    <w:rsid w:val="007C0016"/>
    <w:rsid w:val="007C0079"/>
    <w:rsid w:val="007C00E7"/>
    <w:rsid w:val="007C010E"/>
    <w:rsid w:val="007C0118"/>
    <w:rsid w:val="007C0139"/>
    <w:rsid w:val="007C018A"/>
    <w:rsid w:val="007C01B3"/>
    <w:rsid w:val="007C024C"/>
    <w:rsid w:val="007C029F"/>
    <w:rsid w:val="007C02A4"/>
    <w:rsid w:val="007C02DE"/>
    <w:rsid w:val="007C0300"/>
    <w:rsid w:val="007C031B"/>
    <w:rsid w:val="007C031F"/>
    <w:rsid w:val="007C0327"/>
    <w:rsid w:val="007C0354"/>
    <w:rsid w:val="007C03AF"/>
    <w:rsid w:val="007C03E9"/>
    <w:rsid w:val="007C0402"/>
    <w:rsid w:val="007C0407"/>
    <w:rsid w:val="007C042D"/>
    <w:rsid w:val="007C0464"/>
    <w:rsid w:val="007C04CC"/>
    <w:rsid w:val="007C0546"/>
    <w:rsid w:val="007C0584"/>
    <w:rsid w:val="007C0592"/>
    <w:rsid w:val="007C05A1"/>
    <w:rsid w:val="007C05A5"/>
    <w:rsid w:val="007C0684"/>
    <w:rsid w:val="007C069A"/>
    <w:rsid w:val="007C06A4"/>
    <w:rsid w:val="007C06FC"/>
    <w:rsid w:val="007C07BA"/>
    <w:rsid w:val="007C0870"/>
    <w:rsid w:val="007C0887"/>
    <w:rsid w:val="007C08B9"/>
    <w:rsid w:val="007C08F0"/>
    <w:rsid w:val="007C08F3"/>
    <w:rsid w:val="007C0951"/>
    <w:rsid w:val="007C0956"/>
    <w:rsid w:val="007C096E"/>
    <w:rsid w:val="007C0A8C"/>
    <w:rsid w:val="007C0ABA"/>
    <w:rsid w:val="007C0ACC"/>
    <w:rsid w:val="007C0AD6"/>
    <w:rsid w:val="007C0AE5"/>
    <w:rsid w:val="007C0B3D"/>
    <w:rsid w:val="007C0B5C"/>
    <w:rsid w:val="007C0B60"/>
    <w:rsid w:val="007C0C22"/>
    <w:rsid w:val="007C0C4B"/>
    <w:rsid w:val="007C0C76"/>
    <w:rsid w:val="007C0C77"/>
    <w:rsid w:val="007C0D28"/>
    <w:rsid w:val="007C0D3C"/>
    <w:rsid w:val="007C0DC1"/>
    <w:rsid w:val="007C0E68"/>
    <w:rsid w:val="007C0E76"/>
    <w:rsid w:val="007C0EC3"/>
    <w:rsid w:val="007C0F06"/>
    <w:rsid w:val="007C0F1C"/>
    <w:rsid w:val="007C0F29"/>
    <w:rsid w:val="007C0FBD"/>
    <w:rsid w:val="007C0FF3"/>
    <w:rsid w:val="007C1000"/>
    <w:rsid w:val="007C1009"/>
    <w:rsid w:val="007C1035"/>
    <w:rsid w:val="007C107E"/>
    <w:rsid w:val="007C10B2"/>
    <w:rsid w:val="007C10B9"/>
    <w:rsid w:val="007C10BE"/>
    <w:rsid w:val="007C10E3"/>
    <w:rsid w:val="007C10E6"/>
    <w:rsid w:val="007C10F3"/>
    <w:rsid w:val="007C1202"/>
    <w:rsid w:val="007C123A"/>
    <w:rsid w:val="007C1256"/>
    <w:rsid w:val="007C1289"/>
    <w:rsid w:val="007C128B"/>
    <w:rsid w:val="007C1294"/>
    <w:rsid w:val="007C1295"/>
    <w:rsid w:val="007C129D"/>
    <w:rsid w:val="007C134A"/>
    <w:rsid w:val="007C1370"/>
    <w:rsid w:val="007C13FB"/>
    <w:rsid w:val="007C1432"/>
    <w:rsid w:val="007C14B5"/>
    <w:rsid w:val="007C14D4"/>
    <w:rsid w:val="007C14E2"/>
    <w:rsid w:val="007C151E"/>
    <w:rsid w:val="007C1545"/>
    <w:rsid w:val="007C160D"/>
    <w:rsid w:val="007C1665"/>
    <w:rsid w:val="007C16E8"/>
    <w:rsid w:val="007C1765"/>
    <w:rsid w:val="007C176F"/>
    <w:rsid w:val="007C17CB"/>
    <w:rsid w:val="007C1802"/>
    <w:rsid w:val="007C1848"/>
    <w:rsid w:val="007C185D"/>
    <w:rsid w:val="007C185E"/>
    <w:rsid w:val="007C18CF"/>
    <w:rsid w:val="007C18ED"/>
    <w:rsid w:val="007C1988"/>
    <w:rsid w:val="007C1A35"/>
    <w:rsid w:val="007C1B2D"/>
    <w:rsid w:val="007C1B9E"/>
    <w:rsid w:val="007C1C0C"/>
    <w:rsid w:val="007C1C1E"/>
    <w:rsid w:val="007C1C7D"/>
    <w:rsid w:val="007C1C85"/>
    <w:rsid w:val="007C1C92"/>
    <w:rsid w:val="007C1C96"/>
    <w:rsid w:val="007C1C9E"/>
    <w:rsid w:val="007C1CA7"/>
    <w:rsid w:val="007C1CC6"/>
    <w:rsid w:val="007C1CF3"/>
    <w:rsid w:val="007C1D2E"/>
    <w:rsid w:val="007C1DA8"/>
    <w:rsid w:val="007C1DD1"/>
    <w:rsid w:val="007C1E75"/>
    <w:rsid w:val="007C1E8E"/>
    <w:rsid w:val="007C1E92"/>
    <w:rsid w:val="007C1F48"/>
    <w:rsid w:val="007C1F54"/>
    <w:rsid w:val="007C1FCA"/>
    <w:rsid w:val="007C1FDC"/>
    <w:rsid w:val="007C1FEC"/>
    <w:rsid w:val="007C2148"/>
    <w:rsid w:val="007C2157"/>
    <w:rsid w:val="007C21BD"/>
    <w:rsid w:val="007C21DD"/>
    <w:rsid w:val="007C21F7"/>
    <w:rsid w:val="007C2214"/>
    <w:rsid w:val="007C224A"/>
    <w:rsid w:val="007C2269"/>
    <w:rsid w:val="007C2295"/>
    <w:rsid w:val="007C22BC"/>
    <w:rsid w:val="007C22C6"/>
    <w:rsid w:val="007C2396"/>
    <w:rsid w:val="007C23B0"/>
    <w:rsid w:val="007C2427"/>
    <w:rsid w:val="007C248E"/>
    <w:rsid w:val="007C24C6"/>
    <w:rsid w:val="007C2506"/>
    <w:rsid w:val="007C255D"/>
    <w:rsid w:val="007C258F"/>
    <w:rsid w:val="007C25AB"/>
    <w:rsid w:val="007C25AD"/>
    <w:rsid w:val="007C25B8"/>
    <w:rsid w:val="007C25D9"/>
    <w:rsid w:val="007C25DB"/>
    <w:rsid w:val="007C25F5"/>
    <w:rsid w:val="007C26AF"/>
    <w:rsid w:val="007C2726"/>
    <w:rsid w:val="007C277B"/>
    <w:rsid w:val="007C27E8"/>
    <w:rsid w:val="007C2840"/>
    <w:rsid w:val="007C285B"/>
    <w:rsid w:val="007C2861"/>
    <w:rsid w:val="007C2898"/>
    <w:rsid w:val="007C2992"/>
    <w:rsid w:val="007C29AE"/>
    <w:rsid w:val="007C29D1"/>
    <w:rsid w:val="007C2A58"/>
    <w:rsid w:val="007C2A6E"/>
    <w:rsid w:val="007C2ADA"/>
    <w:rsid w:val="007C2B0E"/>
    <w:rsid w:val="007C2B82"/>
    <w:rsid w:val="007C2BD9"/>
    <w:rsid w:val="007C2BDE"/>
    <w:rsid w:val="007C2BF1"/>
    <w:rsid w:val="007C2C16"/>
    <w:rsid w:val="007C2C41"/>
    <w:rsid w:val="007C2C5F"/>
    <w:rsid w:val="007C2C9D"/>
    <w:rsid w:val="007C2D7A"/>
    <w:rsid w:val="007C2D81"/>
    <w:rsid w:val="007C2DA6"/>
    <w:rsid w:val="007C2DAC"/>
    <w:rsid w:val="007C2DAF"/>
    <w:rsid w:val="007C2DDE"/>
    <w:rsid w:val="007C2E68"/>
    <w:rsid w:val="007C2E92"/>
    <w:rsid w:val="007C2EEB"/>
    <w:rsid w:val="007C2F12"/>
    <w:rsid w:val="007C2FA1"/>
    <w:rsid w:val="007C2FAF"/>
    <w:rsid w:val="007C2FB4"/>
    <w:rsid w:val="007C2FE3"/>
    <w:rsid w:val="007C3014"/>
    <w:rsid w:val="007C3015"/>
    <w:rsid w:val="007C303B"/>
    <w:rsid w:val="007C3050"/>
    <w:rsid w:val="007C308D"/>
    <w:rsid w:val="007C30F5"/>
    <w:rsid w:val="007C312B"/>
    <w:rsid w:val="007C31F8"/>
    <w:rsid w:val="007C32F6"/>
    <w:rsid w:val="007C337C"/>
    <w:rsid w:val="007C3399"/>
    <w:rsid w:val="007C33BE"/>
    <w:rsid w:val="007C33CB"/>
    <w:rsid w:val="007C34C5"/>
    <w:rsid w:val="007C34CD"/>
    <w:rsid w:val="007C34DA"/>
    <w:rsid w:val="007C355D"/>
    <w:rsid w:val="007C3564"/>
    <w:rsid w:val="007C357E"/>
    <w:rsid w:val="007C3592"/>
    <w:rsid w:val="007C35A3"/>
    <w:rsid w:val="007C35A5"/>
    <w:rsid w:val="007C35F1"/>
    <w:rsid w:val="007C35FF"/>
    <w:rsid w:val="007C3645"/>
    <w:rsid w:val="007C36DE"/>
    <w:rsid w:val="007C3704"/>
    <w:rsid w:val="007C370E"/>
    <w:rsid w:val="007C3711"/>
    <w:rsid w:val="007C376A"/>
    <w:rsid w:val="007C378D"/>
    <w:rsid w:val="007C37C7"/>
    <w:rsid w:val="007C37D0"/>
    <w:rsid w:val="007C381F"/>
    <w:rsid w:val="007C382F"/>
    <w:rsid w:val="007C3834"/>
    <w:rsid w:val="007C384B"/>
    <w:rsid w:val="007C3894"/>
    <w:rsid w:val="007C38B7"/>
    <w:rsid w:val="007C3993"/>
    <w:rsid w:val="007C39A7"/>
    <w:rsid w:val="007C3A4C"/>
    <w:rsid w:val="007C3A7F"/>
    <w:rsid w:val="007C3B0A"/>
    <w:rsid w:val="007C3B21"/>
    <w:rsid w:val="007C3B8E"/>
    <w:rsid w:val="007C3BA9"/>
    <w:rsid w:val="007C3BB8"/>
    <w:rsid w:val="007C3BD0"/>
    <w:rsid w:val="007C3BDC"/>
    <w:rsid w:val="007C3C5C"/>
    <w:rsid w:val="007C3C63"/>
    <w:rsid w:val="007C3C83"/>
    <w:rsid w:val="007C3CD8"/>
    <w:rsid w:val="007C3D16"/>
    <w:rsid w:val="007C3DD6"/>
    <w:rsid w:val="007C3E73"/>
    <w:rsid w:val="007C3ED8"/>
    <w:rsid w:val="007C3F14"/>
    <w:rsid w:val="007C3F45"/>
    <w:rsid w:val="007C3F50"/>
    <w:rsid w:val="007C3F6F"/>
    <w:rsid w:val="007C3F94"/>
    <w:rsid w:val="007C3FAB"/>
    <w:rsid w:val="007C3FF8"/>
    <w:rsid w:val="007C4045"/>
    <w:rsid w:val="007C406B"/>
    <w:rsid w:val="007C4092"/>
    <w:rsid w:val="007C40BB"/>
    <w:rsid w:val="007C40CE"/>
    <w:rsid w:val="007C4119"/>
    <w:rsid w:val="007C4149"/>
    <w:rsid w:val="007C41BE"/>
    <w:rsid w:val="007C41DA"/>
    <w:rsid w:val="007C427A"/>
    <w:rsid w:val="007C427E"/>
    <w:rsid w:val="007C42AD"/>
    <w:rsid w:val="007C42F7"/>
    <w:rsid w:val="007C432A"/>
    <w:rsid w:val="007C435A"/>
    <w:rsid w:val="007C4360"/>
    <w:rsid w:val="007C4393"/>
    <w:rsid w:val="007C43B7"/>
    <w:rsid w:val="007C43BB"/>
    <w:rsid w:val="007C43C1"/>
    <w:rsid w:val="007C459A"/>
    <w:rsid w:val="007C4603"/>
    <w:rsid w:val="007C463E"/>
    <w:rsid w:val="007C46BB"/>
    <w:rsid w:val="007C46EE"/>
    <w:rsid w:val="007C47F0"/>
    <w:rsid w:val="007C4864"/>
    <w:rsid w:val="007C48BA"/>
    <w:rsid w:val="007C4903"/>
    <w:rsid w:val="007C4917"/>
    <w:rsid w:val="007C4950"/>
    <w:rsid w:val="007C4A07"/>
    <w:rsid w:val="007C4A2E"/>
    <w:rsid w:val="007C4A4F"/>
    <w:rsid w:val="007C4A62"/>
    <w:rsid w:val="007C4B13"/>
    <w:rsid w:val="007C4B18"/>
    <w:rsid w:val="007C4B7B"/>
    <w:rsid w:val="007C4B83"/>
    <w:rsid w:val="007C4BEF"/>
    <w:rsid w:val="007C4BF4"/>
    <w:rsid w:val="007C4BFE"/>
    <w:rsid w:val="007C4C08"/>
    <w:rsid w:val="007C4C4C"/>
    <w:rsid w:val="007C4CBA"/>
    <w:rsid w:val="007C4D25"/>
    <w:rsid w:val="007C4D60"/>
    <w:rsid w:val="007C4D7A"/>
    <w:rsid w:val="007C4DDF"/>
    <w:rsid w:val="007C4E0E"/>
    <w:rsid w:val="007C4E42"/>
    <w:rsid w:val="007C4E93"/>
    <w:rsid w:val="007C4EB0"/>
    <w:rsid w:val="007C4F0A"/>
    <w:rsid w:val="007C4F23"/>
    <w:rsid w:val="007C4F29"/>
    <w:rsid w:val="007C4FAA"/>
    <w:rsid w:val="007C504B"/>
    <w:rsid w:val="007C5071"/>
    <w:rsid w:val="007C5078"/>
    <w:rsid w:val="007C50A2"/>
    <w:rsid w:val="007C50F9"/>
    <w:rsid w:val="007C50FF"/>
    <w:rsid w:val="007C51A5"/>
    <w:rsid w:val="007C5207"/>
    <w:rsid w:val="007C520D"/>
    <w:rsid w:val="007C527A"/>
    <w:rsid w:val="007C52C3"/>
    <w:rsid w:val="007C52F4"/>
    <w:rsid w:val="007C5335"/>
    <w:rsid w:val="007C5341"/>
    <w:rsid w:val="007C5389"/>
    <w:rsid w:val="007C541C"/>
    <w:rsid w:val="007C5468"/>
    <w:rsid w:val="007C5473"/>
    <w:rsid w:val="007C548E"/>
    <w:rsid w:val="007C54A5"/>
    <w:rsid w:val="007C54AF"/>
    <w:rsid w:val="007C54F0"/>
    <w:rsid w:val="007C55B2"/>
    <w:rsid w:val="007C55BF"/>
    <w:rsid w:val="007C55C3"/>
    <w:rsid w:val="007C55DC"/>
    <w:rsid w:val="007C56BE"/>
    <w:rsid w:val="007C570A"/>
    <w:rsid w:val="007C5752"/>
    <w:rsid w:val="007C57DB"/>
    <w:rsid w:val="007C5872"/>
    <w:rsid w:val="007C587C"/>
    <w:rsid w:val="007C58C1"/>
    <w:rsid w:val="007C58EA"/>
    <w:rsid w:val="007C59AB"/>
    <w:rsid w:val="007C5A52"/>
    <w:rsid w:val="007C5A55"/>
    <w:rsid w:val="007C5A5A"/>
    <w:rsid w:val="007C5AA6"/>
    <w:rsid w:val="007C5B2F"/>
    <w:rsid w:val="007C5B3D"/>
    <w:rsid w:val="007C5B59"/>
    <w:rsid w:val="007C5B88"/>
    <w:rsid w:val="007C5BCA"/>
    <w:rsid w:val="007C5BD3"/>
    <w:rsid w:val="007C5C2E"/>
    <w:rsid w:val="007C5CEB"/>
    <w:rsid w:val="007C5CFB"/>
    <w:rsid w:val="007C5D03"/>
    <w:rsid w:val="007C5D6A"/>
    <w:rsid w:val="007C5D9C"/>
    <w:rsid w:val="007C5E6F"/>
    <w:rsid w:val="007C5ED4"/>
    <w:rsid w:val="007C5EE9"/>
    <w:rsid w:val="007C5F75"/>
    <w:rsid w:val="007C5FC7"/>
    <w:rsid w:val="007C6029"/>
    <w:rsid w:val="007C6080"/>
    <w:rsid w:val="007C6083"/>
    <w:rsid w:val="007C60DB"/>
    <w:rsid w:val="007C60EC"/>
    <w:rsid w:val="007C6142"/>
    <w:rsid w:val="007C6182"/>
    <w:rsid w:val="007C61A0"/>
    <w:rsid w:val="007C61B4"/>
    <w:rsid w:val="007C61F4"/>
    <w:rsid w:val="007C61FB"/>
    <w:rsid w:val="007C6257"/>
    <w:rsid w:val="007C6285"/>
    <w:rsid w:val="007C6321"/>
    <w:rsid w:val="007C6328"/>
    <w:rsid w:val="007C632F"/>
    <w:rsid w:val="007C6384"/>
    <w:rsid w:val="007C63F9"/>
    <w:rsid w:val="007C6425"/>
    <w:rsid w:val="007C6497"/>
    <w:rsid w:val="007C6530"/>
    <w:rsid w:val="007C65A7"/>
    <w:rsid w:val="007C663E"/>
    <w:rsid w:val="007C6666"/>
    <w:rsid w:val="007C6699"/>
    <w:rsid w:val="007C66CD"/>
    <w:rsid w:val="007C6724"/>
    <w:rsid w:val="007C6771"/>
    <w:rsid w:val="007C67A1"/>
    <w:rsid w:val="007C6837"/>
    <w:rsid w:val="007C6847"/>
    <w:rsid w:val="007C689D"/>
    <w:rsid w:val="007C68BE"/>
    <w:rsid w:val="007C68D1"/>
    <w:rsid w:val="007C6977"/>
    <w:rsid w:val="007C697B"/>
    <w:rsid w:val="007C69E5"/>
    <w:rsid w:val="007C6AEF"/>
    <w:rsid w:val="007C6B47"/>
    <w:rsid w:val="007C6BAC"/>
    <w:rsid w:val="007C6BC0"/>
    <w:rsid w:val="007C6C18"/>
    <w:rsid w:val="007C6C33"/>
    <w:rsid w:val="007C6CB1"/>
    <w:rsid w:val="007C6D07"/>
    <w:rsid w:val="007C6D23"/>
    <w:rsid w:val="007C6D2B"/>
    <w:rsid w:val="007C6D2E"/>
    <w:rsid w:val="007C6D30"/>
    <w:rsid w:val="007C6D53"/>
    <w:rsid w:val="007C6D66"/>
    <w:rsid w:val="007C6DEC"/>
    <w:rsid w:val="007C6DFD"/>
    <w:rsid w:val="007C6E05"/>
    <w:rsid w:val="007C6E3D"/>
    <w:rsid w:val="007C6ED4"/>
    <w:rsid w:val="007C6EDF"/>
    <w:rsid w:val="007C6EFA"/>
    <w:rsid w:val="007C6F23"/>
    <w:rsid w:val="007C6F69"/>
    <w:rsid w:val="007C6FB7"/>
    <w:rsid w:val="007C6FE0"/>
    <w:rsid w:val="007C701C"/>
    <w:rsid w:val="007C7064"/>
    <w:rsid w:val="007C708C"/>
    <w:rsid w:val="007C70B4"/>
    <w:rsid w:val="007C7106"/>
    <w:rsid w:val="007C7112"/>
    <w:rsid w:val="007C713D"/>
    <w:rsid w:val="007C7191"/>
    <w:rsid w:val="007C71CA"/>
    <w:rsid w:val="007C71D4"/>
    <w:rsid w:val="007C71E0"/>
    <w:rsid w:val="007C724B"/>
    <w:rsid w:val="007C727D"/>
    <w:rsid w:val="007C729E"/>
    <w:rsid w:val="007C72A0"/>
    <w:rsid w:val="007C7443"/>
    <w:rsid w:val="007C74DE"/>
    <w:rsid w:val="007C752C"/>
    <w:rsid w:val="007C756A"/>
    <w:rsid w:val="007C7636"/>
    <w:rsid w:val="007C7656"/>
    <w:rsid w:val="007C7666"/>
    <w:rsid w:val="007C766C"/>
    <w:rsid w:val="007C768A"/>
    <w:rsid w:val="007C76E9"/>
    <w:rsid w:val="007C7701"/>
    <w:rsid w:val="007C7753"/>
    <w:rsid w:val="007C7767"/>
    <w:rsid w:val="007C7876"/>
    <w:rsid w:val="007C78CC"/>
    <w:rsid w:val="007C792B"/>
    <w:rsid w:val="007C793A"/>
    <w:rsid w:val="007C7949"/>
    <w:rsid w:val="007C79A1"/>
    <w:rsid w:val="007C79C7"/>
    <w:rsid w:val="007C79D1"/>
    <w:rsid w:val="007C79D2"/>
    <w:rsid w:val="007C79DB"/>
    <w:rsid w:val="007C7A38"/>
    <w:rsid w:val="007C7A9E"/>
    <w:rsid w:val="007C7AF2"/>
    <w:rsid w:val="007C7AF8"/>
    <w:rsid w:val="007C7B21"/>
    <w:rsid w:val="007C7B7C"/>
    <w:rsid w:val="007C7BEB"/>
    <w:rsid w:val="007C7C2A"/>
    <w:rsid w:val="007C7C38"/>
    <w:rsid w:val="007C7C3D"/>
    <w:rsid w:val="007C7C40"/>
    <w:rsid w:val="007C7C61"/>
    <w:rsid w:val="007C7C8D"/>
    <w:rsid w:val="007C7CB7"/>
    <w:rsid w:val="007C7CDC"/>
    <w:rsid w:val="007C7D3D"/>
    <w:rsid w:val="007C7D4D"/>
    <w:rsid w:val="007C7D61"/>
    <w:rsid w:val="007C7DE2"/>
    <w:rsid w:val="007C7E26"/>
    <w:rsid w:val="007C7E82"/>
    <w:rsid w:val="007C7EBB"/>
    <w:rsid w:val="007C7EBC"/>
    <w:rsid w:val="007C7F7A"/>
    <w:rsid w:val="007C7F88"/>
    <w:rsid w:val="007C7FC7"/>
    <w:rsid w:val="007C7FE3"/>
    <w:rsid w:val="007CF1EA"/>
    <w:rsid w:val="007D002C"/>
    <w:rsid w:val="007D0035"/>
    <w:rsid w:val="007D0102"/>
    <w:rsid w:val="007D0108"/>
    <w:rsid w:val="007D0129"/>
    <w:rsid w:val="007D0147"/>
    <w:rsid w:val="007D0199"/>
    <w:rsid w:val="007D01A9"/>
    <w:rsid w:val="007D01BC"/>
    <w:rsid w:val="007D0213"/>
    <w:rsid w:val="007D024B"/>
    <w:rsid w:val="007D025D"/>
    <w:rsid w:val="007D0270"/>
    <w:rsid w:val="007D028E"/>
    <w:rsid w:val="007D02DA"/>
    <w:rsid w:val="007D02E4"/>
    <w:rsid w:val="007D0300"/>
    <w:rsid w:val="007D0452"/>
    <w:rsid w:val="007D04A4"/>
    <w:rsid w:val="007D0532"/>
    <w:rsid w:val="007D05F9"/>
    <w:rsid w:val="007D05FA"/>
    <w:rsid w:val="007D0644"/>
    <w:rsid w:val="007D0659"/>
    <w:rsid w:val="007D0714"/>
    <w:rsid w:val="007D0762"/>
    <w:rsid w:val="007D0778"/>
    <w:rsid w:val="007D07A5"/>
    <w:rsid w:val="007D07DC"/>
    <w:rsid w:val="007D0837"/>
    <w:rsid w:val="007D086C"/>
    <w:rsid w:val="007D08D3"/>
    <w:rsid w:val="007D08DB"/>
    <w:rsid w:val="007D0939"/>
    <w:rsid w:val="007D0994"/>
    <w:rsid w:val="007D0A14"/>
    <w:rsid w:val="007D0A25"/>
    <w:rsid w:val="007D0ABC"/>
    <w:rsid w:val="007D0ADE"/>
    <w:rsid w:val="007D0AF0"/>
    <w:rsid w:val="007D0B1B"/>
    <w:rsid w:val="007D0B28"/>
    <w:rsid w:val="007D0B40"/>
    <w:rsid w:val="007D0B52"/>
    <w:rsid w:val="007D0B74"/>
    <w:rsid w:val="007D0B8A"/>
    <w:rsid w:val="007D0B93"/>
    <w:rsid w:val="007D0BBA"/>
    <w:rsid w:val="007D0BCB"/>
    <w:rsid w:val="007D0BEE"/>
    <w:rsid w:val="007D0BF7"/>
    <w:rsid w:val="007D0C26"/>
    <w:rsid w:val="007D0CC3"/>
    <w:rsid w:val="007D0D4C"/>
    <w:rsid w:val="007D0D4D"/>
    <w:rsid w:val="007D0DEC"/>
    <w:rsid w:val="007D0E49"/>
    <w:rsid w:val="007D0E58"/>
    <w:rsid w:val="007D0E69"/>
    <w:rsid w:val="007D0E96"/>
    <w:rsid w:val="007D0F18"/>
    <w:rsid w:val="007D0FB2"/>
    <w:rsid w:val="007D0FF5"/>
    <w:rsid w:val="007D1024"/>
    <w:rsid w:val="007D10A1"/>
    <w:rsid w:val="007D10B0"/>
    <w:rsid w:val="007D1161"/>
    <w:rsid w:val="007D1247"/>
    <w:rsid w:val="007D125D"/>
    <w:rsid w:val="007D1289"/>
    <w:rsid w:val="007D12A5"/>
    <w:rsid w:val="007D12A6"/>
    <w:rsid w:val="007D12C1"/>
    <w:rsid w:val="007D1340"/>
    <w:rsid w:val="007D1388"/>
    <w:rsid w:val="007D1496"/>
    <w:rsid w:val="007D149F"/>
    <w:rsid w:val="007D14EC"/>
    <w:rsid w:val="007D14FA"/>
    <w:rsid w:val="007D1502"/>
    <w:rsid w:val="007D1516"/>
    <w:rsid w:val="007D151E"/>
    <w:rsid w:val="007D15BC"/>
    <w:rsid w:val="007D1612"/>
    <w:rsid w:val="007D168B"/>
    <w:rsid w:val="007D168C"/>
    <w:rsid w:val="007D16E7"/>
    <w:rsid w:val="007D16F1"/>
    <w:rsid w:val="007D172A"/>
    <w:rsid w:val="007D1753"/>
    <w:rsid w:val="007D17A1"/>
    <w:rsid w:val="007D17BE"/>
    <w:rsid w:val="007D17C6"/>
    <w:rsid w:val="007D1899"/>
    <w:rsid w:val="007D18BD"/>
    <w:rsid w:val="007D1902"/>
    <w:rsid w:val="007D19A8"/>
    <w:rsid w:val="007D19E2"/>
    <w:rsid w:val="007D1A19"/>
    <w:rsid w:val="007D1A24"/>
    <w:rsid w:val="007D1A49"/>
    <w:rsid w:val="007D1A4C"/>
    <w:rsid w:val="007D1A7B"/>
    <w:rsid w:val="007D1AE4"/>
    <w:rsid w:val="007D1B40"/>
    <w:rsid w:val="007D1B9D"/>
    <w:rsid w:val="007D1C43"/>
    <w:rsid w:val="007D1C62"/>
    <w:rsid w:val="007D1C77"/>
    <w:rsid w:val="007D1CC1"/>
    <w:rsid w:val="007D1D2E"/>
    <w:rsid w:val="007D1D66"/>
    <w:rsid w:val="007D1D68"/>
    <w:rsid w:val="007D1D84"/>
    <w:rsid w:val="007D1D96"/>
    <w:rsid w:val="007D1D9B"/>
    <w:rsid w:val="007D1DBC"/>
    <w:rsid w:val="007D1DC4"/>
    <w:rsid w:val="007D1E5B"/>
    <w:rsid w:val="007D1F30"/>
    <w:rsid w:val="007D1FBE"/>
    <w:rsid w:val="007D1FCE"/>
    <w:rsid w:val="007D2073"/>
    <w:rsid w:val="007D20E0"/>
    <w:rsid w:val="007D20F3"/>
    <w:rsid w:val="007D2191"/>
    <w:rsid w:val="007D220E"/>
    <w:rsid w:val="007D223A"/>
    <w:rsid w:val="007D224B"/>
    <w:rsid w:val="007D227A"/>
    <w:rsid w:val="007D22A2"/>
    <w:rsid w:val="007D23A3"/>
    <w:rsid w:val="007D23B8"/>
    <w:rsid w:val="007D2434"/>
    <w:rsid w:val="007D244D"/>
    <w:rsid w:val="007D246D"/>
    <w:rsid w:val="007D24BC"/>
    <w:rsid w:val="007D24F2"/>
    <w:rsid w:val="007D2562"/>
    <w:rsid w:val="007D25CA"/>
    <w:rsid w:val="007D26DA"/>
    <w:rsid w:val="007D26FC"/>
    <w:rsid w:val="007D2719"/>
    <w:rsid w:val="007D271B"/>
    <w:rsid w:val="007D2844"/>
    <w:rsid w:val="007D2847"/>
    <w:rsid w:val="007D2894"/>
    <w:rsid w:val="007D28D4"/>
    <w:rsid w:val="007D2960"/>
    <w:rsid w:val="007D2978"/>
    <w:rsid w:val="007D299F"/>
    <w:rsid w:val="007D2A59"/>
    <w:rsid w:val="007D2AC0"/>
    <w:rsid w:val="007D2ACC"/>
    <w:rsid w:val="007D2AF8"/>
    <w:rsid w:val="007D2B34"/>
    <w:rsid w:val="007D2B55"/>
    <w:rsid w:val="007D2B64"/>
    <w:rsid w:val="007D2B79"/>
    <w:rsid w:val="007D2B89"/>
    <w:rsid w:val="007D2C54"/>
    <w:rsid w:val="007D2C5B"/>
    <w:rsid w:val="007D2C5C"/>
    <w:rsid w:val="007D2C77"/>
    <w:rsid w:val="007D2CB3"/>
    <w:rsid w:val="007D2D13"/>
    <w:rsid w:val="007D2D3F"/>
    <w:rsid w:val="007D2D42"/>
    <w:rsid w:val="007D2D59"/>
    <w:rsid w:val="007D2DBA"/>
    <w:rsid w:val="007D2DBB"/>
    <w:rsid w:val="007D2DE2"/>
    <w:rsid w:val="007D2E00"/>
    <w:rsid w:val="007D2E31"/>
    <w:rsid w:val="007D2E45"/>
    <w:rsid w:val="007D2E78"/>
    <w:rsid w:val="007D2E7A"/>
    <w:rsid w:val="007D2F10"/>
    <w:rsid w:val="007D2FBE"/>
    <w:rsid w:val="007D301F"/>
    <w:rsid w:val="007D3058"/>
    <w:rsid w:val="007D307C"/>
    <w:rsid w:val="007D308E"/>
    <w:rsid w:val="007D310B"/>
    <w:rsid w:val="007D317C"/>
    <w:rsid w:val="007D3193"/>
    <w:rsid w:val="007D31AB"/>
    <w:rsid w:val="007D31BD"/>
    <w:rsid w:val="007D31F0"/>
    <w:rsid w:val="007D3227"/>
    <w:rsid w:val="007D3284"/>
    <w:rsid w:val="007D328E"/>
    <w:rsid w:val="007D32BA"/>
    <w:rsid w:val="007D3319"/>
    <w:rsid w:val="007D3358"/>
    <w:rsid w:val="007D33DB"/>
    <w:rsid w:val="007D341A"/>
    <w:rsid w:val="007D341E"/>
    <w:rsid w:val="007D3446"/>
    <w:rsid w:val="007D34E1"/>
    <w:rsid w:val="007D34E8"/>
    <w:rsid w:val="007D356B"/>
    <w:rsid w:val="007D356F"/>
    <w:rsid w:val="007D3570"/>
    <w:rsid w:val="007D358D"/>
    <w:rsid w:val="007D35C5"/>
    <w:rsid w:val="007D35D3"/>
    <w:rsid w:val="007D3620"/>
    <w:rsid w:val="007D36AE"/>
    <w:rsid w:val="007D37AE"/>
    <w:rsid w:val="007D383E"/>
    <w:rsid w:val="007D38C9"/>
    <w:rsid w:val="007D38D6"/>
    <w:rsid w:val="007D3909"/>
    <w:rsid w:val="007D3985"/>
    <w:rsid w:val="007D39A6"/>
    <w:rsid w:val="007D39D6"/>
    <w:rsid w:val="007D39F5"/>
    <w:rsid w:val="007D3AC2"/>
    <w:rsid w:val="007D3AD3"/>
    <w:rsid w:val="007D3AD9"/>
    <w:rsid w:val="007D3B58"/>
    <w:rsid w:val="007D3B87"/>
    <w:rsid w:val="007D3BD3"/>
    <w:rsid w:val="007D3BD8"/>
    <w:rsid w:val="007D3BE9"/>
    <w:rsid w:val="007D3D34"/>
    <w:rsid w:val="007D3D41"/>
    <w:rsid w:val="007D3D90"/>
    <w:rsid w:val="007D3DA6"/>
    <w:rsid w:val="007D3DCC"/>
    <w:rsid w:val="007D3E05"/>
    <w:rsid w:val="007D3E2D"/>
    <w:rsid w:val="007D3E50"/>
    <w:rsid w:val="007D3E87"/>
    <w:rsid w:val="007D3EE5"/>
    <w:rsid w:val="007D3EED"/>
    <w:rsid w:val="007D3F24"/>
    <w:rsid w:val="007D3F26"/>
    <w:rsid w:val="007D3F79"/>
    <w:rsid w:val="007D3F91"/>
    <w:rsid w:val="007D3F94"/>
    <w:rsid w:val="007D3FAD"/>
    <w:rsid w:val="007D3FB0"/>
    <w:rsid w:val="007D3FBF"/>
    <w:rsid w:val="007D3FEC"/>
    <w:rsid w:val="007D4014"/>
    <w:rsid w:val="007D4065"/>
    <w:rsid w:val="007D4078"/>
    <w:rsid w:val="007D407F"/>
    <w:rsid w:val="007D4087"/>
    <w:rsid w:val="007D40F5"/>
    <w:rsid w:val="007D4166"/>
    <w:rsid w:val="007D419D"/>
    <w:rsid w:val="007D41E7"/>
    <w:rsid w:val="007D41E9"/>
    <w:rsid w:val="007D4200"/>
    <w:rsid w:val="007D422F"/>
    <w:rsid w:val="007D4237"/>
    <w:rsid w:val="007D4257"/>
    <w:rsid w:val="007D428C"/>
    <w:rsid w:val="007D4297"/>
    <w:rsid w:val="007D42BE"/>
    <w:rsid w:val="007D430F"/>
    <w:rsid w:val="007D435A"/>
    <w:rsid w:val="007D4386"/>
    <w:rsid w:val="007D43EB"/>
    <w:rsid w:val="007D444F"/>
    <w:rsid w:val="007D44FD"/>
    <w:rsid w:val="007D450E"/>
    <w:rsid w:val="007D45AB"/>
    <w:rsid w:val="007D45D1"/>
    <w:rsid w:val="007D45F6"/>
    <w:rsid w:val="007D4624"/>
    <w:rsid w:val="007D4684"/>
    <w:rsid w:val="007D4699"/>
    <w:rsid w:val="007D471D"/>
    <w:rsid w:val="007D4781"/>
    <w:rsid w:val="007D47F2"/>
    <w:rsid w:val="007D480B"/>
    <w:rsid w:val="007D4813"/>
    <w:rsid w:val="007D4866"/>
    <w:rsid w:val="007D487E"/>
    <w:rsid w:val="007D4882"/>
    <w:rsid w:val="007D4888"/>
    <w:rsid w:val="007D48C9"/>
    <w:rsid w:val="007D48D4"/>
    <w:rsid w:val="007D48EA"/>
    <w:rsid w:val="007D496B"/>
    <w:rsid w:val="007D49C5"/>
    <w:rsid w:val="007D4A32"/>
    <w:rsid w:val="007D4A4D"/>
    <w:rsid w:val="007D4A9B"/>
    <w:rsid w:val="007D4ABC"/>
    <w:rsid w:val="007D4AC5"/>
    <w:rsid w:val="007D4B38"/>
    <w:rsid w:val="007D4B60"/>
    <w:rsid w:val="007D4BB4"/>
    <w:rsid w:val="007D4C01"/>
    <w:rsid w:val="007D4C18"/>
    <w:rsid w:val="007D4C1B"/>
    <w:rsid w:val="007D4C27"/>
    <w:rsid w:val="007D4CFC"/>
    <w:rsid w:val="007D4D25"/>
    <w:rsid w:val="007D4D2E"/>
    <w:rsid w:val="007D4D54"/>
    <w:rsid w:val="007D4D87"/>
    <w:rsid w:val="007D4D9B"/>
    <w:rsid w:val="007D4E00"/>
    <w:rsid w:val="007D4ECB"/>
    <w:rsid w:val="007D4F10"/>
    <w:rsid w:val="007D4F26"/>
    <w:rsid w:val="007D4F2C"/>
    <w:rsid w:val="007D4FC1"/>
    <w:rsid w:val="007D4FDC"/>
    <w:rsid w:val="007D4FEE"/>
    <w:rsid w:val="007D4FF3"/>
    <w:rsid w:val="007D4FF9"/>
    <w:rsid w:val="007D5069"/>
    <w:rsid w:val="007D5099"/>
    <w:rsid w:val="007D509D"/>
    <w:rsid w:val="007D50AA"/>
    <w:rsid w:val="007D50C1"/>
    <w:rsid w:val="007D513A"/>
    <w:rsid w:val="007D514C"/>
    <w:rsid w:val="007D51ED"/>
    <w:rsid w:val="007D51FE"/>
    <w:rsid w:val="007D5246"/>
    <w:rsid w:val="007D5294"/>
    <w:rsid w:val="007D52B3"/>
    <w:rsid w:val="007D52E1"/>
    <w:rsid w:val="007D5377"/>
    <w:rsid w:val="007D5398"/>
    <w:rsid w:val="007D53F0"/>
    <w:rsid w:val="007D5456"/>
    <w:rsid w:val="007D5483"/>
    <w:rsid w:val="007D5490"/>
    <w:rsid w:val="007D550D"/>
    <w:rsid w:val="007D553F"/>
    <w:rsid w:val="007D554E"/>
    <w:rsid w:val="007D5561"/>
    <w:rsid w:val="007D5605"/>
    <w:rsid w:val="007D5644"/>
    <w:rsid w:val="007D567A"/>
    <w:rsid w:val="007D56D7"/>
    <w:rsid w:val="007D5703"/>
    <w:rsid w:val="007D5733"/>
    <w:rsid w:val="007D573D"/>
    <w:rsid w:val="007D574F"/>
    <w:rsid w:val="007D5860"/>
    <w:rsid w:val="007D5949"/>
    <w:rsid w:val="007D595C"/>
    <w:rsid w:val="007D5964"/>
    <w:rsid w:val="007D5A7A"/>
    <w:rsid w:val="007D5A7D"/>
    <w:rsid w:val="007D5A9E"/>
    <w:rsid w:val="007D5AAA"/>
    <w:rsid w:val="007D5B16"/>
    <w:rsid w:val="007D5B19"/>
    <w:rsid w:val="007D5B9E"/>
    <w:rsid w:val="007D5BFE"/>
    <w:rsid w:val="007D5C0E"/>
    <w:rsid w:val="007D5C8E"/>
    <w:rsid w:val="007D5CAB"/>
    <w:rsid w:val="007D5CDF"/>
    <w:rsid w:val="007D5CE6"/>
    <w:rsid w:val="007D5D4A"/>
    <w:rsid w:val="007D5DA2"/>
    <w:rsid w:val="007D5E3D"/>
    <w:rsid w:val="007D5E77"/>
    <w:rsid w:val="007D5E7B"/>
    <w:rsid w:val="007D5EE4"/>
    <w:rsid w:val="007D5F07"/>
    <w:rsid w:val="007D5F10"/>
    <w:rsid w:val="007D5F36"/>
    <w:rsid w:val="007D5F47"/>
    <w:rsid w:val="007D5F51"/>
    <w:rsid w:val="007D5F91"/>
    <w:rsid w:val="007D600C"/>
    <w:rsid w:val="007D6063"/>
    <w:rsid w:val="007D608A"/>
    <w:rsid w:val="007D609C"/>
    <w:rsid w:val="007D60AB"/>
    <w:rsid w:val="007D60E2"/>
    <w:rsid w:val="007D60EF"/>
    <w:rsid w:val="007D6110"/>
    <w:rsid w:val="007D6141"/>
    <w:rsid w:val="007D6170"/>
    <w:rsid w:val="007D6211"/>
    <w:rsid w:val="007D6220"/>
    <w:rsid w:val="007D6299"/>
    <w:rsid w:val="007D62CF"/>
    <w:rsid w:val="007D62EA"/>
    <w:rsid w:val="007D6337"/>
    <w:rsid w:val="007D63C2"/>
    <w:rsid w:val="007D640A"/>
    <w:rsid w:val="007D641C"/>
    <w:rsid w:val="007D641E"/>
    <w:rsid w:val="007D6481"/>
    <w:rsid w:val="007D64A0"/>
    <w:rsid w:val="007D64B7"/>
    <w:rsid w:val="007D64FF"/>
    <w:rsid w:val="007D650B"/>
    <w:rsid w:val="007D652B"/>
    <w:rsid w:val="007D6576"/>
    <w:rsid w:val="007D65D6"/>
    <w:rsid w:val="007D661A"/>
    <w:rsid w:val="007D6662"/>
    <w:rsid w:val="007D67F9"/>
    <w:rsid w:val="007D6803"/>
    <w:rsid w:val="007D6823"/>
    <w:rsid w:val="007D682E"/>
    <w:rsid w:val="007D6846"/>
    <w:rsid w:val="007D685D"/>
    <w:rsid w:val="007D6906"/>
    <w:rsid w:val="007D6914"/>
    <w:rsid w:val="007D6975"/>
    <w:rsid w:val="007D69F1"/>
    <w:rsid w:val="007D6A18"/>
    <w:rsid w:val="007D6A23"/>
    <w:rsid w:val="007D6A3B"/>
    <w:rsid w:val="007D6A96"/>
    <w:rsid w:val="007D6A9E"/>
    <w:rsid w:val="007D6AD1"/>
    <w:rsid w:val="007D6B01"/>
    <w:rsid w:val="007D6B87"/>
    <w:rsid w:val="007D6BDC"/>
    <w:rsid w:val="007D6BF8"/>
    <w:rsid w:val="007D6C11"/>
    <w:rsid w:val="007D6C99"/>
    <w:rsid w:val="007D6CEA"/>
    <w:rsid w:val="007D6CF5"/>
    <w:rsid w:val="007D6D2B"/>
    <w:rsid w:val="007D6D50"/>
    <w:rsid w:val="007D6D6C"/>
    <w:rsid w:val="007D6DE2"/>
    <w:rsid w:val="007D6E54"/>
    <w:rsid w:val="007D6E96"/>
    <w:rsid w:val="007D6EE9"/>
    <w:rsid w:val="007D6EF9"/>
    <w:rsid w:val="007D6F5B"/>
    <w:rsid w:val="007D6F79"/>
    <w:rsid w:val="007D6FAE"/>
    <w:rsid w:val="007D6FC4"/>
    <w:rsid w:val="007D6FFA"/>
    <w:rsid w:val="007D7013"/>
    <w:rsid w:val="007D70AB"/>
    <w:rsid w:val="007D710B"/>
    <w:rsid w:val="007D7134"/>
    <w:rsid w:val="007D717D"/>
    <w:rsid w:val="007D71E9"/>
    <w:rsid w:val="007D71EF"/>
    <w:rsid w:val="007D7253"/>
    <w:rsid w:val="007D7307"/>
    <w:rsid w:val="007D73C1"/>
    <w:rsid w:val="007D73F0"/>
    <w:rsid w:val="007D7408"/>
    <w:rsid w:val="007D7463"/>
    <w:rsid w:val="007D746A"/>
    <w:rsid w:val="007D74C7"/>
    <w:rsid w:val="007D74E4"/>
    <w:rsid w:val="007D7526"/>
    <w:rsid w:val="007D7557"/>
    <w:rsid w:val="007D7564"/>
    <w:rsid w:val="007D756E"/>
    <w:rsid w:val="007D7575"/>
    <w:rsid w:val="007D757D"/>
    <w:rsid w:val="007D75E1"/>
    <w:rsid w:val="007D7607"/>
    <w:rsid w:val="007D763F"/>
    <w:rsid w:val="007D76A6"/>
    <w:rsid w:val="007D76DC"/>
    <w:rsid w:val="007D7713"/>
    <w:rsid w:val="007D773A"/>
    <w:rsid w:val="007D7740"/>
    <w:rsid w:val="007D7798"/>
    <w:rsid w:val="007D77E5"/>
    <w:rsid w:val="007D7810"/>
    <w:rsid w:val="007D782B"/>
    <w:rsid w:val="007D7849"/>
    <w:rsid w:val="007D794E"/>
    <w:rsid w:val="007D79DD"/>
    <w:rsid w:val="007D7B1E"/>
    <w:rsid w:val="007D7B2D"/>
    <w:rsid w:val="007D7B4A"/>
    <w:rsid w:val="007D7B58"/>
    <w:rsid w:val="007D7C0C"/>
    <w:rsid w:val="007D7C1A"/>
    <w:rsid w:val="007D7C58"/>
    <w:rsid w:val="007D7C64"/>
    <w:rsid w:val="007D7C75"/>
    <w:rsid w:val="007D7C9E"/>
    <w:rsid w:val="007D7CB2"/>
    <w:rsid w:val="007D7CB6"/>
    <w:rsid w:val="007D7CE1"/>
    <w:rsid w:val="007D7D6C"/>
    <w:rsid w:val="007D7D92"/>
    <w:rsid w:val="007D7D97"/>
    <w:rsid w:val="007D7DBD"/>
    <w:rsid w:val="007D7E9B"/>
    <w:rsid w:val="007D7ED4"/>
    <w:rsid w:val="007DD3F8"/>
    <w:rsid w:val="007E0047"/>
    <w:rsid w:val="007E00AB"/>
    <w:rsid w:val="007E00B0"/>
    <w:rsid w:val="007E00B6"/>
    <w:rsid w:val="007E00CD"/>
    <w:rsid w:val="007E00EA"/>
    <w:rsid w:val="007E0103"/>
    <w:rsid w:val="007E014C"/>
    <w:rsid w:val="007E0193"/>
    <w:rsid w:val="007E01B4"/>
    <w:rsid w:val="007E01C5"/>
    <w:rsid w:val="007E0284"/>
    <w:rsid w:val="007E02B6"/>
    <w:rsid w:val="007E0354"/>
    <w:rsid w:val="007E038B"/>
    <w:rsid w:val="007E03C9"/>
    <w:rsid w:val="007E0486"/>
    <w:rsid w:val="007E0515"/>
    <w:rsid w:val="007E0584"/>
    <w:rsid w:val="007E05C2"/>
    <w:rsid w:val="007E05F8"/>
    <w:rsid w:val="007E0612"/>
    <w:rsid w:val="007E0648"/>
    <w:rsid w:val="007E064A"/>
    <w:rsid w:val="007E0656"/>
    <w:rsid w:val="007E06B3"/>
    <w:rsid w:val="007E0706"/>
    <w:rsid w:val="007E075F"/>
    <w:rsid w:val="007E07D2"/>
    <w:rsid w:val="007E07EA"/>
    <w:rsid w:val="007E07FE"/>
    <w:rsid w:val="007E0865"/>
    <w:rsid w:val="007E08A2"/>
    <w:rsid w:val="007E098A"/>
    <w:rsid w:val="007E0994"/>
    <w:rsid w:val="007E09BB"/>
    <w:rsid w:val="007E09E9"/>
    <w:rsid w:val="007E09F1"/>
    <w:rsid w:val="007E0A17"/>
    <w:rsid w:val="007E0A3E"/>
    <w:rsid w:val="007E0A52"/>
    <w:rsid w:val="007E0A81"/>
    <w:rsid w:val="007E0A82"/>
    <w:rsid w:val="007E0AD0"/>
    <w:rsid w:val="007E0B00"/>
    <w:rsid w:val="007E0B0A"/>
    <w:rsid w:val="007E0B12"/>
    <w:rsid w:val="007E0B6D"/>
    <w:rsid w:val="007E0BF2"/>
    <w:rsid w:val="007E0C51"/>
    <w:rsid w:val="007E0C85"/>
    <w:rsid w:val="007E0CA0"/>
    <w:rsid w:val="007E0D38"/>
    <w:rsid w:val="007E0D4F"/>
    <w:rsid w:val="007E0D7C"/>
    <w:rsid w:val="007E0DC5"/>
    <w:rsid w:val="007E0DCD"/>
    <w:rsid w:val="007E0E0B"/>
    <w:rsid w:val="007E0E5A"/>
    <w:rsid w:val="007E0F4C"/>
    <w:rsid w:val="007E0F62"/>
    <w:rsid w:val="007E0F79"/>
    <w:rsid w:val="007E0F88"/>
    <w:rsid w:val="007E101A"/>
    <w:rsid w:val="007E101F"/>
    <w:rsid w:val="007E1027"/>
    <w:rsid w:val="007E104D"/>
    <w:rsid w:val="007E10E4"/>
    <w:rsid w:val="007E1100"/>
    <w:rsid w:val="007E112B"/>
    <w:rsid w:val="007E11DA"/>
    <w:rsid w:val="007E1286"/>
    <w:rsid w:val="007E1291"/>
    <w:rsid w:val="007E12D6"/>
    <w:rsid w:val="007E12EB"/>
    <w:rsid w:val="007E130E"/>
    <w:rsid w:val="007E13DE"/>
    <w:rsid w:val="007E13E6"/>
    <w:rsid w:val="007E1417"/>
    <w:rsid w:val="007E143D"/>
    <w:rsid w:val="007E1449"/>
    <w:rsid w:val="007E1466"/>
    <w:rsid w:val="007E148C"/>
    <w:rsid w:val="007E14D0"/>
    <w:rsid w:val="007E14F0"/>
    <w:rsid w:val="007E151D"/>
    <w:rsid w:val="007E1539"/>
    <w:rsid w:val="007E15CD"/>
    <w:rsid w:val="007E15EC"/>
    <w:rsid w:val="007E15F4"/>
    <w:rsid w:val="007E1600"/>
    <w:rsid w:val="007E1621"/>
    <w:rsid w:val="007E1678"/>
    <w:rsid w:val="007E167C"/>
    <w:rsid w:val="007E169D"/>
    <w:rsid w:val="007E170F"/>
    <w:rsid w:val="007E174F"/>
    <w:rsid w:val="007E17A6"/>
    <w:rsid w:val="007E17F9"/>
    <w:rsid w:val="007E186A"/>
    <w:rsid w:val="007E18A6"/>
    <w:rsid w:val="007E18CA"/>
    <w:rsid w:val="007E193D"/>
    <w:rsid w:val="007E197F"/>
    <w:rsid w:val="007E1A0C"/>
    <w:rsid w:val="007E1A1F"/>
    <w:rsid w:val="007E1A34"/>
    <w:rsid w:val="007E1A56"/>
    <w:rsid w:val="007E1AB5"/>
    <w:rsid w:val="007E1B32"/>
    <w:rsid w:val="007E1B40"/>
    <w:rsid w:val="007E1B45"/>
    <w:rsid w:val="007E1BE9"/>
    <w:rsid w:val="007E1BFE"/>
    <w:rsid w:val="007E1C27"/>
    <w:rsid w:val="007E1CB2"/>
    <w:rsid w:val="007E1CBD"/>
    <w:rsid w:val="007E1CDF"/>
    <w:rsid w:val="007E1CE6"/>
    <w:rsid w:val="007E1D00"/>
    <w:rsid w:val="007E1D21"/>
    <w:rsid w:val="007E1D66"/>
    <w:rsid w:val="007E1D68"/>
    <w:rsid w:val="007E1DC6"/>
    <w:rsid w:val="007E1E00"/>
    <w:rsid w:val="007E1E64"/>
    <w:rsid w:val="007E1EB9"/>
    <w:rsid w:val="007E1EBB"/>
    <w:rsid w:val="007E1EFB"/>
    <w:rsid w:val="007E1F2D"/>
    <w:rsid w:val="007E1F31"/>
    <w:rsid w:val="007E1F3D"/>
    <w:rsid w:val="007E1F95"/>
    <w:rsid w:val="007E1F9F"/>
    <w:rsid w:val="007E1FAC"/>
    <w:rsid w:val="007E1FB1"/>
    <w:rsid w:val="007E1FB5"/>
    <w:rsid w:val="007E1FD9"/>
    <w:rsid w:val="007E2002"/>
    <w:rsid w:val="007E20B6"/>
    <w:rsid w:val="007E20E8"/>
    <w:rsid w:val="007E2115"/>
    <w:rsid w:val="007E212C"/>
    <w:rsid w:val="007E213E"/>
    <w:rsid w:val="007E2156"/>
    <w:rsid w:val="007E218B"/>
    <w:rsid w:val="007E2192"/>
    <w:rsid w:val="007E22E3"/>
    <w:rsid w:val="007E22E5"/>
    <w:rsid w:val="007E2343"/>
    <w:rsid w:val="007E2358"/>
    <w:rsid w:val="007E2365"/>
    <w:rsid w:val="007E2454"/>
    <w:rsid w:val="007E2552"/>
    <w:rsid w:val="007E25AE"/>
    <w:rsid w:val="007E25B3"/>
    <w:rsid w:val="007E25CA"/>
    <w:rsid w:val="007E2632"/>
    <w:rsid w:val="007E2681"/>
    <w:rsid w:val="007E2708"/>
    <w:rsid w:val="007E274B"/>
    <w:rsid w:val="007E2797"/>
    <w:rsid w:val="007E27AF"/>
    <w:rsid w:val="007E27C0"/>
    <w:rsid w:val="007E27E4"/>
    <w:rsid w:val="007E280F"/>
    <w:rsid w:val="007E282E"/>
    <w:rsid w:val="007E2840"/>
    <w:rsid w:val="007E28CE"/>
    <w:rsid w:val="007E28D7"/>
    <w:rsid w:val="007E29B3"/>
    <w:rsid w:val="007E29B6"/>
    <w:rsid w:val="007E29E5"/>
    <w:rsid w:val="007E2A5B"/>
    <w:rsid w:val="007E2A84"/>
    <w:rsid w:val="007E2A98"/>
    <w:rsid w:val="007E2AA2"/>
    <w:rsid w:val="007E2ABC"/>
    <w:rsid w:val="007E2AE2"/>
    <w:rsid w:val="007E2B26"/>
    <w:rsid w:val="007E2B42"/>
    <w:rsid w:val="007E2B86"/>
    <w:rsid w:val="007E2B9A"/>
    <w:rsid w:val="007E2BB5"/>
    <w:rsid w:val="007E2BB6"/>
    <w:rsid w:val="007E2BCF"/>
    <w:rsid w:val="007E2BE8"/>
    <w:rsid w:val="007E2BEF"/>
    <w:rsid w:val="007E2BFA"/>
    <w:rsid w:val="007E2C22"/>
    <w:rsid w:val="007E2C61"/>
    <w:rsid w:val="007E2CCE"/>
    <w:rsid w:val="007E2D24"/>
    <w:rsid w:val="007E2D31"/>
    <w:rsid w:val="007E2D66"/>
    <w:rsid w:val="007E2E2A"/>
    <w:rsid w:val="007E2EEE"/>
    <w:rsid w:val="007E2F55"/>
    <w:rsid w:val="007E2F70"/>
    <w:rsid w:val="007E2FB5"/>
    <w:rsid w:val="007E3011"/>
    <w:rsid w:val="007E3020"/>
    <w:rsid w:val="007E3031"/>
    <w:rsid w:val="007E3035"/>
    <w:rsid w:val="007E305F"/>
    <w:rsid w:val="007E30A8"/>
    <w:rsid w:val="007E30BC"/>
    <w:rsid w:val="007E3118"/>
    <w:rsid w:val="007E3172"/>
    <w:rsid w:val="007E31FF"/>
    <w:rsid w:val="007E3221"/>
    <w:rsid w:val="007E323F"/>
    <w:rsid w:val="007E324A"/>
    <w:rsid w:val="007E32C3"/>
    <w:rsid w:val="007E338C"/>
    <w:rsid w:val="007E33B5"/>
    <w:rsid w:val="007E33D7"/>
    <w:rsid w:val="007E3439"/>
    <w:rsid w:val="007E3494"/>
    <w:rsid w:val="007E34A3"/>
    <w:rsid w:val="007E34A4"/>
    <w:rsid w:val="007E34A5"/>
    <w:rsid w:val="007E3532"/>
    <w:rsid w:val="007E3539"/>
    <w:rsid w:val="007E35DE"/>
    <w:rsid w:val="007E3615"/>
    <w:rsid w:val="007E365A"/>
    <w:rsid w:val="007E365C"/>
    <w:rsid w:val="007E3679"/>
    <w:rsid w:val="007E3696"/>
    <w:rsid w:val="007E37AF"/>
    <w:rsid w:val="007E3815"/>
    <w:rsid w:val="007E383D"/>
    <w:rsid w:val="007E38A8"/>
    <w:rsid w:val="007E38F3"/>
    <w:rsid w:val="007E38F7"/>
    <w:rsid w:val="007E3920"/>
    <w:rsid w:val="007E3943"/>
    <w:rsid w:val="007E3ABE"/>
    <w:rsid w:val="007E3AED"/>
    <w:rsid w:val="007E3AFC"/>
    <w:rsid w:val="007E3B1A"/>
    <w:rsid w:val="007E3B75"/>
    <w:rsid w:val="007E3B9A"/>
    <w:rsid w:val="007E3BA0"/>
    <w:rsid w:val="007E3C54"/>
    <w:rsid w:val="007E3C5A"/>
    <w:rsid w:val="007E3C92"/>
    <w:rsid w:val="007E3DC8"/>
    <w:rsid w:val="007E3DF3"/>
    <w:rsid w:val="007E3E28"/>
    <w:rsid w:val="007E3E8E"/>
    <w:rsid w:val="007E3EA7"/>
    <w:rsid w:val="007E3F14"/>
    <w:rsid w:val="007E3F66"/>
    <w:rsid w:val="007E3F8A"/>
    <w:rsid w:val="007E3FC3"/>
    <w:rsid w:val="007E4007"/>
    <w:rsid w:val="007E4046"/>
    <w:rsid w:val="007E4096"/>
    <w:rsid w:val="007E40C4"/>
    <w:rsid w:val="007E40CA"/>
    <w:rsid w:val="007E4138"/>
    <w:rsid w:val="007E4203"/>
    <w:rsid w:val="007E428E"/>
    <w:rsid w:val="007E42A6"/>
    <w:rsid w:val="007E4323"/>
    <w:rsid w:val="007E4349"/>
    <w:rsid w:val="007E439B"/>
    <w:rsid w:val="007E43E4"/>
    <w:rsid w:val="007E43E5"/>
    <w:rsid w:val="007E43E6"/>
    <w:rsid w:val="007E43FC"/>
    <w:rsid w:val="007E440C"/>
    <w:rsid w:val="007E4462"/>
    <w:rsid w:val="007E456F"/>
    <w:rsid w:val="007E45A1"/>
    <w:rsid w:val="007E45F2"/>
    <w:rsid w:val="007E461A"/>
    <w:rsid w:val="007E46C5"/>
    <w:rsid w:val="007E46DC"/>
    <w:rsid w:val="007E4723"/>
    <w:rsid w:val="007E4735"/>
    <w:rsid w:val="007E474C"/>
    <w:rsid w:val="007E4763"/>
    <w:rsid w:val="007E47AD"/>
    <w:rsid w:val="007E47C3"/>
    <w:rsid w:val="007E47EC"/>
    <w:rsid w:val="007E4818"/>
    <w:rsid w:val="007E4841"/>
    <w:rsid w:val="007E4871"/>
    <w:rsid w:val="007E4875"/>
    <w:rsid w:val="007E4893"/>
    <w:rsid w:val="007E48B1"/>
    <w:rsid w:val="007E4902"/>
    <w:rsid w:val="007E492A"/>
    <w:rsid w:val="007E495A"/>
    <w:rsid w:val="007E4969"/>
    <w:rsid w:val="007E497A"/>
    <w:rsid w:val="007E49A4"/>
    <w:rsid w:val="007E4A66"/>
    <w:rsid w:val="007E4A7F"/>
    <w:rsid w:val="007E4AB4"/>
    <w:rsid w:val="007E4B47"/>
    <w:rsid w:val="007E4B4A"/>
    <w:rsid w:val="007E4B75"/>
    <w:rsid w:val="007E4BA5"/>
    <w:rsid w:val="007E4BE6"/>
    <w:rsid w:val="007E4C4E"/>
    <w:rsid w:val="007E4CC5"/>
    <w:rsid w:val="007E4CF3"/>
    <w:rsid w:val="007E4D13"/>
    <w:rsid w:val="007E4D94"/>
    <w:rsid w:val="007E4D99"/>
    <w:rsid w:val="007E4DBC"/>
    <w:rsid w:val="007E4E82"/>
    <w:rsid w:val="007E4E8C"/>
    <w:rsid w:val="007E4F28"/>
    <w:rsid w:val="007E4F3C"/>
    <w:rsid w:val="007E5004"/>
    <w:rsid w:val="007E5046"/>
    <w:rsid w:val="007E504E"/>
    <w:rsid w:val="007E507A"/>
    <w:rsid w:val="007E5088"/>
    <w:rsid w:val="007E509B"/>
    <w:rsid w:val="007E5106"/>
    <w:rsid w:val="007E515E"/>
    <w:rsid w:val="007E51C7"/>
    <w:rsid w:val="007E5233"/>
    <w:rsid w:val="007E5258"/>
    <w:rsid w:val="007E5266"/>
    <w:rsid w:val="007E528C"/>
    <w:rsid w:val="007E529B"/>
    <w:rsid w:val="007E5340"/>
    <w:rsid w:val="007E5376"/>
    <w:rsid w:val="007E5393"/>
    <w:rsid w:val="007E544C"/>
    <w:rsid w:val="007E5455"/>
    <w:rsid w:val="007E546E"/>
    <w:rsid w:val="007E5475"/>
    <w:rsid w:val="007E54B4"/>
    <w:rsid w:val="007E54BD"/>
    <w:rsid w:val="007E54CF"/>
    <w:rsid w:val="007E558F"/>
    <w:rsid w:val="007E55BF"/>
    <w:rsid w:val="007E55C1"/>
    <w:rsid w:val="007E55DB"/>
    <w:rsid w:val="007E56E8"/>
    <w:rsid w:val="007E5724"/>
    <w:rsid w:val="007E5728"/>
    <w:rsid w:val="007E5737"/>
    <w:rsid w:val="007E5760"/>
    <w:rsid w:val="007E5779"/>
    <w:rsid w:val="007E579D"/>
    <w:rsid w:val="007E57A6"/>
    <w:rsid w:val="007E57D1"/>
    <w:rsid w:val="007E587A"/>
    <w:rsid w:val="007E58A4"/>
    <w:rsid w:val="007E58BF"/>
    <w:rsid w:val="007E58C8"/>
    <w:rsid w:val="007E5991"/>
    <w:rsid w:val="007E59A6"/>
    <w:rsid w:val="007E5A88"/>
    <w:rsid w:val="007E5A8B"/>
    <w:rsid w:val="007E5AA0"/>
    <w:rsid w:val="007E5ABC"/>
    <w:rsid w:val="007E5B27"/>
    <w:rsid w:val="007E5B31"/>
    <w:rsid w:val="007E5B48"/>
    <w:rsid w:val="007E5B4E"/>
    <w:rsid w:val="007E5B8A"/>
    <w:rsid w:val="007E5B8D"/>
    <w:rsid w:val="007E5C74"/>
    <w:rsid w:val="007E5CD1"/>
    <w:rsid w:val="007E5CDA"/>
    <w:rsid w:val="007E5CDD"/>
    <w:rsid w:val="007E5CF5"/>
    <w:rsid w:val="007E5D42"/>
    <w:rsid w:val="007E5D80"/>
    <w:rsid w:val="007E5D94"/>
    <w:rsid w:val="007E5D96"/>
    <w:rsid w:val="007E5DC4"/>
    <w:rsid w:val="007E5E00"/>
    <w:rsid w:val="007E5E7C"/>
    <w:rsid w:val="007E5E8B"/>
    <w:rsid w:val="007E5F46"/>
    <w:rsid w:val="007E5F58"/>
    <w:rsid w:val="007E5FBA"/>
    <w:rsid w:val="007E5FCD"/>
    <w:rsid w:val="007E6016"/>
    <w:rsid w:val="007E6024"/>
    <w:rsid w:val="007E60D2"/>
    <w:rsid w:val="007E60D8"/>
    <w:rsid w:val="007E60DF"/>
    <w:rsid w:val="007E6103"/>
    <w:rsid w:val="007E610B"/>
    <w:rsid w:val="007E6111"/>
    <w:rsid w:val="007E6151"/>
    <w:rsid w:val="007E61A4"/>
    <w:rsid w:val="007E61D1"/>
    <w:rsid w:val="007E61F0"/>
    <w:rsid w:val="007E625A"/>
    <w:rsid w:val="007E629B"/>
    <w:rsid w:val="007E6354"/>
    <w:rsid w:val="007E644E"/>
    <w:rsid w:val="007E6591"/>
    <w:rsid w:val="007E664D"/>
    <w:rsid w:val="007E669A"/>
    <w:rsid w:val="007E66D8"/>
    <w:rsid w:val="007E6719"/>
    <w:rsid w:val="007E6742"/>
    <w:rsid w:val="007E676C"/>
    <w:rsid w:val="007E678D"/>
    <w:rsid w:val="007E67B8"/>
    <w:rsid w:val="007E67C3"/>
    <w:rsid w:val="007E67F4"/>
    <w:rsid w:val="007E684B"/>
    <w:rsid w:val="007E6856"/>
    <w:rsid w:val="007E68B3"/>
    <w:rsid w:val="007E6908"/>
    <w:rsid w:val="007E690D"/>
    <w:rsid w:val="007E6922"/>
    <w:rsid w:val="007E692A"/>
    <w:rsid w:val="007E6975"/>
    <w:rsid w:val="007E699D"/>
    <w:rsid w:val="007E69B2"/>
    <w:rsid w:val="007E69D1"/>
    <w:rsid w:val="007E69F9"/>
    <w:rsid w:val="007E6A9F"/>
    <w:rsid w:val="007E6B0F"/>
    <w:rsid w:val="007E6B1D"/>
    <w:rsid w:val="007E6B30"/>
    <w:rsid w:val="007E6C13"/>
    <w:rsid w:val="007E6C9F"/>
    <w:rsid w:val="007E6CD5"/>
    <w:rsid w:val="007E6CE1"/>
    <w:rsid w:val="007E6D59"/>
    <w:rsid w:val="007E6DF7"/>
    <w:rsid w:val="007E6E02"/>
    <w:rsid w:val="007E6E4D"/>
    <w:rsid w:val="007E6E70"/>
    <w:rsid w:val="007E6E82"/>
    <w:rsid w:val="007E6EA7"/>
    <w:rsid w:val="007E6ED8"/>
    <w:rsid w:val="007E6F6A"/>
    <w:rsid w:val="007E6FAC"/>
    <w:rsid w:val="007E7011"/>
    <w:rsid w:val="007E7044"/>
    <w:rsid w:val="007E706B"/>
    <w:rsid w:val="007E7102"/>
    <w:rsid w:val="007E7134"/>
    <w:rsid w:val="007E71A1"/>
    <w:rsid w:val="007E71C2"/>
    <w:rsid w:val="007E720D"/>
    <w:rsid w:val="007E7263"/>
    <w:rsid w:val="007E72BE"/>
    <w:rsid w:val="007E72C5"/>
    <w:rsid w:val="007E72D0"/>
    <w:rsid w:val="007E72EB"/>
    <w:rsid w:val="007E7311"/>
    <w:rsid w:val="007E732A"/>
    <w:rsid w:val="007E736F"/>
    <w:rsid w:val="007E738C"/>
    <w:rsid w:val="007E7393"/>
    <w:rsid w:val="007E73A2"/>
    <w:rsid w:val="007E741D"/>
    <w:rsid w:val="007E7424"/>
    <w:rsid w:val="007E743D"/>
    <w:rsid w:val="007E7443"/>
    <w:rsid w:val="007E748D"/>
    <w:rsid w:val="007E74B2"/>
    <w:rsid w:val="007E74B8"/>
    <w:rsid w:val="007E74C6"/>
    <w:rsid w:val="007E755C"/>
    <w:rsid w:val="007E7571"/>
    <w:rsid w:val="007E7572"/>
    <w:rsid w:val="007E763B"/>
    <w:rsid w:val="007E7696"/>
    <w:rsid w:val="007E7712"/>
    <w:rsid w:val="007E773C"/>
    <w:rsid w:val="007E777C"/>
    <w:rsid w:val="007E77BD"/>
    <w:rsid w:val="007E77C4"/>
    <w:rsid w:val="007E7894"/>
    <w:rsid w:val="007E7903"/>
    <w:rsid w:val="007E7978"/>
    <w:rsid w:val="007E7990"/>
    <w:rsid w:val="007E79A7"/>
    <w:rsid w:val="007E79BA"/>
    <w:rsid w:val="007E79BF"/>
    <w:rsid w:val="007E79D2"/>
    <w:rsid w:val="007E79DA"/>
    <w:rsid w:val="007E7A13"/>
    <w:rsid w:val="007E7B28"/>
    <w:rsid w:val="007E7BA6"/>
    <w:rsid w:val="007E7C12"/>
    <w:rsid w:val="007E7C23"/>
    <w:rsid w:val="007E7CC1"/>
    <w:rsid w:val="007E7CCD"/>
    <w:rsid w:val="007E7D08"/>
    <w:rsid w:val="007E7D0A"/>
    <w:rsid w:val="007E7D5A"/>
    <w:rsid w:val="007E7E07"/>
    <w:rsid w:val="007E7E1C"/>
    <w:rsid w:val="007E7E45"/>
    <w:rsid w:val="007E7E5A"/>
    <w:rsid w:val="007E7EA7"/>
    <w:rsid w:val="007E7ECB"/>
    <w:rsid w:val="007E7F06"/>
    <w:rsid w:val="007E7F26"/>
    <w:rsid w:val="007E7F27"/>
    <w:rsid w:val="007E7F60"/>
    <w:rsid w:val="007E7F96"/>
    <w:rsid w:val="007E7FF2"/>
    <w:rsid w:val="007F0010"/>
    <w:rsid w:val="007F00D9"/>
    <w:rsid w:val="007F0105"/>
    <w:rsid w:val="007F0110"/>
    <w:rsid w:val="007F0114"/>
    <w:rsid w:val="007F0185"/>
    <w:rsid w:val="007F01B3"/>
    <w:rsid w:val="007F01D5"/>
    <w:rsid w:val="007F01EB"/>
    <w:rsid w:val="007F023E"/>
    <w:rsid w:val="007F0242"/>
    <w:rsid w:val="007F0268"/>
    <w:rsid w:val="007F02C8"/>
    <w:rsid w:val="007F02E9"/>
    <w:rsid w:val="007F0331"/>
    <w:rsid w:val="007F033D"/>
    <w:rsid w:val="007F036E"/>
    <w:rsid w:val="007F0394"/>
    <w:rsid w:val="007F03A5"/>
    <w:rsid w:val="007F03D4"/>
    <w:rsid w:val="007F0428"/>
    <w:rsid w:val="007F047B"/>
    <w:rsid w:val="007F0480"/>
    <w:rsid w:val="007F04AD"/>
    <w:rsid w:val="007F04D4"/>
    <w:rsid w:val="007F050D"/>
    <w:rsid w:val="007F0552"/>
    <w:rsid w:val="007F0572"/>
    <w:rsid w:val="007F059E"/>
    <w:rsid w:val="007F05A9"/>
    <w:rsid w:val="007F05B0"/>
    <w:rsid w:val="007F05E8"/>
    <w:rsid w:val="007F05F4"/>
    <w:rsid w:val="007F0638"/>
    <w:rsid w:val="007F063F"/>
    <w:rsid w:val="007F06CE"/>
    <w:rsid w:val="007F070B"/>
    <w:rsid w:val="007F0749"/>
    <w:rsid w:val="007F075A"/>
    <w:rsid w:val="007F0783"/>
    <w:rsid w:val="007F07A5"/>
    <w:rsid w:val="007F07FB"/>
    <w:rsid w:val="007F0856"/>
    <w:rsid w:val="007F087C"/>
    <w:rsid w:val="007F087F"/>
    <w:rsid w:val="007F0883"/>
    <w:rsid w:val="007F088A"/>
    <w:rsid w:val="007F08D6"/>
    <w:rsid w:val="007F0A00"/>
    <w:rsid w:val="007F0A35"/>
    <w:rsid w:val="007F0A7E"/>
    <w:rsid w:val="007F0AB1"/>
    <w:rsid w:val="007F0AC1"/>
    <w:rsid w:val="007F0AF6"/>
    <w:rsid w:val="007F0B83"/>
    <w:rsid w:val="007F0C26"/>
    <w:rsid w:val="007F0C2E"/>
    <w:rsid w:val="007F0C4A"/>
    <w:rsid w:val="007F0C6E"/>
    <w:rsid w:val="007F0D01"/>
    <w:rsid w:val="007F0D5B"/>
    <w:rsid w:val="007F0D68"/>
    <w:rsid w:val="007F0D8A"/>
    <w:rsid w:val="007F0E34"/>
    <w:rsid w:val="007F0E66"/>
    <w:rsid w:val="007F0F77"/>
    <w:rsid w:val="007F0F78"/>
    <w:rsid w:val="007F0F81"/>
    <w:rsid w:val="007F0FB8"/>
    <w:rsid w:val="007F0FDF"/>
    <w:rsid w:val="007F1015"/>
    <w:rsid w:val="007F1037"/>
    <w:rsid w:val="007F1046"/>
    <w:rsid w:val="007F10B6"/>
    <w:rsid w:val="007F110D"/>
    <w:rsid w:val="007F1159"/>
    <w:rsid w:val="007F11A2"/>
    <w:rsid w:val="007F120E"/>
    <w:rsid w:val="007F1239"/>
    <w:rsid w:val="007F1294"/>
    <w:rsid w:val="007F12B8"/>
    <w:rsid w:val="007F12D2"/>
    <w:rsid w:val="007F1384"/>
    <w:rsid w:val="007F138A"/>
    <w:rsid w:val="007F1394"/>
    <w:rsid w:val="007F13E5"/>
    <w:rsid w:val="007F1469"/>
    <w:rsid w:val="007F1489"/>
    <w:rsid w:val="007F150F"/>
    <w:rsid w:val="007F158C"/>
    <w:rsid w:val="007F15A8"/>
    <w:rsid w:val="007F166D"/>
    <w:rsid w:val="007F16B2"/>
    <w:rsid w:val="007F16F5"/>
    <w:rsid w:val="007F1719"/>
    <w:rsid w:val="007F174E"/>
    <w:rsid w:val="007F178D"/>
    <w:rsid w:val="007F17CB"/>
    <w:rsid w:val="007F180F"/>
    <w:rsid w:val="007F182E"/>
    <w:rsid w:val="007F183D"/>
    <w:rsid w:val="007F1890"/>
    <w:rsid w:val="007F18A9"/>
    <w:rsid w:val="007F18BC"/>
    <w:rsid w:val="007F18FC"/>
    <w:rsid w:val="007F195F"/>
    <w:rsid w:val="007F1972"/>
    <w:rsid w:val="007F19FA"/>
    <w:rsid w:val="007F1A04"/>
    <w:rsid w:val="007F1A0F"/>
    <w:rsid w:val="007F1A16"/>
    <w:rsid w:val="007F1A3D"/>
    <w:rsid w:val="007F1A5B"/>
    <w:rsid w:val="007F1A7D"/>
    <w:rsid w:val="007F1A9C"/>
    <w:rsid w:val="007F1BE1"/>
    <w:rsid w:val="007F1C01"/>
    <w:rsid w:val="007F1C03"/>
    <w:rsid w:val="007F1C24"/>
    <w:rsid w:val="007F1C48"/>
    <w:rsid w:val="007F1C54"/>
    <w:rsid w:val="007F1CA9"/>
    <w:rsid w:val="007F1CE1"/>
    <w:rsid w:val="007F1CFA"/>
    <w:rsid w:val="007F1D2A"/>
    <w:rsid w:val="007F1D3E"/>
    <w:rsid w:val="007F1D47"/>
    <w:rsid w:val="007F1D7B"/>
    <w:rsid w:val="007F1DA9"/>
    <w:rsid w:val="007F1DED"/>
    <w:rsid w:val="007F1E15"/>
    <w:rsid w:val="007F1E1B"/>
    <w:rsid w:val="007F1E2C"/>
    <w:rsid w:val="007F1E67"/>
    <w:rsid w:val="007F1E71"/>
    <w:rsid w:val="007F1E8E"/>
    <w:rsid w:val="007F1EAF"/>
    <w:rsid w:val="007F1EB8"/>
    <w:rsid w:val="007F1F01"/>
    <w:rsid w:val="007F1F2D"/>
    <w:rsid w:val="007F1F8D"/>
    <w:rsid w:val="007F1FD0"/>
    <w:rsid w:val="007F2077"/>
    <w:rsid w:val="007F213B"/>
    <w:rsid w:val="007F2175"/>
    <w:rsid w:val="007F2230"/>
    <w:rsid w:val="007F225A"/>
    <w:rsid w:val="007F2272"/>
    <w:rsid w:val="007F22BB"/>
    <w:rsid w:val="007F2369"/>
    <w:rsid w:val="007F236C"/>
    <w:rsid w:val="007F23F7"/>
    <w:rsid w:val="007F2406"/>
    <w:rsid w:val="007F240C"/>
    <w:rsid w:val="007F243F"/>
    <w:rsid w:val="007F244E"/>
    <w:rsid w:val="007F24F5"/>
    <w:rsid w:val="007F2594"/>
    <w:rsid w:val="007F2639"/>
    <w:rsid w:val="007F2640"/>
    <w:rsid w:val="007F268F"/>
    <w:rsid w:val="007F2690"/>
    <w:rsid w:val="007F2695"/>
    <w:rsid w:val="007F26BF"/>
    <w:rsid w:val="007F26EE"/>
    <w:rsid w:val="007F2720"/>
    <w:rsid w:val="007F2769"/>
    <w:rsid w:val="007F2780"/>
    <w:rsid w:val="007F27D6"/>
    <w:rsid w:val="007F27FB"/>
    <w:rsid w:val="007F2854"/>
    <w:rsid w:val="007F286C"/>
    <w:rsid w:val="007F28DE"/>
    <w:rsid w:val="007F28E5"/>
    <w:rsid w:val="007F2907"/>
    <w:rsid w:val="007F295A"/>
    <w:rsid w:val="007F2974"/>
    <w:rsid w:val="007F2978"/>
    <w:rsid w:val="007F29D9"/>
    <w:rsid w:val="007F2A5D"/>
    <w:rsid w:val="007F2ADA"/>
    <w:rsid w:val="007F2AEE"/>
    <w:rsid w:val="007F2AFE"/>
    <w:rsid w:val="007F2B29"/>
    <w:rsid w:val="007F2B38"/>
    <w:rsid w:val="007F2B84"/>
    <w:rsid w:val="007F2BB6"/>
    <w:rsid w:val="007F2BE7"/>
    <w:rsid w:val="007F2C09"/>
    <w:rsid w:val="007F2C3C"/>
    <w:rsid w:val="007F2CC7"/>
    <w:rsid w:val="007F2CDA"/>
    <w:rsid w:val="007F2CEF"/>
    <w:rsid w:val="007F2D7A"/>
    <w:rsid w:val="007F2D8E"/>
    <w:rsid w:val="007F2DC2"/>
    <w:rsid w:val="007F2DEC"/>
    <w:rsid w:val="007F2E44"/>
    <w:rsid w:val="007F2E79"/>
    <w:rsid w:val="007F2EEC"/>
    <w:rsid w:val="007F2F04"/>
    <w:rsid w:val="007F2F10"/>
    <w:rsid w:val="007F2F1E"/>
    <w:rsid w:val="007F2F2E"/>
    <w:rsid w:val="007F2F3A"/>
    <w:rsid w:val="007F2F64"/>
    <w:rsid w:val="007F2FAE"/>
    <w:rsid w:val="007F2FDB"/>
    <w:rsid w:val="007F3047"/>
    <w:rsid w:val="007F3057"/>
    <w:rsid w:val="007F3073"/>
    <w:rsid w:val="007F3140"/>
    <w:rsid w:val="007F31B3"/>
    <w:rsid w:val="007F3232"/>
    <w:rsid w:val="007F3288"/>
    <w:rsid w:val="007F3344"/>
    <w:rsid w:val="007F334E"/>
    <w:rsid w:val="007F33D3"/>
    <w:rsid w:val="007F33D9"/>
    <w:rsid w:val="007F33E0"/>
    <w:rsid w:val="007F343A"/>
    <w:rsid w:val="007F3448"/>
    <w:rsid w:val="007F3542"/>
    <w:rsid w:val="007F3600"/>
    <w:rsid w:val="007F3608"/>
    <w:rsid w:val="007F3623"/>
    <w:rsid w:val="007F364A"/>
    <w:rsid w:val="007F36B3"/>
    <w:rsid w:val="007F36B5"/>
    <w:rsid w:val="007F36BA"/>
    <w:rsid w:val="007F36D7"/>
    <w:rsid w:val="007F3711"/>
    <w:rsid w:val="007F374D"/>
    <w:rsid w:val="007F375D"/>
    <w:rsid w:val="007F3765"/>
    <w:rsid w:val="007F376D"/>
    <w:rsid w:val="007F3794"/>
    <w:rsid w:val="007F3795"/>
    <w:rsid w:val="007F37C7"/>
    <w:rsid w:val="007F37DE"/>
    <w:rsid w:val="007F38EE"/>
    <w:rsid w:val="007F38F5"/>
    <w:rsid w:val="007F38FB"/>
    <w:rsid w:val="007F38FF"/>
    <w:rsid w:val="007F3917"/>
    <w:rsid w:val="007F3925"/>
    <w:rsid w:val="007F3985"/>
    <w:rsid w:val="007F39B3"/>
    <w:rsid w:val="007F39CC"/>
    <w:rsid w:val="007F3ADB"/>
    <w:rsid w:val="007F3B0C"/>
    <w:rsid w:val="007F3B0F"/>
    <w:rsid w:val="007F3B12"/>
    <w:rsid w:val="007F3B50"/>
    <w:rsid w:val="007F3B7A"/>
    <w:rsid w:val="007F3B8A"/>
    <w:rsid w:val="007F3B9F"/>
    <w:rsid w:val="007F3BB8"/>
    <w:rsid w:val="007F3BF5"/>
    <w:rsid w:val="007F3C54"/>
    <w:rsid w:val="007F3CE1"/>
    <w:rsid w:val="007F3D01"/>
    <w:rsid w:val="007F3D16"/>
    <w:rsid w:val="007F3D64"/>
    <w:rsid w:val="007F3DB0"/>
    <w:rsid w:val="007F3DBC"/>
    <w:rsid w:val="007F3E0F"/>
    <w:rsid w:val="007F3E16"/>
    <w:rsid w:val="007F3E69"/>
    <w:rsid w:val="007F3E6E"/>
    <w:rsid w:val="007F3E74"/>
    <w:rsid w:val="007F3E99"/>
    <w:rsid w:val="007F3EBA"/>
    <w:rsid w:val="007F3F41"/>
    <w:rsid w:val="007F3F49"/>
    <w:rsid w:val="007F3FD9"/>
    <w:rsid w:val="007F4002"/>
    <w:rsid w:val="007F4009"/>
    <w:rsid w:val="007F40BA"/>
    <w:rsid w:val="007F4134"/>
    <w:rsid w:val="007F4168"/>
    <w:rsid w:val="007F4187"/>
    <w:rsid w:val="007F41A4"/>
    <w:rsid w:val="007F41A5"/>
    <w:rsid w:val="007F41A8"/>
    <w:rsid w:val="007F41B2"/>
    <w:rsid w:val="007F41F5"/>
    <w:rsid w:val="007F4238"/>
    <w:rsid w:val="007F424C"/>
    <w:rsid w:val="007F424D"/>
    <w:rsid w:val="007F4289"/>
    <w:rsid w:val="007F42D5"/>
    <w:rsid w:val="007F4305"/>
    <w:rsid w:val="007F430D"/>
    <w:rsid w:val="007F4315"/>
    <w:rsid w:val="007F4335"/>
    <w:rsid w:val="007F436E"/>
    <w:rsid w:val="007F4376"/>
    <w:rsid w:val="007F438B"/>
    <w:rsid w:val="007F439B"/>
    <w:rsid w:val="007F4468"/>
    <w:rsid w:val="007F44F0"/>
    <w:rsid w:val="007F4507"/>
    <w:rsid w:val="007F4510"/>
    <w:rsid w:val="007F4516"/>
    <w:rsid w:val="007F457B"/>
    <w:rsid w:val="007F45B8"/>
    <w:rsid w:val="007F4677"/>
    <w:rsid w:val="007F46E0"/>
    <w:rsid w:val="007F4773"/>
    <w:rsid w:val="007F477A"/>
    <w:rsid w:val="007F47F8"/>
    <w:rsid w:val="007F481A"/>
    <w:rsid w:val="007F4840"/>
    <w:rsid w:val="007F4851"/>
    <w:rsid w:val="007F4863"/>
    <w:rsid w:val="007F4915"/>
    <w:rsid w:val="007F4994"/>
    <w:rsid w:val="007F4A4D"/>
    <w:rsid w:val="007F4A57"/>
    <w:rsid w:val="007F4A97"/>
    <w:rsid w:val="007F4A9B"/>
    <w:rsid w:val="007F4AB1"/>
    <w:rsid w:val="007F4C76"/>
    <w:rsid w:val="007F4C8F"/>
    <w:rsid w:val="007F4C96"/>
    <w:rsid w:val="007F4CD2"/>
    <w:rsid w:val="007F4D30"/>
    <w:rsid w:val="007F4D41"/>
    <w:rsid w:val="007F4DC4"/>
    <w:rsid w:val="007F4DEB"/>
    <w:rsid w:val="007F4E45"/>
    <w:rsid w:val="007F4E61"/>
    <w:rsid w:val="007F4E79"/>
    <w:rsid w:val="007F4EC8"/>
    <w:rsid w:val="007F4ED1"/>
    <w:rsid w:val="007F4F40"/>
    <w:rsid w:val="007F4F4A"/>
    <w:rsid w:val="007F50B9"/>
    <w:rsid w:val="007F50D1"/>
    <w:rsid w:val="007F5187"/>
    <w:rsid w:val="007F524A"/>
    <w:rsid w:val="007F5276"/>
    <w:rsid w:val="007F5285"/>
    <w:rsid w:val="007F52AC"/>
    <w:rsid w:val="007F52E4"/>
    <w:rsid w:val="007F52F5"/>
    <w:rsid w:val="007F532E"/>
    <w:rsid w:val="007F535D"/>
    <w:rsid w:val="007F53E7"/>
    <w:rsid w:val="007F542A"/>
    <w:rsid w:val="007F5479"/>
    <w:rsid w:val="007F547D"/>
    <w:rsid w:val="007F54D4"/>
    <w:rsid w:val="007F54F2"/>
    <w:rsid w:val="007F5528"/>
    <w:rsid w:val="007F5537"/>
    <w:rsid w:val="007F5568"/>
    <w:rsid w:val="007F558F"/>
    <w:rsid w:val="007F55BF"/>
    <w:rsid w:val="007F55D3"/>
    <w:rsid w:val="007F55FF"/>
    <w:rsid w:val="007F5614"/>
    <w:rsid w:val="007F5624"/>
    <w:rsid w:val="007F5643"/>
    <w:rsid w:val="007F5670"/>
    <w:rsid w:val="007F568D"/>
    <w:rsid w:val="007F5756"/>
    <w:rsid w:val="007F57A8"/>
    <w:rsid w:val="007F57E6"/>
    <w:rsid w:val="007F5962"/>
    <w:rsid w:val="007F5AB2"/>
    <w:rsid w:val="007F5AE0"/>
    <w:rsid w:val="007F5B36"/>
    <w:rsid w:val="007F5B54"/>
    <w:rsid w:val="007F5BB4"/>
    <w:rsid w:val="007F5BC2"/>
    <w:rsid w:val="007F5BD4"/>
    <w:rsid w:val="007F5BD6"/>
    <w:rsid w:val="007F5BF5"/>
    <w:rsid w:val="007F5C5D"/>
    <w:rsid w:val="007F5C91"/>
    <w:rsid w:val="007F5CB1"/>
    <w:rsid w:val="007F5D09"/>
    <w:rsid w:val="007F5DA7"/>
    <w:rsid w:val="007F5E5E"/>
    <w:rsid w:val="007F5E72"/>
    <w:rsid w:val="007F5EAC"/>
    <w:rsid w:val="007F5F6A"/>
    <w:rsid w:val="007F5F83"/>
    <w:rsid w:val="007F5F89"/>
    <w:rsid w:val="007F5FE0"/>
    <w:rsid w:val="007F5FE1"/>
    <w:rsid w:val="007F5FEB"/>
    <w:rsid w:val="007F5FFA"/>
    <w:rsid w:val="007F6016"/>
    <w:rsid w:val="007F60A3"/>
    <w:rsid w:val="007F60B2"/>
    <w:rsid w:val="007F60CF"/>
    <w:rsid w:val="007F6115"/>
    <w:rsid w:val="007F614D"/>
    <w:rsid w:val="007F617A"/>
    <w:rsid w:val="007F6197"/>
    <w:rsid w:val="007F61D7"/>
    <w:rsid w:val="007F61EC"/>
    <w:rsid w:val="007F620B"/>
    <w:rsid w:val="007F6216"/>
    <w:rsid w:val="007F6308"/>
    <w:rsid w:val="007F6364"/>
    <w:rsid w:val="007F636B"/>
    <w:rsid w:val="007F63A1"/>
    <w:rsid w:val="007F63BA"/>
    <w:rsid w:val="007F6440"/>
    <w:rsid w:val="007F6452"/>
    <w:rsid w:val="007F64D3"/>
    <w:rsid w:val="007F654B"/>
    <w:rsid w:val="007F6565"/>
    <w:rsid w:val="007F6588"/>
    <w:rsid w:val="007F65A9"/>
    <w:rsid w:val="007F65D4"/>
    <w:rsid w:val="007F65E3"/>
    <w:rsid w:val="007F6699"/>
    <w:rsid w:val="007F67B9"/>
    <w:rsid w:val="007F6823"/>
    <w:rsid w:val="007F6825"/>
    <w:rsid w:val="007F683D"/>
    <w:rsid w:val="007F68E6"/>
    <w:rsid w:val="007F6927"/>
    <w:rsid w:val="007F6963"/>
    <w:rsid w:val="007F69F9"/>
    <w:rsid w:val="007F6A80"/>
    <w:rsid w:val="007F6AC4"/>
    <w:rsid w:val="007F6AF9"/>
    <w:rsid w:val="007F6B38"/>
    <w:rsid w:val="007F6C5B"/>
    <w:rsid w:val="007F6C89"/>
    <w:rsid w:val="007F6C95"/>
    <w:rsid w:val="007F6CE9"/>
    <w:rsid w:val="007F6D1E"/>
    <w:rsid w:val="007F6D22"/>
    <w:rsid w:val="007F6D2A"/>
    <w:rsid w:val="007F6D56"/>
    <w:rsid w:val="007F6D60"/>
    <w:rsid w:val="007F6D93"/>
    <w:rsid w:val="007F6D9C"/>
    <w:rsid w:val="007F6DD4"/>
    <w:rsid w:val="007F6DD7"/>
    <w:rsid w:val="007F6E1E"/>
    <w:rsid w:val="007F6E5C"/>
    <w:rsid w:val="007F6E7A"/>
    <w:rsid w:val="007F6E90"/>
    <w:rsid w:val="007F6EB1"/>
    <w:rsid w:val="007F6EB3"/>
    <w:rsid w:val="007F6F2D"/>
    <w:rsid w:val="007F6F98"/>
    <w:rsid w:val="007F6F9E"/>
    <w:rsid w:val="007F6FED"/>
    <w:rsid w:val="007F7040"/>
    <w:rsid w:val="007F7065"/>
    <w:rsid w:val="007F70E9"/>
    <w:rsid w:val="007F70FB"/>
    <w:rsid w:val="007F7102"/>
    <w:rsid w:val="007F718D"/>
    <w:rsid w:val="007F7223"/>
    <w:rsid w:val="007F7229"/>
    <w:rsid w:val="007F7277"/>
    <w:rsid w:val="007F72A4"/>
    <w:rsid w:val="007F72B7"/>
    <w:rsid w:val="007F7311"/>
    <w:rsid w:val="007F7315"/>
    <w:rsid w:val="007F738C"/>
    <w:rsid w:val="007F73BE"/>
    <w:rsid w:val="007F73E1"/>
    <w:rsid w:val="007F7406"/>
    <w:rsid w:val="007F744B"/>
    <w:rsid w:val="007F748A"/>
    <w:rsid w:val="007F748B"/>
    <w:rsid w:val="007F74C5"/>
    <w:rsid w:val="007F7536"/>
    <w:rsid w:val="007F7553"/>
    <w:rsid w:val="007F7560"/>
    <w:rsid w:val="007F7596"/>
    <w:rsid w:val="007F75C7"/>
    <w:rsid w:val="007F75ED"/>
    <w:rsid w:val="007F7646"/>
    <w:rsid w:val="007F76E3"/>
    <w:rsid w:val="007F7793"/>
    <w:rsid w:val="007F77A0"/>
    <w:rsid w:val="007F77A2"/>
    <w:rsid w:val="007F7808"/>
    <w:rsid w:val="007F7850"/>
    <w:rsid w:val="007F7871"/>
    <w:rsid w:val="007F78A3"/>
    <w:rsid w:val="007F7958"/>
    <w:rsid w:val="007F7A0E"/>
    <w:rsid w:val="007F7A33"/>
    <w:rsid w:val="007F7A68"/>
    <w:rsid w:val="007F7B08"/>
    <w:rsid w:val="007F7B20"/>
    <w:rsid w:val="007F7B23"/>
    <w:rsid w:val="007F7B33"/>
    <w:rsid w:val="007F7B3F"/>
    <w:rsid w:val="007F7B94"/>
    <w:rsid w:val="007F7BB4"/>
    <w:rsid w:val="007F7C79"/>
    <w:rsid w:val="007F7D1E"/>
    <w:rsid w:val="007F7D65"/>
    <w:rsid w:val="007F7D6F"/>
    <w:rsid w:val="007F7DC5"/>
    <w:rsid w:val="007F7E37"/>
    <w:rsid w:val="007F7E5F"/>
    <w:rsid w:val="007F7E63"/>
    <w:rsid w:val="007F7EB2"/>
    <w:rsid w:val="007F7F5D"/>
    <w:rsid w:val="007F7F69"/>
    <w:rsid w:val="007F7FC8"/>
    <w:rsid w:val="007F7FF5"/>
    <w:rsid w:val="008000B4"/>
    <w:rsid w:val="0080010B"/>
    <w:rsid w:val="00800116"/>
    <w:rsid w:val="00800170"/>
    <w:rsid w:val="008001D2"/>
    <w:rsid w:val="008001F5"/>
    <w:rsid w:val="00800236"/>
    <w:rsid w:val="00800331"/>
    <w:rsid w:val="00800349"/>
    <w:rsid w:val="0080034B"/>
    <w:rsid w:val="00800375"/>
    <w:rsid w:val="0080039E"/>
    <w:rsid w:val="008003AD"/>
    <w:rsid w:val="008003D2"/>
    <w:rsid w:val="0080040A"/>
    <w:rsid w:val="0080040B"/>
    <w:rsid w:val="0080043E"/>
    <w:rsid w:val="00800456"/>
    <w:rsid w:val="00800463"/>
    <w:rsid w:val="0080048A"/>
    <w:rsid w:val="0080049C"/>
    <w:rsid w:val="0080056A"/>
    <w:rsid w:val="00800597"/>
    <w:rsid w:val="00800612"/>
    <w:rsid w:val="00800615"/>
    <w:rsid w:val="00800640"/>
    <w:rsid w:val="0080069F"/>
    <w:rsid w:val="008006A3"/>
    <w:rsid w:val="00800728"/>
    <w:rsid w:val="00800785"/>
    <w:rsid w:val="00800799"/>
    <w:rsid w:val="008007E7"/>
    <w:rsid w:val="008007EF"/>
    <w:rsid w:val="0080082B"/>
    <w:rsid w:val="00800864"/>
    <w:rsid w:val="00800905"/>
    <w:rsid w:val="0080091B"/>
    <w:rsid w:val="00800946"/>
    <w:rsid w:val="0080095A"/>
    <w:rsid w:val="00800977"/>
    <w:rsid w:val="008009C6"/>
    <w:rsid w:val="008009DE"/>
    <w:rsid w:val="008009ED"/>
    <w:rsid w:val="008009F6"/>
    <w:rsid w:val="00800AB1"/>
    <w:rsid w:val="00800AF6"/>
    <w:rsid w:val="00800B24"/>
    <w:rsid w:val="00800BA4"/>
    <w:rsid w:val="00800BDA"/>
    <w:rsid w:val="00800C26"/>
    <w:rsid w:val="00800C69"/>
    <w:rsid w:val="00800C8D"/>
    <w:rsid w:val="00800CAA"/>
    <w:rsid w:val="00800D02"/>
    <w:rsid w:val="00800D26"/>
    <w:rsid w:val="00800D6B"/>
    <w:rsid w:val="00800DA3"/>
    <w:rsid w:val="00800DA7"/>
    <w:rsid w:val="00800DC8"/>
    <w:rsid w:val="00800E1C"/>
    <w:rsid w:val="00800E56"/>
    <w:rsid w:val="00800ED5"/>
    <w:rsid w:val="00800F1B"/>
    <w:rsid w:val="00800F49"/>
    <w:rsid w:val="00800FCE"/>
    <w:rsid w:val="00800FD3"/>
    <w:rsid w:val="00800FE9"/>
    <w:rsid w:val="0080101D"/>
    <w:rsid w:val="0080102C"/>
    <w:rsid w:val="008010BB"/>
    <w:rsid w:val="008011CD"/>
    <w:rsid w:val="008011DC"/>
    <w:rsid w:val="00801268"/>
    <w:rsid w:val="008012C9"/>
    <w:rsid w:val="008012E5"/>
    <w:rsid w:val="008012E8"/>
    <w:rsid w:val="00801343"/>
    <w:rsid w:val="0080134D"/>
    <w:rsid w:val="0080135D"/>
    <w:rsid w:val="008013B2"/>
    <w:rsid w:val="008013E5"/>
    <w:rsid w:val="00801450"/>
    <w:rsid w:val="0080146E"/>
    <w:rsid w:val="00801482"/>
    <w:rsid w:val="0080149E"/>
    <w:rsid w:val="008014B3"/>
    <w:rsid w:val="00801527"/>
    <w:rsid w:val="00801538"/>
    <w:rsid w:val="008015F0"/>
    <w:rsid w:val="00801604"/>
    <w:rsid w:val="0080160A"/>
    <w:rsid w:val="00801647"/>
    <w:rsid w:val="0080168C"/>
    <w:rsid w:val="008016BB"/>
    <w:rsid w:val="008016E2"/>
    <w:rsid w:val="008016F6"/>
    <w:rsid w:val="0080172F"/>
    <w:rsid w:val="0080174D"/>
    <w:rsid w:val="0080179F"/>
    <w:rsid w:val="008017B8"/>
    <w:rsid w:val="008017DC"/>
    <w:rsid w:val="008017E3"/>
    <w:rsid w:val="00801855"/>
    <w:rsid w:val="0080196F"/>
    <w:rsid w:val="00801993"/>
    <w:rsid w:val="0080199D"/>
    <w:rsid w:val="008019E9"/>
    <w:rsid w:val="00801A08"/>
    <w:rsid w:val="00801A80"/>
    <w:rsid w:val="00801AC3"/>
    <w:rsid w:val="00801B81"/>
    <w:rsid w:val="00801BEB"/>
    <w:rsid w:val="00801C71"/>
    <w:rsid w:val="00801CC0"/>
    <w:rsid w:val="00801D46"/>
    <w:rsid w:val="00801D55"/>
    <w:rsid w:val="00801D89"/>
    <w:rsid w:val="00801D9C"/>
    <w:rsid w:val="00801DAB"/>
    <w:rsid w:val="00801DBC"/>
    <w:rsid w:val="00801E2D"/>
    <w:rsid w:val="00801E43"/>
    <w:rsid w:val="00801E6D"/>
    <w:rsid w:val="00801E81"/>
    <w:rsid w:val="00801EBD"/>
    <w:rsid w:val="00801F3A"/>
    <w:rsid w:val="00801FB7"/>
    <w:rsid w:val="00802027"/>
    <w:rsid w:val="0080204E"/>
    <w:rsid w:val="0080208B"/>
    <w:rsid w:val="0080209A"/>
    <w:rsid w:val="008020DB"/>
    <w:rsid w:val="00802120"/>
    <w:rsid w:val="00802137"/>
    <w:rsid w:val="008021F7"/>
    <w:rsid w:val="00802252"/>
    <w:rsid w:val="00802269"/>
    <w:rsid w:val="008022E2"/>
    <w:rsid w:val="008023D2"/>
    <w:rsid w:val="00802421"/>
    <w:rsid w:val="0080244D"/>
    <w:rsid w:val="00802457"/>
    <w:rsid w:val="00802503"/>
    <w:rsid w:val="00802565"/>
    <w:rsid w:val="0080259A"/>
    <w:rsid w:val="008025D9"/>
    <w:rsid w:val="0080260B"/>
    <w:rsid w:val="00802640"/>
    <w:rsid w:val="00802677"/>
    <w:rsid w:val="008026F4"/>
    <w:rsid w:val="0080273F"/>
    <w:rsid w:val="00802754"/>
    <w:rsid w:val="00802755"/>
    <w:rsid w:val="008027AD"/>
    <w:rsid w:val="008027C0"/>
    <w:rsid w:val="008027F9"/>
    <w:rsid w:val="00802878"/>
    <w:rsid w:val="00802897"/>
    <w:rsid w:val="0080289A"/>
    <w:rsid w:val="008028CF"/>
    <w:rsid w:val="00802913"/>
    <w:rsid w:val="00802939"/>
    <w:rsid w:val="008029A0"/>
    <w:rsid w:val="008029C0"/>
    <w:rsid w:val="008029DE"/>
    <w:rsid w:val="00802A0E"/>
    <w:rsid w:val="00802A26"/>
    <w:rsid w:val="00802A46"/>
    <w:rsid w:val="00802AA1"/>
    <w:rsid w:val="00802AC7"/>
    <w:rsid w:val="00802AC9"/>
    <w:rsid w:val="00802B2D"/>
    <w:rsid w:val="00802B3A"/>
    <w:rsid w:val="00802BB3"/>
    <w:rsid w:val="00802BF6"/>
    <w:rsid w:val="00802C07"/>
    <w:rsid w:val="00802C1B"/>
    <w:rsid w:val="00802D0C"/>
    <w:rsid w:val="00802DFC"/>
    <w:rsid w:val="00802E2C"/>
    <w:rsid w:val="00802E3F"/>
    <w:rsid w:val="00802EB7"/>
    <w:rsid w:val="00802EE8"/>
    <w:rsid w:val="00802F6F"/>
    <w:rsid w:val="00802F97"/>
    <w:rsid w:val="00802FC0"/>
    <w:rsid w:val="00802FF5"/>
    <w:rsid w:val="00802FFC"/>
    <w:rsid w:val="0080307A"/>
    <w:rsid w:val="0080307F"/>
    <w:rsid w:val="0080308A"/>
    <w:rsid w:val="008030AE"/>
    <w:rsid w:val="008030D1"/>
    <w:rsid w:val="008030F6"/>
    <w:rsid w:val="0080317C"/>
    <w:rsid w:val="008031A9"/>
    <w:rsid w:val="008031BB"/>
    <w:rsid w:val="008031DA"/>
    <w:rsid w:val="0080323A"/>
    <w:rsid w:val="0080325F"/>
    <w:rsid w:val="0080328D"/>
    <w:rsid w:val="0080329E"/>
    <w:rsid w:val="008032BE"/>
    <w:rsid w:val="008032FB"/>
    <w:rsid w:val="00803351"/>
    <w:rsid w:val="0080335C"/>
    <w:rsid w:val="00803382"/>
    <w:rsid w:val="008033DE"/>
    <w:rsid w:val="00803401"/>
    <w:rsid w:val="008034EA"/>
    <w:rsid w:val="00803554"/>
    <w:rsid w:val="008035D9"/>
    <w:rsid w:val="0080360E"/>
    <w:rsid w:val="00803684"/>
    <w:rsid w:val="008036D9"/>
    <w:rsid w:val="008037B5"/>
    <w:rsid w:val="008037FE"/>
    <w:rsid w:val="00803803"/>
    <w:rsid w:val="00803827"/>
    <w:rsid w:val="00803886"/>
    <w:rsid w:val="00803945"/>
    <w:rsid w:val="00803968"/>
    <w:rsid w:val="00803985"/>
    <w:rsid w:val="008039CD"/>
    <w:rsid w:val="008039E7"/>
    <w:rsid w:val="00803A45"/>
    <w:rsid w:val="00803ACB"/>
    <w:rsid w:val="00803B02"/>
    <w:rsid w:val="00803B0A"/>
    <w:rsid w:val="00803B61"/>
    <w:rsid w:val="00803B7B"/>
    <w:rsid w:val="00803C45"/>
    <w:rsid w:val="00803C5D"/>
    <w:rsid w:val="00803C73"/>
    <w:rsid w:val="00803C74"/>
    <w:rsid w:val="00803C95"/>
    <w:rsid w:val="00803CBB"/>
    <w:rsid w:val="00803D62"/>
    <w:rsid w:val="00803D7D"/>
    <w:rsid w:val="00803D87"/>
    <w:rsid w:val="00803D8E"/>
    <w:rsid w:val="00803DA1"/>
    <w:rsid w:val="00803DBE"/>
    <w:rsid w:val="00803DDD"/>
    <w:rsid w:val="00803E04"/>
    <w:rsid w:val="00803E1C"/>
    <w:rsid w:val="00803E22"/>
    <w:rsid w:val="00803E45"/>
    <w:rsid w:val="00803E4D"/>
    <w:rsid w:val="00803E65"/>
    <w:rsid w:val="00803E92"/>
    <w:rsid w:val="00803F56"/>
    <w:rsid w:val="00803F71"/>
    <w:rsid w:val="00803F8B"/>
    <w:rsid w:val="00803FF5"/>
    <w:rsid w:val="00804063"/>
    <w:rsid w:val="008040A2"/>
    <w:rsid w:val="008040D1"/>
    <w:rsid w:val="0080411E"/>
    <w:rsid w:val="008041A4"/>
    <w:rsid w:val="008041AB"/>
    <w:rsid w:val="008041C2"/>
    <w:rsid w:val="00804245"/>
    <w:rsid w:val="008042BF"/>
    <w:rsid w:val="008042D9"/>
    <w:rsid w:val="008042E8"/>
    <w:rsid w:val="00804344"/>
    <w:rsid w:val="00804376"/>
    <w:rsid w:val="008043AA"/>
    <w:rsid w:val="008043BF"/>
    <w:rsid w:val="00804409"/>
    <w:rsid w:val="00804431"/>
    <w:rsid w:val="00804437"/>
    <w:rsid w:val="00804470"/>
    <w:rsid w:val="008044FA"/>
    <w:rsid w:val="008044FB"/>
    <w:rsid w:val="00804501"/>
    <w:rsid w:val="0080457A"/>
    <w:rsid w:val="008045F0"/>
    <w:rsid w:val="00804638"/>
    <w:rsid w:val="00804715"/>
    <w:rsid w:val="00804778"/>
    <w:rsid w:val="008047A6"/>
    <w:rsid w:val="008047A8"/>
    <w:rsid w:val="008047C2"/>
    <w:rsid w:val="008047D8"/>
    <w:rsid w:val="0080484B"/>
    <w:rsid w:val="0080486E"/>
    <w:rsid w:val="0080487A"/>
    <w:rsid w:val="0080492A"/>
    <w:rsid w:val="00804992"/>
    <w:rsid w:val="008049D5"/>
    <w:rsid w:val="00804A4F"/>
    <w:rsid w:val="00804B26"/>
    <w:rsid w:val="00804B69"/>
    <w:rsid w:val="00804BE7"/>
    <w:rsid w:val="00804C90"/>
    <w:rsid w:val="00804CC7"/>
    <w:rsid w:val="00804CCA"/>
    <w:rsid w:val="00804CE2"/>
    <w:rsid w:val="00804D22"/>
    <w:rsid w:val="00804D52"/>
    <w:rsid w:val="00804D83"/>
    <w:rsid w:val="00804E18"/>
    <w:rsid w:val="00804E58"/>
    <w:rsid w:val="00804E73"/>
    <w:rsid w:val="00804EFD"/>
    <w:rsid w:val="00804F22"/>
    <w:rsid w:val="00804F51"/>
    <w:rsid w:val="00804FA8"/>
    <w:rsid w:val="00804FCC"/>
    <w:rsid w:val="00805016"/>
    <w:rsid w:val="00805021"/>
    <w:rsid w:val="00805029"/>
    <w:rsid w:val="0080506B"/>
    <w:rsid w:val="00805086"/>
    <w:rsid w:val="0080509C"/>
    <w:rsid w:val="00805194"/>
    <w:rsid w:val="008051EB"/>
    <w:rsid w:val="0080521A"/>
    <w:rsid w:val="008052A3"/>
    <w:rsid w:val="008052CB"/>
    <w:rsid w:val="008052D8"/>
    <w:rsid w:val="00805397"/>
    <w:rsid w:val="008053D1"/>
    <w:rsid w:val="008053F6"/>
    <w:rsid w:val="00805484"/>
    <w:rsid w:val="008054A6"/>
    <w:rsid w:val="008054C3"/>
    <w:rsid w:val="00805574"/>
    <w:rsid w:val="00805640"/>
    <w:rsid w:val="00805660"/>
    <w:rsid w:val="008056A6"/>
    <w:rsid w:val="008056BB"/>
    <w:rsid w:val="008056CA"/>
    <w:rsid w:val="008056EF"/>
    <w:rsid w:val="00805720"/>
    <w:rsid w:val="0080573E"/>
    <w:rsid w:val="00805778"/>
    <w:rsid w:val="008057E2"/>
    <w:rsid w:val="00805806"/>
    <w:rsid w:val="0080580F"/>
    <w:rsid w:val="00805898"/>
    <w:rsid w:val="008058F1"/>
    <w:rsid w:val="00805904"/>
    <w:rsid w:val="00805951"/>
    <w:rsid w:val="00805974"/>
    <w:rsid w:val="008059B2"/>
    <w:rsid w:val="008059D0"/>
    <w:rsid w:val="00805AC0"/>
    <w:rsid w:val="00805AE3"/>
    <w:rsid w:val="00805AE9"/>
    <w:rsid w:val="00805B0A"/>
    <w:rsid w:val="00805B37"/>
    <w:rsid w:val="00805BE9"/>
    <w:rsid w:val="00805C51"/>
    <w:rsid w:val="00805D47"/>
    <w:rsid w:val="00805DB6"/>
    <w:rsid w:val="00805DE1"/>
    <w:rsid w:val="00805E13"/>
    <w:rsid w:val="00805E1F"/>
    <w:rsid w:val="00805E31"/>
    <w:rsid w:val="00805E4F"/>
    <w:rsid w:val="00805E96"/>
    <w:rsid w:val="00805E9C"/>
    <w:rsid w:val="00805EAB"/>
    <w:rsid w:val="00805EAD"/>
    <w:rsid w:val="00805EE9"/>
    <w:rsid w:val="00805EFA"/>
    <w:rsid w:val="00805F17"/>
    <w:rsid w:val="00805F23"/>
    <w:rsid w:val="00805F29"/>
    <w:rsid w:val="00805F70"/>
    <w:rsid w:val="00805F73"/>
    <w:rsid w:val="00805F78"/>
    <w:rsid w:val="00805FDA"/>
    <w:rsid w:val="00806064"/>
    <w:rsid w:val="008060D8"/>
    <w:rsid w:val="008060FC"/>
    <w:rsid w:val="00806142"/>
    <w:rsid w:val="0080618E"/>
    <w:rsid w:val="00806197"/>
    <w:rsid w:val="008061B5"/>
    <w:rsid w:val="00806223"/>
    <w:rsid w:val="008062C0"/>
    <w:rsid w:val="008062F9"/>
    <w:rsid w:val="00806303"/>
    <w:rsid w:val="00806381"/>
    <w:rsid w:val="008063AA"/>
    <w:rsid w:val="008063CF"/>
    <w:rsid w:val="008063D6"/>
    <w:rsid w:val="008063F7"/>
    <w:rsid w:val="0080640E"/>
    <w:rsid w:val="008064A5"/>
    <w:rsid w:val="008064BA"/>
    <w:rsid w:val="00806524"/>
    <w:rsid w:val="0080652E"/>
    <w:rsid w:val="0080653B"/>
    <w:rsid w:val="00806541"/>
    <w:rsid w:val="008065CC"/>
    <w:rsid w:val="008065FE"/>
    <w:rsid w:val="00806618"/>
    <w:rsid w:val="0080663C"/>
    <w:rsid w:val="00806700"/>
    <w:rsid w:val="0080673B"/>
    <w:rsid w:val="0080673E"/>
    <w:rsid w:val="0080677E"/>
    <w:rsid w:val="0080678E"/>
    <w:rsid w:val="00806826"/>
    <w:rsid w:val="0080682F"/>
    <w:rsid w:val="00806837"/>
    <w:rsid w:val="00806851"/>
    <w:rsid w:val="008068BD"/>
    <w:rsid w:val="008068D7"/>
    <w:rsid w:val="0080696C"/>
    <w:rsid w:val="0080696E"/>
    <w:rsid w:val="008069BA"/>
    <w:rsid w:val="008069C3"/>
    <w:rsid w:val="008069D3"/>
    <w:rsid w:val="00806A7E"/>
    <w:rsid w:val="00806A9F"/>
    <w:rsid w:val="00806AAA"/>
    <w:rsid w:val="00806AC9"/>
    <w:rsid w:val="00806ACD"/>
    <w:rsid w:val="00806B55"/>
    <w:rsid w:val="00806BB2"/>
    <w:rsid w:val="00806BFC"/>
    <w:rsid w:val="00806C35"/>
    <w:rsid w:val="00806C38"/>
    <w:rsid w:val="00806CD2"/>
    <w:rsid w:val="00806CDE"/>
    <w:rsid w:val="00806D46"/>
    <w:rsid w:val="00806DAF"/>
    <w:rsid w:val="00806DDC"/>
    <w:rsid w:val="00806E6F"/>
    <w:rsid w:val="00806EDB"/>
    <w:rsid w:val="00806F0A"/>
    <w:rsid w:val="00806F97"/>
    <w:rsid w:val="00807009"/>
    <w:rsid w:val="008070EF"/>
    <w:rsid w:val="0080714A"/>
    <w:rsid w:val="0080716E"/>
    <w:rsid w:val="00807213"/>
    <w:rsid w:val="0080723D"/>
    <w:rsid w:val="00807245"/>
    <w:rsid w:val="008072BD"/>
    <w:rsid w:val="00807308"/>
    <w:rsid w:val="0080735B"/>
    <w:rsid w:val="00807367"/>
    <w:rsid w:val="00807374"/>
    <w:rsid w:val="0080740D"/>
    <w:rsid w:val="00807458"/>
    <w:rsid w:val="0080747E"/>
    <w:rsid w:val="0080749E"/>
    <w:rsid w:val="008074A8"/>
    <w:rsid w:val="00807520"/>
    <w:rsid w:val="008075E4"/>
    <w:rsid w:val="0080768E"/>
    <w:rsid w:val="008076A7"/>
    <w:rsid w:val="008076BC"/>
    <w:rsid w:val="008076CE"/>
    <w:rsid w:val="008076DE"/>
    <w:rsid w:val="0080770D"/>
    <w:rsid w:val="00807764"/>
    <w:rsid w:val="008077C4"/>
    <w:rsid w:val="008077F6"/>
    <w:rsid w:val="00807814"/>
    <w:rsid w:val="008078C1"/>
    <w:rsid w:val="008078D4"/>
    <w:rsid w:val="00807921"/>
    <w:rsid w:val="0080795D"/>
    <w:rsid w:val="008079E3"/>
    <w:rsid w:val="008079F5"/>
    <w:rsid w:val="00807A12"/>
    <w:rsid w:val="00807A1C"/>
    <w:rsid w:val="00807A34"/>
    <w:rsid w:val="00807AC7"/>
    <w:rsid w:val="00807AD6"/>
    <w:rsid w:val="00807B0A"/>
    <w:rsid w:val="00807B3E"/>
    <w:rsid w:val="00807B91"/>
    <w:rsid w:val="00807BCC"/>
    <w:rsid w:val="00807BF1"/>
    <w:rsid w:val="00807BF6"/>
    <w:rsid w:val="00807C04"/>
    <w:rsid w:val="00807C17"/>
    <w:rsid w:val="00807C7C"/>
    <w:rsid w:val="00807C81"/>
    <w:rsid w:val="00807C97"/>
    <w:rsid w:val="00807CEE"/>
    <w:rsid w:val="00807D7B"/>
    <w:rsid w:val="00807DAE"/>
    <w:rsid w:val="00807E09"/>
    <w:rsid w:val="00807E14"/>
    <w:rsid w:val="00807E67"/>
    <w:rsid w:val="00807EE3"/>
    <w:rsid w:val="00807EEF"/>
    <w:rsid w:val="0080AFAE"/>
    <w:rsid w:val="0081000E"/>
    <w:rsid w:val="00810040"/>
    <w:rsid w:val="00810069"/>
    <w:rsid w:val="0081006E"/>
    <w:rsid w:val="008100A8"/>
    <w:rsid w:val="008100CC"/>
    <w:rsid w:val="0081010D"/>
    <w:rsid w:val="0081012D"/>
    <w:rsid w:val="0081014C"/>
    <w:rsid w:val="0081019C"/>
    <w:rsid w:val="008101C5"/>
    <w:rsid w:val="008101C6"/>
    <w:rsid w:val="008101E4"/>
    <w:rsid w:val="00810201"/>
    <w:rsid w:val="00810206"/>
    <w:rsid w:val="00810256"/>
    <w:rsid w:val="0081028A"/>
    <w:rsid w:val="008102BE"/>
    <w:rsid w:val="008102DC"/>
    <w:rsid w:val="0081031F"/>
    <w:rsid w:val="00810330"/>
    <w:rsid w:val="00810332"/>
    <w:rsid w:val="0081033A"/>
    <w:rsid w:val="008103ED"/>
    <w:rsid w:val="00810443"/>
    <w:rsid w:val="008104A8"/>
    <w:rsid w:val="0081051E"/>
    <w:rsid w:val="00810554"/>
    <w:rsid w:val="00810560"/>
    <w:rsid w:val="008105B9"/>
    <w:rsid w:val="00810679"/>
    <w:rsid w:val="0081067D"/>
    <w:rsid w:val="00810680"/>
    <w:rsid w:val="008106AD"/>
    <w:rsid w:val="008106F5"/>
    <w:rsid w:val="008106F8"/>
    <w:rsid w:val="0081070B"/>
    <w:rsid w:val="0081073F"/>
    <w:rsid w:val="0081074B"/>
    <w:rsid w:val="00810758"/>
    <w:rsid w:val="008107B3"/>
    <w:rsid w:val="008107F3"/>
    <w:rsid w:val="00810826"/>
    <w:rsid w:val="0081087D"/>
    <w:rsid w:val="008108E6"/>
    <w:rsid w:val="00810953"/>
    <w:rsid w:val="008109E6"/>
    <w:rsid w:val="00810A2D"/>
    <w:rsid w:val="00810A50"/>
    <w:rsid w:val="00810A6D"/>
    <w:rsid w:val="00810AAD"/>
    <w:rsid w:val="00810B4D"/>
    <w:rsid w:val="00810BAA"/>
    <w:rsid w:val="00810BEC"/>
    <w:rsid w:val="00810C11"/>
    <w:rsid w:val="00810C41"/>
    <w:rsid w:val="00810C69"/>
    <w:rsid w:val="00810C74"/>
    <w:rsid w:val="00810CFF"/>
    <w:rsid w:val="00810D01"/>
    <w:rsid w:val="00810D4D"/>
    <w:rsid w:val="00810D55"/>
    <w:rsid w:val="00810D5C"/>
    <w:rsid w:val="00810D79"/>
    <w:rsid w:val="00810D7E"/>
    <w:rsid w:val="00810E49"/>
    <w:rsid w:val="00810EB3"/>
    <w:rsid w:val="00810F0C"/>
    <w:rsid w:val="00810F27"/>
    <w:rsid w:val="00810F5B"/>
    <w:rsid w:val="00810F94"/>
    <w:rsid w:val="00810FC3"/>
    <w:rsid w:val="00810FDD"/>
    <w:rsid w:val="0081100D"/>
    <w:rsid w:val="00811015"/>
    <w:rsid w:val="008110A9"/>
    <w:rsid w:val="008110C0"/>
    <w:rsid w:val="00811124"/>
    <w:rsid w:val="0081113F"/>
    <w:rsid w:val="00811145"/>
    <w:rsid w:val="0081117F"/>
    <w:rsid w:val="008111A3"/>
    <w:rsid w:val="0081126E"/>
    <w:rsid w:val="008112DE"/>
    <w:rsid w:val="008113A1"/>
    <w:rsid w:val="008113AC"/>
    <w:rsid w:val="00811420"/>
    <w:rsid w:val="0081145A"/>
    <w:rsid w:val="00811489"/>
    <w:rsid w:val="0081152C"/>
    <w:rsid w:val="0081159E"/>
    <w:rsid w:val="008115AD"/>
    <w:rsid w:val="0081162D"/>
    <w:rsid w:val="00811631"/>
    <w:rsid w:val="00811638"/>
    <w:rsid w:val="008116A3"/>
    <w:rsid w:val="008116DE"/>
    <w:rsid w:val="00811717"/>
    <w:rsid w:val="0081177D"/>
    <w:rsid w:val="008117BD"/>
    <w:rsid w:val="0081185F"/>
    <w:rsid w:val="0081188D"/>
    <w:rsid w:val="008118B5"/>
    <w:rsid w:val="008118B9"/>
    <w:rsid w:val="00811916"/>
    <w:rsid w:val="00811928"/>
    <w:rsid w:val="0081195A"/>
    <w:rsid w:val="0081195B"/>
    <w:rsid w:val="00811984"/>
    <w:rsid w:val="00811991"/>
    <w:rsid w:val="00811993"/>
    <w:rsid w:val="00811A32"/>
    <w:rsid w:val="00811B15"/>
    <w:rsid w:val="00811B22"/>
    <w:rsid w:val="00811B28"/>
    <w:rsid w:val="00811B3F"/>
    <w:rsid w:val="00811C1A"/>
    <w:rsid w:val="00811C38"/>
    <w:rsid w:val="00811CB4"/>
    <w:rsid w:val="00811CC1"/>
    <w:rsid w:val="00811D23"/>
    <w:rsid w:val="00811E0D"/>
    <w:rsid w:val="00811E21"/>
    <w:rsid w:val="00811EF6"/>
    <w:rsid w:val="00811F1A"/>
    <w:rsid w:val="00811FE5"/>
    <w:rsid w:val="00812001"/>
    <w:rsid w:val="0081203A"/>
    <w:rsid w:val="0081204B"/>
    <w:rsid w:val="00812060"/>
    <w:rsid w:val="0081206F"/>
    <w:rsid w:val="008120FB"/>
    <w:rsid w:val="0081210D"/>
    <w:rsid w:val="0081214A"/>
    <w:rsid w:val="00812152"/>
    <w:rsid w:val="008121AF"/>
    <w:rsid w:val="008121CE"/>
    <w:rsid w:val="008121E3"/>
    <w:rsid w:val="008122B7"/>
    <w:rsid w:val="008122C4"/>
    <w:rsid w:val="008122DF"/>
    <w:rsid w:val="00812325"/>
    <w:rsid w:val="0081233A"/>
    <w:rsid w:val="00812348"/>
    <w:rsid w:val="00812376"/>
    <w:rsid w:val="008123D7"/>
    <w:rsid w:val="00812460"/>
    <w:rsid w:val="008124DC"/>
    <w:rsid w:val="0081259C"/>
    <w:rsid w:val="008125B4"/>
    <w:rsid w:val="0081261C"/>
    <w:rsid w:val="0081261F"/>
    <w:rsid w:val="00812633"/>
    <w:rsid w:val="0081263D"/>
    <w:rsid w:val="0081264D"/>
    <w:rsid w:val="00812660"/>
    <w:rsid w:val="00812683"/>
    <w:rsid w:val="00812718"/>
    <w:rsid w:val="0081271D"/>
    <w:rsid w:val="00812769"/>
    <w:rsid w:val="008127CD"/>
    <w:rsid w:val="008127E9"/>
    <w:rsid w:val="00812817"/>
    <w:rsid w:val="008128C1"/>
    <w:rsid w:val="00812A08"/>
    <w:rsid w:val="00812A4C"/>
    <w:rsid w:val="00812A69"/>
    <w:rsid w:val="00812AB6"/>
    <w:rsid w:val="00812ABC"/>
    <w:rsid w:val="00812AF0"/>
    <w:rsid w:val="00812B07"/>
    <w:rsid w:val="00812B59"/>
    <w:rsid w:val="00812CD4"/>
    <w:rsid w:val="00812DE7"/>
    <w:rsid w:val="00812E52"/>
    <w:rsid w:val="00812E7A"/>
    <w:rsid w:val="00812EE6"/>
    <w:rsid w:val="00812F62"/>
    <w:rsid w:val="00812FBA"/>
    <w:rsid w:val="00812FDE"/>
    <w:rsid w:val="00812FE7"/>
    <w:rsid w:val="00813020"/>
    <w:rsid w:val="0081302C"/>
    <w:rsid w:val="00813033"/>
    <w:rsid w:val="00813056"/>
    <w:rsid w:val="0081306B"/>
    <w:rsid w:val="00813155"/>
    <w:rsid w:val="008131A0"/>
    <w:rsid w:val="008131E0"/>
    <w:rsid w:val="008132F6"/>
    <w:rsid w:val="00813317"/>
    <w:rsid w:val="00813325"/>
    <w:rsid w:val="0081334F"/>
    <w:rsid w:val="00813375"/>
    <w:rsid w:val="00813381"/>
    <w:rsid w:val="0081338D"/>
    <w:rsid w:val="008133F9"/>
    <w:rsid w:val="0081342E"/>
    <w:rsid w:val="00813464"/>
    <w:rsid w:val="00813483"/>
    <w:rsid w:val="00813523"/>
    <w:rsid w:val="00813566"/>
    <w:rsid w:val="00813584"/>
    <w:rsid w:val="008135B4"/>
    <w:rsid w:val="008135D5"/>
    <w:rsid w:val="008135F5"/>
    <w:rsid w:val="00813687"/>
    <w:rsid w:val="008136BD"/>
    <w:rsid w:val="008136D9"/>
    <w:rsid w:val="008136E7"/>
    <w:rsid w:val="0081372F"/>
    <w:rsid w:val="0081378F"/>
    <w:rsid w:val="008137B5"/>
    <w:rsid w:val="008137C8"/>
    <w:rsid w:val="00813826"/>
    <w:rsid w:val="0081388A"/>
    <w:rsid w:val="008138D6"/>
    <w:rsid w:val="00813944"/>
    <w:rsid w:val="00813955"/>
    <w:rsid w:val="008139D3"/>
    <w:rsid w:val="00813A1E"/>
    <w:rsid w:val="00813A9A"/>
    <w:rsid w:val="00813AAD"/>
    <w:rsid w:val="00813B1F"/>
    <w:rsid w:val="00813B4E"/>
    <w:rsid w:val="00813B9F"/>
    <w:rsid w:val="00813C34"/>
    <w:rsid w:val="00813C51"/>
    <w:rsid w:val="00813C9B"/>
    <w:rsid w:val="00813CDF"/>
    <w:rsid w:val="00813CFF"/>
    <w:rsid w:val="00813D0E"/>
    <w:rsid w:val="00813D73"/>
    <w:rsid w:val="00813DD2"/>
    <w:rsid w:val="00813DE2"/>
    <w:rsid w:val="00813DF4"/>
    <w:rsid w:val="00813E1F"/>
    <w:rsid w:val="00813E8D"/>
    <w:rsid w:val="00813EEF"/>
    <w:rsid w:val="00813FAD"/>
    <w:rsid w:val="00813FED"/>
    <w:rsid w:val="00814039"/>
    <w:rsid w:val="0081411C"/>
    <w:rsid w:val="00814154"/>
    <w:rsid w:val="00814157"/>
    <w:rsid w:val="008141B4"/>
    <w:rsid w:val="008141EC"/>
    <w:rsid w:val="00814293"/>
    <w:rsid w:val="008142A9"/>
    <w:rsid w:val="008142B1"/>
    <w:rsid w:val="0081430E"/>
    <w:rsid w:val="00814382"/>
    <w:rsid w:val="0081439D"/>
    <w:rsid w:val="008143F7"/>
    <w:rsid w:val="0081441F"/>
    <w:rsid w:val="0081442B"/>
    <w:rsid w:val="0081448D"/>
    <w:rsid w:val="008144B2"/>
    <w:rsid w:val="008144EB"/>
    <w:rsid w:val="008144F5"/>
    <w:rsid w:val="00814506"/>
    <w:rsid w:val="00814539"/>
    <w:rsid w:val="008145B0"/>
    <w:rsid w:val="008145E9"/>
    <w:rsid w:val="00814632"/>
    <w:rsid w:val="0081464E"/>
    <w:rsid w:val="00814681"/>
    <w:rsid w:val="008146D2"/>
    <w:rsid w:val="0081473C"/>
    <w:rsid w:val="00814769"/>
    <w:rsid w:val="008147F6"/>
    <w:rsid w:val="008147FD"/>
    <w:rsid w:val="0081482A"/>
    <w:rsid w:val="00814832"/>
    <w:rsid w:val="008148E7"/>
    <w:rsid w:val="00814950"/>
    <w:rsid w:val="0081495B"/>
    <w:rsid w:val="00814972"/>
    <w:rsid w:val="008149CF"/>
    <w:rsid w:val="008149D2"/>
    <w:rsid w:val="008149FA"/>
    <w:rsid w:val="00814A3C"/>
    <w:rsid w:val="00814A6A"/>
    <w:rsid w:val="00814A73"/>
    <w:rsid w:val="00814B0A"/>
    <w:rsid w:val="00814B31"/>
    <w:rsid w:val="00814B55"/>
    <w:rsid w:val="00814B93"/>
    <w:rsid w:val="00814BD2"/>
    <w:rsid w:val="00814C05"/>
    <w:rsid w:val="00814C19"/>
    <w:rsid w:val="00814CE1"/>
    <w:rsid w:val="00814CE9"/>
    <w:rsid w:val="00814D69"/>
    <w:rsid w:val="00814D7C"/>
    <w:rsid w:val="00814D81"/>
    <w:rsid w:val="00814D83"/>
    <w:rsid w:val="00814DB6"/>
    <w:rsid w:val="00814DBC"/>
    <w:rsid w:val="00814E11"/>
    <w:rsid w:val="00814E57"/>
    <w:rsid w:val="00814E77"/>
    <w:rsid w:val="00814EA9"/>
    <w:rsid w:val="00814EAA"/>
    <w:rsid w:val="00814F2B"/>
    <w:rsid w:val="00814F5D"/>
    <w:rsid w:val="00814F9B"/>
    <w:rsid w:val="00814FA5"/>
    <w:rsid w:val="00814FD2"/>
    <w:rsid w:val="00815044"/>
    <w:rsid w:val="008150CB"/>
    <w:rsid w:val="00815107"/>
    <w:rsid w:val="008151DA"/>
    <w:rsid w:val="0081520F"/>
    <w:rsid w:val="00815210"/>
    <w:rsid w:val="00815229"/>
    <w:rsid w:val="008152D7"/>
    <w:rsid w:val="00815313"/>
    <w:rsid w:val="0081532F"/>
    <w:rsid w:val="0081534B"/>
    <w:rsid w:val="00815395"/>
    <w:rsid w:val="00815441"/>
    <w:rsid w:val="00815442"/>
    <w:rsid w:val="0081544D"/>
    <w:rsid w:val="0081552D"/>
    <w:rsid w:val="00815579"/>
    <w:rsid w:val="0081557C"/>
    <w:rsid w:val="008155D1"/>
    <w:rsid w:val="00815607"/>
    <w:rsid w:val="00815646"/>
    <w:rsid w:val="00815661"/>
    <w:rsid w:val="008156A2"/>
    <w:rsid w:val="00815710"/>
    <w:rsid w:val="00815738"/>
    <w:rsid w:val="00815786"/>
    <w:rsid w:val="00815790"/>
    <w:rsid w:val="00815809"/>
    <w:rsid w:val="00815858"/>
    <w:rsid w:val="00815865"/>
    <w:rsid w:val="008158D0"/>
    <w:rsid w:val="00815920"/>
    <w:rsid w:val="00815945"/>
    <w:rsid w:val="008159DF"/>
    <w:rsid w:val="00815A27"/>
    <w:rsid w:val="00815AAF"/>
    <w:rsid w:val="00815B2A"/>
    <w:rsid w:val="00815B33"/>
    <w:rsid w:val="00815C21"/>
    <w:rsid w:val="00815C33"/>
    <w:rsid w:val="00815C55"/>
    <w:rsid w:val="00815CA3"/>
    <w:rsid w:val="00815CDB"/>
    <w:rsid w:val="00815CDF"/>
    <w:rsid w:val="00815D07"/>
    <w:rsid w:val="00815DB6"/>
    <w:rsid w:val="00815E01"/>
    <w:rsid w:val="00815E08"/>
    <w:rsid w:val="00815E49"/>
    <w:rsid w:val="00815EB7"/>
    <w:rsid w:val="00815EC6"/>
    <w:rsid w:val="00815EF9"/>
    <w:rsid w:val="00815F3B"/>
    <w:rsid w:val="00815F49"/>
    <w:rsid w:val="00816046"/>
    <w:rsid w:val="008160AC"/>
    <w:rsid w:val="008160CF"/>
    <w:rsid w:val="008160D0"/>
    <w:rsid w:val="008160E1"/>
    <w:rsid w:val="00816126"/>
    <w:rsid w:val="0081612A"/>
    <w:rsid w:val="00816136"/>
    <w:rsid w:val="00816165"/>
    <w:rsid w:val="00816193"/>
    <w:rsid w:val="008161DC"/>
    <w:rsid w:val="008161FC"/>
    <w:rsid w:val="00816233"/>
    <w:rsid w:val="00816250"/>
    <w:rsid w:val="00816278"/>
    <w:rsid w:val="008162A6"/>
    <w:rsid w:val="008162AC"/>
    <w:rsid w:val="00816323"/>
    <w:rsid w:val="008163A1"/>
    <w:rsid w:val="008163F7"/>
    <w:rsid w:val="00816417"/>
    <w:rsid w:val="0081646C"/>
    <w:rsid w:val="008164F7"/>
    <w:rsid w:val="008164F9"/>
    <w:rsid w:val="00816502"/>
    <w:rsid w:val="00816544"/>
    <w:rsid w:val="00816578"/>
    <w:rsid w:val="00816582"/>
    <w:rsid w:val="008165B2"/>
    <w:rsid w:val="008165C5"/>
    <w:rsid w:val="008165F5"/>
    <w:rsid w:val="0081666A"/>
    <w:rsid w:val="00816695"/>
    <w:rsid w:val="00816703"/>
    <w:rsid w:val="0081671C"/>
    <w:rsid w:val="0081679A"/>
    <w:rsid w:val="00816826"/>
    <w:rsid w:val="0081686D"/>
    <w:rsid w:val="0081689F"/>
    <w:rsid w:val="008168E2"/>
    <w:rsid w:val="00816912"/>
    <w:rsid w:val="00816918"/>
    <w:rsid w:val="008169AD"/>
    <w:rsid w:val="008169D9"/>
    <w:rsid w:val="008169EA"/>
    <w:rsid w:val="00816A26"/>
    <w:rsid w:val="00816ACB"/>
    <w:rsid w:val="00816B1B"/>
    <w:rsid w:val="00816B1D"/>
    <w:rsid w:val="00816B1F"/>
    <w:rsid w:val="00816B60"/>
    <w:rsid w:val="00816B7E"/>
    <w:rsid w:val="00816B83"/>
    <w:rsid w:val="00816C1E"/>
    <w:rsid w:val="00816C1F"/>
    <w:rsid w:val="00816C5D"/>
    <w:rsid w:val="00816C70"/>
    <w:rsid w:val="00816C82"/>
    <w:rsid w:val="00816CAC"/>
    <w:rsid w:val="00816D21"/>
    <w:rsid w:val="00816D6B"/>
    <w:rsid w:val="00816D7C"/>
    <w:rsid w:val="00816DA6"/>
    <w:rsid w:val="00816DB1"/>
    <w:rsid w:val="00816DB4"/>
    <w:rsid w:val="00816DE5"/>
    <w:rsid w:val="00816E21"/>
    <w:rsid w:val="00816E84"/>
    <w:rsid w:val="00816E9C"/>
    <w:rsid w:val="00816EA5"/>
    <w:rsid w:val="00816EDC"/>
    <w:rsid w:val="00816F96"/>
    <w:rsid w:val="00816FDF"/>
    <w:rsid w:val="00816FEF"/>
    <w:rsid w:val="00816FF3"/>
    <w:rsid w:val="008170BC"/>
    <w:rsid w:val="008170F0"/>
    <w:rsid w:val="0081716E"/>
    <w:rsid w:val="008171C8"/>
    <w:rsid w:val="0081722A"/>
    <w:rsid w:val="00817231"/>
    <w:rsid w:val="008172E4"/>
    <w:rsid w:val="008172F3"/>
    <w:rsid w:val="00817352"/>
    <w:rsid w:val="008173AB"/>
    <w:rsid w:val="008173DF"/>
    <w:rsid w:val="008173EF"/>
    <w:rsid w:val="00817406"/>
    <w:rsid w:val="0081741B"/>
    <w:rsid w:val="0081743B"/>
    <w:rsid w:val="008174C5"/>
    <w:rsid w:val="008174CB"/>
    <w:rsid w:val="00817548"/>
    <w:rsid w:val="00817571"/>
    <w:rsid w:val="0081757D"/>
    <w:rsid w:val="008175A0"/>
    <w:rsid w:val="0081760A"/>
    <w:rsid w:val="00817631"/>
    <w:rsid w:val="00817677"/>
    <w:rsid w:val="0081767C"/>
    <w:rsid w:val="008176D7"/>
    <w:rsid w:val="008176F7"/>
    <w:rsid w:val="00817726"/>
    <w:rsid w:val="0081772D"/>
    <w:rsid w:val="00817742"/>
    <w:rsid w:val="00817743"/>
    <w:rsid w:val="008177AD"/>
    <w:rsid w:val="008177BB"/>
    <w:rsid w:val="008177E1"/>
    <w:rsid w:val="00817869"/>
    <w:rsid w:val="008178EC"/>
    <w:rsid w:val="008179FB"/>
    <w:rsid w:val="00817A08"/>
    <w:rsid w:val="00817A50"/>
    <w:rsid w:val="00817AD8"/>
    <w:rsid w:val="00817B40"/>
    <w:rsid w:val="00817B90"/>
    <w:rsid w:val="00817BE1"/>
    <w:rsid w:val="00817BE4"/>
    <w:rsid w:val="00817C2D"/>
    <w:rsid w:val="00817C78"/>
    <w:rsid w:val="00817CE2"/>
    <w:rsid w:val="00817CEC"/>
    <w:rsid w:val="00817D17"/>
    <w:rsid w:val="00817D30"/>
    <w:rsid w:val="00817D73"/>
    <w:rsid w:val="00817D81"/>
    <w:rsid w:val="00817D8D"/>
    <w:rsid w:val="00817DE8"/>
    <w:rsid w:val="00817E99"/>
    <w:rsid w:val="00817F23"/>
    <w:rsid w:val="00817F31"/>
    <w:rsid w:val="00817F35"/>
    <w:rsid w:val="00817F82"/>
    <w:rsid w:val="00817FA8"/>
    <w:rsid w:val="00817FED"/>
    <w:rsid w:val="00817FFC"/>
    <w:rsid w:val="0081D0F5"/>
    <w:rsid w:val="00820089"/>
    <w:rsid w:val="008200F9"/>
    <w:rsid w:val="0082015D"/>
    <w:rsid w:val="0082017D"/>
    <w:rsid w:val="008201E8"/>
    <w:rsid w:val="0082023C"/>
    <w:rsid w:val="008202D2"/>
    <w:rsid w:val="00820431"/>
    <w:rsid w:val="0082044E"/>
    <w:rsid w:val="008204DB"/>
    <w:rsid w:val="00820504"/>
    <w:rsid w:val="00820553"/>
    <w:rsid w:val="008205BB"/>
    <w:rsid w:val="008205CE"/>
    <w:rsid w:val="008205E3"/>
    <w:rsid w:val="008205EC"/>
    <w:rsid w:val="00820611"/>
    <w:rsid w:val="0082063B"/>
    <w:rsid w:val="0082063F"/>
    <w:rsid w:val="0082064D"/>
    <w:rsid w:val="00820693"/>
    <w:rsid w:val="008206B4"/>
    <w:rsid w:val="008206E0"/>
    <w:rsid w:val="00820733"/>
    <w:rsid w:val="0082084C"/>
    <w:rsid w:val="008208D8"/>
    <w:rsid w:val="008208EA"/>
    <w:rsid w:val="0082091D"/>
    <w:rsid w:val="0082094E"/>
    <w:rsid w:val="00820985"/>
    <w:rsid w:val="008209BD"/>
    <w:rsid w:val="008209E7"/>
    <w:rsid w:val="008209ED"/>
    <w:rsid w:val="008209EF"/>
    <w:rsid w:val="008209FA"/>
    <w:rsid w:val="00820A6E"/>
    <w:rsid w:val="00820A7C"/>
    <w:rsid w:val="00820AA0"/>
    <w:rsid w:val="00820AB0"/>
    <w:rsid w:val="00820B46"/>
    <w:rsid w:val="00820B49"/>
    <w:rsid w:val="00820B55"/>
    <w:rsid w:val="00820BF5"/>
    <w:rsid w:val="00820C67"/>
    <w:rsid w:val="00820C6D"/>
    <w:rsid w:val="00820C78"/>
    <w:rsid w:val="00820CD0"/>
    <w:rsid w:val="00820CD1"/>
    <w:rsid w:val="00820D08"/>
    <w:rsid w:val="00820D54"/>
    <w:rsid w:val="00820DB2"/>
    <w:rsid w:val="00820E13"/>
    <w:rsid w:val="00820E4D"/>
    <w:rsid w:val="00820E71"/>
    <w:rsid w:val="00820E97"/>
    <w:rsid w:val="00820F02"/>
    <w:rsid w:val="00820F41"/>
    <w:rsid w:val="0082104A"/>
    <w:rsid w:val="0082107B"/>
    <w:rsid w:val="008210A4"/>
    <w:rsid w:val="008210B0"/>
    <w:rsid w:val="008210E3"/>
    <w:rsid w:val="00821113"/>
    <w:rsid w:val="0082119D"/>
    <w:rsid w:val="008211AE"/>
    <w:rsid w:val="00821218"/>
    <w:rsid w:val="00821221"/>
    <w:rsid w:val="0082127E"/>
    <w:rsid w:val="008212C4"/>
    <w:rsid w:val="008212CB"/>
    <w:rsid w:val="008212D8"/>
    <w:rsid w:val="008212E8"/>
    <w:rsid w:val="00821302"/>
    <w:rsid w:val="00821361"/>
    <w:rsid w:val="008213AC"/>
    <w:rsid w:val="008213DC"/>
    <w:rsid w:val="008213F8"/>
    <w:rsid w:val="00821466"/>
    <w:rsid w:val="00821501"/>
    <w:rsid w:val="00821595"/>
    <w:rsid w:val="0082160C"/>
    <w:rsid w:val="00821620"/>
    <w:rsid w:val="0082162A"/>
    <w:rsid w:val="00821667"/>
    <w:rsid w:val="00821668"/>
    <w:rsid w:val="008216AD"/>
    <w:rsid w:val="008216D6"/>
    <w:rsid w:val="0082178E"/>
    <w:rsid w:val="00821793"/>
    <w:rsid w:val="00821845"/>
    <w:rsid w:val="008218A9"/>
    <w:rsid w:val="008218AE"/>
    <w:rsid w:val="008218BF"/>
    <w:rsid w:val="0082192C"/>
    <w:rsid w:val="00821930"/>
    <w:rsid w:val="00821960"/>
    <w:rsid w:val="008219DD"/>
    <w:rsid w:val="00821A10"/>
    <w:rsid w:val="00821A20"/>
    <w:rsid w:val="00821A6A"/>
    <w:rsid w:val="00821ACF"/>
    <w:rsid w:val="00821AF9"/>
    <w:rsid w:val="00821B40"/>
    <w:rsid w:val="00821B42"/>
    <w:rsid w:val="00821B92"/>
    <w:rsid w:val="00821B9E"/>
    <w:rsid w:val="00821C17"/>
    <w:rsid w:val="00821C1F"/>
    <w:rsid w:val="00821C2C"/>
    <w:rsid w:val="00821C42"/>
    <w:rsid w:val="00821C7D"/>
    <w:rsid w:val="00821C94"/>
    <w:rsid w:val="00821D13"/>
    <w:rsid w:val="00821D61"/>
    <w:rsid w:val="00821D62"/>
    <w:rsid w:val="00821DD9"/>
    <w:rsid w:val="00821DEE"/>
    <w:rsid w:val="00821DFC"/>
    <w:rsid w:val="00821ED2"/>
    <w:rsid w:val="00821FE8"/>
    <w:rsid w:val="00822014"/>
    <w:rsid w:val="0082201C"/>
    <w:rsid w:val="00822056"/>
    <w:rsid w:val="0082207C"/>
    <w:rsid w:val="0082207D"/>
    <w:rsid w:val="008220BB"/>
    <w:rsid w:val="0082210D"/>
    <w:rsid w:val="008221C9"/>
    <w:rsid w:val="00822211"/>
    <w:rsid w:val="0082224B"/>
    <w:rsid w:val="008222C0"/>
    <w:rsid w:val="00822305"/>
    <w:rsid w:val="0082232B"/>
    <w:rsid w:val="00822343"/>
    <w:rsid w:val="0082239F"/>
    <w:rsid w:val="008223AE"/>
    <w:rsid w:val="008223DA"/>
    <w:rsid w:val="008223EA"/>
    <w:rsid w:val="00822407"/>
    <w:rsid w:val="008224B0"/>
    <w:rsid w:val="008224B8"/>
    <w:rsid w:val="008224F1"/>
    <w:rsid w:val="00822505"/>
    <w:rsid w:val="00822561"/>
    <w:rsid w:val="00822606"/>
    <w:rsid w:val="0082261A"/>
    <w:rsid w:val="00822782"/>
    <w:rsid w:val="0082279A"/>
    <w:rsid w:val="008227CC"/>
    <w:rsid w:val="008227D4"/>
    <w:rsid w:val="00822805"/>
    <w:rsid w:val="00822825"/>
    <w:rsid w:val="00822827"/>
    <w:rsid w:val="008228DF"/>
    <w:rsid w:val="00822909"/>
    <w:rsid w:val="00822940"/>
    <w:rsid w:val="0082295B"/>
    <w:rsid w:val="00822980"/>
    <w:rsid w:val="008229E2"/>
    <w:rsid w:val="008229E6"/>
    <w:rsid w:val="00822A13"/>
    <w:rsid w:val="00822A1F"/>
    <w:rsid w:val="00822A32"/>
    <w:rsid w:val="00822A42"/>
    <w:rsid w:val="00822A7A"/>
    <w:rsid w:val="00822A83"/>
    <w:rsid w:val="00822B82"/>
    <w:rsid w:val="00822BA6"/>
    <w:rsid w:val="00822BB1"/>
    <w:rsid w:val="00822BBE"/>
    <w:rsid w:val="00822C08"/>
    <w:rsid w:val="00822C12"/>
    <w:rsid w:val="00822C32"/>
    <w:rsid w:val="00822C77"/>
    <w:rsid w:val="00822CAB"/>
    <w:rsid w:val="00822CFF"/>
    <w:rsid w:val="00822D22"/>
    <w:rsid w:val="00822D3A"/>
    <w:rsid w:val="00822D7C"/>
    <w:rsid w:val="00822DBE"/>
    <w:rsid w:val="00822DF3"/>
    <w:rsid w:val="00822E20"/>
    <w:rsid w:val="00822E96"/>
    <w:rsid w:val="00822EB5"/>
    <w:rsid w:val="00822ECF"/>
    <w:rsid w:val="00822EE6"/>
    <w:rsid w:val="00822F2D"/>
    <w:rsid w:val="00822F6A"/>
    <w:rsid w:val="00822FAB"/>
    <w:rsid w:val="00823032"/>
    <w:rsid w:val="00823067"/>
    <w:rsid w:val="00823075"/>
    <w:rsid w:val="008230B6"/>
    <w:rsid w:val="00823119"/>
    <w:rsid w:val="0082313E"/>
    <w:rsid w:val="0082314A"/>
    <w:rsid w:val="00823169"/>
    <w:rsid w:val="00823172"/>
    <w:rsid w:val="008231B4"/>
    <w:rsid w:val="008231C5"/>
    <w:rsid w:val="0082327F"/>
    <w:rsid w:val="008232BB"/>
    <w:rsid w:val="0082331C"/>
    <w:rsid w:val="00823327"/>
    <w:rsid w:val="0082332E"/>
    <w:rsid w:val="00823387"/>
    <w:rsid w:val="008233D0"/>
    <w:rsid w:val="008233E4"/>
    <w:rsid w:val="008233E5"/>
    <w:rsid w:val="0082344F"/>
    <w:rsid w:val="00823451"/>
    <w:rsid w:val="008234C3"/>
    <w:rsid w:val="008234CD"/>
    <w:rsid w:val="008234F5"/>
    <w:rsid w:val="0082351B"/>
    <w:rsid w:val="0082356F"/>
    <w:rsid w:val="00823585"/>
    <w:rsid w:val="00823628"/>
    <w:rsid w:val="00823639"/>
    <w:rsid w:val="008236C6"/>
    <w:rsid w:val="008236CB"/>
    <w:rsid w:val="00823767"/>
    <w:rsid w:val="008237B0"/>
    <w:rsid w:val="0082382E"/>
    <w:rsid w:val="00823893"/>
    <w:rsid w:val="0082389C"/>
    <w:rsid w:val="008238DE"/>
    <w:rsid w:val="00823904"/>
    <w:rsid w:val="00823924"/>
    <w:rsid w:val="0082392D"/>
    <w:rsid w:val="00823936"/>
    <w:rsid w:val="0082397C"/>
    <w:rsid w:val="00823987"/>
    <w:rsid w:val="008239DD"/>
    <w:rsid w:val="00823A35"/>
    <w:rsid w:val="00823A44"/>
    <w:rsid w:val="00823A67"/>
    <w:rsid w:val="00823A8F"/>
    <w:rsid w:val="00823A92"/>
    <w:rsid w:val="00823AD4"/>
    <w:rsid w:val="00823B06"/>
    <w:rsid w:val="00823B0A"/>
    <w:rsid w:val="00823B13"/>
    <w:rsid w:val="00823B14"/>
    <w:rsid w:val="00823B87"/>
    <w:rsid w:val="00823BD3"/>
    <w:rsid w:val="00823C37"/>
    <w:rsid w:val="00823C39"/>
    <w:rsid w:val="00823C44"/>
    <w:rsid w:val="00823C77"/>
    <w:rsid w:val="00823D01"/>
    <w:rsid w:val="00823D25"/>
    <w:rsid w:val="00823D8A"/>
    <w:rsid w:val="00823DA9"/>
    <w:rsid w:val="00823DE5"/>
    <w:rsid w:val="00823E84"/>
    <w:rsid w:val="00823F11"/>
    <w:rsid w:val="00823F8A"/>
    <w:rsid w:val="00823FA5"/>
    <w:rsid w:val="00823FDB"/>
    <w:rsid w:val="00823FEE"/>
    <w:rsid w:val="0082400D"/>
    <w:rsid w:val="00824013"/>
    <w:rsid w:val="008240D9"/>
    <w:rsid w:val="008240EC"/>
    <w:rsid w:val="008240F2"/>
    <w:rsid w:val="00824117"/>
    <w:rsid w:val="0082411B"/>
    <w:rsid w:val="0082413B"/>
    <w:rsid w:val="00824154"/>
    <w:rsid w:val="008241A7"/>
    <w:rsid w:val="008241FF"/>
    <w:rsid w:val="00824269"/>
    <w:rsid w:val="0082426E"/>
    <w:rsid w:val="00824332"/>
    <w:rsid w:val="00824380"/>
    <w:rsid w:val="00824382"/>
    <w:rsid w:val="0082445C"/>
    <w:rsid w:val="008244C1"/>
    <w:rsid w:val="008244D2"/>
    <w:rsid w:val="008244E3"/>
    <w:rsid w:val="008244F3"/>
    <w:rsid w:val="00824541"/>
    <w:rsid w:val="00824557"/>
    <w:rsid w:val="00824559"/>
    <w:rsid w:val="0082459D"/>
    <w:rsid w:val="008245CE"/>
    <w:rsid w:val="008245EA"/>
    <w:rsid w:val="00824619"/>
    <w:rsid w:val="0082461D"/>
    <w:rsid w:val="008246DF"/>
    <w:rsid w:val="00824703"/>
    <w:rsid w:val="0082476E"/>
    <w:rsid w:val="00824792"/>
    <w:rsid w:val="008247B8"/>
    <w:rsid w:val="008247E7"/>
    <w:rsid w:val="0082484D"/>
    <w:rsid w:val="008248FE"/>
    <w:rsid w:val="00824A95"/>
    <w:rsid w:val="00824AF1"/>
    <w:rsid w:val="00824AF7"/>
    <w:rsid w:val="00824B0A"/>
    <w:rsid w:val="00824B88"/>
    <w:rsid w:val="00824B89"/>
    <w:rsid w:val="00824B8C"/>
    <w:rsid w:val="00824BA3"/>
    <w:rsid w:val="00824BE6"/>
    <w:rsid w:val="00824C58"/>
    <w:rsid w:val="00824C9E"/>
    <w:rsid w:val="00824CB2"/>
    <w:rsid w:val="00824CD0"/>
    <w:rsid w:val="00824CDB"/>
    <w:rsid w:val="00824CDC"/>
    <w:rsid w:val="00824D97"/>
    <w:rsid w:val="00824DF7"/>
    <w:rsid w:val="00824DF8"/>
    <w:rsid w:val="00824E06"/>
    <w:rsid w:val="00824EAF"/>
    <w:rsid w:val="00824EDA"/>
    <w:rsid w:val="00824EE7"/>
    <w:rsid w:val="00824EFC"/>
    <w:rsid w:val="00824F30"/>
    <w:rsid w:val="00824F38"/>
    <w:rsid w:val="00824F47"/>
    <w:rsid w:val="00824F70"/>
    <w:rsid w:val="00824F7A"/>
    <w:rsid w:val="00824FE1"/>
    <w:rsid w:val="00825073"/>
    <w:rsid w:val="008250D5"/>
    <w:rsid w:val="00825196"/>
    <w:rsid w:val="0082519B"/>
    <w:rsid w:val="0082519D"/>
    <w:rsid w:val="008251E9"/>
    <w:rsid w:val="00825245"/>
    <w:rsid w:val="0082526E"/>
    <w:rsid w:val="008252B3"/>
    <w:rsid w:val="008252EF"/>
    <w:rsid w:val="00825310"/>
    <w:rsid w:val="00825313"/>
    <w:rsid w:val="008253BB"/>
    <w:rsid w:val="0082543B"/>
    <w:rsid w:val="00825488"/>
    <w:rsid w:val="008254A3"/>
    <w:rsid w:val="0082551E"/>
    <w:rsid w:val="0082553A"/>
    <w:rsid w:val="0082559E"/>
    <w:rsid w:val="008255B7"/>
    <w:rsid w:val="00825639"/>
    <w:rsid w:val="00825691"/>
    <w:rsid w:val="00825695"/>
    <w:rsid w:val="0082569B"/>
    <w:rsid w:val="008256F0"/>
    <w:rsid w:val="00825713"/>
    <w:rsid w:val="008257AD"/>
    <w:rsid w:val="0082582A"/>
    <w:rsid w:val="008258B6"/>
    <w:rsid w:val="008258BC"/>
    <w:rsid w:val="008258D3"/>
    <w:rsid w:val="00825907"/>
    <w:rsid w:val="00825908"/>
    <w:rsid w:val="00825952"/>
    <w:rsid w:val="008259B6"/>
    <w:rsid w:val="00825A28"/>
    <w:rsid w:val="00825A3F"/>
    <w:rsid w:val="00825A4F"/>
    <w:rsid w:val="00825B10"/>
    <w:rsid w:val="00825B20"/>
    <w:rsid w:val="00825BDF"/>
    <w:rsid w:val="00825BF9"/>
    <w:rsid w:val="00825C81"/>
    <w:rsid w:val="00825CB7"/>
    <w:rsid w:val="00825CC6"/>
    <w:rsid w:val="00825CDC"/>
    <w:rsid w:val="00825D3F"/>
    <w:rsid w:val="00825D59"/>
    <w:rsid w:val="00825D9B"/>
    <w:rsid w:val="00825DB5"/>
    <w:rsid w:val="00825DF6"/>
    <w:rsid w:val="00825E19"/>
    <w:rsid w:val="00825E22"/>
    <w:rsid w:val="00825E3A"/>
    <w:rsid w:val="00825E71"/>
    <w:rsid w:val="00825E87"/>
    <w:rsid w:val="00825E8B"/>
    <w:rsid w:val="00825EB5"/>
    <w:rsid w:val="00825ECB"/>
    <w:rsid w:val="00825F29"/>
    <w:rsid w:val="00825F2C"/>
    <w:rsid w:val="00825F47"/>
    <w:rsid w:val="00825FB5"/>
    <w:rsid w:val="00825FCE"/>
    <w:rsid w:val="00825FED"/>
    <w:rsid w:val="00826052"/>
    <w:rsid w:val="008260C5"/>
    <w:rsid w:val="00826146"/>
    <w:rsid w:val="00826147"/>
    <w:rsid w:val="0082615F"/>
    <w:rsid w:val="00826160"/>
    <w:rsid w:val="0082625F"/>
    <w:rsid w:val="0082629D"/>
    <w:rsid w:val="008262F1"/>
    <w:rsid w:val="0082630F"/>
    <w:rsid w:val="0082634A"/>
    <w:rsid w:val="0082639E"/>
    <w:rsid w:val="008263F1"/>
    <w:rsid w:val="00826451"/>
    <w:rsid w:val="008264F1"/>
    <w:rsid w:val="0082654B"/>
    <w:rsid w:val="008265AB"/>
    <w:rsid w:val="008265B6"/>
    <w:rsid w:val="008265D5"/>
    <w:rsid w:val="008265E7"/>
    <w:rsid w:val="00826628"/>
    <w:rsid w:val="008266C1"/>
    <w:rsid w:val="008266CD"/>
    <w:rsid w:val="0082673E"/>
    <w:rsid w:val="0082676B"/>
    <w:rsid w:val="008267A6"/>
    <w:rsid w:val="0082681D"/>
    <w:rsid w:val="00826981"/>
    <w:rsid w:val="008269CC"/>
    <w:rsid w:val="008269FB"/>
    <w:rsid w:val="008269FD"/>
    <w:rsid w:val="00826A38"/>
    <w:rsid w:val="00826A5B"/>
    <w:rsid w:val="00826A5E"/>
    <w:rsid w:val="00826ACD"/>
    <w:rsid w:val="00826AD5"/>
    <w:rsid w:val="00826B1C"/>
    <w:rsid w:val="00826B2F"/>
    <w:rsid w:val="00826BC8"/>
    <w:rsid w:val="00826BE3"/>
    <w:rsid w:val="00826C0F"/>
    <w:rsid w:val="00826C6A"/>
    <w:rsid w:val="00826C86"/>
    <w:rsid w:val="00826CA5"/>
    <w:rsid w:val="00826CB7"/>
    <w:rsid w:val="00826D22"/>
    <w:rsid w:val="00826D51"/>
    <w:rsid w:val="00826D67"/>
    <w:rsid w:val="00826D85"/>
    <w:rsid w:val="00826D9A"/>
    <w:rsid w:val="00826E42"/>
    <w:rsid w:val="00826E45"/>
    <w:rsid w:val="00826E73"/>
    <w:rsid w:val="00826E82"/>
    <w:rsid w:val="00826ECA"/>
    <w:rsid w:val="00826ED6"/>
    <w:rsid w:val="00826F0D"/>
    <w:rsid w:val="00826F6E"/>
    <w:rsid w:val="00826F82"/>
    <w:rsid w:val="00826FDA"/>
    <w:rsid w:val="00826FF8"/>
    <w:rsid w:val="00827060"/>
    <w:rsid w:val="008270D9"/>
    <w:rsid w:val="008270E2"/>
    <w:rsid w:val="0082720C"/>
    <w:rsid w:val="008272C8"/>
    <w:rsid w:val="0082736E"/>
    <w:rsid w:val="00827377"/>
    <w:rsid w:val="00827420"/>
    <w:rsid w:val="00827497"/>
    <w:rsid w:val="008274C0"/>
    <w:rsid w:val="008274D8"/>
    <w:rsid w:val="008274FB"/>
    <w:rsid w:val="00827520"/>
    <w:rsid w:val="0082755B"/>
    <w:rsid w:val="008275AA"/>
    <w:rsid w:val="008275B9"/>
    <w:rsid w:val="00827672"/>
    <w:rsid w:val="00827682"/>
    <w:rsid w:val="008276BB"/>
    <w:rsid w:val="00827710"/>
    <w:rsid w:val="00827744"/>
    <w:rsid w:val="00827766"/>
    <w:rsid w:val="00827770"/>
    <w:rsid w:val="008277F8"/>
    <w:rsid w:val="00827832"/>
    <w:rsid w:val="00827962"/>
    <w:rsid w:val="008279DB"/>
    <w:rsid w:val="00827A31"/>
    <w:rsid w:val="00827AB0"/>
    <w:rsid w:val="00827ABB"/>
    <w:rsid w:val="00827AE8"/>
    <w:rsid w:val="00827AF4"/>
    <w:rsid w:val="00827B6B"/>
    <w:rsid w:val="00827B7A"/>
    <w:rsid w:val="00827B88"/>
    <w:rsid w:val="00827C7C"/>
    <w:rsid w:val="00827CD7"/>
    <w:rsid w:val="00827CD8"/>
    <w:rsid w:val="00827D08"/>
    <w:rsid w:val="00827D0F"/>
    <w:rsid w:val="00827D15"/>
    <w:rsid w:val="00827D47"/>
    <w:rsid w:val="00827D96"/>
    <w:rsid w:val="00827DFD"/>
    <w:rsid w:val="00827E16"/>
    <w:rsid w:val="00827E1F"/>
    <w:rsid w:val="00827FAF"/>
    <w:rsid w:val="00827FF7"/>
    <w:rsid w:val="0083008B"/>
    <w:rsid w:val="008300D9"/>
    <w:rsid w:val="0083010E"/>
    <w:rsid w:val="0083020E"/>
    <w:rsid w:val="0083028A"/>
    <w:rsid w:val="008302A2"/>
    <w:rsid w:val="0083037D"/>
    <w:rsid w:val="0083037F"/>
    <w:rsid w:val="008303B1"/>
    <w:rsid w:val="00830481"/>
    <w:rsid w:val="008304AC"/>
    <w:rsid w:val="008304AF"/>
    <w:rsid w:val="00830503"/>
    <w:rsid w:val="00830529"/>
    <w:rsid w:val="0083053E"/>
    <w:rsid w:val="0083055F"/>
    <w:rsid w:val="0083059F"/>
    <w:rsid w:val="008305F3"/>
    <w:rsid w:val="00830698"/>
    <w:rsid w:val="008306B0"/>
    <w:rsid w:val="008306FB"/>
    <w:rsid w:val="0083075B"/>
    <w:rsid w:val="008307D9"/>
    <w:rsid w:val="008307DB"/>
    <w:rsid w:val="00830848"/>
    <w:rsid w:val="0083084E"/>
    <w:rsid w:val="0083087D"/>
    <w:rsid w:val="008308DF"/>
    <w:rsid w:val="0083095A"/>
    <w:rsid w:val="008309D4"/>
    <w:rsid w:val="00830A02"/>
    <w:rsid w:val="00830A8C"/>
    <w:rsid w:val="00830AA6"/>
    <w:rsid w:val="00830BA0"/>
    <w:rsid w:val="00830C27"/>
    <w:rsid w:val="00830C2C"/>
    <w:rsid w:val="00830C33"/>
    <w:rsid w:val="00830C46"/>
    <w:rsid w:val="00830C4D"/>
    <w:rsid w:val="00830C58"/>
    <w:rsid w:val="00830CFF"/>
    <w:rsid w:val="00830D10"/>
    <w:rsid w:val="00830D22"/>
    <w:rsid w:val="00830D34"/>
    <w:rsid w:val="00830D51"/>
    <w:rsid w:val="00830D59"/>
    <w:rsid w:val="00830DAF"/>
    <w:rsid w:val="00830DD1"/>
    <w:rsid w:val="00830DFD"/>
    <w:rsid w:val="00830E65"/>
    <w:rsid w:val="00830EA3"/>
    <w:rsid w:val="00830EB5"/>
    <w:rsid w:val="00830EDF"/>
    <w:rsid w:val="00830F24"/>
    <w:rsid w:val="0083100F"/>
    <w:rsid w:val="00831031"/>
    <w:rsid w:val="00831152"/>
    <w:rsid w:val="008311B9"/>
    <w:rsid w:val="0083120D"/>
    <w:rsid w:val="00831214"/>
    <w:rsid w:val="00831312"/>
    <w:rsid w:val="008313AC"/>
    <w:rsid w:val="008313E4"/>
    <w:rsid w:val="008313FA"/>
    <w:rsid w:val="00831481"/>
    <w:rsid w:val="00831495"/>
    <w:rsid w:val="008314DD"/>
    <w:rsid w:val="008314DE"/>
    <w:rsid w:val="008314F9"/>
    <w:rsid w:val="00831615"/>
    <w:rsid w:val="0083162C"/>
    <w:rsid w:val="00831635"/>
    <w:rsid w:val="008316B6"/>
    <w:rsid w:val="008316CD"/>
    <w:rsid w:val="00831778"/>
    <w:rsid w:val="0083178B"/>
    <w:rsid w:val="0083179F"/>
    <w:rsid w:val="008317A4"/>
    <w:rsid w:val="0083182E"/>
    <w:rsid w:val="00831843"/>
    <w:rsid w:val="00831846"/>
    <w:rsid w:val="0083186F"/>
    <w:rsid w:val="0083187E"/>
    <w:rsid w:val="0083188B"/>
    <w:rsid w:val="008318D1"/>
    <w:rsid w:val="008318FA"/>
    <w:rsid w:val="00831911"/>
    <w:rsid w:val="0083192E"/>
    <w:rsid w:val="00831936"/>
    <w:rsid w:val="00831948"/>
    <w:rsid w:val="0083195E"/>
    <w:rsid w:val="0083196E"/>
    <w:rsid w:val="008319AB"/>
    <w:rsid w:val="00831A85"/>
    <w:rsid w:val="00831B29"/>
    <w:rsid w:val="00831BE1"/>
    <w:rsid w:val="00831C07"/>
    <w:rsid w:val="00831C27"/>
    <w:rsid w:val="00831C65"/>
    <w:rsid w:val="00831C6F"/>
    <w:rsid w:val="00831C94"/>
    <w:rsid w:val="00831CE7"/>
    <w:rsid w:val="00831D81"/>
    <w:rsid w:val="00831DAD"/>
    <w:rsid w:val="00831DD0"/>
    <w:rsid w:val="00831DD5"/>
    <w:rsid w:val="00831E4A"/>
    <w:rsid w:val="00831E4E"/>
    <w:rsid w:val="00831E60"/>
    <w:rsid w:val="00831E75"/>
    <w:rsid w:val="00831EFB"/>
    <w:rsid w:val="00831F06"/>
    <w:rsid w:val="00831F43"/>
    <w:rsid w:val="00831FE7"/>
    <w:rsid w:val="00831FF6"/>
    <w:rsid w:val="0083204B"/>
    <w:rsid w:val="00832076"/>
    <w:rsid w:val="008320D2"/>
    <w:rsid w:val="008320E8"/>
    <w:rsid w:val="008320E9"/>
    <w:rsid w:val="008320F9"/>
    <w:rsid w:val="008320FD"/>
    <w:rsid w:val="00832107"/>
    <w:rsid w:val="00832153"/>
    <w:rsid w:val="0083217B"/>
    <w:rsid w:val="008321B6"/>
    <w:rsid w:val="00832219"/>
    <w:rsid w:val="0083226B"/>
    <w:rsid w:val="0083229D"/>
    <w:rsid w:val="008322A3"/>
    <w:rsid w:val="008322F4"/>
    <w:rsid w:val="0083236F"/>
    <w:rsid w:val="00832379"/>
    <w:rsid w:val="00832380"/>
    <w:rsid w:val="008323C4"/>
    <w:rsid w:val="008323D1"/>
    <w:rsid w:val="00832439"/>
    <w:rsid w:val="00832481"/>
    <w:rsid w:val="008324D5"/>
    <w:rsid w:val="008324E0"/>
    <w:rsid w:val="00832540"/>
    <w:rsid w:val="008325B7"/>
    <w:rsid w:val="00832603"/>
    <w:rsid w:val="00832607"/>
    <w:rsid w:val="008326BB"/>
    <w:rsid w:val="008326CC"/>
    <w:rsid w:val="008326E7"/>
    <w:rsid w:val="00832745"/>
    <w:rsid w:val="0083278A"/>
    <w:rsid w:val="00832790"/>
    <w:rsid w:val="008327B7"/>
    <w:rsid w:val="00832913"/>
    <w:rsid w:val="00832983"/>
    <w:rsid w:val="00832984"/>
    <w:rsid w:val="0083298A"/>
    <w:rsid w:val="0083299E"/>
    <w:rsid w:val="008329AE"/>
    <w:rsid w:val="008329CE"/>
    <w:rsid w:val="00832A05"/>
    <w:rsid w:val="00832A25"/>
    <w:rsid w:val="00832A29"/>
    <w:rsid w:val="00832A2C"/>
    <w:rsid w:val="00832A75"/>
    <w:rsid w:val="00832A94"/>
    <w:rsid w:val="00832AA7"/>
    <w:rsid w:val="00832AAB"/>
    <w:rsid w:val="00832ABF"/>
    <w:rsid w:val="00832AF5"/>
    <w:rsid w:val="00832B02"/>
    <w:rsid w:val="00832B60"/>
    <w:rsid w:val="00832B9D"/>
    <w:rsid w:val="00832BA3"/>
    <w:rsid w:val="00832BC6"/>
    <w:rsid w:val="00832BDB"/>
    <w:rsid w:val="00832C39"/>
    <w:rsid w:val="00832C7A"/>
    <w:rsid w:val="00832C9C"/>
    <w:rsid w:val="00832CFE"/>
    <w:rsid w:val="00832D0E"/>
    <w:rsid w:val="00832D8A"/>
    <w:rsid w:val="00832DA6"/>
    <w:rsid w:val="00832DC7"/>
    <w:rsid w:val="00832DD7"/>
    <w:rsid w:val="00832E2A"/>
    <w:rsid w:val="00832E3E"/>
    <w:rsid w:val="00832EEB"/>
    <w:rsid w:val="00832EF3"/>
    <w:rsid w:val="00832F19"/>
    <w:rsid w:val="00832F78"/>
    <w:rsid w:val="00832FB0"/>
    <w:rsid w:val="00832FBB"/>
    <w:rsid w:val="00832FD5"/>
    <w:rsid w:val="00833001"/>
    <w:rsid w:val="00833007"/>
    <w:rsid w:val="00833009"/>
    <w:rsid w:val="0083306F"/>
    <w:rsid w:val="00833076"/>
    <w:rsid w:val="00833078"/>
    <w:rsid w:val="008330C4"/>
    <w:rsid w:val="0083310A"/>
    <w:rsid w:val="00833110"/>
    <w:rsid w:val="008331AD"/>
    <w:rsid w:val="0083321A"/>
    <w:rsid w:val="0083326D"/>
    <w:rsid w:val="008332E7"/>
    <w:rsid w:val="0083331B"/>
    <w:rsid w:val="0083338A"/>
    <w:rsid w:val="008333CA"/>
    <w:rsid w:val="0083344D"/>
    <w:rsid w:val="00833465"/>
    <w:rsid w:val="00833472"/>
    <w:rsid w:val="008334A6"/>
    <w:rsid w:val="008334CB"/>
    <w:rsid w:val="008334DD"/>
    <w:rsid w:val="0083354F"/>
    <w:rsid w:val="008335BB"/>
    <w:rsid w:val="008335CA"/>
    <w:rsid w:val="008335DC"/>
    <w:rsid w:val="008335DE"/>
    <w:rsid w:val="008335E3"/>
    <w:rsid w:val="00833622"/>
    <w:rsid w:val="0083364F"/>
    <w:rsid w:val="008336D9"/>
    <w:rsid w:val="008336E7"/>
    <w:rsid w:val="00833705"/>
    <w:rsid w:val="00833773"/>
    <w:rsid w:val="008337AB"/>
    <w:rsid w:val="00833877"/>
    <w:rsid w:val="00833894"/>
    <w:rsid w:val="008338C0"/>
    <w:rsid w:val="008338F6"/>
    <w:rsid w:val="00833915"/>
    <w:rsid w:val="00833942"/>
    <w:rsid w:val="00833989"/>
    <w:rsid w:val="008339B1"/>
    <w:rsid w:val="008339F4"/>
    <w:rsid w:val="00833A1F"/>
    <w:rsid w:val="00833A63"/>
    <w:rsid w:val="00833A85"/>
    <w:rsid w:val="00833A9A"/>
    <w:rsid w:val="00833AAC"/>
    <w:rsid w:val="00833ADE"/>
    <w:rsid w:val="00833B31"/>
    <w:rsid w:val="00833B5E"/>
    <w:rsid w:val="00833B8A"/>
    <w:rsid w:val="00833BFA"/>
    <w:rsid w:val="00833C67"/>
    <w:rsid w:val="00833C87"/>
    <w:rsid w:val="00833C91"/>
    <w:rsid w:val="00833D2A"/>
    <w:rsid w:val="00833D43"/>
    <w:rsid w:val="00833D92"/>
    <w:rsid w:val="00833D9B"/>
    <w:rsid w:val="00833DBE"/>
    <w:rsid w:val="00833DF4"/>
    <w:rsid w:val="00833E40"/>
    <w:rsid w:val="00833ED6"/>
    <w:rsid w:val="00833EE2"/>
    <w:rsid w:val="00833FCA"/>
    <w:rsid w:val="00833FDB"/>
    <w:rsid w:val="00833FEB"/>
    <w:rsid w:val="00833FF7"/>
    <w:rsid w:val="00833FFD"/>
    <w:rsid w:val="00833FFE"/>
    <w:rsid w:val="00834030"/>
    <w:rsid w:val="00834067"/>
    <w:rsid w:val="0083407B"/>
    <w:rsid w:val="00834105"/>
    <w:rsid w:val="00834116"/>
    <w:rsid w:val="00834120"/>
    <w:rsid w:val="00834137"/>
    <w:rsid w:val="00834168"/>
    <w:rsid w:val="00834192"/>
    <w:rsid w:val="0083419F"/>
    <w:rsid w:val="008341E7"/>
    <w:rsid w:val="008341EB"/>
    <w:rsid w:val="0083423C"/>
    <w:rsid w:val="008342C7"/>
    <w:rsid w:val="008342DE"/>
    <w:rsid w:val="0083431C"/>
    <w:rsid w:val="0083431E"/>
    <w:rsid w:val="00834321"/>
    <w:rsid w:val="0083434D"/>
    <w:rsid w:val="0083436D"/>
    <w:rsid w:val="0083437A"/>
    <w:rsid w:val="008343A6"/>
    <w:rsid w:val="008343B7"/>
    <w:rsid w:val="008343DC"/>
    <w:rsid w:val="0083444F"/>
    <w:rsid w:val="00834488"/>
    <w:rsid w:val="00834498"/>
    <w:rsid w:val="0083449D"/>
    <w:rsid w:val="008344B9"/>
    <w:rsid w:val="00834527"/>
    <w:rsid w:val="008345DD"/>
    <w:rsid w:val="008345E8"/>
    <w:rsid w:val="008345F2"/>
    <w:rsid w:val="0083460F"/>
    <w:rsid w:val="00834619"/>
    <w:rsid w:val="00834624"/>
    <w:rsid w:val="00834626"/>
    <w:rsid w:val="00834639"/>
    <w:rsid w:val="00834653"/>
    <w:rsid w:val="008346C9"/>
    <w:rsid w:val="008346E0"/>
    <w:rsid w:val="008347CD"/>
    <w:rsid w:val="008347D3"/>
    <w:rsid w:val="008347D6"/>
    <w:rsid w:val="008347EE"/>
    <w:rsid w:val="00834881"/>
    <w:rsid w:val="0083498F"/>
    <w:rsid w:val="0083499F"/>
    <w:rsid w:val="008349C2"/>
    <w:rsid w:val="00834A07"/>
    <w:rsid w:val="00834A9C"/>
    <w:rsid w:val="00834A9E"/>
    <w:rsid w:val="00834AA5"/>
    <w:rsid w:val="00834B12"/>
    <w:rsid w:val="00834B28"/>
    <w:rsid w:val="00834B70"/>
    <w:rsid w:val="00834C4C"/>
    <w:rsid w:val="00834C79"/>
    <w:rsid w:val="00834E28"/>
    <w:rsid w:val="00834EA1"/>
    <w:rsid w:val="00834EE1"/>
    <w:rsid w:val="00834F12"/>
    <w:rsid w:val="00834F58"/>
    <w:rsid w:val="00834F60"/>
    <w:rsid w:val="00834F61"/>
    <w:rsid w:val="00835024"/>
    <w:rsid w:val="0083509F"/>
    <w:rsid w:val="008350AE"/>
    <w:rsid w:val="008350D7"/>
    <w:rsid w:val="00835183"/>
    <w:rsid w:val="008351C9"/>
    <w:rsid w:val="008352FE"/>
    <w:rsid w:val="0083533D"/>
    <w:rsid w:val="00835361"/>
    <w:rsid w:val="008353A6"/>
    <w:rsid w:val="008353B7"/>
    <w:rsid w:val="008353F5"/>
    <w:rsid w:val="008353F7"/>
    <w:rsid w:val="008354C1"/>
    <w:rsid w:val="0083555D"/>
    <w:rsid w:val="0083556E"/>
    <w:rsid w:val="0083557D"/>
    <w:rsid w:val="00835591"/>
    <w:rsid w:val="00835677"/>
    <w:rsid w:val="00835759"/>
    <w:rsid w:val="00835796"/>
    <w:rsid w:val="008357C2"/>
    <w:rsid w:val="008357C6"/>
    <w:rsid w:val="0083580E"/>
    <w:rsid w:val="00835845"/>
    <w:rsid w:val="0083587D"/>
    <w:rsid w:val="008358F8"/>
    <w:rsid w:val="008358FB"/>
    <w:rsid w:val="00835921"/>
    <w:rsid w:val="0083593A"/>
    <w:rsid w:val="0083595C"/>
    <w:rsid w:val="00835970"/>
    <w:rsid w:val="00835A23"/>
    <w:rsid w:val="00835A4E"/>
    <w:rsid w:val="00835A6B"/>
    <w:rsid w:val="00835A7D"/>
    <w:rsid w:val="00835ACD"/>
    <w:rsid w:val="00835B2C"/>
    <w:rsid w:val="00835BCA"/>
    <w:rsid w:val="00835C16"/>
    <w:rsid w:val="00835C38"/>
    <w:rsid w:val="00835C53"/>
    <w:rsid w:val="00835CA0"/>
    <w:rsid w:val="00835D16"/>
    <w:rsid w:val="00835D18"/>
    <w:rsid w:val="00835D3C"/>
    <w:rsid w:val="00835D5D"/>
    <w:rsid w:val="00835DA4"/>
    <w:rsid w:val="00835DFF"/>
    <w:rsid w:val="00835E83"/>
    <w:rsid w:val="00835EFD"/>
    <w:rsid w:val="00835F50"/>
    <w:rsid w:val="00835F5B"/>
    <w:rsid w:val="00835FB0"/>
    <w:rsid w:val="00835FC5"/>
    <w:rsid w:val="00835FDF"/>
    <w:rsid w:val="00836088"/>
    <w:rsid w:val="00836095"/>
    <w:rsid w:val="0083611C"/>
    <w:rsid w:val="0083615F"/>
    <w:rsid w:val="0083617B"/>
    <w:rsid w:val="0083619B"/>
    <w:rsid w:val="008361BD"/>
    <w:rsid w:val="008361C7"/>
    <w:rsid w:val="0083629E"/>
    <w:rsid w:val="008362A0"/>
    <w:rsid w:val="008362A6"/>
    <w:rsid w:val="008363C4"/>
    <w:rsid w:val="00836410"/>
    <w:rsid w:val="0083643E"/>
    <w:rsid w:val="0083644E"/>
    <w:rsid w:val="00836450"/>
    <w:rsid w:val="008364B7"/>
    <w:rsid w:val="008365A9"/>
    <w:rsid w:val="008365E9"/>
    <w:rsid w:val="00836608"/>
    <w:rsid w:val="008366E9"/>
    <w:rsid w:val="0083671A"/>
    <w:rsid w:val="008367C0"/>
    <w:rsid w:val="00836898"/>
    <w:rsid w:val="0083689F"/>
    <w:rsid w:val="008368CC"/>
    <w:rsid w:val="008368E8"/>
    <w:rsid w:val="008369AA"/>
    <w:rsid w:val="00836A09"/>
    <w:rsid w:val="00836A56"/>
    <w:rsid w:val="00836A5C"/>
    <w:rsid w:val="00836A90"/>
    <w:rsid w:val="00836A9E"/>
    <w:rsid w:val="00836AB6"/>
    <w:rsid w:val="00836AC1"/>
    <w:rsid w:val="00836ACE"/>
    <w:rsid w:val="00836B03"/>
    <w:rsid w:val="00836B20"/>
    <w:rsid w:val="00836B71"/>
    <w:rsid w:val="00836B84"/>
    <w:rsid w:val="00836B88"/>
    <w:rsid w:val="00836B96"/>
    <w:rsid w:val="00836C7A"/>
    <w:rsid w:val="00836CB3"/>
    <w:rsid w:val="00836D09"/>
    <w:rsid w:val="00836E00"/>
    <w:rsid w:val="00836EDA"/>
    <w:rsid w:val="00836EDB"/>
    <w:rsid w:val="00836F74"/>
    <w:rsid w:val="00836F79"/>
    <w:rsid w:val="00837025"/>
    <w:rsid w:val="00837027"/>
    <w:rsid w:val="00837035"/>
    <w:rsid w:val="00837060"/>
    <w:rsid w:val="008370FF"/>
    <w:rsid w:val="0083711A"/>
    <w:rsid w:val="00837186"/>
    <w:rsid w:val="00837195"/>
    <w:rsid w:val="0083719F"/>
    <w:rsid w:val="00837228"/>
    <w:rsid w:val="00837239"/>
    <w:rsid w:val="00837252"/>
    <w:rsid w:val="008373AD"/>
    <w:rsid w:val="008373D6"/>
    <w:rsid w:val="0083744D"/>
    <w:rsid w:val="00837479"/>
    <w:rsid w:val="00837481"/>
    <w:rsid w:val="00837517"/>
    <w:rsid w:val="0083751A"/>
    <w:rsid w:val="00837520"/>
    <w:rsid w:val="008375D2"/>
    <w:rsid w:val="00837638"/>
    <w:rsid w:val="0083763D"/>
    <w:rsid w:val="00837651"/>
    <w:rsid w:val="00837702"/>
    <w:rsid w:val="0083773E"/>
    <w:rsid w:val="008377AF"/>
    <w:rsid w:val="008378B8"/>
    <w:rsid w:val="008378B9"/>
    <w:rsid w:val="008378CF"/>
    <w:rsid w:val="00837925"/>
    <w:rsid w:val="00837974"/>
    <w:rsid w:val="00837A1A"/>
    <w:rsid w:val="00837A74"/>
    <w:rsid w:val="00837A82"/>
    <w:rsid w:val="00837A89"/>
    <w:rsid w:val="00837A95"/>
    <w:rsid w:val="00837AA5"/>
    <w:rsid w:val="00837B15"/>
    <w:rsid w:val="00837B42"/>
    <w:rsid w:val="00837B5E"/>
    <w:rsid w:val="00837BA3"/>
    <w:rsid w:val="00837BB0"/>
    <w:rsid w:val="00837BBA"/>
    <w:rsid w:val="00837BE6"/>
    <w:rsid w:val="00837C1C"/>
    <w:rsid w:val="00837C3A"/>
    <w:rsid w:val="00837C63"/>
    <w:rsid w:val="00837C6C"/>
    <w:rsid w:val="00837C7A"/>
    <w:rsid w:val="00837C86"/>
    <w:rsid w:val="00837CCC"/>
    <w:rsid w:val="00837CE3"/>
    <w:rsid w:val="00837D80"/>
    <w:rsid w:val="00837D91"/>
    <w:rsid w:val="00837E4B"/>
    <w:rsid w:val="00837E8E"/>
    <w:rsid w:val="00837E9B"/>
    <w:rsid w:val="00837EA3"/>
    <w:rsid w:val="00837ED5"/>
    <w:rsid w:val="00837ED7"/>
    <w:rsid w:val="00837F29"/>
    <w:rsid w:val="00837F2F"/>
    <w:rsid w:val="00837F41"/>
    <w:rsid w:val="00837F65"/>
    <w:rsid w:val="00840036"/>
    <w:rsid w:val="00840069"/>
    <w:rsid w:val="008400FE"/>
    <w:rsid w:val="0084011F"/>
    <w:rsid w:val="008401F8"/>
    <w:rsid w:val="00840300"/>
    <w:rsid w:val="00840339"/>
    <w:rsid w:val="0084033A"/>
    <w:rsid w:val="00840390"/>
    <w:rsid w:val="008403B2"/>
    <w:rsid w:val="008403BC"/>
    <w:rsid w:val="008404B9"/>
    <w:rsid w:val="00840567"/>
    <w:rsid w:val="008405C5"/>
    <w:rsid w:val="008405D9"/>
    <w:rsid w:val="0084061D"/>
    <w:rsid w:val="00840649"/>
    <w:rsid w:val="0084064A"/>
    <w:rsid w:val="00840663"/>
    <w:rsid w:val="00840673"/>
    <w:rsid w:val="008406D6"/>
    <w:rsid w:val="008406EA"/>
    <w:rsid w:val="00840709"/>
    <w:rsid w:val="0084072F"/>
    <w:rsid w:val="0084079A"/>
    <w:rsid w:val="008407E5"/>
    <w:rsid w:val="008407EA"/>
    <w:rsid w:val="00840841"/>
    <w:rsid w:val="0084089C"/>
    <w:rsid w:val="008408B8"/>
    <w:rsid w:val="00840908"/>
    <w:rsid w:val="00840924"/>
    <w:rsid w:val="00840986"/>
    <w:rsid w:val="008409FC"/>
    <w:rsid w:val="00840A10"/>
    <w:rsid w:val="00840A27"/>
    <w:rsid w:val="00840A43"/>
    <w:rsid w:val="00840AB3"/>
    <w:rsid w:val="00840AF0"/>
    <w:rsid w:val="00840B2D"/>
    <w:rsid w:val="00840B8A"/>
    <w:rsid w:val="00840BA2"/>
    <w:rsid w:val="00840BBA"/>
    <w:rsid w:val="00840C1A"/>
    <w:rsid w:val="00840C20"/>
    <w:rsid w:val="00840C66"/>
    <w:rsid w:val="00840D57"/>
    <w:rsid w:val="00840DDD"/>
    <w:rsid w:val="00840DFA"/>
    <w:rsid w:val="00840E2B"/>
    <w:rsid w:val="00840E4B"/>
    <w:rsid w:val="00840E61"/>
    <w:rsid w:val="00840E7A"/>
    <w:rsid w:val="00840EB6"/>
    <w:rsid w:val="00840EDE"/>
    <w:rsid w:val="00840F14"/>
    <w:rsid w:val="00840F9B"/>
    <w:rsid w:val="00840FE6"/>
    <w:rsid w:val="00841040"/>
    <w:rsid w:val="00841054"/>
    <w:rsid w:val="008410C3"/>
    <w:rsid w:val="008410F0"/>
    <w:rsid w:val="008410F5"/>
    <w:rsid w:val="0084123A"/>
    <w:rsid w:val="00841295"/>
    <w:rsid w:val="0084129B"/>
    <w:rsid w:val="008412AD"/>
    <w:rsid w:val="008412E7"/>
    <w:rsid w:val="00841356"/>
    <w:rsid w:val="0084135B"/>
    <w:rsid w:val="0084139D"/>
    <w:rsid w:val="008413D6"/>
    <w:rsid w:val="00841404"/>
    <w:rsid w:val="00841441"/>
    <w:rsid w:val="008414B4"/>
    <w:rsid w:val="008414C2"/>
    <w:rsid w:val="00841520"/>
    <w:rsid w:val="00841539"/>
    <w:rsid w:val="00841646"/>
    <w:rsid w:val="00841655"/>
    <w:rsid w:val="0084168B"/>
    <w:rsid w:val="008416D0"/>
    <w:rsid w:val="008416D4"/>
    <w:rsid w:val="008416FC"/>
    <w:rsid w:val="00841776"/>
    <w:rsid w:val="0084179A"/>
    <w:rsid w:val="008417F0"/>
    <w:rsid w:val="0084180B"/>
    <w:rsid w:val="00841826"/>
    <w:rsid w:val="00841830"/>
    <w:rsid w:val="00841881"/>
    <w:rsid w:val="008418F3"/>
    <w:rsid w:val="00841909"/>
    <w:rsid w:val="0084192B"/>
    <w:rsid w:val="0084192F"/>
    <w:rsid w:val="0084196E"/>
    <w:rsid w:val="00841A03"/>
    <w:rsid w:val="00841A49"/>
    <w:rsid w:val="00841ABB"/>
    <w:rsid w:val="00841AE2"/>
    <w:rsid w:val="00841B04"/>
    <w:rsid w:val="00841B39"/>
    <w:rsid w:val="00841B96"/>
    <w:rsid w:val="00841BAC"/>
    <w:rsid w:val="00841BF6"/>
    <w:rsid w:val="00841C20"/>
    <w:rsid w:val="00841C34"/>
    <w:rsid w:val="00841C86"/>
    <w:rsid w:val="00841D08"/>
    <w:rsid w:val="00841D28"/>
    <w:rsid w:val="00841D47"/>
    <w:rsid w:val="00841DCF"/>
    <w:rsid w:val="00841DFB"/>
    <w:rsid w:val="00841E35"/>
    <w:rsid w:val="00841E64"/>
    <w:rsid w:val="00841E99"/>
    <w:rsid w:val="00841EDE"/>
    <w:rsid w:val="00841EF3"/>
    <w:rsid w:val="00841F77"/>
    <w:rsid w:val="00841FEB"/>
    <w:rsid w:val="0084202C"/>
    <w:rsid w:val="00842036"/>
    <w:rsid w:val="00842096"/>
    <w:rsid w:val="008421D2"/>
    <w:rsid w:val="008422C6"/>
    <w:rsid w:val="0084232C"/>
    <w:rsid w:val="00842375"/>
    <w:rsid w:val="00842399"/>
    <w:rsid w:val="0084242C"/>
    <w:rsid w:val="0084243F"/>
    <w:rsid w:val="008424A4"/>
    <w:rsid w:val="00842547"/>
    <w:rsid w:val="00842560"/>
    <w:rsid w:val="0084256C"/>
    <w:rsid w:val="008425B8"/>
    <w:rsid w:val="0084260A"/>
    <w:rsid w:val="0084263E"/>
    <w:rsid w:val="0084266C"/>
    <w:rsid w:val="00842673"/>
    <w:rsid w:val="008426F7"/>
    <w:rsid w:val="00842703"/>
    <w:rsid w:val="00842752"/>
    <w:rsid w:val="00842763"/>
    <w:rsid w:val="008427F1"/>
    <w:rsid w:val="008427FE"/>
    <w:rsid w:val="00842803"/>
    <w:rsid w:val="00842869"/>
    <w:rsid w:val="008428BC"/>
    <w:rsid w:val="008428BE"/>
    <w:rsid w:val="008428CA"/>
    <w:rsid w:val="008428F1"/>
    <w:rsid w:val="008429A5"/>
    <w:rsid w:val="008429AE"/>
    <w:rsid w:val="008429C6"/>
    <w:rsid w:val="008429DF"/>
    <w:rsid w:val="008429F0"/>
    <w:rsid w:val="00842A0B"/>
    <w:rsid w:val="00842A25"/>
    <w:rsid w:val="00842A29"/>
    <w:rsid w:val="00842A8D"/>
    <w:rsid w:val="00842A8F"/>
    <w:rsid w:val="00842AA7"/>
    <w:rsid w:val="00842AA9"/>
    <w:rsid w:val="00842B6C"/>
    <w:rsid w:val="00842B74"/>
    <w:rsid w:val="00842B99"/>
    <w:rsid w:val="00842BC7"/>
    <w:rsid w:val="00842BCB"/>
    <w:rsid w:val="00842BCE"/>
    <w:rsid w:val="00842C36"/>
    <w:rsid w:val="00842C5A"/>
    <w:rsid w:val="00842C5C"/>
    <w:rsid w:val="00842D08"/>
    <w:rsid w:val="00842D31"/>
    <w:rsid w:val="00842D4B"/>
    <w:rsid w:val="00842D91"/>
    <w:rsid w:val="00842DA2"/>
    <w:rsid w:val="00842E75"/>
    <w:rsid w:val="00842ED5"/>
    <w:rsid w:val="00842EE9"/>
    <w:rsid w:val="00842EFE"/>
    <w:rsid w:val="00842F0A"/>
    <w:rsid w:val="00842F37"/>
    <w:rsid w:val="00842FD4"/>
    <w:rsid w:val="00842FE9"/>
    <w:rsid w:val="00843024"/>
    <w:rsid w:val="0084302D"/>
    <w:rsid w:val="008430CA"/>
    <w:rsid w:val="0084310E"/>
    <w:rsid w:val="00843115"/>
    <w:rsid w:val="00843156"/>
    <w:rsid w:val="00843190"/>
    <w:rsid w:val="0084321B"/>
    <w:rsid w:val="0084322A"/>
    <w:rsid w:val="00843281"/>
    <w:rsid w:val="0084328C"/>
    <w:rsid w:val="008433D5"/>
    <w:rsid w:val="008433E4"/>
    <w:rsid w:val="00843455"/>
    <w:rsid w:val="008434FA"/>
    <w:rsid w:val="0084353B"/>
    <w:rsid w:val="00843569"/>
    <w:rsid w:val="00843662"/>
    <w:rsid w:val="0084366A"/>
    <w:rsid w:val="00843686"/>
    <w:rsid w:val="0084369E"/>
    <w:rsid w:val="00843737"/>
    <w:rsid w:val="00843760"/>
    <w:rsid w:val="00843771"/>
    <w:rsid w:val="00843777"/>
    <w:rsid w:val="0084379A"/>
    <w:rsid w:val="0084379F"/>
    <w:rsid w:val="008437CD"/>
    <w:rsid w:val="008437F2"/>
    <w:rsid w:val="0084381D"/>
    <w:rsid w:val="00843859"/>
    <w:rsid w:val="0084385C"/>
    <w:rsid w:val="00843869"/>
    <w:rsid w:val="008438F6"/>
    <w:rsid w:val="0084393B"/>
    <w:rsid w:val="008439CD"/>
    <w:rsid w:val="00843A34"/>
    <w:rsid w:val="00843ABE"/>
    <w:rsid w:val="00843AC1"/>
    <w:rsid w:val="00843B1D"/>
    <w:rsid w:val="00843B2B"/>
    <w:rsid w:val="00843B39"/>
    <w:rsid w:val="00843B3F"/>
    <w:rsid w:val="00843B43"/>
    <w:rsid w:val="00843BE8"/>
    <w:rsid w:val="00843CDB"/>
    <w:rsid w:val="00843D09"/>
    <w:rsid w:val="00843D15"/>
    <w:rsid w:val="00843D6A"/>
    <w:rsid w:val="00843D6B"/>
    <w:rsid w:val="00843DA6"/>
    <w:rsid w:val="00843DCE"/>
    <w:rsid w:val="00843E1D"/>
    <w:rsid w:val="00843E26"/>
    <w:rsid w:val="00843E9E"/>
    <w:rsid w:val="00843F3C"/>
    <w:rsid w:val="00843F64"/>
    <w:rsid w:val="00843F96"/>
    <w:rsid w:val="00843FCA"/>
    <w:rsid w:val="0084400E"/>
    <w:rsid w:val="00844073"/>
    <w:rsid w:val="00844085"/>
    <w:rsid w:val="008440B8"/>
    <w:rsid w:val="00844104"/>
    <w:rsid w:val="0084414D"/>
    <w:rsid w:val="00844152"/>
    <w:rsid w:val="008441A2"/>
    <w:rsid w:val="008441DF"/>
    <w:rsid w:val="0084421B"/>
    <w:rsid w:val="0084424C"/>
    <w:rsid w:val="00844255"/>
    <w:rsid w:val="00844296"/>
    <w:rsid w:val="008442BB"/>
    <w:rsid w:val="00844346"/>
    <w:rsid w:val="0084434C"/>
    <w:rsid w:val="0084434D"/>
    <w:rsid w:val="0084435F"/>
    <w:rsid w:val="008443A0"/>
    <w:rsid w:val="008443B4"/>
    <w:rsid w:val="008443D7"/>
    <w:rsid w:val="00844419"/>
    <w:rsid w:val="0084441A"/>
    <w:rsid w:val="0084444A"/>
    <w:rsid w:val="008444A4"/>
    <w:rsid w:val="00844506"/>
    <w:rsid w:val="00844585"/>
    <w:rsid w:val="0084460E"/>
    <w:rsid w:val="0084466D"/>
    <w:rsid w:val="00844721"/>
    <w:rsid w:val="00844757"/>
    <w:rsid w:val="00844788"/>
    <w:rsid w:val="008447A5"/>
    <w:rsid w:val="008447D6"/>
    <w:rsid w:val="00844803"/>
    <w:rsid w:val="00844830"/>
    <w:rsid w:val="0084488E"/>
    <w:rsid w:val="008448A5"/>
    <w:rsid w:val="008448A9"/>
    <w:rsid w:val="00844951"/>
    <w:rsid w:val="0084497A"/>
    <w:rsid w:val="0084498F"/>
    <w:rsid w:val="00844991"/>
    <w:rsid w:val="008449B8"/>
    <w:rsid w:val="00844A0E"/>
    <w:rsid w:val="00844A68"/>
    <w:rsid w:val="00844A99"/>
    <w:rsid w:val="00844AA7"/>
    <w:rsid w:val="00844AB8"/>
    <w:rsid w:val="00844ADD"/>
    <w:rsid w:val="00844AE3"/>
    <w:rsid w:val="00844B9E"/>
    <w:rsid w:val="00844C03"/>
    <w:rsid w:val="00844C79"/>
    <w:rsid w:val="00844CDE"/>
    <w:rsid w:val="00844CF5"/>
    <w:rsid w:val="00844D01"/>
    <w:rsid w:val="00844D9D"/>
    <w:rsid w:val="00844DDB"/>
    <w:rsid w:val="00844E1D"/>
    <w:rsid w:val="00844EBD"/>
    <w:rsid w:val="00844EFF"/>
    <w:rsid w:val="00844F08"/>
    <w:rsid w:val="00844F10"/>
    <w:rsid w:val="00844F47"/>
    <w:rsid w:val="00844FA7"/>
    <w:rsid w:val="00844FE5"/>
    <w:rsid w:val="00845022"/>
    <w:rsid w:val="0084507B"/>
    <w:rsid w:val="0084514F"/>
    <w:rsid w:val="00845152"/>
    <w:rsid w:val="00845199"/>
    <w:rsid w:val="008451D7"/>
    <w:rsid w:val="0084523E"/>
    <w:rsid w:val="0084523F"/>
    <w:rsid w:val="00845267"/>
    <w:rsid w:val="00845278"/>
    <w:rsid w:val="00845317"/>
    <w:rsid w:val="00845320"/>
    <w:rsid w:val="00845366"/>
    <w:rsid w:val="0084537D"/>
    <w:rsid w:val="0084541E"/>
    <w:rsid w:val="0084543C"/>
    <w:rsid w:val="0084544A"/>
    <w:rsid w:val="008454D2"/>
    <w:rsid w:val="008454F9"/>
    <w:rsid w:val="008454FE"/>
    <w:rsid w:val="008455B2"/>
    <w:rsid w:val="008455EA"/>
    <w:rsid w:val="008455F7"/>
    <w:rsid w:val="0084562B"/>
    <w:rsid w:val="0084563C"/>
    <w:rsid w:val="0084564F"/>
    <w:rsid w:val="0084566A"/>
    <w:rsid w:val="008456AA"/>
    <w:rsid w:val="008456BE"/>
    <w:rsid w:val="0084571C"/>
    <w:rsid w:val="0084573B"/>
    <w:rsid w:val="008457F3"/>
    <w:rsid w:val="0084580A"/>
    <w:rsid w:val="00845825"/>
    <w:rsid w:val="0084582B"/>
    <w:rsid w:val="00845839"/>
    <w:rsid w:val="00845884"/>
    <w:rsid w:val="00845890"/>
    <w:rsid w:val="008458F0"/>
    <w:rsid w:val="00845953"/>
    <w:rsid w:val="008459F5"/>
    <w:rsid w:val="008459F7"/>
    <w:rsid w:val="00845A2C"/>
    <w:rsid w:val="00845A71"/>
    <w:rsid w:val="00845A83"/>
    <w:rsid w:val="00845A93"/>
    <w:rsid w:val="00845AB4"/>
    <w:rsid w:val="00845ACC"/>
    <w:rsid w:val="00845ADE"/>
    <w:rsid w:val="00845AE3"/>
    <w:rsid w:val="00845AE6"/>
    <w:rsid w:val="00845B42"/>
    <w:rsid w:val="00845B72"/>
    <w:rsid w:val="00845BD1"/>
    <w:rsid w:val="00845BF1"/>
    <w:rsid w:val="00845C16"/>
    <w:rsid w:val="00845C20"/>
    <w:rsid w:val="00845C9D"/>
    <w:rsid w:val="00845D08"/>
    <w:rsid w:val="00845D2D"/>
    <w:rsid w:val="00845D87"/>
    <w:rsid w:val="00845D93"/>
    <w:rsid w:val="00845DA0"/>
    <w:rsid w:val="00845DA6"/>
    <w:rsid w:val="00845E75"/>
    <w:rsid w:val="00845EF5"/>
    <w:rsid w:val="00845F47"/>
    <w:rsid w:val="00845F7D"/>
    <w:rsid w:val="00845FB7"/>
    <w:rsid w:val="00845FE9"/>
    <w:rsid w:val="00846030"/>
    <w:rsid w:val="0084608A"/>
    <w:rsid w:val="008460B0"/>
    <w:rsid w:val="0084615D"/>
    <w:rsid w:val="00846218"/>
    <w:rsid w:val="00846220"/>
    <w:rsid w:val="00846270"/>
    <w:rsid w:val="00846274"/>
    <w:rsid w:val="00846371"/>
    <w:rsid w:val="00846478"/>
    <w:rsid w:val="008464B2"/>
    <w:rsid w:val="008464CF"/>
    <w:rsid w:val="00846500"/>
    <w:rsid w:val="0084652B"/>
    <w:rsid w:val="00846565"/>
    <w:rsid w:val="0084659D"/>
    <w:rsid w:val="008465B6"/>
    <w:rsid w:val="0084660E"/>
    <w:rsid w:val="00846650"/>
    <w:rsid w:val="00846667"/>
    <w:rsid w:val="00846675"/>
    <w:rsid w:val="00846691"/>
    <w:rsid w:val="008466D9"/>
    <w:rsid w:val="00846725"/>
    <w:rsid w:val="0084672E"/>
    <w:rsid w:val="00846755"/>
    <w:rsid w:val="00846782"/>
    <w:rsid w:val="008467A4"/>
    <w:rsid w:val="008467A6"/>
    <w:rsid w:val="008467DF"/>
    <w:rsid w:val="00846889"/>
    <w:rsid w:val="00846907"/>
    <w:rsid w:val="00846908"/>
    <w:rsid w:val="0084692A"/>
    <w:rsid w:val="0084693E"/>
    <w:rsid w:val="008469A9"/>
    <w:rsid w:val="008469E1"/>
    <w:rsid w:val="00846A24"/>
    <w:rsid w:val="00846AA4"/>
    <w:rsid w:val="00846AC9"/>
    <w:rsid w:val="00846AE1"/>
    <w:rsid w:val="00846B47"/>
    <w:rsid w:val="00846BC4"/>
    <w:rsid w:val="00846BF5"/>
    <w:rsid w:val="00846C1D"/>
    <w:rsid w:val="00846C3E"/>
    <w:rsid w:val="00846CCE"/>
    <w:rsid w:val="00846CDB"/>
    <w:rsid w:val="00846DE3"/>
    <w:rsid w:val="00846DE5"/>
    <w:rsid w:val="00846DEB"/>
    <w:rsid w:val="00846E67"/>
    <w:rsid w:val="00846EC3"/>
    <w:rsid w:val="00846F22"/>
    <w:rsid w:val="00846F26"/>
    <w:rsid w:val="00846FBD"/>
    <w:rsid w:val="00847009"/>
    <w:rsid w:val="00847011"/>
    <w:rsid w:val="008470D2"/>
    <w:rsid w:val="008470D3"/>
    <w:rsid w:val="0084711C"/>
    <w:rsid w:val="00847121"/>
    <w:rsid w:val="00847129"/>
    <w:rsid w:val="00847134"/>
    <w:rsid w:val="00847158"/>
    <w:rsid w:val="0084716D"/>
    <w:rsid w:val="00847171"/>
    <w:rsid w:val="00847178"/>
    <w:rsid w:val="008471A9"/>
    <w:rsid w:val="0084722F"/>
    <w:rsid w:val="008473B7"/>
    <w:rsid w:val="008473CC"/>
    <w:rsid w:val="00847497"/>
    <w:rsid w:val="008474A1"/>
    <w:rsid w:val="008474B1"/>
    <w:rsid w:val="00847531"/>
    <w:rsid w:val="00847550"/>
    <w:rsid w:val="0084759F"/>
    <w:rsid w:val="008475B7"/>
    <w:rsid w:val="008475C1"/>
    <w:rsid w:val="008475C9"/>
    <w:rsid w:val="008475CD"/>
    <w:rsid w:val="008475EE"/>
    <w:rsid w:val="00847624"/>
    <w:rsid w:val="00847629"/>
    <w:rsid w:val="0084767A"/>
    <w:rsid w:val="00847695"/>
    <w:rsid w:val="008476B3"/>
    <w:rsid w:val="008476B5"/>
    <w:rsid w:val="008476E0"/>
    <w:rsid w:val="008476E2"/>
    <w:rsid w:val="00847785"/>
    <w:rsid w:val="008477BC"/>
    <w:rsid w:val="008477F0"/>
    <w:rsid w:val="00847809"/>
    <w:rsid w:val="0084783D"/>
    <w:rsid w:val="0084788A"/>
    <w:rsid w:val="00847925"/>
    <w:rsid w:val="00847933"/>
    <w:rsid w:val="008479DE"/>
    <w:rsid w:val="008479F8"/>
    <w:rsid w:val="00847A52"/>
    <w:rsid w:val="00847AC4"/>
    <w:rsid w:val="00847AD2"/>
    <w:rsid w:val="00847AD4"/>
    <w:rsid w:val="00847B46"/>
    <w:rsid w:val="00847B52"/>
    <w:rsid w:val="00847B79"/>
    <w:rsid w:val="00847BCE"/>
    <w:rsid w:val="00847BDE"/>
    <w:rsid w:val="00847C39"/>
    <w:rsid w:val="00847C68"/>
    <w:rsid w:val="00847C8D"/>
    <w:rsid w:val="00847CB6"/>
    <w:rsid w:val="00847D31"/>
    <w:rsid w:val="00847DB5"/>
    <w:rsid w:val="00847E3A"/>
    <w:rsid w:val="00847E9D"/>
    <w:rsid w:val="00847EAA"/>
    <w:rsid w:val="00847F29"/>
    <w:rsid w:val="00847F33"/>
    <w:rsid w:val="00847F38"/>
    <w:rsid w:val="00847F5D"/>
    <w:rsid w:val="00847F6B"/>
    <w:rsid w:val="00847FDB"/>
    <w:rsid w:val="00850029"/>
    <w:rsid w:val="00850045"/>
    <w:rsid w:val="0085007F"/>
    <w:rsid w:val="008500A1"/>
    <w:rsid w:val="008500B6"/>
    <w:rsid w:val="00850130"/>
    <w:rsid w:val="008501EB"/>
    <w:rsid w:val="00850288"/>
    <w:rsid w:val="008502F6"/>
    <w:rsid w:val="008503AB"/>
    <w:rsid w:val="0085042B"/>
    <w:rsid w:val="0085048C"/>
    <w:rsid w:val="008504BF"/>
    <w:rsid w:val="008504C4"/>
    <w:rsid w:val="008504D7"/>
    <w:rsid w:val="008505DD"/>
    <w:rsid w:val="00850648"/>
    <w:rsid w:val="00850761"/>
    <w:rsid w:val="00850775"/>
    <w:rsid w:val="00850782"/>
    <w:rsid w:val="00850788"/>
    <w:rsid w:val="008507BA"/>
    <w:rsid w:val="00850811"/>
    <w:rsid w:val="00850819"/>
    <w:rsid w:val="0085086F"/>
    <w:rsid w:val="00850880"/>
    <w:rsid w:val="008508AE"/>
    <w:rsid w:val="008508FA"/>
    <w:rsid w:val="0085090B"/>
    <w:rsid w:val="00850931"/>
    <w:rsid w:val="00850940"/>
    <w:rsid w:val="00850954"/>
    <w:rsid w:val="00850960"/>
    <w:rsid w:val="00850965"/>
    <w:rsid w:val="00850AEF"/>
    <w:rsid w:val="00850BBC"/>
    <w:rsid w:val="00850C3A"/>
    <w:rsid w:val="00850CA4"/>
    <w:rsid w:val="00850CB9"/>
    <w:rsid w:val="00850CD6"/>
    <w:rsid w:val="00850CE9"/>
    <w:rsid w:val="00850DAB"/>
    <w:rsid w:val="00850DC3"/>
    <w:rsid w:val="00850E11"/>
    <w:rsid w:val="00850E55"/>
    <w:rsid w:val="00850E76"/>
    <w:rsid w:val="00850E83"/>
    <w:rsid w:val="00850F59"/>
    <w:rsid w:val="00850F70"/>
    <w:rsid w:val="0085102B"/>
    <w:rsid w:val="00851057"/>
    <w:rsid w:val="0085110C"/>
    <w:rsid w:val="0085114E"/>
    <w:rsid w:val="00851161"/>
    <w:rsid w:val="008511DE"/>
    <w:rsid w:val="0085129A"/>
    <w:rsid w:val="008512A3"/>
    <w:rsid w:val="008512B2"/>
    <w:rsid w:val="008512C1"/>
    <w:rsid w:val="008512CC"/>
    <w:rsid w:val="0085131F"/>
    <w:rsid w:val="0085132B"/>
    <w:rsid w:val="0085132D"/>
    <w:rsid w:val="0085132E"/>
    <w:rsid w:val="0085133B"/>
    <w:rsid w:val="00851394"/>
    <w:rsid w:val="0085139A"/>
    <w:rsid w:val="008513CB"/>
    <w:rsid w:val="008513F0"/>
    <w:rsid w:val="008513FF"/>
    <w:rsid w:val="0085148E"/>
    <w:rsid w:val="00851499"/>
    <w:rsid w:val="008514F7"/>
    <w:rsid w:val="0085150F"/>
    <w:rsid w:val="00851553"/>
    <w:rsid w:val="00851618"/>
    <w:rsid w:val="008516E1"/>
    <w:rsid w:val="00851770"/>
    <w:rsid w:val="008517F7"/>
    <w:rsid w:val="00851810"/>
    <w:rsid w:val="0085181E"/>
    <w:rsid w:val="0085182E"/>
    <w:rsid w:val="0085184D"/>
    <w:rsid w:val="00851875"/>
    <w:rsid w:val="00851896"/>
    <w:rsid w:val="008518B6"/>
    <w:rsid w:val="008518E7"/>
    <w:rsid w:val="0085190E"/>
    <w:rsid w:val="0085197C"/>
    <w:rsid w:val="008519C2"/>
    <w:rsid w:val="008519E0"/>
    <w:rsid w:val="008519E1"/>
    <w:rsid w:val="00851A2F"/>
    <w:rsid w:val="00851A59"/>
    <w:rsid w:val="00851A91"/>
    <w:rsid w:val="00851AAC"/>
    <w:rsid w:val="00851AB1"/>
    <w:rsid w:val="00851AF8"/>
    <w:rsid w:val="00851B62"/>
    <w:rsid w:val="00851BFF"/>
    <w:rsid w:val="00851C43"/>
    <w:rsid w:val="00851C84"/>
    <w:rsid w:val="00851CA6"/>
    <w:rsid w:val="00851CF3"/>
    <w:rsid w:val="00851DB7"/>
    <w:rsid w:val="00851DCC"/>
    <w:rsid w:val="00851DD5"/>
    <w:rsid w:val="00851DE6"/>
    <w:rsid w:val="00851DFA"/>
    <w:rsid w:val="00851EA4"/>
    <w:rsid w:val="00851ECE"/>
    <w:rsid w:val="00851F04"/>
    <w:rsid w:val="00851FA7"/>
    <w:rsid w:val="00851FC6"/>
    <w:rsid w:val="00851FDC"/>
    <w:rsid w:val="00851FE4"/>
    <w:rsid w:val="0085202E"/>
    <w:rsid w:val="0085202F"/>
    <w:rsid w:val="00852082"/>
    <w:rsid w:val="008520ED"/>
    <w:rsid w:val="00852102"/>
    <w:rsid w:val="00852128"/>
    <w:rsid w:val="00852196"/>
    <w:rsid w:val="0085219A"/>
    <w:rsid w:val="00852240"/>
    <w:rsid w:val="00852288"/>
    <w:rsid w:val="00852293"/>
    <w:rsid w:val="00852328"/>
    <w:rsid w:val="00852342"/>
    <w:rsid w:val="0085236D"/>
    <w:rsid w:val="008523F8"/>
    <w:rsid w:val="00852433"/>
    <w:rsid w:val="00852449"/>
    <w:rsid w:val="0085247E"/>
    <w:rsid w:val="00852495"/>
    <w:rsid w:val="008524B5"/>
    <w:rsid w:val="008524D1"/>
    <w:rsid w:val="00852507"/>
    <w:rsid w:val="008525C7"/>
    <w:rsid w:val="00852648"/>
    <w:rsid w:val="00852669"/>
    <w:rsid w:val="00852698"/>
    <w:rsid w:val="008526C4"/>
    <w:rsid w:val="008526DD"/>
    <w:rsid w:val="00852770"/>
    <w:rsid w:val="0085278D"/>
    <w:rsid w:val="008527BC"/>
    <w:rsid w:val="008527C2"/>
    <w:rsid w:val="00852804"/>
    <w:rsid w:val="0085280D"/>
    <w:rsid w:val="008528CA"/>
    <w:rsid w:val="008528DA"/>
    <w:rsid w:val="00852921"/>
    <w:rsid w:val="00852931"/>
    <w:rsid w:val="0085293F"/>
    <w:rsid w:val="008529BF"/>
    <w:rsid w:val="008529CE"/>
    <w:rsid w:val="00852A58"/>
    <w:rsid w:val="00852A61"/>
    <w:rsid w:val="00852A69"/>
    <w:rsid w:val="00852B92"/>
    <w:rsid w:val="00852BAF"/>
    <w:rsid w:val="00852BD1"/>
    <w:rsid w:val="00852C82"/>
    <w:rsid w:val="00852CB7"/>
    <w:rsid w:val="00852CC8"/>
    <w:rsid w:val="00852D01"/>
    <w:rsid w:val="00852D03"/>
    <w:rsid w:val="00852D1B"/>
    <w:rsid w:val="00852DB1"/>
    <w:rsid w:val="00852E00"/>
    <w:rsid w:val="00852E7C"/>
    <w:rsid w:val="00852E83"/>
    <w:rsid w:val="00852EA9"/>
    <w:rsid w:val="00852EF0"/>
    <w:rsid w:val="00852EFB"/>
    <w:rsid w:val="00852F56"/>
    <w:rsid w:val="00852F5F"/>
    <w:rsid w:val="00852F8C"/>
    <w:rsid w:val="00852FC8"/>
    <w:rsid w:val="00853034"/>
    <w:rsid w:val="0085303E"/>
    <w:rsid w:val="0085304D"/>
    <w:rsid w:val="008530E8"/>
    <w:rsid w:val="008530E9"/>
    <w:rsid w:val="00853128"/>
    <w:rsid w:val="00853138"/>
    <w:rsid w:val="00853175"/>
    <w:rsid w:val="00853181"/>
    <w:rsid w:val="00853204"/>
    <w:rsid w:val="00853206"/>
    <w:rsid w:val="00853231"/>
    <w:rsid w:val="00853234"/>
    <w:rsid w:val="00853261"/>
    <w:rsid w:val="008532B1"/>
    <w:rsid w:val="008532BE"/>
    <w:rsid w:val="008532ED"/>
    <w:rsid w:val="008532F5"/>
    <w:rsid w:val="008533D1"/>
    <w:rsid w:val="008533E7"/>
    <w:rsid w:val="00853466"/>
    <w:rsid w:val="00853520"/>
    <w:rsid w:val="0085352E"/>
    <w:rsid w:val="00853573"/>
    <w:rsid w:val="0085359E"/>
    <w:rsid w:val="00853615"/>
    <w:rsid w:val="00853631"/>
    <w:rsid w:val="00853666"/>
    <w:rsid w:val="0085369C"/>
    <w:rsid w:val="008536B5"/>
    <w:rsid w:val="008536BB"/>
    <w:rsid w:val="0085372F"/>
    <w:rsid w:val="008537B9"/>
    <w:rsid w:val="008537C2"/>
    <w:rsid w:val="008537D5"/>
    <w:rsid w:val="008537DD"/>
    <w:rsid w:val="00853888"/>
    <w:rsid w:val="008538BC"/>
    <w:rsid w:val="008538FB"/>
    <w:rsid w:val="00853905"/>
    <w:rsid w:val="00853910"/>
    <w:rsid w:val="0085396D"/>
    <w:rsid w:val="008539A4"/>
    <w:rsid w:val="00853A27"/>
    <w:rsid w:val="00853A92"/>
    <w:rsid w:val="00853AB3"/>
    <w:rsid w:val="00853AC1"/>
    <w:rsid w:val="00853B3A"/>
    <w:rsid w:val="00853B3D"/>
    <w:rsid w:val="00853B4C"/>
    <w:rsid w:val="00853B84"/>
    <w:rsid w:val="00853B99"/>
    <w:rsid w:val="00853BB8"/>
    <w:rsid w:val="00853CE3"/>
    <w:rsid w:val="00853D27"/>
    <w:rsid w:val="00853E73"/>
    <w:rsid w:val="00853E88"/>
    <w:rsid w:val="00853F74"/>
    <w:rsid w:val="00853F79"/>
    <w:rsid w:val="00853FA3"/>
    <w:rsid w:val="00853FF7"/>
    <w:rsid w:val="0085404B"/>
    <w:rsid w:val="00854085"/>
    <w:rsid w:val="008540AB"/>
    <w:rsid w:val="008540C5"/>
    <w:rsid w:val="008540D5"/>
    <w:rsid w:val="00854100"/>
    <w:rsid w:val="0085412A"/>
    <w:rsid w:val="00854150"/>
    <w:rsid w:val="00854225"/>
    <w:rsid w:val="00854282"/>
    <w:rsid w:val="00854298"/>
    <w:rsid w:val="008542A2"/>
    <w:rsid w:val="00854301"/>
    <w:rsid w:val="00854323"/>
    <w:rsid w:val="0085436A"/>
    <w:rsid w:val="0085439F"/>
    <w:rsid w:val="008543AB"/>
    <w:rsid w:val="008543F2"/>
    <w:rsid w:val="00854453"/>
    <w:rsid w:val="00854572"/>
    <w:rsid w:val="008545A0"/>
    <w:rsid w:val="008545C3"/>
    <w:rsid w:val="008545D0"/>
    <w:rsid w:val="00854686"/>
    <w:rsid w:val="008546BB"/>
    <w:rsid w:val="0085473B"/>
    <w:rsid w:val="00854781"/>
    <w:rsid w:val="0085478E"/>
    <w:rsid w:val="008547EF"/>
    <w:rsid w:val="00854809"/>
    <w:rsid w:val="00854819"/>
    <w:rsid w:val="00854841"/>
    <w:rsid w:val="008548B9"/>
    <w:rsid w:val="008548E8"/>
    <w:rsid w:val="008548FD"/>
    <w:rsid w:val="008549D6"/>
    <w:rsid w:val="00854B19"/>
    <w:rsid w:val="00854B29"/>
    <w:rsid w:val="00854B4E"/>
    <w:rsid w:val="00854B77"/>
    <w:rsid w:val="00854B9B"/>
    <w:rsid w:val="00854BC0"/>
    <w:rsid w:val="00854C40"/>
    <w:rsid w:val="00854C49"/>
    <w:rsid w:val="00854C66"/>
    <w:rsid w:val="00854CD2"/>
    <w:rsid w:val="00854CEB"/>
    <w:rsid w:val="00854D11"/>
    <w:rsid w:val="00854D29"/>
    <w:rsid w:val="00854D83"/>
    <w:rsid w:val="00854E0E"/>
    <w:rsid w:val="00854E21"/>
    <w:rsid w:val="00854E8D"/>
    <w:rsid w:val="00854EBC"/>
    <w:rsid w:val="00854F9F"/>
    <w:rsid w:val="00854FBD"/>
    <w:rsid w:val="00854FC9"/>
    <w:rsid w:val="0085502A"/>
    <w:rsid w:val="00855036"/>
    <w:rsid w:val="0085506E"/>
    <w:rsid w:val="008550F0"/>
    <w:rsid w:val="00855142"/>
    <w:rsid w:val="00855153"/>
    <w:rsid w:val="00855166"/>
    <w:rsid w:val="008551AD"/>
    <w:rsid w:val="00855204"/>
    <w:rsid w:val="0085521E"/>
    <w:rsid w:val="00855236"/>
    <w:rsid w:val="0085524A"/>
    <w:rsid w:val="0085524E"/>
    <w:rsid w:val="0085531D"/>
    <w:rsid w:val="00855331"/>
    <w:rsid w:val="0085538E"/>
    <w:rsid w:val="008553BA"/>
    <w:rsid w:val="008553BE"/>
    <w:rsid w:val="0085548E"/>
    <w:rsid w:val="008554B8"/>
    <w:rsid w:val="008554C5"/>
    <w:rsid w:val="00855515"/>
    <w:rsid w:val="00855528"/>
    <w:rsid w:val="008555F3"/>
    <w:rsid w:val="00855608"/>
    <w:rsid w:val="00855683"/>
    <w:rsid w:val="00855698"/>
    <w:rsid w:val="0085569F"/>
    <w:rsid w:val="008556C6"/>
    <w:rsid w:val="00855718"/>
    <w:rsid w:val="0085574E"/>
    <w:rsid w:val="00855773"/>
    <w:rsid w:val="0085578A"/>
    <w:rsid w:val="0085578C"/>
    <w:rsid w:val="00855812"/>
    <w:rsid w:val="00855825"/>
    <w:rsid w:val="008558BF"/>
    <w:rsid w:val="008558C1"/>
    <w:rsid w:val="00855949"/>
    <w:rsid w:val="008559D5"/>
    <w:rsid w:val="00855A40"/>
    <w:rsid w:val="00855A53"/>
    <w:rsid w:val="00855A83"/>
    <w:rsid w:val="00855A92"/>
    <w:rsid w:val="00855AAF"/>
    <w:rsid w:val="00855AE6"/>
    <w:rsid w:val="00855B03"/>
    <w:rsid w:val="00855B72"/>
    <w:rsid w:val="00855BA5"/>
    <w:rsid w:val="00855BD9"/>
    <w:rsid w:val="00855BEC"/>
    <w:rsid w:val="00855C2A"/>
    <w:rsid w:val="00855C63"/>
    <w:rsid w:val="00855CF1"/>
    <w:rsid w:val="00855D55"/>
    <w:rsid w:val="00855DBA"/>
    <w:rsid w:val="00855DC5"/>
    <w:rsid w:val="00855E4E"/>
    <w:rsid w:val="00855E88"/>
    <w:rsid w:val="00855EA3"/>
    <w:rsid w:val="00855F26"/>
    <w:rsid w:val="00855F80"/>
    <w:rsid w:val="00855F81"/>
    <w:rsid w:val="00855FA5"/>
    <w:rsid w:val="00855FAC"/>
    <w:rsid w:val="00855FFF"/>
    <w:rsid w:val="008560AC"/>
    <w:rsid w:val="008561AE"/>
    <w:rsid w:val="00856258"/>
    <w:rsid w:val="008562BD"/>
    <w:rsid w:val="008562FA"/>
    <w:rsid w:val="00856322"/>
    <w:rsid w:val="008563CB"/>
    <w:rsid w:val="008564DA"/>
    <w:rsid w:val="00856536"/>
    <w:rsid w:val="00856539"/>
    <w:rsid w:val="0085654C"/>
    <w:rsid w:val="008565A8"/>
    <w:rsid w:val="0085664F"/>
    <w:rsid w:val="008566BA"/>
    <w:rsid w:val="008566C0"/>
    <w:rsid w:val="008566DD"/>
    <w:rsid w:val="00856733"/>
    <w:rsid w:val="00856750"/>
    <w:rsid w:val="0085678D"/>
    <w:rsid w:val="008567A2"/>
    <w:rsid w:val="00856817"/>
    <w:rsid w:val="0085681C"/>
    <w:rsid w:val="00856847"/>
    <w:rsid w:val="00856870"/>
    <w:rsid w:val="008568EF"/>
    <w:rsid w:val="0085692E"/>
    <w:rsid w:val="00856998"/>
    <w:rsid w:val="008569B8"/>
    <w:rsid w:val="008569D2"/>
    <w:rsid w:val="00856ACA"/>
    <w:rsid w:val="00856AF4"/>
    <w:rsid w:val="00856B02"/>
    <w:rsid w:val="00856B3C"/>
    <w:rsid w:val="00856BFB"/>
    <w:rsid w:val="00856C05"/>
    <w:rsid w:val="00856C0E"/>
    <w:rsid w:val="00856C2D"/>
    <w:rsid w:val="00856C36"/>
    <w:rsid w:val="00856CB3"/>
    <w:rsid w:val="00856D53"/>
    <w:rsid w:val="00856D75"/>
    <w:rsid w:val="00856DA9"/>
    <w:rsid w:val="00856E28"/>
    <w:rsid w:val="00856E5C"/>
    <w:rsid w:val="00856E72"/>
    <w:rsid w:val="00856E9A"/>
    <w:rsid w:val="00856FA0"/>
    <w:rsid w:val="00856FA4"/>
    <w:rsid w:val="00856FA5"/>
    <w:rsid w:val="0085702F"/>
    <w:rsid w:val="008570A3"/>
    <w:rsid w:val="008570E3"/>
    <w:rsid w:val="008570EC"/>
    <w:rsid w:val="008570F8"/>
    <w:rsid w:val="0085711F"/>
    <w:rsid w:val="0085713C"/>
    <w:rsid w:val="00857185"/>
    <w:rsid w:val="00857195"/>
    <w:rsid w:val="008571AD"/>
    <w:rsid w:val="00857211"/>
    <w:rsid w:val="00857236"/>
    <w:rsid w:val="00857260"/>
    <w:rsid w:val="00857279"/>
    <w:rsid w:val="00857292"/>
    <w:rsid w:val="008572D1"/>
    <w:rsid w:val="00857367"/>
    <w:rsid w:val="0085736E"/>
    <w:rsid w:val="00857372"/>
    <w:rsid w:val="00857397"/>
    <w:rsid w:val="008574F8"/>
    <w:rsid w:val="00857575"/>
    <w:rsid w:val="008575C3"/>
    <w:rsid w:val="0085763D"/>
    <w:rsid w:val="0085767F"/>
    <w:rsid w:val="00857698"/>
    <w:rsid w:val="008576DD"/>
    <w:rsid w:val="00857718"/>
    <w:rsid w:val="0085772B"/>
    <w:rsid w:val="0085777B"/>
    <w:rsid w:val="0085778B"/>
    <w:rsid w:val="00857806"/>
    <w:rsid w:val="00857843"/>
    <w:rsid w:val="0085784B"/>
    <w:rsid w:val="00857878"/>
    <w:rsid w:val="0085788E"/>
    <w:rsid w:val="008578B9"/>
    <w:rsid w:val="008578D9"/>
    <w:rsid w:val="008578F4"/>
    <w:rsid w:val="00857947"/>
    <w:rsid w:val="00857977"/>
    <w:rsid w:val="008579CF"/>
    <w:rsid w:val="00857A48"/>
    <w:rsid w:val="00857A4A"/>
    <w:rsid w:val="00857A56"/>
    <w:rsid w:val="00857A62"/>
    <w:rsid w:val="00857A70"/>
    <w:rsid w:val="00857A9E"/>
    <w:rsid w:val="00857AEE"/>
    <w:rsid w:val="00857C30"/>
    <w:rsid w:val="00857CAC"/>
    <w:rsid w:val="00857CB4"/>
    <w:rsid w:val="00857CD9"/>
    <w:rsid w:val="00857DAF"/>
    <w:rsid w:val="00857DF3"/>
    <w:rsid w:val="00857E2F"/>
    <w:rsid w:val="00857E41"/>
    <w:rsid w:val="00857F4A"/>
    <w:rsid w:val="00857FA2"/>
    <w:rsid w:val="00857FF2"/>
    <w:rsid w:val="00860069"/>
    <w:rsid w:val="008600ED"/>
    <w:rsid w:val="0086011F"/>
    <w:rsid w:val="0086013F"/>
    <w:rsid w:val="008601C8"/>
    <w:rsid w:val="008601E5"/>
    <w:rsid w:val="00860263"/>
    <w:rsid w:val="0086026E"/>
    <w:rsid w:val="00860283"/>
    <w:rsid w:val="00860318"/>
    <w:rsid w:val="00860322"/>
    <w:rsid w:val="0086034F"/>
    <w:rsid w:val="00860433"/>
    <w:rsid w:val="00860471"/>
    <w:rsid w:val="0086056B"/>
    <w:rsid w:val="008605AE"/>
    <w:rsid w:val="00860608"/>
    <w:rsid w:val="00860675"/>
    <w:rsid w:val="008606E0"/>
    <w:rsid w:val="00860761"/>
    <w:rsid w:val="008607F1"/>
    <w:rsid w:val="00860806"/>
    <w:rsid w:val="00860812"/>
    <w:rsid w:val="0086082B"/>
    <w:rsid w:val="0086089C"/>
    <w:rsid w:val="008608E4"/>
    <w:rsid w:val="0086090D"/>
    <w:rsid w:val="0086092E"/>
    <w:rsid w:val="00860950"/>
    <w:rsid w:val="00860958"/>
    <w:rsid w:val="00860979"/>
    <w:rsid w:val="0086097B"/>
    <w:rsid w:val="00860987"/>
    <w:rsid w:val="00860A4C"/>
    <w:rsid w:val="00860A83"/>
    <w:rsid w:val="00860ABB"/>
    <w:rsid w:val="00860AC2"/>
    <w:rsid w:val="00860ADA"/>
    <w:rsid w:val="00860B08"/>
    <w:rsid w:val="00860B55"/>
    <w:rsid w:val="00860B5B"/>
    <w:rsid w:val="00860B6F"/>
    <w:rsid w:val="00860BD9"/>
    <w:rsid w:val="00860BE5"/>
    <w:rsid w:val="00860C03"/>
    <w:rsid w:val="00860C23"/>
    <w:rsid w:val="00860C37"/>
    <w:rsid w:val="00860C6E"/>
    <w:rsid w:val="00860CA4"/>
    <w:rsid w:val="00860CFC"/>
    <w:rsid w:val="00860D00"/>
    <w:rsid w:val="00860D75"/>
    <w:rsid w:val="00860EE7"/>
    <w:rsid w:val="00860F08"/>
    <w:rsid w:val="00860F9F"/>
    <w:rsid w:val="00860FAA"/>
    <w:rsid w:val="00860FC3"/>
    <w:rsid w:val="00860FEE"/>
    <w:rsid w:val="0086105C"/>
    <w:rsid w:val="00861165"/>
    <w:rsid w:val="0086123E"/>
    <w:rsid w:val="00861242"/>
    <w:rsid w:val="00861253"/>
    <w:rsid w:val="00861293"/>
    <w:rsid w:val="008612A5"/>
    <w:rsid w:val="008612B8"/>
    <w:rsid w:val="008612BA"/>
    <w:rsid w:val="008612FA"/>
    <w:rsid w:val="00861301"/>
    <w:rsid w:val="00861328"/>
    <w:rsid w:val="00861353"/>
    <w:rsid w:val="00861375"/>
    <w:rsid w:val="00861397"/>
    <w:rsid w:val="008613F1"/>
    <w:rsid w:val="008614B5"/>
    <w:rsid w:val="008614CB"/>
    <w:rsid w:val="008614ED"/>
    <w:rsid w:val="00861533"/>
    <w:rsid w:val="0086153B"/>
    <w:rsid w:val="00861547"/>
    <w:rsid w:val="008615B8"/>
    <w:rsid w:val="008615BB"/>
    <w:rsid w:val="008615E8"/>
    <w:rsid w:val="00861642"/>
    <w:rsid w:val="008616A2"/>
    <w:rsid w:val="00861716"/>
    <w:rsid w:val="00861758"/>
    <w:rsid w:val="0086176F"/>
    <w:rsid w:val="008617B5"/>
    <w:rsid w:val="008618C7"/>
    <w:rsid w:val="008618E2"/>
    <w:rsid w:val="0086190F"/>
    <w:rsid w:val="00861932"/>
    <w:rsid w:val="00861962"/>
    <w:rsid w:val="00861976"/>
    <w:rsid w:val="008619CB"/>
    <w:rsid w:val="008619E1"/>
    <w:rsid w:val="00861A1C"/>
    <w:rsid w:val="00861AAE"/>
    <w:rsid w:val="00861B12"/>
    <w:rsid w:val="00861B53"/>
    <w:rsid w:val="00861BD2"/>
    <w:rsid w:val="00861BD3"/>
    <w:rsid w:val="00861BF2"/>
    <w:rsid w:val="00861C5C"/>
    <w:rsid w:val="00861C97"/>
    <w:rsid w:val="00861CE4"/>
    <w:rsid w:val="00861CE7"/>
    <w:rsid w:val="00861D04"/>
    <w:rsid w:val="00861DA2"/>
    <w:rsid w:val="00861DA6"/>
    <w:rsid w:val="00861E64"/>
    <w:rsid w:val="00861E80"/>
    <w:rsid w:val="00861E82"/>
    <w:rsid w:val="00861EA7"/>
    <w:rsid w:val="00861FEE"/>
    <w:rsid w:val="00862001"/>
    <w:rsid w:val="00862064"/>
    <w:rsid w:val="008620B4"/>
    <w:rsid w:val="008620CC"/>
    <w:rsid w:val="008620EE"/>
    <w:rsid w:val="00862107"/>
    <w:rsid w:val="0086217D"/>
    <w:rsid w:val="008621B7"/>
    <w:rsid w:val="008621DA"/>
    <w:rsid w:val="00862231"/>
    <w:rsid w:val="008622E1"/>
    <w:rsid w:val="00862309"/>
    <w:rsid w:val="0086233A"/>
    <w:rsid w:val="00862361"/>
    <w:rsid w:val="00862425"/>
    <w:rsid w:val="00862452"/>
    <w:rsid w:val="008624E7"/>
    <w:rsid w:val="00862512"/>
    <w:rsid w:val="00862592"/>
    <w:rsid w:val="008625AB"/>
    <w:rsid w:val="008625D7"/>
    <w:rsid w:val="00862640"/>
    <w:rsid w:val="00862651"/>
    <w:rsid w:val="0086266E"/>
    <w:rsid w:val="008626A6"/>
    <w:rsid w:val="008626AA"/>
    <w:rsid w:val="008626B7"/>
    <w:rsid w:val="00862758"/>
    <w:rsid w:val="008627B5"/>
    <w:rsid w:val="008627E5"/>
    <w:rsid w:val="008627F1"/>
    <w:rsid w:val="00862818"/>
    <w:rsid w:val="00862854"/>
    <w:rsid w:val="0086288F"/>
    <w:rsid w:val="00862896"/>
    <w:rsid w:val="008628A0"/>
    <w:rsid w:val="008628EA"/>
    <w:rsid w:val="008628F7"/>
    <w:rsid w:val="008628FC"/>
    <w:rsid w:val="0086291B"/>
    <w:rsid w:val="00862961"/>
    <w:rsid w:val="00862985"/>
    <w:rsid w:val="008629A5"/>
    <w:rsid w:val="008629D0"/>
    <w:rsid w:val="008629EF"/>
    <w:rsid w:val="008629F0"/>
    <w:rsid w:val="00862A1A"/>
    <w:rsid w:val="00862BCF"/>
    <w:rsid w:val="00862C34"/>
    <w:rsid w:val="00862C3D"/>
    <w:rsid w:val="00862CD3"/>
    <w:rsid w:val="00862D1C"/>
    <w:rsid w:val="00862D4A"/>
    <w:rsid w:val="00862D8A"/>
    <w:rsid w:val="00862D91"/>
    <w:rsid w:val="00862D9C"/>
    <w:rsid w:val="00862E0B"/>
    <w:rsid w:val="00862E13"/>
    <w:rsid w:val="00862ED7"/>
    <w:rsid w:val="00862F0E"/>
    <w:rsid w:val="00862F82"/>
    <w:rsid w:val="00862FCE"/>
    <w:rsid w:val="00863002"/>
    <w:rsid w:val="0086304F"/>
    <w:rsid w:val="00863064"/>
    <w:rsid w:val="008630B7"/>
    <w:rsid w:val="008630BF"/>
    <w:rsid w:val="008630C5"/>
    <w:rsid w:val="0086311D"/>
    <w:rsid w:val="0086315D"/>
    <w:rsid w:val="008631C3"/>
    <w:rsid w:val="00863203"/>
    <w:rsid w:val="0086322A"/>
    <w:rsid w:val="0086322E"/>
    <w:rsid w:val="0086325B"/>
    <w:rsid w:val="00863264"/>
    <w:rsid w:val="00863282"/>
    <w:rsid w:val="008632A3"/>
    <w:rsid w:val="008632F8"/>
    <w:rsid w:val="00863321"/>
    <w:rsid w:val="00863330"/>
    <w:rsid w:val="00863394"/>
    <w:rsid w:val="008633CF"/>
    <w:rsid w:val="008634CD"/>
    <w:rsid w:val="008634DE"/>
    <w:rsid w:val="0086351F"/>
    <w:rsid w:val="0086353E"/>
    <w:rsid w:val="00863544"/>
    <w:rsid w:val="0086355A"/>
    <w:rsid w:val="00863560"/>
    <w:rsid w:val="0086356F"/>
    <w:rsid w:val="008635ED"/>
    <w:rsid w:val="0086367B"/>
    <w:rsid w:val="00863736"/>
    <w:rsid w:val="00863769"/>
    <w:rsid w:val="00863784"/>
    <w:rsid w:val="008637DF"/>
    <w:rsid w:val="0086381C"/>
    <w:rsid w:val="0086386E"/>
    <w:rsid w:val="0086388B"/>
    <w:rsid w:val="0086389B"/>
    <w:rsid w:val="008638B6"/>
    <w:rsid w:val="00863975"/>
    <w:rsid w:val="00863978"/>
    <w:rsid w:val="0086399C"/>
    <w:rsid w:val="008639C4"/>
    <w:rsid w:val="00863A28"/>
    <w:rsid w:val="00863A7A"/>
    <w:rsid w:val="00863AEC"/>
    <w:rsid w:val="00863AFB"/>
    <w:rsid w:val="00863B28"/>
    <w:rsid w:val="00863B2C"/>
    <w:rsid w:val="00863B52"/>
    <w:rsid w:val="00863B7D"/>
    <w:rsid w:val="00863BA7"/>
    <w:rsid w:val="00863C0F"/>
    <w:rsid w:val="00863C4F"/>
    <w:rsid w:val="00863C9F"/>
    <w:rsid w:val="00863CA1"/>
    <w:rsid w:val="00863CFC"/>
    <w:rsid w:val="00863D03"/>
    <w:rsid w:val="00863D64"/>
    <w:rsid w:val="00863D88"/>
    <w:rsid w:val="00863D92"/>
    <w:rsid w:val="00863DCD"/>
    <w:rsid w:val="00863DCE"/>
    <w:rsid w:val="00863DF9"/>
    <w:rsid w:val="00863E1C"/>
    <w:rsid w:val="00863E5B"/>
    <w:rsid w:val="00863E6E"/>
    <w:rsid w:val="00863FF4"/>
    <w:rsid w:val="0086404D"/>
    <w:rsid w:val="00864062"/>
    <w:rsid w:val="00864074"/>
    <w:rsid w:val="008640E3"/>
    <w:rsid w:val="00864105"/>
    <w:rsid w:val="008641AB"/>
    <w:rsid w:val="00864228"/>
    <w:rsid w:val="0086425A"/>
    <w:rsid w:val="008642B2"/>
    <w:rsid w:val="008642E9"/>
    <w:rsid w:val="00864323"/>
    <w:rsid w:val="00864350"/>
    <w:rsid w:val="0086436E"/>
    <w:rsid w:val="00864455"/>
    <w:rsid w:val="00864462"/>
    <w:rsid w:val="0086447B"/>
    <w:rsid w:val="00864488"/>
    <w:rsid w:val="008644E5"/>
    <w:rsid w:val="00864585"/>
    <w:rsid w:val="00864598"/>
    <w:rsid w:val="008645D3"/>
    <w:rsid w:val="00864605"/>
    <w:rsid w:val="0086461B"/>
    <w:rsid w:val="00864652"/>
    <w:rsid w:val="00864683"/>
    <w:rsid w:val="008646B0"/>
    <w:rsid w:val="008646E9"/>
    <w:rsid w:val="008646F3"/>
    <w:rsid w:val="008646FA"/>
    <w:rsid w:val="00864714"/>
    <w:rsid w:val="0086479B"/>
    <w:rsid w:val="008647AE"/>
    <w:rsid w:val="008647BD"/>
    <w:rsid w:val="008647CC"/>
    <w:rsid w:val="008647E1"/>
    <w:rsid w:val="008647FC"/>
    <w:rsid w:val="0086481B"/>
    <w:rsid w:val="00864823"/>
    <w:rsid w:val="0086483E"/>
    <w:rsid w:val="008648BB"/>
    <w:rsid w:val="008648CD"/>
    <w:rsid w:val="008648D0"/>
    <w:rsid w:val="008648F9"/>
    <w:rsid w:val="00864904"/>
    <w:rsid w:val="00864950"/>
    <w:rsid w:val="00864964"/>
    <w:rsid w:val="00864997"/>
    <w:rsid w:val="00864A06"/>
    <w:rsid w:val="00864A15"/>
    <w:rsid w:val="00864A6B"/>
    <w:rsid w:val="00864AB0"/>
    <w:rsid w:val="00864B1C"/>
    <w:rsid w:val="00864B3B"/>
    <w:rsid w:val="00864B51"/>
    <w:rsid w:val="00864B59"/>
    <w:rsid w:val="00864BBB"/>
    <w:rsid w:val="00864BBD"/>
    <w:rsid w:val="00864BCB"/>
    <w:rsid w:val="00864BE1"/>
    <w:rsid w:val="00864C29"/>
    <w:rsid w:val="00864C89"/>
    <w:rsid w:val="00864C92"/>
    <w:rsid w:val="00864D42"/>
    <w:rsid w:val="00864D45"/>
    <w:rsid w:val="00864D5B"/>
    <w:rsid w:val="00864E21"/>
    <w:rsid w:val="00864E8C"/>
    <w:rsid w:val="00864EC5"/>
    <w:rsid w:val="00864EE1"/>
    <w:rsid w:val="00864EE3"/>
    <w:rsid w:val="00864EE5"/>
    <w:rsid w:val="00864F24"/>
    <w:rsid w:val="00864FCC"/>
    <w:rsid w:val="00865050"/>
    <w:rsid w:val="0086507B"/>
    <w:rsid w:val="008650B2"/>
    <w:rsid w:val="008650CB"/>
    <w:rsid w:val="0086520C"/>
    <w:rsid w:val="0086520D"/>
    <w:rsid w:val="0086524F"/>
    <w:rsid w:val="00865290"/>
    <w:rsid w:val="0086529C"/>
    <w:rsid w:val="008652A9"/>
    <w:rsid w:val="008652D6"/>
    <w:rsid w:val="00865323"/>
    <w:rsid w:val="0086532D"/>
    <w:rsid w:val="00865366"/>
    <w:rsid w:val="008653A0"/>
    <w:rsid w:val="0086543B"/>
    <w:rsid w:val="00865475"/>
    <w:rsid w:val="0086548E"/>
    <w:rsid w:val="00865501"/>
    <w:rsid w:val="00865544"/>
    <w:rsid w:val="008655B2"/>
    <w:rsid w:val="008655D5"/>
    <w:rsid w:val="008655FE"/>
    <w:rsid w:val="00865624"/>
    <w:rsid w:val="00865633"/>
    <w:rsid w:val="0086564E"/>
    <w:rsid w:val="008656C0"/>
    <w:rsid w:val="008656E2"/>
    <w:rsid w:val="008656F4"/>
    <w:rsid w:val="00865785"/>
    <w:rsid w:val="00865793"/>
    <w:rsid w:val="008657E6"/>
    <w:rsid w:val="0086589F"/>
    <w:rsid w:val="00865953"/>
    <w:rsid w:val="0086598B"/>
    <w:rsid w:val="00865A98"/>
    <w:rsid w:val="00865B16"/>
    <w:rsid w:val="00865B29"/>
    <w:rsid w:val="00865C21"/>
    <w:rsid w:val="00865C9C"/>
    <w:rsid w:val="00865D0F"/>
    <w:rsid w:val="00865D2D"/>
    <w:rsid w:val="00865D74"/>
    <w:rsid w:val="00865DB3"/>
    <w:rsid w:val="00865DCD"/>
    <w:rsid w:val="00865E08"/>
    <w:rsid w:val="00865E10"/>
    <w:rsid w:val="00865E1F"/>
    <w:rsid w:val="00865E82"/>
    <w:rsid w:val="00865EC7"/>
    <w:rsid w:val="00866039"/>
    <w:rsid w:val="00866058"/>
    <w:rsid w:val="0086605B"/>
    <w:rsid w:val="0086608A"/>
    <w:rsid w:val="008660EB"/>
    <w:rsid w:val="008660F7"/>
    <w:rsid w:val="00866121"/>
    <w:rsid w:val="00866134"/>
    <w:rsid w:val="00866177"/>
    <w:rsid w:val="008661A1"/>
    <w:rsid w:val="008661A3"/>
    <w:rsid w:val="008661B0"/>
    <w:rsid w:val="008661C3"/>
    <w:rsid w:val="008661C9"/>
    <w:rsid w:val="008661D3"/>
    <w:rsid w:val="008661D7"/>
    <w:rsid w:val="00866230"/>
    <w:rsid w:val="00866270"/>
    <w:rsid w:val="00866306"/>
    <w:rsid w:val="0086636E"/>
    <w:rsid w:val="00866392"/>
    <w:rsid w:val="00866423"/>
    <w:rsid w:val="00866429"/>
    <w:rsid w:val="00866443"/>
    <w:rsid w:val="00866469"/>
    <w:rsid w:val="00866476"/>
    <w:rsid w:val="008664C5"/>
    <w:rsid w:val="00866547"/>
    <w:rsid w:val="00866674"/>
    <w:rsid w:val="008666E2"/>
    <w:rsid w:val="00866716"/>
    <w:rsid w:val="00866785"/>
    <w:rsid w:val="00866788"/>
    <w:rsid w:val="0086679C"/>
    <w:rsid w:val="008667E1"/>
    <w:rsid w:val="008667E6"/>
    <w:rsid w:val="0086684A"/>
    <w:rsid w:val="00866850"/>
    <w:rsid w:val="008668A8"/>
    <w:rsid w:val="0086694A"/>
    <w:rsid w:val="0086694B"/>
    <w:rsid w:val="00866A6E"/>
    <w:rsid w:val="00866A8B"/>
    <w:rsid w:val="00866A8D"/>
    <w:rsid w:val="00866AAB"/>
    <w:rsid w:val="00866AAC"/>
    <w:rsid w:val="00866B13"/>
    <w:rsid w:val="00866B30"/>
    <w:rsid w:val="00866B3C"/>
    <w:rsid w:val="00866CEC"/>
    <w:rsid w:val="00866D0A"/>
    <w:rsid w:val="00866D50"/>
    <w:rsid w:val="00866E15"/>
    <w:rsid w:val="00866EDE"/>
    <w:rsid w:val="00866F12"/>
    <w:rsid w:val="00866F1C"/>
    <w:rsid w:val="00866F8A"/>
    <w:rsid w:val="00866FA1"/>
    <w:rsid w:val="00866FC9"/>
    <w:rsid w:val="00866FDC"/>
    <w:rsid w:val="00867010"/>
    <w:rsid w:val="00867025"/>
    <w:rsid w:val="00867039"/>
    <w:rsid w:val="0086706C"/>
    <w:rsid w:val="0086709C"/>
    <w:rsid w:val="008670B6"/>
    <w:rsid w:val="008670C3"/>
    <w:rsid w:val="008670DF"/>
    <w:rsid w:val="008670E7"/>
    <w:rsid w:val="008670ED"/>
    <w:rsid w:val="00867229"/>
    <w:rsid w:val="0086728C"/>
    <w:rsid w:val="008672AE"/>
    <w:rsid w:val="008672CE"/>
    <w:rsid w:val="008672E7"/>
    <w:rsid w:val="0086733A"/>
    <w:rsid w:val="008673C6"/>
    <w:rsid w:val="008673D5"/>
    <w:rsid w:val="008673E3"/>
    <w:rsid w:val="00867477"/>
    <w:rsid w:val="00867482"/>
    <w:rsid w:val="00867548"/>
    <w:rsid w:val="0086756D"/>
    <w:rsid w:val="0086758A"/>
    <w:rsid w:val="008675D1"/>
    <w:rsid w:val="008676FA"/>
    <w:rsid w:val="00867756"/>
    <w:rsid w:val="008677B1"/>
    <w:rsid w:val="00867846"/>
    <w:rsid w:val="00867890"/>
    <w:rsid w:val="008678DC"/>
    <w:rsid w:val="0086790A"/>
    <w:rsid w:val="00867958"/>
    <w:rsid w:val="00867992"/>
    <w:rsid w:val="008679DA"/>
    <w:rsid w:val="00867AB6"/>
    <w:rsid w:val="00867AC8"/>
    <w:rsid w:val="00867B65"/>
    <w:rsid w:val="00867BC7"/>
    <w:rsid w:val="00867BCE"/>
    <w:rsid w:val="00867C21"/>
    <w:rsid w:val="00867C7D"/>
    <w:rsid w:val="00867CE2"/>
    <w:rsid w:val="00867CF5"/>
    <w:rsid w:val="00867D05"/>
    <w:rsid w:val="00867D30"/>
    <w:rsid w:val="00867DC1"/>
    <w:rsid w:val="00867E17"/>
    <w:rsid w:val="00867E9D"/>
    <w:rsid w:val="00867EF3"/>
    <w:rsid w:val="00867F23"/>
    <w:rsid w:val="00867F2E"/>
    <w:rsid w:val="00867FBD"/>
    <w:rsid w:val="00867FCE"/>
    <w:rsid w:val="00870091"/>
    <w:rsid w:val="0087010F"/>
    <w:rsid w:val="00870136"/>
    <w:rsid w:val="0087018C"/>
    <w:rsid w:val="008701DC"/>
    <w:rsid w:val="0087028C"/>
    <w:rsid w:val="008702BF"/>
    <w:rsid w:val="008702CA"/>
    <w:rsid w:val="008702E2"/>
    <w:rsid w:val="00870315"/>
    <w:rsid w:val="00870339"/>
    <w:rsid w:val="008703C3"/>
    <w:rsid w:val="008703CE"/>
    <w:rsid w:val="008703F0"/>
    <w:rsid w:val="00870459"/>
    <w:rsid w:val="008704C1"/>
    <w:rsid w:val="008704EF"/>
    <w:rsid w:val="008704FC"/>
    <w:rsid w:val="00870508"/>
    <w:rsid w:val="00870560"/>
    <w:rsid w:val="008705A1"/>
    <w:rsid w:val="008705C4"/>
    <w:rsid w:val="008705FB"/>
    <w:rsid w:val="0087060F"/>
    <w:rsid w:val="00870719"/>
    <w:rsid w:val="008707B9"/>
    <w:rsid w:val="0087081F"/>
    <w:rsid w:val="0087082A"/>
    <w:rsid w:val="0087089D"/>
    <w:rsid w:val="008708B1"/>
    <w:rsid w:val="008708CF"/>
    <w:rsid w:val="0087094B"/>
    <w:rsid w:val="0087096D"/>
    <w:rsid w:val="00870992"/>
    <w:rsid w:val="008709B8"/>
    <w:rsid w:val="008709CA"/>
    <w:rsid w:val="00870AAA"/>
    <w:rsid w:val="00870ABA"/>
    <w:rsid w:val="00870AEA"/>
    <w:rsid w:val="00870AEE"/>
    <w:rsid w:val="00870AF0"/>
    <w:rsid w:val="00870B55"/>
    <w:rsid w:val="00870B78"/>
    <w:rsid w:val="00870C2D"/>
    <w:rsid w:val="00870CC0"/>
    <w:rsid w:val="00870D2D"/>
    <w:rsid w:val="00870D81"/>
    <w:rsid w:val="00870D86"/>
    <w:rsid w:val="00870D89"/>
    <w:rsid w:val="00870DEA"/>
    <w:rsid w:val="00870DFF"/>
    <w:rsid w:val="00870E02"/>
    <w:rsid w:val="00870E22"/>
    <w:rsid w:val="00870E37"/>
    <w:rsid w:val="00870E5C"/>
    <w:rsid w:val="00870EAA"/>
    <w:rsid w:val="00870ECA"/>
    <w:rsid w:val="00870ED2"/>
    <w:rsid w:val="00870FB0"/>
    <w:rsid w:val="00870FEB"/>
    <w:rsid w:val="008710C6"/>
    <w:rsid w:val="008710CE"/>
    <w:rsid w:val="0087112F"/>
    <w:rsid w:val="00871183"/>
    <w:rsid w:val="008711AB"/>
    <w:rsid w:val="00871205"/>
    <w:rsid w:val="008712CE"/>
    <w:rsid w:val="00871388"/>
    <w:rsid w:val="008713A6"/>
    <w:rsid w:val="008713CC"/>
    <w:rsid w:val="008713F7"/>
    <w:rsid w:val="0087140F"/>
    <w:rsid w:val="0087145C"/>
    <w:rsid w:val="0087148D"/>
    <w:rsid w:val="008714A6"/>
    <w:rsid w:val="008714FC"/>
    <w:rsid w:val="00871593"/>
    <w:rsid w:val="008716CB"/>
    <w:rsid w:val="00871706"/>
    <w:rsid w:val="00871749"/>
    <w:rsid w:val="0087177C"/>
    <w:rsid w:val="008717A3"/>
    <w:rsid w:val="0087180F"/>
    <w:rsid w:val="00871839"/>
    <w:rsid w:val="00871867"/>
    <w:rsid w:val="008718C5"/>
    <w:rsid w:val="008718EB"/>
    <w:rsid w:val="00871902"/>
    <w:rsid w:val="0087191A"/>
    <w:rsid w:val="008719BC"/>
    <w:rsid w:val="008719C8"/>
    <w:rsid w:val="00871A0E"/>
    <w:rsid w:val="00871A10"/>
    <w:rsid w:val="00871A41"/>
    <w:rsid w:val="00871A8B"/>
    <w:rsid w:val="00871AF4"/>
    <w:rsid w:val="00871B27"/>
    <w:rsid w:val="00871B74"/>
    <w:rsid w:val="00871B87"/>
    <w:rsid w:val="00871BE2"/>
    <w:rsid w:val="00871BE8"/>
    <w:rsid w:val="00871C51"/>
    <w:rsid w:val="00871C86"/>
    <w:rsid w:val="00871CA4"/>
    <w:rsid w:val="00871D18"/>
    <w:rsid w:val="00871D53"/>
    <w:rsid w:val="00871D54"/>
    <w:rsid w:val="00871DFA"/>
    <w:rsid w:val="00871E64"/>
    <w:rsid w:val="00871E9C"/>
    <w:rsid w:val="00871EB6"/>
    <w:rsid w:val="00871F16"/>
    <w:rsid w:val="00871F23"/>
    <w:rsid w:val="00871F3E"/>
    <w:rsid w:val="00871F45"/>
    <w:rsid w:val="00871F9D"/>
    <w:rsid w:val="00871FAD"/>
    <w:rsid w:val="00871FB2"/>
    <w:rsid w:val="00871FB7"/>
    <w:rsid w:val="00871FC6"/>
    <w:rsid w:val="00872063"/>
    <w:rsid w:val="00872072"/>
    <w:rsid w:val="008720DF"/>
    <w:rsid w:val="008721E8"/>
    <w:rsid w:val="0087220D"/>
    <w:rsid w:val="00872271"/>
    <w:rsid w:val="00872272"/>
    <w:rsid w:val="0087229C"/>
    <w:rsid w:val="008722BC"/>
    <w:rsid w:val="00872353"/>
    <w:rsid w:val="0087235E"/>
    <w:rsid w:val="0087238A"/>
    <w:rsid w:val="0087239A"/>
    <w:rsid w:val="008723C1"/>
    <w:rsid w:val="008723C7"/>
    <w:rsid w:val="008723D8"/>
    <w:rsid w:val="008723FB"/>
    <w:rsid w:val="00872438"/>
    <w:rsid w:val="008724B9"/>
    <w:rsid w:val="008724C1"/>
    <w:rsid w:val="008724D8"/>
    <w:rsid w:val="00872507"/>
    <w:rsid w:val="008725D2"/>
    <w:rsid w:val="008725FF"/>
    <w:rsid w:val="00872667"/>
    <w:rsid w:val="0087266D"/>
    <w:rsid w:val="00872716"/>
    <w:rsid w:val="00872720"/>
    <w:rsid w:val="00872784"/>
    <w:rsid w:val="00872785"/>
    <w:rsid w:val="008727B9"/>
    <w:rsid w:val="008727BA"/>
    <w:rsid w:val="008727F2"/>
    <w:rsid w:val="008727F7"/>
    <w:rsid w:val="00872835"/>
    <w:rsid w:val="00872857"/>
    <w:rsid w:val="00872867"/>
    <w:rsid w:val="00872892"/>
    <w:rsid w:val="008728BC"/>
    <w:rsid w:val="008728E8"/>
    <w:rsid w:val="0087290B"/>
    <w:rsid w:val="0087291D"/>
    <w:rsid w:val="0087292B"/>
    <w:rsid w:val="0087297D"/>
    <w:rsid w:val="0087299B"/>
    <w:rsid w:val="008729FB"/>
    <w:rsid w:val="00872AF6"/>
    <w:rsid w:val="00872B0A"/>
    <w:rsid w:val="00872B0F"/>
    <w:rsid w:val="00872B53"/>
    <w:rsid w:val="00872B8D"/>
    <w:rsid w:val="00872BCA"/>
    <w:rsid w:val="00872C29"/>
    <w:rsid w:val="00872C3E"/>
    <w:rsid w:val="00872CC3"/>
    <w:rsid w:val="00872CCE"/>
    <w:rsid w:val="00872D28"/>
    <w:rsid w:val="00872D43"/>
    <w:rsid w:val="00872D7C"/>
    <w:rsid w:val="00872DB3"/>
    <w:rsid w:val="00872DD6"/>
    <w:rsid w:val="00872DEE"/>
    <w:rsid w:val="00872E33"/>
    <w:rsid w:val="00872E98"/>
    <w:rsid w:val="00872EE3"/>
    <w:rsid w:val="00872F08"/>
    <w:rsid w:val="00872F80"/>
    <w:rsid w:val="00872FAA"/>
    <w:rsid w:val="00872FAB"/>
    <w:rsid w:val="0087301A"/>
    <w:rsid w:val="00873038"/>
    <w:rsid w:val="0087313F"/>
    <w:rsid w:val="00873161"/>
    <w:rsid w:val="00873213"/>
    <w:rsid w:val="00873236"/>
    <w:rsid w:val="00873268"/>
    <w:rsid w:val="008732BA"/>
    <w:rsid w:val="008732C3"/>
    <w:rsid w:val="008732CC"/>
    <w:rsid w:val="0087334F"/>
    <w:rsid w:val="00873350"/>
    <w:rsid w:val="008733D8"/>
    <w:rsid w:val="00873406"/>
    <w:rsid w:val="0087342C"/>
    <w:rsid w:val="00873483"/>
    <w:rsid w:val="00873486"/>
    <w:rsid w:val="008734A5"/>
    <w:rsid w:val="008734C8"/>
    <w:rsid w:val="00873516"/>
    <w:rsid w:val="0087356B"/>
    <w:rsid w:val="008735A9"/>
    <w:rsid w:val="008735B3"/>
    <w:rsid w:val="008735D1"/>
    <w:rsid w:val="008735D8"/>
    <w:rsid w:val="0087360D"/>
    <w:rsid w:val="00873611"/>
    <w:rsid w:val="00873650"/>
    <w:rsid w:val="00873677"/>
    <w:rsid w:val="00873692"/>
    <w:rsid w:val="00873699"/>
    <w:rsid w:val="008736CC"/>
    <w:rsid w:val="008736DF"/>
    <w:rsid w:val="008737AD"/>
    <w:rsid w:val="0087386D"/>
    <w:rsid w:val="00873872"/>
    <w:rsid w:val="0087389F"/>
    <w:rsid w:val="008738B6"/>
    <w:rsid w:val="00873936"/>
    <w:rsid w:val="00873999"/>
    <w:rsid w:val="008739BA"/>
    <w:rsid w:val="008739DA"/>
    <w:rsid w:val="00873A2F"/>
    <w:rsid w:val="00873A85"/>
    <w:rsid w:val="00873AB1"/>
    <w:rsid w:val="00873B08"/>
    <w:rsid w:val="00873B2A"/>
    <w:rsid w:val="00873B5D"/>
    <w:rsid w:val="00873C23"/>
    <w:rsid w:val="00873C3E"/>
    <w:rsid w:val="00873C6E"/>
    <w:rsid w:val="00873CAB"/>
    <w:rsid w:val="00873CAE"/>
    <w:rsid w:val="00873CFC"/>
    <w:rsid w:val="00873D0B"/>
    <w:rsid w:val="00873D6B"/>
    <w:rsid w:val="00873D6F"/>
    <w:rsid w:val="00873DC3"/>
    <w:rsid w:val="00873DEC"/>
    <w:rsid w:val="00873E27"/>
    <w:rsid w:val="00873E5C"/>
    <w:rsid w:val="00873EB4"/>
    <w:rsid w:val="00873EE6"/>
    <w:rsid w:val="00873EFE"/>
    <w:rsid w:val="00873F0E"/>
    <w:rsid w:val="00873F48"/>
    <w:rsid w:val="00873FE5"/>
    <w:rsid w:val="0087401C"/>
    <w:rsid w:val="00874088"/>
    <w:rsid w:val="008740E0"/>
    <w:rsid w:val="0087411F"/>
    <w:rsid w:val="0087417B"/>
    <w:rsid w:val="008741E2"/>
    <w:rsid w:val="0087421C"/>
    <w:rsid w:val="00874224"/>
    <w:rsid w:val="0087429B"/>
    <w:rsid w:val="008742E1"/>
    <w:rsid w:val="00874381"/>
    <w:rsid w:val="008743C7"/>
    <w:rsid w:val="008743E0"/>
    <w:rsid w:val="00874418"/>
    <w:rsid w:val="00874433"/>
    <w:rsid w:val="0087444F"/>
    <w:rsid w:val="00874452"/>
    <w:rsid w:val="008744CC"/>
    <w:rsid w:val="008744E7"/>
    <w:rsid w:val="00874513"/>
    <w:rsid w:val="00874525"/>
    <w:rsid w:val="0087452A"/>
    <w:rsid w:val="0087452B"/>
    <w:rsid w:val="0087458C"/>
    <w:rsid w:val="00874594"/>
    <w:rsid w:val="008745AD"/>
    <w:rsid w:val="008745DE"/>
    <w:rsid w:val="00874680"/>
    <w:rsid w:val="00874710"/>
    <w:rsid w:val="00874728"/>
    <w:rsid w:val="00874736"/>
    <w:rsid w:val="00874792"/>
    <w:rsid w:val="008747CE"/>
    <w:rsid w:val="008747ED"/>
    <w:rsid w:val="008747FE"/>
    <w:rsid w:val="0087485D"/>
    <w:rsid w:val="0087493B"/>
    <w:rsid w:val="0087498B"/>
    <w:rsid w:val="008749AE"/>
    <w:rsid w:val="008749AF"/>
    <w:rsid w:val="00874A5C"/>
    <w:rsid w:val="00874AAD"/>
    <w:rsid w:val="00874AB5"/>
    <w:rsid w:val="00874ADF"/>
    <w:rsid w:val="00874B00"/>
    <w:rsid w:val="00874B30"/>
    <w:rsid w:val="00874B69"/>
    <w:rsid w:val="00874B7D"/>
    <w:rsid w:val="00874C05"/>
    <w:rsid w:val="00874CA9"/>
    <w:rsid w:val="00874CB4"/>
    <w:rsid w:val="00874CCF"/>
    <w:rsid w:val="00874CEB"/>
    <w:rsid w:val="00874DC6"/>
    <w:rsid w:val="00874DCF"/>
    <w:rsid w:val="00874DED"/>
    <w:rsid w:val="00874EAE"/>
    <w:rsid w:val="00874ED8"/>
    <w:rsid w:val="00874EE5"/>
    <w:rsid w:val="00874F1D"/>
    <w:rsid w:val="00874F49"/>
    <w:rsid w:val="00874FA2"/>
    <w:rsid w:val="00874FBC"/>
    <w:rsid w:val="00875084"/>
    <w:rsid w:val="008750F1"/>
    <w:rsid w:val="00875198"/>
    <w:rsid w:val="008751CB"/>
    <w:rsid w:val="008751EF"/>
    <w:rsid w:val="00875237"/>
    <w:rsid w:val="0087527F"/>
    <w:rsid w:val="00875299"/>
    <w:rsid w:val="008752C8"/>
    <w:rsid w:val="008752EE"/>
    <w:rsid w:val="008752F8"/>
    <w:rsid w:val="00875309"/>
    <w:rsid w:val="00875310"/>
    <w:rsid w:val="00875330"/>
    <w:rsid w:val="00875377"/>
    <w:rsid w:val="008754B3"/>
    <w:rsid w:val="008754B9"/>
    <w:rsid w:val="00875529"/>
    <w:rsid w:val="0087554E"/>
    <w:rsid w:val="0087559E"/>
    <w:rsid w:val="0087559F"/>
    <w:rsid w:val="008755F1"/>
    <w:rsid w:val="00875601"/>
    <w:rsid w:val="00875648"/>
    <w:rsid w:val="0087565A"/>
    <w:rsid w:val="0087566F"/>
    <w:rsid w:val="008756B5"/>
    <w:rsid w:val="00875718"/>
    <w:rsid w:val="0087572D"/>
    <w:rsid w:val="008757B4"/>
    <w:rsid w:val="008757BF"/>
    <w:rsid w:val="008757DC"/>
    <w:rsid w:val="008757DE"/>
    <w:rsid w:val="00875842"/>
    <w:rsid w:val="00875852"/>
    <w:rsid w:val="008758D6"/>
    <w:rsid w:val="0087591F"/>
    <w:rsid w:val="00875965"/>
    <w:rsid w:val="00875991"/>
    <w:rsid w:val="008759D1"/>
    <w:rsid w:val="00875A4D"/>
    <w:rsid w:val="00875A76"/>
    <w:rsid w:val="00875A7E"/>
    <w:rsid w:val="00875AAF"/>
    <w:rsid w:val="00875BD7"/>
    <w:rsid w:val="00875BD9"/>
    <w:rsid w:val="00875C32"/>
    <w:rsid w:val="00875C66"/>
    <w:rsid w:val="00875C8D"/>
    <w:rsid w:val="00875CFB"/>
    <w:rsid w:val="00875D52"/>
    <w:rsid w:val="00875D5D"/>
    <w:rsid w:val="00875D72"/>
    <w:rsid w:val="00875DB1"/>
    <w:rsid w:val="00875E01"/>
    <w:rsid w:val="00875E1C"/>
    <w:rsid w:val="00875F1C"/>
    <w:rsid w:val="00875F3E"/>
    <w:rsid w:val="00875F40"/>
    <w:rsid w:val="00875F71"/>
    <w:rsid w:val="00875FDC"/>
    <w:rsid w:val="00875FF2"/>
    <w:rsid w:val="0087601F"/>
    <w:rsid w:val="0087606B"/>
    <w:rsid w:val="008761D6"/>
    <w:rsid w:val="008761FA"/>
    <w:rsid w:val="00876241"/>
    <w:rsid w:val="008762A5"/>
    <w:rsid w:val="008762B2"/>
    <w:rsid w:val="0087632E"/>
    <w:rsid w:val="0087633A"/>
    <w:rsid w:val="00876360"/>
    <w:rsid w:val="008764B2"/>
    <w:rsid w:val="008764E5"/>
    <w:rsid w:val="00876511"/>
    <w:rsid w:val="00876559"/>
    <w:rsid w:val="00876575"/>
    <w:rsid w:val="00876589"/>
    <w:rsid w:val="00876593"/>
    <w:rsid w:val="008765B1"/>
    <w:rsid w:val="008765D4"/>
    <w:rsid w:val="00876610"/>
    <w:rsid w:val="0087662C"/>
    <w:rsid w:val="00876630"/>
    <w:rsid w:val="00876643"/>
    <w:rsid w:val="0087665C"/>
    <w:rsid w:val="00876677"/>
    <w:rsid w:val="008766DF"/>
    <w:rsid w:val="008766E8"/>
    <w:rsid w:val="008766EA"/>
    <w:rsid w:val="008766F2"/>
    <w:rsid w:val="00876714"/>
    <w:rsid w:val="00876751"/>
    <w:rsid w:val="0087678F"/>
    <w:rsid w:val="008767A7"/>
    <w:rsid w:val="008767BA"/>
    <w:rsid w:val="008767D8"/>
    <w:rsid w:val="0087681D"/>
    <w:rsid w:val="0087681E"/>
    <w:rsid w:val="0087683B"/>
    <w:rsid w:val="00876874"/>
    <w:rsid w:val="0087688B"/>
    <w:rsid w:val="00876902"/>
    <w:rsid w:val="00876928"/>
    <w:rsid w:val="00876996"/>
    <w:rsid w:val="008769D3"/>
    <w:rsid w:val="008769F2"/>
    <w:rsid w:val="008769F4"/>
    <w:rsid w:val="00876A27"/>
    <w:rsid w:val="00876A47"/>
    <w:rsid w:val="00876A7F"/>
    <w:rsid w:val="00876AAE"/>
    <w:rsid w:val="00876AF8"/>
    <w:rsid w:val="00876B02"/>
    <w:rsid w:val="00876B38"/>
    <w:rsid w:val="00876BFA"/>
    <w:rsid w:val="00876C86"/>
    <w:rsid w:val="00876DBC"/>
    <w:rsid w:val="00876E04"/>
    <w:rsid w:val="00876E46"/>
    <w:rsid w:val="00876E98"/>
    <w:rsid w:val="00876EBF"/>
    <w:rsid w:val="00876F18"/>
    <w:rsid w:val="00876F1C"/>
    <w:rsid w:val="00876F32"/>
    <w:rsid w:val="00876F65"/>
    <w:rsid w:val="0087700D"/>
    <w:rsid w:val="00877162"/>
    <w:rsid w:val="00877169"/>
    <w:rsid w:val="00877172"/>
    <w:rsid w:val="008771A2"/>
    <w:rsid w:val="008771ED"/>
    <w:rsid w:val="008771F4"/>
    <w:rsid w:val="00877268"/>
    <w:rsid w:val="00877295"/>
    <w:rsid w:val="00877298"/>
    <w:rsid w:val="008772BC"/>
    <w:rsid w:val="008772CC"/>
    <w:rsid w:val="008772D2"/>
    <w:rsid w:val="0087730D"/>
    <w:rsid w:val="0087733C"/>
    <w:rsid w:val="00877342"/>
    <w:rsid w:val="00877354"/>
    <w:rsid w:val="00877380"/>
    <w:rsid w:val="0087739C"/>
    <w:rsid w:val="008773B6"/>
    <w:rsid w:val="00877402"/>
    <w:rsid w:val="008774A9"/>
    <w:rsid w:val="008774B9"/>
    <w:rsid w:val="00877545"/>
    <w:rsid w:val="008775C7"/>
    <w:rsid w:val="00877631"/>
    <w:rsid w:val="00877650"/>
    <w:rsid w:val="00877656"/>
    <w:rsid w:val="00877677"/>
    <w:rsid w:val="00877709"/>
    <w:rsid w:val="0087770C"/>
    <w:rsid w:val="00877750"/>
    <w:rsid w:val="008777A6"/>
    <w:rsid w:val="008777B3"/>
    <w:rsid w:val="00877809"/>
    <w:rsid w:val="0087784A"/>
    <w:rsid w:val="00877866"/>
    <w:rsid w:val="0087787D"/>
    <w:rsid w:val="008778B7"/>
    <w:rsid w:val="008778D5"/>
    <w:rsid w:val="00877935"/>
    <w:rsid w:val="0087793F"/>
    <w:rsid w:val="008779A2"/>
    <w:rsid w:val="00877A08"/>
    <w:rsid w:val="00877A39"/>
    <w:rsid w:val="00877AA8"/>
    <w:rsid w:val="00877B26"/>
    <w:rsid w:val="00877B40"/>
    <w:rsid w:val="00877BF7"/>
    <w:rsid w:val="00877BFE"/>
    <w:rsid w:val="00877C1C"/>
    <w:rsid w:val="00877C20"/>
    <w:rsid w:val="00877C54"/>
    <w:rsid w:val="00877C58"/>
    <w:rsid w:val="00877C77"/>
    <w:rsid w:val="00877C7B"/>
    <w:rsid w:val="00877C84"/>
    <w:rsid w:val="00877CB7"/>
    <w:rsid w:val="00877D48"/>
    <w:rsid w:val="00877D7D"/>
    <w:rsid w:val="00877D7F"/>
    <w:rsid w:val="00877DD1"/>
    <w:rsid w:val="00877ED9"/>
    <w:rsid w:val="00877F07"/>
    <w:rsid w:val="00877F8F"/>
    <w:rsid w:val="00877FBA"/>
    <w:rsid w:val="00877FC6"/>
    <w:rsid w:val="0087CB62"/>
    <w:rsid w:val="00880008"/>
    <w:rsid w:val="00880089"/>
    <w:rsid w:val="008800CD"/>
    <w:rsid w:val="0088011B"/>
    <w:rsid w:val="00880133"/>
    <w:rsid w:val="0088013E"/>
    <w:rsid w:val="0088014F"/>
    <w:rsid w:val="00880186"/>
    <w:rsid w:val="008801A9"/>
    <w:rsid w:val="0088023D"/>
    <w:rsid w:val="008802B0"/>
    <w:rsid w:val="00880304"/>
    <w:rsid w:val="00880339"/>
    <w:rsid w:val="008803EF"/>
    <w:rsid w:val="0088040F"/>
    <w:rsid w:val="00880433"/>
    <w:rsid w:val="00880434"/>
    <w:rsid w:val="00880454"/>
    <w:rsid w:val="0088045E"/>
    <w:rsid w:val="0088046D"/>
    <w:rsid w:val="0088049F"/>
    <w:rsid w:val="008804C6"/>
    <w:rsid w:val="008804C8"/>
    <w:rsid w:val="008804D4"/>
    <w:rsid w:val="00880560"/>
    <w:rsid w:val="008805D5"/>
    <w:rsid w:val="0088060D"/>
    <w:rsid w:val="0088062A"/>
    <w:rsid w:val="00880670"/>
    <w:rsid w:val="008806F6"/>
    <w:rsid w:val="00880779"/>
    <w:rsid w:val="00880787"/>
    <w:rsid w:val="008807DB"/>
    <w:rsid w:val="00880833"/>
    <w:rsid w:val="0088089C"/>
    <w:rsid w:val="008808CD"/>
    <w:rsid w:val="008808DC"/>
    <w:rsid w:val="008808F4"/>
    <w:rsid w:val="00880934"/>
    <w:rsid w:val="00880962"/>
    <w:rsid w:val="00880965"/>
    <w:rsid w:val="0088097F"/>
    <w:rsid w:val="00880982"/>
    <w:rsid w:val="00880A10"/>
    <w:rsid w:val="00880A31"/>
    <w:rsid w:val="00880A3F"/>
    <w:rsid w:val="00880AA5"/>
    <w:rsid w:val="00880AB9"/>
    <w:rsid w:val="00880ABF"/>
    <w:rsid w:val="00880B69"/>
    <w:rsid w:val="00880BCA"/>
    <w:rsid w:val="00880C0B"/>
    <w:rsid w:val="00880C40"/>
    <w:rsid w:val="00880C50"/>
    <w:rsid w:val="00880C74"/>
    <w:rsid w:val="00880C9B"/>
    <w:rsid w:val="00880CE9"/>
    <w:rsid w:val="00880D02"/>
    <w:rsid w:val="00880F05"/>
    <w:rsid w:val="00880F55"/>
    <w:rsid w:val="00880F76"/>
    <w:rsid w:val="00880FB0"/>
    <w:rsid w:val="00880FCC"/>
    <w:rsid w:val="00880FDE"/>
    <w:rsid w:val="00880FF5"/>
    <w:rsid w:val="00881023"/>
    <w:rsid w:val="00881029"/>
    <w:rsid w:val="00881039"/>
    <w:rsid w:val="00881125"/>
    <w:rsid w:val="00881135"/>
    <w:rsid w:val="00881137"/>
    <w:rsid w:val="00881152"/>
    <w:rsid w:val="008811AB"/>
    <w:rsid w:val="008811DE"/>
    <w:rsid w:val="008812DF"/>
    <w:rsid w:val="00881349"/>
    <w:rsid w:val="00881381"/>
    <w:rsid w:val="008813C6"/>
    <w:rsid w:val="008813E0"/>
    <w:rsid w:val="008813EE"/>
    <w:rsid w:val="0088140E"/>
    <w:rsid w:val="00881466"/>
    <w:rsid w:val="00881478"/>
    <w:rsid w:val="008814C1"/>
    <w:rsid w:val="008814DA"/>
    <w:rsid w:val="008814E9"/>
    <w:rsid w:val="0088150A"/>
    <w:rsid w:val="00881518"/>
    <w:rsid w:val="00881526"/>
    <w:rsid w:val="00881532"/>
    <w:rsid w:val="00881538"/>
    <w:rsid w:val="0088153C"/>
    <w:rsid w:val="00881567"/>
    <w:rsid w:val="00881571"/>
    <w:rsid w:val="00881579"/>
    <w:rsid w:val="008815D6"/>
    <w:rsid w:val="008815D9"/>
    <w:rsid w:val="008815F9"/>
    <w:rsid w:val="00881622"/>
    <w:rsid w:val="0088167A"/>
    <w:rsid w:val="0088174A"/>
    <w:rsid w:val="00881802"/>
    <w:rsid w:val="0088184A"/>
    <w:rsid w:val="00881853"/>
    <w:rsid w:val="00881855"/>
    <w:rsid w:val="0088185F"/>
    <w:rsid w:val="008818C1"/>
    <w:rsid w:val="008818F5"/>
    <w:rsid w:val="0088196C"/>
    <w:rsid w:val="0088196F"/>
    <w:rsid w:val="00881999"/>
    <w:rsid w:val="00881A42"/>
    <w:rsid w:val="00881AB6"/>
    <w:rsid w:val="00881B54"/>
    <w:rsid w:val="00881C2B"/>
    <w:rsid w:val="00881C36"/>
    <w:rsid w:val="00881C47"/>
    <w:rsid w:val="00881C8A"/>
    <w:rsid w:val="00881D04"/>
    <w:rsid w:val="00881D71"/>
    <w:rsid w:val="00881E99"/>
    <w:rsid w:val="00881F05"/>
    <w:rsid w:val="00881FD6"/>
    <w:rsid w:val="00881FDF"/>
    <w:rsid w:val="00881FF4"/>
    <w:rsid w:val="00882068"/>
    <w:rsid w:val="00882079"/>
    <w:rsid w:val="008820A6"/>
    <w:rsid w:val="008820B9"/>
    <w:rsid w:val="008820D6"/>
    <w:rsid w:val="008820DB"/>
    <w:rsid w:val="008820E6"/>
    <w:rsid w:val="008820FF"/>
    <w:rsid w:val="00882107"/>
    <w:rsid w:val="00882110"/>
    <w:rsid w:val="00882159"/>
    <w:rsid w:val="008821B6"/>
    <w:rsid w:val="008821DB"/>
    <w:rsid w:val="0088231B"/>
    <w:rsid w:val="0088237C"/>
    <w:rsid w:val="008823D2"/>
    <w:rsid w:val="008823F1"/>
    <w:rsid w:val="00882404"/>
    <w:rsid w:val="00882410"/>
    <w:rsid w:val="00882425"/>
    <w:rsid w:val="00882479"/>
    <w:rsid w:val="0088254A"/>
    <w:rsid w:val="0088258C"/>
    <w:rsid w:val="008825A6"/>
    <w:rsid w:val="008825EC"/>
    <w:rsid w:val="008826BD"/>
    <w:rsid w:val="008826F7"/>
    <w:rsid w:val="00882734"/>
    <w:rsid w:val="008827AE"/>
    <w:rsid w:val="008827B7"/>
    <w:rsid w:val="008827D5"/>
    <w:rsid w:val="00882822"/>
    <w:rsid w:val="00882883"/>
    <w:rsid w:val="00882891"/>
    <w:rsid w:val="008828D3"/>
    <w:rsid w:val="00882947"/>
    <w:rsid w:val="008829A3"/>
    <w:rsid w:val="008829E1"/>
    <w:rsid w:val="00882A0A"/>
    <w:rsid w:val="00882A1D"/>
    <w:rsid w:val="00882B06"/>
    <w:rsid w:val="00882B49"/>
    <w:rsid w:val="00882B4C"/>
    <w:rsid w:val="00882BA5"/>
    <w:rsid w:val="00882BB7"/>
    <w:rsid w:val="00882BB8"/>
    <w:rsid w:val="00882C00"/>
    <w:rsid w:val="00882C2A"/>
    <w:rsid w:val="00882C2D"/>
    <w:rsid w:val="00882C49"/>
    <w:rsid w:val="00882C67"/>
    <w:rsid w:val="00882C7E"/>
    <w:rsid w:val="00882C8E"/>
    <w:rsid w:val="00882C9A"/>
    <w:rsid w:val="00882CAE"/>
    <w:rsid w:val="00882CB2"/>
    <w:rsid w:val="00882CBF"/>
    <w:rsid w:val="00882D25"/>
    <w:rsid w:val="00882D2E"/>
    <w:rsid w:val="00882D7D"/>
    <w:rsid w:val="00882DBE"/>
    <w:rsid w:val="00882E36"/>
    <w:rsid w:val="00882E93"/>
    <w:rsid w:val="00882E9C"/>
    <w:rsid w:val="00882F11"/>
    <w:rsid w:val="00882F40"/>
    <w:rsid w:val="00882FD1"/>
    <w:rsid w:val="00882FE9"/>
    <w:rsid w:val="0088307E"/>
    <w:rsid w:val="00883086"/>
    <w:rsid w:val="008830C6"/>
    <w:rsid w:val="00883110"/>
    <w:rsid w:val="008831B2"/>
    <w:rsid w:val="008831B8"/>
    <w:rsid w:val="008831B9"/>
    <w:rsid w:val="00883254"/>
    <w:rsid w:val="00883290"/>
    <w:rsid w:val="0088330B"/>
    <w:rsid w:val="008833BF"/>
    <w:rsid w:val="00883417"/>
    <w:rsid w:val="00883434"/>
    <w:rsid w:val="00883445"/>
    <w:rsid w:val="00883477"/>
    <w:rsid w:val="00883479"/>
    <w:rsid w:val="008834CD"/>
    <w:rsid w:val="00883536"/>
    <w:rsid w:val="00883565"/>
    <w:rsid w:val="008835C9"/>
    <w:rsid w:val="008835EF"/>
    <w:rsid w:val="00883609"/>
    <w:rsid w:val="00883629"/>
    <w:rsid w:val="008836CE"/>
    <w:rsid w:val="00883700"/>
    <w:rsid w:val="00883750"/>
    <w:rsid w:val="00883768"/>
    <w:rsid w:val="008837EE"/>
    <w:rsid w:val="00883817"/>
    <w:rsid w:val="00883854"/>
    <w:rsid w:val="0088386A"/>
    <w:rsid w:val="0088387E"/>
    <w:rsid w:val="0088388A"/>
    <w:rsid w:val="008838C7"/>
    <w:rsid w:val="008838CF"/>
    <w:rsid w:val="008838D5"/>
    <w:rsid w:val="008839EB"/>
    <w:rsid w:val="00883A5F"/>
    <w:rsid w:val="00883A61"/>
    <w:rsid w:val="00883A85"/>
    <w:rsid w:val="00883AD1"/>
    <w:rsid w:val="00883AF7"/>
    <w:rsid w:val="00883AFB"/>
    <w:rsid w:val="00883AFD"/>
    <w:rsid w:val="00883B05"/>
    <w:rsid w:val="00883B2F"/>
    <w:rsid w:val="00883B52"/>
    <w:rsid w:val="00883BA7"/>
    <w:rsid w:val="00883BAF"/>
    <w:rsid w:val="00883BC1"/>
    <w:rsid w:val="00883BD3"/>
    <w:rsid w:val="00883C57"/>
    <w:rsid w:val="00883C5D"/>
    <w:rsid w:val="00883C97"/>
    <w:rsid w:val="00883CE2"/>
    <w:rsid w:val="00883D07"/>
    <w:rsid w:val="00883D93"/>
    <w:rsid w:val="00883D95"/>
    <w:rsid w:val="00883D9E"/>
    <w:rsid w:val="00883DD2"/>
    <w:rsid w:val="00883E86"/>
    <w:rsid w:val="00883E96"/>
    <w:rsid w:val="00883F1E"/>
    <w:rsid w:val="00884040"/>
    <w:rsid w:val="00884060"/>
    <w:rsid w:val="008840D9"/>
    <w:rsid w:val="00884114"/>
    <w:rsid w:val="00884154"/>
    <w:rsid w:val="00884159"/>
    <w:rsid w:val="008841BD"/>
    <w:rsid w:val="0088421E"/>
    <w:rsid w:val="0088422C"/>
    <w:rsid w:val="00884287"/>
    <w:rsid w:val="008842E3"/>
    <w:rsid w:val="008843AC"/>
    <w:rsid w:val="008843E2"/>
    <w:rsid w:val="008843F8"/>
    <w:rsid w:val="0088443A"/>
    <w:rsid w:val="0088447C"/>
    <w:rsid w:val="00884492"/>
    <w:rsid w:val="00884501"/>
    <w:rsid w:val="0088452D"/>
    <w:rsid w:val="00884548"/>
    <w:rsid w:val="00884550"/>
    <w:rsid w:val="00884555"/>
    <w:rsid w:val="0088459B"/>
    <w:rsid w:val="008845D3"/>
    <w:rsid w:val="0088462C"/>
    <w:rsid w:val="008846D7"/>
    <w:rsid w:val="008847A0"/>
    <w:rsid w:val="008847AF"/>
    <w:rsid w:val="008847BF"/>
    <w:rsid w:val="008847C3"/>
    <w:rsid w:val="008847CB"/>
    <w:rsid w:val="00884829"/>
    <w:rsid w:val="0088488A"/>
    <w:rsid w:val="00884957"/>
    <w:rsid w:val="0088497C"/>
    <w:rsid w:val="0088498D"/>
    <w:rsid w:val="0088499C"/>
    <w:rsid w:val="008849BA"/>
    <w:rsid w:val="008849E7"/>
    <w:rsid w:val="00884A30"/>
    <w:rsid w:val="00884ABF"/>
    <w:rsid w:val="00884B82"/>
    <w:rsid w:val="00884BA1"/>
    <w:rsid w:val="00884BA7"/>
    <w:rsid w:val="00884BD4"/>
    <w:rsid w:val="00884C12"/>
    <w:rsid w:val="00884C38"/>
    <w:rsid w:val="00884C3F"/>
    <w:rsid w:val="00884CD2"/>
    <w:rsid w:val="00884D28"/>
    <w:rsid w:val="00884DBF"/>
    <w:rsid w:val="00884DED"/>
    <w:rsid w:val="00884E1E"/>
    <w:rsid w:val="00884E2C"/>
    <w:rsid w:val="00884EB3"/>
    <w:rsid w:val="00884EC4"/>
    <w:rsid w:val="00884ECD"/>
    <w:rsid w:val="00884EE2"/>
    <w:rsid w:val="00884EE5"/>
    <w:rsid w:val="00884EF2"/>
    <w:rsid w:val="00884F03"/>
    <w:rsid w:val="00884F3C"/>
    <w:rsid w:val="00885016"/>
    <w:rsid w:val="0088502B"/>
    <w:rsid w:val="00885046"/>
    <w:rsid w:val="00885052"/>
    <w:rsid w:val="0088505B"/>
    <w:rsid w:val="0088508F"/>
    <w:rsid w:val="008850E7"/>
    <w:rsid w:val="008850F4"/>
    <w:rsid w:val="008850F9"/>
    <w:rsid w:val="00885151"/>
    <w:rsid w:val="008851E3"/>
    <w:rsid w:val="008851E8"/>
    <w:rsid w:val="0088520C"/>
    <w:rsid w:val="0088522C"/>
    <w:rsid w:val="00885254"/>
    <w:rsid w:val="008852A3"/>
    <w:rsid w:val="00885387"/>
    <w:rsid w:val="00885391"/>
    <w:rsid w:val="00885394"/>
    <w:rsid w:val="0088541D"/>
    <w:rsid w:val="0088545C"/>
    <w:rsid w:val="0088546E"/>
    <w:rsid w:val="00885477"/>
    <w:rsid w:val="0088551E"/>
    <w:rsid w:val="00885529"/>
    <w:rsid w:val="0088557E"/>
    <w:rsid w:val="00885617"/>
    <w:rsid w:val="00885633"/>
    <w:rsid w:val="0088564C"/>
    <w:rsid w:val="00885673"/>
    <w:rsid w:val="008856C8"/>
    <w:rsid w:val="008856E4"/>
    <w:rsid w:val="008856F4"/>
    <w:rsid w:val="00885822"/>
    <w:rsid w:val="0088585C"/>
    <w:rsid w:val="008858A0"/>
    <w:rsid w:val="008858C5"/>
    <w:rsid w:val="008858DD"/>
    <w:rsid w:val="008858EB"/>
    <w:rsid w:val="0088593E"/>
    <w:rsid w:val="00885963"/>
    <w:rsid w:val="008859B2"/>
    <w:rsid w:val="008859B4"/>
    <w:rsid w:val="008859C7"/>
    <w:rsid w:val="008859D6"/>
    <w:rsid w:val="00885A14"/>
    <w:rsid w:val="00885A17"/>
    <w:rsid w:val="00885A1F"/>
    <w:rsid w:val="00885A36"/>
    <w:rsid w:val="00885A63"/>
    <w:rsid w:val="00885A69"/>
    <w:rsid w:val="00885A72"/>
    <w:rsid w:val="00885AEE"/>
    <w:rsid w:val="00885B10"/>
    <w:rsid w:val="00885B2A"/>
    <w:rsid w:val="00885B78"/>
    <w:rsid w:val="00885B81"/>
    <w:rsid w:val="00885B95"/>
    <w:rsid w:val="00885C70"/>
    <w:rsid w:val="00885C88"/>
    <w:rsid w:val="00885CD2"/>
    <w:rsid w:val="00885CDA"/>
    <w:rsid w:val="00885D06"/>
    <w:rsid w:val="00885D54"/>
    <w:rsid w:val="00885D93"/>
    <w:rsid w:val="00885DEE"/>
    <w:rsid w:val="00885EA7"/>
    <w:rsid w:val="00885EA9"/>
    <w:rsid w:val="00885ED1"/>
    <w:rsid w:val="00885EDA"/>
    <w:rsid w:val="00885F97"/>
    <w:rsid w:val="00885FAD"/>
    <w:rsid w:val="00885FB8"/>
    <w:rsid w:val="00885FE9"/>
    <w:rsid w:val="00886022"/>
    <w:rsid w:val="00886054"/>
    <w:rsid w:val="00886093"/>
    <w:rsid w:val="008860C1"/>
    <w:rsid w:val="00886198"/>
    <w:rsid w:val="008861CC"/>
    <w:rsid w:val="0088622A"/>
    <w:rsid w:val="00886231"/>
    <w:rsid w:val="008862C1"/>
    <w:rsid w:val="008862CA"/>
    <w:rsid w:val="00886349"/>
    <w:rsid w:val="008863A3"/>
    <w:rsid w:val="008863B6"/>
    <w:rsid w:val="0088643E"/>
    <w:rsid w:val="00886477"/>
    <w:rsid w:val="00886480"/>
    <w:rsid w:val="00886499"/>
    <w:rsid w:val="008865FB"/>
    <w:rsid w:val="00886641"/>
    <w:rsid w:val="008866B9"/>
    <w:rsid w:val="00886718"/>
    <w:rsid w:val="00886728"/>
    <w:rsid w:val="0088676B"/>
    <w:rsid w:val="00886786"/>
    <w:rsid w:val="008867CE"/>
    <w:rsid w:val="00886821"/>
    <w:rsid w:val="00886826"/>
    <w:rsid w:val="0088689A"/>
    <w:rsid w:val="008868A4"/>
    <w:rsid w:val="0088692E"/>
    <w:rsid w:val="0088696D"/>
    <w:rsid w:val="008869DA"/>
    <w:rsid w:val="008869DB"/>
    <w:rsid w:val="008869FD"/>
    <w:rsid w:val="00886A0E"/>
    <w:rsid w:val="00886A17"/>
    <w:rsid w:val="00886A1C"/>
    <w:rsid w:val="00886A2B"/>
    <w:rsid w:val="00886A4B"/>
    <w:rsid w:val="00886A7E"/>
    <w:rsid w:val="00886A85"/>
    <w:rsid w:val="00886B53"/>
    <w:rsid w:val="00886B55"/>
    <w:rsid w:val="00886BA8"/>
    <w:rsid w:val="00886BF3"/>
    <w:rsid w:val="00886C2B"/>
    <w:rsid w:val="00886CA5"/>
    <w:rsid w:val="00886D19"/>
    <w:rsid w:val="00886DAE"/>
    <w:rsid w:val="00886E1C"/>
    <w:rsid w:val="00886E24"/>
    <w:rsid w:val="00886E3D"/>
    <w:rsid w:val="00886F21"/>
    <w:rsid w:val="00886F2F"/>
    <w:rsid w:val="00886F44"/>
    <w:rsid w:val="00886F7A"/>
    <w:rsid w:val="00886FA9"/>
    <w:rsid w:val="00886FD7"/>
    <w:rsid w:val="00886FE1"/>
    <w:rsid w:val="00886FFE"/>
    <w:rsid w:val="00887050"/>
    <w:rsid w:val="00887070"/>
    <w:rsid w:val="00887079"/>
    <w:rsid w:val="0088709A"/>
    <w:rsid w:val="0088709F"/>
    <w:rsid w:val="008870AD"/>
    <w:rsid w:val="008870B9"/>
    <w:rsid w:val="008870F8"/>
    <w:rsid w:val="00887106"/>
    <w:rsid w:val="00887116"/>
    <w:rsid w:val="0088712E"/>
    <w:rsid w:val="00887167"/>
    <w:rsid w:val="0088720B"/>
    <w:rsid w:val="00887217"/>
    <w:rsid w:val="0088722F"/>
    <w:rsid w:val="00887280"/>
    <w:rsid w:val="00887283"/>
    <w:rsid w:val="00887290"/>
    <w:rsid w:val="00887291"/>
    <w:rsid w:val="008872D0"/>
    <w:rsid w:val="008872D7"/>
    <w:rsid w:val="0088730E"/>
    <w:rsid w:val="0088733F"/>
    <w:rsid w:val="0088737B"/>
    <w:rsid w:val="0088737C"/>
    <w:rsid w:val="00887444"/>
    <w:rsid w:val="00887479"/>
    <w:rsid w:val="008875B1"/>
    <w:rsid w:val="0088760B"/>
    <w:rsid w:val="0088769B"/>
    <w:rsid w:val="008876B7"/>
    <w:rsid w:val="008876C3"/>
    <w:rsid w:val="008876C8"/>
    <w:rsid w:val="00887734"/>
    <w:rsid w:val="00887755"/>
    <w:rsid w:val="0088778B"/>
    <w:rsid w:val="00887795"/>
    <w:rsid w:val="008877DA"/>
    <w:rsid w:val="0088781F"/>
    <w:rsid w:val="00887877"/>
    <w:rsid w:val="0088789A"/>
    <w:rsid w:val="008878BD"/>
    <w:rsid w:val="008878C4"/>
    <w:rsid w:val="00887939"/>
    <w:rsid w:val="0088798F"/>
    <w:rsid w:val="00887A53"/>
    <w:rsid w:val="00887AF3"/>
    <w:rsid w:val="00887B67"/>
    <w:rsid w:val="00887BB6"/>
    <w:rsid w:val="00887BE6"/>
    <w:rsid w:val="00887BEA"/>
    <w:rsid w:val="00887C5C"/>
    <w:rsid w:val="00887CBA"/>
    <w:rsid w:val="00887CCB"/>
    <w:rsid w:val="00887CF3"/>
    <w:rsid w:val="00887D3B"/>
    <w:rsid w:val="00887D3E"/>
    <w:rsid w:val="00887D57"/>
    <w:rsid w:val="00887DB6"/>
    <w:rsid w:val="00887DBD"/>
    <w:rsid w:val="00887E85"/>
    <w:rsid w:val="00887F51"/>
    <w:rsid w:val="00887F5D"/>
    <w:rsid w:val="00887F8B"/>
    <w:rsid w:val="00890057"/>
    <w:rsid w:val="00890070"/>
    <w:rsid w:val="008900C7"/>
    <w:rsid w:val="00890101"/>
    <w:rsid w:val="00890109"/>
    <w:rsid w:val="00890126"/>
    <w:rsid w:val="008901BD"/>
    <w:rsid w:val="008901C3"/>
    <w:rsid w:val="00890247"/>
    <w:rsid w:val="00890256"/>
    <w:rsid w:val="0089026E"/>
    <w:rsid w:val="0089026F"/>
    <w:rsid w:val="008902A6"/>
    <w:rsid w:val="00890316"/>
    <w:rsid w:val="00890335"/>
    <w:rsid w:val="0089033D"/>
    <w:rsid w:val="00890348"/>
    <w:rsid w:val="00890388"/>
    <w:rsid w:val="008903AA"/>
    <w:rsid w:val="008903B8"/>
    <w:rsid w:val="008903C8"/>
    <w:rsid w:val="008903ED"/>
    <w:rsid w:val="00890479"/>
    <w:rsid w:val="0089047F"/>
    <w:rsid w:val="008904B0"/>
    <w:rsid w:val="008904D4"/>
    <w:rsid w:val="008904ED"/>
    <w:rsid w:val="008904F4"/>
    <w:rsid w:val="008904FF"/>
    <w:rsid w:val="00890505"/>
    <w:rsid w:val="00890513"/>
    <w:rsid w:val="0089058D"/>
    <w:rsid w:val="008905CD"/>
    <w:rsid w:val="008905F3"/>
    <w:rsid w:val="0089066A"/>
    <w:rsid w:val="0089068E"/>
    <w:rsid w:val="0089072C"/>
    <w:rsid w:val="00890734"/>
    <w:rsid w:val="008907B5"/>
    <w:rsid w:val="008907BE"/>
    <w:rsid w:val="008907CE"/>
    <w:rsid w:val="008907DD"/>
    <w:rsid w:val="008908A2"/>
    <w:rsid w:val="008908EB"/>
    <w:rsid w:val="008908F3"/>
    <w:rsid w:val="00890900"/>
    <w:rsid w:val="0089092C"/>
    <w:rsid w:val="0089094D"/>
    <w:rsid w:val="00890968"/>
    <w:rsid w:val="008909A9"/>
    <w:rsid w:val="008909D5"/>
    <w:rsid w:val="00890A2C"/>
    <w:rsid w:val="00890AB2"/>
    <w:rsid w:val="00890ADA"/>
    <w:rsid w:val="00890B09"/>
    <w:rsid w:val="00890B64"/>
    <w:rsid w:val="00890BD1"/>
    <w:rsid w:val="00890CF7"/>
    <w:rsid w:val="00890D0F"/>
    <w:rsid w:val="00890E2D"/>
    <w:rsid w:val="00890E38"/>
    <w:rsid w:val="00890E54"/>
    <w:rsid w:val="00890E75"/>
    <w:rsid w:val="00890E87"/>
    <w:rsid w:val="00890EBD"/>
    <w:rsid w:val="00890EEC"/>
    <w:rsid w:val="00890EF8"/>
    <w:rsid w:val="00890F02"/>
    <w:rsid w:val="00890F16"/>
    <w:rsid w:val="00890FAA"/>
    <w:rsid w:val="00891001"/>
    <w:rsid w:val="00891007"/>
    <w:rsid w:val="00891056"/>
    <w:rsid w:val="0089106C"/>
    <w:rsid w:val="00891087"/>
    <w:rsid w:val="008910B3"/>
    <w:rsid w:val="008910C7"/>
    <w:rsid w:val="00891145"/>
    <w:rsid w:val="0089118C"/>
    <w:rsid w:val="008911C5"/>
    <w:rsid w:val="008911E4"/>
    <w:rsid w:val="008911FF"/>
    <w:rsid w:val="0089121C"/>
    <w:rsid w:val="00891263"/>
    <w:rsid w:val="00891270"/>
    <w:rsid w:val="00891272"/>
    <w:rsid w:val="008912C6"/>
    <w:rsid w:val="00891314"/>
    <w:rsid w:val="00891335"/>
    <w:rsid w:val="008913AB"/>
    <w:rsid w:val="008913B4"/>
    <w:rsid w:val="008913CA"/>
    <w:rsid w:val="008913DC"/>
    <w:rsid w:val="00891475"/>
    <w:rsid w:val="008914DC"/>
    <w:rsid w:val="00891574"/>
    <w:rsid w:val="008915B6"/>
    <w:rsid w:val="008915C7"/>
    <w:rsid w:val="008915DE"/>
    <w:rsid w:val="008915E7"/>
    <w:rsid w:val="00891625"/>
    <w:rsid w:val="0089163B"/>
    <w:rsid w:val="0089166D"/>
    <w:rsid w:val="00891677"/>
    <w:rsid w:val="00891695"/>
    <w:rsid w:val="008916A4"/>
    <w:rsid w:val="008916F4"/>
    <w:rsid w:val="00891740"/>
    <w:rsid w:val="00891751"/>
    <w:rsid w:val="00891756"/>
    <w:rsid w:val="00891784"/>
    <w:rsid w:val="00891796"/>
    <w:rsid w:val="008917E5"/>
    <w:rsid w:val="00891838"/>
    <w:rsid w:val="0089183C"/>
    <w:rsid w:val="008918BB"/>
    <w:rsid w:val="008918FB"/>
    <w:rsid w:val="0089191B"/>
    <w:rsid w:val="008919F4"/>
    <w:rsid w:val="00891A71"/>
    <w:rsid w:val="00891A79"/>
    <w:rsid w:val="00891AD7"/>
    <w:rsid w:val="00891B59"/>
    <w:rsid w:val="00891B6F"/>
    <w:rsid w:val="00891BBA"/>
    <w:rsid w:val="00891BCB"/>
    <w:rsid w:val="00891C16"/>
    <w:rsid w:val="00891C3B"/>
    <w:rsid w:val="00891CC3"/>
    <w:rsid w:val="00891CE2"/>
    <w:rsid w:val="00891CFF"/>
    <w:rsid w:val="00891D04"/>
    <w:rsid w:val="00891D24"/>
    <w:rsid w:val="00891D65"/>
    <w:rsid w:val="00891D6F"/>
    <w:rsid w:val="00891D75"/>
    <w:rsid w:val="00891DD4"/>
    <w:rsid w:val="00891DF3"/>
    <w:rsid w:val="00891E49"/>
    <w:rsid w:val="00891E55"/>
    <w:rsid w:val="00891EA9"/>
    <w:rsid w:val="00891F53"/>
    <w:rsid w:val="00891FE1"/>
    <w:rsid w:val="00892093"/>
    <w:rsid w:val="008920EC"/>
    <w:rsid w:val="008920FA"/>
    <w:rsid w:val="0089219D"/>
    <w:rsid w:val="008921AB"/>
    <w:rsid w:val="00892232"/>
    <w:rsid w:val="0089224F"/>
    <w:rsid w:val="00892271"/>
    <w:rsid w:val="00892287"/>
    <w:rsid w:val="008922B0"/>
    <w:rsid w:val="008923C8"/>
    <w:rsid w:val="0089244A"/>
    <w:rsid w:val="00892486"/>
    <w:rsid w:val="00892491"/>
    <w:rsid w:val="008924BD"/>
    <w:rsid w:val="008924FB"/>
    <w:rsid w:val="008924FC"/>
    <w:rsid w:val="00892564"/>
    <w:rsid w:val="00892571"/>
    <w:rsid w:val="008925BA"/>
    <w:rsid w:val="008925D9"/>
    <w:rsid w:val="0089263B"/>
    <w:rsid w:val="00892651"/>
    <w:rsid w:val="00892689"/>
    <w:rsid w:val="00892695"/>
    <w:rsid w:val="008926A7"/>
    <w:rsid w:val="008926C0"/>
    <w:rsid w:val="00892710"/>
    <w:rsid w:val="00892768"/>
    <w:rsid w:val="00892801"/>
    <w:rsid w:val="008928B8"/>
    <w:rsid w:val="008928BE"/>
    <w:rsid w:val="008928FD"/>
    <w:rsid w:val="00892A17"/>
    <w:rsid w:val="00892A55"/>
    <w:rsid w:val="00892A58"/>
    <w:rsid w:val="00892A79"/>
    <w:rsid w:val="00892AA1"/>
    <w:rsid w:val="00892AD5"/>
    <w:rsid w:val="00892AF1"/>
    <w:rsid w:val="00892B70"/>
    <w:rsid w:val="00892BEA"/>
    <w:rsid w:val="00892BFD"/>
    <w:rsid w:val="00892C9D"/>
    <w:rsid w:val="00892CD9"/>
    <w:rsid w:val="00892D0D"/>
    <w:rsid w:val="00892D5B"/>
    <w:rsid w:val="00892D67"/>
    <w:rsid w:val="00892D6F"/>
    <w:rsid w:val="00892D9B"/>
    <w:rsid w:val="00892DB4"/>
    <w:rsid w:val="00892DBE"/>
    <w:rsid w:val="00892E87"/>
    <w:rsid w:val="00892EDA"/>
    <w:rsid w:val="00892EF1"/>
    <w:rsid w:val="00892F11"/>
    <w:rsid w:val="00892F1B"/>
    <w:rsid w:val="00892F57"/>
    <w:rsid w:val="00893021"/>
    <w:rsid w:val="0089303B"/>
    <w:rsid w:val="00893041"/>
    <w:rsid w:val="00893066"/>
    <w:rsid w:val="0089308A"/>
    <w:rsid w:val="008930A4"/>
    <w:rsid w:val="008930AB"/>
    <w:rsid w:val="008930B5"/>
    <w:rsid w:val="00893101"/>
    <w:rsid w:val="0089312E"/>
    <w:rsid w:val="0089315D"/>
    <w:rsid w:val="00893161"/>
    <w:rsid w:val="0089318F"/>
    <w:rsid w:val="00893235"/>
    <w:rsid w:val="0089323C"/>
    <w:rsid w:val="00893255"/>
    <w:rsid w:val="00893353"/>
    <w:rsid w:val="00893393"/>
    <w:rsid w:val="008933BF"/>
    <w:rsid w:val="00893429"/>
    <w:rsid w:val="00893451"/>
    <w:rsid w:val="008934B8"/>
    <w:rsid w:val="008934D9"/>
    <w:rsid w:val="008934F7"/>
    <w:rsid w:val="0089353B"/>
    <w:rsid w:val="00893550"/>
    <w:rsid w:val="00893556"/>
    <w:rsid w:val="0089356A"/>
    <w:rsid w:val="008935F4"/>
    <w:rsid w:val="00893642"/>
    <w:rsid w:val="00893663"/>
    <w:rsid w:val="00893678"/>
    <w:rsid w:val="008936F7"/>
    <w:rsid w:val="00893747"/>
    <w:rsid w:val="0089375E"/>
    <w:rsid w:val="008937BD"/>
    <w:rsid w:val="008937D9"/>
    <w:rsid w:val="0089381B"/>
    <w:rsid w:val="0089385D"/>
    <w:rsid w:val="008938B9"/>
    <w:rsid w:val="008938EE"/>
    <w:rsid w:val="00893A0F"/>
    <w:rsid w:val="00893A10"/>
    <w:rsid w:val="00893A1E"/>
    <w:rsid w:val="00893A2A"/>
    <w:rsid w:val="00893A5C"/>
    <w:rsid w:val="00893A78"/>
    <w:rsid w:val="00893A7C"/>
    <w:rsid w:val="00893A86"/>
    <w:rsid w:val="00893A9E"/>
    <w:rsid w:val="00893AC1"/>
    <w:rsid w:val="00893AD0"/>
    <w:rsid w:val="00893AD1"/>
    <w:rsid w:val="00893AEC"/>
    <w:rsid w:val="00893AEE"/>
    <w:rsid w:val="00893B5A"/>
    <w:rsid w:val="00893BB6"/>
    <w:rsid w:val="00893BC2"/>
    <w:rsid w:val="00893BE4"/>
    <w:rsid w:val="00893C2B"/>
    <w:rsid w:val="00893C44"/>
    <w:rsid w:val="00893C55"/>
    <w:rsid w:val="00893CD0"/>
    <w:rsid w:val="00893CE3"/>
    <w:rsid w:val="00893D1E"/>
    <w:rsid w:val="00893D4F"/>
    <w:rsid w:val="00893DB0"/>
    <w:rsid w:val="00893DD7"/>
    <w:rsid w:val="00893E53"/>
    <w:rsid w:val="00893EA8"/>
    <w:rsid w:val="00893EB9"/>
    <w:rsid w:val="00893F45"/>
    <w:rsid w:val="00893F48"/>
    <w:rsid w:val="00893FF7"/>
    <w:rsid w:val="00894002"/>
    <w:rsid w:val="00894010"/>
    <w:rsid w:val="0089405E"/>
    <w:rsid w:val="0089405F"/>
    <w:rsid w:val="0089407B"/>
    <w:rsid w:val="008940D8"/>
    <w:rsid w:val="008940EB"/>
    <w:rsid w:val="008940F4"/>
    <w:rsid w:val="008940FF"/>
    <w:rsid w:val="00894134"/>
    <w:rsid w:val="0089413E"/>
    <w:rsid w:val="00894142"/>
    <w:rsid w:val="008941C8"/>
    <w:rsid w:val="008941F6"/>
    <w:rsid w:val="008941F7"/>
    <w:rsid w:val="00894225"/>
    <w:rsid w:val="00894243"/>
    <w:rsid w:val="00894314"/>
    <w:rsid w:val="008943AC"/>
    <w:rsid w:val="008943E3"/>
    <w:rsid w:val="00894444"/>
    <w:rsid w:val="00894470"/>
    <w:rsid w:val="0089448F"/>
    <w:rsid w:val="008944AD"/>
    <w:rsid w:val="008945AA"/>
    <w:rsid w:val="008945B9"/>
    <w:rsid w:val="008945C5"/>
    <w:rsid w:val="008945E5"/>
    <w:rsid w:val="00894639"/>
    <w:rsid w:val="008946C4"/>
    <w:rsid w:val="008946D4"/>
    <w:rsid w:val="0089471A"/>
    <w:rsid w:val="0089475F"/>
    <w:rsid w:val="00894766"/>
    <w:rsid w:val="0089479A"/>
    <w:rsid w:val="008947A3"/>
    <w:rsid w:val="0089481B"/>
    <w:rsid w:val="0089482E"/>
    <w:rsid w:val="0089483B"/>
    <w:rsid w:val="00894897"/>
    <w:rsid w:val="0089490F"/>
    <w:rsid w:val="00894964"/>
    <w:rsid w:val="00894982"/>
    <w:rsid w:val="008949D7"/>
    <w:rsid w:val="008949FA"/>
    <w:rsid w:val="00894A19"/>
    <w:rsid w:val="00894AAE"/>
    <w:rsid w:val="00894ACD"/>
    <w:rsid w:val="00894AEB"/>
    <w:rsid w:val="00894B24"/>
    <w:rsid w:val="00894B3B"/>
    <w:rsid w:val="00894B60"/>
    <w:rsid w:val="00894BA1"/>
    <w:rsid w:val="00894BCE"/>
    <w:rsid w:val="00894C13"/>
    <w:rsid w:val="00894C15"/>
    <w:rsid w:val="00894C96"/>
    <w:rsid w:val="00894CB1"/>
    <w:rsid w:val="00894CE1"/>
    <w:rsid w:val="00894D52"/>
    <w:rsid w:val="00894D8E"/>
    <w:rsid w:val="00894DF7"/>
    <w:rsid w:val="00894E44"/>
    <w:rsid w:val="00894E56"/>
    <w:rsid w:val="00894E5D"/>
    <w:rsid w:val="00894E60"/>
    <w:rsid w:val="00894EB8"/>
    <w:rsid w:val="00894ED0"/>
    <w:rsid w:val="00894F09"/>
    <w:rsid w:val="00894F31"/>
    <w:rsid w:val="00894F7D"/>
    <w:rsid w:val="00894F91"/>
    <w:rsid w:val="00894FA2"/>
    <w:rsid w:val="00894FB4"/>
    <w:rsid w:val="00895001"/>
    <w:rsid w:val="00895031"/>
    <w:rsid w:val="00895086"/>
    <w:rsid w:val="008950A3"/>
    <w:rsid w:val="008950D7"/>
    <w:rsid w:val="008950FC"/>
    <w:rsid w:val="00895156"/>
    <w:rsid w:val="00895197"/>
    <w:rsid w:val="008951D0"/>
    <w:rsid w:val="008951EE"/>
    <w:rsid w:val="00895231"/>
    <w:rsid w:val="008952AE"/>
    <w:rsid w:val="00895372"/>
    <w:rsid w:val="008953A5"/>
    <w:rsid w:val="008953B1"/>
    <w:rsid w:val="008953CB"/>
    <w:rsid w:val="00895423"/>
    <w:rsid w:val="00895458"/>
    <w:rsid w:val="00895461"/>
    <w:rsid w:val="00895482"/>
    <w:rsid w:val="008954C9"/>
    <w:rsid w:val="0089551D"/>
    <w:rsid w:val="0089558F"/>
    <w:rsid w:val="008955AF"/>
    <w:rsid w:val="00895620"/>
    <w:rsid w:val="00895680"/>
    <w:rsid w:val="00895750"/>
    <w:rsid w:val="008957B1"/>
    <w:rsid w:val="008957DF"/>
    <w:rsid w:val="0089583F"/>
    <w:rsid w:val="00895870"/>
    <w:rsid w:val="008958A5"/>
    <w:rsid w:val="008958E3"/>
    <w:rsid w:val="008958E7"/>
    <w:rsid w:val="008958F5"/>
    <w:rsid w:val="008958FB"/>
    <w:rsid w:val="0089591B"/>
    <w:rsid w:val="00895933"/>
    <w:rsid w:val="0089595C"/>
    <w:rsid w:val="00895A72"/>
    <w:rsid w:val="00895AA7"/>
    <w:rsid w:val="00895AD4"/>
    <w:rsid w:val="00895B6A"/>
    <w:rsid w:val="00895B95"/>
    <w:rsid w:val="00895BA9"/>
    <w:rsid w:val="00895BBB"/>
    <w:rsid w:val="00895C26"/>
    <w:rsid w:val="00895D06"/>
    <w:rsid w:val="00895D0E"/>
    <w:rsid w:val="00895D12"/>
    <w:rsid w:val="00895D7D"/>
    <w:rsid w:val="00895D90"/>
    <w:rsid w:val="00895DCC"/>
    <w:rsid w:val="00895F63"/>
    <w:rsid w:val="00895F6B"/>
    <w:rsid w:val="00895FC3"/>
    <w:rsid w:val="00895FE4"/>
    <w:rsid w:val="00896013"/>
    <w:rsid w:val="00896018"/>
    <w:rsid w:val="0089603F"/>
    <w:rsid w:val="0089604E"/>
    <w:rsid w:val="0089607A"/>
    <w:rsid w:val="008960A1"/>
    <w:rsid w:val="0089619E"/>
    <w:rsid w:val="008961B7"/>
    <w:rsid w:val="008961ED"/>
    <w:rsid w:val="00896251"/>
    <w:rsid w:val="008962A5"/>
    <w:rsid w:val="008962C3"/>
    <w:rsid w:val="008962D7"/>
    <w:rsid w:val="0089631F"/>
    <w:rsid w:val="0089632A"/>
    <w:rsid w:val="00896342"/>
    <w:rsid w:val="0089634A"/>
    <w:rsid w:val="0089650B"/>
    <w:rsid w:val="00896528"/>
    <w:rsid w:val="00896621"/>
    <w:rsid w:val="00896634"/>
    <w:rsid w:val="0089664D"/>
    <w:rsid w:val="008966B4"/>
    <w:rsid w:val="00896745"/>
    <w:rsid w:val="008967D1"/>
    <w:rsid w:val="00896813"/>
    <w:rsid w:val="00896858"/>
    <w:rsid w:val="008968AF"/>
    <w:rsid w:val="008968B2"/>
    <w:rsid w:val="008968BA"/>
    <w:rsid w:val="00896946"/>
    <w:rsid w:val="00896951"/>
    <w:rsid w:val="0089696D"/>
    <w:rsid w:val="00896A61"/>
    <w:rsid w:val="00896A85"/>
    <w:rsid w:val="00896ABA"/>
    <w:rsid w:val="00896B0B"/>
    <w:rsid w:val="00896B33"/>
    <w:rsid w:val="00896C5D"/>
    <w:rsid w:val="00896CC9"/>
    <w:rsid w:val="00896CD8"/>
    <w:rsid w:val="00896CE4"/>
    <w:rsid w:val="00896CEF"/>
    <w:rsid w:val="00896D5D"/>
    <w:rsid w:val="00896DAB"/>
    <w:rsid w:val="00896DE5"/>
    <w:rsid w:val="00896E26"/>
    <w:rsid w:val="00896E37"/>
    <w:rsid w:val="00896EFF"/>
    <w:rsid w:val="00896F18"/>
    <w:rsid w:val="00896F36"/>
    <w:rsid w:val="00897001"/>
    <w:rsid w:val="00897028"/>
    <w:rsid w:val="008970B7"/>
    <w:rsid w:val="008970BB"/>
    <w:rsid w:val="008970E0"/>
    <w:rsid w:val="00897156"/>
    <w:rsid w:val="008972BC"/>
    <w:rsid w:val="008972C4"/>
    <w:rsid w:val="008972ED"/>
    <w:rsid w:val="0089736F"/>
    <w:rsid w:val="00897373"/>
    <w:rsid w:val="0089737D"/>
    <w:rsid w:val="0089738E"/>
    <w:rsid w:val="00897427"/>
    <w:rsid w:val="00897431"/>
    <w:rsid w:val="0089745A"/>
    <w:rsid w:val="00897486"/>
    <w:rsid w:val="00897502"/>
    <w:rsid w:val="00897510"/>
    <w:rsid w:val="00897568"/>
    <w:rsid w:val="0089768D"/>
    <w:rsid w:val="008976DE"/>
    <w:rsid w:val="0089770D"/>
    <w:rsid w:val="0089772C"/>
    <w:rsid w:val="008977D0"/>
    <w:rsid w:val="00897858"/>
    <w:rsid w:val="00897863"/>
    <w:rsid w:val="00897866"/>
    <w:rsid w:val="00897872"/>
    <w:rsid w:val="0089791E"/>
    <w:rsid w:val="00897A14"/>
    <w:rsid w:val="00897A85"/>
    <w:rsid w:val="00897ACA"/>
    <w:rsid w:val="00897AF6"/>
    <w:rsid w:val="00897B06"/>
    <w:rsid w:val="00897B88"/>
    <w:rsid w:val="00897BB6"/>
    <w:rsid w:val="00897BBC"/>
    <w:rsid w:val="00897BFA"/>
    <w:rsid w:val="00897C59"/>
    <w:rsid w:val="00897C9E"/>
    <w:rsid w:val="00897D00"/>
    <w:rsid w:val="00897D04"/>
    <w:rsid w:val="00897D1F"/>
    <w:rsid w:val="00897D21"/>
    <w:rsid w:val="00897DA0"/>
    <w:rsid w:val="00897DA9"/>
    <w:rsid w:val="00897DE0"/>
    <w:rsid w:val="00897E31"/>
    <w:rsid w:val="00897EB2"/>
    <w:rsid w:val="00897ED5"/>
    <w:rsid w:val="00897EEA"/>
    <w:rsid w:val="00897F78"/>
    <w:rsid w:val="008A0013"/>
    <w:rsid w:val="008A003A"/>
    <w:rsid w:val="008A00DB"/>
    <w:rsid w:val="008A00F7"/>
    <w:rsid w:val="008A0107"/>
    <w:rsid w:val="008A0127"/>
    <w:rsid w:val="008A014C"/>
    <w:rsid w:val="008A0176"/>
    <w:rsid w:val="008A01BD"/>
    <w:rsid w:val="008A01FD"/>
    <w:rsid w:val="008A0256"/>
    <w:rsid w:val="008A029F"/>
    <w:rsid w:val="008A02AA"/>
    <w:rsid w:val="008A02B5"/>
    <w:rsid w:val="008A02EB"/>
    <w:rsid w:val="008A0309"/>
    <w:rsid w:val="008A033A"/>
    <w:rsid w:val="008A0360"/>
    <w:rsid w:val="008A03EB"/>
    <w:rsid w:val="008A03F5"/>
    <w:rsid w:val="008A0492"/>
    <w:rsid w:val="008A04A6"/>
    <w:rsid w:val="008A04BF"/>
    <w:rsid w:val="008A0514"/>
    <w:rsid w:val="008A0527"/>
    <w:rsid w:val="008A0576"/>
    <w:rsid w:val="008A05BA"/>
    <w:rsid w:val="008A05DC"/>
    <w:rsid w:val="008A05EC"/>
    <w:rsid w:val="008A0659"/>
    <w:rsid w:val="008A06DA"/>
    <w:rsid w:val="008A074B"/>
    <w:rsid w:val="008A075B"/>
    <w:rsid w:val="008A076A"/>
    <w:rsid w:val="008A077C"/>
    <w:rsid w:val="008A079D"/>
    <w:rsid w:val="008A07AB"/>
    <w:rsid w:val="008A081C"/>
    <w:rsid w:val="008A0894"/>
    <w:rsid w:val="008A08BD"/>
    <w:rsid w:val="008A08D8"/>
    <w:rsid w:val="008A099E"/>
    <w:rsid w:val="008A09C7"/>
    <w:rsid w:val="008A09DD"/>
    <w:rsid w:val="008A0AB2"/>
    <w:rsid w:val="008A0AF0"/>
    <w:rsid w:val="008A0AF3"/>
    <w:rsid w:val="008A0B62"/>
    <w:rsid w:val="008A0C27"/>
    <w:rsid w:val="008A0C52"/>
    <w:rsid w:val="008A0D06"/>
    <w:rsid w:val="008A0D50"/>
    <w:rsid w:val="008A0D81"/>
    <w:rsid w:val="008A0D8C"/>
    <w:rsid w:val="008A0E00"/>
    <w:rsid w:val="008A0E50"/>
    <w:rsid w:val="008A0E73"/>
    <w:rsid w:val="008A0EE8"/>
    <w:rsid w:val="008A0F0E"/>
    <w:rsid w:val="008A0F32"/>
    <w:rsid w:val="008A0F6B"/>
    <w:rsid w:val="008A0F74"/>
    <w:rsid w:val="008A0FB4"/>
    <w:rsid w:val="008A0FC6"/>
    <w:rsid w:val="008A1024"/>
    <w:rsid w:val="008A1067"/>
    <w:rsid w:val="008A1079"/>
    <w:rsid w:val="008A109D"/>
    <w:rsid w:val="008A10B9"/>
    <w:rsid w:val="008A10DE"/>
    <w:rsid w:val="008A10EF"/>
    <w:rsid w:val="008A114D"/>
    <w:rsid w:val="008A1165"/>
    <w:rsid w:val="008A122E"/>
    <w:rsid w:val="008A1292"/>
    <w:rsid w:val="008A12B3"/>
    <w:rsid w:val="008A1358"/>
    <w:rsid w:val="008A1393"/>
    <w:rsid w:val="008A13EF"/>
    <w:rsid w:val="008A14A5"/>
    <w:rsid w:val="008A14AB"/>
    <w:rsid w:val="008A14B7"/>
    <w:rsid w:val="008A14C7"/>
    <w:rsid w:val="008A1524"/>
    <w:rsid w:val="008A1538"/>
    <w:rsid w:val="008A15CF"/>
    <w:rsid w:val="008A1629"/>
    <w:rsid w:val="008A162F"/>
    <w:rsid w:val="008A165D"/>
    <w:rsid w:val="008A1694"/>
    <w:rsid w:val="008A16A5"/>
    <w:rsid w:val="008A16A9"/>
    <w:rsid w:val="008A16E4"/>
    <w:rsid w:val="008A16FC"/>
    <w:rsid w:val="008A1746"/>
    <w:rsid w:val="008A175F"/>
    <w:rsid w:val="008A17E7"/>
    <w:rsid w:val="008A17F6"/>
    <w:rsid w:val="008A1815"/>
    <w:rsid w:val="008A18A1"/>
    <w:rsid w:val="008A18D9"/>
    <w:rsid w:val="008A190F"/>
    <w:rsid w:val="008A191F"/>
    <w:rsid w:val="008A198D"/>
    <w:rsid w:val="008A19DF"/>
    <w:rsid w:val="008A1B37"/>
    <w:rsid w:val="008A1BAA"/>
    <w:rsid w:val="008A1BBC"/>
    <w:rsid w:val="008A1BC3"/>
    <w:rsid w:val="008A1C43"/>
    <w:rsid w:val="008A1C70"/>
    <w:rsid w:val="008A1CE3"/>
    <w:rsid w:val="008A1D99"/>
    <w:rsid w:val="008A1DC1"/>
    <w:rsid w:val="008A1E21"/>
    <w:rsid w:val="008A1E68"/>
    <w:rsid w:val="008A1EA6"/>
    <w:rsid w:val="008A1EEA"/>
    <w:rsid w:val="008A1EF5"/>
    <w:rsid w:val="008A1F01"/>
    <w:rsid w:val="008A1F44"/>
    <w:rsid w:val="008A1FBF"/>
    <w:rsid w:val="008A1FF4"/>
    <w:rsid w:val="008A2052"/>
    <w:rsid w:val="008A2085"/>
    <w:rsid w:val="008A20C4"/>
    <w:rsid w:val="008A20E3"/>
    <w:rsid w:val="008A216F"/>
    <w:rsid w:val="008A2197"/>
    <w:rsid w:val="008A21C6"/>
    <w:rsid w:val="008A21F5"/>
    <w:rsid w:val="008A2267"/>
    <w:rsid w:val="008A22A9"/>
    <w:rsid w:val="008A22B1"/>
    <w:rsid w:val="008A22B8"/>
    <w:rsid w:val="008A22D1"/>
    <w:rsid w:val="008A2378"/>
    <w:rsid w:val="008A2403"/>
    <w:rsid w:val="008A244F"/>
    <w:rsid w:val="008A24E7"/>
    <w:rsid w:val="008A24EB"/>
    <w:rsid w:val="008A2540"/>
    <w:rsid w:val="008A2542"/>
    <w:rsid w:val="008A2629"/>
    <w:rsid w:val="008A262B"/>
    <w:rsid w:val="008A2649"/>
    <w:rsid w:val="008A2675"/>
    <w:rsid w:val="008A2678"/>
    <w:rsid w:val="008A268C"/>
    <w:rsid w:val="008A2697"/>
    <w:rsid w:val="008A26A5"/>
    <w:rsid w:val="008A26F5"/>
    <w:rsid w:val="008A2716"/>
    <w:rsid w:val="008A2735"/>
    <w:rsid w:val="008A27A7"/>
    <w:rsid w:val="008A2830"/>
    <w:rsid w:val="008A2861"/>
    <w:rsid w:val="008A2940"/>
    <w:rsid w:val="008A29DC"/>
    <w:rsid w:val="008A29E4"/>
    <w:rsid w:val="008A2A2E"/>
    <w:rsid w:val="008A2A37"/>
    <w:rsid w:val="008A2A86"/>
    <w:rsid w:val="008A2ACA"/>
    <w:rsid w:val="008A2B5E"/>
    <w:rsid w:val="008A2B67"/>
    <w:rsid w:val="008A2B71"/>
    <w:rsid w:val="008A2B83"/>
    <w:rsid w:val="008A2B85"/>
    <w:rsid w:val="008A2BBE"/>
    <w:rsid w:val="008A2CB3"/>
    <w:rsid w:val="008A2CE5"/>
    <w:rsid w:val="008A2CF5"/>
    <w:rsid w:val="008A2D93"/>
    <w:rsid w:val="008A2E61"/>
    <w:rsid w:val="008A2E68"/>
    <w:rsid w:val="008A2E7C"/>
    <w:rsid w:val="008A2E9F"/>
    <w:rsid w:val="008A2F38"/>
    <w:rsid w:val="008A2F64"/>
    <w:rsid w:val="008A2FB3"/>
    <w:rsid w:val="008A2FB7"/>
    <w:rsid w:val="008A2FBD"/>
    <w:rsid w:val="008A30D3"/>
    <w:rsid w:val="008A30F7"/>
    <w:rsid w:val="008A3107"/>
    <w:rsid w:val="008A3119"/>
    <w:rsid w:val="008A3173"/>
    <w:rsid w:val="008A317B"/>
    <w:rsid w:val="008A31F6"/>
    <w:rsid w:val="008A3238"/>
    <w:rsid w:val="008A3245"/>
    <w:rsid w:val="008A3252"/>
    <w:rsid w:val="008A32DC"/>
    <w:rsid w:val="008A3409"/>
    <w:rsid w:val="008A3416"/>
    <w:rsid w:val="008A346B"/>
    <w:rsid w:val="008A3487"/>
    <w:rsid w:val="008A348D"/>
    <w:rsid w:val="008A3509"/>
    <w:rsid w:val="008A352A"/>
    <w:rsid w:val="008A359C"/>
    <w:rsid w:val="008A35AC"/>
    <w:rsid w:val="008A365D"/>
    <w:rsid w:val="008A368B"/>
    <w:rsid w:val="008A36D1"/>
    <w:rsid w:val="008A3726"/>
    <w:rsid w:val="008A3731"/>
    <w:rsid w:val="008A374F"/>
    <w:rsid w:val="008A3756"/>
    <w:rsid w:val="008A37CE"/>
    <w:rsid w:val="008A37F1"/>
    <w:rsid w:val="008A3858"/>
    <w:rsid w:val="008A386F"/>
    <w:rsid w:val="008A3878"/>
    <w:rsid w:val="008A38C5"/>
    <w:rsid w:val="008A38D7"/>
    <w:rsid w:val="008A3967"/>
    <w:rsid w:val="008A3991"/>
    <w:rsid w:val="008A3994"/>
    <w:rsid w:val="008A3A16"/>
    <w:rsid w:val="008A3A4B"/>
    <w:rsid w:val="008A3A5A"/>
    <w:rsid w:val="008A3AA9"/>
    <w:rsid w:val="008A3B2D"/>
    <w:rsid w:val="008A3B89"/>
    <w:rsid w:val="008A3B94"/>
    <w:rsid w:val="008A3BB3"/>
    <w:rsid w:val="008A3BD8"/>
    <w:rsid w:val="008A3C16"/>
    <w:rsid w:val="008A3C1B"/>
    <w:rsid w:val="008A3C39"/>
    <w:rsid w:val="008A3C6C"/>
    <w:rsid w:val="008A3C6E"/>
    <w:rsid w:val="008A3CF0"/>
    <w:rsid w:val="008A3CF5"/>
    <w:rsid w:val="008A3CF7"/>
    <w:rsid w:val="008A3D16"/>
    <w:rsid w:val="008A3D1C"/>
    <w:rsid w:val="008A3D72"/>
    <w:rsid w:val="008A3DB3"/>
    <w:rsid w:val="008A3DDD"/>
    <w:rsid w:val="008A3E11"/>
    <w:rsid w:val="008A3E89"/>
    <w:rsid w:val="008A3EC6"/>
    <w:rsid w:val="008A3F21"/>
    <w:rsid w:val="008A3F2A"/>
    <w:rsid w:val="008A3F72"/>
    <w:rsid w:val="008A3FC0"/>
    <w:rsid w:val="008A4011"/>
    <w:rsid w:val="008A4067"/>
    <w:rsid w:val="008A4068"/>
    <w:rsid w:val="008A406A"/>
    <w:rsid w:val="008A40CA"/>
    <w:rsid w:val="008A40DA"/>
    <w:rsid w:val="008A40EC"/>
    <w:rsid w:val="008A4101"/>
    <w:rsid w:val="008A413B"/>
    <w:rsid w:val="008A4161"/>
    <w:rsid w:val="008A41B0"/>
    <w:rsid w:val="008A41B4"/>
    <w:rsid w:val="008A42C0"/>
    <w:rsid w:val="008A4301"/>
    <w:rsid w:val="008A431A"/>
    <w:rsid w:val="008A4329"/>
    <w:rsid w:val="008A43F4"/>
    <w:rsid w:val="008A4409"/>
    <w:rsid w:val="008A4422"/>
    <w:rsid w:val="008A444E"/>
    <w:rsid w:val="008A4496"/>
    <w:rsid w:val="008A44A1"/>
    <w:rsid w:val="008A44A7"/>
    <w:rsid w:val="008A44C2"/>
    <w:rsid w:val="008A44C7"/>
    <w:rsid w:val="008A44D9"/>
    <w:rsid w:val="008A455D"/>
    <w:rsid w:val="008A45C2"/>
    <w:rsid w:val="008A4695"/>
    <w:rsid w:val="008A46E1"/>
    <w:rsid w:val="008A471E"/>
    <w:rsid w:val="008A4731"/>
    <w:rsid w:val="008A4780"/>
    <w:rsid w:val="008A4786"/>
    <w:rsid w:val="008A47FA"/>
    <w:rsid w:val="008A4888"/>
    <w:rsid w:val="008A48BE"/>
    <w:rsid w:val="008A48C4"/>
    <w:rsid w:val="008A499F"/>
    <w:rsid w:val="008A4A04"/>
    <w:rsid w:val="008A4A73"/>
    <w:rsid w:val="008A4A94"/>
    <w:rsid w:val="008A4AAE"/>
    <w:rsid w:val="008A4AAF"/>
    <w:rsid w:val="008A4AE6"/>
    <w:rsid w:val="008A4B2B"/>
    <w:rsid w:val="008A4B77"/>
    <w:rsid w:val="008A4B7E"/>
    <w:rsid w:val="008A4BD4"/>
    <w:rsid w:val="008A4C0B"/>
    <w:rsid w:val="008A4C0E"/>
    <w:rsid w:val="008A4C19"/>
    <w:rsid w:val="008A4C1C"/>
    <w:rsid w:val="008A4C6E"/>
    <w:rsid w:val="008A4CFC"/>
    <w:rsid w:val="008A4DAA"/>
    <w:rsid w:val="008A4DAF"/>
    <w:rsid w:val="008A4DDF"/>
    <w:rsid w:val="008A4E0D"/>
    <w:rsid w:val="008A4E26"/>
    <w:rsid w:val="008A4E36"/>
    <w:rsid w:val="008A4E64"/>
    <w:rsid w:val="008A4EEA"/>
    <w:rsid w:val="008A4F2F"/>
    <w:rsid w:val="008A4FF2"/>
    <w:rsid w:val="008A503A"/>
    <w:rsid w:val="008A5056"/>
    <w:rsid w:val="008A50A5"/>
    <w:rsid w:val="008A50D8"/>
    <w:rsid w:val="008A510E"/>
    <w:rsid w:val="008A512E"/>
    <w:rsid w:val="008A5190"/>
    <w:rsid w:val="008A51C3"/>
    <w:rsid w:val="008A51C6"/>
    <w:rsid w:val="008A5221"/>
    <w:rsid w:val="008A522F"/>
    <w:rsid w:val="008A5276"/>
    <w:rsid w:val="008A527F"/>
    <w:rsid w:val="008A536A"/>
    <w:rsid w:val="008A53AD"/>
    <w:rsid w:val="008A53DD"/>
    <w:rsid w:val="008A54AA"/>
    <w:rsid w:val="008A54D8"/>
    <w:rsid w:val="008A552C"/>
    <w:rsid w:val="008A55A8"/>
    <w:rsid w:val="008A55D8"/>
    <w:rsid w:val="008A5659"/>
    <w:rsid w:val="008A5680"/>
    <w:rsid w:val="008A5698"/>
    <w:rsid w:val="008A56E3"/>
    <w:rsid w:val="008A5754"/>
    <w:rsid w:val="008A575A"/>
    <w:rsid w:val="008A5762"/>
    <w:rsid w:val="008A5772"/>
    <w:rsid w:val="008A57AB"/>
    <w:rsid w:val="008A57B1"/>
    <w:rsid w:val="008A57CB"/>
    <w:rsid w:val="008A57EC"/>
    <w:rsid w:val="008A5839"/>
    <w:rsid w:val="008A58EE"/>
    <w:rsid w:val="008A5915"/>
    <w:rsid w:val="008A5945"/>
    <w:rsid w:val="008A594A"/>
    <w:rsid w:val="008A5958"/>
    <w:rsid w:val="008A5971"/>
    <w:rsid w:val="008A59B8"/>
    <w:rsid w:val="008A59CC"/>
    <w:rsid w:val="008A59E5"/>
    <w:rsid w:val="008A5A35"/>
    <w:rsid w:val="008A5A65"/>
    <w:rsid w:val="008A5ABF"/>
    <w:rsid w:val="008A5AC2"/>
    <w:rsid w:val="008A5ACF"/>
    <w:rsid w:val="008A5B32"/>
    <w:rsid w:val="008A5B68"/>
    <w:rsid w:val="008A5B87"/>
    <w:rsid w:val="008A5BAA"/>
    <w:rsid w:val="008A5BFC"/>
    <w:rsid w:val="008A5C64"/>
    <w:rsid w:val="008A5CAB"/>
    <w:rsid w:val="008A5CCF"/>
    <w:rsid w:val="008A5CDC"/>
    <w:rsid w:val="008A5D2D"/>
    <w:rsid w:val="008A5DCF"/>
    <w:rsid w:val="008A5E7B"/>
    <w:rsid w:val="008A5F4F"/>
    <w:rsid w:val="008A6078"/>
    <w:rsid w:val="008A6128"/>
    <w:rsid w:val="008A612E"/>
    <w:rsid w:val="008A618E"/>
    <w:rsid w:val="008A61A4"/>
    <w:rsid w:val="008A6242"/>
    <w:rsid w:val="008A6246"/>
    <w:rsid w:val="008A625F"/>
    <w:rsid w:val="008A629D"/>
    <w:rsid w:val="008A62AF"/>
    <w:rsid w:val="008A62E6"/>
    <w:rsid w:val="008A6335"/>
    <w:rsid w:val="008A6397"/>
    <w:rsid w:val="008A647A"/>
    <w:rsid w:val="008A6485"/>
    <w:rsid w:val="008A6535"/>
    <w:rsid w:val="008A6545"/>
    <w:rsid w:val="008A6549"/>
    <w:rsid w:val="008A6553"/>
    <w:rsid w:val="008A6564"/>
    <w:rsid w:val="008A6599"/>
    <w:rsid w:val="008A65B0"/>
    <w:rsid w:val="008A65B4"/>
    <w:rsid w:val="008A65E1"/>
    <w:rsid w:val="008A6602"/>
    <w:rsid w:val="008A6702"/>
    <w:rsid w:val="008A6709"/>
    <w:rsid w:val="008A6747"/>
    <w:rsid w:val="008A6781"/>
    <w:rsid w:val="008A6814"/>
    <w:rsid w:val="008A6831"/>
    <w:rsid w:val="008A6842"/>
    <w:rsid w:val="008A688C"/>
    <w:rsid w:val="008A692D"/>
    <w:rsid w:val="008A69BB"/>
    <w:rsid w:val="008A69CD"/>
    <w:rsid w:val="008A6A15"/>
    <w:rsid w:val="008A6A92"/>
    <w:rsid w:val="008A6AE0"/>
    <w:rsid w:val="008A6AEF"/>
    <w:rsid w:val="008A6BBA"/>
    <w:rsid w:val="008A6BCE"/>
    <w:rsid w:val="008A6BE3"/>
    <w:rsid w:val="008A6BFF"/>
    <w:rsid w:val="008A6C81"/>
    <w:rsid w:val="008A6C99"/>
    <w:rsid w:val="008A6D97"/>
    <w:rsid w:val="008A6EDE"/>
    <w:rsid w:val="008A6EF1"/>
    <w:rsid w:val="008A6F43"/>
    <w:rsid w:val="008A6F8A"/>
    <w:rsid w:val="008A6F9F"/>
    <w:rsid w:val="008A71BE"/>
    <w:rsid w:val="008A71C1"/>
    <w:rsid w:val="008A71DC"/>
    <w:rsid w:val="008A71FB"/>
    <w:rsid w:val="008A7230"/>
    <w:rsid w:val="008A723A"/>
    <w:rsid w:val="008A7301"/>
    <w:rsid w:val="008A731D"/>
    <w:rsid w:val="008A735F"/>
    <w:rsid w:val="008A73D4"/>
    <w:rsid w:val="008A73ED"/>
    <w:rsid w:val="008A73FC"/>
    <w:rsid w:val="008A742C"/>
    <w:rsid w:val="008A7466"/>
    <w:rsid w:val="008A7468"/>
    <w:rsid w:val="008A7506"/>
    <w:rsid w:val="008A7507"/>
    <w:rsid w:val="008A756D"/>
    <w:rsid w:val="008A759A"/>
    <w:rsid w:val="008A75E6"/>
    <w:rsid w:val="008A7644"/>
    <w:rsid w:val="008A7681"/>
    <w:rsid w:val="008A76F3"/>
    <w:rsid w:val="008A77B8"/>
    <w:rsid w:val="008A77CC"/>
    <w:rsid w:val="008A77DF"/>
    <w:rsid w:val="008A77E9"/>
    <w:rsid w:val="008A784E"/>
    <w:rsid w:val="008A7887"/>
    <w:rsid w:val="008A7898"/>
    <w:rsid w:val="008A78A8"/>
    <w:rsid w:val="008A78F5"/>
    <w:rsid w:val="008A7915"/>
    <w:rsid w:val="008A792C"/>
    <w:rsid w:val="008A79A3"/>
    <w:rsid w:val="008A79D3"/>
    <w:rsid w:val="008A79EA"/>
    <w:rsid w:val="008A7A1A"/>
    <w:rsid w:val="008A7A1F"/>
    <w:rsid w:val="008A7A37"/>
    <w:rsid w:val="008A7A52"/>
    <w:rsid w:val="008A7A8A"/>
    <w:rsid w:val="008A7AAC"/>
    <w:rsid w:val="008A7ADC"/>
    <w:rsid w:val="008A7AFB"/>
    <w:rsid w:val="008A7B6B"/>
    <w:rsid w:val="008A7B81"/>
    <w:rsid w:val="008A7B98"/>
    <w:rsid w:val="008A7BA3"/>
    <w:rsid w:val="008A7C36"/>
    <w:rsid w:val="008A7C86"/>
    <w:rsid w:val="008A7C9F"/>
    <w:rsid w:val="008A7CDF"/>
    <w:rsid w:val="008A7DA0"/>
    <w:rsid w:val="008A7DAF"/>
    <w:rsid w:val="008A7DEF"/>
    <w:rsid w:val="008A7DFD"/>
    <w:rsid w:val="008A7E6A"/>
    <w:rsid w:val="008A7E91"/>
    <w:rsid w:val="008A7EC4"/>
    <w:rsid w:val="008A7EEB"/>
    <w:rsid w:val="008A7F76"/>
    <w:rsid w:val="008B0039"/>
    <w:rsid w:val="008B0045"/>
    <w:rsid w:val="008B0056"/>
    <w:rsid w:val="008B0093"/>
    <w:rsid w:val="008B00A0"/>
    <w:rsid w:val="008B00D2"/>
    <w:rsid w:val="008B010F"/>
    <w:rsid w:val="008B0110"/>
    <w:rsid w:val="008B0163"/>
    <w:rsid w:val="008B0180"/>
    <w:rsid w:val="008B01B7"/>
    <w:rsid w:val="008B0212"/>
    <w:rsid w:val="008B0252"/>
    <w:rsid w:val="008B026D"/>
    <w:rsid w:val="008B02B6"/>
    <w:rsid w:val="008B02BA"/>
    <w:rsid w:val="008B02DC"/>
    <w:rsid w:val="008B0300"/>
    <w:rsid w:val="008B0311"/>
    <w:rsid w:val="008B0317"/>
    <w:rsid w:val="008B031C"/>
    <w:rsid w:val="008B034E"/>
    <w:rsid w:val="008B03D3"/>
    <w:rsid w:val="008B0461"/>
    <w:rsid w:val="008B04A3"/>
    <w:rsid w:val="008B04F4"/>
    <w:rsid w:val="008B050A"/>
    <w:rsid w:val="008B051A"/>
    <w:rsid w:val="008B0549"/>
    <w:rsid w:val="008B05D6"/>
    <w:rsid w:val="008B061A"/>
    <w:rsid w:val="008B0710"/>
    <w:rsid w:val="008B0763"/>
    <w:rsid w:val="008B076E"/>
    <w:rsid w:val="008B07BD"/>
    <w:rsid w:val="008B0840"/>
    <w:rsid w:val="008B0887"/>
    <w:rsid w:val="008B0950"/>
    <w:rsid w:val="008B09D0"/>
    <w:rsid w:val="008B09E4"/>
    <w:rsid w:val="008B09FB"/>
    <w:rsid w:val="008B0A07"/>
    <w:rsid w:val="008B0A1F"/>
    <w:rsid w:val="008B0A32"/>
    <w:rsid w:val="008B0AAD"/>
    <w:rsid w:val="008B0B0D"/>
    <w:rsid w:val="008B0B32"/>
    <w:rsid w:val="008B0BA8"/>
    <w:rsid w:val="008B0BD4"/>
    <w:rsid w:val="008B0BFA"/>
    <w:rsid w:val="008B0C6D"/>
    <w:rsid w:val="008B0CED"/>
    <w:rsid w:val="008B0D37"/>
    <w:rsid w:val="008B0DF4"/>
    <w:rsid w:val="008B0E1A"/>
    <w:rsid w:val="008B0E50"/>
    <w:rsid w:val="008B0E9D"/>
    <w:rsid w:val="008B0EAA"/>
    <w:rsid w:val="008B0F0E"/>
    <w:rsid w:val="008B0F11"/>
    <w:rsid w:val="008B0F1E"/>
    <w:rsid w:val="008B0F52"/>
    <w:rsid w:val="008B0F77"/>
    <w:rsid w:val="008B0F9F"/>
    <w:rsid w:val="008B0FA3"/>
    <w:rsid w:val="008B0FF8"/>
    <w:rsid w:val="008B1015"/>
    <w:rsid w:val="008B1065"/>
    <w:rsid w:val="008B1072"/>
    <w:rsid w:val="008B10A1"/>
    <w:rsid w:val="008B10A2"/>
    <w:rsid w:val="008B10B9"/>
    <w:rsid w:val="008B10CE"/>
    <w:rsid w:val="008B10CF"/>
    <w:rsid w:val="008B1113"/>
    <w:rsid w:val="008B116D"/>
    <w:rsid w:val="008B1175"/>
    <w:rsid w:val="008B1265"/>
    <w:rsid w:val="008B1290"/>
    <w:rsid w:val="008B130A"/>
    <w:rsid w:val="008B1327"/>
    <w:rsid w:val="008B1351"/>
    <w:rsid w:val="008B1375"/>
    <w:rsid w:val="008B1390"/>
    <w:rsid w:val="008B1394"/>
    <w:rsid w:val="008B13D0"/>
    <w:rsid w:val="008B1454"/>
    <w:rsid w:val="008B1455"/>
    <w:rsid w:val="008B1490"/>
    <w:rsid w:val="008B1531"/>
    <w:rsid w:val="008B1566"/>
    <w:rsid w:val="008B160D"/>
    <w:rsid w:val="008B163A"/>
    <w:rsid w:val="008B16E3"/>
    <w:rsid w:val="008B1713"/>
    <w:rsid w:val="008B1729"/>
    <w:rsid w:val="008B173B"/>
    <w:rsid w:val="008B174E"/>
    <w:rsid w:val="008B1770"/>
    <w:rsid w:val="008B1790"/>
    <w:rsid w:val="008B17A4"/>
    <w:rsid w:val="008B17A6"/>
    <w:rsid w:val="008B17B3"/>
    <w:rsid w:val="008B17BB"/>
    <w:rsid w:val="008B183B"/>
    <w:rsid w:val="008B183E"/>
    <w:rsid w:val="008B188B"/>
    <w:rsid w:val="008B1927"/>
    <w:rsid w:val="008B1A4E"/>
    <w:rsid w:val="008B1A54"/>
    <w:rsid w:val="008B1A5D"/>
    <w:rsid w:val="008B1AE7"/>
    <w:rsid w:val="008B1BA6"/>
    <w:rsid w:val="008B1BBA"/>
    <w:rsid w:val="008B1C92"/>
    <w:rsid w:val="008B1CBF"/>
    <w:rsid w:val="008B1CCA"/>
    <w:rsid w:val="008B1CCF"/>
    <w:rsid w:val="008B1D71"/>
    <w:rsid w:val="008B1DE0"/>
    <w:rsid w:val="008B1E5D"/>
    <w:rsid w:val="008B1E61"/>
    <w:rsid w:val="008B1EA3"/>
    <w:rsid w:val="008B1EEC"/>
    <w:rsid w:val="008B1F1B"/>
    <w:rsid w:val="008B1F48"/>
    <w:rsid w:val="008B1FA9"/>
    <w:rsid w:val="008B1FF3"/>
    <w:rsid w:val="008B2067"/>
    <w:rsid w:val="008B2085"/>
    <w:rsid w:val="008B208E"/>
    <w:rsid w:val="008B20A5"/>
    <w:rsid w:val="008B20CF"/>
    <w:rsid w:val="008B218C"/>
    <w:rsid w:val="008B2190"/>
    <w:rsid w:val="008B21CC"/>
    <w:rsid w:val="008B2267"/>
    <w:rsid w:val="008B22C7"/>
    <w:rsid w:val="008B22C8"/>
    <w:rsid w:val="008B22E2"/>
    <w:rsid w:val="008B22FB"/>
    <w:rsid w:val="008B2396"/>
    <w:rsid w:val="008B249E"/>
    <w:rsid w:val="008B24EC"/>
    <w:rsid w:val="008B24F8"/>
    <w:rsid w:val="008B252E"/>
    <w:rsid w:val="008B255B"/>
    <w:rsid w:val="008B2593"/>
    <w:rsid w:val="008B25F5"/>
    <w:rsid w:val="008B2686"/>
    <w:rsid w:val="008B26CE"/>
    <w:rsid w:val="008B27B4"/>
    <w:rsid w:val="008B280A"/>
    <w:rsid w:val="008B2910"/>
    <w:rsid w:val="008B2993"/>
    <w:rsid w:val="008B29D1"/>
    <w:rsid w:val="008B29ED"/>
    <w:rsid w:val="008B29F5"/>
    <w:rsid w:val="008B2A24"/>
    <w:rsid w:val="008B2A9C"/>
    <w:rsid w:val="008B2AF4"/>
    <w:rsid w:val="008B2B8F"/>
    <w:rsid w:val="008B2BF7"/>
    <w:rsid w:val="008B2C0C"/>
    <w:rsid w:val="008B2C31"/>
    <w:rsid w:val="008B2CAC"/>
    <w:rsid w:val="008B2CD9"/>
    <w:rsid w:val="008B2CEA"/>
    <w:rsid w:val="008B2CEE"/>
    <w:rsid w:val="008B2D1A"/>
    <w:rsid w:val="008B2D43"/>
    <w:rsid w:val="008B2DD7"/>
    <w:rsid w:val="008B2E33"/>
    <w:rsid w:val="008B2E58"/>
    <w:rsid w:val="008B2E69"/>
    <w:rsid w:val="008B2E82"/>
    <w:rsid w:val="008B2E87"/>
    <w:rsid w:val="008B2E99"/>
    <w:rsid w:val="008B2E9D"/>
    <w:rsid w:val="008B2F30"/>
    <w:rsid w:val="008B2F45"/>
    <w:rsid w:val="008B2F4E"/>
    <w:rsid w:val="008B2F57"/>
    <w:rsid w:val="008B2F74"/>
    <w:rsid w:val="008B2F76"/>
    <w:rsid w:val="008B2F87"/>
    <w:rsid w:val="008B2FF2"/>
    <w:rsid w:val="008B301E"/>
    <w:rsid w:val="008B30A5"/>
    <w:rsid w:val="008B30BD"/>
    <w:rsid w:val="008B30D2"/>
    <w:rsid w:val="008B311F"/>
    <w:rsid w:val="008B3136"/>
    <w:rsid w:val="008B315D"/>
    <w:rsid w:val="008B31B7"/>
    <w:rsid w:val="008B3277"/>
    <w:rsid w:val="008B32C4"/>
    <w:rsid w:val="008B32F7"/>
    <w:rsid w:val="008B3309"/>
    <w:rsid w:val="008B3316"/>
    <w:rsid w:val="008B3393"/>
    <w:rsid w:val="008B33A1"/>
    <w:rsid w:val="008B3464"/>
    <w:rsid w:val="008B346B"/>
    <w:rsid w:val="008B34A1"/>
    <w:rsid w:val="008B34B2"/>
    <w:rsid w:val="008B34CA"/>
    <w:rsid w:val="008B34E7"/>
    <w:rsid w:val="008B34E9"/>
    <w:rsid w:val="008B3597"/>
    <w:rsid w:val="008B35AC"/>
    <w:rsid w:val="008B361A"/>
    <w:rsid w:val="008B3652"/>
    <w:rsid w:val="008B37F2"/>
    <w:rsid w:val="008B3835"/>
    <w:rsid w:val="008B386F"/>
    <w:rsid w:val="008B38AE"/>
    <w:rsid w:val="008B3935"/>
    <w:rsid w:val="008B3972"/>
    <w:rsid w:val="008B398B"/>
    <w:rsid w:val="008B3996"/>
    <w:rsid w:val="008B39F8"/>
    <w:rsid w:val="008B3A0F"/>
    <w:rsid w:val="008B3A21"/>
    <w:rsid w:val="008B3AB2"/>
    <w:rsid w:val="008B3AB4"/>
    <w:rsid w:val="008B3AD4"/>
    <w:rsid w:val="008B3B43"/>
    <w:rsid w:val="008B3B83"/>
    <w:rsid w:val="008B3B89"/>
    <w:rsid w:val="008B3C19"/>
    <w:rsid w:val="008B3C3C"/>
    <w:rsid w:val="008B3C96"/>
    <w:rsid w:val="008B3CBD"/>
    <w:rsid w:val="008B3CC6"/>
    <w:rsid w:val="008B3CEB"/>
    <w:rsid w:val="008B3D5D"/>
    <w:rsid w:val="008B3D72"/>
    <w:rsid w:val="008B3DB6"/>
    <w:rsid w:val="008B3DCA"/>
    <w:rsid w:val="008B3DDA"/>
    <w:rsid w:val="008B3E00"/>
    <w:rsid w:val="008B3E5C"/>
    <w:rsid w:val="008B3E64"/>
    <w:rsid w:val="008B3E65"/>
    <w:rsid w:val="008B3E8A"/>
    <w:rsid w:val="008B3EF9"/>
    <w:rsid w:val="008B3F07"/>
    <w:rsid w:val="008B3F2B"/>
    <w:rsid w:val="008B402F"/>
    <w:rsid w:val="008B405B"/>
    <w:rsid w:val="008B408E"/>
    <w:rsid w:val="008B40A2"/>
    <w:rsid w:val="008B40CE"/>
    <w:rsid w:val="008B40FD"/>
    <w:rsid w:val="008B4137"/>
    <w:rsid w:val="008B419E"/>
    <w:rsid w:val="008B41A8"/>
    <w:rsid w:val="008B41AE"/>
    <w:rsid w:val="008B41D2"/>
    <w:rsid w:val="008B42A6"/>
    <w:rsid w:val="008B42A7"/>
    <w:rsid w:val="008B42E3"/>
    <w:rsid w:val="008B4302"/>
    <w:rsid w:val="008B4308"/>
    <w:rsid w:val="008B431D"/>
    <w:rsid w:val="008B4367"/>
    <w:rsid w:val="008B4397"/>
    <w:rsid w:val="008B4403"/>
    <w:rsid w:val="008B4482"/>
    <w:rsid w:val="008B44DF"/>
    <w:rsid w:val="008B44E1"/>
    <w:rsid w:val="008B4545"/>
    <w:rsid w:val="008B4558"/>
    <w:rsid w:val="008B455A"/>
    <w:rsid w:val="008B45BA"/>
    <w:rsid w:val="008B45D7"/>
    <w:rsid w:val="008B45ED"/>
    <w:rsid w:val="008B4629"/>
    <w:rsid w:val="008B468C"/>
    <w:rsid w:val="008B4691"/>
    <w:rsid w:val="008B46E7"/>
    <w:rsid w:val="008B4743"/>
    <w:rsid w:val="008B4785"/>
    <w:rsid w:val="008B47EE"/>
    <w:rsid w:val="008B4835"/>
    <w:rsid w:val="008B487A"/>
    <w:rsid w:val="008B4948"/>
    <w:rsid w:val="008B497B"/>
    <w:rsid w:val="008B49BF"/>
    <w:rsid w:val="008B49C5"/>
    <w:rsid w:val="008B49CB"/>
    <w:rsid w:val="008B4A26"/>
    <w:rsid w:val="008B4A9D"/>
    <w:rsid w:val="008B4AC5"/>
    <w:rsid w:val="008B4B50"/>
    <w:rsid w:val="008B4B64"/>
    <w:rsid w:val="008B4B65"/>
    <w:rsid w:val="008B4C03"/>
    <w:rsid w:val="008B4C4A"/>
    <w:rsid w:val="008B4C53"/>
    <w:rsid w:val="008B4CF0"/>
    <w:rsid w:val="008B4CF2"/>
    <w:rsid w:val="008B4D0E"/>
    <w:rsid w:val="008B4D11"/>
    <w:rsid w:val="008B4D47"/>
    <w:rsid w:val="008B4D4C"/>
    <w:rsid w:val="008B4D6E"/>
    <w:rsid w:val="008B4DBD"/>
    <w:rsid w:val="008B4DE5"/>
    <w:rsid w:val="008B4DEB"/>
    <w:rsid w:val="008B4E05"/>
    <w:rsid w:val="008B4E59"/>
    <w:rsid w:val="008B4E73"/>
    <w:rsid w:val="008B4EC1"/>
    <w:rsid w:val="008B4EC7"/>
    <w:rsid w:val="008B4EF7"/>
    <w:rsid w:val="008B4F01"/>
    <w:rsid w:val="008B4F2B"/>
    <w:rsid w:val="008B4F2C"/>
    <w:rsid w:val="008B4F57"/>
    <w:rsid w:val="008B4F78"/>
    <w:rsid w:val="008B4FAA"/>
    <w:rsid w:val="008B503D"/>
    <w:rsid w:val="008B50EE"/>
    <w:rsid w:val="008B5130"/>
    <w:rsid w:val="008B5174"/>
    <w:rsid w:val="008B5196"/>
    <w:rsid w:val="008B51B4"/>
    <w:rsid w:val="008B523B"/>
    <w:rsid w:val="008B5300"/>
    <w:rsid w:val="008B53AD"/>
    <w:rsid w:val="008B53BD"/>
    <w:rsid w:val="008B5425"/>
    <w:rsid w:val="008B544A"/>
    <w:rsid w:val="008B5494"/>
    <w:rsid w:val="008B5497"/>
    <w:rsid w:val="008B54D6"/>
    <w:rsid w:val="008B5515"/>
    <w:rsid w:val="008B551B"/>
    <w:rsid w:val="008B55BC"/>
    <w:rsid w:val="008B565D"/>
    <w:rsid w:val="008B5672"/>
    <w:rsid w:val="008B56A4"/>
    <w:rsid w:val="008B571E"/>
    <w:rsid w:val="008B574A"/>
    <w:rsid w:val="008B5770"/>
    <w:rsid w:val="008B57E1"/>
    <w:rsid w:val="008B584F"/>
    <w:rsid w:val="008B5878"/>
    <w:rsid w:val="008B58CA"/>
    <w:rsid w:val="008B58D3"/>
    <w:rsid w:val="008B58D6"/>
    <w:rsid w:val="008B595D"/>
    <w:rsid w:val="008B59BD"/>
    <w:rsid w:val="008B5A0B"/>
    <w:rsid w:val="008B5AC7"/>
    <w:rsid w:val="008B5B6B"/>
    <w:rsid w:val="008B5BEA"/>
    <w:rsid w:val="008B5BFE"/>
    <w:rsid w:val="008B5C7A"/>
    <w:rsid w:val="008B5CCE"/>
    <w:rsid w:val="008B5D16"/>
    <w:rsid w:val="008B5D1B"/>
    <w:rsid w:val="008B5D84"/>
    <w:rsid w:val="008B5DAF"/>
    <w:rsid w:val="008B5DE0"/>
    <w:rsid w:val="008B5FF8"/>
    <w:rsid w:val="008B6007"/>
    <w:rsid w:val="008B6013"/>
    <w:rsid w:val="008B60FE"/>
    <w:rsid w:val="008B612E"/>
    <w:rsid w:val="008B616E"/>
    <w:rsid w:val="008B61AF"/>
    <w:rsid w:val="008B6210"/>
    <w:rsid w:val="008B622C"/>
    <w:rsid w:val="008B6234"/>
    <w:rsid w:val="008B6258"/>
    <w:rsid w:val="008B6268"/>
    <w:rsid w:val="008B62C2"/>
    <w:rsid w:val="008B62D8"/>
    <w:rsid w:val="008B62EC"/>
    <w:rsid w:val="008B6395"/>
    <w:rsid w:val="008B6403"/>
    <w:rsid w:val="008B6416"/>
    <w:rsid w:val="008B6466"/>
    <w:rsid w:val="008B6492"/>
    <w:rsid w:val="008B64B6"/>
    <w:rsid w:val="008B64B8"/>
    <w:rsid w:val="008B64BE"/>
    <w:rsid w:val="008B64C6"/>
    <w:rsid w:val="008B6563"/>
    <w:rsid w:val="008B65D1"/>
    <w:rsid w:val="008B6601"/>
    <w:rsid w:val="008B6689"/>
    <w:rsid w:val="008B6694"/>
    <w:rsid w:val="008B66B6"/>
    <w:rsid w:val="008B66C9"/>
    <w:rsid w:val="008B66F9"/>
    <w:rsid w:val="008B670B"/>
    <w:rsid w:val="008B672D"/>
    <w:rsid w:val="008B6780"/>
    <w:rsid w:val="008B67A8"/>
    <w:rsid w:val="008B67D2"/>
    <w:rsid w:val="008B67E4"/>
    <w:rsid w:val="008B67F8"/>
    <w:rsid w:val="008B680F"/>
    <w:rsid w:val="008B681A"/>
    <w:rsid w:val="008B685E"/>
    <w:rsid w:val="008B68A2"/>
    <w:rsid w:val="008B68A4"/>
    <w:rsid w:val="008B68AC"/>
    <w:rsid w:val="008B68CB"/>
    <w:rsid w:val="008B6916"/>
    <w:rsid w:val="008B6936"/>
    <w:rsid w:val="008B698F"/>
    <w:rsid w:val="008B6A26"/>
    <w:rsid w:val="008B6A77"/>
    <w:rsid w:val="008B6A94"/>
    <w:rsid w:val="008B6A9F"/>
    <w:rsid w:val="008B6B30"/>
    <w:rsid w:val="008B6B4A"/>
    <w:rsid w:val="008B6B8C"/>
    <w:rsid w:val="008B6BA4"/>
    <w:rsid w:val="008B6BDB"/>
    <w:rsid w:val="008B6C27"/>
    <w:rsid w:val="008B6C28"/>
    <w:rsid w:val="008B6C3C"/>
    <w:rsid w:val="008B6C46"/>
    <w:rsid w:val="008B6D08"/>
    <w:rsid w:val="008B6D4C"/>
    <w:rsid w:val="008B6D6D"/>
    <w:rsid w:val="008B6D9C"/>
    <w:rsid w:val="008B6E6B"/>
    <w:rsid w:val="008B6E6C"/>
    <w:rsid w:val="008B6EBD"/>
    <w:rsid w:val="008B6F9D"/>
    <w:rsid w:val="008B6FBB"/>
    <w:rsid w:val="008B70C3"/>
    <w:rsid w:val="008B70C7"/>
    <w:rsid w:val="008B7114"/>
    <w:rsid w:val="008B7126"/>
    <w:rsid w:val="008B7132"/>
    <w:rsid w:val="008B7192"/>
    <w:rsid w:val="008B71AE"/>
    <w:rsid w:val="008B71E8"/>
    <w:rsid w:val="008B725D"/>
    <w:rsid w:val="008B725F"/>
    <w:rsid w:val="008B726F"/>
    <w:rsid w:val="008B72C0"/>
    <w:rsid w:val="008B72C1"/>
    <w:rsid w:val="008B72C5"/>
    <w:rsid w:val="008B72ED"/>
    <w:rsid w:val="008B730A"/>
    <w:rsid w:val="008B732C"/>
    <w:rsid w:val="008B738D"/>
    <w:rsid w:val="008B73B2"/>
    <w:rsid w:val="008B742B"/>
    <w:rsid w:val="008B7462"/>
    <w:rsid w:val="008B7469"/>
    <w:rsid w:val="008B74CB"/>
    <w:rsid w:val="008B74CC"/>
    <w:rsid w:val="008B74D6"/>
    <w:rsid w:val="008B74E1"/>
    <w:rsid w:val="008B751F"/>
    <w:rsid w:val="008B7545"/>
    <w:rsid w:val="008B7572"/>
    <w:rsid w:val="008B762E"/>
    <w:rsid w:val="008B7685"/>
    <w:rsid w:val="008B76AB"/>
    <w:rsid w:val="008B76B3"/>
    <w:rsid w:val="008B76E5"/>
    <w:rsid w:val="008B7728"/>
    <w:rsid w:val="008B776A"/>
    <w:rsid w:val="008B77A9"/>
    <w:rsid w:val="008B77D2"/>
    <w:rsid w:val="008B7813"/>
    <w:rsid w:val="008B7891"/>
    <w:rsid w:val="008B78CE"/>
    <w:rsid w:val="008B790C"/>
    <w:rsid w:val="008B7942"/>
    <w:rsid w:val="008B7965"/>
    <w:rsid w:val="008B797B"/>
    <w:rsid w:val="008B7984"/>
    <w:rsid w:val="008B7985"/>
    <w:rsid w:val="008B79E3"/>
    <w:rsid w:val="008B7B63"/>
    <w:rsid w:val="008B7BD3"/>
    <w:rsid w:val="008B7BE3"/>
    <w:rsid w:val="008B7BEA"/>
    <w:rsid w:val="008B7BF5"/>
    <w:rsid w:val="008B7C04"/>
    <w:rsid w:val="008B7C0D"/>
    <w:rsid w:val="008B7CE0"/>
    <w:rsid w:val="008B7D7F"/>
    <w:rsid w:val="008B7DC5"/>
    <w:rsid w:val="008B7DCA"/>
    <w:rsid w:val="008B7DD8"/>
    <w:rsid w:val="008B7DDF"/>
    <w:rsid w:val="008B7E4B"/>
    <w:rsid w:val="008B7E54"/>
    <w:rsid w:val="008B7E78"/>
    <w:rsid w:val="008B7EB5"/>
    <w:rsid w:val="008B7ECB"/>
    <w:rsid w:val="008B7F1B"/>
    <w:rsid w:val="008B7F66"/>
    <w:rsid w:val="008B7FD3"/>
    <w:rsid w:val="008C002E"/>
    <w:rsid w:val="008C0046"/>
    <w:rsid w:val="008C0067"/>
    <w:rsid w:val="008C011C"/>
    <w:rsid w:val="008C0141"/>
    <w:rsid w:val="008C0197"/>
    <w:rsid w:val="008C01A8"/>
    <w:rsid w:val="008C027C"/>
    <w:rsid w:val="008C0292"/>
    <w:rsid w:val="008C02A9"/>
    <w:rsid w:val="008C02BB"/>
    <w:rsid w:val="008C02C6"/>
    <w:rsid w:val="008C02DA"/>
    <w:rsid w:val="008C035E"/>
    <w:rsid w:val="008C0375"/>
    <w:rsid w:val="008C03C7"/>
    <w:rsid w:val="008C0436"/>
    <w:rsid w:val="008C0476"/>
    <w:rsid w:val="008C048F"/>
    <w:rsid w:val="008C04F3"/>
    <w:rsid w:val="008C0592"/>
    <w:rsid w:val="008C05B4"/>
    <w:rsid w:val="008C05B5"/>
    <w:rsid w:val="008C05C8"/>
    <w:rsid w:val="008C060A"/>
    <w:rsid w:val="008C0612"/>
    <w:rsid w:val="008C0644"/>
    <w:rsid w:val="008C064D"/>
    <w:rsid w:val="008C0674"/>
    <w:rsid w:val="008C0704"/>
    <w:rsid w:val="008C0717"/>
    <w:rsid w:val="008C0756"/>
    <w:rsid w:val="008C078C"/>
    <w:rsid w:val="008C0797"/>
    <w:rsid w:val="008C07AD"/>
    <w:rsid w:val="008C082E"/>
    <w:rsid w:val="008C0856"/>
    <w:rsid w:val="008C085F"/>
    <w:rsid w:val="008C08A7"/>
    <w:rsid w:val="008C08CB"/>
    <w:rsid w:val="008C0901"/>
    <w:rsid w:val="008C090D"/>
    <w:rsid w:val="008C0920"/>
    <w:rsid w:val="008C0948"/>
    <w:rsid w:val="008C09A8"/>
    <w:rsid w:val="008C09CD"/>
    <w:rsid w:val="008C09FA"/>
    <w:rsid w:val="008C0A24"/>
    <w:rsid w:val="008C0A5A"/>
    <w:rsid w:val="008C0A5E"/>
    <w:rsid w:val="008C0A8D"/>
    <w:rsid w:val="008C0B34"/>
    <w:rsid w:val="008C0B61"/>
    <w:rsid w:val="008C0BE2"/>
    <w:rsid w:val="008C0BF8"/>
    <w:rsid w:val="008C0CD7"/>
    <w:rsid w:val="008C0CE2"/>
    <w:rsid w:val="008C0CFC"/>
    <w:rsid w:val="008C0D1B"/>
    <w:rsid w:val="008C0D25"/>
    <w:rsid w:val="008C0D46"/>
    <w:rsid w:val="008C0D4A"/>
    <w:rsid w:val="008C0D67"/>
    <w:rsid w:val="008C0DDD"/>
    <w:rsid w:val="008C0DE1"/>
    <w:rsid w:val="008C0DF2"/>
    <w:rsid w:val="008C0E2E"/>
    <w:rsid w:val="008C0E84"/>
    <w:rsid w:val="008C0E8F"/>
    <w:rsid w:val="008C0F4E"/>
    <w:rsid w:val="008C0F65"/>
    <w:rsid w:val="008C0F66"/>
    <w:rsid w:val="008C100B"/>
    <w:rsid w:val="008C1025"/>
    <w:rsid w:val="008C1031"/>
    <w:rsid w:val="008C105E"/>
    <w:rsid w:val="008C1086"/>
    <w:rsid w:val="008C10DC"/>
    <w:rsid w:val="008C111F"/>
    <w:rsid w:val="008C1190"/>
    <w:rsid w:val="008C120B"/>
    <w:rsid w:val="008C1226"/>
    <w:rsid w:val="008C1237"/>
    <w:rsid w:val="008C1275"/>
    <w:rsid w:val="008C12FA"/>
    <w:rsid w:val="008C12FF"/>
    <w:rsid w:val="008C1316"/>
    <w:rsid w:val="008C131C"/>
    <w:rsid w:val="008C1334"/>
    <w:rsid w:val="008C13A3"/>
    <w:rsid w:val="008C13B9"/>
    <w:rsid w:val="008C13E0"/>
    <w:rsid w:val="008C1489"/>
    <w:rsid w:val="008C14B0"/>
    <w:rsid w:val="008C1523"/>
    <w:rsid w:val="008C1574"/>
    <w:rsid w:val="008C1589"/>
    <w:rsid w:val="008C15C8"/>
    <w:rsid w:val="008C1670"/>
    <w:rsid w:val="008C16C6"/>
    <w:rsid w:val="008C16F6"/>
    <w:rsid w:val="008C171F"/>
    <w:rsid w:val="008C178A"/>
    <w:rsid w:val="008C1799"/>
    <w:rsid w:val="008C179D"/>
    <w:rsid w:val="008C17AD"/>
    <w:rsid w:val="008C17D6"/>
    <w:rsid w:val="008C187A"/>
    <w:rsid w:val="008C18A8"/>
    <w:rsid w:val="008C18AA"/>
    <w:rsid w:val="008C1A20"/>
    <w:rsid w:val="008C1A32"/>
    <w:rsid w:val="008C1A5F"/>
    <w:rsid w:val="008C1A77"/>
    <w:rsid w:val="008C1A7B"/>
    <w:rsid w:val="008C1A86"/>
    <w:rsid w:val="008C1AA5"/>
    <w:rsid w:val="008C1AB1"/>
    <w:rsid w:val="008C1AB8"/>
    <w:rsid w:val="008C1B29"/>
    <w:rsid w:val="008C1B97"/>
    <w:rsid w:val="008C1BAC"/>
    <w:rsid w:val="008C1BBE"/>
    <w:rsid w:val="008C1BF4"/>
    <w:rsid w:val="008C1CC0"/>
    <w:rsid w:val="008C1D15"/>
    <w:rsid w:val="008C1D41"/>
    <w:rsid w:val="008C1D7F"/>
    <w:rsid w:val="008C1DC6"/>
    <w:rsid w:val="008C1EA3"/>
    <w:rsid w:val="008C1EA4"/>
    <w:rsid w:val="008C1EC9"/>
    <w:rsid w:val="008C1EEE"/>
    <w:rsid w:val="008C1FB0"/>
    <w:rsid w:val="008C1FCC"/>
    <w:rsid w:val="008C1FCE"/>
    <w:rsid w:val="008C1FF9"/>
    <w:rsid w:val="008C1FFA"/>
    <w:rsid w:val="008C20BA"/>
    <w:rsid w:val="008C2104"/>
    <w:rsid w:val="008C21A2"/>
    <w:rsid w:val="008C2207"/>
    <w:rsid w:val="008C2220"/>
    <w:rsid w:val="008C2277"/>
    <w:rsid w:val="008C2278"/>
    <w:rsid w:val="008C22E2"/>
    <w:rsid w:val="008C22FF"/>
    <w:rsid w:val="008C23F8"/>
    <w:rsid w:val="008C2404"/>
    <w:rsid w:val="008C2450"/>
    <w:rsid w:val="008C247D"/>
    <w:rsid w:val="008C248E"/>
    <w:rsid w:val="008C2552"/>
    <w:rsid w:val="008C25C6"/>
    <w:rsid w:val="008C25C9"/>
    <w:rsid w:val="008C25F3"/>
    <w:rsid w:val="008C263F"/>
    <w:rsid w:val="008C2682"/>
    <w:rsid w:val="008C26C6"/>
    <w:rsid w:val="008C277F"/>
    <w:rsid w:val="008C27DA"/>
    <w:rsid w:val="008C27DD"/>
    <w:rsid w:val="008C27FC"/>
    <w:rsid w:val="008C2823"/>
    <w:rsid w:val="008C2850"/>
    <w:rsid w:val="008C28E4"/>
    <w:rsid w:val="008C28F9"/>
    <w:rsid w:val="008C2952"/>
    <w:rsid w:val="008C29AB"/>
    <w:rsid w:val="008C29B3"/>
    <w:rsid w:val="008C29CB"/>
    <w:rsid w:val="008C29F4"/>
    <w:rsid w:val="008C2A1A"/>
    <w:rsid w:val="008C2A27"/>
    <w:rsid w:val="008C2B92"/>
    <w:rsid w:val="008C2B9B"/>
    <w:rsid w:val="008C2BA1"/>
    <w:rsid w:val="008C2BDF"/>
    <w:rsid w:val="008C2C24"/>
    <w:rsid w:val="008C2C63"/>
    <w:rsid w:val="008C2C8F"/>
    <w:rsid w:val="008C2C94"/>
    <w:rsid w:val="008C2CF5"/>
    <w:rsid w:val="008C2CFF"/>
    <w:rsid w:val="008C2D1C"/>
    <w:rsid w:val="008C2D2E"/>
    <w:rsid w:val="008C2D65"/>
    <w:rsid w:val="008C2DD0"/>
    <w:rsid w:val="008C2DD9"/>
    <w:rsid w:val="008C2E5E"/>
    <w:rsid w:val="008C2EBF"/>
    <w:rsid w:val="008C2EF7"/>
    <w:rsid w:val="008C2F0E"/>
    <w:rsid w:val="008C2F95"/>
    <w:rsid w:val="008C2FE6"/>
    <w:rsid w:val="008C3044"/>
    <w:rsid w:val="008C304E"/>
    <w:rsid w:val="008C30F3"/>
    <w:rsid w:val="008C3125"/>
    <w:rsid w:val="008C313A"/>
    <w:rsid w:val="008C3189"/>
    <w:rsid w:val="008C318B"/>
    <w:rsid w:val="008C3197"/>
    <w:rsid w:val="008C31A0"/>
    <w:rsid w:val="008C31E1"/>
    <w:rsid w:val="008C3228"/>
    <w:rsid w:val="008C324B"/>
    <w:rsid w:val="008C3281"/>
    <w:rsid w:val="008C329F"/>
    <w:rsid w:val="008C32B0"/>
    <w:rsid w:val="008C333D"/>
    <w:rsid w:val="008C33AC"/>
    <w:rsid w:val="008C33C5"/>
    <w:rsid w:val="008C3441"/>
    <w:rsid w:val="008C34F1"/>
    <w:rsid w:val="008C3510"/>
    <w:rsid w:val="008C3587"/>
    <w:rsid w:val="008C359B"/>
    <w:rsid w:val="008C3600"/>
    <w:rsid w:val="008C36DC"/>
    <w:rsid w:val="008C36E5"/>
    <w:rsid w:val="008C3742"/>
    <w:rsid w:val="008C37D6"/>
    <w:rsid w:val="008C3887"/>
    <w:rsid w:val="008C38A2"/>
    <w:rsid w:val="008C3928"/>
    <w:rsid w:val="008C3984"/>
    <w:rsid w:val="008C3A01"/>
    <w:rsid w:val="008C3A88"/>
    <w:rsid w:val="008C3B16"/>
    <w:rsid w:val="008C3B38"/>
    <w:rsid w:val="008C3B46"/>
    <w:rsid w:val="008C3B82"/>
    <w:rsid w:val="008C3B89"/>
    <w:rsid w:val="008C3BCD"/>
    <w:rsid w:val="008C3C2A"/>
    <w:rsid w:val="008C3C36"/>
    <w:rsid w:val="008C3C38"/>
    <w:rsid w:val="008C3C85"/>
    <w:rsid w:val="008C3C8E"/>
    <w:rsid w:val="008C3CA9"/>
    <w:rsid w:val="008C3CC3"/>
    <w:rsid w:val="008C3CF7"/>
    <w:rsid w:val="008C3D7E"/>
    <w:rsid w:val="008C3DA7"/>
    <w:rsid w:val="008C3E0D"/>
    <w:rsid w:val="008C3E3E"/>
    <w:rsid w:val="008C3E74"/>
    <w:rsid w:val="008C3EF9"/>
    <w:rsid w:val="008C3F1C"/>
    <w:rsid w:val="008C3F4E"/>
    <w:rsid w:val="008C3F66"/>
    <w:rsid w:val="008C3F97"/>
    <w:rsid w:val="008C4024"/>
    <w:rsid w:val="008C403C"/>
    <w:rsid w:val="008C4099"/>
    <w:rsid w:val="008C40A0"/>
    <w:rsid w:val="008C40E5"/>
    <w:rsid w:val="008C40F8"/>
    <w:rsid w:val="008C4171"/>
    <w:rsid w:val="008C41D6"/>
    <w:rsid w:val="008C421B"/>
    <w:rsid w:val="008C4229"/>
    <w:rsid w:val="008C42A4"/>
    <w:rsid w:val="008C42C8"/>
    <w:rsid w:val="008C42EF"/>
    <w:rsid w:val="008C433D"/>
    <w:rsid w:val="008C4350"/>
    <w:rsid w:val="008C43C0"/>
    <w:rsid w:val="008C43F5"/>
    <w:rsid w:val="008C4408"/>
    <w:rsid w:val="008C443E"/>
    <w:rsid w:val="008C44AD"/>
    <w:rsid w:val="008C44B4"/>
    <w:rsid w:val="008C44D8"/>
    <w:rsid w:val="008C44DD"/>
    <w:rsid w:val="008C44E6"/>
    <w:rsid w:val="008C450A"/>
    <w:rsid w:val="008C458E"/>
    <w:rsid w:val="008C459A"/>
    <w:rsid w:val="008C4609"/>
    <w:rsid w:val="008C4610"/>
    <w:rsid w:val="008C4650"/>
    <w:rsid w:val="008C4701"/>
    <w:rsid w:val="008C471A"/>
    <w:rsid w:val="008C477A"/>
    <w:rsid w:val="008C47EA"/>
    <w:rsid w:val="008C482B"/>
    <w:rsid w:val="008C4876"/>
    <w:rsid w:val="008C48CE"/>
    <w:rsid w:val="008C492F"/>
    <w:rsid w:val="008C4950"/>
    <w:rsid w:val="008C4966"/>
    <w:rsid w:val="008C498B"/>
    <w:rsid w:val="008C498D"/>
    <w:rsid w:val="008C49CE"/>
    <w:rsid w:val="008C4A15"/>
    <w:rsid w:val="008C4A66"/>
    <w:rsid w:val="008C4A74"/>
    <w:rsid w:val="008C4ADA"/>
    <w:rsid w:val="008C4B3C"/>
    <w:rsid w:val="008C4B8F"/>
    <w:rsid w:val="008C4B92"/>
    <w:rsid w:val="008C4BCF"/>
    <w:rsid w:val="008C4CEF"/>
    <w:rsid w:val="008C4D0D"/>
    <w:rsid w:val="008C4DA0"/>
    <w:rsid w:val="008C4DB3"/>
    <w:rsid w:val="008C4DD0"/>
    <w:rsid w:val="008C4DE5"/>
    <w:rsid w:val="008C4E17"/>
    <w:rsid w:val="008C4E8E"/>
    <w:rsid w:val="008C4EC5"/>
    <w:rsid w:val="008C4F52"/>
    <w:rsid w:val="008C4F6D"/>
    <w:rsid w:val="008C4F90"/>
    <w:rsid w:val="008C5000"/>
    <w:rsid w:val="008C5017"/>
    <w:rsid w:val="008C5026"/>
    <w:rsid w:val="008C50C9"/>
    <w:rsid w:val="008C50CB"/>
    <w:rsid w:val="008C50CE"/>
    <w:rsid w:val="008C50F8"/>
    <w:rsid w:val="008C513F"/>
    <w:rsid w:val="008C5193"/>
    <w:rsid w:val="008C51B4"/>
    <w:rsid w:val="008C51C6"/>
    <w:rsid w:val="008C51E3"/>
    <w:rsid w:val="008C520D"/>
    <w:rsid w:val="008C5247"/>
    <w:rsid w:val="008C5250"/>
    <w:rsid w:val="008C5286"/>
    <w:rsid w:val="008C52B1"/>
    <w:rsid w:val="008C5307"/>
    <w:rsid w:val="008C5324"/>
    <w:rsid w:val="008C5327"/>
    <w:rsid w:val="008C5355"/>
    <w:rsid w:val="008C53B4"/>
    <w:rsid w:val="008C541E"/>
    <w:rsid w:val="008C5480"/>
    <w:rsid w:val="008C5499"/>
    <w:rsid w:val="008C5506"/>
    <w:rsid w:val="008C5516"/>
    <w:rsid w:val="008C5526"/>
    <w:rsid w:val="008C557F"/>
    <w:rsid w:val="008C55A2"/>
    <w:rsid w:val="008C55AF"/>
    <w:rsid w:val="008C5632"/>
    <w:rsid w:val="008C5636"/>
    <w:rsid w:val="008C564D"/>
    <w:rsid w:val="008C5702"/>
    <w:rsid w:val="008C5722"/>
    <w:rsid w:val="008C57BE"/>
    <w:rsid w:val="008C57D8"/>
    <w:rsid w:val="008C5814"/>
    <w:rsid w:val="008C5829"/>
    <w:rsid w:val="008C589A"/>
    <w:rsid w:val="008C591B"/>
    <w:rsid w:val="008C5922"/>
    <w:rsid w:val="008C594F"/>
    <w:rsid w:val="008C599B"/>
    <w:rsid w:val="008C59A3"/>
    <w:rsid w:val="008C5A33"/>
    <w:rsid w:val="008C5A6D"/>
    <w:rsid w:val="008C5AA8"/>
    <w:rsid w:val="008C5AC1"/>
    <w:rsid w:val="008C5BCC"/>
    <w:rsid w:val="008C5BD6"/>
    <w:rsid w:val="008C5BEC"/>
    <w:rsid w:val="008C5C56"/>
    <w:rsid w:val="008C5C94"/>
    <w:rsid w:val="008C5D1E"/>
    <w:rsid w:val="008C5D9A"/>
    <w:rsid w:val="008C5E2E"/>
    <w:rsid w:val="008C5E6B"/>
    <w:rsid w:val="008C5EDE"/>
    <w:rsid w:val="008C5EFB"/>
    <w:rsid w:val="008C5F59"/>
    <w:rsid w:val="008C5F66"/>
    <w:rsid w:val="008C5F8C"/>
    <w:rsid w:val="008C5FE4"/>
    <w:rsid w:val="008C5FFF"/>
    <w:rsid w:val="008C6018"/>
    <w:rsid w:val="008C6063"/>
    <w:rsid w:val="008C6067"/>
    <w:rsid w:val="008C608D"/>
    <w:rsid w:val="008C608E"/>
    <w:rsid w:val="008C60D3"/>
    <w:rsid w:val="008C6106"/>
    <w:rsid w:val="008C6136"/>
    <w:rsid w:val="008C6158"/>
    <w:rsid w:val="008C61B6"/>
    <w:rsid w:val="008C61C0"/>
    <w:rsid w:val="008C6205"/>
    <w:rsid w:val="008C620F"/>
    <w:rsid w:val="008C6239"/>
    <w:rsid w:val="008C6245"/>
    <w:rsid w:val="008C6287"/>
    <w:rsid w:val="008C629A"/>
    <w:rsid w:val="008C6307"/>
    <w:rsid w:val="008C6316"/>
    <w:rsid w:val="008C6318"/>
    <w:rsid w:val="008C633D"/>
    <w:rsid w:val="008C6351"/>
    <w:rsid w:val="008C6397"/>
    <w:rsid w:val="008C63B5"/>
    <w:rsid w:val="008C63F5"/>
    <w:rsid w:val="008C6405"/>
    <w:rsid w:val="008C6471"/>
    <w:rsid w:val="008C6495"/>
    <w:rsid w:val="008C64E4"/>
    <w:rsid w:val="008C6500"/>
    <w:rsid w:val="008C65B5"/>
    <w:rsid w:val="008C65BC"/>
    <w:rsid w:val="008C664D"/>
    <w:rsid w:val="008C6652"/>
    <w:rsid w:val="008C66BC"/>
    <w:rsid w:val="008C66D2"/>
    <w:rsid w:val="008C66D7"/>
    <w:rsid w:val="008C66EA"/>
    <w:rsid w:val="008C671F"/>
    <w:rsid w:val="008C6729"/>
    <w:rsid w:val="008C6737"/>
    <w:rsid w:val="008C677A"/>
    <w:rsid w:val="008C6788"/>
    <w:rsid w:val="008C67E8"/>
    <w:rsid w:val="008C680B"/>
    <w:rsid w:val="008C681E"/>
    <w:rsid w:val="008C6821"/>
    <w:rsid w:val="008C683E"/>
    <w:rsid w:val="008C6860"/>
    <w:rsid w:val="008C68CE"/>
    <w:rsid w:val="008C6911"/>
    <w:rsid w:val="008C692D"/>
    <w:rsid w:val="008C6984"/>
    <w:rsid w:val="008C6A05"/>
    <w:rsid w:val="008C6A1D"/>
    <w:rsid w:val="008C6AB7"/>
    <w:rsid w:val="008C6AF9"/>
    <w:rsid w:val="008C6B38"/>
    <w:rsid w:val="008C6B76"/>
    <w:rsid w:val="008C6B87"/>
    <w:rsid w:val="008C6B9F"/>
    <w:rsid w:val="008C6BC5"/>
    <w:rsid w:val="008C6C3D"/>
    <w:rsid w:val="008C6CF3"/>
    <w:rsid w:val="008C6D65"/>
    <w:rsid w:val="008C6D95"/>
    <w:rsid w:val="008C6EBB"/>
    <w:rsid w:val="008C6F39"/>
    <w:rsid w:val="008C6F5F"/>
    <w:rsid w:val="008C6F60"/>
    <w:rsid w:val="008C6F61"/>
    <w:rsid w:val="008C6F62"/>
    <w:rsid w:val="008C6FAB"/>
    <w:rsid w:val="008C6FD0"/>
    <w:rsid w:val="008C6FF2"/>
    <w:rsid w:val="008C6FFB"/>
    <w:rsid w:val="008C7051"/>
    <w:rsid w:val="008C70A3"/>
    <w:rsid w:val="008C70C2"/>
    <w:rsid w:val="008C7103"/>
    <w:rsid w:val="008C7117"/>
    <w:rsid w:val="008C719A"/>
    <w:rsid w:val="008C719C"/>
    <w:rsid w:val="008C7216"/>
    <w:rsid w:val="008C7274"/>
    <w:rsid w:val="008C72B7"/>
    <w:rsid w:val="008C72CF"/>
    <w:rsid w:val="008C72E2"/>
    <w:rsid w:val="008C73E9"/>
    <w:rsid w:val="008C7412"/>
    <w:rsid w:val="008C7483"/>
    <w:rsid w:val="008C74D0"/>
    <w:rsid w:val="008C7565"/>
    <w:rsid w:val="008C759A"/>
    <w:rsid w:val="008C75F4"/>
    <w:rsid w:val="008C7629"/>
    <w:rsid w:val="008C764B"/>
    <w:rsid w:val="008C765F"/>
    <w:rsid w:val="008C7671"/>
    <w:rsid w:val="008C768E"/>
    <w:rsid w:val="008C76A7"/>
    <w:rsid w:val="008C76CA"/>
    <w:rsid w:val="008C7712"/>
    <w:rsid w:val="008C772F"/>
    <w:rsid w:val="008C775D"/>
    <w:rsid w:val="008C7791"/>
    <w:rsid w:val="008C77A0"/>
    <w:rsid w:val="008C77B2"/>
    <w:rsid w:val="008C77C6"/>
    <w:rsid w:val="008C77D7"/>
    <w:rsid w:val="008C77F0"/>
    <w:rsid w:val="008C7903"/>
    <w:rsid w:val="008C790E"/>
    <w:rsid w:val="008C7941"/>
    <w:rsid w:val="008C79D0"/>
    <w:rsid w:val="008C7A36"/>
    <w:rsid w:val="008C7A53"/>
    <w:rsid w:val="008C7A67"/>
    <w:rsid w:val="008C7AC6"/>
    <w:rsid w:val="008C7AFA"/>
    <w:rsid w:val="008C7B4D"/>
    <w:rsid w:val="008C7BB7"/>
    <w:rsid w:val="008C7BBD"/>
    <w:rsid w:val="008C7BC2"/>
    <w:rsid w:val="008C7BCB"/>
    <w:rsid w:val="008C7C03"/>
    <w:rsid w:val="008C7C4C"/>
    <w:rsid w:val="008C7C62"/>
    <w:rsid w:val="008C7C75"/>
    <w:rsid w:val="008C7D30"/>
    <w:rsid w:val="008C7D40"/>
    <w:rsid w:val="008C7D6E"/>
    <w:rsid w:val="008C7DA5"/>
    <w:rsid w:val="008C7DA8"/>
    <w:rsid w:val="008C7DAE"/>
    <w:rsid w:val="008C7E1E"/>
    <w:rsid w:val="008C7F11"/>
    <w:rsid w:val="008C7F69"/>
    <w:rsid w:val="008C7F89"/>
    <w:rsid w:val="008D0068"/>
    <w:rsid w:val="008D009B"/>
    <w:rsid w:val="008D009C"/>
    <w:rsid w:val="008D009E"/>
    <w:rsid w:val="008D00A3"/>
    <w:rsid w:val="008D00FA"/>
    <w:rsid w:val="008D0134"/>
    <w:rsid w:val="008D018F"/>
    <w:rsid w:val="008D020B"/>
    <w:rsid w:val="008D020F"/>
    <w:rsid w:val="008D025A"/>
    <w:rsid w:val="008D0268"/>
    <w:rsid w:val="008D0284"/>
    <w:rsid w:val="008D032C"/>
    <w:rsid w:val="008D0354"/>
    <w:rsid w:val="008D0368"/>
    <w:rsid w:val="008D03DF"/>
    <w:rsid w:val="008D0435"/>
    <w:rsid w:val="008D0436"/>
    <w:rsid w:val="008D045B"/>
    <w:rsid w:val="008D04D2"/>
    <w:rsid w:val="008D05F7"/>
    <w:rsid w:val="008D0630"/>
    <w:rsid w:val="008D0645"/>
    <w:rsid w:val="008D0655"/>
    <w:rsid w:val="008D06C1"/>
    <w:rsid w:val="008D06C2"/>
    <w:rsid w:val="008D0717"/>
    <w:rsid w:val="008D0735"/>
    <w:rsid w:val="008D0795"/>
    <w:rsid w:val="008D081D"/>
    <w:rsid w:val="008D08D9"/>
    <w:rsid w:val="008D08F5"/>
    <w:rsid w:val="008D0915"/>
    <w:rsid w:val="008D091C"/>
    <w:rsid w:val="008D093B"/>
    <w:rsid w:val="008D0953"/>
    <w:rsid w:val="008D0954"/>
    <w:rsid w:val="008D0979"/>
    <w:rsid w:val="008D09A9"/>
    <w:rsid w:val="008D0A06"/>
    <w:rsid w:val="008D0A15"/>
    <w:rsid w:val="008D0A5F"/>
    <w:rsid w:val="008D0AD0"/>
    <w:rsid w:val="008D0B47"/>
    <w:rsid w:val="008D0B62"/>
    <w:rsid w:val="008D0B78"/>
    <w:rsid w:val="008D0B91"/>
    <w:rsid w:val="008D0BA1"/>
    <w:rsid w:val="008D0C09"/>
    <w:rsid w:val="008D0C0B"/>
    <w:rsid w:val="008D0C0F"/>
    <w:rsid w:val="008D0C56"/>
    <w:rsid w:val="008D0C6B"/>
    <w:rsid w:val="008D0C81"/>
    <w:rsid w:val="008D0C8A"/>
    <w:rsid w:val="008D0C9E"/>
    <w:rsid w:val="008D0CFE"/>
    <w:rsid w:val="008D0D08"/>
    <w:rsid w:val="008D0D11"/>
    <w:rsid w:val="008D0D23"/>
    <w:rsid w:val="008D0D33"/>
    <w:rsid w:val="008D0D96"/>
    <w:rsid w:val="008D0DB1"/>
    <w:rsid w:val="008D0E4D"/>
    <w:rsid w:val="008D0EB3"/>
    <w:rsid w:val="008D0ED5"/>
    <w:rsid w:val="008D0F48"/>
    <w:rsid w:val="008D0F4A"/>
    <w:rsid w:val="008D0F6B"/>
    <w:rsid w:val="008D0FF5"/>
    <w:rsid w:val="008D1035"/>
    <w:rsid w:val="008D1040"/>
    <w:rsid w:val="008D1058"/>
    <w:rsid w:val="008D105F"/>
    <w:rsid w:val="008D1066"/>
    <w:rsid w:val="008D10EE"/>
    <w:rsid w:val="008D1185"/>
    <w:rsid w:val="008D1187"/>
    <w:rsid w:val="008D1274"/>
    <w:rsid w:val="008D1280"/>
    <w:rsid w:val="008D131F"/>
    <w:rsid w:val="008D1354"/>
    <w:rsid w:val="008D137B"/>
    <w:rsid w:val="008D13AD"/>
    <w:rsid w:val="008D1426"/>
    <w:rsid w:val="008D143D"/>
    <w:rsid w:val="008D144C"/>
    <w:rsid w:val="008D14E0"/>
    <w:rsid w:val="008D1512"/>
    <w:rsid w:val="008D15DB"/>
    <w:rsid w:val="008D160C"/>
    <w:rsid w:val="008D1633"/>
    <w:rsid w:val="008D1665"/>
    <w:rsid w:val="008D1669"/>
    <w:rsid w:val="008D167B"/>
    <w:rsid w:val="008D16CD"/>
    <w:rsid w:val="008D16E3"/>
    <w:rsid w:val="008D16EF"/>
    <w:rsid w:val="008D1742"/>
    <w:rsid w:val="008D1796"/>
    <w:rsid w:val="008D17B2"/>
    <w:rsid w:val="008D17FC"/>
    <w:rsid w:val="008D1804"/>
    <w:rsid w:val="008D184B"/>
    <w:rsid w:val="008D1880"/>
    <w:rsid w:val="008D189B"/>
    <w:rsid w:val="008D1907"/>
    <w:rsid w:val="008D1924"/>
    <w:rsid w:val="008D19D0"/>
    <w:rsid w:val="008D1A11"/>
    <w:rsid w:val="008D1A67"/>
    <w:rsid w:val="008D1AF3"/>
    <w:rsid w:val="008D1B0A"/>
    <w:rsid w:val="008D1B26"/>
    <w:rsid w:val="008D1B32"/>
    <w:rsid w:val="008D1B8C"/>
    <w:rsid w:val="008D1BA1"/>
    <w:rsid w:val="008D1BC4"/>
    <w:rsid w:val="008D1BF4"/>
    <w:rsid w:val="008D1C26"/>
    <w:rsid w:val="008D1C64"/>
    <w:rsid w:val="008D1C6C"/>
    <w:rsid w:val="008D1CC5"/>
    <w:rsid w:val="008D1CFB"/>
    <w:rsid w:val="008D1D15"/>
    <w:rsid w:val="008D1D73"/>
    <w:rsid w:val="008D1E88"/>
    <w:rsid w:val="008D1ECA"/>
    <w:rsid w:val="008D1F64"/>
    <w:rsid w:val="008D1F69"/>
    <w:rsid w:val="008D1FA2"/>
    <w:rsid w:val="008D1FE1"/>
    <w:rsid w:val="008D1FEA"/>
    <w:rsid w:val="008D1FF6"/>
    <w:rsid w:val="008D1FF7"/>
    <w:rsid w:val="008D2011"/>
    <w:rsid w:val="008D205B"/>
    <w:rsid w:val="008D2061"/>
    <w:rsid w:val="008D2085"/>
    <w:rsid w:val="008D20B3"/>
    <w:rsid w:val="008D20DA"/>
    <w:rsid w:val="008D20E1"/>
    <w:rsid w:val="008D210A"/>
    <w:rsid w:val="008D213E"/>
    <w:rsid w:val="008D21BC"/>
    <w:rsid w:val="008D2205"/>
    <w:rsid w:val="008D222F"/>
    <w:rsid w:val="008D22DE"/>
    <w:rsid w:val="008D22E7"/>
    <w:rsid w:val="008D2329"/>
    <w:rsid w:val="008D2333"/>
    <w:rsid w:val="008D2360"/>
    <w:rsid w:val="008D2369"/>
    <w:rsid w:val="008D23E9"/>
    <w:rsid w:val="008D2476"/>
    <w:rsid w:val="008D24CA"/>
    <w:rsid w:val="008D24FF"/>
    <w:rsid w:val="008D2518"/>
    <w:rsid w:val="008D25A8"/>
    <w:rsid w:val="008D2623"/>
    <w:rsid w:val="008D2628"/>
    <w:rsid w:val="008D2637"/>
    <w:rsid w:val="008D263B"/>
    <w:rsid w:val="008D26E5"/>
    <w:rsid w:val="008D27E0"/>
    <w:rsid w:val="008D282F"/>
    <w:rsid w:val="008D283D"/>
    <w:rsid w:val="008D2857"/>
    <w:rsid w:val="008D2879"/>
    <w:rsid w:val="008D28C4"/>
    <w:rsid w:val="008D291C"/>
    <w:rsid w:val="008D2939"/>
    <w:rsid w:val="008D293B"/>
    <w:rsid w:val="008D29C2"/>
    <w:rsid w:val="008D29C8"/>
    <w:rsid w:val="008D29CB"/>
    <w:rsid w:val="008D2A79"/>
    <w:rsid w:val="008D2AD6"/>
    <w:rsid w:val="008D2AE3"/>
    <w:rsid w:val="008D2AEF"/>
    <w:rsid w:val="008D2AFF"/>
    <w:rsid w:val="008D2B10"/>
    <w:rsid w:val="008D2BAE"/>
    <w:rsid w:val="008D2C0A"/>
    <w:rsid w:val="008D2C2A"/>
    <w:rsid w:val="008D2C2C"/>
    <w:rsid w:val="008D2C3D"/>
    <w:rsid w:val="008D2CA2"/>
    <w:rsid w:val="008D2CB1"/>
    <w:rsid w:val="008D2D19"/>
    <w:rsid w:val="008D2D40"/>
    <w:rsid w:val="008D2D97"/>
    <w:rsid w:val="008D2DA3"/>
    <w:rsid w:val="008D2E20"/>
    <w:rsid w:val="008D2E49"/>
    <w:rsid w:val="008D2E5D"/>
    <w:rsid w:val="008D2FB9"/>
    <w:rsid w:val="008D2FDB"/>
    <w:rsid w:val="008D2FFC"/>
    <w:rsid w:val="008D3001"/>
    <w:rsid w:val="008D305B"/>
    <w:rsid w:val="008D3080"/>
    <w:rsid w:val="008D30C2"/>
    <w:rsid w:val="008D30D9"/>
    <w:rsid w:val="008D30E2"/>
    <w:rsid w:val="008D3106"/>
    <w:rsid w:val="008D3119"/>
    <w:rsid w:val="008D3126"/>
    <w:rsid w:val="008D318E"/>
    <w:rsid w:val="008D31B8"/>
    <w:rsid w:val="008D31BD"/>
    <w:rsid w:val="008D31CF"/>
    <w:rsid w:val="008D31DD"/>
    <w:rsid w:val="008D320A"/>
    <w:rsid w:val="008D3283"/>
    <w:rsid w:val="008D32A4"/>
    <w:rsid w:val="008D336A"/>
    <w:rsid w:val="008D33A9"/>
    <w:rsid w:val="008D33AC"/>
    <w:rsid w:val="008D345F"/>
    <w:rsid w:val="008D34AB"/>
    <w:rsid w:val="008D34E4"/>
    <w:rsid w:val="008D34EE"/>
    <w:rsid w:val="008D3524"/>
    <w:rsid w:val="008D359D"/>
    <w:rsid w:val="008D35AF"/>
    <w:rsid w:val="008D35C9"/>
    <w:rsid w:val="008D371B"/>
    <w:rsid w:val="008D37C7"/>
    <w:rsid w:val="008D37EC"/>
    <w:rsid w:val="008D37FA"/>
    <w:rsid w:val="008D3805"/>
    <w:rsid w:val="008D3820"/>
    <w:rsid w:val="008D3830"/>
    <w:rsid w:val="008D3856"/>
    <w:rsid w:val="008D3899"/>
    <w:rsid w:val="008D38AE"/>
    <w:rsid w:val="008D3966"/>
    <w:rsid w:val="008D39AE"/>
    <w:rsid w:val="008D3A07"/>
    <w:rsid w:val="008D3A1B"/>
    <w:rsid w:val="008D3A55"/>
    <w:rsid w:val="008D3B22"/>
    <w:rsid w:val="008D3B81"/>
    <w:rsid w:val="008D3C4A"/>
    <w:rsid w:val="008D3C5E"/>
    <w:rsid w:val="008D3C96"/>
    <w:rsid w:val="008D3D15"/>
    <w:rsid w:val="008D3D2B"/>
    <w:rsid w:val="008D3D77"/>
    <w:rsid w:val="008D3DC3"/>
    <w:rsid w:val="008D3E48"/>
    <w:rsid w:val="008D3E55"/>
    <w:rsid w:val="008D3E5B"/>
    <w:rsid w:val="008D3E63"/>
    <w:rsid w:val="008D3ED6"/>
    <w:rsid w:val="008D3F0F"/>
    <w:rsid w:val="008D3F72"/>
    <w:rsid w:val="008D3FE4"/>
    <w:rsid w:val="008D40C4"/>
    <w:rsid w:val="008D4155"/>
    <w:rsid w:val="008D4176"/>
    <w:rsid w:val="008D4178"/>
    <w:rsid w:val="008D4198"/>
    <w:rsid w:val="008D4231"/>
    <w:rsid w:val="008D4285"/>
    <w:rsid w:val="008D42AE"/>
    <w:rsid w:val="008D42C2"/>
    <w:rsid w:val="008D42F0"/>
    <w:rsid w:val="008D42F7"/>
    <w:rsid w:val="008D430C"/>
    <w:rsid w:val="008D434E"/>
    <w:rsid w:val="008D43BA"/>
    <w:rsid w:val="008D43CC"/>
    <w:rsid w:val="008D4426"/>
    <w:rsid w:val="008D446C"/>
    <w:rsid w:val="008D4477"/>
    <w:rsid w:val="008D4488"/>
    <w:rsid w:val="008D4498"/>
    <w:rsid w:val="008D44A2"/>
    <w:rsid w:val="008D44BD"/>
    <w:rsid w:val="008D451C"/>
    <w:rsid w:val="008D45CF"/>
    <w:rsid w:val="008D45FF"/>
    <w:rsid w:val="008D465E"/>
    <w:rsid w:val="008D46A5"/>
    <w:rsid w:val="008D46CA"/>
    <w:rsid w:val="008D46CC"/>
    <w:rsid w:val="008D46D7"/>
    <w:rsid w:val="008D46EF"/>
    <w:rsid w:val="008D46FE"/>
    <w:rsid w:val="008D46FF"/>
    <w:rsid w:val="008D4758"/>
    <w:rsid w:val="008D4857"/>
    <w:rsid w:val="008D4892"/>
    <w:rsid w:val="008D489E"/>
    <w:rsid w:val="008D48EA"/>
    <w:rsid w:val="008D4906"/>
    <w:rsid w:val="008D493D"/>
    <w:rsid w:val="008D4978"/>
    <w:rsid w:val="008D4986"/>
    <w:rsid w:val="008D4A00"/>
    <w:rsid w:val="008D4A10"/>
    <w:rsid w:val="008D4A43"/>
    <w:rsid w:val="008D4A9E"/>
    <w:rsid w:val="008D4AE1"/>
    <w:rsid w:val="008D4B47"/>
    <w:rsid w:val="008D4B51"/>
    <w:rsid w:val="008D4BA0"/>
    <w:rsid w:val="008D4C45"/>
    <w:rsid w:val="008D4C62"/>
    <w:rsid w:val="008D4C7C"/>
    <w:rsid w:val="008D4C8D"/>
    <w:rsid w:val="008D4D49"/>
    <w:rsid w:val="008D4D8D"/>
    <w:rsid w:val="008D4D91"/>
    <w:rsid w:val="008D4D96"/>
    <w:rsid w:val="008D4DE5"/>
    <w:rsid w:val="008D4E32"/>
    <w:rsid w:val="008D4E3D"/>
    <w:rsid w:val="008D4E60"/>
    <w:rsid w:val="008D4E9F"/>
    <w:rsid w:val="008D4EB7"/>
    <w:rsid w:val="008D4ECB"/>
    <w:rsid w:val="008D4F2C"/>
    <w:rsid w:val="008D4F7C"/>
    <w:rsid w:val="008D5058"/>
    <w:rsid w:val="008D5103"/>
    <w:rsid w:val="008D514A"/>
    <w:rsid w:val="008D5165"/>
    <w:rsid w:val="008D51DE"/>
    <w:rsid w:val="008D51F5"/>
    <w:rsid w:val="008D5274"/>
    <w:rsid w:val="008D5310"/>
    <w:rsid w:val="008D5386"/>
    <w:rsid w:val="008D538D"/>
    <w:rsid w:val="008D5399"/>
    <w:rsid w:val="008D53C4"/>
    <w:rsid w:val="008D53C8"/>
    <w:rsid w:val="008D53DA"/>
    <w:rsid w:val="008D540C"/>
    <w:rsid w:val="008D5418"/>
    <w:rsid w:val="008D5419"/>
    <w:rsid w:val="008D543E"/>
    <w:rsid w:val="008D5451"/>
    <w:rsid w:val="008D54F1"/>
    <w:rsid w:val="008D551F"/>
    <w:rsid w:val="008D5530"/>
    <w:rsid w:val="008D55DD"/>
    <w:rsid w:val="008D5632"/>
    <w:rsid w:val="008D5651"/>
    <w:rsid w:val="008D5690"/>
    <w:rsid w:val="008D569A"/>
    <w:rsid w:val="008D56AE"/>
    <w:rsid w:val="008D56CF"/>
    <w:rsid w:val="008D56D0"/>
    <w:rsid w:val="008D5711"/>
    <w:rsid w:val="008D573E"/>
    <w:rsid w:val="008D578B"/>
    <w:rsid w:val="008D57A9"/>
    <w:rsid w:val="008D57D8"/>
    <w:rsid w:val="008D581E"/>
    <w:rsid w:val="008D5844"/>
    <w:rsid w:val="008D5892"/>
    <w:rsid w:val="008D58A7"/>
    <w:rsid w:val="008D5904"/>
    <w:rsid w:val="008D5911"/>
    <w:rsid w:val="008D59A5"/>
    <w:rsid w:val="008D59C2"/>
    <w:rsid w:val="008D59CF"/>
    <w:rsid w:val="008D59DE"/>
    <w:rsid w:val="008D5A65"/>
    <w:rsid w:val="008D5AAA"/>
    <w:rsid w:val="008D5AAC"/>
    <w:rsid w:val="008D5B46"/>
    <w:rsid w:val="008D5B52"/>
    <w:rsid w:val="008D5C02"/>
    <w:rsid w:val="008D5C2F"/>
    <w:rsid w:val="008D5C35"/>
    <w:rsid w:val="008D5C39"/>
    <w:rsid w:val="008D5C9E"/>
    <w:rsid w:val="008D5CE6"/>
    <w:rsid w:val="008D5D96"/>
    <w:rsid w:val="008D5D97"/>
    <w:rsid w:val="008D5DD0"/>
    <w:rsid w:val="008D5DDA"/>
    <w:rsid w:val="008D5DE8"/>
    <w:rsid w:val="008D5E7E"/>
    <w:rsid w:val="008D5F1A"/>
    <w:rsid w:val="008D5F2F"/>
    <w:rsid w:val="008D5F49"/>
    <w:rsid w:val="008D5F60"/>
    <w:rsid w:val="008D5F8A"/>
    <w:rsid w:val="008D5FD1"/>
    <w:rsid w:val="008D600C"/>
    <w:rsid w:val="008D6053"/>
    <w:rsid w:val="008D60A9"/>
    <w:rsid w:val="008D6164"/>
    <w:rsid w:val="008D618C"/>
    <w:rsid w:val="008D61D3"/>
    <w:rsid w:val="008D620F"/>
    <w:rsid w:val="008D6290"/>
    <w:rsid w:val="008D62A1"/>
    <w:rsid w:val="008D638E"/>
    <w:rsid w:val="008D6419"/>
    <w:rsid w:val="008D642E"/>
    <w:rsid w:val="008D6502"/>
    <w:rsid w:val="008D6591"/>
    <w:rsid w:val="008D65A6"/>
    <w:rsid w:val="008D65BA"/>
    <w:rsid w:val="008D65BE"/>
    <w:rsid w:val="008D65F4"/>
    <w:rsid w:val="008D65FD"/>
    <w:rsid w:val="008D6616"/>
    <w:rsid w:val="008D6673"/>
    <w:rsid w:val="008D6689"/>
    <w:rsid w:val="008D66B7"/>
    <w:rsid w:val="008D66EE"/>
    <w:rsid w:val="008D6708"/>
    <w:rsid w:val="008D67B3"/>
    <w:rsid w:val="008D67C1"/>
    <w:rsid w:val="008D67E4"/>
    <w:rsid w:val="008D6826"/>
    <w:rsid w:val="008D6841"/>
    <w:rsid w:val="008D6846"/>
    <w:rsid w:val="008D6848"/>
    <w:rsid w:val="008D6898"/>
    <w:rsid w:val="008D696E"/>
    <w:rsid w:val="008D6993"/>
    <w:rsid w:val="008D69D7"/>
    <w:rsid w:val="008D6A6E"/>
    <w:rsid w:val="008D6A93"/>
    <w:rsid w:val="008D6AAA"/>
    <w:rsid w:val="008D6B52"/>
    <w:rsid w:val="008D6BF6"/>
    <w:rsid w:val="008D6CA1"/>
    <w:rsid w:val="008D6CD2"/>
    <w:rsid w:val="008D6D17"/>
    <w:rsid w:val="008D6D5E"/>
    <w:rsid w:val="008D6D78"/>
    <w:rsid w:val="008D6DB5"/>
    <w:rsid w:val="008D6E2E"/>
    <w:rsid w:val="008D6EED"/>
    <w:rsid w:val="008D6F25"/>
    <w:rsid w:val="008D6F70"/>
    <w:rsid w:val="008D6F75"/>
    <w:rsid w:val="008D7008"/>
    <w:rsid w:val="008D7018"/>
    <w:rsid w:val="008D7023"/>
    <w:rsid w:val="008D702A"/>
    <w:rsid w:val="008D7082"/>
    <w:rsid w:val="008D70C8"/>
    <w:rsid w:val="008D70D0"/>
    <w:rsid w:val="008D7160"/>
    <w:rsid w:val="008D719E"/>
    <w:rsid w:val="008D71AC"/>
    <w:rsid w:val="008D71B3"/>
    <w:rsid w:val="008D71EC"/>
    <w:rsid w:val="008D723A"/>
    <w:rsid w:val="008D723F"/>
    <w:rsid w:val="008D72CA"/>
    <w:rsid w:val="008D731B"/>
    <w:rsid w:val="008D7363"/>
    <w:rsid w:val="008D73DD"/>
    <w:rsid w:val="008D73F4"/>
    <w:rsid w:val="008D745D"/>
    <w:rsid w:val="008D74E1"/>
    <w:rsid w:val="008D74FC"/>
    <w:rsid w:val="008D7503"/>
    <w:rsid w:val="008D7504"/>
    <w:rsid w:val="008D75F2"/>
    <w:rsid w:val="008D762B"/>
    <w:rsid w:val="008D764B"/>
    <w:rsid w:val="008D7661"/>
    <w:rsid w:val="008D769A"/>
    <w:rsid w:val="008D76CF"/>
    <w:rsid w:val="008D76E3"/>
    <w:rsid w:val="008D76E5"/>
    <w:rsid w:val="008D7743"/>
    <w:rsid w:val="008D7752"/>
    <w:rsid w:val="008D7778"/>
    <w:rsid w:val="008D777A"/>
    <w:rsid w:val="008D77D8"/>
    <w:rsid w:val="008D77E5"/>
    <w:rsid w:val="008D77FA"/>
    <w:rsid w:val="008D786A"/>
    <w:rsid w:val="008D787D"/>
    <w:rsid w:val="008D78AE"/>
    <w:rsid w:val="008D78D0"/>
    <w:rsid w:val="008D78DA"/>
    <w:rsid w:val="008D78E7"/>
    <w:rsid w:val="008D78FB"/>
    <w:rsid w:val="008D79BD"/>
    <w:rsid w:val="008D79C1"/>
    <w:rsid w:val="008D79EC"/>
    <w:rsid w:val="008D79F2"/>
    <w:rsid w:val="008D7A6B"/>
    <w:rsid w:val="008D7AF9"/>
    <w:rsid w:val="008D7B06"/>
    <w:rsid w:val="008D7B16"/>
    <w:rsid w:val="008D7B82"/>
    <w:rsid w:val="008D7B90"/>
    <w:rsid w:val="008D7BCC"/>
    <w:rsid w:val="008D7C01"/>
    <w:rsid w:val="008D7C28"/>
    <w:rsid w:val="008D7C6B"/>
    <w:rsid w:val="008D7CBA"/>
    <w:rsid w:val="008D7D80"/>
    <w:rsid w:val="008D7D83"/>
    <w:rsid w:val="008D7D8C"/>
    <w:rsid w:val="008D7D90"/>
    <w:rsid w:val="008D7DE0"/>
    <w:rsid w:val="008D7DE9"/>
    <w:rsid w:val="008D7DEB"/>
    <w:rsid w:val="008D7DFE"/>
    <w:rsid w:val="008D7E59"/>
    <w:rsid w:val="008D7E5E"/>
    <w:rsid w:val="008D7EAF"/>
    <w:rsid w:val="008D7F7F"/>
    <w:rsid w:val="008D7FCD"/>
    <w:rsid w:val="008DD628"/>
    <w:rsid w:val="008E0035"/>
    <w:rsid w:val="008E0090"/>
    <w:rsid w:val="008E00AE"/>
    <w:rsid w:val="008E00C2"/>
    <w:rsid w:val="008E017F"/>
    <w:rsid w:val="008E01B7"/>
    <w:rsid w:val="008E021D"/>
    <w:rsid w:val="008E02D3"/>
    <w:rsid w:val="008E02E4"/>
    <w:rsid w:val="008E039D"/>
    <w:rsid w:val="008E0425"/>
    <w:rsid w:val="008E0455"/>
    <w:rsid w:val="008E046D"/>
    <w:rsid w:val="008E04AE"/>
    <w:rsid w:val="008E04E9"/>
    <w:rsid w:val="008E050F"/>
    <w:rsid w:val="008E052A"/>
    <w:rsid w:val="008E054B"/>
    <w:rsid w:val="008E05D2"/>
    <w:rsid w:val="008E0618"/>
    <w:rsid w:val="008E0635"/>
    <w:rsid w:val="008E0676"/>
    <w:rsid w:val="008E06A7"/>
    <w:rsid w:val="008E06DB"/>
    <w:rsid w:val="008E072E"/>
    <w:rsid w:val="008E0773"/>
    <w:rsid w:val="008E079F"/>
    <w:rsid w:val="008E07FF"/>
    <w:rsid w:val="008E0815"/>
    <w:rsid w:val="008E086F"/>
    <w:rsid w:val="008E08B4"/>
    <w:rsid w:val="008E097F"/>
    <w:rsid w:val="008E09B1"/>
    <w:rsid w:val="008E09CE"/>
    <w:rsid w:val="008E0A69"/>
    <w:rsid w:val="008E0A7C"/>
    <w:rsid w:val="008E0A8C"/>
    <w:rsid w:val="008E0A90"/>
    <w:rsid w:val="008E0B16"/>
    <w:rsid w:val="008E0B38"/>
    <w:rsid w:val="008E0B57"/>
    <w:rsid w:val="008E0BF6"/>
    <w:rsid w:val="008E0C64"/>
    <w:rsid w:val="008E0C8B"/>
    <w:rsid w:val="008E0CCD"/>
    <w:rsid w:val="008E0CF5"/>
    <w:rsid w:val="008E0D89"/>
    <w:rsid w:val="008E0DFC"/>
    <w:rsid w:val="008E0E2F"/>
    <w:rsid w:val="008E0E4E"/>
    <w:rsid w:val="008E0E5B"/>
    <w:rsid w:val="008E0ED4"/>
    <w:rsid w:val="008E0EE3"/>
    <w:rsid w:val="008E0F6B"/>
    <w:rsid w:val="008E1066"/>
    <w:rsid w:val="008E106A"/>
    <w:rsid w:val="008E10B0"/>
    <w:rsid w:val="008E1148"/>
    <w:rsid w:val="008E1186"/>
    <w:rsid w:val="008E11E9"/>
    <w:rsid w:val="008E11ED"/>
    <w:rsid w:val="008E123B"/>
    <w:rsid w:val="008E12A3"/>
    <w:rsid w:val="008E12D2"/>
    <w:rsid w:val="008E12DD"/>
    <w:rsid w:val="008E1367"/>
    <w:rsid w:val="008E1376"/>
    <w:rsid w:val="008E13DF"/>
    <w:rsid w:val="008E1427"/>
    <w:rsid w:val="008E1439"/>
    <w:rsid w:val="008E1444"/>
    <w:rsid w:val="008E145A"/>
    <w:rsid w:val="008E14D7"/>
    <w:rsid w:val="008E1511"/>
    <w:rsid w:val="008E1570"/>
    <w:rsid w:val="008E1597"/>
    <w:rsid w:val="008E15A4"/>
    <w:rsid w:val="008E15AA"/>
    <w:rsid w:val="008E15BC"/>
    <w:rsid w:val="008E15E4"/>
    <w:rsid w:val="008E163F"/>
    <w:rsid w:val="008E1663"/>
    <w:rsid w:val="008E1693"/>
    <w:rsid w:val="008E1726"/>
    <w:rsid w:val="008E174B"/>
    <w:rsid w:val="008E176B"/>
    <w:rsid w:val="008E18B0"/>
    <w:rsid w:val="008E18DE"/>
    <w:rsid w:val="008E18E3"/>
    <w:rsid w:val="008E18E4"/>
    <w:rsid w:val="008E18E6"/>
    <w:rsid w:val="008E199E"/>
    <w:rsid w:val="008E19C5"/>
    <w:rsid w:val="008E19D4"/>
    <w:rsid w:val="008E1A4B"/>
    <w:rsid w:val="008E1A93"/>
    <w:rsid w:val="008E1A9D"/>
    <w:rsid w:val="008E1B11"/>
    <w:rsid w:val="008E1B2B"/>
    <w:rsid w:val="008E1B2D"/>
    <w:rsid w:val="008E1B3E"/>
    <w:rsid w:val="008E1BD6"/>
    <w:rsid w:val="008E1BF6"/>
    <w:rsid w:val="008E1CCA"/>
    <w:rsid w:val="008E1D0E"/>
    <w:rsid w:val="008E1D6F"/>
    <w:rsid w:val="008E1DBB"/>
    <w:rsid w:val="008E1E43"/>
    <w:rsid w:val="008E1E5C"/>
    <w:rsid w:val="008E1E9B"/>
    <w:rsid w:val="008E1F00"/>
    <w:rsid w:val="008E1F7B"/>
    <w:rsid w:val="008E205E"/>
    <w:rsid w:val="008E20AD"/>
    <w:rsid w:val="008E20E9"/>
    <w:rsid w:val="008E20FA"/>
    <w:rsid w:val="008E212B"/>
    <w:rsid w:val="008E2131"/>
    <w:rsid w:val="008E214B"/>
    <w:rsid w:val="008E2195"/>
    <w:rsid w:val="008E224C"/>
    <w:rsid w:val="008E2270"/>
    <w:rsid w:val="008E2292"/>
    <w:rsid w:val="008E229E"/>
    <w:rsid w:val="008E22C1"/>
    <w:rsid w:val="008E238D"/>
    <w:rsid w:val="008E23A9"/>
    <w:rsid w:val="008E23C0"/>
    <w:rsid w:val="008E2440"/>
    <w:rsid w:val="008E247F"/>
    <w:rsid w:val="008E248E"/>
    <w:rsid w:val="008E2495"/>
    <w:rsid w:val="008E24C6"/>
    <w:rsid w:val="008E24FD"/>
    <w:rsid w:val="008E24FE"/>
    <w:rsid w:val="008E256C"/>
    <w:rsid w:val="008E25B4"/>
    <w:rsid w:val="008E25BD"/>
    <w:rsid w:val="008E25D7"/>
    <w:rsid w:val="008E25EE"/>
    <w:rsid w:val="008E265F"/>
    <w:rsid w:val="008E266C"/>
    <w:rsid w:val="008E2684"/>
    <w:rsid w:val="008E2691"/>
    <w:rsid w:val="008E26C5"/>
    <w:rsid w:val="008E2700"/>
    <w:rsid w:val="008E2759"/>
    <w:rsid w:val="008E275A"/>
    <w:rsid w:val="008E276C"/>
    <w:rsid w:val="008E278C"/>
    <w:rsid w:val="008E27C2"/>
    <w:rsid w:val="008E288D"/>
    <w:rsid w:val="008E289D"/>
    <w:rsid w:val="008E28D1"/>
    <w:rsid w:val="008E296A"/>
    <w:rsid w:val="008E2972"/>
    <w:rsid w:val="008E298B"/>
    <w:rsid w:val="008E299B"/>
    <w:rsid w:val="008E29B9"/>
    <w:rsid w:val="008E29D2"/>
    <w:rsid w:val="008E29E3"/>
    <w:rsid w:val="008E29FE"/>
    <w:rsid w:val="008E2A39"/>
    <w:rsid w:val="008E2A8F"/>
    <w:rsid w:val="008E2A95"/>
    <w:rsid w:val="008E2A9E"/>
    <w:rsid w:val="008E2AF1"/>
    <w:rsid w:val="008E2B71"/>
    <w:rsid w:val="008E2B87"/>
    <w:rsid w:val="008E2BA1"/>
    <w:rsid w:val="008E2BEE"/>
    <w:rsid w:val="008E2C34"/>
    <w:rsid w:val="008E2C3C"/>
    <w:rsid w:val="008E2C60"/>
    <w:rsid w:val="008E2C73"/>
    <w:rsid w:val="008E2CD0"/>
    <w:rsid w:val="008E2CF5"/>
    <w:rsid w:val="008E2D07"/>
    <w:rsid w:val="008E2D0F"/>
    <w:rsid w:val="008E2E91"/>
    <w:rsid w:val="008E2EB3"/>
    <w:rsid w:val="008E2EEC"/>
    <w:rsid w:val="008E2F45"/>
    <w:rsid w:val="008E2FBF"/>
    <w:rsid w:val="008E300F"/>
    <w:rsid w:val="008E3015"/>
    <w:rsid w:val="008E303B"/>
    <w:rsid w:val="008E3081"/>
    <w:rsid w:val="008E3090"/>
    <w:rsid w:val="008E318F"/>
    <w:rsid w:val="008E31A3"/>
    <w:rsid w:val="008E3202"/>
    <w:rsid w:val="008E320F"/>
    <w:rsid w:val="008E3238"/>
    <w:rsid w:val="008E3260"/>
    <w:rsid w:val="008E326D"/>
    <w:rsid w:val="008E32C0"/>
    <w:rsid w:val="008E3300"/>
    <w:rsid w:val="008E3321"/>
    <w:rsid w:val="008E33AB"/>
    <w:rsid w:val="008E33E8"/>
    <w:rsid w:val="008E33F3"/>
    <w:rsid w:val="008E3404"/>
    <w:rsid w:val="008E344F"/>
    <w:rsid w:val="008E345A"/>
    <w:rsid w:val="008E3492"/>
    <w:rsid w:val="008E34FA"/>
    <w:rsid w:val="008E355C"/>
    <w:rsid w:val="008E3564"/>
    <w:rsid w:val="008E358F"/>
    <w:rsid w:val="008E3679"/>
    <w:rsid w:val="008E3753"/>
    <w:rsid w:val="008E378A"/>
    <w:rsid w:val="008E3836"/>
    <w:rsid w:val="008E3838"/>
    <w:rsid w:val="008E388C"/>
    <w:rsid w:val="008E3895"/>
    <w:rsid w:val="008E38C8"/>
    <w:rsid w:val="008E3947"/>
    <w:rsid w:val="008E394D"/>
    <w:rsid w:val="008E3978"/>
    <w:rsid w:val="008E39A9"/>
    <w:rsid w:val="008E3A23"/>
    <w:rsid w:val="008E3A43"/>
    <w:rsid w:val="008E3A84"/>
    <w:rsid w:val="008E3A9D"/>
    <w:rsid w:val="008E3AA0"/>
    <w:rsid w:val="008E3B20"/>
    <w:rsid w:val="008E3B3F"/>
    <w:rsid w:val="008E3C05"/>
    <w:rsid w:val="008E3C37"/>
    <w:rsid w:val="008E3C61"/>
    <w:rsid w:val="008E3C8B"/>
    <w:rsid w:val="008E3C96"/>
    <w:rsid w:val="008E3CAD"/>
    <w:rsid w:val="008E3CB3"/>
    <w:rsid w:val="008E3CB6"/>
    <w:rsid w:val="008E3CC8"/>
    <w:rsid w:val="008E3D06"/>
    <w:rsid w:val="008E3D15"/>
    <w:rsid w:val="008E3D2E"/>
    <w:rsid w:val="008E3D9B"/>
    <w:rsid w:val="008E3DAE"/>
    <w:rsid w:val="008E3DF2"/>
    <w:rsid w:val="008E3E96"/>
    <w:rsid w:val="008E3ED7"/>
    <w:rsid w:val="008E3F16"/>
    <w:rsid w:val="008E3F62"/>
    <w:rsid w:val="008E3F83"/>
    <w:rsid w:val="008E3F9E"/>
    <w:rsid w:val="008E3FD1"/>
    <w:rsid w:val="008E401B"/>
    <w:rsid w:val="008E4079"/>
    <w:rsid w:val="008E4196"/>
    <w:rsid w:val="008E419B"/>
    <w:rsid w:val="008E41B8"/>
    <w:rsid w:val="008E41C7"/>
    <w:rsid w:val="008E41D7"/>
    <w:rsid w:val="008E41F7"/>
    <w:rsid w:val="008E4237"/>
    <w:rsid w:val="008E42A5"/>
    <w:rsid w:val="008E4331"/>
    <w:rsid w:val="008E4335"/>
    <w:rsid w:val="008E4408"/>
    <w:rsid w:val="008E4411"/>
    <w:rsid w:val="008E44CC"/>
    <w:rsid w:val="008E44EC"/>
    <w:rsid w:val="008E44F9"/>
    <w:rsid w:val="008E4528"/>
    <w:rsid w:val="008E456B"/>
    <w:rsid w:val="008E461D"/>
    <w:rsid w:val="008E4688"/>
    <w:rsid w:val="008E46A8"/>
    <w:rsid w:val="008E4770"/>
    <w:rsid w:val="008E4877"/>
    <w:rsid w:val="008E4882"/>
    <w:rsid w:val="008E48C0"/>
    <w:rsid w:val="008E48D9"/>
    <w:rsid w:val="008E48E5"/>
    <w:rsid w:val="008E48EC"/>
    <w:rsid w:val="008E4905"/>
    <w:rsid w:val="008E490C"/>
    <w:rsid w:val="008E4956"/>
    <w:rsid w:val="008E49DD"/>
    <w:rsid w:val="008E4AAA"/>
    <w:rsid w:val="008E4B16"/>
    <w:rsid w:val="008E4B62"/>
    <w:rsid w:val="008E4B6C"/>
    <w:rsid w:val="008E4B7C"/>
    <w:rsid w:val="008E4B87"/>
    <w:rsid w:val="008E4C41"/>
    <w:rsid w:val="008E4C6B"/>
    <w:rsid w:val="008E4D49"/>
    <w:rsid w:val="008E4D82"/>
    <w:rsid w:val="008E4D97"/>
    <w:rsid w:val="008E4DDC"/>
    <w:rsid w:val="008E4E1A"/>
    <w:rsid w:val="008E4EC9"/>
    <w:rsid w:val="008E4EFC"/>
    <w:rsid w:val="008E4F3B"/>
    <w:rsid w:val="008E4FE9"/>
    <w:rsid w:val="008E5018"/>
    <w:rsid w:val="008E5090"/>
    <w:rsid w:val="008E5092"/>
    <w:rsid w:val="008E50A6"/>
    <w:rsid w:val="008E50C8"/>
    <w:rsid w:val="008E5133"/>
    <w:rsid w:val="008E5188"/>
    <w:rsid w:val="008E51A3"/>
    <w:rsid w:val="008E51CF"/>
    <w:rsid w:val="008E51F0"/>
    <w:rsid w:val="008E5204"/>
    <w:rsid w:val="008E5245"/>
    <w:rsid w:val="008E5278"/>
    <w:rsid w:val="008E5280"/>
    <w:rsid w:val="008E52E0"/>
    <w:rsid w:val="008E534A"/>
    <w:rsid w:val="008E5351"/>
    <w:rsid w:val="008E5367"/>
    <w:rsid w:val="008E537D"/>
    <w:rsid w:val="008E5383"/>
    <w:rsid w:val="008E53B3"/>
    <w:rsid w:val="008E53CF"/>
    <w:rsid w:val="008E5482"/>
    <w:rsid w:val="008E54D0"/>
    <w:rsid w:val="008E551E"/>
    <w:rsid w:val="008E5545"/>
    <w:rsid w:val="008E5594"/>
    <w:rsid w:val="008E55AE"/>
    <w:rsid w:val="008E55B1"/>
    <w:rsid w:val="008E55EA"/>
    <w:rsid w:val="008E5603"/>
    <w:rsid w:val="008E5665"/>
    <w:rsid w:val="008E5668"/>
    <w:rsid w:val="008E5679"/>
    <w:rsid w:val="008E56A8"/>
    <w:rsid w:val="008E56B1"/>
    <w:rsid w:val="008E56BF"/>
    <w:rsid w:val="008E5711"/>
    <w:rsid w:val="008E57BE"/>
    <w:rsid w:val="008E57C5"/>
    <w:rsid w:val="008E57D6"/>
    <w:rsid w:val="008E57DC"/>
    <w:rsid w:val="008E5801"/>
    <w:rsid w:val="008E584C"/>
    <w:rsid w:val="008E5854"/>
    <w:rsid w:val="008E58F4"/>
    <w:rsid w:val="008E592F"/>
    <w:rsid w:val="008E5939"/>
    <w:rsid w:val="008E59B1"/>
    <w:rsid w:val="008E5A2E"/>
    <w:rsid w:val="008E5AB3"/>
    <w:rsid w:val="008E5ACF"/>
    <w:rsid w:val="008E5AFB"/>
    <w:rsid w:val="008E5B12"/>
    <w:rsid w:val="008E5B69"/>
    <w:rsid w:val="008E5B6A"/>
    <w:rsid w:val="008E5BB9"/>
    <w:rsid w:val="008E5BCB"/>
    <w:rsid w:val="008E5BD9"/>
    <w:rsid w:val="008E5C14"/>
    <w:rsid w:val="008E5C4C"/>
    <w:rsid w:val="008E5C73"/>
    <w:rsid w:val="008E5C84"/>
    <w:rsid w:val="008E5CCB"/>
    <w:rsid w:val="008E5D7E"/>
    <w:rsid w:val="008E5D7F"/>
    <w:rsid w:val="008E5D93"/>
    <w:rsid w:val="008E5DAF"/>
    <w:rsid w:val="008E5DC1"/>
    <w:rsid w:val="008E5EA1"/>
    <w:rsid w:val="008E5F33"/>
    <w:rsid w:val="008E5F40"/>
    <w:rsid w:val="008E5FD3"/>
    <w:rsid w:val="008E603B"/>
    <w:rsid w:val="008E6053"/>
    <w:rsid w:val="008E605F"/>
    <w:rsid w:val="008E6063"/>
    <w:rsid w:val="008E60DD"/>
    <w:rsid w:val="008E6118"/>
    <w:rsid w:val="008E6168"/>
    <w:rsid w:val="008E61B0"/>
    <w:rsid w:val="008E61BF"/>
    <w:rsid w:val="008E6211"/>
    <w:rsid w:val="008E622A"/>
    <w:rsid w:val="008E624F"/>
    <w:rsid w:val="008E6265"/>
    <w:rsid w:val="008E626C"/>
    <w:rsid w:val="008E62BC"/>
    <w:rsid w:val="008E62D2"/>
    <w:rsid w:val="008E62E0"/>
    <w:rsid w:val="008E62F9"/>
    <w:rsid w:val="008E6300"/>
    <w:rsid w:val="008E6302"/>
    <w:rsid w:val="008E631D"/>
    <w:rsid w:val="008E6344"/>
    <w:rsid w:val="008E6368"/>
    <w:rsid w:val="008E6392"/>
    <w:rsid w:val="008E63E4"/>
    <w:rsid w:val="008E640E"/>
    <w:rsid w:val="008E6417"/>
    <w:rsid w:val="008E6461"/>
    <w:rsid w:val="008E64A6"/>
    <w:rsid w:val="008E650F"/>
    <w:rsid w:val="008E6590"/>
    <w:rsid w:val="008E66C5"/>
    <w:rsid w:val="008E66E7"/>
    <w:rsid w:val="008E66E9"/>
    <w:rsid w:val="008E6704"/>
    <w:rsid w:val="008E6735"/>
    <w:rsid w:val="008E677F"/>
    <w:rsid w:val="008E679C"/>
    <w:rsid w:val="008E684D"/>
    <w:rsid w:val="008E688C"/>
    <w:rsid w:val="008E690C"/>
    <w:rsid w:val="008E696C"/>
    <w:rsid w:val="008E69DA"/>
    <w:rsid w:val="008E6A6A"/>
    <w:rsid w:val="008E6ADF"/>
    <w:rsid w:val="008E6B11"/>
    <w:rsid w:val="008E6B4E"/>
    <w:rsid w:val="008E6BA4"/>
    <w:rsid w:val="008E6BB2"/>
    <w:rsid w:val="008E6BDB"/>
    <w:rsid w:val="008E6BEA"/>
    <w:rsid w:val="008E6BF6"/>
    <w:rsid w:val="008E6BF9"/>
    <w:rsid w:val="008E6C2D"/>
    <w:rsid w:val="008E6C5D"/>
    <w:rsid w:val="008E6C92"/>
    <w:rsid w:val="008E6CDE"/>
    <w:rsid w:val="008E6D22"/>
    <w:rsid w:val="008E6D70"/>
    <w:rsid w:val="008E6DF9"/>
    <w:rsid w:val="008E6E08"/>
    <w:rsid w:val="008E6E8D"/>
    <w:rsid w:val="008E6F12"/>
    <w:rsid w:val="008E6F6C"/>
    <w:rsid w:val="008E6F70"/>
    <w:rsid w:val="008E70D6"/>
    <w:rsid w:val="008E70DE"/>
    <w:rsid w:val="008E70F9"/>
    <w:rsid w:val="008E7146"/>
    <w:rsid w:val="008E7160"/>
    <w:rsid w:val="008E71B2"/>
    <w:rsid w:val="008E72C6"/>
    <w:rsid w:val="008E72CC"/>
    <w:rsid w:val="008E72CD"/>
    <w:rsid w:val="008E7314"/>
    <w:rsid w:val="008E731A"/>
    <w:rsid w:val="008E735C"/>
    <w:rsid w:val="008E739F"/>
    <w:rsid w:val="008E7416"/>
    <w:rsid w:val="008E7460"/>
    <w:rsid w:val="008E7471"/>
    <w:rsid w:val="008E74B6"/>
    <w:rsid w:val="008E7502"/>
    <w:rsid w:val="008E7517"/>
    <w:rsid w:val="008E751A"/>
    <w:rsid w:val="008E7564"/>
    <w:rsid w:val="008E7626"/>
    <w:rsid w:val="008E7678"/>
    <w:rsid w:val="008E76D2"/>
    <w:rsid w:val="008E7717"/>
    <w:rsid w:val="008E778A"/>
    <w:rsid w:val="008E77A1"/>
    <w:rsid w:val="008E77F3"/>
    <w:rsid w:val="008E785F"/>
    <w:rsid w:val="008E78C0"/>
    <w:rsid w:val="008E78D4"/>
    <w:rsid w:val="008E78E7"/>
    <w:rsid w:val="008E7904"/>
    <w:rsid w:val="008E794C"/>
    <w:rsid w:val="008E7A1E"/>
    <w:rsid w:val="008E7A5F"/>
    <w:rsid w:val="008E7A70"/>
    <w:rsid w:val="008E7A79"/>
    <w:rsid w:val="008E7AF4"/>
    <w:rsid w:val="008E7B03"/>
    <w:rsid w:val="008E7B17"/>
    <w:rsid w:val="008E7B26"/>
    <w:rsid w:val="008E7B5D"/>
    <w:rsid w:val="008E7B60"/>
    <w:rsid w:val="008E7BAD"/>
    <w:rsid w:val="008E7BF7"/>
    <w:rsid w:val="008E7CA7"/>
    <w:rsid w:val="008E7CE0"/>
    <w:rsid w:val="008E7D4E"/>
    <w:rsid w:val="008E7D53"/>
    <w:rsid w:val="008E7D61"/>
    <w:rsid w:val="008E7D66"/>
    <w:rsid w:val="008E7D6A"/>
    <w:rsid w:val="008E7D9E"/>
    <w:rsid w:val="008E7DB5"/>
    <w:rsid w:val="008E7DD9"/>
    <w:rsid w:val="008E7DF0"/>
    <w:rsid w:val="008E7EC5"/>
    <w:rsid w:val="008E7F1B"/>
    <w:rsid w:val="008E7F5D"/>
    <w:rsid w:val="008E7F6B"/>
    <w:rsid w:val="008E7FF8"/>
    <w:rsid w:val="008F001C"/>
    <w:rsid w:val="008F0057"/>
    <w:rsid w:val="008F0068"/>
    <w:rsid w:val="008F006C"/>
    <w:rsid w:val="008F00C6"/>
    <w:rsid w:val="008F00F7"/>
    <w:rsid w:val="008F0133"/>
    <w:rsid w:val="008F0184"/>
    <w:rsid w:val="008F018C"/>
    <w:rsid w:val="008F01E6"/>
    <w:rsid w:val="008F01F6"/>
    <w:rsid w:val="008F0360"/>
    <w:rsid w:val="008F036A"/>
    <w:rsid w:val="008F0376"/>
    <w:rsid w:val="008F03CF"/>
    <w:rsid w:val="008F0446"/>
    <w:rsid w:val="008F04D9"/>
    <w:rsid w:val="008F054F"/>
    <w:rsid w:val="008F05AB"/>
    <w:rsid w:val="008F05B8"/>
    <w:rsid w:val="008F05FD"/>
    <w:rsid w:val="008F0617"/>
    <w:rsid w:val="008F0618"/>
    <w:rsid w:val="008F0641"/>
    <w:rsid w:val="008F0645"/>
    <w:rsid w:val="008F066C"/>
    <w:rsid w:val="008F06B4"/>
    <w:rsid w:val="008F06C1"/>
    <w:rsid w:val="008F06E6"/>
    <w:rsid w:val="008F07D2"/>
    <w:rsid w:val="008F0896"/>
    <w:rsid w:val="008F08AD"/>
    <w:rsid w:val="008F08B2"/>
    <w:rsid w:val="008F0902"/>
    <w:rsid w:val="008F090E"/>
    <w:rsid w:val="008F0913"/>
    <w:rsid w:val="008F093A"/>
    <w:rsid w:val="008F0943"/>
    <w:rsid w:val="008F0986"/>
    <w:rsid w:val="008F0999"/>
    <w:rsid w:val="008F099A"/>
    <w:rsid w:val="008F0A20"/>
    <w:rsid w:val="008F0A22"/>
    <w:rsid w:val="008F0A80"/>
    <w:rsid w:val="008F0ACE"/>
    <w:rsid w:val="008F0B32"/>
    <w:rsid w:val="008F0B70"/>
    <w:rsid w:val="008F0B7E"/>
    <w:rsid w:val="008F0B9F"/>
    <w:rsid w:val="008F0C35"/>
    <w:rsid w:val="008F0C45"/>
    <w:rsid w:val="008F0C5F"/>
    <w:rsid w:val="008F0C8F"/>
    <w:rsid w:val="008F0CC7"/>
    <w:rsid w:val="008F0D4F"/>
    <w:rsid w:val="008F0DD0"/>
    <w:rsid w:val="008F0E34"/>
    <w:rsid w:val="008F0E44"/>
    <w:rsid w:val="008F0F3D"/>
    <w:rsid w:val="008F0F50"/>
    <w:rsid w:val="008F0FD3"/>
    <w:rsid w:val="008F1002"/>
    <w:rsid w:val="008F1006"/>
    <w:rsid w:val="008F1029"/>
    <w:rsid w:val="008F1036"/>
    <w:rsid w:val="008F1045"/>
    <w:rsid w:val="008F1071"/>
    <w:rsid w:val="008F10B1"/>
    <w:rsid w:val="008F1107"/>
    <w:rsid w:val="008F1117"/>
    <w:rsid w:val="008F1119"/>
    <w:rsid w:val="008F1172"/>
    <w:rsid w:val="008F117D"/>
    <w:rsid w:val="008F11AB"/>
    <w:rsid w:val="008F11C4"/>
    <w:rsid w:val="008F120C"/>
    <w:rsid w:val="008F1236"/>
    <w:rsid w:val="008F123B"/>
    <w:rsid w:val="008F1243"/>
    <w:rsid w:val="008F1248"/>
    <w:rsid w:val="008F1274"/>
    <w:rsid w:val="008F12A8"/>
    <w:rsid w:val="008F12BB"/>
    <w:rsid w:val="008F12E8"/>
    <w:rsid w:val="008F136D"/>
    <w:rsid w:val="008F1370"/>
    <w:rsid w:val="008F13A4"/>
    <w:rsid w:val="008F13BB"/>
    <w:rsid w:val="008F13D0"/>
    <w:rsid w:val="008F13F7"/>
    <w:rsid w:val="008F14F4"/>
    <w:rsid w:val="008F152E"/>
    <w:rsid w:val="008F1555"/>
    <w:rsid w:val="008F157F"/>
    <w:rsid w:val="008F15C0"/>
    <w:rsid w:val="008F15CE"/>
    <w:rsid w:val="008F165E"/>
    <w:rsid w:val="008F16F4"/>
    <w:rsid w:val="008F1727"/>
    <w:rsid w:val="008F178D"/>
    <w:rsid w:val="008F178F"/>
    <w:rsid w:val="008F17A4"/>
    <w:rsid w:val="008F17CA"/>
    <w:rsid w:val="008F181B"/>
    <w:rsid w:val="008F184C"/>
    <w:rsid w:val="008F18DF"/>
    <w:rsid w:val="008F1945"/>
    <w:rsid w:val="008F194E"/>
    <w:rsid w:val="008F195A"/>
    <w:rsid w:val="008F1968"/>
    <w:rsid w:val="008F199F"/>
    <w:rsid w:val="008F19A1"/>
    <w:rsid w:val="008F19FB"/>
    <w:rsid w:val="008F19FF"/>
    <w:rsid w:val="008F1A4E"/>
    <w:rsid w:val="008F1A8C"/>
    <w:rsid w:val="008F1AA4"/>
    <w:rsid w:val="008F1AE7"/>
    <w:rsid w:val="008F1B28"/>
    <w:rsid w:val="008F1B48"/>
    <w:rsid w:val="008F1B4C"/>
    <w:rsid w:val="008F1B59"/>
    <w:rsid w:val="008F1BBF"/>
    <w:rsid w:val="008F1BDF"/>
    <w:rsid w:val="008F1BE7"/>
    <w:rsid w:val="008F1BEF"/>
    <w:rsid w:val="008F1C16"/>
    <w:rsid w:val="008F1C31"/>
    <w:rsid w:val="008F1C49"/>
    <w:rsid w:val="008F1C70"/>
    <w:rsid w:val="008F1C93"/>
    <w:rsid w:val="008F1CD9"/>
    <w:rsid w:val="008F1CED"/>
    <w:rsid w:val="008F1D16"/>
    <w:rsid w:val="008F1D3D"/>
    <w:rsid w:val="008F1D49"/>
    <w:rsid w:val="008F1D87"/>
    <w:rsid w:val="008F1DD9"/>
    <w:rsid w:val="008F1E0C"/>
    <w:rsid w:val="008F1E13"/>
    <w:rsid w:val="008F1E44"/>
    <w:rsid w:val="008F1E53"/>
    <w:rsid w:val="008F1E5A"/>
    <w:rsid w:val="008F1EAC"/>
    <w:rsid w:val="008F1EB8"/>
    <w:rsid w:val="008F1EF0"/>
    <w:rsid w:val="008F1F0F"/>
    <w:rsid w:val="008F1F8B"/>
    <w:rsid w:val="008F2068"/>
    <w:rsid w:val="008F2075"/>
    <w:rsid w:val="008F209E"/>
    <w:rsid w:val="008F20D0"/>
    <w:rsid w:val="008F20D3"/>
    <w:rsid w:val="008F2168"/>
    <w:rsid w:val="008F218B"/>
    <w:rsid w:val="008F21D8"/>
    <w:rsid w:val="008F220D"/>
    <w:rsid w:val="008F221C"/>
    <w:rsid w:val="008F2262"/>
    <w:rsid w:val="008F2265"/>
    <w:rsid w:val="008F2266"/>
    <w:rsid w:val="008F22CB"/>
    <w:rsid w:val="008F2313"/>
    <w:rsid w:val="008F232A"/>
    <w:rsid w:val="008F2331"/>
    <w:rsid w:val="008F241B"/>
    <w:rsid w:val="008F241D"/>
    <w:rsid w:val="008F244C"/>
    <w:rsid w:val="008F245F"/>
    <w:rsid w:val="008F2473"/>
    <w:rsid w:val="008F24B3"/>
    <w:rsid w:val="008F24FB"/>
    <w:rsid w:val="008F2545"/>
    <w:rsid w:val="008F2576"/>
    <w:rsid w:val="008F258E"/>
    <w:rsid w:val="008F25A7"/>
    <w:rsid w:val="008F25B5"/>
    <w:rsid w:val="008F2609"/>
    <w:rsid w:val="008F2617"/>
    <w:rsid w:val="008F261D"/>
    <w:rsid w:val="008F2632"/>
    <w:rsid w:val="008F2693"/>
    <w:rsid w:val="008F26F6"/>
    <w:rsid w:val="008F2706"/>
    <w:rsid w:val="008F2730"/>
    <w:rsid w:val="008F2771"/>
    <w:rsid w:val="008F27C2"/>
    <w:rsid w:val="008F281D"/>
    <w:rsid w:val="008F2862"/>
    <w:rsid w:val="008F28F0"/>
    <w:rsid w:val="008F2933"/>
    <w:rsid w:val="008F2950"/>
    <w:rsid w:val="008F2953"/>
    <w:rsid w:val="008F2A0E"/>
    <w:rsid w:val="008F2A12"/>
    <w:rsid w:val="008F2A38"/>
    <w:rsid w:val="008F2A4D"/>
    <w:rsid w:val="008F2A5C"/>
    <w:rsid w:val="008F2AA0"/>
    <w:rsid w:val="008F2AD3"/>
    <w:rsid w:val="008F2AE9"/>
    <w:rsid w:val="008F2B0E"/>
    <w:rsid w:val="008F2B79"/>
    <w:rsid w:val="008F2BA9"/>
    <w:rsid w:val="008F2BC1"/>
    <w:rsid w:val="008F2BEA"/>
    <w:rsid w:val="008F2BEE"/>
    <w:rsid w:val="008F2C11"/>
    <w:rsid w:val="008F2C3C"/>
    <w:rsid w:val="008F2C66"/>
    <w:rsid w:val="008F2CC6"/>
    <w:rsid w:val="008F2D06"/>
    <w:rsid w:val="008F2D12"/>
    <w:rsid w:val="008F2E3B"/>
    <w:rsid w:val="008F2E64"/>
    <w:rsid w:val="008F2EE6"/>
    <w:rsid w:val="008F2F17"/>
    <w:rsid w:val="008F2F19"/>
    <w:rsid w:val="008F2F1B"/>
    <w:rsid w:val="008F2FBE"/>
    <w:rsid w:val="008F2FCB"/>
    <w:rsid w:val="008F303F"/>
    <w:rsid w:val="008F3055"/>
    <w:rsid w:val="008F3093"/>
    <w:rsid w:val="008F30E8"/>
    <w:rsid w:val="008F310B"/>
    <w:rsid w:val="008F3139"/>
    <w:rsid w:val="008F32DE"/>
    <w:rsid w:val="008F331F"/>
    <w:rsid w:val="008F3320"/>
    <w:rsid w:val="008F3388"/>
    <w:rsid w:val="008F33D3"/>
    <w:rsid w:val="008F33D7"/>
    <w:rsid w:val="008F3429"/>
    <w:rsid w:val="008F344B"/>
    <w:rsid w:val="008F3478"/>
    <w:rsid w:val="008F3482"/>
    <w:rsid w:val="008F3574"/>
    <w:rsid w:val="008F35B1"/>
    <w:rsid w:val="008F3652"/>
    <w:rsid w:val="008F3667"/>
    <w:rsid w:val="008F3671"/>
    <w:rsid w:val="008F369C"/>
    <w:rsid w:val="008F36A3"/>
    <w:rsid w:val="008F36A8"/>
    <w:rsid w:val="008F36B4"/>
    <w:rsid w:val="008F36EF"/>
    <w:rsid w:val="008F36F5"/>
    <w:rsid w:val="008F36FF"/>
    <w:rsid w:val="008F375B"/>
    <w:rsid w:val="008F377C"/>
    <w:rsid w:val="008F37CC"/>
    <w:rsid w:val="008F37D1"/>
    <w:rsid w:val="008F37E4"/>
    <w:rsid w:val="008F38E1"/>
    <w:rsid w:val="008F3905"/>
    <w:rsid w:val="008F394F"/>
    <w:rsid w:val="008F398C"/>
    <w:rsid w:val="008F3A7E"/>
    <w:rsid w:val="008F3B0E"/>
    <w:rsid w:val="008F3B2E"/>
    <w:rsid w:val="008F3B61"/>
    <w:rsid w:val="008F3BD1"/>
    <w:rsid w:val="008F3BF0"/>
    <w:rsid w:val="008F3BFF"/>
    <w:rsid w:val="008F3C2B"/>
    <w:rsid w:val="008F3C3B"/>
    <w:rsid w:val="008F3C89"/>
    <w:rsid w:val="008F3CE8"/>
    <w:rsid w:val="008F3D72"/>
    <w:rsid w:val="008F3DBA"/>
    <w:rsid w:val="008F3DBE"/>
    <w:rsid w:val="008F3E3C"/>
    <w:rsid w:val="008F3E51"/>
    <w:rsid w:val="008F3E52"/>
    <w:rsid w:val="008F3F41"/>
    <w:rsid w:val="008F3F4D"/>
    <w:rsid w:val="008F403D"/>
    <w:rsid w:val="008F409E"/>
    <w:rsid w:val="008F4102"/>
    <w:rsid w:val="008F415A"/>
    <w:rsid w:val="008F4183"/>
    <w:rsid w:val="008F41D7"/>
    <w:rsid w:val="008F41F8"/>
    <w:rsid w:val="008F4201"/>
    <w:rsid w:val="008F420C"/>
    <w:rsid w:val="008F426A"/>
    <w:rsid w:val="008F42AD"/>
    <w:rsid w:val="008F42EF"/>
    <w:rsid w:val="008F4309"/>
    <w:rsid w:val="008F438F"/>
    <w:rsid w:val="008F43A9"/>
    <w:rsid w:val="008F43F8"/>
    <w:rsid w:val="008F4447"/>
    <w:rsid w:val="008F44B4"/>
    <w:rsid w:val="008F4527"/>
    <w:rsid w:val="008F458E"/>
    <w:rsid w:val="008F4596"/>
    <w:rsid w:val="008F45F3"/>
    <w:rsid w:val="008F45FB"/>
    <w:rsid w:val="008F461F"/>
    <w:rsid w:val="008F463E"/>
    <w:rsid w:val="008F4652"/>
    <w:rsid w:val="008F466F"/>
    <w:rsid w:val="008F4689"/>
    <w:rsid w:val="008F4693"/>
    <w:rsid w:val="008F469F"/>
    <w:rsid w:val="008F46FB"/>
    <w:rsid w:val="008F4765"/>
    <w:rsid w:val="008F4771"/>
    <w:rsid w:val="008F47B6"/>
    <w:rsid w:val="008F47E6"/>
    <w:rsid w:val="008F47F4"/>
    <w:rsid w:val="008F4864"/>
    <w:rsid w:val="008F48AE"/>
    <w:rsid w:val="008F48AF"/>
    <w:rsid w:val="008F492F"/>
    <w:rsid w:val="008F4934"/>
    <w:rsid w:val="008F4971"/>
    <w:rsid w:val="008F498B"/>
    <w:rsid w:val="008F49AA"/>
    <w:rsid w:val="008F4A51"/>
    <w:rsid w:val="008F4A54"/>
    <w:rsid w:val="008F4AA7"/>
    <w:rsid w:val="008F4AF2"/>
    <w:rsid w:val="008F4AF6"/>
    <w:rsid w:val="008F4B14"/>
    <w:rsid w:val="008F4B73"/>
    <w:rsid w:val="008F4B92"/>
    <w:rsid w:val="008F4BA7"/>
    <w:rsid w:val="008F4D1A"/>
    <w:rsid w:val="008F4D5A"/>
    <w:rsid w:val="008F4D97"/>
    <w:rsid w:val="008F4DC0"/>
    <w:rsid w:val="008F4DC2"/>
    <w:rsid w:val="008F4E02"/>
    <w:rsid w:val="008F4E59"/>
    <w:rsid w:val="008F4E9B"/>
    <w:rsid w:val="008F4EAF"/>
    <w:rsid w:val="008F4ECC"/>
    <w:rsid w:val="008F4FF2"/>
    <w:rsid w:val="008F504E"/>
    <w:rsid w:val="008F5060"/>
    <w:rsid w:val="008F5072"/>
    <w:rsid w:val="008F5078"/>
    <w:rsid w:val="008F5104"/>
    <w:rsid w:val="008F511C"/>
    <w:rsid w:val="008F5192"/>
    <w:rsid w:val="008F51EA"/>
    <w:rsid w:val="008F51EE"/>
    <w:rsid w:val="008F5230"/>
    <w:rsid w:val="008F5234"/>
    <w:rsid w:val="008F523D"/>
    <w:rsid w:val="008F529A"/>
    <w:rsid w:val="008F52D9"/>
    <w:rsid w:val="008F52E1"/>
    <w:rsid w:val="008F5355"/>
    <w:rsid w:val="008F5373"/>
    <w:rsid w:val="008F5383"/>
    <w:rsid w:val="008F53EB"/>
    <w:rsid w:val="008F546C"/>
    <w:rsid w:val="008F5496"/>
    <w:rsid w:val="008F54A7"/>
    <w:rsid w:val="008F54F1"/>
    <w:rsid w:val="008F550F"/>
    <w:rsid w:val="008F5554"/>
    <w:rsid w:val="008F55EE"/>
    <w:rsid w:val="008F55F5"/>
    <w:rsid w:val="008F5696"/>
    <w:rsid w:val="008F56AD"/>
    <w:rsid w:val="008F56BD"/>
    <w:rsid w:val="008F5738"/>
    <w:rsid w:val="008F57B8"/>
    <w:rsid w:val="008F5802"/>
    <w:rsid w:val="008F5813"/>
    <w:rsid w:val="008F586B"/>
    <w:rsid w:val="008F587F"/>
    <w:rsid w:val="008F5885"/>
    <w:rsid w:val="008F5904"/>
    <w:rsid w:val="008F5911"/>
    <w:rsid w:val="008F5935"/>
    <w:rsid w:val="008F598C"/>
    <w:rsid w:val="008F59E6"/>
    <w:rsid w:val="008F5A15"/>
    <w:rsid w:val="008F5A1B"/>
    <w:rsid w:val="008F5A71"/>
    <w:rsid w:val="008F5AA4"/>
    <w:rsid w:val="008F5B66"/>
    <w:rsid w:val="008F5B84"/>
    <w:rsid w:val="008F5B96"/>
    <w:rsid w:val="008F5BB8"/>
    <w:rsid w:val="008F5BD8"/>
    <w:rsid w:val="008F5BF9"/>
    <w:rsid w:val="008F5C04"/>
    <w:rsid w:val="008F5C12"/>
    <w:rsid w:val="008F5C56"/>
    <w:rsid w:val="008F5C59"/>
    <w:rsid w:val="008F5C77"/>
    <w:rsid w:val="008F5C97"/>
    <w:rsid w:val="008F5CD7"/>
    <w:rsid w:val="008F5CD8"/>
    <w:rsid w:val="008F5D2D"/>
    <w:rsid w:val="008F5D49"/>
    <w:rsid w:val="008F5D72"/>
    <w:rsid w:val="008F5D88"/>
    <w:rsid w:val="008F5D92"/>
    <w:rsid w:val="008F5DC8"/>
    <w:rsid w:val="008F5E16"/>
    <w:rsid w:val="008F5E49"/>
    <w:rsid w:val="008F5E6F"/>
    <w:rsid w:val="008F5E73"/>
    <w:rsid w:val="008F5E87"/>
    <w:rsid w:val="008F5F0B"/>
    <w:rsid w:val="008F5F4B"/>
    <w:rsid w:val="008F5F56"/>
    <w:rsid w:val="008F5F82"/>
    <w:rsid w:val="008F5FB9"/>
    <w:rsid w:val="008F6007"/>
    <w:rsid w:val="008F601F"/>
    <w:rsid w:val="008F6052"/>
    <w:rsid w:val="008F6066"/>
    <w:rsid w:val="008F60D0"/>
    <w:rsid w:val="008F60DE"/>
    <w:rsid w:val="008F613D"/>
    <w:rsid w:val="008F6188"/>
    <w:rsid w:val="008F619E"/>
    <w:rsid w:val="008F61D6"/>
    <w:rsid w:val="008F61EE"/>
    <w:rsid w:val="008F6212"/>
    <w:rsid w:val="008F6278"/>
    <w:rsid w:val="008F6359"/>
    <w:rsid w:val="008F637C"/>
    <w:rsid w:val="008F63AE"/>
    <w:rsid w:val="008F6402"/>
    <w:rsid w:val="008F6445"/>
    <w:rsid w:val="008F644E"/>
    <w:rsid w:val="008F6452"/>
    <w:rsid w:val="008F6471"/>
    <w:rsid w:val="008F64B3"/>
    <w:rsid w:val="008F64B5"/>
    <w:rsid w:val="008F6571"/>
    <w:rsid w:val="008F65A0"/>
    <w:rsid w:val="008F65E2"/>
    <w:rsid w:val="008F65E5"/>
    <w:rsid w:val="008F663D"/>
    <w:rsid w:val="008F6646"/>
    <w:rsid w:val="008F66A9"/>
    <w:rsid w:val="008F66F3"/>
    <w:rsid w:val="008F66FC"/>
    <w:rsid w:val="008F6719"/>
    <w:rsid w:val="008F676F"/>
    <w:rsid w:val="008F678D"/>
    <w:rsid w:val="008F683F"/>
    <w:rsid w:val="008F688E"/>
    <w:rsid w:val="008F68DF"/>
    <w:rsid w:val="008F691F"/>
    <w:rsid w:val="008F692A"/>
    <w:rsid w:val="008F6A07"/>
    <w:rsid w:val="008F6A2A"/>
    <w:rsid w:val="008F6A87"/>
    <w:rsid w:val="008F6B05"/>
    <w:rsid w:val="008F6B36"/>
    <w:rsid w:val="008F6B44"/>
    <w:rsid w:val="008F6B5D"/>
    <w:rsid w:val="008F6B77"/>
    <w:rsid w:val="008F6B78"/>
    <w:rsid w:val="008F6B83"/>
    <w:rsid w:val="008F6BBE"/>
    <w:rsid w:val="008F6C05"/>
    <w:rsid w:val="008F6C16"/>
    <w:rsid w:val="008F6C49"/>
    <w:rsid w:val="008F6C95"/>
    <w:rsid w:val="008F6CB2"/>
    <w:rsid w:val="008F6CC1"/>
    <w:rsid w:val="008F6D19"/>
    <w:rsid w:val="008F6D5B"/>
    <w:rsid w:val="008F6D89"/>
    <w:rsid w:val="008F6D8D"/>
    <w:rsid w:val="008F6E8E"/>
    <w:rsid w:val="008F6EB2"/>
    <w:rsid w:val="008F6EEF"/>
    <w:rsid w:val="008F6F34"/>
    <w:rsid w:val="008F6F41"/>
    <w:rsid w:val="008F6F75"/>
    <w:rsid w:val="008F7050"/>
    <w:rsid w:val="008F718E"/>
    <w:rsid w:val="008F71A0"/>
    <w:rsid w:val="008F71C9"/>
    <w:rsid w:val="008F7202"/>
    <w:rsid w:val="008F723C"/>
    <w:rsid w:val="008F7274"/>
    <w:rsid w:val="008F72F6"/>
    <w:rsid w:val="008F730B"/>
    <w:rsid w:val="008F731B"/>
    <w:rsid w:val="008F744D"/>
    <w:rsid w:val="008F7490"/>
    <w:rsid w:val="008F74A5"/>
    <w:rsid w:val="008F74E8"/>
    <w:rsid w:val="008F74EB"/>
    <w:rsid w:val="008F74F9"/>
    <w:rsid w:val="008F758A"/>
    <w:rsid w:val="008F75EC"/>
    <w:rsid w:val="008F7609"/>
    <w:rsid w:val="008F7616"/>
    <w:rsid w:val="008F7629"/>
    <w:rsid w:val="008F7686"/>
    <w:rsid w:val="008F7688"/>
    <w:rsid w:val="008F7713"/>
    <w:rsid w:val="008F7720"/>
    <w:rsid w:val="008F778E"/>
    <w:rsid w:val="008F77A3"/>
    <w:rsid w:val="008F77B0"/>
    <w:rsid w:val="008F77F0"/>
    <w:rsid w:val="008F7880"/>
    <w:rsid w:val="008F788C"/>
    <w:rsid w:val="008F789C"/>
    <w:rsid w:val="008F78BD"/>
    <w:rsid w:val="008F78E3"/>
    <w:rsid w:val="008F7940"/>
    <w:rsid w:val="008F7956"/>
    <w:rsid w:val="008F796E"/>
    <w:rsid w:val="008F7975"/>
    <w:rsid w:val="008F7984"/>
    <w:rsid w:val="008F79BE"/>
    <w:rsid w:val="008F79C1"/>
    <w:rsid w:val="008F7A35"/>
    <w:rsid w:val="008F7A55"/>
    <w:rsid w:val="008F7AEF"/>
    <w:rsid w:val="008F7B7E"/>
    <w:rsid w:val="008F7BAA"/>
    <w:rsid w:val="008F7BF9"/>
    <w:rsid w:val="008F7C34"/>
    <w:rsid w:val="008F7CAB"/>
    <w:rsid w:val="008F7D02"/>
    <w:rsid w:val="008F7D1C"/>
    <w:rsid w:val="008F7D88"/>
    <w:rsid w:val="008F7DE4"/>
    <w:rsid w:val="008F7E07"/>
    <w:rsid w:val="008F7E3A"/>
    <w:rsid w:val="008F7E4F"/>
    <w:rsid w:val="008F7E50"/>
    <w:rsid w:val="008F7EF5"/>
    <w:rsid w:val="008F7F05"/>
    <w:rsid w:val="008F7F7A"/>
    <w:rsid w:val="008F7FC5"/>
    <w:rsid w:val="008F7FDC"/>
    <w:rsid w:val="008F7FDD"/>
    <w:rsid w:val="0090002C"/>
    <w:rsid w:val="0090003D"/>
    <w:rsid w:val="00900066"/>
    <w:rsid w:val="00900070"/>
    <w:rsid w:val="009000E6"/>
    <w:rsid w:val="00900126"/>
    <w:rsid w:val="00900189"/>
    <w:rsid w:val="0090018A"/>
    <w:rsid w:val="009001E9"/>
    <w:rsid w:val="009001EF"/>
    <w:rsid w:val="00900242"/>
    <w:rsid w:val="0090026A"/>
    <w:rsid w:val="0090026F"/>
    <w:rsid w:val="009002B3"/>
    <w:rsid w:val="009002C0"/>
    <w:rsid w:val="009002C6"/>
    <w:rsid w:val="009002FA"/>
    <w:rsid w:val="00900300"/>
    <w:rsid w:val="00900317"/>
    <w:rsid w:val="0090033A"/>
    <w:rsid w:val="009003F2"/>
    <w:rsid w:val="009003F7"/>
    <w:rsid w:val="0090044C"/>
    <w:rsid w:val="00900473"/>
    <w:rsid w:val="00900488"/>
    <w:rsid w:val="009004CF"/>
    <w:rsid w:val="00900509"/>
    <w:rsid w:val="0090051B"/>
    <w:rsid w:val="0090052E"/>
    <w:rsid w:val="0090056C"/>
    <w:rsid w:val="00900584"/>
    <w:rsid w:val="00900598"/>
    <w:rsid w:val="009005E7"/>
    <w:rsid w:val="0090060B"/>
    <w:rsid w:val="00900652"/>
    <w:rsid w:val="009006B3"/>
    <w:rsid w:val="009006C2"/>
    <w:rsid w:val="009006E0"/>
    <w:rsid w:val="00900734"/>
    <w:rsid w:val="009007BE"/>
    <w:rsid w:val="00900807"/>
    <w:rsid w:val="00900831"/>
    <w:rsid w:val="009008EA"/>
    <w:rsid w:val="009008F7"/>
    <w:rsid w:val="00900944"/>
    <w:rsid w:val="0090094C"/>
    <w:rsid w:val="00900955"/>
    <w:rsid w:val="0090096B"/>
    <w:rsid w:val="009009FC"/>
    <w:rsid w:val="00900A43"/>
    <w:rsid w:val="00900AF4"/>
    <w:rsid w:val="00900B12"/>
    <w:rsid w:val="00900B29"/>
    <w:rsid w:val="00900B9C"/>
    <w:rsid w:val="00900BCE"/>
    <w:rsid w:val="00900C19"/>
    <w:rsid w:val="00900C5F"/>
    <w:rsid w:val="00900CC7"/>
    <w:rsid w:val="00900CC8"/>
    <w:rsid w:val="00900D09"/>
    <w:rsid w:val="00900D74"/>
    <w:rsid w:val="00900DB8"/>
    <w:rsid w:val="00900DD4"/>
    <w:rsid w:val="00900E24"/>
    <w:rsid w:val="00900E37"/>
    <w:rsid w:val="00900E47"/>
    <w:rsid w:val="00900E56"/>
    <w:rsid w:val="00900E77"/>
    <w:rsid w:val="00900E85"/>
    <w:rsid w:val="00900F00"/>
    <w:rsid w:val="00900F4E"/>
    <w:rsid w:val="00900F58"/>
    <w:rsid w:val="00900F73"/>
    <w:rsid w:val="00900FA4"/>
    <w:rsid w:val="00901005"/>
    <w:rsid w:val="00901017"/>
    <w:rsid w:val="00901054"/>
    <w:rsid w:val="0090105F"/>
    <w:rsid w:val="009010EB"/>
    <w:rsid w:val="00901114"/>
    <w:rsid w:val="00901126"/>
    <w:rsid w:val="00901133"/>
    <w:rsid w:val="00901154"/>
    <w:rsid w:val="0090117D"/>
    <w:rsid w:val="00901193"/>
    <w:rsid w:val="00901194"/>
    <w:rsid w:val="0090122D"/>
    <w:rsid w:val="0090123D"/>
    <w:rsid w:val="0090124B"/>
    <w:rsid w:val="00901273"/>
    <w:rsid w:val="009012DA"/>
    <w:rsid w:val="009012DC"/>
    <w:rsid w:val="0090138A"/>
    <w:rsid w:val="00901413"/>
    <w:rsid w:val="00901416"/>
    <w:rsid w:val="0090142A"/>
    <w:rsid w:val="009014BB"/>
    <w:rsid w:val="0090156B"/>
    <w:rsid w:val="0090157A"/>
    <w:rsid w:val="009015A1"/>
    <w:rsid w:val="009015A6"/>
    <w:rsid w:val="009015D3"/>
    <w:rsid w:val="009015D6"/>
    <w:rsid w:val="009015EC"/>
    <w:rsid w:val="0090161A"/>
    <w:rsid w:val="00901683"/>
    <w:rsid w:val="009016B7"/>
    <w:rsid w:val="009016C1"/>
    <w:rsid w:val="009016F9"/>
    <w:rsid w:val="00901771"/>
    <w:rsid w:val="0090179E"/>
    <w:rsid w:val="00901812"/>
    <w:rsid w:val="00901824"/>
    <w:rsid w:val="0090183F"/>
    <w:rsid w:val="00901849"/>
    <w:rsid w:val="0090185C"/>
    <w:rsid w:val="00901860"/>
    <w:rsid w:val="0090186D"/>
    <w:rsid w:val="00901894"/>
    <w:rsid w:val="009018B2"/>
    <w:rsid w:val="009018D2"/>
    <w:rsid w:val="009018D9"/>
    <w:rsid w:val="00901904"/>
    <w:rsid w:val="00901934"/>
    <w:rsid w:val="0090195C"/>
    <w:rsid w:val="0090198C"/>
    <w:rsid w:val="009019C3"/>
    <w:rsid w:val="009019DB"/>
    <w:rsid w:val="00901AF3"/>
    <w:rsid w:val="00901B29"/>
    <w:rsid w:val="00901B39"/>
    <w:rsid w:val="00901B3D"/>
    <w:rsid w:val="00901B84"/>
    <w:rsid w:val="00901BC5"/>
    <w:rsid w:val="00901BDF"/>
    <w:rsid w:val="00901BE7"/>
    <w:rsid w:val="00901BE9"/>
    <w:rsid w:val="00901C3E"/>
    <w:rsid w:val="00901C59"/>
    <w:rsid w:val="00901C6B"/>
    <w:rsid w:val="00901C73"/>
    <w:rsid w:val="00901C95"/>
    <w:rsid w:val="00901C9E"/>
    <w:rsid w:val="00901CE4"/>
    <w:rsid w:val="00901CE7"/>
    <w:rsid w:val="00901CFB"/>
    <w:rsid w:val="00901D34"/>
    <w:rsid w:val="00901D43"/>
    <w:rsid w:val="00901D72"/>
    <w:rsid w:val="00901DBF"/>
    <w:rsid w:val="00901DFF"/>
    <w:rsid w:val="00901E46"/>
    <w:rsid w:val="00901E5E"/>
    <w:rsid w:val="00901E8E"/>
    <w:rsid w:val="00901EE9"/>
    <w:rsid w:val="00901F37"/>
    <w:rsid w:val="00901F84"/>
    <w:rsid w:val="00901FAA"/>
    <w:rsid w:val="00901FAC"/>
    <w:rsid w:val="00901FB9"/>
    <w:rsid w:val="00901FD1"/>
    <w:rsid w:val="00902006"/>
    <w:rsid w:val="00902015"/>
    <w:rsid w:val="00902073"/>
    <w:rsid w:val="009020CB"/>
    <w:rsid w:val="009020D4"/>
    <w:rsid w:val="00902118"/>
    <w:rsid w:val="009021F9"/>
    <w:rsid w:val="0090225E"/>
    <w:rsid w:val="0090225F"/>
    <w:rsid w:val="0090228E"/>
    <w:rsid w:val="009022D2"/>
    <w:rsid w:val="009022D5"/>
    <w:rsid w:val="00902320"/>
    <w:rsid w:val="00902359"/>
    <w:rsid w:val="009023C9"/>
    <w:rsid w:val="0090241F"/>
    <w:rsid w:val="009024BC"/>
    <w:rsid w:val="009024C0"/>
    <w:rsid w:val="009024E0"/>
    <w:rsid w:val="009024E4"/>
    <w:rsid w:val="009024F7"/>
    <w:rsid w:val="0090255B"/>
    <w:rsid w:val="009025CF"/>
    <w:rsid w:val="009025FD"/>
    <w:rsid w:val="00902614"/>
    <w:rsid w:val="00902624"/>
    <w:rsid w:val="00902639"/>
    <w:rsid w:val="00902653"/>
    <w:rsid w:val="0090268E"/>
    <w:rsid w:val="009026B7"/>
    <w:rsid w:val="009026CE"/>
    <w:rsid w:val="009026FB"/>
    <w:rsid w:val="0090271B"/>
    <w:rsid w:val="00902768"/>
    <w:rsid w:val="0090276C"/>
    <w:rsid w:val="009027D0"/>
    <w:rsid w:val="009027FD"/>
    <w:rsid w:val="00902809"/>
    <w:rsid w:val="00902811"/>
    <w:rsid w:val="00902889"/>
    <w:rsid w:val="009028BB"/>
    <w:rsid w:val="009028E4"/>
    <w:rsid w:val="009028F4"/>
    <w:rsid w:val="009028FF"/>
    <w:rsid w:val="009029AB"/>
    <w:rsid w:val="009029DC"/>
    <w:rsid w:val="009029F1"/>
    <w:rsid w:val="009029FA"/>
    <w:rsid w:val="00902ACC"/>
    <w:rsid w:val="00902B4A"/>
    <w:rsid w:val="00902B75"/>
    <w:rsid w:val="00902B77"/>
    <w:rsid w:val="00902B97"/>
    <w:rsid w:val="00902BBE"/>
    <w:rsid w:val="00902BC4"/>
    <w:rsid w:val="00902C0D"/>
    <w:rsid w:val="00902C30"/>
    <w:rsid w:val="00902C47"/>
    <w:rsid w:val="00902C8E"/>
    <w:rsid w:val="00902D00"/>
    <w:rsid w:val="00902DA7"/>
    <w:rsid w:val="00902DE9"/>
    <w:rsid w:val="00902E01"/>
    <w:rsid w:val="00902E0B"/>
    <w:rsid w:val="00902E0D"/>
    <w:rsid w:val="00902E14"/>
    <w:rsid w:val="00902E24"/>
    <w:rsid w:val="00902E90"/>
    <w:rsid w:val="00902EC2"/>
    <w:rsid w:val="00902F57"/>
    <w:rsid w:val="00902F7C"/>
    <w:rsid w:val="00902F82"/>
    <w:rsid w:val="00902FB7"/>
    <w:rsid w:val="00902FB9"/>
    <w:rsid w:val="00902FE7"/>
    <w:rsid w:val="0090304A"/>
    <w:rsid w:val="0090305E"/>
    <w:rsid w:val="009030A6"/>
    <w:rsid w:val="0090312E"/>
    <w:rsid w:val="00903136"/>
    <w:rsid w:val="00903164"/>
    <w:rsid w:val="00903166"/>
    <w:rsid w:val="0090316D"/>
    <w:rsid w:val="00903182"/>
    <w:rsid w:val="00903296"/>
    <w:rsid w:val="00903314"/>
    <w:rsid w:val="00903374"/>
    <w:rsid w:val="009033DD"/>
    <w:rsid w:val="00903409"/>
    <w:rsid w:val="0090341C"/>
    <w:rsid w:val="00903423"/>
    <w:rsid w:val="00903452"/>
    <w:rsid w:val="00903456"/>
    <w:rsid w:val="00903509"/>
    <w:rsid w:val="00903536"/>
    <w:rsid w:val="0090355F"/>
    <w:rsid w:val="009035E4"/>
    <w:rsid w:val="009035EE"/>
    <w:rsid w:val="00903680"/>
    <w:rsid w:val="00903758"/>
    <w:rsid w:val="00903772"/>
    <w:rsid w:val="00903788"/>
    <w:rsid w:val="009037AC"/>
    <w:rsid w:val="009037C4"/>
    <w:rsid w:val="009037E0"/>
    <w:rsid w:val="009037E8"/>
    <w:rsid w:val="0090393C"/>
    <w:rsid w:val="0090399C"/>
    <w:rsid w:val="009039DB"/>
    <w:rsid w:val="00903A19"/>
    <w:rsid w:val="00903A1C"/>
    <w:rsid w:val="00903A38"/>
    <w:rsid w:val="00903A7E"/>
    <w:rsid w:val="00903AE4"/>
    <w:rsid w:val="00903AFE"/>
    <w:rsid w:val="00903B04"/>
    <w:rsid w:val="00903B0C"/>
    <w:rsid w:val="00903B80"/>
    <w:rsid w:val="00903B89"/>
    <w:rsid w:val="00903B91"/>
    <w:rsid w:val="00903B92"/>
    <w:rsid w:val="00903C14"/>
    <w:rsid w:val="00903C6B"/>
    <w:rsid w:val="00903CA0"/>
    <w:rsid w:val="00903CC7"/>
    <w:rsid w:val="00903CCB"/>
    <w:rsid w:val="00903CD5"/>
    <w:rsid w:val="00903CD6"/>
    <w:rsid w:val="00903CE9"/>
    <w:rsid w:val="00903D1D"/>
    <w:rsid w:val="00903D44"/>
    <w:rsid w:val="00903D73"/>
    <w:rsid w:val="00903D8F"/>
    <w:rsid w:val="00903DC4"/>
    <w:rsid w:val="00903E01"/>
    <w:rsid w:val="00903EF9"/>
    <w:rsid w:val="00903F15"/>
    <w:rsid w:val="00903F52"/>
    <w:rsid w:val="00903F71"/>
    <w:rsid w:val="00903F7E"/>
    <w:rsid w:val="00904086"/>
    <w:rsid w:val="00904107"/>
    <w:rsid w:val="00904151"/>
    <w:rsid w:val="00904171"/>
    <w:rsid w:val="00904182"/>
    <w:rsid w:val="00904189"/>
    <w:rsid w:val="009041AB"/>
    <w:rsid w:val="009041D7"/>
    <w:rsid w:val="009041E1"/>
    <w:rsid w:val="009041E8"/>
    <w:rsid w:val="0090426C"/>
    <w:rsid w:val="009042BC"/>
    <w:rsid w:val="009042D1"/>
    <w:rsid w:val="009042D7"/>
    <w:rsid w:val="00904318"/>
    <w:rsid w:val="0090431F"/>
    <w:rsid w:val="00904330"/>
    <w:rsid w:val="0090440F"/>
    <w:rsid w:val="00904436"/>
    <w:rsid w:val="0090444C"/>
    <w:rsid w:val="00904450"/>
    <w:rsid w:val="0090448D"/>
    <w:rsid w:val="00904535"/>
    <w:rsid w:val="0090453B"/>
    <w:rsid w:val="00904590"/>
    <w:rsid w:val="009046B7"/>
    <w:rsid w:val="009046F2"/>
    <w:rsid w:val="0090475E"/>
    <w:rsid w:val="00904796"/>
    <w:rsid w:val="009047C2"/>
    <w:rsid w:val="009047CA"/>
    <w:rsid w:val="00904885"/>
    <w:rsid w:val="00904889"/>
    <w:rsid w:val="0090489C"/>
    <w:rsid w:val="009048AB"/>
    <w:rsid w:val="009048B8"/>
    <w:rsid w:val="009048D8"/>
    <w:rsid w:val="009048FD"/>
    <w:rsid w:val="00904937"/>
    <w:rsid w:val="00904957"/>
    <w:rsid w:val="009049B4"/>
    <w:rsid w:val="009049CE"/>
    <w:rsid w:val="009049ED"/>
    <w:rsid w:val="00904A5E"/>
    <w:rsid w:val="00904A8E"/>
    <w:rsid w:val="00904AAB"/>
    <w:rsid w:val="00904ACE"/>
    <w:rsid w:val="00904B04"/>
    <w:rsid w:val="00904B32"/>
    <w:rsid w:val="00904BB3"/>
    <w:rsid w:val="00904BC5"/>
    <w:rsid w:val="00904BEE"/>
    <w:rsid w:val="00904C9B"/>
    <w:rsid w:val="00904CC5"/>
    <w:rsid w:val="00904CCB"/>
    <w:rsid w:val="00904D39"/>
    <w:rsid w:val="00904D44"/>
    <w:rsid w:val="00904DEE"/>
    <w:rsid w:val="00904E1D"/>
    <w:rsid w:val="00904EE6"/>
    <w:rsid w:val="00904F9C"/>
    <w:rsid w:val="00904FBF"/>
    <w:rsid w:val="00905066"/>
    <w:rsid w:val="00905077"/>
    <w:rsid w:val="00905080"/>
    <w:rsid w:val="009050AB"/>
    <w:rsid w:val="009050D6"/>
    <w:rsid w:val="009050DC"/>
    <w:rsid w:val="009050E5"/>
    <w:rsid w:val="00905189"/>
    <w:rsid w:val="009051CB"/>
    <w:rsid w:val="009051DA"/>
    <w:rsid w:val="00905237"/>
    <w:rsid w:val="0090533B"/>
    <w:rsid w:val="00905355"/>
    <w:rsid w:val="00905396"/>
    <w:rsid w:val="009053F5"/>
    <w:rsid w:val="00905401"/>
    <w:rsid w:val="00905451"/>
    <w:rsid w:val="009054AA"/>
    <w:rsid w:val="00905546"/>
    <w:rsid w:val="009055A1"/>
    <w:rsid w:val="00905602"/>
    <w:rsid w:val="0090560A"/>
    <w:rsid w:val="00905711"/>
    <w:rsid w:val="009057A9"/>
    <w:rsid w:val="009057EE"/>
    <w:rsid w:val="00905812"/>
    <w:rsid w:val="00905936"/>
    <w:rsid w:val="00905948"/>
    <w:rsid w:val="00905A34"/>
    <w:rsid w:val="00905A56"/>
    <w:rsid w:val="00905A6C"/>
    <w:rsid w:val="00905B6F"/>
    <w:rsid w:val="00905BAD"/>
    <w:rsid w:val="00905BB9"/>
    <w:rsid w:val="00905BE3"/>
    <w:rsid w:val="00905C57"/>
    <w:rsid w:val="00905CA7"/>
    <w:rsid w:val="00905CEB"/>
    <w:rsid w:val="00905D2E"/>
    <w:rsid w:val="00905D44"/>
    <w:rsid w:val="00905DE1"/>
    <w:rsid w:val="00905E15"/>
    <w:rsid w:val="00905E4E"/>
    <w:rsid w:val="00905EE4"/>
    <w:rsid w:val="00905FDA"/>
    <w:rsid w:val="00906003"/>
    <w:rsid w:val="00906051"/>
    <w:rsid w:val="0090605B"/>
    <w:rsid w:val="009060CD"/>
    <w:rsid w:val="009060F1"/>
    <w:rsid w:val="009060F5"/>
    <w:rsid w:val="00906158"/>
    <w:rsid w:val="0090615D"/>
    <w:rsid w:val="00906180"/>
    <w:rsid w:val="00906197"/>
    <w:rsid w:val="009061B7"/>
    <w:rsid w:val="00906226"/>
    <w:rsid w:val="00906367"/>
    <w:rsid w:val="00906388"/>
    <w:rsid w:val="009063B7"/>
    <w:rsid w:val="009063DB"/>
    <w:rsid w:val="0090642C"/>
    <w:rsid w:val="0090647B"/>
    <w:rsid w:val="009064EE"/>
    <w:rsid w:val="009064FB"/>
    <w:rsid w:val="0090654B"/>
    <w:rsid w:val="0090664A"/>
    <w:rsid w:val="00906660"/>
    <w:rsid w:val="0090668F"/>
    <w:rsid w:val="009066A0"/>
    <w:rsid w:val="009066F7"/>
    <w:rsid w:val="00906797"/>
    <w:rsid w:val="009067EF"/>
    <w:rsid w:val="009067F2"/>
    <w:rsid w:val="00906800"/>
    <w:rsid w:val="00906801"/>
    <w:rsid w:val="0090689F"/>
    <w:rsid w:val="009068B2"/>
    <w:rsid w:val="00906908"/>
    <w:rsid w:val="0090693A"/>
    <w:rsid w:val="00906A20"/>
    <w:rsid w:val="00906A5E"/>
    <w:rsid w:val="00906AD4"/>
    <w:rsid w:val="00906ADF"/>
    <w:rsid w:val="00906AEF"/>
    <w:rsid w:val="00906B67"/>
    <w:rsid w:val="00906B71"/>
    <w:rsid w:val="00906B9D"/>
    <w:rsid w:val="00906C24"/>
    <w:rsid w:val="00906CBD"/>
    <w:rsid w:val="00906CE7"/>
    <w:rsid w:val="00906D71"/>
    <w:rsid w:val="00906D99"/>
    <w:rsid w:val="00906DB0"/>
    <w:rsid w:val="00906DB6"/>
    <w:rsid w:val="00906DE4"/>
    <w:rsid w:val="00906DF6"/>
    <w:rsid w:val="00906E15"/>
    <w:rsid w:val="00906E1C"/>
    <w:rsid w:val="00906E2F"/>
    <w:rsid w:val="00906E4C"/>
    <w:rsid w:val="00906E83"/>
    <w:rsid w:val="00906E9A"/>
    <w:rsid w:val="00906F46"/>
    <w:rsid w:val="00906FB2"/>
    <w:rsid w:val="00906FB3"/>
    <w:rsid w:val="00907025"/>
    <w:rsid w:val="00907072"/>
    <w:rsid w:val="009070D3"/>
    <w:rsid w:val="009070E9"/>
    <w:rsid w:val="009071DB"/>
    <w:rsid w:val="009071DC"/>
    <w:rsid w:val="009071F6"/>
    <w:rsid w:val="009071FD"/>
    <w:rsid w:val="00907217"/>
    <w:rsid w:val="0090721A"/>
    <w:rsid w:val="0090723B"/>
    <w:rsid w:val="009072A7"/>
    <w:rsid w:val="009072BB"/>
    <w:rsid w:val="00907359"/>
    <w:rsid w:val="00907393"/>
    <w:rsid w:val="009073C1"/>
    <w:rsid w:val="00907467"/>
    <w:rsid w:val="00907471"/>
    <w:rsid w:val="00907485"/>
    <w:rsid w:val="009074FF"/>
    <w:rsid w:val="0090750D"/>
    <w:rsid w:val="00907527"/>
    <w:rsid w:val="0090754F"/>
    <w:rsid w:val="00907555"/>
    <w:rsid w:val="009075D5"/>
    <w:rsid w:val="0090761F"/>
    <w:rsid w:val="00907621"/>
    <w:rsid w:val="0090765E"/>
    <w:rsid w:val="00907675"/>
    <w:rsid w:val="009076D5"/>
    <w:rsid w:val="009076E2"/>
    <w:rsid w:val="009077AD"/>
    <w:rsid w:val="009077D5"/>
    <w:rsid w:val="009077E4"/>
    <w:rsid w:val="009077F1"/>
    <w:rsid w:val="00907811"/>
    <w:rsid w:val="00907874"/>
    <w:rsid w:val="009078AD"/>
    <w:rsid w:val="009078C4"/>
    <w:rsid w:val="009079A6"/>
    <w:rsid w:val="009079C0"/>
    <w:rsid w:val="00907A5E"/>
    <w:rsid w:val="00907A94"/>
    <w:rsid w:val="00907A9E"/>
    <w:rsid w:val="00907AAE"/>
    <w:rsid w:val="00907B4B"/>
    <w:rsid w:val="00907BE3"/>
    <w:rsid w:val="00907BF5"/>
    <w:rsid w:val="00907C26"/>
    <w:rsid w:val="00907C3C"/>
    <w:rsid w:val="00907C53"/>
    <w:rsid w:val="00907C67"/>
    <w:rsid w:val="00907C6E"/>
    <w:rsid w:val="00907C98"/>
    <w:rsid w:val="00907CA0"/>
    <w:rsid w:val="00907CB3"/>
    <w:rsid w:val="00907CDA"/>
    <w:rsid w:val="00907D46"/>
    <w:rsid w:val="00907D7B"/>
    <w:rsid w:val="00907D7C"/>
    <w:rsid w:val="00907DE5"/>
    <w:rsid w:val="00907DFA"/>
    <w:rsid w:val="00907E6F"/>
    <w:rsid w:val="00907E88"/>
    <w:rsid w:val="00907EE8"/>
    <w:rsid w:val="00907F01"/>
    <w:rsid w:val="00907F45"/>
    <w:rsid w:val="00907F4A"/>
    <w:rsid w:val="00907F9D"/>
    <w:rsid w:val="00907FBC"/>
    <w:rsid w:val="00907FD7"/>
    <w:rsid w:val="00907FEF"/>
    <w:rsid w:val="0091000E"/>
    <w:rsid w:val="0091001A"/>
    <w:rsid w:val="00910022"/>
    <w:rsid w:val="0091006B"/>
    <w:rsid w:val="0091009A"/>
    <w:rsid w:val="009100A1"/>
    <w:rsid w:val="009100B7"/>
    <w:rsid w:val="009100C9"/>
    <w:rsid w:val="009100E5"/>
    <w:rsid w:val="00910116"/>
    <w:rsid w:val="0091016C"/>
    <w:rsid w:val="00910173"/>
    <w:rsid w:val="009101AB"/>
    <w:rsid w:val="009101AC"/>
    <w:rsid w:val="0091020C"/>
    <w:rsid w:val="00910227"/>
    <w:rsid w:val="0091023B"/>
    <w:rsid w:val="0091027E"/>
    <w:rsid w:val="0091029E"/>
    <w:rsid w:val="0091029F"/>
    <w:rsid w:val="00910389"/>
    <w:rsid w:val="009103C6"/>
    <w:rsid w:val="009103E8"/>
    <w:rsid w:val="00910401"/>
    <w:rsid w:val="0091049E"/>
    <w:rsid w:val="009104A9"/>
    <w:rsid w:val="009104B8"/>
    <w:rsid w:val="00910587"/>
    <w:rsid w:val="009105D5"/>
    <w:rsid w:val="009105E1"/>
    <w:rsid w:val="009105E2"/>
    <w:rsid w:val="00910623"/>
    <w:rsid w:val="00910656"/>
    <w:rsid w:val="0091068D"/>
    <w:rsid w:val="009106A7"/>
    <w:rsid w:val="009106D9"/>
    <w:rsid w:val="009106F9"/>
    <w:rsid w:val="0091073C"/>
    <w:rsid w:val="0091078F"/>
    <w:rsid w:val="00910813"/>
    <w:rsid w:val="00910874"/>
    <w:rsid w:val="009108A0"/>
    <w:rsid w:val="009108DC"/>
    <w:rsid w:val="0091093E"/>
    <w:rsid w:val="0091097F"/>
    <w:rsid w:val="009109A2"/>
    <w:rsid w:val="009109B4"/>
    <w:rsid w:val="00910AA5"/>
    <w:rsid w:val="00910B7A"/>
    <w:rsid w:val="00910B92"/>
    <w:rsid w:val="00910B9D"/>
    <w:rsid w:val="00910CD1"/>
    <w:rsid w:val="00910CFB"/>
    <w:rsid w:val="00910D30"/>
    <w:rsid w:val="00910D3E"/>
    <w:rsid w:val="00910DC0"/>
    <w:rsid w:val="00910DD6"/>
    <w:rsid w:val="00910DF4"/>
    <w:rsid w:val="00910E2A"/>
    <w:rsid w:val="00910EE0"/>
    <w:rsid w:val="00910F54"/>
    <w:rsid w:val="00910F5F"/>
    <w:rsid w:val="00910F87"/>
    <w:rsid w:val="00910F8D"/>
    <w:rsid w:val="00910F91"/>
    <w:rsid w:val="00910FC8"/>
    <w:rsid w:val="00910FEA"/>
    <w:rsid w:val="0091104E"/>
    <w:rsid w:val="0091104F"/>
    <w:rsid w:val="00911068"/>
    <w:rsid w:val="0091109B"/>
    <w:rsid w:val="009110C4"/>
    <w:rsid w:val="009110DF"/>
    <w:rsid w:val="00911127"/>
    <w:rsid w:val="00911132"/>
    <w:rsid w:val="0091118E"/>
    <w:rsid w:val="009111A5"/>
    <w:rsid w:val="009111D4"/>
    <w:rsid w:val="00911224"/>
    <w:rsid w:val="00911228"/>
    <w:rsid w:val="00911243"/>
    <w:rsid w:val="0091125F"/>
    <w:rsid w:val="00911332"/>
    <w:rsid w:val="009113C9"/>
    <w:rsid w:val="0091140B"/>
    <w:rsid w:val="00911412"/>
    <w:rsid w:val="00911471"/>
    <w:rsid w:val="009114AD"/>
    <w:rsid w:val="009114D0"/>
    <w:rsid w:val="0091150F"/>
    <w:rsid w:val="00911554"/>
    <w:rsid w:val="00911555"/>
    <w:rsid w:val="00911589"/>
    <w:rsid w:val="0091159E"/>
    <w:rsid w:val="009115AE"/>
    <w:rsid w:val="009115E4"/>
    <w:rsid w:val="009115EA"/>
    <w:rsid w:val="0091168D"/>
    <w:rsid w:val="0091169A"/>
    <w:rsid w:val="00911702"/>
    <w:rsid w:val="00911730"/>
    <w:rsid w:val="00911804"/>
    <w:rsid w:val="0091181C"/>
    <w:rsid w:val="00911842"/>
    <w:rsid w:val="00911848"/>
    <w:rsid w:val="00911879"/>
    <w:rsid w:val="00911894"/>
    <w:rsid w:val="009118B3"/>
    <w:rsid w:val="009118FE"/>
    <w:rsid w:val="00911914"/>
    <w:rsid w:val="0091196C"/>
    <w:rsid w:val="0091196E"/>
    <w:rsid w:val="009119F0"/>
    <w:rsid w:val="00911A41"/>
    <w:rsid w:val="00911AF3"/>
    <w:rsid w:val="00911B45"/>
    <w:rsid w:val="00911B49"/>
    <w:rsid w:val="00911B9C"/>
    <w:rsid w:val="00911BBC"/>
    <w:rsid w:val="00911BBE"/>
    <w:rsid w:val="00911BE1"/>
    <w:rsid w:val="00911BEF"/>
    <w:rsid w:val="00911C9D"/>
    <w:rsid w:val="00911CAC"/>
    <w:rsid w:val="00911CD6"/>
    <w:rsid w:val="00911CEE"/>
    <w:rsid w:val="00911D10"/>
    <w:rsid w:val="00911D2D"/>
    <w:rsid w:val="00911D69"/>
    <w:rsid w:val="00911E35"/>
    <w:rsid w:val="00911E5F"/>
    <w:rsid w:val="00911EAC"/>
    <w:rsid w:val="00911ED3"/>
    <w:rsid w:val="00911EFC"/>
    <w:rsid w:val="00911F14"/>
    <w:rsid w:val="00911F98"/>
    <w:rsid w:val="00911FD6"/>
    <w:rsid w:val="00912023"/>
    <w:rsid w:val="00912038"/>
    <w:rsid w:val="00912039"/>
    <w:rsid w:val="00912044"/>
    <w:rsid w:val="009120B1"/>
    <w:rsid w:val="009120C7"/>
    <w:rsid w:val="009120CB"/>
    <w:rsid w:val="009121AE"/>
    <w:rsid w:val="00912217"/>
    <w:rsid w:val="00912259"/>
    <w:rsid w:val="00912264"/>
    <w:rsid w:val="00912290"/>
    <w:rsid w:val="009122F8"/>
    <w:rsid w:val="00912303"/>
    <w:rsid w:val="0091230E"/>
    <w:rsid w:val="00912449"/>
    <w:rsid w:val="0091245F"/>
    <w:rsid w:val="009124EE"/>
    <w:rsid w:val="00912560"/>
    <w:rsid w:val="00912576"/>
    <w:rsid w:val="0091258C"/>
    <w:rsid w:val="0091259F"/>
    <w:rsid w:val="009125AC"/>
    <w:rsid w:val="0091260D"/>
    <w:rsid w:val="00912629"/>
    <w:rsid w:val="0091264C"/>
    <w:rsid w:val="00912653"/>
    <w:rsid w:val="0091269F"/>
    <w:rsid w:val="009126B1"/>
    <w:rsid w:val="0091271E"/>
    <w:rsid w:val="0091275E"/>
    <w:rsid w:val="00912782"/>
    <w:rsid w:val="00912786"/>
    <w:rsid w:val="009127BE"/>
    <w:rsid w:val="00912806"/>
    <w:rsid w:val="00912856"/>
    <w:rsid w:val="0091287C"/>
    <w:rsid w:val="009128BD"/>
    <w:rsid w:val="0091290C"/>
    <w:rsid w:val="009129C0"/>
    <w:rsid w:val="00912A01"/>
    <w:rsid w:val="00912A18"/>
    <w:rsid w:val="00912AA2"/>
    <w:rsid w:val="00912B93"/>
    <w:rsid w:val="00912BC1"/>
    <w:rsid w:val="00912C04"/>
    <w:rsid w:val="00912C07"/>
    <w:rsid w:val="00912C7A"/>
    <w:rsid w:val="00912D4C"/>
    <w:rsid w:val="00912DF8"/>
    <w:rsid w:val="00912DFB"/>
    <w:rsid w:val="00912DFC"/>
    <w:rsid w:val="00912E47"/>
    <w:rsid w:val="00912E50"/>
    <w:rsid w:val="00912EA3"/>
    <w:rsid w:val="00912F4D"/>
    <w:rsid w:val="00912F56"/>
    <w:rsid w:val="00912F89"/>
    <w:rsid w:val="00913062"/>
    <w:rsid w:val="009130A0"/>
    <w:rsid w:val="009130BF"/>
    <w:rsid w:val="009130C8"/>
    <w:rsid w:val="009130F3"/>
    <w:rsid w:val="00913164"/>
    <w:rsid w:val="00913184"/>
    <w:rsid w:val="009131B9"/>
    <w:rsid w:val="009131C4"/>
    <w:rsid w:val="009131D8"/>
    <w:rsid w:val="009131DF"/>
    <w:rsid w:val="00913203"/>
    <w:rsid w:val="0091330E"/>
    <w:rsid w:val="00913319"/>
    <w:rsid w:val="00913321"/>
    <w:rsid w:val="0091332C"/>
    <w:rsid w:val="00913365"/>
    <w:rsid w:val="009133A2"/>
    <w:rsid w:val="009133E3"/>
    <w:rsid w:val="0091347E"/>
    <w:rsid w:val="009134A0"/>
    <w:rsid w:val="009134A8"/>
    <w:rsid w:val="0091355D"/>
    <w:rsid w:val="0091358C"/>
    <w:rsid w:val="00913628"/>
    <w:rsid w:val="00913632"/>
    <w:rsid w:val="009136BC"/>
    <w:rsid w:val="009136F4"/>
    <w:rsid w:val="00913718"/>
    <w:rsid w:val="00913764"/>
    <w:rsid w:val="00913792"/>
    <w:rsid w:val="009137A5"/>
    <w:rsid w:val="009137E3"/>
    <w:rsid w:val="00913855"/>
    <w:rsid w:val="0091386C"/>
    <w:rsid w:val="009138CD"/>
    <w:rsid w:val="00913961"/>
    <w:rsid w:val="00913999"/>
    <w:rsid w:val="009139BB"/>
    <w:rsid w:val="00913A36"/>
    <w:rsid w:val="00913A51"/>
    <w:rsid w:val="00913A6F"/>
    <w:rsid w:val="00913A89"/>
    <w:rsid w:val="00913AAF"/>
    <w:rsid w:val="00913B6E"/>
    <w:rsid w:val="00913BA4"/>
    <w:rsid w:val="00913C54"/>
    <w:rsid w:val="00913CB4"/>
    <w:rsid w:val="00913CD1"/>
    <w:rsid w:val="00913CE5"/>
    <w:rsid w:val="00913D0F"/>
    <w:rsid w:val="00913D2F"/>
    <w:rsid w:val="00913D81"/>
    <w:rsid w:val="00913D96"/>
    <w:rsid w:val="00913DEA"/>
    <w:rsid w:val="00913E24"/>
    <w:rsid w:val="00913EB9"/>
    <w:rsid w:val="00913F0F"/>
    <w:rsid w:val="00913F1D"/>
    <w:rsid w:val="00913F48"/>
    <w:rsid w:val="00914000"/>
    <w:rsid w:val="00914010"/>
    <w:rsid w:val="00914032"/>
    <w:rsid w:val="00914074"/>
    <w:rsid w:val="00914095"/>
    <w:rsid w:val="009140D0"/>
    <w:rsid w:val="00914104"/>
    <w:rsid w:val="0091411D"/>
    <w:rsid w:val="00914239"/>
    <w:rsid w:val="00914319"/>
    <w:rsid w:val="00914369"/>
    <w:rsid w:val="009143B5"/>
    <w:rsid w:val="009143C3"/>
    <w:rsid w:val="00914454"/>
    <w:rsid w:val="00914468"/>
    <w:rsid w:val="0091447C"/>
    <w:rsid w:val="009144FB"/>
    <w:rsid w:val="009144FF"/>
    <w:rsid w:val="0091451D"/>
    <w:rsid w:val="00914521"/>
    <w:rsid w:val="00914527"/>
    <w:rsid w:val="00914538"/>
    <w:rsid w:val="00914547"/>
    <w:rsid w:val="0091458C"/>
    <w:rsid w:val="009145BA"/>
    <w:rsid w:val="009145BC"/>
    <w:rsid w:val="00914649"/>
    <w:rsid w:val="00914694"/>
    <w:rsid w:val="009146C4"/>
    <w:rsid w:val="00914711"/>
    <w:rsid w:val="009147D8"/>
    <w:rsid w:val="009147F2"/>
    <w:rsid w:val="009147F9"/>
    <w:rsid w:val="009148B7"/>
    <w:rsid w:val="009148B8"/>
    <w:rsid w:val="009148DB"/>
    <w:rsid w:val="00914987"/>
    <w:rsid w:val="009149A8"/>
    <w:rsid w:val="009149F5"/>
    <w:rsid w:val="00914A5B"/>
    <w:rsid w:val="00914A79"/>
    <w:rsid w:val="00914B28"/>
    <w:rsid w:val="00914B32"/>
    <w:rsid w:val="00914B8D"/>
    <w:rsid w:val="00914B9F"/>
    <w:rsid w:val="00914BAF"/>
    <w:rsid w:val="00914CB8"/>
    <w:rsid w:val="00914D13"/>
    <w:rsid w:val="00914D45"/>
    <w:rsid w:val="00914D66"/>
    <w:rsid w:val="00914D7C"/>
    <w:rsid w:val="00914DB7"/>
    <w:rsid w:val="00914DD5"/>
    <w:rsid w:val="00914DE3"/>
    <w:rsid w:val="00914E6D"/>
    <w:rsid w:val="00914E7C"/>
    <w:rsid w:val="00914E82"/>
    <w:rsid w:val="00914E9D"/>
    <w:rsid w:val="00914F3A"/>
    <w:rsid w:val="00914F3B"/>
    <w:rsid w:val="00914F71"/>
    <w:rsid w:val="00914FB1"/>
    <w:rsid w:val="00914FB3"/>
    <w:rsid w:val="00914FBD"/>
    <w:rsid w:val="00914FC9"/>
    <w:rsid w:val="0091504A"/>
    <w:rsid w:val="00915097"/>
    <w:rsid w:val="009150CA"/>
    <w:rsid w:val="00915103"/>
    <w:rsid w:val="00915140"/>
    <w:rsid w:val="00915186"/>
    <w:rsid w:val="00915212"/>
    <w:rsid w:val="0091527C"/>
    <w:rsid w:val="009152D4"/>
    <w:rsid w:val="00915303"/>
    <w:rsid w:val="00915369"/>
    <w:rsid w:val="00915431"/>
    <w:rsid w:val="009154AC"/>
    <w:rsid w:val="009154B2"/>
    <w:rsid w:val="009154DE"/>
    <w:rsid w:val="009154EF"/>
    <w:rsid w:val="0091550F"/>
    <w:rsid w:val="0091556E"/>
    <w:rsid w:val="009155D0"/>
    <w:rsid w:val="009155FF"/>
    <w:rsid w:val="0091561E"/>
    <w:rsid w:val="00915677"/>
    <w:rsid w:val="009156BB"/>
    <w:rsid w:val="0091574C"/>
    <w:rsid w:val="00915787"/>
    <w:rsid w:val="0091580D"/>
    <w:rsid w:val="009158F0"/>
    <w:rsid w:val="009158F4"/>
    <w:rsid w:val="00915935"/>
    <w:rsid w:val="0091596F"/>
    <w:rsid w:val="00915987"/>
    <w:rsid w:val="00915A52"/>
    <w:rsid w:val="00915A6B"/>
    <w:rsid w:val="00915A76"/>
    <w:rsid w:val="00915A80"/>
    <w:rsid w:val="00915AAA"/>
    <w:rsid w:val="00915AE3"/>
    <w:rsid w:val="00915B35"/>
    <w:rsid w:val="00915B37"/>
    <w:rsid w:val="00915B4B"/>
    <w:rsid w:val="00915B62"/>
    <w:rsid w:val="00915BC7"/>
    <w:rsid w:val="00915BCB"/>
    <w:rsid w:val="00915C13"/>
    <w:rsid w:val="00915C6F"/>
    <w:rsid w:val="00915C7E"/>
    <w:rsid w:val="00915D63"/>
    <w:rsid w:val="00915DA1"/>
    <w:rsid w:val="00915DF9"/>
    <w:rsid w:val="00915E10"/>
    <w:rsid w:val="00915EF2"/>
    <w:rsid w:val="00915F23"/>
    <w:rsid w:val="00915F38"/>
    <w:rsid w:val="00915FCD"/>
    <w:rsid w:val="00915FE1"/>
    <w:rsid w:val="00916013"/>
    <w:rsid w:val="00916016"/>
    <w:rsid w:val="0091606F"/>
    <w:rsid w:val="00916089"/>
    <w:rsid w:val="00916144"/>
    <w:rsid w:val="0091614F"/>
    <w:rsid w:val="0091616F"/>
    <w:rsid w:val="009161A4"/>
    <w:rsid w:val="009161AF"/>
    <w:rsid w:val="009161F0"/>
    <w:rsid w:val="009161F1"/>
    <w:rsid w:val="0091620F"/>
    <w:rsid w:val="0091621D"/>
    <w:rsid w:val="0091623D"/>
    <w:rsid w:val="0091626F"/>
    <w:rsid w:val="009162A8"/>
    <w:rsid w:val="009162E4"/>
    <w:rsid w:val="00916325"/>
    <w:rsid w:val="00916347"/>
    <w:rsid w:val="00916351"/>
    <w:rsid w:val="00916353"/>
    <w:rsid w:val="0091637E"/>
    <w:rsid w:val="009163C2"/>
    <w:rsid w:val="00916462"/>
    <w:rsid w:val="009164B8"/>
    <w:rsid w:val="009164E5"/>
    <w:rsid w:val="00916549"/>
    <w:rsid w:val="00916589"/>
    <w:rsid w:val="00916657"/>
    <w:rsid w:val="00916660"/>
    <w:rsid w:val="009167A8"/>
    <w:rsid w:val="009167FF"/>
    <w:rsid w:val="00916838"/>
    <w:rsid w:val="00916877"/>
    <w:rsid w:val="00916887"/>
    <w:rsid w:val="009168B0"/>
    <w:rsid w:val="00916910"/>
    <w:rsid w:val="0091699B"/>
    <w:rsid w:val="009169AF"/>
    <w:rsid w:val="009169CF"/>
    <w:rsid w:val="00916AC4"/>
    <w:rsid w:val="00916B6E"/>
    <w:rsid w:val="00916B9B"/>
    <w:rsid w:val="00916BBC"/>
    <w:rsid w:val="00916C35"/>
    <w:rsid w:val="00916CB4"/>
    <w:rsid w:val="00916CEF"/>
    <w:rsid w:val="00916D05"/>
    <w:rsid w:val="00916D51"/>
    <w:rsid w:val="00916D59"/>
    <w:rsid w:val="00916D76"/>
    <w:rsid w:val="00916D7D"/>
    <w:rsid w:val="00916D9C"/>
    <w:rsid w:val="00916DCD"/>
    <w:rsid w:val="00916E01"/>
    <w:rsid w:val="00916E22"/>
    <w:rsid w:val="00916E32"/>
    <w:rsid w:val="00916EEC"/>
    <w:rsid w:val="00916F08"/>
    <w:rsid w:val="00916F69"/>
    <w:rsid w:val="00916FB6"/>
    <w:rsid w:val="00916FB8"/>
    <w:rsid w:val="00916FCA"/>
    <w:rsid w:val="00916FF6"/>
    <w:rsid w:val="00917079"/>
    <w:rsid w:val="00917089"/>
    <w:rsid w:val="0091713A"/>
    <w:rsid w:val="0091713B"/>
    <w:rsid w:val="0091719A"/>
    <w:rsid w:val="009171AF"/>
    <w:rsid w:val="009171DE"/>
    <w:rsid w:val="009172B4"/>
    <w:rsid w:val="009172BF"/>
    <w:rsid w:val="009172FB"/>
    <w:rsid w:val="00917309"/>
    <w:rsid w:val="009173D5"/>
    <w:rsid w:val="009174B0"/>
    <w:rsid w:val="00917534"/>
    <w:rsid w:val="00917537"/>
    <w:rsid w:val="00917544"/>
    <w:rsid w:val="0091759F"/>
    <w:rsid w:val="009175C9"/>
    <w:rsid w:val="009175F2"/>
    <w:rsid w:val="009175FB"/>
    <w:rsid w:val="0091761E"/>
    <w:rsid w:val="0091762A"/>
    <w:rsid w:val="00917632"/>
    <w:rsid w:val="00917637"/>
    <w:rsid w:val="00917668"/>
    <w:rsid w:val="0091767D"/>
    <w:rsid w:val="009176DA"/>
    <w:rsid w:val="00917703"/>
    <w:rsid w:val="0091772F"/>
    <w:rsid w:val="0091778C"/>
    <w:rsid w:val="00917934"/>
    <w:rsid w:val="009179AA"/>
    <w:rsid w:val="009179B4"/>
    <w:rsid w:val="009179F1"/>
    <w:rsid w:val="00917A4A"/>
    <w:rsid w:val="00917AB9"/>
    <w:rsid w:val="00917B17"/>
    <w:rsid w:val="00917B57"/>
    <w:rsid w:val="00917C0E"/>
    <w:rsid w:val="00917C4D"/>
    <w:rsid w:val="00917C5B"/>
    <w:rsid w:val="00917C67"/>
    <w:rsid w:val="00917C75"/>
    <w:rsid w:val="00917C94"/>
    <w:rsid w:val="00917D2E"/>
    <w:rsid w:val="00917D93"/>
    <w:rsid w:val="00917DE8"/>
    <w:rsid w:val="00917E1B"/>
    <w:rsid w:val="00917E22"/>
    <w:rsid w:val="00917E54"/>
    <w:rsid w:val="00917E5A"/>
    <w:rsid w:val="00917EAF"/>
    <w:rsid w:val="00917F25"/>
    <w:rsid w:val="00917F45"/>
    <w:rsid w:val="00917F6B"/>
    <w:rsid w:val="00917FA2"/>
    <w:rsid w:val="00917FB7"/>
    <w:rsid w:val="00917FCC"/>
    <w:rsid w:val="00917FE5"/>
    <w:rsid w:val="00919F6F"/>
    <w:rsid w:val="00920057"/>
    <w:rsid w:val="00920077"/>
    <w:rsid w:val="009200A0"/>
    <w:rsid w:val="009200F2"/>
    <w:rsid w:val="009201AB"/>
    <w:rsid w:val="009201C9"/>
    <w:rsid w:val="009202B3"/>
    <w:rsid w:val="009202FE"/>
    <w:rsid w:val="00920326"/>
    <w:rsid w:val="0092033F"/>
    <w:rsid w:val="00920347"/>
    <w:rsid w:val="009203D2"/>
    <w:rsid w:val="009203F4"/>
    <w:rsid w:val="0092041A"/>
    <w:rsid w:val="0092042C"/>
    <w:rsid w:val="0092046F"/>
    <w:rsid w:val="009204C1"/>
    <w:rsid w:val="009204D6"/>
    <w:rsid w:val="009205AC"/>
    <w:rsid w:val="009205B1"/>
    <w:rsid w:val="00920611"/>
    <w:rsid w:val="0092066A"/>
    <w:rsid w:val="009206B5"/>
    <w:rsid w:val="009206CB"/>
    <w:rsid w:val="009206FE"/>
    <w:rsid w:val="00920701"/>
    <w:rsid w:val="00920739"/>
    <w:rsid w:val="0092073D"/>
    <w:rsid w:val="00920765"/>
    <w:rsid w:val="009207DF"/>
    <w:rsid w:val="00920803"/>
    <w:rsid w:val="00920869"/>
    <w:rsid w:val="009208A9"/>
    <w:rsid w:val="009208D4"/>
    <w:rsid w:val="009208F1"/>
    <w:rsid w:val="00920910"/>
    <w:rsid w:val="00920911"/>
    <w:rsid w:val="00920931"/>
    <w:rsid w:val="0092098D"/>
    <w:rsid w:val="009209DA"/>
    <w:rsid w:val="00920A19"/>
    <w:rsid w:val="00920A54"/>
    <w:rsid w:val="00920A71"/>
    <w:rsid w:val="00920B5D"/>
    <w:rsid w:val="00920BB4"/>
    <w:rsid w:val="00920C1D"/>
    <w:rsid w:val="00920C9C"/>
    <w:rsid w:val="00920CC3"/>
    <w:rsid w:val="00920CD2"/>
    <w:rsid w:val="00920D63"/>
    <w:rsid w:val="00920DC1"/>
    <w:rsid w:val="00920E3E"/>
    <w:rsid w:val="00920E64"/>
    <w:rsid w:val="00920E7C"/>
    <w:rsid w:val="00920E94"/>
    <w:rsid w:val="00920F1B"/>
    <w:rsid w:val="00920F1E"/>
    <w:rsid w:val="00920F32"/>
    <w:rsid w:val="00920F68"/>
    <w:rsid w:val="00920FBC"/>
    <w:rsid w:val="00920FD6"/>
    <w:rsid w:val="0092103B"/>
    <w:rsid w:val="00921067"/>
    <w:rsid w:val="00921077"/>
    <w:rsid w:val="0092107A"/>
    <w:rsid w:val="009210C0"/>
    <w:rsid w:val="00921133"/>
    <w:rsid w:val="0092113D"/>
    <w:rsid w:val="0092118D"/>
    <w:rsid w:val="009211AB"/>
    <w:rsid w:val="009211FE"/>
    <w:rsid w:val="00921203"/>
    <w:rsid w:val="009212B2"/>
    <w:rsid w:val="00921317"/>
    <w:rsid w:val="0092131C"/>
    <w:rsid w:val="009213AC"/>
    <w:rsid w:val="009213C8"/>
    <w:rsid w:val="009213FC"/>
    <w:rsid w:val="00921419"/>
    <w:rsid w:val="00921424"/>
    <w:rsid w:val="00921441"/>
    <w:rsid w:val="0092144F"/>
    <w:rsid w:val="0092145A"/>
    <w:rsid w:val="00921478"/>
    <w:rsid w:val="00921497"/>
    <w:rsid w:val="009214E7"/>
    <w:rsid w:val="0092154C"/>
    <w:rsid w:val="00921574"/>
    <w:rsid w:val="0092159A"/>
    <w:rsid w:val="009215BB"/>
    <w:rsid w:val="009215FF"/>
    <w:rsid w:val="0092161A"/>
    <w:rsid w:val="00921629"/>
    <w:rsid w:val="0092162D"/>
    <w:rsid w:val="0092165B"/>
    <w:rsid w:val="009216CD"/>
    <w:rsid w:val="00921720"/>
    <w:rsid w:val="00921725"/>
    <w:rsid w:val="009217B4"/>
    <w:rsid w:val="009217EF"/>
    <w:rsid w:val="00921845"/>
    <w:rsid w:val="009218A2"/>
    <w:rsid w:val="009218BF"/>
    <w:rsid w:val="009219AB"/>
    <w:rsid w:val="00921A81"/>
    <w:rsid w:val="00921A8A"/>
    <w:rsid w:val="00921AE6"/>
    <w:rsid w:val="00921AF1"/>
    <w:rsid w:val="00921B00"/>
    <w:rsid w:val="00921B2A"/>
    <w:rsid w:val="00921B3E"/>
    <w:rsid w:val="00921B6F"/>
    <w:rsid w:val="00921B74"/>
    <w:rsid w:val="00921CBC"/>
    <w:rsid w:val="00921CC9"/>
    <w:rsid w:val="00921CD1"/>
    <w:rsid w:val="00921D07"/>
    <w:rsid w:val="00921D24"/>
    <w:rsid w:val="00921D32"/>
    <w:rsid w:val="00921D5B"/>
    <w:rsid w:val="00921D96"/>
    <w:rsid w:val="00921DBC"/>
    <w:rsid w:val="00921DCD"/>
    <w:rsid w:val="00921E0D"/>
    <w:rsid w:val="00921E16"/>
    <w:rsid w:val="00921E2C"/>
    <w:rsid w:val="00921E9F"/>
    <w:rsid w:val="00921F0B"/>
    <w:rsid w:val="00921F6F"/>
    <w:rsid w:val="00921FB6"/>
    <w:rsid w:val="0092204B"/>
    <w:rsid w:val="009220D6"/>
    <w:rsid w:val="00922112"/>
    <w:rsid w:val="00922115"/>
    <w:rsid w:val="00922136"/>
    <w:rsid w:val="00922164"/>
    <w:rsid w:val="00922182"/>
    <w:rsid w:val="0092219F"/>
    <w:rsid w:val="009221B0"/>
    <w:rsid w:val="009221F6"/>
    <w:rsid w:val="0092220A"/>
    <w:rsid w:val="0092221F"/>
    <w:rsid w:val="00922224"/>
    <w:rsid w:val="00922250"/>
    <w:rsid w:val="00922256"/>
    <w:rsid w:val="0092225D"/>
    <w:rsid w:val="0092229A"/>
    <w:rsid w:val="009222A5"/>
    <w:rsid w:val="009222CC"/>
    <w:rsid w:val="009222F4"/>
    <w:rsid w:val="009223AB"/>
    <w:rsid w:val="009223B1"/>
    <w:rsid w:val="009223D2"/>
    <w:rsid w:val="009223E1"/>
    <w:rsid w:val="009223E8"/>
    <w:rsid w:val="009223EE"/>
    <w:rsid w:val="0092244D"/>
    <w:rsid w:val="0092246C"/>
    <w:rsid w:val="00922534"/>
    <w:rsid w:val="0092253F"/>
    <w:rsid w:val="009225DC"/>
    <w:rsid w:val="00922617"/>
    <w:rsid w:val="00922687"/>
    <w:rsid w:val="009226A6"/>
    <w:rsid w:val="009226C0"/>
    <w:rsid w:val="009226F2"/>
    <w:rsid w:val="00922705"/>
    <w:rsid w:val="00922722"/>
    <w:rsid w:val="0092278E"/>
    <w:rsid w:val="009227A9"/>
    <w:rsid w:val="009227DD"/>
    <w:rsid w:val="009227E5"/>
    <w:rsid w:val="0092281F"/>
    <w:rsid w:val="0092284B"/>
    <w:rsid w:val="0092284D"/>
    <w:rsid w:val="00922897"/>
    <w:rsid w:val="00922923"/>
    <w:rsid w:val="00922953"/>
    <w:rsid w:val="00922958"/>
    <w:rsid w:val="009229AA"/>
    <w:rsid w:val="009229AD"/>
    <w:rsid w:val="009229C0"/>
    <w:rsid w:val="009229C2"/>
    <w:rsid w:val="00922A37"/>
    <w:rsid w:val="00922A8F"/>
    <w:rsid w:val="00922AC6"/>
    <w:rsid w:val="00922AE1"/>
    <w:rsid w:val="00922B25"/>
    <w:rsid w:val="00922B5C"/>
    <w:rsid w:val="00922B72"/>
    <w:rsid w:val="00922BAA"/>
    <w:rsid w:val="00922DA8"/>
    <w:rsid w:val="00922DB3"/>
    <w:rsid w:val="00922DF1"/>
    <w:rsid w:val="00922E6A"/>
    <w:rsid w:val="00922EEC"/>
    <w:rsid w:val="00922F88"/>
    <w:rsid w:val="00922FEB"/>
    <w:rsid w:val="00922FFB"/>
    <w:rsid w:val="00923099"/>
    <w:rsid w:val="009230A2"/>
    <w:rsid w:val="009230B4"/>
    <w:rsid w:val="0092312C"/>
    <w:rsid w:val="00923158"/>
    <w:rsid w:val="009231A6"/>
    <w:rsid w:val="009231AC"/>
    <w:rsid w:val="009231ED"/>
    <w:rsid w:val="0092327D"/>
    <w:rsid w:val="00923299"/>
    <w:rsid w:val="009233E9"/>
    <w:rsid w:val="00923466"/>
    <w:rsid w:val="009234C4"/>
    <w:rsid w:val="009234D9"/>
    <w:rsid w:val="009234F3"/>
    <w:rsid w:val="0092350C"/>
    <w:rsid w:val="00923588"/>
    <w:rsid w:val="0092358C"/>
    <w:rsid w:val="00923607"/>
    <w:rsid w:val="00923612"/>
    <w:rsid w:val="00923613"/>
    <w:rsid w:val="0092361B"/>
    <w:rsid w:val="009236A9"/>
    <w:rsid w:val="00923707"/>
    <w:rsid w:val="0092372D"/>
    <w:rsid w:val="0092376F"/>
    <w:rsid w:val="00923867"/>
    <w:rsid w:val="00923885"/>
    <w:rsid w:val="00923917"/>
    <w:rsid w:val="009239D9"/>
    <w:rsid w:val="009239E2"/>
    <w:rsid w:val="00923A09"/>
    <w:rsid w:val="00923A22"/>
    <w:rsid w:val="00923A59"/>
    <w:rsid w:val="00923A84"/>
    <w:rsid w:val="00923AEA"/>
    <w:rsid w:val="00923B1E"/>
    <w:rsid w:val="00923B67"/>
    <w:rsid w:val="00923B6F"/>
    <w:rsid w:val="00923B98"/>
    <w:rsid w:val="00923B9A"/>
    <w:rsid w:val="00923BAC"/>
    <w:rsid w:val="00923BB0"/>
    <w:rsid w:val="00923BB3"/>
    <w:rsid w:val="00923BC2"/>
    <w:rsid w:val="00923C42"/>
    <w:rsid w:val="00923C5E"/>
    <w:rsid w:val="00923CA8"/>
    <w:rsid w:val="00923CEA"/>
    <w:rsid w:val="00923CF5"/>
    <w:rsid w:val="00923D14"/>
    <w:rsid w:val="00923D36"/>
    <w:rsid w:val="00923D41"/>
    <w:rsid w:val="00923D53"/>
    <w:rsid w:val="00923D54"/>
    <w:rsid w:val="00923E5D"/>
    <w:rsid w:val="00923E8B"/>
    <w:rsid w:val="00923E8D"/>
    <w:rsid w:val="00923FE8"/>
    <w:rsid w:val="00924029"/>
    <w:rsid w:val="00924107"/>
    <w:rsid w:val="00924142"/>
    <w:rsid w:val="009241B6"/>
    <w:rsid w:val="009241FD"/>
    <w:rsid w:val="0092429E"/>
    <w:rsid w:val="00924339"/>
    <w:rsid w:val="0092435C"/>
    <w:rsid w:val="0092436B"/>
    <w:rsid w:val="0092441E"/>
    <w:rsid w:val="009244F4"/>
    <w:rsid w:val="0092452F"/>
    <w:rsid w:val="00924553"/>
    <w:rsid w:val="00924554"/>
    <w:rsid w:val="0092455C"/>
    <w:rsid w:val="00924577"/>
    <w:rsid w:val="009245A2"/>
    <w:rsid w:val="009245B2"/>
    <w:rsid w:val="00924603"/>
    <w:rsid w:val="0092463A"/>
    <w:rsid w:val="00924716"/>
    <w:rsid w:val="00924718"/>
    <w:rsid w:val="00924783"/>
    <w:rsid w:val="0092486F"/>
    <w:rsid w:val="0092487F"/>
    <w:rsid w:val="009248E0"/>
    <w:rsid w:val="00924948"/>
    <w:rsid w:val="009249AF"/>
    <w:rsid w:val="00924AD9"/>
    <w:rsid w:val="00924ADA"/>
    <w:rsid w:val="00924B2B"/>
    <w:rsid w:val="00924B99"/>
    <w:rsid w:val="00924B9A"/>
    <w:rsid w:val="00924BB3"/>
    <w:rsid w:val="00924BC1"/>
    <w:rsid w:val="00924C37"/>
    <w:rsid w:val="00924C65"/>
    <w:rsid w:val="00924D4B"/>
    <w:rsid w:val="00924D90"/>
    <w:rsid w:val="00924DAD"/>
    <w:rsid w:val="00924DD8"/>
    <w:rsid w:val="00924DE1"/>
    <w:rsid w:val="00924DE2"/>
    <w:rsid w:val="00924DE9"/>
    <w:rsid w:val="00924E11"/>
    <w:rsid w:val="00924E25"/>
    <w:rsid w:val="00924E61"/>
    <w:rsid w:val="00924E8F"/>
    <w:rsid w:val="00924E91"/>
    <w:rsid w:val="00924EE9"/>
    <w:rsid w:val="00924F4A"/>
    <w:rsid w:val="00924F79"/>
    <w:rsid w:val="00924F92"/>
    <w:rsid w:val="00924FDD"/>
    <w:rsid w:val="009250D8"/>
    <w:rsid w:val="009250DF"/>
    <w:rsid w:val="009250F9"/>
    <w:rsid w:val="0092510B"/>
    <w:rsid w:val="00925112"/>
    <w:rsid w:val="00925164"/>
    <w:rsid w:val="009251B3"/>
    <w:rsid w:val="009251C2"/>
    <w:rsid w:val="0092521F"/>
    <w:rsid w:val="00925247"/>
    <w:rsid w:val="0092526D"/>
    <w:rsid w:val="00925279"/>
    <w:rsid w:val="00925307"/>
    <w:rsid w:val="0092531C"/>
    <w:rsid w:val="00925384"/>
    <w:rsid w:val="00925399"/>
    <w:rsid w:val="009253E8"/>
    <w:rsid w:val="009253F6"/>
    <w:rsid w:val="009253FE"/>
    <w:rsid w:val="0092544B"/>
    <w:rsid w:val="009254E9"/>
    <w:rsid w:val="0092551F"/>
    <w:rsid w:val="00925543"/>
    <w:rsid w:val="00925555"/>
    <w:rsid w:val="009255FA"/>
    <w:rsid w:val="00925653"/>
    <w:rsid w:val="0092565D"/>
    <w:rsid w:val="009256F2"/>
    <w:rsid w:val="00925713"/>
    <w:rsid w:val="00925735"/>
    <w:rsid w:val="0092573C"/>
    <w:rsid w:val="00925744"/>
    <w:rsid w:val="00925776"/>
    <w:rsid w:val="009257C9"/>
    <w:rsid w:val="009257D6"/>
    <w:rsid w:val="009257DE"/>
    <w:rsid w:val="009257F0"/>
    <w:rsid w:val="009257F3"/>
    <w:rsid w:val="00925870"/>
    <w:rsid w:val="0092588D"/>
    <w:rsid w:val="009258A9"/>
    <w:rsid w:val="0092597A"/>
    <w:rsid w:val="009259D6"/>
    <w:rsid w:val="009259E0"/>
    <w:rsid w:val="009259E6"/>
    <w:rsid w:val="00925A43"/>
    <w:rsid w:val="00925A46"/>
    <w:rsid w:val="00925A4C"/>
    <w:rsid w:val="00925AAF"/>
    <w:rsid w:val="00925AD5"/>
    <w:rsid w:val="00925B2D"/>
    <w:rsid w:val="00925B99"/>
    <w:rsid w:val="00925BA1"/>
    <w:rsid w:val="00925BC2"/>
    <w:rsid w:val="00925C04"/>
    <w:rsid w:val="00925C0B"/>
    <w:rsid w:val="00925C0F"/>
    <w:rsid w:val="00925C3F"/>
    <w:rsid w:val="00925C98"/>
    <w:rsid w:val="00925C9F"/>
    <w:rsid w:val="00925CC6"/>
    <w:rsid w:val="00925CF1"/>
    <w:rsid w:val="00925CF4"/>
    <w:rsid w:val="00925D25"/>
    <w:rsid w:val="00925D67"/>
    <w:rsid w:val="00925D78"/>
    <w:rsid w:val="00925DC4"/>
    <w:rsid w:val="00925E16"/>
    <w:rsid w:val="00925ECD"/>
    <w:rsid w:val="00925F36"/>
    <w:rsid w:val="00925F3D"/>
    <w:rsid w:val="00925F3E"/>
    <w:rsid w:val="00925F6F"/>
    <w:rsid w:val="00925FA7"/>
    <w:rsid w:val="00925FF6"/>
    <w:rsid w:val="0092607A"/>
    <w:rsid w:val="00926096"/>
    <w:rsid w:val="0092614A"/>
    <w:rsid w:val="00926225"/>
    <w:rsid w:val="0092622C"/>
    <w:rsid w:val="0092623B"/>
    <w:rsid w:val="00926246"/>
    <w:rsid w:val="0092626B"/>
    <w:rsid w:val="009262AA"/>
    <w:rsid w:val="009262B5"/>
    <w:rsid w:val="009262B9"/>
    <w:rsid w:val="0092631E"/>
    <w:rsid w:val="009263AA"/>
    <w:rsid w:val="009263CD"/>
    <w:rsid w:val="009263EE"/>
    <w:rsid w:val="00926467"/>
    <w:rsid w:val="009264D1"/>
    <w:rsid w:val="009264DA"/>
    <w:rsid w:val="0092656F"/>
    <w:rsid w:val="00926579"/>
    <w:rsid w:val="009265DB"/>
    <w:rsid w:val="0092660D"/>
    <w:rsid w:val="00926679"/>
    <w:rsid w:val="009266AA"/>
    <w:rsid w:val="009266AD"/>
    <w:rsid w:val="00926722"/>
    <w:rsid w:val="0092677D"/>
    <w:rsid w:val="009267C1"/>
    <w:rsid w:val="009267F1"/>
    <w:rsid w:val="009268AA"/>
    <w:rsid w:val="0092692B"/>
    <w:rsid w:val="009269C8"/>
    <w:rsid w:val="00926A26"/>
    <w:rsid w:val="00926A41"/>
    <w:rsid w:val="00926A8A"/>
    <w:rsid w:val="00926B0D"/>
    <w:rsid w:val="00926B5B"/>
    <w:rsid w:val="00926B64"/>
    <w:rsid w:val="00926B91"/>
    <w:rsid w:val="00926BF4"/>
    <w:rsid w:val="00926BFC"/>
    <w:rsid w:val="00926C2E"/>
    <w:rsid w:val="00926CE8"/>
    <w:rsid w:val="00926D00"/>
    <w:rsid w:val="00926DC6"/>
    <w:rsid w:val="00926E78"/>
    <w:rsid w:val="00926E87"/>
    <w:rsid w:val="00926F93"/>
    <w:rsid w:val="00926FD8"/>
    <w:rsid w:val="00926FE4"/>
    <w:rsid w:val="00926FE7"/>
    <w:rsid w:val="00926FF9"/>
    <w:rsid w:val="0092706C"/>
    <w:rsid w:val="009270C7"/>
    <w:rsid w:val="009270F8"/>
    <w:rsid w:val="00927116"/>
    <w:rsid w:val="00927132"/>
    <w:rsid w:val="0092716C"/>
    <w:rsid w:val="00927222"/>
    <w:rsid w:val="00927228"/>
    <w:rsid w:val="00927230"/>
    <w:rsid w:val="00927243"/>
    <w:rsid w:val="00927297"/>
    <w:rsid w:val="009272EB"/>
    <w:rsid w:val="00927322"/>
    <w:rsid w:val="00927340"/>
    <w:rsid w:val="0092737C"/>
    <w:rsid w:val="009273E6"/>
    <w:rsid w:val="00927481"/>
    <w:rsid w:val="009274AA"/>
    <w:rsid w:val="009274D8"/>
    <w:rsid w:val="009274F7"/>
    <w:rsid w:val="0092755F"/>
    <w:rsid w:val="0092756B"/>
    <w:rsid w:val="0092759C"/>
    <w:rsid w:val="009275D6"/>
    <w:rsid w:val="0092768B"/>
    <w:rsid w:val="0092769E"/>
    <w:rsid w:val="00927761"/>
    <w:rsid w:val="009277E1"/>
    <w:rsid w:val="00927833"/>
    <w:rsid w:val="00927887"/>
    <w:rsid w:val="009278C3"/>
    <w:rsid w:val="009278D7"/>
    <w:rsid w:val="00927918"/>
    <w:rsid w:val="00927928"/>
    <w:rsid w:val="00927934"/>
    <w:rsid w:val="0092796E"/>
    <w:rsid w:val="009279F1"/>
    <w:rsid w:val="00927A66"/>
    <w:rsid w:val="00927A72"/>
    <w:rsid w:val="00927AC6"/>
    <w:rsid w:val="00927ADF"/>
    <w:rsid w:val="00927AF9"/>
    <w:rsid w:val="00927B76"/>
    <w:rsid w:val="00927C04"/>
    <w:rsid w:val="00927C06"/>
    <w:rsid w:val="00927C27"/>
    <w:rsid w:val="00927C44"/>
    <w:rsid w:val="00927D40"/>
    <w:rsid w:val="00927E0F"/>
    <w:rsid w:val="00927E4E"/>
    <w:rsid w:val="00927E8C"/>
    <w:rsid w:val="00927EC2"/>
    <w:rsid w:val="00927ED1"/>
    <w:rsid w:val="00927F00"/>
    <w:rsid w:val="00927F0A"/>
    <w:rsid w:val="00927F11"/>
    <w:rsid w:val="00927F22"/>
    <w:rsid w:val="00927F5A"/>
    <w:rsid w:val="00927F82"/>
    <w:rsid w:val="00927F9B"/>
    <w:rsid w:val="00927FA6"/>
    <w:rsid w:val="00927FAB"/>
    <w:rsid w:val="00927FD3"/>
    <w:rsid w:val="00927FEF"/>
    <w:rsid w:val="0093003F"/>
    <w:rsid w:val="009300B6"/>
    <w:rsid w:val="00930101"/>
    <w:rsid w:val="00930128"/>
    <w:rsid w:val="00930186"/>
    <w:rsid w:val="009301DD"/>
    <w:rsid w:val="0093022F"/>
    <w:rsid w:val="00930241"/>
    <w:rsid w:val="00930267"/>
    <w:rsid w:val="00930277"/>
    <w:rsid w:val="0093028C"/>
    <w:rsid w:val="009302E7"/>
    <w:rsid w:val="00930358"/>
    <w:rsid w:val="009303A2"/>
    <w:rsid w:val="009303AD"/>
    <w:rsid w:val="009303DA"/>
    <w:rsid w:val="009303E0"/>
    <w:rsid w:val="009303FC"/>
    <w:rsid w:val="009303FD"/>
    <w:rsid w:val="00930406"/>
    <w:rsid w:val="00930445"/>
    <w:rsid w:val="009304A3"/>
    <w:rsid w:val="009304C4"/>
    <w:rsid w:val="009304F8"/>
    <w:rsid w:val="00930510"/>
    <w:rsid w:val="00930539"/>
    <w:rsid w:val="00930562"/>
    <w:rsid w:val="00930568"/>
    <w:rsid w:val="0093058E"/>
    <w:rsid w:val="00930590"/>
    <w:rsid w:val="009305D4"/>
    <w:rsid w:val="00930675"/>
    <w:rsid w:val="009306C1"/>
    <w:rsid w:val="0093071B"/>
    <w:rsid w:val="009307AB"/>
    <w:rsid w:val="009307B4"/>
    <w:rsid w:val="009307E3"/>
    <w:rsid w:val="00930839"/>
    <w:rsid w:val="0093084A"/>
    <w:rsid w:val="009308AB"/>
    <w:rsid w:val="009308C8"/>
    <w:rsid w:val="00930901"/>
    <w:rsid w:val="00930902"/>
    <w:rsid w:val="00930927"/>
    <w:rsid w:val="0093096B"/>
    <w:rsid w:val="00930978"/>
    <w:rsid w:val="0093098F"/>
    <w:rsid w:val="00930A5B"/>
    <w:rsid w:val="00930B08"/>
    <w:rsid w:val="00930B33"/>
    <w:rsid w:val="00930B62"/>
    <w:rsid w:val="00930C26"/>
    <w:rsid w:val="00930CAF"/>
    <w:rsid w:val="00930D4A"/>
    <w:rsid w:val="00930DC9"/>
    <w:rsid w:val="00930DFC"/>
    <w:rsid w:val="00930E3B"/>
    <w:rsid w:val="00930EDC"/>
    <w:rsid w:val="00930F0C"/>
    <w:rsid w:val="00930F2C"/>
    <w:rsid w:val="00930F72"/>
    <w:rsid w:val="00930F8B"/>
    <w:rsid w:val="00930FB8"/>
    <w:rsid w:val="00930FF5"/>
    <w:rsid w:val="0093107C"/>
    <w:rsid w:val="009310C1"/>
    <w:rsid w:val="00931128"/>
    <w:rsid w:val="0093116B"/>
    <w:rsid w:val="00931306"/>
    <w:rsid w:val="00931348"/>
    <w:rsid w:val="00931369"/>
    <w:rsid w:val="009313C2"/>
    <w:rsid w:val="009313CA"/>
    <w:rsid w:val="009313CC"/>
    <w:rsid w:val="009314DF"/>
    <w:rsid w:val="00931525"/>
    <w:rsid w:val="009315AE"/>
    <w:rsid w:val="009315AF"/>
    <w:rsid w:val="009315D7"/>
    <w:rsid w:val="00931619"/>
    <w:rsid w:val="00931627"/>
    <w:rsid w:val="0093167D"/>
    <w:rsid w:val="009316C9"/>
    <w:rsid w:val="00931708"/>
    <w:rsid w:val="00931777"/>
    <w:rsid w:val="00931824"/>
    <w:rsid w:val="00931831"/>
    <w:rsid w:val="00931867"/>
    <w:rsid w:val="00931879"/>
    <w:rsid w:val="00931890"/>
    <w:rsid w:val="009318CC"/>
    <w:rsid w:val="0093192A"/>
    <w:rsid w:val="00931969"/>
    <w:rsid w:val="00931987"/>
    <w:rsid w:val="00931A5B"/>
    <w:rsid w:val="00931A89"/>
    <w:rsid w:val="00931AA0"/>
    <w:rsid w:val="00931AC0"/>
    <w:rsid w:val="00931B24"/>
    <w:rsid w:val="00931B9D"/>
    <w:rsid w:val="00931BF2"/>
    <w:rsid w:val="00931C1E"/>
    <w:rsid w:val="00931C26"/>
    <w:rsid w:val="00931C28"/>
    <w:rsid w:val="00931C60"/>
    <w:rsid w:val="00931C84"/>
    <w:rsid w:val="00931C86"/>
    <w:rsid w:val="00931CF5"/>
    <w:rsid w:val="00931D3F"/>
    <w:rsid w:val="00931DEF"/>
    <w:rsid w:val="00931DFB"/>
    <w:rsid w:val="00931E93"/>
    <w:rsid w:val="00931EC2"/>
    <w:rsid w:val="00931EC7"/>
    <w:rsid w:val="00931ED1"/>
    <w:rsid w:val="00931F01"/>
    <w:rsid w:val="00931F60"/>
    <w:rsid w:val="00931F77"/>
    <w:rsid w:val="00931F8A"/>
    <w:rsid w:val="00931FE5"/>
    <w:rsid w:val="00932038"/>
    <w:rsid w:val="00932085"/>
    <w:rsid w:val="0093209F"/>
    <w:rsid w:val="00932105"/>
    <w:rsid w:val="0093210F"/>
    <w:rsid w:val="00932114"/>
    <w:rsid w:val="0093216A"/>
    <w:rsid w:val="009321A8"/>
    <w:rsid w:val="009321BE"/>
    <w:rsid w:val="00932207"/>
    <w:rsid w:val="00932228"/>
    <w:rsid w:val="0093224E"/>
    <w:rsid w:val="00932270"/>
    <w:rsid w:val="0093227B"/>
    <w:rsid w:val="009322F2"/>
    <w:rsid w:val="00932319"/>
    <w:rsid w:val="009323DA"/>
    <w:rsid w:val="00932401"/>
    <w:rsid w:val="0093241A"/>
    <w:rsid w:val="009324AB"/>
    <w:rsid w:val="009324AD"/>
    <w:rsid w:val="009324B6"/>
    <w:rsid w:val="009324BE"/>
    <w:rsid w:val="009324DE"/>
    <w:rsid w:val="00932587"/>
    <w:rsid w:val="009325C0"/>
    <w:rsid w:val="009325CD"/>
    <w:rsid w:val="00932697"/>
    <w:rsid w:val="009326CC"/>
    <w:rsid w:val="00932704"/>
    <w:rsid w:val="00932734"/>
    <w:rsid w:val="00932741"/>
    <w:rsid w:val="00932752"/>
    <w:rsid w:val="00932782"/>
    <w:rsid w:val="0093278A"/>
    <w:rsid w:val="00932799"/>
    <w:rsid w:val="009327AE"/>
    <w:rsid w:val="009327E4"/>
    <w:rsid w:val="00932836"/>
    <w:rsid w:val="009328AC"/>
    <w:rsid w:val="00932938"/>
    <w:rsid w:val="00932953"/>
    <w:rsid w:val="0093295B"/>
    <w:rsid w:val="009329A2"/>
    <w:rsid w:val="00932AE1"/>
    <w:rsid w:val="00932B0D"/>
    <w:rsid w:val="00932B37"/>
    <w:rsid w:val="00932B6F"/>
    <w:rsid w:val="00932BDB"/>
    <w:rsid w:val="00932C29"/>
    <w:rsid w:val="00932D36"/>
    <w:rsid w:val="00932D70"/>
    <w:rsid w:val="00932D82"/>
    <w:rsid w:val="00932D9E"/>
    <w:rsid w:val="00932DC3"/>
    <w:rsid w:val="00932DC6"/>
    <w:rsid w:val="00932DF1"/>
    <w:rsid w:val="00932E0A"/>
    <w:rsid w:val="00932E92"/>
    <w:rsid w:val="00932F4D"/>
    <w:rsid w:val="00932F6A"/>
    <w:rsid w:val="00932F7C"/>
    <w:rsid w:val="00932FD5"/>
    <w:rsid w:val="0093307D"/>
    <w:rsid w:val="00933086"/>
    <w:rsid w:val="00933097"/>
    <w:rsid w:val="009330E6"/>
    <w:rsid w:val="009330FC"/>
    <w:rsid w:val="009331EE"/>
    <w:rsid w:val="009331F4"/>
    <w:rsid w:val="00933203"/>
    <w:rsid w:val="00933223"/>
    <w:rsid w:val="00933254"/>
    <w:rsid w:val="00933255"/>
    <w:rsid w:val="009332C4"/>
    <w:rsid w:val="009332D4"/>
    <w:rsid w:val="009332DC"/>
    <w:rsid w:val="009332EF"/>
    <w:rsid w:val="00933319"/>
    <w:rsid w:val="009334BC"/>
    <w:rsid w:val="009334FE"/>
    <w:rsid w:val="00933524"/>
    <w:rsid w:val="00933541"/>
    <w:rsid w:val="009335CA"/>
    <w:rsid w:val="0093360E"/>
    <w:rsid w:val="0093363B"/>
    <w:rsid w:val="00933640"/>
    <w:rsid w:val="00933654"/>
    <w:rsid w:val="009336A3"/>
    <w:rsid w:val="009336D4"/>
    <w:rsid w:val="00933705"/>
    <w:rsid w:val="0093374C"/>
    <w:rsid w:val="00933791"/>
    <w:rsid w:val="0093379C"/>
    <w:rsid w:val="00933849"/>
    <w:rsid w:val="00933856"/>
    <w:rsid w:val="00933866"/>
    <w:rsid w:val="0093389F"/>
    <w:rsid w:val="009338A1"/>
    <w:rsid w:val="0093394F"/>
    <w:rsid w:val="0093395D"/>
    <w:rsid w:val="0093396E"/>
    <w:rsid w:val="00933989"/>
    <w:rsid w:val="009339A9"/>
    <w:rsid w:val="009339AA"/>
    <w:rsid w:val="009339ED"/>
    <w:rsid w:val="00933A9A"/>
    <w:rsid w:val="00933A9B"/>
    <w:rsid w:val="00933AD7"/>
    <w:rsid w:val="00933AE9"/>
    <w:rsid w:val="00933AF2"/>
    <w:rsid w:val="00933B27"/>
    <w:rsid w:val="00933B7C"/>
    <w:rsid w:val="00933B81"/>
    <w:rsid w:val="00933BC6"/>
    <w:rsid w:val="00933C1D"/>
    <w:rsid w:val="00933C37"/>
    <w:rsid w:val="00933C58"/>
    <w:rsid w:val="00933C7F"/>
    <w:rsid w:val="00933CD2"/>
    <w:rsid w:val="00933D29"/>
    <w:rsid w:val="00933D42"/>
    <w:rsid w:val="00933D50"/>
    <w:rsid w:val="00933DC6"/>
    <w:rsid w:val="00933E14"/>
    <w:rsid w:val="00933E6B"/>
    <w:rsid w:val="00933EC9"/>
    <w:rsid w:val="00933F15"/>
    <w:rsid w:val="00933F8E"/>
    <w:rsid w:val="009340CB"/>
    <w:rsid w:val="009340D6"/>
    <w:rsid w:val="00934108"/>
    <w:rsid w:val="00934148"/>
    <w:rsid w:val="009341B7"/>
    <w:rsid w:val="0093423B"/>
    <w:rsid w:val="00934248"/>
    <w:rsid w:val="00934282"/>
    <w:rsid w:val="009342FD"/>
    <w:rsid w:val="0093433B"/>
    <w:rsid w:val="0093433C"/>
    <w:rsid w:val="0093434D"/>
    <w:rsid w:val="00934355"/>
    <w:rsid w:val="0093440B"/>
    <w:rsid w:val="00934415"/>
    <w:rsid w:val="0093441E"/>
    <w:rsid w:val="00934465"/>
    <w:rsid w:val="00934517"/>
    <w:rsid w:val="00934542"/>
    <w:rsid w:val="00934590"/>
    <w:rsid w:val="00934598"/>
    <w:rsid w:val="009345A0"/>
    <w:rsid w:val="0093462F"/>
    <w:rsid w:val="00934665"/>
    <w:rsid w:val="009346C1"/>
    <w:rsid w:val="009346C2"/>
    <w:rsid w:val="009346F2"/>
    <w:rsid w:val="009346FE"/>
    <w:rsid w:val="00934704"/>
    <w:rsid w:val="00934748"/>
    <w:rsid w:val="00934786"/>
    <w:rsid w:val="009347C7"/>
    <w:rsid w:val="009347F9"/>
    <w:rsid w:val="009348E4"/>
    <w:rsid w:val="009348E7"/>
    <w:rsid w:val="00934900"/>
    <w:rsid w:val="00934904"/>
    <w:rsid w:val="00934976"/>
    <w:rsid w:val="0093499D"/>
    <w:rsid w:val="00934A1C"/>
    <w:rsid w:val="00934A31"/>
    <w:rsid w:val="00934A5A"/>
    <w:rsid w:val="00934AD6"/>
    <w:rsid w:val="00934AEE"/>
    <w:rsid w:val="00934B47"/>
    <w:rsid w:val="00934C44"/>
    <w:rsid w:val="00934C8C"/>
    <w:rsid w:val="00934CB8"/>
    <w:rsid w:val="00934D5C"/>
    <w:rsid w:val="00934DBF"/>
    <w:rsid w:val="00934DE4"/>
    <w:rsid w:val="00934E3B"/>
    <w:rsid w:val="00934EEC"/>
    <w:rsid w:val="00934F68"/>
    <w:rsid w:val="00934F8D"/>
    <w:rsid w:val="00934F93"/>
    <w:rsid w:val="00934FD6"/>
    <w:rsid w:val="00934FEF"/>
    <w:rsid w:val="0093501B"/>
    <w:rsid w:val="009350C7"/>
    <w:rsid w:val="00935116"/>
    <w:rsid w:val="009351C5"/>
    <w:rsid w:val="0093520C"/>
    <w:rsid w:val="0093522A"/>
    <w:rsid w:val="009352BA"/>
    <w:rsid w:val="00935331"/>
    <w:rsid w:val="0093537E"/>
    <w:rsid w:val="00935394"/>
    <w:rsid w:val="009353B4"/>
    <w:rsid w:val="00935488"/>
    <w:rsid w:val="009354DD"/>
    <w:rsid w:val="0093550C"/>
    <w:rsid w:val="00935589"/>
    <w:rsid w:val="0093558C"/>
    <w:rsid w:val="00935591"/>
    <w:rsid w:val="009355A7"/>
    <w:rsid w:val="00935616"/>
    <w:rsid w:val="0093561D"/>
    <w:rsid w:val="0093562A"/>
    <w:rsid w:val="00935671"/>
    <w:rsid w:val="0093567C"/>
    <w:rsid w:val="00935680"/>
    <w:rsid w:val="0093575E"/>
    <w:rsid w:val="00935769"/>
    <w:rsid w:val="00935783"/>
    <w:rsid w:val="00935784"/>
    <w:rsid w:val="00935811"/>
    <w:rsid w:val="00935841"/>
    <w:rsid w:val="0093589E"/>
    <w:rsid w:val="0093591B"/>
    <w:rsid w:val="00935927"/>
    <w:rsid w:val="0093595D"/>
    <w:rsid w:val="009359A3"/>
    <w:rsid w:val="009359A7"/>
    <w:rsid w:val="009359D2"/>
    <w:rsid w:val="00935A93"/>
    <w:rsid w:val="00935ABC"/>
    <w:rsid w:val="00935ACC"/>
    <w:rsid w:val="00935B38"/>
    <w:rsid w:val="00935B41"/>
    <w:rsid w:val="00935C07"/>
    <w:rsid w:val="00935C74"/>
    <w:rsid w:val="00935C7A"/>
    <w:rsid w:val="00935CC5"/>
    <w:rsid w:val="00935CD7"/>
    <w:rsid w:val="00935D03"/>
    <w:rsid w:val="00935D0E"/>
    <w:rsid w:val="00935D0F"/>
    <w:rsid w:val="00935D4C"/>
    <w:rsid w:val="00935DAD"/>
    <w:rsid w:val="00935DB7"/>
    <w:rsid w:val="00935EEA"/>
    <w:rsid w:val="00935F7E"/>
    <w:rsid w:val="00935FBB"/>
    <w:rsid w:val="00935FFD"/>
    <w:rsid w:val="00936063"/>
    <w:rsid w:val="00936077"/>
    <w:rsid w:val="009360FB"/>
    <w:rsid w:val="00936108"/>
    <w:rsid w:val="00936127"/>
    <w:rsid w:val="0093617B"/>
    <w:rsid w:val="0093619B"/>
    <w:rsid w:val="009361E9"/>
    <w:rsid w:val="00936213"/>
    <w:rsid w:val="0093624D"/>
    <w:rsid w:val="00936282"/>
    <w:rsid w:val="00936299"/>
    <w:rsid w:val="0093629D"/>
    <w:rsid w:val="009362B8"/>
    <w:rsid w:val="009362D3"/>
    <w:rsid w:val="009362DB"/>
    <w:rsid w:val="009362E6"/>
    <w:rsid w:val="0093630E"/>
    <w:rsid w:val="00936314"/>
    <w:rsid w:val="009363A6"/>
    <w:rsid w:val="009363C5"/>
    <w:rsid w:val="009363C8"/>
    <w:rsid w:val="00936440"/>
    <w:rsid w:val="0093644D"/>
    <w:rsid w:val="0093646D"/>
    <w:rsid w:val="00936523"/>
    <w:rsid w:val="00936582"/>
    <w:rsid w:val="00936593"/>
    <w:rsid w:val="0093659D"/>
    <w:rsid w:val="0093664B"/>
    <w:rsid w:val="009366B3"/>
    <w:rsid w:val="00936704"/>
    <w:rsid w:val="00936796"/>
    <w:rsid w:val="009367AC"/>
    <w:rsid w:val="0093682A"/>
    <w:rsid w:val="00936838"/>
    <w:rsid w:val="0093683B"/>
    <w:rsid w:val="009368B0"/>
    <w:rsid w:val="009368BD"/>
    <w:rsid w:val="009368CB"/>
    <w:rsid w:val="009368DC"/>
    <w:rsid w:val="009368FB"/>
    <w:rsid w:val="0093694B"/>
    <w:rsid w:val="00936967"/>
    <w:rsid w:val="009369F9"/>
    <w:rsid w:val="00936AA3"/>
    <w:rsid w:val="00936AC7"/>
    <w:rsid w:val="00936AEE"/>
    <w:rsid w:val="00936B0F"/>
    <w:rsid w:val="00936B24"/>
    <w:rsid w:val="00936B5A"/>
    <w:rsid w:val="00936B73"/>
    <w:rsid w:val="00936BC0"/>
    <w:rsid w:val="00936BC1"/>
    <w:rsid w:val="00936C8B"/>
    <w:rsid w:val="00936C99"/>
    <w:rsid w:val="00936CC2"/>
    <w:rsid w:val="00936CC6"/>
    <w:rsid w:val="00936CFE"/>
    <w:rsid w:val="00936D57"/>
    <w:rsid w:val="00936DD9"/>
    <w:rsid w:val="00936DE4"/>
    <w:rsid w:val="00936DFB"/>
    <w:rsid w:val="00936E21"/>
    <w:rsid w:val="00936EAC"/>
    <w:rsid w:val="00936F02"/>
    <w:rsid w:val="00936F39"/>
    <w:rsid w:val="00936F69"/>
    <w:rsid w:val="00936FB7"/>
    <w:rsid w:val="00937087"/>
    <w:rsid w:val="00937142"/>
    <w:rsid w:val="00937144"/>
    <w:rsid w:val="00937184"/>
    <w:rsid w:val="009371A3"/>
    <w:rsid w:val="009372AF"/>
    <w:rsid w:val="009372DA"/>
    <w:rsid w:val="009372EF"/>
    <w:rsid w:val="009372F7"/>
    <w:rsid w:val="009372FB"/>
    <w:rsid w:val="0093737C"/>
    <w:rsid w:val="00937381"/>
    <w:rsid w:val="0093738E"/>
    <w:rsid w:val="0093739C"/>
    <w:rsid w:val="00937436"/>
    <w:rsid w:val="00937476"/>
    <w:rsid w:val="00937499"/>
    <w:rsid w:val="00937536"/>
    <w:rsid w:val="00937584"/>
    <w:rsid w:val="009375B0"/>
    <w:rsid w:val="00937604"/>
    <w:rsid w:val="00937653"/>
    <w:rsid w:val="00937694"/>
    <w:rsid w:val="0093769B"/>
    <w:rsid w:val="00937711"/>
    <w:rsid w:val="00937748"/>
    <w:rsid w:val="00937798"/>
    <w:rsid w:val="0093786D"/>
    <w:rsid w:val="00937927"/>
    <w:rsid w:val="009379D3"/>
    <w:rsid w:val="00937A75"/>
    <w:rsid w:val="00937AD9"/>
    <w:rsid w:val="00937AF7"/>
    <w:rsid w:val="00937B46"/>
    <w:rsid w:val="00937B59"/>
    <w:rsid w:val="00937B7B"/>
    <w:rsid w:val="00937B83"/>
    <w:rsid w:val="00937BD4"/>
    <w:rsid w:val="00937C35"/>
    <w:rsid w:val="00937C92"/>
    <w:rsid w:val="00937CC8"/>
    <w:rsid w:val="00937CCB"/>
    <w:rsid w:val="00937D26"/>
    <w:rsid w:val="00937D3C"/>
    <w:rsid w:val="00937D97"/>
    <w:rsid w:val="00937DA3"/>
    <w:rsid w:val="00937DE7"/>
    <w:rsid w:val="00937E4C"/>
    <w:rsid w:val="00937E53"/>
    <w:rsid w:val="00937E58"/>
    <w:rsid w:val="00937E95"/>
    <w:rsid w:val="00937EA7"/>
    <w:rsid w:val="00937EE4"/>
    <w:rsid w:val="00937F43"/>
    <w:rsid w:val="00937F60"/>
    <w:rsid w:val="00937F7E"/>
    <w:rsid w:val="00937FD7"/>
    <w:rsid w:val="00940093"/>
    <w:rsid w:val="00940104"/>
    <w:rsid w:val="0094012A"/>
    <w:rsid w:val="009401B9"/>
    <w:rsid w:val="00940294"/>
    <w:rsid w:val="009402AA"/>
    <w:rsid w:val="0094038E"/>
    <w:rsid w:val="009403C2"/>
    <w:rsid w:val="009403F8"/>
    <w:rsid w:val="009404A6"/>
    <w:rsid w:val="009404A7"/>
    <w:rsid w:val="0094051C"/>
    <w:rsid w:val="00940524"/>
    <w:rsid w:val="00940528"/>
    <w:rsid w:val="00940563"/>
    <w:rsid w:val="009405E4"/>
    <w:rsid w:val="00940620"/>
    <w:rsid w:val="00940628"/>
    <w:rsid w:val="00940633"/>
    <w:rsid w:val="00940634"/>
    <w:rsid w:val="00940659"/>
    <w:rsid w:val="0094070E"/>
    <w:rsid w:val="0094074E"/>
    <w:rsid w:val="009407B3"/>
    <w:rsid w:val="00940840"/>
    <w:rsid w:val="00940856"/>
    <w:rsid w:val="009408A0"/>
    <w:rsid w:val="009408C3"/>
    <w:rsid w:val="00940943"/>
    <w:rsid w:val="00940947"/>
    <w:rsid w:val="00940953"/>
    <w:rsid w:val="00940991"/>
    <w:rsid w:val="009409B6"/>
    <w:rsid w:val="009409DE"/>
    <w:rsid w:val="009409F1"/>
    <w:rsid w:val="009409FE"/>
    <w:rsid w:val="00940A1F"/>
    <w:rsid w:val="00940A4F"/>
    <w:rsid w:val="00940A5E"/>
    <w:rsid w:val="00940ADD"/>
    <w:rsid w:val="00940B14"/>
    <w:rsid w:val="00940B6A"/>
    <w:rsid w:val="00940B6F"/>
    <w:rsid w:val="00940B8B"/>
    <w:rsid w:val="00940C17"/>
    <w:rsid w:val="00940C21"/>
    <w:rsid w:val="00940C3B"/>
    <w:rsid w:val="00940C46"/>
    <w:rsid w:val="00940C7B"/>
    <w:rsid w:val="00940CC9"/>
    <w:rsid w:val="00940DCB"/>
    <w:rsid w:val="00940DFC"/>
    <w:rsid w:val="00940E2F"/>
    <w:rsid w:val="00940E3A"/>
    <w:rsid w:val="00940E42"/>
    <w:rsid w:val="00940F29"/>
    <w:rsid w:val="00940F2E"/>
    <w:rsid w:val="00940F69"/>
    <w:rsid w:val="00940FF6"/>
    <w:rsid w:val="00941006"/>
    <w:rsid w:val="009410DE"/>
    <w:rsid w:val="00941118"/>
    <w:rsid w:val="00941177"/>
    <w:rsid w:val="00941240"/>
    <w:rsid w:val="00941250"/>
    <w:rsid w:val="009412A4"/>
    <w:rsid w:val="009412C2"/>
    <w:rsid w:val="0094135A"/>
    <w:rsid w:val="00941391"/>
    <w:rsid w:val="00941395"/>
    <w:rsid w:val="009413A9"/>
    <w:rsid w:val="00941454"/>
    <w:rsid w:val="00941472"/>
    <w:rsid w:val="00941483"/>
    <w:rsid w:val="009414B3"/>
    <w:rsid w:val="009414E1"/>
    <w:rsid w:val="00941521"/>
    <w:rsid w:val="00941590"/>
    <w:rsid w:val="009415E9"/>
    <w:rsid w:val="009416B1"/>
    <w:rsid w:val="00941774"/>
    <w:rsid w:val="0094180F"/>
    <w:rsid w:val="0094185C"/>
    <w:rsid w:val="0094186B"/>
    <w:rsid w:val="00941870"/>
    <w:rsid w:val="00941909"/>
    <w:rsid w:val="00941929"/>
    <w:rsid w:val="0094193C"/>
    <w:rsid w:val="00941962"/>
    <w:rsid w:val="009419D7"/>
    <w:rsid w:val="00941A48"/>
    <w:rsid w:val="00941A8A"/>
    <w:rsid w:val="00941B49"/>
    <w:rsid w:val="00941B7C"/>
    <w:rsid w:val="00941B83"/>
    <w:rsid w:val="00941C14"/>
    <w:rsid w:val="00941C46"/>
    <w:rsid w:val="00941CD2"/>
    <w:rsid w:val="00941D15"/>
    <w:rsid w:val="00941D21"/>
    <w:rsid w:val="00941DD3"/>
    <w:rsid w:val="00941E54"/>
    <w:rsid w:val="00941EC2"/>
    <w:rsid w:val="00941F4C"/>
    <w:rsid w:val="00941F8B"/>
    <w:rsid w:val="00941FBB"/>
    <w:rsid w:val="00942035"/>
    <w:rsid w:val="00942039"/>
    <w:rsid w:val="00942043"/>
    <w:rsid w:val="00942065"/>
    <w:rsid w:val="0094207A"/>
    <w:rsid w:val="009421A3"/>
    <w:rsid w:val="00942213"/>
    <w:rsid w:val="0094223D"/>
    <w:rsid w:val="00942279"/>
    <w:rsid w:val="009422CF"/>
    <w:rsid w:val="009422DE"/>
    <w:rsid w:val="009422E1"/>
    <w:rsid w:val="00942321"/>
    <w:rsid w:val="0094232A"/>
    <w:rsid w:val="00942371"/>
    <w:rsid w:val="0094239A"/>
    <w:rsid w:val="009423FB"/>
    <w:rsid w:val="0094247E"/>
    <w:rsid w:val="0094254E"/>
    <w:rsid w:val="009425CB"/>
    <w:rsid w:val="00942654"/>
    <w:rsid w:val="00942655"/>
    <w:rsid w:val="00942664"/>
    <w:rsid w:val="009426B2"/>
    <w:rsid w:val="009426D1"/>
    <w:rsid w:val="0094273B"/>
    <w:rsid w:val="00942784"/>
    <w:rsid w:val="0094280C"/>
    <w:rsid w:val="0094288B"/>
    <w:rsid w:val="009428A9"/>
    <w:rsid w:val="009428C6"/>
    <w:rsid w:val="009428D3"/>
    <w:rsid w:val="009428DB"/>
    <w:rsid w:val="00942A50"/>
    <w:rsid w:val="00942AB2"/>
    <w:rsid w:val="00942ABC"/>
    <w:rsid w:val="00942AE1"/>
    <w:rsid w:val="00942B06"/>
    <w:rsid w:val="00942B0D"/>
    <w:rsid w:val="00942B80"/>
    <w:rsid w:val="00942BCB"/>
    <w:rsid w:val="00942BE9"/>
    <w:rsid w:val="00942C60"/>
    <w:rsid w:val="00942CAE"/>
    <w:rsid w:val="00942CE2"/>
    <w:rsid w:val="00942CF1"/>
    <w:rsid w:val="00942D4D"/>
    <w:rsid w:val="00942D4E"/>
    <w:rsid w:val="00942D91"/>
    <w:rsid w:val="00942E31"/>
    <w:rsid w:val="00942F1F"/>
    <w:rsid w:val="00942F38"/>
    <w:rsid w:val="00942FAB"/>
    <w:rsid w:val="00942FD9"/>
    <w:rsid w:val="00942FFF"/>
    <w:rsid w:val="00943016"/>
    <w:rsid w:val="00943061"/>
    <w:rsid w:val="00943086"/>
    <w:rsid w:val="0094309F"/>
    <w:rsid w:val="009430B0"/>
    <w:rsid w:val="00943134"/>
    <w:rsid w:val="0094314D"/>
    <w:rsid w:val="0094317A"/>
    <w:rsid w:val="009431D8"/>
    <w:rsid w:val="009431FD"/>
    <w:rsid w:val="00943250"/>
    <w:rsid w:val="009432AE"/>
    <w:rsid w:val="00943305"/>
    <w:rsid w:val="009433B3"/>
    <w:rsid w:val="009433F3"/>
    <w:rsid w:val="009433F7"/>
    <w:rsid w:val="00943413"/>
    <w:rsid w:val="0094349D"/>
    <w:rsid w:val="009434E3"/>
    <w:rsid w:val="0094353C"/>
    <w:rsid w:val="009435A8"/>
    <w:rsid w:val="009435F5"/>
    <w:rsid w:val="00943617"/>
    <w:rsid w:val="00943647"/>
    <w:rsid w:val="0094365F"/>
    <w:rsid w:val="00943663"/>
    <w:rsid w:val="00943686"/>
    <w:rsid w:val="0094370A"/>
    <w:rsid w:val="0094375D"/>
    <w:rsid w:val="0094381C"/>
    <w:rsid w:val="0094381E"/>
    <w:rsid w:val="0094384E"/>
    <w:rsid w:val="0094389B"/>
    <w:rsid w:val="009438A5"/>
    <w:rsid w:val="009438E0"/>
    <w:rsid w:val="009438E2"/>
    <w:rsid w:val="00943926"/>
    <w:rsid w:val="0094392B"/>
    <w:rsid w:val="00943945"/>
    <w:rsid w:val="00943965"/>
    <w:rsid w:val="00943992"/>
    <w:rsid w:val="00943A02"/>
    <w:rsid w:val="00943A59"/>
    <w:rsid w:val="00943A5D"/>
    <w:rsid w:val="00943ABA"/>
    <w:rsid w:val="00943AFF"/>
    <w:rsid w:val="00943B5F"/>
    <w:rsid w:val="00943B67"/>
    <w:rsid w:val="00943B9F"/>
    <w:rsid w:val="00943BF6"/>
    <w:rsid w:val="00943C26"/>
    <w:rsid w:val="00943C4B"/>
    <w:rsid w:val="00943C90"/>
    <w:rsid w:val="00943D33"/>
    <w:rsid w:val="00943D4C"/>
    <w:rsid w:val="00943D56"/>
    <w:rsid w:val="00943DCD"/>
    <w:rsid w:val="00943DDC"/>
    <w:rsid w:val="00943E8A"/>
    <w:rsid w:val="00943FBA"/>
    <w:rsid w:val="0094400A"/>
    <w:rsid w:val="00944058"/>
    <w:rsid w:val="0094407E"/>
    <w:rsid w:val="009440D9"/>
    <w:rsid w:val="009440DB"/>
    <w:rsid w:val="009440F3"/>
    <w:rsid w:val="00944179"/>
    <w:rsid w:val="00944206"/>
    <w:rsid w:val="00944208"/>
    <w:rsid w:val="00944220"/>
    <w:rsid w:val="00944335"/>
    <w:rsid w:val="009443B6"/>
    <w:rsid w:val="00944498"/>
    <w:rsid w:val="009444C7"/>
    <w:rsid w:val="009444FB"/>
    <w:rsid w:val="00944539"/>
    <w:rsid w:val="00944554"/>
    <w:rsid w:val="0094456E"/>
    <w:rsid w:val="0094456F"/>
    <w:rsid w:val="00944574"/>
    <w:rsid w:val="00944587"/>
    <w:rsid w:val="00944591"/>
    <w:rsid w:val="009445C2"/>
    <w:rsid w:val="009445CA"/>
    <w:rsid w:val="00944604"/>
    <w:rsid w:val="00944643"/>
    <w:rsid w:val="00944668"/>
    <w:rsid w:val="009446F0"/>
    <w:rsid w:val="00944768"/>
    <w:rsid w:val="00944781"/>
    <w:rsid w:val="00944792"/>
    <w:rsid w:val="00944795"/>
    <w:rsid w:val="009447A4"/>
    <w:rsid w:val="0094483C"/>
    <w:rsid w:val="00944867"/>
    <w:rsid w:val="00944879"/>
    <w:rsid w:val="009448AD"/>
    <w:rsid w:val="00944925"/>
    <w:rsid w:val="009449F5"/>
    <w:rsid w:val="00944ACA"/>
    <w:rsid w:val="00944B5B"/>
    <w:rsid w:val="00944BD1"/>
    <w:rsid w:val="00944C21"/>
    <w:rsid w:val="00944D2D"/>
    <w:rsid w:val="00944D32"/>
    <w:rsid w:val="00944D9E"/>
    <w:rsid w:val="00944DBB"/>
    <w:rsid w:val="00944DF0"/>
    <w:rsid w:val="00944E2D"/>
    <w:rsid w:val="00944E4C"/>
    <w:rsid w:val="00944E4E"/>
    <w:rsid w:val="00944E7F"/>
    <w:rsid w:val="00944E88"/>
    <w:rsid w:val="00944EC9"/>
    <w:rsid w:val="00944F02"/>
    <w:rsid w:val="00944F7E"/>
    <w:rsid w:val="00944F99"/>
    <w:rsid w:val="00945000"/>
    <w:rsid w:val="00945057"/>
    <w:rsid w:val="009450B2"/>
    <w:rsid w:val="009450EA"/>
    <w:rsid w:val="00945117"/>
    <w:rsid w:val="00945125"/>
    <w:rsid w:val="00945181"/>
    <w:rsid w:val="00945195"/>
    <w:rsid w:val="0094520C"/>
    <w:rsid w:val="009452CB"/>
    <w:rsid w:val="009452F4"/>
    <w:rsid w:val="009452FE"/>
    <w:rsid w:val="00945300"/>
    <w:rsid w:val="00945323"/>
    <w:rsid w:val="0094532A"/>
    <w:rsid w:val="00945337"/>
    <w:rsid w:val="0094534A"/>
    <w:rsid w:val="00945375"/>
    <w:rsid w:val="00945419"/>
    <w:rsid w:val="009454A3"/>
    <w:rsid w:val="009454CB"/>
    <w:rsid w:val="009454D6"/>
    <w:rsid w:val="009454E4"/>
    <w:rsid w:val="00945531"/>
    <w:rsid w:val="009455D9"/>
    <w:rsid w:val="00945624"/>
    <w:rsid w:val="009456DA"/>
    <w:rsid w:val="0094572D"/>
    <w:rsid w:val="00945741"/>
    <w:rsid w:val="009457D0"/>
    <w:rsid w:val="00945859"/>
    <w:rsid w:val="00945861"/>
    <w:rsid w:val="0094586A"/>
    <w:rsid w:val="00945877"/>
    <w:rsid w:val="00945887"/>
    <w:rsid w:val="00945889"/>
    <w:rsid w:val="0094589E"/>
    <w:rsid w:val="009458EB"/>
    <w:rsid w:val="00945901"/>
    <w:rsid w:val="00945903"/>
    <w:rsid w:val="00945911"/>
    <w:rsid w:val="00945949"/>
    <w:rsid w:val="00945952"/>
    <w:rsid w:val="009459D3"/>
    <w:rsid w:val="009459DE"/>
    <w:rsid w:val="00945A0C"/>
    <w:rsid w:val="00945A27"/>
    <w:rsid w:val="00945A2A"/>
    <w:rsid w:val="00945ABD"/>
    <w:rsid w:val="00945ACE"/>
    <w:rsid w:val="00945AD6"/>
    <w:rsid w:val="00945B14"/>
    <w:rsid w:val="00945B38"/>
    <w:rsid w:val="00945B61"/>
    <w:rsid w:val="00945BF9"/>
    <w:rsid w:val="00945C86"/>
    <w:rsid w:val="00945C92"/>
    <w:rsid w:val="00945CA5"/>
    <w:rsid w:val="00945E12"/>
    <w:rsid w:val="00945E47"/>
    <w:rsid w:val="00945E67"/>
    <w:rsid w:val="00945E6A"/>
    <w:rsid w:val="00945ED1"/>
    <w:rsid w:val="00945F35"/>
    <w:rsid w:val="00945F53"/>
    <w:rsid w:val="00945F64"/>
    <w:rsid w:val="00945FAE"/>
    <w:rsid w:val="00945FD0"/>
    <w:rsid w:val="00946029"/>
    <w:rsid w:val="0094602A"/>
    <w:rsid w:val="009460FF"/>
    <w:rsid w:val="00946116"/>
    <w:rsid w:val="0094611B"/>
    <w:rsid w:val="00946147"/>
    <w:rsid w:val="0094617B"/>
    <w:rsid w:val="00946181"/>
    <w:rsid w:val="009461B4"/>
    <w:rsid w:val="009461B8"/>
    <w:rsid w:val="0094625C"/>
    <w:rsid w:val="00946262"/>
    <w:rsid w:val="0094632C"/>
    <w:rsid w:val="00946382"/>
    <w:rsid w:val="009463E4"/>
    <w:rsid w:val="0094644F"/>
    <w:rsid w:val="00946478"/>
    <w:rsid w:val="0094649F"/>
    <w:rsid w:val="009464C5"/>
    <w:rsid w:val="0094654A"/>
    <w:rsid w:val="009465C9"/>
    <w:rsid w:val="00946623"/>
    <w:rsid w:val="00946650"/>
    <w:rsid w:val="0094669C"/>
    <w:rsid w:val="0094669D"/>
    <w:rsid w:val="009466DC"/>
    <w:rsid w:val="009466F0"/>
    <w:rsid w:val="0094672F"/>
    <w:rsid w:val="00946738"/>
    <w:rsid w:val="0094676D"/>
    <w:rsid w:val="009467E0"/>
    <w:rsid w:val="00946811"/>
    <w:rsid w:val="009468BD"/>
    <w:rsid w:val="00946912"/>
    <w:rsid w:val="00946925"/>
    <w:rsid w:val="009469C6"/>
    <w:rsid w:val="009469CE"/>
    <w:rsid w:val="00946A65"/>
    <w:rsid w:val="00946A6E"/>
    <w:rsid w:val="00946ABB"/>
    <w:rsid w:val="00946ADA"/>
    <w:rsid w:val="00946AFF"/>
    <w:rsid w:val="00946B04"/>
    <w:rsid w:val="00946B4D"/>
    <w:rsid w:val="00946CB7"/>
    <w:rsid w:val="00946D4F"/>
    <w:rsid w:val="00946E00"/>
    <w:rsid w:val="00946E73"/>
    <w:rsid w:val="00946E8F"/>
    <w:rsid w:val="00946EE6"/>
    <w:rsid w:val="00946EF2"/>
    <w:rsid w:val="00946F98"/>
    <w:rsid w:val="00946FC4"/>
    <w:rsid w:val="00946FC5"/>
    <w:rsid w:val="00946FCB"/>
    <w:rsid w:val="00947069"/>
    <w:rsid w:val="00947070"/>
    <w:rsid w:val="00947076"/>
    <w:rsid w:val="00947094"/>
    <w:rsid w:val="0094709A"/>
    <w:rsid w:val="009470A5"/>
    <w:rsid w:val="0094714E"/>
    <w:rsid w:val="00947150"/>
    <w:rsid w:val="0094715B"/>
    <w:rsid w:val="009471EB"/>
    <w:rsid w:val="0094720F"/>
    <w:rsid w:val="0094725C"/>
    <w:rsid w:val="00947264"/>
    <w:rsid w:val="009472E0"/>
    <w:rsid w:val="0094730B"/>
    <w:rsid w:val="0094736C"/>
    <w:rsid w:val="009473F0"/>
    <w:rsid w:val="00947421"/>
    <w:rsid w:val="0094744E"/>
    <w:rsid w:val="00947474"/>
    <w:rsid w:val="009474FA"/>
    <w:rsid w:val="00947637"/>
    <w:rsid w:val="00947639"/>
    <w:rsid w:val="009476C9"/>
    <w:rsid w:val="009476ED"/>
    <w:rsid w:val="00947780"/>
    <w:rsid w:val="009477A4"/>
    <w:rsid w:val="009477DE"/>
    <w:rsid w:val="009477E8"/>
    <w:rsid w:val="00947806"/>
    <w:rsid w:val="0094782B"/>
    <w:rsid w:val="009478FD"/>
    <w:rsid w:val="00947918"/>
    <w:rsid w:val="00947924"/>
    <w:rsid w:val="0094792B"/>
    <w:rsid w:val="00947984"/>
    <w:rsid w:val="00947993"/>
    <w:rsid w:val="009479B6"/>
    <w:rsid w:val="009479C1"/>
    <w:rsid w:val="009479F3"/>
    <w:rsid w:val="00947A0F"/>
    <w:rsid w:val="00947A7D"/>
    <w:rsid w:val="00947B05"/>
    <w:rsid w:val="00947B18"/>
    <w:rsid w:val="00947B89"/>
    <w:rsid w:val="00947BB2"/>
    <w:rsid w:val="00947BBE"/>
    <w:rsid w:val="00947BC8"/>
    <w:rsid w:val="00947C90"/>
    <w:rsid w:val="00947CF2"/>
    <w:rsid w:val="00947CFE"/>
    <w:rsid w:val="00947D15"/>
    <w:rsid w:val="00947DDD"/>
    <w:rsid w:val="00947EF2"/>
    <w:rsid w:val="00947F1D"/>
    <w:rsid w:val="00947F41"/>
    <w:rsid w:val="00947F7C"/>
    <w:rsid w:val="00947F9C"/>
    <w:rsid w:val="00947FC1"/>
    <w:rsid w:val="00947FEB"/>
    <w:rsid w:val="00950001"/>
    <w:rsid w:val="00950020"/>
    <w:rsid w:val="00950078"/>
    <w:rsid w:val="009500BD"/>
    <w:rsid w:val="00950109"/>
    <w:rsid w:val="009501E7"/>
    <w:rsid w:val="0095022D"/>
    <w:rsid w:val="00950232"/>
    <w:rsid w:val="0095027E"/>
    <w:rsid w:val="00950292"/>
    <w:rsid w:val="009502A9"/>
    <w:rsid w:val="009502FF"/>
    <w:rsid w:val="00950335"/>
    <w:rsid w:val="0095033D"/>
    <w:rsid w:val="00950387"/>
    <w:rsid w:val="009503B6"/>
    <w:rsid w:val="0095043C"/>
    <w:rsid w:val="00950440"/>
    <w:rsid w:val="00950457"/>
    <w:rsid w:val="0095046F"/>
    <w:rsid w:val="0095049F"/>
    <w:rsid w:val="009504A2"/>
    <w:rsid w:val="009504BD"/>
    <w:rsid w:val="00950569"/>
    <w:rsid w:val="009505EB"/>
    <w:rsid w:val="009505F0"/>
    <w:rsid w:val="00950631"/>
    <w:rsid w:val="0095064F"/>
    <w:rsid w:val="00950650"/>
    <w:rsid w:val="00950651"/>
    <w:rsid w:val="0095065D"/>
    <w:rsid w:val="009506A6"/>
    <w:rsid w:val="009506AD"/>
    <w:rsid w:val="009506BC"/>
    <w:rsid w:val="009506E2"/>
    <w:rsid w:val="00950706"/>
    <w:rsid w:val="00950724"/>
    <w:rsid w:val="00950758"/>
    <w:rsid w:val="00950765"/>
    <w:rsid w:val="009507C3"/>
    <w:rsid w:val="009507DA"/>
    <w:rsid w:val="00950874"/>
    <w:rsid w:val="0095087A"/>
    <w:rsid w:val="0095088E"/>
    <w:rsid w:val="009508AD"/>
    <w:rsid w:val="009508DE"/>
    <w:rsid w:val="009508E9"/>
    <w:rsid w:val="00950944"/>
    <w:rsid w:val="00950A3F"/>
    <w:rsid w:val="00950A4F"/>
    <w:rsid w:val="00950A5A"/>
    <w:rsid w:val="00950AC4"/>
    <w:rsid w:val="00950AC5"/>
    <w:rsid w:val="00950AE5"/>
    <w:rsid w:val="00950B08"/>
    <w:rsid w:val="00950B52"/>
    <w:rsid w:val="00950C2F"/>
    <w:rsid w:val="00950D02"/>
    <w:rsid w:val="00950D30"/>
    <w:rsid w:val="00950D62"/>
    <w:rsid w:val="00950D7F"/>
    <w:rsid w:val="00950DA7"/>
    <w:rsid w:val="00950DAD"/>
    <w:rsid w:val="00950E74"/>
    <w:rsid w:val="00950ECE"/>
    <w:rsid w:val="00950EFB"/>
    <w:rsid w:val="00950F75"/>
    <w:rsid w:val="00951016"/>
    <w:rsid w:val="00951137"/>
    <w:rsid w:val="00951187"/>
    <w:rsid w:val="0095118E"/>
    <w:rsid w:val="00951194"/>
    <w:rsid w:val="009511D9"/>
    <w:rsid w:val="00951273"/>
    <w:rsid w:val="00951286"/>
    <w:rsid w:val="009512CD"/>
    <w:rsid w:val="009513B2"/>
    <w:rsid w:val="00951450"/>
    <w:rsid w:val="00951479"/>
    <w:rsid w:val="00951515"/>
    <w:rsid w:val="009515D0"/>
    <w:rsid w:val="0095173F"/>
    <w:rsid w:val="00951740"/>
    <w:rsid w:val="00951776"/>
    <w:rsid w:val="00951796"/>
    <w:rsid w:val="009517BE"/>
    <w:rsid w:val="009517F8"/>
    <w:rsid w:val="00951826"/>
    <w:rsid w:val="0095184B"/>
    <w:rsid w:val="009519A8"/>
    <w:rsid w:val="009519BB"/>
    <w:rsid w:val="009519EB"/>
    <w:rsid w:val="00951A0F"/>
    <w:rsid w:val="00951A13"/>
    <w:rsid w:val="00951A6E"/>
    <w:rsid w:val="00951ABD"/>
    <w:rsid w:val="00951B5C"/>
    <w:rsid w:val="00951B62"/>
    <w:rsid w:val="00951B72"/>
    <w:rsid w:val="00951B98"/>
    <w:rsid w:val="00951BE3"/>
    <w:rsid w:val="00951C8F"/>
    <w:rsid w:val="00951CF5"/>
    <w:rsid w:val="00951D09"/>
    <w:rsid w:val="00951D6B"/>
    <w:rsid w:val="00951DD5"/>
    <w:rsid w:val="00951E28"/>
    <w:rsid w:val="00951E5A"/>
    <w:rsid w:val="00951E66"/>
    <w:rsid w:val="00951E88"/>
    <w:rsid w:val="00951ED9"/>
    <w:rsid w:val="00951EDF"/>
    <w:rsid w:val="00951F14"/>
    <w:rsid w:val="00951F3A"/>
    <w:rsid w:val="00951F81"/>
    <w:rsid w:val="00951FA7"/>
    <w:rsid w:val="00951FCC"/>
    <w:rsid w:val="00951FFF"/>
    <w:rsid w:val="00952078"/>
    <w:rsid w:val="0095207F"/>
    <w:rsid w:val="009520A1"/>
    <w:rsid w:val="0095210C"/>
    <w:rsid w:val="00952129"/>
    <w:rsid w:val="00952136"/>
    <w:rsid w:val="00952152"/>
    <w:rsid w:val="0095219B"/>
    <w:rsid w:val="009521C7"/>
    <w:rsid w:val="00952206"/>
    <w:rsid w:val="00952228"/>
    <w:rsid w:val="00952252"/>
    <w:rsid w:val="0095235F"/>
    <w:rsid w:val="009523BE"/>
    <w:rsid w:val="00952504"/>
    <w:rsid w:val="00952509"/>
    <w:rsid w:val="00952569"/>
    <w:rsid w:val="00952583"/>
    <w:rsid w:val="009525CA"/>
    <w:rsid w:val="00952663"/>
    <w:rsid w:val="009526AA"/>
    <w:rsid w:val="00952714"/>
    <w:rsid w:val="009527A8"/>
    <w:rsid w:val="00952811"/>
    <w:rsid w:val="0095281D"/>
    <w:rsid w:val="00952838"/>
    <w:rsid w:val="0095285D"/>
    <w:rsid w:val="009528BF"/>
    <w:rsid w:val="009528E7"/>
    <w:rsid w:val="00952932"/>
    <w:rsid w:val="00952970"/>
    <w:rsid w:val="00952A2F"/>
    <w:rsid w:val="00952A33"/>
    <w:rsid w:val="00952A71"/>
    <w:rsid w:val="00952B7E"/>
    <w:rsid w:val="00952BAC"/>
    <w:rsid w:val="00952C67"/>
    <w:rsid w:val="00952C88"/>
    <w:rsid w:val="00952C96"/>
    <w:rsid w:val="00952D64"/>
    <w:rsid w:val="00952DA1"/>
    <w:rsid w:val="00952DFF"/>
    <w:rsid w:val="00952E03"/>
    <w:rsid w:val="00952E46"/>
    <w:rsid w:val="00952E75"/>
    <w:rsid w:val="00952E7C"/>
    <w:rsid w:val="00952EA8"/>
    <w:rsid w:val="00952EAF"/>
    <w:rsid w:val="00952EB9"/>
    <w:rsid w:val="00952F08"/>
    <w:rsid w:val="00952F1D"/>
    <w:rsid w:val="00952F71"/>
    <w:rsid w:val="00952FA7"/>
    <w:rsid w:val="0095302F"/>
    <w:rsid w:val="00953041"/>
    <w:rsid w:val="00953110"/>
    <w:rsid w:val="00953145"/>
    <w:rsid w:val="00953177"/>
    <w:rsid w:val="0095317B"/>
    <w:rsid w:val="009531F6"/>
    <w:rsid w:val="0095320D"/>
    <w:rsid w:val="0095322E"/>
    <w:rsid w:val="0095323E"/>
    <w:rsid w:val="00953240"/>
    <w:rsid w:val="00953256"/>
    <w:rsid w:val="00953270"/>
    <w:rsid w:val="0095327E"/>
    <w:rsid w:val="009532AF"/>
    <w:rsid w:val="0095331B"/>
    <w:rsid w:val="00953325"/>
    <w:rsid w:val="00953368"/>
    <w:rsid w:val="00953388"/>
    <w:rsid w:val="009533F6"/>
    <w:rsid w:val="00953440"/>
    <w:rsid w:val="0095344D"/>
    <w:rsid w:val="00953492"/>
    <w:rsid w:val="009534E5"/>
    <w:rsid w:val="00953568"/>
    <w:rsid w:val="0095359B"/>
    <w:rsid w:val="00953668"/>
    <w:rsid w:val="00953690"/>
    <w:rsid w:val="009536E2"/>
    <w:rsid w:val="009537CC"/>
    <w:rsid w:val="009537EE"/>
    <w:rsid w:val="009537F3"/>
    <w:rsid w:val="00953878"/>
    <w:rsid w:val="009538B5"/>
    <w:rsid w:val="009538BE"/>
    <w:rsid w:val="009538D0"/>
    <w:rsid w:val="00953902"/>
    <w:rsid w:val="00953979"/>
    <w:rsid w:val="00953985"/>
    <w:rsid w:val="009539B8"/>
    <w:rsid w:val="00953A5D"/>
    <w:rsid w:val="00953AF5"/>
    <w:rsid w:val="00953B00"/>
    <w:rsid w:val="00953BCB"/>
    <w:rsid w:val="00953C1D"/>
    <w:rsid w:val="00953CB0"/>
    <w:rsid w:val="00953CCE"/>
    <w:rsid w:val="00953D32"/>
    <w:rsid w:val="00953DA0"/>
    <w:rsid w:val="00953DE6"/>
    <w:rsid w:val="00953E04"/>
    <w:rsid w:val="00953E27"/>
    <w:rsid w:val="00953EB4"/>
    <w:rsid w:val="00953EC4"/>
    <w:rsid w:val="00953F3E"/>
    <w:rsid w:val="00953F60"/>
    <w:rsid w:val="00953FAF"/>
    <w:rsid w:val="00953FE8"/>
    <w:rsid w:val="009540AB"/>
    <w:rsid w:val="009540C3"/>
    <w:rsid w:val="009540C7"/>
    <w:rsid w:val="009540D0"/>
    <w:rsid w:val="00954104"/>
    <w:rsid w:val="00954124"/>
    <w:rsid w:val="00954157"/>
    <w:rsid w:val="009541AA"/>
    <w:rsid w:val="00954274"/>
    <w:rsid w:val="00954275"/>
    <w:rsid w:val="0095427D"/>
    <w:rsid w:val="00954297"/>
    <w:rsid w:val="00954299"/>
    <w:rsid w:val="00954303"/>
    <w:rsid w:val="009543F8"/>
    <w:rsid w:val="009544F6"/>
    <w:rsid w:val="0095452F"/>
    <w:rsid w:val="00954551"/>
    <w:rsid w:val="00954602"/>
    <w:rsid w:val="0095460A"/>
    <w:rsid w:val="00954619"/>
    <w:rsid w:val="0095462C"/>
    <w:rsid w:val="0095466A"/>
    <w:rsid w:val="0095468E"/>
    <w:rsid w:val="009546BC"/>
    <w:rsid w:val="0095473B"/>
    <w:rsid w:val="00954751"/>
    <w:rsid w:val="009547C9"/>
    <w:rsid w:val="00954853"/>
    <w:rsid w:val="00954873"/>
    <w:rsid w:val="009548A0"/>
    <w:rsid w:val="009549A1"/>
    <w:rsid w:val="009549AE"/>
    <w:rsid w:val="009549DB"/>
    <w:rsid w:val="00954A28"/>
    <w:rsid w:val="00954A32"/>
    <w:rsid w:val="00954A71"/>
    <w:rsid w:val="00954AAE"/>
    <w:rsid w:val="00954ADF"/>
    <w:rsid w:val="00954AE6"/>
    <w:rsid w:val="00954B0A"/>
    <w:rsid w:val="00954B1C"/>
    <w:rsid w:val="00954B30"/>
    <w:rsid w:val="00954B9E"/>
    <w:rsid w:val="00954BC7"/>
    <w:rsid w:val="00954C07"/>
    <w:rsid w:val="00954C27"/>
    <w:rsid w:val="00954C30"/>
    <w:rsid w:val="00954C6F"/>
    <w:rsid w:val="00954C94"/>
    <w:rsid w:val="00954CEC"/>
    <w:rsid w:val="00954D05"/>
    <w:rsid w:val="00954D6D"/>
    <w:rsid w:val="00954D8E"/>
    <w:rsid w:val="00954DF2"/>
    <w:rsid w:val="00954E0E"/>
    <w:rsid w:val="00954E1F"/>
    <w:rsid w:val="00954E26"/>
    <w:rsid w:val="00954E31"/>
    <w:rsid w:val="00954E3F"/>
    <w:rsid w:val="00954E91"/>
    <w:rsid w:val="00954EA1"/>
    <w:rsid w:val="00954EA7"/>
    <w:rsid w:val="00954EAA"/>
    <w:rsid w:val="00954EC8"/>
    <w:rsid w:val="00954EE7"/>
    <w:rsid w:val="00954F3B"/>
    <w:rsid w:val="00954F3D"/>
    <w:rsid w:val="00954F89"/>
    <w:rsid w:val="00954FEB"/>
    <w:rsid w:val="00954FEE"/>
    <w:rsid w:val="0095505A"/>
    <w:rsid w:val="00955069"/>
    <w:rsid w:val="0095509E"/>
    <w:rsid w:val="009550B9"/>
    <w:rsid w:val="009550EB"/>
    <w:rsid w:val="009550EF"/>
    <w:rsid w:val="00955219"/>
    <w:rsid w:val="00955295"/>
    <w:rsid w:val="009552A3"/>
    <w:rsid w:val="00955321"/>
    <w:rsid w:val="00955381"/>
    <w:rsid w:val="0095538B"/>
    <w:rsid w:val="00955392"/>
    <w:rsid w:val="00955393"/>
    <w:rsid w:val="009553B5"/>
    <w:rsid w:val="0095540D"/>
    <w:rsid w:val="00955436"/>
    <w:rsid w:val="0095544E"/>
    <w:rsid w:val="009554C9"/>
    <w:rsid w:val="00955504"/>
    <w:rsid w:val="0095552F"/>
    <w:rsid w:val="009555A2"/>
    <w:rsid w:val="009555AF"/>
    <w:rsid w:val="009555FB"/>
    <w:rsid w:val="00955609"/>
    <w:rsid w:val="00955669"/>
    <w:rsid w:val="009556AA"/>
    <w:rsid w:val="009556E1"/>
    <w:rsid w:val="009556E8"/>
    <w:rsid w:val="00955752"/>
    <w:rsid w:val="0095576F"/>
    <w:rsid w:val="009557A5"/>
    <w:rsid w:val="009557AF"/>
    <w:rsid w:val="009557B5"/>
    <w:rsid w:val="009557BB"/>
    <w:rsid w:val="009557C4"/>
    <w:rsid w:val="00955849"/>
    <w:rsid w:val="0095586E"/>
    <w:rsid w:val="009558BA"/>
    <w:rsid w:val="009558D2"/>
    <w:rsid w:val="00955948"/>
    <w:rsid w:val="00955960"/>
    <w:rsid w:val="009559B4"/>
    <w:rsid w:val="009559C2"/>
    <w:rsid w:val="009559CE"/>
    <w:rsid w:val="009559E0"/>
    <w:rsid w:val="00955A3F"/>
    <w:rsid w:val="00955AE0"/>
    <w:rsid w:val="00955B08"/>
    <w:rsid w:val="00955B53"/>
    <w:rsid w:val="00955B7A"/>
    <w:rsid w:val="00955B88"/>
    <w:rsid w:val="00955CDD"/>
    <w:rsid w:val="00955CE6"/>
    <w:rsid w:val="00955CFF"/>
    <w:rsid w:val="00955D50"/>
    <w:rsid w:val="00955D59"/>
    <w:rsid w:val="00955E3D"/>
    <w:rsid w:val="00955EC2"/>
    <w:rsid w:val="00955F01"/>
    <w:rsid w:val="00955F11"/>
    <w:rsid w:val="00955F55"/>
    <w:rsid w:val="00955F8F"/>
    <w:rsid w:val="00955F98"/>
    <w:rsid w:val="00955FB6"/>
    <w:rsid w:val="00955FE2"/>
    <w:rsid w:val="00956068"/>
    <w:rsid w:val="00956081"/>
    <w:rsid w:val="009560A7"/>
    <w:rsid w:val="00956109"/>
    <w:rsid w:val="00956141"/>
    <w:rsid w:val="009561B9"/>
    <w:rsid w:val="009561C2"/>
    <w:rsid w:val="009561CF"/>
    <w:rsid w:val="009561D2"/>
    <w:rsid w:val="00956209"/>
    <w:rsid w:val="0095623B"/>
    <w:rsid w:val="0095623C"/>
    <w:rsid w:val="00956297"/>
    <w:rsid w:val="0095629C"/>
    <w:rsid w:val="0095630A"/>
    <w:rsid w:val="00956313"/>
    <w:rsid w:val="00956344"/>
    <w:rsid w:val="009563DC"/>
    <w:rsid w:val="009563EF"/>
    <w:rsid w:val="0095640C"/>
    <w:rsid w:val="00956476"/>
    <w:rsid w:val="00956484"/>
    <w:rsid w:val="009564B7"/>
    <w:rsid w:val="0095651B"/>
    <w:rsid w:val="0095651F"/>
    <w:rsid w:val="0095659B"/>
    <w:rsid w:val="009565E3"/>
    <w:rsid w:val="009565F4"/>
    <w:rsid w:val="00956606"/>
    <w:rsid w:val="00956644"/>
    <w:rsid w:val="009566AB"/>
    <w:rsid w:val="009566BB"/>
    <w:rsid w:val="00956703"/>
    <w:rsid w:val="00956737"/>
    <w:rsid w:val="0095677B"/>
    <w:rsid w:val="009568B0"/>
    <w:rsid w:val="009568B4"/>
    <w:rsid w:val="009568E0"/>
    <w:rsid w:val="009568E9"/>
    <w:rsid w:val="00956930"/>
    <w:rsid w:val="0095693A"/>
    <w:rsid w:val="00956963"/>
    <w:rsid w:val="00956986"/>
    <w:rsid w:val="009569E3"/>
    <w:rsid w:val="00956A4B"/>
    <w:rsid w:val="00956AC5"/>
    <w:rsid w:val="00956AC9"/>
    <w:rsid w:val="00956B43"/>
    <w:rsid w:val="00956B6C"/>
    <w:rsid w:val="00956B95"/>
    <w:rsid w:val="00956B9D"/>
    <w:rsid w:val="00956C14"/>
    <w:rsid w:val="00956C2C"/>
    <w:rsid w:val="00956C61"/>
    <w:rsid w:val="00956C67"/>
    <w:rsid w:val="00956C9C"/>
    <w:rsid w:val="00956CA8"/>
    <w:rsid w:val="00956CC5"/>
    <w:rsid w:val="00956CD1"/>
    <w:rsid w:val="00956CE7"/>
    <w:rsid w:val="00956D4B"/>
    <w:rsid w:val="00956D4C"/>
    <w:rsid w:val="00956D53"/>
    <w:rsid w:val="00956D96"/>
    <w:rsid w:val="00956DF7"/>
    <w:rsid w:val="00956DF8"/>
    <w:rsid w:val="00956E16"/>
    <w:rsid w:val="00956E37"/>
    <w:rsid w:val="00956E90"/>
    <w:rsid w:val="00956E9F"/>
    <w:rsid w:val="00956EE6"/>
    <w:rsid w:val="00956EFB"/>
    <w:rsid w:val="00956F1B"/>
    <w:rsid w:val="00956F34"/>
    <w:rsid w:val="00956F47"/>
    <w:rsid w:val="00956F4B"/>
    <w:rsid w:val="00956F62"/>
    <w:rsid w:val="00956FC5"/>
    <w:rsid w:val="00956FD3"/>
    <w:rsid w:val="00956FF6"/>
    <w:rsid w:val="00957011"/>
    <w:rsid w:val="009570C3"/>
    <w:rsid w:val="009570F0"/>
    <w:rsid w:val="0095710B"/>
    <w:rsid w:val="00957165"/>
    <w:rsid w:val="0095717E"/>
    <w:rsid w:val="0095718B"/>
    <w:rsid w:val="0095719D"/>
    <w:rsid w:val="009571BF"/>
    <w:rsid w:val="0095726A"/>
    <w:rsid w:val="0095727B"/>
    <w:rsid w:val="009572C7"/>
    <w:rsid w:val="009572F8"/>
    <w:rsid w:val="0095734B"/>
    <w:rsid w:val="00957352"/>
    <w:rsid w:val="0095735C"/>
    <w:rsid w:val="0095736C"/>
    <w:rsid w:val="009573DE"/>
    <w:rsid w:val="0095740B"/>
    <w:rsid w:val="00957463"/>
    <w:rsid w:val="0095747B"/>
    <w:rsid w:val="009574BE"/>
    <w:rsid w:val="00957573"/>
    <w:rsid w:val="00957583"/>
    <w:rsid w:val="009575AB"/>
    <w:rsid w:val="009575AF"/>
    <w:rsid w:val="009575C2"/>
    <w:rsid w:val="009575E9"/>
    <w:rsid w:val="00957618"/>
    <w:rsid w:val="0095764F"/>
    <w:rsid w:val="00957698"/>
    <w:rsid w:val="009576A8"/>
    <w:rsid w:val="009576D4"/>
    <w:rsid w:val="0095779D"/>
    <w:rsid w:val="009577FF"/>
    <w:rsid w:val="0095782E"/>
    <w:rsid w:val="00957833"/>
    <w:rsid w:val="0095786D"/>
    <w:rsid w:val="0095788B"/>
    <w:rsid w:val="009578A8"/>
    <w:rsid w:val="00957933"/>
    <w:rsid w:val="00957950"/>
    <w:rsid w:val="00957954"/>
    <w:rsid w:val="0095797C"/>
    <w:rsid w:val="00957994"/>
    <w:rsid w:val="00957995"/>
    <w:rsid w:val="009579AA"/>
    <w:rsid w:val="009579CB"/>
    <w:rsid w:val="009579D9"/>
    <w:rsid w:val="009579FB"/>
    <w:rsid w:val="00957A4B"/>
    <w:rsid w:val="00957B03"/>
    <w:rsid w:val="00957B20"/>
    <w:rsid w:val="00957B5E"/>
    <w:rsid w:val="00957B83"/>
    <w:rsid w:val="00957B9D"/>
    <w:rsid w:val="00957BEC"/>
    <w:rsid w:val="00957C1C"/>
    <w:rsid w:val="00957CEA"/>
    <w:rsid w:val="00957D6D"/>
    <w:rsid w:val="00957E1D"/>
    <w:rsid w:val="00957E7F"/>
    <w:rsid w:val="00957E85"/>
    <w:rsid w:val="00957EAF"/>
    <w:rsid w:val="00957EB7"/>
    <w:rsid w:val="00957F01"/>
    <w:rsid w:val="00957F9A"/>
    <w:rsid w:val="00957FAF"/>
    <w:rsid w:val="00957FD8"/>
    <w:rsid w:val="009600A2"/>
    <w:rsid w:val="009601C1"/>
    <w:rsid w:val="009601E0"/>
    <w:rsid w:val="009601F6"/>
    <w:rsid w:val="009601FF"/>
    <w:rsid w:val="0096026B"/>
    <w:rsid w:val="0096026F"/>
    <w:rsid w:val="00960393"/>
    <w:rsid w:val="009603AF"/>
    <w:rsid w:val="00960405"/>
    <w:rsid w:val="00960419"/>
    <w:rsid w:val="00960463"/>
    <w:rsid w:val="009604AA"/>
    <w:rsid w:val="009604E5"/>
    <w:rsid w:val="00960527"/>
    <w:rsid w:val="0096052B"/>
    <w:rsid w:val="00960555"/>
    <w:rsid w:val="00960580"/>
    <w:rsid w:val="0096058F"/>
    <w:rsid w:val="0096062A"/>
    <w:rsid w:val="00960690"/>
    <w:rsid w:val="009606D7"/>
    <w:rsid w:val="009606FB"/>
    <w:rsid w:val="0096071F"/>
    <w:rsid w:val="00960730"/>
    <w:rsid w:val="00960733"/>
    <w:rsid w:val="009607D8"/>
    <w:rsid w:val="00960808"/>
    <w:rsid w:val="0096084A"/>
    <w:rsid w:val="009608E7"/>
    <w:rsid w:val="0096090D"/>
    <w:rsid w:val="00960A02"/>
    <w:rsid w:val="00960A05"/>
    <w:rsid w:val="00960A27"/>
    <w:rsid w:val="00960ACD"/>
    <w:rsid w:val="00960B0D"/>
    <w:rsid w:val="00960B39"/>
    <w:rsid w:val="00960B56"/>
    <w:rsid w:val="00960B6C"/>
    <w:rsid w:val="00960B6D"/>
    <w:rsid w:val="00960B9C"/>
    <w:rsid w:val="00960C4C"/>
    <w:rsid w:val="00960D11"/>
    <w:rsid w:val="00960D8C"/>
    <w:rsid w:val="00960DC8"/>
    <w:rsid w:val="00960DF7"/>
    <w:rsid w:val="00960E26"/>
    <w:rsid w:val="00960E90"/>
    <w:rsid w:val="00960EFE"/>
    <w:rsid w:val="00960F18"/>
    <w:rsid w:val="00960F85"/>
    <w:rsid w:val="00960F93"/>
    <w:rsid w:val="00960FB0"/>
    <w:rsid w:val="00961090"/>
    <w:rsid w:val="009610CE"/>
    <w:rsid w:val="009610E5"/>
    <w:rsid w:val="009610F7"/>
    <w:rsid w:val="00961134"/>
    <w:rsid w:val="0096113B"/>
    <w:rsid w:val="00961180"/>
    <w:rsid w:val="00961183"/>
    <w:rsid w:val="00961222"/>
    <w:rsid w:val="00961275"/>
    <w:rsid w:val="00961299"/>
    <w:rsid w:val="009612C8"/>
    <w:rsid w:val="009612E1"/>
    <w:rsid w:val="0096136B"/>
    <w:rsid w:val="0096141F"/>
    <w:rsid w:val="00961435"/>
    <w:rsid w:val="0096144E"/>
    <w:rsid w:val="0096149A"/>
    <w:rsid w:val="00961610"/>
    <w:rsid w:val="0096161A"/>
    <w:rsid w:val="0096162D"/>
    <w:rsid w:val="00961709"/>
    <w:rsid w:val="0096171D"/>
    <w:rsid w:val="009618AA"/>
    <w:rsid w:val="009618DA"/>
    <w:rsid w:val="0096191D"/>
    <w:rsid w:val="00961926"/>
    <w:rsid w:val="00961933"/>
    <w:rsid w:val="0096193D"/>
    <w:rsid w:val="00961993"/>
    <w:rsid w:val="00961A62"/>
    <w:rsid w:val="00961A75"/>
    <w:rsid w:val="00961AB7"/>
    <w:rsid w:val="00961B24"/>
    <w:rsid w:val="00961B42"/>
    <w:rsid w:val="00961BA8"/>
    <w:rsid w:val="00961BB0"/>
    <w:rsid w:val="00961BB9"/>
    <w:rsid w:val="00961BDE"/>
    <w:rsid w:val="00961C0B"/>
    <w:rsid w:val="00961C32"/>
    <w:rsid w:val="00961C4B"/>
    <w:rsid w:val="00961CA3"/>
    <w:rsid w:val="00961DA4"/>
    <w:rsid w:val="00961DEE"/>
    <w:rsid w:val="00961E33"/>
    <w:rsid w:val="00961E6F"/>
    <w:rsid w:val="00961E85"/>
    <w:rsid w:val="00961E93"/>
    <w:rsid w:val="00961EAE"/>
    <w:rsid w:val="00961ED1"/>
    <w:rsid w:val="00961F09"/>
    <w:rsid w:val="00961F72"/>
    <w:rsid w:val="00961F82"/>
    <w:rsid w:val="00961FCD"/>
    <w:rsid w:val="00962002"/>
    <w:rsid w:val="00962055"/>
    <w:rsid w:val="009620A1"/>
    <w:rsid w:val="009620A3"/>
    <w:rsid w:val="00962123"/>
    <w:rsid w:val="00962148"/>
    <w:rsid w:val="009621A1"/>
    <w:rsid w:val="00962218"/>
    <w:rsid w:val="00962257"/>
    <w:rsid w:val="0096225D"/>
    <w:rsid w:val="0096226E"/>
    <w:rsid w:val="009622A4"/>
    <w:rsid w:val="009622BB"/>
    <w:rsid w:val="00962302"/>
    <w:rsid w:val="00962338"/>
    <w:rsid w:val="0096238B"/>
    <w:rsid w:val="0096239A"/>
    <w:rsid w:val="00962430"/>
    <w:rsid w:val="009624D3"/>
    <w:rsid w:val="009624EF"/>
    <w:rsid w:val="0096257D"/>
    <w:rsid w:val="00962583"/>
    <w:rsid w:val="009625BF"/>
    <w:rsid w:val="009625FD"/>
    <w:rsid w:val="00962607"/>
    <w:rsid w:val="00962624"/>
    <w:rsid w:val="00962690"/>
    <w:rsid w:val="0096269B"/>
    <w:rsid w:val="009626D0"/>
    <w:rsid w:val="0096273B"/>
    <w:rsid w:val="00962760"/>
    <w:rsid w:val="00962767"/>
    <w:rsid w:val="009627D5"/>
    <w:rsid w:val="009627F8"/>
    <w:rsid w:val="00962811"/>
    <w:rsid w:val="00962864"/>
    <w:rsid w:val="00962887"/>
    <w:rsid w:val="009628BD"/>
    <w:rsid w:val="009628BE"/>
    <w:rsid w:val="009628DF"/>
    <w:rsid w:val="00962A3F"/>
    <w:rsid w:val="00962A8A"/>
    <w:rsid w:val="00962ABD"/>
    <w:rsid w:val="00962ACF"/>
    <w:rsid w:val="00962ADA"/>
    <w:rsid w:val="00962B21"/>
    <w:rsid w:val="00962B4A"/>
    <w:rsid w:val="00962B61"/>
    <w:rsid w:val="00962B8D"/>
    <w:rsid w:val="00962C05"/>
    <w:rsid w:val="00962C96"/>
    <w:rsid w:val="00962CDD"/>
    <w:rsid w:val="00962CFC"/>
    <w:rsid w:val="00962DC5"/>
    <w:rsid w:val="00962E11"/>
    <w:rsid w:val="00962E14"/>
    <w:rsid w:val="00962E57"/>
    <w:rsid w:val="00962E5E"/>
    <w:rsid w:val="00962E84"/>
    <w:rsid w:val="00962E86"/>
    <w:rsid w:val="00962EA4"/>
    <w:rsid w:val="00962ECC"/>
    <w:rsid w:val="00962F0A"/>
    <w:rsid w:val="00962F34"/>
    <w:rsid w:val="00962F7B"/>
    <w:rsid w:val="00962F8F"/>
    <w:rsid w:val="00962F96"/>
    <w:rsid w:val="00962F9D"/>
    <w:rsid w:val="00962FA9"/>
    <w:rsid w:val="00962FB7"/>
    <w:rsid w:val="00962FC0"/>
    <w:rsid w:val="00962FD1"/>
    <w:rsid w:val="00963091"/>
    <w:rsid w:val="009630D8"/>
    <w:rsid w:val="009630E9"/>
    <w:rsid w:val="00963120"/>
    <w:rsid w:val="0096314D"/>
    <w:rsid w:val="00963188"/>
    <w:rsid w:val="0096320F"/>
    <w:rsid w:val="00963283"/>
    <w:rsid w:val="0096328B"/>
    <w:rsid w:val="009632AA"/>
    <w:rsid w:val="009632F5"/>
    <w:rsid w:val="0096333A"/>
    <w:rsid w:val="009633A7"/>
    <w:rsid w:val="009633FD"/>
    <w:rsid w:val="0096349A"/>
    <w:rsid w:val="009634AD"/>
    <w:rsid w:val="009634CA"/>
    <w:rsid w:val="009634CD"/>
    <w:rsid w:val="009634F6"/>
    <w:rsid w:val="009635BA"/>
    <w:rsid w:val="009635D8"/>
    <w:rsid w:val="00963630"/>
    <w:rsid w:val="00963697"/>
    <w:rsid w:val="00963759"/>
    <w:rsid w:val="0096379C"/>
    <w:rsid w:val="009637A2"/>
    <w:rsid w:val="00963817"/>
    <w:rsid w:val="0096384E"/>
    <w:rsid w:val="00963882"/>
    <w:rsid w:val="00963966"/>
    <w:rsid w:val="009639FF"/>
    <w:rsid w:val="00963A74"/>
    <w:rsid w:val="00963A7E"/>
    <w:rsid w:val="00963A91"/>
    <w:rsid w:val="00963B21"/>
    <w:rsid w:val="00963B43"/>
    <w:rsid w:val="00963B74"/>
    <w:rsid w:val="00963BF6"/>
    <w:rsid w:val="00963C08"/>
    <w:rsid w:val="00963C27"/>
    <w:rsid w:val="00963C4F"/>
    <w:rsid w:val="00963C68"/>
    <w:rsid w:val="00963D0D"/>
    <w:rsid w:val="00963D14"/>
    <w:rsid w:val="00963D22"/>
    <w:rsid w:val="00963D57"/>
    <w:rsid w:val="00963D88"/>
    <w:rsid w:val="00963DA5"/>
    <w:rsid w:val="00963E7C"/>
    <w:rsid w:val="00963E8C"/>
    <w:rsid w:val="00963F50"/>
    <w:rsid w:val="00963F8A"/>
    <w:rsid w:val="00963FD2"/>
    <w:rsid w:val="00963FFE"/>
    <w:rsid w:val="00964038"/>
    <w:rsid w:val="00964095"/>
    <w:rsid w:val="009640C9"/>
    <w:rsid w:val="009640EC"/>
    <w:rsid w:val="0096411C"/>
    <w:rsid w:val="0096411E"/>
    <w:rsid w:val="00964146"/>
    <w:rsid w:val="009641D3"/>
    <w:rsid w:val="009641F2"/>
    <w:rsid w:val="00964258"/>
    <w:rsid w:val="0096425A"/>
    <w:rsid w:val="0096428D"/>
    <w:rsid w:val="009642CB"/>
    <w:rsid w:val="00964323"/>
    <w:rsid w:val="00964332"/>
    <w:rsid w:val="00964348"/>
    <w:rsid w:val="00964352"/>
    <w:rsid w:val="00964367"/>
    <w:rsid w:val="00964370"/>
    <w:rsid w:val="009643FF"/>
    <w:rsid w:val="00964433"/>
    <w:rsid w:val="009644CF"/>
    <w:rsid w:val="009644EC"/>
    <w:rsid w:val="0096452B"/>
    <w:rsid w:val="00964582"/>
    <w:rsid w:val="009645AB"/>
    <w:rsid w:val="009645C4"/>
    <w:rsid w:val="009645C7"/>
    <w:rsid w:val="009645DF"/>
    <w:rsid w:val="00964607"/>
    <w:rsid w:val="00964646"/>
    <w:rsid w:val="009646A7"/>
    <w:rsid w:val="0096473C"/>
    <w:rsid w:val="00964740"/>
    <w:rsid w:val="00964743"/>
    <w:rsid w:val="00964775"/>
    <w:rsid w:val="009647D5"/>
    <w:rsid w:val="0096485D"/>
    <w:rsid w:val="00964863"/>
    <w:rsid w:val="00964867"/>
    <w:rsid w:val="009648E4"/>
    <w:rsid w:val="009648E9"/>
    <w:rsid w:val="009648EB"/>
    <w:rsid w:val="00964958"/>
    <w:rsid w:val="00964996"/>
    <w:rsid w:val="00964A27"/>
    <w:rsid w:val="00964A45"/>
    <w:rsid w:val="00964A8D"/>
    <w:rsid w:val="00964B00"/>
    <w:rsid w:val="00964B0B"/>
    <w:rsid w:val="00964B4A"/>
    <w:rsid w:val="00964B9D"/>
    <w:rsid w:val="00964BA4"/>
    <w:rsid w:val="00964BDB"/>
    <w:rsid w:val="00964BDF"/>
    <w:rsid w:val="00964C6E"/>
    <w:rsid w:val="00964C8F"/>
    <w:rsid w:val="00964D26"/>
    <w:rsid w:val="00964D3A"/>
    <w:rsid w:val="00964D3D"/>
    <w:rsid w:val="00964D61"/>
    <w:rsid w:val="00964D74"/>
    <w:rsid w:val="00964D99"/>
    <w:rsid w:val="00964DA2"/>
    <w:rsid w:val="00964E3F"/>
    <w:rsid w:val="00964E62"/>
    <w:rsid w:val="00964E77"/>
    <w:rsid w:val="00964E7C"/>
    <w:rsid w:val="00964EAD"/>
    <w:rsid w:val="00964EDA"/>
    <w:rsid w:val="00964F33"/>
    <w:rsid w:val="00964F52"/>
    <w:rsid w:val="00964F71"/>
    <w:rsid w:val="00964F74"/>
    <w:rsid w:val="00965036"/>
    <w:rsid w:val="00965038"/>
    <w:rsid w:val="009650AE"/>
    <w:rsid w:val="0096513B"/>
    <w:rsid w:val="009651B0"/>
    <w:rsid w:val="00965204"/>
    <w:rsid w:val="00965212"/>
    <w:rsid w:val="0096521E"/>
    <w:rsid w:val="00965247"/>
    <w:rsid w:val="00965249"/>
    <w:rsid w:val="00965256"/>
    <w:rsid w:val="0096536F"/>
    <w:rsid w:val="00965374"/>
    <w:rsid w:val="0096539B"/>
    <w:rsid w:val="009653E0"/>
    <w:rsid w:val="009653FA"/>
    <w:rsid w:val="00965403"/>
    <w:rsid w:val="00965404"/>
    <w:rsid w:val="0096553D"/>
    <w:rsid w:val="0096558B"/>
    <w:rsid w:val="009655B6"/>
    <w:rsid w:val="009655F6"/>
    <w:rsid w:val="00965623"/>
    <w:rsid w:val="0096562D"/>
    <w:rsid w:val="0096566B"/>
    <w:rsid w:val="0096566D"/>
    <w:rsid w:val="009656BE"/>
    <w:rsid w:val="00965727"/>
    <w:rsid w:val="0096572E"/>
    <w:rsid w:val="0096573F"/>
    <w:rsid w:val="00965784"/>
    <w:rsid w:val="009657BA"/>
    <w:rsid w:val="00965851"/>
    <w:rsid w:val="009658DC"/>
    <w:rsid w:val="0096595A"/>
    <w:rsid w:val="009659B5"/>
    <w:rsid w:val="009659E5"/>
    <w:rsid w:val="00965A1B"/>
    <w:rsid w:val="00965AD7"/>
    <w:rsid w:val="00965BBC"/>
    <w:rsid w:val="00965BEB"/>
    <w:rsid w:val="00965C7F"/>
    <w:rsid w:val="00965CCF"/>
    <w:rsid w:val="00965CDB"/>
    <w:rsid w:val="00965D73"/>
    <w:rsid w:val="00965E3E"/>
    <w:rsid w:val="00965E61"/>
    <w:rsid w:val="00965E6D"/>
    <w:rsid w:val="00965E85"/>
    <w:rsid w:val="00965EA0"/>
    <w:rsid w:val="00965EAD"/>
    <w:rsid w:val="00965FA9"/>
    <w:rsid w:val="00966007"/>
    <w:rsid w:val="00966021"/>
    <w:rsid w:val="00966066"/>
    <w:rsid w:val="0096606D"/>
    <w:rsid w:val="0096608D"/>
    <w:rsid w:val="00966096"/>
    <w:rsid w:val="0096609C"/>
    <w:rsid w:val="009660A7"/>
    <w:rsid w:val="009660A9"/>
    <w:rsid w:val="009660B3"/>
    <w:rsid w:val="009660B7"/>
    <w:rsid w:val="00966125"/>
    <w:rsid w:val="0096613F"/>
    <w:rsid w:val="00966150"/>
    <w:rsid w:val="00966185"/>
    <w:rsid w:val="00966237"/>
    <w:rsid w:val="00966259"/>
    <w:rsid w:val="009662CD"/>
    <w:rsid w:val="009662F7"/>
    <w:rsid w:val="00966356"/>
    <w:rsid w:val="0096637B"/>
    <w:rsid w:val="00966392"/>
    <w:rsid w:val="009663A7"/>
    <w:rsid w:val="009663BD"/>
    <w:rsid w:val="009663DF"/>
    <w:rsid w:val="00966438"/>
    <w:rsid w:val="0096643C"/>
    <w:rsid w:val="0096645C"/>
    <w:rsid w:val="009664FC"/>
    <w:rsid w:val="0096657F"/>
    <w:rsid w:val="009665CA"/>
    <w:rsid w:val="00966614"/>
    <w:rsid w:val="0096667E"/>
    <w:rsid w:val="009666A0"/>
    <w:rsid w:val="009666B6"/>
    <w:rsid w:val="009666EE"/>
    <w:rsid w:val="0096673E"/>
    <w:rsid w:val="0096676E"/>
    <w:rsid w:val="0096677A"/>
    <w:rsid w:val="0096679F"/>
    <w:rsid w:val="0096681C"/>
    <w:rsid w:val="00966852"/>
    <w:rsid w:val="00966891"/>
    <w:rsid w:val="0096689A"/>
    <w:rsid w:val="009668E4"/>
    <w:rsid w:val="009668EB"/>
    <w:rsid w:val="00966917"/>
    <w:rsid w:val="00966927"/>
    <w:rsid w:val="0096693A"/>
    <w:rsid w:val="0096699C"/>
    <w:rsid w:val="009669B4"/>
    <w:rsid w:val="009669D2"/>
    <w:rsid w:val="00966A5A"/>
    <w:rsid w:val="00966AEF"/>
    <w:rsid w:val="00966B18"/>
    <w:rsid w:val="00966BEA"/>
    <w:rsid w:val="00966C0B"/>
    <w:rsid w:val="00966C2F"/>
    <w:rsid w:val="00966C48"/>
    <w:rsid w:val="00966C64"/>
    <w:rsid w:val="00966C6A"/>
    <w:rsid w:val="00966C82"/>
    <w:rsid w:val="00966C9F"/>
    <w:rsid w:val="00966CAA"/>
    <w:rsid w:val="00966CAD"/>
    <w:rsid w:val="00966CBE"/>
    <w:rsid w:val="00966CF5"/>
    <w:rsid w:val="00966D36"/>
    <w:rsid w:val="00966D5D"/>
    <w:rsid w:val="00966D89"/>
    <w:rsid w:val="00966E38"/>
    <w:rsid w:val="00966E68"/>
    <w:rsid w:val="00966E99"/>
    <w:rsid w:val="00966F06"/>
    <w:rsid w:val="00966F92"/>
    <w:rsid w:val="00966FC3"/>
    <w:rsid w:val="0096704E"/>
    <w:rsid w:val="00967089"/>
    <w:rsid w:val="00967174"/>
    <w:rsid w:val="009671B1"/>
    <w:rsid w:val="00967208"/>
    <w:rsid w:val="0096721A"/>
    <w:rsid w:val="0096726A"/>
    <w:rsid w:val="0096728D"/>
    <w:rsid w:val="009672AA"/>
    <w:rsid w:val="009672B7"/>
    <w:rsid w:val="009672CC"/>
    <w:rsid w:val="009672DA"/>
    <w:rsid w:val="00967321"/>
    <w:rsid w:val="009673EA"/>
    <w:rsid w:val="0096743B"/>
    <w:rsid w:val="00967444"/>
    <w:rsid w:val="0096744F"/>
    <w:rsid w:val="0096747B"/>
    <w:rsid w:val="00967540"/>
    <w:rsid w:val="00967555"/>
    <w:rsid w:val="00967592"/>
    <w:rsid w:val="009675B9"/>
    <w:rsid w:val="009675C1"/>
    <w:rsid w:val="0096760A"/>
    <w:rsid w:val="00967611"/>
    <w:rsid w:val="0096764B"/>
    <w:rsid w:val="009676AB"/>
    <w:rsid w:val="00967711"/>
    <w:rsid w:val="00967782"/>
    <w:rsid w:val="009677A8"/>
    <w:rsid w:val="00967847"/>
    <w:rsid w:val="0096787F"/>
    <w:rsid w:val="00967893"/>
    <w:rsid w:val="0096790F"/>
    <w:rsid w:val="00967965"/>
    <w:rsid w:val="00967996"/>
    <w:rsid w:val="0096799E"/>
    <w:rsid w:val="009679A7"/>
    <w:rsid w:val="009679BE"/>
    <w:rsid w:val="009679CF"/>
    <w:rsid w:val="00967A1E"/>
    <w:rsid w:val="00967AA5"/>
    <w:rsid w:val="00967AE7"/>
    <w:rsid w:val="00967AEE"/>
    <w:rsid w:val="00967B65"/>
    <w:rsid w:val="00967B7F"/>
    <w:rsid w:val="00967CFC"/>
    <w:rsid w:val="00967E0E"/>
    <w:rsid w:val="00967E1B"/>
    <w:rsid w:val="00967E24"/>
    <w:rsid w:val="00967E5A"/>
    <w:rsid w:val="00967E94"/>
    <w:rsid w:val="00968A91"/>
    <w:rsid w:val="0096FF08"/>
    <w:rsid w:val="0097007A"/>
    <w:rsid w:val="0097009A"/>
    <w:rsid w:val="009700D4"/>
    <w:rsid w:val="00970121"/>
    <w:rsid w:val="0097013E"/>
    <w:rsid w:val="00970166"/>
    <w:rsid w:val="0097017B"/>
    <w:rsid w:val="009701CD"/>
    <w:rsid w:val="0097023A"/>
    <w:rsid w:val="0097026B"/>
    <w:rsid w:val="00970296"/>
    <w:rsid w:val="0097029E"/>
    <w:rsid w:val="009702F4"/>
    <w:rsid w:val="0097030B"/>
    <w:rsid w:val="00970370"/>
    <w:rsid w:val="00970389"/>
    <w:rsid w:val="009703D0"/>
    <w:rsid w:val="009703DB"/>
    <w:rsid w:val="009703E3"/>
    <w:rsid w:val="00970403"/>
    <w:rsid w:val="009704A7"/>
    <w:rsid w:val="009704AF"/>
    <w:rsid w:val="009704BD"/>
    <w:rsid w:val="009704C1"/>
    <w:rsid w:val="00970521"/>
    <w:rsid w:val="00970527"/>
    <w:rsid w:val="00970560"/>
    <w:rsid w:val="0097058C"/>
    <w:rsid w:val="0097060A"/>
    <w:rsid w:val="009706A4"/>
    <w:rsid w:val="009706B8"/>
    <w:rsid w:val="009706F2"/>
    <w:rsid w:val="009706FA"/>
    <w:rsid w:val="009707B3"/>
    <w:rsid w:val="009707B6"/>
    <w:rsid w:val="009707F2"/>
    <w:rsid w:val="00970832"/>
    <w:rsid w:val="00970838"/>
    <w:rsid w:val="0097084F"/>
    <w:rsid w:val="00970876"/>
    <w:rsid w:val="009708BA"/>
    <w:rsid w:val="009708D0"/>
    <w:rsid w:val="00970918"/>
    <w:rsid w:val="00970943"/>
    <w:rsid w:val="009709C5"/>
    <w:rsid w:val="009709D8"/>
    <w:rsid w:val="00970A0E"/>
    <w:rsid w:val="00970A17"/>
    <w:rsid w:val="00970A33"/>
    <w:rsid w:val="00970A81"/>
    <w:rsid w:val="00970B00"/>
    <w:rsid w:val="00970B12"/>
    <w:rsid w:val="00970B4C"/>
    <w:rsid w:val="00970BBB"/>
    <w:rsid w:val="00970BD2"/>
    <w:rsid w:val="00970C12"/>
    <w:rsid w:val="00970C38"/>
    <w:rsid w:val="00970CB6"/>
    <w:rsid w:val="00970D10"/>
    <w:rsid w:val="00970D3B"/>
    <w:rsid w:val="00970D74"/>
    <w:rsid w:val="00970DAC"/>
    <w:rsid w:val="00970DEE"/>
    <w:rsid w:val="00970E31"/>
    <w:rsid w:val="00970E85"/>
    <w:rsid w:val="00970EB9"/>
    <w:rsid w:val="00970EC6"/>
    <w:rsid w:val="00970EC7"/>
    <w:rsid w:val="00970F71"/>
    <w:rsid w:val="00970FA8"/>
    <w:rsid w:val="00970FFA"/>
    <w:rsid w:val="0097101F"/>
    <w:rsid w:val="00971061"/>
    <w:rsid w:val="009710AE"/>
    <w:rsid w:val="009710AF"/>
    <w:rsid w:val="009710C9"/>
    <w:rsid w:val="009710E8"/>
    <w:rsid w:val="00971103"/>
    <w:rsid w:val="00971121"/>
    <w:rsid w:val="009711C5"/>
    <w:rsid w:val="009711ED"/>
    <w:rsid w:val="0097122F"/>
    <w:rsid w:val="00971230"/>
    <w:rsid w:val="00971294"/>
    <w:rsid w:val="009712E6"/>
    <w:rsid w:val="0097130C"/>
    <w:rsid w:val="0097131B"/>
    <w:rsid w:val="00971336"/>
    <w:rsid w:val="00971385"/>
    <w:rsid w:val="009713AF"/>
    <w:rsid w:val="009713C4"/>
    <w:rsid w:val="00971403"/>
    <w:rsid w:val="009714AF"/>
    <w:rsid w:val="009714FF"/>
    <w:rsid w:val="00971501"/>
    <w:rsid w:val="0097151B"/>
    <w:rsid w:val="00971520"/>
    <w:rsid w:val="00971558"/>
    <w:rsid w:val="00971581"/>
    <w:rsid w:val="009715AB"/>
    <w:rsid w:val="009715E9"/>
    <w:rsid w:val="0097162B"/>
    <w:rsid w:val="009716B2"/>
    <w:rsid w:val="009716C1"/>
    <w:rsid w:val="009716C9"/>
    <w:rsid w:val="00971712"/>
    <w:rsid w:val="0097176A"/>
    <w:rsid w:val="009717C5"/>
    <w:rsid w:val="00971802"/>
    <w:rsid w:val="00971823"/>
    <w:rsid w:val="00971832"/>
    <w:rsid w:val="009718F3"/>
    <w:rsid w:val="0097192B"/>
    <w:rsid w:val="0097194F"/>
    <w:rsid w:val="00971A0D"/>
    <w:rsid w:val="00971A35"/>
    <w:rsid w:val="00971A74"/>
    <w:rsid w:val="00971AB7"/>
    <w:rsid w:val="00971AF8"/>
    <w:rsid w:val="00971BCC"/>
    <w:rsid w:val="00971BE2"/>
    <w:rsid w:val="00971BF5"/>
    <w:rsid w:val="00971C70"/>
    <w:rsid w:val="00971D4E"/>
    <w:rsid w:val="00971D9F"/>
    <w:rsid w:val="00971DB5"/>
    <w:rsid w:val="00971DC2"/>
    <w:rsid w:val="00971E1B"/>
    <w:rsid w:val="00971E24"/>
    <w:rsid w:val="00971EB7"/>
    <w:rsid w:val="00971F3A"/>
    <w:rsid w:val="00971FAD"/>
    <w:rsid w:val="00971FE8"/>
    <w:rsid w:val="00971FEB"/>
    <w:rsid w:val="00972000"/>
    <w:rsid w:val="00972055"/>
    <w:rsid w:val="0097207B"/>
    <w:rsid w:val="009720B9"/>
    <w:rsid w:val="009720F8"/>
    <w:rsid w:val="00972161"/>
    <w:rsid w:val="009721AA"/>
    <w:rsid w:val="009721AE"/>
    <w:rsid w:val="009721B7"/>
    <w:rsid w:val="009721B8"/>
    <w:rsid w:val="009721CE"/>
    <w:rsid w:val="0097222F"/>
    <w:rsid w:val="00972266"/>
    <w:rsid w:val="009722BC"/>
    <w:rsid w:val="00972312"/>
    <w:rsid w:val="00972386"/>
    <w:rsid w:val="009723C9"/>
    <w:rsid w:val="00972442"/>
    <w:rsid w:val="0097245B"/>
    <w:rsid w:val="00972472"/>
    <w:rsid w:val="00972485"/>
    <w:rsid w:val="009724ED"/>
    <w:rsid w:val="00972531"/>
    <w:rsid w:val="00972551"/>
    <w:rsid w:val="00972588"/>
    <w:rsid w:val="00972672"/>
    <w:rsid w:val="009726ED"/>
    <w:rsid w:val="0097272B"/>
    <w:rsid w:val="0097280C"/>
    <w:rsid w:val="009728B1"/>
    <w:rsid w:val="00972935"/>
    <w:rsid w:val="0097293A"/>
    <w:rsid w:val="0097296F"/>
    <w:rsid w:val="0097297C"/>
    <w:rsid w:val="00972996"/>
    <w:rsid w:val="00972997"/>
    <w:rsid w:val="009729C3"/>
    <w:rsid w:val="009729D7"/>
    <w:rsid w:val="009729F0"/>
    <w:rsid w:val="00972A3A"/>
    <w:rsid w:val="00972A7A"/>
    <w:rsid w:val="00972AA1"/>
    <w:rsid w:val="00972AA2"/>
    <w:rsid w:val="00972AAF"/>
    <w:rsid w:val="00972B01"/>
    <w:rsid w:val="00972B6B"/>
    <w:rsid w:val="00972B75"/>
    <w:rsid w:val="00972B7D"/>
    <w:rsid w:val="00972B93"/>
    <w:rsid w:val="00972BAE"/>
    <w:rsid w:val="00972BB1"/>
    <w:rsid w:val="00972BCE"/>
    <w:rsid w:val="00972BE3"/>
    <w:rsid w:val="00972C4D"/>
    <w:rsid w:val="00972CE2"/>
    <w:rsid w:val="00972D23"/>
    <w:rsid w:val="00972D30"/>
    <w:rsid w:val="00972D83"/>
    <w:rsid w:val="00972DDF"/>
    <w:rsid w:val="00972DE0"/>
    <w:rsid w:val="00972DEB"/>
    <w:rsid w:val="00972E37"/>
    <w:rsid w:val="00972E40"/>
    <w:rsid w:val="00972EB3"/>
    <w:rsid w:val="00972EF7"/>
    <w:rsid w:val="00972F02"/>
    <w:rsid w:val="00972F31"/>
    <w:rsid w:val="00972F55"/>
    <w:rsid w:val="00972F96"/>
    <w:rsid w:val="00972FA0"/>
    <w:rsid w:val="00972FD0"/>
    <w:rsid w:val="00973012"/>
    <w:rsid w:val="00973078"/>
    <w:rsid w:val="009730BB"/>
    <w:rsid w:val="00973153"/>
    <w:rsid w:val="009731B7"/>
    <w:rsid w:val="009731FC"/>
    <w:rsid w:val="009732B4"/>
    <w:rsid w:val="009732C6"/>
    <w:rsid w:val="0097332A"/>
    <w:rsid w:val="0097334F"/>
    <w:rsid w:val="00973377"/>
    <w:rsid w:val="009733C3"/>
    <w:rsid w:val="0097349C"/>
    <w:rsid w:val="009734D9"/>
    <w:rsid w:val="00973533"/>
    <w:rsid w:val="00973555"/>
    <w:rsid w:val="009735CB"/>
    <w:rsid w:val="009736AE"/>
    <w:rsid w:val="009736DC"/>
    <w:rsid w:val="00973722"/>
    <w:rsid w:val="0097372D"/>
    <w:rsid w:val="0097377B"/>
    <w:rsid w:val="009737B6"/>
    <w:rsid w:val="009737D6"/>
    <w:rsid w:val="009737DB"/>
    <w:rsid w:val="009737F9"/>
    <w:rsid w:val="0097386B"/>
    <w:rsid w:val="00973898"/>
    <w:rsid w:val="009738A7"/>
    <w:rsid w:val="009738B1"/>
    <w:rsid w:val="009738D3"/>
    <w:rsid w:val="00973916"/>
    <w:rsid w:val="009739C5"/>
    <w:rsid w:val="009739CA"/>
    <w:rsid w:val="00973A0F"/>
    <w:rsid w:val="00973A28"/>
    <w:rsid w:val="00973AA4"/>
    <w:rsid w:val="00973AA9"/>
    <w:rsid w:val="00973B20"/>
    <w:rsid w:val="00973B30"/>
    <w:rsid w:val="00973B3E"/>
    <w:rsid w:val="00973BC0"/>
    <w:rsid w:val="00973BE1"/>
    <w:rsid w:val="00973C4C"/>
    <w:rsid w:val="00973C64"/>
    <w:rsid w:val="00973CB7"/>
    <w:rsid w:val="00973CDE"/>
    <w:rsid w:val="00973D2A"/>
    <w:rsid w:val="00973D46"/>
    <w:rsid w:val="00973D7E"/>
    <w:rsid w:val="00973E16"/>
    <w:rsid w:val="00973E1C"/>
    <w:rsid w:val="00973F0B"/>
    <w:rsid w:val="00973F34"/>
    <w:rsid w:val="00973F96"/>
    <w:rsid w:val="00973FBD"/>
    <w:rsid w:val="00973FC9"/>
    <w:rsid w:val="0097401E"/>
    <w:rsid w:val="00974027"/>
    <w:rsid w:val="0097403E"/>
    <w:rsid w:val="009740CE"/>
    <w:rsid w:val="009740E0"/>
    <w:rsid w:val="009740E6"/>
    <w:rsid w:val="009740EC"/>
    <w:rsid w:val="0097414B"/>
    <w:rsid w:val="009741A5"/>
    <w:rsid w:val="009741F0"/>
    <w:rsid w:val="009742E8"/>
    <w:rsid w:val="009743E4"/>
    <w:rsid w:val="0097440F"/>
    <w:rsid w:val="00974416"/>
    <w:rsid w:val="00974518"/>
    <w:rsid w:val="0097451A"/>
    <w:rsid w:val="00974525"/>
    <w:rsid w:val="00974570"/>
    <w:rsid w:val="00974585"/>
    <w:rsid w:val="009745D2"/>
    <w:rsid w:val="009746B9"/>
    <w:rsid w:val="00974720"/>
    <w:rsid w:val="0097475F"/>
    <w:rsid w:val="00974762"/>
    <w:rsid w:val="009747CA"/>
    <w:rsid w:val="009747E2"/>
    <w:rsid w:val="009747EF"/>
    <w:rsid w:val="00974802"/>
    <w:rsid w:val="00974878"/>
    <w:rsid w:val="0097487D"/>
    <w:rsid w:val="00974886"/>
    <w:rsid w:val="009748B6"/>
    <w:rsid w:val="009748EC"/>
    <w:rsid w:val="0097491D"/>
    <w:rsid w:val="009749EB"/>
    <w:rsid w:val="009749FC"/>
    <w:rsid w:val="00974A9A"/>
    <w:rsid w:val="00974B10"/>
    <w:rsid w:val="00974C20"/>
    <w:rsid w:val="00974CE2"/>
    <w:rsid w:val="00974D35"/>
    <w:rsid w:val="00974D53"/>
    <w:rsid w:val="00974D91"/>
    <w:rsid w:val="00974D94"/>
    <w:rsid w:val="00974DA2"/>
    <w:rsid w:val="00974DB8"/>
    <w:rsid w:val="00974DCE"/>
    <w:rsid w:val="00974DEE"/>
    <w:rsid w:val="00974E24"/>
    <w:rsid w:val="00974E28"/>
    <w:rsid w:val="00974E53"/>
    <w:rsid w:val="00974E7E"/>
    <w:rsid w:val="00974E96"/>
    <w:rsid w:val="00974EE3"/>
    <w:rsid w:val="00974F72"/>
    <w:rsid w:val="00974F87"/>
    <w:rsid w:val="00974FC1"/>
    <w:rsid w:val="00974FCA"/>
    <w:rsid w:val="009750A7"/>
    <w:rsid w:val="009750DB"/>
    <w:rsid w:val="0097512E"/>
    <w:rsid w:val="00975135"/>
    <w:rsid w:val="00975141"/>
    <w:rsid w:val="009751B2"/>
    <w:rsid w:val="009751E1"/>
    <w:rsid w:val="009751FB"/>
    <w:rsid w:val="0097520C"/>
    <w:rsid w:val="00975242"/>
    <w:rsid w:val="0097525D"/>
    <w:rsid w:val="0097526C"/>
    <w:rsid w:val="0097527C"/>
    <w:rsid w:val="00975284"/>
    <w:rsid w:val="009752CD"/>
    <w:rsid w:val="009752E2"/>
    <w:rsid w:val="00975381"/>
    <w:rsid w:val="00975397"/>
    <w:rsid w:val="009753A1"/>
    <w:rsid w:val="009753A2"/>
    <w:rsid w:val="009753CF"/>
    <w:rsid w:val="009753FF"/>
    <w:rsid w:val="00975433"/>
    <w:rsid w:val="00975468"/>
    <w:rsid w:val="00975483"/>
    <w:rsid w:val="0097549F"/>
    <w:rsid w:val="0097552A"/>
    <w:rsid w:val="00975550"/>
    <w:rsid w:val="009755AF"/>
    <w:rsid w:val="0097561B"/>
    <w:rsid w:val="00975640"/>
    <w:rsid w:val="0097565F"/>
    <w:rsid w:val="0097569F"/>
    <w:rsid w:val="009756A4"/>
    <w:rsid w:val="009756AA"/>
    <w:rsid w:val="009756BF"/>
    <w:rsid w:val="009756D9"/>
    <w:rsid w:val="009756F3"/>
    <w:rsid w:val="00975739"/>
    <w:rsid w:val="00975780"/>
    <w:rsid w:val="009757D7"/>
    <w:rsid w:val="009757ED"/>
    <w:rsid w:val="0097583F"/>
    <w:rsid w:val="0097584D"/>
    <w:rsid w:val="009758C5"/>
    <w:rsid w:val="009758E8"/>
    <w:rsid w:val="00975923"/>
    <w:rsid w:val="0097595C"/>
    <w:rsid w:val="009759C0"/>
    <w:rsid w:val="009759E1"/>
    <w:rsid w:val="009759E6"/>
    <w:rsid w:val="009759FC"/>
    <w:rsid w:val="00975A09"/>
    <w:rsid w:val="00975A34"/>
    <w:rsid w:val="00975A80"/>
    <w:rsid w:val="00975AB3"/>
    <w:rsid w:val="00975ABB"/>
    <w:rsid w:val="00975ADB"/>
    <w:rsid w:val="00975AF5"/>
    <w:rsid w:val="00975B1B"/>
    <w:rsid w:val="00975B48"/>
    <w:rsid w:val="00975B53"/>
    <w:rsid w:val="00975B6B"/>
    <w:rsid w:val="00975B8F"/>
    <w:rsid w:val="00975BC9"/>
    <w:rsid w:val="00975C94"/>
    <w:rsid w:val="00975CBE"/>
    <w:rsid w:val="00975CCA"/>
    <w:rsid w:val="00975D77"/>
    <w:rsid w:val="00975DC0"/>
    <w:rsid w:val="00975E45"/>
    <w:rsid w:val="00975E6C"/>
    <w:rsid w:val="00975E96"/>
    <w:rsid w:val="00975EAB"/>
    <w:rsid w:val="00975ECB"/>
    <w:rsid w:val="00975EED"/>
    <w:rsid w:val="00975EF7"/>
    <w:rsid w:val="00975F9B"/>
    <w:rsid w:val="00975F9D"/>
    <w:rsid w:val="00975FC2"/>
    <w:rsid w:val="00975FDD"/>
    <w:rsid w:val="00976026"/>
    <w:rsid w:val="009760B0"/>
    <w:rsid w:val="009760B7"/>
    <w:rsid w:val="009760D2"/>
    <w:rsid w:val="00976187"/>
    <w:rsid w:val="009761CE"/>
    <w:rsid w:val="00976208"/>
    <w:rsid w:val="0097621A"/>
    <w:rsid w:val="00976284"/>
    <w:rsid w:val="009762D2"/>
    <w:rsid w:val="0097635A"/>
    <w:rsid w:val="009763AA"/>
    <w:rsid w:val="00976407"/>
    <w:rsid w:val="00976444"/>
    <w:rsid w:val="00976475"/>
    <w:rsid w:val="00976481"/>
    <w:rsid w:val="009764AA"/>
    <w:rsid w:val="009764C1"/>
    <w:rsid w:val="009764E9"/>
    <w:rsid w:val="00976531"/>
    <w:rsid w:val="00976588"/>
    <w:rsid w:val="009765AA"/>
    <w:rsid w:val="009765C4"/>
    <w:rsid w:val="00976633"/>
    <w:rsid w:val="0097666E"/>
    <w:rsid w:val="009766E3"/>
    <w:rsid w:val="0097670E"/>
    <w:rsid w:val="00976750"/>
    <w:rsid w:val="0097676D"/>
    <w:rsid w:val="009767EC"/>
    <w:rsid w:val="00976813"/>
    <w:rsid w:val="00976833"/>
    <w:rsid w:val="00976851"/>
    <w:rsid w:val="00976890"/>
    <w:rsid w:val="00976964"/>
    <w:rsid w:val="0097698A"/>
    <w:rsid w:val="009769C0"/>
    <w:rsid w:val="00976A18"/>
    <w:rsid w:val="00976AE6"/>
    <w:rsid w:val="00976B23"/>
    <w:rsid w:val="00976BEB"/>
    <w:rsid w:val="00976C1A"/>
    <w:rsid w:val="00976C3E"/>
    <w:rsid w:val="00976C61"/>
    <w:rsid w:val="00976C69"/>
    <w:rsid w:val="00976D24"/>
    <w:rsid w:val="00976D38"/>
    <w:rsid w:val="00976D90"/>
    <w:rsid w:val="00976E2C"/>
    <w:rsid w:val="00976E4C"/>
    <w:rsid w:val="00976E79"/>
    <w:rsid w:val="00976E8F"/>
    <w:rsid w:val="00976F01"/>
    <w:rsid w:val="00976F6C"/>
    <w:rsid w:val="00976F71"/>
    <w:rsid w:val="0097700A"/>
    <w:rsid w:val="0097702C"/>
    <w:rsid w:val="00977031"/>
    <w:rsid w:val="00977052"/>
    <w:rsid w:val="009770A9"/>
    <w:rsid w:val="009770D5"/>
    <w:rsid w:val="009770FE"/>
    <w:rsid w:val="00977107"/>
    <w:rsid w:val="00977149"/>
    <w:rsid w:val="0097719A"/>
    <w:rsid w:val="009771DC"/>
    <w:rsid w:val="0097720E"/>
    <w:rsid w:val="0097725A"/>
    <w:rsid w:val="00977293"/>
    <w:rsid w:val="009772B7"/>
    <w:rsid w:val="009772EE"/>
    <w:rsid w:val="00977342"/>
    <w:rsid w:val="0097735A"/>
    <w:rsid w:val="0097737D"/>
    <w:rsid w:val="009773D9"/>
    <w:rsid w:val="00977402"/>
    <w:rsid w:val="00977434"/>
    <w:rsid w:val="009774FE"/>
    <w:rsid w:val="00977546"/>
    <w:rsid w:val="0097759D"/>
    <w:rsid w:val="0097762A"/>
    <w:rsid w:val="00977663"/>
    <w:rsid w:val="009776B1"/>
    <w:rsid w:val="009776E8"/>
    <w:rsid w:val="0097772A"/>
    <w:rsid w:val="00977761"/>
    <w:rsid w:val="009777DC"/>
    <w:rsid w:val="0097784A"/>
    <w:rsid w:val="00977939"/>
    <w:rsid w:val="0097794B"/>
    <w:rsid w:val="009779A8"/>
    <w:rsid w:val="009779BA"/>
    <w:rsid w:val="009779E3"/>
    <w:rsid w:val="009779ED"/>
    <w:rsid w:val="00977AA5"/>
    <w:rsid w:val="00977B11"/>
    <w:rsid w:val="00977B26"/>
    <w:rsid w:val="00977B34"/>
    <w:rsid w:val="00977BAA"/>
    <w:rsid w:val="00977C04"/>
    <w:rsid w:val="00977C3B"/>
    <w:rsid w:val="00977CA9"/>
    <w:rsid w:val="00977CB7"/>
    <w:rsid w:val="00977D07"/>
    <w:rsid w:val="00977D2E"/>
    <w:rsid w:val="00977D47"/>
    <w:rsid w:val="00977D99"/>
    <w:rsid w:val="00977DAD"/>
    <w:rsid w:val="00977DD6"/>
    <w:rsid w:val="00977DDA"/>
    <w:rsid w:val="00977E09"/>
    <w:rsid w:val="00977E8E"/>
    <w:rsid w:val="00977EBA"/>
    <w:rsid w:val="00977F67"/>
    <w:rsid w:val="00977FAE"/>
    <w:rsid w:val="00977FBE"/>
    <w:rsid w:val="00977FC5"/>
    <w:rsid w:val="00977FCC"/>
    <w:rsid w:val="0098007D"/>
    <w:rsid w:val="009800C1"/>
    <w:rsid w:val="00980152"/>
    <w:rsid w:val="00980182"/>
    <w:rsid w:val="00980186"/>
    <w:rsid w:val="00980188"/>
    <w:rsid w:val="009801F8"/>
    <w:rsid w:val="009801FB"/>
    <w:rsid w:val="00980203"/>
    <w:rsid w:val="0098023E"/>
    <w:rsid w:val="00980262"/>
    <w:rsid w:val="00980290"/>
    <w:rsid w:val="009802CB"/>
    <w:rsid w:val="009802D0"/>
    <w:rsid w:val="009802D5"/>
    <w:rsid w:val="009802F5"/>
    <w:rsid w:val="00980319"/>
    <w:rsid w:val="00980338"/>
    <w:rsid w:val="00980389"/>
    <w:rsid w:val="009803BB"/>
    <w:rsid w:val="00980440"/>
    <w:rsid w:val="00980444"/>
    <w:rsid w:val="00980470"/>
    <w:rsid w:val="0098049E"/>
    <w:rsid w:val="009804C7"/>
    <w:rsid w:val="009804F0"/>
    <w:rsid w:val="00980504"/>
    <w:rsid w:val="00980519"/>
    <w:rsid w:val="0098056F"/>
    <w:rsid w:val="009805EE"/>
    <w:rsid w:val="009806B0"/>
    <w:rsid w:val="009806D5"/>
    <w:rsid w:val="0098078E"/>
    <w:rsid w:val="00980791"/>
    <w:rsid w:val="009807CC"/>
    <w:rsid w:val="0098084F"/>
    <w:rsid w:val="0098089A"/>
    <w:rsid w:val="0098094F"/>
    <w:rsid w:val="00980A0A"/>
    <w:rsid w:val="00980A30"/>
    <w:rsid w:val="00980A77"/>
    <w:rsid w:val="00980C3B"/>
    <w:rsid w:val="00980CCA"/>
    <w:rsid w:val="00980D07"/>
    <w:rsid w:val="00980D09"/>
    <w:rsid w:val="00980DE2"/>
    <w:rsid w:val="00980E13"/>
    <w:rsid w:val="00980EE6"/>
    <w:rsid w:val="00980F17"/>
    <w:rsid w:val="00980F48"/>
    <w:rsid w:val="00980F96"/>
    <w:rsid w:val="00980FB2"/>
    <w:rsid w:val="00980FD9"/>
    <w:rsid w:val="00981005"/>
    <w:rsid w:val="00981015"/>
    <w:rsid w:val="0098101A"/>
    <w:rsid w:val="00981061"/>
    <w:rsid w:val="00981063"/>
    <w:rsid w:val="009810B1"/>
    <w:rsid w:val="0098110E"/>
    <w:rsid w:val="00981132"/>
    <w:rsid w:val="0098113C"/>
    <w:rsid w:val="00981170"/>
    <w:rsid w:val="00981199"/>
    <w:rsid w:val="009811CB"/>
    <w:rsid w:val="009811CC"/>
    <w:rsid w:val="009811D6"/>
    <w:rsid w:val="009811E3"/>
    <w:rsid w:val="00981211"/>
    <w:rsid w:val="00981290"/>
    <w:rsid w:val="009812A3"/>
    <w:rsid w:val="009812D7"/>
    <w:rsid w:val="009812EE"/>
    <w:rsid w:val="0098139A"/>
    <w:rsid w:val="009813BA"/>
    <w:rsid w:val="009813E0"/>
    <w:rsid w:val="009813ED"/>
    <w:rsid w:val="00981443"/>
    <w:rsid w:val="0098148B"/>
    <w:rsid w:val="009814A1"/>
    <w:rsid w:val="009814DA"/>
    <w:rsid w:val="009814F8"/>
    <w:rsid w:val="00981500"/>
    <w:rsid w:val="00981547"/>
    <w:rsid w:val="00981595"/>
    <w:rsid w:val="009815B0"/>
    <w:rsid w:val="009815D5"/>
    <w:rsid w:val="009815F3"/>
    <w:rsid w:val="00981628"/>
    <w:rsid w:val="00981662"/>
    <w:rsid w:val="009816B5"/>
    <w:rsid w:val="009816BB"/>
    <w:rsid w:val="0098175B"/>
    <w:rsid w:val="0098177D"/>
    <w:rsid w:val="009817E7"/>
    <w:rsid w:val="00981869"/>
    <w:rsid w:val="0098187F"/>
    <w:rsid w:val="00981890"/>
    <w:rsid w:val="009818C5"/>
    <w:rsid w:val="0098199F"/>
    <w:rsid w:val="009819BF"/>
    <w:rsid w:val="00981A54"/>
    <w:rsid w:val="00981B2F"/>
    <w:rsid w:val="00981BA3"/>
    <w:rsid w:val="00981BDA"/>
    <w:rsid w:val="00981C0F"/>
    <w:rsid w:val="00981C1E"/>
    <w:rsid w:val="00981C22"/>
    <w:rsid w:val="00981C71"/>
    <w:rsid w:val="00981CF4"/>
    <w:rsid w:val="00981D3D"/>
    <w:rsid w:val="00981D49"/>
    <w:rsid w:val="00981D62"/>
    <w:rsid w:val="00981DDB"/>
    <w:rsid w:val="00981EA3"/>
    <w:rsid w:val="00981EB2"/>
    <w:rsid w:val="00981F0E"/>
    <w:rsid w:val="00981F72"/>
    <w:rsid w:val="00981FBA"/>
    <w:rsid w:val="00982010"/>
    <w:rsid w:val="0098201F"/>
    <w:rsid w:val="0098208E"/>
    <w:rsid w:val="00982095"/>
    <w:rsid w:val="00982129"/>
    <w:rsid w:val="009821BA"/>
    <w:rsid w:val="009821F8"/>
    <w:rsid w:val="009821FB"/>
    <w:rsid w:val="00982227"/>
    <w:rsid w:val="009822A2"/>
    <w:rsid w:val="009822EA"/>
    <w:rsid w:val="00982311"/>
    <w:rsid w:val="00982380"/>
    <w:rsid w:val="0098238E"/>
    <w:rsid w:val="00982421"/>
    <w:rsid w:val="00982432"/>
    <w:rsid w:val="00982458"/>
    <w:rsid w:val="0098248D"/>
    <w:rsid w:val="00982553"/>
    <w:rsid w:val="00982575"/>
    <w:rsid w:val="009825CF"/>
    <w:rsid w:val="009825ED"/>
    <w:rsid w:val="009825F4"/>
    <w:rsid w:val="009825FD"/>
    <w:rsid w:val="0098260E"/>
    <w:rsid w:val="0098267F"/>
    <w:rsid w:val="009826E9"/>
    <w:rsid w:val="0098270A"/>
    <w:rsid w:val="00982769"/>
    <w:rsid w:val="00982772"/>
    <w:rsid w:val="009827B8"/>
    <w:rsid w:val="009827CD"/>
    <w:rsid w:val="009828B5"/>
    <w:rsid w:val="009828C1"/>
    <w:rsid w:val="0098291C"/>
    <w:rsid w:val="00982940"/>
    <w:rsid w:val="00982984"/>
    <w:rsid w:val="0098298B"/>
    <w:rsid w:val="009829DF"/>
    <w:rsid w:val="009829F7"/>
    <w:rsid w:val="00982A0B"/>
    <w:rsid w:val="00982A0D"/>
    <w:rsid w:val="00982A88"/>
    <w:rsid w:val="00982AA1"/>
    <w:rsid w:val="00982AAC"/>
    <w:rsid w:val="00982ACE"/>
    <w:rsid w:val="00982AE9"/>
    <w:rsid w:val="00982B9B"/>
    <w:rsid w:val="00982B9E"/>
    <w:rsid w:val="00982BA6"/>
    <w:rsid w:val="00982BCF"/>
    <w:rsid w:val="00982BD6"/>
    <w:rsid w:val="00982BE4"/>
    <w:rsid w:val="00982C47"/>
    <w:rsid w:val="00982C5A"/>
    <w:rsid w:val="00982CCD"/>
    <w:rsid w:val="00982CD7"/>
    <w:rsid w:val="00982D6C"/>
    <w:rsid w:val="00982DAB"/>
    <w:rsid w:val="00982DF2"/>
    <w:rsid w:val="00982E64"/>
    <w:rsid w:val="00982EB5"/>
    <w:rsid w:val="00982EF7"/>
    <w:rsid w:val="00983030"/>
    <w:rsid w:val="00983044"/>
    <w:rsid w:val="0098308F"/>
    <w:rsid w:val="009830C3"/>
    <w:rsid w:val="0098326C"/>
    <w:rsid w:val="009832B2"/>
    <w:rsid w:val="0098335E"/>
    <w:rsid w:val="00983384"/>
    <w:rsid w:val="009833D5"/>
    <w:rsid w:val="00983403"/>
    <w:rsid w:val="00983453"/>
    <w:rsid w:val="0098348B"/>
    <w:rsid w:val="009834CD"/>
    <w:rsid w:val="00983515"/>
    <w:rsid w:val="0098352B"/>
    <w:rsid w:val="00983573"/>
    <w:rsid w:val="009835B9"/>
    <w:rsid w:val="0098362A"/>
    <w:rsid w:val="0098365D"/>
    <w:rsid w:val="0098369E"/>
    <w:rsid w:val="00983711"/>
    <w:rsid w:val="0098371B"/>
    <w:rsid w:val="00983763"/>
    <w:rsid w:val="00983796"/>
    <w:rsid w:val="009837D3"/>
    <w:rsid w:val="009837D6"/>
    <w:rsid w:val="009837EB"/>
    <w:rsid w:val="0098382B"/>
    <w:rsid w:val="00983851"/>
    <w:rsid w:val="0098386C"/>
    <w:rsid w:val="0098386D"/>
    <w:rsid w:val="00983969"/>
    <w:rsid w:val="009839AD"/>
    <w:rsid w:val="009839C9"/>
    <w:rsid w:val="009839E8"/>
    <w:rsid w:val="009839EF"/>
    <w:rsid w:val="009839F8"/>
    <w:rsid w:val="00983A07"/>
    <w:rsid w:val="00983A26"/>
    <w:rsid w:val="00983A6C"/>
    <w:rsid w:val="00983A7A"/>
    <w:rsid w:val="00983ABE"/>
    <w:rsid w:val="00983B54"/>
    <w:rsid w:val="00983BC1"/>
    <w:rsid w:val="00983BDA"/>
    <w:rsid w:val="00983C5B"/>
    <w:rsid w:val="00983C76"/>
    <w:rsid w:val="00983D73"/>
    <w:rsid w:val="00983DB7"/>
    <w:rsid w:val="00983DC2"/>
    <w:rsid w:val="00983DEC"/>
    <w:rsid w:val="00983E0D"/>
    <w:rsid w:val="00983E70"/>
    <w:rsid w:val="00983EAE"/>
    <w:rsid w:val="00983EBF"/>
    <w:rsid w:val="00983EFF"/>
    <w:rsid w:val="00983F1B"/>
    <w:rsid w:val="00983F29"/>
    <w:rsid w:val="00983F9D"/>
    <w:rsid w:val="00983FD2"/>
    <w:rsid w:val="00983FF2"/>
    <w:rsid w:val="00984001"/>
    <w:rsid w:val="00984081"/>
    <w:rsid w:val="0098410E"/>
    <w:rsid w:val="00984169"/>
    <w:rsid w:val="0098428B"/>
    <w:rsid w:val="009842A3"/>
    <w:rsid w:val="009842B2"/>
    <w:rsid w:val="009842D2"/>
    <w:rsid w:val="009842D3"/>
    <w:rsid w:val="00984368"/>
    <w:rsid w:val="00984428"/>
    <w:rsid w:val="00984497"/>
    <w:rsid w:val="009844EA"/>
    <w:rsid w:val="00984506"/>
    <w:rsid w:val="00984528"/>
    <w:rsid w:val="00984560"/>
    <w:rsid w:val="0098458D"/>
    <w:rsid w:val="00984653"/>
    <w:rsid w:val="0098472D"/>
    <w:rsid w:val="00984778"/>
    <w:rsid w:val="0098477C"/>
    <w:rsid w:val="00984788"/>
    <w:rsid w:val="0098479C"/>
    <w:rsid w:val="009847AA"/>
    <w:rsid w:val="0098482F"/>
    <w:rsid w:val="00984836"/>
    <w:rsid w:val="0098484B"/>
    <w:rsid w:val="009848AB"/>
    <w:rsid w:val="009848DE"/>
    <w:rsid w:val="009848EA"/>
    <w:rsid w:val="009849BC"/>
    <w:rsid w:val="009849D6"/>
    <w:rsid w:val="00984A2B"/>
    <w:rsid w:val="00984A49"/>
    <w:rsid w:val="00984A8D"/>
    <w:rsid w:val="00984B07"/>
    <w:rsid w:val="00984B4B"/>
    <w:rsid w:val="00984B7B"/>
    <w:rsid w:val="00984C1F"/>
    <w:rsid w:val="00984C24"/>
    <w:rsid w:val="00984C2A"/>
    <w:rsid w:val="00984C7D"/>
    <w:rsid w:val="00984C88"/>
    <w:rsid w:val="00984CA4"/>
    <w:rsid w:val="00984CD7"/>
    <w:rsid w:val="00984D1D"/>
    <w:rsid w:val="00984D57"/>
    <w:rsid w:val="00984D8E"/>
    <w:rsid w:val="00984D9E"/>
    <w:rsid w:val="00984E13"/>
    <w:rsid w:val="00984E29"/>
    <w:rsid w:val="00984E62"/>
    <w:rsid w:val="00984E95"/>
    <w:rsid w:val="00984EB2"/>
    <w:rsid w:val="00984EB3"/>
    <w:rsid w:val="00984F63"/>
    <w:rsid w:val="00985060"/>
    <w:rsid w:val="0098506B"/>
    <w:rsid w:val="009850AC"/>
    <w:rsid w:val="00985119"/>
    <w:rsid w:val="009851A1"/>
    <w:rsid w:val="0098525F"/>
    <w:rsid w:val="00985314"/>
    <w:rsid w:val="0098531C"/>
    <w:rsid w:val="0098532B"/>
    <w:rsid w:val="00985344"/>
    <w:rsid w:val="0098543E"/>
    <w:rsid w:val="00985460"/>
    <w:rsid w:val="009854AD"/>
    <w:rsid w:val="009854F9"/>
    <w:rsid w:val="00985506"/>
    <w:rsid w:val="00985508"/>
    <w:rsid w:val="00985562"/>
    <w:rsid w:val="0098563A"/>
    <w:rsid w:val="00985687"/>
    <w:rsid w:val="009857CA"/>
    <w:rsid w:val="009857CF"/>
    <w:rsid w:val="00985890"/>
    <w:rsid w:val="009858D9"/>
    <w:rsid w:val="00985901"/>
    <w:rsid w:val="0098596A"/>
    <w:rsid w:val="009859CA"/>
    <w:rsid w:val="009859CD"/>
    <w:rsid w:val="009859FA"/>
    <w:rsid w:val="00985A0D"/>
    <w:rsid w:val="00985A2D"/>
    <w:rsid w:val="00985B96"/>
    <w:rsid w:val="00985B99"/>
    <w:rsid w:val="00985BD9"/>
    <w:rsid w:val="00985BFA"/>
    <w:rsid w:val="00985BFF"/>
    <w:rsid w:val="00985C92"/>
    <w:rsid w:val="00985D3A"/>
    <w:rsid w:val="00985D9F"/>
    <w:rsid w:val="00985DB7"/>
    <w:rsid w:val="00985DCC"/>
    <w:rsid w:val="00985E78"/>
    <w:rsid w:val="00985E95"/>
    <w:rsid w:val="00985F36"/>
    <w:rsid w:val="00985F80"/>
    <w:rsid w:val="00985FF2"/>
    <w:rsid w:val="0098600E"/>
    <w:rsid w:val="00986033"/>
    <w:rsid w:val="0098605C"/>
    <w:rsid w:val="00986069"/>
    <w:rsid w:val="009860B3"/>
    <w:rsid w:val="009860BE"/>
    <w:rsid w:val="009860CF"/>
    <w:rsid w:val="00986156"/>
    <w:rsid w:val="0098618D"/>
    <w:rsid w:val="00986217"/>
    <w:rsid w:val="0098628C"/>
    <w:rsid w:val="00986347"/>
    <w:rsid w:val="00986379"/>
    <w:rsid w:val="009863BA"/>
    <w:rsid w:val="009863C9"/>
    <w:rsid w:val="00986476"/>
    <w:rsid w:val="00986494"/>
    <w:rsid w:val="009864BE"/>
    <w:rsid w:val="009864D3"/>
    <w:rsid w:val="009864FD"/>
    <w:rsid w:val="00986507"/>
    <w:rsid w:val="0098654A"/>
    <w:rsid w:val="00986587"/>
    <w:rsid w:val="009865C5"/>
    <w:rsid w:val="0098662B"/>
    <w:rsid w:val="009866D8"/>
    <w:rsid w:val="009866D9"/>
    <w:rsid w:val="009866EC"/>
    <w:rsid w:val="009866F5"/>
    <w:rsid w:val="0098672C"/>
    <w:rsid w:val="0098677C"/>
    <w:rsid w:val="009867AE"/>
    <w:rsid w:val="009867E4"/>
    <w:rsid w:val="009867F4"/>
    <w:rsid w:val="00986800"/>
    <w:rsid w:val="00986803"/>
    <w:rsid w:val="00986816"/>
    <w:rsid w:val="00986821"/>
    <w:rsid w:val="00986863"/>
    <w:rsid w:val="00986880"/>
    <w:rsid w:val="00986927"/>
    <w:rsid w:val="0098695B"/>
    <w:rsid w:val="0098696C"/>
    <w:rsid w:val="00986988"/>
    <w:rsid w:val="009869B0"/>
    <w:rsid w:val="009869C1"/>
    <w:rsid w:val="00986A01"/>
    <w:rsid w:val="00986A75"/>
    <w:rsid w:val="00986A86"/>
    <w:rsid w:val="00986AA9"/>
    <w:rsid w:val="00986ACD"/>
    <w:rsid w:val="00986B8F"/>
    <w:rsid w:val="00986B96"/>
    <w:rsid w:val="00986C03"/>
    <w:rsid w:val="00986C31"/>
    <w:rsid w:val="00986C78"/>
    <w:rsid w:val="00986C99"/>
    <w:rsid w:val="00986D29"/>
    <w:rsid w:val="00986D7E"/>
    <w:rsid w:val="00986DBE"/>
    <w:rsid w:val="00986E4E"/>
    <w:rsid w:val="00986E8F"/>
    <w:rsid w:val="00986EB5"/>
    <w:rsid w:val="00986EEF"/>
    <w:rsid w:val="00986F8D"/>
    <w:rsid w:val="00986FB3"/>
    <w:rsid w:val="00986FEE"/>
    <w:rsid w:val="0098700D"/>
    <w:rsid w:val="00987033"/>
    <w:rsid w:val="00987072"/>
    <w:rsid w:val="009870E8"/>
    <w:rsid w:val="009870FC"/>
    <w:rsid w:val="00987148"/>
    <w:rsid w:val="0098714E"/>
    <w:rsid w:val="00987150"/>
    <w:rsid w:val="0098717B"/>
    <w:rsid w:val="00987203"/>
    <w:rsid w:val="0098721F"/>
    <w:rsid w:val="00987241"/>
    <w:rsid w:val="00987251"/>
    <w:rsid w:val="00987295"/>
    <w:rsid w:val="00987299"/>
    <w:rsid w:val="0098729E"/>
    <w:rsid w:val="009872DB"/>
    <w:rsid w:val="00987328"/>
    <w:rsid w:val="00987354"/>
    <w:rsid w:val="009873BD"/>
    <w:rsid w:val="009873D9"/>
    <w:rsid w:val="009873EE"/>
    <w:rsid w:val="009873F8"/>
    <w:rsid w:val="0098740F"/>
    <w:rsid w:val="00987455"/>
    <w:rsid w:val="00987456"/>
    <w:rsid w:val="00987518"/>
    <w:rsid w:val="0098758F"/>
    <w:rsid w:val="009875BD"/>
    <w:rsid w:val="0098760C"/>
    <w:rsid w:val="0098770E"/>
    <w:rsid w:val="00987710"/>
    <w:rsid w:val="0098773E"/>
    <w:rsid w:val="00987784"/>
    <w:rsid w:val="0098779D"/>
    <w:rsid w:val="009877A1"/>
    <w:rsid w:val="009877EE"/>
    <w:rsid w:val="009877F0"/>
    <w:rsid w:val="0098783A"/>
    <w:rsid w:val="00987904"/>
    <w:rsid w:val="00987936"/>
    <w:rsid w:val="0098794B"/>
    <w:rsid w:val="00987954"/>
    <w:rsid w:val="0098795F"/>
    <w:rsid w:val="009879A2"/>
    <w:rsid w:val="00987A58"/>
    <w:rsid w:val="00987A67"/>
    <w:rsid w:val="00987AB2"/>
    <w:rsid w:val="00987ADA"/>
    <w:rsid w:val="00987AFF"/>
    <w:rsid w:val="00987BD9"/>
    <w:rsid w:val="00987C53"/>
    <w:rsid w:val="00987C63"/>
    <w:rsid w:val="00987C91"/>
    <w:rsid w:val="00987CA0"/>
    <w:rsid w:val="00987CD2"/>
    <w:rsid w:val="00987CE3"/>
    <w:rsid w:val="00987CF4"/>
    <w:rsid w:val="00987D65"/>
    <w:rsid w:val="00987D9A"/>
    <w:rsid w:val="00987DA1"/>
    <w:rsid w:val="00987DB9"/>
    <w:rsid w:val="00987E3C"/>
    <w:rsid w:val="00987E69"/>
    <w:rsid w:val="00987E85"/>
    <w:rsid w:val="00987F2E"/>
    <w:rsid w:val="00987FCA"/>
    <w:rsid w:val="00987FFE"/>
    <w:rsid w:val="00990043"/>
    <w:rsid w:val="00990061"/>
    <w:rsid w:val="00990164"/>
    <w:rsid w:val="00990168"/>
    <w:rsid w:val="00990172"/>
    <w:rsid w:val="0099019A"/>
    <w:rsid w:val="009901B1"/>
    <w:rsid w:val="00990238"/>
    <w:rsid w:val="00990255"/>
    <w:rsid w:val="009902AB"/>
    <w:rsid w:val="009902D4"/>
    <w:rsid w:val="00990312"/>
    <w:rsid w:val="00990322"/>
    <w:rsid w:val="00990379"/>
    <w:rsid w:val="0099043B"/>
    <w:rsid w:val="009904D0"/>
    <w:rsid w:val="009905AC"/>
    <w:rsid w:val="00990645"/>
    <w:rsid w:val="00990652"/>
    <w:rsid w:val="009906A2"/>
    <w:rsid w:val="009906A9"/>
    <w:rsid w:val="0099071A"/>
    <w:rsid w:val="0099072C"/>
    <w:rsid w:val="00990759"/>
    <w:rsid w:val="00990785"/>
    <w:rsid w:val="009907B7"/>
    <w:rsid w:val="009907DA"/>
    <w:rsid w:val="0099082A"/>
    <w:rsid w:val="0099092E"/>
    <w:rsid w:val="00990952"/>
    <w:rsid w:val="00990953"/>
    <w:rsid w:val="009909FC"/>
    <w:rsid w:val="00990A37"/>
    <w:rsid w:val="00990A3C"/>
    <w:rsid w:val="00990AD3"/>
    <w:rsid w:val="00990AEB"/>
    <w:rsid w:val="00990B83"/>
    <w:rsid w:val="00990BAE"/>
    <w:rsid w:val="00990BCF"/>
    <w:rsid w:val="00990BD9"/>
    <w:rsid w:val="00990BE5"/>
    <w:rsid w:val="00990D20"/>
    <w:rsid w:val="00990DBE"/>
    <w:rsid w:val="00990E21"/>
    <w:rsid w:val="00990E4B"/>
    <w:rsid w:val="00990E6E"/>
    <w:rsid w:val="00990EA3"/>
    <w:rsid w:val="00990F5D"/>
    <w:rsid w:val="00990F98"/>
    <w:rsid w:val="00990FA0"/>
    <w:rsid w:val="00990FE1"/>
    <w:rsid w:val="00990FF1"/>
    <w:rsid w:val="00990FFF"/>
    <w:rsid w:val="0099101F"/>
    <w:rsid w:val="00991049"/>
    <w:rsid w:val="0099109E"/>
    <w:rsid w:val="009910A9"/>
    <w:rsid w:val="009910C1"/>
    <w:rsid w:val="00991100"/>
    <w:rsid w:val="00991197"/>
    <w:rsid w:val="009911CA"/>
    <w:rsid w:val="009911D2"/>
    <w:rsid w:val="00991256"/>
    <w:rsid w:val="00991258"/>
    <w:rsid w:val="00991264"/>
    <w:rsid w:val="00991279"/>
    <w:rsid w:val="0099129E"/>
    <w:rsid w:val="009912B3"/>
    <w:rsid w:val="009912C4"/>
    <w:rsid w:val="009912D1"/>
    <w:rsid w:val="009912DD"/>
    <w:rsid w:val="00991313"/>
    <w:rsid w:val="00991350"/>
    <w:rsid w:val="00991370"/>
    <w:rsid w:val="009913B0"/>
    <w:rsid w:val="009913F3"/>
    <w:rsid w:val="009913FD"/>
    <w:rsid w:val="00991422"/>
    <w:rsid w:val="00991435"/>
    <w:rsid w:val="009914E2"/>
    <w:rsid w:val="009914EF"/>
    <w:rsid w:val="00991535"/>
    <w:rsid w:val="00991626"/>
    <w:rsid w:val="00991655"/>
    <w:rsid w:val="00991668"/>
    <w:rsid w:val="009916B1"/>
    <w:rsid w:val="0099171A"/>
    <w:rsid w:val="009917C1"/>
    <w:rsid w:val="009917F1"/>
    <w:rsid w:val="00991807"/>
    <w:rsid w:val="00991823"/>
    <w:rsid w:val="00991850"/>
    <w:rsid w:val="00991862"/>
    <w:rsid w:val="009918B4"/>
    <w:rsid w:val="009918E0"/>
    <w:rsid w:val="009918F5"/>
    <w:rsid w:val="0099197A"/>
    <w:rsid w:val="0099199F"/>
    <w:rsid w:val="009919A5"/>
    <w:rsid w:val="009919AC"/>
    <w:rsid w:val="009919D3"/>
    <w:rsid w:val="00991A1C"/>
    <w:rsid w:val="00991A22"/>
    <w:rsid w:val="00991AB0"/>
    <w:rsid w:val="00991B3F"/>
    <w:rsid w:val="00991B63"/>
    <w:rsid w:val="00991B67"/>
    <w:rsid w:val="00991C32"/>
    <w:rsid w:val="00991C36"/>
    <w:rsid w:val="00991C43"/>
    <w:rsid w:val="00991CB2"/>
    <w:rsid w:val="00991CB6"/>
    <w:rsid w:val="00991D49"/>
    <w:rsid w:val="00991D67"/>
    <w:rsid w:val="00991D68"/>
    <w:rsid w:val="00991D6D"/>
    <w:rsid w:val="00991DAD"/>
    <w:rsid w:val="00991DBA"/>
    <w:rsid w:val="00991DE7"/>
    <w:rsid w:val="00991E1B"/>
    <w:rsid w:val="00991E3B"/>
    <w:rsid w:val="00991E63"/>
    <w:rsid w:val="00991ED6"/>
    <w:rsid w:val="00991EEE"/>
    <w:rsid w:val="00991EF3"/>
    <w:rsid w:val="00991F6D"/>
    <w:rsid w:val="00991FAA"/>
    <w:rsid w:val="00991FDF"/>
    <w:rsid w:val="00991FF9"/>
    <w:rsid w:val="00992023"/>
    <w:rsid w:val="0099207C"/>
    <w:rsid w:val="0099209E"/>
    <w:rsid w:val="009920F3"/>
    <w:rsid w:val="0099216A"/>
    <w:rsid w:val="00992185"/>
    <w:rsid w:val="00992204"/>
    <w:rsid w:val="00992217"/>
    <w:rsid w:val="00992220"/>
    <w:rsid w:val="00992276"/>
    <w:rsid w:val="00992290"/>
    <w:rsid w:val="009922A8"/>
    <w:rsid w:val="009922FF"/>
    <w:rsid w:val="00992340"/>
    <w:rsid w:val="0099235D"/>
    <w:rsid w:val="00992414"/>
    <w:rsid w:val="00992434"/>
    <w:rsid w:val="0099244C"/>
    <w:rsid w:val="0099245B"/>
    <w:rsid w:val="00992477"/>
    <w:rsid w:val="00992481"/>
    <w:rsid w:val="009924C1"/>
    <w:rsid w:val="0099258F"/>
    <w:rsid w:val="009925BA"/>
    <w:rsid w:val="0099264C"/>
    <w:rsid w:val="00992742"/>
    <w:rsid w:val="00992976"/>
    <w:rsid w:val="009929AC"/>
    <w:rsid w:val="00992A0E"/>
    <w:rsid w:val="00992A15"/>
    <w:rsid w:val="00992A16"/>
    <w:rsid w:val="00992A9D"/>
    <w:rsid w:val="00992AC1"/>
    <w:rsid w:val="00992B32"/>
    <w:rsid w:val="00992B48"/>
    <w:rsid w:val="00992B77"/>
    <w:rsid w:val="00992B89"/>
    <w:rsid w:val="00992BBD"/>
    <w:rsid w:val="00992BC7"/>
    <w:rsid w:val="00992BC9"/>
    <w:rsid w:val="00992C84"/>
    <w:rsid w:val="00992CCE"/>
    <w:rsid w:val="00992CD9"/>
    <w:rsid w:val="00992DA8"/>
    <w:rsid w:val="00992DC9"/>
    <w:rsid w:val="00992DFF"/>
    <w:rsid w:val="00992E50"/>
    <w:rsid w:val="00992EB7"/>
    <w:rsid w:val="00992F42"/>
    <w:rsid w:val="00992F71"/>
    <w:rsid w:val="00992FAC"/>
    <w:rsid w:val="00992FC4"/>
    <w:rsid w:val="00992FD0"/>
    <w:rsid w:val="00992FDD"/>
    <w:rsid w:val="0099300F"/>
    <w:rsid w:val="00993093"/>
    <w:rsid w:val="00993115"/>
    <w:rsid w:val="00993116"/>
    <w:rsid w:val="00993163"/>
    <w:rsid w:val="00993174"/>
    <w:rsid w:val="0099319E"/>
    <w:rsid w:val="0099325C"/>
    <w:rsid w:val="0099328D"/>
    <w:rsid w:val="009932A2"/>
    <w:rsid w:val="009932B8"/>
    <w:rsid w:val="009932C5"/>
    <w:rsid w:val="009932C8"/>
    <w:rsid w:val="009932D5"/>
    <w:rsid w:val="009932F3"/>
    <w:rsid w:val="00993393"/>
    <w:rsid w:val="0099339F"/>
    <w:rsid w:val="0099347C"/>
    <w:rsid w:val="0099348F"/>
    <w:rsid w:val="009934BC"/>
    <w:rsid w:val="009934DE"/>
    <w:rsid w:val="00993505"/>
    <w:rsid w:val="00993526"/>
    <w:rsid w:val="0099352F"/>
    <w:rsid w:val="0099356B"/>
    <w:rsid w:val="00993608"/>
    <w:rsid w:val="0099364A"/>
    <w:rsid w:val="00993690"/>
    <w:rsid w:val="009936C2"/>
    <w:rsid w:val="0099373A"/>
    <w:rsid w:val="009937D4"/>
    <w:rsid w:val="009937E0"/>
    <w:rsid w:val="00993896"/>
    <w:rsid w:val="009938A5"/>
    <w:rsid w:val="009938CE"/>
    <w:rsid w:val="009938DF"/>
    <w:rsid w:val="009938F3"/>
    <w:rsid w:val="00993909"/>
    <w:rsid w:val="0099394C"/>
    <w:rsid w:val="00993972"/>
    <w:rsid w:val="00993993"/>
    <w:rsid w:val="009939B3"/>
    <w:rsid w:val="00993B45"/>
    <w:rsid w:val="00993B57"/>
    <w:rsid w:val="00993BD1"/>
    <w:rsid w:val="00993BE0"/>
    <w:rsid w:val="00993C39"/>
    <w:rsid w:val="00993CBF"/>
    <w:rsid w:val="00993D14"/>
    <w:rsid w:val="00993D1E"/>
    <w:rsid w:val="00993D7D"/>
    <w:rsid w:val="00993E12"/>
    <w:rsid w:val="00993E3C"/>
    <w:rsid w:val="00993F27"/>
    <w:rsid w:val="00993F6C"/>
    <w:rsid w:val="00993FBC"/>
    <w:rsid w:val="00993FC3"/>
    <w:rsid w:val="00993FC6"/>
    <w:rsid w:val="00994078"/>
    <w:rsid w:val="0099407E"/>
    <w:rsid w:val="009940F1"/>
    <w:rsid w:val="00994136"/>
    <w:rsid w:val="0099413B"/>
    <w:rsid w:val="0099414F"/>
    <w:rsid w:val="009941AE"/>
    <w:rsid w:val="00994237"/>
    <w:rsid w:val="00994282"/>
    <w:rsid w:val="0099428C"/>
    <w:rsid w:val="009942F3"/>
    <w:rsid w:val="00994314"/>
    <w:rsid w:val="00994386"/>
    <w:rsid w:val="009943E3"/>
    <w:rsid w:val="009943EA"/>
    <w:rsid w:val="00994419"/>
    <w:rsid w:val="00994429"/>
    <w:rsid w:val="00994455"/>
    <w:rsid w:val="00994462"/>
    <w:rsid w:val="009944A0"/>
    <w:rsid w:val="009944D3"/>
    <w:rsid w:val="009944F2"/>
    <w:rsid w:val="009944F6"/>
    <w:rsid w:val="00994527"/>
    <w:rsid w:val="0099453A"/>
    <w:rsid w:val="0099457E"/>
    <w:rsid w:val="009945C4"/>
    <w:rsid w:val="009945EE"/>
    <w:rsid w:val="00994632"/>
    <w:rsid w:val="00994690"/>
    <w:rsid w:val="009946C0"/>
    <w:rsid w:val="00994728"/>
    <w:rsid w:val="009947B5"/>
    <w:rsid w:val="009947BC"/>
    <w:rsid w:val="0099482A"/>
    <w:rsid w:val="0099482D"/>
    <w:rsid w:val="0099483B"/>
    <w:rsid w:val="0099485D"/>
    <w:rsid w:val="00994865"/>
    <w:rsid w:val="009948E0"/>
    <w:rsid w:val="009948F7"/>
    <w:rsid w:val="00994927"/>
    <w:rsid w:val="00994929"/>
    <w:rsid w:val="00994939"/>
    <w:rsid w:val="00994942"/>
    <w:rsid w:val="00994983"/>
    <w:rsid w:val="0099499E"/>
    <w:rsid w:val="009949B0"/>
    <w:rsid w:val="009949BA"/>
    <w:rsid w:val="009949BE"/>
    <w:rsid w:val="009949C0"/>
    <w:rsid w:val="00994AB8"/>
    <w:rsid w:val="00994AC4"/>
    <w:rsid w:val="00994AF5"/>
    <w:rsid w:val="00994B45"/>
    <w:rsid w:val="00994B8E"/>
    <w:rsid w:val="00994B9B"/>
    <w:rsid w:val="00994BFB"/>
    <w:rsid w:val="00994C03"/>
    <w:rsid w:val="00994C2D"/>
    <w:rsid w:val="00994D29"/>
    <w:rsid w:val="00994D41"/>
    <w:rsid w:val="00994D79"/>
    <w:rsid w:val="00994DA0"/>
    <w:rsid w:val="00994DE1"/>
    <w:rsid w:val="00994E40"/>
    <w:rsid w:val="00994E7C"/>
    <w:rsid w:val="00994EA9"/>
    <w:rsid w:val="00994EAA"/>
    <w:rsid w:val="00994EF1"/>
    <w:rsid w:val="00994F53"/>
    <w:rsid w:val="00994F55"/>
    <w:rsid w:val="00994F77"/>
    <w:rsid w:val="00994F7F"/>
    <w:rsid w:val="00994FE5"/>
    <w:rsid w:val="00995000"/>
    <w:rsid w:val="009950AE"/>
    <w:rsid w:val="0099511A"/>
    <w:rsid w:val="0099511B"/>
    <w:rsid w:val="0099511D"/>
    <w:rsid w:val="009951FD"/>
    <w:rsid w:val="00995255"/>
    <w:rsid w:val="009952CC"/>
    <w:rsid w:val="00995350"/>
    <w:rsid w:val="009954F9"/>
    <w:rsid w:val="009954FA"/>
    <w:rsid w:val="00995553"/>
    <w:rsid w:val="0099559B"/>
    <w:rsid w:val="009955D7"/>
    <w:rsid w:val="009955DB"/>
    <w:rsid w:val="00995615"/>
    <w:rsid w:val="00995662"/>
    <w:rsid w:val="00995683"/>
    <w:rsid w:val="009956A0"/>
    <w:rsid w:val="009956B5"/>
    <w:rsid w:val="00995738"/>
    <w:rsid w:val="00995781"/>
    <w:rsid w:val="009957A6"/>
    <w:rsid w:val="009957A8"/>
    <w:rsid w:val="009957FE"/>
    <w:rsid w:val="00995816"/>
    <w:rsid w:val="0099582A"/>
    <w:rsid w:val="0099583C"/>
    <w:rsid w:val="00995877"/>
    <w:rsid w:val="0099588E"/>
    <w:rsid w:val="009958E0"/>
    <w:rsid w:val="00995928"/>
    <w:rsid w:val="009959C3"/>
    <w:rsid w:val="009959D2"/>
    <w:rsid w:val="00995A2D"/>
    <w:rsid w:val="00995A2E"/>
    <w:rsid w:val="00995A4D"/>
    <w:rsid w:val="00995A6E"/>
    <w:rsid w:val="00995A9C"/>
    <w:rsid w:val="00995AAA"/>
    <w:rsid w:val="00995AC1"/>
    <w:rsid w:val="00995B11"/>
    <w:rsid w:val="00995B21"/>
    <w:rsid w:val="00995B66"/>
    <w:rsid w:val="00995B83"/>
    <w:rsid w:val="00995B8C"/>
    <w:rsid w:val="00995C6A"/>
    <w:rsid w:val="00995C75"/>
    <w:rsid w:val="00995CF9"/>
    <w:rsid w:val="00995D15"/>
    <w:rsid w:val="00995D4B"/>
    <w:rsid w:val="00995D7D"/>
    <w:rsid w:val="00995D7E"/>
    <w:rsid w:val="00995E12"/>
    <w:rsid w:val="00995E1B"/>
    <w:rsid w:val="00995E54"/>
    <w:rsid w:val="00995E82"/>
    <w:rsid w:val="00995E94"/>
    <w:rsid w:val="00995EAB"/>
    <w:rsid w:val="00995F32"/>
    <w:rsid w:val="00995F3D"/>
    <w:rsid w:val="00995FC1"/>
    <w:rsid w:val="00996077"/>
    <w:rsid w:val="0099607A"/>
    <w:rsid w:val="00996090"/>
    <w:rsid w:val="0099609B"/>
    <w:rsid w:val="0099609E"/>
    <w:rsid w:val="009960B7"/>
    <w:rsid w:val="00996133"/>
    <w:rsid w:val="00996171"/>
    <w:rsid w:val="00996212"/>
    <w:rsid w:val="00996277"/>
    <w:rsid w:val="0099628D"/>
    <w:rsid w:val="00996304"/>
    <w:rsid w:val="0099632B"/>
    <w:rsid w:val="0099637E"/>
    <w:rsid w:val="00996408"/>
    <w:rsid w:val="00996448"/>
    <w:rsid w:val="00996457"/>
    <w:rsid w:val="009964D4"/>
    <w:rsid w:val="00996512"/>
    <w:rsid w:val="0099652C"/>
    <w:rsid w:val="00996565"/>
    <w:rsid w:val="00996576"/>
    <w:rsid w:val="009965A8"/>
    <w:rsid w:val="00996624"/>
    <w:rsid w:val="00996642"/>
    <w:rsid w:val="00996687"/>
    <w:rsid w:val="009966B9"/>
    <w:rsid w:val="009966F5"/>
    <w:rsid w:val="0099672E"/>
    <w:rsid w:val="00996756"/>
    <w:rsid w:val="0099675C"/>
    <w:rsid w:val="00996761"/>
    <w:rsid w:val="0099679F"/>
    <w:rsid w:val="009967A2"/>
    <w:rsid w:val="009967A6"/>
    <w:rsid w:val="00996807"/>
    <w:rsid w:val="00996821"/>
    <w:rsid w:val="00996826"/>
    <w:rsid w:val="009968A9"/>
    <w:rsid w:val="009968BC"/>
    <w:rsid w:val="009968C8"/>
    <w:rsid w:val="00996916"/>
    <w:rsid w:val="00996941"/>
    <w:rsid w:val="00996A08"/>
    <w:rsid w:val="00996A0B"/>
    <w:rsid w:val="00996AC6"/>
    <w:rsid w:val="00996B54"/>
    <w:rsid w:val="00996B60"/>
    <w:rsid w:val="00996BF4"/>
    <w:rsid w:val="00996BF8"/>
    <w:rsid w:val="00996C12"/>
    <w:rsid w:val="00996C9E"/>
    <w:rsid w:val="00996CA5"/>
    <w:rsid w:val="00996CAA"/>
    <w:rsid w:val="00996CB0"/>
    <w:rsid w:val="00996D84"/>
    <w:rsid w:val="00996DB7"/>
    <w:rsid w:val="00996E3D"/>
    <w:rsid w:val="00996F2E"/>
    <w:rsid w:val="00996F31"/>
    <w:rsid w:val="00996F42"/>
    <w:rsid w:val="00996F68"/>
    <w:rsid w:val="00996F93"/>
    <w:rsid w:val="00996F9A"/>
    <w:rsid w:val="00996FA6"/>
    <w:rsid w:val="00996FD9"/>
    <w:rsid w:val="00996FE9"/>
    <w:rsid w:val="00996FF3"/>
    <w:rsid w:val="00997010"/>
    <w:rsid w:val="0099702A"/>
    <w:rsid w:val="0099703E"/>
    <w:rsid w:val="00997044"/>
    <w:rsid w:val="0099705A"/>
    <w:rsid w:val="009970DA"/>
    <w:rsid w:val="009970FE"/>
    <w:rsid w:val="00997106"/>
    <w:rsid w:val="00997230"/>
    <w:rsid w:val="00997245"/>
    <w:rsid w:val="009972F9"/>
    <w:rsid w:val="00997381"/>
    <w:rsid w:val="009973D0"/>
    <w:rsid w:val="009973D8"/>
    <w:rsid w:val="0099741D"/>
    <w:rsid w:val="00997424"/>
    <w:rsid w:val="0099745D"/>
    <w:rsid w:val="0099749F"/>
    <w:rsid w:val="009974BE"/>
    <w:rsid w:val="00997516"/>
    <w:rsid w:val="00997527"/>
    <w:rsid w:val="0099757B"/>
    <w:rsid w:val="00997593"/>
    <w:rsid w:val="009975AC"/>
    <w:rsid w:val="009975D2"/>
    <w:rsid w:val="009975D8"/>
    <w:rsid w:val="009975E4"/>
    <w:rsid w:val="009975FA"/>
    <w:rsid w:val="00997643"/>
    <w:rsid w:val="009976A2"/>
    <w:rsid w:val="009976BB"/>
    <w:rsid w:val="009976D8"/>
    <w:rsid w:val="00997700"/>
    <w:rsid w:val="0099771D"/>
    <w:rsid w:val="00997738"/>
    <w:rsid w:val="009977F8"/>
    <w:rsid w:val="00997851"/>
    <w:rsid w:val="0099787A"/>
    <w:rsid w:val="009978F5"/>
    <w:rsid w:val="00997946"/>
    <w:rsid w:val="0099796A"/>
    <w:rsid w:val="009979BF"/>
    <w:rsid w:val="009979FA"/>
    <w:rsid w:val="00997A45"/>
    <w:rsid w:val="00997A56"/>
    <w:rsid w:val="00997A9C"/>
    <w:rsid w:val="00997AA2"/>
    <w:rsid w:val="00997ACC"/>
    <w:rsid w:val="00997B12"/>
    <w:rsid w:val="00997B54"/>
    <w:rsid w:val="00997BA8"/>
    <w:rsid w:val="00997C6B"/>
    <w:rsid w:val="00997DCC"/>
    <w:rsid w:val="00997DE0"/>
    <w:rsid w:val="00997DF7"/>
    <w:rsid w:val="00997E12"/>
    <w:rsid w:val="00997E38"/>
    <w:rsid w:val="00997E80"/>
    <w:rsid w:val="00997E95"/>
    <w:rsid w:val="00997EDC"/>
    <w:rsid w:val="00997EE0"/>
    <w:rsid w:val="00997EEC"/>
    <w:rsid w:val="00997F38"/>
    <w:rsid w:val="00997FDC"/>
    <w:rsid w:val="009A001E"/>
    <w:rsid w:val="009A00AF"/>
    <w:rsid w:val="009A00BA"/>
    <w:rsid w:val="009A0109"/>
    <w:rsid w:val="009A0114"/>
    <w:rsid w:val="009A0120"/>
    <w:rsid w:val="009A0157"/>
    <w:rsid w:val="009A01CC"/>
    <w:rsid w:val="009A01CE"/>
    <w:rsid w:val="009A0223"/>
    <w:rsid w:val="009A0231"/>
    <w:rsid w:val="009A027D"/>
    <w:rsid w:val="009A02B8"/>
    <w:rsid w:val="009A0367"/>
    <w:rsid w:val="009A0397"/>
    <w:rsid w:val="009A0418"/>
    <w:rsid w:val="009A0458"/>
    <w:rsid w:val="009A04B5"/>
    <w:rsid w:val="009A04F0"/>
    <w:rsid w:val="009A050E"/>
    <w:rsid w:val="009A05E4"/>
    <w:rsid w:val="009A05F6"/>
    <w:rsid w:val="009A0604"/>
    <w:rsid w:val="009A069C"/>
    <w:rsid w:val="009A06C6"/>
    <w:rsid w:val="009A06DA"/>
    <w:rsid w:val="009A06F5"/>
    <w:rsid w:val="009A0722"/>
    <w:rsid w:val="009A0723"/>
    <w:rsid w:val="009A0783"/>
    <w:rsid w:val="009A07FB"/>
    <w:rsid w:val="009A0826"/>
    <w:rsid w:val="009A0841"/>
    <w:rsid w:val="009A0846"/>
    <w:rsid w:val="009A0879"/>
    <w:rsid w:val="009A0900"/>
    <w:rsid w:val="009A0908"/>
    <w:rsid w:val="009A094A"/>
    <w:rsid w:val="009A098E"/>
    <w:rsid w:val="009A09EC"/>
    <w:rsid w:val="009A0AA8"/>
    <w:rsid w:val="009A0AAE"/>
    <w:rsid w:val="009A0B09"/>
    <w:rsid w:val="009A0B1C"/>
    <w:rsid w:val="009A0B54"/>
    <w:rsid w:val="009A0BB0"/>
    <w:rsid w:val="009A0BC2"/>
    <w:rsid w:val="009A0BF1"/>
    <w:rsid w:val="009A0BF5"/>
    <w:rsid w:val="009A0C06"/>
    <w:rsid w:val="009A0C0A"/>
    <w:rsid w:val="009A0C31"/>
    <w:rsid w:val="009A0C86"/>
    <w:rsid w:val="009A0D02"/>
    <w:rsid w:val="009A0D85"/>
    <w:rsid w:val="009A0D9D"/>
    <w:rsid w:val="009A0DA6"/>
    <w:rsid w:val="009A0DCE"/>
    <w:rsid w:val="009A0DFD"/>
    <w:rsid w:val="009A0E5C"/>
    <w:rsid w:val="009A0EA3"/>
    <w:rsid w:val="009A0EC5"/>
    <w:rsid w:val="009A0F1C"/>
    <w:rsid w:val="009A0F2E"/>
    <w:rsid w:val="009A0FEC"/>
    <w:rsid w:val="009A1140"/>
    <w:rsid w:val="009A115A"/>
    <w:rsid w:val="009A1174"/>
    <w:rsid w:val="009A1194"/>
    <w:rsid w:val="009A11A0"/>
    <w:rsid w:val="009A11C4"/>
    <w:rsid w:val="009A120D"/>
    <w:rsid w:val="009A1219"/>
    <w:rsid w:val="009A12A9"/>
    <w:rsid w:val="009A12BD"/>
    <w:rsid w:val="009A1343"/>
    <w:rsid w:val="009A1375"/>
    <w:rsid w:val="009A1394"/>
    <w:rsid w:val="009A13DB"/>
    <w:rsid w:val="009A13F3"/>
    <w:rsid w:val="009A1427"/>
    <w:rsid w:val="009A14D5"/>
    <w:rsid w:val="009A14E8"/>
    <w:rsid w:val="009A14F4"/>
    <w:rsid w:val="009A1514"/>
    <w:rsid w:val="009A151C"/>
    <w:rsid w:val="009A15BD"/>
    <w:rsid w:val="009A1602"/>
    <w:rsid w:val="009A163B"/>
    <w:rsid w:val="009A1646"/>
    <w:rsid w:val="009A16EB"/>
    <w:rsid w:val="009A171E"/>
    <w:rsid w:val="009A171F"/>
    <w:rsid w:val="009A1758"/>
    <w:rsid w:val="009A177A"/>
    <w:rsid w:val="009A17C4"/>
    <w:rsid w:val="009A17FB"/>
    <w:rsid w:val="009A180C"/>
    <w:rsid w:val="009A1839"/>
    <w:rsid w:val="009A186C"/>
    <w:rsid w:val="009A1884"/>
    <w:rsid w:val="009A1889"/>
    <w:rsid w:val="009A18A7"/>
    <w:rsid w:val="009A18E5"/>
    <w:rsid w:val="009A195E"/>
    <w:rsid w:val="009A1967"/>
    <w:rsid w:val="009A198F"/>
    <w:rsid w:val="009A1999"/>
    <w:rsid w:val="009A19EC"/>
    <w:rsid w:val="009A1A36"/>
    <w:rsid w:val="009A1AF2"/>
    <w:rsid w:val="009A1B2D"/>
    <w:rsid w:val="009A1B73"/>
    <w:rsid w:val="009A1B88"/>
    <w:rsid w:val="009A1BE4"/>
    <w:rsid w:val="009A1BE6"/>
    <w:rsid w:val="009A1BF0"/>
    <w:rsid w:val="009A1C44"/>
    <w:rsid w:val="009A1C61"/>
    <w:rsid w:val="009A1D91"/>
    <w:rsid w:val="009A1E26"/>
    <w:rsid w:val="009A1E2A"/>
    <w:rsid w:val="009A1EF8"/>
    <w:rsid w:val="009A1F04"/>
    <w:rsid w:val="009A1F2B"/>
    <w:rsid w:val="009A1F8A"/>
    <w:rsid w:val="009A1F9C"/>
    <w:rsid w:val="009A1FB4"/>
    <w:rsid w:val="009A1FE9"/>
    <w:rsid w:val="009A2013"/>
    <w:rsid w:val="009A2072"/>
    <w:rsid w:val="009A2073"/>
    <w:rsid w:val="009A2092"/>
    <w:rsid w:val="009A20A0"/>
    <w:rsid w:val="009A20B9"/>
    <w:rsid w:val="009A20C6"/>
    <w:rsid w:val="009A20E8"/>
    <w:rsid w:val="009A2124"/>
    <w:rsid w:val="009A21A4"/>
    <w:rsid w:val="009A2246"/>
    <w:rsid w:val="009A226D"/>
    <w:rsid w:val="009A227F"/>
    <w:rsid w:val="009A229B"/>
    <w:rsid w:val="009A2333"/>
    <w:rsid w:val="009A2372"/>
    <w:rsid w:val="009A2375"/>
    <w:rsid w:val="009A23A1"/>
    <w:rsid w:val="009A2496"/>
    <w:rsid w:val="009A24C0"/>
    <w:rsid w:val="009A24C4"/>
    <w:rsid w:val="009A24FC"/>
    <w:rsid w:val="009A252D"/>
    <w:rsid w:val="009A255C"/>
    <w:rsid w:val="009A2575"/>
    <w:rsid w:val="009A2580"/>
    <w:rsid w:val="009A25F1"/>
    <w:rsid w:val="009A26FB"/>
    <w:rsid w:val="009A26FD"/>
    <w:rsid w:val="009A273E"/>
    <w:rsid w:val="009A27DC"/>
    <w:rsid w:val="009A286B"/>
    <w:rsid w:val="009A2A49"/>
    <w:rsid w:val="009A2A4E"/>
    <w:rsid w:val="009A2A9F"/>
    <w:rsid w:val="009A2AB0"/>
    <w:rsid w:val="009A2AF0"/>
    <w:rsid w:val="009A2B0E"/>
    <w:rsid w:val="009A2BA6"/>
    <w:rsid w:val="009A2BB8"/>
    <w:rsid w:val="009A2C4D"/>
    <w:rsid w:val="009A2D46"/>
    <w:rsid w:val="009A2D5A"/>
    <w:rsid w:val="009A2DA1"/>
    <w:rsid w:val="009A2DA2"/>
    <w:rsid w:val="009A2DC6"/>
    <w:rsid w:val="009A2DDB"/>
    <w:rsid w:val="009A2E28"/>
    <w:rsid w:val="009A2E43"/>
    <w:rsid w:val="009A2EDE"/>
    <w:rsid w:val="009A2F82"/>
    <w:rsid w:val="009A2FBD"/>
    <w:rsid w:val="009A2FC5"/>
    <w:rsid w:val="009A3004"/>
    <w:rsid w:val="009A3047"/>
    <w:rsid w:val="009A306E"/>
    <w:rsid w:val="009A309A"/>
    <w:rsid w:val="009A30D8"/>
    <w:rsid w:val="009A3105"/>
    <w:rsid w:val="009A311F"/>
    <w:rsid w:val="009A31B8"/>
    <w:rsid w:val="009A31E5"/>
    <w:rsid w:val="009A321A"/>
    <w:rsid w:val="009A3289"/>
    <w:rsid w:val="009A32C2"/>
    <w:rsid w:val="009A32FB"/>
    <w:rsid w:val="009A3305"/>
    <w:rsid w:val="009A33E6"/>
    <w:rsid w:val="009A3427"/>
    <w:rsid w:val="009A3440"/>
    <w:rsid w:val="009A34A6"/>
    <w:rsid w:val="009A34BE"/>
    <w:rsid w:val="009A350F"/>
    <w:rsid w:val="009A3519"/>
    <w:rsid w:val="009A3587"/>
    <w:rsid w:val="009A3588"/>
    <w:rsid w:val="009A3597"/>
    <w:rsid w:val="009A35A4"/>
    <w:rsid w:val="009A3656"/>
    <w:rsid w:val="009A368C"/>
    <w:rsid w:val="009A36D0"/>
    <w:rsid w:val="009A36EC"/>
    <w:rsid w:val="009A3725"/>
    <w:rsid w:val="009A3738"/>
    <w:rsid w:val="009A374E"/>
    <w:rsid w:val="009A380A"/>
    <w:rsid w:val="009A3826"/>
    <w:rsid w:val="009A3846"/>
    <w:rsid w:val="009A387F"/>
    <w:rsid w:val="009A3890"/>
    <w:rsid w:val="009A38A7"/>
    <w:rsid w:val="009A38BE"/>
    <w:rsid w:val="009A3900"/>
    <w:rsid w:val="009A392C"/>
    <w:rsid w:val="009A39B8"/>
    <w:rsid w:val="009A39C1"/>
    <w:rsid w:val="009A39F8"/>
    <w:rsid w:val="009A3A9C"/>
    <w:rsid w:val="009A3AEA"/>
    <w:rsid w:val="009A3AF6"/>
    <w:rsid w:val="009A3B71"/>
    <w:rsid w:val="009A3B7A"/>
    <w:rsid w:val="009A3BBF"/>
    <w:rsid w:val="009A3C25"/>
    <w:rsid w:val="009A3D38"/>
    <w:rsid w:val="009A3DD7"/>
    <w:rsid w:val="009A3DE5"/>
    <w:rsid w:val="009A3E7B"/>
    <w:rsid w:val="009A3E7E"/>
    <w:rsid w:val="009A3E81"/>
    <w:rsid w:val="009A3EB5"/>
    <w:rsid w:val="009A3ECB"/>
    <w:rsid w:val="009A3F02"/>
    <w:rsid w:val="009A3F30"/>
    <w:rsid w:val="009A3F46"/>
    <w:rsid w:val="009A3F4F"/>
    <w:rsid w:val="009A3FAA"/>
    <w:rsid w:val="009A3FE6"/>
    <w:rsid w:val="009A4008"/>
    <w:rsid w:val="009A401E"/>
    <w:rsid w:val="009A4038"/>
    <w:rsid w:val="009A406F"/>
    <w:rsid w:val="009A4114"/>
    <w:rsid w:val="009A4121"/>
    <w:rsid w:val="009A4138"/>
    <w:rsid w:val="009A419B"/>
    <w:rsid w:val="009A41ED"/>
    <w:rsid w:val="009A41F2"/>
    <w:rsid w:val="009A430C"/>
    <w:rsid w:val="009A4316"/>
    <w:rsid w:val="009A43A1"/>
    <w:rsid w:val="009A4439"/>
    <w:rsid w:val="009A443E"/>
    <w:rsid w:val="009A447F"/>
    <w:rsid w:val="009A44E3"/>
    <w:rsid w:val="009A457B"/>
    <w:rsid w:val="009A45C8"/>
    <w:rsid w:val="009A45FD"/>
    <w:rsid w:val="009A4613"/>
    <w:rsid w:val="009A4623"/>
    <w:rsid w:val="009A46A2"/>
    <w:rsid w:val="009A46A5"/>
    <w:rsid w:val="009A46AE"/>
    <w:rsid w:val="009A46C0"/>
    <w:rsid w:val="009A47E9"/>
    <w:rsid w:val="009A481B"/>
    <w:rsid w:val="009A48AC"/>
    <w:rsid w:val="009A4925"/>
    <w:rsid w:val="009A4928"/>
    <w:rsid w:val="009A492A"/>
    <w:rsid w:val="009A496C"/>
    <w:rsid w:val="009A497B"/>
    <w:rsid w:val="009A499C"/>
    <w:rsid w:val="009A49C3"/>
    <w:rsid w:val="009A49CF"/>
    <w:rsid w:val="009A4A28"/>
    <w:rsid w:val="009A4B45"/>
    <w:rsid w:val="009A4B62"/>
    <w:rsid w:val="009A4C22"/>
    <w:rsid w:val="009A4C52"/>
    <w:rsid w:val="009A4C6D"/>
    <w:rsid w:val="009A4C6E"/>
    <w:rsid w:val="009A4D17"/>
    <w:rsid w:val="009A4D1B"/>
    <w:rsid w:val="009A4D28"/>
    <w:rsid w:val="009A4D49"/>
    <w:rsid w:val="009A4D82"/>
    <w:rsid w:val="009A4D8C"/>
    <w:rsid w:val="009A4DE7"/>
    <w:rsid w:val="009A4DEE"/>
    <w:rsid w:val="009A4E19"/>
    <w:rsid w:val="009A4E4F"/>
    <w:rsid w:val="009A4E9A"/>
    <w:rsid w:val="009A4ECA"/>
    <w:rsid w:val="009A4F0E"/>
    <w:rsid w:val="009A4F54"/>
    <w:rsid w:val="009A4F9D"/>
    <w:rsid w:val="009A4FC4"/>
    <w:rsid w:val="009A4FCC"/>
    <w:rsid w:val="009A505F"/>
    <w:rsid w:val="009A5068"/>
    <w:rsid w:val="009A508C"/>
    <w:rsid w:val="009A50AD"/>
    <w:rsid w:val="009A511F"/>
    <w:rsid w:val="009A517C"/>
    <w:rsid w:val="009A51AC"/>
    <w:rsid w:val="009A51D4"/>
    <w:rsid w:val="009A51FC"/>
    <w:rsid w:val="009A5296"/>
    <w:rsid w:val="009A52DB"/>
    <w:rsid w:val="009A52FD"/>
    <w:rsid w:val="009A530C"/>
    <w:rsid w:val="009A531B"/>
    <w:rsid w:val="009A5407"/>
    <w:rsid w:val="009A5449"/>
    <w:rsid w:val="009A552F"/>
    <w:rsid w:val="009A553A"/>
    <w:rsid w:val="009A55C0"/>
    <w:rsid w:val="009A55F3"/>
    <w:rsid w:val="009A561B"/>
    <w:rsid w:val="009A5620"/>
    <w:rsid w:val="009A56F7"/>
    <w:rsid w:val="009A5711"/>
    <w:rsid w:val="009A572E"/>
    <w:rsid w:val="009A575C"/>
    <w:rsid w:val="009A5772"/>
    <w:rsid w:val="009A577F"/>
    <w:rsid w:val="009A579F"/>
    <w:rsid w:val="009A57FC"/>
    <w:rsid w:val="009A5807"/>
    <w:rsid w:val="009A58CC"/>
    <w:rsid w:val="009A58F4"/>
    <w:rsid w:val="009A5916"/>
    <w:rsid w:val="009A5940"/>
    <w:rsid w:val="009A59C6"/>
    <w:rsid w:val="009A5A0F"/>
    <w:rsid w:val="009A5ACC"/>
    <w:rsid w:val="009A5ACD"/>
    <w:rsid w:val="009A5AEB"/>
    <w:rsid w:val="009A5B59"/>
    <w:rsid w:val="009A5B65"/>
    <w:rsid w:val="009A5B70"/>
    <w:rsid w:val="009A5BE7"/>
    <w:rsid w:val="009A5C06"/>
    <w:rsid w:val="009A5C16"/>
    <w:rsid w:val="009A5C36"/>
    <w:rsid w:val="009A5CBC"/>
    <w:rsid w:val="009A5D22"/>
    <w:rsid w:val="009A5DA8"/>
    <w:rsid w:val="009A5DB5"/>
    <w:rsid w:val="009A5E4B"/>
    <w:rsid w:val="009A5E87"/>
    <w:rsid w:val="009A5EC0"/>
    <w:rsid w:val="009A5EF3"/>
    <w:rsid w:val="009A5F3D"/>
    <w:rsid w:val="009A5F4F"/>
    <w:rsid w:val="009A5F5C"/>
    <w:rsid w:val="009A5F7E"/>
    <w:rsid w:val="009A5FC6"/>
    <w:rsid w:val="009A5FCB"/>
    <w:rsid w:val="009A5FDD"/>
    <w:rsid w:val="009A5FF3"/>
    <w:rsid w:val="009A5FF5"/>
    <w:rsid w:val="009A6073"/>
    <w:rsid w:val="009A6088"/>
    <w:rsid w:val="009A60C3"/>
    <w:rsid w:val="009A60F7"/>
    <w:rsid w:val="009A6120"/>
    <w:rsid w:val="009A6185"/>
    <w:rsid w:val="009A61AA"/>
    <w:rsid w:val="009A61BF"/>
    <w:rsid w:val="009A620D"/>
    <w:rsid w:val="009A6227"/>
    <w:rsid w:val="009A62A3"/>
    <w:rsid w:val="009A62E9"/>
    <w:rsid w:val="009A6350"/>
    <w:rsid w:val="009A6385"/>
    <w:rsid w:val="009A63B7"/>
    <w:rsid w:val="009A63ED"/>
    <w:rsid w:val="009A6422"/>
    <w:rsid w:val="009A642A"/>
    <w:rsid w:val="009A6443"/>
    <w:rsid w:val="009A6447"/>
    <w:rsid w:val="009A6448"/>
    <w:rsid w:val="009A6457"/>
    <w:rsid w:val="009A6481"/>
    <w:rsid w:val="009A648A"/>
    <w:rsid w:val="009A64DD"/>
    <w:rsid w:val="009A65D4"/>
    <w:rsid w:val="009A6605"/>
    <w:rsid w:val="009A664D"/>
    <w:rsid w:val="009A665B"/>
    <w:rsid w:val="009A665E"/>
    <w:rsid w:val="009A6679"/>
    <w:rsid w:val="009A6696"/>
    <w:rsid w:val="009A66FF"/>
    <w:rsid w:val="009A6763"/>
    <w:rsid w:val="009A67B3"/>
    <w:rsid w:val="009A67DF"/>
    <w:rsid w:val="009A67E0"/>
    <w:rsid w:val="009A67E7"/>
    <w:rsid w:val="009A6857"/>
    <w:rsid w:val="009A68D2"/>
    <w:rsid w:val="009A68E3"/>
    <w:rsid w:val="009A6909"/>
    <w:rsid w:val="009A6917"/>
    <w:rsid w:val="009A691A"/>
    <w:rsid w:val="009A6944"/>
    <w:rsid w:val="009A695E"/>
    <w:rsid w:val="009A6981"/>
    <w:rsid w:val="009A699C"/>
    <w:rsid w:val="009A69C1"/>
    <w:rsid w:val="009A6A12"/>
    <w:rsid w:val="009A6A6D"/>
    <w:rsid w:val="009A6A82"/>
    <w:rsid w:val="009A6ADF"/>
    <w:rsid w:val="009A6AF1"/>
    <w:rsid w:val="009A6B0D"/>
    <w:rsid w:val="009A6B33"/>
    <w:rsid w:val="009A6B88"/>
    <w:rsid w:val="009A6BE8"/>
    <w:rsid w:val="009A6BFA"/>
    <w:rsid w:val="009A6C0D"/>
    <w:rsid w:val="009A6C77"/>
    <w:rsid w:val="009A6CEB"/>
    <w:rsid w:val="009A6D04"/>
    <w:rsid w:val="009A6D78"/>
    <w:rsid w:val="009A6D89"/>
    <w:rsid w:val="009A6D9F"/>
    <w:rsid w:val="009A6DCF"/>
    <w:rsid w:val="009A6E78"/>
    <w:rsid w:val="009A6E98"/>
    <w:rsid w:val="009A6F20"/>
    <w:rsid w:val="009A6F3B"/>
    <w:rsid w:val="009A6F3D"/>
    <w:rsid w:val="009A6F46"/>
    <w:rsid w:val="009A6F56"/>
    <w:rsid w:val="009A6F7E"/>
    <w:rsid w:val="009A700A"/>
    <w:rsid w:val="009A7014"/>
    <w:rsid w:val="009A7015"/>
    <w:rsid w:val="009A705B"/>
    <w:rsid w:val="009A70EF"/>
    <w:rsid w:val="009A7111"/>
    <w:rsid w:val="009A726B"/>
    <w:rsid w:val="009A72B9"/>
    <w:rsid w:val="009A72C5"/>
    <w:rsid w:val="009A7305"/>
    <w:rsid w:val="009A7326"/>
    <w:rsid w:val="009A7339"/>
    <w:rsid w:val="009A7379"/>
    <w:rsid w:val="009A73AC"/>
    <w:rsid w:val="009A73B4"/>
    <w:rsid w:val="009A73D5"/>
    <w:rsid w:val="009A73E1"/>
    <w:rsid w:val="009A7419"/>
    <w:rsid w:val="009A7431"/>
    <w:rsid w:val="009A7497"/>
    <w:rsid w:val="009A74A1"/>
    <w:rsid w:val="009A74AC"/>
    <w:rsid w:val="009A7550"/>
    <w:rsid w:val="009A7553"/>
    <w:rsid w:val="009A7555"/>
    <w:rsid w:val="009A756E"/>
    <w:rsid w:val="009A75EF"/>
    <w:rsid w:val="009A75FA"/>
    <w:rsid w:val="009A7666"/>
    <w:rsid w:val="009A7673"/>
    <w:rsid w:val="009A76F9"/>
    <w:rsid w:val="009A7745"/>
    <w:rsid w:val="009A777E"/>
    <w:rsid w:val="009A7891"/>
    <w:rsid w:val="009A78C3"/>
    <w:rsid w:val="009A78D1"/>
    <w:rsid w:val="009A796D"/>
    <w:rsid w:val="009A79E0"/>
    <w:rsid w:val="009A79F7"/>
    <w:rsid w:val="009A7A53"/>
    <w:rsid w:val="009A7A95"/>
    <w:rsid w:val="009A7B1F"/>
    <w:rsid w:val="009A7B20"/>
    <w:rsid w:val="009A7B4B"/>
    <w:rsid w:val="009A7B50"/>
    <w:rsid w:val="009A7B96"/>
    <w:rsid w:val="009A7BC0"/>
    <w:rsid w:val="009A7BF5"/>
    <w:rsid w:val="009A7BFE"/>
    <w:rsid w:val="009A7C62"/>
    <w:rsid w:val="009A7C7B"/>
    <w:rsid w:val="009A7CA6"/>
    <w:rsid w:val="009A7CAC"/>
    <w:rsid w:val="009A7CE4"/>
    <w:rsid w:val="009A7CEC"/>
    <w:rsid w:val="009A7CF6"/>
    <w:rsid w:val="009A7CFB"/>
    <w:rsid w:val="009A7D56"/>
    <w:rsid w:val="009A7D98"/>
    <w:rsid w:val="009A7DDB"/>
    <w:rsid w:val="009A7DE6"/>
    <w:rsid w:val="009A7DFD"/>
    <w:rsid w:val="009A7E2B"/>
    <w:rsid w:val="009A7E8E"/>
    <w:rsid w:val="009A7EB0"/>
    <w:rsid w:val="009A7EBD"/>
    <w:rsid w:val="009A7ECF"/>
    <w:rsid w:val="009A7EDD"/>
    <w:rsid w:val="009A7F0D"/>
    <w:rsid w:val="009A7F10"/>
    <w:rsid w:val="009A7FC2"/>
    <w:rsid w:val="009A7FD9"/>
    <w:rsid w:val="009A7FDA"/>
    <w:rsid w:val="009B004B"/>
    <w:rsid w:val="009B004F"/>
    <w:rsid w:val="009B0057"/>
    <w:rsid w:val="009B00A1"/>
    <w:rsid w:val="009B00B0"/>
    <w:rsid w:val="009B016B"/>
    <w:rsid w:val="009B0174"/>
    <w:rsid w:val="009B0196"/>
    <w:rsid w:val="009B01B0"/>
    <w:rsid w:val="009B01FF"/>
    <w:rsid w:val="009B020F"/>
    <w:rsid w:val="009B026F"/>
    <w:rsid w:val="009B0274"/>
    <w:rsid w:val="009B0291"/>
    <w:rsid w:val="009B02C3"/>
    <w:rsid w:val="009B02F8"/>
    <w:rsid w:val="009B030D"/>
    <w:rsid w:val="009B032B"/>
    <w:rsid w:val="009B0380"/>
    <w:rsid w:val="009B03F1"/>
    <w:rsid w:val="009B045C"/>
    <w:rsid w:val="009B0485"/>
    <w:rsid w:val="009B0490"/>
    <w:rsid w:val="009B0494"/>
    <w:rsid w:val="009B04DE"/>
    <w:rsid w:val="009B0522"/>
    <w:rsid w:val="009B05E8"/>
    <w:rsid w:val="009B0606"/>
    <w:rsid w:val="009B0685"/>
    <w:rsid w:val="009B06C6"/>
    <w:rsid w:val="009B06D6"/>
    <w:rsid w:val="009B07A2"/>
    <w:rsid w:val="009B07A7"/>
    <w:rsid w:val="009B07EF"/>
    <w:rsid w:val="009B086F"/>
    <w:rsid w:val="009B087E"/>
    <w:rsid w:val="009B0885"/>
    <w:rsid w:val="009B08B5"/>
    <w:rsid w:val="009B0916"/>
    <w:rsid w:val="009B092C"/>
    <w:rsid w:val="009B096D"/>
    <w:rsid w:val="009B0991"/>
    <w:rsid w:val="009B09FD"/>
    <w:rsid w:val="009B0ADE"/>
    <w:rsid w:val="009B0B0F"/>
    <w:rsid w:val="009B0B35"/>
    <w:rsid w:val="009B0B3D"/>
    <w:rsid w:val="009B0C56"/>
    <w:rsid w:val="009B0C5B"/>
    <w:rsid w:val="009B0C7C"/>
    <w:rsid w:val="009B0C7F"/>
    <w:rsid w:val="009B0CB7"/>
    <w:rsid w:val="009B0D10"/>
    <w:rsid w:val="009B0D3A"/>
    <w:rsid w:val="009B0D8A"/>
    <w:rsid w:val="009B0D92"/>
    <w:rsid w:val="009B0DA2"/>
    <w:rsid w:val="009B0EB1"/>
    <w:rsid w:val="009B0ECB"/>
    <w:rsid w:val="009B0F9F"/>
    <w:rsid w:val="009B0FF5"/>
    <w:rsid w:val="009B1033"/>
    <w:rsid w:val="009B107B"/>
    <w:rsid w:val="009B10C7"/>
    <w:rsid w:val="009B112F"/>
    <w:rsid w:val="009B115D"/>
    <w:rsid w:val="009B117E"/>
    <w:rsid w:val="009B11CA"/>
    <w:rsid w:val="009B11D5"/>
    <w:rsid w:val="009B11D9"/>
    <w:rsid w:val="009B11F7"/>
    <w:rsid w:val="009B120E"/>
    <w:rsid w:val="009B1226"/>
    <w:rsid w:val="009B1266"/>
    <w:rsid w:val="009B12ED"/>
    <w:rsid w:val="009B12FB"/>
    <w:rsid w:val="009B135E"/>
    <w:rsid w:val="009B1388"/>
    <w:rsid w:val="009B14A8"/>
    <w:rsid w:val="009B14EB"/>
    <w:rsid w:val="009B1520"/>
    <w:rsid w:val="009B155E"/>
    <w:rsid w:val="009B15AF"/>
    <w:rsid w:val="009B160F"/>
    <w:rsid w:val="009B1682"/>
    <w:rsid w:val="009B168C"/>
    <w:rsid w:val="009B16B3"/>
    <w:rsid w:val="009B16B9"/>
    <w:rsid w:val="009B16BF"/>
    <w:rsid w:val="009B16C5"/>
    <w:rsid w:val="009B16E5"/>
    <w:rsid w:val="009B1701"/>
    <w:rsid w:val="009B179C"/>
    <w:rsid w:val="009B17A3"/>
    <w:rsid w:val="009B17AC"/>
    <w:rsid w:val="009B17C3"/>
    <w:rsid w:val="009B17D0"/>
    <w:rsid w:val="009B17E1"/>
    <w:rsid w:val="009B182B"/>
    <w:rsid w:val="009B187D"/>
    <w:rsid w:val="009B1882"/>
    <w:rsid w:val="009B18AC"/>
    <w:rsid w:val="009B18E8"/>
    <w:rsid w:val="009B1906"/>
    <w:rsid w:val="009B1958"/>
    <w:rsid w:val="009B1961"/>
    <w:rsid w:val="009B1A6C"/>
    <w:rsid w:val="009B1A9A"/>
    <w:rsid w:val="009B1AAD"/>
    <w:rsid w:val="009B1AC2"/>
    <w:rsid w:val="009B1AD1"/>
    <w:rsid w:val="009B1B79"/>
    <w:rsid w:val="009B1B8D"/>
    <w:rsid w:val="009B1BC7"/>
    <w:rsid w:val="009B1C24"/>
    <w:rsid w:val="009B1C51"/>
    <w:rsid w:val="009B1C9A"/>
    <w:rsid w:val="009B1D51"/>
    <w:rsid w:val="009B1D5A"/>
    <w:rsid w:val="009B1D72"/>
    <w:rsid w:val="009B1D8F"/>
    <w:rsid w:val="009B1DC5"/>
    <w:rsid w:val="009B1DD1"/>
    <w:rsid w:val="009B1DD7"/>
    <w:rsid w:val="009B1DDC"/>
    <w:rsid w:val="009B1DED"/>
    <w:rsid w:val="009B1DF6"/>
    <w:rsid w:val="009B1DF8"/>
    <w:rsid w:val="009B1E34"/>
    <w:rsid w:val="009B1E43"/>
    <w:rsid w:val="009B1E62"/>
    <w:rsid w:val="009B1E9A"/>
    <w:rsid w:val="009B1FB4"/>
    <w:rsid w:val="009B2058"/>
    <w:rsid w:val="009B205D"/>
    <w:rsid w:val="009B20B9"/>
    <w:rsid w:val="009B20BA"/>
    <w:rsid w:val="009B2103"/>
    <w:rsid w:val="009B219B"/>
    <w:rsid w:val="009B2265"/>
    <w:rsid w:val="009B2297"/>
    <w:rsid w:val="009B2426"/>
    <w:rsid w:val="009B2447"/>
    <w:rsid w:val="009B2450"/>
    <w:rsid w:val="009B2459"/>
    <w:rsid w:val="009B2477"/>
    <w:rsid w:val="009B2480"/>
    <w:rsid w:val="009B2498"/>
    <w:rsid w:val="009B2499"/>
    <w:rsid w:val="009B24C6"/>
    <w:rsid w:val="009B250C"/>
    <w:rsid w:val="009B256C"/>
    <w:rsid w:val="009B257B"/>
    <w:rsid w:val="009B257C"/>
    <w:rsid w:val="009B257F"/>
    <w:rsid w:val="009B25B2"/>
    <w:rsid w:val="009B25CC"/>
    <w:rsid w:val="009B2695"/>
    <w:rsid w:val="009B26E7"/>
    <w:rsid w:val="009B2705"/>
    <w:rsid w:val="009B270D"/>
    <w:rsid w:val="009B2710"/>
    <w:rsid w:val="009B2741"/>
    <w:rsid w:val="009B276F"/>
    <w:rsid w:val="009B27D9"/>
    <w:rsid w:val="009B27FF"/>
    <w:rsid w:val="009B280B"/>
    <w:rsid w:val="009B282A"/>
    <w:rsid w:val="009B2834"/>
    <w:rsid w:val="009B283F"/>
    <w:rsid w:val="009B2869"/>
    <w:rsid w:val="009B2870"/>
    <w:rsid w:val="009B28A9"/>
    <w:rsid w:val="009B28DF"/>
    <w:rsid w:val="009B2994"/>
    <w:rsid w:val="009B2A08"/>
    <w:rsid w:val="009B2A20"/>
    <w:rsid w:val="009B2A2F"/>
    <w:rsid w:val="009B2A98"/>
    <w:rsid w:val="009B2A9A"/>
    <w:rsid w:val="009B2ABB"/>
    <w:rsid w:val="009B2AE1"/>
    <w:rsid w:val="009B2AFA"/>
    <w:rsid w:val="009B2B29"/>
    <w:rsid w:val="009B2B6A"/>
    <w:rsid w:val="009B2B91"/>
    <w:rsid w:val="009B2BA4"/>
    <w:rsid w:val="009B2BB4"/>
    <w:rsid w:val="009B2BC7"/>
    <w:rsid w:val="009B2C32"/>
    <w:rsid w:val="009B2C47"/>
    <w:rsid w:val="009B2CA7"/>
    <w:rsid w:val="009B2CE9"/>
    <w:rsid w:val="009B2CEC"/>
    <w:rsid w:val="009B2D14"/>
    <w:rsid w:val="009B2D49"/>
    <w:rsid w:val="009B2D7C"/>
    <w:rsid w:val="009B2DFD"/>
    <w:rsid w:val="009B2E38"/>
    <w:rsid w:val="009B2E9D"/>
    <w:rsid w:val="009B2F04"/>
    <w:rsid w:val="009B2FB8"/>
    <w:rsid w:val="009B2FC3"/>
    <w:rsid w:val="009B3064"/>
    <w:rsid w:val="009B3092"/>
    <w:rsid w:val="009B30A3"/>
    <w:rsid w:val="009B30DB"/>
    <w:rsid w:val="009B3118"/>
    <w:rsid w:val="009B3149"/>
    <w:rsid w:val="009B315A"/>
    <w:rsid w:val="009B31B7"/>
    <w:rsid w:val="009B3210"/>
    <w:rsid w:val="009B3228"/>
    <w:rsid w:val="009B3256"/>
    <w:rsid w:val="009B326A"/>
    <w:rsid w:val="009B327A"/>
    <w:rsid w:val="009B327E"/>
    <w:rsid w:val="009B3291"/>
    <w:rsid w:val="009B330F"/>
    <w:rsid w:val="009B33D3"/>
    <w:rsid w:val="009B33E2"/>
    <w:rsid w:val="009B33E6"/>
    <w:rsid w:val="009B3444"/>
    <w:rsid w:val="009B3454"/>
    <w:rsid w:val="009B347E"/>
    <w:rsid w:val="009B34B1"/>
    <w:rsid w:val="009B34C1"/>
    <w:rsid w:val="009B355C"/>
    <w:rsid w:val="009B35CB"/>
    <w:rsid w:val="009B35D2"/>
    <w:rsid w:val="009B371A"/>
    <w:rsid w:val="009B372B"/>
    <w:rsid w:val="009B37A2"/>
    <w:rsid w:val="009B37BE"/>
    <w:rsid w:val="009B37F2"/>
    <w:rsid w:val="009B3813"/>
    <w:rsid w:val="009B3821"/>
    <w:rsid w:val="009B3824"/>
    <w:rsid w:val="009B384B"/>
    <w:rsid w:val="009B38E1"/>
    <w:rsid w:val="009B3923"/>
    <w:rsid w:val="009B39B7"/>
    <w:rsid w:val="009B39EA"/>
    <w:rsid w:val="009B3A07"/>
    <w:rsid w:val="009B3A58"/>
    <w:rsid w:val="009B3B7F"/>
    <w:rsid w:val="009B3BC7"/>
    <w:rsid w:val="009B3C0D"/>
    <w:rsid w:val="009B3C21"/>
    <w:rsid w:val="009B3CC0"/>
    <w:rsid w:val="009B3D46"/>
    <w:rsid w:val="009B3DA5"/>
    <w:rsid w:val="009B3DAF"/>
    <w:rsid w:val="009B3DDA"/>
    <w:rsid w:val="009B3E2A"/>
    <w:rsid w:val="009B3FAE"/>
    <w:rsid w:val="009B3FD2"/>
    <w:rsid w:val="009B4002"/>
    <w:rsid w:val="009B4034"/>
    <w:rsid w:val="009B40E5"/>
    <w:rsid w:val="009B41B5"/>
    <w:rsid w:val="009B41DD"/>
    <w:rsid w:val="009B41E8"/>
    <w:rsid w:val="009B4213"/>
    <w:rsid w:val="009B421C"/>
    <w:rsid w:val="009B4241"/>
    <w:rsid w:val="009B4243"/>
    <w:rsid w:val="009B4284"/>
    <w:rsid w:val="009B428B"/>
    <w:rsid w:val="009B42F5"/>
    <w:rsid w:val="009B4312"/>
    <w:rsid w:val="009B4330"/>
    <w:rsid w:val="009B4335"/>
    <w:rsid w:val="009B4338"/>
    <w:rsid w:val="009B43F6"/>
    <w:rsid w:val="009B4401"/>
    <w:rsid w:val="009B4462"/>
    <w:rsid w:val="009B4473"/>
    <w:rsid w:val="009B44B1"/>
    <w:rsid w:val="009B44FF"/>
    <w:rsid w:val="009B4536"/>
    <w:rsid w:val="009B45C2"/>
    <w:rsid w:val="009B45E3"/>
    <w:rsid w:val="009B4702"/>
    <w:rsid w:val="009B4714"/>
    <w:rsid w:val="009B4798"/>
    <w:rsid w:val="009B4872"/>
    <w:rsid w:val="009B4888"/>
    <w:rsid w:val="009B48A7"/>
    <w:rsid w:val="009B48C4"/>
    <w:rsid w:val="009B490A"/>
    <w:rsid w:val="009B490B"/>
    <w:rsid w:val="009B493C"/>
    <w:rsid w:val="009B4952"/>
    <w:rsid w:val="009B4986"/>
    <w:rsid w:val="009B49B3"/>
    <w:rsid w:val="009B4A17"/>
    <w:rsid w:val="009B4A7F"/>
    <w:rsid w:val="009B4ADB"/>
    <w:rsid w:val="009B4B6C"/>
    <w:rsid w:val="009B4BDB"/>
    <w:rsid w:val="009B4C0C"/>
    <w:rsid w:val="009B4C26"/>
    <w:rsid w:val="009B4C59"/>
    <w:rsid w:val="009B4CA3"/>
    <w:rsid w:val="009B4D12"/>
    <w:rsid w:val="009B4D6A"/>
    <w:rsid w:val="009B4D9D"/>
    <w:rsid w:val="009B4DB3"/>
    <w:rsid w:val="009B4DE3"/>
    <w:rsid w:val="009B4DFE"/>
    <w:rsid w:val="009B4E2A"/>
    <w:rsid w:val="009B4E3A"/>
    <w:rsid w:val="009B4E5E"/>
    <w:rsid w:val="009B4E97"/>
    <w:rsid w:val="009B4EB2"/>
    <w:rsid w:val="009B4F36"/>
    <w:rsid w:val="009B4F75"/>
    <w:rsid w:val="009B4FBA"/>
    <w:rsid w:val="009B5003"/>
    <w:rsid w:val="009B500C"/>
    <w:rsid w:val="009B503B"/>
    <w:rsid w:val="009B5049"/>
    <w:rsid w:val="009B5055"/>
    <w:rsid w:val="009B5062"/>
    <w:rsid w:val="009B508A"/>
    <w:rsid w:val="009B5094"/>
    <w:rsid w:val="009B5095"/>
    <w:rsid w:val="009B50AD"/>
    <w:rsid w:val="009B50B1"/>
    <w:rsid w:val="009B50B5"/>
    <w:rsid w:val="009B50BB"/>
    <w:rsid w:val="009B50EF"/>
    <w:rsid w:val="009B50F2"/>
    <w:rsid w:val="009B5112"/>
    <w:rsid w:val="009B513D"/>
    <w:rsid w:val="009B5142"/>
    <w:rsid w:val="009B5179"/>
    <w:rsid w:val="009B519E"/>
    <w:rsid w:val="009B51D3"/>
    <w:rsid w:val="009B51D6"/>
    <w:rsid w:val="009B5228"/>
    <w:rsid w:val="009B528E"/>
    <w:rsid w:val="009B52F7"/>
    <w:rsid w:val="009B5305"/>
    <w:rsid w:val="009B5368"/>
    <w:rsid w:val="009B536C"/>
    <w:rsid w:val="009B538F"/>
    <w:rsid w:val="009B53E5"/>
    <w:rsid w:val="009B5445"/>
    <w:rsid w:val="009B546C"/>
    <w:rsid w:val="009B54F7"/>
    <w:rsid w:val="009B550F"/>
    <w:rsid w:val="009B5518"/>
    <w:rsid w:val="009B559D"/>
    <w:rsid w:val="009B55A6"/>
    <w:rsid w:val="009B55FF"/>
    <w:rsid w:val="009B5609"/>
    <w:rsid w:val="009B560C"/>
    <w:rsid w:val="009B562D"/>
    <w:rsid w:val="009B5644"/>
    <w:rsid w:val="009B564D"/>
    <w:rsid w:val="009B5670"/>
    <w:rsid w:val="009B5672"/>
    <w:rsid w:val="009B5679"/>
    <w:rsid w:val="009B567E"/>
    <w:rsid w:val="009B56E4"/>
    <w:rsid w:val="009B577A"/>
    <w:rsid w:val="009B5791"/>
    <w:rsid w:val="009B5860"/>
    <w:rsid w:val="009B5867"/>
    <w:rsid w:val="009B587B"/>
    <w:rsid w:val="009B5881"/>
    <w:rsid w:val="009B588B"/>
    <w:rsid w:val="009B58CF"/>
    <w:rsid w:val="009B58E2"/>
    <w:rsid w:val="009B59A0"/>
    <w:rsid w:val="009B59A7"/>
    <w:rsid w:val="009B59B3"/>
    <w:rsid w:val="009B59FC"/>
    <w:rsid w:val="009B5A0E"/>
    <w:rsid w:val="009B5A4A"/>
    <w:rsid w:val="009B5A5F"/>
    <w:rsid w:val="009B5A7B"/>
    <w:rsid w:val="009B5A7C"/>
    <w:rsid w:val="009B5A94"/>
    <w:rsid w:val="009B5AAF"/>
    <w:rsid w:val="009B5B03"/>
    <w:rsid w:val="009B5B20"/>
    <w:rsid w:val="009B5B5C"/>
    <w:rsid w:val="009B5B61"/>
    <w:rsid w:val="009B5B6B"/>
    <w:rsid w:val="009B5C74"/>
    <w:rsid w:val="009B5C8D"/>
    <w:rsid w:val="009B5CC2"/>
    <w:rsid w:val="009B5CF4"/>
    <w:rsid w:val="009B5D0C"/>
    <w:rsid w:val="009B5DBE"/>
    <w:rsid w:val="009B5DEB"/>
    <w:rsid w:val="009B5E34"/>
    <w:rsid w:val="009B5E3F"/>
    <w:rsid w:val="009B5E98"/>
    <w:rsid w:val="009B5EDE"/>
    <w:rsid w:val="009B5EF2"/>
    <w:rsid w:val="009B5F0F"/>
    <w:rsid w:val="009B5F18"/>
    <w:rsid w:val="009B5F2A"/>
    <w:rsid w:val="009B5F43"/>
    <w:rsid w:val="009B5F69"/>
    <w:rsid w:val="009B5F84"/>
    <w:rsid w:val="009B608C"/>
    <w:rsid w:val="009B60C3"/>
    <w:rsid w:val="009B60C4"/>
    <w:rsid w:val="009B60FE"/>
    <w:rsid w:val="009B614A"/>
    <w:rsid w:val="009B6201"/>
    <w:rsid w:val="009B6226"/>
    <w:rsid w:val="009B624D"/>
    <w:rsid w:val="009B6274"/>
    <w:rsid w:val="009B62E3"/>
    <w:rsid w:val="009B6319"/>
    <w:rsid w:val="009B634A"/>
    <w:rsid w:val="009B639C"/>
    <w:rsid w:val="009B63B5"/>
    <w:rsid w:val="009B63F9"/>
    <w:rsid w:val="009B642E"/>
    <w:rsid w:val="009B6440"/>
    <w:rsid w:val="009B646A"/>
    <w:rsid w:val="009B64C5"/>
    <w:rsid w:val="009B652A"/>
    <w:rsid w:val="009B6548"/>
    <w:rsid w:val="009B6555"/>
    <w:rsid w:val="009B65C4"/>
    <w:rsid w:val="009B65C5"/>
    <w:rsid w:val="009B65D2"/>
    <w:rsid w:val="009B65E1"/>
    <w:rsid w:val="009B6601"/>
    <w:rsid w:val="009B6677"/>
    <w:rsid w:val="009B6698"/>
    <w:rsid w:val="009B66FD"/>
    <w:rsid w:val="009B6761"/>
    <w:rsid w:val="009B676A"/>
    <w:rsid w:val="009B6775"/>
    <w:rsid w:val="009B67FF"/>
    <w:rsid w:val="009B6831"/>
    <w:rsid w:val="009B683E"/>
    <w:rsid w:val="009B688C"/>
    <w:rsid w:val="009B68CA"/>
    <w:rsid w:val="009B6985"/>
    <w:rsid w:val="009B69B0"/>
    <w:rsid w:val="009B69B8"/>
    <w:rsid w:val="009B69CF"/>
    <w:rsid w:val="009B69E5"/>
    <w:rsid w:val="009B6A42"/>
    <w:rsid w:val="009B6A68"/>
    <w:rsid w:val="009B6AA9"/>
    <w:rsid w:val="009B6AF8"/>
    <w:rsid w:val="009B6B81"/>
    <w:rsid w:val="009B6BAD"/>
    <w:rsid w:val="009B6C33"/>
    <w:rsid w:val="009B6C3B"/>
    <w:rsid w:val="009B6C4E"/>
    <w:rsid w:val="009B6C97"/>
    <w:rsid w:val="009B6CB1"/>
    <w:rsid w:val="009B6CC9"/>
    <w:rsid w:val="009B6CE4"/>
    <w:rsid w:val="009B6D87"/>
    <w:rsid w:val="009B6D9D"/>
    <w:rsid w:val="009B6DCC"/>
    <w:rsid w:val="009B6E1E"/>
    <w:rsid w:val="009B6E35"/>
    <w:rsid w:val="009B6E63"/>
    <w:rsid w:val="009B6E9A"/>
    <w:rsid w:val="009B6EB3"/>
    <w:rsid w:val="009B6EEF"/>
    <w:rsid w:val="009B6EFE"/>
    <w:rsid w:val="009B6F0B"/>
    <w:rsid w:val="009B6F0C"/>
    <w:rsid w:val="009B6F93"/>
    <w:rsid w:val="009B6FCC"/>
    <w:rsid w:val="009B6FE6"/>
    <w:rsid w:val="009B7016"/>
    <w:rsid w:val="009B7067"/>
    <w:rsid w:val="009B7097"/>
    <w:rsid w:val="009B70CD"/>
    <w:rsid w:val="009B70F7"/>
    <w:rsid w:val="009B7101"/>
    <w:rsid w:val="009B7114"/>
    <w:rsid w:val="009B7134"/>
    <w:rsid w:val="009B7155"/>
    <w:rsid w:val="009B71B5"/>
    <w:rsid w:val="009B72DF"/>
    <w:rsid w:val="009B730A"/>
    <w:rsid w:val="009B739A"/>
    <w:rsid w:val="009B739D"/>
    <w:rsid w:val="009B73A9"/>
    <w:rsid w:val="009B745B"/>
    <w:rsid w:val="009B7469"/>
    <w:rsid w:val="009B74A0"/>
    <w:rsid w:val="009B7619"/>
    <w:rsid w:val="009B7629"/>
    <w:rsid w:val="009B764D"/>
    <w:rsid w:val="009B76EF"/>
    <w:rsid w:val="009B76F0"/>
    <w:rsid w:val="009B76F3"/>
    <w:rsid w:val="009B7727"/>
    <w:rsid w:val="009B77B8"/>
    <w:rsid w:val="009B77E3"/>
    <w:rsid w:val="009B783F"/>
    <w:rsid w:val="009B7874"/>
    <w:rsid w:val="009B78B9"/>
    <w:rsid w:val="009B78D3"/>
    <w:rsid w:val="009B7949"/>
    <w:rsid w:val="009B795A"/>
    <w:rsid w:val="009B7962"/>
    <w:rsid w:val="009B797D"/>
    <w:rsid w:val="009B79E3"/>
    <w:rsid w:val="009B7A71"/>
    <w:rsid w:val="009B7A79"/>
    <w:rsid w:val="009B7AC2"/>
    <w:rsid w:val="009B7ADF"/>
    <w:rsid w:val="009B7B85"/>
    <w:rsid w:val="009B7BA9"/>
    <w:rsid w:val="009B7BD0"/>
    <w:rsid w:val="009B7BFB"/>
    <w:rsid w:val="009B7CD1"/>
    <w:rsid w:val="009B7CE7"/>
    <w:rsid w:val="009B7D09"/>
    <w:rsid w:val="009B7D48"/>
    <w:rsid w:val="009B7D59"/>
    <w:rsid w:val="009B7D7C"/>
    <w:rsid w:val="009B7DD1"/>
    <w:rsid w:val="009B7DDB"/>
    <w:rsid w:val="009B7E10"/>
    <w:rsid w:val="009B7E35"/>
    <w:rsid w:val="009B7E56"/>
    <w:rsid w:val="009B7E6B"/>
    <w:rsid w:val="009B7EC3"/>
    <w:rsid w:val="009B7EF3"/>
    <w:rsid w:val="009B7F2B"/>
    <w:rsid w:val="009B7FA6"/>
    <w:rsid w:val="009B7FDE"/>
    <w:rsid w:val="009B8E32"/>
    <w:rsid w:val="009BCA2B"/>
    <w:rsid w:val="009C001A"/>
    <w:rsid w:val="009C0060"/>
    <w:rsid w:val="009C0099"/>
    <w:rsid w:val="009C012D"/>
    <w:rsid w:val="009C017E"/>
    <w:rsid w:val="009C0210"/>
    <w:rsid w:val="009C022D"/>
    <w:rsid w:val="009C0250"/>
    <w:rsid w:val="009C0274"/>
    <w:rsid w:val="009C0275"/>
    <w:rsid w:val="009C028B"/>
    <w:rsid w:val="009C0307"/>
    <w:rsid w:val="009C030B"/>
    <w:rsid w:val="009C0338"/>
    <w:rsid w:val="009C034A"/>
    <w:rsid w:val="009C03C3"/>
    <w:rsid w:val="009C03F6"/>
    <w:rsid w:val="009C0407"/>
    <w:rsid w:val="009C043C"/>
    <w:rsid w:val="009C0450"/>
    <w:rsid w:val="009C0494"/>
    <w:rsid w:val="009C04AF"/>
    <w:rsid w:val="009C04B7"/>
    <w:rsid w:val="009C04F8"/>
    <w:rsid w:val="009C052C"/>
    <w:rsid w:val="009C0580"/>
    <w:rsid w:val="009C05FC"/>
    <w:rsid w:val="009C0601"/>
    <w:rsid w:val="009C061B"/>
    <w:rsid w:val="009C070D"/>
    <w:rsid w:val="009C0737"/>
    <w:rsid w:val="009C073B"/>
    <w:rsid w:val="009C075F"/>
    <w:rsid w:val="009C0793"/>
    <w:rsid w:val="009C07D0"/>
    <w:rsid w:val="009C07D2"/>
    <w:rsid w:val="009C07DE"/>
    <w:rsid w:val="009C0966"/>
    <w:rsid w:val="009C0978"/>
    <w:rsid w:val="009C0A1A"/>
    <w:rsid w:val="009C0A39"/>
    <w:rsid w:val="009C0A70"/>
    <w:rsid w:val="009C0A86"/>
    <w:rsid w:val="009C0AB8"/>
    <w:rsid w:val="009C0B3E"/>
    <w:rsid w:val="009C0B61"/>
    <w:rsid w:val="009C0C5D"/>
    <w:rsid w:val="009C0C6C"/>
    <w:rsid w:val="009C0CDD"/>
    <w:rsid w:val="009C0D18"/>
    <w:rsid w:val="009C0D22"/>
    <w:rsid w:val="009C0D79"/>
    <w:rsid w:val="009C0E77"/>
    <w:rsid w:val="009C0E80"/>
    <w:rsid w:val="009C0EDD"/>
    <w:rsid w:val="009C0F06"/>
    <w:rsid w:val="009C0F74"/>
    <w:rsid w:val="009C0F7F"/>
    <w:rsid w:val="009C0F8F"/>
    <w:rsid w:val="009C0FCF"/>
    <w:rsid w:val="009C1025"/>
    <w:rsid w:val="009C1028"/>
    <w:rsid w:val="009C102B"/>
    <w:rsid w:val="009C1045"/>
    <w:rsid w:val="009C104F"/>
    <w:rsid w:val="009C106E"/>
    <w:rsid w:val="009C1076"/>
    <w:rsid w:val="009C109E"/>
    <w:rsid w:val="009C10D8"/>
    <w:rsid w:val="009C10DC"/>
    <w:rsid w:val="009C10EA"/>
    <w:rsid w:val="009C1100"/>
    <w:rsid w:val="009C1196"/>
    <w:rsid w:val="009C11A2"/>
    <w:rsid w:val="009C11BE"/>
    <w:rsid w:val="009C120E"/>
    <w:rsid w:val="009C1211"/>
    <w:rsid w:val="009C1258"/>
    <w:rsid w:val="009C1267"/>
    <w:rsid w:val="009C1270"/>
    <w:rsid w:val="009C1298"/>
    <w:rsid w:val="009C12D2"/>
    <w:rsid w:val="009C12D9"/>
    <w:rsid w:val="009C131F"/>
    <w:rsid w:val="009C1356"/>
    <w:rsid w:val="009C1389"/>
    <w:rsid w:val="009C13DB"/>
    <w:rsid w:val="009C1443"/>
    <w:rsid w:val="009C14CD"/>
    <w:rsid w:val="009C1585"/>
    <w:rsid w:val="009C15A1"/>
    <w:rsid w:val="009C15B8"/>
    <w:rsid w:val="009C1606"/>
    <w:rsid w:val="009C1676"/>
    <w:rsid w:val="009C169E"/>
    <w:rsid w:val="009C173C"/>
    <w:rsid w:val="009C1755"/>
    <w:rsid w:val="009C1758"/>
    <w:rsid w:val="009C179F"/>
    <w:rsid w:val="009C17B4"/>
    <w:rsid w:val="009C17C6"/>
    <w:rsid w:val="009C181C"/>
    <w:rsid w:val="009C1849"/>
    <w:rsid w:val="009C184D"/>
    <w:rsid w:val="009C18E8"/>
    <w:rsid w:val="009C1991"/>
    <w:rsid w:val="009C199C"/>
    <w:rsid w:val="009C19B1"/>
    <w:rsid w:val="009C19C0"/>
    <w:rsid w:val="009C19DB"/>
    <w:rsid w:val="009C19E7"/>
    <w:rsid w:val="009C1A39"/>
    <w:rsid w:val="009C1A77"/>
    <w:rsid w:val="009C1A8C"/>
    <w:rsid w:val="009C1AD5"/>
    <w:rsid w:val="009C1B28"/>
    <w:rsid w:val="009C1B6D"/>
    <w:rsid w:val="009C1B76"/>
    <w:rsid w:val="009C1BA9"/>
    <w:rsid w:val="009C1BEB"/>
    <w:rsid w:val="009C1C39"/>
    <w:rsid w:val="009C1C5E"/>
    <w:rsid w:val="009C1C7A"/>
    <w:rsid w:val="009C1CA3"/>
    <w:rsid w:val="009C1CA5"/>
    <w:rsid w:val="009C1CB2"/>
    <w:rsid w:val="009C1CF1"/>
    <w:rsid w:val="009C1D45"/>
    <w:rsid w:val="009C1D7A"/>
    <w:rsid w:val="009C1DF6"/>
    <w:rsid w:val="009C1E47"/>
    <w:rsid w:val="009C1E71"/>
    <w:rsid w:val="009C1E7C"/>
    <w:rsid w:val="009C1EE5"/>
    <w:rsid w:val="009C1EFB"/>
    <w:rsid w:val="009C1F67"/>
    <w:rsid w:val="009C1F83"/>
    <w:rsid w:val="009C210A"/>
    <w:rsid w:val="009C218C"/>
    <w:rsid w:val="009C2191"/>
    <w:rsid w:val="009C2196"/>
    <w:rsid w:val="009C21E2"/>
    <w:rsid w:val="009C21F5"/>
    <w:rsid w:val="009C2200"/>
    <w:rsid w:val="009C222B"/>
    <w:rsid w:val="009C224C"/>
    <w:rsid w:val="009C2267"/>
    <w:rsid w:val="009C2289"/>
    <w:rsid w:val="009C2299"/>
    <w:rsid w:val="009C22A9"/>
    <w:rsid w:val="009C22E1"/>
    <w:rsid w:val="009C22F8"/>
    <w:rsid w:val="009C2310"/>
    <w:rsid w:val="009C2328"/>
    <w:rsid w:val="009C238F"/>
    <w:rsid w:val="009C2445"/>
    <w:rsid w:val="009C24B3"/>
    <w:rsid w:val="009C24C1"/>
    <w:rsid w:val="009C24D0"/>
    <w:rsid w:val="009C250A"/>
    <w:rsid w:val="009C2517"/>
    <w:rsid w:val="009C2563"/>
    <w:rsid w:val="009C2599"/>
    <w:rsid w:val="009C25AB"/>
    <w:rsid w:val="009C25AF"/>
    <w:rsid w:val="009C25E9"/>
    <w:rsid w:val="009C2634"/>
    <w:rsid w:val="009C2735"/>
    <w:rsid w:val="009C274F"/>
    <w:rsid w:val="009C275B"/>
    <w:rsid w:val="009C2760"/>
    <w:rsid w:val="009C27B8"/>
    <w:rsid w:val="009C2806"/>
    <w:rsid w:val="009C2837"/>
    <w:rsid w:val="009C28BF"/>
    <w:rsid w:val="009C2910"/>
    <w:rsid w:val="009C2948"/>
    <w:rsid w:val="009C295D"/>
    <w:rsid w:val="009C299D"/>
    <w:rsid w:val="009C2A7C"/>
    <w:rsid w:val="009C2A9B"/>
    <w:rsid w:val="009C2AA8"/>
    <w:rsid w:val="009C2AD6"/>
    <w:rsid w:val="009C2B00"/>
    <w:rsid w:val="009C2B3B"/>
    <w:rsid w:val="009C2DAE"/>
    <w:rsid w:val="009C2DB1"/>
    <w:rsid w:val="009C2DCB"/>
    <w:rsid w:val="009C2DDF"/>
    <w:rsid w:val="009C2E5B"/>
    <w:rsid w:val="009C2E6B"/>
    <w:rsid w:val="009C2F0E"/>
    <w:rsid w:val="009C2F4E"/>
    <w:rsid w:val="009C2F89"/>
    <w:rsid w:val="009C2F9A"/>
    <w:rsid w:val="009C2FE0"/>
    <w:rsid w:val="009C306C"/>
    <w:rsid w:val="009C3143"/>
    <w:rsid w:val="009C3166"/>
    <w:rsid w:val="009C3264"/>
    <w:rsid w:val="009C3284"/>
    <w:rsid w:val="009C32DA"/>
    <w:rsid w:val="009C32E6"/>
    <w:rsid w:val="009C3395"/>
    <w:rsid w:val="009C33C2"/>
    <w:rsid w:val="009C33CF"/>
    <w:rsid w:val="009C3415"/>
    <w:rsid w:val="009C3416"/>
    <w:rsid w:val="009C3450"/>
    <w:rsid w:val="009C348A"/>
    <w:rsid w:val="009C34BD"/>
    <w:rsid w:val="009C34DA"/>
    <w:rsid w:val="009C357E"/>
    <w:rsid w:val="009C35D1"/>
    <w:rsid w:val="009C3642"/>
    <w:rsid w:val="009C36F0"/>
    <w:rsid w:val="009C370C"/>
    <w:rsid w:val="009C3712"/>
    <w:rsid w:val="009C3725"/>
    <w:rsid w:val="009C373F"/>
    <w:rsid w:val="009C378A"/>
    <w:rsid w:val="009C37B6"/>
    <w:rsid w:val="009C3866"/>
    <w:rsid w:val="009C389E"/>
    <w:rsid w:val="009C38D0"/>
    <w:rsid w:val="009C393A"/>
    <w:rsid w:val="009C3961"/>
    <w:rsid w:val="009C397B"/>
    <w:rsid w:val="009C3992"/>
    <w:rsid w:val="009C39AC"/>
    <w:rsid w:val="009C39E2"/>
    <w:rsid w:val="009C3A36"/>
    <w:rsid w:val="009C3A90"/>
    <w:rsid w:val="009C3AF8"/>
    <w:rsid w:val="009C3B1D"/>
    <w:rsid w:val="009C3B38"/>
    <w:rsid w:val="009C3B51"/>
    <w:rsid w:val="009C3BC0"/>
    <w:rsid w:val="009C3BF3"/>
    <w:rsid w:val="009C3C1E"/>
    <w:rsid w:val="009C3D0D"/>
    <w:rsid w:val="009C3E77"/>
    <w:rsid w:val="009C3E87"/>
    <w:rsid w:val="009C3F4D"/>
    <w:rsid w:val="009C3FAD"/>
    <w:rsid w:val="009C3FCC"/>
    <w:rsid w:val="009C4049"/>
    <w:rsid w:val="009C409E"/>
    <w:rsid w:val="009C40CD"/>
    <w:rsid w:val="009C4173"/>
    <w:rsid w:val="009C41FA"/>
    <w:rsid w:val="009C4205"/>
    <w:rsid w:val="009C4256"/>
    <w:rsid w:val="009C4272"/>
    <w:rsid w:val="009C42CB"/>
    <w:rsid w:val="009C43BE"/>
    <w:rsid w:val="009C440F"/>
    <w:rsid w:val="009C4419"/>
    <w:rsid w:val="009C44DC"/>
    <w:rsid w:val="009C450D"/>
    <w:rsid w:val="009C4575"/>
    <w:rsid w:val="009C45DB"/>
    <w:rsid w:val="009C464B"/>
    <w:rsid w:val="009C4653"/>
    <w:rsid w:val="009C4665"/>
    <w:rsid w:val="009C4682"/>
    <w:rsid w:val="009C4684"/>
    <w:rsid w:val="009C46D3"/>
    <w:rsid w:val="009C46D9"/>
    <w:rsid w:val="009C4785"/>
    <w:rsid w:val="009C4839"/>
    <w:rsid w:val="009C484D"/>
    <w:rsid w:val="009C4878"/>
    <w:rsid w:val="009C4896"/>
    <w:rsid w:val="009C48BB"/>
    <w:rsid w:val="009C4927"/>
    <w:rsid w:val="009C494D"/>
    <w:rsid w:val="009C496F"/>
    <w:rsid w:val="009C497D"/>
    <w:rsid w:val="009C49B7"/>
    <w:rsid w:val="009C4A0F"/>
    <w:rsid w:val="009C4A34"/>
    <w:rsid w:val="009C4A62"/>
    <w:rsid w:val="009C4A95"/>
    <w:rsid w:val="009C4B31"/>
    <w:rsid w:val="009C4B4E"/>
    <w:rsid w:val="009C4B5F"/>
    <w:rsid w:val="009C4B84"/>
    <w:rsid w:val="009C4BCA"/>
    <w:rsid w:val="009C4C22"/>
    <w:rsid w:val="009C4C56"/>
    <w:rsid w:val="009C4CC8"/>
    <w:rsid w:val="009C4CE4"/>
    <w:rsid w:val="009C4D52"/>
    <w:rsid w:val="009C4DD9"/>
    <w:rsid w:val="009C4E0E"/>
    <w:rsid w:val="009C4E77"/>
    <w:rsid w:val="009C4E86"/>
    <w:rsid w:val="009C4EDE"/>
    <w:rsid w:val="009C4EE2"/>
    <w:rsid w:val="009C4F29"/>
    <w:rsid w:val="009C4F3D"/>
    <w:rsid w:val="009C4FCD"/>
    <w:rsid w:val="009C5038"/>
    <w:rsid w:val="009C507F"/>
    <w:rsid w:val="009C50BB"/>
    <w:rsid w:val="009C50E9"/>
    <w:rsid w:val="009C50FF"/>
    <w:rsid w:val="009C514C"/>
    <w:rsid w:val="009C5152"/>
    <w:rsid w:val="009C5187"/>
    <w:rsid w:val="009C5188"/>
    <w:rsid w:val="009C51CD"/>
    <w:rsid w:val="009C51E1"/>
    <w:rsid w:val="009C5219"/>
    <w:rsid w:val="009C521B"/>
    <w:rsid w:val="009C5235"/>
    <w:rsid w:val="009C5252"/>
    <w:rsid w:val="009C5277"/>
    <w:rsid w:val="009C527A"/>
    <w:rsid w:val="009C52A0"/>
    <w:rsid w:val="009C52E6"/>
    <w:rsid w:val="009C532D"/>
    <w:rsid w:val="009C53B8"/>
    <w:rsid w:val="009C5450"/>
    <w:rsid w:val="009C54BC"/>
    <w:rsid w:val="009C54C6"/>
    <w:rsid w:val="009C5521"/>
    <w:rsid w:val="009C553E"/>
    <w:rsid w:val="009C5578"/>
    <w:rsid w:val="009C55C0"/>
    <w:rsid w:val="009C5632"/>
    <w:rsid w:val="009C565C"/>
    <w:rsid w:val="009C567F"/>
    <w:rsid w:val="009C56DB"/>
    <w:rsid w:val="009C5754"/>
    <w:rsid w:val="009C5755"/>
    <w:rsid w:val="009C579D"/>
    <w:rsid w:val="009C57C7"/>
    <w:rsid w:val="009C5800"/>
    <w:rsid w:val="009C580F"/>
    <w:rsid w:val="009C5827"/>
    <w:rsid w:val="009C582A"/>
    <w:rsid w:val="009C587E"/>
    <w:rsid w:val="009C58C6"/>
    <w:rsid w:val="009C5905"/>
    <w:rsid w:val="009C5960"/>
    <w:rsid w:val="009C598B"/>
    <w:rsid w:val="009C5A01"/>
    <w:rsid w:val="009C5A30"/>
    <w:rsid w:val="009C5A60"/>
    <w:rsid w:val="009C5ABA"/>
    <w:rsid w:val="009C5BA2"/>
    <w:rsid w:val="009C5BD7"/>
    <w:rsid w:val="009C5C23"/>
    <w:rsid w:val="009C5CA6"/>
    <w:rsid w:val="009C5CBB"/>
    <w:rsid w:val="009C5D0C"/>
    <w:rsid w:val="009C5D62"/>
    <w:rsid w:val="009C5D71"/>
    <w:rsid w:val="009C5DAC"/>
    <w:rsid w:val="009C5DC3"/>
    <w:rsid w:val="009C5DC4"/>
    <w:rsid w:val="009C5DDC"/>
    <w:rsid w:val="009C5E08"/>
    <w:rsid w:val="009C5E0E"/>
    <w:rsid w:val="009C5E2F"/>
    <w:rsid w:val="009C5E66"/>
    <w:rsid w:val="009C5F29"/>
    <w:rsid w:val="009C5F5F"/>
    <w:rsid w:val="009C5F6B"/>
    <w:rsid w:val="009C5FA8"/>
    <w:rsid w:val="009C5FD4"/>
    <w:rsid w:val="009C606B"/>
    <w:rsid w:val="009C60A0"/>
    <w:rsid w:val="009C60C6"/>
    <w:rsid w:val="009C6120"/>
    <w:rsid w:val="009C6134"/>
    <w:rsid w:val="009C61C7"/>
    <w:rsid w:val="009C61D4"/>
    <w:rsid w:val="009C61D9"/>
    <w:rsid w:val="009C61F4"/>
    <w:rsid w:val="009C6209"/>
    <w:rsid w:val="009C6211"/>
    <w:rsid w:val="009C6218"/>
    <w:rsid w:val="009C622B"/>
    <w:rsid w:val="009C6327"/>
    <w:rsid w:val="009C6329"/>
    <w:rsid w:val="009C6359"/>
    <w:rsid w:val="009C642E"/>
    <w:rsid w:val="009C644E"/>
    <w:rsid w:val="009C6489"/>
    <w:rsid w:val="009C64C1"/>
    <w:rsid w:val="009C64E5"/>
    <w:rsid w:val="009C64FC"/>
    <w:rsid w:val="009C6501"/>
    <w:rsid w:val="009C6585"/>
    <w:rsid w:val="009C6655"/>
    <w:rsid w:val="009C66C4"/>
    <w:rsid w:val="009C6741"/>
    <w:rsid w:val="009C67A0"/>
    <w:rsid w:val="009C67AB"/>
    <w:rsid w:val="009C67E5"/>
    <w:rsid w:val="009C67EE"/>
    <w:rsid w:val="009C6802"/>
    <w:rsid w:val="009C681A"/>
    <w:rsid w:val="009C684E"/>
    <w:rsid w:val="009C6858"/>
    <w:rsid w:val="009C6870"/>
    <w:rsid w:val="009C687F"/>
    <w:rsid w:val="009C697E"/>
    <w:rsid w:val="009C6AB0"/>
    <w:rsid w:val="009C6AB5"/>
    <w:rsid w:val="009C6ADD"/>
    <w:rsid w:val="009C6B38"/>
    <w:rsid w:val="009C6B82"/>
    <w:rsid w:val="009C6B96"/>
    <w:rsid w:val="009C6C0E"/>
    <w:rsid w:val="009C6C18"/>
    <w:rsid w:val="009C6CA2"/>
    <w:rsid w:val="009C6CCE"/>
    <w:rsid w:val="009C6CE6"/>
    <w:rsid w:val="009C6D11"/>
    <w:rsid w:val="009C6D4B"/>
    <w:rsid w:val="009C6D54"/>
    <w:rsid w:val="009C6D65"/>
    <w:rsid w:val="009C6DA3"/>
    <w:rsid w:val="009C6E0F"/>
    <w:rsid w:val="009C6E28"/>
    <w:rsid w:val="009C6E39"/>
    <w:rsid w:val="009C6E57"/>
    <w:rsid w:val="009C6E5C"/>
    <w:rsid w:val="009C6F2C"/>
    <w:rsid w:val="009C6F63"/>
    <w:rsid w:val="009C6FA1"/>
    <w:rsid w:val="009C6FA4"/>
    <w:rsid w:val="009C6FFF"/>
    <w:rsid w:val="009C700D"/>
    <w:rsid w:val="009C7040"/>
    <w:rsid w:val="009C70BE"/>
    <w:rsid w:val="009C70D8"/>
    <w:rsid w:val="009C70F3"/>
    <w:rsid w:val="009C7109"/>
    <w:rsid w:val="009C7138"/>
    <w:rsid w:val="009C71FC"/>
    <w:rsid w:val="009C7202"/>
    <w:rsid w:val="009C7279"/>
    <w:rsid w:val="009C729B"/>
    <w:rsid w:val="009C737D"/>
    <w:rsid w:val="009C74A3"/>
    <w:rsid w:val="009C74B5"/>
    <w:rsid w:val="009C74EA"/>
    <w:rsid w:val="009C7521"/>
    <w:rsid w:val="009C757D"/>
    <w:rsid w:val="009C75E8"/>
    <w:rsid w:val="009C760B"/>
    <w:rsid w:val="009C764B"/>
    <w:rsid w:val="009C767D"/>
    <w:rsid w:val="009C76A9"/>
    <w:rsid w:val="009C76B1"/>
    <w:rsid w:val="009C76C3"/>
    <w:rsid w:val="009C7744"/>
    <w:rsid w:val="009C7773"/>
    <w:rsid w:val="009C7774"/>
    <w:rsid w:val="009C7812"/>
    <w:rsid w:val="009C7836"/>
    <w:rsid w:val="009C7890"/>
    <w:rsid w:val="009C794E"/>
    <w:rsid w:val="009C79F8"/>
    <w:rsid w:val="009C7A11"/>
    <w:rsid w:val="009C7A8C"/>
    <w:rsid w:val="009C7ABB"/>
    <w:rsid w:val="009C7B0A"/>
    <w:rsid w:val="009C7B78"/>
    <w:rsid w:val="009C7BAB"/>
    <w:rsid w:val="009C7C09"/>
    <w:rsid w:val="009C7C14"/>
    <w:rsid w:val="009C7C6F"/>
    <w:rsid w:val="009C7C78"/>
    <w:rsid w:val="009C7CBE"/>
    <w:rsid w:val="009C7D2A"/>
    <w:rsid w:val="009C7D89"/>
    <w:rsid w:val="009C7EAD"/>
    <w:rsid w:val="009C7ED3"/>
    <w:rsid w:val="009C7F6B"/>
    <w:rsid w:val="009C7FB1"/>
    <w:rsid w:val="009D0016"/>
    <w:rsid w:val="009D0037"/>
    <w:rsid w:val="009D0070"/>
    <w:rsid w:val="009D008B"/>
    <w:rsid w:val="009D0090"/>
    <w:rsid w:val="009D012E"/>
    <w:rsid w:val="009D016A"/>
    <w:rsid w:val="009D016C"/>
    <w:rsid w:val="009D0171"/>
    <w:rsid w:val="009D0229"/>
    <w:rsid w:val="009D02B0"/>
    <w:rsid w:val="009D0305"/>
    <w:rsid w:val="009D030A"/>
    <w:rsid w:val="009D0351"/>
    <w:rsid w:val="009D037C"/>
    <w:rsid w:val="009D04C1"/>
    <w:rsid w:val="009D050B"/>
    <w:rsid w:val="009D0523"/>
    <w:rsid w:val="009D052A"/>
    <w:rsid w:val="009D0550"/>
    <w:rsid w:val="009D0561"/>
    <w:rsid w:val="009D058D"/>
    <w:rsid w:val="009D059D"/>
    <w:rsid w:val="009D05C7"/>
    <w:rsid w:val="009D05EA"/>
    <w:rsid w:val="009D06AF"/>
    <w:rsid w:val="009D070C"/>
    <w:rsid w:val="009D0748"/>
    <w:rsid w:val="009D0754"/>
    <w:rsid w:val="009D0795"/>
    <w:rsid w:val="009D07CD"/>
    <w:rsid w:val="009D0879"/>
    <w:rsid w:val="009D08C2"/>
    <w:rsid w:val="009D08E4"/>
    <w:rsid w:val="009D0924"/>
    <w:rsid w:val="009D0972"/>
    <w:rsid w:val="009D09B3"/>
    <w:rsid w:val="009D09B4"/>
    <w:rsid w:val="009D09CF"/>
    <w:rsid w:val="009D09EC"/>
    <w:rsid w:val="009D0A1F"/>
    <w:rsid w:val="009D0A76"/>
    <w:rsid w:val="009D0AD4"/>
    <w:rsid w:val="009D0AD5"/>
    <w:rsid w:val="009D0AF0"/>
    <w:rsid w:val="009D0B67"/>
    <w:rsid w:val="009D0B6F"/>
    <w:rsid w:val="009D0BC8"/>
    <w:rsid w:val="009D0BD1"/>
    <w:rsid w:val="009D0BE0"/>
    <w:rsid w:val="009D0C11"/>
    <w:rsid w:val="009D0C41"/>
    <w:rsid w:val="009D0C60"/>
    <w:rsid w:val="009D0C89"/>
    <w:rsid w:val="009D0C8C"/>
    <w:rsid w:val="009D0CA4"/>
    <w:rsid w:val="009D0CA8"/>
    <w:rsid w:val="009D0D0C"/>
    <w:rsid w:val="009D0DBF"/>
    <w:rsid w:val="009D0E20"/>
    <w:rsid w:val="009D0E54"/>
    <w:rsid w:val="009D0EAC"/>
    <w:rsid w:val="009D0EED"/>
    <w:rsid w:val="009D0F04"/>
    <w:rsid w:val="009D0F18"/>
    <w:rsid w:val="009D0F1B"/>
    <w:rsid w:val="009D0F3A"/>
    <w:rsid w:val="009D0FFA"/>
    <w:rsid w:val="009D102A"/>
    <w:rsid w:val="009D104A"/>
    <w:rsid w:val="009D10B0"/>
    <w:rsid w:val="009D110B"/>
    <w:rsid w:val="009D111F"/>
    <w:rsid w:val="009D1130"/>
    <w:rsid w:val="009D1180"/>
    <w:rsid w:val="009D1264"/>
    <w:rsid w:val="009D1267"/>
    <w:rsid w:val="009D12B2"/>
    <w:rsid w:val="009D12E8"/>
    <w:rsid w:val="009D12EF"/>
    <w:rsid w:val="009D1322"/>
    <w:rsid w:val="009D139F"/>
    <w:rsid w:val="009D1451"/>
    <w:rsid w:val="009D14F4"/>
    <w:rsid w:val="009D15BD"/>
    <w:rsid w:val="009D15BE"/>
    <w:rsid w:val="009D1606"/>
    <w:rsid w:val="009D1624"/>
    <w:rsid w:val="009D1626"/>
    <w:rsid w:val="009D16B8"/>
    <w:rsid w:val="009D16D3"/>
    <w:rsid w:val="009D16EB"/>
    <w:rsid w:val="009D1704"/>
    <w:rsid w:val="009D174F"/>
    <w:rsid w:val="009D17A4"/>
    <w:rsid w:val="009D17AA"/>
    <w:rsid w:val="009D17AE"/>
    <w:rsid w:val="009D181A"/>
    <w:rsid w:val="009D1891"/>
    <w:rsid w:val="009D18FB"/>
    <w:rsid w:val="009D1959"/>
    <w:rsid w:val="009D1978"/>
    <w:rsid w:val="009D19B6"/>
    <w:rsid w:val="009D19BD"/>
    <w:rsid w:val="009D1A05"/>
    <w:rsid w:val="009D1A87"/>
    <w:rsid w:val="009D1AB7"/>
    <w:rsid w:val="009D1ADD"/>
    <w:rsid w:val="009D1AE5"/>
    <w:rsid w:val="009D1B04"/>
    <w:rsid w:val="009D1B20"/>
    <w:rsid w:val="009D1B52"/>
    <w:rsid w:val="009D1B6F"/>
    <w:rsid w:val="009D1BB3"/>
    <w:rsid w:val="009D1D42"/>
    <w:rsid w:val="009D1D4F"/>
    <w:rsid w:val="009D1DB0"/>
    <w:rsid w:val="009D1DC8"/>
    <w:rsid w:val="009D1E09"/>
    <w:rsid w:val="009D1E1E"/>
    <w:rsid w:val="009D1EBB"/>
    <w:rsid w:val="009D1ECB"/>
    <w:rsid w:val="009D1ED7"/>
    <w:rsid w:val="009D1F05"/>
    <w:rsid w:val="009D1F1F"/>
    <w:rsid w:val="009D1F20"/>
    <w:rsid w:val="009D1F4B"/>
    <w:rsid w:val="009D1FFD"/>
    <w:rsid w:val="009D201A"/>
    <w:rsid w:val="009D2061"/>
    <w:rsid w:val="009D20D0"/>
    <w:rsid w:val="009D20ED"/>
    <w:rsid w:val="009D2103"/>
    <w:rsid w:val="009D210D"/>
    <w:rsid w:val="009D212F"/>
    <w:rsid w:val="009D215E"/>
    <w:rsid w:val="009D21B3"/>
    <w:rsid w:val="009D21D0"/>
    <w:rsid w:val="009D2230"/>
    <w:rsid w:val="009D2258"/>
    <w:rsid w:val="009D226E"/>
    <w:rsid w:val="009D22B6"/>
    <w:rsid w:val="009D2318"/>
    <w:rsid w:val="009D2319"/>
    <w:rsid w:val="009D2352"/>
    <w:rsid w:val="009D2377"/>
    <w:rsid w:val="009D23AC"/>
    <w:rsid w:val="009D23CC"/>
    <w:rsid w:val="009D23D0"/>
    <w:rsid w:val="009D24DA"/>
    <w:rsid w:val="009D24F5"/>
    <w:rsid w:val="009D2504"/>
    <w:rsid w:val="009D2517"/>
    <w:rsid w:val="009D253E"/>
    <w:rsid w:val="009D25CE"/>
    <w:rsid w:val="009D25E6"/>
    <w:rsid w:val="009D2607"/>
    <w:rsid w:val="009D2619"/>
    <w:rsid w:val="009D2673"/>
    <w:rsid w:val="009D268A"/>
    <w:rsid w:val="009D26A4"/>
    <w:rsid w:val="009D27CA"/>
    <w:rsid w:val="009D27D5"/>
    <w:rsid w:val="009D27FF"/>
    <w:rsid w:val="009D2849"/>
    <w:rsid w:val="009D2854"/>
    <w:rsid w:val="009D2864"/>
    <w:rsid w:val="009D292C"/>
    <w:rsid w:val="009D2976"/>
    <w:rsid w:val="009D297B"/>
    <w:rsid w:val="009D299E"/>
    <w:rsid w:val="009D29B4"/>
    <w:rsid w:val="009D2A3C"/>
    <w:rsid w:val="009D2B51"/>
    <w:rsid w:val="009D2BCF"/>
    <w:rsid w:val="009D2C0B"/>
    <w:rsid w:val="009D2C1E"/>
    <w:rsid w:val="009D2C28"/>
    <w:rsid w:val="009D2C51"/>
    <w:rsid w:val="009D2C82"/>
    <w:rsid w:val="009D2CFD"/>
    <w:rsid w:val="009D2D12"/>
    <w:rsid w:val="009D2D4F"/>
    <w:rsid w:val="009D2D51"/>
    <w:rsid w:val="009D2D5E"/>
    <w:rsid w:val="009D2DC2"/>
    <w:rsid w:val="009D2E01"/>
    <w:rsid w:val="009D2E4C"/>
    <w:rsid w:val="009D2EB0"/>
    <w:rsid w:val="009D2EF1"/>
    <w:rsid w:val="009D2F33"/>
    <w:rsid w:val="009D2F3B"/>
    <w:rsid w:val="009D2F4F"/>
    <w:rsid w:val="009D2F5C"/>
    <w:rsid w:val="009D2FEF"/>
    <w:rsid w:val="009D3070"/>
    <w:rsid w:val="009D3154"/>
    <w:rsid w:val="009D3194"/>
    <w:rsid w:val="009D31A7"/>
    <w:rsid w:val="009D31A8"/>
    <w:rsid w:val="009D31AB"/>
    <w:rsid w:val="009D3214"/>
    <w:rsid w:val="009D32C5"/>
    <w:rsid w:val="009D333D"/>
    <w:rsid w:val="009D3368"/>
    <w:rsid w:val="009D3377"/>
    <w:rsid w:val="009D342D"/>
    <w:rsid w:val="009D3450"/>
    <w:rsid w:val="009D350D"/>
    <w:rsid w:val="009D3565"/>
    <w:rsid w:val="009D35DC"/>
    <w:rsid w:val="009D35DF"/>
    <w:rsid w:val="009D3603"/>
    <w:rsid w:val="009D3673"/>
    <w:rsid w:val="009D3684"/>
    <w:rsid w:val="009D3688"/>
    <w:rsid w:val="009D36A1"/>
    <w:rsid w:val="009D36A4"/>
    <w:rsid w:val="009D3745"/>
    <w:rsid w:val="009D3746"/>
    <w:rsid w:val="009D3769"/>
    <w:rsid w:val="009D3771"/>
    <w:rsid w:val="009D3798"/>
    <w:rsid w:val="009D37BC"/>
    <w:rsid w:val="009D3821"/>
    <w:rsid w:val="009D3885"/>
    <w:rsid w:val="009D38E1"/>
    <w:rsid w:val="009D3910"/>
    <w:rsid w:val="009D3925"/>
    <w:rsid w:val="009D3928"/>
    <w:rsid w:val="009D3929"/>
    <w:rsid w:val="009D39AB"/>
    <w:rsid w:val="009D39DC"/>
    <w:rsid w:val="009D3A46"/>
    <w:rsid w:val="009D3B08"/>
    <w:rsid w:val="009D3B25"/>
    <w:rsid w:val="009D3B48"/>
    <w:rsid w:val="009D3BC0"/>
    <w:rsid w:val="009D3BCC"/>
    <w:rsid w:val="009D3BCE"/>
    <w:rsid w:val="009D3C20"/>
    <w:rsid w:val="009D3C22"/>
    <w:rsid w:val="009D3CDD"/>
    <w:rsid w:val="009D3CE3"/>
    <w:rsid w:val="009D3D1C"/>
    <w:rsid w:val="009D3D59"/>
    <w:rsid w:val="009D3E27"/>
    <w:rsid w:val="009D3E38"/>
    <w:rsid w:val="009D3E92"/>
    <w:rsid w:val="009D3EC1"/>
    <w:rsid w:val="009D3EFB"/>
    <w:rsid w:val="009D3F51"/>
    <w:rsid w:val="009D3F73"/>
    <w:rsid w:val="009D3FA0"/>
    <w:rsid w:val="009D3FCA"/>
    <w:rsid w:val="009D3FF0"/>
    <w:rsid w:val="009D400D"/>
    <w:rsid w:val="009D4044"/>
    <w:rsid w:val="009D4051"/>
    <w:rsid w:val="009D40A1"/>
    <w:rsid w:val="009D40AB"/>
    <w:rsid w:val="009D4106"/>
    <w:rsid w:val="009D4172"/>
    <w:rsid w:val="009D41AB"/>
    <w:rsid w:val="009D421F"/>
    <w:rsid w:val="009D4232"/>
    <w:rsid w:val="009D4375"/>
    <w:rsid w:val="009D4417"/>
    <w:rsid w:val="009D44AF"/>
    <w:rsid w:val="009D44B0"/>
    <w:rsid w:val="009D4529"/>
    <w:rsid w:val="009D452F"/>
    <w:rsid w:val="009D4574"/>
    <w:rsid w:val="009D4580"/>
    <w:rsid w:val="009D4587"/>
    <w:rsid w:val="009D459E"/>
    <w:rsid w:val="009D45E1"/>
    <w:rsid w:val="009D467A"/>
    <w:rsid w:val="009D4692"/>
    <w:rsid w:val="009D469B"/>
    <w:rsid w:val="009D46C0"/>
    <w:rsid w:val="009D4710"/>
    <w:rsid w:val="009D4748"/>
    <w:rsid w:val="009D488A"/>
    <w:rsid w:val="009D4898"/>
    <w:rsid w:val="009D48F3"/>
    <w:rsid w:val="009D48FC"/>
    <w:rsid w:val="009D49DE"/>
    <w:rsid w:val="009D4A8E"/>
    <w:rsid w:val="009D4A9D"/>
    <w:rsid w:val="009D4B01"/>
    <w:rsid w:val="009D4B34"/>
    <w:rsid w:val="009D4B64"/>
    <w:rsid w:val="009D4B67"/>
    <w:rsid w:val="009D4B80"/>
    <w:rsid w:val="009D4C02"/>
    <w:rsid w:val="009D4C15"/>
    <w:rsid w:val="009D4C2B"/>
    <w:rsid w:val="009D4CA4"/>
    <w:rsid w:val="009D4CAA"/>
    <w:rsid w:val="009D4D0E"/>
    <w:rsid w:val="009D4D40"/>
    <w:rsid w:val="009D4D61"/>
    <w:rsid w:val="009D4DB8"/>
    <w:rsid w:val="009D4DC0"/>
    <w:rsid w:val="009D4DCF"/>
    <w:rsid w:val="009D4DDE"/>
    <w:rsid w:val="009D4DED"/>
    <w:rsid w:val="009D4E19"/>
    <w:rsid w:val="009D4E45"/>
    <w:rsid w:val="009D4E66"/>
    <w:rsid w:val="009D4E91"/>
    <w:rsid w:val="009D4EDD"/>
    <w:rsid w:val="009D4F1D"/>
    <w:rsid w:val="009D4F2F"/>
    <w:rsid w:val="009D5036"/>
    <w:rsid w:val="009D5063"/>
    <w:rsid w:val="009D50B4"/>
    <w:rsid w:val="009D50C3"/>
    <w:rsid w:val="009D50EB"/>
    <w:rsid w:val="009D5149"/>
    <w:rsid w:val="009D514A"/>
    <w:rsid w:val="009D51BC"/>
    <w:rsid w:val="009D520B"/>
    <w:rsid w:val="009D52DE"/>
    <w:rsid w:val="009D5304"/>
    <w:rsid w:val="009D5401"/>
    <w:rsid w:val="009D542D"/>
    <w:rsid w:val="009D5432"/>
    <w:rsid w:val="009D5470"/>
    <w:rsid w:val="009D5493"/>
    <w:rsid w:val="009D54B8"/>
    <w:rsid w:val="009D54BC"/>
    <w:rsid w:val="009D54E4"/>
    <w:rsid w:val="009D54FD"/>
    <w:rsid w:val="009D5590"/>
    <w:rsid w:val="009D55C2"/>
    <w:rsid w:val="009D55C7"/>
    <w:rsid w:val="009D5607"/>
    <w:rsid w:val="009D5636"/>
    <w:rsid w:val="009D5653"/>
    <w:rsid w:val="009D5664"/>
    <w:rsid w:val="009D568E"/>
    <w:rsid w:val="009D56AE"/>
    <w:rsid w:val="009D56C8"/>
    <w:rsid w:val="009D56E7"/>
    <w:rsid w:val="009D5796"/>
    <w:rsid w:val="009D57B9"/>
    <w:rsid w:val="009D57CC"/>
    <w:rsid w:val="009D5854"/>
    <w:rsid w:val="009D586B"/>
    <w:rsid w:val="009D5870"/>
    <w:rsid w:val="009D58D2"/>
    <w:rsid w:val="009D58DD"/>
    <w:rsid w:val="009D59FC"/>
    <w:rsid w:val="009D5A1B"/>
    <w:rsid w:val="009D5A1F"/>
    <w:rsid w:val="009D5A72"/>
    <w:rsid w:val="009D5A89"/>
    <w:rsid w:val="009D5AAF"/>
    <w:rsid w:val="009D5B83"/>
    <w:rsid w:val="009D5B96"/>
    <w:rsid w:val="009D5CAD"/>
    <w:rsid w:val="009D5CFA"/>
    <w:rsid w:val="009D5D1D"/>
    <w:rsid w:val="009D5D9A"/>
    <w:rsid w:val="009D5DBF"/>
    <w:rsid w:val="009D5DF9"/>
    <w:rsid w:val="009D5E54"/>
    <w:rsid w:val="009D5E56"/>
    <w:rsid w:val="009D5E87"/>
    <w:rsid w:val="009D5EED"/>
    <w:rsid w:val="009D5EF5"/>
    <w:rsid w:val="009D5F41"/>
    <w:rsid w:val="009D5FCF"/>
    <w:rsid w:val="009D5FD4"/>
    <w:rsid w:val="009D602A"/>
    <w:rsid w:val="009D602C"/>
    <w:rsid w:val="009D60B2"/>
    <w:rsid w:val="009D60B7"/>
    <w:rsid w:val="009D6118"/>
    <w:rsid w:val="009D6147"/>
    <w:rsid w:val="009D6213"/>
    <w:rsid w:val="009D623F"/>
    <w:rsid w:val="009D6264"/>
    <w:rsid w:val="009D627F"/>
    <w:rsid w:val="009D6315"/>
    <w:rsid w:val="009D631D"/>
    <w:rsid w:val="009D6323"/>
    <w:rsid w:val="009D63A6"/>
    <w:rsid w:val="009D63B6"/>
    <w:rsid w:val="009D63F0"/>
    <w:rsid w:val="009D6408"/>
    <w:rsid w:val="009D641A"/>
    <w:rsid w:val="009D644A"/>
    <w:rsid w:val="009D64F3"/>
    <w:rsid w:val="009D657C"/>
    <w:rsid w:val="009D658A"/>
    <w:rsid w:val="009D65A1"/>
    <w:rsid w:val="009D65D4"/>
    <w:rsid w:val="009D6600"/>
    <w:rsid w:val="009D6616"/>
    <w:rsid w:val="009D6623"/>
    <w:rsid w:val="009D662A"/>
    <w:rsid w:val="009D6632"/>
    <w:rsid w:val="009D66E1"/>
    <w:rsid w:val="009D670F"/>
    <w:rsid w:val="009D675D"/>
    <w:rsid w:val="009D6778"/>
    <w:rsid w:val="009D679D"/>
    <w:rsid w:val="009D67A6"/>
    <w:rsid w:val="009D67B5"/>
    <w:rsid w:val="009D67E6"/>
    <w:rsid w:val="009D6818"/>
    <w:rsid w:val="009D6830"/>
    <w:rsid w:val="009D6873"/>
    <w:rsid w:val="009D68E2"/>
    <w:rsid w:val="009D690A"/>
    <w:rsid w:val="009D6926"/>
    <w:rsid w:val="009D6949"/>
    <w:rsid w:val="009D69CE"/>
    <w:rsid w:val="009D6A08"/>
    <w:rsid w:val="009D6A1C"/>
    <w:rsid w:val="009D6AE2"/>
    <w:rsid w:val="009D6BB1"/>
    <w:rsid w:val="009D6BE6"/>
    <w:rsid w:val="009D6BF9"/>
    <w:rsid w:val="009D6C1F"/>
    <w:rsid w:val="009D6C99"/>
    <w:rsid w:val="009D6CA7"/>
    <w:rsid w:val="009D6CC4"/>
    <w:rsid w:val="009D6CF5"/>
    <w:rsid w:val="009D6D26"/>
    <w:rsid w:val="009D6DD8"/>
    <w:rsid w:val="009D6E0B"/>
    <w:rsid w:val="009D6E0C"/>
    <w:rsid w:val="009D6E4F"/>
    <w:rsid w:val="009D6E85"/>
    <w:rsid w:val="009D6ED2"/>
    <w:rsid w:val="009D6EED"/>
    <w:rsid w:val="009D6FCB"/>
    <w:rsid w:val="009D6FE6"/>
    <w:rsid w:val="009D700E"/>
    <w:rsid w:val="009D7034"/>
    <w:rsid w:val="009D707F"/>
    <w:rsid w:val="009D7080"/>
    <w:rsid w:val="009D7141"/>
    <w:rsid w:val="009D71B8"/>
    <w:rsid w:val="009D721C"/>
    <w:rsid w:val="009D727A"/>
    <w:rsid w:val="009D7280"/>
    <w:rsid w:val="009D7302"/>
    <w:rsid w:val="009D7341"/>
    <w:rsid w:val="009D734F"/>
    <w:rsid w:val="009D73A7"/>
    <w:rsid w:val="009D73CE"/>
    <w:rsid w:val="009D7415"/>
    <w:rsid w:val="009D74B8"/>
    <w:rsid w:val="009D7508"/>
    <w:rsid w:val="009D7513"/>
    <w:rsid w:val="009D751F"/>
    <w:rsid w:val="009D7537"/>
    <w:rsid w:val="009D7587"/>
    <w:rsid w:val="009D75E6"/>
    <w:rsid w:val="009D75EB"/>
    <w:rsid w:val="009D763A"/>
    <w:rsid w:val="009D76E8"/>
    <w:rsid w:val="009D76F5"/>
    <w:rsid w:val="009D7726"/>
    <w:rsid w:val="009D7739"/>
    <w:rsid w:val="009D77C1"/>
    <w:rsid w:val="009D7803"/>
    <w:rsid w:val="009D7829"/>
    <w:rsid w:val="009D7834"/>
    <w:rsid w:val="009D783B"/>
    <w:rsid w:val="009D78B2"/>
    <w:rsid w:val="009D78DD"/>
    <w:rsid w:val="009D78EE"/>
    <w:rsid w:val="009D7911"/>
    <w:rsid w:val="009D791D"/>
    <w:rsid w:val="009D7994"/>
    <w:rsid w:val="009D7999"/>
    <w:rsid w:val="009D799A"/>
    <w:rsid w:val="009D79A3"/>
    <w:rsid w:val="009D79C6"/>
    <w:rsid w:val="009D7A19"/>
    <w:rsid w:val="009D7A37"/>
    <w:rsid w:val="009D7A48"/>
    <w:rsid w:val="009D7A4A"/>
    <w:rsid w:val="009D7A69"/>
    <w:rsid w:val="009D7AE3"/>
    <w:rsid w:val="009D7B1E"/>
    <w:rsid w:val="009D7B38"/>
    <w:rsid w:val="009D7B5C"/>
    <w:rsid w:val="009D7BEF"/>
    <w:rsid w:val="009D7C8B"/>
    <w:rsid w:val="009D7C98"/>
    <w:rsid w:val="009D7CA2"/>
    <w:rsid w:val="009D7D1E"/>
    <w:rsid w:val="009D7D30"/>
    <w:rsid w:val="009D7D53"/>
    <w:rsid w:val="009D7DE6"/>
    <w:rsid w:val="009D7E20"/>
    <w:rsid w:val="009D7EAF"/>
    <w:rsid w:val="009D7EF9"/>
    <w:rsid w:val="009D7F04"/>
    <w:rsid w:val="009D7FD9"/>
    <w:rsid w:val="009E00B4"/>
    <w:rsid w:val="009E0117"/>
    <w:rsid w:val="009E011D"/>
    <w:rsid w:val="009E01A8"/>
    <w:rsid w:val="009E0202"/>
    <w:rsid w:val="009E023B"/>
    <w:rsid w:val="009E0298"/>
    <w:rsid w:val="009E02C6"/>
    <w:rsid w:val="009E02D9"/>
    <w:rsid w:val="009E0300"/>
    <w:rsid w:val="009E0343"/>
    <w:rsid w:val="009E03AD"/>
    <w:rsid w:val="009E0430"/>
    <w:rsid w:val="009E0471"/>
    <w:rsid w:val="009E0487"/>
    <w:rsid w:val="009E04A5"/>
    <w:rsid w:val="009E04BA"/>
    <w:rsid w:val="009E04E9"/>
    <w:rsid w:val="009E050C"/>
    <w:rsid w:val="009E056A"/>
    <w:rsid w:val="009E0593"/>
    <w:rsid w:val="009E05FA"/>
    <w:rsid w:val="009E060C"/>
    <w:rsid w:val="009E0621"/>
    <w:rsid w:val="009E0669"/>
    <w:rsid w:val="009E066F"/>
    <w:rsid w:val="009E0767"/>
    <w:rsid w:val="009E0770"/>
    <w:rsid w:val="009E0806"/>
    <w:rsid w:val="009E080D"/>
    <w:rsid w:val="009E081E"/>
    <w:rsid w:val="009E0892"/>
    <w:rsid w:val="009E08A1"/>
    <w:rsid w:val="009E08FD"/>
    <w:rsid w:val="009E091A"/>
    <w:rsid w:val="009E09AB"/>
    <w:rsid w:val="009E09B0"/>
    <w:rsid w:val="009E09CE"/>
    <w:rsid w:val="009E09E5"/>
    <w:rsid w:val="009E09F2"/>
    <w:rsid w:val="009E0A65"/>
    <w:rsid w:val="009E0A92"/>
    <w:rsid w:val="009E0B01"/>
    <w:rsid w:val="009E0B4C"/>
    <w:rsid w:val="009E0BB9"/>
    <w:rsid w:val="009E0BCE"/>
    <w:rsid w:val="009E0D70"/>
    <w:rsid w:val="009E0D8F"/>
    <w:rsid w:val="009E0E66"/>
    <w:rsid w:val="009E0EF8"/>
    <w:rsid w:val="009E0F04"/>
    <w:rsid w:val="009E0F2B"/>
    <w:rsid w:val="009E0F32"/>
    <w:rsid w:val="009E0F54"/>
    <w:rsid w:val="009E0F5F"/>
    <w:rsid w:val="009E0FC9"/>
    <w:rsid w:val="009E0FCE"/>
    <w:rsid w:val="009E102E"/>
    <w:rsid w:val="009E1038"/>
    <w:rsid w:val="009E10E2"/>
    <w:rsid w:val="009E1101"/>
    <w:rsid w:val="009E1105"/>
    <w:rsid w:val="009E1148"/>
    <w:rsid w:val="009E11BA"/>
    <w:rsid w:val="009E1214"/>
    <w:rsid w:val="009E123C"/>
    <w:rsid w:val="009E1325"/>
    <w:rsid w:val="009E133D"/>
    <w:rsid w:val="009E1392"/>
    <w:rsid w:val="009E13C5"/>
    <w:rsid w:val="009E13DA"/>
    <w:rsid w:val="009E13EE"/>
    <w:rsid w:val="009E1402"/>
    <w:rsid w:val="009E1418"/>
    <w:rsid w:val="009E1428"/>
    <w:rsid w:val="009E144C"/>
    <w:rsid w:val="009E146B"/>
    <w:rsid w:val="009E1488"/>
    <w:rsid w:val="009E14E2"/>
    <w:rsid w:val="009E1513"/>
    <w:rsid w:val="009E15AB"/>
    <w:rsid w:val="009E15E7"/>
    <w:rsid w:val="009E162A"/>
    <w:rsid w:val="009E168F"/>
    <w:rsid w:val="009E1693"/>
    <w:rsid w:val="009E170D"/>
    <w:rsid w:val="009E1780"/>
    <w:rsid w:val="009E17DC"/>
    <w:rsid w:val="009E1814"/>
    <w:rsid w:val="009E183F"/>
    <w:rsid w:val="009E184E"/>
    <w:rsid w:val="009E185E"/>
    <w:rsid w:val="009E1873"/>
    <w:rsid w:val="009E188C"/>
    <w:rsid w:val="009E18A5"/>
    <w:rsid w:val="009E18CA"/>
    <w:rsid w:val="009E1908"/>
    <w:rsid w:val="009E1986"/>
    <w:rsid w:val="009E1A93"/>
    <w:rsid w:val="009E1A9B"/>
    <w:rsid w:val="009E1AA9"/>
    <w:rsid w:val="009E1AC1"/>
    <w:rsid w:val="009E1B3A"/>
    <w:rsid w:val="009E1B65"/>
    <w:rsid w:val="009E1B69"/>
    <w:rsid w:val="009E1B9A"/>
    <w:rsid w:val="009E1BE2"/>
    <w:rsid w:val="009E1C19"/>
    <w:rsid w:val="009E1D0B"/>
    <w:rsid w:val="009E1DB8"/>
    <w:rsid w:val="009E1DE9"/>
    <w:rsid w:val="009E1E36"/>
    <w:rsid w:val="009E1E7B"/>
    <w:rsid w:val="009E1EB4"/>
    <w:rsid w:val="009E1EC8"/>
    <w:rsid w:val="009E1F5F"/>
    <w:rsid w:val="009E1F99"/>
    <w:rsid w:val="009E1FA2"/>
    <w:rsid w:val="009E2046"/>
    <w:rsid w:val="009E204E"/>
    <w:rsid w:val="009E212B"/>
    <w:rsid w:val="009E2133"/>
    <w:rsid w:val="009E2153"/>
    <w:rsid w:val="009E21AB"/>
    <w:rsid w:val="009E21CB"/>
    <w:rsid w:val="009E21E3"/>
    <w:rsid w:val="009E21E6"/>
    <w:rsid w:val="009E2231"/>
    <w:rsid w:val="009E2287"/>
    <w:rsid w:val="009E22A9"/>
    <w:rsid w:val="009E2321"/>
    <w:rsid w:val="009E242E"/>
    <w:rsid w:val="009E247F"/>
    <w:rsid w:val="009E24B3"/>
    <w:rsid w:val="009E24CB"/>
    <w:rsid w:val="009E2509"/>
    <w:rsid w:val="009E2542"/>
    <w:rsid w:val="009E255E"/>
    <w:rsid w:val="009E25C2"/>
    <w:rsid w:val="009E2612"/>
    <w:rsid w:val="009E26B6"/>
    <w:rsid w:val="009E2716"/>
    <w:rsid w:val="009E2731"/>
    <w:rsid w:val="009E2744"/>
    <w:rsid w:val="009E277A"/>
    <w:rsid w:val="009E27AC"/>
    <w:rsid w:val="009E27B5"/>
    <w:rsid w:val="009E27C3"/>
    <w:rsid w:val="009E27DD"/>
    <w:rsid w:val="009E280A"/>
    <w:rsid w:val="009E282B"/>
    <w:rsid w:val="009E2838"/>
    <w:rsid w:val="009E285A"/>
    <w:rsid w:val="009E28C8"/>
    <w:rsid w:val="009E2992"/>
    <w:rsid w:val="009E29BB"/>
    <w:rsid w:val="009E2AA0"/>
    <w:rsid w:val="009E2B64"/>
    <w:rsid w:val="009E2B71"/>
    <w:rsid w:val="009E2B97"/>
    <w:rsid w:val="009E2BC6"/>
    <w:rsid w:val="009E2C2F"/>
    <w:rsid w:val="009E2C60"/>
    <w:rsid w:val="009E2C77"/>
    <w:rsid w:val="009E2CD9"/>
    <w:rsid w:val="009E2CFA"/>
    <w:rsid w:val="009E2D06"/>
    <w:rsid w:val="009E2D5B"/>
    <w:rsid w:val="009E2D5E"/>
    <w:rsid w:val="009E2DC0"/>
    <w:rsid w:val="009E2DC1"/>
    <w:rsid w:val="009E2DDE"/>
    <w:rsid w:val="009E2DFF"/>
    <w:rsid w:val="009E2E47"/>
    <w:rsid w:val="009E2E6C"/>
    <w:rsid w:val="009E2E88"/>
    <w:rsid w:val="009E2EB4"/>
    <w:rsid w:val="009E2FA5"/>
    <w:rsid w:val="009E2FC3"/>
    <w:rsid w:val="009E2FD2"/>
    <w:rsid w:val="009E300A"/>
    <w:rsid w:val="009E306D"/>
    <w:rsid w:val="009E30BA"/>
    <w:rsid w:val="009E30F4"/>
    <w:rsid w:val="009E312B"/>
    <w:rsid w:val="009E3186"/>
    <w:rsid w:val="009E31A4"/>
    <w:rsid w:val="009E31AE"/>
    <w:rsid w:val="009E31C0"/>
    <w:rsid w:val="009E3254"/>
    <w:rsid w:val="009E32A7"/>
    <w:rsid w:val="009E32B6"/>
    <w:rsid w:val="009E32D3"/>
    <w:rsid w:val="009E32E2"/>
    <w:rsid w:val="009E32F9"/>
    <w:rsid w:val="009E336F"/>
    <w:rsid w:val="009E33C9"/>
    <w:rsid w:val="009E3484"/>
    <w:rsid w:val="009E34B1"/>
    <w:rsid w:val="009E34C5"/>
    <w:rsid w:val="009E3506"/>
    <w:rsid w:val="009E356F"/>
    <w:rsid w:val="009E3579"/>
    <w:rsid w:val="009E35BA"/>
    <w:rsid w:val="009E35D8"/>
    <w:rsid w:val="009E35E4"/>
    <w:rsid w:val="009E35F6"/>
    <w:rsid w:val="009E3625"/>
    <w:rsid w:val="009E37C9"/>
    <w:rsid w:val="009E3807"/>
    <w:rsid w:val="009E380E"/>
    <w:rsid w:val="009E3820"/>
    <w:rsid w:val="009E385B"/>
    <w:rsid w:val="009E38D4"/>
    <w:rsid w:val="009E38F3"/>
    <w:rsid w:val="009E393A"/>
    <w:rsid w:val="009E395A"/>
    <w:rsid w:val="009E39AD"/>
    <w:rsid w:val="009E39E9"/>
    <w:rsid w:val="009E3A66"/>
    <w:rsid w:val="009E3A6E"/>
    <w:rsid w:val="009E3A8C"/>
    <w:rsid w:val="009E3AB1"/>
    <w:rsid w:val="009E3B08"/>
    <w:rsid w:val="009E3B0F"/>
    <w:rsid w:val="009E3B68"/>
    <w:rsid w:val="009E3C1A"/>
    <w:rsid w:val="009E3C9E"/>
    <w:rsid w:val="009E3CA3"/>
    <w:rsid w:val="009E3CE0"/>
    <w:rsid w:val="009E3DE4"/>
    <w:rsid w:val="009E3E0D"/>
    <w:rsid w:val="009E3E10"/>
    <w:rsid w:val="009E3E2A"/>
    <w:rsid w:val="009E3EAC"/>
    <w:rsid w:val="009E3ED5"/>
    <w:rsid w:val="009E3FA4"/>
    <w:rsid w:val="009E3FB8"/>
    <w:rsid w:val="009E4049"/>
    <w:rsid w:val="009E40D4"/>
    <w:rsid w:val="009E40E3"/>
    <w:rsid w:val="009E4116"/>
    <w:rsid w:val="009E4182"/>
    <w:rsid w:val="009E418A"/>
    <w:rsid w:val="009E41D6"/>
    <w:rsid w:val="009E4290"/>
    <w:rsid w:val="009E42AF"/>
    <w:rsid w:val="009E42C4"/>
    <w:rsid w:val="009E42E6"/>
    <w:rsid w:val="009E4329"/>
    <w:rsid w:val="009E4356"/>
    <w:rsid w:val="009E43E2"/>
    <w:rsid w:val="009E4443"/>
    <w:rsid w:val="009E44CB"/>
    <w:rsid w:val="009E44E3"/>
    <w:rsid w:val="009E44E4"/>
    <w:rsid w:val="009E44E9"/>
    <w:rsid w:val="009E4529"/>
    <w:rsid w:val="009E456A"/>
    <w:rsid w:val="009E4588"/>
    <w:rsid w:val="009E45C4"/>
    <w:rsid w:val="009E45D1"/>
    <w:rsid w:val="009E462C"/>
    <w:rsid w:val="009E466D"/>
    <w:rsid w:val="009E4676"/>
    <w:rsid w:val="009E46F1"/>
    <w:rsid w:val="009E46F7"/>
    <w:rsid w:val="009E47E0"/>
    <w:rsid w:val="009E482D"/>
    <w:rsid w:val="009E4847"/>
    <w:rsid w:val="009E486F"/>
    <w:rsid w:val="009E489D"/>
    <w:rsid w:val="009E48CA"/>
    <w:rsid w:val="009E4993"/>
    <w:rsid w:val="009E49AA"/>
    <w:rsid w:val="009E49C5"/>
    <w:rsid w:val="009E49E2"/>
    <w:rsid w:val="009E49EA"/>
    <w:rsid w:val="009E4A32"/>
    <w:rsid w:val="009E4A76"/>
    <w:rsid w:val="009E4AA7"/>
    <w:rsid w:val="009E4AB7"/>
    <w:rsid w:val="009E4B33"/>
    <w:rsid w:val="009E4B45"/>
    <w:rsid w:val="009E4B47"/>
    <w:rsid w:val="009E4B48"/>
    <w:rsid w:val="009E4B56"/>
    <w:rsid w:val="009E4B7D"/>
    <w:rsid w:val="009E4B9E"/>
    <w:rsid w:val="009E4C19"/>
    <w:rsid w:val="009E4C22"/>
    <w:rsid w:val="009E4C34"/>
    <w:rsid w:val="009E4C4D"/>
    <w:rsid w:val="009E4CCD"/>
    <w:rsid w:val="009E4D12"/>
    <w:rsid w:val="009E4D25"/>
    <w:rsid w:val="009E4D4F"/>
    <w:rsid w:val="009E4D59"/>
    <w:rsid w:val="009E4D68"/>
    <w:rsid w:val="009E4D85"/>
    <w:rsid w:val="009E4DE7"/>
    <w:rsid w:val="009E4E4C"/>
    <w:rsid w:val="009E4E74"/>
    <w:rsid w:val="009E4E7A"/>
    <w:rsid w:val="009E4F02"/>
    <w:rsid w:val="009E4F0A"/>
    <w:rsid w:val="009E4F9B"/>
    <w:rsid w:val="009E4FA8"/>
    <w:rsid w:val="009E4FBE"/>
    <w:rsid w:val="009E4FF1"/>
    <w:rsid w:val="009E501E"/>
    <w:rsid w:val="009E5090"/>
    <w:rsid w:val="009E50A2"/>
    <w:rsid w:val="009E5120"/>
    <w:rsid w:val="009E51E9"/>
    <w:rsid w:val="009E5232"/>
    <w:rsid w:val="009E524F"/>
    <w:rsid w:val="009E5253"/>
    <w:rsid w:val="009E5265"/>
    <w:rsid w:val="009E5295"/>
    <w:rsid w:val="009E52B9"/>
    <w:rsid w:val="009E5302"/>
    <w:rsid w:val="009E5316"/>
    <w:rsid w:val="009E531B"/>
    <w:rsid w:val="009E535A"/>
    <w:rsid w:val="009E5386"/>
    <w:rsid w:val="009E5389"/>
    <w:rsid w:val="009E53A2"/>
    <w:rsid w:val="009E53BD"/>
    <w:rsid w:val="009E53E2"/>
    <w:rsid w:val="009E5479"/>
    <w:rsid w:val="009E54AF"/>
    <w:rsid w:val="009E54EE"/>
    <w:rsid w:val="009E5502"/>
    <w:rsid w:val="009E5515"/>
    <w:rsid w:val="009E55AC"/>
    <w:rsid w:val="009E55DF"/>
    <w:rsid w:val="009E56F5"/>
    <w:rsid w:val="009E572C"/>
    <w:rsid w:val="009E5742"/>
    <w:rsid w:val="009E576C"/>
    <w:rsid w:val="009E57B1"/>
    <w:rsid w:val="009E57FF"/>
    <w:rsid w:val="009E5811"/>
    <w:rsid w:val="009E585E"/>
    <w:rsid w:val="009E589E"/>
    <w:rsid w:val="009E58FD"/>
    <w:rsid w:val="009E5943"/>
    <w:rsid w:val="009E5947"/>
    <w:rsid w:val="009E5975"/>
    <w:rsid w:val="009E5998"/>
    <w:rsid w:val="009E59EE"/>
    <w:rsid w:val="009E59F4"/>
    <w:rsid w:val="009E59F7"/>
    <w:rsid w:val="009E5A39"/>
    <w:rsid w:val="009E5A79"/>
    <w:rsid w:val="009E5A9A"/>
    <w:rsid w:val="009E5AA9"/>
    <w:rsid w:val="009E5AE0"/>
    <w:rsid w:val="009E5AFD"/>
    <w:rsid w:val="009E5B0B"/>
    <w:rsid w:val="009E5B78"/>
    <w:rsid w:val="009E5B93"/>
    <w:rsid w:val="009E5BBC"/>
    <w:rsid w:val="009E5C83"/>
    <w:rsid w:val="009E5CCC"/>
    <w:rsid w:val="009E5CF0"/>
    <w:rsid w:val="009E5D03"/>
    <w:rsid w:val="009E5DB8"/>
    <w:rsid w:val="009E5E48"/>
    <w:rsid w:val="009E5E5E"/>
    <w:rsid w:val="009E5E95"/>
    <w:rsid w:val="009E5EA8"/>
    <w:rsid w:val="009E5EA9"/>
    <w:rsid w:val="009E5F28"/>
    <w:rsid w:val="009E5F56"/>
    <w:rsid w:val="009E5F8C"/>
    <w:rsid w:val="009E5FB8"/>
    <w:rsid w:val="009E5FBF"/>
    <w:rsid w:val="009E5FEB"/>
    <w:rsid w:val="009E6022"/>
    <w:rsid w:val="009E6039"/>
    <w:rsid w:val="009E60AF"/>
    <w:rsid w:val="009E60FA"/>
    <w:rsid w:val="009E614F"/>
    <w:rsid w:val="009E625C"/>
    <w:rsid w:val="009E6270"/>
    <w:rsid w:val="009E6292"/>
    <w:rsid w:val="009E6298"/>
    <w:rsid w:val="009E62DD"/>
    <w:rsid w:val="009E6317"/>
    <w:rsid w:val="009E6319"/>
    <w:rsid w:val="009E6375"/>
    <w:rsid w:val="009E63C2"/>
    <w:rsid w:val="009E6464"/>
    <w:rsid w:val="009E647F"/>
    <w:rsid w:val="009E64A3"/>
    <w:rsid w:val="009E64AB"/>
    <w:rsid w:val="009E6569"/>
    <w:rsid w:val="009E656A"/>
    <w:rsid w:val="009E658A"/>
    <w:rsid w:val="009E65D3"/>
    <w:rsid w:val="009E662B"/>
    <w:rsid w:val="009E66A3"/>
    <w:rsid w:val="009E66F0"/>
    <w:rsid w:val="009E66FA"/>
    <w:rsid w:val="009E670A"/>
    <w:rsid w:val="009E6782"/>
    <w:rsid w:val="009E679E"/>
    <w:rsid w:val="009E67B3"/>
    <w:rsid w:val="009E67C3"/>
    <w:rsid w:val="009E67DA"/>
    <w:rsid w:val="009E67FB"/>
    <w:rsid w:val="009E6826"/>
    <w:rsid w:val="009E6844"/>
    <w:rsid w:val="009E68E5"/>
    <w:rsid w:val="009E692C"/>
    <w:rsid w:val="009E6942"/>
    <w:rsid w:val="009E69A6"/>
    <w:rsid w:val="009E69B1"/>
    <w:rsid w:val="009E6A0E"/>
    <w:rsid w:val="009E6A4B"/>
    <w:rsid w:val="009E6A50"/>
    <w:rsid w:val="009E6AE3"/>
    <w:rsid w:val="009E6B11"/>
    <w:rsid w:val="009E6B9A"/>
    <w:rsid w:val="009E6BAC"/>
    <w:rsid w:val="009E6C6F"/>
    <w:rsid w:val="009E6CCA"/>
    <w:rsid w:val="009E6CDD"/>
    <w:rsid w:val="009E6D15"/>
    <w:rsid w:val="009E6D4E"/>
    <w:rsid w:val="009E6D5B"/>
    <w:rsid w:val="009E6E3D"/>
    <w:rsid w:val="009E6E93"/>
    <w:rsid w:val="009E6EC0"/>
    <w:rsid w:val="009E6F3F"/>
    <w:rsid w:val="009E6F65"/>
    <w:rsid w:val="009E6FEC"/>
    <w:rsid w:val="009E6FF8"/>
    <w:rsid w:val="009E704E"/>
    <w:rsid w:val="009E7074"/>
    <w:rsid w:val="009E70B4"/>
    <w:rsid w:val="009E7136"/>
    <w:rsid w:val="009E716D"/>
    <w:rsid w:val="009E7264"/>
    <w:rsid w:val="009E731D"/>
    <w:rsid w:val="009E7335"/>
    <w:rsid w:val="009E7365"/>
    <w:rsid w:val="009E73D1"/>
    <w:rsid w:val="009E740A"/>
    <w:rsid w:val="009E74A3"/>
    <w:rsid w:val="009E74BF"/>
    <w:rsid w:val="009E74D6"/>
    <w:rsid w:val="009E756B"/>
    <w:rsid w:val="009E7595"/>
    <w:rsid w:val="009E75AF"/>
    <w:rsid w:val="009E764B"/>
    <w:rsid w:val="009E7692"/>
    <w:rsid w:val="009E769E"/>
    <w:rsid w:val="009E76E0"/>
    <w:rsid w:val="009E7725"/>
    <w:rsid w:val="009E7790"/>
    <w:rsid w:val="009E77AC"/>
    <w:rsid w:val="009E781A"/>
    <w:rsid w:val="009E785C"/>
    <w:rsid w:val="009E78CA"/>
    <w:rsid w:val="009E78DE"/>
    <w:rsid w:val="009E78E1"/>
    <w:rsid w:val="009E7916"/>
    <w:rsid w:val="009E799C"/>
    <w:rsid w:val="009E79F7"/>
    <w:rsid w:val="009E7A0B"/>
    <w:rsid w:val="009E7A2A"/>
    <w:rsid w:val="009E7A40"/>
    <w:rsid w:val="009E7AC2"/>
    <w:rsid w:val="009E7AD7"/>
    <w:rsid w:val="009E7AE1"/>
    <w:rsid w:val="009E7AF8"/>
    <w:rsid w:val="009E7B2E"/>
    <w:rsid w:val="009E7B45"/>
    <w:rsid w:val="009E7BE4"/>
    <w:rsid w:val="009E7BFB"/>
    <w:rsid w:val="009E7C05"/>
    <w:rsid w:val="009E7C1C"/>
    <w:rsid w:val="009E7C22"/>
    <w:rsid w:val="009E7C50"/>
    <w:rsid w:val="009E7CD7"/>
    <w:rsid w:val="009E7DB9"/>
    <w:rsid w:val="009E7DBA"/>
    <w:rsid w:val="009E7DD4"/>
    <w:rsid w:val="009E7DE6"/>
    <w:rsid w:val="009E7E94"/>
    <w:rsid w:val="009E7E9D"/>
    <w:rsid w:val="009E7F61"/>
    <w:rsid w:val="009E7FC6"/>
    <w:rsid w:val="009F00C6"/>
    <w:rsid w:val="009F00D5"/>
    <w:rsid w:val="009F00E7"/>
    <w:rsid w:val="009F00F7"/>
    <w:rsid w:val="009F021A"/>
    <w:rsid w:val="009F0220"/>
    <w:rsid w:val="009F022D"/>
    <w:rsid w:val="009F023D"/>
    <w:rsid w:val="009F0274"/>
    <w:rsid w:val="009F0279"/>
    <w:rsid w:val="009F0316"/>
    <w:rsid w:val="009F0319"/>
    <w:rsid w:val="009F032B"/>
    <w:rsid w:val="009F032E"/>
    <w:rsid w:val="009F037C"/>
    <w:rsid w:val="009F0389"/>
    <w:rsid w:val="009F03B1"/>
    <w:rsid w:val="009F03B6"/>
    <w:rsid w:val="009F0409"/>
    <w:rsid w:val="009F0415"/>
    <w:rsid w:val="009F0452"/>
    <w:rsid w:val="009F04C4"/>
    <w:rsid w:val="009F04CC"/>
    <w:rsid w:val="009F04EF"/>
    <w:rsid w:val="009F04F8"/>
    <w:rsid w:val="009F0511"/>
    <w:rsid w:val="009F051E"/>
    <w:rsid w:val="009F0531"/>
    <w:rsid w:val="009F056A"/>
    <w:rsid w:val="009F0609"/>
    <w:rsid w:val="009F0627"/>
    <w:rsid w:val="009F0679"/>
    <w:rsid w:val="009F0722"/>
    <w:rsid w:val="009F0746"/>
    <w:rsid w:val="009F075D"/>
    <w:rsid w:val="009F079D"/>
    <w:rsid w:val="009F07B3"/>
    <w:rsid w:val="009F080D"/>
    <w:rsid w:val="009F0872"/>
    <w:rsid w:val="009F08BA"/>
    <w:rsid w:val="009F08C2"/>
    <w:rsid w:val="009F09B7"/>
    <w:rsid w:val="009F09BF"/>
    <w:rsid w:val="009F0A60"/>
    <w:rsid w:val="009F0A6C"/>
    <w:rsid w:val="009F0A74"/>
    <w:rsid w:val="009F0A92"/>
    <w:rsid w:val="009F0AEC"/>
    <w:rsid w:val="009F0B0E"/>
    <w:rsid w:val="009F0B32"/>
    <w:rsid w:val="009F0B40"/>
    <w:rsid w:val="009F0B62"/>
    <w:rsid w:val="009F0B64"/>
    <w:rsid w:val="009F0BF4"/>
    <w:rsid w:val="009F0C32"/>
    <w:rsid w:val="009F0C40"/>
    <w:rsid w:val="009F0C42"/>
    <w:rsid w:val="009F0C99"/>
    <w:rsid w:val="009F0CC2"/>
    <w:rsid w:val="009F0CD1"/>
    <w:rsid w:val="009F0D18"/>
    <w:rsid w:val="009F0DB8"/>
    <w:rsid w:val="009F0E03"/>
    <w:rsid w:val="009F0E06"/>
    <w:rsid w:val="009F0E66"/>
    <w:rsid w:val="009F0EAF"/>
    <w:rsid w:val="009F0EDC"/>
    <w:rsid w:val="009F0EEE"/>
    <w:rsid w:val="009F0EF4"/>
    <w:rsid w:val="009F0EFD"/>
    <w:rsid w:val="009F0F2D"/>
    <w:rsid w:val="009F0F41"/>
    <w:rsid w:val="009F0F4A"/>
    <w:rsid w:val="009F0F4C"/>
    <w:rsid w:val="009F0F86"/>
    <w:rsid w:val="009F0FD2"/>
    <w:rsid w:val="009F0FDA"/>
    <w:rsid w:val="009F100E"/>
    <w:rsid w:val="009F1011"/>
    <w:rsid w:val="009F101C"/>
    <w:rsid w:val="009F1052"/>
    <w:rsid w:val="009F1061"/>
    <w:rsid w:val="009F1082"/>
    <w:rsid w:val="009F1086"/>
    <w:rsid w:val="009F10D5"/>
    <w:rsid w:val="009F1190"/>
    <w:rsid w:val="009F119F"/>
    <w:rsid w:val="009F1229"/>
    <w:rsid w:val="009F123E"/>
    <w:rsid w:val="009F1264"/>
    <w:rsid w:val="009F1276"/>
    <w:rsid w:val="009F128A"/>
    <w:rsid w:val="009F1318"/>
    <w:rsid w:val="009F13AB"/>
    <w:rsid w:val="009F13AE"/>
    <w:rsid w:val="009F13DE"/>
    <w:rsid w:val="009F1420"/>
    <w:rsid w:val="009F145C"/>
    <w:rsid w:val="009F1492"/>
    <w:rsid w:val="009F14A7"/>
    <w:rsid w:val="009F14B2"/>
    <w:rsid w:val="009F15C6"/>
    <w:rsid w:val="009F15F5"/>
    <w:rsid w:val="009F160C"/>
    <w:rsid w:val="009F1630"/>
    <w:rsid w:val="009F1639"/>
    <w:rsid w:val="009F163C"/>
    <w:rsid w:val="009F1694"/>
    <w:rsid w:val="009F16C0"/>
    <w:rsid w:val="009F16F5"/>
    <w:rsid w:val="009F1733"/>
    <w:rsid w:val="009F173F"/>
    <w:rsid w:val="009F1741"/>
    <w:rsid w:val="009F1747"/>
    <w:rsid w:val="009F17EC"/>
    <w:rsid w:val="009F181C"/>
    <w:rsid w:val="009F1896"/>
    <w:rsid w:val="009F18AA"/>
    <w:rsid w:val="009F1934"/>
    <w:rsid w:val="009F1987"/>
    <w:rsid w:val="009F1991"/>
    <w:rsid w:val="009F1994"/>
    <w:rsid w:val="009F1A56"/>
    <w:rsid w:val="009F1A73"/>
    <w:rsid w:val="009F1B23"/>
    <w:rsid w:val="009F1B35"/>
    <w:rsid w:val="009F1BB5"/>
    <w:rsid w:val="009F1BCA"/>
    <w:rsid w:val="009F1BDA"/>
    <w:rsid w:val="009F1C2D"/>
    <w:rsid w:val="009F1C5A"/>
    <w:rsid w:val="009F1CAA"/>
    <w:rsid w:val="009F1CEC"/>
    <w:rsid w:val="009F1CEE"/>
    <w:rsid w:val="009F1CFE"/>
    <w:rsid w:val="009F1D1C"/>
    <w:rsid w:val="009F1D9F"/>
    <w:rsid w:val="009F1DF0"/>
    <w:rsid w:val="009F1DFA"/>
    <w:rsid w:val="009F1E51"/>
    <w:rsid w:val="009F1EB8"/>
    <w:rsid w:val="009F1EE7"/>
    <w:rsid w:val="009F1F4F"/>
    <w:rsid w:val="009F1F87"/>
    <w:rsid w:val="009F1FA6"/>
    <w:rsid w:val="009F1FE4"/>
    <w:rsid w:val="009F1FEC"/>
    <w:rsid w:val="009F2135"/>
    <w:rsid w:val="009F21B6"/>
    <w:rsid w:val="009F21DA"/>
    <w:rsid w:val="009F21FF"/>
    <w:rsid w:val="009F2223"/>
    <w:rsid w:val="009F2245"/>
    <w:rsid w:val="009F2301"/>
    <w:rsid w:val="009F2343"/>
    <w:rsid w:val="009F2377"/>
    <w:rsid w:val="009F237C"/>
    <w:rsid w:val="009F23BA"/>
    <w:rsid w:val="009F23C7"/>
    <w:rsid w:val="009F23D8"/>
    <w:rsid w:val="009F2447"/>
    <w:rsid w:val="009F2458"/>
    <w:rsid w:val="009F249E"/>
    <w:rsid w:val="009F24A7"/>
    <w:rsid w:val="009F24B7"/>
    <w:rsid w:val="009F2507"/>
    <w:rsid w:val="009F255D"/>
    <w:rsid w:val="009F25A5"/>
    <w:rsid w:val="009F2611"/>
    <w:rsid w:val="009F2680"/>
    <w:rsid w:val="009F26E5"/>
    <w:rsid w:val="009F2746"/>
    <w:rsid w:val="009F2773"/>
    <w:rsid w:val="009F2795"/>
    <w:rsid w:val="009F27D7"/>
    <w:rsid w:val="009F27DF"/>
    <w:rsid w:val="009F286F"/>
    <w:rsid w:val="009F28F8"/>
    <w:rsid w:val="009F2929"/>
    <w:rsid w:val="009F29C8"/>
    <w:rsid w:val="009F29D2"/>
    <w:rsid w:val="009F29D6"/>
    <w:rsid w:val="009F29E1"/>
    <w:rsid w:val="009F2A2D"/>
    <w:rsid w:val="009F2A4C"/>
    <w:rsid w:val="009F2A62"/>
    <w:rsid w:val="009F2A8A"/>
    <w:rsid w:val="009F2AC7"/>
    <w:rsid w:val="009F2AE5"/>
    <w:rsid w:val="009F2AF5"/>
    <w:rsid w:val="009F2BD8"/>
    <w:rsid w:val="009F2C06"/>
    <w:rsid w:val="009F2C0C"/>
    <w:rsid w:val="009F2C2F"/>
    <w:rsid w:val="009F2CA4"/>
    <w:rsid w:val="009F2CBB"/>
    <w:rsid w:val="009F2CE2"/>
    <w:rsid w:val="009F2D8C"/>
    <w:rsid w:val="009F2E8B"/>
    <w:rsid w:val="009F2EF5"/>
    <w:rsid w:val="009F2F07"/>
    <w:rsid w:val="009F2F1F"/>
    <w:rsid w:val="009F2F40"/>
    <w:rsid w:val="009F2F58"/>
    <w:rsid w:val="009F2F5D"/>
    <w:rsid w:val="009F2FD2"/>
    <w:rsid w:val="009F314B"/>
    <w:rsid w:val="009F315E"/>
    <w:rsid w:val="009F3214"/>
    <w:rsid w:val="009F3229"/>
    <w:rsid w:val="009F3256"/>
    <w:rsid w:val="009F3273"/>
    <w:rsid w:val="009F327C"/>
    <w:rsid w:val="009F329F"/>
    <w:rsid w:val="009F32D0"/>
    <w:rsid w:val="009F32F7"/>
    <w:rsid w:val="009F3326"/>
    <w:rsid w:val="009F33C4"/>
    <w:rsid w:val="009F33F5"/>
    <w:rsid w:val="009F3425"/>
    <w:rsid w:val="009F3471"/>
    <w:rsid w:val="009F348F"/>
    <w:rsid w:val="009F34F2"/>
    <w:rsid w:val="009F3501"/>
    <w:rsid w:val="009F353C"/>
    <w:rsid w:val="009F356E"/>
    <w:rsid w:val="009F356F"/>
    <w:rsid w:val="009F3593"/>
    <w:rsid w:val="009F35C0"/>
    <w:rsid w:val="009F35E2"/>
    <w:rsid w:val="009F3658"/>
    <w:rsid w:val="009F36D8"/>
    <w:rsid w:val="009F371B"/>
    <w:rsid w:val="009F3752"/>
    <w:rsid w:val="009F3782"/>
    <w:rsid w:val="009F37AF"/>
    <w:rsid w:val="009F37CB"/>
    <w:rsid w:val="009F37D7"/>
    <w:rsid w:val="009F3823"/>
    <w:rsid w:val="009F3840"/>
    <w:rsid w:val="009F388E"/>
    <w:rsid w:val="009F38AE"/>
    <w:rsid w:val="009F394A"/>
    <w:rsid w:val="009F3998"/>
    <w:rsid w:val="009F3A2F"/>
    <w:rsid w:val="009F3AC5"/>
    <w:rsid w:val="009F3AC6"/>
    <w:rsid w:val="009F3AC7"/>
    <w:rsid w:val="009F3AFD"/>
    <w:rsid w:val="009F3B16"/>
    <w:rsid w:val="009F3BD0"/>
    <w:rsid w:val="009F3BF2"/>
    <w:rsid w:val="009F3C03"/>
    <w:rsid w:val="009F3C20"/>
    <w:rsid w:val="009F3C46"/>
    <w:rsid w:val="009F3C8E"/>
    <w:rsid w:val="009F3CD5"/>
    <w:rsid w:val="009F3D7C"/>
    <w:rsid w:val="009F3E68"/>
    <w:rsid w:val="009F3E91"/>
    <w:rsid w:val="009F3E9C"/>
    <w:rsid w:val="009F3EAA"/>
    <w:rsid w:val="009F3ED1"/>
    <w:rsid w:val="009F3ED2"/>
    <w:rsid w:val="009F3ED9"/>
    <w:rsid w:val="009F3EED"/>
    <w:rsid w:val="009F3F7A"/>
    <w:rsid w:val="009F405F"/>
    <w:rsid w:val="009F416A"/>
    <w:rsid w:val="009F416F"/>
    <w:rsid w:val="009F4171"/>
    <w:rsid w:val="009F41C8"/>
    <w:rsid w:val="009F4200"/>
    <w:rsid w:val="009F421E"/>
    <w:rsid w:val="009F42BB"/>
    <w:rsid w:val="009F42FC"/>
    <w:rsid w:val="009F4344"/>
    <w:rsid w:val="009F4351"/>
    <w:rsid w:val="009F4395"/>
    <w:rsid w:val="009F43BB"/>
    <w:rsid w:val="009F443A"/>
    <w:rsid w:val="009F4454"/>
    <w:rsid w:val="009F4462"/>
    <w:rsid w:val="009F44A9"/>
    <w:rsid w:val="009F44B4"/>
    <w:rsid w:val="009F4510"/>
    <w:rsid w:val="009F45A5"/>
    <w:rsid w:val="009F4621"/>
    <w:rsid w:val="009F4644"/>
    <w:rsid w:val="009F4674"/>
    <w:rsid w:val="009F46AA"/>
    <w:rsid w:val="009F46CF"/>
    <w:rsid w:val="009F46F6"/>
    <w:rsid w:val="009F4771"/>
    <w:rsid w:val="009F4773"/>
    <w:rsid w:val="009F4779"/>
    <w:rsid w:val="009F47E5"/>
    <w:rsid w:val="009F47FE"/>
    <w:rsid w:val="009F4811"/>
    <w:rsid w:val="009F4844"/>
    <w:rsid w:val="009F485C"/>
    <w:rsid w:val="009F4886"/>
    <w:rsid w:val="009F48D5"/>
    <w:rsid w:val="009F48EC"/>
    <w:rsid w:val="009F49B9"/>
    <w:rsid w:val="009F49BB"/>
    <w:rsid w:val="009F49CF"/>
    <w:rsid w:val="009F49F0"/>
    <w:rsid w:val="009F4A4A"/>
    <w:rsid w:val="009F4A67"/>
    <w:rsid w:val="009F4A6A"/>
    <w:rsid w:val="009F4A82"/>
    <w:rsid w:val="009F4A9D"/>
    <w:rsid w:val="009F4AA0"/>
    <w:rsid w:val="009F4ABB"/>
    <w:rsid w:val="009F4AFB"/>
    <w:rsid w:val="009F4BAC"/>
    <w:rsid w:val="009F4C5B"/>
    <w:rsid w:val="009F4C8D"/>
    <w:rsid w:val="009F4CA9"/>
    <w:rsid w:val="009F4CCD"/>
    <w:rsid w:val="009F4CD2"/>
    <w:rsid w:val="009F4D39"/>
    <w:rsid w:val="009F4D58"/>
    <w:rsid w:val="009F4DDF"/>
    <w:rsid w:val="009F4E15"/>
    <w:rsid w:val="009F4E19"/>
    <w:rsid w:val="009F4E7A"/>
    <w:rsid w:val="009F4E7B"/>
    <w:rsid w:val="009F4EA8"/>
    <w:rsid w:val="009F4EBB"/>
    <w:rsid w:val="009F4EEB"/>
    <w:rsid w:val="009F4EF4"/>
    <w:rsid w:val="009F4F91"/>
    <w:rsid w:val="009F4FBB"/>
    <w:rsid w:val="009F5027"/>
    <w:rsid w:val="009F50E5"/>
    <w:rsid w:val="009F5154"/>
    <w:rsid w:val="009F518A"/>
    <w:rsid w:val="009F5224"/>
    <w:rsid w:val="009F5250"/>
    <w:rsid w:val="009F52E1"/>
    <w:rsid w:val="009F5301"/>
    <w:rsid w:val="009F530B"/>
    <w:rsid w:val="009F532C"/>
    <w:rsid w:val="009F538A"/>
    <w:rsid w:val="009F5390"/>
    <w:rsid w:val="009F539A"/>
    <w:rsid w:val="009F53F3"/>
    <w:rsid w:val="009F5412"/>
    <w:rsid w:val="009F5446"/>
    <w:rsid w:val="009F54A5"/>
    <w:rsid w:val="009F54E3"/>
    <w:rsid w:val="009F5591"/>
    <w:rsid w:val="009F55AF"/>
    <w:rsid w:val="009F55C0"/>
    <w:rsid w:val="009F55DB"/>
    <w:rsid w:val="009F5608"/>
    <w:rsid w:val="009F5625"/>
    <w:rsid w:val="009F56F0"/>
    <w:rsid w:val="009F56FC"/>
    <w:rsid w:val="009F5714"/>
    <w:rsid w:val="009F5770"/>
    <w:rsid w:val="009F581D"/>
    <w:rsid w:val="009F5863"/>
    <w:rsid w:val="009F5868"/>
    <w:rsid w:val="009F58B5"/>
    <w:rsid w:val="009F58E1"/>
    <w:rsid w:val="009F58F2"/>
    <w:rsid w:val="009F58F5"/>
    <w:rsid w:val="009F5906"/>
    <w:rsid w:val="009F5918"/>
    <w:rsid w:val="009F5933"/>
    <w:rsid w:val="009F5A54"/>
    <w:rsid w:val="009F5A65"/>
    <w:rsid w:val="009F5AC6"/>
    <w:rsid w:val="009F5AFE"/>
    <w:rsid w:val="009F5B35"/>
    <w:rsid w:val="009F5B6C"/>
    <w:rsid w:val="009F5BA5"/>
    <w:rsid w:val="009F5BDB"/>
    <w:rsid w:val="009F5BF4"/>
    <w:rsid w:val="009F5C27"/>
    <w:rsid w:val="009F5CB6"/>
    <w:rsid w:val="009F5CEF"/>
    <w:rsid w:val="009F5CF9"/>
    <w:rsid w:val="009F5D6F"/>
    <w:rsid w:val="009F5D84"/>
    <w:rsid w:val="009F5DB9"/>
    <w:rsid w:val="009F5E7E"/>
    <w:rsid w:val="009F5F0F"/>
    <w:rsid w:val="009F5F7B"/>
    <w:rsid w:val="009F5F98"/>
    <w:rsid w:val="009F5FFC"/>
    <w:rsid w:val="009F6025"/>
    <w:rsid w:val="009F609C"/>
    <w:rsid w:val="009F60F1"/>
    <w:rsid w:val="009F6173"/>
    <w:rsid w:val="009F61AD"/>
    <w:rsid w:val="009F62B3"/>
    <w:rsid w:val="009F62E3"/>
    <w:rsid w:val="009F6335"/>
    <w:rsid w:val="009F6369"/>
    <w:rsid w:val="009F63B5"/>
    <w:rsid w:val="009F641D"/>
    <w:rsid w:val="009F6420"/>
    <w:rsid w:val="009F64AD"/>
    <w:rsid w:val="009F64C3"/>
    <w:rsid w:val="009F64E3"/>
    <w:rsid w:val="009F65F4"/>
    <w:rsid w:val="009F660D"/>
    <w:rsid w:val="009F6691"/>
    <w:rsid w:val="009F66CD"/>
    <w:rsid w:val="009F66FC"/>
    <w:rsid w:val="009F6702"/>
    <w:rsid w:val="009F6744"/>
    <w:rsid w:val="009F6781"/>
    <w:rsid w:val="009F67B6"/>
    <w:rsid w:val="009F67F8"/>
    <w:rsid w:val="009F6868"/>
    <w:rsid w:val="009F68F4"/>
    <w:rsid w:val="009F6955"/>
    <w:rsid w:val="009F695C"/>
    <w:rsid w:val="009F6965"/>
    <w:rsid w:val="009F69AC"/>
    <w:rsid w:val="009F6A51"/>
    <w:rsid w:val="009F6B8E"/>
    <w:rsid w:val="009F6BBA"/>
    <w:rsid w:val="009F6BC9"/>
    <w:rsid w:val="009F6BF1"/>
    <w:rsid w:val="009F6C4A"/>
    <w:rsid w:val="009F6C51"/>
    <w:rsid w:val="009F6C93"/>
    <w:rsid w:val="009F6CBB"/>
    <w:rsid w:val="009F6CD7"/>
    <w:rsid w:val="009F6D34"/>
    <w:rsid w:val="009F6DB7"/>
    <w:rsid w:val="009F6E33"/>
    <w:rsid w:val="009F6F97"/>
    <w:rsid w:val="009F6FCC"/>
    <w:rsid w:val="009F6FD4"/>
    <w:rsid w:val="009F6FE5"/>
    <w:rsid w:val="009F7029"/>
    <w:rsid w:val="009F7059"/>
    <w:rsid w:val="009F7085"/>
    <w:rsid w:val="009F70DE"/>
    <w:rsid w:val="009F70E3"/>
    <w:rsid w:val="009F71E0"/>
    <w:rsid w:val="009F7237"/>
    <w:rsid w:val="009F727D"/>
    <w:rsid w:val="009F72BF"/>
    <w:rsid w:val="009F73FD"/>
    <w:rsid w:val="009F7455"/>
    <w:rsid w:val="009F7475"/>
    <w:rsid w:val="009F747A"/>
    <w:rsid w:val="009F7563"/>
    <w:rsid w:val="009F7591"/>
    <w:rsid w:val="009F759E"/>
    <w:rsid w:val="009F75E1"/>
    <w:rsid w:val="009F7644"/>
    <w:rsid w:val="009F76A1"/>
    <w:rsid w:val="009F76E7"/>
    <w:rsid w:val="009F76F5"/>
    <w:rsid w:val="009F76F7"/>
    <w:rsid w:val="009F7727"/>
    <w:rsid w:val="009F77AD"/>
    <w:rsid w:val="009F77DA"/>
    <w:rsid w:val="009F77FD"/>
    <w:rsid w:val="009F7802"/>
    <w:rsid w:val="009F782D"/>
    <w:rsid w:val="009F7853"/>
    <w:rsid w:val="009F7867"/>
    <w:rsid w:val="009F7939"/>
    <w:rsid w:val="009F793D"/>
    <w:rsid w:val="009F798C"/>
    <w:rsid w:val="009F7998"/>
    <w:rsid w:val="009F799C"/>
    <w:rsid w:val="009F79A6"/>
    <w:rsid w:val="009F79E0"/>
    <w:rsid w:val="009F7A00"/>
    <w:rsid w:val="009F7A01"/>
    <w:rsid w:val="009F7ABA"/>
    <w:rsid w:val="009F7ACC"/>
    <w:rsid w:val="009F7AD8"/>
    <w:rsid w:val="009F7B53"/>
    <w:rsid w:val="009F7C27"/>
    <w:rsid w:val="009F7C40"/>
    <w:rsid w:val="009F7C61"/>
    <w:rsid w:val="009F7C9F"/>
    <w:rsid w:val="009F7CA8"/>
    <w:rsid w:val="009F7CDA"/>
    <w:rsid w:val="009F7CE9"/>
    <w:rsid w:val="009F7D1A"/>
    <w:rsid w:val="009F7D20"/>
    <w:rsid w:val="009F7D25"/>
    <w:rsid w:val="009F7D28"/>
    <w:rsid w:val="009F7DF2"/>
    <w:rsid w:val="009F7E13"/>
    <w:rsid w:val="009F7E1D"/>
    <w:rsid w:val="009F7E4B"/>
    <w:rsid w:val="009F7E85"/>
    <w:rsid w:val="009F7F17"/>
    <w:rsid w:val="009F7F4A"/>
    <w:rsid w:val="009F7F90"/>
    <w:rsid w:val="009F7FF9"/>
    <w:rsid w:val="009F7FFC"/>
    <w:rsid w:val="00A0006A"/>
    <w:rsid w:val="00A00092"/>
    <w:rsid w:val="00A00095"/>
    <w:rsid w:val="00A000B0"/>
    <w:rsid w:val="00A000B8"/>
    <w:rsid w:val="00A000BF"/>
    <w:rsid w:val="00A000C3"/>
    <w:rsid w:val="00A000F3"/>
    <w:rsid w:val="00A00171"/>
    <w:rsid w:val="00A00196"/>
    <w:rsid w:val="00A00220"/>
    <w:rsid w:val="00A0022D"/>
    <w:rsid w:val="00A002C1"/>
    <w:rsid w:val="00A002E2"/>
    <w:rsid w:val="00A00368"/>
    <w:rsid w:val="00A003BB"/>
    <w:rsid w:val="00A003CE"/>
    <w:rsid w:val="00A00464"/>
    <w:rsid w:val="00A00472"/>
    <w:rsid w:val="00A0047D"/>
    <w:rsid w:val="00A00485"/>
    <w:rsid w:val="00A004BF"/>
    <w:rsid w:val="00A004E1"/>
    <w:rsid w:val="00A00553"/>
    <w:rsid w:val="00A0057C"/>
    <w:rsid w:val="00A005AB"/>
    <w:rsid w:val="00A005D3"/>
    <w:rsid w:val="00A006A9"/>
    <w:rsid w:val="00A006B1"/>
    <w:rsid w:val="00A00724"/>
    <w:rsid w:val="00A0075C"/>
    <w:rsid w:val="00A00786"/>
    <w:rsid w:val="00A007D5"/>
    <w:rsid w:val="00A007EA"/>
    <w:rsid w:val="00A0088F"/>
    <w:rsid w:val="00A00967"/>
    <w:rsid w:val="00A00998"/>
    <w:rsid w:val="00A009BC"/>
    <w:rsid w:val="00A00A17"/>
    <w:rsid w:val="00A00A65"/>
    <w:rsid w:val="00A00A7A"/>
    <w:rsid w:val="00A00A95"/>
    <w:rsid w:val="00A00B35"/>
    <w:rsid w:val="00A00B5C"/>
    <w:rsid w:val="00A00B94"/>
    <w:rsid w:val="00A00B98"/>
    <w:rsid w:val="00A00BAB"/>
    <w:rsid w:val="00A00BD2"/>
    <w:rsid w:val="00A00C85"/>
    <w:rsid w:val="00A00CED"/>
    <w:rsid w:val="00A00D59"/>
    <w:rsid w:val="00A00D66"/>
    <w:rsid w:val="00A00D7F"/>
    <w:rsid w:val="00A00E00"/>
    <w:rsid w:val="00A00E97"/>
    <w:rsid w:val="00A00EE3"/>
    <w:rsid w:val="00A00F24"/>
    <w:rsid w:val="00A00F99"/>
    <w:rsid w:val="00A00FF4"/>
    <w:rsid w:val="00A00FF9"/>
    <w:rsid w:val="00A01010"/>
    <w:rsid w:val="00A01084"/>
    <w:rsid w:val="00A0109D"/>
    <w:rsid w:val="00A010B8"/>
    <w:rsid w:val="00A010D0"/>
    <w:rsid w:val="00A010F3"/>
    <w:rsid w:val="00A01169"/>
    <w:rsid w:val="00A011CD"/>
    <w:rsid w:val="00A011E2"/>
    <w:rsid w:val="00A012B9"/>
    <w:rsid w:val="00A012D9"/>
    <w:rsid w:val="00A012FE"/>
    <w:rsid w:val="00A01353"/>
    <w:rsid w:val="00A01358"/>
    <w:rsid w:val="00A01359"/>
    <w:rsid w:val="00A0135E"/>
    <w:rsid w:val="00A0137E"/>
    <w:rsid w:val="00A0138C"/>
    <w:rsid w:val="00A013B4"/>
    <w:rsid w:val="00A0142D"/>
    <w:rsid w:val="00A01465"/>
    <w:rsid w:val="00A014A6"/>
    <w:rsid w:val="00A014DB"/>
    <w:rsid w:val="00A01504"/>
    <w:rsid w:val="00A01526"/>
    <w:rsid w:val="00A015EB"/>
    <w:rsid w:val="00A01617"/>
    <w:rsid w:val="00A01635"/>
    <w:rsid w:val="00A016D9"/>
    <w:rsid w:val="00A01756"/>
    <w:rsid w:val="00A0176C"/>
    <w:rsid w:val="00A017C9"/>
    <w:rsid w:val="00A017E5"/>
    <w:rsid w:val="00A017F1"/>
    <w:rsid w:val="00A0184B"/>
    <w:rsid w:val="00A01878"/>
    <w:rsid w:val="00A018C6"/>
    <w:rsid w:val="00A01907"/>
    <w:rsid w:val="00A0198E"/>
    <w:rsid w:val="00A019A5"/>
    <w:rsid w:val="00A019E2"/>
    <w:rsid w:val="00A01AC6"/>
    <w:rsid w:val="00A01B09"/>
    <w:rsid w:val="00A01B5D"/>
    <w:rsid w:val="00A01B7C"/>
    <w:rsid w:val="00A01BC2"/>
    <w:rsid w:val="00A01C34"/>
    <w:rsid w:val="00A01C56"/>
    <w:rsid w:val="00A01CCA"/>
    <w:rsid w:val="00A01CCE"/>
    <w:rsid w:val="00A01CCF"/>
    <w:rsid w:val="00A01CE5"/>
    <w:rsid w:val="00A01CF1"/>
    <w:rsid w:val="00A01CFC"/>
    <w:rsid w:val="00A01D7A"/>
    <w:rsid w:val="00A01DD9"/>
    <w:rsid w:val="00A01DE0"/>
    <w:rsid w:val="00A01E69"/>
    <w:rsid w:val="00A01F4E"/>
    <w:rsid w:val="00A01FD9"/>
    <w:rsid w:val="00A01FE3"/>
    <w:rsid w:val="00A02001"/>
    <w:rsid w:val="00A02074"/>
    <w:rsid w:val="00A02077"/>
    <w:rsid w:val="00A020B6"/>
    <w:rsid w:val="00A020CD"/>
    <w:rsid w:val="00A020DB"/>
    <w:rsid w:val="00A02120"/>
    <w:rsid w:val="00A02178"/>
    <w:rsid w:val="00A02242"/>
    <w:rsid w:val="00A02279"/>
    <w:rsid w:val="00A022BB"/>
    <w:rsid w:val="00A022D7"/>
    <w:rsid w:val="00A022F6"/>
    <w:rsid w:val="00A0236A"/>
    <w:rsid w:val="00A023B0"/>
    <w:rsid w:val="00A023D5"/>
    <w:rsid w:val="00A023F1"/>
    <w:rsid w:val="00A023F7"/>
    <w:rsid w:val="00A0244C"/>
    <w:rsid w:val="00A024B0"/>
    <w:rsid w:val="00A024D9"/>
    <w:rsid w:val="00A0251F"/>
    <w:rsid w:val="00A02526"/>
    <w:rsid w:val="00A0254A"/>
    <w:rsid w:val="00A025C2"/>
    <w:rsid w:val="00A02647"/>
    <w:rsid w:val="00A0264C"/>
    <w:rsid w:val="00A02655"/>
    <w:rsid w:val="00A02732"/>
    <w:rsid w:val="00A0278B"/>
    <w:rsid w:val="00A027F0"/>
    <w:rsid w:val="00A027FD"/>
    <w:rsid w:val="00A028D1"/>
    <w:rsid w:val="00A028E3"/>
    <w:rsid w:val="00A02900"/>
    <w:rsid w:val="00A0297D"/>
    <w:rsid w:val="00A02A0D"/>
    <w:rsid w:val="00A02A34"/>
    <w:rsid w:val="00A02A4B"/>
    <w:rsid w:val="00A02A95"/>
    <w:rsid w:val="00A02ABC"/>
    <w:rsid w:val="00A02AEE"/>
    <w:rsid w:val="00A02B5B"/>
    <w:rsid w:val="00A02BAA"/>
    <w:rsid w:val="00A02BC3"/>
    <w:rsid w:val="00A02BEB"/>
    <w:rsid w:val="00A02C11"/>
    <w:rsid w:val="00A02C44"/>
    <w:rsid w:val="00A02C53"/>
    <w:rsid w:val="00A02C5D"/>
    <w:rsid w:val="00A02CD0"/>
    <w:rsid w:val="00A02CFF"/>
    <w:rsid w:val="00A02D05"/>
    <w:rsid w:val="00A02D0C"/>
    <w:rsid w:val="00A02D12"/>
    <w:rsid w:val="00A02D3F"/>
    <w:rsid w:val="00A02D47"/>
    <w:rsid w:val="00A02D50"/>
    <w:rsid w:val="00A02D9C"/>
    <w:rsid w:val="00A02DBB"/>
    <w:rsid w:val="00A02DC4"/>
    <w:rsid w:val="00A02DDE"/>
    <w:rsid w:val="00A02E14"/>
    <w:rsid w:val="00A02E1D"/>
    <w:rsid w:val="00A02E62"/>
    <w:rsid w:val="00A02EF6"/>
    <w:rsid w:val="00A02F48"/>
    <w:rsid w:val="00A02F8B"/>
    <w:rsid w:val="00A02FB1"/>
    <w:rsid w:val="00A03043"/>
    <w:rsid w:val="00A03048"/>
    <w:rsid w:val="00A03064"/>
    <w:rsid w:val="00A03081"/>
    <w:rsid w:val="00A030B0"/>
    <w:rsid w:val="00A030F1"/>
    <w:rsid w:val="00A03128"/>
    <w:rsid w:val="00A0312B"/>
    <w:rsid w:val="00A03164"/>
    <w:rsid w:val="00A031CC"/>
    <w:rsid w:val="00A03200"/>
    <w:rsid w:val="00A0324C"/>
    <w:rsid w:val="00A032E0"/>
    <w:rsid w:val="00A032EF"/>
    <w:rsid w:val="00A032FB"/>
    <w:rsid w:val="00A03325"/>
    <w:rsid w:val="00A03329"/>
    <w:rsid w:val="00A0333C"/>
    <w:rsid w:val="00A03348"/>
    <w:rsid w:val="00A03390"/>
    <w:rsid w:val="00A033D2"/>
    <w:rsid w:val="00A033E4"/>
    <w:rsid w:val="00A03430"/>
    <w:rsid w:val="00A03440"/>
    <w:rsid w:val="00A0347F"/>
    <w:rsid w:val="00A034AC"/>
    <w:rsid w:val="00A034C6"/>
    <w:rsid w:val="00A034DB"/>
    <w:rsid w:val="00A0350E"/>
    <w:rsid w:val="00A035D0"/>
    <w:rsid w:val="00A035E8"/>
    <w:rsid w:val="00A03692"/>
    <w:rsid w:val="00A036AC"/>
    <w:rsid w:val="00A036D2"/>
    <w:rsid w:val="00A036D6"/>
    <w:rsid w:val="00A0374B"/>
    <w:rsid w:val="00A03789"/>
    <w:rsid w:val="00A03803"/>
    <w:rsid w:val="00A03808"/>
    <w:rsid w:val="00A03817"/>
    <w:rsid w:val="00A0382D"/>
    <w:rsid w:val="00A038B8"/>
    <w:rsid w:val="00A038FC"/>
    <w:rsid w:val="00A03916"/>
    <w:rsid w:val="00A039A1"/>
    <w:rsid w:val="00A039BB"/>
    <w:rsid w:val="00A039D5"/>
    <w:rsid w:val="00A03A44"/>
    <w:rsid w:val="00A03A4B"/>
    <w:rsid w:val="00A03A58"/>
    <w:rsid w:val="00A03AC9"/>
    <w:rsid w:val="00A03B4D"/>
    <w:rsid w:val="00A03B60"/>
    <w:rsid w:val="00A03BC7"/>
    <w:rsid w:val="00A03BEA"/>
    <w:rsid w:val="00A03C3A"/>
    <w:rsid w:val="00A03C88"/>
    <w:rsid w:val="00A03CC5"/>
    <w:rsid w:val="00A03D59"/>
    <w:rsid w:val="00A03D64"/>
    <w:rsid w:val="00A03D73"/>
    <w:rsid w:val="00A03DCA"/>
    <w:rsid w:val="00A03DD7"/>
    <w:rsid w:val="00A03DEF"/>
    <w:rsid w:val="00A03E3B"/>
    <w:rsid w:val="00A03E5A"/>
    <w:rsid w:val="00A03E98"/>
    <w:rsid w:val="00A03EC1"/>
    <w:rsid w:val="00A03F03"/>
    <w:rsid w:val="00A03F17"/>
    <w:rsid w:val="00A03F43"/>
    <w:rsid w:val="00A03F94"/>
    <w:rsid w:val="00A04030"/>
    <w:rsid w:val="00A04047"/>
    <w:rsid w:val="00A04064"/>
    <w:rsid w:val="00A04072"/>
    <w:rsid w:val="00A040BB"/>
    <w:rsid w:val="00A040E6"/>
    <w:rsid w:val="00A04132"/>
    <w:rsid w:val="00A04169"/>
    <w:rsid w:val="00A04191"/>
    <w:rsid w:val="00A041C1"/>
    <w:rsid w:val="00A041D3"/>
    <w:rsid w:val="00A042BC"/>
    <w:rsid w:val="00A042EE"/>
    <w:rsid w:val="00A0431D"/>
    <w:rsid w:val="00A043C5"/>
    <w:rsid w:val="00A0445A"/>
    <w:rsid w:val="00A04478"/>
    <w:rsid w:val="00A04494"/>
    <w:rsid w:val="00A044BE"/>
    <w:rsid w:val="00A04507"/>
    <w:rsid w:val="00A0455A"/>
    <w:rsid w:val="00A04565"/>
    <w:rsid w:val="00A04626"/>
    <w:rsid w:val="00A04637"/>
    <w:rsid w:val="00A046D8"/>
    <w:rsid w:val="00A046EC"/>
    <w:rsid w:val="00A04711"/>
    <w:rsid w:val="00A04752"/>
    <w:rsid w:val="00A04763"/>
    <w:rsid w:val="00A0478A"/>
    <w:rsid w:val="00A0479A"/>
    <w:rsid w:val="00A04859"/>
    <w:rsid w:val="00A04867"/>
    <w:rsid w:val="00A04954"/>
    <w:rsid w:val="00A049C1"/>
    <w:rsid w:val="00A04A31"/>
    <w:rsid w:val="00A04A35"/>
    <w:rsid w:val="00A04A8F"/>
    <w:rsid w:val="00A04AAB"/>
    <w:rsid w:val="00A04AD5"/>
    <w:rsid w:val="00A04ADF"/>
    <w:rsid w:val="00A04B36"/>
    <w:rsid w:val="00A04B81"/>
    <w:rsid w:val="00A04B83"/>
    <w:rsid w:val="00A04D20"/>
    <w:rsid w:val="00A04D2B"/>
    <w:rsid w:val="00A04D79"/>
    <w:rsid w:val="00A04D98"/>
    <w:rsid w:val="00A04DAB"/>
    <w:rsid w:val="00A04DB5"/>
    <w:rsid w:val="00A04E33"/>
    <w:rsid w:val="00A04E44"/>
    <w:rsid w:val="00A04E53"/>
    <w:rsid w:val="00A04E86"/>
    <w:rsid w:val="00A04EB1"/>
    <w:rsid w:val="00A04F2A"/>
    <w:rsid w:val="00A04F2C"/>
    <w:rsid w:val="00A04F54"/>
    <w:rsid w:val="00A04F5D"/>
    <w:rsid w:val="00A04F5F"/>
    <w:rsid w:val="00A04FE0"/>
    <w:rsid w:val="00A05031"/>
    <w:rsid w:val="00A0515B"/>
    <w:rsid w:val="00A05176"/>
    <w:rsid w:val="00A05182"/>
    <w:rsid w:val="00A051A5"/>
    <w:rsid w:val="00A05219"/>
    <w:rsid w:val="00A05250"/>
    <w:rsid w:val="00A0526B"/>
    <w:rsid w:val="00A0531C"/>
    <w:rsid w:val="00A0542A"/>
    <w:rsid w:val="00A05469"/>
    <w:rsid w:val="00A0547D"/>
    <w:rsid w:val="00A05483"/>
    <w:rsid w:val="00A054AC"/>
    <w:rsid w:val="00A054B5"/>
    <w:rsid w:val="00A054B6"/>
    <w:rsid w:val="00A054C7"/>
    <w:rsid w:val="00A055B0"/>
    <w:rsid w:val="00A055C1"/>
    <w:rsid w:val="00A055E5"/>
    <w:rsid w:val="00A0560C"/>
    <w:rsid w:val="00A056CF"/>
    <w:rsid w:val="00A056EF"/>
    <w:rsid w:val="00A056FF"/>
    <w:rsid w:val="00A05724"/>
    <w:rsid w:val="00A0573D"/>
    <w:rsid w:val="00A05775"/>
    <w:rsid w:val="00A0577D"/>
    <w:rsid w:val="00A057BF"/>
    <w:rsid w:val="00A057D7"/>
    <w:rsid w:val="00A05856"/>
    <w:rsid w:val="00A058DB"/>
    <w:rsid w:val="00A058F5"/>
    <w:rsid w:val="00A05912"/>
    <w:rsid w:val="00A0594B"/>
    <w:rsid w:val="00A05971"/>
    <w:rsid w:val="00A05ACE"/>
    <w:rsid w:val="00A05ACF"/>
    <w:rsid w:val="00A05AF9"/>
    <w:rsid w:val="00A05BAC"/>
    <w:rsid w:val="00A05BBD"/>
    <w:rsid w:val="00A05BEE"/>
    <w:rsid w:val="00A05C60"/>
    <w:rsid w:val="00A05C8F"/>
    <w:rsid w:val="00A05CED"/>
    <w:rsid w:val="00A05CF4"/>
    <w:rsid w:val="00A05D38"/>
    <w:rsid w:val="00A05D48"/>
    <w:rsid w:val="00A05D4D"/>
    <w:rsid w:val="00A05D78"/>
    <w:rsid w:val="00A05DC4"/>
    <w:rsid w:val="00A05DE4"/>
    <w:rsid w:val="00A05DE6"/>
    <w:rsid w:val="00A05E4C"/>
    <w:rsid w:val="00A05F28"/>
    <w:rsid w:val="00A05F88"/>
    <w:rsid w:val="00A05FF8"/>
    <w:rsid w:val="00A06049"/>
    <w:rsid w:val="00A060E4"/>
    <w:rsid w:val="00A0613C"/>
    <w:rsid w:val="00A06143"/>
    <w:rsid w:val="00A0615E"/>
    <w:rsid w:val="00A061ED"/>
    <w:rsid w:val="00A0620D"/>
    <w:rsid w:val="00A06215"/>
    <w:rsid w:val="00A06269"/>
    <w:rsid w:val="00A062A3"/>
    <w:rsid w:val="00A06348"/>
    <w:rsid w:val="00A06367"/>
    <w:rsid w:val="00A06403"/>
    <w:rsid w:val="00A06452"/>
    <w:rsid w:val="00A064B9"/>
    <w:rsid w:val="00A064F9"/>
    <w:rsid w:val="00A0650C"/>
    <w:rsid w:val="00A0656C"/>
    <w:rsid w:val="00A06571"/>
    <w:rsid w:val="00A065F7"/>
    <w:rsid w:val="00A065F8"/>
    <w:rsid w:val="00A0661B"/>
    <w:rsid w:val="00A0667D"/>
    <w:rsid w:val="00A066C7"/>
    <w:rsid w:val="00A0670A"/>
    <w:rsid w:val="00A06761"/>
    <w:rsid w:val="00A0677B"/>
    <w:rsid w:val="00A067D2"/>
    <w:rsid w:val="00A067FD"/>
    <w:rsid w:val="00A06830"/>
    <w:rsid w:val="00A06861"/>
    <w:rsid w:val="00A0686A"/>
    <w:rsid w:val="00A06916"/>
    <w:rsid w:val="00A06980"/>
    <w:rsid w:val="00A0698E"/>
    <w:rsid w:val="00A069E0"/>
    <w:rsid w:val="00A06A03"/>
    <w:rsid w:val="00A06A08"/>
    <w:rsid w:val="00A06A41"/>
    <w:rsid w:val="00A06A51"/>
    <w:rsid w:val="00A06A76"/>
    <w:rsid w:val="00A06A9F"/>
    <w:rsid w:val="00A06ACD"/>
    <w:rsid w:val="00A06B65"/>
    <w:rsid w:val="00A06BAB"/>
    <w:rsid w:val="00A06BB0"/>
    <w:rsid w:val="00A06BCD"/>
    <w:rsid w:val="00A06BE9"/>
    <w:rsid w:val="00A06C2D"/>
    <w:rsid w:val="00A06CA5"/>
    <w:rsid w:val="00A06CB8"/>
    <w:rsid w:val="00A06CD3"/>
    <w:rsid w:val="00A06CF5"/>
    <w:rsid w:val="00A06D14"/>
    <w:rsid w:val="00A06D15"/>
    <w:rsid w:val="00A06D4D"/>
    <w:rsid w:val="00A06D91"/>
    <w:rsid w:val="00A06E43"/>
    <w:rsid w:val="00A06E44"/>
    <w:rsid w:val="00A06E72"/>
    <w:rsid w:val="00A06F56"/>
    <w:rsid w:val="00A06F7F"/>
    <w:rsid w:val="00A06F96"/>
    <w:rsid w:val="00A06F9F"/>
    <w:rsid w:val="00A06FC7"/>
    <w:rsid w:val="00A07006"/>
    <w:rsid w:val="00A0700C"/>
    <w:rsid w:val="00A07041"/>
    <w:rsid w:val="00A07064"/>
    <w:rsid w:val="00A0706D"/>
    <w:rsid w:val="00A070A3"/>
    <w:rsid w:val="00A070A8"/>
    <w:rsid w:val="00A0714D"/>
    <w:rsid w:val="00A0716B"/>
    <w:rsid w:val="00A071C6"/>
    <w:rsid w:val="00A07394"/>
    <w:rsid w:val="00A07409"/>
    <w:rsid w:val="00A07423"/>
    <w:rsid w:val="00A0742D"/>
    <w:rsid w:val="00A0746B"/>
    <w:rsid w:val="00A074B2"/>
    <w:rsid w:val="00A07538"/>
    <w:rsid w:val="00A07598"/>
    <w:rsid w:val="00A075CA"/>
    <w:rsid w:val="00A075DA"/>
    <w:rsid w:val="00A07607"/>
    <w:rsid w:val="00A07617"/>
    <w:rsid w:val="00A07633"/>
    <w:rsid w:val="00A076F7"/>
    <w:rsid w:val="00A07707"/>
    <w:rsid w:val="00A0774A"/>
    <w:rsid w:val="00A0774B"/>
    <w:rsid w:val="00A0783D"/>
    <w:rsid w:val="00A078C4"/>
    <w:rsid w:val="00A078D0"/>
    <w:rsid w:val="00A07924"/>
    <w:rsid w:val="00A07929"/>
    <w:rsid w:val="00A079EF"/>
    <w:rsid w:val="00A07A08"/>
    <w:rsid w:val="00A07A11"/>
    <w:rsid w:val="00A07A36"/>
    <w:rsid w:val="00A07A37"/>
    <w:rsid w:val="00A07A9C"/>
    <w:rsid w:val="00A07AAF"/>
    <w:rsid w:val="00A07B05"/>
    <w:rsid w:val="00A07B17"/>
    <w:rsid w:val="00A07B74"/>
    <w:rsid w:val="00A07BC9"/>
    <w:rsid w:val="00A07C32"/>
    <w:rsid w:val="00A07C97"/>
    <w:rsid w:val="00A07CD0"/>
    <w:rsid w:val="00A07CEB"/>
    <w:rsid w:val="00A07D14"/>
    <w:rsid w:val="00A07D9D"/>
    <w:rsid w:val="00A07DBD"/>
    <w:rsid w:val="00A07E55"/>
    <w:rsid w:val="00A07E5D"/>
    <w:rsid w:val="00A07E7A"/>
    <w:rsid w:val="00A07E95"/>
    <w:rsid w:val="00A07EB9"/>
    <w:rsid w:val="00A07F17"/>
    <w:rsid w:val="00A07F30"/>
    <w:rsid w:val="00A07F87"/>
    <w:rsid w:val="00A07F98"/>
    <w:rsid w:val="00A0E545"/>
    <w:rsid w:val="00A1003E"/>
    <w:rsid w:val="00A10064"/>
    <w:rsid w:val="00A100A0"/>
    <w:rsid w:val="00A100A2"/>
    <w:rsid w:val="00A100C7"/>
    <w:rsid w:val="00A100E8"/>
    <w:rsid w:val="00A100FF"/>
    <w:rsid w:val="00A101D5"/>
    <w:rsid w:val="00A10218"/>
    <w:rsid w:val="00A10231"/>
    <w:rsid w:val="00A102AB"/>
    <w:rsid w:val="00A102E3"/>
    <w:rsid w:val="00A10372"/>
    <w:rsid w:val="00A103EE"/>
    <w:rsid w:val="00A1042C"/>
    <w:rsid w:val="00A10445"/>
    <w:rsid w:val="00A1044A"/>
    <w:rsid w:val="00A10488"/>
    <w:rsid w:val="00A104DE"/>
    <w:rsid w:val="00A104ED"/>
    <w:rsid w:val="00A10535"/>
    <w:rsid w:val="00A10549"/>
    <w:rsid w:val="00A1061F"/>
    <w:rsid w:val="00A10632"/>
    <w:rsid w:val="00A106ED"/>
    <w:rsid w:val="00A1073C"/>
    <w:rsid w:val="00A107DC"/>
    <w:rsid w:val="00A10828"/>
    <w:rsid w:val="00A1089B"/>
    <w:rsid w:val="00A108B9"/>
    <w:rsid w:val="00A10910"/>
    <w:rsid w:val="00A1093B"/>
    <w:rsid w:val="00A10954"/>
    <w:rsid w:val="00A10975"/>
    <w:rsid w:val="00A1097F"/>
    <w:rsid w:val="00A10996"/>
    <w:rsid w:val="00A109BC"/>
    <w:rsid w:val="00A109FB"/>
    <w:rsid w:val="00A10A46"/>
    <w:rsid w:val="00A10AB2"/>
    <w:rsid w:val="00A10ABF"/>
    <w:rsid w:val="00A10AD3"/>
    <w:rsid w:val="00A10B53"/>
    <w:rsid w:val="00A10B85"/>
    <w:rsid w:val="00A10BA3"/>
    <w:rsid w:val="00A10BA8"/>
    <w:rsid w:val="00A10C0C"/>
    <w:rsid w:val="00A10CA8"/>
    <w:rsid w:val="00A10D2C"/>
    <w:rsid w:val="00A10D5B"/>
    <w:rsid w:val="00A10DA2"/>
    <w:rsid w:val="00A10DB3"/>
    <w:rsid w:val="00A10DEA"/>
    <w:rsid w:val="00A10DEC"/>
    <w:rsid w:val="00A10E53"/>
    <w:rsid w:val="00A10F33"/>
    <w:rsid w:val="00A10F41"/>
    <w:rsid w:val="00A10F63"/>
    <w:rsid w:val="00A10F66"/>
    <w:rsid w:val="00A10FC5"/>
    <w:rsid w:val="00A1104D"/>
    <w:rsid w:val="00A1104F"/>
    <w:rsid w:val="00A110BA"/>
    <w:rsid w:val="00A110C6"/>
    <w:rsid w:val="00A1110B"/>
    <w:rsid w:val="00A1113B"/>
    <w:rsid w:val="00A11147"/>
    <w:rsid w:val="00A11148"/>
    <w:rsid w:val="00A11156"/>
    <w:rsid w:val="00A11221"/>
    <w:rsid w:val="00A1127F"/>
    <w:rsid w:val="00A11291"/>
    <w:rsid w:val="00A1131D"/>
    <w:rsid w:val="00A11357"/>
    <w:rsid w:val="00A11358"/>
    <w:rsid w:val="00A1139E"/>
    <w:rsid w:val="00A1140D"/>
    <w:rsid w:val="00A11421"/>
    <w:rsid w:val="00A11442"/>
    <w:rsid w:val="00A1144B"/>
    <w:rsid w:val="00A11558"/>
    <w:rsid w:val="00A1156B"/>
    <w:rsid w:val="00A115B4"/>
    <w:rsid w:val="00A1161D"/>
    <w:rsid w:val="00A1162C"/>
    <w:rsid w:val="00A1164E"/>
    <w:rsid w:val="00A11796"/>
    <w:rsid w:val="00A1179C"/>
    <w:rsid w:val="00A117BA"/>
    <w:rsid w:val="00A117D7"/>
    <w:rsid w:val="00A117D9"/>
    <w:rsid w:val="00A11817"/>
    <w:rsid w:val="00A11826"/>
    <w:rsid w:val="00A1191A"/>
    <w:rsid w:val="00A11986"/>
    <w:rsid w:val="00A11A37"/>
    <w:rsid w:val="00A11A8A"/>
    <w:rsid w:val="00A11AA9"/>
    <w:rsid w:val="00A11AB1"/>
    <w:rsid w:val="00A11ADC"/>
    <w:rsid w:val="00A11BF9"/>
    <w:rsid w:val="00A11BFC"/>
    <w:rsid w:val="00A11C1D"/>
    <w:rsid w:val="00A11C24"/>
    <w:rsid w:val="00A11C46"/>
    <w:rsid w:val="00A11C50"/>
    <w:rsid w:val="00A11C8F"/>
    <w:rsid w:val="00A11CC7"/>
    <w:rsid w:val="00A11D05"/>
    <w:rsid w:val="00A11D4B"/>
    <w:rsid w:val="00A11D70"/>
    <w:rsid w:val="00A11DB0"/>
    <w:rsid w:val="00A11DCF"/>
    <w:rsid w:val="00A11E55"/>
    <w:rsid w:val="00A11F24"/>
    <w:rsid w:val="00A11FD5"/>
    <w:rsid w:val="00A1202C"/>
    <w:rsid w:val="00A12094"/>
    <w:rsid w:val="00A120CC"/>
    <w:rsid w:val="00A120F9"/>
    <w:rsid w:val="00A12368"/>
    <w:rsid w:val="00A123C2"/>
    <w:rsid w:val="00A12413"/>
    <w:rsid w:val="00A1246B"/>
    <w:rsid w:val="00A12485"/>
    <w:rsid w:val="00A124B9"/>
    <w:rsid w:val="00A12509"/>
    <w:rsid w:val="00A12514"/>
    <w:rsid w:val="00A12532"/>
    <w:rsid w:val="00A12544"/>
    <w:rsid w:val="00A1254A"/>
    <w:rsid w:val="00A12554"/>
    <w:rsid w:val="00A125EB"/>
    <w:rsid w:val="00A12601"/>
    <w:rsid w:val="00A12663"/>
    <w:rsid w:val="00A126D7"/>
    <w:rsid w:val="00A1271F"/>
    <w:rsid w:val="00A12730"/>
    <w:rsid w:val="00A12792"/>
    <w:rsid w:val="00A12799"/>
    <w:rsid w:val="00A127FD"/>
    <w:rsid w:val="00A12844"/>
    <w:rsid w:val="00A12892"/>
    <w:rsid w:val="00A1289B"/>
    <w:rsid w:val="00A128C8"/>
    <w:rsid w:val="00A128E0"/>
    <w:rsid w:val="00A128FA"/>
    <w:rsid w:val="00A12943"/>
    <w:rsid w:val="00A1299E"/>
    <w:rsid w:val="00A129C8"/>
    <w:rsid w:val="00A12A39"/>
    <w:rsid w:val="00A12B1E"/>
    <w:rsid w:val="00A12B3F"/>
    <w:rsid w:val="00A12B86"/>
    <w:rsid w:val="00A12B97"/>
    <w:rsid w:val="00A12C89"/>
    <w:rsid w:val="00A12C90"/>
    <w:rsid w:val="00A12D86"/>
    <w:rsid w:val="00A12D9E"/>
    <w:rsid w:val="00A12E5C"/>
    <w:rsid w:val="00A12E7D"/>
    <w:rsid w:val="00A12EA1"/>
    <w:rsid w:val="00A12EB6"/>
    <w:rsid w:val="00A12F7E"/>
    <w:rsid w:val="00A12FC2"/>
    <w:rsid w:val="00A1301D"/>
    <w:rsid w:val="00A1309D"/>
    <w:rsid w:val="00A130F5"/>
    <w:rsid w:val="00A13171"/>
    <w:rsid w:val="00A131A4"/>
    <w:rsid w:val="00A131BF"/>
    <w:rsid w:val="00A131DC"/>
    <w:rsid w:val="00A131E3"/>
    <w:rsid w:val="00A132F4"/>
    <w:rsid w:val="00A1330B"/>
    <w:rsid w:val="00A13353"/>
    <w:rsid w:val="00A1335D"/>
    <w:rsid w:val="00A1336F"/>
    <w:rsid w:val="00A13377"/>
    <w:rsid w:val="00A1339D"/>
    <w:rsid w:val="00A133AD"/>
    <w:rsid w:val="00A133B8"/>
    <w:rsid w:val="00A1340D"/>
    <w:rsid w:val="00A13417"/>
    <w:rsid w:val="00A13492"/>
    <w:rsid w:val="00A134A2"/>
    <w:rsid w:val="00A134CB"/>
    <w:rsid w:val="00A134DC"/>
    <w:rsid w:val="00A134E2"/>
    <w:rsid w:val="00A1358F"/>
    <w:rsid w:val="00A13591"/>
    <w:rsid w:val="00A135AC"/>
    <w:rsid w:val="00A1363B"/>
    <w:rsid w:val="00A13672"/>
    <w:rsid w:val="00A13700"/>
    <w:rsid w:val="00A1372D"/>
    <w:rsid w:val="00A137FB"/>
    <w:rsid w:val="00A1380D"/>
    <w:rsid w:val="00A13822"/>
    <w:rsid w:val="00A13891"/>
    <w:rsid w:val="00A138C0"/>
    <w:rsid w:val="00A138FA"/>
    <w:rsid w:val="00A13953"/>
    <w:rsid w:val="00A139A6"/>
    <w:rsid w:val="00A139D8"/>
    <w:rsid w:val="00A139F0"/>
    <w:rsid w:val="00A13A09"/>
    <w:rsid w:val="00A13ACA"/>
    <w:rsid w:val="00A13AE7"/>
    <w:rsid w:val="00A13B2B"/>
    <w:rsid w:val="00A13B33"/>
    <w:rsid w:val="00A13BBE"/>
    <w:rsid w:val="00A13BC9"/>
    <w:rsid w:val="00A13BE2"/>
    <w:rsid w:val="00A13BF1"/>
    <w:rsid w:val="00A13C34"/>
    <w:rsid w:val="00A13C54"/>
    <w:rsid w:val="00A13C56"/>
    <w:rsid w:val="00A13C61"/>
    <w:rsid w:val="00A13CB3"/>
    <w:rsid w:val="00A13D70"/>
    <w:rsid w:val="00A13D75"/>
    <w:rsid w:val="00A13DCF"/>
    <w:rsid w:val="00A13E64"/>
    <w:rsid w:val="00A13E65"/>
    <w:rsid w:val="00A13EC6"/>
    <w:rsid w:val="00A14004"/>
    <w:rsid w:val="00A14005"/>
    <w:rsid w:val="00A1413F"/>
    <w:rsid w:val="00A14187"/>
    <w:rsid w:val="00A1418A"/>
    <w:rsid w:val="00A14190"/>
    <w:rsid w:val="00A142B8"/>
    <w:rsid w:val="00A142E3"/>
    <w:rsid w:val="00A14302"/>
    <w:rsid w:val="00A14344"/>
    <w:rsid w:val="00A143B2"/>
    <w:rsid w:val="00A143E4"/>
    <w:rsid w:val="00A144A1"/>
    <w:rsid w:val="00A144B0"/>
    <w:rsid w:val="00A144C4"/>
    <w:rsid w:val="00A14589"/>
    <w:rsid w:val="00A1459F"/>
    <w:rsid w:val="00A145BA"/>
    <w:rsid w:val="00A145FE"/>
    <w:rsid w:val="00A14613"/>
    <w:rsid w:val="00A14646"/>
    <w:rsid w:val="00A146EC"/>
    <w:rsid w:val="00A1476A"/>
    <w:rsid w:val="00A14773"/>
    <w:rsid w:val="00A14785"/>
    <w:rsid w:val="00A147B3"/>
    <w:rsid w:val="00A147E7"/>
    <w:rsid w:val="00A147FC"/>
    <w:rsid w:val="00A14826"/>
    <w:rsid w:val="00A14886"/>
    <w:rsid w:val="00A14891"/>
    <w:rsid w:val="00A14898"/>
    <w:rsid w:val="00A148E0"/>
    <w:rsid w:val="00A148F7"/>
    <w:rsid w:val="00A149BE"/>
    <w:rsid w:val="00A149E8"/>
    <w:rsid w:val="00A14AA0"/>
    <w:rsid w:val="00A14AEC"/>
    <w:rsid w:val="00A14AF1"/>
    <w:rsid w:val="00A14AF8"/>
    <w:rsid w:val="00A14B1D"/>
    <w:rsid w:val="00A14B5D"/>
    <w:rsid w:val="00A14B96"/>
    <w:rsid w:val="00A14BA6"/>
    <w:rsid w:val="00A14C1B"/>
    <w:rsid w:val="00A14C2C"/>
    <w:rsid w:val="00A14CA5"/>
    <w:rsid w:val="00A14CCA"/>
    <w:rsid w:val="00A14D4E"/>
    <w:rsid w:val="00A14D56"/>
    <w:rsid w:val="00A14D7B"/>
    <w:rsid w:val="00A14DB0"/>
    <w:rsid w:val="00A14DCA"/>
    <w:rsid w:val="00A14EEE"/>
    <w:rsid w:val="00A14F20"/>
    <w:rsid w:val="00A14FA3"/>
    <w:rsid w:val="00A14FE0"/>
    <w:rsid w:val="00A14FED"/>
    <w:rsid w:val="00A15008"/>
    <w:rsid w:val="00A1503F"/>
    <w:rsid w:val="00A15048"/>
    <w:rsid w:val="00A150A4"/>
    <w:rsid w:val="00A150BD"/>
    <w:rsid w:val="00A150F0"/>
    <w:rsid w:val="00A151D7"/>
    <w:rsid w:val="00A151E4"/>
    <w:rsid w:val="00A15251"/>
    <w:rsid w:val="00A15289"/>
    <w:rsid w:val="00A1529B"/>
    <w:rsid w:val="00A152A1"/>
    <w:rsid w:val="00A152B7"/>
    <w:rsid w:val="00A152D1"/>
    <w:rsid w:val="00A15317"/>
    <w:rsid w:val="00A15359"/>
    <w:rsid w:val="00A15363"/>
    <w:rsid w:val="00A15368"/>
    <w:rsid w:val="00A1536B"/>
    <w:rsid w:val="00A1536E"/>
    <w:rsid w:val="00A1546F"/>
    <w:rsid w:val="00A154F1"/>
    <w:rsid w:val="00A154F4"/>
    <w:rsid w:val="00A15509"/>
    <w:rsid w:val="00A15519"/>
    <w:rsid w:val="00A15538"/>
    <w:rsid w:val="00A155C7"/>
    <w:rsid w:val="00A15607"/>
    <w:rsid w:val="00A1566F"/>
    <w:rsid w:val="00A156AB"/>
    <w:rsid w:val="00A15707"/>
    <w:rsid w:val="00A15777"/>
    <w:rsid w:val="00A1580C"/>
    <w:rsid w:val="00A15841"/>
    <w:rsid w:val="00A15882"/>
    <w:rsid w:val="00A158C7"/>
    <w:rsid w:val="00A15924"/>
    <w:rsid w:val="00A15929"/>
    <w:rsid w:val="00A15958"/>
    <w:rsid w:val="00A159D8"/>
    <w:rsid w:val="00A15A05"/>
    <w:rsid w:val="00A15A8B"/>
    <w:rsid w:val="00A15AEE"/>
    <w:rsid w:val="00A15BDF"/>
    <w:rsid w:val="00A15BFE"/>
    <w:rsid w:val="00A15C26"/>
    <w:rsid w:val="00A15C3D"/>
    <w:rsid w:val="00A15C48"/>
    <w:rsid w:val="00A15C68"/>
    <w:rsid w:val="00A15C73"/>
    <w:rsid w:val="00A15C98"/>
    <w:rsid w:val="00A15CCB"/>
    <w:rsid w:val="00A15CDC"/>
    <w:rsid w:val="00A15CE8"/>
    <w:rsid w:val="00A15D59"/>
    <w:rsid w:val="00A15DF7"/>
    <w:rsid w:val="00A15E29"/>
    <w:rsid w:val="00A15E56"/>
    <w:rsid w:val="00A15ED2"/>
    <w:rsid w:val="00A15F01"/>
    <w:rsid w:val="00A15F51"/>
    <w:rsid w:val="00A15F55"/>
    <w:rsid w:val="00A15F6C"/>
    <w:rsid w:val="00A15F82"/>
    <w:rsid w:val="00A15FA5"/>
    <w:rsid w:val="00A16076"/>
    <w:rsid w:val="00A160CC"/>
    <w:rsid w:val="00A160CD"/>
    <w:rsid w:val="00A160EB"/>
    <w:rsid w:val="00A16119"/>
    <w:rsid w:val="00A1616C"/>
    <w:rsid w:val="00A16171"/>
    <w:rsid w:val="00A16183"/>
    <w:rsid w:val="00A161AD"/>
    <w:rsid w:val="00A161C0"/>
    <w:rsid w:val="00A1632F"/>
    <w:rsid w:val="00A16374"/>
    <w:rsid w:val="00A1639C"/>
    <w:rsid w:val="00A163A0"/>
    <w:rsid w:val="00A1646C"/>
    <w:rsid w:val="00A16485"/>
    <w:rsid w:val="00A16499"/>
    <w:rsid w:val="00A164EA"/>
    <w:rsid w:val="00A16586"/>
    <w:rsid w:val="00A1658C"/>
    <w:rsid w:val="00A165BE"/>
    <w:rsid w:val="00A16684"/>
    <w:rsid w:val="00A166A4"/>
    <w:rsid w:val="00A166B6"/>
    <w:rsid w:val="00A166CF"/>
    <w:rsid w:val="00A166F4"/>
    <w:rsid w:val="00A167DD"/>
    <w:rsid w:val="00A1680C"/>
    <w:rsid w:val="00A16834"/>
    <w:rsid w:val="00A16879"/>
    <w:rsid w:val="00A1688E"/>
    <w:rsid w:val="00A168D4"/>
    <w:rsid w:val="00A16916"/>
    <w:rsid w:val="00A16924"/>
    <w:rsid w:val="00A1696A"/>
    <w:rsid w:val="00A1697C"/>
    <w:rsid w:val="00A169A6"/>
    <w:rsid w:val="00A169F2"/>
    <w:rsid w:val="00A16A78"/>
    <w:rsid w:val="00A16A90"/>
    <w:rsid w:val="00A16AA9"/>
    <w:rsid w:val="00A16B03"/>
    <w:rsid w:val="00A16B10"/>
    <w:rsid w:val="00A16B7E"/>
    <w:rsid w:val="00A16B8A"/>
    <w:rsid w:val="00A16B9F"/>
    <w:rsid w:val="00A16C17"/>
    <w:rsid w:val="00A16C51"/>
    <w:rsid w:val="00A16C83"/>
    <w:rsid w:val="00A16CAD"/>
    <w:rsid w:val="00A16D46"/>
    <w:rsid w:val="00A16D4F"/>
    <w:rsid w:val="00A16DB9"/>
    <w:rsid w:val="00A16E0B"/>
    <w:rsid w:val="00A16E34"/>
    <w:rsid w:val="00A16E40"/>
    <w:rsid w:val="00A16E6B"/>
    <w:rsid w:val="00A16F53"/>
    <w:rsid w:val="00A16F7E"/>
    <w:rsid w:val="00A16F80"/>
    <w:rsid w:val="00A17019"/>
    <w:rsid w:val="00A1701C"/>
    <w:rsid w:val="00A17020"/>
    <w:rsid w:val="00A1702D"/>
    <w:rsid w:val="00A170B8"/>
    <w:rsid w:val="00A170EF"/>
    <w:rsid w:val="00A1710E"/>
    <w:rsid w:val="00A17112"/>
    <w:rsid w:val="00A17153"/>
    <w:rsid w:val="00A17155"/>
    <w:rsid w:val="00A171A4"/>
    <w:rsid w:val="00A171CB"/>
    <w:rsid w:val="00A17253"/>
    <w:rsid w:val="00A1734A"/>
    <w:rsid w:val="00A1737E"/>
    <w:rsid w:val="00A17390"/>
    <w:rsid w:val="00A173ED"/>
    <w:rsid w:val="00A17439"/>
    <w:rsid w:val="00A17461"/>
    <w:rsid w:val="00A17464"/>
    <w:rsid w:val="00A1746F"/>
    <w:rsid w:val="00A174CB"/>
    <w:rsid w:val="00A174FC"/>
    <w:rsid w:val="00A1755D"/>
    <w:rsid w:val="00A175CF"/>
    <w:rsid w:val="00A175D1"/>
    <w:rsid w:val="00A1764D"/>
    <w:rsid w:val="00A17659"/>
    <w:rsid w:val="00A176B5"/>
    <w:rsid w:val="00A176DA"/>
    <w:rsid w:val="00A1770F"/>
    <w:rsid w:val="00A1773D"/>
    <w:rsid w:val="00A1774E"/>
    <w:rsid w:val="00A1779E"/>
    <w:rsid w:val="00A177B4"/>
    <w:rsid w:val="00A17833"/>
    <w:rsid w:val="00A178C1"/>
    <w:rsid w:val="00A178ED"/>
    <w:rsid w:val="00A17945"/>
    <w:rsid w:val="00A17962"/>
    <w:rsid w:val="00A179A3"/>
    <w:rsid w:val="00A179A6"/>
    <w:rsid w:val="00A179BC"/>
    <w:rsid w:val="00A179C0"/>
    <w:rsid w:val="00A17A42"/>
    <w:rsid w:val="00A17A57"/>
    <w:rsid w:val="00A17A60"/>
    <w:rsid w:val="00A17A95"/>
    <w:rsid w:val="00A17AB2"/>
    <w:rsid w:val="00A17ACA"/>
    <w:rsid w:val="00A17B0B"/>
    <w:rsid w:val="00A17BEF"/>
    <w:rsid w:val="00A17C0C"/>
    <w:rsid w:val="00A17C30"/>
    <w:rsid w:val="00A17C43"/>
    <w:rsid w:val="00A17CC4"/>
    <w:rsid w:val="00A17EBA"/>
    <w:rsid w:val="00A17EC6"/>
    <w:rsid w:val="00A17EEB"/>
    <w:rsid w:val="00A17F57"/>
    <w:rsid w:val="00A17F8B"/>
    <w:rsid w:val="00A17FCE"/>
    <w:rsid w:val="00A20000"/>
    <w:rsid w:val="00A2004D"/>
    <w:rsid w:val="00A20082"/>
    <w:rsid w:val="00A200CC"/>
    <w:rsid w:val="00A200DF"/>
    <w:rsid w:val="00A2015F"/>
    <w:rsid w:val="00A2016B"/>
    <w:rsid w:val="00A201D2"/>
    <w:rsid w:val="00A20321"/>
    <w:rsid w:val="00A20332"/>
    <w:rsid w:val="00A20348"/>
    <w:rsid w:val="00A20385"/>
    <w:rsid w:val="00A2038A"/>
    <w:rsid w:val="00A2038B"/>
    <w:rsid w:val="00A203B1"/>
    <w:rsid w:val="00A203E9"/>
    <w:rsid w:val="00A2044A"/>
    <w:rsid w:val="00A2047C"/>
    <w:rsid w:val="00A204B5"/>
    <w:rsid w:val="00A204FA"/>
    <w:rsid w:val="00A2050E"/>
    <w:rsid w:val="00A20564"/>
    <w:rsid w:val="00A20581"/>
    <w:rsid w:val="00A20583"/>
    <w:rsid w:val="00A205CC"/>
    <w:rsid w:val="00A2062B"/>
    <w:rsid w:val="00A20634"/>
    <w:rsid w:val="00A2063B"/>
    <w:rsid w:val="00A20653"/>
    <w:rsid w:val="00A2065F"/>
    <w:rsid w:val="00A20671"/>
    <w:rsid w:val="00A20672"/>
    <w:rsid w:val="00A2070D"/>
    <w:rsid w:val="00A2076E"/>
    <w:rsid w:val="00A20797"/>
    <w:rsid w:val="00A207AB"/>
    <w:rsid w:val="00A207F4"/>
    <w:rsid w:val="00A208B7"/>
    <w:rsid w:val="00A208D3"/>
    <w:rsid w:val="00A208E1"/>
    <w:rsid w:val="00A208FA"/>
    <w:rsid w:val="00A2096F"/>
    <w:rsid w:val="00A20999"/>
    <w:rsid w:val="00A2099E"/>
    <w:rsid w:val="00A209C6"/>
    <w:rsid w:val="00A20A36"/>
    <w:rsid w:val="00A20A3E"/>
    <w:rsid w:val="00A20A76"/>
    <w:rsid w:val="00A20A9E"/>
    <w:rsid w:val="00A20B2B"/>
    <w:rsid w:val="00A20B50"/>
    <w:rsid w:val="00A20B7E"/>
    <w:rsid w:val="00A20BAC"/>
    <w:rsid w:val="00A20BB9"/>
    <w:rsid w:val="00A20C0D"/>
    <w:rsid w:val="00A20C10"/>
    <w:rsid w:val="00A20C17"/>
    <w:rsid w:val="00A20CCA"/>
    <w:rsid w:val="00A20D31"/>
    <w:rsid w:val="00A20D43"/>
    <w:rsid w:val="00A20D73"/>
    <w:rsid w:val="00A20D9F"/>
    <w:rsid w:val="00A20DE0"/>
    <w:rsid w:val="00A20E8E"/>
    <w:rsid w:val="00A20E9B"/>
    <w:rsid w:val="00A20EB8"/>
    <w:rsid w:val="00A20ED3"/>
    <w:rsid w:val="00A20F23"/>
    <w:rsid w:val="00A20F49"/>
    <w:rsid w:val="00A20F85"/>
    <w:rsid w:val="00A20F9D"/>
    <w:rsid w:val="00A21055"/>
    <w:rsid w:val="00A210F2"/>
    <w:rsid w:val="00A2110D"/>
    <w:rsid w:val="00A21127"/>
    <w:rsid w:val="00A211B3"/>
    <w:rsid w:val="00A211EF"/>
    <w:rsid w:val="00A2123B"/>
    <w:rsid w:val="00A21249"/>
    <w:rsid w:val="00A2124D"/>
    <w:rsid w:val="00A21291"/>
    <w:rsid w:val="00A212DF"/>
    <w:rsid w:val="00A212F9"/>
    <w:rsid w:val="00A2135E"/>
    <w:rsid w:val="00A21404"/>
    <w:rsid w:val="00A2141D"/>
    <w:rsid w:val="00A21425"/>
    <w:rsid w:val="00A21476"/>
    <w:rsid w:val="00A214BA"/>
    <w:rsid w:val="00A214ED"/>
    <w:rsid w:val="00A214F3"/>
    <w:rsid w:val="00A214F5"/>
    <w:rsid w:val="00A2152A"/>
    <w:rsid w:val="00A2152C"/>
    <w:rsid w:val="00A2156A"/>
    <w:rsid w:val="00A21588"/>
    <w:rsid w:val="00A215D5"/>
    <w:rsid w:val="00A2160A"/>
    <w:rsid w:val="00A21640"/>
    <w:rsid w:val="00A21642"/>
    <w:rsid w:val="00A2166F"/>
    <w:rsid w:val="00A21704"/>
    <w:rsid w:val="00A21763"/>
    <w:rsid w:val="00A2177D"/>
    <w:rsid w:val="00A2183A"/>
    <w:rsid w:val="00A21877"/>
    <w:rsid w:val="00A21895"/>
    <w:rsid w:val="00A218BD"/>
    <w:rsid w:val="00A218C2"/>
    <w:rsid w:val="00A21A50"/>
    <w:rsid w:val="00A21ACB"/>
    <w:rsid w:val="00A21B9F"/>
    <w:rsid w:val="00A21BE2"/>
    <w:rsid w:val="00A21C21"/>
    <w:rsid w:val="00A21CA9"/>
    <w:rsid w:val="00A21D58"/>
    <w:rsid w:val="00A21D87"/>
    <w:rsid w:val="00A21D8C"/>
    <w:rsid w:val="00A21D9B"/>
    <w:rsid w:val="00A21DC5"/>
    <w:rsid w:val="00A21DCC"/>
    <w:rsid w:val="00A21DF1"/>
    <w:rsid w:val="00A21DFF"/>
    <w:rsid w:val="00A21E19"/>
    <w:rsid w:val="00A21E90"/>
    <w:rsid w:val="00A21EA7"/>
    <w:rsid w:val="00A21EBA"/>
    <w:rsid w:val="00A21F12"/>
    <w:rsid w:val="00A21F83"/>
    <w:rsid w:val="00A21FE1"/>
    <w:rsid w:val="00A220D9"/>
    <w:rsid w:val="00A2210B"/>
    <w:rsid w:val="00A22126"/>
    <w:rsid w:val="00A2213C"/>
    <w:rsid w:val="00A22159"/>
    <w:rsid w:val="00A221CD"/>
    <w:rsid w:val="00A221E6"/>
    <w:rsid w:val="00A2222A"/>
    <w:rsid w:val="00A2227F"/>
    <w:rsid w:val="00A2228E"/>
    <w:rsid w:val="00A2229A"/>
    <w:rsid w:val="00A2229E"/>
    <w:rsid w:val="00A222D4"/>
    <w:rsid w:val="00A222E5"/>
    <w:rsid w:val="00A22378"/>
    <w:rsid w:val="00A22386"/>
    <w:rsid w:val="00A22389"/>
    <w:rsid w:val="00A22438"/>
    <w:rsid w:val="00A2248B"/>
    <w:rsid w:val="00A2248C"/>
    <w:rsid w:val="00A224ED"/>
    <w:rsid w:val="00A2254F"/>
    <w:rsid w:val="00A2256E"/>
    <w:rsid w:val="00A22619"/>
    <w:rsid w:val="00A22620"/>
    <w:rsid w:val="00A22628"/>
    <w:rsid w:val="00A2264C"/>
    <w:rsid w:val="00A22744"/>
    <w:rsid w:val="00A2276D"/>
    <w:rsid w:val="00A2280B"/>
    <w:rsid w:val="00A22823"/>
    <w:rsid w:val="00A22838"/>
    <w:rsid w:val="00A2283B"/>
    <w:rsid w:val="00A228A8"/>
    <w:rsid w:val="00A228D3"/>
    <w:rsid w:val="00A228F3"/>
    <w:rsid w:val="00A2297B"/>
    <w:rsid w:val="00A2298C"/>
    <w:rsid w:val="00A229A2"/>
    <w:rsid w:val="00A229BA"/>
    <w:rsid w:val="00A229F6"/>
    <w:rsid w:val="00A22A6B"/>
    <w:rsid w:val="00A22A7B"/>
    <w:rsid w:val="00A22ABC"/>
    <w:rsid w:val="00A22ACE"/>
    <w:rsid w:val="00A22AEC"/>
    <w:rsid w:val="00A22B14"/>
    <w:rsid w:val="00A22B37"/>
    <w:rsid w:val="00A22B74"/>
    <w:rsid w:val="00A22BA5"/>
    <w:rsid w:val="00A22BC0"/>
    <w:rsid w:val="00A22C07"/>
    <w:rsid w:val="00A22C0A"/>
    <w:rsid w:val="00A22C51"/>
    <w:rsid w:val="00A22CC8"/>
    <w:rsid w:val="00A22CCF"/>
    <w:rsid w:val="00A22CEE"/>
    <w:rsid w:val="00A22D0F"/>
    <w:rsid w:val="00A22D9E"/>
    <w:rsid w:val="00A22DAD"/>
    <w:rsid w:val="00A22ECB"/>
    <w:rsid w:val="00A22ED6"/>
    <w:rsid w:val="00A22F33"/>
    <w:rsid w:val="00A22F65"/>
    <w:rsid w:val="00A22F81"/>
    <w:rsid w:val="00A22FC9"/>
    <w:rsid w:val="00A22FF4"/>
    <w:rsid w:val="00A230C1"/>
    <w:rsid w:val="00A230FE"/>
    <w:rsid w:val="00A23114"/>
    <w:rsid w:val="00A2315B"/>
    <w:rsid w:val="00A2315D"/>
    <w:rsid w:val="00A23184"/>
    <w:rsid w:val="00A231D4"/>
    <w:rsid w:val="00A23261"/>
    <w:rsid w:val="00A232C4"/>
    <w:rsid w:val="00A232CF"/>
    <w:rsid w:val="00A232EE"/>
    <w:rsid w:val="00A2337B"/>
    <w:rsid w:val="00A233A5"/>
    <w:rsid w:val="00A233A7"/>
    <w:rsid w:val="00A233C0"/>
    <w:rsid w:val="00A23463"/>
    <w:rsid w:val="00A234AE"/>
    <w:rsid w:val="00A234B0"/>
    <w:rsid w:val="00A234C9"/>
    <w:rsid w:val="00A234CD"/>
    <w:rsid w:val="00A2353E"/>
    <w:rsid w:val="00A23592"/>
    <w:rsid w:val="00A235A3"/>
    <w:rsid w:val="00A23612"/>
    <w:rsid w:val="00A23653"/>
    <w:rsid w:val="00A23657"/>
    <w:rsid w:val="00A236C0"/>
    <w:rsid w:val="00A236C8"/>
    <w:rsid w:val="00A2370E"/>
    <w:rsid w:val="00A23740"/>
    <w:rsid w:val="00A2374D"/>
    <w:rsid w:val="00A23752"/>
    <w:rsid w:val="00A2379C"/>
    <w:rsid w:val="00A237FF"/>
    <w:rsid w:val="00A23833"/>
    <w:rsid w:val="00A23844"/>
    <w:rsid w:val="00A23846"/>
    <w:rsid w:val="00A23858"/>
    <w:rsid w:val="00A23889"/>
    <w:rsid w:val="00A238A5"/>
    <w:rsid w:val="00A23993"/>
    <w:rsid w:val="00A2399A"/>
    <w:rsid w:val="00A23A11"/>
    <w:rsid w:val="00A23A65"/>
    <w:rsid w:val="00A23B80"/>
    <w:rsid w:val="00A23BB3"/>
    <w:rsid w:val="00A23C17"/>
    <w:rsid w:val="00A23C1B"/>
    <w:rsid w:val="00A23C51"/>
    <w:rsid w:val="00A23C92"/>
    <w:rsid w:val="00A23CBA"/>
    <w:rsid w:val="00A23CCD"/>
    <w:rsid w:val="00A23CEE"/>
    <w:rsid w:val="00A23CFA"/>
    <w:rsid w:val="00A23D2E"/>
    <w:rsid w:val="00A23D3C"/>
    <w:rsid w:val="00A23D6F"/>
    <w:rsid w:val="00A23D90"/>
    <w:rsid w:val="00A23EC6"/>
    <w:rsid w:val="00A23F7B"/>
    <w:rsid w:val="00A23FC7"/>
    <w:rsid w:val="00A23FF9"/>
    <w:rsid w:val="00A24000"/>
    <w:rsid w:val="00A2402F"/>
    <w:rsid w:val="00A24065"/>
    <w:rsid w:val="00A240AA"/>
    <w:rsid w:val="00A240C8"/>
    <w:rsid w:val="00A2417D"/>
    <w:rsid w:val="00A2418B"/>
    <w:rsid w:val="00A2419B"/>
    <w:rsid w:val="00A241DB"/>
    <w:rsid w:val="00A24251"/>
    <w:rsid w:val="00A2428A"/>
    <w:rsid w:val="00A243F1"/>
    <w:rsid w:val="00A2443F"/>
    <w:rsid w:val="00A24458"/>
    <w:rsid w:val="00A244B6"/>
    <w:rsid w:val="00A244BE"/>
    <w:rsid w:val="00A24513"/>
    <w:rsid w:val="00A2451A"/>
    <w:rsid w:val="00A24523"/>
    <w:rsid w:val="00A24550"/>
    <w:rsid w:val="00A2457D"/>
    <w:rsid w:val="00A2459D"/>
    <w:rsid w:val="00A2460F"/>
    <w:rsid w:val="00A246B8"/>
    <w:rsid w:val="00A246C3"/>
    <w:rsid w:val="00A246DC"/>
    <w:rsid w:val="00A246F7"/>
    <w:rsid w:val="00A2478A"/>
    <w:rsid w:val="00A2478F"/>
    <w:rsid w:val="00A24795"/>
    <w:rsid w:val="00A247B4"/>
    <w:rsid w:val="00A247D3"/>
    <w:rsid w:val="00A24808"/>
    <w:rsid w:val="00A24827"/>
    <w:rsid w:val="00A24861"/>
    <w:rsid w:val="00A24886"/>
    <w:rsid w:val="00A248A3"/>
    <w:rsid w:val="00A24903"/>
    <w:rsid w:val="00A2492A"/>
    <w:rsid w:val="00A24970"/>
    <w:rsid w:val="00A24978"/>
    <w:rsid w:val="00A249B7"/>
    <w:rsid w:val="00A249CF"/>
    <w:rsid w:val="00A249EF"/>
    <w:rsid w:val="00A24A2A"/>
    <w:rsid w:val="00A24A5C"/>
    <w:rsid w:val="00A24AE2"/>
    <w:rsid w:val="00A24AEC"/>
    <w:rsid w:val="00A24AF2"/>
    <w:rsid w:val="00A24B12"/>
    <w:rsid w:val="00A24B2C"/>
    <w:rsid w:val="00A24B3C"/>
    <w:rsid w:val="00A24B4F"/>
    <w:rsid w:val="00A24C0D"/>
    <w:rsid w:val="00A24C0F"/>
    <w:rsid w:val="00A24C4B"/>
    <w:rsid w:val="00A24CA0"/>
    <w:rsid w:val="00A24D17"/>
    <w:rsid w:val="00A24D69"/>
    <w:rsid w:val="00A24DA3"/>
    <w:rsid w:val="00A24DEA"/>
    <w:rsid w:val="00A24DEC"/>
    <w:rsid w:val="00A24DFE"/>
    <w:rsid w:val="00A24E3E"/>
    <w:rsid w:val="00A24E6C"/>
    <w:rsid w:val="00A24EB5"/>
    <w:rsid w:val="00A24ECF"/>
    <w:rsid w:val="00A24F1F"/>
    <w:rsid w:val="00A2501E"/>
    <w:rsid w:val="00A250F6"/>
    <w:rsid w:val="00A25137"/>
    <w:rsid w:val="00A25139"/>
    <w:rsid w:val="00A2518D"/>
    <w:rsid w:val="00A251B2"/>
    <w:rsid w:val="00A251D8"/>
    <w:rsid w:val="00A251F3"/>
    <w:rsid w:val="00A2528E"/>
    <w:rsid w:val="00A252BF"/>
    <w:rsid w:val="00A2537C"/>
    <w:rsid w:val="00A25397"/>
    <w:rsid w:val="00A253B2"/>
    <w:rsid w:val="00A253DD"/>
    <w:rsid w:val="00A2541B"/>
    <w:rsid w:val="00A25421"/>
    <w:rsid w:val="00A25436"/>
    <w:rsid w:val="00A25493"/>
    <w:rsid w:val="00A254DC"/>
    <w:rsid w:val="00A2550C"/>
    <w:rsid w:val="00A25537"/>
    <w:rsid w:val="00A25557"/>
    <w:rsid w:val="00A25558"/>
    <w:rsid w:val="00A2557D"/>
    <w:rsid w:val="00A25588"/>
    <w:rsid w:val="00A255A2"/>
    <w:rsid w:val="00A255C1"/>
    <w:rsid w:val="00A255C5"/>
    <w:rsid w:val="00A2563C"/>
    <w:rsid w:val="00A2564D"/>
    <w:rsid w:val="00A25699"/>
    <w:rsid w:val="00A2571C"/>
    <w:rsid w:val="00A2573B"/>
    <w:rsid w:val="00A2573C"/>
    <w:rsid w:val="00A2573F"/>
    <w:rsid w:val="00A2575C"/>
    <w:rsid w:val="00A25789"/>
    <w:rsid w:val="00A257B4"/>
    <w:rsid w:val="00A257E2"/>
    <w:rsid w:val="00A25845"/>
    <w:rsid w:val="00A2585F"/>
    <w:rsid w:val="00A2586E"/>
    <w:rsid w:val="00A2589C"/>
    <w:rsid w:val="00A258B8"/>
    <w:rsid w:val="00A25929"/>
    <w:rsid w:val="00A2593C"/>
    <w:rsid w:val="00A25964"/>
    <w:rsid w:val="00A25985"/>
    <w:rsid w:val="00A25988"/>
    <w:rsid w:val="00A259BD"/>
    <w:rsid w:val="00A259F2"/>
    <w:rsid w:val="00A25A46"/>
    <w:rsid w:val="00A25A5E"/>
    <w:rsid w:val="00A25A6C"/>
    <w:rsid w:val="00A25B08"/>
    <w:rsid w:val="00A25BDD"/>
    <w:rsid w:val="00A25BF2"/>
    <w:rsid w:val="00A25C57"/>
    <w:rsid w:val="00A25C73"/>
    <w:rsid w:val="00A25CA9"/>
    <w:rsid w:val="00A25CBB"/>
    <w:rsid w:val="00A25CC4"/>
    <w:rsid w:val="00A25D08"/>
    <w:rsid w:val="00A25DC0"/>
    <w:rsid w:val="00A25DEF"/>
    <w:rsid w:val="00A25E21"/>
    <w:rsid w:val="00A25E43"/>
    <w:rsid w:val="00A25E49"/>
    <w:rsid w:val="00A25E9D"/>
    <w:rsid w:val="00A25EB2"/>
    <w:rsid w:val="00A25F4B"/>
    <w:rsid w:val="00A25FBE"/>
    <w:rsid w:val="00A25FF1"/>
    <w:rsid w:val="00A25FFB"/>
    <w:rsid w:val="00A26014"/>
    <w:rsid w:val="00A2602E"/>
    <w:rsid w:val="00A26052"/>
    <w:rsid w:val="00A260FB"/>
    <w:rsid w:val="00A26110"/>
    <w:rsid w:val="00A26113"/>
    <w:rsid w:val="00A26121"/>
    <w:rsid w:val="00A26132"/>
    <w:rsid w:val="00A26146"/>
    <w:rsid w:val="00A261BE"/>
    <w:rsid w:val="00A261D5"/>
    <w:rsid w:val="00A261F8"/>
    <w:rsid w:val="00A261FB"/>
    <w:rsid w:val="00A26207"/>
    <w:rsid w:val="00A2626F"/>
    <w:rsid w:val="00A262A6"/>
    <w:rsid w:val="00A262C7"/>
    <w:rsid w:val="00A26309"/>
    <w:rsid w:val="00A26317"/>
    <w:rsid w:val="00A26343"/>
    <w:rsid w:val="00A26354"/>
    <w:rsid w:val="00A2635F"/>
    <w:rsid w:val="00A26374"/>
    <w:rsid w:val="00A263C7"/>
    <w:rsid w:val="00A263D6"/>
    <w:rsid w:val="00A263F8"/>
    <w:rsid w:val="00A2645A"/>
    <w:rsid w:val="00A2646F"/>
    <w:rsid w:val="00A26487"/>
    <w:rsid w:val="00A26488"/>
    <w:rsid w:val="00A264A5"/>
    <w:rsid w:val="00A26509"/>
    <w:rsid w:val="00A2655F"/>
    <w:rsid w:val="00A26578"/>
    <w:rsid w:val="00A26583"/>
    <w:rsid w:val="00A265EF"/>
    <w:rsid w:val="00A2663E"/>
    <w:rsid w:val="00A2668E"/>
    <w:rsid w:val="00A266A4"/>
    <w:rsid w:val="00A266ED"/>
    <w:rsid w:val="00A2670B"/>
    <w:rsid w:val="00A267B6"/>
    <w:rsid w:val="00A267D2"/>
    <w:rsid w:val="00A267DC"/>
    <w:rsid w:val="00A2684E"/>
    <w:rsid w:val="00A2685B"/>
    <w:rsid w:val="00A2686B"/>
    <w:rsid w:val="00A26889"/>
    <w:rsid w:val="00A268FF"/>
    <w:rsid w:val="00A26904"/>
    <w:rsid w:val="00A26986"/>
    <w:rsid w:val="00A269A4"/>
    <w:rsid w:val="00A26A9A"/>
    <w:rsid w:val="00A26A9F"/>
    <w:rsid w:val="00A26ADD"/>
    <w:rsid w:val="00A26ADF"/>
    <w:rsid w:val="00A26B08"/>
    <w:rsid w:val="00A26C04"/>
    <w:rsid w:val="00A26C21"/>
    <w:rsid w:val="00A26C8C"/>
    <w:rsid w:val="00A26CBD"/>
    <w:rsid w:val="00A26D22"/>
    <w:rsid w:val="00A26D59"/>
    <w:rsid w:val="00A26D7D"/>
    <w:rsid w:val="00A26DEA"/>
    <w:rsid w:val="00A26DF5"/>
    <w:rsid w:val="00A26E29"/>
    <w:rsid w:val="00A26E8F"/>
    <w:rsid w:val="00A26EB7"/>
    <w:rsid w:val="00A26EC9"/>
    <w:rsid w:val="00A26EFB"/>
    <w:rsid w:val="00A26FC2"/>
    <w:rsid w:val="00A27034"/>
    <w:rsid w:val="00A27080"/>
    <w:rsid w:val="00A270A6"/>
    <w:rsid w:val="00A270DA"/>
    <w:rsid w:val="00A27130"/>
    <w:rsid w:val="00A27188"/>
    <w:rsid w:val="00A27193"/>
    <w:rsid w:val="00A271B9"/>
    <w:rsid w:val="00A27265"/>
    <w:rsid w:val="00A272D5"/>
    <w:rsid w:val="00A273E7"/>
    <w:rsid w:val="00A273EA"/>
    <w:rsid w:val="00A273FC"/>
    <w:rsid w:val="00A2740B"/>
    <w:rsid w:val="00A27460"/>
    <w:rsid w:val="00A27473"/>
    <w:rsid w:val="00A27480"/>
    <w:rsid w:val="00A274D0"/>
    <w:rsid w:val="00A2752D"/>
    <w:rsid w:val="00A2753F"/>
    <w:rsid w:val="00A27544"/>
    <w:rsid w:val="00A27561"/>
    <w:rsid w:val="00A2759C"/>
    <w:rsid w:val="00A275D4"/>
    <w:rsid w:val="00A2761B"/>
    <w:rsid w:val="00A2763D"/>
    <w:rsid w:val="00A27644"/>
    <w:rsid w:val="00A27734"/>
    <w:rsid w:val="00A2773F"/>
    <w:rsid w:val="00A27748"/>
    <w:rsid w:val="00A27754"/>
    <w:rsid w:val="00A2779C"/>
    <w:rsid w:val="00A277B6"/>
    <w:rsid w:val="00A277E5"/>
    <w:rsid w:val="00A27881"/>
    <w:rsid w:val="00A278E4"/>
    <w:rsid w:val="00A278F8"/>
    <w:rsid w:val="00A27953"/>
    <w:rsid w:val="00A27A25"/>
    <w:rsid w:val="00A27A7A"/>
    <w:rsid w:val="00A27A7C"/>
    <w:rsid w:val="00A27A89"/>
    <w:rsid w:val="00A27AF6"/>
    <w:rsid w:val="00A27B82"/>
    <w:rsid w:val="00A27BAB"/>
    <w:rsid w:val="00A27BD1"/>
    <w:rsid w:val="00A27C4C"/>
    <w:rsid w:val="00A27CB8"/>
    <w:rsid w:val="00A27CFF"/>
    <w:rsid w:val="00A27D30"/>
    <w:rsid w:val="00A27D48"/>
    <w:rsid w:val="00A27D9F"/>
    <w:rsid w:val="00A27E25"/>
    <w:rsid w:val="00A27EC9"/>
    <w:rsid w:val="00A27EF5"/>
    <w:rsid w:val="00A27F23"/>
    <w:rsid w:val="00A27F42"/>
    <w:rsid w:val="00A27F8D"/>
    <w:rsid w:val="00A27FA1"/>
    <w:rsid w:val="00A30012"/>
    <w:rsid w:val="00A30034"/>
    <w:rsid w:val="00A30162"/>
    <w:rsid w:val="00A30190"/>
    <w:rsid w:val="00A301E9"/>
    <w:rsid w:val="00A3020B"/>
    <w:rsid w:val="00A30225"/>
    <w:rsid w:val="00A302D2"/>
    <w:rsid w:val="00A302D7"/>
    <w:rsid w:val="00A30388"/>
    <w:rsid w:val="00A303B8"/>
    <w:rsid w:val="00A304C3"/>
    <w:rsid w:val="00A304F0"/>
    <w:rsid w:val="00A30501"/>
    <w:rsid w:val="00A30521"/>
    <w:rsid w:val="00A305E0"/>
    <w:rsid w:val="00A3060A"/>
    <w:rsid w:val="00A30613"/>
    <w:rsid w:val="00A30652"/>
    <w:rsid w:val="00A3065F"/>
    <w:rsid w:val="00A306D7"/>
    <w:rsid w:val="00A306EA"/>
    <w:rsid w:val="00A30711"/>
    <w:rsid w:val="00A3073A"/>
    <w:rsid w:val="00A30769"/>
    <w:rsid w:val="00A30845"/>
    <w:rsid w:val="00A30890"/>
    <w:rsid w:val="00A30892"/>
    <w:rsid w:val="00A308D1"/>
    <w:rsid w:val="00A30919"/>
    <w:rsid w:val="00A3094B"/>
    <w:rsid w:val="00A3096A"/>
    <w:rsid w:val="00A309A4"/>
    <w:rsid w:val="00A309A5"/>
    <w:rsid w:val="00A30A12"/>
    <w:rsid w:val="00A30A51"/>
    <w:rsid w:val="00A30A84"/>
    <w:rsid w:val="00A30AE1"/>
    <w:rsid w:val="00A30B88"/>
    <w:rsid w:val="00A30BCA"/>
    <w:rsid w:val="00A30C1F"/>
    <w:rsid w:val="00A30CA9"/>
    <w:rsid w:val="00A30D57"/>
    <w:rsid w:val="00A30D6F"/>
    <w:rsid w:val="00A30DAA"/>
    <w:rsid w:val="00A30DD5"/>
    <w:rsid w:val="00A30DE1"/>
    <w:rsid w:val="00A30E3C"/>
    <w:rsid w:val="00A30E65"/>
    <w:rsid w:val="00A30E85"/>
    <w:rsid w:val="00A30E98"/>
    <w:rsid w:val="00A30F8B"/>
    <w:rsid w:val="00A30FD2"/>
    <w:rsid w:val="00A30FE3"/>
    <w:rsid w:val="00A30FF0"/>
    <w:rsid w:val="00A31010"/>
    <w:rsid w:val="00A3103C"/>
    <w:rsid w:val="00A31075"/>
    <w:rsid w:val="00A31133"/>
    <w:rsid w:val="00A31137"/>
    <w:rsid w:val="00A31184"/>
    <w:rsid w:val="00A311FA"/>
    <w:rsid w:val="00A3127A"/>
    <w:rsid w:val="00A313AF"/>
    <w:rsid w:val="00A3140A"/>
    <w:rsid w:val="00A31422"/>
    <w:rsid w:val="00A31443"/>
    <w:rsid w:val="00A3146E"/>
    <w:rsid w:val="00A31471"/>
    <w:rsid w:val="00A31487"/>
    <w:rsid w:val="00A314AA"/>
    <w:rsid w:val="00A314BC"/>
    <w:rsid w:val="00A314C5"/>
    <w:rsid w:val="00A314C9"/>
    <w:rsid w:val="00A314EA"/>
    <w:rsid w:val="00A31520"/>
    <w:rsid w:val="00A31525"/>
    <w:rsid w:val="00A31539"/>
    <w:rsid w:val="00A3153B"/>
    <w:rsid w:val="00A31548"/>
    <w:rsid w:val="00A3157C"/>
    <w:rsid w:val="00A3163A"/>
    <w:rsid w:val="00A3167B"/>
    <w:rsid w:val="00A3170A"/>
    <w:rsid w:val="00A31714"/>
    <w:rsid w:val="00A3173E"/>
    <w:rsid w:val="00A31799"/>
    <w:rsid w:val="00A31822"/>
    <w:rsid w:val="00A3183C"/>
    <w:rsid w:val="00A31877"/>
    <w:rsid w:val="00A31885"/>
    <w:rsid w:val="00A31892"/>
    <w:rsid w:val="00A318CC"/>
    <w:rsid w:val="00A318DE"/>
    <w:rsid w:val="00A31987"/>
    <w:rsid w:val="00A319D8"/>
    <w:rsid w:val="00A31A04"/>
    <w:rsid w:val="00A31A7F"/>
    <w:rsid w:val="00A31AA5"/>
    <w:rsid w:val="00A31B44"/>
    <w:rsid w:val="00A31C19"/>
    <w:rsid w:val="00A31C53"/>
    <w:rsid w:val="00A31C59"/>
    <w:rsid w:val="00A31D0F"/>
    <w:rsid w:val="00A31D16"/>
    <w:rsid w:val="00A31DBF"/>
    <w:rsid w:val="00A31E23"/>
    <w:rsid w:val="00A31E76"/>
    <w:rsid w:val="00A31E80"/>
    <w:rsid w:val="00A31E9A"/>
    <w:rsid w:val="00A31EA2"/>
    <w:rsid w:val="00A31EF2"/>
    <w:rsid w:val="00A31F93"/>
    <w:rsid w:val="00A31FC7"/>
    <w:rsid w:val="00A3201E"/>
    <w:rsid w:val="00A32089"/>
    <w:rsid w:val="00A3209B"/>
    <w:rsid w:val="00A320D3"/>
    <w:rsid w:val="00A320EE"/>
    <w:rsid w:val="00A320F4"/>
    <w:rsid w:val="00A32126"/>
    <w:rsid w:val="00A32127"/>
    <w:rsid w:val="00A32128"/>
    <w:rsid w:val="00A32159"/>
    <w:rsid w:val="00A3215D"/>
    <w:rsid w:val="00A32174"/>
    <w:rsid w:val="00A3217A"/>
    <w:rsid w:val="00A3219E"/>
    <w:rsid w:val="00A321DB"/>
    <w:rsid w:val="00A32214"/>
    <w:rsid w:val="00A3223E"/>
    <w:rsid w:val="00A32269"/>
    <w:rsid w:val="00A3227A"/>
    <w:rsid w:val="00A322B0"/>
    <w:rsid w:val="00A3231C"/>
    <w:rsid w:val="00A32323"/>
    <w:rsid w:val="00A32380"/>
    <w:rsid w:val="00A323C3"/>
    <w:rsid w:val="00A323F0"/>
    <w:rsid w:val="00A32424"/>
    <w:rsid w:val="00A32428"/>
    <w:rsid w:val="00A32457"/>
    <w:rsid w:val="00A32475"/>
    <w:rsid w:val="00A32563"/>
    <w:rsid w:val="00A32567"/>
    <w:rsid w:val="00A325A2"/>
    <w:rsid w:val="00A32656"/>
    <w:rsid w:val="00A3274D"/>
    <w:rsid w:val="00A327EB"/>
    <w:rsid w:val="00A32805"/>
    <w:rsid w:val="00A3280E"/>
    <w:rsid w:val="00A32875"/>
    <w:rsid w:val="00A32930"/>
    <w:rsid w:val="00A32976"/>
    <w:rsid w:val="00A32A0F"/>
    <w:rsid w:val="00A32A1B"/>
    <w:rsid w:val="00A32A77"/>
    <w:rsid w:val="00A32A89"/>
    <w:rsid w:val="00A32ABF"/>
    <w:rsid w:val="00A32B08"/>
    <w:rsid w:val="00A32B11"/>
    <w:rsid w:val="00A32B1C"/>
    <w:rsid w:val="00A32B33"/>
    <w:rsid w:val="00A32B5B"/>
    <w:rsid w:val="00A32B7D"/>
    <w:rsid w:val="00A32BAD"/>
    <w:rsid w:val="00A32BD3"/>
    <w:rsid w:val="00A32C60"/>
    <w:rsid w:val="00A32C93"/>
    <w:rsid w:val="00A32CEA"/>
    <w:rsid w:val="00A32D71"/>
    <w:rsid w:val="00A32DE3"/>
    <w:rsid w:val="00A32DFC"/>
    <w:rsid w:val="00A32E00"/>
    <w:rsid w:val="00A32E2F"/>
    <w:rsid w:val="00A32E63"/>
    <w:rsid w:val="00A32E91"/>
    <w:rsid w:val="00A32F4B"/>
    <w:rsid w:val="00A32F95"/>
    <w:rsid w:val="00A33130"/>
    <w:rsid w:val="00A331B0"/>
    <w:rsid w:val="00A331BC"/>
    <w:rsid w:val="00A3320C"/>
    <w:rsid w:val="00A332EB"/>
    <w:rsid w:val="00A332F7"/>
    <w:rsid w:val="00A33306"/>
    <w:rsid w:val="00A33361"/>
    <w:rsid w:val="00A33377"/>
    <w:rsid w:val="00A333A0"/>
    <w:rsid w:val="00A333AC"/>
    <w:rsid w:val="00A333BF"/>
    <w:rsid w:val="00A333E9"/>
    <w:rsid w:val="00A334B9"/>
    <w:rsid w:val="00A334E1"/>
    <w:rsid w:val="00A3352C"/>
    <w:rsid w:val="00A3353A"/>
    <w:rsid w:val="00A3353E"/>
    <w:rsid w:val="00A3356D"/>
    <w:rsid w:val="00A335B9"/>
    <w:rsid w:val="00A335DC"/>
    <w:rsid w:val="00A33602"/>
    <w:rsid w:val="00A336C1"/>
    <w:rsid w:val="00A336F4"/>
    <w:rsid w:val="00A33710"/>
    <w:rsid w:val="00A33742"/>
    <w:rsid w:val="00A33752"/>
    <w:rsid w:val="00A33759"/>
    <w:rsid w:val="00A33760"/>
    <w:rsid w:val="00A3379A"/>
    <w:rsid w:val="00A337FE"/>
    <w:rsid w:val="00A33836"/>
    <w:rsid w:val="00A33839"/>
    <w:rsid w:val="00A3383A"/>
    <w:rsid w:val="00A3385F"/>
    <w:rsid w:val="00A339B9"/>
    <w:rsid w:val="00A33A26"/>
    <w:rsid w:val="00A33A44"/>
    <w:rsid w:val="00A33A5B"/>
    <w:rsid w:val="00A33A62"/>
    <w:rsid w:val="00A33AF3"/>
    <w:rsid w:val="00A33B17"/>
    <w:rsid w:val="00A33B4E"/>
    <w:rsid w:val="00A33B53"/>
    <w:rsid w:val="00A33B68"/>
    <w:rsid w:val="00A33B87"/>
    <w:rsid w:val="00A33BCB"/>
    <w:rsid w:val="00A33C43"/>
    <w:rsid w:val="00A33D05"/>
    <w:rsid w:val="00A33D4C"/>
    <w:rsid w:val="00A33DF4"/>
    <w:rsid w:val="00A33DFE"/>
    <w:rsid w:val="00A33E28"/>
    <w:rsid w:val="00A33E93"/>
    <w:rsid w:val="00A33EBB"/>
    <w:rsid w:val="00A33ECE"/>
    <w:rsid w:val="00A33ED0"/>
    <w:rsid w:val="00A33EFE"/>
    <w:rsid w:val="00A33F49"/>
    <w:rsid w:val="00A33FFD"/>
    <w:rsid w:val="00A3400C"/>
    <w:rsid w:val="00A3402D"/>
    <w:rsid w:val="00A340D6"/>
    <w:rsid w:val="00A34135"/>
    <w:rsid w:val="00A34158"/>
    <w:rsid w:val="00A3418A"/>
    <w:rsid w:val="00A34200"/>
    <w:rsid w:val="00A3421A"/>
    <w:rsid w:val="00A3423E"/>
    <w:rsid w:val="00A34248"/>
    <w:rsid w:val="00A342D2"/>
    <w:rsid w:val="00A34301"/>
    <w:rsid w:val="00A34331"/>
    <w:rsid w:val="00A34338"/>
    <w:rsid w:val="00A3435F"/>
    <w:rsid w:val="00A343BB"/>
    <w:rsid w:val="00A343C5"/>
    <w:rsid w:val="00A3445C"/>
    <w:rsid w:val="00A34474"/>
    <w:rsid w:val="00A3450B"/>
    <w:rsid w:val="00A34527"/>
    <w:rsid w:val="00A34594"/>
    <w:rsid w:val="00A345C4"/>
    <w:rsid w:val="00A345E9"/>
    <w:rsid w:val="00A345FB"/>
    <w:rsid w:val="00A3464F"/>
    <w:rsid w:val="00A34671"/>
    <w:rsid w:val="00A346AB"/>
    <w:rsid w:val="00A346C0"/>
    <w:rsid w:val="00A3478C"/>
    <w:rsid w:val="00A347F5"/>
    <w:rsid w:val="00A34811"/>
    <w:rsid w:val="00A3485B"/>
    <w:rsid w:val="00A34868"/>
    <w:rsid w:val="00A3493A"/>
    <w:rsid w:val="00A3497E"/>
    <w:rsid w:val="00A349B8"/>
    <w:rsid w:val="00A349C2"/>
    <w:rsid w:val="00A34A27"/>
    <w:rsid w:val="00A34A5F"/>
    <w:rsid w:val="00A34A79"/>
    <w:rsid w:val="00A34ACF"/>
    <w:rsid w:val="00A34AE3"/>
    <w:rsid w:val="00A34AFF"/>
    <w:rsid w:val="00A34B11"/>
    <w:rsid w:val="00A34B23"/>
    <w:rsid w:val="00A34B81"/>
    <w:rsid w:val="00A34B83"/>
    <w:rsid w:val="00A34BCE"/>
    <w:rsid w:val="00A34BDC"/>
    <w:rsid w:val="00A34BE8"/>
    <w:rsid w:val="00A34BF1"/>
    <w:rsid w:val="00A34D48"/>
    <w:rsid w:val="00A34D7A"/>
    <w:rsid w:val="00A34E9B"/>
    <w:rsid w:val="00A34EA6"/>
    <w:rsid w:val="00A34EBC"/>
    <w:rsid w:val="00A34ECF"/>
    <w:rsid w:val="00A34F02"/>
    <w:rsid w:val="00A34FE1"/>
    <w:rsid w:val="00A34FFC"/>
    <w:rsid w:val="00A35023"/>
    <w:rsid w:val="00A35188"/>
    <w:rsid w:val="00A3519F"/>
    <w:rsid w:val="00A351A1"/>
    <w:rsid w:val="00A351BE"/>
    <w:rsid w:val="00A351CA"/>
    <w:rsid w:val="00A35205"/>
    <w:rsid w:val="00A35213"/>
    <w:rsid w:val="00A35242"/>
    <w:rsid w:val="00A3524E"/>
    <w:rsid w:val="00A35250"/>
    <w:rsid w:val="00A352B2"/>
    <w:rsid w:val="00A352C2"/>
    <w:rsid w:val="00A3534E"/>
    <w:rsid w:val="00A353E0"/>
    <w:rsid w:val="00A353F4"/>
    <w:rsid w:val="00A35406"/>
    <w:rsid w:val="00A35439"/>
    <w:rsid w:val="00A354A0"/>
    <w:rsid w:val="00A354A3"/>
    <w:rsid w:val="00A3553B"/>
    <w:rsid w:val="00A3554A"/>
    <w:rsid w:val="00A35575"/>
    <w:rsid w:val="00A35586"/>
    <w:rsid w:val="00A3559E"/>
    <w:rsid w:val="00A355C9"/>
    <w:rsid w:val="00A3562E"/>
    <w:rsid w:val="00A35638"/>
    <w:rsid w:val="00A35714"/>
    <w:rsid w:val="00A35735"/>
    <w:rsid w:val="00A357A8"/>
    <w:rsid w:val="00A357C7"/>
    <w:rsid w:val="00A357DC"/>
    <w:rsid w:val="00A3588B"/>
    <w:rsid w:val="00A3588D"/>
    <w:rsid w:val="00A35906"/>
    <w:rsid w:val="00A3594F"/>
    <w:rsid w:val="00A35981"/>
    <w:rsid w:val="00A359BA"/>
    <w:rsid w:val="00A359C7"/>
    <w:rsid w:val="00A35A2A"/>
    <w:rsid w:val="00A35AB8"/>
    <w:rsid w:val="00A35AC4"/>
    <w:rsid w:val="00A35AE7"/>
    <w:rsid w:val="00A35B10"/>
    <w:rsid w:val="00A35B7D"/>
    <w:rsid w:val="00A35BB7"/>
    <w:rsid w:val="00A35BF4"/>
    <w:rsid w:val="00A35BFE"/>
    <w:rsid w:val="00A35C3D"/>
    <w:rsid w:val="00A35C47"/>
    <w:rsid w:val="00A35C8C"/>
    <w:rsid w:val="00A35CEB"/>
    <w:rsid w:val="00A35D08"/>
    <w:rsid w:val="00A35D0D"/>
    <w:rsid w:val="00A35E01"/>
    <w:rsid w:val="00A35E19"/>
    <w:rsid w:val="00A35EAF"/>
    <w:rsid w:val="00A35EC8"/>
    <w:rsid w:val="00A35ECB"/>
    <w:rsid w:val="00A35F21"/>
    <w:rsid w:val="00A35F6B"/>
    <w:rsid w:val="00A35F7E"/>
    <w:rsid w:val="00A35FA1"/>
    <w:rsid w:val="00A35FD2"/>
    <w:rsid w:val="00A35FDF"/>
    <w:rsid w:val="00A3605A"/>
    <w:rsid w:val="00A3606D"/>
    <w:rsid w:val="00A360DF"/>
    <w:rsid w:val="00A360FB"/>
    <w:rsid w:val="00A36187"/>
    <w:rsid w:val="00A361EE"/>
    <w:rsid w:val="00A3620D"/>
    <w:rsid w:val="00A36222"/>
    <w:rsid w:val="00A3626A"/>
    <w:rsid w:val="00A36287"/>
    <w:rsid w:val="00A362A3"/>
    <w:rsid w:val="00A362AA"/>
    <w:rsid w:val="00A362B0"/>
    <w:rsid w:val="00A362FB"/>
    <w:rsid w:val="00A3634E"/>
    <w:rsid w:val="00A36357"/>
    <w:rsid w:val="00A3637D"/>
    <w:rsid w:val="00A363FF"/>
    <w:rsid w:val="00A36410"/>
    <w:rsid w:val="00A3643B"/>
    <w:rsid w:val="00A36483"/>
    <w:rsid w:val="00A3658D"/>
    <w:rsid w:val="00A365AB"/>
    <w:rsid w:val="00A365B1"/>
    <w:rsid w:val="00A3665F"/>
    <w:rsid w:val="00A366C2"/>
    <w:rsid w:val="00A366D7"/>
    <w:rsid w:val="00A36744"/>
    <w:rsid w:val="00A36765"/>
    <w:rsid w:val="00A3681D"/>
    <w:rsid w:val="00A36837"/>
    <w:rsid w:val="00A36855"/>
    <w:rsid w:val="00A36862"/>
    <w:rsid w:val="00A3686E"/>
    <w:rsid w:val="00A3688A"/>
    <w:rsid w:val="00A368B6"/>
    <w:rsid w:val="00A368F0"/>
    <w:rsid w:val="00A368F6"/>
    <w:rsid w:val="00A36917"/>
    <w:rsid w:val="00A3691B"/>
    <w:rsid w:val="00A36939"/>
    <w:rsid w:val="00A36972"/>
    <w:rsid w:val="00A369B4"/>
    <w:rsid w:val="00A369C2"/>
    <w:rsid w:val="00A369F9"/>
    <w:rsid w:val="00A36A2F"/>
    <w:rsid w:val="00A36AA3"/>
    <w:rsid w:val="00A36ACB"/>
    <w:rsid w:val="00A36AE8"/>
    <w:rsid w:val="00A36B61"/>
    <w:rsid w:val="00A36B8B"/>
    <w:rsid w:val="00A36B9A"/>
    <w:rsid w:val="00A36C3B"/>
    <w:rsid w:val="00A36C53"/>
    <w:rsid w:val="00A36C76"/>
    <w:rsid w:val="00A36CBA"/>
    <w:rsid w:val="00A36D42"/>
    <w:rsid w:val="00A36DD3"/>
    <w:rsid w:val="00A36E8B"/>
    <w:rsid w:val="00A36EA4"/>
    <w:rsid w:val="00A36ED5"/>
    <w:rsid w:val="00A36ED6"/>
    <w:rsid w:val="00A36EF9"/>
    <w:rsid w:val="00A36F03"/>
    <w:rsid w:val="00A36F8B"/>
    <w:rsid w:val="00A36F99"/>
    <w:rsid w:val="00A36FA2"/>
    <w:rsid w:val="00A36FDE"/>
    <w:rsid w:val="00A3703B"/>
    <w:rsid w:val="00A3704F"/>
    <w:rsid w:val="00A37067"/>
    <w:rsid w:val="00A37095"/>
    <w:rsid w:val="00A370D4"/>
    <w:rsid w:val="00A370E9"/>
    <w:rsid w:val="00A37101"/>
    <w:rsid w:val="00A3710F"/>
    <w:rsid w:val="00A37147"/>
    <w:rsid w:val="00A3720D"/>
    <w:rsid w:val="00A37265"/>
    <w:rsid w:val="00A37311"/>
    <w:rsid w:val="00A3732C"/>
    <w:rsid w:val="00A3733C"/>
    <w:rsid w:val="00A3737B"/>
    <w:rsid w:val="00A3737D"/>
    <w:rsid w:val="00A373A4"/>
    <w:rsid w:val="00A373AF"/>
    <w:rsid w:val="00A373DC"/>
    <w:rsid w:val="00A373E5"/>
    <w:rsid w:val="00A373FD"/>
    <w:rsid w:val="00A37401"/>
    <w:rsid w:val="00A37444"/>
    <w:rsid w:val="00A37446"/>
    <w:rsid w:val="00A37479"/>
    <w:rsid w:val="00A374AB"/>
    <w:rsid w:val="00A374D4"/>
    <w:rsid w:val="00A374E6"/>
    <w:rsid w:val="00A37526"/>
    <w:rsid w:val="00A375AF"/>
    <w:rsid w:val="00A375D9"/>
    <w:rsid w:val="00A375DA"/>
    <w:rsid w:val="00A37629"/>
    <w:rsid w:val="00A37637"/>
    <w:rsid w:val="00A3763E"/>
    <w:rsid w:val="00A37655"/>
    <w:rsid w:val="00A376BE"/>
    <w:rsid w:val="00A376D5"/>
    <w:rsid w:val="00A376DA"/>
    <w:rsid w:val="00A37700"/>
    <w:rsid w:val="00A37743"/>
    <w:rsid w:val="00A3779E"/>
    <w:rsid w:val="00A377BB"/>
    <w:rsid w:val="00A377E6"/>
    <w:rsid w:val="00A378BE"/>
    <w:rsid w:val="00A378DE"/>
    <w:rsid w:val="00A378E6"/>
    <w:rsid w:val="00A378E9"/>
    <w:rsid w:val="00A37933"/>
    <w:rsid w:val="00A37936"/>
    <w:rsid w:val="00A3794C"/>
    <w:rsid w:val="00A3797F"/>
    <w:rsid w:val="00A37A12"/>
    <w:rsid w:val="00A37A35"/>
    <w:rsid w:val="00A37A64"/>
    <w:rsid w:val="00A37AC1"/>
    <w:rsid w:val="00A37AFE"/>
    <w:rsid w:val="00A37B25"/>
    <w:rsid w:val="00A37B8D"/>
    <w:rsid w:val="00A37C17"/>
    <w:rsid w:val="00A37C36"/>
    <w:rsid w:val="00A37CB8"/>
    <w:rsid w:val="00A37DAC"/>
    <w:rsid w:val="00A37E06"/>
    <w:rsid w:val="00A37E07"/>
    <w:rsid w:val="00A37E63"/>
    <w:rsid w:val="00A37EA2"/>
    <w:rsid w:val="00A37EEF"/>
    <w:rsid w:val="00A37F09"/>
    <w:rsid w:val="00A37FE7"/>
    <w:rsid w:val="00A38DA7"/>
    <w:rsid w:val="00A40083"/>
    <w:rsid w:val="00A400A0"/>
    <w:rsid w:val="00A400BA"/>
    <w:rsid w:val="00A400E6"/>
    <w:rsid w:val="00A40160"/>
    <w:rsid w:val="00A40198"/>
    <w:rsid w:val="00A401B1"/>
    <w:rsid w:val="00A401C3"/>
    <w:rsid w:val="00A401FD"/>
    <w:rsid w:val="00A40233"/>
    <w:rsid w:val="00A40255"/>
    <w:rsid w:val="00A40289"/>
    <w:rsid w:val="00A402A1"/>
    <w:rsid w:val="00A402FE"/>
    <w:rsid w:val="00A40319"/>
    <w:rsid w:val="00A403A4"/>
    <w:rsid w:val="00A403AC"/>
    <w:rsid w:val="00A403EE"/>
    <w:rsid w:val="00A403FD"/>
    <w:rsid w:val="00A40416"/>
    <w:rsid w:val="00A4044B"/>
    <w:rsid w:val="00A4044C"/>
    <w:rsid w:val="00A40454"/>
    <w:rsid w:val="00A404A4"/>
    <w:rsid w:val="00A404DB"/>
    <w:rsid w:val="00A404F7"/>
    <w:rsid w:val="00A40514"/>
    <w:rsid w:val="00A40549"/>
    <w:rsid w:val="00A4054A"/>
    <w:rsid w:val="00A40555"/>
    <w:rsid w:val="00A4065F"/>
    <w:rsid w:val="00A406CE"/>
    <w:rsid w:val="00A40715"/>
    <w:rsid w:val="00A40729"/>
    <w:rsid w:val="00A4073B"/>
    <w:rsid w:val="00A4076A"/>
    <w:rsid w:val="00A4079C"/>
    <w:rsid w:val="00A407A4"/>
    <w:rsid w:val="00A407D7"/>
    <w:rsid w:val="00A407DA"/>
    <w:rsid w:val="00A4086C"/>
    <w:rsid w:val="00A4087F"/>
    <w:rsid w:val="00A408AE"/>
    <w:rsid w:val="00A40929"/>
    <w:rsid w:val="00A40950"/>
    <w:rsid w:val="00A40983"/>
    <w:rsid w:val="00A409C9"/>
    <w:rsid w:val="00A409E4"/>
    <w:rsid w:val="00A40A56"/>
    <w:rsid w:val="00A40A99"/>
    <w:rsid w:val="00A40AE3"/>
    <w:rsid w:val="00A40B0F"/>
    <w:rsid w:val="00A40B34"/>
    <w:rsid w:val="00A40BAA"/>
    <w:rsid w:val="00A40C27"/>
    <w:rsid w:val="00A40C5F"/>
    <w:rsid w:val="00A40D16"/>
    <w:rsid w:val="00A40D39"/>
    <w:rsid w:val="00A40D45"/>
    <w:rsid w:val="00A40D94"/>
    <w:rsid w:val="00A40E10"/>
    <w:rsid w:val="00A40E11"/>
    <w:rsid w:val="00A40E3E"/>
    <w:rsid w:val="00A40E95"/>
    <w:rsid w:val="00A40EEE"/>
    <w:rsid w:val="00A40F1F"/>
    <w:rsid w:val="00A40F73"/>
    <w:rsid w:val="00A40FBC"/>
    <w:rsid w:val="00A40FDF"/>
    <w:rsid w:val="00A41026"/>
    <w:rsid w:val="00A41029"/>
    <w:rsid w:val="00A410B8"/>
    <w:rsid w:val="00A41118"/>
    <w:rsid w:val="00A41143"/>
    <w:rsid w:val="00A41181"/>
    <w:rsid w:val="00A411B2"/>
    <w:rsid w:val="00A411DE"/>
    <w:rsid w:val="00A41203"/>
    <w:rsid w:val="00A41265"/>
    <w:rsid w:val="00A4145B"/>
    <w:rsid w:val="00A4148B"/>
    <w:rsid w:val="00A414B9"/>
    <w:rsid w:val="00A41528"/>
    <w:rsid w:val="00A4155F"/>
    <w:rsid w:val="00A4159B"/>
    <w:rsid w:val="00A415CB"/>
    <w:rsid w:val="00A415CE"/>
    <w:rsid w:val="00A416BF"/>
    <w:rsid w:val="00A4171B"/>
    <w:rsid w:val="00A4175D"/>
    <w:rsid w:val="00A4183B"/>
    <w:rsid w:val="00A4189E"/>
    <w:rsid w:val="00A418F2"/>
    <w:rsid w:val="00A41947"/>
    <w:rsid w:val="00A41A06"/>
    <w:rsid w:val="00A41A15"/>
    <w:rsid w:val="00A41A39"/>
    <w:rsid w:val="00A41A44"/>
    <w:rsid w:val="00A41AB0"/>
    <w:rsid w:val="00A41BC3"/>
    <w:rsid w:val="00A41C2C"/>
    <w:rsid w:val="00A41C7E"/>
    <w:rsid w:val="00A41CA5"/>
    <w:rsid w:val="00A41D5F"/>
    <w:rsid w:val="00A41F2F"/>
    <w:rsid w:val="00A41FEB"/>
    <w:rsid w:val="00A4207A"/>
    <w:rsid w:val="00A42126"/>
    <w:rsid w:val="00A42138"/>
    <w:rsid w:val="00A42151"/>
    <w:rsid w:val="00A421AD"/>
    <w:rsid w:val="00A421B9"/>
    <w:rsid w:val="00A421EE"/>
    <w:rsid w:val="00A42215"/>
    <w:rsid w:val="00A42230"/>
    <w:rsid w:val="00A42277"/>
    <w:rsid w:val="00A422AF"/>
    <w:rsid w:val="00A42366"/>
    <w:rsid w:val="00A42402"/>
    <w:rsid w:val="00A42407"/>
    <w:rsid w:val="00A4245C"/>
    <w:rsid w:val="00A42462"/>
    <w:rsid w:val="00A42483"/>
    <w:rsid w:val="00A424D7"/>
    <w:rsid w:val="00A424E7"/>
    <w:rsid w:val="00A424E8"/>
    <w:rsid w:val="00A424F1"/>
    <w:rsid w:val="00A42502"/>
    <w:rsid w:val="00A42561"/>
    <w:rsid w:val="00A42562"/>
    <w:rsid w:val="00A4259D"/>
    <w:rsid w:val="00A4259F"/>
    <w:rsid w:val="00A425F4"/>
    <w:rsid w:val="00A425FD"/>
    <w:rsid w:val="00A426C6"/>
    <w:rsid w:val="00A426D0"/>
    <w:rsid w:val="00A426E7"/>
    <w:rsid w:val="00A426E8"/>
    <w:rsid w:val="00A4272F"/>
    <w:rsid w:val="00A42751"/>
    <w:rsid w:val="00A42767"/>
    <w:rsid w:val="00A42776"/>
    <w:rsid w:val="00A4277D"/>
    <w:rsid w:val="00A427D3"/>
    <w:rsid w:val="00A427D6"/>
    <w:rsid w:val="00A428EA"/>
    <w:rsid w:val="00A428ED"/>
    <w:rsid w:val="00A42918"/>
    <w:rsid w:val="00A42927"/>
    <w:rsid w:val="00A42998"/>
    <w:rsid w:val="00A42A01"/>
    <w:rsid w:val="00A42A1B"/>
    <w:rsid w:val="00A42A41"/>
    <w:rsid w:val="00A42A5A"/>
    <w:rsid w:val="00A42A80"/>
    <w:rsid w:val="00A42AA4"/>
    <w:rsid w:val="00A42B4D"/>
    <w:rsid w:val="00A42BF4"/>
    <w:rsid w:val="00A42C5B"/>
    <w:rsid w:val="00A42C5F"/>
    <w:rsid w:val="00A42C93"/>
    <w:rsid w:val="00A42CB0"/>
    <w:rsid w:val="00A42CBD"/>
    <w:rsid w:val="00A42D03"/>
    <w:rsid w:val="00A42D85"/>
    <w:rsid w:val="00A42DB8"/>
    <w:rsid w:val="00A42E23"/>
    <w:rsid w:val="00A42E3C"/>
    <w:rsid w:val="00A42E4C"/>
    <w:rsid w:val="00A42E75"/>
    <w:rsid w:val="00A42E9C"/>
    <w:rsid w:val="00A42EA0"/>
    <w:rsid w:val="00A42EAE"/>
    <w:rsid w:val="00A42EB9"/>
    <w:rsid w:val="00A42EEE"/>
    <w:rsid w:val="00A42F81"/>
    <w:rsid w:val="00A42F85"/>
    <w:rsid w:val="00A42F86"/>
    <w:rsid w:val="00A42FD0"/>
    <w:rsid w:val="00A42FFE"/>
    <w:rsid w:val="00A4300B"/>
    <w:rsid w:val="00A43037"/>
    <w:rsid w:val="00A43068"/>
    <w:rsid w:val="00A430B0"/>
    <w:rsid w:val="00A43127"/>
    <w:rsid w:val="00A43139"/>
    <w:rsid w:val="00A43140"/>
    <w:rsid w:val="00A4316F"/>
    <w:rsid w:val="00A43256"/>
    <w:rsid w:val="00A43287"/>
    <w:rsid w:val="00A43295"/>
    <w:rsid w:val="00A43392"/>
    <w:rsid w:val="00A43448"/>
    <w:rsid w:val="00A4345B"/>
    <w:rsid w:val="00A434A9"/>
    <w:rsid w:val="00A434F5"/>
    <w:rsid w:val="00A43506"/>
    <w:rsid w:val="00A43588"/>
    <w:rsid w:val="00A43597"/>
    <w:rsid w:val="00A435CE"/>
    <w:rsid w:val="00A435F0"/>
    <w:rsid w:val="00A43622"/>
    <w:rsid w:val="00A436BE"/>
    <w:rsid w:val="00A436C2"/>
    <w:rsid w:val="00A437DB"/>
    <w:rsid w:val="00A437DE"/>
    <w:rsid w:val="00A43839"/>
    <w:rsid w:val="00A438B2"/>
    <w:rsid w:val="00A43922"/>
    <w:rsid w:val="00A439A9"/>
    <w:rsid w:val="00A439AC"/>
    <w:rsid w:val="00A439BF"/>
    <w:rsid w:val="00A43A07"/>
    <w:rsid w:val="00A43AB0"/>
    <w:rsid w:val="00A43ADF"/>
    <w:rsid w:val="00A43AEF"/>
    <w:rsid w:val="00A43B1E"/>
    <w:rsid w:val="00A43BF8"/>
    <w:rsid w:val="00A43C1C"/>
    <w:rsid w:val="00A43C7E"/>
    <w:rsid w:val="00A43C8A"/>
    <w:rsid w:val="00A43CB9"/>
    <w:rsid w:val="00A43CCD"/>
    <w:rsid w:val="00A43CEE"/>
    <w:rsid w:val="00A43D5D"/>
    <w:rsid w:val="00A43D6B"/>
    <w:rsid w:val="00A43D7A"/>
    <w:rsid w:val="00A43D80"/>
    <w:rsid w:val="00A43D9B"/>
    <w:rsid w:val="00A43DC8"/>
    <w:rsid w:val="00A43E0F"/>
    <w:rsid w:val="00A43EDE"/>
    <w:rsid w:val="00A43EF0"/>
    <w:rsid w:val="00A43F1A"/>
    <w:rsid w:val="00A43F4B"/>
    <w:rsid w:val="00A43FEB"/>
    <w:rsid w:val="00A44023"/>
    <w:rsid w:val="00A441B2"/>
    <w:rsid w:val="00A441FA"/>
    <w:rsid w:val="00A4425F"/>
    <w:rsid w:val="00A44293"/>
    <w:rsid w:val="00A442C4"/>
    <w:rsid w:val="00A442FE"/>
    <w:rsid w:val="00A4430E"/>
    <w:rsid w:val="00A4433A"/>
    <w:rsid w:val="00A44352"/>
    <w:rsid w:val="00A44367"/>
    <w:rsid w:val="00A443C3"/>
    <w:rsid w:val="00A444AB"/>
    <w:rsid w:val="00A444F3"/>
    <w:rsid w:val="00A44517"/>
    <w:rsid w:val="00A445CA"/>
    <w:rsid w:val="00A44620"/>
    <w:rsid w:val="00A44635"/>
    <w:rsid w:val="00A4464A"/>
    <w:rsid w:val="00A44682"/>
    <w:rsid w:val="00A446B4"/>
    <w:rsid w:val="00A446EA"/>
    <w:rsid w:val="00A4479D"/>
    <w:rsid w:val="00A447A1"/>
    <w:rsid w:val="00A447AF"/>
    <w:rsid w:val="00A44823"/>
    <w:rsid w:val="00A4487E"/>
    <w:rsid w:val="00A448B4"/>
    <w:rsid w:val="00A448C2"/>
    <w:rsid w:val="00A44923"/>
    <w:rsid w:val="00A44950"/>
    <w:rsid w:val="00A44962"/>
    <w:rsid w:val="00A44991"/>
    <w:rsid w:val="00A449A5"/>
    <w:rsid w:val="00A449A8"/>
    <w:rsid w:val="00A449EB"/>
    <w:rsid w:val="00A44A21"/>
    <w:rsid w:val="00A44A7D"/>
    <w:rsid w:val="00A44ABC"/>
    <w:rsid w:val="00A44ACC"/>
    <w:rsid w:val="00A44ACF"/>
    <w:rsid w:val="00A44B4E"/>
    <w:rsid w:val="00A44B5A"/>
    <w:rsid w:val="00A44B88"/>
    <w:rsid w:val="00A44C0E"/>
    <w:rsid w:val="00A44C1D"/>
    <w:rsid w:val="00A44C25"/>
    <w:rsid w:val="00A44CED"/>
    <w:rsid w:val="00A44D41"/>
    <w:rsid w:val="00A44DCB"/>
    <w:rsid w:val="00A44E75"/>
    <w:rsid w:val="00A44F06"/>
    <w:rsid w:val="00A44F41"/>
    <w:rsid w:val="00A44F55"/>
    <w:rsid w:val="00A44F5A"/>
    <w:rsid w:val="00A44F68"/>
    <w:rsid w:val="00A44F71"/>
    <w:rsid w:val="00A44FD4"/>
    <w:rsid w:val="00A44FE7"/>
    <w:rsid w:val="00A45007"/>
    <w:rsid w:val="00A4504A"/>
    <w:rsid w:val="00A4504B"/>
    <w:rsid w:val="00A45064"/>
    <w:rsid w:val="00A4506D"/>
    <w:rsid w:val="00A450A1"/>
    <w:rsid w:val="00A450F7"/>
    <w:rsid w:val="00A4518C"/>
    <w:rsid w:val="00A451E5"/>
    <w:rsid w:val="00A45245"/>
    <w:rsid w:val="00A4525E"/>
    <w:rsid w:val="00A4529B"/>
    <w:rsid w:val="00A45316"/>
    <w:rsid w:val="00A4531E"/>
    <w:rsid w:val="00A45352"/>
    <w:rsid w:val="00A4536B"/>
    <w:rsid w:val="00A4537A"/>
    <w:rsid w:val="00A453DF"/>
    <w:rsid w:val="00A453EF"/>
    <w:rsid w:val="00A453FB"/>
    <w:rsid w:val="00A4540E"/>
    <w:rsid w:val="00A45425"/>
    <w:rsid w:val="00A4543C"/>
    <w:rsid w:val="00A4548D"/>
    <w:rsid w:val="00A45582"/>
    <w:rsid w:val="00A455A9"/>
    <w:rsid w:val="00A455B6"/>
    <w:rsid w:val="00A456CE"/>
    <w:rsid w:val="00A456E7"/>
    <w:rsid w:val="00A4573B"/>
    <w:rsid w:val="00A45751"/>
    <w:rsid w:val="00A4578D"/>
    <w:rsid w:val="00A457C1"/>
    <w:rsid w:val="00A45842"/>
    <w:rsid w:val="00A4585B"/>
    <w:rsid w:val="00A4589E"/>
    <w:rsid w:val="00A458A9"/>
    <w:rsid w:val="00A458BB"/>
    <w:rsid w:val="00A45910"/>
    <w:rsid w:val="00A45938"/>
    <w:rsid w:val="00A4593A"/>
    <w:rsid w:val="00A4593F"/>
    <w:rsid w:val="00A45A09"/>
    <w:rsid w:val="00A45A10"/>
    <w:rsid w:val="00A45A2F"/>
    <w:rsid w:val="00A45A66"/>
    <w:rsid w:val="00A45AEB"/>
    <w:rsid w:val="00A45B56"/>
    <w:rsid w:val="00A45B67"/>
    <w:rsid w:val="00A45BA7"/>
    <w:rsid w:val="00A45C1D"/>
    <w:rsid w:val="00A45C53"/>
    <w:rsid w:val="00A45C6A"/>
    <w:rsid w:val="00A45C6B"/>
    <w:rsid w:val="00A45C89"/>
    <w:rsid w:val="00A45D03"/>
    <w:rsid w:val="00A45D2D"/>
    <w:rsid w:val="00A45E62"/>
    <w:rsid w:val="00A45E73"/>
    <w:rsid w:val="00A45E92"/>
    <w:rsid w:val="00A45F13"/>
    <w:rsid w:val="00A45F2E"/>
    <w:rsid w:val="00A45FCC"/>
    <w:rsid w:val="00A45FE6"/>
    <w:rsid w:val="00A46045"/>
    <w:rsid w:val="00A46087"/>
    <w:rsid w:val="00A46125"/>
    <w:rsid w:val="00A46250"/>
    <w:rsid w:val="00A4625C"/>
    <w:rsid w:val="00A46277"/>
    <w:rsid w:val="00A46278"/>
    <w:rsid w:val="00A462DF"/>
    <w:rsid w:val="00A46394"/>
    <w:rsid w:val="00A463EE"/>
    <w:rsid w:val="00A4647C"/>
    <w:rsid w:val="00A464CF"/>
    <w:rsid w:val="00A46507"/>
    <w:rsid w:val="00A4653E"/>
    <w:rsid w:val="00A4655E"/>
    <w:rsid w:val="00A465FD"/>
    <w:rsid w:val="00A46623"/>
    <w:rsid w:val="00A4664E"/>
    <w:rsid w:val="00A46690"/>
    <w:rsid w:val="00A466C1"/>
    <w:rsid w:val="00A466E0"/>
    <w:rsid w:val="00A466F2"/>
    <w:rsid w:val="00A466FF"/>
    <w:rsid w:val="00A46712"/>
    <w:rsid w:val="00A46765"/>
    <w:rsid w:val="00A46803"/>
    <w:rsid w:val="00A46839"/>
    <w:rsid w:val="00A46958"/>
    <w:rsid w:val="00A469E1"/>
    <w:rsid w:val="00A46A86"/>
    <w:rsid w:val="00A46C17"/>
    <w:rsid w:val="00A46C8F"/>
    <w:rsid w:val="00A46C94"/>
    <w:rsid w:val="00A46CAD"/>
    <w:rsid w:val="00A46D12"/>
    <w:rsid w:val="00A46D43"/>
    <w:rsid w:val="00A46D81"/>
    <w:rsid w:val="00A46D9B"/>
    <w:rsid w:val="00A46DC2"/>
    <w:rsid w:val="00A46DCB"/>
    <w:rsid w:val="00A46DD6"/>
    <w:rsid w:val="00A46E16"/>
    <w:rsid w:val="00A46E49"/>
    <w:rsid w:val="00A46E79"/>
    <w:rsid w:val="00A46ED7"/>
    <w:rsid w:val="00A46EF5"/>
    <w:rsid w:val="00A46F20"/>
    <w:rsid w:val="00A46F4B"/>
    <w:rsid w:val="00A47098"/>
    <w:rsid w:val="00A4710C"/>
    <w:rsid w:val="00A4716E"/>
    <w:rsid w:val="00A47178"/>
    <w:rsid w:val="00A4718C"/>
    <w:rsid w:val="00A47208"/>
    <w:rsid w:val="00A47210"/>
    <w:rsid w:val="00A4723E"/>
    <w:rsid w:val="00A47283"/>
    <w:rsid w:val="00A472C0"/>
    <w:rsid w:val="00A472FF"/>
    <w:rsid w:val="00A47326"/>
    <w:rsid w:val="00A4734B"/>
    <w:rsid w:val="00A4735D"/>
    <w:rsid w:val="00A473C8"/>
    <w:rsid w:val="00A47417"/>
    <w:rsid w:val="00A47473"/>
    <w:rsid w:val="00A474C6"/>
    <w:rsid w:val="00A47528"/>
    <w:rsid w:val="00A47563"/>
    <w:rsid w:val="00A475B5"/>
    <w:rsid w:val="00A4760D"/>
    <w:rsid w:val="00A47611"/>
    <w:rsid w:val="00A4767F"/>
    <w:rsid w:val="00A476BC"/>
    <w:rsid w:val="00A47706"/>
    <w:rsid w:val="00A47721"/>
    <w:rsid w:val="00A4779D"/>
    <w:rsid w:val="00A477F3"/>
    <w:rsid w:val="00A477FA"/>
    <w:rsid w:val="00A4783F"/>
    <w:rsid w:val="00A478C2"/>
    <w:rsid w:val="00A478CC"/>
    <w:rsid w:val="00A47904"/>
    <w:rsid w:val="00A47920"/>
    <w:rsid w:val="00A4792D"/>
    <w:rsid w:val="00A47948"/>
    <w:rsid w:val="00A47976"/>
    <w:rsid w:val="00A479C3"/>
    <w:rsid w:val="00A479CF"/>
    <w:rsid w:val="00A47A0C"/>
    <w:rsid w:val="00A47A64"/>
    <w:rsid w:val="00A47A7C"/>
    <w:rsid w:val="00A47A89"/>
    <w:rsid w:val="00A47A96"/>
    <w:rsid w:val="00A47AE3"/>
    <w:rsid w:val="00A47B19"/>
    <w:rsid w:val="00A47B20"/>
    <w:rsid w:val="00A47BA8"/>
    <w:rsid w:val="00A47C1A"/>
    <w:rsid w:val="00A47C87"/>
    <w:rsid w:val="00A47C94"/>
    <w:rsid w:val="00A47CC4"/>
    <w:rsid w:val="00A47CE6"/>
    <w:rsid w:val="00A47CF6"/>
    <w:rsid w:val="00A47D11"/>
    <w:rsid w:val="00A47D2D"/>
    <w:rsid w:val="00A47D84"/>
    <w:rsid w:val="00A47D96"/>
    <w:rsid w:val="00A47DA7"/>
    <w:rsid w:val="00A47DB7"/>
    <w:rsid w:val="00A47DC8"/>
    <w:rsid w:val="00A47E5D"/>
    <w:rsid w:val="00A47ED6"/>
    <w:rsid w:val="00A47ED7"/>
    <w:rsid w:val="00A47F9A"/>
    <w:rsid w:val="00A5002D"/>
    <w:rsid w:val="00A50038"/>
    <w:rsid w:val="00A50041"/>
    <w:rsid w:val="00A500E8"/>
    <w:rsid w:val="00A500EB"/>
    <w:rsid w:val="00A500F1"/>
    <w:rsid w:val="00A5012A"/>
    <w:rsid w:val="00A5019B"/>
    <w:rsid w:val="00A501AE"/>
    <w:rsid w:val="00A501B9"/>
    <w:rsid w:val="00A50257"/>
    <w:rsid w:val="00A5025E"/>
    <w:rsid w:val="00A50264"/>
    <w:rsid w:val="00A5027D"/>
    <w:rsid w:val="00A502B0"/>
    <w:rsid w:val="00A502C4"/>
    <w:rsid w:val="00A5035B"/>
    <w:rsid w:val="00A503BB"/>
    <w:rsid w:val="00A503DF"/>
    <w:rsid w:val="00A505D1"/>
    <w:rsid w:val="00A505FD"/>
    <w:rsid w:val="00A506F3"/>
    <w:rsid w:val="00A50715"/>
    <w:rsid w:val="00A50760"/>
    <w:rsid w:val="00A507D8"/>
    <w:rsid w:val="00A5080B"/>
    <w:rsid w:val="00A508AB"/>
    <w:rsid w:val="00A508D0"/>
    <w:rsid w:val="00A508E1"/>
    <w:rsid w:val="00A50977"/>
    <w:rsid w:val="00A5097A"/>
    <w:rsid w:val="00A509B0"/>
    <w:rsid w:val="00A509E2"/>
    <w:rsid w:val="00A50A40"/>
    <w:rsid w:val="00A50A79"/>
    <w:rsid w:val="00A50ABC"/>
    <w:rsid w:val="00A50AF4"/>
    <w:rsid w:val="00A50B0E"/>
    <w:rsid w:val="00A50B11"/>
    <w:rsid w:val="00A50B29"/>
    <w:rsid w:val="00A50B3C"/>
    <w:rsid w:val="00A50BF1"/>
    <w:rsid w:val="00A50C3C"/>
    <w:rsid w:val="00A50C7C"/>
    <w:rsid w:val="00A50CFD"/>
    <w:rsid w:val="00A50D64"/>
    <w:rsid w:val="00A50D67"/>
    <w:rsid w:val="00A50E0B"/>
    <w:rsid w:val="00A50E14"/>
    <w:rsid w:val="00A50E6B"/>
    <w:rsid w:val="00A50E80"/>
    <w:rsid w:val="00A50ED8"/>
    <w:rsid w:val="00A5101A"/>
    <w:rsid w:val="00A5102A"/>
    <w:rsid w:val="00A5102F"/>
    <w:rsid w:val="00A51107"/>
    <w:rsid w:val="00A5111E"/>
    <w:rsid w:val="00A51197"/>
    <w:rsid w:val="00A511AA"/>
    <w:rsid w:val="00A51200"/>
    <w:rsid w:val="00A51203"/>
    <w:rsid w:val="00A5121A"/>
    <w:rsid w:val="00A51283"/>
    <w:rsid w:val="00A512A4"/>
    <w:rsid w:val="00A512B0"/>
    <w:rsid w:val="00A512D9"/>
    <w:rsid w:val="00A512DA"/>
    <w:rsid w:val="00A512F7"/>
    <w:rsid w:val="00A5131F"/>
    <w:rsid w:val="00A5135B"/>
    <w:rsid w:val="00A51424"/>
    <w:rsid w:val="00A5142D"/>
    <w:rsid w:val="00A51463"/>
    <w:rsid w:val="00A514BD"/>
    <w:rsid w:val="00A514E7"/>
    <w:rsid w:val="00A514E8"/>
    <w:rsid w:val="00A51559"/>
    <w:rsid w:val="00A5157B"/>
    <w:rsid w:val="00A5158E"/>
    <w:rsid w:val="00A516A9"/>
    <w:rsid w:val="00A51733"/>
    <w:rsid w:val="00A517A3"/>
    <w:rsid w:val="00A517AD"/>
    <w:rsid w:val="00A51856"/>
    <w:rsid w:val="00A51858"/>
    <w:rsid w:val="00A51865"/>
    <w:rsid w:val="00A5187E"/>
    <w:rsid w:val="00A518A6"/>
    <w:rsid w:val="00A518D8"/>
    <w:rsid w:val="00A518F0"/>
    <w:rsid w:val="00A518F7"/>
    <w:rsid w:val="00A5190A"/>
    <w:rsid w:val="00A51965"/>
    <w:rsid w:val="00A5196D"/>
    <w:rsid w:val="00A519AD"/>
    <w:rsid w:val="00A519B8"/>
    <w:rsid w:val="00A519FD"/>
    <w:rsid w:val="00A51A38"/>
    <w:rsid w:val="00A51A3F"/>
    <w:rsid w:val="00A51AA5"/>
    <w:rsid w:val="00A51B0D"/>
    <w:rsid w:val="00A51B45"/>
    <w:rsid w:val="00A51B8E"/>
    <w:rsid w:val="00A51BD2"/>
    <w:rsid w:val="00A51BD8"/>
    <w:rsid w:val="00A51BFE"/>
    <w:rsid w:val="00A51C53"/>
    <w:rsid w:val="00A51C6D"/>
    <w:rsid w:val="00A51CE0"/>
    <w:rsid w:val="00A51D01"/>
    <w:rsid w:val="00A51D0A"/>
    <w:rsid w:val="00A51D2A"/>
    <w:rsid w:val="00A51D36"/>
    <w:rsid w:val="00A51D4D"/>
    <w:rsid w:val="00A51D5C"/>
    <w:rsid w:val="00A51D94"/>
    <w:rsid w:val="00A51DA5"/>
    <w:rsid w:val="00A51DB4"/>
    <w:rsid w:val="00A51E37"/>
    <w:rsid w:val="00A51E3D"/>
    <w:rsid w:val="00A51E72"/>
    <w:rsid w:val="00A51E83"/>
    <w:rsid w:val="00A51EA6"/>
    <w:rsid w:val="00A51EE4"/>
    <w:rsid w:val="00A51EF6"/>
    <w:rsid w:val="00A51F00"/>
    <w:rsid w:val="00A51F64"/>
    <w:rsid w:val="00A51F6D"/>
    <w:rsid w:val="00A51F86"/>
    <w:rsid w:val="00A5206F"/>
    <w:rsid w:val="00A520A3"/>
    <w:rsid w:val="00A52119"/>
    <w:rsid w:val="00A5212E"/>
    <w:rsid w:val="00A52181"/>
    <w:rsid w:val="00A521CD"/>
    <w:rsid w:val="00A521D1"/>
    <w:rsid w:val="00A5223E"/>
    <w:rsid w:val="00A5234D"/>
    <w:rsid w:val="00A52399"/>
    <w:rsid w:val="00A52417"/>
    <w:rsid w:val="00A52447"/>
    <w:rsid w:val="00A524F0"/>
    <w:rsid w:val="00A5250C"/>
    <w:rsid w:val="00A5254A"/>
    <w:rsid w:val="00A5259D"/>
    <w:rsid w:val="00A5260D"/>
    <w:rsid w:val="00A52636"/>
    <w:rsid w:val="00A526BF"/>
    <w:rsid w:val="00A526C0"/>
    <w:rsid w:val="00A526C3"/>
    <w:rsid w:val="00A526D7"/>
    <w:rsid w:val="00A527A7"/>
    <w:rsid w:val="00A527E9"/>
    <w:rsid w:val="00A5283B"/>
    <w:rsid w:val="00A528B5"/>
    <w:rsid w:val="00A528B7"/>
    <w:rsid w:val="00A5290C"/>
    <w:rsid w:val="00A52925"/>
    <w:rsid w:val="00A52937"/>
    <w:rsid w:val="00A52939"/>
    <w:rsid w:val="00A52956"/>
    <w:rsid w:val="00A5296C"/>
    <w:rsid w:val="00A52A0D"/>
    <w:rsid w:val="00A52A2E"/>
    <w:rsid w:val="00A52A87"/>
    <w:rsid w:val="00A52B3F"/>
    <w:rsid w:val="00A52B92"/>
    <w:rsid w:val="00A52BC7"/>
    <w:rsid w:val="00A52C3F"/>
    <w:rsid w:val="00A52C59"/>
    <w:rsid w:val="00A52C86"/>
    <w:rsid w:val="00A52C8C"/>
    <w:rsid w:val="00A52CF8"/>
    <w:rsid w:val="00A52D48"/>
    <w:rsid w:val="00A52D4B"/>
    <w:rsid w:val="00A52D53"/>
    <w:rsid w:val="00A52D85"/>
    <w:rsid w:val="00A52DAC"/>
    <w:rsid w:val="00A52DB6"/>
    <w:rsid w:val="00A52DC0"/>
    <w:rsid w:val="00A52DC3"/>
    <w:rsid w:val="00A52DE0"/>
    <w:rsid w:val="00A52EAC"/>
    <w:rsid w:val="00A52ED1"/>
    <w:rsid w:val="00A52F50"/>
    <w:rsid w:val="00A52FA1"/>
    <w:rsid w:val="00A52FA9"/>
    <w:rsid w:val="00A53007"/>
    <w:rsid w:val="00A53016"/>
    <w:rsid w:val="00A5307D"/>
    <w:rsid w:val="00A5309C"/>
    <w:rsid w:val="00A530CE"/>
    <w:rsid w:val="00A530F7"/>
    <w:rsid w:val="00A53180"/>
    <w:rsid w:val="00A531BE"/>
    <w:rsid w:val="00A53281"/>
    <w:rsid w:val="00A5328A"/>
    <w:rsid w:val="00A5329F"/>
    <w:rsid w:val="00A532A7"/>
    <w:rsid w:val="00A5330F"/>
    <w:rsid w:val="00A53311"/>
    <w:rsid w:val="00A5333D"/>
    <w:rsid w:val="00A5337C"/>
    <w:rsid w:val="00A5346D"/>
    <w:rsid w:val="00A53472"/>
    <w:rsid w:val="00A534A6"/>
    <w:rsid w:val="00A534F0"/>
    <w:rsid w:val="00A53512"/>
    <w:rsid w:val="00A53524"/>
    <w:rsid w:val="00A53547"/>
    <w:rsid w:val="00A53552"/>
    <w:rsid w:val="00A5356E"/>
    <w:rsid w:val="00A53587"/>
    <w:rsid w:val="00A535AA"/>
    <w:rsid w:val="00A535D1"/>
    <w:rsid w:val="00A535FC"/>
    <w:rsid w:val="00A53645"/>
    <w:rsid w:val="00A53652"/>
    <w:rsid w:val="00A53656"/>
    <w:rsid w:val="00A53735"/>
    <w:rsid w:val="00A53762"/>
    <w:rsid w:val="00A5376A"/>
    <w:rsid w:val="00A5379B"/>
    <w:rsid w:val="00A537DB"/>
    <w:rsid w:val="00A537EE"/>
    <w:rsid w:val="00A53808"/>
    <w:rsid w:val="00A5387C"/>
    <w:rsid w:val="00A53884"/>
    <w:rsid w:val="00A5388B"/>
    <w:rsid w:val="00A53898"/>
    <w:rsid w:val="00A538AF"/>
    <w:rsid w:val="00A538B9"/>
    <w:rsid w:val="00A538D5"/>
    <w:rsid w:val="00A5392E"/>
    <w:rsid w:val="00A5397D"/>
    <w:rsid w:val="00A5397F"/>
    <w:rsid w:val="00A5399E"/>
    <w:rsid w:val="00A539A3"/>
    <w:rsid w:val="00A539D5"/>
    <w:rsid w:val="00A539E5"/>
    <w:rsid w:val="00A539E8"/>
    <w:rsid w:val="00A53A09"/>
    <w:rsid w:val="00A53A88"/>
    <w:rsid w:val="00A53AB3"/>
    <w:rsid w:val="00A53ADA"/>
    <w:rsid w:val="00A53B1C"/>
    <w:rsid w:val="00A53B24"/>
    <w:rsid w:val="00A53BB9"/>
    <w:rsid w:val="00A53BDF"/>
    <w:rsid w:val="00A53C76"/>
    <w:rsid w:val="00A53CE3"/>
    <w:rsid w:val="00A53CFE"/>
    <w:rsid w:val="00A53DCD"/>
    <w:rsid w:val="00A53DD8"/>
    <w:rsid w:val="00A53DF0"/>
    <w:rsid w:val="00A53E36"/>
    <w:rsid w:val="00A53E3C"/>
    <w:rsid w:val="00A53E50"/>
    <w:rsid w:val="00A53E78"/>
    <w:rsid w:val="00A53E91"/>
    <w:rsid w:val="00A53ECF"/>
    <w:rsid w:val="00A53EE1"/>
    <w:rsid w:val="00A53F24"/>
    <w:rsid w:val="00A53FE3"/>
    <w:rsid w:val="00A53FE4"/>
    <w:rsid w:val="00A53FF2"/>
    <w:rsid w:val="00A54046"/>
    <w:rsid w:val="00A54047"/>
    <w:rsid w:val="00A54065"/>
    <w:rsid w:val="00A540B1"/>
    <w:rsid w:val="00A540CB"/>
    <w:rsid w:val="00A5413B"/>
    <w:rsid w:val="00A54153"/>
    <w:rsid w:val="00A541CF"/>
    <w:rsid w:val="00A541F1"/>
    <w:rsid w:val="00A54278"/>
    <w:rsid w:val="00A542A3"/>
    <w:rsid w:val="00A542A9"/>
    <w:rsid w:val="00A542D0"/>
    <w:rsid w:val="00A542D9"/>
    <w:rsid w:val="00A54304"/>
    <w:rsid w:val="00A54344"/>
    <w:rsid w:val="00A54373"/>
    <w:rsid w:val="00A543D4"/>
    <w:rsid w:val="00A54403"/>
    <w:rsid w:val="00A54444"/>
    <w:rsid w:val="00A544E0"/>
    <w:rsid w:val="00A544FB"/>
    <w:rsid w:val="00A54503"/>
    <w:rsid w:val="00A54528"/>
    <w:rsid w:val="00A54535"/>
    <w:rsid w:val="00A54538"/>
    <w:rsid w:val="00A54581"/>
    <w:rsid w:val="00A5459F"/>
    <w:rsid w:val="00A5460F"/>
    <w:rsid w:val="00A5461A"/>
    <w:rsid w:val="00A54642"/>
    <w:rsid w:val="00A5465A"/>
    <w:rsid w:val="00A54789"/>
    <w:rsid w:val="00A547B3"/>
    <w:rsid w:val="00A547F3"/>
    <w:rsid w:val="00A54856"/>
    <w:rsid w:val="00A548BA"/>
    <w:rsid w:val="00A548D7"/>
    <w:rsid w:val="00A548DA"/>
    <w:rsid w:val="00A54937"/>
    <w:rsid w:val="00A5495F"/>
    <w:rsid w:val="00A549CB"/>
    <w:rsid w:val="00A54A0B"/>
    <w:rsid w:val="00A54AD0"/>
    <w:rsid w:val="00A54AD6"/>
    <w:rsid w:val="00A54B1E"/>
    <w:rsid w:val="00A54B44"/>
    <w:rsid w:val="00A54B82"/>
    <w:rsid w:val="00A54B93"/>
    <w:rsid w:val="00A54BA3"/>
    <w:rsid w:val="00A54BDB"/>
    <w:rsid w:val="00A54BE7"/>
    <w:rsid w:val="00A54C0F"/>
    <w:rsid w:val="00A54C50"/>
    <w:rsid w:val="00A54C90"/>
    <w:rsid w:val="00A54CAB"/>
    <w:rsid w:val="00A54CD6"/>
    <w:rsid w:val="00A54D02"/>
    <w:rsid w:val="00A54D22"/>
    <w:rsid w:val="00A54D3F"/>
    <w:rsid w:val="00A54D4A"/>
    <w:rsid w:val="00A54D89"/>
    <w:rsid w:val="00A54DB3"/>
    <w:rsid w:val="00A54E1D"/>
    <w:rsid w:val="00A54E8F"/>
    <w:rsid w:val="00A54E91"/>
    <w:rsid w:val="00A54EB5"/>
    <w:rsid w:val="00A54F00"/>
    <w:rsid w:val="00A54F99"/>
    <w:rsid w:val="00A5505E"/>
    <w:rsid w:val="00A5506D"/>
    <w:rsid w:val="00A5507B"/>
    <w:rsid w:val="00A550A4"/>
    <w:rsid w:val="00A55100"/>
    <w:rsid w:val="00A5510E"/>
    <w:rsid w:val="00A55118"/>
    <w:rsid w:val="00A5513F"/>
    <w:rsid w:val="00A55187"/>
    <w:rsid w:val="00A5518E"/>
    <w:rsid w:val="00A5520B"/>
    <w:rsid w:val="00A55230"/>
    <w:rsid w:val="00A55232"/>
    <w:rsid w:val="00A5528E"/>
    <w:rsid w:val="00A552C3"/>
    <w:rsid w:val="00A552E6"/>
    <w:rsid w:val="00A552E8"/>
    <w:rsid w:val="00A55304"/>
    <w:rsid w:val="00A5532B"/>
    <w:rsid w:val="00A553F1"/>
    <w:rsid w:val="00A55433"/>
    <w:rsid w:val="00A5543B"/>
    <w:rsid w:val="00A55461"/>
    <w:rsid w:val="00A5546F"/>
    <w:rsid w:val="00A55474"/>
    <w:rsid w:val="00A554BB"/>
    <w:rsid w:val="00A554BF"/>
    <w:rsid w:val="00A554C4"/>
    <w:rsid w:val="00A554E5"/>
    <w:rsid w:val="00A554EE"/>
    <w:rsid w:val="00A555C8"/>
    <w:rsid w:val="00A55631"/>
    <w:rsid w:val="00A55690"/>
    <w:rsid w:val="00A556AC"/>
    <w:rsid w:val="00A556DC"/>
    <w:rsid w:val="00A55713"/>
    <w:rsid w:val="00A55758"/>
    <w:rsid w:val="00A5575B"/>
    <w:rsid w:val="00A55805"/>
    <w:rsid w:val="00A5589D"/>
    <w:rsid w:val="00A5594B"/>
    <w:rsid w:val="00A55981"/>
    <w:rsid w:val="00A559D0"/>
    <w:rsid w:val="00A55A4D"/>
    <w:rsid w:val="00A55A99"/>
    <w:rsid w:val="00A55A9D"/>
    <w:rsid w:val="00A55B19"/>
    <w:rsid w:val="00A55B74"/>
    <w:rsid w:val="00A55BC0"/>
    <w:rsid w:val="00A55BEA"/>
    <w:rsid w:val="00A55C1D"/>
    <w:rsid w:val="00A55C23"/>
    <w:rsid w:val="00A55C89"/>
    <w:rsid w:val="00A55CC0"/>
    <w:rsid w:val="00A55CD3"/>
    <w:rsid w:val="00A55CEF"/>
    <w:rsid w:val="00A55D8E"/>
    <w:rsid w:val="00A55D9A"/>
    <w:rsid w:val="00A55DCB"/>
    <w:rsid w:val="00A55DE9"/>
    <w:rsid w:val="00A55DF4"/>
    <w:rsid w:val="00A55E81"/>
    <w:rsid w:val="00A55E98"/>
    <w:rsid w:val="00A55EA8"/>
    <w:rsid w:val="00A55EB7"/>
    <w:rsid w:val="00A55EC9"/>
    <w:rsid w:val="00A55EE6"/>
    <w:rsid w:val="00A55F3C"/>
    <w:rsid w:val="00A55FE3"/>
    <w:rsid w:val="00A5601D"/>
    <w:rsid w:val="00A5602E"/>
    <w:rsid w:val="00A56089"/>
    <w:rsid w:val="00A560F4"/>
    <w:rsid w:val="00A56209"/>
    <w:rsid w:val="00A5620F"/>
    <w:rsid w:val="00A56213"/>
    <w:rsid w:val="00A56218"/>
    <w:rsid w:val="00A56261"/>
    <w:rsid w:val="00A5626F"/>
    <w:rsid w:val="00A5627C"/>
    <w:rsid w:val="00A56288"/>
    <w:rsid w:val="00A562D1"/>
    <w:rsid w:val="00A5632C"/>
    <w:rsid w:val="00A5633E"/>
    <w:rsid w:val="00A56359"/>
    <w:rsid w:val="00A5635C"/>
    <w:rsid w:val="00A56369"/>
    <w:rsid w:val="00A563CD"/>
    <w:rsid w:val="00A563EE"/>
    <w:rsid w:val="00A563F9"/>
    <w:rsid w:val="00A56463"/>
    <w:rsid w:val="00A5649A"/>
    <w:rsid w:val="00A5651C"/>
    <w:rsid w:val="00A56542"/>
    <w:rsid w:val="00A56557"/>
    <w:rsid w:val="00A56608"/>
    <w:rsid w:val="00A56613"/>
    <w:rsid w:val="00A56672"/>
    <w:rsid w:val="00A56686"/>
    <w:rsid w:val="00A56694"/>
    <w:rsid w:val="00A56699"/>
    <w:rsid w:val="00A5673D"/>
    <w:rsid w:val="00A56788"/>
    <w:rsid w:val="00A5679D"/>
    <w:rsid w:val="00A567E8"/>
    <w:rsid w:val="00A56802"/>
    <w:rsid w:val="00A56828"/>
    <w:rsid w:val="00A5685F"/>
    <w:rsid w:val="00A568EC"/>
    <w:rsid w:val="00A568F9"/>
    <w:rsid w:val="00A569F4"/>
    <w:rsid w:val="00A56A18"/>
    <w:rsid w:val="00A56A1C"/>
    <w:rsid w:val="00A56A5D"/>
    <w:rsid w:val="00A56B33"/>
    <w:rsid w:val="00A56B7C"/>
    <w:rsid w:val="00A56B9A"/>
    <w:rsid w:val="00A56BB4"/>
    <w:rsid w:val="00A56BE6"/>
    <w:rsid w:val="00A56CCC"/>
    <w:rsid w:val="00A56CD6"/>
    <w:rsid w:val="00A56D37"/>
    <w:rsid w:val="00A56D3D"/>
    <w:rsid w:val="00A56D6A"/>
    <w:rsid w:val="00A56D7F"/>
    <w:rsid w:val="00A56DCB"/>
    <w:rsid w:val="00A56DD4"/>
    <w:rsid w:val="00A56E1E"/>
    <w:rsid w:val="00A56E1F"/>
    <w:rsid w:val="00A56E3C"/>
    <w:rsid w:val="00A56EA8"/>
    <w:rsid w:val="00A56EC4"/>
    <w:rsid w:val="00A56EC5"/>
    <w:rsid w:val="00A56F5D"/>
    <w:rsid w:val="00A56FC2"/>
    <w:rsid w:val="00A56FC9"/>
    <w:rsid w:val="00A56FDD"/>
    <w:rsid w:val="00A56FDE"/>
    <w:rsid w:val="00A5703D"/>
    <w:rsid w:val="00A5705D"/>
    <w:rsid w:val="00A57070"/>
    <w:rsid w:val="00A57104"/>
    <w:rsid w:val="00A5712E"/>
    <w:rsid w:val="00A571D3"/>
    <w:rsid w:val="00A572AC"/>
    <w:rsid w:val="00A572B7"/>
    <w:rsid w:val="00A5733C"/>
    <w:rsid w:val="00A57354"/>
    <w:rsid w:val="00A57360"/>
    <w:rsid w:val="00A573A1"/>
    <w:rsid w:val="00A57431"/>
    <w:rsid w:val="00A57439"/>
    <w:rsid w:val="00A57467"/>
    <w:rsid w:val="00A5746F"/>
    <w:rsid w:val="00A574B3"/>
    <w:rsid w:val="00A574B6"/>
    <w:rsid w:val="00A57571"/>
    <w:rsid w:val="00A5757B"/>
    <w:rsid w:val="00A575BD"/>
    <w:rsid w:val="00A5762C"/>
    <w:rsid w:val="00A5763D"/>
    <w:rsid w:val="00A576D0"/>
    <w:rsid w:val="00A57712"/>
    <w:rsid w:val="00A57815"/>
    <w:rsid w:val="00A57817"/>
    <w:rsid w:val="00A57832"/>
    <w:rsid w:val="00A57850"/>
    <w:rsid w:val="00A5785A"/>
    <w:rsid w:val="00A57886"/>
    <w:rsid w:val="00A578BE"/>
    <w:rsid w:val="00A5795C"/>
    <w:rsid w:val="00A57980"/>
    <w:rsid w:val="00A579BC"/>
    <w:rsid w:val="00A579E9"/>
    <w:rsid w:val="00A57A0D"/>
    <w:rsid w:val="00A57A32"/>
    <w:rsid w:val="00A57A3A"/>
    <w:rsid w:val="00A57AC2"/>
    <w:rsid w:val="00A57ACF"/>
    <w:rsid w:val="00A57B07"/>
    <w:rsid w:val="00A57B5B"/>
    <w:rsid w:val="00A57B5C"/>
    <w:rsid w:val="00A57B6A"/>
    <w:rsid w:val="00A57B8E"/>
    <w:rsid w:val="00A57BAE"/>
    <w:rsid w:val="00A57BBD"/>
    <w:rsid w:val="00A57BF0"/>
    <w:rsid w:val="00A57BFA"/>
    <w:rsid w:val="00A57C1F"/>
    <w:rsid w:val="00A57C2A"/>
    <w:rsid w:val="00A57C77"/>
    <w:rsid w:val="00A57CD1"/>
    <w:rsid w:val="00A57CF7"/>
    <w:rsid w:val="00A57D90"/>
    <w:rsid w:val="00A57DA0"/>
    <w:rsid w:val="00A57DA7"/>
    <w:rsid w:val="00A57DEA"/>
    <w:rsid w:val="00A57E21"/>
    <w:rsid w:val="00A57E4A"/>
    <w:rsid w:val="00A57E63"/>
    <w:rsid w:val="00A57EA6"/>
    <w:rsid w:val="00A57F03"/>
    <w:rsid w:val="00A57F33"/>
    <w:rsid w:val="00A57F67"/>
    <w:rsid w:val="00A57FB3"/>
    <w:rsid w:val="00A57FBE"/>
    <w:rsid w:val="00A57FC8"/>
    <w:rsid w:val="00A600A3"/>
    <w:rsid w:val="00A600CD"/>
    <w:rsid w:val="00A600D4"/>
    <w:rsid w:val="00A60120"/>
    <w:rsid w:val="00A60139"/>
    <w:rsid w:val="00A6014C"/>
    <w:rsid w:val="00A60152"/>
    <w:rsid w:val="00A6016A"/>
    <w:rsid w:val="00A60198"/>
    <w:rsid w:val="00A601A9"/>
    <w:rsid w:val="00A601B7"/>
    <w:rsid w:val="00A601E3"/>
    <w:rsid w:val="00A6020C"/>
    <w:rsid w:val="00A60250"/>
    <w:rsid w:val="00A6028B"/>
    <w:rsid w:val="00A6029F"/>
    <w:rsid w:val="00A6038B"/>
    <w:rsid w:val="00A6041F"/>
    <w:rsid w:val="00A60420"/>
    <w:rsid w:val="00A60453"/>
    <w:rsid w:val="00A60462"/>
    <w:rsid w:val="00A6047D"/>
    <w:rsid w:val="00A604E8"/>
    <w:rsid w:val="00A604EA"/>
    <w:rsid w:val="00A60507"/>
    <w:rsid w:val="00A6052E"/>
    <w:rsid w:val="00A60535"/>
    <w:rsid w:val="00A605AF"/>
    <w:rsid w:val="00A605B0"/>
    <w:rsid w:val="00A605E2"/>
    <w:rsid w:val="00A605FC"/>
    <w:rsid w:val="00A6062C"/>
    <w:rsid w:val="00A60630"/>
    <w:rsid w:val="00A60663"/>
    <w:rsid w:val="00A60668"/>
    <w:rsid w:val="00A606F3"/>
    <w:rsid w:val="00A6071A"/>
    <w:rsid w:val="00A60727"/>
    <w:rsid w:val="00A60736"/>
    <w:rsid w:val="00A60774"/>
    <w:rsid w:val="00A60781"/>
    <w:rsid w:val="00A607A2"/>
    <w:rsid w:val="00A6081F"/>
    <w:rsid w:val="00A60851"/>
    <w:rsid w:val="00A60852"/>
    <w:rsid w:val="00A60878"/>
    <w:rsid w:val="00A60881"/>
    <w:rsid w:val="00A60903"/>
    <w:rsid w:val="00A6090B"/>
    <w:rsid w:val="00A60940"/>
    <w:rsid w:val="00A60949"/>
    <w:rsid w:val="00A60989"/>
    <w:rsid w:val="00A609A0"/>
    <w:rsid w:val="00A609B3"/>
    <w:rsid w:val="00A609CF"/>
    <w:rsid w:val="00A609D7"/>
    <w:rsid w:val="00A60A02"/>
    <w:rsid w:val="00A60A0F"/>
    <w:rsid w:val="00A60A31"/>
    <w:rsid w:val="00A60A43"/>
    <w:rsid w:val="00A60A9C"/>
    <w:rsid w:val="00A60AF2"/>
    <w:rsid w:val="00A60AFE"/>
    <w:rsid w:val="00A60B01"/>
    <w:rsid w:val="00A60BA4"/>
    <w:rsid w:val="00A60CA2"/>
    <w:rsid w:val="00A60D1F"/>
    <w:rsid w:val="00A60E38"/>
    <w:rsid w:val="00A60F1C"/>
    <w:rsid w:val="00A60F89"/>
    <w:rsid w:val="00A60FE7"/>
    <w:rsid w:val="00A6102B"/>
    <w:rsid w:val="00A61061"/>
    <w:rsid w:val="00A610B2"/>
    <w:rsid w:val="00A611C1"/>
    <w:rsid w:val="00A61225"/>
    <w:rsid w:val="00A61257"/>
    <w:rsid w:val="00A61303"/>
    <w:rsid w:val="00A61363"/>
    <w:rsid w:val="00A6136B"/>
    <w:rsid w:val="00A6138A"/>
    <w:rsid w:val="00A613B0"/>
    <w:rsid w:val="00A613EC"/>
    <w:rsid w:val="00A61567"/>
    <w:rsid w:val="00A615CD"/>
    <w:rsid w:val="00A615FB"/>
    <w:rsid w:val="00A61607"/>
    <w:rsid w:val="00A61633"/>
    <w:rsid w:val="00A61694"/>
    <w:rsid w:val="00A616B9"/>
    <w:rsid w:val="00A616C6"/>
    <w:rsid w:val="00A616DE"/>
    <w:rsid w:val="00A61732"/>
    <w:rsid w:val="00A61748"/>
    <w:rsid w:val="00A617A2"/>
    <w:rsid w:val="00A61864"/>
    <w:rsid w:val="00A618A0"/>
    <w:rsid w:val="00A61921"/>
    <w:rsid w:val="00A61930"/>
    <w:rsid w:val="00A619D9"/>
    <w:rsid w:val="00A61AC2"/>
    <w:rsid w:val="00A61ACE"/>
    <w:rsid w:val="00A61ADA"/>
    <w:rsid w:val="00A61B28"/>
    <w:rsid w:val="00A61B4E"/>
    <w:rsid w:val="00A61C27"/>
    <w:rsid w:val="00A61C44"/>
    <w:rsid w:val="00A61C5A"/>
    <w:rsid w:val="00A61C68"/>
    <w:rsid w:val="00A61C74"/>
    <w:rsid w:val="00A61CD1"/>
    <w:rsid w:val="00A61D02"/>
    <w:rsid w:val="00A61D4F"/>
    <w:rsid w:val="00A61D5E"/>
    <w:rsid w:val="00A61D8B"/>
    <w:rsid w:val="00A61DB9"/>
    <w:rsid w:val="00A61DBF"/>
    <w:rsid w:val="00A61DD1"/>
    <w:rsid w:val="00A61E17"/>
    <w:rsid w:val="00A61E84"/>
    <w:rsid w:val="00A61F27"/>
    <w:rsid w:val="00A61F3C"/>
    <w:rsid w:val="00A61F55"/>
    <w:rsid w:val="00A61F74"/>
    <w:rsid w:val="00A61F99"/>
    <w:rsid w:val="00A61FC0"/>
    <w:rsid w:val="00A61FE3"/>
    <w:rsid w:val="00A62012"/>
    <w:rsid w:val="00A62048"/>
    <w:rsid w:val="00A6204B"/>
    <w:rsid w:val="00A620EE"/>
    <w:rsid w:val="00A62136"/>
    <w:rsid w:val="00A621D4"/>
    <w:rsid w:val="00A6220A"/>
    <w:rsid w:val="00A6223B"/>
    <w:rsid w:val="00A62252"/>
    <w:rsid w:val="00A62255"/>
    <w:rsid w:val="00A62273"/>
    <w:rsid w:val="00A622B8"/>
    <w:rsid w:val="00A622DF"/>
    <w:rsid w:val="00A6234F"/>
    <w:rsid w:val="00A6235C"/>
    <w:rsid w:val="00A623AC"/>
    <w:rsid w:val="00A623D8"/>
    <w:rsid w:val="00A62454"/>
    <w:rsid w:val="00A6251E"/>
    <w:rsid w:val="00A62669"/>
    <w:rsid w:val="00A6268F"/>
    <w:rsid w:val="00A626C7"/>
    <w:rsid w:val="00A626CD"/>
    <w:rsid w:val="00A626D0"/>
    <w:rsid w:val="00A626DB"/>
    <w:rsid w:val="00A626E9"/>
    <w:rsid w:val="00A626FF"/>
    <w:rsid w:val="00A62731"/>
    <w:rsid w:val="00A6273F"/>
    <w:rsid w:val="00A6278E"/>
    <w:rsid w:val="00A62922"/>
    <w:rsid w:val="00A6293C"/>
    <w:rsid w:val="00A62952"/>
    <w:rsid w:val="00A629B7"/>
    <w:rsid w:val="00A629B8"/>
    <w:rsid w:val="00A629CC"/>
    <w:rsid w:val="00A629DB"/>
    <w:rsid w:val="00A62A16"/>
    <w:rsid w:val="00A62A47"/>
    <w:rsid w:val="00A62A65"/>
    <w:rsid w:val="00A62A6E"/>
    <w:rsid w:val="00A62A75"/>
    <w:rsid w:val="00A62A76"/>
    <w:rsid w:val="00A62AA8"/>
    <w:rsid w:val="00A62AE4"/>
    <w:rsid w:val="00A62B31"/>
    <w:rsid w:val="00A62B68"/>
    <w:rsid w:val="00A62BFD"/>
    <w:rsid w:val="00A62C5A"/>
    <w:rsid w:val="00A62CB1"/>
    <w:rsid w:val="00A62CD7"/>
    <w:rsid w:val="00A62CEC"/>
    <w:rsid w:val="00A62D60"/>
    <w:rsid w:val="00A62D8F"/>
    <w:rsid w:val="00A62DB0"/>
    <w:rsid w:val="00A62E92"/>
    <w:rsid w:val="00A62EB2"/>
    <w:rsid w:val="00A62EDF"/>
    <w:rsid w:val="00A63034"/>
    <w:rsid w:val="00A63043"/>
    <w:rsid w:val="00A63053"/>
    <w:rsid w:val="00A6307E"/>
    <w:rsid w:val="00A6308A"/>
    <w:rsid w:val="00A630A9"/>
    <w:rsid w:val="00A630C7"/>
    <w:rsid w:val="00A630DD"/>
    <w:rsid w:val="00A630FD"/>
    <w:rsid w:val="00A63178"/>
    <w:rsid w:val="00A6319A"/>
    <w:rsid w:val="00A631B2"/>
    <w:rsid w:val="00A63241"/>
    <w:rsid w:val="00A632A1"/>
    <w:rsid w:val="00A632B8"/>
    <w:rsid w:val="00A6330B"/>
    <w:rsid w:val="00A63337"/>
    <w:rsid w:val="00A63341"/>
    <w:rsid w:val="00A63353"/>
    <w:rsid w:val="00A6336B"/>
    <w:rsid w:val="00A6341C"/>
    <w:rsid w:val="00A63455"/>
    <w:rsid w:val="00A6348B"/>
    <w:rsid w:val="00A6348D"/>
    <w:rsid w:val="00A634CA"/>
    <w:rsid w:val="00A63507"/>
    <w:rsid w:val="00A63544"/>
    <w:rsid w:val="00A635BA"/>
    <w:rsid w:val="00A635C4"/>
    <w:rsid w:val="00A635E1"/>
    <w:rsid w:val="00A6368F"/>
    <w:rsid w:val="00A636E6"/>
    <w:rsid w:val="00A6374B"/>
    <w:rsid w:val="00A63795"/>
    <w:rsid w:val="00A637D6"/>
    <w:rsid w:val="00A63800"/>
    <w:rsid w:val="00A6381A"/>
    <w:rsid w:val="00A63828"/>
    <w:rsid w:val="00A638BE"/>
    <w:rsid w:val="00A638BF"/>
    <w:rsid w:val="00A638DC"/>
    <w:rsid w:val="00A63908"/>
    <w:rsid w:val="00A6390C"/>
    <w:rsid w:val="00A6391B"/>
    <w:rsid w:val="00A63934"/>
    <w:rsid w:val="00A6397B"/>
    <w:rsid w:val="00A639B8"/>
    <w:rsid w:val="00A639F0"/>
    <w:rsid w:val="00A63A02"/>
    <w:rsid w:val="00A63A93"/>
    <w:rsid w:val="00A63BFD"/>
    <w:rsid w:val="00A63C2F"/>
    <w:rsid w:val="00A63C64"/>
    <w:rsid w:val="00A63C90"/>
    <w:rsid w:val="00A63CE4"/>
    <w:rsid w:val="00A63D35"/>
    <w:rsid w:val="00A63D7E"/>
    <w:rsid w:val="00A63D87"/>
    <w:rsid w:val="00A63DAD"/>
    <w:rsid w:val="00A63DD5"/>
    <w:rsid w:val="00A63E9F"/>
    <w:rsid w:val="00A63F44"/>
    <w:rsid w:val="00A63FC3"/>
    <w:rsid w:val="00A6403C"/>
    <w:rsid w:val="00A64047"/>
    <w:rsid w:val="00A640BD"/>
    <w:rsid w:val="00A640E6"/>
    <w:rsid w:val="00A6412B"/>
    <w:rsid w:val="00A64193"/>
    <w:rsid w:val="00A641F7"/>
    <w:rsid w:val="00A6422A"/>
    <w:rsid w:val="00A6429B"/>
    <w:rsid w:val="00A64312"/>
    <w:rsid w:val="00A64326"/>
    <w:rsid w:val="00A6433C"/>
    <w:rsid w:val="00A64384"/>
    <w:rsid w:val="00A64388"/>
    <w:rsid w:val="00A643AD"/>
    <w:rsid w:val="00A64425"/>
    <w:rsid w:val="00A6450B"/>
    <w:rsid w:val="00A64517"/>
    <w:rsid w:val="00A64549"/>
    <w:rsid w:val="00A645D3"/>
    <w:rsid w:val="00A645D7"/>
    <w:rsid w:val="00A6460A"/>
    <w:rsid w:val="00A64615"/>
    <w:rsid w:val="00A6462B"/>
    <w:rsid w:val="00A64691"/>
    <w:rsid w:val="00A6469C"/>
    <w:rsid w:val="00A6470D"/>
    <w:rsid w:val="00A64715"/>
    <w:rsid w:val="00A6476F"/>
    <w:rsid w:val="00A64787"/>
    <w:rsid w:val="00A647DA"/>
    <w:rsid w:val="00A64813"/>
    <w:rsid w:val="00A648B2"/>
    <w:rsid w:val="00A648C1"/>
    <w:rsid w:val="00A64941"/>
    <w:rsid w:val="00A649FB"/>
    <w:rsid w:val="00A649FF"/>
    <w:rsid w:val="00A64A83"/>
    <w:rsid w:val="00A64ADE"/>
    <w:rsid w:val="00A64AF6"/>
    <w:rsid w:val="00A64B48"/>
    <w:rsid w:val="00A64B4E"/>
    <w:rsid w:val="00A64B5D"/>
    <w:rsid w:val="00A64B95"/>
    <w:rsid w:val="00A64BE0"/>
    <w:rsid w:val="00A64BF4"/>
    <w:rsid w:val="00A64C11"/>
    <w:rsid w:val="00A64CE1"/>
    <w:rsid w:val="00A64CE5"/>
    <w:rsid w:val="00A64D16"/>
    <w:rsid w:val="00A64D2E"/>
    <w:rsid w:val="00A64D31"/>
    <w:rsid w:val="00A64D40"/>
    <w:rsid w:val="00A64D65"/>
    <w:rsid w:val="00A64D70"/>
    <w:rsid w:val="00A64D7C"/>
    <w:rsid w:val="00A64D8D"/>
    <w:rsid w:val="00A64DFA"/>
    <w:rsid w:val="00A64E11"/>
    <w:rsid w:val="00A64E2A"/>
    <w:rsid w:val="00A64ECC"/>
    <w:rsid w:val="00A64F1F"/>
    <w:rsid w:val="00A64F52"/>
    <w:rsid w:val="00A64F77"/>
    <w:rsid w:val="00A64F96"/>
    <w:rsid w:val="00A64FBB"/>
    <w:rsid w:val="00A64FEC"/>
    <w:rsid w:val="00A65007"/>
    <w:rsid w:val="00A650C8"/>
    <w:rsid w:val="00A650C9"/>
    <w:rsid w:val="00A650F6"/>
    <w:rsid w:val="00A65133"/>
    <w:rsid w:val="00A65148"/>
    <w:rsid w:val="00A65150"/>
    <w:rsid w:val="00A651C5"/>
    <w:rsid w:val="00A651D8"/>
    <w:rsid w:val="00A6525D"/>
    <w:rsid w:val="00A6526D"/>
    <w:rsid w:val="00A652A7"/>
    <w:rsid w:val="00A652B2"/>
    <w:rsid w:val="00A6533C"/>
    <w:rsid w:val="00A6535D"/>
    <w:rsid w:val="00A6537F"/>
    <w:rsid w:val="00A65395"/>
    <w:rsid w:val="00A65398"/>
    <w:rsid w:val="00A653A7"/>
    <w:rsid w:val="00A65408"/>
    <w:rsid w:val="00A654F2"/>
    <w:rsid w:val="00A654FD"/>
    <w:rsid w:val="00A6551C"/>
    <w:rsid w:val="00A65560"/>
    <w:rsid w:val="00A6557F"/>
    <w:rsid w:val="00A6559D"/>
    <w:rsid w:val="00A655CE"/>
    <w:rsid w:val="00A655E1"/>
    <w:rsid w:val="00A65681"/>
    <w:rsid w:val="00A65684"/>
    <w:rsid w:val="00A656A5"/>
    <w:rsid w:val="00A656DB"/>
    <w:rsid w:val="00A656E5"/>
    <w:rsid w:val="00A65759"/>
    <w:rsid w:val="00A657CA"/>
    <w:rsid w:val="00A657F4"/>
    <w:rsid w:val="00A6584C"/>
    <w:rsid w:val="00A6587E"/>
    <w:rsid w:val="00A658B0"/>
    <w:rsid w:val="00A658D9"/>
    <w:rsid w:val="00A6590D"/>
    <w:rsid w:val="00A65949"/>
    <w:rsid w:val="00A6596A"/>
    <w:rsid w:val="00A6599D"/>
    <w:rsid w:val="00A659DB"/>
    <w:rsid w:val="00A65A3B"/>
    <w:rsid w:val="00A65A76"/>
    <w:rsid w:val="00A65ABD"/>
    <w:rsid w:val="00A65B1C"/>
    <w:rsid w:val="00A65B74"/>
    <w:rsid w:val="00A65BE7"/>
    <w:rsid w:val="00A65C23"/>
    <w:rsid w:val="00A65C5B"/>
    <w:rsid w:val="00A65C7F"/>
    <w:rsid w:val="00A65C82"/>
    <w:rsid w:val="00A65C92"/>
    <w:rsid w:val="00A65D7B"/>
    <w:rsid w:val="00A65DB1"/>
    <w:rsid w:val="00A65E4F"/>
    <w:rsid w:val="00A65E5E"/>
    <w:rsid w:val="00A65E73"/>
    <w:rsid w:val="00A65E8B"/>
    <w:rsid w:val="00A65EBB"/>
    <w:rsid w:val="00A65F30"/>
    <w:rsid w:val="00A65FBE"/>
    <w:rsid w:val="00A65FE0"/>
    <w:rsid w:val="00A65FF3"/>
    <w:rsid w:val="00A66019"/>
    <w:rsid w:val="00A6606E"/>
    <w:rsid w:val="00A6609D"/>
    <w:rsid w:val="00A660A4"/>
    <w:rsid w:val="00A660DF"/>
    <w:rsid w:val="00A66130"/>
    <w:rsid w:val="00A6613C"/>
    <w:rsid w:val="00A66193"/>
    <w:rsid w:val="00A661C6"/>
    <w:rsid w:val="00A66240"/>
    <w:rsid w:val="00A66274"/>
    <w:rsid w:val="00A662CA"/>
    <w:rsid w:val="00A662EA"/>
    <w:rsid w:val="00A66327"/>
    <w:rsid w:val="00A66375"/>
    <w:rsid w:val="00A66377"/>
    <w:rsid w:val="00A66380"/>
    <w:rsid w:val="00A663A5"/>
    <w:rsid w:val="00A663C3"/>
    <w:rsid w:val="00A663CF"/>
    <w:rsid w:val="00A663DB"/>
    <w:rsid w:val="00A663DD"/>
    <w:rsid w:val="00A663F4"/>
    <w:rsid w:val="00A66450"/>
    <w:rsid w:val="00A66476"/>
    <w:rsid w:val="00A66488"/>
    <w:rsid w:val="00A66526"/>
    <w:rsid w:val="00A66537"/>
    <w:rsid w:val="00A66548"/>
    <w:rsid w:val="00A6654D"/>
    <w:rsid w:val="00A66594"/>
    <w:rsid w:val="00A66617"/>
    <w:rsid w:val="00A66662"/>
    <w:rsid w:val="00A6669D"/>
    <w:rsid w:val="00A666AA"/>
    <w:rsid w:val="00A66735"/>
    <w:rsid w:val="00A667B4"/>
    <w:rsid w:val="00A667C8"/>
    <w:rsid w:val="00A667C9"/>
    <w:rsid w:val="00A6680A"/>
    <w:rsid w:val="00A6684D"/>
    <w:rsid w:val="00A6685B"/>
    <w:rsid w:val="00A66874"/>
    <w:rsid w:val="00A66878"/>
    <w:rsid w:val="00A66895"/>
    <w:rsid w:val="00A668A5"/>
    <w:rsid w:val="00A668E5"/>
    <w:rsid w:val="00A6695D"/>
    <w:rsid w:val="00A6698F"/>
    <w:rsid w:val="00A669D0"/>
    <w:rsid w:val="00A669E6"/>
    <w:rsid w:val="00A669F5"/>
    <w:rsid w:val="00A66A38"/>
    <w:rsid w:val="00A66A39"/>
    <w:rsid w:val="00A66A45"/>
    <w:rsid w:val="00A66A60"/>
    <w:rsid w:val="00A66AA0"/>
    <w:rsid w:val="00A66AA6"/>
    <w:rsid w:val="00A66ABD"/>
    <w:rsid w:val="00A66AFB"/>
    <w:rsid w:val="00A66B12"/>
    <w:rsid w:val="00A66B2B"/>
    <w:rsid w:val="00A66B3B"/>
    <w:rsid w:val="00A66B4B"/>
    <w:rsid w:val="00A66B9A"/>
    <w:rsid w:val="00A66BD7"/>
    <w:rsid w:val="00A66BDE"/>
    <w:rsid w:val="00A66C21"/>
    <w:rsid w:val="00A66C4A"/>
    <w:rsid w:val="00A66D1E"/>
    <w:rsid w:val="00A66D9D"/>
    <w:rsid w:val="00A66DD5"/>
    <w:rsid w:val="00A66DFB"/>
    <w:rsid w:val="00A66E11"/>
    <w:rsid w:val="00A66E16"/>
    <w:rsid w:val="00A66E49"/>
    <w:rsid w:val="00A66E5F"/>
    <w:rsid w:val="00A66E85"/>
    <w:rsid w:val="00A66E8E"/>
    <w:rsid w:val="00A66EEC"/>
    <w:rsid w:val="00A66F16"/>
    <w:rsid w:val="00A66F48"/>
    <w:rsid w:val="00A66F6C"/>
    <w:rsid w:val="00A66F7E"/>
    <w:rsid w:val="00A66FAC"/>
    <w:rsid w:val="00A67039"/>
    <w:rsid w:val="00A67062"/>
    <w:rsid w:val="00A67066"/>
    <w:rsid w:val="00A670E0"/>
    <w:rsid w:val="00A6718E"/>
    <w:rsid w:val="00A67201"/>
    <w:rsid w:val="00A67259"/>
    <w:rsid w:val="00A67268"/>
    <w:rsid w:val="00A67273"/>
    <w:rsid w:val="00A672A7"/>
    <w:rsid w:val="00A672C4"/>
    <w:rsid w:val="00A672D8"/>
    <w:rsid w:val="00A67311"/>
    <w:rsid w:val="00A67322"/>
    <w:rsid w:val="00A67324"/>
    <w:rsid w:val="00A67344"/>
    <w:rsid w:val="00A67347"/>
    <w:rsid w:val="00A67349"/>
    <w:rsid w:val="00A67360"/>
    <w:rsid w:val="00A67375"/>
    <w:rsid w:val="00A673B0"/>
    <w:rsid w:val="00A674D5"/>
    <w:rsid w:val="00A674E2"/>
    <w:rsid w:val="00A67515"/>
    <w:rsid w:val="00A67536"/>
    <w:rsid w:val="00A67563"/>
    <w:rsid w:val="00A6756B"/>
    <w:rsid w:val="00A675AD"/>
    <w:rsid w:val="00A676BD"/>
    <w:rsid w:val="00A676D6"/>
    <w:rsid w:val="00A67708"/>
    <w:rsid w:val="00A67724"/>
    <w:rsid w:val="00A67776"/>
    <w:rsid w:val="00A6777B"/>
    <w:rsid w:val="00A677C1"/>
    <w:rsid w:val="00A677F9"/>
    <w:rsid w:val="00A678B7"/>
    <w:rsid w:val="00A679A7"/>
    <w:rsid w:val="00A679BF"/>
    <w:rsid w:val="00A67A0D"/>
    <w:rsid w:val="00A67AE7"/>
    <w:rsid w:val="00A67B75"/>
    <w:rsid w:val="00A67C60"/>
    <w:rsid w:val="00A67CE0"/>
    <w:rsid w:val="00A67D0A"/>
    <w:rsid w:val="00A67D44"/>
    <w:rsid w:val="00A67D69"/>
    <w:rsid w:val="00A67D94"/>
    <w:rsid w:val="00A67D9F"/>
    <w:rsid w:val="00A67DD1"/>
    <w:rsid w:val="00A67E3C"/>
    <w:rsid w:val="00A67E41"/>
    <w:rsid w:val="00A67E48"/>
    <w:rsid w:val="00A67E5A"/>
    <w:rsid w:val="00A67E62"/>
    <w:rsid w:val="00A67E67"/>
    <w:rsid w:val="00A67E97"/>
    <w:rsid w:val="00A67EE9"/>
    <w:rsid w:val="00A67EF8"/>
    <w:rsid w:val="00A67F01"/>
    <w:rsid w:val="00A67F05"/>
    <w:rsid w:val="00A67F6F"/>
    <w:rsid w:val="00A67F90"/>
    <w:rsid w:val="00A67FDD"/>
    <w:rsid w:val="00A67FEB"/>
    <w:rsid w:val="00A70008"/>
    <w:rsid w:val="00A7005A"/>
    <w:rsid w:val="00A70067"/>
    <w:rsid w:val="00A700DC"/>
    <w:rsid w:val="00A70140"/>
    <w:rsid w:val="00A7021F"/>
    <w:rsid w:val="00A70262"/>
    <w:rsid w:val="00A70269"/>
    <w:rsid w:val="00A7027D"/>
    <w:rsid w:val="00A702B5"/>
    <w:rsid w:val="00A702EF"/>
    <w:rsid w:val="00A70422"/>
    <w:rsid w:val="00A704F4"/>
    <w:rsid w:val="00A70515"/>
    <w:rsid w:val="00A70517"/>
    <w:rsid w:val="00A7051A"/>
    <w:rsid w:val="00A705C4"/>
    <w:rsid w:val="00A705F9"/>
    <w:rsid w:val="00A70602"/>
    <w:rsid w:val="00A7061E"/>
    <w:rsid w:val="00A7067D"/>
    <w:rsid w:val="00A706B2"/>
    <w:rsid w:val="00A706F7"/>
    <w:rsid w:val="00A70752"/>
    <w:rsid w:val="00A707D6"/>
    <w:rsid w:val="00A70826"/>
    <w:rsid w:val="00A70842"/>
    <w:rsid w:val="00A70867"/>
    <w:rsid w:val="00A70898"/>
    <w:rsid w:val="00A708A6"/>
    <w:rsid w:val="00A708F8"/>
    <w:rsid w:val="00A7094C"/>
    <w:rsid w:val="00A70A56"/>
    <w:rsid w:val="00A70AAA"/>
    <w:rsid w:val="00A70AD0"/>
    <w:rsid w:val="00A70B0F"/>
    <w:rsid w:val="00A70B18"/>
    <w:rsid w:val="00A70B8F"/>
    <w:rsid w:val="00A70BB4"/>
    <w:rsid w:val="00A70BEB"/>
    <w:rsid w:val="00A70BFC"/>
    <w:rsid w:val="00A70C1F"/>
    <w:rsid w:val="00A70C83"/>
    <w:rsid w:val="00A70CC5"/>
    <w:rsid w:val="00A70D66"/>
    <w:rsid w:val="00A70DAE"/>
    <w:rsid w:val="00A70E77"/>
    <w:rsid w:val="00A70EF9"/>
    <w:rsid w:val="00A70F34"/>
    <w:rsid w:val="00A70FB5"/>
    <w:rsid w:val="00A70FCC"/>
    <w:rsid w:val="00A71070"/>
    <w:rsid w:val="00A7108A"/>
    <w:rsid w:val="00A710FB"/>
    <w:rsid w:val="00A7110D"/>
    <w:rsid w:val="00A711B9"/>
    <w:rsid w:val="00A711F2"/>
    <w:rsid w:val="00A71234"/>
    <w:rsid w:val="00A71291"/>
    <w:rsid w:val="00A71292"/>
    <w:rsid w:val="00A712EA"/>
    <w:rsid w:val="00A712F2"/>
    <w:rsid w:val="00A71374"/>
    <w:rsid w:val="00A713A4"/>
    <w:rsid w:val="00A7142E"/>
    <w:rsid w:val="00A71523"/>
    <w:rsid w:val="00A7153F"/>
    <w:rsid w:val="00A71552"/>
    <w:rsid w:val="00A715F5"/>
    <w:rsid w:val="00A716DC"/>
    <w:rsid w:val="00A71700"/>
    <w:rsid w:val="00A71756"/>
    <w:rsid w:val="00A7179B"/>
    <w:rsid w:val="00A7179E"/>
    <w:rsid w:val="00A717D4"/>
    <w:rsid w:val="00A717E2"/>
    <w:rsid w:val="00A71800"/>
    <w:rsid w:val="00A71803"/>
    <w:rsid w:val="00A71825"/>
    <w:rsid w:val="00A7185D"/>
    <w:rsid w:val="00A71861"/>
    <w:rsid w:val="00A71874"/>
    <w:rsid w:val="00A71907"/>
    <w:rsid w:val="00A7190B"/>
    <w:rsid w:val="00A71914"/>
    <w:rsid w:val="00A71915"/>
    <w:rsid w:val="00A719D3"/>
    <w:rsid w:val="00A719DA"/>
    <w:rsid w:val="00A719F4"/>
    <w:rsid w:val="00A71A52"/>
    <w:rsid w:val="00A71A9D"/>
    <w:rsid w:val="00A71AC0"/>
    <w:rsid w:val="00A71AC3"/>
    <w:rsid w:val="00A71AFE"/>
    <w:rsid w:val="00A71B0B"/>
    <w:rsid w:val="00A71B31"/>
    <w:rsid w:val="00A71B33"/>
    <w:rsid w:val="00A71B54"/>
    <w:rsid w:val="00A71B66"/>
    <w:rsid w:val="00A71B71"/>
    <w:rsid w:val="00A71B8F"/>
    <w:rsid w:val="00A71BA3"/>
    <w:rsid w:val="00A71BAA"/>
    <w:rsid w:val="00A71C2B"/>
    <w:rsid w:val="00A71C41"/>
    <w:rsid w:val="00A71C74"/>
    <w:rsid w:val="00A71CE8"/>
    <w:rsid w:val="00A71E75"/>
    <w:rsid w:val="00A71EBB"/>
    <w:rsid w:val="00A71F08"/>
    <w:rsid w:val="00A71F0F"/>
    <w:rsid w:val="00A71F22"/>
    <w:rsid w:val="00A71F46"/>
    <w:rsid w:val="00A71F9D"/>
    <w:rsid w:val="00A71FE7"/>
    <w:rsid w:val="00A72018"/>
    <w:rsid w:val="00A72084"/>
    <w:rsid w:val="00A72113"/>
    <w:rsid w:val="00A72128"/>
    <w:rsid w:val="00A721F4"/>
    <w:rsid w:val="00A72208"/>
    <w:rsid w:val="00A7221F"/>
    <w:rsid w:val="00A7222D"/>
    <w:rsid w:val="00A72271"/>
    <w:rsid w:val="00A723FD"/>
    <w:rsid w:val="00A7241F"/>
    <w:rsid w:val="00A72515"/>
    <w:rsid w:val="00A72539"/>
    <w:rsid w:val="00A7257B"/>
    <w:rsid w:val="00A726D3"/>
    <w:rsid w:val="00A72732"/>
    <w:rsid w:val="00A7275C"/>
    <w:rsid w:val="00A72810"/>
    <w:rsid w:val="00A72841"/>
    <w:rsid w:val="00A72863"/>
    <w:rsid w:val="00A72883"/>
    <w:rsid w:val="00A72893"/>
    <w:rsid w:val="00A728A2"/>
    <w:rsid w:val="00A7290F"/>
    <w:rsid w:val="00A72930"/>
    <w:rsid w:val="00A72958"/>
    <w:rsid w:val="00A7297F"/>
    <w:rsid w:val="00A72989"/>
    <w:rsid w:val="00A7298F"/>
    <w:rsid w:val="00A729B4"/>
    <w:rsid w:val="00A72A04"/>
    <w:rsid w:val="00A72A27"/>
    <w:rsid w:val="00A72A47"/>
    <w:rsid w:val="00A72A5C"/>
    <w:rsid w:val="00A72A88"/>
    <w:rsid w:val="00A72AC0"/>
    <w:rsid w:val="00A72AE7"/>
    <w:rsid w:val="00A72B45"/>
    <w:rsid w:val="00A72B5B"/>
    <w:rsid w:val="00A72B71"/>
    <w:rsid w:val="00A72BE9"/>
    <w:rsid w:val="00A72C23"/>
    <w:rsid w:val="00A72C73"/>
    <w:rsid w:val="00A72C8E"/>
    <w:rsid w:val="00A72CAE"/>
    <w:rsid w:val="00A72CEA"/>
    <w:rsid w:val="00A72D69"/>
    <w:rsid w:val="00A72DD0"/>
    <w:rsid w:val="00A72E38"/>
    <w:rsid w:val="00A72E60"/>
    <w:rsid w:val="00A72E6D"/>
    <w:rsid w:val="00A72E6F"/>
    <w:rsid w:val="00A72E8D"/>
    <w:rsid w:val="00A72EAD"/>
    <w:rsid w:val="00A72ED4"/>
    <w:rsid w:val="00A72F66"/>
    <w:rsid w:val="00A72FB5"/>
    <w:rsid w:val="00A72FCF"/>
    <w:rsid w:val="00A73004"/>
    <w:rsid w:val="00A7301A"/>
    <w:rsid w:val="00A7301D"/>
    <w:rsid w:val="00A73056"/>
    <w:rsid w:val="00A7311F"/>
    <w:rsid w:val="00A7314B"/>
    <w:rsid w:val="00A7314E"/>
    <w:rsid w:val="00A73158"/>
    <w:rsid w:val="00A73169"/>
    <w:rsid w:val="00A73185"/>
    <w:rsid w:val="00A7319E"/>
    <w:rsid w:val="00A731A2"/>
    <w:rsid w:val="00A733C6"/>
    <w:rsid w:val="00A733CA"/>
    <w:rsid w:val="00A73455"/>
    <w:rsid w:val="00A734C5"/>
    <w:rsid w:val="00A734E2"/>
    <w:rsid w:val="00A73563"/>
    <w:rsid w:val="00A73593"/>
    <w:rsid w:val="00A735C8"/>
    <w:rsid w:val="00A73600"/>
    <w:rsid w:val="00A73616"/>
    <w:rsid w:val="00A7364E"/>
    <w:rsid w:val="00A736BB"/>
    <w:rsid w:val="00A736FE"/>
    <w:rsid w:val="00A73700"/>
    <w:rsid w:val="00A73703"/>
    <w:rsid w:val="00A73719"/>
    <w:rsid w:val="00A7375A"/>
    <w:rsid w:val="00A7376F"/>
    <w:rsid w:val="00A737BA"/>
    <w:rsid w:val="00A7384E"/>
    <w:rsid w:val="00A73870"/>
    <w:rsid w:val="00A73881"/>
    <w:rsid w:val="00A738C8"/>
    <w:rsid w:val="00A738E2"/>
    <w:rsid w:val="00A7390D"/>
    <w:rsid w:val="00A73915"/>
    <w:rsid w:val="00A7393A"/>
    <w:rsid w:val="00A7395B"/>
    <w:rsid w:val="00A739BA"/>
    <w:rsid w:val="00A73A02"/>
    <w:rsid w:val="00A73A76"/>
    <w:rsid w:val="00A73AA2"/>
    <w:rsid w:val="00A73ACA"/>
    <w:rsid w:val="00A73AE2"/>
    <w:rsid w:val="00A73B1E"/>
    <w:rsid w:val="00A73B82"/>
    <w:rsid w:val="00A73BAC"/>
    <w:rsid w:val="00A73BF5"/>
    <w:rsid w:val="00A73C32"/>
    <w:rsid w:val="00A73C3A"/>
    <w:rsid w:val="00A73C7D"/>
    <w:rsid w:val="00A73D1F"/>
    <w:rsid w:val="00A73D31"/>
    <w:rsid w:val="00A73D7D"/>
    <w:rsid w:val="00A73DA1"/>
    <w:rsid w:val="00A73DA7"/>
    <w:rsid w:val="00A73DD1"/>
    <w:rsid w:val="00A73DD4"/>
    <w:rsid w:val="00A73DF3"/>
    <w:rsid w:val="00A73E25"/>
    <w:rsid w:val="00A73E29"/>
    <w:rsid w:val="00A73E35"/>
    <w:rsid w:val="00A73F16"/>
    <w:rsid w:val="00A73F8C"/>
    <w:rsid w:val="00A73FF4"/>
    <w:rsid w:val="00A73FF8"/>
    <w:rsid w:val="00A74028"/>
    <w:rsid w:val="00A7402E"/>
    <w:rsid w:val="00A740C7"/>
    <w:rsid w:val="00A740FE"/>
    <w:rsid w:val="00A74101"/>
    <w:rsid w:val="00A74121"/>
    <w:rsid w:val="00A74141"/>
    <w:rsid w:val="00A74167"/>
    <w:rsid w:val="00A74188"/>
    <w:rsid w:val="00A741F8"/>
    <w:rsid w:val="00A74276"/>
    <w:rsid w:val="00A742A5"/>
    <w:rsid w:val="00A74302"/>
    <w:rsid w:val="00A7430F"/>
    <w:rsid w:val="00A7433C"/>
    <w:rsid w:val="00A743EB"/>
    <w:rsid w:val="00A74407"/>
    <w:rsid w:val="00A7442E"/>
    <w:rsid w:val="00A74440"/>
    <w:rsid w:val="00A74457"/>
    <w:rsid w:val="00A7447C"/>
    <w:rsid w:val="00A744E7"/>
    <w:rsid w:val="00A744F7"/>
    <w:rsid w:val="00A74581"/>
    <w:rsid w:val="00A745A4"/>
    <w:rsid w:val="00A745D1"/>
    <w:rsid w:val="00A7464E"/>
    <w:rsid w:val="00A74665"/>
    <w:rsid w:val="00A74687"/>
    <w:rsid w:val="00A74698"/>
    <w:rsid w:val="00A746C0"/>
    <w:rsid w:val="00A746ED"/>
    <w:rsid w:val="00A7474E"/>
    <w:rsid w:val="00A74785"/>
    <w:rsid w:val="00A747E0"/>
    <w:rsid w:val="00A74804"/>
    <w:rsid w:val="00A7485E"/>
    <w:rsid w:val="00A748D2"/>
    <w:rsid w:val="00A74931"/>
    <w:rsid w:val="00A74937"/>
    <w:rsid w:val="00A7494D"/>
    <w:rsid w:val="00A74961"/>
    <w:rsid w:val="00A74972"/>
    <w:rsid w:val="00A749BB"/>
    <w:rsid w:val="00A749E3"/>
    <w:rsid w:val="00A74A0B"/>
    <w:rsid w:val="00A74A44"/>
    <w:rsid w:val="00A74A7E"/>
    <w:rsid w:val="00A74A8E"/>
    <w:rsid w:val="00A74A9A"/>
    <w:rsid w:val="00A74BFE"/>
    <w:rsid w:val="00A74CB2"/>
    <w:rsid w:val="00A74CBB"/>
    <w:rsid w:val="00A74D14"/>
    <w:rsid w:val="00A74D63"/>
    <w:rsid w:val="00A74D75"/>
    <w:rsid w:val="00A74DB1"/>
    <w:rsid w:val="00A74E08"/>
    <w:rsid w:val="00A74F7D"/>
    <w:rsid w:val="00A74FF5"/>
    <w:rsid w:val="00A75090"/>
    <w:rsid w:val="00A7509D"/>
    <w:rsid w:val="00A750DA"/>
    <w:rsid w:val="00A750F7"/>
    <w:rsid w:val="00A7513D"/>
    <w:rsid w:val="00A751B3"/>
    <w:rsid w:val="00A751B8"/>
    <w:rsid w:val="00A751DE"/>
    <w:rsid w:val="00A75201"/>
    <w:rsid w:val="00A7520E"/>
    <w:rsid w:val="00A752DD"/>
    <w:rsid w:val="00A75336"/>
    <w:rsid w:val="00A75350"/>
    <w:rsid w:val="00A75358"/>
    <w:rsid w:val="00A75371"/>
    <w:rsid w:val="00A753EC"/>
    <w:rsid w:val="00A75414"/>
    <w:rsid w:val="00A754D0"/>
    <w:rsid w:val="00A7552D"/>
    <w:rsid w:val="00A75578"/>
    <w:rsid w:val="00A755FE"/>
    <w:rsid w:val="00A75609"/>
    <w:rsid w:val="00A75617"/>
    <w:rsid w:val="00A75674"/>
    <w:rsid w:val="00A756E7"/>
    <w:rsid w:val="00A75706"/>
    <w:rsid w:val="00A75756"/>
    <w:rsid w:val="00A7579C"/>
    <w:rsid w:val="00A757D3"/>
    <w:rsid w:val="00A757DF"/>
    <w:rsid w:val="00A7582A"/>
    <w:rsid w:val="00A75835"/>
    <w:rsid w:val="00A7584B"/>
    <w:rsid w:val="00A758C4"/>
    <w:rsid w:val="00A75992"/>
    <w:rsid w:val="00A759A0"/>
    <w:rsid w:val="00A759D5"/>
    <w:rsid w:val="00A75A47"/>
    <w:rsid w:val="00A75A56"/>
    <w:rsid w:val="00A75A93"/>
    <w:rsid w:val="00A75AD3"/>
    <w:rsid w:val="00A75AF6"/>
    <w:rsid w:val="00A75B15"/>
    <w:rsid w:val="00A75B96"/>
    <w:rsid w:val="00A75BA5"/>
    <w:rsid w:val="00A75BB4"/>
    <w:rsid w:val="00A75BB6"/>
    <w:rsid w:val="00A75C08"/>
    <w:rsid w:val="00A75C0C"/>
    <w:rsid w:val="00A75C36"/>
    <w:rsid w:val="00A75D94"/>
    <w:rsid w:val="00A75F14"/>
    <w:rsid w:val="00A75F7B"/>
    <w:rsid w:val="00A75FC6"/>
    <w:rsid w:val="00A7603E"/>
    <w:rsid w:val="00A76057"/>
    <w:rsid w:val="00A76110"/>
    <w:rsid w:val="00A76139"/>
    <w:rsid w:val="00A76181"/>
    <w:rsid w:val="00A761AB"/>
    <w:rsid w:val="00A76241"/>
    <w:rsid w:val="00A76278"/>
    <w:rsid w:val="00A76283"/>
    <w:rsid w:val="00A76291"/>
    <w:rsid w:val="00A762C1"/>
    <w:rsid w:val="00A762D1"/>
    <w:rsid w:val="00A762D9"/>
    <w:rsid w:val="00A76370"/>
    <w:rsid w:val="00A763B8"/>
    <w:rsid w:val="00A763ED"/>
    <w:rsid w:val="00A763F2"/>
    <w:rsid w:val="00A76403"/>
    <w:rsid w:val="00A76419"/>
    <w:rsid w:val="00A76433"/>
    <w:rsid w:val="00A76477"/>
    <w:rsid w:val="00A764B3"/>
    <w:rsid w:val="00A764FA"/>
    <w:rsid w:val="00A76518"/>
    <w:rsid w:val="00A76523"/>
    <w:rsid w:val="00A76607"/>
    <w:rsid w:val="00A76646"/>
    <w:rsid w:val="00A7666C"/>
    <w:rsid w:val="00A766AF"/>
    <w:rsid w:val="00A76722"/>
    <w:rsid w:val="00A7675B"/>
    <w:rsid w:val="00A76768"/>
    <w:rsid w:val="00A7676C"/>
    <w:rsid w:val="00A767BD"/>
    <w:rsid w:val="00A767D8"/>
    <w:rsid w:val="00A767EE"/>
    <w:rsid w:val="00A767FC"/>
    <w:rsid w:val="00A76944"/>
    <w:rsid w:val="00A76977"/>
    <w:rsid w:val="00A76985"/>
    <w:rsid w:val="00A769AA"/>
    <w:rsid w:val="00A769D8"/>
    <w:rsid w:val="00A769D9"/>
    <w:rsid w:val="00A76A16"/>
    <w:rsid w:val="00A76A2B"/>
    <w:rsid w:val="00A76A4D"/>
    <w:rsid w:val="00A76A91"/>
    <w:rsid w:val="00A76AAF"/>
    <w:rsid w:val="00A76ABC"/>
    <w:rsid w:val="00A76AC1"/>
    <w:rsid w:val="00A76ACE"/>
    <w:rsid w:val="00A76AF7"/>
    <w:rsid w:val="00A76B3C"/>
    <w:rsid w:val="00A76BCA"/>
    <w:rsid w:val="00A76C61"/>
    <w:rsid w:val="00A76CE2"/>
    <w:rsid w:val="00A76D22"/>
    <w:rsid w:val="00A76EB7"/>
    <w:rsid w:val="00A76EBE"/>
    <w:rsid w:val="00A76EDE"/>
    <w:rsid w:val="00A76EE5"/>
    <w:rsid w:val="00A76EFF"/>
    <w:rsid w:val="00A76F1C"/>
    <w:rsid w:val="00A76F37"/>
    <w:rsid w:val="00A76FB3"/>
    <w:rsid w:val="00A77001"/>
    <w:rsid w:val="00A7702F"/>
    <w:rsid w:val="00A77046"/>
    <w:rsid w:val="00A77053"/>
    <w:rsid w:val="00A770F3"/>
    <w:rsid w:val="00A77152"/>
    <w:rsid w:val="00A77156"/>
    <w:rsid w:val="00A7719D"/>
    <w:rsid w:val="00A77341"/>
    <w:rsid w:val="00A77397"/>
    <w:rsid w:val="00A7742A"/>
    <w:rsid w:val="00A774C0"/>
    <w:rsid w:val="00A774DB"/>
    <w:rsid w:val="00A77554"/>
    <w:rsid w:val="00A775A3"/>
    <w:rsid w:val="00A775B9"/>
    <w:rsid w:val="00A775D3"/>
    <w:rsid w:val="00A775FB"/>
    <w:rsid w:val="00A77600"/>
    <w:rsid w:val="00A7765B"/>
    <w:rsid w:val="00A7766F"/>
    <w:rsid w:val="00A776DB"/>
    <w:rsid w:val="00A77777"/>
    <w:rsid w:val="00A77799"/>
    <w:rsid w:val="00A778DB"/>
    <w:rsid w:val="00A778DC"/>
    <w:rsid w:val="00A778EB"/>
    <w:rsid w:val="00A77905"/>
    <w:rsid w:val="00A77942"/>
    <w:rsid w:val="00A779C3"/>
    <w:rsid w:val="00A779CA"/>
    <w:rsid w:val="00A779D9"/>
    <w:rsid w:val="00A77A13"/>
    <w:rsid w:val="00A77A20"/>
    <w:rsid w:val="00A77AAF"/>
    <w:rsid w:val="00A77B2B"/>
    <w:rsid w:val="00A77B4E"/>
    <w:rsid w:val="00A77B60"/>
    <w:rsid w:val="00A77BE4"/>
    <w:rsid w:val="00A77C14"/>
    <w:rsid w:val="00A77C33"/>
    <w:rsid w:val="00A77C77"/>
    <w:rsid w:val="00A77C80"/>
    <w:rsid w:val="00A77C8E"/>
    <w:rsid w:val="00A77CD8"/>
    <w:rsid w:val="00A77CFD"/>
    <w:rsid w:val="00A77D04"/>
    <w:rsid w:val="00A77D63"/>
    <w:rsid w:val="00A77D85"/>
    <w:rsid w:val="00A77D9A"/>
    <w:rsid w:val="00A77DA9"/>
    <w:rsid w:val="00A77DD3"/>
    <w:rsid w:val="00A77E34"/>
    <w:rsid w:val="00A77E92"/>
    <w:rsid w:val="00A77EAB"/>
    <w:rsid w:val="00A77ECF"/>
    <w:rsid w:val="00A77F03"/>
    <w:rsid w:val="00A77FBD"/>
    <w:rsid w:val="00A77FDD"/>
    <w:rsid w:val="00A77FE6"/>
    <w:rsid w:val="00A77FF7"/>
    <w:rsid w:val="00A8000B"/>
    <w:rsid w:val="00A80080"/>
    <w:rsid w:val="00A800B8"/>
    <w:rsid w:val="00A800F9"/>
    <w:rsid w:val="00A80131"/>
    <w:rsid w:val="00A8013D"/>
    <w:rsid w:val="00A8016B"/>
    <w:rsid w:val="00A8017B"/>
    <w:rsid w:val="00A801E5"/>
    <w:rsid w:val="00A801E7"/>
    <w:rsid w:val="00A80204"/>
    <w:rsid w:val="00A80273"/>
    <w:rsid w:val="00A8039F"/>
    <w:rsid w:val="00A803A2"/>
    <w:rsid w:val="00A803B0"/>
    <w:rsid w:val="00A803FC"/>
    <w:rsid w:val="00A80441"/>
    <w:rsid w:val="00A8046C"/>
    <w:rsid w:val="00A8047A"/>
    <w:rsid w:val="00A8049E"/>
    <w:rsid w:val="00A804E9"/>
    <w:rsid w:val="00A80509"/>
    <w:rsid w:val="00A8056D"/>
    <w:rsid w:val="00A8063C"/>
    <w:rsid w:val="00A80669"/>
    <w:rsid w:val="00A80681"/>
    <w:rsid w:val="00A806FD"/>
    <w:rsid w:val="00A8070E"/>
    <w:rsid w:val="00A8077D"/>
    <w:rsid w:val="00A80797"/>
    <w:rsid w:val="00A807B1"/>
    <w:rsid w:val="00A807B9"/>
    <w:rsid w:val="00A807F9"/>
    <w:rsid w:val="00A80859"/>
    <w:rsid w:val="00A808B8"/>
    <w:rsid w:val="00A808BE"/>
    <w:rsid w:val="00A808EF"/>
    <w:rsid w:val="00A80947"/>
    <w:rsid w:val="00A8095F"/>
    <w:rsid w:val="00A809A5"/>
    <w:rsid w:val="00A809C3"/>
    <w:rsid w:val="00A809C4"/>
    <w:rsid w:val="00A809CE"/>
    <w:rsid w:val="00A809E3"/>
    <w:rsid w:val="00A80A61"/>
    <w:rsid w:val="00A80ACD"/>
    <w:rsid w:val="00A80B21"/>
    <w:rsid w:val="00A80B3A"/>
    <w:rsid w:val="00A80BA2"/>
    <w:rsid w:val="00A80BF5"/>
    <w:rsid w:val="00A80C24"/>
    <w:rsid w:val="00A80C4E"/>
    <w:rsid w:val="00A80C62"/>
    <w:rsid w:val="00A80C76"/>
    <w:rsid w:val="00A80CA3"/>
    <w:rsid w:val="00A80CBF"/>
    <w:rsid w:val="00A80CCB"/>
    <w:rsid w:val="00A80D1F"/>
    <w:rsid w:val="00A80DB8"/>
    <w:rsid w:val="00A80E15"/>
    <w:rsid w:val="00A80E3A"/>
    <w:rsid w:val="00A80E60"/>
    <w:rsid w:val="00A80F02"/>
    <w:rsid w:val="00A80F1B"/>
    <w:rsid w:val="00A80F43"/>
    <w:rsid w:val="00A80F5E"/>
    <w:rsid w:val="00A80FAB"/>
    <w:rsid w:val="00A8108F"/>
    <w:rsid w:val="00A810A8"/>
    <w:rsid w:val="00A810AE"/>
    <w:rsid w:val="00A810BE"/>
    <w:rsid w:val="00A810DF"/>
    <w:rsid w:val="00A810F3"/>
    <w:rsid w:val="00A81244"/>
    <w:rsid w:val="00A81245"/>
    <w:rsid w:val="00A8128B"/>
    <w:rsid w:val="00A81321"/>
    <w:rsid w:val="00A81344"/>
    <w:rsid w:val="00A81350"/>
    <w:rsid w:val="00A81385"/>
    <w:rsid w:val="00A813A3"/>
    <w:rsid w:val="00A813BB"/>
    <w:rsid w:val="00A81442"/>
    <w:rsid w:val="00A814B5"/>
    <w:rsid w:val="00A814E3"/>
    <w:rsid w:val="00A814EE"/>
    <w:rsid w:val="00A814F2"/>
    <w:rsid w:val="00A8155B"/>
    <w:rsid w:val="00A81574"/>
    <w:rsid w:val="00A81578"/>
    <w:rsid w:val="00A81596"/>
    <w:rsid w:val="00A815E0"/>
    <w:rsid w:val="00A815FA"/>
    <w:rsid w:val="00A81630"/>
    <w:rsid w:val="00A816A1"/>
    <w:rsid w:val="00A816B4"/>
    <w:rsid w:val="00A816FA"/>
    <w:rsid w:val="00A81731"/>
    <w:rsid w:val="00A8173B"/>
    <w:rsid w:val="00A8174F"/>
    <w:rsid w:val="00A81787"/>
    <w:rsid w:val="00A817B8"/>
    <w:rsid w:val="00A817BA"/>
    <w:rsid w:val="00A817DF"/>
    <w:rsid w:val="00A817E7"/>
    <w:rsid w:val="00A817EA"/>
    <w:rsid w:val="00A8192F"/>
    <w:rsid w:val="00A8193D"/>
    <w:rsid w:val="00A81959"/>
    <w:rsid w:val="00A81963"/>
    <w:rsid w:val="00A81A6F"/>
    <w:rsid w:val="00A81AA6"/>
    <w:rsid w:val="00A81AE7"/>
    <w:rsid w:val="00A81B1F"/>
    <w:rsid w:val="00A81BA1"/>
    <w:rsid w:val="00A81BD4"/>
    <w:rsid w:val="00A81D27"/>
    <w:rsid w:val="00A81DC4"/>
    <w:rsid w:val="00A81DDA"/>
    <w:rsid w:val="00A81DE0"/>
    <w:rsid w:val="00A81E0B"/>
    <w:rsid w:val="00A81E0F"/>
    <w:rsid w:val="00A81E31"/>
    <w:rsid w:val="00A81E7B"/>
    <w:rsid w:val="00A81ED2"/>
    <w:rsid w:val="00A81EE5"/>
    <w:rsid w:val="00A81EF5"/>
    <w:rsid w:val="00A81EF7"/>
    <w:rsid w:val="00A81EFE"/>
    <w:rsid w:val="00A81F17"/>
    <w:rsid w:val="00A81F8A"/>
    <w:rsid w:val="00A81FDA"/>
    <w:rsid w:val="00A8203B"/>
    <w:rsid w:val="00A820FE"/>
    <w:rsid w:val="00A82115"/>
    <w:rsid w:val="00A82136"/>
    <w:rsid w:val="00A82138"/>
    <w:rsid w:val="00A82148"/>
    <w:rsid w:val="00A82157"/>
    <w:rsid w:val="00A821D2"/>
    <w:rsid w:val="00A821E3"/>
    <w:rsid w:val="00A8220C"/>
    <w:rsid w:val="00A8222B"/>
    <w:rsid w:val="00A82231"/>
    <w:rsid w:val="00A8228F"/>
    <w:rsid w:val="00A822C1"/>
    <w:rsid w:val="00A82381"/>
    <w:rsid w:val="00A8238C"/>
    <w:rsid w:val="00A823B7"/>
    <w:rsid w:val="00A82411"/>
    <w:rsid w:val="00A8249D"/>
    <w:rsid w:val="00A824C7"/>
    <w:rsid w:val="00A824EE"/>
    <w:rsid w:val="00A82534"/>
    <w:rsid w:val="00A82546"/>
    <w:rsid w:val="00A82548"/>
    <w:rsid w:val="00A82559"/>
    <w:rsid w:val="00A82571"/>
    <w:rsid w:val="00A82576"/>
    <w:rsid w:val="00A82583"/>
    <w:rsid w:val="00A8266D"/>
    <w:rsid w:val="00A826D9"/>
    <w:rsid w:val="00A826DA"/>
    <w:rsid w:val="00A826EA"/>
    <w:rsid w:val="00A826FD"/>
    <w:rsid w:val="00A82729"/>
    <w:rsid w:val="00A827A4"/>
    <w:rsid w:val="00A827C2"/>
    <w:rsid w:val="00A827E6"/>
    <w:rsid w:val="00A827FA"/>
    <w:rsid w:val="00A82825"/>
    <w:rsid w:val="00A8283E"/>
    <w:rsid w:val="00A8284C"/>
    <w:rsid w:val="00A8286D"/>
    <w:rsid w:val="00A82878"/>
    <w:rsid w:val="00A82924"/>
    <w:rsid w:val="00A8296B"/>
    <w:rsid w:val="00A829A5"/>
    <w:rsid w:val="00A829B1"/>
    <w:rsid w:val="00A829F3"/>
    <w:rsid w:val="00A82B07"/>
    <w:rsid w:val="00A82B20"/>
    <w:rsid w:val="00A82B45"/>
    <w:rsid w:val="00A82C21"/>
    <w:rsid w:val="00A82C78"/>
    <w:rsid w:val="00A82C8D"/>
    <w:rsid w:val="00A82CD4"/>
    <w:rsid w:val="00A82CE7"/>
    <w:rsid w:val="00A82D7B"/>
    <w:rsid w:val="00A82D9C"/>
    <w:rsid w:val="00A82DE1"/>
    <w:rsid w:val="00A82DF5"/>
    <w:rsid w:val="00A82E43"/>
    <w:rsid w:val="00A82EEE"/>
    <w:rsid w:val="00A82F51"/>
    <w:rsid w:val="00A82F5A"/>
    <w:rsid w:val="00A82FEC"/>
    <w:rsid w:val="00A82FFF"/>
    <w:rsid w:val="00A8300F"/>
    <w:rsid w:val="00A83020"/>
    <w:rsid w:val="00A8306B"/>
    <w:rsid w:val="00A830D4"/>
    <w:rsid w:val="00A8311D"/>
    <w:rsid w:val="00A831A4"/>
    <w:rsid w:val="00A831D7"/>
    <w:rsid w:val="00A831D8"/>
    <w:rsid w:val="00A831E5"/>
    <w:rsid w:val="00A832A0"/>
    <w:rsid w:val="00A83328"/>
    <w:rsid w:val="00A83347"/>
    <w:rsid w:val="00A83358"/>
    <w:rsid w:val="00A8336C"/>
    <w:rsid w:val="00A8338A"/>
    <w:rsid w:val="00A833C0"/>
    <w:rsid w:val="00A83422"/>
    <w:rsid w:val="00A8342E"/>
    <w:rsid w:val="00A83448"/>
    <w:rsid w:val="00A83486"/>
    <w:rsid w:val="00A834B8"/>
    <w:rsid w:val="00A834B9"/>
    <w:rsid w:val="00A834C8"/>
    <w:rsid w:val="00A83510"/>
    <w:rsid w:val="00A8354A"/>
    <w:rsid w:val="00A83596"/>
    <w:rsid w:val="00A83599"/>
    <w:rsid w:val="00A835BE"/>
    <w:rsid w:val="00A835E1"/>
    <w:rsid w:val="00A835F1"/>
    <w:rsid w:val="00A83626"/>
    <w:rsid w:val="00A8363F"/>
    <w:rsid w:val="00A836D3"/>
    <w:rsid w:val="00A836FE"/>
    <w:rsid w:val="00A8371A"/>
    <w:rsid w:val="00A8378D"/>
    <w:rsid w:val="00A837BE"/>
    <w:rsid w:val="00A837C0"/>
    <w:rsid w:val="00A83849"/>
    <w:rsid w:val="00A83854"/>
    <w:rsid w:val="00A83873"/>
    <w:rsid w:val="00A838A1"/>
    <w:rsid w:val="00A83A50"/>
    <w:rsid w:val="00A83A60"/>
    <w:rsid w:val="00A83A67"/>
    <w:rsid w:val="00A83AE3"/>
    <w:rsid w:val="00A83B12"/>
    <w:rsid w:val="00A83B4A"/>
    <w:rsid w:val="00A83B52"/>
    <w:rsid w:val="00A83B93"/>
    <w:rsid w:val="00A83BF5"/>
    <w:rsid w:val="00A83C19"/>
    <w:rsid w:val="00A83C70"/>
    <w:rsid w:val="00A83CDC"/>
    <w:rsid w:val="00A83CEB"/>
    <w:rsid w:val="00A83D08"/>
    <w:rsid w:val="00A83E05"/>
    <w:rsid w:val="00A83E8C"/>
    <w:rsid w:val="00A83EC9"/>
    <w:rsid w:val="00A83EEC"/>
    <w:rsid w:val="00A83F23"/>
    <w:rsid w:val="00A83F2A"/>
    <w:rsid w:val="00A83F32"/>
    <w:rsid w:val="00A83F5F"/>
    <w:rsid w:val="00A83F86"/>
    <w:rsid w:val="00A83F8D"/>
    <w:rsid w:val="00A83F92"/>
    <w:rsid w:val="00A83FA0"/>
    <w:rsid w:val="00A83FE0"/>
    <w:rsid w:val="00A84020"/>
    <w:rsid w:val="00A84072"/>
    <w:rsid w:val="00A840C9"/>
    <w:rsid w:val="00A84115"/>
    <w:rsid w:val="00A84188"/>
    <w:rsid w:val="00A841CD"/>
    <w:rsid w:val="00A841D1"/>
    <w:rsid w:val="00A8422B"/>
    <w:rsid w:val="00A84250"/>
    <w:rsid w:val="00A84316"/>
    <w:rsid w:val="00A8433A"/>
    <w:rsid w:val="00A84376"/>
    <w:rsid w:val="00A8439B"/>
    <w:rsid w:val="00A843B6"/>
    <w:rsid w:val="00A843CD"/>
    <w:rsid w:val="00A84400"/>
    <w:rsid w:val="00A8442A"/>
    <w:rsid w:val="00A8444F"/>
    <w:rsid w:val="00A84451"/>
    <w:rsid w:val="00A84471"/>
    <w:rsid w:val="00A8448C"/>
    <w:rsid w:val="00A844C4"/>
    <w:rsid w:val="00A844CA"/>
    <w:rsid w:val="00A844FA"/>
    <w:rsid w:val="00A84539"/>
    <w:rsid w:val="00A8455B"/>
    <w:rsid w:val="00A845BC"/>
    <w:rsid w:val="00A845F7"/>
    <w:rsid w:val="00A8460E"/>
    <w:rsid w:val="00A8468B"/>
    <w:rsid w:val="00A8471F"/>
    <w:rsid w:val="00A847CB"/>
    <w:rsid w:val="00A8482D"/>
    <w:rsid w:val="00A84849"/>
    <w:rsid w:val="00A8486D"/>
    <w:rsid w:val="00A848D8"/>
    <w:rsid w:val="00A849B5"/>
    <w:rsid w:val="00A849BE"/>
    <w:rsid w:val="00A84A61"/>
    <w:rsid w:val="00A84AA5"/>
    <w:rsid w:val="00A84ABE"/>
    <w:rsid w:val="00A84B3F"/>
    <w:rsid w:val="00A84B4E"/>
    <w:rsid w:val="00A84B84"/>
    <w:rsid w:val="00A84B87"/>
    <w:rsid w:val="00A84BAA"/>
    <w:rsid w:val="00A84BC7"/>
    <w:rsid w:val="00A84BD0"/>
    <w:rsid w:val="00A84C1F"/>
    <w:rsid w:val="00A84C76"/>
    <w:rsid w:val="00A84CBA"/>
    <w:rsid w:val="00A84D0B"/>
    <w:rsid w:val="00A84D64"/>
    <w:rsid w:val="00A84DE0"/>
    <w:rsid w:val="00A84E2D"/>
    <w:rsid w:val="00A84E5A"/>
    <w:rsid w:val="00A84E90"/>
    <w:rsid w:val="00A84F01"/>
    <w:rsid w:val="00A84F34"/>
    <w:rsid w:val="00A84F81"/>
    <w:rsid w:val="00A84FEB"/>
    <w:rsid w:val="00A85064"/>
    <w:rsid w:val="00A85075"/>
    <w:rsid w:val="00A85141"/>
    <w:rsid w:val="00A85161"/>
    <w:rsid w:val="00A8517A"/>
    <w:rsid w:val="00A851AA"/>
    <w:rsid w:val="00A851FF"/>
    <w:rsid w:val="00A8523D"/>
    <w:rsid w:val="00A85273"/>
    <w:rsid w:val="00A852BE"/>
    <w:rsid w:val="00A852D0"/>
    <w:rsid w:val="00A85343"/>
    <w:rsid w:val="00A8536F"/>
    <w:rsid w:val="00A8537B"/>
    <w:rsid w:val="00A853D4"/>
    <w:rsid w:val="00A853ED"/>
    <w:rsid w:val="00A85421"/>
    <w:rsid w:val="00A8547A"/>
    <w:rsid w:val="00A8557B"/>
    <w:rsid w:val="00A855EE"/>
    <w:rsid w:val="00A855FE"/>
    <w:rsid w:val="00A85671"/>
    <w:rsid w:val="00A856A8"/>
    <w:rsid w:val="00A856E8"/>
    <w:rsid w:val="00A85720"/>
    <w:rsid w:val="00A85729"/>
    <w:rsid w:val="00A8573E"/>
    <w:rsid w:val="00A8579E"/>
    <w:rsid w:val="00A857F2"/>
    <w:rsid w:val="00A85813"/>
    <w:rsid w:val="00A85830"/>
    <w:rsid w:val="00A85859"/>
    <w:rsid w:val="00A85871"/>
    <w:rsid w:val="00A8587E"/>
    <w:rsid w:val="00A85894"/>
    <w:rsid w:val="00A858A6"/>
    <w:rsid w:val="00A858B4"/>
    <w:rsid w:val="00A85924"/>
    <w:rsid w:val="00A85937"/>
    <w:rsid w:val="00A8594E"/>
    <w:rsid w:val="00A859BD"/>
    <w:rsid w:val="00A85A25"/>
    <w:rsid w:val="00A85A2B"/>
    <w:rsid w:val="00A85A2E"/>
    <w:rsid w:val="00A85B03"/>
    <w:rsid w:val="00A85B06"/>
    <w:rsid w:val="00A85B22"/>
    <w:rsid w:val="00A85B32"/>
    <w:rsid w:val="00A85B73"/>
    <w:rsid w:val="00A85B88"/>
    <w:rsid w:val="00A85BC3"/>
    <w:rsid w:val="00A85C0C"/>
    <w:rsid w:val="00A85C14"/>
    <w:rsid w:val="00A85C49"/>
    <w:rsid w:val="00A85C8C"/>
    <w:rsid w:val="00A85CE1"/>
    <w:rsid w:val="00A85CF6"/>
    <w:rsid w:val="00A85D53"/>
    <w:rsid w:val="00A85DAF"/>
    <w:rsid w:val="00A85E32"/>
    <w:rsid w:val="00A85E5A"/>
    <w:rsid w:val="00A85E8A"/>
    <w:rsid w:val="00A8600F"/>
    <w:rsid w:val="00A8607F"/>
    <w:rsid w:val="00A860FF"/>
    <w:rsid w:val="00A86109"/>
    <w:rsid w:val="00A86212"/>
    <w:rsid w:val="00A86288"/>
    <w:rsid w:val="00A8628A"/>
    <w:rsid w:val="00A862CD"/>
    <w:rsid w:val="00A862F6"/>
    <w:rsid w:val="00A86325"/>
    <w:rsid w:val="00A8636A"/>
    <w:rsid w:val="00A863C4"/>
    <w:rsid w:val="00A8642D"/>
    <w:rsid w:val="00A86441"/>
    <w:rsid w:val="00A86451"/>
    <w:rsid w:val="00A864A1"/>
    <w:rsid w:val="00A864E0"/>
    <w:rsid w:val="00A8654B"/>
    <w:rsid w:val="00A8659B"/>
    <w:rsid w:val="00A865C5"/>
    <w:rsid w:val="00A865D7"/>
    <w:rsid w:val="00A865DA"/>
    <w:rsid w:val="00A865E1"/>
    <w:rsid w:val="00A86608"/>
    <w:rsid w:val="00A86614"/>
    <w:rsid w:val="00A86648"/>
    <w:rsid w:val="00A86678"/>
    <w:rsid w:val="00A866EA"/>
    <w:rsid w:val="00A86740"/>
    <w:rsid w:val="00A86761"/>
    <w:rsid w:val="00A86781"/>
    <w:rsid w:val="00A8679D"/>
    <w:rsid w:val="00A867B7"/>
    <w:rsid w:val="00A867C4"/>
    <w:rsid w:val="00A86811"/>
    <w:rsid w:val="00A86824"/>
    <w:rsid w:val="00A8687C"/>
    <w:rsid w:val="00A868AD"/>
    <w:rsid w:val="00A868B8"/>
    <w:rsid w:val="00A868FE"/>
    <w:rsid w:val="00A86942"/>
    <w:rsid w:val="00A8695B"/>
    <w:rsid w:val="00A8699F"/>
    <w:rsid w:val="00A869FD"/>
    <w:rsid w:val="00A86A08"/>
    <w:rsid w:val="00A86A50"/>
    <w:rsid w:val="00A86A65"/>
    <w:rsid w:val="00A86B1A"/>
    <w:rsid w:val="00A86B42"/>
    <w:rsid w:val="00A86B4E"/>
    <w:rsid w:val="00A86B6E"/>
    <w:rsid w:val="00A86C17"/>
    <w:rsid w:val="00A86C41"/>
    <w:rsid w:val="00A86C75"/>
    <w:rsid w:val="00A86C7C"/>
    <w:rsid w:val="00A86CB3"/>
    <w:rsid w:val="00A86CDA"/>
    <w:rsid w:val="00A86DCC"/>
    <w:rsid w:val="00A86DD8"/>
    <w:rsid w:val="00A86E56"/>
    <w:rsid w:val="00A86E70"/>
    <w:rsid w:val="00A86EB9"/>
    <w:rsid w:val="00A86EE9"/>
    <w:rsid w:val="00A86EF9"/>
    <w:rsid w:val="00A86F3A"/>
    <w:rsid w:val="00A86F90"/>
    <w:rsid w:val="00A86FCA"/>
    <w:rsid w:val="00A86FEC"/>
    <w:rsid w:val="00A87002"/>
    <w:rsid w:val="00A8700C"/>
    <w:rsid w:val="00A87024"/>
    <w:rsid w:val="00A87026"/>
    <w:rsid w:val="00A87035"/>
    <w:rsid w:val="00A87096"/>
    <w:rsid w:val="00A870C9"/>
    <w:rsid w:val="00A870F4"/>
    <w:rsid w:val="00A870FD"/>
    <w:rsid w:val="00A871A1"/>
    <w:rsid w:val="00A871B5"/>
    <w:rsid w:val="00A871CF"/>
    <w:rsid w:val="00A8729F"/>
    <w:rsid w:val="00A872A0"/>
    <w:rsid w:val="00A872B4"/>
    <w:rsid w:val="00A8736F"/>
    <w:rsid w:val="00A873BA"/>
    <w:rsid w:val="00A873ED"/>
    <w:rsid w:val="00A873EF"/>
    <w:rsid w:val="00A87408"/>
    <w:rsid w:val="00A8740E"/>
    <w:rsid w:val="00A8754B"/>
    <w:rsid w:val="00A875EE"/>
    <w:rsid w:val="00A8765C"/>
    <w:rsid w:val="00A87663"/>
    <w:rsid w:val="00A87700"/>
    <w:rsid w:val="00A87706"/>
    <w:rsid w:val="00A8774F"/>
    <w:rsid w:val="00A8776A"/>
    <w:rsid w:val="00A877BC"/>
    <w:rsid w:val="00A877C4"/>
    <w:rsid w:val="00A877F8"/>
    <w:rsid w:val="00A87887"/>
    <w:rsid w:val="00A87888"/>
    <w:rsid w:val="00A87892"/>
    <w:rsid w:val="00A8789D"/>
    <w:rsid w:val="00A8791F"/>
    <w:rsid w:val="00A87951"/>
    <w:rsid w:val="00A879FC"/>
    <w:rsid w:val="00A87A88"/>
    <w:rsid w:val="00A87AAF"/>
    <w:rsid w:val="00A87AD6"/>
    <w:rsid w:val="00A87B4B"/>
    <w:rsid w:val="00A87BDA"/>
    <w:rsid w:val="00A87BFD"/>
    <w:rsid w:val="00A87C21"/>
    <w:rsid w:val="00A87CAE"/>
    <w:rsid w:val="00A87D33"/>
    <w:rsid w:val="00A87D77"/>
    <w:rsid w:val="00A87D8B"/>
    <w:rsid w:val="00A87DA5"/>
    <w:rsid w:val="00A87DAE"/>
    <w:rsid w:val="00A87DC7"/>
    <w:rsid w:val="00A87DD6"/>
    <w:rsid w:val="00A87E42"/>
    <w:rsid w:val="00A87E73"/>
    <w:rsid w:val="00A87ECF"/>
    <w:rsid w:val="00A87EED"/>
    <w:rsid w:val="00A87F46"/>
    <w:rsid w:val="00A87F92"/>
    <w:rsid w:val="00A87FA0"/>
    <w:rsid w:val="00A87FB3"/>
    <w:rsid w:val="00A87FCC"/>
    <w:rsid w:val="00A87FDC"/>
    <w:rsid w:val="00A87FF5"/>
    <w:rsid w:val="00A87FFA"/>
    <w:rsid w:val="00A90015"/>
    <w:rsid w:val="00A90037"/>
    <w:rsid w:val="00A9009C"/>
    <w:rsid w:val="00A9011A"/>
    <w:rsid w:val="00A9012F"/>
    <w:rsid w:val="00A9014B"/>
    <w:rsid w:val="00A901A5"/>
    <w:rsid w:val="00A901A8"/>
    <w:rsid w:val="00A9022B"/>
    <w:rsid w:val="00A90281"/>
    <w:rsid w:val="00A90322"/>
    <w:rsid w:val="00A90331"/>
    <w:rsid w:val="00A90342"/>
    <w:rsid w:val="00A9035E"/>
    <w:rsid w:val="00A90376"/>
    <w:rsid w:val="00A903B0"/>
    <w:rsid w:val="00A903C1"/>
    <w:rsid w:val="00A9042B"/>
    <w:rsid w:val="00A90432"/>
    <w:rsid w:val="00A90445"/>
    <w:rsid w:val="00A9047C"/>
    <w:rsid w:val="00A904EE"/>
    <w:rsid w:val="00A90500"/>
    <w:rsid w:val="00A90546"/>
    <w:rsid w:val="00A90588"/>
    <w:rsid w:val="00A905B8"/>
    <w:rsid w:val="00A905C1"/>
    <w:rsid w:val="00A9062B"/>
    <w:rsid w:val="00A90683"/>
    <w:rsid w:val="00A906CD"/>
    <w:rsid w:val="00A907D9"/>
    <w:rsid w:val="00A907F2"/>
    <w:rsid w:val="00A907FF"/>
    <w:rsid w:val="00A9083B"/>
    <w:rsid w:val="00A9087C"/>
    <w:rsid w:val="00A90914"/>
    <w:rsid w:val="00A909F5"/>
    <w:rsid w:val="00A90B03"/>
    <w:rsid w:val="00A90B3B"/>
    <w:rsid w:val="00A90BB6"/>
    <w:rsid w:val="00A90C54"/>
    <w:rsid w:val="00A90CD1"/>
    <w:rsid w:val="00A90D09"/>
    <w:rsid w:val="00A90D0B"/>
    <w:rsid w:val="00A90EC9"/>
    <w:rsid w:val="00A90FBB"/>
    <w:rsid w:val="00A91004"/>
    <w:rsid w:val="00A9101A"/>
    <w:rsid w:val="00A91047"/>
    <w:rsid w:val="00A91107"/>
    <w:rsid w:val="00A9112B"/>
    <w:rsid w:val="00A9119D"/>
    <w:rsid w:val="00A9120C"/>
    <w:rsid w:val="00A91210"/>
    <w:rsid w:val="00A912BF"/>
    <w:rsid w:val="00A91448"/>
    <w:rsid w:val="00A914CB"/>
    <w:rsid w:val="00A914DA"/>
    <w:rsid w:val="00A91579"/>
    <w:rsid w:val="00A9159F"/>
    <w:rsid w:val="00A915A7"/>
    <w:rsid w:val="00A915D5"/>
    <w:rsid w:val="00A9163A"/>
    <w:rsid w:val="00A91651"/>
    <w:rsid w:val="00A91667"/>
    <w:rsid w:val="00A916F6"/>
    <w:rsid w:val="00A91724"/>
    <w:rsid w:val="00A91737"/>
    <w:rsid w:val="00A9174E"/>
    <w:rsid w:val="00A917DE"/>
    <w:rsid w:val="00A9180E"/>
    <w:rsid w:val="00A91826"/>
    <w:rsid w:val="00A91840"/>
    <w:rsid w:val="00A91851"/>
    <w:rsid w:val="00A91866"/>
    <w:rsid w:val="00A919A8"/>
    <w:rsid w:val="00A919D3"/>
    <w:rsid w:val="00A919F3"/>
    <w:rsid w:val="00A91A19"/>
    <w:rsid w:val="00A91A4F"/>
    <w:rsid w:val="00A91A64"/>
    <w:rsid w:val="00A91AAB"/>
    <w:rsid w:val="00A91AB3"/>
    <w:rsid w:val="00A91B22"/>
    <w:rsid w:val="00A91B33"/>
    <w:rsid w:val="00A91B4A"/>
    <w:rsid w:val="00A91BD8"/>
    <w:rsid w:val="00A91BF2"/>
    <w:rsid w:val="00A91BF8"/>
    <w:rsid w:val="00A91C1A"/>
    <w:rsid w:val="00A91CAD"/>
    <w:rsid w:val="00A91D16"/>
    <w:rsid w:val="00A91DAC"/>
    <w:rsid w:val="00A91DC3"/>
    <w:rsid w:val="00A91DEC"/>
    <w:rsid w:val="00A91E09"/>
    <w:rsid w:val="00A91E14"/>
    <w:rsid w:val="00A91EA1"/>
    <w:rsid w:val="00A91EAD"/>
    <w:rsid w:val="00A91EC8"/>
    <w:rsid w:val="00A91EDE"/>
    <w:rsid w:val="00A91F9F"/>
    <w:rsid w:val="00A92066"/>
    <w:rsid w:val="00A92095"/>
    <w:rsid w:val="00A920AD"/>
    <w:rsid w:val="00A92167"/>
    <w:rsid w:val="00A92176"/>
    <w:rsid w:val="00A921E4"/>
    <w:rsid w:val="00A92227"/>
    <w:rsid w:val="00A9225A"/>
    <w:rsid w:val="00A92298"/>
    <w:rsid w:val="00A92354"/>
    <w:rsid w:val="00A9240E"/>
    <w:rsid w:val="00A92440"/>
    <w:rsid w:val="00A92442"/>
    <w:rsid w:val="00A9245A"/>
    <w:rsid w:val="00A9248E"/>
    <w:rsid w:val="00A92571"/>
    <w:rsid w:val="00A92574"/>
    <w:rsid w:val="00A925A0"/>
    <w:rsid w:val="00A92606"/>
    <w:rsid w:val="00A92667"/>
    <w:rsid w:val="00A9267B"/>
    <w:rsid w:val="00A92682"/>
    <w:rsid w:val="00A926A3"/>
    <w:rsid w:val="00A926F8"/>
    <w:rsid w:val="00A9275D"/>
    <w:rsid w:val="00A927CC"/>
    <w:rsid w:val="00A92832"/>
    <w:rsid w:val="00A92838"/>
    <w:rsid w:val="00A928AE"/>
    <w:rsid w:val="00A928C2"/>
    <w:rsid w:val="00A929C3"/>
    <w:rsid w:val="00A92A31"/>
    <w:rsid w:val="00A92A89"/>
    <w:rsid w:val="00A92AAA"/>
    <w:rsid w:val="00A92AB0"/>
    <w:rsid w:val="00A92AD4"/>
    <w:rsid w:val="00A92B11"/>
    <w:rsid w:val="00A92B46"/>
    <w:rsid w:val="00A92B8D"/>
    <w:rsid w:val="00A92BF2"/>
    <w:rsid w:val="00A92BF7"/>
    <w:rsid w:val="00A92C1F"/>
    <w:rsid w:val="00A92C78"/>
    <w:rsid w:val="00A92C89"/>
    <w:rsid w:val="00A92CAC"/>
    <w:rsid w:val="00A92CAF"/>
    <w:rsid w:val="00A92CD6"/>
    <w:rsid w:val="00A92CE0"/>
    <w:rsid w:val="00A92CFB"/>
    <w:rsid w:val="00A92D42"/>
    <w:rsid w:val="00A92D7C"/>
    <w:rsid w:val="00A92D97"/>
    <w:rsid w:val="00A92E39"/>
    <w:rsid w:val="00A92EAA"/>
    <w:rsid w:val="00A92EF6"/>
    <w:rsid w:val="00A92F13"/>
    <w:rsid w:val="00A92F23"/>
    <w:rsid w:val="00A92F32"/>
    <w:rsid w:val="00A92F70"/>
    <w:rsid w:val="00A93007"/>
    <w:rsid w:val="00A9306C"/>
    <w:rsid w:val="00A93075"/>
    <w:rsid w:val="00A93107"/>
    <w:rsid w:val="00A93136"/>
    <w:rsid w:val="00A931A2"/>
    <w:rsid w:val="00A9321A"/>
    <w:rsid w:val="00A93276"/>
    <w:rsid w:val="00A9328B"/>
    <w:rsid w:val="00A932C7"/>
    <w:rsid w:val="00A93302"/>
    <w:rsid w:val="00A93303"/>
    <w:rsid w:val="00A93331"/>
    <w:rsid w:val="00A933A5"/>
    <w:rsid w:val="00A933ED"/>
    <w:rsid w:val="00A933FD"/>
    <w:rsid w:val="00A93420"/>
    <w:rsid w:val="00A93449"/>
    <w:rsid w:val="00A93497"/>
    <w:rsid w:val="00A934D1"/>
    <w:rsid w:val="00A9357D"/>
    <w:rsid w:val="00A93598"/>
    <w:rsid w:val="00A935AA"/>
    <w:rsid w:val="00A935AF"/>
    <w:rsid w:val="00A935E9"/>
    <w:rsid w:val="00A93627"/>
    <w:rsid w:val="00A93655"/>
    <w:rsid w:val="00A9366C"/>
    <w:rsid w:val="00A936AD"/>
    <w:rsid w:val="00A936D6"/>
    <w:rsid w:val="00A936FA"/>
    <w:rsid w:val="00A936FB"/>
    <w:rsid w:val="00A93707"/>
    <w:rsid w:val="00A93727"/>
    <w:rsid w:val="00A9376C"/>
    <w:rsid w:val="00A937C0"/>
    <w:rsid w:val="00A937C4"/>
    <w:rsid w:val="00A937DF"/>
    <w:rsid w:val="00A937E9"/>
    <w:rsid w:val="00A93829"/>
    <w:rsid w:val="00A938C9"/>
    <w:rsid w:val="00A93902"/>
    <w:rsid w:val="00A93925"/>
    <w:rsid w:val="00A939FB"/>
    <w:rsid w:val="00A93A23"/>
    <w:rsid w:val="00A93AA8"/>
    <w:rsid w:val="00A93ABC"/>
    <w:rsid w:val="00A93AE5"/>
    <w:rsid w:val="00A93B67"/>
    <w:rsid w:val="00A93B88"/>
    <w:rsid w:val="00A93BAF"/>
    <w:rsid w:val="00A93BCB"/>
    <w:rsid w:val="00A93C45"/>
    <w:rsid w:val="00A93C50"/>
    <w:rsid w:val="00A93C75"/>
    <w:rsid w:val="00A93C98"/>
    <w:rsid w:val="00A93D1C"/>
    <w:rsid w:val="00A93D20"/>
    <w:rsid w:val="00A93D6C"/>
    <w:rsid w:val="00A93DD8"/>
    <w:rsid w:val="00A93E32"/>
    <w:rsid w:val="00A93E4A"/>
    <w:rsid w:val="00A93E4D"/>
    <w:rsid w:val="00A93E7C"/>
    <w:rsid w:val="00A93F21"/>
    <w:rsid w:val="00A93F26"/>
    <w:rsid w:val="00A93F57"/>
    <w:rsid w:val="00A93F66"/>
    <w:rsid w:val="00A93F83"/>
    <w:rsid w:val="00A93F90"/>
    <w:rsid w:val="00A940C4"/>
    <w:rsid w:val="00A9411B"/>
    <w:rsid w:val="00A9418A"/>
    <w:rsid w:val="00A94198"/>
    <w:rsid w:val="00A941E7"/>
    <w:rsid w:val="00A941F5"/>
    <w:rsid w:val="00A942B1"/>
    <w:rsid w:val="00A942BB"/>
    <w:rsid w:val="00A942DB"/>
    <w:rsid w:val="00A94325"/>
    <w:rsid w:val="00A94335"/>
    <w:rsid w:val="00A94341"/>
    <w:rsid w:val="00A94412"/>
    <w:rsid w:val="00A94462"/>
    <w:rsid w:val="00A9447D"/>
    <w:rsid w:val="00A94500"/>
    <w:rsid w:val="00A94535"/>
    <w:rsid w:val="00A94554"/>
    <w:rsid w:val="00A9456B"/>
    <w:rsid w:val="00A94578"/>
    <w:rsid w:val="00A94583"/>
    <w:rsid w:val="00A945A5"/>
    <w:rsid w:val="00A94617"/>
    <w:rsid w:val="00A946FC"/>
    <w:rsid w:val="00A94723"/>
    <w:rsid w:val="00A9472B"/>
    <w:rsid w:val="00A94844"/>
    <w:rsid w:val="00A94856"/>
    <w:rsid w:val="00A94869"/>
    <w:rsid w:val="00A94895"/>
    <w:rsid w:val="00A948A0"/>
    <w:rsid w:val="00A948C7"/>
    <w:rsid w:val="00A94924"/>
    <w:rsid w:val="00A94953"/>
    <w:rsid w:val="00A94961"/>
    <w:rsid w:val="00A94965"/>
    <w:rsid w:val="00A94984"/>
    <w:rsid w:val="00A949A3"/>
    <w:rsid w:val="00A949BC"/>
    <w:rsid w:val="00A94A4E"/>
    <w:rsid w:val="00A94AAF"/>
    <w:rsid w:val="00A94AB5"/>
    <w:rsid w:val="00A94AD6"/>
    <w:rsid w:val="00A94B13"/>
    <w:rsid w:val="00A94B5C"/>
    <w:rsid w:val="00A94B7C"/>
    <w:rsid w:val="00A94C23"/>
    <w:rsid w:val="00A94CA0"/>
    <w:rsid w:val="00A94CCB"/>
    <w:rsid w:val="00A94D62"/>
    <w:rsid w:val="00A94D78"/>
    <w:rsid w:val="00A94DEE"/>
    <w:rsid w:val="00A94DFC"/>
    <w:rsid w:val="00A94E49"/>
    <w:rsid w:val="00A94E61"/>
    <w:rsid w:val="00A94E90"/>
    <w:rsid w:val="00A94E9E"/>
    <w:rsid w:val="00A94EA7"/>
    <w:rsid w:val="00A94ECB"/>
    <w:rsid w:val="00A94F5B"/>
    <w:rsid w:val="00A94F77"/>
    <w:rsid w:val="00A94FE5"/>
    <w:rsid w:val="00A94FED"/>
    <w:rsid w:val="00A95036"/>
    <w:rsid w:val="00A95064"/>
    <w:rsid w:val="00A95091"/>
    <w:rsid w:val="00A95099"/>
    <w:rsid w:val="00A950F4"/>
    <w:rsid w:val="00A951BD"/>
    <w:rsid w:val="00A951DE"/>
    <w:rsid w:val="00A951F7"/>
    <w:rsid w:val="00A95200"/>
    <w:rsid w:val="00A95276"/>
    <w:rsid w:val="00A952C3"/>
    <w:rsid w:val="00A9532C"/>
    <w:rsid w:val="00A9538A"/>
    <w:rsid w:val="00A953BF"/>
    <w:rsid w:val="00A9548B"/>
    <w:rsid w:val="00A95495"/>
    <w:rsid w:val="00A954F5"/>
    <w:rsid w:val="00A95521"/>
    <w:rsid w:val="00A955AE"/>
    <w:rsid w:val="00A95643"/>
    <w:rsid w:val="00A95698"/>
    <w:rsid w:val="00A956A4"/>
    <w:rsid w:val="00A956DD"/>
    <w:rsid w:val="00A956E2"/>
    <w:rsid w:val="00A956E6"/>
    <w:rsid w:val="00A956ED"/>
    <w:rsid w:val="00A95732"/>
    <w:rsid w:val="00A9578E"/>
    <w:rsid w:val="00A95799"/>
    <w:rsid w:val="00A957D5"/>
    <w:rsid w:val="00A957E5"/>
    <w:rsid w:val="00A957EE"/>
    <w:rsid w:val="00A957FD"/>
    <w:rsid w:val="00A9586B"/>
    <w:rsid w:val="00A9588A"/>
    <w:rsid w:val="00A95945"/>
    <w:rsid w:val="00A95988"/>
    <w:rsid w:val="00A959E9"/>
    <w:rsid w:val="00A959F9"/>
    <w:rsid w:val="00A95A19"/>
    <w:rsid w:val="00A95A28"/>
    <w:rsid w:val="00A95AC5"/>
    <w:rsid w:val="00A95AD0"/>
    <w:rsid w:val="00A95B07"/>
    <w:rsid w:val="00A95B25"/>
    <w:rsid w:val="00A95B98"/>
    <w:rsid w:val="00A95C1C"/>
    <w:rsid w:val="00A95C27"/>
    <w:rsid w:val="00A95C4F"/>
    <w:rsid w:val="00A95CA5"/>
    <w:rsid w:val="00A95DAC"/>
    <w:rsid w:val="00A95E48"/>
    <w:rsid w:val="00A95EC9"/>
    <w:rsid w:val="00A95F1A"/>
    <w:rsid w:val="00A95F67"/>
    <w:rsid w:val="00A95F72"/>
    <w:rsid w:val="00A95FA1"/>
    <w:rsid w:val="00A96035"/>
    <w:rsid w:val="00A96040"/>
    <w:rsid w:val="00A96075"/>
    <w:rsid w:val="00A960C5"/>
    <w:rsid w:val="00A96125"/>
    <w:rsid w:val="00A9624F"/>
    <w:rsid w:val="00A96289"/>
    <w:rsid w:val="00A962A8"/>
    <w:rsid w:val="00A962C1"/>
    <w:rsid w:val="00A96301"/>
    <w:rsid w:val="00A9631C"/>
    <w:rsid w:val="00A96345"/>
    <w:rsid w:val="00A96358"/>
    <w:rsid w:val="00A96359"/>
    <w:rsid w:val="00A9638C"/>
    <w:rsid w:val="00A963B0"/>
    <w:rsid w:val="00A963D5"/>
    <w:rsid w:val="00A96420"/>
    <w:rsid w:val="00A9643B"/>
    <w:rsid w:val="00A96478"/>
    <w:rsid w:val="00A964DC"/>
    <w:rsid w:val="00A9653F"/>
    <w:rsid w:val="00A965A2"/>
    <w:rsid w:val="00A9662E"/>
    <w:rsid w:val="00A96633"/>
    <w:rsid w:val="00A96651"/>
    <w:rsid w:val="00A9667B"/>
    <w:rsid w:val="00A96691"/>
    <w:rsid w:val="00A966B8"/>
    <w:rsid w:val="00A966C2"/>
    <w:rsid w:val="00A966CE"/>
    <w:rsid w:val="00A966FD"/>
    <w:rsid w:val="00A9670D"/>
    <w:rsid w:val="00A96797"/>
    <w:rsid w:val="00A967DE"/>
    <w:rsid w:val="00A9686B"/>
    <w:rsid w:val="00A968C0"/>
    <w:rsid w:val="00A96929"/>
    <w:rsid w:val="00A9692D"/>
    <w:rsid w:val="00A9698E"/>
    <w:rsid w:val="00A969A3"/>
    <w:rsid w:val="00A969D0"/>
    <w:rsid w:val="00A969E8"/>
    <w:rsid w:val="00A96A55"/>
    <w:rsid w:val="00A96A58"/>
    <w:rsid w:val="00A96AB0"/>
    <w:rsid w:val="00A96ACC"/>
    <w:rsid w:val="00A96AD4"/>
    <w:rsid w:val="00A96AFF"/>
    <w:rsid w:val="00A96B00"/>
    <w:rsid w:val="00A96B1B"/>
    <w:rsid w:val="00A96B6E"/>
    <w:rsid w:val="00A96BA8"/>
    <w:rsid w:val="00A96BC0"/>
    <w:rsid w:val="00A96C45"/>
    <w:rsid w:val="00A96C4D"/>
    <w:rsid w:val="00A96C66"/>
    <w:rsid w:val="00A96D23"/>
    <w:rsid w:val="00A96D5E"/>
    <w:rsid w:val="00A96DA6"/>
    <w:rsid w:val="00A96DAF"/>
    <w:rsid w:val="00A96E99"/>
    <w:rsid w:val="00A96EA8"/>
    <w:rsid w:val="00A96ECD"/>
    <w:rsid w:val="00A96EF2"/>
    <w:rsid w:val="00A96F51"/>
    <w:rsid w:val="00A96F68"/>
    <w:rsid w:val="00A96F6E"/>
    <w:rsid w:val="00A97002"/>
    <w:rsid w:val="00A97060"/>
    <w:rsid w:val="00A970D0"/>
    <w:rsid w:val="00A970D8"/>
    <w:rsid w:val="00A97118"/>
    <w:rsid w:val="00A9711D"/>
    <w:rsid w:val="00A97121"/>
    <w:rsid w:val="00A97178"/>
    <w:rsid w:val="00A9721C"/>
    <w:rsid w:val="00A9723D"/>
    <w:rsid w:val="00A97285"/>
    <w:rsid w:val="00A972B3"/>
    <w:rsid w:val="00A972F2"/>
    <w:rsid w:val="00A97348"/>
    <w:rsid w:val="00A97387"/>
    <w:rsid w:val="00A973A7"/>
    <w:rsid w:val="00A973AD"/>
    <w:rsid w:val="00A973CF"/>
    <w:rsid w:val="00A9740B"/>
    <w:rsid w:val="00A974B4"/>
    <w:rsid w:val="00A974CD"/>
    <w:rsid w:val="00A97570"/>
    <w:rsid w:val="00A975E9"/>
    <w:rsid w:val="00A9763E"/>
    <w:rsid w:val="00A9764C"/>
    <w:rsid w:val="00A976F4"/>
    <w:rsid w:val="00A97731"/>
    <w:rsid w:val="00A9778C"/>
    <w:rsid w:val="00A977DD"/>
    <w:rsid w:val="00A97826"/>
    <w:rsid w:val="00A9784A"/>
    <w:rsid w:val="00A9785D"/>
    <w:rsid w:val="00A97885"/>
    <w:rsid w:val="00A978D4"/>
    <w:rsid w:val="00A978DA"/>
    <w:rsid w:val="00A97923"/>
    <w:rsid w:val="00A97939"/>
    <w:rsid w:val="00A97953"/>
    <w:rsid w:val="00A97A81"/>
    <w:rsid w:val="00A97A9B"/>
    <w:rsid w:val="00A97B30"/>
    <w:rsid w:val="00A97B6C"/>
    <w:rsid w:val="00A97BB7"/>
    <w:rsid w:val="00A97BC1"/>
    <w:rsid w:val="00A97C84"/>
    <w:rsid w:val="00A97CA1"/>
    <w:rsid w:val="00A97CB4"/>
    <w:rsid w:val="00A97CED"/>
    <w:rsid w:val="00A97CEE"/>
    <w:rsid w:val="00A97D04"/>
    <w:rsid w:val="00A97D18"/>
    <w:rsid w:val="00A97D44"/>
    <w:rsid w:val="00A97D7B"/>
    <w:rsid w:val="00A97D7E"/>
    <w:rsid w:val="00A97E17"/>
    <w:rsid w:val="00A97E28"/>
    <w:rsid w:val="00A97E2C"/>
    <w:rsid w:val="00A97EC6"/>
    <w:rsid w:val="00A97EF6"/>
    <w:rsid w:val="00A97FED"/>
    <w:rsid w:val="00AA0111"/>
    <w:rsid w:val="00AA014A"/>
    <w:rsid w:val="00AA0194"/>
    <w:rsid w:val="00AA01D5"/>
    <w:rsid w:val="00AA023C"/>
    <w:rsid w:val="00AA0262"/>
    <w:rsid w:val="00AA0299"/>
    <w:rsid w:val="00AA02C9"/>
    <w:rsid w:val="00AA02D9"/>
    <w:rsid w:val="00AA02E6"/>
    <w:rsid w:val="00AA0321"/>
    <w:rsid w:val="00AA0352"/>
    <w:rsid w:val="00AA0389"/>
    <w:rsid w:val="00AA0410"/>
    <w:rsid w:val="00AA0415"/>
    <w:rsid w:val="00AA046D"/>
    <w:rsid w:val="00AA048A"/>
    <w:rsid w:val="00AA0499"/>
    <w:rsid w:val="00AA04A6"/>
    <w:rsid w:val="00AA04B6"/>
    <w:rsid w:val="00AA0515"/>
    <w:rsid w:val="00AA059C"/>
    <w:rsid w:val="00AA059D"/>
    <w:rsid w:val="00AA05C0"/>
    <w:rsid w:val="00AA05CE"/>
    <w:rsid w:val="00AA05D8"/>
    <w:rsid w:val="00AA05DB"/>
    <w:rsid w:val="00AA05FD"/>
    <w:rsid w:val="00AA05FF"/>
    <w:rsid w:val="00AA0644"/>
    <w:rsid w:val="00AA067D"/>
    <w:rsid w:val="00AA06C6"/>
    <w:rsid w:val="00AA06DA"/>
    <w:rsid w:val="00AA074A"/>
    <w:rsid w:val="00AA0768"/>
    <w:rsid w:val="00AA077D"/>
    <w:rsid w:val="00AA07EB"/>
    <w:rsid w:val="00AA0812"/>
    <w:rsid w:val="00AA0851"/>
    <w:rsid w:val="00AA0867"/>
    <w:rsid w:val="00AA0896"/>
    <w:rsid w:val="00AA08B5"/>
    <w:rsid w:val="00AA08BC"/>
    <w:rsid w:val="00AA090F"/>
    <w:rsid w:val="00AA0963"/>
    <w:rsid w:val="00AA0969"/>
    <w:rsid w:val="00AA09CD"/>
    <w:rsid w:val="00AA09E3"/>
    <w:rsid w:val="00AA0A20"/>
    <w:rsid w:val="00AA0A30"/>
    <w:rsid w:val="00AA0A68"/>
    <w:rsid w:val="00AA0A71"/>
    <w:rsid w:val="00AA0AB2"/>
    <w:rsid w:val="00AA0AF2"/>
    <w:rsid w:val="00AA0B1A"/>
    <w:rsid w:val="00AA0B7F"/>
    <w:rsid w:val="00AA0C08"/>
    <w:rsid w:val="00AA0CA1"/>
    <w:rsid w:val="00AA0D07"/>
    <w:rsid w:val="00AA0D0E"/>
    <w:rsid w:val="00AA0D28"/>
    <w:rsid w:val="00AA0D3E"/>
    <w:rsid w:val="00AA0D57"/>
    <w:rsid w:val="00AA0D6D"/>
    <w:rsid w:val="00AA0D7E"/>
    <w:rsid w:val="00AA0E6E"/>
    <w:rsid w:val="00AA0F3B"/>
    <w:rsid w:val="00AA0F44"/>
    <w:rsid w:val="00AA0F8F"/>
    <w:rsid w:val="00AA1022"/>
    <w:rsid w:val="00AA104F"/>
    <w:rsid w:val="00AA1064"/>
    <w:rsid w:val="00AA10AD"/>
    <w:rsid w:val="00AA10BC"/>
    <w:rsid w:val="00AA10C3"/>
    <w:rsid w:val="00AA10C6"/>
    <w:rsid w:val="00AA10F9"/>
    <w:rsid w:val="00AA1111"/>
    <w:rsid w:val="00AA119F"/>
    <w:rsid w:val="00AA11F4"/>
    <w:rsid w:val="00AA1239"/>
    <w:rsid w:val="00AA1245"/>
    <w:rsid w:val="00AA125B"/>
    <w:rsid w:val="00AA1267"/>
    <w:rsid w:val="00AA130C"/>
    <w:rsid w:val="00AA1320"/>
    <w:rsid w:val="00AA1377"/>
    <w:rsid w:val="00AA1382"/>
    <w:rsid w:val="00AA13D6"/>
    <w:rsid w:val="00AA13E3"/>
    <w:rsid w:val="00AA1408"/>
    <w:rsid w:val="00AA1412"/>
    <w:rsid w:val="00AA1430"/>
    <w:rsid w:val="00AA1434"/>
    <w:rsid w:val="00AA144B"/>
    <w:rsid w:val="00AA14EB"/>
    <w:rsid w:val="00AA15C3"/>
    <w:rsid w:val="00AA15E7"/>
    <w:rsid w:val="00AA161C"/>
    <w:rsid w:val="00AA1638"/>
    <w:rsid w:val="00AA16E7"/>
    <w:rsid w:val="00AA17B2"/>
    <w:rsid w:val="00AA17C9"/>
    <w:rsid w:val="00AA1873"/>
    <w:rsid w:val="00AA18E6"/>
    <w:rsid w:val="00AA18EB"/>
    <w:rsid w:val="00AA1943"/>
    <w:rsid w:val="00AA197D"/>
    <w:rsid w:val="00AA1992"/>
    <w:rsid w:val="00AA19B0"/>
    <w:rsid w:val="00AA19B6"/>
    <w:rsid w:val="00AA19D4"/>
    <w:rsid w:val="00AA19E6"/>
    <w:rsid w:val="00AA1A58"/>
    <w:rsid w:val="00AA1A8D"/>
    <w:rsid w:val="00AA1AAB"/>
    <w:rsid w:val="00AA1AB4"/>
    <w:rsid w:val="00AA1ACB"/>
    <w:rsid w:val="00AA1AD8"/>
    <w:rsid w:val="00AA1B6F"/>
    <w:rsid w:val="00AA1B74"/>
    <w:rsid w:val="00AA1B8C"/>
    <w:rsid w:val="00AA1B98"/>
    <w:rsid w:val="00AA1BC2"/>
    <w:rsid w:val="00AA1C04"/>
    <w:rsid w:val="00AA1C1A"/>
    <w:rsid w:val="00AA1C81"/>
    <w:rsid w:val="00AA1CC9"/>
    <w:rsid w:val="00AA1CF7"/>
    <w:rsid w:val="00AA1D04"/>
    <w:rsid w:val="00AA1D3D"/>
    <w:rsid w:val="00AA1D55"/>
    <w:rsid w:val="00AA1D64"/>
    <w:rsid w:val="00AA1D6D"/>
    <w:rsid w:val="00AA1D9A"/>
    <w:rsid w:val="00AA1E43"/>
    <w:rsid w:val="00AA1E9B"/>
    <w:rsid w:val="00AA1F1F"/>
    <w:rsid w:val="00AA1F64"/>
    <w:rsid w:val="00AA1F80"/>
    <w:rsid w:val="00AA1F90"/>
    <w:rsid w:val="00AA1FB5"/>
    <w:rsid w:val="00AA1FDE"/>
    <w:rsid w:val="00AA1FE5"/>
    <w:rsid w:val="00AA2029"/>
    <w:rsid w:val="00AA203C"/>
    <w:rsid w:val="00AA20EA"/>
    <w:rsid w:val="00AA2117"/>
    <w:rsid w:val="00AA211B"/>
    <w:rsid w:val="00AA2130"/>
    <w:rsid w:val="00AA214B"/>
    <w:rsid w:val="00AA21D8"/>
    <w:rsid w:val="00AA21E4"/>
    <w:rsid w:val="00AA2219"/>
    <w:rsid w:val="00AA227A"/>
    <w:rsid w:val="00AA2289"/>
    <w:rsid w:val="00AA229E"/>
    <w:rsid w:val="00AA22B4"/>
    <w:rsid w:val="00AA22EA"/>
    <w:rsid w:val="00AA2318"/>
    <w:rsid w:val="00AA2350"/>
    <w:rsid w:val="00AA23B2"/>
    <w:rsid w:val="00AA23CB"/>
    <w:rsid w:val="00AA2468"/>
    <w:rsid w:val="00AA2476"/>
    <w:rsid w:val="00AA24A3"/>
    <w:rsid w:val="00AA24DB"/>
    <w:rsid w:val="00AA250F"/>
    <w:rsid w:val="00AA2542"/>
    <w:rsid w:val="00AA25AB"/>
    <w:rsid w:val="00AA25BD"/>
    <w:rsid w:val="00AA25C3"/>
    <w:rsid w:val="00AA25CF"/>
    <w:rsid w:val="00AA25DB"/>
    <w:rsid w:val="00AA26FA"/>
    <w:rsid w:val="00AA274B"/>
    <w:rsid w:val="00AA2847"/>
    <w:rsid w:val="00AA284E"/>
    <w:rsid w:val="00AA28A2"/>
    <w:rsid w:val="00AA28F1"/>
    <w:rsid w:val="00AA2906"/>
    <w:rsid w:val="00AA291B"/>
    <w:rsid w:val="00AA2975"/>
    <w:rsid w:val="00AA29AE"/>
    <w:rsid w:val="00AA29DC"/>
    <w:rsid w:val="00AA29F2"/>
    <w:rsid w:val="00AA2A3B"/>
    <w:rsid w:val="00AA2A5C"/>
    <w:rsid w:val="00AA2A62"/>
    <w:rsid w:val="00AA2A7C"/>
    <w:rsid w:val="00AA2AFF"/>
    <w:rsid w:val="00AA2B0A"/>
    <w:rsid w:val="00AA2B7F"/>
    <w:rsid w:val="00AA2B83"/>
    <w:rsid w:val="00AA2B92"/>
    <w:rsid w:val="00AA2B99"/>
    <w:rsid w:val="00AA2BB1"/>
    <w:rsid w:val="00AA2BD9"/>
    <w:rsid w:val="00AA2CFC"/>
    <w:rsid w:val="00AA2D65"/>
    <w:rsid w:val="00AA2D8F"/>
    <w:rsid w:val="00AA2DA6"/>
    <w:rsid w:val="00AA2DF2"/>
    <w:rsid w:val="00AA2E40"/>
    <w:rsid w:val="00AA2E64"/>
    <w:rsid w:val="00AA2EAD"/>
    <w:rsid w:val="00AA2EB0"/>
    <w:rsid w:val="00AA2EDD"/>
    <w:rsid w:val="00AA2EE7"/>
    <w:rsid w:val="00AA2F18"/>
    <w:rsid w:val="00AA2F54"/>
    <w:rsid w:val="00AA2F5C"/>
    <w:rsid w:val="00AA2F74"/>
    <w:rsid w:val="00AA2FAE"/>
    <w:rsid w:val="00AA3047"/>
    <w:rsid w:val="00AA3067"/>
    <w:rsid w:val="00AA3071"/>
    <w:rsid w:val="00AA30B1"/>
    <w:rsid w:val="00AA30BD"/>
    <w:rsid w:val="00AA30FF"/>
    <w:rsid w:val="00AA3119"/>
    <w:rsid w:val="00AA3143"/>
    <w:rsid w:val="00AA31C0"/>
    <w:rsid w:val="00AA31C3"/>
    <w:rsid w:val="00AA31CF"/>
    <w:rsid w:val="00AA3243"/>
    <w:rsid w:val="00AA3247"/>
    <w:rsid w:val="00AA325F"/>
    <w:rsid w:val="00AA32F9"/>
    <w:rsid w:val="00AA3312"/>
    <w:rsid w:val="00AA3327"/>
    <w:rsid w:val="00AA3339"/>
    <w:rsid w:val="00AA334F"/>
    <w:rsid w:val="00AA3375"/>
    <w:rsid w:val="00AA3446"/>
    <w:rsid w:val="00AA344E"/>
    <w:rsid w:val="00AA3526"/>
    <w:rsid w:val="00AA3569"/>
    <w:rsid w:val="00AA35E7"/>
    <w:rsid w:val="00AA35F7"/>
    <w:rsid w:val="00AA369B"/>
    <w:rsid w:val="00AA36A1"/>
    <w:rsid w:val="00AA36CC"/>
    <w:rsid w:val="00AA36D8"/>
    <w:rsid w:val="00AA36DC"/>
    <w:rsid w:val="00AA36F1"/>
    <w:rsid w:val="00AA3707"/>
    <w:rsid w:val="00AA3797"/>
    <w:rsid w:val="00AA379C"/>
    <w:rsid w:val="00AA37A6"/>
    <w:rsid w:val="00AA37D1"/>
    <w:rsid w:val="00AA37FA"/>
    <w:rsid w:val="00AA389E"/>
    <w:rsid w:val="00AA38DA"/>
    <w:rsid w:val="00AA3919"/>
    <w:rsid w:val="00AA3922"/>
    <w:rsid w:val="00AA394B"/>
    <w:rsid w:val="00AA3A10"/>
    <w:rsid w:val="00AA3A38"/>
    <w:rsid w:val="00AA3A3C"/>
    <w:rsid w:val="00AA3A4B"/>
    <w:rsid w:val="00AA3A4D"/>
    <w:rsid w:val="00AA3A71"/>
    <w:rsid w:val="00AA3A83"/>
    <w:rsid w:val="00AA3AA1"/>
    <w:rsid w:val="00AA3AAD"/>
    <w:rsid w:val="00AA3AB1"/>
    <w:rsid w:val="00AA3AB5"/>
    <w:rsid w:val="00AA3AFD"/>
    <w:rsid w:val="00AA3B43"/>
    <w:rsid w:val="00AA3B67"/>
    <w:rsid w:val="00AA3B82"/>
    <w:rsid w:val="00AA3BA5"/>
    <w:rsid w:val="00AA3C72"/>
    <w:rsid w:val="00AA3C7B"/>
    <w:rsid w:val="00AA3CB0"/>
    <w:rsid w:val="00AA3D0B"/>
    <w:rsid w:val="00AA3D55"/>
    <w:rsid w:val="00AA3DC0"/>
    <w:rsid w:val="00AA3EFC"/>
    <w:rsid w:val="00AA3F5C"/>
    <w:rsid w:val="00AA3F90"/>
    <w:rsid w:val="00AA3FAB"/>
    <w:rsid w:val="00AA3FDD"/>
    <w:rsid w:val="00AA4003"/>
    <w:rsid w:val="00AA4014"/>
    <w:rsid w:val="00AA4072"/>
    <w:rsid w:val="00AA4149"/>
    <w:rsid w:val="00AA417B"/>
    <w:rsid w:val="00AA41DB"/>
    <w:rsid w:val="00AA420E"/>
    <w:rsid w:val="00AA4225"/>
    <w:rsid w:val="00AA4264"/>
    <w:rsid w:val="00AA42CD"/>
    <w:rsid w:val="00AA42EA"/>
    <w:rsid w:val="00AA42F1"/>
    <w:rsid w:val="00AA4342"/>
    <w:rsid w:val="00AA43AF"/>
    <w:rsid w:val="00AA4463"/>
    <w:rsid w:val="00AA446C"/>
    <w:rsid w:val="00AA4539"/>
    <w:rsid w:val="00AA4583"/>
    <w:rsid w:val="00AA459B"/>
    <w:rsid w:val="00AA4601"/>
    <w:rsid w:val="00AA460A"/>
    <w:rsid w:val="00AA4614"/>
    <w:rsid w:val="00AA466F"/>
    <w:rsid w:val="00AA4701"/>
    <w:rsid w:val="00AA470B"/>
    <w:rsid w:val="00AA470E"/>
    <w:rsid w:val="00AA4720"/>
    <w:rsid w:val="00AA47CB"/>
    <w:rsid w:val="00AA47D4"/>
    <w:rsid w:val="00AA480E"/>
    <w:rsid w:val="00AA4824"/>
    <w:rsid w:val="00AA4838"/>
    <w:rsid w:val="00AA4860"/>
    <w:rsid w:val="00AA4871"/>
    <w:rsid w:val="00AA487D"/>
    <w:rsid w:val="00AA487E"/>
    <w:rsid w:val="00AA48D0"/>
    <w:rsid w:val="00AA4909"/>
    <w:rsid w:val="00AA490C"/>
    <w:rsid w:val="00AA494B"/>
    <w:rsid w:val="00AA4959"/>
    <w:rsid w:val="00AA4A93"/>
    <w:rsid w:val="00AA4A96"/>
    <w:rsid w:val="00AA4AB2"/>
    <w:rsid w:val="00AA4B1A"/>
    <w:rsid w:val="00AA4B3E"/>
    <w:rsid w:val="00AA4B49"/>
    <w:rsid w:val="00AA4C57"/>
    <w:rsid w:val="00AA4CD0"/>
    <w:rsid w:val="00AA4CFC"/>
    <w:rsid w:val="00AA4D2A"/>
    <w:rsid w:val="00AA4D56"/>
    <w:rsid w:val="00AA4D9C"/>
    <w:rsid w:val="00AA4E12"/>
    <w:rsid w:val="00AA4E19"/>
    <w:rsid w:val="00AA4E96"/>
    <w:rsid w:val="00AA4F46"/>
    <w:rsid w:val="00AA4F92"/>
    <w:rsid w:val="00AA4FD7"/>
    <w:rsid w:val="00AA508D"/>
    <w:rsid w:val="00AA50BD"/>
    <w:rsid w:val="00AA50E1"/>
    <w:rsid w:val="00AA5168"/>
    <w:rsid w:val="00AA5177"/>
    <w:rsid w:val="00AA517A"/>
    <w:rsid w:val="00AA51CB"/>
    <w:rsid w:val="00AA5201"/>
    <w:rsid w:val="00AA5281"/>
    <w:rsid w:val="00AA5288"/>
    <w:rsid w:val="00AA52C6"/>
    <w:rsid w:val="00AA5320"/>
    <w:rsid w:val="00AA5327"/>
    <w:rsid w:val="00AA5334"/>
    <w:rsid w:val="00AA546C"/>
    <w:rsid w:val="00AA5482"/>
    <w:rsid w:val="00AA5494"/>
    <w:rsid w:val="00AA5496"/>
    <w:rsid w:val="00AA54AC"/>
    <w:rsid w:val="00AA5518"/>
    <w:rsid w:val="00AA554E"/>
    <w:rsid w:val="00AA556A"/>
    <w:rsid w:val="00AA5574"/>
    <w:rsid w:val="00AA55FB"/>
    <w:rsid w:val="00AA56ED"/>
    <w:rsid w:val="00AA5740"/>
    <w:rsid w:val="00AA5769"/>
    <w:rsid w:val="00AA5795"/>
    <w:rsid w:val="00AA57A1"/>
    <w:rsid w:val="00AA57A2"/>
    <w:rsid w:val="00AA57ED"/>
    <w:rsid w:val="00AA5821"/>
    <w:rsid w:val="00AA5829"/>
    <w:rsid w:val="00AA5854"/>
    <w:rsid w:val="00AA5888"/>
    <w:rsid w:val="00AA58D8"/>
    <w:rsid w:val="00AA58DD"/>
    <w:rsid w:val="00AA58E1"/>
    <w:rsid w:val="00AA58FA"/>
    <w:rsid w:val="00AA5966"/>
    <w:rsid w:val="00AA59A1"/>
    <w:rsid w:val="00AA59A2"/>
    <w:rsid w:val="00AA59AD"/>
    <w:rsid w:val="00AA5A3B"/>
    <w:rsid w:val="00AA5A73"/>
    <w:rsid w:val="00AA5B34"/>
    <w:rsid w:val="00AA5B83"/>
    <w:rsid w:val="00AA5C00"/>
    <w:rsid w:val="00AA5C1B"/>
    <w:rsid w:val="00AA5C3A"/>
    <w:rsid w:val="00AA5CB2"/>
    <w:rsid w:val="00AA5CED"/>
    <w:rsid w:val="00AA5D16"/>
    <w:rsid w:val="00AA5D24"/>
    <w:rsid w:val="00AA5D5A"/>
    <w:rsid w:val="00AA5DB3"/>
    <w:rsid w:val="00AA5DF4"/>
    <w:rsid w:val="00AA5E00"/>
    <w:rsid w:val="00AA5E7E"/>
    <w:rsid w:val="00AA5E88"/>
    <w:rsid w:val="00AA5EAA"/>
    <w:rsid w:val="00AA5EAE"/>
    <w:rsid w:val="00AA5ECB"/>
    <w:rsid w:val="00AA5F24"/>
    <w:rsid w:val="00AA5F41"/>
    <w:rsid w:val="00AA5F5C"/>
    <w:rsid w:val="00AA5F8C"/>
    <w:rsid w:val="00AA5FB0"/>
    <w:rsid w:val="00AA5FBF"/>
    <w:rsid w:val="00AA5FFD"/>
    <w:rsid w:val="00AA6007"/>
    <w:rsid w:val="00AA6023"/>
    <w:rsid w:val="00AA604D"/>
    <w:rsid w:val="00AA606C"/>
    <w:rsid w:val="00AA6070"/>
    <w:rsid w:val="00AA6075"/>
    <w:rsid w:val="00AA609D"/>
    <w:rsid w:val="00AA60AC"/>
    <w:rsid w:val="00AA6156"/>
    <w:rsid w:val="00AA616E"/>
    <w:rsid w:val="00AA6197"/>
    <w:rsid w:val="00AA622A"/>
    <w:rsid w:val="00AA624C"/>
    <w:rsid w:val="00AA6250"/>
    <w:rsid w:val="00AA6262"/>
    <w:rsid w:val="00AA6349"/>
    <w:rsid w:val="00AA6363"/>
    <w:rsid w:val="00AA63E9"/>
    <w:rsid w:val="00AA63EA"/>
    <w:rsid w:val="00AA6449"/>
    <w:rsid w:val="00AA6486"/>
    <w:rsid w:val="00AA64C5"/>
    <w:rsid w:val="00AA6513"/>
    <w:rsid w:val="00AA6556"/>
    <w:rsid w:val="00AA655E"/>
    <w:rsid w:val="00AA657C"/>
    <w:rsid w:val="00AA65F3"/>
    <w:rsid w:val="00AA6670"/>
    <w:rsid w:val="00AA667F"/>
    <w:rsid w:val="00AA66CB"/>
    <w:rsid w:val="00AA66ED"/>
    <w:rsid w:val="00AA670F"/>
    <w:rsid w:val="00AA67E4"/>
    <w:rsid w:val="00AA6805"/>
    <w:rsid w:val="00AA6817"/>
    <w:rsid w:val="00AA683B"/>
    <w:rsid w:val="00AA684E"/>
    <w:rsid w:val="00AA6869"/>
    <w:rsid w:val="00AA68BE"/>
    <w:rsid w:val="00AA68D7"/>
    <w:rsid w:val="00AA6999"/>
    <w:rsid w:val="00AA69B5"/>
    <w:rsid w:val="00AA69FC"/>
    <w:rsid w:val="00AA6B29"/>
    <w:rsid w:val="00AA6BFF"/>
    <w:rsid w:val="00AA6C15"/>
    <w:rsid w:val="00AA6C45"/>
    <w:rsid w:val="00AA6C62"/>
    <w:rsid w:val="00AA6C66"/>
    <w:rsid w:val="00AA6D28"/>
    <w:rsid w:val="00AA6D87"/>
    <w:rsid w:val="00AA6DF7"/>
    <w:rsid w:val="00AA6E0F"/>
    <w:rsid w:val="00AA6E12"/>
    <w:rsid w:val="00AA6E14"/>
    <w:rsid w:val="00AA6E23"/>
    <w:rsid w:val="00AA6E41"/>
    <w:rsid w:val="00AA6E61"/>
    <w:rsid w:val="00AA6E67"/>
    <w:rsid w:val="00AA6E7E"/>
    <w:rsid w:val="00AA6E87"/>
    <w:rsid w:val="00AA6EB9"/>
    <w:rsid w:val="00AA6EE2"/>
    <w:rsid w:val="00AA6EF9"/>
    <w:rsid w:val="00AA6F8E"/>
    <w:rsid w:val="00AA6FAE"/>
    <w:rsid w:val="00AA6FDD"/>
    <w:rsid w:val="00AA7006"/>
    <w:rsid w:val="00AA7070"/>
    <w:rsid w:val="00AA7174"/>
    <w:rsid w:val="00AA71B7"/>
    <w:rsid w:val="00AA7258"/>
    <w:rsid w:val="00AA731F"/>
    <w:rsid w:val="00AA7336"/>
    <w:rsid w:val="00AA7368"/>
    <w:rsid w:val="00AA738C"/>
    <w:rsid w:val="00AA73B8"/>
    <w:rsid w:val="00AA73FD"/>
    <w:rsid w:val="00AA7435"/>
    <w:rsid w:val="00AA74B0"/>
    <w:rsid w:val="00AA7504"/>
    <w:rsid w:val="00AA7506"/>
    <w:rsid w:val="00AA7517"/>
    <w:rsid w:val="00AA7524"/>
    <w:rsid w:val="00AA75BC"/>
    <w:rsid w:val="00AA7629"/>
    <w:rsid w:val="00AA767F"/>
    <w:rsid w:val="00AA76B8"/>
    <w:rsid w:val="00AA76FF"/>
    <w:rsid w:val="00AA7723"/>
    <w:rsid w:val="00AA7760"/>
    <w:rsid w:val="00AA7796"/>
    <w:rsid w:val="00AA7798"/>
    <w:rsid w:val="00AA77B1"/>
    <w:rsid w:val="00AA77BD"/>
    <w:rsid w:val="00AA77DB"/>
    <w:rsid w:val="00AA77F8"/>
    <w:rsid w:val="00AA7802"/>
    <w:rsid w:val="00AA780C"/>
    <w:rsid w:val="00AA785A"/>
    <w:rsid w:val="00AA7871"/>
    <w:rsid w:val="00AA78A2"/>
    <w:rsid w:val="00AA78A9"/>
    <w:rsid w:val="00AA78CB"/>
    <w:rsid w:val="00AA78D0"/>
    <w:rsid w:val="00AA7908"/>
    <w:rsid w:val="00AA7931"/>
    <w:rsid w:val="00AA7936"/>
    <w:rsid w:val="00AA798C"/>
    <w:rsid w:val="00AA79A9"/>
    <w:rsid w:val="00AA7A21"/>
    <w:rsid w:val="00AA7B00"/>
    <w:rsid w:val="00AA7B8B"/>
    <w:rsid w:val="00AA7B8F"/>
    <w:rsid w:val="00AA7BAE"/>
    <w:rsid w:val="00AA7C32"/>
    <w:rsid w:val="00AA7C72"/>
    <w:rsid w:val="00AA7CA3"/>
    <w:rsid w:val="00AA7D00"/>
    <w:rsid w:val="00AA7D1B"/>
    <w:rsid w:val="00AA7D8C"/>
    <w:rsid w:val="00AA7DE4"/>
    <w:rsid w:val="00AA7E04"/>
    <w:rsid w:val="00AA7EFF"/>
    <w:rsid w:val="00AA7F2E"/>
    <w:rsid w:val="00AA7F69"/>
    <w:rsid w:val="00AA7FD1"/>
    <w:rsid w:val="00AB0017"/>
    <w:rsid w:val="00AB005E"/>
    <w:rsid w:val="00AB0069"/>
    <w:rsid w:val="00AB00DB"/>
    <w:rsid w:val="00AB0131"/>
    <w:rsid w:val="00AB0143"/>
    <w:rsid w:val="00AB0169"/>
    <w:rsid w:val="00AB0172"/>
    <w:rsid w:val="00AB01DD"/>
    <w:rsid w:val="00AB0206"/>
    <w:rsid w:val="00AB0222"/>
    <w:rsid w:val="00AB029D"/>
    <w:rsid w:val="00AB0313"/>
    <w:rsid w:val="00AB0339"/>
    <w:rsid w:val="00AB0373"/>
    <w:rsid w:val="00AB0374"/>
    <w:rsid w:val="00AB03AA"/>
    <w:rsid w:val="00AB03DB"/>
    <w:rsid w:val="00AB0419"/>
    <w:rsid w:val="00AB047C"/>
    <w:rsid w:val="00AB0500"/>
    <w:rsid w:val="00AB0578"/>
    <w:rsid w:val="00AB0586"/>
    <w:rsid w:val="00AB0589"/>
    <w:rsid w:val="00AB0620"/>
    <w:rsid w:val="00AB0647"/>
    <w:rsid w:val="00AB0679"/>
    <w:rsid w:val="00AB06E2"/>
    <w:rsid w:val="00AB06ED"/>
    <w:rsid w:val="00AB0701"/>
    <w:rsid w:val="00AB0708"/>
    <w:rsid w:val="00AB071A"/>
    <w:rsid w:val="00AB073E"/>
    <w:rsid w:val="00AB081E"/>
    <w:rsid w:val="00AB0860"/>
    <w:rsid w:val="00AB08F0"/>
    <w:rsid w:val="00AB0912"/>
    <w:rsid w:val="00AB0949"/>
    <w:rsid w:val="00AB094C"/>
    <w:rsid w:val="00AB096E"/>
    <w:rsid w:val="00AB09A1"/>
    <w:rsid w:val="00AB09AB"/>
    <w:rsid w:val="00AB09D6"/>
    <w:rsid w:val="00AB09EA"/>
    <w:rsid w:val="00AB09F6"/>
    <w:rsid w:val="00AB0A1D"/>
    <w:rsid w:val="00AB0A39"/>
    <w:rsid w:val="00AB0A98"/>
    <w:rsid w:val="00AB0ACB"/>
    <w:rsid w:val="00AB0B02"/>
    <w:rsid w:val="00AB0B08"/>
    <w:rsid w:val="00AB0B0F"/>
    <w:rsid w:val="00AB0B9C"/>
    <w:rsid w:val="00AB0BE5"/>
    <w:rsid w:val="00AB0BF2"/>
    <w:rsid w:val="00AB0C50"/>
    <w:rsid w:val="00AB0C68"/>
    <w:rsid w:val="00AB0CE1"/>
    <w:rsid w:val="00AB0D1A"/>
    <w:rsid w:val="00AB0D4C"/>
    <w:rsid w:val="00AB0DC3"/>
    <w:rsid w:val="00AB0DF0"/>
    <w:rsid w:val="00AB0E9E"/>
    <w:rsid w:val="00AB0F40"/>
    <w:rsid w:val="00AB0F43"/>
    <w:rsid w:val="00AB0FE2"/>
    <w:rsid w:val="00AB108F"/>
    <w:rsid w:val="00AB10FE"/>
    <w:rsid w:val="00AB1159"/>
    <w:rsid w:val="00AB1174"/>
    <w:rsid w:val="00AB1221"/>
    <w:rsid w:val="00AB1228"/>
    <w:rsid w:val="00AB1234"/>
    <w:rsid w:val="00AB12A5"/>
    <w:rsid w:val="00AB12B7"/>
    <w:rsid w:val="00AB1311"/>
    <w:rsid w:val="00AB1326"/>
    <w:rsid w:val="00AB13D1"/>
    <w:rsid w:val="00AB13D4"/>
    <w:rsid w:val="00AB1412"/>
    <w:rsid w:val="00AB1417"/>
    <w:rsid w:val="00AB1424"/>
    <w:rsid w:val="00AB1473"/>
    <w:rsid w:val="00AB149F"/>
    <w:rsid w:val="00AB14AB"/>
    <w:rsid w:val="00AB1579"/>
    <w:rsid w:val="00AB1658"/>
    <w:rsid w:val="00AB1662"/>
    <w:rsid w:val="00AB1678"/>
    <w:rsid w:val="00AB167A"/>
    <w:rsid w:val="00AB16DE"/>
    <w:rsid w:val="00AB16E0"/>
    <w:rsid w:val="00AB17B2"/>
    <w:rsid w:val="00AB180B"/>
    <w:rsid w:val="00AB1867"/>
    <w:rsid w:val="00AB194C"/>
    <w:rsid w:val="00AB1954"/>
    <w:rsid w:val="00AB19B4"/>
    <w:rsid w:val="00AB19C9"/>
    <w:rsid w:val="00AB19D1"/>
    <w:rsid w:val="00AB19F7"/>
    <w:rsid w:val="00AB1A55"/>
    <w:rsid w:val="00AB1A62"/>
    <w:rsid w:val="00AB1AFB"/>
    <w:rsid w:val="00AB1B03"/>
    <w:rsid w:val="00AB1B1F"/>
    <w:rsid w:val="00AB1B26"/>
    <w:rsid w:val="00AB1B30"/>
    <w:rsid w:val="00AB1B4A"/>
    <w:rsid w:val="00AB1B4C"/>
    <w:rsid w:val="00AB1B6C"/>
    <w:rsid w:val="00AB1C14"/>
    <w:rsid w:val="00AB1C23"/>
    <w:rsid w:val="00AB1C44"/>
    <w:rsid w:val="00AB1D32"/>
    <w:rsid w:val="00AB1DE5"/>
    <w:rsid w:val="00AB1E44"/>
    <w:rsid w:val="00AB1E49"/>
    <w:rsid w:val="00AB1E8E"/>
    <w:rsid w:val="00AB1E8F"/>
    <w:rsid w:val="00AB1EEF"/>
    <w:rsid w:val="00AB1FED"/>
    <w:rsid w:val="00AB1FF3"/>
    <w:rsid w:val="00AB1FFA"/>
    <w:rsid w:val="00AB200B"/>
    <w:rsid w:val="00AB2072"/>
    <w:rsid w:val="00AB2138"/>
    <w:rsid w:val="00AB21B8"/>
    <w:rsid w:val="00AB21C5"/>
    <w:rsid w:val="00AB21D9"/>
    <w:rsid w:val="00AB2207"/>
    <w:rsid w:val="00AB220E"/>
    <w:rsid w:val="00AB22BA"/>
    <w:rsid w:val="00AB22D7"/>
    <w:rsid w:val="00AB22DF"/>
    <w:rsid w:val="00AB239D"/>
    <w:rsid w:val="00AB23C5"/>
    <w:rsid w:val="00AB23EE"/>
    <w:rsid w:val="00AB23F0"/>
    <w:rsid w:val="00AB2585"/>
    <w:rsid w:val="00AB25ED"/>
    <w:rsid w:val="00AB2623"/>
    <w:rsid w:val="00AB2628"/>
    <w:rsid w:val="00AB264A"/>
    <w:rsid w:val="00AB2653"/>
    <w:rsid w:val="00AB2697"/>
    <w:rsid w:val="00AB26AC"/>
    <w:rsid w:val="00AB26ED"/>
    <w:rsid w:val="00AB2757"/>
    <w:rsid w:val="00AB2783"/>
    <w:rsid w:val="00AB2792"/>
    <w:rsid w:val="00AB27A6"/>
    <w:rsid w:val="00AB27AB"/>
    <w:rsid w:val="00AB27E1"/>
    <w:rsid w:val="00AB27FB"/>
    <w:rsid w:val="00AB2876"/>
    <w:rsid w:val="00AB288E"/>
    <w:rsid w:val="00AB289B"/>
    <w:rsid w:val="00AB28C8"/>
    <w:rsid w:val="00AB28D6"/>
    <w:rsid w:val="00AB28FA"/>
    <w:rsid w:val="00AB29FC"/>
    <w:rsid w:val="00AB29FD"/>
    <w:rsid w:val="00AB2A29"/>
    <w:rsid w:val="00AB2A32"/>
    <w:rsid w:val="00AB2A5D"/>
    <w:rsid w:val="00AB2A8E"/>
    <w:rsid w:val="00AB2B05"/>
    <w:rsid w:val="00AB2BCB"/>
    <w:rsid w:val="00AB2BE6"/>
    <w:rsid w:val="00AB2BFD"/>
    <w:rsid w:val="00AB2C51"/>
    <w:rsid w:val="00AB2C6D"/>
    <w:rsid w:val="00AB2C81"/>
    <w:rsid w:val="00AB2CA2"/>
    <w:rsid w:val="00AB2DAF"/>
    <w:rsid w:val="00AB2DCC"/>
    <w:rsid w:val="00AB2EAD"/>
    <w:rsid w:val="00AB2EB3"/>
    <w:rsid w:val="00AB2ED6"/>
    <w:rsid w:val="00AB2F50"/>
    <w:rsid w:val="00AB2F93"/>
    <w:rsid w:val="00AB2FA8"/>
    <w:rsid w:val="00AB2FB0"/>
    <w:rsid w:val="00AB2FBB"/>
    <w:rsid w:val="00AB2FC3"/>
    <w:rsid w:val="00AB2FF4"/>
    <w:rsid w:val="00AB306D"/>
    <w:rsid w:val="00AB30DF"/>
    <w:rsid w:val="00AB3154"/>
    <w:rsid w:val="00AB3155"/>
    <w:rsid w:val="00AB3279"/>
    <w:rsid w:val="00AB327E"/>
    <w:rsid w:val="00AB32C0"/>
    <w:rsid w:val="00AB332E"/>
    <w:rsid w:val="00AB33A1"/>
    <w:rsid w:val="00AB33FF"/>
    <w:rsid w:val="00AB3409"/>
    <w:rsid w:val="00AB3410"/>
    <w:rsid w:val="00AB3412"/>
    <w:rsid w:val="00AB3480"/>
    <w:rsid w:val="00AB3492"/>
    <w:rsid w:val="00AB34A6"/>
    <w:rsid w:val="00AB34C3"/>
    <w:rsid w:val="00AB34C5"/>
    <w:rsid w:val="00AB34E5"/>
    <w:rsid w:val="00AB3559"/>
    <w:rsid w:val="00AB359F"/>
    <w:rsid w:val="00AB35AF"/>
    <w:rsid w:val="00AB35B9"/>
    <w:rsid w:val="00AB35C6"/>
    <w:rsid w:val="00AB35CC"/>
    <w:rsid w:val="00AB360B"/>
    <w:rsid w:val="00AB3647"/>
    <w:rsid w:val="00AB3660"/>
    <w:rsid w:val="00AB366F"/>
    <w:rsid w:val="00AB369E"/>
    <w:rsid w:val="00AB36BB"/>
    <w:rsid w:val="00AB371E"/>
    <w:rsid w:val="00AB375E"/>
    <w:rsid w:val="00AB3774"/>
    <w:rsid w:val="00AB37A0"/>
    <w:rsid w:val="00AB37C1"/>
    <w:rsid w:val="00AB3829"/>
    <w:rsid w:val="00AB382D"/>
    <w:rsid w:val="00AB386E"/>
    <w:rsid w:val="00AB38C0"/>
    <w:rsid w:val="00AB3906"/>
    <w:rsid w:val="00AB3923"/>
    <w:rsid w:val="00AB3985"/>
    <w:rsid w:val="00AB39D7"/>
    <w:rsid w:val="00AB39F1"/>
    <w:rsid w:val="00AB3A08"/>
    <w:rsid w:val="00AB3A13"/>
    <w:rsid w:val="00AB3A5F"/>
    <w:rsid w:val="00AB3A7C"/>
    <w:rsid w:val="00AB3A89"/>
    <w:rsid w:val="00AB3A8A"/>
    <w:rsid w:val="00AB3AE8"/>
    <w:rsid w:val="00AB3AF4"/>
    <w:rsid w:val="00AB3AF5"/>
    <w:rsid w:val="00AB3C45"/>
    <w:rsid w:val="00AB3C52"/>
    <w:rsid w:val="00AB3C91"/>
    <w:rsid w:val="00AB3CBC"/>
    <w:rsid w:val="00AB3D90"/>
    <w:rsid w:val="00AB3DA2"/>
    <w:rsid w:val="00AB3DA8"/>
    <w:rsid w:val="00AB3DD7"/>
    <w:rsid w:val="00AB3E13"/>
    <w:rsid w:val="00AB3E3B"/>
    <w:rsid w:val="00AB3EBC"/>
    <w:rsid w:val="00AB3F14"/>
    <w:rsid w:val="00AB3F74"/>
    <w:rsid w:val="00AB3F93"/>
    <w:rsid w:val="00AB3F94"/>
    <w:rsid w:val="00AB3FC5"/>
    <w:rsid w:val="00AB408D"/>
    <w:rsid w:val="00AB4095"/>
    <w:rsid w:val="00AB409F"/>
    <w:rsid w:val="00AB40B5"/>
    <w:rsid w:val="00AB40E1"/>
    <w:rsid w:val="00AB4113"/>
    <w:rsid w:val="00AB413D"/>
    <w:rsid w:val="00AB4173"/>
    <w:rsid w:val="00AB4192"/>
    <w:rsid w:val="00AB41D1"/>
    <w:rsid w:val="00AB41FE"/>
    <w:rsid w:val="00AB4217"/>
    <w:rsid w:val="00AB4227"/>
    <w:rsid w:val="00AB4233"/>
    <w:rsid w:val="00AB4247"/>
    <w:rsid w:val="00AB42B9"/>
    <w:rsid w:val="00AB42F2"/>
    <w:rsid w:val="00AB437E"/>
    <w:rsid w:val="00AB438C"/>
    <w:rsid w:val="00AB43B2"/>
    <w:rsid w:val="00AB43C5"/>
    <w:rsid w:val="00AB43E3"/>
    <w:rsid w:val="00AB43F1"/>
    <w:rsid w:val="00AB444F"/>
    <w:rsid w:val="00AB448A"/>
    <w:rsid w:val="00AB452F"/>
    <w:rsid w:val="00AB4572"/>
    <w:rsid w:val="00AB464A"/>
    <w:rsid w:val="00AB4666"/>
    <w:rsid w:val="00AB469D"/>
    <w:rsid w:val="00AB46A1"/>
    <w:rsid w:val="00AB4718"/>
    <w:rsid w:val="00AB473E"/>
    <w:rsid w:val="00AB475D"/>
    <w:rsid w:val="00AB4768"/>
    <w:rsid w:val="00AB478F"/>
    <w:rsid w:val="00AB47D4"/>
    <w:rsid w:val="00AB487B"/>
    <w:rsid w:val="00AB4894"/>
    <w:rsid w:val="00AB4899"/>
    <w:rsid w:val="00AB48DA"/>
    <w:rsid w:val="00AB4948"/>
    <w:rsid w:val="00AB4967"/>
    <w:rsid w:val="00AB4980"/>
    <w:rsid w:val="00AB4996"/>
    <w:rsid w:val="00AB49C0"/>
    <w:rsid w:val="00AB49DE"/>
    <w:rsid w:val="00AB4B0C"/>
    <w:rsid w:val="00AB4B88"/>
    <w:rsid w:val="00AB4B8B"/>
    <w:rsid w:val="00AB4BA7"/>
    <w:rsid w:val="00AB4D45"/>
    <w:rsid w:val="00AB4D60"/>
    <w:rsid w:val="00AB4DDE"/>
    <w:rsid w:val="00AB4E02"/>
    <w:rsid w:val="00AB4E1F"/>
    <w:rsid w:val="00AB4E44"/>
    <w:rsid w:val="00AB4E79"/>
    <w:rsid w:val="00AB4E86"/>
    <w:rsid w:val="00AB4F0B"/>
    <w:rsid w:val="00AB4F31"/>
    <w:rsid w:val="00AB4F44"/>
    <w:rsid w:val="00AB4F61"/>
    <w:rsid w:val="00AB4FDA"/>
    <w:rsid w:val="00AB4FF5"/>
    <w:rsid w:val="00AB5010"/>
    <w:rsid w:val="00AB5020"/>
    <w:rsid w:val="00AB5049"/>
    <w:rsid w:val="00AB50B8"/>
    <w:rsid w:val="00AB50E5"/>
    <w:rsid w:val="00AB51FA"/>
    <w:rsid w:val="00AB5205"/>
    <w:rsid w:val="00AB5255"/>
    <w:rsid w:val="00AB5322"/>
    <w:rsid w:val="00AB53A5"/>
    <w:rsid w:val="00AB53C7"/>
    <w:rsid w:val="00AB5410"/>
    <w:rsid w:val="00AB5431"/>
    <w:rsid w:val="00AB5432"/>
    <w:rsid w:val="00AB5462"/>
    <w:rsid w:val="00AB54A5"/>
    <w:rsid w:val="00AB552E"/>
    <w:rsid w:val="00AB553B"/>
    <w:rsid w:val="00AB555C"/>
    <w:rsid w:val="00AB5572"/>
    <w:rsid w:val="00AB55E1"/>
    <w:rsid w:val="00AB5655"/>
    <w:rsid w:val="00AB56B4"/>
    <w:rsid w:val="00AB570B"/>
    <w:rsid w:val="00AB5754"/>
    <w:rsid w:val="00AB5784"/>
    <w:rsid w:val="00AB5787"/>
    <w:rsid w:val="00AB57A2"/>
    <w:rsid w:val="00AB57B0"/>
    <w:rsid w:val="00AB57BB"/>
    <w:rsid w:val="00AB5829"/>
    <w:rsid w:val="00AB585B"/>
    <w:rsid w:val="00AB5881"/>
    <w:rsid w:val="00AB58BC"/>
    <w:rsid w:val="00AB5A00"/>
    <w:rsid w:val="00AB5A2D"/>
    <w:rsid w:val="00AB5A63"/>
    <w:rsid w:val="00AB5AA0"/>
    <w:rsid w:val="00AB5AF8"/>
    <w:rsid w:val="00AB5B1E"/>
    <w:rsid w:val="00AB5B7E"/>
    <w:rsid w:val="00AB5BD5"/>
    <w:rsid w:val="00AB5C30"/>
    <w:rsid w:val="00AB5C7A"/>
    <w:rsid w:val="00AB5CB4"/>
    <w:rsid w:val="00AB5D52"/>
    <w:rsid w:val="00AB5DA4"/>
    <w:rsid w:val="00AB5DF5"/>
    <w:rsid w:val="00AB5E1F"/>
    <w:rsid w:val="00AB5E69"/>
    <w:rsid w:val="00AB5EEC"/>
    <w:rsid w:val="00AB5F0A"/>
    <w:rsid w:val="00AB5F0C"/>
    <w:rsid w:val="00AB5F58"/>
    <w:rsid w:val="00AB5F9A"/>
    <w:rsid w:val="00AB6045"/>
    <w:rsid w:val="00AB60A7"/>
    <w:rsid w:val="00AB6119"/>
    <w:rsid w:val="00AB614D"/>
    <w:rsid w:val="00AB6185"/>
    <w:rsid w:val="00AB61B4"/>
    <w:rsid w:val="00AB61DD"/>
    <w:rsid w:val="00AB622F"/>
    <w:rsid w:val="00AB625B"/>
    <w:rsid w:val="00AB6279"/>
    <w:rsid w:val="00AB62A6"/>
    <w:rsid w:val="00AB62BE"/>
    <w:rsid w:val="00AB6301"/>
    <w:rsid w:val="00AB63A9"/>
    <w:rsid w:val="00AB63CE"/>
    <w:rsid w:val="00AB640A"/>
    <w:rsid w:val="00AB643F"/>
    <w:rsid w:val="00AB64CA"/>
    <w:rsid w:val="00AB64EA"/>
    <w:rsid w:val="00AB6515"/>
    <w:rsid w:val="00AB6581"/>
    <w:rsid w:val="00AB6596"/>
    <w:rsid w:val="00AB65A0"/>
    <w:rsid w:val="00AB65C0"/>
    <w:rsid w:val="00AB6607"/>
    <w:rsid w:val="00AB6631"/>
    <w:rsid w:val="00AB66FB"/>
    <w:rsid w:val="00AB672B"/>
    <w:rsid w:val="00AB6844"/>
    <w:rsid w:val="00AB686D"/>
    <w:rsid w:val="00AB68FD"/>
    <w:rsid w:val="00AB6913"/>
    <w:rsid w:val="00AB6977"/>
    <w:rsid w:val="00AB699B"/>
    <w:rsid w:val="00AB6A18"/>
    <w:rsid w:val="00AB6A7A"/>
    <w:rsid w:val="00AB6AC1"/>
    <w:rsid w:val="00AB6AF6"/>
    <w:rsid w:val="00AB6AF7"/>
    <w:rsid w:val="00AB6AFC"/>
    <w:rsid w:val="00AB6B07"/>
    <w:rsid w:val="00AB6B0A"/>
    <w:rsid w:val="00AB6BF1"/>
    <w:rsid w:val="00AB6C26"/>
    <w:rsid w:val="00AB6C4D"/>
    <w:rsid w:val="00AB6C81"/>
    <w:rsid w:val="00AB6C86"/>
    <w:rsid w:val="00AB6C9F"/>
    <w:rsid w:val="00AB6CAC"/>
    <w:rsid w:val="00AB6CB6"/>
    <w:rsid w:val="00AB6CCF"/>
    <w:rsid w:val="00AB6CE5"/>
    <w:rsid w:val="00AB6CF2"/>
    <w:rsid w:val="00AB6D66"/>
    <w:rsid w:val="00AB6DB9"/>
    <w:rsid w:val="00AB6DCB"/>
    <w:rsid w:val="00AB6DCE"/>
    <w:rsid w:val="00AB6DE5"/>
    <w:rsid w:val="00AB6DFD"/>
    <w:rsid w:val="00AB6E63"/>
    <w:rsid w:val="00AB6EBD"/>
    <w:rsid w:val="00AB6ED6"/>
    <w:rsid w:val="00AB6EFC"/>
    <w:rsid w:val="00AB6F02"/>
    <w:rsid w:val="00AB7038"/>
    <w:rsid w:val="00AB7047"/>
    <w:rsid w:val="00AB70C0"/>
    <w:rsid w:val="00AB70C5"/>
    <w:rsid w:val="00AB70D6"/>
    <w:rsid w:val="00AB70F7"/>
    <w:rsid w:val="00AB710D"/>
    <w:rsid w:val="00AB71A0"/>
    <w:rsid w:val="00AB71B2"/>
    <w:rsid w:val="00AB71EF"/>
    <w:rsid w:val="00AB7242"/>
    <w:rsid w:val="00AB725C"/>
    <w:rsid w:val="00AB729A"/>
    <w:rsid w:val="00AB7318"/>
    <w:rsid w:val="00AB7335"/>
    <w:rsid w:val="00AB74A1"/>
    <w:rsid w:val="00AB74BC"/>
    <w:rsid w:val="00AB7543"/>
    <w:rsid w:val="00AB755D"/>
    <w:rsid w:val="00AB75C3"/>
    <w:rsid w:val="00AB75FE"/>
    <w:rsid w:val="00AB7687"/>
    <w:rsid w:val="00AB769D"/>
    <w:rsid w:val="00AB76B0"/>
    <w:rsid w:val="00AB76C0"/>
    <w:rsid w:val="00AB76DF"/>
    <w:rsid w:val="00AB7776"/>
    <w:rsid w:val="00AB777F"/>
    <w:rsid w:val="00AB7797"/>
    <w:rsid w:val="00AB77C8"/>
    <w:rsid w:val="00AB77DA"/>
    <w:rsid w:val="00AB77ED"/>
    <w:rsid w:val="00AB7894"/>
    <w:rsid w:val="00AB78E6"/>
    <w:rsid w:val="00AB7951"/>
    <w:rsid w:val="00AB79B7"/>
    <w:rsid w:val="00AB7A05"/>
    <w:rsid w:val="00AB7A1A"/>
    <w:rsid w:val="00AB7A37"/>
    <w:rsid w:val="00AB7A86"/>
    <w:rsid w:val="00AB7AEF"/>
    <w:rsid w:val="00AB7B72"/>
    <w:rsid w:val="00AB7C55"/>
    <w:rsid w:val="00AB7CDA"/>
    <w:rsid w:val="00AB7CED"/>
    <w:rsid w:val="00AB7D02"/>
    <w:rsid w:val="00AB7D31"/>
    <w:rsid w:val="00AB7DB5"/>
    <w:rsid w:val="00AB7E65"/>
    <w:rsid w:val="00AB7E79"/>
    <w:rsid w:val="00AB7EB3"/>
    <w:rsid w:val="00AB7ED8"/>
    <w:rsid w:val="00AB7EE4"/>
    <w:rsid w:val="00AB7F18"/>
    <w:rsid w:val="00AB7F57"/>
    <w:rsid w:val="00AB7FD8"/>
    <w:rsid w:val="00AC0070"/>
    <w:rsid w:val="00AC0189"/>
    <w:rsid w:val="00AC018B"/>
    <w:rsid w:val="00AC0223"/>
    <w:rsid w:val="00AC02A5"/>
    <w:rsid w:val="00AC02C4"/>
    <w:rsid w:val="00AC02EF"/>
    <w:rsid w:val="00AC031C"/>
    <w:rsid w:val="00AC0324"/>
    <w:rsid w:val="00AC03BF"/>
    <w:rsid w:val="00AC03F9"/>
    <w:rsid w:val="00AC0406"/>
    <w:rsid w:val="00AC040B"/>
    <w:rsid w:val="00AC043C"/>
    <w:rsid w:val="00AC04C6"/>
    <w:rsid w:val="00AC0517"/>
    <w:rsid w:val="00AC054B"/>
    <w:rsid w:val="00AC0551"/>
    <w:rsid w:val="00AC0594"/>
    <w:rsid w:val="00AC05CD"/>
    <w:rsid w:val="00AC0608"/>
    <w:rsid w:val="00AC0646"/>
    <w:rsid w:val="00AC0684"/>
    <w:rsid w:val="00AC0686"/>
    <w:rsid w:val="00AC0705"/>
    <w:rsid w:val="00AC0744"/>
    <w:rsid w:val="00AC0746"/>
    <w:rsid w:val="00AC0786"/>
    <w:rsid w:val="00AC078D"/>
    <w:rsid w:val="00AC0850"/>
    <w:rsid w:val="00AC0851"/>
    <w:rsid w:val="00AC087F"/>
    <w:rsid w:val="00AC08AC"/>
    <w:rsid w:val="00AC08D5"/>
    <w:rsid w:val="00AC090D"/>
    <w:rsid w:val="00AC093E"/>
    <w:rsid w:val="00AC0948"/>
    <w:rsid w:val="00AC09F2"/>
    <w:rsid w:val="00AC0AB4"/>
    <w:rsid w:val="00AC0AF6"/>
    <w:rsid w:val="00AC0B42"/>
    <w:rsid w:val="00AC0B96"/>
    <w:rsid w:val="00AC0BED"/>
    <w:rsid w:val="00AC0C28"/>
    <w:rsid w:val="00AC0C4D"/>
    <w:rsid w:val="00AC0C7A"/>
    <w:rsid w:val="00AC0CA3"/>
    <w:rsid w:val="00AC0CAB"/>
    <w:rsid w:val="00AC0D1C"/>
    <w:rsid w:val="00AC0D3D"/>
    <w:rsid w:val="00AC0D51"/>
    <w:rsid w:val="00AC0D8C"/>
    <w:rsid w:val="00AC0E57"/>
    <w:rsid w:val="00AC0E87"/>
    <w:rsid w:val="00AC0EE5"/>
    <w:rsid w:val="00AC0EF3"/>
    <w:rsid w:val="00AC0F5C"/>
    <w:rsid w:val="00AC0FBA"/>
    <w:rsid w:val="00AC0FE9"/>
    <w:rsid w:val="00AC1006"/>
    <w:rsid w:val="00AC103C"/>
    <w:rsid w:val="00AC1089"/>
    <w:rsid w:val="00AC118F"/>
    <w:rsid w:val="00AC11FF"/>
    <w:rsid w:val="00AC1249"/>
    <w:rsid w:val="00AC127E"/>
    <w:rsid w:val="00AC12D0"/>
    <w:rsid w:val="00AC133D"/>
    <w:rsid w:val="00AC138F"/>
    <w:rsid w:val="00AC13B4"/>
    <w:rsid w:val="00AC13C0"/>
    <w:rsid w:val="00AC13F4"/>
    <w:rsid w:val="00AC140F"/>
    <w:rsid w:val="00AC1437"/>
    <w:rsid w:val="00AC1480"/>
    <w:rsid w:val="00AC1493"/>
    <w:rsid w:val="00AC1564"/>
    <w:rsid w:val="00AC156B"/>
    <w:rsid w:val="00AC15BF"/>
    <w:rsid w:val="00AC168B"/>
    <w:rsid w:val="00AC16F2"/>
    <w:rsid w:val="00AC1767"/>
    <w:rsid w:val="00AC1777"/>
    <w:rsid w:val="00AC1814"/>
    <w:rsid w:val="00AC1838"/>
    <w:rsid w:val="00AC1887"/>
    <w:rsid w:val="00AC18B8"/>
    <w:rsid w:val="00AC18D9"/>
    <w:rsid w:val="00AC1933"/>
    <w:rsid w:val="00AC19FD"/>
    <w:rsid w:val="00AC1A9A"/>
    <w:rsid w:val="00AC1AE8"/>
    <w:rsid w:val="00AC1B3A"/>
    <w:rsid w:val="00AC1B9D"/>
    <w:rsid w:val="00AC1BAE"/>
    <w:rsid w:val="00AC1BC5"/>
    <w:rsid w:val="00AC1C45"/>
    <w:rsid w:val="00AC1C4E"/>
    <w:rsid w:val="00AC1C53"/>
    <w:rsid w:val="00AC1CA8"/>
    <w:rsid w:val="00AC1CAB"/>
    <w:rsid w:val="00AC1CC7"/>
    <w:rsid w:val="00AC1CD6"/>
    <w:rsid w:val="00AC1D68"/>
    <w:rsid w:val="00AC1D6C"/>
    <w:rsid w:val="00AC1D9A"/>
    <w:rsid w:val="00AC1DD8"/>
    <w:rsid w:val="00AC1DE5"/>
    <w:rsid w:val="00AC1DE9"/>
    <w:rsid w:val="00AC1DEF"/>
    <w:rsid w:val="00AC1E3A"/>
    <w:rsid w:val="00AC1E98"/>
    <w:rsid w:val="00AC1EEB"/>
    <w:rsid w:val="00AC1F2C"/>
    <w:rsid w:val="00AC1FB5"/>
    <w:rsid w:val="00AC1FFD"/>
    <w:rsid w:val="00AC2006"/>
    <w:rsid w:val="00AC2013"/>
    <w:rsid w:val="00AC2054"/>
    <w:rsid w:val="00AC2062"/>
    <w:rsid w:val="00AC2078"/>
    <w:rsid w:val="00AC2094"/>
    <w:rsid w:val="00AC20E8"/>
    <w:rsid w:val="00AC2137"/>
    <w:rsid w:val="00AC213B"/>
    <w:rsid w:val="00AC2172"/>
    <w:rsid w:val="00AC21E4"/>
    <w:rsid w:val="00AC2290"/>
    <w:rsid w:val="00AC22BF"/>
    <w:rsid w:val="00AC2323"/>
    <w:rsid w:val="00AC234E"/>
    <w:rsid w:val="00AC2363"/>
    <w:rsid w:val="00AC236C"/>
    <w:rsid w:val="00AC239C"/>
    <w:rsid w:val="00AC23C4"/>
    <w:rsid w:val="00AC23C5"/>
    <w:rsid w:val="00AC23C9"/>
    <w:rsid w:val="00AC23F5"/>
    <w:rsid w:val="00AC2424"/>
    <w:rsid w:val="00AC2447"/>
    <w:rsid w:val="00AC245B"/>
    <w:rsid w:val="00AC247E"/>
    <w:rsid w:val="00AC2498"/>
    <w:rsid w:val="00AC24BD"/>
    <w:rsid w:val="00AC2587"/>
    <w:rsid w:val="00AC25A0"/>
    <w:rsid w:val="00AC2603"/>
    <w:rsid w:val="00AC269D"/>
    <w:rsid w:val="00AC26AF"/>
    <w:rsid w:val="00AC26BA"/>
    <w:rsid w:val="00AC26D1"/>
    <w:rsid w:val="00AC274D"/>
    <w:rsid w:val="00AC2772"/>
    <w:rsid w:val="00AC278A"/>
    <w:rsid w:val="00AC27E5"/>
    <w:rsid w:val="00AC28BA"/>
    <w:rsid w:val="00AC28BD"/>
    <w:rsid w:val="00AC28C8"/>
    <w:rsid w:val="00AC2910"/>
    <w:rsid w:val="00AC293B"/>
    <w:rsid w:val="00AC293C"/>
    <w:rsid w:val="00AC294C"/>
    <w:rsid w:val="00AC2971"/>
    <w:rsid w:val="00AC2A22"/>
    <w:rsid w:val="00AC2A4A"/>
    <w:rsid w:val="00AC2A4C"/>
    <w:rsid w:val="00AC2A5C"/>
    <w:rsid w:val="00AC2AB3"/>
    <w:rsid w:val="00AC2AE1"/>
    <w:rsid w:val="00AC2B1E"/>
    <w:rsid w:val="00AC2C0B"/>
    <w:rsid w:val="00AC2C13"/>
    <w:rsid w:val="00AC2C31"/>
    <w:rsid w:val="00AC2C46"/>
    <w:rsid w:val="00AC2CA0"/>
    <w:rsid w:val="00AC2D47"/>
    <w:rsid w:val="00AC2D4F"/>
    <w:rsid w:val="00AC2D61"/>
    <w:rsid w:val="00AC2DB7"/>
    <w:rsid w:val="00AC2DC6"/>
    <w:rsid w:val="00AC2E04"/>
    <w:rsid w:val="00AC2E05"/>
    <w:rsid w:val="00AC2E17"/>
    <w:rsid w:val="00AC2E6E"/>
    <w:rsid w:val="00AC2E91"/>
    <w:rsid w:val="00AC2F40"/>
    <w:rsid w:val="00AC2F50"/>
    <w:rsid w:val="00AC2F6D"/>
    <w:rsid w:val="00AC2F7D"/>
    <w:rsid w:val="00AC2F8E"/>
    <w:rsid w:val="00AC2FC8"/>
    <w:rsid w:val="00AC2FD8"/>
    <w:rsid w:val="00AC3002"/>
    <w:rsid w:val="00AC3076"/>
    <w:rsid w:val="00AC308D"/>
    <w:rsid w:val="00AC30C2"/>
    <w:rsid w:val="00AC30F7"/>
    <w:rsid w:val="00AC3111"/>
    <w:rsid w:val="00AC315F"/>
    <w:rsid w:val="00AC3173"/>
    <w:rsid w:val="00AC3179"/>
    <w:rsid w:val="00AC31D5"/>
    <w:rsid w:val="00AC3200"/>
    <w:rsid w:val="00AC320A"/>
    <w:rsid w:val="00AC3238"/>
    <w:rsid w:val="00AC330F"/>
    <w:rsid w:val="00AC3311"/>
    <w:rsid w:val="00AC3331"/>
    <w:rsid w:val="00AC3345"/>
    <w:rsid w:val="00AC33CA"/>
    <w:rsid w:val="00AC33DD"/>
    <w:rsid w:val="00AC33DF"/>
    <w:rsid w:val="00AC3411"/>
    <w:rsid w:val="00AC341C"/>
    <w:rsid w:val="00AC342C"/>
    <w:rsid w:val="00AC342F"/>
    <w:rsid w:val="00AC3433"/>
    <w:rsid w:val="00AC3481"/>
    <w:rsid w:val="00AC3484"/>
    <w:rsid w:val="00AC3494"/>
    <w:rsid w:val="00AC34C0"/>
    <w:rsid w:val="00AC3504"/>
    <w:rsid w:val="00AC350B"/>
    <w:rsid w:val="00AC35B9"/>
    <w:rsid w:val="00AC35C6"/>
    <w:rsid w:val="00AC362C"/>
    <w:rsid w:val="00AC366E"/>
    <w:rsid w:val="00AC368E"/>
    <w:rsid w:val="00AC3725"/>
    <w:rsid w:val="00AC37AE"/>
    <w:rsid w:val="00AC3863"/>
    <w:rsid w:val="00AC38AA"/>
    <w:rsid w:val="00AC3987"/>
    <w:rsid w:val="00AC39BF"/>
    <w:rsid w:val="00AC39CC"/>
    <w:rsid w:val="00AC3A3A"/>
    <w:rsid w:val="00AC3AAC"/>
    <w:rsid w:val="00AC3B67"/>
    <w:rsid w:val="00AC3B87"/>
    <w:rsid w:val="00AC3BCD"/>
    <w:rsid w:val="00AC3BCE"/>
    <w:rsid w:val="00AC3BCF"/>
    <w:rsid w:val="00AC3C3D"/>
    <w:rsid w:val="00AC3C5B"/>
    <w:rsid w:val="00AC3C9C"/>
    <w:rsid w:val="00AC3CA5"/>
    <w:rsid w:val="00AC3CBD"/>
    <w:rsid w:val="00AC3D9C"/>
    <w:rsid w:val="00AC3DB3"/>
    <w:rsid w:val="00AC3E00"/>
    <w:rsid w:val="00AC3E38"/>
    <w:rsid w:val="00AC3EBA"/>
    <w:rsid w:val="00AC3F09"/>
    <w:rsid w:val="00AC3F53"/>
    <w:rsid w:val="00AC3F6C"/>
    <w:rsid w:val="00AC3F84"/>
    <w:rsid w:val="00AC3FBB"/>
    <w:rsid w:val="00AC4034"/>
    <w:rsid w:val="00AC40AF"/>
    <w:rsid w:val="00AC40E0"/>
    <w:rsid w:val="00AC41E3"/>
    <w:rsid w:val="00AC4202"/>
    <w:rsid w:val="00AC4205"/>
    <w:rsid w:val="00AC4221"/>
    <w:rsid w:val="00AC4243"/>
    <w:rsid w:val="00AC4250"/>
    <w:rsid w:val="00AC427F"/>
    <w:rsid w:val="00AC4325"/>
    <w:rsid w:val="00AC4367"/>
    <w:rsid w:val="00AC43BB"/>
    <w:rsid w:val="00AC4465"/>
    <w:rsid w:val="00AC4476"/>
    <w:rsid w:val="00AC4488"/>
    <w:rsid w:val="00AC44F1"/>
    <w:rsid w:val="00AC455A"/>
    <w:rsid w:val="00AC45A1"/>
    <w:rsid w:val="00AC4605"/>
    <w:rsid w:val="00AC467F"/>
    <w:rsid w:val="00AC46F3"/>
    <w:rsid w:val="00AC476B"/>
    <w:rsid w:val="00AC4785"/>
    <w:rsid w:val="00AC480A"/>
    <w:rsid w:val="00AC4819"/>
    <w:rsid w:val="00AC482C"/>
    <w:rsid w:val="00AC486E"/>
    <w:rsid w:val="00AC4895"/>
    <w:rsid w:val="00AC48FB"/>
    <w:rsid w:val="00AC496C"/>
    <w:rsid w:val="00AC49C3"/>
    <w:rsid w:val="00AC49D3"/>
    <w:rsid w:val="00AC4A95"/>
    <w:rsid w:val="00AC4AFC"/>
    <w:rsid w:val="00AC4B1E"/>
    <w:rsid w:val="00AC4B1F"/>
    <w:rsid w:val="00AC4B29"/>
    <w:rsid w:val="00AC4B31"/>
    <w:rsid w:val="00AC4B58"/>
    <w:rsid w:val="00AC4B65"/>
    <w:rsid w:val="00AC4C5D"/>
    <w:rsid w:val="00AC4D3B"/>
    <w:rsid w:val="00AC4D8E"/>
    <w:rsid w:val="00AC4D92"/>
    <w:rsid w:val="00AC4DD1"/>
    <w:rsid w:val="00AC4DD6"/>
    <w:rsid w:val="00AC4E12"/>
    <w:rsid w:val="00AC4E2C"/>
    <w:rsid w:val="00AC4EA5"/>
    <w:rsid w:val="00AC4ED3"/>
    <w:rsid w:val="00AC4EE2"/>
    <w:rsid w:val="00AC4F02"/>
    <w:rsid w:val="00AC4F16"/>
    <w:rsid w:val="00AC4F70"/>
    <w:rsid w:val="00AC4F8F"/>
    <w:rsid w:val="00AC50CB"/>
    <w:rsid w:val="00AC517C"/>
    <w:rsid w:val="00AC5194"/>
    <w:rsid w:val="00AC51C6"/>
    <w:rsid w:val="00AC51D1"/>
    <w:rsid w:val="00AC5201"/>
    <w:rsid w:val="00AC5227"/>
    <w:rsid w:val="00AC5293"/>
    <w:rsid w:val="00AC5298"/>
    <w:rsid w:val="00AC52A6"/>
    <w:rsid w:val="00AC5364"/>
    <w:rsid w:val="00AC5399"/>
    <w:rsid w:val="00AC53B0"/>
    <w:rsid w:val="00AC53BB"/>
    <w:rsid w:val="00AC53F4"/>
    <w:rsid w:val="00AC5420"/>
    <w:rsid w:val="00AC5431"/>
    <w:rsid w:val="00AC545E"/>
    <w:rsid w:val="00AC5461"/>
    <w:rsid w:val="00AC5473"/>
    <w:rsid w:val="00AC5483"/>
    <w:rsid w:val="00AC54C2"/>
    <w:rsid w:val="00AC5509"/>
    <w:rsid w:val="00AC551C"/>
    <w:rsid w:val="00AC55B8"/>
    <w:rsid w:val="00AC55EA"/>
    <w:rsid w:val="00AC561C"/>
    <w:rsid w:val="00AC5666"/>
    <w:rsid w:val="00AC5701"/>
    <w:rsid w:val="00AC5769"/>
    <w:rsid w:val="00AC579F"/>
    <w:rsid w:val="00AC57A9"/>
    <w:rsid w:val="00AC57FC"/>
    <w:rsid w:val="00AC581B"/>
    <w:rsid w:val="00AC583C"/>
    <w:rsid w:val="00AC58C2"/>
    <w:rsid w:val="00AC58CC"/>
    <w:rsid w:val="00AC58F1"/>
    <w:rsid w:val="00AC5947"/>
    <w:rsid w:val="00AC5970"/>
    <w:rsid w:val="00AC597E"/>
    <w:rsid w:val="00AC59FD"/>
    <w:rsid w:val="00AC5A89"/>
    <w:rsid w:val="00AC5B11"/>
    <w:rsid w:val="00AC5B18"/>
    <w:rsid w:val="00AC5B46"/>
    <w:rsid w:val="00AC5C4B"/>
    <w:rsid w:val="00AC5C72"/>
    <w:rsid w:val="00AC5D20"/>
    <w:rsid w:val="00AC5D2E"/>
    <w:rsid w:val="00AC5D48"/>
    <w:rsid w:val="00AC5DC0"/>
    <w:rsid w:val="00AC5E96"/>
    <w:rsid w:val="00AC5E9E"/>
    <w:rsid w:val="00AC5E9F"/>
    <w:rsid w:val="00AC5ECC"/>
    <w:rsid w:val="00AC5EDC"/>
    <w:rsid w:val="00AC5EF5"/>
    <w:rsid w:val="00AC5F4D"/>
    <w:rsid w:val="00AC5F8D"/>
    <w:rsid w:val="00AC5FA9"/>
    <w:rsid w:val="00AC5FE0"/>
    <w:rsid w:val="00AC5FF5"/>
    <w:rsid w:val="00AC606B"/>
    <w:rsid w:val="00AC6089"/>
    <w:rsid w:val="00AC6096"/>
    <w:rsid w:val="00AC60DE"/>
    <w:rsid w:val="00AC611E"/>
    <w:rsid w:val="00AC6126"/>
    <w:rsid w:val="00AC6173"/>
    <w:rsid w:val="00AC6196"/>
    <w:rsid w:val="00AC61B5"/>
    <w:rsid w:val="00AC620B"/>
    <w:rsid w:val="00AC628F"/>
    <w:rsid w:val="00AC62C3"/>
    <w:rsid w:val="00AC62D7"/>
    <w:rsid w:val="00AC62FB"/>
    <w:rsid w:val="00AC632D"/>
    <w:rsid w:val="00AC63E5"/>
    <w:rsid w:val="00AC6488"/>
    <w:rsid w:val="00AC64A2"/>
    <w:rsid w:val="00AC64C5"/>
    <w:rsid w:val="00AC64E4"/>
    <w:rsid w:val="00AC65F2"/>
    <w:rsid w:val="00AC662E"/>
    <w:rsid w:val="00AC663E"/>
    <w:rsid w:val="00AC6643"/>
    <w:rsid w:val="00AC6658"/>
    <w:rsid w:val="00AC6678"/>
    <w:rsid w:val="00AC6695"/>
    <w:rsid w:val="00AC66D3"/>
    <w:rsid w:val="00AC6716"/>
    <w:rsid w:val="00AC674C"/>
    <w:rsid w:val="00AC6783"/>
    <w:rsid w:val="00AC679D"/>
    <w:rsid w:val="00AC67B7"/>
    <w:rsid w:val="00AC685B"/>
    <w:rsid w:val="00AC6917"/>
    <w:rsid w:val="00AC6971"/>
    <w:rsid w:val="00AC697C"/>
    <w:rsid w:val="00AC6987"/>
    <w:rsid w:val="00AC69C5"/>
    <w:rsid w:val="00AC6A28"/>
    <w:rsid w:val="00AC6A80"/>
    <w:rsid w:val="00AC6AB8"/>
    <w:rsid w:val="00AC6B2C"/>
    <w:rsid w:val="00AC6B9B"/>
    <w:rsid w:val="00AC6CA5"/>
    <w:rsid w:val="00AC6D3A"/>
    <w:rsid w:val="00AC6D78"/>
    <w:rsid w:val="00AC6D96"/>
    <w:rsid w:val="00AC6DB5"/>
    <w:rsid w:val="00AC6DE3"/>
    <w:rsid w:val="00AC6E0C"/>
    <w:rsid w:val="00AC6E25"/>
    <w:rsid w:val="00AC6E56"/>
    <w:rsid w:val="00AC6E64"/>
    <w:rsid w:val="00AC6EA6"/>
    <w:rsid w:val="00AC6F2B"/>
    <w:rsid w:val="00AC6F4D"/>
    <w:rsid w:val="00AC6F97"/>
    <w:rsid w:val="00AC6FA1"/>
    <w:rsid w:val="00AC6FF6"/>
    <w:rsid w:val="00AC7053"/>
    <w:rsid w:val="00AC7060"/>
    <w:rsid w:val="00AC7066"/>
    <w:rsid w:val="00AC70D2"/>
    <w:rsid w:val="00AC70F1"/>
    <w:rsid w:val="00AC70F9"/>
    <w:rsid w:val="00AC7102"/>
    <w:rsid w:val="00AC71FE"/>
    <w:rsid w:val="00AC721F"/>
    <w:rsid w:val="00AC7226"/>
    <w:rsid w:val="00AC72D2"/>
    <w:rsid w:val="00AC7303"/>
    <w:rsid w:val="00AC736E"/>
    <w:rsid w:val="00AC738E"/>
    <w:rsid w:val="00AC74CB"/>
    <w:rsid w:val="00AC74D7"/>
    <w:rsid w:val="00AC74E9"/>
    <w:rsid w:val="00AC74ED"/>
    <w:rsid w:val="00AC74F4"/>
    <w:rsid w:val="00AC751A"/>
    <w:rsid w:val="00AC7528"/>
    <w:rsid w:val="00AC7554"/>
    <w:rsid w:val="00AC75FA"/>
    <w:rsid w:val="00AC7669"/>
    <w:rsid w:val="00AC7673"/>
    <w:rsid w:val="00AC7694"/>
    <w:rsid w:val="00AC769D"/>
    <w:rsid w:val="00AC76E1"/>
    <w:rsid w:val="00AC7719"/>
    <w:rsid w:val="00AC7749"/>
    <w:rsid w:val="00AC7787"/>
    <w:rsid w:val="00AC77AD"/>
    <w:rsid w:val="00AC781B"/>
    <w:rsid w:val="00AC783B"/>
    <w:rsid w:val="00AC7854"/>
    <w:rsid w:val="00AC7868"/>
    <w:rsid w:val="00AC7880"/>
    <w:rsid w:val="00AC78E2"/>
    <w:rsid w:val="00AC797E"/>
    <w:rsid w:val="00AC79DC"/>
    <w:rsid w:val="00AC7AC6"/>
    <w:rsid w:val="00AC7B24"/>
    <w:rsid w:val="00AC7B90"/>
    <w:rsid w:val="00AC7BF6"/>
    <w:rsid w:val="00AC7C27"/>
    <w:rsid w:val="00AC7C3C"/>
    <w:rsid w:val="00AC7CA1"/>
    <w:rsid w:val="00AC7CE7"/>
    <w:rsid w:val="00AC7CF3"/>
    <w:rsid w:val="00AC7D04"/>
    <w:rsid w:val="00AC7D54"/>
    <w:rsid w:val="00AC7D88"/>
    <w:rsid w:val="00AC7DB4"/>
    <w:rsid w:val="00AC7E67"/>
    <w:rsid w:val="00AC7E9C"/>
    <w:rsid w:val="00AC7EAF"/>
    <w:rsid w:val="00AC7F14"/>
    <w:rsid w:val="00AC7F1B"/>
    <w:rsid w:val="00AC7F2D"/>
    <w:rsid w:val="00AC7F54"/>
    <w:rsid w:val="00AC7F6A"/>
    <w:rsid w:val="00AD0018"/>
    <w:rsid w:val="00AD002D"/>
    <w:rsid w:val="00AD00D4"/>
    <w:rsid w:val="00AD00EB"/>
    <w:rsid w:val="00AD00FA"/>
    <w:rsid w:val="00AD012F"/>
    <w:rsid w:val="00AD019F"/>
    <w:rsid w:val="00AD01E0"/>
    <w:rsid w:val="00AD01F6"/>
    <w:rsid w:val="00AD0207"/>
    <w:rsid w:val="00AD020A"/>
    <w:rsid w:val="00AD0243"/>
    <w:rsid w:val="00AD0276"/>
    <w:rsid w:val="00AD02D0"/>
    <w:rsid w:val="00AD02FB"/>
    <w:rsid w:val="00AD031F"/>
    <w:rsid w:val="00AD0342"/>
    <w:rsid w:val="00AD036C"/>
    <w:rsid w:val="00AD0397"/>
    <w:rsid w:val="00AD03AF"/>
    <w:rsid w:val="00AD03B5"/>
    <w:rsid w:val="00AD03F2"/>
    <w:rsid w:val="00AD04A4"/>
    <w:rsid w:val="00AD04E0"/>
    <w:rsid w:val="00AD0526"/>
    <w:rsid w:val="00AD0629"/>
    <w:rsid w:val="00AD064F"/>
    <w:rsid w:val="00AD0699"/>
    <w:rsid w:val="00AD06CD"/>
    <w:rsid w:val="00AD070B"/>
    <w:rsid w:val="00AD071C"/>
    <w:rsid w:val="00AD0733"/>
    <w:rsid w:val="00AD074F"/>
    <w:rsid w:val="00AD077B"/>
    <w:rsid w:val="00AD07C0"/>
    <w:rsid w:val="00AD07D1"/>
    <w:rsid w:val="00AD07F5"/>
    <w:rsid w:val="00AD084A"/>
    <w:rsid w:val="00AD0928"/>
    <w:rsid w:val="00AD0937"/>
    <w:rsid w:val="00AD095E"/>
    <w:rsid w:val="00AD096E"/>
    <w:rsid w:val="00AD099F"/>
    <w:rsid w:val="00AD09B7"/>
    <w:rsid w:val="00AD0A0F"/>
    <w:rsid w:val="00AD0A6E"/>
    <w:rsid w:val="00AD0A6F"/>
    <w:rsid w:val="00AD0AB8"/>
    <w:rsid w:val="00AD0ACE"/>
    <w:rsid w:val="00AD0B0E"/>
    <w:rsid w:val="00AD0B24"/>
    <w:rsid w:val="00AD0BEF"/>
    <w:rsid w:val="00AD0C0A"/>
    <w:rsid w:val="00AD0C55"/>
    <w:rsid w:val="00AD0C63"/>
    <w:rsid w:val="00AD0C6E"/>
    <w:rsid w:val="00AD0C9B"/>
    <w:rsid w:val="00AD0CE3"/>
    <w:rsid w:val="00AD0CF9"/>
    <w:rsid w:val="00AD0D53"/>
    <w:rsid w:val="00AD0DC1"/>
    <w:rsid w:val="00AD0E2C"/>
    <w:rsid w:val="00AD0E33"/>
    <w:rsid w:val="00AD0EA4"/>
    <w:rsid w:val="00AD0EEF"/>
    <w:rsid w:val="00AD0EF4"/>
    <w:rsid w:val="00AD0EF6"/>
    <w:rsid w:val="00AD0F75"/>
    <w:rsid w:val="00AD0FC5"/>
    <w:rsid w:val="00AD0FD6"/>
    <w:rsid w:val="00AD1014"/>
    <w:rsid w:val="00AD1029"/>
    <w:rsid w:val="00AD109D"/>
    <w:rsid w:val="00AD10AF"/>
    <w:rsid w:val="00AD10B1"/>
    <w:rsid w:val="00AD1123"/>
    <w:rsid w:val="00AD1136"/>
    <w:rsid w:val="00AD11CA"/>
    <w:rsid w:val="00AD11D9"/>
    <w:rsid w:val="00AD11E8"/>
    <w:rsid w:val="00AD1201"/>
    <w:rsid w:val="00AD1246"/>
    <w:rsid w:val="00AD1248"/>
    <w:rsid w:val="00AD125E"/>
    <w:rsid w:val="00AD126B"/>
    <w:rsid w:val="00AD126C"/>
    <w:rsid w:val="00AD12A2"/>
    <w:rsid w:val="00AD1365"/>
    <w:rsid w:val="00AD1398"/>
    <w:rsid w:val="00AD13B0"/>
    <w:rsid w:val="00AD13E2"/>
    <w:rsid w:val="00AD14AF"/>
    <w:rsid w:val="00AD157B"/>
    <w:rsid w:val="00AD1585"/>
    <w:rsid w:val="00AD15A4"/>
    <w:rsid w:val="00AD15DC"/>
    <w:rsid w:val="00AD162B"/>
    <w:rsid w:val="00AD1641"/>
    <w:rsid w:val="00AD1657"/>
    <w:rsid w:val="00AD165C"/>
    <w:rsid w:val="00AD1694"/>
    <w:rsid w:val="00AD16C4"/>
    <w:rsid w:val="00AD16DB"/>
    <w:rsid w:val="00AD172B"/>
    <w:rsid w:val="00AD1764"/>
    <w:rsid w:val="00AD17DD"/>
    <w:rsid w:val="00AD17E3"/>
    <w:rsid w:val="00AD1800"/>
    <w:rsid w:val="00AD180F"/>
    <w:rsid w:val="00AD1894"/>
    <w:rsid w:val="00AD18D8"/>
    <w:rsid w:val="00AD18FC"/>
    <w:rsid w:val="00AD192B"/>
    <w:rsid w:val="00AD196F"/>
    <w:rsid w:val="00AD1A30"/>
    <w:rsid w:val="00AD1A4C"/>
    <w:rsid w:val="00AD1AC3"/>
    <w:rsid w:val="00AD1BB9"/>
    <w:rsid w:val="00AD1C3E"/>
    <w:rsid w:val="00AD1C4C"/>
    <w:rsid w:val="00AD1C85"/>
    <w:rsid w:val="00AD1CED"/>
    <w:rsid w:val="00AD1D54"/>
    <w:rsid w:val="00AD1D86"/>
    <w:rsid w:val="00AD1D8B"/>
    <w:rsid w:val="00AD1DD3"/>
    <w:rsid w:val="00AD1E5B"/>
    <w:rsid w:val="00AD1E77"/>
    <w:rsid w:val="00AD1EA3"/>
    <w:rsid w:val="00AD1F7C"/>
    <w:rsid w:val="00AD1F8F"/>
    <w:rsid w:val="00AD1FCD"/>
    <w:rsid w:val="00AD2010"/>
    <w:rsid w:val="00AD2019"/>
    <w:rsid w:val="00AD2039"/>
    <w:rsid w:val="00AD20DD"/>
    <w:rsid w:val="00AD20FB"/>
    <w:rsid w:val="00AD217D"/>
    <w:rsid w:val="00AD218C"/>
    <w:rsid w:val="00AD2196"/>
    <w:rsid w:val="00AD21DF"/>
    <w:rsid w:val="00AD2211"/>
    <w:rsid w:val="00AD225B"/>
    <w:rsid w:val="00AD22CF"/>
    <w:rsid w:val="00AD2312"/>
    <w:rsid w:val="00AD2345"/>
    <w:rsid w:val="00AD240F"/>
    <w:rsid w:val="00AD242E"/>
    <w:rsid w:val="00AD248D"/>
    <w:rsid w:val="00AD2505"/>
    <w:rsid w:val="00AD2522"/>
    <w:rsid w:val="00AD2529"/>
    <w:rsid w:val="00AD2548"/>
    <w:rsid w:val="00AD25CA"/>
    <w:rsid w:val="00AD25D0"/>
    <w:rsid w:val="00AD25FA"/>
    <w:rsid w:val="00AD260F"/>
    <w:rsid w:val="00AD263A"/>
    <w:rsid w:val="00AD2653"/>
    <w:rsid w:val="00AD26D4"/>
    <w:rsid w:val="00AD2757"/>
    <w:rsid w:val="00AD2845"/>
    <w:rsid w:val="00AD2867"/>
    <w:rsid w:val="00AD288F"/>
    <w:rsid w:val="00AD28BA"/>
    <w:rsid w:val="00AD28EE"/>
    <w:rsid w:val="00AD2910"/>
    <w:rsid w:val="00AD2949"/>
    <w:rsid w:val="00AD2982"/>
    <w:rsid w:val="00AD299E"/>
    <w:rsid w:val="00AD2A55"/>
    <w:rsid w:val="00AD2AE5"/>
    <w:rsid w:val="00AD2B07"/>
    <w:rsid w:val="00AD2B13"/>
    <w:rsid w:val="00AD2B38"/>
    <w:rsid w:val="00AD2B41"/>
    <w:rsid w:val="00AD2B43"/>
    <w:rsid w:val="00AD2B97"/>
    <w:rsid w:val="00AD2C60"/>
    <w:rsid w:val="00AD2D2C"/>
    <w:rsid w:val="00AD2DA1"/>
    <w:rsid w:val="00AD2DAB"/>
    <w:rsid w:val="00AD2DB2"/>
    <w:rsid w:val="00AD2E3E"/>
    <w:rsid w:val="00AD2E97"/>
    <w:rsid w:val="00AD2EBF"/>
    <w:rsid w:val="00AD2F6B"/>
    <w:rsid w:val="00AD2FBF"/>
    <w:rsid w:val="00AD302D"/>
    <w:rsid w:val="00AD3081"/>
    <w:rsid w:val="00AD3116"/>
    <w:rsid w:val="00AD312D"/>
    <w:rsid w:val="00AD31B8"/>
    <w:rsid w:val="00AD31F2"/>
    <w:rsid w:val="00AD31F8"/>
    <w:rsid w:val="00AD322A"/>
    <w:rsid w:val="00AD32C6"/>
    <w:rsid w:val="00AD32DA"/>
    <w:rsid w:val="00AD32EB"/>
    <w:rsid w:val="00AD33B2"/>
    <w:rsid w:val="00AD341B"/>
    <w:rsid w:val="00AD3441"/>
    <w:rsid w:val="00AD3444"/>
    <w:rsid w:val="00AD3466"/>
    <w:rsid w:val="00AD34D7"/>
    <w:rsid w:val="00AD3533"/>
    <w:rsid w:val="00AD3685"/>
    <w:rsid w:val="00AD368E"/>
    <w:rsid w:val="00AD3734"/>
    <w:rsid w:val="00AD3773"/>
    <w:rsid w:val="00AD378C"/>
    <w:rsid w:val="00AD378D"/>
    <w:rsid w:val="00AD37B3"/>
    <w:rsid w:val="00AD382A"/>
    <w:rsid w:val="00AD384B"/>
    <w:rsid w:val="00AD385B"/>
    <w:rsid w:val="00AD396F"/>
    <w:rsid w:val="00AD39CF"/>
    <w:rsid w:val="00AD3A5B"/>
    <w:rsid w:val="00AD3AB5"/>
    <w:rsid w:val="00AD3AF2"/>
    <w:rsid w:val="00AD3B0F"/>
    <w:rsid w:val="00AD3B1D"/>
    <w:rsid w:val="00AD3B3E"/>
    <w:rsid w:val="00AD3B8C"/>
    <w:rsid w:val="00AD3BA3"/>
    <w:rsid w:val="00AD3BF6"/>
    <w:rsid w:val="00AD3C19"/>
    <w:rsid w:val="00AD3C39"/>
    <w:rsid w:val="00AD3C41"/>
    <w:rsid w:val="00AD3C68"/>
    <w:rsid w:val="00AD3D61"/>
    <w:rsid w:val="00AD3D66"/>
    <w:rsid w:val="00AD3D67"/>
    <w:rsid w:val="00AD3D98"/>
    <w:rsid w:val="00AD3DD1"/>
    <w:rsid w:val="00AD3DD8"/>
    <w:rsid w:val="00AD3E0A"/>
    <w:rsid w:val="00AD3E13"/>
    <w:rsid w:val="00AD3E16"/>
    <w:rsid w:val="00AD3E17"/>
    <w:rsid w:val="00AD3E46"/>
    <w:rsid w:val="00AD3E4E"/>
    <w:rsid w:val="00AD3E91"/>
    <w:rsid w:val="00AD3ECE"/>
    <w:rsid w:val="00AD3EF8"/>
    <w:rsid w:val="00AD3F10"/>
    <w:rsid w:val="00AD3F1C"/>
    <w:rsid w:val="00AD3F2A"/>
    <w:rsid w:val="00AD3F2C"/>
    <w:rsid w:val="00AD3F5F"/>
    <w:rsid w:val="00AD3FF6"/>
    <w:rsid w:val="00AD401F"/>
    <w:rsid w:val="00AD4038"/>
    <w:rsid w:val="00AD404F"/>
    <w:rsid w:val="00AD40BB"/>
    <w:rsid w:val="00AD40FA"/>
    <w:rsid w:val="00AD4146"/>
    <w:rsid w:val="00AD41AB"/>
    <w:rsid w:val="00AD41D5"/>
    <w:rsid w:val="00AD41E7"/>
    <w:rsid w:val="00AD4206"/>
    <w:rsid w:val="00AD4209"/>
    <w:rsid w:val="00AD421D"/>
    <w:rsid w:val="00AD422E"/>
    <w:rsid w:val="00AD42A6"/>
    <w:rsid w:val="00AD42A9"/>
    <w:rsid w:val="00AD43C9"/>
    <w:rsid w:val="00AD43DB"/>
    <w:rsid w:val="00AD43E8"/>
    <w:rsid w:val="00AD43FC"/>
    <w:rsid w:val="00AD4465"/>
    <w:rsid w:val="00AD44CA"/>
    <w:rsid w:val="00AD44DE"/>
    <w:rsid w:val="00AD44F8"/>
    <w:rsid w:val="00AD4512"/>
    <w:rsid w:val="00AD45CE"/>
    <w:rsid w:val="00AD4638"/>
    <w:rsid w:val="00AD46B2"/>
    <w:rsid w:val="00AD475D"/>
    <w:rsid w:val="00AD47CD"/>
    <w:rsid w:val="00AD4902"/>
    <w:rsid w:val="00AD4928"/>
    <w:rsid w:val="00AD4974"/>
    <w:rsid w:val="00AD49C7"/>
    <w:rsid w:val="00AD49EE"/>
    <w:rsid w:val="00AD4A43"/>
    <w:rsid w:val="00AD4A63"/>
    <w:rsid w:val="00AD4B84"/>
    <w:rsid w:val="00AD4BFA"/>
    <w:rsid w:val="00AD4C36"/>
    <w:rsid w:val="00AD4C76"/>
    <w:rsid w:val="00AD4C97"/>
    <w:rsid w:val="00AD4CA9"/>
    <w:rsid w:val="00AD4D7B"/>
    <w:rsid w:val="00AD4E65"/>
    <w:rsid w:val="00AD4E7F"/>
    <w:rsid w:val="00AD4E81"/>
    <w:rsid w:val="00AD4F4C"/>
    <w:rsid w:val="00AD4FB3"/>
    <w:rsid w:val="00AD4FE0"/>
    <w:rsid w:val="00AD4FF7"/>
    <w:rsid w:val="00AD5050"/>
    <w:rsid w:val="00AD5056"/>
    <w:rsid w:val="00AD5094"/>
    <w:rsid w:val="00AD510A"/>
    <w:rsid w:val="00AD5113"/>
    <w:rsid w:val="00AD5143"/>
    <w:rsid w:val="00AD5188"/>
    <w:rsid w:val="00AD5196"/>
    <w:rsid w:val="00AD519F"/>
    <w:rsid w:val="00AD520D"/>
    <w:rsid w:val="00AD5240"/>
    <w:rsid w:val="00AD5299"/>
    <w:rsid w:val="00AD529E"/>
    <w:rsid w:val="00AD52A4"/>
    <w:rsid w:val="00AD52BF"/>
    <w:rsid w:val="00AD5319"/>
    <w:rsid w:val="00AD5322"/>
    <w:rsid w:val="00AD5376"/>
    <w:rsid w:val="00AD53B1"/>
    <w:rsid w:val="00AD53DF"/>
    <w:rsid w:val="00AD5446"/>
    <w:rsid w:val="00AD546F"/>
    <w:rsid w:val="00AD54C4"/>
    <w:rsid w:val="00AD5503"/>
    <w:rsid w:val="00AD5549"/>
    <w:rsid w:val="00AD557F"/>
    <w:rsid w:val="00AD55FF"/>
    <w:rsid w:val="00AD56B3"/>
    <w:rsid w:val="00AD56B4"/>
    <w:rsid w:val="00AD56C3"/>
    <w:rsid w:val="00AD56FB"/>
    <w:rsid w:val="00AD570C"/>
    <w:rsid w:val="00AD57B5"/>
    <w:rsid w:val="00AD57F4"/>
    <w:rsid w:val="00AD580F"/>
    <w:rsid w:val="00AD5856"/>
    <w:rsid w:val="00AD5892"/>
    <w:rsid w:val="00AD58D7"/>
    <w:rsid w:val="00AD58FA"/>
    <w:rsid w:val="00AD596C"/>
    <w:rsid w:val="00AD59C7"/>
    <w:rsid w:val="00AD5A2E"/>
    <w:rsid w:val="00AD5A34"/>
    <w:rsid w:val="00AD5A8B"/>
    <w:rsid w:val="00AD5AB0"/>
    <w:rsid w:val="00AD5B03"/>
    <w:rsid w:val="00AD5B30"/>
    <w:rsid w:val="00AD5B4F"/>
    <w:rsid w:val="00AD5B5E"/>
    <w:rsid w:val="00AD5C1A"/>
    <w:rsid w:val="00AD5C1E"/>
    <w:rsid w:val="00AD5C3C"/>
    <w:rsid w:val="00AD5C5A"/>
    <w:rsid w:val="00AD5C5E"/>
    <w:rsid w:val="00AD5C83"/>
    <w:rsid w:val="00AD5CB1"/>
    <w:rsid w:val="00AD5CB8"/>
    <w:rsid w:val="00AD5CCD"/>
    <w:rsid w:val="00AD5CF0"/>
    <w:rsid w:val="00AD5D65"/>
    <w:rsid w:val="00AD5DCC"/>
    <w:rsid w:val="00AD5E1F"/>
    <w:rsid w:val="00AD5EB4"/>
    <w:rsid w:val="00AD5EBA"/>
    <w:rsid w:val="00AD5EF1"/>
    <w:rsid w:val="00AD5F00"/>
    <w:rsid w:val="00AD5F7A"/>
    <w:rsid w:val="00AD5FBD"/>
    <w:rsid w:val="00AD6042"/>
    <w:rsid w:val="00AD613D"/>
    <w:rsid w:val="00AD619C"/>
    <w:rsid w:val="00AD61E7"/>
    <w:rsid w:val="00AD61F1"/>
    <w:rsid w:val="00AD61F5"/>
    <w:rsid w:val="00AD61F8"/>
    <w:rsid w:val="00AD6203"/>
    <w:rsid w:val="00AD625E"/>
    <w:rsid w:val="00AD635D"/>
    <w:rsid w:val="00AD641E"/>
    <w:rsid w:val="00AD641F"/>
    <w:rsid w:val="00AD6429"/>
    <w:rsid w:val="00AD64E4"/>
    <w:rsid w:val="00AD6537"/>
    <w:rsid w:val="00AD6549"/>
    <w:rsid w:val="00AD654D"/>
    <w:rsid w:val="00AD6565"/>
    <w:rsid w:val="00AD656A"/>
    <w:rsid w:val="00AD6574"/>
    <w:rsid w:val="00AD659D"/>
    <w:rsid w:val="00AD661B"/>
    <w:rsid w:val="00AD6676"/>
    <w:rsid w:val="00AD6687"/>
    <w:rsid w:val="00AD66EE"/>
    <w:rsid w:val="00AD675D"/>
    <w:rsid w:val="00AD6787"/>
    <w:rsid w:val="00AD6797"/>
    <w:rsid w:val="00AD680A"/>
    <w:rsid w:val="00AD686D"/>
    <w:rsid w:val="00AD6871"/>
    <w:rsid w:val="00AD687F"/>
    <w:rsid w:val="00AD690D"/>
    <w:rsid w:val="00AD6923"/>
    <w:rsid w:val="00AD6962"/>
    <w:rsid w:val="00AD6A79"/>
    <w:rsid w:val="00AD6A89"/>
    <w:rsid w:val="00AD6A8F"/>
    <w:rsid w:val="00AD6AF3"/>
    <w:rsid w:val="00AD6AF9"/>
    <w:rsid w:val="00AD6B16"/>
    <w:rsid w:val="00AD6BA3"/>
    <w:rsid w:val="00AD6C3C"/>
    <w:rsid w:val="00AD6C92"/>
    <w:rsid w:val="00AD6C9D"/>
    <w:rsid w:val="00AD6CAB"/>
    <w:rsid w:val="00AD6D0C"/>
    <w:rsid w:val="00AD6D11"/>
    <w:rsid w:val="00AD6D14"/>
    <w:rsid w:val="00AD6D7F"/>
    <w:rsid w:val="00AD6D85"/>
    <w:rsid w:val="00AD6DB7"/>
    <w:rsid w:val="00AD6DF6"/>
    <w:rsid w:val="00AD6E4A"/>
    <w:rsid w:val="00AD6EA8"/>
    <w:rsid w:val="00AD6EE8"/>
    <w:rsid w:val="00AD6F4D"/>
    <w:rsid w:val="00AD6FE0"/>
    <w:rsid w:val="00AD6FF7"/>
    <w:rsid w:val="00AD7019"/>
    <w:rsid w:val="00AD7056"/>
    <w:rsid w:val="00AD7061"/>
    <w:rsid w:val="00AD7070"/>
    <w:rsid w:val="00AD7089"/>
    <w:rsid w:val="00AD70A7"/>
    <w:rsid w:val="00AD71A9"/>
    <w:rsid w:val="00AD71AA"/>
    <w:rsid w:val="00AD71EA"/>
    <w:rsid w:val="00AD720A"/>
    <w:rsid w:val="00AD725C"/>
    <w:rsid w:val="00AD728C"/>
    <w:rsid w:val="00AD73C3"/>
    <w:rsid w:val="00AD73DD"/>
    <w:rsid w:val="00AD73E9"/>
    <w:rsid w:val="00AD73FB"/>
    <w:rsid w:val="00AD7452"/>
    <w:rsid w:val="00AD7532"/>
    <w:rsid w:val="00AD7537"/>
    <w:rsid w:val="00AD7561"/>
    <w:rsid w:val="00AD75E8"/>
    <w:rsid w:val="00AD7603"/>
    <w:rsid w:val="00AD7699"/>
    <w:rsid w:val="00AD7781"/>
    <w:rsid w:val="00AD77BE"/>
    <w:rsid w:val="00AD77FB"/>
    <w:rsid w:val="00AD77FF"/>
    <w:rsid w:val="00AD783D"/>
    <w:rsid w:val="00AD78B4"/>
    <w:rsid w:val="00AD78BA"/>
    <w:rsid w:val="00AD7900"/>
    <w:rsid w:val="00AD7956"/>
    <w:rsid w:val="00AD7A4D"/>
    <w:rsid w:val="00AD7A6A"/>
    <w:rsid w:val="00AD7A98"/>
    <w:rsid w:val="00AD7ADA"/>
    <w:rsid w:val="00AD7BB4"/>
    <w:rsid w:val="00AD7BEE"/>
    <w:rsid w:val="00AD7C0D"/>
    <w:rsid w:val="00AD7C1D"/>
    <w:rsid w:val="00AD7C60"/>
    <w:rsid w:val="00AD7C64"/>
    <w:rsid w:val="00AD7C71"/>
    <w:rsid w:val="00AD7D61"/>
    <w:rsid w:val="00AD7DDA"/>
    <w:rsid w:val="00AD7DE4"/>
    <w:rsid w:val="00AD7E04"/>
    <w:rsid w:val="00AD7E3D"/>
    <w:rsid w:val="00AD7E9F"/>
    <w:rsid w:val="00AD7EAC"/>
    <w:rsid w:val="00AD7EF5"/>
    <w:rsid w:val="00AD7EF6"/>
    <w:rsid w:val="00AD7F37"/>
    <w:rsid w:val="00AD7FA3"/>
    <w:rsid w:val="00AE0028"/>
    <w:rsid w:val="00AE004F"/>
    <w:rsid w:val="00AE006A"/>
    <w:rsid w:val="00AE0086"/>
    <w:rsid w:val="00AE0090"/>
    <w:rsid w:val="00AE010B"/>
    <w:rsid w:val="00AE012E"/>
    <w:rsid w:val="00AE014E"/>
    <w:rsid w:val="00AE0179"/>
    <w:rsid w:val="00AE0207"/>
    <w:rsid w:val="00AE025D"/>
    <w:rsid w:val="00AE02B6"/>
    <w:rsid w:val="00AE02B9"/>
    <w:rsid w:val="00AE033E"/>
    <w:rsid w:val="00AE0361"/>
    <w:rsid w:val="00AE0380"/>
    <w:rsid w:val="00AE0386"/>
    <w:rsid w:val="00AE0390"/>
    <w:rsid w:val="00AE03DF"/>
    <w:rsid w:val="00AE0451"/>
    <w:rsid w:val="00AE0535"/>
    <w:rsid w:val="00AE0570"/>
    <w:rsid w:val="00AE0591"/>
    <w:rsid w:val="00AE05B1"/>
    <w:rsid w:val="00AE05B9"/>
    <w:rsid w:val="00AE067D"/>
    <w:rsid w:val="00AE06D6"/>
    <w:rsid w:val="00AE0755"/>
    <w:rsid w:val="00AE07C1"/>
    <w:rsid w:val="00AE07E4"/>
    <w:rsid w:val="00AE0847"/>
    <w:rsid w:val="00AE086F"/>
    <w:rsid w:val="00AE087F"/>
    <w:rsid w:val="00AE08E5"/>
    <w:rsid w:val="00AE0991"/>
    <w:rsid w:val="00AE0999"/>
    <w:rsid w:val="00AE099E"/>
    <w:rsid w:val="00AE09C4"/>
    <w:rsid w:val="00AE09CC"/>
    <w:rsid w:val="00AE09F8"/>
    <w:rsid w:val="00AE0A03"/>
    <w:rsid w:val="00AE0AA0"/>
    <w:rsid w:val="00AE0B0B"/>
    <w:rsid w:val="00AE0B2A"/>
    <w:rsid w:val="00AE0B36"/>
    <w:rsid w:val="00AE0D17"/>
    <w:rsid w:val="00AE0D61"/>
    <w:rsid w:val="00AE0DD5"/>
    <w:rsid w:val="00AE0DFE"/>
    <w:rsid w:val="00AE0E0A"/>
    <w:rsid w:val="00AE0EE6"/>
    <w:rsid w:val="00AE0F22"/>
    <w:rsid w:val="00AE0F2E"/>
    <w:rsid w:val="00AE0FB2"/>
    <w:rsid w:val="00AE1031"/>
    <w:rsid w:val="00AE10D2"/>
    <w:rsid w:val="00AE10E1"/>
    <w:rsid w:val="00AE111A"/>
    <w:rsid w:val="00AE114E"/>
    <w:rsid w:val="00AE1181"/>
    <w:rsid w:val="00AE118B"/>
    <w:rsid w:val="00AE11BB"/>
    <w:rsid w:val="00AE11CB"/>
    <w:rsid w:val="00AE120E"/>
    <w:rsid w:val="00AE127F"/>
    <w:rsid w:val="00AE1290"/>
    <w:rsid w:val="00AE12DE"/>
    <w:rsid w:val="00AE12FB"/>
    <w:rsid w:val="00AE1318"/>
    <w:rsid w:val="00AE1335"/>
    <w:rsid w:val="00AE1336"/>
    <w:rsid w:val="00AE136F"/>
    <w:rsid w:val="00AE1371"/>
    <w:rsid w:val="00AE139F"/>
    <w:rsid w:val="00AE13AB"/>
    <w:rsid w:val="00AE13D8"/>
    <w:rsid w:val="00AE13D9"/>
    <w:rsid w:val="00AE1402"/>
    <w:rsid w:val="00AE1426"/>
    <w:rsid w:val="00AE1531"/>
    <w:rsid w:val="00AE1574"/>
    <w:rsid w:val="00AE1582"/>
    <w:rsid w:val="00AE15D7"/>
    <w:rsid w:val="00AE15FB"/>
    <w:rsid w:val="00AE16A0"/>
    <w:rsid w:val="00AE16C9"/>
    <w:rsid w:val="00AE16D7"/>
    <w:rsid w:val="00AE16F9"/>
    <w:rsid w:val="00AE16FB"/>
    <w:rsid w:val="00AE1720"/>
    <w:rsid w:val="00AE1721"/>
    <w:rsid w:val="00AE17CB"/>
    <w:rsid w:val="00AE182B"/>
    <w:rsid w:val="00AE1855"/>
    <w:rsid w:val="00AE1943"/>
    <w:rsid w:val="00AE198E"/>
    <w:rsid w:val="00AE19DC"/>
    <w:rsid w:val="00AE19DD"/>
    <w:rsid w:val="00AE1A10"/>
    <w:rsid w:val="00AE1A7E"/>
    <w:rsid w:val="00AE1A92"/>
    <w:rsid w:val="00AE1AD4"/>
    <w:rsid w:val="00AE1B34"/>
    <w:rsid w:val="00AE1B62"/>
    <w:rsid w:val="00AE1B75"/>
    <w:rsid w:val="00AE1B96"/>
    <w:rsid w:val="00AE1B9B"/>
    <w:rsid w:val="00AE1BE7"/>
    <w:rsid w:val="00AE1C62"/>
    <w:rsid w:val="00AE1C6F"/>
    <w:rsid w:val="00AE1CA8"/>
    <w:rsid w:val="00AE1D47"/>
    <w:rsid w:val="00AE1D58"/>
    <w:rsid w:val="00AE1D5F"/>
    <w:rsid w:val="00AE1E44"/>
    <w:rsid w:val="00AE1E70"/>
    <w:rsid w:val="00AE1E7A"/>
    <w:rsid w:val="00AE1EC5"/>
    <w:rsid w:val="00AE1ECA"/>
    <w:rsid w:val="00AE1EE7"/>
    <w:rsid w:val="00AE1F35"/>
    <w:rsid w:val="00AE1FBF"/>
    <w:rsid w:val="00AE1FDC"/>
    <w:rsid w:val="00AE200C"/>
    <w:rsid w:val="00AE205F"/>
    <w:rsid w:val="00AE206A"/>
    <w:rsid w:val="00AE20FB"/>
    <w:rsid w:val="00AE2139"/>
    <w:rsid w:val="00AE21AC"/>
    <w:rsid w:val="00AE21B2"/>
    <w:rsid w:val="00AE21E3"/>
    <w:rsid w:val="00AE21E7"/>
    <w:rsid w:val="00AE2280"/>
    <w:rsid w:val="00AE22D9"/>
    <w:rsid w:val="00AE2336"/>
    <w:rsid w:val="00AE2460"/>
    <w:rsid w:val="00AE247F"/>
    <w:rsid w:val="00AE2480"/>
    <w:rsid w:val="00AE24A0"/>
    <w:rsid w:val="00AE24EA"/>
    <w:rsid w:val="00AE2538"/>
    <w:rsid w:val="00AE2595"/>
    <w:rsid w:val="00AE25CA"/>
    <w:rsid w:val="00AE2609"/>
    <w:rsid w:val="00AE2667"/>
    <w:rsid w:val="00AE2718"/>
    <w:rsid w:val="00AE271E"/>
    <w:rsid w:val="00AE2720"/>
    <w:rsid w:val="00AE2725"/>
    <w:rsid w:val="00AE2727"/>
    <w:rsid w:val="00AE272B"/>
    <w:rsid w:val="00AE27A9"/>
    <w:rsid w:val="00AE27DC"/>
    <w:rsid w:val="00AE280B"/>
    <w:rsid w:val="00AE281E"/>
    <w:rsid w:val="00AE2840"/>
    <w:rsid w:val="00AE284D"/>
    <w:rsid w:val="00AE28D9"/>
    <w:rsid w:val="00AE28F7"/>
    <w:rsid w:val="00AE2967"/>
    <w:rsid w:val="00AE2997"/>
    <w:rsid w:val="00AE29DC"/>
    <w:rsid w:val="00AE29DF"/>
    <w:rsid w:val="00AE2A05"/>
    <w:rsid w:val="00AE2A1F"/>
    <w:rsid w:val="00AE2A4B"/>
    <w:rsid w:val="00AE2B32"/>
    <w:rsid w:val="00AE2B4F"/>
    <w:rsid w:val="00AE2BF7"/>
    <w:rsid w:val="00AE2C6D"/>
    <w:rsid w:val="00AE2CD9"/>
    <w:rsid w:val="00AE2CF5"/>
    <w:rsid w:val="00AE2D11"/>
    <w:rsid w:val="00AE2D24"/>
    <w:rsid w:val="00AE2D7D"/>
    <w:rsid w:val="00AE2D98"/>
    <w:rsid w:val="00AE2DA0"/>
    <w:rsid w:val="00AE2E1A"/>
    <w:rsid w:val="00AE2E23"/>
    <w:rsid w:val="00AE2E6C"/>
    <w:rsid w:val="00AE2E89"/>
    <w:rsid w:val="00AE2ED1"/>
    <w:rsid w:val="00AE2F34"/>
    <w:rsid w:val="00AE2F4A"/>
    <w:rsid w:val="00AE3000"/>
    <w:rsid w:val="00AE302E"/>
    <w:rsid w:val="00AE30F2"/>
    <w:rsid w:val="00AE3101"/>
    <w:rsid w:val="00AE3190"/>
    <w:rsid w:val="00AE31EE"/>
    <w:rsid w:val="00AE31EF"/>
    <w:rsid w:val="00AE31F7"/>
    <w:rsid w:val="00AE3200"/>
    <w:rsid w:val="00AE3221"/>
    <w:rsid w:val="00AE327C"/>
    <w:rsid w:val="00AE32B1"/>
    <w:rsid w:val="00AE3340"/>
    <w:rsid w:val="00AE3345"/>
    <w:rsid w:val="00AE3367"/>
    <w:rsid w:val="00AE3394"/>
    <w:rsid w:val="00AE33DB"/>
    <w:rsid w:val="00AE33F6"/>
    <w:rsid w:val="00AE3401"/>
    <w:rsid w:val="00AE34F0"/>
    <w:rsid w:val="00AE3502"/>
    <w:rsid w:val="00AE350F"/>
    <w:rsid w:val="00AE351B"/>
    <w:rsid w:val="00AE3520"/>
    <w:rsid w:val="00AE3607"/>
    <w:rsid w:val="00AE361B"/>
    <w:rsid w:val="00AE3626"/>
    <w:rsid w:val="00AE365B"/>
    <w:rsid w:val="00AE365D"/>
    <w:rsid w:val="00AE369D"/>
    <w:rsid w:val="00AE3743"/>
    <w:rsid w:val="00AE37F1"/>
    <w:rsid w:val="00AE385C"/>
    <w:rsid w:val="00AE3899"/>
    <w:rsid w:val="00AE389D"/>
    <w:rsid w:val="00AE38BE"/>
    <w:rsid w:val="00AE3904"/>
    <w:rsid w:val="00AE3926"/>
    <w:rsid w:val="00AE3959"/>
    <w:rsid w:val="00AE3A2B"/>
    <w:rsid w:val="00AE3A62"/>
    <w:rsid w:val="00AE3A93"/>
    <w:rsid w:val="00AE3AA8"/>
    <w:rsid w:val="00AE3B0D"/>
    <w:rsid w:val="00AE3B56"/>
    <w:rsid w:val="00AE3BBD"/>
    <w:rsid w:val="00AE3BE0"/>
    <w:rsid w:val="00AE3BF2"/>
    <w:rsid w:val="00AE3C26"/>
    <w:rsid w:val="00AE3CB4"/>
    <w:rsid w:val="00AE3CB9"/>
    <w:rsid w:val="00AE3CEC"/>
    <w:rsid w:val="00AE3D63"/>
    <w:rsid w:val="00AE3DCB"/>
    <w:rsid w:val="00AE3DDE"/>
    <w:rsid w:val="00AE3DE8"/>
    <w:rsid w:val="00AE3E36"/>
    <w:rsid w:val="00AE3E46"/>
    <w:rsid w:val="00AE3E7D"/>
    <w:rsid w:val="00AE3E9E"/>
    <w:rsid w:val="00AE3ECE"/>
    <w:rsid w:val="00AE3F6F"/>
    <w:rsid w:val="00AE3FAA"/>
    <w:rsid w:val="00AE404C"/>
    <w:rsid w:val="00AE4067"/>
    <w:rsid w:val="00AE406E"/>
    <w:rsid w:val="00AE4081"/>
    <w:rsid w:val="00AE4093"/>
    <w:rsid w:val="00AE409B"/>
    <w:rsid w:val="00AE40D0"/>
    <w:rsid w:val="00AE40F7"/>
    <w:rsid w:val="00AE4104"/>
    <w:rsid w:val="00AE413B"/>
    <w:rsid w:val="00AE4170"/>
    <w:rsid w:val="00AE418A"/>
    <w:rsid w:val="00AE41CF"/>
    <w:rsid w:val="00AE423D"/>
    <w:rsid w:val="00AE4283"/>
    <w:rsid w:val="00AE42AD"/>
    <w:rsid w:val="00AE42B8"/>
    <w:rsid w:val="00AE42CC"/>
    <w:rsid w:val="00AE435F"/>
    <w:rsid w:val="00AE439D"/>
    <w:rsid w:val="00AE4412"/>
    <w:rsid w:val="00AE44FB"/>
    <w:rsid w:val="00AE4500"/>
    <w:rsid w:val="00AE452C"/>
    <w:rsid w:val="00AE452E"/>
    <w:rsid w:val="00AE4530"/>
    <w:rsid w:val="00AE454B"/>
    <w:rsid w:val="00AE4577"/>
    <w:rsid w:val="00AE4588"/>
    <w:rsid w:val="00AE45A6"/>
    <w:rsid w:val="00AE45FB"/>
    <w:rsid w:val="00AE465F"/>
    <w:rsid w:val="00AE4687"/>
    <w:rsid w:val="00AE4694"/>
    <w:rsid w:val="00AE46CC"/>
    <w:rsid w:val="00AE46E9"/>
    <w:rsid w:val="00AE4744"/>
    <w:rsid w:val="00AE4806"/>
    <w:rsid w:val="00AE483A"/>
    <w:rsid w:val="00AE4844"/>
    <w:rsid w:val="00AE495E"/>
    <w:rsid w:val="00AE497F"/>
    <w:rsid w:val="00AE49E4"/>
    <w:rsid w:val="00AE4A4B"/>
    <w:rsid w:val="00AE4A55"/>
    <w:rsid w:val="00AE4A9B"/>
    <w:rsid w:val="00AE4AB6"/>
    <w:rsid w:val="00AE4B3B"/>
    <w:rsid w:val="00AE4BA5"/>
    <w:rsid w:val="00AE4BB6"/>
    <w:rsid w:val="00AE4BEF"/>
    <w:rsid w:val="00AE4BF6"/>
    <w:rsid w:val="00AE4C4A"/>
    <w:rsid w:val="00AE4C73"/>
    <w:rsid w:val="00AE4CA6"/>
    <w:rsid w:val="00AE4CAE"/>
    <w:rsid w:val="00AE4D17"/>
    <w:rsid w:val="00AE4D1D"/>
    <w:rsid w:val="00AE4D9B"/>
    <w:rsid w:val="00AE4DB0"/>
    <w:rsid w:val="00AE4DF5"/>
    <w:rsid w:val="00AE4F2E"/>
    <w:rsid w:val="00AE4F9B"/>
    <w:rsid w:val="00AE50BA"/>
    <w:rsid w:val="00AE515C"/>
    <w:rsid w:val="00AE51BF"/>
    <w:rsid w:val="00AE51C2"/>
    <w:rsid w:val="00AE51D3"/>
    <w:rsid w:val="00AE51D5"/>
    <w:rsid w:val="00AE5217"/>
    <w:rsid w:val="00AE5260"/>
    <w:rsid w:val="00AE5280"/>
    <w:rsid w:val="00AE52C5"/>
    <w:rsid w:val="00AE52EC"/>
    <w:rsid w:val="00AE52F5"/>
    <w:rsid w:val="00AE5322"/>
    <w:rsid w:val="00AE5336"/>
    <w:rsid w:val="00AE5356"/>
    <w:rsid w:val="00AE5359"/>
    <w:rsid w:val="00AE5367"/>
    <w:rsid w:val="00AE536A"/>
    <w:rsid w:val="00AE5437"/>
    <w:rsid w:val="00AE544D"/>
    <w:rsid w:val="00AE546B"/>
    <w:rsid w:val="00AE54BD"/>
    <w:rsid w:val="00AE54C0"/>
    <w:rsid w:val="00AE54F2"/>
    <w:rsid w:val="00AE5554"/>
    <w:rsid w:val="00AE559F"/>
    <w:rsid w:val="00AE55A3"/>
    <w:rsid w:val="00AE55D5"/>
    <w:rsid w:val="00AE55E2"/>
    <w:rsid w:val="00AE5611"/>
    <w:rsid w:val="00AE5622"/>
    <w:rsid w:val="00AE5679"/>
    <w:rsid w:val="00AE56FB"/>
    <w:rsid w:val="00AE574D"/>
    <w:rsid w:val="00AE57E8"/>
    <w:rsid w:val="00AE582A"/>
    <w:rsid w:val="00AE587F"/>
    <w:rsid w:val="00AE5894"/>
    <w:rsid w:val="00AE5932"/>
    <w:rsid w:val="00AE597A"/>
    <w:rsid w:val="00AE59B3"/>
    <w:rsid w:val="00AE59D1"/>
    <w:rsid w:val="00AE59D6"/>
    <w:rsid w:val="00AE59EF"/>
    <w:rsid w:val="00AE59F4"/>
    <w:rsid w:val="00AE5A16"/>
    <w:rsid w:val="00AE5A55"/>
    <w:rsid w:val="00AE5A70"/>
    <w:rsid w:val="00AE5AA9"/>
    <w:rsid w:val="00AE5AAF"/>
    <w:rsid w:val="00AE5B45"/>
    <w:rsid w:val="00AE5B7D"/>
    <w:rsid w:val="00AE5BD4"/>
    <w:rsid w:val="00AE5C1B"/>
    <w:rsid w:val="00AE5C30"/>
    <w:rsid w:val="00AE5C44"/>
    <w:rsid w:val="00AE5CA9"/>
    <w:rsid w:val="00AE5CC7"/>
    <w:rsid w:val="00AE5CCE"/>
    <w:rsid w:val="00AE5CCF"/>
    <w:rsid w:val="00AE5CE0"/>
    <w:rsid w:val="00AE5D06"/>
    <w:rsid w:val="00AE5D3B"/>
    <w:rsid w:val="00AE5D5F"/>
    <w:rsid w:val="00AE5D72"/>
    <w:rsid w:val="00AE5D7E"/>
    <w:rsid w:val="00AE5D90"/>
    <w:rsid w:val="00AE5DCC"/>
    <w:rsid w:val="00AE5E1A"/>
    <w:rsid w:val="00AE5E52"/>
    <w:rsid w:val="00AE5F1A"/>
    <w:rsid w:val="00AE5FB8"/>
    <w:rsid w:val="00AE6095"/>
    <w:rsid w:val="00AE6108"/>
    <w:rsid w:val="00AE614C"/>
    <w:rsid w:val="00AE6181"/>
    <w:rsid w:val="00AE618A"/>
    <w:rsid w:val="00AE619D"/>
    <w:rsid w:val="00AE619E"/>
    <w:rsid w:val="00AE61BC"/>
    <w:rsid w:val="00AE61FF"/>
    <w:rsid w:val="00AE6261"/>
    <w:rsid w:val="00AE6277"/>
    <w:rsid w:val="00AE6291"/>
    <w:rsid w:val="00AE62B6"/>
    <w:rsid w:val="00AE62FE"/>
    <w:rsid w:val="00AE6328"/>
    <w:rsid w:val="00AE6336"/>
    <w:rsid w:val="00AE633A"/>
    <w:rsid w:val="00AE635A"/>
    <w:rsid w:val="00AE6375"/>
    <w:rsid w:val="00AE639A"/>
    <w:rsid w:val="00AE63AE"/>
    <w:rsid w:val="00AE64B0"/>
    <w:rsid w:val="00AE64B3"/>
    <w:rsid w:val="00AE64B4"/>
    <w:rsid w:val="00AE6527"/>
    <w:rsid w:val="00AE653D"/>
    <w:rsid w:val="00AE658D"/>
    <w:rsid w:val="00AE658E"/>
    <w:rsid w:val="00AE6591"/>
    <w:rsid w:val="00AE65C7"/>
    <w:rsid w:val="00AE65D2"/>
    <w:rsid w:val="00AE65E0"/>
    <w:rsid w:val="00AE65E4"/>
    <w:rsid w:val="00AE6604"/>
    <w:rsid w:val="00AE661F"/>
    <w:rsid w:val="00AE6647"/>
    <w:rsid w:val="00AE67C5"/>
    <w:rsid w:val="00AE67FE"/>
    <w:rsid w:val="00AE6809"/>
    <w:rsid w:val="00AE6858"/>
    <w:rsid w:val="00AE6874"/>
    <w:rsid w:val="00AE6880"/>
    <w:rsid w:val="00AE688E"/>
    <w:rsid w:val="00AE68D1"/>
    <w:rsid w:val="00AE68D8"/>
    <w:rsid w:val="00AE6938"/>
    <w:rsid w:val="00AE6972"/>
    <w:rsid w:val="00AE6999"/>
    <w:rsid w:val="00AE699B"/>
    <w:rsid w:val="00AE69BB"/>
    <w:rsid w:val="00AE69E0"/>
    <w:rsid w:val="00AE6ACE"/>
    <w:rsid w:val="00AE6AD0"/>
    <w:rsid w:val="00AE6B08"/>
    <w:rsid w:val="00AE6B3E"/>
    <w:rsid w:val="00AE6B60"/>
    <w:rsid w:val="00AE6B6A"/>
    <w:rsid w:val="00AE6B9E"/>
    <w:rsid w:val="00AE6B9F"/>
    <w:rsid w:val="00AE6C11"/>
    <w:rsid w:val="00AE6D0D"/>
    <w:rsid w:val="00AE6D60"/>
    <w:rsid w:val="00AE6D77"/>
    <w:rsid w:val="00AE6D82"/>
    <w:rsid w:val="00AE6D8F"/>
    <w:rsid w:val="00AE6DAD"/>
    <w:rsid w:val="00AE6DCF"/>
    <w:rsid w:val="00AE6DFE"/>
    <w:rsid w:val="00AE6E78"/>
    <w:rsid w:val="00AE6EE7"/>
    <w:rsid w:val="00AE6FBD"/>
    <w:rsid w:val="00AE7017"/>
    <w:rsid w:val="00AE7021"/>
    <w:rsid w:val="00AE704B"/>
    <w:rsid w:val="00AE70A6"/>
    <w:rsid w:val="00AE713F"/>
    <w:rsid w:val="00AE718F"/>
    <w:rsid w:val="00AE71C8"/>
    <w:rsid w:val="00AE71E8"/>
    <w:rsid w:val="00AE71FE"/>
    <w:rsid w:val="00AE724F"/>
    <w:rsid w:val="00AE73A7"/>
    <w:rsid w:val="00AE73BE"/>
    <w:rsid w:val="00AE73C3"/>
    <w:rsid w:val="00AE73E0"/>
    <w:rsid w:val="00AE73FF"/>
    <w:rsid w:val="00AE742C"/>
    <w:rsid w:val="00AE7433"/>
    <w:rsid w:val="00AE744C"/>
    <w:rsid w:val="00AE74A9"/>
    <w:rsid w:val="00AE74D5"/>
    <w:rsid w:val="00AE7503"/>
    <w:rsid w:val="00AE75B3"/>
    <w:rsid w:val="00AE75B5"/>
    <w:rsid w:val="00AE7610"/>
    <w:rsid w:val="00AE761C"/>
    <w:rsid w:val="00AE7665"/>
    <w:rsid w:val="00AE7669"/>
    <w:rsid w:val="00AE7697"/>
    <w:rsid w:val="00AE76B6"/>
    <w:rsid w:val="00AE76BC"/>
    <w:rsid w:val="00AE76DF"/>
    <w:rsid w:val="00AE76F2"/>
    <w:rsid w:val="00AE7783"/>
    <w:rsid w:val="00AE7806"/>
    <w:rsid w:val="00AE787B"/>
    <w:rsid w:val="00AE7917"/>
    <w:rsid w:val="00AE798F"/>
    <w:rsid w:val="00AE7994"/>
    <w:rsid w:val="00AE799B"/>
    <w:rsid w:val="00AE79B0"/>
    <w:rsid w:val="00AE7A31"/>
    <w:rsid w:val="00AE7A4B"/>
    <w:rsid w:val="00AE7A76"/>
    <w:rsid w:val="00AE7AAF"/>
    <w:rsid w:val="00AE7AD4"/>
    <w:rsid w:val="00AE7BBA"/>
    <w:rsid w:val="00AE7BCC"/>
    <w:rsid w:val="00AE7C17"/>
    <w:rsid w:val="00AE7C41"/>
    <w:rsid w:val="00AE7C9B"/>
    <w:rsid w:val="00AE7D5F"/>
    <w:rsid w:val="00AE7D6A"/>
    <w:rsid w:val="00AE7D76"/>
    <w:rsid w:val="00AE7D9D"/>
    <w:rsid w:val="00AE7DC8"/>
    <w:rsid w:val="00AE7E09"/>
    <w:rsid w:val="00AE7E99"/>
    <w:rsid w:val="00AE7EE2"/>
    <w:rsid w:val="00AE7EE3"/>
    <w:rsid w:val="00AE7EEF"/>
    <w:rsid w:val="00AE7F08"/>
    <w:rsid w:val="00AE7F4A"/>
    <w:rsid w:val="00AE7F6E"/>
    <w:rsid w:val="00AE7FBB"/>
    <w:rsid w:val="00AF005C"/>
    <w:rsid w:val="00AF00FD"/>
    <w:rsid w:val="00AF0106"/>
    <w:rsid w:val="00AF0125"/>
    <w:rsid w:val="00AF0175"/>
    <w:rsid w:val="00AF0189"/>
    <w:rsid w:val="00AF01A8"/>
    <w:rsid w:val="00AF020A"/>
    <w:rsid w:val="00AF020C"/>
    <w:rsid w:val="00AF0210"/>
    <w:rsid w:val="00AF0232"/>
    <w:rsid w:val="00AF02B8"/>
    <w:rsid w:val="00AF0332"/>
    <w:rsid w:val="00AF034A"/>
    <w:rsid w:val="00AF0387"/>
    <w:rsid w:val="00AF0395"/>
    <w:rsid w:val="00AF03CC"/>
    <w:rsid w:val="00AF03F6"/>
    <w:rsid w:val="00AF03F9"/>
    <w:rsid w:val="00AF048E"/>
    <w:rsid w:val="00AF04B1"/>
    <w:rsid w:val="00AF04DD"/>
    <w:rsid w:val="00AF0522"/>
    <w:rsid w:val="00AF05CA"/>
    <w:rsid w:val="00AF05F6"/>
    <w:rsid w:val="00AF0643"/>
    <w:rsid w:val="00AF06AB"/>
    <w:rsid w:val="00AF06D9"/>
    <w:rsid w:val="00AF06DF"/>
    <w:rsid w:val="00AF074B"/>
    <w:rsid w:val="00AF077C"/>
    <w:rsid w:val="00AF0829"/>
    <w:rsid w:val="00AF083A"/>
    <w:rsid w:val="00AF084A"/>
    <w:rsid w:val="00AF08D8"/>
    <w:rsid w:val="00AF08E5"/>
    <w:rsid w:val="00AF08E7"/>
    <w:rsid w:val="00AF08F5"/>
    <w:rsid w:val="00AF094C"/>
    <w:rsid w:val="00AF095D"/>
    <w:rsid w:val="00AF0976"/>
    <w:rsid w:val="00AF0978"/>
    <w:rsid w:val="00AF09F3"/>
    <w:rsid w:val="00AF0A10"/>
    <w:rsid w:val="00AF0A77"/>
    <w:rsid w:val="00AF0AA9"/>
    <w:rsid w:val="00AF0AB1"/>
    <w:rsid w:val="00AF0BF4"/>
    <w:rsid w:val="00AF0C3A"/>
    <w:rsid w:val="00AF0C46"/>
    <w:rsid w:val="00AF0C81"/>
    <w:rsid w:val="00AF0CD5"/>
    <w:rsid w:val="00AF0D25"/>
    <w:rsid w:val="00AF0D3D"/>
    <w:rsid w:val="00AF0D4F"/>
    <w:rsid w:val="00AF0DA7"/>
    <w:rsid w:val="00AF0E02"/>
    <w:rsid w:val="00AF0E3F"/>
    <w:rsid w:val="00AF0EF3"/>
    <w:rsid w:val="00AF0EF4"/>
    <w:rsid w:val="00AF0F3A"/>
    <w:rsid w:val="00AF0F56"/>
    <w:rsid w:val="00AF0F8A"/>
    <w:rsid w:val="00AF0F97"/>
    <w:rsid w:val="00AF0FF7"/>
    <w:rsid w:val="00AF10A1"/>
    <w:rsid w:val="00AF10D0"/>
    <w:rsid w:val="00AF1113"/>
    <w:rsid w:val="00AF111D"/>
    <w:rsid w:val="00AF11CC"/>
    <w:rsid w:val="00AF11FE"/>
    <w:rsid w:val="00AF1203"/>
    <w:rsid w:val="00AF1248"/>
    <w:rsid w:val="00AF1276"/>
    <w:rsid w:val="00AF12B0"/>
    <w:rsid w:val="00AF12C9"/>
    <w:rsid w:val="00AF12E5"/>
    <w:rsid w:val="00AF12F7"/>
    <w:rsid w:val="00AF130A"/>
    <w:rsid w:val="00AF132E"/>
    <w:rsid w:val="00AF1400"/>
    <w:rsid w:val="00AF1405"/>
    <w:rsid w:val="00AF144D"/>
    <w:rsid w:val="00AF1460"/>
    <w:rsid w:val="00AF1508"/>
    <w:rsid w:val="00AF150A"/>
    <w:rsid w:val="00AF155E"/>
    <w:rsid w:val="00AF15F2"/>
    <w:rsid w:val="00AF1603"/>
    <w:rsid w:val="00AF161E"/>
    <w:rsid w:val="00AF1646"/>
    <w:rsid w:val="00AF168C"/>
    <w:rsid w:val="00AF1720"/>
    <w:rsid w:val="00AF185B"/>
    <w:rsid w:val="00AF1868"/>
    <w:rsid w:val="00AF1970"/>
    <w:rsid w:val="00AF1977"/>
    <w:rsid w:val="00AF19CD"/>
    <w:rsid w:val="00AF1B0A"/>
    <w:rsid w:val="00AF1C85"/>
    <w:rsid w:val="00AF1C88"/>
    <w:rsid w:val="00AF1CE2"/>
    <w:rsid w:val="00AF1D7A"/>
    <w:rsid w:val="00AF1D8F"/>
    <w:rsid w:val="00AF1E08"/>
    <w:rsid w:val="00AF1E11"/>
    <w:rsid w:val="00AF1E5E"/>
    <w:rsid w:val="00AF1E8F"/>
    <w:rsid w:val="00AF1EA8"/>
    <w:rsid w:val="00AF1EE7"/>
    <w:rsid w:val="00AF1EEB"/>
    <w:rsid w:val="00AF1F11"/>
    <w:rsid w:val="00AF1F45"/>
    <w:rsid w:val="00AF1F4A"/>
    <w:rsid w:val="00AF1F5C"/>
    <w:rsid w:val="00AF1F92"/>
    <w:rsid w:val="00AF1F9D"/>
    <w:rsid w:val="00AF1FDC"/>
    <w:rsid w:val="00AF1FF7"/>
    <w:rsid w:val="00AF209D"/>
    <w:rsid w:val="00AF20DF"/>
    <w:rsid w:val="00AF20ED"/>
    <w:rsid w:val="00AF20F5"/>
    <w:rsid w:val="00AF2121"/>
    <w:rsid w:val="00AF2157"/>
    <w:rsid w:val="00AF215E"/>
    <w:rsid w:val="00AF2175"/>
    <w:rsid w:val="00AF21BB"/>
    <w:rsid w:val="00AF21BF"/>
    <w:rsid w:val="00AF21CA"/>
    <w:rsid w:val="00AF21D3"/>
    <w:rsid w:val="00AF21E0"/>
    <w:rsid w:val="00AF21E6"/>
    <w:rsid w:val="00AF21E7"/>
    <w:rsid w:val="00AF2260"/>
    <w:rsid w:val="00AF228F"/>
    <w:rsid w:val="00AF229F"/>
    <w:rsid w:val="00AF230F"/>
    <w:rsid w:val="00AF2321"/>
    <w:rsid w:val="00AF2353"/>
    <w:rsid w:val="00AF23FA"/>
    <w:rsid w:val="00AF2400"/>
    <w:rsid w:val="00AF243C"/>
    <w:rsid w:val="00AF2490"/>
    <w:rsid w:val="00AF24A4"/>
    <w:rsid w:val="00AF24AB"/>
    <w:rsid w:val="00AF24BB"/>
    <w:rsid w:val="00AF24E5"/>
    <w:rsid w:val="00AF24F1"/>
    <w:rsid w:val="00AF2520"/>
    <w:rsid w:val="00AF2524"/>
    <w:rsid w:val="00AF25CC"/>
    <w:rsid w:val="00AF262C"/>
    <w:rsid w:val="00AF2652"/>
    <w:rsid w:val="00AF26BD"/>
    <w:rsid w:val="00AF26D4"/>
    <w:rsid w:val="00AF2700"/>
    <w:rsid w:val="00AF2707"/>
    <w:rsid w:val="00AF270C"/>
    <w:rsid w:val="00AF271D"/>
    <w:rsid w:val="00AF2747"/>
    <w:rsid w:val="00AF278A"/>
    <w:rsid w:val="00AF2869"/>
    <w:rsid w:val="00AF28AE"/>
    <w:rsid w:val="00AF28B1"/>
    <w:rsid w:val="00AF2929"/>
    <w:rsid w:val="00AF2947"/>
    <w:rsid w:val="00AF2988"/>
    <w:rsid w:val="00AF29CD"/>
    <w:rsid w:val="00AF2A73"/>
    <w:rsid w:val="00AF2B5F"/>
    <w:rsid w:val="00AF2B91"/>
    <w:rsid w:val="00AF2BEA"/>
    <w:rsid w:val="00AF2C18"/>
    <w:rsid w:val="00AF2CE8"/>
    <w:rsid w:val="00AF2CED"/>
    <w:rsid w:val="00AF2D18"/>
    <w:rsid w:val="00AF2E1C"/>
    <w:rsid w:val="00AF2E36"/>
    <w:rsid w:val="00AF2E6D"/>
    <w:rsid w:val="00AF2E84"/>
    <w:rsid w:val="00AF2E8F"/>
    <w:rsid w:val="00AF2EA6"/>
    <w:rsid w:val="00AF2EB7"/>
    <w:rsid w:val="00AF2F1C"/>
    <w:rsid w:val="00AF2F8F"/>
    <w:rsid w:val="00AF2FC1"/>
    <w:rsid w:val="00AF3009"/>
    <w:rsid w:val="00AF3012"/>
    <w:rsid w:val="00AF3132"/>
    <w:rsid w:val="00AF314F"/>
    <w:rsid w:val="00AF31D6"/>
    <w:rsid w:val="00AF31E8"/>
    <w:rsid w:val="00AF324E"/>
    <w:rsid w:val="00AF339A"/>
    <w:rsid w:val="00AF33A1"/>
    <w:rsid w:val="00AF33F5"/>
    <w:rsid w:val="00AF3408"/>
    <w:rsid w:val="00AF342A"/>
    <w:rsid w:val="00AF3437"/>
    <w:rsid w:val="00AF3443"/>
    <w:rsid w:val="00AF3453"/>
    <w:rsid w:val="00AF34B3"/>
    <w:rsid w:val="00AF34B8"/>
    <w:rsid w:val="00AF34BE"/>
    <w:rsid w:val="00AF3531"/>
    <w:rsid w:val="00AF3564"/>
    <w:rsid w:val="00AF3591"/>
    <w:rsid w:val="00AF3597"/>
    <w:rsid w:val="00AF35E8"/>
    <w:rsid w:val="00AF35FE"/>
    <w:rsid w:val="00AF3609"/>
    <w:rsid w:val="00AF362C"/>
    <w:rsid w:val="00AF3638"/>
    <w:rsid w:val="00AF3680"/>
    <w:rsid w:val="00AF368C"/>
    <w:rsid w:val="00AF36CE"/>
    <w:rsid w:val="00AF3719"/>
    <w:rsid w:val="00AF371E"/>
    <w:rsid w:val="00AF3767"/>
    <w:rsid w:val="00AF379E"/>
    <w:rsid w:val="00AF37D9"/>
    <w:rsid w:val="00AF383E"/>
    <w:rsid w:val="00AF3866"/>
    <w:rsid w:val="00AF38F9"/>
    <w:rsid w:val="00AF38FB"/>
    <w:rsid w:val="00AF3920"/>
    <w:rsid w:val="00AF3989"/>
    <w:rsid w:val="00AF39C9"/>
    <w:rsid w:val="00AF39D4"/>
    <w:rsid w:val="00AF39F2"/>
    <w:rsid w:val="00AF3A26"/>
    <w:rsid w:val="00AF3A43"/>
    <w:rsid w:val="00AF3A51"/>
    <w:rsid w:val="00AF3A63"/>
    <w:rsid w:val="00AF3AC5"/>
    <w:rsid w:val="00AF3AD7"/>
    <w:rsid w:val="00AF3B3C"/>
    <w:rsid w:val="00AF3B45"/>
    <w:rsid w:val="00AF3BF1"/>
    <w:rsid w:val="00AF3C2C"/>
    <w:rsid w:val="00AF3CDF"/>
    <w:rsid w:val="00AF3D19"/>
    <w:rsid w:val="00AF3D42"/>
    <w:rsid w:val="00AF3D6B"/>
    <w:rsid w:val="00AF3E2A"/>
    <w:rsid w:val="00AF3E31"/>
    <w:rsid w:val="00AF3E6F"/>
    <w:rsid w:val="00AF3E72"/>
    <w:rsid w:val="00AF3EB0"/>
    <w:rsid w:val="00AF3F23"/>
    <w:rsid w:val="00AF3F33"/>
    <w:rsid w:val="00AF3F35"/>
    <w:rsid w:val="00AF3F54"/>
    <w:rsid w:val="00AF3F83"/>
    <w:rsid w:val="00AF3FC2"/>
    <w:rsid w:val="00AF4041"/>
    <w:rsid w:val="00AF4058"/>
    <w:rsid w:val="00AF40DF"/>
    <w:rsid w:val="00AF40EA"/>
    <w:rsid w:val="00AF40F0"/>
    <w:rsid w:val="00AF416A"/>
    <w:rsid w:val="00AF418E"/>
    <w:rsid w:val="00AF4191"/>
    <w:rsid w:val="00AF4239"/>
    <w:rsid w:val="00AF425A"/>
    <w:rsid w:val="00AF4282"/>
    <w:rsid w:val="00AF4292"/>
    <w:rsid w:val="00AF42C2"/>
    <w:rsid w:val="00AF42DE"/>
    <w:rsid w:val="00AF4396"/>
    <w:rsid w:val="00AF43A8"/>
    <w:rsid w:val="00AF4401"/>
    <w:rsid w:val="00AF440F"/>
    <w:rsid w:val="00AF443B"/>
    <w:rsid w:val="00AF444A"/>
    <w:rsid w:val="00AF446C"/>
    <w:rsid w:val="00AF44B8"/>
    <w:rsid w:val="00AF44D8"/>
    <w:rsid w:val="00AF4514"/>
    <w:rsid w:val="00AF453A"/>
    <w:rsid w:val="00AF459B"/>
    <w:rsid w:val="00AF45A3"/>
    <w:rsid w:val="00AF45D4"/>
    <w:rsid w:val="00AF4685"/>
    <w:rsid w:val="00AF4707"/>
    <w:rsid w:val="00AF4729"/>
    <w:rsid w:val="00AF472D"/>
    <w:rsid w:val="00AF47BB"/>
    <w:rsid w:val="00AF47C5"/>
    <w:rsid w:val="00AF47D7"/>
    <w:rsid w:val="00AF4831"/>
    <w:rsid w:val="00AF48F4"/>
    <w:rsid w:val="00AF4940"/>
    <w:rsid w:val="00AF4952"/>
    <w:rsid w:val="00AF496D"/>
    <w:rsid w:val="00AF49A5"/>
    <w:rsid w:val="00AF49BD"/>
    <w:rsid w:val="00AF49D1"/>
    <w:rsid w:val="00AF4A08"/>
    <w:rsid w:val="00AF4A21"/>
    <w:rsid w:val="00AF4ABE"/>
    <w:rsid w:val="00AF4AC3"/>
    <w:rsid w:val="00AF4AC9"/>
    <w:rsid w:val="00AF4B19"/>
    <w:rsid w:val="00AF4B42"/>
    <w:rsid w:val="00AF4B53"/>
    <w:rsid w:val="00AF4B54"/>
    <w:rsid w:val="00AF4B56"/>
    <w:rsid w:val="00AF4BD2"/>
    <w:rsid w:val="00AF4BEC"/>
    <w:rsid w:val="00AF4C00"/>
    <w:rsid w:val="00AF4C17"/>
    <w:rsid w:val="00AF4CB5"/>
    <w:rsid w:val="00AF4CC9"/>
    <w:rsid w:val="00AF4CF4"/>
    <w:rsid w:val="00AF4CF7"/>
    <w:rsid w:val="00AF4CF8"/>
    <w:rsid w:val="00AF4D39"/>
    <w:rsid w:val="00AF4D44"/>
    <w:rsid w:val="00AF4D93"/>
    <w:rsid w:val="00AF4E0D"/>
    <w:rsid w:val="00AF4E33"/>
    <w:rsid w:val="00AF4E36"/>
    <w:rsid w:val="00AF4E94"/>
    <w:rsid w:val="00AF4E9B"/>
    <w:rsid w:val="00AF4EA8"/>
    <w:rsid w:val="00AF4EE9"/>
    <w:rsid w:val="00AF4F3A"/>
    <w:rsid w:val="00AF4F5D"/>
    <w:rsid w:val="00AF4F98"/>
    <w:rsid w:val="00AF4FD2"/>
    <w:rsid w:val="00AF4FD5"/>
    <w:rsid w:val="00AF500D"/>
    <w:rsid w:val="00AF503D"/>
    <w:rsid w:val="00AF5092"/>
    <w:rsid w:val="00AF511F"/>
    <w:rsid w:val="00AF516C"/>
    <w:rsid w:val="00AF5182"/>
    <w:rsid w:val="00AF51B3"/>
    <w:rsid w:val="00AF51B5"/>
    <w:rsid w:val="00AF51B9"/>
    <w:rsid w:val="00AF51F7"/>
    <w:rsid w:val="00AF51FB"/>
    <w:rsid w:val="00AF5203"/>
    <w:rsid w:val="00AF5217"/>
    <w:rsid w:val="00AF524D"/>
    <w:rsid w:val="00AF530B"/>
    <w:rsid w:val="00AF53D4"/>
    <w:rsid w:val="00AF53FB"/>
    <w:rsid w:val="00AF5421"/>
    <w:rsid w:val="00AF547E"/>
    <w:rsid w:val="00AF552A"/>
    <w:rsid w:val="00AF55A4"/>
    <w:rsid w:val="00AF5612"/>
    <w:rsid w:val="00AF5643"/>
    <w:rsid w:val="00AF5648"/>
    <w:rsid w:val="00AF5673"/>
    <w:rsid w:val="00AF5707"/>
    <w:rsid w:val="00AF5718"/>
    <w:rsid w:val="00AF5731"/>
    <w:rsid w:val="00AF575B"/>
    <w:rsid w:val="00AF5774"/>
    <w:rsid w:val="00AF580B"/>
    <w:rsid w:val="00AF5943"/>
    <w:rsid w:val="00AF5962"/>
    <w:rsid w:val="00AF59A1"/>
    <w:rsid w:val="00AF59B3"/>
    <w:rsid w:val="00AF59C0"/>
    <w:rsid w:val="00AF5A41"/>
    <w:rsid w:val="00AF5A7C"/>
    <w:rsid w:val="00AF5B0C"/>
    <w:rsid w:val="00AF5B0F"/>
    <w:rsid w:val="00AF5B10"/>
    <w:rsid w:val="00AF5B53"/>
    <w:rsid w:val="00AF5B63"/>
    <w:rsid w:val="00AF5BCE"/>
    <w:rsid w:val="00AF5C03"/>
    <w:rsid w:val="00AF5C1D"/>
    <w:rsid w:val="00AF5C90"/>
    <w:rsid w:val="00AF5CA9"/>
    <w:rsid w:val="00AF5D0D"/>
    <w:rsid w:val="00AF5D15"/>
    <w:rsid w:val="00AF5D63"/>
    <w:rsid w:val="00AF5D73"/>
    <w:rsid w:val="00AF5DC1"/>
    <w:rsid w:val="00AF5DC4"/>
    <w:rsid w:val="00AF5DE2"/>
    <w:rsid w:val="00AF5E14"/>
    <w:rsid w:val="00AF5E16"/>
    <w:rsid w:val="00AF5E2F"/>
    <w:rsid w:val="00AF5E55"/>
    <w:rsid w:val="00AF5ED1"/>
    <w:rsid w:val="00AF5ED8"/>
    <w:rsid w:val="00AF5EF4"/>
    <w:rsid w:val="00AF5EFD"/>
    <w:rsid w:val="00AF5F6A"/>
    <w:rsid w:val="00AF5FC1"/>
    <w:rsid w:val="00AF5FC6"/>
    <w:rsid w:val="00AF5FE8"/>
    <w:rsid w:val="00AF6003"/>
    <w:rsid w:val="00AF6016"/>
    <w:rsid w:val="00AF6064"/>
    <w:rsid w:val="00AF6087"/>
    <w:rsid w:val="00AF60C7"/>
    <w:rsid w:val="00AF615C"/>
    <w:rsid w:val="00AF6207"/>
    <w:rsid w:val="00AF621C"/>
    <w:rsid w:val="00AF6363"/>
    <w:rsid w:val="00AF6376"/>
    <w:rsid w:val="00AF6406"/>
    <w:rsid w:val="00AF645D"/>
    <w:rsid w:val="00AF646A"/>
    <w:rsid w:val="00AF647B"/>
    <w:rsid w:val="00AF64A3"/>
    <w:rsid w:val="00AF651C"/>
    <w:rsid w:val="00AF6529"/>
    <w:rsid w:val="00AF656C"/>
    <w:rsid w:val="00AF65AE"/>
    <w:rsid w:val="00AF65DA"/>
    <w:rsid w:val="00AF664A"/>
    <w:rsid w:val="00AF66AF"/>
    <w:rsid w:val="00AF66CF"/>
    <w:rsid w:val="00AF66FA"/>
    <w:rsid w:val="00AF6745"/>
    <w:rsid w:val="00AF6750"/>
    <w:rsid w:val="00AF6758"/>
    <w:rsid w:val="00AF6784"/>
    <w:rsid w:val="00AF681D"/>
    <w:rsid w:val="00AF68A6"/>
    <w:rsid w:val="00AF6950"/>
    <w:rsid w:val="00AF6958"/>
    <w:rsid w:val="00AF698F"/>
    <w:rsid w:val="00AF69AB"/>
    <w:rsid w:val="00AF69B1"/>
    <w:rsid w:val="00AF6A1D"/>
    <w:rsid w:val="00AF6A75"/>
    <w:rsid w:val="00AF6AC7"/>
    <w:rsid w:val="00AF6ACB"/>
    <w:rsid w:val="00AF6AD3"/>
    <w:rsid w:val="00AF6AFC"/>
    <w:rsid w:val="00AF6B05"/>
    <w:rsid w:val="00AF6B56"/>
    <w:rsid w:val="00AF6B6A"/>
    <w:rsid w:val="00AF6B6E"/>
    <w:rsid w:val="00AF6B92"/>
    <w:rsid w:val="00AF6C27"/>
    <w:rsid w:val="00AF6C2C"/>
    <w:rsid w:val="00AF6C81"/>
    <w:rsid w:val="00AF6CC1"/>
    <w:rsid w:val="00AF6CE8"/>
    <w:rsid w:val="00AF6D2B"/>
    <w:rsid w:val="00AF6D5F"/>
    <w:rsid w:val="00AF6D8F"/>
    <w:rsid w:val="00AF6DC1"/>
    <w:rsid w:val="00AF6E96"/>
    <w:rsid w:val="00AF6EF3"/>
    <w:rsid w:val="00AF6F05"/>
    <w:rsid w:val="00AF6F7B"/>
    <w:rsid w:val="00AF6F88"/>
    <w:rsid w:val="00AF6FA2"/>
    <w:rsid w:val="00AF7025"/>
    <w:rsid w:val="00AF7093"/>
    <w:rsid w:val="00AF7131"/>
    <w:rsid w:val="00AF7219"/>
    <w:rsid w:val="00AF7226"/>
    <w:rsid w:val="00AF7270"/>
    <w:rsid w:val="00AF72B3"/>
    <w:rsid w:val="00AF72BD"/>
    <w:rsid w:val="00AF72C7"/>
    <w:rsid w:val="00AF72CD"/>
    <w:rsid w:val="00AF7374"/>
    <w:rsid w:val="00AF7378"/>
    <w:rsid w:val="00AF7381"/>
    <w:rsid w:val="00AF7382"/>
    <w:rsid w:val="00AF73A9"/>
    <w:rsid w:val="00AF746A"/>
    <w:rsid w:val="00AF746F"/>
    <w:rsid w:val="00AF758E"/>
    <w:rsid w:val="00AF75CF"/>
    <w:rsid w:val="00AF769A"/>
    <w:rsid w:val="00AF77DC"/>
    <w:rsid w:val="00AF780E"/>
    <w:rsid w:val="00AF7847"/>
    <w:rsid w:val="00AF786A"/>
    <w:rsid w:val="00AF788B"/>
    <w:rsid w:val="00AF78C9"/>
    <w:rsid w:val="00AF79AF"/>
    <w:rsid w:val="00AF79D8"/>
    <w:rsid w:val="00AF79F0"/>
    <w:rsid w:val="00AF7A1D"/>
    <w:rsid w:val="00AF7A69"/>
    <w:rsid w:val="00AF7A73"/>
    <w:rsid w:val="00AF7A9C"/>
    <w:rsid w:val="00AF7ABD"/>
    <w:rsid w:val="00AF7ADE"/>
    <w:rsid w:val="00AF7B5C"/>
    <w:rsid w:val="00AF7B90"/>
    <w:rsid w:val="00AF7BA5"/>
    <w:rsid w:val="00AF7C66"/>
    <w:rsid w:val="00AF7C88"/>
    <w:rsid w:val="00AF7CB1"/>
    <w:rsid w:val="00AF7CBC"/>
    <w:rsid w:val="00AF7CC7"/>
    <w:rsid w:val="00AF7CCB"/>
    <w:rsid w:val="00AF7CCF"/>
    <w:rsid w:val="00AF7CD3"/>
    <w:rsid w:val="00AF7DA5"/>
    <w:rsid w:val="00AF7DC5"/>
    <w:rsid w:val="00AF7DCD"/>
    <w:rsid w:val="00AF7DDC"/>
    <w:rsid w:val="00AF7E07"/>
    <w:rsid w:val="00AF7E3E"/>
    <w:rsid w:val="00AF7EA8"/>
    <w:rsid w:val="00AF7EC2"/>
    <w:rsid w:val="00AF7EE3"/>
    <w:rsid w:val="00AF7F0A"/>
    <w:rsid w:val="00AF7F47"/>
    <w:rsid w:val="00AF7FDE"/>
    <w:rsid w:val="00AF7FE8"/>
    <w:rsid w:val="00AF9583"/>
    <w:rsid w:val="00B000CD"/>
    <w:rsid w:val="00B0012E"/>
    <w:rsid w:val="00B0016F"/>
    <w:rsid w:val="00B001F1"/>
    <w:rsid w:val="00B0024F"/>
    <w:rsid w:val="00B002F6"/>
    <w:rsid w:val="00B0036A"/>
    <w:rsid w:val="00B003B1"/>
    <w:rsid w:val="00B003B3"/>
    <w:rsid w:val="00B0040F"/>
    <w:rsid w:val="00B00420"/>
    <w:rsid w:val="00B00483"/>
    <w:rsid w:val="00B004CE"/>
    <w:rsid w:val="00B00567"/>
    <w:rsid w:val="00B00582"/>
    <w:rsid w:val="00B0066E"/>
    <w:rsid w:val="00B00700"/>
    <w:rsid w:val="00B00744"/>
    <w:rsid w:val="00B0076E"/>
    <w:rsid w:val="00B00798"/>
    <w:rsid w:val="00B00801"/>
    <w:rsid w:val="00B00886"/>
    <w:rsid w:val="00B00971"/>
    <w:rsid w:val="00B00973"/>
    <w:rsid w:val="00B009C4"/>
    <w:rsid w:val="00B009FB"/>
    <w:rsid w:val="00B00B0A"/>
    <w:rsid w:val="00B00B62"/>
    <w:rsid w:val="00B00B8E"/>
    <w:rsid w:val="00B00BAF"/>
    <w:rsid w:val="00B00BF8"/>
    <w:rsid w:val="00B00CC8"/>
    <w:rsid w:val="00B00D2A"/>
    <w:rsid w:val="00B00D8D"/>
    <w:rsid w:val="00B00DCC"/>
    <w:rsid w:val="00B00DDB"/>
    <w:rsid w:val="00B00DF4"/>
    <w:rsid w:val="00B00E09"/>
    <w:rsid w:val="00B00EA8"/>
    <w:rsid w:val="00B00F0C"/>
    <w:rsid w:val="00B00F4B"/>
    <w:rsid w:val="00B00F5D"/>
    <w:rsid w:val="00B00F92"/>
    <w:rsid w:val="00B01024"/>
    <w:rsid w:val="00B0102B"/>
    <w:rsid w:val="00B01042"/>
    <w:rsid w:val="00B011A4"/>
    <w:rsid w:val="00B011CC"/>
    <w:rsid w:val="00B0128D"/>
    <w:rsid w:val="00B012BC"/>
    <w:rsid w:val="00B012CC"/>
    <w:rsid w:val="00B012ED"/>
    <w:rsid w:val="00B0132C"/>
    <w:rsid w:val="00B01334"/>
    <w:rsid w:val="00B013C5"/>
    <w:rsid w:val="00B0148C"/>
    <w:rsid w:val="00B01495"/>
    <w:rsid w:val="00B015A7"/>
    <w:rsid w:val="00B01600"/>
    <w:rsid w:val="00B01633"/>
    <w:rsid w:val="00B01636"/>
    <w:rsid w:val="00B016C5"/>
    <w:rsid w:val="00B016EE"/>
    <w:rsid w:val="00B01706"/>
    <w:rsid w:val="00B01741"/>
    <w:rsid w:val="00B01767"/>
    <w:rsid w:val="00B0176E"/>
    <w:rsid w:val="00B017DE"/>
    <w:rsid w:val="00B017F0"/>
    <w:rsid w:val="00B0182B"/>
    <w:rsid w:val="00B0182C"/>
    <w:rsid w:val="00B01891"/>
    <w:rsid w:val="00B018CE"/>
    <w:rsid w:val="00B019F6"/>
    <w:rsid w:val="00B01A35"/>
    <w:rsid w:val="00B01A71"/>
    <w:rsid w:val="00B01A95"/>
    <w:rsid w:val="00B01AC5"/>
    <w:rsid w:val="00B01ACE"/>
    <w:rsid w:val="00B01AD2"/>
    <w:rsid w:val="00B01AED"/>
    <w:rsid w:val="00B01B32"/>
    <w:rsid w:val="00B01B3B"/>
    <w:rsid w:val="00B01B5B"/>
    <w:rsid w:val="00B01C37"/>
    <w:rsid w:val="00B01C66"/>
    <w:rsid w:val="00B01C89"/>
    <w:rsid w:val="00B01CA2"/>
    <w:rsid w:val="00B01CF5"/>
    <w:rsid w:val="00B01D1E"/>
    <w:rsid w:val="00B01D20"/>
    <w:rsid w:val="00B01D2F"/>
    <w:rsid w:val="00B01D46"/>
    <w:rsid w:val="00B01D48"/>
    <w:rsid w:val="00B01DA1"/>
    <w:rsid w:val="00B01DB3"/>
    <w:rsid w:val="00B01E00"/>
    <w:rsid w:val="00B01E0A"/>
    <w:rsid w:val="00B01E29"/>
    <w:rsid w:val="00B01E3F"/>
    <w:rsid w:val="00B01E4A"/>
    <w:rsid w:val="00B01E53"/>
    <w:rsid w:val="00B01F55"/>
    <w:rsid w:val="00B02008"/>
    <w:rsid w:val="00B02060"/>
    <w:rsid w:val="00B02061"/>
    <w:rsid w:val="00B020DC"/>
    <w:rsid w:val="00B0213F"/>
    <w:rsid w:val="00B0218D"/>
    <w:rsid w:val="00B021A0"/>
    <w:rsid w:val="00B022AB"/>
    <w:rsid w:val="00B0230F"/>
    <w:rsid w:val="00B0231B"/>
    <w:rsid w:val="00B0234E"/>
    <w:rsid w:val="00B02350"/>
    <w:rsid w:val="00B0236F"/>
    <w:rsid w:val="00B023AF"/>
    <w:rsid w:val="00B0241B"/>
    <w:rsid w:val="00B02426"/>
    <w:rsid w:val="00B024A8"/>
    <w:rsid w:val="00B025E6"/>
    <w:rsid w:val="00B02679"/>
    <w:rsid w:val="00B02698"/>
    <w:rsid w:val="00B02721"/>
    <w:rsid w:val="00B02758"/>
    <w:rsid w:val="00B027A3"/>
    <w:rsid w:val="00B027EA"/>
    <w:rsid w:val="00B0280E"/>
    <w:rsid w:val="00B02837"/>
    <w:rsid w:val="00B028B2"/>
    <w:rsid w:val="00B028E2"/>
    <w:rsid w:val="00B0291B"/>
    <w:rsid w:val="00B02921"/>
    <w:rsid w:val="00B0293A"/>
    <w:rsid w:val="00B0296B"/>
    <w:rsid w:val="00B029E5"/>
    <w:rsid w:val="00B02A04"/>
    <w:rsid w:val="00B02A08"/>
    <w:rsid w:val="00B02A78"/>
    <w:rsid w:val="00B02B22"/>
    <w:rsid w:val="00B02B2B"/>
    <w:rsid w:val="00B02B38"/>
    <w:rsid w:val="00B02B3A"/>
    <w:rsid w:val="00B02B70"/>
    <w:rsid w:val="00B02B8D"/>
    <w:rsid w:val="00B02BF2"/>
    <w:rsid w:val="00B02C34"/>
    <w:rsid w:val="00B02C9D"/>
    <w:rsid w:val="00B02CB3"/>
    <w:rsid w:val="00B02CC2"/>
    <w:rsid w:val="00B02CD5"/>
    <w:rsid w:val="00B02D00"/>
    <w:rsid w:val="00B02D3F"/>
    <w:rsid w:val="00B02D84"/>
    <w:rsid w:val="00B02D88"/>
    <w:rsid w:val="00B02DDC"/>
    <w:rsid w:val="00B02E45"/>
    <w:rsid w:val="00B02E64"/>
    <w:rsid w:val="00B02E6A"/>
    <w:rsid w:val="00B02E6D"/>
    <w:rsid w:val="00B02F7C"/>
    <w:rsid w:val="00B02F8E"/>
    <w:rsid w:val="00B02F95"/>
    <w:rsid w:val="00B02FFA"/>
    <w:rsid w:val="00B030C1"/>
    <w:rsid w:val="00B030D5"/>
    <w:rsid w:val="00B030E8"/>
    <w:rsid w:val="00B0313F"/>
    <w:rsid w:val="00B0315E"/>
    <w:rsid w:val="00B03178"/>
    <w:rsid w:val="00B031D8"/>
    <w:rsid w:val="00B031EA"/>
    <w:rsid w:val="00B032EB"/>
    <w:rsid w:val="00B03337"/>
    <w:rsid w:val="00B033A7"/>
    <w:rsid w:val="00B033E1"/>
    <w:rsid w:val="00B033E6"/>
    <w:rsid w:val="00B03472"/>
    <w:rsid w:val="00B03497"/>
    <w:rsid w:val="00B034DA"/>
    <w:rsid w:val="00B034E8"/>
    <w:rsid w:val="00B034F4"/>
    <w:rsid w:val="00B0352D"/>
    <w:rsid w:val="00B0358B"/>
    <w:rsid w:val="00B0359D"/>
    <w:rsid w:val="00B0373F"/>
    <w:rsid w:val="00B0374D"/>
    <w:rsid w:val="00B03765"/>
    <w:rsid w:val="00B03771"/>
    <w:rsid w:val="00B037D8"/>
    <w:rsid w:val="00B0382D"/>
    <w:rsid w:val="00B038D1"/>
    <w:rsid w:val="00B0396C"/>
    <w:rsid w:val="00B039A3"/>
    <w:rsid w:val="00B039C1"/>
    <w:rsid w:val="00B039E5"/>
    <w:rsid w:val="00B03AA4"/>
    <w:rsid w:val="00B03AB4"/>
    <w:rsid w:val="00B03B18"/>
    <w:rsid w:val="00B03B27"/>
    <w:rsid w:val="00B03B31"/>
    <w:rsid w:val="00B03B7C"/>
    <w:rsid w:val="00B03C0B"/>
    <w:rsid w:val="00B03C0E"/>
    <w:rsid w:val="00B03C34"/>
    <w:rsid w:val="00B03CA0"/>
    <w:rsid w:val="00B03CE0"/>
    <w:rsid w:val="00B03CEA"/>
    <w:rsid w:val="00B03D0C"/>
    <w:rsid w:val="00B03D1F"/>
    <w:rsid w:val="00B03D49"/>
    <w:rsid w:val="00B03D75"/>
    <w:rsid w:val="00B03D91"/>
    <w:rsid w:val="00B03EFE"/>
    <w:rsid w:val="00B03F28"/>
    <w:rsid w:val="00B03F78"/>
    <w:rsid w:val="00B04010"/>
    <w:rsid w:val="00B0406F"/>
    <w:rsid w:val="00B040A7"/>
    <w:rsid w:val="00B040A9"/>
    <w:rsid w:val="00B040C0"/>
    <w:rsid w:val="00B0412E"/>
    <w:rsid w:val="00B0415C"/>
    <w:rsid w:val="00B04241"/>
    <w:rsid w:val="00B04259"/>
    <w:rsid w:val="00B042D7"/>
    <w:rsid w:val="00B043B1"/>
    <w:rsid w:val="00B043BC"/>
    <w:rsid w:val="00B04425"/>
    <w:rsid w:val="00B04459"/>
    <w:rsid w:val="00B04471"/>
    <w:rsid w:val="00B04482"/>
    <w:rsid w:val="00B04499"/>
    <w:rsid w:val="00B044AC"/>
    <w:rsid w:val="00B044F0"/>
    <w:rsid w:val="00B045EB"/>
    <w:rsid w:val="00B04645"/>
    <w:rsid w:val="00B0468A"/>
    <w:rsid w:val="00B046F9"/>
    <w:rsid w:val="00B0475F"/>
    <w:rsid w:val="00B0478A"/>
    <w:rsid w:val="00B047B7"/>
    <w:rsid w:val="00B047CD"/>
    <w:rsid w:val="00B0480C"/>
    <w:rsid w:val="00B0486F"/>
    <w:rsid w:val="00B04882"/>
    <w:rsid w:val="00B04887"/>
    <w:rsid w:val="00B04895"/>
    <w:rsid w:val="00B048D5"/>
    <w:rsid w:val="00B048E9"/>
    <w:rsid w:val="00B049AE"/>
    <w:rsid w:val="00B049C6"/>
    <w:rsid w:val="00B04A50"/>
    <w:rsid w:val="00B04AC6"/>
    <w:rsid w:val="00B04AEC"/>
    <w:rsid w:val="00B04AF0"/>
    <w:rsid w:val="00B04B24"/>
    <w:rsid w:val="00B04B66"/>
    <w:rsid w:val="00B04BB9"/>
    <w:rsid w:val="00B04BC2"/>
    <w:rsid w:val="00B04BEE"/>
    <w:rsid w:val="00B04C04"/>
    <w:rsid w:val="00B04C0D"/>
    <w:rsid w:val="00B04C31"/>
    <w:rsid w:val="00B04C56"/>
    <w:rsid w:val="00B04C64"/>
    <w:rsid w:val="00B04CAA"/>
    <w:rsid w:val="00B04D1F"/>
    <w:rsid w:val="00B04D22"/>
    <w:rsid w:val="00B04D4F"/>
    <w:rsid w:val="00B04DAE"/>
    <w:rsid w:val="00B04E1D"/>
    <w:rsid w:val="00B04E62"/>
    <w:rsid w:val="00B04EB5"/>
    <w:rsid w:val="00B04EC3"/>
    <w:rsid w:val="00B04EF9"/>
    <w:rsid w:val="00B04F1C"/>
    <w:rsid w:val="00B04F34"/>
    <w:rsid w:val="00B04F58"/>
    <w:rsid w:val="00B05019"/>
    <w:rsid w:val="00B05055"/>
    <w:rsid w:val="00B0505F"/>
    <w:rsid w:val="00B05072"/>
    <w:rsid w:val="00B05096"/>
    <w:rsid w:val="00B050A5"/>
    <w:rsid w:val="00B050C6"/>
    <w:rsid w:val="00B050FA"/>
    <w:rsid w:val="00B05115"/>
    <w:rsid w:val="00B05139"/>
    <w:rsid w:val="00B05170"/>
    <w:rsid w:val="00B051A1"/>
    <w:rsid w:val="00B05273"/>
    <w:rsid w:val="00B05288"/>
    <w:rsid w:val="00B052BD"/>
    <w:rsid w:val="00B05319"/>
    <w:rsid w:val="00B05363"/>
    <w:rsid w:val="00B05386"/>
    <w:rsid w:val="00B05389"/>
    <w:rsid w:val="00B053AD"/>
    <w:rsid w:val="00B05433"/>
    <w:rsid w:val="00B05455"/>
    <w:rsid w:val="00B054E2"/>
    <w:rsid w:val="00B054E3"/>
    <w:rsid w:val="00B0550C"/>
    <w:rsid w:val="00B0554E"/>
    <w:rsid w:val="00B0554F"/>
    <w:rsid w:val="00B05560"/>
    <w:rsid w:val="00B05569"/>
    <w:rsid w:val="00B055E0"/>
    <w:rsid w:val="00B055E1"/>
    <w:rsid w:val="00B05648"/>
    <w:rsid w:val="00B05710"/>
    <w:rsid w:val="00B05736"/>
    <w:rsid w:val="00B057C1"/>
    <w:rsid w:val="00B057DF"/>
    <w:rsid w:val="00B058B5"/>
    <w:rsid w:val="00B058D4"/>
    <w:rsid w:val="00B05941"/>
    <w:rsid w:val="00B05948"/>
    <w:rsid w:val="00B0594C"/>
    <w:rsid w:val="00B05954"/>
    <w:rsid w:val="00B05980"/>
    <w:rsid w:val="00B059BF"/>
    <w:rsid w:val="00B059C6"/>
    <w:rsid w:val="00B05A66"/>
    <w:rsid w:val="00B05A6D"/>
    <w:rsid w:val="00B05A6F"/>
    <w:rsid w:val="00B05A83"/>
    <w:rsid w:val="00B05AC1"/>
    <w:rsid w:val="00B05B7D"/>
    <w:rsid w:val="00B05BCC"/>
    <w:rsid w:val="00B05BD2"/>
    <w:rsid w:val="00B05C87"/>
    <w:rsid w:val="00B05C92"/>
    <w:rsid w:val="00B05CD2"/>
    <w:rsid w:val="00B05D12"/>
    <w:rsid w:val="00B05D26"/>
    <w:rsid w:val="00B05D66"/>
    <w:rsid w:val="00B05D67"/>
    <w:rsid w:val="00B05E72"/>
    <w:rsid w:val="00B05E75"/>
    <w:rsid w:val="00B05EC2"/>
    <w:rsid w:val="00B05EFF"/>
    <w:rsid w:val="00B05F55"/>
    <w:rsid w:val="00B05F7D"/>
    <w:rsid w:val="00B05FBC"/>
    <w:rsid w:val="00B0607A"/>
    <w:rsid w:val="00B06097"/>
    <w:rsid w:val="00B060B7"/>
    <w:rsid w:val="00B060E0"/>
    <w:rsid w:val="00B06174"/>
    <w:rsid w:val="00B0617F"/>
    <w:rsid w:val="00B06190"/>
    <w:rsid w:val="00B06244"/>
    <w:rsid w:val="00B0628F"/>
    <w:rsid w:val="00B06325"/>
    <w:rsid w:val="00B0637D"/>
    <w:rsid w:val="00B063EB"/>
    <w:rsid w:val="00B06489"/>
    <w:rsid w:val="00B06529"/>
    <w:rsid w:val="00B0654F"/>
    <w:rsid w:val="00B06561"/>
    <w:rsid w:val="00B0656A"/>
    <w:rsid w:val="00B0660D"/>
    <w:rsid w:val="00B06633"/>
    <w:rsid w:val="00B06662"/>
    <w:rsid w:val="00B06676"/>
    <w:rsid w:val="00B06691"/>
    <w:rsid w:val="00B066E3"/>
    <w:rsid w:val="00B066F5"/>
    <w:rsid w:val="00B06771"/>
    <w:rsid w:val="00B067B0"/>
    <w:rsid w:val="00B067E6"/>
    <w:rsid w:val="00B06868"/>
    <w:rsid w:val="00B068ED"/>
    <w:rsid w:val="00B068F3"/>
    <w:rsid w:val="00B0690C"/>
    <w:rsid w:val="00B06956"/>
    <w:rsid w:val="00B0695F"/>
    <w:rsid w:val="00B06A02"/>
    <w:rsid w:val="00B06A1F"/>
    <w:rsid w:val="00B06A26"/>
    <w:rsid w:val="00B06A29"/>
    <w:rsid w:val="00B06B2D"/>
    <w:rsid w:val="00B06B66"/>
    <w:rsid w:val="00B06B71"/>
    <w:rsid w:val="00B06B95"/>
    <w:rsid w:val="00B06B9C"/>
    <w:rsid w:val="00B06BA7"/>
    <w:rsid w:val="00B06BD4"/>
    <w:rsid w:val="00B06BE5"/>
    <w:rsid w:val="00B06BF9"/>
    <w:rsid w:val="00B06C8D"/>
    <w:rsid w:val="00B06D34"/>
    <w:rsid w:val="00B06D6C"/>
    <w:rsid w:val="00B06D74"/>
    <w:rsid w:val="00B06D7E"/>
    <w:rsid w:val="00B06DFD"/>
    <w:rsid w:val="00B06E27"/>
    <w:rsid w:val="00B06E2F"/>
    <w:rsid w:val="00B06E37"/>
    <w:rsid w:val="00B06E9F"/>
    <w:rsid w:val="00B06F5B"/>
    <w:rsid w:val="00B06FDD"/>
    <w:rsid w:val="00B06FE3"/>
    <w:rsid w:val="00B07033"/>
    <w:rsid w:val="00B070C1"/>
    <w:rsid w:val="00B070CC"/>
    <w:rsid w:val="00B07103"/>
    <w:rsid w:val="00B07188"/>
    <w:rsid w:val="00B071C4"/>
    <w:rsid w:val="00B071CC"/>
    <w:rsid w:val="00B071D8"/>
    <w:rsid w:val="00B07214"/>
    <w:rsid w:val="00B07232"/>
    <w:rsid w:val="00B0724A"/>
    <w:rsid w:val="00B072FD"/>
    <w:rsid w:val="00B0736A"/>
    <w:rsid w:val="00B0737C"/>
    <w:rsid w:val="00B0737D"/>
    <w:rsid w:val="00B07399"/>
    <w:rsid w:val="00B073EB"/>
    <w:rsid w:val="00B07504"/>
    <w:rsid w:val="00B07512"/>
    <w:rsid w:val="00B0753C"/>
    <w:rsid w:val="00B07549"/>
    <w:rsid w:val="00B07569"/>
    <w:rsid w:val="00B0757D"/>
    <w:rsid w:val="00B075C9"/>
    <w:rsid w:val="00B07634"/>
    <w:rsid w:val="00B07645"/>
    <w:rsid w:val="00B0766C"/>
    <w:rsid w:val="00B0769B"/>
    <w:rsid w:val="00B077FE"/>
    <w:rsid w:val="00B07811"/>
    <w:rsid w:val="00B078C9"/>
    <w:rsid w:val="00B078FC"/>
    <w:rsid w:val="00B07916"/>
    <w:rsid w:val="00B07966"/>
    <w:rsid w:val="00B07A14"/>
    <w:rsid w:val="00B07AA4"/>
    <w:rsid w:val="00B07AB5"/>
    <w:rsid w:val="00B07AED"/>
    <w:rsid w:val="00B07B13"/>
    <w:rsid w:val="00B07B3B"/>
    <w:rsid w:val="00B07B4C"/>
    <w:rsid w:val="00B07B50"/>
    <w:rsid w:val="00B07B51"/>
    <w:rsid w:val="00B07B71"/>
    <w:rsid w:val="00B07B81"/>
    <w:rsid w:val="00B07C65"/>
    <w:rsid w:val="00B07C74"/>
    <w:rsid w:val="00B07CA1"/>
    <w:rsid w:val="00B07D67"/>
    <w:rsid w:val="00B07DB6"/>
    <w:rsid w:val="00B07E2A"/>
    <w:rsid w:val="00B07E6E"/>
    <w:rsid w:val="00B07E98"/>
    <w:rsid w:val="00B07EF7"/>
    <w:rsid w:val="00B07F4E"/>
    <w:rsid w:val="00B07F58"/>
    <w:rsid w:val="00B07F7B"/>
    <w:rsid w:val="00B07F93"/>
    <w:rsid w:val="00B10042"/>
    <w:rsid w:val="00B10056"/>
    <w:rsid w:val="00B1009C"/>
    <w:rsid w:val="00B100C4"/>
    <w:rsid w:val="00B100CA"/>
    <w:rsid w:val="00B10109"/>
    <w:rsid w:val="00B10138"/>
    <w:rsid w:val="00B10147"/>
    <w:rsid w:val="00B1016F"/>
    <w:rsid w:val="00B101AC"/>
    <w:rsid w:val="00B101B0"/>
    <w:rsid w:val="00B101BD"/>
    <w:rsid w:val="00B10228"/>
    <w:rsid w:val="00B1028C"/>
    <w:rsid w:val="00B10296"/>
    <w:rsid w:val="00B102B0"/>
    <w:rsid w:val="00B102E7"/>
    <w:rsid w:val="00B10320"/>
    <w:rsid w:val="00B10331"/>
    <w:rsid w:val="00B1037B"/>
    <w:rsid w:val="00B103B5"/>
    <w:rsid w:val="00B103BD"/>
    <w:rsid w:val="00B1049A"/>
    <w:rsid w:val="00B104AA"/>
    <w:rsid w:val="00B104B1"/>
    <w:rsid w:val="00B104D5"/>
    <w:rsid w:val="00B104FC"/>
    <w:rsid w:val="00B1050B"/>
    <w:rsid w:val="00B1053D"/>
    <w:rsid w:val="00B1053E"/>
    <w:rsid w:val="00B10549"/>
    <w:rsid w:val="00B10571"/>
    <w:rsid w:val="00B105F6"/>
    <w:rsid w:val="00B105F8"/>
    <w:rsid w:val="00B10604"/>
    <w:rsid w:val="00B10611"/>
    <w:rsid w:val="00B1065E"/>
    <w:rsid w:val="00B106A5"/>
    <w:rsid w:val="00B106DB"/>
    <w:rsid w:val="00B106E1"/>
    <w:rsid w:val="00B1074E"/>
    <w:rsid w:val="00B1076D"/>
    <w:rsid w:val="00B1078F"/>
    <w:rsid w:val="00B1079A"/>
    <w:rsid w:val="00B107BE"/>
    <w:rsid w:val="00B107CE"/>
    <w:rsid w:val="00B1084E"/>
    <w:rsid w:val="00B1088C"/>
    <w:rsid w:val="00B108DC"/>
    <w:rsid w:val="00B108EE"/>
    <w:rsid w:val="00B1094A"/>
    <w:rsid w:val="00B10951"/>
    <w:rsid w:val="00B10962"/>
    <w:rsid w:val="00B1096A"/>
    <w:rsid w:val="00B1097B"/>
    <w:rsid w:val="00B10A1A"/>
    <w:rsid w:val="00B10AB4"/>
    <w:rsid w:val="00B10ACC"/>
    <w:rsid w:val="00B10B8E"/>
    <w:rsid w:val="00B10BF3"/>
    <w:rsid w:val="00B10BFE"/>
    <w:rsid w:val="00B10C49"/>
    <w:rsid w:val="00B10C75"/>
    <w:rsid w:val="00B10CDC"/>
    <w:rsid w:val="00B10D25"/>
    <w:rsid w:val="00B10D2D"/>
    <w:rsid w:val="00B10D3C"/>
    <w:rsid w:val="00B10DC9"/>
    <w:rsid w:val="00B10DDD"/>
    <w:rsid w:val="00B10DEA"/>
    <w:rsid w:val="00B10E2F"/>
    <w:rsid w:val="00B10E75"/>
    <w:rsid w:val="00B10EB2"/>
    <w:rsid w:val="00B10F42"/>
    <w:rsid w:val="00B10F77"/>
    <w:rsid w:val="00B1100C"/>
    <w:rsid w:val="00B11051"/>
    <w:rsid w:val="00B11079"/>
    <w:rsid w:val="00B110BC"/>
    <w:rsid w:val="00B110C2"/>
    <w:rsid w:val="00B11151"/>
    <w:rsid w:val="00B1116D"/>
    <w:rsid w:val="00B111B6"/>
    <w:rsid w:val="00B111BB"/>
    <w:rsid w:val="00B11211"/>
    <w:rsid w:val="00B11218"/>
    <w:rsid w:val="00B11252"/>
    <w:rsid w:val="00B1125B"/>
    <w:rsid w:val="00B11260"/>
    <w:rsid w:val="00B11275"/>
    <w:rsid w:val="00B1127C"/>
    <w:rsid w:val="00B1132E"/>
    <w:rsid w:val="00B11333"/>
    <w:rsid w:val="00B11359"/>
    <w:rsid w:val="00B11376"/>
    <w:rsid w:val="00B113A7"/>
    <w:rsid w:val="00B1147D"/>
    <w:rsid w:val="00B11497"/>
    <w:rsid w:val="00B114CB"/>
    <w:rsid w:val="00B114CF"/>
    <w:rsid w:val="00B11649"/>
    <w:rsid w:val="00B11701"/>
    <w:rsid w:val="00B11715"/>
    <w:rsid w:val="00B11720"/>
    <w:rsid w:val="00B11760"/>
    <w:rsid w:val="00B1178C"/>
    <w:rsid w:val="00B1182C"/>
    <w:rsid w:val="00B11844"/>
    <w:rsid w:val="00B11853"/>
    <w:rsid w:val="00B1186B"/>
    <w:rsid w:val="00B1189B"/>
    <w:rsid w:val="00B1189E"/>
    <w:rsid w:val="00B1193D"/>
    <w:rsid w:val="00B11969"/>
    <w:rsid w:val="00B119D0"/>
    <w:rsid w:val="00B119EA"/>
    <w:rsid w:val="00B11A4B"/>
    <w:rsid w:val="00B11AB9"/>
    <w:rsid w:val="00B11B1D"/>
    <w:rsid w:val="00B11B89"/>
    <w:rsid w:val="00B11B9C"/>
    <w:rsid w:val="00B11BB0"/>
    <w:rsid w:val="00B11BDE"/>
    <w:rsid w:val="00B11C07"/>
    <w:rsid w:val="00B11C24"/>
    <w:rsid w:val="00B11C46"/>
    <w:rsid w:val="00B11D00"/>
    <w:rsid w:val="00B11D0E"/>
    <w:rsid w:val="00B11D1B"/>
    <w:rsid w:val="00B11D1C"/>
    <w:rsid w:val="00B11D1F"/>
    <w:rsid w:val="00B11D42"/>
    <w:rsid w:val="00B11E20"/>
    <w:rsid w:val="00B11EE6"/>
    <w:rsid w:val="00B11EEC"/>
    <w:rsid w:val="00B11EF4"/>
    <w:rsid w:val="00B11F09"/>
    <w:rsid w:val="00B11F10"/>
    <w:rsid w:val="00B11F65"/>
    <w:rsid w:val="00B11FA9"/>
    <w:rsid w:val="00B11FAA"/>
    <w:rsid w:val="00B11FBE"/>
    <w:rsid w:val="00B11FE2"/>
    <w:rsid w:val="00B12017"/>
    <w:rsid w:val="00B12024"/>
    <w:rsid w:val="00B1207E"/>
    <w:rsid w:val="00B120D6"/>
    <w:rsid w:val="00B12147"/>
    <w:rsid w:val="00B12199"/>
    <w:rsid w:val="00B121D3"/>
    <w:rsid w:val="00B122B7"/>
    <w:rsid w:val="00B12359"/>
    <w:rsid w:val="00B12361"/>
    <w:rsid w:val="00B12362"/>
    <w:rsid w:val="00B12370"/>
    <w:rsid w:val="00B123AA"/>
    <w:rsid w:val="00B123D1"/>
    <w:rsid w:val="00B12423"/>
    <w:rsid w:val="00B12451"/>
    <w:rsid w:val="00B12593"/>
    <w:rsid w:val="00B125DA"/>
    <w:rsid w:val="00B125DE"/>
    <w:rsid w:val="00B125E9"/>
    <w:rsid w:val="00B12606"/>
    <w:rsid w:val="00B12619"/>
    <w:rsid w:val="00B12684"/>
    <w:rsid w:val="00B12688"/>
    <w:rsid w:val="00B126CD"/>
    <w:rsid w:val="00B126ED"/>
    <w:rsid w:val="00B126F7"/>
    <w:rsid w:val="00B127BC"/>
    <w:rsid w:val="00B12908"/>
    <w:rsid w:val="00B12909"/>
    <w:rsid w:val="00B12943"/>
    <w:rsid w:val="00B1294C"/>
    <w:rsid w:val="00B1295C"/>
    <w:rsid w:val="00B1297B"/>
    <w:rsid w:val="00B129A2"/>
    <w:rsid w:val="00B129C6"/>
    <w:rsid w:val="00B129D2"/>
    <w:rsid w:val="00B129DD"/>
    <w:rsid w:val="00B129EF"/>
    <w:rsid w:val="00B12A4A"/>
    <w:rsid w:val="00B12AE6"/>
    <w:rsid w:val="00B12AF7"/>
    <w:rsid w:val="00B12B00"/>
    <w:rsid w:val="00B12C04"/>
    <w:rsid w:val="00B12C29"/>
    <w:rsid w:val="00B12CEE"/>
    <w:rsid w:val="00B12D39"/>
    <w:rsid w:val="00B12D73"/>
    <w:rsid w:val="00B12D9B"/>
    <w:rsid w:val="00B12DE6"/>
    <w:rsid w:val="00B12E4E"/>
    <w:rsid w:val="00B12E8B"/>
    <w:rsid w:val="00B12E8E"/>
    <w:rsid w:val="00B12ED4"/>
    <w:rsid w:val="00B12F09"/>
    <w:rsid w:val="00B12F60"/>
    <w:rsid w:val="00B12F6F"/>
    <w:rsid w:val="00B12F87"/>
    <w:rsid w:val="00B12FA3"/>
    <w:rsid w:val="00B12FAA"/>
    <w:rsid w:val="00B12FC9"/>
    <w:rsid w:val="00B12FEC"/>
    <w:rsid w:val="00B13006"/>
    <w:rsid w:val="00B1300B"/>
    <w:rsid w:val="00B1306F"/>
    <w:rsid w:val="00B13090"/>
    <w:rsid w:val="00B130D8"/>
    <w:rsid w:val="00B130EE"/>
    <w:rsid w:val="00B13118"/>
    <w:rsid w:val="00B1312E"/>
    <w:rsid w:val="00B13144"/>
    <w:rsid w:val="00B13167"/>
    <w:rsid w:val="00B131A9"/>
    <w:rsid w:val="00B131C9"/>
    <w:rsid w:val="00B13230"/>
    <w:rsid w:val="00B13265"/>
    <w:rsid w:val="00B13286"/>
    <w:rsid w:val="00B132E1"/>
    <w:rsid w:val="00B132F1"/>
    <w:rsid w:val="00B13337"/>
    <w:rsid w:val="00B1335E"/>
    <w:rsid w:val="00B133B5"/>
    <w:rsid w:val="00B133CD"/>
    <w:rsid w:val="00B133D3"/>
    <w:rsid w:val="00B133D9"/>
    <w:rsid w:val="00B133DA"/>
    <w:rsid w:val="00B133E2"/>
    <w:rsid w:val="00B13429"/>
    <w:rsid w:val="00B134D6"/>
    <w:rsid w:val="00B134D8"/>
    <w:rsid w:val="00B134E6"/>
    <w:rsid w:val="00B13573"/>
    <w:rsid w:val="00B1357C"/>
    <w:rsid w:val="00B135CD"/>
    <w:rsid w:val="00B1365D"/>
    <w:rsid w:val="00B136D5"/>
    <w:rsid w:val="00B136EA"/>
    <w:rsid w:val="00B1376E"/>
    <w:rsid w:val="00B13775"/>
    <w:rsid w:val="00B137A9"/>
    <w:rsid w:val="00B137AF"/>
    <w:rsid w:val="00B137B8"/>
    <w:rsid w:val="00B13825"/>
    <w:rsid w:val="00B1383B"/>
    <w:rsid w:val="00B13873"/>
    <w:rsid w:val="00B138C4"/>
    <w:rsid w:val="00B13978"/>
    <w:rsid w:val="00B139AD"/>
    <w:rsid w:val="00B139B6"/>
    <w:rsid w:val="00B139DE"/>
    <w:rsid w:val="00B13A42"/>
    <w:rsid w:val="00B13A45"/>
    <w:rsid w:val="00B13AA9"/>
    <w:rsid w:val="00B13AE6"/>
    <w:rsid w:val="00B13B56"/>
    <w:rsid w:val="00B13B57"/>
    <w:rsid w:val="00B13B8A"/>
    <w:rsid w:val="00B13BF0"/>
    <w:rsid w:val="00B13C4E"/>
    <w:rsid w:val="00B13C4F"/>
    <w:rsid w:val="00B13C80"/>
    <w:rsid w:val="00B13CAD"/>
    <w:rsid w:val="00B13CD6"/>
    <w:rsid w:val="00B13D17"/>
    <w:rsid w:val="00B13D73"/>
    <w:rsid w:val="00B13D85"/>
    <w:rsid w:val="00B13DBA"/>
    <w:rsid w:val="00B13E10"/>
    <w:rsid w:val="00B13E3E"/>
    <w:rsid w:val="00B13E49"/>
    <w:rsid w:val="00B13E54"/>
    <w:rsid w:val="00B13E6A"/>
    <w:rsid w:val="00B13E7A"/>
    <w:rsid w:val="00B13E87"/>
    <w:rsid w:val="00B13EC0"/>
    <w:rsid w:val="00B13F08"/>
    <w:rsid w:val="00B13F3A"/>
    <w:rsid w:val="00B13F46"/>
    <w:rsid w:val="00B13F48"/>
    <w:rsid w:val="00B13F6A"/>
    <w:rsid w:val="00B13F96"/>
    <w:rsid w:val="00B13FBA"/>
    <w:rsid w:val="00B14041"/>
    <w:rsid w:val="00B140B6"/>
    <w:rsid w:val="00B140CC"/>
    <w:rsid w:val="00B140FE"/>
    <w:rsid w:val="00B14172"/>
    <w:rsid w:val="00B1418D"/>
    <w:rsid w:val="00B142A8"/>
    <w:rsid w:val="00B142DF"/>
    <w:rsid w:val="00B142E5"/>
    <w:rsid w:val="00B14300"/>
    <w:rsid w:val="00B14323"/>
    <w:rsid w:val="00B14386"/>
    <w:rsid w:val="00B1442A"/>
    <w:rsid w:val="00B1442E"/>
    <w:rsid w:val="00B14514"/>
    <w:rsid w:val="00B1451D"/>
    <w:rsid w:val="00B1456F"/>
    <w:rsid w:val="00B14605"/>
    <w:rsid w:val="00B1460F"/>
    <w:rsid w:val="00B1469C"/>
    <w:rsid w:val="00B146C7"/>
    <w:rsid w:val="00B146CF"/>
    <w:rsid w:val="00B146E0"/>
    <w:rsid w:val="00B146EC"/>
    <w:rsid w:val="00B1478B"/>
    <w:rsid w:val="00B14793"/>
    <w:rsid w:val="00B1479C"/>
    <w:rsid w:val="00B148A3"/>
    <w:rsid w:val="00B148D8"/>
    <w:rsid w:val="00B148EC"/>
    <w:rsid w:val="00B1495A"/>
    <w:rsid w:val="00B14997"/>
    <w:rsid w:val="00B149B2"/>
    <w:rsid w:val="00B149B5"/>
    <w:rsid w:val="00B149F6"/>
    <w:rsid w:val="00B14A24"/>
    <w:rsid w:val="00B14AA1"/>
    <w:rsid w:val="00B14AB6"/>
    <w:rsid w:val="00B14B79"/>
    <w:rsid w:val="00B14B98"/>
    <w:rsid w:val="00B14BA0"/>
    <w:rsid w:val="00B14BD2"/>
    <w:rsid w:val="00B14C3F"/>
    <w:rsid w:val="00B14CD7"/>
    <w:rsid w:val="00B14D75"/>
    <w:rsid w:val="00B14D85"/>
    <w:rsid w:val="00B14D8D"/>
    <w:rsid w:val="00B14E18"/>
    <w:rsid w:val="00B14F0D"/>
    <w:rsid w:val="00B14F2C"/>
    <w:rsid w:val="00B14F5D"/>
    <w:rsid w:val="00B14F60"/>
    <w:rsid w:val="00B14FA4"/>
    <w:rsid w:val="00B15003"/>
    <w:rsid w:val="00B15046"/>
    <w:rsid w:val="00B1504D"/>
    <w:rsid w:val="00B15093"/>
    <w:rsid w:val="00B150D5"/>
    <w:rsid w:val="00B15152"/>
    <w:rsid w:val="00B151A8"/>
    <w:rsid w:val="00B151FA"/>
    <w:rsid w:val="00B15213"/>
    <w:rsid w:val="00B15221"/>
    <w:rsid w:val="00B1527B"/>
    <w:rsid w:val="00B15289"/>
    <w:rsid w:val="00B15295"/>
    <w:rsid w:val="00B152DB"/>
    <w:rsid w:val="00B1532A"/>
    <w:rsid w:val="00B1532D"/>
    <w:rsid w:val="00B1534C"/>
    <w:rsid w:val="00B15428"/>
    <w:rsid w:val="00B1542B"/>
    <w:rsid w:val="00B1543A"/>
    <w:rsid w:val="00B15460"/>
    <w:rsid w:val="00B15498"/>
    <w:rsid w:val="00B1549C"/>
    <w:rsid w:val="00B154D4"/>
    <w:rsid w:val="00B154EB"/>
    <w:rsid w:val="00B155FD"/>
    <w:rsid w:val="00B15626"/>
    <w:rsid w:val="00B15638"/>
    <w:rsid w:val="00B15687"/>
    <w:rsid w:val="00B1569B"/>
    <w:rsid w:val="00B15705"/>
    <w:rsid w:val="00B1570C"/>
    <w:rsid w:val="00B15718"/>
    <w:rsid w:val="00B157D5"/>
    <w:rsid w:val="00B15828"/>
    <w:rsid w:val="00B15885"/>
    <w:rsid w:val="00B158A1"/>
    <w:rsid w:val="00B158B3"/>
    <w:rsid w:val="00B158F1"/>
    <w:rsid w:val="00B15944"/>
    <w:rsid w:val="00B15948"/>
    <w:rsid w:val="00B1596A"/>
    <w:rsid w:val="00B159BC"/>
    <w:rsid w:val="00B15A99"/>
    <w:rsid w:val="00B15AA2"/>
    <w:rsid w:val="00B15AFC"/>
    <w:rsid w:val="00B15B25"/>
    <w:rsid w:val="00B15BC2"/>
    <w:rsid w:val="00B15C1A"/>
    <w:rsid w:val="00B15C87"/>
    <w:rsid w:val="00B15CA6"/>
    <w:rsid w:val="00B15CAC"/>
    <w:rsid w:val="00B15CCE"/>
    <w:rsid w:val="00B15D5B"/>
    <w:rsid w:val="00B15E22"/>
    <w:rsid w:val="00B15E93"/>
    <w:rsid w:val="00B15F07"/>
    <w:rsid w:val="00B15F08"/>
    <w:rsid w:val="00B15F85"/>
    <w:rsid w:val="00B15FA8"/>
    <w:rsid w:val="00B15FB8"/>
    <w:rsid w:val="00B16030"/>
    <w:rsid w:val="00B16055"/>
    <w:rsid w:val="00B16065"/>
    <w:rsid w:val="00B16085"/>
    <w:rsid w:val="00B1611B"/>
    <w:rsid w:val="00B1616B"/>
    <w:rsid w:val="00B16191"/>
    <w:rsid w:val="00B161FF"/>
    <w:rsid w:val="00B16211"/>
    <w:rsid w:val="00B16289"/>
    <w:rsid w:val="00B1628B"/>
    <w:rsid w:val="00B162C0"/>
    <w:rsid w:val="00B162C5"/>
    <w:rsid w:val="00B16361"/>
    <w:rsid w:val="00B1636B"/>
    <w:rsid w:val="00B1636E"/>
    <w:rsid w:val="00B1637D"/>
    <w:rsid w:val="00B163A4"/>
    <w:rsid w:val="00B163A8"/>
    <w:rsid w:val="00B163B6"/>
    <w:rsid w:val="00B16451"/>
    <w:rsid w:val="00B164AC"/>
    <w:rsid w:val="00B164B3"/>
    <w:rsid w:val="00B164CF"/>
    <w:rsid w:val="00B164FD"/>
    <w:rsid w:val="00B16522"/>
    <w:rsid w:val="00B16548"/>
    <w:rsid w:val="00B165BB"/>
    <w:rsid w:val="00B165F9"/>
    <w:rsid w:val="00B16692"/>
    <w:rsid w:val="00B166E2"/>
    <w:rsid w:val="00B16703"/>
    <w:rsid w:val="00B16745"/>
    <w:rsid w:val="00B16746"/>
    <w:rsid w:val="00B16749"/>
    <w:rsid w:val="00B1679A"/>
    <w:rsid w:val="00B167AF"/>
    <w:rsid w:val="00B167E9"/>
    <w:rsid w:val="00B16812"/>
    <w:rsid w:val="00B16825"/>
    <w:rsid w:val="00B16830"/>
    <w:rsid w:val="00B1689F"/>
    <w:rsid w:val="00B168A2"/>
    <w:rsid w:val="00B168E2"/>
    <w:rsid w:val="00B168F8"/>
    <w:rsid w:val="00B1693E"/>
    <w:rsid w:val="00B16979"/>
    <w:rsid w:val="00B169F7"/>
    <w:rsid w:val="00B169FC"/>
    <w:rsid w:val="00B16A8D"/>
    <w:rsid w:val="00B16A91"/>
    <w:rsid w:val="00B16AB6"/>
    <w:rsid w:val="00B16AC5"/>
    <w:rsid w:val="00B16B0C"/>
    <w:rsid w:val="00B16B84"/>
    <w:rsid w:val="00B16B96"/>
    <w:rsid w:val="00B16BDD"/>
    <w:rsid w:val="00B16C33"/>
    <w:rsid w:val="00B16C5B"/>
    <w:rsid w:val="00B16CF1"/>
    <w:rsid w:val="00B16D20"/>
    <w:rsid w:val="00B16D64"/>
    <w:rsid w:val="00B16D7C"/>
    <w:rsid w:val="00B16D82"/>
    <w:rsid w:val="00B16DC6"/>
    <w:rsid w:val="00B16DE8"/>
    <w:rsid w:val="00B16E3B"/>
    <w:rsid w:val="00B16E53"/>
    <w:rsid w:val="00B16E73"/>
    <w:rsid w:val="00B16EE4"/>
    <w:rsid w:val="00B16F40"/>
    <w:rsid w:val="00B16F6D"/>
    <w:rsid w:val="00B16F8F"/>
    <w:rsid w:val="00B16F94"/>
    <w:rsid w:val="00B16F9A"/>
    <w:rsid w:val="00B16FB0"/>
    <w:rsid w:val="00B16FBB"/>
    <w:rsid w:val="00B16FC8"/>
    <w:rsid w:val="00B17074"/>
    <w:rsid w:val="00B17078"/>
    <w:rsid w:val="00B170AB"/>
    <w:rsid w:val="00B171B3"/>
    <w:rsid w:val="00B171BB"/>
    <w:rsid w:val="00B171CE"/>
    <w:rsid w:val="00B171F5"/>
    <w:rsid w:val="00B17211"/>
    <w:rsid w:val="00B1722D"/>
    <w:rsid w:val="00B1723F"/>
    <w:rsid w:val="00B1726A"/>
    <w:rsid w:val="00B172C2"/>
    <w:rsid w:val="00B17306"/>
    <w:rsid w:val="00B17313"/>
    <w:rsid w:val="00B17315"/>
    <w:rsid w:val="00B17317"/>
    <w:rsid w:val="00B173D9"/>
    <w:rsid w:val="00B1744B"/>
    <w:rsid w:val="00B17461"/>
    <w:rsid w:val="00B17463"/>
    <w:rsid w:val="00B174D5"/>
    <w:rsid w:val="00B174D9"/>
    <w:rsid w:val="00B174F5"/>
    <w:rsid w:val="00B1751B"/>
    <w:rsid w:val="00B17582"/>
    <w:rsid w:val="00B175F3"/>
    <w:rsid w:val="00B17622"/>
    <w:rsid w:val="00B1763B"/>
    <w:rsid w:val="00B17654"/>
    <w:rsid w:val="00B1766D"/>
    <w:rsid w:val="00B17679"/>
    <w:rsid w:val="00B176E4"/>
    <w:rsid w:val="00B17743"/>
    <w:rsid w:val="00B177CA"/>
    <w:rsid w:val="00B177CC"/>
    <w:rsid w:val="00B177E6"/>
    <w:rsid w:val="00B1781D"/>
    <w:rsid w:val="00B1781E"/>
    <w:rsid w:val="00B1783E"/>
    <w:rsid w:val="00B1787B"/>
    <w:rsid w:val="00B17896"/>
    <w:rsid w:val="00B1789B"/>
    <w:rsid w:val="00B17956"/>
    <w:rsid w:val="00B1797A"/>
    <w:rsid w:val="00B17999"/>
    <w:rsid w:val="00B17A1E"/>
    <w:rsid w:val="00B17A96"/>
    <w:rsid w:val="00B17AD2"/>
    <w:rsid w:val="00B17AF9"/>
    <w:rsid w:val="00B17BAB"/>
    <w:rsid w:val="00B17BBE"/>
    <w:rsid w:val="00B17BC9"/>
    <w:rsid w:val="00B17C69"/>
    <w:rsid w:val="00B17D4C"/>
    <w:rsid w:val="00B17DF8"/>
    <w:rsid w:val="00B17E66"/>
    <w:rsid w:val="00B17E92"/>
    <w:rsid w:val="00B17EDE"/>
    <w:rsid w:val="00B17EED"/>
    <w:rsid w:val="00B17F56"/>
    <w:rsid w:val="00B20069"/>
    <w:rsid w:val="00B2006E"/>
    <w:rsid w:val="00B200C6"/>
    <w:rsid w:val="00B2012E"/>
    <w:rsid w:val="00B2016C"/>
    <w:rsid w:val="00B201BE"/>
    <w:rsid w:val="00B201C6"/>
    <w:rsid w:val="00B201FB"/>
    <w:rsid w:val="00B20274"/>
    <w:rsid w:val="00B202A6"/>
    <w:rsid w:val="00B20348"/>
    <w:rsid w:val="00B2035A"/>
    <w:rsid w:val="00B20380"/>
    <w:rsid w:val="00B20388"/>
    <w:rsid w:val="00B203DA"/>
    <w:rsid w:val="00B2041F"/>
    <w:rsid w:val="00B20448"/>
    <w:rsid w:val="00B2045A"/>
    <w:rsid w:val="00B204BD"/>
    <w:rsid w:val="00B204C4"/>
    <w:rsid w:val="00B2059A"/>
    <w:rsid w:val="00B2059E"/>
    <w:rsid w:val="00B205D0"/>
    <w:rsid w:val="00B205E0"/>
    <w:rsid w:val="00B206CF"/>
    <w:rsid w:val="00B2070A"/>
    <w:rsid w:val="00B2072A"/>
    <w:rsid w:val="00B20758"/>
    <w:rsid w:val="00B20806"/>
    <w:rsid w:val="00B2080F"/>
    <w:rsid w:val="00B2086D"/>
    <w:rsid w:val="00B208B7"/>
    <w:rsid w:val="00B208C0"/>
    <w:rsid w:val="00B2092B"/>
    <w:rsid w:val="00B2098E"/>
    <w:rsid w:val="00B2099D"/>
    <w:rsid w:val="00B209B4"/>
    <w:rsid w:val="00B209FE"/>
    <w:rsid w:val="00B20AB7"/>
    <w:rsid w:val="00B20B0C"/>
    <w:rsid w:val="00B20B1D"/>
    <w:rsid w:val="00B20B56"/>
    <w:rsid w:val="00B20B90"/>
    <w:rsid w:val="00B20B93"/>
    <w:rsid w:val="00B20BA6"/>
    <w:rsid w:val="00B20C02"/>
    <w:rsid w:val="00B20C7B"/>
    <w:rsid w:val="00B20D76"/>
    <w:rsid w:val="00B20D91"/>
    <w:rsid w:val="00B20DAF"/>
    <w:rsid w:val="00B20DFB"/>
    <w:rsid w:val="00B20E43"/>
    <w:rsid w:val="00B20E4E"/>
    <w:rsid w:val="00B20E58"/>
    <w:rsid w:val="00B20F2F"/>
    <w:rsid w:val="00B210C9"/>
    <w:rsid w:val="00B21102"/>
    <w:rsid w:val="00B21198"/>
    <w:rsid w:val="00B211C0"/>
    <w:rsid w:val="00B211C5"/>
    <w:rsid w:val="00B21235"/>
    <w:rsid w:val="00B21272"/>
    <w:rsid w:val="00B212A7"/>
    <w:rsid w:val="00B21302"/>
    <w:rsid w:val="00B21370"/>
    <w:rsid w:val="00B21387"/>
    <w:rsid w:val="00B213B2"/>
    <w:rsid w:val="00B213C6"/>
    <w:rsid w:val="00B213F4"/>
    <w:rsid w:val="00B213F5"/>
    <w:rsid w:val="00B21433"/>
    <w:rsid w:val="00B2143D"/>
    <w:rsid w:val="00B2145E"/>
    <w:rsid w:val="00B21489"/>
    <w:rsid w:val="00B214AE"/>
    <w:rsid w:val="00B214B1"/>
    <w:rsid w:val="00B214D9"/>
    <w:rsid w:val="00B2150A"/>
    <w:rsid w:val="00B21591"/>
    <w:rsid w:val="00B215F6"/>
    <w:rsid w:val="00B21650"/>
    <w:rsid w:val="00B2167B"/>
    <w:rsid w:val="00B21682"/>
    <w:rsid w:val="00B21689"/>
    <w:rsid w:val="00B216A9"/>
    <w:rsid w:val="00B216B8"/>
    <w:rsid w:val="00B2171F"/>
    <w:rsid w:val="00B21751"/>
    <w:rsid w:val="00B217AB"/>
    <w:rsid w:val="00B217B8"/>
    <w:rsid w:val="00B217D0"/>
    <w:rsid w:val="00B2183B"/>
    <w:rsid w:val="00B2185D"/>
    <w:rsid w:val="00B21876"/>
    <w:rsid w:val="00B21930"/>
    <w:rsid w:val="00B21987"/>
    <w:rsid w:val="00B219A9"/>
    <w:rsid w:val="00B219AA"/>
    <w:rsid w:val="00B219BB"/>
    <w:rsid w:val="00B21A35"/>
    <w:rsid w:val="00B21AA4"/>
    <w:rsid w:val="00B21AA5"/>
    <w:rsid w:val="00B21AE8"/>
    <w:rsid w:val="00B21B23"/>
    <w:rsid w:val="00B21B7A"/>
    <w:rsid w:val="00B21B98"/>
    <w:rsid w:val="00B21C14"/>
    <w:rsid w:val="00B21CAE"/>
    <w:rsid w:val="00B21CC0"/>
    <w:rsid w:val="00B21CF2"/>
    <w:rsid w:val="00B21DA5"/>
    <w:rsid w:val="00B21DD8"/>
    <w:rsid w:val="00B21DF7"/>
    <w:rsid w:val="00B21E53"/>
    <w:rsid w:val="00B21EC7"/>
    <w:rsid w:val="00B21EE4"/>
    <w:rsid w:val="00B21EFA"/>
    <w:rsid w:val="00B21FC1"/>
    <w:rsid w:val="00B2200F"/>
    <w:rsid w:val="00B22027"/>
    <w:rsid w:val="00B2208E"/>
    <w:rsid w:val="00B220B4"/>
    <w:rsid w:val="00B220BB"/>
    <w:rsid w:val="00B22110"/>
    <w:rsid w:val="00B2227B"/>
    <w:rsid w:val="00B222E7"/>
    <w:rsid w:val="00B22317"/>
    <w:rsid w:val="00B223FD"/>
    <w:rsid w:val="00B2241E"/>
    <w:rsid w:val="00B22434"/>
    <w:rsid w:val="00B224C4"/>
    <w:rsid w:val="00B22524"/>
    <w:rsid w:val="00B22541"/>
    <w:rsid w:val="00B22570"/>
    <w:rsid w:val="00B2259B"/>
    <w:rsid w:val="00B225DA"/>
    <w:rsid w:val="00B2263E"/>
    <w:rsid w:val="00B2278D"/>
    <w:rsid w:val="00B227C9"/>
    <w:rsid w:val="00B227ED"/>
    <w:rsid w:val="00B22837"/>
    <w:rsid w:val="00B22888"/>
    <w:rsid w:val="00B2288E"/>
    <w:rsid w:val="00B228DC"/>
    <w:rsid w:val="00B22946"/>
    <w:rsid w:val="00B229D8"/>
    <w:rsid w:val="00B22A0D"/>
    <w:rsid w:val="00B22A16"/>
    <w:rsid w:val="00B22A24"/>
    <w:rsid w:val="00B22ACB"/>
    <w:rsid w:val="00B22ADA"/>
    <w:rsid w:val="00B22AF4"/>
    <w:rsid w:val="00B22AF9"/>
    <w:rsid w:val="00B22B4C"/>
    <w:rsid w:val="00B22B8A"/>
    <w:rsid w:val="00B22B8B"/>
    <w:rsid w:val="00B22BA5"/>
    <w:rsid w:val="00B22C19"/>
    <w:rsid w:val="00B22C1A"/>
    <w:rsid w:val="00B22C91"/>
    <w:rsid w:val="00B22C96"/>
    <w:rsid w:val="00B22CB2"/>
    <w:rsid w:val="00B22CF8"/>
    <w:rsid w:val="00B22D05"/>
    <w:rsid w:val="00B22D0A"/>
    <w:rsid w:val="00B22DA0"/>
    <w:rsid w:val="00B22DC2"/>
    <w:rsid w:val="00B22DFF"/>
    <w:rsid w:val="00B22E3A"/>
    <w:rsid w:val="00B22E89"/>
    <w:rsid w:val="00B22EC2"/>
    <w:rsid w:val="00B22ECE"/>
    <w:rsid w:val="00B22EF4"/>
    <w:rsid w:val="00B22FB1"/>
    <w:rsid w:val="00B22FB2"/>
    <w:rsid w:val="00B22FBC"/>
    <w:rsid w:val="00B22FD4"/>
    <w:rsid w:val="00B22FF0"/>
    <w:rsid w:val="00B22FF2"/>
    <w:rsid w:val="00B2300F"/>
    <w:rsid w:val="00B2307A"/>
    <w:rsid w:val="00B230C5"/>
    <w:rsid w:val="00B230E6"/>
    <w:rsid w:val="00B23168"/>
    <w:rsid w:val="00B23198"/>
    <w:rsid w:val="00B2319B"/>
    <w:rsid w:val="00B2323C"/>
    <w:rsid w:val="00B23241"/>
    <w:rsid w:val="00B2329D"/>
    <w:rsid w:val="00B232BC"/>
    <w:rsid w:val="00B232D1"/>
    <w:rsid w:val="00B2335B"/>
    <w:rsid w:val="00B23363"/>
    <w:rsid w:val="00B233AE"/>
    <w:rsid w:val="00B23400"/>
    <w:rsid w:val="00B23432"/>
    <w:rsid w:val="00B2347E"/>
    <w:rsid w:val="00B23486"/>
    <w:rsid w:val="00B2349D"/>
    <w:rsid w:val="00B23544"/>
    <w:rsid w:val="00B2362D"/>
    <w:rsid w:val="00B23670"/>
    <w:rsid w:val="00B236A6"/>
    <w:rsid w:val="00B236DE"/>
    <w:rsid w:val="00B236EC"/>
    <w:rsid w:val="00B23744"/>
    <w:rsid w:val="00B23766"/>
    <w:rsid w:val="00B237F4"/>
    <w:rsid w:val="00B2384A"/>
    <w:rsid w:val="00B23850"/>
    <w:rsid w:val="00B2388D"/>
    <w:rsid w:val="00B238A0"/>
    <w:rsid w:val="00B2392C"/>
    <w:rsid w:val="00B23957"/>
    <w:rsid w:val="00B23974"/>
    <w:rsid w:val="00B23A29"/>
    <w:rsid w:val="00B23A30"/>
    <w:rsid w:val="00B23A80"/>
    <w:rsid w:val="00B23AC8"/>
    <w:rsid w:val="00B23B04"/>
    <w:rsid w:val="00B23B2E"/>
    <w:rsid w:val="00B23BC7"/>
    <w:rsid w:val="00B23C5A"/>
    <w:rsid w:val="00B23C64"/>
    <w:rsid w:val="00B23C66"/>
    <w:rsid w:val="00B23C98"/>
    <w:rsid w:val="00B23C9F"/>
    <w:rsid w:val="00B23D44"/>
    <w:rsid w:val="00B23D6B"/>
    <w:rsid w:val="00B23D75"/>
    <w:rsid w:val="00B23D9D"/>
    <w:rsid w:val="00B23DDD"/>
    <w:rsid w:val="00B23E25"/>
    <w:rsid w:val="00B23E30"/>
    <w:rsid w:val="00B23E5A"/>
    <w:rsid w:val="00B23F59"/>
    <w:rsid w:val="00B23F73"/>
    <w:rsid w:val="00B23F9E"/>
    <w:rsid w:val="00B23FF4"/>
    <w:rsid w:val="00B23FF7"/>
    <w:rsid w:val="00B2400A"/>
    <w:rsid w:val="00B240C0"/>
    <w:rsid w:val="00B2413F"/>
    <w:rsid w:val="00B241B8"/>
    <w:rsid w:val="00B241FD"/>
    <w:rsid w:val="00B24201"/>
    <w:rsid w:val="00B24213"/>
    <w:rsid w:val="00B242B7"/>
    <w:rsid w:val="00B242C5"/>
    <w:rsid w:val="00B24365"/>
    <w:rsid w:val="00B24375"/>
    <w:rsid w:val="00B24421"/>
    <w:rsid w:val="00B24441"/>
    <w:rsid w:val="00B244BA"/>
    <w:rsid w:val="00B244D6"/>
    <w:rsid w:val="00B244F7"/>
    <w:rsid w:val="00B24510"/>
    <w:rsid w:val="00B24527"/>
    <w:rsid w:val="00B24565"/>
    <w:rsid w:val="00B24569"/>
    <w:rsid w:val="00B24574"/>
    <w:rsid w:val="00B2464A"/>
    <w:rsid w:val="00B2466F"/>
    <w:rsid w:val="00B24725"/>
    <w:rsid w:val="00B2476A"/>
    <w:rsid w:val="00B2478C"/>
    <w:rsid w:val="00B247F7"/>
    <w:rsid w:val="00B24846"/>
    <w:rsid w:val="00B24869"/>
    <w:rsid w:val="00B24871"/>
    <w:rsid w:val="00B24891"/>
    <w:rsid w:val="00B248F0"/>
    <w:rsid w:val="00B2498B"/>
    <w:rsid w:val="00B249B0"/>
    <w:rsid w:val="00B249EB"/>
    <w:rsid w:val="00B249F5"/>
    <w:rsid w:val="00B24A43"/>
    <w:rsid w:val="00B24A4E"/>
    <w:rsid w:val="00B24A80"/>
    <w:rsid w:val="00B24AD3"/>
    <w:rsid w:val="00B24B04"/>
    <w:rsid w:val="00B24B62"/>
    <w:rsid w:val="00B24BB5"/>
    <w:rsid w:val="00B24BE5"/>
    <w:rsid w:val="00B24C3F"/>
    <w:rsid w:val="00B24C49"/>
    <w:rsid w:val="00B24C63"/>
    <w:rsid w:val="00B24C9B"/>
    <w:rsid w:val="00B24CD8"/>
    <w:rsid w:val="00B24CE7"/>
    <w:rsid w:val="00B24D11"/>
    <w:rsid w:val="00B24D36"/>
    <w:rsid w:val="00B24D77"/>
    <w:rsid w:val="00B24D7E"/>
    <w:rsid w:val="00B24D84"/>
    <w:rsid w:val="00B24DC1"/>
    <w:rsid w:val="00B24DF0"/>
    <w:rsid w:val="00B24E63"/>
    <w:rsid w:val="00B24EA8"/>
    <w:rsid w:val="00B24EC8"/>
    <w:rsid w:val="00B24F23"/>
    <w:rsid w:val="00B24F32"/>
    <w:rsid w:val="00B24F7D"/>
    <w:rsid w:val="00B25056"/>
    <w:rsid w:val="00B25072"/>
    <w:rsid w:val="00B2512C"/>
    <w:rsid w:val="00B25143"/>
    <w:rsid w:val="00B2517D"/>
    <w:rsid w:val="00B251F7"/>
    <w:rsid w:val="00B2525D"/>
    <w:rsid w:val="00B252C7"/>
    <w:rsid w:val="00B252E1"/>
    <w:rsid w:val="00B253DB"/>
    <w:rsid w:val="00B253F0"/>
    <w:rsid w:val="00B25400"/>
    <w:rsid w:val="00B25407"/>
    <w:rsid w:val="00B25459"/>
    <w:rsid w:val="00B254E2"/>
    <w:rsid w:val="00B2554A"/>
    <w:rsid w:val="00B255AD"/>
    <w:rsid w:val="00B255CA"/>
    <w:rsid w:val="00B255D9"/>
    <w:rsid w:val="00B25621"/>
    <w:rsid w:val="00B2567E"/>
    <w:rsid w:val="00B256DB"/>
    <w:rsid w:val="00B256DE"/>
    <w:rsid w:val="00B25710"/>
    <w:rsid w:val="00B25722"/>
    <w:rsid w:val="00B25728"/>
    <w:rsid w:val="00B2575B"/>
    <w:rsid w:val="00B257B5"/>
    <w:rsid w:val="00B2585B"/>
    <w:rsid w:val="00B2589C"/>
    <w:rsid w:val="00B258C0"/>
    <w:rsid w:val="00B259AF"/>
    <w:rsid w:val="00B259C1"/>
    <w:rsid w:val="00B259C3"/>
    <w:rsid w:val="00B259D8"/>
    <w:rsid w:val="00B259E4"/>
    <w:rsid w:val="00B25A52"/>
    <w:rsid w:val="00B25A97"/>
    <w:rsid w:val="00B25AD7"/>
    <w:rsid w:val="00B25B2E"/>
    <w:rsid w:val="00B25B2F"/>
    <w:rsid w:val="00B25BD6"/>
    <w:rsid w:val="00B25CB7"/>
    <w:rsid w:val="00B25CED"/>
    <w:rsid w:val="00B25CF2"/>
    <w:rsid w:val="00B25D48"/>
    <w:rsid w:val="00B25D6D"/>
    <w:rsid w:val="00B25D75"/>
    <w:rsid w:val="00B25D8D"/>
    <w:rsid w:val="00B25D93"/>
    <w:rsid w:val="00B25DCF"/>
    <w:rsid w:val="00B25E44"/>
    <w:rsid w:val="00B25E46"/>
    <w:rsid w:val="00B25F62"/>
    <w:rsid w:val="00B25FC3"/>
    <w:rsid w:val="00B2603D"/>
    <w:rsid w:val="00B26092"/>
    <w:rsid w:val="00B260E3"/>
    <w:rsid w:val="00B260F0"/>
    <w:rsid w:val="00B26114"/>
    <w:rsid w:val="00B2611E"/>
    <w:rsid w:val="00B26138"/>
    <w:rsid w:val="00B2613B"/>
    <w:rsid w:val="00B261DA"/>
    <w:rsid w:val="00B26230"/>
    <w:rsid w:val="00B26258"/>
    <w:rsid w:val="00B2626C"/>
    <w:rsid w:val="00B26274"/>
    <w:rsid w:val="00B26291"/>
    <w:rsid w:val="00B262C7"/>
    <w:rsid w:val="00B2636F"/>
    <w:rsid w:val="00B2639F"/>
    <w:rsid w:val="00B263D7"/>
    <w:rsid w:val="00B263DE"/>
    <w:rsid w:val="00B2643B"/>
    <w:rsid w:val="00B2644A"/>
    <w:rsid w:val="00B26455"/>
    <w:rsid w:val="00B2645D"/>
    <w:rsid w:val="00B264EC"/>
    <w:rsid w:val="00B26554"/>
    <w:rsid w:val="00B26561"/>
    <w:rsid w:val="00B26578"/>
    <w:rsid w:val="00B26581"/>
    <w:rsid w:val="00B26606"/>
    <w:rsid w:val="00B26669"/>
    <w:rsid w:val="00B266D9"/>
    <w:rsid w:val="00B266DC"/>
    <w:rsid w:val="00B26751"/>
    <w:rsid w:val="00B2675E"/>
    <w:rsid w:val="00B267C5"/>
    <w:rsid w:val="00B267E4"/>
    <w:rsid w:val="00B2681D"/>
    <w:rsid w:val="00B26830"/>
    <w:rsid w:val="00B268D5"/>
    <w:rsid w:val="00B26948"/>
    <w:rsid w:val="00B26A15"/>
    <w:rsid w:val="00B26A51"/>
    <w:rsid w:val="00B26A53"/>
    <w:rsid w:val="00B26AAF"/>
    <w:rsid w:val="00B26AC0"/>
    <w:rsid w:val="00B26B1A"/>
    <w:rsid w:val="00B26B2B"/>
    <w:rsid w:val="00B26B31"/>
    <w:rsid w:val="00B26B3B"/>
    <w:rsid w:val="00B26B69"/>
    <w:rsid w:val="00B26B6A"/>
    <w:rsid w:val="00B26C1E"/>
    <w:rsid w:val="00B26C4C"/>
    <w:rsid w:val="00B26CA4"/>
    <w:rsid w:val="00B26CD3"/>
    <w:rsid w:val="00B26CFE"/>
    <w:rsid w:val="00B26D8D"/>
    <w:rsid w:val="00B26E03"/>
    <w:rsid w:val="00B26E15"/>
    <w:rsid w:val="00B26E99"/>
    <w:rsid w:val="00B26E9B"/>
    <w:rsid w:val="00B26EEF"/>
    <w:rsid w:val="00B26F2B"/>
    <w:rsid w:val="00B26FC6"/>
    <w:rsid w:val="00B26FE7"/>
    <w:rsid w:val="00B26FFA"/>
    <w:rsid w:val="00B27000"/>
    <w:rsid w:val="00B27014"/>
    <w:rsid w:val="00B27018"/>
    <w:rsid w:val="00B27047"/>
    <w:rsid w:val="00B27053"/>
    <w:rsid w:val="00B2709F"/>
    <w:rsid w:val="00B270CB"/>
    <w:rsid w:val="00B27121"/>
    <w:rsid w:val="00B27194"/>
    <w:rsid w:val="00B271A1"/>
    <w:rsid w:val="00B271B8"/>
    <w:rsid w:val="00B2720B"/>
    <w:rsid w:val="00B27215"/>
    <w:rsid w:val="00B2723A"/>
    <w:rsid w:val="00B272C3"/>
    <w:rsid w:val="00B27301"/>
    <w:rsid w:val="00B27396"/>
    <w:rsid w:val="00B27397"/>
    <w:rsid w:val="00B27409"/>
    <w:rsid w:val="00B27414"/>
    <w:rsid w:val="00B27497"/>
    <w:rsid w:val="00B2749F"/>
    <w:rsid w:val="00B27530"/>
    <w:rsid w:val="00B27545"/>
    <w:rsid w:val="00B275A4"/>
    <w:rsid w:val="00B27618"/>
    <w:rsid w:val="00B27676"/>
    <w:rsid w:val="00B27691"/>
    <w:rsid w:val="00B2769E"/>
    <w:rsid w:val="00B276A7"/>
    <w:rsid w:val="00B2770C"/>
    <w:rsid w:val="00B27761"/>
    <w:rsid w:val="00B277F5"/>
    <w:rsid w:val="00B27881"/>
    <w:rsid w:val="00B27887"/>
    <w:rsid w:val="00B27898"/>
    <w:rsid w:val="00B2792E"/>
    <w:rsid w:val="00B279BC"/>
    <w:rsid w:val="00B279C6"/>
    <w:rsid w:val="00B279D6"/>
    <w:rsid w:val="00B279E9"/>
    <w:rsid w:val="00B27A0B"/>
    <w:rsid w:val="00B27A30"/>
    <w:rsid w:val="00B27A8B"/>
    <w:rsid w:val="00B27AC5"/>
    <w:rsid w:val="00B27AD1"/>
    <w:rsid w:val="00B27B1C"/>
    <w:rsid w:val="00B27BCB"/>
    <w:rsid w:val="00B27C0C"/>
    <w:rsid w:val="00B27C21"/>
    <w:rsid w:val="00B27C44"/>
    <w:rsid w:val="00B27C46"/>
    <w:rsid w:val="00B27C9A"/>
    <w:rsid w:val="00B27CE2"/>
    <w:rsid w:val="00B27E36"/>
    <w:rsid w:val="00B27EF0"/>
    <w:rsid w:val="00B27F33"/>
    <w:rsid w:val="00B27F6D"/>
    <w:rsid w:val="00B27FDB"/>
    <w:rsid w:val="00B27FDE"/>
    <w:rsid w:val="00B2AE5A"/>
    <w:rsid w:val="00B2FF8A"/>
    <w:rsid w:val="00B300BC"/>
    <w:rsid w:val="00B300CC"/>
    <w:rsid w:val="00B30117"/>
    <w:rsid w:val="00B3012C"/>
    <w:rsid w:val="00B3015A"/>
    <w:rsid w:val="00B30169"/>
    <w:rsid w:val="00B30213"/>
    <w:rsid w:val="00B302D4"/>
    <w:rsid w:val="00B30316"/>
    <w:rsid w:val="00B30344"/>
    <w:rsid w:val="00B30352"/>
    <w:rsid w:val="00B30399"/>
    <w:rsid w:val="00B3039D"/>
    <w:rsid w:val="00B303BA"/>
    <w:rsid w:val="00B303F0"/>
    <w:rsid w:val="00B3042A"/>
    <w:rsid w:val="00B304D5"/>
    <w:rsid w:val="00B304DD"/>
    <w:rsid w:val="00B30572"/>
    <w:rsid w:val="00B30593"/>
    <w:rsid w:val="00B30627"/>
    <w:rsid w:val="00B30636"/>
    <w:rsid w:val="00B306CD"/>
    <w:rsid w:val="00B30717"/>
    <w:rsid w:val="00B3073E"/>
    <w:rsid w:val="00B30762"/>
    <w:rsid w:val="00B30817"/>
    <w:rsid w:val="00B30821"/>
    <w:rsid w:val="00B30833"/>
    <w:rsid w:val="00B30841"/>
    <w:rsid w:val="00B308BC"/>
    <w:rsid w:val="00B308C0"/>
    <w:rsid w:val="00B308D8"/>
    <w:rsid w:val="00B308E1"/>
    <w:rsid w:val="00B3091B"/>
    <w:rsid w:val="00B30941"/>
    <w:rsid w:val="00B309AB"/>
    <w:rsid w:val="00B309B8"/>
    <w:rsid w:val="00B309BF"/>
    <w:rsid w:val="00B30A38"/>
    <w:rsid w:val="00B30AB2"/>
    <w:rsid w:val="00B30AB5"/>
    <w:rsid w:val="00B30ADE"/>
    <w:rsid w:val="00B30BC3"/>
    <w:rsid w:val="00B30BE3"/>
    <w:rsid w:val="00B30BF2"/>
    <w:rsid w:val="00B30CAF"/>
    <w:rsid w:val="00B30D03"/>
    <w:rsid w:val="00B30D69"/>
    <w:rsid w:val="00B30D70"/>
    <w:rsid w:val="00B30D79"/>
    <w:rsid w:val="00B30DCE"/>
    <w:rsid w:val="00B30E28"/>
    <w:rsid w:val="00B30E88"/>
    <w:rsid w:val="00B30EBF"/>
    <w:rsid w:val="00B30EDF"/>
    <w:rsid w:val="00B30EF4"/>
    <w:rsid w:val="00B30F29"/>
    <w:rsid w:val="00B30F57"/>
    <w:rsid w:val="00B30F83"/>
    <w:rsid w:val="00B30FC0"/>
    <w:rsid w:val="00B30FF8"/>
    <w:rsid w:val="00B31022"/>
    <w:rsid w:val="00B310D6"/>
    <w:rsid w:val="00B31142"/>
    <w:rsid w:val="00B3116D"/>
    <w:rsid w:val="00B3117E"/>
    <w:rsid w:val="00B31184"/>
    <w:rsid w:val="00B311AA"/>
    <w:rsid w:val="00B311CA"/>
    <w:rsid w:val="00B311D8"/>
    <w:rsid w:val="00B311F1"/>
    <w:rsid w:val="00B31208"/>
    <w:rsid w:val="00B31246"/>
    <w:rsid w:val="00B312A8"/>
    <w:rsid w:val="00B312CF"/>
    <w:rsid w:val="00B312D5"/>
    <w:rsid w:val="00B312DD"/>
    <w:rsid w:val="00B3130A"/>
    <w:rsid w:val="00B3135E"/>
    <w:rsid w:val="00B31393"/>
    <w:rsid w:val="00B313F0"/>
    <w:rsid w:val="00B31403"/>
    <w:rsid w:val="00B31427"/>
    <w:rsid w:val="00B314B0"/>
    <w:rsid w:val="00B3151B"/>
    <w:rsid w:val="00B315B7"/>
    <w:rsid w:val="00B315D0"/>
    <w:rsid w:val="00B315EE"/>
    <w:rsid w:val="00B31643"/>
    <w:rsid w:val="00B31661"/>
    <w:rsid w:val="00B31695"/>
    <w:rsid w:val="00B316A9"/>
    <w:rsid w:val="00B31714"/>
    <w:rsid w:val="00B3177A"/>
    <w:rsid w:val="00B317AF"/>
    <w:rsid w:val="00B317DE"/>
    <w:rsid w:val="00B318B3"/>
    <w:rsid w:val="00B318FB"/>
    <w:rsid w:val="00B31913"/>
    <w:rsid w:val="00B31945"/>
    <w:rsid w:val="00B31970"/>
    <w:rsid w:val="00B31997"/>
    <w:rsid w:val="00B319A5"/>
    <w:rsid w:val="00B319E1"/>
    <w:rsid w:val="00B319F7"/>
    <w:rsid w:val="00B319FD"/>
    <w:rsid w:val="00B31A90"/>
    <w:rsid w:val="00B31AB2"/>
    <w:rsid w:val="00B31AC4"/>
    <w:rsid w:val="00B31ADD"/>
    <w:rsid w:val="00B31B61"/>
    <w:rsid w:val="00B31B81"/>
    <w:rsid w:val="00B31BB2"/>
    <w:rsid w:val="00B31BEB"/>
    <w:rsid w:val="00B31BF3"/>
    <w:rsid w:val="00B31BFF"/>
    <w:rsid w:val="00B31C6E"/>
    <w:rsid w:val="00B31CC3"/>
    <w:rsid w:val="00B31CE1"/>
    <w:rsid w:val="00B31D4E"/>
    <w:rsid w:val="00B31D8F"/>
    <w:rsid w:val="00B31DDE"/>
    <w:rsid w:val="00B31E30"/>
    <w:rsid w:val="00B31E5A"/>
    <w:rsid w:val="00B31EB7"/>
    <w:rsid w:val="00B31EC5"/>
    <w:rsid w:val="00B31F25"/>
    <w:rsid w:val="00B31F46"/>
    <w:rsid w:val="00B31F74"/>
    <w:rsid w:val="00B32028"/>
    <w:rsid w:val="00B32045"/>
    <w:rsid w:val="00B3208E"/>
    <w:rsid w:val="00B320DE"/>
    <w:rsid w:val="00B3213F"/>
    <w:rsid w:val="00B321E4"/>
    <w:rsid w:val="00B321F4"/>
    <w:rsid w:val="00B3222C"/>
    <w:rsid w:val="00B32234"/>
    <w:rsid w:val="00B32270"/>
    <w:rsid w:val="00B32318"/>
    <w:rsid w:val="00B3232D"/>
    <w:rsid w:val="00B323D6"/>
    <w:rsid w:val="00B324BF"/>
    <w:rsid w:val="00B324C4"/>
    <w:rsid w:val="00B32514"/>
    <w:rsid w:val="00B3258A"/>
    <w:rsid w:val="00B325DC"/>
    <w:rsid w:val="00B325FA"/>
    <w:rsid w:val="00B325FE"/>
    <w:rsid w:val="00B3265B"/>
    <w:rsid w:val="00B326E6"/>
    <w:rsid w:val="00B32743"/>
    <w:rsid w:val="00B32768"/>
    <w:rsid w:val="00B32793"/>
    <w:rsid w:val="00B327B7"/>
    <w:rsid w:val="00B327E0"/>
    <w:rsid w:val="00B327E3"/>
    <w:rsid w:val="00B327F1"/>
    <w:rsid w:val="00B32804"/>
    <w:rsid w:val="00B3284F"/>
    <w:rsid w:val="00B32858"/>
    <w:rsid w:val="00B32865"/>
    <w:rsid w:val="00B32880"/>
    <w:rsid w:val="00B32899"/>
    <w:rsid w:val="00B32936"/>
    <w:rsid w:val="00B32938"/>
    <w:rsid w:val="00B32950"/>
    <w:rsid w:val="00B3299B"/>
    <w:rsid w:val="00B329B3"/>
    <w:rsid w:val="00B329F6"/>
    <w:rsid w:val="00B32A16"/>
    <w:rsid w:val="00B32AA0"/>
    <w:rsid w:val="00B32AB6"/>
    <w:rsid w:val="00B32B60"/>
    <w:rsid w:val="00B32BB9"/>
    <w:rsid w:val="00B32C4C"/>
    <w:rsid w:val="00B32C67"/>
    <w:rsid w:val="00B32D39"/>
    <w:rsid w:val="00B32D73"/>
    <w:rsid w:val="00B32D7E"/>
    <w:rsid w:val="00B32DA3"/>
    <w:rsid w:val="00B32DD4"/>
    <w:rsid w:val="00B32DF8"/>
    <w:rsid w:val="00B32E0E"/>
    <w:rsid w:val="00B32EC3"/>
    <w:rsid w:val="00B32ED3"/>
    <w:rsid w:val="00B32EE6"/>
    <w:rsid w:val="00B32F32"/>
    <w:rsid w:val="00B32F40"/>
    <w:rsid w:val="00B32F85"/>
    <w:rsid w:val="00B32FA0"/>
    <w:rsid w:val="00B32FCB"/>
    <w:rsid w:val="00B32FF2"/>
    <w:rsid w:val="00B33002"/>
    <w:rsid w:val="00B3303A"/>
    <w:rsid w:val="00B3305F"/>
    <w:rsid w:val="00B330AF"/>
    <w:rsid w:val="00B33142"/>
    <w:rsid w:val="00B3316D"/>
    <w:rsid w:val="00B3318A"/>
    <w:rsid w:val="00B331B3"/>
    <w:rsid w:val="00B331CE"/>
    <w:rsid w:val="00B33218"/>
    <w:rsid w:val="00B3325B"/>
    <w:rsid w:val="00B33286"/>
    <w:rsid w:val="00B332E4"/>
    <w:rsid w:val="00B33361"/>
    <w:rsid w:val="00B33367"/>
    <w:rsid w:val="00B333A6"/>
    <w:rsid w:val="00B333D0"/>
    <w:rsid w:val="00B333D5"/>
    <w:rsid w:val="00B333F8"/>
    <w:rsid w:val="00B33488"/>
    <w:rsid w:val="00B3356C"/>
    <w:rsid w:val="00B33581"/>
    <w:rsid w:val="00B33602"/>
    <w:rsid w:val="00B3365D"/>
    <w:rsid w:val="00B3367B"/>
    <w:rsid w:val="00B336E8"/>
    <w:rsid w:val="00B33702"/>
    <w:rsid w:val="00B33758"/>
    <w:rsid w:val="00B33776"/>
    <w:rsid w:val="00B337BA"/>
    <w:rsid w:val="00B337D2"/>
    <w:rsid w:val="00B337F1"/>
    <w:rsid w:val="00B33818"/>
    <w:rsid w:val="00B3385E"/>
    <w:rsid w:val="00B3388B"/>
    <w:rsid w:val="00B338B0"/>
    <w:rsid w:val="00B33914"/>
    <w:rsid w:val="00B3396B"/>
    <w:rsid w:val="00B33A10"/>
    <w:rsid w:val="00B33A1F"/>
    <w:rsid w:val="00B33A9D"/>
    <w:rsid w:val="00B33ABF"/>
    <w:rsid w:val="00B33AEE"/>
    <w:rsid w:val="00B33B05"/>
    <w:rsid w:val="00B33B0B"/>
    <w:rsid w:val="00B33B21"/>
    <w:rsid w:val="00B33B49"/>
    <w:rsid w:val="00B33C47"/>
    <w:rsid w:val="00B33C5D"/>
    <w:rsid w:val="00B33D20"/>
    <w:rsid w:val="00B33D53"/>
    <w:rsid w:val="00B33D9C"/>
    <w:rsid w:val="00B33D9F"/>
    <w:rsid w:val="00B33E02"/>
    <w:rsid w:val="00B33E29"/>
    <w:rsid w:val="00B33F28"/>
    <w:rsid w:val="00B33F5A"/>
    <w:rsid w:val="00B33F6B"/>
    <w:rsid w:val="00B33FE4"/>
    <w:rsid w:val="00B3400A"/>
    <w:rsid w:val="00B3401E"/>
    <w:rsid w:val="00B34031"/>
    <w:rsid w:val="00B34044"/>
    <w:rsid w:val="00B3404C"/>
    <w:rsid w:val="00B34083"/>
    <w:rsid w:val="00B340B8"/>
    <w:rsid w:val="00B340C9"/>
    <w:rsid w:val="00B340E2"/>
    <w:rsid w:val="00B34136"/>
    <w:rsid w:val="00B3413A"/>
    <w:rsid w:val="00B34146"/>
    <w:rsid w:val="00B341B0"/>
    <w:rsid w:val="00B34294"/>
    <w:rsid w:val="00B3429B"/>
    <w:rsid w:val="00B3432C"/>
    <w:rsid w:val="00B3433A"/>
    <w:rsid w:val="00B34379"/>
    <w:rsid w:val="00B343CA"/>
    <w:rsid w:val="00B343F5"/>
    <w:rsid w:val="00B34400"/>
    <w:rsid w:val="00B34447"/>
    <w:rsid w:val="00B34479"/>
    <w:rsid w:val="00B3447B"/>
    <w:rsid w:val="00B34495"/>
    <w:rsid w:val="00B34502"/>
    <w:rsid w:val="00B34520"/>
    <w:rsid w:val="00B34548"/>
    <w:rsid w:val="00B3459F"/>
    <w:rsid w:val="00B34628"/>
    <w:rsid w:val="00B34648"/>
    <w:rsid w:val="00B346D9"/>
    <w:rsid w:val="00B34786"/>
    <w:rsid w:val="00B3478F"/>
    <w:rsid w:val="00B347A0"/>
    <w:rsid w:val="00B347CA"/>
    <w:rsid w:val="00B347E7"/>
    <w:rsid w:val="00B3480B"/>
    <w:rsid w:val="00B3484A"/>
    <w:rsid w:val="00B348EB"/>
    <w:rsid w:val="00B3491E"/>
    <w:rsid w:val="00B34929"/>
    <w:rsid w:val="00B3495C"/>
    <w:rsid w:val="00B34962"/>
    <w:rsid w:val="00B3497E"/>
    <w:rsid w:val="00B349E2"/>
    <w:rsid w:val="00B34A05"/>
    <w:rsid w:val="00B34A36"/>
    <w:rsid w:val="00B34A46"/>
    <w:rsid w:val="00B34A6B"/>
    <w:rsid w:val="00B34A91"/>
    <w:rsid w:val="00B34AB8"/>
    <w:rsid w:val="00B34AC0"/>
    <w:rsid w:val="00B34AE0"/>
    <w:rsid w:val="00B34B8E"/>
    <w:rsid w:val="00B34B9D"/>
    <w:rsid w:val="00B34B9F"/>
    <w:rsid w:val="00B34C2B"/>
    <w:rsid w:val="00B34CAA"/>
    <w:rsid w:val="00B34CC5"/>
    <w:rsid w:val="00B34CCC"/>
    <w:rsid w:val="00B34CDE"/>
    <w:rsid w:val="00B34D01"/>
    <w:rsid w:val="00B34D0E"/>
    <w:rsid w:val="00B34D92"/>
    <w:rsid w:val="00B34E3C"/>
    <w:rsid w:val="00B34E68"/>
    <w:rsid w:val="00B34E6C"/>
    <w:rsid w:val="00B34EF3"/>
    <w:rsid w:val="00B34F04"/>
    <w:rsid w:val="00B34F6E"/>
    <w:rsid w:val="00B34F73"/>
    <w:rsid w:val="00B3507D"/>
    <w:rsid w:val="00B350A3"/>
    <w:rsid w:val="00B350A7"/>
    <w:rsid w:val="00B350AE"/>
    <w:rsid w:val="00B350D9"/>
    <w:rsid w:val="00B35192"/>
    <w:rsid w:val="00B3519B"/>
    <w:rsid w:val="00B351AD"/>
    <w:rsid w:val="00B352F7"/>
    <w:rsid w:val="00B35332"/>
    <w:rsid w:val="00B3535F"/>
    <w:rsid w:val="00B353B3"/>
    <w:rsid w:val="00B353C3"/>
    <w:rsid w:val="00B353D5"/>
    <w:rsid w:val="00B353EF"/>
    <w:rsid w:val="00B353FF"/>
    <w:rsid w:val="00B3543C"/>
    <w:rsid w:val="00B354C7"/>
    <w:rsid w:val="00B354DF"/>
    <w:rsid w:val="00B3553A"/>
    <w:rsid w:val="00B3559C"/>
    <w:rsid w:val="00B355B7"/>
    <w:rsid w:val="00B355BC"/>
    <w:rsid w:val="00B35608"/>
    <w:rsid w:val="00B356CD"/>
    <w:rsid w:val="00B3572A"/>
    <w:rsid w:val="00B357DF"/>
    <w:rsid w:val="00B357E9"/>
    <w:rsid w:val="00B357F3"/>
    <w:rsid w:val="00B357FB"/>
    <w:rsid w:val="00B3584C"/>
    <w:rsid w:val="00B35871"/>
    <w:rsid w:val="00B35923"/>
    <w:rsid w:val="00B359D6"/>
    <w:rsid w:val="00B35A19"/>
    <w:rsid w:val="00B35A2C"/>
    <w:rsid w:val="00B35B0C"/>
    <w:rsid w:val="00B35B3D"/>
    <w:rsid w:val="00B35B45"/>
    <w:rsid w:val="00B35B8D"/>
    <w:rsid w:val="00B35BC3"/>
    <w:rsid w:val="00B35C17"/>
    <w:rsid w:val="00B35C36"/>
    <w:rsid w:val="00B35C62"/>
    <w:rsid w:val="00B35C89"/>
    <w:rsid w:val="00B35C96"/>
    <w:rsid w:val="00B35CF3"/>
    <w:rsid w:val="00B35D03"/>
    <w:rsid w:val="00B35D71"/>
    <w:rsid w:val="00B35E76"/>
    <w:rsid w:val="00B35E81"/>
    <w:rsid w:val="00B35E85"/>
    <w:rsid w:val="00B35E91"/>
    <w:rsid w:val="00B35ED8"/>
    <w:rsid w:val="00B35F19"/>
    <w:rsid w:val="00B35F38"/>
    <w:rsid w:val="00B35F63"/>
    <w:rsid w:val="00B35FCF"/>
    <w:rsid w:val="00B35FD3"/>
    <w:rsid w:val="00B36020"/>
    <w:rsid w:val="00B36048"/>
    <w:rsid w:val="00B36051"/>
    <w:rsid w:val="00B36090"/>
    <w:rsid w:val="00B360B0"/>
    <w:rsid w:val="00B3619B"/>
    <w:rsid w:val="00B361EE"/>
    <w:rsid w:val="00B361FC"/>
    <w:rsid w:val="00B3620D"/>
    <w:rsid w:val="00B36227"/>
    <w:rsid w:val="00B36266"/>
    <w:rsid w:val="00B3626B"/>
    <w:rsid w:val="00B362C5"/>
    <w:rsid w:val="00B362E7"/>
    <w:rsid w:val="00B36338"/>
    <w:rsid w:val="00B3636B"/>
    <w:rsid w:val="00B363FB"/>
    <w:rsid w:val="00B364C3"/>
    <w:rsid w:val="00B3650A"/>
    <w:rsid w:val="00B3651E"/>
    <w:rsid w:val="00B3656A"/>
    <w:rsid w:val="00B36588"/>
    <w:rsid w:val="00B365AE"/>
    <w:rsid w:val="00B3660D"/>
    <w:rsid w:val="00B3663E"/>
    <w:rsid w:val="00B3664A"/>
    <w:rsid w:val="00B3666B"/>
    <w:rsid w:val="00B3668C"/>
    <w:rsid w:val="00B36697"/>
    <w:rsid w:val="00B366D2"/>
    <w:rsid w:val="00B366E5"/>
    <w:rsid w:val="00B366F3"/>
    <w:rsid w:val="00B3671F"/>
    <w:rsid w:val="00B36724"/>
    <w:rsid w:val="00B36728"/>
    <w:rsid w:val="00B36826"/>
    <w:rsid w:val="00B36834"/>
    <w:rsid w:val="00B36882"/>
    <w:rsid w:val="00B3688C"/>
    <w:rsid w:val="00B368B0"/>
    <w:rsid w:val="00B368CD"/>
    <w:rsid w:val="00B36970"/>
    <w:rsid w:val="00B36A06"/>
    <w:rsid w:val="00B36A25"/>
    <w:rsid w:val="00B36A46"/>
    <w:rsid w:val="00B36AB8"/>
    <w:rsid w:val="00B36AC5"/>
    <w:rsid w:val="00B36AD0"/>
    <w:rsid w:val="00B36AD5"/>
    <w:rsid w:val="00B36B1A"/>
    <w:rsid w:val="00B36B24"/>
    <w:rsid w:val="00B36C07"/>
    <w:rsid w:val="00B36C67"/>
    <w:rsid w:val="00B36C81"/>
    <w:rsid w:val="00B36C83"/>
    <w:rsid w:val="00B36C93"/>
    <w:rsid w:val="00B36CAE"/>
    <w:rsid w:val="00B36CB6"/>
    <w:rsid w:val="00B36D24"/>
    <w:rsid w:val="00B36D37"/>
    <w:rsid w:val="00B36D3B"/>
    <w:rsid w:val="00B36DD1"/>
    <w:rsid w:val="00B36EE8"/>
    <w:rsid w:val="00B36F06"/>
    <w:rsid w:val="00B36F69"/>
    <w:rsid w:val="00B36FEF"/>
    <w:rsid w:val="00B36FFA"/>
    <w:rsid w:val="00B37019"/>
    <w:rsid w:val="00B3701F"/>
    <w:rsid w:val="00B37040"/>
    <w:rsid w:val="00B37061"/>
    <w:rsid w:val="00B370A8"/>
    <w:rsid w:val="00B37105"/>
    <w:rsid w:val="00B37108"/>
    <w:rsid w:val="00B37119"/>
    <w:rsid w:val="00B3712C"/>
    <w:rsid w:val="00B37144"/>
    <w:rsid w:val="00B37267"/>
    <w:rsid w:val="00B372B7"/>
    <w:rsid w:val="00B372BF"/>
    <w:rsid w:val="00B372E5"/>
    <w:rsid w:val="00B37324"/>
    <w:rsid w:val="00B3733F"/>
    <w:rsid w:val="00B37347"/>
    <w:rsid w:val="00B37360"/>
    <w:rsid w:val="00B3739B"/>
    <w:rsid w:val="00B373B8"/>
    <w:rsid w:val="00B3746B"/>
    <w:rsid w:val="00B3747F"/>
    <w:rsid w:val="00B374B5"/>
    <w:rsid w:val="00B374BC"/>
    <w:rsid w:val="00B374C5"/>
    <w:rsid w:val="00B374DE"/>
    <w:rsid w:val="00B37500"/>
    <w:rsid w:val="00B3754E"/>
    <w:rsid w:val="00B37558"/>
    <w:rsid w:val="00B3755E"/>
    <w:rsid w:val="00B375E4"/>
    <w:rsid w:val="00B37660"/>
    <w:rsid w:val="00B376A2"/>
    <w:rsid w:val="00B376DE"/>
    <w:rsid w:val="00B3773E"/>
    <w:rsid w:val="00B37794"/>
    <w:rsid w:val="00B37802"/>
    <w:rsid w:val="00B378A1"/>
    <w:rsid w:val="00B3792C"/>
    <w:rsid w:val="00B379AF"/>
    <w:rsid w:val="00B379F0"/>
    <w:rsid w:val="00B37A88"/>
    <w:rsid w:val="00B37A98"/>
    <w:rsid w:val="00B37B23"/>
    <w:rsid w:val="00B37B68"/>
    <w:rsid w:val="00B37B81"/>
    <w:rsid w:val="00B37BC2"/>
    <w:rsid w:val="00B37BCB"/>
    <w:rsid w:val="00B37BEC"/>
    <w:rsid w:val="00B37C4D"/>
    <w:rsid w:val="00B37C4F"/>
    <w:rsid w:val="00B37C5E"/>
    <w:rsid w:val="00B37C67"/>
    <w:rsid w:val="00B37C82"/>
    <w:rsid w:val="00B37CA4"/>
    <w:rsid w:val="00B37CCC"/>
    <w:rsid w:val="00B37D61"/>
    <w:rsid w:val="00B37DA5"/>
    <w:rsid w:val="00B37DB0"/>
    <w:rsid w:val="00B37DDA"/>
    <w:rsid w:val="00B37E19"/>
    <w:rsid w:val="00B37E85"/>
    <w:rsid w:val="00B37E92"/>
    <w:rsid w:val="00B37E93"/>
    <w:rsid w:val="00B37EA8"/>
    <w:rsid w:val="00B37ED1"/>
    <w:rsid w:val="00B37EE9"/>
    <w:rsid w:val="00B37F4F"/>
    <w:rsid w:val="00B37F85"/>
    <w:rsid w:val="00B37FC7"/>
    <w:rsid w:val="00B4001F"/>
    <w:rsid w:val="00B40057"/>
    <w:rsid w:val="00B40061"/>
    <w:rsid w:val="00B4009D"/>
    <w:rsid w:val="00B400A0"/>
    <w:rsid w:val="00B40102"/>
    <w:rsid w:val="00B40109"/>
    <w:rsid w:val="00B40144"/>
    <w:rsid w:val="00B40175"/>
    <w:rsid w:val="00B4019D"/>
    <w:rsid w:val="00B401A4"/>
    <w:rsid w:val="00B401A7"/>
    <w:rsid w:val="00B401DA"/>
    <w:rsid w:val="00B40383"/>
    <w:rsid w:val="00B40417"/>
    <w:rsid w:val="00B40464"/>
    <w:rsid w:val="00B40555"/>
    <w:rsid w:val="00B40593"/>
    <w:rsid w:val="00B4059E"/>
    <w:rsid w:val="00B405AD"/>
    <w:rsid w:val="00B4061F"/>
    <w:rsid w:val="00B406A3"/>
    <w:rsid w:val="00B406AF"/>
    <w:rsid w:val="00B406BF"/>
    <w:rsid w:val="00B40725"/>
    <w:rsid w:val="00B40731"/>
    <w:rsid w:val="00B407B7"/>
    <w:rsid w:val="00B407BF"/>
    <w:rsid w:val="00B407DC"/>
    <w:rsid w:val="00B407F7"/>
    <w:rsid w:val="00B40846"/>
    <w:rsid w:val="00B4085E"/>
    <w:rsid w:val="00B4088E"/>
    <w:rsid w:val="00B408B8"/>
    <w:rsid w:val="00B40950"/>
    <w:rsid w:val="00B40971"/>
    <w:rsid w:val="00B40978"/>
    <w:rsid w:val="00B409C8"/>
    <w:rsid w:val="00B409EC"/>
    <w:rsid w:val="00B40A2F"/>
    <w:rsid w:val="00B40A38"/>
    <w:rsid w:val="00B40A40"/>
    <w:rsid w:val="00B40A4A"/>
    <w:rsid w:val="00B40A50"/>
    <w:rsid w:val="00B40A7D"/>
    <w:rsid w:val="00B40A8A"/>
    <w:rsid w:val="00B40A96"/>
    <w:rsid w:val="00B40AA5"/>
    <w:rsid w:val="00B40B33"/>
    <w:rsid w:val="00B40B3E"/>
    <w:rsid w:val="00B40B74"/>
    <w:rsid w:val="00B40BC5"/>
    <w:rsid w:val="00B40BE4"/>
    <w:rsid w:val="00B40C45"/>
    <w:rsid w:val="00B40C70"/>
    <w:rsid w:val="00B40CA0"/>
    <w:rsid w:val="00B40CC5"/>
    <w:rsid w:val="00B40D78"/>
    <w:rsid w:val="00B40DC7"/>
    <w:rsid w:val="00B40DCF"/>
    <w:rsid w:val="00B40E2E"/>
    <w:rsid w:val="00B40F74"/>
    <w:rsid w:val="00B40FB8"/>
    <w:rsid w:val="00B41011"/>
    <w:rsid w:val="00B41063"/>
    <w:rsid w:val="00B4107A"/>
    <w:rsid w:val="00B41099"/>
    <w:rsid w:val="00B4112D"/>
    <w:rsid w:val="00B41144"/>
    <w:rsid w:val="00B411A6"/>
    <w:rsid w:val="00B41213"/>
    <w:rsid w:val="00B4121E"/>
    <w:rsid w:val="00B41235"/>
    <w:rsid w:val="00B4127B"/>
    <w:rsid w:val="00B4133A"/>
    <w:rsid w:val="00B4133E"/>
    <w:rsid w:val="00B41357"/>
    <w:rsid w:val="00B4137B"/>
    <w:rsid w:val="00B413E6"/>
    <w:rsid w:val="00B41453"/>
    <w:rsid w:val="00B4147E"/>
    <w:rsid w:val="00B414AF"/>
    <w:rsid w:val="00B414DE"/>
    <w:rsid w:val="00B41539"/>
    <w:rsid w:val="00B4156A"/>
    <w:rsid w:val="00B415C0"/>
    <w:rsid w:val="00B415E8"/>
    <w:rsid w:val="00B415F7"/>
    <w:rsid w:val="00B4161D"/>
    <w:rsid w:val="00B41663"/>
    <w:rsid w:val="00B416F7"/>
    <w:rsid w:val="00B4179F"/>
    <w:rsid w:val="00B41816"/>
    <w:rsid w:val="00B4181B"/>
    <w:rsid w:val="00B41855"/>
    <w:rsid w:val="00B418BD"/>
    <w:rsid w:val="00B418C0"/>
    <w:rsid w:val="00B418C1"/>
    <w:rsid w:val="00B41953"/>
    <w:rsid w:val="00B4196E"/>
    <w:rsid w:val="00B41980"/>
    <w:rsid w:val="00B419B2"/>
    <w:rsid w:val="00B419C9"/>
    <w:rsid w:val="00B41A14"/>
    <w:rsid w:val="00B41A9D"/>
    <w:rsid w:val="00B41AB6"/>
    <w:rsid w:val="00B41B2A"/>
    <w:rsid w:val="00B41B45"/>
    <w:rsid w:val="00B41B55"/>
    <w:rsid w:val="00B41BAF"/>
    <w:rsid w:val="00B41BC9"/>
    <w:rsid w:val="00B41BFC"/>
    <w:rsid w:val="00B41C18"/>
    <w:rsid w:val="00B41C9C"/>
    <w:rsid w:val="00B41D0A"/>
    <w:rsid w:val="00B41D36"/>
    <w:rsid w:val="00B41DE5"/>
    <w:rsid w:val="00B41E4F"/>
    <w:rsid w:val="00B41E99"/>
    <w:rsid w:val="00B41EC9"/>
    <w:rsid w:val="00B41EFB"/>
    <w:rsid w:val="00B41F04"/>
    <w:rsid w:val="00B41F08"/>
    <w:rsid w:val="00B41F14"/>
    <w:rsid w:val="00B41F22"/>
    <w:rsid w:val="00B41FCC"/>
    <w:rsid w:val="00B42037"/>
    <w:rsid w:val="00B4208A"/>
    <w:rsid w:val="00B42102"/>
    <w:rsid w:val="00B4211B"/>
    <w:rsid w:val="00B42127"/>
    <w:rsid w:val="00B42163"/>
    <w:rsid w:val="00B4216A"/>
    <w:rsid w:val="00B421F4"/>
    <w:rsid w:val="00B4220C"/>
    <w:rsid w:val="00B42235"/>
    <w:rsid w:val="00B42241"/>
    <w:rsid w:val="00B42267"/>
    <w:rsid w:val="00B4227A"/>
    <w:rsid w:val="00B422DC"/>
    <w:rsid w:val="00B42355"/>
    <w:rsid w:val="00B42365"/>
    <w:rsid w:val="00B42375"/>
    <w:rsid w:val="00B4238B"/>
    <w:rsid w:val="00B423A7"/>
    <w:rsid w:val="00B423DA"/>
    <w:rsid w:val="00B423EA"/>
    <w:rsid w:val="00B4244E"/>
    <w:rsid w:val="00B42508"/>
    <w:rsid w:val="00B4252A"/>
    <w:rsid w:val="00B4253D"/>
    <w:rsid w:val="00B42589"/>
    <w:rsid w:val="00B425A0"/>
    <w:rsid w:val="00B425CB"/>
    <w:rsid w:val="00B4269D"/>
    <w:rsid w:val="00B426D9"/>
    <w:rsid w:val="00B42705"/>
    <w:rsid w:val="00B42731"/>
    <w:rsid w:val="00B4278D"/>
    <w:rsid w:val="00B427A0"/>
    <w:rsid w:val="00B427A2"/>
    <w:rsid w:val="00B427A5"/>
    <w:rsid w:val="00B42866"/>
    <w:rsid w:val="00B4288D"/>
    <w:rsid w:val="00B428CA"/>
    <w:rsid w:val="00B4298F"/>
    <w:rsid w:val="00B429AF"/>
    <w:rsid w:val="00B42A00"/>
    <w:rsid w:val="00B42A41"/>
    <w:rsid w:val="00B42A4B"/>
    <w:rsid w:val="00B42A4F"/>
    <w:rsid w:val="00B42A9B"/>
    <w:rsid w:val="00B42AEC"/>
    <w:rsid w:val="00B42AF8"/>
    <w:rsid w:val="00B42B12"/>
    <w:rsid w:val="00B42B2D"/>
    <w:rsid w:val="00B42B50"/>
    <w:rsid w:val="00B42B51"/>
    <w:rsid w:val="00B42B65"/>
    <w:rsid w:val="00B42B68"/>
    <w:rsid w:val="00B42B9D"/>
    <w:rsid w:val="00B42BAC"/>
    <w:rsid w:val="00B42BDB"/>
    <w:rsid w:val="00B42C4A"/>
    <w:rsid w:val="00B42C53"/>
    <w:rsid w:val="00B42C64"/>
    <w:rsid w:val="00B42C7B"/>
    <w:rsid w:val="00B42D82"/>
    <w:rsid w:val="00B42D9E"/>
    <w:rsid w:val="00B42DB2"/>
    <w:rsid w:val="00B42DC6"/>
    <w:rsid w:val="00B42DEA"/>
    <w:rsid w:val="00B42DF6"/>
    <w:rsid w:val="00B42DFC"/>
    <w:rsid w:val="00B42E1B"/>
    <w:rsid w:val="00B42EB7"/>
    <w:rsid w:val="00B42EEA"/>
    <w:rsid w:val="00B42F43"/>
    <w:rsid w:val="00B42F76"/>
    <w:rsid w:val="00B42FA5"/>
    <w:rsid w:val="00B42FB7"/>
    <w:rsid w:val="00B42FEC"/>
    <w:rsid w:val="00B4300C"/>
    <w:rsid w:val="00B430C2"/>
    <w:rsid w:val="00B430F3"/>
    <w:rsid w:val="00B43114"/>
    <w:rsid w:val="00B4311D"/>
    <w:rsid w:val="00B4313D"/>
    <w:rsid w:val="00B43147"/>
    <w:rsid w:val="00B4316A"/>
    <w:rsid w:val="00B4318C"/>
    <w:rsid w:val="00B431AD"/>
    <w:rsid w:val="00B431DA"/>
    <w:rsid w:val="00B43208"/>
    <w:rsid w:val="00B432B3"/>
    <w:rsid w:val="00B43353"/>
    <w:rsid w:val="00B43357"/>
    <w:rsid w:val="00B4338E"/>
    <w:rsid w:val="00B433DA"/>
    <w:rsid w:val="00B433FD"/>
    <w:rsid w:val="00B43446"/>
    <w:rsid w:val="00B43450"/>
    <w:rsid w:val="00B434F1"/>
    <w:rsid w:val="00B43520"/>
    <w:rsid w:val="00B4352D"/>
    <w:rsid w:val="00B4353E"/>
    <w:rsid w:val="00B4358B"/>
    <w:rsid w:val="00B435AF"/>
    <w:rsid w:val="00B435DB"/>
    <w:rsid w:val="00B43686"/>
    <w:rsid w:val="00B436A5"/>
    <w:rsid w:val="00B436D1"/>
    <w:rsid w:val="00B43730"/>
    <w:rsid w:val="00B437BF"/>
    <w:rsid w:val="00B437E0"/>
    <w:rsid w:val="00B4380A"/>
    <w:rsid w:val="00B4388B"/>
    <w:rsid w:val="00B438A9"/>
    <w:rsid w:val="00B438AA"/>
    <w:rsid w:val="00B438E9"/>
    <w:rsid w:val="00B43945"/>
    <w:rsid w:val="00B439AA"/>
    <w:rsid w:val="00B439C9"/>
    <w:rsid w:val="00B439CA"/>
    <w:rsid w:val="00B43A16"/>
    <w:rsid w:val="00B43A21"/>
    <w:rsid w:val="00B43A39"/>
    <w:rsid w:val="00B43A45"/>
    <w:rsid w:val="00B43A9A"/>
    <w:rsid w:val="00B43B2D"/>
    <w:rsid w:val="00B43B31"/>
    <w:rsid w:val="00B43B62"/>
    <w:rsid w:val="00B43BE8"/>
    <w:rsid w:val="00B43BF2"/>
    <w:rsid w:val="00B43C28"/>
    <w:rsid w:val="00B43C55"/>
    <w:rsid w:val="00B43CA7"/>
    <w:rsid w:val="00B43CB7"/>
    <w:rsid w:val="00B43CBC"/>
    <w:rsid w:val="00B43CC5"/>
    <w:rsid w:val="00B43D4D"/>
    <w:rsid w:val="00B43DCF"/>
    <w:rsid w:val="00B43DD7"/>
    <w:rsid w:val="00B43DDB"/>
    <w:rsid w:val="00B43DDF"/>
    <w:rsid w:val="00B43E75"/>
    <w:rsid w:val="00B43F41"/>
    <w:rsid w:val="00B43FBF"/>
    <w:rsid w:val="00B44017"/>
    <w:rsid w:val="00B4401F"/>
    <w:rsid w:val="00B44102"/>
    <w:rsid w:val="00B44127"/>
    <w:rsid w:val="00B4415E"/>
    <w:rsid w:val="00B44187"/>
    <w:rsid w:val="00B441CE"/>
    <w:rsid w:val="00B441F0"/>
    <w:rsid w:val="00B441F4"/>
    <w:rsid w:val="00B441FB"/>
    <w:rsid w:val="00B442C0"/>
    <w:rsid w:val="00B442E9"/>
    <w:rsid w:val="00B443A5"/>
    <w:rsid w:val="00B4445B"/>
    <w:rsid w:val="00B44465"/>
    <w:rsid w:val="00B4448B"/>
    <w:rsid w:val="00B444B0"/>
    <w:rsid w:val="00B444B3"/>
    <w:rsid w:val="00B444FF"/>
    <w:rsid w:val="00B4451A"/>
    <w:rsid w:val="00B44560"/>
    <w:rsid w:val="00B445F5"/>
    <w:rsid w:val="00B4462F"/>
    <w:rsid w:val="00B44632"/>
    <w:rsid w:val="00B44685"/>
    <w:rsid w:val="00B446E4"/>
    <w:rsid w:val="00B4473E"/>
    <w:rsid w:val="00B44759"/>
    <w:rsid w:val="00B4476F"/>
    <w:rsid w:val="00B4478B"/>
    <w:rsid w:val="00B44839"/>
    <w:rsid w:val="00B4492A"/>
    <w:rsid w:val="00B44959"/>
    <w:rsid w:val="00B4496F"/>
    <w:rsid w:val="00B449E7"/>
    <w:rsid w:val="00B44A63"/>
    <w:rsid w:val="00B44AC6"/>
    <w:rsid w:val="00B44AFB"/>
    <w:rsid w:val="00B44B46"/>
    <w:rsid w:val="00B44BAF"/>
    <w:rsid w:val="00B44BC0"/>
    <w:rsid w:val="00B44BEA"/>
    <w:rsid w:val="00B44BF3"/>
    <w:rsid w:val="00B44BFA"/>
    <w:rsid w:val="00B44C13"/>
    <w:rsid w:val="00B44C5A"/>
    <w:rsid w:val="00B44CE3"/>
    <w:rsid w:val="00B44DFC"/>
    <w:rsid w:val="00B44E15"/>
    <w:rsid w:val="00B44E3B"/>
    <w:rsid w:val="00B44E52"/>
    <w:rsid w:val="00B44E8F"/>
    <w:rsid w:val="00B44E9A"/>
    <w:rsid w:val="00B44EB8"/>
    <w:rsid w:val="00B44ED0"/>
    <w:rsid w:val="00B44F2F"/>
    <w:rsid w:val="00B44F56"/>
    <w:rsid w:val="00B44FB7"/>
    <w:rsid w:val="00B45050"/>
    <w:rsid w:val="00B45114"/>
    <w:rsid w:val="00B4513E"/>
    <w:rsid w:val="00B451C9"/>
    <w:rsid w:val="00B451D6"/>
    <w:rsid w:val="00B4525E"/>
    <w:rsid w:val="00B45283"/>
    <w:rsid w:val="00B45398"/>
    <w:rsid w:val="00B4542B"/>
    <w:rsid w:val="00B4545D"/>
    <w:rsid w:val="00B45476"/>
    <w:rsid w:val="00B45482"/>
    <w:rsid w:val="00B454D6"/>
    <w:rsid w:val="00B45502"/>
    <w:rsid w:val="00B45578"/>
    <w:rsid w:val="00B455CF"/>
    <w:rsid w:val="00B455D4"/>
    <w:rsid w:val="00B455D6"/>
    <w:rsid w:val="00B455E0"/>
    <w:rsid w:val="00B45647"/>
    <w:rsid w:val="00B4568F"/>
    <w:rsid w:val="00B456C8"/>
    <w:rsid w:val="00B4570E"/>
    <w:rsid w:val="00B45744"/>
    <w:rsid w:val="00B45768"/>
    <w:rsid w:val="00B4579F"/>
    <w:rsid w:val="00B45848"/>
    <w:rsid w:val="00B45874"/>
    <w:rsid w:val="00B458D8"/>
    <w:rsid w:val="00B458F7"/>
    <w:rsid w:val="00B45934"/>
    <w:rsid w:val="00B45953"/>
    <w:rsid w:val="00B45995"/>
    <w:rsid w:val="00B459D3"/>
    <w:rsid w:val="00B45A41"/>
    <w:rsid w:val="00B45A82"/>
    <w:rsid w:val="00B45AD7"/>
    <w:rsid w:val="00B45B6D"/>
    <w:rsid w:val="00B45BA4"/>
    <w:rsid w:val="00B45BFD"/>
    <w:rsid w:val="00B45C7F"/>
    <w:rsid w:val="00B45CC8"/>
    <w:rsid w:val="00B45D10"/>
    <w:rsid w:val="00B45DAB"/>
    <w:rsid w:val="00B45DEE"/>
    <w:rsid w:val="00B45E47"/>
    <w:rsid w:val="00B45E6E"/>
    <w:rsid w:val="00B45F15"/>
    <w:rsid w:val="00B45F35"/>
    <w:rsid w:val="00B45F49"/>
    <w:rsid w:val="00B45F5A"/>
    <w:rsid w:val="00B45F81"/>
    <w:rsid w:val="00B45F87"/>
    <w:rsid w:val="00B45F9C"/>
    <w:rsid w:val="00B45FD6"/>
    <w:rsid w:val="00B4604B"/>
    <w:rsid w:val="00B4609B"/>
    <w:rsid w:val="00B460C8"/>
    <w:rsid w:val="00B460F8"/>
    <w:rsid w:val="00B460FF"/>
    <w:rsid w:val="00B461BE"/>
    <w:rsid w:val="00B4620E"/>
    <w:rsid w:val="00B462B4"/>
    <w:rsid w:val="00B462C4"/>
    <w:rsid w:val="00B4631D"/>
    <w:rsid w:val="00B463AF"/>
    <w:rsid w:val="00B4640B"/>
    <w:rsid w:val="00B46412"/>
    <w:rsid w:val="00B4644E"/>
    <w:rsid w:val="00B4648A"/>
    <w:rsid w:val="00B464EB"/>
    <w:rsid w:val="00B465AC"/>
    <w:rsid w:val="00B46612"/>
    <w:rsid w:val="00B46674"/>
    <w:rsid w:val="00B46698"/>
    <w:rsid w:val="00B466AD"/>
    <w:rsid w:val="00B4670D"/>
    <w:rsid w:val="00B4674B"/>
    <w:rsid w:val="00B4675B"/>
    <w:rsid w:val="00B46819"/>
    <w:rsid w:val="00B4681A"/>
    <w:rsid w:val="00B46890"/>
    <w:rsid w:val="00B46974"/>
    <w:rsid w:val="00B469AB"/>
    <w:rsid w:val="00B469BF"/>
    <w:rsid w:val="00B469C0"/>
    <w:rsid w:val="00B46A9D"/>
    <w:rsid w:val="00B46A9F"/>
    <w:rsid w:val="00B46B25"/>
    <w:rsid w:val="00B46B6B"/>
    <w:rsid w:val="00B46BCA"/>
    <w:rsid w:val="00B46BD0"/>
    <w:rsid w:val="00B46C1F"/>
    <w:rsid w:val="00B46C3F"/>
    <w:rsid w:val="00B46CED"/>
    <w:rsid w:val="00B46D21"/>
    <w:rsid w:val="00B46D94"/>
    <w:rsid w:val="00B46DD0"/>
    <w:rsid w:val="00B46DD6"/>
    <w:rsid w:val="00B46E0A"/>
    <w:rsid w:val="00B46E18"/>
    <w:rsid w:val="00B46E98"/>
    <w:rsid w:val="00B46E9C"/>
    <w:rsid w:val="00B46EC1"/>
    <w:rsid w:val="00B46EED"/>
    <w:rsid w:val="00B46F46"/>
    <w:rsid w:val="00B46F48"/>
    <w:rsid w:val="00B46F4B"/>
    <w:rsid w:val="00B46F84"/>
    <w:rsid w:val="00B47006"/>
    <w:rsid w:val="00B47041"/>
    <w:rsid w:val="00B47063"/>
    <w:rsid w:val="00B470AA"/>
    <w:rsid w:val="00B470DC"/>
    <w:rsid w:val="00B47139"/>
    <w:rsid w:val="00B47148"/>
    <w:rsid w:val="00B472F3"/>
    <w:rsid w:val="00B4734F"/>
    <w:rsid w:val="00B473D6"/>
    <w:rsid w:val="00B47411"/>
    <w:rsid w:val="00B4743B"/>
    <w:rsid w:val="00B47458"/>
    <w:rsid w:val="00B4746E"/>
    <w:rsid w:val="00B47471"/>
    <w:rsid w:val="00B474A2"/>
    <w:rsid w:val="00B474A5"/>
    <w:rsid w:val="00B474EF"/>
    <w:rsid w:val="00B4750A"/>
    <w:rsid w:val="00B47547"/>
    <w:rsid w:val="00B47555"/>
    <w:rsid w:val="00B475DF"/>
    <w:rsid w:val="00B47611"/>
    <w:rsid w:val="00B4762E"/>
    <w:rsid w:val="00B47639"/>
    <w:rsid w:val="00B47647"/>
    <w:rsid w:val="00B476A8"/>
    <w:rsid w:val="00B476CD"/>
    <w:rsid w:val="00B4770D"/>
    <w:rsid w:val="00B477A0"/>
    <w:rsid w:val="00B47807"/>
    <w:rsid w:val="00B478CA"/>
    <w:rsid w:val="00B478CD"/>
    <w:rsid w:val="00B478DB"/>
    <w:rsid w:val="00B47918"/>
    <w:rsid w:val="00B479EC"/>
    <w:rsid w:val="00B47A15"/>
    <w:rsid w:val="00B47A4A"/>
    <w:rsid w:val="00B47A4B"/>
    <w:rsid w:val="00B47A94"/>
    <w:rsid w:val="00B47A98"/>
    <w:rsid w:val="00B47A9A"/>
    <w:rsid w:val="00B47AFC"/>
    <w:rsid w:val="00B47B38"/>
    <w:rsid w:val="00B47B49"/>
    <w:rsid w:val="00B47B81"/>
    <w:rsid w:val="00B47BCA"/>
    <w:rsid w:val="00B47C1A"/>
    <w:rsid w:val="00B47C3B"/>
    <w:rsid w:val="00B47C43"/>
    <w:rsid w:val="00B47C53"/>
    <w:rsid w:val="00B47C71"/>
    <w:rsid w:val="00B47CF4"/>
    <w:rsid w:val="00B47D65"/>
    <w:rsid w:val="00B47D80"/>
    <w:rsid w:val="00B47DC9"/>
    <w:rsid w:val="00B47DD4"/>
    <w:rsid w:val="00B47DF4"/>
    <w:rsid w:val="00B47E19"/>
    <w:rsid w:val="00B47E65"/>
    <w:rsid w:val="00B47E80"/>
    <w:rsid w:val="00B47EB3"/>
    <w:rsid w:val="00B47EE7"/>
    <w:rsid w:val="00B47F9A"/>
    <w:rsid w:val="00B50021"/>
    <w:rsid w:val="00B50057"/>
    <w:rsid w:val="00B50087"/>
    <w:rsid w:val="00B500AD"/>
    <w:rsid w:val="00B500EC"/>
    <w:rsid w:val="00B5010E"/>
    <w:rsid w:val="00B50157"/>
    <w:rsid w:val="00B50163"/>
    <w:rsid w:val="00B50168"/>
    <w:rsid w:val="00B50249"/>
    <w:rsid w:val="00B5024F"/>
    <w:rsid w:val="00B502A0"/>
    <w:rsid w:val="00B50310"/>
    <w:rsid w:val="00B50322"/>
    <w:rsid w:val="00B50388"/>
    <w:rsid w:val="00B503A1"/>
    <w:rsid w:val="00B503CD"/>
    <w:rsid w:val="00B503CE"/>
    <w:rsid w:val="00B5043A"/>
    <w:rsid w:val="00B50441"/>
    <w:rsid w:val="00B5044C"/>
    <w:rsid w:val="00B504AA"/>
    <w:rsid w:val="00B504CD"/>
    <w:rsid w:val="00B504D6"/>
    <w:rsid w:val="00B50501"/>
    <w:rsid w:val="00B50564"/>
    <w:rsid w:val="00B505A1"/>
    <w:rsid w:val="00B50601"/>
    <w:rsid w:val="00B506C9"/>
    <w:rsid w:val="00B506D8"/>
    <w:rsid w:val="00B5079F"/>
    <w:rsid w:val="00B507C1"/>
    <w:rsid w:val="00B507CD"/>
    <w:rsid w:val="00B5081D"/>
    <w:rsid w:val="00B50825"/>
    <w:rsid w:val="00B50881"/>
    <w:rsid w:val="00B508C1"/>
    <w:rsid w:val="00B508CD"/>
    <w:rsid w:val="00B5090C"/>
    <w:rsid w:val="00B5099E"/>
    <w:rsid w:val="00B509AE"/>
    <w:rsid w:val="00B509D5"/>
    <w:rsid w:val="00B50A5B"/>
    <w:rsid w:val="00B50AC2"/>
    <w:rsid w:val="00B50ACD"/>
    <w:rsid w:val="00B50AD9"/>
    <w:rsid w:val="00B50B1A"/>
    <w:rsid w:val="00B50B39"/>
    <w:rsid w:val="00B50B99"/>
    <w:rsid w:val="00B50BA5"/>
    <w:rsid w:val="00B50BEF"/>
    <w:rsid w:val="00B50C2B"/>
    <w:rsid w:val="00B50CBC"/>
    <w:rsid w:val="00B50CCB"/>
    <w:rsid w:val="00B50CDD"/>
    <w:rsid w:val="00B50CF5"/>
    <w:rsid w:val="00B50D08"/>
    <w:rsid w:val="00B50D3F"/>
    <w:rsid w:val="00B50D7F"/>
    <w:rsid w:val="00B50D93"/>
    <w:rsid w:val="00B50DD3"/>
    <w:rsid w:val="00B50DE1"/>
    <w:rsid w:val="00B50E27"/>
    <w:rsid w:val="00B50E86"/>
    <w:rsid w:val="00B50EA1"/>
    <w:rsid w:val="00B50EBC"/>
    <w:rsid w:val="00B50F36"/>
    <w:rsid w:val="00B50F62"/>
    <w:rsid w:val="00B50F9D"/>
    <w:rsid w:val="00B51061"/>
    <w:rsid w:val="00B5110C"/>
    <w:rsid w:val="00B5113C"/>
    <w:rsid w:val="00B51148"/>
    <w:rsid w:val="00B51179"/>
    <w:rsid w:val="00B511A3"/>
    <w:rsid w:val="00B511CA"/>
    <w:rsid w:val="00B51211"/>
    <w:rsid w:val="00B5121E"/>
    <w:rsid w:val="00B51252"/>
    <w:rsid w:val="00B5126B"/>
    <w:rsid w:val="00B5126F"/>
    <w:rsid w:val="00B51280"/>
    <w:rsid w:val="00B512C2"/>
    <w:rsid w:val="00B513AC"/>
    <w:rsid w:val="00B513F0"/>
    <w:rsid w:val="00B513F7"/>
    <w:rsid w:val="00B5141A"/>
    <w:rsid w:val="00B51431"/>
    <w:rsid w:val="00B5143F"/>
    <w:rsid w:val="00B51463"/>
    <w:rsid w:val="00B5146E"/>
    <w:rsid w:val="00B514B1"/>
    <w:rsid w:val="00B514E8"/>
    <w:rsid w:val="00B514F7"/>
    <w:rsid w:val="00B5152E"/>
    <w:rsid w:val="00B5157A"/>
    <w:rsid w:val="00B51586"/>
    <w:rsid w:val="00B51590"/>
    <w:rsid w:val="00B51619"/>
    <w:rsid w:val="00B51644"/>
    <w:rsid w:val="00B516A9"/>
    <w:rsid w:val="00B51705"/>
    <w:rsid w:val="00B5170A"/>
    <w:rsid w:val="00B5171F"/>
    <w:rsid w:val="00B51734"/>
    <w:rsid w:val="00B5177E"/>
    <w:rsid w:val="00B51783"/>
    <w:rsid w:val="00B517D0"/>
    <w:rsid w:val="00B517D1"/>
    <w:rsid w:val="00B51817"/>
    <w:rsid w:val="00B5182C"/>
    <w:rsid w:val="00B51907"/>
    <w:rsid w:val="00B519AD"/>
    <w:rsid w:val="00B519B6"/>
    <w:rsid w:val="00B51A9B"/>
    <w:rsid w:val="00B51B27"/>
    <w:rsid w:val="00B51B97"/>
    <w:rsid w:val="00B51BE7"/>
    <w:rsid w:val="00B51C22"/>
    <w:rsid w:val="00B51C48"/>
    <w:rsid w:val="00B51C7B"/>
    <w:rsid w:val="00B51CD3"/>
    <w:rsid w:val="00B51D13"/>
    <w:rsid w:val="00B51D21"/>
    <w:rsid w:val="00B51D77"/>
    <w:rsid w:val="00B51D7E"/>
    <w:rsid w:val="00B51DB6"/>
    <w:rsid w:val="00B51DF6"/>
    <w:rsid w:val="00B51E8B"/>
    <w:rsid w:val="00B51E8C"/>
    <w:rsid w:val="00B51F55"/>
    <w:rsid w:val="00B51F7E"/>
    <w:rsid w:val="00B51F87"/>
    <w:rsid w:val="00B51FC4"/>
    <w:rsid w:val="00B5208B"/>
    <w:rsid w:val="00B5208C"/>
    <w:rsid w:val="00B520DE"/>
    <w:rsid w:val="00B520E0"/>
    <w:rsid w:val="00B52180"/>
    <w:rsid w:val="00B5219E"/>
    <w:rsid w:val="00B521D5"/>
    <w:rsid w:val="00B52205"/>
    <w:rsid w:val="00B5229A"/>
    <w:rsid w:val="00B522C6"/>
    <w:rsid w:val="00B5243D"/>
    <w:rsid w:val="00B5246B"/>
    <w:rsid w:val="00B524BE"/>
    <w:rsid w:val="00B524C6"/>
    <w:rsid w:val="00B524FD"/>
    <w:rsid w:val="00B52590"/>
    <w:rsid w:val="00B525B3"/>
    <w:rsid w:val="00B525E4"/>
    <w:rsid w:val="00B5264E"/>
    <w:rsid w:val="00B526B6"/>
    <w:rsid w:val="00B52722"/>
    <w:rsid w:val="00B52740"/>
    <w:rsid w:val="00B52761"/>
    <w:rsid w:val="00B527DC"/>
    <w:rsid w:val="00B5280B"/>
    <w:rsid w:val="00B5282C"/>
    <w:rsid w:val="00B52846"/>
    <w:rsid w:val="00B528F7"/>
    <w:rsid w:val="00B52909"/>
    <w:rsid w:val="00B52915"/>
    <w:rsid w:val="00B52937"/>
    <w:rsid w:val="00B52A63"/>
    <w:rsid w:val="00B52A99"/>
    <w:rsid w:val="00B52AF1"/>
    <w:rsid w:val="00B52C4C"/>
    <w:rsid w:val="00B52C93"/>
    <w:rsid w:val="00B52CAE"/>
    <w:rsid w:val="00B52CB3"/>
    <w:rsid w:val="00B52D0B"/>
    <w:rsid w:val="00B52D20"/>
    <w:rsid w:val="00B52D67"/>
    <w:rsid w:val="00B52D7E"/>
    <w:rsid w:val="00B52D95"/>
    <w:rsid w:val="00B52DBE"/>
    <w:rsid w:val="00B52DCE"/>
    <w:rsid w:val="00B52DE8"/>
    <w:rsid w:val="00B52E70"/>
    <w:rsid w:val="00B52E7C"/>
    <w:rsid w:val="00B52E8F"/>
    <w:rsid w:val="00B52EAB"/>
    <w:rsid w:val="00B52ED7"/>
    <w:rsid w:val="00B52FD6"/>
    <w:rsid w:val="00B52FF4"/>
    <w:rsid w:val="00B53077"/>
    <w:rsid w:val="00B5309B"/>
    <w:rsid w:val="00B530DE"/>
    <w:rsid w:val="00B53183"/>
    <w:rsid w:val="00B5318F"/>
    <w:rsid w:val="00B531CB"/>
    <w:rsid w:val="00B531DF"/>
    <w:rsid w:val="00B5322A"/>
    <w:rsid w:val="00B53299"/>
    <w:rsid w:val="00B532A9"/>
    <w:rsid w:val="00B532B3"/>
    <w:rsid w:val="00B532F6"/>
    <w:rsid w:val="00B53398"/>
    <w:rsid w:val="00B533FF"/>
    <w:rsid w:val="00B53511"/>
    <w:rsid w:val="00B53581"/>
    <w:rsid w:val="00B535E1"/>
    <w:rsid w:val="00B5363B"/>
    <w:rsid w:val="00B5365D"/>
    <w:rsid w:val="00B53667"/>
    <w:rsid w:val="00B53736"/>
    <w:rsid w:val="00B53738"/>
    <w:rsid w:val="00B5373F"/>
    <w:rsid w:val="00B537C3"/>
    <w:rsid w:val="00B53805"/>
    <w:rsid w:val="00B53839"/>
    <w:rsid w:val="00B5383A"/>
    <w:rsid w:val="00B53883"/>
    <w:rsid w:val="00B538B6"/>
    <w:rsid w:val="00B53906"/>
    <w:rsid w:val="00B5391B"/>
    <w:rsid w:val="00B53970"/>
    <w:rsid w:val="00B5397E"/>
    <w:rsid w:val="00B539BE"/>
    <w:rsid w:val="00B53A0C"/>
    <w:rsid w:val="00B53A17"/>
    <w:rsid w:val="00B53A1E"/>
    <w:rsid w:val="00B53A25"/>
    <w:rsid w:val="00B53A37"/>
    <w:rsid w:val="00B53A5F"/>
    <w:rsid w:val="00B53A92"/>
    <w:rsid w:val="00B53AF2"/>
    <w:rsid w:val="00B53B15"/>
    <w:rsid w:val="00B53B24"/>
    <w:rsid w:val="00B53B43"/>
    <w:rsid w:val="00B53B49"/>
    <w:rsid w:val="00B53B56"/>
    <w:rsid w:val="00B53B64"/>
    <w:rsid w:val="00B53BE0"/>
    <w:rsid w:val="00B53C52"/>
    <w:rsid w:val="00B53C97"/>
    <w:rsid w:val="00B53C9E"/>
    <w:rsid w:val="00B53CAF"/>
    <w:rsid w:val="00B53D12"/>
    <w:rsid w:val="00B53D2D"/>
    <w:rsid w:val="00B53D37"/>
    <w:rsid w:val="00B53E22"/>
    <w:rsid w:val="00B53E34"/>
    <w:rsid w:val="00B53E51"/>
    <w:rsid w:val="00B53EEE"/>
    <w:rsid w:val="00B53EFC"/>
    <w:rsid w:val="00B53F03"/>
    <w:rsid w:val="00B53F07"/>
    <w:rsid w:val="00B53F87"/>
    <w:rsid w:val="00B53FC6"/>
    <w:rsid w:val="00B54028"/>
    <w:rsid w:val="00B540BC"/>
    <w:rsid w:val="00B54105"/>
    <w:rsid w:val="00B54229"/>
    <w:rsid w:val="00B542A9"/>
    <w:rsid w:val="00B54313"/>
    <w:rsid w:val="00B54329"/>
    <w:rsid w:val="00B5432B"/>
    <w:rsid w:val="00B5437C"/>
    <w:rsid w:val="00B543A8"/>
    <w:rsid w:val="00B5449B"/>
    <w:rsid w:val="00B544C5"/>
    <w:rsid w:val="00B5450B"/>
    <w:rsid w:val="00B5451D"/>
    <w:rsid w:val="00B54557"/>
    <w:rsid w:val="00B545B1"/>
    <w:rsid w:val="00B545CD"/>
    <w:rsid w:val="00B545D4"/>
    <w:rsid w:val="00B545E7"/>
    <w:rsid w:val="00B54732"/>
    <w:rsid w:val="00B54783"/>
    <w:rsid w:val="00B54796"/>
    <w:rsid w:val="00B547EB"/>
    <w:rsid w:val="00B5481D"/>
    <w:rsid w:val="00B548C7"/>
    <w:rsid w:val="00B54915"/>
    <w:rsid w:val="00B5494A"/>
    <w:rsid w:val="00B549E7"/>
    <w:rsid w:val="00B54A53"/>
    <w:rsid w:val="00B54A6D"/>
    <w:rsid w:val="00B54AA0"/>
    <w:rsid w:val="00B54AD6"/>
    <w:rsid w:val="00B54B20"/>
    <w:rsid w:val="00B54B44"/>
    <w:rsid w:val="00B54B5F"/>
    <w:rsid w:val="00B54B60"/>
    <w:rsid w:val="00B54B6A"/>
    <w:rsid w:val="00B54BF6"/>
    <w:rsid w:val="00B54CA1"/>
    <w:rsid w:val="00B54CA2"/>
    <w:rsid w:val="00B54CE3"/>
    <w:rsid w:val="00B54CED"/>
    <w:rsid w:val="00B54D1A"/>
    <w:rsid w:val="00B54D2E"/>
    <w:rsid w:val="00B54D99"/>
    <w:rsid w:val="00B54DA9"/>
    <w:rsid w:val="00B54DAF"/>
    <w:rsid w:val="00B54DC9"/>
    <w:rsid w:val="00B54DDA"/>
    <w:rsid w:val="00B54E0A"/>
    <w:rsid w:val="00B54E86"/>
    <w:rsid w:val="00B54EA6"/>
    <w:rsid w:val="00B54F07"/>
    <w:rsid w:val="00B54FCE"/>
    <w:rsid w:val="00B54FF7"/>
    <w:rsid w:val="00B5504C"/>
    <w:rsid w:val="00B550B8"/>
    <w:rsid w:val="00B5510C"/>
    <w:rsid w:val="00B5514E"/>
    <w:rsid w:val="00B55155"/>
    <w:rsid w:val="00B551B3"/>
    <w:rsid w:val="00B551B6"/>
    <w:rsid w:val="00B551D1"/>
    <w:rsid w:val="00B552C0"/>
    <w:rsid w:val="00B5531B"/>
    <w:rsid w:val="00B55355"/>
    <w:rsid w:val="00B55363"/>
    <w:rsid w:val="00B5537B"/>
    <w:rsid w:val="00B55395"/>
    <w:rsid w:val="00B553D4"/>
    <w:rsid w:val="00B55428"/>
    <w:rsid w:val="00B5549B"/>
    <w:rsid w:val="00B554E8"/>
    <w:rsid w:val="00B55515"/>
    <w:rsid w:val="00B55554"/>
    <w:rsid w:val="00B5555F"/>
    <w:rsid w:val="00B5557D"/>
    <w:rsid w:val="00B555A8"/>
    <w:rsid w:val="00B555C3"/>
    <w:rsid w:val="00B555CA"/>
    <w:rsid w:val="00B55665"/>
    <w:rsid w:val="00B5566F"/>
    <w:rsid w:val="00B556D7"/>
    <w:rsid w:val="00B55735"/>
    <w:rsid w:val="00B55801"/>
    <w:rsid w:val="00B5589D"/>
    <w:rsid w:val="00B558A5"/>
    <w:rsid w:val="00B558C8"/>
    <w:rsid w:val="00B558DC"/>
    <w:rsid w:val="00B558E9"/>
    <w:rsid w:val="00B559EF"/>
    <w:rsid w:val="00B55ACB"/>
    <w:rsid w:val="00B55B8D"/>
    <w:rsid w:val="00B55C15"/>
    <w:rsid w:val="00B55C69"/>
    <w:rsid w:val="00B55D24"/>
    <w:rsid w:val="00B55DA5"/>
    <w:rsid w:val="00B55DAD"/>
    <w:rsid w:val="00B55DBD"/>
    <w:rsid w:val="00B55E00"/>
    <w:rsid w:val="00B55E40"/>
    <w:rsid w:val="00B55E91"/>
    <w:rsid w:val="00B55EBA"/>
    <w:rsid w:val="00B55EDB"/>
    <w:rsid w:val="00B55F6D"/>
    <w:rsid w:val="00B55F78"/>
    <w:rsid w:val="00B55FAB"/>
    <w:rsid w:val="00B55FAC"/>
    <w:rsid w:val="00B5606D"/>
    <w:rsid w:val="00B56079"/>
    <w:rsid w:val="00B56133"/>
    <w:rsid w:val="00B5617A"/>
    <w:rsid w:val="00B561B5"/>
    <w:rsid w:val="00B561BE"/>
    <w:rsid w:val="00B5627F"/>
    <w:rsid w:val="00B562E0"/>
    <w:rsid w:val="00B56320"/>
    <w:rsid w:val="00B56323"/>
    <w:rsid w:val="00B5635B"/>
    <w:rsid w:val="00B5637C"/>
    <w:rsid w:val="00B56398"/>
    <w:rsid w:val="00B5641C"/>
    <w:rsid w:val="00B56429"/>
    <w:rsid w:val="00B56462"/>
    <w:rsid w:val="00B56495"/>
    <w:rsid w:val="00B564D7"/>
    <w:rsid w:val="00B564D8"/>
    <w:rsid w:val="00B56564"/>
    <w:rsid w:val="00B5656D"/>
    <w:rsid w:val="00B5659A"/>
    <w:rsid w:val="00B565B1"/>
    <w:rsid w:val="00B56623"/>
    <w:rsid w:val="00B56684"/>
    <w:rsid w:val="00B56776"/>
    <w:rsid w:val="00B567EB"/>
    <w:rsid w:val="00B56888"/>
    <w:rsid w:val="00B568B3"/>
    <w:rsid w:val="00B5692B"/>
    <w:rsid w:val="00B5692D"/>
    <w:rsid w:val="00B56968"/>
    <w:rsid w:val="00B56973"/>
    <w:rsid w:val="00B569B8"/>
    <w:rsid w:val="00B569E9"/>
    <w:rsid w:val="00B56A2B"/>
    <w:rsid w:val="00B56A32"/>
    <w:rsid w:val="00B56A57"/>
    <w:rsid w:val="00B56A58"/>
    <w:rsid w:val="00B56AE2"/>
    <w:rsid w:val="00B56AF8"/>
    <w:rsid w:val="00B56B13"/>
    <w:rsid w:val="00B56B39"/>
    <w:rsid w:val="00B56B69"/>
    <w:rsid w:val="00B56B6E"/>
    <w:rsid w:val="00B56B8D"/>
    <w:rsid w:val="00B56BF0"/>
    <w:rsid w:val="00B56C3A"/>
    <w:rsid w:val="00B56C6D"/>
    <w:rsid w:val="00B56C93"/>
    <w:rsid w:val="00B56CC5"/>
    <w:rsid w:val="00B56CCE"/>
    <w:rsid w:val="00B56D48"/>
    <w:rsid w:val="00B56D65"/>
    <w:rsid w:val="00B56DFA"/>
    <w:rsid w:val="00B56E28"/>
    <w:rsid w:val="00B56E58"/>
    <w:rsid w:val="00B56E63"/>
    <w:rsid w:val="00B56EAC"/>
    <w:rsid w:val="00B56FCC"/>
    <w:rsid w:val="00B56FE5"/>
    <w:rsid w:val="00B57068"/>
    <w:rsid w:val="00B5708A"/>
    <w:rsid w:val="00B570F0"/>
    <w:rsid w:val="00B5712B"/>
    <w:rsid w:val="00B57168"/>
    <w:rsid w:val="00B5720B"/>
    <w:rsid w:val="00B57228"/>
    <w:rsid w:val="00B5723C"/>
    <w:rsid w:val="00B57284"/>
    <w:rsid w:val="00B572E2"/>
    <w:rsid w:val="00B57321"/>
    <w:rsid w:val="00B5736D"/>
    <w:rsid w:val="00B5737A"/>
    <w:rsid w:val="00B57390"/>
    <w:rsid w:val="00B573C0"/>
    <w:rsid w:val="00B573D0"/>
    <w:rsid w:val="00B573DD"/>
    <w:rsid w:val="00B573E5"/>
    <w:rsid w:val="00B57433"/>
    <w:rsid w:val="00B5744E"/>
    <w:rsid w:val="00B574C8"/>
    <w:rsid w:val="00B57520"/>
    <w:rsid w:val="00B57537"/>
    <w:rsid w:val="00B575CA"/>
    <w:rsid w:val="00B57683"/>
    <w:rsid w:val="00B576FA"/>
    <w:rsid w:val="00B57721"/>
    <w:rsid w:val="00B577D5"/>
    <w:rsid w:val="00B57810"/>
    <w:rsid w:val="00B5781B"/>
    <w:rsid w:val="00B57863"/>
    <w:rsid w:val="00B578F9"/>
    <w:rsid w:val="00B5791D"/>
    <w:rsid w:val="00B5791E"/>
    <w:rsid w:val="00B5791F"/>
    <w:rsid w:val="00B57A4F"/>
    <w:rsid w:val="00B57A52"/>
    <w:rsid w:val="00B57A6F"/>
    <w:rsid w:val="00B57A98"/>
    <w:rsid w:val="00B57AC0"/>
    <w:rsid w:val="00B57AC3"/>
    <w:rsid w:val="00B57B91"/>
    <w:rsid w:val="00B57BD5"/>
    <w:rsid w:val="00B57BF5"/>
    <w:rsid w:val="00B57CCC"/>
    <w:rsid w:val="00B57CD4"/>
    <w:rsid w:val="00B57D50"/>
    <w:rsid w:val="00B57D84"/>
    <w:rsid w:val="00B57DAC"/>
    <w:rsid w:val="00B57DCB"/>
    <w:rsid w:val="00B57E76"/>
    <w:rsid w:val="00B57EDE"/>
    <w:rsid w:val="00B57F11"/>
    <w:rsid w:val="00B57F6D"/>
    <w:rsid w:val="00B57FEA"/>
    <w:rsid w:val="00B60042"/>
    <w:rsid w:val="00B60050"/>
    <w:rsid w:val="00B600BA"/>
    <w:rsid w:val="00B60126"/>
    <w:rsid w:val="00B60197"/>
    <w:rsid w:val="00B6019C"/>
    <w:rsid w:val="00B601AA"/>
    <w:rsid w:val="00B601F5"/>
    <w:rsid w:val="00B60215"/>
    <w:rsid w:val="00B60268"/>
    <w:rsid w:val="00B60304"/>
    <w:rsid w:val="00B6030F"/>
    <w:rsid w:val="00B60358"/>
    <w:rsid w:val="00B60385"/>
    <w:rsid w:val="00B60390"/>
    <w:rsid w:val="00B603D9"/>
    <w:rsid w:val="00B6040B"/>
    <w:rsid w:val="00B60416"/>
    <w:rsid w:val="00B60600"/>
    <w:rsid w:val="00B6060B"/>
    <w:rsid w:val="00B60660"/>
    <w:rsid w:val="00B606F2"/>
    <w:rsid w:val="00B60715"/>
    <w:rsid w:val="00B60776"/>
    <w:rsid w:val="00B60779"/>
    <w:rsid w:val="00B607B1"/>
    <w:rsid w:val="00B607C7"/>
    <w:rsid w:val="00B607DA"/>
    <w:rsid w:val="00B6082A"/>
    <w:rsid w:val="00B60866"/>
    <w:rsid w:val="00B60870"/>
    <w:rsid w:val="00B608C9"/>
    <w:rsid w:val="00B609B2"/>
    <w:rsid w:val="00B609E8"/>
    <w:rsid w:val="00B60A41"/>
    <w:rsid w:val="00B60A57"/>
    <w:rsid w:val="00B60A85"/>
    <w:rsid w:val="00B60ABA"/>
    <w:rsid w:val="00B60AE7"/>
    <w:rsid w:val="00B60AFD"/>
    <w:rsid w:val="00B60B5F"/>
    <w:rsid w:val="00B60B92"/>
    <w:rsid w:val="00B60BD8"/>
    <w:rsid w:val="00B60BF1"/>
    <w:rsid w:val="00B60C45"/>
    <w:rsid w:val="00B60C4D"/>
    <w:rsid w:val="00B60D6E"/>
    <w:rsid w:val="00B60D73"/>
    <w:rsid w:val="00B60D74"/>
    <w:rsid w:val="00B60D90"/>
    <w:rsid w:val="00B60DEA"/>
    <w:rsid w:val="00B60E46"/>
    <w:rsid w:val="00B60E59"/>
    <w:rsid w:val="00B60E9F"/>
    <w:rsid w:val="00B60F01"/>
    <w:rsid w:val="00B60F1E"/>
    <w:rsid w:val="00B60FA5"/>
    <w:rsid w:val="00B61090"/>
    <w:rsid w:val="00B610D9"/>
    <w:rsid w:val="00B61138"/>
    <w:rsid w:val="00B61222"/>
    <w:rsid w:val="00B61227"/>
    <w:rsid w:val="00B6128F"/>
    <w:rsid w:val="00B612BD"/>
    <w:rsid w:val="00B612D9"/>
    <w:rsid w:val="00B61300"/>
    <w:rsid w:val="00B6134F"/>
    <w:rsid w:val="00B61350"/>
    <w:rsid w:val="00B61358"/>
    <w:rsid w:val="00B61363"/>
    <w:rsid w:val="00B613BD"/>
    <w:rsid w:val="00B6142E"/>
    <w:rsid w:val="00B61465"/>
    <w:rsid w:val="00B61598"/>
    <w:rsid w:val="00B615A9"/>
    <w:rsid w:val="00B615B9"/>
    <w:rsid w:val="00B61641"/>
    <w:rsid w:val="00B616AB"/>
    <w:rsid w:val="00B616B4"/>
    <w:rsid w:val="00B616FE"/>
    <w:rsid w:val="00B61782"/>
    <w:rsid w:val="00B61792"/>
    <w:rsid w:val="00B617AC"/>
    <w:rsid w:val="00B617D7"/>
    <w:rsid w:val="00B6182E"/>
    <w:rsid w:val="00B6183D"/>
    <w:rsid w:val="00B6188C"/>
    <w:rsid w:val="00B61899"/>
    <w:rsid w:val="00B6189F"/>
    <w:rsid w:val="00B618B4"/>
    <w:rsid w:val="00B61908"/>
    <w:rsid w:val="00B619C6"/>
    <w:rsid w:val="00B619F4"/>
    <w:rsid w:val="00B619FE"/>
    <w:rsid w:val="00B61A97"/>
    <w:rsid w:val="00B61AEB"/>
    <w:rsid w:val="00B61B1B"/>
    <w:rsid w:val="00B61B4F"/>
    <w:rsid w:val="00B61BCA"/>
    <w:rsid w:val="00B61C01"/>
    <w:rsid w:val="00B61C3E"/>
    <w:rsid w:val="00B61C88"/>
    <w:rsid w:val="00B61C8B"/>
    <w:rsid w:val="00B61CB9"/>
    <w:rsid w:val="00B61CBF"/>
    <w:rsid w:val="00B61CE4"/>
    <w:rsid w:val="00B61DC0"/>
    <w:rsid w:val="00B61DEA"/>
    <w:rsid w:val="00B61DFD"/>
    <w:rsid w:val="00B61EAE"/>
    <w:rsid w:val="00B61EB2"/>
    <w:rsid w:val="00B61F02"/>
    <w:rsid w:val="00B61F4D"/>
    <w:rsid w:val="00B61FA7"/>
    <w:rsid w:val="00B6200D"/>
    <w:rsid w:val="00B62039"/>
    <w:rsid w:val="00B62043"/>
    <w:rsid w:val="00B6206B"/>
    <w:rsid w:val="00B620D5"/>
    <w:rsid w:val="00B620E8"/>
    <w:rsid w:val="00B62111"/>
    <w:rsid w:val="00B62112"/>
    <w:rsid w:val="00B62123"/>
    <w:rsid w:val="00B6218E"/>
    <w:rsid w:val="00B6219B"/>
    <w:rsid w:val="00B62242"/>
    <w:rsid w:val="00B622A7"/>
    <w:rsid w:val="00B622FC"/>
    <w:rsid w:val="00B62307"/>
    <w:rsid w:val="00B623B9"/>
    <w:rsid w:val="00B623C7"/>
    <w:rsid w:val="00B6240A"/>
    <w:rsid w:val="00B6240D"/>
    <w:rsid w:val="00B6247B"/>
    <w:rsid w:val="00B624C7"/>
    <w:rsid w:val="00B62541"/>
    <w:rsid w:val="00B625EA"/>
    <w:rsid w:val="00B62618"/>
    <w:rsid w:val="00B626C5"/>
    <w:rsid w:val="00B6270D"/>
    <w:rsid w:val="00B62728"/>
    <w:rsid w:val="00B6274F"/>
    <w:rsid w:val="00B62756"/>
    <w:rsid w:val="00B627E1"/>
    <w:rsid w:val="00B62824"/>
    <w:rsid w:val="00B6284F"/>
    <w:rsid w:val="00B62866"/>
    <w:rsid w:val="00B628AA"/>
    <w:rsid w:val="00B628F0"/>
    <w:rsid w:val="00B629FF"/>
    <w:rsid w:val="00B62A6B"/>
    <w:rsid w:val="00B62A7D"/>
    <w:rsid w:val="00B62AD7"/>
    <w:rsid w:val="00B62B99"/>
    <w:rsid w:val="00B62C19"/>
    <w:rsid w:val="00B62C24"/>
    <w:rsid w:val="00B62C57"/>
    <w:rsid w:val="00B62C8A"/>
    <w:rsid w:val="00B62C8B"/>
    <w:rsid w:val="00B62CD9"/>
    <w:rsid w:val="00B62CE0"/>
    <w:rsid w:val="00B62D2F"/>
    <w:rsid w:val="00B62D96"/>
    <w:rsid w:val="00B62DA9"/>
    <w:rsid w:val="00B62DAD"/>
    <w:rsid w:val="00B62E42"/>
    <w:rsid w:val="00B62E4C"/>
    <w:rsid w:val="00B62E5E"/>
    <w:rsid w:val="00B62E68"/>
    <w:rsid w:val="00B62E6D"/>
    <w:rsid w:val="00B62E96"/>
    <w:rsid w:val="00B62EA2"/>
    <w:rsid w:val="00B62EC9"/>
    <w:rsid w:val="00B62F36"/>
    <w:rsid w:val="00B62F67"/>
    <w:rsid w:val="00B62F79"/>
    <w:rsid w:val="00B62FD7"/>
    <w:rsid w:val="00B6300B"/>
    <w:rsid w:val="00B63079"/>
    <w:rsid w:val="00B630B5"/>
    <w:rsid w:val="00B6311A"/>
    <w:rsid w:val="00B63136"/>
    <w:rsid w:val="00B63153"/>
    <w:rsid w:val="00B6315B"/>
    <w:rsid w:val="00B63180"/>
    <w:rsid w:val="00B631AE"/>
    <w:rsid w:val="00B631BF"/>
    <w:rsid w:val="00B6324B"/>
    <w:rsid w:val="00B6325F"/>
    <w:rsid w:val="00B632A6"/>
    <w:rsid w:val="00B632AC"/>
    <w:rsid w:val="00B632C8"/>
    <w:rsid w:val="00B632F0"/>
    <w:rsid w:val="00B632F3"/>
    <w:rsid w:val="00B6333A"/>
    <w:rsid w:val="00B6339A"/>
    <w:rsid w:val="00B63421"/>
    <w:rsid w:val="00B6342B"/>
    <w:rsid w:val="00B63484"/>
    <w:rsid w:val="00B634D7"/>
    <w:rsid w:val="00B63502"/>
    <w:rsid w:val="00B63539"/>
    <w:rsid w:val="00B6360C"/>
    <w:rsid w:val="00B63670"/>
    <w:rsid w:val="00B63673"/>
    <w:rsid w:val="00B6369C"/>
    <w:rsid w:val="00B636B2"/>
    <w:rsid w:val="00B63721"/>
    <w:rsid w:val="00B6375A"/>
    <w:rsid w:val="00B6378B"/>
    <w:rsid w:val="00B637FE"/>
    <w:rsid w:val="00B638D0"/>
    <w:rsid w:val="00B638D8"/>
    <w:rsid w:val="00B638DD"/>
    <w:rsid w:val="00B638E7"/>
    <w:rsid w:val="00B63907"/>
    <w:rsid w:val="00B63926"/>
    <w:rsid w:val="00B63984"/>
    <w:rsid w:val="00B6399B"/>
    <w:rsid w:val="00B639D9"/>
    <w:rsid w:val="00B63A2D"/>
    <w:rsid w:val="00B63A57"/>
    <w:rsid w:val="00B63B1B"/>
    <w:rsid w:val="00B63B94"/>
    <w:rsid w:val="00B63BD5"/>
    <w:rsid w:val="00B63BF4"/>
    <w:rsid w:val="00B63C11"/>
    <w:rsid w:val="00B63C38"/>
    <w:rsid w:val="00B63C6A"/>
    <w:rsid w:val="00B63CC2"/>
    <w:rsid w:val="00B63CC8"/>
    <w:rsid w:val="00B63D07"/>
    <w:rsid w:val="00B63D9E"/>
    <w:rsid w:val="00B63DE2"/>
    <w:rsid w:val="00B63DFA"/>
    <w:rsid w:val="00B63E86"/>
    <w:rsid w:val="00B63F3E"/>
    <w:rsid w:val="00B6400E"/>
    <w:rsid w:val="00B64037"/>
    <w:rsid w:val="00B64088"/>
    <w:rsid w:val="00B640ED"/>
    <w:rsid w:val="00B64135"/>
    <w:rsid w:val="00B6414C"/>
    <w:rsid w:val="00B641AD"/>
    <w:rsid w:val="00B6420C"/>
    <w:rsid w:val="00B64235"/>
    <w:rsid w:val="00B6429E"/>
    <w:rsid w:val="00B642A7"/>
    <w:rsid w:val="00B642D7"/>
    <w:rsid w:val="00B64308"/>
    <w:rsid w:val="00B64318"/>
    <w:rsid w:val="00B64369"/>
    <w:rsid w:val="00B643B2"/>
    <w:rsid w:val="00B643B3"/>
    <w:rsid w:val="00B643F7"/>
    <w:rsid w:val="00B64441"/>
    <w:rsid w:val="00B644BF"/>
    <w:rsid w:val="00B64501"/>
    <w:rsid w:val="00B64552"/>
    <w:rsid w:val="00B64566"/>
    <w:rsid w:val="00B645B5"/>
    <w:rsid w:val="00B645C7"/>
    <w:rsid w:val="00B645EA"/>
    <w:rsid w:val="00B645EF"/>
    <w:rsid w:val="00B6464A"/>
    <w:rsid w:val="00B64668"/>
    <w:rsid w:val="00B646BA"/>
    <w:rsid w:val="00B646EC"/>
    <w:rsid w:val="00B64711"/>
    <w:rsid w:val="00B64726"/>
    <w:rsid w:val="00B6477F"/>
    <w:rsid w:val="00B64821"/>
    <w:rsid w:val="00B64841"/>
    <w:rsid w:val="00B64873"/>
    <w:rsid w:val="00B64877"/>
    <w:rsid w:val="00B648B9"/>
    <w:rsid w:val="00B648F7"/>
    <w:rsid w:val="00B64961"/>
    <w:rsid w:val="00B64983"/>
    <w:rsid w:val="00B649D2"/>
    <w:rsid w:val="00B64A59"/>
    <w:rsid w:val="00B64A8B"/>
    <w:rsid w:val="00B64AFC"/>
    <w:rsid w:val="00B64B2A"/>
    <w:rsid w:val="00B64B9F"/>
    <w:rsid w:val="00B64C00"/>
    <w:rsid w:val="00B64C3C"/>
    <w:rsid w:val="00B64C79"/>
    <w:rsid w:val="00B64C83"/>
    <w:rsid w:val="00B64C88"/>
    <w:rsid w:val="00B64CB6"/>
    <w:rsid w:val="00B64D33"/>
    <w:rsid w:val="00B64D63"/>
    <w:rsid w:val="00B64D67"/>
    <w:rsid w:val="00B64D92"/>
    <w:rsid w:val="00B64E44"/>
    <w:rsid w:val="00B64E53"/>
    <w:rsid w:val="00B64E90"/>
    <w:rsid w:val="00B64ED8"/>
    <w:rsid w:val="00B64F03"/>
    <w:rsid w:val="00B64F31"/>
    <w:rsid w:val="00B64F3E"/>
    <w:rsid w:val="00B64F84"/>
    <w:rsid w:val="00B64FC1"/>
    <w:rsid w:val="00B64FCA"/>
    <w:rsid w:val="00B65016"/>
    <w:rsid w:val="00B65044"/>
    <w:rsid w:val="00B65069"/>
    <w:rsid w:val="00B6507D"/>
    <w:rsid w:val="00B650AF"/>
    <w:rsid w:val="00B65124"/>
    <w:rsid w:val="00B65156"/>
    <w:rsid w:val="00B651D6"/>
    <w:rsid w:val="00B65226"/>
    <w:rsid w:val="00B65285"/>
    <w:rsid w:val="00B652D6"/>
    <w:rsid w:val="00B65362"/>
    <w:rsid w:val="00B653C8"/>
    <w:rsid w:val="00B653FF"/>
    <w:rsid w:val="00B65455"/>
    <w:rsid w:val="00B65483"/>
    <w:rsid w:val="00B6549C"/>
    <w:rsid w:val="00B6551D"/>
    <w:rsid w:val="00B65533"/>
    <w:rsid w:val="00B65563"/>
    <w:rsid w:val="00B65570"/>
    <w:rsid w:val="00B65575"/>
    <w:rsid w:val="00B6558E"/>
    <w:rsid w:val="00B65609"/>
    <w:rsid w:val="00B6561F"/>
    <w:rsid w:val="00B65630"/>
    <w:rsid w:val="00B65635"/>
    <w:rsid w:val="00B65642"/>
    <w:rsid w:val="00B656A9"/>
    <w:rsid w:val="00B656B3"/>
    <w:rsid w:val="00B656C4"/>
    <w:rsid w:val="00B656CD"/>
    <w:rsid w:val="00B65752"/>
    <w:rsid w:val="00B6576C"/>
    <w:rsid w:val="00B65786"/>
    <w:rsid w:val="00B657A9"/>
    <w:rsid w:val="00B657C6"/>
    <w:rsid w:val="00B6581E"/>
    <w:rsid w:val="00B6585F"/>
    <w:rsid w:val="00B65860"/>
    <w:rsid w:val="00B65865"/>
    <w:rsid w:val="00B658B3"/>
    <w:rsid w:val="00B65962"/>
    <w:rsid w:val="00B65965"/>
    <w:rsid w:val="00B659A0"/>
    <w:rsid w:val="00B659A8"/>
    <w:rsid w:val="00B659D0"/>
    <w:rsid w:val="00B659DC"/>
    <w:rsid w:val="00B65A0D"/>
    <w:rsid w:val="00B65A41"/>
    <w:rsid w:val="00B65AA2"/>
    <w:rsid w:val="00B65AD8"/>
    <w:rsid w:val="00B65ADF"/>
    <w:rsid w:val="00B65B56"/>
    <w:rsid w:val="00B65B9A"/>
    <w:rsid w:val="00B65C46"/>
    <w:rsid w:val="00B65C93"/>
    <w:rsid w:val="00B65CB0"/>
    <w:rsid w:val="00B65CB6"/>
    <w:rsid w:val="00B65CC2"/>
    <w:rsid w:val="00B65D41"/>
    <w:rsid w:val="00B65D56"/>
    <w:rsid w:val="00B65D74"/>
    <w:rsid w:val="00B65E15"/>
    <w:rsid w:val="00B65E54"/>
    <w:rsid w:val="00B65E9A"/>
    <w:rsid w:val="00B65FA2"/>
    <w:rsid w:val="00B65FB3"/>
    <w:rsid w:val="00B65FF5"/>
    <w:rsid w:val="00B6601E"/>
    <w:rsid w:val="00B66025"/>
    <w:rsid w:val="00B6605E"/>
    <w:rsid w:val="00B6608F"/>
    <w:rsid w:val="00B6615C"/>
    <w:rsid w:val="00B661E7"/>
    <w:rsid w:val="00B66200"/>
    <w:rsid w:val="00B66268"/>
    <w:rsid w:val="00B6626D"/>
    <w:rsid w:val="00B66282"/>
    <w:rsid w:val="00B6628C"/>
    <w:rsid w:val="00B662C5"/>
    <w:rsid w:val="00B66362"/>
    <w:rsid w:val="00B66366"/>
    <w:rsid w:val="00B66379"/>
    <w:rsid w:val="00B663AF"/>
    <w:rsid w:val="00B663B4"/>
    <w:rsid w:val="00B663D8"/>
    <w:rsid w:val="00B66433"/>
    <w:rsid w:val="00B66444"/>
    <w:rsid w:val="00B66468"/>
    <w:rsid w:val="00B66589"/>
    <w:rsid w:val="00B66598"/>
    <w:rsid w:val="00B665A4"/>
    <w:rsid w:val="00B665B6"/>
    <w:rsid w:val="00B665BC"/>
    <w:rsid w:val="00B666DE"/>
    <w:rsid w:val="00B66767"/>
    <w:rsid w:val="00B667AE"/>
    <w:rsid w:val="00B66857"/>
    <w:rsid w:val="00B66887"/>
    <w:rsid w:val="00B668B0"/>
    <w:rsid w:val="00B668CC"/>
    <w:rsid w:val="00B668DC"/>
    <w:rsid w:val="00B66929"/>
    <w:rsid w:val="00B66966"/>
    <w:rsid w:val="00B66986"/>
    <w:rsid w:val="00B669F8"/>
    <w:rsid w:val="00B66A0E"/>
    <w:rsid w:val="00B66A78"/>
    <w:rsid w:val="00B66A96"/>
    <w:rsid w:val="00B66AA9"/>
    <w:rsid w:val="00B66ABD"/>
    <w:rsid w:val="00B66B1C"/>
    <w:rsid w:val="00B66B6E"/>
    <w:rsid w:val="00B66B75"/>
    <w:rsid w:val="00B66B9C"/>
    <w:rsid w:val="00B66BA8"/>
    <w:rsid w:val="00B66D46"/>
    <w:rsid w:val="00B66D60"/>
    <w:rsid w:val="00B66D65"/>
    <w:rsid w:val="00B66D8B"/>
    <w:rsid w:val="00B66DAD"/>
    <w:rsid w:val="00B66DE2"/>
    <w:rsid w:val="00B66E06"/>
    <w:rsid w:val="00B66E21"/>
    <w:rsid w:val="00B66E4A"/>
    <w:rsid w:val="00B66E5E"/>
    <w:rsid w:val="00B66E9E"/>
    <w:rsid w:val="00B66EC0"/>
    <w:rsid w:val="00B66F28"/>
    <w:rsid w:val="00B66F47"/>
    <w:rsid w:val="00B66F7C"/>
    <w:rsid w:val="00B66F92"/>
    <w:rsid w:val="00B66FA5"/>
    <w:rsid w:val="00B66FCD"/>
    <w:rsid w:val="00B66FF1"/>
    <w:rsid w:val="00B67039"/>
    <w:rsid w:val="00B67073"/>
    <w:rsid w:val="00B670EE"/>
    <w:rsid w:val="00B67103"/>
    <w:rsid w:val="00B6711B"/>
    <w:rsid w:val="00B6716C"/>
    <w:rsid w:val="00B671A3"/>
    <w:rsid w:val="00B671F2"/>
    <w:rsid w:val="00B67224"/>
    <w:rsid w:val="00B67228"/>
    <w:rsid w:val="00B67242"/>
    <w:rsid w:val="00B672BD"/>
    <w:rsid w:val="00B673CC"/>
    <w:rsid w:val="00B67471"/>
    <w:rsid w:val="00B67474"/>
    <w:rsid w:val="00B67520"/>
    <w:rsid w:val="00B67545"/>
    <w:rsid w:val="00B675B3"/>
    <w:rsid w:val="00B675D0"/>
    <w:rsid w:val="00B67635"/>
    <w:rsid w:val="00B67658"/>
    <w:rsid w:val="00B67669"/>
    <w:rsid w:val="00B6770E"/>
    <w:rsid w:val="00B67717"/>
    <w:rsid w:val="00B67723"/>
    <w:rsid w:val="00B67733"/>
    <w:rsid w:val="00B6777D"/>
    <w:rsid w:val="00B677A2"/>
    <w:rsid w:val="00B677AD"/>
    <w:rsid w:val="00B677EC"/>
    <w:rsid w:val="00B67822"/>
    <w:rsid w:val="00B67917"/>
    <w:rsid w:val="00B67943"/>
    <w:rsid w:val="00B67945"/>
    <w:rsid w:val="00B67A74"/>
    <w:rsid w:val="00B67A9C"/>
    <w:rsid w:val="00B67B00"/>
    <w:rsid w:val="00B67B33"/>
    <w:rsid w:val="00B67B38"/>
    <w:rsid w:val="00B67B6C"/>
    <w:rsid w:val="00B67B77"/>
    <w:rsid w:val="00B67BA3"/>
    <w:rsid w:val="00B67BEB"/>
    <w:rsid w:val="00B67C06"/>
    <w:rsid w:val="00B67CDE"/>
    <w:rsid w:val="00B67D00"/>
    <w:rsid w:val="00B67D15"/>
    <w:rsid w:val="00B67D38"/>
    <w:rsid w:val="00B67D45"/>
    <w:rsid w:val="00B67D47"/>
    <w:rsid w:val="00B67DC2"/>
    <w:rsid w:val="00B67DD1"/>
    <w:rsid w:val="00B67E19"/>
    <w:rsid w:val="00B67E29"/>
    <w:rsid w:val="00B67E30"/>
    <w:rsid w:val="00B67E7A"/>
    <w:rsid w:val="00B67E7B"/>
    <w:rsid w:val="00B67EF7"/>
    <w:rsid w:val="00B67F1A"/>
    <w:rsid w:val="00B67FC6"/>
    <w:rsid w:val="00B7001E"/>
    <w:rsid w:val="00B7002D"/>
    <w:rsid w:val="00B7006D"/>
    <w:rsid w:val="00B700C8"/>
    <w:rsid w:val="00B700E5"/>
    <w:rsid w:val="00B70104"/>
    <w:rsid w:val="00B7010F"/>
    <w:rsid w:val="00B7012D"/>
    <w:rsid w:val="00B701F3"/>
    <w:rsid w:val="00B7020F"/>
    <w:rsid w:val="00B70216"/>
    <w:rsid w:val="00B7021B"/>
    <w:rsid w:val="00B70272"/>
    <w:rsid w:val="00B702D0"/>
    <w:rsid w:val="00B702D3"/>
    <w:rsid w:val="00B70311"/>
    <w:rsid w:val="00B70409"/>
    <w:rsid w:val="00B70422"/>
    <w:rsid w:val="00B7044C"/>
    <w:rsid w:val="00B704D9"/>
    <w:rsid w:val="00B7050D"/>
    <w:rsid w:val="00B70532"/>
    <w:rsid w:val="00B70557"/>
    <w:rsid w:val="00B70575"/>
    <w:rsid w:val="00B70593"/>
    <w:rsid w:val="00B705A4"/>
    <w:rsid w:val="00B705D9"/>
    <w:rsid w:val="00B7062F"/>
    <w:rsid w:val="00B706B7"/>
    <w:rsid w:val="00B706C2"/>
    <w:rsid w:val="00B70703"/>
    <w:rsid w:val="00B7074F"/>
    <w:rsid w:val="00B7078E"/>
    <w:rsid w:val="00B707CE"/>
    <w:rsid w:val="00B707F5"/>
    <w:rsid w:val="00B7088C"/>
    <w:rsid w:val="00B7099A"/>
    <w:rsid w:val="00B709BB"/>
    <w:rsid w:val="00B70AD5"/>
    <w:rsid w:val="00B70B20"/>
    <w:rsid w:val="00B70B98"/>
    <w:rsid w:val="00B70CB5"/>
    <w:rsid w:val="00B70CCB"/>
    <w:rsid w:val="00B70D1F"/>
    <w:rsid w:val="00B70D47"/>
    <w:rsid w:val="00B70D65"/>
    <w:rsid w:val="00B70E2C"/>
    <w:rsid w:val="00B70E2F"/>
    <w:rsid w:val="00B70E95"/>
    <w:rsid w:val="00B70EA8"/>
    <w:rsid w:val="00B70F3A"/>
    <w:rsid w:val="00B70F57"/>
    <w:rsid w:val="00B70FA5"/>
    <w:rsid w:val="00B71036"/>
    <w:rsid w:val="00B71039"/>
    <w:rsid w:val="00B711BB"/>
    <w:rsid w:val="00B711E8"/>
    <w:rsid w:val="00B7133D"/>
    <w:rsid w:val="00B713BB"/>
    <w:rsid w:val="00B71515"/>
    <w:rsid w:val="00B71533"/>
    <w:rsid w:val="00B71554"/>
    <w:rsid w:val="00B715F8"/>
    <w:rsid w:val="00B71604"/>
    <w:rsid w:val="00B7160B"/>
    <w:rsid w:val="00B71614"/>
    <w:rsid w:val="00B71665"/>
    <w:rsid w:val="00B71695"/>
    <w:rsid w:val="00B716D0"/>
    <w:rsid w:val="00B716EA"/>
    <w:rsid w:val="00B716FD"/>
    <w:rsid w:val="00B7172B"/>
    <w:rsid w:val="00B7175E"/>
    <w:rsid w:val="00B717A9"/>
    <w:rsid w:val="00B717E2"/>
    <w:rsid w:val="00B71805"/>
    <w:rsid w:val="00B7180C"/>
    <w:rsid w:val="00B7180F"/>
    <w:rsid w:val="00B7183B"/>
    <w:rsid w:val="00B7190A"/>
    <w:rsid w:val="00B71AC5"/>
    <w:rsid w:val="00B71B01"/>
    <w:rsid w:val="00B71B16"/>
    <w:rsid w:val="00B71B27"/>
    <w:rsid w:val="00B71BCC"/>
    <w:rsid w:val="00B71C5A"/>
    <w:rsid w:val="00B71CCD"/>
    <w:rsid w:val="00B71DC3"/>
    <w:rsid w:val="00B71E39"/>
    <w:rsid w:val="00B71E55"/>
    <w:rsid w:val="00B71E8A"/>
    <w:rsid w:val="00B71E8C"/>
    <w:rsid w:val="00B71EB1"/>
    <w:rsid w:val="00B71EDC"/>
    <w:rsid w:val="00B71F00"/>
    <w:rsid w:val="00B71F12"/>
    <w:rsid w:val="00B71F2F"/>
    <w:rsid w:val="00B71F99"/>
    <w:rsid w:val="00B71FB3"/>
    <w:rsid w:val="00B71FE7"/>
    <w:rsid w:val="00B7208E"/>
    <w:rsid w:val="00B720A8"/>
    <w:rsid w:val="00B720E3"/>
    <w:rsid w:val="00B720F2"/>
    <w:rsid w:val="00B72114"/>
    <w:rsid w:val="00B7212A"/>
    <w:rsid w:val="00B721C2"/>
    <w:rsid w:val="00B721E5"/>
    <w:rsid w:val="00B72208"/>
    <w:rsid w:val="00B7222A"/>
    <w:rsid w:val="00B722A9"/>
    <w:rsid w:val="00B722E9"/>
    <w:rsid w:val="00B72329"/>
    <w:rsid w:val="00B723A1"/>
    <w:rsid w:val="00B723CE"/>
    <w:rsid w:val="00B723F0"/>
    <w:rsid w:val="00B723F7"/>
    <w:rsid w:val="00B7240C"/>
    <w:rsid w:val="00B72411"/>
    <w:rsid w:val="00B72464"/>
    <w:rsid w:val="00B724E9"/>
    <w:rsid w:val="00B724FF"/>
    <w:rsid w:val="00B725A7"/>
    <w:rsid w:val="00B72616"/>
    <w:rsid w:val="00B72633"/>
    <w:rsid w:val="00B726A1"/>
    <w:rsid w:val="00B727A5"/>
    <w:rsid w:val="00B727EF"/>
    <w:rsid w:val="00B72867"/>
    <w:rsid w:val="00B72881"/>
    <w:rsid w:val="00B728EB"/>
    <w:rsid w:val="00B72972"/>
    <w:rsid w:val="00B729F1"/>
    <w:rsid w:val="00B72A0E"/>
    <w:rsid w:val="00B72A20"/>
    <w:rsid w:val="00B72A2C"/>
    <w:rsid w:val="00B72A35"/>
    <w:rsid w:val="00B72A91"/>
    <w:rsid w:val="00B72A94"/>
    <w:rsid w:val="00B72AC4"/>
    <w:rsid w:val="00B72ACF"/>
    <w:rsid w:val="00B72B7A"/>
    <w:rsid w:val="00B72B93"/>
    <w:rsid w:val="00B72C1E"/>
    <w:rsid w:val="00B72C25"/>
    <w:rsid w:val="00B72C26"/>
    <w:rsid w:val="00B72CE5"/>
    <w:rsid w:val="00B72D27"/>
    <w:rsid w:val="00B72D52"/>
    <w:rsid w:val="00B72D8A"/>
    <w:rsid w:val="00B72DB9"/>
    <w:rsid w:val="00B72E05"/>
    <w:rsid w:val="00B72E5C"/>
    <w:rsid w:val="00B72EA9"/>
    <w:rsid w:val="00B72EBA"/>
    <w:rsid w:val="00B72EBB"/>
    <w:rsid w:val="00B72F04"/>
    <w:rsid w:val="00B72F28"/>
    <w:rsid w:val="00B72F58"/>
    <w:rsid w:val="00B72F8A"/>
    <w:rsid w:val="00B72F99"/>
    <w:rsid w:val="00B72F9F"/>
    <w:rsid w:val="00B72FC9"/>
    <w:rsid w:val="00B72FE3"/>
    <w:rsid w:val="00B72FF7"/>
    <w:rsid w:val="00B7304E"/>
    <w:rsid w:val="00B73097"/>
    <w:rsid w:val="00B730BE"/>
    <w:rsid w:val="00B730DA"/>
    <w:rsid w:val="00B730F2"/>
    <w:rsid w:val="00B73100"/>
    <w:rsid w:val="00B73161"/>
    <w:rsid w:val="00B731ED"/>
    <w:rsid w:val="00B731F0"/>
    <w:rsid w:val="00B73202"/>
    <w:rsid w:val="00B73271"/>
    <w:rsid w:val="00B7328F"/>
    <w:rsid w:val="00B732C9"/>
    <w:rsid w:val="00B73337"/>
    <w:rsid w:val="00B73384"/>
    <w:rsid w:val="00B7345F"/>
    <w:rsid w:val="00B73487"/>
    <w:rsid w:val="00B734DC"/>
    <w:rsid w:val="00B7350D"/>
    <w:rsid w:val="00B73542"/>
    <w:rsid w:val="00B7355A"/>
    <w:rsid w:val="00B7355C"/>
    <w:rsid w:val="00B7357B"/>
    <w:rsid w:val="00B7357D"/>
    <w:rsid w:val="00B735DC"/>
    <w:rsid w:val="00B73684"/>
    <w:rsid w:val="00B73695"/>
    <w:rsid w:val="00B737CD"/>
    <w:rsid w:val="00B737DB"/>
    <w:rsid w:val="00B737DC"/>
    <w:rsid w:val="00B7380C"/>
    <w:rsid w:val="00B7381A"/>
    <w:rsid w:val="00B7391A"/>
    <w:rsid w:val="00B7396E"/>
    <w:rsid w:val="00B7397C"/>
    <w:rsid w:val="00B739D3"/>
    <w:rsid w:val="00B739F4"/>
    <w:rsid w:val="00B739FD"/>
    <w:rsid w:val="00B73A37"/>
    <w:rsid w:val="00B73A59"/>
    <w:rsid w:val="00B73A8A"/>
    <w:rsid w:val="00B73B9D"/>
    <w:rsid w:val="00B73BCA"/>
    <w:rsid w:val="00B73C3B"/>
    <w:rsid w:val="00B73C3D"/>
    <w:rsid w:val="00B73C7A"/>
    <w:rsid w:val="00B73D50"/>
    <w:rsid w:val="00B73D52"/>
    <w:rsid w:val="00B73D7A"/>
    <w:rsid w:val="00B73DC2"/>
    <w:rsid w:val="00B73E03"/>
    <w:rsid w:val="00B73ED1"/>
    <w:rsid w:val="00B73F47"/>
    <w:rsid w:val="00B73F59"/>
    <w:rsid w:val="00B73FCA"/>
    <w:rsid w:val="00B73FD6"/>
    <w:rsid w:val="00B74023"/>
    <w:rsid w:val="00B740EE"/>
    <w:rsid w:val="00B740F4"/>
    <w:rsid w:val="00B74158"/>
    <w:rsid w:val="00B741A1"/>
    <w:rsid w:val="00B741E9"/>
    <w:rsid w:val="00B741F9"/>
    <w:rsid w:val="00B74204"/>
    <w:rsid w:val="00B7420E"/>
    <w:rsid w:val="00B7426F"/>
    <w:rsid w:val="00B74290"/>
    <w:rsid w:val="00B742E4"/>
    <w:rsid w:val="00B7430A"/>
    <w:rsid w:val="00B74335"/>
    <w:rsid w:val="00B74342"/>
    <w:rsid w:val="00B7434C"/>
    <w:rsid w:val="00B74361"/>
    <w:rsid w:val="00B74375"/>
    <w:rsid w:val="00B7439B"/>
    <w:rsid w:val="00B743AB"/>
    <w:rsid w:val="00B743F8"/>
    <w:rsid w:val="00B74407"/>
    <w:rsid w:val="00B7440A"/>
    <w:rsid w:val="00B7445E"/>
    <w:rsid w:val="00B7454A"/>
    <w:rsid w:val="00B74593"/>
    <w:rsid w:val="00B745D2"/>
    <w:rsid w:val="00B745F3"/>
    <w:rsid w:val="00B7461A"/>
    <w:rsid w:val="00B7462B"/>
    <w:rsid w:val="00B74674"/>
    <w:rsid w:val="00B74681"/>
    <w:rsid w:val="00B746AA"/>
    <w:rsid w:val="00B746B4"/>
    <w:rsid w:val="00B74708"/>
    <w:rsid w:val="00B74726"/>
    <w:rsid w:val="00B7475F"/>
    <w:rsid w:val="00B7477C"/>
    <w:rsid w:val="00B74871"/>
    <w:rsid w:val="00B74875"/>
    <w:rsid w:val="00B74886"/>
    <w:rsid w:val="00B748B7"/>
    <w:rsid w:val="00B748C4"/>
    <w:rsid w:val="00B748E8"/>
    <w:rsid w:val="00B748EB"/>
    <w:rsid w:val="00B748F4"/>
    <w:rsid w:val="00B74915"/>
    <w:rsid w:val="00B74959"/>
    <w:rsid w:val="00B7495E"/>
    <w:rsid w:val="00B74961"/>
    <w:rsid w:val="00B74968"/>
    <w:rsid w:val="00B74977"/>
    <w:rsid w:val="00B74A69"/>
    <w:rsid w:val="00B74B25"/>
    <w:rsid w:val="00B74B76"/>
    <w:rsid w:val="00B74B79"/>
    <w:rsid w:val="00B74BC2"/>
    <w:rsid w:val="00B74BF7"/>
    <w:rsid w:val="00B74C83"/>
    <w:rsid w:val="00B74C98"/>
    <w:rsid w:val="00B74CC4"/>
    <w:rsid w:val="00B74CE6"/>
    <w:rsid w:val="00B74D11"/>
    <w:rsid w:val="00B74D25"/>
    <w:rsid w:val="00B74D62"/>
    <w:rsid w:val="00B74D75"/>
    <w:rsid w:val="00B74D88"/>
    <w:rsid w:val="00B74E32"/>
    <w:rsid w:val="00B74EB6"/>
    <w:rsid w:val="00B74ECF"/>
    <w:rsid w:val="00B74EEB"/>
    <w:rsid w:val="00B74F91"/>
    <w:rsid w:val="00B74FA7"/>
    <w:rsid w:val="00B74FB3"/>
    <w:rsid w:val="00B7500B"/>
    <w:rsid w:val="00B7500C"/>
    <w:rsid w:val="00B75015"/>
    <w:rsid w:val="00B7507C"/>
    <w:rsid w:val="00B75080"/>
    <w:rsid w:val="00B7514A"/>
    <w:rsid w:val="00B75161"/>
    <w:rsid w:val="00B75178"/>
    <w:rsid w:val="00B751CB"/>
    <w:rsid w:val="00B751D0"/>
    <w:rsid w:val="00B751E9"/>
    <w:rsid w:val="00B75297"/>
    <w:rsid w:val="00B752C6"/>
    <w:rsid w:val="00B752FE"/>
    <w:rsid w:val="00B75335"/>
    <w:rsid w:val="00B7534C"/>
    <w:rsid w:val="00B75388"/>
    <w:rsid w:val="00B7539C"/>
    <w:rsid w:val="00B753A9"/>
    <w:rsid w:val="00B753C2"/>
    <w:rsid w:val="00B753C6"/>
    <w:rsid w:val="00B753E3"/>
    <w:rsid w:val="00B75404"/>
    <w:rsid w:val="00B7541A"/>
    <w:rsid w:val="00B75422"/>
    <w:rsid w:val="00B75489"/>
    <w:rsid w:val="00B754CD"/>
    <w:rsid w:val="00B7550B"/>
    <w:rsid w:val="00B75517"/>
    <w:rsid w:val="00B7551B"/>
    <w:rsid w:val="00B75552"/>
    <w:rsid w:val="00B75599"/>
    <w:rsid w:val="00B755D0"/>
    <w:rsid w:val="00B75731"/>
    <w:rsid w:val="00B75789"/>
    <w:rsid w:val="00B75799"/>
    <w:rsid w:val="00B75816"/>
    <w:rsid w:val="00B75818"/>
    <w:rsid w:val="00B75859"/>
    <w:rsid w:val="00B758A5"/>
    <w:rsid w:val="00B7593E"/>
    <w:rsid w:val="00B7595E"/>
    <w:rsid w:val="00B75964"/>
    <w:rsid w:val="00B759F4"/>
    <w:rsid w:val="00B75A7C"/>
    <w:rsid w:val="00B75A7F"/>
    <w:rsid w:val="00B75AA6"/>
    <w:rsid w:val="00B75ABF"/>
    <w:rsid w:val="00B75B53"/>
    <w:rsid w:val="00B75BB7"/>
    <w:rsid w:val="00B75BC4"/>
    <w:rsid w:val="00B75BE4"/>
    <w:rsid w:val="00B75C32"/>
    <w:rsid w:val="00B75C3A"/>
    <w:rsid w:val="00B75C50"/>
    <w:rsid w:val="00B75C5A"/>
    <w:rsid w:val="00B75CDD"/>
    <w:rsid w:val="00B75D05"/>
    <w:rsid w:val="00B75D2A"/>
    <w:rsid w:val="00B75D79"/>
    <w:rsid w:val="00B75D85"/>
    <w:rsid w:val="00B75E17"/>
    <w:rsid w:val="00B75EED"/>
    <w:rsid w:val="00B75F1D"/>
    <w:rsid w:val="00B75FFD"/>
    <w:rsid w:val="00B76017"/>
    <w:rsid w:val="00B76054"/>
    <w:rsid w:val="00B7605A"/>
    <w:rsid w:val="00B760A4"/>
    <w:rsid w:val="00B760EB"/>
    <w:rsid w:val="00B76113"/>
    <w:rsid w:val="00B76126"/>
    <w:rsid w:val="00B76130"/>
    <w:rsid w:val="00B761AF"/>
    <w:rsid w:val="00B761BE"/>
    <w:rsid w:val="00B761EF"/>
    <w:rsid w:val="00B7620D"/>
    <w:rsid w:val="00B76275"/>
    <w:rsid w:val="00B762DA"/>
    <w:rsid w:val="00B762F2"/>
    <w:rsid w:val="00B762F3"/>
    <w:rsid w:val="00B762F9"/>
    <w:rsid w:val="00B76319"/>
    <w:rsid w:val="00B76355"/>
    <w:rsid w:val="00B76386"/>
    <w:rsid w:val="00B763B4"/>
    <w:rsid w:val="00B76485"/>
    <w:rsid w:val="00B76499"/>
    <w:rsid w:val="00B764E8"/>
    <w:rsid w:val="00B764F2"/>
    <w:rsid w:val="00B765B7"/>
    <w:rsid w:val="00B766ED"/>
    <w:rsid w:val="00B766F3"/>
    <w:rsid w:val="00B76756"/>
    <w:rsid w:val="00B76764"/>
    <w:rsid w:val="00B767C8"/>
    <w:rsid w:val="00B767D1"/>
    <w:rsid w:val="00B76827"/>
    <w:rsid w:val="00B768B7"/>
    <w:rsid w:val="00B768CC"/>
    <w:rsid w:val="00B7690E"/>
    <w:rsid w:val="00B769C4"/>
    <w:rsid w:val="00B769D0"/>
    <w:rsid w:val="00B76A0D"/>
    <w:rsid w:val="00B76A72"/>
    <w:rsid w:val="00B76A7B"/>
    <w:rsid w:val="00B76AB3"/>
    <w:rsid w:val="00B76B4E"/>
    <w:rsid w:val="00B76B52"/>
    <w:rsid w:val="00B76B63"/>
    <w:rsid w:val="00B76BB5"/>
    <w:rsid w:val="00B76BE4"/>
    <w:rsid w:val="00B76BF5"/>
    <w:rsid w:val="00B76BFD"/>
    <w:rsid w:val="00B76C0A"/>
    <w:rsid w:val="00B76C2C"/>
    <w:rsid w:val="00B76C5F"/>
    <w:rsid w:val="00B76C9F"/>
    <w:rsid w:val="00B76CB9"/>
    <w:rsid w:val="00B76CE2"/>
    <w:rsid w:val="00B76CED"/>
    <w:rsid w:val="00B76D0A"/>
    <w:rsid w:val="00B76D12"/>
    <w:rsid w:val="00B76D3A"/>
    <w:rsid w:val="00B76D40"/>
    <w:rsid w:val="00B76D8F"/>
    <w:rsid w:val="00B76DC2"/>
    <w:rsid w:val="00B76DFC"/>
    <w:rsid w:val="00B76E16"/>
    <w:rsid w:val="00B76E2E"/>
    <w:rsid w:val="00B76E3B"/>
    <w:rsid w:val="00B76EF2"/>
    <w:rsid w:val="00B76F30"/>
    <w:rsid w:val="00B76F7C"/>
    <w:rsid w:val="00B76F99"/>
    <w:rsid w:val="00B76FB1"/>
    <w:rsid w:val="00B7704F"/>
    <w:rsid w:val="00B77077"/>
    <w:rsid w:val="00B770FE"/>
    <w:rsid w:val="00B77160"/>
    <w:rsid w:val="00B77161"/>
    <w:rsid w:val="00B771F3"/>
    <w:rsid w:val="00B7725B"/>
    <w:rsid w:val="00B7727C"/>
    <w:rsid w:val="00B77285"/>
    <w:rsid w:val="00B7728E"/>
    <w:rsid w:val="00B772AC"/>
    <w:rsid w:val="00B772E2"/>
    <w:rsid w:val="00B7731A"/>
    <w:rsid w:val="00B77389"/>
    <w:rsid w:val="00B77391"/>
    <w:rsid w:val="00B773C0"/>
    <w:rsid w:val="00B77468"/>
    <w:rsid w:val="00B7752A"/>
    <w:rsid w:val="00B7753B"/>
    <w:rsid w:val="00B77581"/>
    <w:rsid w:val="00B775E6"/>
    <w:rsid w:val="00B77659"/>
    <w:rsid w:val="00B776A3"/>
    <w:rsid w:val="00B776E5"/>
    <w:rsid w:val="00B776F3"/>
    <w:rsid w:val="00B7778F"/>
    <w:rsid w:val="00B777FA"/>
    <w:rsid w:val="00B77830"/>
    <w:rsid w:val="00B7786E"/>
    <w:rsid w:val="00B77896"/>
    <w:rsid w:val="00B778AE"/>
    <w:rsid w:val="00B77957"/>
    <w:rsid w:val="00B7796D"/>
    <w:rsid w:val="00B77A4E"/>
    <w:rsid w:val="00B77AAA"/>
    <w:rsid w:val="00B77AB1"/>
    <w:rsid w:val="00B77AD2"/>
    <w:rsid w:val="00B77B2C"/>
    <w:rsid w:val="00B77B7B"/>
    <w:rsid w:val="00B77BA7"/>
    <w:rsid w:val="00B77BD6"/>
    <w:rsid w:val="00B77BF0"/>
    <w:rsid w:val="00B77C2A"/>
    <w:rsid w:val="00B77C5D"/>
    <w:rsid w:val="00B77CD1"/>
    <w:rsid w:val="00B77D68"/>
    <w:rsid w:val="00B77D79"/>
    <w:rsid w:val="00B77DF9"/>
    <w:rsid w:val="00B77E03"/>
    <w:rsid w:val="00B77E34"/>
    <w:rsid w:val="00B77EE0"/>
    <w:rsid w:val="00B77EE6"/>
    <w:rsid w:val="00B77EF8"/>
    <w:rsid w:val="00B77F26"/>
    <w:rsid w:val="00B77F9D"/>
    <w:rsid w:val="00B7A6CE"/>
    <w:rsid w:val="00B80029"/>
    <w:rsid w:val="00B80087"/>
    <w:rsid w:val="00B800A4"/>
    <w:rsid w:val="00B800FF"/>
    <w:rsid w:val="00B80143"/>
    <w:rsid w:val="00B80145"/>
    <w:rsid w:val="00B8014A"/>
    <w:rsid w:val="00B80170"/>
    <w:rsid w:val="00B80196"/>
    <w:rsid w:val="00B801C7"/>
    <w:rsid w:val="00B801DA"/>
    <w:rsid w:val="00B801F7"/>
    <w:rsid w:val="00B80263"/>
    <w:rsid w:val="00B8028B"/>
    <w:rsid w:val="00B802A0"/>
    <w:rsid w:val="00B80348"/>
    <w:rsid w:val="00B8035E"/>
    <w:rsid w:val="00B803AA"/>
    <w:rsid w:val="00B80497"/>
    <w:rsid w:val="00B804DF"/>
    <w:rsid w:val="00B804F9"/>
    <w:rsid w:val="00B80564"/>
    <w:rsid w:val="00B8057F"/>
    <w:rsid w:val="00B8058C"/>
    <w:rsid w:val="00B80591"/>
    <w:rsid w:val="00B8062A"/>
    <w:rsid w:val="00B80642"/>
    <w:rsid w:val="00B8064D"/>
    <w:rsid w:val="00B8067D"/>
    <w:rsid w:val="00B80700"/>
    <w:rsid w:val="00B80710"/>
    <w:rsid w:val="00B8074F"/>
    <w:rsid w:val="00B807B8"/>
    <w:rsid w:val="00B807BD"/>
    <w:rsid w:val="00B80817"/>
    <w:rsid w:val="00B8083D"/>
    <w:rsid w:val="00B80858"/>
    <w:rsid w:val="00B808AE"/>
    <w:rsid w:val="00B808E0"/>
    <w:rsid w:val="00B808EB"/>
    <w:rsid w:val="00B808FA"/>
    <w:rsid w:val="00B80A4C"/>
    <w:rsid w:val="00B80A88"/>
    <w:rsid w:val="00B80B26"/>
    <w:rsid w:val="00B80B2E"/>
    <w:rsid w:val="00B80B63"/>
    <w:rsid w:val="00B80B76"/>
    <w:rsid w:val="00B80B97"/>
    <w:rsid w:val="00B80BC6"/>
    <w:rsid w:val="00B80BEE"/>
    <w:rsid w:val="00B80C2B"/>
    <w:rsid w:val="00B80C46"/>
    <w:rsid w:val="00B80C80"/>
    <w:rsid w:val="00B80CB4"/>
    <w:rsid w:val="00B80CC9"/>
    <w:rsid w:val="00B80CF2"/>
    <w:rsid w:val="00B80CF8"/>
    <w:rsid w:val="00B80D2F"/>
    <w:rsid w:val="00B80D7A"/>
    <w:rsid w:val="00B80E30"/>
    <w:rsid w:val="00B80EB1"/>
    <w:rsid w:val="00B80F2D"/>
    <w:rsid w:val="00B80F96"/>
    <w:rsid w:val="00B80FE8"/>
    <w:rsid w:val="00B80FF7"/>
    <w:rsid w:val="00B81019"/>
    <w:rsid w:val="00B8101D"/>
    <w:rsid w:val="00B8102C"/>
    <w:rsid w:val="00B8107A"/>
    <w:rsid w:val="00B810C4"/>
    <w:rsid w:val="00B810E5"/>
    <w:rsid w:val="00B81160"/>
    <w:rsid w:val="00B8118C"/>
    <w:rsid w:val="00B81196"/>
    <w:rsid w:val="00B811AA"/>
    <w:rsid w:val="00B811F0"/>
    <w:rsid w:val="00B81205"/>
    <w:rsid w:val="00B81235"/>
    <w:rsid w:val="00B8123A"/>
    <w:rsid w:val="00B81255"/>
    <w:rsid w:val="00B81259"/>
    <w:rsid w:val="00B81275"/>
    <w:rsid w:val="00B81397"/>
    <w:rsid w:val="00B813A0"/>
    <w:rsid w:val="00B813D7"/>
    <w:rsid w:val="00B81424"/>
    <w:rsid w:val="00B81431"/>
    <w:rsid w:val="00B814B4"/>
    <w:rsid w:val="00B814BE"/>
    <w:rsid w:val="00B814C9"/>
    <w:rsid w:val="00B81501"/>
    <w:rsid w:val="00B81504"/>
    <w:rsid w:val="00B81543"/>
    <w:rsid w:val="00B8155D"/>
    <w:rsid w:val="00B81596"/>
    <w:rsid w:val="00B815AD"/>
    <w:rsid w:val="00B815E0"/>
    <w:rsid w:val="00B815E6"/>
    <w:rsid w:val="00B815F1"/>
    <w:rsid w:val="00B81642"/>
    <w:rsid w:val="00B81657"/>
    <w:rsid w:val="00B81678"/>
    <w:rsid w:val="00B81682"/>
    <w:rsid w:val="00B816CA"/>
    <w:rsid w:val="00B816D0"/>
    <w:rsid w:val="00B81779"/>
    <w:rsid w:val="00B81788"/>
    <w:rsid w:val="00B81792"/>
    <w:rsid w:val="00B817EB"/>
    <w:rsid w:val="00B817F3"/>
    <w:rsid w:val="00B81856"/>
    <w:rsid w:val="00B81868"/>
    <w:rsid w:val="00B818AC"/>
    <w:rsid w:val="00B818B3"/>
    <w:rsid w:val="00B818B5"/>
    <w:rsid w:val="00B81975"/>
    <w:rsid w:val="00B8197D"/>
    <w:rsid w:val="00B8199C"/>
    <w:rsid w:val="00B819BF"/>
    <w:rsid w:val="00B81A17"/>
    <w:rsid w:val="00B81A54"/>
    <w:rsid w:val="00B81AA0"/>
    <w:rsid w:val="00B81B23"/>
    <w:rsid w:val="00B81B88"/>
    <w:rsid w:val="00B81B93"/>
    <w:rsid w:val="00B81B96"/>
    <w:rsid w:val="00B81BB9"/>
    <w:rsid w:val="00B81BD1"/>
    <w:rsid w:val="00B81C17"/>
    <w:rsid w:val="00B81C67"/>
    <w:rsid w:val="00B81C77"/>
    <w:rsid w:val="00B81CC0"/>
    <w:rsid w:val="00B81CC6"/>
    <w:rsid w:val="00B81D47"/>
    <w:rsid w:val="00B81D86"/>
    <w:rsid w:val="00B81D94"/>
    <w:rsid w:val="00B81DEB"/>
    <w:rsid w:val="00B81E08"/>
    <w:rsid w:val="00B81E1F"/>
    <w:rsid w:val="00B81E58"/>
    <w:rsid w:val="00B81EC4"/>
    <w:rsid w:val="00B81F2B"/>
    <w:rsid w:val="00B81F33"/>
    <w:rsid w:val="00B81F54"/>
    <w:rsid w:val="00B81F5D"/>
    <w:rsid w:val="00B81F6B"/>
    <w:rsid w:val="00B820BD"/>
    <w:rsid w:val="00B820F0"/>
    <w:rsid w:val="00B82109"/>
    <w:rsid w:val="00B82131"/>
    <w:rsid w:val="00B82178"/>
    <w:rsid w:val="00B82182"/>
    <w:rsid w:val="00B821C6"/>
    <w:rsid w:val="00B821E8"/>
    <w:rsid w:val="00B8220C"/>
    <w:rsid w:val="00B82244"/>
    <w:rsid w:val="00B8224E"/>
    <w:rsid w:val="00B82292"/>
    <w:rsid w:val="00B822F5"/>
    <w:rsid w:val="00B82308"/>
    <w:rsid w:val="00B82313"/>
    <w:rsid w:val="00B82331"/>
    <w:rsid w:val="00B8236E"/>
    <w:rsid w:val="00B8239F"/>
    <w:rsid w:val="00B823D5"/>
    <w:rsid w:val="00B8246C"/>
    <w:rsid w:val="00B82485"/>
    <w:rsid w:val="00B82498"/>
    <w:rsid w:val="00B824A3"/>
    <w:rsid w:val="00B8252B"/>
    <w:rsid w:val="00B825C3"/>
    <w:rsid w:val="00B825CB"/>
    <w:rsid w:val="00B825DF"/>
    <w:rsid w:val="00B825FA"/>
    <w:rsid w:val="00B826A1"/>
    <w:rsid w:val="00B826B8"/>
    <w:rsid w:val="00B826D5"/>
    <w:rsid w:val="00B82707"/>
    <w:rsid w:val="00B8276E"/>
    <w:rsid w:val="00B827D4"/>
    <w:rsid w:val="00B82874"/>
    <w:rsid w:val="00B82888"/>
    <w:rsid w:val="00B828D0"/>
    <w:rsid w:val="00B82906"/>
    <w:rsid w:val="00B8290B"/>
    <w:rsid w:val="00B8290C"/>
    <w:rsid w:val="00B82923"/>
    <w:rsid w:val="00B82967"/>
    <w:rsid w:val="00B8297D"/>
    <w:rsid w:val="00B829CB"/>
    <w:rsid w:val="00B82A46"/>
    <w:rsid w:val="00B82A52"/>
    <w:rsid w:val="00B82A76"/>
    <w:rsid w:val="00B82A89"/>
    <w:rsid w:val="00B82AC7"/>
    <w:rsid w:val="00B82B04"/>
    <w:rsid w:val="00B82B0C"/>
    <w:rsid w:val="00B82B4B"/>
    <w:rsid w:val="00B82B8A"/>
    <w:rsid w:val="00B82C89"/>
    <w:rsid w:val="00B82D25"/>
    <w:rsid w:val="00B82D2D"/>
    <w:rsid w:val="00B82D30"/>
    <w:rsid w:val="00B82D40"/>
    <w:rsid w:val="00B82D65"/>
    <w:rsid w:val="00B82DD4"/>
    <w:rsid w:val="00B82E60"/>
    <w:rsid w:val="00B82F43"/>
    <w:rsid w:val="00B830FC"/>
    <w:rsid w:val="00B83122"/>
    <w:rsid w:val="00B8313D"/>
    <w:rsid w:val="00B8314A"/>
    <w:rsid w:val="00B83167"/>
    <w:rsid w:val="00B83187"/>
    <w:rsid w:val="00B831E0"/>
    <w:rsid w:val="00B831E7"/>
    <w:rsid w:val="00B8322C"/>
    <w:rsid w:val="00B83288"/>
    <w:rsid w:val="00B832A0"/>
    <w:rsid w:val="00B83309"/>
    <w:rsid w:val="00B83355"/>
    <w:rsid w:val="00B83364"/>
    <w:rsid w:val="00B83435"/>
    <w:rsid w:val="00B8348D"/>
    <w:rsid w:val="00B834B4"/>
    <w:rsid w:val="00B834B6"/>
    <w:rsid w:val="00B8357B"/>
    <w:rsid w:val="00B83595"/>
    <w:rsid w:val="00B835B3"/>
    <w:rsid w:val="00B83683"/>
    <w:rsid w:val="00B8371B"/>
    <w:rsid w:val="00B8379E"/>
    <w:rsid w:val="00B837BC"/>
    <w:rsid w:val="00B837E8"/>
    <w:rsid w:val="00B8380A"/>
    <w:rsid w:val="00B8381E"/>
    <w:rsid w:val="00B83855"/>
    <w:rsid w:val="00B8387A"/>
    <w:rsid w:val="00B8388F"/>
    <w:rsid w:val="00B838A4"/>
    <w:rsid w:val="00B8393E"/>
    <w:rsid w:val="00B8399A"/>
    <w:rsid w:val="00B839F0"/>
    <w:rsid w:val="00B83ACC"/>
    <w:rsid w:val="00B83ACD"/>
    <w:rsid w:val="00B83B06"/>
    <w:rsid w:val="00B83BA9"/>
    <w:rsid w:val="00B83BB6"/>
    <w:rsid w:val="00B83BB9"/>
    <w:rsid w:val="00B83BF4"/>
    <w:rsid w:val="00B83C29"/>
    <w:rsid w:val="00B83C2B"/>
    <w:rsid w:val="00B83C40"/>
    <w:rsid w:val="00B83C43"/>
    <w:rsid w:val="00B83C6D"/>
    <w:rsid w:val="00B83C97"/>
    <w:rsid w:val="00B83CC0"/>
    <w:rsid w:val="00B83D36"/>
    <w:rsid w:val="00B83D39"/>
    <w:rsid w:val="00B83DF2"/>
    <w:rsid w:val="00B83E35"/>
    <w:rsid w:val="00B83E64"/>
    <w:rsid w:val="00B83E9A"/>
    <w:rsid w:val="00B83ECD"/>
    <w:rsid w:val="00B83EE2"/>
    <w:rsid w:val="00B83EF3"/>
    <w:rsid w:val="00B83F5D"/>
    <w:rsid w:val="00B83F87"/>
    <w:rsid w:val="00B83FB3"/>
    <w:rsid w:val="00B84002"/>
    <w:rsid w:val="00B84063"/>
    <w:rsid w:val="00B8406A"/>
    <w:rsid w:val="00B8410F"/>
    <w:rsid w:val="00B84118"/>
    <w:rsid w:val="00B84122"/>
    <w:rsid w:val="00B841CC"/>
    <w:rsid w:val="00B841E5"/>
    <w:rsid w:val="00B84278"/>
    <w:rsid w:val="00B842DE"/>
    <w:rsid w:val="00B84325"/>
    <w:rsid w:val="00B84377"/>
    <w:rsid w:val="00B843AD"/>
    <w:rsid w:val="00B844A7"/>
    <w:rsid w:val="00B844F6"/>
    <w:rsid w:val="00B84568"/>
    <w:rsid w:val="00B84579"/>
    <w:rsid w:val="00B84595"/>
    <w:rsid w:val="00B845D2"/>
    <w:rsid w:val="00B845DB"/>
    <w:rsid w:val="00B8463E"/>
    <w:rsid w:val="00B84640"/>
    <w:rsid w:val="00B84687"/>
    <w:rsid w:val="00B846B5"/>
    <w:rsid w:val="00B846C3"/>
    <w:rsid w:val="00B846E2"/>
    <w:rsid w:val="00B84727"/>
    <w:rsid w:val="00B847A3"/>
    <w:rsid w:val="00B847C2"/>
    <w:rsid w:val="00B847F3"/>
    <w:rsid w:val="00B84813"/>
    <w:rsid w:val="00B84818"/>
    <w:rsid w:val="00B84822"/>
    <w:rsid w:val="00B848E3"/>
    <w:rsid w:val="00B84970"/>
    <w:rsid w:val="00B8499A"/>
    <w:rsid w:val="00B84A0C"/>
    <w:rsid w:val="00B84A55"/>
    <w:rsid w:val="00B84A60"/>
    <w:rsid w:val="00B84B53"/>
    <w:rsid w:val="00B84B5A"/>
    <w:rsid w:val="00B84BDA"/>
    <w:rsid w:val="00B84C29"/>
    <w:rsid w:val="00B84C60"/>
    <w:rsid w:val="00B84C86"/>
    <w:rsid w:val="00B84CB2"/>
    <w:rsid w:val="00B84D1D"/>
    <w:rsid w:val="00B84D9B"/>
    <w:rsid w:val="00B84DBF"/>
    <w:rsid w:val="00B84E2C"/>
    <w:rsid w:val="00B84E2D"/>
    <w:rsid w:val="00B84E88"/>
    <w:rsid w:val="00B84E8E"/>
    <w:rsid w:val="00B84EAD"/>
    <w:rsid w:val="00B84F0B"/>
    <w:rsid w:val="00B84F1D"/>
    <w:rsid w:val="00B84F47"/>
    <w:rsid w:val="00B84F8C"/>
    <w:rsid w:val="00B84FA7"/>
    <w:rsid w:val="00B8503F"/>
    <w:rsid w:val="00B8504C"/>
    <w:rsid w:val="00B8504F"/>
    <w:rsid w:val="00B850AE"/>
    <w:rsid w:val="00B850B3"/>
    <w:rsid w:val="00B850C8"/>
    <w:rsid w:val="00B85102"/>
    <w:rsid w:val="00B8513B"/>
    <w:rsid w:val="00B85167"/>
    <w:rsid w:val="00B851F5"/>
    <w:rsid w:val="00B85220"/>
    <w:rsid w:val="00B85370"/>
    <w:rsid w:val="00B853A6"/>
    <w:rsid w:val="00B85423"/>
    <w:rsid w:val="00B85424"/>
    <w:rsid w:val="00B8542D"/>
    <w:rsid w:val="00B8546A"/>
    <w:rsid w:val="00B8547B"/>
    <w:rsid w:val="00B85491"/>
    <w:rsid w:val="00B8551B"/>
    <w:rsid w:val="00B8553C"/>
    <w:rsid w:val="00B855EB"/>
    <w:rsid w:val="00B85707"/>
    <w:rsid w:val="00B857E6"/>
    <w:rsid w:val="00B8585F"/>
    <w:rsid w:val="00B858D6"/>
    <w:rsid w:val="00B858DA"/>
    <w:rsid w:val="00B85910"/>
    <w:rsid w:val="00B8593A"/>
    <w:rsid w:val="00B8599D"/>
    <w:rsid w:val="00B859B2"/>
    <w:rsid w:val="00B859DB"/>
    <w:rsid w:val="00B85A17"/>
    <w:rsid w:val="00B85A70"/>
    <w:rsid w:val="00B85A78"/>
    <w:rsid w:val="00B85B33"/>
    <w:rsid w:val="00B85BA5"/>
    <w:rsid w:val="00B85BA9"/>
    <w:rsid w:val="00B85BE2"/>
    <w:rsid w:val="00B85BF4"/>
    <w:rsid w:val="00B85C05"/>
    <w:rsid w:val="00B85C51"/>
    <w:rsid w:val="00B85CE7"/>
    <w:rsid w:val="00B85CEE"/>
    <w:rsid w:val="00B85D24"/>
    <w:rsid w:val="00B85D4D"/>
    <w:rsid w:val="00B85D50"/>
    <w:rsid w:val="00B85E12"/>
    <w:rsid w:val="00B85EA6"/>
    <w:rsid w:val="00B85ECB"/>
    <w:rsid w:val="00B85F58"/>
    <w:rsid w:val="00B85FFD"/>
    <w:rsid w:val="00B85FFE"/>
    <w:rsid w:val="00B85FFF"/>
    <w:rsid w:val="00B86036"/>
    <w:rsid w:val="00B8609F"/>
    <w:rsid w:val="00B860E4"/>
    <w:rsid w:val="00B860E5"/>
    <w:rsid w:val="00B860ED"/>
    <w:rsid w:val="00B8615F"/>
    <w:rsid w:val="00B86187"/>
    <w:rsid w:val="00B861BD"/>
    <w:rsid w:val="00B86202"/>
    <w:rsid w:val="00B86226"/>
    <w:rsid w:val="00B8622B"/>
    <w:rsid w:val="00B86286"/>
    <w:rsid w:val="00B8628E"/>
    <w:rsid w:val="00B8629A"/>
    <w:rsid w:val="00B862DD"/>
    <w:rsid w:val="00B862E1"/>
    <w:rsid w:val="00B86309"/>
    <w:rsid w:val="00B86347"/>
    <w:rsid w:val="00B863A3"/>
    <w:rsid w:val="00B863C3"/>
    <w:rsid w:val="00B863F3"/>
    <w:rsid w:val="00B86434"/>
    <w:rsid w:val="00B86470"/>
    <w:rsid w:val="00B86523"/>
    <w:rsid w:val="00B8652A"/>
    <w:rsid w:val="00B86573"/>
    <w:rsid w:val="00B865F2"/>
    <w:rsid w:val="00B865F6"/>
    <w:rsid w:val="00B865FA"/>
    <w:rsid w:val="00B86650"/>
    <w:rsid w:val="00B86700"/>
    <w:rsid w:val="00B86720"/>
    <w:rsid w:val="00B867BF"/>
    <w:rsid w:val="00B86839"/>
    <w:rsid w:val="00B86854"/>
    <w:rsid w:val="00B8686A"/>
    <w:rsid w:val="00B86895"/>
    <w:rsid w:val="00B868D0"/>
    <w:rsid w:val="00B86903"/>
    <w:rsid w:val="00B869BD"/>
    <w:rsid w:val="00B86A78"/>
    <w:rsid w:val="00B86AF1"/>
    <w:rsid w:val="00B86B08"/>
    <w:rsid w:val="00B86B1B"/>
    <w:rsid w:val="00B86BBC"/>
    <w:rsid w:val="00B86BFF"/>
    <w:rsid w:val="00B86C42"/>
    <w:rsid w:val="00B86D34"/>
    <w:rsid w:val="00B86D8E"/>
    <w:rsid w:val="00B86D90"/>
    <w:rsid w:val="00B86DDD"/>
    <w:rsid w:val="00B86DE8"/>
    <w:rsid w:val="00B86E13"/>
    <w:rsid w:val="00B86E3F"/>
    <w:rsid w:val="00B86E4C"/>
    <w:rsid w:val="00B86E52"/>
    <w:rsid w:val="00B86EA2"/>
    <w:rsid w:val="00B86EB7"/>
    <w:rsid w:val="00B86EC8"/>
    <w:rsid w:val="00B86ED8"/>
    <w:rsid w:val="00B86F4C"/>
    <w:rsid w:val="00B86F5F"/>
    <w:rsid w:val="00B86F8B"/>
    <w:rsid w:val="00B86FA0"/>
    <w:rsid w:val="00B86FB5"/>
    <w:rsid w:val="00B86FBE"/>
    <w:rsid w:val="00B86FE2"/>
    <w:rsid w:val="00B8702E"/>
    <w:rsid w:val="00B8706E"/>
    <w:rsid w:val="00B87109"/>
    <w:rsid w:val="00B87176"/>
    <w:rsid w:val="00B871BB"/>
    <w:rsid w:val="00B87218"/>
    <w:rsid w:val="00B87220"/>
    <w:rsid w:val="00B87229"/>
    <w:rsid w:val="00B87237"/>
    <w:rsid w:val="00B872A8"/>
    <w:rsid w:val="00B872D1"/>
    <w:rsid w:val="00B87345"/>
    <w:rsid w:val="00B873B5"/>
    <w:rsid w:val="00B873CC"/>
    <w:rsid w:val="00B8746A"/>
    <w:rsid w:val="00B8746C"/>
    <w:rsid w:val="00B8749C"/>
    <w:rsid w:val="00B874C2"/>
    <w:rsid w:val="00B87533"/>
    <w:rsid w:val="00B87598"/>
    <w:rsid w:val="00B87605"/>
    <w:rsid w:val="00B8767D"/>
    <w:rsid w:val="00B876A8"/>
    <w:rsid w:val="00B8771D"/>
    <w:rsid w:val="00B87767"/>
    <w:rsid w:val="00B8778B"/>
    <w:rsid w:val="00B87852"/>
    <w:rsid w:val="00B878C1"/>
    <w:rsid w:val="00B878C6"/>
    <w:rsid w:val="00B879F0"/>
    <w:rsid w:val="00B87A2D"/>
    <w:rsid w:val="00B87AC3"/>
    <w:rsid w:val="00B87AC9"/>
    <w:rsid w:val="00B87B58"/>
    <w:rsid w:val="00B87BB2"/>
    <w:rsid w:val="00B87C6A"/>
    <w:rsid w:val="00B87C83"/>
    <w:rsid w:val="00B87CCA"/>
    <w:rsid w:val="00B87CEF"/>
    <w:rsid w:val="00B87D76"/>
    <w:rsid w:val="00B87D98"/>
    <w:rsid w:val="00B87DDE"/>
    <w:rsid w:val="00B87DE3"/>
    <w:rsid w:val="00B87E0C"/>
    <w:rsid w:val="00B87E3F"/>
    <w:rsid w:val="00B87EA7"/>
    <w:rsid w:val="00B87EBA"/>
    <w:rsid w:val="00B87EF0"/>
    <w:rsid w:val="00B87F1E"/>
    <w:rsid w:val="00B87F2B"/>
    <w:rsid w:val="00B87F31"/>
    <w:rsid w:val="00B87F5B"/>
    <w:rsid w:val="00B87F74"/>
    <w:rsid w:val="00B87F8B"/>
    <w:rsid w:val="00B87FA0"/>
    <w:rsid w:val="00B87FB9"/>
    <w:rsid w:val="00B87FD9"/>
    <w:rsid w:val="00B87FF4"/>
    <w:rsid w:val="00B90052"/>
    <w:rsid w:val="00B90097"/>
    <w:rsid w:val="00B900B8"/>
    <w:rsid w:val="00B90128"/>
    <w:rsid w:val="00B901C3"/>
    <w:rsid w:val="00B901D7"/>
    <w:rsid w:val="00B901D9"/>
    <w:rsid w:val="00B901ED"/>
    <w:rsid w:val="00B901F2"/>
    <w:rsid w:val="00B90234"/>
    <w:rsid w:val="00B90285"/>
    <w:rsid w:val="00B90318"/>
    <w:rsid w:val="00B90357"/>
    <w:rsid w:val="00B903D1"/>
    <w:rsid w:val="00B9043F"/>
    <w:rsid w:val="00B90486"/>
    <w:rsid w:val="00B90502"/>
    <w:rsid w:val="00B9060E"/>
    <w:rsid w:val="00B90630"/>
    <w:rsid w:val="00B906B8"/>
    <w:rsid w:val="00B906ED"/>
    <w:rsid w:val="00B90740"/>
    <w:rsid w:val="00B90820"/>
    <w:rsid w:val="00B9088E"/>
    <w:rsid w:val="00B90902"/>
    <w:rsid w:val="00B90924"/>
    <w:rsid w:val="00B90947"/>
    <w:rsid w:val="00B90959"/>
    <w:rsid w:val="00B909F6"/>
    <w:rsid w:val="00B90A6F"/>
    <w:rsid w:val="00B90A7D"/>
    <w:rsid w:val="00B90AA5"/>
    <w:rsid w:val="00B90BA4"/>
    <w:rsid w:val="00B90BC8"/>
    <w:rsid w:val="00B90BCD"/>
    <w:rsid w:val="00B90C20"/>
    <w:rsid w:val="00B90C23"/>
    <w:rsid w:val="00B90C73"/>
    <w:rsid w:val="00B90CC7"/>
    <w:rsid w:val="00B90CCE"/>
    <w:rsid w:val="00B90CCF"/>
    <w:rsid w:val="00B90D18"/>
    <w:rsid w:val="00B90D6C"/>
    <w:rsid w:val="00B90D90"/>
    <w:rsid w:val="00B90DD7"/>
    <w:rsid w:val="00B90DDB"/>
    <w:rsid w:val="00B90DE6"/>
    <w:rsid w:val="00B90DE8"/>
    <w:rsid w:val="00B90E30"/>
    <w:rsid w:val="00B90EA4"/>
    <w:rsid w:val="00B90EB5"/>
    <w:rsid w:val="00B90EE0"/>
    <w:rsid w:val="00B90EE3"/>
    <w:rsid w:val="00B90F04"/>
    <w:rsid w:val="00B90F28"/>
    <w:rsid w:val="00B90F38"/>
    <w:rsid w:val="00B90F3D"/>
    <w:rsid w:val="00B90F58"/>
    <w:rsid w:val="00B90FEE"/>
    <w:rsid w:val="00B91009"/>
    <w:rsid w:val="00B91013"/>
    <w:rsid w:val="00B9107E"/>
    <w:rsid w:val="00B91089"/>
    <w:rsid w:val="00B91092"/>
    <w:rsid w:val="00B910B8"/>
    <w:rsid w:val="00B910FE"/>
    <w:rsid w:val="00B9112C"/>
    <w:rsid w:val="00B9113E"/>
    <w:rsid w:val="00B911D5"/>
    <w:rsid w:val="00B911F9"/>
    <w:rsid w:val="00B91286"/>
    <w:rsid w:val="00B912BE"/>
    <w:rsid w:val="00B91313"/>
    <w:rsid w:val="00B9131F"/>
    <w:rsid w:val="00B91346"/>
    <w:rsid w:val="00B91407"/>
    <w:rsid w:val="00B91440"/>
    <w:rsid w:val="00B91464"/>
    <w:rsid w:val="00B91473"/>
    <w:rsid w:val="00B91477"/>
    <w:rsid w:val="00B91491"/>
    <w:rsid w:val="00B914A3"/>
    <w:rsid w:val="00B914D1"/>
    <w:rsid w:val="00B914D2"/>
    <w:rsid w:val="00B914D4"/>
    <w:rsid w:val="00B91509"/>
    <w:rsid w:val="00B91541"/>
    <w:rsid w:val="00B91592"/>
    <w:rsid w:val="00B915E8"/>
    <w:rsid w:val="00B9160E"/>
    <w:rsid w:val="00B91695"/>
    <w:rsid w:val="00B916B6"/>
    <w:rsid w:val="00B91722"/>
    <w:rsid w:val="00B91755"/>
    <w:rsid w:val="00B917BB"/>
    <w:rsid w:val="00B917BC"/>
    <w:rsid w:val="00B917F8"/>
    <w:rsid w:val="00B9181F"/>
    <w:rsid w:val="00B9182E"/>
    <w:rsid w:val="00B91834"/>
    <w:rsid w:val="00B918C1"/>
    <w:rsid w:val="00B918EB"/>
    <w:rsid w:val="00B919B3"/>
    <w:rsid w:val="00B919DC"/>
    <w:rsid w:val="00B91A41"/>
    <w:rsid w:val="00B91AFD"/>
    <w:rsid w:val="00B91B66"/>
    <w:rsid w:val="00B91B8D"/>
    <w:rsid w:val="00B91BD0"/>
    <w:rsid w:val="00B91BDF"/>
    <w:rsid w:val="00B91BE9"/>
    <w:rsid w:val="00B91BFF"/>
    <w:rsid w:val="00B91D07"/>
    <w:rsid w:val="00B91DF3"/>
    <w:rsid w:val="00B91E11"/>
    <w:rsid w:val="00B91E25"/>
    <w:rsid w:val="00B91E41"/>
    <w:rsid w:val="00B91F23"/>
    <w:rsid w:val="00B91F60"/>
    <w:rsid w:val="00B91F6A"/>
    <w:rsid w:val="00B91F8F"/>
    <w:rsid w:val="00B91FEA"/>
    <w:rsid w:val="00B92008"/>
    <w:rsid w:val="00B92020"/>
    <w:rsid w:val="00B9206A"/>
    <w:rsid w:val="00B9206D"/>
    <w:rsid w:val="00B920C8"/>
    <w:rsid w:val="00B92101"/>
    <w:rsid w:val="00B9211D"/>
    <w:rsid w:val="00B92172"/>
    <w:rsid w:val="00B921D8"/>
    <w:rsid w:val="00B92232"/>
    <w:rsid w:val="00B922A9"/>
    <w:rsid w:val="00B922FC"/>
    <w:rsid w:val="00B9235E"/>
    <w:rsid w:val="00B92388"/>
    <w:rsid w:val="00B923CD"/>
    <w:rsid w:val="00B923EF"/>
    <w:rsid w:val="00B923F5"/>
    <w:rsid w:val="00B92449"/>
    <w:rsid w:val="00B924DC"/>
    <w:rsid w:val="00B924E1"/>
    <w:rsid w:val="00B92506"/>
    <w:rsid w:val="00B92512"/>
    <w:rsid w:val="00B92568"/>
    <w:rsid w:val="00B925C4"/>
    <w:rsid w:val="00B925E9"/>
    <w:rsid w:val="00B9260A"/>
    <w:rsid w:val="00B92613"/>
    <w:rsid w:val="00B92619"/>
    <w:rsid w:val="00B92655"/>
    <w:rsid w:val="00B9265E"/>
    <w:rsid w:val="00B9269F"/>
    <w:rsid w:val="00B926B3"/>
    <w:rsid w:val="00B926E1"/>
    <w:rsid w:val="00B92709"/>
    <w:rsid w:val="00B927A8"/>
    <w:rsid w:val="00B927B0"/>
    <w:rsid w:val="00B927CA"/>
    <w:rsid w:val="00B92838"/>
    <w:rsid w:val="00B9286B"/>
    <w:rsid w:val="00B928BD"/>
    <w:rsid w:val="00B928D0"/>
    <w:rsid w:val="00B928D5"/>
    <w:rsid w:val="00B9290D"/>
    <w:rsid w:val="00B92910"/>
    <w:rsid w:val="00B9291D"/>
    <w:rsid w:val="00B92923"/>
    <w:rsid w:val="00B92954"/>
    <w:rsid w:val="00B9296E"/>
    <w:rsid w:val="00B9297E"/>
    <w:rsid w:val="00B92AC1"/>
    <w:rsid w:val="00B92AD8"/>
    <w:rsid w:val="00B92ADA"/>
    <w:rsid w:val="00B92B1A"/>
    <w:rsid w:val="00B92B52"/>
    <w:rsid w:val="00B92B6D"/>
    <w:rsid w:val="00B92BCD"/>
    <w:rsid w:val="00B92BD0"/>
    <w:rsid w:val="00B92C7F"/>
    <w:rsid w:val="00B92CE1"/>
    <w:rsid w:val="00B92D13"/>
    <w:rsid w:val="00B92D2D"/>
    <w:rsid w:val="00B92D45"/>
    <w:rsid w:val="00B92D53"/>
    <w:rsid w:val="00B92D82"/>
    <w:rsid w:val="00B92DB7"/>
    <w:rsid w:val="00B92DE5"/>
    <w:rsid w:val="00B92E14"/>
    <w:rsid w:val="00B92EDD"/>
    <w:rsid w:val="00B92EED"/>
    <w:rsid w:val="00B92F2C"/>
    <w:rsid w:val="00B92F40"/>
    <w:rsid w:val="00B92F56"/>
    <w:rsid w:val="00B92F82"/>
    <w:rsid w:val="00B92F9E"/>
    <w:rsid w:val="00B92FF9"/>
    <w:rsid w:val="00B9302C"/>
    <w:rsid w:val="00B93098"/>
    <w:rsid w:val="00B930D2"/>
    <w:rsid w:val="00B930E8"/>
    <w:rsid w:val="00B93113"/>
    <w:rsid w:val="00B93136"/>
    <w:rsid w:val="00B93147"/>
    <w:rsid w:val="00B93150"/>
    <w:rsid w:val="00B93164"/>
    <w:rsid w:val="00B9319A"/>
    <w:rsid w:val="00B93246"/>
    <w:rsid w:val="00B93253"/>
    <w:rsid w:val="00B932DE"/>
    <w:rsid w:val="00B93314"/>
    <w:rsid w:val="00B93326"/>
    <w:rsid w:val="00B933E7"/>
    <w:rsid w:val="00B93452"/>
    <w:rsid w:val="00B9348E"/>
    <w:rsid w:val="00B934C4"/>
    <w:rsid w:val="00B934EC"/>
    <w:rsid w:val="00B934FC"/>
    <w:rsid w:val="00B93536"/>
    <w:rsid w:val="00B93557"/>
    <w:rsid w:val="00B93574"/>
    <w:rsid w:val="00B9366A"/>
    <w:rsid w:val="00B93674"/>
    <w:rsid w:val="00B93691"/>
    <w:rsid w:val="00B936BD"/>
    <w:rsid w:val="00B936DA"/>
    <w:rsid w:val="00B93726"/>
    <w:rsid w:val="00B937BA"/>
    <w:rsid w:val="00B937C2"/>
    <w:rsid w:val="00B937CF"/>
    <w:rsid w:val="00B937FC"/>
    <w:rsid w:val="00B937FD"/>
    <w:rsid w:val="00B93826"/>
    <w:rsid w:val="00B93855"/>
    <w:rsid w:val="00B93876"/>
    <w:rsid w:val="00B9388E"/>
    <w:rsid w:val="00B93944"/>
    <w:rsid w:val="00B93A5F"/>
    <w:rsid w:val="00B93AA1"/>
    <w:rsid w:val="00B93AF3"/>
    <w:rsid w:val="00B93B54"/>
    <w:rsid w:val="00B93C0D"/>
    <w:rsid w:val="00B93C65"/>
    <w:rsid w:val="00B93CFB"/>
    <w:rsid w:val="00B93D21"/>
    <w:rsid w:val="00B93D3E"/>
    <w:rsid w:val="00B93D4D"/>
    <w:rsid w:val="00B93D55"/>
    <w:rsid w:val="00B93D5E"/>
    <w:rsid w:val="00B93D62"/>
    <w:rsid w:val="00B93DB1"/>
    <w:rsid w:val="00B93E15"/>
    <w:rsid w:val="00B93E7B"/>
    <w:rsid w:val="00B93E95"/>
    <w:rsid w:val="00B93EA0"/>
    <w:rsid w:val="00B93EB6"/>
    <w:rsid w:val="00B93EDA"/>
    <w:rsid w:val="00B93F07"/>
    <w:rsid w:val="00B93F09"/>
    <w:rsid w:val="00B93F7A"/>
    <w:rsid w:val="00B9400B"/>
    <w:rsid w:val="00B940BA"/>
    <w:rsid w:val="00B940CC"/>
    <w:rsid w:val="00B940E6"/>
    <w:rsid w:val="00B94133"/>
    <w:rsid w:val="00B941A3"/>
    <w:rsid w:val="00B9420B"/>
    <w:rsid w:val="00B94235"/>
    <w:rsid w:val="00B9429B"/>
    <w:rsid w:val="00B9429F"/>
    <w:rsid w:val="00B942A6"/>
    <w:rsid w:val="00B942C1"/>
    <w:rsid w:val="00B9430C"/>
    <w:rsid w:val="00B94382"/>
    <w:rsid w:val="00B943AD"/>
    <w:rsid w:val="00B94431"/>
    <w:rsid w:val="00B9444D"/>
    <w:rsid w:val="00B94453"/>
    <w:rsid w:val="00B94462"/>
    <w:rsid w:val="00B9449B"/>
    <w:rsid w:val="00B94532"/>
    <w:rsid w:val="00B9456D"/>
    <w:rsid w:val="00B945BD"/>
    <w:rsid w:val="00B945FA"/>
    <w:rsid w:val="00B946F0"/>
    <w:rsid w:val="00B9471B"/>
    <w:rsid w:val="00B94792"/>
    <w:rsid w:val="00B94824"/>
    <w:rsid w:val="00B9487F"/>
    <w:rsid w:val="00B94899"/>
    <w:rsid w:val="00B948C6"/>
    <w:rsid w:val="00B94963"/>
    <w:rsid w:val="00B949A5"/>
    <w:rsid w:val="00B94A00"/>
    <w:rsid w:val="00B94A01"/>
    <w:rsid w:val="00B94A03"/>
    <w:rsid w:val="00B94A6A"/>
    <w:rsid w:val="00B94A72"/>
    <w:rsid w:val="00B94B7E"/>
    <w:rsid w:val="00B94BAB"/>
    <w:rsid w:val="00B94BAD"/>
    <w:rsid w:val="00B94BD6"/>
    <w:rsid w:val="00B94C08"/>
    <w:rsid w:val="00B94C3F"/>
    <w:rsid w:val="00B94C84"/>
    <w:rsid w:val="00B94C8F"/>
    <w:rsid w:val="00B94D1C"/>
    <w:rsid w:val="00B94D20"/>
    <w:rsid w:val="00B94D27"/>
    <w:rsid w:val="00B94E14"/>
    <w:rsid w:val="00B94E22"/>
    <w:rsid w:val="00B94E33"/>
    <w:rsid w:val="00B94E5E"/>
    <w:rsid w:val="00B94E89"/>
    <w:rsid w:val="00B94E9C"/>
    <w:rsid w:val="00B94EB1"/>
    <w:rsid w:val="00B94EE7"/>
    <w:rsid w:val="00B94F22"/>
    <w:rsid w:val="00B94F2F"/>
    <w:rsid w:val="00B94F36"/>
    <w:rsid w:val="00B94FBA"/>
    <w:rsid w:val="00B94FC3"/>
    <w:rsid w:val="00B95021"/>
    <w:rsid w:val="00B95083"/>
    <w:rsid w:val="00B950E3"/>
    <w:rsid w:val="00B950ED"/>
    <w:rsid w:val="00B951E4"/>
    <w:rsid w:val="00B951F9"/>
    <w:rsid w:val="00B95211"/>
    <w:rsid w:val="00B95223"/>
    <w:rsid w:val="00B9528B"/>
    <w:rsid w:val="00B952D2"/>
    <w:rsid w:val="00B9534A"/>
    <w:rsid w:val="00B953A7"/>
    <w:rsid w:val="00B95491"/>
    <w:rsid w:val="00B95496"/>
    <w:rsid w:val="00B95566"/>
    <w:rsid w:val="00B955C7"/>
    <w:rsid w:val="00B95642"/>
    <w:rsid w:val="00B9566B"/>
    <w:rsid w:val="00B956C3"/>
    <w:rsid w:val="00B956CC"/>
    <w:rsid w:val="00B956DB"/>
    <w:rsid w:val="00B956EF"/>
    <w:rsid w:val="00B95786"/>
    <w:rsid w:val="00B95789"/>
    <w:rsid w:val="00B957DF"/>
    <w:rsid w:val="00B95803"/>
    <w:rsid w:val="00B9589C"/>
    <w:rsid w:val="00B958B7"/>
    <w:rsid w:val="00B958D5"/>
    <w:rsid w:val="00B95908"/>
    <w:rsid w:val="00B959EF"/>
    <w:rsid w:val="00B959FF"/>
    <w:rsid w:val="00B95A32"/>
    <w:rsid w:val="00B95A34"/>
    <w:rsid w:val="00B95A58"/>
    <w:rsid w:val="00B95AB2"/>
    <w:rsid w:val="00B95B0D"/>
    <w:rsid w:val="00B95B2B"/>
    <w:rsid w:val="00B95BE9"/>
    <w:rsid w:val="00B95BF8"/>
    <w:rsid w:val="00B95C21"/>
    <w:rsid w:val="00B95C56"/>
    <w:rsid w:val="00B95C65"/>
    <w:rsid w:val="00B95C80"/>
    <w:rsid w:val="00B95C8D"/>
    <w:rsid w:val="00B95D3B"/>
    <w:rsid w:val="00B95D73"/>
    <w:rsid w:val="00B95E0A"/>
    <w:rsid w:val="00B95E60"/>
    <w:rsid w:val="00B95E70"/>
    <w:rsid w:val="00B95FDA"/>
    <w:rsid w:val="00B95FFC"/>
    <w:rsid w:val="00B9605F"/>
    <w:rsid w:val="00B96092"/>
    <w:rsid w:val="00B960D5"/>
    <w:rsid w:val="00B9619C"/>
    <w:rsid w:val="00B961AC"/>
    <w:rsid w:val="00B961D8"/>
    <w:rsid w:val="00B961E1"/>
    <w:rsid w:val="00B9625B"/>
    <w:rsid w:val="00B96283"/>
    <w:rsid w:val="00B96285"/>
    <w:rsid w:val="00B962A5"/>
    <w:rsid w:val="00B962AE"/>
    <w:rsid w:val="00B962B7"/>
    <w:rsid w:val="00B9635C"/>
    <w:rsid w:val="00B963DC"/>
    <w:rsid w:val="00B963F5"/>
    <w:rsid w:val="00B96400"/>
    <w:rsid w:val="00B96430"/>
    <w:rsid w:val="00B9649A"/>
    <w:rsid w:val="00B96555"/>
    <w:rsid w:val="00B96575"/>
    <w:rsid w:val="00B965D6"/>
    <w:rsid w:val="00B9662F"/>
    <w:rsid w:val="00B9663A"/>
    <w:rsid w:val="00B966E7"/>
    <w:rsid w:val="00B96717"/>
    <w:rsid w:val="00B96759"/>
    <w:rsid w:val="00B9676E"/>
    <w:rsid w:val="00B967ED"/>
    <w:rsid w:val="00B9682C"/>
    <w:rsid w:val="00B96846"/>
    <w:rsid w:val="00B96856"/>
    <w:rsid w:val="00B968B2"/>
    <w:rsid w:val="00B96981"/>
    <w:rsid w:val="00B969AE"/>
    <w:rsid w:val="00B969BA"/>
    <w:rsid w:val="00B969BE"/>
    <w:rsid w:val="00B96A1A"/>
    <w:rsid w:val="00B96A66"/>
    <w:rsid w:val="00B96A98"/>
    <w:rsid w:val="00B96AAF"/>
    <w:rsid w:val="00B96AB8"/>
    <w:rsid w:val="00B96B3C"/>
    <w:rsid w:val="00B96B45"/>
    <w:rsid w:val="00B96B99"/>
    <w:rsid w:val="00B96C27"/>
    <w:rsid w:val="00B96C66"/>
    <w:rsid w:val="00B96C73"/>
    <w:rsid w:val="00B96CFA"/>
    <w:rsid w:val="00B96D57"/>
    <w:rsid w:val="00B96D6F"/>
    <w:rsid w:val="00B96D80"/>
    <w:rsid w:val="00B96DD5"/>
    <w:rsid w:val="00B96E08"/>
    <w:rsid w:val="00B96E0A"/>
    <w:rsid w:val="00B96ECF"/>
    <w:rsid w:val="00B96F4C"/>
    <w:rsid w:val="00B96FB1"/>
    <w:rsid w:val="00B96FFB"/>
    <w:rsid w:val="00B97038"/>
    <w:rsid w:val="00B97039"/>
    <w:rsid w:val="00B97055"/>
    <w:rsid w:val="00B97085"/>
    <w:rsid w:val="00B970DE"/>
    <w:rsid w:val="00B970F8"/>
    <w:rsid w:val="00B97109"/>
    <w:rsid w:val="00B97112"/>
    <w:rsid w:val="00B9719D"/>
    <w:rsid w:val="00B971A9"/>
    <w:rsid w:val="00B9728A"/>
    <w:rsid w:val="00B972B2"/>
    <w:rsid w:val="00B973DB"/>
    <w:rsid w:val="00B973F7"/>
    <w:rsid w:val="00B9742B"/>
    <w:rsid w:val="00B97443"/>
    <w:rsid w:val="00B97468"/>
    <w:rsid w:val="00B9748F"/>
    <w:rsid w:val="00B974E1"/>
    <w:rsid w:val="00B974FA"/>
    <w:rsid w:val="00B9753B"/>
    <w:rsid w:val="00B97594"/>
    <w:rsid w:val="00B97613"/>
    <w:rsid w:val="00B9767F"/>
    <w:rsid w:val="00B976C9"/>
    <w:rsid w:val="00B97747"/>
    <w:rsid w:val="00B97765"/>
    <w:rsid w:val="00B97770"/>
    <w:rsid w:val="00B97785"/>
    <w:rsid w:val="00B977E9"/>
    <w:rsid w:val="00B9783E"/>
    <w:rsid w:val="00B9785B"/>
    <w:rsid w:val="00B978FD"/>
    <w:rsid w:val="00B9790D"/>
    <w:rsid w:val="00B97951"/>
    <w:rsid w:val="00B979CA"/>
    <w:rsid w:val="00B97A26"/>
    <w:rsid w:val="00B97A50"/>
    <w:rsid w:val="00B97A7E"/>
    <w:rsid w:val="00B97AAC"/>
    <w:rsid w:val="00B97AB9"/>
    <w:rsid w:val="00B97ACE"/>
    <w:rsid w:val="00B97AD8"/>
    <w:rsid w:val="00B97B82"/>
    <w:rsid w:val="00B97BD2"/>
    <w:rsid w:val="00B97BFA"/>
    <w:rsid w:val="00B97C21"/>
    <w:rsid w:val="00B97C5C"/>
    <w:rsid w:val="00B97CF5"/>
    <w:rsid w:val="00B97D12"/>
    <w:rsid w:val="00B97D16"/>
    <w:rsid w:val="00B97D51"/>
    <w:rsid w:val="00B97E19"/>
    <w:rsid w:val="00B97E30"/>
    <w:rsid w:val="00B97EAB"/>
    <w:rsid w:val="00B97ECE"/>
    <w:rsid w:val="00B97F6F"/>
    <w:rsid w:val="00B97F7E"/>
    <w:rsid w:val="00B97F9F"/>
    <w:rsid w:val="00BA0073"/>
    <w:rsid w:val="00BA0077"/>
    <w:rsid w:val="00BA0083"/>
    <w:rsid w:val="00BA0093"/>
    <w:rsid w:val="00BA00B5"/>
    <w:rsid w:val="00BA00CC"/>
    <w:rsid w:val="00BA0107"/>
    <w:rsid w:val="00BA013A"/>
    <w:rsid w:val="00BA014A"/>
    <w:rsid w:val="00BA01A1"/>
    <w:rsid w:val="00BA01BE"/>
    <w:rsid w:val="00BA01D6"/>
    <w:rsid w:val="00BA01FE"/>
    <w:rsid w:val="00BA0228"/>
    <w:rsid w:val="00BA0282"/>
    <w:rsid w:val="00BA0287"/>
    <w:rsid w:val="00BA02B6"/>
    <w:rsid w:val="00BA02E3"/>
    <w:rsid w:val="00BA02FB"/>
    <w:rsid w:val="00BA03AC"/>
    <w:rsid w:val="00BA042A"/>
    <w:rsid w:val="00BA0440"/>
    <w:rsid w:val="00BA0511"/>
    <w:rsid w:val="00BA0574"/>
    <w:rsid w:val="00BA05DD"/>
    <w:rsid w:val="00BA0698"/>
    <w:rsid w:val="00BA06AF"/>
    <w:rsid w:val="00BA0770"/>
    <w:rsid w:val="00BA080D"/>
    <w:rsid w:val="00BA08B3"/>
    <w:rsid w:val="00BA08DD"/>
    <w:rsid w:val="00BA0943"/>
    <w:rsid w:val="00BA0980"/>
    <w:rsid w:val="00BA09D3"/>
    <w:rsid w:val="00BA09E6"/>
    <w:rsid w:val="00BA0A3B"/>
    <w:rsid w:val="00BA0A46"/>
    <w:rsid w:val="00BA0B49"/>
    <w:rsid w:val="00BA0B84"/>
    <w:rsid w:val="00BA0BA8"/>
    <w:rsid w:val="00BA0BE6"/>
    <w:rsid w:val="00BA0C9A"/>
    <w:rsid w:val="00BA0CF0"/>
    <w:rsid w:val="00BA0D73"/>
    <w:rsid w:val="00BA0D7E"/>
    <w:rsid w:val="00BA0DD5"/>
    <w:rsid w:val="00BA0DD7"/>
    <w:rsid w:val="00BA0E4B"/>
    <w:rsid w:val="00BA0E96"/>
    <w:rsid w:val="00BA0EA3"/>
    <w:rsid w:val="00BA0F16"/>
    <w:rsid w:val="00BA0F28"/>
    <w:rsid w:val="00BA0F34"/>
    <w:rsid w:val="00BA0F8F"/>
    <w:rsid w:val="00BA0FBB"/>
    <w:rsid w:val="00BA0FBF"/>
    <w:rsid w:val="00BA1100"/>
    <w:rsid w:val="00BA111D"/>
    <w:rsid w:val="00BA1175"/>
    <w:rsid w:val="00BA1184"/>
    <w:rsid w:val="00BA11A9"/>
    <w:rsid w:val="00BA11DB"/>
    <w:rsid w:val="00BA1245"/>
    <w:rsid w:val="00BA1268"/>
    <w:rsid w:val="00BA12AC"/>
    <w:rsid w:val="00BA12DC"/>
    <w:rsid w:val="00BA13AA"/>
    <w:rsid w:val="00BA13FF"/>
    <w:rsid w:val="00BA141A"/>
    <w:rsid w:val="00BA1423"/>
    <w:rsid w:val="00BA14B7"/>
    <w:rsid w:val="00BA14C1"/>
    <w:rsid w:val="00BA14F6"/>
    <w:rsid w:val="00BA1510"/>
    <w:rsid w:val="00BA1591"/>
    <w:rsid w:val="00BA15DD"/>
    <w:rsid w:val="00BA15F5"/>
    <w:rsid w:val="00BA1659"/>
    <w:rsid w:val="00BA1661"/>
    <w:rsid w:val="00BA1665"/>
    <w:rsid w:val="00BA16A7"/>
    <w:rsid w:val="00BA1757"/>
    <w:rsid w:val="00BA1759"/>
    <w:rsid w:val="00BA1766"/>
    <w:rsid w:val="00BA17E3"/>
    <w:rsid w:val="00BA187F"/>
    <w:rsid w:val="00BA18A8"/>
    <w:rsid w:val="00BA18C2"/>
    <w:rsid w:val="00BA18DE"/>
    <w:rsid w:val="00BA1953"/>
    <w:rsid w:val="00BA1996"/>
    <w:rsid w:val="00BA1AAD"/>
    <w:rsid w:val="00BA1AC1"/>
    <w:rsid w:val="00BA1B2F"/>
    <w:rsid w:val="00BA1B31"/>
    <w:rsid w:val="00BA1B3C"/>
    <w:rsid w:val="00BA1B8F"/>
    <w:rsid w:val="00BA1BCF"/>
    <w:rsid w:val="00BA1BFF"/>
    <w:rsid w:val="00BA1CC5"/>
    <w:rsid w:val="00BA1CE3"/>
    <w:rsid w:val="00BA1D07"/>
    <w:rsid w:val="00BA1DAA"/>
    <w:rsid w:val="00BA1DDF"/>
    <w:rsid w:val="00BA1DEF"/>
    <w:rsid w:val="00BA1E0C"/>
    <w:rsid w:val="00BA1E21"/>
    <w:rsid w:val="00BA1E79"/>
    <w:rsid w:val="00BA1E9D"/>
    <w:rsid w:val="00BA1EB2"/>
    <w:rsid w:val="00BA1EE1"/>
    <w:rsid w:val="00BA2042"/>
    <w:rsid w:val="00BA207C"/>
    <w:rsid w:val="00BA20C3"/>
    <w:rsid w:val="00BA20CA"/>
    <w:rsid w:val="00BA214D"/>
    <w:rsid w:val="00BA2180"/>
    <w:rsid w:val="00BA219E"/>
    <w:rsid w:val="00BA21E5"/>
    <w:rsid w:val="00BA2238"/>
    <w:rsid w:val="00BA2250"/>
    <w:rsid w:val="00BA22F3"/>
    <w:rsid w:val="00BA2301"/>
    <w:rsid w:val="00BA2307"/>
    <w:rsid w:val="00BA2349"/>
    <w:rsid w:val="00BA23B3"/>
    <w:rsid w:val="00BA23C0"/>
    <w:rsid w:val="00BA23DF"/>
    <w:rsid w:val="00BA2422"/>
    <w:rsid w:val="00BA2436"/>
    <w:rsid w:val="00BA246B"/>
    <w:rsid w:val="00BA24C1"/>
    <w:rsid w:val="00BA24E0"/>
    <w:rsid w:val="00BA2549"/>
    <w:rsid w:val="00BA25E2"/>
    <w:rsid w:val="00BA2657"/>
    <w:rsid w:val="00BA267F"/>
    <w:rsid w:val="00BA26A9"/>
    <w:rsid w:val="00BA26B4"/>
    <w:rsid w:val="00BA277C"/>
    <w:rsid w:val="00BA27E4"/>
    <w:rsid w:val="00BA27EA"/>
    <w:rsid w:val="00BA2898"/>
    <w:rsid w:val="00BA28DD"/>
    <w:rsid w:val="00BA291F"/>
    <w:rsid w:val="00BA294B"/>
    <w:rsid w:val="00BA2965"/>
    <w:rsid w:val="00BA29A7"/>
    <w:rsid w:val="00BA29DF"/>
    <w:rsid w:val="00BA2A09"/>
    <w:rsid w:val="00BA2A43"/>
    <w:rsid w:val="00BA2A58"/>
    <w:rsid w:val="00BA2A8B"/>
    <w:rsid w:val="00BA2AA6"/>
    <w:rsid w:val="00BA2AFD"/>
    <w:rsid w:val="00BA2B12"/>
    <w:rsid w:val="00BA2B3B"/>
    <w:rsid w:val="00BA2B66"/>
    <w:rsid w:val="00BA2B76"/>
    <w:rsid w:val="00BA2B8D"/>
    <w:rsid w:val="00BA2B8F"/>
    <w:rsid w:val="00BA2BA7"/>
    <w:rsid w:val="00BA2BF0"/>
    <w:rsid w:val="00BA2C07"/>
    <w:rsid w:val="00BA2C1A"/>
    <w:rsid w:val="00BA2C42"/>
    <w:rsid w:val="00BA2C69"/>
    <w:rsid w:val="00BA2CA3"/>
    <w:rsid w:val="00BA2CC0"/>
    <w:rsid w:val="00BA2CF0"/>
    <w:rsid w:val="00BA2D09"/>
    <w:rsid w:val="00BA2D11"/>
    <w:rsid w:val="00BA2D47"/>
    <w:rsid w:val="00BA2D5D"/>
    <w:rsid w:val="00BA2D64"/>
    <w:rsid w:val="00BA2D85"/>
    <w:rsid w:val="00BA2DA6"/>
    <w:rsid w:val="00BA2DAE"/>
    <w:rsid w:val="00BA2E12"/>
    <w:rsid w:val="00BA2E63"/>
    <w:rsid w:val="00BA2EE2"/>
    <w:rsid w:val="00BA2F09"/>
    <w:rsid w:val="00BA2F59"/>
    <w:rsid w:val="00BA2F74"/>
    <w:rsid w:val="00BA2F81"/>
    <w:rsid w:val="00BA2F99"/>
    <w:rsid w:val="00BA2FCE"/>
    <w:rsid w:val="00BA2FDA"/>
    <w:rsid w:val="00BA2FEF"/>
    <w:rsid w:val="00BA3066"/>
    <w:rsid w:val="00BA30A2"/>
    <w:rsid w:val="00BA30B6"/>
    <w:rsid w:val="00BA30F6"/>
    <w:rsid w:val="00BA315A"/>
    <w:rsid w:val="00BA3180"/>
    <w:rsid w:val="00BA326C"/>
    <w:rsid w:val="00BA32A5"/>
    <w:rsid w:val="00BA32DE"/>
    <w:rsid w:val="00BA3319"/>
    <w:rsid w:val="00BA333F"/>
    <w:rsid w:val="00BA3402"/>
    <w:rsid w:val="00BA3458"/>
    <w:rsid w:val="00BA348C"/>
    <w:rsid w:val="00BA34BF"/>
    <w:rsid w:val="00BA350E"/>
    <w:rsid w:val="00BA3559"/>
    <w:rsid w:val="00BA359A"/>
    <w:rsid w:val="00BA35BC"/>
    <w:rsid w:val="00BA3649"/>
    <w:rsid w:val="00BA365D"/>
    <w:rsid w:val="00BA367F"/>
    <w:rsid w:val="00BA36A8"/>
    <w:rsid w:val="00BA36D9"/>
    <w:rsid w:val="00BA3702"/>
    <w:rsid w:val="00BA3708"/>
    <w:rsid w:val="00BA3741"/>
    <w:rsid w:val="00BA3765"/>
    <w:rsid w:val="00BA37A5"/>
    <w:rsid w:val="00BA37AC"/>
    <w:rsid w:val="00BA37AF"/>
    <w:rsid w:val="00BA37E3"/>
    <w:rsid w:val="00BA393D"/>
    <w:rsid w:val="00BA3954"/>
    <w:rsid w:val="00BA3985"/>
    <w:rsid w:val="00BA39C0"/>
    <w:rsid w:val="00BA3A40"/>
    <w:rsid w:val="00BA3A75"/>
    <w:rsid w:val="00BA3AC0"/>
    <w:rsid w:val="00BA3AEB"/>
    <w:rsid w:val="00BA3B3C"/>
    <w:rsid w:val="00BA3B42"/>
    <w:rsid w:val="00BA3BF0"/>
    <w:rsid w:val="00BA3C14"/>
    <w:rsid w:val="00BA3C16"/>
    <w:rsid w:val="00BA3C5B"/>
    <w:rsid w:val="00BA3C81"/>
    <w:rsid w:val="00BA3C87"/>
    <w:rsid w:val="00BA3C94"/>
    <w:rsid w:val="00BA3D62"/>
    <w:rsid w:val="00BA3E98"/>
    <w:rsid w:val="00BA3F8B"/>
    <w:rsid w:val="00BA3F95"/>
    <w:rsid w:val="00BA3FC1"/>
    <w:rsid w:val="00BA3FE6"/>
    <w:rsid w:val="00BA4005"/>
    <w:rsid w:val="00BA4015"/>
    <w:rsid w:val="00BA403E"/>
    <w:rsid w:val="00BA4050"/>
    <w:rsid w:val="00BA4075"/>
    <w:rsid w:val="00BA40B4"/>
    <w:rsid w:val="00BA4108"/>
    <w:rsid w:val="00BA410A"/>
    <w:rsid w:val="00BA412F"/>
    <w:rsid w:val="00BA418F"/>
    <w:rsid w:val="00BA4228"/>
    <w:rsid w:val="00BA4269"/>
    <w:rsid w:val="00BA4291"/>
    <w:rsid w:val="00BA429D"/>
    <w:rsid w:val="00BA42AA"/>
    <w:rsid w:val="00BA42D8"/>
    <w:rsid w:val="00BA42F8"/>
    <w:rsid w:val="00BA4327"/>
    <w:rsid w:val="00BA4337"/>
    <w:rsid w:val="00BA4339"/>
    <w:rsid w:val="00BA433C"/>
    <w:rsid w:val="00BA4345"/>
    <w:rsid w:val="00BA4346"/>
    <w:rsid w:val="00BA4362"/>
    <w:rsid w:val="00BA43EE"/>
    <w:rsid w:val="00BA43FF"/>
    <w:rsid w:val="00BA446A"/>
    <w:rsid w:val="00BA452D"/>
    <w:rsid w:val="00BA4537"/>
    <w:rsid w:val="00BA4561"/>
    <w:rsid w:val="00BA4568"/>
    <w:rsid w:val="00BA4593"/>
    <w:rsid w:val="00BA45D6"/>
    <w:rsid w:val="00BA4618"/>
    <w:rsid w:val="00BA4658"/>
    <w:rsid w:val="00BA466A"/>
    <w:rsid w:val="00BA46A1"/>
    <w:rsid w:val="00BA46A3"/>
    <w:rsid w:val="00BA46A5"/>
    <w:rsid w:val="00BA46AB"/>
    <w:rsid w:val="00BA46CB"/>
    <w:rsid w:val="00BA4720"/>
    <w:rsid w:val="00BA4799"/>
    <w:rsid w:val="00BA47FB"/>
    <w:rsid w:val="00BA480E"/>
    <w:rsid w:val="00BA4829"/>
    <w:rsid w:val="00BA4863"/>
    <w:rsid w:val="00BA4895"/>
    <w:rsid w:val="00BA48BB"/>
    <w:rsid w:val="00BA48E0"/>
    <w:rsid w:val="00BA4904"/>
    <w:rsid w:val="00BA49F9"/>
    <w:rsid w:val="00BA4A8A"/>
    <w:rsid w:val="00BA4AA7"/>
    <w:rsid w:val="00BA4AB1"/>
    <w:rsid w:val="00BA4B47"/>
    <w:rsid w:val="00BA4B7D"/>
    <w:rsid w:val="00BA4BAB"/>
    <w:rsid w:val="00BA4BE1"/>
    <w:rsid w:val="00BA4BE7"/>
    <w:rsid w:val="00BA4BFF"/>
    <w:rsid w:val="00BA4C14"/>
    <w:rsid w:val="00BA4C19"/>
    <w:rsid w:val="00BA4C6D"/>
    <w:rsid w:val="00BA4C6F"/>
    <w:rsid w:val="00BA4CA7"/>
    <w:rsid w:val="00BA4CC4"/>
    <w:rsid w:val="00BA4CE1"/>
    <w:rsid w:val="00BA4CF7"/>
    <w:rsid w:val="00BA4D43"/>
    <w:rsid w:val="00BA4D74"/>
    <w:rsid w:val="00BA4DAE"/>
    <w:rsid w:val="00BA4DF4"/>
    <w:rsid w:val="00BA4E04"/>
    <w:rsid w:val="00BA4E4D"/>
    <w:rsid w:val="00BA4E78"/>
    <w:rsid w:val="00BA4EB4"/>
    <w:rsid w:val="00BA4EB8"/>
    <w:rsid w:val="00BA4F17"/>
    <w:rsid w:val="00BA4F58"/>
    <w:rsid w:val="00BA4F7F"/>
    <w:rsid w:val="00BA4FE0"/>
    <w:rsid w:val="00BA4FFA"/>
    <w:rsid w:val="00BA5052"/>
    <w:rsid w:val="00BA5064"/>
    <w:rsid w:val="00BA506A"/>
    <w:rsid w:val="00BA506C"/>
    <w:rsid w:val="00BA508D"/>
    <w:rsid w:val="00BA5167"/>
    <w:rsid w:val="00BA51BB"/>
    <w:rsid w:val="00BA51D0"/>
    <w:rsid w:val="00BA5212"/>
    <w:rsid w:val="00BA5228"/>
    <w:rsid w:val="00BA52D9"/>
    <w:rsid w:val="00BA5302"/>
    <w:rsid w:val="00BA5308"/>
    <w:rsid w:val="00BA5324"/>
    <w:rsid w:val="00BA5329"/>
    <w:rsid w:val="00BA53FE"/>
    <w:rsid w:val="00BA542B"/>
    <w:rsid w:val="00BA54AC"/>
    <w:rsid w:val="00BA553A"/>
    <w:rsid w:val="00BA5581"/>
    <w:rsid w:val="00BA55B9"/>
    <w:rsid w:val="00BA5614"/>
    <w:rsid w:val="00BA5620"/>
    <w:rsid w:val="00BA5637"/>
    <w:rsid w:val="00BA56C9"/>
    <w:rsid w:val="00BA574F"/>
    <w:rsid w:val="00BA5769"/>
    <w:rsid w:val="00BA578C"/>
    <w:rsid w:val="00BA57DB"/>
    <w:rsid w:val="00BA582F"/>
    <w:rsid w:val="00BA58E7"/>
    <w:rsid w:val="00BA5972"/>
    <w:rsid w:val="00BA597B"/>
    <w:rsid w:val="00BA59A1"/>
    <w:rsid w:val="00BA59B8"/>
    <w:rsid w:val="00BA5A2E"/>
    <w:rsid w:val="00BA5A50"/>
    <w:rsid w:val="00BA5A5C"/>
    <w:rsid w:val="00BA5AA5"/>
    <w:rsid w:val="00BA5AA7"/>
    <w:rsid w:val="00BA5B20"/>
    <w:rsid w:val="00BA5BA2"/>
    <w:rsid w:val="00BA5BA6"/>
    <w:rsid w:val="00BA5BE4"/>
    <w:rsid w:val="00BA5BFB"/>
    <w:rsid w:val="00BA5BFD"/>
    <w:rsid w:val="00BA5C1C"/>
    <w:rsid w:val="00BA5C1F"/>
    <w:rsid w:val="00BA5C6F"/>
    <w:rsid w:val="00BA5CC1"/>
    <w:rsid w:val="00BA5CD2"/>
    <w:rsid w:val="00BA5DB7"/>
    <w:rsid w:val="00BA5E42"/>
    <w:rsid w:val="00BA5E51"/>
    <w:rsid w:val="00BA5E72"/>
    <w:rsid w:val="00BA5E86"/>
    <w:rsid w:val="00BA5EC3"/>
    <w:rsid w:val="00BA5EE2"/>
    <w:rsid w:val="00BA5EFD"/>
    <w:rsid w:val="00BA5F23"/>
    <w:rsid w:val="00BA5F27"/>
    <w:rsid w:val="00BA6004"/>
    <w:rsid w:val="00BA6029"/>
    <w:rsid w:val="00BA6091"/>
    <w:rsid w:val="00BA60A8"/>
    <w:rsid w:val="00BA60DD"/>
    <w:rsid w:val="00BA6108"/>
    <w:rsid w:val="00BA6122"/>
    <w:rsid w:val="00BA612D"/>
    <w:rsid w:val="00BA613D"/>
    <w:rsid w:val="00BA6154"/>
    <w:rsid w:val="00BA61C5"/>
    <w:rsid w:val="00BA61EC"/>
    <w:rsid w:val="00BA6234"/>
    <w:rsid w:val="00BA625A"/>
    <w:rsid w:val="00BA627C"/>
    <w:rsid w:val="00BA6281"/>
    <w:rsid w:val="00BA62A1"/>
    <w:rsid w:val="00BA632B"/>
    <w:rsid w:val="00BA634C"/>
    <w:rsid w:val="00BA6367"/>
    <w:rsid w:val="00BA6386"/>
    <w:rsid w:val="00BA6387"/>
    <w:rsid w:val="00BA6399"/>
    <w:rsid w:val="00BA63A2"/>
    <w:rsid w:val="00BA63A5"/>
    <w:rsid w:val="00BA63D9"/>
    <w:rsid w:val="00BA63E2"/>
    <w:rsid w:val="00BA6435"/>
    <w:rsid w:val="00BA6477"/>
    <w:rsid w:val="00BA64B3"/>
    <w:rsid w:val="00BA64BD"/>
    <w:rsid w:val="00BA6522"/>
    <w:rsid w:val="00BA6532"/>
    <w:rsid w:val="00BA6596"/>
    <w:rsid w:val="00BA65AB"/>
    <w:rsid w:val="00BA65C5"/>
    <w:rsid w:val="00BA65D0"/>
    <w:rsid w:val="00BA65E0"/>
    <w:rsid w:val="00BA65E8"/>
    <w:rsid w:val="00BA666A"/>
    <w:rsid w:val="00BA66A5"/>
    <w:rsid w:val="00BA66DE"/>
    <w:rsid w:val="00BA66E1"/>
    <w:rsid w:val="00BA66F4"/>
    <w:rsid w:val="00BA6710"/>
    <w:rsid w:val="00BA6725"/>
    <w:rsid w:val="00BA676A"/>
    <w:rsid w:val="00BA67C0"/>
    <w:rsid w:val="00BA682A"/>
    <w:rsid w:val="00BA6899"/>
    <w:rsid w:val="00BA68B0"/>
    <w:rsid w:val="00BA692C"/>
    <w:rsid w:val="00BA699F"/>
    <w:rsid w:val="00BA69FA"/>
    <w:rsid w:val="00BA6A02"/>
    <w:rsid w:val="00BA6A55"/>
    <w:rsid w:val="00BA6A77"/>
    <w:rsid w:val="00BA6AD6"/>
    <w:rsid w:val="00BA6AE2"/>
    <w:rsid w:val="00BA6AF6"/>
    <w:rsid w:val="00BA6B87"/>
    <w:rsid w:val="00BA6B98"/>
    <w:rsid w:val="00BA6BAB"/>
    <w:rsid w:val="00BA6C3B"/>
    <w:rsid w:val="00BA6C47"/>
    <w:rsid w:val="00BA6CEC"/>
    <w:rsid w:val="00BA6D3C"/>
    <w:rsid w:val="00BA6D47"/>
    <w:rsid w:val="00BA6D57"/>
    <w:rsid w:val="00BA6E05"/>
    <w:rsid w:val="00BA6E66"/>
    <w:rsid w:val="00BA6E70"/>
    <w:rsid w:val="00BA6E9A"/>
    <w:rsid w:val="00BA6EA2"/>
    <w:rsid w:val="00BA6ECF"/>
    <w:rsid w:val="00BA6EDD"/>
    <w:rsid w:val="00BA6EE1"/>
    <w:rsid w:val="00BA6EEB"/>
    <w:rsid w:val="00BA6EEC"/>
    <w:rsid w:val="00BA6F1A"/>
    <w:rsid w:val="00BA6F73"/>
    <w:rsid w:val="00BA6F9A"/>
    <w:rsid w:val="00BA6FBF"/>
    <w:rsid w:val="00BA7016"/>
    <w:rsid w:val="00BA70B3"/>
    <w:rsid w:val="00BA70BD"/>
    <w:rsid w:val="00BA711F"/>
    <w:rsid w:val="00BA716E"/>
    <w:rsid w:val="00BA717E"/>
    <w:rsid w:val="00BA71E6"/>
    <w:rsid w:val="00BA720E"/>
    <w:rsid w:val="00BA7392"/>
    <w:rsid w:val="00BA742B"/>
    <w:rsid w:val="00BA7495"/>
    <w:rsid w:val="00BA7498"/>
    <w:rsid w:val="00BA7542"/>
    <w:rsid w:val="00BA756E"/>
    <w:rsid w:val="00BA7683"/>
    <w:rsid w:val="00BA76C1"/>
    <w:rsid w:val="00BA76F5"/>
    <w:rsid w:val="00BA7760"/>
    <w:rsid w:val="00BA77F3"/>
    <w:rsid w:val="00BA7800"/>
    <w:rsid w:val="00BA7863"/>
    <w:rsid w:val="00BA7898"/>
    <w:rsid w:val="00BA7909"/>
    <w:rsid w:val="00BA7927"/>
    <w:rsid w:val="00BA795A"/>
    <w:rsid w:val="00BA7966"/>
    <w:rsid w:val="00BA79AD"/>
    <w:rsid w:val="00BA7A3E"/>
    <w:rsid w:val="00BA7A78"/>
    <w:rsid w:val="00BA7AF8"/>
    <w:rsid w:val="00BA7B0D"/>
    <w:rsid w:val="00BA7B18"/>
    <w:rsid w:val="00BA7B27"/>
    <w:rsid w:val="00BA7B86"/>
    <w:rsid w:val="00BA7BA5"/>
    <w:rsid w:val="00BA7BDF"/>
    <w:rsid w:val="00BA7BFE"/>
    <w:rsid w:val="00BA7CF8"/>
    <w:rsid w:val="00BA7CFE"/>
    <w:rsid w:val="00BA7D58"/>
    <w:rsid w:val="00BA7DB7"/>
    <w:rsid w:val="00BA7DF8"/>
    <w:rsid w:val="00BA7E8D"/>
    <w:rsid w:val="00BA7EDB"/>
    <w:rsid w:val="00BA7EE6"/>
    <w:rsid w:val="00BA7EE7"/>
    <w:rsid w:val="00BA7EEB"/>
    <w:rsid w:val="00BA7EFD"/>
    <w:rsid w:val="00BA7FA6"/>
    <w:rsid w:val="00BA7FAF"/>
    <w:rsid w:val="00BA7FE6"/>
    <w:rsid w:val="00BA9A7F"/>
    <w:rsid w:val="00BB002C"/>
    <w:rsid w:val="00BB0057"/>
    <w:rsid w:val="00BB006F"/>
    <w:rsid w:val="00BB0081"/>
    <w:rsid w:val="00BB00C8"/>
    <w:rsid w:val="00BB00E2"/>
    <w:rsid w:val="00BB00EA"/>
    <w:rsid w:val="00BB00ED"/>
    <w:rsid w:val="00BB0193"/>
    <w:rsid w:val="00BB0198"/>
    <w:rsid w:val="00BB01C3"/>
    <w:rsid w:val="00BB01C6"/>
    <w:rsid w:val="00BB01EC"/>
    <w:rsid w:val="00BB020B"/>
    <w:rsid w:val="00BB0255"/>
    <w:rsid w:val="00BB0284"/>
    <w:rsid w:val="00BB0293"/>
    <w:rsid w:val="00BB0386"/>
    <w:rsid w:val="00BB040B"/>
    <w:rsid w:val="00BB0433"/>
    <w:rsid w:val="00BB0434"/>
    <w:rsid w:val="00BB044D"/>
    <w:rsid w:val="00BB0451"/>
    <w:rsid w:val="00BB045A"/>
    <w:rsid w:val="00BB0460"/>
    <w:rsid w:val="00BB0463"/>
    <w:rsid w:val="00BB04F5"/>
    <w:rsid w:val="00BB04F9"/>
    <w:rsid w:val="00BB04FC"/>
    <w:rsid w:val="00BB050D"/>
    <w:rsid w:val="00BB0512"/>
    <w:rsid w:val="00BB055D"/>
    <w:rsid w:val="00BB0561"/>
    <w:rsid w:val="00BB059B"/>
    <w:rsid w:val="00BB05BF"/>
    <w:rsid w:val="00BB05C0"/>
    <w:rsid w:val="00BB0670"/>
    <w:rsid w:val="00BB0689"/>
    <w:rsid w:val="00BB06A0"/>
    <w:rsid w:val="00BB06C8"/>
    <w:rsid w:val="00BB06D8"/>
    <w:rsid w:val="00BB0765"/>
    <w:rsid w:val="00BB0799"/>
    <w:rsid w:val="00BB07C2"/>
    <w:rsid w:val="00BB087D"/>
    <w:rsid w:val="00BB0883"/>
    <w:rsid w:val="00BB08D8"/>
    <w:rsid w:val="00BB08EB"/>
    <w:rsid w:val="00BB0920"/>
    <w:rsid w:val="00BB0930"/>
    <w:rsid w:val="00BB099C"/>
    <w:rsid w:val="00BB09B6"/>
    <w:rsid w:val="00BB09C9"/>
    <w:rsid w:val="00BB09CE"/>
    <w:rsid w:val="00BB0A25"/>
    <w:rsid w:val="00BB0A34"/>
    <w:rsid w:val="00BB0A6C"/>
    <w:rsid w:val="00BB0AB6"/>
    <w:rsid w:val="00BB0ABF"/>
    <w:rsid w:val="00BB0B32"/>
    <w:rsid w:val="00BB0B94"/>
    <w:rsid w:val="00BB0BA1"/>
    <w:rsid w:val="00BB0BE9"/>
    <w:rsid w:val="00BB0C01"/>
    <w:rsid w:val="00BB0C46"/>
    <w:rsid w:val="00BB0C5E"/>
    <w:rsid w:val="00BB0C6E"/>
    <w:rsid w:val="00BB0C72"/>
    <w:rsid w:val="00BB0D1F"/>
    <w:rsid w:val="00BB0D26"/>
    <w:rsid w:val="00BB0D27"/>
    <w:rsid w:val="00BB0D57"/>
    <w:rsid w:val="00BB0D8A"/>
    <w:rsid w:val="00BB0D96"/>
    <w:rsid w:val="00BB0DAE"/>
    <w:rsid w:val="00BB0DF0"/>
    <w:rsid w:val="00BB0DF2"/>
    <w:rsid w:val="00BB0E51"/>
    <w:rsid w:val="00BB0E9A"/>
    <w:rsid w:val="00BB0EAA"/>
    <w:rsid w:val="00BB0EAF"/>
    <w:rsid w:val="00BB0EBE"/>
    <w:rsid w:val="00BB0EC3"/>
    <w:rsid w:val="00BB0F73"/>
    <w:rsid w:val="00BB0F9C"/>
    <w:rsid w:val="00BB0FC2"/>
    <w:rsid w:val="00BB1003"/>
    <w:rsid w:val="00BB1018"/>
    <w:rsid w:val="00BB101B"/>
    <w:rsid w:val="00BB10A1"/>
    <w:rsid w:val="00BB10B4"/>
    <w:rsid w:val="00BB10F2"/>
    <w:rsid w:val="00BB10FC"/>
    <w:rsid w:val="00BB113A"/>
    <w:rsid w:val="00BB116E"/>
    <w:rsid w:val="00BB1193"/>
    <w:rsid w:val="00BB1197"/>
    <w:rsid w:val="00BB11D8"/>
    <w:rsid w:val="00BB123E"/>
    <w:rsid w:val="00BB1290"/>
    <w:rsid w:val="00BB12BC"/>
    <w:rsid w:val="00BB1300"/>
    <w:rsid w:val="00BB1321"/>
    <w:rsid w:val="00BB1335"/>
    <w:rsid w:val="00BB136F"/>
    <w:rsid w:val="00BB1381"/>
    <w:rsid w:val="00BB13C0"/>
    <w:rsid w:val="00BB13F4"/>
    <w:rsid w:val="00BB1480"/>
    <w:rsid w:val="00BB14A4"/>
    <w:rsid w:val="00BB14B1"/>
    <w:rsid w:val="00BB150A"/>
    <w:rsid w:val="00BB1588"/>
    <w:rsid w:val="00BB15BE"/>
    <w:rsid w:val="00BB15C3"/>
    <w:rsid w:val="00BB15C6"/>
    <w:rsid w:val="00BB15F1"/>
    <w:rsid w:val="00BB1601"/>
    <w:rsid w:val="00BB1678"/>
    <w:rsid w:val="00BB168E"/>
    <w:rsid w:val="00BB16A9"/>
    <w:rsid w:val="00BB16F5"/>
    <w:rsid w:val="00BB16FE"/>
    <w:rsid w:val="00BB179E"/>
    <w:rsid w:val="00BB1830"/>
    <w:rsid w:val="00BB18B2"/>
    <w:rsid w:val="00BB18F7"/>
    <w:rsid w:val="00BB196D"/>
    <w:rsid w:val="00BB19CD"/>
    <w:rsid w:val="00BB1A0E"/>
    <w:rsid w:val="00BB1A1C"/>
    <w:rsid w:val="00BB1A2C"/>
    <w:rsid w:val="00BB1A72"/>
    <w:rsid w:val="00BB1A7F"/>
    <w:rsid w:val="00BB1AE4"/>
    <w:rsid w:val="00BB1AE8"/>
    <w:rsid w:val="00BB1B0B"/>
    <w:rsid w:val="00BB1B55"/>
    <w:rsid w:val="00BB1B64"/>
    <w:rsid w:val="00BB1BA3"/>
    <w:rsid w:val="00BB1BC6"/>
    <w:rsid w:val="00BB1CB2"/>
    <w:rsid w:val="00BB1DB5"/>
    <w:rsid w:val="00BB1E1C"/>
    <w:rsid w:val="00BB1E79"/>
    <w:rsid w:val="00BB1F06"/>
    <w:rsid w:val="00BB1F52"/>
    <w:rsid w:val="00BB1FDC"/>
    <w:rsid w:val="00BB1FDF"/>
    <w:rsid w:val="00BB1FE3"/>
    <w:rsid w:val="00BB202A"/>
    <w:rsid w:val="00BB204D"/>
    <w:rsid w:val="00BB2112"/>
    <w:rsid w:val="00BB213B"/>
    <w:rsid w:val="00BB2142"/>
    <w:rsid w:val="00BB2189"/>
    <w:rsid w:val="00BB21ED"/>
    <w:rsid w:val="00BB2221"/>
    <w:rsid w:val="00BB22C1"/>
    <w:rsid w:val="00BB2367"/>
    <w:rsid w:val="00BB23EE"/>
    <w:rsid w:val="00BB240E"/>
    <w:rsid w:val="00BB243B"/>
    <w:rsid w:val="00BB248D"/>
    <w:rsid w:val="00BB24A2"/>
    <w:rsid w:val="00BB24A5"/>
    <w:rsid w:val="00BB24AB"/>
    <w:rsid w:val="00BB24DF"/>
    <w:rsid w:val="00BB25B7"/>
    <w:rsid w:val="00BB25E0"/>
    <w:rsid w:val="00BB25E3"/>
    <w:rsid w:val="00BB2641"/>
    <w:rsid w:val="00BB268A"/>
    <w:rsid w:val="00BB26E4"/>
    <w:rsid w:val="00BB273F"/>
    <w:rsid w:val="00BB2763"/>
    <w:rsid w:val="00BB27CC"/>
    <w:rsid w:val="00BB27FB"/>
    <w:rsid w:val="00BB2830"/>
    <w:rsid w:val="00BB294A"/>
    <w:rsid w:val="00BB295D"/>
    <w:rsid w:val="00BB2971"/>
    <w:rsid w:val="00BB298A"/>
    <w:rsid w:val="00BB2A4C"/>
    <w:rsid w:val="00BB2ABC"/>
    <w:rsid w:val="00BB2AE4"/>
    <w:rsid w:val="00BB2AF3"/>
    <w:rsid w:val="00BB2B6C"/>
    <w:rsid w:val="00BB2B77"/>
    <w:rsid w:val="00BB2B96"/>
    <w:rsid w:val="00BB2BA8"/>
    <w:rsid w:val="00BB2BE5"/>
    <w:rsid w:val="00BB2BFC"/>
    <w:rsid w:val="00BB2C31"/>
    <w:rsid w:val="00BB2C49"/>
    <w:rsid w:val="00BB2D79"/>
    <w:rsid w:val="00BB2E21"/>
    <w:rsid w:val="00BB2E37"/>
    <w:rsid w:val="00BB2E47"/>
    <w:rsid w:val="00BB2E8E"/>
    <w:rsid w:val="00BB2EAA"/>
    <w:rsid w:val="00BB2EC2"/>
    <w:rsid w:val="00BB2FD2"/>
    <w:rsid w:val="00BB301A"/>
    <w:rsid w:val="00BB30B9"/>
    <w:rsid w:val="00BB30BD"/>
    <w:rsid w:val="00BB3188"/>
    <w:rsid w:val="00BB31CC"/>
    <w:rsid w:val="00BB31F3"/>
    <w:rsid w:val="00BB3229"/>
    <w:rsid w:val="00BB3297"/>
    <w:rsid w:val="00BB3375"/>
    <w:rsid w:val="00BB339E"/>
    <w:rsid w:val="00BB33ED"/>
    <w:rsid w:val="00BB3468"/>
    <w:rsid w:val="00BB347E"/>
    <w:rsid w:val="00BB3487"/>
    <w:rsid w:val="00BB348C"/>
    <w:rsid w:val="00BB3558"/>
    <w:rsid w:val="00BB3717"/>
    <w:rsid w:val="00BB3724"/>
    <w:rsid w:val="00BB3732"/>
    <w:rsid w:val="00BB3772"/>
    <w:rsid w:val="00BB3782"/>
    <w:rsid w:val="00BB37A7"/>
    <w:rsid w:val="00BB37C0"/>
    <w:rsid w:val="00BB37DB"/>
    <w:rsid w:val="00BB386F"/>
    <w:rsid w:val="00BB38A2"/>
    <w:rsid w:val="00BB38A4"/>
    <w:rsid w:val="00BB38E9"/>
    <w:rsid w:val="00BB390B"/>
    <w:rsid w:val="00BB394F"/>
    <w:rsid w:val="00BB39C3"/>
    <w:rsid w:val="00BB39F0"/>
    <w:rsid w:val="00BB3A98"/>
    <w:rsid w:val="00BB3AD7"/>
    <w:rsid w:val="00BB3B99"/>
    <w:rsid w:val="00BB3B9E"/>
    <w:rsid w:val="00BB3BEE"/>
    <w:rsid w:val="00BB3C32"/>
    <w:rsid w:val="00BB3D0B"/>
    <w:rsid w:val="00BB3D12"/>
    <w:rsid w:val="00BB3D70"/>
    <w:rsid w:val="00BB3D75"/>
    <w:rsid w:val="00BB3D91"/>
    <w:rsid w:val="00BB3DCC"/>
    <w:rsid w:val="00BB3E35"/>
    <w:rsid w:val="00BB3F22"/>
    <w:rsid w:val="00BB3F2D"/>
    <w:rsid w:val="00BB3F60"/>
    <w:rsid w:val="00BB3F94"/>
    <w:rsid w:val="00BB3FC0"/>
    <w:rsid w:val="00BB400B"/>
    <w:rsid w:val="00BB40EC"/>
    <w:rsid w:val="00BB4130"/>
    <w:rsid w:val="00BB4153"/>
    <w:rsid w:val="00BB415C"/>
    <w:rsid w:val="00BB41A8"/>
    <w:rsid w:val="00BB4213"/>
    <w:rsid w:val="00BB4284"/>
    <w:rsid w:val="00BB42B6"/>
    <w:rsid w:val="00BB42EE"/>
    <w:rsid w:val="00BB431E"/>
    <w:rsid w:val="00BB4399"/>
    <w:rsid w:val="00BB43C6"/>
    <w:rsid w:val="00BB43D7"/>
    <w:rsid w:val="00BB4425"/>
    <w:rsid w:val="00BB4428"/>
    <w:rsid w:val="00BB451B"/>
    <w:rsid w:val="00BB4534"/>
    <w:rsid w:val="00BB4538"/>
    <w:rsid w:val="00BB4543"/>
    <w:rsid w:val="00BB454F"/>
    <w:rsid w:val="00BB4554"/>
    <w:rsid w:val="00BB4565"/>
    <w:rsid w:val="00BB4580"/>
    <w:rsid w:val="00BB4590"/>
    <w:rsid w:val="00BB45BD"/>
    <w:rsid w:val="00BB45DE"/>
    <w:rsid w:val="00BB45F4"/>
    <w:rsid w:val="00BB45FC"/>
    <w:rsid w:val="00BB468E"/>
    <w:rsid w:val="00BB4696"/>
    <w:rsid w:val="00BB46B4"/>
    <w:rsid w:val="00BB46BF"/>
    <w:rsid w:val="00BB4717"/>
    <w:rsid w:val="00BB47E7"/>
    <w:rsid w:val="00BB4815"/>
    <w:rsid w:val="00BB487A"/>
    <w:rsid w:val="00BB488A"/>
    <w:rsid w:val="00BB4891"/>
    <w:rsid w:val="00BB48E9"/>
    <w:rsid w:val="00BB4908"/>
    <w:rsid w:val="00BB4931"/>
    <w:rsid w:val="00BB4932"/>
    <w:rsid w:val="00BB49D6"/>
    <w:rsid w:val="00BB4A40"/>
    <w:rsid w:val="00BB4A5F"/>
    <w:rsid w:val="00BB4A8A"/>
    <w:rsid w:val="00BB4AA4"/>
    <w:rsid w:val="00BB4AC2"/>
    <w:rsid w:val="00BB4AC7"/>
    <w:rsid w:val="00BB4AE2"/>
    <w:rsid w:val="00BB4AEB"/>
    <w:rsid w:val="00BB4B10"/>
    <w:rsid w:val="00BB4B8B"/>
    <w:rsid w:val="00BB4BA2"/>
    <w:rsid w:val="00BB4BBC"/>
    <w:rsid w:val="00BB4BEF"/>
    <w:rsid w:val="00BB4C12"/>
    <w:rsid w:val="00BB4C6D"/>
    <w:rsid w:val="00BB4CC5"/>
    <w:rsid w:val="00BB4D45"/>
    <w:rsid w:val="00BB4D59"/>
    <w:rsid w:val="00BB4D90"/>
    <w:rsid w:val="00BB4D95"/>
    <w:rsid w:val="00BB4DA7"/>
    <w:rsid w:val="00BB4DAF"/>
    <w:rsid w:val="00BB4DB1"/>
    <w:rsid w:val="00BB4DE9"/>
    <w:rsid w:val="00BB4DEE"/>
    <w:rsid w:val="00BB4E19"/>
    <w:rsid w:val="00BB4EC9"/>
    <w:rsid w:val="00BB4ECC"/>
    <w:rsid w:val="00BB4F16"/>
    <w:rsid w:val="00BB4F2B"/>
    <w:rsid w:val="00BB4F83"/>
    <w:rsid w:val="00BB4FFC"/>
    <w:rsid w:val="00BB5027"/>
    <w:rsid w:val="00BB50A3"/>
    <w:rsid w:val="00BB50F4"/>
    <w:rsid w:val="00BB511B"/>
    <w:rsid w:val="00BB5172"/>
    <w:rsid w:val="00BB51D5"/>
    <w:rsid w:val="00BB51F0"/>
    <w:rsid w:val="00BB5221"/>
    <w:rsid w:val="00BB522C"/>
    <w:rsid w:val="00BB52B7"/>
    <w:rsid w:val="00BB52CD"/>
    <w:rsid w:val="00BB52EC"/>
    <w:rsid w:val="00BB5303"/>
    <w:rsid w:val="00BB5321"/>
    <w:rsid w:val="00BB53FB"/>
    <w:rsid w:val="00BB5409"/>
    <w:rsid w:val="00BB5475"/>
    <w:rsid w:val="00BB547F"/>
    <w:rsid w:val="00BB54B4"/>
    <w:rsid w:val="00BB5569"/>
    <w:rsid w:val="00BB5580"/>
    <w:rsid w:val="00BB55C4"/>
    <w:rsid w:val="00BB5647"/>
    <w:rsid w:val="00BB5698"/>
    <w:rsid w:val="00BB56AF"/>
    <w:rsid w:val="00BB56D7"/>
    <w:rsid w:val="00BB5792"/>
    <w:rsid w:val="00BB57FB"/>
    <w:rsid w:val="00BB5827"/>
    <w:rsid w:val="00BB582E"/>
    <w:rsid w:val="00BB583B"/>
    <w:rsid w:val="00BB5892"/>
    <w:rsid w:val="00BB5902"/>
    <w:rsid w:val="00BB5911"/>
    <w:rsid w:val="00BB5933"/>
    <w:rsid w:val="00BB594F"/>
    <w:rsid w:val="00BB59E8"/>
    <w:rsid w:val="00BB5B16"/>
    <w:rsid w:val="00BB5B32"/>
    <w:rsid w:val="00BB5BB9"/>
    <w:rsid w:val="00BB5C10"/>
    <w:rsid w:val="00BB5C35"/>
    <w:rsid w:val="00BB5C5C"/>
    <w:rsid w:val="00BB5C81"/>
    <w:rsid w:val="00BB5C98"/>
    <w:rsid w:val="00BB5D11"/>
    <w:rsid w:val="00BB5D36"/>
    <w:rsid w:val="00BB5D8C"/>
    <w:rsid w:val="00BB5E59"/>
    <w:rsid w:val="00BB5ED3"/>
    <w:rsid w:val="00BB5EE4"/>
    <w:rsid w:val="00BB5F19"/>
    <w:rsid w:val="00BB5F2D"/>
    <w:rsid w:val="00BB5F55"/>
    <w:rsid w:val="00BB5FA1"/>
    <w:rsid w:val="00BB5FB4"/>
    <w:rsid w:val="00BB5FBE"/>
    <w:rsid w:val="00BB5FD4"/>
    <w:rsid w:val="00BB5FE7"/>
    <w:rsid w:val="00BB5FED"/>
    <w:rsid w:val="00BB5FFF"/>
    <w:rsid w:val="00BB602F"/>
    <w:rsid w:val="00BB609D"/>
    <w:rsid w:val="00BB60A8"/>
    <w:rsid w:val="00BB60D0"/>
    <w:rsid w:val="00BB60E5"/>
    <w:rsid w:val="00BB6134"/>
    <w:rsid w:val="00BB6175"/>
    <w:rsid w:val="00BB618D"/>
    <w:rsid w:val="00BB61E7"/>
    <w:rsid w:val="00BB6210"/>
    <w:rsid w:val="00BB625F"/>
    <w:rsid w:val="00BB62DA"/>
    <w:rsid w:val="00BB6357"/>
    <w:rsid w:val="00BB63B8"/>
    <w:rsid w:val="00BB63E2"/>
    <w:rsid w:val="00BB63F3"/>
    <w:rsid w:val="00BB6422"/>
    <w:rsid w:val="00BB6442"/>
    <w:rsid w:val="00BB6443"/>
    <w:rsid w:val="00BB647C"/>
    <w:rsid w:val="00BB64D4"/>
    <w:rsid w:val="00BB6544"/>
    <w:rsid w:val="00BB654D"/>
    <w:rsid w:val="00BB65EA"/>
    <w:rsid w:val="00BB666E"/>
    <w:rsid w:val="00BB667B"/>
    <w:rsid w:val="00BB667E"/>
    <w:rsid w:val="00BB66A6"/>
    <w:rsid w:val="00BB66D6"/>
    <w:rsid w:val="00BB66EE"/>
    <w:rsid w:val="00BB674C"/>
    <w:rsid w:val="00BB676E"/>
    <w:rsid w:val="00BB67A7"/>
    <w:rsid w:val="00BB67AE"/>
    <w:rsid w:val="00BB68B9"/>
    <w:rsid w:val="00BB68C6"/>
    <w:rsid w:val="00BB6916"/>
    <w:rsid w:val="00BB6949"/>
    <w:rsid w:val="00BB696D"/>
    <w:rsid w:val="00BB69AC"/>
    <w:rsid w:val="00BB69BF"/>
    <w:rsid w:val="00BB69D7"/>
    <w:rsid w:val="00BB6A5C"/>
    <w:rsid w:val="00BB6A8A"/>
    <w:rsid w:val="00BB6A97"/>
    <w:rsid w:val="00BB6A98"/>
    <w:rsid w:val="00BB6AE6"/>
    <w:rsid w:val="00BB6B1E"/>
    <w:rsid w:val="00BB6B87"/>
    <w:rsid w:val="00BB6C0D"/>
    <w:rsid w:val="00BB6C37"/>
    <w:rsid w:val="00BB6C85"/>
    <w:rsid w:val="00BB6CC1"/>
    <w:rsid w:val="00BB6CF6"/>
    <w:rsid w:val="00BB6D62"/>
    <w:rsid w:val="00BB6D8A"/>
    <w:rsid w:val="00BB6DAB"/>
    <w:rsid w:val="00BB6DBA"/>
    <w:rsid w:val="00BB6DCF"/>
    <w:rsid w:val="00BB6E2E"/>
    <w:rsid w:val="00BB6EA7"/>
    <w:rsid w:val="00BB6EDB"/>
    <w:rsid w:val="00BB6F43"/>
    <w:rsid w:val="00BB6F47"/>
    <w:rsid w:val="00BB6F6C"/>
    <w:rsid w:val="00BB6F76"/>
    <w:rsid w:val="00BB6FB3"/>
    <w:rsid w:val="00BB6FC6"/>
    <w:rsid w:val="00BB6FF4"/>
    <w:rsid w:val="00BB7079"/>
    <w:rsid w:val="00BB70E2"/>
    <w:rsid w:val="00BB70F1"/>
    <w:rsid w:val="00BB70F4"/>
    <w:rsid w:val="00BB7123"/>
    <w:rsid w:val="00BB7138"/>
    <w:rsid w:val="00BB72A8"/>
    <w:rsid w:val="00BB72E9"/>
    <w:rsid w:val="00BB7358"/>
    <w:rsid w:val="00BB73B1"/>
    <w:rsid w:val="00BB73D1"/>
    <w:rsid w:val="00BB73FF"/>
    <w:rsid w:val="00BB740E"/>
    <w:rsid w:val="00BB742D"/>
    <w:rsid w:val="00BB7440"/>
    <w:rsid w:val="00BB7448"/>
    <w:rsid w:val="00BB747A"/>
    <w:rsid w:val="00BB74CE"/>
    <w:rsid w:val="00BB74E8"/>
    <w:rsid w:val="00BB74F0"/>
    <w:rsid w:val="00BB7507"/>
    <w:rsid w:val="00BB7509"/>
    <w:rsid w:val="00BB7548"/>
    <w:rsid w:val="00BB75D4"/>
    <w:rsid w:val="00BB75DF"/>
    <w:rsid w:val="00BB763B"/>
    <w:rsid w:val="00BB7682"/>
    <w:rsid w:val="00BB7698"/>
    <w:rsid w:val="00BB76A4"/>
    <w:rsid w:val="00BB76A6"/>
    <w:rsid w:val="00BB76C2"/>
    <w:rsid w:val="00BB76C8"/>
    <w:rsid w:val="00BB7700"/>
    <w:rsid w:val="00BB7762"/>
    <w:rsid w:val="00BB776B"/>
    <w:rsid w:val="00BB7782"/>
    <w:rsid w:val="00BB779D"/>
    <w:rsid w:val="00BB77FF"/>
    <w:rsid w:val="00BB783B"/>
    <w:rsid w:val="00BB7861"/>
    <w:rsid w:val="00BB7910"/>
    <w:rsid w:val="00BB797E"/>
    <w:rsid w:val="00BB79E7"/>
    <w:rsid w:val="00BB79F7"/>
    <w:rsid w:val="00BB7A16"/>
    <w:rsid w:val="00BB7A18"/>
    <w:rsid w:val="00BB7A4B"/>
    <w:rsid w:val="00BB7A51"/>
    <w:rsid w:val="00BB7AA8"/>
    <w:rsid w:val="00BB7ABB"/>
    <w:rsid w:val="00BB7ABF"/>
    <w:rsid w:val="00BB7ADC"/>
    <w:rsid w:val="00BB7BD8"/>
    <w:rsid w:val="00BB7C0B"/>
    <w:rsid w:val="00BB7C35"/>
    <w:rsid w:val="00BB7C59"/>
    <w:rsid w:val="00BB7C99"/>
    <w:rsid w:val="00BB7D04"/>
    <w:rsid w:val="00BB7D94"/>
    <w:rsid w:val="00BB7E10"/>
    <w:rsid w:val="00BB7E14"/>
    <w:rsid w:val="00BB7E49"/>
    <w:rsid w:val="00BB7E69"/>
    <w:rsid w:val="00BB7EAA"/>
    <w:rsid w:val="00BB7ED5"/>
    <w:rsid w:val="00BB7EF5"/>
    <w:rsid w:val="00BB7F50"/>
    <w:rsid w:val="00BB7F62"/>
    <w:rsid w:val="00BB7F9C"/>
    <w:rsid w:val="00BB7FB9"/>
    <w:rsid w:val="00BB7FC8"/>
    <w:rsid w:val="00BB7FEB"/>
    <w:rsid w:val="00BC0054"/>
    <w:rsid w:val="00BC0081"/>
    <w:rsid w:val="00BC008D"/>
    <w:rsid w:val="00BC0112"/>
    <w:rsid w:val="00BC012D"/>
    <w:rsid w:val="00BC014A"/>
    <w:rsid w:val="00BC014C"/>
    <w:rsid w:val="00BC018D"/>
    <w:rsid w:val="00BC01D5"/>
    <w:rsid w:val="00BC01EA"/>
    <w:rsid w:val="00BC01EB"/>
    <w:rsid w:val="00BC01EE"/>
    <w:rsid w:val="00BC0211"/>
    <w:rsid w:val="00BC024E"/>
    <w:rsid w:val="00BC0287"/>
    <w:rsid w:val="00BC02AD"/>
    <w:rsid w:val="00BC02C7"/>
    <w:rsid w:val="00BC02CE"/>
    <w:rsid w:val="00BC02D5"/>
    <w:rsid w:val="00BC03C5"/>
    <w:rsid w:val="00BC0450"/>
    <w:rsid w:val="00BC0588"/>
    <w:rsid w:val="00BC05D6"/>
    <w:rsid w:val="00BC05E1"/>
    <w:rsid w:val="00BC05F1"/>
    <w:rsid w:val="00BC062A"/>
    <w:rsid w:val="00BC0632"/>
    <w:rsid w:val="00BC0643"/>
    <w:rsid w:val="00BC066A"/>
    <w:rsid w:val="00BC068D"/>
    <w:rsid w:val="00BC06DD"/>
    <w:rsid w:val="00BC0736"/>
    <w:rsid w:val="00BC07CA"/>
    <w:rsid w:val="00BC07DA"/>
    <w:rsid w:val="00BC08B9"/>
    <w:rsid w:val="00BC08BB"/>
    <w:rsid w:val="00BC08EE"/>
    <w:rsid w:val="00BC0929"/>
    <w:rsid w:val="00BC09B2"/>
    <w:rsid w:val="00BC09BF"/>
    <w:rsid w:val="00BC09CF"/>
    <w:rsid w:val="00BC0A28"/>
    <w:rsid w:val="00BC0A2D"/>
    <w:rsid w:val="00BC0A8F"/>
    <w:rsid w:val="00BC0AD5"/>
    <w:rsid w:val="00BC0AE9"/>
    <w:rsid w:val="00BC0B34"/>
    <w:rsid w:val="00BC0B59"/>
    <w:rsid w:val="00BC0CF2"/>
    <w:rsid w:val="00BC0D07"/>
    <w:rsid w:val="00BC0D2E"/>
    <w:rsid w:val="00BC0D33"/>
    <w:rsid w:val="00BC0D60"/>
    <w:rsid w:val="00BC0D90"/>
    <w:rsid w:val="00BC0DB5"/>
    <w:rsid w:val="00BC0E04"/>
    <w:rsid w:val="00BC0E14"/>
    <w:rsid w:val="00BC0E50"/>
    <w:rsid w:val="00BC0E60"/>
    <w:rsid w:val="00BC0ECC"/>
    <w:rsid w:val="00BC0F8A"/>
    <w:rsid w:val="00BC0FF6"/>
    <w:rsid w:val="00BC103F"/>
    <w:rsid w:val="00BC1052"/>
    <w:rsid w:val="00BC1070"/>
    <w:rsid w:val="00BC107F"/>
    <w:rsid w:val="00BC1098"/>
    <w:rsid w:val="00BC10A3"/>
    <w:rsid w:val="00BC10E2"/>
    <w:rsid w:val="00BC10E4"/>
    <w:rsid w:val="00BC1116"/>
    <w:rsid w:val="00BC113D"/>
    <w:rsid w:val="00BC1195"/>
    <w:rsid w:val="00BC11B9"/>
    <w:rsid w:val="00BC11CF"/>
    <w:rsid w:val="00BC120A"/>
    <w:rsid w:val="00BC121F"/>
    <w:rsid w:val="00BC1229"/>
    <w:rsid w:val="00BC12AC"/>
    <w:rsid w:val="00BC1326"/>
    <w:rsid w:val="00BC13F0"/>
    <w:rsid w:val="00BC1411"/>
    <w:rsid w:val="00BC1415"/>
    <w:rsid w:val="00BC1419"/>
    <w:rsid w:val="00BC1427"/>
    <w:rsid w:val="00BC1436"/>
    <w:rsid w:val="00BC152C"/>
    <w:rsid w:val="00BC154C"/>
    <w:rsid w:val="00BC157D"/>
    <w:rsid w:val="00BC15C8"/>
    <w:rsid w:val="00BC1659"/>
    <w:rsid w:val="00BC168C"/>
    <w:rsid w:val="00BC16A5"/>
    <w:rsid w:val="00BC16C3"/>
    <w:rsid w:val="00BC16F0"/>
    <w:rsid w:val="00BC175D"/>
    <w:rsid w:val="00BC1800"/>
    <w:rsid w:val="00BC1805"/>
    <w:rsid w:val="00BC1810"/>
    <w:rsid w:val="00BC1829"/>
    <w:rsid w:val="00BC1876"/>
    <w:rsid w:val="00BC189B"/>
    <w:rsid w:val="00BC190D"/>
    <w:rsid w:val="00BC1978"/>
    <w:rsid w:val="00BC19E9"/>
    <w:rsid w:val="00BC1A12"/>
    <w:rsid w:val="00BC1A4F"/>
    <w:rsid w:val="00BC1AC5"/>
    <w:rsid w:val="00BC1AE0"/>
    <w:rsid w:val="00BC1B2C"/>
    <w:rsid w:val="00BC1B4A"/>
    <w:rsid w:val="00BC1B63"/>
    <w:rsid w:val="00BC1B6E"/>
    <w:rsid w:val="00BC1B98"/>
    <w:rsid w:val="00BC1BD6"/>
    <w:rsid w:val="00BC1C31"/>
    <w:rsid w:val="00BC1C69"/>
    <w:rsid w:val="00BC1C9E"/>
    <w:rsid w:val="00BC1D43"/>
    <w:rsid w:val="00BC1D44"/>
    <w:rsid w:val="00BC1DDD"/>
    <w:rsid w:val="00BC1E05"/>
    <w:rsid w:val="00BC1E09"/>
    <w:rsid w:val="00BC1E32"/>
    <w:rsid w:val="00BC1E56"/>
    <w:rsid w:val="00BC1E70"/>
    <w:rsid w:val="00BC1F08"/>
    <w:rsid w:val="00BC1F20"/>
    <w:rsid w:val="00BC1F5B"/>
    <w:rsid w:val="00BC1F97"/>
    <w:rsid w:val="00BC1FBD"/>
    <w:rsid w:val="00BC1FBE"/>
    <w:rsid w:val="00BC1FCD"/>
    <w:rsid w:val="00BC1FFA"/>
    <w:rsid w:val="00BC2073"/>
    <w:rsid w:val="00BC20BA"/>
    <w:rsid w:val="00BC2128"/>
    <w:rsid w:val="00BC2178"/>
    <w:rsid w:val="00BC21E3"/>
    <w:rsid w:val="00BC2206"/>
    <w:rsid w:val="00BC221E"/>
    <w:rsid w:val="00BC22BC"/>
    <w:rsid w:val="00BC235E"/>
    <w:rsid w:val="00BC2407"/>
    <w:rsid w:val="00BC24DF"/>
    <w:rsid w:val="00BC2591"/>
    <w:rsid w:val="00BC2592"/>
    <w:rsid w:val="00BC262E"/>
    <w:rsid w:val="00BC2674"/>
    <w:rsid w:val="00BC2693"/>
    <w:rsid w:val="00BC26F0"/>
    <w:rsid w:val="00BC273D"/>
    <w:rsid w:val="00BC2756"/>
    <w:rsid w:val="00BC27EA"/>
    <w:rsid w:val="00BC2807"/>
    <w:rsid w:val="00BC2868"/>
    <w:rsid w:val="00BC28B3"/>
    <w:rsid w:val="00BC28B7"/>
    <w:rsid w:val="00BC28D3"/>
    <w:rsid w:val="00BC293A"/>
    <w:rsid w:val="00BC2947"/>
    <w:rsid w:val="00BC29C5"/>
    <w:rsid w:val="00BC29CF"/>
    <w:rsid w:val="00BC29EB"/>
    <w:rsid w:val="00BC2A4E"/>
    <w:rsid w:val="00BC2A81"/>
    <w:rsid w:val="00BC2AA6"/>
    <w:rsid w:val="00BC2ABF"/>
    <w:rsid w:val="00BC2AEA"/>
    <w:rsid w:val="00BC2B3A"/>
    <w:rsid w:val="00BC2BDB"/>
    <w:rsid w:val="00BC2C39"/>
    <w:rsid w:val="00BC2C69"/>
    <w:rsid w:val="00BC2C6A"/>
    <w:rsid w:val="00BC2D5B"/>
    <w:rsid w:val="00BC2D75"/>
    <w:rsid w:val="00BC2D9A"/>
    <w:rsid w:val="00BC2E29"/>
    <w:rsid w:val="00BC2E70"/>
    <w:rsid w:val="00BC2EA9"/>
    <w:rsid w:val="00BC2EC4"/>
    <w:rsid w:val="00BC2ECC"/>
    <w:rsid w:val="00BC2F6C"/>
    <w:rsid w:val="00BC2FF2"/>
    <w:rsid w:val="00BC300D"/>
    <w:rsid w:val="00BC3094"/>
    <w:rsid w:val="00BC31C2"/>
    <w:rsid w:val="00BC31DB"/>
    <w:rsid w:val="00BC3213"/>
    <w:rsid w:val="00BC3225"/>
    <w:rsid w:val="00BC32FD"/>
    <w:rsid w:val="00BC3309"/>
    <w:rsid w:val="00BC332E"/>
    <w:rsid w:val="00BC3347"/>
    <w:rsid w:val="00BC337B"/>
    <w:rsid w:val="00BC338A"/>
    <w:rsid w:val="00BC33E8"/>
    <w:rsid w:val="00BC34CB"/>
    <w:rsid w:val="00BC34E6"/>
    <w:rsid w:val="00BC3586"/>
    <w:rsid w:val="00BC3592"/>
    <w:rsid w:val="00BC35B8"/>
    <w:rsid w:val="00BC3644"/>
    <w:rsid w:val="00BC3691"/>
    <w:rsid w:val="00BC3756"/>
    <w:rsid w:val="00BC3758"/>
    <w:rsid w:val="00BC3801"/>
    <w:rsid w:val="00BC3809"/>
    <w:rsid w:val="00BC380D"/>
    <w:rsid w:val="00BC3882"/>
    <w:rsid w:val="00BC38A6"/>
    <w:rsid w:val="00BC38CC"/>
    <w:rsid w:val="00BC38DC"/>
    <w:rsid w:val="00BC396A"/>
    <w:rsid w:val="00BC3990"/>
    <w:rsid w:val="00BC3993"/>
    <w:rsid w:val="00BC3999"/>
    <w:rsid w:val="00BC399D"/>
    <w:rsid w:val="00BC39AF"/>
    <w:rsid w:val="00BC39B7"/>
    <w:rsid w:val="00BC3A56"/>
    <w:rsid w:val="00BC3AB9"/>
    <w:rsid w:val="00BC3B81"/>
    <w:rsid w:val="00BC3B9B"/>
    <w:rsid w:val="00BC3C26"/>
    <w:rsid w:val="00BC3C39"/>
    <w:rsid w:val="00BC3D10"/>
    <w:rsid w:val="00BC3D37"/>
    <w:rsid w:val="00BC3E0C"/>
    <w:rsid w:val="00BC3E77"/>
    <w:rsid w:val="00BC3ECE"/>
    <w:rsid w:val="00BC3EF8"/>
    <w:rsid w:val="00BC3F37"/>
    <w:rsid w:val="00BC3F4F"/>
    <w:rsid w:val="00BC3F5C"/>
    <w:rsid w:val="00BC3F7D"/>
    <w:rsid w:val="00BC3F91"/>
    <w:rsid w:val="00BC3F95"/>
    <w:rsid w:val="00BC3FC1"/>
    <w:rsid w:val="00BC3FC6"/>
    <w:rsid w:val="00BC4016"/>
    <w:rsid w:val="00BC407D"/>
    <w:rsid w:val="00BC4087"/>
    <w:rsid w:val="00BC4099"/>
    <w:rsid w:val="00BC40E1"/>
    <w:rsid w:val="00BC40EF"/>
    <w:rsid w:val="00BC4101"/>
    <w:rsid w:val="00BC4177"/>
    <w:rsid w:val="00BC4191"/>
    <w:rsid w:val="00BC41D1"/>
    <w:rsid w:val="00BC41E4"/>
    <w:rsid w:val="00BC41E7"/>
    <w:rsid w:val="00BC422D"/>
    <w:rsid w:val="00BC4233"/>
    <w:rsid w:val="00BC42F3"/>
    <w:rsid w:val="00BC4340"/>
    <w:rsid w:val="00BC4352"/>
    <w:rsid w:val="00BC439B"/>
    <w:rsid w:val="00BC43D6"/>
    <w:rsid w:val="00BC43E5"/>
    <w:rsid w:val="00BC444E"/>
    <w:rsid w:val="00BC448E"/>
    <w:rsid w:val="00BC44E3"/>
    <w:rsid w:val="00BC4500"/>
    <w:rsid w:val="00BC451A"/>
    <w:rsid w:val="00BC452E"/>
    <w:rsid w:val="00BC4540"/>
    <w:rsid w:val="00BC45A2"/>
    <w:rsid w:val="00BC4628"/>
    <w:rsid w:val="00BC464D"/>
    <w:rsid w:val="00BC46A0"/>
    <w:rsid w:val="00BC46AC"/>
    <w:rsid w:val="00BC46F8"/>
    <w:rsid w:val="00BC4710"/>
    <w:rsid w:val="00BC471C"/>
    <w:rsid w:val="00BC476D"/>
    <w:rsid w:val="00BC47C2"/>
    <w:rsid w:val="00BC4805"/>
    <w:rsid w:val="00BC4824"/>
    <w:rsid w:val="00BC4859"/>
    <w:rsid w:val="00BC4873"/>
    <w:rsid w:val="00BC489D"/>
    <w:rsid w:val="00BC48CC"/>
    <w:rsid w:val="00BC48D9"/>
    <w:rsid w:val="00BC4909"/>
    <w:rsid w:val="00BC492D"/>
    <w:rsid w:val="00BC495A"/>
    <w:rsid w:val="00BC4969"/>
    <w:rsid w:val="00BC4994"/>
    <w:rsid w:val="00BC49EE"/>
    <w:rsid w:val="00BC4A12"/>
    <w:rsid w:val="00BC4A22"/>
    <w:rsid w:val="00BC4A7E"/>
    <w:rsid w:val="00BC4AC0"/>
    <w:rsid w:val="00BC4B11"/>
    <w:rsid w:val="00BC4B34"/>
    <w:rsid w:val="00BC4B50"/>
    <w:rsid w:val="00BC4C22"/>
    <w:rsid w:val="00BC4C6A"/>
    <w:rsid w:val="00BC4CE7"/>
    <w:rsid w:val="00BC4D35"/>
    <w:rsid w:val="00BC4D55"/>
    <w:rsid w:val="00BC4D6A"/>
    <w:rsid w:val="00BC4DB9"/>
    <w:rsid w:val="00BC4DE8"/>
    <w:rsid w:val="00BC4E23"/>
    <w:rsid w:val="00BC4EBE"/>
    <w:rsid w:val="00BC4EE2"/>
    <w:rsid w:val="00BC4EF7"/>
    <w:rsid w:val="00BC4F0B"/>
    <w:rsid w:val="00BC4F5A"/>
    <w:rsid w:val="00BC5000"/>
    <w:rsid w:val="00BC503D"/>
    <w:rsid w:val="00BC50A7"/>
    <w:rsid w:val="00BC51F5"/>
    <w:rsid w:val="00BC522C"/>
    <w:rsid w:val="00BC5236"/>
    <w:rsid w:val="00BC5301"/>
    <w:rsid w:val="00BC53E3"/>
    <w:rsid w:val="00BC5455"/>
    <w:rsid w:val="00BC5479"/>
    <w:rsid w:val="00BC549E"/>
    <w:rsid w:val="00BC54A1"/>
    <w:rsid w:val="00BC54E7"/>
    <w:rsid w:val="00BC5516"/>
    <w:rsid w:val="00BC552A"/>
    <w:rsid w:val="00BC5597"/>
    <w:rsid w:val="00BC55B0"/>
    <w:rsid w:val="00BC55C8"/>
    <w:rsid w:val="00BC56BD"/>
    <w:rsid w:val="00BC5709"/>
    <w:rsid w:val="00BC5738"/>
    <w:rsid w:val="00BC576E"/>
    <w:rsid w:val="00BC5790"/>
    <w:rsid w:val="00BC57DE"/>
    <w:rsid w:val="00BC57DF"/>
    <w:rsid w:val="00BC580D"/>
    <w:rsid w:val="00BC58EE"/>
    <w:rsid w:val="00BC58F6"/>
    <w:rsid w:val="00BC58FC"/>
    <w:rsid w:val="00BC5909"/>
    <w:rsid w:val="00BC594B"/>
    <w:rsid w:val="00BC5962"/>
    <w:rsid w:val="00BC5995"/>
    <w:rsid w:val="00BC5B1A"/>
    <w:rsid w:val="00BC5B75"/>
    <w:rsid w:val="00BC5B84"/>
    <w:rsid w:val="00BC5BB1"/>
    <w:rsid w:val="00BC5BC2"/>
    <w:rsid w:val="00BC5C42"/>
    <w:rsid w:val="00BC5CC0"/>
    <w:rsid w:val="00BC5CC5"/>
    <w:rsid w:val="00BC5CD6"/>
    <w:rsid w:val="00BC5CF2"/>
    <w:rsid w:val="00BC5D24"/>
    <w:rsid w:val="00BC5D41"/>
    <w:rsid w:val="00BC5DF2"/>
    <w:rsid w:val="00BC5E3D"/>
    <w:rsid w:val="00BC5E9E"/>
    <w:rsid w:val="00BC5EAC"/>
    <w:rsid w:val="00BC5EC6"/>
    <w:rsid w:val="00BC5F3A"/>
    <w:rsid w:val="00BC5F5E"/>
    <w:rsid w:val="00BC5F61"/>
    <w:rsid w:val="00BC5F74"/>
    <w:rsid w:val="00BC6068"/>
    <w:rsid w:val="00BC60A1"/>
    <w:rsid w:val="00BC60C6"/>
    <w:rsid w:val="00BC61A0"/>
    <w:rsid w:val="00BC6202"/>
    <w:rsid w:val="00BC623D"/>
    <w:rsid w:val="00BC627E"/>
    <w:rsid w:val="00BC62D6"/>
    <w:rsid w:val="00BC6310"/>
    <w:rsid w:val="00BC6316"/>
    <w:rsid w:val="00BC6447"/>
    <w:rsid w:val="00BC648E"/>
    <w:rsid w:val="00BC6522"/>
    <w:rsid w:val="00BC6592"/>
    <w:rsid w:val="00BC65C5"/>
    <w:rsid w:val="00BC65FE"/>
    <w:rsid w:val="00BC66E8"/>
    <w:rsid w:val="00BC66FA"/>
    <w:rsid w:val="00BC6700"/>
    <w:rsid w:val="00BC670C"/>
    <w:rsid w:val="00BC6711"/>
    <w:rsid w:val="00BC67BD"/>
    <w:rsid w:val="00BC67F7"/>
    <w:rsid w:val="00BC68D4"/>
    <w:rsid w:val="00BC68D9"/>
    <w:rsid w:val="00BC68EB"/>
    <w:rsid w:val="00BC68F6"/>
    <w:rsid w:val="00BC6914"/>
    <w:rsid w:val="00BC69A3"/>
    <w:rsid w:val="00BC6A2E"/>
    <w:rsid w:val="00BC6A47"/>
    <w:rsid w:val="00BC6A5E"/>
    <w:rsid w:val="00BC6AEE"/>
    <w:rsid w:val="00BC6B5D"/>
    <w:rsid w:val="00BC6B62"/>
    <w:rsid w:val="00BC6BE3"/>
    <w:rsid w:val="00BC6CF4"/>
    <w:rsid w:val="00BC6CFC"/>
    <w:rsid w:val="00BC6D1F"/>
    <w:rsid w:val="00BC6D45"/>
    <w:rsid w:val="00BC6D8B"/>
    <w:rsid w:val="00BC6DA8"/>
    <w:rsid w:val="00BC6E0A"/>
    <w:rsid w:val="00BC6E27"/>
    <w:rsid w:val="00BC6E47"/>
    <w:rsid w:val="00BC6EAF"/>
    <w:rsid w:val="00BC6EB3"/>
    <w:rsid w:val="00BC6EC5"/>
    <w:rsid w:val="00BC6FCF"/>
    <w:rsid w:val="00BC700F"/>
    <w:rsid w:val="00BC7026"/>
    <w:rsid w:val="00BC70C0"/>
    <w:rsid w:val="00BC70F1"/>
    <w:rsid w:val="00BC710E"/>
    <w:rsid w:val="00BC7164"/>
    <w:rsid w:val="00BC722B"/>
    <w:rsid w:val="00BC7234"/>
    <w:rsid w:val="00BC7274"/>
    <w:rsid w:val="00BC728A"/>
    <w:rsid w:val="00BC7325"/>
    <w:rsid w:val="00BC7349"/>
    <w:rsid w:val="00BC7366"/>
    <w:rsid w:val="00BC7386"/>
    <w:rsid w:val="00BC73AC"/>
    <w:rsid w:val="00BC73E4"/>
    <w:rsid w:val="00BC740A"/>
    <w:rsid w:val="00BC74DA"/>
    <w:rsid w:val="00BC74E6"/>
    <w:rsid w:val="00BC7525"/>
    <w:rsid w:val="00BC752F"/>
    <w:rsid w:val="00BC757A"/>
    <w:rsid w:val="00BC7584"/>
    <w:rsid w:val="00BC7595"/>
    <w:rsid w:val="00BC75D1"/>
    <w:rsid w:val="00BC7603"/>
    <w:rsid w:val="00BC761F"/>
    <w:rsid w:val="00BC7623"/>
    <w:rsid w:val="00BC7634"/>
    <w:rsid w:val="00BC7777"/>
    <w:rsid w:val="00BC7975"/>
    <w:rsid w:val="00BC7999"/>
    <w:rsid w:val="00BC79A3"/>
    <w:rsid w:val="00BC79D4"/>
    <w:rsid w:val="00BC79D7"/>
    <w:rsid w:val="00BC79E3"/>
    <w:rsid w:val="00BC7AB9"/>
    <w:rsid w:val="00BC7AD1"/>
    <w:rsid w:val="00BC7B5B"/>
    <w:rsid w:val="00BC7BBA"/>
    <w:rsid w:val="00BC7C4D"/>
    <w:rsid w:val="00BC7CBE"/>
    <w:rsid w:val="00BC7CDE"/>
    <w:rsid w:val="00BC7D0A"/>
    <w:rsid w:val="00BC7D39"/>
    <w:rsid w:val="00BC7D71"/>
    <w:rsid w:val="00BC7D7C"/>
    <w:rsid w:val="00BC7DBD"/>
    <w:rsid w:val="00BC7DED"/>
    <w:rsid w:val="00BC7E71"/>
    <w:rsid w:val="00BC7E84"/>
    <w:rsid w:val="00BC7ED0"/>
    <w:rsid w:val="00BC7F21"/>
    <w:rsid w:val="00BC7F73"/>
    <w:rsid w:val="00BC7F8F"/>
    <w:rsid w:val="00BC7FC0"/>
    <w:rsid w:val="00BC7FC3"/>
    <w:rsid w:val="00BC7FDF"/>
    <w:rsid w:val="00BD001D"/>
    <w:rsid w:val="00BD005D"/>
    <w:rsid w:val="00BD006B"/>
    <w:rsid w:val="00BD00C3"/>
    <w:rsid w:val="00BD0167"/>
    <w:rsid w:val="00BD019D"/>
    <w:rsid w:val="00BD019E"/>
    <w:rsid w:val="00BD01C7"/>
    <w:rsid w:val="00BD02E2"/>
    <w:rsid w:val="00BD0350"/>
    <w:rsid w:val="00BD0351"/>
    <w:rsid w:val="00BD03B0"/>
    <w:rsid w:val="00BD040E"/>
    <w:rsid w:val="00BD046A"/>
    <w:rsid w:val="00BD0494"/>
    <w:rsid w:val="00BD04C4"/>
    <w:rsid w:val="00BD04ED"/>
    <w:rsid w:val="00BD0501"/>
    <w:rsid w:val="00BD0571"/>
    <w:rsid w:val="00BD058C"/>
    <w:rsid w:val="00BD066F"/>
    <w:rsid w:val="00BD0687"/>
    <w:rsid w:val="00BD06E0"/>
    <w:rsid w:val="00BD0709"/>
    <w:rsid w:val="00BD070F"/>
    <w:rsid w:val="00BD075C"/>
    <w:rsid w:val="00BD077B"/>
    <w:rsid w:val="00BD078F"/>
    <w:rsid w:val="00BD0806"/>
    <w:rsid w:val="00BD0838"/>
    <w:rsid w:val="00BD08AD"/>
    <w:rsid w:val="00BD092B"/>
    <w:rsid w:val="00BD094E"/>
    <w:rsid w:val="00BD096B"/>
    <w:rsid w:val="00BD09DE"/>
    <w:rsid w:val="00BD0A2D"/>
    <w:rsid w:val="00BD0AAB"/>
    <w:rsid w:val="00BD0AC7"/>
    <w:rsid w:val="00BD0B13"/>
    <w:rsid w:val="00BD0B1E"/>
    <w:rsid w:val="00BD0B82"/>
    <w:rsid w:val="00BD0B84"/>
    <w:rsid w:val="00BD0B8E"/>
    <w:rsid w:val="00BD0C79"/>
    <w:rsid w:val="00BD0D00"/>
    <w:rsid w:val="00BD0D03"/>
    <w:rsid w:val="00BD0D34"/>
    <w:rsid w:val="00BD0D6C"/>
    <w:rsid w:val="00BD0DCD"/>
    <w:rsid w:val="00BD0DFE"/>
    <w:rsid w:val="00BD0E08"/>
    <w:rsid w:val="00BD0E55"/>
    <w:rsid w:val="00BD0E73"/>
    <w:rsid w:val="00BD0E9D"/>
    <w:rsid w:val="00BD0F10"/>
    <w:rsid w:val="00BD0F22"/>
    <w:rsid w:val="00BD0F37"/>
    <w:rsid w:val="00BD0F66"/>
    <w:rsid w:val="00BD0F8A"/>
    <w:rsid w:val="00BD0FA6"/>
    <w:rsid w:val="00BD0FE3"/>
    <w:rsid w:val="00BD1003"/>
    <w:rsid w:val="00BD101C"/>
    <w:rsid w:val="00BD1026"/>
    <w:rsid w:val="00BD103E"/>
    <w:rsid w:val="00BD1097"/>
    <w:rsid w:val="00BD10A2"/>
    <w:rsid w:val="00BD10C1"/>
    <w:rsid w:val="00BD10CB"/>
    <w:rsid w:val="00BD10D8"/>
    <w:rsid w:val="00BD1100"/>
    <w:rsid w:val="00BD111A"/>
    <w:rsid w:val="00BD1158"/>
    <w:rsid w:val="00BD125B"/>
    <w:rsid w:val="00BD1284"/>
    <w:rsid w:val="00BD128F"/>
    <w:rsid w:val="00BD12A2"/>
    <w:rsid w:val="00BD12C9"/>
    <w:rsid w:val="00BD12D2"/>
    <w:rsid w:val="00BD1300"/>
    <w:rsid w:val="00BD1320"/>
    <w:rsid w:val="00BD13A9"/>
    <w:rsid w:val="00BD13BF"/>
    <w:rsid w:val="00BD13E5"/>
    <w:rsid w:val="00BD141A"/>
    <w:rsid w:val="00BD1479"/>
    <w:rsid w:val="00BD1494"/>
    <w:rsid w:val="00BD1597"/>
    <w:rsid w:val="00BD15A3"/>
    <w:rsid w:val="00BD15BE"/>
    <w:rsid w:val="00BD15D8"/>
    <w:rsid w:val="00BD15DB"/>
    <w:rsid w:val="00BD1618"/>
    <w:rsid w:val="00BD173C"/>
    <w:rsid w:val="00BD1805"/>
    <w:rsid w:val="00BD1859"/>
    <w:rsid w:val="00BD19EF"/>
    <w:rsid w:val="00BD1A02"/>
    <w:rsid w:val="00BD1A3E"/>
    <w:rsid w:val="00BD1AC2"/>
    <w:rsid w:val="00BD1ACA"/>
    <w:rsid w:val="00BD1B29"/>
    <w:rsid w:val="00BD1B8D"/>
    <w:rsid w:val="00BD1C23"/>
    <w:rsid w:val="00BD1C28"/>
    <w:rsid w:val="00BD1C90"/>
    <w:rsid w:val="00BD1CDA"/>
    <w:rsid w:val="00BD1D0E"/>
    <w:rsid w:val="00BD1D42"/>
    <w:rsid w:val="00BD1D8A"/>
    <w:rsid w:val="00BD1DCE"/>
    <w:rsid w:val="00BD1E94"/>
    <w:rsid w:val="00BD1ECC"/>
    <w:rsid w:val="00BD1F5E"/>
    <w:rsid w:val="00BD1F76"/>
    <w:rsid w:val="00BD2004"/>
    <w:rsid w:val="00BD2012"/>
    <w:rsid w:val="00BD203F"/>
    <w:rsid w:val="00BD204D"/>
    <w:rsid w:val="00BD2119"/>
    <w:rsid w:val="00BD21E2"/>
    <w:rsid w:val="00BD2241"/>
    <w:rsid w:val="00BD2256"/>
    <w:rsid w:val="00BD22A1"/>
    <w:rsid w:val="00BD22D4"/>
    <w:rsid w:val="00BD235A"/>
    <w:rsid w:val="00BD237C"/>
    <w:rsid w:val="00BD2396"/>
    <w:rsid w:val="00BD23CF"/>
    <w:rsid w:val="00BD23E6"/>
    <w:rsid w:val="00BD23FF"/>
    <w:rsid w:val="00BD241A"/>
    <w:rsid w:val="00BD2443"/>
    <w:rsid w:val="00BD247B"/>
    <w:rsid w:val="00BD247C"/>
    <w:rsid w:val="00BD24C6"/>
    <w:rsid w:val="00BD24D4"/>
    <w:rsid w:val="00BD24F1"/>
    <w:rsid w:val="00BD254A"/>
    <w:rsid w:val="00BD255C"/>
    <w:rsid w:val="00BD2561"/>
    <w:rsid w:val="00BD2565"/>
    <w:rsid w:val="00BD257A"/>
    <w:rsid w:val="00BD2598"/>
    <w:rsid w:val="00BD264C"/>
    <w:rsid w:val="00BD26AC"/>
    <w:rsid w:val="00BD26FD"/>
    <w:rsid w:val="00BD2715"/>
    <w:rsid w:val="00BD2748"/>
    <w:rsid w:val="00BD2767"/>
    <w:rsid w:val="00BD2768"/>
    <w:rsid w:val="00BD2788"/>
    <w:rsid w:val="00BD27CF"/>
    <w:rsid w:val="00BD27D8"/>
    <w:rsid w:val="00BD28D3"/>
    <w:rsid w:val="00BD293D"/>
    <w:rsid w:val="00BD2956"/>
    <w:rsid w:val="00BD295B"/>
    <w:rsid w:val="00BD2998"/>
    <w:rsid w:val="00BD29F5"/>
    <w:rsid w:val="00BD2A14"/>
    <w:rsid w:val="00BD2A1E"/>
    <w:rsid w:val="00BD2A67"/>
    <w:rsid w:val="00BD2AF2"/>
    <w:rsid w:val="00BD2B55"/>
    <w:rsid w:val="00BD2B7C"/>
    <w:rsid w:val="00BD2B8A"/>
    <w:rsid w:val="00BD2BA2"/>
    <w:rsid w:val="00BD2C1D"/>
    <w:rsid w:val="00BD2C1E"/>
    <w:rsid w:val="00BD2CFB"/>
    <w:rsid w:val="00BD2D0E"/>
    <w:rsid w:val="00BD2D99"/>
    <w:rsid w:val="00BD2DBF"/>
    <w:rsid w:val="00BD2DF8"/>
    <w:rsid w:val="00BD2E02"/>
    <w:rsid w:val="00BD2E77"/>
    <w:rsid w:val="00BD2E91"/>
    <w:rsid w:val="00BD2EBF"/>
    <w:rsid w:val="00BD2F79"/>
    <w:rsid w:val="00BD303D"/>
    <w:rsid w:val="00BD30CB"/>
    <w:rsid w:val="00BD30EA"/>
    <w:rsid w:val="00BD3164"/>
    <w:rsid w:val="00BD3168"/>
    <w:rsid w:val="00BD3178"/>
    <w:rsid w:val="00BD318D"/>
    <w:rsid w:val="00BD31B6"/>
    <w:rsid w:val="00BD31EF"/>
    <w:rsid w:val="00BD322C"/>
    <w:rsid w:val="00BD32FB"/>
    <w:rsid w:val="00BD332B"/>
    <w:rsid w:val="00BD3364"/>
    <w:rsid w:val="00BD3378"/>
    <w:rsid w:val="00BD33AF"/>
    <w:rsid w:val="00BD33CA"/>
    <w:rsid w:val="00BD33CB"/>
    <w:rsid w:val="00BD3401"/>
    <w:rsid w:val="00BD3469"/>
    <w:rsid w:val="00BD3476"/>
    <w:rsid w:val="00BD3481"/>
    <w:rsid w:val="00BD34A4"/>
    <w:rsid w:val="00BD3506"/>
    <w:rsid w:val="00BD3526"/>
    <w:rsid w:val="00BD3530"/>
    <w:rsid w:val="00BD35BC"/>
    <w:rsid w:val="00BD35F6"/>
    <w:rsid w:val="00BD3644"/>
    <w:rsid w:val="00BD3656"/>
    <w:rsid w:val="00BD3760"/>
    <w:rsid w:val="00BD3768"/>
    <w:rsid w:val="00BD3839"/>
    <w:rsid w:val="00BD3841"/>
    <w:rsid w:val="00BD3859"/>
    <w:rsid w:val="00BD38CF"/>
    <w:rsid w:val="00BD3919"/>
    <w:rsid w:val="00BD399A"/>
    <w:rsid w:val="00BD399D"/>
    <w:rsid w:val="00BD39CD"/>
    <w:rsid w:val="00BD39E8"/>
    <w:rsid w:val="00BD3A19"/>
    <w:rsid w:val="00BD3A44"/>
    <w:rsid w:val="00BD3AAE"/>
    <w:rsid w:val="00BD3B7A"/>
    <w:rsid w:val="00BD3BB4"/>
    <w:rsid w:val="00BD3BD2"/>
    <w:rsid w:val="00BD3BF7"/>
    <w:rsid w:val="00BD3C06"/>
    <w:rsid w:val="00BD3C0E"/>
    <w:rsid w:val="00BD3C1B"/>
    <w:rsid w:val="00BD3C5F"/>
    <w:rsid w:val="00BD3C76"/>
    <w:rsid w:val="00BD3D3E"/>
    <w:rsid w:val="00BD3D63"/>
    <w:rsid w:val="00BD3D6E"/>
    <w:rsid w:val="00BD3DDC"/>
    <w:rsid w:val="00BD3F35"/>
    <w:rsid w:val="00BD3FB2"/>
    <w:rsid w:val="00BD3FBC"/>
    <w:rsid w:val="00BD3FC3"/>
    <w:rsid w:val="00BD3FD3"/>
    <w:rsid w:val="00BD40B6"/>
    <w:rsid w:val="00BD4140"/>
    <w:rsid w:val="00BD4142"/>
    <w:rsid w:val="00BD416E"/>
    <w:rsid w:val="00BD417B"/>
    <w:rsid w:val="00BD41D2"/>
    <w:rsid w:val="00BD423A"/>
    <w:rsid w:val="00BD4243"/>
    <w:rsid w:val="00BD424B"/>
    <w:rsid w:val="00BD4263"/>
    <w:rsid w:val="00BD42B5"/>
    <w:rsid w:val="00BD4308"/>
    <w:rsid w:val="00BD43DF"/>
    <w:rsid w:val="00BD440D"/>
    <w:rsid w:val="00BD4419"/>
    <w:rsid w:val="00BD4455"/>
    <w:rsid w:val="00BD4495"/>
    <w:rsid w:val="00BD44A2"/>
    <w:rsid w:val="00BD44E1"/>
    <w:rsid w:val="00BD44EE"/>
    <w:rsid w:val="00BD4500"/>
    <w:rsid w:val="00BD4568"/>
    <w:rsid w:val="00BD4622"/>
    <w:rsid w:val="00BD467A"/>
    <w:rsid w:val="00BD467F"/>
    <w:rsid w:val="00BD4684"/>
    <w:rsid w:val="00BD4701"/>
    <w:rsid w:val="00BD471D"/>
    <w:rsid w:val="00BD4806"/>
    <w:rsid w:val="00BD480F"/>
    <w:rsid w:val="00BD4879"/>
    <w:rsid w:val="00BD4880"/>
    <w:rsid w:val="00BD4884"/>
    <w:rsid w:val="00BD4902"/>
    <w:rsid w:val="00BD4912"/>
    <w:rsid w:val="00BD4922"/>
    <w:rsid w:val="00BD4927"/>
    <w:rsid w:val="00BD4963"/>
    <w:rsid w:val="00BD497B"/>
    <w:rsid w:val="00BD4A02"/>
    <w:rsid w:val="00BD4A32"/>
    <w:rsid w:val="00BD4B0C"/>
    <w:rsid w:val="00BD4B49"/>
    <w:rsid w:val="00BD4B68"/>
    <w:rsid w:val="00BD4B88"/>
    <w:rsid w:val="00BD4BC8"/>
    <w:rsid w:val="00BD4C0F"/>
    <w:rsid w:val="00BD4C5B"/>
    <w:rsid w:val="00BD4C86"/>
    <w:rsid w:val="00BD4CA7"/>
    <w:rsid w:val="00BD4CC8"/>
    <w:rsid w:val="00BD4CF0"/>
    <w:rsid w:val="00BD4D06"/>
    <w:rsid w:val="00BD4D2A"/>
    <w:rsid w:val="00BD4D4F"/>
    <w:rsid w:val="00BD4D57"/>
    <w:rsid w:val="00BD4E41"/>
    <w:rsid w:val="00BD4E4E"/>
    <w:rsid w:val="00BD4E98"/>
    <w:rsid w:val="00BD4EA0"/>
    <w:rsid w:val="00BD4EA3"/>
    <w:rsid w:val="00BD4EDB"/>
    <w:rsid w:val="00BD4F2C"/>
    <w:rsid w:val="00BD4F2F"/>
    <w:rsid w:val="00BD4FCE"/>
    <w:rsid w:val="00BD4FD4"/>
    <w:rsid w:val="00BD4FEB"/>
    <w:rsid w:val="00BD4FFB"/>
    <w:rsid w:val="00BD5004"/>
    <w:rsid w:val="00BD5041"/>
    <w:rsid w:val="00BD50BA"/>
    <w:rsid w:val="00BD50F9"/>
    <w:rsid w:val="00BD510C"/>
    <w:rsid w:val="00BD510D"/>
    <w:rsid w:val="00BD5114"/>
    <w:rsid w:val="00BD5143"/>
    <w:rsid w:val="00BD51EB"/>
    <w:rsid w:val="00BD51FE"/>
    <w:rsid w:val="00BD5222"/>
    <w:rsid w:val="00BD528F"/>
    <w:rsid w:val="00BD5298"/>
    <w:rsid w:val="00BD530B"/>
    <w:rsid w:val="00BD53BD"/>
    <w:rsid w:val="00BD53FA"/>
    <w:rsid w:val="00BD5413"/>
    <w:rsid w:val="00BD5418"/>
    <w:rsid w:val="00BD542E"/>
    <w:rsid w:val="00BD544A"/>
    <w:rsid w:val="00BD546D"/>
    <w:rsid w:val="00BD548F"/>
    <w:rsid w:val="00BD54D3"/>
    <w:rsid w:val="00BD54E5"/>
    <w:rsid w:val="00BD5518"/>
    <w:rsid w:val="00BD553A"/>
    <w:rsid w:val="00BD5547"/>
    <w:rsid w:val="00BD5554"/>
    <w:rsid w:val="00BD5577"/>
    <w:rsid w:val="00BD55B9"/>
    <w:rsid w:val="00BD5614"/>
    <w:rsid w:val="00BD5661"/>
    <w:rsid w:val="00BD5699"/>
    <w:rsid w:val="00BD56DE"/>
    <w:rsid w:val="00BD570D"/>
    <w:rsid w:val="00BD5711"/>
    <w:rsid w:val="00BD575B"/>
    <w:rsid w:val="00BD57D4"/>
    <w:rsid w:val="00BD57D8"/>
    <w:rsid w:val="00BD582E"/>
    <w:rsid w:val="00BD58B5"/>
    <w:rsid w:val="00BD593E"/>
    <w:rsid w:val="00BD5A3C"/>
    <w:rsid w:val="00BD5AED"/>
    <w:rsid w:val="00BD5B11"/>
    <w:rsid w:val="00BD5B63"/>
    <w:rsid w:val="00BD5C27"/>
    <w:rsid w:val="00BD5C3B"/>
    <w:rsid w:val="00BD5C5C"/>
    <w:rsid w:val="00BD5CE8"/>
    <w:rsid w:val="00BD5D11"/>
    <w:rsid w:val="00BD5D7F"/>
    <w:rsid w:val="00BD5DD5"/>
    <w:rsid w:val="00BD5E18"/>
    <w:rsid w:val="00BD5E27"/>
    <w:rsid w:val="00BD5E46"/>
    <w:rsid w:val="00BD5E54"/>
    <w:rsid w:val="00BD5F28"/>
    <w:rsid w:val="00BD5F91"/>
    <w:rsid w:val="00BD5FB8"/>
    <w:rsid w:val="00BD5FD3"/>
    <w:rsid w:val="00BD6015"/>
    <w:rsid w:val="00BD6052"/>
    <w:rsid w:val="00BD606A"/>
    <w:rsid w:val="00BD60BC"/>
    <w:rsid w:val="00BD60DF"/>
    <w:rsid w:val="00BD6126"/>
    <w:rsid w:val="00BD6150"/>
    <w:rsid w:val="00BD6155"/>
    <w:rsid w:val="00BD61DE"/>
    <w:rsid w:val="00BD6241"/>
    <w:rsid w:val="00BD625C"/>
    <w:rsid w:val="00BD6325"/>
    <w:rsid w:val="00BD633E"/>
    <w:rsid w:val="00BD6340"/>
    <w:rsid w:val="00BD638B"/>
    <w:rsid w:val="00BD63B6"/>
    <w:rsid w:val="00BD63F7"/>
    <w:rsid w:val="00BD6418"/>
    <w:rsid w:val="00BD6428"/>
    <w:rsid w:val="00BD6460"/>
    <w:rsid w:val="00BD649A"/>
    <w:rsid w:val="00BD649C"/>
    <w:rsid w:val="00BD651B"/>
    <w:rsid w:val="00BD657E"/>
    <w:rsid w:val="00BD658B"/>
    <w:rsid w:val="00BD65C6"/>
    <w:rsid w:val="00BD664E"/>
    <w:rsid w:val="00BD6668"/>
    <w:rsid w:val="00BD6694"/>
    <w:rsid w:val="00BD66CB"/>
    <w:rsid w:val="00BD66DA"/>
    <w:rsid w:val="00BD66DF"/>
    <w:rsid w:val="00BD6703"/>
    <w:rsid w:val="00BD6717"/>
    <w:rsid w:val="00BD673E"/>
    <w:rsid w:val="00BD6791"/>
    <w:rsid w:val="00BD681D"/>
    <w:rsid w:val="00BD686A"/>
    <w:rsid w:val="00BD68CA"/>
    <w:rsid w:val="00BD691D"/>
    <w:rsid w:val="00BD6928"/>
    <w:rsid w:val="00BD6937"/>
    <w:rsid w:val="00BD694A"/>
    <w:rsid w:val="00BD6961"/>
    <w:rsid w:val="00BD69FF"/>
    <w:rsid w:val="00BD6AFD"/>
    <w:rsid w:val="00BD6B19"/>
    <w:rsid w:val="00BD6B72"/>
    <w:rsid w:val="00BD6B7E"/>
    <w:rsid w:val="00BD6B9D"/>
    <w:rsid w:val="00BD6BBA"/>
    <w:rsid w:val="00BD6BD5"/>
    <w:rsid w:val="00BD6BEC"/>
    <w:rsid w:val="00BD6C03"/>
    <w:rsid w:val="00BD6C1A"/>
    <w:rsid w:val="00BD6C20"/>
    <w:rsid w:val="00BD6C66"/>
    <w:rsid w:val="00BD6C78"/>
    <w:rsid w:val="00BD6C93"/>
    <w:rsid w:val="00BD6CA6"/>
    <w:rsid w:val="00BD6D15"/>
    <w:rsid w:val="00BD6D28"/>
    <w:rsid w:val="00BD6D47"/>
    <w:rsid w:val="00BD6DF7"/>
    <w:rsid w:val="00BD6EBD"/>
    <w:rsid w:val="00BD6F01"/>
    <w:rsid w:val="00BD6F26"/>
    <w:rsid w:val="00BD6FA8"/>
    <w:rsid w:val="00BD6FBA"/>
    <w:rsid w:val="00BD6FDC"/>
    <w:rsid w:val="00BD7010"/>
    <w:rsid w:val="00BD70E0"/>
    <w:rsid w:val="00BD7146"/>
    <w:rsid w:val="00BD7147"/>
    <w:rsid w:val="00BD7195"/>
    <w:rsid w:val="00BD71A9"/>
    <w:rsid w:val="00BD71AD"/>
    <w:rsid w:val="00BD71EB"/>
    <w:rsid w:val="00BD733E"/>
    <w:rsid w:val="00BD7340"/>
    <w:rsid w:val="00BD7344"/>
    <w:rsid w:val="00BD7365"/>
    <w:rsid w:val="00BD7457"/>
    <w:rsid w:val="00BD7490"/>
    <w:rsid w:val="00BD750E"/>
    <w:rsid w:val="00BD7536"/>
    <w:rsid w:val="00BD7544"/>
    <w:rsid w:val="00BD7547"/>
    <w:rsid w:val="00BD754F"/>
    <w:rsid w:val="00BD757E"/>
    <w:rsid w:val="00BD759D"/>
    <w:rsid w:val="00BD75A0"/>
    <w:rsid w:val="00BD75D6"/>
    <w:rsid w:val="00BD75E5"/>
    <w:rsid w:val="00BD75E8"/>
    <w:rsid w:val="00BD7618"/>
    <w:rsid w:val="00BD7730"/>
    <w:rsid w:val="00BD777D"/>
    <w:rsid w:val="00BD7781"/>
    <w:rsid w:val="00BD77F0"/>
    <w:rsid w:val="00BD781C"/>
    <w:rsid w:val="00BD785A"/>
    <w:rsid w:val="00BD7886"/>
    <w:rsid w:val="00BD78BD"/>
    <w:rsid w:val="00BD7921"/>
    <w:rsid w:val="00BD7946"/>
    <w:rsid w:val="00BD7988"/>
    <w:rsid w:val="00BD79C5"/>
    <w:rsid w:val="00BD7A1D"/>
    <w:rsid w:val="00BD7A3B"/>
    <w:rsid w:val="00BD7A3E"/>
    <w:rsid w:val="00BD7A7C"/>
    <w:rsid w:val="00BD7AF5"/>
    <w:rsid w:val="00BD7B85"/>
    <w:rsid w:val="00BD7BC2"/>
    <w:rsid w:val="00BD7BCD"/>
    <w:rsid w:val="00BD7BD6"/>
    <w:rsid w:val="00BD7C07"/>
    <w:rsid w:val="00BD7C0F"/>
    <w:rsid w:val="00BD7C88"/>
    <w:rsid w:val="00BD7CA5"/>
    <w:rsid w:val="00BD7CA7"/>
    <w:rsid w:val="00BD7D02"/>
    <w:rsid w:val="00BD7D0E"/>
    <w:rsid w:val="00BD7D4F"/>
    <w:rsid w:val="00BD7D67"/>
    <w:rsid w:val="00BD7D82"/>
    <w:rsid w:val="00BD7D88"/>
    <w:rsid w:val="00BD7D8E"/>
    <w:rsid w:val="00BD7DAD"/>
    <w:rsid w:val="00BD7EB2"/>
    <w:rsid w:val="00BD7EC5"/>
    <w:rsid w:val="00BD7F02"/>
    <w:rsid w:val="00BD7F08"/>
    <w:rsid w:val="00BD7F3A"/>
    <w:rsid w:val="00BD7FD0"/>
    <w:rsid w:val="00BE005C"/>
    <w:rsid w:val="00BE0076"/>
    <w:rsid w:val="00BE00B7"/>
    <w:rsid w:val="00BE00E7"/>
    <w:rsid w:val="00BE00FA"/>
    <w:rsid w:val="00BE0125"/>
    <w:rsid w:val="00BE013A"/>
    <w:rsid w:val="00BE01A8"/>
    <w:rsid w:val="00BE01CF"/>
    <w:rsid w:val="00BE01ED"/>
    <w:rsid w:val="00BE0244"/>
    <w:rsid w:val="00BE02A9"/>
    <w:rsid w:val="00BE0309"/>
    <w:rsid w:val="00BE038B"/>
    <w:rsid w:val="00BE04D6"/>
    <w:rsid w:val="00BE0511"/>
    <w:rsid w:val="00BE055E"/>
    <w:rsid w:val="00BE0596"/>
    <w:rsid w:val="00BE05E1"/>
    <w:rsid w:val="00BE05FA"/>
    <w:rsid w:val="00BE060D"/>
    <w:rsid w:val="00BE0624"/>
    <w:rsid w:val="00BE0679"/>
    <w:rsid w:val="00BE0682"/>
    <w:rsid w:val="00BE06C7"/>
    <w:rsid w:val="00BE06D2"/>
    <w:rsid w:val="00BE0712"/>
    <w:rsid w:val="00BE079E"/>
    <w:rsid w:val="00BE07B9"/>
    <w:rsid w:val="00BE07F1"/>
    <w:rsid w:val="00BE0808"/>
    <w:rsid w:val="00BE084E"/>
    <w:rsid w:val="00BE086B"/>
    <w:rsid w:val="00BE0892"/>
    <w:rsid w:val="00BE0899"/>
    <w:rsid w:val="00BE08B5"/>
    <w:rsid w:val="00BE08FD"/>
    <w:rsid w:val="00BE0942"/>
    <w:rsid w:val="00BE09D9"/>
    <w:rsid w:val="00BE0A0F"/>
    <w:rsid w:val="00BE0A98"/>
    <w:rsid w:val="00BE0A9B"/>
    <w:rsid w:val="00BE0AB3"/>
    <w:rsid w:val="00BE0AEC"/>
    <w:rsid w:val="00BE0B70"/>
    <w:rsid w:val="00BE0C57"/>
    <w:rsid w:val="00BE0C86"/>
    <w:rsid w:val="00BE0CA1"/>
    <w:rsid w:val="00BE0CBA"/>
    <w:rsid w:val="00BE0CC6"/>
    <w:rsid w:val="00BE0CDE"/>
    <w:rsid w:val="00BE0D24"/>
    <w:rsid w:val="00BE0D34"/>
    <w:rsid w:val="00BE0D58"/>
    <w:rsid w:val="00BE0D87"/>
    <w:rsid w:val="00BE0DCC"/>
    <w:rsid w:val="00BE0E0A"/>
    <w:rsid w:val="00BE0EA0"/>
    <w:rsid w:val="00BE0EAD"/>
    <w:rsid w:val="00BE0F38"/>
    <w:rsid w:val="00BE0F8A"/>
    <w:rsid w:val="00BE0FAE"/>
    <w:rsid w:val="00BE1030"/>
    <w:rsid w:val="00BE107D"/>
    <w:rsid w:val="00BE10CC"/>
    <w:rsid w:val="00BE10EB"/>
    <w:rsid w:val="00BE112F"/>
    <w:rsid w:val="00BE113D"/>
    <w:rsid w:val="00BE11BF"/>
    <w:rsid w:val="00BE11D5"/>
    <w:rsid w:val="00BE121E"/>
    <w:rsid w:val="00BE123F"/>
    <w:rsid w:val="00BE1249"/>
    <w:rsid w:val="00BE1261"/>
    <w:rsid w:val="00BE12A9"/>
    <w:rsid w:val="00BE138E"/>
    <w:rsid w:val="00BE13C8"/>
    <w:rsid w:val="00BE143A"/>
    <w:rsid w:val="00BE145A"/>
    <w:rsid w:val="00BE14A4"/>
    <w:rsid w:val="00BE1506"/>
    <w:rsid w:val="00BE1553"/>
    <w:rsid w:val="00BE1599"/>
    <w:rsid w:val="00BE15A7"/>
    <w:rsid w:val="00BE15C1"/>
    <w:rsid w:val="00BE15C2"/>
    <w:rsid w:val="00BE15F6"/>
    <w:rsid w:val="00BE161F"/>
    <w:rsid w:val="00BE1661"/>
    <w:rsid w:val="00BE167F"/>
    <w:rsid w:val="00BE16ED"/>
    <w:rsid w:val="00BE1720"/>
    <w:rsid w:val="00BE173C"/>
    <w:rsid w:val="00BE1754"/>
    <w:rsid w:val="00BE190A"/>
    <w:rsid w:val="00BE1928"/>
    <w:rsid w:val="00BE194F"/>
    <w:rsid w:val="00BE197F"/>
    <w:rsid w:val="00BE199E"/>
    <w:rsid w:val="00BE19B4"/>
    <w:rsid w:val="00BE19F8"/>
    <w:rsid w:val="00BE1A2D"/>
    <w:rsid w:val="00BE1A93"/>
    <w:rsid w:val="00BE1AAF"/>
    <w:rsid w:val="00BE1ACD"/>
    <w:rsid w:val="00BE1B07"/>
    <w:rsid w:val="00BE1B12"/>
    <w:rsid w:val="00BE1B6B"/>
    <w:rsid w:val="00BE1B79"/>
    <w:rsid w:val="00BE1B7E"/>
    <w:rsid w:val="00BE1B9C"/>
    <w:rsid w:val="00BE1BCD"/>
    <w:rsid w:val="00BE1BF0"/>
    <w:rsid w:val="00BE1C5B"/>
    <w:rsid w:val="00BE1C97"/>
    <w:rsid w:val="00BE1CDA"/>
    <w:rsid w:val="00BE1CE9"/>
    <w:rsid w:val="00BE1D08"/>
    <w:rsid w:val="00BE1DFD"/>
    <w:rsid w:val="00BE1E35"/>
    <w:rsid w:val="00BE1EEA"/>
    <w:rsid w:val="00BE1F13"/>
    <w:rsid w:val="00BE1F3B"/>
    <w:rsid w:val="00BE201E"/>
    <w:rsid w:val="00BE205A"/>
    <w:rsid w:val="00BE20A1"/>
    <w:rsid w:val="00BE20D7"/>
    <w:rsid w:val="00BE20F0"/>
    <w:rsid w:val="00BE2127"/>
    <w:rsid w:val="00BE212E"/>
    <w:rsid w:val="00BE2141"/>
    <w:rsid w:val="00BE2174"/>
    <w:rsid w:val="00BE2191"/>
    <w:rsid w:val="00BE21CC"/>
    <w:rsid w:val="00BE21FC"/>
    <w:rsid w:val="00BE22F2"/>
    <w:rsid w:val="00BE2316"/>
    <w:rsid w:val="00BE2385"/>
    <w:rsid w:val="00BE2391"/>
    <w:rsid w:val="00BE23BF"/>
    <w:rsid w:val="00BE2434"/>
    <w:rsid w:val="00BE2460"/>
    <w:rsid w:val="00BE2471"/>
    <w:rsid w:val="00BE247C"/>
    <w:rsid w:val="00BE24A6"/>
    <w:rsid w:val="00BE24AE"/>
    <w:rsid w:val="00BE24F9"/>
    <w:rsid w:val="00BE2545"/>
    <w:rsid w:val="00BE2549"/>
    <w:rsid w:val="00BE25FA"/>
    <w:rsid w:val="00BE262F"/>
    <w:rsid w:val="00BE2634"/>
    <w:rsid w:val="00BE263D"/>
    <w:rsid w:val="00BE2642"/>
    <w:rsid w:val="00BE26A7"/>
    <w:rsid w:val="00BE26A9"/>
    <w:rsid w:val="00BE26EC"/>
    <w:rsid w:val="00BE27F3"/>
    <w:rsid w:val="00BE27F5"/>
    <w:rsid w:val="00BE2870"/>
    <w:rsid w:val="00BE28D1"/>
    <w:rsid w:val="00BE28F8"/>
    <w:rsid w:val="00BE292F"/>
    <w:rsid w:val="00BE2995"/>
    <w:rsid w:val="00BE299A"/>
    <w:rsid w:val="00BE29AC"/>
    <w:rsid w:val="00BE2AE8"/>
    <w:rsid w:val="00BE2B18"/>
    <w:rsid w:val="00BE2B35"/>
    <w:rsid w:val="00BE2B36"/>
    <w:rsid w:val="00BE2B41"/>
    <w:rsid w:val="00BE2B48"/>
    <w:rsid w:val="00BE2B9B"/>
    <w:rsid w:val="00BE2C0A"/>
    <w:rsid w:val="00BE2C93"/>
    <w:rsid w:val="00BE2CD7"/>
    <w:rsid w:val="00BE2CD8"/>
    <w:rsid w:val="00BE2CDE"/>
    <w:rsid w:val="00BE2D1C"/>
    <w:rsid w:val="00BE2D67"/>
    <w:rsid w:val="00BE2D6E"/>
    <w:rsid w:val="00BE2D7B"/>
    <w:rsid w:val="00BE2DD5"/>
    <w:rsid w:val="00BE2DF8"/>
    <w:rsid w:val="00BE2E29"/>
    <w:rsid w:val="00BE2E36"/>
    <w:rsid w:val="00BE2E99"/>
    <w:rsid w:val="00BE2EA3"/>
    <w:rsid w:val="00BE2EA8"/>
    <w:rsid w:val="00BE2EE9"/>
    <w:rsid w:val="00BE2F15"/>
    <w:rsid w:val="00BE2F8B"/>
    <w:rsid w:val="00BE2FBD"/>
    <w:rsid w:val="00BE3052"/>
    <w:rsid w:val="00BE306B"/>
    <w:rsid w:val="00BE30D0"/>
    <w:rsid w:val="00BE30F6"/>
    <w:rsid w:val="00BE3145"/>
    <w:rsid w:val="00BE3197"/>
    <w:rsid w:val="00BE31C5"/>
    <w:rsid w:val="00BE3232"/>
    <w:rsid w:val="00BE323A"/>
    <w:rsid w:val="00BE331D"/>
    <w:rsid w:val="00BE3343"/>
    <w:rsid w:val="00BE336F"/>
    <w:rsid w:val="00BE337C"/>
    <w:rsid w:val="00BE337F"/>
    <w:rsid w:val="00BE3380"/>
    <w:rsid w:val="00BE344E"/>
    <w:rsid w:val="00BE3480"/>
    <w:rsid w:val="00BE3487"/>
    <w:rsid w:val="00BE3523"/>
    <w:rsid w:val="00BE3560"/>
    <w:rsid w:val="00BE35AA"/>
    <w:rsid w:val="00BE35B7"/>
    <w:rsid w:val="00BE3630"/>
    <w:rsid w:val="00BE364E"/>
    <w:rsid w:val="00BE3655"/>
    <w:rsid w:val="00BE3694"/>
    <w:rsid w:val="00BE36C0"/>
    <w:rsid w:val="00BE375E"/>
    <w:rsid w:val="00BE3790"/>
    <w:rsid w:val="00BE379A"/>
    <w:rsid w:val="00BE390F"/>
    <w:rsid w:val="00BE3947"/>
    <w:rsid w:val="00BE3956"/>
    <w:rsid w:val="00BE3974"/>
    <w:rsid w:val="00BE3980"/>
    <w:rsid w:val="00BE3986"/>
    <w:rsid w:val="00BE3996"/>
    <w:rsid w:val="00BE399A"/>
    <w:rsid w:val="00BE39FC"/>
    <w:rsid w:val="00BE3A1F"/>
    <w:rsid w:val="00BE3A31"/>
    <w:rsid w:val="00BE3A34"/>
    <w:rsid w:val="00BE3ABA"/>
    <w:rsid w:val="00BE3AD4"/>
    <w:rsid w:val="00BE3AED"/>
    <w:rsid w:val="00BE3AF5"/>
    <w:rsid w:val="00BE3B3D"/>
    <w:rsid w:val="00BE3B3F"/>
    <w:rsid w:val="00BE3B47"/>
    <w:rsid w:val="00BE3B8C"/>
    <w:rsid w:val="00BE3BA2"/>
    <w:rsid w:val="00BE3BCC"/>
    <w:rsid w:val="00BE3BD0"/>
    <w:rsid w:val="00BE3BE3"/>
    <w:rsid w:val="00BE3BFB"/>
    <w:rsid w:val="00BE3C79"/>
    <w:rsid w:val="00BE3CAB"/>
    <w:rsid w:val="00BE3D66"/>
    <w:rsid w:val="00BE3D93"/>
    <w:rsid w:val="00BE3DB3"/>
    <w:rsid w:val="00BE3E66"/>
    <w:rsid w:val="00BE3EC0"/>
    <w:rsid w:val="00BE3F00"/>
    <w:rsid w:val="00BE3F6C"/>
    <w:rsid w:val="00BE3FD4"/>
    <w:rsid w:val="00BE4019"/>
    <w:rsid w:val="00BE4066"/>
    <w:rsid w:val="00BE4081"/>
    <w:rsid w:val="00BE40BF"/>
    <w:rsid w:val="00BE414A"/>
    <w:rsid w:val="00BE41B3"/>
    <w:rsid w:val="00BE4442"/>
    <w:rsid w:val="00BE4450"/>
    <w:rsid w:val="00BE44EE"/>
    <w:rsid w:val="00BE44FE"/>
    <w:rsid w:val="00BE4500"/>
    <w:rsid w:val="00BE4517"/>
    <w:rsid w:val="00BE4562"/>
    <w:rsid w:val="00BE457E"/>
    <w:rsid w:val="00BE4584"/>
    <w:rsid w:val="00BE467F"/>
    <w:rsid w:val="00BE46E1"/>
    <w:rsid w:val="00BE46ED"/>
    <w:rsid w:val="00BE4710"/>
    <w:rsid w:val="00BE4711"/>
    <w:rsid w:val="00BE47A6"/>
    <w:rsid w:val="00BE486E"/>
    <w:rsid w:val="00BE490B"/>
    <w:rsid w:val="00BE49A7"/>
    <w:rsid w:val="00BE49E6"/>
    <w:rsid w:val="00BE4A00"/>
    <w:rsid w:val="00BE4A23"/>
    <w:rsid w:val="00BE4A28"/>
    <w:rsid w:val="00BE4A71"/>
    <w:rsid w:val="00BE4A8F"/>
    <w:rsid w:val="00BE4ACE"/>
    <w:rsid w:val="00BE4B35"/>
    <w:rsid w:val="00BE4B6C"/>
    <w:rsid w:val="00BE4BA4"/>
    <w:rsid w:val="00BE4C03"/>
    <w:rsid w:val="00BE4C88"/>
    <w:rsid w:val="00BE4C8C"/>
    <w:rsid w:val="00BE4CED"/>
    <w:rsid w:val="00BE4D09"/>
    <w:rsid w:val="00BE4D1B"/>
    <w:rsid w:val="00BE4D61"/>
    <w:rsid w:val="00BE4DBC"/>
    <w:rsid w:val="00BE4DEB"/>
    <w:rsid w:val="00BE4E17"/>
    <w:rsid w:val="00BE4E4F"/>
    <w:rsid w:val="00BE4E95"/>
    <w:rsid w:val="00BE4F48"/>
    <w:rsid w:val="00BE4F5D"/>
    <w:rsid w:val="00BE4FEF"/>
    <w:rsid w:val="00BE503A"/>
    <w:rsid w:val="00BE508E"/>
    <w:rsid w:val="00BE50B7"/>
    <w:rsid w:val="00BE50BD"/>
    <w:rsid w:val="00BE50BE"/>
    <w:rsid w:val="00BE50C8"/>
    <w:rsid w:val="00BE5112"/>
    <w:rsid w:val="00BE514B"/>
    <w:rsid w:val="00BE521D"/>
    <w:rsid w:val="00BE529A"/>
    <w:rsid w:val="00BE52CC"/>
    <w:rsid w:val="00BE5326"/>
    <w:rsid w:val="00BE5384"/>
    <w:rsid w:val="00BE539F"/>
    <w:rsid w:val="00BE53A9"/>
    <w:rsid w:val="00BE53C1"/>
    <w:rsid w:val="00BE53F3"/>
    <w:rsid w:val="00BE5439"/>
    <w:rsid w:val="00BE544B"/>
    <w:rsid w:val="00BE5466"/>
    <w:rsid w:val="00BE54EB"/>
    <w:rsid w:val="00BE551F"/>
    <w:rsid w:val="00BE5536"/>
    <w:rsid w:val="00BE5539"/>
    <w:rsid w:val="00BE5540"/>
    <w:rsid w:val="00BE554C"/>
    <w:rsid w:val="00BE5559"/>
    <w:rsid w:val="00BE5593"/>
    <w:rsid w:val="00BE55A9"/>
    <w:rsid w:val="00BE565F"/>
    <w:rsid w:val="00BE566F"/>
    <w:rsid w:val="00BE567E"/>
    <w:rsid w:val="00BE5690"/>
    <w:rsid w:val="00BE56F8"/>
    <w:rsid w:val="00BE57C0"/>
    <w:rsid w:val="00BE5842"/>
    <w:rsid w:val="00BE5863"/>
    <w:rsid w:val="00BE5899"/>
    <w:rsid w:val="00BE58BD"/>
    <w:rsid w:val="00BE592B"/>
    <w:rsid w:val="00BE597E"/>
    <w:rsid w:val="00BE598B"/>
    <w:rsid w:val="00BE59B6"/>
    <w:rsid w:val="00BE59F5"/>
    <w:rsid w:val="00BE5A57"/>
    <w:rsid w:val="00BE5A75"/>
    <w:rsid w:val="00BE5AA2"/>
    <w:rsid w:val="00BE5AEA"/>
    <w:rsid w:val="00BE5B4D"/>
    <w:rsid w:val="00BE5B5D"/>
    <w:rsid w:val="00BE5B70"/>
    <w:rsid w:val="00BE5B74"/>
    <w:rsid w:val="00BE5B7C"/>
    <w:rsid w:val="00BE5B8C"/>
    <w:rsid w:val="00BE5BAA"/>
    <w:rsid w:val="00BE5BFA"/>
    <w:rsid w:val="00BE5C0E"/>
    <w:rsid w:val="00BE5C8D"/>
    <w:rsid w:val="00BE5C9A"/>
    <w:rsid w:val="00BE5CC4"/>
    <w:rsid w:val="00BE5CF8"/>
    <w:rsid w:val="00BE5D0F"/>
    <w:rsid w:val="00BE5D10"/>
    <w:rsid w:val="00BE5D50"/>
    <w:rsid w:val="00BE5D92"/>
    <w:rsid w:val="00BE5DAA"/>
    <w:rsid w:val="00BE5DB9"/>
    <w:rsid w:val="00BE5DC0"/>
    <w:rsid w:val="00BE5E00"/>
    <w:rsid w:val="00BE5E2A"/>
    <w:rsid w:val="00BE5E2F"/>
    <w:rsid w:val="00BE5E5E"/>
    <w:rsid w:val="00BE5E78"/>
    <w:rsid w:val="00BE5E9D"/>
    <w:rsid w:val="00BE5F22"/>
    <w:rsid w:val="00BE5F5F"/>
    <w:rsid w:val="00BE5F67"/>
    <w:rsid w:val="00BE5FF2"/>
    <w:rsid w:val="00BE6020"/>
    <w:rsid w:val="00BE602B"/>
    <w:rsid w:val="00BE602C"/>
    <w:rsid w:val="00BE6049"/>
    <w:rsid w:val="00BE60B3"/>
    <w:rsid w:val="00BE60C2"/>
    <w:rsid w:val="00BE60E5"/>
    <w:rsid w:val="00BE6198"/>
    <w:rsid w:val="00BE61DA"/>
    <w:rsid w:val="00BE624E"/>
    <w:rsid w:val="00BE62EE"/>
    <w:rsid w:val="00BE6375"/>
    <w:rsid w:val="00BE6381"/>
    <w:rsid w:val="00BE63BB"/>
    <w:rsid w:val="00BE63C3"/>
    <w:rsid w:val="00BE63E9"/>
    <w:rsid w:val="00BE640B"/>
    <w:rsid w:val="00BE6454"/>
    <w:rsid w:val="00BE6465"/>
    <w:rsid w:val="00BE6492"/>
    <w:rsid w:val="00BE64AC"/>
    <w:rsid w:val="00BE64B1"/>
    <w:rsid w:val="00BE64D5"/>
    <w:rsid w:val="00BE6518"/>
    <w:rsid w:val="00BE653A"/>
    <w:rsid w:val="00BE65AB"/>
    <w:rsid w:val="00BE65C7"/>
    <w:rsid w:val="00BE65C8"/>
    <w:rsid w:val="00BE65F9"/>
    <w:rsid w:val="00BE6615"/>
    <w:rsid w:val="00BE664B"/>
    <w:rsid w:val="00BE6654"/>
    <w:rsid w:val="00BE6674"/>
    <w:rsid w:val="00BE6768"/>
    <w:rsid w:val="00BE6783"/>
    <w:rsid w:val="00BE6800"/>
    <w:rsid w:val="00BE680E"/>
    <w:rsid w:val="00BE681B"/>
    <w:rsid w:val="00BE682E"/>
    <w:rsid w:val="00BE684F"/>
    <w:rsid w:val="00BE687E"/>
    <w:rsid w:val="00BE68DB"/>
    <w:rsid w:val="00BE699A"/>
    <w:rsid w:val="00BE69C8"/>
    <w:rsid w:val="00BE69CD"/>
    <w:rsid w:val="00BE6A2C"/>
    <w:rsid w:val="00BE6A68"/>
    <w:rsid w:val="00BE6A87"/>
    <w:rsid w:val="00BE6AD2"/>
    <w:rsid w:val="00BE6AE4"/>
    <w:rsid w:val="00BE6AE9"/>
    <w:rsid w:val="00BE6AF3"/>
    <w:rsid w:val="00BE6AFF"/>
    <w:rsid w:val="00BE6B1D"/>
    <w:rsid w:val="00BE6BA1"/>
    <w:rsid w:val="00BE6BBF"/>
    <w:rsid w:val="00BE6C0E"/>
    <w:rsid w:val="00BE6C6A"/>
    <w:rsid w:val="00BE6C7B"/>
    <w:rsid w:val="00BE6C9F"/>
    <w:rsid w:val="00BE6CBB"/>
    <w:rsid w:val="00BE6CF1"/>
    <w:rsid w:val="00BE6D5A"/>
    <w:rsid w:val="00BE6D6D"/>
    <w:rsid w:val="00BE6DE1"/>
    <w:rsid w:val="00BE6DEF"/>
    <w:rsid w:val="00BE6E43"/>
    <w:rsid w:val="00BE6E5B"/>
    <w:rsid w:val="00BE6E7A"/>
    <w:rsid w:val="00BE6EAD"/>
    <w:rsid w:val="00BE6F1A"/>
    <w:rsid w:val="00BE6F59"/>
    <w:rsid w:val="00BE6F9C"/>
    <w:rsid w:val="00BE6FAA"/>
    <w:rsid w:val="00BE701C"/>
    <w:rsid w:val="00BE704C"/>
    <w:rsid w:val="00BE70A5"/>
    <w:rsid w:val="00BE70B4"/>
    <w:rsid w:val="00BE7153"/>
    <w:rsid w:val="00BE7178"/>
    <w:rsid w:val="00BE71A0"/>
    <w:rsid w:val="00BE71FA"/>
    <w:rsid w:val="00BE7214"/>
    <w:rsid w:val="00BE722F"/>
    <w:rsid w:val="00BE7272"/>
    <w:rsid w:val="00BE7288"/>
    <w:rsid w:val="00BE72B7"/>
    <w:rsid w:val="00BE7316"/>
    <w:rsid w:val="00BE7383"/>
    <w:rsid w:val="00BE74C4"/>
    <w:rsid w:val="00BE74E9"/>
    <w:rsid w:val="00BE7516"/>
    <w:rsid w:val="00BE7521"/>
    <w:rsid w:val="00BE7554"/>
    <w:rsid w:val="00BE7571"/>
    <w:rsid w:val="00BE75B8"/>
    <w:rsid w:val="00BE75E1"/>
    <w:rsid w:val="00BE7684"/>
    <w:rsid w:val="00BE76ED"/>
    <w:rsid w:val="00BE7725"/>
    <w:rsid w:val="00BE7754"/>
    <w:rsid w:val="00BE77B6"/>
    <w:rsid w:val="00BE77C3"/>
    <w:rsid w:val="00BE782B"/>
    <w:rsid w:val="00BE782D"/>
    <w:rsid w:val="00BE7839"/>
    <w:rsid w:val="00BE783D"/>
    <w:rsid w:val="00BE7853"/>
    <w:rsid w:val="00BE78A7"/>
    <w:rsid w:val="00BE78AF"/>
    <w:rsid w:val="00BE78C5"/>
    <w:rsid w:val="00BE78CC"/>
    <w:rsid w:val="00BE78EF"/>
    <w:rsid w:val="00BE798B"/>
    <w:rsid w:val="00BE79B3"/>
    <w:rsid w:val="00BE79CD"/>
    <w:rsid w:val="00BE79D9"/>
    <w:rsid w:val="00BE7A68"/>
    <w:rsid w:val="00BE7A70"/>
    <w:rsid w:val="00BE7A90"/>
    <w:rsid w:val="00BE7AAE"/>
    <w:rsid w:val="00BE7AC9"/>
    <w:rsid w:val="00BE7AD9"/>
    <w:rsid w:val="00BE7B2C"/>
    <w:rsid w:val="00BE7B67"/>
    <w:rsid w:val="00BE7B6A"/>
    <w:rsid w:val="00BE7BA0"/>
    <w:rsid w:val="00BE7BC2"/>
    <w:rsid w:val="00BE7C1F"/>
    <w:rsid w:val="00BE7C57"/>
    <w:rsid w:val="00BE7C82"/>
    <w:rsid w:val="00BE7E0C"/>
    <w:rsid w:val="00BE7E48"/>
    <w:rsid w:val="00BE7E52"/>
    <w:rsid w:val="00BE7E55"/>
    <w:rsid w:val="00BE7E58"/>
    <w:rsid w:val="00BE7E5B"/>
    <w:rsid w:val="00BE7EEF"/>
    <w:rsid w:val="00BE7F20"/>
    <w:rsid w:val="00BF0055"/>
    <w:rsid w:val="00BF00C5"/>
    <w:rsid w:val="00BF00C6"/>
    <w:rsid w:val="00BF00DE"/>
    <w:rsid w:val="00BF013E"/>
    <w:rsid w:val="00BF0157"/>
    <w:rsid w:val="00BF01D4"/>
    <w:rsid w:val="00BF0204"/>
    <w:rsid w:val="00BF02B1"/>
    <w:rsid w:val="00BF033D"/>
    <w:rsid w:val="00BF0369"/>
    <w:rsid w:val="00BF0395"/>
    <w:rsid w:val="00BF046A"/>
    <w:rsid w:val="00BF04B1"/>
    <w:rsid w:val="00BF04B2"/>
    <w:rsid w:val="00BF04C9"/>
    <w:rsid w:val="00BF0516"/>
    <w:rsid w:val="00BF0554"/>
    <w:rsid w:val="00BF05E8"/>
    <w:rsid w:val="00BF05F1"/>
    <w:rsid w:val="00BF0620"/>
    <w:rsid w:val="00BF0651"/>
    <w:rsid w:val="00BF065C"/>
    <w:rsid w:val="00BF06BD"/>
    <w:rsid w:val="00BF06E4"/>
    <w:rsid w:val="00BF06E8"/>
    <w:rsid w:val="00BF0751"/>
    <w:rsid w:val="00BF07D9"/>
    <w:rsid w:val="00BF07ED"/>
    <w:rsid w:val="00BF07F2"/>
    <w:rsid w:val="00BF07F3"/>
    <w:rsid w:val="00BF07F9"/>
    <w:rsid w:val="00BF08C2"/>
    <w:rsid w:val="00BF08E4"/>
    <w:rsid w:val="00BF0910"/>
    <w:rsid w:val="00BF091C"/>
    <w:rsid w:val="00BF0927"/>
    <w:rsid w:val="00BF097B"/>
    <w:rsid w:val="00BF0986"/>
    <w:rsid w:val="00BF09F0"/>
    <w:rsid w:val="00BF0A5A"/>
    <w:rsid w:val="00BF0B04"/>
    <w:rsid w:val="00BF0B0C"/>
    <w:rsid w:val="00BF0B39"/>
    <w:rsid w:val="00BF0B5B"/>
    <w:rsid w:val="00BF0B5C"/>
    <w:rsid w:val="00BF0C0D"/>
    <w:rsid w:val="00BF0CD8"/>
    <w:rsid w:val="00BF0D0D"/>
    <w:rsid w:val="00BF0D41"/>
    <w:rsid w:val="00BF0DC9"/>
    <w:rsid w:val="00BF0DD0"/>
    <w:rsid w:val="00BF0E1D"/>
    <w:rsid w:val="00BF0EAD"/>
    <w:rsid w:val="00BF0EAE"/>
    <w:rsid w:val="00BF0EC9"/>
    <w:rsid w:val="00BF0FEF"/>
    <w:rsid w:val="00BF1000"/>
    <w:rsid w:val="00BF10D8"/>
    <w:rsid w:val="00BF1113"/>
    <w:rsid w:val="00BF114C"/>
    <w:rsid w:val="00BF1155"/>
    <w:rsid w:val="00BF1159"/>
    <w:rsid w:val="00BF11B1"/>
    <w:rsid w:val="00BF123D"/>
    <w:rsid w:val="00BF1254"/>
    <w:rsid w:val="00BF1270"/>
    <w:rsid w:val="00BF12AA"/>
    <w:rsid w:val="00BF1336"/>
    <w:rsid w:val="00BF13AA"/>
    <w:rsid w:val="00BF13F5"/>
    <w:rsid w:val="00BF1401"/>
    <w:rsid w:val="00BF1413"/>
    <w:rsid w:val="00BF146B"/>
    <w:rsid w:val="00BF1476"/>
    <w:rsid w:val="00BF149A"/>
    <w:rsid w:val="00BF14B9"/>
    <w:rsid w:val="00BF1509"/>
    <w:rsid w:val="00BF158F"/>
    <w:rsid w:val="00BF15B8"/>
    <w:rsid w:val="00BF1628"/>
    <w:rsid w:val="00BF1675"/>
    <w:rsid w:val="00BF168A"/>
    <w:rsid w:val="00BF168F"/>
    <w:rsid w:val="00BF1765"/>
    <w:rsid w:val="00BF17DC"/>
    <w:rsid w:val="00BF17DE"/>
    <w:rsid w:val="00BF180D"/>
    <w:rsid w:val="00BF1821"/>
    <w:rsid w:val="00BF18BA"/>
    <w:rsid w:val="00BF18C8"/>
    <w:rsid w:val="00BF19A4"/>
    <w:rsid w:val="00BF19C5"/>
    <w:rsid w:val="00BF19F4"/>
    <w:rsid w:val="00BF1A5B"/>
    <w:rsid w:val="00BF1A8E"/>
    <w:rsid w:val="00BF1AAA"/>
    <w:rsid w:val="00BF1AE2"/>
    <w:rsid w:val="00BF1B7D"/>
    <w:rsid w:val="00BF1BC4"/>
    <w:rsid w:val="00BF1BFB"/>
    <w:rsid w:val="00BF1C26"/>
    <w:rsid w:val="00BF1C3B"/>
    <w:rsid w:val="00BF1C73"/>
    <w:rsid w:val="00BF1C77"/>
    <w:rsid w:val="00BF1CD7"/>
    <w:rsid w:val="00BF1D12"/>
    <w:rsid w:val="00BF1D7F"/>
    <w:rsid w:val="00BF1E33"/>
    <w:rsid w:val="00BF1E3E"/>
    <w:rsid w:val="00BF1EEC"/>
    <w:rsid w:val="00BF1F3C"/>
    <w:rsid w:val="00BF1F63"/>
    <w:rsid w:val="00BF1F87"/>
    <w:rsid w:val="00BF1F97"/>
    <w:rsid w:val="00BF2042"/>
    <w:rsid w:val="00BF20B3"/>
    <w:rsid w:val="00BF2127"/>
    <w:rsid w:val="00BF2136"/>
    <w:rsid w:val="00BF2160"/>
    <w:rsid w:val="00BF21AC"/>
    <w:rsid w:val="00BF2203"/>
    <w:rsid w:val="00BF2258"/>
    <w:rsid w:val="00BF229B"/>
    <w:rsid w:val="00BF22E3"/>
    <w:rsid w:val="00BF2360"/>
    <w:rsid w:val="00BF23CB"/>
    <w:rsid w:val="00BF2448"/>
    <w:rsid w:val="00BF24A4"/>
    <w:rsid w:val="00BF255D"/>
    <w:rsid w:val="00BF25BF"/>
    <w:rsid w:val="00BF25E0"/>
    <w:rsid w:val="00BF2683"/>
    <w:rsid w:val="00BF26A4"/>
    <w:rsid w:val="00BF26B1"/>
    <w:rsid w:val="00BF27CF"/>
    <w:rsid w:val="00BF2827"/>
    <w:rsid w:val="00BF2832"/>
    <w:rsid w:val="00BF2856"/>
    <w:rsid w:val="00BF287D"/>
    <w:rsid w:val="00BF2893"/>
    <w:rsid w:val="00BF289F"/>
    <w:rsid w:val="00BF291B"/>
    <w:rsid w:val="00BF292A"/>
    <w:rsid w:val="00BF29E8"/>
    <w:rsid w:val="00BF2A6D"/>
    <w:rsid w:val="00BF2A93"/>
    <w:rsid w:val="00BF2AA3"/>
    <w:rsid w:val="00BF2ACD"/>
    <w:rsid w:val="00BF2B04"/>
    <w:rsid w:val="00BF2B44"/>
    <w:rsid w:val="00BF2B6D"/>
    <w:rsid w:val="00BF2BD0"/>
    <w:rsid w:val="00BF2BDF"/>
    <w:rsid w:val="00BF2C57"/>
    <w:rsid w:val="00BF2CE2"/>
    <w:rsid w:val="00BF2CFF"/>
    <w:rsid w:val="00BF2D4C"/>
    <w:rsid w:val="00BF2D55"/>
    <w:rsid w:val="00BF2DC7"/>
    <w:rsid w:val="00BF2E88"/>
    <w:rsid w:val="00BF2E91"/>
    <w:rsid w:val="00BF2EB8"/>
    <w:rsid w:val="00BF2EDE"/>
    <w:rsid w:val="00BF2EF8"/>
    <w:rsid w:val="00BF2F39"/>
    <w:rsid w:val="00BF2F6B"/>
    <w:rsid w:val="00BF2F8C"/>
    <w:rsid w:val="00BF2FAA"/>
    <w:rsid w:val="00BF2FEB"/>
    <w:rsid w:val="00BF3018"/>
    <w:rsid w:val="00BF3042"/>
    <w:rsid w:val="00BF3070"/>
    <w:rsid w:val="00BF3094"/>
    <w:rsid w:val="00BF30EA"/>
    <w:rsid w:val="00BF30F2"/>
    <w:rsid w:val="00BF310B"/>
    <w:rsid w:val="00BF31E0"/>
    <w:rsid w:val="00BF31E2"/>
    <w:rsid w:val="00BF31EB"/>
    <w:rsid w:val="00BF3227"/>
    <w:rsid w:val="00BF3231"/>
    <w:rsid w:val="00BF323B"/>
    <w:rsid w:val="00BF3260"/>
    <w:rsid w:val="00BF3270"/>
    <w:rsid w:val="00BF328E"/>
    <w:rsid w:val="00BF32C1"/>
    <w:rsid w:val="00BF32ED"/>
    <w:rsid w:val="00BF32FA"/>
    <w:rsid w:val="00BF3319"/>
    <w:rsid w:val="00BF331D"/>
    <w:rsid w:val="00BF332B"/>
    <w:rsid w:val="00BF3357"/>
    <w:rsid w:val="00BF3383"/>
    <w:rsid w:val="00BF33C3"/>
    <w:rsid w:val="00BF33CC"/>
    <w:rsid w:val="00BF33E5"/>
    <w:rsid w:val="00BF33E9"/>
    <w:rsid w:val="00BF33ED"/>
    <w:rsid w:val="00BF3405"/>
    <w:rsid w:val="00BF343C"/>
    <w:rsid w:val="00BF345A"/>
    <w:rsid w:val="00BF354C"/>
    <w:rsid w:val="00BF3551"/>
    <w:rsid w:val="00BF360E"/>
    <w:rsid w:val="00BF3671"/>
    <w:rsid w:val="00BF36F8"/>
    <w:rsid w:val="00BF3712"/>
    <w:rsid w:val="00BF3764"/>
    <w:rsid w:val="00BF37A7"/>
    <w:rsid w:val="00BF37AC"/>
    <w:rsid w:val="00BF37C3"/>
    <w:rsid w:val="00BF37E1"/>
    <w:rsid w:val="00BF37EB"/>
    <w:rsid w:val="00BF381E"/>
    <w:rsid w:val="00BF382C"/>
    <w:rsid w:val="00BF3875"/>
    <w:rsid w:val="00BF3898"/>
    <w:rsid w:val="00BF38A3"/>
    <w:rsid w:val="00BF38FE"/>
    <w:rsid w:val="00BF39ED"/>
    <w:rsid w:val="00BF3A23"/>
    <w:rsid w:val="00BF3AE4"/>
    <w:rsid w:val="00BF3B3C"/>
    <w:rsid w:val="00BF3B55"/>
    <w:rsid w:val="00BF3BEA"/>
    <w:rsid w:val="00BF3BFE"/>
    <w:rsid w:val="00BF3C1E"/>
    <w:rsid w:val="00BF3C4C"/>
    <w:rsid w:val="00BF3CA0"/>
    <w:rsid w:val="00BF3CA7"/>
    <w:rsid w:val="00BF3D11"/>
    <w:rsid w:val="00BF3D19"/>
    <w:rsid w:val="00BF3D23"/>
    <w:rsid w:val="00BF3D24"/>
    <w:rsid w:val="00BF3EEB"/>
    <w:rsid w:val="00BF3F3A"/>
    <w:rsid w:val="00BF3F4D"/>
    <w:rsid w:val="00BF3F6B"/>
    <w:rsid w:val="00BF3FEA"/>
    <w:rsid w:val="00BF4024"/>
    <w:rsid w:val="00BF4061"/>
    <w:rsid w:val="00BF4069"/>
    <w:rsid w:val="00BF4096"/>
    <w:rsid w:val="00BF4161"/>
    <w:rsid w:val="00BF4178"/>
    <w:rsid w:val="00BF41C2"/>
    <w:rsid w:val="00BF41F0"/>
    <w:rsid w:val="00BF4207"/>
    <w:rsid w:val="00BF4256"/>
    <w:rsid w:val="00BF425F"/>
    <w:rsid w:val="00BF4261"/>
    <w:rsid w:val="00BF42A1"/>
    <w:rsid w:val="00BF42DD"/>
    <w:rsid w:val="00BF431C"/>
    <w:rsid w:val="00BF4372"/>
    <w:rsid w:val="00BF4375"/>
    <w:rsid w:val="00BF43D9"/>
    <w:rsid w:val="00BF44B5"/>
    <w:rsid w:val="00BF44DE"/>
    <w:rsid w:val="00BF450C"/>
    <w:rsid w:val="00BF453C"/>
    <w:rsid w:val="00BF45B8"/>
    <w:rsid w:val="00BF45E4"/>
    <w:rsid w:val="00BF4628"/>
    <w:rsid w:val="00BF463D"/>
    <w:rsid w:val="00BF4649"/>
    <w:rsid w:val="00BF46B7"/>
    <w:rsid w:val="00BF46C8"/>
    <w:rsid w:val="00BF473F"/>
    <w:rsid w:val="00BF47CD"/>
    <w:rsid w:val="00BF47DD"/>
    <w:rsid w:val="00BF47F4"/>
    <w:rsid w:val="00BF4862"/>
    <w:rsid w:val="00BF48B1"/>
    <w:rsid w:val="00BF48C7"/>
    <w:rsid w:val="00BF48EA"/>
    <w:rsid w:val="00BF496C"/>
    <w:rsid w:val="00BF49A0"/>
    <w:rsid w:val="00BF49F5"/>
    <w:rsid w:val="00BF4A93"/>
    <w:rsid w:val="00BF4AFC"/>
    <w:rsid w:val="00BF4B21"/>
    <w:rsid w:val="00BF4B50"/>
    <w:rsid w:val="00BF4B77"/>
    <w:rsid w:val="00BF4BB2"/>
    <w:rsid w:val="00BF4C71"/>
    <w:rsid w:val="00BF4CB4"/>
    <w:rsid w:val="00BF4D0C"/>
    <w:rsid w:val="00BF4D36"/>
    <w:rsid w:val="00BF4D7D"/>
    <w:rsid w:val="00BF4D84"/>
    <w:rsid w:val="00BF4DCD"/>
    <w:rsid w:val="00BF4E39"/>
    <w:rsid w:val="00BF4E82"/>
    <w:rsid w:val="00BF4EC7"/>
    <w:rsid w:val="00BF4F02"/>
    <w:rsid w:val="00BF4F6D"/>
    <w:rsid w:val="00BF4F6F"/>
    <w:rsid w:val="00BF4F92"/>
    <w:rsid w:val="00BF5053"/>
    <w:rsid w:val="00BF50BF"/>
    <w:rsid w:val="00BF514B"/>
    <w:rsid w:val="00BF5153"/>
    <w:rsid w:val="00BF51C9"/>
    <w:rsid w:val="00BF5284"/>
    <w:rsid w:val="00BF529B"/>
    <w:rsid w:val="00BF52E8"/>
    <w:rsid w:val="00BF53A2"/>
    <w:rsid w:val="00BF5478"/>
    <w:rsid w:val="00BF5493"/>
    <w:rsid w:val="00BF559E"/>
    <w:rsid w:val="00BF55DB"/>
    <w:rsid w:val="00BF5658"/>
    <w:rsid w:val="00BF56A8"/>
    <w:rsid w:val="00BF56BA"/>
    <w:rsid w:val="00BF56C4"/>
    <w:rsid w:val="00BF56D0"/>
    <w:rsid w:val="00BF570D"/>
    <w:rsid w:val="00BF572E"/>
    <w:rsid w:val="00BF5766"/>
    <w:rsid w:val="00BF576C"/>
    <w:rsid w:val="00BF57C1"/>
    <w:rsid w:val="00BF5810"/>
    <w:rsid w:val="00BF5850"/>
    <w:rsid w:val="00BF58A2"/>
    <w:rsid w:val="00BF58C4"/>
    <w:rsid w:val="00BF5975"/>
    <w:rsid w:val="00BF5A12"/>
    <w:rsid w:val="00BF5A2C"/>
    <w:rsid w:val="00BF5A9B"/>
    <w:rsid w:val="00BF5AC0"/>
    <w:rsid w:val="00BF5AFE"/>
    <w:rsid w:val="00BF5B3F"/>
    <w:rsid w:val="00BF5B6A"/>
    <w:rsid w:val="00BF5BF8"/>
    <w:rsid w:val="00BF5C14"/>
    <w:rsid w:val="00BF5C15"/>
    <w:rsid w:val="00BF5C2A"/>
    <w:rsid w:val="00BF5C69"/>
    <w:rsid w:val="00BF5C82"/>
    <w:rsid w:val="00BF5C87"/>
    <w:rsid w:val="00BF5CC1"/>
    <w:rsid w:val="00BF5CDE"/>
    <w:rsid w:val="00BF5D02"/>
    <w:rsid w:val="00BF5D0F"/>
    <w:rsid w:val="00BF5D28"/>
    <w:rsid w:val="00BF5D6B"/>
    <w:rsid w:val="00BF5D7A"/>
    <w:rsid w:val="00BF5DA0"/>
    <w:rsid w:val="00BF5DA6"/>
    <w:rsid w:val="00BF5E06"/>
    <w:rsid w:val="00BF5E39"/>
    <w:rsid w:val="00BF5F61"/>
    <w:rsid w:val="00BF5F7B"/>
    <w:rsid w:val="00BF600A"/>
    <w:rsid w:val="00BF6053"/>
    <w:rsid w:val="00BF6077"/>
    <w:rsid w:val="00BF6079"/>
    <w:rsid w:val="00BF6097"/>
    <w:rsid w:val="00BF60A2"/>
    <w:rsid w:val="00BF60B7"/>
    <w:rsid w:val="00BF6109"/>
    <w:rsid w:val="00BF612D"/>
    <w:rsid w:val="00BF6152"/>
    <w:rsid w:val="00BF619A"/>
    <w:rsid w:val="00BF620D"/>
    <w:rsid w:val="00BF6217"/>
    <w:rsid w:val="00BF625E"/>
    <w:rsid w:val="00BF62B9"/>
    <w:rsid w:val="00BF63D1"/>
    <w:rsid w:val="00BF6422"/>
    <w:rsid w:val="00BF64B2"/>
    <w:rsid w:val="00BF64D7"/>
    <w:rsid w:val="00BF64E9"/>
    <w:rsid w:val="00BF650B"/>
    <w:rsid w:val="00BF6535"/>
    <w:rsid w:val="00BF6604"/>
    <w:rsid w:val="00BF6620"/>
    <w:rsid w:val="00BF6670"/>
    <w:rsid w:val="00BF670B"/>
    <w:rsid w:val="00BF676B"/>
    <w:rsid w:val="00BF676E"/>
    <w:rsid w:val="00BF67BB"/>
    <w:rsid w:val="00BF6808"/>
    <w:rsid w:val="00BF6809"/>
    <w:rsid w:val="00BF689A"/>
    <w:rsid w:val="00BF6914"/>
    <w:rsid w:val="00BF69CA"/>
    <w:rsid w:val="00BF6A81"/>
    <w:rsid w:val="00BF6AB7"/>
    <w:rsid w:val="00BF6AD0"/>
    <w:rsid w:val="00BF6AEE"/>
    <w:rsid w:val="00BF6AFF"/>
    <w:rsid w:val="00BF6B0C"/>
    <w:rsid w:val="00BF6B59"/>
    <w:rsid w:val="00BF6B84"/>
    <w:rsid w:val="00BF6BA4"/>
    <w:rsid w:val="00BF6BBF"/>
    <w:rsid w:val="00BF6BED"/>
    <w:rsid w:val="00BF6C09"/>
    <w:rsid w:val="00BF6C96"/>
    <w:rsid w:val="00BF6CA5"/>
    <w:rsid w:val="00BF6CAC"/>
    <w:rsid w:val="00BF6CF2"/>
    <w:rsid w:val="00BF6CFE"/>
    <w:rsid w:val="00BF6D4E"/>
    <w:rsid w:val="00BF6D82"/>
    <w:rsid w:val="00BF6DFD"/>
    <w:rsid w:val="00BF6E17"/>
    <w:rsid w:val="00BF6E44"/>
    <w:rsid w:val="00BF6E7C"/>
    <w:rsid w:val="00BF6EFC"/>
    <w:rsid w:val="00BF6F6D"/>
    <w:rsid w:val="00BF6F8F"/>
    <w:rsid w:val="00BF6FA9"/>
    <w:rsid w:val="00BF6FB1"/>
    <w:rsid w:val="00BF6FB3"/>
    <w:rsid w:val="00BF7042"/>
    <w:rsid w:val="00BF70C1"/>
    <w:rsid w:val="00BF70CE"/>
    <w:rsid w:val="00BF70E3"/>
    <w:rsid w:val="00BF7117"/>
    <w:rsid w:val="00BF7137"/>
    <w:rsid w:val="00BF7146"/>
    <w:rsid w:val="00BF71DD"/>
    <w:rsid w:val="00BF71F4"/>
    <w:rsid w:val="00BF721C"/>
    <w:rsid w:val="00BF7225"/>
    <w:rsid w:val="00BF7283"/>
    <w:rsid w:val="00BF7285"/>
    <w:rsid w:val="00BF72F5"/>
    <w:rsid w:val="00BF7307"/>
    <w:rsid w:val="00BF7340"/>
    <w:rsid w:val="00BF7398"/>
    <w:rsid w:val="00BF73DF"/>
    <w:rsid w:val="00BF73EF"/>
    <w:rsid w:val="00BF7437"/>
    <w:rsid w:val="00BF7441"/>
    <w:rsid w:val="00BF7445"/>
    <w:rsid w:val="00BF7462"/>
    <w:rsid w:val="00BF7489"/>
    <w:rsid w:val="00BF749A"/>
    <w:rsid w:val="00BF74A2"/>
    <w:rsid w:val="00BF7531"/>
    <w:rsid w:val="00BF7652"/>
    <w:rsid w:val="00BF7657"/>
    <w:rsid w:val="00BF76AB"/>
    <w:rsid w:val="00BF76C5"/>
    <w:rsid w:val="00BF7726"/>
    <w:rsid w:val="00BF776C"/>
    <w:rsid w:val="00BF78A8"/>
    <w:rsid w:val="00BF78AD"/>
    <w:rsid w:val="00BF78BD"/>
    <w:rsid w:val="00BF78DC"/>
    <w:rsid w:val="00BF78EE"/>
    <w:rsid w:val="00BF794D"/>
    <w:rsid w:val="00BF795B"/>
    <w:rsid w:val="00BF7970"/>
    <w:rsid w:val="00BF79D4"/>
    <w:rsid w:val="00BF79FC"/>
    <w:rsid w:val="00BF7A38"/>
    <w:rsid w:val="00BF7A58"/>
    <w:rsid w:val="00BF7A74"/>
    <w:rsid w:val="00BF7A7B"/>
    <w:rsid w:val="00BF7A83"/>
    <w:rsid w:val="00BF7B28"/>
    <w:rsid w:val="00BF7B5B"/>
    <w:rsid w:val="00BF7B5D"/>
    <w:rsid w:val="00BF7B69"/>
    <w:rsid w:val="00BF7B6D"/>
    <w:rsid w:val="00BF7BFF"/>
    <w:rsid w:val="00BF7CC4"/>
    <w:rsid w:val="00BF7CE9"/>
    <w:rsid w:val="00BF7CFF"/>
    <w:rsid w:val="00BF7D89"/>
    <w:rsid w:val="00BF7DCE"/>
    <w:rsid w:val="00BF7E51"/>
    <w:rsid w:val="00BF7E8B"/>
    <w:rsid w:val="00BF7E92"/>
    <w:rsid w:val="00BF7EC8"/>
    <w:rsid w:val="00BF7F3B"/>
    <w:rsid w:val="00BF7F47"/>
    <w:rsid w:val="00BF7F5C"/>
    <w:rsid w:val="00BF7F7C"/>
    <w:rsid w:val="00BF7FC7"/>
    <w:rsid w:val="00C00055"/>
    <w:rsid w:val="00C00075"/>
    <w:rsid w:val="00C00077"/>
    <w:rsid w:val="00C0007B"/>
    <w:rsid w:val="00C00083"/>
    <w:rsid w:val="00C000B2"/>
    <w:rsid w:val="00C000F5"/>
    <w:rsid w:val="00C0012A"/>
    <w:rsid w:val="00C0016E"/>
    <w:rsid w:val="00C00175"/>
    <w:rsid w:val="00C001AB"/>
    <w:rsid w:val="00C001C7"/>
    <w:rsid w:val="00C001DA"/>
    <w:rsid w:val="00C00205"/>
    <w:rsid w:val="00C00285"/>
    <w:rsid w:val="00C002BA"/>
    <w:rsid w:val="00C00333"/>
    <w:rsid w:val="00C00338"/>
    <w:rsid w:val="00C0035C"/>
    <w:rsid w:val="00C00377"/>
    <w:rsid w:val="00C003CF"/>
    <w:rsid w:val="00C003FC"/>
    <w:rsid w:val="00C0042B"/>
    <w:rsid w:val="00C0043B"/>
    <w:rsid w:val="00C004C0"/>
    <w:rsid w:val="00C004CC"/>
    <w:rsid w:val="00C004E9"/>
    <w:rsid w:val="00C004EC"/>
    <w:rsid w:val="00C00560"/>
    <w:rsid w:val="00C0058D"/>
    <w:rsid w:val="00C00626"/>
    <w:rsid w:val="00C00627"/>
    <w:rsid w:val="00C00642"/>
    <w:rsid w:val="00C0075E"/>
    <w:rsid w:val="00C00774"/>
    <w:rsid w:val="00C007D0"/>
    <w:rsid w:val="00C007F0"/>
    <w:rsid w:val="00C0083B"/>
    <w:rsid w:val="00C00862"/>
    <w:rsid w:val="00C0087D"/>
    <w:rsid w:val="00C008B5"/>
    <w:rsid w:val="00C0096F"/>
    <w:rsid w:val="00C00979"/>
    <w:rsid w:val="00C00A0A"/>
    <w:rsid w:val="00C00A3E"/>
    <w:rsid w:val="00C00AAD"/>
    <w:rsid w:val="00C00B5F"/>
    <w:rsid w:val="00C00B81"/>
    <w:rsid w:val="00C00BCB"/>
    <w:rsid w:val="00C00C88"/>
    <w:rsid w:val="00C00C98"/>
    <w:rsid w:val="00C00CBF"/>
    <w:rsid w:val="00C00D34"/>
    <w:rsid w:val="00C00D60"/>
    <w:rsid w:val="00C00E22"/>
    <w:rsid w:val="00C00E27"/>
    <w:rsid w:val="00C00E69"/>
    <w:rsid w:val="00C00E6C"/>
    <w:rsid w:val="00C00E86"/>
    <w:rsid w:val="00C00F0E"/>
    <w:rsid w:val="00C00FD8"/>
    <w:rsid w:val="00C01040"/>
    <w:rsid w:val="00C0104C"/>
    <w:rsid w:val="00C011BF"/>
    <w:rsid w:val="00C01207"/>
    <w:rsid w:val="00C01233"/>
    <w:rsid w:val="00C01287"/>
    <w:rsid w:val="00C012C6"/>
    <w:rsid w:val="00C01335"/>
    <w:rsid w:val="00C0133A"/>
    <w:rsid w:val="00C0133E"/>
    <w:rsid w:val="00C0133F"/>
    <w:rsid w:val="00C01383"/>
    <w:rsid w:val="00C01385"/>
    <w:rsid w:val="00C013C9"/>
    <w:rsid w:val="00C013D5"/>
    <w:rsid w:val="00C013DD"/>
    <w:rsid w:val="00C013ED"/>
    <w:rsid w:val="00C01496"/>
    <w:rsid w:val="00C014DA"/>
    <w:rsid w:val="00C01538"/>
    <w:rsid w:val="00C01548"/>
    <w:rsid w:val="00C0154B"/>
    <w:rsid w:val="00C01557"/>
    <w:rsid w:val="00C0157D"/>
    <w:rsid w:val="00C01580"/>
    <w:rsid w:val="00C01584"/>
    <w:rsid w:val="00C01604"/>
    <w:rsid w:val="00C01622"/>
    <w:rsid w:val="00C016F4"/>
    <w:rsid w:val="00C016F5"/>
    <w:rsid w:val="00C01716"/>
    <w:rsid w:val="00C01763"/>
    <w:rsid w:val="00C0176D"/>
    <w:rsid w:val="00C017B8"/>
    <w:rsid w:val="00C017E0"/>
    <w:rsid w:val="00C01806"/>
    <w:rsid w:val="00C0183E"/>
    <w:rsid w:val="00C01845"/>
    <w:rsid w:val="00C0189F"/>
    <w:rsid w:val="00C018A3"/>
    <w:rsid w:val="00C01930"/>
    <w:rsid w:val="00C01953"/>
    <w:rsid w:val="00C019C4"/>
    <w:rsid w:val="00C01A37"/>
    <w:rsid w:val="00C01A39"/>
    <w:rsid w:val="00C01A6C"/>
    <w:rsid w:val="00C01A9A"/>
    <w:rsid w:val="00C01AEC"/>
    <w:rsid w:val="00C01AF7"/>
    <w:rsid w:val="00C01B82"/>
    <w:rsid w:val="00C01BBA"/>
    <w:rsid w:val="00C01C38"/>
    <w:rsid w:val="00C01C92"/>
    <w:rsid w:val="00C01CA0"/>
    <w:rsid w:val="00C01CEF"/>
    <w:rsid w:val="00C01D35"/>
    <w:rsid w:val="00C01D7B"/>
    <w:rsid w:val="00C01F0E"/>
    <w:rsid w:val="00C01F27"/>
    <w:rsid w:val="00C01F79"/>
    <w:rsid w:val="00C02008"/>
    <w:rsid w:val="00C021CA"/>
    <w:rsid w:val="00C02201"/>
    <w:rsid w:val="00C02215"/>
    <w:rsid w:val="00C0225E"/>
    <w:rsid w:val="00C022A2"/>
    <w:rsid w:val="00C022AD"/>
    <w:rsid w:val="00C0237C"/>
    <w:rsid w:val="00C02468"/>
    <w:rsid w:val="00C024CD"/>
    <w:rsid w:val="00C02546"/>
    <w:rsid w:val="00C025BC"/>
    <w:rsid w:val="00C02615"/>
    <w:rsid w:val="00C02694"/>
    <w:rsid w:val="00C026B1"/>
    <w:rsid w:val="00C026BE"/>
    <w:rsid w:val="00C026E2"/>
    <w:rsid w:val="00C026F0"/>
    <w:rsid w:val="00C026F2"/>
    <w:rsid w:val="00C0275C"/>
    <w:rsid w:val="00C02794"/>
    <w:rsid w:val="00C027E0"/>
    <w:rsid w:val="00C02818"/>
    <w:rsid w:val="00C02834"/>
    <w:rsid w:val="00C0283E"/>
    <w:rsid w:val="00C0290B"/>
    <w:rsid w:val="00C029DC"/>
    <w:rsid w:val="00C02A00"/>
    <w:rsid w:val="00C02A43"/>
    <w:rsid w:val="00C02A7A"/>
    <w:rsid w:val="00C02ABD"/>
    <w:rsid w:val="00C02AE2"/>
    <w:rsid w:val="00C02AF0"/>
    <w:rsid w:val="00C02B86"/>
    <w:rsid w:val="00C02B99"/>
    <w:rsid w:val="00C02BA6"/>
    <w:rsid w:val="00C02BA9"/>
    <w:rsid w:val="00C02BE9"/>
    <w:rsid w:val="00C02C35"/>
    <w:rsid w:val="00C02D0E"/>
    <w:rsid w:val="00C02D33"/>
    <w:rsid w:val="00C02E05"/>
    <w:rsid w:val="00C02E60"/>
    <w:rsid w:val="00C02EC4"/>
    <w:rsid w:val="00C02F4A"/>
    <w:rsid w:val="00C02FE2"/>
    <w:rsid w:val="00C0301B"/>
    <w:rsid w:val="00C0304C"/>
    <w:rsid w:val="00C030EC"/>
    <w:rsid w:val="00C0311A"/>
    <w:rsid w:val="00C03141"/>
    <w:rsid w:val="00C031A8"/>
    <w:rsid w:val="00C031B3"/>
    <w:rsid w:val="00C03208"/>
    <w:rsid w:val="00C03259"/>
    <w:rsid w:val="00C03278"/>
    <w:rsid w:val="00C032B7"/>
    <w:rsid w:val="00C032CE"/>
    <w:rsid w:val="00C03354"/>
    <w:rsid w:val="00C0341E"/>
    <w:rsid w:val="00C03420"/>
    <w:rsid w:val="00C0344E"/>
    <w:rsid w:val="00C03456"/>
    <w:rsid w:val="00C034B6"/>
    <w:rsid w:val="00C034CB"/>
    <w:rsid w:val="00C034DB"/>
    <w:rsid w:val="00C03606"/>
    <w:rsid w:val="00C0368D"/>
    <w:rsid w:val="00C03755"/>
    <w:rsid w:val="00C03797"/>
    <w:rsid w:val="00C037D4"/>
    <w:rsid w:val="00C037DC"/>
    <w:rsid w:val="00C037EE"/>
    <w:rsid w:val="00C0380B"/>
    <w:rsid w:val="00C0381C"/>
    <w:rsid w:val="00C03828"/>
    <w:rsid w:val="00C03849"/>
    <w:rsid w:val="00C03871"/>
    <w:rsid w:val="00C038B4"/>
    <w:rsid w:val="00C038F2"/>
    <w:rsid w:val="00C038F7"/>
    <w:rsid w:val="00C03933"/>
    <w:rsid w:val="00C0395C"/>
    <w:rsid w:val="00C03972"/>
    <w:rsid w:val="00C03A47"/>
    <w:rsid w:val="00C03A5E"/>
    <w:rsid w:val="00C03AC1"/>
    <w:rsid w:val="00C03B13"/>
    <w:rsid w:val="00C03B4A"/>
    <w:rsid w:val="00C03B66"/>
    <w:rsid w:val="00C03C1E"/>
    <w:rsid w:val="00C03C34"/>
    <w:rsid w:val="00C03C91"/>
    <w:rsid w:val="00C03CBC"/>
    <w:rsid w:val="00C03CE7"/>
    <w:rsid w:val="00C03CE9"/>
    <w:rsid w:val="00C03CF3"/>
    <w:rsid w:val="00C03D06"/>
    <w:rsid w:val="00C03D66"/>
    <w:rsid w:val="00C03DB2"/>
    <w:rsid w:val="00C03E43"/>
    <w:rsid w:val="00C03E64"/>
    <w:rsid w:val="00C03EF5"/>
    <w:rsid w:val="00C03F52"/>
    <w:rsid w:val="00C03F6B"/>
    <w:rsid w:val="00C03F85"/>
    <w:rsid w:val="00C04085"/>
    <w:rsid w:val="00C040AF"/>
    <w:rsid w:val="00C040C7"/>
    <w:rsid w:val="00C040D8"/>
    <w:rsid w:val="00C040F9"/>
    <w:rsid w:val="00C04131"/>
    <w:rsid w:val="00C04186"/>
    <w:rsid w:val="00C041B3"/>
    <w:rsid w:val="00C041C7"/>
    <w:rsid w:val="00C041FE"/>
    <w:rsid w:val="00C04226"/>
    <w:rsid w:val="00C0424D"/>
    <w:rsid w:val="00C0426D"/>
    <w:rsid w:val="00C0429D"/>
    <w:rsid w:val="00C042A1"/>
    <w:rsid w:val="00C042E7"/>
    <w:rsid w:val="00C04303"/>
    <w:rsid w:val="00C04328"/>
    <w:rsid w:val="00C04330"/>
    <w:rsid w:val="00C04334"/>
    <w:rsid w:val="00C04415"/>
    <w:rsid w:val="00C0443F"/>
    <w:rsid w:val="00C04471"/>
    <w:rsid w:val="00C04484"/>
    <w:rsid w:val="00C0449D"/>
    <w:rsid w:val="00C044B3"/>
    <w:rsid w:val="00C0455C"/>
    <w:rsid w:val="00C04577"/>
    <w:rsid w:val="00C04591"/>
    <w:rsid w:val="00C045C8"/>
    <w:rsid w:val="00C045DE"/>
    <w:rsid w:val="00C0466F"/>
    <w:rsid w:val="00C04707"/>
    <w:rsid w:val="00C04759"/>
    <w:rsid w:val="00C04760"/>
    <w:rsid w:val="00C0479A"/>
    <w:rsid w:val="00C047BC"/>
    <w:rsid w:val="00C047E1"/>
    <w:rsid w:val="00C04815"/>
    <w:rsid w:val="00C0487E"/>
    <w:rsid w:val="00C048B0"/>
    <w:rsid w:val="00C048EF"/>
    <w:rsid w:val="00C04908"/>
    <w:rsid w:val="00C0496B"/>
    <w:rsid w:val="00C04980"/>
    <w:rsid w:val="00C049B5"/>
    <w:rsid w:val="00C049BE"/>
    <w:rsid w:val="00C049D6"/>
    <w:rsid w:val="00C049EF"/>
    <w:rsid w:val="00C04A1E"/>
    <w:rsid w:val="00C04A91"/>
    <w:rsid w:val="00C04A92"/>
    <w:rsid w:val="00C04AD7"/>
    <w:rsid w:val="00C04B30"/>
    <w:rsid w:val="00C04B8F"/>
    <w:rsid w:val="00C04B9D"/>
    <w:rsid w:val="00C04BEF"/>
    <w:rsid w:val="00C04C26"/>
    <w:rsid w:val="00C04C55"/>
    <w:rsid w:val="00C04CCA"/>
    <w:rsid w:val="00C04CE3"/>
    <w:rsid w:val="00C04CFE"/>
    <w:rsid w:val="00C04D0D"/>
    <w:rsid w:val="00C04D41"/>
    <w:rsid w:val="00C04D6C"/>
    <w:rsid w:val="00C04D88"/>
    <w:rsid w:val="00C04D8C"/>
    <w:rsid w:val="00C04D9A"/>
    <w:rsid w:val="00C04DA7"/>
    <w:rsid w:val="00C04DC5"/>
    <w:rsid w:val="00C04DE7"/>
    <w:rsid w:val="00C04E15"/>
    <w:rsid w:val="00C04E2D"/>
    <w:rsid w:val="00C04EE7"/>
    <w:rsid w:val="00C04EFF"/>
    <w:rsid w:val="00C04F08"/>
    <w:rsid w:val="00C04F09"/>
    <w:rsid w:val="00C04F4F"/>
    <w:rsid w:val="00C04F71"/>
    <w:rsid w:val="00C05042"/>
    <w:rsid w:val="00C050C6"/>
    <w:rsid w:val="00C05126"/>
    <w:rsid w:val="00C0516B"/>
    <w:rsid w:val="00C051A0"/>
    <w:rsid w:val="00C051AE"/>
    <w:rsid w:val="00C051C1"/>
    <w:rsid w:val="00C051D9"/>
    <w:rsid w:val="00C051E4"/>
    <w:rsid w:val="00C051EA"/>
    <w:rsid w:val="00C05211"/>
    <w:rsid w:val="00C052A8"/>
    <w:rsid w:val="00C052BD"/>
    <w:rsid w:val="00C05391"/>
    <w:rsid w:val="00C053C5"/>
    <w:rsid w:val="00C05401"/>
    <w:rsid w:val="00C054E2"/>
    <w:rsid w:val="00C05510"/>
    <w:rsid w:val="00C0553D"/>
    <w:rsid w:val="00C0557D"/>
    <w:rsid w:val="00C055F4"/>
    <w:rsid w:val="00C05608"/>
    <w:rsid w:val="00C0560F"/>
    <w:rsid w:val="00C0564A"/>
    <w:rsid w:val="00C0565A"/>
    <w:rsid w:val="00C0566A"/>
    <w:rsid w:val="00C0567E"/>
    <w:rsid w:val="00C05697"/>
    <w:rsid w:val="00C0572B"/>
    <w:rsid w:val="00C05733"/>
    <w:rsid w:val="00C057D6"/>
    <w:rsid w:val="00C057DB"/>
    <w:rsid w:val="00C05847"/>
    <w:rsid w:val="00C058FA"/>
    <w:rsid w:val="00C05950"/>
    <w:rsid w:val="00C05964"/>
    <w:rsid w:val="00C0597D"/>
    <w:rsid w:val="00C059DA"/>
    <w:rsid w:val="00C059F4"/>
    <w:rsid w:val="00C05A04"/>
    <w:rsid w:val="00C05AD0"/>
    <w:rsid w:val="00C05ADA"/>
    <w:rsid w:val="00C05AFF"/>
    <w:rsid w:val="00C05B02"/>
    <w:rsid w:val="00C05B29"/>
    <w:rsid w:val="00C05B9B"/>
    <w:rsid w:val="00C05B9C"/>
    <w:rsid w:val="00C05BD2"/>
    <w:rsid w:val="00C05BE1"/>
    <w:rsid w:val="00C05C54"/>
    <w:rsid w:val="00C05C56"/>
    <w:rsid w:val="00C05CF2"/>
    <w:rsid w:val="00C05D24"/>
    <w:rsid w:val="00C05D42"/>
    <w:rsid w:val="00C05DDE"/>
    <w:rsid w:val="00C05DE1"/>
    <w:rsid w:val="00C05E01"/>
    <w:rsid w:val="00C05E04"/>
    <w:rsid w:val="00C05E51"/>
    <w:rsid w:val="00C05E96"/>
    <w:rsid w:val="00C05EA1"/>
    <w:rsid w:val="00C05EB9"/>
    <w:rsid w:val="00C05EFD"/>
    <w:rsid w:val="00C05F49"/>
    <w:rsid w:val="00C05F50"/>
    <w:rsid w:val="00C05F6E"/>
    <w:rsid w:val="00C05F90"/>
    <w:rsid w:val="00C05F92"/>
    <w:rsid w:val="00C05FCD"/>
    <w:rsid w:val="00C05FCF"/>
    <w:rsid w:val="00C05FEC"/>
    <w:rsid w:val="00C06046"/>
    <w:rsid w:val="00C06060"/>
    <w:rsid w:val="00C06070"/>
    <w:rsid w:val="00C060D0"/>
    <w:rsid w:val="00C060E6"/>
    <w:rsid w:val="00C06159"/>
    <w:rsid w:val="00C0615F"/>
    <w:rsid w:val="00C06167"/>
    <w:rsid w:val="00C0616A"/>
    <w:rsid w:val="00C06175"/>
    <w:rsid w:val="00C061A4"/>
    <w:rsid w:val="00C061E2"/>
    <w:rsid w:val="00C061EC"/>
    <w:rsid w:val="00C061F1"/>
    <w:rsid w:val="00C06208"/>
    <w:rsid w:val="00C06254"/>
    <w:rsid w:val="00C06261"/>
    <w:rsid w:val="00C06262"/>
    <w:rsid w:val="00C06294"/>
    <w:rsid w:val="00C062B9"/>
    <w:rsid w:val="00C062ED"/>
    <w:rsid w:val="00C06328"/>
    <w:rsid w:val="00C06331"/>
    <w:rsid w:val="00C0639E"/>
    <w:rsid w:val="00C06439"/>
    <w:rsid w:val="00C0645B"/>
    <w:rsid w:val="00C0645E"/>
    <w:rsid w:val="00C0646D"/>
    <w:rsid w:val="00C0647B"/>
    <w:rsid w:val="00C064B9"/>
    <w:rsid w:val="00C064D7"/>
    <w:rsid w:val="00C064F5"/>
    <w:rsid w:val="00C064F7"/>
    <w:rsid w:val="00C06511"/>
    <w:rsid w:val="00C06537"/>
    <w:rsid w:val="00C06560"/>
    <w:rsid w:val="00C0658B"/>
    <w:rsid w:val="00C065F3"/>
    <w:rsid w:val="00C066C1"/>
    <w:rsid w:val="00C066EB"/>
    <w:rsid w:val="00C06820"/>
    <w:rsid w:val="00C06823"/>
    <w:rsid w:val="00C0684C"/>
    <w:rsid w:val="00C06851"/>
    <w:rsid w:val="00C0688F"/>
    <w:rsid w:val="00C0690C"/>
    <w:rsid w:val="00C06931"/>
    <w:rsid w:val="00C06961"/>
    <w:rsid w:val="00C06966"/>
    <w:rsid w:val="00C06980"/>
    <w:rsid w:val="00C06997"/>
    <w:rsid w:val="00C069E2"/>
    <w:rsid w:val="00C06A71"/>
    <w:rsid w:val="00C06A8B"/>
    <w:rsid w:val="00C06AD0"/>
    <w:rsid w:val="00C06B4D"/>
    <w:rsid w:val="00C06B81"/>
    <w:rsid w:val="00C06B83"/>
    <w:rsid w:val="00C06BDD"/>
    <w:rsid w:val="00C06BFC"/>
    <w:rsid w:val="00C06C55"/>
    <w:rsid w:val="00C06C5A"/>
    <w:rsid w:val="00C06CAB"/>
    <w:rsid w:val="00C06CB9"/>
    <w:rsid w:val="00C06D0C"/>
    <w:rsid w:val="00C06D45"/>
    <w:rsid w:val="00C06DBD"/>
    <w:rsid w:val="00C06E18"/>
    <w:rsid w:val="00C06E6B"/>
    <w:rsid w:val="00C06E93"/>
    <w:rsid w:val="00C06F70"/>
    <w:rsid w:val="00C06F78"/>
    <w:rsid w:val="00C06FFF"/>
    <w:rsid w:val="00C07043"/>
    <w:rsid w:val="00C0704C"/>
    <w:rsid w:val="00C0704E"/>
    <w:rsid w:val="00C0706C"/>
    <w:rsid w:val="00C07073"/>
    <w:rsid w:val="00C0707D"/>
    <w:rsid w:val="00C070A1"/>
    <w:rsid w:val="00C070C4"/>
    <w:rsid w:val="00C0714A"/>
    <w:rsid w:val="00C07151"/>
    <w:rsid w:val="00C07172"/>
    <w:rsid w:val="00C07199"/>
    <w:rsid w:val="00C071D6"/>
    <w:rsid w:val="00C071DE"/>
    <w:rsid w:val="00C0720F"/>
    <w:rsid w:val="00C07242"/>
    <w:rsid w:val="00C07274"/>
    <w:rsid w:val="00C0739D"/>
    <w:rsid w:val="00C07496"/>
    <w:rsid w:val="00C074C0"/>
    <w:rsid w:val="00C074EE"/>
    <w:rsid w:val="00C0752D"/>
    <w:rsid w:val="00C07585"/>
    <w:rsid w:val="00C07596"/>
    <w:rsid w:val="00C075A1"/>
    <w:rsid w:val="00C075B5"/>
    <w:rsid w:val="00C075B6"/>
    <w:rsid w:val="00C075D3"/>
    <w:rsid w:val="00C07611"/>
    <w:rsid w:val="00C0761E"/>
    <w:rsid w:val="00C0763A"/>
    <w:rsid w:val="00C0766E"/>
    <w:rsid w:val="00C07678"/>
    <w:rsid w:val="00C07685"/>
    <w:rsid w:val="00C076BB"/>
    <w:rsid w:val="00C07754"/>
    <w:rsid w:val="00C077D6"/>
    <w:rsid w:val="00C077D9"/>
    <w:rsid w:val="00C0783E"/>
    <w:rsid w:val="00C07841"/>
    <w:rsid w:val="00C078A5"/>
    <w:rsid w:val="00C07914"/>
    <w:rsid w:val="00C07967"/>
    <w:rsid w:val="00C0797A"/>
    <w:rsid w:val="00C07A43"/>
    <w:rsid w:val="00C07A49"/>
    <w:rsid w:val="00C07ABC"/>
    <w:rsid w:val="00C07AD9"/>
    <w:rsid w:val="00C07ADC"/>
    <w:rsid w:val="00C07B12"/>
    <w:rsid w:val="00C07B2A"/>
    <w:rsid w:val="00C07B3F"/>
    <w:rsid w:val="00C07B5F"/>
    <w:rsid w:val="00C07B6B"/>
    <w:rsid w:val="00C07B6C"/>
    <w:rsid w:val="00C07C1C"/>
    <w:rsid w:val="00C07D01"/>
    <w:rsid w:val="00C07D9A"/>
    <w:rsid w:val="00C07DB8"/>
    <w:rsid w:val="00C07DD4"/>
    <w:rsid w:val="00C07E00"/>
    <w:rsid w:val="00C07E1E"/>
    <w:rsid w:val="00C07E33"/>
    <w:rsid w:val="00C07EF1"/>
    <w:rsid w:val="00C07EFA"/>
    <w:rsid w:val="00C07F40"/>
    <w:rsid w:val="00C07F67"/>
    <w:rsid w:val="00C07F6C"/>
    <w:rsid w:val="00C07F96"/>
    <w:rsid w:val="00C07FA8"/>
    <w:rsid w:val="00C1002D"/>
    <w:rsid w:val="00C1003E"/>
    <w:rsid w:val="00C10061"/>
    <w:rsid w:val="00C10107"/>
    <w:rsid w:val="00C10190"/>
    <w:rsid w:val="00C101E4"/>
    <w:rsid w:val="00C10223"/>
    <w:rsid w:val="00C1022E"/>
    <w:rsid w:val="00C10250"/>
    <w:rsid w:val="00C10261"/>
    <w:rsid w:val="00C10329"/>
    <w:rsid w:val="00C10363"/>
    <w:rsid w:val="00C103DF"/>
    <w:rsid w:val="00C10436"/>
    <w:rsid w:val="00C10461"/>
    <w:rsid w:val="00C1049B"/>
    <w:rsid w:val="00C104D5"/>
    <w:rsid w:val="00C10600"/>
    <w:rsid w:val="00C10635"/>
    <w:rsid w:val="00C106D0"/>
    <w:rsid w:val="00C106D3"/>
    <w:rsid w:val="00C106FA"/>
    <w:rsid w:val="00C10742"/>
    <w:rsid w:val="00C10786"/>
    <w:rsid w:val="00C107A6"/>
    <w:rsid w:val="00C107D1"/>
    <w:rsid w:val="00C107D9"/>
    <w:rsid w:val="00C1081C"/>
    <w:rsid w:val="00C1084E"/>
    <w:rsid w:val="00C10854"/>
    <w:rsid w:val="00C1087A"/>
    <w:rsid w:val="00C108AB"/>
    <w:rsid w:val="00C108F2"/>
    <w:rsid w:val="00C1092D"/>
    <w:rsid w:val="00C10942"/>
    <w:rsid w:val="00C10987"/>
    <w:rsid w:val="00C109CA"/>
    <w:rsid w:val="00C10A58"/>
    <w:rsid w:val="00C10A93"/>
    <w:rsid w:val="00C10AE8"/>
    <w:rsid w:val="00C10B1E"/>
    <w:rsid w:val="00C10BDA"/>
    <w:rsid w:val="00C10C61"/>
    <w:rsid w:val="00C10C89"/>
    <w:rsid w:val="00C10C92"/>
    <w:rsid w:val="00C10C99"/>
    <w:rsid w:val="00C10CAD"/>
    <w:rsid w:val="00C10CDD"/>
    <w:rsid w:val="00C10D34"/>
    <w:rsid w:val="00C10D50"/>
    <w:rsid w:val="00C10D6D"/>
    <w:rsid w:val="00C10DB3"/>
    <w:rsid w:val="00C10DB6"/>
    <w:rsid w:val="00C10DD0"/>
    <w:rsid w:val="00C10DE7"/>
    <w:rsid w:val="00C10E13"/>
    <w:rsid w:val="00C10E4E"/>
    <w:rsid w:val="00C10E8B"/>
    <w:rsid w:val="00C10EB7"/>
    <w:rsid w:val="00C10EDC"/>
    <w:rsid w:val="00C10F29"/>
    <w:rsid w:val="00C10F43"/>
    <w:rsid w:val="00C10F73"/>
    <w:rsid w:val="00C10FBB"/>
    <w:rsid w:val="00C1109F"/>
    <w:rsid w:val="00C110B7"/>
    <w:rsid w:val="00C1110C"/>
    <w:rsid w:val="00C111B4"/>
    <w:rsid w:val="00C111D8"/>
    <w:rsid w:val="00C11227"/>
    <w:rsid w:val="00C1122D"/>
    <w:rsid w:val="00C1125B"/>
    <w:rsid w:val="00C1129D"/>
    <w:rsid w:val="00C112C4"/>
    <w:rsid w:val="00C1133C"/>
    <w:rsid w:val="00C11373"/>
    <w:rsid w:val="00C11395"/>
    <w:rsid w:val="00C113EA"/>
    <w:rsid w:val="00C11425"/>
    <w:rsid w:val="00C11461"/>
    <w:rsid w:val="00C11468"/>
    <w:rsid w:val="00C114A1"/>
    <w:rsid w:val="00C114A2"/>
    <w:rsid w:val="00C114BB"/>
    <w:rsid w:val="00C114E4"/>
    <w:rsid w:val="00C11513"/>
    <w:rsid w:val="00C11518"/>
    <w:rsid w:val="00C1152D"/>
    <w:rsid w:val="00C11537"/>
    <w:rsid w:val="00C11558"/>
    <w:rsid w:val="00C11563"/>
    <w:rsid w:val="00C1156B"/>
    <w:rsid w:val="00C115AB"/>
    <w:rsid w:val="00C11622"/>
    <w:rsid w:val="00C11689"/>
    <w:rsid w:val="00C116F0"/>
    <w:rsid w:val="00C1178E"/>
    <w:rsid w:val="00C117BA"/>
    <w:rsid w:val="00C117F8"/>
    <w:rsid w:val="00C11807"/>
    <w:rsid w:val="00C1187A"/>
    <w:rsid w:val="00C118AB"/>
    <w:rsid w:val="00C118B3"/>
    <w:rsid w:val="00C118CF"/>
    <w:rsid w:val="00C11921"/>
    <w:rsid w:val="00C11957"/>
    <w:rsid w:val="00C1196C"/>
    <w:rsid w:val="00C11A03"/>
    <w:rsid w:val="00C11AF3"/>
    <w:rsid w:val="00C11B13"/>
    <w:rsid w:val="00C11B6D"/>
    <w:rsid w:val="00C11B90"/>
    <w:rsid w:val="00C11B9D"/>
    <w:rsid w:val="00C11C56"/>
    <w:rsid w:val="00C11C76"/>
    <w:rsid w:val="00C11C86"/>
    <w:rsid w:val="00C11CD2"/>
    <w:rsid w:val="00C11CD3"/>
    <w:rsid w:val="00C11D06"/>
    <w:rsid w:val="00C11D51"/>
    <w:rsid w:val="00C11D6D"/>
    <w:rsid w:val="00C11E4E"/>
    <w:rsid w:val="00C11E61"/>
    <w:rsid w:val="00C11E82"/>
    <w:rsid w:val="00C11E8E"/>
    <w:rsid w:val="00C11EC0"/>
    <w:rsid w:val="00C11F11"/>
    <w:rsid w:val="00C11F43"/>
    <w:rsid w:val="00C11F9C"/>
    <w:rsid w:val="00C11FE3"/>
    <w:rsid w:val="00C1203D"/>
    <w:rsid w:val="00C12097"/>
    <w:rsid w:val="00C120DD"/>
    <w:rsid w:val="00C12151"/>
    <w:rsid w:val="00C121E7"/>
    <w:rsid w:val="00C121ED"/>
    <w:rsid w:val="00C121F8"/>
    <w:rsid w:val="00C1227B"/>
    <w:rsid w:val="00C12288"/>
    <w:rsid w:val="00C1229A"/>
    <w:rsid w:val="00C1229F"/>
    <w:rsid w:val="00C122C1"/>
    <w:rsid w:val="00C12311"/>
    <w:rsid w:val="00C12347"/>
    <w:rsid w:val="00C12348"/>
    <w:rsid w:val="00C1238A"/>
    <w:rsid w:val="00C12392"/>
    <w:rsid w:val="00C12453"/>
    <w:rsid w:val="00C12464"/>
    <w:rsid w:val="00C1250D"/>
    <w:rsid w:val="00C1252A"/>
    <w:rsid w:val="00C1254F"/>
    <w:rsid w:val="00C12551"/>
    <w:rsid w:val="00C12557"/>
    <w:rsid w:val="00C12580"/>
    <w:rsid w:val="00C1258E"/>
    <w:rsid w:val="00C1259E"/>
    <w:rsid w:val="00C125B6"/>
    <w:rsid w:val="00C125D7"/>
    <w:rsid w:val="00C12604"/>
    <w:rsid w:val="00C12606"/>
    <w:rsid w:val="00C1264F"/>
    <w:rsid w:val="00C126A8"/>
    <w:rsid w:val="00C126BA"/>
    <w:rsid w:val="00C126DE"/>
    <w:rsid w:val="00C12725"/>
    <w:rsid w:val="00C127AC"/>
    <w:rsid w:val="00C128C4"/>
    <w:rsid w:val="00C12936"/>
    <w:rsid w:val="00C12993"/>
    <w:rsid w:val="00C1299B"/>
    <w:rsid w:val="00C12A04"/>
    <w:rsid w:val="00C12A3B"/>
    <w:rsid w:val="00C12A73"/>
    <w:rsid w:val="00C12B0A"/>
    <w:rsid w:val="00C12B11"/>
    <w:rsid w:val="00C12B62"/>
    <w:rsid w:val="00C12BBF"/>
    <w:rsid w:val="00C12C0C"/>
    <w:rsid w:val="00C12C22"/>
    <w:rsid w:val="00C12C7E"/>
    <w:rsid w:val="00C12C98"/>
    <w:rsid w:val="00C12D01"/>
    <w:rsid w:val="00C12D03"/>
    <w:rsid w:val="00C12D1C"/>
    <w:rsid w:val="00C12DA0"/>
    <w:rsid w:val="00C12DD9"/>
    <w:rsid w:val="00C12E20"/>
    <w:rsid w:val="00C12E30"/>
    <w:rsid w:val="00C12E4C"/>
    <w:rsid w:val="00C12E61"/>
    <w:rsid w:val="00C12E86"/>
    <w:rsid w:val="00C12ECA"/>
    <w:rsid w:val="00C12FA0"/>
    <w:rsid w:val="00C12FAA"/>
    <w:rsid w:val="00C12FEA"/>
    <w:rsid w:val="00C12FFC"/>
    <w:rsid w:val="00C13063"/>
    <w:rsid w:val="00C13078"/>
    <w:rsid w:val="00C13099"/>
    <w:rsid w:val="00C130F9"/>
    <w:rsid w:val="00C13104"/>
    <w:rsid w:val="00C1316B"/>
    <w:rsid w:val="00C132B7"/>
    <w:rsid w:val="00C132C5"/>
    <w:rsid w:val="00C132FE"/>
    <w:rsid w:val="00C1331A"/>
    <w:rsid w:val="00C1337C"/>
    <w:rsid w:val="00C133C4"/>
    <w:rsid w:val="00C133C9"/>
    <w:rsid w:val="00C133F7"/>
    <w:rsid w:val="00C13407"/>
    <w:rsid w:val="00C13471"/>
    <w:rsid w:val="00C13494"/>
    <w:rsid w:val="00C134A4"/>
    <w:rsid w:val="00C134A9"/>
    <w:rsid w:val="00C13566"/>
    <w:rsid w:val="00C1359F"/>
    <w:rsid w:val="00C13653"/>
    <w:rsid w:val="00C136CF"/>
    <w:rsid w:val="00C136D2"/>
    <w:rsid w:val="00C136DA"/>
    <w:rsid w:val="00C1375A"/>
    <w:rsid w:val="00C13840"/>
    <w:rsid w:val="00C1384F"/>
    <w:rsid w:val="00C1386E"/>
    <w:rsid w:val="00C13897"/>
    <w:rsid w:val="00C138EE"/>
    <w:rsid w:val="00C13969"/>
    <w:rsid w:val="00C13979"/>
    <w:rsid w:val="00C13980"/>
    <w:rsid w:val="00C13987"/>
    <w:rsid w:val="00C13A1A"/>
    <w:rsid w:val="00C13A34"/>
    <w:rsid w:val="00C13A7D"/>
    <w:rsid w:val="00C13A8E"/>
    <w:rsid w:val="00C13AAF"/>
    <w:rsid w:val="00C13AF1"/>
    <w:rsid w:val="00C13B23"/>
    <w:rsid w:val="00C13B5B"/>
    <w:rsid w:val="00C13B60"/>
    <w:rsid w:val="00C13B92"/>
    <w:rsid w:val="00C13C69"/>
    <w:rsid w:val="00C13CB0"/>
    <w:rsid w:val="00C13D11"/>
    <w:rsid w:val="00C13D30"/>
    <w:rsid w:val="00C13E86"/>
    <w:rsid w:val="00C13EB9"/>
    <w:rsid w:val="00C13EDD"/>
    <w:rsid w:val="00C13F26"/>
    <w:rsid w:val="00C13F2B"/>
    <w:rsid w:val="00C13F41"/>
    <w:rsid w:val="00C13FB5"/>
    <w:rsid w:val="00C14020"/>
    <w:rsid w:val="00C1408B"/>
    <w:rsid w:val="00C140F8"/>
    <w:rsid w:val="00C140FB"/>
    <w:rsid w:val="00C14116"/>
    <w:rsid w:val="00C1420A"/>
    <w:rsid w:val="00C14238"/>
    <w:rsid w:val="00C142B4"/>
    <w:rsid w:val="00C1430C"/>
    <w:rsid w:val="00C14310"/>
    <w:rsid w:val="00C14343"/>
    <w:rsid w:val="00C14389"/>
    <w:rsid w:val="00C143BC"/>
    <w:rsid w:val="00C143BE"/>
    <w:rsid w:val="00C144A2"/>
    <w:rsid w:val="00C144D0"/>
    <w:rsid w:val="00C1452B"/>
    <w:rsid w:val="00C14530"/>
    <w:rsid w:val="00C14549"/>
    <w:rsid w:val="00C145A2"/>
    <w:rsid w:val="00C14666"/>
    <w:rsid w:val="00C1469F"/>
    <w:rsid w:val="00C146A2"/>
    <w:rsid w:val="00C146CF"/>
    <w:rsid w:val="00C14705"/>
    <w:rsid w:val="00C1476E"/>
    <w:rsid w:val="00C14779"/>
    <w:rsid w:val="00C1482B"/>
    <w:rsid w:val="00C14848"/>
    <w:rsid w:val="00C14888"/>
    <w:rsid w:val="00C148A7"/>
    <w:rsid w:val="00C1490D"/>
    <w:rsid w:val="00C149E2"/>
    <w:rsid w:val="00C149E5"/>
    <w:rsid w:val="00C14A3A"/>
    <w:rsid w:val="00C14A3D"/>
    <w:rsid w:val="00C14ADA"/>
    <w:rsid w:val="00C14AEE"/>
    <w:rsid w:val="00C14B4C"/>
    <w:rsid w:val="00C14B76"/>
    <w:rsid w:val="00C14BE1"/>
    <w:rsid w:val="00C14C27"/>
    <w:rsid w:val="00C14C5D"/>
    <w:rsid w:val="00C14CAA"/>
    <w:rsid w:val="00C14CAB"/>
    <w:rsid w:val="00C14CD0"/>
    <w:rsid w:val="00C14DBC"/>
    <w:rsid w:val="00C14E34"/>
    <w:rsid w:val="00C14E5E"/>
    <w:rsid w:val="00C14E64"/>
    <w:rsid w:val="00C14E9A"/>
    <w:rsid w:val="00C14F2C"/>
    <w:rsid w:val="00C14F71"/>
    <w:rsid w:val="00C14F72"/>
    <w:rsid w:val="00C15044"/>
    <w:rsid w:val="00C1505D"/>
    <w:rsid w:val="00C15096"/>
    <w:rsid w:val="00C1512F"/>
    <w:rsid w:val="00C15153"/>
    <w:rsid w:val="00C15213"/>
    <w:rsid w:val="00C1528F"/>
    <w:rsid w:val="00C152A8"/>
    <w:rsid w:val="00C152C7"/>
    <w:rsid w:val="00C15304"/>
    <w:rsid w:val="00C1533C"/>
    <w:rsid w:val="00C153D9"/>
    <w:rsid w:val="00C153E8"/>
    <w:rsid w:val="00C15410"/>
    <w:rsid w:val="00C15477"/>
    <w:rsid w:val="00C1547D"/>
    <w:rsid w:val="00C154A8"/>
    <w:rsid w:val="00C154B3"/>
    <w:rsid w:val="00C15505"/>
    <w:rsid w:val="00C15518"/>
    <w:rsid w:val="00C15586"/>
    <w:rsid w:val="00C155A1"/>
    <w:rsid w:val="00C155F9"/>
    <w:rsid w:val="00C1560D"/>
    <w:rsid w:val="00C1567D"/>
    <w:rsid w:val="00C156D2"/>
    <w:rsid w:val="00C1574A"/>
    <w:rsid w:val="00C15757"/>
    <w:rsid w:val="00C15776"/>
    <w:rsid w:val="00C157FD"/>
    <w:rsid w:val="00C1584B"/>
    <w:rsid w:val="00C15863"/>
    <w:rsid w:val="00C158CF"/>
    <w:rsid w:val="00C1594F"/>
    <w:rsid w:val="00C159A2"/>
    <w:rsid w:val="00C15A03"/>
    <w:rsid w:val="00C15A1B"/>
    <w:rsid w:val="00C15AD6"/>
    <w:rsid w:val="00C15B69"/>
    <w:rsid w:val="00C15BB1"/>
    <w:rsid w:val="00C15C1B"/>
    <w:rsid w:val="00C15C3F"/>
    <w:rsid w:val="00C15C7C"/>
    <w:rsid w:val="00C15C98"/>
    <w:rsid w:val="00C15D21"/>
    <w:rsid w:val="00C15D34"/>
    <w:rsid w:val="00C15D58"/>
    <w:rsid w:val="00C15D95"/>
    <w:rsid w:val="00C15DC7"/>
    <w:rsid w:val="00C15DCD"/>
    <w:rsid w:val="00C15E08"/>
    <w:rsid w:val="00C15E53"/>
    <w:rsid w:val="00C15EE0"/>
    <w:rsid w:val="00C15EE4"/>
    <w:rsid w:val="00C15EFD"/>
    <w:rsid w:val="00C15F27"/>
    <w:rsid w:val="00C15F92"/>
    <w:rsid w:val="00C15FB3"/>
    <w:rsid w:val="00C15FB7"/>
    <w:rsid w:val="00C15FE6"/>
    <w:rsid w:val="00C15FFC"/>
    <w:rsid w:val="00C16011"/>
    <w:rsid w:val="00C1604D"/>
    <w:rsid w:val="00C16106"/>
    <w:rsid w:val="00C16117"/>
    <w:rsid w:val="00C16143"/>
    <w:rsid w:val="00C16234"/>
    <w:rsid w:val="00C16250"/>
    <w:rsid w:val="00C1629C"/>
    <w:rsid w:val="00C1632A"/>
    <w:rsid w:val="00C16350"/>
    <w:rsid w:val="00C163BE"/>
    <w:rsid w:val="00C163C9"/>
    <w:rsid w:val="00C163CA"/>
    <w:rsid w:val="00C163E5"/>
    <w:rsid w:val="00C163FB"/>
    <w:rsid w:val="00C16469"/>
    <w:rsid w:val="00C16484"/>
    <w:rsid w:val="00C16513"/>
    <w:rsid w:val="00C1652B"/>
    <w:rsid w:val="00C1658B"/>
    <w:rsid w:val="00C16665"/>
    <w:rsid w:val="00C166F4"/>
    <w:rsid w:val="00C16717"/>
    <w:rsid w:val="00C1672F"/>
    <w:rsid w:val="00C1673C"/>
    <w:rsid w:val="00C167C6"/>
    <w:rsid w:val="00C167F9"/>
    <w:rsid w:val="00C16823"/>
    <w:rsid w:val="00C16836"/>
    <w:rsid w:val="00C1684F"/>
    <w:rsid w:val="00C16873"/>
    <w:rsid w:val="00C1688A"/>
    <w:rsid w:val="00C16891"/>
    <w:rsid w:val="00C169CA"/>
    <w:rsid w:val="00C169F7"/>
    <w:rsid w:val="00C16A08"/>
    <w:rsid w:val="00C16A36"/>
    <w:rsid w:val="00C16A57"/>
    <w:rsid w:val="00C16A84"/>
    <w:rsid w:val="00C16B08"/>
    <w:rsid w:val="00C16B1E"/>
    <w:rsid w:val="00C16B22"/>
    <w:rsid w:val="00C16B2C"/>
    <w:rsid w:val="00C16B3E"/>
    <w:rsid w:val="00C16BD3"/>
    <w:rsid w:val="00C16BEC"/>
    <w:rsid w:val="00C16CB1"/>
    <w:rsid w:val="00C16CF1"/>
    <w:rsid w:val="00C16D6A"/>
    <w:rsid w:val="00C16D8A"/>
    <w:rsid w:val="00C16D8B"/>
    <w:rsid w:val="00C16DBB"/>
    <w:rsid w:val="00C16E6A"/>
    <w:rsid w:val="00C16E73"/>
    <w:rsid w:val="00C16E7B"/>
    <w:rsid w:val="00C16EB7"/>
    <w:rsid w:val="00C16EBC"/>
    <w:rsid w:val="00C16EDA"/>
    <w:rsid w:val="00C16F25"/>
    <w:rsid w:val="00C16F2E"/>
    <w:rsid w:val="00C16F3B"/>
    <w:rsid w:val="00C16F41"/>
    <w:rsid w:val="00C16FDE"/>
    <w:rsid w:val="00C16FEC"/>
    <w:rsid w:val="00C16FF7"/>
    <w:rsid w:val="00C17001"/>
    <w:rsid w:val="00C17082"/>
    <w:rsid w:val="00C170C2"/>
    <w:rsid w:val="00C170E6"/>
    <w:rsid w:val="00C171BA"/>
    <w:rsid w:val="00C171BD"/>
    <w:rsid w:val="00C1720B"/>
    <w:rsid w:val="00C1725F"/>
    <w:rsid w:val="00C17277"/>
    <w:rsid w:val="00C17298"/>
    <w:rsid w:val="00C172D0"/>
    <w:rsid w:val="00C17306"/>
    <w:rsid w:val="00C1731B"/>
    <w:rsid w:val="00C17326"/>
    <w:rsid w:val="00C17381"/>
    <w:rsid w:val="00C1747F"/>
    <w:rsid w:val="00C1748C"/>
    <w:rsid w:val="00C1749D"/>
    <w:rsid w:val="00C174B8"/>
    <w:rsid w:val="00C174BD"/>
    <w:rsid w:val="00C174C2"/>
    <w:rsid w:val="00C1757B"/>
    <w:rsid w:val="00C17636"/>
    <w:rsid w:val="00C176BA"/>
    <w:rsid w:val="00C176C3"/>
    <w:rsid w:val="00C176CB"/>
    <w:rsid w:val="00C1775B"/>
    <w:rsid w:val="00C1776F"/>
    <w:rsid w:val="00C177F5"/>
    <w:rsid w:val="00C1780C"/>
    <w:rsid w:val="00C17817"/>
    <w:rsid w:val="00C17858"/>
    <w:rsid w:val="00C17867"/>
    <w:rsid w:val="00C17887"/>
    <w:rsid w:val="00C17922"/>
    <w:rsid w:val="00C17928"/>
    <w:rsid w:val="00C17935"/>
    <w:rsid w:val="00C17968"/>
    <w:rsid w:val="00C17977"/>
    <w:rsid w:val="00C17A29"/>
    <w:rsid w:val="00C17A67"/>
    <w:rsid w:val="00C17A91"/>
    <w:rsid w:val="00C17A97"/>
    <w:rsid w:val="00C17A98"/>
    <w:rsid w:val="00C17B63"/>
    <w:rsid w:val="00C17BA7"/>
    <w:rsid w:val="00C17C2E"/>
    <w:rsid w:val="00C17C59"/>
    <w:rsid w:val="00C17C94"/>
    <w:rsid w:val="00C17CA1"/>
    <w:rsid w:val="00C17D17"/>
    <w:rsid w:val="00C17D77"/>
    <w:rsid w:val="00C17D91"/>
    <w:rsid w:val="00C17D94"/>
    <w:rsid w:val="00C17DC8"/>
    <w:rsid w:val="00C17DCF"/>
    <w:rsid w:val="00C17E60"/>
    <w:rsid w:val="00C17E9C"/>
    <w:rsid w:val="00C17F1E"/>
    <w:rsid w:val="00C17F5B"/>
    <w:rsid w:val="00C17F63"/>
    <w:rsid w:val="00C17FA7"/>
    <w:rsid w:val="00C17FB8"/>
    <w:rsid w:val="00C17FE0"/>
    <w:rsid w:val="00C20002"/>
    <w:rsid w:val="00C20010"/>
    <w:rsid w:val="00C200BD"/>
    <w:rsid w:val="00C200C6"/>
    <w:rsid w:val="00C200F4"/>
    <w:rsid w:val="00C2010B"/>
    <w:rsid w:val="00C20153"/>
    <w:rsid w:val="00C20181"/>
    <w:rsid w:val="00C20188"/>
    <w:rsid w:val="00C20207"/>
    <w:rsid w:val="00C20215"/>
    <w:rsid w:val="00C2025A"/>
    <w:rsid w:val="00C2026D"/>
    <w:rsid w:val="00C20285"/>
    <w:rsid w:val="00C2029E"/>
    <w:rsid w:val="00C202A3"/>
    <w:rsid w:val="00C20320"/>
    <w:rsid w:val="00C203A3"/>
    <w:rsid w:val="00C203E7"/>
    <w:rsid w:val="00C20479"/>
    <w:rsid w:val="00C204E5"/>
    <w:rsid w:val="00C2052E"/>
    <w:rsid w:val="00C20575"/>
    <w:rsid w:val="00C205B1"/>
    <w:rsid w:val="00C205C0"/>
    <w:rsid w:val="00C206C2"/>
    <w:rsid w:val="00C206DA"/>
    <w:rsid w:val="00C206E1"/>
    <w:rsid w:val="00C20795"/>
    <w:rsid w:val="00C2079C"/>
    <w:rsid w:val="00C207DA"/>
    <w:rsid w:val="00C2086D"/>
    <w:rsid w:val="00C20890"/>
    <w:rsid w:val="00C209C0"/>
    <w:rsid w:val="00C209CC"/>
    <w:rsid w:val="00C209DA"/>
    <w:rsid w:val="00C209E5"/>
    <w:rsid w:val="00C209F2"/>
    <w:rsid w:val="00C209F7"/>
    <w:rsid w:val="00C20A05"/>
    <w:rsid w:val="00C20A5D"/>
    <w:rsid w:val="00C20A74"/>
    <w:rsid w:val="00C20ACB"/>
    <w:rsid w:val="00C20B0D"/>
    <w:rsid w:val="00C20B33"/>
    <w:rsid w:val="00C20B6D"/>
    <w:rsid w:val="00C20C4D"/>
    <w:rsid w:val="00C20C4F"/>
    <w:rsid w:val="00C20C78"/>
    <w:rsid w:val="00C20C94"/>
    <w:rsid w:val="00C20CA1"/>
    <w:rsid w:val="00C20CA3"/>
    <w:rsid w:val="00C20CAC"/>
    <w:rsid w:val="00C20CC0"/>
    <w:rsid w:val="00C20D75"/>
    <w:rsid w:val="00C20DB7"/>
    <w:rsid w:val="00C20DC4"/>
    <w:rsid w:val="00C20DD6"/>
    <w:rsid w:val="00C20DEC"/>
    <w:rsid w:val="00C20E1C"/>
    <w:rsid w:val="00C20E89"/>
    <w:rsid w:val="00C20E8A"/>
    <w:rsid w:val="00C20EA0"/>
    <w:rsid w:val="00C20EB6"/>
    <w:rsid w:val="00C20EF0"/>
    <w:rsid w:val="00C20F71"/>
    <w:rsid w:val="00C20F94"/>
    <w:rsid w:val="00C20F9D"/>
    <w:rsid w:val="00C20FD9"/>
    <w:rsid w:val="00C20FF3"/>
    <w:rsid w:val="00C2104E"/>
    <w:rsid w:val="00C21059"/>
    <w:rsid w:val="00C210B7"/>
    <w:rsid w:val="00C210D5"/>
    <w:rsid w:val="00C210E8"/>
    <w:rsid w:val="00C21103"/>
    <w:rsid w:val="00C21144"/>
    <w:rsid w:val="00C21145"/>
    <w:rsid w:val="00C21149"/>
    <w:rsid w:val="00C2114C"/>
    <w:rsid w:val="00C21192"/>
    <w:rsid w:val="00C21213"/>
    <w:rsid w:val="00C21277"/>
    <w:rsid w:val="00C2127B"/>
    <w:rsid w:val="00C212B7"/>
    <w:rsid w:val="00C212CC"/>
    <w:rsid w:val="00C212E0"/>
    <w:rsid w:val="00C212E4"/>
    <w:rsid w:val="00C2130D"/>
    <w:rsid w:val="00C2133F"/>
    <w:rsid w:val="00C21381"/>
    <w:rsid w:val="00C21455"/>
    <w:rsid w:val="00C214C7"/>
    <w:rsid w:val="00C214E6"/>
    <w:rsid w:val="00C214EE"/>
    <w:rsid w:val="00C2150C"/>
    <w:rsid w:val="00C2151A"/>
    <w:rsid w:val="00C2153E"/>
    <w:rsid w:val="00C21594"/>
    <w:rsid w:val="00C215BB"/>
    <w:rsid w:val="00C215D0"/>
    <w:rsid w:val="00C21646"/>
    <w:rsid w:val="00C2165C"/>
    <w:rsid w:val="00C21699"/>
    <w:rsid w:val="00C216E2"/>
    <w:rsid w:val="00C2171C"/>
    <w:rsid w:val="00C21739"/>
    <w:rsid w:val="00C2176C"/>
    <w:rsid w:val="00C217E9"/>
    <w:rsid w:val="00C21886"/>
    <w:rsid w:val="00C218BE"/>
    <w:rsid w:val="00C21914"/>
    <w:rsid w:val="00C219B6"/>
    <w:rsid w:val="00C21A50"/>
    <w:rsid w:val="00C21AD3"/>
    <w:rsid w:val="00C21BAA"/>
    <w:rsid w:val="00C21BFA"/>
    <w:rsid w:val="00C21C5C"/>
    <w:rsid w:val="00C21CBF"/>
    <w:rsid w:val="00C21CDE"/>
    <w:rsid w:val="00C21CE4"/>
    <w:rsid w:val="00C21CF4"/>
    <w:rsid w:val="00C21D14"/>
    <w:rsid w:val="00C21D30"/>
    <w:rsid w:val="00C21D44"/>
    <w:rsid w:val="00C21D63"/>
    <w:rsid w:val="00C21DB9"/>
    <w:rsid w:val="00C21DBA"/>
    <w:rsid w:val="00C21DE8"/>
    <w:rsid w:val="00C21FAD"/>
    <w:rsid w:val="00C21FB0"/>
    <w:rsid w:val="00C22023"/>
    <w:rsid w:val="00C22056"/>
    <w:rsid w:val="00C2205F"/>
    <w:rsid w:val="00C220BF"/>
    <w:rsid w:val="00C220C1"/>
    <w:rsid w:val="00C2210F"/>
    <w:rsid w:val="00C22117"/>
    <w:rsid w:val="00C2219C"/>
    <w:rsid w:val="00C221D2"/>
    <w:rsid w:val="00C2224E"/>
    <w:rsid w:val="00C22279"/>
    <w:rsid w:val="00C222A9"/>
    <w:rsid w:val="00C222F5"/>
    <w:rsid w:val="00C222FC"/>
    <w:rsid w:val="00C2233D"/>
    <w:rsid w:val="00C223BD"/>
    <w:rsid w:val="00C2244B"/>
    <w:rsid w:val="00C22453"/>
    <w:rsid w:val="00C22464"/>
    <w:rsid w:val="00C224D3"/>
    <w:rsid w:val="00C2257C"/>
    <w:rsid w:val="00C225A6"/>
    <w:rsid w:val="00C22632"/>
    <w:rsid w:val="00C22652"/>
    <w:rsid w:val="00C2268F"/>
    <w:rsid w:val="00C226DA"/>
    <w:rsid w:val="00C226DE"/>
    <w:rsid w:val="00C22774"/>
    <w:rsid w:val="00C2277D"/>
    <w:rsid w:val="00C22798"/>
    <w:rsid w:val="00C2279B"/>
    <w:rsid w:val="00C2282B"/>
    <w:rsid w:val="00C22838"/>
    <w:rsid w:val="00C22867"/>
    <w:rsid w:val="00C22886"/>
    <w:rsid w:val="00C2289F"/>
    <w:rsid w:val="00C228B4"/>
    <w:rsid w:val="00C229BD"/>
    <w:rsid w:val="00C229DE"/>
    <w:rsid w:val="00C22A3C"/>
    <w:rsid w:val="00C22A68"/>
    <w:rsid w:val="00C22AB4"/>
    <w:rsid w:val="00C22ACA"/>
    <w:rsid w:val="00C22B18"/>
    <w:rsid w:val="00C22B9C"/>
    <w:rsid w:val="00C22BA6"/>
    <w:rsid w:val="00C22BA7"/>
    <w:rsid w:val="00C22BC8"/>
    <w:rsid w:val="00C22C26"/>
    <w:rsid w:val="00C22C46"/>
    <w:rsid w:val="00C22C49"/>
    <w:rsid w:val="00C22D7C"/>
    <w:rsid w:val="00C22DFD"/>
    <w:rsid w:val="00C22E18"/>
    <w:rsid w:val="00C22E59"/>
    <w:rsid w:val="00C22E62"/>
    <w:rsid w:val="00C22F4C"/>
    <w:rsid w:val="00C22FF9"/>
    <w:rsid w:val="00C23002"/>
    <w:rsid w:val="00C23058"/>
    <w:rsid w:val="00C2307E"/>
    <w:rsid w:val="00C230A0"/>
    <w:rsid w:val="00C230CB"/>
    <w:rsid w:val="00C230CE"/>
    <w:rsid w:val="00C230FE"/>
    <w:rsid w:val="00C23145"/>
    <w:rsid w:val="00C2317E"/>
    <w:rsid w:val="00C231B7"/>
    <w:rsid w:val="00C231E0"/>
    <w:rsid w:val="00C231FF"/>
    <w:rsid w:val="00C23216"/>
    <w:rsid w:val="00C23235"/>
    <w:rsid w:val="00C2324A"/>
    <w:rsid w:val="00C2326F"/>
    <w:rsid w:val="00C232A7"/>
    <w:rsid w:val="00C232B4"/>
    <w:rsid w:val="00C23301"/>
    <w:rsid w:val="00C23326"/>
    <w:rsid w:val="00C2336E"/>
    <w:rsid w:val="00C233BD"/>
    <w:rsid w:val="00C23410"/>
    <w:rsid w:val="00C23460"/>
    <w:rsid w:val="00C234AC"/>
    <w:rsid w:val="00C234C2"/>
    <w:rsid w:val="00C234EB"/>
    <w:rsid w:val="00C234F4"/>
    <w:rsid w:val="00C2351B"/>
    <w:rsid w:val="00C2355D"/>
    <w:rsid w:val="00C235DC"/>
    <w:rsid w:val="00C235F1"/>
    <w:rsid w:val="00C2361D"/>
    <w:rsid w:val="00C23635"/>
    <w:rsid w:val="00C236B3"/>
    <w:rsid w:val="00C236EC"/>
    <w:rsid w:val="00C2371B"/>
    <w:rsid w:val="00C23770"/>
    <w:rsid w:val="00C23772"/>
    <w:rsid w:val="00C2380E"/>
    <w:rsid w:val="00C23846"/>
    <w:rsid w:val="00C23857"/>
    <w:rsid w:val="00C23889"/>
    <w:rsid w:val="00C23897"/>
    <w:rsid w:val="00C238C3"/>
    <w:rsid w:val="00C2391B"/>
    <w:rsid w:val="00C2393F"/>
    <w:rsid w:val="00C23953"/>
    <w:rsid w:val="00C239AE"/>
    <w:rsid w:val="00C239C5"/>
    <w:rsid w:val="00C239D7"/>
    <w:rsid w:val="00C239F3"/>
    <w:rsid w:val="00C23A42"/>
    <w:rsid w:val="00C23A6F"/>
    <w:rsid w:val="00C23ABF"/>
    <w:rsid w:val="00C23ACD"/>
    <w:rsid w:val="00C23AF3"/>
    <w:rsid w:val="00C23AF7"/>
    <w:rsid w:val="00C23B49"/>
    <w:rsid w:val="00C23BA2"/>
    <w:rsid w:val="00C23C35"/>
    <w:rsid w:val="00C23CDE"/>
    <w:rsid w:val="00C23CF0"/>
    <w:rsid w:val="00C23D3F"/>
    <w:rsid w:val="00C23DDB"/>
    <w:rsid w:val="00C23E1B"/>
    <w:rsid w:val="00C23E7A"/>
    <w:rsid w:val="00C23EA0"/>
    <w:rsid w:val="00C23EAE"/>
    <w:rsid w:val="00C23F09"/>
    <w:rsid w:val="00C23F41"/>
    <w:rsid w:val="00C23FA4"/>
    <w:rsid w:val="00C23FDF"/>
    <w:rsid w:val="00C24009"/>
    <w:rsid w:val="00C2402F"/>
    <w:rsid w:val="00C240BF"/>
    <w:rsid w:val="00C24250"/>
    <w:rsid w:val="00C242A1"/>
    <w:rsid w:val="00C242BD"/>
    <w:rsid w:val="00C242D0"/>
    <w:rsid w:val="00C242DB"/>
    <w:rsid w:val="00C24332"/>
    <w:rsid w:val="00C24382"/>
    <w:rsid w:val="00C243C6"/>
    <w:rsid w:val="00C243E7"/>
    <w:rsid w:val="00C243EA"/>
    <w:rsid w:val="00C2441B"/>
    <w:rsid w:val="00C24430"/>
    <w:rsid w:val="00C244CD"/>
    <w:rsid w:val="00C24549"/>
    <w:rsid w:val="00C2458C"/>
    <w:rsid w:val="00C245AC"/>
    <w:rsid w:val="00C245E5"/>
    <w:rsid w:val="00C245F9"/>
    <w:rsid w:val="00C24807"/>
    <w:rsid w:val="00C24812"/>
    <w:rsid w:val="00C24846"/>
    <w:rsid w:val="00C248A9"/>
    <w:rsid w:val="00C2494F"/>
    <w:rsid w:val="00C24A08"/>
    <w:rsid w:val="00C24AC6"/>
    <w:rsid w:val="00C24AC8"/>
    <w:rsid w:val="00C24AD1"/>
    <w:rsid w:val="00C24AEF"/>
    <w:rsid w:val="00C24AFB"/>
    <w:rsid w:val="00C24B67"/>
    <w:rsid w:val="00C24B73"/>
    <w:rsid w:val="00C24BC7"/>
    <w:rsid w:val="00C24C01"/>
    <w:rsid w:val="00C24C39"/>
    <w:rsid w:val="00C24C50"/>
    <w:rsid w:val="00C24CA0"/>
    <w:rsid w:val="00C24CD6"/>
    <w:rsid w:val="00C24CF0"/>
    <w:rsid w:val="00C24D0D"/>
    <w:rsid w:val="00C24D6D"/>
    <w:rsid w:val="00C24DA3"/>
    <w:rsid w:val="00C24DF7"/>
    <w:rsid w:val="00C24E02"/>
    <w:rsid w:val="00C24E0B"/>
    <w:rsid w:val="00C24E2D"/>
    <w:rsid w:val="00C24E41"/>
    <w:rsid w:val="00C24E88"/>
    <w:rsid w:val="00C24F06"/>
    <w:rsid w:val="00C24F16"/>
    <w:rsid w:val="00C24F2F"/>
    <w:rsid w:val="00C24F9B"/>
    <w:rsid w:val="00C24FBD"/>
    <w:rsid w:val="00C25039"/>
    <w:rsid w:val="00C2503F"/>
    <w:rsid w:val="00C25048"/>
    <w:rsid w:val="00C250AB"/>
    <w:rsid w:val="00C250B8"/>
    <w:rsid w:val="00C25113"/>
    <w:rsid w:val="00C25135"/>
    <w:rsid w:val="00C2514A"/>
    <w:rsid w:val="00C25170"/>
    <w:rsid w:val="00C25186"/>
    <w:rsid w:val="00C2518A"/>
    <w:rsid w:val="00C2518E"/>
    <w:rsid w:val="00C2519D"/>
    <w:rsid w:val="00C251C4"/>
    <w:rsid w:val="00C2525D"/>
    <w:rsid w:val="00C25280"/>
    <w:rsid w:val="00C25315"/>
    <w:rsid w:val="00C2539B"/>
    <w:rsid w:val="00C25439"/>
    <w:rsid w:val="00C25442"/>
    <w:rsid w:val="00C25481"/>
    <w:rsid w:val="00C25536"/>
    <w:rsid w:val="00C25549"/>
    <w:rsid w:val="00C2556A"/>
    <w:rsid w:val="00C255A6"/>
    <w:rsid w:val="00C25625"/>
    <w:rsid w:val="00C25649"/>
    <w:rsid w:val="00C256B4"/>
    <w:rsid w:val="00C25737"/>
    <w:rsid w:val="00C2578C"/>
    <w:rsid w:val="00C257E5"/>
    <w:rsid w:val="00C258EF"/>
    <w:rsid w:val="00C25962"/>
    <w:rsid w:val="00C25A1C"/>
    <w:rsid w:val="00C25A41"/>
    <w:rsid w:val="00C25A7E"/>
    <w:rsid w:val="00C25AB6"/>
    <w:rsid w:val="00C25B3F"/>
    <w:rsid w:val="00C25B9F"/>
    <w:rsid w:val="00C25BA6"/>
    <w:rsid w:val="00C25C30"/>
    <w:rsid w:val="00C25CF3"/>
    <w:rsid w:val="00C25D64"/>
    <w:rsid w:val="00C25D90"/>
    <w:rsid w:val="00C25DD6"/>
    <w:rsid w:val="00C25DFD"/>
    <w:rsid w:val="00C25E1E"/>
    <w:rsid w:val="00C25E81"/>
    <w:rsid w:val="00C25F3C"/>
    <w:rsid w:val="00C25F8B"/>
    <w:rsid w:val="00C25F94"/>
    <w:rsid w:val="00C25FBB"/>
    <w:rsid w:val="00C25FD0"/>
    <w:rsid w:val="00C25FF2"/>
    <w:rsid w:val="00C2601A"/>
    <w:rsid w:val="00C2601C"/>
    <w:rsid w:val="00C26031"/>
    <w:rsid w:val="00C26036"/>
    <w:rsid w:val="00C26086"/>
    <w:rsid w:val="00C260A4"/>
    <w:rsid w:val="00C260C1"/>
    <w:rsid w:val="00C260DE"/>
    <w:rsid w:val="00C260EC"/>
    <w:rsid w:val="00C26140"/>
    <w:rsid w:val="00C26175"/>
    <w:rsid w:val="00C2619C"/>
    <w:rsid w:val="00C261AD"/>
    <w:rsid w:val="00C261BB"/>
    <w:rsid w:val="00C261D8"/>
    <w:rsid w:val="00C261EC"/>
    <w:rsid w:val="00C2621C"/>
    <w:rsid w:val="00C262CE"/>
    <w:rsid w:val="00C262E2"/>
    <w:rsid w:val="00C2634B"/>
    <w:rsid w:val="00C263D4"/>
    <w:rsid w:val="00C263E1"/>
    <w:rsid w:val="00C2644E"/>
    <w:rsid w:val="00C264C6"/>
    <w:rsid w:val="00C26511"/>
    <w:rsid w:val="00C26562"/>
    <w:rsid w:val="00C265A6"/>
    <w:rsid w:val="00C265D0"/>
    <w:rsid w:val="00C26619"/>
    <w:rsid w:val="00C2665A"/>
    <w:rsid w:val="00C2669B"/>
    <w:rsid w:val="00C26722"/>
    <w:rsid w:val="00C267AD"/>
    <w:rsid w:val="00C267B5"/>
    <w:rsid w:val="00C267D3"/>
    <w:rsid w:val="00C26872"/>
    <w:rsid w:val="00C268B5"/>
    <w:rsid w:val="00C268D8"/>
    <w:rsid w:val="00C268E6"/>
    <w:rsid w:val="00C2691A"/>
    <w:rsid w:val="00C2691D"/>
    <w:rsid w:val="00C26930"/>
    <w:rsid w:val="00C26948"/>
    <w:rsid w:val="00C26984"/>
    <w:rsid w:val="00C26A0D"/>
    <w:rsid w:val="00C26A37"/>
    <w:rsid w:val="00C26A4E"/>
    <w:rsid w:val="00C26A64"/>
    <w:rsid w:val="00C26AE2"/>
    <w:rsid w:val="00C26B1C"/>
    <w:rsid w:val="00C26B30"/>
    <w:rsid w:val="00C26B32"/>
    <w:rsid w:val="00C26B9E"/>
    <w:rsid w:val="00C26BDA"/>
    <w:rsid w:val="00C26BE5"/>
    <w:rsid w:val="00C26BED"/>
    <w:rsid w:val="00C26C0F"/>
    <w:rsid w:val="00C26C28"/>
    <w:rsid w:val="00C26C4C"/>
    <w:rsid w:val="00C26C52"/>
    <w:rsid w:val="00C26C5B"/>
    <w:rsid w:val="00C26C62"/>
    <w:rsid w:val="00C26D7C"/>
    <w:rsid w:val="00C26D8A"/>
    <w:rsid w:val="00C26DA9"/>
    <w:rsid w:val="00C26DF7"/>
    <w:rsid w:val="00C26DFC"/>
    <w:rsid w:val="00C26E63"/>
    <w:rsid w:val="00C26E8A"/>
    <w:rsid w:val="00C26EC9"/>
    <w:rsid w:val="00C26F33"/>
    <w:rsid w:val="00C26F4B"/>
    <w:rsid w:val="00C26F9C"/>
    <w:rsid w:val="00C270B5"/>
    <w:rsid w:val="00C27139"/>
    <w:rsid w:val="00C27187"/>
    <w:rsid w:val="00C271AC"/>
    <w:rsid w:val="00C271C3"/>
    <w:rsid w:val="00C271D6"/>
    <w:rsid w:val="00C27200"/>
    <w:rsid w:val="00C272AC"/>
    <w:rsid w:val="00C27322"/>
    <w:rsid w:val="00C27333"/>
    <w:rsid w:val="00C2734F"/>
    <w:rsid w:val="00C27362"/>
    <w:rsid w:val="00C27375"/>
    <w:rsid w:val="00C2738D"/>
    <w:rsid w:val="00C2745E"/>
    <w:rsid w:val="00C2747A"/>
    <w:rsid w:val="00C27567"/>
    <w:rsid w:val="00C27589"/>
    <w:rsid w:val="00C275F3"/>
    <w:rsid w:val="00C275FA"/>
    <w:rsid w:val="00C27615"/>
    <w:rsid w:val="00C27629"/>
    <w:rsid w:val="00C276D3"/>
    <w:rsid w:val="00C27706"/>
    <w:rsid w:val="00C27744"/>
    <w:rsid w:val="00C27745"/>
    <w:rsid w:val="00C2776B"/>
    <w:rsid w:val="00C277AB"/>
    <w:rsid w:val="00C277D7"/>
    <w:rsid w:val="00C27820"/>
    <w:rsid w:val="00C2787D"/>
    <w:rsid w:val="00C278C2"/>
    <w:rsid w:val="00C278FD"/>
    <w:rsid w:val="00C27956"/>
    <w:rsid w:val="00C279C7"/>
    <w:rsid w:val="00C27A44"/>
    <w:rsid w:val="00C27A70"/>
    <w:rsid w:val="00C27B1B"/>
    <w:rsid w:val="00C27B21"/>
    <w:rsid w:val="00C27B5F"/>
    <w:rsid w:val="00C27B8B"/>
    <w:rsid w:val="00C27C40"/>
    <w:rsid w:val="00C27CAB"/>
    <w:rsid w:val="00C27CE2"/>
    <w:rsid w:val="00C27DC9"/>
    <w:rsid w:val="00C27E30"/>
    <w:rsid w:val="00C27E3B"/>
    <w:rsid w:val="00C27E8D"/>
    <w:rsid w:val="00C27E94"/>
    <w:rsid w:val="00C27EE9"/>
    <w:rsid w:val="00C27F11"/>
    <w:rsid w:val="00C27F1C"/>
    <w:rsid w:val="00C27F55"/>
    <w:rsid w:val="00C27F6E"/>
    <w:rsid w:val="00C27F98"/>
    <w:rsid w:val="00C27FB8"/>
    <w:rsid w:val="00C27FC9"/>
    <w:rsid w:val="00C30008"/>
    <w:rsid w:val="00C30031"/>
    <w:rsid w:val="00C3006E"/>
    <w:rsid w:val="00C3009C"/>
    <w:rsid w:val="00C3011D"/>
    <w:rsid w:val="00C30234"/>
    <w:rsid w:val="00C30270"/>
    <w:rsid w:val="00C302A4"/>
    <w:rsid w:val="00C302AC"/>
    <w:rsid w:val="00C302BB"/>
    <w:rsid w:val="00C302CF"/>
    <w:rsid w:val="00C302EA"/>
    <w:rsid w:val="00C3032F"/>
    <w:rsid w:val="00C303DC"/>
    <w:rsid w:val="00C303E2"/>
    <w:rsid w:val="00C3045F"/>
    <w:rsid w:val="00C3048E"/>
    <w:rsid w:val="00C304E7"/>
    <w:rsid w:val="00C30533"/>
    <w:rsid w:val="00C3058E"/>
    <w:rsid w:val="00C305AC"/>
    <w:rsid w:val="00C305BE"/>
    <w:rsid w:val="00C30617"/>
    <w:rsid w:val="00C3061B"/>
    <w:rsid w:val="00C30690"/>
    <w:rsid w:val="00C306B7"/>
    <w:rsid w:val="00C30731"/>
    <w:rsid w:val="00C3073A"/>
    <w:rsid w:val="00C30767"/>
    <w:rsid w:val="00C30803"/>
    <w:rsid w:val="00C3084B"/>
    <w:rsid w:val="00C30878"/>
    <w:rsid w:val="00C30879"/>
    <w:rsid w:val="00C308E2"/>
    <w:rsid w:val="00C308F3"/>
    <w:rsid w:val="00C3093C"/>
    <w:rsid w:val="00C3094B"/>
    <w:rsid w:val="00C3095B"/>
    <w:rsid w:val="00C3097E"/>
    <w:rsid w:val="00C30997"/>
    <w:rsid w:val="00C30999"/>
    <w:rsid w:val="00C30A35"/>
    <w:rsid w:val="00C30A58"/>
    <w:rsid w:val="00C30A8C"/>
    <w:rsid w:val="00C30AC3"/>
    <w:rsid w:val="00C30ACD"/>
    <w:rsid w:val="00C30AD0"/>
    <w:rsid w:val="00C30AE8"/>
    <w:rsid w:val="00C30AEF"/>
    <w:rsid w:val="00C30B04"/>
    <w:rsid w:val="00C30B14"/>
    <w:rsid w:val="00C30B20"/>
    <w:rsid w:val="00C30BDE"/>
    <w:rsid w:val="00C30BE3"/>
    <w:rsid w:val="00C30CD3"/>
    <w:rsid w:val="00C30CDD"/>
    <w:rsid w:val="00C30DC1"/>
    <w:rsid w:val="00C30DEA"/>
    <w:rsid w:val="00C30E2D"/>
    <w:rsid w:val="00C30E44"/>
    <w:rsid w:val="00C30E7C"/>
    <w:rsid w:val="00C30E99"/>
    <w:rsid w:val="00C30EBA"/>
    <w:rsid w:val="00C30EE8"/>
    <w:rsid w:val="00C30EF8"/>
    <w:rsid w:val="00C30F2F"/>
    <w:rsid w:val="00C30F46"/>
    <w:rsid w:val="00C30F5E"/>
    <w:rsid w:val="00C30F88"/>
    <w:rsid w:val="00C30FDD"/>
    <w:rsid w:val="00C31062"/>
    <w:rsid w:val="00C310C6"/>
    <w:rsid w:val="00C310E6"/>
    <w:rsid w:val="00C31111"/>
    <w:rsid w:val="00C3123C"/>
    <w:rsid w:val="00C3125C"/>
    <w:rsid w:val="00C31277"/>
    <w:rsid w:val="00C3128A"/>
    <w:rsid w:val="00C31315"/>
    <w:rsid w:val="00C3140D"/>
    <w:rsid w:val="00C3148D"/>
    <w:rsid w:val="00C31593"/>
    <w:rsid w:val="00C315CF"/>
    <w:rsid w:val="00C316A3"/>
    <w:rsid w:val="00C316C2"/>
    <w:rsid w:val="00C31765"/>
    <w:rsid w:val="00C31787"/>
    <w:rsid w:val="00C317CE"/>
    <w:rsid w:val="00C317E2"/>
    <w:rsid w:val="00C317E6"/>
    <w:rsid w:val="00C3181C"/>
    <w:rsid w:val="00C3188A"/>
    <w:rsid w:val="00C318B0"/>
    <w:rsid w:val="00C318FA"/>
    <w:rsid w:val="00C31921"/>
    <w:rsid w:val="00C319AC"/>
    <w:rsid w:val="00C319B0"/>
    <w:rsid w:val="00C319CB"/>
    <w:rsid w:val="00C319F2"/>
    <w:rsid w:val="00C31A36"/>
    <w:rsid w:val="00C31A51"/>
    <w:rsid w:val="00C31AF5"/>
    <w:rsid w:val="00C31AFD"/>
    <w:rsid w:val="00C31B3F"/>
    <w:rsid w:val="00C31B4F"/>
    <w:rsid w:val="00C31BA6"/>
    <w:rsid w:val="00C31BF1"/>
    <w:rsid w:val="00C31CA4"/>
    <w:rsid w:val="00C31CAF"/>
    <w:rsid w:val="00C31D4D"/>
    <w:rsid w:val="00C31D6F"/>
    <w:rsid w:val="00C31DAD"/>
    <w:rsid w:val="00C31E1C"/>
    <w:rsid w:val="00C31E22"/>
    <w:rsid w:val="00C31E5C"/>
    <w:rsid w:val="00C31E6A"/>
    <w:rsid w:val="00C31E83"/>
    <w:rsid w:val="00C31F0C"/>
    <w:rsid w:val="00C31F58"/>
    <w:rsid w:val="00C31F72"/>
    <w:rsid w:val="00C31FA5"/>
    <w:rsid w:val="00C31FB8"/>
    <w:rsid w:val="00C3200E"/>
    <w:rsid w:val="00C3201D"/>
    <w:rsid w:val="00C3203A"/>
    <w:rsid w:val="00C32040"/>
    <w:rsid w:val="00C320CC"/>
    <w:rsid w:val="00C32108"/>
    <w:rsid w:val="00C3212D"/>
    <w:rsid w:val="00C321B3"/>
    <w:rsid w:val="00C321DE"/>
    <w:rsid w:val="00C322CD"/>
    <w:rsid w:val="00C322D9"/>
    <w:rsid w:val="00C32334"/>
    <w:rsid w:val="00C3234E"/>
    <w:rsid w:val="00C32383"/>
    <w:rsid w:val="00C323B2"/>
    <w:rsid w:val="00C32473"/>
    <w:rsid w:val="00C32496"/>
    <w:rsid w:val="00C32498"/>
    <w:rsid w:val="00C324EF"/>
    <w:rsid w:val="00C3255F"/>
    <w:rsid w:val="00C32586"/>
    <w:rsid w:val="00C325EE"/>
    <w:rsid w:val="00C32638"/>
    <w:rsid w:val="00C3266E"/>
    <w:rsid w:val="00C326A5"/>
    <w:rsid w:val="00C326E0"/>
    <w:rsid w:val="00C326F1"/>
    <w:rsid w:val="00C326FA"/>
    <w:rsid w:val="00C32718"/>
    <w:rsid w:val="00C3277E"/>
    <w:rsid w:val="00C327A9"/>
    <w:rsid w:val="00C327B4"/>
    <w:rsid w:val="00C3283B"/>
    <w:rsid w:val="00C328A0"/>
    <w:rsid w:val="00C328F6"/>
    <w:rsid w:val="00C329A9"/>
    <w:rsid w:val="00C329D1"/>
    <w:rsid w:val="00C32A14"/>
    <w:rsid w:val="00C32AB3"/>
    <w:rsid w:val="00C32AF1"/>
    <w:rsid w:val="00C32B4D"/>
    <w:rsid w:val="00C32B70"/>
    <w:rsid w:val="00C32B7D"/>
    <w:rsid w:val="00C32BB6"/>
    <w:rsid w:val="00C32BD8"/>
    <w:rsid w:val="00C32C5E"/>
    <w:rsid w:val="00C32C7B"/>
    <w:rsid w:val="00C32C9E"/>
    <w:rsid w:val="00C32C9F"/>
    <w:rsid w:val="00C32CF6"/>
    <w:rsid w:val="00C32D01"/>
    <w:rsid w:val="00C32D78"/>
    <w:rsid w:val="00C32E51"/>
    <w:rsid w:val="00C32E93"/>
    <w:rsid w:val="00C32ED8"/>
    <w:rsid w:val="00C32EFB"/>
    <w:rsid w:val="00C32F23"/>
    <w:rsid w:val="00C32FDA"/>
    <w:rsid w:val="00C32FEF"/>
    <w:rsid w:val="00C33079"/>
    <w:rsid w:val="00C330AE"/>
    <w:rsid w:val="00C33123"/>
    <w:rsid w:val="00C33148"/>
    <w:rsid w:val="00C33168"/>
    <w:rsid w:val="00C33189"/>
    <w:rsid w:val="00C331B7"/>
    <w:rsid w:val="00C331D5"/>
    <w:rsid w:val="00C331EE"/>
    <w:rsid w:val="00C33241"/>
    <w:rsid w:val="00C33307"/>
    <w:rsid w:val="00C33319"/>
    <w:rsid w:val="00C3338E"/>
    <w:rsid w:val="00C33398"/>
    <w:rsid w:val="00C333BD"/>
    <w:rsid w:val="00C33464"/>
    <w:rsid w:val="00C3348B"/>
    <w:rsid w:val="00C334A1"/>
    <w:rsid w:val="00C3351D"/>
    <w:rsid w:val="00C3356E"/>
    <w:rsid w:val="00C335B4"/>
    <w:rsid w:val="00C335E9"/>
    <w:rsid w:val="00C33642"/>
    <w:rsid w:val="00C3368C"/>
    <w:rsid w:val="00C336F6"/>
    <w:rsid w:val="00C33717"/>
    <w:rsid w:val="00C33729"/>
    <w:rsid w:val="00C33764"/>
    <w:rsid w:val="00C337D5"/>
    <w:rsid w:val="00C3380A"/>
    <w:rsid w:val="00C3382A"/>
    <w:rsid w:val="00C33892"/>
    <w:rsid w:val="00C33917"/>
    <w:rsid w:val="00C3395B"/>
    <w:rsid w:val="00C339A2"/>
    <w:rsid w:val="00C339B1"/>
    <w:rsid w:val="00C33A40"/>
    <w:rsid w:val="00C33ABE"/>
    <w:rsid w:val="00C33AFA"/>
    <w:rsid w:val="00C33B09"/>
    <w:rsid w:val="00C33B68"/>
    <w:rsid w:val="00C33BAA"/>
    <w:rsid w:val="00C33C1C"/>
    <w:rsid w:val="00C33C3B"/>
    <w:rsid w:val="00C33C43"/>
    <w:rsid w:val="00C33C5D"/>
    <w:rsid w:val="00C33CBA"/>
    <w:rsid w:val="00C33CC8"/>
    <w:rsid w:val="00C33CD0"/>
    <w:rsid w:val="00C33D03"/>
    <w:rsid w:val="00C33D19"/>
    <w:rsid w:val="00C33D4A"/>
    <w:rsid w:val="00C33D72"/>
    <w:rsid w:val="00C33D98"/>
    <w:rsid w:val="00C33D9B"/>
    <w:rsid w:val="00C33E13"/>
    <w:rsid w:val="00C33E5F"/>
    <w:rsid w:val="00C33E7E"/>
    <w:rsid w:val="00C33E99"/>
    <w:rsid w:val="00C34088"/>
    <w:rsid w:val="00C340BA"/>
    <w:rsid w:val="00C340CE"/>
    <w:rsid w:val="00C340F2"/>
    <w:rsid w:val="00C3410D"/>
    <w:rsid w:val="00C3411C"/>
    <w:rsid w:val="00C3419D"/>
    <w:rsid w:val="00C341AC"/>
    <w:rsid w:val="00C34279"/>
    <w:rsid w:val="00C342B4"/>
    <w:rsid w:val="00C342E5"/>
    <w:rsid w:val="00C342E9"/>
    <w:rsid w:val="00C34333"/>
    <w:rsid w:val="00C3434B"/>
    <w:rsid w:val="00C34353"/>
    <w:rsid w:val="00C34383"/>
    <w:rsid w:val="00C34396"/>
    <w:rsid w:val="00C343AA"/>
    <w:rsid w:val="00C343D0"/>
    <w:rsid w:val="00C34417"/>
    <w:rsid w:val="00C344AD"/>
    <w:rsid w:val="00C3450E"/>
    <w:rsid w:val="00C34518"/>
    <w:rsid w:val="00C345E9"/>
    <w:rsid w:val="00C34675"/>
    <w:rsid w:val="00C3467F"/>
    <w:rsid w:val="00C346A3"/>
    <w:rsid w:val="00C346DA"/>
    <w:rsid w:val="00C346E8"/>
    <w:rsid w:val="00C346EB"/>
    <w:rsid w:val="00C34707"/>
    <w:rsid w:val="00C347C8"/>
    <w:rsid w:val="00C34856"/>
    <w:rsid w:val="00C34899"/>
    <w:rsid w:val="00C348E2"/>
    <w:rsid w:val="00C34935"/>
    <w:rsid w:val="00C34947"/>
    <w:rsid w:val="00C349AE"/>
    <w:rsid w:val="00C34A4A"/>
    <w:rsid w:val="00C34A53"/>
    <w:rsid w:val="00C34A6B"/>
    <w:rsid w:val="00C34A70"/>
    <w:rsid w:val="00C34ACD"/>
    <w:rsid w:val="00C34B2F"/>
    <w:rsid w:val="00C34B3D"/>
    <w:rsid w:val="00C34B6E"/>
    <w:rsid w:val="00C34BA6"/>
    <w:rsid w:val="00C34BFF"/>
    <w:rsid w:val="00C34C2A"/>
    <w:rsid w:val="00C34CA7"/>
    <w:rsid w:val="00C34D57"/>
    <w:rsid w:val="00C34D9E"/>
    <w:rsid w:val="00C34DB5"/>
    <w:rsid w:val="00C34DC7"/>
    <w:rsid w:val="00C34E5E"/>
    <w:rsid w:val="00C34E93"/>
    <w:rsid w:val="00C34E9E"/>
    <w:rsid w:val="00C34EA7"/>
    <w:rsid w:val="00C34EC6"/>
    <w:rsid w:val="00C34F01"/>
    <w:rsid w:val="00C34F07"/>
    <w:rsid w:val="00C34F51"/>
    <w:rsid w:val="00C34F5B"/>
    <w:rsid w:val="00C34F88"/>
    <w:rsid w:val="00C34FF3"/>
    <w:rsid w:val="00C35050"/>
    <w:rsid w:val="00C350B7"/>
    <w:rsid w:val="00C350CB"/>
    <w:rsid w:val="00C3515D"/>
    <w:rsid w:val="00C3517C"/>
    <w:rsid w:val="00C3518A"/>
    <w:rsid w:val="00C351A8"/>
    <w:rsid w:val="00C351CB"/>
    <w:rsid w:val="00C35232"/>
    <w:rsid w:val="00C35239"/>
    <w:rsid w:val="00C3524A"/>
    <w:rsid w:val="00C35255"/>
    <w:rsid w:val="00C35293"/>
    <w:rsid w:val="00C352DF"/>
    <w:rsid w:val="00C35306"/>
    <w:rsid w:val="00C35340"/>
    <w:rsid w:val="00C35393"/>
    <w:rsid w:val="00C353A0"/>
    <w:rsid w:val="00C353C5"/>
    <w:rsid w:val="00C353C7"/>
    <w:rsid w:val="00C353D1"/>
    <w:rsid w:val="00C35473"/>
    <w:rsid w:val="00C3551D"/>
    <w:rsid w:val="00C355CA"/>
    <w:rsid w:val="00C355D8"/>
    <w:rsid w:val="00C35615"/>
    <w:rsid w:val="00C35684"/>
    <w:rsid w:val="00C356B3"/>
    <w:rsid w:val="00C356E0"/>
    <w:rsid w:val="00C35754"/>
    <w:rsid w:val="00C3578B"/>
    <w:rsid w:val="00C357B8"/>
    <w:rsid w:val="00C35813"/>
    <w:rsid w:val="00C3585A"/>
    <w:rsid w:val="00C35865"/>
    <w:rsid w:val="00C35876"/>
    <w:rsid w:val="00C358BD"/>
    <w:rsid w:val="00C3593D"/>
    <w:rsid w:val="00C35945"/>
    <w:rsid w:val="00C35946"/>
    <w:rsid w:val="00C3596E"/>
    <w:rsid w:val="00C35A05"/>
    <w:rsid w:val="00C35A82"/>
    <w:rsid w:val="00C35AC3"/>
    <w:rsid w:val="00C35B07"/>
    <w:rsid w:val="00C35B57"/>
    <w:rsid w:val="00C35B98"/>
    <w:rsid w:val="00C35BE0"/>
    <w:rsid w:val="00C35BFE"/>
    <w:rsid w:val="00C35C93"/>
    <w:rsid w:val="00C35D30"/>
    <w:rsid w:val="00C35DA1"/>
    <w:rsid w:val="00C35DCB"/>
    <w:rsid w:val="00C35DEA"/>
    <w:rsid w:val="00C35DFA"/>
    <w:rsid w:val="00C35E1C"/>
    <w:rsid w:val="00C35E44"/>
    <w:rsid w:val="00C35E50"/>
    <w:rsid w:val="00C35E7B"/>
    <w:rsid w:val="00C35E89"/>
    <w:rsid w:val="00C35F06"/>
    <w:rsid w:val="00C35F64"/>
    <w:rsid w:val="00C35F92"/>
    <w:rsid w:val="00C35FDC"/>
    <w:rsid w:val="00C36005"/>
    <w:rsid w:val="00C3600B"/>
    <w:rsid w:val="00C36012"/>
    <w:rsid w:val="00C36091"/>
    <w:rsid w:val="00C36102"/>
    <w:rsid w:val="00C3610B"/>
    <w:rsid w:val="00C36156"/>
    <w:rsid w:val="00C3616E"/>
    <w:rsid w:val="00C361D0"/>
    <w:rsid w:val="00C361F1"/>
    <w:rsid w:val="00C36207"/>
    <w:rsid w:val="00C36220"/>
    <w:rsid w:val="00C36293"/>
    <w:rsid w:val="00C362A8"/>
    <w:rsid w:val="00C36430"/>
    <w:rsid w:val="00C36436"/>
    <w:rsid w:val="00C36456"/>
    <w:rsid w:val="00C36479"/>
    <w:rsid w:val="00C36515"/>
    <w:rsid w:val="00C36552"/>
    <w:rsid w:val="00C36562"/>
    <w:rsid w:val="00C3656A"/>
    <w:rsid w:val="00C3657D"/>
    <w:rsid w:val="00C3658B"/>
    <w:rsid w:val="00C365DF"/>
    <w:rsid w:val="00C36601"/>
    <w:rsid w:val="00C36647"/>
    <w:rsid w:val="00C36658"/>
    <w:rsid w:val="00C36724"/>
    <w:rsid w:val="00C36773"/>
    <w:rsid w:val="00C3678A"/>
    <w:rsid w:val="00C3678E"/>
    <w:rsid w:val="00C3679D"/>
    <w:rsid w:val="00C367B1"/>
    <w:rsid w:val="00C36853"/>
    <w:rsid w:val="00C3685C"/>
    <w:rsid w:val="00C368C1"/>
    <w:rsid w:val="00C368D2"/>
    <w:rsid w:val="00C368D6"/>
    <w:rsid w:val="00C3692A"/>
    <w:rsid w:val="00C36990"/>
    <w:rsid w:val="00C369AE"/>
    <w:rsid w:val="00C369C2"/>
    <w:rsid w:val="00C369CA"/>
    <w:rsid w:val="00C369FD"/>
    <w:rsid w:val="00C36A01"/>
    <w:rsid w:val="00C36A6D"/>
    <w:rsid w:val="00C36A87"/>
    <w:rsid w:val="00C36ACD"/>
    <w:rsid w:val="00C36AD0"/>
    <w:rsid w:val="00C36AEA"/>
    <w:rsid w:val="00C36B80"/>
    <w:rsid w:val="00C36BBE"/>
    <w:rsid w:val="00C36BC8"/>
    <w:rsid w:val="00C36C9C"/>
    <w:rsid w:val="00C36CD7"/>
    <w:rsid w:val="00C36D0A"/>
    <w:rsid w:val="00C36D27"/>
    <w:rsid w:val="00C36D5D"/>
    <w:rsid w:val="00C36D77"/>
    <w:rsid w:val="00C36DF7"/>
    <w:rsid w:val="00C36E12"/>
    <w:rsid w:val="00C36E3E"/>
    <w:rsid w:val="00C36E66"/>
    <w:rsid w:val="00C36E92"/>
    <w:rsid w:val="00C36F2C"/>
    <w:rsid w:val="00C37005"/>
    <w:rsid w:val="00C3700B"/>
    <w:rsid w:val="00C3707D"/>
    <w:rsid w:val="00C37100"/>
    <w:rsid w:val="00C3713D"/>
    <w:rsid w:val="00C3728C"/>
    <w:rsid w:val="00C372A7"/>
    <w:rsid w:val="00C372C2"/>
    <w:rsid w:val="00C372EA"/>
    <w:rsid w:val="00C372F0"/>
    <w:rsid w:val="00C372FD"/>
    <w:rsid w:val="00C37391"/>
    <w:rsid w:val="00C3746B"/>
    <w:rsid w:val="00C37471"/>
    <w:rsid w:val="00C37479"/>
    <w:rsid w:val="00C37485"/>
    <w:rsid w:val="00C37490"/>
    <w:rsid w:val="00C374EE"/>
    <w:rsid w:val="00C3752B"/>
    <w:rsid w:val="00C37549"/>
    <w:rsid w:val="00C37597"/>
    <w:rsid w:val="00C375C1"/>
    <w:rsid w:val="00C37614"/>
    <w:rsid w:val="00C37680"/>
    <w:rsid w:val="00C37695"/>
    <w:rsid w:val="00C376AA"/>
    <w:rsid w:val="00C3777B"/>
    <w:rsid w:val="00C377B8"/>
    <w:rsid w:val="00C377BE"/>
    <w:rsid w:val="00C377CB"/>
    <w:rsid w:val="00C377D1"/>
    <w:rsid w:val="00C378CC"/>
    <w:rsid w:val="00C3792F"/>
    <w:rsid w:val="00C379E2"/>
    <w:rsid w:val="00C379EB"/>
    <w:rsid w:val="00C379F5"/>
    <w:rsid w:val="00C37A36"/>
    <w:rsid w:val="00C37A78"/>
    <w:rsid w:val="00C37A7F"/>
    <w:rsid w:val="00C37A94"/>
    <w:rsid w:val="00C37A98"/>
    <w:rsid w:val="00C37B03"/>
    <w:rsid w:val="00C37B70"/>
    <w:rsid w:val="00C37B9C"/>
    <w:rsid w:val="00C37BE2"/>
    <w:rsid w:val="00C37BF4"/>
    <w:rsid w:val="00C37C84"/>
    <w:rsid w:val="00C37D50"/>
    <w:rsid w:val="00C37D99"/>
    <w:rsid w:val="00C37DB3"/>
    <w:rsid w:val="00C37DDF"/>
    <w:rsid w:val="00C37E23"/>
    <w:rsid w:val="00C37E94"/>
    <w:rsid w:val="00C37ECF"/>
    <w:rsid w:val="00C37EF0"/>
    <w:rsid w:val="00C37F36"/>
    <w:rsid w:val="00C37F53"/>
    <w:rsid w:val="00C37F88"/>
    <w:rsid w:val="00C37FA3"/>
    <w:rsid w:val="00C37FFE"/>
    <w:rsid w:val="00C3A374"/>
    <w:rsid w:val="00C4000C"/>
    <w:rsid w:val="00C40076"/>
    <w:rsid w:val="00C4007C"/>
    <w:rsid w:val="00C400B0"/>
    <w:rsid w:val="00C401CA"/>
    <w:rsid w:val="00C40222"/>
    <w:rsid w:val="00C4027F"/>
    <w:rsid w:val="00C40298"/>
    <w:rsid w:val="00C402A9"/>
    <w:rsid w:val="00C402C0"/>
    <w:rsid w:val="00C4031D"/>
    <w:rsid w:val="00C40337"/>
    <w:rsid w:val="00C403A5"/>
    <w:rsid w:val="00C4047C"/>
    <w:rsid w:val="00C404B6"/>
    <w:rsid w:val="00C404BD"/>
    <w:rsid w:val="00C404FF"/>
    <w:rsid w:val="00C4054A"/>
    <w:rsid w:val="00C40578"/>
    <w:rsid w:val="00C4059B"/>
    <w:rsid w:val="00C405C2"/>
    <w:rsid w:val="00C4061B"/>
    <w:rsid w:val="00C4064E"/>
    <w:rsid w:val="00C40653"/>
    <w:rsid w:val="00C40695"/>
    <w:rsid w:val="00C406EC"/>
    <w:rsid w:val="00C406FF"/>
    <w:rsid w:val="00C40764"/>
    <w:rsid w:val="00C407FD"/>
    <w:rsid w:val="00C40802"/>
    <w:rsid w:val="00C40806"/>
    <w:rsid w:val="00C4082F"/>
    <w:rsid w:val="00C40837"/>
    <w:rsid w:val="00C40876"/>
    <w:rsid w:val="00C4087B"/>
    <w:rsid w:val="00C4087F"/>
    <w:rsid w:val="00C408FB"/>
    <w:rsid w:val="00C40947"/>
    <w:rsid w:val="00C40977"/>
    <w:rsid w:val="00C4098B"/>
    <w:rsid w:val="00C4099B"/>
    <w:rsid w:val="00C409D7"/>
    <w:rsid w:val="00C409F8"/>
    <w:rsid w:val="00C40A95"/>
    <w:rsid w:val="00C40A99"/>
    <w:rsid w:val="00C40AC0"/>
    <w:rsid w:val="00C40AE5"/>
    <w:rsid w:val="00C40B46"/>
    <w:rsid w:val="00C40B9A"/>
    <w:rsid w:val="00C40B9D"/>
    <w:rsid w:val="00C40BAA"/>
    <w:rsid w:val="00C40BD7"/>
    <w:rsid w:val="00C40C36"/>
    <w:rsid w:val="00C40C9B"/>
    <w:rsid w:val="00C40CA7"/>
    <w:rsid w:val="00C40D77"/>
    <w:rsid w:val="00C40D79"/>
    <w:rsid w:val="00C40DB0"/>
    <w:rsid w:val="00C40DF3"/>
    <w:rsid w:val="00C40DF5"/>
    <w:rsid w:val="00C40EC5"/>
    <w:rsid w:val="00C40EE7"/>
    <w:rsid w:val="00C40F15"/>
    <w:rsid w:val="00C40F2E"/>
    <w:rsid w:val="00C40F3A"/>
    <w:rsid w:val="00C40F46"/>
    <w:rsid w:val="00C40F4A"/>
    <w:rsid w:val="00C40F4D"/>
    <w:rsid w:val="00C40F6B"/>
    <w:rsid w:val="00C41009"/>
    <w:rsid w:val="00C4102F"/>
    <w:rsid w:val="00C41043"/>
    <w:rsid w:val="00C41057"/>
    <w:rsid w:val="00C41062"/>
    <w:rsid w:val="00C41089"/>
    <w:rsid w:val="00C4109D"/>
    <w:rsid w:val="00C4116E"/>
    <w:rsid w:val="00C41171"/>
    <w:rsid w:val="00C4119E"/>
    <w:rsid w:val="00C41205"/>
    <w:rsid w:val="00C4120E"/>
    <w:rsid w:val="00C41225"/>
    <w:rsid w:val="00C41259"/>
    <w:rsid w:val="00C41297"/>
    <w:rsid w:val="00C4129C"/>
    <w:rsid w:val="00C412E9"/>
    <w:rsid w:val="00C41353"/>
    <w:rsid w:val="00C4135B"/>
    <w:rsid w:val="00C41367"/>
    <w:rsid w:val="00C4136C"/>
    <w:rsid w:val="00C413B0"/>
    <w:rsid w:val="00C413B6"/>
    <w:rsid w:val="00C413E8"/>
    <w:rsid w:val="00C413F5"/>
    <w:rsid w:val="00C413FF"/>
    <w:rsid w:val="00C41456"/>
    <w:rsid w:val="00C414DB"/>
    <w:rsid w:val="00C41540"/>
    <w:rsid w:val="00C4154B"/>
    <w:rsid w:val="00C4165B"/>
    <w:rsid w:val="00C416A2"/>
    <w:rsid w:val="00C416B9"/>
    <w:rsid w:val="00C416C9"/>
    <w:rsid w:val="00C41702"/>
    <w:rsid w:val="00C41797"/>
    <w:rsid w:val="00C417D4"/>
    <w:rsid w:val="00C417EB"/>
    <w:rsid w:val="00C417FD"/>
    <w:rsid w:val="00C41827"/>
    <w:rsid w:val="00C4182C"/>
    <w:rsid w:val="00C41897"/>
    <w:rsid w:val="00C41898"/>
    <w:rsid w:val="00C418D4"/>
    <w:rsid w:val="00C41902"/>
    <w:rsid w:val="00C41931"/>
    <w:rsid w:val="00C4194A"/>
    <w:rsid w:val="00C41950"/>
    <w:rsid w:val="00C4195E"/>
    <w:rsid w:val="00C41961"/>
    <w:rsid w:val="00C41985"/>
    <w:rsid w:val="00C41A19"/>
    <w:rsid w:val="00C41A2E"/>
    <w:rsid w:val="00C41A42"/>
    <w:rsid w:val="00C41A7E"/>
    <w:rsid w:val="00C41AA9"/>
    <w:rsid w:val="00C41AC0"/>
    <w:rsid w:val="00C41AC9"/>
    <w:rsid w:val="00C41B4A"/>
    <w:rsid w:val="00C41B85"/>
    <w:rsid w:val="00C41B97"/>
    <w:rsid w:val="00C41BB8"/>
    <w:rsid w:val="00C41BBE"/>
    <w:rsid w:val="00C41BC8"/>
    <w:rsid w:val="00C41BEA"/>
    <w:rsid w:val="00C41BF0"/>
    <w:rsid w:val="00C41C01"/>
    <w:rsid w:val="00C41C25"/>
    <w:rsid w:val="00C41CED"/>
    <w:rsid w:val="00C41D0D"/>
    <w:rsid w:val="00C41D21"/>
    <w:rsid w:val="00C41D29"/>
    <w:rsid w:val="00C41D33"/>
    <w:rsid w:val="00C41D4C"/>
    <w:rsid w:val="00C41D7C"/>
    <w:rsid w:val="00C41DD8"/>
    <w:rsid w:val="00C41DF0"/>
    <w:rsid w:val="00C41DF9"/>
    <w:rsid w:val="00C41DFD"/>
    <w:rsid w:val="00C41E11"/>
    <w:rsid w:val="00C41E87"/>
    <w:rsid w:val="00C41ED5"/>
    <w:rsid w:val="00C41F0D"/>
    <w:rsid w:val="00C41F8E"/>
    <w:rsid w:val="00C41FE3"/>
    <w:rsid w:val="00C41FF4"/>
    <w:rsid w:val="00C42016"/>
    <w:rsid w:val="00C42077"/>
    <w:rsid w:val="00C420BD"/>
    <w:rsid w:val="00C421E3"/>
    <w:rsid w:val="00C4220E"/>
    <w:rsid w:val="00C4221D"/>
    <w:rsid w:val="00C42280"/>
    <w:rsid w:val="00C422A4"/>
    <w:rsid w:val="00C42320"/>
    <w:rsid w:val="00C42364"/>
    <w:rsid w:val="00C423BA"/>
    <w:rsid w:val="00C423E1"/>
    <w:rsid w:val="00C423EC"/>
    <w:rsid w:val="00C42407"/>
    <w:rsid w:val="00C4244B"/>
    <w:rsid w:val="00C42485"/>
    <w:rsid w:val="00C4249C"/>
    <w:rsid w:val="00C4249E"/>
    <w:rsid w:val="00C425D9"/>
    <w:rsid w:val="00C425E7"/>
    <w:rsid w:val="00C42619"/>
    <w:rsid w:val="00C42646"/>
    <w:rsid w:val="00C4266A"/>
    <w:rsid w:val="00C4273E"/>
    <w:rsid w:val="00C42772"/>
    <w:rsid w:val="00C4277E"/>
    <w:rsid w:val="00C42789"/>
    <w:rsid w:val="00C427B3"/>
    <w:rsid w:val="00C427BA"/>
    <w:rsid w:val="00C427EB"/>
    <w:rsid w:val="00C42872"/>
    <w:rsid w:val="00C42877"/>
    <w:rsid w:val="00C42958"/>
    <w:rsid w:val="00C429F0"/>
    <w:rsid w:val="00C42A6B"/>
    <w:rsid w:val="00C42A7E"/>
    <w:rsid w:val="00C42A85"/>
    <w:rsid w:val="00C42A8E"/>
    <w:rsid w:val="00C42AEE"/>
    <w:rsid w:val="00C42B19"/>
    <w:rsid w:val="00C42B39"/>
    <w:rsid w:val="00C42BAA"/>
    <w:rsid w:val="00C42BC6"/>
    <w:rsid w:val="00C42BF6"/>
    <w:rsid w:val="00C42C44"/>
    <w:rsid w:val="00C42D62"/>
    <w:rsid w:val="00C42D99"/>
    <w:rsid w:val="00C42DE0"/>
    <w:rsid w:val="00C42E1B"/>
    <w:rsid w:val="00C42E3A"/>
    <w:rsid w:val="00C42E73"/>
    <w:rsid w:val="00C42F02"/>
    <w:rsid w:val="00C42FEB"/>
    <w:rsid w:val="00C430B4"/>
    <w:rsid w:val="00C430C1"/>
    <w:rsid w:val="00C43113"/>
    <w:rsid w:val="00C4312B"/>
    <w:rsid w:val="00C43158"/>
    <w:rsid w:val="00C4315F"/>
    <w:rsid w:val="00C431DE"/>
    <w:rsid w:val="00C4320B"/>
    <w:rsid w:val="00C43259"/>
    <w:rsid w:val="00C43264"/>
    <w:rsid w:val="00C43270"/>
    <w:rsid w:val="00C4328E"/>
    <w:rsid w:val="00C43333"/>
    <w:rsid w:val="00C43377"/>
    <w:rsid w:val="00C433C2"/>
    <w:rsid w:val="00C433CF"/>
    <w:rsid w:val="00C43421"/>
    <w:rsid w:val="00C43482"/>
    <w:rsid w:val="00C434AA"/>
    <w:rsid w:val="00C434C8"/>
    <w:rsid w:val="00C434EF"/>
    <w:rsid w:val="00C43520"/>
    <w:rsid w:val="00C4354D"/>
    <w:rsid w:val="00C4356E"/>
    <w:rsid w:val="00C4360B"/>
    <w:rsid w:val="00C43672"/>
    <w:rsid w:val="00C43681"/>
    <w:rsid w:val="00C436CB"/>
    <w:rsid w:val="00C43795"/>
    <w:rsid w:val="00C437F4"/>
    <w:rsid w:val="00C4382A"/>
    <w:rsid w:val="00C43855"/>
    <w:rsid w:val="00C43868"/>
    <w:rsid w:val="00C438C3"/>
    <w:rsid w:val="00C4395D"/>
    <w:rsid w:val="00C43979"/>
    <w:rsid w:val="00C439FE"/>
    <w:rsid w:val="00C43A12"/>
    <w:rsid w:val="00C43A16"/>
    <w:rsid w:val="00C43A5D"/>
    <w:rsid w:val="00C43A8A"/>
    <w:rsid w:val="00C43AAC"/>
    <w:rsid w:val="00C43AB8"/>
    <w:rsid w:val="00C43B57"/>
    <w:rsid w:val="00C43B8A"/>
    <w:rsid w:val="00C43BBA"/>
    <w:rsid w:val="00C43BE8"/>
    <w:rsid w:val="00C43BEE"/>
    <w:rsid w:val="00C43BFE"/>
    <w:rsid w:val="00C43C6A"/>
    <w:rsid w:val="00C43C7D"/>
    <w:rsid w:val="00C43D0D"/>
    <w:rsid w:val="00C43D40"/>
    <w:rsid w:val="00C43D4C"/>
    <w:rsid w:val="00C43D56"/>
    <w:rsid w:val="00C43E31"/>
    <w:rsid w:val="00C43E51"/>
    <w:rsid w:val="00C43EE3"/>
    <w:rsid w:val="00C43F21"/>
    <w:rsid w:val="00C43F25"/>
    <w:rsid w:val="00C43F59"/>
    <w:rsid w:val="00C43F7A"/>
    <w:rsid w:val="00C43FE6"/>
    <w:rsid w:val="00C4401F"/>
    <w:rsid w:val="00C44026"/>
    <w:rsid w:val="00C44044"/>
    <w:rsid w:val="00C44073"/>
    <w:rsid w:val="00C440AC"/>
    <w:rsid w:val="00C440D3"/>
    <w:rsid w:val="00C4414D"/>
    <w:rsid w:val="00C44220"/>
    <w:rsid w:val="00C442A0"/>
    <w:rsid w:val="00C442B5"/>
    <w:rsid w:val="00C44302"/>
    <w:rsid w:val="00C4430A"/>
    <w:rsid w:val="00C44359"/>
    <w:rsid w:val="00C4436B"/>
    <w:rsid w:val="00C4436E"/>
    <w:rsid w:val="00C443FD"/>
    <w:rsid w:val="00C4448A"/>
    <w:rsid w:val="00C444BA"/>
    <w:rsid w:val="00C444DD"/>
    <w:rsid w:val="00C445BB"/>
    <w:rsid w:val="00C445ED"/>
    <w:rsid w:val="00C44607"/>
    <w:rsid w:val="00C4466D"/>
    <w:rsid w:val="00C446E3"/>
    <w:rsid w:val="00C446F9"/>
    <w:rsid w:val="00C44743"/>
    <w:rsid w:val="00C44757"/>
    <w:rsid w:val="00C44899"/>
    <w:rsid w:val="00C4490A"/>
    <w:rsid w:val="00C44982"/>
    <w:rsid w:val="00C4498A"/>
    <w:rsid w:val="00C4498C"/>
    <w:rsid w:val="00C449A4"/>
    <w:rsid w:val="00C44A16"/>
    <w:rsid w:val="00C44A47"/>
    <w:rsid w:val="00C44A53"/>
    <w:rsid w:val="00C44AB5"/>
    <w:rsid w:val="00C44B70"/>
    <w:rsid w:val="00C44BF0"/>
    <w:rsid w:val="00C44C91"/>
    <w:rsid w:val="00C44D1E"/>
    <w:rsid w:val="00C44E12"/>
    <w:rsid w:val="00C44E4A"/>
    <w:rsid w:val="00C44ED1"/>
    <w:rsid w:val="00C44F22"/>
    <w:rsid w:val="00C44F45"/>
    <w:rsid w:val="00C44FB5"/>
    <w:rsid w:val="00C44FDC"/>
    <w:rsid w:val="00C45022"/>
    <w:rsid w:val="00C4510D"/>
    <w:rsid w:val="00C45128"/>
    <w:rsid w:val="00C451B9"/>
    <w:rsid w:val="00C451BE"/>
    <w:rsid w:val="00C451D2"/>
    <w:rsid w:val="00C45207"/>
    <w:rsid w:val="00C45208"/>
    <w:rsid w:val="00C45211"/>
    <w:rsid w:val="00C45289"/>
    <w:rsid w:val="00C452D2"/>
    <w:rsid w:val="00C45370"/>
    <w:rsid w:val="00C45382"/>
    <w:rsid w:val="00C453E5"/>
    <w:rsid w:val="00C453E6"/>
    <w:rsid w:val="00C4547A"/>
    <w:rsid w:val="00C4549C"/>
    <w:rsid w:val="00C4557B"/>
    <w:rsid w:val="00C455CA"/>
    <w:rsid w:val="00C45672"/>
    <w:rsid w:val="00C456A3"/>
    <w:rsid w:val="00C456E6"/>
    <w:rsid w:val="00C45708"/>
    <w:rsid w:val="00C45725"/>
    <w:rsid w:val="00C45740"/>
    <w:rsid w:val="00C45769"/>
    <w:rsid w:val="00C45776"/>
    <w:rsid w:val="00C457B7"/>
    <w:rsid w:val="00C457D9"/>
    <w:rsid w:val="00C457DC"/>
    <w:rsid w:val="00C45843"/>
    <w:rsid w:val="00C4587A"/>
    <w:rsid w:val="00C4587E"/>
    <w:rsid w:val="00C45893"/>
    <w:rsid w:val="00C458B6"/>
    <w:rsid w:val="00C458E2"/>
    <w:rsid w:val="00C458F5"/>
    <w:rsid w:val="00C45914"/>
    <w:rsid w:val="00C45978"/>
    <w:rsid w:val="00C45992"/>
    <w:rsid w:val="00C459B1"/>
    <w:rsid w:val="00C459C6"/>
    <w:rsid w:val="00C459E9"/>
    <w:rsid w:val="00C45A0D"/>
    <w:rsid w:val="00C45A4B"/>
    <w:rsid w:val="00C45A62"/>
    <w:rsid w:val="00C45B22"/>
    <w:rsid w:val="00C45B6F"/>
    <w:rsid w:val="00C45B8D"/>
    <w:rsid w:val="00C45BAD"/>
    <w:rsid w:val="00C45BCB"/>
    <w:rsid w:val="00C45CB8"/>
    <w:rsid w:val="00C45CBF"/>
    <w:rsid w:val="00C45D3E"/>
    <w:rsid w:val="00C45E04"/>
    <w:rsid w:val="00C45E0A"/>
    <w:rsid w:val="00C45F5D"/>
    <w:rsid w:val="00C45FC8"/>
    <w:rsid w:val="00C45FE1"/>
    <w:rsid w:val="00C46042"/>
    <w:rsid w:val="00C46072"/>
    <w:rsid w:val="00C460AD"/>
    <w:rsid w:val="00C4617C"/>
    <w:rsid w:val="00C46219"/>
    <w:rsid w:val="00C46368"/>
    <w:rsid w:val="00C4636B"/>
    <w:rsid w:val="00C46389"/>
    <w:rsid w:val="00C463C7"/>
    <w:rsid w:val="00C463F9"/>
    <w:rsid w:val="00C463FA"/>
    <w:rsid w:val="00C463FE"/>
    <w:rsid w:val="00C4642E"/>
    <w:rsid w:val="00C46436"/>
    <w:rsid w:val="00C46467"/>
    <w:rsid w:val="00C46474"/>
    <w:rsid w:val="00C464D5"/>
    <w:rsid w:val="00C46511"/>
    <w:rsid w:val="00C465DB"/>
    <w:rsid w:val="00C466A4"/>
    <w:rsid w:val="00C46739"/>
    <w:rsid w:val="00C46751"/>
    <w:rsid w:val="00C46790"/>
    <w:rsid w:val="00C467B1"/>
    <w:rsid w:val="00C46892"/>
    <w:rsid w:val="00C468CF"/>
    <w:rsid w:val="00C46948"/>
    <w:rsid w:val="00C469A6"/>
    <w:rsid w:val="00C469A8"/>
    <w:rsid w:val="00C469B2"/>
    <w:rsid w:val="00C46A34"/>
    <w:rsid w:val="00C46A82"/>
    <w:rsid w:val="00C46A90"/>
    <w:rsid w:val="00C46A91"/>
    <w:rsid w:val="00C46AAE"/>
    <w:rsid w:val="00C46ACF"/>
    <w:rsid w:val="00C46ADB"/>
    <w:rsid w:val="00C46ADF"/>
    <w:rsid w:val="00C46AFC"/>
    <w:rsid w:val="00C46B1D"/>
    <w:rsid w:val="00C46C29"/>
    <w:rsid w:val="00C46CF2"/>
    <w:rsid w:val="00C46D5B"/>
    <w:rsid w:val="00C46DAC"/>
    <w:rsid w:val="00C46DB1"/>
    <w:rsid w:val="00C46DEF"/>
    <w:rsid w:val="00C46E33"/>
    <w:rsid w:val="00C46E6B"/>
    <w:rsid w:val="00C46F0F"/>
    <w:rsid w:val="00C46F5F"/>
    <w:rsid w:val="00C46F64"/>
    <w:rsid w:val="00C46F6A"/>
    <w:rsid w:val="00C46FE0"/>
    <w:rsid w:val="00C46FFE"/>
    <w:rsid w:val="00C470BA"/>
    <w:rsid w:val="00C470EF"/>
    <w:rsid w:val="00C47105"/>
    <w:rsid w:val="00C4713C"/>
    <w:rsid w:val="00C47145"/>
    <w:rsid w:val="00C4715E"/>
    <w:rsid w:val="00C4727E"/>
    <w:rsid w:val="00C472E7"/>
    <w:rsid w:val="00C4730A"/>
    <w:rsid w:val="00C47316"/>
    <w:rsid w:val="00C473B2"/>
    <w:rsid w:val="00C47405"/>
    <w:rsid w:val="00C4740A"/>
    <w:rsid w:val="00C4740E"/>
    <w:rsid w:val="00C47413"/>
    <w:rsid w:val="00C47479"/>
    <w:rsid w:val="00C47485"/>
    <w:rsid w:val="00C47491"/>
    <w:rsid w:val="00C474A8"/>
    <w:rsid w:val="00C474F9"/>
    <w:rsid w:val="00C4750D"/>
    <w:rsid w:val="00C47519"/>
    <w:rsid w:val="00C475B1"/>
    <w:rsid w:val="00C475EF"/>
    <w:rsid w:val="00C4764C"/>
    <w:rsid w:val="00C47661"/>
    <w:rsid w:val="00C4767E"/>
    <w:rsid w:val="00C476C0"/>
    <w:rsid w:val="00C476DB"/>
    <w:rsid w:val="00C47726"/>
    <w:rsid w:val="00C47737"/>
    <w:rsid w:val="00C47743"/>
    <w:rsid w:val="00C477C2"/>
    <w:rsid w:val="00C4782F"/>
    <w:rsid w:val="00C47888"/>
    <w:rsid w:val="00C47894"/>
    <w:rsid w:val="00C47899"/>
    <w:rsid w:val="00C478BB"/>
    <w:rsid w:val="00C478CF"/>
    <w:rsid w:val="00C47942"/>
    <w:rsid w:val="00C47A89"/>
    <w:rsid w:val="00C47AF5"/>
    <w:rsid w:val="00C47B14"/>
    <w:rsid w:val="00C47B2A"/>
    <w:rsid w:val="00C47B4A"/>
    <w:rsid w:val="00C47B62"/>
    <w:rsid w:val="00C47B6E"/>
    <w:rsid w:val="00C47BE5"/>
    <w:rsid w:val="00C47C32"/>
    <w:rsid w:val="00C47C63"/>
    <w:rsid w:val="00C47CE8"/>
    <w:rsid w:val="00C47D05"/>
    <w:rsid w:val="00C47DA4"/>
    <w:rsid w:val="00C47DE3"/>
    <w:rsid w:val="00C47DE7"/>
    <w:rsid w:val="00C47F0F"/>
    <w:rsid w:val="00C47F6B"/>
    <w:rsid w:val="00C5002E"/>
    <w:rsid w:val="00C5003F"/>
    <w:rsid w:val="00C50065"/>
    <w:rsid w:val="00C500A9"/>
    <w:rsid w:val="00C500E4"/>
    <w:rsid w:val="00C500E6"/>
    <w:rsid w:val="00C50112"/>
    <w:rsid w:val="00C501D2"/>
    <w:rsid w:val="00C501FB"/>
    <w:rsid w:val="00C5023A"/>
    <w:rsid w:val="00C50258"/>
    <w:rsid w:val="00C5025C"/>
    <w:rsid w:val="00C50275"/>
    <w:rsid w:val="00C50287"/>
    <w:rsid w:val="00C502BA"/>
    <w:rsid w:val="00C50308"/>
    <w:rsid w:val="00C50364"/>
    <w:rsid w:val="00C503B2"/>
    <w:rsid w:val="00C5040E"/>
    <w:rsid w:val="00C50461"/>
    <w:rsid w:val="00C50493"/>
    <w:rsid w:val="00C50526"/>
    <w:rsid w:val="00C505FD"/>
    <w:rsid w:val="00C50629"/>
    <w:rsid w:val="00C5062E"/>
    <w:rsid w:val="00C50681"/>
    <w:rsid w:val="00C50700"/>
    <w:rsid w:val="00C50718"/>
    <w:rsid w:val="00C5073A"/>
    <w:rsid w:val="00C5077E"/>
    <w:rsid w:val="00C50782"/>
    <w:rsid w:val="00C5079E"/>
    <w:rsid w:val="00C507C2"/>
    <w:rsid w:val="00C50823"/>
    <w:rsid w:val="00C50925"/>
    <w:rsid w:val="00C50935"/>
    <w:rsid w:val="00C509E4"/>
    <w:rsid w:val="00C50A00"/>
    <w:rsid w:val="00C50A1E"/>
    <w:rsid w:val="00C50A3F"/>
    <w:rsid w:val="00C50A9E"/>
    <w:rsid w:val="00C50AC4"/>
    <w:rsid w:val="00C50AEA"/>
    <w:rsid w:val="00C50BDC"/>
    <w:rsid w:val="00C50C05"/>
    <w:rsid w:val="00C50C39"/>
    <w:rsid w:val="00C50C6B"/>
    <w:rsid w:val="00C50E2B"/>
    <w:rsid w:val="00C50E5D"/>
    <w:rsid w:val="00C50EA5"/>
    <w:rsid w:val="00C50EE4"/>
    <w:rsid w:val="00C50EEC"/>
    <w:rsid w:val="00C50EFC"/>
    <w:rsid w:val="00C50F12"/>
    <w:rsid w:val="00C50F59"/>
    <w:rsid w:val="00C50F67"/>
    <w:rsid w:val="00C50FC1"/>
    <w:rsid w:val="00C51077"/>
    <w:rsid w:val="00C510B2"/>
    <w:rsid w:val="00C51126"/>
    <w:rsid w:val="00C5112C"/>
    <w:rsid w:val="00C51149"/>
    <w:rsid w:val="00C511C1"/>
    <w:rsid w:val="00C511CC"/>
    <w:rsid w:val="00C511D9"/>
    <w:rsid w:val="00C511E2"/>
    <w:rsid w:val="00C511E7"/>
    <w:rsid w:val="00C512EC"/>
    <w:rsid w:val="00C51370"/>
    <w:rsid w:val="00C513DE"/>
    <w:rsid w:val="00C51414"/>
    <w:rsid w:val="00C5145D"/>
    <w:rsid w:val="00C514B8"/>
    <w:rsid w:val="00C514E2"/>
    <w:rsid w:val="00C514F6"/>
    <w:rsid w:val="00C5151D"/>
    <w:rsid w:val="00C51581"/>
    <w:rsid w:val="00C5158F"/>
    <w:rsid w:val="00C515A6"/>
    <w:rsid w:val="00C51664"/>
    <w:rsid w:val="00C516A9"/>
    <w:rsid w:val="00C5173D"/>
    <w:rsid w:val="00C51791"/>
    <w:rsid w:val="00C5179E"/>
    <w:rsid w:val="00C517D7"/>
    <w:rsid w:val="00C51818"/>
    <w:rsid w:val="00C5181F"/>
    <w:rsid w:val="00C51868"/>
    <w:rsid w:val="00C51873"/>
    <w:rsid w:val="00C5187F"/>
    <w:rsid w:val="00C5188B"/>
    <w:rsid w:val="00C518B4"/>
    <w:rsid w:val="00C51911"/>
    <w:rsid w:val="00C51942"/>
    <w:rsid w:val="00C51A01"/>
    <w:rsid w:val="00C51A0E"/>
    <w:rsid w:val="00C51A42"/>
    <w:rsid w:val="00C51A44"/>
    <w:rsid w:val="00C51A5E"/>
    <w:rsid w:val="00C51A61"/>
    <w:rsid w:val="00C51B13"/>
    <w:rsid w:val="00C51B18"/>
    <w:rsid w:val="00C51B29"/>
    <w:rsid w:val="00C51BF7"/>
    <w:rsid w:val="00C51BFB"/>
    <w:rsid w:val="00C51C40"/>
    <w:rsid w:val="00C51C44"/>
    <w:rsid w:val="00C51C84"/>
    <w:rsid w:val="00C51CA6"/>
    <w:rsid w:val="00C51CC3"/>
    <w:rsid w:val="00C51D5F"/>
    <w:rsid w:val="00C51DED"/>
    <w:rsid w:val="00C51E0E"/>
    <w:rsid w:val="00C51E2E"/>
    <w:rsid w:val="00C51E50"/>
    <w:rsid w:val="00C51E7D"/>
    <w:rsid w:val="00C51F65"/>
    <w:rsid w:val="00C5200D"/>
    <w:rsid w:val="00C52037"/>
    <w:rsid w:val="00C520AD"/>
    <w:rsid w:val="00C520BE"/>
    <w:rsid w:val="00C520D7"/>
    <w:rsid w:val="00C520F6"/>
    <w:rsid w:val="00C52141"/>
    <w:rsid w:val="00C5214E"/>
    <w:rsid w:val="00C521D1"/>
    <w:rsid w:val="00C52201"/>
    <w:rsid w:val="00C5223C"/>
    <w:rsid w:val="00C5224F"/>
    <w:rsid w:val="00C522A3"/>
    <w:rsid w:val="00C522C9"/>
    <w:rsid w:val="00C52317"/>
    <w:rsid w:val="00C5234C"/>
    <w:rsid w:val="00C52420"/>
    <w:rsid w:val="00C52435"/>
    <w:rsid w:val="00C52489"/>
    <w:rsid w:val="00C524A2"/>
    <w:rsid w:val="00C5251E"/>
    <w:rsid w:val="00C52582"/>
    <w:rsid w:val="00C52605"/>
    <w:rsid w:val="00C5260D"/>
    <w:rsid w:val="00C5263C"/>
    <w:rsid w:val="00C5267F"/>
    <w:rsid w:val="00C5268D"/>
    <w:rsid w:val="00C526DA"/>
    <w:rsid w:val="00C526F8"/>
    <w:rsid w:val="00C52766"/>
    <w:rsid w:val="00C527B9"/>
    <w:rsid w:val="00C527E2"/>
    <w:rsid w:val="00C527FD"/>
    <w:rsid w:val="00C52801"/>
    <w:rsid w:val="00C52828"/>
    <w:rsid w:val="00C52835"/>
    <w:rsid w:val="00C528E6"/>
    <w:rsid w:val="00C528EC"/>
    <w:rsid w:val="00C52906"/>
    <w:rsid w:val="00C529F4"/>
    <w:rsid w:val="00C52A00"/>
    <w:rsid w:val="00C52A27"/>
    <w:rsid w:val="00C52A33"/>
    <w:rsid w:val="00C52A39"/>
    <w:rsid w:val="00C52A55"/>
    <w:rsid w:val="00C52A60"/>
    <w:rsid w:val="00C52A90"/>
    <w:rsid w:val="00C52A94"/>
    <w:rsid w:val="00C52AC0"/>
    <w:rsid w:val="00C52B09"/>
    <w:rsid w:val="00C52B7B"/>
    <w:rsid w:val="00C52B7D"/>
    <w:rsid w:val="00C52BE4"/>
    <w:rsid w:val="00C52C14"/>
    <w:rsid w:val="00C52C1B"/>
    <w:rsid w:val="00C52C7C"/>
    <w:rsid w:val="00C52C84"/>
    <w:rsid w:val="00C52C8F"/>
    <w:rsid w:val="00C52CC0"/>
    <w:rsid w:val="00C52CEF"/>
    <w:rsid w:val="00C52D38"/>
    <w:rsid w:val="00C52D66"/>
    <w:rsid w:val="00C52D9D"/>
    <w:rsid w:val="00C52DEA"/>
    <w:rsid w:val="00C52E39"/>
    <w:rsid w:val="00C52E9E"/>
    <w:rsid w:val="00C52F2F"/>
    <w:rsid w:val="00C52F33"/>
    <w:rsid w:val="00C52FB3"/>
    <w:rsid w:val="00C53030"/>
    <w:rsid w:val="00C53057"/>
    <w:rsid w:val="00C5305C"/>
    <w:rsid w:val="00C53062"/>
    <w:rsid w:val="00C5317B"/>
    <w:rsid w:val="00C531EA"/>
    <w:rsid w:val="00C531F2"/>
    <w:rsid w:val="00C53202"/>
    <w:rsid w:val="00C5324B"/>
    <w:rsid w:val="00C53250"/>
    <w:rsid w:val="00C532BF"/>
    <w:rsid w:val="00C53329"/>
    <w:rsid w:val="00C53338"/>
    <w:rsid w:val="00C53378"/>
    <w:rsid w:val="00C5337D"/>
    <w:rsid w:val="00C5338E"/>
    <w:rsid w:val="00C533D5"/>
    <w:rsid w:val="00C533FD"/>
    <w:rsid w:val="00C533FF"/>
    <w:rsid w:val="00C53450"/>
    <w:rsid w:val="00C53465"/>
    <w:rsid w:val="00C53478"/>
    <w:rsid w:val="00C534D6"/>
    <w:rsid w:val="00C53560"/>
    <w:rsid w:val="00C53585"/>
    <w:rsid w:val="00C53590"/>
    <w:rsid w:val="00C535BD"/>
    <w:rsid w:val="00C5360F"/>
    <w:rsid w:val="00C53693"/>
    <w:rsid w:val="00C536B8"/>
    <w:rsid w:val="00C536BB"/>
    <w:rsid w:val="00C536E8"/>
    <w:rsid w:val="00C537A4"/>
    <w:rsid w:val="00C537EE"/>
    <w:rsid w:val="00C53863"/>
    <w:rsid w:val="00C5388F"/>
    <w:rsid w:val="00C53907"/>
    <w:rsid w:val="00C53922"/>
    <w:rsid w:val="00C5393A"/>
    <w:rsid w:val="00C53958"/>
    <w:rsid w:val="00C5399A"/>
    <w:rsid w:val="00C53A93"/>
    <w:rsid w:val="00C53AC4"/>
    <w:rsid w:val="00C53ACD"/>
    <w:rsid w:val="00C53C18"/>
    <w:rsid w:val="00C53C1B"/>
    <w:rsid w:val="00C53C34"/>
    <w:rsid w:val="00C53C48"/>
    <w:rsid w:val="00C53CC3"/>
    <w:rsid w:val="00C53D6E"/>
    <w:rsid w:val="00C53D70"/>
    <w:rsid w:val="00C53D77"/>
    <w:rsid w:val="00C53DE6"/>
    <w:rsid w:val="00C53E49"/>
    <w:rsid w:val="00C53EBE"/>
    <w:rsid w:val="00C53EE9"/>
    <w:rsid w:val="00C53F33"/>
    <w:rsid w:val="00C53F72"/>
    <w:rsid w:val="00C53FA3"/>
    <w:rsid w:val="00C53FE0"/>
    <w:rsid w:val="00C53FEE"/>
    <w:rsid w:val="00C54028"/>
    <w:rsid w:val="00C54049"/>
    <w:rsid w:val="00C5409B"/>
    <w:rsid w:val="00C540B7"/>
    <w:rsid w:val="00C5413D"/>
    <w:rsid w:val="00C5415F"/>
    <w:rsid w:val="00C54160"/>
    <w:rsid w:val="00C541C2"/>
    <w:rsid w:val="00C5429C"/>
    <w:rsid w:val="00C542A9"/>
    <w:rsid w:val="00C542F3"/>
    <w:rsid w:val="00C542F5"/>
    <w:rsid w:val="00C54362"/>
    <w:rsid w:val="00C5436F"/>
    <w:rsid w:val="00C543AB"/>
    <w:rsid w:val="00C54476"/>
    <w:rsid w:val="00C5449A"/>
    <w:rsid w:val="00C544BA"/>
    <w:rsid w:val="00C545FF"/>
    <w:rsid w:val="00C5461D"/>
    <w:rsid w:val="00C5464F"/>
    <w:rsid w:val="00C54695"/>
    <w:rsid w:val="00C5472B"/>
    <w:rsid w:val="00C5474F"/>
    <w:rsid w:val="00C5479C"/>
    <w:rsid w:val="00C547D3"/>
    <w:rsid w:val="00C547E8"/>
    <w:rsid w:val="00C54811"/>
    <w:rsid w:val="00C54838"/>
    <w:rsid w:val="00C5483C"/>
    <w:rsid w:val="00C54868"/>
    <w:rsid w:val="00C548A5"/>
    <w:rsid w:val="00C54922"/>
    <w:rsid w:val="00C54950"/>
    <w:rsid w:val="00C54A1A"/>
    <w:rsid w:val="00C54A56"/>
    <w:rsid w:val="00C54A70"/>
    <w:rsid w:val="00C54AB8"/>
    <w:rsid w:val="00C54B2F"/>
    <w:rsid w:val="00C54B5A"/>
    <w:rsid w:val="00C54B81"/>
    <w:rsid w:val="00C54B9C"/>
    <w:rsid w:val="00C54BA7"/>
    <w:rsid w:val="00C54BDA"/>
    <w:rsid w:val="00C54BF7"/>
    <w:rsid w:val="00C54C46"/>
    <w:rsid w:val="00C54C53"/>
    <w:rsid w:val="00C54C63"/>
    <w:rsid w:val="00C54C8A"/>
    <w:rsid w:val="00C54CA0"/>
    <w:rsid w:val="00C54CC7"/>
    <w:rsid w:val="00C54CE4"/>
    <w:rsid w:val="00C54D0F"/>
    <w:rsid w:val="00C54DEB"/>
    <w:rsid w:val="00C54E12"/>
    <w:rsid w:val="00C54E74"/>
    <w:rsid w:val="00C54E8A"/>
    <w:rsid w:val="00C54EBC"/>
    <w:rsid w:val="00C54EE9"/>
    <w:rsid w:val="00C54F43"/>
    <w:rsid w:val="00C54FD5"/>
    <w:rsid w:val="00C55014"/>
    <w:rsid w:val="00C55048"/>
    <w:rsid w:val="00C5505C"/>
    <w:rsid w:val="00C55088"/>
    <w:rsid w:val="00C550BC"/>
    <w:rsid w:val="00C55134"/>
    <w:rsid w:val="00C55147"/>
    <w:rsid w:val="00C5519F"/>
    <w:rsid w:val="00C551A1"/>
    <w:rsid w:val="00C5521B"/>
    <w:rsid w:val="00C55243"/>
    <w:rsid w:val="00C55248"/>
    <w:rsid w:val="00C552D3"/>
    <w:rsid w:val="00C55391"/>
    <w:rsid w:val="00C553B9"/>
    <w:rsid w:val="00C553E8"/>
    <w:rsid w:val="00C55414"/>
    <w:rsid w:val="00C554C1"/>
    <w:rsid w:val="00C554F1"/>
    <w:rsid w:val="00C55513"/>
    <w:rsid w:val="00C555F9"/>
    <w:rsid w:val="00C55624"/>
    <w:rsid w:val="00C55640"/>
    <w:rsid w:val="00C556B7"/>
    <w:rsid w:val="00C556DA"/>
    <w:rsid w:val="00C556E9"/>
    <w:rsid w:val="00C556FF"/>
    <w:rsid w:val="00C55755"/>
    <w:rsid w:val="00C5578B"/>
    <w:rsid w:val="00C5583B"/>
    <w:rsid w:val="00C5589D"/>
    <w:rsid w:val="00C558E9"/>
    <w:rsid w:val="00C558EA"/>
    <w:rsid w:val="00C55912"/>
    <w:rsid w:val="00C55920"/>
    <w:rsid w:val="00C55947"/>
    <w:rsid w:val="00C5596B"/>
    <w:rsid w:val="00C559FC"/>
    <w:rsid w:val="00C55A7C"/>
    <w:rsid w:val="00C55AFA"/>
    <w:rsid w:val="00C55B26"/>
    <w:rsid w:val="00C55B39"/>
    <w:rsid w:val="00C55B77"/>
    <w:rsid w:val="00C55C03"/>
    <w:rsid w:val="00C55CBD"/>
    <w:rsid w:val="00C55D35"/>
    <w:rsid w:val="00C55D8A"/>
    <w:rsid w:val="00C55D90"/>
    <w:rsid w:val="00C55DF6"/>
    <w:rsid w:val="00C55DFC"/>
    <w:rsid w:val="00C55F11"/>
    <w:rsid w:val="00C56006"/>
    <w:rsid w:val="00C5604B"/>
    <w:rsid w:val="00C56053"/>
    <w:rsid w:val="00C5606E"/>
    <w:rsid w:val="00C56133"/>
    <w:rsid w:val="00C561AF"/>
    <w:rsid w:val="00C561B5"/>
    <w:rsid w:val="00C56217"/>
    <w:rsid w:val="00C562B2"/>
    <w:rsid w:val="00C562B6"/>
    <w:rsid w:val="00C562C7"/>
    <w:rsid w:val="00C562C9"/>
    <w:rsid w:val="00C56343"/>
    <w:rsid w:val="00C56354"/>
    <w:rsid w:val="00C56409"/>
    <w:rsid w:val="00C56498"/>
    <w:rsid w:val="00C56566"/>
    <w:rsid w:val="00C56592"/>
    <w:rsid w:val="00C565A1"/>
    <w:rsid w:val="00C565AF"/>
    <w:rsid w:val="00C565D0"/>
    <w:rsid w:val="00C565DF"/>
    <w:rsid w:val="00C5660B"/>
    <w:rsid w:val="00C56616"/>
    <w:rsid w:val="00C5662C"/>
    <w:rsid w:val="00C56643"/>
    <w:rsid w:val="00C566F9"/>
    <w:rsid w:val="00C567D9"/>
    <w:rsid w:val="00C56889"/>
    <w:rsid w:val="00C56895"/>
    <w:rsid w:val="00C56AC1"/>
    <w:rsid w:val="00C56B5C"/>
    <w:rsid w:val="00C56B68"/>
    <w:rsid w:val="00C56B6A"/>
    <w:rsid w:val="00C56BE3"/>
    <w:rsid w:val="00C56C15"/>
    <w:rsid w:val="00C56C42"/>
    <w:rsid w:val="00C56C82"/>
    <w:rsid w:val="00C56CC9"/>
    <w:rsid w:val="00C56DBB"/>
    <w:rsid w:val="00C56DBE"/>
    <w:rsid w:val="00C56E17"/>
    <w:rsid w:val="00C56E67"/>
    <w:rsid w:val="00C56E7D"/>
    <w:rsid w:val="00C56EEE"/>
    <w:rsid w:val="00C56F29"/>
    <w:rsid w:val="00C56FAD"/>
    <w:rsid w:val="00C56FB7"/>
    <w:rsid w:val="00C56FD2"/>
    <w:rsid w:val="00C56FEC"/>
    <w:rsid w:val="00C570FE"/>
    <w:rsid w:val="00C57110"/>
    <w:rsid w:val="00C5713F"/>
    <w:rsid w:val="00C5715C"/>
    <w:rsid w:val="00C5719D"/>
    <w:rsid w:val="00C571B1"/>
    <w:rsid w:val="00C571E3"/>
    <w:rsid w:val="00C571FA"/>
    <w:rsid w:val="00C57238"/>
    <w:rsid w:val="00C57244"/>
    <w:rsid w:val="00C57291"/>
    <w:rsid w:val="00C572F0"/>
    <w:rsid w:val="00C572FD"/>
    <w:rsid w:val="00C5731A"/>
    <w:rsid w:val="00C573A2"/>
    <w:rsid w:val="00C57426"/>
    <w:rsid w:val="00C5749D"/>
    <w:rsid w:val="00C57558"/>
    <w:rsid w:val="00C5758E"/>
    <w:rsid w:val="00C57616"/>
    <w:rsid w:val="00C57618"/>
    <w:rsid w:val="00C57679"/>
    <w:rsid w:val="00C57727"/>
    <w:rsid w:val="00C57794"/>
    <w:rsid w:val="00C577B6"/>
    <w:rsid w:val="00C577FD"/>
    <w:rsid w:val="00C57819"/>
    <w:rsid w:val="00C5784B"/>
    <w:rsid w:val="00C57856"/>
    <w:rsid w:val="00C5785C"/>
    <w:rsid w:val="00C578C2"/>
    <w:rsid w:val="00C578C4"/>
    <w:rsid w:val="00C5796E"/>
    <w:rsid w:val="00C57979"/>
    <w:rsid w:val="00C57994"/>
    <w:rsid w:val="00C579E2"/>
    <w:rsid w:val="00C579EE"/>
    <w:rsid w:val="00C57A23"/>
    <w:rsid w:val="00C57A36"/>
    <w:rsid w:val="00C57A3E"/>
    <w:rsid w:val="00C57A67"/>
    <w:rsid w:val="00C57A76"/>
    <w:rsid w:val="00C57A8F"/>
    <w:rsid w:val="00C57AA5"/>
    <w:rsid w:val="00C57B83"/>
    <w:rsid w:val="00C57BF4"/>
    <w:rsid w:val="00C57C15"/>
    <w:rsid w:val="00C57C20"/>
    <w:rsid w:val="00C57C67"/>
    <w:rsid w:val="00C57C7B"/>
    <w:rsid w:val="00C57C7D"/>
    <w:rsid w:val="00C57C83"/>
    <w:rsid w:val="00C57C85"/>
    <w:rsid w:val="00C57C8D"/>
    <w:rsid w:val="00C57CAD"/>
    <w:rsid w:val="00C57CC5"/>
    <w:rsid w:val="00C57D15"/>
    <w:rsid w:val="00C57DA1"/>
    <w:rsid w:val="00C57DD5"/>
    <w:rsid w:val="00C57DDF"/>
    <w:rsid w:val="00C57E3F"/>
    <w:rsid w:val="00C57E7C"/>
    <w:rsid w:val="00C57E90"/>
    <w:rsid w:val="00C57EB2"/>
    <w:rsid w:val="00C57EB8"/>
    <w:rsid w:val="00C57EC5"/>
    <w:rsid w:val="00C57EE8"/>
    <w:rsid w:val="00C57EFB"/>
    <w:rsid w:val="00C57F12"/>
    <w:rsid w:val="00C57FE6"/>
    <w:rsid w:val="00C60015"/>
    <w:rsid w:val="00C600C3"/>
    <w:rsid w:val="00C600D3"/>
    <w:rsid w:val="00C600F4"/>
    <w:rsid w:val="00C60109"/>
    <w:rsid w:val="00C60151"/>
    <w:rsid w:val="00C6018D"/>
    <w:rsid w:val="00C601E7"/>
    <w:rsid w:val="00C60219"/>
    <w:rsid w:val="00C6021B"/>
    <w:rsid w:val="00C6022E"/>
    <w:rsid w:val="00C60241"/>
    <w:rsid w:val="00C6029D"/>
    <w:rsid w:val="00C602C3"/>
    <w:rsid w:val="00C602C7"/>
    <w:rsid w:val="00C602D2"/>
    <w:rsid w:val="00C602DB"/>
    <w:rsid w:val="00C603F0"/>
    <w:rsid w:val="00C60441"/>
    <w:rsid w:val="00C6049D"/>
    <w:rsid w:val="00C604CB"/>
    <w:rsid w:val="00C60547"/>
    <w:rsid w:val="00C6057C"/>
    <w:rsid w:val="00C60588"/>
    <w:rsid w:val="00C605F2"/>
    <w:rsid w:val="00C60620"/>
    <w:rsid w:val="00C606CE"/>
    <w:rsid w:val="00C606F3"/>
    <w:rsid w:val="00C60720"/>
    <w:rsid w:val="00C60771"/>
    <w:rsid w:val="00C607A7"/>
    <w:rsid w:val="00C60843"/>
    <w:rsid w:val="00C6087D"/>
    <w:rsid w:val="00C608C3"/>
    <w:rsid w:val="00C608CD"/>
    <w:rsid w:val="00C60932"/>
    <w:rsid w:val="00C6094D"/>
    <w:rsid w:val="00C6096B"/>
    <w:rsid w:val="00C60988"/>
    <w:rsid w:val="00C609C2"/>
    <w:rsid w:val="00C609D7"/>
    <w:rsid w:val="00C60A94"/>
    <w:rsid w:val="00C60AA9"/>
    <w:rsid w:val="00C60AEF"/>
    <w:rsid w:val="00C60B81"/>
    <w:rsid w:val="00C60BC7"/>
    <w:rsid w:val="00C60BDD"/>
    <w:rsid w:val="00C60C5B"/>
    <w:rsid w:val="00C60D58"/>
    <w:rsid w:val="00C60DCE"/>
    <w:rsid w:val="00C60E4F"/>
    <w:rsid w:val="00C60EAC"/>
    <w:rsid w:val="00C60F02"/>
    <w:rsid w:val="00C60F25"/>
    <w:rsid w:val="00C60F33"/>
    <w:rsid w:val="00C6104B"/>
    <w:rsid w:val="00C610B3"/>
    <w:rsid w:val="00C610D4"/>
    <w:rsid w:val="00C6110A"/>
    <w:rsid w:val="00C61110"/>
    <w:rsid w:val="00C61139"/>
    <w:rsid w:val="00C61175"/>
    <w:rsid w:val="00C611B0"/>
    <w:rsid w:val="00C611B2"/>
    <w:rsid w:val="00C612EE"/>
    <w:rsid w:val="00C61328"/>
    <w:rsid w:val="00C61344"/>
    <w:rsid w:val="00C61399"/>
    <w:rsid w:val="00C613EE"/>
    <w:rsid w:val="00C61465"/>
    <w:rsid w:val="00C61480"/>
    <w:rsid w:val="00C61485"/>
    <w:rsid w:val="00C61514"/>
    <w:rsid w:val="00C6156D"/>
    <w:rsid w:val="00C6158B"/>
    <w:rsid w:val="00C615B9"/>
    <w:rsid w:val="00C615C0"/>
    <w:rsid w:val="00C6161F"/>
    <w:rsid w:val="00C6164A"/>
    <w:rsid w:val="00C6166D"/>
    <w:rsid w:val="00C6168B"/>
    <w:rsid w:val="00C616B2"/>
    <w:rsid w:val="00C616D6"/>
    <w:rsid w:val="00C616F0"/>
    <w:rsid w:val="00C61749"/>
    <w:rsid w:val="00C617B2"/>
    <w:rsid w:val="00C617B7"/>
    <w:rsid w:val="00C61876"/>
    <w:rsid w:val="00C618A1"/>
    <w:rsid w:val="00C618BA"/>
    <w:rsid w:val="00C618FC"/>
    <w:rsid w:val="00C61906"/>
    <w:rsid w:val="00C61914"/>
    <w:rsid w:val="00C61929"/>
    <w:rsid w:val="00C619C3"/>
    <w:rsid w:val="00C61A12"/>
    <w:rsid w:val="00C61A1A"/>
    <w:rsid w:val="00C61A82"/>
    <w:rsid w:val="00C61AB6"/>
    <w:rsid w:val="00C61AFD"/>
    <w:rsid w:val="00C61B39"/>
    <w:rsid w:val="00C61B5D"/>
    <w:rsid w:val="00C61B72"/>
    <w:rsid w:val="00C61BA7"/>
    <w:rsid w:val="00C61BA8"/>
    <w:rsid w:val="00C61BB8"/>
    <w:rsid w:val="00C61CAF"/>
    <w:rsid w:val="00C61CEC"/>
    <w:rsid w:val="00C61D1B"/>
    <w:rsid w:val="00C61D2B"/>
    <w:rsid w:val="00C61E07"/>
    <w:rsid w:val="00C61E94"/>
    <w:rsid w:val="00C61F2A"/>
    <w:rsid w:val="00C61F38"/>
    <w:rsid w:val="00C61F46"/>
    <w:rsid w:val="00C61F8A"/>
    <w:rsid w:val="00C61FA1"/>
    <w:rsid w:val="00C61FAA"/>
    <w:rsid w:val="00C61FD8"/>
    <w:rsid w:val="00C61FF9"/>
    <w:rsid w:val="00C62024"/>
    <w:rsid w:val="00C62034"/>
    <w:rsid w:val="00C62155"/>
    <w:rsid w:val="00C62199"/>
    <w:rsid w:val="00C621D1"/>
    <w:rsid w:val="00C621DA"/>
    <w:rsid w:val="00C62226"/>
    <w:rsid w:val="00C62247"/>
    <w:rsid w:val="00C622C6"/>
    <w:rsid w:val="00C622EB"/>
    <w:rsid w:val="00C62371"/>
    <w:rsid w:val="00C6237C"/>
    <w:rsid w:val="00C6239C"/>
    <w:rsid w:val="00C623AE"/>
    <w:rsid w:val="00C62450"/>
    <w:rsid w:val="00C6245E"/>
    <w:rsid w:val="00C62475"/>
    <w:rsid w:val="00C62499"/>
    <w:rsid w:val="00C6253E"/>
    <w:rsid w:val="00C625DC"/>
    <w:rsid w:val="00C625F9"/>
    <w:rsid w:val="00C62610"/>
    <w:rsid w:val="00C62632"/>
    <w:rsid w:val="00C6263F"/>
    <w:rsid w:val="00C62677"/>
    <w:rsid w:val="00C6269C"/>
    <w:rsid w:val="00C626E7"/>
    <w:rsid w:val="00C626F9"/>
    <w:rsid w:val="00C6273C"/>
    <w:rsid w:val="00C62813"/>
    <w:rsid w:val="00C62884"/>
    <w:rsid w:val="00C62954"/>
    <w:rsid w:val="00C6298D"/>
    <w:rsid w:val="00C629B9"/>
    <w:rsid w:val="00C62A06"/>
    <w:rsid w:val="00C62A0C"/>
    <w:rsid w:val="00C62A0E"/>
    <w:rsid w:val="00C62A1C"/>
    <w:rsid w:val="00C62A81"/>
    <w:rsid w:val="00C62AF3"/>
    <w:rsid w:val="00C62AFB"/>
    <w:rsid w:val="00C62B0C"/>
    <w:rsid w:val="00C62B48"/>
    <w:rsid w:val="00C62B6E"/>
    <w:rsid w:val="00C62BEE"/>
    <w:rsid w:val="00C62C1C"/>
    <w:rsid w:val="00C62C46"/>
    <w:rsid w:val="00C62CA8"/>
    <w:rsid w:val="00C62CB1"/>
    <w:rsid w:val="00C62CE4"/>
    <w:rsid w:val="00C62D02"/>
    <w:rsid w:val="00C62D0F"/>
    <w:rsid w:val="00C62D39"/>
    <w:rsid w:val="00C62D56"/>
    <w:rsid w:val="00C62D74"/>
    <w:rsid w:val="00C62DD5"/>
    <w:rsid w:val="00C62DF8"/>
    <w:rsid w:val="00C62E23"/>
    <w:rsid w:val="00C62E24"/>
    <w:rsid w:val="00C62E2C"/>
    <w:rsid w:val="00C62E94"/>
    <w:rsid w:val="00C62EB3"/>
    <w:rsid w:val="00C62ED9"/>
    <w:rsid w:val="00C62EE5"/>
    <w:rsid w:val="00C62F31"/>
    <w:rsid w:val="00C62FB1"/>
    <w:rsid w:val="00C6301D"/>
    <w:rsid w:val="00C63112"/>
    <w:rsid w:val="00C63188"/>
    <w:rsid w:val="00C631B1"/>
    <w:rsid w:val="00C631F0"/>
    <w:rsid w:val="00C63355"/>
    <w:rsid w:val="00C6335B"/>
    <w:rsid w:val="00C6336C"/>
    <w:rsid w:val="00C633C3"/>
    <w:rsid w:val="00C633DB"/>
    <w:rsid w:val="00C633E9"/>
    <w:rsid w:val="00C634AE"/>
    <w:rsid w:val="00C634D9"/>
    <w:rsid w:val="00C634FD"/>
    <w:rsid w:val="00C63516"/>
    <w:rsid w:val="00C6351C"/>
    <w:rsid w:val="00C6351D"/>
    <w:rsid w:val="00C635BD"/>
    <w:rsid w:val="00C635F5"/>
    <w:rsid w:val="00C635FA"/>
    <w:rsid w:val="00C63606"/>
    <w:rsid w:val="00C6360D"/>
    <w:rsid w:val="00C6360E"/>
    <w:rsid w:val="00C63616"/>
    <w:rsid w:val="00C6363C"/>
    <w:rsid w:val="00C63646"/>
    <w:rsid w:val="00C6364E"/>
    <w:rsid w:val="00C636E9"/>
    <w:rsid w:val="00C63769"/>
    <w:rsid w:val="00C6377B"/>
    <w:rsid w:val="00C637B5"/>
    <w:rsid w:val="00C637EA"/>
    <w:rsid w:val="00C6381F"/>
    <w:rsid w:val="00C6385C"/>
    <w:rsid w:val="00C638B2"/>
    <w:rsid w:val="00C638E1"/>
    <w:rsid w:val="00C6397C"/>
    <w:rsid w:val="00C6398B"/>
    <w:rsid w:val="00C63990"/>
    <w:rsid w:val="00C63A47"/>
    <w:rsid w:val="00C63A5D"/>
    <w:rsid w:val="00C63AB0"/>
    <w:rsid w:val="00C63AC2"/>
    <w:rsid w:val="00C63B15"/>
    <w:rsid w:val="00C63B70"/>
    <w:rsid w:val="00C63BE8"/>
    <w:rsid w:val="00C63C7D"/>
    <w:rsid w:val="00C63D6D"/>
    <w:rsid w:val="00C63DDC"/>
    <w:rsid w:val="00C63DE9"/>
    <w:rsid w:val="00C63E43"/>
    <w:rsid w:val="00C63E44"/>
    <w:rsid w:val="00C63E7F"/>
    <w:rsid w:val="00C63EE4"/>
    <w:rsid w:val="00C63EF7"/>
    <w:rsid w:val="00C63F24"/>
    <w:rsid w:val="00C63F7F"/>
    <w:rsid w:val="00C63F8F"/>
    <w:rsid w:val="00C63F9A"/>
    <w:rsid w:val="00C63FC8"/>
    <w:rsid w:val="00C64018"/>
    <w:rsid w:val="00C64028"/>
    <w:rsid w:val="00C64049"/>
    <w:rsid w:val="00C6405E"/>
    <w:rsid w:val="00C64062"/>
    <w:rsid w:val="00C64087"/>
    <w:rsid w:val="00C640A0"/>
    <w:rsid w:val="00C640BB"/>
    <w:rsid w:val="00C640CE"/>
    <w:rsid w:val="00C640FD"/>
    <w:rsid w:val="00C6410C"/>
    <w:rsid w:val="00C64134"/>
    <w:rsid w:val="00C64143"/>
    <w:rsid w:val="00C64147"/>
    <w:rsid w:val="00C6415C"/>
    <w:rsid w:val="00C641A6"/>
    <w:rsid w:val="00C641E4"/>
    <w:rsid w:val="00C641F5"/>
    <w:rsid w:val="00C6422B"/>
    <w:rsid w:val="00C64256"/>
    <w:rsid w:val="00C64287"/>
    <w:rsid w:val="00C6431B"/>
    <w:rsid w:val="00C64326"/>
    <w:rsid w:val="00C6433D"/>
    <w:rsid w:val="00C643AE"/>
    <w:rsid w:val="00C643B1"/>
    <w:rsid w:val="00C6440F"/>
    <w:rsid w:val="00C6445D"/>
    <w:rsid w:val="00C644AA"/>
    <w:rsid w:val="00C644E5"/>
    <w:rsid w:val="00C64535"/>
    <w:rsid w:val="00C64587"/>
    <w:rsid w:val="00C645F4"/>
    <w:rsid w:val="00C64644"/>
    <w:rsid w:val="00C64672"/>
    <w:rsid w:val="00C646A9"/>
    <w:rsid w:val="00C646BD"/>
    <w:rsid w:val="00C64700"/>
    <w:rsid w:val="00C6470F"/>
    <w:rsid w:val="00C64749"/>
    <w:rsid w:val="00C64776"/>
    <w:rsid w:val="00C6477F"/>
    <w:rsid w:val="00C647C7"/>
    <w:rsid w:val="00C647CB"/>
    <w:rsid w:val="00C647EB"/>
    <w:rsid w:val="00C64807"/>
    <w:rsid w:val="00C6480D"/>
    <w:rsid w:val="00C64848"/>
    <w:rsid w:val="00C64873"/>
    <w:rsid w:val="00C64874"/>
    <w:rsid w:val="00C6487D"/>
    <w:rsid w:val="00C6489D"/>
    <w:rsid w:val="00C648AC"/>
    <w:rsid w:val="00C648AE"/>
    <w:rsid w:val="00C648C4"/>
    <w:rsid w:val="00C648E3"/>
    <w:rsid w:val="00C648E5"/>
    <w:rsid w:val="00C648EE"/>
    <w:rsid w:val="00C64953"/>
    <w:rsid w:val="00C64961"/>
    <w:rsid w:val="00C6497F"/>
    <w:rsid w:val="00C649D7"/>
    <w:rsid w:val="00C64A70"/>
    <w:rsid w:val="00C64A78"/>
    <w:rsid w:val="00C64AAF"/>
    <w:rsid w:val="00C64AB1"/>
    <w:rsid w:val="00C64B0C"/>
    <w:rsid w:val="00C64B54"/>
    <w:rsid w:val="00C64BD5"/>
    <w:rsid w:val="00C64BF6"/>
    <w:rsid w:val="00C64C3C"/>
    <w:rsid w:val="00C64C70"/>
    <w:rsid w:val="00C64C7B"/>
    <w:rsid w:val="00C64C8E"/>
    <w:rsid w:val="00C64CB4"/>
    <w:rsid w:val="00C64DEB"/>
    <w:rsid w:val="00C64DEE"/>
    <w:rsid w:val="00C64E2A"/>
    <w:rsid w:val="00C64E38"/>
    <w:rsid w:val="00C64E44"/>
    <w:rsid w:val="00C64EBE"/>
    <w:rsid w:val="00C64EE0"/>
    <w:rsid w:val="00C64EF8"/>
    <w:rsid w:val="00C64F4F"/>
    <w:rsid w:val="00C64F83"/>
    <w:rsid w:val="00C64FA6"/>
    <w:rsid w:val="00C64FF7"/>
    <w:rsid w:val="00C65079"/>
    <w:rsid w:val="00C6507C"/>
    <w:rsid w:val="00C65126"/>
    <w:rsid w:val="00C6517F"/>
    <w:rsid w:val="00C6518C"/>
    <w:rsid w:val="00C65220"/>
    <w:rsid w:val="00C65248"/>
    <w:rsid w:val="00C6530E"/>
    <w:rsid w:val="00C65317"/>
    <w:rsid w:val="00C65364"/>
    <w:rsid w:val="00C6538D"/>
    <w:rsid w:val="00C6539F"/>
    <w:rsid w:val="00C653C8"/>
    <w:rsid w:val="00C6543C"/>
    <w:rsid w:val="00C654CB"/>
    <w:rsid w:val="00C65542"/>
    <w:rsid w:val="00C6557D"/>
    <w:rsid w:val="00C65590"/>
    <w:rsid w:val="00C655BA"/>
    <w:rsid w:val="00C65680"/>
    <w:rsid w:val="00C65681"/>
    <w:rsid w:val="00C656E0"/>
    <w:rsid w:val="00C6573B"/>
    <w:rsid w:val="00C65744"/>
    <w:rsid w:val="00C65749"/>
    <w:rsid w:val="00C65788"/>
    <w:rsid w:val="00C657A4"/>
    <w:rsid w:val="00C657D1"/>
    <w:rsid w:val="00C65928"/>
    <w:rsid w:val="00C65999"/>
    <w:rsid w:val="00C659A5"/>
    <w:rsid w:val="00C65A1B"/>
    <w:rsid w:val="00C65AB2"/>
    <w:rsid w:val="00C65B1E"/>
    <w:rsid w:val="00C65B55"/>
    <w:rsid w:val="00C65BA3"/>
    <w:rsid w:val="00C65BA4"/>
    <w:rsid w:val="00C65BE0"/>
    <w:rsid w:val="00C65C05"/>
    <w:rsid w:val="00C65C51"/>
    <w:rsid w:val="00C65CA8"/>
    <w:rsid w:val="00C65CC7"/>
    <w:rsid w:val="00C65E05"/>
    <w:rsid w:val="00C65E0F"/>
    <w:rsid w:val="00C65E25"/>
    <w:rsid w:val="00C65E53"/>
    <w:rsid w:val="00C65E88"/>
    <w:rsid w:val="00C65EF7"/>
    <w:rsid w:val="00C65F79"/>
    <w:rsid w:val="00C65FAD"/>
    <w:rsid w:val="00C65FB6"/>
    <w:rsid w:val="00C65FB7"/>
    <w:rsid w:val="00C65FCD"/>
    <w:rsid w:val="00C65FD9"/>
    <w:rsid w:val="00C66017"/>
    <w:rsid w:val="00C66080"/>
    <w:rsid w:val="00C660E2"/>
    <w:rsid w:val="00C66106"/>
    <w:rsid w:val="00C66140"/>
    <w:rsid w:val="00C6614A"/>
    <w:rsid w:val="00C66154"/>
    <w:rsid w:val="00C6617E"/>
    <w:rsid w:val="00C661B9"/>
    <w:rsid w:val="00C6626C"/>
    <w:rsid w:val="00C6629D"/>
    <w:rsid w:val="00C662DF"/>
    <w:rsid w:val="00C662E3"/>
    <w:rsid w:val="00C662F2"/>
    <w:rsid w:val="00C662FC"/>
    <w:rsid w:val="00C66300"/>
    <w:rsid w:val="00C66318"/>
    <w:rsid w:val="00C663BA"/>
    <w:rsid w:val="00C66402"/>
    <w:rsid w:val="00C6648D"/>
    <w:rsid w:val="00C664B1"/>
    <w:rsid w:val="00C66592"/>
    <w:rsid w:val="00C665C0"/>
    <w:rsid w:val="00C66674"/>
    <w:rsid w:val="00C6668A"/>
    <w:rsid w:val="00C66717"/>
    <w:rsid w:val="00C6671D"/>
    <w:rsid w:val="00C66725"/>
    <w:rsid w:val="00C66743"/>
    <w:rsid w:val="00C66767"/>
    <w:rsid w:val="00C66788"/>
    <w:rsid w:val="00C667A1"/>
    <w:rsid w:val="00C667C2"/>
    <w:rsid w:val="00C6681C"/>
    <w:rsid w:val="00C6682D"/>
    <w:rsid w:val="00C66832"/>
    <w:rsid w:val="00C66897"/>
    <w:rsid w:val="00C668DB"/>
    <w:rsid w:val="00C66919"/>
    <w:rsid w:val="00C66930"/>
    <w:rsid w:val="00C66958"/>
    <w:rsid w:val="00C6697E"/>
    <w:rsid w:val="00C6699A"/>
    <w:rsid w:val="00C669E4"/>
    <w:rsid w:val="00C66A7D"/>
    <w:rsid w:val="00C66A8E"/>
    <w:rsid w:val="00C66A92"/>
    <w:rsid w:val="00C66AF2"/>
    <w:rsid w:val="00C66B03"/>
    <w:rsid w:val="00C66B46"/>
    <w:rsid w:val="00C66BC2"/>
    <w:rsid w:val="00C66BC7"/>
    <w:rsid w:val="00C66C4C"/>
    <w:rsid w:val="00C66D17"/>
    <w:rsid w:val="00C66DC3"/>
    <w:rsid w:val="00C66DD7"/>
    <w:rsid w:val="00C66E2B"/>
    <w:rsid w:val="00C66E3A"/>
    <w:rsid w:val="00C66E40"/>
    <w:rsid w:val="00C66E4D"/>
    <w:rsid w:val="00C66EBA"/>
    <w:rsid w:val="00C66F23"/>
    <w:rsid w:val="00C66F25"/>
    <w:rsid w:val="00C66F74"/>
    <w:rsid w:val="00C67006"/>
    <w:rsid w:val="00C6702D"/>
    <w:rsid w:val="00C67067"/>
    <w:rsid w:val="00C670D7"/>
    <w:rsid w:val="00C670FB"/>
    <w:rsid w:val="00C67128"/>
    <w:rsid w:val="00C671B9"/>
    <w:rsid w:val="00C671D3"/>
    <w:rsid w:val="00C67230"/>
    <w:rsid w:val="00C67248"/>
    <w:rsid w:val="00C6724C"/>
    <w:rsid w:val="00C6728D"/>
    <w:rsid w:val="00C67290"/>
    <w:rsid w:val="00C67293"/>
    <w:rsid w:val="00C672B4"/>
    <w:rsid w:val="00C6736E"/>
    <w:rsid w:val="00C67390"/>
    <w:rsid w:val="00C673B5"/>
    <w:rsid w:val="00C673CC"/>
    <w:rsid w:val="00C67402"/>
    <w:rsid w:val="00C6742E"/>
    <w:rsid w:val="00C67439"/>
    <w:rsid w:val="00C67538"/>
    <w:rsid w:val="00C6753C"/>
    <w:rsid w:val="00C6756A"/>
    <w:rsid w:val="00C675FF"/>
    <w:rsid w:val="00C67635"/>
    <w:rsid w:val="00C6765C"/>
    <w:rsid w:val="00C676E5"/>
    <w:rsid w:val="00C676E9"/>
    <w:rsid w:val="00C676F3"/>
    <w:rsid w:val="00C67771"/>
    <w:rsid w:val="00C677AF"/>
    <w:rsid w:val="00C677C0"/>
    <w:rsid w:val="00C6783E"/>
    <w:rsid w:val="00C67850"/>
    <w:rsid w:val="00C678DF"/>
    <w:rsid w:val="00C67A57"/>
    <w:rsid w:val="00C67A63"/>
    <w:rsid w:val="00C67A81"/>
    <w:rsid w:val="00C67A9B"/>
    <w:rsid w:val="00C67AA4"/>
    <w:rsid w:val="00C67AC4"/>
    <w:rsid w:val="00C67ACD"/>
    <w:rsid w:val="00C67B39"/>
    <w:rsid w:val="00C67B59"/>
    <w:rsid w:val="00C67B89"/>
    <w:rsid w:val="00C67BEE"/>
    <w:rsid w:val="00C67CBA"/>
    <w:rsid w:val="00C67D06"/>
    <w:rsid w:val="00C67D69"/>
    <w:rsid w:val="00C67D80"/>
    <w:rsid w:val="00C67E89"/>
    <w:rsid w:val="00C67EA9"/>
    <w:rsid w:val="00C67F35"/>
    <w:rsid w:val="00C67F67"/>
    <w:rsid w:val="00C7009B"/>
    <w:rsid w:val="00C700B2"/>
    <w:rsid w:val="00C70114"/>
    <w:rsid w:val="00C7018F"/>
    <w:rsid w:val="00C701AC"/>
    <w:rsid w:val="00C701D5"/>
    <w:rsid w:val="00C7021B"/>
    <w:rsid w:val="00C702B4"/>
    <w:rsid w:val="00C702F1"/>
    <w:rsid w:val="00C70344"/>
    <w:rsid w:val="00C70370"/>
    <w:rsid w:val="00C703E9"/>
    <w:rsid w:val="00C7040A"/>
    <w:rsid w:val="00C70420"/>
    <w:rsid w:val="00C7047F"/>
    <w:rsid w:val="00C704B7"/>
    <w:rsid w:val="00C704F5"/>
    <w:rsid w:val="00C70513"/>
    <w:rsid w:val="00C7052B"/>
    <w:rsid w:val="00C7054A"/>
    <w:rsid w:val="00C7055F"/>
    <w:rsid w:val="00C705B9"/>
    <w:rsid w:val="00C705F0"/>
    <w:rsid w:val="00C705F9"/>
    <w:rsid w:val="00C7061E"/>
    <w:rsid w:val="00C70671"/>
    <w:rsid w:val="00C706BC"/>
    <w:rsid w:val="00C706DF"/>
    <w:rsid w:val="00C706F2"/>
    <w:rsid w:val="00C706F4"/>
    <w:rsid w:val="00C70777"/>
    <w:rsid w:val="00C70794"/>
    <w:rsid w:val="00C707DD"/>
    <w:rsid w:val="00C7082C"/>
    <w:rsid w:val="00C70856"/>
    <w:rsid w:val="00C708B7"/>
    <w:rsid w:val="00C708EF"/>
    <w:rsid w:val="00C708F9"/>
    <w:rsid w:val="00C70929"/>
    <w:rsid w:val="00C7094F"/>
    <w:rsid w:val="00C7096E"/>
    <w:rsid w:val="00C7099C"/>
    <w:rsid w:val="00C709BA"/>
    <w:rsid w:val="00C70A09"/>
    <w:rsid w:val="00C70A93"/>
    <w:rsid w:val="00C70ACF"/>
    <w:rsid w:val="00C70B3F"/>
    <w:rsid w:val="00C70B9E"/>
    <w:rsid w:val="00C70BBF"/>
    <w:rsid w:val="00C70C39"/>
    <w:rsid w:val="00C70C55"/>
    <w:rsid w:val="00C70C99"/>
    <w:rsid w:val="00C70CA3"/>
    <w:rsid w:val="00C70CC7"/>
    <w:rsid w:val="00C70D05"/>
    <w:rsid w:val="00C70D31"/>
    <w:rsid w:val="00C70D3A"/>
    <w:rsid w:val="00C70D81"/>
    <w:rsid w:val="00C70DAE"/>
    <w:rsid w:val="00C70DC5"/>
    <w:rsid w:val="00C70DC9"/>
    <w:rsid w:val="00C70E43"/>
    <w:rsid w:val="00C70E5E"/>
    <w:rsid w:val="00C70E9D"/>
    <w:rsid w:val="00C70EBC"/>
    <w:rsid w:val="00C70EEA"/>
    <w:rsid w:val="00C70EF7"/>
    <w:rsid w:val="00C70F24"/>
    <w:rsid w:val="00C70F38"/>
    <w:rsid w:val="00C70F40"/>
    <w:rsid w:val="00C70F8D"/>
    <w:rsid w:val="00C70F90"/>
    <w:rsid w:val="00C71016"/>
    <w:rsid w:val="00C710F0"/>
    <w:rsid w:val="00C71100"/>
    <w:rsid w:val="00C71148"/>
    <w:rsid w:val="00C7114B"/>
    <w:rsid w:val="00C71188"/>
    <w:rsid w:val="00C71199"/>
    <w:rsid w:val="00C711AA"/>
    <w:rsid w:val="00C711B7"/>
    <w:rsid w:val="00C711BD"/>
    <w:rsid w:val="00C7125C"/>
    <w:rsid w:val="00C712DC"/>
    <w:rsid w:val="00C7130B"/>
    <w:rsid w:val="00C71336"/>
    <w:rsid w:val="00C71343"/>
    <w:rsid w:val="00C71353"/>
    <w:rsid w:val="00C71448"/>
    <w:rsid w:val="00C71487"/>
    <w:rsid w:val="00C714B8"/>
    <w:rsid w:val="00C71527"/>
    <w:rsid w:val="00C7154C"/>
    <w:rsid w:val="00C715AF"/>
    <w:rsid w:val="00C715B8"/>
    <w:rsid w:val="00C715CB"/>
    <w:rsid w:val="00C71623"/>
    <w:rsid w:val="00C7167D"/>
    <w:rsid w:val="00C716A7"/>
    <w:rsid w:val="00C716CE"/>
    <w:rsid w:val="00C716F8"/>
    <w:rsid w:val="00C7170B"/>
    <w:rsid w:val="00C717F9"/>
    <w:rsid w:val="00C71803"/>
    <w:rsid w:val="00C71881"/>
    <w:rsid w:val="00C7188C"/>
    <w:rsid w:val="00C718EF"/>
    <w:rsid w:val="00C718F3"/>
    <w:rsid w:val="00C7192B"/>
    <w:rsid w:val="00C719CB"/>
    <w:rsid w:val="00C719FB"/>
    <w:rsid w:val="00C71A02"/>
    <w:rsid w:val="00C71A15"/>
    <w:rsid w:val="00C71A29"/>
    <w:rsid w:val="00C71A70"/>
    <w:rsid w:val="00C71AEF"/>
    <w:rsid w:val="00C71B84"/>
    <w:rsid w:val="00C71B92"/>
    <w:rsid w:val="00C71BBB"/>
    <w:rsid w:val="00C71C1F"/>
    <w:rsid w:val="00C71CE8"/>
    <w:rsid w:val="00C71D44"/>
    <w:rsid w:val="00C71E93"/>
    <w:rsid w:val="00C71E9E"/>
    <w:rsid w:val="00C71EE2"/>
    <w:rsid w:val="00C71EFD"/>
    <w:rsid w:val="00C71F3A"/>
    <w:rsid w:val="00C71F7B"/>
    <w:rsid w:val="00C71FF7"/>
    <w:rsid w:val="00C72002"/>
    <w:rsid w:val="00C72033"/>
    <w:rsid w:val="00C72051"/>
    <w:rsid w:val="00C720B0"/>
    <w:rsid w:val="00C720D3"/>
    <w:rsid w:val="00C722E9"/>
    <w:rsid w:val="00C72326"/>
    <w:rsid w:val="00C7236C"/>
    <w:rsid w:val="00C7236F"/>
    <w:rsid w:val="00C723B5"/>
    <w:rsid w:val="00C723C0"/>
    <w:rsid w:val="00C72422"/>
    <w:rsid w:val="00C7243B"/>
    <w:rsid w:val="00C7243F"/>
    <w:rsid w:val="00C72442"/>
    <w:rsid w:val="00C7247C"/>
    <w:rsid w:val="00C72487"/>
    <w:rsid w:val="00C72496"/>
    <w:rsid w:val="00C724C0"/>
    <w:rsid w:val="00C724C2"/>
    <w:rsid w:val="00C724FD"/>
    <w:rsid w:val="00C72575"/>
    <w:rsid w:val="00C725A3"/>
    <w:rsid w:val="00C725B0"/>
    <w:rsid w:val="00C72608"/>
    <w:rsid w:val="00C7260B"/>
    <w:rsid w:val="00C7262B"/>
    <w:rsid w:val="00C7266C"/>
    <w:rsid w:val="00C726B8"/>
    <w:rsid w:val="00C726F3"/>
    <w:rsid w:val="00C726F4"/>
    <w:rsid w:val="00C7277C"/>
    <w:rsid w:val="00C7277D"/>
    <w:rsid w:val="00C7277E"/>
    <w:rsid w:val="00C72781"/>
    <w:rsid w:val="00C727C9"/>
    <w:rsid w:val="00C727E8"/>
    <w:rsid w:val="00C7285A"/>
    <w:rsid w:val="00C72884"/>
    <w:rsid w:val="00C7288C"/>
    <w:rsid w:val="00C728B0"/>
    <w:rsid w:val="00C72909"/>
    <w:rsid w:val="00C72A19"/>
    <w:rsid w:val="00C72A88"/>
    <w:rsid w:val="00C72ADB"/>
    <w:rsid w:val="00C72B5C"/>
    <w:rsid w:val="00C72B85"/>
    <w:rsid w:val="00C72C2B"/>
    <w:rsid w:val="00C72DC5"/>
    <w:rsid w:val="00C72DE1"/>
    <w:rsid w:val="00C72E3F"/>
    <w:rsid w:val="00C72E4C"/>
    <w:rsid w:val="00C72E81"/>
    <w:rsid w:val="00C72E88"/>
    <w:rsid w:val="00C72EC5"/>
    <w:rsid w:val="00C72EF5"/>
    <w:rsid w:val="00C72FD4"/>
    <w:rsid w:val="00C73045"/>
    <w:rsid w:val="00C730A5"/>
    <w:rsid w:val="00C730CF"/>
    <w:rsid w:val="00C73139"/>
    <w:rsid w:val="00C73141"/>
    <w:rsid w:val="00C731B9"/>
    <w:rsid w:val="00C731C2"/>
    <w:rsid w:val="00C73257"/>
    <w:rsid w:val="00C7325E"/>
    <w:rsid w:val="00C7329E"/>
    <w:rsid w:val="00C7329F"/>
    <w:rsid w:val="00C732AD"/>
    <w:rsid w:val="00C732BD"/>
    <w:rsid w:val="00C732DD"/>
    <w:rsid w:val="00C7339C"/>
    <w:rsid w:val="00C733D3"/>
    <w:rsid w:val="00C733E7"/>
    <w:rsid w:val="00C73408"/>
    <w:rsid w:val="00C7340E"/>
    <w:rsid w:val="00C734B6"/>
    <w:rsid w:val="00C734DF"/>
    <w:rsid w:val="00C735D2"/>
    <w:rsid w:val="00C73668"/>
    <w:rsid w:val="00C736C0"/>
    <w:rsid w:val="00C7373B"/>
    <w:rsid w:val="00C7374B"/>
    <w:rsid w:val="00C7375A"/>
    <w:rsid w:val="00C7378A"/>
    <w:rsid w:val="00C737A2"/>
    <w:rsid w:val="00C7380E"/>
    <w:rsid w:val="00C73824"/>
    <w:rsid w:val="00C738B8"/>
    <w:rsid w:val="00C738E7"/>
    <w:rsid w:val="00C73918"/>
    <w:rsid w:val="00C73957"/>
    <w:rsid w:val="00C73963"/>
    <w:rsid w:val="00C73987"/>
    <w:rsid w:val="00C73A0F"/>
    <w:rsid w:val="00C73A59"/>
    <w:rsid w:val="00C73A68"/>
    <w:rsid w:val="00C73AFC"/>
    <w:rsid w:val="00C73B30"/>
    <w:rsid w:val="00C73B54"/>
    <w:rsid w:val="00C73B5C"/>
    <w:rsid w:val="00C73BE1"/>
    <w:rsid w:val="00C73C1E"/>
    <w:rsid w:val="00C73C30"/>
    <w:rsid w:val="00C73C35"/>
    <w:rsid w:val="00C73C37"/>
    <w:rsid w:val="00C73CC8"/>
    <w:rsid w:val="00C73CCA"/>
    <w:rsid w:val="00C73CDC"/>
    <w:rsid w:val="00C73D74"/>
    <w:rsid w:val="00C73D83"/>
    <w:rsid w:val="00C73D8A"/>
    <w:rsid w:val="00C73DA0"/>
    <w:rsid w:val="00C73E19"/>
    <w:rsid w:val="00C73E97"/>
    <w:rsid w:val="00C73EB0"/>
    <w:rsid w:val="00C73EB8"/>
    <w:rsid w:val="00C73EF7"/>
    <w:rsid w:val="00C73F83"/>
    <w:rsid w:val="00C74027"/>
    <w:rsid w:val="00C7403B"/>
    <w:rsid w:val="00C74084"/>
    <w:rsid w:val="00C740A5"/>
    <w:rsid w:val="00C740AC"/>
    <w:rsid w:val="00C740F2"/>
    <w:rsid w:val="00C740FD"/>
    <w:rsid w:val="00C7414A"/>
    <w:rsid w:val="00C7418E"/>
    <w:rsid w:val="00C74199"/>
    <w:rsid w:val="00C741AD"/>
    <w:rsid w:val="00C74257"/>
    <w:rsid w:val="00C7428A"/>
    <w:rsid w:val="00C7428B"/>
    <w:rsid w:val="00C74297"/>
    <w:rsid w:val="00C74299"/>
    <w:rsid w:val="00C742C0"/>
    <w:rsid w:val="00C74300"/>
    <w:rsid w:val="00C7438B"/>
    <w:rsid w:val="00C7439D"/>
    <w:rsid w:val="00C743F6"/>
    <w:rsid w:val="00C743F9"/>
    <w:rsid w:val="00C7446B"/>
    <w:rsid w:val="00C744A2"/>
    <w:rsid w:val="00C744E6"/>
    <w:rsid w:val="00C744E9"/>
    <w:rsid w:val="00C745E8"/>
    <w:rsid w:val="00C74610"/>
    <w:rsid w:val="00C7478B"/>
    <w:rsid w:val="00C747E1"/>
    <w:rsid w:val="00C74812"/>
    <w:rsid w:val="00C7487E"/>
    <w:rsid w:val="00C74909"/>
    <w:rsid w:val="00C7496F"/>
    <w:rsid w:val="00C749BC"/>
    <w:rsid w:val="00C749E4"/>
    <w:rsid w:val="00C74A2E"/>
    <w:rsid w:val="00C74A67"/>
    <w:rsid w:val="00C74AE2"/>
    <w:rsid w:val="00C74AE4"/>
    <w:rsid w:val="00C74AF7"/>
    <w:rsid w:val="00C74B1F"/>
    <w:rsid w:val="00C74B3B"/>
    <w:rsid w:val="00C74B43"/>
    <w:rsid w:val="00C74B55"/>
    <w:rsid w:val="00C74B73"/>
    <w:rsid w:val="00C74BBB"/>
    <w:rsid w:val="00C74BBF"/>
    <w:rsid w:val="00C74BC6"/>
    <w:rsid w:val="00C74C31"/>
    <w:rsid w:val="00C74C3D"/>
    <w:rsid w:val="00C74CB2"/>
    <w:rsid w:val="00C74CDB"/>
    <w:rsid w:val="00C74CEE"/>
    <w:rsid w:val="00C74E1B"/>
    <w:rsid w:val="00C74E4E"/>
    <w:rsid w:val="00C74EA0"/>
    <w:rsid w:val="00C74EA9"/>
    <w:rsid w:val="00C74EBB"/>
    <w:rsid w:val="00C74F25"/>
    <w:rsid w:val="00C74F28"/>
    <w:rsid w:val="00C74F37"/>
    <w:rsid w:val="00C74F8E"/>
    <w:rsid w:val="00C74FA2"/>
    <w:rsid w:val="00C74FD2"/>
    <w:rsid w:val="00C74FEB"/>
    <w:rsid w:val="00C7501B"/>
    <w:rsid w:val="00C7505F"/>
    <w:rsid w:val="00C750BE"/>
    <w:rsid w:val="00C750EF"/>
    <w:rsid w:val="00C75101"/>
    <w:rsid w:val="00C7512A"/>
    <w:rsid w:val="00C7514E"/>
    <w:rsid w:val="00C7515D"/>
    <w:rsid w:val="00C751B6"/>
    <w:rsid w:val="00C751F0"/>
    <w:rsid w:val="00C75231"/>
    <w:rsid w:val="00C75258"/>
    <w:rsid w:val="00C7525F"/>
    <w:rsid w:val="00C75281"/>
    <w:rsid w:val="00C752B9"/>
    <w:rsid w:val="00C752C2"/>
    <w:rsid w:val="00C753CF"/>
    <w:rsid w:val="00C75408"/>
    <w:rsid w:val="00C75415"/>
    <w:rsid w:val="00C75418"/>
    <w:rsid w:val="00C75429"/>
    <w:rsid w:val="00C754DA"/>
    <w:rsid w:val="00C754E3"/>
    <w:rsid w:val="00C75505"/>
    <w:rsid w:val="00C75528"/>
    <w:rsid w:val="00C75601"/>
    <w:rsid w:val="00C7564F"/>
    <w:rsid w:val="00C75659"/>
    <w:rsid w:val="00C7566E"/>
    <w:rsid w:val="00C75681"/>
    <w:rsid w:val="00C756C9"/>
    <w:rsid w:val="00C7574E"/>
    <w:rsid w:val="00C75777"/>
    <w:rsid w:val="00C7579A"/>
    <w:rsid w:val="00C757AE"/>
    <w:rsid w:val="00C75837"/>
    <w:rsid w:val="00C758D6"/>
    <w:rsid w:val="00C75947"/>
    <w:rsid w:val="00C75962"/>
    <w:rsid w:val="00C75A06"/>
    <w:rsid w:val="00C75AAE"/>
    <w:rsid w:val="00C75AC4"/>
    <w:rsid w:val="00C75AD5"/>
    <w:rsid w:val="00C75BAC"/>
    <w:rsid w:val="00C75C21"/>
    <w:rsid w:val="00C75C2B"/>
    <w:rsid w:val="00C75C31"/>
    <w:rsid w:val="00C75CC4"/>
    <w:rsid w:val="00C75CD5"/>
    <w:rsid w:val="00C75D3A"/>
    <w:rsid w:val="00C75DB9"/>
    <w:rsid w:val="00C75DD5"/>
    <w:rsid w:val="00C75DE8"/>
    <w:rsid w:val="00C75DED"/>
    <w:rsid w:val="00C75E57"/>
    <w:rsid w:val="00C75EB0"/>
    <w:rsid w:val="00C75ED7"/>
    <w:rsid w:val="00C75F0B"/>
    <w:rsid w:val="00C75F4F"/>
    <w:rsid w:val="00C75FBB"/>
    <w:rsid w:val="00C75FBD"/>
    <w:rsid w:val="00C75FBF"/>
    <w:rsid w:val="00C75FC1"/>
    <w:rsid w:val="00C76002"/>
    <w:rsid w:val="00C7604D"/>
    <w:rsid w:val="00C7609A"/>
    <w:rsid w:val="00C760CF"/>
    <w:rsid w:val="00C760E4"/>
    <w:rsid w:val="00C7612C"/>
    <w:rsid w:val="00C76175"/>
    <w:rsid w:val="00C761B3"/>
    <w:rsid w:val="00C761D4"/>
    <w:rsid w:val="00C7639A"/>
    <w:rsid w:val="00C763A7"/>
    <w:rsid w:val="00C763D4"/>
    <w:rsid w:val="00C76427"/>
    <w:rsid w:val="00C76440"/>
    <w:rsid w:val="00C76463"/>
    <w:rsid w:val="00C76470"/>
    <w:rsid w:val="00C76471"/>
    <w:rsid w:val="00C7649F"/>
    <w:rsid w:val="00C76517"/>
    <w:rsid w:val="00C7659F"/>
    <w:rsid w:val="00C765AE"/>
    <w:rsid w:val="00C765C0"/>
    <w:rsid w:val="00C765E2"/>
    <w:rsid w:val="00C765F1"/>
    <w:rsid w:val="00C76640"/>
    <w:rsid w:val="00C76653"/>
    <w:rsid w:val="00C7668E"/>
    <w:rsid w:val="00C766D0"/>
    <w:rsid w:val="00C766F8"/>
    <w:rsid w:val="00C7673F"/>
    <w:rsid w:val="00C767AC"/>
    <w:rsid w:val="00C767CA"/>
    <w:rsid w:val="00C76809"/>
    <w:rsid w:val="00C76852"/>
    <w:rsid w:val="00C76875"/>
    <w:rsid w:val="00C768E9"/>
    <w:rsid w:val="00C76900"/>
    <w:rsid w:val="00C7693C"/>
    <w:rsid w:val="00C769EA"/>
    <w:rsid w:val="00C76B44"/>
    <w:rsid w:val="00C76B53"/>
    <w:rsid w:val="00C76B65"/>
    <w:rsid w:val="00C76B6D"/>
    <w:rsid w:val="00C76B83"/>
    <w:rsid w:val="00C76CB5"/>
    <w:rsid w:val="00C76CFB"/>
    <w:rsid w:val="00C76DCD"/>
    <w:rsid w:val="00C76DD6"/>
    <w:rsid w:val="00C76DE6"/>
    <w:rsid w:val="00C76F7E"/>
    <w:rsid w:val="00C76F86"/>
    <w:rsid w:val="00C76F8A"/>
    <w:rsid w:val="00C76FA0"/>
    <w:rsid w:val="00C77050"/>
    <w:rsid w:val="00C77098"/>
    <w:rsid w:val="00C770E2"/>
    <w:rsid w:val="00C77110"/>
    <w:rsid w:val="00C77198"/>
    <w:rsid w:val="00C771A4"/>
    <w:rsid w:val="00C77245"/>
    <w:rsid w:val="00C7728A"/>
    <w:rsid w:val="00C77375"/>
    <w:rsid w:val="00C773B7"/>
    <w:rsid w:val="00C773BD"/>
    <w:rsid w:val="00C77401"/>
    <w:rsid w:val="00C77432"/>
    <w:rsid w:val="00C77466"/>
    <w:rsid w:val="00C77487"/>
    <w:rsid w:val="00C774A2"/>
    <w:rsid w:val="00C774A9"/>
    <w:rsid w:val="00C774FA"/>
    <w:rsid w:val="00C7752D"/>
    <w:rsid w:val="00C77561"/>
    <w:rsid w:val="00C77594"/>
    <w:rsid w:val="00C775A1"/>
    <w:rsid w:val="00C775E0"/>
    <w:rsid w:val="00C77632"/>
    <w:rsid w:val="00C77679"/>
    <w:rsid w:val="00C7767D"/>
    <w:rsid w:val="00C77695"/>
    <w:rsid w:val="00C776B2"/>
    <w:rsid w:val="00C776B8"/>
    <w:rsid w:val="00C776D6"/>
    <w:rsid w:val="00C77701"/>
    <w:rsid w:val="00C77710"/>
    <w:rsid w:val="00C77744"/>
    <w:rsid w:val="00C77757"/>
    <w:rsid w:val="00C77760"/>
    <w:rsid w:val="00C77793"/>
    <w:rsid w:val="00C777C1"/>
    <w:rsid w:val="00C7783F"/>
    <w:rsid w:val="00C77856"/>
    <w:rsid w:val="00C77894"/>
    <w:rsid w:val="00C778AA"/>
    <w:rsid w:val="00C77977"/>
    <w:rsid w:val="00C7797A"/>
    <w:rsid w:val="00C7798E"/>
    <w:rsid w:val="00C779A2"/>
    <w:rsid w:val="00C779BC"/>
    <w:rsid w:val="00C77A27"/>
    <w:rsid w:val="00C77A2E"/>
    <w:rsid w:val="00C77A95"/>
    <w:rsid w:val="00C77AA8"/>
    <w:rsid w:val="00C77AD5"/>
    <w:rsid w:val="00C77ADF"/>
    <w:rsid w:val="00C77AEE"/>
    <w:rsid w:val="00C77B45"/>
    <w:rsid w:val="00C77B76"/>
    <w:rsid w:val="00C77BE1"/>
    <w:rsid w:val="00C77C0C"/>
    <w:rsid w:val="00C77C18"/>
    <w:rsid w:val="00C77CD4"/>
    <w:rsid w:val="00C77CFD"/>
    <w:rsid w:val="00C77D28"/>
    <w:rsid w:val="00C77D29"/>
    <w:rsid w:val="00C77D57"/>
    <w:rsid w:val="00C77D8E"/>
    <w:rsid w:val="00C77DE8"/>
    <w:rsid w:val="00C77E22"/>
    <w:rsid w:val="00C77EB1"/>
    <w:rsid w:val="00C77EB8"/>
    <w:rsid w:val="00C77ECD"/>
    <w:rsid w:val="00C77F0C"/>
    <w:rsid w:val="00C77F3D"/>
    <w:rsid w:val="00C77F87"/>
    <w:rsid w:val="00C77F97"/>
    <w:rsid w:val="00C77FA2"/>
    <w:rsid w:val="00C80070"/>
    <w:rsid w:val="00C80090"/>
    <w:rsid w:val="00C800CD"/>
    <w:rsid w:val="00C800E6"/>
    <w:rsid w:val="00C801D6"/>
    <w:rsid w:val="00C801E1"/>
    <w:rsid w:val="00C80204"/>
    <w:rsid w:val="00C8021E"/>
    <w:rsid w:val="00C8023C"/>
    <w:rsid w:val="00C802F9"/>
    <w:rsid w:val="00C8031D"/>
    <w:rsid w:val="00C8039E"/>
    <w:rsid w:val="00C803C8"/>
    <w:rsid w:val="00C803F8"/>
    <w:rsid w:val="00C803FE"/>
    <w:rsid w:val="00C8040B"/>
    <w:rsid w:val="00C80430"/>
    <w:rsid w:val="00C80448"/>
    <w:rsid w:val="00C80465"/>
    <w:rsid w:val="00C8047E"/>
    <w:rsid w:val="00C804C1"/>
    <w:rsid w:val="00C80518"/>
    <w:rsid w:val="00C80558"/>
    <w:rsid w:val="00C80574"/>
    <w:rsid w:val="00C80585"/>
    <w:rsid w:val="00C80597"/>
    <w:rsid w:val="00C805A9"/>
    <w:rsid w:val="00C805B6"/>
    <w:rsid w:val="00C805C5"/>
    <w:rsid w:val="00C8064B"/>
    <w:rsid w:val="00C806D2"/>
    <w:rsid w:val="00C806DE"/>
    <w:rsid w:val="00C80716"/>
    <w:rsid w:val="00C80763"/>
    <w:rsid w:val="00C807FA"/>
    <w:rsid w:val="00C8082C"/>
    <w:rsid w:val="00C80856"/>
    <w:rsid w:val="00C808D3"/>
    <w:rsid w:val="00C80906"/>
    <w:rsid w:val="00C8093B"/>
    <w:rsid w:val="00C809A8"/>
    <w:rsid w:val="00C809E9"/>
    <w:rsid w:val="00C80A58"/>
    <w:rsid w:val="00C80A86"/>
    <w:rsid w:val="00C80A8B"/>
    <w:rsid w:val="00C80A90"/>
    <w:rsid w:val="00C80AC4"/>
    <w:rsid w:val="00C80B6C"/>
    <w:rsid w:val="00C80B7D"/>
    <w:rsid w:val="00C80C03"/>
    <w:rsid w:val="00C80C27"/>
    <w:rsid w:val="00C80D10"/>
    <w:rsid w:val="00C80D2A"/>
    <w:rsid w:val="00C80D64"/>
    <w:rsid w:val="00C80DDA"/>
    <w:rsid w:val="00C80E40"/>
    <w:rsid w:val="00C80EA7"/>
    <w:rsid w:val="00C80ECB"/>
    <w:rsid w:val="00C80F1D"/>
    <w:rsid w:val="00C80F78"/>
    <w:rsid w:val="00C80FB5"/>
    <w:rsid w:val="00C80FE5"/>
    <w:rsid w:val="00C80FF6"/>
    <w:rsid w:val="00C81020"/>
    <w:rsid w:val="00C8108B"/>
    <w:rsid w:val="00C810C4"/>
    <w:rsid w:val="00C8110E"/>
    <w:rsid w:val="00C81136"/>
    <w:rsid w:val="00C81149"/>
    <w:rsid w:val="00C8115E"/>
    <w:rsid w:val="00C81178"/>
    <w:rsid w:val="00C8118F"/>
    <w:rsid w:val="00C81237"/>
    <w:rsid w:val="00C8124A"/>
    <w:rsid w:val="00C812E5"/>
    <w:rsid w:val="00C81331"/>
    <w:rsid w:val="00C8136F"/>
    <w:rsid w:val="00C81379"/>
    <w:rsid w:val="00C813A7"/>
    <w:rsid w:val="00C813B8"/>
    <w:rsid w:val="00C81424"/>
    <w:rsid w:val="00C81450"/>
    <w:rsid w:val="00C8145D"/>
    <w:rsid w:val="00C81471"/>
    <w:rsid w:val="00C81496"/>
    <w:rsid w:val="00C814A8"/>
    <w:rsid w:val="00C814C7"/>
    <w:rsid w:val="00C814D3"/>
    <w:rsid w:val="00C814F6"/>
    <w:rsid w:val="00C815A6"/>
    <w:rsid w:val="00C815F8"/>
    <w:rsid w:val="00C8162E"/>
    <w:rsid w:val="00C8164F"/>
    <w:rsid w:val="00C8165D"/>
    <w:rsid w:val="00C81668"/>
    <w:rsid w:val="00C81697"/>
    <w:rsid w:val="00C81724"/>
    <w:rsid w:val="00C8172A"/>
    <w:rsid w:val="00C817E1"/>
    <w:rsid w:val="00C81864"/>
    <w:rsid w:val="00C81869"/>
    <w:rsid w:val="00C8186B"/>
    <w:rsid w:val="00C818B3"/>
    <w:rsid w:val="00C818E1"/>
    <w:rsid w:val="00C81908"/>
    <w:rsid w:val="00C81942"/>
    <w:rsid w:val="00C81951"/>
    <w:rsid w:val="00C81957"/>
    <w:rsid w:val="00C81A3E"/>
    <w:rsid w:val="00C81A94"/>
    <w:rsid w:val="00C81AA1"/>
    <w:rsid w:val="00C81AAF"/>
    <w:rsid w:val="00C81AB3"/>
    <w:rsid w:val="00C81B13"/>
    <w:rsid w:val="00C81B57"/>
    <w:rsid w:val="00C81B72"/>
    <w:rsid w:val="00C81C19"/>
    <w:rsid w:val="00C81C34"/>
    <w:rsid w:val="00C81C46"/>
    <w:rsid w:val="00C81CA3"/>
    <w:rsid w:val="00C81CB7"/>
    <w:rsid w:val="00C81CB8"/>
    <w:rsid w:val="00C81CF6"/>
    <w:rsid w:val="00C81D32"/>
    <w:rsid w:val="00C81D39"/>
    <w:rsid w:val="00C81D40"/>
    <w:rsid w:val="00C81D46"/>
    <w:rsid w:val="00C81D61"/>
    <w:rsid w:val="00C81D7B"/>
    <w:rsid w:val="00C81D93"/>
    <w:rsid w:val="00C81DB2"/>
    <w:rsid w:val="00C81DB3"/>
    <w:rsid w:val="00C81DDA"/>
    <w:rsid w:val="00C81EE9"/>
    <w:rsid w:val="00C82102"/>
    <w:rsid w:val="00C82118"/>
    <w:rsid w:val="00C82142"/>
    <w:rsid w:val="00C821A9"/>
    <w:rsid w:val="00C821CC"/>
    <w:rsid w:val="00C821DA"/>
    <w:rsid w:val="00C82218"/>
    <w:rsid w:val="00C822E2"/>
    <w:rsid w:val="00C8230F"/>
    <w:rsid w:val="00C8232B"/>
    <w:rsid w:val="00C82360"/>
    <w:rsid w:val="00C82396"/>
    <w:rsid w:val="00C823C2"/>
    <w:rsid w:val="00C8241B"/>
    <w:rsid w:val="00C82439"/>
    <w:rsid w:val="00C824B4"/>
    <w:rsid w:val="00C824D9"/>
    <w:rsid w:val="00C824F3"/>
    <w:rsid w:val="00C82504"/>
    <w:rsid w:val="00C82550"/>
    <w:rsid w:val="00C8257D"/>
    <w:rsid w:val="00C825E5"/>
    <w:rsid w:val="00C825FC"/>
    <w:rsid w:val="00C8260D"/>
    <w:rsid w:val="00C8262A"/>
    <w:rsid w:val="00C82646"/>
    <w:rsid w:val="00C8267D"/>
    <w:rsid w:val="00C826A4"/>
    <w:rsid w:val="00C827A5"/>
    <w:rsid w:val="00C827B1"/>
    <w:rsid w:val="00C8281E"/>
    <w:rsid w:val="00C8287B"/>
    <w:rsid w:val="00C828A3"/>
    <w:rsid w:val="00C828FB"/>
    <w:rsid w:val="00C829C1"/>
    <w:rsid w:val="00C829CA"/>
    <w:rsid w:val="00C82A2F"/>
    <w:rsid w:val="00C82A35"/>
    <w:rsid w:val="00C82A63"/>
    <w:rsid w:val="00C82AA1"/>
    <w:rsid w:val="00C82AB8"/>
    <w:rsid w:val="00C82AF1"/>
    <w:rsid w:val="00C82B2D"/>
    <w:rsid w:val="00C82B2E"/>
    <w:rsid w:val="00C82B79"/>
    <w:rsid w:val="00C82BC2"/>
    <w:rsid w:val="00C82C1C"/>
    <w:rsid w:val="00C82C1E"/>
    <w:rsid w:val="00C82C81"/>
    <w:rsid w:val="00C82C87"/>
    <w:rsid w:val="00C82C8C"/>
    <w:rsid w:val="00C82CB2"/>
    <w:rsid w:val="00C82CF5"/>
    <w:rsid w:val="00C82D1D"/>
    <w:rsid w:val="00C82D39"/>
    <w:rsid w:val="00C82D94"/>
    <w:rsid w:val="00C82DEB"/>
    <w:rsid w:val="00C82DED"/>
    <w:rsid w:val="00C82E20"/>
    <w:rsid w:val="00C82E59"/>
    <w:rsid w:val="00C82EF2"/>
    <w:rsid w:val="00C82F25"/>
    <w:rsid w:val="00C82F3F"/>
    <w:rsid w:val="00C82F87"/>
    <w:rsid w:val="00C8302B"/>
    <w:rsid w:val="00C8303F"/>
    <w:rsid w:val="00C8304C"/>
    <w:rsid w:val="00C83055"/>
    <w:rsid w:val="00C83088"/>
    <w:rsid w:val="00C8314F"/>
    <w:rsid w:val="00C831A0"/>
    <w:rsid w:val="00C831AC"/>
    <w:rsid w:val="00C8322A"/>
    <w:rsid w:val="00C83266"/>
    <w:rsid w:val="00C83291"/>
    <w:rsid w:val="00C832A4"/>
    <w:rsid w:val="00C83323"/>
    <w:rsid w:val="00C83346"/>
    <w:rsid w:val="00C83370"/>
    <w:rsid w:val="00C833BF"/>
    <w:rsid w:val="00C833D1"/>
    <w:rsid w:val="00C83432"/>
    <w:rsid w:val="00C8344C"/>
    <w:rsid w:val="00C834CD"/>
    <w:rsid w:val="00C834F2"/>
    <w:rsid w:val="00C83564"/>
    <w:rsid w:val="00C83593"/>
    <w:rsid w:val="00C83594"/>
    <w:rsid w:val="00C835B7"/>
    <w:rsid w:val="00C835E0"/>
    <w:rsid w:val="00C83624"/>
    <w:rsid w:val="00C83692"/>
    <w:rsid w:val="00C83719"/>
    <w:rsid w:val="00C8374C"/>
    <w:rsid w:val="00C83771"/>
    <w:rsid w:val="00C837C9"/>
    <w:rsid w:val="00C837EB"/>
    <w:rsid w:val="00C83889"/>
    <w:rsid w:val="00C838AF"/>
    <w:rsid w:val="00C83903"/>
    <w:rsid w:val="00C8390B"/>
    <w:rsid w:val="00C8396B"/>
    <w:rsid w:val="00C839A7"/>
    <w:rsid w:val="00C839C1"/>
    <w:rsid w:val="00C839F4"/>
    <w:rsid w:val="00C83A0E"/>
    <w:rsid w:val="00C83A64"/>
    <w:rsid w:val="00C83AAB"/>
    <w:rsid w:val="00C83BDE"/>
    <w:rsid w:val="00C83C52"/>
    <w:rsid w:val="00C83CB1"/>
    <w:rsid w:val="00C83CF4"/>
    <w:rsid w:val="00C83D5A"/>
    <w:rsid w:val="00C83D69"/>
    <w:rsid w:val="00C83D7B"/>
    <w:rsid w:val="00C83E3C"/>
    <w:rsid w:val="00C83E78"/>
    <w:rsid w:val="00C83EBA"/>
    <w:rsid w:val="00C83ED4"/>
    <w:rsid w:val="00C83F14"/>
    <w:rsid w:val="00C83F17"/>
    <w:rsid w:val="00C83F55"/>
    <w:rsid w:val="00C83F7C"/>
    <w:rsid w:val="00C83FA8"/>
    <w:rsid w:val="00C83FC8"/>
    <w:rsid w:val="00C83FDD"/>
    <w:rsid w:val="00C8400F"/>
    <w:rsid w:val="00C84033"/>
    <w:rsid w:val="00C8404E"/>
    <w:rsid w:val="00C8409F"/>
    <w:rsid w:val="00C840AA"/>
    <w:rsid w:val="00C840E3"/>
    <w:rsid w:val="00C840EF"/>
    <w:rsid w:val="00C84109"/>
    <w:rsid w:val="00C84195"/>
    <w:rsid w:val="00C84211"/>
    <w:rsid w:val="00C84213"/>
    <w:rsid w:val="00C84285"/>
    <w:rsid w:val="00C84291"/>
    <w:rsid w:val="00C8429F"/>
    <w:rsid w:val="00C842C2"/>
    <w:rsid w:val="00C842EE"/>
    <w:rsid w:val="00C84342"/>
    <w:rsid w:val="00C843C9"/>
    <w:rsid w:val="00C843ED"/>
    <w:rsid w:val="00C843F7"/>
    <w:rsid w:val="00C8441E"/>
    <w:rsid w:val="00C8445D"/>
    <w:rsid w:val="00C844C5"/>
    <w:rsid w:val="00C844E7"/>
    <w:rsid w:val="00C84567"/>
    <w:rsid w:val="00C845A9"/>
    <w:rsid w:val="00C845FE"/>
    <w:rsid w:val="00C84653"/>
    <w:rsid w:val="00C8466A"/>
    <w:rsid w:val="00C846AA"/>
    <w:rsid w:val="00C846C1"/>
    <w:rsid w:val="00C84732"/>
    <w:rsid w:val="00C84879"/>
    <w:rsid w:val="00C8491E"/>
    <w:rsid w:val="00C84967"/>
    <w:rsid w:val="00C8496D"/>
    <w:rsid w:val="00C8498F"/>
    <w:rsid w:val="00C849A8"/>
    <w:rsid w:val="00C849E4"/>
    <w:rsid w:val="00C849F3"/>
    <w:rsid w:val="00C84A09"/>
    <w:rsid w:val="00C84A24"/>
    <w:rsid w:val="00C84A79"/>
    <w:rsid w:val="00C84AB7"/>
    <w:rsid w:val="00C84AF6"/>
    <w:rsid w:val="00C84BD5"/>
    <w:rsid w:val="00C84CCB"/>
    <w:rsid w:val="00C84D07"/>
    <w:rsid w:val="00C84D12"/>
    <w:rsid w:val="00C84D21"/>
    <w:rsid w:val="00C84D29"/>
    <w:rsid w:val="00C84D3A"/>
    <w:rsid w:val="00C84DD5"/>
    <w:rsid w:val="00C84DEE"/>
    <w:rsid w:val="00C84E21"/>
    <w:rsid w:val="00C84E88"/>
    <w:rsid w:val="00C84F0F"/>
    <w:rsid w:val="00C84F39"/>
    <w:rsid w:val="00C84F9C"/>
    <w:rsid w:val="00C85076"/>
    <w:rsid w:val="00C850BB"/>
    <w:rsid w:val="00C85287"/>
    <w:rsid w:val="00C852CE"/>
    <w:rsid w:val="00C852EC"/>
    <w:rsid w:val="00C8530A"/>
    <w:rsid w:val="00C85310"/>
    <w:rsid w:val="00C85323"/>
    <w:rsid w:val="00C8534F"/>
    <w:rsid w:val="00C8536D"/>
    <w:rsid w:val="00C8537B"/>
    <w:rsid w:val="00C853A2"/>
    <w:rsid w:val="00C853A8"/>
    <w:rsid w:val="00C853B5"/>
    <w:rsid w:val="00C853CA"/>
    <w:rsid w:val="00C85408"/>
    <w:rsid w:val="00C85496"/>
    <w:rsid w:val="00C854A9"/>
    <w:rsid w:val="00C85501"/>
    <w:rsid w:val="00C85540"/>
    <w:rsid w:val="00C85580"/>
    <w:rsid w:val="00C85614"/>
    <w:rsid w:val="00C85621"/>
    <w:rsid w:val="00C85623"/>
    <w:rsid w:val="00C85676"/>
    <w:rsid w:val="00C856E7"/>
    <w:rsid w:val="00C8572F"/>
    <w:rsid w:val="00C8576A"/>
    <w:rsid w:val="00C857AD"/>
    <w:rsid w:val="00C85899"/>
    <w:rsid w:val="00C858BA"/>
    <w:rsid w:val="00C858EB"/>
    <w:rsid w:val="00C85977"/>
    <w:rsid w:val="00C85991"/>
    <w:rsid w:val="00C85A1F"/>
    <w:rsid w:val="00C85A67"/>
    <w:rsid w:val="00C85A72"/>
    <w:rsid w:val="00C85A93"/>
    <w:rsid w:val="00C85AEE"/>
    <w:rsid w:val="00C85B19"/>
    <w:rsid w:val="00C85B58"/>
    <w:rsid w:val="00C85BDC"/>
    <w:rsid w:val="00C85BF2"/>
    <w:rsid w:val="00C85C3C"/>
    <w:rsid w:val="00C85C95"/>
    <w:rsid w:val="00C85CE7"/>
    <w:rsid w:val="00C85D13"/>
    <w:rsid w:val="00C85D5E"/>
    <w:rsid w:val="00C85D61"/>
    <w:rsid w:val="00C85DCC"/>
    <w:rsid w:val="00C85E10"/>
    <w:rsid w:val="00C85E29"/>
    <w:rsid w:val="00C85E3F"/>
    <w:rsid w:val="00C85E65"/>
    <w:rsid w:val="00C85E77"/>
    <w:rsid w:val="00C85E7E"/>
    <w:rsid w:val="00C85EC2"/>
    <w:rsid w:val="00C85EF7"/>
    <w:rsid w:val="00C85F16"/>
    <w:rsid w:val="00C85F3A"/>
    <w:rsid w:val="00C85FC5"/>
    <w:rsid w:val="00C860C8"/>
    <w:rsid w:val="00C8611D"/>
    <w:rsid w:val="00C8611E"/>
    <w:rsid w:val="00C8618F"/>
    <w:rsid w:val="00C86190"/>
    <w:rsid w:val="00C861D7"/>
    <w:rsid w:val="00C86220"/>
    <w:rsid w:val="00C86237"/>
    <w:rsid w:val="00C8625F"/>
    <w:rsid w:val="00C8626B"/>
    <w:rsid w:val="00C86287"/>
    <w:rsid w:val="00C8628C"/>
    <w:rsid w:val="00C86291"/>
    <w:rsid w:val="00C8629E"/>
    <w:rsid w:val="00C86320"/>
    <w:rsid w:val="00C86364"/>
    <w:rsid w:val="00C86381"/>
    <w:rsid w:val="00C86391"/>
    <w:rsid w:val="00C863E7"/>
    <w:rsid w:val="00C86400"/>
    <w:rsid w:val="00C86453"/>
    <w:rsid w:val="00C86489"/>
    <w:rsid w:val="00C864BA"/>
    <w:rsid w:val="00C864D1"/>
    <w:rsid w:val="00C864DE"/>
    <w:rsid w:val="00C8656A"/>
    <w:rsid w:val="00C86599"/>
    <w:rsid w:val="00C865CB"/>
    <w:rsid w:val="00C865F3"/>
    <w:rsid w:val="00C865FC"/>
    <w:rsid w:val="00C86614"/>
    <w:rsid w:val="00C8661A"/>
    <w:rsid w:val="00C8664C"/>
    <w:rsid w:val="00C866AA"/>
    <w:rsid w:val="00C8673F"/>
    <w:rsid w:val="00C8678E"/>
    <w:rsid w:val="00C867DE"/>
    <w:rsid w:val="00C867EF"/>
    <w:rsid w:val="00C86804"/>
    <w:rsid w:val="00C8684B"/>
    <w:rsid w:val="00C8689B"/>
    <w:rsid w:val="00C8689D"/>
    <w:rsid w:val="00C86944"/>
    <w:rsid w:val="00C8696A"/>
    <w:rsid w:val="00C86994"/>
    <w:rsid w:val="00C869EB"/>
    <w:rsid w:val="00C86A0F"/>
    <w:rsid w:val="00C86ACB"/>
    <w:rsid w:val="00C86B32"/>
    <w:rsid w:val="00C86B63"/>
    <w:rsid w:val="00C86BD1"/>
    <w:rsid w:val="00C86BF0"/>
    <w:rsid w:val="00C86C27"/>
    <w:rsid w:val="00C86C59"/>
    <w:rsid w:val="00C86CAF"/>
    <w:rsid w:val="00C86D0C"/>
    <w:rsid w:val="00C86D1F"/>
    <w:rsid w:val="00C86D8C"/>
    <w:rsid w:val="00C86EEC"/>
    <w:rsid w:val="00C86F09"/>
    <w:rsid w:val="00C86F12"/>
    <w:rsid w:val="00C86F7E"/>
    <w:rsid w:val="00C86FBD"/>
    <w:rsid w:val="00C86FCF"/>
    <w:rsid w:val="00C86FD4"/>
    <w:rsid w:val="00C8703F"/>
    <w:rsid w:val="00C87048"/>
    <w:rsid w:val="00C870D8"/>
    <w:rsid w:val="00C8711D"/>
    <w:rsid w:val="00C871B1"/>
    <w:rsid w:val="00C871C0"/>
    <w:rsid w:val="00C871F0"/>
    <w:rsid w:val="00C87277"/>
    <w:rsid w:val="00C872AA"/>
    <w:rsid w:val="00C872B1"/>
    <w:rsid w:val="00C872C2"/>
    <w:rsid w:val="00C872DA"/>
    <w:rsid w:val="00C87322"/>
    <w:rsid w:val="00C87325"/>
    <w:rsid w:val="00C8739A"/>
    <w:rsid w:val="00C873CA"/>
    <w:rsid w:val="00C8742B"/>
    <w:rsid w:val="00C874A4"/>
    <w:rsid w:val="00C874C7"/>
    <w:rsid w:val="00C874D5"/>
    <w:rsid w:val="00C874E8"/>
    <w:rsid w:val="00C87526"/>
    <w:rsid w:val="00C87594"/>
    <w:rsid w:val="00C875BC"/>
    <w:rsid w:val="00C876A2"/>
    <w:rsid w:val="00C8770F"/>
    <w:rsid w:val="00C87729"/>
    <w:rsid w:val="00C87752"/>
    <w:rsid w:val="00C87759"/>
    <w:rsid w:val="00C877A8"/>
    <w:rsid w:val="00C877D7"/>
    <w:rsid w:val="00C87814"/>
    <w:rsid w:val="00C87822"/>
    <w:rsid w:val="00C8782A"/>
    <w:rsid w:val="00C87831"/>
    <w:rsid w:val="00C87836"/>
    <w:rsid w:val="00C87865"/>
    <w:rsid w:val="00C87877"/>
    <w:rsid w:val="00C8787F"/>
    <w:rsid w:val="00C878A9"/>
    <w:rsid w:val="00C878ED"/>
    <w:rsid w:val="00C878EE"/>
    <w:rsid w:val="00C878F5"/>
    <w:rsid w:val="00C878FE"/>
    <w:rsid w:val="00C87919"/>
    <w:rsid w:val="00C87937"/>
    <w:rsid w:val="00C87969"/>
    <w:rsid w:val="00C8798E"/>
    <w:rsid w:val="00C8799E"/>
    <w:rsid w:val="00C879F5"/>
    <w:rsid w:val="00C87A03"/>
    <w:rsid w:val="00C87A49"/>
    <w:rsid w:val="00C87A9F"/>
    <w:rsid w:val="00C87AFD"/>
    <w:rsid w:val="00C87B00"/>
    <w:rsid w:val="00C87B0E"/>
    <w:rsid w:val="00C87B47"/>
    <w:rsid w:val="00C87C0D"/>
    <w:rsid w:val="00C87C29"/>
    <w:rsid w:val="00C87CC9"/>
    <w:rsid w:val="00C87D7C"/>
    <w:rsid w:val="00C87D92"/>
    <w:rsid w:val="00C87D9D"/>
    <w:rsid w:val="00C87E29"/>
    <w:rsid w:val="00C87E45"/>
    <w:rsid w:val="00C87E6E"/>
    <w:rsid w:val="00C87ED8"/>
    <w:rsid w:val="00C87F0D"/>
    <w:rsid w:val="00C87F75"/>
    <w:rsid w:val="00C87FB5"/>
    <w:rsid w:val="00C8B15F"/>
    <w:rsid w:val="00C9002B"/>
    <w:rsid w:val="00C90052"/>
    <w:rsid w:val="00C9008E"/>
    <w:rsid w:val="00C900BB"/>
    <w:rsid w:val="00C900BF"/>
    <w:rsid w:val="00C900D5"/>
    <w:rsid w:val="00C900E1"/>
    <w:rsid w:val="00C900ED"/>
    <w:rsid w:val="00C901A5"/>
    <w:rsid w:val="00C901C5"/>
    <w:rsid w:val="00C901E8"/>
    <w:rsid w:val="00C901F3"/>
    <w:rsid w:val="00C9020D"/>
    <w:rsid w:val="00C9023A"/>
    <w:rsid w:val="00C90244"/>
    <w:rsid w:val="00C9024C"/>
    <w:rsid w:val="00C90272"/>
    <w:rsid w:val="00C9027A"/>
    <w:rsid w:val="00C902F5"/>
    <w:rsid w:val="00C90303"/>
    <w:rsid w:val="00C90334"/>
    <w:rsid w:val="00C90338"/>
    <w:rsid w:val="00C9039F"/>
    <w:rsid w:val="00C903F2"/>
    <w:rsid w:val="00C9044A"/>
    <w:rsid w:val="00C9047B"/>
    <w:rsid w:val="00C90489"/>
    <w:rsid w:val="00C9049D"/>
    <w:rsid w:val="00C904A1"/>
    <w:rsid w:val="00C904F9"/>
    <w:rsid w:val="00C9052C"/>
    <w:rsid w:val="00C90532"/>
    <w:rsid w:val="00C90599"/>
    <w:rsid w:val="00C9059D"/>
    <w:rsid w:val="00C90646"/>
    <w:rsid w:val="00C9067E"/>
    <w:rsid w:val="00C906A9"/>
    <w:rsid w:val="00C906CE"/>
    <w:rsid w:val="00C906FB"/>
    <w:rsid w:val="00C907B5"/>
    <w:rsid w:val="00C907E3"/>
    <w:rsid w:val="00C907E6"/>
    <w:rsid w:val="00C90817"/>
    <w:rsid w:val="00C90821"/>
    <w:rsid w:val="00C9083C"/>
    <w:rsid w:val="00C90854"/>
    <w:rsid w:val="00C908A0"/>
    <w:rsid w:val="00C90902"/>
    <w:rsid w:val="00C9091D"/>
    <w:rsid w:val="00C90937"/>
    <w:rsid w:val="00C9097C"/>
    <w:rsid w:val="00C909A1"/>
    <w:rsid w:val="00C909B8"/>
    <w:rsid w:val="00C909E3"/>
    <w:rsid w:val="00C909EC"/>
    <w:rsid w:val="00C90B05"/>
    <w:rsid w:val="00C90B0E"/>
    <w:rsid w:val="00C90B8A"/>
    <w:rsid w:val="00C90B99"/>
    <w:rsid w:val="00C90BB0"/>
    <w:rsid w:val="00C90BD6"/>
    <w:rsid w:val="00C90BEF"/>
    <w:rsid w:val="00C90C93"/>
    <w:rsid w:val="00C90CAF"/>
    <w:rsid w:val="00C90D6C"/>
    <w:rsid w:val="00C90D9F"/>
    <w:rsid w:val="00C90DB4"/>
    <w:rsid w:val="00C90DF5"/>
    <w:rsid w:val="00C90DFF"/>
    <w:rsid w:val="00C90E04"/>
    <w:rsid w:val="00C90E2F"/>
    <w:rsid w:val="00C90E32"/>
    <w:rsid w:val="00C90E9B"/>
    <w:rsid w:val="00C90EA0"/>
    <w:rsid w:val="00C90EFD"/>
    <w:rsid w:val="00C90F55"/>
    <w:rsid w:val="00C90F6C"/>
    <w:rsid w:val="00C90F77"/>
    <w:rsid w:val="00C90F7E"/>
    <w:rsid w:val="00C90FB1"/>
    <w:rsid w:val="00C90FBB"/>
    <w:rsid w:val="00C90FE5"/>
    <w:rsid w:val="00C91008"/>
    <w:rsid w:val="00C91016"/>
    <w:rsid w:val="00C91028"/>
    <w:rsid w:val="00C910D3"/>
    <w:rsid w:val="00C910F3"/>
    <w:rsid w:val="00C9110D"/>
    <w:rsid w:val="00C91122"/>
    <w:rsid w:val="00C91180"/>
    <w:rsid w:val="00C911F0"/>
    <w:rsid w:val="00C9120A"/>
    <w:rsid w:val="00C912C6"/>
    <w:rsid w:val="00C912F2"/>
    <w:rsid w:val="00C91365"/>
    <w:rsid w:val="00C91386"/>
    <w:rsid w:val="00C913AA"/>
    <w:rsid w:val="00C913EC"/>
    <w:rsid w:val="00C9143C"/>
    <w:rsid w:val="00C914D7"/>
    <w:rsid w:val="00C914F0"/>
    <w:rsid w:val="00C914FC"/>
    <w:rsid w:val="00C9153C"/>
    <w:rsid w:val="00C9154F"/>
    <w:rsid w:val="00C91564"/>
    <w:rsid w:val="00C91594"/>
    <w:rsid w:val="00C9159C"/>
    <w:rsid w:val="00C915B1"/>
    <w:rsid w:val="00C915EC"/>
    <w:rsid w:val="00C9163C"/>
    <w:rsid w:val="00C9166B"/>
    <w:rsid w:val="00C91680"/>
    <w:rsid w:val="00C91698"/>
    <w:rsid w:val="00C9169C"/>
    <w:rsid w:val="00C916BB"/>
    <w:rsid w:val="00C916E9"/>
    <w:rsid w:val="00C916FB"/>
    <w:rsid w:val="00C91717"/>
    <w:rsid w:val="00C9171C"/>
    <w:rsid w:val="00C9171F"/>
    <w:rsid w:val="00C91721"/>
    <w:rsid w:val="00C9177C"/>
    <w:rsid w:val="00C91794"/>
    <w:rsid w:val="00C917A6"/>
    <w:rsid w:val="00C917AE"/>
    <w:rsid w:val="00C91811"/>
    <w:rsid w:val="00C9185B"/>
    <w:rsid w:val="00C9187E"/>
    <w:rsid w:val="00C91884"/>
    <w:rsid w:val="00C918C2"/>
    <w:rsid w:val="00C918C4"/>
    <w:rsid w:val="00C918EF"/>
    <w:rsid w:val="00C918F4"/>
    <w:rsid w:val="00C91913"/>
    <w:rsid w:val="00C91946"/>
    <w:rsid w:val="00C919E9"/>
    <w:rsid w:val="00C91A02"/>
    <w:rsid w:val="00C91A09"/>
    <w:rsid w:val="00C91A18"/>
    <w:rsid w:val="00C91A50"/>
    <w:rsid w:val="00C91A5A"/>
    <w:rsid w:val="00C91A6D"/>
    <w:rsid w:val="00C91A76"/>
    <w:rsid w:val="00C91A84"/>
    <w:rsid w:val="00C91A8A"/>
    <w:rsid w:val="00C91ACD"/>
    <w:rsid w:val="00C91AEC"/>
    <w:rsid w:val="00C91BBD"/>
    <w:rsid w:val="00C91C59"/>
    <w:rsid w:val="00C91C77"/>
    <w:rsid w:val="00C91C89"/>
    <w:rsid w:val="00C91D09"/>
    <w:rsid w:val="00C91D57"/>
    <w:rsid w:val="00C91E46"/>
    <w:rsid w:val="00C91EF6"/>
    <w:rsid w:val="00C91F13"/>
    <w:rsid w:val="00C91F35"/>
    <w:rsid w:val="00C91F39"/>
    <w:rsid w:val="00C92013"/>
    <w:rsid w:val="00C92037"/>
    <w:rsid w:val="00C9203B"/>
    <w:rsid w:val="00C92046"/>
    <w:rsid w:val="00C920AE"/>
    <w:rsid w:val="00C920C6"/>
    <w:rsid w:val="00C9211C"/>
    <w:rsid w:val="00C92142"/>
    <w:rsid w:val="00C92144"/>
    <w:rsid w:val="00C9219D"/>
    <w:rsid w:val="00C921B9"/>
    <w:rsid w:val="00C921C9"/>
    <w:rsid w:val="00C921DE"/>
    <w:rsid w:val="00C921F9"/>
    <w:rsid w:val="00C92227"/>
    <w:rsid w:val="00C92280"/>
    <w:rsid w:val="00C9236A"/>
    <w:rsid w:val="00C92375"/>
    <w:rsid w:val="00C92383"/>
    <w:rsid w:val="00C92394"/>
    <w:rsid w:val="00C923A6"/>
    <w:rsid w:val="00C923DC"/>
    <w:rsid w:val="00C923E5"/>
    <w:rsid w:val="00C9241B"/>
    <w:rsid w:val="00C9242E"/>
    <w:rsid w:val="00C92435"/>
    <w:rsid w:val="00C92438"/>
    <w:rsid w:val="00C92521"/>
    <w:rsid w:val="00C92545"/>
    <w:rsid w:val="00C925CB"/>
    <w:rsid w:val="00C92634"/>
    <w:rsid w:val="00C9266F"/>
    <w:rsid w:val="00C92693"/>
    <w:rsid w:val="00C926C7"/>
    <w:rsid w:val="00C9270F"/>
    <w:rsid w:val="00C92722"/>
    <w:rsid w:val="00C9273E"/>
    <w:rsid w:val="00C92772"/>
    <w:rsid w:val="00C927A2"/>
    <w:rsid w:val="00C927BA"/>
    <w:rsid w:val="00C927C2"/>
    <w:rsid w:val="00C927CC"/>
    <w:rsid w:val="00C927D8"/>
    <w:rsid w:val="00C927FE"/>
    <w:rsid w:val="00C9282A"/>
    <w:rsid w:val="00C9289F"/>
    <w:rsid w:val="00C928C6"/>
    <w:rsid w:val="00C928E3"/>
    <w:rsid w:val="00C9290F"/>
    <w:rsid w:val="00C92960"/>
    <w:rsid w:val="00C92969"/>
    <w:rsid w:val="00C929AB"/>
    <w:rsid w:val="00C929D1"/>
    <w:rsid w:val="00C929FD"/>
    <w:rsid w:val="00C92A85"/>
    <w:rsid w:val="00C92AA9"/>
    <w:rsid w:val="00C92B20"/>
    <w:rsid w:val="00C92B6B"/>
    <w:rsid w:val="00C92B71"/>
    <w:rsid w:val="00C92B7D"/>
    <w:rsid w:val="00C92B8B"/>
    <w:rsid w:val="00C92BA4"/>
    <w:rsid w:val="00C92BB9"/>
    <w:rsid w:val="00C92C13"/>
    <w:rsid w:val="00C92C94"/>
    <w:rsid w:val="00C92CAB"/>
    <w:rsid w:val="00C92CAE"/>
    <w:rsid w:val="00C92CB8"/>
    <w:rsid w:val="00C92DBD"/>
    <w:rsid w:val="00C92E2F"/>
    <w:rsid w:val="00C92E3C"/>
    <w:rsid w:val="00C92E66"/>
    <w:rsid w:val="00C92EA4"/>
    <w:rsid w:val="00C92F0B"/>
    <w:rsid w:val="00C92F51"/>
    <w:rsid w:val="00C92F88"/>
    <w:rsid w:val="00C93001"/>
    <w:rsid w:val="00C9302C"/>
    <w:rsid w:val="00C9302E"/>
    <w:rsid w:val="00C9304E"/>
    <w:rsid w:val="00C9305E"/>
    <w:rsid w:val="00C93091"/>
    <w:rsid w:val="00C930FB"/>
    <w:rsid w:val="00C93102"/>
    <w:rsid w:val="00C93114"/>
    <w:rsid w:val="00C9314B"/>
    <w:rsid w:val="00C9314D"/>
    <w:rsid w:val="00C93155"/>
    <w:rsid w:val="00C93162"/>
    <w:rsid w:val="00C9317D"/>
    <w:rsid w:val="00C9322F"/>
    <w:rsid w:val="00C93250"/>
    <w:rsid w:val="00C93294"/>
    <w:rsid w:val="00C932B6"/>
    <w:rsid w:val="00C932DE"/>
    <w:rsid w:val="00C932FA"/>
    <w:rsid w:val="00C932FD"/>
    <w:rsid w:val="00C93329"/>
    <w:rsid w:val="00C9337D"/>
    <w:rsid w:val="00C933BA"/>
    <w:rsid w:val="00C93441"/>
    <w:rsid w:val="00C934AE"/>
    <w:rsid w:val="00C9354E"/>
    <w:rsid w:val="00C93553"/>
    <w:rsid w:val="00C9355A"/>
    <w:rsid w:val="00C935DC"/>
    <w:rsid w:val="00C935ED"/>
    <w:rsid w:val="00C935FD"/>
    <w:rsid w:val="00C9366D"/>
    <w:rsid w:val="00C9369B"/>
    <w:rsid w:val="00C936C2"/>
    <w:rsid w:val="00C936C6"/>
    <w:rsid w:val="00C9372D"/>
    <w:rsid w:val="00C93789"/>
    <w:rsid w:val="00C937EA"/>
    <w:rsid w:val="00C93870"/>
    <w:rsid w:val="00C938CE"/>
    <w:rsid w:val="00C938DB"/>
    <w:rsid w:val="00C9397B"/>
    <w:rsid w:val="00C939B7"/>
    <w:rsid w:val="00C939BF"/>
    <w:rsid w:val="00C93AC1"/>
    <w:rsid w:val="00C93AC8"/>
    <w:rsid w:val="00C93BE3"/>
    <w:rsid w:val="00C93C32"/>
    <w:rsid w:val="00C93C57"/>
    <w:rsid w:val="00C93C7A"/>
    <w:rsid w:val="00C93CC8"/>
    <w:rsid w:val="00C93D21"/>
    <w:rsid w:val="00C93DEE"/>
    <w:rsid w:val="00C93DF4"/>
    <w:rsid w:val="00C93E29"/>
    <w:rsid w:val="00C93E3D"/>
    <w:rsid w:val="00C93E97"/>
    <w:rsid w:val="00C93EBB"/>
    <w:rsid w:val="00C93EE3"/>
    <w:rsid w:val="00C93EF3"/>
    <w:rsid w:val="00C93F45"/>
    <w:rsid w:val="00C93FA3"/>
    <w:rsid w:val="00C93FAE"/>
    <w:rsid w:val="00C93FCE"/>
    <w:rsid w:val="00C93FD2"/>
    <w:rsid w:val="00C93FDC"/>
    <w:rsid w:val="00C93FE9"/>
    <w:rsid w:val="00C94072"/>
    <w:rsid w:val="00C9407E"/>
    <w:rsid w:val="00C940AE"/>
    <w:rsid w:val="00C940B2"/>
    <w:rsid w:val="00C94101"/>
    <w:rsid w:val="00C9414B"/>
    <w:rsid w:val="00C9414E"/>
    <w:rsid w:val="00C941AE"/>
    <w:rsid w:val="00C941CB"/>
    <w:rsid w:val="00C94283"/>
    <w:rsid w:val="00C94310"/>
    <w:rsid w:val="00C9439A"/>
    <w:rsid w:val="00C943A6"/>
    <w:rsid w:val="00C943CF"/>
    <w:rsid w:val="00C94467"/>
    <w:rsid w:val="00C94496"/>
    <w:rsid w:val="00C944EA"/>
    <w:rsid w:val="00C9450E"/>
    <w:rsid w:val="00C9457D"/>
    <w:rsid w:val="00C94619"/>
    <w:rsid w:val="00C946F4"/>
    <w:rsid w:val="00C94738"/>
    <w:rsid w:val="00C947E1"/>
    <w:rsid w:val="00C947EA"/>
    <w:rsid w:val="00C94821"/>
    <w:rsid w:val="00C9482F"/>
    <w:rsid w:val="00C94834"/>
    <w:rsid w:val="00C94853"/>
    <w:rsid w:val="00C94872"/>
    <w:rsid w:val="00C948FE"/>
    <w:rsid w:val="00C94904"/>
    <w:rsid w:val="00C94917"/>
    <w:rsid w:val="00C9494D"/>
    <w:rsid w:val="00C9499E"/>
    <w:rsid w:val="00C949F0"/>
    <w:rsid w:val="00C94B00"/>
    <w:rsid w:val="00C94B26"/>
    <w:rsid w:val="00C94B4D"/>
    <w:rsid w:val="00C94B5F"/>
    <w:rsid w:val="00C94B7E"/>
    <w:rsid w:val="00C94BEC"/>
    <w:rsid w:val="00C94C27"/>
    <w:rsid w:val="00C94C2F"/>
    <w:rsid w:val="00C94C5E"/>
    <w:rsid w:val="00C94C6C"/>
    <w:rsid w:val="00C94C7B"/>
    <w:rsid w:val="00C94C96"/>
    <w:rsid w:val="00C94CAD"/>
    <w:rsid w:val="00C94E26"/>
    <w:rsid w:val="00C94EAE"/>
    <w:rsid w:val="00C94EB2"/>
    <w:rsid w:val="00C94F39"/>
    <w:rsid w:val="00C94F42"/>
    <w:rsid w:val="00C94FB1"/>
    <w:rsid w:val="00C94FD9"/>
    <w:rsid w:val="00C94FDF"/>
    <w:rsid w:val="00C94FE6"/>
    <w:rsid w:val="00C95023"/>
    <w:rsid w:val="00C95041"/>
    <w:rsid w:val="00C95088"/>
    <w:rsid w:val="00C950AE"/>
    <w:rsid w:val="00C950E2"/>
    <w:rsid w:val="00C95176"/>
    <w:rsid w:val="00C95182"/>
    <w:rsid w:val="00C951A5"/>
    <w:rsid w:val="00C951E5"/>
    <w:rsid w:val="00C951FD"/>
    <w:rsid w:val="00C9523D"/>
    <w:rsid w:val="00C952DD"/>
    <w:rsid w:val="00C952F4"/>
    <w:rsid w:val="00C952F6"/>
    <w:rsid w:val="00C95347"/>
    <w:rsid w:val="00C95377"/>
    <w:rsid w:val="00C95382"/>
    <w:rsid w:val="00C95389"/>
    <w:rsid w:val="00C953D5"/>
    <w:rsid w:val="00C953E6"/>
    <w:rsid w:val="00C95405"/>
    <w:rsid w:val="00C9540C"/>
    <w:rsid w:val="00C9546E"/>
    <w:rsid w:val="00C954B8"/>
    <w:rsid w:val="00C95516"/>
    <w:rsid w:val="00C95552"/>
    <w:rsid w:val="00C9555C"/>
    <w:rsid w:val="00C95583"/>
    <w:rsid w:val="00C9560A"/>
    <w:rsid w:val="00C95630"/>
    <w:rsid w:val="00C9565E"/>
    <w:rsid w:val="00C95669"/>
    <w:rsid w:val="00C9569E"/>
    <w:rsid w:val="00C956BF"/>
    <w:rsid w:val="00C95728"/>
    <w:rsid w:val="00C9576B"/>
    <w:rsid w:val="00C9576F"/>
    <w:rsid w:val="00C957A0"/>
    <w:rsid w:val="00C957C2"/>
    <w:rsid w:val="00C958F6"/>
    <w:rsid w:val="00C95955"/>
    <w:rsid w:val="00C95967"/>
    <w:rsid w:val="00C959AE"/>
    <w:rsid w:val="00C95A56"/>
    <w:rsid w:val="00C95A9C"/>
    <w:rsid w:val="00C95AA1"/>
    <w:rsid w:val="00C95AA4"/>
    <w:rsid w:val="00C95AB3"/>
    <w:rsid w:val="00C95AFC"/>
    <w:rsid w:val="00C95B14"/>
    <w:rsid w:val="00C95C05"/>
    <w:rsid w:val="00C95C2B"/>
    <w:rsid w:val="00C95C59"/>
    <w:rsid w:val="00C95C6A"/>
    <w:rsid w:val="00C95C9B"/>
    <w:rsid w:val="00C95CC2"/>
    <w:rsid w:val="00C95CFA"/>
    <w:rsid w:val="00C95D47"/>
    <w:rsid w:val="00C95DC3"/>
    <w:rsid w:val="00C95E49"/>
    <w:rsid w:val="00C95E6A"/>
    <w:rsid w:val="00C95E8D"/>
    <w:rsid w:val="00C95E8E"/>
    <w:rsid w:val="00C95EB4"/>
    <w:rsid w:val="00C95ED4"/>
    <w:rsid w:val="00C95EEB"/>
    <w:rsid w:val="00C95EFB"/>
    <w:rsid w:val="00C95F99"/>
    <w:rsid w:val="00C9600F"/>
    <w:rsid w:val="00C9601E"/>
    <w:rsid w:val="00C9602C"/>
    <w:rsid w:val="00C9607C"/>
    <w:rsid w:val="00C960E6"/>
    <w:rsid w:val="00C9612E"/>
    <w:rsid w:val="00C9616C"/>
    <w:rsid w:val="00C961C9"/>
    <w:rsid w:val="00C961E2"/>
    <w:rsid w:val="00C961F9"/>
    <w:rsid w:val="00C96200"/>
    <w:rsid w:val="00C9620F"/>
    <w:rsid w:val="00C96289"/>
    <w:rsid w:val="00C96293"/>
    <w:rsid w:val="00C962A6"/>
    <w:rsid w:val="00C9636C"/>
    <w:rsid w:val="00C9637A"/>
    <w:rsid w:val="00C963F4"/>
    <w:rsid w:val="00C96460"/>
    <w:rsid w:val="00C96516"/>
    <w:rsid w:val="00C96545"/>
    <w:rsid w:val="00C9655A"/>
    <w:rsid w:val="00C965E9"/>
    <w:rsid w:val="00C965F9"/>
    <w:rsid w:val="00C96614"/>
    <w:rsid w:val="00C9665C"/>
    <w:rsid w:val="00C96692"/>
    <w:rsid w:val="00C9669F"/>
    <w:rsid w:val="00C96738"/>
    <w:rsid w:val="00C967A4"/>
    <w:rsid w:val="00C967BF"/>
    <w:rsid w:val="00C96894"/>
    <w:rsid w:val="00C9692F"/>
    <w:rsid w:val="00C9698C"/>
    <w:rsid w:val="00C969CC"/>
    <w:rsid w:val="00C969DF"/>
    <w:rsid w:val="00C96A1C"/>
    <w:rsid w:val="00C96B17"/>
    <w:rsid w:val="00C96B4E"/>
    <w:rsid w:val="00C96B58"/>
    <w:rsid w:val="00C96B66"/>
    <w:rsid w:val="00C96B91"/>
    <w:rsid w:val="00C96BB9"/>
    <w:rsid w:val="00C96BE5"/>
    <w:rsid w:val="00C96C1F"/>
    <w:rsid w:val="00C96C98"/>
    <w:rsid w:val="00C96D91"/>
    <w:rsid w:val="00C96DB9"/>
    <w:rsid w:val="00C96E4E"/>
    <w:rsid w:val="00C96E65"/>
    <w:rsid w:val="00C96E96"/>
    <w:rsid w:val="00C96EAE"/>
    <w:rsid w:val="00C96EC6"/>
    <w:rsid w:val="00C96EF7"/>
    <w:rsid w:val="00C96F59"/>
    <w:rsid w:val="00C96F62"/>
    <w:rsid w:val="00C96FB0"/>
    <w:rsid w:val="00C96FD1"/>
    <w:rsid w:val="00C96FE9"/>
    <w:rsid w:val="00C97035"/>
    <w:rsid w:val="00C97040"/>
    <w:rsid w:val="00C9704F"/>
    <w:rsid w:val="00C970B0"/>
    <w:rsid w:val="00C970F2"/>
    <w:rsid w:val="00C97168"/>
    <w:rsid w:val="00C97187"/>
    <w:rsid w:val="00C97199"/>
    <w:rsid w:val="00C971F0"/>
    <w:rsid w:val="00C97239"/>
    <w:rsid w:val="00C9727A"/>
    <w:rsid w:val="00C972A1"/>
    <w:rsid w:val="00C972BD"/>
    <w:rsid w:val="00C97378"/>
    <w:rsid w:val="00C973DC"/>
    <w:rsid w:val="00C97404"/>
    <w:rsid w:val="00C97435"/>
    <w:rsid w:val="00C9744C"/>
    <w:rsid w:val="00C97455"/>
    <w:rsid w:val="00C9746D"/>
    <w:rsid w:val="00C9749B"/>
    <w:rsid w:val="00C974B8"/>
    <w:rsid w:val="00C974FA"/>
    <w:rsid w:val="00C97513"/>
    <w:rsid w:val="00C9754A"/>
    <w:rsid w:val="00C97583"/>
    <w:rsid w:val="00C975C8"/>
    <w:rsid w:val="00C975CE"/>
    <w:rsid w:val="00C97603"/>
    <w:rsid w:val="00C97682"/>
    <w:rsid w:val="00C976A1"/>
    <w:rsid w:val="00C976CE"/>
    <w:rsid w:val="00C97749"/>
    <w:rsid w:val="00C97756"/>
    <w:rsid w:val="00C9779B"/>
    <w:rsid w:val="00C97825"/>
    <w:rsid w:val="00C97843"/>
    <w:rsid w:val="00C97858"/>
    <w:rsid w:val="00C97887"/>
    <w:rsid w:val="00C978CB"/>
    <w:rsid w:val="00C978D4"/>
    <w:rsid w:val="00C97925"/>
    <w:rsid w:val="00C97948"/>
    <w:rsid w:val="00C9797D"/>
    <w:rsid w:val="00C979DA"/>
    <w:rsid w:val="00C979E7"/>
    <w:rsid w:val="00C97A15"/>
    <w:rsid w:val="00C97AB4"/>
    <w:rsid w:val="00C97AC6"/>
    <w:rsid w:val="00C97B07"/>
    <w:rsid w:val="00C97B0F"/>
    <w:rsid w:val="00C97B3F"/>
    <w:rsid w:val="00C97B77"/>
    <w:rsid w:val="00C97B89"/>
    <w:rsid w:val="00C97BCF"/>
    <w:rsid w:val="00C97BD0"/>
    <w:rsid w:val="00C97BE2"/>
    <w:rsid w:val="00C97C09"/>
    <w:rsid w:val="00C97CC2"/>
    <w:rsid w:val="00C97D0B"/>
    <w:rsid w:val="00C97D53"/>
    <w:rsid w:val="00C97D89"/>
    <w:rsid w:val="00C97D8E"/>
    <w:rsid w:val="00C97DC7"/>
    <w:rsid w:val="00C97DFE"/>
    <w:rsid w:val="00C97DFF"/>
    <w:rsid w:val="00C97E7A"/>
    <w:rsid w:val="00C97F6F"/>
    <w:rsid w:val="00C97FBA"/>
    <w:rsid w:val="00C97FC0"/>
    <w:rsid w:val="00CA004A"/>
    <w:rsid w:val="00CA00BF"/>
    <w:rsid w:val="00CA00DF"/>
    <w:rsid w:val="00CA00EF"/>
    <w:rsid w:val="00CA019E"/>
    <w:rsid w:val="00CA01CA"/>
    <w:rsid w:val="00CA0242"/>
    <w:rsid w:val="00CA02AA"/>
    <w:rsid w:val="00CA02B3"/>
    <w:rsid w:val="00CA0312"/>
    <w:rsid w:val="00CA031A"/>
    <w:rsid w:val="00CA03D4"/>
    <w:rsid w:val="00CA0428"/>
    <w:rsid w:val="00CA04B5"/>
    <w:rsid w:val="00CA04E4"/>
    <w:rsid w:val="00CA0504"/>
    <w:rsid w:val="00CA050C"/>
    <w:rsid w:val="00CA0514"/>
    <w:rsid w:val="00CA051C"/>
    <w:rsid w:val="00CA052E"/>
    <w:rsid w:val="00CA05BD"/>
    <w:rsid w:val="00CA05DB"/>
    <w:rsid w:val="00CA0605"/>
    <w:rsid w:val="00CA063B"/>
    <w:rsid w:val="00CA06D9"/>
    <w:rsid w:val="00CA0736"/>
    <w:rsid w:val="00CA0747"/>
    <w:rsid w:val="00CA0787"/>
    <w:rsid w:val="00CA07DE"/>
    <w:rsid w:val="00CA07F3"/>
    <w:rsid w:val="00CA0818"/>
    <w:rsid w:val="00CA0841"/>
    <w:rsid w:val="00CA0881"/>
    <w:rsid w:val="00CA089B"/>
    <w:rsid w:val="00CA08D4"/>
    <w:rsid w:val="00CA08DB"/>
    <w:rsid w:val="00CA0932"/>
    <w:rsid w:val="00CA0945"/>
    <w:rsid w:val="00CA0A1E"/>
    <w:rsid w:val="00CA0A3B"/>
    <w:rsid w:val="00CA0A52"/>
    <w:rsid w:val="00CA0A9E"/>
    <w:rsid w:val="00CA0ACD"/>
    <w:rsid w:val="00CA0AD0"/>
    <w:rsid w:val="00CA0AD1"/>
    <w:rsid w:val="00CA0B1F"/>
    <w:rsid w:val="00CA0BBA"/>
    <w:rsid w:val="00CA0BD8"/>
    <w:rsid w:val="00CA0C0B"/>
    <w:rsid w:val="00CA0C25"/>
    <w:rsid w:val="00CA0C85"/>
    <w:rsid w:val="00CA0C9B"/>
    <w:rsid w:val="00CA0D02"/>
    <w:rsid w:val="00CA0E2B"/>
    <w:rsid w:val="00CA0E8E"/>
    <w:rsid w:val="00CA0EB9"/>
    <w:rsid w:val="00CA0EBE"/>
    <w:rsid w:val="00CA0ECF"/>
    <w:rsid w:val="00CA0EDF"/>
    <w:rsid w:val="00CA0EF3"/>
    <w:rsid w:val="00CA0EFB"/>
    <w:rsid w:val="00CA0F14"/>
    <w:rsid w:val="00CA0F21"/>
    <w:rsid w:val="00CA0F53"/>
    <w:rsid w:val="00CA0FB8"/>
    <w:rsid w:val="00CA10C6"/>
    <w:rsid w:val="00CA10ED"/>
    <w:rsid w:val="00CA11A9"/>
    <w:rsid w:val="00CA1215"/>
    <w:rsid w:val="00CA125C"/>
    <w:rsid w:val="00CA127A"/>
    <w:rsid w:val="00CA12BD"/>
    <w:rsid w:val="00CA12C8"/>
    <w:rsid w:val="00CA12CA"/>
    <w:rsid w:val="00CA12CE"/>
    <w:rsid w:val="00CA12E0"/>
    <w:rsid w:val="00CA1368"/>
    <w:rsid w:val="00CA1369"/>
    <w:rsid w:val="00CA1400"/>
    <w:rsid w:val="00CA145C"/>
    <w:rsid w:val="00CA14F2"/>
    <w:rsid w:val="00CA151B"/>
    <w:rsid w:val="00CA1531"/>
    <w:rsid w:val="00CA153B"/>
    <w:rsid w:val="00CA15C9"/>
    <w:rsid w:val="00CA15F3"/>
    <w:rsid w:val="00CA1640"/>
    <w:rsid w:val="00CA165B"/>
    <w:rsid w:val="00CA16B6"/>
    <w:rsid w:val="00CA16C6"/>
    <w:rsid w:val="00CA16E6"/>
    <w:rsid w:val="00CA16E7"/>
    <w:rsid w:val="00CA1777"/>
    <w:rsid w:val="00CA1796"/>
    <w:rsid w:val="00CA1807"/>
    <w:rsid w:val="00CA1845"/>
    <w:rsid w:val="00CA18E3"/>
    <w:rsid w:val="00CA18F5"/>
    <w:rsid w:val="00CA1905"/>
    <w:rsid w:val="00CA1940"/>
    <w:rsid w:val="00CA194D"/>
    <w:rsid w:val="00CA1958"/>
    <w:rsid w:val="00CA19C4"/>
    <w:rsid w:val="00CA1ACE"/>
    <w:rsid w:val="00CA1AFB"/>
    <w:rsid w:val="00CA1B17"/>
    <w:rsid w:val="00CA1B3F"/>
    <w:rsid w:val="00CA1B46"/>
    <w:rsid w:val="00CA1B4C"/>
    <w:rsid w:val="00CA1B53"/>
    <w:rsid w:val="00CA1B65"/>
    <w:rsid w:val="00CA1B8D"/>
    <w:rsid w:val="00CA1B9F"/>
    <w:rsid w:val="00CA1C1D"/>
    <w:rsid w:val="00CA1C5A"/>
    <w:rsid w:val="00CA1CC8"/>
    <w:rsid w:val="00CA1CD9"/>
    <w:rsid w:val="00CA1CDE"/>
    <w:rsid w:val="00CA1CFB"/>
    <w:rsid w:val="00CA1D44"/>
    <w:rsid w:val="00CA1D4A"/>
    <w:rsid w:val="00CA1D8B"/>
    <w:rsid w:val="00CA1D9A"/>
    <w:rsid w:val="00CA1DF5"/>
    <w:rsid w:val="00CA1E3A"/>
    <w:rsid w:val="00CA1E44"/>
    <w:rsid w:val="00CA1E4E"/>
    <w:rsid w:val="00CA1EB7"/>
    <w:rsid w:val="00CA1F0E"/>
    <w:rsid w:val="00CA1F15"/>
    <w:rsid w:val="00CA1F73"/>
    <w:rsid w:val="00CA1FAD"/>
    <w:rsid w:val="00CA1FE9"/>
    <w:rsid w:val="00CA2006"/>
    <w:rsid w:val="00CA206F"/>
    <w:rsid w:val="00CA2080"/>
    <w:rsid w:val="00CA20F2"/>
    <w:rsid w:val="00CA213C"/>
    <w:rsid w:val="00CA2169"/>
    <w:rsid w:val="00CA2194"/>
    <w:rsid w:val="00CA21F5"/>
    <w:rsid w:val="00CA2231"/>
    <w:rsid w:val="00CA22E6"/>
    <w:rsid w:val="00CA22E7"/>
    <w:rsid w:val="00CA2341"/>
    <w:rsid w:val="00CA23EF"/>
    <w:rsid w:val="00CA2506"/>
    <w:rsid w:val="00CA2507"/>
    <w:rsid w:val="00CA2537"/>
    <w:rsid w:val="00CA262A"/>
    <w:rsid w:val="00CA2651"/>
    <w:rsid w:val="00CA2653"/>
    <w:rsid w:val="00CA26A3"/>
    <w:rsid w:val="00CA26A8"/>
    <w:rsid w:val="00CA26B8"/>
    <w:rsid w:val="00CA2729"/>
    <w:rsid w:val="00CA2785"/>
    <w:rsid w:val="00CA27F6"/>
    <w:rsid w:val="00CA285D"/>
    <w:rsid w:val="00CA2864"/>
    <w:rsid w:val="00CA28CB"/>
    <w:rsid w:val="00CA28F6"/>
    <w:rsid w:val="00CA28FD"/>
    <w:rsid w:val="00CA2901"/>
    <w:rsid w:val="00CA290F"/>
    <w:rsid w:val="00CA2910"/>
    <w:rsid w:val="00CA2921"/>
    <w:rsid w:val="00CA29F8"/>
    <w:rsid w:val="00CA2A1D"/>
    <w:rsid w:val="00CA2A47"/>
    <w:rsid w:val="00CA2A5A"/>
    <w:rsid w:val="00CA2AE9"/>
    <w:rsid w:val="00CA2B7D"/>
    <w:rsid w:val="00CA2C02"/>
    <w:rsid w:val="00CA2C35"/>
    <w:rsid w:val="00CA2C47"/>
    <w:rsid w:val="00CA2C4A"/>
    <w:rsid w:val="00CA2C8E"/>
    <w:rsid w:val="00CA2C9C"/>
    <w:rsid w:val="00CA2CCF"/>
    <w:rsid w:val="00CA2D31"/>
    <w:rsid w:val="00CA2D4B"/>
    <w:rsid w:val="00CA2D93"/>
    <w:rsid w:val="00CA2DAE"/>
    <w:rsid w:val="00CA2DE8"/>
    <w:rsid w:val="00CA2E2A"/>
    <w:rsid w:val="00CA2E49"/>
    <w:rsid w:val="00CA2E6E"/>
    <w:rsid w:val="00CA2E72"/>
    <w:rsid w:val="00CA2E93"/>
    <w:rsid w:val="00CA2F42"/>
    <w:rsid w:val="00CA2FBB"/>
    <w:rsid w:val="00CA30E6"/>
    <w:rsid w:val="00CA3129"/>
    <w:rsid w:val="00CA3175"/>
    <w:rsid w:val="00CA3242"/>
    <w:rsid w:val="00CA3274"/>
    <w:rsid w:val="00CA32A2"/>
    <w:rsid w:val="00CA3315"/>
    <w:rsid w:val="00CA3352"/>
    <w:rsid w:val="00CA33A7"/>
    <w:rsid w:val="00CA3411"/>
    <w:rsid w:val="00CA343D"/>
    <w:rsid w:val="00CA3445"/>
    <w:rsid w:val="00CA348E"/>
    <w:rsid w:val="00CA34C6"/>
    <w:rsid w:val="00CA34D5"/>
    <w:rsid w:val="00CA3517"/>
    <w:rsid w:val="00CA3580"/>
    <w:rsid w:val="00CA35A6"/>
    <w:rsid w:val="00CA35CE"/>
    <w:rsid w:val="00CA35EC"/>
    <w:rsid w:val="00CA35EE"/>
    <w:rsid w:val="00CA3634"/>
    <w:rsid w:val="00CA3679"/>
    <w:rsid w:val="00CA368D"/>
    <w:rsid w:val="00CA3708"/>
    <w:rsid w:val="00CA375B"/>
    <w:rsid w:val="00CA3760"/>
    <w:rsid w:val="00CA3824"/>
    <w:rsid w:val="00CA3874"/>
    <w:rsid w:val="00CA388C"/>
    <w:rsid w:val="00CA38B4"/>
    <w:rsid w:val="00CA3938"/>
    <w:rsid w:val="00CA39B6"/>
    <w:rsid w:val="00CA3A78"/>
    <w:rsid w:val="00CA3AA0"/>
    <w:rsid w:val="00CA3ACE"/>
    <w:rsid w:val="00CA3ACF"/>
    <w:rsid w:val="00CA3B35"/>
    <w:rsid w:val="00CA3B41"/>
    <w:rsid w:val="00CA3B48"/>
    <w:rsid w:val="00CA3B8C"/>
    <w:rsid w:val="00CA3BFB"/>
    <w:rsid w:val="00CA3C37"/>
    <w:rsid w:val="00CA3C52"/>
    <w:rsid w:val="00CA3CAD"/>
    <w:rsid w:val="00CA3CBD"/>
    <w:rsid w:val="00CA3D68"/>
    <w:rsid w:val="00CA3D93"/>
    <w:rsid w:val="00CA3D95"/>
    <w:rsid w:val="00CA3DD4"/>
    <w:rsid w:val="00CA3DEA"/>
    <w:rsid w:val="00CA3E5B"/>
    <w:rsid w:val="00CA3E9C"/>
    <w:rsid w:val="00CA3EA0"/>
    <w:rsid w:val="00CA3FCE"/>
    <w:rsid w:val="00CA3FD8"/>
    <w:rsid w:val="00CA401D"/>
    <w:rsid w:val="00CA402A"/>
    <w:rsid w:val="00CA4099"/>
    <w:rsid w:val="00CA4105"/>
    <w:rsid w:val="00CA410A"/>
    <w:rsid w:val="00CA4161"/>
    <w:rsid w:val="00CA416F"/>
    <w:rsid w:val="00CA41B3"/>
    <w:rsid w:val="00CA41D1"/>
    <w:rsid w:val="00CA41E3"/>
    <w:rsid w:val="00CA424C"/>
    <w:rsid w:val="00CA4335"/>
    <w:rsid w:val="00CA440B"/>
    <w:rsid w:val="00CA4412"/>
    <w:rsid w:val="00CA448B"/>
    <w:rsid w:val="00CA448E"/>
    <w:rsid w:val="00CA44BA"/>
    <w:rsid w:val="00CA454B"/>
    <w:rsid w:val="00CA4560"/>
    <w:rsid w:val="00CA456F"/>
    <w:rsid w:val="00CA4608"/>
    <w:rsid w:val="00CA4658"/>
    <w:rsid w:val="00CA4660"/>
    <w:rsid w:val="00CA466A"/>
    <w:rsid w:val="00CA46E9"/>
    <w:rsid w:val="00CA472E"/>
    <w:rsid w:val="00CA4748"/>
    <w:rsid w:val="00CA47E8"/>
    <w:rsid w:val="00CA4854"/>
    <w:rsid w:val="00CA4856"/>
    <w:rsid w:val="00CA4882"/>
    <w:rsid w:val="00CA48B9"/>
    <w:rsid w:val="00CA48EE"/>
    <w:rsid w:val="00CA492B"/>
    <w:rsid w:val="00CA492E"/>
    <w:rsid w:val="00CA496A"/>
    <w:rsid w:val="00CA49A5"/>
    <w:rsid w:val="00CA4A02"/>
    <w:rsid w:val="00CA4AA5"/>
    <w:rsid w:val="00CA4ACA"/>
    <w:rsid w:val="00CA4B23"/>
    <w:rsid w:val="00CA4B38"/>
    <w:rsid w:val="00CA4B6D"/>
    <w:rsid w:val="00CA4B7F"/>
    <w:rsid w:val="00CA4BE5"/>
    <w:rsid w:val="00CA4C6E"/>
    <w:rsid w:val="00CA4C71"/>
    <w:rsid w:val="00CA4C85"/>
    <w:rsid w:val="00CA4CBC"/>
    <w:rsid w:val="00CA4D57"/>
    <w:rsid w:val="00CA4D69"/>
    <w:rsid w:val="00CA4DA0"/>
    <w:rsid w:val="00CA4E00"/>
    <w:rsid w:val="00CA4E89"/>
    <w:rsid w:val="00CA4ECF"/>
    <w:rsid w:val="00CA4ED7"/>
    <w:rsid w:val="00CA4F13"/>
    <w:rsid w:val="00CA4F1C"/>
    <w:rsid w:val="00CA4F90"/>
    <w:rsid w:val="00CA4FA7"/>
    <w:rsid w:val="00CA4FA8"/>
    <w:rsid w:val="00CA5004"/>
    <w:rsid w:val="00CA5021"/>
    <w:rsid w:val="00CA50AE"/>
    <w:rsid w:val="00CA50E1"/>
    <w:rsid w:val="00CA510C"/>
    <w:rsid w:val="00CA5166"/>
    <w:rsid w:val="00CA51A9"/>
    <w:rsid w:val="00CA51CC"/>
    <w:rsid w:val="00CA51FC"/>
    <w:rsid w:val="00CA529A"/>
    <w:rsid w:val="00CA52D0"/>
    <w:rsid w:val="00CA535C"/>
    <w:rsid w:val="00CA5367"/>
    <w:rsid w:val="00CA53DD"/>
    <w:rsid w:val="00CA542F"/>
    <w:rsid w:val="00CA5454"/>
    <w:rsid w:val="00CA5470"/>
    <w:rsid w:val="00CA5484"/>
    <w:rsid w:val="00CA54BB"/>
    <w:rsid w:val="00CA54D5"/>
    <w:rsid w:val="00CA54E9"/>
    <w:rsid w:val="00CA5528"/>
    <w:rsid w:val="00CA559F"/>
    <w:rsid w:val="00CA55B2"/>
    <w:rsid w:val="00CA55F0"/>
    <w:rsid w:val="00CA5623"/>
    <w:rsid w:val="00CA5698"/>
    <w:rsid w:val="00CA56B7"/>
    <w:rsid w:val="00CA5744"/>
    <w:rsid w:val="00CA5760"/>
    <w:rsid w:val="00CA5790"/>
    <w:rsid w:val="00CA5798"/>
    <w:rsid w:val="00CA57A4"/>
    <w:rsid w:val="00CA57FE"/>
    <w:rsid w:val="00CA5810"/>
    <w:rsid w:val="00CA5857"/>
    <w:rsid w:val="00CA58F3"/>
    <w:rsid w:val="00CA598F"/>
    <w:rsid w:val="00CA59CB"/>
    <w:rsid w:val="00CA5BA4"/>
    <w:rsid w:val="00CA5BDA"/>
    <w:rsid w:val="00CA5C0C"/>
    <w:rsid w:val="00CA5CED"/>
    <w:rsid w:val="00CA5D56"/>
    <w:rsid w:val="00CA5D90"/>
    <w:rsid w:val="00CA5D94"/>
    <w:rsid w:val="00CA5DBD"/>
    <w:rsid w:val="00CA5DDD"/>
    <w:rsid w:val="00CA5DE2"/>
    <w:rsid w:val="00CA5EF3"/>
    <w:rsid w:val="00CA5F52"/>
    <w:rsid w:val="00CA5FB2"/>
    <w:rsid w:val="00CA5FEE"/>
    <w:rsid w:val="00CA6020"/>
    <w:rsid w:val="00CA6032"/>
    <w:rsid w:val="00CA6063"/>
    <w:rsid w:val="00CA6125"/>
    <w:rsid w:val="00CA6136"/>
    <w:rsid w:val="00CA614F"/>
    <w:rsid w:val="00CA6150"/>
    <w:rsid w:val="00CA6157"/>
    <w:rsid w:val="00CA61AC"/>
    <w:rsid w:val="00CA61DD"/>
    <w:rsid w:val="00CA620D"/>
    <w:rsid w:val="00CA6219"/>
    <w:rsid w:val="00CA6254"/>
    <w:rsid w:val="00CA627A"/>
    <w:rsid w:val="00CA62B2"/>
    <w:rsid w:val="00CA6338"/>
    <w:rsid w:val="00CA633F"/>
    <w:rsid w:val="00CA63BA"/>
    <w:rsid w:val="00CA63F9"/>
    <w:rsid w:val="00CA6402"/>
    <w:rsid w:val="00CA6415"/>
    <w:rsid w:val="00CA6430"/>
    <w:rsid w:val="00CA6438"/>
    <w:rsid w:val="00CA64AF"/>
    <w:rsid w:val="00CA6506"/>
    <w:rsid w:val="00CA656F"/>
    <w:rsid w:val="00CA663F"/>
    <w:rsid w:val="00CA671B"/>
    <w:rsid w:val="00CA672F"/>
    <w:rsid w:val="00CA678E"/>
    <w:rsid w:val="00CA67C2"/>
    <w:rsid w:val="00CA67D9"/>
    <w:rsid w:val="00CA67E5"/>
    <w:rsid w:val="00CA6802"/>
    <w:rsid w:val="00CA6816"/>
    <w:rsid w:val="00CA6826"/>
    <w:rsid w:val="00CA6860"/>
    <w:rsid w:val="00CA687B"/>
    <w:rsid w:val="00CA68C1"/>
    <w:rsid w:val="00CA6907"/>
    <w:rsid w:val="00CA6916"/>
    <w:rsid w:val="00CA6919"/>
    <w:rsid w:val="00CA6920"/>
    <w:rsid w:val="00CA696F"/>
    <w:rsid w:val="00CA699B"/>
    <w:rsid w:val="00CA69C4"/>
    <w:rsid w:val="00CA6A4B"/>
    <w:rsid w:val="00CA6AB0"/>
    <w:rsid w:val="00CA6AB4"/>
    <w:rsid w:val="00CA6B2D"/>
    <w:rsid w:val="00CA6B34"/>
    <w:rsid w:val="00CA6B45"/>
    <w:rsid w:val="00CA6B6B"/>
    <w:rsid w:val="00CA6BCF"/>
    <w:rsid w:val="00CA6BF0"/>
    <w:rsid w:val="00CA6C26"/>
    <w:rsid w:val="00CA6C49"/>
    <w:rsid w:val="00CA6CC3"/>
    <w:rsid w:val="00CA6D87"/>
    <w:rsid w:val="00CA6DA1"/>
    <w:rsid w:val="00CA6DB9"/>
    <w:rsid w:val="00CA6E08"/>
    <w:rsid w:val="00CA6EAD"/>
    <w:rsid w:val="00CA6F4C"/>
    <w:rsid w:val="00CA6F7D"/>
    <w:rsid w:val="00CA7002"/>
    <w:rsid w:val="00CA709A"/>
    <w:rsid w:val="00CA7121"/>
    <w:rsid w:val="00CA7140"/>
    <w:rsid w:val="00CA7153"/>
    <w:rsid w:val="00CA71C9"/>
    <w:rsid w:val="00CA71CC"/>
    <w:rsid w:val="00CA720F"/>
    <w:rsid w:val="00CA7285"/>
    <w:rsid w:val="00CA7286"/>
    <w:rsid w:val="00CA7311"/>
    <w:rsid w:val="00CA7327"/>
    <w:rsid w:val="00CA7357"/>
    <w:rsid w:val="00CA7378"/>
    <w:rsid w:val="00CA7403"/>
    <w:rsid w:val="00CA7405"/>
    <w:rsid w:val="00CA7444"/>
    <w:rsid w:val="00CA74AD"/>
    <w:rsid w:val="00CA74F5"/>
    <w:rsid w:val="00CA7548"/>
    <w:rsid w:val="00CA754E"/>
    <w:rsid w:val="00CA758D"/>
    <w:rsid w:val="00CA75D8"/>
    <w:rsid w:val="00CA760C"/>
    <w:rsid w:val="00CA7659"/>
    <w:rsid w:val="00CA76A8"/>
    <w:rsid w:val="00CA771D"/>
    <w:rsid w:val="00CA7725"/>
    <w:rsid w:val="00CA778B"/>
    <w:rsid w:val="00CA778E"/>
    <w:rsid w:val="00CA77A0"/>
    <w:rsid w:val="00CA77F0"/>
    <w:rsid w:val="00CA7816"/>
    <w:rsid w:val="00CA782E"/>
    <w:rsid w:val="00CA786C"/>
    <w:rsid w:val="00CA78B6"/>
    <w:rsid w:val="00CA78BC"/>
    <w:rsid w:val="00CA7918"/>
    <w:rsid w:val="00CA7980"/>
    <w:rsid w:val="00CA79C5"/>
    <w:rsid w:val="00CA79D3"/>
    <w:rsid w:val="00CA79E7"/>
    <w:rsid w:val="00CA7A0C"/>
    <w:rsid w:val="00CA7A3B"/>
    <w:rsid w:val="00CA7A3E"/>
    <w:rsid w:val="00CA7A44"/>
    <w:rsid w:val="00CA7A60"/>
    <w:rsid w:val="00CA7A72"/>
    <w:rsid w:val="00CA7A8E"/>
    <w:rsid w:val="00CA7AC1"/>
    <w:rsid w:val="00CA7B14"/>
    <w:rsid w:val="00CA7B7A"/>
    <w:rsid w:val="00CA7C33"/>
    <w:rsid w:val="00CA7C72"/>
    <w:rsid w:val="00CA7CE5"/>
    <w:rsid w:val="00CA7D0C"/>
    <w:rsid w:val="00CA7D33"/>
    <w:rsid w:val="00CA7D3C"/>
    <w:rsid w:val="00CA7DA0"/>
    <w:rsid w:val="00CA7DC1"/>
    <w:rsid w:val="00CA7DD4"/>
    <w:rsid w:val="00CA7E98"/>
    <w:rsid w:val="00CA7F49"/>
    <w:rsid w:val="00CA7FBC"/>
    <w:rsid w:val="00CA8C6B"/>
    <w:rsid w:val="00CB0044"/>
    <w:rsid w:val="00CB00AF"/>
    <w:rsid w:val="00CB00FB"/>
    <w:rsid w:val="00CB0148"/>
    <w:rsid w:val="00CB01BF"/>
    <w:rsid w:val="00CB01EF"/>
    <w:rsid w:val="00CB020D"/>
    <w:rsid w:val="00CB0225"/>
    <w:rsid w:val="00CB02AD"/>
    <w:rsid w:val="00CB02C0"/>
    <w:rsid w:val="00CB030E"/>
    <w:rsid w:val="00CB035C"/>
    <w:rsid w:val="00CB038F"/>
    <w:rsid w:val="00CB03C9"/>
    <w:rsid w:val="00CB0411"/>
    <w:rsid w:val="00CB0435"/>
    <w:rsid w:val="00CB047F"/>
    <w:rsid w:val="00CB0493"/>
    <w:rsid w:val="00CB0494"/>
    <w:rsid w:val="00CB050E"/>
    <w:rsid w:val="00CB0611"/>
    <w:rsid w:val="00CB0616"/>
    <w:rsid w:val="00CB061E"/>
    <w:rsid w:val="00CB0687"/>
    <w:rsid w:val="00CB06D9"/>
    <w:rsid w:val="00CB06EF"/>
    <w:rsid w:val="00CB0764"/>
    <w:rsid w:val="00CB07BE"/>
    <w:rsid w:val="00CB07FF"/>
    <w:rsid w:val="00CB080D"/>
    <w:rsid w:val="00CB0828"/>
    <w:rsid w:val="00CB08AB"/>
    <w:rsid w:val="00CB0903"/>
    <w:rsid w:val="00CB0A09"/>
    <w:rsid w:val="00CB0A9A"/>
    <w:rsid w:val="00CB0B64"/>
    <w:rsid w:val="00CB0B8C"/>
    <w:rsid w:val="00CB0BA3"/>
    <w:rsid w:val="00CB0BCF"/>
    <w:rsid w:val="00CB0C05"/>
    <w:rsid w:val="00CB0C0D"/>
    <w:rsid w:val="00CB0C57"/>
    <w:rsid w:val="00CB0C64"/>
    <w:rsid w:val="00CB0C76"/>
    <w:rsid w:val="00CB0CB2"/>
    <w:rsid w:val="00CB0CC0"/>
    <w:rsid w:val="00CB0CE7"/>
    <w:rsid w:val="00CB0CF5"/>
    <w:rsid w:val="00CB0D26"/>
    <w:rsid w:val="00CB0D45"/>
    <w:rsid w:val="00CB0D88"/>
    <w:rsid w:val="00CB0DA2"/>
    <w:rsid w:val="00CB0DE1"/>
    <w:rsid w:val="00CB0DE6"/>
    <w:rsid w:val="00CB0E10"/>
    <w:rsid w:val="00CB0E25"/>
    <w:rsid w:val="00CB0EC9"/>
    <w:rsid w:val="00CB0ED8"/>
    <w:rsid w:val="00CB0EE6"/>
    <w:rsid w:val="00CB0F0C"/>
    <w:rsid w:val="00CB1020"/>
    <w:rsid w:val="00CB106A"/>
    <w:rsid w:val="00CB10E0"/>
    <w:rsid w:val="00CB10E2"/>
    <w:rsid w:val="00CB1134"/>
    <w:rsid w:val="00CB115D"/>
    <w:rsid w:val="00CB118D"/>
    <w:rsid w:val="00CB11EB"/>
    <w:rsid w:val="00CB1200"/>
    <w:rsid w:val="00CB1214"/>
    <w:rsid w:val="00CB1233"/>
    <w:rsid w:val="00CB1259"/>
    <w:rsid w:val="00CB12BD"/>
    <w:rsid w:val="00CB12D5"/>
    <w:rsid w:val="00CB13A5"/>
    <w:rsid w:val="00CB13A9"/>
    <w:rsid w:val="00CB146C"/>
    <w:rsid w:val="00CB1488"/>
    <w:rsid w:val="00CB1495"/>
    <w:rsid w:val="00CB14AA"/>
    <w:rsid w:val="00CB14B2"/>
    <w:rsid w:val="00CB14C3"/>
    <w:rsid w:val="00CB14E5"/>
    <w:rsid w:val="00CB1546"/>
    <w:rsid w:val="00CB1582"/>
    <w:rsid w:val="00CB164F"/>
    <w:rsid w:val="00CB166C"/>
    <w:rsid w:val="00CB16B7"/>
    <w:rsid w:val="00CB16E8"/>
    <w:rsid w:val="00CB1728"/>
    <w:rsid w:val="00CB17F7"/>
    <w:rsid w:val="00CB181B"/>
    <w:rsid w:val="00CB183D"/>
    <w:rsid w:val="00CB18DD"/>
    <w:rsid w:val="00CB1901"/>
    <w:rsid w:val="00CB1971"/>
    <w:rsid w:val="00CB19AD"/>
    <w:rsid w:val="00CB19CC"/>
    <w:rsid w:val="00CB19E4"/>
    <w:rsid w:val="00CB1A04"/>
    <w:rsid w:val="00CB1A6E"/>
    <w:rsid w:val="00CB1AB8"/>
    <w:rsid w:val="00CB1B72"/>
    <w:rsid w:val="00CB1BC8"/>
    <w:rsid w:val="00CB1C80"/>
    <w:rsid w:val="00CB1C8E"/>
    <w:rsid w:val="00CB1C90"/>
    <w:rsid w:val="00CB1D27"/>
    <w:rsid w:val="00CB1D32"/>
    <w:rsid w:val="00CB1DB6"/>
    <w:rsid w:val="00CB1DF0"/>
    <w:rsid w:val="00CB1E8D"/>
    <w:rsid w:val="00CB1E94"/>
    <w:rsid w:val="00CB1EA6"/>
    <w:rsid w:val="00CB1EA7"/>
    <w:rsid w:val="00CB1F74"/>
    <w:rsid w:val="00CB1F81"/>
    <w:rsid w:val="00CB1FA1"/>
    <w:rsid w:val="00CB1FA9"/>
    <w:rsid w:val="00CB209E"/>
    <w:rsid w:val="00CB20B3"/>
    <w:rsid w:val="00CB211C"/>
    <w:rsid w:val="00CB212B"/>
    <w:rsid w:val="00CB2137"/>
    <w:rsid w:val="00CB216A"/>
    <w:rsid w:val="00CB2263"/>
    <w:rsid w:val="00CB2276"/>
    <w:rsid w:val="00CB229A"/>
    <w:rsid w:val="00CB22A9"/>
    <w:rsid w:val="00CB22BB"/>
    <w:rsid w:val="00CB22DC"/>
    <w:rsid w:val="00CB22E8"/>
    <w:rsid w:val="00CB22F2"/>
    <w:rsid w:val="00CB2337"/>
    <w:rsid w:val="00CB2356"/>
    <w:rsid w:val="00CB23BF"/>
    <w:rsid w:val="00CB2414"/>
    <w:rsid w:val="00CB2416"/>
    <w:rsid w:val="00CB2420"/>
    <w:rsid w:val="00CB2450"/>
    <w:rsid w:val="00CB24B6"/>
    <w:rsid w:val="00CB24BA"/>
    <w:rsid w:val="00CB24BC"/>
    <w:rsid w:val="00CB24D6"/>
    <w:rsid w:val="00CB24EB"/>
    <w:rsid w:val="00CB2563"/>
    <w:rsid w:val="00CB2566"/>
    <w:rsid w:val="00CB256B"/>
    <w:rsid w:val="00CB2572"/>
    <w:rsid w:val="00CB258E"/>
    <w:rsid w:val="00CB2637"/>
    <w:rsid w:val="00CB2671"/>
    <w:rsid w:val="00CB268C"/>
    <w:rsid w:val="00CB2699"/>
    <w:rsid w:val="00CB269D"/>
    <w:rsid w:val="00CB26B2"/>
    <w:rsid w:val="00CB26B8"/>
    <w:rsid w:val="00CB26C6"/>
    <w:rsid w:val="00CB2737"/>
    <w:rsid w:val="00CB2754"/>
    <w:rsid w:val="00CB27BF"/>
    <w:rsid w:val="00CB27DA"/>
    <w:rsid w:val="00CB2802"/>
    <w:rsid w:val="00CB2851"/>
    <w:rsid w:val="00CB28CB"/>
    <w:rsid w:val="00CB28CF"/>
    <w:rsid w:val="00CB28E3"/>
    <w:rsid w:val="00CB28E8"/>
    <w:rsid w:val="00CB2906"/>
    <w:rsid w:val="00CB2914"/>
    <w:rsid w:val="00CB2917"/>
    <w:rsid w:val="00CB2936"/>
    <w:rsid w:val="00CB296F"/>
    <w:rsid w:val="00CB29D5"/>
    <w:rsid w:val="00CB2A07"/>
    <w:rsid w:val="00CB2A1E"/>
    <w:rsid w:val="00CB2A2F"/>
    <w:rsid w:val="00CB2A47"/>
    <w:rsid w:val="00CB2AA0"/>
    <w:rsid w:val="00CB2ABB"/>
    <w:rsid w:val="00CB2ACE"/>
    <w:rsid w:val="00CB2B56"/>
    <w:rsid w:val="00CB2B5B"/>
    <w:rsid w:val="00CB2B9A"/>
    <w:rsid w:val="00CB2BB8"/>
    <w:rsid w:val="00CB2BDF"/>
    <w:rsid w:val="00CB2C18"/>
    <w:rsid w:val="00CB2C22"/>
    <w:rsid w:val="00CB2C2C"/>
    <w:rsid w:val="00CB2C8F"/>
    <w:rsid w:val="00CB2CE7"/>
    <w:rsid w:val="00CB2D0B"/>
    <w:rsid w:val="00CB2D11"/>
    <w:rsid w:val="00CB2D74"/>
    <w:rsid w:val="00CB2D8B"/>
    <w:rsid w:val="00CB2DAD"/>
    <w:rsid w:val="00CB2DFD"/>
    <w:rsid w:val="00CB2E07"/>
    <w:rsid w:val="00CB2E2B"/>
    <w:rsid w:val="00CB2E4A"/>
    <w:rsid w:val="00CB2E4D"/>
    <w:rsid w:val="00CB2F39"/>
    <w:rsid w:val="00CB2FB6"/>
    <w:rsid w:val="00CB2FFC"/>
    <w:rsid w:val="00CB303A"/>
    <w:rsid w:val="00CB3043"/>
    <w:rsid w:val="00CB3052"/>
    <w:rsid w:val="00CB30F2"/>
    <w:rsid w:val="00CB3118"/>
    <w:rsid w:val="00CB31C6"/>
    <w:rsid w:val="00CB31DB"/>
    <w:rsid w:val="00CB32AA"/>
    <w:rsid w:val="00CB3312"/>
    <w:rsid w:val="00CB3351"/>
    <w:rsid w:val="00CB33BF"/>
    <w:rsid w:val="00CB33D6"/>
    <w:rsid w:val="00CB344F"/>
    <w:rsid w:val="00CB3451"/>
    <w:rsid w:val="00CB34AF"/>
    <w:rsid w:val="00CB350F"/>
    <w:rsid w:val="00CB358C"/>
    <w:rsid w:val="00CB35A2"/>
    <w:rsid w:val="00CB35A8"/>
    <w:rsid w:val="00CB3624"/>
    <w:rsid w:val="00CB3694"/>
    <w:rsid w:val="00CB36A0"/>
    <w:rsid w:val="00CB36BA"/>
    <w:rsid w:val="00CB36EC"/>
    <w:rsid w:val="00CB370A"/>
    <w:rsid w:val="00CB3756"/>
    <w:rsid w:val="00CB3772"/>
    <w:rsid w:val="00CB382A"/>
    <w:rsid w:val="00CB384A"/>
    <w:rsid w:val="00CB388D"/>
    <w:rsid w:val="00CB3896"/>
    <w:rsid w:val="00CB38AA"/>
    <w:rsid w:val="00CB38F3"/>
    <w:rsid w:val="00CB3918"/>
    <w:rsid w:val="00CB3934"/>
    <w:rsid w:val="00CB396B"/>
    <w:rsid w:val="00CB39CD"/>
    <w:rsid w:val="00CB3A18"/>
    <w:rsid w:val="00CB3A9F"/>
    <w:rsid w:val="00CB3ABC"/>
    <w:rsid w:val="00CB3AEF"/>
    <w:rsid w:val="00CB3B99"/>
    <w:rsid w:val="00CB3C06"/>
    <w:rsid w:val="00CB3CA0"/>
    <w:rsid w:val="00CB3CD9"/>
    <w:rsid w:val="00CB3D3B"/>
    <w:rsid w:val="00CB3D91"/>
    <w:rsid w:val="00CB3DA8"/>
    <w:rsid w:val="00CB3E6D"/>
    <w:rsid w:val="00CB3ED2"/>
    <w:rsid w:val="00CB3F01"/>
    <w:rsid w:val="00CB3F05"/>
    <w:rsid w:val="00CB3F3A"/>
    <w:rsid w:val="00CB3F76"/>
    <w:rsid w:val="00CB3FE4"/>
    <w:rsid w:val="00CB4043"/>
    <w:rsid w:val="00CB405C"/>
    <w:rsid w:val="00CB4067"/>
    <w:rsid w:val="00CB4086"/>
    <w:rsid w:val="00CB4126"/>
    <w:rsid w:val="00CB4179"/>
    <w:rsid w:val="00CB41D7"/>
    <w:rsid w:val="00CB423A"/>
    <w:rsid w:val="00CB4268"/>
    <w:rsid w:val="00CB42B3"/>
    <w:rsid w:val="00CB4318"/>
    <w:rsid w:val="00CB439D"/>
    <w:rsid w:val="00CB43D2"/>
    <w:rsid w:val="00CB43D3"/>
    <w:rsid w:val="00CB43FB"/>
    <w:rsid w:val="00CB44B3"/>
    <w:rsid w:val="00CB44C5"/>
    <w:rsid w:val="00CB451A"/>
    <w:rsid w:val="00CB45A6"/>
    <w:rsid w:val="00CB45DE"/>
    <w:rsid w:val="00CB45DF"/>
    <w:rsid w:val="00CB4643"/>
    <w:rsid w:val="00CB4657"/>
    <w:rsid w:val="00CB4681"/>
    <w:rsid w:val="00CB4692"/>
    <w:rsid w:val="00CB4704"/>
    <w:rsid w:val="00CB4747"/>
    <w:rsid w:val="00CB479B"/>
    <w:rsid w:val="00CB47B5"/>
    <w:rsid w:val="00CB47FC"/>
    <w:rsid w:val="00CB4893"/>
    <w:rsid w:val="00CB48F6"/>
    <w:rsid w:val="00CB4930"/>
    <w:rsid w:val="00CB49B3"/>
    <w:rsid w:val="00CB4A4D"/>
    <w:rsid w:val="00CB4AC8"/>
    <w:rsid w:val="00CB4B1F"/>
    <w:rsid w:val="00CB4C44"/>
    <w:rsid w:val="00CB4D81"/>
    <w:rsid w:val="00CB4E58"/>
    <w:rsid w:val="00CB4E62"/>
    <w:rsid w:val="00CB4EAE"/>
    <w:rsid w:val="00CB4F0A"/>
    <w:rsid w:val="00CB4F69"/>
    <w:rsid w:val="00CB4F6B"/>
    <w:rsid w:val="00CB4F8E"/>
    <w:rsid w:val="00CB505F"/>
    <w:rsid w:val="00CB508C"/>
    <w:rsid w:val="00CB50D8"/>
    <w:rsid w:val="00CB5148"/>
    <w:rsid w:val="00CB51A0"/>
    <w:rsid w:val="00CB51C9"/>
    <w:rsid w:val="00CB51E2"/>
    <w:rsid w:val="00CB51F3"/>
    <w:rsid w:val="00CB5211"/>
    <w:rsid w:val="00CB522E"/>
    <w:rsid w:val="00CB52EC"/>
    <w:rsid w:val="00CB52ED"/>
    <w:rsid w:val="00CB53CD"/>
    <w:rsid w:val="00CB53D1"/>
    <w:rsid w:val="00CB5495"/>
    <w:rsid w:val="00CB54AD"/>
    <w:rsid w:val="00CB54CA"/>
    <w:rsid w:val="00CB54D6"/>
    <w:rsid w:val="00CB552E"/>
    <w:rsid w:val="00CB556B"/>
    <w:rsid w:val="00CB556E"/>
    <w:rsid w:val="00CB5572"/>
    <w:rsid w:val="00CB559E"/>
    <w:rsid w:val="00CB55F7"/>
    <w:rsid w:val="00CB56A3"/>
    <w:rsid w:val="00CB56B9"/>
    <w:rsid w:val="00CB56D3"/>
    <w:rsid w:val="00CB56EC"/>
    <w:rsid w:val="00CB56F8"/>
    <w:rsid w:val="00CB5778"/>
    <w:rsid w:val="00CB57AE"/>
    <w:rsid w:val="00CB57BD"/>
    <w:rsid w:val="00CB57C8"/>
    <w:rsid w:val="00CB5862"/>
    <w:rsid w:val="00CB586A"/>
    <w:rsid w:val="00CB5871"/>
    <w:rsid w:val="00CB5946"/>
    <w:rsid w:val="00CB59F7"/>
    <w:rsid w:val="00CB5A1C"/>
    <w:rsid w:val="00CB5A48"/>
    <w:rsid w:val="00CB5ACD"/>
    <w:rsid w:val="00CB5AEB"/>
    <w:rsid w:val="00CB5B1B"/>
    <w:rsid w:val="00CB5B7C"/>
    <w:rsid w:val="00CB5B8D"/>
    <w:rsid w:val="00CB5C13"/>
    <w:rsid w:val="00CB5C2F"/>
    <w:rsid w:val="00CB5C3E"/>
    <w:rsid w:val="00CB5C8A"/>
    <w:rsid w:val="00CB5CF7"/>
    <w:rsid w:val="00CB5D17"/>
    <w:rsid w:val="00CB5DAF"/>
    <w:rsid w:val="00CB5DCE"/>
    <w:rsid w:val="00CB5E0D"/>
    <w:rsid w:val="00CB5E3A"/>
    <w:rsid w:val="00CB5E56"/>
    <w:rsid w:val="00CB5EB3"/>
    <w:rsid w:val="00CB5F61"/>
    <w:rsid w:val="00CB5F76"/>
    <w:rsid w:val="00CB5F82"/>
    <w:rsid w:val="00CB5FC5"/>
    <w:rsid w:val="00CB6012"/>
    <w:rsid w:val="00CB6052"/>
    <w:rsid w:val="00CB60AE"/>
    <w:rsid w:val="00CB60B1"/>
    <w:rsid w:val="00CB60BB"/>
    <w:rsid w:val="00CB60E3"/>
    <w:rsid w:val="00CB611A"/>
    <w:rsid w:val="00CB6147"/>
    <w:rsid w:val="00CB61B7"/>
    <w:rsid w:val="00CB6208"/>
    <w:rsid w:val="00CB6210"/>
    <w:rsid w:val="00CB6236"/>
    <w:rsid w:val="00CB6277"/>
    <w:rsid w:val="00CB627D"/>
    <w:rsid w:val="00CB62D4"/>
    <w:rsid w:val="00CB6354"/>
    <w:rsid w:val="00CB63A6"/>
    <w:rsid w:val="00CB63CA"/>
    <w:rsid w:val="00CB642F"/>
    <w:rsid w:val="00CB6496"/>
    <w:rsid w:val="00CB64CC"/>
    <w:rsid w:val="00CB64F2"/>
    <w:rsid w:val="00CB652B"/>
    <w:rsid w:val="00CB6546"/>
    <w:rsid w:val="00CB6587"/>
    <w:rsid w:val="00CB65B6"/>
    <w:rsid w:val="00CB65CB"/>
    <w:rsid w:val="00CB65F0"/>
    <w:rsid w:val="00CB660F"/>
    <w:rsid w:val="00CB664B"/>
    <w:rsid w:val="00CB6674"/>
    <w:rsid w:val="00CB66B7"/>
    <w:rsid w:val="00CB66CA"/>
    <w:rsid w:val="00CB66CC"/>
    <w:rsid w:val="00CB6701"/>
    <w:rsid w:val="00CB678A"/>
    <w:rsid w:val="00CB67D1"/>
    <w:rsid w:val="00CB6826"/>
    <w:rsid w:val="00CB684D"/>
    <w:rsid w:val="00CB6851"/>
    <w:rsid w:val="00CB68DD"/>
    <w:rsid w:val="00CB692B"/>
    <w:rsid w:val="00CB692C"/>
    <w:rsid w:val="00CB69C5"/>
    <w:rsid w:val="00CB69E4"/>
    <w:rsid w:val="00CB6A39"/>
    <w:rsid w:val="00CB6AB5"/>
    <w:rsid w:val="00CB6B61"/>
    <w:rsid w:val="00CB6BF3"/>
    <w:rsid w:val="00CB6BF7"/>
    <w:rsid w:val="00CB6C16"/>
    <w:rsid w:val="00CB6C2A"/>
    <w:rsid w:val="00CB6C54"/>
    <w:rsid w:val="00CB6C85"/>
    <w:rsid w:val="00CB6CF7"/>
    <w:rsid w:val="00CB6D09"/>
    <w:rsid w:val="00CB6DDF"/>
    <w:rsid w:val="00CB6DEA"/>
    <w:rsid w:val="00CB6E3D"/>
    <w:rsid w:val="00CB6F10"/>
    <w:rsid w:val="00CB6F28"/>
    <w:rsid w:val="00CB6F57"/>
    <w:rsid w:val="00CB6F6B"/>
    <w:rsid w:val="00CB6F81"/>
    <w:rsid w:val="00CB6F84"/>
    <w:rsid w:val="00CB6F95"/>
    <w:rsid w:val="00CB6FBF"/>
    <w:rsid w:val="00CB6FC3"/>
    <w:rsid w:val="00CB6FCD"/>
    <w:rsid w:val="00CB6FEA"/>
    <w:rsid w:val="00CB7023"/>
    <w:rsid w:val="00CB70BB"/>
    <w:rsid w:val="00CB70C6"/>
    <w:rsid w:val="00CB70DF"/>
    <w:rsid w:val="00CB70FA"/>
    <w:rsid w:val="00CB718C"/>
    <w:rsid w:val="00CB71B6"/>
    <w:rsid w:val="00CB72BA"/>
    <w:rsid w:val="00CB72C2"/>
    <w:rsid w:val="00CB7308"/>
    <w:rsid w:val="00CB7344"/>
    <w:rsid w:val="00CB736E"/>
    <w:rsid w:val="00CB7372"/>
    <w:rsid w:val="00CB73B5"/>
    <w:rsid w:val="00CB73D8"/>
    <w:rsid w:val="00CB7402"/>
    <w:rsid w:val="00CB7477"/>
    <w:rsid w:val="00CB74DB"/>
    <w:rsid w:val="00CB7517"/>
    <w:rsid w:val="00CB7543"/>
    <w:rsid w:val="00CB759D"/>
    <w:rsid w:val="00CB75C9"/>
    <w:rsid w:val="00CB75F1"/>
    <w:rsid w:val="00CB75FB"/>
    <w:rsid w:val="00CB7622"/>
    <w:rsid w:val="00CB7650"/>
    <w:rsid w:val="00CB76A0"/>
    <w:rsid w:val="00CB76CD"/>
    <w:rsid w:val="00CB76F4"/>
    <w:rsid w:val="00CB7754"/>
    <w:rsid w:val="00CB775A"/>
    <w:rsid w:val="00CB7765"/>
    <w:rsid w:val="00CB7835"/>
    <w:rsid w:val="00CB7857"/>
    <w:rsid w:val="00CB7871"/>
    <w:rsid w:val="00CB78C1"/>
    <w:rsid w:val="00CB78C8"/>
    <w:rsid w:val="00CB79B2"/>
    <w:rsid w:val="00CB79B4"/>
    <w:rsid w:val="00CB79DB"/>
    <w:rsid w:val="00CB79DD"/>
    <w:rsid w:val="00CB79EC"/>
    <w:rsid w:val="00CB79F5"/>
    <w:rsid w:val="00CB7A28"/>
    <w:rsid w:val="00CB7A56"/>
    <w:rsid w:val="00CB7A61"/>
    <w:rsid w:val="00CB7AB0"/>
    <w:rsid w:val="00CB7AB3"/>
    <w:rsid w:val="00CB7B19"/>
    <w:rsid w:val="00CB7B28"/>
    <w:rsid w:val="00CB7B48"/>
    <w:rsid w:val="00CB7B6B"/>
    <w:rsid w:val="00CB7B76"/>
    <w:rsid w:val="00CB7BFC"/>
    <w:rsid w:val="00CB7C05"/>
    <w:rsid w:val="00CB7CAA"/>
    <w:rsid w:val="00CB7CB2"/>
    <w:rsid w:val="00CB7CB9"/>
    <w:rsid w:val="00CB7D4B"/>
    <w:rsid w:val="00CB7DA6"/>
    <w:rsid w:val="00CB7DF0"/>
    <w:rsid w:val="00CB7E09"/>
    <w:rsid w:val="00CB7E20"/>
    <w:rsid w:val="00CB7E32"/>
    <w:rsid w:val="00CB7E91"/>
    <w:rsid w:val="00CB7F60"/>
    <w:rsid w:val="00CB7F87"/>
    <w:rsid w:val="00CB7F90"/>
    <w:rsid w:val="00CB7FB5"/>
    <w:rsid w:val="00CC006B"/>
    <w:rsid w:val="00CC009A"/>
    <w:rsid w:val="00CC00B5"/>
    <w:rsid w:val="00CC0105"/>
    <w:rsid w:val="00CC0116"/>
    <w:rsid w:val="00CC015B"/>
    <w:rsid w:val="00CC0180"/>
    <w:rsid w:val="00CC019D"/>
    <w:rsid w:val="00CC01D1"/>
    <w:rsid w:val="00CC021A"/>
    <w:rsid w:val="00CC0257"/>
    <w:rsid w:val="00CC02AE"/>
    <w:rsid w:val="00CC02B8"/>
    <w:rsid w:val="00CC0321"/>
    <w:rsid w:val="00CC0390"/>
    <w:rsid w:val="00CC047B"/>
    <w:rsid w:val="00CC047D"/>
    <w:rsid w:val="00CC0485"/>
    <w:rsid w:val="00CC04B4"/>
    <w:rsid w:val="00CC04B9"/>
    <w:rsid w:val="00CC052B"/>
    <w:rsid w:val="00CC0544"/>
    <w:rsid w:val="00CC0645"/>
    <w:rsid w:val="00CC06DA"/>
    <w:rsid w:val="00CC06E6"/>
    <w:rsid w:val="00CC06FB"/>
    <w:rsid w:val="00CC079F"/>
    <w:rsid w:val="00CC07D2"/>
    <w:rsid w:val="00CC07F4"/>
    <w:rsid w:val="00CC0823"/>
    <w:rsid w:val="00CC0845"/>
    <w:rsid w:val="00CC0879"/>
    <w:rsid w:val="00CC08FA"/>
    <w:rsid w:val="00CC0945"/>
    <w:rsid w:val="00CC09CF"/>
    <w:rsid w:val="00CC09FA"/>
    <w:rsid w:val="00CC0A5E"/>
    <w:rsid w:val="00CC0A65"/>
    <w:rsid w:val="00CC0A9E"/>
    <w:rsid w:val="00CC0B40"/>
    <w:rsid w:val="00CC0B49"/>
    <w:rsid w:val="00CC0BDF"/>
    <w:rsid w:val="00CC0BFC"/>
    <w:rsid w:val="00CC0C2C"/>
    <w:rsid w:val="00CC0C37"/>
    <w:rsid w:val="00CC0C9B"/>
    <w:rsid w:val="00CC0CB8"/>
    <w:rsid w:val="00CC0CBC"/>
    <w:rsid w:val="00CC0D6E"/>
    <w:rsid w:val="00CC0DDB"/>
    <w:rsid w:val="00CC0E8F"/>
    <w:rsid w:val="00CC0EF4"/>
    <w:rsid w:val="00CC0F29"/>
    <w:rsid w:val="00CC0FB4"/>
    <w:rsid w:val="00CC0FE2"/>
    <w:rsid w:val="00CC0FEB"/>
    <w:rsid w:val="00CC1004"/>
    <w:rsid w:val="00CC1026"/>
    <w:rsid w:val="00CC10EB"/>
    <w:rsid w:val="00CC111E"/>
    <w:rsid w:val="00CC115E"/>
    <w:rsid w:val="00CC11DA"/>
    <w:rsid w:val="00CC11EC"/>
    <w:rsid w:val="00CC1202"/>
    <w:rsid w:val="00CC1253"/>
    <w:rsid w:val="00CC12B3"/>
    <w:rsid w:val="00CC131B"/>
    <w:rsid w:val="00CC1369"/>
    <w:rsid w:val="00CC1374"/>
    <w:rsid w:val="00CC13EA"/>
    <w:rsid w:val="00CC14F3"/>
    <w:rsid w:val="00CC1508"/>
    <w:rsid w:val="00CC1596"/>
    <w:rsid w:val="00CC16A7"/>
    <w:rsid w:val="00CC16D2"/>
    <w:rsid w:val="00CC16FD"/>
    <w:rsid w:val="00CC175E"/>
    <w:rsid w:val="00CC178D"/>
    <w:rsid w:val="00CC17A4"/>
    <w:rsid w:val="00CC1828"/>
    <w:rsid w:val="00CC1830"/>
    <w:rsid w:val="00CC1872"/>
    <w:rsid w:val="00CC18C6"/>
    <w:rsid w:val="00CC1926"/>
    <w:rsid w:val="00CC1998"/>
    <w:rsid w:val="00CC19E0"/>
    <w:rsid w:val="00CC1A2F"/>
    <w:rsid w:val="00CC1A91"/>
    <w:rsid w:val="00CC1AB2"/>
    <w:rsid w:val="00CC1ABC"/>
    <w:rsid w:val="00CC1ACF"/>
    <w:rsid w:val="00CC1B44"/>
    <w:rsid w:val="00CC1B4D"/>
    <w:rsid w:val="00CC1B7D"/>
    <w:rsid w:val="00CC1BB1"/>
    <w:rsid w:val="00CC1BD3"/>
    <w:rsid w:val="00CC1BE7"/>
    <w:rsid w:val="00CC1BF8"/>
    <w:rsid w:val="00CC1BFB"/>
    <w:rsid w:val="00CC1BFC"/>
    <w:rsid w:val="00CC1CD9"/>
    <w:rsid w:val="00CC1CEC"/>
    <w:rsid w:val="00CC1D0E"/>
    <w:rsid w:val="00CC1D1F"/>
    <w:rsid w:val="00CC1D51"/>
    <w:rsid w:val="00CC1DA4"/>
    <w:rsid w:val="00CC1DBA"/>
    <w:rsid w:val="00CC1DC8"/>
    <w:rsid w:val="00CC1E45"/>
    <w:rsid w:val="00CC1E54"/>
    <w:rsid w:val="00CC1EF0"/>
    <w:rsid w:val="00CC1EF9"/>
    <w:rsid w:val="00CC1F26"/>
    <w:rsid w:val="00CC1F36"/>
    <w:rsid w:val="00CC1F7E"/>
    <w:rsid w:val="00CC1FC0"/>
    <w:rsid w:val="00CC1FF9"/>
    <w:rsid w:val="00CC203D"/>
    <w:rsid w:val="00CC206E"/>
    <w:rsid w:val="00CC20FC"/>
    <w:rsid w:val="00CC2108"/>
    <w:rsid w:val="00CC2134"/>
    <w:rsid w:val="00CC2144"/>
    <w:rsid w:val="00CC215E"/>
    <w:rsid w:val="00CC2180"/>
    <w:rsid w:val="00CC2191"/>
    <w:rsid w:val="00CC21BD"/>
    <w:rsid w:val="00CC2221"/>
    <w:rsid w:val="00CC2223"/>
    <w:rsid w:val="00CC2257"/>
    <w:rsid w:val="00CC2260"/>
    <w:rsid w:val="00CC22C7"/>
    <w:rsid w:val="00CC22D5"/>
    <w:rsid w:val="00CC236E"/>
    <w:rsid w:val="00CC23CC"/>
    <w:rsid w:val="00CC23EE"/>
    <w:rsid w:val="00CC2457"/>
    <w:rsid w:val="00CC253A"/>
    <w:rsid w:val="00CC2559"/>
    <w:rsid w:val="00CC2567"/>
    <w:rsid w:val="00CC256E"/>
    <w:rsid w:val="00CC2580"/>
    <w:rsid w:val="00CC2598"/>
    <w:rsid w:val="00CC25A1"/>
    <w:rsid w:val="00CC25C6"/>
    <w:rsid w:val="00CC2639"/>
    <w:rsid w:val="00CC2651"/>
    <w:rsid w:val="00CC26C1"/>
    <w:rsid w:val="00CC2780"/>
    <w:rsid w:val="00CC27A2"/>
    <w:rsid w:val="00CC27DF"/>
    <w:rsid w:val="00CC2838"/>
    <w:rsid w:val="00CC289E"/>
    <w:rsid w:val="00CC2902"/>
    <w:rsid w:val="00CC2939"/>
    <w:rsid w:val="00CC29B5"/>
    <w:rsid w:val="00CC29CF"/>
    <w:rsid w:val="00CC29E5"/>
    <w:rsid w:val="00CC29FF"/>
    <w:rsid w:val="00CC2A4C"/>
    <w:rsid w:val="00CC2B0E"/>
    <w:rsid w:val="00CC2B53"/>
    <w:rsid w:val="00CC2B64"/>
    <w:rsid w:val="00CC2BDA"/>
    <w:rsid w:val="00CC2C49"/>
    <w:rsid w:val="00CC2C87"/>
    <w:rsid w:val="00CC2CA3"/>
    <w:rsid w:val="00CC2CE0"/>
    <w:rsid w:val="00CC2D08"/>
    <w:rsid w:val="00CC2D96"/>
    <w:rsid w:val="00CC2DAD"/>
    <w:rsid w:val="00CC2E2B"/>
    <w:rsid w:val="00CC2E43"/>
    <w:rsid w:val="00CC2E5A"/>
    <w:rsid w:val="00CC2EB7"/>
    <w:rsid w:val="00CC2F3A"/>
    <w:rsid w:val="00CC2F4E"/>
    <w:rsid w:val="00CC2FA9"/>
    <w:rsid w:val="00CC2FB2"/>
    <w:rsid w:val="00CC3062"/>
    <w:rsid w:val="00CC3086"/>
    <w:rsid w:val="00CC30CD"/>
    <w:rsid w:val="00CC3104"/>
    <w:rsid w:val="00CC3112"/>
    <w:rsid w:val="00CC313B"/>
    <w:rsid w:val="00CC31A5"/>
    <w:rsid w:val="00CC31FF"/>
    <w:rsid w:val="00CC32B5"/>
    <w:rsid w:val="00CC32B8"/>
    <w:rsid w:val="00CC32C9"/>
    <w:rsid w:val="00CC331B"/>
    <w:rsid w:val="00CC337F"/>
    <w:rsid w:val="00CC3380"/>
    <w:rsid w:val="00CC3392"/>
    <w:rsid w:val="00CC34D6"/>
    <w:rsid w:val="00CC34E2"/>
    <w:rsid w:val="00CC353C"/>
    <w:rsid w:val="00CC35C7"/>
    <w:rsid w:val="00CC35CE"/>
    <w:rsid w:val="00CC35D3"/>
    <w:rsid w:val="00CC35FA"/>
    <w:rsid w:val="00CC36F8"/>
    <w:rsid w:val="00CC373F"/>
    <w:rsid w:val="00CC3748"/>
    <w:rsid w:val="00CC37AB"/>
    <w:rsid w:val="00CC37D6"/>
    <w:rsid w:val="00CC37FA"/>
    <w:rsid w:val="00CC384D"/>
    <w:rsid w:val="00CC3851"/>
    <w:rsid w:val="00CC38D9"/>
    <w:rsid w:val="00CC3921"/>
    <w:rsid w:val="00CC394A"/>
    <w:rsid w:val="00CC3953"/>
    <w:rsid w:val="00CC39B9"/>
    <w:rsid w:val="00CC3A51"/>
    <w:rsid w:val="00CC3AAC"/>
    <w:rsid w:val="00CC3AD3"/>
    <w:rsid w:val="00CC3AE4"/>
    <w:rsid w:val="00CC3B27"/>
    <w:rsid w:val="00CC3B5F"/>
    <w:rsid w:val="00CC3B62"/>
    <w:rsid w:val="00CC3B7B"/>
    <w:rsid w:val="00CC3C1E"/>
    <w:rsid w:val="00CC3C2B"/>
    <w:rsid w:val="00CC3C5E"/>
    <w:rsid w:val="00CC3D9F"/>
    <w:rsid w:val="00CC3DAA"/>
    <w:rsid w:val="00CC3E96"/>
    <w:rsid w:val="00CC3EA0"/>
    <w:rsid w:val="00CC3F5E"/>
    <w:rsid w:val="00CC3F60"/>
    <w:rsid w:val="00CC3F75"/>
    <w:rsid w:val="00CC4008"/>
    <w:rsid w:val="00CC4034"/>
    <w:rsid w:val="00CC404E"/>
    <w:rsid w:val="00CC40B2"/>
    <w:rsid w:val="00CC40D4"/>
    <w:rsid w:val="00CC40F3"/>
    <w:rsid w:val="00CC4126"/>
    <w:rsid w:val="00CC415D"/>
    <w:rsid w:val="00CC41E8"/>
    <w:rsid w:val="00CC4278"/>
    <w:rsid w:val="00CC429B"/>
    <w:rsid w:val="00CC42B3"/>
    <w:rsid w:val="00CC42FB"/>
    <w:rsid w:val="00CC438E"/>
    <w:rsid w:val="00CC4394"/>
    <w:rsid w:val="00CC43BB"/>
    <w:rsid w:val="00CC4496"/>
    <w:rsid w:val="00CC44AA"/>
    <w:rsid w:val="00CC44F7"/>
    <w:rsid w:val="00CC4535"/>
    <w:rsid w:val="00CC45CE"/>
    <w:rsid w:val="00CC45D4"/>
    <w:rsid w:val="00CC45DA"/>
    <w:rsid w:val="00CC45F2"/>
    <w:rsid w:val="00CC462F"/>
    <w:rsid w:val="00CC4641"/>
    <w:rsid w:val="00CC46AD"/>
    <w:rsid w:val="00CC4721"/>
    <w:rsid w:val="00CC479D"/>
    <w:rsid w:val="00CC4804"/>
    <w:rsid w:val="00CC481A"/>
    <w:rsid w:val="00CC489C"/>
    <w:rsid w:val="00CC489F"/>
    <w:rsid w:val="00CC48A0"/>
    <w:rsid w:val="00CC48AB"/>
    <w:rsid w:val="00CC4913"/>
    <w:rsid w:val="00CC4939"/>
    <w:rsid w:val="00CC4954"/>
    <w:rsid w:val="00CC4A2A"/>
    <w:rsid w:val="00CC4A47"/>
    <w:rsid w:val="00CC4A7E"/>
    <w:rsid w:val="00CC4AB4"/>
    <w:rsid w:val="00CC4AB7"/>
    <w:rsid w:val="00CC4AE3"/>
    <w:rsid w:val="00CC4AFA"/>
    <w:rsid w:val="00CC4AFF"/>
    <w:rsid w:val="00CC4B69"/>
    <w:rsid w:val="00CC4B7B"/>
    <w:rsid w:val="00CC4B84"/>
    <w:rsid w:val="00CC4BD1"/>
    <w:rsid w:val="00CC4BF5"/>
    <w:rsid w:val="00CC4C12"/>
    <w:rsid w:val="00CC4C14"/>
    <w:rsid w:val="00CC4CB8"/>
    <w:rsid w:val="00CC4CD9"/>
    <w:rsid w:val="00CC4DF4"/>
    <w:rsid w:val="00CC4E29"/>
    <w:rsid w:val="00CC4E63"/>
    <w:rsid w:val="00CC4E6A"/>
    <w:rsid w:val="00CC4E8E"/>
    <w:rsid w:val="00CC4EF5"/>
    <w:rsid w:val="00CC4F20"/>
    <w:rsid w:val="00CC4F4C"/>
    <w:rsid w:val="00CC4F4D"/>
    <w:rsid w:val="00CC4F5D"/>
    <w:rsid w:val="00CC4F73"/>
    <w:rsid w:val="00CC4F8D"/>
    <w:rsid w:val="00CC5006"/>
    <w:rsid w:val="00CC506F"/>
    <w:rsid w:val="00CC509C"/>
    <w:rsid w:val="00CC5189"/>
    <w:rsid w:val="00CC5198"/>
    <w:rsid w:val="00CC51C3"/>
    <w:rsid w:val="00CC520D"/>
    <w:rsid w:val="00CC5279"/>
    <w:rsid w:val="00CC527F"/>
    <w:rsid w:val="00CC52B0"/>
    <w:rsid w:val="00CC52ED"/>
    <w:rsid w:val="00CC52EF"/>
    <w:rsid w:val="00CC5314"/>
    <w:rsid w:val="00CC534E"/>
    <w:rsid w:val="00CC535E"/>
    <w:rsid w:val="00CC5367"/>
    <w:rsid w:val="00CC53F2"/>
    <w:rsid w:val="00CC5409"/>
    <w:rsid w:val="00CC542C"/>
    <w:rsid w:val="00CC5462"/>
    <w:rsid w:val="00CC548D"/>
    <w:rsid w:val="00CC54B6"/>
    <w:rsid w:val="00CC54FB"/>
    <w:rsid w:val="00CC5546"/>
    <w:rsid w:val="00CC5554"/>
    <w:rsid w:val="00CC55B3"/>
    <w:rsid w:val="00CC55D6"/>
    <w:rsid w:val="00CC562E"/>
    <w:rsid w:val="00CC566A"/>
    <w:rsid w:val="00CC5698"/>
    <w:rsid w:val="00CC56D1"/>
    <w:rsid w:val="00CC56DD"/>
    <w:rsid w:val="00CC56E7"/>
    <w:rsid w:val="00CC56FB"/>
    <w:rsid w:val="00CC571C"/>
    <w:rsid w:val="00CC57EE"/>
    <w:rsid w:val="00CC58A7"/>
    <w:rsid w:val="00CC58E0"/>
    <w:rsid w:val="00CC5923"/>
    <w:rsid w:val="00CC5965"/>
    <w:rsid w:val="00CC59AB"/>
    <w:rsid w:val="00CC59B7"/>
    <w:rsid w:val="00CC5A33"/>
    <w:rsid w:val="00CC5B3C"/>
    <w:rsid w:val="00CC5B6C"/>
    <w:rsid w:val="00CC5B6F"/>
    <w:rsid w:val="00CC5BED"/>
    <w:rsid w:val="00CC5BF7"/>
    <w:rsid w:val="00CC5C18"/>
    <w:rsid w:val="00CC5C42"/>
    <w:rsid w:val="00CC5CB9"/>
    <w:rsid w:val="00CC5CFB"/>
    <w:rsid w:val="00CC5D28"/>
    <w:rsid w:val="00CC5D2A"/>
    <w:rsid w:val="00CC5D6A"/>
    <w:rsid w:val="00CC5D86"/>
    <w:rsid w:val="00CC5D92"/>
    <w:rsid w:val="00CC5DDB"/>
    <w:rsid w:val="00CC5E1F"/>
    <w:rsid w:val="00CC5F0C"/>
    <w:rsid w:val="00CC5F59"/>
    <w:rsid w:val="00CC5F8B"/>
    <w:rsid w:val="00CC5FE9"/>
    <w:rsid w:val="00CC601C"/>
    <w:rsid w:val="00CC603B"/>
    <w:rsid w:val="00CC6092"/>
    <w:rsid w:val="00CC60B4"/>
    <w:rsid w:val="00CC6154"/>
    <w:rsid w:val="00CC61D4"/>
    <w:rsid w:val="00CC6241"/>
    <w:rsid w:val="00CC6255"/>
    <w:rsid w:val="00CC62DC"/>
    <w:rsid w:val="00CC6300"/>
    <w:rsid w:val="00CC6323"/>
    <w:rsid w:val="00CC6352"/>
    <w:rsid w:val="00CC6357"/>
    <w:rsid w:val="00CC6394"/>
    <w:rsid w:val="00CC646A"/>
    <w:rsid w:val="00CC647F"/>
    <w:rsid w:val="00CC648F"/>
    <w:rsid w:val="00CC64DC"/>
    <w:rsid w:val="00CC64F4"/>
    <w:rsid w:val="00CC6517"/>
    <w:rsid w:val="00CC65F0"/>
    <w:rsid w:val="00CC65F4"/>
    <w:rsid w:val="00CC661F"/>
    <w:rsid w:val="00CC666B"/>
    <w:rsid w:val="00CC666C"/>
    <w:rsid w:val="00CC66D0"/>
    <w:rsid w:val="00CC673F"/>
    <w:rsid w:val="00CC6747"/>
    <w:rsid w:val="00CC6799"/>
    <w:rsid w:val="00CC67EC"/>
    <w:rsid w:val="00CC67EF"/>
    <w:rsid w:val="00CC6865"/>
    <w:rsid w:val="00CC687B"/>
    <w:rsid w:val="00CC68D5"/>
    <w:rsid w:val="00CC68E8"/>
    <w:rsid w:val="00CC6906"/>
    <w:rsid w:val="00CC6909"/>
    <w:rsid w:val="00CC6912"/>
    <w:rsid w:val="00CC6921"/>
    <w:rsid w:val="00CC6956"/>
    <w:rsid w:val="00CC6960"/>
    <w:rsid w:val="00CC69D5"/>
    <w:rsid w:val="00CC69DC"/>
    <w:rsid w:val="00CC6A2F"/>
    <w:rsid w:val="00CC6A34"/>
    <w:rsid w:val="00CC6A48"/>
    <w:rsid w:val="00CC6AC7"/>
    <w:rsid w:val="00CC6AEF"/>
    <w:rsid w:val="00CC6B20"/>
    <w:rsid w:val="00CC6B46"/>
    <w:rsid w:val="00CC6B5E"/>
    <w:rsid w:val="00CC6B79"/>
    <w:rsid w:val="00CC6BDA"/>
    <w:rsid w:val="00CC6C22"/>
    <w:rsid w:val="00CC6C62"/>
    <w:rsid w:val="00CC6C6D"/>
    <w:rsid w:val="00CC6C70"/>
    <w:rsid w:val="00CC6CEE"/>
    <w:rsid w:val="00CC6D50"/>
    <w:rsid w:val="00CC6D93"/>
    <w:rsid w:val="00CC6DB9"/>
    <w:rsid w:val="00CC6E01"/>
    <w:rsid w:val="00CC6E4E"/>
    <w:rsid w:val="00CC6EDB"/>
    <w:rsid w:val="00CC6EEA"/>
    <w:rsid w:val="00CC6F97"/>
    <w:rsid w:val="00CC7022"/>
    <w:rsid w:val="00CC702E"/>
    <w:rsid w:val="00CC707E"/>
    <w:rsid w:val="00CC7090"/>
    <w:rsid w:val="00CC70AD"/>
    <w:rsid w:val="00CC70ED"/>
    <w:rsid w:val="00CC71CE"/>
    <w:rsid w:val="00CC71FD"/>
    <w:rsid w:val="00CC7208"/>
    <w:rsid w:val="00CC7213"/>
    <w:rsid w:val="00CC7239"/>
    <w:rsid w:val="00CC7251"/>
    <w:rsid w:val="00CC728C"/>
    <w:rsid w:val="00CC729B"/>
    <w:rsid w:val="00CC72AD"/>
    <w:rsid w:val="00CC72C0"/>
    <w:rsid w:val="00CC7337"/>
    <w:rsid w:val="00CC7344"/>
    <w:rsid w:val="00CC73A0"/>
    <w:rsid w:val="00CC73A9"/>
    <w:rsid w:val="00CC73BA"/>
    <w:rsid w:val="00CC73BC"/>
    <w:rsid w:val="00CC73DB"/>
    <w:rsid w:val="00CC7408"/>
    <w:rsid w:val="00CC7479"/>
    <w:rsid w:val="00CC7500"/>
    <w:rsid w:val="00CC751C"/>
    <w:rsid w:val="00CC7528"/>
    <w:rsid w:val="00CC752B"/>
    <w:rsid w:val="00CC756F"/>
    <w:rsid w:val="00CC7599"/>
    <w:rsid w:val="00CC759E"/>
    <w:rsid w:val="00CC75FB"/>
    <w:rsid w:val="00CC7620"/>
    <w:rsid w:val="00CC7635"/>
    <w:rsid w:val="00CC7669"/>
    <w:rsid w:val="00CC7672"/>
    <w:rsid w:val="00CC76A3"/>
    <w:rsid w:val="00CC76DE"/>
    <w:rsid w:val="00CC76EF"/>
    <w:rsid w:val="00CC7719"/>
    <w:rsid w:val="00CC7752"/>
    <w:rsid w:val="00CC7766"/>
    <w:rsid w:val="00CC77AE"/>
    <w:rsid w:val="00CC780D"/>
    <w:rsid w:val="00CC781C"/>
    <w:rsid w:val="00CC7837"/>
    <w:rsid w:val="00CC7884"/>
    <w:rsid w:val="00CC78B3"/>
    <w:rsid w:val="00CC78C6"/>
    <w:rsid w:val="00CC795E"/>
    <w:rsid w:val="00CC79F1"/>
    <w:rsid w:val="00CC7A88"/>
    <w:rsid w:val="00CC7AC0"/>
    <w:rsid w:val="00CC7AE4"/>
    <w:rsid w:val="00CC7B2E"/>
    <w:rsid w:val="00CC7BD4"/>
    <w:rsid w:val="00CC7BDD"/>
    <w:rsid w:val="00CC7C04"/>
    <w:rsid w:val="00CC7C1B"/>
    <w:rsid w:val="00CC7C76"/>
    <w:rsid w:val="00CC7DC8"/>
    <w:rsid w:val="00CC7E50"/>
    <w:rsid w:val="00CC7E51"/>
    <w:rsid w:val="00CC7E6B"/>
    <w:rsid w:val="00CC7EBA"/>
    <w:rsid w:val="00CC7EDA"/>
    <w:rsid w:val="00CC7F05"/>
    <w:rsid w:val="00CC7F0E"/>
    <w:rsid w:val="00CC7F90"/>
    <w:rsid w:val="00CC7FDC"/>
    <w:rsid w:val="00CC7FE8"/>
    <w:rsid w:val="00CCCFFF"/>
    <w:rsid w:val="00CD0040"/>
    <w:rsid w:val="00CD00FC"/>
    <w:rsid w:val="00CD010F"/>
    <w:rsid w:val="00CD0128"/>
    <w:rsid w:val="00CD012B"/>
    <w:rsid w:val="00CD014D"/>
    <w:rsid w:val="00CD0187"/>
    <w:rsid w:val="00CD01DC"/>
    <w:rsid w:val="00CD0212"/>
    <w:rsid w:val="00CD028D"/>
    <w:rsid w:val="00CD0299"/>
    <w:rsid w:val="00CD03FB"/>
    <w:rsid w:val="00CD0412"/>
    <w:rsid w:val="00CD042F"/>
    <w:rsid w:val="00CD0475"/>
    <w:rsid w:val="00CD048C"/>
    <w:rsid w:val="00CD049B"/>
    <w:rsid w:val="00CD04EF"/>
    <w:rsid w:val="00CD0531"/>
    <w:rsid w:val="00CD053F"/>
    <w:rsid w:val="00CD05A5"/>
    <w:rsid w:val="00CD05B3"/>
    <w:rsid w:val="00CD05E0"/>
    <w:rsid w:val="00CD063D"/>
    <w:rsid w:val="00CD066F"/>
    <w:rsid w:val="00CD0683"/>
    <w:rsid w:val="00CD0771"/>
    <w:rsid w:val="00CD07D9"/>
    <w:rsid w:val="00CD07EC"/>
    <w:rsid w:val="00CD0850"/>
    <w:rsid w:val="00CD088B"/>
    <w:rsid w:val="00CD0897"/>
    <w:rsid w:val="00CD089B"/>
    <w:rsid w:val="00CD0919"/>
    <w:rsid w:val="00CD09D9"/>
    <w:rsid w:val="00CD09E5"/>
    <w:rsid w:val="00CD0A4F"/>
    <w:rsid w:val="00CD0A7B"/>
    <w:rsid w:val="00CD0B7A"/>
    <w:rsid w:val="00CD0B7F"/>
    <w:rsid w:val="00CD0BCF"/>
    <w:rsid w:val="00CD0C34"/>
    <w:rsid w:val="00CD0C59"/>
    <w:rsid w:val="00CD0C99"/>
    <w:rsid w:val="00CD0C9D"/>
    <w:rsid w:val="00CD0D1B"/>
    <w:rsid w:val="00CD0D2C"/>
    <w:rsid w:val="00CD0D32"/>
    <w:rsid w:val="00CD0D36"/>
    <w:rsid w:val="00CD0D5E"/>
    <w:rsid w:val="00CD0D6B"/>
    <w:rsid w:val="00CD0D7E"/>
    <w:rsid w:val="00CD0DAB"/>
    <w:rsid w:val="00CD0DB4"/>
    <w:rsid w:val="00CD0DB7"/>
    <w:rsid w:val="00CD0DCA"/>
    <w:rsid w:val="00CD0E24"/>
    <w:rsid w:val="00CD0E3C"/>
    <w:rsid w:val="00CD0ED2"/>
    <w:rsid w:val="00CD0EE6"/>
    <w:rsid w:val="00CD0FAA"/>
    <w:rsid w:val="00CD0FFC"/>
    <w:rsid w:val="00CD101E"/>
    <w:rsid w:val="00CD102A"/>
    <w:rsid w:val="00CD105F"/>
    <w:rsid w:val="00CD1152"/>
    <w:rsid w:val="00CD1291"/>
    <w:rsid w:val="00CD12C8"/>
    <w:rsid w:val="00CD12EF"/>
    <w:rsid w:val="00CD1343"/>
    <w:rsid w:val="00CD1353"/>
    <w:rsid w:val="00CD1377"/>
    <w:rsid w:val="00CD137F"/>
    <w:rsid w:val="00CD1385"/>
    <w:rsid w:val="00CD146A"/>
    <w:rsid w:val="00CD146F"/>
    <w:rsid w:val="00CD1498"/>
    <w:rsid w:val="00CD14A9"/>
    <w:rsid w:val="00CD14AB"/>
    <w:rsid w:val="00CD14D6"/>
    <w:rsid w:val="00CD1520"/>
    <w:rsid w:val="00CD152D"/>
    <w:rsid w:val="00CD15BF"/>
    <w:rsid w:val="00CD15EB"/>
    <w:rsid w:val="00CD162F"/>
    <w:rsid w:val="00CD1637"/>
    <w:rsid w:val="00CD1696"/>
    <w:rsid w:val="00CD16B4"/>
    <w:rsid w:val="00CD16D1"/>
    <w:rsid w:val="00CD172B"/>
    <w:rsid w:val="00CD184D"/>
    <w:rsid w:val="00CD1862"/>
    <w:rsid w:val="00CD189E"/>
    <w:rsid w:val="00CD18F1"/>
    <w:rsid w:val="00CD18F9"/>
    <w:rsid w:val="00CD1A0B"/>
    <w:rsid w:val="00CD1A57"/>
    <w:rsid w:val="00CD1AD0"/>
    <w:rsid w:val="00CD1AE7"/>
    <w:rsid w:val="00CD1B76"/>
    <w:rsid w:val="00CD1BAC"/>
    <w:rsid w:val="00CD1C0E"/>
    <w:rsid w:val="00CD1C29"/>
    <w:rsid w:val="00CD1C78"/>
    <w:rsid w:val="00CD1CF2"/>
    <w:rsid w:val="00CD1D38"/>
    <w:rsid w:val="00CD1D8D"/>
    <w:rsid w:val="00CD1E2B"/>
    <w:rsid w:val="00CD1E63"/>
    <w:rsid w:val="00CD1E71"/>
    <w:rsid w:val="00CD1EFE"/>
    <w:rsid w:val="00CD1F4C"/>
    <w:rsid w:val="00CD1F4F"/>
    <w:rsid w:val="00CD1F83"/>
    <w:rsid w:val="00CD2010"/>
    <w:rsid w:val="00CD2064"/>
    <w:rsid w:val="00CD210A"/>
    <w:rsid w:val="00CD2122"/>
    <w:rsid w:val="00CD21F9"/>
    <w:rsid w:val="00CD2215"/>
    <w:rsid w:val="00CD2280"/>
    <w:rsid w:val="00CD22DC"/>
    <w:rsid w:val="00CD22DF"/>
    <w:rsid w:val="00CD22EE"/>
    <w:rsid w:val="00CD22F6"/>
    <w:rsid w:val="00CD2311"/>
    <w:rsid w:val="00CD232B"/>
    <w:rsid w:val="00CD2348"/>
    <w:rsid w:val="00CD234D"/>
    <w:rsid w:val="00CD2371"/>
    <w:rsid w:val="00CD23FA"/>
    <w:rsid w:val="00CD2419"/>
    <w:rsid w:val="00CD2446"/>
    <w:rsid w:val="00CD247E"/>
    <w:rsid w:val="00CD24B8"/>
    <w:rsid w:val="00CD2571"/>
    <w:rsid w:val="00CD257F"/>
    <w:rsid w:val="00CD2591"/>
    <w:rsid w:val="00CD25C0"/>
    <w:rsid w:val="00CD26D4"/>
    <w:rsid w:val="00CD270E"/>
    <w:rsid w:val="00CD272D"/>
    <w:rsid w:val="00CD2742"/>
    <w:rsid w:val="00CD27BE"/>
    <w:rsid w:val="00CD27C6"/>
    <w:rsid w:val="00CD281A"/>
    <w:rsid w:val="00CD284C"/>
    <w:rsid w:val="00CD2853"/>
    <w:rsid w:val="00CD2898"/>
    <w:rsid w:val="00CD28A8"/>
    <w:rsid w:val="00CD28FB"/>
    <w:rsid w:val="00CD296F"/>
    <w:rsid w:val="00CD29A0"/>
    <w:rsid w:val="00CD29F4"/>
    <w:rsid w:val="00CD2A26"/>
    <w:rsid w:val="00CD2A6F"/>
    <w:rsid w:val="00CD2A8E"/>
    <w:rsid w:val="00CD2ABF"/>
    <w:rsid w:val="00CD2AD0"/>
    <w:rsid w:val="00CD2AE5"/>
    <w:rsid w:val="00CD2B22"/>
    <w:rsid w:val="00CD2B4D"/>
    <w:rsid w:val="00CD2B83"/>
    <w:rsid w:val="00CD2BCA"/>
    <w:rsid w:val="00CD2C56"/>
    <w:rsid w:val="00CD2C66"/>
    <w:rsid w:val="00CD2C68"/>
    <w:rsid w:val="00CD2CA4"/>
    <w:rsid w:val="00CD2CD9"/>
    <w:rsid w:val="00CD2D0F"/>
    <w:rsid w:val="00CD2D24"/>
    <w:rsid w:val="00CD2D4C"/>
    <w:rsid w:val="00CD2DAE"/>
    <w:rsid w:val="00CD2DF3"/>
    <w:rsid w:val="00CD2E3C"/>
    <w:rsid w:val="00CD2E51"/>
    <w:rsid w:val="00CD2ED4"/>
    <w:rsid w:val="00CD2F90"/>
    <w:rsid w:val="00CD2FA2"/>
    <w:rsid w:val="00CD2FAE"/>
    <w:rsid w:val="00CD30B9"/>
    <w:rsid w:val="00CD30E6"/>
    <w:rsid w:val="00CD3184"/>
    <w:rsid w:val="00CD31BB"/>
    <w:rsid w:val="00CD31D1"/>
    <w:rsid w:val="00CD31E1"/>
    <w:rsid w:val="00CD32D2"/>
    <w:rsid w:val="00CD32E5"/>
    <w:rsid w:val="00CD3380"/>
    <w:rsid w:val="00CD341E"/>
    <w:rsid w:val="00CD3474"/>
    <w:rsid w:val="00CD349B"/>
    <w:rsid w:val="00CD34AC"/>
    <w:rsid w:val="00CD356C"/>
    <w:rsid w:val="00CD35A4"/>
    <w:rsid w:val="00CD35A9"/>
    <w:rsid w:val="00CD35E9"/>
    <w:rsid w:val="00CD36A4"/>
    <w:rsid w:val="00CD3771"/>
    <w:rsid w:val="00CD3785"/>
    <w:rsid w:val="00CD37E1"/>
    <w:rsid w:val="00CD37E5"/>
    <w:rsid w:val="00CD3871"/>
    <w:rsid w:val="00CD389C"/>
    <w:rsid w:val="00CD38E5"/>
    <w:rsid w:val="00CD38FC"/>
    <w:rsid w:val="00CD3921"/>
    <w:rsid w:val="00CD393A"/>
    <w:rsid w:val="00CD3942"/>
    <w:rsid w:val="00CD3987"/>
    <w:rsid w:val="00CD39E4"/>
    <w:rsid w:val="00CD3A66"/>
    <w:rsid w:val="00CD3ABF"/>
    <w:rsid w:val="00CD3AFF"/>
    <w:rsid w:val="00CD3B31"/>
    <w:rsid w:val="00CD3B43"/>
    <w:rsid w:val="00CD3B4F"/>
    <w:rsid w:val="00CD3BB6"/>
    <w:rsid w:val="00CD3BE7"/>
    <w:rsid w:val="00CD3C11"/>
    <w:rsid w:val="00CD3CB3"/>
    <w:rsid w:val="00CD3D05"/>
    <w:rsid w:val="00CD3DC5"/>
    <w:rsid w:val="00CD3DCD"/>
    <w:rsid w:val="00CD3E08"/>
    <w:rsid w:val="00CD3E0F"/>
    <w:rsid w:val="00CD3E2E"/>
    <w:rsid w:val="00CD3E8E"/>
    <w:rsid w:val="00CD402B"/>
    <w:rsid w:val="00CD4030"/>
    <w:rsid w:val="00CD40B1"/>
    <w:rsid w:val="00CD40E4"/>
    <w:rsid w:val="00CD412E"/>
    <w:rsid w:val="00CD41A1"/>
    <w:rsid w:val="00CD41A7"/>
    <w:rsid w:val="00CD41CC"/>
    <w:rsid w:val="00CD41E2"/>
    <w:rsid w:val="00CD41ED"/>
    <w:rsid w:val="00CD4273"/>
    <w:rsid w:val="00CD4282"/>
    <w:rsid w:val="00CD431F"/>
    <w:rsid w:val="00CD434C"/>
    <w:rsid w:val="00CD43C8"/>
    <w:rsid w:val="00CD43E9"/>
    <w:rsid w:val="00CD4411"/>
    <w:rsid w:val="00CD441D"/>
    <w:rsid w:val="00CD44C6"/>
    <w:rsid w:val="00CD44DA"/>
    <w:rsid w:val="00CD44DB"/>
    <w:rsid w:val="00CD451B"/>
    <w:rsid w:val="00CD4523"/>
    <w:rsid w:val="00CD456C"/>
    <w:rsid w:val="00CD4598"/>
    <w:rsid w:val="00CD45E8"/>
    <w:rsid w:val="00CD46E2"/>
    <w:rsid w:val="00CD4704"/>
    <w:rsid w:val="00CD47F2"/>
    <w:rsid w:val="00CD480A"/>
    <w:rsid w:val="00CD483B"/>
    <w:rsid w:val="00CD4859"/>
    <w:rsid w:val="00CD485F"/>
    <w:rsid w:val="00CD486D"/>
    <w:rsid w:val="00CD4899"/>
    <w:rsid w:val="00CD4934"/>
    <w:rsid w:val="00CD4948"/>
    <w:rsid w:val="00CD4958"/>
    <w:rsid w:val="00CD49AA"/>
    <w:rsid w:val="00CD49D9"/>
    <w:rsid w:val="00CD49F9"/>
    <w:rsid w:val="00CD4A0B"/>
    <w:rsid w:val="00CD4A20"/>
    <w:rsid w:val="00CD4AC3"/>
    <w:rsid w:val="00CD4B30"/>
    <w:rsid w:val="00CD4B7D"/>
    <w:rsid w:val="00CD4B9C"/>
    <w:rsid w:val="00CD4BC1"/>
    <w:rsid w:val="00CD4C25"/>
    <w:rsid w:val="00CD4C3A"/>
    <w:rsid w:val="00CD4C64"/>
    <w:rsid w:val="00CD4C90"/>
    <w:rsid w:val="00CD4CCE"/>
    <w:rsid w:val="00CD4CF9"/>
    <w:rsid w:val="00CD4D14"/>
    <w:rsid w:val="00CD4DA1"/>
    <w:rsid w:val="00CD4DD5"/>
    <w:rsid w:val="00CD4EE5"/>
    <w:rsid w:val="00CD4F3D"/>
    <w:rsid w:val="00CD4F4D"/>
    <w:rsid w:val="00CD4F55"/>
    <w:rsid w:val="00CD4F8B"/>
    <w:rsid w:val="00CD4FCA"/>
    <w:rsid w:val="00CD4FCE"/>
    <w:rsid w:val="00CD5011"/>
    <w:rsid w:val="00CD5019"/>
    <w:rsid w:val="00CD5065"/>
    <w:rsid w:val="00CD50C0"/>
    <w:rsid w:val="00CD5110"/>
    <w:rsid w:val="00CD518D"/>
    <w:rsid w:val="00CD51D7"/>
    <w:rsid w:val="00CD51EC"/>
    <w:rsid w:val="00CD5218"/>
    <w:rsid w:val="00CD5252"/>
    <w:rsid w:val="00CD5267"/>
    <w:rsid w:val="00CD532C"/>
    <w:rsid w:val="00CD5377"/>
    <w:rsid w:val="00CD53FB"/>
    <w:rsid w:val="00CD542F"/>
    <w:rsid w:val="00CD5445"/>
    <w:rsid w:val="00CD545C"/>
    <w:rsid w:val="00CD5465"/>
    <w:rsid w:val="00CD548F"/>
    <w:rsid w:val="00CD54FB"/>
    <w:rsid w:val="00CD5549"/>
    <w:rsid w:val="00CD55FE"/>
    <w:rsid w:val="00CD5622"/>
    <w:rsid w:val="00CD5629"/>
    <w:rsid w:val="00CD56F1"/>
    <w:rsid w:val="00CD570E"/>
    <w:rsid w:val="00CD5717"/>
    <w:rsid w:val="00CD571C"/>
    <w:rsid w:val="00CD5748"/>
    <w:rsid w:val="00CD577B"/>
    <w:rsid w:val="00CD5784"/>
    <w:rsid w:val="00CD579E"/>
    <w:rsid w:val="00CD57CB"/>
    <w:rsid w:val="00CD57FA"/>
    <w:rsid w:val="00CD5802"/>
    <w:rsid w:val="00CD589E"/>
    <w:rsid w:val="00CD58A4"/>
    <w:rsid w:val="00CD58D1"/>
    <w:rsid w:val="00CD594D"/>
    <w:rsid w:val="00CD59B2"/>
    <w:rsid w:val="00CD59EA"/>
    <w:rsid w:val="00CD59FB"/>
    <w:rsid w:val="00CD5A14"/>
    <w:rsid w:val="00CD5A25"/>
    <w:rsid w:val="00CD5A37"/>
    <w:rsid w:val="00CD5B17"/>
    <w:rsid w:val="00CD5B61"/>
    <w:rsid w:val="00CD5BC8"/>
    <w:rsid w:val="00CD5BCA"/>
    <w:rsid w:val="00CD5C07"/>
    <w:rsid w:val="00CD5DAC"/>
    <w:rsid w:val="00CD5EAF"/>
    <w:rsid w:val="00CD5EDE"/>
    <w:rsid w:val="00CD5F92"/>
    <w:rsid w:val="00CD5FAE"/>
    <w:rsid w:val="00CD603B"/>
    <w:rsid w:val="00CD6068"/>
    <w:rsid w:val="00CD60C1"/>
    <w:rsid w:val="00CD60C8"/>
    <w:rsid w:val="00CD60DD"/>
    <w:rsid w:val="00CD610D"/>
    <w:rsid w:val="00CD6168"/>
    <w:rsid w:val="00CD619B"/>
    <w:rsid w:val="00CD61E4"/>
    <w:rsid w:val="00CD61E5"/>
    <w:rsid w:val="00CD625F"/>
    <w:rsid w:val="00CD6291"/>
    <w:rsid w:val="00CD6317"/>
    <w:rsid w:val="00CD635D"/>
    <w:rsid w:val="00CD636D"/>
    <w:rsid w:val="00CD637F"/>
    <w:rsid w:val="00CD63A9"/>
    <w:rsid w:val="00CD63D6"/>
    <w:rsid w:val="00CD643E"/>
    <w:rsid w:val="00CD6447"/>
    <w:rsid w:val="00CD6478"/>
    <w:rsid w:val="00CD64D5"/>
    <w:rsid w:val="00CD6516"/>
    <w:rsid w:val="00CD655F"/>
    <w:rsid w:val="00CD6575"/>
    <w:rsid w:val="00CD658B"/>
    <w:rsid w:val="00CD65CC"/>
    <w:rsid w:val="00CD65DC"/>
    <w:rsid w:val="00CD6680"/>
    <w:rsid w:val="00CD66B6"/>
    <w:rsid w:val="00CD66CB"/>
    <w:rsid w:val="00CD66D2"/>
    <w:rsid w:val="00CD66F7"/>
    <w:rsid w:val="00CD66F9"/>
    <w:rsid w:val="00CD678D"/>
    <w:rsid w:val="00CD67F2"/>
    <w:rsid w:val="00CD6849"/>
    <w:rsid w:val="00CD692B"/>
    <w:rsid w:val="00CD698A"/>
    <w:rsid w:val="00CD69B5"/>
    <w:rsid w:val="00CD6AA1"/>
    <w:rsid w:val="00CD6BBE"/>
    <w:rsid w:val="00CD6BFA"/>
    <w:rsid w:val="00CD6C60"/>
    <w:rsid w:val="00CD6C65"/>
    <w:rsid w:val="00CD6CCE"/>
    <w:rsid w:val="00CD6CEF"/>
    <w:rsid w:val="00CD6D65"/>
    <w:rsid w:val="00CD6D91"/>
    <w:rsid w:val="00CD6E8A"/>
    <w:rsid w:val="00CD6F20"/>
    <w:rsid w:val="00CD6F4E"/>
    <w:rsid w:val="00CD6F81"/>
    <w:rsid w:val="00CD6F98"/>
    <w:rsid w:val="00CD6FCE"/>
    <w:rsid w:val="00CD6FE2"/>
    <w:rsid w:val="00CD7094"/>
    <w:rsid w:val="00CD70C4"/>
    <w:rsid w:val="00CD7115"/>
    <w:rsid w:val="00CD713A"/>
    <w:rsid w:val="00CD7191"/>
    <w:rsid w:val="00CD71FD"/>
    <w:rsid w:val="00CD727C"/>
    <w:rsid w:val="00CD727E"/>
    <w:rsid w:val="00CD7399"/>
    <w:rsid w:val="00CD73A8"/>
    <w:rsid w:val="00CD741F"/>
    <w:rsid w:val="00CD7422"/>
    <w:rsid w:val="00CD7472"/>
    <w:rsid w:val="00CD7575"/>
    <w:rsid w:val="00CD762B"/>
    <w:rsid w:val="00CD767B"/>
    <w:rsid w:val="00CD76A2"/>
    <w:rsid w:val="00CD7722"/>
    <w:rsid w:val="00CD7730"/>
    <w:rsid w:val="00CD77B8"/>
    <w:rsid w:val="00CD7849"/>
    <w:rsid w:val="00CD786F"/>
    <w:rsid w:val="00CD7882"/>
    <w:rsid w:val="00CD7893"/>
    <w:rsid w:val="00CD7938"/>
    <w:rsid w:val="00CD7974"/>
    <w:rsid w:val="00CD7986"/>
    <w:rsid w:val="00CD7A19"/>
    <w:rsid w:val="00CD7A35"/>
    <w:rsid w:val="00CD7A44"/>
    <w:rsid w:val="00CD7A5E"/>
    <w:rsid w:val="00CD7A99"/>
    <w:rsid w:val="00CD7AB5"/>
    <w:rsid w:val="00CD7B17"/>
    <w:rsid w:val="00CD7B47"/>
    <w:rsid w:val="00CD7B87"/>
    <w:rsid w:val="00CD7BCC"/>
    <w:rsid w:val="00CD7BE7"/>
    <w:rsid w:val="00CD7C39"/>
    <w:rsid w:val="00CD7CBA"/>
    <w:rsid w:val="00CD7CCC"/>
    <w:rsid w:val="00CD7CDA"/>
    <w:rsid w:val="00CD7DB7"/>
    <w:rsid w:val="00CD7E1A"/>
    <w:rsid w:val="00CD7E51"/>
    <w:rsid w:val="00CD7E5C"/>
    <w:rsid w:val="00CD7E8D"/>
    <w:rsid w:val="00CD7ECB"/>
    <w:rsid w:val="00CD7EE9"/>
    <w:rsid w:val="00CD7F00"/>
    <w:rsid w:val="00CD7F04"/>
    <w:rsid w:val="00CD7F8E"/>
    <w:rsid w:val="00CD7FFE"/>
    <w:rsid w:val="00CE004D"/>
    <w:rsid w:val="00CE0098"/>
    <w:rsid w:val="00CE00C7"/>
    <w:rsid w:val="00CE011B"/>
    <w:rsid w:val="00CE0152"/>
    <w:rsid w:val="00CE0168"/>
    <w:rsid w:val="00CE0189"/>
    <w:rsid w:val="00CE0195"/>
    <w:rsid w:val="00CE01DD"/>
    <w:rsid w:val="00CE01F8"/>
    <w:rsid w:val="00CE022D"/>
    <w:rsid w:val="00CE031E"/>
    <w:rsid w:val="00CE0355"/>
    <w:rsid w:val="00CE037D"/>
    <w:rsid w:val="00CE03E0"/>
    <w:rsid w:val="00CE03E8"/>
    <w:rsid w:val="00CE0468"/>
    <w:rsid w:val="00CE0481"/>
    <w:rsid w:val="00CE0494"/>
    <w:rsid w:val="00CE050A"/>
    <w:rsid w:val="00CE0537"/>
    <w:rsid w:val="00CE055C"/>
    <w:rsid w:val="00CE0596"/>
    <w:rsid w:val="00CE061F"/>
    <w:rsid w:val="00CE0638"/>
    <w:rsid w:val="00CE064B"/>
    <w:rsid w:val="00CE06FB"/>
    <w:rsid w:val="00CE070D"/>
    <w:rsid w:val="00CE0858"/>
    <w:rsid w:val="00CE08F8"/>
    <w:rsid w:val="00CE0907"/>
    <w:rsid w:val="00CE094F"/>
    <w:rsid w:val="00CE0966"/>
    <w:rsid w:val="00CE09C0"/>
    <w:rsid w:val="00CE09C2"/>
    <w:rsid w:val="00CE09E2"/>
    <w:rsid w:val="00CE0A8E"/>
    <w:rsid w:val="00CE0AD4"/>
    <w:rsid w:val="00CE0AD8"/>
    <w:rsid w:val="00CE0B0C"/>
    <w:rsid w:val="00CE0B7A"/>
    <w:rsid w:val="00CE0BF7"/>
    <w:rsid w:val="00CE0C07"/>
    <w:rsid w:val="00CE0C5B"/>
    <w:rsid w:val="00CE0C68"/>
    <w:rsid w:val="00CE0CDD"/>
    <w:rsid w:val="00CE0CFB"/>
    <w:rsid w:val="00CE0D4D"/>
    <w:rsid w:val="00CE0D60"/>
    <w:rsid w:val="00CE0D7C"/>
    <w:rsid w:val="00CE0D99"/>
    <w:rsid w:val="00CE0E2E"/>
    <w:rsid w:val="00CE0E37"/>
    <w:rsid w:val="00CE0E5B"/>
    <w:rsid w:val="00CE0FFC"/>
    <w:rsid w:val="00CE1008"/>
    <w:rsid w:val="00CE1042"/>
    <w:rsid w:val="00CE1131"/>
    <w:rsid w:val="00CE1178"/>
    <w:rsid w:val="00CE1183"/>
    <w:rsid w:val="00CE121A"/>
    <w:rsid w:val="00CE1261"/>
    <w:rsid w:val="00CE126B"/>
    <w:rsid w:val="00CE13D8"/>
    <w:rsid w:val="00CE141B"/>
    <w:rsid w:val="00CE148C"/>
    <w:rsid w:val="00CE14B6"/>
    <w:rsid w:val="00CE1511"/>
    <w:rsid w:val="00CE1518"/>
    <w:rsid w:val="00CE154C"/>
    <w:rsid w:val="00CE15B7"/>
    <w:rsid w:val="00CE160E"/>
    <w:rsid w:val="00CE1614"/>
    <w:rsid w:val="00CE164A"/>
    <w:rsid w:val="00CE1657"/>
    <w:rsid w:val="00CE166D"/>
    <w:rsid w:val="00CE166E"/>
    <w:rsid w:val="00CE16DC"/>
    <w:rsid w:val="00CE1741"/>
    <w:rsid w:val="00CE1760"/>
    <w:rsid w:val="00CE1777"/>
    <w:rsid w:val="00CE1779"/>
    <w:rsid w:val="00CE1790"/>
    <w:rsid w:val="00CE1797"/>
    <w:rsid w:val="00CE1813"/>
    <w:rsid w:val="00CE1822"/>
    <w:rsid w:val="00CE18E1"/>
    <w:rsid w:val="00CE1900"/>
    <w:rsid w:val="00CE1903"/>
    <w:rsid w:val="00CE1986"/>
    <w:rsid w:val="00CE1A09"/>
    <w:rsid w:val="00CE1A69"/>
    <w:rsid w:val="00CE1A97"/>
    <w:rsid w:val="00CE1AA9"/>
    <w:rsid w:val="00CE1AB0"/>
    <w:rsid w:val="00CE1AC9"/>
    <w:rsid w:val="00CE1AF2"/>
    <w:rsid w:val="00CE1BA5"/>
    <w:rsid w:val="00CE1BBD"/>
    <w:rsid w:val="00CE1C59"/>
    <w:rsid w:val="00CE1C9D"/>
    <w:rsid w:val="00CE1CCB"/>
    <w:rsid w:val="00CE1CE7"/>
    <w:rsid w:val="00CE1D24"/>
    <w:rsid w:val="00CE1D40"/>
    <w:rsid w:val="00CE1D63"/>
    <w:rsid w:val="00CE1D6C"/>
    <w:rsid w:val="00CE1D83"/>
    <w:rsid w:val="00CE1DCE"/>
    <w:rsid w:val="00CE1E03"/>
    <w:rsid w:val="00CE1E5F"/>
    <w:rsid w:val="00CE1E69"/>
    <w:rsid w:val="00CE1E6F"/>
    <w:rsid w:val="00CE1F04"/>
    <w:rsid w:val="00CE1F06"/>
    <w:rsid w:val="00CE1F08"/>
    <w:rsid w:val="00CE1F15"/>
    <w:rsid w:val="00CE1F2B"/>
    <w:rsid w:val="00CE1F39"/>
    <w:rsid w:val="00CE1F88"/>
    <w:rsid w:val="00CE1FC1"/>
    <w:rsid w:val="00CE2045"/>
    <w:rsid w:val="00CE208A"/>
    <w:rsid w:val="00CE20AE"/>
    <w:rsid w:val="00CE20BB"/>
    <w:rsid w:val="00CE20C1"/>
    <w:rsid w:val="00CE20ED"/>
    <w:rsid w:val="00CE210E"/>
    <w:rsid w:val="00CE215B"/>
    <w:rsid w:val="00CE2181"/>
    <w:rsid w:val="00CE219C"/>
    <w:rsid w:val="00CE21A3"/>
    <w:rsid w:val="00CE2239"/>
    <w:rsid w:val="00CE223C"/>
    <w:rsid w:val="00CE22B2"/>
    <w:rsid w:val="00CE233B"/>
    <w:rsid w:val="00CE2341"/>
    <w:rsid w:val="00CE2351"/>
    <w:rsid w:val="00CE2365"/>
    <w:rsid w:val="00CE237C"/>
    <w:rsid w:val="00CE239E"/>
    <w:rsid w:val="00CE23C7"/>
    <w:rsid w:val="00CE2443"/>
    <w:rsid w:val="00CE245C"/>
    <w:rsid w:val="00CE245D"/>
    <w:rsid w:val="00CE24A4"/>
    <w:rsid w:val="00CE24B0"/>
    <w:rsid w:val="00CE2532"/>
    <w:rsid w:val="00CE2581"/>
    <w:rsid w:val="00CE25D1"/>
    <w:rsid w:val="00CE2631"/>
    <w:rsid w:val="00CE264A"/>
    <w:rsid w:val="00CE2661"/>
    <w:rsid w:val="00CE269A"/>
    <w:rsid w:val="00CE26FE"/>
    <w:rsid w:val="00CE272D"/>
    <w:rsid w:val="00CE2750"/>
    <w:rsid w:val="00CE282C"/>
    <w:rsid w:val="00CE283D"/>
    <w:rsid w:val="00CE28A0"/>
    <w:rsid w:val="00CE2944"/>
    <w:rsid w:val="00CE2963"/>
    <w:rsid w:val="00CE2975"/>
    <w:rsid w:val="00CE297D"/>
    <w:rsid w:val="00CE2999"/>
    <w:rsid w:val="00CE29A1"/>
    <w:rsid w:val="00CE2A2C"/>
    <w:rsid w:val="00CE2A38"/>
    <w:rsid w:val="00CE2A92"/>
    <w:rsid w:val="00CE2AB6"/>
    <w:rsid w:val="00CE2AB8"/>
    <w:rsid w:val="00CE2AD6"/>
    <w:rsid w:val="00CE2B4E"/>
    <w:rsid w:val="00CE2B8C"/>
    <w:rsid w:val="00CE2BDB"/>
    <w:rsid w:val="00CE2C04"/>
    <w:rsid w:val="00CE2C0A"/>
    <w:rsid w:val="00CE2C11"/>
    <w:rsid w:val="00CE2C20"/>
    <w:rsid w:val="00CE2CA5"/>
    <w:rsid w:val="00CE2CC1"/>
    <w:rsid w:val="00CE2CDC"/>
    <w:rsid w:val="00CE2D0B"/>
    <w:rsid w:val="00CE2D21"/>
    <w:rsid w:val="00CE2D27"/>
    <w:rsid w:val="00CE2D5E"/>
    <w:rsid w:val="00CE2D74"/>
    <w:rsid w:val="00CE2DFA"/>
    <w:rsid w:val="00CE2E10"/>
    <w:rsid w:val="00CE2E48"/>
    <w:rsid w:val="00CE2F98"/>
    <w:rsid w:val="00CE3046"/>
    <w:rsid w:val="00CE306F"/>
    <w:rsid w:val="00CE30B4"/>
    <w:rsid w:val="00CE30CE"/>
    <w:rsid w:val="00CE30FC"/>
    <w:rsid w:val="00CE314E"/>
    <w:rsid w:val="00CE3171"/>
    <w:rsid w:val="00CE31A4"/>
    <w:rsid w:val="00CE320D"/>
    <w:rsid w:val="00CE321E"/>
    <w:rsid w:val="00CE3257"/>
    <w:rsid w:val="00CE326F"/>
    <w:rsid w:val="00CE32C4"/>
    <w:rsid w:val="00CE32C9"/>
    <w:rsid w:val="00CE32D1"/>
    <w:rsid w:val="00CE32DF"/>
    <w:rsid w:val="00CE3383"/>
    <w:rsid w:val="00CE3397"/>
    <w:rsid w:val="00CE33B2"/>
    <w:rsid w:val="00CE340D"/>
    <w:rsid w:val="00CE342B"/>
    <w:rsid w:val="00CE3440"/>
    <w:rsid w:val="00CE3447"/>
    <w:rsid w:val="00CE346A"/>
    <w:rsid w:val="00CE348F"/>
    <w:rsid w:val="00CE34B7"/>
    <w:rsid w:val="00CE34BB"/>
    <w:rsid w:val="00CE34CD"/>
    <w:rsid w:val="00CE34E0"/>
    <w:rsid w:val="00CE34F5"/>
    <w:rsid w:val="00CE3523"/>
    <w:rsid w:val="00CE3561"/>
    <w:rsid w:val="00CE35E9"/>
    <w:rsid w:val="00CE35EB"/>
    <w:rsid w:val="00CE35FC"/>
    <w:rsid w:val="00CE3660"/>
    <w:rsid w:val="00CE36AD"/>
    <w:rsid w:val="00CE3707"/>
    <w:rsid w:val="00CE378F"/>
    <w:rsid w:val="00CE37AB"/>
    <w:rsid w:val="00CE37B9"/>
    <w:rsid w:val="00CE3802"/>
    <w:rsid w:val="00CE38E9"/>
    <w:rsid w:val="00CE38F3"/>
    <w:rsid w:val="00CE3902"/>
    <w:rsid w:val="00CE3903"/>
    <w:rsid w:val="00CE396A"/>
    <w:rsid w:val="00CE39A4"/>
    <w:rsid w:val="00CE3A1B"/>
    <w:rsid w:val="00CE3A4B"/>
    <w:rsid w:val="00CE3AA5"/>
    <w:rsid w:val="00CE3AF7"/>
    <w:rsid w:val="00CE3B6B"/>
    <w:rsid w:val="00CE3BAC"/>
    <w:rsid w:val="00CE3BC0"/>
    <w:rsid w:val="00CE3BD2"/>
    <w:rsid w:val="00CE3BD4"/>
    <w:rsid w:val="00CE3BE0"/>
    <w:rsid w:val="00CE3C0B"/>
    <w:rsid w:val="00CE3CB3"/>
    <w:rsid w:val="00CE3CE4"/>
    <w:rsid w:val="00CE3D84"/>
    <w:rsid w:val="00CE3D8C"/>
    <w:rsid w:val="00CE3DF8"/>
    <w:rsid w:val="00CE3E1F"/>
    <w:rsid w:val="00CE3E27"/>
    <w:rsid w:val="00CE3E63"/>
    <w:rsid w:val="00CE3E66"/>
    <w:rsid w:val="00CE3E6A"/>
    <w:rsid w:val="00CE3E78"/>
    <w:rsid w:val="00CE3EE5"/>
    <w:rsid w:val="00CE3F73"/>
    <w:rsid w:val="00CE3F99"/>
    <w:rsid w:val="00CE3F9B"/>
    <w:rsid w:val="00CE3FDD"/>
    <w:rsid w:val="00CE3FDE"/>
    <w:rsid w:val="00CE4027"/>
    <w:rsid w:val="00CE40E3"/>
    <w:rsid w:val="00CE40F5"/>
    <w:rsid w:val="00CE413E"/>
    <w:rsid w:val="00CE41A0"/>
    <w:rsid w:val="00CE41E8"/>
    <w:rsid w:val="00CE4207"/>
    <w:rsid w:val="00CE433B"/>
    <w:rsid w:val="00CE435A"/>
    <w:rsid w:val="00CE4398"/>
    <w:rsid w:val="00CE43AB"/>
    <w:rsid w:val="00CE43B2"/>
    <w:rsid w:val="00CE441E"/>
    <w:rsid w:val="00CE4462"/>
    <w:rsid w:val="00CE44A6"/>
    <w:rsid w:val="00CE458F"/>
    <w:rsid w:val="00CE45AE"/>
    <w:rsid w:val="00CE45D6"/>
    <w:rsid w:val="00CE45FE"/>
    <w:rsid w:val="00CE460D"/>
    <w:rsid w:val="00CE4641"/>
    <w:rsid w:val="00CE46CB"/>
    <w:rsid w:val="00CE46DD"/>
    <w:rsid w:val="00CE4746"/>
    <w:rsid w:val="00CE47B0"/>
    <w:rsid w:val="00CE47B8"/>
    <w:rsid w:val="00CE47ED"/>
    <w:rsid w:val="00CE481D"/>
    <w:rsid w:val="00CE4866"/>
    <w:rsid w:val="00CE48E9"/>
    <w:rsid w:val="00CE4907"/>
    <w:rsid w:val="00CE49CB"/>
    <w:rsid w:val="00CE4A2A"/>
    <w:rsid w:val="00CE4A4E"/>
    <w:rsid w:val="00CE4A92"/>
    <w:rsid w:val="00CE4ADD"/>
    <w:rsid w:val="00CE4B8E"/>
    <w:rsid w:val="00CE4BD9"/>
    <w:rsid w:val="00CE4C13"/>
    <w:rsid w:val="00CE4C1F"/>
    <w:rsid w:val="00CE4C62"/>
    <w:rsid w:val="00CE4C8A"/>
    <w:rsid w:val="00CE4CB1"/>
    <w:rsid w:val="00CE4CF7"/>
    <w:rsid w:val="00CE4D6F"/>
    <w:rsid w:val="00CE4D8E"/>
    <w:rsid w:val="00CE4DA5"/>
    <w:rsid w:val="00CE4DB2"/>
    <w:rsid w:val="00CE4DCF"/>
    <w:rsid w:val="00CE4E29"/>
    <w:rsid w:val="00CE4E4C"/>
    <w:rsid w:val="00CE4F03"/>
    <w:rsid w:val="00CE4F0A"/>
    <w:rsid w:val="00CE4F84"/>
    <w:rsid w:val="00CE4F89"/>
    <w:rsid w:val="00CE4F8D"/>
    <w:rsid w:val="00CE5016"/>
    <w:rsid w:val="00CE502D"/>
    <w:rsid w:val="00CE5031"/>
    <w:rsid w:val="00CE5090"/>
    <w:rsid w:val="00CE50DE"/>
    <w:rsid w:val="00CE50ED"/>
    <w:rsid w:val="00CE50EF"/>
    <w:rsid w:val="00CE5118"/>
    <w:rsid w:val="00CE5169"/>
    <w:rsid w:val="00CE5182"/>
    <w:rsid w:val="00CE51BB"/>
    <w:rsid w:val="00CE51C9"/>
    <w:rsid w:val="00CE51CA"/>
    <w:rsid w:val="00CE5203"/>
    <w:rsid w:val="00CE52D0"/>
    <w:rsid w:val="00CE52EE"/>
    <w:rsid w:val="00CE5361"/>
    <w:rsid w:val="00CE5381"/>
    <w:rsid w:val="00CE53DB"/>
    <w:rsid w:val="00CE53FB"/>
    <w:rsid w:val="00CE5416"/>
    <w:rsid w:val="00CE542D"/>
    <w:rsid w:val="00CE54AB"/>
    <w:rsid w:val="00CE54B5"/>
    <w:rsid w:val="00CE5508"/>
    <w:rsid w:val="00CE557C"/>
    <w:rsid w:val="00CE55DF"/>
    <w:rsid w:val="00CE55E8"/>
    <w:rsid w:val="00CE5660"/>
    <w:rsid w:val="00CE5678"/>
    <w:rsid w:val="00CE56C6"/>
    <w:rsid w:val="00CE56EA"/>
    <w:rsid w:val="00CE571C"/>
    <w:rsid w:val="00CE5757"/>
    <w:rsid w:val="00CE576E"/>
    <w:rsid w:val="00CE57A3"/>
    <w:rsid w:val="00CE57B6"/>
    <w:rsid w:val="00CE57CD"/>
    <w:rsid w:val="00CE57E9"/>
    <w:rsid w:val="00CE5841"/>
    <w:rsid w:val="00CE58E1"/>
    <w:rsid w:val="00CE58FE"/>
    <w:rsid w:val="00CE5949"/>
    <w:rsid w:val="00CE5991"/>
    <w:rsid w:val="00CE59F6"/>
    <w:rsid w:val="00CE5A0A"/>
    <w:rsid w:val="00CE5A18"/>
    <w:rsid w:val="00CE5A54"/>
    <w:rsid w:val="00CE5A9A"/>
    <w:rsid w:val="00CE5B22"/>
    <w:rsid w:val="00CE5B2F"/>
    <w:rsid w:val="00CE5B3A"/>
    <w:rsid w:val="00CE5C0C"/>
    <w:rsid w:val="00CE5C2F"/>
    <w:rsid w:val="00CE5CB6"/>
    <w:rsid w:val="00CE5CC3"/>
    <w:rsid w:val="00CE5CFA"/>
    <w:rsid w:val="00CE5D5F"/>
    <w:rsid w:val="00CE5D90"/>
    <w:rsid w:val="00CE5D9F"/>
    <w:rsid w:val="00CE5DDF"/>
    <w:rsid w:val="00CE5DFE"/>
    <w:rsid w:val="00CE5E00"/>
    <w:rsid w:val="00CE5E60"/>
    <w:rsid w:val="00CE5E79"/>
    <w:rsid w:val="00CE5E7B"/>
    <w:rsid w:val="00CE5EEF"/>
    <w:rsid w:val="00CE5EF9"/>
    <w:rsid w:val="00CE5FBE"/>
    <w:rsid w:val="00CE5FED"/>
    <w:rsid w:val="00CE6045"/>
    <w:rsid w:val="00CE604C"/>
    <w:rsid w:val="00CE6058"/>
    <w:rsid w:val="00CE6081"/>
    <w:rsid w:val="00CE60B7"/>
    <w:rsid w:val="00CE61E9"/>
    <w:rsid w:val="00CE620F"/>
    <w:rsid w:val="00CE6216"/>
    <w:rsid w:val="00CE622C"/>
    <w:rsid w:val="00CE6237"/>
    <w:rsid w:val="00CE62E8"/>
    <w:rsid w:val="00CE6306"/>
    <w:rsid w:val="00CE638F"/>
    <w:rsid w:val="00CE6395"/>
    <w:rsid w:val="00CE63C9"/>
    <w:rsid w:val="00CE63F6"/>
    <w:rsid w:val="00CE64A7"/>
    <w:rsid w:val="00CE64B9"/>
    <w:rsid w:val="00CE64BD"/>
    <w:rsid w:val="00CE64F4"/>
    <w:rsid w:val="00CE64FC"/>
    <w:rsid w:val="00CE653F"/>
    <w:rsid w:val="00CE6601"/>
    <w:rsid w:val="00CE660D"/>
    <w:rsid w:val="00CE666E"/>
    <w:rsid w:val="00CE66B2"/>
    <w:rsid w:val="00CE6790"/>
    <w:rsid w:val="00CE679C"/>
    <w:rsid w:val="00CE67B1"/>
    <w:rsid w:val="00CE680A"/>
    <w:rsid w:val="00CE6832"/>
    <w:rsid w:val="00CE684A"/>
    <w:rsid w:val="00CE68AA"/>
    <w:rsid w:val="00CE68D3"/>
    <w:rsid w:val="00CE6900"/>
    <w:rsid w:val="00CE6907"/>
    <w:rsid w:val="00CE6988"/>
    <w:rsid w:val="00CE69A0"/>
    <w:rsid w:val="00CE69C4"/>
    <w:rsid w:val="00CE69FA"/>
    <w:rsid w:val="00CE6A20"/>
    <w:rsid w:val="00CE6A32"/>
    <w:rsid w:val="00CE6A6E"/>
    <w:rsid w:val="00CE6AE5"/>
    <w:rsid w:val="00CE6B04"/>
    <w:rsid w:val="00CE6B89"/>
    <w:rsid w:val="00CE6BA5"/>
    <w:rsid w:val="00CE6BD5"/>
    <w:rsid w:val="00CE6BE6"/>
    <w:rsid w:val="00CE6BF4"/>
    <w:rsid w:val="00CE6C21"/>
    <w:rsid w:val="00CE6C2F"/>
    <w:rsid w:val="00CE6C68"/>
    <w:rsid w:val="00CE6C88"/>
    <w:rsid w:val="00CE6C89"/>
    <w:rsid w:val="00CE6C9C"/>
    <w:rsid w:val="00CE6CE2"/>
    <w:rsid w:val="00CE6CEC"/>
    <w:rsid w:val="00CE6D18"/>
    <w:rsid w:val="00CE6D47"/>
    <w:rsid w:val="00CE6D6F"/>
    <w:rsid w:val="00CE6DEE"/>
    <w:rsid w:val="00CE6E07"/>
    <w:rsid w:val="00CE6E08"/>
    <w:rsid w:val="00CE6E10"/>
    <w:rsid w:val="00CE6E87"/>
    <w:rsid w:val="00CE6EBD"/>
    <w:rsid w:val="00CE6F6A"/>
    <w:rsid w:val="00CE6F73"/>
    <w:rsid w:val="00CE6F7B"/>
    <w:rsid w:val="00CE6F8F"/>
    <w:rsid w:val="00CE6FA4"/>
    <w:rsid w:val="00CE7014"/>
    <w:rsid w:val="00CE7088"/>
    <w:rsid w:val="00CE70EB"/>
    <w:rsid w:val="00CE712D"/>
    <w:rsid w:val="00CE7144"/>
    <w:rsid w:val="00CE7193"/>
    <w:rsid w:val="00CE71AD"/>
    <w:rsid w:val="00CE71B6"/>
    <w:rsid w:val="00CE71C7"/>
    <w:rsid w:val="00CE71E7"/>
    <w:rsid w:val="00CE71EA"/>
    <w:rsid w:val="00CE72E3"/>
    <w:rsid w:val="00CE733B"/>
    <w:rsid w:val="00CE7345"/>
    <w:rsid w:val="00CE736A"/>
    <w:rsid w:val="00CE7377"/>
    <w:rsid w:val="00CE7380"/>
    <w:rsid w:val="00CE74DC"/>
    <w:rsid w:val="00CE7522"/>
    <w:rsid w:val="00CE75BF"/>
    <w:rsid w:val="00CE7602"/>
    <w:rsid w:val="00CE76AF"/>
    <w:rsid w:val="00CE76B1"/>
    <w:rsid w:val="00CE76F4"/>
    <w:rsid w:val="00CE7731"/>
    <w:rsid w:val="00CE774B"/>
    <w:rsid w:val="00CE77A3"/>
    <w:rsid w:val="00CE77BF"/>
    <w:rsid w:val="00CE77F6"/>
    <w:rsid w:val="00CE781F"/>
    <w:rsid w:val="00CE782E"/>
    <w:rsid w:val="00CE782F"/>
    <w:rsid w:val="00CE785A"/>
    <w:rsid w:val="00CE7895"/>
    <w:rsid w:val="00CE78A2"/>
    <w:rsid w:val="00CE78D9"/>
    <w:rsid w:val="00CE790A"/>
    <w:rsid w:val="00CE7910"/>
    <w:rsid w:val="00CE798A"/>
    <w:rsid w:val="00CE79A2"/>
    <w:rsid w:val="00CE7A24"/>
    <w:rsid w:val="00CE7A32"/>
    <w:rsid w:val="00CE7A67"/>
    <w:rsid w:val="00CE7A99"/>
    <w:rsid w:val="00CE7B79"/>
    <w:rsid w:val="00CE7BE7"/>
    <w:rsid w:val="00CE7C27"/>
    <w:rsid w:val="00CE7C50"/>
    <w:rsid w:val="00CE7C71"/>
    <w:rsid w:val="00CE7CCD"/>
    <w:rsid w:val="00CE7CE3"/>
    <w:rsid w:val="00CE7D6D"/>
    <w:rsid w:val="00CE7D77"/>
    <w:rsid w:val="00CE7DC8"/>
    <w:rsid w:val="00CE7DE6"/>
    <w:rsid w:val="00CE7E3A"/>
    <w:rsid w:val="00CE7E58"/>
    <w:rsid w:val="00CE7E81"/>
    <w:rsid w:val="00CE7EA9"/>
    <w:rsid w:val="00CE7EB5"/>
    <w:rsid w:val="00CE7EC8"/>
    <w:rsid w:val="00CE7ED0"/>
    <w:rsid w:val="00CE7EEC"/>
    <w:rsid w:val="00CE7F03"/>
    <w:rsid w:val="00CE7F04"/>
    <w:rsid w:val="00CE7F1D"/>
    <w:rsid w:val="00CE7F2A"/>
    <w:rsid w:val="00CE7F48"/>
    <w:rsid w:val="00CE7F7B"/>
    <w:rsid w:val="00CE7FA8"/>
    <w:rsid w:val="00CF0015"/>
    <w:rsid w:val="00CF0064"/>
    <w:rsid w:val="00CF0095"/>
    <w:rsid w:val="00CF00A0"/>
    <w:rsid w:val="00CF00AF"/>
    <w:rsid w:val="00CF00BE"/>
    <w:rsid w:val="00CF00C9"/>
    <w:rsid w:val="00CF0155"/>
    <w:rsid w:val="00CF016C"/>
    <w:rsid w:val="00CF0193"/>
    <w:rsid w:val="00CF0263"/>
    <w:rsid w:val="00CF0264"/>
    <w:rsid w:val="00CF02E9"/>
    <w:rsid w:val="00CF0393"/>
    <w:rsid w:val="00CF03C5"/>
    <w:rsid w:val="00CF0472"/>
    <w:rsid w:val="00CF0495"/>
    <w:rsid w:val="00CF04A4"/>
    <w:rsid w:val="00CF04A9"/>
    <w:rsid w:val="00CF0542"/>
    <w:rsid w:val="00CF058C"/>
    <w:rsid w:val="00CF0597"/>
    <w:rsid w:val="00CF05A7"/>
    <w:rsid w:val="00CF0612"/>
    <w:rsid w:val="00CF061B"/>
    <w:rsid w:val="00CF06A9"/>
    <w:rsid w:val="00CF06D0"/>
    <w:rsid w:val="00CF0722"/>
    <w:rsid w:val="00CF0770"/>
    <w:rsid w:val="00CF0772"/>
    <w:rsid w:val="00CF0784"/>
    <w:rsid w:val="00CF07BE"/>
    <w:rsid w:val="00CF083A"/>
    <w:rsid w:val="00CF0876"/>
    <w:rsid w:val="00CF0888"/>
    <w:rsid w:val="00CF089D"/>
    <w:rsid w:val="00CF08BE"/>
    <w:rsid w:val="00CF0966"/>
    <w:rsid w:val="00CF09A7"/>
    <w:rsid w:val="00CF09A9"/>
    <w:rsid w:val="00CF09C1"/>
    <w:rsid w:val="00CF0A4C"/>
    <w:rsid w:val="00CF0A52"/>
    <w:rsid w:val="00CF0ACA"/>
    <w:rsid w:val="00CF0ACF"/>
    <w:rsid w:val="00CF0ADF"/>
    <w:rsid w:val="00CF0BB1"/>
    <w:rsid w:val="00CF0C16"/>
    <w:rsid w:val="00CF0C2A"/>
    <w:rsid w:val="00CF0C3C"/>
    <w:rsid w:val="00CF0C3D"/>
    <w:rsid w:val="00CF0C53"/>
    <w:rsid w:val="00CF0C90"/>
    <w:rsid w:val="00CF0CA3"/>
    <w:rsid w:val="00CF0CA6"/>
    <w:rsid w:val="00CF0CB5"/>
    <w:rsid w:val="00CF0CE3"/>
    <w:rsid w:val="00CF0D1B"/>
    <w:rsid w:val="00CF0D22"/>
    <w:rsid w:val="00CF0D32"/>
    <w:rsid w:val="00CF0D82"/>
    <w:rsid w:val="00CF0D93"/>
    <w:rsid w:val="00CF0E6E"/>
    <w:rsid w:val="00CF0EA0"/>
    <w:rsid w:val="00CF0F24"/>
    <w:rsid w:val="00CF0F60"/>
    <w:rsid w:val="00CF0F7F"/>
    <w:rsid w:val="00CF0FF7"/>
    <w:rsid w:val="00CF100D"/>
    <w:rsid w:val="00CF101C"/>
    <w:rsid w:val="00CF111C"/>
    <w:rsid w:val="00CF1125"/>
    <w:rsid w:val="00CF1169"/>
    <w:rsid w:val="00CF126F"/>
    <w:rsid w:val="00CF12F6"/>
    <w:rsid w:val="00CF12FF"/>
    <w:rsid w:val="00CF138B"/>
    <w:rsid w:val="00CF13A0"/>
    <w:rsid w:val="00CF13B0"/>
    <w:rsid w:val="00CF13DF"/>
    <w:rsid w:val="00CF1427"/>
    <w:rsid w:val="00CF14A9"/>
    <w:rsid w:val="00CF14AD"/>
    <w:rsid w:val="00CF14EF"/>
    <w:rsid w:val="00CF14F7"/>
    <w:rsid w:val="00CF1504"/>
    <w:rsid w:val="00CF1575"/>
    <w:rsid w:val="00CF15B5"/>
    <w:rsid w:val="00CF15DD"/>
    <w:rsid w:val="00CF1607"/>
    <w:rsid w:val="00CF161C"/>
    <w:rsid w:val="00CF168C"/>
    <w:rsid w:val="00CF16E8"/>
    <w:rsid w:val="00CF1723"/>
    <w:rsid w:val="00CF1731"/>
    <w:rsid w:val="00CF1761"/>
    <w:rsid w:val="00CF17AC"/>
    <w:rsid w:val="00CF17CC"/>
    <w:rsid w:val="00CF17D7"/>
    <w:rsid w:val="00CF1800"/>
    <w:rsid w:val="00CF184C"/>
    <w:rsid w:val="00CF1858"/>
    <w:rsid w:val="00CF186C"/>
    <w:rsid w:val="00CF186F"/>
    <w:rsid w:val="00CF189F"/>
    <w:rsid w:val="00CF18A5"/>
    <w:rsid w:val="00CF18D5"/>
    <w:rsid w:val="00CF18EB"/>
    <w:rsid w:val="00CF1916"/>
    <w:rsid w:val="00CF198B"/>
    <w:rsid w:val="00CF1AA5"/>
    <w:rsid w:val="00CF1AAD"/>
    <w:rsid w:val="00CF1AB5"/>
    <w:rsid w:val="00CF1B18"/>
    <w:rsid w:val="00CF1B3D"/>
    <w:rsid w:val="00CF1BAA"/>
    <w:rsid w:val="00CF1BFA"/>
    <w:rsid w:val="00CF1C4E"/>
    <w:rsid w:val="00CF1C72"/>
    <w:rsid w:val="00CF1C78"/>
    <w:rsid w:val="00CF1C88"/>
    <w:rsid w:val="00CF1D2C"/>
    <w:rsid w:val="00CF1D37"/>
    <w:rsid w:val="00CF1D70"/>
    <w:rsid w:val="00CF1DB0"/>
    <w:rsid w:val="00CF1DC6"/>
    <w:rsid w:val="00CF1DCE"/>
    <w:rsid w:val="00CF1DF4"/>
    <w:rsid w:val="00CF1E91"/>
    <w:rsid w:val="00CF1EBE"/>
    <w:rsid w:val="00CF1EC8"/>
    <w:rsid w:val="00CF1EE0"/>
    <w:rsid w:val="00CF1F2D"/>
    <w:rsid w:val="00CF1F37"/>
    <w:rsid w:val="00CF1FAF"/>
    <w:rsid w:val="00CF203A"/>
    <w:rsid w:val="00CF2169"/>
    <w:rsid w:val="00CF216C"/>
    <w:rsid w:val="00CF2184"/>
    <w:rsid w:val="00CF219C"/>
    <w:rsid w:val="00CF21BD"/>
    <w:rsid w:val="00CF2215"/>
    <w:rsid w:val="00CF2283"/>
    <w:rsid w:val="00CF2313"/>
    <w:rsid w:val="00CF2334"/>
    <w:rsid w:val="00CF2364"/>
    <w:rsid w:val="00CF23A2"/>
    <w:rsid w:val="00CF23E5"/>
    <w:rsid w:val="00CF2465"/>
    <w:rsid w:val="00CF24BC"/>
    <w:rsid w:val="00CF2532"/>
    <w:rsid w:val="00CF2541"/>
    <w:rsid w:val="00CF25BE"/>
    <w:rsid w:val="00CF25CC"/>
    <w:rsid w:val="00CF2685"/>
    <w:rsid w:val="00CF26C1"/>
    <w:rsid w:val="00CF26F7"/>
    <w:rsid w:val="00CF2708"/>
    <w:rsid w:val="00CF2803"/>
    <w:rsid w:val="00CF289A"/>
    <w:rsid w:val="00CF28A7"/>
    <w:rsid w:val="00CF28AF"/>
    <w:rsid w:val="00CF28C5"/>
    <w:rsid w:val="00CF28F4"/>
    <w:rsid w:val="00CF2904"/>
    <w:rsid w:val="00CF295E"/>
    <w:rsid w:val="00CF2965"/>
    <w:rsid w:val="00CF2970"/>
    <w:rsid w:val="00CF29B7"/>
    <w:rsid w:val="00CF29D3"/>
    <w:rsid w:val="00CF29DF"/>
    <w:rsid w:val="00CF2A7C"/>
    <w:rsid w:val="00CF2A95"/>
    <w:rsid w:val="00CF2AF1"/>
    <w:rsid w:val="00CF2C82"/>
    <w:rsid w:val="00CF2CB4"/>
    <w:rsid w:val="00CF2CFA"/>
    <w:rsid w:val="00CF2D2A"/>
    <w:rsid w:val="00CF2D8F"/>
    <w:rsid w:val="00CF2D91"/>
    <w:rsid w:val="00CF2E1B"/>
    <w:rsid w:val="00CF2E57"/>
    <w:rsid w:val="00CF2EEA"/>
    <w:rsid w:val="00CF2F07"/>
    <w:rsid w:val="00CF2F0F"/>
    <w:rsid w:val="00CF2F56"/>
    <w:rsid w:val="00CF2F70"/>
    <w:rsid w:val="00CF2F9C"/>
    <w:rsid w:val="00CF301A"/>
    <w:rsid w:val="00CF30AC"/>
    <w:rsid w:val="00CF30D9"/>
    <w:rsid w:val="00CF3103"/>
    <w:rsid w:val="00CF3108"/>
    <w:rsid w:val="00CF3170"/>
    <w:rsid w:val="00CF3233"/>
    <w:rsid w:val="00CF3285"/>
    <w:rsid w:val="00CF3437"/>
    <w:rsid w:val="00CF343B"/>
    <w:rsid w:val="00CF34A5"/>
    <w:rsid w:val="00CF34AB"/>
    <w:rsid w:val="00CF3532"/>
    <w:rsid w:val="00CF3622"/>
    <w:rsid w:val="00CF3628"/>
    <w:rsid w:val="00CF363D"/>
    <w:rsid w:val="00CF36E0"/>
    <w:rsid w:val="00CF374E"/>
    <w:rsid w:val="00CF3754"/>
    <w:rsid w:val="00CF37A9"/>
    <w:rsid w:val="00CF37F2"/>
    <w:rsid w:val="00CF381A"/>
    <w:rsid w:val="00CF3856"/>
    <w:rsid w:val="00CF387E"/>
    <w:rsid w:val="00CF38D2"/>
    <w:rsid w:val="00CF3962"/>
    <w:rsid w:val="00CF3971"/>
    <w:rsid w:val="00CF399C"/>
    <w:rsid w:val="00CF399F"/>
    <w:rsid w:val="00CF39A7"/>
    <w:rsid w:val="00CF39FC"/>
    <w:rsid w:val="00CF3A02"/>
    <w:rsid w:val="00CF3A06"/>
    <w:rsid w:val="00CF3A2E"/>
    <w:rsid w:val="00CF3A8D"/>
    <w:rsid w:val="00CF3AB3"/>
    <w:rsid w:val="00CF3B0B"/>
    <w:rsid w:val="00CF3B82"/>
    <w:rsid w:val="00CF3BF9"/>
    <w:rsid w:val="00CF3C03"/>
    <w:rsid w:val="00CF3C0C"/>
    <w:rsid w:val="00CF3C24"/>
    <w:rsid w:val="00CF3C5C"/>
    <w:rsid w:val="00CF3C92"/>
    <w:rsid w:val="00CF3C9A"/>
    <w:rsid w:val="00CF3CB9"/>
    <w:rsid w:val="00CF3D2B"/>
    <w:rsid w:val="00CF3D3B"/>
    <w:rsid w:val="00CF3DBC"/>
    <w:rsid w:val="00CF3DD6"/>
    <w:rsid w:val="00CF3DDB"/>
    <w:rsid w:val="00CF3E4C"/>
    <w:rsid w:val="00CF3E80"/>
    <w:rsid w:val="00CF3EF8"/>
    <w:rsid w:val="00CF3F0C"/>
    <w:rsid w:val="00CF3F64"/>
    <w:rsid w:val="00CF3F8C"/>
    <w:rsid w:val="00CF3FF6"/>
    <w:rsid w:val="00CF4024"/>
    <w:rsid w:val="00CF4053"/>
    <w:rsid w:val="00CF4065"/>
    <w:rsid w:val="00CF407F"/>
    <w:rsid w:val="00CF40D9"/>
    <w:rsid w:val="00CF4108"/>
    <w:rsid w:val="00CF411D"/>
    <w:rsid w:val="00CF4153"/>
    <w:rsid w:val="00CF421D"/>
    <w:rsid w:val="00CF4245"/>
    <w:rsid w:val="00CF4256"/>
    <w:rsid w:val="00CF4289"/>
    <w:rsid w:val="00CF4295"/>
    <w:rsid w:val="00CF4344"/>
    <w:rsid w:val="00CF4375"/>
    <w:rsid w:val="00CF43F4"/>
    <w:rsid w:val="00CF447D"/>
    <w:rsid w:val="00CF44B6"/>
    <w:rsid w:val="00CF4561"/>
    <w:rsid w:val="00CF4586"/>
    <w:rsid w:val="00CF45AF"/>
    <w:rsid w:val="00CF45C2"/>
    <w:rsid w:val="00CF45ED"/>
    <w:rsid w:val="00CF4654"/>
    <w:rsid w:val="00CF465D"/>
    <w:rsid w:val="00CF46A2"/>
    <w:rsid w:val="00CF46AC"/>
    <w:rsid w:val="00CF46B1"/>
    <w:rsid w:val="00CF46D0"/>
    <w:rsid w:val="00CF46D5"/>
    <w:rsid w:val="00CF471D"/>
    <w:rsid w:val="00CF4808"/>
    <w:rsid w:val="00CF480F"/>
    <w:rsid w:val="00CF4823"/>
    <w:rsid w:val="00CF484B"/>
    <w:rsid w:val="00CF486B"/>
    <w:rsid w:val="00CF488A"/>
    <w:rsid w:val="00CF48F8"/>
    <w:rsid w:val="00CF4941"/>
    <w:rsid w:val="00CF4A73"/>
    <w:rsid w:val="00CF4A8D"/>
    <w:rsid w:val="00CF4AA6"/>
    <w:rsid w:val="00CF4B3D"/>
    <w:rsid w:val="00CF4C4A"/>
    <w:rsid w:val="00CF4C5A"/>
    <w:rsid w:val="00CF4C6D"/>
    <w:rsid w:val="00CF4C82"/>
    <w:rsid w:val="00CF4E64"/>
    <w:rsid w:val="00CF4EE4"/>
    <w:rsid w:val="00CF4F2B"/>
    <w:rsid w:val="00CF4F4E"/>
    <w:rsid w:val="00CF4FA6"/>
    <w:rsid w:val="00CF4FDD"/>
    <w:rsid w:val="00CF4FF5"/>
    <w:rsid w:val="00CF5002"/>
    <w:rsid w:val="00CF5074"/>
    <w:rsid w:val="00CF50B7"/>
    <w:rsid w:val="00CF50E7"/>
    <w:rsid w:val="00CF50F5"/>
    <w:rsid w:val="00CF5100"/>
    <w:rsid w:val="00CF5119"/>
    <w:rsid w:val="00CF5153"/>
    <w:rsid w:val="00CF5156"/>
    <w:rsid w:val="00CF519E"/>
    <w:rsid w:val="00CF51D3"/>
    <w:rsid w:val="00CF51DD"/>
    <w:rsid w:val="00CF5216"/>
    <w:rsid w:val="00CF522E"/>
    <w:rsid w:val="00CF524D"/>
    <w:rsid w:val="00CF52D6"/>
    <w:rsid w:val="00CF534F"/>
    <w:rsid w:val="00CF53BE"/>
    <w:rsid w:val="00CF53CC"/>
    <w:rsid w:val="00CF542F"/>
    <w:rsid w:val="00CF5454"/>
    <w:rsid w:val="00CF5456"/>
    <w:rsid w:val="00CF546F"/>
    <w:rsid w:val="00CF5488"/>
    <w:rsid w:val="00CF55C8"/>
    <w:rsid w:val="00CF55E9"/>
    <w:rsid w:val="00CF55F9"/>
    <w:rsid w:val="00CF567E"/>
    <w:rsid w:val="00CF5695"/>
    <w:rsid w:val="00CF56DC"/>
    <w:rsid w:val="00CF574B"/>
    <w:rsid w:val="00CF580A"/>
    <w:rsid w:val="00CF5856"/>
    <w:rsid w:val="00CF58A9"/>
    <w:rsid w:val="00CF58B1"/>
    <w:rsid w:val="00CF5915"/>
    <w:rsid w:val="00CF5996"/>
    <w:rsid w:val="00CF5A68"/>
    <w:rsid w:val="00CF5AE3"/>
    <w:rsid w:val="00CF5B02"/>
    <w:rsid w:val="00CF5B1F"/>
    <w:rsid w:val="00CF5BA9"/>
    <w:rsid w:val="00CF5BFF"/>
    <w:rsid w:val="00CF5C52"/>
    <w:rsid w:val="00CF5CA2"/>
    <w:rsid w:val="00CF5CC7"/>
    <w:rsid w:val="00CF5CCE"/>
    <w:rsid w:val="00CF5CDE"/>
    <w:rsid w:val="00CF5DA9"/>
    <w:rsid w:val="00CF5DD7"/>
    <w:rsid w:val="00CF5DF6"/>
    <w:rsid w:val="00CF5E6F"/>
    <w:rsid w:val="00CF5EEB"/>
    <w:rsid w:val="00CF5F7C"/>
    <w:rsid w:val="00CF5F8C"/>
    <w:rsid w:val="00CF5F98"/>
    <w:rsid w:val="00CF5FFB"/>
    <w:rsid w:val="00CF6009"/>
    <w:rsid w:val="00CF6058"/>
    <w:rsid w:val="00CF60A5"/>
    <w:rsid w:val="00CF60C9"/>
    <w:rsid w:val="00CF6101"/>
    <w:rsid w:val="00CF6155"/>
    <w:rsid w:val="00CF6195"/>
    <w:rsid w:val="00CF61A9"/>
    <w:rsid w:val="00CF61AA"/>
    <w:rsid w:val="00CF61FC"/>
    <w:rsid w:val="00CF6295"/>
    <w:rsid w:val="00CF6327"/>
    <w:rsid w:val="00CF6337"/>
    <w:rsid w:val="00CF638C"/>
    <w:rsid w:val="00CF63C9"/>
    <w:rsid w:val="00CF63CD"/>
    <w:rsid w:val="00CF63D4"/>
    <w:rsid w:val="00CF63D8"/>
    <w:rsid w:val="00CF6450"/>
    <w:rsid w:val="00CF64CF"/>
    <w:rsid w:val="00CF64DC"/>
    <w:rsid w:val="00CF64E5"/>
    <w:rsid w:val="00CF6534"/>
    <w:rsid w:val="00CF65BB"/>
    <w:rsid w:val="00CF6608"/>
    <w:rsid w:val="00CF6621"/>
    <w:rsid w:val="00CF663C"/>
    <w:rsid w:val="00CF6653"/>
    <w:rsid w:val="00CF665F"/>
    <w:rsid w:val="00CF6671"/>
    <w:rsid w:val="00CF6673"/>
    <w:rsid w:val="00CF6692"/>
    <w:rsid w:val="00CF66A6"/>
    <w:rsid w:val="00CF66E6"/>
    <w:rsid w:val="00CF6867"/>
    <w:rsid w:val="00CF68ED"/>
    <w:rsid w:val="00CF6958"/>
    <w:rsid w:val="00CF698D"/>
    <w:rsid w:val="00CF69B0"/>
    <w:rsid w:val="00CF6A09"/>
    <w:rsid w:val="00CF6A1C"/>
    <w:rsid w:val="00CF6A3E"/>
    <w:rsid w:val="00CF6ABA"/>
    <w:rsid w:val="00CF6AC7"/>
    <w:rsid w:val="00CF6AF1"/>
    <w:rsid w:val="00CF6AF2"/>
    <w:rsid w:val="00CF6B29"/>
    <w:rsid w:val="00CF6B5B"/>
    <w:rsid w:val="00CF6B83"/>
    <w:rsid w:val="00CF6C06"/>
    <w:rsid w:val="00CF6C3F"/>
    <w:rsid w:val="00CF6C66"/>
    <w:rsid w:val="00CF6CCD"/>
    <w:rsid w:val="00CF6CEB"/>
    <w:rsid w:val="00CF6D36"/>
    <w:rsid w:val="00CF6D43"/>
    <w:rsid w:val="00CF6D45"/>
    <w:rsid w:val="00CF6D71"/>
    <w:rsid w:val="00CF6D9B"/>
    <w:rsid w:val="00CF6DEC"/>
    <w:rsid w:val="00CF6E0E"/>
    <w:rsid w:val="00CF6E2A"/>
    <w:rsid w:val="00CF6EC8"/>
    <w:rsid w:val="00CF6F29"/>
    <w:rsid w:val="00CF6F42"/>
    <w:rsid w:val="00CF6F92"/>
    <w:rsid w:val="00CF6FF7"/>
    <w:rsid w:val="00CF7016"/>
    <w:rsid w:val="00CF70B6"/>
    <w:rsid w:val="00CF70D3"/>
    <w:rsid w:val="00CF70E0"/>
    <w:rsid w:val="00CF7173"/>
    <w:rsid w:val="00CF717E"/>
    <w:rsid w:val="00CF7192"/>
    <w:rsid w:val="00CF719B"/>
    <w:rsid w:val="00CF719F"/>
    <w:rsid w:val="00CF71A1"/>
    <w:rsid w:val="00CF71FC"/>
    <w:rsid w:val="00CF7220"/>
    <w:rsid w:val="00CF7224"/>
    <w:rsid w:val="00CF7229"/>
    <w:rsid w:val="00CF727C"/>
    <w:rsid w:val="00CF7292"/>
    <w:rsid w:val="00CF72D6"/>
    <w:rsid w:val="00CF72ED"/>
    <w:rsid w:val="00CF72F2"/>
    <w:rsid w:val="00CF7306"/>
    <w:rsid w:val="00CF731C"/>
    <w:rsid w:val="00CF73BE"/>
    <w:rsid w:val="00CF73DC"/>
    <w:rsid w:val="00CF73E6"/>
    <w:rsid w:val="00CF7426"/>
    <w:rsid w:val="00CF749F"/>
    <w:rsid w:val="00CF74BF"/>
    <w:rsid w:val="00CF74D9"/>
    <w:rsid w:val="00CF7547"/>
    <w:rsid w:val="00CF7566"/>
    <w:rsid w:val="00CF7595"/>
    <w:rsid w:val="00CF75A8"/>
    <w:rsid w:val="00CF75BF"/>
    <w:rsid w:val="00CF7680"/>
    <w:rsid w:val="00CF76B7"/>
    <w:rsid w:val="00CF76CB"/>
    <w:rsid w:val="00CF771B"/>
    <w:rsid w:val="00CF7758"/>
    <w:rsid w:val="00CF7773"/>
    <w:rsid w:val="00CF7776"/>
    <w:rsid w:val="00CF7784"/>
    <w:rsid w:val="00CF7803"/>
    <w:rsid w:val="00CF7878"/>
    <w:rsid w:val="00CF7883"/>
    <w:rsid w:val="00CF78D7"/>
    <w:rsid w:val="00CF78EA"/>
    <w:rsid w:val="00CF7907"/>
    <w:rsid w:val="00CF796A"/>
    <w:rsid w:val="00CF79B3"/>
    <w:rsid w:val="00CF7A27"/>
    <w:rsid w:val="00CF7A28"/>
    <w:rsid w:val="00CF7AEA"/>
    <w:rsid w:val="00CF7B1E"/>
    <w:rsid w:val="00CF7B21"/>
    <w:rsid w:val="00CF7B34"/>
    <w:rsid w:val="00CF7BA7"/>
    <w:rsid w:val="00CF7BDA"/>
    <w:rsid w:val="00CF7BE8"/>
    <w:rsid w:val="00CF7BEB"/>
    <w:rsid w:val="00CF7D20"/>
    <w:rsid w:val="00CF7D27"/>
    <w:rsid w:val="00CF7D3F"/>
    <w:rsid w:val="00CF7D52"/>
    <w:rsid w:val="00CF7DDD"/>
    <w:rsid w:val="00CF7E0D"/>
    <w:rsid w:val="00CF7EB9"/>
    <w:rsid w:val="00CF7EC6"/>
    <w:rsid w:val="00D00069"/>
    <w:rsid w:val="00D0008A"/>
    <w:rsid w:val="00D00094"/>
    <w:rsid w:val="00D000AB"/>
    <w:rsid w:val="00D000C4"/>
    <w:rsid w:val="00D00107"/>
    <w:rsid w:val="00D00189"/>
    <w:rsid w:val="00D0027C"/>
    <w:rsid w:val="00D00280"/>
    <w:rsid w:val="00D00283"/>
    <w:rsid w:val="00D002F3"/>
    <w:rsid w:val="00D002FD"/>
    <w:rsid w:val="00D00336"/>
    <w:rsid w:val="00D0036C"/>
    <w:rsid w:val="00D003A5"/>
    <w:rsid w:val="00D0049B"/>
    <w:rsid w:val="00D004AB"/>
    <w:rsid w:val="00D004FF"/>
    <w:rsid w:val="00D005EE"/>
    <w:rsid w:val="00D0067F"/>
    <w:rsid w:val="00D006DC"/>
    <w:rsid w:val="00D006EB"/>
    <w:rsid w:val="00D00726"/>
    <w:rsid w:val="00D007E3"/>
    <w:rsid w:val="00D007FF"/>
    <w:rsid w:val="00D00838"/>
    <w:rsid w:val="00D0084E"/>
    <w:rsid w:val="00D00857"/>
    <w:rsid w:val="00D0085B"/>
    <w:rsid w:val="00D008B5"/>
    <w:rsid w:val="00D008CB"/>
    <w:rsid w:val="00D008F4"/>
    <w:rsid w:val="00D00911"/>
    <w:rsid w:val="00D00924"/>
    <w:rsid w:val="00D0094A"/>
    <w:rsid w:val="00D0097E"/>
    <w:rsid w:val="00D009AE"/>
    <w:rsid w:val="00D00A08"/>
    <w:rsid w:val="00D00A8D"/>
    <w:rsid w:val="00D00ABA"/>
    <w:rsid w:val="00D00AD0"/>
    <w:rsid w:val="00D00AFB"/>
    <w:rsid w:val="00D00B06"/>
    <w:rsid w:val="00D00B7E"/>
    <w:rsid w:val="00D00BCF"/>
    <w:rsid w:val="00D00BDB"/>
    <w:rsid w:val="00D00BDF"/>
    <w:rsid w:val="00D00C31"/>
    <w:rsid w:val="00D00CC5"/>
    <w:rsid w:val="00D00CFA"/>
    <w:rsid w:val="00D00D3A"/>
    <w:rsid w:val="00D00DBB"/>
    <w:rsid w:val="00D00DC3"/>
    <w:rsid w:val="00D00DE6"/>
    <w:rsid w:val="00D00DF3"/>
    <w:rsid w:val="00D00DF6"/>
    <w:rsid w:val="00D00E34"/>
    <w:rsid w:val="00D00E5C"/>
    <w:rsid w:val="00D00EF3"/>
    <w:rsid w:val="00D00F06"/>
    <w:rsid w:val="00D00F33"/>
    <w:rsid w:val="00D00F77"/>
    <w:rsid w:val="00D00F8B"/>
    <w:rsid w:val="00D00FDA"/>
    <w:rsid w:val="00D00FF1"/>
    <w:rsid w:val="00D01103"/>
    <w:rsid w:val="00D01136"/>
    <w:rsid w:val="00D01158"/>
    <w:rsid w:val="00D0116F"/>
    <w:rsid w:val="00D0117E"/>
    <w:rsid w:val="00D011C0"/>
    <w:rsid w:val="00D011FD"/>
    <w:rsid w:val="00D01213"/>
    <w:rsid w:val="00D0122B"/>
    <w:rsid w:val="00D01233"/>
    <w:rsid w:val="00D012D0"/>
    <w:rsid w:val="00D013D9"/>
    <w:rsid w:val="00D01433"/>
    <w:rsid w:val="00D01451"/>
    <w:rsid w:val="00D014A2"/>
    <w:rsid w:val="00D014AE"/>
    <w:rsid w:val="00D014B8"/>
    <w:rsid w:val="00D014BB"/>
    <w:rsid w:val="00D014C7"/>
    <w:rsid w:val="00D014DB"/>
    <w:rsid w:val="00D014DF"/>
    <w:rsid w:val="00D01544"/>
    <w:rsid w:val="00D0154F"/>
    <w:rsid w:val="00D01569"/>
    <w:rsid w:val="00D01589"/>
    <w:rsid w:val="00D015A1"/>
    <w:rsid w:val="00D015C5"/>
    <w:rsid w:val="00D015E9"/>
    <w:rsid w:val="00D0163C"/>
    <w:rsid w:val="00D01727"/>
    <w:rsid w:val="00D0173A"/>
    <w:rsid w:val="00D0177F"/>
    <w:rsid w:val="00D01798"/>
    <w:rsid w:val="00D017D6"/>
    <w:rsid w:val="00D0181C"/>
    <w:rsid w:val="00D01868"/>
    <w:rsid w:val="00D018C1"/>
    <w:rsid w:val="00D018E5"/>
    <w:rsid w:val="00D0192C"/>
    <w:rsid w:val="00D019BE"/>
    <w:rsid w:val="00D01A12"/>
    <w:rsid w:val="00D01AAE"/>
    <w:rsid w:val="00D01AB3"/>
    <w:rsid w:val="00D01AF9"/>
    <w:rsid w:val="00D01AFF"/>
    <w:rsid w:val="00D01B01"/>
    <w:rsid w:val="00D01B4B"/>
    <w:rsid w:val="00D01B9E"/>
    <w:rsid w:val="00D01C75"/>
    <w:rsid w:val="00D01CD3"/>
    <w:rsid w:val="00D01CE6"/>
    <w:rsid w:val="00D01D01"/>
    <w:rsid w:val="00D01D07"/>
    <w:rsid w:val="00D01D96"/>
    <w:rsid w:val="00D01E02"/>
    <w:rsid w:val="00D01E24"/>
    <w:rsid w:val="00D01EB0"/>
    <w:rsid w:val="00D01ED6"/>
    <w:rsid w:val="00D01F3D"/>
    <w:rsid w:val="00D01F53"/>
    <w:rsid w:val="00D01F9C"/>
    <w:rsid w:val="00D01FE3"/>
    <w:rsid w:val="00D01FED"/>
    <w:rsid w:val="00D02157"/>
    <w:rsid w:val="00D0215E"/>
    <w:rsid w:val="00D021AE"/>
    <w:rsid w:val="00D0221D"/>
    <w:rsid w:val="00D02233"/>
    <w:rsid w:val="00D0225E"/>
    <w:rsid w:val="00D02266"/>
    <w:rsid w:val="00D0226B"/>
    <w:rsid w:val="00D0228B"/>
    <w:rsid w:val="00D0228E"/>
    <w:rsid w:val="00D022B8"/>
    <w:rsid w:val="00D022C5"/>
    <w:rsid w:val="00D02355"/>
    <w:rsid w:val="00D02398"/>
    <w:rsid w:val="00D023AF"/>
    <w:rsid w:val="00D023C0"/>
    <w:rsid w:val="00D02473"/>
    <w:rsid w:val="00D02483"/>
    <w:rsid w:val="00D024A9"/>
    <w:rsid w:val="00D02505"/>
    <w:rsid w:val="00D025BB"/>
    <w:rsid w:val="00D02732"/>
    <w:rsid w:val="00D0273F"/>
    <w:rsid w:val="00D02740"/>
    <w:rsid w:val="00D02754"/>
    <w:rsid w:val="00D02784"/>
    <w:rsid w:val="00D0278F"/>
    <w:rsid w:val="00D027B6"/>
    <w:rsid w:val="00D027C4"/>
    <w:rsid w:val="00D027D3"/>
    <w:rsid w:val="00D02802"/>
    <w:rsid w:val="00D02804"/>
    <w:rsid w:val="00D028C6"/>
    <w:rsid w:val="00D028C7"/>
    <w:rsid w:val="00D02907"/>
    <w:rsid w:val="00D0292B"/>
    <w:rsid w:val="00D02933"/>
    <w:rsid w:val="00D02944"/>
    <w:rsid w:val="00D02958"/>
    <w:rsid w:val="00D02A14"/>
    <w:rsid w:val="00D02A95"/>
    <w:rsid w:val="00D02A9C"/>
    <w:rsid w:val="00D02B0D"/>
    <w:rsid w:val="00D02B78"/>
    <w:rsid w:val="00D02BA0"/>
    <w:rsid w:val="00D02BA7"/>
    <w:rsid w:val="00D02BB8"/>
    <w:rsid w:val="00D02BC5"/>
    <w:rsid w:val="00D02BD8"/>
    <w:rsid w:val="00D02BDB"/>
    <w:rsid w:val="00D02C00"/>
    <w:rsid w:val="00D02C7C"/>
    <w:rsid w:val="00D02CA9"/>
    <w:rsid w:val="00D02CC3"/>
    <w:rsid w:val="00D02CCD"/>
    <w:rsid w:val="00D02D1F"/>
    <w:rsid w:val="00D02D37"/>
    <w:rsid w:val="00D02D63"/>
    <w:rsid w:val="00D02D6D"/>
    <w:rsid w:val="00D02DD7"/>
    <w:rsid w:val="00D02E18"/>
    <w:rsid w:val="00D02E30"/>
    <w:rsid w:val="00D02E3E"/>
    <w:rsid w:val="00D02E3F"/>
    <w:rsid w:val="00D02E95"/>
    <w:rsid w:val="00D02EA2"/>
    <w:rsid w:val="00D02ECE"/>
    <w:rsid w:val="00D02EE2"/>
    <w:rsid w:val="00D02EF5"/>
    <w:rsid w:val="00D02F00"/>
    <w:rsid w:val="00D02F2A"/>
    <w:rsid w:val="00D02F53"/>
    <w:rsid w:val="00D02F7E"/>
    <w:rsid w:val="00D02F82"/>
    <w:rsid w:val="00D02F9F"/>
    <w:rsid w:val="00D02FDB"/>
    <w:rsid w:val="00D03003"/>
    <w:rsid w:val="00D0303E"/>
    <w:rsid w:val="00D03055"/>
    <w:rsid w:val="00D0306D"/>
    <w:rsid w:val="00D03083"/>
    <w:rsid w:val="00D030A3"/>
    <w:rsid w:val="00D030CB"/>
    <w:rsid w:val="00D030E9"/>
    <w:rsid w:val="00D03126"/>
    <w:rsid w:val="00D0317E"/>
    <w:rsid w:val="00D0322D"/>
    <w:rsid w:val="00D0323B"/>
    <w:rsid w:val="00D0326A"/>
    <w:rsid w:val="00D03283"/>
    <w:rsid w:val="00D0328D"/>
    <w:rsid w:val="00D032A7"/>
    <w:rsid w:val="00D032A8"/>
    <w:rsid w:val="00D032B7"/>
    <w:rsid w:val="00D032C6"/>
    <w:rsid w:val="00D033A4"/>
    <w:rsid w:val="00D033AD"/>
    <w:rsid w:val="00D033C9"/>
    <w:rsid w:val="00D03411"/>
    <w:rsid w:val="00D0345F"/>
    <w:rsid w:val="00D0348B"/>
    <w:rsid w:val="00D034D6"/>
    <w:rsid w:val="00D034E4"/>
    <w:rsid w:val="00D0352B"/>
    <w:rsid w:val="00D03540"/>
    <w:rsid w:val="00D0358B"/>
    <w:rsid w:val="00D035FC"/>
    <w:rsid w:val="00D03603"/>
    <w:rsid w:val="00D03610"/>
    <w:rsid w:val="00D03651"/>
    <w:rsid w:val="00D0365A"/>
    <w:rsid w:val="00D0366F"/>
    <w:rsid w:val="00D036C5"/>
    <w:rsid w:val="00D037AF"/>
    <w:rsid w:val="00D0384A"/>
    <w:rsid w:val="00D03852"/>
    <w:rsid w:val="00D038B1"/>
    <w:rsid w:val="00D038C6"/>
    <w:rsid w:val="00D038D6"/>
    <w:rsid w:val="00D038E5"/>
    <w:rsid w:val="00D038F1"/>
    <w:rsid w:val="00D038FA"/>
    <w:rsid w:val="00D03916"/>
    <w:rsid w:val="00D03982"/>
    <w:rsid w:val="00D039F2"/>
    <w:rsid w:val="00D03A1E"/>
    <w:rsid w:val="00D03B07"/>
    <w:rsid w:val="00D03C2D"/>
    <w:rsid w:val="00D03C4A"/>
    <w:rsid w:val="00D03C6C"/>
    <w:rsid w:val="00D03C75"/>
    <w:rsid w:val="00D03C79"/>
    <w:rsid w:val="00D03C84"/>
    <w:rsid w:val="00D03D1A"/>
    <w:rsid w:val="00D03D3C"/>
    <w:rsid w:val="00D03DA4"/>
    <w:rsid w:val="00D03E5C"/>
    <w:rsid w:val="00D03F35"/>
    <w:rsid w:val="00D03FBD"/>
    <w:rsid w:val="00D0402A"/>
    <w:rsid w:val="00D0406A"/>
    <w:rsid w:val="00D04075"/>
    <w:rsid w:val="00D04098"/>
    <w:rsid w:val="00D040A8"/>
    <w:rsid w:val="00D0413C"/>
    <w:rsid w:val="00D0416C"/>
    <w:rsid w:val="00D0418E"/>
    <w:rsid w:val="00D041E8"/>
    <w:rsid w:val="00D04232"/>
    <w:rsid w:val="00D042A8"/>
    <w:rsid w:val="00D042BA"/>
    <w:rsid w:val="00D042C1"/>
    <w:rsid w:val="00D043A2"/>
    <w:rsid w:val="00D043B1"/>
    <w:rsid w:val="00D043BD"/>
    <w:rsid w:val="00D043CB"/>
    <w:rsid w:val="00D043E4"/>
    <w:rsid w:val="00D0441D"/>
    <w:rsid w:val="00D04437"/>
    <w:rsid w:val="00D04476"/>
    <w:rsid w:val="00D04488"/>
    <w:rsid w:val="00D044B7"/>
    <w:rsid w:val="00D044BB"/>
    <w:rsid w:val="00D044BC"/>
    <w:rsid w:val="00D044CE"/>
    <w:rsid w:val="00D04532"/>
    <w:rsid w:val="00D04598"/>
    <w:rsid w:val="00D045D8"/>
    <w:rsid w:val="00D04616"/>
    <w:rsid w:val="00D04631"/>
    <w:rsid w:val="00D0463E"/>
    <w:rsid w:val="00D04662"/>
    <w:rsid w:val="00D04771"/>
    <w:rsid w:val="00D047A8"/>
    <w:rsid w:val="00D047BE"/>
    <w:rsid w:val="00D04842"/>
    <w:rsid w:val="00D04859"/>
    <w:rsid w:val="00D0485B"/>
    <w:rsid w:val="00D048BB"/>
    <w:rsid w:val="00D04967"/>
    <w:rsid w:val="00D04A12"/>
    <w:rsid w:val="00D04A44"/>
    <w:rsid w:val="00D04A45"/>
    <w:rsid w:val="00D04A56"/>
    <w:rsid w:val="00D04A5E"/>
    <w:rsid w:val="00D04A74"/>
    <w:rsid w:val="00D04A79"/>
    <w:rsid w:val="00D04A9D"/>
    <w:rsid w:val="00D04AC7"/>
    <w:rsid w:val="00D04AE3"/>
    <w:rsid w:val="00D04B05"/>
    <w:rsid w:val="00D04B30"/>
    <w:rsid w:val="00D04B35"/>
    <w:rsid w:val="00D04B4E"/>
    <w:rsid w:val="00D04BD5"/>
    <w:rsid w:val="00D04BEE"/>
    <w:rsid w:val="00D04C49"/>
    <w:rsid w:val="00D04C5F"/>
    <w:rsid w:val="00D04D18"/>
    <w:rsid w:val="00D04D1C"/>
    <w:rsid w:val="00D04D23"/>
    <w:rsid w:val="00D04D71"/>
    <w:rsid w:val="00D04DCB"/>
    <w:rsid w:val="00D04E3B"/>
    <w:rsid w:val="00D04E8A"/>
    <w:rsid w:val="00D04EC9"/>
    <w:rsid w:val="00D04EEC"/>
    <w:rsid w:val="00D04F5B"/>
    <w:rsid w:val="00D04FA4"/>
    <w:rsid w:val="00D04FAB"/>
    <w:rsid w:val="00D04FB3"/>
    <w:rsid w:val="00D05003"/>
    <w:rsid w:val="00D0500C"/>
    <w:rsid w:val="00D0502B"/>
    <w:rsid w:val="00D05073"/>
    <w:rsid w:val="00D050C5"/>
    <w:rsid w:val="00D051A8"/>
    <w:rsid w:val="00D051B8"/>
    <w:rsid w:val="00D051D3"/>
    <w:rsid w:val="00D05249"/>
    <w:rsid w:val="00D05308"/>
    <w:rsid w:val="00D05357"/>
    <w:rsid w:val="00D053F8"/>
    <w:rsid w:val="00D05452"/>
    <w:rsid w:val="00D0550C"/>
    <w:rsid w:val="00D05521"/>
    <w:rsid w:val="00D0554F"/>
    <w:rsid w:val="00D055B0"/>
    <w:rsid w:val="00D055DA"/>
    <w:rsid w:val="00D055E7"/>
    <w:rsid w:val="00D05632"/>
    <w:rsid w:val="00D05655"/>
    <w:rsid w:val="00D0573C"/>
    <w:rsid w:val="00D0577D"/>
    <w:rsid w:val="00D05805"/>
    <w:rsid w:val="00D0580C"/>
    <w:rsid w:val="00D05830"/>
    <w:rsid w:val="00D05834"/>
    <w:rsid w:val="00D058AC"/>
    <w:rsid w:val="00D0596C"/>
    <w:rsid w:val="00D0597A"/>
    <w:rsid w:val="00D05981"/>
    <w:rsid w:val="00D05990"/>
    <w:rsid w:val="00D059A0"/>
    <w:rsid w:val="00D059AE"/>
    <w:rsid w:val="00D059CC"/>
    <w:rsid w:val="00D059F5"/>
    <w:rsid w:val="00D05A29"/>
    <w:rsid w:val="00D05A34"/>
    <w:rsid w:val="00D05A67"/>
    <w:rsid w:val="00D05ABE"/>
    <w:rsid w:val="00D05AE1"/>
    <w:rsid w:val="00D05B20"/>
    <w:rsid w:val="00D05B3D"/>
    <w:rsid w:val="00D05B74"/>
    <w:rsid w:val="00D05BDA"/>
    <w:rsid w:val="00D05BE2"/>
    <w:rsid w:val="00D05C74"/>
    <w:rsid w:val="00D05CAF"/>
    <w:rsid w:val="00D05CB5"/>
    <w:rsid w:val="00D05CC8"/>
    <w:rsid w:val="00D05CD0"/>
    <w:rsid w:val="00D05CD3"/>
    <w:rsid w:val="00D05CF1"/>
    <w:rsid w:val="00D05CFA"/>
    <w:rsid w:val="00D05D5B"/>
    <w:rsid w:val="00D05D72"/>
    <w:rsid w:val="00D05DDF"/>
    <w:rsid w:val="00D05E48"/>
    <w:rsid w:val="00D05E9E"/>
    <w:rsid w:val="00D05ED2"/>
    <w:rsid w:val="00D05EDA"/>
    <w:rsid w:val="00D05EED"/>
    <w:rsid w:val="00D05EEF"/>
    <w:rsid w:val="00D05F53"/>
    <w:rsid w:val="00D05F6C"/>
    <w:rsid w:val="00D05FF6"/>
    <w:rsid w:val="00D06042"/>
    <w:rsid w:val="00D06056"/>
    <w:rsid w:val="00D060A2"/>
    <w:rsid w:val="00D060ED"/>
    <w:rsid w:val="00D0618F"/>
    <w:rsid w:val="00D061CE"/>
    <w:rsid w:val="00D061D5"/>
    <w:rsid w:val="00D061FD"/>
    <w:rsid w:val="00D06210"/>
    <w:rsid w:val="00D06288"/>
    <w:rsid w:val="00D062A2"/>
    <w:rsid w:val="00D06329"/>
    <w:rsid w:val="00D06369"/>
    <w:rsid w:val="00D06376"/>
    <w:rsid w:val="00D06433"/>
    <w:rsid w:val="00D06480"/>
    <w:rsid w:val="00D06482"/>
    <w:rsid w:val="00D06497"/>
    <w:rsid w:val="00D064EE"/>
    <w:rsid w:val="00D06519"/>
    <w:rsid w:val="00D0656C"/>
    <w:rsid w:val="00D06590"/>
    <w:rsid w:val="00D065BF"/>
    <w:rsid w:val="00D06654"/>
    <w:rsid w:val="00D0671B"/>
    <w:rsid w:val="00D0672D"/>
    <w:rsid w:val="00D06734"/>
    <w:rsid w:val="00D0674B"/>
    <w:rsid w:val="00D067B4"/>
    <w:rsid w:val="00D06819"/>
    <w:rsid w:val="00D06854"/>
    <w:rsid w:val="00D06857"/>
    <w:rsid w:val="00D06915"/>
    <w:rsid w:val="00D06951"/>
    <w:rsid w:val="00D0695C"/>
    <w:rsid w:val="00D0696A"/>
    <w:rsid w:val="00D069C6"/>
    <w:rsid w:val="00D069E5"/>
    <w:rsid w:val="00D06A26"/>
    <w:rsid w:val="00D06A40"/>
    <w:rsid w:val="00D06A82"/>
    <w:rsid w:val="00D06AA6"/>
    <w:rsid w:val="00D06AB0"/>
    <w:rsid w:val="00D06AEC"/>
    <w:rsid w:val="00D06B6E"/>
    <w:rsid w:val="00D06BB6"/>
    <w:rsid w:val="00D06BE2"/>
    <w:rsid w:val="00D06BE9"/>
    <w:rsid w:val="00D06C04"/>
    <w:rsid w:val="00D06C26"/>
    <w:rsid w:val="00D06C6C"/>
    <w:rsid w:val="00D06CAD"/>
    <w:rsid w:val="00D06CDD"/>
    <w:rsid w:val="00D06D08"/>
    <w:rsid w:val="00D06D22"/>
    <w:rsid w:val="00D06D76"/>
    <w:rsid w:val="00D06D78"/>
    <w:rsid w:val="00D06E06"/>
    <w:rsid w:val="00D06E35"/>
    <w:rsid w:val="00D06E86"/>
    <w:rsid w:val="00D06EDF"/>
    <w:rsid w:val="00D06F1C"/>
    <w:rsid w:val="00D06F25"/>
    <w:rsid w:val="00D06F2E"/>
    <w:rsid w:val="00D06FE4"/>
    <w:rsid w:val="00D06FF3"/>
    <w:rsid w:val="00D070B9"/>
    <w:rsid w:val="00D070BB"/>
    <w:rsid w:val="00D070C2"/>
    <w:rsid w:val="00D070C3"/>
    <w:rsid w:val="00D070F6"/>
    <w:rsid w:val="00D0713D"/>
    <w:rsid w:val="00D0716A"/>
    <w:rsid w:val="00D071A3"/>
    <w:rsid w:val="00D0724C"/>
    <w:rsid w:val="00D07250"/>
    <w:rsid w:val="00D07255"/>
    <w:rsid w:val="00D072B8"/>
    <w:rsid w:val="00D07320"/>
    <w:rsid w:val="00D0732B"/>
    <w:rsid w:val="00D0736C"/>
    <w:rsid w:val="00D07388"/>
    <w:rsid w:val="00D07390"/>
    <w:rsid w:val="00D0739D"/>
    <w:rsid w:val="00D073D7"/>
    <w:rsid w:val="00D07453"/>
    <w:rsid w:val="00D07493"/>
    <w:rsid w:val="00D074C1"/>
    <w:rsid w:val="00D074C2"/>
    <w:rsid w:val="00D074D7"/>
    <w:rsid w:val="00D074F6"/>
    <w:rsid w:val="00D07571"/>
    <w:rsid w:val="00D075D3"/>
    <w:rsid w:val="00D075D7"/>
    <w:rsid w:val="00D07614"/>
    <w:rsid w:val="00D0766E"/>
    <w:rsid w:val="00D076A5"/>
    <w:rsid w:val="00D076AE"/>
    <w:rsid w:val="00D076C5"/>
    <w:rsid w:val="00D07706"/>
    <w:rsid w:val="00D0774B"/>
    <w:rsid w:val="00D07784"/>
    <w:rsid w:val="00D0781D"/>
    <w:rsid w:val="00D07875"/>
    <w:rsid w:val="00D078B3"/>
    <w:rsid w:val="00D0795A"/>
    <w:rsid w:val="00D079A3"/>
    <w:rsid w:val="00D079AD"/>
    <w:rsid w:val="00D079D7"/>
    <w:rsid w:val="00D079E9"/>
    <w:rsid w:val="00D07AB4"/>
    <w:rsid w:val="00D07AB7"/>
    <w:rsid w:val="00D07ADC"/>
    <w:rsid w:val="00D07B29"/>
    <w:rsid w:val="00D07B4F"/>
    <w:rsid w:val="00D07B88"/>
    <w:rsid w:val="00D07BB8"/>
    <w:rsid w:val="00D07BD5"/>
    <w:rsid w:val="00D07BEE"/>
    <w:rsid w:val="00D07C34"/>
    <w:rsid w:val="00D07C5C"/>
    <w:rsid w:val="00D07C8F"/>
    <w:rsid w:val="00D07CBC"/>
    <w:rsid w:val="00D07D2B"/>
    <w:rsid w:val="00D07D33"/>
    <w:rsid w:val="00D07D39"/>
    <w:rsid w:val="00D07D3A"/>
    <w:rsid w:val="00D07D3D"/>
    <w:rsid w:val="00D07D4B"/>
    <w:rsid w:val="00D07DC6"/>
    <w:rsid w:val="00D07DE4"/>
    <w:rsid w:val="00D07DE9"/>
    <w:rsid w:val="00D07E34"/>
    <w:rsid w:val="00D07EA1"/>
    <w:rsid w:val="00D07F33"/>
    <w:rsid w:val="00D07F5B"/>
    <w:rsid w:val="00D07F9A"/>
    <w:rsid w:val="00D07FA2"/>
    <w:rsid w:val="00D07FC4"/>
    <w:rsid w:val="00D07FE7"/>
    <w:rsid w:val="00D07FF6"/>
    <w:rsid w:val="00D1008B"/>
    <w:rsid w:val="00D100B9"/>
    <w:rsid w:val="00D100C7"/>
    <w:rsid w:val="00D100E6"/>
    <w:rsid w:val="00D100F2"/>
    <w:rsid w:val="00D1012F"/>
    <w:rsid w:val="00D10192"/>
    <w:rsid w:val="00D101B3"/>
    <w:rsid w:val="00D101E6"/>
    <w:rsid w:val="00D101F6"/>
    <w:rsid w:val="00D1022C"/>
    <w:rsid w:val="00D10260"/>
    <w:rsid w:val="00D1026B"/>
    <w:rsid w:val="00D102B0"/>
    <w:rsid w:val="00D102D2"/>
    <w:rsid w:val="00D10342"/>
    <w:rsid w:val="00D1035B"/>
    <w:rsid w:val="00D1037D"/>
    <w:rsid w:val="00D103A6"/>
    <w:rsid w:val="00D103C2"/>
    <w:rsid w:val="00D10406"/>
    <w:rsid w:val="00D10484"/>
    <w:rsid w:val="00D1049A"/>
    <w:rsid w:val="00D104F7"/>
    <w:rsid w:val="00D1052D"/>
    <w:rsid w:val="00D10545"/>
    <w:rsid w:val="00D1054E"/>
    <w:rsid w:val="00D10577"/>
    <w:rsid w:val="00D105B9"/>
    <w:rsid w:val="00D105F3"/>
    <w:rsid w:val="00D10615"/>
    <w:rsid w:val="00D10628"/>
    <w:rsid w:val="00D10671"/>
    <w:rsid w:val="00D106CF"/>
    <w:rsid w:val="00D10708"/>
    <w:rsid w:val="00D1070F"/>
    <w:rsid w:val="00D10737"/>
    <w:rsid w:val="00D1073D"/>
    <w:rsid w:val="00D10748"/>
    <w:rsid w:val="00D10805"/>
    <w:rsid w:val="00D10813"/>
    <w:rsid w:val="00D108F5"/>
    <w:rsid w:val="00D109FF"/>
    <w:rsid w:val="00D10A42"/>
    <w:rsid w:val="00D10A5B"/>
    <w:rsid w:val="00D10A5F"/>
    <w:rsid w:val="00D10AE2"/>
    <w:rsid w:val="00D10B88"/>
    <w:rsid w:val="00D10B8D"/>
    <w:rsid w:val="00D10BAF"/>
    <w:rsid w:val="00D10BD1"/>
    <w:rsid w:val="00D10BFE"/>
    <w:rsid w:val="00D10C19"/>
    <w:rsid w:val="00D10C73"/>
    <w:rsid w:val="00D10CE9"/>
    <w:rsid w:val="00D10D07"/>
    <w:rsid w:val="00D10D1F"/>
    <w:rsid w:val="00D10D89"/>
    <w:rsid w:val="00D10DCC"/>
    <w:rsid w:val="00D10DD2"/>
    <w:rsid w:val="00D10DD8"/>
    <w:rsid w:val="00D10E09"/>
    <w:rsid w:val="00D10E48"/>
    <w:rsid w:val="00D10EA7"/>
    <w:rsid w:val="00D10EBD"/>
    <w:rsid w:val="00D10EDE"/>
    <w:rsid w:val="00D10F9A"/>
    <w:rsid w:val="00D10FA4"/>
    <w:rsid w:val="00D11052"/>
    <w:rsid w:val="00D1105A"/>
    <w:rsid w:val="00D1107F"/>
    <w:rsid w:val="00D11088"/>
    <w:rsid w:val="00D110A7"/>
    <w:rsid w:val="00D11107"/>
    <w:rsid w:val="00D1111E"/>
    <w:rsid w:val="00D111E0"/>
    <w:rsid w:val="00D11355"/>
    <w:rsid w:val="00D1135E"/>
    <w:rsid w:val="00D113A3"/>
    <w:rsid w:val="00D113DB"/>
    <w:rsid w:val="00D1140D"/>
    <w:rsid w:val="00D11441"/>
    <w:rsid w:val="00D11459"/>
    <w:rsid w:val="00D11461"/>
    <w:rsid w:val="00D11485"/>
    <w:rsid w:val="00D11487"/>
    <w:rsid w:val="00D114BA"/>
    <w:rsid w:val="00D115DE"/>
    <w:rsid w:val="00D115F2"/>
    <w:rsid w:val="00D1161A"/>
    <w:rsid w:val="00D11659"/>
    <w:rsid w:val="00D1168F"/>
    <w:rsid w:val="00D11709"/>
    <w:rsid w:val="00D1179A"/>
    <w:rsid w:val="00D117C6"/>
    <w:rsid w:val="00D117D6"/>
    <w:rsid w:val="00D11842"/>
    <w:rsid w:val="00D118A2"/>
    <w:rsid w:val="00D11920"/>
    <w:rsid w:val="00D119BD"/>
    <w:rsid w:val="00D11A2B"/>
    <w:rsid w:val="00D11A69"/>
    <w:rsid w:val="00D11AB0"/>
    <w:rsid w:val="00D11AFF"/>
    <w:rsid w:val="00D11B2A"/>
    <w:rsid w:val="00D11B5D"/>
    <w:rsid w:val="00D11BAB"/>
    <w:rsid w:val="00D11C28"/>
    <w:rsid w:val="00D11C44"/>
    <w:rsid w:val="00D11C83"/>
    <w:rsid w:val="00D11CD4"/>
    <w:rsid w:val="00D11D0F"/>
    <w:rsid w:val="00D11D5A"/>
    <w:rsid w:val="00D11D78"/>
    <w:rsid w:val="00D11DCF"/>
    <w:rsid w:val="00D11E02"/>
    <w:rsid w:val="00D11EAD"/>
    <w:rsid w:val="00D11EC3"/>
    <w:rsid w:val="00D11EDD"/>
    <w:rsid w:val="00D11F55"/>
    <w:rsid w:val="00D12037"/>
    <w:rsid w:val="00D1203A"/>
    <w:rsid w:val="00D1206A"/>
    <w:rsid w:val="00D12148"/>
    <w:rsid w:val="00D121B2"/>
    <w:rsid w:val="00D121C4"/>
    <w:rsid w:val="00D121E1"/>
    <w:rsid w:val="00D121E7"/>
    <w:rsid w:val="00D121EA"/>
    <w:rsid w:val="00D12217"/>
    <w:rsid w:val="00D12220"/>
    <w:rsid w:val="00D12238"/>
    <w:rsid w:val="00D1229C"/>
    <w:rsid w:val="00D122A6"/>
    <w:rsid w:val="00D122FC"/>
    <w:rsid w:val="00D12339"/>
    <w:rsid w:val="00D1233C"/>
    <w:rsid w:val="00D1238E"/>
    <w:rsid w:val="00D123EB"/>
    <w:rsid w:val="00D1242F"/>
    <w:rsid w:val="00D12430"/>
    <w:rsid w:val="00D12438"/>
    <w:rsid w:val="00D1243E"/>
    <w:rsid w:val="00D124A4"/>
    <w:rsid w:val="00D124C8"/>
    <w:rsid w:val="00D124E4"/>
    <w:rsid w:val="00D124FA"/>
    <w:rsid w:val="00D12506"/>
    <w:rsid w:val="00D1254D"/>
    <w:rsid w:val="00D12589"/>
    <w:rsid w:val="00D1263E"/>
    <w:rsid w:val="00D1266D"/>
    <w:rsid w:val="00D12680"/>
    <w:rsid w:val="00D12685"/>
    <w:rsid w:val="00D1269B"/>
    <w:rsid w:val="00D1271C"/>
    <w:rsid w:val="00D1278F"/>
    <w:rsid w:val="00D127CF"/>
    <w:rsid w:val="00D127F1"/>
    <w:rsid w:val="00D12865"/>
    <w:rsid w:val="00D128B6"/>
    <w:rsid w:val="00D1299C"/>
    <w:rsid w:val="00D129DF"/>
    <w:rsid w:val="00D129F0"/>
    <w:rsid w:val="00D129F4"/>
    <w:rsid w:val="00D12A29"/>
    <w:rsid w:val="00D12ABB"/>
    <w:rsid w:val="00D12B04"/>
    <w:rsid w:val="00D12B1F"/>
    <w:rsid w:val="00D12BAA"/>
    <w:rsid w:val="00D12BEB"/>
    <w:rsid w:val="00D12BF0"/>
    <w:rsid w:val="00D12BF9"/>
    <w:rsid w:val="00D12C16"/>
    <w:rsid w:val="00D12C21"/>
    <w:rsid w:val="00D12C3B"/>
    <w:rsid w:val="00D12CAB"/>
    <w:rsid w:val="00D12CB3"/>
    <w:rsid w:val="00D12CDD"/>
    <w:rsid w:val="00D12D01"/>
    <w:rsid w:val="00D12D20"/>
    <w:rsid w:val="00D12D6D"/>
    <w:rsid w:val="00D12DD5"/>
    <w:rsid w:val="00D12E1A"/>
    <w:rsid w:val="00D12EC3"/>
    <w:rsid w:val="00D12ECB"/>
    <w:rsid w:val="00D12EE4"/>
    <w:rsid w:val="00D12EF7"/>
    <w:rsid w:val="00D12FAC"/>
    <w:rsid w:val="00D12FC2"/>
    <w:rsid w:val="00D12FDD"/>
    <w:rsid w:val="00D12FE5"/>
    <w:rsid w:val="00D13005"/>
    <w:rsid w:val="00D13047"/>
    <w:rsid w:val="00D1308A"/>
    <w:rsid w:val="00D13142"/>
    <w:rsid w:val="00D13144"/>
    <w:rsid w:val="00D1318C"/>
    <w:rsid w:val="00D131B5"/>
    <w:rsid w:val="00D13228"/>
    <w:rsid w:val="00D13239"/>
    <w:rsid w:val="00D1324A"/>
    <w:rsid w:val="00D1326F"/>
    <w:rsid w:val="00D1334B"/>
    <w:rsid w:val="00D1338D"/>
    <w:rsid w:val="00D133C9"/>
    <w:rsid w:val="00D13419"/>
    <w:rsid w:val="00D13456"/>
    <w:rsid w:val="00D1346A"/>
    <w:rsid w:val="00D134C9"/>
    <w:rsid w:val="00D13509"/>
    <w:rsid w:val="00D13525"/>
    <w:rsid w:val="00D135A9"/>
    <w:rsid w:val="00D135C4"/>
    <w:rsid w:val="00D135F0"/>
    <w:rsid w:val="00D13646"/>
    <w:rsid w:val="00D13713"/>
    <w:rsid w:val="00D137FA"/>
    <w:rsid w:val="00D13868"/>
    <w:rsid w:val="00D138DC"/>
    <w:rsid w:val="00D13971"/>
    <w:rsid w:val="00D13975"/>
    <w:rsid w:val="00D139D0"/>
    <w:rsid w:val="00D13A81"/>
    <w:rsid w:val="00D13AB0"/>
    <w:rsid w:val="00D13AD3"/>
    <w:rsid w:val="00D13B3A"/>
    <w:rsid w:val="00D13B4A"/>
    <w:rsid w:val="00D13B98"/>
    <w:rsid w:val="00D13B9E"/>
    <w:rsid w:val="00D13BF9"/>
    <w:rsid w:val="00D13C2B"/>
    <w:rsid w:val="00D13C2F"/>
    <w:rsid w:val="00D13C7C"/>
    <w:rsid w:val="00D13CFD"/>
    <w:rsid w:val="00D13D43"/>
    <w:rsid w:val="00D13D82"/>
    <w:rsid w:val="00D13D91"/>
    <w:rsid w:val="00D13E1B"/>
    <w:rsid w:val="00D13E34"/>
    <w:rsid w:val="00D13E49"/>
    <w:rsid w:val="00D13E5A"/>
    <w:rsid w:val="00D13E8B"/>
    <w:rsid w:val="00D13E95"/>
    <w:rsid w:val="00D13F24"/>
    <w:rsid w:val="00D13F93"/>
    <w:rsid w:val="00D13FD2"/>
    <w:rsid w:val="00D13FE5"/>
    <w:rsid w:val="00D1401C"/>
    <w:rsid w:val="00D14052"/>
    <w:rsid w:val="00D14064"/>
    <w:rsid w:val="00D14091"/>
    <w:rsid w:val="00D140D5"/>
    <w:rsid w:val="00D140FD"/>
    <w:rsid w:val="00D14117"/>
    <w:rsid w:val="00D14131"/>
    <w:rsid w:val="00D14160"/>
    <w:rsid w:val="00D14233"/>
    <w:rsid w:val="00D14240"/>
    <w:rsid w:val="00D142B8"/>
    <w:rsid w:val="00D142BB"/>
    <w:rsid w:val="00D1436B"/>
    <w:rsid w:val="00D1443A"/>
    <w:rsid w:val="00D1447B"/>
    <w:rsid w:val="00D144FA"/>
    <w:rsid w:val="00D1451F"/>
    <w:rsid w:val="00D1454E"/>
    <w:rsid w:val="00D14593"/>
    <w:rsid w:val="00D145A1"/>
    <w:rsid w:val="00D145C6"/>
    <w:rsid w:val="00D145E9"/>
    <w:rsid w:val="00D1464C"/>
    <w:rsid w:val="00D1466D"/>
    <w:rsid w:val="00D14688"/>
    <w:rsid w:val="00D1469D"/>
    <w:rsid w:val="00D146E1"/>
    <w:rsid w:val="00D14724"/>
    <w:rsid w:val="00D1475E"/>
    <w:rsid w:val="00D14780"/>
    <w:rsid w:val="00D147C2"/>
    <w:rsid w:val="00D147ED"/>
    <w:rsid w:val="00D148F6"/>
    <w:rsid w:val="00D148FD"/>
    <w:rsid w:val="00D14921"/>
    <w:rsid w:val="00D14925"/>
    <w:rsid w:val="00D14937"/>
    <w:rsid w:val="00D1497E"/>
    <w:rsid w:val="00D1499C"/>
    <w:rsid w:val="00D149DC"/>
    <w:rsid w:val="00D149FF"/>
    <w:rsid w:val="00D14A30"/>
    <w:rsid w:val="00D14A41"/>
    <w:rsid w:val="00D14A69"/>
    <w:rsid w:val="00D14A6A"/>
    <w:rsid w:val="00D14AA3"/>
    <w:rsid w:val="00D14AD0"/>
    <w:rsid w:val="00D14ADF"/>
    <w:rsid w:val="00D14B1A"/>
    <w:rsid w:val="00D14B63"/>
    <w:rsid w:val="00D14B8B"/>
    <w:rsid w:val="00D14BDC"/>
    <w:rsid w:val="00D14C04"/>
    <w:rsid w:val="00D14C23"/>
    <w:rsid w:val="00D14C62"/>
    <w:rsid w:val="00D14C6D"/>
    <w:rsid w:val="00D14C85"/>
    <w:rsid w:val="00D14CB3"/>
    <w:rsid w:val="00D14CE2"/>
    <w:rsid w:val="00D14D1F"/>
    <w:rsid w:val="00D14D89"/>
    <w:rsid w:val="00D14DCE"/>
    <w:rsid w:val="00D14E3B"/>
    <w:rsid w:val="00D14E67"/>
    <w:rsid w:val="00D14F24"/>
    <w:rsid w:val="00D14F43"/>
    <w:rsid w:val="00D14F7B"/>
    <w:rsid w:val="00D14F98"/>
    <w:rsid w:val="00D1501A"/>
    <w:rsid w:val="00D15060"/>
    <w:rsid w:val="00D15078"/>
    <w:rsid w:val="00D150F2"/>
    <w:rsid w:val="00D150FB"/>
    <w:rsid w:val="00D15137"/>
    <w:rsid w:val="00D15140"/>
    <w:rsid w:val="00D151DE"/>
    <w:rsid w:val="00D1522D"/>
    <w:rsid w:val="00D1524B"/>
    <w:rsid w:val="00D1528A"/>
    <w:rsid w:val="00D15304"/>
    <w:rsid w:val="00D15361"/>
    <w:rsid w:val="00D153AA"/>
    <w:rsid w:val="00D153E6"/>
    <w:rsid w:val="00D1544A"/>
    <w:rsid w:val="00D154A3"/>
    <w:rsid w:val="00D1553B"/>
    <w:rsid w:val="00D15583"/>
    <w:rsid w:val="00D1559E"/>
    <w:rsid w:val="00D155D1"/>
    <w:rsid w:val="00D15628"/>
    <w:rsid w:val="00D15680"/>
    <w:rsid w:val="00D15696"/>
    <w:rsid w:val="00D156A9"/>
    <w:rsid w:val="00D156AD"/>
    <w:rsid w:val="00D156DE"/>
    <w:rsid w:val="00D15725"/>
    <w:rsid w:val="00D15754"/>
    <w:rsid w:val="00D15773"/>
    <w:rsid w:val="00D15789"/>
    <w:rsid w:val="00D157C2"/>
    <w:rsid w:val="00D157D0"/>
    <w:rsid w:val="00D15875"/>
    <w:rsid w:val="00D15952"/>
    <w:rsid w:val="00D15957"/>
    <w:rsid w:val="00D159C0"/>
    <w:rsid w:val="00D159E3"/>
    <w:rsid w:val="00D15AAF"/>
    <w:rsid w:val="00D15AD7"/>
    <w:rsid w:val="00D15AE6"/>
    <w:rsid w:val="00D15AEB"/>
    <w:rsid w:val="00D15AFE"/>
    <w:rsid w:val="00D15B1D"/>
    <w:rsid w:val="00D15BA6"/>
    <w:rsid w:val="00D15BAE"/>
    <w:rsid w:val="00D15C09"/>
    <w:rsid w:val="00D15C6C"/>
    <w:rsid w:val="00D15C9C"/>
    <w:rsid w:val="00D15D06"/>
    <w:rsid w:val="00D15D2B"/>
    <w:rsid w:val="00D15DFA"/>
    <w:rsid w:val="00D15E3D"/>
    <w:rsid w:val="00D15E4B"/>
    <w:rsid w:val="00D15E5D"/>
    <w:rsid w:val="00D15E78"/>
    <w:rsid w:val="00D15E8B"/>
    <w:rsid w:val="00D15F26"/>
    <w:rsid w:val="00D15FA4"/>
    <w:rsid w:val="00D16037"/>
    <w:rsid w:val="00D16042"/>
    <w:rsid w:val="00D16082"/>
    <w:rsid w:val="00D1608C"/>
    <w:rsid w:val="00D160AB"/>
    <w:rsid w:val="00D160B0"/>
    <w:rsid w:val="00D160B7"/>
    <w:rsid w:val="00D160E1"/>
    <w:rsid w:val="00D160FF"/>
    <w:rsid w:val="00D16116"/>
    <w:rsid w:val="00D16163"/>
    <w:rsid w:val="00D16189"/>
    <w:rsid w:val="00D16227"/>
    <w:rsid w:val="00D16231"/>
    <w:rsid w:val="00D1629A"/>
    <w:rsid w:val="00D162C8"/>
    <w:rsid w:val="00D1631A"/>
    <w:rsid w:val="00D16337"/>
    <w:rsid w:val="00D1633E"/>
    <w:rsid w:val="00D1634A"/>
    <w:rsid w:val="00D163AE"/>
    <w:rsid w:val="00D16461"/>
    <w:rsid w:val="00D1646A"/>
    <w:rsid w:val="00D16496"/>
    <w:rsid w:val="00D1649F"/>
    <w:rsid w:val="00D16560"/>
    <w:rsid w:val="00D16565"/>
    <w:rsid w:val="00D165E8"/>
    <w:rsid w:val="00D16639"/>
    <w:rsid w:val="00D1663A"/>
    <w:rsid w:val="00D16643"/>
    <w:rsid w:val="00D16662"/>
    <w:rsid w:val="00D16682"/>
    <w:rsid w:val="00D166FB"/>
    <w:rsid w:val="00D16764"/>
    <w:rsid w:val="00D1682E"/>
    <w:rsid w:val="00D16832"/>
    <w:rsid w:val="00D168AA"/>
    <w:rsid w:val="00D16923"/>
    <w:rsid w:val="00D169C4"/>
    <w:rsid w:val="00D16A3D"/>
    <w:rsid w:val="00D16AB1"/>
    <w:rsid w:val="00D16B78"/>
    <w:rsid w:val="00D16BF2"/>
    <w:rsid w:val="00D16C07"/>
    <w:rsid w:val="00D16CC6"/>
    <w:rsid w:val="00D16D7B"/>
    <w:rsid w:val="00D16DAA"/>
    <w:rsid w:val="00D16DBF"/>
    <w:rsid w:val="00D16DC9"/>
    <w:rsid w:val="00D16DCF"/>
    <w:rsid w:val="00D16E03"/>
    <w:rsid w:val="00D16E0F"/>
    <w:rsid w:val="00D16E37"/>
    <w:rsid w:val="00D16E43"/>
    <w:rsid w:val="00D16E82"/>
    <w:rsid w:val="00D16E8C"/>
    <w:rsid w:val="00D16EC1"/>
    <w:rsid w:val="00D16F26"/>
    <w:rsid w:val="00D1700C"/>
    <w:rsid w:val="00D17014"/>
    <w:rsid w:val="00D170F8"/>
    <w:rsid w:val="00D17172"/>
    <w:rsid w:val="00D171A3"/>
    <w:rsid w:val="00D171BC"/>
    <w:rsid w:val="00D171BF"/>
    <w:rsid w:val="00D1724B"/>
    <w:rsid w:val="00D17264"/>
    <w:rsid w:val="00D1726B"/>
    <w:rsid w:val="00D172CD"/>
    <w:rsid w:val="00D172D0"/>
    <w:rsid w:val="00D172FA"/>
    <w:rsid w:val="00D17340"/>
    <w:rsid w:val="00D17371"/>
    <w:rsid w:val="00D173B7"/>
    <w:rsid w:val="00D173D9"/>
    <w:rsid w:val="00D17406"/>
    <w:rsid w:val="00D1742F"/>
    <w:rsid w:val="00D174B9"/>
    <w:rsid w:val="00D17556"/>
    <w:rsid w:val="00D175BC"/>
    <w:rsid w:val="00D175E7"/>
    <w:rsid w:val="00D175F7"/>
    <w:rsid w:val="00D175FA"/>
    <w:rsid w:val="00D175FB"/>
    <w:rsid w:val="00D17614"/>
    <w:rsid w:val="00D17665"/>
    <w:rsid w:val="00D176DD"/>
    <w:rsid w:val="00D176EF"/>
    <w:rsid w:val="00D176F1"/>
    <w:rsid w:val="00D177D1"/>
    <w:rsid w:val="00D177D8"/>
    <w:rsid w:val="00D1780D"/>
    <w:rsid w:val="00D1782B"/>
    <w:rsid w:val="00D1785C"/>
    <w:rsid w:val="00D178DB"/>
    <w:rsid w:val="00D178DE"/>
    <w:rsid w:val="00D178E0"/>
    <w:rsid w:val="00D17921"/>
    <w:rsid w:val="00D1792D"/>
    <w:rsid w:val="00D1799B"/>
    <w:rsid w:val="00D179CB"/>
    <w:rsid w:val="00D17A20"/>
    <w:rsid w:val="00D17A4C"/>
    <w:rsid w:val="00D17AA2"/>
    <w:rsid w:val="00D17AB4"/>
    <w:rsid w:val="00D17ADA"/>
    <w:rsid w:val="00D17AE7"/>
    <w:rsid w:val="00D17AED"/>
    <w:rsid w:val="00D17B4F"/>
    <w:rsid w:val="00D17BBB"/>
    <w:rsid w:val="00D17BD1"/>
    <w:rsid w:val="00D17BF4"/>
    <w:rsid w:val="00D17C0E"/>
    <w:rsid w:val="00D17E5E"/>
    <w:rsid w:val="00D17EF2"/>
    <w:rsid w:val="00D17F19"/>
    <w:rsid w:val="00D17F3A"/>
    <w:rsid w:val="00D17F3B"/>
    <w:rsid w:val="00D17F9B"/>
    <w:rsid w:val="00D17FD3"/>
    <w:rsid w:val="00D17FE5"/>
    <w:rsid w:val="00D1BAEC"/>
    <w:rsid w:val="00D1D47C"/>
    <w:rsid w:val="00D2004D"/>
    <w:rsid w:val="00D20070"/>
    <w:rsid w:val="00D20092"/>
    <w:rsid w:val="00D2009B"/>
    <w:rsid w:val="00D200B3"/>
    <w:rsid w:val="00D200CD"/>
    <w:rsid w:val="00D20120"/>
    <w:rsid w:val="00D20123"/>
    <w:rsid w:val="00D20129"/>
    <w:rsid w:val="00D20155"/>
    <w:rsid w:val="00D201DA"/>
    <w:rsid w:val="00D2022F"/>
    <w:rsid w:val="00D20294"/>
    <w:rsid w:val="00D20304"/>
    <w:rsid w:val="00D2030A"/>
    <w:rsid w:val="00D2031D"/>
    <w:rsid w:val="00D20328"/>
    <w:rsid w:val="00D20332"/>
    <w:rsid w:val="00D20398"/>
    <w:rsid w:val="00D2039D"/>
    <w:rsid w:val="00D203EB"/>
    <w:rsid w:val="00D20419"/>
    <w:rsid w:val="00D2045E"/>
    <w:rsid w:val="00D20483"/>
    <w:rsid w:val="00D20507"/>
    <w:rsid w:val="00D20532"/>
    <w:rsid w:val="00D20566"/>
    <w:rsid w:val="00D20618"/>
    <w:rsid w:val="00D20625"/>
    <w:rsid w:val="00D2062E"/>
    <w:rsid w:val="00D20677"/>
    <w:rsid w:val="00D2067B"/>
    <w:rsid w:val="00D206BA"/>
    <w:rsid w:val="00D206C3"/>
    <w:rsid w:val="00D206DB"/>
    <w:rsid w:val="00D206EC"/>
    <w:rsid w:val="00D2070C"/>
    <w:rsid w:val="00D20725"/>
    <w:rsid w:val="00D2075E"/>
    <w:rsid w:val="00D207DB"/>
    <w:rsid w:val="00D20813"/>
    <w:rsid w:val="00D2081B"/>
    <w:rsid w:val="00D20876"/>
    <w:rsid w:val="00D20943"/>
    <w:rsid w:val="00D20944"/>
    <w:rsid w:val="00D209F1"/>
    <w:rsid w:val="00D20A51"/>
    <w:rsid w:val="00D20A7F"/>
    <w:rsid w:val="00D20A85"/>
    <w:rsid w:val="00D20AAF"/>
    <w:rsid w:val="00D20B34"/>
    <w:rsid w:val="00D20B62"/>
    <w:rsid w:val="00D20BBD"/>
    <w:rsid w:val="00D20C01"/>
    <w:rsid w:val="00D20C47"/>
    <w:rsid w:val="00D20CE8"/>
    <w:rsid w:val="00D20D96"/>
    <w:rsid w:val="00D20DA0"/>
    <w:rsid w:val="00D20DC1"/>
    <w:rsid w:val="00D20E24"/>
    <w:rsid w:val="00D20E3A"/>
    <w:rsid w:val="00D20EF9"/>
    <w:rsid w:val="00D20F8B"/>
    <w:rsid w:val="00D20FD1"/>
    <w:rsid w:val="00D21006"/>
    <w:rsid w:val="00D210B3"/>
    <w:rsid w:val="00D210BB"/>
    <w:rsid w:val="00D2115E"/>
    <w:rsid w:val="00D21162"/>
    <w:rsid w:val="00D211A3"/>
    <w:rsid w:val="00D211BE"/>
    <w:rsid w:val="00D211CB"/>
    <w:rsid w:val="00D211E1"/>
    <w:rsid w:val="00D211ED"/>
    <w:rsid w:val="00D211F1"/>
    <w:rsid w:val="00D21255"/>
    <w:rsid w:val="00D2127B"/>
    <w:rsid w:val="00D212D2"/>
    <w:rsid w:val="00D212F4"/>
    <w:rsid w:val="00D212FE"/>
    <w:rsid w:val="00D2131B"/>
    <w:rsid w:val="00D2131C"/>
    <w:rsid w:val="00D2132A"/>
    <w:rsid w:val="00D21361"/>
    <w:rsid w:val="00D21377"/>
    <w:rsid w:val="00D213B3"/>
    <w:rsid w:val="00D213D9"/>
    <w:rsid w:val="00D213FB"/>
    <w:rsid w:val="00D21409"/>
    <w:rsid w:val="00D21454"/>
    <w:rsid w:val="00D21485"/>
    <w:rsid w:val="00D214AA"/>
    <w:rsid w:val="00D214BE"/>
    <w:rsid w:val="00D214EC"/>
    <w:rsid w:val="00D2150C"/>
    <w:rsid w:val="00D215BD"/>
    <w:rsid w:val="00D215E9"/>
    <w:rsid w:val="00D2163A"/>
    <w:rsid w:val="00D21647"/>
    <w:rsid w:val="00D216B9"/>
    <w:rsid w:val="00D216BF"/>
    <w:rsid w:val="00D216E4"/>
    <w:rsid w:val="00D2177B"/>
    <w:rsid w:val="00D217A0"/>
    <w:rsid w:val="00D217A2"/>
    <w:rsid w:val="00D217CE"/>
    <w:rsid w:val="00D217CF"/>
    <w:rsid w:val="00D217D5"/>
    <w:rsid w:val="00D217E4"/>
    <w:rsid w:val="00D217EE"/>
    <w:rsid w:val="00D217F0"/>
    <w:rsid w:val="00D2181D"/>
    <w:rsid w:val="00D2184C"/>
    <w:rsid w:val="00D21863"/>
    <w:rsid w:val="00D2196B"/>
    <w:rsid w:val="00D21987"/>
    <w:rsid w:val="00D219A9"/>
    <w:rsid w:val="00D219D0"/>
    <w:rsid w:val="00D21A1C"/>
    <w:rsid w:val="00D21A25"/>
    <w:rsid w:val="00D21A26"/>
    <w:rsid w:val="00D21B10"/>
    <w:rsid w:val="00D21B25"/>
    <w:rsid w:val="00D21B3A"/>
    <w:rsid w:val="00D21B46"/>
    <w:rsid w:val="00D21B47"/>
    <w:rsid w:val="00D21B72"/>
    <w:rsid w:val="00D21BA2"/>
    <w:rsid w:val="00D21C08"/>
    <w:rsid w:val="00D21C1D"/>
    <w:rsid w:val="00D21C75"/>
    <w:rsid w:val="00D21C7D"/>
    <w:rsid w:val="00D21C7F"/>
    <w:rsid w:val="00D21D2B"/>
    <w:rsid w:val="00D21D6C"/>
    <w:rsid w:val="00D21D7F"/>
    <w:rsid w:val="00D21E0C"/>
    <w:rsid w:val="00D21EC4"/>
    <w:rsid w:val="00D21F68"/>
    <w:rsid w:val="00D21F76"/>
    <w:rsid w:val="00D21FD4"/>
    <w:rsid w:val="00D22043"/>
    <w:rsid w:val="00D22074"/>
    <w:rsid w:val="00D2209E"/>
    <w:rsid w:val="00D220A5"/>
    <w:rsid w:val="00D22122"/>
    <w:rsid w:val="00D2213E"/>
    <w:rsid w:val="00D2214F"/>
    <w:rsid w:val="00D22170"/>
    <w:rsid w:val="00D221AE"/>
    <w:rsid w:val="00D221E9"/>
    <w:rsid w:val="00D22221"/>
    <w:rsid w:val="00D22228"/>
    <w:rsid w:val="00D22232"/>
    <w:rsid w:val="00D2227A"/>
    <w:rsid w:val="00D222F6"/>
    <w:rsid w:val="00D2234B"/>
    <w:rsid w:val="00D223AA"/>
    <w:rsid w:val="00D223F2"/>
    <w:rsid w:val="00D22425"/>
    <w:rsid w:val="00D22457"/>
    <w:rsid w:val="00D224AF"/>
    <w:rsid w:val="00D224C5"/>
    <w:rsid w:val="00D225A3"/>
    <w:rsid w:val="00D22621"/>
    <w:rsid w:val="00D2263D"/>
    <w:rsid w:val="00D2264B"/>
    <w:rsid w:val="00D2265A"/>
    <w:rsid w:val="00D2265B"/>
    <w:rsid w:val="00D2270E"/>
    <w:rsid w:val="00D22799"/>
    <w:rsid w:val="00D2286E"/>
    <w:rsid w:val="00D228A6"/>
    <w:rsid w:val="00D228D5"/>
    <w:rsid w:val="00D228E0"/>
    <w:rsid w:val="00D228FB"/>
    <w:rsid w:val="00D2290F"/>
    <w:rsid w:val="00D22949"/>
    <w:rsid w:val="00D22985"/>
    <w:rsid w:val="00D22994"/>
    <w:rsid w:val="00D229A1"/>
    <w:rsid w:val="00D229DA"/>
    <w:rsid w:val="00D22A52"/>
    <w:rsid w:val="00D22AE9"/>
    <w:rsid w:val="00D22B58"/>
    <w:rsid w:val="00D22C27"/>
    <w:rsid w:val="00D22C30"/>
    <w:rsid w:val="00D22C37"/>
    <w:rsid w:val="00D22C69"/>
    <w:rsid w:val="00D22C70"/>
    <w:rsid w:val="00D22CF3"/>
    <w:rsid w:val="00D22D8C"/>
    <w:rsid w:val="00D22D91"/>
    <w:rsid w:val="00D22DA5"/>
    <w:rsid w:val="00D22DE0"/>
    <w:rsid w:val="00D22EA0"/>
    <w:rsid w:val="00D22F31"/>
    <w:rsid w:val="00D22F5D"/>
    <w:rsid w:val="00D22F5F"/>
    <w:rsid w:val="00D22F77"/>
    <w:rsid w:val="00D23077"/>
    <w:rsid w:val="00D23079"/>
    <w:rsid w:val="00D230DF"/>
    <w:rsid w:val="00D230E4"/>
    <w:rsid w:val="00D23123"/>
    <w:rsid w:val="00D23164"/>
    <w:rsid w:val="00D231B6"/>
    <w:rsid w:val="00D2326D"/>
    <w:rsid w:val="00D232CA"/>
    <w:rsid w:val="00D232EE"/>
    <w:rsid w:val="00D23349"/>
    <w:rsid w:val="00D23376"/>
    <w:rsid w:val="00D23395"/>
    <w:rsid w:val="00D233A4"/>
    <w:rsid w:val="00D233C3"/>
    <w:rsid w:val="00D23409"/>
    <w:rsid w:val="00D23416"/>
    <w:rsid w:val="00D23464"/>
    <w:rsid w:val="00D23482"/>
    <w:rsid w:val="00D23489"/>
    <w:rsid w:val="00D234A0"/>
    <w:rsid w:val="00D234E2"/>
    <w:rsid w:val="00D23517"/>
    <w:rsid w:val="00D23525"/>
    <w:rsid w:val="00D235E3"/>
    <w:rsid w:val="00D2363D"/>
    <w:rsid w:val="00D23672"/>
    <w:rsid w:val="00D236E6"/>
    <w:rsid w:val="00D23723"/>
    <w:rsid w:val="00D23732"/>
    <w:rsid w:val="00D23736"/>
    <w:rsid w:val="00D23751"/>
    <w:rsid w:val="00D237F1"/>
    <w:rsid w:val="00D2386C"/>
    <w:rsid w:val="00D2388B"/>
    <w:rsid w:val="00D238CB"/>
    <w:rsid w:val="00D238FC"/>
    <w:rsid w:val="00D2396D"/>
    <w:rsid w:val="00D239CB"/>
    <w:rsid w:val="00D23A2C"/>
    <w:rsid w:val="00D23AC3"/>
    <w:rsid w:val="00D23AC9"/>
    <w:rsid w:val="00D23ACA"/>
    <w:rsid w:val="00D23B21"/>
    <w:rsid w:val="00D23B77"/>
    <w:rsid w:val="00D23BD5"/>
    <w:rsid w:val="00D23C5D"/>
    <w:rsid w:val="00D23CE0"/>
    <w:rsid w:val="00D23D76"/>
    <w:rsid w:val="00D23E40"/>
    <w:rsid w:val="00D23E67"/>
    <w:rsid w:val="00D23EA9"/>
    <w:rsid w:val="00D23EF0"/>
    <w:rsid w:val="00D23FD2"/>
    <w:rsid w:val="00D23FE3"/>
    <w:rsid w:val="00D24054"/>
    <w:rsid w:val="00D24083"/>
    <w:rsid w:val="00D240AA"/>
    <w:rsid w:val="00D24128"/>
    <w:rsid w:val="00D24171"/>
    <w:rsid w:val="00D2419F"/>
    <w:rsid w:val="00D2428F"/>
    <w:rsid w:val="00D2432A"/>
    <w:rsid w:val="00D24339"/>
    <w:rsid w:val="00D2435A"/>
    <w:rsid w:val="00D243CC"/>
    <w:rsid w:val="00D243E7"/>
    <w:rsid w:val="00D2441C"/>
    <w:rsid w:val="00D24454"/>
    <w:rsid w:val="00D2445B"/>
    <w:rsid w:val="00D244B5"/>
    <w:rsid w:val="00D244D1"/>
    <w:rsid w:val="00D24512"/>
    <w:rsid w:val="00D2456C"/>
    <w:rsid w:val="00D2457C"/>
    <w:rsid w:val="00D245CC"/>
    <w:rsid w:val="00D245EF"/>
    <w:rsid w:val="00D24625"/>
    <w:rsid w:val="00D2465D"/>
    <w:rsid w:val="00D2466A"/>
    <w:rsid w:val="00D246B8"/>
    <w:rsid w:val="00D246CD"/>
    <w:rsid w:val="00D246CF"/>
    <w:rsid w:val="00D246FC"/>
    <w:rsid w:val="00D2471D"/>
    <w:rsid w:val="00D24742"/>
    <w:rsid w:val="00D2477B"/>
    <w:rsid w:val="00D24821"/>
    <w:rsid w:val="00D24834"/>
    <w:rsid w:val="00D24860"/>
    <w:rsid w:val="00D248A5"/>
    <w:rsid w:val="00D2491B"/>
    <w:rsid w:val="00D2499C"/>
    <w:rsid w:val="00D249DE"/>
    <w:rsid w:val="00D24A9B"/>
    <w:rsid w:val="00D24AD4"/>
    <w:rsid w:val="00D24AE1"/>
    <w:rsid w:val="00D24B2F"/>
    <w:rsid w:val="00D24B90"/>
    <w:rsid w:val="00D24BC1"/>
    <w:rsid w:val="00D24BE9"/>
    <w:rsid w:val="00D24C04"/>
    <w:rsid w:val="00D24D50"/>
    <w:rsid w:val="00D24D55"/>
    <w:rsid w:val="00D24E11"/>
    <w:rsid w:val="00D24E6F"/>
    <w:rsid w:val="00D24E91"/>
    <w:rsid w:val="00D24E9C"/>
    <w:rsid w:val="00D24F00"/>
    <w:rsid w:val="00D24F60"/>
    <w:rsid w:val="00D24F62"/>
    <w:rsid w:val="00D25026"/>
    <w:rsid w:val="00D25028"/>
    <w:rsid w:val="00D25029"/>
    <w:rsid w:val="00D250F6"/>
    <w:rsid w:val="00D25116"/>
    <w:rsid w:val="00D25129"/>
    <w:rsid w:val="00D25131"/>
    <w:rsid w:val="00D25164"/>
    <w:rsid w:val="00D2516D"/>
    <w:rsid w:val="00D2517F"/>
    <w:rsid w:val="00D25185"/>
    <w:rsid w:val="00D2518E"/>
    <w:rsid w:val="00D251AE"/>
    <w:rsid w:val="00D251B0"/>
    <w:rsid w:val="00D251BE"/>
    <w:rsid w:val="00D2528E"/>
    <w:rsid w:val="00D252DB"/>
    <w:rsid w:val="00D25307"/>
    <w:rsid w:val="00D2530D"/>
    <w:rsid w:val="00D25386"/>
    <w:rsid w:val="00D253CB"/>
    <w:rsid w:val="00D253D6"/>
    <w:rsid w:val="00D2540A"/>
    <w:rsid w:val="00D2540F"/>
    <w:rsid w:val="00D25487"/>
    <w:rsid w:val="00D25488"/>
    <w:rsid w:val="00D25495"/>
    <w:rsid w:val="00D254AF"/>
    <w:rsid w:val="00D254FE"/>
    <w:rsid w:val="00D2550E"/>
    <w:rsid w:val="00D25573"/>
    <w:rsid w:val="00D25586"/>
    <w:rsid w:val="00D25592"/>
    <w:rsid w:val="00D255E0"/>
    <w:rsid w:val="00D255F8"/>
    <w:rsid w:val="00D25641"/>
    <w:rsid w:val="00D256A1"/>
    <w:rsid w:val="00D256AC"/>
    <w:rsid w:val="00D256D2"/>
    <w:rsid w:val="00D2570D"/>
    <w:rsid w:val="00D2571F"/>
    <w:rsid w:val="00D257A9"/>
    <w:rsid w:val="00D257B9"/>
    <w:rsid w:val="00D257F5"/>
    <w:rsid w:val="00D25804"/>
    <w:rsid w:val="00D2582E"/>
    <w:rsid w:val="00D25843"/>
    <w:rsid w:val="00D2584A"/>
    <w:rsid w:val="00D25882"/>
    <w:rsid w:val="00D25900"/>
    <w:rsid w:val="00D2592F"/>
    <w:rsid w:val="00D25938"/>
    <w:rsid w:val="00D259CC"/>
    <w:rsid w:val="00D25A61"/>
    <w:rsid w:val="00D25A9E"/>
    <w:rsid w:val="00D25ACB"/>
    <w:rsid w:val="00D25AED"/>
    <w:rsid w:val="00D25AF2"/>
    <w:rsid w:val="00D25AFA"/>
    <w:rsid w:val="00D25B4E"/>
    <w:rsid w:val="00D25B53"/>
    <w:rsid w:val="00D25BA1"/>
    <w:rsid w:val="00D25C5F"/>
    <w:rsid w:val="00D25D2A"/>
    <w:rsid w:val="00D25DBA"/>
    <w:rsid w:val="00D25E08"/>
    <w:rsid w:val="00D25EDF"/>
    <w:rsid w:val="00D25EFB"/>
    <w:rsid w:val="00D25F02"/>
    <w:rsid w:val="00D25F1D"/>
    <w:rsid w:val="00D25F4E"/>
    <w:rsid w:val="00D25F7D"/>
    <w:rsid w:val="00D25FA4"/>
    <w:rsid w:val="00D25FCD"/>
    <w:rsid w:val="00D25FD4"/>
    <w:rsid w:val="00D26001"/>
    <w:rsid w:val="00D260F7"/>
    <w:rsid w:val="00D2614F"/>
    <w:rsid w:val="00D261B8"/>
    <w:rsid w:val="00D2621A"/>
    <w:rsid w:val="00D26245"/>
    <w:rsid w:val="00D26255"/>
    <w:rsid w:val="00D26277"/>
    <w:rsid w:val="00D26278"/>
    <w:rsid w:val="00D262E0"/>
    <w:rsid w:val="00D262E7"/>
    <w:rsid w:val="00D26307"/>
    <w:rsid w:val="00D2630F"/>
    <w:rsid w:val="00D26359"/>
    <w:rsid w:val="00D2635E"/>
    <w:rsid w:val="00D26370"/>
    <w:rsid w:val="00D26388"/>
    <w:rsid w:val="00D263F3"/>
    <w:rsid w:val="00D26419"/>
    <w:rsid w:val="00D2645F"/>
    <w:rsid w:val="00D2650F"/>
    <w:rsid w:val="00D26544"/>
    <w:rsid w:val="00D26561"/>
    <w:rsid w:val="00D265C2"/>
    <w:rsid w:val="00D26656"/>
    <w:rsid w:val="00D2665B"/>
    <w:rsid w:val="00D266AF"/>
    <w:rsid w:val="00D266F8"/>
    <w:rsid w:val="00D266FD"/>
    <w:rsid w:val="00D26739"/>
    <w:rsid w:val="00D2673F"/>
    <w:rsid w:val="00D26756"/>
    <w:rsid w:val="00D26785"/>
    <w:rsid w:val="00D26799"/>
    <w:rsid w:val="00D267D6"/>
    <w:rsid w:val="00D2681C"/>
    <w:rsid w:val="00D26856"/>
    <w:rsid w:val="00D2685A"/>
    <w:rsid w:val="00D26879"/>
    <w:rsid w:val="00D268AA"/>
    <w:rsid w:val="00D268B6"/>
    <w:rsid w:val="00D26937"/>
    <w:rsid w:val="00D2696A"/>
    <w:rsid w:val="00D269D4"/>
    <w:rsid w:val="00D26A0B"/>
    <w:rsid w:val="00D26A13"/>
    <w:rsid w:val="00D26ADB"/>
    <w:rsid w:val="00D26AE9"/>
    <w:rsid w:val="00D26AF2"/>
    <w:rsid w:val="00D26B42"/>
    <w:rsid w:val="00D26B83"/>
    <w:rsid w:val="00D26BD1"/>
    <w:rsid w:val="00D26C2A"/>
    <w:rsid w:val="00D26D11"/>
    <w:rsid w:val="00D26D3B"/>
    <w:rsid w:val="00D26D6B"/>
    <w:rsid w:val="00D26D8F"/>
    <w:rsid w:val="00D26D99"/>
    <w:rsid w:val="00D26E5B"/>
    <w:rsid w:val="00D26F25"/>
    <w:rsid w:val="00D26F51"/>
    <w:rsid w:val="00D26F70"/>
    <w:rsid w:val="00D26F87"/>
    <w:rsid w:val="00D26F8E"/>
    <w:rsid w:val="00D2703C"/>
    <w:rsid w:val="00D27059"/>
    <w:rsid w:val="00D270F3"/>
    <w:rsid w:val="00D27122"/>
    <w:rsid w:val="00D27188"/>
    <w:rsid w:val="00D271F6"/>
    <w:rsid w:val="00D27219"/>
    <w:rsid w:val="00D2722A"/>
    <w:rsid w:val="00D27250"/>
    <w:rsid w:val="00D27254"/>
    <w:rsid w:val="00D27298"/>
    <w:rsid w:val="00D2732D"/>
    <w:rsid w:val="00D2733D"/>
    <w:rsid w:val="00D27360"/>
    <w:rsid w:val="00D27384"/>
    <w:rsid w:val="00D27395"/>
    <w:rsid w:val="00D273E5"/>
    <w:rsid w:val="00D27453"/>
    <w:rsid w:val="00D274A0"/>
    <w:rsid w:val="00D274BD"/>
    <w:rsid w:val="00D274D7"/>
    <w:rsid w:val="00D274DB"/>
    <w:rsid w:val="00D27559"/>
    <w:rsid w:val="00D27569"/>
    <w:rsid w:val="00D2759D"/>
    <w:rsid w:val="00D2769F"/>
    <w:rsid w:val="00D276E4"/>
    <w:rsid w:val="00D276EC"/>
    <w:rsid w:val="00D27708"/>
    <w:rsid w:val="00D277C3"/>
    <w:rsid w:val="00D27875"/>
    <w:rsid w:val="00D2787A"/>
    <w:rsid w:val="00D278AF"/>
    <w:rsid w:val="00D278B2"/>
    <w:rsid w:val="00D278BE"/>
    <w:rsid w:val="00D278C4"/>
    <w:rsid w:val="00D278DF"/>
    <w:rsid w:val="00D27916"/>
    <w:rsid w:val="00D27947"/>
    <w:rsid w:val="00D279EE"/>
    <w:rsid w:val="00D27A07"/>
    <w:rsid w:val="00D27A32"/>
    <w:rsid w:val="00D27A52"/>
    <w:rsid w:val="00D27A71"/>
    <w:rsid w:val="00D27AAD"/>
    <w:rsid w:val="00D27AEF"/>
    <w:rsid w:val="00D27B8A"/>
    <w:rsid w:val="00D27BAC"/>
    <w:rsid w:val="00D27BAF"/>
    <w:rsid w:val="00D27BF4"/>
    <w:rsid w:val="00D27C6C"/>
    <w:rsid w:val="00D27C6E"/>
    <w:rsid w:val="00D27C9B"/>
    <w:rsid w:val="00D27CC3"/>
    <w:rsid w:val="00D27D3A"/>
    <w:rsid w:val="00D27D3F"/>
    <w:rsid w:val="00D27D48"/>
    <w:rsid w:val="00D27D4F"/>
    <w:rsid w:val="00D27D58"/>
    <w:rsid w:val="00D27D60"/>
    <w:rsid w:val="00D27DB0"/>
    <w:rsid w:val="00D27DC0"/>
    <w:rsid w:val="00D27F0D"/>
    <w:rsid w:val="00D27F0F"/>
    <w:rsid w:val="00D27F1D"/>
    <w:rsid w:val="00D27F77"/>
    <w:rsid w:val="00D27FC2"/>
    <w:rsid w:val="00D30000"/>
    <w:rsid w:val="00D3002C"/>
    <w:rsid w:val="00D3005F"/>
    <w:rsid w:val="00D300A1"/>
    <w:rsid w:val="00D300CE"/>
    <w:rsid w:val="00D3013C"/>
    <w:rsid w:val="00D30185"/>
    <w:rsid w:val="00D301A2"/>
    <w:rsid w:val="00D301B5"/>
    <w:rsid w:val="00D3023A"/>
    <w:rsid w:val="00D3026E"/>
    <w:rsid w:val="00D302E8"/>
    <w:rsid w:val="00D30403"/>
    <w:rsid w:val="00D30447"/>
    <w:rsid w:val="00D30452"/>
    <w:rsid w:val="00D30457"/>
    <w:rsid w:val="00D304C0"/>
    <w:rsid w:val="00D304C8"/>
    <w:rsid w:val="00D3050E"/>
    <w:rsid w:val="00D30511"/>
    <w:rsid w:val="00D30521"/>
    <w:rsid w:val="00D30550"/>
    <w:rsid w:val="00D3061B"/>
    <w:rsid w:val="00D30695"/>
    <w:rsid w:val="00D3070D"/>
    <w:rsid w:val="00D30723"/>
    <w:rsid w:val="00D30728"/>
    <w:rsid w:val="00D30731"/>
    <w:rsid w:val="00D3076D"/>
    <w:rsid w:val="00D307D9"/>
    <w:rsid w:val="00D307EC"/>
    <w:rsid w:val="00D307EE"/>
    <w:rsid w:val="00D30814"/>
    <w:rsid w:val="00D30818"/>
    <w:rsid w:val="00D3081D"/>
    <w:rsid w:val="00D3083F"/>
    <w:rsid w:val="00D3085A"/>
    <w:rsid w:val="00D30872"/>
    <w:rsid w:val="00D3087A"/>
    <w:rsid w:val="00D3087B"/>
    <w:rsid w:val="00D308BA"/>
    <w:rsid w:val="00D308E2"/>
    <w:rsid w:val="00D3091B"/>
    <w:rsid w:val="00D30923"/>
    <w:rsid w:val="00D309CC"/>
    <w:rsid w:val="00D309DF"/>
    <w:rsid w:val="00D30A81"/>
    <w:rsid w:val="00D30A8B"/>
    <w:rsid w:val="00D30AAF"/>
    <w:rsid w:val="00D30B76"/>
    <w:rsid w:val="00D30BDA"/>
    <w:rsid w:val="00D30C0B"/>
    <w:rsid w:val="00D30C10"/>
    <w:rsid w:val="00D30C17"/>
    <w:rsid w:val="00D30C99"/>
    <w:rsid w:val="00D30CCC"/>
    <w:rsid w:val="00D30CD1"/>
    <w:rsid w:val="00D30DAA"/>
    <w:rsid w:val="00D30E01"/>
    <w:rsid w:val="00D30E35"/>
    <w:rsid w:val="00D30E55"/>
    <w:rsid w:val="00D30EF7"/>
    <w:rsid w:val="00D30F04"/>
    <w:rsid w:val="00D30F72"/>
    <w:rsid w:val="00D30F93"/>
    <w:rsid w:val="00D30F9C"/>
    <w:rsid w:val="00D30FDF"/>
    <w:rsid w:val="00D31023"/>
    <w:rsid w:val="00D3103B"/>
    <w:rsid w:val="00D31051"/>
    <w:rsid w:val="00D310D6"/>
    <w:rsid w:val="00D310F5"/>
    <w:rsid w:val="00D31175"/>
    <w:rsid w:val="00D31199"/>
    <w:rsid w:val="00D3119B"/>
    <w:rsid w:val="00D31219"/>
    <w:rsid w:val="00D3121D"/>
    <w:rsid w:val="00D3127D"/>
    <w:rsid w:val="00D313D2"/>
    <w:rsid w:val="00D31416"/>
    <w:rsid w:val="00D31427"/>
    <w:rsid w:val="00D31477"/>
    <w:rsid w:val="00D314B1"/>
    <w:rsid w:val="00D314D3"/>
    <w:rsid w:val="00D314F5"/>
    <w:rsid w:val="00D31503"/>
    <w:rsid w:val="00D31553"/>
    <w:rsid w:val="00D3157F"/>
    <w:rsid w:val="00D315D2"/>
    <w:rsid w:val="00D315D8"/>
    <w:rsid w:val="00D315DE"/>
    <w:rsid w:val="00D315F5"/>
    <w:rsid w:val="00D317A6"/>
    <w:rsid w:val="00D31813"/>
    <w:rsid w:val="00D31815"/>
    <w:rsid w:val="00D318D0"/>
    <w:rsid w:val="00D31962"/>
    <w:rsid w:val="00D319BE"/>
    <w:rsid w:val="00D31A09"/>
    <w:rsid w:val="00D31A32"/>
    <w:rsid w:val="00D31A4B"/>
    <w:rsid w:val="00D31A93"/>
    <w:rsid w:val="00D31AC7"/>
    <w:rsid w:val="00D31B3D"/>
    <w:rsid w:val="00D31B3F"/>
    <w:rsid w:val="00D31B82"/>
    <w:rsid w:val="00D31BD3"/>
    <w:rsid w:val="00D31BFD"/>
    <w:rsid w:val="00D31C04"/>
    <w:rsid w:val="00D31CA1"/>
    <w:rsid w:val="00D31CA3"/>
    <w:rsid w:val="00D31CA5"/>
    <w:rsid w:val="00D31D49"/>
    <w:rsid w:val="00D31DE0"/>
    <w:rsid w:val="00D31DF1"/>
    <w:rsid w:val="00D31E05"/>
    <w:rsid w:val="00D31E40"/>
    <w:rsid w:val="00D31E4D"/>
    <w:rsid w:val="00D31E55"/>
    <w:rsid w:val="00D31E95"/>
    <w:rsid w:val="00D31ED8"/>
    <w:rsid w:val="00D31F43"/>
    <w:rsid w:val="00D31F73"/>
    <w:rsid w:val="00D31F89"/>
    <w:rsid w:val="00D32081"/>
    <w:rsid w:val="00D32144"/>
    <w:rsid w:val="00D321AB"/>
    <w:rsid w:val="00D321AD"/>
    <w:rsid w:val="00D321C2"/>
    <w:rsid w:val="00D321CA"/>
    <w:rsid w:val="00D321CF"/>
    <w:rsid w:val="00D3221E"/>
    <w:rsid w:val="00D3226D"/>
    <w:rsid w:val="00D32292"/>
    <w:rsid w:val="00D322A9"/>
    <w:rsid w:val="00D322CF"/>
    <w:rsid w:val="00D32304"/>
    <w:rsid w:val="00D3232A"/>
    <w:rsid w:val="00D32335"/>
    <w:rsid w:val="00D32373"/>
    <w:rsid w:val="00D3237F"/>
    <w:rsid w:val="00D3238B"/>
    <w:rsid w:val="00D323DC"/>
    <w:rsid w:val="00D32505"/>
    <w:rsid w:val="00D32534"/>
    <w:rsid w:val="00D32577"/>
    <w:rsid w:val="00D325BF"/>
    <w:rsid w:val="00D325FF"/>
    <w:rsid w:val="00D32602"/>
    <w:rsid w:val="00D3264D"/>
    <w:rsid w:val="00D32651"/>
    <w:rsid w:val="00D3265D"/>
    <w:rsid w:val="00D32666"/>
    <w:rsid w:val="00D32669"/>
    <w:rsid w:val="00D3269B"/>
    <w:rsid w:val="00D326A5"/>
    <w:rsid w:val="00D326B8"/>
    <w:rsid w:val="00D32705"/>
    <w:rsid w:val="00D32723"/>
    <w:rsid w:val="00D32757"/>
    <w:rsid w:val="00D3278D"/>
    <w:rsid w:val="00D327AD"/>
    <w:rsid w:val="00D327B6"/>
    <w:rsid w:val="00D327C5"/>
    <w:rsid w:val="00D3280B"/>
    <w:rsid w:val="00D32834"/>
    <w:rsid w:val="00D328C9"/>
    <w:rsid w:val="00D328E4"/>
    <w:rsid w:val="00D3293A"/>
    <w:rsid w:val="00D3294A"/>
    <w:rsid w:val="00D329CB"/>
    <w:rsid w:val="00D32A48"/>
    <w:rsid w:val="00D32A8E"/>
    <w:rsid w:val="00D32A9F"/>
    <w:rsid w:val="00D32BAE"/>
    <w:rsid w:val="00D32BB7"/>
    <w:rsid w:val="00D32BDC"/>
    <w:rsid w:val="00D32BFC"/>
    <w:rsid w:val="00D32D18"/>
    <w:rsid w:val="00D32D5F"/>
    <w:rsid w:val="00D32D74"/>
    <w:rsid w:val="00D32DBA"/>
    <w:rsid w:val="00D32DEB"/>
    <w:rsid w:val="00D32E00"/>
    <w:rsid w:val="00D32E55"/>
    <w:rsid w:val="00D32E6A"/>
    <w:rsid w:val="00D32E89"/>
    <w:rsid w:val="00D32EBB"/>
    <w:rsid w:val="00D32EEE"/>
    <w:rsid w:val="00D32F07"/>
    <w:rsid w:val="00D32F44"/>
    <w:rsid w:val="00D32F8B"/>
    <w:rsid w:val="00D32FED"/>
    <w:rsid w:val="00D3303E"/>
    <w:rsid w:val="00D33042"/>
    <w:rsid w:val="00D330DE"/>
    <w:rsid w:val="00D331AA"/>
    <w:rsid w:val="00D3331B"/>
    <w:rsid w:val="00D33426"/>
    <w:rsid w:val="00D3342C"/>
    <w:rsid w:val="00D33463"/>
    <w:rsid w:val="00D33469"/>
    <w:rsid w:val="00D334A8"/>
    <w:rsid w:val="00D33563"/>
    <w:rsid w:val="00D33607"/>
    <w:rsid w:val="00D33630"/>
    <w:rsid w:val="00D33638"/>
    <w:rsid w:val="00D336E7"/>
    <w:rsid w:val="00D3379F"/>
    <w:rsid w:val="00D337B0"/>
    <w:rsid w:val="00D3384F"/>
    <w:rsid w:val="00D33887"/>
    <w:rsid w:val="00D338C9"/>
    <w:rsid w:val="00D33915"/>
    <w:rsid w:val="00D33924"/>
    <w:rsid w:val="00D33A2C"/>
    <w:rsid w:val="00D33A5D"/>
    <w:rsid w:val="00D33AB7"/>
    <w:rsid w:val="00D33B11"/>
    <w:rsid w:val="00D33B54"/>
    <w:rsid w:val="00D33B7F"/>
    <w:rsid w:val="00D33BD0"/>
    <w:rsid w:val="00D33BD2"/>
    <w:rsid w:val="00D33BD3"/>
    <w:rsid w:val="00D33BFD"/>
    <w:rsid w:val="00D33C0E"/>
    <w:rsid w:val="00D33C4C"/>
    <w:rsid w:val="00D33CCE"/>
    <w:rsid w:val="00D33D40"/>
    <w:rsid w:val="00D33D74"/>
    <w:rsid w:val="00D33D76"/>
    <w:rsid w:val="00D33E03"/>
    <w:rsid w:val="00D33E04"/>
    <w:rsid w:val="00D33E80"/>
    <w:rsid w:val="00D33EBF"/>
    <w:rsid w:val="00D33EDD"/>
    <w:rsid w:val="00D33F9B"/>
    <w:rsid w:val="00D33FB6"/>
    <w:rsid w:val="00D33FDD"/>
    <w:rsid w:val="00D33FE4"/>
    <w:rsid w:val="00D33FFD"/>
    <w:rsid w:val="00D34033"/>
    <w:rsid w:val="00D3407C"/>
    <w:rsid w:val="00D3408E"/>
    <w:rsid w:val="00D3408F"/>
    <w:rsid w:val="00D340B3"/>
    <w:rsid w:val="00D340D5"/>
    <w:rsid w:val="00D340F4"/>
    <w:rsid w:val="00D34111"/>
    <w:rsid w:val="00D34156"/>
    <w:rsid w:val="00D3418A"/>
    <w:rsid w:val="00D341D6"/>
    <w:rsid w:val="00D341E7"/>
    <w:rsid w:val="00D34257"/>
    <w:rsid w:val="00D34286"/>
    <w:rsid w:val="00D342AC"/>
    <w:rsid w:val="00D34371"/>
    <w:rsid w:val="00D3439D"/>
    <w:rsid w:val="00D343E4"/>
    <w:rsid w:val="00D34427"/>
    <w:rsid w:val="00D34438"/>
    <w:rsid w:val="00D34481"/>
    <w:rsid w:val="00D344BB"/>
    <w:rsid w:val="00D34550"/>
    <w:rsid w:val="00D345AA"/>
    <w:rsid w:val="00D345AB"/>
    <w:rsid w:val="00D345E9"/>
    <w:rsid w:val="00D34614"/>
    <w:rsid w:val="00D346BF"/>
    <w:rsid w:val="00D346DF"/>
    <w:rsid w:val="00D346F1"/>
    <w:rsid w:val="00D34726"/>
    <w:rsid w:val="00D347E3"/>
    <w:rsid w:val="00D34855"/>
    <w:rsid w:val="00D348E4"/>
    <w:rsid w:val="00D34934"/>
    <w:rsid w:val="00D34973"/>
    <w:rsid w:val="00D34A44"/>
    <w:rsid w:val="00D34AA1"/>
    <w:rsid w:val="00D34AF2"/>
    <w:rsid w:val="00D34B07"/>
    <w:rsid w:val="00D34B61"/>
    <w:rsid w:val="00D34B99"/>
    <w:rsid w:val="00D34BBE"/>
    <w:rsid w:val="00D34BF7"/>
    <w:rsid w:val="00D34C40"/>
    <w:rsid w:val="00D34CD2"/>
    <w:rsid w:val="00D34D2A"/>
    <w:rsid w:val="00D34D3E"/>
    <w:rsid w:val="00D34D58"/>
    <w:rsid w:val="00D34D93"/>
    <w:rsid w:val="00D34DD7"/>
    <w:rsid w:val="00D34E70"/>
    <w:rsid w:val="00D34E9B"/>
    <w:rsid w:val="00D34E9D"/>
    <w:rsid w:val="00D34EC0"/>
    <w:rsid w:val="00D34ED5"/>
    <w:rsid w:val="00D34EDB"/>
    <w:rsid w:val="00D34F89"/>
    <w:rsid w:val="00D34FA7"/>
    <w:rsid w:val="00D34FC8"/>
    <w:rsid w:val="00D34FEC"/>
    <w:rsid w:val="00D34FFB"/>
    <w:rsid w:val="00D35012"/>
    <w:rsid w:val="00D3503D"/>
    <w:rsid w:val="00D35040"/>
    <w:rsid w:val="00D350C3"/>
    <w:rsid w:val="00D3513E"/>
    <w:rsid w:val="00D35147"/>
    <w:rsid w:val="00D35160"/>
    <w:rsid w:val="00D351E5"/>
    <w:rsid w:val="00D35221"/>
    <w:rsid w:val="00D3526A"/>
    <w:rsid w:val="00D35296"/>
    <w:rsid w:val="00D35328"/>
    <w:rsid w:val="00D35346"/>
    <w:rsid w:val="00D35384"/>
    <w:rsid w:val="00D353A4"/>
    <w:rsid w:val="00D353BF"/>
    <w:rsid w:val="00D353F3"/>
    <w:rsid w:val="00D3540B"/>
    <w:rsid w:val="00D35458"/>
    <w:rsid w:val="00D3549D"/>
    <w:rsid w:val="00D354C3"/>
    <w:rsid w:val="00D354E1"/>
    <w:rsid w:val="00D35609"/>
    <w:rsid w:val="00D3564C"/>
    <w:rsid w:val="00D35660"/>
    <w:rsid w:val="00D356A6"/>
    <w:rsid w:val="00D356E5"/>
    <w:rsid w:val="00D3572F"/>
    <w:rsid w:val="00D35757"/>
    <w:rsid w:val="00D35772"/>
    <w:rsid w:val="00D357A9"/>
    <w:rsid w:val="00D357D2"/>
    <w:rsid w:val="00D357E3"/>
    <w:rsid w:val="00D35844"/>
    <w:rsid w:val="00D35863"/>
    <w:rsid w:val="00D3586E"/>
    <w:rsid w:val="00D358B6"/>
    <w:rsid w:val="00D35956"/>
    <w:rsid w:val="00D35978"/>
    <w:rsid w:val="00D3599D"/>
    <w:rsid w:val="00D359BE"/>
    <w:rsid w:val="00D359C0"/>
    <w:rsid w:val="00D35A43"/>
    <w:rsid w:val="00D35A5A"/>
    <w:rsid w:val="00D35B09"/>
    <w:rsid w:val="00D35B0C"/>
    <w:rsid w:val="00D35B17"/>
    <w:rsid w:val="00D35B22"/>
    <w:rsid w:val="00D35B3E"/>
    <w:rsid w:val="00D35B76"/>
    <w:rsid w:val="00D35BB9"/>
    <w:rsid w:val="00D35C1F"/>
    <w:rsid w:val="00D35C5D"/>
    <w:rsid w:val="00D35CA2"/>
    <w:rsid w:val="00D35CDA"/>
    <w:rsid w:val="00D35CDF"/>
    <w:rsid w:val="00D35D20"/>
    <w:rsid w:val="00D35D55"/>
    <w:rsid w:val="00D35D6C"/>
    <w:rsid w:val="00D35D7F"/>
    <w:rsid w:val="00D35DD2"/>
    <w:rsid w:val="00D35DDD"/>
    <w:rsid w:val="00D35DE0"/>
    <w:rsid w:val="00D35E1B"/>
    <w:rsid w:val="00D35E2A"/>
    <w:rsid w:val="00D35E50"/>
    <w:rsid w:val="00D35ECF"/>
    <w:rsid w:val="00D35F73"/>
    <w:rsid w:val="00D35FAC"/>
    <w:rsid w:val="00D3608D"/>
    <w:rsid w:val="00D3610F"/>
    <w:rsid w:val="00D36145"/>
    <w:rsid w:val="00D36158"/>
    <w:rsid w:val="00D36193"/>
    <w:rsid w:val="00D3619C"/>
    <w:rsid w:val="00D361BC"/>
    <w:rsid w:val="00D3624C"/>
    <w:rsid w:val="00D36254"/>
    <w:rsid w:val="00D3625E"/>
    <w:rsid w:val="00D36262"/>
    <w:rsid w:val="00D36303"/>
    <w:rsid w:val="00D36337"/>
    <w:rsid w:val="00D3634E"/>
    <w:rsid w:val="00D36374"/>
    <w:rsid w:val="00D36391"/>
    <w:rsid w:val="00D36397"/>
    <w:rsid w:val="00D363BE"/>
    <w:rsid w:val="00D363C6"/>
    <w:rsid w:val="00D3654C"/>
    <w:rsid w:val="00D36568"/>
    <w:rsid w:val="00D3657B"/>
    <w:rsid w:val="00D365A3"/>
    <w:rsid w:val="00D36623"/>
    <w:rsid w:val="00D36636"/>
    <w:rsid w:val="00D36690"/>
    <w:rsid w:val="00D366B1"/>
    <w:rsid w:val="00D366D4"/>
    <w:rsid w:val="00D3679D"/>
    <w:rsid w:val="00D367D2"/>
    <w:rsid w:val="00D367D3"/>
    <w:rsid w:val="00D36818"/>
    <w:rsid w:val="00D36827"/>
    <w:rsid w:val="00D36896"/>
    <w:rsid w:val="00D368FD"/>
    <w:rsid w:val="00D36937"/>
    <w:rsid w:val="00D3694C"/>
    <w:rsid w:val="00D369C2"/>
    <w:rsid w:val="00D369C7"/>
    <w:rsid w:val="00D369D9"/>
    <w:rsid w:val="00D36B26"/>
    <w:rsid w:val="00D36B28"/>
    <w:rsid w:val="00D36B3A"/>
    <w:rsid w:val="00D36B93"/>
    <w:rsid w:val="00D36BCE"/>
    <w:rsid w:val="00D36BF0"/>
    <w:rsid w:val="00D36BF7"/>
    <w:rsid w:val="00D36C02"/>
    <w:rsid w:val="00D36CF5"/>
    <w:rsid w:val="00D36D2B"/>
    <w:rsid w:val="00D36DB4"/>
    <w:rsid w:val="00D36E5B"/>
    <w:rsid w:val="00D36E61"/>
    <w:rsid w:val="00D36EA1"/>
    <w:rsid w:val="00D36F1D"/>
    <w:rsid w:val="00D36F29"/>
    <w:rsid w:val="00D36F2B"/>
    <w:rsid w:val="00D36F3C"/>
    <w:rsid w:val="00D36FE3"/>
    <w:rsid w:val="00D36FFE"/>
    <w:rsid w:val="00D3715B"/>
    <w:rsid w:val="00D371F0"/>
    <w:rsid w:val="00D37242"/>
    <w:rsid w:val="00D3724F"/>
    <w:rsid w:val="00D37261"/>
    <w:rsid w:val="00D3733F"/>
    <w:rsid w:val="00D37367"/>
    <w:rsid w:val="00D3738E"/>
    <w:rsid w:val="00D37412"/>
    <w:rsid w:val="00D37416"/>
    <w:rsid w:val="00D37420"/>
    <w:rsid w:val="00D37432"/>
    <w:rsid w:val="00D3746D"/>
    <w:rsid w:val="00D37526"/>
    <w:rsid w:val="00D3752D"/>
    <w:rsid w:val="00D37549"/>
    <w:rsid w:val="00D3754B"/>
    <w:rsid w:val="00D375B0"/>
    <w:rsid w:val="00D37607"/>
    <w:rsid w:val="00D37621"/>
    <w:rsid w:val="00D3763E"/>
    <w:rsid w:val="00D37674"/>
    <w:rsid w:val="00D376A7"/>
    <w:rsid w:val="00D376F7"/>
    <w:rsid w:val="00D37720"/>
    <w:rsid w:val="00D37754"/>
    <w:rsid w:val="00D37780"/>
    <w:rsid w:val="00D377B1"/>
    <w:rsid w:val="00D377F0"/>
    <w:rsid w:val="00D377F4"/>
    <w:rsid w:val="00D377F8"/>
    <w:rsid w:val="00D37845"/>
    <w:rsid w:val="00D37907"/>
    <w:rsid w:val="00D3795E"/>
    <w:rsid w:val="00D37987"/>
    <w:rsid w:val="00D37A07"/>
    <w:rsid w:val="00D37A5D"/>
    <w:rsid w:val="00D37A88"/>
    <w:rsid w:val="00D37B27"/>
    <w:rsid w:val="00D37B45"/>
    <w:rsid w:val="00D37C58"/>
    <w:rsid w:val="00D37CDD"/>
    <w:rsid w:val="00D37D0D"/>
    <w:rsid w:val="00D37D29"/>
    <w:rsid w:val="00D37D3A"/>
    <w:rsid w:val="00D37D82"/>
    <w:rsid w:val="00D37DCF"/>
    <w:rsid w:val="00D37E1D"/>
    <w:rsid w:val="00D37E9B"/>
    <w:rsid w:val="00D37F5D"/>
    <w:rsid w:val="00D37F5F"/>
    <w:rsid w:val="00D37F8E"/>
    <w:rsid w:val="00D37FAE"/>
    <w:rsid w:val="00D37FF1"/>
    <w:rsid w:val="00D400E9"/>
    <w:rsid w:val="00D400EF"/>
    <w:rsid w:val="00D40120"/>
    <w:rsid w:val="00D40160"/>
    <w:rsid w:val="00D40170"/>
    <w:rsid w:val="00D401A1"/>
    <w:rsid w:val="00D401DC"/>
    <w:rsid w:val="00D401F9"/>
    <w:rsid w:val="00D40246"/>
    <w:rsid w:val="00D40270"/>
    <w:rsid w:val="00D40316"/>
    <w:rsid w:val="00D40320"/>
    <w:rsid w:val="00D403FC"/>
    <w:rsid w:val="00D40439"/>
    <w:rsid w:val="00D4045E"/>
    <w:rsid w:val="00D40494"/>
    <w:rsid w:val="00D404B4"/>
    <w:rsid w:val="00D404D1"/>
    <w:rsid w:val="00D4050C"/>
    <w:rsid w:val="00D40511"/>
    <w:rsid w:val="00D4051C"/>
    <w:rsid w:val="00D40583"/>
    <w:rsid w:val="00D405A0"/>
    <w:rsid w:val="00D405A3"/>
    <w:rsid w:val="00D40637"/>
    <w:rsid w:val="00D406E6"/>
    <w:rsid w:val="00D40757"/>
    <w:rsid w:val="00D40828"/>
    <w:rsid w:val="00D40891"/>
    <w:rsid w:val="00D408A3"/>
    <w:rsid w:val="00D408C1"/>
    <w:rsid w:val="00D40943"/>
    <w:rsid w:val="00D4095F"/>
    <w:rsid w:val="00D409E0"/>
    <w:rsid w:val="00D40A11"/>
    <w:rsid w:val="00D40A1F"/>
    <w:rsid w:val="00D40A26"/>
    <w:rsid w:val="00D40A83"/>
    <w:rsid w:val="00D40AC9"/>
    <w:rsid w:val="00D40B82"/>
    <w:rsid w:val="00D40BCD"/>
    <w:rsid w:val="00D40CA5"/>
    <w:rsid w:val="00D40CDD"/>
    <w:rsid w:val="00D40CE5"/>
    <w:rsid w:val="00D40D64"/>
    <w:rsid w:val="00D40DEC"/>
    <w:rsid w:val="00D40E98"/>
    <w:rsid w:val="00D40F00"/>
    <w:rsid w:val="00D40FA4"/>
    <w:rsid w:val="00D4105D"/>
    <w:rsid w:val="00D4108D"/>
    <w:rsid w:val="00D4109C"/>
    <w:rsid w:val="00D410B6"/>
    <w:rsid w:val="00D410CC"/>
    <w:rsid w:val="00D410EE"/>
    <w:rsid w:val="00D4121B"/>
    <w:rsid w:val="00D41300"/>
    <w:rsid w:val="00D41329"/>
    <w:rsid w:val="00D41353"/>
    <w:rsid w:val="00D41358"/>
    <w:rsid w:val="00D41379"/>
    <w:rsid w:val="00D4138C"/>
    <w:rsid w:val="00D413D8"/>
    <w:rsid w:val="00D414CF"/>
    <w:rsid w:val="00D4155B"/>
    <w:rsid w:val="00D41566"/>
    <w:rsid w:val="00D415E2"/>
    <w:rsid w:val="00D4165D"/>
    <w:rsid w:val="00D41686"/>
    <w:rsid w:val="00D4169B"/>
    <w:rsid w:val="00D4169E"/>
    <w:rsid w:val="00D4170D"/>
    <w:rsid w:val="00D4170F"/>
    <w:rsid w:val="00D4176E"/>
    <w:rsid w:val="00D417EE"/>
    <w:rsid w:val="00D41842"/>
    <w:rsid w:val="00D41861"/>
    <w:rsid w:val="00D418D5"/>
    <w:rsid w:val="00D41915"/>
    <w:rsid w:val="00D41939"/>
    <w:rsid w:val="00D41946"/>
    <w:rsid w:val="00D419F0"/>
    <w:rsid w:val="00D41A37"/>
    <w:rsid w:val="00D41A77"/>
    <w:rsid w:val="00D41A98"/>
    <w:rsid w:val="00D41AD7"/>
    <w:rsid w:val="00D41B35"/>
    <w:rsid w:val="00D41B57"/>
    <w:rsid w:val="00D41B67"/>
    <w:rsid w:val="00D41B85"/>
    <w:rsid w:val="00D41BA9"/>
    <w:rsid w:val="00D41C08"/>
    <w:rsid w:val="00D41C0A"/>
    <w:rsid w:val="00D41C47"/>
    <w:rsid w:val="00D41CC6"/>
    <w:rsid w:val="00D41CEA"/>
    <w:rsid w:val="00D41D4F"/>
    <w:rsid w:val="00D41D6D"/>
    <w:rsid w:val="00D41E23"/>
    <w:rsid w:val="00D41E2B"/>
    <w:rsid w:val="00D41E5D"/>
    <w:rsid w:val="00D41E64"/>
    <w:rsid w:val="00D41E80"/>
    <w:rsid w:val="00D41EDD"/>
    <w:rsid w:val="00D41F1A"/>
    <w:rsid w:val="00D41F9C"/>
    <w:rsid w:val="00D41FAA"/>
    <w:rsid w:val="00D42060"/>
    <w:rsid w:val="00D42078"/>
    <w:rsid w:val="00D420F1"/>
    <w:rsid w:val="00D42111"/>
    <w:rsid w:val="00D42189"/>
    <w:rsid w:val="00D4221A"/>
    <w:rsid w:val="00D42240"/>
    <w:rsid w:val="00D42299"/>
    <w:rsid w:val="00D42320"/>
    <w:rsid w:val="00D423FB"/>
    <w:rsid w:val="00D4241E"/>
    <w:rsid w:val="00D42451"/>
    <w:rsid w:val="00D42476"/>
    <w:rsid w:val="00D424D9"/>
    <w:rsid w:val="00D42502"/>
    <w:rsid w:val="00D4252E"/>
    <w:rsid w:val="00D4255B"/>
    <w:rsid w:val="00D425D1"/>
    <w:rsid w:val="00D42652"/>
    <w:rsid w:val="00D426CE"/>
    <w:rsid w:val="00D42705"/>
    <w:rsid w:val="00D4270D"/>
    <w:rsid w:val="00D42721"/>
    <w:rsid w:val="00D4275E"/>
    <w:rsid w:val="00D42797"/>
    <w:rsid w:val="00D4283F"/>
    <w:rsid w:val="00D42891"/>
    <w:rsid w:val="00D42892"/>
    <w:rsid w:val="00D428F3"/>
    <w:rsid w:val="00D4297C"/>
    <w:rsid w:val="00D42999"/>
    <w:rsid w:val="00D429A1"/>
    <w:rsid w:val="00D429B3"/>
    <w:rsid w:val="00D429B9"/>
    <w:rsid w:val="00D429E3"/>
    <w:rsid w:val="00D42A07"/>
    <w:rsid w:val="00D42AEB"/>
    <w:rsid w:val="00D42B0E"/>
    <w:rsid w:val="00D42B53"/>
    <w:rsid w:val="00D42B5B"/>
    <w:rsid w:val="00D42B6F"/>
    <w:rsid w:val="00D42B8C"/>
    <w:rsid w:val="00D42BA3"/>
    <w:rsid w:val="00D42BF0"/>
    <w:rsid w:val="00D42BF7"/>
    <w:rsid w:val="00D42BFC"/>
    <w:rsid w:val="00D42C08"/>
    <w:rsid w:val="00D42D1A"/>
    <w:rsid w:val="00D42D2C"/>
    <w:rsid w:val="00D42DF7"/>
    <w:rsid w:val="00D42E1C"/>
    <w:rsid w:val="00D42E5E"/>
    <w:rsid w:val="00D42EB9"/>
    <w:rsid w:val="00D42F02"/>
    <w:rsid w:val="00D42F09"/>
    <w:rsid w:val="00D42F6D"/>
    <w:rsid w:val="00D42FD1"/>
    <w:rsid w:val="00D42FDD"/>
    <w:rsid w:val="00D43004"/>
    <w:rsid w:val="00D4300B"/>
    <w:rsid w:val="00D43014"/>
    <w:rsid w:val="00D43111"/>
    <w:rsid w:val="00D43114"/>
    <w:rsid w:val="00D43134"/>
    <w:rsid w:val="00D43205"/>
    <w:rsid w:val="00D432BE"/>
    <w:rsid w:val="00D432CA"/>
    <w:rsid w:val="00D43376"/>
    <w:rsid w:val="00D433E5"/>
    <w:rsid w:val="00D433E8"/>
    <w:rsid w:val="00D43408"/>
    <w:rsid w:val="00D43449"/>
    <w:rsid w:val="00D434F8"/>
    <w:rsid w:val="00D43512"/>
    <w:rsid w:val="00D43552"/>
    <w:rsid w:val="00D4357E"/>
    <w:rsid w:val="00D43597"/>
    <w:rsid w:val="00D4361E"/>
    <w:rsid w:val="00D4362F"/>
    <w:rsid w:val="00D43633"/>
    <w:rsid w:val="00D436E9"/>
    <w:rsid w:val="00D4370F"/>
    <w:rsid w:val="00D4376D"/>
    <w:rsid w:val="00D437BF"/>
    <w:rsid w:val="00D43800"/>
    <w:rsid w:val="00D43816"/>
    <w:rsid w:val="00D43839"/>
    <w:rsid w:val="00D4384A"/>
    <w:rsid w:val="00D43874"/>
    <w:rsid w:val="00D43881"/>
    <w:rsid w:val="00D438B3"/>
    <w:rsid w:val="00D438D3"/>
    <w:rsid w:val="00D438DE"/>
    <w:rsid w:val="00D438E4"/>
    <w:rsid w:val="00D43969"/>
    <w:rsid w:val="00D4397B"/>
    <w:rsid w:val="00D4399A"/>
    <w:rsid w:val="00D439B2"/>
    <w:rsid w:val="00D439F5"/>
    <w:rsid w:val="00D43A2F"/>
    <w:rsid w:val="00D43A46"/>
    <w:rsid w:val="00D43A5B"/>
    <w:rsid w:val="00D43A67"/>
    <w:rsid w:val="00D43A6B"/>
    <w:rsid w:val="00D43A74"/>
    <w:rsid w:val="00D43A7A"/>
    <w:rsid w:val="00D43B73"/>
    <w:rsid w:val="00D43BD4"/>
    <w:rsid w:val="00D43C31"/>
    <w:rsid w:val="00D43C5D"/>
    <w:rsid w:val="00D43C6C"/>
    <w:rsid w:val="00D43C93"/>
    <w:rsid w:val="00D43CC6"/>
    <w:rsid w:val="00D43CD7"/>
    <w:rsid w:val="00D43CDF"/>
    <w:rsid w:val="00D43D1E"/>
    <w:rsid w:val="00D43D67"/>
    <w:rsid w:val="00D43D83"/>
    <w:rsid w:val="00D43DCA"/>
    <w:rsid w:val="00D43DED"/>
    <w:rsid w:val="00D43E04"/>
    <w:rsid w:val="00D43E06"/>
    <w:rsid w:val="00D43E0A"/>
    <w:rsid w:val="00D43E52"/>
    <w:rsid w:val="00D43EB3"/>
    <w:rsid w:val="00D43F0B"/>
    <w:rsid w:val="00D43FD3"/>
    <w:rsid w:val="00D43FDD"/>
    <w:rsid w:val="00D44081"/>
    <w:rsid w:val="00D440B9"/>
    <w:rsid w:val="00D440C0"/>
    <w:rsid w:val="00D44103"/>
    <w:rsid w:val="00D4414B"/>
    <w:rsid w:val="00D44163"/>
    <w:rsid w:val="00D44176"/>
    <w:rsid w:val="00D4420D"/>
    <w:rsid w:val="00D44284"/>
    <w:rsid w:val="00D44294"/>
    <w:rsid w:val="00D442A3"/>
    <w:rsid w:val="00D442AD"/>
    <w:rsid w:val="00D442D2"/>
    <w:rsid w:val="00D4430D"/>
    <w:rsid w:val="00D44394"/>
    <w:rsid w:val="00D4442F"/>
    <w:rsid w:val="00D4448F"/>
    <w:rsid w:val="00D4449D"/>
    <w:rsid w:val="00D44506"/>
    <w:rsid w:val="00D4450E"/>
    <w:rsid w:val="00D44532"/>
    <w:rsid w:val="00D44543"/>
    <w:rsid w:val="00D44569"/>
    <w:rsid w:val="00D44587"/>
    <w:rsid w:val="00D445C9"/>
    <w:rsid w:val="00D445F0"/>
    <w:rsid w:val="00D44601"/>
    <w:rsid w:val="00D4469E"/>
    <w:rsid w:val="00D446C2"/>
    <w:rsid w:val="00D446D0"/>
    <w:rsid w:val="00D446F1"/>
    <w:rsid w:val="00D4470E"/>
    <w:rsid w:val="00D4471C"/>
    <w:rsid w:val="00D4479D"/>
    <w:rsid w:val="00D447A1"/>
    <w:rsid w:val="00D447A4"/>
    <w:rsid w:val="00D447A8"/>
    <w:rsid w:val="00D447DC"/>
    <w:rsid w:val="00D4490B"/>
    <w:rsid w:val="00D4496D"/>
    <w:rsid w:val="00D44971"/>
    <w:rsid w:val="00D4499D"/>
    <w:rsid w:val="00D449F8"/>
    <w:rsid w:val="00D44A13"/>
    <w:rsid w:val="00D44A2A"/>
    <w:rsid w:val="00D44A35"/>
    <w:rsid w:val="00D44A3F"/>
    <w:rsid w:val="00D44A58"/>
    <w:rsid w:val="00D44A7E"/>
    <w:rsid w:val="00D44A9F"/>
    <w:rsid w:val="00D44AE8"/>
    <w:rsid w:val="00D44B08"/>
    <w:rsid w:val="00D44B2E"/>
    <w:rsid w:val="00D44B6F"/>
    <w:rsid w:val="00D44B72"/>
    <w:rsid w:val="00D44B93"/>
    <w:rsid w:val="00D44BCD"/>
    <w:rsid w:val="00D44C1A"/>
    <w:rsid w:val="00D44C2C"/>
    <w:rsid w:val="00D44C57"/>
    <w:rsid w:val="00D44C5C"/>
    <w:rsid w:val="00D44C8A"/>
    <w:rsid w:val="00D44CA1"/>
    <w:rsid w:val="00D44CC4"/>
    <w:rsid w:val="00D44D3D"/>
    <w:rsid w:val="00D44D49"/>
    <w:rsid w:val="00D44D50"/>
    <w:rsid w:val="00D44D61"/>
    <w:rsid w:val="00D44D95"/>
    <w:rsid w:val="00D44D99"/>
    <w:rsid w:val="00D44E93"/>
    <w:rsid w:val="00D44EAC"/>
    <w:rsid w:val="00D44EC1"/>
    <w:rsid w:val="00D44EDE"/>
    <w:rsid w:val="00D44F4B"/>
    <w:rsid w:val="00D44FC1"/>
    <w:rsid w:val="00D45059"/>
    <w:rsid w:val="00D45072"/>
    <w:rsid w:val="00D45090"/>
    <w:rsid w:val="00D450A6"/>
    <w:rsid w:val="00D45150"/>
    <w:rsid w:val="00D45206"/>
    <w:rsid w:val="00D452AF"/>
    <w:rsid w:val="00D45317"/>
    <w:rsid w:val="00D45360"/>
    <w:rsid w:val="00D4537F"/>
    <w:rsid w:val="00D453DB"/>
    <w:rsid w:val="00D453FA"/>
    <w:rsid w:val="00D45401"/>
    <w:rsid w:val="00D45407"/>
    <w:rsid w:val="00D45478"/>
    <w:rsid w:val="00D454FC"/>
    <w:rsid w:val="00D45507"/>
    <w:rsid w:val="00D4553D"/>
    <w:rsid w:val="00D4556B"/>
    <w:rsid w:val="00D45598"/>
    <w:rsid w:val="00D455BE"/>
    <w:rsid w:val="00D455E2"/>
    <w:rsid w:val="00D455F4"/>
    <w:rsid w:val="00D4562B"/>
    <w:rsid w:val="00D45687"/>
    <w:rsid w:val="00D456F5"/>
    <w:rsid w:val="00D45736"/>
    <w:rsid w:val="00D45803"/>
    <w:rsid w:val="00D45806"/>
    <w:rsid w:val="00D45851"/>
    <w:rsid w:val="00D4585F"/>
    <w:rsid w:val="00D458AB"/>
    <w:rsid w:val="00D458BE"/>
    <w:rsid w:val="00D458F7"/>
    <w:rsid w:val="00D4592C"/>
    <w:rsid w:val="00D45965"/>
    <w:rsid w:val="00D4597C"/>
    <w:rsid w:val="00D459CE"/>
    <w:rsid w:val="00D45A1D"/>
    <w:rsid w:val="00D45ABD"/>
    <w:rsid w:val="00D45AC2"/>
    <w:rsid w:val="00D45B46"/>
    <w:rsid w:val="00D45B5D"/>
    <w:rsid w:val="00D45BAF"/>
    <w:rsid w:val="00D45BC7"/>
    <w:rsid w:val="00D45C01"/>
    <w:rsid w:val="00D45C19"/>
    <w:rsid w:val="00D45C1E"/>
    <w:rsid w:val="00D45CA2"/>
    <w:rsid w:val="00D45CED"/>
    <w:rsid w:val="00D45D05"/>
    <w:rsid w:val="00D45DA2"/>
    <w:rsid w:val="00D45DA9"/>
    <w:rsid w:val="00D45DB0"/>
    <w:rsid w:val="00D45DC3"/>
    <w:rsid w:val="00D45DC7"/>
    <w:rsid w:val="00D45E2D"/>
    <w:rsid w:val="00D45EA4"/>
    <w:rsid w:val="00D45F21"/>
    <w:rsid w:val="00D45F6E"/>
    <w:rsid w:val="00D45F8E"/>
    <w:rsid w:val="00D45F96"/>
    <w:rsid w:val="00D45FAF"/>
    <w:rsid w:val="00D46039"/>
    <w:rsid w:val="00D460B6"/>
    <w:rsid w:val="00D460FC"/>
    <w:rsid w:val="00D4611D"/>
    <w:rsid w:val="00D46136"/>
    <w:rsid w:val="00D46148"/>
    <w:rsid w:val="00D46179"/>
    <w:rsid w:val="00D4617A"/>
    <w:rsid w:val="00D461B7"/>
    <w:rsid w:val="00D46309"/>
    <w:rsid w:val="00D46322"/>
    <w:rsid w:val="00D4634F"/>
    <w:rsid w:val="00D46373"/>
    <w:rsid w:val="00D46377"/>
    <w:rsid w:val="00D46388"/>
    <w:rsid w:val="00D46403"/>
    <w:rsid w:val="00D4641E"/>
    <w:rsid w:val="00D46436"/>
    <w:rsid w:val="00D4643E"/>
    <w:rsid w:val="00D4644E"/>
    <w:rsid w:val="00D464D7"/>
    <w:rsid w:val="00D46579"/>
    <w:rsid w:val="00D465C8"/>
    <w:rsid w:val="00D465D9"/>
    <w:rsid w:val="00D465FD"/>
    <w:rsid w:val="00D4662D"/>
    <w:rsid w:val="00D46643"/>
    <w:rsid w:val="00D4667E"/>
    <w:rsid w:val="00D466A4"/>
    <w:rsid w:val="00D46700"/>
    <w:rsid w:val="00D46701"/>
    <w:rsid w:val="00D46728"/>
    <w:rsid w:val="00D4673B"/>
    <w:rsid w:val="00D46754"/>
    <w:rsid w:val="00D46756"/>
    <w:rsid w:val="00D4676A"/>
    <w:rsid w:val="00D46799"/>
    <w:rsid w:val="00D4681D"/>
    <w:rsid w:val="00D46836"/>
    <w:rsid w:val="00D4683E"/>
    <w:rsid w:val="00D46861"/>
    <w:rsid w:val="00D4688A"/>
    <w:rsid w:val="00D468A0"/>
    <w:rsid w:val="00D468B1"/>
    <w:rsid w:val="00D46943"/>
    <w:rsid w:val="00D46993"/>
    <w:rsid w:val="00D4699F"/>
    <w:rsid w:val="00D469CF"/>
    <w:rsid w:val="00D46A72"/>
    <w:rsid w:val="00D46A74"/>
    <w:rsid w:val="00D46A75"/>
    <w:rsid w:val="00D46ABB"/>
    <w:rsid w:val="00D46ABC"/>
    <w:rsid w:val="00D46AD3"/>
    <w:rsid w:val="00D46ADC"/>
    <w:rsid w:val="00D46ADE"/>
    <w:rsid w:val="00D46B62"/>
    <w:rsid w:val="00D46B84"/>
    <w:rsid w:val="00D46B95"/>
    <w:rsid w:val="00D46BC4"/>
    <w:rsid w:val="00D46BF2"/>
    <w:rsid w:val="00D46C28"/>
    <w:rsid w:val="00D46D02"/>
    <w:rsid w:val="00D46D3B"/>
    <w:rsid w:val="00D46D55"/>
    <w:rsid w:val="00D46D5E"/>
    <w:rsid w:val="00D46D60"/>
    <w:rsid w:val="00D46D8B"/>
    <w:rsid w:val="00D46DD2"/>
    <w:rsid w:val="00D46E5E"/>
    <w:rsid w:val="00D46E8A"/>
    <w:rsid w:val="00D46E8F"/>
    <w:rsid w:val="00D46EAD"/>
    <w:rsid w:val="00D46EC4"/>
    <w:rsid w:val="00D46F18"/>
    <w:rsid w:val="00D46F7B"/>
    <w:rsid w:val="00D46FA5"/>
    <w:rsid w:val="00D46FDC"/>
    <w:rsid w:val="00D4703B"/>
    <w:rsid w:val="00D4703C"/>
    <w:rsid w:val="00D470A4"/>
    <w:rsid w:val="00D470D7"/>
    <w:rsid w:val="00D47138"/>
    <w:rsid w:val="00D47181"/>
    <w:rsid w:val="00D471DF"/>
    <w:rsid w:val="00D47240"/>
    <w:rsid w:val="00D47258"/>
    <w:rsid w:val="00D47291"/>
    <w:rsid w:val="00D472E4"/>
    <w:rsid w:val="00D47307"/>
    <w:rsid w:val="00D4730F"/>
    <w:rsid w:val="00D47332"/>
    <w:rsid w:val="00D4733C"/>
    <w:rsid w:val="00D473F7"/>
    <w:rsid w:val="00D474A1"/>
    <w:rsid w:val="00D474E4"/>
    <w:rsid w:val="00D474EC"/>
    <w:rsid w:val="00D47561"/>
    <w:rsid w:val="00D47563"/>
    <w:rsid w:val="00D47572"/>
    <w:rsid w:val="00D475FA"/>
    <w:rsid w:val="00D47622"/>
    <w:rsid w:val="00D476F2"/>
    <w:rsid w:val="00D47706"/>
    <w:rsid w:val="00D47739"/>
    <w:rsid w:val="00D4778A"/>
    <w:rsid w:val="00D47796"/>
    <w:rsid w:val="00D477AC"/>
    <w:rsid w:val="00D477C4"/>
    <w:rsid w:val="00D477DA"/>
    <w:rsid w:val="00D4783A"/>
    <w:rsid w:val="00D47869"/>
    <w:rsid w:val="00D4788D"/>
    <w:rsid w:val="00D478C6"/>
    <w:rsid w:val="00D47908"/>
    <w:rsid w:val="00D47924"/>
    <w:rsid w:val="00D4793D"/>
    <w:rsid w:val="00D4793E"/>
    <w:rsid w:val="00D479B9"/>
    <w:rsid w:val="00D479BD"/>
    <w:rsid w:val="00D479C1"/>
    <w:rsid w:val="00D47A50"/>
    <w:rsid w:val="00D47B49"/>
    <w:rsid w:val="00D47B54"/>
    <w:rsid w:val="00D47B63"/>
    <w:rsid w:val="00D47B97"/>
    <w:rsid w:val="00D47B9A"/>
    <w:rsid w:val="00D47BA0"/>
    <w:rsid w:val="00D47BC9"/>
    <w:rsid w:val="00D47BFA"/>
    <w:rsid w:val="00D47C03"/>
    <w:rsid w:val="00D47C09"/>
    <w:rsid w:val="00D47D30"/>
    <w:rsid w:val="00D47D5F"/>
    <w:rsid w:val="00D47DB2"/>
    <w:rsid w:val="00D47DE4"/>
    <w:rsid w:val="00D47DE8"/>
    <w:rsid w:val="00D47DF2"/>
    <w:rsid w:val="00D47E83"/>
    <w:rsid w:val="00D47EA9"/>
    <w:rsid w:val="00D47EFE"/>
    <w:rsid w:val="00D47F50"/>
    <w:rsid w:val="00D47F85"/>
    <w:rsid w:val="00D47FAF"/>
    <w:rsid w:val="00D50036"/>
    <w:rsid w:val="00D5006E"/>
    <w:rsid w:val="00D5013D"/>
    <w:rsid w:val="00D501D3"/>
    <w:rsid w:val="00D501FF"/>
    <w:rsid w:val="00D50208"/>
    <w:rsid w:val="00D50280"/>
    <w:rsid w:val="00D50324"/>
    <w:rsid w:val="00D503B0"/>
    <w:rsid w:val="00D503D6"/>
    <w:rsid w:val="00D503F6"/>
    <w:rsid w:val="00D5045C"/>
    <w:rsid w:val="00D50488"/>
    <w:rsid w:val="00D504C8"/>
    <w:rsid w:val="00D50553"/>
    <w:rsid w:val="00D50616"/>
    <w:rsid w:val="00D50641"/>
    <w:rsid w:val="00D50662"/>
    <w:rsid w:val="00D50668"/>
    <w:rsid w:val="00D50678"/>
    <w:rsid w:val="00D506A0"/>
    <w:rsid w:val="00D506B0"/>
    <w:rsid w:val="00D506BC"/>
    <w:rsid w:val="00D507B2"/>
    <w:rsid w:val="00D507E9"/>
    <w:rsid w:val="00D50802"/>
    <w:rsid w:val="00D5088D"/>
    <w:rsid w:val="00D508C2"/>
    <w:rsid w:val="00D508DC"/>
    <w:rsid w:val="00D50902"/>
    <w:rsid w:val="00D50941"/>
    <w:rsid w:val="00D50944"/>
    <w:rsid w:val="00D509AB"/>
    <w:rsid w:val="00D509AF"/>
    <w:rsid w:val="00D509B5"/>
    <w:rsid w:val="00D509CC"/>
    <w:rsid w:val="00D509F5"/>
    <w:rsid w:val="00D50A43"/>
    <w:rsid w:val="00D50A6D"/>
    <w:rsid w:val="00D50ABC"/>
    <w:rsid w:val="00D50AC3"/>
    <w:rsid w:val="00D50AF9"/>
    <w:rsid w:val="00D50B67"/>
    <w:rsid w:val="00D50B78"/>
    <w:rsid w:val="00D50B91"/>
    <w:rsid w:val="00D50BD0"/>
    <w:rsid w:val="00D50BD9"/>
    <w:rsid w:val="00D50C3E"/>
    <w:rsid w:val="00D50C62"/>
    <w:rsid w:val="00D50D38"/>
    <w:rsid w:val="00D50D7E"/>
    <w:rsid w:val="00D50E14"/>
    <w:rsid w:val="00D50E8C"/>
    <w:rsid w:val="00D50EC8"/>
    <w:rsid w:val="00D50ED8"/>
    <w:rsid w:val="00D50EF2"/>
    <w:rsid w:val="00D50F55"/>
    <w:rsid w:val="00D50FB0"/>
    <w:rsid w:val="00D50FD9"/>
    <w:rsid w:val="00D50FF3"/>
    <w:rsid w:val="00D51059"/>
    <w:rsid w:val="00D510C1"/>
    <w:rsid w:val="00D51131"/>
    <w:rsid w:val="00D51149"/>
    <w:rsid w:val="00D5114A"/>
    <w:rsid w:val="00D511C3"/>
    <w:rsid w:val="00D51217"/>
    <w:rsid w:val="00D51221"/>
    <w:rsid w:val="00D51251"/>
    <w:rsid w:val="00D512A1"/>
    <w:rsid w:val="00D512B8"/>
    <w:rsid w:val="00D512FF"/>
    <w:rsid w:val="00D51312"/>
    <w:rsid w:val="00D51313"/>
    <w:rsid w:val="00D5134F"/>
    <w:rsid w:val="00D5135F"/>
    <w:rsid w:val="00D513FD"/>
    <w:rsid w:val="00D51403"/>
    <w:rsid w:val="00D51435"/>
    <w:rsid w:val="00D51484"/>
    <w:rsid w:val="00D514BA"/>
    <w:rsid w:val="00D514DA"/>
    <w:rsid w:val="00D514E9"/>
    <w:rsid w:val="00D51519"/>
    <w:rsid w:val="00D51549"/>
    <w:rsid w:val="00D51633"/>
    <w:rsid w:val="00D516E7"/>
    <w:rsid w:val="00D516F0"/>
    <w:rsid w:val="00D5170B"/>
    <w:rsid w:val="00D51757"/>
    <w:rsid w:val="00D51759"/>
    <w:rsid w:val="00D51760"/>
    <w:rsid w:val="00D517A8"/>
    <w:rsid w:val="00D517FC"/>
    <w:rsid w:val="00D5180D"/>
    <w:rsid w:val="00D51817"/>
    <w:rsid w:val="00D5183C"/>
    <w:rsid w:val="00D5185C"/>
    <w:rsid w:val="00D51879"/>
    <w:rsid w:val="00D518BA"/>
    <w:rsid w:val="00D518F6"/>
    <w:rsid w:val="00D51996"/>
    <w:rsid w:val="00D51A02"/>
    <w:rsid w:val="00D51AAF"/>
    <w:rsid w:val="00D51AB6"/>
    <w:rsid w:val="00D51AE8"/>
    <w:rsid w:val="00D51AEF"/>
    <w:rsid w:val="00D51B58"/>
    <w:rsid w:val="00D51CAB"/>
    <w:rsid w:val="00D51CAC"/>
    <w:rsid w:val="00D51CC0"/>
    <w:rsid w:val="00D51CEF"/>
    <w:rsid w:val="00D51D14"/>
    <w:rsid w:val="00D51D42"/>
    <w:rsid w:val="00D51D63"/>
    <w:rsid w:val="00D51DE7"/>
    <w:rsid w:val="00D51EEF"/>
    <w:rsid w:val="00D51F74"/>
    <w:rsid w:val="00D51FCA"/>
    <w:rsid w:val="00D51FFE"/>
    <w:rsid w:val="00D52037"/>
    <w:rsid w:val="00D52059"/>
    <w:rsid w:val="00D52068"/>
    <w:rsid w:val="00D52095"/>
    <w:rsid w:val="00D520B7"/>
    <w:rsid w:val="00D520E7"/>
    <w:rsid w:val="00D520F9"/>
    <w:rsid w:val="00D52109"/>
    <w:rsid w:val="00D5210F"/>
    <w:rsid w:val="00D5212F"/>
    <w:rsid w:val="00D5214F"/>
    <w:rsid w:val="00D52196"/>
    <w:rsid w:val="00D521E2"/>
    <w:rsid w:val="00D52251"/>
    <w:rsid w:val="00D52265"/>
    <w:rsid w:val="00D5229E"/>
    <w:rsid w:val="00D522B8"/>
    <w:rsid w:val="00D52343"/>
    <w:rsid w:val="00D52355"/>
    <w:rsid w:val="00D52362"/>
    <w:rsid w:val="00D523CC"/>
    <w:rsid w:val="00D523EC"/>
    <w:rsid w:val="00D52434"/>
    <w:rsid w:val="00D5243B"/>
    <w:rsid w:val="00D52483"/>
    <w:rsid w:val="00D52497"/>
    <w:rsid w:val="00D524B4"/>
    <w:rsid w:val="00D5255E"/>
    <w:rsid w:val="00D525CB"/>
    <w:rsid w:val="00D52692"/>
    <w:rsid w:val="00D526D4"/>
    <w:rsid w:val="00D526EA"/>
    <w:rsid w:val="00D52723"/>
    <w:rsid w:val="00D5273B"/>
    <w:rsid w:val="00D52743"/>
    <w:rsid w:val="00D527C0"/>
    <w:rsid w:val="00D5280C"/>
    <w:rsid w:val="00D5280D"/>
    <w:rsid w:val="00D52869"/>
    <w:rsid w:val="00D528C3"/>
    <w:rsid w:val="00D528E7"/>
    <w:rsid w:val="00D528EC"/>
    <w:rsid w:val="00D528F0"/>
    <w:rsid w:val="00D52918"/>
    <w:rsid w:val="00D52985"/>
    <w:rsid w:val="00D52993"/>
    <w:rsid w:val="00D529AE"/>
    <w:rsid w:val="00D529B8"/>
    <w:rsid w:val="00D529CE"/>
    <w:rsid w:val="00D529FF"/>
    <w:rsid w:val="00D52A1D"/>
    <w:rsid w:val="00D52A87"/>
    <w:rsid w:val="00D52AD0"/>
    <w:rsid w:val="00D52AE4"/>
    <w:rsid w:val="00D52B27"/>
    <w:rsid w:val="00D52B60"/>
    <w:rsid w:val="00D52B7C"/>
    <w:rsid w:val="00D52B8F"/>
    <w:rsid w:val="00D52B96"/>
    <w:rsid w:val="00D52BD4"/>
    <w:rsid w:val="00D52C32"/>
    <w:rsid w:val="00D52C55"/>
    <w:rsid w:val="00D52CC3"/>
    <w:rsid w:val="00D52D10"/>
    <w:rsid w:val="00D52D17"/>
    <w:rsid w:val="00D52D33"/>
    <w:rsid w:val="00D52DA2"/>
    <w:rsid w:val="00D52DC7"/>
    <w:rsid w:val="00D52DC9"/>
    <w:rsid w:val="00D52E23"/>
    <w:rsid w:val="00D52F0F"/>
    <w:rsid w:val="00D52F22"/>
    <w:rsid w:val="00D52F6E"/>
    <w:rsid w:val="00D52FEC"/>
    <w:rsid w:val="00D52FF9"/>
    <w:rsid w:val="00D5300C"/>
    <w:rsid w:val="00D53036"/>
    <w:rsid w:val="00D5303E"/>
    <w:rsid w:val="00D53041"/>
    <w:rsid w:val="00D53066"/>
    <w:rsid w:val="00D5309C"/>
    <w:rsid w:val="00D530BD"/>
    <w:rsid w:val="00D531A2"/>
    <w:rsid w:val="00D531AB"/>
    <w:rsid w:val="00D53234"/>
    <w:rsid w:val="00D53255"/>
    <w:rsid w:val="00D5329F"/>
    <w:rsid w:val="00D53326"/>
    <w:rsid w:val="00D5333F"/>
    <w:rsid w:val="00D53361"/>
    <w:rsid w:val="00D53399"/>
    <w:rsid w:val="00D533B6"/>
    <w:rsid w:val="00D533D5"/>
    <w:rsid w:val="00D533DA"/>
    <w:rsid w:val="00D5340D"/>
    <w:rsid w:val="00D5345D"/>
    <w:rsid w:val="00D5349D"/>
    <w:rsid w:val="00D534EF"/>
    <w:rsid w:val="00D5350C"/>
    <w:rsid w:val="00D5356A"/>
    <w:rsid w:val="00D53574"/>
    <w:rsid w:val="00D535A0"/>
    <w:rsid w:val="00D535CD"/>
    <w:rsid w:val="00D53609"/>
    <w:rsid w:val="00D53622"/>
    <w:rsid w:val="00D53629"/>
    <w:rsid w:val="00D53630"/>
    <w:rsid w:val="00D53677"/>
    <w:rsid w:val="00D5368F"/>
    <w:rsid w:val="00D5370A"/>
    <w:rsid w:val="00D537D4"/>
    <w:rsid w:val="00D53815"/>
    <w:rsid w:val="00D53824"/>
    <w:rsid w:val="00D53829"/>
    <w:rsid w:val="00D53872"/>
    <w:rsid w:val="00D53925"/>
    <w:rsid w:val="00D53929"/>
    <w:rsid w:val="00D5395E"/>
    <w:rsid w:val="00D5396D"/>
    <w:rsid w:val="00D53992"/>
    <w:rsid w:val="00D5399A"/>
    <w:rsid w:val="00D539B5"/>
    <w:rsid w:val="00D53A27"/>
    <w:rsid w:val="00D53B20"/>
    <w:rsid w:val="00D53B29"/>
    <w:rsid w:val="00D53B37"/>
    <w:rsid w:val="00D53BF9"/>
    <w:rsid w:val="00D53C1D"/>
    <w:rsid w:val="00D53C25"/>
    <w:rsid w:val="00D53C31"/>
    <w:rsid w:val="00D53C48"/>
    <w:rsid w:val="00D53CA5"/>
    <w:rsid w:val="00D53CC7"/>
    <w:rsid w:val="00D53E75"/>
    <w:rsid w:val="00D53E81"/>
    <w:rsid w:val="00D53E97"/>
    <w:rsid w:val="00D53EE2"/>
    <w:rsid w:val="00D53F2A"/>
    <w:rsid w:val="00D53F34"/>
    <w:rsid w:val="00D53F5D"/>
    <w:rsid w:val="00D53F83"/>
    <w:rsid w:val="00D53FD8"/>
    <w:rsid w:val="00D53FE0"/>
    <w:rsid w:val="00D54031"/>
    <w:rsid w:val="00D54033"/>
    <w:rsid w:val="00D54063"/>
    <w:rsid w:val="00D540DE"/>
    <w:rsid w:val="00D540FB"/>
    <w:rsid w:val="00D54119"/>
    <w:rsid w:val="00D541F8"/>
    <w:rsid w:val="00D5424E"/>
    <w:rsid w:val="00D5426B"/>
    <w:rsid w:val="00D542B8"/>
    <w:rsid w:val="00D543E7"/>
    <w:rsid w:val="00D544F9"/>
    <w:rsid w:val="00D54513"/>
    <w:rsid w:val="00D5451C"/>
    <w:rsid w:val="00D54594"/>
    <w:rsid w:val="00D545B8"/>
    <w:rsid w:val="00D54629"/>
    <w:rsid w:val="00D54638"/>
    <w:rsid w:val="00D546D3"/>
    <w:rsid w:val="00D546F4"/>
    <w:rsid w:val="00D5471B"/>
    <w:rsid w:val="00D547EA"/>
    <w:rsid w:val="00D547EE"/>
    <w:rsid w:val="00D548E9"/>
    <w:rsid w:val="00D5490E"/>
    <w:rsid w:val="00D54962"/>
    <w:rsid w:val="00D54A0A"/>
    <w:rsid w:val="00D54A46"/>
    <w:rsid w:val="00D54A7D"/>
    <w:rsid w:val="00D54AB1"/>
    <w:rsid w:val="00D54AE8"/>
    <w:rsid w:val="00D54B11"/>
    <w:rsid w:val="00D54C9D"/>
    <w:rsid w:val="00D54D1A"/>
    <w:rsid w:val="00D54D3E"/>
    <w:rsid w:val="00D54DD3"/>
    <w:rsid w:val="00D54E04"/>
    <w:rsid w:val="00D54E37"/>
    <w:rsid w:val="00D54E3F"/>
    <w:rsid w:val="00D54E55"/>
    <w:rsid w:val="00D54EBE"/>
    <w:rsid w:val="00D54ED6"/>
    <w:rsid w:val="00D54F8E"/>
    <w:rsid w:val="00D54FE3"/>
    <w:rsid w:val="00D55056"/>
    <w:rsid w:val="00D55089"/>
    <w:rsid w:val="00D550DC"/>
    <w:rsid w:val="00D55100"/>
    <w:rsid w:val="00D5510E"/>
    <w:rsid w:val="00D55125"/>
    <w:rsid w:val="00D55135"/>
    <w:rsid w:val="00D55162"/>
    <w:rsid w:val="00D551F7"/>
    <w:rsid w:val="00D55247"/>
    <w:rsid w:val="00D55254"/>
    <w:rsid w:val="00D55276"/>
    <w:rsid w:val="00D5532E"/>
    <w:rsid w:val="00D5533D"/>
    <w:rsid w:val="00D553CF"/>
    <w:rsid w:val="00D5546C"/>
    <w:rsid w:val="00D55492"/>
    <w:rsid w:val="00D55531"/>
    <w:rsid w:val="00D555DB"/>
    <w:rsid w:val="00D55645"/>
    <w:rsid w:val="00D55656"/>
    <w:rsid w:val="00D55671"/>
    <w:rsid w:val="00D5568C"/>
    <w:rsid w:val="00D556AB"/>
    <w:rsid w:val="00D556BF"/>
    <w:rsid w:val="00D55771"/>
    <w:rsid w:val="00D557CE"/>
    <w:rsid w:val="00D5581F"/>
    <w:rsid w:val="00D558C9"/>
    <w:rsid w:val="00D55933"/>
    <w:rsid w:val="00D5596B"/>
    <w:rsid w:val="00D559AD"/>
    <w:rsid w:val="00D55A81"/>
    <w:rsid w:val="00D55B1F"/>
    <w:rsid w:val="00D55B66"/>
    <w:rsid w:val="00D55B6C"/>
    <w:rsid w:val="00D55BF9"/>
    <w:rsid w:val="00D55C75"/>
    <w:rsid w:val="00D55C95"/>
    <w:rsid w:val="00D55CB6"/>
    <w:rsid w:val="00D55CC6"/>
    <w:rsid w:val="00D55CE3"/>
    <w:rsid w:val="00D55D72"/>
    <w:rsid w:val="00D55D86"/>
    <w:rsid w:val="00D55DC9"/>
    <w:rsid w:val="00D55DF9"/>
    <w:rsid w:val="00D55E78"/>
    <w:rsid w:val="00D55EB1"/>
    <w:rsid w:val="00D55EF3"/>
    <w:rsid w:val="00D55F1E"/>
    <w:rsid w:val="00D55F2C"/>
    <w:rsid w:val="00D55F4C"/>
    <w:rsid w:val="00D55F73"/>
    <w:rsid w:val="00D55FC9"/>
    <w:rsid w:val="00D55FDC"/>
    <w:rsid w:val="00D55FE5"/>
    <w:rsid w:val="00D56028"/>
    <w:rsid w:val="00D56071"/>
    <w:rsid w:val="00D5617A"/>
    <w:rsid w:val="00D5617B"/>
    <w:rsid w:val="00D561B3"/>
    <w:rsid w:val="00D56367"/>
    <w:rsid w:val="00D5636E"/>
    <w:rsid w:val="00D563BF"/>
    <w:rsid w:val="00D563E6"/>
    <w:rsid w:val="00D56483"/>
    <w:rsid w:val="00D564F6"/>
    <w:rsid w:val="00D5652B"/>
    <w:rsid w:val="00D5654C"/>
    <w:rsid w:val="00D56599"/>
    <w:rsid w:val="00D5659F"/>
    <w:rsid w:val="00D565A9"/>
    <w:rsid w:val="00D565F5"/>
    <w:rsid w:val="00D56616"/>
    <w:rsid w:val="00D566E0"/>
    <w:rsid w:val="00D566F4"/>
    <w:rsid w:val="00D56708"/>
    <w:rsid w:val="00D56710"/>
    <w:rsid w:val="00D56718"/>
    <w:rsid w:val="00D56731"/>
    <w:rsid w:val="00D5681C"/>
    <w:rsid w:val="00D56856"/>
    <w:rsid w:val="00D5686C"/>
    <w:rsid w:val="00D568C0"/>
    <w:rsid w:val="00D56912"/>
    <w:rsid w:val="00D56919"/>
    <w:rsid w:val="00D56944"/>
    <w:rsid w:val="00D5695A"/>
    <w:rsid w:val="00D56988"/>
    <w:rsid w:val="00D56993"/>
    <w:rsid w:val="00D569C3"/>
    <w:rsid w:val="00D56A3F"/>
    <w:rsid w:val="00D56A54"/>
    <w:rsid w:val="00D56ABE"/>
    <w:rsid w:val="00D56AEB"/>
    <w:rsid w:val="00D56B00"/>
    <w:rsid w:val="00D56BBD"/>
    <w:rsid w:val="00D56C2B"/>
    <w:rsid w:val="00D56C73"/>
    <w:rsid w:val="00D56C77"/>
    <w:rsid w:val="00D56C81"/>
    <w:rsid w:val="00D56C9F"/>
    <w:rsid w:val="00D56CE6"/>
    <w:rsid w:val="00D56E20"/>
    <w:rsid w:val="00D56E35"/>
    <w:rsid w:val="00D56E46"/>
    <w:rsid w:val="00D56E65"/>
    <w:rsid w:val="00D56F19"/>
    <w:rsid w:val="00D56F8B"/>
    <w:rsid w:val="00D56FF3"/>
    <w:rsid w:val="00D570A7"/>
    <w:rsid w:val="00D570B2"/>
    <w:rsid w:val="00D570C8"/>
    <w:rsid w:val="00D570C9"/>
    <w:rsid w:val="00D570D5"/>
    <w:rsid w:val="00D570D8"/>
    <w:rsid w:val="00D570EA"/>
    <w:rsid w:val="00D57115"/>
    <w:rsid w:val="00D57161"/>
    <w:rsid w:val="00D571AB"/>
    <w:rsid w:val="00D571B7"/>
    <w:rsid w:val="00D57217"/>
    <w:rsid w:val="00D57221"/>
    <w:rsid w:val="00D572A9"/>
    <w:rsid w:val="00D572AE"/>
    <w:rsid w:val="00D572BC"/>
    <w:rsid w:val="00D572E6"/>
    <w:rsid w:val="00D57328"/>
    <w:rsid w:val="00D5732D"/>
    <w:rsid w:val="00D57331"/>
    <w:rsid w:val="00D573BA"/>
    <w:rsid w:val="00D57412"/>
    <w:rsid w:val="00D57422"/>
    <w:rsid w:val="00D57434"/>
    <w:rsid w:val="00D5744A"/>
    <w:rsid w:val="00D574DD"/>
    <w:rsid w:val="00D57552"/>
    <w:rsid w:val="00D5759F"/>
    <w:rsid w:val="00D575AE"/>
    <w:rsid w:val="00D5768B"/>
    <w:rsid w:val="00D576A1"/>
    <w:rsid w:val="00D576B1"/>
    <w:rsid w:val="00D576F3"/>
    <w:rsid w:val="00D5772E"/>
    <w:rsid w:val="00D5775D"/>
    <w:rsid w:val="00D57812"/>
    <w:rsid w:val="00D57832"/>
    <w:rsid w:val="00D57886"/>
    <w:rsid w:val="00D578D0"/>
    <w:rsid w:val="00D578F3"/>
    <w:rsid w:val="00D579A5"/>
    <w:rsid w:val="00D579B0"/>
    <w:rsid w:val="00D579B6"/>
    <w:rsid w:val="00D57A35"/>
    <w:rsid w:val="00D57A8B"/>
    <w:rsid w:val="00D57A96"/>
    <w:rsid w:val="00D57B0E"/>
    <w:rsid w:val="00D57B21"/>
    <w:rsid w:val="00D57B32"/>
    <w:rsid w:val="00D57B49"/>
    <w:rsid w:val="00D57B84"/>
    <w:rsid w:val="00D57C20"/>
    <w:rsid w:val="00D57C27"/>
    <w:rsid w:val="00D57C3B"/>
    <w:rsid w:val="00D57C42"/>
    <w:rsid w:val="00D57C69"/>
    <w:rsid w:val="00D57C94"/>
    <w:rsid w:val="00D57CE7"/>
    <w:rsid w:val="00D57CF0"/>
    <w:rsid w:val="00D57CF1"/>
    <w:rsid w:val="00D57CFA"/>
    <w:rsid w:val="00D57D05"/>
    <w:rsid w:val="00D57D07"/>
    <w:rsid w:val="00D57D6E"/>
    <w:rsid w:val="00D57E17"/>
    <w:rsid w:val="00D57E2E"/>
    <w:rsid w:val="00D57E6E"/>
    <w:rsid w:val="00D57E85"/>
    <w:rsid w:val="00D57EC8"/>
    <w:rsid w:val="00D57ED9"/>
    <w:rsid w:val="00D57F3A"/>
    <w:rsid w:val="00D57F6E"/>
    <w:rsid w:val="00D6003D"/>
    <w:rsid w:val="00D6005C"/>
    <w:rsid w:val="00D60076"/>
    <w:rsid w:val="00D60122"/>
    <w:rsid w:val="00D60126"/>
    <w:rsid w:val="00D60196"/>
    <w:rsid w:val="00D601E4"/>
    <w:rsid w:val="00D601F6"/>
    <w:rsid w:val="00D60203"/>
    <w:rsid w:val="00D60216"/>
    <w:rsid w:val="00D6022A"/>
    <w:rsid w:val="00D60233"/>
    <w:rsid w:val="00D6027A"/>
    <w:rsid w:val="00D60286"/>
    <w:rsid w:val="00D602AA"/>
    <w:rsid w:val="00D602CA"/>
    <w:rsid w:val="00D60305"/>
    <w:rsid w:val="00D60307"/>
    <w:rsid w:val="00D60431"/>
    <w:rsid w:val="00D60439"/>
    <w:rsid w:val="00D604BD"/>
    <w:rsid w:val="00D604DE"/>
    <w:rsid w:val="00D60538"/>
    <w:rsid w:val="00D6056F"/>
    <w:rsid w:val="00D605C0"/>
    <w:rsid w:val="00D605DA"/>
    <w:rsid w:val="00D6060C"/>
    <w:rsid w:val="00D60625"/>
    <w:rsid w:val="00D60637"/>
    <w:rsid w:val="00D60689"/>
    <w:rsid w:val="00D6076C"/>
    <w:rsid w:val="00D607A9"/>
    <w:rsid w:val="00D607AF"/>
    <w:rsid w:val="00D60818"/>
    <w:rsid w:val="00D6081C"/>
    <w:rsid w:val="00D60966"/>
    <w:rsid w:val="00D609FB"/>
    <w:rsid w:val="00D60A47"/>
    <w:rsid w:val="00D60A67"/>
    <w:rsid w:val="00D60A87"/>
    <w:rsid w:val="00D60A8D"/>
    <w:rsid w:val="00D60B31"/>
    <w:rsid w:val="00D60B4B"/>
    <w:rsid w:val="00D60C04"/>
    <w:rsid w:val="00D60C44"/>
    <w:rsid w:val="00D60E17"/>
    <w:rsid w:val="00D60E2A"/>
    <w:rsid w:val="00D60E8F"/>
    <w:rsid w:val="00D60F24"/>
    <w:rsid w:val="00D60F2C"/>
    <w:rsid w:val="00D60F94"/>
    <w:rsid w:val="00D60FFF"/>
    <w:rsid w:val="00D6101B"/>
    <w:rsid w:val="00D6104E"/>
    <w:rsid w:val="00D610B2"/>
    <w:rsid w:val="00D61151"/>
    <w:rsid w:val="00D611DA"/>
    <w:rsid w:val="00D61243"/>
    <w:rsid w:val="00D61271"/>
    <w:rsid w:val="00D612D7"/>
    <w:rsid w:val="00D61302"/>
    <w:rsid w:val="00D61315"/>
    <w:rsid w:val="00D6136E"/>
    <w:rsid w:val="00D613E7"/>
    <w:rsid w:val="00D61415"/>
    <w:rsid w:val="00D6141D"/>
    <w:rsid w:val="00D61420"/>
    <w:rsid w:val="00D61466"/>
    <w:rsid w:val="00D6146F"/>
    <w:rsid w:val="00D614D8"/>
    <w:rsid w:val="00D614FD"/>
    <w:rsid w:val="00D6152A"/>
    <w:rsid w:val="00D61536"/>
    <w:rsid w:val="00D61580"/>
    <w:rsid w:val="00D615D6"/>
    <w:rsid w:val="00D61698"/>
    <w:rsid w:val="00D61763"/>
    <w:rsid w:val="00D61767"/>
    <w:rsid w:val="00D61773"/>
    <w:rsid w:val="00D6181F"/>
    <w:rsid w:val="00D6185D"/>
    <w:rsid w:val="00D61888"/>
    <w:rsid w:val="00D618A7"/>
    <w:rsid w:val="00D618C2"/>
    <w:rsid w:val="00D618D5"/>
    <w:rsid w:val="00D6194A"/>
    <w:rsid w:val="00D61A57"/>
    <w:rsid w:val="00D61A78"/>
    <w:rsid w:val="00D61B27"/>
    <w:rsid w:val="00D61B55"/>
    <w:rsid w:val="00D61B79"/>
    <w:rsid w:val="00D61BA7"/>
    <w:rsid w:val="00D61C20"/>
    <w:rsid w:val="00D61C24"/>
    <w:rsid w:val="00D61C28"/>
    <w:rsid w:val="00D61C4C"/>
    <w:rsid w:val="00D61C54"/>
    <w:rsid w:val="00D61C68"/>
    <w:rsid w:val="00D61C8C"/>
    <w:rsid w:val="00D61CF7"/>
    <w:rsid w:val="00D61D1B"/>
    <w:rsid w:val="00D61D44"/>
    <w:rsid w:val="00D61D85"/>
    <w:rsid w:val="00D61DAA"/>
    <w:rsid w:val="00D61E02"/>
    <w:rsid w:val="00D61E79"/>
    <w:rsid w:val="00D61EB2"/>
    <w:rsid w:val="00D61F79"/>
    <w:rsid w:val="00D61FB7"/>
    <w:rsid w:val="00D62028"/>
    <w:rsid w:val="00D6206A"/>
    <w:rsid w:val="00D62087"/>
    <w:rsid w:val="00D6208A"/>
    <w:rsid w:val="00D620A1"/>
    <w:rsid w:val="00D620C6"/>
    <w:rsid w:val="00D620EC"/>
    <w:rsid w:val="00D6211B"/>
    <w:rsid w:val="00D6213B"/>
    <w:rsid w:val="00D62169"/>
    <w:rsid w:val="00D62210"/>
    <w:rsid w:val="00D62213"/>
    <w:rsid w:val="00D622BA"/>
    <w:rsid w:val="00D622DB"/>
    <w:rsid w:val="00D622E5"/>
    <w:rsid w:val="00D6230B"/>
    <w:rsid w:val="00D62322"/>
    <w:rsid w:val="00D62328"/>
    <w:rsid w:val="00D62369"/>
    <w:rsid w:val="00D623AD"/>
    <w:rsid w:val="00D623B3"/>
    <w:rsid w:val="00D624BA"/>
    <w:rsid w:val="00D624E5"/>
    <w:rsid w:val="00D62542"/>
    <w:rsid w:val="00D62621"/>
    <w:rsid w:val="00D62648"/>
    <w:rsid w:val="00D6264C"/>
    <w:rsid w:val="00D62669"/>
    <w:rsid w:val="00D626F2"/>
    <w:rsid w:val="00D6275B"/>
    <w:rsid w:val="00D6277E"/>
    <w:rsid w:val="00D627A1"/>
    <w:rsid w:val="00D627FA"/>
    <w:rsid w:val="00D62860"/>
    <w:rsid w:val="00D6289D"/>
    <w:rsid w:val="00D628C0"/>
    <w:rsid w:val="00D628C9"/>
    <w:rsid w:val="00D6293D"/>
    <w:rsid w:val="00D6295C"/>
    <w:rsid w:val="00D62967"/>
    <w:rsid w:val="00D62989"/>
    <w:rsid w:val="00D629B9"/>
    <w:rsid w:val="00D629E0"/>
    <w:rsid w:val="00D62A04"/>
    <w:rsid w:val="00D62A7E"/>
    <w:rsid w:val="00D62AE0"/>
    <w:rsid w:val="00D62AF5"/>
    <w:rsid w:val="00D62B18"/>
    <w:rsid w:val="00D62B4C"/>
    <w:rsid w:val="00D62BF4"/>
    <w:rsid w:val="00D62C00"/>
    <w:rsid w:val="00D62C90"/>
    <w:rsid w:val="00D62CF0"/>
    <w:rsid w:val="00D62CFE"/>
    <w:rsid w:val="00D62D56"/>
    <w:rsid w:val="00D62DB3"/>
    <w:rsid w:val="00D62DE7"/>
    <w:rsid w:val="00D62DF3"/>
    <w:rsid w:val="00D62E54"/>
    <w:rsid w:val="00D62E64"/>
    <w:rsid w:val="00D62E8D"/>
    <w:rsid w:val="00D62F17"/>
    <w:rsid w:val="00D62F5A"/>
    <w:rsid w:val="00D62F7F"/>
    <w:rsid w:val="00D62F98"/>
    <w:rsid w:val="00D62FBD"/>
    <w:rsid w:val="00D6303F"/>
    <w:rsid w:val="00D630B9"/>
    <w:rsid w:val="00D630EE"/>
    <w:rsid w:val="00D630F9"/>
    <w:rsid w:val="00D63160"/>
    <w:rsid w:val="00D631CF"/>
    <w:rsid w:val="00D631F3"/>
    <w:rsid w:val="00D6322B"/>
    <w:rsid w:val="00D63282"/>
    <w:rsid w:val="00D632D8"/>
    <w:rsid w:val="00D63342"/>
    <w:rsid w:val="00D6337B"/>
    <w:rsid w:val="00D63493"/>
    <w:rsid w:val="00D63556"/>
    <w:rsid w:val="00D6357D"/>
    <w:rsid w:val="00D6358E"/>
    <w:rsid w:val="00D635CC"/>
    <w:rsid w:val="00D636A8"/>
    <w:rsid w:val="00D636E2"/>
    <w:rsid w:val="00D63735"/>
    <w:rsid w:val="00D63758"/>
    <w:rsid w:val="00D637B5"/>
    <w:rsid w:val="00D637ED"/>
    <w:rsid w:val="00D6381B"/>
    <w:rsid w:val="00D6384D"/>
    <w:rsid w:val="00D638AC"/>
    <w:rsid w:val="00D638B3"/>
    <w:rsid w:val="00D638B8"/>
    <w:rsid w:val="00D638CD"/>
    <w:rsid w:val="00D6393E"/>
    <w:rsid w:val="00D639B1"/>
    <w:rsid w:val="00D639B3"/>
    <w:rsid w:val="00D63A0C"/>
    <w:rsid w:val="00D63A1E"/>
    <w:rsid w:val="00D63A4F"/>
    <w:rsid w:val="00D63AC2"/>
    <w:rsid w:val="00D63AEF"/>
    <w:rsid w:val="00D63AF8"/>
    <w:rsid w:val="00D63B66"/>
    <w:rsid w:val="00D63B8F"/>
    <w:rsid w:val="00D63B93"/>
    <w:rsid w:val="00D63BE7"/>
    <w:rsid w:val="00D63BF2"/>
    <w:rsid w:val="00D63C01"/>
    <w:rsid w:val="00D63C60"/>
    <w:rsid w:val="00D63C7C"/>
    <w:rsid w:val="00D63C8B"/>
    <w:rsid w:val="00D63CA6"/>
    <w:rsid w:val="00D63D52"/>
    <w:rsid w:val="00D63D64"/>
    <w:rsid w:val="00D63D7C"/>
    <w:rsid w:val="00D63DBA"/>
    <w:rsid w:val="00D63DF9"/>
    <w:rsid w:val="00D63E1C"/>
    <w:rsid w:val="00D63E61"/>
    <w:rsid w:val="00D63EC2"/>
    <w:rsid w:val="00D63ECF"/>
    <w:rsid w:val="00D63EFD"/>
    <w:rsid w:val="00D63F84"/>
    <w:rsid w:val="00D63F92"/>
    <w:rsid w:val="00D63FC3"/>
    <w:rsid w:val="00D63FCE"/>
    <w:rsid w:val="00D63FFA"/>
    <w:rsid w:val="00D64003"/>
    <w:rsid w:val="00D64010"/>
    <w:rsid w:val="00D64097"/>
    <w:rsid w:val="00D6410E"/>
    <w:rsid w:val="00D64122"/>
    <w:rsid w:val="00D6418A"/>
    <w:rsid w:val="00D641D2"/>
    <w:rsid w:val="00D64246"/>
    <w:rsid w:val="00D6424E"/>
    <w:rsid w:val="00D64264"/>
    <w:rsid w:val="00D642B4"/>
    <w:rsid w:val="00D6434D"/>
    <w:rsid w:val="00D64368"/>
    <w:rsid w:val="00D64418"/>
    <w:rsid w:val="00D6443B"/>
    <w:rsid w:val="00D64481"/>
    <w:rsid w:val="00D6448E"/>
    <w:rsid w:val="00D644C5"/>
    <w:rsid w:val="00D6453B"/>
    <w:rsid w:val="00D645A1"/>
    <w:rsid w:val="00D64633"/>
    <w:rsid w:val="00D64718"/>
    <w:rsid w:val="00D64730"/>
    <w:rsid w:val="00D6473A"/>
    <w:rsid w:val="00D64744"/>
    <w:rsid w:val="00D647FA"/>
    <w:rsid w:val="00D6483A"/>
    <w:rsid w:val="00D64865"/>
    <w:rsid w:val="00D64913"/>
    <w:rsid w:val="00D649E8"/>
    <w:rsid w:val="00D649F2"/>
    <w:rsid w:val="00D64A35"/>
    <w:rsid w:val="00D64AAC"/>
    <w:rsid w:val="00D64B3B"/>
    <w:rsid w:val="00D64B45"/>
    <w:rsid w:val="00D64BA6"/>
    <w:rsid w:val="00D64BBE"/>
    <w:rsid w:val="00D64BD5"/>
    <w:rsid w:val="00D64BF2"/>
    <w:rsid w:val="00D64C03"/>
    <w:rsid w:val="00D64CCA"/>
    <w:rsid w:val="00D64CF3"/>
    <w:rsid w:val="00D64D0C"/>
    <w:rsid w:val="00D64D1B"/>
    <w:rsid w:val="00D64D42"/>
    <w:rsid w:val="00D64DEB"/>
    <w:rsid w:val="00D64E2A"/>
    <w:rsid w:val="00D64E32"/>
    <w:rsid w:val="00D64E44"/>
    <w:rsid w:val="00D64E6E"/>
    <w:rsid w:val="00D64E75"/>
    <w:rsid w:val="00D64E8F"/>
    <w:rsid w:val="00D64EC5"/>
    <w:rsid w:val="00D64ECB"/>
    <w:rsid w:val="00D64F1F"/>
    <w:rsid w:val="00D64F9D"/>
    <w:rsid w:val="00D65084"/>
    <w:rsid w:val="00D650AC"/>
    <w:rsid w:val="00D650B2"/>
    <w:rsid w:val="00D650B9"/>
    <w:rsid w:val="00D650CB"/>
    <w:rsid w:val="00D6510C"/>
    <w:rsid w:val="00D6511F"/>
    <w:rsid w:val="00D65169"/>
    <w:rsid w:val="00D65178"/>
    <w:rsid w:val="00D6519C"/>
    <w:rsid w:val="00D651E8"/>
    <w:rsid w:val="00D6521C"/>
    <w:rsid w:val="00D6522C"/>
    <w:rsid w:val="00D652FD"/>
    <w:rsid w:val="00D65314"/>
    <w:rsid w:val="00D6531D"/>
    <w:rsid w:val="00D65357"/>
    <w:rsid w:val="00D6537B"/>
    <w:rsid w:val="00D653FF"/>
    <w:rsid w:val="00D65474"/>
    <w:rsid w:val="00D654D1"/>
    <w:rsid w:val="00D655BA"/>
    <w:rsid w:val="00D655CF"/>
    <w:rsid w:val="00D65601"/>
    <w:rsid w:val="00D65611"/>
    <w:rsid w:val="00D6565D"/>
    <w:rsid w:val="00D6569F"/>
    <w:rsid w:val="00D656F0"/>
    <w:rsid w:val="00D6570F"/>
    <w:rsid w:val="00D65749"/>
    <w:rsid w:val="00D65769"/>
    <w:rsid w:val="00D657C0"/>
    <w:rsid w:val="00D65889"/>
    <w:rsid w:val="00D65938"/>
    <w:rsid w:val="00D65985"/>
    <w:rsid w:val="00D65999"/>
    <w:rsid w:val="00D6599E"/>
    <w:rsid w:val="00D659C8"/>
    <w:rsid w:val="00D65A33"/>
    <w:rsid w:val="00D65A49"/>
    <w:rsid w:val="00D65A68"/>
    <w:rsid w:val="00D65B7A"/>
    <w:rsid w:val="00D65BD2"/>
    <w:rsid w:val="00D65C7D"/>
    <w:rsid w:val="00D65C92"/>
    <w:rsid w:val="00D65CC8"/>
    <w:rsid w:val="00D65CFE"/>
    <w:rsid w:val="00D65D20"/>
    <w:rsid w:val="00D65D34"/>
    <w:rsid w:val="00D65DC4"/>
    <w:rsid w:val="00D65E46"/>
    <w:rsid w:val="00D65EC2"/>
    <w:rsid w:val="00D65EF2"/>
    <w:rsid w:val="00D65F31"/>
    <w:rsid w:val="00D65F45"/>
    <w:rsid w:val="00D65F78"/>
    <w:rsid w:val="00D65FE0"/>
    <w:rsid w:val="00D6603D"/>
    <w:rsid w:val="00D6605F"/>
    <w:rsid w:val="00D660B0"/>
    <w:rsid w:val="00D660E8"/>
    <w:rsid w:val="00D66195"/>
    <w:rsid w:val="00D661C1"/>
    <w:rsid w:val="00D6624B"/>
    <w:rsid w:val="00D6627B"/>
    <w:rsid w:val="00D6627F"/>
    <w:rsid w:val="00D662EA"/>
    <w:rsid w:val="00D662EF"/>
    <w:rsid w:val="00D662FB"/>
    <w:rsid w:val="00D66382"/>
    <w:rsid w:val="00D6638E"/>
    <w:rsid w:val="00D663F2"/>
    <w:rsid w:val="00D6641E"/>
    <w:rsid w:val="00D66439"/>
    <w:rsid w:val="00D66459"/>
    <w:rsid w:val="00D66475"/>
    <w:rsid w:val="00D66487"/>
    <w:rsid w:val="00D6651A"/>
    <w:rsid w:val="00D66530"/>
    <w:rsid w:val="00D66557"/>
    <w:rsid w:val="00D665DA"/>
    <w:rsid w:val="00D66603"/>
    <w:rsid w:val="00D66785"/>
    <w:rsid w:val="00D66795"/>
    <w:rsid w:val="00D667DD"/>
    <w:rsid w:val="00D6681F"/>
    <w:rsid w:val="00D66889"/>
    <w:rsid w:val="00D66896"/>
    <w:rsid w:val="00D668CE"/>
    <w:rsid w:val="00D668FF"/>
    <w:rsid w:val="00D6696D"/>
    <w:rsid w:val="00D669CA"/>
    <w:rsid w:val="00D669DF"/>
    <w:rsid w:val="00D66A7F"/>
    <w:rsid w:val="00D66AA7"/>
    <w:rsid w:val="00D66AC1"/>
    <w:rsid w:val="00D66B2E"/>
    <w:rsid w:val="00D66B5A"/>
    <w:rsid w:val="00D66B66"/>
    <w:rsid w:val="00D66B75"/>
    <w:rsid w:val="00D66BD9"/>
    <w:rsid w:val="00D66C1B"/>
    <w:rsid w:val="00D66C49"/>
    <w:rsid w:val="00D66C5B"/>
    <w:rsid w:val="00D66C6D"/>
    <w:rsid w:val="00D66D3C"/>
    <w:rsid w:val="00D66D8F"/>
    <w:rsid w:val="00D66E68"/>
    <w:rsid w:val="00D66E9C"/>
    <w:rsid w:val="00D66EA1"/>
    <w:rsid w:val="00D66ECE"/>
    <w:rsid w:val="00D66ED2"/>
    <w:rsid w:val="00D66F7D"/>
    <w:rsid w:val="00D66F9D"/>
    <w:rsid w:val="00D66FA3"/>
    <w:rsid w:val="00D6703E"/>
    <w:rsid w:val="00D67097"/>
    <w:rsid w:val="00D670E5"/>
    <w:rsid w:val="00D67144"/>
    <w:rsid w:val="00D6715D"/>
    <w:rsid w:val="00D67160"/>
    <w:rsid w:val="00D671C5"/>
    <w:rsid w:val="00D6720F"/>
    <w:rsid w:val="00D6721D"/>
    <w:rsid w:val="00D672B5"/>
    <w:rsid w:val="00D672B7"/>
    <w:rsid w:val="00D6732D"/>
    <w:rsid w:val="00D67362"/>
    <w:rsid w:val="00D67374"/>
    <w:rsid w:val="00D6739A"/>
    <w:rsid w:val="00D673A4"/>
    <w:rsid w:val="00D67490"/>
    <w:rsid w:val="00D674CB"/>
    <w:rsid w:val="00D67502"/>
    <w:rsid w:val="00D67510"/>
    <w:rsid w:val="00D67594"/>
    <w:rsid w:val="00D67595"/>
    <w:rsid w:val="00D67602"/>
    <w:rsid w:val="00D6762B"/>
    <w:rsid w:val="00D6766D"/>
    <w:rsid w:val="00D676A1"/>
    <w:rsid w:val="00D676F7"/>
    <w:rsid w:val="00D67710"/>
    <w:rsid w:val="00D67756"/>
    <w:rsid w:val="00D6781C"/>
    <w:rsid w:val="00D67836"/>
    <w:rsid w:val="00D6783C"/>
    <w:rsid w:val="00D67852"/>
    <w:rsid w:val="00D678EF"/>
    <w:rsid w:val="00D67966"/>
    <w:rsid w:val="00D67971"/>
    <w:rsid w:val="00D679EC"/>
    <w:rsid w:val="00D67A6D"/>
    <w:rsid w:val="00D67AA9"/>
    <w:rsid w:val="00D67B00"/>
    <w:rsid w:val="00D67B05"/>
    <w:rsid w:val="00D67B0F"/>
    <w:rsid w:val="00D67BA4"/>
    <w:rsid w:val="00D67BE5"/>
    <w:rsid w:val="00D67C26"/>
    <w:rsid w:val="00D67C7E"/>
    <w:rsid w:val="00D67D62"/>
    <w:rsid w:val="00D67D85"/>
    <w:rsid w:val="00D67DAC"/>
    <w:rsid w:val="00D67E20"/>
    <w:rsid w:val="00D67E2D"/>
    <w:rsid w:val="00D67EA2"/>
    <w:rsid w:val="00D67F06"/>
    <w:rsid w:val="00D67F09"/>
    <w:rsid w:val="00D67F6E"/>
    <w:rsid w:val="00D67F86"/>
    <w:rsid w:val="00D67FF6"/>
    <w:rsid w:val="00D70024"/>
    <w:rsid w:val="00D70026"/>
    <w:rsid w:val="00D7004F"/>
    <w:rsid w:val="00D7007D"/>
    <w:rsid w:val="00D700A5"/>
    <w:rsid w:val="00D70163"/>
    <w:rsid w:val="00D7018C"/>
    <w:rsid w:val="00D701E4"/>
    <w:rsid w:val="00D701EC"/>
    <w:rsid w:val="00D70202"/>
    <w:rsid w:val="00D70222"/>
    <w:rsid w:val="00D70250"/>
    <w:rsid w:val="00D7025B"/>
    <w:rsid w:val="00D7026A"/>
    <w:rsid w:val="00D7026B"/>
    <w:rsid w:val="00D7029C"/>
    <w:rsid w:val="00D702A0"/>
    <w:rsid w:val="00D702A1"/>
    <w:rsid w:val="00D702D9"/>
    <w:rsid w:val="00D70386"/>
    <w:rsid w:val="00D70395"/>
    <w:rsid w:val="00D703FF"/>
    <w:rsid w:val="00D70411"/>
    <w:rsid w:val="00D70435"/>
    <w:rsid w:val="00D70456"/>
    <w:rsid w:val="00D704A8"/>
    <w:rsid w:val="00D70557"/>
    <w:rsid w:val="00D70582"/>
    <w:rsid w:val="00D705A9"/>
    <w:rsid w:val="00D705D9"/>
    <w:rsid w:val="00D7063F"/>
    <w:rsid w:val="00D70690"/>
    <w:rsid w:val="00D706BA"/>
    <w:rsid w:val="00D70700"/>
    <w:rsid w:val="00D7072A"/>
    <w:rsid w:val="00D70732"/>
    <w:rsid w:val="00D7082F"/>
    <w:rsid w:val="00D708A7"/>
    <w:rsid w:val="00D7093E"/>
    <w:rsid w:val="00D70949"/>
    <w:rsid w:val="00D709B0"/>
    <w:rsid w:val="00D709D9"/>
    <w:rsid w:val="00D70A11"/>
    <w:rsid w:val="00D70A1C"/>
    <w:rsid w:val="00D70A3B"/>
    <w:rsid w:val="00D70A71"/>
    <w:rsid w:val="00D70AC5"/>
    <w:rsid w:val="00D70AC7"/>
    <w:rsid w:val="00D70AF2"/>
    <w:rsid w:val="00D70AFB"/>
    <w:rsid w:val="00D70B5C"/>
    <w:rsid w:val="00D70C22"/>
    <w:rsid w:val="00D70C2E"/>
    <w:rsid w:val="00D70C83"/>
    <w:rsid w:val="00D70C89"/>
    <w:rsid w:val="00D70CCF"/>
    <w:rsid w:val="00D70CE2"/>
    <w:rsid w:val="00D70CF3"/>
    <w:rsid w:val="00D70D26"/>
    <w:rsid w:val="00D70D3E"/>
    <w:rsid w:val="00D70D4F"/>
    <w:rsid w:val="00D70D7D"/>
    <w:rsid w:val="00D70DDB"/>
    <w:rsid w:val="00D70DE8"/>
    <w:rsid w:val="00D70DE9"/>
    <w:rsid w:val="00D70E52"/>
    <w:rsid w:val="00D70EE5"/>
    <w:rsid w:val="00D70F32"/>
    <w:rsid w:val="00D70FAB"/>
    <w:rsid w:val="00D70FD9"/>
    <w:rsid w:val="00D7108B"/>
    <w:rsid w:val="00D7115A"/>
    <w:rsid w:val="00D71161"/>
    <w:rsid w:val="00D71190"/>
    <w:rsid w:val="00D7125C"/>
    <w:rsid w:val="00D71267"/>
    <w:rsid w:val="00D712E2"/>
    <w:rsid w:val="00D7136C"/>
    <w:rsid w:val="00D713BA"/>
    <w:rsid w:val="00D713E7"/>
    <w:rsid w:val="00D713EE"/>
    <w:rsid w:val="00D7141D"/>
    <w:rsid w:val="00D7142D"/>
    <w:rsid w:val="00D714DA"/>
    <w:rsid w:val="00D71531"/>
    <w:rsid w:val="00D71532"/>
    <w:rsid w:val="00D7154E"/>
    <w:rsid w:val="00D7157A"/>
    <w:rsid w:val="00D71611"/>
    <w:rsid w:val="00D71615"/>
    <w:rsid w:val="00D71618"/>
    <w:rsid w:val="00D71662"/>
    <w:rsid w:val="00D7171D"/>
    <w:rsid w:val="00D7172C"/>
    <w:rsid w:val="00D717CD"/>
    <w:rsid w:val="00D717D1"/>
    <w:rsid w:val="00D717D4"/>
    <w:rsid w:val="00D718A0"/>
    <w:rsid w:val="00D718BD"/>
    <w:rsid w:val="00D718D9"/>
    <w:rsid w:val="00D718EE"/>
    <w:rsid w:val="00D71900"/>
    <w:rsid w:val="00D719A9"/>
    <w:rsid w:val="00D719F3"/>
    <w:rsid w:val="00D71AA6"/>
    <w:rsid w:val="00D71AC6"/>
    <w:rsid w:val="00D71AC7"/>
    <w:rsid w:val="00D71B6C"/>
    <w:rsid w:val="00D71B78"/>
    <w:rsid w:val="00D71B7C"/>
    <w:rsid w:val="00D71BD2"/>
    <w:rsid w:val="00D71BE0"/>
    <w:rsid w:val="00D71C9F"/>
    <w:rsid w:val="00D71CDC"/>
    <w:rsid w:val="00D71CE6"/>
    <w:rsid w:val="00D71CF9"/>
    <w:rsid w:val="00D71D42"/>
    <w:rsid w:val="00D71D8B"/>
    <w:rsid w:val="00D71D8E"/>
    <w:rsid w:val="00D71DC6"/>
    <w:rsid w:val="00D71DF6"/>
    <w:rsid w:val="00D71E13"/>
    <w:rsid w:val="00D71E1A"/>
    <w:rsid w:val="00D71E2D"/>
    <w:rsid w:val="00D71ED2"/>
    <w:rsid w:val="00D71EF9"/>
    <w:rsid w:val="00D71F61"/>
    <w:rsid w:val="00D71FF2"/>
    <w:rsid w:val="00D7204E"/>
    <w:rsid w:val="00D72085"/>
    <w:rsid w:val="00D720E4"/>
    <w:rsid w:val="00D72141"/>
    <w:rsid w:val="00D72158"/>
    <w:rsid w:val="00D72177"/>
    <w:rsid w:val="00D72180"/>
    <w:rsid w:val="00D7221E"/>
    <w:rsid w:val="00D72335"/>
    <w:rsid w:val="00D7235E"/>
    <w:rsid w:val="00D7238A"/>
    <w:rsid w:val="00D723BF"/>
    <w:rsid w:val="00D723FE"/>
    <w:rsid w:val="00D724DB"/>
    <w:rsid w:val="00D7251B"/>
    <w:rsid w:val="00D725A8"/>
    <w:rsid w:val="00D7260A"/>
    <w:rsid w:val="00D72660"/>
    <w:rsid w:val="00D72679"/>
    <w:rsid w:val="00D726A4"/>
    <w:rsid w:val="00D726A8"/>
    <w:rsid w:val="00D726E2"/>
    <w:rsid w:val="00D72704"/>
    <w:rsid w:val="00D72727"/>
    <w:rsid w:val="00D72767"/>
    <w:rsid w:val="00D72778"/>
    <w:rsid w:val="00D727A2"/>
    <w:rsid w:val="00D727DD"/>
    <w:rsid w:val="00D72888"/>
    <w:rsid w:val="00D728D8"/>
    <w:rsid w:val="00D728EA"/>
    <w:rsid w:val="00D72903"/>
    <w:rsid w:val="00D72987"/>
    <w:rsid w:val="00D729AF"/>
    <w:rsid w:val="00D729C6"/>
    <w:rsid w:val="00D729C9"/>
    <w:rsid w:val="00D72A08"/>
    <w:rsid w:val="00D72A4B"/>
    <w:rsid w:val="00D72A78"/>
    <w:rsid w:val="00D72A7F"/>
    <w:rsid w:val="00D72AD4"/>
    <w:rsid w:val="00D72AEC"/>
    <w:rsid w:val="00D72B14"/>
    <w:rsid w:val="00D72BB7"/>
    <w:rsid w:val="00D72BD7"/>
    <w:rsid w:val="00D72BDE"/>
    <w:rsid w:val="00D72BF3"/>
    <w:rsid w:val="00D72C3C"/>
    <w:rsid w:val="00D72C42"/>
    <w:rsid w:val="00D72C45"/>
    <w:rsid w:val="00D72CCB"/>
    <w:rsid w:val="00D72CFE"/>
    <w:rsid w:val="00D72DAF"/>
    <w:rsid w:val="00D72DB9"/>
    <w:rsid w:val="00D72DDE"/>
    <w:rsid w:val="00D72EAF"/>
    <w:rsid w:val="00D72ECB"/>
    <w:rsid w:val="00D72FFA"/>
    <w:rsid w:val="00D73040"/>
    <w:rsid w:val="00D730B1"/>
    <w:rsid w:val="00D730B4"/>
    <w:rsid w:val="00D730C7"/>
    <w:rsid w:val="00D730FF"/>
    <w:rsid w:val="00D73125"/>
    <w:rsid w:val="00D73126"/>
    <w:rsid w:val="00D73143"/>
    <w:rsid w:val="00D73145"/>
    <w:rsid w:val="00D7319A"/>
    <w:rsid w:val="00D731C5"/>
    <w:rsid w:val="00D73243"/>
    <w:rsid w:val="00D73247"/>
    <w:rsid w:val="00D73295"/>
    <w:rsid w:val="00D732A8"/>
    <w:rsid w:val="00D732B2"/>
    <w:rsid w:val="00D732EA"/>
    <w:rsid w:val="00D73347"/>
    <w:rsid w:val="00D73362"/>
    <w:rsid w:val="00D733B8"/>
    <w:rsid w:val="00D733D3"/>
    <w:rsid w:val="00D73455"/>
    <w:rsid w:val="00D7345A"/>
    <w:rsid w:val="00D73507"/>
    <w:rsid w:val="00D735A3"/>
    <w:rsid w:val="00D735DB"/>
    <w:rsid w:val="00D73602"/>
    <w:rsid w:val="00D7361C"/>
    <w:rsid w:val="00D73625"/>
    <w:rsid w:val="00D7362E"/>
    <w:rsid w:val="00D73655"/>
    <w:rsid w:val="00D73656"/>
    <w:rsid w:val="00D73683"/>
    <w:rsid w:val="00D73701"/>
    <w:rsid w:val="00D73706"/>
    <w:rsid w:val="00D73720"/>
    <w:rsid w:val="00D7372C"/>
    <w:rsid w:val="00D7372F"/>
    <w:rsid w:val="00D73789"/>
    <w:rsid w:val="00D73795"/>
    <w:rsid w:val="00D737DD"/>
    <w:rsid w:val="00D737F5"/>
    <w:rsid w:val="00D7384D"/>
    <w:rsid w:val="00D73856"/>
    <w:rsid w:val="00D7385C"/>
    <w:rsid w:val="00D738B9"/>
    <w:rsid w:val="00D738DF"/>
    <w:rsid w:val="00D7390D"/>
    <w:rsid w:val="00D7391F"/>
    <w:rsid w:val="00D73988"/>
    <w:rsid w:val="00D73A57"/>
    <w:rsid w:val="00D73A7F"/>
    <w:rsid w:val="00D73A90"/>
    <w:rsid w:val="00D73B61"/>
    <w:rsid w:val="00D73B77"/>
    <w:rsid w:val="00D73C38"/>
    <w:rsid w:val="00D73C52"/>
    <w:rsid w:val="00D73C5A"/>
    <w:rsid w:val="00D73C9C"/>
    <w:rsid w:val="00D73CCF"/>
    <w:rsid w:val="00D73D6A"/>
    <w:rsid w:val="00D73D70"/>
    <w:rsid w:val="00D73D8F"/>
    <w:rsid w:val="00D73E1C"/>
    <w:rsid w:val="00D73E4F"/>
    <w:rsid w:val="00D73E58"/>
    <w:rsid w:val="00D73E76"/>
    <w:rsid w:val="00D73EAD"/>
    <w:rsid w:val="00D73F1B"/>
    <w:rsid w:val="00D73F77"/>
    <w:rsid w:val="00D73F7B"/>
    <w:rsid w:val="00D74055"/>
    <w:rsid w:val="00D74084"/>
    <w:rsid w:val="00D740AF"/>
    <w:rsid w:val="00D740DD"/>
    <w:rsid w:val="00D74129"/>
    <w:rsid w:val="00D7414B"/>
    <w:rsid w:val="00D741CD"/>
    <w:rsid w:val="00D741E0"/>
    <w:rsid w:val="00D741E4"/>
    <w:rsid w:val="00D74206"/>
    <w:rsid w:val="00D74233"/>
    <w:rsid w:val="00D74244"/>
    <w:rsid w:val="00D7427A"/>
    <w:rsid w:val="00D742CB"/>
    <w:rsid w:val="00D74356"/>
    <w:rsid w:val="00D743A1"/>
    <w:rsid w:val="00D7447B"/>
    <w:rsid w:val="00D7449F"/>
    <w:rsid w:val="00D7452C"/>
    <w:rsid w:val="00D745D8"/>
    <w:rsid w:val="00D74618"/>
    <w:rsid w:val="00D74663"/>
    <w:rsid w:val="00D7466A"/>
    <w:rsid w:val="00D74671"/>
    <w:rsid w:val="00D74689"/>
    <w:rsid w:val="00D7469E"/>
    <w:rsid w:val="00D746E7"/>
    <w:rsid w:val="00D746F0"/>
    <w:rsid w:val="00D74708"/>
    <w:rsid w:val="00D7470A"/>
    <w:rsid w:val="00D7471A"/>
    <w:rsid w:val="00D7473B"/>
    <w:rsid w:val="00D74740"/>
    <w:rsid w:val="00D74757"/>
    <w:rsid w:val="00D74771"/>
    <w:rsid w:val="00D7478E"/>
    <w:rsid w:val="00D74851"/>
    <w:rsid w:val="00D74867"/>
    <w:rsid w:val="00D7489F"/>
    <w:rsid w:val="00D748AF"/>
    <w:rsid w:val="00D748B3"/>
    <w:rsid w:val="00D748FF"/>
    <w:rsid w:val="00D74922"/>
    <w:rsid w:val="00D7492A"/>
    <w:rsid w:val="00D74932"/>
    <w:rsid w:val="00D749B8"/>
    <w:rsid w:val="00D749E5"/>
    <w:rsid w:val="00D74A60"/>
    <w:rsid w:val="00D74A93"/>
    <w:rsid w:val="00D74B76"/>
    <w:rsid w:val="00D74B7C"/>
    <w:rsid w:val="00D74B94"/>
    <w:rsid w:val="00D74BAC"/>
    <w:rsid w:val="00D74BF2"/>
    <w:rsid w:val="00D74C1A"/>
    <w:rsid w:val="00D74D63"/>
    <w:rsid w:val="00D74DAD"/>
    <w:rsid w:val="00D74DB5"/>
    <w:rsid w:val="00D74DB7"/>
    <w:rsid w:val="00D74DCE"/>
    <w:rsid w:val="00D74DF6"/>
    <w:rsid w:val="00D74E3F"/>
    <w:rsid w:val="00D74EB3"/>
    <w:rsid w:val="00D74EEE"/>
    <w:rsid w:val="00D74FB9"/>
    <w:rsid w:val="00D75015"/>
    <w:rsid w:val="00D750B8"/>
    <w:rsid w:val="00D750CC"/>
    <w:rsid w:val="00D75155"/>
    <w:rsid w:val="00D751BC"/>
    <w:rsid w:val="00D751FD"/>
    <w:rsid w:val="00D75205"/>
    <w:rsid w:val="00D75238"/>
    <w:rsid w:val="00D75245"/>
    <w:rsid w:val="00D752A0"/>
    <w:rsid w:val="00D752A4"/>
    <w:rsid w:val="00D752B0"/>
    <w:rsid w:val="00D752B9"/>
    <w:rsid w:val="00D752CF"/>
    <w:rsid w:val="00D752DD"/>
    <w:rsid w:val="00D752E4"/>
    <w:rsid w:val="00D753BB"/>
    <w:rsid w:val="00D7547E"/>
    <w:rsid w:val="00D754C8"/>
    <w:rsid w:val="00D754D5"/>
    <w:rsid w:val="00D754DF"/>
    <w:rsid w:val="00D75561"/>
    <w:rsid w:val="00D755E2"/>
    <w:rsid w:val="00D7562A"/>
    <w:rsid w:val="00D75638"/>
    <w:rsid w:val="00D7566A"/>
    <w:rsid w:val="00D7567A"/>
    <w:rsid w:val="00D75697"/>
    <w:rsid w:val="00D7569A"/>
    <w:rsid w:val="00D756FE"/>
    <w:rsid w:val="00D7571A"/>
    <w:rsid w:val="00D75729"/>
    <w:rsid w:val="00D75749"/>
    <w:rsid w:val="00D757AA"/>
    <w:rsid w:val="00D757B5"/>
    <w:rsid w:val="00D757C1"/>
    <w:rsid w:val="00D757E7"/>
    <w:rsid w:val="00D75882"/>
    <w:rsid w:val="00D7589D"/>
    <w:rsid w:val="00D758A1"/>
    <w:rsid w:val="00D758C9"/>
    <w:rsid w:val="00D758D5"/>
    <w:rsid w:val="00D758D6"/>
    <w:rsid w:val="00D75916"/>
    <w:rsid w:val="00D75952"/>
    <w:rsid w:val="00D7599A"/>
    <w:rsid w:val="00D75A64"/>
    <w:rsid w:val="00D75A75"/>
    <w:rsid w:val="00D75ADD"/>
    <w:rsid w:val="00D75AFB"/>
    <w:rsid w:val="00D75BBC"/>
    <w:rsid w:val="00D75BD5"/>
    <w:rsid w:val="00D75C57"/>
    <w:rsid w:val="00D75C7D"/>
    <w:rsid w:val="00D75C98"/>
    <w:rsid w:val="00D75CC0"/>
    <w:rsid w:val="00D75CD0"/>
    <w:rsid w:val="00D75D42"/>
    <w:rsid w:val="00D75D58"/>
    <w:rsid w:val="00D75D6B"/>
    <w:rsid w:val="00D75D9D"/>
    <w:rsid w:val="00D75DC7"/>
    <w:rsid w:val="00D75DEE"/>
    <w:rsid w:val="00D75DFB"/>
    <w:rsid w:val="00D75E0D"/>
    <w:rsid w:val="00D75E99"/>
    <w:rsid w:val="00D75ED4"/>
    <w:rsid w:val="00D75F9D"/>
    <w:rsid w:val="00D76026"/>
    <w:rsid w:val="00D76060"/>
    <w:rsid w:val="00D760AE"/>
    <w:rsid w:val="00D760B7"/>
    <w:rsid w:val="00D76104"/>
    <w:rsid w:val="00D7610F"/>
    <w:rsid w:val="00D7613E"/>
    <w:rsid w:val="00D7615B"/>
    <w:rsid w:val="00D7616D"/>
    <w:rsid w:val="00D76233"/>
    <w:rsid w:val="00D7625F"/>
    <w:rsid w:val="00D762D0"/>
    <w:rsid w:val="00D762F6"/>
    <w:rsid w:val="00D76311"/>
    <w:rsid w:val="00D76324"/>
    <w:rsid w:val="00D76350"/>
    <w:rsid w:val="00D76399"/>
    <w:rsid w:val="00D763A8"/>
    <w:rsid w:val="00D763EC"/>
    <w:rsid w:val="00D763FA"/>
    <w:rsid w:val="00D76400"/>
    <w:rsid w:val="00D7640A"/>
    <w:rsid w:val="00D76411"/>
    <w:rsid w:val="00D76415"/>
    <w:rsid w:val="00D76466"/>
    <w:rsid w:val="00D764BE"/>
    <w:rsid w:val="00D764ED"/>
    <w:rsid w:val="00D765C0"/>
    <w:rsid w:val="00D765E7"/>
    <w:rsid w:val="00D76611"/>
    <w:rsid w:val="00D7664D"/>
    <w:rsid w:val="00D7665A"/>
    <w:rsid w:val="00D7666D"/>
    <w:rsid w:val="00D766BD"/>
    <w:rsid w:val="00D76720"/>
    <w:rsid w:val="00D76745"/>
    <w:rsid w:val="00D767A9"/>
    <w:rsid w:val="00D767B7"/>
    <w:rsid w:val="00D767B8"/>
    <w:rsid w:val="00D767BD"/>
    <w:rsid w:val="00D767E6"/>
    <w:rsid w:val="00D7684F"/>
    <w:rsid w:val="00D76857"/>
    <w:rsid w:val="00D7687A"/>
    <w:rsid w:val="00D7688E"/>
    <w:rsid w:val="00D7689F"/>
    <w:rsid w:val="00D76949"/>
    <w:rsid w:val="00D769A6"/>
    <w:rsid w:val="00D76A33"/>
    <w:rsid w:val="00D76A51"/>
    <w:rsid w:val="00D76A68"/>
    <w:rsid w:val="00D76AAB"/>
    <w:rsid w:val="00D76ACA"/>
    <w:rsid w:val="00D76AE4"/>
    <w:rsid w:val="00D76B11"/>
    <w:rsid w:val="00D76B2A"/>
    <w:rsid w:val="00D76B78"/>
    <w:rsid w:val="00D76B81"/>
    <w:rsid w:val="00D76BAD"/>
    <w:rsid w:val="00D76BE1"/>
    <w:rsid w:val="00D76BF1"/>
    <w:rsid w:val="00D76BF9"/>
    <w:rsid w:val="00D76C58"/>
    <w:rsid w:val="00D76C73"/>
    <w:rsid w:val="00D76C84"/>
    <w:rsid w:val="00D76CE5"/>
    <w:rsid w:val="00D76CE8"/>
    <w:rsid w:val="00D76CEA"/>
    <w:rsid w:val="00D76D0D"/>
    <w:rsid w:val="00D76D69"/>
    <w:rsid w:val="00D76DA1"/>
    <w:rsid w:val="00D76DFF"/>
    <w:rsid w:val="00D76E47"/>
    <w:rsid w:val="00D76E7F"/>
    <w:rsid w:val="00D76ED1"/>
    <w:rsid w:val="00D76FE0"/>
    <w:rsid w:val="00D76FE2"/>
    <w:rsid w:val="00D7701F"/>
    <w:rsid w:val="00D770B0"/>
    <w:rsid w:val="00D770B4"/>
    <w:rsid w:val="00D770E7"/>
    <w:rsid w:val="00D7718F"/>
    <w:rsid w:val="00D77199"/>
    <w:rsid w:val="00D771A1"/>
    <w:rsid w:val="00D771C1"/>
    <w:rsid w:val="00D771E3"/>
    <w:rsid w:val="00D77208"/>
    <w:rsid w:val="00D7721E"/>
    <w:rsid w:val="00D7722E"/>
    <w:rsid w:val="00D7724A"/>
    <w:rsid w:val="00D772E6"/>
    <w:rsid w:val="00D77308"/>
    <w:rsid w:val="00D7731E"/>
    <w:rsid w:val="00D77330"/>
    <w:rsid w:val="00D77358"/>
    <w:rsid w:val="00D77374"/>
    <w:rsid w:val="00D773B3"/>
    <w:rsid w:val="00D773C3"/>
    <w:rsid w:val="00D773C6"/>
    <w:rsid w:val="00D7744C"/>
    <w:rsid w:val="00D77467"/>
    <w:rsid w:val="00D774E9"/>
    <w:rsid w:val="00D7754B"/>
    <w:rsid w:val="00D775FC"/>
    <w:rsid w:val="00D77644"/>
    <w:rsid w:val="00D77645"/>
    <w:rsid w:val="00D77681"/>
    <w:rsid w:val="00D776F4"/>
    <w:rsid w:val="00D77718"/>
    <w:rsid w:val="00D77725"/>
    <w:rsid w:val="00D7778A"/>
    <w:rsid w:val="00D777AA"/>
    <w:rsid w:val="00D777CA"/>
    <w:rsid w:val="00D777DD"/>
    <w:rsid w:val="00D7782B"/>
    <w:rsid w:val="00D77830"/>
    <w:rsid w:val="00D77856"/>
    <w:rsid w:val="00D77982"/>
    <w:rsid w:val="00D7798C"/>
    <w:rsid w:val="00D779F0"/>
    <w:rsid w:val="00D77A2F"/>
    <w:rsid w:val="00D77A52"/>
    <w:rsid w:val="00D77A98"/>
    <w:rsid w:val="00D77AAD"/>
    <w:rsid w:val="00D77AB3"/>
    <w:rsid w:val="00D77AD3"/>
    <w:rsid w:val="00D77AF1"/>
    <w:rsid w:val="00D77AF8"/>
    <w:rsid w:val="00D77B30"/>
    <w:rsid w:val="00D77B45"/>
    <w:rsid w:val="00D77B4D"/>
    <w:rsid w:val="00D77BA4"/>
    <w:rsid w:val="00D77BB5"/>
    <w:rsid w:val="00D77BCA"/>
    <w:rsid w:val="00D77C05"/>
    <w:rsid w:val="00D77C6D"/>
    <w:rsid w:val="00D77CB7"/>
    <w:rsid w:val="00D77CDF"/>
    <w:rsid w:val="00D77D20"/>
    <w:rsid w:val="00D77D4B"/>
    <w:rsid w:val="00D77D74"/>
    <w:rsid w:val="00D77DE9"/>
    <w:rsid w:val="00D77E2C"/>
    <w:rsid w:val="00D77E32"/>
    <w:rsid w:val="00D77E70"/>
    <w:rsid w:val="00D77E76"/>
    <w:rsid w:val="00D77EAD"/>
    <w:rsid w:val="00D77EB4"/>
    <w:rsid w:val="00D77EDB"/>
    <w:rsid w:val="00D77F33"/>
    <w:rsid w:val="00D77F59"/>
    <w:rsid w:val="00D77FAC"/>
    <w:rsid w:val="00D800B8"/>
    <w:rsid w:val="00D800F9"/>
    <w:rsid w:val="00D80156"/>
    <w:rsid w:val="00D80196"/>
    <w:rsid w:val="00D801DC"/>
    <w:rsid w:val="00D801E5"/>
    <w:rsid w:val="00D801F4"/>
    <w:rsid w:val="00D802DB"/>
    <w:rsid w:val="00D802DE"/>
    <w:rsid w:val="00D803B8"/>
    <w:rsid w:val="00D803F7"/>
    <w:rsid w:val="00D8041F"/>
    <w:rsid w:val="00D8048F"/>
    <w:rsid w:val="00D8059D"/>
    <w:rsid w:val="00D805A1"/>
    <w:rsid w:val="00D805A4"/>
    <w:rsid w:val="00D805C8"/>
    <w:rsid w:val="00D8069B"/>
    <w:rsid w:val="00D806B0"/>
    <w:rsid w:val="00D806F5"/>
    <w:rsid w:val="00D8073C"/>
    <w:rsid w:val="00D8077E"/>
    <w:rsid w:val="00D807A1"/>
    <w:rsid w:val="00D807E5"/>
    <w:rsid w:val="00D807F6"/>
    <w:rsid w:val="00D8084D"/>
    <w:rsid w:val="00D80887"/>
    <w:rsid w:val="00D8090D"/>
    <w:rsid w:val="00D80921"/>
    <w:rsid w:val="00D8093A"/>
    <w:rsid w:val="00D809C9"/>
    <w:rsid w:val="00D809FC"/>
    <w:rsid w:val="00D80A3A"/>
    <w:rsid w:val="00D80A60"/>
    <w:rsid w:val="00D80AA4"/>
    <w:rsid w:val="00D80AB5"/>
    <w:rsid w:val="00D80AD1"/>
    <w:rsid w:val="00D80B70"/>
    <w:rsid w:val="00D80B91"/>
    <w:rsid w:val="00D80BEA"/>
    <w:rsid w:val="00D80C24"/>
    <w:rsid w:val="00D80C5B"/>
    <w:rsid w:val="00D80C8C"/>
    <w:rsid w:val="00D80CE5"/>
    <w:rsid w:val="00D80D0F"/>
    <w:rsid w:val="00D80D6A"/>
    <w:rsid w:val="00D80DAF"/>
    <w:rsid w:val="00D80DB6"/>
    <w:rsid w:val="00D80E11"/>
    <w:rsid w:val="00D80E16"/>
    <w:rsid w:val="00D80E21"/>
    <w:rsid w:val="00D80E33"/>
    <w:rsid w:val="00D80E6C"/>
    <w:rsid w:val="00D80EA5"/>
    <w:rsid w:val="00D80EFB"/>
    <w:rsid w:val="00D80F82"/>
    <w:rsid w:val="00D80F88"/>
    <w:rsid w:val="00D80F8E"/>
    <w:rsid w:val="00D80F90"/>
    <w:rsid w:val="00D81034"/>
    <w:rsid w:val="00D810B8"/>
    <w:rsid w:val="00D81117"/>
    <w:rsid w:val="00D811AE"/>
    <w:rsid w:val="00D811B0"/>
    <w:rsid w:val="00D811C1"/>
    <w:rsid w:val="00D811C9"/>
    <w:rsid w:val="00D81235"/>
    <w:rsid w:val="00D81248"/>
    <w:rsid w:val="00D81253"/>
    <w:rsid w:val="00D812B7"/>
    <w:rsid w:val="00D812DF"/>
    <w:rsid w:val="00D812E7"/>
    <w:rsid w:val="00D81320"/>
    <w:rsid w:val="00D81377"/>
    <w:rsid w:val="00D81438"/>
    <w:rsid w:val="00D8147B"/>
    <w:rsid w:val="00D814B5"/>
    <w:rsid w:val="00D814F9"/>
    <w:rsid w:val="00D815E7"/>
    <w:rsid w:val="00D81614"/>
    <w:rsid w:val="00D81628"/>
    <w:rsid w:val="00D8163D"/>
    <w:rsid w:val="00D8164B"/>
    <w:rsid w:val="00D81669"/>
    <w:rsid w:val="00D8166B"/>
    <w:rsid w:val="00D81684"/>
    <w:rsid w:val="00D816DF"/>
    <w:rsid w:val="00D816FD"/>
    <w:rsid w:val="00D81708"/>
    <w:rsid w:val="00D81724"/>
    <w:rsid w:val="00D81841"/>
    <w:rsid w:val="00D8188B"/>
    <w:rsid w:val="00D818A4"/>
    <w:rsid w:val="00D8192E"/>
    <w:rsid w:val="00D8195C"/>
    <w:rsid w:val="00D81973"/>
    <w:rsid w:val="00D8199D"/>
    <w:rsid w:val="00D81A18"/>
    <w:rsid w:val="00D81A35"/>
    <w:rsid w:val="00D81A6F"/>
    <w:rsid w:val="00D81A8B"/>
    <w:rsid w:val="00D81AAB"/>
    <w:rsid w:val="00D81ACF"/>
    <w:rsid w:val="00D81AD7"/>
    <w:rsid w:val="00D81B2C"/>
    <w:rsid w:val="00D81B56"/>
    <w:rsid w:val="00D81BA4"/>
    <w:rsid w:val="00D81C0A"/>
    <w:rsid w:val="00D81C11"/>
    <w:rsid w:val="00D81C7F"/>
    <w:rsid w:val="00D81CB2"/>
    <w:rsid w:val="00D81DD3"/>
    <w:rsid w:val="00D81DDA"/>
    <w:rsid w:val="00D81E2E"/>
    <w:rsid w:val="00D81E99"/>
    <w:rsid w:val="00D81F3A"/>
    <w:rsid w:val="00D81F78"/>
    <w:rsid w:val="00D8204D"/>
    <w:rsid w:val="00D82050"/>
    <w:rsid w:val="00D8205D"/>
    <w:rsid w:val="00D820CC"/>
    <w:rsid w:val="00D820DB"/>
    <w:rsid w:val="00D820FF"/>
    <w:rsid w:val="00D82126"/>
    <w:rsid w:val="00D82163"/>
    <w:rsid w:val="00D82185"/>
    <w:rsid w:val="00D821A5"/>
    <w:rsid w:val="00D82238"/>
    <w:rsid w:val="00D8223C"/>
    <w:rsid w:val="00D82271"/>
    <w:rsid w:val="00D822E1"/>
    <w:rsid w:val="00D82306"/>
    <w:rsid w:val="00D82343"/>
    <w:rsid w:val="00D8239B"/>
    <w:rsid w:val="00D823FB"/>
    <w:rsid w:val="00D8244D"/>
    <w:rsid w:val="00D8247D"/>
    <w:rsid w:val="00D824F3"/>
    <w:rsid w:val="00D82510"/>
    <w:rsid w:val="00D8253E"/>
    <w:rsid w:val="00D82553"/>
    <w:rsid w:val="00D825A1"/>
    <w:rsid w:val="00D825C3"/>
    <w:rsid w:val="00D82623"/>
    <w:rsid w:val="00D8267C"/>
    <w:rsid w:val="00D826FB"/>
    <w:rsid w:val="00D82749"/>
    <w:rsid w:val="00D8278B"/>
    <w:rsid w:val="00D827C9"/>
    <w:rsid w:val="00D827ED"/>
    <w:rsid w:val="00D827FE"/>
    <w:rsid w:val="00D827FF"/>
    <w:rsid w:val="00D828CA"/>
    <w:rsid w:val="00D828D5"/>
    <w:rsid w:val="00D82937"/>
    <w:rsid w:val="00D82994"/>
    <w:rsid w:val="00D829B5"/>
    <w:rsid w:val="00D829D2"/>
    <w:rsid w:val="00D829F0"/>
    <w:rsid w:val="00D829F6"/>
    <w:rsid w:val="00D829F9"/>
    <w:rsid w:val="00D82A30"/>
    <w:rsid w:val="00D82ABE"/>
    <w:rsid w:val="00D82B47"/>
    <w:rsid w:val="00D82BF4"/>
    <w:rsid w:val="00D82C0C"/>
    <w:rsid w:val="00D82C71"/>
    <w:rsid w:val="00D82C76"/>
    <w:rsid w:val="00D82C8B"/>
    <w:rsid w:val="00D82C93"/>
    <w:rsid w:val="00D82C96"/>
    <w:rsid w:val="00D82D1E"/>
    <w:rsid w:val="00D82D75"/>
    <w:rsid w:val="00D82D8A"/>
    <w:rsid w:val="00D82DB7"/>
    <w:rsid w:val="00D82DF2"/>
    <w:rsid w:val="00D82E0E"/>
    <w:rsid w:val="00D82E59"/>
    <w:rsid w:val="00D82E8F"/>
    <w:rsid w:val="00D82EAA"/>
    <w:rsid w:val="00D82EB3"/>
    <w:rsid w:val="00D82EFA"/>
    <w:rsid w:val="00D82F73"/>
    <w:rsid w:val="00D82FC7"/>
    <w:rsid w:val="00D82FE1"/>
    <w:rsid w:val="00D83069"/>
    <w:rsid w:val="00D830CC"/>
    <w:rsid w:val="00D83131"/>
    <w:rsid w:val="00D8316C"/>
    <w:rsid w:val="00D8318F"/>
    <w:rsid w:val="00D831A2"/>
    <w:rsid w:val="00D831B4"/>
    <w:rsid w:val="00D831B5"/>
    <w:rsid w:val="00D831FB"/>
    <w:rsid w:val="00D8321A"/>
    <w:rsid w:val="00D83220"/>
    <w:rsid w:val="00D8323A"/>
    <w:rsid w:val="00D83292"/>
    <w:rsid w:val="00D832E8"/>
    <w:rsid w:val="00D832F1"/>
    <w:rsid w:val="00D833A8"/>
    <w:rsid w:val="00D83413"/>
    <w:rsid w:val="00D83437"/>
    <w:rsid w:val="00D834B2"/>
    <w:rsid w:val="00D835E7"/>
    <w:rsid w:val="00D835FF"/>
    <w:rsid w:val="00D83603"/>
    <w:rsid w:val="00D83606"/>
    <w:rsid w:val="00D8361B"/>
    <w:rsid w:val="00D83657"/>
    <w:rsid w:val="00D83675"/>
    <w:rsid w:val="00D836CE"/>
    <w:rsid w:val="00D836E8"/>
    <w:rsid w:val="00D83724"/>
    <w:rsid w:val="00D83731"/>
    <w:rsid w:val="00D8376F"/>
    <w:rsid w:val="00D83787"/>
    <w:rsid w:val="00D837C0"/>
    <w:rsid w:val="00D837C5"/>
    <w:rsid w:val="00D837C6"/>
    <w:rsid w:val="00D837D9"/>
    <w:rsid w:val="00D837FA"/>
    <w:rsid w:val="00D838C7"/>
    <w:rsid w:val="00D838F2"/>
    <w:rsid w:val="00D83925"/>
    <w:rsid w:val="00D83947"/>
    <w:rsid w:val="00D8398B"/>
    <w:rsid w:val="00D839A8"/>
    <w:rsid w:val="00D839B0"/>
    <w:rsid w:val="00D839CC"/>
    <w:rsid w:val="00D83A7E"/>
    <w:rsid w:val="00D83A98"/>
    <w:rsid w:val="00D83AA8"/>
    <w:rsid w:val="00D83B38"/>
    <w:rsid w:val="00D83B65"/>
    <w:rsid w:val="00D83B80"/>
    <w:rsid w:val="00D83B87"/>
    <w:rsid w:val="00D83BCE"/>
    <w:rsid w:val="00D83CE6"/>
    <w:rsid w:val="00D83D0E"/>
    <w:rsid w:val="00D83D37"/>
    <w:rsid w:val="00D83DCC"/>
    <w:rsid w:val="00D83DE6"/>
    <w:rsid w:val="00D83DE7"/>
    <w:rsid w:val="00D83E4B"/>
    <w:rsid w:val="00D83E94"/>
    <w:rsid w:val="00D83EB3"/>
    <w:rsid w:val="00D83EDA"/>
    <w:rsid w:val="00D83EF1"/>
    <w:rsid w:val="00D83EFB"/>
    <w:rsid w:val="00D83F26"/>
    <w:rsid w:val="00D83F74"/>
    <w:rsid w:val="00D83F80"/>
    <w:rsid w:val="00D83F88"/>
    <w:rsid w:val="00D83FC0"/>
    <w:rsid w:val="00D8401A"/>
    <w:rsid w:val="00D8402A"/>
    <w:rsid w:val="00D84035"/>
    <w:rsid w:val="00D84049"/>
    <w:rsid w:val="00D84054"/>
    <w:rsid w:val="00D84062"/>
    <w:rsid w:val="00D840FC"/>
    <w:rsid w:val="00D84141"/>
    <w:rsid w:val="00D84173"/>
    <w:rsid w:val="00D841DA"/>
    <w:rsid w:val="00D8425F"/>
    <w:rsid w:val="00D8429B"/>
    <w:rsid w:val="00D8429D"/>
    <w:rsid w:val="00D842B2"/>
    <w:rsid w:val="00D843A1"/>
    <w:rsid w:val="00D843AE"/>
    <w:rsid w:val="00D843B3"/>
    <w:rsid w:val="00D843CE"/>
    <w:rsid w:val="00D843D2"/>
    <w:rsid w:val="00D843D7"/>
    <w:rsid w:val="00D84405"/>
    <w:rsid w:val="00D844B6"/>
    <w:rsid w:val="00D844C3"/>
    <w:rsid w:val="00D844CD"/>
    <w:rsid w:val="00D84502"/>
    <w:rsid w:val="00D84552"/>
    <w:rsid w:val="00D84614"/>
    <w:rsid w:val="00D84627"/>
    <w:rsid w:val="00D84642"/>
    <w:rsid w:val="00D84660"/>
    <w:rsid w:val="00D84665"/>
    <w:rsid w:val="00D84670"/>
    <w:rsid w:val="00D84802"/>
    <w:rsid w:val="00D84816"/>
    <w:rsid w:val="00D84948"/>
    <w:rsid w:val="00D84993"/>
    <w:rsid w:val="00D84A8F"/>
    <w:rsid w:val="00D84A9D"/>
    <w:rsid w:val="00D84AAE"/>
    <w:rsid w:val="00D84B2A"/>
    <w:rsid w:val="00D84B6D"/>
    <w:rsid w:val="00D84C03"/>
    <w:rsid w:val="00D84CC0"/>
    <w:rsid w:val="00D84D34"/>
    <w:rsid w:val="00D84D42"/>
    <w:rsid w:val="00D84DD6"/>
    <w:rsid w:val="00D84DDE"/>
    <w:rsid w:val="00D84E06"/>
    <w:rsid w:val="00D84E10"/>
    <w:rsid w:val="00D84E38"/>
    <w:rsid w:val="00D84E8C"/>
    <w:rsid w:val="00D84F32"/>
    <w:rsid w:val="00D84F50"/>
    <w:rsid w:val="00D84F78"/>
    <w:rsid w:val="00D84FE6"/>
    <w:rsid w:val="00D84FF7"/>
    <w:rsid w:val="00D85013"/>
    <w:rsid w:val="00D85084"/>
    <w:rsid w:val="00D85101"/>
    <w:rsid w:val="00D85193"/>
    <w:rsid w:val="00D85214"/>
    <w:rsid w:val="00D85248"/>
    <w:rsid w:val="00D8527B"/>
    <w:rsid w:val="00D85351"/>
    <w:rsid w:val="00D853D9"/>
    <w:rsid w:val="00D853FD"/>
    <w:rsid w:val="00D85493"/>
    <w:rsid w:val="00D854C4"/>
    <w:rsid w:val="00D85545"/>
    <w:rsid w:val="00D855B2"/>
    <w:rsid w:val="00D85602"/>
    <w:rsid w:val="00D85607"/>
    <w:rsid w:val="00D8560B"/>
    <w:rsid w:val="00D85650"/>
    <w:rsid w:val="00D85685"/>
    <w:rsid w:val="00D8568A"/>
    <w:rsid w:val="00D85710"/>
    <w:rsid w:val="00D8578B"/>
    <w:rsid w:val="00D8578E"/>
    <w:rsid w:val="00D857FD"/>
    <w:rsid w:val="00D8581B"/>
    <w:rsid w:val="00D85872"/>
    <w:rsid w:val="00D85877"/>
    <w:rsid w:val="00D85897"/>
    <w:rsid w:val="00D858B2"/>
    <w:rsid w:val="00D8593A"/>
    <w:rsid w:val="00D8598B"/>
    <w:rsid w:val="00D859CB"/>
    <w:rsid w:val="00D859EC"/>
    <w:rsid w:val="00D85A05"/>
    <w:rsid w:val="00D85A4E"/>
    <w:rsid w:val="00D85AD1"/>
    <w:rsid w:val="00D85B17"/>
    <w:rsid w:val="00D85B20"/>
    <w:rsid w:val="00D85B2E"/>
    <w:rsid w:val="00D85B69"/>
    <w:rsid w:val="00D85BD4"/>
    <w:rsid w:val="00D85BFC"/>
    <w:rsid w:val="00D85C4C"/>
    <w:rsid w:val="00D85C61"/>
    <w:rsid w:val="00D85C6E"/>
    <w:rsid w:val="00D85CCB"/>
    <w:rsid w:val="00D85CFA"/>
    <w:rsid w:val="00D85D17"/>
    <w:rsid w:val="00D85D57"/>
    <w:rsid w:val="00D85DD2"/>
    <w:rsid w:val="00D85E85"/>
    <w:rsid w:val="00D85EA3"/>
    <w:rsid w:val="00D85EC0"/>
    <w:rsid w:val="00D85ECF"/>
    <w:rsid w:val="00D85ED7"/>
    <w:rsid w:val="00D85F09"/>
    <w:rsid w:val="00D85F14"/>
    <w:rsid w:val="00D85F45"/>
    <w:rsid w:val="00D85FCF"/>
    <w:rsid w:val="00D85FFE"/>
    <w:rsid w:val="00D86045"/>
    <w:rsid w:val="00D86070"/>
    <w:rsid w:val="00D860D6"/>
    <w:rsid w:val="00D860F9"/>
    <w:rsid w:val="00D86151"/>
    <w:rsid w:val="00D8616F"/>
    <w:rsid w:val="00D8619A"/>
    <w:rsid w:val="00D861A7"/>
    <w:rsid w:val="00D861EC"/>
    <w:rsid w:val="00D8628E"/>
    <w:rsid w:val="00D862C8"/>
    <w:rsid w:val="00D862CE"/>
    <w:rsid w:val="00D862DF"/>
    <w:rsid w:val="00D8633F"/>
    <w:rsid w:val="00D86358"/>
    <w:rsid w:val="00D863A1"/>
    <w:rsid w:val="00D86485"/>
    <w:rsid w:val="00D864A2"/>
    <w:rsid w:val="00D864B0"/>
    <w:rsid w:val="00D864F9"/>
    <w:rsid w:val="00D86504"/>
    <w:rsid w:val="00D86536"/>
    <w:rsid w:val="00D8657D"/>
    <w:rsid w:val="00D866EB"/>
    <w:rsid w:val="00D866F6"/>
    <w:rsid w:val="00D8672C"/>
    <w:rsid w:val="00D8672F"/>
    <w:rsid w:val="00D86797"/>
    <w:rsid w:val="00D867E8"/>
    <w:rsid w:val="00D8681F"/>
    <w:rsid w:val="00D8688A"/>
    <w:rsid w:val="00D868A5"/>
    <w:rsid w:val="00D868EF"/>
    <w:rsid w:val="00D86940"/>
    <w:rsid w:val="00D86966"/>
    <w:rsid w:val="00D86981"/>
    <w:rsid w:val="00D869D3"/>
    <w:rsid w:val="00D869FB"/>
    <w:rsid w:val="00D86A48"/>
    <w:rsid w:val="00D86A80"/>
    <w:rsid w:val="00D86A93"/>
    <w:rsid w:val="00D86AA1"/>
    <w:rsid w:val="00D86AE7"/>
    <w:rsid w:val="00D86B29"/>
    <w:rsid w:val="00D86B2C"/>
    <w:rsid w:val="00D86B59"/>
    <w:rsid w:val="00D86B89"/>
    <w:rsid w:val="00D86BB9"/>
    <w:rsid w:val="00D86C3C"/>
    <w:rsid w:val="00D86CB3"/>
    <w:rsid w:val="00D86CB9"/>
    <w:rsid w:val="00D86D0E"/>
    <w:rsid w:val="00D86D59"/>
    <w:rsid w:val="00D86DFD"/>
    <w:rsid w:val="00D86E5D"/>
    <w:rsid w:val="00D86EC2"/>
    <w:rsid w:val="00D86EC8"/>
    <w:rsid w:val="00D86F1A"/>
    <w:rsid w:val="00D86F1D"/>
    <w:rsid w:val="00D86F50"/>
    <w:rsid w:val="00D86F9C"/>
    <w:rsid w:val="00D86FD6"/>
    <w:rsid w:val="00D87020"/>
    <w:rsid w:val="00D87047"/>
    <w:rsid w:val="00D87088"/>
    <w:rsid w:val="00D8709E"/>
    <w:rsid w:val="00D870B1"/>
    <w:rsid w:val="00D870D1"/>
    <w:rsid w:val="00D870D6"/>
    <w:rsid w:val="00D870E8"/>
    <w:rsid w:val="00D87116"/>
    <w:rsid w:val="00D8715D"/>
    <w:rsid w:val="00D87282"/>
    <w:rsid w:val="00D87296"/>
    <w:rsid w:val="00D873B8"/>
    <w:rsid w:val="00D8746D"/>
    <w:rsid w:val="00D8747F"/>
    <w:rsid w:val="00D8748A"/>
    <w:rsid w:val="00D8748B"/>
    <w:rsid w:val="00D874FE"/>
    <w:rsid w:val="00D87534"/>
    <w:rsid w:val="00D87537"/>
    <w:rsid w:val="00D87559"/>
    <w:rsid w:val="00D875AB"/>
    <w:rsid w:val="00D875F1"/>
    <w:rsid w:val="00D875FF"/>
    <w:rsid w:val="00D8760F"/>
    <w:rsid w:val="00D87619"/>
    <w:rsid w:val="00D87653"/>
    <w:rsid w:val="00D876A2"/>
    <w:rsid w:val="00D876AB"/>
    <w:rsid w:val="00D876B6"/>
    <w:rsid w:val="00D87714"/>
    <w:rsid w:val="00D87744"/>
    <w:rsid w:val="00D877D2"/>
    <w:rsid w:val="00D878B1"/>
    <w:rsid w:val="00D8791B"/>
    <w:rsid w:val="00D87936"/>
    <w:rsid w:val="00D87941"/>
    <w:rsid w:val="00D8795E"/>
    <w:rsid w:val="00D87960"/>
    <w:rsid w:val="00D8796C"/>
    <w:rsid w:val="00D87986"/>
    <w:rsid w:val="00D87992"/>
    <w:rsid w:val="00D879F3"/>
    <w:rsid w:val="00D87A4A"/>
    <w:rsid w:val="00D87AA3"/>
    <w:rsid w:val="00D87B29"/>
    <w:rsid w:val="00D87B3E"/>
    <w:rsid w:val="00D87B41"/>
    <w:rsid w:val="00D87C36"/>
    <w:rsid w:val="00D87C9C"/>
    <w:rsid w:val="00D87CE3"/>
    <w:rsid w:val="00D87D1F"/>
    <w:rsid w:val="00D87E05"/>
    <w:rsid w:val="00D87E30"/>
    <w:rsid w:val="00D87E95"/>
    <w:rsid w:val="00D87ECD"/>
    <w:rsid w:val="00D87EF4"/>
    <w:rsid w:val="00D87FAD"/>
    <w:rsid w:val="00D87FBF"/>
    <w:rsid w:val="00D87FC3"/>
    <w:rsid w:val="00D900A1"/>
    <w:rsid w:val="00D900FC"/>
    <w:rsid w:val="00D9012A"/>
    <w:rsid w:val="00D90148"/>
    <w:rsid w:val="00D90153"/>
    <w:rsid w:val="00D90203"/>
    <w:rsid w:val="00D9021E"/>
    <w:rsid w:val="00D9024D"/>
    <w:rsid w:val="00D90283"/>
    <w:rsid w:val="00D90322"/>
    <w:rsid w:val="00D90344"/>
    <w:rsid w:val="00D90361"/>
    <w:rsid w:val="00D90369"/>
    <w:rsid w:val="00D9037A"/>
    <w:rsid w:val="00D903C4"/>
    <w:rsid w:val="00D903D1"/>
    <w:rsid w:val="00D9042B"/>
    <w:rsid w:val="00D9042C"/>
    <w:rsid w:val="00D90477"/>
    <w:rsid w:val="00D904CC"/>
    <w:rsid w:val="00D90513"/>
    <w:rsid w:val="00D90514"/>
    <w:rsid w:val="00D90522"/>
    <w:rsid w:val="00D90567"/>
    <w:rsid w:val="00D905A1"/>
    <w:rsid w:val="00D9067D"/>
    <w:rsid w:val="00D906D4"/>
    <w:rsid w:val="00D90733"/>
    <w:rsid w:val="00D9077E"/>
    <w:rsid w:val="00D9077F"/>
    <w:rsid w:val="00D9078A"/>
    <w:rsid w:val="00D90790"/>
    <w:rsid w:val="00D907D6"/>
    <w:rsid w:val="00D90811"/>
    <w:rsid w:val="00D9087D"/>
    <w:rsid w:val="00D9088D"/>
    <w:rsid w:val="00D908F4"/>
    <w:rsid w:val="00D9096C"/>
    <w:rsid w:val="00D90970"/>
    <w:rsid w:val="00D9097D"/>
    <w:rsid w:val="00D90A20"/>
    <w:rsid w:val="00D90A57"/>
    <w:rsid w:val="00D90A77"/>
    <w:rsid w:val="00D90ADE"/>
    <w:rsid w:val="00D90B1C"/>
    <w:rsid w:val="00D90B31"/>
    <w:rsid w:val="00D90B5B"/>
    <w:rsid w:val="00D90BD3"/>
    <w:rsid w:val="00D90C1F"/>
    <w:rsid w:val="00D90C37"/>
    <w:rsid w:val="00D90C5C"/>
    <w:rsid w:val="00D90C64"/>
    <w:rsid w:val="00D90D99"/>
    <w:rsid w:val="00D90E18"/>
    <w:rsid w:val="00D90E51"/>
    <w:rsid w:val="00D90E8A"/>
    <w:rsid w:val="00D90F0D"/>
    <w:rsid w:val="00D9104F"/>
    <w:rsid w:val="00D910B6"/>
    <w:rsid w:val="00D910D9"/>
    <w:rsid w:val="00D910E7"/>
    <w:rsid w:val="00D91135"/>
    <w:rsid w:val="00D9114B"/>
    <w:rsid w:val="00D911AE"/>
    <w:rsid w:val="00D911CC"/>
    <w:rsid w:val="00D911DA"/>
    <w:rsid w:val="00D911EB"/>
    <w:rsid w:val="00D91219"/>
    <w:rsid w:val="00D9136F"/>
    <w:rsid w:val="00D913F1"/>
    <w:rsid w:val="00D9144D"/>
    <w:rsid w:val="00D914F3"/>
    <w:rsid w:val="00D91574"/>
    <w:rsid w:val="00D91690"/>
    <w:rsid w:val="00D916EA"/>
    <w:rsid w:val="00D91745"/>
    <w:rsid w:val="00D91793"/>
    <w:rsid w:val="00D917A1"/>
    <w:rsid w:val="00D917CD"/>
    <w:rsid w:val="00D917E2"/>
    <w:rsid w:val="00D91822"/>
    <w:rsid w:val="00D91859"/>
    <w:rsid w:val="00D918A0"/>
    <w:rsid w:val="00D9194D"/>
    <w:rsid w:val="00D919B3"/>
    <w:rsid w:val="00D919C8"/>
    <w:rsid w:val="00D919E9"/>
    <w:rsid w:val="00D919EC"/>
    <w:rsid w:val="00D91A5A"/>
    <w:rsid w:val="00D91ABE"/>
    <w:rsid w:val="00D91AEA"/>
    <w:rsid w:val="00D91AF3"/>
    <w:rsid w:val="00D91B6B"/>
    <w:rsid w:val="00D91B88"/>
    <w:rsid w:val="00D91B8A"/>
    <w:rsid w:val="00D91C15"/>
    <w:rsid w:val="00D91C69"/>
    <w:rsid w:val="00D91C71"/>
    <w:rsid w:val="00D91C8F"/>
    <w:rsid w:val="00D91C95"/>
    <w:rsid w:val="00D91D07"/>
    <w:rsid w:val="00D91D2E"/>
    <w:rsid w:val="00D91D61"/>
    <w:rsid w:val="00D91D88"/>
    <w:rsid w:val="00D91D8D"/>
    <w:rsid w:val="00D91DBB"/>
    <w:rsid w:val="00D91DF8"/>
    <w:rsid w:val="00D91F0B"/>
    <w:rsid w:val="00D91F0F"/>
    <w:rsid w:val="00D91F29"/>
    <w:rsid w:val="00D91F7D"/>
    <w:rsid w:val="00D91F84"/>
    <w:rsid w:val="00D91FAE"/>
    <w:rsid w:val="00D92034"/>
    <w:rsid w:val="00D92039"/>
    <w:rsid w:val="00D920BE"/>
    <w:rsid w:val="00D920F4"/>
    <w:rsid w:val="00D9210B"/>
    <w:rsid w:val="00D921E9"/>
    <w:rsid w:val="00D92231"/>
    <w:rsid w:val="00D92250"/>
    <w:rsid w:val="00D9225E"/>
    <w:rsid w:val="00D9226A"/>
    <w:rsid w:val="00D92289"/>
    <w:rsid w:val="00D922CD"/>
    <w:rsid w:val="00D922EC"/>
    <w:rsid w:val="00D9235D"/>
    <w:rsid w:val="00D92392"/>
    <w:rsid w:val="00D923C9"/>
    <w:rsid w:val="00D923D0"/>
    <w:rsid w:val="00D923D5"/>
    <w:rsid w:val="00D92487"/>
    <w:rsid w:val="00D924A5"/>
    <w:rsid w:val="00D924BE"/>
    <w:rsid w:val="00D9252D"/>
    <w:rsid w:val="00D92546"/>
    <w:rsid w:val="00D9254A"/>
    <w:rsid w:val="00D9254C"/>
    <w:rsid w:val="00D9259A"/>
    <w:rsid w:val="00D925DD"/>
    <w:rsid w:val="00D9261E"/>
    <w:rsid w:val="00D92651"/>
    <w:rsid w:val="00D926E4"/>
    <w:rsid w:val="00D9272A"/>
    <w:rsid w:val="00D9277D"/>
    <w:rsid w:val="00D927B4"/>
    <w:rsid w:val="00D9286E"/>
    <w:rsid w:val="00D9287F"/>
    <w:rsid w:val="00D92909"/>
    <w:rsid w:val="00D9296F"/>
    <w:rsid w:val="00D92971"/>
    <w:rsid w:val="00D9297D"/>
    <w:rsid w:val="00D92989"/>
    <w:rsid w:val="00D929AC"/>
    <w:rsid w:val="00D92A05"/>
    <w:rsid w:val="00D92A3E"/>
    <w:rsid w:val="00D92A7A"/>
    <w:rsid w:val="00D92A91"/>
    <w:rsid w:val="00D92AFD"/>
    <w:rsid w:val="00D92B26"/>
    <w:rsid w:val="00D92B81"/>
    <w:rsid w:val="00D92C1C"/>
    <w:rsid w:val="00D92C36"/>
    <w:rsid w:val="00D92C43"/>
    <w:rsid w:val="00D92C8C"/>
    <w:rsid w:val="00D92CA7"/>
    <w:rsid w:val="00D92CBD"/>
    <w:rsid w:val="00D92CE5"/>
    <w:rsid w:val="00D92CF0"/>
    <w:rsid w:val="00D92D69"/>
    <w:rsid w:val="00D92DCD"/>
    <w:rsid w:val="00D92DF3"/>
    <w:rsid w:val="00D92E08"/>
    <w:rsid w:val="00D92E34"/>
    <w:rsid w:val="00D92E49"/>
    <w:rsid w:val="00D92E56"/>
    <w:rsid w:val="00D92E68"/>
    <w:rsid w:val="00D92EC8"/>
    <w:rsid w:val="00D92F0E"/>
    <w:rsid w:val="00D92F3D"/>
    <w:rsid w:val="00D92F48"/>
    <w:rsid w:val="00D92F52"/>
    <w:rsid w:val="00D92F91"/>
    <w:rsid w:val="00D92FB5"/>
    <w:rsid w:val="00D92FBC"/>
    <w:rsid w:val="00D92FD2"/>
    <w:rsid w:val="00D92FD3"/>
    <w:rsid w:val="00D93018"/>
    <w:rsid w:val="00D9303C"/>
    <w:rsid w:val="00D93066"/>
    <w:rsid w:val="00D9307A"/>
    <w:rsid w:val="00D930AB"/>
    <w:rsid w:val="00D930DD"/>
    <w:rsid w:val="00D93233"/>
    <w:rsid w:val="00D93235"/>
    <w:rsid w:val="00D9329E"/>
    <w:rsid w:val="00D932A7"/>
    <w:rsid w:val="00D932E1"/>
    <w:rsid w:val="00D93316"/>
    <w:rsid w:val="00D93340"/>
    <w:rsid w:val="00D933C8"/>
    <w:rsid w:val="00D933D4"/>
    <w:rsid w:val="00D93413"/>
    <w:rsid w:val="00D93475"/>
    <w:rsid w:val="00D934C5"/>
    <w:rsid w:val="00D9351B"/>
    <w:rsid w:val="00D93554"/>
    <w:rsid w:val="00D93563"/>
    <w:rsid w:val="00D935A4"/>
    <w:rsid w:val="00D9360B"/>
    <w:rsid w:val="00D9360D"/>
    <w:rsid w:val="00D93642"/>
    <w:rsid w:val="00D936AE"/>
    <w:rsid w:val="00D9371F"/>
    <w:rsid w:val="00D937BF"/>
    <w:rsid w:val="00D9381A"/>
    <w:rsid w:val="00D93894"/>
    <w:rsid w:val="00D938AB"/>
    <w:rsid w:val="00D938F6"/>
    <w:rsid w:val="00D93921"/>
    <w:rsid w:val="00D93941"/>
    <w:rsid w:val="00D93A07"/>
    <w:rsid w:val="00D93A27"/>
    <w:rsid w:val="00D93A3D"/>
    <w:rsid w:val="00D93A40"/>
    <w:rsid w:val="00D93A61"/>
    <w:rsid w:val="00D93A68"/>
    <w:rsid w:val="00D93AA5"/>
    <w:rsid w:val="00D93ABC"/>
    <w:rsid w:val="00D93ADF"/>
    <w:rsid w:val="00D93B42"/>
    <w:rsid w:val="00D93B8B"/>
    <w:rsid w:val="00D93BC7"/>
    <w:rsid w:val="00D93C2B"/>
    <w:rsid w:val="00D93CF5"/>
    <w:rsid w:val="00D93D0F"/>
    <w:rsid w:val="00D93D58"/>
    <w:rsid w:val="00D93DE1"/>
    <w:rsid w:val="00D93E57"/>
    <w:rsid w:val="00D93E5D"/>
    <w:rsid w:val="00D93E69"/>
    <w:rsid w:val="00D93F76"/>
    <w:rsid w:val="00D93F8B"/>
    <w:rsid w:val="00D93F96"/>
    <w:rsid w:val="00D93F9D"/>
    <w:rsid w:val="00D93FA0"/>
    <w:rsid w:val="00D93FAD"/>
    <w:rsid w:val="00D93FC0"/>
    <w:rsid w:val="00D93FC5"/>
    <w:rsid w:val="00D93FC7"/>
    <w:rsid w:val="00D93FCF"/>
    <w:rsid w:val="00D93FF5"/>
    <w:rsid w:val="00D94037"/>
    <w:rsid w:val="00D9403E"/>
    <w:rsid w:val="00D9405C"/>
    <w:rsid w:val="00D9408C"/>
    <w:rsid w:val="00D940BC"/>
    <w:rsid w:val="00D940CB"/>
    <w:rsid w:val="00D940F4"/>
    <w:rsid w:val="00D94115"/>
    <w:rsid w:val="00D94154"/>
    <w:rsid w:val="00D94158"/>
    <w:rsid w:val="00D9416C"/>
    <w:rsid w:val="00D9417C"/>
    <w:rsid w:val="00D94217"/>
    <w:rsid w:val="00D9426C"/>
    <w:rsid w:val="00D94289"/>
    <w:rsid w:val="00D942B2"/>
    <w:rsid w:val="00D94336"/>
    <w:rsid w:val="00D9440F"/>
    <w:rsid w:val="00D94429"/>
    <w:rsid w:val="00D94432"/>
    <w:rsid w:val="00D944A5"/>
    <w:rsid w:val="00D944C6"/>
    <w:rsid w:val="00D94571"/>
    <w:rsid w:val="00D94585"/>
    <w:rsid w:val="00D9458D"/>
    <w:rsid w:val="00D945C7"/>
    <w:rsid w:val="00D9464D"/>
    <w:rsid w:val="00D94668"/>
    <w:rsid w:val="00D9469C"/>
    <w:rsid w:val="00D946F2"/>
    <w:rsid w:val="00D9470E"/>
    <w:rsid w:val="00D94752"/>
    <w:rsid w:val="00D94753"/>
    <w:rsid w:val="00D9479D"/>
    <w:rsid w:val="00D947B7"/>
    <w:rsid w:val="00D947E6"/>
    <w:rsid w:val="00D947F7"/>
    <w:rsid w:val="00D9482D"/>
    <w:rsid w:val="00D94832"/>
    <w:rsid w:val="00D94851"/>
    <w:rsid w:val="00D9485B"/>
    <w:rsid w:val="00D94871"/>
    <w:rsid w:val="00D948C3"/>
    <w:rsid w:val="00D948DA"/>
    <w:rsid w:val="00D948E6"/>
    <w:rsid w:val="00D94991"/>
    <w:rsid w:val="00D949B8"/>
    <w:rsid w:val="00D949C1"/>
    <w:rsid w:val="00D949C9"/>
    <w:rsid w:val="00D94A54"/>
    <w:rsid w:val="00D94B68"/>
    <w:rsid w:val="00D94BA4"/>
    <w:rsid w:val="00D94BF5"/>
    <w:rsid w:val="00D94C54"/>
    <w:rsid w:val="00D94C66"/>
    <w:rsid w:val="00D94CA0"/>
    <w:rsid w:val="00D94CC1"/>
    <w:rsid w:val="00D94CE4"/>
    <w:rsid w:val="00D94CF8"/>
    <w:rsid w:val="00D94D0A"/>
    <w:rsid w:val="00D94D1A"/>
    <w:rsid w:val="00D94D3D"/>
    <w:rsid w:val="00D94D90"/>
    <w:rsid w:val="00D94DAC"/>
    <w:rsid w:val="00D94DF0"/>
    <w:rsid w:val="00D94E17"/>
    <w:rsid w:val="00D94E22"/>
    <w:rsid w:val="00D94F57"/>
    <w:rsid w:val="00D94F8F"/>
    <w:rsid w:val="00D94FB7"/>
    <w:rsid w:val="00D94FF8"/>
    <w:rsid w:val="00D95064"/>
    <w:rsid w:val="00D95094"/>
    <w:rsid w:val="00D95137"/>
    <w:rsid w:val="00D9515C"/>
    <w:rsid w:val="00D951BA"/>
    <w:rsid w:val="00D951DE"/>
    <w:rsid w:val="00D951EA"/>
    <w:rsid w:val="00D952B0"/>
    <w:rsid w:val="00D952DF"/>
    <w:rsid w:val="00D95332"/>
    <w:rsid w:val="00D9535D"/>
    <w:rsid w:val="00D953E9"/>
    <w:rsid w:val="00D953ED"/>
    <w:rsid w:val="00D95423"/>
    <w:rsid w:val="00D95429"/>
    <w:rsid w:val="00D954D2"/>
    <w:rsid w:val="00D954DC"/>
    <w:rsid w:val="00D95530"/>
    <w:rsid w:val="00D95596"/>
    <w:rsid w:val="00D9567C"/>
    <w:rsid w:val="00D95699"/>
    <w:rsid w:val="00D956D4"/>
    <w:rsid w:val="00D956EA"/>
    <w:rsid w:val="00D95711"/>
    <w:rsid w:val="00D95734"/>
    <w:rsid w:val="00D95735"/>
    <w:rsid w:val="00D95736"/>
    <w:rsid w:val="00D957B6"/>
    <w:rsid w:val="00D957C1"/>
    <w:rsid w:val="00D957C8"/>
    <w:rsid w:val="00D957F2"/>
    <w:rsid w:val="00D95847"/>
    <w:rsid w:val="00D95877"/>
    <w:rsid w:val="00D95898"/>
    <w:rsid w:val="00D95904"/>
    <w:rsid w:val="00D95923"/>
    <w:rsid w:val="00D95930"/>
    <w:rsid w:val="00D95955"/>
    <w:rsid w:val="00D959B3"/>
    <w:rsid w:val="00D959E2"/>
    <w:rsid w:val="00D95A96"/>
    <w:rsid w:val="00D95AF4"/>
    <w:rsid w:val="00D95B42"/>
    <w:rsid w:val="00D95B81"/>
    <w:rsid w:val="00D95C6F"/>
    <w:rsid w:val="00D95CFB"/>
    <w:rsid w:val="00D95D67"/>
    <w:rsid w:val="00D95D93"/>
    <w:rsid w:val="00D95DC8"/>
    <w:rsid w:val="00D95DCA"/>
    <w:rsid w:val="00D95E7A"/>
    <w:rsid w:val="00D95E99"/>
    <w:rsid w:val="00D95EB6"/>
    <w:rsid w:val="00D95F6A"/>
    <w:rsid w:val="00D95F89"/>
    <w:rsid w:val="00D95FC3"/>
    <w:rsid w:val="00D95FC6"/>
    <w:rsid w:val="00D9600C"/>
    <w:rsid w:val="00D9601E"/>
    <w:rsid w:val="00D96040"/>
    <w:rsid w:val="00D96086"/>
    <w:rsid w:val="00D960C1"/>
    <w:rsid w:val="00D960E6"/>
    <w:rsid w:val="00D96188"/>
    <w:rsid w:val="00D961A1"/>
    <w:rsid w:val="00D961A3"/>
    <w:rsid w:val="00D961F7"/>
    <w:rsid w:val="00D961FE"/>
    <w:rsid w:val="00D9624D"/>
    <w:rsid w:val="00D96262"/>
    <w:rsid w:val="00D962A2"/>
    <w:rsid w:val="00D96319"/>
    <w:rsid w:val="00D96325"/>
    <w:rsid w:val="00D9639F"/>
    <w:rsid w:val="00D96443"/>
    <w:rsid w:val="00D96497"/>
    <w:rsid w:val="00D964AB"/>
    <w:rsid w:val="00D964D9"/>
    <w:rsid w:val="00D965D9"/>
    <w:rsid w:val="00D965F1"/>
    <w:rsid w:val="00D965FD"/>
    <w:rsid w:val="00D96601"/>
    <w:rsid w:val="00D96605"/>
    <w:rsid w:val="00D9662B"/>
    <w:rsid w:val="00D96631"/>
    <w:rsid w:val="00D966EA"/>
    <w:rsid w:val="00D96715"/>
    <w:rsid w:val="00D9673C"/>
    <w:rsid w:val="00D96748"/>
    <w:rsid w:val="00D9674D"/>
    <w:rsid w:val="00D9676B"/>
    <w:rsid w:val="00D967B7"/>
    <w:rsid w:val="00D96843"/>
    <w:rsid w:val="00D968E5"/>
    <w:rsid w:val="00D96900"/>
    <w:rsid w:val="00D96934"/>
    <w:rsid w:val="00D96949"/>
    <w:rsid w:val="00D9694E"/>
    <w:rsid w:val="00D9696F"/>
    <w:rsid w:val="00D969BB"/>
    <w:rsid w:val="00D969ED"/>
    <w:rsid w:val="00D969FB"/>
    <w:rsid w:val="00D96A22"/>
    <w:rsid w:val="00D96AA4"/>
    <w:rsid w:val="00D96AD9"/>
    <w:rsid w:val="00D96B30"/>
    <w:rsid w:val="00D96B34"/>
    <w:rsid w:val="00D96B37"/>
    <w:rsid w:val="00D96B4D"/>
    <w:rsid w:val="00D96BC2"/>
    <w:rsid w:val="00D96C0A"/>
    <w:rsid w:val="00D96C22"/>
    <w:rsid w:val="00D96C45"/>
    <w:rsid w:val="00D96C92"/>
    <w:rsid w:val="00D96D2C"/>
    <w:rsid w:val="00D96D60"/>
    <w:rsid w:val="00D96E0F"/>
    <w:rsid w:val="00D96E12"/>
    <w:rsid w:val="00D96E2B"/>
    <w:rsid w:val="00D96E3D"/>
    <w:rsid w:val="00D96E5F"/>
    <w:rsid w:val="00D96EDB"/>
    <w:rsid w:val="00D96EE6"/>
    <w:rsid w:val="00D96EEA"/>
    <w:rsid w:val="00D96F04"/>
    <w:rsid w:val="00D96F25"/>
    <w:rsid w:val="00D96F4C"/>
    <w:rsid w:val="00D96F7E"/>
    <w:rsid w:val="00D96FCF"/>
    <w:rsid w:val="00D96FD5"/>
    <w:rsid w:val="00D96FED"/>
    <w:rsid w:val="00D97006"/>
    <w:rsid w:val="00D970E5"/>
    <w:rsid w:val="00D9711C"/>
    <w:rsid w:val="00D9713E"/>
    <w:rsid w:val="00D97173"/>
    <w:rsid w:val="00D971D7"/>
    <w:rsid w:val="00D971F3"/>
    <w:rsid w:val="00D971FB"/>
    <w:rsid w:val="00D97243"/>
    <w:rsid w:val="00D972B8"/>
    <w:rsid w:val="00D972CF"/>
    <w:rsid w:val="00D972F6"/>
    <w:rsid w:val="00D97375"/>
    <w:rsid w:val="00D973E9"/>
    <w:rsid w:val="00D97436"/>
    <w:rsid w:val="00D97443"/>
    <w:rsid w:val="00D974C8"/>
    <w:rsid w:val="00D974F4"/>
    <w:rsid w:val="00D97529"/>
    <w:rsid w:val="00D975D3"/>
    <w:rsid w:val="00D97636"/>
    <w:rsid w:val="00D97652"/>
    <w:rsid w:val="00D97653"/>
    <w:rsid w:val="00D976E4"/>
    <w:rsid w:val="00D976EE"/>
    <w:rsid w:val="00D976FA"/>
    <w:rsid w:val="00D97735"/>
    <w:rsid w:val="00D977E2"/>
    <w:rsid w:val="00D97818"/>
    <w:rsid w:val="00D9781E"/>
    <w:rsid w:val="00D978CB"/>
    <w:rsid w:val="00D978D8"/>
    <w:rsid w:val="00D97932"/>
    <w:rsid w:val="00D979D9"/>
    <w:rsid w:val="00D97ADB"/>
    <w:rsid w:val="00D97AF5"/>
    <w:rsid w:val="00D97B4F"/>
    <w:rsid w:val="00D97B8A"/>
    <w:rsid w:val="00D97B8B"/>
    <w:rsid w:val="00D97C08"/>
    <w:rsid w:val="00D97C11"/>
    <w:rsid w:val="00D97D10"/>
    <w:rsid w:val="00D97D93"/>
    <w:rsid w:val="00D97E08"/>
    <w:rsid w:val="00D97E74"/>
    <w:rsid w:val="00D97E85"/>
    <w:rsid w:val="00D97EB3"/>
    <w:rsid w:val="00D97EF5"/>
    <w:rsid w:val="00D97FAD"/>
    <w:rsid w:val="00D97FC8"/>
    <w:rsid w:val="00D97FF2"/>
    <w:rsid w:val="00D9A47E"/>
    <w:rsid w:val="00DA0014"/>
    <w:rsid w:val="00DA0057"/>
    <w:rsid w:val="00DA00C1"/>
    <w:rsid w:val="00DA00CA"/>
    <w:rsid w:val="00DA012A"/>
    <w:rsid w:val="00DA0280"/>
    <w:rsid w:val="00DA02B6"/>
    <w:rsid w:val="00DA030C"/>
    <w:rsid w:val="00DA037C"/>
    <w:rsid w:val="00DA03E2"/>
    <w:rsid w:val="00DA0434"/>
    <w:rsid w:val="00DA044D"/>
    <w:rsid w:val="00DA04AA"/>
    <w:rsid w:val="00DA04BC"/>
    <w:rsid w:val="00DA0522"/>
    <w:rsid w:val="00DA053C"/>
    <w:rsid w:val="00DA059D"/>
    <w:rsid w:val="00DA0668"/>
    <w:rsid w:val="00DA06A8"/>
    <w:rsid w:val="00DA0709"/>
    <w:rsid w:val="00DA070D"/>
    <w:rsid w:val="00DA07BA"/>
    <w:rsid w:val="00DA07C4"/>
    <w:rsid w:val="00DA07F7"/>
    <w:rsid w:val="00DA07FD"/>
    <w:rsid w:val="00DA0843"/>
    <w:rsid w:val="00DA08CF"/>
    <w:rsid w:val="00DA08F9"/>
    <w:rsid w:val="00DA091A"/>
    <w:rsid w:val="00DA0924"/>
    <w:rsid w:val="00DA0939"/>
    <w:rsid w:val="00DA093B"/>
    <w:rsid w:val="00DA0943"/>
    <w:rsid w:val="00DA09C1"/>
    <w:rsid w:val="00DA09D5"/>
    <w:rsid w:val="00DA09FF"/>
    <w:rsid w:val="00DA0A5E"/>
    <w:rsid w:val="00DA0AAB"/>
    <w:rsid w:val="00DA0AB9"/>
    <w:rsid w:val="00DA0AF6"/>
    <w:rsid w:val="00DA0B17"/>
    <w:rsid w:val="00DA0B47"/>
    <w:rsid w:val="00DA0BBB"/>
    <w:rsid w:val="00DA0BCD"/>
    <w:rsid w:val="00DA0C31"/>
    <w:rsid w:val="00DA0C79"/>
    <w:rsid w:val="00DA0C9A"/>
    <w:rsid w:val="00DA0CCC"/>
    <w:rsid w:val="00DA0D20"/>
    <w:rsid w:val="00DA0D61"/>
    <w:rsid w:val="00DA0D6E"/>
    <w:rsid w:val="00DA0DB6"/>
    <w:rsid w:val="00DA0E0D"/>
    <w:rsid w:val="00DA0E7B"/>
    <w:rsid w:val="00DA0F0A"/>
    <w:rsid w:val="00DA0F49"/>
    <w:rsid w:val="00DA0F4B"/>
    <w:rsid w:val="00DA0F7F"/>
    <w:rsid w:val="00DA0F8A"/>
    <w:rsid w:val="00DA0FE0"/>
    <w:rsid w:val="00DA1050"/>
    <w:rsid w:val="00DA10C1"/>
    <w:rsid w:val="00DA10EB"/>
    <w:rsid w:val="00DA10F6"/>
    <w:rsid w:val="00DA115F"/>
    <w:rsid w:val="00DA1175"/>
    <w:rsid w:val="00DA11FB"/>
    <w:rsid w:val="00DA121B"/>
    <w:rsid w:val="00DA12E0"/>
    <w:rsid w:val="00DA12E7"/>
    <w:rsid w:val="00DA1314"/>
    <w:rsid w:val="00DA133F"/>
    <w:rsid w:val="00DA1340"/>
    <w:rsid w:val="00DA144B"/>
    <w:rsid w:val="00DA1481"/>
    <w:rsid w:val="00DA148F"/>
    <w:rsid w:val="00DA1491"/>
    <w:rsid w:val="00DA14C6"/>
    <w:rsid w:val="00DA158A"/>
    <w:rsid w:val="00DA15DC"/>
    <w:rsid w:val="00DA15F6"/>
    <w:rsid w:val="00DA160D"/>
    <w:rsid w:val="00DA1706"/>
    <w:rsid w:val="00DA1715"/>
    <w:rsid w:val="00DA1763"/>
    <w:rsid w:val="00DA180B"/>
    <w:rsid w:val="00DA181B"/>
    <w:rsid w:val="00DA1843"/>
    <w:rsid w:val="00DA1851"/>
    <w:rsid w:val="00DA186F"/>
    <w:rsid w:val="00DA1872"/>
    <w:rsid w:val="00DA18F7"/>
    <w:rsid w:val="00DA197D"/>
    <w:rsid w:val="00DA199D"/>
    <w:rsid w:val="00DA19A8"/>
    <w:rsid w:val="00DA1A20"/>
    <w:rsid w:val="00DA1AF2"/>
    <w:rsid w:val="00DA1B9B"/>
    <w:rsid w:val="00DA1BB3"/>
    <w:rsid w:val="00DA1BBD"/>
    <w:rsid w:val="00DA1C08"/>
    <w:rsid w:val="00DA1C26"/>
    <w:rsid w:val="00DA1C48"/>
    <w:rsid w:val="00DA1C72"/>
    <w:rsid w:val="00DA1CBF"/>
    <w:rsid w:val="00DA1D2D"/>
    <w:rsid w:val="00DA1D44"/>
    <w:rsid w:val="00DA1D5C"/>
    <w:rsid w:val="00DA1D5F"/>
    <w:rsid w:val="00DA1EE9"/>
    <w:rsid w:val="00DA1EEF"/>
    <w:rsid w:val="00DA1F27"/>
    <w:rsid w:val="00DA1F59"/>
    <w:rsid w:val="00DA1FB1"/>
    <w:rsid w:val="00DA1FB6"/>
    <w:rsid w:val="00DA2043"/>
    <w:rsid w:val="00DA2045"/>
    <w:rsid w:val="00DA2073"/>
    <w:rsid w:val="00DA20B5"/>
    <w:rsid w:val="00DA20DD"/>
    <w:rsid w:val="00DA2119"/>
    <w:rsid w:val="00DA217F"/>
    <w:rsid w:val="00DA2197"/>
    <w:rsid w:val="00DA21AF"/>
    <w:rsid w:val="00DA21CE"/>
    <w:rsid w:val="00DA2267"/>
    <w:rsid w:val="00DA2270"/>
    <w:rsid w:val="00DA22C1"/>
    <w:rsid w:val="00DA22CA"/>
    <w:rsid w:val="00DA22DA"/>
    <w:rsid w:val="00DA2392"/>
    <w:rsid w:val="00DA23BF"/>
    <w:rsid w:val="00DA2445"/>
    <w:rsid w:val="00DA246F"/>
    <w:rsid w:val="00DA24B6"/>
    <w:rsid w:val="00DA2503"/>
    <w:rsid w:val="00DA2540"/>
    <w:rsid w:val="00DA2548"/>
    <w:rsid w:val="00DA25B2"/>
    <w:rsid w:val="00DA25B5"/>
    <w:rsid w:val="00DA25C5"/>
    <w:rsid w:val="00DA25DF"/>
    <w:rsid w:val="00DA25ED"/>
    <w:rsid w:val="00DA261E"/>
    <w:rsid w:val="00DA2671"/>
    <w:rsid w:val="00DA2677"/>
    <w:rsid w:val="00DA2681"/>
    <w:rsid w:val="00DA26DC"/>
    <w:rsid w:val="00DA27D7"/>
    <w:rsid w:val="00DA27F4"/>
    <w:rsid w:val="00DA2885"/>
    <w:rsid w:val="00DA28D6"/>
    <w:rsid w:val="00DA28DE"/>
    <w:rsid w:val="00DA28F2"/>
    <w:rsid w:val="00DA292A"/>
    <w:rsid w:val="00DA294A"/>
    <w:rsid w:val="00DA2976"/>
    <w:rsid w:val="00DA298D"/>
    <w:rsid w:val="00DA29AD"/>
    <w:rsid w:val="00DA29B2"/>
    <w:rsid w:val="00DA29EA"/>
    <w:rsid w:val="00DA2A13"/>
    <w:rsid w:val="00DA2A55"/>
    <w:rsid w:val="00DA2A5D"/>
    <w:rsid w:val="00DA2A89"/>
    <w:rsid w:val="00DA2AAB"/>
    <w:rsid w:val="00DA2AB2"/>
    <w:rsid w:val="00DA2AD2"/>
    <w:rsid w:val="00DA2AEC"/>
    <w:rsid w:val="00DA2AFC"/>
    <w:rsid w:val="00DA2B68"/>
    <w:rsid w:val="00DA2B7B"/>
    <w:rsid w:val="00DA2B7D"/>
    <w:rsid w:val="00DA2C2A"/>
    <w:rsid w:val="00DA2C41"/>
    <w:rsid w:val="00DA2C75"/>
    <w:rsid w:val="00DA2CAB"/>
    <w:rsid w:val="00DA2D33"/>
    <w:rsid w:val="00DA2E6B"/>
    <w:rsid w:val="00DA2E83"/>
    <w:rsid w:val="00DA2EA4"/>
    <w:rsid w:val="00DA2F03"/>
    <w:rsid w:val="00DA2F16"/>
    <w:rsid w:val="00DA2F81"/>
    <w:rsid w:val="00DA2FD6"/>
    <w:rsid w:val="00DA2FF6"/>
    <w:rsid w:val="00DA3178"/>
    <w:rsid w:val="00DA31FA"/>
    <w:rsid w:val="00DA321A"/>
    <w:rsid w:val="00DA3265"/>
    <w:rsid w:val="00DA32D7"/>
    <w:rsid w:val="00DA32DC"/>
    <w:rsid w:val="00DA32E4"/>
    <w:rsid w:val="00DA3332"/>
    <w:rsid w:val="00DA333C"/>
    <w:rsid w:val="00DA3357"/>
    <w:rsid w:val="00DA337F"/>
    <w:rsid w:val="00DA33D4"/>
    <w:rsid w:val="00DA345C"/>
    <w:rsid w:val="00DA3461"/>
    <w:rsid w:val="00DA347C"/>
    <w:rsid w:val="00DA34A9"/>
    <w:rsid w:val="00DA34B7"/>
    <w:rsid w:val="00DA34BC"/>
    <w:rsid w:val="00DA3503"/>
    <w:rsid w:val="00DA3504"/>
    <w:rsid w:val="00DA3554"/>
    <w:rsid w:val="00DA3558"/>
    <w:rsid w:val="00DA359E"/>
    <w:rsid w:val="00DA3647"/>
    <w:rsid w:val="00DA36E6"/>
    <w:rsid w:val="00DA36F1"/>
    <w:rsid w:val="00DA36F6"/>
    <w:rsid w:val="00DA3705"/>
    <w:rsid w:val="00DA3707"/>
    <w:rsid w:val="00DA3792"/>
    <w:rsid w:val="00DA379B"/>
    <w:rsid w:val="00DA37E3"/>
    <w:rsid w:val="00DA3882"/>
    <w:rsid w:val="00DA3886"/>
    <w:rsid w:val="00DA3892"/>
    <w:rsid w:val="00DA38D0"/>
    <w:rsid w:val="00DA38D6"/>
    <w:rsid w:val="00DA38E9"/>
    <w:rsid w:val="00DA391D"/>
    <w:rsid w:val="00DA398A"/>
    <w:rsid w:val="00DA39C9"/>
    <w:rsid w:val="00DA3A70"/>
    <w:rsid w:val="00DA3B25"/>
    <w:rsid w:val="00DA3B75"/>
    <w:rsid w:val="00DA3C13"/>
    <w:rsid w:val="00DA3C6F"/>
    <w:rsid w:val="00DA3CB2"/>
    <w:rsid w:val="00DA3CBE"/>
    <w:rsid w:val="00DA3CC9"/>
    <w:rsid w:val="00DA3D4B"/>
    <w:rsid w:val="00DA3D5C"/>
    <w:rsid w:val="00DA3D9A"/>
    <w:rsid w:val="00DA3DF5"/>
    <w:rsid w:val="00DA3DF6"/>
    <w:rsid w:val="00DA3E64"/>
    <w:rsid w:val="00DA3EDF"/>
    <w:rsid w:val="00DA3FB8"/>
    <w:rsid w:val="00DA3FC8"/>
    <w:rsid w:val="00DA3FEE"/>
    <w:rsid w:val="00DA3FF6"/>
    <w:rsid w:val="00DA3FFB"/>
    <w:rsid w:val="00DA4012"/>
    <w:rsid w:val="00DA4057"/>
    <w:rsid w:val="00DA4058"/>
    <w:rsid w:val="00DA4081"/>
    <w:rsid w:val="00DA4092"/>
    <w:rsid w:val="00DA40E4"/>
    <w:rsid w:val="00DA4104"/>
    <w:rsid w:val="00DA411D"/>
    <w:rsid w:val="00DA412F"/>
    <w:rsid w:val="00DA4147"/>
    <w:rsid w:val="00DA417C"/>
    <w:rsid w:val="00DA41A7"/>
    <w:rsid w:val="00DA41DE"/>
    <w:rsid w:val="00DA41F7"/>
    <w:rsid w:val="00DA42CB"/>
    <w:rsid w:val="00DA43CD"/>
    <w:rsid w:val="00DA43E7"/>
    <w:rsid w:val="00DA4401"/>
    <w:rsid w:val="00DA44AB"/>
    <w:rsid w:val="00DA44B0"/>
    <w:rsid w:val="00DA454A"/>
    <w:rsid w:val="00DA459F"/>
    <w:rsid w:val="00DA45AA"/>
    <w:rsid w:val="00DA45F9"/>
    <w:rsid w:val="00DA4620"/>
    <w:rsid w:val="00DA463F"/>
    <w:rsid w:val="00DA4642"/>
    <w:rsid w:val="00DA4661"/>
    <w:rsid w:val="00DA46B8"/>
    <w:rsid w:val="00DA46C7"/>
    <w:rsid w:val="00DA46E6"/>
    <w:rsid w:val="00DA4708"/>
    <w:rsid w:val="00DA475C"/>
    <w:rsid w:val="00DA4799"/>
    <w:rsid w:val="00DA4808"/>
    <w:rsid w:val="00DA4821"/>
    <w:rsid w:val="00DA483B"/>
    <w:rsid w:val="00DA484B"/>
    <w:rsid w:val="00DA48ED"/>
    <w:rsid w:val="00DA4918"/>
    <w:rsid w:val="00DA49C3"/>
    <w:rsid w:val="00DA49CD"/>
    <w:rsid w:val="00DA49F8"/>
    <w:rsid w:val="00DA4A56"/>
    <w:rsid w:val="00DA4A81"/>
    <w:rsid w:val="00DA4A8B"/>
    <w:rsid w:val="00DA4A92"/>
    <w:rsid w:val="00DA4A9B"/>
    <w:rsid w:val="00DA4AF7"/>
    <w:rsid w:val="00DA4B74"/>
    <w:rsid w:val="00DA4B87"/>
    <w:rsid w:val="00DA4BD4"/>
    <w:rsid w:val="00DA4C08"/>
    <w:rsid w:val="00DA4C0C"/>
    <w:rsid w:val="00DA4C42"/>
    <w:rsid w:val="00DA4C6B"/>
    <w:rsid w:val="00DA4CAF"/>
    <w:rsid w:val="00DA4D17"/>
    <w:rsid w:val="00DA4D2B"/>
    <w:rsid w:val="00DA4D82"/>
    <w:rsid w:val="00DA4E02"/>
    <w:rsid w:val="00DA4E21"/>
    <w:rsid w:val="00DA4E2B"/>
    <w:rsid w:val="00DA4EA2"/>
    <w:rsid w:val="00DA4EB5"/>
    <w:rsid w:val="00DA4EFB"/>
    <w:rsid w:val="00DA4EFD"/>
    <w:rsid w:val="00DA4F0A"/>
    <w:rsid w:val="00DA4F22"/>
    <w:rsid w:val="00DA4F29"/>
    <w:rsid w:val="00DA4F3E"/>
    <w:rsid w:val="00DA4F64"/>
    <w:rsid w:val="00DA4F9B"/>
    <w:rsid w:val="00DA5001"/>
    <w:rsid w:val="00DA502B"/>
    <w:rsid w:val="00DA5069"/>
    <w:rsid w:val="00DA50A6"/>
    <w:rsid w:val="00DA5138"/>
    <w:rsid w:val="00DA5189"/>
    <w:rsid w:val="00DA519C"/>
    <w:rsid w:val="00DA51AA"/>
    <w:rsid w:val="00DA51DB"/>
    <w:rsid w:val="00DA51F2"/>
    <w:rsid w:val="00DA5205"/>
    <w:rsid w:val="00DA5231"/>
    <w:rsid w:val="00DA523F"/>
    <w:rsid w:val="00DA52F7"/>
    <w:rsid w:val="00DA5303"/>
    <w:rsid w:val="00DA531F"/>
    <w:rsid w:val="00DA534D"/>
    <w:rsid w:val="00DA5377"/>
    <w:rsid w:val="00DA5388"/>
    <w:rsid w:val="00DA53A5"/>
    <w:rsid w:val="00DA53ED"/>
    <w:rsid w:val="00DA543D"/>
    <w:rsid w:val="00DA54BC"/>
    <w:rsid w:val="00DA54C5"/>
    <w:rsid w:val="00DA54CB"/>
    <w:rsid w:val="00DA54E8"/>
    <w:rsid w:val="00DA56C3"/>
    <w:rsid w:val="00DA56E9"/>
    <w:rsid w:val="00DA5727"/>
    <w:rsid w:val="00DA5761"/>
    <w:rsid w:val="00DA5793"/>
    <w:rsid w:val="00DA5798"/>
    <w:rsid w:val="00DA57DF"/>
    <w:rsid w:val="00DA5867"/>
    <w:rsid w:val="00DA591C"/>
    <w:rsid w:val="00DA5931"/>
    <w:rsid w:val="00DA5993"/>
    <w:rsid w:val="00DA59BC"/>
    <w:rsid w:val="00DA59C3"/>
    <w:rsid w:val="00DA59F8"/>
    <w:rsid w:val="00DA5AB3"/>
    <w:rsid w:val="00DA5AEC"/>
    <w:rsid w:val="00DA5B3D"/>
    <w:rsid w:val="00DA5B4F"/>
    <w:rsid w:val="00DA5BEB"/>
    <w:rsid w:val="00DA5CAD"/>
    <w:rsid w:val="00DA5CB8"/>
    <w:rsid w:val="00DA5CF1"/>
    <w:rsid w:val="00DA5D13"/>
    <w:rsid w:val="00DA5DD4"/>
    <w:rsid w:val="00DA5E37"/>
    <w:rsid w:val="00DA5E64"/>
    <w:rsid w:val="00DA5E8B"/>
    <w:rsid w:val="00DA5E8C"/>
    <w:rsid w:val="00DA6031"/>
    <w:rsid w:val="00DA604D"/>
    <w:rsid w:val="00DA6064"/>
    <w:rsid w:val="00DA60EE"/>
    <w:rsid w:val="00DA612B"/>
    <w:rsid w:val="00DA6179"/>
    <w:rsid w:val="00DA6186"/>
    <w:rsid w:val="00DA61AA"/>
    <w:rsid w:val="00DA61DF"/>
    <w:rsid w:val="00DA620C"/>
    <w:rsid w:val="00DA626D"/>
    <w:rsid w:val="00DA62C3"/>
    <w:rsid w:val="00DA62DD"/>
    <w:rsid w:val="00DA62EC"/>
    <w:rsid w:val="00DA6313"/>
    <w:rsid w:val="00DA634C"/>
    <w:rsid w:val="00DA635A"/>
    <w:rsid w:val="00DA63B1"/>
    <w:rsid w:val="00DA63B3"/>
    <w:rsid w:val="00DA63C2"/>
    <w:rsid w:val="00DA63DB"/>
    <w:rsid w:val="00DA63E7"/>
    <w:rsid w:val="00DA6442"/>
    <w:rsid w:val="00DA6443"/>
    <w:rsid w:val="00DA6464"/>
    <w:rsid w:val="00DA64E9"/>
    <w:rsid w:val="00DA652C"/>
    <w:rsid w:val="00DA6543"/>
    <w:rsid w:val="00DA6549"/>
    <w:rsid w:val="00DA65AC"/>
    <w:rsid w:val="00DA6645"/>
    <w:rsid w:val="00DA6673"/>
    <w:rsid w:val="00DA672B"/>
    <w:rsid w:val="00DA674F"/>
    <w:rsid w:val="00DA67A6"/>
    <w:rsid w:val="00DA67A9"/>
    <w:rsid w:val="00DA6819"/>
    <w:rsid w:val="00DA6969"/>
    <w:rsid w:val="00DA69F8"/>
    <w:rsid w:val="00DA6A06"/>
    <w:rsid w:val="00DA6A72"/>
    <w:rsid w:val="00DA6A8D"/>
    <w:rsid w:val="00DA6AAA"/>
    <w:rsid w:val="00DA6AD0"/>
    <w:rsid w:val="00DA6B08"/>
    <w:rsid w:val="00DA6B21"/>
    <w:rsid w:val="00DA6B35"/>
    <w:rsid w:val="00DA6B3B"/>
    <w:rsid w:val="00DA6B6D"/>
    <w:rsid w:val="00DA6B95"/>
    <w:rsid w:val="00DA6BD7"/>
    <w:rsid w:val="00DA6C29"/>
    <w:rsid w:val="00DA6CA5"/>
    <w:rsid w:val="00DA6CC3"/>
    <w:rsid w:val="00DA6CC9"/>
    <w:rsid w:val="00DA6CEB"/>
    <w:rsid w:val="00DA6CF6"/>
    <w:rsid w:val="00DA6D05"/>
    <w:rsid w:val="00DA6D35"/>
    <w:rsid w:val="00DA6D82"/>
    <w:rsid w:val="00DA6E6F"/>
    <w:rsid w:val="00DA6E74"/>
    <w:rsid w:val="00DA6F1F"/>
    <w:rsid w:val="00DA6F79"/>
    <w:rsid w:val="00DA6FAD"/>
    <w:rsid w:val="00DA7026"/>
    <w:rsid w:val="00DA7064"/>
    <w:rsid w:val="00DA7099"/>
    <w:rsid w:val="00DA70AC"/>
    <w:rsid w:val="00DA70BE"/>
    <w:rsid w:val="00DA70E6"/>
    <w:rsid w:val="00DA7197"/>
    <w:rsid w:val="00DA71A8"/>
    <w:rsid w:val="00DA71DC"/>
    <w:rsid w:val="00DA71E6"/>
    <w:rsid w:val="00DA7295"/>
    <w:rsid w:val="00DA72CD"/>
    <w:rsid w:val="00DA730B"/>
    <w:rsid w:val="00DA7359"/>
    <w:rsid w:val="00DA7367"/>
    <w:rsid w:val="00DA7383"/>
    <w:rsid w:val="00DA7445"/>
    <w:rsid w:val="00DA7468"/>
    <w:rsid w:val="00DA74C5"/>
    <w:rsid w:val="00DA74E3"/>
    <w:rsid w:val="00DA7503"/>
    <w:rsid w:val="00DA7521"/>
    <w:rsid w:val="00DA7562"/>
    <w:rsid w:val="00DA75F2"/>
    <w:rsid w:val="00DA766E"/>
    <w:rsid w:val="00DA76E4"/>
    <w:rsid w:val="00DA76E5"/>
    <w:rsid w:val="00DA76ED"/>
    <w:rsid w:val="00DA7738"/>
    <w:rsid w:val="00DA7745"/>
    <w:rsid w:val="00DA7775"/>
    <w:rsid w:val="00DA77A1"/>
    <w:rsid w:val="00DA7815"/>
    <w:rsid w:val="00DA782C"/>
    <w:rsid w:val="00DA7844"/>
    <w:rsid w:val="00DA7863"/>
    <w:rsid w:val="00DA78EE"/>
    <w:rsid w:val="00DA7932"/>
    <w:rsid w:val="00DA7961"/>
    <w:rsid w:val="00DA799D"/>
    <w:rsid w:val="00DA7A25"/>
    <w:rsid w:val="00DA7A2A"/>
    <w:rsid w:val="00DA7A89"/>
    <w:rsid w:val="00DA7A97"/>
    <w:rsid w:val="00DA7A98"/>
    <w:rsid w:val="00DA7A9E"/>
    <w:rsid w:val="00DA7ACD"/>
    <w:rsid w:val="00DA7AE2"/>
    <w:rsid w:val="00DA7B11"/>
    <w:rsid w:val="00DA7B19"/>
    <w:rsid w:val="00DA7B29"/>
    <w:rsid w:val="00DA7BAD"/>
    <w:rsid w:val="00DA7BCF"/>
    <w:rsid w:val="00DA7C08"/>
    <w:rsid w:val="00DA7C0C"/>
    <w:rsid w:val="00DA7C54"/>
    <w:rsid w:val="00DA7CEA"/>
    <w:rsid w:val="00DA7D04"/>
    <w:rsid w:val="00DA7D12"/>
    <w:rsid w:val="00DA7D1F"/>
    <w:rsid w:val="00DA7D53"/>
    <w:rsid w:val="00DA7D77"/>
    <w:rsid w:val="00DA7D84"/>
    <w:rsid w:val="00DA7D9B"/>
    <w:rsid w:val="00DA7DA5"/>
    <w:rsid w:val="00DA7DF8"/>
    <w:rsid w:val="00DA7E15"/>
    <w:rsid w:val="00DA7E20"/>
    <w:rsid w:val="00DA7E2C"/>
    <w:rsid w:val="00DA7E69"/>
    <w:rsid w:val="00DA7ECA"/>
    <w:rsid w:val="00DA7F62"/>
    <w:rsid w:val="00DA7F96"/>
    <w:rsid w:val="00DA7FD4"/>
    <w:rsid w:val="00DA7FDA"/>
    <w:rsid w:val="00DB000A"/>
    <w:rsid w:val="00DB0051"/>
    <w:rsid w:val="00DB00CC"/>
    <w:rsid w:val="00DB0134"/>
    <w:rsid w:val="00DB013E"/>
    <w:rsid w:val="00DB0140"/>
    <w:rsid w:val="00DB014B"/>
    <w:rsid w:val="00DB0158"/>
    <w:rsid w:val="00DB01B1"/>
    <w:rsid w:val="00DB01F9"/>
    <w:rsid w:val="00DB0218"/>
    <w:rsid w:val="00DB0246"/>
    <w:rsid w:val="00DB026E"/>
    <w:rsid w:val="00DB0289"/>
    <w:rsid w:val="00DB028A"/>
    <w:rsid w:val="00DB02D7"/>
    <w:rsid w:val="00DB03A5"/>
    <w:rsid w:val="00DB03CA"/>
    <w:rsid w:val="00DB0495"/>
    <w:rsid w:val="00DB04A3"/>
    <w:rsid w:val="00DB04EA"/>
    <w:rsid w:val="00DB04F2"/>
    <w:rsid w:val="00DB04F7"/>
    <w:rsid w:val="00DB0530"/>
    <w:rsid w:val="00DB053B"/>
    <w:rsid w:val="00DB05CF"/>
    <w:rsid w:val="00DB05E3"/>
    <w:rsid w:val="00DB061B"/>
    <w:rsid w:val="00DB0634"/>
    <w:rsid w:val="00DB0654"/>
    <w:rsid w:val="00DB0659"/>
    <w:rsid w:val="00DB0677"/>
    <w:rsid w:val="00DB0693"/>
    <w:rsid w:val="00DB06AD"/>
    <w:rsid w:val="00DB0753"/>
    <w:rsid w:val="00DB07AB"/>
    <w:rsid w:val="00DB07E4"/>
    <w:rsid w:val="00DB07EC"/>
    <w:rsid w:val="00DB07FB"/>
    <w:rsid w:val="00DB0801"/>
    <w:rsid w:val="00DB0840"/>
    <w:rsid w:val="00DB08A2"/>
    <w:rsid w:val="00DB08A9"/>
    <w:rsid w:val="00DB08D5"/>
    <w:rsid w:val="00DB098C"/>
    <w:rsid w:val="00DB09DB"/>
    <w:rsid w:val="00DB09E9"/>
    <w:rsid w:val="00DB0A19"/>
    <w:rsid w:val="00DB0AB9"/>
    <w:rsid w:val="00DB0B79"/>
    <w:rsid w:val="00DB0BAB"/>
    <w:rsid w:val="00DB0BE2"/>
    <w:rsid w:val="00DB0C29"/>
    <w:rsid w:val="00DB0C96"/>
    <w:rsid w:val="00DB0CD2"/>
    <w:rsid w:val="00DB0CE5"/>
    <w:rsid w:val="00DB0CED"/>
    <w:rsid w:val="00DB0D2A"/>
    <w:rsid w:val="00DB0D2D"/>
    <w:rsid w:val="00DB0D47"/>
    <w:rsid w:val="00DB0D58"/>
    <w:rsid w:val="00DB0DB1"/>
    <w:rsid w:val="00DB0DC1"/>
    <w:rsid w:val="00DB0E2C"/>
    <w:rsid w:val="00DB0E37"/>
    <w:rsid w:val="00DB0F68"/>
    <w:rsid w:val="00DB0FAA"/>
    <w:rsid w:val="00DB0FAD"/>
    <w:rsid w:val="00DB0FBB"/>
    <w:rsid w:val="00DB0FC4"/>
    <w:rsid w:val="00DB104D"/>
    <w:rsid w:val="00DB107E"/>
    <w:rsid w:val="00DB1080"/>
    <w:rsid w:val="00DB1109"/>
    <w:rsid w:val="00DB116F"/>
    <w:rsid w:val="00DB1184"/>
    <w:rsid w:val="00DB11AF"/>
    <w:rsid w:val="00DB120E"/>
    <w:rsid w:val="00DB122A"/>
    <w:rsid w:val="00DB1274"/>
    <w:rsid w:val="00DB12D3"/>
    <w:rsid w:val="00DB1350"/>
    <w:rsid w:val="00DB13CF"/>
    <w:rsid w:val="00DB144D"/>
    <w:rsid w:val="00DB14A3"/>
    <w:rsid w:val="00DB14C3"/>
    <w:rsid w:val="00DB14F7"/>
    <w:rsid w:val="00DB158D"/>
    <w:rsid w:val="00DB159C"/>
    <w:rsid w:val="00DB15EF"/>
    <w:rsid w:val="00DB1673"/>
    <w:rsid w:val="00DB16D0"/>
    <w:rsid w:val="00DB16E8"/>
    <w:rsid w:val="00DB16F2"/>
    <w:rsid w:val="00DB16FD"/>
    <w:rsid w:val="00DB1702"/>
    <w:rsid w:val="00DB175B"/>
    <w:rsid w:val="00DB179F"/>
    <w:rsid w:val="00DB17A9"/>
    <w:rsid w:val="00DB17C2"/>
    <w:rsid w:val="00DB17F0"/>
    <w:rsid w:val="00DB180A"/>
    <w:rsid w:val="00DB1838"/>
    <w:rsid w:val="00DB1889"/>
    <w:rsid w:val="00DB18C2"/>
    <w:rsid w:val="00DB18D5"/>
    <w:rsid w:val="00DB190A"/>
    <w:rsid w:val="00DB191C"/>
    <w:rsid w:val="00DB193D"/>
    <w:rsid w:val="00DB1981"/>
    <w:rsid w:val="00DB19C5"/>
    <w:rsid w:val="00DB19D9"/>
    <w:rsid w:val="00DB1A1C"/>
    <w:rsid w:val="00DB1A90"/>
    <w:rsid w:val="00DB1AA9"/>
    <w:rsid w:val="00DB1ACA"/>
    <w:rsid w:val="00DB1B27"/>
    <w:rsid w:val="00DB1B46"/>
    <w:rsid w:val="00DB1BD6"/>
    <w:rsid w:val="00DB1C42"/>
    <w:rsid w:val="00DB1C5A"/>
    <w:rsid w:val="00DB1CAA"/>
    <w:rsid w:val="00DB1CE2"/>
    <w:rsid w:val="00DB1D09"/>
    <w:rsid w:val="00DB1D97"/>
    <w:rsid w:val="00DB1DA2"/>
    <w:rsid w:val="00DB1DC3"/>
    <w:rsid w:val="00DB1DD3"/>
    <w:rsid w:val="00DB1DD7"/>
    <w:rsid w:val="00DB1DF4"/>
    <w:rsid w:val="00DB1E12"/>
    <w:rsid w:val="00DB1E43"/>
    <w:rsid w:val="00DB1E44"/>
    <w:rsid w:val="00DB1E6F"/>
    <w:rsid w:val="00DB1FE3"/>
    <w:rsid w:val="00DB2011"/>
    <w:rsid w:val="00DB20C8"/>
    <w:rsid w:val="00DB20EE"/>
    <w:rsid w:val="00DB20F4"/>
    <w:rsid w:val="00DB20F5"/>
    <w:rsid w:val="00DB2121"/>
    <w:rsid w:val="00DB213F"/>
    <w:rsid w:val="00DB2153"/>
    <w:rsid w:val="00DB2193"/>
    <w:rsid w:val="00DB21B1"/>
    <w:rsid w:val="00DB21B8"/>
    <w:rsid w:val="00DB2246"/>
    <w:rsid w:val="00DB2273"/>
    <w:rsid w:val="00DB2277"/>
    <w:rsid w:val="00DB22E0"/>
    <w:rsid w:val="00DB2304"/>
    <w:rsid w:val="00DB2316"/>
    <w:rsid w:val="00DB2409"/>
    <w:rsid w:val="00DB2438"/>
    <w:rsid w:val="00DB2505"/>
    <w:rsid w:val="00DB2519"/>
    <w:rsid w:val="00DB2529"/>
    <w:rsid w:val="00DB2537"/>
    <w:rsid w:val="00DB256D"/>
    <w:rsid w:val="00DB25C8"/>
    <w:rsid w:val="00DB262C"/>
    <w:rsid w:val="00DB264F"/>
    <w:rsid w:val="00DB2652"/>
    <w:rsid w:val="00DB2690"/>
    <w:rsid w:val="00DB26C3"/>
    <w:rsid w:val="00DB26CF"/>
    <w:rsid w:val="00DB273D"/>
    <w:rsid w:val="00DB2781"/>
    <w:rsid w:val="00DB2806"/>
    <w:rsid w:val="00DB28EE"/>
    <w:rsid w:val="00DB2901"/>
    <w:rsid w:val="00DB2919"/>
    <w:rsid w:val="00DB291F"/>
    <w:rsid w:val="00DB29B2"/>
    <w:rsid w:val="00DB2A19"/>
    <w:rsid w:val="00DB2B31"/>
    <w:rsid w:val="00DB2B53"/>
    <w:rsid w:val="00DB2BC5"/>
    <w:rsid w:val="00DB2BF1"/>
    <w:rsid w:val="00DB2BF2"/>
    <w:rsid w:val="00DB2BFD"/>
    <w:rsid w:val="00DB2C1E"/>
    <w:rsid w:val="00DB2C27"/>
    <w:rsid w:val="00DB2C3A"/>
    <w:rsid w:val="00DB2D27"/>
    <w:rsid w:val="00DB2D5F"/>
    <w:rsid w:val="00DB2DA4"/>
    <w:rsid w:val="00DB2DE5"/>
    <w:rsid w:val="00DB2E59"/>
    <w:rsid w:val="00DB2E80"/>
    <w:rsid w:val="00DB2EAC"/>
    <w:rsid w:val="00DB2EC3"/>
    <w:rsid w:val="00DB2EDF"/>
    <w:rsid w:val="00DB2F05"/>
    <w:rsid w:val="00DB2F50"/>
    <w:rsid w:val="00DB2F9B"/>
    <w:rsid w:val="00DB2FAA"/>
    <w:rsid w:val="00DB304B"/>
    <w:rsid w:val="00DB30C6"/>
    <w:rsid w:val="00DB3159"/>
    <w:rsid w:val="00DB3206"/>
    <w:rsid w:val="00DB321A"/>
    <w:rsid w:val="00DB3221"/>
    <w:rsid w:val="00DB322D"/>
    <w:rsid w:val="00DB324E"/>
    <w:rsid w:val="00DB3271"/>
    <w:rsid w:val="00DB32F5"/>
    <w:rsid w:val="00DB330F"/>
    <w:rsid w:val="00DB33E4"/>
    <w:rsid w:val="00DB340B"/>
    <w:rsid w:val="00DB341D"/>
    <w:rsid w:val="00DB347E"/>
    <w:rsid w:val="00DB3485"/>
    <w:rsid w:val="00DB34E6"/>
    <w:rsid w:val="00DB34E8"/>
    <w:rsid w:val="00DB34F6"/>
    <w:rsid w:val="00DB357E"/>
    <w:rsid w:val="00DB3598"/>
    <w:rsid w:val="00DB362E"/>
    <w:rsid w:val="00DB3766"/>
    <w:rsid w:val="00DB3790"/>
    <w:rsid w:val="00DB37D9"/>
    <w:rsid w:val="00DB37FC"/>
    <w:rsid w:val="00DB3827"/>
    <w:rsid w:val="00DB3896"/>
    <w:rsid w:val="00DB38A8"/>
    <w:rsid w:val="00DB3996"/>
    <w:rsid w:val="00DB399F"/>
    <w:rsid w:val="00DB39E8"/>
    <w:rsid w:val="00DB3A23"/>
    <w:rsid w:val="00DB3A47"/>
    <w:rsid w:val="00DB3A4B"/>
    <w:rsid w:val="00DB3A62"/>
    <w:rsid w:val="00DB3A77"/>
    <w:rsid w:val="00DB3A7D"/>
    <w:rsid w:val="00DB3A81"/>
    <w:rsid w:val="00DB3AB8"/>
    <w:rsid w:val="00DB3C1C"/>
    <w:rsid w:val="00DB3C26"/>
    <w:rsid w:val="00DB3C40"/>
    <w:rsid w:val="00DB3C45"/>
    <w:rsid w:val="00DB3C5A"/>
    <w:rsid w:val="00DB3C7F"/>
    <w:rsid w:val="00DB3C88"/>
    <w:rsid w:val="00DB3CC3"/>
    <w:rsid w:val="00DB3CE1"/>
    <w:rsid w:val="00DB3D0C"/>
    <w:rsid w:val="00DB3D84"/>
    <w:rsid w:val="00DB3DA8"/>
    <w:rsid w:val="00DB3DB1"/>
    <w:rsid w:val="00DB3E8E"/>
    <w:rsid w:val="00DB3EE3"/>
    <w:rsid w:val="00DB3F1B"/>
    <w:rsid w:val="00DB4092"/>
    <w:rsid w:val="00DB40C7"/>
    <w:rsid w:val="00DB40CE"/>
    <w:rsid w:val="00DB40E5"/>
    <w:rsid w:val="00DB4143"/>
    <w:rsid w:val="00DB417D"/>
    <w:rsid w:val="00DB4180"/>
    <w:rsid w:val="00DB4225"/>
    <w:rsid w:val="00DB4226"/>
    <w:rsid w:val="00DB4232"/>
    <w:rsid w:val="00DB4269"/>
    <w:rsid w:val="00DB427F"/>
    <w:rsid w:val="00DB42BF"/>
    <w:rsid w:val="00DB42C6"/>
    <w:rsid w:val="00DB4400"/>
    <w:rsid w:val="00DB4431"/>
    <w:rsid w:val="00DB4433"/>
    <w:rsid w:val="00DB4466"/>
    <w:rsid w:val="00DB4491"/>
    <w:rsid w:val="00DB4505"/>
    <w:rsid w:val="00DB4523"/>
    <w:rsid w:val="00DB4542"/>
    <w:rsid w:val="00DB4560"/>
    <w:rsid w:val="00DB4577"/>
    <w:rsid w:val="00DB4599"/>
    <w:rsid w:val="00DB45A2"/>
    <w:rsid w:val="00DB462A"/>
    <w:rsid w:val="00DB4661"/>
    <w:rsid w:val="00DB46AB"/>
    <w:rsid w:val="00DB46B1"/>
    <w:rsid w:val="00DB471A"/>
    <w:rsid w:val="00DB4730"/>
    <w:rsid w:val="00DB47EF"/>
    <w:rsid w:val="00DB4861"/>
    <w:rsid w:val="00DB489D"/>
    <w:rsid w:val="00DB4A46"/>
    <w:rsid w:val="00DB4AE5"/>
    <w:rsid w:val="00DB4B2B"/>
    <w:rsid w:val="00DB4C85"/>
    <w:rsid w:val="00DB4D00"/>
    <w:rsid w:val="00DB4D1F"/>
    <w:rsid w:val="00DB4D35"/>
    <w:rsid w:val="00DB4D6E"/>
    <w:rsid w:val="00DB4D92"/>
    <w:rsid w:val="00DB4E15"/>
    <w:rsid w:val="00DB4E1F"/>
    <w:rsid w:val="00DB4E5E"/>
    <w:rsid w:val="00DB4E76"/>
    <w:rsid w:val="00DB4E9D"/>
    <w:rsid w:val="00DB4F4F"/>
    <w:rsid w:val="00DB4FB5"/>
    <w:rsid w:val="00DB4FEB"/>
    <w:rsid w:val="00DB4FEC"/>
    <w:rsid w:val="00DB503A"/>
    <w:rsid w:val="00DB5043"/>
    <w:rsid w:val="00DB5081"/>
    <w:rsid w:val="00DB5089"/>
    <w:rsid w:val="00DB50D7"/>
    <w:rsid w:val="00DB5136"/>
    <w:rsid w:val="00DB519A"/>
    <w:rsid w:val="00DB51CA"/>
    <w:rsid w:val="00DB5201"/>
    <w:rsid w:val="00DB5210"/>
    <w:rsid w:val="00DB5268"/>
    <w:rsid w:val="00DB527E"/>
    <w:rsid w:val="00DB52AC"/>
    <w:rsid w:val="00DB52B9"/>
    <w:rsid w:val="00DB533A"/>
    <w:rsid w:val="00DB537E"/>
    <w:rsid w:val="00DB53BF"/>
    <w:rsid w:val="00DB54A9"/>
    <w:rsid w:val="00DB5547"/>
    <w:rsid w:val="00DB55B0"/>
    <w:rsid w:val="00DB55D6"/>
    <w:rsid w:val="00DB566A"/>
    <w:rsid w:val="00DB5676"/>
    <w:rsid w:val="00DB5755"/>
    <w:rsid w:val="00DB5798"/>
    <w:rsid w:val="00DB57AA"/>
    <w:rsid w:val="00DB589E"/>
    <w:rsid w:val="00DB58BD"/>
    <w:rsid w:val="00DB58ED"/>
    <w:rsid w:val="00DB5900"/>
    <w:rsid w:val="00DB5950"/>
    <w:rsid w:val="00DB595C"/>
    <w:rsid w:val="00DB59CB"/>
    <w:rsid w:val="00DB59F7"/>
    <w:rsid w:val="00DB5A40"/>
    <w:rsid w:val="00DB5A56"/>
    <w:rsid w:val="00DB5A63"/>
    <w:rsid w:val="00DB5A85"/>
    <w:rsid w:val="00DB5A95"/>
    <w:rsid w:val="00DB5AD9"/>
    <w:rsid w:val="00DB5AF8"/>
    <w:rsid w:val="00DB5B3C"/>
    <w:rsid w:val="00DB5B8E"/>
    <w:rsid w:val="00DB5B92"/>
    <w:rsid w:val="00DB5C16"/>
    <w:rsid w:val="00DB5C79"/>
    <w:rsid w:val="00DB5C80"/>
    <w:rsid w:val="00DB5CB4"/>
    <w:rsid w:val="00DB5D35"/>
    <w:rsid w:val="00DB5D9E"/>
    <w:rsid w:val="00DB5DC6"/>
    <w:rsid w:val="00DB5DE2"/>
    <w:rsid w:val="00DB5E26"/>
    <w:rsid w:val="00DB5E4B"/>
    <w:rsid w:val="00DB5EAF"/>
    <w:rsid w:val="00DB5EE1"/>
    <w:rsid w:val="00DB5EF7"/>
    <w:rsid w:val="00DB5F24"/>
    <w:rsid w:val="00DB5F35"/>
    <w:rsid w:val="00DB5F51"/>
    <w:rsid w:val="00DB5F52"/>
    <w:rsid w:val="00DB5F6F"/>
    <w:rsid w:val="00DB5F9C"/>
    <w:rsid w:val="00DB5FC4"/>
    <w:rsid w:val="00DB608E"/>
    <w:rsid w:val="00DB6097"/>
    <w:rsid w:val="00DB609C"/>
    <w:rsid w:val="00DB60C9"/>
    <w:rsid w:val="00DB60CD"/>
    <w:rsid w:val="00DB611F"/>
    <w:rsid w:val="00DB61B4"/>
    <w:rsid w:val="00DB61B9"/>
    <w:rsid w:val="00DB61BB"/>
    <w:rsid w:val="00DB623D"/>
    <w:rsid w:val="00DB6243"/>
    <w:rsid w:val="00DB629B"/>
    <w:rsid w:val="00DB62B3"/>
    <w:rsid w:val="00DB6345"/>
    <w:rsid w:val="00DB637A"/>
    <w:rsid w:val="00DB6398"/>
    <w:rsid w:val="00DB63C6"/>
    <w:rsid w:val="00DB63CF"/>
    <w:rsid w:val="00DB6405"/>
    <w:rsid w:val="00DB640E"/>
    <w:rsid w:val="00DB6469"/>
    <w:rsid w:val="00DB64F5"/>
    <w:rsid w:val="00DB6507"/>
    <w:rsid w:val="00DB650C"/>
    <w:rsid w:val="00DB6510"/>
    <w:rsid w:val="00DB6512"/>
    <w:rsid w:val="00DB653B"/>
    <w:rsid w:val="00DB653D"/>
    <w:rsid w:val="00DB6551"/>
    <w:rsid w:val="00DB65AE"/>
    <w:rsid w:val="00DB65C8"/>
    <w:rsid w:val="00DB65D4"/>
    <w:rsid w:val="00DB65E7"/>
    <w:rsid w:val="00DB66AB"/>
    <w:rsid w:val="00DB66B7"/>
    <w:rsid w:val="00DB6774"/>
    <w:rsid w:val="00DB67BE"/>
    <w:rsid w:val="00DB682F"/>
    <w:rsid w:val="00DB6884"/>
    <w:rsid w:val="00DB6923"/>
    <w:rsid w:val="00DB693B"/>
    <w:rsid w:val="00DB69A9"/>
    <w:rsid w:val="00DB6A42"/>
    <w:rsid w:val="00DB6A76"/>
    <w:rsid w:val="00DB6A90"/>
    <w:rsid w:val="00DB6AAE"/>
    <w:rsid w:val="00DB6ADB"/>
    <w:rsid w:val="00DB6B69"/>
    <w:rsid w:val="00DB6BB9"/>
    <w:rsid w:val="00DB6BC1"/>
    <w:rsid w:val="00DB6BD6"/>
    <w:rsid w:val="00DB6C02"/>
    <w:rsid w:val="00DB6CC0"/>
    <w:rsid w:val="00DB6CD2"/>
    <w:rsid w:val="00DB6D19"/>
    <w:rsid w:val="00DB6D30"/>
    <w:rsid w:val="00DB6D31"/>
    <w:rsid w:val="00DB6D3C"/>
    <w:rsid w:val="00DB6D7D"/>
    <w:rsid w:val="00DB6DB1"/>
    <w:rsid w:val="00DB6DEC"/>
    <w:rsid w:val="00DB6E02"/>
    <w:rsid w:val="00DB6E1D"/>
    <w:rsid w:val="00DB6E2B"/>
    <w:rsid w:val="00DB6E4C"/>
    <w:rsid w:val="00DB6F26"/>
    <w:rsid w:val="00DB6F4A"/>
    <w:rsid w:val="00DB6F4E"/>
    <w:rsid w:val="00DB6F8C"/>
    <w:rsid w:val="00DB6FFE"/>
    <w:rsid w:val="00DB7055"/>
    <w:rsid w:val="00DB707E"/>
    <w:rsid w:val="00DB7088"/>
    <w:rsid w:val="00DB70AE"/>
    <w:rsid w:val="00DB7119"/>
    <w:rsid w:val="00DB7136"/>
    <w:rsid w:val="00DB714E"/>
    <w:rsid w:val="00DB71A2"/>
    <w:rsid w:val="00DB71F2"/>
    <w:rsid w:val="00DB722E"/>
    <w:rsid w:val="00DB7268"/>
    <w:rsid w:val="00DB7269"/>
    <w:rsid w:val="00DB7274"/>
    <w:rsid w:val="00DB7281"/>
    <w:rsid w:val="00DB72EE"/>
    <w:rsid w:val="00DB72FD"/>
    <w:rsid w:val="00DB7352"/>
    <w:rsid w:val="00DB73C1"/>
    <w:rsid w:val="00DB73DA"/>
    <w:rsid w:val="00DB73DC"/>
    <w:rsid w:val="00DB73E8"/>
    <w:rsid w:val="00DB74E2"/>
    <w:rsid w:val="00DB74FE"/>
    <w:rsid w:val="00DB7537"/>
    <w:rsid w:val="00DB7599"/>
    <w:rsid w:val="00DB75EE"/>
    <w:rsid w:val="00DB75F5"/>
    <w:rsid w:val="00DB7610"/>
    <w:rsid w:val="00DB7632"/>
    <w:rsid w:val="00DB7661"/>
    <w:rsid w:val="00DB76AF"/>
    <w:rsid w:val="00DB76B7"/>
    <w:rsid w:val="00DB76BB"/>
    <w:rsid w:val="00DB76DB"/>
    <w:rsid w:val="00DB77B9"/>
    <w:rsid w:val="00DB780F"/>
    <w:rsid w:val="00DB7820"/>
    <w:rsid w:val="00DB782B"/>
    <w:rsid w:val="00DB790C"/>
    <w:rsid w:val="00DB790F"/>
    <w:rsid w:val="00DB7984"/>
    <w:rsid w:val="00DB79AD"/>
    <w:rsid w:val="00DB79B1"/>
    <w:rsid w:val="00DB7A0F"/>
    <w:rsid w:val="00DB7AA9"/>
    <w:rsid w:val="00DB7B5F"/>
    <w:rsid w:val="00DB7BB8"/>
    <w:rsid w:val="00DB7BCD"/>
    <w:rsid w:val="00DB7BD1"/>
    <w:rsid w:val="00DB7BEB"/>
    <w:rsid w:val="00DB7C24"/>
    <w:rsid w:val="00DB7C2D"/>
    <w:rsid w:val="00DB7C57"/>
    <w:rsid w:val="00DB7C58"/>
    <w:rsid w:val="00DB7D6D"/>
    <w:rsid w:val="00DB7D72"/>
    <w:rsid w:val="00DB7E3F"/>
    <w:rsid w:val="00DB7E59"/>
    <w:rsid w:val="00DB7E5C"/>
    <w:rsid w:val="00DB7EB0"/>
    <w:rsid w:val="00DB7EC1"/>
    <w:rsid w:val="00DB7EE2"/>
    <w:rsid w:val="00DB7F85"/>
    <w:rsid w:val="00DB7FD4"/>
    <w:rsid w:val="00DC0107"/>
    <w:rsid w:val="00DC012E"/>
    <w:rsid w:val="00DC0134"/>
    <w:rsid w:val="00DC01A6"/>
    <w:rsid w:val="00DC01F3"/>
    <w:rsid w:val="00DC0309"/>
    <w:rsid w:val="00DC031A"/>
    <w:rsid w:val="00DC0333"/>
    <w:rsid w:val="00DC041F"/>
    <w:rsid w:val="00DC047F"/>
    <w:rsid w:val="00DC04A4"/>
    <w:rsid w:val="00DC04CF"/>
    <w:rsid w:val="00DC050D"/>
    <w:rsid w:val="00DC0546"/>
    <w:rsid w:val="00DC054D"/>
    <w:rsid w:val="00DC05BB"/>
    <w:rsid w:val="00DC05C4"/>
    <w:rsid w:val="00DC05E3"/>
    <w:rsid w:val="00DC0627"/>
    <w:rsid w:val="00DC0640"/>
    <w:rsid w:val="00DC071E"/>
    <w:rsid w:val="00DC0733"/>
    <w:rsid w:val="00DC0771"/>
    <w:rsid w:val="00DC07A2"/>
    <w:rsid w:val="00DC0856"/>
    <w:rsid w:val="00DC089A"/>
    <w:rsid w:val="00DC08B9"/>
    <w:rsid w:val="00DC0922"/>
    <w:rsid w:val="00DC094B"/>
    <w:rsid w:val="00DC0A44"/>
    <w:rsid w:val="00DC0A79"/>
    <w:rsid w:val="00DC0A8E"/>
    <w:rsid w:val="00DC0AAD"/>
    <w:rsid w:val="00DC0ABB"/>
    <w:rsid w:val="00DC0ACF"/>
    <w:rsid w:val="00DC0AF2"/>
    <w:rsid w:val="00DC0B00"/>
    <w:rsid w:val="00DC0B75"/>
    <w:rsid w:val="00DC0B94"/>
    <w:rsid w:val="00DC0BBC"/>
    <w:rsid w:val="00DC0C6B"/>
    <w:rsid w:val="00DC0C7D"/>
    <w:rsid w:val="00DC0CA6"/>
    <w:rsid w:val="00DC0CB1"/>
    <w:rsid w:val="00DC0CCD"/>
    <w:rsid w:val="00DC0CF8"/>
    <w:rsid w:val="00DC0D62"/>
    <w:rsid w:val="00DC0DFF"/>
    <w:rsid w:val="00DC0E20"/>
    <w:rsid w:val="00DC0E5C"/>
    <w:rsid w:val="00DC0E5F"/>
    <w:rsid w:val="00DC0EBC"/>
    <w:rsid w:val="00DC0EFA"/>
    <w:rsid w:val="00DC0F2E"/>
    <w:rsid w:val="00DC0FF6"/>
    <w:rsid w:val="00DC103F"/>
    <w:rsid w:val="00DC106A"/>
    <w:rsid w:val="00DC10A1"/>
    <w:rsid w:val="00DC10CD"/>
    <w:rsid w:val="00DC1101"/>
    <w:rsid w:val="00DC119A"/>
    <w:rsid w:val="00DC119C"/>
    <w:rsid w:val="00DC11D2"/>
    <w:rsid w:val="00DC11E8"/>
    <w:rsid w:val="00DC120A"/>
    <w:rsid w:val="00DC1213"/>
    <w:rsid w:val="00DC1260"/>
    <w:rsid w:val="00DC1281"/>
    <w:rsid w:val="00DC12DE"/>
    <w:rsid w:val="00DC12EC"/>
    <w:rsid w:val="00DC12FF"/>
    <w:rsid w:val="00DC1350"/>
    <w:rsid w:val="00DC1369"/>
    <w:rsid w:val="00DC1403"/>
    <w:rsid w:val="00DC1546"/>
    <w:rsid w:val="00DC157A"/>
    <w:rsid w:val="00DC158E"/>
    <w:rsid w:val="00DC1590"/>
    <w:rsid w:val="00DC1605"/>
    <w:rsid w:val="00DC16E6"/>
    <w:rsid w:val="00DC16FF"/>
    <w:rsid w:val="00DC175E"/>
    <w:rsid w:val="00DC180E"/>
    <w:rsid w:val="00DC1838"/>
    <w:rsid w:val="00DC1930"/>
    <w:rsid w:val="00DC1956"/>
    <w:rsid w:val="00DC19E0"/>
    <w:rsid w:val="00DC19F3"/>
    <w:rsid w:val="00DC1A10"/>
    <w:rsid w:val="00DC1A29"/>
    <w:rsid w:val="00DC1A42"/>
    <w:rsid w:val="00DC1A83"/>
    <w:rsid w:val="00DC1B0C"/>
    <w:rsid w:val="00DC1B19"/>
    <w:rsid w:val="00DC1B38"/>
    <w:rsid w:val="00DC1B71"/>
    <w:rsid w:val="00DC1BF0"/>
    <w:rsid w:val="00DC1C05"/>
    <w:rsid w:val="00DC1C2B"/>
    <w:rsid w:val="00DC1C2F"/>
    <w:rsid w:val="00DC1CD1"/>
    <w:rsid w:val="00DC1D20"/>
    <w:rsid w:val="00DC1D4D"/>
    <w:rsid w:val="00DC1D83"/>
    <w:rsid w:val="00DC1E02"/>
    <w:rsid w:val="00DC1E13"/>
    <w:rsid w:val="00DC1E80"/>
    <w:rsid w:val="00DC1E81"/>
    <w:rsid w:val="00DC1EA8"/>
    <w:rsid w:val="00DC1EC6"/>
    <w:rsid w:val="00DC1F26"/>
    <w:rsid w:val="00DC1F81"/>
    <w:rsid w:val="00DC2041"/>
    <w:rsid w:val="00DC2196"/>
    <w:rsid w:val="00DC21AE"/>
    <w:rsid w:val="00DC21DA"/>
    <w:rsid w:val="00DC2221"/>
    <w:rsid w:val="00DC2227"/>
    <w:rsid w:val="00DC22F9"/>
    <w:rsid w:val="00DC232D"/>
    <w:rsid w:val="00DC244C"/>
    <w:rsid w:val="00DC24DE"/>
    <w:rsid w:val="00DC2554"/>
    <w:rsid w:val="00DC258C"/>
    <w:rsid w:val="00DC25DD"/>
    <w:rsid w:val="00DC264E"/>
    <w:rsid w:val="00DC26D3"/>
    <w:rsid w:val="00DC279D"/>
    <w:rsid w:val="00DC27C5"/>
    <w:rsid w:val="00DC27E1"/>
    <w:rsid w:val="00DC27EF"/>
    <w:rsid w:val="00DC2879"/>
    <w:rsid w:val="00DC28B2"/>
    <w:rsid w:val="00DC28F8"/>
    <w:rsid w:val="00DC2943"/>
    <w:rsid w:val="00DC29DB"/>
    <w:rsid w:val="00DC2A2D"/>
    <w:rsid w:val="00DC2A3C"/>
    <w:rsid w:val="00DC2A54"/>
    <w:rsid w:val="00DC2B0F"/>
    <w:rsid w:val="00DC2B43"/>
    <w:rsid w:val="00DC2BFF"/>
    <w:rsid w:val="00DC2C54"/>
    <w:rsid w:val="00DC2C66"/>
    <w:rsid w:val="00DC2C72"/>
    <w:rsid w:val="00DC2C76"/>
    <w:rsid w:val="00DC2D22"/>
    <w:rsid w:val="00DC2D3C"/>
    <w:rsid w:val="00DC2D57"/>
    <w:rsid w:val="00DC2D86"/>
    <w:rsid w:val="00DC2DBF"/>
    <w:rsid w:val="00DC2E35"/>
    <w:rsid w:val="00DC2E51"/>
    <w:rsid w:val="00DC2E7A"/>
    <w:rsid w:val="00DC2E8A"/>
    <w:rsid w:val="00DC2EA0"/>
    <w:rsid w:val="00DC2ED6"/>
    <w:rsid w:val="00DC2F76"/>
    <w:rsid w:val="00DC2F7F"/>
    <w:rsid w:val="00DC2FA1"/>
    <w:rsid w:val="00DC2FC4"/>
    <w:rsid w:val="00DC2FCD"/>
    <w:rsid w:val="00DC2FFA"/>
    <w:rsid w:val="00DC300D"/>
    <w:rsid w:val="00DC301D"/>
    <w:rsid w:val="00DC3020"/>
    <w:rsid w:val="00DC3030"/>
    <w:rsid w:val="00DC3082"/>
    <w:rsid w:val="00DC30F9"/>
    <w:rsid w:val="00DC310A"/>
    <w:rsid w:val="00DC3114"/>
    <w:rsid w:val="00DC311B"/>
    <w:rsid w:val="00DC311F"/>
    <w:rsid w:val="00DC3128"/>
    <w:rsid w:val="00DC3138"/>
    <w:rsid w:val="00DC315C"/>
    <w:rsid w:val="00DC3169"/>
    <w:rsid w:val="00DC316B"/>
    <w:rsid w:val="00DC31D1"/>
    <w:rsid w:val="00DC31F4"/>
    <w:rsid w:val="00DC325E"/>
    <w:rsid w:val="00DC325F"/>
    <w:rsid w:val="00DC32A4"/>
    <w:rsid w:val="00DC32B7"/>
    <w:rsid w:val="00DC32C9"/>
    <w:rsid w:val="00DC334E"/>
    <w:rsid w:val="00DC33D4"/>
    <w:rsid w:val="00DC340A"/>
    <w:rsid w:val="00DC3427"/>
    <w:rsid w:val="00DC343F"/>
    <w:rsid w:val="00DC344D"/>
    <w:rsid w:val="00DC3462"/>
    <w:rsid w:val="00DC34F2"/>
    <w:rsid w:val="00DC3523"/>
    <w:rsid w:val="00DC354B"/>
    <w:rsid w:val="00DC356E"/>
    <w:rsid w:val="00DC357A"/>
    <w:rsid w:val="00DC359E"/>
    <w:rsid w:val="00DC35DD"/>
    <w:rsid w:val="00DC3609"/>
    <w:rsid w:val="00DC36D0"/>
    <w:rsid w:val="00DC36DA"/>
    <w:rsid w:val="00DC3739"/>
    <w:rsid w:val="00DC37AD"/>
    <w:rsid w:val="00DC383F"/>
    <w:rsid w:val="00DC3844"/>
    <w:rsid w:val="00DC3886"/>
    <w:rsid w:val="00DC3A08"/>
    <w:rsid w:val="00DC3A5A"/>
    <w:rsid w:val="00DC3A8E"/>
    <w:rsid w:val="00DC3A99"/>
    <w:rsid w:val="00DC3AB8"/>
    <w:rsid w:val="00DC3ACE"/>
    <w:rsid w:val="00DC3B4E"/>
    <w:rsid w:val="00DC3BAD"/>
    <w:rsid w:val="00DC3BF1"/>
    <w:rsid w:val="00DC3C60"/>
    <w:rsid w:val="00DC3CD1"/>
    <w:rsid w:val="00DC3CF4"/>
    <w:rsid w:val="00DC3D08"/>
    <w:rsid w:val="00DC3D6B"/>
    <w:rsid w:val="00DC3D75"/>
    <w:rsid w:val="00DC3DAD"/>
    <w:rsid w:val="00DC3DC6"/>
    <w:rsid w:val="00DC3E3F"/>
    <w:rsid w:val="00DC3E43"/>
    <w:rsid w:val="00DC3E55"/>
    <w:rsid w:val="00DC3E71"/>
    <w:rsid w:val="00DC3EFA"/>
    <w:rsid w:val="00DC3F12"/>
    <w:rsid w:val="00DC3F2E"/>
    <w:rsid w:val="00DC3F32"/>
    <w:rsid w:val="00DC3F77"/>
    <w:rsid w:val="00DC4016"/>
    <w:rsid w:val="00DC40D5"/>
    <w:rsid w:val="00DC40D6"/>
    <w:rsid w:val="00DC4106"/>
    <w:rsid w:val="00DC4133"/>
    <w:rsid w:val="00DC41DC"/>
    <w:rsid w:val="00DC4275"/>
    <w:rsid w:val="00DC42D8"/>
    <w:rsid w:val="00DC430B"/>
    <w:rsid w:val="00DC432E"/>
    <w:rsid w:val="00DC4335"/>
    <w:rsid w:val="00DC434A"/>
    <w:rsid w:val="00DC436A"/>
    <w:rsid w:val="00DC43AF"/>
    <w:rsid w:val="00DC43D5"/>
    <w:rsid w:val="00DC43E6"/>
    <w:rsid w:val="00DC4469"/>
    <w:rsid w:val="00DC4496"/>
    <w:rsid w:val="00DC44CA"/>
    <w:rsid w:val="00DC450A"/>
    <w:rsid w:val="00DC454E"/>
    <w:rsid w:val="00DC4553"/>
    <w:rsid w:val="00DC4596"/>
    <w:rsid w:val="00DC4597"/>
    <w:rsid w:val="00DC4658"/>
    <w:rsid w:val="00DC4677"/>
    <w:rsid w:val="00DC46AB"/>
    <w:rsid w:val="00DC4738"/>
    <w:rsid w:val="00DC4745"/>
    <w:rsid w:val="00DC4747"/>
    <w:rsid w:val="00DC476E"/>
    <w:rsid w:val="00DC4780"/>
    <w:rsid w:val="00DC47A1"/>
    <w:rsid w:val="00DC485F"/>
    <w:rsid w:val="00DC4905"/>
    <w:rsid w:val="00DC4942"/>
    <w:rsid w:val="00DC4952"/>
    <w:rsid w:val="00DC4977"/>
    <w:rsid w:val="00DC4986"/>
    <w:rsid w:val="00DC498D"/>
    <w:rsid w:val="00DC4ACC"/>
    <w:rsid w:val="00DC4AD6"/>
    <w:rsid w:val="00DC4BA0"/>
    <w:rsid w:val="00DC4C02"/>
    <w:rsid w:val="00DC4C0D"/>
    <w:rsid w:val="00DC4D12"/>
    <w:rsid w:val="00DC4DD7"/>
    <w:rsid w:val="00DC4DE5"/>
    <w:rsid w:val="00DC4DFC"/>
    <w:rsid w:val="00DC4E22"/>
    <w:rsid w:val="00DC4E92"/>
    <w:rsid w:val="00DC4ED9"/>
    <w:rsid w:val="00DC4F14"/>
    <w:rsid w:val="00DC4F47"/>
    <w:rsid w:val="00DC4F56"/>
    <w:rsid w:val="00DC4FD5"/>
    <w:rsid w:val="00DC4FFD"/>
    <w:rsid w:val="00DC5007"/>
    <w:rsid w:val="00DC5083"/>
    <w:rsid w:val="00DC50B2"/>
    <w:rsid w:val="00DC5181"/>
    <w:rsid w:val="00DC5188"/>
    <w:rsid w:val="00DC51B2"/>
    <w:rsid w:val="00DC51EA"/>
    <w:rsid w:val="00DC51EC"/>
    <w:rsid w:val="00DC5209"/>
    <w:rsid w:val="00DC5248"/>
    <w:rsid w:val="00DC5269"/>
    <w:rsid w:val="00DC52AC"/>
    <w:rsid w:val="00DC52EA"/>
    <w:rsid w:val="00DC532A"/>
    <w:rsid w:val="00DC538D"/>
    <w:rsid w:val="00DC5390"/>
    <w:rsid w:val="00DC53C7"/>
    <w:rsid w:val="00DC5466"/>
    <w:rsid w:val="00DC54AE"/>
    <w:rsid w:val="00DC5546"/>
    <w:rsid w:val="00DC557A"/>
    <w:rsid w:val="00DC5590"/>
    <w:rsid w:val="00DC55CD"/>
    <w:rsid w:val="00DC55F7"/>
    <w:rsid w:val="00DC5618"/>
    <w:rsid w:val="00DC5685"/>
    <w:rsid w:val="00DC5702"/>
    <w:rsid w:val="00DC570B"/>
    <w:rsid w:val="00DC5731"/>
    <w:rsid w:val="00DC5759"/>
    <w:rsid w:val="00DC57AA"/>
    <w:rsid w:val="00DC57D4"/>
    <w:rsid w:val="00DC5811"/>
    <w:rsid w:val="00DC5887"/>
    <w:rsid w:val="00DC58F9"/>
    <w:rsid w:val="00DC590B"/>
    <w:rsid w:val="00DC593D"/>
    <w:rsid w:val="00DC597F"/>
    <w:rsid w:val="00DC5A00"/>
    <w:rsid w:val="00DC5A0B"/>
    <w:rsid w:val="00DC5A40"/>
    <w:rsid w:val="00DC5A48"/>
    <w:rsid w:val="00DC5AB1"/>
    <w:rsid w:val="00DC5ABE"/>
    <w:rsid w:val="00DC5B17"/>
    <w:rsid w:val="00DC5B57"/>
    <w:rsid w:val="00DC5BEE"/>
    <w:rsid w:val="00DC5C48"/>
    <w:rsid w:val="00DC5C5A"/>
    <w:rsid w:val="00DC5C8E"/>
    <w:rsid w:val="00DC5C8F"/>
    <w:rsid w:val="00DC5CDD"/>
    <w:rsid w:val="00DC5D83"/>
    <w:rsid w:val="00DC5D9B"/>
    <w:rsid w:val="00DC5DB0"/>
    <w:rsid w:val="00DC5DD0"/>
    <w:rsid w:val="00DC5EE5"/>
    <w:rsid w:val="00DC5EED"/>
    <w:rsid w:val="00DC5F08"/>
    <w:rsid w:val="00DC5F5A"/>
    <w:rsid w:val="00DC5FAE"/>
    <w:rsid w:val="00DC5FC7"/>
    <w:rsid w:val="00DC605A"/>
    <w:rsid w:val="00DC6066"/>
    <w:rsid w:val="00DC60D9"/>
    <w:rsid w:val="00DC6112"/>
    <w:rsid w:val="00DC615A"/>
    <w:rsid w:val="00DC618B"/>
    <w:rsid w:val="00DC61B1"/>
    <w:rsid w:val="00DC621A"/>
    <w:rsid w:val="00DC6228"/>
    <w:rsid w:val="00DC6232"/>
    <w:rsid w:val="00DC628D"/>
    <w:rsid w:val="00DC62AB"/>
    <w:rsid w:val="00DC6303"/>
    <w:rsid w:val="00DC6353"/>
    <w:rsid w:val="00DC636B"/>
    <w:rsid w:val="00DC6397"/>
    <w:rsid w:val="00DC63FD"/>
    <w:rsid w:val="00DC6402"/>
    <w:rsid w:val="00DC6419"/>
    <w:rsid w:val="00DC645A"/>
    <w:rsid w:val="00DC64A3"/>
    <w:rsid w:val="00DC652F"/>
    <w:rsid w:val="00DC6557"/>
    <w:rsid w:val="00DC6626"/>
    <w:rsid w:val="00DC6723"/>
    <w:rsid w:val="00DC6765"/>
    <w:rsid w:val="00DC6777"/>
    <w:rsid w:val="00DC679D"/>
    <w:rsid w:val="00DC67A6"/>
    <w:rsid w:val="00DC67DD"/>
    <w:rsid w:val="00DC6870"/>
    <w:rsid w:val="00DC68CA"/>
    <w:rsid w:val="00DC691B"/>
    <w:rsid w:val="00DC6922"/>
    <w:rsid w:val="00DC692B"/>
    <w:rsid w:val="00DC695B"/>
    <w:rsid w:val="00DC695E"/>
    <w:rsid w:val="00DC695F"/>
    <w:rsid w:val="00DC699D"/>
    <w:rsid w:val="00DC69C1"/>
    <w:rsid w:val="00DC6A07"/>
    <w:rsid w:val="00DC6A0F"/>
    <w:rsid w:val="00DC6A1D"/>
    <w:rsid w:val="00DC6A98"/>
    <w:rsid w:val="00DC6AE2"/>
    <w:rsid w:val="00DC6B03"/>
    <w:rsid w:val="00DC6B2A"/>
    <w:rsid w:val="00DC6BA5"/>
    <w:rsid w:val="00DC6BE5"/>
    <w:rsid w:val="00DC6BEE"/>
    <w:rsid w:val="00DC6C7E"/>
    <w:rsid w:val="00DC6CB5"/>
    <w:rsid w:val="00DC6D94"/>
    <w:rsid w:val="00DC6D96"/>
    <w:rsid w:val="00DC6DC0"/>
    <w:rsid w:val="00DC6E57"/>
    <w:rsid w:val="00DC6E73"/>
    <w:rsid w:val="00DC6E86"/>
    <w:rsid w:val="00DC6EF6"/>
    <w:rsid w:val="00DC6F56"/>
    <w:rsid w:val="00DC6F7E"/>
    <w:rsid w:val="00DC6F98"/>
    <w:rsid w:val="00DC700F"/>
    <w:rsid w:val="00DC707D"/>
    <w:rsid w:val="00DC7083"/>
    <w:rsid w:val="00DC7090"/>
    <w:rsid w:val="00DC709A"/>
    <w:rsid w:val="00DC70AD"/>
    <w:rsid w:val="00DC70E2"/>
    <w:rsid w:val="00DC70F2"/>
    <w:rsid w:val="00DC7124"/>
    <w:rsid w:val="00DC712C"/>
    <w:rsid w:val="00DC7158"/>
    <w:rsid w:val="00DC717B"/>
    <w:rsid w:val="00DC7187"/>
    <w:rsid w:val="00DC71A2"/>
    <w:rsid w:val="00DC71BD"/>
    <w:rsid w:val="00DC71DC"/>
    <w:rsid w:val="00DC71E0"/>
    <w:rsid w:val="00DC71E4"/>
    <w:rsid w:val="00DC71F3"/>
    <w:rsid w:val="00DC721D"/>
    <w:rsid w:val="00DC7229"/>
    <w:rsid w:val="00DC724C"/>
    <w:rsid w:val="00DC7264"/>
    <w:rsid w:val="00DC72A9"/>
    <w:rsid w:val="00DC72D1"/>
    <w:rsid w:val="00DC72EC"/>
    <w:rsid w:val="00DC72F9"/>
    <w:rsid w:val="00DC733A"/>
    <w:rsid w:val="00DC73A8"/>
    <w:rsid w:val="00DC73C4"/>
    <w:rsid w:val="00DC744E"/>
    <w:rsid w:val="00DC74DE"/>
    <w:rsid w:val="00DC751E"/>
    <w:rsid w:val="00DC757A"/>
    <w:rsid w:val="00DC7582"/>
    <w:rsid w:val="00DC7589"/>
    <w:rsid w:val="00DC75BF"/>
    <w:rsid w:val="00DC75CE"/>
    <w:rsid w:val="00DC75F0"/>
    <w:rsid w:val="00DC75FD"/>
    <w:rsid w:val="00DC7667"/>
    <w:rsid w:val="00DC7685"/>
    <w:rsid w:val="00DC76B5"/>
    <w:rsid w:val="00DC76C2"/>
    <w:rsid w:val="00DC7704"/>
    <w:rsid w:val="00DC777C"/>
    <w:rsid w:val="00DC784B"/>
    <w:rsid w:val="00DC7867"/>
    <w:rsid w:val="00DC787D"/>
    <w:rsid w:val="00DC7894"/>
    <w:rsid w:val="00DC78D9"/>
    <w:rsid w:val="00DC791A"/>
    <w:rsid w:val="00DC7A0A"/>
    <w:rsid w:val="00DC7A64"/>
    <w:rsid w:val="00DC7A6E"/>
    <w:rsid w:val="00DC7AD7"/>
    <w:rsid w:val="00DC7B34"/>
    <w:rsid w:val="00DC7B3C"/>
    <w:rsid w:val="00DC7B7A"/>
    <w:rsid w:val="00DC7B8C"/>
    <w:rsid w:val="00DC7CC0"/>
    <w:rsid w:val="00DC7CEE"/>
    <w:rsid w:val="00DC7D2A"/>
    <w:rsid w:val="00DC7DDD"/>
    <w:rsid w:val="00DC7DDE"/>
    <w:rsid w:val="00DC7DFC"/>
    <w:rsid w:val="00DC7E02"/>
    <w:rsid w:val="00DC7E1E"/>
    <w:rsid w:val="00DC7E46"/>
    <w:rsid w:val="00DC7E65"/>
    <w:rsid w:val="00DC7E9C"/>
    <w:rsid w:val="00DC7EF9"/>
    <w:rsid w:val="00DC7F20"/>
    <w:rsid w:val="00DC7F40"/>
    <w:rsid w:val="00DD002F"/>
    <w:rsid w:val="00DD0068"/>
    <w:rsid w:val="00DD00E2"/>
    <w:rsid w:val="00DD0152"/>
    <w:rsid w:val="00DD0200"/>
    <w:rsid w:val="00DD0225"/>
    <w:rsid w:val="00DD02C3"/>
    <w:rsid w:val="00DD0305"/>
    <w:rsid w:val="00DD031E"/>
    <w:rsid w:val="00DD03CC"/>
    <w:rsid w:val="00DD03F7"/>
    <w:rsid w:val="00DD04C3"/>
    <w:rsid w:val="00DD05AA"/>
    <w:rsid w:val="00DD05B8"/>
    <w:rsid w:val="00DD0607"/>
    <w:rsid w:val="00DD06A0"/>
    <w:rsid w:val="00DD06F3"/>
    <w:rsid w:val="00DD074F"/>
    <w:rsid w:val="00DD077C"/>
    <w:rsid w:val="00DD07A9"/>
    <w:rsid w:val="00DD07C6"/>
    <w:rsid w:val="00DD084A"/>
    <w:rsid w:val="00DD085E"/>
    <w:rsid w:val="00DD0886"/>
    <w:rsid w:val="00DD08E7"/>
    <w:rsid w:val="00DD097C"/>
    <w:rsid w:val="00DD09EE"/>
    <w:rsid w:val="00DD09F6"/>
    <w:rsid w:val="00DD0A27"/>
    <w:rsid w:val="00DD0B18"/>
    <w:rsid w:val="00DD0B7C"/>
    <w:rsid w:val="00DD0BB5"/>
    <w:rsid w:val="00DD0BCD"/>
    <w:rsid w:val="00DD0C00"/>
    <w:rsid w:val="00DD0C10"/>
    <w:rsid w:val="00DD0C59"/>
    <w:rsid w:val="00DD0C5F"/>
    <w:rsid w:val="00DD0CE0"/>
    <w:rsid w:val="00DD0CF0"/>
    <w:rsid w:val="00DD0D5E"/>
    <w:rsid w:val="00DD0DD3"/>
    <w:rsid w:val="00DD0E30"/>
    <w:rsid w:val="00DD0E8A"/>
    <w:rsid w:val="00DD0F56"/>
    <w:rsid w:val="00DD0F70"/>
    <w:rsid w:val="00DD0FAC"/>
    <w:rsid w:val="00DD0FDB"/>
    <w:rsid w:val="00DD0FED"/>
    <w:rsid w:val="00DD0FF9"/>
    <w:rsid w:val="00DD1008"/>
    <w:rsid w:val="00DD104A"/>
    <w:rsid w:val="00DD10C5"/>
    <w:rsid w:val="00DD110F"/>
    <w:rsid w:val="00DD1117"/>
    <w:rsid w:val="00DD11C5"/>
    <w:rsid w:val="00DD12CA"/>
    <w:rsid w:val="00DD12EC"/>
    <w:rsid w:val="00DD137E"/>
    <w:rsid w:val="00DD1392"/>
    <w:rsid w:val="00DD1451"/>
    <w:rsid w:val="00DD1470"/>
    <w:rsid w:val="00DD154A"/>
    <w:rsid w:val="00DD154E"/>
    <w:rsid w:val="00DD15B6"/>
    <w:rsid w:val="00DD15E2"/>
    <w:rsid w:val="00DD164E"/>
    <w:rsid w:val="00DD1650"/>
    <w:rsid w:val="00DD16B8"/>
    <w:rsid w:val="00DD16E1"/>
    <w:rsid w:val="00DD16F0"/>
    <w:rsid w:val="00DD170A"/>
    <w:rsid w:val="00DD17B3"/>
    <w:rsid w:val="00DD181D"/>
    <w:rsid w:val="00DD1847"/>
    <w:rsid w:val="00DD18B7"/>
    <w:rsid w:val="00DD18EE"/>
    <w:rsid w:val="00DD18F3"/>
    <w:rsid w:val="00DD1920"/>
    <w:rsid w:val="00DD197C"/>
    <w:rsid w:val="00DD19C5"/>
    <w:rsid w:val="00DD19E9"/>
    <w:rsid w:val="00DD1A0D"/>
    <w:rsid w:val="00DD1A34"/>
    <w:rsid w:val="00DD1A45"/>
    <w:rsid w:val="00DD1A48"/>
    <w:rsid w:val="00DD1AC0"/>
    <w:rsid w:val="00DD1B4E"/>
    <w:rsid w:val="00DD1BA4"/>
    <w:rsid w:val="00DD1BB1"/>
    <w:rsid w:val="00DD1C3F"/>
    <w:rsid w:val="00DD1C52"/>
    <w:rsid w:val="00DD1D04"/>
    <w:rsid w:val="00DD1D05"/>
    <w:rsid w:val="00DD1D47"/>
    <w:rsid w:val="00DD1D93"/>
    <w:rsid w:val="00DD1E71"/>
    <w:rsid w:val="00DD1EA7"/>
    <w:rsid w:val="00DD1EDC"/>
    <w:rsid w:val="00DD1F0A"/>
    <w:rsid w:val="00DD1F3E"/>
    <w:rsid w:val="00DD1F44"/>
    <w:rsid w:val="00DD1FC0"/>
    <w:rsid w:val="00DD2003"/>
    <w:rsid w:val="00DD203B"/>
    <w:rsid w:val="00DD2040"/>
    <w:rsid w:val="00DD204D"/>
    <w:rsid w:val="00DD209F"/>
    <w:rsid w:val="00DD2163"/>
    <w:rsid w:val="00DD2291"/>
    <w:rsid w:val="00DD22C4"/>
    <w:rsid w:val="00DD2336"/>
    <w:rsid w:val="00DD2345"/>
    <w:rsid w:val="00DD2346"/>
    <w:rsid w:val="00DD235C"/>
    <w:rsid w:val="00DD2361"/>
    <w:rsid w:val="00DD2435"/>
    <w:rsid w:val="00DD2439"/>
    <w:rsid w:val="00DD243C"/>
    <w:rsid w:val="00DD2577"/>
    <w:rsid w:val="00DD25CB"/>
    <w:rsid w:val="00DD25F6"/>
    <w:rsid w:val="00DD26C5"/>
    <w:rsid w:val="00DD2748"/>
    <w:rsid w:val="00DD274F"/>
    <w:rsid w:val="00DD2758"/>
    <w:rsid w:val="00DD27B8"/>
    <w:rsid w:val="00DD28ED"/>
    <w:rsid w:val="00DD2958"/>
    <w:rsid w:val="00DD29E9"/>
    <w:rsid w:val="00DD2A0B"/>
    <w:rsid w:val="00DD2A48"/>
    <w:rsid w:val="00DD2A81"/>
    <w:rsid w:val="00DD2A9C"/>
    <w:rsid w:val="00DD2AB3"/>
    <w:rsid w:val="00DD2ACE"/>
    <w:rsid w:val="00DD2AE1"/>
    <w:rsid w:val="00DD2B4F"/>
    <w:rsid w:val="00DD2BA4"/>
    <w:rsid w:val="00DD2BD6"/>
    <w:rsid w:val="00DD2CE6"/>
    <w:rsid w:val="00DD2CF2"/>
    <w:rsid w:val="00DD2D33"/>
    <w:rsid w:val="00DD2D3F"/>
    <w:rsid w:val="00DD2D43"/>
    <w:rsid w:val="00DD2D8D"/>
    <w:rsid w:val="00DD2D90"/>
    <w:rsid w:val="00DD2DB8"/>
    <w:rsid w:val="00DD2DE9"/>
    <w:rsid w:val="00DD2DEC"/>
    <w:rsid w:val="00DD2E7F"/>
    <w:rsid w:val="00DD2F05"/>
    <w:rsid w:val="00DD2F06"/>
    <w:rsid w:val="00DD2F39"/>
    <w:rsid w:val="00DD2FB5"/>
    <w:rsid w:val="00DD2FC9"/>
    <w:rsid w:val="00DD3062"/>
    <w:rsid w:val="00DD30B3"/>
    <w:rsid w:val="00DD30BC"/>
    <w:rsid w:val="00DD30C8"/>
    <w:rsid w:val="00DD3126"/>
    <w:rsid w:val="00DD3168"/>
    <w:rsid w:val="00DD339C"/>
    <w:rsid w:val="00DD33DF"/>
    <w:rsid w:val="00DD33FA"/>
    <w:rsid w:val="00DD3422"/>
    <w:rsid w:val="00DD3457"/>
    <w:rsid w:val="00DD345B"/>
    <w:rsid w:val="00DD3495"/>
    <w:rsid w:val="00DD3580"/>
    <w:rsid w:val="00DD35C7"/>
    <w:rsid w:val="00DD35E7"/>
    <w:rsid w:val="00DD3608"/>
    <w:rsid w:val="00DD362E"/>
    <w:rsid w:val="00DD3638"/>
    <w:rsid w:val="00DD3704"/>
    <w:rsid w:val="00DD37C2"/>
    <w:rsid w:val="00DD37DE"/>
    <w:rsid w:val="00DD37E1"/>
    <w:rsid w:val="00DD37E8"/>
    <w:rsid w:val="00DD3863"/>
    <w:rsid w:val="00DD387E"/>
    <w:rsid w:val="00DD38F1"/>
    <w:rsid w:val="00DD3911"/>
    <w:rsid w:val="00DD3926"/>
    <w:rsid w:val="00DD3968"/>
    <w:rsid w:val="00DD397D"/>
    <w:rsid w:val="00DD398D"/>
    <w:rsid w:val="00DD39BA"/>
    <w:rsid w:val="00DD39F5"/>
    <w:rsid w:val="00DD3A10"/>
    <w:rsid w:val="00DD3A1D"/>
    <w:rsid w:val="00DD3A24"/>
    <w:rsid w:val="00DD3A3E"/>
    <w:rsid w:val="00DD3A4B"/>
    <w:rsid w:val="00DD3AC8"/>
    <w:rsid w:val="00DD3AF8"/>
    <w:rsid w:val="00DD3B11"/>
    <w:rsid w:val="00DD3B54"/>
    <w:rsid w:val="00DD3B5F"/>
    <w:rsid w:val="00DD3C70"/>
    <w:rsid w:val="00DD3CB8"/>
    <w:rsid w:val="00DD3D0E"/>
    <w:rsid w:val="00DD3D1A"/>
    <w:rsid w:val="00DD3D75"/>
    <w:rsid w:val="00DD3E77"/>
    <w:rsid w:val="00DD3EA5"/>
    <w:rsid w:val="00DD3EBF"/>
    <w:rsid w:val="00DD3ED2"/>
    <w:rsid w:val="00DD3F05"/>
    <w:rsid w:val="00DD3F39"/>
    <w:rsid w:val="00DD3F55"/>
    <w:rsid w:val="00DD3FD0"/>
    <w:rsid w:val="00DD4096"/>
    <w:rsid w:val="00DD40DE"/>
    <w:rsid w:val="00DD41CA"/>
    <w:rsid w:val="00DD41E4"/>
    <w:rsid w:val="00DD41F3"/>
    <w:rsid w:val="00DD4230"/>
    <w:rsid w:val="00DD4242"/>
    <w:rsid w:val="00DD4243"/>
    <w:rsid w:val="00DD42A2"/>
    <w:rsid w:val="00DD42A7"/>
    <w:rsid w:val="00DD42D5"/>
    <w:rsid w:val="00DD42E0"/>
    <w:rsid w:val="00DD42F1"/>
    <w:rsid w:val="00DD42F2"/>
    <w:rsid w:val="00DD4349"/>
    <w:rsid w:val="00DD439B"/>
    <w:rsid w:val="00DD43B9"/>
    <w:rsid w:val="00DD440C"/>
    <w:rsid w:val="00DD4410"/>
    <w:rsid w:val="00DD442B"/>
    <w:rsid w:val="00DD443C"/>
    <w:rsid w:val="00DD447D"/>
    <w:rsid w:val="00DD4494"/>
    <w:rsid w:val="00DD456E"/>
    <w:rsid w:val="00DD45C2"/>
    <w:rsid w:val="00DD45D3"/>
    <w:rsid w:val="00DD4610"/>
    <w:rsid w:val="00DD462F"/>
    <w:rsid w:val="00DD46C2"/>
    <w:rsid w:val="00DD4729"/>
    <w:rsid w:val="00DD4732"/>
    <w:rsid w:val="00DD473A"/>
    <w:rsid w:val="00DD4740"/>
    <w:rsid w:val="00DD4768"/>
    <w:rsid w:val="00DD479B"/>
    <w:rsid w:val="00DD47BF"/>
    <w:rsid w:val="00DD48D8"/>
    <w:rsid w:val="00DD4974"/>
    <w:rsid w:val="00DD49A8"/>
    <w:rsid w:val="00DD4A51"/>
    <w:rsid w:val="00DD4A83"/>
    <w:rsid w:val="00DD4A8C"/>
    <w:rsid w:val="00DD4AEB"/>
    <w:rsid w:val="00DD4B60"/>
    <w:rsid w:val="00DD4B67"/>
    <w:rsid w:val="00DD4B6C"/>
    <w:rsid w:val="00DD4B87"/>
    <w:rsid w:val="00DD4C64"/>
    <w:rsid w:val="00DD4C76"/>
    <w:rsid w:val="00DD4C92"/>
    <w:rsid w:val="00DD4C9F"/>
    <w:rsid w:val="00DD4D19"/>
    <w:rsid w:val="00DD4DB3"/>
    <w:rsid w:val="00DD4DCF"/>
    <w:rsid w:val="00DD4E53"/>
    <w:rsid w:val="00DD4EEF"/>
    <w:rsid w:val="00DD4F63"/>
    <w:rsid w:val="00DD4F69"/>
    <w:rsid w:val="00DD4FBA"/>
    <w:rsid w:val="00DD4FC6"/>
    <w:rsid w:val="00DD5008"/>
    <w:rsid w:val="00DD503B"/>
    <w:rsid w:val="00DD5044"/>
    <w:rsid w:val="00DD5084"/>
    <w:rsid w:val="00DD50E4"/>
    <w:rsid w:val="00DD513D"/>
    <w:rsid w:val="00DD5141"/>
    <w:rsid w:val="00DD5172"/>
    <w:rsid w:val="00DD522B"/>
    <w:rsid w:val="00DD5235"/>
    <w:rsid w:val="00DD5299"/>
    <w:rsid w:val="00DD52AD"/>
    <w:rsid w:val="00DD52B5"/>
    <w:rsid w:val="00DD52BC"/>
    <w:rsid w:val="00DD530E"/>
    <w:rsid w:val="00DD5397"/>
    <w:rsid w:val="00DD53BA"/>
    <w:rsid w:val="00DD542B"/>
    <w:rsid w:val="00DD5450"/>
    <w:rsid w:val="00DD5463"/>
    <w:rsid w:val="00DD549C"/>
    <w:rsid w:val="00DD5516"/>
    <w:rsid w:val="00DD552D"/>
    <w:rsid w:val="00DD5562"/>
    <w:rsid w:val="00DD55C4"/>
    <w:rsid w:val="00DD5666"/>
    <w:rsid w:val="00DD56CC"/>
    <w:rsid w:val="00DD5705"/>
    <w:rsid w:val="00DD57D1"/>
    <w:rsid w:val="00DD5804"/>
    <w:rsid w:val="00DD5977"/>
    <w:rsid w:val="00DD5A76"/>
    <w:rsid w:val="00DD5AA5"/>
    <w:rsid w:val="00DD5AC1"/>
    <w:rsid w:val="00DD5B23"/>
    <w:rsid w:val="00DD5C01"/>
    <w:rsid w:val="00DD5C13"/>
    <w:rsid w:val="00DD5C39"/>
    <w:rsid w:val="00DD5D20"/>
    <w:rsid w:val="00DD5D39"/>
    <w:rsid w:val="00DD5D3C"/>
    <w:rsid w:val="00DD5D8F"/>
    <w:rsid w:val="00DD5EA4"/>
    <w:rsid w:val="00DD5EF7"/>
    <w:rsid w:val="00DD5F2B"/>
    <w:rsid w:val="00DD5F34"/>
    <w:rsid w:val="00DD5FD6"/>
    <w:rsid w:val="00DD6002"/>
    <w:rsid w:val="00DD6004"/>
    <w:rsid w:val="00DD6066"/>
    <w:rsid w:val="00DD6075"/>
    <w:rsid w:val="00DD60FB"/>
    <w:rsid w:val="00DD610D"/>
    <w:rsid w:val="00DD6143"/>
    <w:rsid w:val="00DD619B"/>
    <w:rsid w:val="00DD61A3"/>
    <w:rsid w:val="00DD61AB"/>
    <w:rsid w:val="00DD61FB"/>
    <w:rsid w:val="00DD621D"/>
    <w:rsid w:val="00DD6384"/>
    <w:rsid w:val="00DD6390"/>
    <w:rsid w:val="00DD63B7"/>
    <w:rsid w:val="00DD6431"/>
    <w:rsid w:val="00DD646D"/>
    <w:rsid w:val="00DD6470"/>
    <w:rsid w:val="00DD64DF"/>
    <w:rsid w:val="00DD6515"/>
    <w:rsid w:val="00DD653A"/>
    <w:rsid w:val="00DD6570"/>
    <w:rsid w:val="00DD6585"/>
    <w:rsid w:val="00DD65A1"/>
    <w:rsid w:val="00DD65FD"/>
    <w:rsid w:val="00DD6694"/>
    <w:rsid w:val="00DD66B6"/>
    <w:rsid w:val="00DD66FF"/>
    <w:rsid w:val="00DD6703"/>
    <w:rsid w:val="00DD6732"/>
    <w:rsid w:val="00DD675B"/>
    <w:rsid w:val="00DD676D"/>
    <w:rsid w:val="00DD677A"/>
    <w:rsid w:val="00DD678F"/>
    <w:rsid w:val="00DD67BE"/>
    <w:rsid w:val="00DD67EE"/>
    <w:rsid w:val="00DD6808"/>
    <w:rsid w:val="00DD6812"/>
    <w:rsid w:val="00DD6816"/>
    <w:rsid w:val="00DD688C"/>
    <w:rsid w:val="00DD68A6"/>
    <w:rsid w:val="00DD6911"/>
    <w:rsid w:val="00DD6AB7"/>
    <w:rsid w:val="00DD6AC6"/>
    <w:rsid w:val="00DD6ACC"/>
    <w:rsid w:val="00DD6ADF"/>
    <w:rsid w:val="00DD6AE2"/>
    <w:rsid w:val="00DD6B24"/>
    <w:rsid w:val="00DD6BA7"/>
    <w:rsid w:val="00DD6BBE"/>
    <w:rsid w:val="00DD6C33"/>
    <w:rsid w:val="00DD6CB2"/>
    <w:rsid w:val="00DD6CC7"/>
    <w:rsid w:val="00DD6CD0"/>
    <w:rsid w:val="00DD6D24"/>
    <w:rsid w:val="00DD6D2F"/>
    <w:rsid w:val="00DD6D37"/>
    <w:rsid w:val="00DD6DEA"/>
    <w:rsid w:val="00DD6E27"/>
    <w:rsid w:val="00DD6E52"/>
    <w:rsid w:val="00DD6E56"/>
    <w:rsid w:val="00DD6E73"/>
    <w:rsid w:val="00DD6E98"/>
    <w:rsid w:val="00DD6EA5"/>
    <w:rsid w:val="00DD6F75"/>
    <w:rsid w:val="00DD6F7A"/>
    <w:rsid w:val="00DD6FF6"/>
    <w:rsid w:val="00DD7022"/>
    <w:rsid w:val="00DD703C"/>
    <w:rsid w:val="00DD705C"/>
    <w:rsid w:val="00DD7081"/>
    <w:rsid w:val="00DD70A8"/>
    <w:rsid w:val="00DD70DD"/>
    <w:rsid w:val="00DD7116"/>
    <w:rsid w:val="00DD712C"/>
    <w:rsid w:val="00DD71C1"/>
    <w:rsid w:val="00DD7250"/>
    <w:rsid w:val="00DD7286"/>
    <w:rsid w:val="00DD7296"/>
    <w:rsid w:val="00DD72A9"/>
    <w:rsid w:val="00DD72DB"/>
    <w:rsid w:val="00DD7364"/>
    <w:rsid w:val="00DD73BC"/>
    <w:rsid w:val="00DD740A"/>
    <w:rsid w:val="00DD7444"/>
    <w:rsid w:val="00DD7561"/>
    <w:rsid w:val="00DD75B3"/>
    <w:rsid w:val="00DD7612"/>
    <w:rsid w:val="00DD7616"/>
    <w:rsid w:val="00DD767F"/>
    <w:rsid w:val="00DD76A6"/>
    <w:rsid w:val="00DD7722"/>
    <w:rsid w:val="00DD7765"/>
    <w:rsid w:val="00DD7779"/>
    <w:rsid w:val="00DD77F4"/>
    <w:rsid w:val="00DD7841"/>
    <w:rsid w:val="00DD78C5"/>
    <w:rsid w:val="00DD7A08"/>
    <w:rsid w:val="00DD7A20"/>
    <w:rsid w:val="00DD7AAE"/>
    <w:rsid w:val="00DD7ABB"/>
    <w:rsid w:val="00DD7AC5"/>
    <w:rsid w:val="00DD7ACD"/>
    <w:rsid w:val="00DD7AD0"/>
    <w:rsid w:val="00DD7AE0"/>
    <w:rsid w:val="00DD7C71"/>
    <w:rsid w:val="00DD7CD8"/>
    <w:rsid w:val="00DD7D1F"/>
    <w:rsid w:val="00DD7D2D"/>
    <w:rsid w:val="00DD7D49"/>
    <w:rsid w:val="00DD7D53"/>
    <w:rsid w:val="00DD7D6F"/>
    <w:rsid w:val="00DD7DC0"/>
    <w:rsid w:val="00DD7DD2"/>
    <w:rsid w:val="00DD7DFD"/>
    <w:rsid w:val="00DD7E38"/>
    <w:rsid w:val="00DD7E45"/>
    <w:rsid w:val="00DD7E84"/>
    <w:rsid w:val="00DD7EBF"/>
    <w:rsid w:val="00DD7EEA"/>
    <w:rsid w:val="00DD7F34"/>
    <w:rsid w:val="00DD7F67"/>
    <w:rsid w:val="00DD7FD0"/>
    <w:rsid w:val="00DE008F"/>
    <w:rsid w:val="00DE00D7"/>
    <w:rsid w:val="00DE00DC"/>
    <w:rsid w:val="00DE00ED"/>
    <w:rsid w:val="00DE01CB"/>
    <w:rsid w:val="00DE01D1"/>
    <w:rsid w:val="00DE01F1"/>
    <w:rsid w:val="00DE0253"/>
    <w:rsid w:val="00DE0294"/>
    <w:rsid w:val="00DE02B1"/>
    <w:rsid w:val="00DE02FD"/>
    <w:rsid w:val="00DE035E"/>
    <w:rsid w:val="00DE036B"/>
    <w:rsid w:val="00DE038C"/>
    <w:rsid w:val="00DE038F"/>
    <w:rsid w:val="00DE03DA"/>
    <w:rsid w:val="00DE0447"/>
    <w:rsid w:val="00DE0452"/>
    <w:rsid w:val="00DE0469"/>
    <w:rsid w:val="00DE048D"/>
    <w:rsid w:val="00DE0501"/>
    <w:rsid w:val="00DE0621"/>
    <w:rsid w:val="00DE0628"/>
    <w:rsid w:val="00DE063C"/>
    <w:rsid w:val="00DE064E"/>
    <w:rsid w:val="00DE0776"/>
    <w:rsid w:val="00DE0783"/>
    <w:rsid w:val="00DE07FF"/>
    <w:rsid w:val="00DE0814"/>
    <w:rsid w:val="00DE08AC"/>
    <w:rsid w:val="00DE0906"/>
    <w:rsid w:val="00DE0912"/>
    <w:rsid w:val="00DE0935"/>
    <w:rsid w:val="00DE09CB"/>
    <w:rsid w:val="00DE09E8"/>
    <w:rsid w:val="00DE0A12"/>
    <w:rsid w:val="00DE0AF6"/>
    <w:rsid w:val="00DE0AF9"/>
    <w:rsid w:val="00DE0B19"/>
    <w:rsid w:val="00DE0B20"/>
    <w:rsid w:val="00DE0B38"/>
    <w:rsid w:val="00DE0B48"/>
    <w:rsid w:val="00DE0BB3"/>
    <w:rsid w:val="00DE0C04"/>
    <w:rsid w:val="00DE0C44"/>
    <w:rsid w:val="00DE0C8D"/>
    <w:rsid w:val="00DE0C8E"/>
    <w:rsid w:val="00DE0C99"/>
    <w:rsid w:val="00DE0CDB"/>
    <w:rsid w:val="00DE0D03"/>
    <w:rsid w:val="00DE0D31"/>
    <w:rsid w:val="00DE0D56"/>
    <w:rsid w:val="00DE0D79"/>
    <w:rsid w:val="00DE0D96"/>
    <w:rsid w:val="00DE0DBC"/>
    <w:rsid w:val="00DE0E02"/>
    <w:rsid w:val="00DE0E98"/>
    <w:rsid w:val="00DE0E9F"/>
    <w:rsid w:val="00DE0EC5"/>
    <w:rsid w:val="00DE0ED9"/>
    <w:rsid w:val="00DE0F2F"/>
    <w:rsid w:val="00DE0F62"/>
    <w:rsid w:val="00DE0F63"/>
    <w:rsid w:val="00DE0FF3"/>
    <w:rsid w:val="00DE0FFE"/>
    <w:rsid w:val="00DE107E"/>
    <w:rsid w:val="00DE10BE"/>
    <w:rsid w:val="00DE10D5"/>
    <w:rsid w:val="00DE1101"/>
    <w:rsid w:val="00DE1105"/>
    <w:rsid w:val="00DE1149"/>
    <w:rsid w:val="00DE114A"/>
    <w:rsid w:val="00DE1159"/>
    <w:rsid w:val="00DE115B"/>
    <w:rsid w:val="00DE1170"/>
    <w:rsid w:val="00DE11AA"/>
    <w:rsid w:val="00DE11E8"/>
    <w:rsid w:val="00DE1255"/>
    <w:rsid w:val="00DE129F"/>
    <w:rsid w:val="00DE12A7"/>
    <w:rsid w:val="00DE130E"/>
    <w:rsid w:val="00DE132A"/>
    <w:rsid w:val="00DE136E"/>
    <w:rsid w:val="00DE1383"/>
    <w:rsid w:val="00DE13B5"/>
    <w:rsid w:val="00DE13B7"/>
    <w:rsid w:val="00DE1409"/>
    <w:rsid w:val="00DE1449"/>
    <w:rsid w:val="00DE146D"/>
    <w:rsid w:val="00DE148E"/>
    <w:rsid w:val="00DE14BF"/>
    <w:rsid w:val="00DE14D1"/>
    <w:rsid w:val="00DE1596"/>
    <w:rsid w:val="00DE159B"/>
    <w:rsid w:val="00DE1618"/>
    <w:rsid w:val="00DE168B"/>
    <w:rsid w:val="00DE171D"/>
    <w:rsid w:val="00DE17AD"/>
    <w:rsid w:val="00DE17BA"/>
    <w:rsid w:val="00DE17CC"/>
    <w:rsid w:val="00DE17DC"/>
    <w:rsid w:val="00DE17F8"/>
    <w:rsid w:val="00DE1826"/>
    <w:rsid w:val="00DE190A"/>
    <w:rsid w:val="00DE1927"/>
    <w:rsid w:val="00DE1935"/>
    <w:rsid w:val="00DE1952"/>
    <w:rsid w:val="00DE19CF"/>
    <w:rsid w:val="00DE19E8"/>
    <w:rsid w:val="00DE1A8E"/>
    <w:rsid w:val="00DE1AB8"/>
    <w:rsid w:val="00DE1B07"/>
    <w:rsid w:val="00DE1B29"/>
    <w:rsid w:val="00DE1BA7"/>
    <w:rsid w:val="00DE1BE6"/>
    <w:rsid w:val="00DE1BF6"/>
    <w:rsid w:val="00DE1C27"/>
    <w:rsid w:val="00DE1CE7"/>
    <w:rsid w:val="00DE1D2A"/>
    <w:rsid w:val="00DE1D54"/>
    <w:rsid w:val="00DE1D98"/>
    <w:rsid w:val="00DE1DB7"/>
    <w:rsid w:val="00DE1DBB"/>
    <w:rsid w:val="00DE1E62"/>
    <w:rsid w:val="00DE1E7B"/>
    <w:rsid w:val="00DE1EE5"/>
    <w:rsid w:val="00DE1F13"/>
    <w:rsid w:val="00DE1F31"/>
    <w:rsid w:val="00DE1F49"/>
    <w:rsid w:val="00DE1F8D"/>
    <w:rsid w:val="00DE1FF8"/>
    <w:rsid w:val="00DE2047"/>
    <w:rsid w:val="00DE2050"/>
    <w:rsid w:val="00DE20B6"/>
    <w:rsid w:val="00DE20BE"/>
    <w:rsid w:val="00DE2177"/>
    <w:rsid w:val="00DE2228"/>
    <w:rsid w:val="00DE2262"/>
    <w:rsid w:val="00DE226D"/>
    <w:rsid w:val="00DE22D9"/>
    <w:rsid w:val="00DE22F6"/>
    <w:rsid w:val="00DE2311"/>
    <w:rsid w:val="00DE2322"/>
    <w:rsid w:val="00DE2331"/>
    <w:rsid w:val="00DE2384"/>
    <w:rsid w:val="00DE242E"/>
    <w:rsid w:val="00DE24A4"/>
    <w:rsid w:val="00DE24DA"/>
    <w:rsid w:val="00DE24DB"/>
    <w:rsid w:val="00DE2522"/>
    <w:rsid w:val="00DE2526"/>
    <w:rsid w:val="00DE2576"/>
    <w:rsid w:val="00DE2593"/>
    <w:rsid w:val="00DE2633"/>
    <w:rsid w:val="00DE264C"/>
    <w:rsid w:val="00DE267C"/>
    <w:rsid w:val="00DE2687"/>
    <w:rsid w:val="00DE2757"/>
    <w:rsid w:val="00DE2777"/>
    <w:rsid w:val="00DE2836"/>
    <w:rsid w:val="00DE2860"/>
    <w:rsid w:val="00DE28D3"/>
    <w:rsid w:val="00DE297B"/>
    <w:rsid w:val="00DE29B3"/>
    <w:rsid w:val="00DE29C0"/>
    <w:rsid w:val="00DE29E6"/>
    <w:rsid w:val="00DE2A18"/>
    <w:rsid w:val="00DE2AA3"/>
    <w:rsid w:val="00DE2AB9"/>
    <w:rsid w:val="00DE2B39"/>
    <w:rsid w:val="00DE2C9A"/>
    <w:rsid w:val="00DE2D05"/>
    <w:rsid w:val="00DE2D88"/>
    <w:rsid w:val="00DE2E2B"/>
    <w:rsid w:val="00DE2EF5"/>
    <w:rsid w:val="00DE2F27"/>
    <w:rsid w:val="00DE2F7D"/>
    <w:rsid w:val="00DE2FAA"/>
    <w:rsid w:val="00DE2FB9"/>
    <w:rsid w:val="00DE2FC9"/>
    <w:rsid w:val="00DE2FF3"/>
    <w:rsid w:val="00DE3002"/>
    <w:rsid w:val="00DE3014"/>
    <w:rsid w:val="00DE30E8"/>
    <w:rsid w:val="00DE313A"/>
    <w:rsid w:val="00DE3144"/>
    <w:rsid w:val="00DE3166"/>
    <w:rsid w:val="00DE3186"/>
    <w:rsid w:val="00DE31DF"/>
    <w:rsid w:val="00DE3216"/>
    <w:rsid w:val="00DE3262"/>
    <w:rsid w:val="00DE3280"/>
    <w:rsid w:val="00DE328B"/>
    <w:rsid w:val="00DE32B3"/>
    <w:rsid w:val="00DE3389"/>
    <w:rsid w:val="00DE338D"/>
    <w:rsid w:val="00DE33C1"/>
    <w:rsid w:val="00DE33C2"/>
    <w:rsid w:val="00DE33ED"/>
    <w:rsid w:val="00DE3402"/>
    <w:rsid w:val="00DE3486"/>
    <w:rsid w:val="00DE348C"/>
    <w:rsid w:val="00DE34B9"/>
    <w:rsid w:val="00DE34E1"/>
    <w:rsid w:val="00DE34EC"/>
    <w:rsid w:val="00DE34F3"/>
    <w:rsid w:val="00DE3521"/>
    <w:rsid w:val="00DE3559"/>
    <w:rsid w:val="00DE35A6"/>
    <w:rsid w:val="00DE35EF"/>
    <w:rsid w:val="00DE35F8"/>
    <w:rsid w:val="00DE3625"/>
    <w:rsid w:val="00DE362A"/>
    <w:rsid w:val="00DE36BA"/>
    <w:rsid w:val="00DE373E"/>
    <w:rsid w:val="00DE3766"/>
    <w:rsid w:val="00DE376F"/>
    <w:rsid w:val="00DE37B2"/>
    <w:rsid w:val="00DE382F"/>
    <w:rsid w:val="00DE3920"/>
    <w:rsid w:val="00DE397A"/>
    <w:rsid w:val="00DE398E"/>
    <w:rsid w:val="00DE3A3C"/>
    <w:rsid w:val="00DE3A4C"/>
    <w:rsid w:val="00DE3A62"/>
    <w:rsid w:val="00DE3A6E"/>
    <w:rsid w:val="00DE3AA9"/>
    <w:rsid w:val="00DE3B18"/>
    <w:rsid w:val="00DE3B25"/>
    <w:rsid w:val="00DE3B57"/>
    <w:rsid w:val="00DE3B72"/>
    <w:rsid w:val="00DE3B8C"/>
    <w:rsid w:val="00DE3BB7"/>
    <w:rsid w:val="00DE3C33"/>
    <w:rsid w:val="00DE3C59"/>
    <w:rsid w:val="00DE3CAC"/>
    <w:rsid w:val="00DE3CBB"/>
    <w:rsid w:val="00DE3CC9"/>
    <w:rsid w:val="00DE3D37"/>
    <w:rsid w:val="00DE3D78"/>
    <w:rsid w:val="00DE3DB2"/>
    <w:rsid w:val="00DE3DF8"/>
    <w:rsid w:val="00DE3E99"/>
    <w:rsid w:val="00DE3EC7"/>
    <w:rsid w:val="00DE3F75"/>
    <w:rsid w:val="00DE3FC9"/>
    <w:rsid w:val="00DE3FDF"/>
    <w:rsid w:val="00DE404B"/>
    <w:rsid w:val="00DE40BE"/>
    <w:rsid w:val="00DE40CF"/>
    <w:rsid w:val="00DE40D5"/>
    <w:rsid w:val="00DE413F"/>
    <w:rsid w:val="00DE4166"/>
    <w:rsid w:val="00DE4188"/>
    <w:rsid w:val="00DE4239"/>
    <w:rsid w:val="00DE424C"/>
    <w:rsid w:val="00DE42B8"/>
    <w:rsid w:val="00DE42FC"/>
    <w:rsid w:val="00DE43CA"/>
    <w:rsid w:val="00DE43FA"/>
    <w:rsid w:val="00DE4402"/>
    <w:rsid w:val="00DE449B"/>
    <w:rsid w:val="00DE454D"/>
    <w:rsid w:val="00DE4578"/>
    <w:rsid w:val="00DE45C9"/>
    <w:rsid w:val="00DE4652"/>
    <w:rsid w:val="00DE4675"/>
    <w:rsid w:val="00DE47A0"/>
    <w:rsid w:val="00DE4859"/>
    <w:rsid w:val="00DE48BA"/>
    <w:rsid w:val="00DE4901"/>
    <w:rsid w:val="00DE495C"/>
    <w:rsid w:val="00DE4961"/>
    <w:rsid w:val="00DE49E7"/>
    <w:rsid w:val="00DE49ED"/>
    <w:rsid w:val="00DE49EE"/>
    <w:rsid w:val="00DE49FD"/>
    <w:rsid w:val="00DE4ABA"/>
    <w:rsid w:val="00DE4AE9"/>
    <w:rsid w:val="00DE4B07"/>
    <w:rsid w:val="00DE4B8D"/>
    <w:rsid w:val="00DE4B9B"/>
    <w:rsid w:val="00DE4C19"/>
    <w:rsid w:val="00DE4C60"/>
    <w:rsid w:val="00DE4C7D"/>
    <w:rsid w:val="00DE4CCB"/>
    <w:rsid w:val="00DE4D01"/>
    <w:rsid w:val="00DE4D17"/>
    <w:rsid w:val="00DE4D66"/>
    <w:rsid w:val="00DE4D7C"/>
    <w:rsid w:val="00DE4D94"/>
    <w:rsid w:val="00DE4DF6"/>
    <w:rsid w:val="00DE4E41"/>
    <w:rsid w:val="00DE4E58"/>
    <w:rsid w:val="00DE4E7B"/>
    <w:rsid w:val="00DE4EB9"/>
    <w:rsid w:val="00DE4EBC"/>
    <w:rsid w:val="00DE4F12"/>
    <w:rsid w:val="00DE4F22"/>
    <w:rsid w:val="00DE4F4F"/>
    <w:rsid w:val="00DE4F76"/>
    <w:rsid w:val="00DE4FA4"/>
    <w:rsid w:val="00DE5004"/>
    <w:rsid w:val="00DE5027"/>
    <w:rsid w:val="00DE5030"/>
    <w:rsid w:val="00DE508C"/>
    <w:rsid w:val="00DE509A"/>
    <w:rsid w:val="00DE50C3"/>
    <w:rsid w:val="00DE5168"/>
    <w:rsid w:val="00DE519F"/>
    <w:rsid w:val="00DE51AB"/>
    <w:rsid w:val="00DE51ED"/>
    <w:rsid w:val="00DE5227"/>
    <w:rsid w:val="00DE5245"/>
    <w:rsid w:val="00DE528A"/>
    <w:rsid w:val="00DE52A3"/>
    <w:rsid w:val="00DE5301"/>
    <w:rsid w:val="00DE5314"/>
    <w:rsid w:val="00DE532F"/>
    <w:rsid w:val="00DE5336"/>
    <w:rsid w:val="00DE537C"/>
    <w:rsid w:val="00DE53C5"/>
    <w:rsid w:val="00DE53C7"/>
    <w:rsid w:val="00DE5441"/>
    <w:rsid w:val="00DE545D"/>
    <w:rsid w:val="00DE5486"/>
    <w:rsid w:val="00DE54DC"/>
    <w:rsid w:val="00DE55A4"/>
    <w:rsid w:val="00DE55D3"/>
    <w:rsid w:val="00DE5606"/>
    <w:rsid w:val="00DE5636"/>
    <w:rsid w:val="00DE563E"/>
    <w:rsid w:val="00DE567A"/>
    <w:rsid w:val="00DE568D"/>
    <w:rsid w:val="00DE56DD"/>
    <w:rsid w:val="00DE56F9"/>
    <w:rsid w:val="00DE5796"/>
    <w:rsid w:val="00DE579B"/>
    <w:rsid w:val="00DE579E"/>
    <w:rsid w:val="00DE57A0"/>
    <w:rsid w:val="00DE57BA"/>
    <w:rsid w:val="00DE57C9"/>
    <w:rsid w:val="00DE58DF"/>
    <w:rsid w:val="00DE595B"/>
    <w:rsid w:val="00DE5960"/>
    <w:rsid w:val="00DE59A9"/>
    <w:rsid w:val="00DE59D7"/>
    <w:rsid w:val="00DE5A35"/>
    <w:rsid w:val="00DE5A95"/>
    <w:rsid w:val="00DE5AAB"/>
    <w:rsid w:val="00DE5B2A"/>
    <w:rsid w:val="00DE5B47"/>
    <w:rsid w:val="00DE5B78"/>
    <w:rsid w:val="00DE5BC0"/>
    <w:rsid w:val="00DE5CA8"/>
    <w:rsid w:val="00DE5CB1"/>
    <w:rsid w:val="00DE5D25"/>
    <w:rsid w:val="00DE5D42"/>
    <w:rsid w:val="00DE5D68"/>
    <w:rsid w:val="00DE5DEC"/>
    <w:rsid w:val="00DE5E01"/>
    <w:rsid w:val="00DE5E47"/>
    <w:rsid w:val="00DE5E5D"/>
    <w:rsid w:val="00DE5E68"/>
    <w:rsid w:val="00DE5ED5"/>
    <w:rsid w:val="00DE5F19"/>
    <w:rsid w:val="00DE5F6F"/>
    <w:rsid w:val="00DE6053"/>
    <w:rsid w:val="00DE6058"/>
    <w:rsid w:val="00DE6082"/>
    <w:rsid w:val="00DE6088"/>
    <w:rsid w:val="00DE6099"/>
    <w:rsid w:val="00DE614A"/>
    <w:rsid w:val="00DE61E4"/>
    <w:rsid w:val="00DE6204"/>
    <w:rsid w:val="00DE621B"/>
    <w:rsid w:val="00DE6224"/>
    <w:rsid w:val="00DE6226"/>
    <w:rsid w:val="00DE6230"/>
    <w:rsid w:val="00DE6242"/>
    <w:rsid w:val="00DE6256"/>
    <w:rsid w:val="00DE628B"/>
    <w:rsid w:val="00DE62A9"/>
    <w:rsid w:val="00DE62AA"/>
    <w:rsid w:val="00DE62CC"/>
    <w:rsid w:val="00DE631E"/>
    <w:rsid w:val="00DE6354"/>
    <w:rsid w:val="00DE638E"/>
    <w:rsid w:val="00DE639F"/>
    <w:rsid w:val="00DE63B2"/>
    <w:rsid w:val="00DE63C1"/>
    <w:rsid w:val="00DE63DD"/>
    <w:rsid w:val="00DE63DE"/>
    <w:rsid w:val="00DE63E4"/>
    <w:rsid w:val="00DE63ED"/>
    <w:rsid w:val="00DE63F7"/>
    <w:rsid w:val="00DE63F8"/>
    <w:rsid w:val="00DE641D"/>
    <w:rsid w:val="00DE643D"/>
    <w:rsid w:val="00DE64C4"/>
    <w:rsid w:val="00DE64FB"/>
    <w:rsid w:val="00DE6582"/>
    <w:rsid w:val="00DE6590"/>
    <w:rsid w:val="00DE65CA"/>
    <w:rsid w:val="00DE65D5"/>
    <w:rsid w:val="00DE65DA"/>
    <w:rsid w:val="00DE6643"/>
    <w:rsid w:val="00DE6674"/>
    <w:rsid w:val="00DE6687"/>
    <w:rsid w:val="00DE673A"/>
    <w:rsid w:val="00DE67AF"/>
    <w:rsid w:val="00DE67DA"/>
    <w:rsid w:val="00DE684B"/>
    <w:rsid w:val="00DE6865"/>
    <w:rsid w:val="00DE6899"/>
    <w:rsid w:val="00DE68B3"/>
    <w:rsid w:val="00DE68C1"/>
    <w:rsid w:val="00DE68C5"/>
    <w:rsid w:val="00DE6907"/>
    <w:rsid w:val="00DE690B"/>
    <w:rsid w:val="00DE6966"/>
    <w:rsid w:val="00DE697D"/>
    <w:rsid w:val="00DE6980"/>
    <w:rsid w:val="00DE699E"/>
    <w:rsid w:val="00DE69A4"/>
    <w:rsid w:val="00DE6A02"/>
    <w:rsid w:val="00DE6A4F"/>
    <w:rsid w:val="00DE6A65"/>
    <w:rsid w:val="00DE6A9B"/>
    <w:rsid w:val="00DE6B19"/>
    <w:rsid w:val="00DE6B35"/>
    <w:rsid w:val="00DE6C18"/>
    <w:rsid w:val="00DE6C19"/>
    <w:rsid w:val="00DE6C2B"/>
    <w:rsid w:val="00DE6C4B"/>
    <w:rsid w:val="00DE6C6F"/>
    <w:rsid w:val="00DE6CC9"/>
    <w:rsid w:val="00DE6CF9"/>
    <w:rsid w:val="00DE6D3E"/>
    <w:rsid w:val="00DE6D6F"/>
    <w:rsid w:val="00DE6D7C"/>
    <w:rsid w:val="00DE6E20"/>
    <w:rsid w:val="00DE6E2E"/>
    <w:rsid w:val="00DE6E84"/>
    <w:rsid w:val="00DE6ECE"/>
    <w:rsid w:val="00DE6ED5"/>
    <w:rsid w:val="00DE6EDA"/>
    <w:rsid w:val="00DE6F07"/>
    <w:rsid w:val="00DE6F97"/>
    <w:rsid w:val="00DE6FAE"/>
    <w:rsid w:val="00DE701C"/>
    <w:rsid w:val="00DE7036"/>
    <w:rsid w:val="00DE7063"/>
    <w:rsid w:val="00DE70A4"/>
    <w:rsid w:val="00DE70B9"/>
    <w:rsid w:val="00DE715A"/>
    <w:rsid w:val="00DE715D"/>
    <w:rsid w:val="00DE7228"/>
    <w:rsid w:val="00DE726E"/>
    <w:rsid w:val="00DE72FA"/>
    <w:rsid w:val="00DE7319"/>
    <w:rsid w:val="00DE7331"/>
    <w:rsid w:val="00DE741A"/>
    <w:rsid w:val="00DE7438"/>
    <w:rsid w:val="00DE7479"/>
    <w:rsid w:val="00DE74BA"/>
    <w:rsid w:val="00DE74C0"/>
    <w:rsid w:val="00DE74EB"/>
    <w:rsid w:val="00DE74F7"/>
    <w:rsid w:val="00DE7500"/>
    <w:rsid w:val="00DE7539"/>
    <w:rsid w:val="00DE75B8"/>
    <w:rsid w:val="00DE75D3"/>
    <w:rsid w:val="00DE75ED"/>
    <w:rsid w:val="00DE7636"/>
    <w:rsid w:val="00DE7699"/>
    <w:rsid w:val="00DE76A9"/>
    <w:rsid w:val="00DE76C6"/>
    <w:rsid w:val="00DE7784"/>
    <w:rsid w:val="00DE77A0"/>
    <w:rsid w:val="00DE77CC"/>
    <w:rsid w:val="00DE77D9"/>
    <w:rsid w:val="00DE77DC"/>
    <w:rsid w:val="00DE77F2"/>
    <w:rsid w:val="00DE781E"/>
    <w:rsid w:val="00DE78EF"/>
    <w:rsid w:val="00DE7936"/>
    <w:rsid w:val="00DE7953"/>
    <w:rsid w:val="00DE795D"/>
    <w:rsid w:val="00DE7975"/>
    <w:rsid w:val="00DE79F3"/>
    <w:rsid w:val="00DE7A1A"/>
    <w:rsid w:val="00DE7AE6"/>
    <w:rsid w:val="00DE7AF2"/>
    <w:rsid w:val="00DE7B10"/>
    <w:rsid w:val="00DE7C00"/>
    <w:rsid w:val="00DE7C1D"/>
    <w:rsid w:val="00DE7C5A"/>
    <w:rsid w:val="00DE7C63"/>
    <w:rsid w:val="00DE7CAD"/>
    <w:rsid w:val="00DE7CC1"/>
    <w:rsid w:val="00DE7CE5"/>
    <w:rsid w:val="00DE7D33"/>
    <w:rsid w:val="00DE7D90"/>
    <w:rsid w:val="00DE7DAC"/>
    <w:rsid w:val="00DE7DAE"/>
    <w:rsid w:val="00DE7DBD"/>
    <w:rsid w:val="00DE7E24"/>
    <w:rsid w:val="00DE7E39"/>
    <w:rsid w:val="00DE7E6A"/>
    <w:rsid w:val="00DE7EF2"/>
    <w:rsid w:val="00DE7F0F"/>
    <w:rsid w:val="00DE7F31"/>
    <w:rsid w:val="00DE7F55"/>
    <w:rsid w:val="00DE7F70"/>
    <w:rsid w:val="00DF0036"/>
    <w:rsid w:val="00DF0062"/>
    <w:rsid w:val="00DF007C"/>
    <w:rsid w:val="00DF0081"/>
    <w:rsid w:val="00DF00F9"/>
    <w:rsid w:val="00DF0107"/>
    <w:rsid w:val="00DF0166"/>
    <w:rsid w:val="00DF0175"/>
    <w:rsid w:val="00DF0227"/>
    <w:rsid w:val="00DF0230"/>
    <w:rsid w:val="00DF0260"/>
    <w:rsid w:val="00DF02F3"/>
    <w:rsid w:val="00DF032B"/>
    <w:rsid w:val="00DF03B1"/>
    <w:rsid w:val="00DF03C5"/>
    <w:rsid w:val="00DF03FA"/>
    <w:rsid w:val="00DF0447"/>
    <w:rsid w:val="00DF0467"/>
    <w:rsid w:val="00DF047C"/>
    <w:rsid w:val="00DF04C3"/>
    <w:rsid w:val="00DF04CE"/>
    <w:rsid w:val="00DF04D5"/>
    <w:rsid w:val="00DF04F1"/>
    <w:rsid w:val="00DF0540"/>
    <w:rsid w:val="00DF0576"/>
    <w:rsid w:val="00DF0588"/>
    <w:rsid w:val="00DF05DC"/>
    <w:rsid w:val="00DF05F2"/>
    <w:rsid w:val="00DF060C"/>
    <w:rsid w:val="00DF0664"/>
    <w:rsid w:val="00DF0688"/>
    <w:rsid w:val="00DF0698"/>
    <w:rsid w:val="00DF06CD"/>
    <w:rsid w:val="00DF0777"/>
    <w:rsid w:val="00DF07B3"/>
    <w:rsid w:val="00DF0802"/>
    <w:rsid w:val="00DF089B"/>
    <w:rsid w:val="00DF08D7"/>
    <w:rsid w:val="00DF08E6"/>
    <w:rsid w:val="00DF0907"/>
    <w:rsid w:val="00DF0914"/>
    <w:rsid w:val="00DF094B"/>
    <w:rsid w:val="00DF0983"/>
    <w:rsid w:val="00DF09A1"/>
    <w:rsid w:val="00DF09A5"/>
    <w:rsid w:val="00DF09B2"/>
    <w:rsid w:val="00DF09CF"/>
    <w:rsid w:val="00DF09DB"/>
    <w:rsid w:val="00DF0A80"/>
    <w:rsid w:val="00DF0A9A"/>
    <w:rsid w:val="00DF0AC2"/>
    <w:rsid w:val="00DF0ACD"/>
    <w:rsid w:val="00DF0AE5"/>
    <w:rsid w:val="00DF0B0A"/>
    <w:rsid w:val="00DF0B13"/>
    <w:rsid w:val="00DF0B1C"/>
    <w:rsid w:val="00DF0B7B"/>
    <w:rsid w:val="00DF0B82"/>
    <w:rsid w:val="00DF0B83"/>
    <w:rsid w:val="00DF0BBE"/>
    <w:rsid w:val="00DF0C2E"/>
    <w:rsid w:val="00DF0C57"/>
    <w:rsid w:val="00DF0C73"/>
    <w:rsid w:val="00DF0C90"/>
    <w:rsid w:val="00DF0CB9"/>
    <w:rsid w:val="00DF0D4E"/>
    <w:rsid w:val="00DF0E13"/>
    <w:rsid w:val="00DF0E2A"/>
    <w:rsid w:val="00DF0EBB"/>
    <w:rsid w:val="00DF0ED2"/>
    <w:rsid w:val="00DF0F7A"/>
    <w:rsid w:val="00DF0FE6"/>
    <w:rsid w:val="00DF0FF2"/>
    <w:rsid w:val="00DF104B"/>
    <w:rsid w:val="00DF1053"/>
    <w:rsid w:val="00DF106A"/>
    <w:rsid w:val="00DF1071"/>
    <w:rsid w:val="00DF11B9"/>
    <w:rsid w:val="00DF11BE"/>
    <w:rsid w:val="00DF126A"/>
    <w:rsid w:val="00DF1326"/>
    <w:rsid w:val="00DF13F2"/>
    <w:rsid w:val="00DF13F3"/>
    <w:rsid w:val="00DF1413"/>
    <w:rsid w:val="00DF141C"/>
    <w:rsid w:val="00DF1424"/>
    <w:rsid w:val="00DF1494"/>
    <w:rsid w:val="00DF14C3"/>
    <w:rsid w:val="00DF14D2"/>
    <w:rsid w:val="00DF14F2"/>
    <w:rsid w:val="00DF152C"/>
    <w:rsid w:val="00DF1530"/>
    <w:rsid w:val="00DF153B"/>
    <w:rsid w:val="00DF15AA"/>
    <w:rsid w:val="00DF15C1"/>
    <w:rsid w:val="00DF160A"/>
    <w:rsid w:val="00DF175A"/>
    <w:rsid w:val="00DF1816"/>
    <w:rsid w:val="00DF182E"/>
    <w:rsid w:val="00DF183A"/>
    <w:rsid w:val="00DF186B"/>
    <w:rsid w:val="00DF18E5"/>
    <w:rsid w:val="00DF1904"/>
    <w:rsid w:val="00DF1A3D"/>
    <w:rsid w:val="00DF1A46"/>
    <w:rsid w:val="00DF1A66"/>
    <w:rsid w:val="00DF1AC5"/>
    <w:rsid w:val="00DF1B20"/>
    <w:rsid w:val="00DF1B2D"/>
    <w:rsid w:val="00DF1B69"/>
    <w:rsid w:val="00DF1B94"/>
    <w:rsid w:val="00DF1BB6"/>
    <w:rsid w:val="00DF1C06"/>
    <w:rsid w:val="00DF1C09"/>
    <w:rsid w:val="00DF1C34"/>
    <w:rsid w:val="00DF1C50"/>
    <w:rsid w:val="00DF1CA6"/>
    <w:rsid w:val="00DF1CBA"/>
    <w:rsid w:val="00DF1CD4"/>
    <w:rsid w:val="00DF1D56"/>
    <w:rsid w:val="00DF1DB6"/>
    <w:rsid w:val="00DF1DF2"/>
    <w:rsid w:val="00DF1E8D"/>
    <w:rsid w:val="00DF1F2E"/>
    <w:rsid w:val="00DF1F77"/>
    <w:rsid w:val="00DF1FE0"/>
    <w:rsid w:val="00DF1FFF"/>
    <w:rsid w:val="00DF201F"/>
    <w:rsid w:val="00DF203F"/>
    <w:rsid w:val="00DF2062"/>
    <w:rsid w:val="00DF2087"/>
    <w:rsid w:val="00DF21B9"/>
    <w:rsid w:val="00DF2230"/>
    <w:rsid w:val="00DF224D"/>
    <w:rsid w:val="00DF227D"/>
    <w:rsid w:val="00DF2355"/>
    <w:rsid w:val="00DF240D"/>
    <w:rsid w:val="00DF246A"/>
    <w:rsid w:val="00DF247D"/>
    <w:rsid w:val="00DF2492"/>
    <w:rsid w:val="00DF24DA"/>
    <w:rsid w:val="00DF2506"/>
    <w:rsid w:val="00DF2532"/>
    <w:rsid w:val="00DF254A"/>
    <w:rsid w:val="00DF2553"/>
    <w:rsid w:val="00DF2576"/>
    <w:rsid w:val="00DF25EE"/>
    <w:rsid w:val="00DF2683"/>
    <w:rsid w:val="00DF26BC"/>
    <w:rsid w:val="00DF26D7"/>
    <w:rsid w:val="00DF2720"/>
    <w:rsid w:val="00DF27C4"/>
    <w:rsid w:val="00DF27CC"/>
    <w:rsid w:val="00DF27DA"/>
    <w:rsid w:val="00DF27E6"/>
    <w:rsid w:val="00DF282E"/>
    <w:rsid w:val="00DF287C"/>
    <w:rsid w:val="00DF28C8"/>
    <w:rsid w:val="00DF28F7"/>
    <w:rsid w:val="00DF2976"/>
    <w:rsid w:val="00DF2AC5"/>
    <w:rsid w:val="00DF2AEA"/>
    <w:rsid w:val="00DF2B23"/>
    <w:rsid w:val="00DF2C4E"/>
    <w:rsid w:val="00DF2C8B"/>
    <w:rsid w:val="00DF2CC9"/>
    <w:rsid w:val="00DF2CD7"/>
    <w:rsid w:val="00DF2D53"/>
    <w:rsid w:val="00DF2D71"/>
    <w:rsid w:val="00DF2D92"/>
    <w:rsid w:val="00DF2DDC"/>
    <w:rsid w:val="00DF2DF8"/>
    <w:rsid w:val="00DF2E10"/>
    <w:rsid w:val="00DF2E63"/>
    <w:rsid w:val="00DF2E6F"/>
    <w:rsid w:val="00DF2EB2"/>
    <w:rsid w:val="00DF2ECC"/>
    <w:rsid w:val="00DF2F00"/>
    <w:rsid w:val="00DF2F4F"/>
    <w:rsid w:val="00DF2F70"/>
    <w:rsid w:val="00DF2FF6"/>
    <w:rsid w:val="00DF300A"/>
    <w:rsid w:val="00DF305D"/>
    <w:rsid w:val="00DF3087"/>
    <w:rsid w:val="00DF30FC"/>
    <w:rsid w:val="00DF3148"/>
    <w:rsid w:val="00DF3170"/>
    <w:rsid w:val="00DF3175"/>
    <w:rsid w:val="00DF3332"/>
    <w:rsid w:val="00DF333C"/>
    <w:rsid w:val="00DF334A"/>
    <w:rsid w:val="00DF3356"/>
    <w:rsid w:val="00DF3368"/>
    <w:rsid w:val="00DF33DD"/>
    <w:rsid w:val="00DF3475"/>
    <w:rsid w:val="00DF34BE"/>
    <w:rsid w:val="00DF3506"/>
    <w:rsid w:val="00DF353B"/>
    <w:rsid w:val="00DF3574"/>
    <w:rsid w:val="00DF3584"/>
    <w:rsid w:val="00DF3594"/>
    <w:rsid w:val="00DF3644"/>
    <w:rsid w:val="00DF3659"/>
    <w:rsid w:val="00DF3696"/>
    <w:rsid w:val="00DF3727"/>
    <w:rsid w:val="00DF37D9"/>
    <w:rsid w:val="00DF3810"/>
    <w:rsid w:val="00DF381D"/>
    <w:rsid w:val="00DF3833"/>
    <w:rsid w:val="00DF384A"/>
    <w:rsid w:val="00DF38E1"/>
    <w:rsid w:val="00DF3926"/>
    <w:rsid w:val="00DF39D8"/>
    <w:rsid w:val="00DF39F7"/>
    <w:rsid w:val="00DF3A01"/>
    <w:rsid w:val="00DF3A23"/>
    <w:rsid w:val="00DF3A4F"/>
    <w:rsid w:val="00DF3A6C"/>
    <w:rsid w:val="00DF3AB5"/>
    <w:rsid w:val="00DF3AC5"/>
    <w:rsid w:val="00DF3B45"/>
    <w:rsid w:val="00DF3B50"/>
    <w:rsid w:val="00DF3BA2"/>
    <w:rsid w:val="00DF3BEB"/>
    <w:rsid w:val="00DF3C81"/>
    <w:rsid w:val="00DF3C89"/>
    <w:rsid w:val="00DF3D22"/>
    <w:rsid w:val="00DF3D46"/>
    <w:rsid w:val="00DF3DDF"/>
    <w:rsid w:val="00DF3E52"/>
    <w:rsid w:val="00DF3E72"/>
    <w:rsid w:val="00DF3E8B"/>
    <w:rsid w:val="00DF3F2E"/>
    <w:rsid w:val="00DF3F97"/>
    <w:rsid w:val="00DF3F99"/>
    <w:rsid w:val="00DF3FBD"/>
    <w:rsid w:val="00DF3FE6"/>
    <w:rsid w:val="00DF4036"/>
    <w:rsid w:val="00DF406C"/>
    <w:rsid w:val="00DF409A"/>
    <w:rsid w:val="00DF40DE"/>
    <w:rsid w:val="00DF40E3"/>
    <w:rsid w:val="00DF4126"/>
    <w:rsid w:val="00DF4129"/>
    <w:rsid w:val="00DF417F"/>
    <w:rsid w:val="00DF423E"/>
    <w:rsid w:val="00DF424B"/>
    <w:rsid w:val="00DF4264"/>
    <w:rsid w:val="00DF42B6"/>
    <w:rsid w:val="00DF42D4"/>
    <w:rsid w:val="00DF42F2"/>
    <w:rsid w:val="00DF42FA"/>
    <w:rsid w:val="00DF4304"/>
    <w:rsid w:val="00DF431F"/>
    <w:rsid w:val="00DF436F"/>
    <w:rsid w:val="00DF43F6"/>
    <w:rsid w:val="00DF441D"/>
    <w:rsid w:val="00DF442C"/>
    <w:rsid w:val="00DF4432"/>
    <w:rsid w:val="00DF44F0"/>
    <w:rsid w:val="00DF453E"/>
    <w:rsid w:val="00DF4613"/>
    <w:rsid w:val="00DF463E"/>
    <w:rsid w:val="00DF4671"/>
    <w:rsid w:val="00DF46DC"/>
    <w:rsid w:val="00DF4719"/>
    <w:rsid w:val="00DF472D"/>
    <w:rsid w:val="00DF4789"/>
    <w:rsid w:val="00DF47EE"/>
    <w:rsid w:val="00DF4890"/>
    <w:rsid w:val="00DF48AD"/>
    <w:rsid w:val="00DF4951"/>
    <w:rsid w:val="00DF49F3"/>
    <w:rsid w:val="00DF4A0C"/>
    <w:rsid w:val="00DF4A3E"/>
    <w:rsid w:val="00DF4A50"/>
    <w:rsid w:val="00DF4A67"/>
    <w:rsid w:val="00DF4A7C"/>
    <w:rsid w:val="00DF4A7E"/>
    <w:rsid w:val="00DF4A88"/>
    <w:rsid w:val="00DF4ADF"/>
    <w:rsid w:val="00DF4AF5"/>
    <w:rsid w:val="00DF4B1B"/>
    <w:rsid w:val="00DF4C07"/>
    <w:rsid w:val="00DF4D6D"/>
    <w:rsid w:val="00DF4D98"/>
    <w:rsid w:val="00DF4DA0"/>
    <w:rsid w:val="00DF4E1E"/>
    <w:rsid w:val="00DF4E5D"/>
    <w:rsid w:val="00DF4EA7"/>
    <w:rsid w:val="00DF4EBC"/>
    <w:rsid w:val="00DF4EDD"/>
    <w:rsid w:val="00DF4F03"/>
    <w:rsid w:val="00DF4F07"/>
    <w:rsid w:val="00DF4F5B"/>
    <w:rsid w:val="00DF4F9F"/>
    <w:rsid w:val="00DF4FB2"/>
    <w:rsid w:val="00DF4FDE"/>
    <w:rsid w:val="00DF4FE8"/>
    <w:rsid w:val="00DF5000"/>
    <w:rsid w:val="00DF50BB"/>
    <w:rsid w:val="00DF5153"/>
    <w:rsid w:val="00DF5167"/>
    <w:rsid w:val="00DF51EB"/>
    <w:rsid w:val="00DF5245"/>
    <w:rsid w:val="00DF5247"/>
    <w:rsid w:val="00DF524F"/>
    <w:rsid w:val="00DF528C"/>
    <w:rsid w:val="00DF52A3"/>
    <w:rsid w:val="00DF52F2"/>
    <w:rsid w:val="00DF5320"/>
    <w:rsid w:val="00DF5371"/>
    <w:rsid w:val="00DF5400"/>
    <w:rsid w:val="00DF5438"/>
    <w:rsid w:val="00DF5476"/>
    <w:rsid w:val="00DF54FC"/>
    <w:rsid w:val="00DF55A4"/>
    <w:rsid w:val="00DF55C3"/>
    <w:rsid w:val="00DF55CF"/>
    <w:rsid w:val="00DF5604"/>
    <w:rsid w:val="00DF563A"/>
    <w:rsid w:val="00DF5653"/>
    <w:rsid w:val="00DF566B"/>
    <w:rsid w:val="00DF56C7"/>
    <w:rsid w:val="00DF5721"/>
    <w:rsid w:val="00DF5833"/>
    <w:rsid w:val="00DF58AB"/>
    <w:rsid w:val="00DF58FB"/>
    <w:rsid w:val="00DF5967"/>
    <w:rsid w:val="00DF5983"/>
    <w:rsid w:val="00DF59BA"/>
    <w:rsid w:val="00DF59EE"/>
    <w:rsid w:val="00DF5A4D"/>
    <w:rsid w:val="00DF5A64"/>
    <w:rsid w:val="00DF5B25"/>
    <w:rsid w:val="00DF5C4C"/>
    <w:rsid w:val="00DF5CA2"/>
    <w:rsid w:val="00DF5CB2"/>
    <w:rsid w:val="00DF5CD1"/>
    <w:rsid w:val="00DF5D06"/>
    <w:rsid w:val="00DF5D0B"/>
    <w:rsid w:val="00DF5D36"/>
    <w:rsid w:val="00DF5D50"/>
    <w:rsid w:val="00DF5E73"/>
    <w:rsid w:val="00DF5EA3"/>
    <w:rsid w:val="00DF5EC6"/>
    <w:rsid w:val="00DF5F03"/>
    <w:rsid w:val="00DF5F81"/>
    <w:rsid w:val="00DF5FBB"/>
    <w:rsid w:val="00DF5FF7"/>
    <w:rsid w:val="00DF6005"/>
    <w:rsid w:val="00DF6014"/>
    <w:rsid w:val="00DF6048"/>
    <w:rsid w:val="00DF604C"/>
    <w:rsid w:val="00DF607C"/>
    <w:rsid w:val="00DF608B"/>
    <w:rsid w:val="00DF60AE"/>
    <w:rsid w:val="00DF616F"/>
    <w:rsid w:val="00DF618F"/>
    <w:rsid w:val="00DF61EF"/>
    <w:rsid w:val="00DF6211"/>
    <w:rsid w:val="00DF6218"/>
    <w:rsid w:val="00DF6231"/>
    <w:rsid w:val="00DF629B"/>
    <w:rsid w:val="00DF62D4"/>
    <w:rsid w:val="00DF63CD"/>
    <w:rsid w:val="00DF6452"/>
    <w:rsid w:val="00DF6493"/>
    <w:rsid w:val="00DF64AB"/>
    <w:rsid w:val="00DF64C3"/>
    <w:rsid w:val="00DF64EC"/>
    <w:rsid w:val="00DF64F1"/>
    <w:rsid w:val="00DF6533"/>
    <w:rsid w:val="00DF65A7"/>
    <w:rsid w:val="00DF65D8"/>
    <w:rsid w:val="00DF65E3"/>
    <w:rsid w:val="00DF65FA"/>
    <w:rsid w:val="00DF66F8"/>
    <w:rsid w:val="00DF6764"/>
    <w:rsid w:val="00DF6816"/>
    <w:rsid w:val="00DF689B"/>
    <w:rsid w:val="00DF68A6"/>
    <w:rsid w:val="00DF68AB"/>
    <w:rsid w:val="00DF68EA"/>
    <w:rsid w:val="00DF68F9"/>
    <w:rsid w:val="00DF697A"/>
    <w:rsid w:val="00DF697B"/>
    <w:rsid w:val="00DF69D8"/>
    <w:rsid w:val="00DF6A08"/>
    <w:rsid w:val="00DF6AF5"/>
    <w:rsid w:val="00DF6B27"/>
    <w:rsid w:val="00DF6BB8"/>
    <w:rsid w:val="00DF6C34"/>
    <w:rsid w:val="00DF6C56"/>
    <w:rsid w:val="00DF6C82"/>
    <w:rsid w:val="00DF6C85"/>
    <w:rsid w:val="00DF6CB2"/>
    <w:rsid w:val="00DF6CE0"/>
    <w:rsid w:val="00DF6D0C"/>
    <w:rsid w:val="00DF6D3C"/>
    <w:rsid w:val="00DF6DDB"/>
    <w:rsid w:val="00DF6E17"/>
    <w:rsid w:val="00DF6ECC"/>
    <w:rsid w:val="00DF6EDF"/>
    <w:rsid w:val="00DF6F28"/>
    <w:rsid w:val="00DF6F71"/>
    <w:rsid w:val="00DF6FF5"/>
    <w:rsid w:val="00DF7021"/>
    <w:rsid w:val="00DF702D"/>
    <w:rsid w:val="00DF703D"/>
    <w:rsid w:val="00DF70B7"/>
    <w:rsid w:val="00DF70BB"/>
    <w:rsid w:val="00DF70C3"/>
    <w:rsid w:val="00DF70E0"/>
    <w:rsid w:val="00DF70EC"/>
    <w:rsid w:val="00DF719E"/>
    <w:rsid w:val="00DF71CD"/>
    <w:rsid w:val="00DF71FD"/>
    <w:rsid w:val="00DF7221"/>
    <w:rsid w:val="00DF722F"/>
    <w:rsid w:val="00DF7264"/>
    <w:rsid w:val="00DF72CA"/>
    <w:rsid w:val="00DF73B2"/>
    <w:rsid w:val="00DF7476"/>
    <w:rsid w:val="00DF7489"/>
    <w:rsid w:val="00DF74B9"/>
    <w:rsid w:val="00DF7544"/>
    <w:rsid w:val="00DF75A2"/>
    <w:rsid w:val="00DF75BC"/>
    <w:rsid w:val="00DF75BD"/>
    <w:rsid w:val="00DF75D8"/>
    <w:rsid w:val="00DF75E2"/>
    <w:rsid w:val="00DF75EB"/>
    <w:rsid w:val="00DF7626"/>
    <w:rsid w:val="00DF765A"/>
    <w:rsid w:val="00DF7674"/>
    <w:rsid w:val="00DF769E"/>
    <w:rsid w:val="00DF76A1"/>
    <w:rsid w:val="00DF76BA"/>
    <w:rsid w:val="00DF76C2"/>
    <w:rsid w:val="00DF777E"/>
    <w:rsid w:val="00DF7786"/>
    <w:rsid w:val="00DF77A7"/>
    <w:rsid w:val="00DF77D0"/>
    <w:rsid w:val="00DF7801"/>
    <w:rsid w:val="00DF7808"/>
    <w:rsid w:val="00DF786A"/>
    <w:rsid w:val="00DF7886"/>
    <w:rsid w:val="00DF78D4"/>
    <w:rsid w:val="00DF7936"/>
    <w:rsid w:val="00DF7950"/>
    <w:rsid w:val="00DF795E"/>
    <w:rsid w:val="00DF7964"/>
    <w:rsid w:val="00DF79DF"/>
    <w:rsid w:val="00DF7A14"/>
    <w:rsid w:val="00DF7A52"/>
    <w:rsid w:val="00DF7A8D"/>
    <w:rsid w:val="00DF7AE8"/>
    <w:rsid w:val="00DF7AF6"/>
    <w:rsid w:val="00DF7B66"/>
    <w:rsid w:val="00DF7B7E"/>
    <w:rsid w:val="00DF7B9E"/>
    <w:rsid w:val="00DF7BCF"/>
    <w:rsid w:val="00DF7BEE"/>
    <w:rsid w:val="00DF7C13"/>
    <w:rsid w:val="00DF7C65"/>
    <w:rsid w:val="00DF7C91"/>
    <w:rsid w:val="00DF7D4F"/>
    <w:rsid w:val="00DF7D64"/>
    <w:rsid w:val="00DF7E2F"/>
    <w:rsid w:val="00DF7E65"/>
    <w:rsid w:val="00DF7E7B"/>
    <w:rsid w:val="00DF7EC4"/>
    <w:rsid w:val="00DF7EE7"/>
    <w:rsid w:val="00DF7EEF"/>
    <w:rsid w:val="00DF7F11"/>
    <w:rsid w:val="00DF7F9F"/>
    <w:rsid w:val="00DF7FB3"/>
    <w:rsid w:val="00DF7FC2"/>
    <w:rsid w:val="00DF7FCA"/>
    <w:rsid w:val="00DFCC1F"/>
    <w:rsid w:val="00E00004"/>
    <w:rsid w:val="00E0003B"/>
    <w:rsid w:val="00E0003D"/>
    <w:rsid w:val="00E0005F"/>
    <w:rsid w:val="00E00078"/>
    <w:rsid w:val="00E000CB"/>
    <w:rsid w:val="00E00108"/>
    <w:rsid w:val="00E00165"/>
    <w:rsid w:val="00E001AE"/>
    <w:rsid w:val="00E001C1"/>
    <w:rsid w:val="00E001C6"/>
    <w:rsid w:val="00E001F9"/>
    <w:rsid w:val="00E0021D"/>
    <w:rsid w:val="00E00274"/>
    <w:rsid w:val="00E0033B"/>
    <w:rsid w:val="00E00405"/>
    <w:rsid w:val="00E00455"/>
    <w:rsid w:val="00E0045A"/>
    <w:rsid w:val="00E004CE"/>
    <w:rsid w:val="00E004EE"/>
    <w:rsid w:val="00E005A2"/>
    <w:rsid w:val="00E005B7"/>
    <w:rsid w:val="00E005B9"/>
    <w:rsid w:val="00E005BC"/>
    <w:rsid w:val="00E00653"/>
    <w:rsid w:val="00E006C2"/>
    <w:rsid w:val="00E00728"/>
    <w:rsid w:val="00E00769"/>
    <w:rsid w:val="00E00773"/>
    <w:rsid w:val="00E0077E"/>
    <w:rsid w:val="00E007C2"/>
    <w:rsid w:val="00E007FD"/>
    <w:rsid w:val="00E0083F"/>
    <w:rsid w:val="00E00857"/>
    <w:rsid w:val="00E008FF"/>
    <w:rsid w:val="00E00904"/>
    <w:rsid w:val="00E00923"/>
    <w:rsid w:val="00E00940"/>
    <w:rsid w:val="00E009D0"/>
    <w:rsid w:val="00E009F2"/>
    <w:rsid w:val="00E00A1D"/>
    <w:rsid w:val="00E00A57"/>
    <w:rsid w:val="00E00AF9"/>
    <w:rsid w:val="00E00B52"/>
    <w:rsid w:val="00E00B78"/>
    <w:rsid w:val="00E00B99"/>
    <w:rsid w:val="00E00BBC"/>
    <w:rsid w:val="00E00BE6"/>
    <w:rsid w:val="00E00C15"/>
    <w:rsid w:val="00E00C3F"/>
    <w:rsid w:val="00E00C49"/>
    <w:rsid w:val="00E00C73"/>
    <w:rsid w:val="00E00C76"/>
    <w:rsid w:val="00E00CFC"/>
    <w:rsid w:val="00E00D0C"/>
    <w:rsid w:val="00E00D4C"/>
    <w:rsid w:val="00E00D7B"/>
    <w:rsid w:val="00E00D85"/>
    <w:rsid w:val="00E00D97"/>
    <w:rsid w:val="00E00DA9"/>
    <w:rsid w:val="00E00E00"/>
    <w:rsid w:val="00E00E5A"/>
    <w:rsid w:val="00E00EC6"/>
    <w:rsid w:val="00E00F00"/>
    <w:rsid w:val="00E00F19"/>
    <w:rsid w:val="00E00F8B"/>
    <w:rsid w:val="00E00FF1"/>
    <w:rsid w:val="00E0104F"/>
    <w:rsid w:val="00E01109"/>
    <w:rsid w:val="00E0110D"/>
    <w:rsid w:val="00E01142"/>
    <w:rsid w:val="00E01171"/>
    <w:rsid w:val="00E0118F"/>
    <w:rsid w:val="00E0119C"/>
    <w:rsid w:val="00E011B5"/>
    <w:rsid w:val="00E011C8"/>
    <w:rsid w:val="00E011DB"/>
    <w:rsid w:val="00E0121F"/>
    <w:rsid w:val="00E01271"/>
    <w:rsid w:val="00E0128A"/>
    <w:rsid w:val="00E012DD"/>
    <w:rsid w:val="00E0131E"/>
    <w:rsid w:val="00E0132D"/>
    <w:rsid w:val="00E01340"/>
    <w:rsid w:val="00E0134B"/>
    <w:rsid w:val="00E0134C"/>
    <w:rsid w:val="00E013A4"/>
    <w:rsid w:val="00E01445"/>
    <w:rsid w:val="00E01488"/>
    <w:rsid w:val="00E01517"/>
    <w:rsid w:val="00E01575"/>
    <w:rsid w:val="00E015AC"/>
    <w:rsid w:val="00E015E0"/>
    <w:rsid w:val="00E01730"/>
    <w:rsid w:val="00E0175B"/>
    <w:rsid w:val="00E01848"/>
    <w:rsid w:val="00E01870"/>
    <w:rsid w:val="00E0189D"/>
    <w:rsid w:val="00E018A0"/>
    <w:rsid w:val="00E01913"/>
    <w:rsid w:val="00E01933"/>
    <w:rsid w:val="00E01957"/>
    <w:rsid w:val="00E01980"/>
    <w:rsid w:val="00E0199A"/>
    <w:rsid w:val="00E01A5A"/>
    <w:rsid w:val="00E01A7F"/>
    <w:rsid w:val="00E01A82"/>
    <w:rsid w:val="00E01A94"/>
    <w:rsid w:val="00E01ABA"/>
    <w:rsid w:val="00E01B2A"/>
    <w:rsid w:val="00E01B41"/>
    <w:rsid w:val="00E01B4E"/>
    <w:rsid w:val="00E01B9C"/>
    <w:rsid w:val="00E01C1C"/>
    <w:rsid w:val="00E01C3E"/>
    <w:rsid w:val="00E01C8C"/>
    <w:rsid w:val="00E01C90"/>
    <w:rsid w:val="00E01D13"/>
    <w:rsid w:val="00E01D6A"/>
    <w:rsid w:val="00E01DA2"/>
    <w:rsid w:val="00E01E7A"/>
    <w:rsid w:val="00E01E95"/>
    <w:rsid w:val="00E01F02"/>
    <w:rsid w:val="00E01F24"/>
    <w:rsid w:val="00E01F8A"/>
    <w:rsid w:val="00E01FE1"/>
    <w:rsid w:val="00E01FE3"/>
    <w:rsid w:val="00E01FE6"/>
    <w:rsid w:val="00E0201D"/>
    <w:rsid w:val="00E02029"/>
    <w:rsid w:val="00E020B3"/>
    <w:rsid w:val="00E020FB"/>
    <w:rsid w:val="00E020FE"/>
    <w:rsid w:val="00E02113"/>
    <w:rsid w:val="00E02143"/>
    <w:rsid w:val="00E0215F"/>
    <w:rsid w:val="00E02203"/>
    <w:rsid w:val="00E02244"/>
    <w:rsid w:val="00E0225F"/>
    <w:rsid w:val="00E0226C"/>
    <w:rsid w:val="00E022B7"/>
    <w:rsid w:val="00E02356"/>
    <w:rsid w:val="00E023D8"/>
    <w:rsid w:val="00E023E3"/>
    <w:rsid w:val="00E023F9"/>
    <w:rsid w:val="00E02404"/>
    <w:rsid w:val="00E0243B"/>
    <w:rsid w:val="00E02440"/>
    <w:rsid w:val="00E02465"/>
    <w:rsid w:val="00E02474"/>
    <w:rsid w:val="00E0247F"/>
    <w:rsid w:val="00E024D1"/>
    <w:rsid w:val="00E024E3"/>
    <w:rsid w:val="00E024E9"/>
    <w:rsid w:val="00E024F0"/>
    <w:rsid w:val="00E0250E"/>
    <w:rsid w:val="00E02572"/>
    <w:rsid w:val="00E025D5"/>
    <w:rsid w:val="00E025E5"/>
    <w:rsid w:val="00E02606"/>
    <w:rsid w:val="00E02656"/>
    <w:rsid w:val="00E026CC"/>
    <w:rsid w:val="00E02797"/>
    <w:rsid w:val="00E02818"/>
    <w:rsid w:val="00E0281B"/>
    <w:rsid w:val="00E02822"/>
    <w:rsid w:val="00E0291D"/>
    <w:rsid w:val="00E02986"/>
    <w:rsid w:val="00E029D4"/>
    <w:rsid w:val="00E02A10"/>
    <w:rsid w:val="00E02A72"/>
    <w:rsid w:val="00E02AF9"/>
    <w:rsid w:val="00E02B2B"/>
    <w:rsid w:val="00E02B3C"/>
    <w:rsid w:val="00E02BD6"/>
    <w:rsid w:val="00E02C09"/>
    <w:rsid w:val="00E02C29"/>
    <w:rsid w:val="00E02C7A"/>
    <w:rsid w:val="00E02CC2"/>
    <w:rsid w:val="00E02CD6"/>
    <w:rsid w:val="00E02CEF"/>
    <w:rsid w:val="00E02D12"/>
    <w:rsid w:val="00E02D13"/>
    <w:rsid w:val="00E02D67"/>
    <w:rsid w:val="00E02D83"/>
    <w:rsid w:val="00E02D8B"/>
    <w:rsid w:val="00E02DC7"/>
    <w:rsid w:val="00E02DDF"/>
    <w:rsid w:val="00E02DEE"/>
    <w:rsid w:val="00E02E33"/>
    <w:rsid w:val="00E02E88"/>
    <w:rsid w:val="00E02EE5"/>
    <w:rsid w:val="00E02F31"/>
    <w:rsid w:val="00E02F76"/>
    <w:rsid w:val="00E02FBE"/>
    <w:rsid w:val="00E02FC0"/>
    <w:rsid w:val="00E03052"/>
    <w:rsid w:val="00E03064"/>
    <w:rsid w:val="00E030B9"/>
    <w:rsid w:val="00E030F1"/>
    <w:rsid w:val="00E03114"/>
    <w:rsid w:val="00E031A8"/>
    <w:rsid w:val="00E031B2"/>
    <w:rsid w:val="00E03201"/>
    <w:rsid w:val="00E03216"/>
    <w:rsid w:val="00E0321A"/>
    <w:rsid w:val="00E0325C"/>
    <w:rsid w:val="00E0325F"/>
    <w:rsid w:val="00E032F7"/>
    <w:rsid w:val="00E03307"/>
    <w:rsid w:val="00E03362"/>
    <w:rsid w:val="00E033B0"/>
    <w:rsid w:val="00E033B2"/>
    <w:rsid w:val="00E033EF"/>
    <w:rsid w:val="00E03456"/>
    <w:rsid w:val="00E03479"/>
    <w:rsid w:val="00E0347F"/>
    <w:rsid w:val="00E03488"/>
    <w:rsid w:val="00E03539"/>
    <w:rsid w:val="00E03550"/>
    <w:rsid w:val="00E03562"/>
    <w:rsid w:val="00E0357E"/>
    <w:rsid w:val="00E03587"/>
    <w:rsid w:val="00E035CC"/>
    <w:rsid w:val="00E035EE"/>
    <w:rsid w:val="00E035F2"/>
    <w:rsid w:val="00E03604"/>
    <w:rsid w:val="00E0360E"/>
    <w:rsid w:val="00E03619"/>
    <w:rsid w:val="00E0361C"/>
    <w:rsid w:val="00E03647"/>
    <w:rsid w:val="00E03665"/>
    <w:rsid w:val="00E036F2"/>
    <w:rsid w:val="00E03716"/>
    <w:rsid w:val="00E0371F"/>
    <w:rsid w:val="00E0372C"/>
    <w:rsid w:val="00E03749"/>
    <w:rsid w:val="00E037A9"/>
    <w:rsid w:val="00E037C9"/>
    <w:rsid w:val="00E03809"/>
    <w:rsid w:val="00E03829"/>
    <w:rsid w:val="00E03872"/>
    <w:rsid w:val="00E038B0"/>
    <w:rsid w:val="00E038DB"/>
    <w:rsid w:val="00E03985"/>
    <w:rsid w:val="00E03A45"/>
    <w:rsid w:val="00E03A8C"/>
    <w:rsid w:val="00E03AA7"/>
    <w:rsid w:val="00E03AFF"/>
    <w:rsid w:val="00E03B14"/>
    <w:rsid w:val="00E03B67"/>
    <w:rsid w:val="00E03C02"/>
    <w:rsid w:val="00E03C27"/>
    <w:rsid w:val="00E03C28"/>
    <w:rsid w:val="00E03C36"/>
    <w:rsid w:val="00E03C52"/>
    <w:rsid w:val="00E03D54"/>
    <w:rsid w:val="00E03D88"/>
    <w:rsid w:val="00E03E24"/>
    <w:rsid w:val="00E03E35"/>
    <w:rsid w:val="00E03E6B"/>
    <w:rsid w:val="00E03E7D"/>
    <w:rsid w:val="00E03EB2"/>
    <w:rsid w:val="00E03ED9"/>
    <w:rsid w:val="00E03F06"/>
    <w:rsid w:val="00E03F3A"/>
    <w:rsid w:val="00E03F95"/>
    <w:rsid w:val="00E03FB5"/>
    <w:rsid w:val="00E03FEE"/>
    <w:rsid w:val="00E04081"/>
    <w:rsid w:val="00E0409D"/>
    <w:rsid w:val="00E04106"/>
    <w:rsid w:val="00E04121"/>
    <w:rsid w:val="00E0412C"/>
    <w:rsid w:val="00E04180"/>
    <w:rsid w:val="00E041C1"/>
    <w:rsid w:val="00E04203"/>
    <w:rsid w:val="00E0430E"/>
    <w:rsid w:val="00E04382"/>
    <w:rsid w:val="00E043EE"/>
    <w:rsid w:val="00E0443A"/>
    <w:rsid w:val="00E04444"/>
    <w:rsid w:val="00E04489"/>
    <w:rsid w:val="00E0448F"/>
    <w:rsid w:val="00E04497"/>
    <w:rsid w:val="00E044BB"/>
    <w:rsid w:val="00E04589"/>
    <w:rsid w:val="00E045C4"/>
    <w:rsid w:val="00E045D2"/>
    <w:rsid w:val="00E045DC"/>
    <w:rsid w:val="00E0464A"/>
    <w:rsid w:val="00E04695"/>
    <w:rsid w:val="00E04698"/>
    <w:rsid w:val="00E04700"/>
    <w:rsid w:val="00E0481D"/>
    <w:rsid w:val="00E0483F"/>
    <w:rsid w:val="00E04854"/>
    <w:rsid w:val="00E04856"/>
    <w:rsid w:val="00E04865"/>
    <w:rsid w:val="00E048C7"/>
    <w:rsid w:val="00E048EF"/>
    <w:rsid w:val="00E0496A"/>
    <w:rsid w:val="00E04970"/>
    <w:rsid w:val="00E04973"/>
    <w:rsid w:val="00E04A69"/>
    <w:rsid w:val="00E04AB9"/>
    <w:rsid w:val="00E04AEC"/>
    <w:rsid w:val="00E04C49"/>
    <w:rsid w:val="00E04CDD"/>
    <w:rsid w:val="00E04D00"/>
    <w:rsid w:val="00E04D3D"/>
    <w:rsid w:val="00E04E08"/>
    <w:rsid w:val="00E04E0A"/>
    <w:rsid w:val="00E04E48"/>
    <w:rsid w:val="00E04E89"/>
    <w:rsid w:val="00E04E92"/>
    <w:rsid w:val="00E04EBE"/>
    <w:rsid w:val="00E04ED1"/>
    <w:rsid w:val="00E04EE0"/>
    <w:rsid w:val="00E04F09"/>
    <w:rsid w:val="00E04F10"/>
    <w:rsid w:val="00E04F1C"/>
    <w:rsid w:val="00E04FAA"/>
    <w:rsid w:val="00E0502A"/>
    <w:rsid w:val="00E05030"/>
    <w:rsid w:val="00E05043"/>
    <w:rsid w:val="00E050CD"/>
    <w:rsid w:val="00E050F0"/>
    <w:rsid w:val="00E05132"/>
    <w:rsid w:val="00E0517E"/>
    <w:rsid w:val="00E051A8"/>
    <w:rsid w:val="00E051AD"/>
    <w:rsid w:val="00E051BA"/>
    <w:rsid w:val="00E052AD"/>
    <w:rsid w:val="00E0534A"/>
    <w:rsid w:val="00E0535E"/>
    <w:rsid w:val="00E05363"/>
    <w:rsid w:val="00E053C3"/>
    <w:rsid w:val="00E05415"/>
    <w:rsid w:val="00E05451"/>
    <w:rsid w:val="00E0545D"/>
    <w:rsid w:val="00E05464"/>
    <w:rsid w:val="00E0549A"/>
    <w:rsid w:val="00E05579"/>
    <w:rsid w:val="00E0559D"/>
    <w:rsid w:val="00E05648"/>
    <w:rsid w:val="00E05678"/>
    <w:rsid w:val="00E05693"/>
    <w:rsid w:val="00E05710"/>
    <w:rsid w:val="00E0571E"/>
    <w:rsid w:val="00E05787"/>
    <w:rsid w:val="00E057B1"/>
    <w:rsid w:val="00E057E3"/>
    <w:rsid w:val="00E0583F"/>
    <w:rsid w:val="00E058A6"/>
    <w:rsid w:val="00E058BB"/>
    <w:rsid w:val="00E058EC"/>
    <w:rsid w:val="00E058F7"/>
    <w:rsid w:val="00E05923"/>
    <w:rsid w:val="00E05966"/>
    <w:rsid w:val="00E05990"/>
    <w:rsid w:val="00E05998"/>
    <w:rsid w:val="00E059B5"/>
    <w:rsid w:val="00E059C6"/>
    <w:rsid w:val="00E05A10"/>
    <w:rsid w:val="00E05A4A"/>
    <w:rsid w:val="00E05AD0"/>
    <w:rsid w:val="00E05AD1"/>
    <w:rsid w:val="00E05BB9"/>
    <w:rsid w:val="00E05C15"/>
    <w:rsid w:val="00E05C7E"/>
    <w:rsid w:val="00E05C94"/>
    <w:rsid w:val="00E05C9C"/>
    <w:rsid w:val="00E05D5D"/>
    <w:rsid w:val="00E05DF5"/>
    <w:rsid w:val="00E05E1D"/>
    <w:rsid w:val="00E05E51"/>
    <w:rsid w:val="00E05F95"/>
    <w:rsid w:val="00E0601D"/>
    <w:rsid w:val="00E0602F"/>
    <w:rsid w:val="00E0606F"/>
    <w:rsid w:val="00E06077"/>
    <w:rsid w:val="00E0608E"/>
    <w:rsid w:val="00E060F2"/>
    <w:rsid w:val="00E060F9"/>
    <w:rsid w:val="00E0611D"/>
    <w:rsid w:val="00E061E5"/>
    <w:rsid w:val="00E0622D"/>
    <w:rsid w:val="00E06230"/>
    <w:rsid w:val="00E06247"/>
    <w:rsid w:val="00E0626B"/>
    <w:rsid w:val="00E062BC"/>
    <w:rsid w:val="00E062D4"/>
    <w:rsid w:val="00E0635E"/>
    <w:rsid w:val="00E06374"/>
    <w:rsid w:val="00E063BE"/>
    <w:rsid w:val="00E063C5"/>
    <w:rsid w:val="00E06412"/>
    <w:rsid w:val="00E06453"/>
    <w:rsid w:val="00E0645E"/>
    <w:rsid w:val="00E06547"/>
    <w:rsid w:val="00E0658F"/>
    <w:rsid w:val="00E065D1"/>
    <w:rsid w:val="00E065F4"/>
    <w:rsid w:val="00E0660B"/>
    <w:rsid w:val="00E0662B"/>
    <w:rsid w:val="00E066AC"/>
    <w:rsid w:val="00E066F1"/>
    <w:rsid w:val="00E066F2"/>
    <w:rsid w:val="00E06715"/>
    <w:rsid w:val="00E067C1"/>
    <w:rsid w:val="00E06836"/>
    <w:rsid w:val="00E06871"/>
    <w:rsid w:val="00E068F2"/>
    <w:rsid w:val="00E06993"/>
    <w:rsid w:val="00E069AB"/>
    <w:rsid w:val="00E069BF"/>
    <w:rsid w:val="00E069DF"/>
    <w:rsid w:val="00E06A49"/>
    <w:rsid w:val="00E06A76"/>
    <w:rsid w:val="00E06AAC"/>
    <w:rsid w:val="00E06AB4"/>
    <w:rsid w:val="00E06AC4"/>
    <w:rsid w:val="00E06AD3"/>
    <w:rsid w:val="00E06B89"/>
    <w:rsid w:val="00E06BCA"/>
    <w:rsid w:val="00E06BD1"/>
    <w:rsid w:val="00E06C0B"/>
    <w:rsid w:val="00E06CA2"/>
    <w:rsid w:val="00E06DDE"/>
    <w:rsid w:val="00E06E09"/>
    <w:rsid w:val="00E06E9C"/>
    <w:rsid w:val="00E06EEE"/>
    <w:rsid w:val="00E0706A"/>
    <w:rsid w:val="00E070B0"/>
    <w:rsid w:val="00E070B1"/>
    <w:rsid w:val="00E07188"/>
    <w:rsid w:val="00E071C8"/>
    <w:rsid w:val="00E0722F"/>
    <w:rsid w:val="00E07257"/>
    <w:rsid w:val="00E07277"/>
    <w:rsid w:val="00E07321"/>
    <w:rsid w:val="00E0737D"/>
    <w:rsid w:val="00E073AE"/>
    <w:rsid w:val="00E073CD"/>
    <w:rsid w:val="00E07483"/>
    <w:rsid w:val="00E0748D"/>
    <w:rsid w:val="00E074A8"/>
    <w:rsid w:val="00E074C8"/>
    <w:rsid w:val="00E0750E"/>
    <w:rsid w:val="00E07538"/>
    <w:rsid w:val="00E07559"/>
    <w:rsid w:val="00E0758A"/>
    <w:rsid w:val="00E075DB"/>
    <w:rsid w:val="00E076C1"/>
    <w:rsid w:val="00E076DD"/>
    <w:rsid w:val="00E076E2"/>
    <w:rsid w:val="00E07754"/>
    <w:rsid w:val="00E07759"/>
    <w:rsid w:val="00E077A6"/>
    <w:rsid w:val="00E077AB"/>
    <w:rsid w:val="00E077AF"/>
    <w:rsid w:val="00E077C8"/>
    <w:rsid w:val="00E077FC"/>
    <w:rsid w:val="00E07809"/>
    <w:rsid w:val="00E0783B"/>
    <w:rsid w:val="00E07890"/>
    <w:rsid w:val="00E078DD"/>
    <w:rsid w:val="00E078ED"/>
    <w:rsid w:val="00E07925"/>
    <w:rsid w:val="00E07951"/>
    <w:rsid w:val="00E079AE"/>
    <w:rsid w:val="00E07A22"/>
    <w:rsid w:val="00E07A52"/>
    <w:rsid w:val="00E07A5E"/>
    <w:rsid w:val="00E07A66"/>
    <w:rsid w:val="00E07AA5"/>
    <w:rsid w:val="00E07BC1"/>
    <w:rsid w:val="00E07C12"/>
    <w:rsid w:val="00E07C72"/>
    <w:rsid w:val="00E07CF2"/>
    <w:rsid w:val="00E07D27"/>
    <w:rsid w:val="00E07D75"/>
    <w:rsid w:val="00E07D80"/>
    <w:rsid w:val="00E07DE9"/>
    <w:rsid w:val="00E07E00"/>
    <w:rsid w:val="00E07E32"/>
    <w:rsid w:val="00E07E3B"/>
    <w:rsid w:val="00E07EC6"/>
    <w:rsid w:val="00E07EE3"/>
    <w:rsid w:val="00E07F4B"/>
    <w:rsid w:val="00E07F8D"/>
    <w:rsid w:val="00E07FB2"/>
    <w:rsid w:val="00E1001F"/>
    <w:rsid w:val="00E10023"/>
    <w:rsid w:val="00E1002E"/>
    <w:rsid w:val="00E10030"/>
    <w:rsid w:val="00E1006F"/>
    <w:rsid w:val="00E100B7"/>
    <w:rsid w:val="00E100C5"/>
    <w:rsid w:val="00E10123"/>
    <w:rsid w:val="00E10160"/>
    <w:rsid w:val="00E10171"/>
    <w:rsid w:val="00E101E2"/>
    <w:rsid w:val="00E101FD"/>
    <w:rsid w:val="00E10229"/>
    <w:rsid w:val="00E102BE"/>
    <w:rsid w:val="00E102CD"/>
    <w:rsid w:val="00E10304"/>
    <w:rsid w:val="00E1030A"/>
    <w:rsid w:val="00E1032E"/>
    <w:rsid w:val="00E10338"/>
    <w:rsid w:val="00E1038B"/>
    <w:rsid w:val="00E1038C"/>
    <w:rsid w:val="00E103F7"/>
    <w:rsid w:val="00E10435"/>
    <w:rsid w:val="00E10482"/>
    <w:rsid w:val="00E10488"/>
    <w:rsid w:val="00E104AD"/>
    <w:rsid w:val="00E104CE"/>
    <w:rsid w:val="00E104E6"/>
    <w:rsid w:val="00E1052D"/>
    <w:rsid w:val="00E1061B"/>
    <w:rsid w:val="00E10625"/>
    <w:rsid w:val="00E106AE"/>
    <w:rsid w:val="00E106B8"/>
    <w:rsid w:val="00E106E2"/>
    <w:rsid w:val="00E1076B"/>
    <w:rsid w:val="00E1077E"/>
    <w:rsid w:val="00E1078A"/>
    <w:rsid w:val="00E10879"/>
    <w:rsid w:val="00E108C3"/>
    <w:rsid w:val="00E108D0"/>
    <w:rsid w:val="00E108D2"/>
    <w:rsid w:val="00E108D9"/>
    <w:rsid w:val="00E1092F"/>
    <w:rsid w:val="00E1094E"/>
    <w:rsid w:val="00E1096F"/>
    <w:rsid w:val="00E10A92"/>
    <w:rsid w:val="00E10AAA"/>
    <w:rsid w:val="00E10AFD"/>
    <w:rsid w:val="00E10B39"/>
    <w:rsid w:val="00E10B6D"/>
    <w:rsid w:val="00E10B99"/>
    <w:rsid w:val="00E10BD2"/>
    <w:rsid w:val="00E10C27"/>
    <w:rsid w:val="00E10C33"/>
    <w:rsid w:val="00E10C6D"/>
    <w:rsid w:val="00E10CAF"/>
    <w:rsid w:val="00E10CB9"/>
    <w:rsid w:val="00E10CDC"/>
    <w:rsid w:val="00E10CFF"/>
    <w:rsid w:val="00E10D10"/>
    <w:rsid w:val="00E10D14"/>
    <w:rsid w:val="00E10D37"/>
    <w:rsid w:val="00E10D71"/>
    <w:rsid w:val="00E10D77"/>
    <w:rsid w:val="00E10E1C"/>
    <w:rsid w:val="00E10E26"/>
    <w:rsid w:val="00E10E7B"/>
    <w:rsid w:val="00E10E81"/>
    <w:rsid w:val="00E10EBD"/>
    <w:rsid w:val="00E10F07"/>
    <w:rsid w:val="00E10F3C"/>
    <w:rsid w:val="00E1101C"/>
    <w:rsid w:val="00E11043"/>
    <w:rsid w:val="00E111B4"/>
    <w:rsid w:val="00E1124A"/>
    <w:rsid w:val="00E112B9"/>
    <w:rsid w:val="00E112E1"/>
    <w:rsid w:val="00E112E3"/>
    <w:rsid w:val="00E1136E"/>
    <w:rsid w:val="00E11377"/>
    <w:rsid w:val="00E11381"/>
    <w:rsid w:val="00E1138E"/>
    <w:rsid w:val="00E113B3"/>
    <w:rsid w:val="00E113C0"/>
    <w:rsid w:val="00E113CF"/>
    <w:rsid w:val="00E1143B"/>
    <w:rsid w:val="00E1146F"/>
    <w:rsid w:val="00E114AF"/>
    <w:rsid w:val="00E114C0"/>
    <w:rsid w:val="00E114CB"/>
    <w:rsid w:val="00E11577"/>
    <w:rsid w:val="00E116F5"/>
    <w:rsid w:val="00E116FA"/>
    <w:rsid w:val="00E11770"/>
    <w:rsid w:val="00E117C8"/>
    <w:rsid w:val="00E11803"/>
    <w:rsid w:val="00E11896"/>
    <w:rsid w:val="00E11937"/>
    <w:rsid w:val="00E119AD"/>
    <w:rsid w:val="00E11A15"/>
    <w:rsid w:val="00E11A3D"/>
    <w:rsid w:val="00E11A44"/>
    <w:rsid w:val="00E11A49"/>
    <w:rsid w:val="00E11A7E"/>
    <w:rsid w:val="00E11AEE"/>
    <w:rsid w:val="00E11B2D"/>
    <w:rsid w:val="00E11BDA"/>
    <w:rsid w:val="00E11BFA"/>
    <w:rsid w:val="00E11C22"/>
    <w:rsid w:val="00E11C44"/>
    <w:rsid w:val="00E11C92"/>
    <w:rsid w:val="00E11D0F"/>
    <w:rsid w:val="00E11D2B"/>
    <w:rsid w:val="00E11D4C"/>
    <w:rsid w:val="00E11D7D"/>
    <w:rsid w:val="00E11E2D"/>
    <w:rsid w:val="00E11E3F"/>
    <w:rsid w:val="00E11FBB"/>
    <w:rsid w:val="00E11FFA"/>
    <w:rsid w:val="00E12050"/>
    <w:rsid w:val="00E12099"/>
    <w:rsid w:val="00E1209A"/>
    <w:rsid w:val="00E120D9"/>
    <w:rsid w:val="00E120E2"/>
    <w:rsid w:val="00E120E7"/>
    <w:rsid w:val="00E120EA"/>
    <w:rsid w:val="00E1213C"/>
    <w:rsid w:val="00E121A4"/>
    <w:rsid w:val="00E1223C"/>
    <w:rsid w:val="00E1224F"/>
    <w:rsid w:val="00E12250"/>
    <w:rsid w:val="00E1226D"/>
    <w:rsid w:val="00E12278"/>
    <w:rsid w:val="00E1227A"/>
    <w:rsid w:val="00E12320"/>
    <w:rsid w:val="00E12383"/>
    <w:rsid w:val="00E123DD"/>
    <w:rsid w:val="00E1248A"/>
    <w:rsid w:val="00E124CF"/>
    <w:rsid w:val="00E124E9"/>
    <w:rsid w:val="00E12569"/>
    <w:rsid w:val="00E1257B"/>
    <w:rsid w:val="00E1259A"/>
    <w:rsid w:val="00E125CC"/>
    <w:rsid w:val="00E125FC"/>
    <w:rsid w:val="00E12658"/>
    <w:rsid w:val="00E1265F"/>
    <w:rsid w:val="00E12665"/>
    <w:rsid w:val="00E1267F"/>
    <w:rsid w:val="00E126C2"/>
    <w:rsid w:val="00E126FD"/>
    <w:rsid w:val="00E1272C"/>
    <w:rsid w:val="00E12734"/>
    <w:rsid w:val="00E1274F"/>
    <w:rsid w:val="00E12764"/>
    <w:rsid w:val="00E12786"/>
    <w:rsid w:val="00E1280D"/>
    <w:rsid w:val="00E129C8"/>
    <w:rsid w:val="00E129FF"/>
    <w:rsid w:val="00E12A20"/>
    <w:rsid w:val="00E12A32"/>
    <w:rsid w:val="00E12A38"/>
    <w:rsid w:val="00E12A80"/>
    <w:rsid w:val="00E12A8B"/>
    <w:rsid w:val="00E12B84"/>
    <w:rsid w:val="00E12BC6"/>
    <w:rsid w:val="00E12BF5"/>
    <w:rsid w:val="00E12BFE"/>
    <w:rsid w:val="00E12CA3"/>
    <w:rsid w:val="00E12CAA"/>
    <w:rsid w:val="00E12CBA"/>
    <w:rsid w:val="00E12CD5"/>
    <w:rsid w:val="00E12D65"/>
    <w:rsid w:val="00E12E00"/>
    <w:rsid w:val="00E12E08"/>
    <w:rsid w:val="00E12E48"/>
    <w:rsid w:val="00E12EBA"/>
    <w:rsid w:val="00E12EFA"/>
    <w:rsid w:val="00E12F23"/>
    <w:rsid w:val="00E13030"/>
    <w:rsid w:val="00E13041"/>
    <w:rsid w:val="00E13048"/>
    <w:rsid w:val="00E13051"/>
    <w:rsid w:val="00E13066"/>
    <w:rsid w:val="00E130A6"/>
    <w:rsid w:val="00E130E7"/>
    <w:rsid w:val="00E1312B"/>
    <w:rsid w:val="00E13135"/>
    <w:rsid w:val="00E131A6"/>
    <w:rsid w:val="00E131AB"/>
    <w:rsid w:val="00E131BE"/>
    <w:rsid w:val="00E131CF"/>
    <w:rsid w:val="00E131DC"/>
    <w:rsid w:val="00E131F4"/>
    <w:rsid w:val="00E13253"/>
    <w:rsid w:val="00E13261"/>
    <w:rsid w:val="00E13290"/>
    <w:rsid w:val="00E132AE"/>
    <w:rsid w:val="00E13316"/>
    <w:rsid w:val="00E13339"/>
    <w:rsid w:val="00E13386"/>
    <w:rsid w:val="00E13388"/>
    <w:rsid w:val="00E1338A"/>
    <w:rsid w:val="00E13392"/>
    <w:rsid w:val="00E133D7"/>
    <w:rsid w:val="00E133E2"/>
    <w:rsid w:val="00E13407"/>
    <w:rsid w:val="00E13408"/>
    <w:rsid w:val="00E13428"/>
    <w:rsid w:val="00E1343A"/>
    <w:rsid w:val="00E13471"/>
    <w:rsid w:val="00E13476"/>
    <w:rsid w:val="00E134D1"/>
    <w:rsid w:val="00E134E2"/>
    <w:rsid w:val="00E13510"/>
    <w:rsid w:val="00E1354D"/>
    <w:rsid w:val="00E1355F"/>
    <w:rsid w:val="00E1357F"/>
    <w:rsid w:val="00E135F6"/>
    <w:rsid w:val="00E135F9"/>
    <w:rsid w:val="00E13632"/>
    <w:rsid w:val="00E1363E"/>
    <w:rsid w:val="00E1364B"/>
    <w:rsid w:val="00E1364E"/>
    <w:rsid w:val="00E13672"/>
    <w:rsid w:val="00E13681"/>
    <w:rsid w:val="00E1371C"/>
    <w:rsid w:val="00E1375D"/>
    <w:rsid w:val="00E13763"/>
    <w:rsid w:val="00E13771"/>
    <w:rsid w:val="00E137AA"/>
    <w:rsid w:val="00E1382E"/>
    <w:rsid w:val="00E13872"/>
    <w:rsid w:val="00E13A06"/>
    <w:rsid w:val="00E13A71"/>
    <w:rsid w:val="00E13A96"/>
    <w:rsid w:val="00E13A99"/>
    <w:rsid w:val="00E13AC8"/>
    <w:rsid w:val="00E13B14"/>
    <w:rsid w:val="00E13B3E"/>
    <w:rsid w:val="00E13C45"/>
    <w:rsid w:val="00E13CAA"/>
    <w:rsid w:val="00E13CC5"/>
    <w:rsid w:val="00E13D77"/>
    <w:rsid w:val="00E13DAC"/>
    <w:rsid w:val="00E13DC7"/>
    <w:rsid w:val="00E13DCA"/>
    <w:rsid w:val="00E13E03"/>
    <w:rsid w:val="00E13E18"/>
    <w:rsid w:val="00E13E27"/>
    <w:rsid w:val="00E13E4E"/>
    <w:rsid w:val="00E13E90"/>
    <w:rsid w:val="00E13EC2"/>
    <w:rsid w:val="00E13EE5"/>
    <w:rsid w:val="00E13FE0"/>
    <w:rsid w:val="00E140A7"/>
    <w:rsid w:val="00E140F1"/>
    <w:rsid w:val="00E14104"/>
    <w:rsid w:val="00E14117"/>
    <w:rsid w:val="00E14141"/>
    <w:rsid w:val="00E141C4"/>
    <w:rsid w:val="00E1423A"/>
    <w:rsid w:val="00E14259"/>
    <w:rsid w:val="00E14397"/>
    <w:rsid w:val="00E143FA"/>
    <w:rsid w:val="00E1447B"/>
    <w:rsid w:val="00E14481"/>
    <w:rsid w:val="00E14522"/>
    <w:rsid w:val="00E1452D"/>
    <w:rsid w:val="00E14537"/>
    <w:rsid w:val="00E14560"/>
    <w:rsid w:val="00E14592"/>
    <w:rsid w:val="00E145BF"/>
    <w:rsid w:val="00E1465F"/>
    <w:rsid w:val="00E146A8"/>
    <w:rsid w:val="00E146C7"/>
    <w:rsid w:val="00E146CF"/>
    <w:rsid w:val="00E14733"/>
    <w:rsid w:val="00E14753"/>
    <w:rsid w:val="00E147C7"/>
    <w:rsid w:val="00E14814"/>
    <w:rsid w:val="00E1484F"/>
    <w:rsid w:val="00E14895"/>
    <w:rsid w:val="00E148A7"/>
    <w:rsid w:val="00E148B2"/>
    <w:rsid w:val="00E148B5"/>
    <w:rsid w:val="00E148D9"/>
    <w:rsid w:val="00E14A42"/>
    <w:rsid w:val="00E14A47"/>
    <w:rsid w:val="00E14A55"/>
    <w:rsid w:val="00E14A57"/>
    <w:rsid w:val="00E14AAE"/>
    <w:rsid w:val="00E14AB2"/>
    <w:rsid w:val="00E14AD8"/>
    <w:rsid w:val="00E14B05"/>
    <w:rsid w:val="00E14B27"/>
    <w:rsid w:val="00E14B64"/>
    <w:rsid w:val="00E14BF9"/>
    <w:rsid w:val="00E14CCA"/>
    <w:rsid w:val="00E14CFE"/>
    <w:rsid w:val="00E14D33"/>
    <w:rsid w:val="00E14D34"/>
    <w:rsid w:val="00E14D6E"/>
    <w:rsid w:val="00E14D7A"/>
    <w:rsid w:val="00E14DAE"/>
    <w:rsid w:val="00E14DB2"/>
    <w:rsid w:val="00E14DD5"/>
    <w:rsid w:val="00E14DDA"/>
    <w:rsid w:val="00E14DE4"/>
    <w:rsid w:val="00E14DF6"/>
    <w:rsid w:val="00E14E0B"/>
    <w:rsid w:val="00E14E1E"/>
    <w:rsid w:val="00E14F3D"/>
    <w:rsid w:val="00E14F6A"/>
    <w:rsid w:val="00E14FAA"/>
    <w:rsid w:val="00E14FCB"/>
    <w:rsid w:val="00E14FE0"/>
    <w:rsid w:val="00E1501A"/>
    <w:rsid w:val="00E1502E"/>
    <w:rsid w:val="00E15043"/>
    <w:rsid w:val="00E15048"/>
    <w:rsid w:val="00E1507B"/>
    <w:rsid w:val="00E150E4"/>
    <w:rsid w:val="00E150E8"/>
    <w:rsid w:val="00E15111"/>
    <w:rsid w:val="00E1511D"/>
    <w:rsid w:val="00E15194"/>
    <w:rsid w:val="00E151B5"/>
    <w:rsid w:val="00E151BC"/>
    <w:rsid w:val="00E15236"/>
    <w:rsid w:val="00E15243"/>
    <w:rsid w:val="00E15269"/>
    <w:rsid w:val="00E15273"/>
    <w:rsid w:val="00E15275"/>
    <w:rsid w:val="00E152A8"/>
    <w:rsid w:val="00E152D1"/>
    <w:rsid w:val="00E15383"/>
    <w:rsid w:val="00E15424"/>
    <w:rsid w:val="00E15474"/>
    <w:rsid w:val="00E154B8"/>
    <w:rsid w:val="00E154E5"/>
    <w:rsid w:val="00E15515"/>
    <w:rsid w:val="00E1551A"/>
    <w:rsid w:val="00E15539"/>
    <w:rsid w:val="00E15550"/>
    <w:rsid w:val="00E15600"/>
    <w:rsid w:val="00E15656"/>
    <w:rsid w:val="00E15672"/>
    <w:rsid w:val="00E156A9"/>
    <w:rsid w:val="00E157CF"/>
    <w:rsid w:val="00E157F6"/>
    <w:rsid w:val="00E15805"/>
    <w:rsid w:val="00E15818"/>
    <w:rsid w:val="00E15898"/>
    <w:rsid w:val="00E158C4"/>
    <w:rsid w:val="00E15995"/>
    <w:rsid w:val="00E15996"/>
    <w:rsid w:val="00E1599F"/>
    <w:rsid w:val="00E159AE"/>
    <w:rsid w:val="00E159FD"/>
    <w:rsid w:val="00E15A75"/>
    <w:rsid w:val="00E15AA8"/>
    <w:rsid w:val="00E15B63"/>
    <w:rsid w:val="00E15B67"/>
    <w:rsid w:val="00E15BA1"/>
    <w:rsid w:val="00E15BF0"/>
    <w:rsid w:val="00E15C02"/>
    <w:rsid w:val="00E15C1C"/>
    <w:rsid w:val="00E15C84"/>
    <w:rsid w:val="00E15CA8"/>
    <w:rsid w:val="00E15CE7"/>
    <w:rsid w:val="00E15D14"/>
    <w:rsid w:val="00E15D4B"/>
    <w:rsid w:val="00E15D92"/>
    <w:rsid w:val="00E15DAF"/>
    <w:rsid w:val="00E15E38"/>
    <w:rsid w:val="00E15E5A"/>
    <w:rsid w:val="00E15E8C"/>
    <w:rsid w:val="00E15EDF"/>
    <w:rsid w:val="00E15EFF"/>
    <w:rsid w:val="00E15F10"/>
    <w:rsid w:val="00E15F5C"/>
    <w:rsid w:val="00E15F90"/>
    <w:rsid w:val="00E15F9D"/>
    <w:rsid w:val="00E15F9F"/>
    <w:rsid w:val="00E15FE8"/>
    <w:rsid w:val="00E16034"/>
    <w:rsid w:val="00E16036"/>
    <w:rsid w:val="00E16070"/>
    <w:rsid w:val="00E1609D"/>
    <w:rsid w:val="00E1617F"/>
    <w:rsid w:val="00E161A1"/>
    <w:rsid w:val="00E161F5"/>
    <w:rsid w:val="00E162A7"/>
    <w:rsid w:val="00E162B4"/>
    <w:rsid w:val="00E162BE"/>
    <w:rsid w:val="00E16315"/>
    <w:rsid w:val="00E1632A"/>
    <w:rsid w:val="00E16340"/>
    <w:rsid w:val="00E1634D"/>
    <w:rsid w:val="00E1637B"/>
    <w:rsid w:val="00E163D0"/>
    <w:rsid w:val="00E16400"/>
    <w:rsid w:val="00E16442"/>
    <w:rsid w:val="00E16490"/>
    <w:rsid w:val="00E164C0"/>
    <w:rsid w:val="00E164E1"/>
    <w:rsid w:val="00E16510"/>
    <w:rsid w:val="00E1651E"/>
    <w:rsid w:val="00E1652A"/>
    <w:rsid w:val="00E16534"/>
    <w:rsid w:val="00E1655B"/>
    <w:rsid w:val="00E16572"/>
    <w:rsid w:val="00E165E8"/>
    <w:rsid w:val="00E16676"/>
    <w:rsid w:val="00E16689"/>
    <w:rsid w:val="00E1669A"/>
    <w:rsid w:val="00E1669D"/>
    <w:rsid w:val="00E166AB"/>
    <w:rsid w:val="00E1673C"/>
    <w:rsid w:val="00E16797"/>
    <w:rsid w:val="00E167F2"/>
    <w:rsid w:val="00E16828"/>
    <w:rsid w:val="00E16862"/>
    <w:rsid w:val="00E16949"/>
    <w:rsid w:val="00E16992"/>
    <w:rsid w:val="00E169BB"/>
    <w:rsid w:val="00E16A5D"/>
    <w:rsid w:val="00E16AA4"/>
    <w:rsid w:val="00E16AAC"/>
    <w:rsid w:val="00E16AD3"/>
    <w:rsid w:val="00E16AED"/>
    <w:rsid w:val="00E16AF7"/>
    <w:rsid w:val="00E16B26"/>
    <w:rsid w:val="00E16B40"/>
    <w:rsid w:val="00E16B7E"/>
    <w:rsid w:val="00E16BEF"/>
    <w:rsid w:val="00E16C17"/>
    <w:rsid w:val="00E16C32"/>
    <w:rsid w:val="00E16CB6"/>
    <w:rsid w:val="00E16CF6"/>
    <w:rsid w:val="00E16D0B"/>
    <w:rsid w:val="00E16D10"/>
    <w:rsid w:val="00E16D29"/>
    <w:rsid w:val="00E16E95"/>
    <w:rsid w:val="00E16EF8"/>
    <w:rsid w:val="00E16F09"/>
    <w:rsid w:val="00E16F2C"/>
    <w:rsid w:val="00E16F73"/>
    <w:rsid w:val="00E16FBF"/>
    <w:rsid w:val="00E1702C"/>
    <w:rsid w:val="00E1705E"/>
    <w:rsid w:val="00E170B4"/>
    <w:rsid w:val="00E170BB"/>
    <w:rsid w:val="00E1710C"/>
    <w:rsid w:val="00E17116"/>
    <w:rsid w:val="00E1715F"/>
    <w:rsid w:val="00E171BD"/>
    <w:rsid w:val="00E171F5"/>
    <w:rsid w:val="00E173B6"/>
    <w:rsid w:val="00E173E0"/>
    <w:rsid w:val="00E173E8"/>
    <w:rsid w:val="00E173FA"/>
    <w:rsid w:val="00E1740D"/>
    <w:rsid w:val="00E1741F"/>
    <w:rsid w:val="00E17463"/>
    <w:rsid w:val="00E174C0"/>
    <w:rsid w:val="00E174C7"/>
    <w:rsid w:val="00E17554"/>
    <w:rsid w:val="00E17596"/>
    <w:rsid w:val="00E17611"/>
    <w:rsid w:val="00E17634"/>
    <w:rsid w:val="00E17686"/>
    <w:rsid w:val="00E1768E"/>
    <w:rsid w:val="00E17691"/>
    <w:rsid w:val="00E176B2"/>
    <w:rsid w:val="00E176F5"/>
    <w:rsid w:val="00E1774C"/>
    <w:rsid w:val="00E1778B"/>
    <w:rsid w:val="00E1779C"/>
    <w:rsid w:val="00E1779E"/>
    <w:rsid w:val="00E177BD"/>
    <w:rsid w:val="00E177D6"/>
    <w:rsid w:val="00E177FF"/>
    <w:rsid w:val="00E17809"/>
    <w:rsid w:val="00E1782B"/>
    <w:rsid w:val="00E17899"/>
    <w:rsid w:val="00E178B0"/>
    <w:rsid w:val="00E178FD"/>
    <w:rsid w:val="00E1791F"/>
    <w:rsid w:val="00E17990"/>
    <w:rsid w:val="00E179A2"/>
    <w:rsid w:val="00E179BF"/>
    <w:rsid w:val="00E179E2"/>
    <w:rsid w:val="00E17A27"/>
    <w:rsid w:val="00E17A2D"/>
    <w:rsid w:val="00E17AEB"/>
    <w:rsid w:val="00E17B38"/>
    <w:rsid w:val="00E17BA0"/>
    <w:rsid w:val="00E17BB1"/>
    <w:rsid w:val="00E17C07"/>
    <w:rsid w:val="00E17C1B"/>
    <w:rsid w:val="00E17C36"/>
    <w:rsid w:val="00E17C49"/>
    <w:rsid w:val="00E17C7C"/>
    <w:rsid w:val="00E17C9D"/>
    <w:rsid w:val="00E17CB0"/>
    <w:rsid w:val="00E17CBE"/>
    <w:rsid w:val="00E17D16"/>
    <w:rsid w:val="00E17D1E"/>
    <w:rsid w:val="00E17D79"/>
    <w:rsid w:val="00E17E08"/>
    <w:rsid w:val="00E17E29"/>
    <w:rsid w:val="00E17E35"/>
    <w:rsid w:val="00E17E62"/>
    <w:rsid w:val="00E17EBD"/>
    <w:rsid w:val="00E17EDF"/>
    <w:rsid w:val="00E17F0F"/>
    <w:rsid w:val="00E17F34"/>
    <w:rsid w:val="00E17F82"/>
    <w:rsid w:val="00E20006"/>
    <w:rsid w:val="00E2003C"/>
    <w:rsid w:val="00E200A8"/>
    <w:rsid w:val="00E200BD"/>
    <w:rsid w:val="00E20123"/>
    <w:rsid w:val="00E20193"/>
    <w:rsid w:val="00E201C2"/>
    <w:rsid w:val="00E2026F"/>
    <w:rsid w:val="00E20285"/>
    <w:rsid w:val="00E2032D"/>
    <w:rsid w:val="00E20376"/>
    <w:rsid w:val="00E203BF"/>
    <w:rsid w:val="00E203CD"/>
    <w:rsid w:val="00E203D4"/>
    <w:rsid w:val="00E203DD"/>
    <w:rsid w:val="00E20459"/>
    <w:rsid w:val="00E20497"/>
    <w:rsid w:val="00E204D8"/>
    <w:rsid w:val="00E2057E"/>
    <w:rsid w:val="00E20584"/>
    <w:rsid w:val="00E20668"/>
    <w:rsid w:val="00E206CA"/>
    <w:rsid w:val="00E20703"/>
    <w:rsid w:val="00E2075B"/>
    <w:rsid w:val="00E2075E"/>
    <w:rsid w:val="00E20772"/>
    <w:rsid w:val="00E207F0"/>
    <w:rsid w:val="00E2087D"/>
    <w:rsid w:val="00E20902"/>
    <w:rsid w:val="00E20910"/>
    <w:rsid w:val="00E20970"/>
    <w:rsid w:val="00E2098B"/>
    <w:rsid w:val="00E20999"/>
    <w:rsid w:val="00E209AD"/>
    <w:rsid w:val="00E209CA"/>
    <w:rsid w:val="00E209EB"/>
    <w:rsid w:val="00E209F0"/>
    <w:rsid w:val="00E20A24"/>
    <w:rsid w:val="00E20A44"/>
    <w:rsid w:val="00E20A52"/>
    <w:rsid w:val="00E20AAB"/>
    <w:rsid w:val="00E20AD9"/>
    <w:rsid w:val="00E20AEB"/>
    <w:rsid w:val="00E20B46"/>
    <w:rsid w:val="00E20B69"/>
    <w:rsid w:val="00E20B95"/>
    <w:rsid w:val="00E20C1A"/>
    <w:rsid w:val="00E20C1C"/>
    <w:rsid w:val="00E20C37"/>
    <w:rsid w:val="00E20C5D"/>
    <w:rsid w:val="00E20CE6"/>
    <w:rsid w:val="00E20CF5"/>
    <w:rsid w:val="00E20D30"/>
    <w:rsid w:val="00E20D34"/>
    <w:rsid w:val="00E20DB2"/>
    <w:rsid w:val="00E20DB8"/>
    <w:rsid w:val="00E20DFD"/>
    <w:rsid w:val="00E20E2A"/>
    <w:rsid w:val="00E20E2C"/>
    <w:rsid w:val="00E20E81"/>
    <w:rsid w:val="00E20EC3"/>
    <w:rsid w:val="00E20EC8"/>
    <w:rsid w:val="00E20F5C"/>
    <w:rsid w:val="00E20F71"/>
    <w:rsid w:val="00E20F99"/>
    <w:rsid w:val="00E20FAC"/>
    <w:rsid w:val="00E21024"/>
    <w:rsid w:val="00E2102D"/>
    <w:rsid w:val="00E21078"/>
    <w:rsid w:val="00E210E7"/>
    <w:rsid w:val="00E211C4"/>
    <w:rsid w:val="00E211C8"/>
    <w:rsid w:val="00E212C1"/>
    <w:rsid w:val="00E212EF"/>
    <w:rsid w:val="00E21371"/>
    <w:rsid w:val="00E21416"/>
    <w:rsid w:val="00E21484"/>
    <w:rsid w:val="00E2149E"/>
    <w:rsid w:val="00E214C7"/>
    <w:rsid w:val="00E214D3"/>
    <w:rsid w:val="00E215D8"/>
    <w:rsid w:val="00E215F7"/>
    <w:rsid w:val="00E21614"/>
    <w:rsid w:val="00E2166F"/>
    <w:rsid w:val="00E216A1"/>
    <w:rsid w:val="00E21716"/>
    <w:rsid w:val="00E2174B"/>
    <w:rsid w:val="00E2177F"/>
    <w:rsid w:val="00E2179E"/>
    <w:rsid w:val="00E21800"/>
    <w:rsid w:val="00E21864"/>
    <w:rsid w:val="00E21898"/>
    <w:rsid w:val="00E21923"/>
    <w:rsid w:val="00E219CE"/>
    <w:rsid w:val="00E21A3A"/>
    <w:rsid w:val="00E21A3D"/>
    <w:rsid w:val="00E21A3F"/>
    <w:rsid w:val="00E21A68"/>
    <w:rsid w:val="00E21ADD"/>
    <w:rsid w:val="00E21AED"/>
    <w:rsid w:val="00E21AF7"/>
    <w:rsid w:val="00E21B01"/>
    <w:rsid w:val="00E21B3E"/>
    <w:rsid w:val="00E21B4A"/>
    <w:rsid w:val="00E21B6B"/>
    <w:rsid w:val="00E21BA7"/>
    <w:rsid w:val="00E21BB9"/>
    <w:rsid w:val="00E21BCA"/>
    <w:rsid w:val="00E21BD6"/>
    <w:rsid w:val="00E21C25"/>
    <w:rsid w:val="00E21C4B"/>
    <w:rsid w:val="00E21C50"/>
    <w:rsid w:val="00E21D43"/>
    <w:rsid w:val="00E21D5D"/>
    <w:rsid w:val="00E21DBC"/>
    <w:rsid w:val="00E21E76"/>
    <w:rsid w:val="00E21EA9"/>
    <w:rsid w:val="00E21EDF"/>
    <w:rsid w:val="00E21F57"/>
    <w:rsid w:val="00E21F85"/>
    <w:rsid w:val="00E21FB1"/>
    <w:rsid w:val="00E21FCD"/>
    <w:rsid w:val="00E22056"/>
    <w:rsid w:val="00E22058"/>
    <w:rsid w:val="00E22071"/>
    <w:rsid w:val="00E22088"/>
    <w:rsid w:val="00E220A9"/>
    <w:rsid w:val="00E2210B"/>
    <w:rsid w:val="00E2210D"/>
    <w:rsid w:val="00E22112"/>
    <w:rsid w:val="00E22125"/>
    <w:rsid w:val="00E221AA"/>
    <w:rsid w:val="00E221CA"/>
    <w:rsid w:val="00E221EB"/>
    <w:rsid w:val="00E22261"/>
    <w:rsid w:val="00E22274"/>
    <w:rsid w:val="00E222B8"/>
    <w:rsid w:val="00E222DC"/>
    <w:rsid w:val="00E222F6"/>
    <w:rsid w:val="00E22301"/>
    <w:rsid w:val="00E2232B"/>
    <w:rsid w:val="00E22377"/>
    <w:rsid w:val="00E22398"/>
    <w:rsid w:val="00E223D0"/>
    <w:rsid w:val="00E22403"/>
    <w:rsid w:val="00E22431"/>
    <w:rsid w:val="00E2246A"/>
    <w:rsid w:val="00E2249E"/>
    <w:rsid w:val="00E224B3"/>
    <w:rsid w:val="00E22557"/>
    <w:rsid w:val="00E22599"/>
    <w:rsid w:val="00E225A4"/>
    <w:rsid w:val="00E225C8"/>
    <w:rsid w:val="00E2269C"/>
    <w:rsid w:val="00E22702"/>
    <w:rsid w:val="00E22748"/>
    <w:rsid w:val="00E22799"/>
    <w:rsid w:val="00E2279E"/>
    <w:rsid w:val="00E22816"/>
    <w:rsid w:val="00E2281E"/>
    <w:rsid w:val="00E228F8"/>
    <w:rsid w:val="00E22929"/>
    <w:rsid w:val="00E22975"/>
    <w:rsid w:val="00E2297F"/>
    <w:rsid w:val="00E22A4C"/>
    <w:rsid w:val="00E22ABF"/>
    <w:rsid w:val="00E22B28"/>
    <w:rsid w:val="00E22B34"/>
    <w:rsid w:val="00E22B87"/>
    <w:rsid w:val="00E22C09"/>
    <w:rsid w:val="00E22C73"/>
    <w:rsid w:val="00E22CDA"/>
    <w:rsid w:val="00E22CE7"/>
    <w:rsid w:val="00E22D30"/>
    <w:rsid w:val="00E22D59"/>
    <w:rsid w:val="00E22D66"/>
    <w:rsid w:val="00E22D75"/>
    <w:rsid w:val="00E22DD3"/>
    <w:rsid w:val="00E22DEB"/>
    <w:rsid w:val="00E22DF8"/>
    <w:rsid w:val="00E22DFB"/>
    <w:rsid w:val="00E22E4C"/>
    <w:rsid w:val="00E22EAB"/>
    <w:rsid w:val="00E22F1A"/>
    <w:rsid w:val="00E22F42"/>
    <w:rsid w:val="00E22F43"/>
    <w:rsid w:val="00E22F5F"/>
    <w:rsid w:val="00E2306F"/>
    <w:rsid w:val="00E23074"/>
    <w:rsid w:val="00E23087"/>
    <w:rsid w:val="00E230A7"/>
    <w:rsid w:val="00E2317F"/>
    <w:rsid w:val="00E23196"/>
    <w:rsid w:val="00E231E3"/>
    <w:rsid w:val="00E232C7"/>
    <w:rsid w:val="00E232E5"/>
    <w:rsid w:val="00E232F4"/>
    <w:rsid w:val="00E234E1"/>
    <w:rsid w:val="00E23518"/>
    <w:rsid w:val="00E23531"/>
    <w:rsid w:val="00E23536"/>
    <w:rsid w:val="00E23562"/>
    <w:rsid w:val="00E2356A"/>
    <w:rsid w:val="00E235A5"/>
    <w:rsid w:val="00E23621"/>
    <w:rsid w:val="00E236A4"/>
    <w:rsid w:val="00E236A8"/>
    <w:rsid w:val="00E23720"/>
    <w:rsid w:val="00E23757"/>
    <w:rsid w:val="00E237C1"/>
    <w:rsid w:val="00E23804"/>
    <w:rsid w:val="00E2383B"/>
    <w:rsid w:val="00E23841"/>
    <w:rsid w:val="00E238C6"/>
    <w:rsid w:val="00E238D0"/>
    <w:rsid w:val="00E238D3"/>
    <w:rsid w:val="00E2391C"/>
    <w:rsid w:val="00E23988"/>
    <w:rsid w:val="00E239F3"/>
    <w:rsid w:val="00E239F6"/>
    <w:rsid w:val="00E23A1C"/>
    <w:rsid w:val="00E23A8F"/>
    <w:rsid w:val="00E23B14"/>
    <w:rsid w:val="00E23B71"/>
    <w:rsid w:val="00E23B8A"/>
    <w:rsid w:val="00E23B95"/>
    <w:rsid w:val="00E23B9C"/>
    <w:rsid w:val="00E23BAB"/>
    <w:rsid w:val="00E23BAC"/>
    <w:rsid w:val="00E23C1A"/>
    <w:rsid w:val="00E23C9F"/>
    <w:rsid w:val="00E23CA9"/>
    <w:rsid w:val="00E23CCC"/>
    <w:rsid w:val="00E23CFD"/>
    <w:rsid w:val="00E23D3D"/>
    <w:rsid w:val="00E23DF1"/>
    <w:rsid w:val="00E23E3A"/>
    <w:rsid w:val="00E23E61"/>
    <w:rsid w:val="00E23E7B"/>
    <w:rsid w:val="00E23EBE"/>
    <w:rsid w:val="00E23ECC"/>
    <w:rsid w:val="00E23ED1"/>
    <w:rsid w:val="00E23EE7"/>
    <w:rsid w:val="00E23EFA"/>
    <w:rsid w:val="00E23F04"/>
    <w:rsid w:val="00E23F7F"/>
    <w:rsid w:val="00E23FA5"/>
    <w:rsid w:val="00E24077"/>
    <w:rsid w:val="00E240C5"/>
    <w:rsid w:val="00E240CC"/>
    <w:rsid w:val="00E240D2"/>
    <w:rsid w:val="00E24131"/>
    <w:rsid w:val="00E24172"/>
    <w:rsid w:val="00E241AB"/>
    <w:rsid w:val="00E241ED"/>
    <w:rsid w:val="00E24277"/>
    <w:rsid w:val="00E2429D"/>
    <w:rsid w:val="00E2431D"/>
    <w:rsid w:val="00E2432C"/>
    <w:rsid w:val="00E24349"/>
    <w:rsid w:val="00E243C9"/>
    <w:rsid w:val="00E243D4"/>
    <w:rsid w:val="00E243D5"/>
    <w:rsid w:val="00E24423"/>
    <w:rsid w:val="00E2449E"/>
    <w:rsid w:val="00E244E1"/>
    <w:rsid w:val="00E24545"/>
    <w:rsid w:val="00E24548"/>
    <w:rsid w:val="00E2454E"/>
    <w:rsid w:val="00E24572"/>
    <w:rsid w:val="00E245E8"/>
    <w:rsid w:val="00E24613"/>
    <w:rsid w:val="00E2462F"/>
    <w:rsid w:val="00E24675"/>
    <w:rsid w:val="00E24720"/>
    <w:rsid w:val="00E247C6"/>
    <w:rsid w:val="00E247F1"/>
    <w:rsid w:val="00E24803"/>
    <w:rsid w:val="00E24814"/>
    <w:rsid w:val="00E24842"/>
    <w:rsid w:val="00E2484B"/>
    <w:rsid w:val="00E2486F"/>
    <w:rsid w:val="00E2488A"/>
    <w:rsid w:val="00E248E9"/>
    <w:rsid w:val="00E249DA"/>
    <w:rsid w:val="00E249F0"/>
    <w:rsid w:val="00E24A02"/>
    <w:rsid w:val="00E24A16"/>
    <w:rsid w:val="00E24A25"/>
    <w:rsid w:val="00E24A7E"/>
    <w:rsid w:val="00E24B51"/>
    <w:rsid w:val="00E24BCB"/>
    <w:rsid w:val="00E24BE5"/>
    <w:rsid w:val="00E24C45"/>
    <w:rsid w:val="00E24CC3"/>
    <w:rsid w:val="00E24D06"/>
    <w:rsid w:val="00E24D45"/>
    <w:rsid w:val="00E24D4B"/>
    <w:rsid w:val="00E24DA9"/>
    <w:rsid w:val="00E24DBF"/>
    <w:rsid w:val="00E24DD4"/>
    <w:rsid w:val="00E24DF8"/>
    <w:rsid w:val="00E24E17"/>
    <w:rsid w:val="00E24E41"/>
    <w:rsid w:val="00E24EAF"/>
    <w:rsid w:val="00E24ED1"/>
    <w:rsid w:val="00E24ED9"/>
    <w:rsid w:val="00E24EDE"/>
    <w:rsid w:val="00E24F24"/>
    <w:rsid w:val="00E24F6A"/>
    <w:rsid w:val="00E24F95"/>
    <w:rsid w:val="00E24FB3"/>
    <w:rsid w:val="00E24FE0"/>
    <w:rsid w:val="00E24FF4"/>
    <w:rsid w:val="00E25057"/>
    <w:rsid w:val="00E2506B"/>
    <w:rsid w:val="00E25089"/>
    <w:rsid w:val="00E250D5"/>
    <w:rsid w:val="00E251A6"/>
    <w:rsid w:val="00E2522C"/>
    <w:rsid w:val="00E252AF"/>
    <w:rsid w:val="00E252B1"/>
    <w:rsid w:val="00E252F2"/>
    <w:rsid w:val="00E254F4"/>
    <w:rsid w:val="00E254F9"/>
    <w:rsid w:val="00E2550F"/>
    <w:rsid w:val="00E25510"/>
    <w:rsid w:val="00E2551A"/>
    <w:rsid w:val="00E2556B"/>
    <w:rsid w:val="00E2556C"/>
    <w:rsid w:val="00E255A3"/>
    <w:rsid w:val="00E2560C"/>
    <w:rsid w:val="00E2560D"/>
    <w:rsid w:val="00E2563F"/>
    <w:rsid w:val="00E25666"/>
    <w:rsid w:val="00E256C1"/>
    <w:rsid w:val="00E256F2"/>
    <w:rsid w:val="00E256F9"/>
    <w:rsid w:val="00E25784"/>
    <w:rsid w:val="00E25793"/>
    <w:rsid w:val="00E257B6"/>
    <w:rsid w:val="00E257D2"/>
    <w:rsid w:val="00E257F8"/>
    <w:rsid w:val="00E258A3"/>
    <w:rsid w:val="00E258C0"/>
    <w:rsid w:val="00E258C2"/>
    <w:rsid w:val="00E258F4"/>
    <w:rsid w:val="00E25939"/>
    <w:rsid w:val="00E25951"/>
    <w:rsid w:val="00E259EB"/>
    <w:rsid w:val="00E25A6A"/>
    <w:rsid w:val="00E25AC3"/>
    <w:rsid w:val="00E25AEE"/>
    <w:rsid w:val="00E25B0C"/>
    <w:rsid w:val="00E25B12"/>
    <w:rsid w:val="00E25B19"/>
    <w:rsid w:val="00E25B69"/>
    <w:rsid w:val="00E25B87"/>
    <w:rsid w:val="00E25C09"/>
    <w:rsid w:val="00E25C21"/>
    <w:rsid w:val="00E25C7B"/>
    <w:rsid w:val="00E25C7E"/>
    <w:rsid w:val="00E25C84"/>
    <w:rsid w:val="00E25C95"/>
    <w:rsid w:val="00E25C9C"/>
    <w:rsid w:val="00E25CF2"/>
    <w:rsid w:val="00E25D4C"/>
    <w:rsid w:val="00E25E01"/>
    <w:rsid w:val="00E25E21"/>
    <w:rsid w:val="00E25E9C"/>
    <w:rsid w:val="00E25EAA"/>
    <w:rsid w:val="00E25EAE"/>
    <w:rsid w:val="00E25EC3"/>
    <w:rsid w:val="00E25EC4"/>
    <w:rsid w:val="00E25ED3"/>
    <w:rsid w:val="00E25EE3"/>
    <w:rsid w:val="00E25EFC"/>
    <w:rsid w:val="00E25F64"/>
    <w:rsid w:val="00E25F74"/>
    <w:rsid w:val="00E25F8E"/>
    <w:rsid w:val="00E25FDC"/>
    <w:rsid w:val="00E26062"/>
    <w:rsid w:val="00E26069"/>
    <w:rsid w:val="00E260A7"/>
    <w:rsid w:val="00E260B4"/>
    <w:rsid w:val="00E26142"/>
    <w:rsid w:val="00E26171"/>
    <w:rsid w:val="00E26193"/>
    <w:rsid w:val="00E261AF"/>
    <w:rsid w:val="00E261BD"/>
    <w:rsid w:val="00E26253"/>
    <w:rsid w:val="00E26257"/>
    <w:rsid w:val="00E2628E"/>
    <w:rsid w:val="00E262C6"/>
    <w:rsid w:val="00E2647E"/>
    <w:rsid w:val="00E26481"/>
    <w:rsid w:val="00E264BF"/>
    <w:rsid w:val="00E264D0"/>
    <w:rsid w:val="00E26541"/>
    <w:rsid w:val="00E265B4"/>
    <w:rsid w:val="00E265FC"/>
    <w:rsid w:val="00E26618"/>
    <w:rsid w:val="00E26647"/>
    <w:rsid w:val="00E2665C"/>
    <w:rsid w:val="00E266B5"/>
    <w:rsid w:val="00E26752"/>
    <w:rsid w:val="00E2677D"/>
    <w:rsid w:val="00E267AD"/>
    <w:rsid w:val="00E267C1"/>
    <w:rsid w:val="00E267E3"/>
    <w:rsid w:val="00E26804"/>
    <w:rsid w:val="00E2680C"/>
    <w:rsid w:val="00E2681B"/>
    <w:rsid w:val="00E26861"/>
    <w:rsid w:val="00E268BD"/>
    <w:rsid w:val="00E268F6"/>
    <w:rsid w:val="00E2697E"/>
    <w:rsid w:val="00E26999"/>
    <w:rsid w:val="00E269E1"/>
    <w:rsid w:val="00E269F1"/>
    <w:rsid w:val="00E26C52"/>
    <w:rsid w:val="00E26C6C"/>
    <w:rsid w:val="00E26C80"/>
    <w:rsid w:val="00E26CA5"/>
    <w:rsid w:val="00E26CA8"/>
    <w:rsid w:val="00E26D98"/>
    <w:rsid w:val="00E26DB8"/>
    <w:rsid w:val="00E26E39"/>
    <w:rsid w:val="00E26E5E"/>
    <w:rsid w:val="00E26E73"/>
    <w:rsid w:val="00E26E78"/>
    <w:rsid w:val="00E26EC1"/>
    <w:rsid w:val="00E26FA5"/>
    <w:rsid w:val="00E26FA8"/>
    <w:rsid w:val="00E26FB9"/>
    <w:rsid w:val="00E26FF0"/>
    <w:rsid w:val="00E26FF9"/>
    <w:rsid w:val="00E2700D"/>
    <w:rsid w:val="00E27053"/>
    <w:rsid w:val="00E27065"/>
    <w:rsid w:val="00E2706D"/>
    <w:rsid w:val="00E270A9"/>
    <w:rsid w:val="00E270C2"/>
    <w:rsid w:val="00E270C7"/>
    <w:rsid w:val="00E270CE"/>
    <w:rsid w:val="00E27158"/>
    <w:rsid w:val="00E2716F"/>
    <w:rsid w:val="00E27190"/>
    <w:rsid w:val="00E271FC"/>
    <w:rsid w:val="00E2722D"/>
    <w:rsid w:val="00E2723A"/>
    <w:rsid w:val="00E27260"/>
    <w:rsid w:val="00E272BE"/>
    <w:rsid w:val="00E272CC"/>
    <w:rsid w:val="00E272DE"/>
    <w:rsid w:val="00E27303"/>
    <w:rsid w:val="00E2732C"/>
    <w:rsid w:val="00E2737F"/>
    <w:rsid w:val="00E27392"/>
    <w:rsid w:val="00E273C2"/>
    <w:rsid w:val="00E273DD"/>
    <w:rsid w:val="00E273F5"/>
    <w:rsid w:val="00E27459"/>
    <w:rsid w:val="00E274B2"/>
    <w:rsid w:val="00E27538"/>
    <w:rsid w:val="00E27547"/>
    <w:rsid w:val="00E27580"/>
    <w:rsid w:val="00E275B6"/>
    <w:rsid w:val="00E275E4"/>
    <w:rsid w:val="00E27643"/>
    <w:rsid w:val="00E27663"/>
    <w:rsid w:val="00E276C4"/>
    <w:rsid w:val="00E2771B"/>
    <w:rsid w:val="00E27737"/>
    <w:rsid w:val="00E2775D"/>
    <w:rsid w:val="00E27773"/>
    <w:rsid w:val="00E278AE"/>
    <w:rsid w:val="00E278B2"/>
    <w:rsid w:val="00E278BF"/>
    <w:rsid w:val="00E278D0"/>
    <w:rsid w:val="00E278D1"/>
    <w:rsid w:val="00E27909"/>
    <w:rsid w:val="00E27933"/>
    <w:rsid w:val="00E2794E"/>
    <w:rsid w:val="00E279F6"/>
    <w:rsid w:val="00E27A4D"/>
    <w:rsid w:val="00E27A95"/>
    <w:rsid w:val="00E27A9F"/>
    <w:rsid w:val="00E27AAE"/>
    <w:rsid w:val="00E27B40"/>
    <w:rsid w:val="00E27B99"/>
    <w:rsid w:val="00E27B9A"/>
    <w:rsid w:val="00E27BA3"/>
    <w:rsid w:val="00E27BAE"/>
    <w:rsid w:val="00E27BF7"/>
    <w:rsid w:val="00E27C13"/>
    <w:rsid w:val="00E27CA0"/>
    <w:rsid w:val="00E27CD1"/>
    <w:rsid w:val="00E27D76"/>
    <w:rsid w:val="00E27D8E"/>
    <w:rsid w:val="00E27E22"/>
    <w:rsid w:val="00E27EE1"/>
    <w:rsid w:val="00E27EE5"/>
    <w:rsid w:val="00E27EF7"/>
    <w:rsid w:val="00E27F25"/>
    <w:rsid w:val="00E27F26"/>
    <w:rsid w:val="00E27F92"/>
    <w:rsid w:val="00E27FB4"/>
    <w:rsid w:val="00E27FE5"/>
    <w:rsid w:val="00E27FEC"/>
    <w:rsid w:val="00E27FF8"/>
    <w:rsid w:val="00E2B26E"/>
    <w:rsid w:val="00E30003"/>
    <w:rsid w:val="00E30012"/>
    <w:rsid w:val="00E30024"/>
    <w:rsid w:val="00E30039"/>
    <w:rsid w:val="00E3009D"/>
    <w:rsid w:val="00E300AE"/>
    <w:rsid w:val="00E300E1"/>
    <w:rsid w:val="00E3011A"/>
    <w:rsid w:val="00E30198"/>
    <w:rsid w:val="00E3022F"/>
    <w:rsid w:val="00E30247"/>
    <w:rsid w:val="00E3026B"/>
    <w:rsid w:val="00E30289"/>
    <w:rsid w:val="00E302E4"/>
    <w:rsid w:val="00E30300"/>
    <w:rsid w:val="00E30335"/>
    <w:rsid w:val="00E303CE"/>
    <w:rsid w:val="00E303D1"/>
    <w:rsid w:val="00E303E4"/>
    <w:rsid w:val="00E30463"/>
    <w:rsid w:val="00E30469"/>
    <w:rsid w:val="00E304AF"/>
    <w:rsid w:val="00E304DF"/>
    <w:rsid w:val="00E3050B"/>
    <w:rsid w:val="00E305AA"/>
    <w:rsid w:val="00E305FB"/>
    <w:rsid w:val="00E30679"/>
    <w:rsid w:val="00E30681"/>
    <w:rsid w:val="00E3068B"/>
    <w:rsid w:val="00E306A1"/>
    <w:rsid w:val="00E306C1"/>
    <w:rsid w:val="00E306DE"/>
    <w:rsid w:val="00E30782"/>
    <w:rsid w:val="00E30785"/>
    <w:rsid w:val="00E30797"/>
    <w:rsid w:val="00E307F8"/>
    <w:rsid w:val="00E30831"/>
    <w:rsid w:val="00E30832"/>
    <w:rsid w:val="00E308A2"/>
    <w:rsid w:val="00E3093E"/>
    <w:rsid w:val="00E30980"/>
    <w:rsid w:val="00E309E8"/>
    <w:rsid w:val="00E30A0A"/>
    <w:rsid w:val="00E30AC4"/>
    <w:rsid w:val="00E30AE5"/>
    <w:rsid w:val="00E30AEC"/>
    <w:rsid w:val="00E30CAE"/>
    <w:rsid w:val="00E30CB5"/>
    <w:rsid w:val="00E30CD4"/>
    <w:rsid w:val="00E30CEA"/>
    <w:rsid w:val="00E30CFB"/>
    <w:rsid w:val="00E30D2C"/>
    <w:rsid w:val="00E30DB3"/>
    <w:rsid w:val="00E30DC8"/>
    <w:rsid w:val="00E30DDC"/>
    <w:rsid w:val="00E30E20"/>
    <w:rsid w:val="00E30E8B"/>
    <w:rsid w:val="00E30E97"/>
    <w:rsid w:val="00E30EBC"/>
    <w:rsid w:val="00E30FFD"/>
    <w:rsid w:val="00E3103E"/>
    <w:rsid w:val="00E31082"/>
    <w:rsid w:val="00E31087"/>
    <w:rsid w:val="00E31091"/>
    <w:rsid w:val="00E3109F"/>
    <w:rsid w:val="00E310C3"/>
    <w:rsid w:val="00E31149"/>
    <w:rsid w:val="00E31205"/>
    <w:rsid w:val="00E31244"/>
    <w:rsid w:val="00E3128E"/>
    <w:rsid w:val="00E312C0"/>
    <w:rsid w:val="00E31370"/>
    <w:rsid w:val="00E313B8"/>
    <w:rsid w:val="00E313D4"/>
    <w:rsid w:val="00E313F6"/>
    <w:rsid w:val="00E314C6"/>
    <w:rsid w:val="00E31573"/>
    <w:rsid w:val="00E31587"/>
    <w:rsid w:val="00E315BD"/>
    <w:rsid w:val="00E31661"/>
    <w:rsid w:val="00E316BB"/>
    <w:rsid w:val="00E316F7"/>
    <w:rsid w:val="00E31744"/>
    <w:rsid w:val="00E317CC"/>
    <w:rsid w:val="00E317FB"/>
    <w:rsid w:val="00E31844"/>
    <w:rsid w:val="00E318A4"/>
    <w:rsid w:val="00E318AF"/>
    <w:rsid w:val="00E318FF"/>
    <w:rsid w:val="00E31909"/>
    <w:rsid w:val="00E3193E"/>
    <w:rsid w:val="00E3194F"/>
    <w:rsid w:val="00E31970"/>
    <w:rsid w:val="00E319B3"/>
    <w:rsid w:val="00E319B4"/>
    <w:rsid w:val="00E31A02"/>
    <w:rsid w:val="00E31A9C"/>
    <w:rsid w:val="00E31B97"/>
    <w:rsid w:val="00E31BAF"/>
    <w:rsid w:val="00E31BCD"/>
    <w:rsid w:val="00E31C14"/>
    <w:rsid w:val="00E31C49"/>
    <w:rsid w:val="00E31C6C"/>
    <w:rsid w:val="00E31D2D"/>
    <w:rsid w:val="00E31D4F"/>
    <w:rsid w:val="00E31DDA"/>
    <w:rsid w:val="00E31DDF"/>
    <w:rsid w:val="00E31E07"/>
    <w:rsid w:val="00E31E5F"/>
    <w:rsid w:val="00E31E97"/>
    <w:rsid w:val="00E31EA7"/>
    <w:rsid w:val="00E31EDD"/>
    <w:rsid w:val="00E31EE3"/>
    <w:rsid w:val="00E31EF7"/>
    <w:rsid w:val="00E31EFD"/>
    <w:rsid w:val="00E31F6C"/>
    <w:rsid w:val="00E31F73"/>
    <w:rsid w:val="00E32011"/>
    <w:rsid w:val="00E32025"/>
    <w:rsid w:val="00E32068"/>
    <w:rsid w:val="00E320AD"/>
    <w:rsid w:val="00E320C2"/>
    <w:rsid w:val="00E320D0"/>
    <w:rsid w:val="00E32115"/>
    <w:rsid w:val="00E321C2"/>
    <w:rsid w:val="00E321E7"/>
    <w:rsid w:val="00E321FD"/>
    <w:rsid w:val="00E32233"/>
    <w:rsid w:val="00E322C8"/>
    <w:rsid w:val="00E32308"/>
    <w:rsid w:val="00E32339"/>
    <w:rsid w:val="00E3233C"/>
    <w:rsid w:val="00E3234C"/>
    <w:rsid w:val="00E3238D"/>
    <w:rsid w:val="00E323A9"/>
    <w:rsid w:val="00E323BF"/>
    <w:rsid w:val="00E324A5"/>
    <w:rsid w:val="00E3252D"/>
    <w:rsid w:val="00E32547"/>
    <w:rsid w:val="00E32566"/>
    <w:rsid w:val="00E325FC"/>
    <w:rsid w:val="00E3261B"/>
    <w:rsid w:val="00E32634"/>
    <w:rsid w:val="00E32641"/>
    <w:rsid w:val="00E32650"/>
    <w:rsid w:val="00E3265E"/>
    <w:rsid w:val="00E3267D"/>
    <w:rsid w:val="00E32700"/>
    <w:rsid w:val="00E3270C"/>
    <w:rsid w:val="00E32846"/>
    <w:rsid w:val="00E32998"/>
    <w:rsid w:val="00E329D5"/>
    <w:rsid w:val="00E329E8"/>
    <w:rsid w:val="00E32A19"/>
    <w:rsid w:val="00E32A31"/>
    <w:rsid w:val="00E32B33"/>
    <w:rsid w:val="00E32BDA"/>
    <w:rsid w:val="00E32BE4"/>
    <w:rsid w:val="00E32C50"/>
    <w:rsid w:val="00E32CAD"/>
    <w:rsid w:val="00E32CD7"/>
    <w:rsid w:val="00E32D27"/>
    <w:rsid w:val="00E32D3B"/>
    <w:rsid w:val="00E32E4A"/>
    <w:rsid w:val="00E32E67"/>
    <w:rsid w:val="00E32E9F"/>
    <w:rsid w:val="00E32ED8"/>
    <w:rsid w:val="00E32EE9"/>
    <w:rsid w:val="00E32EFF"/>
    <w:rsid w:val="00E32F04"/>
    <w:rsid w:val="00E32F23"/>
    <w:rsid w:val="00E32F2A"/>
    <w:rsid w:val="00E3302D"/>
    <w:rsid w:val="00E33046"/>
    <w:rsid w:val="00E33050"/>
    <w:rsid w:val="00E33054"/>
    <w:rsid w:val="00E330BE"/>
    <w:rsid w:val="00E33230"/>
    <w:rsid w:val="00E333BD"/>
    <w:rsid w:val="00E33467"/>
    <w:rsid w:val="00E33482"/>
    <w:rsid w:val="00E3349D"/>
    <w:rsid w:val="00E33571"/>
    <w:rsid w:val="00E33586"/>
    <w:rsid w:val="00E33634"/>
    <w:rsid w:val="00E33687"/>
    <w:rsid w:val="00E3369D"/>
    <w:rsid w:val="00E336BA"/>
    <w:rsid w:val="00E336D2"/>
    <w:rsid w:val="00E336DE"/>
    <w:rsid w:val="00E336E6"/>
    <w:rsid w:val="00E33728"/>
    <w:rsid w:val="00E3373A"/>
    <w:rsid w:val="00E33749"/>
    <w:rsid w:val="00E337BA"/>
    <w:rsid w:val="00E337EA"/>
    <w:rsid w:val="00E33810"/>
    <w:rsid w:val="00E33825"/>
    <w:rsid w:val="00E33828"/>
    <w:rsid w:val="00E33867"/>
    <w:rsid w:val="00E338D8"/>
    <w:rsid w:val="00E338E1"/>
    <w:rsid w:val="00E338E7"/>
    <w:rsid w:val="00E338F2"/>
    <w:rsid w:val="00E33A15"/>
    <w:rsid w:val="00E33A31"/>
    <w:rsid w:val="00E33A69"/>
    <w:rsid w:val="00E33A7A"/>
    <w:rsid w:val="00E33B6A"/>
    <w:rsid w:val="00E33BC4"/>
    <w:rsid w:val="00E33C15"/>
    <w:rsid w:val="00E33C18"/>
    <w:rsid w:val="00E33C51"/>
    <w:rsid w:val="00E33C71"/>
    <w:rsid w:val="00E33C79"/>
    <w:rsid w:val="00E33CFD"/>
    <w:rsid w:val="00E33D02"/>
    <w:rsid w:val="00E33D0A"/>
    <w:rsid w:val="00E33D0C"/>
    <w:rsid w:val="00E33D9E"/>
    <w:rsid w:val="00E33DB8"/>
    <w:rsid w:val="00E33DBD"/>
    <w:rsid w:val="00E33E3B"/>
    <w:rsid w:val="00E33EC7"/>
    <w:rsid w:val="00E33F71"/>
    <w:rsid w:val="00E33FC5"/>
    <w:rsid w:val="00E3401E"/>
    <w:rsid w:val="00E34044"/>
    <w:rsid w:val="00E340DA"/>
    <w:rsid w:val="00E3410C"/>
    <w:rsid w:val="00E3413E"/>
    <w:rsid w:val="00E34151"/>
    <w:rsid w:val="00E341AF"/>
    <w:rsid w:val="00E341E1"/>
    <w:rsid w:val="00E34237"/>
    <w:rsid w:val="00E3424B"/>
    <w:rsid w:val="00E34268"/>
    <w:rsid w:val="00E3429E"/>
    <w:rsid w:val="00E342B8"/>
    <w:rsid w:val="00E342F3"/>
    <w:rsid w:val="00E342F8"/>
    <w:rsid w:val="00E34325"/>
    <w:rsid w:val="00E3432F"/>
    <w:rsid w:val="00E343E6"/>
    <w:rsid w:val="00E3441D"/>
    <w:rsid w:val="00E3443B"/>
    <w:rsid w:val="00E3443D"/>
    <w:rsid w:val="00E3445A"/>
    <w:rsid w:val="00E344E4"/>
    <w:rsid w:val="00E34635"/>
    <w:rsid w:val="00E34688"/>
    <w:rsid w:val="00E34690"/>
    <w:rsid w:val="00E346BB"/>
    <w:rsid w:val="00E34705"/>
    <w:rsid w:val="00E3471D"/>
    <w:rsid w:val="00E34730"/>
    <w:rsid w:val="00E34738"/>
    <w:rsid w:val="00E347A0"/>
    <w:rsid w:val="00E347DD"/>
    <w:rsid w:val="00E34835"/>
    <w:rsid w:val="00E34856"/>
    <w:rsid w:val="00E348B9"/>
    <w:rsid w:val="00E34953"/>
    <w:rsid w:val="00E349CC"/>
    <w:rsid w:val="00E349D9"/>
    <w:rsid w:val="00E34A08"/>
    <w:rsid w:val="00E34A7E"/>
    <w:rsid w:val="00E34A9A"/>
    <w:rsid w:val="00E34AF2"/>
    <w:rsid w:val="00E34B7F"/>
    <w:rsid w:val="00E34BBD"/>
    <w:rsid w:val="00E34BEA"/>
    <w:rsid w:val="00E34C7A"/>
    <w:rsid w:val="00E34CC9"/>
    <w:rsid w:val="00E34CD1"/>
    <w:rsid w:val="00E34CD2"/>
    <w:rsid w:val="00E34CF3"/>
    <w:rsid w:val="00E34D00"/>
    <w:rsid w:val="00E34D16"/>
    <w:rsid w:val="00E34D2D"/>
    <w:rsid w:val="00E34D60"/>
    <w:rsid w:val="00E34DCC"/>
    <w:rsid w:val="00E34E71"/>
    <w:rsid w:val="00E34EC5"/>
    <w:rsid w:val="00E34EC6"/>
    <w:rsid w:val="00E34EE3"/>
    <w:rsid w:val="00E34EED"/>
    <w:rsid w:val="00E34F6C"/>
    <w:rsid w:val="00E34FA3"/>
    <w:rsid w:val="00E34FB5"/>
    <w:rsid w:val="00E35083"/>
    <w:rsid w:val="00E350A1"/>
    <w:rsid w:val="00E350C8"/>
    <w:rsid w:val="00E35108"/>
    <w:rsid w:val="00E3517B"/>
    <w:rsid w:val="00E351B4"/>
    <w:rsid w:val="00E35272"/>
    <w:rsid w:val="00E35287"/>
    <w:rsid w:val="00E352C5"/>
    <w:rsid w:val="00E352D4"/>
    <w:rsid w:val="00E352E3"/>
    <w:rsid w:val="00E352E9"/>
    <w:rsid w:val="00E3531D"/>
    <w:rsid w:val="00E3531F"/>
    <w:rsid w:val="00E35320"/>
    <w:rsid w:val="00E3537D"/>
    <w:rsid w:val="00E353BE"/>
    <w:rsid w:val="00E353C5"/>
    <w:rsid w:val="00E35436"/>
    <w:rsid w:val="00E354C5"/>
    <w:rsid w:val="00E35513"/>
    <w:rsid w:val="00E35527"/>
    <w:rsid w:val="00E35528"/>
    <w:rsid w:val="00E35573"/>
    <w:rsid w:val="00E355A1"/>
    <w:rsid w:val="00E355E4"/>
    <w:rsid w:val="00E35619"/>
    <w:rsid w:val="00E35666"/>
    <w:rsid w:val="00E3566A"/>
    <w:rsid w:val="00E356DE"/>
    <w:rsid w:val="00E35702"/>
    <w:rsid w:val="00E35707"/>
    <w:rsid w:val="00E35711"/>
    <w:rsid w:val="00E3571B"/>
    <w:rsid w:val="00E357AA"/>
    <w:rsid w:val="00E357E3"/>
    <w:rsid w:val="00E3584A"/>
    <w:rsid w:val="00E358C7"/>
    <w:rsid w:val="00E3595B"/>
    <w:rsid w:val="00E3596F"/>
    <w:rsid w:val="00E35995"/>
    <w:rsid w:val="00E359D3"/>
    <w:rsid w:val="00E35A4C"/>
    <w:rsid w:val="00E35A5F"/>
    <w:rsid w:val="00E35A60"/>
    <w:rsid w:val="00E35ABE"/>
    <w:rsid w:val="00E35B81"/>
    <w:rsid w:val="00E35B89"/>
    <w:rsid w:val="00E35BE3"/>
    <w:rsid w:val="00E35C49"/>
    <w:rsid w:val="00E35CA7"/>
    <w:rsid w:val="00E35CF9"/>
    <w:rsid w:val="00E35D0D"/>
    <w:rsid w:val="00E35D29"/>
    <w:rsid w:val="00E35D76"/>
    <w:rsid w:val="00E35D7D"/>
    <w:rsid w:val="00E35E1C"/>
    <w:rsid w:val="00E35E28"/>
    <w:rsid w:val="00E35E2A"/>
    <w:rsid w:val="00E35E52"/>
    <w:rsid w:val="00E35E68"/>
    <w:rsid w:val="00E35E73"/>
    <w:rsid w:val="00E35EFE"/>
    <w:rsid w:val="00E35FE7"/>
    <w:rsid w:val="00E3600D"/>
    <w:rsid w:val="00E36014"/>
    <w:rsid w:val="00E3602D"/>
    <w:rsid w:val="00E36070"/>
    <w:rsid w:val="00E3607A"/>
    <w:rsid w:val="00E36108"/>
    <w:rsid w:val="00E3615C"/>
    <w:rsid w:val="00E361F5"/>
    <w:rsid w:val="00E36204"/>
    <w:rsid w:val="00E36236"/>
    <w:rsid w:val="00E36249"/>
    <w:rsid w:val="00E362CD"/>
    <w:rsid w:val="00E36357"/>
    <w:rsid w:val="00E36366"/>
    <w:rsid w:val="00E363AE"/>
    <w:rsid w:val="00E363D1"/>
    <w:rsid w:val="00E36465"/>
    <w:rsid w:val="00E3646B"/>
    <w:rsid w:val="00E364C4"/>
    <w:rsid w:val="00E364D1"/>
    <w:rsid w:val="00E364FE"/>
    <w:rsid w:val="00E3652A"/>
    <w:rsid w:val="00E36536"/>
    <w:rsid w:val="00E365B1"/>
    <w:rsid w:val="00E365E3"/>
    <w:rsid w:val="00E36606"/>
    <w:rsid w:val="00E36693"/>
    <w:rsid w:val="00E366B5"/>
    <w:rsid w:val="00E36700"/>
    <w:rsid w:val="00E3671A"/>
    <w:rsid w:val="00E367EA"/>
    <w:rsid w:val="00E36826"/>
    <w:rsid w:val="00E3682E"/>
    <w:rsid w:val="00E368B0"/>
    <w:rsid w:val="00E368F0"/>
    <w:rsid w:val="00E36954"/>
    <w:rsid w:val="00E36976"/>
    <w:rsid w:val="00E369E1"/>
    <w:rsid w:val="00E369ED"/>
    <w:rsid w:val="00E36A1D"/>
    <w:rsid w:val="00E36A5E"/>
    <w:rsid w:val="00E36B0C"/>
    <w:rsid w:val="00E36B63"/>
    <w:rsid w:val="00E36B7E"/>
    <w:rsid w:val="00E36B80"/>
    <w:rsid w:val="00E36B99"/>
    <w:rsid w:val="00E36B9B"/>
    <w:rsid w:val="00E36BDD"/>
    <w:rsid w:val="00E36C41"/>
    <w:rsid w:val="00E36C65"/>
    <w:rsid w:val="00E36C7B"/>
    <w:rsid w:val="00E36CCF"/>
    <w:rsid w:val="00E36CF2"/>
    <w:rsid w:val="00E36D50"/>
    <w:rsid w:val="00E36D52"/>
    <w:rsid w:val="00E36D56"/>
    <w:rsid w:val="00E36D7F"/>
    <w:rsid w:val="00E36DBC"/>
    <w:rsid w:val="00E36E2B"/>
    <w:rsid w:val="00E36EDF"/>
    <w:rsid w:val="00E36F80"/>
    <w:rsid w:val="00E36FAA"/>
    <w:rsid w:val="00E36FED"/>
    <w:rsid w:val="00E3700C"/>
    <w:rsid w:val="00E37023"/>
    <w:rsid w:val="00E37078"/>
    <w:rsid w:val="00E3711A"/>
    <w:rsid w:val="00E37191"/>
    <w:rsid w:val="00E371E4"/>
    <w:rsid w:val="00E371ED"/>
    <w:rsid w:val="00E371FB"/>
    <w:rsid w:val="00E3724D"/>
    <w:rsid w:val="00E37269"/>
    <w:rsid w:val="00E37270"/>
    <w:rsid w:val="00E37295"/>
    <w:rsid w:val="00E372B3"/>
    <w:rsid w:val="00E372E5"/>
    <w:rsid w:val="00E37313"/>
    <w:rsid w:val="00E3733B"/>
    <w:rsid w:val="00E3736F"/>
    <w:rsid w:val="00E37373"/>
    <w:rsid w:val="00E373C6"/>
    <w:rsid w:val="00E37423"/>
    <w:rsid w:val="00E3745C"/>
    <w:rsid w:val="00E37463"/>
    <w:rsid w:val="00E37472"/>
    <w:rsid w:val="00E374A6"/>
    <w:rsid w:val="00E374AD"/>
    <w:rsid w:val="00E37518"/>
    <w:rsid w:val="00E3753F"/>
    <w:rsid w:val="00E375C9"/>
    <w:rsid w:val="00E375D8"/>
    <w:rsid w:val="00E375EC"/>
    <w:rsid w:val="00E375ED"/>
    <w:rsid w:val="00E37609"/>
    <w:rsid w:val="00E37676"/>
    <w:rsid w:val="00E37691"/>
    <w:rsid w:val="00E376E3"/>
    <w:rsid w:val="00E37715"/>
    <w:rsid w:val="00E37744"/>
    <w:rsid w:val="00E37794"/>
    <w:rsid w:val="00E3780E"/>
    <w:rsid w:val="00E3786D"/>
    <w:rsid w:val="00E37875"/>
    <w:rsid w:val="00E378B7"/>
    <w:rsid w:val="00E378BA"/>
    <w:rsid w:val="00E378EE"/>
    <w:rsid w:val="00E37958"/>
    <w:rsid w:val="00E37998"/>
    <w:rsid w:val="00E379A4"/>
    <w:rsid w:val="00E379D1"/>
    <w:rsid w:val="00E379EF"/>
    <w:rsid w:val="00E379FB"/>
    <w:rsid w:val="00E37AAD"/>
    <w:rsid w:val="00E37AD8"/>
    <w:rsid w:val="00E37B05"/>
    <w:rsid w:val="00E37B2D"/>
    <w:rsid w:val="00E37B42"/>
    <w:rsid w:val="00E37B46"/>
    <w:rsid w:val="00E37B49"/>
    <w:rsid w:val="00E37B7C"/>
    <w:rsid w:val="00E37BBA"/>
    <w:rsid w:val="00E37BEF"/>
    <w:rsid w:val="00E37C35"/>
    <w:rsid w:val="00E37C62"/>
    <w:rsid w:val="00E37CE2"/>
    <w:rsid w:val="00E37CFB"/>
    <w:rsid w:val="00E37D5B"/>
    <w:rsid w:val="00E37E7F"/>
    <w:rsid w:val="00E37E8F"/>
    <w:rsid w:val="00E37EBC"/>
    <w:rsid w:val="00E37EBE"/>
    <w:rsid w:val="00E37F10"/>
    <w:rsid w:val="00E37F43"/>
    <w:rsid w:val="00E37F6B"/>
    <w:rsid w:val="00E37F80"/>
    <w:rsid w:val="00E40089"/>
    <w:rsid w:val="00E400F7"/>
    <w:rsid w:val="00E4014F"/>
    <w:rsid w:val="00E4015D"/>
    <w:rsid w:val="00E40177"/>
    <w:rsid w:val="00E40188"/>
    <w:rsid w:val="00E40190"/>
    <w:rsid w:val="00E401C2"/>
    <w:rsid w:val="00E40212"/>
    <w:rsid w:val="00E40234"/>
    <w:rsid w:val="00E40243"/>
    <w:rsid w:val="00E40298"/>
    <w:rsid w:val="00E402E3"/>
    <w:rsid w:val="00E40306"/>
    <w:rsid w:val="00E40349"/>
    <w:rsid w:val="00E403CF"/>
    <w:rsid w:val="00E403F5"/>
    <w:rsid w:val="00E40401"/>
    <w:rsid w:val="00E40491"/>
    <w:rsid w:val="00E40495"/>
    <w:rsid w:val="00E404F2"/>
    <w:rsid w:val="00E40541"/>
    <w:rsid w:val="00E40564"/>
    <w:rsid w:val="00E40598"/>
    <w:rsid w:val="00E405DD"/>
    <w:rsid w:val="00E4062B"/>
    <w:rsid w:val="00E40637"/>
    <w:rsid w:val="00E4067B"/>
    <w:rsid w:val="00E40690"/>
    <w:rsid w:val="00E4069C"/>
    <w:rsid w:val="00E406B2"/>
    <w:rsid w:val="00E406DA"/>
    <w:rsid w:val="00E406E5"/>
    <w:rsid w:val="00E40764"/>
    <w:rsid w:val="00E4076D"/>
    <w:rsid w:val="00E407E6"/>
    <w:rsid w:val="00E40828"/>
    <w:rsid w:val="00E40844"/>
    <w:rsid w:val="00E4085F"/>
    <w:rsid w:val="00E40896"/>
    <w:rsid w:val="00E408A7"/>
    <w:rsid w:val="00E408F0"/>
    <w:rsid w:val="00E408F4"/>
    <w:rsid w:val="00E4090C"/>
    <w:rsid w:val="00E40931"/>
    <w:rsid w:val="00E4093E"/>
    <w:rsid w:val="00E4093F"/>
    <w:rsid w:val="00E40A07"/>
    <w:rsid w:val="00E40A0F"/>
    <w:rsid w:val="00E40A92"/>
    <w:rsid w:val="00E40A99"/>
    <w:rsid w:val="00E40AB0"/>
    <w:rsid w:val="00E40B41"/>
    <w:rsid w:val="00E40B5D"/>
    <w:rsid w:val="00E40BF4"/>
    <w:rsid w:val="00E40C08"/>
    <w:rsid w:val="00E40C16"/>
    <w:rsid w:val="00E40C19"/>
    <w:rsid w:val="00E40C3E"/>
    <w:rsid w:val="00E40C55"/>
    <w:rsid w:val="00E40C5B"/>
    <w:rsid w:val="00E40CF2"/>
    <w:rsid w:val="00E40D08"/>
    <w:rsid w:val="00E40D0C"/>
    <w:rsid w:val="00E40D36"/>
    <w:rsid w:val="00E40DFF"/>
    <w:rsid w:val="00E40E0F"/>
    <w:rsid w:val="00E40E4F"/>
    <w:rsid w:val="00E40E94"/>
    <w:rsid w:val="00E40EAC"/>
    <w:rsid w:val="00E40F69"/>
    <w:rsid w:val="00E40FE6"/>
    <w:rsid w:val="00E41066"/>
    <w:rsid w:val="00E4106C"/>
    <w:rsid w:val="00E410C8"/>
    <w:rsid w:val="00E410E0"/>
    <w:rsid w:val="00E4111D"/>
    <w:rsid w:val="00E4112E"/>
    <w:rsid w:val="00E41182"/>
    <w:rsid w:val="00E411A5"/>
    <w:rsid w:val="00E4120C"/>
    <w:rsid w:val="00E41299"/>
    <w:rsid w:val="00E4129E"/>
    <w:rsid w:val="00E412A5"/>
    <w:rsid w:val="00E41330"/>
    <w:rsid w:val="00E4135E"/>
    <w:rsid w:val="00E4136B"/>
    <w:rsid w:val="00E413DA"/>
    <w:rsid w:val="00E4140B"/>
    <w:rsid w:val="00E41411"/>
    <w:rsid w:val="00E41493"/>
    <w:rsid w:val="00E414D3"/>
    <w:rsid w:val="00E4151A"/>
    <w:rsid w:val="00E41534"/>
    <w:rsid w:val="00E41579"/>
    <w:rsid w:val="00E415A0"/>
    <w:rsid w:val="00E415A1"/>
    <w:rsid w:val="00E415AA"/>
    <w:rsid w:val="00E415B7"/>
    <w:rsid w:val="00E4160E"/>
    <w:rsid w:val="00E41648"/>
    <w:rsid w:val="00E416B9"/>
    <w:rsid w:val="00E41722"/>
    <w:rsid w:val="00E41736"/>
    <w:rsid w:val="00E4173E"/>
    <w:rsid w:val="00E417BB"/>
    <w:rsid w:val="00E417C5"/>
    <w:rsid w:val="00E418CE"/>
    <w:rsid w:val="00E41932"/>
    <w:rsid w:val="00E4196A"/>
    <w:rsid w:val="00E419A0"/>
    <w:rsid w:val="00E419D3"/>
    <w:rsid w:val="00E41A5C"/>
    <w:rsid w:val="00E41ACB"/>
    <w:rsid w:val="00E41B83"/>
    <w:rsid w:val="00E41BB8"/>
    <w:rsid w:val="00E41BCA"/>
    <w:rsid w:val="00E41C02"/>
    <w:rsid w:val="00E41C51"/>
    <w:rsid w:val="00E41CC0"/>
    <w:rsid w:val="00E41CFB"/>
    <w:rsid w:val="00E41D3E"/>
    <w:rsid w:val="00E41D53"/>
    <w:rsid w:val="00E41D75"/>
    <w:rsid w:val="00E41DE0"/>
    <w:rsid w:val="00E41E18"/>
    <w:rsid w:val="00E41E20"/>
    <w:rsid w:val="00E41E26"/>
    <w:rsid w:val="00E41F0C"/>
    <w:rsid w:val="00E41F26"/>
    <w:rsid w:val="00E41F5E"/>
    <w:rsid w:val="00E41F7F"/>
    <w:rsid w:val="00E41FF3"/>
    <w:rsid w:val="00E42014"/>
    <w:rsid w:val="00E42026"/>
    <w:rsid w:val="00E4202F"/>
    <w:rsid w:val="00E42065"/>
    <w:rsid w:val="00E420CB"/>
    <w:rsid w:val="00E420EA"/>
    <w:rsid w:val="00E420FF"/>
    <w:rsid w:val="00E42174"/>
    <w:rsid w:val="00E42181"/>
    <w:rsid w:val="00E42185"/>
    <w:rsid w:val="00E4229E"/>
    <w:rsid w:val="00E422DC"/>
    <w:rsid w:val="00E4231B"/>
    <w:rsid w:val="00E4231D"/>
    <w:rsid w:val="00E42320"/>
    <w:rsid w:val="00E4232B"/>
    <w:rsid w:val="00E42367"/>
    <w:rsid w:val="00E4239A"/>
    <w:rsid w:val="00E42408"/>
    <w:rsid w:val="00E42439"/>
    <w:rsid w:val="00E424ED"/>
    <w:rsid w:val="00E4250F"/>
    <w:rsid w:val="00E42520"/>
    <w:rsid w:val="00E42527"/>
    <w:rsid w:val="00E425A7"/>
    <w:rsid w:val="00E425D8"/>
    <w:rsid w:val="00E425DA"/>
    <w:rsid w:val="00E425F7"/>
    <w:rsid w:val="00E425FC"/>
    <w:rsid w:val="00E42695"/>
    <w:rsid w:val="00E426A2"/>
    <w:rsid w:val="00E426AE"/>
    <w:rsid w:val="00E42704"/>
    <w:rsid w:val="00E4272D"/>
    <w:rsid w:val="00E42741"/>
    <w:rsid w:val="00E42780"/>
    <w:rsid w:val="00E427A9"/>
    <w:rsid w:val="00E42858"/>
    <w:rsid w:val="00E42874"/>
    <w:rsid w:val="00E42919"/>
    <w:rsid w:val="00E4293C"/>
    <w:rsid w:val="00E4294D"/>
    <w:rsid w:val="00E4294E"/>
    <w:rsid w:val="00E4299A"/>
    <w:rsid w:val="00E42A09"/>
    <w:rsid w:val="00E42A0D"/>
    <w:rsid w:val="00E42A11"/>
    <w:rsid w:val="00E42AE9"/>
    <w:rsid w:val="00E42B3F"/>
    <w:rsid w:val="00E42C26"/>
    <w:rsid w:val="00E42C7B"/>
    <w:rsid w:val="00E42D31"/>
    <w:rsid w:val="00E42D68"/>
    <w:rsid w:val="00E42DCA"/>
    <w:rsid w:val="00E42DCB"/>
    <w:rsid w:val="00E42DF4"/>
    <w:rsid w:val="00E42E8E"/>
    <w:rsid w:val="00E42E9D"/>
    <w:rsid w:val="00E42F3C"/>
    <w:rsid w:val="00E42FDE"/>
    <w:rsid w:val="00E42FE6"/>
    <w:rsid w:val="00E42FE8"/>
    <w:rsid w:val="00E42FEF"/>
    <w:rsid w:val="00E42FF9"/>
    <w:rsid w:val="00E43010"/>
    <w:rsid w:val="00E430E1"/>
    <w:rsid w:val="00E430FA"/>
    <w:rsid w:val="00E4311E"/>
    <w:rsid w:val="00E43132"/>
    <w:rsid w:val="00E4313D"/>
    <w:rsid w:val="00E43191"/>
    <w:rsid w:val="00E431BA"/>
    <w:rsid w:val="00E431E2"/>
    <w:rsid w:val="00E43227"/>
    <w:rsid w:val="00E43284"/>
    <w:rsid w:val="00E432A9"/>
    <w:rsid w:val="00E4339C"/>
    <w:rsid w:val="00E433D0"/>
    <w:rsid w:val="00E43462"/>
    <w:rsid w:val="00E4346A"/>
    <w:rsid w:val="00E4348E"/>
    <w:rsid w:val="00E434D3"/>
    <w:rsid w:val="00E434EB"/>
    <w:rsid w:val="00E43506"/>
    <w:rsid w:val="00E43562"/>
    <w:rsid w:val="00E43590"/>
    <w:rsid w:val="00E43655"/>
    <w:rsid w:val="00E43662"/>
    <w:rsid w:val="00E436A6"/>
    <w:rsid w:val="00E43754"/>
    <w:rsid w:val="00E43760"/>
    <w:rsid w:val="00E43766"/>
    <w:rsid w:val="00E43797"/>
    <w:rsid w:val="00E437B9"/>
    <w:rsid w:val="00E437BF"/>
    <w:rsid w:val="00E437C8"/>
    <w:rsid w:val="00E437EB"/>
    <w:rsid w:val="00E43849"/>
    <w:rsid w:val="00E43850"/>
    <w:rsid w:val="00E43894"/>
    <w:rsid w:val="00E4389C"/>
    <w:rsid w:val="00E4391E"/>
    <w:rsid w:val="00E43969"/>
    <w:rsid w:val="00E4397E"/>
    <w:rsid w:val="00E439CB"/>
    <w:rsid w:val="00E439DC"/>
    <w:rsid w:val="00E439E4"/>
    <w:rsid w:val="00E43A09"/>
    <w:rsid w:val="00E43A5F"/>
    <w:rsid w:val="00E43A90"/>
    <w:rsid w:val="00E43B2C"/>
    <w:rsid w:val="00E43B48"/>
    <w:rsid w:val="00E43B4C"/>
    <w:rsid w:val="00E43B6D"/>
    <w:rsid w:val="00E43BB2"/>
    <w:rsid w:val="00E43CA1"/>
    <w:rsid w:val="00E43CF1"/>
    <w:rsid w:val="00E43D58"/>
    <w:rsid w:val="00E43DE2"/>
    <w:rsid w:val="00E43E0E"/>
    <w:rsid w:val="00E43E19"/>
    <w:rsid w:val="00E43E96"/>
    <w:rsid w:val="00E43EFF"/>
    <w:rsid w:val="00E43F19"/>
    <w:rsid w:val="00E43F34"/>
    <w:rsid w:val="00E43F52"/>
    <w:rsid w:val="00E43F75"/>
    <w:rsid w:val="00E44019"/>
    <w:rsid w:val="00E441B2"/>
    <w:rsid w:val="00E441B8"/>
    <w:rsid w:val="00E4423A"/>
    <w:rsid w:val="00E4428E"/>
    <w:rsid w:val="00E442B7"/>
    <w:rsid w:val="00E44312"/>
    <w:rsid w:val="00E4435B"/>
    <w:rsid w:val="00E4439A"/>
    <w:rsid w:val="00E443B2"/>
    <w:rsid w:val="00E443B8"/>
    <w:rsid w:val="00E4445F"/>
    <w:rsid w:val="00E44470"/>
    <w:rsid w:val="00E44487"/>
    <w:rsid w:val="00E44496"/>
    <w:rsid w:val="00E444BC"/>
    <w:rsid w:val="00E44523"/>
    <w:rsid w:val="00E44536"/>
    <w:rsid w:val="00E4457F"/>
    <w:rsid w:val="00E445D3"/>
    <w:rsid w:val="00E445DC"/>
    <w:rsid w:val="00E44616"/>
    <w:rsid w:val="00E4462D"/>
    <w:rsid w:val="00E44640"/>
    <w:rsid w:val="00E44645"/>
    <w:rsid w:val="00E4464A"/>
    <w:rsid w:val="00E44685"/>
    <w:rsid w:val="00E446F7"/>
    <w:rsid w:val="00E4470E"/>
    <w:rsid w:val="00E44756"/>
    <w:rsid w:val="00E44765"/>
    <w:rsid w:val="00E44793"/>
    <w:rsid w:val="00E447BE"/>
    <w:rsid w:val="00E44832"/>
    <w:rsid w:val="00E4486A"/>
    <w:rsid w:val="00E4492F"/>
    <w:rsid w:val="00E44934"/>
    <w:rsid w:val="00E44988"/>
    <w:rsid w:val="00E449C0"/>
    <w:rsid w:val="00E449E4"/>
    <w:rsid w:val="00E449F0"/>
    <w:rsid w:val="00E449F3"/>
    <w:rsid w:val="00E44A11"/>
    <w:rsid w:val="00E44A2A"/>
    <w:rsid w:val="00E44A7E"/>
    <w:rsid w:val="00E44AAD"/>
    <w:rsid w:val="00E44B26"/>
    <w:rsid w:val="00E44B65"/>
    <w:rsid w:val="00E44C29"/>
    <w:rsid w:val="00E44C36"/>
    <w:rsid w:val="00E44C5B"/>
    <w:rsid w:val="00E44CE8"/>
    <w:rsid w:val="00E44D09"/>
    <w:rsid w:val="00E44D5B"/>
    <w:rsid w:val="00E44D7A"/>
    <w:rsid w:val="00E44DD1"/>
    <w:rsid w:val="00E44E7A"/>
    <w:rsid w:val="00E44EAF"/>
    <w:rsid w:val="00E44EB2"/>
    <w:rsid w:val="00E44F00"/>
    <w:rsid w:val="00E44F1B"/>
    <w:rsid w:val="00E44F2B"/>
    <w:rsid w:val="00E44F3F"/>
    <w:rsid w:val="00E44F91"/>
    <w:rsid w:val="00E44FB5"/>
    <w:rsid w:val="00E44FD1"/>
    <w:rsid w:val="00E44FD6"/>
    <w:rsid w:val="00E44FEB"/>
    <w:rsid w:val="00E45126"/>
    <w:rsid w:val="00E45166"/>
    <w:rsid w:val="00E45198"/>
    <w:rsid w:val="00E451A3"/>
    <w:rsid w:val="00E451A6"/>
    <w:rsid w:val="00E451F5"/>
    <w:rsid w:val="00E4521C"/>
    <w:rsid w:val="00E4522B"/>
    <w:rsid w:val="00E4523F"/>
    <w:rsid w:val="00E452D7"/>
    <w:rsid w:val="00E452DB"/>
    <w:rsid w:val="00E452F2"/>
    <w:rsid w:val="00E45355"/>
    <w:rsid w:val="00E45356"/>
    <w:rsid w:val="00E45359"/>
    <w:rsid w:val="00E45366"/>
    <w:rsid w:val="00E453BD"/>
    <w:rsid w:val="00E453C9"/>
    <w:rsid w:val="00E45405"/>
    <w:rsid w:val="00E4542F"/>
    <w:rsid w:val="00E45499"/>
    <w:rsid w:val="00E454BC"/>
    <w:rsid w:val="00E45546"/>
    <w:rsid w:val="00E4555C"/>
    <w:rsid w:val="00E455D7"/>
    <w:rsid w:val="00E455EE"/>
    <w:rsid w:val="00E455F5"/>
    <w:rsid w:val="00E45677"/>
    <w:rsid w:val="00E45679"/>
    <w:rsid w:val="00E45686"/>
    <w:rsid w:val="00E456F7"/>
    <w:rsid w:val="00E456FF"/>
    <w:rsid w:val="00E4572A"/>
    <w:rsid w:val="00E45746"/>
    <w:rsid w:val="00E457B6"/>
    <w:rsid w:val="00E457D3"/>
    <w:rsid w:val="00E457ED"/>
    <w:rsid w:val="00E457F0"/>
    <w:rsid w:val="00E4582A"/>
    <w:rsid w:val="00E45843"/>
    <w:rsid w:val="00E45848"/>
    <w:rsid w:val="00E45860"/>
    <w:rsid w:val="00E45898"/>
    <w:rsid w:val="00E458BC"/>
    <w:rsid w:val="00E458CF"/>
    <w:rsid w:val="00E4594C"/>
    <w:rsid w:val="00E4595F"/>
    <w:rsid w:val="00E45988"/>
    <w:rsid w:val="00E459CF"/>
    <w:rsid w:val="00E459DC"/>
    <w:rsid w:val="00E45A7A"/>
    <w:rsid w:val="00E45A8E"/>
    <w:rsid w:val="00E45A9C"/>
    <w:rsid w:val="00E45AA9"/>
    <w:rsid w:val="00E45AEC"/>
    <w:rsid w:val="00E45AFC"/>
    <w:rsid w:val="00E45B12"/>
    <w:rsid w:val="00E45B4F"/>
    <w:rsid w:val="00E45B57"/>
    <w:rsid w:val="00E45B75"/>
    <w:rsid w:val="00E45B78"/>
    <w:rsid w:val="00E45C0A"/>
    <w:rsid w:val="00E45C1D"/>
    <w:rsid w:val="00E45C3D"/>
    <w:rsid w:val="00E45CB2"/>
    <w:rsid w:val="00E45CE7"/>
    <w:rsid w:val="00E45D21"/>
    <w:rsid w:val="00E45D69"/>
    <w:rsid w:val="00E45D83"/>
    <w:rsid w:val="00E45D9B"/>
    <w:rsid w:val="00E45DDE"/>
    <w:rsid w:val="00E45DF5"/>
    <w:rsid w:val="00E45E2F"/>
    <w:rsid w:val="00E45E8D"/>
    <w:rsid w:val="00E45EA6"/>
    <w:rsid w:val="00E45ED4"/>
    <w:rsid w:val="00E45F2C"/>
    <w:rsid w:val="00E45F36"/>
    <w:rsid w:val="00E45F57"/>
    <w:rsid w:val="00E45F8E"/>
    <w:rsid w:val="00E45F93"/>
    <w:rsid w:val="00E45F9C"/>
    <w:rsid w:val="00E46017"/>
    <w:rsid w:val="00E46079"/>
    <w:rsid w:val="00E460CB"/>
    <w:rsid w:val="00E460D4"/>
    <w:rsid w:val="00E460F2"/>
    <w:rsid w:val="00E46102"/>
    <w:rsid w:val="00E46123"/>
    <w:rsid w:val="00E4614B"/>
    <w:rsid w:val="00E46170"/>
    <w:rsid w:val="00E461A7"/>
    <w:rsid w:val="00E46218"/>
    <w:rsid w:val="00E46269"/>
    <w:rsid w:val="00E462B1"/>
    <w:rsid w:val="00E462BA"/>
    <w:rsid w:val="00E462C5"/>
    <w:rsid w:val="00E462E3"/>
    <w:rsid w:val="00E462EB"/>
    <w:rsid w:val="00E462EC"/>
    <w:rsid w:val="00E462F0"/>
    <w:rsid w:val="00E46323"/>
    <w:rsid w:val="00E46354"/>
    <w:rsid w:val="00E46363"/>
    <w:rsid w:val="00E4639C"/>
    <w:rsid w:val="00E463F0"/>
    <w:rsid w:val="00E4640C"/>
    <w:rsid w:val="00E4644A"/>
    <w:rsid w:val="00E46475"/>
    <w:rsid w:val="00E464D0"/>
    <w:rsid w:val="00E46599"/>
    <w:rsid w:val="00E465BC"/>
    <w:rsid w:val="00E465C1"/>
    <w:rsid w:val="00E465CD"/>
    <w:rsid w:val="00E4662E"/>
    <w:rsid w:val="00E46688"/>
    <w:rsid w:val="00E466BA"/>
    <w:rsid w:val="00E466D3"/>
    <w:rsid w:val="00E46764"/>
    <w:rsid w:val="00E46788"/>
    <w:rsid w:val="00E467FA"/>
    <w:rsid w:val="00E4686E"/>
    <w:rsid w:val="00E46898"/>
    <w:rsid w:val="00E4696D"/>
    <w:rsid w:val="00E46984"/>
    <w:rsid w:val="00E4699E"/>
    <w:rsid w:val="00E469AA"/>
    <w:rsid w:val="00E469DA"/>
    <w:rsid w:val="00E469E1"/>
    <w:rsid w:val="00E469E2"/>
    <w:rsid w:val="00E469EF"/>
    <w:rsid w:val="00E46A10"/>
    <w:rsid w:val="00E46A2D"/>
    <w:rsid w:val="00E46A77"/>
    <w:rsid w:val="00E46AD5"/>
    <w:rsid w:val="00E46AED"/>
    <w:rsid w:val="00E46B14"/>
    <w:rsid w:val="00E46B74"/>
    <w:rsid w:val="00E46B7B"/>
    <w:rsid w:val="00E46C12"/>
    <w:rsid w:val="00E46C2B"/>
    <w:rsid w:val="00E46C3B"/>
    <w:rsid w:val="00E46C82"/>
    <w:rsid w:val="00E46D2A"/>
    <w:rsid w:val="00E46D73"/>
    <w:rsid w:val="00E46E0A"/>
    <w:rsid w:val="00E46E35"/>
    <w:rsid w:val="00E46E3C"/>
    <w:rsid w:val="00E46EAE"/>
    <w:rsid w:val="00E46ECD"/>
    <w:rsid w:val="00E46ECF"/>
    <w:rsid w:val="00E46F7D"/>
    <w:rsid w:val="00E46F98"/>
    <w:rsid w:val="00E46FFF"/>
    <w:rsid w:val="00E4700A"/>
    <w:rsid w:val="00E4701C"/>
    <w:rsid w:val="00E47071"/>
    <w:rsid w:val="00E4707C"/>
    <w:rsid w:val="00E47114"/>
    <w:rsid w:val="00E47134"/>
    <w:rsid w:val="00E4714A"/>
    <w:rsid w:val="00E4714E"/>
    <w:rsid w:val="00E4716A"/>
    <w:rsid w:val="00E47179"/>
    <w:rsid w:val="00E471DA"/>
    <w:rsid w:val="00E471DB"/>
    <w:rsid w:val="00E47210"/>
    <w:rsid w:val="00E4721F"/>
    <w:rsid w:val="00E47238"/>
    <w:rsid w:val="00E47295"/>
    <w:rsid w:val="00E472D9"/>
    <w:rsid w:val="00E47305"/>
    <w:rsid w:val="00E47317"/>
    <w:rsid w:val="00E4735C"/>
    <w:rsid w:val="00E4737B"/>
    <w:rsid w:val="00E47419"/>
    <w:rsid w:val="00E47447"/>
    <w:rsid w:val="00E4747B"/>
    <w:rsid w:val="00E4748C"/>
    <w:rsid w:val="00E474BE"/>
    <w:rsid w:val="00E475F5"/>
    <w:rsid w:val="00E47637"/>
    <w:rsid w:val="00E47652"/>
    <w:rsid w:val="00E47683"/>
    <w:rsid w:val="00E4768B"/>
    <w:rsid w:val="00E476C1"/>
    <w:rsid w:val="00E476F2"/>
    <w:rsid w:val="00E476FE"/>
    <w:rsid w:val="00E4778A"/>
    <w:rsid w:val="00E477E1"/>
    <w:rsid w:val="00E477F3"/>
    <w:rsid w:val="00E4785F"/>
    <w:rsid w:val="00E478B8"/>
    <w:rsid w:val="00E4793D"/>
    <w:rsid w:val="00E47944"/>
    <w:rsid w:val="00E479D4"/>
    <w:rsid w:val="00E47A76"/>
    <w:rsid w:val="00E47AA8"/>
    <w:rsid w:val="00E47B0F"/>
    <w:rsid w:val="00E47B1F"/>
    <w:rsid w:val="00E47BA0"/>
    <w:rsid w:val="00E47C90"/>
    <w:rsid w:val="00E47D23"/>
    <w:rsid w:val="00E47D47"/>
    <w:rsid w:val="00E47D5A"/>
    <w:rsid w:val="00E47D85"/>
    <w:rsid w:val="00E47D8D"/>
    <w:rsid w:val="00E47DA5"/>
    <w:rsid w:val="00E47DD3"/>
    <w:rsid w:val="00E47DD8"/>
    <w:rsid w:val="00E47F17"/>
    <w:rsid w:val="00E47F2C"/>
    <w:rsid w:val="00E47F49"/>
    <w:rsid w:val="00E47F5C"/>
    <w:rsid w:val="00E47FE8"/>
    <w:rsid w:val="00E50028"/>
    <w:rsid w:val="00E5002E"/>
    <w:rsid w:val="00E50046"/>
    <w:rsid w:val="00E5007C"/>
    <w:rsid w:val="00E50110"/>
    <w:rsid w:val="00E50131"/>
    <w:rsid w:val="00E50181"/>
    <w:rsid w:val="00E501B0"/>
    <w:rsid w:val="00E501BB"/>
    <w:rsid w:val="00E501BD"/>
    <w:rsid w:val="00E50250"/>
    <w:rsid w:val="00E50252"/>
    <w:rsid w:val="00E5028D"/>
    <w:rsid w:val="00E502F7"/>
    <w:rsid w:val="00E50319"/>
    <w:rsid w:val="00E5032D"/>
    <w:rsid w:val="00E50337"/>
    <w:rsid w:val="00E503BF"/>
    <w:rsid w:val="00E50408"/>
    <w:rsid w:val="00E5040A"/>
    <w:rsid w:val="00E50410"/>
    <w:rsid w:val="00E504A6"/>
    <w:rsid w:val="00E504D3"/>
    <w:rsid w:val="00E50505"/>
    <w:rsid w:val="00E5053B"/>
    <w:rsid w:val="00E505E7"/>
    <w:rsid w:val="00E505FB"/>
    <w:rsid w:val="00E5061E"/>
    <w:rsid w:val="00E50644"/>
    <w:rsid w:val="00E50651"/>
    <w:rsid w:val="00E50669"/>
    <w:rsid w:val="00E50672"/>
    <w:rsid w:val="00E50694"/>
    <w:rsid w:val="00E50702"/>
    <w:rsid w:val="00E5070B"/>
    <w:rsid w:val="00E50795"/>
    <w:rsid w:val="00E507C9"/>
    <w:rsid w:val="00E50802"/>
    <w:rsid w:val="00E5081F"/>
    <w:rsid w:val="00E50823"/>
    <w:rsid w:val="00E50872"/>
    <w:rsid w:val="00E5087B"/>
    <w:rsid w:val="00E508B4"/>
    <w:rsid w:val="00E5091F"/>
    <w:rsid w:val="00E509BF"/>
    <w:rsid w:val="00E509C6"/>
    <w:rsid w:val="00E509F1"/>
    <w:rsid w:val="00E50A17"/>
    <w:rsid w:val="00E50A26"/>
    <w:rsid w:val="00E50A53"/>
    <w:rsid w:val="00E50A8D"/>
    <w:rsid w:val="00E50ACB"/>
    <w:rsid w:val="00E50ADB"/>
    <w:rsid w:val="00E50AEF"/>
    <w:rsid w:val="00E50B46"/>
    <w:rsid w:val="00E50B60"/>
    <w:rsid w:val="00E50BBA"/>
    <w:rsid w:val="00E50BE5"/>
    <w:rsid w:val="00E50BFC"/>
    <w:rsid w:val="00E50C6D"/>
    <w:rsid w:val="00E50C7B"/>
    <w:rsid w:val="00E50CFA"/>
    <w:rsid w:val="00E50D11"/>
    <w:rsid w:val="00E50D22"/>
    <w:rsid w:val="00E50E31"/>
    <w:rsid w:val="00E50EA3"/>
    <w:rsid w:val="00E50F70"/>
    <w:rsid w:val="00E50F9A"/>
    <w:rsid w:val="00E50FC5"/>
    <w:rsid w:val="00E5102C"/>
    <w:rsid w:val="00E51033"/>
    <w:rsid w:val="00E5108E"/>
    <w:rsid w:val="00E510D2"/>
    <w:rsid w:val="00E510D6"/>
    <w:rsid w:val="00E510E5"/>
    <w:rsid w:val="00E51129"/>
    <w:rsid w:val="00E51184"/>
    <w:rsid w:val="00E511D0"/>
    <w:rsid w:val="00E511E5"/>
    <w:rsid w:val="00E5136A"/>
    <w:rsid w:val="00E513B5"/>
    <w:rsid w:val="00E513BB"/>
    <w:rsid w:val="00E513ED"/>
    <w:rsid w:val="00E51416"/>
    <w:rsid w:val="00E514C5"/>
    <w:rsid w:val="00E51523"/>
    <w:rsid w:val="00E51614"/>
    <w:rsid w:val="00E516CB"/>
    <w:rsid w:val="00E516F9"/>
    <w:rsid w:val="00E51772"/>
    <w:rsid w:val="00E517F0"/>
    <w:rsid w:val="00E5181C"/>
    <w:rsid w:val="00E51859"/>
    <w:rsid w:val="00E518E1"/>
    <w:rsid w:val="00E519B0"/>
    <w:rsid w:val="00E51A1C"/>
    <w:rsid w:val="00E51A2A"/>
    <w:rsid w:val="00E51A52"/>
    <w:rsid w:val="00E51A62"/>
    <w:rsid w:val="00E51B1F"/>
    <w:rsid w:val="00E51B72"/>
    <w:rsid w:val="00E51BA0"/>
    <w:rsid w:val="00E51BAE"/>
    <w:rsid w:val="00E51CB3"/>
    <w:rsid w:val="00E51D08"/>
    <w:rsid w:val="00E51D57"/>
    <w:rsid w:val="00E51D7F"/>
    <w:rsid w:val="00E51DBC"/>
    <w:rsid w:val="00E51DFB"/>
    <w:rsid w:val="00E51E0D"/>
    <w:rsid w:val="00E51E60"/>
    <w:rsid w:val="00E51E96"/>
    <w:rsid w:val="00E51EA5"/>
    <w:rsid w:val="00E51EB9"/>
    <w:rsid w:val="00E51F37"/>
    <w:rsid w:val="00E51FB1"/>
    <w:rsid w:val="00E52016"/>
    <w:rsid w:val="00E5202C"/>
    <w:rsid w:val="00E5206D"/>
    <w:rsid w:val="00E520A1"/>
    <w:rsid w:val="00E520AE"/>
    <w:rsid w:val="00E520BA"/>
    <w:rsid w:val="00E520DF"/>
    <w:rsid w:val="00E52125"/>
    <w:rsid w:val="00E5212E"/>
    <w:rsid w:val="00E52189"/>
    <w:rsid w:val="00E521A4"/>
    <w:rsid w:val="00E521C9"/>
    <w:rsid w:val="00E521CE"/>
    <w:rsid w:val="00E52205"/>
    <w:rsid w:val="00E5221D"/>
    <w:rsid w:val="00E52240"/>
    <w:rsid w:val="00E5224F"/>
    <w:rsid w:val="00E52254"/>
    <w:rsid w:val="00E52260"/>
    <w:rsid w:val="00E522A2"/>
    <w:rsid w:val="00E522AE"/>
    <w:rsid w:val="00E5231C"/>
    <w:rsid w:val="00E52344"/>
    <w:rsid w:val="00E523F0"/>
    <w:rsid w:val="00E5241D"/>
    <w:rsid w:val="00E52466"/>
    <w:rsid w:val="00E52489"/>
    <w:rsid w:val="00E524B4"/>
    <w:rsid w:val="00E524C1"/>
    <w:rsid w:val="00E524CA"/>
    <w:rsid w:val="00E524D1"/>
    <w:rsid w:val="00E5254F"/>
    <w:rsid w:val="00E5257F"/>
    <w:rsid w:val="00E525A7"/>
    <w:rsid w:val="00E5263A"/>
    <w:rsid w:val="00E52669"/>
    <w:rsid w:val="00E52716"/>
    <w:rsid w:val="00E5273D"/>
    <w:rsid w:val="00E5273F"/>
    <w:rsid w:val="00E52747"/>
    <w:rsid w:val="00E5275E"/>
    <w:rsid w:val="00E527AA"/>
    <w:rsid w:val="00E527AC"/>
    <w:rsid w:val="00E527EA"/>
    <w:rsid w:val="00E52801"/>
    <w:rsid w:val="00E52825"/>
    <w:rsid w:val="00E52838"/>
    <w:rsid w:val="00E5283C"/>
    <w:rsid w:val="00E5284C"/>
    <w:rsid w:val="00E52857"/>
    <w:rsid w:val="00E52881"/>
    <w:rsid w:val="00E528ED"/>
    <w:rsid w:val="00E528FA"/>
    <w:rsid w:val="00E5298C"/>
    <w:rsid w:val="00E529C2"/>
    <w:rsid w:val="00E52A07"/>
    <w:rsid w:val="00E52A22"/>
    <w:rsid w:val="00E52A41"/>
    <w:rsid w:val="00E52A46"/>
    <w:rsid w:val="00E52B02"/>
    <w:rsid w:val="00E52B08"/>
    <w:rsid w:val="00E52B2D"/>
    <w:rsid w:val="00E52B32"/>
    <w:rsid w:val="00E52BFA"/>
    <w:rsid w:val="00E52C25"/>
    <w:rsid w:val="00E52C31"/>
    <w:rsid w:val="00E52C36"/>
    <w:rsid w:val="00E52C47"/>
    <w:rsid w:val="00E52C8E"/>
    <w:rsid w:val="00E52C90"/>
    <w:rsid w:val="00E52CD4"/>
    <w:rsid w:val="00E52DCD"/>
    <w:rsid w:val="00E52DEB"/>
    <w:rsid w:val="00E52E8A"/>
    <w:rsid w:val="00E52EC1"/>
    <w:rsid w:val="00E52EF5"/>
    <w:rsid w:val="00E52F0C"/>
    <w:rsid w:val="00E52F28"/>
    <w:rsid w:val="00E52F5A"/>
    <w:rsid w:val="00E52F5C"/>
    <w:rsid w:val="00E52F86"/>
    <w:rsid w:val="00E52FB4"/>
    <w:rsid w:val="00E52FC9"/>
    <w:rsid w:val="00E52FCA"/>
    <w:rsid w:val="00E52FDA"/>
    <w:rsid w:val="00E52FDF"/>
    <w:rsid w:val="00E53023"/>
    <w:rsid w:val="00E53047"/>
    <w:rsid w:val="00E5306D"/>
    <w:rsid w:val="00E5310A"/>
    <w:rsid w:val="00E531AE"/>
    <w:rsid w:val="00E531D4"/>
    <w:rsid w:val="00E53217"/>
    <w:rsid w:val="00E53242"/>
    <w:rsid w:val="00E5327D"/>
    <w:rsid w:val="00E53286"/>
    <w:rsid w:val="00E532C0"/>
    <w:rsid w:val="00E53309"/>
    <w:rsid w:val="00E53311"/>
    <w:rsid w:val="00E53373"/>
    <w:rsid w:val="00E533B5"/>
    <w:rsid w:val="00E533CA"/>
    <w:rsid w:val="00E533EC"/>
    <w:rsid w:val="00E533EE"/>
    <w:rsid w:val="00E533F6"/>
    <w:rsid w:val="00E5341E"/>
    <w:rsid w:val="00E53460"/>
    <w:rsid w:val="00E5347B"/>
    <w:rsid w:val="00E534EF"/>
    <w:rsid w:val="00E53544"/>
    <w:rsid w:val="00E535EE"/>
    <w:rsid w:val="00E536A3"/>
    <w:rsid w:val="00E53717"/>
    <w:rsid w:val="00E5376D"/>
    <w:rsid w:val="00E5377E"/>
    <w:rsid w:val="00E537A8"/>
    <w:rsid w:val="00E537B8"/>
    <w:rsid w:val="00E537BC"/>
    <w:rsid w:val="00E537D6"/>
    <w:rsid w:val="00E537F3"/>
    <w:rsid w:val="00E53839"/>
    <w:rsid w:val="00E538E4"/>
    <w:rsid w:val="00E53944"/>
    <w:rsid w:val="00E53971"/>
    <w:rsid w:val="00E5399D"/>
    <w:rsid w:val="00E539C0"/>
    <w:rsid w:val="00E539FC"/>
    <w:rsid w:val="00E53A10"/>
    <w:rsid w:val="00E53A19"/>
    <w:rsid w:val="00E53A53"/>
    <w:rsid w:val="00E53AC4"/>
    <w:rsid w:val="00E53ADE"/>
    <w:rsid w:val="00E53B28"/>
    <w:rsid w:val="00E53B86"/>
    <w:rsid w:val="00E53B9D"/>
    <w:rsid w:val="00E53C2E"/>
    <w:rsid w:val="00E53C53"/>
    <w:rsid w:val="00E53C8E"/>
    <w:rsid w:val="00E53CB2"/>
    <w:rsid w:val="00E53CB6"/>
    <w:rsid w:val="00E53CF9"/>
    <w:rsid w:val="00E53D14"/>
    <w:rsid w:val="00E53DC8"/>
    <w:rsid w:val="00E53DD3"/>
    <w:rsid w:val="00E53DDC"/>
    <w:rsid w:val="00E53DFA"/>
    <w:rsid w:val="00E53E27"/>
    <w:rsid w:val="00E53E8A"/>
    <w:rsid w:val="00E53EC8"/>
    <w:rsid w:val="00E53FA4"/>
    <w:rsid w:val="00E53FE6"/>
    <w:rsid w:val="00E53FEF"/>
    <w:rsid w:val="00E5403F"/>
    <w:rsid w:val="00E5407E"/>
    <w:rsid w:val="00E5415B"/>
    <w:rsid w:val="00E54164"/>
    <w:rsid w:val="00E5418C"/>
    <w:rsid w:val="00E541CA"/>
    <w:rsid w:val="00E541F1"/>
    <w:rsid w:val="00E54247"/>
    <w:rsid w:val="00E5424C"/>
    <w:rsid w:val="00E5428A"/>
    <w:rsid w:val="00E5428B"/>
    <w:rsid w:val="00E542E0"/>
    <w:rsid w:val="00E542E1"/>
    <w:rsid w:val="00E542E4"/>
    <w:rsid w:val="00E542F2"/>
    <w:rsid w:val="00E543BA"/>
    <w:rsid w:val="00E54405"/>
    <w:rsid w:val="00E54416"/>
    <w:rsid w:val="00E5442D"/>
    <w:rsid w:val="00E54461"/>
    <w:rsid w:val="00E54466"/>
    <w:rsid w:val="00E54474"/>
    <w:rsid w:val="00E544E0"/>
    <w:rsid w:val="00E54572"/>
    <w:rsid w:val="00E54574"/>
    <w:rsid w:val="00E5459D"/>
    <w:rsid w:val="00E54604"/>
    <w:rsid w:val="00E54610"/>
    <w:rsid w:val="00E54645"/>
    <w:rsid w:val="00E546B7"/>
    <w:rsid w:val="00E546D3"/>
    <w:rsid w:val="00E54786"/>
    <w:rsid w:val="00E547D0"/>
    <w:rsid w:val="00E547D5"/>
    <w:rsid w:val="00E547F0"/>
    <w:rsid w:val="00E5484C"/>
    <w:rsid w:val="00E5485C"/>
    <w:rsid w:val="00E5486E"/>
    <w:rsid w:val="00E548B8"/>
    <w:rsid w:val="00E548EA"/>
    <w:rsid w:val="00E54941"/>
    <w:rsid w:val="00E54946"/>
    <w:rsid w:val="00E549C9"/>
    <w:rsid w:val="00E54A25"/>
    <w:rsid w:val="00E54A62"/>
    <w:rsid w:val="00E54A88"/>
    <w:rsid w:val="00E54AFF"/>
    <w:rsid w:val="00E54B1B"/>
    <w:rsid w:val="00E54B55"/>
    <w:rsid w:val="00E54B6A"/>
    <w:rsid w:val="00E54B9D"/>
    <w:rsid w:val="00E54BFB"/>
    <w:rsid w:val="00E54C5E"/>
    <w:rsid w:val="00E54C65"/>
    <w:rsid w:val="00E54C73"/>
    <w:rsid w:val="00E54C8A"/>
    <w:rsid w:val="00E54D25"/>
    <w:rsid w:val="00E54E53"/>
    <w:rsid w:val="00E54F74"/>
    <w:rsid w:val="00E54F88"/>
    <w:rsid w:val="00E54FA9"/>
    <w:rsid w:val="00E550FA"/>
    <w:rsid w:val="00E55127"/>
    <w:rsid w:val="00E55133"/>
    <w:rsid w:val="00E5514C"/>
    <w:rsid w:val="00E55208"/>
    <w:rsid w:val="00E5525E"/>
    <w:rsid w:val="00E5530A"/>
    <w:rsid w:val="00E55348"/>
    <w:rsid w:val="00E5536A"/>
    <w:rsid w:val="00E553F4"/>
    <w:rsid w:val="00E553FB"/>
    <w:rsid w:val="00E553FD"/>
    <w:rsid w:val="00E55438"/>
    <w:rsid w:val="00E55444"/>
    <w:rsid w:val="00E5544F"/>
    <w:rsid w:val="00E55469"/>
    <w:rsid w:val="00E5549F"/>
    <w:rsid w:val="00E554AC"/>
    <w:rsid w:val="00E554CB"/>
    <w:rsid w:val="00E55570"/>
    <w:rsid w:val="00E555D2"/>
    <w:rsid w:val="00E555D6"/>
    <w:rsid w:val="00E55623"/>
    <w:rsid w:val="00E55705"/>
    <w:rsid w:val="00E5574E"/>
    <w:rsid w:val="00E55793"/>
    <w:rsid w:val="00E557BE"/>
    <w:rsid w:val="00E557F2"/>
    <w:rsid w:val="00E55878"/>
    <w:rsid w:val="00E5589A"/>
    <w:rsid w:val="00E5589C"/>
    <w:rsid w:val="00E558BC"/>
    <w:rsid w:val="00E558EF"/>
    <w:rsid w:val="00E558FD"/>
    <w:rsid w:val="00E5595E"/>
    <w:rsid w:val="00E55969"/>
    <w:rsid w:val="00E559A5"/>
    <w:rsid w:val="00E559E4"/>
    <w:rsid w:val="00E55A0D"/>
    <w:rsid w:val="00E55A1C"/>
    <w:rsid w:val="00E55A59"/>
    <w:rsid w:val="00E55A5C"/>
    <w:rsid w:val="00E55AA4"/>
    <w:rsid w:val="00E55B25"/>
    <w:rsid w:val="00E55B53"/>
    <w:rsid w:val="00E55B60"/>
    <w:rsid w:val="00E55B78"/>
    <w:rsid w:val="00E55B7A"/>
    <w:rsid w:val="00E55B81"/>
    <w:rsid w:val="00E55B8D"/>
    <w:rsid w:val="00E55BC8"/>
    <w:rsid w:val="00E55C8A"/>
    <w:rsid w:val="00E55CC0"/>
    <w:rsid w:val="00E55CC9"/>
    <w:rsid w:val="00E55CE7"/>
    <w:rsid w:val="00E55D12"/>
    <w:rsid w:val="00E55D35"/>
    <w:rsid w:val="00E55D6C"/>
    <w:rsid w:val="00E55DAA"/>
    <w:rsid w:val="00E55DB6"/>
    <w:rsid w:val="00E55DE5"/>
    <w:rsid w:val="00E55E36"/>
    <w:rsid w:val="00E55EDE"/>
    <w:rsid w:val="00E55F46"/>
    <w:rsid w:val="00E55F94"/>
    <w:rsid w:val="00E5601A"/>
    <w:rsid w:val="00E5612D"/>
    <w:rsid w:val="00E561BE"/>
    <w:rsid w:val="00E56254"/>
    <w:rsid w:val="00E5626C"/>
    <w:rsid w:val="00E5627E"/>
    <w:rsid w:val="00E56290"/>
    <w:rsid w:val="00E562D0"/>
    <w:rsid w:val="00E562E1"/>
    <w:rsid w:val="00E5634D"/>
    <w:rsid w:val="00E56352"/>
    <w:rsid w:val="00E563C4"/>
    <w:rsid w:val="00E563E6"/>
    <w:rsid w:val="00E563F7"/>
    <w:rsid w:val="00E56428"/>
    <w:rsid w:val="00E5643F"/>
    <w:rsid w:val="00E56450"/>
    <w:rsid w:val="00E56451"/>
    <w:rsid w:val="00E5647D"/>
    <w:rsid w:val="00E5649E"/>
    <w:rsid w:val="00E564F7"/>
    <w:rsid w:val="00E56535"/>
    <w:rsid w:val="00E56554"/>
    <w:rsid w:val="00E565D2"/>
    <w:rsid w:val="00E5662F"/>
    <w:rsid w:val="00E56649"/>
    <w:rsid w:val="00E5667E"/>
    <w:rsid w:val="00E566B9"/>
    <w:rsid w:val="00E566DF"/>
    <w:rsid w:val="00E56715"/>
    <w:rsid w:val="00E5671F"/>
    <w:rsid w:val="00E567BE"/>
    <w:rsid w:val="00E56805"/>
    <w:rsid w:val="00E56821"/>
    <w:rsid w:val="00E56826"/>
    <w:rsid w:val="00E56836"/>
    <w:rsid w:val="00E56841"/>
    <w:rsid w:val="00E5684C"/>
    <w:rsid w:val="00E56851"/>
    <w:rsid w:val="00E5685E"/>
    <w:rsid w:val="00E56896"/>
    <w:rsid w:val="00E568D8"/>
    <w:rsid w:val="00E568F0"/>
    <w:rsid w:val="00E5691B"/>
    <w:rsid w:val="00E5697C"/>
    <w:rsid w:val="00E569A5"/>
    <w:rsid w:val="00E56A2F"/>
    <w:rsid w:val="00E56A50"/>
    <w:rsid w:val="00E56AC6"/>
    <w:rsid w:val="00E56B70"/>
    <w:rsid w:val="00E56BA4"/>
    <w:rsid w:val="00E56BB7"/>
    <w:rsid w:val="00E56C02"/>
    <w:rsid w:val="00E56C05"/>
    <w:rsid w:val="00E56C61"/>
    <w:rsid w:val="00E56C71"/>
    <w:rsid w:val="00E56CAA"/>
    <w:rsid w:val="00E56D6F"/>
    <w:rsid w:val="00E56DE6"/>
    <w:rsid w:val="00E56E0E"/>
    <w:rsid w:val="00E56E1B"/>
    <w:rsid w:val="00E56E49"/>
    <w:rsid w:val="00E56E5B"/>
    <w:rsid w:val="00E56E62"/>
    <w:rsid w:val="00E56EBF"/>
    <w:rsid w:val="00E56ED9"/>
    <w:rsid w:val="00E56F00"/>
    <w:rsid w:val="00E56F0F"/>
    <w:rsid w:val="00E56F13"/>
    <w:rsid w:val="00E56F14"/>
    <w:rsid w:val="00E56F3B"/>
    <w:rsid w:val="00E56F67"/>
    <w:rsid w:val="00E56F8C"/>
    <w:rsid w:val="00E5701F"/>
    <w:rsid w:val="00E57059"/>
    <w:rsid w:val="00E5707A"/>
    <w:rsid w:val="00E57090"/>
    <w:rsid w:val="00E570F9"/>
    <w:rsid w:val="00E57132"/>
    <w:rsid w:val="00E571CD"/>
    <w:rsid w:val="00E57249"/>
    <w:rsid w:val="00E57265"/>
    <w:rsid w:val="00E572C5"/>
    <w:rsid w:val="00E5730E"/>
    <w:rsid w:val="00E57345"/>
    <w:rsid w:val="00E57360"/>
    <w:rsid w:val="00E57478"/>
    <w:rsid w:val="00E57482"/>
    <w:rsid w:val="00E574E8"/>
    <w:rsid w:val="00E57504"/>
    <w:rsid w:val="00E5752A"/>
    <w:rsid w:val="00E57592"/>
    <w:rsid w:val="00E575C4"/>
    <w:rsid w:val="00E57680"/>
    <w:rsid w:val="00E57774"/>
    <w:rsid w:val="00E57820"/>
    <w:rsid w:val="00E5782A"/>
    <w:rsid w:val="00E5786E"/>
    <w:rsid w:val="00E578F0"/>
    <w:rsid w:val="00E579D9"/>
    <w:rsid w:val="00E57A22"/>
    <w:rsid w:val="00E57A47"/>
    <w:rsid w:val="00E57A81"/>
    <w:rsid w:val="00E57B19"/>
    <w:rsid w:val="00E57B5C"/>
    <w:rsid w:val="00E57BA3"/>
    <w:rsid w:val="00E57BA5"/>
    <w:rsid w:val="00E57BAE"/>
    <w:rsid w:val="00E57BB9"/>
    <w:rsid w:val="00E57BD9"/>
    <w:rsid w:val="00E57BFF"/>
    <w:rsid w:val="00E57C04"/>
    <w:rsid w:val="00E57C15"/>
    <w:rsid w:val="00E57C90"/>
    <w:rsid w:val="00E57CBC"/>
    <w:rsid w:val="00E57D15"/>
    <w:rsid w:val="00E57D6F"/>
    <w:rsid w:val="00E57D77"/>
    <w:rsid w:val="00E57D89"/>
    <w:rsid w:val="00E57DD8"/>
    <w:rsid w:val="00E57E3B"/>
    <w:rsid w:val="00E57E61"/>
    <w:rsid w:val="00E57E69"/>
    <w:rsid w:val="00E57E76"/>
    <w:rsid w:val="00E57E82"/>
    <w:rsid w:val="00E57E99"/>
    <w:rsid w:val="00E57F32"/>
    <w:rsid w:val="00E57F7F"/>
    <w:rsid w:val="00E57F9E"/>
    <w:rsid w:val="00E60002"/>
    <w:rsid w:val="00E60019"/>
    <w:rsid w:val="00E6002F"/>
    <w:rsid w:val="00E60052"/>
    <w:rsid w:val="00E600F5"/>
    <w:rsid w:val="00E600F7"/>
    <w:rsid w:val="00E60111"/>
    <w:rsid w:val="00E60221"/>
    <w:rsid w:val="00E6022A"/>
    <w:rsid w:val="00E60258"/>
    <w:rsid w:val="00E60287"/>
    <w:rsid w:val="00E602CE"/>
    <w:rsid w:val="00E60306"/>
    <w:rsid w:val="00E603AC"/>
    <w:rsid w:val="00E603E5"/>
    <w:rsid w:val="00E60406"/>
    <w:rsid w:val="00E60428"/>
    <w:rsid w:val="00E60448"/>
    <w:rsid w:val="00E6044F"/>
    <w:rsid w:val="00E6049F"/>
    <w:rsid w:val="00E604EE"/>
    <w:rsid w:val="00E60527"/>
    <w:rsid w:val="00E6053D"/>
    <w:rsid w:val="00E60599"/>
    <w:rsid w:val="00E605A5"/>
    <w:rsid w:val="00E605E2"/>
    <w:rsid w:val="00E605EC"/>
    <w:rsid w:val="00E60634"/>
    <w:rsid w:val="00E6063F"/>
    <w:rsid w:val="00E60668"/>
    <w:rsid w:val="00E606CC"/>
    <w:rsid w:val="00E606E4"/>
    <w:rsid w:val="00E60735"/>
    <w:rsid w:val="00E6073F"/>
    <w:rsid w:val="00E607AE"/>
    <w:rsid w:val="00E607CC"/>
    <w:rsid w:val="00E607DB"/>
    <w:rsid w:val="00E6080A"/>
    <w:rsid w:val="00E6082C"/>
    <w:rsid w:val="00E6086D"/>
    <w:rsid w:val="00E60876"/>
    <w:rsid w:val="00E608D9"/>
    <w:rsid w:val="00E6094C"/>
    <w:rsid w:val="00E609A0"/>
    <w:rsid w:val="00E609E1"/>
    <w:rsid w:val="00E60A3D"/>
    <w:rsid w:val="00E60A7E"/>
    <w:rsid w:val="00E60B29"/>
    <w:rsid w:val="00E60B59"/>
    <w:rsid w:val="00E60BB6"/>
    <w:rsid w:val="00E60BE6"/>
    <w:rsid w:val="00E60BFE"/>
    <w:rsid w:val="00E60C26"/>
    <w:rsid w:val="00E60C56"/>
    <w:rsid w:val="00E60C5B"/>
    <w:rsid w:val="00E60C91"/>
    <w:rsid w:val="00E60CCB"/>
    <w:rsid w:val="00E60CEE"/>
    <w:rsid w:val="00E60D05"/>
    <w:rsid w:val="00E60D27"/>
    <w:rsid w:val="00E60D57"/>
    <w:rsid w:val="00E60D78"/>
    <w:rsid w:val="00E60DBF"/>
    <w:rsid w:val="00E60DE8"/>
    <w:rsid w:val="00E60DF2"/>
    <w:rsid w:val="00E60E04"/>
    <w:rsid w:val="00E60ED9"/>
    <w:rsid w:val="00E60F06"/>
    <w:rsid w:val="00E60F47"/>
    <w:rsid w:val="00E60F4E"/>
    <w:rsid w:val="00E60F50"/>
    <w:rsid w:val="00E60F60"/>
    <w:rsid w:val="00E60F67"/>
    <w:rsid w:val="00E60F95"/>
    <w:rsid w:val="00E60FAD"/>
    <w:rsid w:val="00E60FB4"/>
    <w:rsid w:val="00E61025"/>
    <w:rsid w:val="00E61040"/>
    <w:rsid w:val="00E61046"/>
    <w:rsid w:val="00E61064"/>
    <w:rsid w:val="00E61067"/>
    <w:rsid w:val="00E6108F"/>
    <w:rsid w:val="00E61196"/>
    <w:rsid w:val="00E611CB"/>
    <w:rsid w:val="00E61220"/>
    <w:rsid w:val="00E612A7"/>
    <w:rsid w:val="00E612C3"/>
    <w:rsid w:val="00E61305"/>
    <w:rsid w:val="00E613A0"/>
    <w:rsid w:val="00E613E9"/>
    <w:rsid w:val="00E61401"/>
    <w:rsid w:val="00E6145B"/>
    <w:rsid w:val="00E614A4"/>
    <w:rsid w:val="00E614A6"/>
    <w:rsid w:val="00E614B6"/>
    <w:rsid w:val="00E61500"/>
    <w:rsid w:val="00E61534"/>
    <w:rsid w:val="00E61553"/>
    <w:rsid w:val="00E61595"/>
    <w:rsid w:val="00E61604"/>
    <w:rsid w:val="00E6162E"/>
    <w:rsid w:val="00E61654"/>
    <w:rsid w:val="00E61679"/>
    <w:rsid w:val="00E6175A"/>
    <w:rsid w:val="00E6181B"/>
    <w:rsid w:val="00E618EB"/>
    <w:rsid w:val="00E618F7"/>
    <w:rsid w:val="00E6195B"/>
    <w:rsid w:val="00E6197E"/>
    <w:rsid w:val="00E61AB5"/>
    <w:rsid w:val="00E61AD9"/>
    <w:rsid w:val="00E61B1A"/>
    <w:rsid w:val="00E61B23"/>
    <w:rsid w:val="00E61B2F"/>
    <w:rsid w:val="00E61B98"/>
    <w:rsid w:val="00E61BBD"/>
    <w:rsid w:val="00E61BFB"/>
    <w:rsid w:val="00E61CD0"/>
    <w:rsid w:val="00E61D03"/>
    <w:rsid w:val="00E61D0B"/>
    <w:rsid w:val="00E61D14"/>
    <w:rsid w:val="00E61D22"/>
    <w:rsid w:val="00E61D54"/>
    <w:rsid w:val="00E61D77"/>
    <w:rsid w:val="00E61D80"/>
    <w:rsid w:val="00E61DEA"/>
    <w:rsid w:val="00E61DEC"/>
    <w:rsid w:val="00E61EB5"/>
    <w:rsid w:val="00E61EE8"/>
    <w:rsid w:val="00E61F02"/>
    <w:rsid w:val="00E61F05"/>
    <w:rsid w:val="00E61F6C"/>
    <w:rsid w:val="00E61FB6"/>
    <w:rsid w:val="00E62024"/>
    <w:rsid w:val="00E62058"/>
    <w:rsid w:val="00E62065"/>
    <w:rsid w:val="00E62066"/>
    <w:rsid w:val="00E62084"/>
    <w:rsid w:val="00E6209B"/>
    <w:rsid w:val="00E6215E"/>
    <w:rsid w:val="00E621AE"/>
    <w:rsid w:val="00E621C4"/>
    <w:rsid w:val="00E621F5"/>
    <w:rsid w:val="00E6222F"/>
    <w:rsid w:val="00E6224D"/>
    <w:rsid w:val="00E622AD"/>
    <w:rsid w:val="00E622B5"/>
    <w:rsid w:val="00E622C6"/>
    <w:rsid w:val="00E622D2"/>
    <w:rsid w:val="00E622FE"/>
    <w:rsid w:val="00E62349"/>
    <w:rsid w:val="00E6237E"/>
    <w:rsid w:val="00E62420"/>
    <w:rsid w:val="00E62428"/>
    <w:rsid w:val="00E6245C"/>
    <w:rsid w:val="00E62463"/>
    <w:rsid w:val="00E624DE"/>
    <w:rsid w:val="00E624FA"/>
    <w:rsid w:val="00E6253A"/>
    <w:rsid w:val="00E6255D"/>
    <w:rsid w:val="00E6256E"/>
    <w:rsid w:val="00E62575"/>
    <w:rsid w:val="00E625BB"/>
    <w:rsid w:val="00E625D5"/>
    <w:rsid w:val="00E625EA"/>
    <w:rsid w:val="00E6260B"/>
    <w:rsid w:val="00E6262E"/>
    <w:rsid w:val="00E626B6"/>
    <w:rsid w:val="00E626C5"/>
    <w:rsid w:val="00E626FE"/>
    <w:rsid w:val="00E62745"/>
    <w:rsid w:val="00E62772"/>
    <w:rsid w:val="00E62856"/>
    <w:rsid w:val="00E62864"/>
    <w:rsid w:val="00E62868"/>
    <w:rsid w:val="00E6286C"/>
    <w:rsid w:val="00E62878"/>
    <w:rsid w:val="00E628D5"/>
    <w:rsid w:val="00E62973"/>
    <w:rsid w:val="00E62976"/>
    <w:rsid w:val="00E62992"/>
    <w:rsid w:val="00E629AE"/>
    <w:rsid w:val="00E62A56"/>
    <w:rsid w:val="00E62A73"/>
    <w:rsid w:val="00E62AB7"/>
    <w:rsid w:val="00E62AF0"/>
    <w:rsid w:val="00E62B09"/>
    <w:rsid w:val="00E62B2A"/>
    <w:rsid w:val="00E62B99"/>
    <w:rsid w:val="00E62C7B"/>
    <w:rsid w:val="00E62C8C"/>
    <w:rsid w:val="00E62CD3"/>
    <w:rsid w:val="00E62CF4"/>
    <w:rsid w:val="00E62E6A"/>
    <w:rsid w:val="00E62FAA"/>
    <w:rsid w:val="00E62FDD"/>
    <w:rsid w:val="00E63058"/>
    <w:rsid w:val="00E630BF"/>
    <w:rsid w:val="00E630DA"/>
    <w:rsid w:val="00E630FF"/>
    <w:rsid w:val="00E63103"/>
    <w:rsid w:val="00E6311A"/>
    <w:rsid w:val="00E631B0"/>
    <w:rsid w:val="00E631E2"/>
    <w:rsid w:val="00E631E8"/>
    <w:rsid w:val="00E63204"/>
    <w:rsid w:val="00E63239"/>
    <w:rsid w:val="00E6323A"/>
    <w:rsid w:val="00E6323B"/>
    <w:rsid w:val="00E632BE"/>
    <w:rsid w:val="00E632CD"/>
    <w:rsid w:val="00E63393"/>
    <w:rsid w:val="00E633A0"/>
    <w:rsid w:val="00E633CF"/>
    <w:rsid w:val="00E6345C"/>
    <w:rsid w:val="00E63533"/>
    <w:rsid w:val="00E63539"/>
    <w:rsid w:val="00E63550"/>
    <w:rsid w:val="00E63683"/>
    <w:rsid w:val="00E63686"/>
    <w:rsid w:val="00E636C7"/>
    <w:rsid w:val="00E636D4"/>
    <w:rsid w:val="00E6374D"/>
    <w:rsid w:val="00E63776"/>
    <w:rsid w:val="00E637A3"/>
    <w:rsid w:val="00E63818"/>
    <w:rsid w:val="00E63844"/>
    <w:rsid w:val="00E6388F"/>
    <w:rsid w:val="00E638E0"/>
    <w:rsid w:val="00E63996"/>
    <w:rsid w:val="00E639DD"/>
    <w:rsid w:val="00E63A0B"/>
    <w:rsid w:val="00E63A60"/>
    <w:rsid w:val="00E63A7B"/>
    <w:rsid w:val="00E63AC6"/>
    <w:rsid w:val="00E63AF9"/>
    <w:rsid w:val="00E63B3E"/>
    <w:rsid w:val="00E63BA3"/>
    <w:rsid w:val="00E63C39"/>
    <w:rsid w:val="00E63C52"/>
    <w:rsid w:val="00E63C5B"/>
    <w:rsid w:val="00E63C7E"/>
    <w:rsid w:val="00E63DF8"/>
    <w:rsid w:val="00E63DFA"/>
    <w:rsid w:val="00E63E0B"/>
    <w:rsid w:val="00E63E16"/>
    <w:rsid w:val="00E63E23"/>
    <w:rsid w:val="00E63E2E"/>
    <w:rsid w:val="00E63E93"/>
    <w:rsid w:val="00E63EA7"/>
    <w:rsid w:val="00E63F21"/>
    <w:rsid w:val="00E63F2C"/>
    <w:rsid w:val="00E63F78"/>
    <w:rsid w:val="00E63F7B"/>
    <w:rsid w:val="00E63F95"/>
    <w:rsid w:val="00E63FBB"/>
    <w:rsid w:val="00E63FCA"/>
    <w:rsid w:val="00E64007"/>
    <w:rsid w:val="00E64079"/>
    <w:rsid w:val="00E640FE"/>
    <w:rsid w:val="00E64105"/>
    <w:rsid w:val="00E64114"/>
    <w:rsid w:val="00E6413C"/>
    <w:rsid w:val="00E641C3"/>
    <w:rsid w:val="00E641D4"/>
    <w:rsid w:val="00E64248"/>
    <w:rsid w:val="00E64264"/>
    <w:rsid w:val="00E64295"/>
    <w:rsid w:val="00E642BA"/>
    <w:rsid w:val="00E642D9"/>
    <w:rsid w:val="00E64337"/>
    <w:rsid w:val="00E6439C"/>
    <w:rsid w:val="00E6447B"/>
    <w:rsid w:val="00E64580"/>
    <w:rsid w:val="00E64584"/>
    <w:rsid w:val="00E64599"/>
    <w:rsid w:val="00E645D8"/>
    <w:rsid w:val="00E646F3"/>
    <w:rsid w:val="00E646F5"/>
    <w:rsid w:val="00E6477C"/>
    <w:rsid w:val="00E647A0"/>
    <w:rsid w:val="00E647C3"/>
    <w:rsid w:val="00E64942"/>
    <w:rsid w:val="00E649BF"/>
    <w:rsid w:val="00E64A50"/>
    <w:rsid w:val="00E64A92"/>
    <w:rsid w:val="00E64AD2"/>
    <w:rsid w:val="00E64B17"/>
    <w:rsid w:val="00E64BA9"/>
    <w:rsid w:val="00E64BD9"/>
    <w:rsid w:val="00E64C91"/>
    <w:rsid w:val="00E64CBC"/>
    <w:rsid w:val="00E64CF7"/>
    <w:rsid w:val="00E64DED"/>
    <w:rsid w:val="00E64EC0"/>
    <w:rsid w:val="00E64EE1"/>
    <w:rsid w:val="00E64EFA"/>
    <w:rsid w:val="00E64F01"/>
    <w:rsid w:val="00E64F21"/>
    <w:rsid w:val="00E64F27"/>
    <w:rsid w:val="00E64F57"/>
    <w:rsid w:val="00E64F89"/>
    <w:rsid w:val="00E65006"/>
    <w:rsid w:val="00E65073"/>
    <w:rsid w:val="00E65091"/>
    <w:rsid w:val="00E6510C"/>
    <w:rsid w:val="00E6516D"/>
    <w:rsid w:val="00E651C6"/>
    <w:rsid w:val="00E651C9"/>
    <w:rsid w:val="00E651E6"/>
    <w:rsid w:val="00E65285"/>
    <w:rsid w:val="00E652D4"/>
    <w:rsid w:val="00E6535F"/>
    <w:rsid w:val="00E653D1"/>
    <w:rsid w:val="00E65409"/>
    <w:rsid w:val="00E65473"/>
    <w:rsid w:val="00E654DE"/>
    <w:rsid w:val="00E654FF"/>
    <w:rsid w:val="00E65500"/>
    <w:rsid w:val="00E65513"/>
    <w:rsid w:val="00E65526"/>
    <w:rsid w:val="00E65567"/>
    <w:rsid w:val="00E65653"/>
    <w:rsid w:val="00E6569F"/>
    <w:rsid w:val="00E656C9"/>
    <w:rsid w:val="00E65733"/>
    <w:rsid w:val="00E65781"/>
    <w:rsid w:val="00E657A5"/>
    <w:rsid w:val="00E657A8"/>
    <w:rsid w:val="00E65808"/>
    <w:rsid w:val="00E65817"/>
    <w:rsid w:val="00E6583C"/>
    <w:rsid w:val="00E6584E"/>
    <w:rsid w:val="00E6587C"/>
    <w:rsid w:val="00E6589F"/>
    <w:rsid w:val="00E658AB"/>
    <w:rsid w:val="00E658BD"/>
    <w:rsid w:val="00E6596F"/>
    <w:rsid w:val="00E65981"/>
    <w:rsid w:val="00E6598A"/>
    <w:rsid w:val="00E65A22"/>
    <w:rsid w:val="00E65B17"/>
    <w:rsid w:val="00E65B18"/>
    <w:rsid w:val="00E65B36"/>
    <w:rsid w:val="00E65B52"/>
    <w:rsid w:val="00E65B6B"/>
    <w:rsid w:val="00E65B74"/>
    <w:rsid w:val="00E65B86"/>
    <w:rsid w:val="00E65C11"/>
    <w:rsid w:val="00E65C62"/>
    <w:rsid w:val="00E65CBB"/>
    <w:rsid w:val="00E65CD5"/>
    <w:rsid w:val="00E65CF4"/>
    <w:rsid w:val="00E65D41"/>
    <w:rsid w:val="00E65D44"/>
    <w:rsid w:val="00E65D8F"/>
    <w:rsid w:val="00E65D9F"/>
    <w:rsid w:val="00E65EB7"/>
    <w:rsid w:val="00E65ED7"/>
    <w:rsid w:val="00E65F23"/>
    <w:rsid w:val="00E65FC2"/>
    <w:rsid w:val="00E66091"/>
    <w:rsid w:val="00E660EC"/>
    <w:rsid w:val="00E660EE"/>
    <w:rsid w:val="00E660F9"/>
    <w:rsid w:val="00E66145"/>
    <w:rsid w:val="00E6618F"/>
    <w:rsid w:val="00E661B1"/>
    <w:rsid w:val="00E661BC"/>
    <w:rsid w:val="00E661EF"/>
    <w:rsid w:val="00E66223"/>
    <w:rsid w:val="00E6631B"/>
    <w:rsid w:val="00E66348"/>
    <w:rsid w:val="00E66372"/>
    <w:rsid w:val="00E663AC"/>
    <w:rsid w:val="00E6640D"/>
    <w:rsid w:val="00E66437"/>
    <w:rsid w:val="00E66472"/>
    <w:rsid w:val="00E66495"/>
    <w:rsid w:val="00E664C8"/>
    <w:rsid w:val="00E6652F"/>
    <w:rsid w:val="00E66569"/>
    <w:rsid w:val="00E6656A"/>
    <w:rsid w:val="00E665C8"/>
    <w:rsid w:val="00E66644"/>
    <w:rsid w:val="00E6667D"/>
    <w:rsid w:val="00E666CD"/>
    <w:rsid w:val="00E666D9"/>
    <w:rsid w:val="00E667B1"/>
    <w:rsid w:val="00E66826"/>
    <w:rsid w:val="00E66835"/>
    <w:rsid w:val="00E6687C"/>
    <w:rsid w:val="00E668CC"/>
    <w:rsid w:val="00E6690B"/>
    <w:rsid w:val="00E66980"/>
    <w:rsid w:val="00E669FB"/>
    <w:rsid w:val="00E66A2C"/>
    <w:rsid w:val="00E66A9E"/>
    <w:rsid w:val="00E66B8F"/>
    <w:rsid w:val="00E66BB9"/>
    <w:rsid w:val="00E66BBA"/>
    <w:rsid w:val="00E66BC3"/>
    <w:rsid w:val="00E66CFC"/>
    <w:rsid w:val="00E66D01"/>
    <w:rsid w:val="00E66D1C"/>
    <w:rsid w:val="00E66D24"/>
    <w:rsid w:val="00E66DD3"/>
    <w:rsid w:val="00E66E0F"/>
    <w:rsid w:val="00E66E7D"/>
    <w:rsid w:val="00E66EB1"/>
    <w:rsid w:val="00E66EBC"/>
    <w:rsid w:val="00E66F3A"/>
    <w:rsid w:val="00E66F9A"/>
    <w:rsid w:val="00E66FBC"/>
    <w:rsid w:val="00E66FFA"/>
    <w:rsid w:val="00E6700E"/>
    <w:rsid w:val="00E67067"/>
    <w:rsid w:val="00E67081"/>
    <w:rsid w:val="00E67082"/>
    <w:rsid w:val="00E6708C"/>
    <w:rsid w:val="00E670AD"/>
    <w:rsid w:val="00E670E9"/>
    <w:rsid w:val="00E67108"/>
    <w:rsid w:val="00E67127"/>
    <w:rsid w:val="00E67189"/>
    <w:rsid w:val="00E6718B"/>
    <w:rsid w:val="00E671E8"/>
    <w:rsid w:val="00E671EB"/>
    <w:rsid w:val="00E6720A"/>
    <w:rsid w:val="00E67217"/>
    <w:rsid w:val="00E672A0"/>
    <w:rsid w:val="00E672D2"/>
    <w:rsid w:val="00E6730C"/>
    <w:rsid w:val="00E67334"/>
    <w:rsid w:val="00E67352"/>
    <w:rsid w:val="00E673AC"/>
    <w:rsid w:val="00E673AE"/>
    <w:rsid w:val="00E673D9"/>
    <w:rsid w:val="00E673E9"/>
    <w:rsid w:val="00E67426"/>
    <w:rsid w:val="00E67448"/>
    <w:rsid w:val="00E67472"/>
    <w:rsid w:val="00E674DA"/>
    <w:rsid w:val="00E674F0"/>
    <w:rsid w:val="00E674F5"/>
    <w:rsid w:val="00E675B6"/>
    <w:rsid w:val="00E675C6"/>
    <w:rsid w:val="00E6761B"/>
    <w:rsid w:val="00E676E0"/>
    <w:rsid w:val="00E6780E"/>
    <w:rsid w:val="00E67811"/>
    <w:rsid w:val="00E6794F"/>
    <w:rsid w:val="00E67985"/>
    <w:rsid w:val="00E6798D"/>
    <w:rsid w:val="00E67A01"/>
    <w:rsid w:val="00E67AA3"/>
    <w:rsid w:val="00E67B25"/>
    <w:rsid w:val="00E67B8B"/>
    <w:rsid w:val="00E67BC0"/>
    <w:rsid w:val="00E67D84"/>
    <w:rsid w:val="00E67D8F"/>
    <w:rsid w:val="00E67DAC"/>
    <w:rsid w:val="00E67DC1"/>
    <w:rsid w:val="00E67DCC"/>
    <w:rsid w:val="00E67DD8"/>
    <w:rsid w:val="00E67ED8"/>
    <w:rsid w:val="00E67EE4"/>
    <w:rsid w:val="00E67EF5"/>
    <w:rsid w:val="00E67F4C"/>
    <w:rsid w:val="00E70034"/>
    <w:rsid w:val="00E70073"/>
    <w:rsid w:val="00E70079"/>
    <w:rsid w:val="00E700E9"/>
    <w:rsid w:val="00E70101"/>
    <w:rsid w:val="00E7012E"/>
    <w:rsid w:val="00E7014C"/>
    <w:rsid w:val="00E701B3"/>
    <w:rsid w:val="00E701D7"/>
    <w:rsid w:val="00E701DC"/>
    <w:rsid w:val="00E7023B"/>
    <w:rsid w:val="00E702C8"/>
    <w:rsid w:val="00E7033B"/>
    <w:rsid w:val="00E703AC"/>
    <w:rsid w:val="00E703C1"/>
    <w:rsid w:val="00E703D4"/>
    <w:rsid w:val="00E703F3"/>
    <w:rsid w:val="00E7048F"/>
    <w:rsid w:val="00E704B4"/>
    <w:rsid w:val="00E705C1"/>
    <w:rsid w:val="00E705E0"/>
    <w:rsid w:val="00E705FE"/>
    <w:rsid w:val="00E7060C"/>
    <w:rsid w:val="00E70625"/>
    <w:rsid w:val="00E7066F"/>
    <w:rsid w:val="00E706C5"/>
    <w:rsid w:val="00E706E1"/>
    <w:rsid w:val="00E70738"/>
    <w:rsid w:val="00E70792"/>
    <w:rsid w:val="00E7079D"/>
    <w:rsid w:val="00E708A1"/>
    <w:rsid w:val="00E70947"/>
    <w:rsid w:val="00E70955"/>
    <w:rsid w:val="00E7095A"/>
    <w:rsid w:val="00E7099A"/>
    <w:rsid w:val="00E709B2"/>
    <w:rsid w:val="00E70A12"/>
    <w:rsid w:val="00E70A31"/>
    <w:rsid w:val="00E70AAB"/>
    <w:rsid w:val="00E70AEC"/>
    <w:rsid w:val="00E70BC7"/>
    <w:rsid w:val="00E70C33"/>
    <w:rsid w:val="00E70C78"/>
    <w:rsid w:val="00E70C86"/>
    <w:rsid w:val="00E70CD3"/>
    <w:rsid w:val="00E70D0E"/>
    <w:rsid w:val="00E70D3E"/>
    <w:rsid w:val="00E70D9D"/>
    <w:rsid w:val="00E70DC0"/>
    <w:rsid w:val="00E70DEB"/>
    <w:rsid w:val="00E70E6C"/>
    <w:rsid w:val="00E70E8D"/>
    <w:rsid w:val="00E70EAB"/>
    <w:rsid w:val="00E70ED1"/>
    <w:rsid w:val="00E70F06"/>
    <w:rsid w:val="00E70F1A"/>
    <w:rsid w:val="00E70F3C"/>
    <w:rsid w:val="00E70FA6"/>
    <w:rsid w:val="00E70FB8"/>
    <w:rsid w:val="00E70FEF"/>
    <w:rsid w:val="00E71052"/>
    <w:rsid w:val="00E7108D"/>
    <w:rsid w:val="00E71093"/>
    <w:rsid w:val="00E7109C"/>
    <w:rsid w:val="00E710AC"/>
    <w:rsid w:val="00E710BD"/>
    <w:rsid w:val="00E71126"/>
    <w:rsid w:val="00E7113D"/>
    <w:rsid w:val="00E711AB"/>
    <w:rsid w:val="00E711E1"/>
    <w:rsid w:val="00E711ED"/>
    <w:rsid w:val="00E711F3"/>
    <w:rsid w:val="00E71211"/>
    <w:rsid w:val="00E71223"/>
    <w:rsid w:val="00E7126D"/>
    <w:rsid w:val="00E71351"/>
    <w:rsid w:val="00E713BB"/>
    <w:rsid w:val="00E713F7"/>
    <w:rsid w:val="00E71475"/>
    <w:rsid w:val="00E714C6"/>
    <w:rsid w:val="00E714DC"/>
    <w:rsid w:val="00E7151C"/>
    <w:rsid w:val="00E71541"/>
    <w:rsid w:val="00E71637"/>
    <w:rsid w:val="00E71684"/>
    <w:rsid w:val="00E7169B"/>
    <w:rsid w:val="00E716E5"/>
    <w:rsid w:val="00E716F9"/>
    <w:rsid w:val="00E71725"/>
    <w:rsid w:val="00E7180F"/>
    <w:rsid w:val="00E7182A"/>
    <w:rsid w:val="00E71839"/>
    <w:rsid w:val="00E718A9"/>
    <w:rsid w:val="00E718EF"/>
    <w:rsid w:val="00E71950"/>
    <w:rsid w:val="00E71951"/>
    <w:rsid w:val="00E7198E"/>
    <w:rsid w:val="00E719B3"/>
    <w:rsid w:val="00E719C8"/>
    <w:rsid w:val="00E719DC"/>
    <w:rsid w:val="00E719FA"/>
    <w:rsid w:val="00E719FC"/>
    <w:rsid w:val="00E71A86"/>
    <w:rsid w:val="00E71A90"/>
    <w:rsid w:val="00E71ADE"/>
    <w:rsid w:val="00E71B0F"/>
    <w:rsid w:val="00E71BAD"/>
    <w:rsid w:val="00E71BEF"/>
    <w:rsid w:val="00E71C16"/>
    <w:rsid w:val="00E71C1C"/>
    <w:rsid w:val="00E71C1E"/>
    <w:rsid w:val="00E71C28"/>
    <w:rsid w:val="00E71C59"/>
    <w:rsid w:val="00E71C5B"/>
    <w:rsid w:val="00E71C5C"/>
    <w:rsid w:val="00E71C93"/>
    <w:rsid w:val="00E71CAF"/>
    <w:rsid w:val="00E71CED"/>
    <w:rsid w:val="00E71D32"/>
    <w:rsid w:val="00E71D80"/>
    <w:rsid w:val="00E71E2B"/>
    <w:rsid w:val="00E71E63"/>
    <w:rsid w:val="00E71E69"/>
    <w:rsid w:val="00E71F41"/>
    <w:rsid w:val="00E71F86"/>
    <w:rsid w:val="00E71F8B"/>
    <w:rsid w:val="00E71F93"/>
    <w:rsid w:val="00E71FE1"/>
    <w:rsid w:val="00E72088"/>
    <w:rsid w:val="00E720A0"/>
    <w:rsid w:val="00E72133"/>
    <w:rsid w:val="00E7216A"/>
    <w:rsid w:val="00E72193"/>
    <w:rsid w:val="00E721BD"/>
    <w:rsid w:val="00E721DD"/>
    <w:rsid w:val="00E7223D"/>
    <w:rsid w:val="00E722E9"/>
    <w:rsid w:val="00E72325"/>
    <w:rsid w:val="00E72329"/>
    <w:rsid w:val="00E72354"/>
    <w:rsid w:val="00E723A0"/>
    <w:rsid w:val="00E723C7"/>
    <w:rsid w:val="00E723E5"/>
    <w:rsid w:val="00E72450"/>
    <w:rsid w:val="00E7248B"/>
    <w:rsid w:val="00E72494"/>
    <w:rsid w:val="00E724A9"/>
    <w:rsid w:val="00E7250C"/>
    <w:rsid w:val="00E7251E"/>
    <w:rsid w:val="00E72538"/>
    <w:rsid w:val="00E72561"/>
    <w:rsid w:val="00E72581"/>
    <w:rsid w:val="00E72639"/>
    <w:rsid w:val="00E7266F"/>
    <w:rsid w:val="00E72680"/>
    <w:rsid w:val="00E72685"/>
    <w:rsid w:val="00E727CD"/>
    <w:rsid w:val="00E72845"/>
    <w:rsid w:val="00E728AE"/>
    <w:rsid w:val="00E728D0"/>
    <w:rsid w:val="00E728E8"/>
    <w:rsid w:val="00E72976"/>
    <w:rsid w:val="00E7297D"/>
    <w:rsid w:val="00E72994"/>
    <w:rsid w:val="00E729CA"/>
    <w:rsid w:val="00E72A08"/>
    <w:rsid w:val="00E72A4B"/>
    <w:rsid w:val="00E72B81"/>
    <w:rsid w:val="00E72B87"/>
    <w:rsid w:val="00E72BBA"/>
    <w:rsid w:val="00E72C60"/>
    <w:rsid w:val="00E72C74"/>
    <w:rsid w:val="00E72CC2"/>
    <w:rsid w:val="00E72D3F"/>
    <w:rsid w:val="00E72DA0"/>
    <w:rsid w:val="00E72DC1"/>
    <w:rsid w:val="00E72DC9"/>
    <w:rsid w:val="00E72E3B"/>
    <w:rsid w:val="00E72EB9"/>
    <w:rsid w:val="00E72EE4"/>
    <w:rsid w:val="00E72FD1"/>
    <w:rsid w:val="00E72FF6"/>
    <w:rsid w:val="00E73023"/>
    <w:rsid w:val="00E730FA"/>
    <w:rsid w:val="00E73189"/>
    <w:rsid w:val="00E7319A"/>
    <w:rsid w:val="00E731AB"/>
    <w:rsid w:val="00E731E2"/>
    <w:rsid w:val="00E73238"/>
    <w:rsid w:val="00E73288"/>
    <w:rsid w:val="00E732A7"/>
    <w:rsid w:val="00E732DE"/>
    <w:rsid w:val="00E732ED"/>
    <w:rsid w:val="00E73356"/>
    <w:rsid w:val="00E733B7"/>
    <w:rsid w:val="00E7340B"/>
    <w:rsid w:val="00E73482"/>
    <w:rsid w:val="00E73574"/>
    <w:rsid w:val="00E735C3"/>
    <w:rsid w:val="00E735CB"/>
    <w:rsid w:val="00E735F5"/>
    <w:rsid w:val="00E735FC"/>
    <w:rsid w:val="00E7361C"/>
    <w:rsid w:val="00E73637"/>
    <w:rsid w:val="00E736FA"/>
    <w:rsid w:val="00E73762"/>
    <w:rsid w:val="00E7376B"/>
    <w:rsid w:val="00E7378F"/>
    <w:rsid w:val="00E7379F"/>
    <w:rsid w:val="00E737A4"/>
    <w:rsid w:val="00E737B6"/>
    <w:rsid w:val="00E738D8"/>
    <w:rsid w:val="00E738EE"/>
    <w:rsid w:val="00E73925"/>
    <w:rsid w:val="00E7393E"/>
    <w:rsid w:val="00E73981"/>
    <w:rsid w:val="00E7399D"/>
    <w:rsid w:val="00E739B7"/>
    <w:rsid w:val="00E739EC"/>
    <w:rsid w:val="00E73A1D"/>
    <w:rsid w:val="00E73A56"/>
    <w:rsid w:val="00E73A66"/>
    <w:rsid w:val="00E73A67"/>
    <w:rsid w:val="00E73A84"/>
    <w:rsid w:val="00E73A9A"/>
    <w:rsid w:val="00E73AEE"/>
    <w:rsid w:val="00E73B62"/>
    <w:rsid w:val="00E73BDB"/>
    <w:rsid w:val="00E73BF1"/>
    <w:rsid w:val="00E73C03"/>
    <w:rsid w:val="00E73C13"/>
    <w:rsid w:val="00E73C30"/>
    <w:rsid w:val="00E73C51"/>
    <w:rsid w:val="00E73C9C"/>
    <w:rsid w:val="00E73CA2"/>
    <w:rsid w:val="00E73CF5"/>
    <w:rsid w:val="00E73DF1"/>
    <w:rsid w:val="00E73E22"/>
    <w:rsid w:val="00E73E52"/>
    <w:rsid w:val="00E73E5A"/>
    <w:rsid w:val="00E73EDD"/>
    <w:rsid w:val="00E73F09"/>
    <w:rsid w:val="00E73F0C"/>
    <w:rsid w:val="00E73F30"/>
    <w:rsid w:val="00E73F35"/>
    <w:rsid w:val="00E73F41"/>
    <w:rsid w:val="00E73F5C"/>
    <w:rsid w:val="00E73F6A"/>
    <w:rsid w:val="00E73F85"/>
    <w:rsid w:val="00E73F9A"/>
    <w:rsid w:val="00E73FE0"/>
    <w:rsid w:val="00E740AA"/>
    <w:rsid w:val="00E740AF"/>
    <w:rsid w:val="00E740DB"/>
    <w:rsid w:val="00E74137"/>
    <w:rsid w:val="00E7416C"/>
    <w:rsid w:val="00E741B0"/>
    <w:rsid w:val="00E7420F"/>
    <w:rsid w:val="00E74275"/>
    <w:rsid w:val="00E742A6"/>
    <w:rsid w:val="00E74322"/>
    <w:rsid w:val="00E74347"/>
    <w:rsid w:val="00E74350"/>
    <w:rsid w:val="00E743D1"/>
    <w:rsid w:val="00E74401"/>
    <w:rsid w:val="00E74418"/>
    <w:rsid w:val="00E74432"/>
    <w:rsid w:val="00E7445E"/>
    <w:rsid w:val="00E74498"/>
    <w:rsid w:val="00E7452A"/>
    <w:rsid w:val="00E74544"/>
    <w:rsid w:val="00E745C1"/>
    <w:rsid w:val="00E745FB"/>
    <w:rsid w:val="00E74605"/>
    <w:rsid w:val="00E7463E"/>
    <w:rsid w:val="00E746AE"/>
    <w:rsid w:val="00E7472F"/>
    <w:rsid w:val="00E747B4"/>
    <w:rsid w:val="00E747F4"/>
    <w:rsid w:val="00E7482B"/>
    <w:rsid w:val="00E74836"/>
    <w:rsid w:val="00E74868"/>
    <w:rsid w:val="00E748D1"/>
    <w:rsid w:val="00E748E7"/>
    <w:rsid w:val="00E748EB"/>
    <w:rsid w:val="00E748EF"/>
    <w:rsid w:val="00E74952"/>
    <w:rsid w:val="00E74962"/>
    <w:rsid w:val="00E7498C"/>
    <w:rsid w:val="00E74993"/>
    <w:rsid w:val="00E749FB"/>
    <w:rsid w:val="00E74A05"/>
    <w:rsid w:val="00E74A1A"/>
    <w:rsid w:val="00E74A33"/>
    <w:rsid w:val="00E74ABD"/>
    <w:rsid w:val="00E74AD8"/>
    <w:rsid w:val="00E74BE2"/>
    <w:rsid w:val="00E74BE7"/>
    <w:rsid w:val="00E74C3F"/>
    <w:rsid w:val="00E74C44"/>
    <w:rsid w:val="00E74C71"/>
    <w:rsid w:val="00E74C99"/>
    <w:rsid w:val="00E74CB8"/>
    <w:rsid w:val="00E74CE3"/>
    <w:rsid w:val="00E74CF3"/>
    <w:rsid w:val="00E74D48"/>
    <w:rsid w:val="00E74D71"/>
    <w:rsid w:val="00E74D81"/>
    <w:rsid w:val="00E74DA4"/>
    <w:rsid w:val="00E74E2B"/>
    <w:rsid w:val="00E74E4E"/>
    <w:rsid w:val="00E74E81"/>
    <w:rsid w:val="00E74E9B"/>
    <w:rsid w:val="00E74EEC"/>
    <w:rsid w:val="00E74F2F"/>
    <w:rsid w:val="00E74FBD"/>
    <w:rsid w:val="00E74FC5"/>
    <w:rsid w:val="00E750B0"/>
    <w:rsid w:val="00E75118"/>
    <w:rsid w:val="00E75175"/>
    <w:rsid w:val="00E75197"/>
    <w:rsid w:val="00E751D8"/>
    <w:rsid w:val="00E75239"/>
    <w:rsid w:val="00E75305"/>
    <w:rsid w:val="00E75306"/>
    <w:rsid w:val="00E7530B"/>
    <w:rsid w:val="00E75317"/>
    <w:rsid w:val="00E753B5"/>
    <w:rsid w:val="00E75464"/>
    <w:rsid w:val="00E75507"/>
    <w:rsid w:val="00E755A0"/>
    <w:rsid w:val="00E755AF"/>
    <w:rsid w:val="00E75600"/>
    <w:rsid w:val="00E7561A"/>
    <w:rsid w:val="00E75633"/>
    <w:rsid w:val="00E75658"/>
    <w:rsid w:val="00E75670"/>
    <w:rsid w:val="00E756EE"/>
    <w:rsid w:val="00E75744"/>
    <w:rsid w:val="00E75761"/>
    <w:rsid w:val="00E757A8"/>
    <w:rsid w:val="00E757C7"/>
    <w:rsid w:val="00E75812"/>
    <w:rsid w:val="00E75825"/>
    <w:rsid w:val="00E7583B"/>
    <w:rsid w:val="00E758B2"/>
    <w:rsid w:val="00E7593E"/>
    <w:rsid w:val="00E759E8"/>
    <w:rsid w:val="00E75A2C"/>
    <w:rsid w:val="00E75A33"/>
    <w:rsid w:val="00E75A42"/>
    <w:rsid w:val="00E75A48"/>
    <w:rsid w:val="00E75A51"/>
    <w:rsid w:val="00E75A72"/>
    <w:rsid w:val="00E75AB8"/>
    <w:rsid w:val="00E75ACE"/>
    <w:rsid w:val="00E75ADD"/>
    <w:rsid w:val="00E75BD7"/>
    <w:rsid w:val="00E75BF2"/>
    <w:rsid w:val="00E75C3D"/>
    <w:rsid w:val="00E75C83"/>
    <w:rsid w:val="00E75D28"/>
    <w:rsid w:val="00E75D6C"/>
    <w:rsid w:val="00E75D72"/>
    <w:rsid w:val="00E75E73"/>
    <w:rsid w:val="00E75E8C"/>
    <w:rsid w:val="00E75E92"/>
    <w:rsid w:val="00E75ED6"/>
    <w:rsid w:val="00E75F45"/>
    <w:rsid w:val="00E75F6E"/>
    <w:rsid w:val="00E75F7F"/>
    <w:rsid w:val="00E75F8B"/>
    <w:rsid w:val="00E75FBC"/>
    <w:rsid w:val="00E7606B"/>
    <w:rsid w:val="00E7608C"/>
    <w:rsid w:val="00E76093"/>
    <w:rsid w:val="00E760E6"/>
    <w:rsid w:val="00E76125"/>
    <w:rsid w:val="00E7615F"/>
    <w:rsid w:val="00E7616A"/>
    <w:rsid w:val="00E76256"/>
    <w:rsid w:val="00E762B1"/>
    <w:rsid w:val="00E762F3"/>
    <w:rsid w:val="00E76410"/>
    <w:rsid w:val="00E76448"/>
    <w:rsid w:val="00E76449"/>
    <w:rsid w:val="00E76465"/>
    <w:rsid w:val="00E7647B"/>
    <w:rsid w:val="00E7650D"/>
    <w:rsid w:val="00E76570"/>
    <w:rsid w:val="00E76587"/>
    <w:rsid w:val="00E7659C"/>
    <w:rsid w:val="00E765A2"/>
    <w:rsid w:val="00E765C3"/>
    <w:rsid w:val="00E7663B"/>
    <w:rsid w:val="00E7663E"/>
    <w:rsid w:val="00E76645"/>
    <w:rsid w:val="00E766A2"/>
    <w:rsid w:val="00E76702"/>
    <w:rsid w:val="00E7673D"/>
    <w:rsid w:val="00E7676D"/>
    <w:rsid w:val="00E767D5"/>
    <w:rsid w:val="00E76809"/>
    <w:rsid w:val="00E7683B"/>
    <w:rsid w:val="00E7685D"/>
    <w:rsid w:val="00E768E2"/>
    <w:rsid w:val="00E768F9"/>
    <w:rsid w:val="00E7696F"/>
    <w:rsid w:val="00E76A6F"/>
    <w:rsid w:val="00E76A89"/>
    <w:rsid w:val="00E76AB2"/>
    <w:rsid w:val="00E76AE7"/>
    <w:rsid w:val="00E76AEC"/>
    <w:rsid w:val="00E76AF5"/>
    <w:rsid w:val="00E76B89"/>
    <w:rsid w:val="00E76BD3"/>
    <w:rsid w:val="00E76C05"/>
    <w:rsid w:val="00E76C79"/>
    <w:rsid w:val="00E76CA9"/>
    <w:rsid w:val="00E76D05"/>
    <w:rsid w:val="00E76D11"/>
    <w:rsid w:val="00E76D25"/>
    <w:rsid w:val="00E76D3D"/>
    <w:rsid w:val="00E76D59"/>
    <w:rsid w:val="00E76D6E"/>
    <w:rsid w:val="00E76D87"/>
    <w:rsid w:val="00E76E05"/>
    <w:rsid w:val="00E76E07"/>
    <w:rsid w:val="00E76E1B"/>
    <w:rsid w:val="00E76E54"/>
    <w:rsid w:val="00E76E85"/>
    <w:rsid w:val="00E76E8E"/>
    <w:rsid w:val="00E76EA3"/>
    <w:rsid w:val="00E76ECE"/>
    <w:rsid w:val="00E76F81"/>
    <w:rsid w:val="00E76FA5"/>
    <w:rsid w:val="00E76FB5"/>
    <w:rsid w:val="00E76FC2"/>
    <w:rsid w:val="00E76FEB"/>
    <w:rsid w:val="00E7702A"/>
    <w:rsid w:val="00E77047"/>
    <w:rsid w:val="00E7705E"/>
    <w:rsid w:val="00E7708B"/>
    <w:rsid w:val="00E77094"/>
    <w:rsid w:val="00E770C4"/>
    <w:rsid w:val="00E770D2"/>
    <w:rsid w:val="00E770F0"/>
    <w:rsid w:val="00E77118"/>
    <w:rsid w:val="00E77127"/>
    <w:rsid w:val="00E77151"/>
    <w:rsid w:val="00E771F8"/>
    <w:rsid w:val="00E7720C"/>
    <w:rsid w:val="00E77213"/>
    <w:rsid w:val="00E7722A"/>
    <w:rsid w:val="00E77302"/>
    <w:rsid w:val="00E77337"/>
    <w:rsid w:val="00E7734E"/>
    <w:rsid w:val="00E77352"/>
    <w:rsid w:val="00E773A5"/>
    <w:rsid w:val="00E773C8"/>
    <w:rsid w:val="00E7748B"/>
    <w:rsid w:val="00E7749E"/>
    <w:rsid w:val="00E774AC"/>
    <w:rsid w:val="00E774BC"/>
    <w:rsid w:val="00E774DE"/>
    <w:rsid w:val="00E774E5"/>
    <w:rsid w:val="00E77529"/>
    <w:rsid w:val="00E77542"/>
    <w:rsid w:val="00E77560"/>
    <w:rsid w:val="00E775CD"/>
    <w:rsid w:val="00E775D6"/>
    <w:rsid w:val="00E77613"/>
    <w:rsid w:val="00E77625"/>
    <w:rsid w:val="00E77681"/>
    <w:rsid w:val="00E7769D"/>
    <w:rsid w:val="00E776B7"/>
    <w:rsid w:val="00E776C1"/>
    <w:rsid w:val="00E776DD"/>
    <w:rsid w:val="00E7770B"/>
    <w:rsid w:val="00E7771D"/>
    <w:rsid w:val="00E7779D"/>
    <w:rsid w:val="00E777CD"/>
    <w:rsid w:val="00E777DA"/>
    <w:rsid w:val="00E778F6"/>
    <w:rsid w:val="00E7791E"/>
    <w:rsid w:val="00E77956"/>
    <w:rsid w:val="00E7797D"/>
    <w:rsid w:val="00E77984"/>
    <w:rsid w:val="00E779C9"/>
    <w:rsid w:val="00E77A65"/>
    <w:rsid w:val="00E77BAF"/>
    <w:rsid w:val="00E77BEB"/>
    <w:rsid w:val="00E77BF9"/>
    <w:rsid w:val="00E77CCA"/>
    <w:rsid w:val="00E77D46"/>
    <w:rsid w:val="00E77D5C"/>
    <w:rsid w:val="00E77D87"/>
    <w:rsid w:val="00E77DA7"/>
    <w:rsid w:val="00E77E12"/>
    <w:rsid w:val="00E77E4E"/>
    <w:rsid w:val="00E77E4F"/>
    <w:rsid w:val="00E77E69"/>
    <w:rsid w:val="00E77E90"/>
    <w:rsid w:val="00E77E9D"/>
    <w:rsid w:val="00E77EB3"/>
    <w:rsid w:val="00E77ED6"/>
    <w:rsid w:val="00E77EE0"/>
    <w:rsid w:val="00E77EF5"/>
    <w:rsid w:val="00E77F30"/>
    <w:rsid w:val="00E77F36"/>
    <w:rsid w:val="00E77F7E"/>
    <w:rsid w:val="00E77FBE"/>
    <w:rsid w:val="00E77FF4"/>
    <w:rsid w:val="00E8000A"/>
    <w:rsid w:val="00E80013"/>
    <w:rsid w:val="00E80054"/>
    <w:rsid w:val="00E8008B"/>
    <w:rsid w:val="00E8008C"/>
    <w:rsid w:val="00E8009A"/>
    <w:rsid w:val="00E800A4"/>
    <w:rsid w:val="00E800AA"/>
    <w:rsid w:val="00E801AA"/>
    <w:rsid w:val="00E801D0"/>
    <w:rsid w:val="00E801FE"/>
    <w:rsid w:val="00E8020E"/>
    <w:rsid w:val="00E80224"/>
    <w:rsid w:val="00E802AA"/>
    <w:rsid w:val="00E802BB"/>
    <w:rsid w:val="00E802D3"/>
    <w:rsid w:val="00E80309"/>
    <w:rsid w:val="00E8031C"/>
    <w:rsid w:val="00E8039C"/>
    <w:rsid w:val="00E803A9"/>
    <w:rsid w:val="00E803DE"/>
    <w:rsid w:val="00E80437"/>
    <w:rsid w:val="00E804CA"/>
    <w:rsid w:val="00E804E8"/>
    <w:rsid w:val="00E8056E"/>
    <w:rsid w:val="00E8058F"/>
    <w:rsid w:val="00E805FF"/>
    <w:rsid w:val="00E8065D"/>
    <w:rsid w:val="00E80693"/>
    <w:rsid w:val="00E80699"/>
    <w:rsid w:val="00E806F2"/>
    <w:rsid w:val="00E8070B"/>
    <w:rsid w:val="00E80718"/>
    <w:rsid w:val="00E8073F"/>
    <w:rsid w:val="00E8076E"/>
    <w:rsid w:val="00E8078D"/>
    <w:rsid w:val="00E807E1"/>
    <w:rsid w:val="00E8081F"/>
    <w:rsid w:val="00E80879"/>
    <w:rsid w:val="00E808BF"/>
    <w:rsid w:val="00E808D6"/>
    <w:rsid w:val="00E80982"/>
    <w:rsid w:val="00E80990"/>
    <w:rsid w:val="00E8099B"/>
    <w:rsid w:val="00E809EA"/>
    <w:rsid w:val="00E809FA"/>
    <w:rsid w:val="00E80A3C"/>
    <w:rsid w:val="00E80A41"/>
    <w:rsid w:val="00E80A54"/>
    <w:rsid w:val="00E80A67"/>
    <w:rsid w:val="00E80BA3"/>
    <w:rsid w:val="00E80C2E"/>
    <w:rsid w:val="00E80C3D"/>
    <w:rsid w:val="00E80CA3"/>
    <w:rsid w:val="00E80CAF"/>
    <w:rsid w:val="00E80CCA"/>
    <w:rsid w:val="00E80D17"/>
    <w:rsid w:val="00E80D82"/>
    <w:rsid w:val="00E80DA7"/>
    <w:rsid w:val="00E80DBA"/>
    <w:rsid w:val="00E80DDD"/>
    <w:rsid w:val="00E80E11"/>
    <w:rsid w:val="00E80E17"/>
    <w:rsid w:val="00E80ECD"/>
    <w:rsid w:val="00E80EEA"/>
    <w:rsid w:val="00E80F26"/>
    <w:rsid w:val="00E80F59"/>
    <w:rsid w:val="00E80F6E"/>
    <w:rsid w:val="00E80FD1"/>
    <w:rsid w:val="00E80FDD"/>
    <w:rsid w:val="00E8101D"/>
    <w:rsid w:val="00E810A1"/>
    <w:rsid w:val="00E810CF"/>
    <w:rsid w:val="00E810DB"/>
    <w:rsid w:val="00E810E2"/>
    <w:rsid w:val="00E810E8"/>
    <w:rsid w:val="00E8112E"/>
    <w:rsid w:val="00E81145"/>
    <w:rsid w:val="00E81146"/>
    <w:rsid w:val="00E8117E"/>
    <w:rsid w:val="00E811B0"/>
    <w:rsid w:val="00E811B9"/>
    <w:rsid w:val="00E811F7"/>
    <w:rsid w:val="00E81207"/>
    <w:rsid w:val="00E8126D"/>
    <w:rsid w:val="00E81287"/>
    <w:rsid w:val="00E812AB"/>
    <w:rsid w:val="00E812CB"/>
    <w:rsid w:val="00E812D8"/>
    <w:rsid w:val="00E8138E"/>
    <w:rsid w:val="00E8139D"/>
    <w:rsid w:val="00E813F0"/>
    <w:rsid w:val="00E81401"/>
    <w:rsid w:val="00E81409"/>
    <w:rsid w:val="00E814B2"/>
    <w:rsid w:val="00E81513"/>
    <w:rsid w:val="00E81520"/>
    <w:rsid w:val="00E8158A"/>
    <w:rsid w:val="00E815E6"/>
    <w:rsid w:val="00E81642"/>
    <w:rsid w:val="00E81665"/>
    <w:rsid w:val="00E8168D"/>
    <w:rsid w:val="00E816AE"/>
    <w:rsid w:val="00E8170A"/>
    <w:rsid w:val="00E81710"/>
    <w:rsid w:val="00E817F2"/>
    <w:rsid w:val="00E81820"/>
    <w:rsid w:val="00E81853"/>
    <w:rsid w:val="00E818D0"/>
    <w:rsid w:val="00E818DF"/>
    <w:rsid w:val="00E81913"/>
    <w:rsid w:val="00E81922"/>
    <w:rsid w:val="00E81981"/>
    <w:rsid w:val="00E8198A"/>
    <w:rsid w:val="00E81997"/>
    <w:rsid w:val="00E819AC"/>
    <w:rsid w:val="00E819AF"/>
    <w:rsid w:val="00E81A3B"/>
    <w:rsid w:val="00E81A57"/>
    <w:rsid w:val="00E81A7E"/>
    <w:rsid w:val="00E81A8C"/>
    <w:rsid w:val="00E81ABB"/>
    <w:rsid w:val="00E81AE9"/>
    <w:rsid w:val="00E81AEA"/>
    <w:rsid w:val="00E81B98"/>
    <w:rsid w:val="00E81BCF"/>
    <w:rsid w:val="00E81D46"/>
    <w:rsid w:val="00E81DBA"/>
    <w:rsid w:val="00E81E2C"/>
    <w:rsid w:val="00E81F36"/>
    <w:rsid w:val="00E81F5B"/>
    <w:rsid w:val="00E81F5C"/>
    <w:rsid w:val="00E81F7E"/>
    <w:rsid w:val="00E81FD9"/>
    <w:rsid w:val="00E82039"/>
    <w:rsid w:val="00E82066"/>
    <w:rsid w:val="00E82099"/>
    <w:rsid w:val="00E820BA"/>
    <w:rsid w:val="00E821B4"/>
    <w:rsid w:val="00E821DF"/>
    <w:rsid w:val="00E8223A"/>
    <w:rsid w:val="00E82303"/>
    <w:rsid w:val="00E82313"/>
    <w:rsid w:val="00E8231E"/>
    <w:rsid w:val="00E82380"/>
    <w:rsid w:val="00E823CF"/>
    <w:rsid w:val="00E8242F"/>
    <w:rsid w:val="00E82464"/>
    <w:rsid w:val="00E82482"/>
    <w:rsid w:val="00E824E7"/>
    <w:rsid w:val="00E82674"/>
    <w:rsid w:val="00E826A3"/>
    <w:rsid w:val="00E826BA"/>
    <w:rsid w:val="00E826C9"/>
    <w:rsid w:val="00E826E0"/>
    <w:rsid w:val="00E82754"/>
    <w:rsid w:val="00E827D6"/>
    <w:rsid w:val="00E82844"/>
    <w:rsid w:val="00E82885"/>
    <w:rsid w:val="00E828E5"/>
    <w:rsid w:val="00E82908"/>
    <w:rsid w:val="00E82918"/>
    <w:rsid w:val="00E8293F"/>
    <w:rsid w:val="00E82955"/>
    <w:rsid w:val="00E829B5"/>
    <w:rsid w:val="00E829C3"/>
    <w:rsid w:val="00E829E8"/>
    <w:rsid w:val="00E82A69"/>
    <w:rsid w:val="00E82ADA"/>
    <w:rsid w:val="00E82B40"/>
    <w:rsid w:val="00E82C55"/>
    <w:rsid w:val="00E82CF0"/>
    <w:rsid w:val="00E82D79"/>
    <w:rsid w:val="00E82D83"/>
    <w:rsid w:val="00E82DB5"/>
    <w:rsid w:val="00E82DD4"/>
    <w:rsid w:val="00E82EB7"/>
    <w:rsid w:val="00E82F62"/>
    <w:rsid w:val="00E82FBF"/>
    <w:rsid w:val="00E82FC4"/>
    <w:rsid w:val="00E82FC8"/>
    <w:rsid w:val="00E82FFE"/>
    <w:rsid w:val="00E83076"/>
    <w:rsid w:val="00E83095"/>
    <w:rsid w:val="00E830C2"/>
    <w:rsid w:val="00E830D8"/>
    <w:rsid w:val="00E830F3"/>
    <w:rsid w:val="00E8312A"/>
    <w:rsid w:val="00E83142"/>
    <w:rsid w:val="00E8314D"/>
    <w:rsid w:val="00E83179"/>
    <w:rsid w:val="00E831C3"/>
    <w:rsid w:val="00E831D7"/>
    <w:rsid w:val="00E832B9"/>
    <w:rsid w:val="00E83307"/>
    <w:rsid w:val="00E8333D"/>
    <w:rsid w:val="00E83410"/>
    <w:rsid w:val="00E8348A"/>
    <w:rsid w:val="00E834B5"/>
    <w:rsid w:val="00E834C5"/>
    <w:rsid w:val="00E83540"/>
    <w:rsid w:val="00E83575"/>
    <w:rsid w:val="00E835A7"/>
    <w:rsid w:val="00E835B2"/>
    <w:rsid w:val="00E835C4"/>
    <w:rsid w:val="00E835E7"/>
    <w:rsid w:val="00E83613"/>
    <w:rsid w:val="00E83668"/>
    <w:rsid w:val="00E83697"/>
    <w:rsid w:val="00E836C3"/>
    <w:rsid w:val="00E836D9"/>
    <w:rsid w:val="00E83710"/>
    <w:rsid w:val="00E83730"/>
    <w:rsid w:val="00E8374E"/>
    <w:rsid w:val="00E83753"/>
    <w:rsid w:val="00E83772"/>
    <w:rsid w:val="00E837AA"/>
    <w:rsid w:val="00E837B1"/>
    <w:rsid w:val="00E837DB"/>
    <w:rsid w:val="00E837F9"/>
    <w:rsid w:val="00E8380F"/>
    <w:rsid w:val="00E83818"/>
    <w:rsid w:val="00E83864"/>
    <w:rsid w:val="00E83872"/>
    <w:rsid w:val="00E83889"/>
    <w:rsid w:val="00E838CA"/>
    <w:rsid w:val="00E83957"/>
    <w:rsid w:val="00E839C8"/>
    <w:rsid w:val="00E839D4"/>
    <w:rsid w:val="00E839E2"/>
    <w:rsid w:val="00E839E8"/>
    <w:rsid w:val="00E839F8"/>
    <w:rsid w:val="00E83A31"/>
    <w:rsid w:val="00E83AE9"/>
    <w:rsid w:val="00E83AF7"/>
    <w:rsid w:val="00E83B1F"/>
    <w:rsid w:val="00E83B86"/>
    <w:rsid w:val="00E83BC4"/>
    <w:rsid w:val="00E83BEB"/>
    <w:rsid w:val="00E83CBC"/>
    <w:rsid w:val="00E83CC0"/>
    <w:rsid w:val="00E83D63"/>
    <w:rsid w:val="00E83DBC"/>
    <w:rsid w:val="00E83E1C"/>
    <w:rsid w:val="00E83E7E"/>
    <w:rsid w:val="00E83E83"/>
    <w:rsid w:val="00E83EAF"/>
    <w:rsid w:val="00E83EB5"/>
    <w:rsid w:val="00E83F54"/>
    <w:rsid w:val="00E84015"/>
    <w:rsid w:val="00E8401D"/>
    <w:rsid w:val="00E8404B"/>
    <w:rsid w:val="00E84084"/>
    <w:rsid w:val="00E8409D"/>
    <w:rsid w:val="00E8409F"/>
    <w:rsid w:val="00E840C9"/>
    <w:rsid w:val="00E840FF"/>
    <w:rsid w:val="00E84114"/>
    <w:rsid w:val="00E841A0"/>
    <w:rsid w:val="00E841BE"/>
    <w:rsid w:val="00E841D7"/>
    <w:rsid w:val="00E84208"/>
    <w:rsid w:val="00E84243"/>
    <w:rsid w:val="00E84264"/>
    <w:rsid w:val="00E84320"/>
    <w:rsid w:val="00E84338"/>
    <w:rsid w:val="00E844EF"/>
    <w:rsid w:val="00E845B3"/>
    <w:rsid w:val="00E845EF"/>
    <w:rsid w:val="00E84633"/>
    <w:rsid w:val="00E846F9"/>
    <w:rsid w:val="00E8472A"/>
    <w:rsid w:val="00E8477B"/>
    <w:rsid w:val="00E84786"/>
    <w:rsid w:val="00E847C4"/>
    <w:rsid w:val="00E847CC"/>
    <w:rsid w:val="00E847F9"/>
    <w:rsid w:val="00E84806"/>
    <w:rsid w:val="00E8486F"/>
    <w:rsid w:val="00E84888"/>
    <w:rsid w:val="00E848C3"/>
    <w:rsid w:val="00E848F3"/>
    <w:rsid w:val="00E84914"/>
    <w:rsid w:val="00E84938"/>
    <w:rsid w:val="00E84941"/>
    <w:rsid w:val="00E8494A"/>
    <w:rsid w:val="00E8496E"/>
    <w:rsid w:val="00E849DD"/>
    <w:rsid w:val="00E849E7"/>
    <w:rsid w:val="00E849FA"/>
    <w:rsid w:val="00E84A04"/>
    <w:rsid w:val="00E84A1F"/>
    <w:rsid w:val="00E84A25"/>
    <w:rsid w:val="00E84A94"/>
    <w:rsid w:val="00E84A9C"/>
    <w:rsid w:val="00E84AD5"/>
    <w:rsid w:val="00E84B24"/>
    <w:rsid w:val="00E84B3D"/>
    <w:rsid w:val="00E84B3F"/>
    <w:rsid w:val="00E84B68"/>
    <w:rsid w:val="00E84B7F"/>
    <w:rsid w:val="00E84B86"/>
    <w:rsid w:val="00E84B90"/>
    <w:rsid w:val="00E84BE5"/>
    <w:rsid w:val="00E84C05"/>
    <w:rsid w:val="00E84C43"/>
    <w:rsid w:val="00E84C59"/>
    <w:rsid w:val="00E84D14"/>
    <w:rsid w:val="00E84D3A"/>
    <w:rsid w:val="00E84D61"/>
    <w:rsid w:val="00E84E1E"/>
    <w:rsid w:val="00E84E7D"/>
    <w:rsid w:val="00E84ECA"/>
    <w:rsid w:val="00E84F16"/>
    <w:rsid w:val="00E84F33"/>
    <w:rsid w:val="00E84F58"/>
    <w:rsid w:val="00E84F6D"/>
    <w:rsid w:val="00E84F7D"/>
    <w:rsid w:val="00E84FA6"/>
    <w:rsid w:val="00E85010"/>
    <w:rsid w:val="00E8501E"/>
    <w:rsid w:val="00E850A8"/>
    <w:rsid w:val="00E8511A"/>
    <w:rsid w:val="00E85155"/>
    <w:rsid w:val="00E85172"/>
    <w:rsid w:val="00E8517F"/>
    <w:rsid w:val="00E85195"/>
    <w:rsid w:val="00E851DE"/>
    <w:rsid w:val="00E8523D"/>
    <w:rsid w:val="00E85269"/>
    <w:rsid w:val="00E85293"/>
    <w:rsid w:val="00E852CC"/>
    <w:rsid w:val="00E85302"/>
    <w:rsid w:val="00E85308"/>
    <w:rsid w:val="00E8531D"/>
    <w:rsid w:val="00E85350"/>
    <w:rsid w:val="00E85385"/>
    <w:rsid w:val="00E853A2"/>
    <w:rsid w:val="00E853F1"/>
    <w:rsid w:val="00E853FC"/>
    <w:rsid w:val="00E853FF"/>
    <w:rsid w:val="00E8540F"/>
    <w:rsid w:val="00E854B3"/>
    <w:rsid w:val="00E854EE"/>
    <w:rsid w:val="00E85511"/>
    <w:rsid w:val="00E85566"/>
    <w:rsid w:val="00E855A6"/>
    <w:rsid w:val="00E855A9"/>
    <w:rsid w:val="00E855D3"/>
    <w:rsid w:val="00E85687"/>
    <w:rsid w:val="00E85759"/>
    <w:rsid w:val="00E857A6"/>
    <w:rsid w:val="00E857FF"/>
    <w:rsid w:val="00E85838"/>
    <w:rsid w:val="00E858C5"/>
    <w:rsid w:val="00E858CC"/>
    <w:rsid w:val="00E85956"/>
    <w:rsid w:val="00E859A4"/>
    <w:rsid w:val="00E859CB"/>
    <w:rsid w:val="00E859D3"/>
    <w:rsid w:val="00E859EE"/>
    <w:rsid w:val="00E85A2A"/>
    <w:rsid w:val="00E85A8D"/>
    <w:rsid w:val="00E85AA1"/>
    <w:rsid w:val="00E85AA8"/>
    <w:rsid w:val="00E85ABE"/>
    <w:rsid w:val="00E85B7B"/>
    <w:rsid w:val="00E85BE6"/>
    <w:rsid w:val="00E85C2F"/>
    <w:rsid w:val="00E85C78"/>
    <w:rsid w:val="00E85C79"/>
    <w:rsid w:val="00E85CE0"/>
    <w:rsid w:val="00E85CEE"/>
    <w:rsid w:val="00E85D4E"/>
    <w:rsid w:val="00E85D4F"/>
    <w:rsid w:val="00E85D9B"/>
    <w:rsid w:val="00E85DFC"/>
    <w:rsid w:val="00E85E65"/>
    <w:rsid w:val="00E85EA0"/>
    <w:rsid w:val="00E85EBB"/>
    <w:rsid w:val="00E85ED2"/>
    <w:rsid w:val="00E85EF3"/>
    <w:rsid w:val="00E85EF4"/>
    <w:rsid w:val="00E85F0D"/>
    <w:rsid w:val="00E85F12"/>
    <w:rsid w:val="00E85F30"/>
    <w:rsid w:val="00E8601C"/>
    <w:rsid w:val="00E8602B"/>
    <w:rsid w:val="00E8604E"/>
    <w:rsid w:val="00E860B5"/>
    <w:rsid w:val="00E860F2"/>
    <w:rsid w:val="00E8612B"/>
    <w:rsid w:val="00E8612C"/>
    <w:rsid w:val="00E8616A"/>
    <w:rsid w:val="00E86175"/>
    <w:rsid w:val="00E861A7"/>
    <w:rsid w:val="00E861B1"/>
    <w:rsid w:val="00E861E4"/>
    <w:rsid w:val="00E8620A"/>
    <w:rsid w:val="00E86213"/>
    <w:rsid w:val="00E86242"/>
    <w:rsid w:val="00E862CF"/>
    <w:rsid w:val="00E862D6"/>
    <w:rsid w:val="00E86353"/>
    <w:rsid w:val="00E863A3"/>
    <w:rsid w:val="00E863C4"/>
    <w:rsid w:val="00E863E5"/>
    <w:rsid w:val="00E8646D"/>
    <w:rsid w:val="00E8649E"/>
    <w:rsid w:val="00E864CF"/>
    <w:rsid w:val="00E8654F"/>
    <w:rsid w:val="00E865B5"/>
    <w:rsid w:val="00E865C3"/>
    <w:rsid w:val="00E865FA"/>
    <w:rsid w:val="00E86662"/>
    <w:rsid w:val="00E8668A"/>
    <w:rsid w:val="00E866C8"/>
    <w:rsid w:val="00E866E7"/>
    <w:rsid w:val="00E8679E"/>
    <w:rsid w:val="00E867BD"/>
    <w:rsid w:val="00E86802"/>
    <w:rsid w:val="00E86819"/>
    <w:rsid w:val="00E868D0"/>
    <w:rsid w:val="00E86931"/>
    <w:rsid w:val="00E8694B"/>
    <w:rsid w:val="00E86964"/>
    <w:rsid w:val="00E86998"/>
    <w:rsid w:val="00E869C7"/>
    <w:rsid w:val="00E86A0B"/>
    <w:rsid w:val="00E86A30"/>
    <w:rsid w:val="00E86A36"/>
    <w:rsid w:val="00E86A4B"/>
    <w:rsid w:val="00E86A6A"/>
    <w:rsid w:val="00E86A91"/>
    <w:rsid w:val="00E86B1D"/>
    <w:rsid w:val="00E86BB4"/>
    <w:rsid w:val="00E86C13"/>
    <w:rsid w:val="00E86C79"/>
    <w:rsid w:val="00E86CAC"/>
    <w:rsid w:val="00E86CB7"/>
    <w:rsid w:val="00E86CF4"/>
    <w:rsid w:val="00E86CF9"/>
    <w:rsid w:val="00E86D1F"/>
    <w:rsid w:val="00E86D3D"/>
    <w:rsid w:val="00E86D4A"/>
    <w:rsid w:val="00E86D86"/>
    <w:rsid w:val="00E86DFC"/>
    <w:rsid w:val="00E86E1A"/>
    <w:rsid w:val="00E86E66"/>
    <w:rsid w:val="00E86ECC"/>
    <w:rsid w:val="00E86ED4"/>
    <w:rsid w:val="00E86EFD"/>
    <w:rsid w:val="00E86F28"/>
    <w:rsid w:val="00E86F29"/>
    <w:rsid w:val="00E86F4E"/>
    <w:rsid w:val="00E86F53"/>
    <w:rsid w:val="00E86FC1"/>
    <w:rsid w:val="00E87052"/>
    <w:rsid w:val="00E87064"/>
    <w:rsid w:val="00E8709B"/>
    <w:rsid w:val="00E870C4"/>
    <w:rsid w:val="00E871A2"/>
    <w:rsid w:val="00E871CF"/>
    <w:rsid w:val="00E871E3"/>
    <w:rsid w:val="00E8720D"/>
    <w:rsid w:val="00E87269"/>
    <w:rsid w:val="00E872A9"/>
    <w:rsid w:val="00E872CE"/>
    <w:rsid w:val="00E872FA"/>
    <w:rsid w:val="00E8733C"/>
    <w:rsid w:val="00E8734F"/>
    <w:rsid w:val="00E87363"/>
    <w:rsid w:val="00E8736E"/>
    <w:rsid w:val="00E8737D"/>
    <w:rsid w:val="00E873B6"/>
    <w:rsid w:val="00E873F6"/>
    <w:rsid w:val="00E8740A"/>
    <w:rsid w:val="00E87484"/>
    <w:rsid w:val="00E874D2"/>
    <w:rsid w:val="00E874E9"/>
    <w:rsid w:val="00E87502"/>
    <w:rsid w:val="00E87574"/>
    <w:rsid w:val="00E875DC"/>
    <w:rsid w:val="00E87646"/>
    <w:rsid w:val="00E87680"/>
    <w:rsid w:val="00E877BF"/>
    <w:rsid w:val="00E87812"/>
    <w:rsid w:val="00E87888"/>
    <w:rsid w:val="00E87912"/>
    <w:rsid w:val="00E87934"/>
    <w:rsid w:val="00E87991"/>
    <w:rsid w:val="00E879C0"/>
    <w:rsid w:val="00E87A0B"/>
    <w:rsid w:val="00E87A4C"/>
    <w:rsid w:val="00E87A55"/>
    <w:rsid w:val="00E87A66"/>
    <w:rsid w:val="00E87AE6"/>
    <w:rsid w:val="00E87B30"/>
    <w:rsid w:val="00E87B36"/>
    <w:rsid w:val="00E87BA8"/>
    <w:rsid w:val="00E87D09"/>
    <w:rsid w:val="00E87D2C"/>
    <w:rsid w:val="00E87D52"/>
    <w:rsid w:val="00E87DAB"/>
    <w:rsid w:val="00E87DB4"/>
    <w:rsid w:val="00E87DE9"/>
    <w:rsid w:val="00E87DF9"/>
    <w:rsid w:val="00E87E16"/>
    <w:rsid w:val="00E87F09"/>
    <w:rsid w:val="00E87F58"/>
    <w:rsid w:val="00E90066"/>
    <w:rsid w:val="00E900C4"/>
    <w:rsid w:val="00E900F3"/>
    <w:rsid w:val="00E9011E"/>
    <w:rsid w:val="00E90125"/>
    <w:rsid w:val="00E90164"/>
    <w:rsid w:val="00E9017F"/>
    <w:rsid w:val="00E9020D"/>
    <w:rsid w:val="00E90258"/>
    <w:rsid w:val="00E903B0"/>
    <w:rsid w:val="00E903E3"/>
    <w:rsid w:val="00E903F1"/>
    <w:rsid w:val="00E90436"/>
    <w:rsid w:val="00E90461"/>
    <w:rsid w:val="00E90466"/>
    <w:rsid w:val="00E9052B"/>
    <w:rsid w:val="00E90581"/>
    <w:rsid w:val="00E90617"/>
    <w:rsid w:val="00E906C7"/>
    <w:rsid w:val="00E906FE"/>
    <w:rsid w:val="00E90769"/>
    <w:rsid w:val="00E9077E"/>
    <w:rsid w:val="00E90796"/>
    <w:rsid w:val="00E907E0"/>
    <w:rsid w:val="00E90814"/>
    <w:rsid w:val="00E90825"/>
    <w:rsid w:val="00E90826"/>
    <w:rsid w:val="00E9088B"/>
    <w:rsid w:val="00E9088D"/>
    <w:rsid w:val="00E908A1"/>
    <w:rsid w:val="00E908BD"/>
    <w:rsid w:val="00E908C7"/>
    <w:rsid w:val="00E908D6"/>
    <w:rsid w:val="00E9092D"/>
    <w:rsid w:val="00E9095F"/>
    <w:rsid w:val="00E9098B"/>
    <w:rsid w:val="00E90A0D"/>
    <w:rsid w:val="00E90A16"/>
    <w:rsid w:val="00E90A1E"/>
    <w:rsid w:val="00E90A3E"/>
    <w:rsid w:val="00E90A5F"/>
    <w:rsid w:val="00E90AAC"/>
    <w:rsid w:val="00E90AC0"/>
    <w:rsid w:val="00E90B02"/>
    <w:rsid w:val="00E90B52"/>
    <w:rsid w:val="00E90B85"/>
    <w:rsid w:val="00E90BAA"/>
    <w:rsid w:val="00E90BD8"/>
    <w:rsid w:val="00E90C11"/>
    <w:rsid w:val="00E90CB2"/>
    <w:rsid w:val="00E90CBF"/>
    <w:rsid w:val="00E90D54"/>
    <w:rsid w:val="00E90D5B"/>
    <w:rsid w:val="00E90E35"/>
    <w:rsid w:val="00E90E36"/>
    <w:rsid w:val="00E90E4E"/>
    <w:rsid w:val="00E90E60"/>
    <w:rsid w:val="00E90E63"/>
    <w:rsid w:val="00E90E73"/>
    <w:rsid w:val="00E90F85"/>
    <w:rsid w:val="00E91025"/>
    <w:rsid w:val="00E91064"/>
    <w:rsid w:val="00E910F7"/>
    <w:rsid w:val="00E91104"/>
    <w:rsid w:val="00E9111A"/>
    <w:rsid w:val="00E911BC"/>
    <w:rsid w:val="00E911D4"/>
    <w:rsid w:val="00E911E0"/>
    <w:rsid w:val="00E91235"/>
    <w:rsid w:val="00E91238"/>
    <w:rsid w:val="00E91262"/>
    <w:rsid w:val="00E912CA"/>
    <w:rsid w:val="00E912E0"/>
    <w:rsid w:val="00E91327"/>
    <w:rsid w:val="00E91347"/>
    <w:rsid w:val="00E9134C"/>
    <w:rsid w:val="00E9137B"/>
    <w:rsid w:val="00E913C5"/>
    <w:rsid w:val="00E91422"/>
    <w:rsid w:val="00E91447"/>
    <w:rsid w:val="00E9144E"/>
    <w:rsid w:val="00E9145C"/>
    <w:rsid w:val="00E91462"/>
    <w:rsid w:val="00E9147C"/>
    <w:rsid w:val="00E914AB"/>
    <w:rsid w:val="00E914B5"/>
    <w:rsid w:val="00E914F9"/>
    <w:rsid w:val="00E91534"/>
    <w:rsid w:val="00E91543"/>
    <w:rsid w:val="00E91565"/>
    <w:rsid w:val="00E9156A"/>
    <w:rsid w:val="00E915BB"/>
    <w:rsid w:val="00E915CE"/>
    <w:rsid w:val="00E9168C"/>
    <w:rsid w:val="00E916A5"/>
    <w:rsid w:val="00E916AE"/>
    <w:rsid w:val="00E916D0"/>
    <w:rsid w:val="00E91703"/>
    <w:rsid w:val="00E9170A"/>
    <w:rsid w:val="00E9170D"/>
    <w:rsid w:val="00E91772"/>
    <w:rsid w:val="00E917AD"/>
    <w:rsid w:val="00E917E3"/>
    <w:rsid w:val="00E917FA"/>
    <w:rsid w:val="00E91851"/>
    <w:rsid w:val="00E91867"/>
    <w:rsid w:val="00E9191D"/>
    <w:rsid w:val="00E9196F"/>
    <w:rsid w:val="00E919B2"/>
    <w:rsid w:val="00E91A6B"/>
    <w:rsid w:val="00E91AF1"/>
    <w:rsid w:val="00E91AFC"/>
    <w:rsid w:val="00E91B02"/>
    <w:rsid w:val="00E91B2F"/>
    <w:rsid w:val="00E91BD0"/>
    <w:rsid w:val="00E91C1D"/>
    <w:rsid w:val="00E91C44"/>
    <w:rsid w:val="00E91C53"/>
    <w:rsid w:val="00E91C6A"/>
    <w:rsid w:val="00E91D19"/>
    <w:rsid w:val="00E91D83"/>
    <w:rsid w:val="00E91DB0"/>
    <w:rsid w:val="00E91DF9"/>
    <w:rsid w:val="00E91E6D"/>
    <w:rsid w:val="00E91E79"/>
    <w:rsid w:val="00E91E85"/>
    <w:rsid w:val="00E91E96"/>
    <w:rsid w:val="00E91E98"/>
    <w:rsid w:val="00E91E9C"/>
    <w:rsid w:val="00E91EB7"/>
    <w:rsid w:val="00E91F1B"/>
    <w:rsid w:val="00E91F95"/>
    <w:rsid w:val="00E92126"/>
    <w:rsid w:val="00E92192"/>
    <w:rsid w:val="00E921B0"/>
    <w:rsid w:val="00E921D5"/>
    <w:rsid w:val="00E921F0"/>
    <w:rsid w:val="00E921F9"/>
    <w:rsid w:val="00E9221D"/>
    <w:rsid w:val="00E9225F"/>
    <w:rsid w:val="00E92265"/>
    <w:rsid w:val="00E92333"/>
    <w:rsid w:val="00E9238F"/>
    <w:rsid w:val="00E923B2"/>
    <w:rsid w:val="00E923C1"/>
    <w:rsid w:val="00E92411"/>
    <w:rsid w:val="00E924B5"/>
    <w:rsid w:val="00E924D7"/>
    <w:rsid w:val="00E926B3"/>
    <w:rsid w:val="00E92706"/>
    <w:rsid w:val="00E927BA"/>
    <w:rsid w:val="00E9283A"/>
    <w:rsid w:val="00E92853"/>
    <w:rsid w:val="00E92855"/>
    <w:rsid w:val="00E9287D"/>
    <w:rsid w:val="00E928FB"/>
    <w:rsid w:val="00E9292E"/>
    <w:rsid w:val="00E92945"/>
    <w:rsid w:val="00E92965"/>
    <w:rsid w:val="00E92977"/>
    <w:rsid w:val="00E92A2F"/>
    <w:rsid w:val="00E92A62"/>
    <w:rsid w:val="00E92A6F"/>
    <w:rsid w:val="00E92AA9"/>
    <w:rsid w:val="00E92AAC"/>
    <w:rsid w:val="00E92AF2"/>
    <w:rsid w:val="00E92B11"/>
    <w:rsid w:val="00E92B45"/>
    <w:rsid w:val="00E92C14"/>
    <w:rsid w:val="00E92C61"/>
    <w:rsid w:val="00E92CE5"/>
    <w:rsid w:val="00E92D60"/>
    <w:rsid w:val="00E92D7C"/>
    <w:rsid w:val="00E92E63"/>
    <w:rsid w:val="00E92E94"/>
    <w:rsid w:val="00E92E95"/>
    <w:rsid w:val="00E92EC2"/>
    <w:rsid w:val="00E92ECF"/>
    <w:rsid w:val="00E92F7F"/>
    <w:rsid w:val="00E92F80"/>
    <w:rsid w:val="00E92FAE"/>
    <w:rsid w:val="00E92FD1"/>
    <w:rsid w:val="00E93007"/>
    <w:rsid w:val="00E93014"/>
    <w:rsid w:val="00E9306B"/>
    <w:rsid w:val="00E93084"/>
    <w:rsid w:val="00E930C1"/>
    <w:rsid w:val="00E930FD"/>
    <w:rsid w:val="00E93124"/>
    <w:rsid w:val="00E9315A"/>
    <w:rsid w:val="00E9315C"/>
    <w:rsid w:val="00E93190"/>
    <w:rsid w:val="00E932D9"/>
    <w:rsid w:val="00E93314"/>
    <w:rsid w:val="00E93370"/>
    <w:rsid w:val="00E933BE"/>
    <w:rsid w:val="00E9343E"/>
    <w:rsid w:val="00E9344A"/>
    <w:rsid w:val="00E9347B"/>
    <w:rsid w:val="00E9348B"/>
    <w:rsid w:val="00E9348E"/>
    <w:rsid w:val="00E934B1"/>
    <w:rsid w:val="00E934DA"/>
    <w:rsid w:val="00E93512"/>
    <w:rsid w:val="00E9367D"/>
    <w:rsid w:val="00E93681"/>
    <w:rsid w:val="00E93686"/>
    <w:rsid w:val="00E936A8"/>
    <w:rsid w:val="00E936EF"/>
    <w:rsid w:val="00E93740"/>
    <w:rsid w:val="00E937BD"/>
    <w:rsid w:val="00E93801"/>
    <w:rsid w:val="00E93806"/>
    <w:rsid w:val="00E93876"/>
    <w:rsid w:val="00E9387F"/>
    <w:rsid w:val="00E93880"/>
    <w:rsid w:val="00E93881"/>
    <w:rsid w:val="00E938DA"/>
    <w:rsid w:val="00E938E8"/>
    <w:rsid w:val="00E93902"/>
    <w:rsid w:val="00E93949"/>
    <w:rsid w:val="00E93957"/>
    <w:rsid w:val="00E9396A"/>
    <w:rsid w:val="00E939C7"/>
    <w:rsid w:val="00E939D3"/>
    <w:rsid w:val="00E93A09"/>
    <w:rsid w:val="00E93A59"/>
    <w:rsid w:val="00E93AA4"/>
    <w:rsid w:val="00E93AAE"/>
    <w:rsid w:val="00E93ADF"/>
    <w:rsid w:val="00E93B3D"/>
    <w:rsid w:val="00E93BB0"/>
    <w:rsid w:val="00E93BB7"/>
    <w:rsid w:val="00E93BD4"/>
    <w:rsid w:val="00E93C78"/>
    <w:rsid w:val="00E93C87"/>
    <w:rsid w:val="00E93CF4"/>
    <w:rsid w:val="00E93D3C"/>
    <w:rsid w:val="00E93D90"/>
    <w:rsid w:val="00E93D9D"/>
    <w:rsid w:val="00E93E50"/>
    <w:rsid w:val="00E93EFB"/>
    <w:rsid w:val="00E93FCD"/>
    <w:rsid w:val="00E93FEA"/>
    <w:rsid w:val="00E9401C"/>
    <w:rsid w:val="00E9402A"/>
    <w:rsid w:val="00E94042"/>
    <w:rsid w:val="00E9405A"/>
    <w:rsid w:val="00E94073"/>
    <w:rsid w:val="00E940D2"/>
    <w:rsid w:val="00E94102"/>
    <w:rsid w:val="00E94104"/>
    <w:rsid w:val="00E94138"/>
    <w:rsid w:val="00E941EC"/>
    <w:rsid w:val="00E941F5"/>
    <w:rsid w:val="00E94211"/>
    <w:rsid w:val="00E9426C"/>
    <w:rsid w:val="00E9426D"/>
    <w:rsid w:val="00E9427E"/>
    <w:rsid w:val="00E9429F"/>
    <w:rsid w:val="00E942BD"/>
    <w:rsid w:val="00E942D9"/>
    <w:rsid w:val="00E94342"/>
    <w:rsid w:val="00E9434B"/>
    <w:rsid w:val="00E94356"/>
    <w:rsid w:val="00E943B2"/>
    <w:rsid w:val="00E9441B"/>
    <w:rsid w:val="00E94515"/>
    <w:rsid w:val="00E94528"/>
    <w:rsid w:val="00E9453A"/>
    <w:rsid w:val="00E94552"/>
    <w:rsid w:val="00E94565"/>
    <w:rsid w:val="00E945BA"/>
    <w:rsid w:val="00E945C6"/>
    <w:rsid w:val="00E9463C"/>
    <w:rsid w:val="00E9465E"/>
    <w:rsid w:val="00E9468F"/>
    <w:rsid w:val="00E946BA"/>
    <w:rsid w:val="00E946BB"/>
    <w:rsid w:val="00E946FC"/>
    <w:rsid w:val="00E94704"/>
    <w:rsid w:val="00E94706"/>
    <w:rsid w:val="00E9474B"/>
    <w:rsid w:val="00E947A2"/>
    <w:rsid w:val="00E947B9"/>
    <w:rsid w:val="00E947F0"/>
    <w:rsid w:val="00E94831"/>
    <w:rsid w:val="00E948CE"/>
    <w:rsid w:val="00E9490D"/>
    <w:rsid w:val="00E94911"/>
    <w:rsid w:val="00E94A6A"/>
    <w:rsid w:val="00E94AB2"/>
    <w:rsid w:val="00E94BB1"/>
    <w:rsid w:val="00E94BCD"/>
    <w:rsid w:val="00E94C4A"/>
    <w:rsid w:val="00E94C79"/>
    <w:rsid w:val="00E94D63"/>
    <w:rsid w:val="00E94E58"/>
    <w:rsid w:val="00E94E95"/>
    <w:rsid w:val="00E94ECF"/>
    <w:rsid w:val="00E94EDF"/>
    <w:rsid w:val="00E94EE0"/>
    <w:rsid w:val="00E94F96"/>
    <w:rsid w:val="00E94FBE"/>
    <w:rsid w:val="00E94FE2"/>
    <w:rsid w:val="00E95000"/>
    <w:rsid w:val="00E9500B"/>
    <w:rsid w:val="00E95025"/>
    <w:rsid w:val="00E9502B"/>
    <w:rsid w:val="00E9509C"/>
    <w:rsid w:val="00E950AB"/>
    <w:rsid w:val="00E950E5"/>
    <w:rsid w:val="00E950E6"/>
    <w:rsid w:val="00E9510A"/>
    <w:rsid w:val="00E9515E"/>
    <w:rsid w:val="00E95161"/>
    <w:rsid w:val="00E95230"/>
    <w:rsid w:val="00E95380"/>
    <w:rsid w:val="00E95382"/>
    <w:rsid w:val="00E953A6"/>
    <w:rsid w:val="00E953A8"/>
    <w:rsid w:val="00E953AE"/>
    <w:rsid w:val="00E9542F"/>
    <w:rsid w:val="00E95447"/>
    <w:rsid w:val="00E95468"/>
    <w:rsid w:val="00E954C5"/>
    <w:rsid w:val="00E954FD"/>
    <w:rsid w:val="00E9553C"/>
    <w:rsid w:val="00E95548"/>
    <w:rsid w:val="00E95564"/>
    <w:rsid w:val="00E9557C"/>
    <w:rsid w:val="00E955BF"/>
    <w:rsid w:val="00E956A6"/>
    <w:rsid w:val="00E956B8"/>
    <w:rsid w:val="00E956CF"/>
    <w:rsid w:val="00E956DA"/>
    <w:rsid w:val="00E956F5"/>
    <w:rsid w:val="00E95705"/>
    <w:rsid w:val="00E9571A"/>
    <w:rsid w:val="00E95746"/>
    <w:rsid w:val="00E957C7"/>
    <w:rsid w:val="00E957F1"/>
    <w:rsid w:val="00E957F7"/>
    <w:rsid w:val="00E95880"/>
    <w:rsid w:val="00E958AA"/>
    <w:rsid w:val="00E958E9"/>
    <w:rsid w:val="00E9591B"/>
    <w:rsid w:val="00E95929"/>
    <w:rsid w:val="00E95932"/>
    <w:rsid w:val="00E95953"/>
    <w:rsid w:val="00E9596B"/>
    <w:rsid w:val="00E959B8"/>
    <w:rsid w:val="00E959EC"/>
    <w:rsid w:val="00E95AC9"/>
    <w:rsid w:val="00E95AD5"/>
    <w:rsid w:val="00E95AE8"/>
    <w:rsid w:val="00E95AFB"/>
    <w:rsid w:val="00E95B02"/>
    <w:rsid w:val="00E95B11"/>
    <w:rsid w:val="00E95B88"/>
    <w:rsid w:val="00E95C07"/>
    <w:rsid w:val="00E95C6B"/>
    <w:rsid w:val="00E95C82"/>
    <w:rsid w:val="00E95C9B"/>
    <w:rsid w:val="00E95D27"/>
    <w:rsid w:val="00E95D70"/>
    <w:rsid w:val="00E95E1B"/>
    <w:rsid w:val="00E95ECB"/>
    <w:rsid w:val="00E95EE4"/>
    <w:rsid w:val="00E95F15"/>
    <w:rsid w:val="00E95F1A"/>
    <w:rsid w:val="00E95F41"/>
    <w:rsid w:val="00E95FA9"/>
    <w:rsid w:val="00E95FC8"/>
    <w:rsid w:val="00E95FCD"/>
    <w:rsid w:val="00E96040"/>
    <w:rsid w:val="00E9606D"/>
    <w:rsid w:val="00E960A7"/>
    <w:rsid w:val="00E960D6"/>
    <w:rsid w:val="00E96113"/>
    <w:rsid w:val="00E961E1"/>
    <w:rsid w:val="00E961F6"/>
    <w:rsid w:val="00E96261"/>
    <w:rsid w:val="00E9627B"/>
    <w:rsid w:val="00E962A1"/>
    <w:rsid w:val="00E962BA"/>
    <w:rsid w:val="00E962E0"/>
    <w:rsid w:val="00E962FE"/>
    <w:rsid w:val="00E96366"/>
    <w:rsid w:val="00E963CC"/>
    <w:rsid w:val="00E963E8"/>
    <w:rsid w:val="00E9653F"/>
    <w:rsid w:val="00E96577"/>
    <w:rsid w:val="00E965BE"/>
    <w:rsid w:val="00E965F0"/>
    <w:rsid w:val="00E9666B"/>
    <w:rsid w:val="00E96671"/>
    <w:rsid w:val="00E96679"/>
    <w:rsid w:val="00E966D1"/>
    <w:rsid w:val="00E9670F"/>
    <w:rsid w:val="00E96722"/>
    <w:rsid w:val="00E96780"/>
    <w:rsid w:val="00E967B6"/>
    <w:rsid w:val="00E9680C"/>
    <w:rsid w:val="00E9684B"/>
    <w:rsid w:val="00E9686C"/>
    <w:rsid w:val="00E96879"/>
    <w:rsid w:val="00E968EB"/>
    <w:rsid w:val="00E9691D"/>
    <w:rsid w:val="00E96A2C"/>
    <w:rsid w:val="00E96A37"/>
    <w:rsid w:val="00E96A8F"/>
    <w:rsid w:val="00E96B13"/>
    <w:rsid w:val="00E96B88"/>
    <w:rsid w:val="00E96B9B"/>
    <w:rsid w:val="00E96BAB"/>
    <w:rsid w:val="00E96BB5"/>
    <w:rsid w:val="00E96C1D"/>
    <w:rsid w:val="00E96CA2"/>
    <w:rsid w:val="00E96CCC"/>
    <w:rsid w:val="00E96D29"/>
    <w:rsid w:val="00E96D60"/>
    <w:rsid w:val="00E96D64"/>
    <w:rsid w:val="00E96D6E"/>
    <w:rsid w:val="00E96D86"/>
    <w:rsid w:val="00E96DAF"/>
    <w:rsid w:val="00E96DEB"/>
    <w:rsid w:val="00E96DF8"/>
    <w:rsid w:val="00E96E0B"/>
    <w:rsid w:val="00E96E61"/>
    <w:rsid w:val="00E96E9D"/>
    <w:rsid w:val="00E96EC5"/>
    <w:rsid w:val="00E96ED7"/>
    <w:rsid w:val="00E96EE4"/>
    <w:rsid w:val="00E96F10"/>
    <w:rsid w:val="00E96F78"/>
    <w:rsid w:val="00E96FF0"/>
    <w:rsid w:val="00E97049"/>
    <w:rsid w:val="00E97069"/>
    <w:rsid w:val="00E970C1"/>
    <w:rsid w:val="00E97169"/>
    <w:rsid w:val="00E971C7"/>
    <w:rsid w:val="00E971EF"/>
    <w:rsid w:val="00E97254"/>
    <w:rsid w:val="00E97299"/>
    <w:rsid w:val="00E972DF"/>
    <w:rsid w:val="00E972EF"/>
    <w:rsid w:val="00E97317"/>
    <w:rsid w:val="00E9734D"/>
    <w:rsid w:val="00E9734F"/>
    <w:rsid w:val="00E97357"/>
    <w:rsid w:val="00E973BC"/>
    <w:rsid w:val="00E9742D"/>
    <w:rsid w:val="00E9744C"/>
    <w:rsid w:val="00E97484"/>
    <w:rsid w:val="00E9748C"/>
    <w:rsid w:val="00E974BC"/>
    <w:rsid w:val="00E97509"/>
    <w:rsid w:val="00E975B0"/>
    <w:rsid w:val="00E975D4"/>
    <w:rsid w:val="00E97603"/>
    <w:rsid w:val="00E9760B"/>
    <w:rsid w:val="00E97615"/>
    <w:rsid w:val="00E9765B"/>
    <w:rsid w:val="00E976D2"/>
    <w:rsid w:val="00E9771C"/>
    <w:rsid w:val="00E9778A"/>
    <w:rsid w:val="00E97800"/>
    <w:rsid w:val="00E97810"/>
    <w:rsid w:val="00E978AB"/>
    <w:rsid w:val="00E9790B"/>
    <w:rsid w:val="00E9791D"/>
    <w:rsid w:val="00E97966"/>
    <w:rsid w:val="00E979C6"/>
    <w:rsid w:val="00E979EE"/>
    <w:rsid w:val="00E97A9E"/>
    <w:rsid w:val="00E97AEA"/>
    <w:rsid w:val="00E97AFC"/>
    <w:rsid w:val="00E97B17"/>
    <w:rsid w:val="00E97B63"/>
    <w:rsid w:val="00E97B64"/>
    <w:rsid w:val="00E97B88"/>
    <w:rsid w:val="00E97B8F"/>
    <w:rsid w:val="00E97BC2"/>
    <w:rsid w:val="00E97BD6"/>
    <w:rsid w:val="00E97C9A"/>
    <w:rsid w:val="00E97D34"/>
    <w:rsid w:val="00E97D6E"/>
    <w:rsid w:val="00E97DD0"/>
    <w:rsid w:val="00E97E86"/>
    <w:rsid w:val="00E97EBA"/>
    <w:rsid w:val="00E97EC8"/>
    <w:rsid w:val="00E97F62"/>
    <w:rsid w:val="00E97FE0"/>
    <w:rsid w:val="00EA0021"/>
    <w:rsid w:val="00EA00C8"/>
    <w:rsid w:val="00EA00F3"/>
    <w:rsid w:val="00EA01A1"/>
    <w:rsid w:val="00EA01C2"/>
    <w:rsid w:val="00EA0287"/>
    <w:rsid w:val="00EA02E8"/>
    <w:rsid w:val="00EA02F7"/>
    <w:rsid w:val="00EA032F"/>
    <w:rsid w:val="00EA033A"/>
    <w:rsid w:val="00EA034D"/>
    <w:rsid w:val="00EA035F"/>
    <w:rsid w:val="00EA03DA"/>
    <w:rsid w:val="00EA03FA"/>
    <w:rsid w:val="00EA0429"/>
    <w:rsid w:val="00EA04BC"/>
    <w:rsid w:val="00EA0545"/>
    <w:rsid w:val="00EA059E"/>
    <w:rsid w:val="00EA061D"/>
    <w:rsid w:val="00EA061F"/>
    <w:rsid w:val="00EA064F"/>
    <w:rsid w:val="00EA06B4"/>
    <w:rsid w:val="00EA06B6"/>
    <w:rsid w:val="00EA06D3"/>
    <w:rsid w:val="00EA071E"/>
    <w:rsid w:val="00EA0743"/>
    <w:rsid w:val="00EA0799"/>
    <w:rsid w:val="00EA086E"/>
    <w:rsid w:val="00EA091A"/>
    <w:rsid w:val="00EA09FC"/>
    <w:rsid w:val="00EA0A2A"/>
    <w:rsid w:val="00EA0A4A"/>
    <w:rsid w:val="00EA0A60"/>
    <w:rsid w:val="00EA0AAD"/>
    <w:rsid w:val="00EA0B7D"/>
    <w:rsid w:val="00EA0B83"/>
    <w:rsid w:val="00EA0BE0"/>
    <w:rsid w:val="00EA0BE7"/>
    <w:rsid w:val="00EA0BF2"/>
    <w:rsid w:val="00EA0C17"/>
    <w:rsid w:val="00EA0C89"/>
    <w:rsid w:val="00EA0CB2"/>
    <w:rsid w:val="00EA0D06"/>
    <w:rsid w:val="00EA0E01"/>
    <w:rsid w:val="00EA0EF7"/>
    <w:rsid w:val="00EA0F0D"/>
    <w:rsid w:val="00EA0F4B"/>
    <w:rsid w:val="00EA0F60"/>
    <w:rsid w:val="00EA0FB5"/>
    <w:rsid w:val="00EA0FB8"/>
    <w:rsid w:val="00EA0FD8"/>
    <w:rsid w:val="00EA0FEF"/>
    <w:rsid w:val="00EA101F"/>
    <w:rsid w:val="00EA1023"/>
    <w:rsid w:val="00EA103D"/>
    <w:rsid w:val="00EA1093"/>
    <w:rsid w:val="00EA10AB"/>
    <w:rsid w:val="00EA10DE"/>
    <w:rsid w:val="00EA10F6"/>
    <w:rsid w:val="00EA1181"/>
    <w:rsid w:val="00EA1248"/>
    <w:rsid w:val="00EA127B"/>
    <w:rsid w:val="00EA12B9"/>
    <w:rsid w:val="00EA133B"/>
    <w:rsid w:val="00EA1429"/>
    <w:rsid w:val="00EA145E"/>
    <w:rsid w:val="00EA146C"/>
    <w:rsid w:val="00EA1484"/>
    <w:rsid w:val="00EA14DD"/>
    <w:rsid w:val="00EA1537"/>
    <w:rsid w:val="00EA157C"/>
    <w:rsid w:val="00EA158C"/>
    <w:rsid w:val="00EA15D1"/>
    <w:rsid w:val="00EA15D2"/>
    <w:rsid w:val="00EA15D5"/>
    <w:rsid w:val="00EA15E0"/>
    <w:rsid w:val="00EA15EA"/>
    <w:rsid w:val="00EA1610"/>
    <w:rsid w:val="00EA161B"/>
    <w:rsid w:val="00EA163C"/>
    <w:rsid w:val="00EA16B5"/>
    <w:rsid w:val="00EA16EF"/>
    <w:rsid w:val="00EA16F1"/>
    <w:rsid w:val="00EA16FC"/>
    <w:rsid w:val="00EA170F"/>
    <w:rsid w:val="00EA176B"/>
    <w:rsid w:val="00EA17A2"/>
    <w:rsid w:val="00EA1833"/>
    <w:rsid w:val="00EA1865"/>
    <w:rsid w:val="00EA1869"/>
    <w:rsid w:val="00EA186D"/>
    <w:rsid w:val="00EA18E4"/>
    <w:rsid w:val="00EA18FF"/>
    <w:rsid w:val="00EA1913"/>
    <w:rsid w:val="00EA1935"/>
    <w:rsid w:val="00EA19E0"/>
    <w:rsid w:val="00EA19E8"/>
    <w:rsid w:val="00EA1A09"/>
    <w:rsid w:val="00EA1A10"/>
    <w:rsid w:val="00EA1A12"/>
    <w:rsid w:val="00EA1A35"/>
    <w:rsid w:val="00EA1A52"/>
    <w:rsid w:val="00EA1A8C"/>
    <w:rsid w:val="00EA1AEF"/>
    <w:rsid w:val="00EA1B3A"/>
    <w:rsid w:val="00EA1B8A"/>
    <w:rsid w:val="00EA1BCF"/>
    <w:rsid w:val="00EA1C03"/>
    <w:rsid w:val="00EA1C19"/>
    <w:rsid w:val="00EA1CC1"/>
    <w:rsid w:val="00EA1CEA"/>
    <w:rsid w:val="00EA1DE0"/>
    <w:rsid w:val="00EA1DE4"/>
    <w:rsid w:val="00EA1E09"/>
    <w:rsid w:val="00EA1E0B"/>
    <w:rsid w:val="00EA1E37"/>
    <w:rsid w:val="00EA1E54"/>
    <w:rsid w:val="00EA1E5C"/>
    <w:rsid w:val="00EA1E7D"/>
    <w:rsid w:val="00EA1E89"/>
    <w:rsid w:val="00EA1E8D"/>
    <w:rsid w:val="00EA1EEF"/>
    <w:rsid w:val="00EA1F77"/>
    <w:rsid w:val="00EA1F8C"/>
    <w:rsid w:val="00EA1FD6"/>
    <w:rsid w:val="00EA1FDC"/>
    <w:rsid w:val="00EA1FEB"/>
    <w:rsid w:val="00EA202C"/>
    <w:rsid w:val="00EA20CD"/>
    <w:rsid w:val="00EA20E4"/>
    <w:rsid w:val="00EA212B"/>
    <w:rsid w:val="00EA2182"/>
    <w:rsid w:val="00EA21C6"/>
    <w:rsid w:val="00EA229E"/>
    <w:rsid w:val="00EA22E6"/>
    <w:rsid w:val="00EA233F"/>
    <w:rsid w:val="00EA23B6"/>
    <w:rsid w:val="00EA2439"/>
    <w:rsid w:val="00EA2495"/>
    <w:rsid w:val="00EA24B6"/>
    <w:rsid w:val="00EA24B9"/>
    <w:rsid w:val="00EA24F7"/>
    <w:rsid w:val="00EA24FB"/>
    <w:rsid w:val="00EA259E"/>
    <w:rsid w:val="00EA25C3"/>
    <w:rsid w:val="00EA2616"/>
    <w:rsid w:val="00EA265D"/>
    <w:rsid w:val="00EA26BE"/>
    <w:rsid w:val="00EA26CD"/>
    <w:rsid w:val="00EA2738"/>
    <w:rsid w:val="00EA273E"/>
    <w:rsid w:val="00EA2794"/>
    <w:rsid w:val="00EA28B1"/>
    <w:rsid w:val="00EA28C6"/>
    <w:rsid w:val="00EA28CC"/>
    <w:rsid w:val="00EA28E3"/>
    <w:rsid w:val="00EA2950"/>
    <w:rsid w:val="00EA2951"/>
    <w:rsid w:val="00EA2975"/>
    <w:rsid w:val="00EA2978"/>
    <w:rsid w:val="00EA2992"/>
    <w:rsid w:val="00EA29C2"/>
    <w:rsid w:val="00EA29F2"/>
    <w:rsid w:val="00EA2A19"/>
    <w:rsid w:val="00EA2A4D"/>
    <w:rsid w:val="00EA2A5D"/>
    <w:rsid w:val="00EA2A6B"/>
    <w:rsid w:val="00EA2ACF"/>
    <w:rsid w:val="00EA2B9A"/>
    <w:rsid w:val="00EA2BCF"/>
    <w:rsid w:val="00EA2C4C"/>
    <w:rsid w:val="00EA2C72"/>
    <w:rsid w:val="00EA2CB1"/>
    <w:rsid w:val="00EA2D53"/>
    <w:rsid w:val="00EA2D6F"/>
    <w:rsid w:val="00EA2D79"/>
    <w:rsid w:val="00EA2DBE"/>
    <w:rsid w:val="00EA2E0E"/>
    <w:rsid w:val="00EA2E35"/>
    <w:rsid w:val="00EA2E3A"/>
    <w:rsid w:val="00EA2E97"/>
    <w:rsid w:val="00EA2ED0"/>
    <w:rsid w:val="00EA2EF1"/>
    <w:rsid w:val="00EA2F1F"/>
    <w:rsid w:val="00EA2F2B"/>
    <w:rsid w:val="00EA2F60"/>
    <w:rsid w:val="00EA2F79"/>
    <w:rsid w:val="00EA2FEA"/>
    <w:rsid w:val="00EA300B"/>
    <w:rsid w:val="00EA3042"/>
    <w:rsid w:val="00EA3050"/>
    <w:rsid w:val="00EA3073"/>
    <w:rsid w:val="00EA30D2"/>
    <w:rsid w:val="00EA30F7"/>
    <w:rsid w:val="00EA314C"/>
    <w:rsid w:val="00EA31C8"/>
    <w:rsid w:val="00EA31CE"/>
    <w:rsid w:val="00EA31D0"/>
    <w:rsid w:val="00EA31DF"/>
    <w:rsid w:val="00EA3277"/>
    <w:rsid w:val="00EA32A3"/>
    <w:rsid w:val="00EA32B1"/>
    <w:rsid w:val="00EA32F9"/>
    <w:rsid w:val="00EA333D"/>
    <w:rsid w:val="00EA336D"/>
    <w:rsid w:val="00EA338A"/>
    <w:rsid w:val="00EA33BD"/>
    <w:rsid w:val="00EA3461"/>
    <w:rsid w:val="00EA34D5"/>
    <w:rsid w:val="00EA3556"/>
    <w:rsid w:val="00EA3559"/>
    <w:rsid w:val="00EA355B"/>
    <w:rsid w:val="00EA35C2"/>
    <w:rsid w:val="00EA35FE"/>
    <w:rsid w:val="00EA3662"/>
    <w:rsid w:val="00EA36BC"/>
    <w:rsid w:val="00EA36E6"/>
    <w:rsid w:val="00EA3721"/>
    <w:rsid w:val="00EA3748"/>
    <w:rsid w:val="00EA3756"/>
    <w:rsid w:val="00EA3779"/>
    <w:rsid w:val="00EA3781"/>
    <w:rsid w:val="00EA37B0"/>
    <w:rsid w:val="00EA3834"/>
    <w:rsid w:val="00EA3886"/>
    <w:rsid w:val="00EA38F8"/>
    <w:rsid w:val="00EA397A"/>
    <w:rsid w:val="00EA3B30"/>
    <w:rsid w:val="00EA3B92"/>
    <w:rsid w:val="00EA3BB0"/>
    <w:rsid w:val="00EA3BFE"/>
    <w:rsid w:val="00EA3C45"/>
    <w:rsid w:val="00EA3CE0"/>
    <w:rsid w:val="00EA3D4C"/>
    <w:rsid w:val="00EA3DFC"/>
    <w:rsid w:val="00EA3E0C"/>
    <w:rsid w:val="00EA3E13"/>
    <w:rsid w:val="00EA3E38"/>
    <w:rsid w:val="00EA3E55"/>
    <w:rsid w:val="00EA3E90"/>
    <w:rsid w:val="00EA3ED1"/>
    <w:rsid w:val="00EA3F0B"/>
    <w:rsid w:val="00EA4014"/>
    <w:rsid w:val="00EA4037"/>
    <w:rsid w:val="00EA4041"/>
    <w:rsid w:val="00EA4066"/>
    <w:rsid w:val="00EA40AE"/>
    <w:rsid w:val="00EA40C6"/>
    <w:rsid w:val="00EA40DB"/>
    <w:rsid w:val="00EA40E0"/>
    <w:rsid w:val="00EA424F"/>
    <w:rsid w:val="00EA42DE"/>
    <w:rsid w:val="00EA42E1"/>
    <w:rsid w:val="00EA4327"/>
    <w:rsid w:val="00EA4379"/>
    <w:rsid w:val="00EA43F4"/>
    <w:rsid w:val="00EA43FD"/>
    <w:rsid w:val="00EA4431"/>
    <w:rsid w:val="00EA4491"/>
    <w:rsid w:val="00EA44B5"/>
    <w:rsid w:val="00EA4576"/>
    <w:rsid w:val="00EA457A"/>
    <w:rsid w:val="00EA45A0"/>
    <w:rsid w:val="00EA464E"/>
    <w:rsid w:val="00EA4651"/>
    <w:rsid w:val="00EA4674"/>
    <w:rsid w:val="00EA46C5"/>
    <w:rsid w:val="00EA473E"/>
    <w:rsid w:val="00EA47B3"/>
    <w:rsid w:val="00EA4850"/>
    <w:rsid w:val="00EA4866"/>
    <w:rsid w:val="00EA4881"/>
    <w:rsid w:val="00EA488A"/>
    <w:rsid w:val="00EA48ED"/>
    <w:rsid w:val="00EA4933"/>
    <w:rsid w:val="00EA4A2F"/>
    <w:rsid w:val="00EA4A6D"/>
    <w:rsid w:val="00EA4A72"/>
    <w:rsid w:val="00EA4B5B"/>
    <w:rsid w:val="00EA4B77"/>
    <w:rsid w:val="00EA4B8C"/>
    <w:rsid w:val="00EA4BB7"/>
    <w:rsid w:val="00EA4BF0"/>
    <w:rsid w:val="00EA4C16"/>
    <w:rsid w:val="00EA4C51"/>
    <w:rsid w:val="00EA4C97"/>
    <w:rsid w:val="00EA4CED"/>
    <w:rsid w:val="00EA4D55"/>
    <w:rsid w:val="00EA4D99"/>
    <w:rsid w:val="00EA4E27"/>
    <w:rsid w:val="00EA4E28"/>
    <w:rsid w:val="00EA4E30"/>
    <w:rsid w:val="00EA4E34"/>
    <w:rsid w:val="00EA4E53"/>
    <w:rsid w:val="00EA4E5D"/>
    <w:rsid w:val="00EA4E8B"/>
    <w:rsid w:val="00EA4EC0"/>
    <w:rsid w:val="00EA4EDD"/>
    <w:rsid w:val="00EA4F04"/>
    <w:rsid w:val="00EA4F1D"/>
    <w:rsid w:val="00EA4F36"/>
    <w:rsid w:val="00EA4F75"/>
    <w:rsid w:val="00EA4FCD"/>
    <w:rsid w:val="00EA5077"/>
    <w:rsid w:val="00EA50D8"/>
    <w:rsid w:val="00EA50E8"/>
    <w:rsid w:val="00EA51A5"/>
    <w:rsid w:val="00EA51B6"/>
    <w:rsid w:val="00EA5209"/>
    <w:rsid w:val="00EA5249"/>
    <w:rsid w:val="00EA524F"/>
    <w:rsid w:val="00EA53CB"/>
    <w:rsid w:val="00EA542B"/>
    <w:rsid w:val="00EA5433"/>
    <w:rsid w:val="00EA5441"/>
    <w:rsid w:val="00EA549B"/>
    <w:rsid w:val="00EA54D2"/>
    <w:rsid w:val="00EA5509"/>
    <w:rsid w:val="00EA5534"/>
    <w:rsid w:val="00EA557D"/>
    <w:rsid w:val="00EA5597"/>
    <w:rsid w:val="00EA560C"/>
    <w:rsid w:val="00EA5619"/>
    <w:rsid w:val="00EA5649"/>
    <w:rsid w:val="00EA567F"/>
    <w:rsid w:val="00EA56DC"/>
    <w:rsid w:val="00EA579F"/>
    <w:rsid w:val="00EA57AF"/>
    <w:rsid w:val="00EA57B4"/>
    <w:rsid w:val="00EA57B9"/>
    <w:rsid w:val="00EA57D9"/>
    <w:rsid w:val="00EA58C2"/>
    <w:rsid w:val="00EA58C6"/>
    <w:rsid w:val="00EA58F6"/>
    <w:rsid w:val="00EA5933"/>
    <w:rsid w:val="00EA5957"/>
    <w:rsid w:val="00EA598B"/>
    <w:rsid w:val="00EA5A45"/>
    <w:rsid w:val="00EA5ACE"/>
    <w:rsid w:val="00EA5AF1"/>
    <w:rsid w:val="00EA5AFB"/>
    <w:rsid w:val="00EA5BCE"/>
    <w:rsid w:val="00EA5BE0"/>
    <w:rsid w:val="00EA5BE4"/>
    <w:rsid w:val="00EA5BF0"/>
    <w:rsid w:val="00EA5C8F"/>
    <w:rsid w:val="00EA5CBF"/>
    <w:rsid w:val="00EA5CE8"/>
    <w:rsid w:val="00EA5CF2"/>
    <w:rsid w:val="00EA5D5C"/>
    <w:rsid w:val="00EA5D6A"/>
    <w:rsid w:val="00EA5E1D"/>
    <w:rsid w:val="00EA5ED1"/>
    <w:rsid w:val="00EA5ED2"/>
    <w:rsid w:val="00EA5F43"/>
    <w:rsid w:val="00EA5F62"/>
    <w:rsid w:val="00EA5FB3"/>
    <w:rsid w:val="00EA5FBB"/>
    <w:rsid w:val="00EA5FDA"/>
    <w:rsid w:val="00EA5FF2"/>
    <w:rsid w:val="00EA604A"/>
    <w:rsid w:val="00EA6050"/>
    <w:rsid w:val="00EA6064"/>
    <w:rsid w:val="00EA607E"/>
    <w:rsid w:val="00EA60F2"/>
    <w:rsid w:val="00EA6152"/>
    <w:rsid w:val="00EA616E"/>
    <w:rsid w:val="00EA61A9"/>
    <w:rsid w:val="00EA61AD"/>
    <w:rsid w:val="00EA61F5"/>
    <w:rsid w:val="00EA62B1"/>
    <w:rsid w:val="00EA630E"/>
    <w:rsid w:val="00EA6359"/>
    <w:rsid w:val="00EA640E"/>
    <w:rsid w:val="00EA6489"/>
    <w:rsid w:val="00EA64B0"/>
    <w:rsid w:val="00EA64F4"/>
    <w:rsid w:val="00EA6570"/>
    <w:rsid w:val="00EA65B3"/>
    <w:rsid w:val="00EA66A8"/>
    <w:rsid w:val="00EA6741"/>
    <w:rsid w:val="00EA6755"/>
    <w:rsid w:val="00EA675B"/>
    <w:rsid w:val="00EA6768"/>
    <w:rsid w:val="00EA6779"/>
    <w:rsid w:val="00EA67EE"/>
    <w:rsid w:val="00EA67F8"/>
    <w:rsid w:val="00EA680C"/>
    <w:rsid w:val="00EA685D"/>
    <w:rsid w:val="00EA68B2"/>
    <w:rsid w:val="00EA68FA"/>
    <w:rsid w:val="00EA6917"/>
    <w:rsid w:val="00EA692E"/>
    <w:rsid w:val="00EA6947"/>
    <w:rsid w:val="00EA6972"/>
    <w:rsid w:val="00EA697D"/>
    <w:rsid w:val="00EA6A06"/>
    <w:rsid w:val="00EA6A18"/>
    <w:rsid w:val="00EA6A2C"/>
    <w:rsid w:val="00EA6A6B"/>
    <w:rsid w:val="00EA6AC8"/>
    <w:rsid w:val="00EA6AFE"/>
    <w:rsid w:val="00EA6B07"/>
    <w:rsid w:val="00EA6B6F"/>
    <w:rsid w:val="00EA6BBB"/>
    <w:rsid w:val="00EA6C55"/>
    <w:rsid w:val="00EA6C88"/>
    <w:rsid w:val="00EA6CE6"/>
    <w:rsid w:val="00EA6D78"/>
    <w:rsid w:val="00EA6DF6"/>
    <w:rsid w:val="00EA6E99"/>
    <w:rsid w:val="00EA6F17"/>
    <w:rsid w:val="00EA6F85"/>
    <w:rsid w:val="00EA6F86"/>
    <w:rsid w:val="00EA6FA4"/>
    <w:rsid w:val="00EA6FAC"/>
    <w:rsid w:val="00EA6FDD"/>
    <w:rsid w:val="00EA6FE2"/>
    <w:rsid w:val="00EA701E"/>
    <w:rsid w:val="00EA7056"/>
    <w:rsid w:val="00EA705D"/>
    <w:rsid w:val="00EA70CA"/>
    <w:rsid w:val="00EA70E1"/>
    <w:rsid w:val="00EA7111"/>
    <w:rsid w:val="00EA7125"/>
    <w:rsid w:val="00EA712F"/>
    <w:rsid w:val="00EA7159"/>
    <w:rsid w:val="00EA718B"/>
    <w:rsid w:val="00EA71AA"/>
    <w:rsid w:val="00EA720C"/>
    <w:rsid w:val="00EA7251"/>
    <w:rsid w:val="00EA7264"/>
    <w:rsid w:val="00EA727E"/>
    <w:rsid w:val="00EA72AE"/>
    <w:rsid w:val="00EA72CD"/>
    <w:rsid w:val="00EA72E6"/>
    <w:rsid w:val="00EA73CE"/>
    <w:rsid w:val="00EA73EB"/>
    <w:rsid w:val="00EA73F5"/>
    <w:rsid w:val="00EA7564"/>
    <w:rsid w:val="00EA757A"/>
    <w:rsid w:val="00EA75C5"/>
    <w:rsid w:val="00EA75C6"/>
    <w:rsid w:val="00EA7604"/>
    <w:rsid w:val="00EA762C"/>
    <w:rsid w:val="00EA763A"/>
    <w:rsid w:val="00EA7681"/>
    <w:rsid w:val="00EA7702"/>
    <w:rsid w:val="00EA776F"/>
    <w:rsid w:val="00EA7787"/>
    <w:rsid w:val="00EA77F6"/>
    <w:rsid w:val="00EA7873"/>
    <w:rsid w:val="00EA78E0"/>
    <w:rsid w:val="00EA78FF"/>
    <w:rsid w:val="00EA7922"/>
    <w:rsid w:val="00EA7935"/>
    <w:rsid w:val="00EA7978"/>
    <w:rsid w:val="00EA7A19"/>
    <w:rsid w:val="00EA7A32"/>
    <w:rsid w:val="00EA7A74"/>
    <w:rsid w:val="00EA7AAB"/>
    <w:rsid w:val="00EA7B7A"/>
    <w:rsid w:val="00EA7BC7"/>
    <w:rsid w:val="00EA7BFB"/>
    <w:rsid w:val="00EA7BFE"/>
    <w:rsid w:val="00EA7C56"/>
    <w:rsid w:val="00EA7C95"/>
    <w:rsid w:val="00EA7C9F"/>
    <w:rsid w:val="00EA7CC0"/>
    <w:rsid w:val="00EA7CEE"/>
    <w:rsid w:val="00EA7D11"/>
    <w:rsid w:val="00EA7D52"/>
    <w:rsid w:val="00EA7D5F"/>
    <w:rsid w:val="00EA7DDD"/>
    <w:rsid w:val="00EA7DF4"/>
    <w:rsid w:val="00EA7E2C"/>
    <w:rsid w:val="00EA7E97"/>
    <w:rsid w:val="00EA7EAC"/>
    <w:rsid w:val="00EA7EEE"/>
    <w:rsid w:val="00EA7F0E"/>
    <w:rsid w:val="00EA7F16"/>
    <w:rsid w:val="00EA7F43"/>
    <w:rsid w:val="00EA7F69"/>
    <w:rsid w:val="00EA7FFA"/>
    <w:rsid w:val="00EB00BA"/>
    <w:rsid w:val="00EB011E"/>
    <w:rsid w:val="00EB0180"/>
    <w:rsid w:val="00EB019E"/>
    <w:rsid w:val="00EB01AE"/>
    <w:rsid w:val="00EB01C2"/>
    <w:rsid w:val="00EB01CD"/>
    <w:rsid w:val="00EB021D"/>
    <w:rsid w:val="00EB0266"/>
    <w:rsid w:val="00EB02B8"/>
    <w:rsid w:val="00EB0436"/>
    <w:rsid w:val="00EB0492"/>
    <w:rsid w:val="00EB050F"/>
    <w:rsid w:val="00EB0513"/>
    <w:rsid w:val="00EB0548"/>
    <w:rsid w:val="00EB0574"/>
    <w:rsid w:val="00EB0589"/>
    <w:rsid w:val="00EB058F"/>
    <w:rsid w:val="00EB05B1"/>
    <w:rsid w:val="00EB06D8"/>
    <w:rsid w:val="00EB06E0"/>
    <w:rsid w:val="00EB072F"/>
    <w:rsid w:val="00EB0768"/>
    <w:rsid w:val="00EB076B"/>
    <w:rsid w:val="00EB0780"/>
    <w:rsid w:val="00EB07EA"/>
    <w:rsid w:val="00EB07EE"/>
    <w:rsid w:val="00EB08B9"/>
    <w:rsid w:val="00EB0925"/>
    <w:rsid w:val="00EB094F"/>
    <w:rsid w:val="00EB09BC"/>
    <w:rsid w:val="00EB09D3"/>
    <w:rsid w:val="00EB0A03"/>
    <w:rsid w:val="00EB0A41"/>
    <w:rsid w:val="00EB0AA8"/>
    <w:rsid w:val="00EB0AB0"/>
    <w:rsid w:val="00EB0AE6"/>
    <w:rsid w:val="00EB0B2D"/>
    <w:rsid w:val="00EB0B9E"/>
    <w:rsid w:val="00EB0C0A"/>
    <w:rsid w:val="00EB0C4F"/>
    <w:rsid w:val="00EB0C50"/>
    <w:rsid w:val="00EB0CAE"/>
    <w:rsid w:val="00EB0D02"/>
    <w:rsid w:val="00EB0D2F"/>
    <w:rsid w:val="00EB0D6F"/>
    <w:rsid w:val="00EB0DA6"/>
    <w:rsid w:val="00EB0E50"/>
    <w:rsid w:val="00EB0F10"/>
    <w:rsid w:val="00EB0F2B"/>
    <w:rsid w:val="00EB0F4A"/>
    <w:rsid w:val="00EB0F75"/>
    <w:rsid w:val="00EB0FA4"/>
    <w:rsid w:val="00EB1006"/>
    <w:rsid w:val="00EB103C"/>
    <w:rsid w:val="00EB10C1"/>
    <w:rsid w:val="00EB10ED"/>
    <w:rsid w:val="00EB10FD"/>
    <w:rsid w:val="00EB10FF"/>
    <w:rsid w:val="00EB115F"/>
    <w:rsid w:val="00EB11CB"/>
    <w:rsid w:val="00EB126A"/>
    <w:rsid w:val="00EB12E0"/>
    <w:rsid w:val="00EB1311"/>
    <w:rsid w:val="00EB1360"/>
    <w:rsid w:val="00EB137A"/>
    <w:rsid w:val="00EB137C"/>
    <w:rsid w:val="00EB1441"/>
    <w:rsid w:val="00EB1445"/>
    <w:rsid w:val="00EB1457"/>
    <w:rsid w:val="00EB1491"/>
    <w:rsid w:val="00EB14B1"/>
    <w:rsid w:val="00EB154D"/>
    <w:rsid w:val="00EB156D"/>
    <w:rsid w:val="00EB158A"/>
    <w:rsid w:val="00EB1591"/>
    <w:rsid w:val="00EB15C4"/>
    <w:rsid w:val="00EB15C8"/>
    <w:rsid w:val="00EB15E4"/>
    <w:rsid w:val="00EB15E8"/>
    <w:rsid w:val="00EB1681"/>
    <w:rsid w:val="00EB16BE"/>
    <w:rsid w:val="00EB16C3"/>
    <w:rsid w:val="00EB1720"/>
    <w:rsid w:val="00EB1727"/>
    <w:rsid w:val="00EB1742"/>
    <w:rsid w:val="00EB1745"/>
    <w:rsid w:val="00EB17EB"/>
    <w:rsid w:val="00EB17F5"/>
    <w:rsid w:val="00EB185F"/>
    <w:rsid w:val="00EB1868"/>
    <w:rsid w:val="00EB18BF"/>
    <w:rsid w:val="00EB1904"/>
    <w:rsid w:val="00EB1922"/>
    <w:rsid w:val="00EB1996"/>
    <w:rsid w:val="00EB19E3"/>
    <w:rsid w:val="00EB1A42"/>
    <w:rsid w:val="00EB1A69"/>
    <w:rsid w:val="00EB1A6D"/>
    <w:rsid w:val="00EB1A70"/>
    <w:rsid w:val="00EB1AD5"/>
    <w:rsid w:val="00EB1AF3"/>
    <w:rsid w:val="00EB1B67"/>
    <w:rsid w:val="00EB1B7B"/>
    <w:rsid w:val="00EB1BA4"/>
    <w:rsid w:val="00EB1BBB"/>
    <w:rsid w:val="00EB1BDF"/>
    <w:rsid w:val="00EB1C19"/>
    <w:rsid w:val="00EB1C50"/>
    <w:rsid w:val="00EB1CA2"/>
    <w:rsid w:val="00EB1D2B"/>
    <w:rsid w:val="00EB1E02"/>
    <w:rsid w:val="00EB1EFA"/>
    <w:rsid w:val="00EB1F06"/>
    <w:rsid w:val="00EB1F2A"/>
    <w:rsid w:val="00EB1F5B"/>
    <w:rsid w:val="00EB1F77"/>
    <w:rsid w:val="00EB1F8E"/>
    <w:rsid w:val="00EB1FA0"/>
    <w:rsid w:val="00EB1FC9"/>
    <w:rsid w:val="00EB1FD3"/>
    <w:rsid w:val="00EB200B"/>
    <w:rsid w:val="00EB200E"/>
    <w:rsid w:val="00EB205A"/>
    <w:rsid w:val="00EB205D"/>
    <w:rsid w:val="00EB2076"/>
    <w:rsid w:val="00EB20D7"/>
    <w:rsid w:val="00EB20F9"/>
    <w:rsid w:val="00EB213D"/>
    <w:rsid w:val="00EB2153"/>
    <w:rsid w:val="00EB21E2"/>
    <w:rsid w:val="00EB228E"/>
    <w:rsid w:val="00EB22CA"/>
    <w:rsid w:val="00EB23D4"/>
    <w:rsid w:val="00EB23DC"/>
    <w:rsid w:val="00EB23F0"/>
    <w:rsid w:val="00EB2405"/>
    <w:rsid w:val="00EB2442"/>
    <w:rsid w:val="00EB2547"/>
    <w:rsid w:val="00EB255B"/>
    <w:rsid w:val="00EB25A9"/>
    <w:rsid w:val="00EB25B2"/>
    <w:rsid w:val="00EB25B7"/>
    <w:rsid w:val="00EB267A"/>
    <w:rsid w:val="00EB269E"/>
    <w:rsid w:val="00EB26A7"/>
    <w:rsid w:val="00EB26E1"/>
    <w:rsid w:val="00EB26F2"/>
    <w:rsid w:val="00EB276E"/>
    <w:rsid w:val="00EB2782"/>
    <w:rsid w:val="00EB2783"/>
    <w:rsid w:val="00EB27C5"/>
    <w:rsid w:val="00EB27ED"/>
    <w:rsid w:val="00EB285C"/>
    <w:rsid w:val="00EB2939"/>
    <w:rsid w:val="00EB29A8"/>
    <w:rsid w:val="00EB29CD"/>
    <w:rsid w:val="00EB29DA"/>
    <w:rsid w:val="00EB2A2B"/>
    <w:rsid w:val="00EB2A32"/>
    <w:rsid w:val="00EB2AD8"/>
    <w:rsid w:val="00EB2B6B"/>
    <w:rsid w:val="00EB2BD4"/>
    <w:rsid w:val="00EB2C3F"/>
    <w:rsid w:val="00EB2C92"/>
    <w:rsid w:val="00EB2CC8"/>
    <w:rsid w:val="00EB2CE0"/>
    <w:rsid w:val="00EB2CE6"/>
    <w:rsid w:val="00EB2CFC"/>
    <w:rsid w:val="00EB2D15"/>
    <w:rsid w:val="00EB2D5C"/>
    <w:rsid w:val="00EB2D8E"/>
    <w:rsid w:val="00EB2DBB"/>
    <w:rsid w:val="00EB2DCD"/>
    <w:rsid w:val="00EB2DF1"/>
    <w:rsid w:val="00EB2E43"/>
    <w:rsid w:val="00EB2E81"/>
    <w:rsid w:val="00EB2EA5"/>
    <w:rsid w:val="00EB2EC3"/>
    <w:rsid w:val="00EB2EEC"/>
    <w:rsid w:val="00EB2EEE"/>
    <w:rsid w:val="00EB2F59"/>
    <w:rsid w:val="00EB2F82"/>
    <w:rsid w:val="00EB2FE8"/>
    <w:rsid w:val="00EB3040"/>
    <w:rsid w:val="00EB30C8"/>
    <w:rsid w:val="00EB3141"/>
    <w:rsid w:val="00EB3179"/>
    <w:rsid w:val="00EB3182"/>
    <w:rsid w:val="00EB31AE"/>
    <w:rsid w:val="00EB31FF"/>
    <w:rsid w:val="00EB3240"/>
    <w:rsid w:val="00EB3260"/>
    <w:rsid w:val="00EB32A5"/>
    <w:rsid w:val="00EB3316"/>
    <w:rsid w:val="00EB3341"/>
    <w:rsid w:val="00EB3377"/>
    <w:rsid w:val="00EB33D1"/>
    <w:rsid w:val="00EB33E0"/>
    <w:rsid w:val="00EB33E8"/>
    <w:rsid w:val="00EB3417"/>
    <w:rsid w:val="00EB343E"/>
    <w:rsid w:val="00EB3465"/>
    <w:rsid w:val="00EB3491"/>
    <w:rsid w:val="00EB350D"/>
    <w:rsid w:val="00EB352A"/>
    <w:rsid w:val="00EB3564"/>
    <w:rsid w:val="00EB36DE"/>
    <w:rsid w:val="00EB36F8"/>
    <w:rsid w:val="00EB372D"/>
    <w:rsid w:val="00EB37B9"/>
    <w:rsid w:val="00EB37C2"/>
    <w:rsid w:val="00EB37F9"/>
    <w:rsid w:val="00EB386B"/>
    <w:rsid w:val="00EB387D"/>
    <w:rsid w:val="00EB389F"/>
    <w:rsid w:val="00EB38A8"/>
    <w:rsid w:val="00EB390D"/>
    <w:rsid w:val="00EB3917"/>
    <w:rsid w:val="00EB3929"/>
    <w:rsid w:val="00EB3948"/>
    <w:rsid w:val="00EB396B"/>
    <w:rsid w:val="00EB396E"/>
    <w:rsid w:val="00EB3978"/>
    <w:rsid w:val="00EB3A02"/>
    <w:rsid w:val="00EB3A03"/>
    <w:rsid w:val="00EB3A22"/>
    <w:rsid w:val="00EB3A51"/>
    <w:rsid w:val="00EB3A74"/>
    <w:rsid w:val="00EB3AC3"/>
    <w:rsid w:val="00EB3AF8"/>
    <w:rsid w:val="00EB3B08"/>
    <w:rsid w:val="00EB3BA7"/>
    <w:rsid w:val="00EB3BB3"/>
    <w:rsid w:val="00EB3C57"/>
    <w:rsid w:val="00EB3C80"/>
    <w:rsid w:val="00EB3CC3"/>
    <w:rsid w:val="00EB3CCB"/>
    <w:rsid w:val="00EB3D08"/>
    <w:rsid w:val="00EB3D14"/>
    <w:rsid w:val="00EB3D2D"/>
    <w:rsid w:val="00EB3D68"/>
    <w:rsid w:val="00EB3D80"/>
    <w:rsid w:val="00EB3DFA"/>
    <w:rsid w:val="00EB3E0C"/>
    <w:rsid w:val="00EB3E62"/>
    <w:rsid w:val="00EB3E8B"/>
    <w:rsid w:val="00EB3F10"/>
    <w:rsid w:val="00EB3F65"/>
    <w:rsid w:val="00EB3F72"/>
    <w:rsid w:val="00EB3F7F"/>
    <w:rsid w:val="00EB3FC0"/>
    <w:rsid w:val="00EB4071"/>
    <w:rsid w:val="00EB412C"/>
    <w:rsid w:val="00EB4196"/>
    <w:rsid w:val="00EB41DE"/>
    <w:rsid w:val="00EB4218"/>
    <w:rsid w:val="00EB4269"/>
    <w:rsid w:val="00EB4291"/>
    <w:rsid w:val="00EB429E"/>
    <w:rsid w:val="00EB42A3"/>
    <w:rsid w:val="00EB4360"/>
    <w:rsid w:val="00EB437F"/>
    <w:rsid w:val="00EB446B"/>
    <w:rsid w:val="00EB44D1"/>
    <w:rsid w:val="00EB44E4"/>
    <w:rsid w:val="00EB4566"/>
    <w:rsid w:val="00EB4582"/>
    <w:rsid w:val="00EB4609"/>
    <w:rsid w:val="00EB461D"/>
    <w:rsid w:val="00EB4630"/>
    <w:rsid w:val="00EB466A"/>
    <w:rsid w:val="00EB4699"/>
    <w:rsid w:val="00EB46FE"/>
    <w:rsid w:val="00EB4728"/>
    <w:rsid w:val="00EB478D"/>
    <w:rsid w:val="00EB480A"/>
    <w:rsid w:val="00EB4828"/>
    <w:rsid w:val="00EB48EF"/>
    <w:rsid w:val="00EB498E"/>
    <w:rsid w:val="00EB49C8"/>
    <w:rsid w:val="00EB49D5"/>
    <w:rsid w:val="00EB4A0B"/>
    <w:rsid w:val="00EB4A22"/>
    <w:rsid w:val="00EB4A31"/>
    <w:rsid w:val="00EB4A32"/>
    <w:rsid w:val="00EB4AAB"/>
    <w:rsid w:val="00EB4AB6"/>
    <w:rsid w:val="00EB4B10"/>
    <w:rsid w:val="00EB4B3A"/>
    <w:rsid w:val="00EB4B5C"/>
    <w:rsid w:val="00EB4B74"/>
    <w:rsid w:val="00EB4C07"/>
    <w:rsid w:val="00EB4C0D"/>
    <w:rsid w:val="00EB4C2D"/>
    <w:rsid w:val="00EB4DDB"/>
    <w:rsid w:val="00EB4E46"/>
    <w:rsid w:val="00EB4E9C"/>
    <w:rsid w:val="00EB4ECF"/>
    <w:rsid w:val="00EB4ED1"/>
    <w:rsid w:val="00EB4F0A"/>
    <w:rsid w:val="00EB4F47"/>
    <w:rsid w:val="00EB4F63"/>
    <w:rsid w:val="00EB4F90"/>
    <w:rsid w:val="00EB5010"/>
    <w:rsid w:val="00EB5048"/>
    <w:rsid w:val="00EB506D"/>
    <w:rsid w:val="00EB50BF"/>
    <w:rsid w:val="00EB50C3"/>
    <w:rsid w:val="00EB50D9"/>
    <w:rsid w:val="00EB50FC"/>
    <w:rsid w:val="00EB5160"/>
    <w:rsid w:val="00EB523D"/>
    <w:rsid w:val="00EB5267"/>
    <w:rsid w:val="00EB52A0"/>
    <w:rsid w:val="00EB52F5"/>
    <w:rsid w:val="00EB5300"/>
    <w:rsid w:val="00EB5315"/>
    <w:rsid w:val="00EB5328"/>
    <w:rsid w:val="00EB5345"/>
    <w:rsid w:val="00EB537A"/>
    <w:rsid w:val="00EB53F2"/>
    <w:rsid w:val="00EB53FC"/>
    <w:rsid w:val="00EB541B"/>
    <w:rsid w:val="00EB5421"/>
    <w:rsid w:val="00EB5492"/>
    <w:rsid w:val="00EB5531"/>
    <w:rsid w:val="00EB55BA"/>
    <w:rsid w:val="00EB55CD"/>
    <w:rsid w:val="00EB56E4"/>
    <w:rsid w:val="00EB5700"/>
    <w:rsid w:val="00EB5740"/>
    <w:rsid w:val="00EB574B"/>
    <w:rsid w:val="00EB5750"/>
    <w:rsid w:val="00EB576C"/>
    <w:rsid w:val="00EB578B"/>
    <w:rsid w:val="00EB57A0"/>
    <w:rsid w:val="00EB5882"/>
    <w:rsid w:val="00EB5897"/>
    <w:rsid w:val="00EB5923"/>
    <w:rsid w:val="00EB59AC"/>
    <w:rsid w:val="00EB5A63"/>
    <w:rsid w:val="00EB5A95"/>
    <w:rsid w:val="00EB5AC5"/>
    <w:rsid w:val="00EB5B4D"/>
    <w:rsid w:val="00EB5B62"/>
    <w:rsid w:val="00EB5B7B"/>
    <w:rsid w:val="00EB5B7D"/>
    <w:rsid w:val="00EB5D1A"/>
    <w:rsid w:val="00EB5D27"/>
    <w:rsid w:val="00EB5D33"/>
    <w:rsid w:val="00EB5D53"/>
    <w:rsid w:val="00EB5DE0"/>
    <w:rsid w:val="00EB5DEE"/>
    <w:rsid w:val="00EB5E5D"/>
    <w:rsid w:val="00EB5E7D"/>
    <w:rsid w:val="00EB5ECB"/>
    <w:rsid w:val="00EB5EF6"/>
    <w:rsid w:val="00EB5F68"/>
    <w:rsid w:val="00EB6013"/>
    <w:rsid w:val="00EB601E"/>
    <w:rsid w:val="00EB6041"/>
    <w:rsid w:val="00EB605E"/>
    <w:rsid w:val="00EB6094"/>
    <w:rsid w:val="00EB60F5"/>
    <w:rsid w:val="00EB60F8"/>
    <w:rsid w:val="00EB60FF"/>
    <w:rsid w:val="00EB611E"/>
    <w:rsid w:val="00EB6163"/>
    <w:rsid w:val="00EB6198"/>
    <w:rsid w:val="00EB61ED"/>
    <w:rsid w:val="00EB620D"/>
    <w:rsid w:val="00EB6247"/>
    <w:rsid w:val="00EB6262"/>
    <w:rsid w:val="00EB628E"/>
    <w:rsid w:val="00EB62A2"/>
    <w:rsid w:val="00EB6305"/>
    <w:rsid w:val="00EB6310"/>
    <w:rsid w:val="00EB6374"/>
    <w:rsid w:val="00EB637C"/>
    <w:rsid w:val="00EB639A"/>
    <w:rsid w:val="00EB641F"/>
    <w:rsid w:val="00EB642F"/>
    <w:rsid w:val="00EB646E"/>
    <w:rsid w:val="00EB6494"/>
    <w:rsid w:val="00EB64C5"/>
    <w:rsid w:val="00EB64F2"/>
    <w:rsid w:val="00EB64F7"/>
    <w:rsid w:val="00EB6502"/>
    <w:rsid w:val="00EB6503"/>
    <w:rsid w:val="00EB6504"/>
    <w:rsid w:val="00EB6586"/>
    <w:rsid w:val="00EB65A3"/>
    <w:rsid w:val="00EB662B"/>
    <w:rsid w:val="00EB6695"/>
    <w:rsid w:val="00EB673D"/>
    <w:rsid w:val="00EB6825"/>
    <w:rsid w:val="00EB6828"/>
    <w:rsid w:val="00EB684F"/>
    <w:rsid w:val="00EB68F1"/>
    <w:rsid w:val="00EB693F"/>
    <w:rsid w:val="00EB69E3"/>
    <w:rsid w:val="00EB6A85"/>
    <w:rsid w:val="00EB6B17"/>
    <w:rsid w:val="00EB6B28"/>
    <w:rsid w:val="00EB6B6E"/>
    <w:rsid w:val="00EB6BE1"/>
    <w:rsid w:val="00EB6BE3"/>
    <w:rsid w:val="00EB6BEE"/>
    <w:rsid w:val="00EB6C19"/>
    <w:rsid w:val="00EB6C7A"/>
    <w:rsid w:val="00EB6C98"/>
    <w:rsid w:val="00EB6C9D"/>
    <w:rsid w:val="00EB6CA6"/>
    <w:rsid w:val="00EB6CAE"/>
    <w:rsid w:val="00EB6D2E"/>
    <w:rsid w:val="00EB6D8C"/>
    <w:rsid w:val="00EB6D9D"/>
    <w:rsid w:val="00EB6DC9"/>
    <w:rsid w:val="00EB6E4C"/>
    <w:rsid w:val="00EB6E60"/>
    <w:rsid w:val="00EB6EB8"/>
    <w:rsid w:val="00EB6EC6"/>
    <w:rsid w:val="00EB6F4C"/>
    <w:rsid w:val="00EB6FAB"/>
    <w:rsid w:val="00EB6FEF"/>
    <w:rsid w:val="00EB7023"/>
    <w:rsid w:val="00EB70A1"/>
    <w:rsid w:val="00EB70F3"/>
    <w:rsid w:val="00EB71B1"/>
    <w:rsid w:val="00EB71E6"/>
    <w:rsid w:val="00EB721E"/>
    <w:rsid w:val="00EB7248"/>
    <w:rsid w:val="00EB72F3"/>
    <w:rsid w:val="00EB72FC"/>
    <w:rsid w:val="00EB7309"/>
    <w:rsid w:val="00EB7391"/>
    <w:rsid w:val="00EB739F"/>
    <w:rsid w:val="00EB73AB"/>
    <w:rsid w:val="00EB73EA"/>
    <w:rsid w:val="00EB7400"/>
    <w:rsid w:val="00EB7411"/>
    <w:rsid w:val="00EB742E"/>
    <w:rsid w:val="00EB7450"/>
    <w:rsid w:val="00EB746A"/>
    <w:rsid w:val="00EB74B1"/>
    <w:rsid w:val="00EB74CC"/>
    <w:rsid w:val="00EB74CF"/>
    <w:rsid w:val="00EB7566"/>
    <w:rsid w:val="00EB757B"/>
    <w:rsid w:val="00EB7580"/>
    <w:rsid w:val="00EB75C0"/>
    <w:rsid w:val="00EB769D"/>
    <w:rsid w:val="00EB76AC"/>
    <w:rsid w:val="00EB76D7"/>
    <w:rsid w:val="00EB7775"/>
    <w:rsid w:val="00EB7798"/>
    <w:rsid w:val="00EB77FA"/>
    <w:rsid w:val="00EB7852"/>
    <w:rsid w:val="00EB7858"/>
    <w:rsid w:val="00EB7859"/>
    <w:rsid w:val="00EB7891"/>
    <w:rsid w:val="00EB78F0"/>
    <w:rsid w:val="00EB795D"/>
    <w:rsid w:val="00EB79A7"/>
    <w:rsid w:val="00EB79D0"/>
    <w:rsid w:val="00EB7A43"/>
    <w:rsid w:val="00EB7A52"/>
    <w:rsid w:val="00EB7A58"/>
    <w:rsid w:val="00EB7AAC"/>
    <w:rsid w:val="00EB7B0A"/>
    <w:rsid w:val="00EB7B55"/>
    <w:rsid w:val="00EB7B65"/>
    <w:rsid w:val="00EB7B70"/>
    <w:rsid w:val="00EB7C4E"/>
    <w:rsid w:val="00EB7C79"/>
    <w:rsid w:val="00EB7CC8"/>
    <w:rsid w:val="00EB7CEA"/>
    <w:rsid w:val="00EB7CF8"/>
    <w:rsid w:val="00EB7D3E"/>
    <w:rsid w:val="00EB7D57"/>
    <w:rsid w:val="00EB7D97"/>
    <w:rsid w:val="00EB7DDF"/>
    <w:rsid w:val="00EB7DF4"/>
    <w:rsid w:val="00EB7DFE"/>
    <w:rsid w:val="00EB7E0B"/>
    <w:rsid w:val="00EB7E98"/>
    <w:rsid w:val="00EB7EDD"/>
    <w:rsid w:val="00EB7EDF"/>
    <w:rsid w:val="00EB7F5D"/>
    <w:rsid w:val="00EB7FCF"/>
    <w:rsid w:val="00EC0020"/>
    <w:rsid w:val="00EC0054"/>
    <w:rsid w:val="00EC0056"/>
    <w:rsid w:val="00EC00B5"/>
    <w:rsid w:val="00EC011C"/>
    <w:rsid w:val="00EC014B"/>
    <w:rsid w:val="00EC0169"/>
    <w:rsid w:val="00EC016C"/>
    <w:rsid w:val="00EC01C9"/>
    <w:rsid w:val="00EC0233"/>
    <w:rsid w:val="00EC0253"/>
    <w:rsid w:val="00EC026B"/>
    <w:rsid w:val="00EC0279"/>
    <w:rsid w:val="00EC02BA"/>
    <w:rsid w:val="00EC02C8"/>
    <w:rsid w:val="00EC02F5"/>
    <w:rsid w:val="00EC0305"/>
    <w:rsid w:val="00EC0339"/>
    <w:rsid w:val="00EC0379"/>
    <w:rsid w:val="00EC038D"/>
    <w:rsid w:val="00EC039D"/>
    <w:rsid w:val="00EC03AB"/>
    <w:rsid w:val="00EC03D0"/>
    <w:rsid w:val="00EC0445"/>
    <w:rsid w:val="00EC0551"/>
    <w:rsid w:val="00EC058C"/>
    <w:rsid w:val="00EC0591"/>
    <w:rsid w:val="00EC059E"/>
    <w:rsid w:val="00EC0614"/>
    <w:rsid w:val="00EC062F"/>
    <w:rsid w:val="00EC064C"/>
    <w:rsid w:val="00EC06A1"/>
    <w:rsid w:val="00EC0714"/>
    <w:rsid w:val="00EC0721"/>
    <w:rsid w:val="00EC07C1"/>
    <w:rsid w:val="00EC07EF"/>
    <w:rsid w:val="00EC07F4"/>
    <w:rsid w:val="00EC0850"/>
    <w:rsid w:val="00EC087B"/>
    <w:rsid w:val="00EC08AA"/>
    <w:rsid w:val="00EC08DD"/>
    <w:rsid w:val="00EC0963"/>
    <w:rsid w:val="00EC0977"/>
    <w:rsid w:val="00EC097A"/>
    <w:rsid w:val="00EC0A8C"/>
    <w:rsid w:val="00EC0AA3"/>
    <w:rsid w:val="00EC0AE1"/>
    <w:rsid w:val="00EC0AE4"/>
    <w:rsid w:val="00EC0B1F"/>
    <w:rsid w:val="00EC0B41"/>
    <w:rsid w:val="00EC0B86"/>
    <w:rsid w:val="00EC0B8B"/>
    <w:rsid w:val="00EC0BBA"/>
    <w:rsid w:val="00EC0BCC"/>
    <w:rsid w:val="00EC0C73"/>
    <w:rsid w:val="00EC0C92"/>
    <w:rsid w:val="00EC0D01"/>
    <w:rsid w:val="00EC0D21"/>
    <w:rsid w:val="00EC0D6E"/>
    <w:rsid w:val="00EC0D87"/>
    <w:rsid w:val="00EC0DDC"/>
    <w:rsid w:val="00EC0E2D"/>
    <w:rsid w:val="00EC0E36"/>
    <w:rsid w:val="00EC0E61"/>
    <w:rsid w:val="00EC0E99"/>
    <w:rsid w:val="00EC0EBF"/>
    <w:rsid w:val="00EC0ED1"/>
    <w:rsid w:val="00EC0F39"/>
    <w:rsid w:val="00EC0F3B"/>
    <w:rsid w:val="00EC0F46"/>
    <w:rsid w:val="00EC0FCC"/>
    <w:rsid w:val="00EC0FE2"/>
    <w:rsid w:val="00EC1041"/>
    <w:rsid w:val="00EC1050"/>
    <w:rsid w:val="00EC1065"/>
    <w:rsid w:val="00EC10B2"/>
    <w:rsid w:val="00EC10BD"/>
    <w:rsid w:val="00EC10EC"/>
    <w:rsid w:val="00EC1125"/>
    <w:rsid w:val="00EC11BF"/>
    <w:rsid w:val="00EC11C2"/>
    <w:rsid w:val="00EC11C5"/>
    <w:rsid w:val="00EC1293"/>
    <w:rsid w:val="00EC12D2"/>
    <w:rsid w:val="00EC1329"/>
    <w:rsid w:val="00EC13E8"/>
    <w:rsid w:val="00EC1425"/>
    <w:rsid w:val="00EC1455"/>
    <w:rsid w:val="00EC1481"/>
    <w:rsid w:val="00EC14DA"/>
    <w:rsid w:val="00EC14E4"/>
    <w:rsid w:val="00EC1558"/>
    <w:rsid w:val="00EC1587"/>
    <w:rsid w:val="00EC159B"/>
    <w:rsid w:val="00EC15BB"/>
    <w:rsid w:val="00EC15FF"/>
    <w:rsid w:val="00EC1626"/>
    <w:rsid w:val="00EC1690"/>
    <w:rsid w:val="00EC16BE"/>
    <w:rsid w:val="00EC1737"/>
    <w:rsid w:val="00EC17BF"/>
    <w:rsid w:val="00EC182B"/>
    <w:rsid w:val="00EC1845"/>
    <w:rsid w:val="00EC184B"/>
    <w:rsid w:val="00EC187B"/>
    <w:rsid w:val="00EC1966"/>
    <w:rsid w:val="00EC1970"/>
    <w:rsid w:val="00EC1999"/>
    <w:rsid w:val="00EC19A4"/>
    <w:rsid w:val="00EC19BA"/>
    <w:rsid w:val="00EC19E9"/>
    <w:rsid w:val="00EC1A1F"/>
    <w:rsid w:val="00EC1A4B"/>
    <w:rsid w:val="00EC1A71"/>
    <w:rsid w:val="00EC1A9A"/>
    <w:rsid w:val="00EC1AC4"/>
    <w:rsid w:val="00EC1B51"/>
    <w:rsid w:val="00EC1B9D"/>
    <w:rsid w:val="00EC1BEF"/>
    <w:rsid w:val="00EC1BF7"/>
    <w:rsid w:val="00EC1C3E"/>
    <w:rsid w:val="00EC1C4C"/>
    <w:rsid w:val="00EC1C7B"/>
    <w:rsid w:val="00EC1CC3"/>
    <w:rsid w:val="00EC1D1A"/>
    <w:rsid w:val="00EC1D1D"/>
    <w:rsid w:val="00EC1D49"/>
    <w:rsid w:val="00EC1D62"/>
    <w:rsid w:val="00EC1D7A"/>
    <w:rsid w:val="00EC1DDD"/>
    <w:rsid w:val="00EC1E2C"/>
    <w:rsid w:val="00EC1E75"/>
    <w:rsid w:val="00EC1E82"/>
    <w:rsid w:val="00EC1E83"/>
    <w:rsid w:val="00EC1E8E"/>
    <w:rsid w:val="00EC1EF6"/>
    <w:rsid w:val="00EC1F1E"/>
    <w:rsid w:val="00EC1F55"/>
    <w:rsid w:val="00EC1F7C"/>
    <w:rsid w:val="00EC202A"/>
    <w:rsid w:val="00EC2066"/>
    <w:rsid w:val="00EC210E"/>
    <w:rsid w:val="00EC212B"/>
    <w:rsid w:val="00EC2162"/>
    <w:rsid w:val="00EC21A9"/>
    <w:rsid w:val="00EC21CF"/>
    <w:rsid w:val="00EC21E6"/>
    <w:rsid w:val="00EC229F"/>
    <w:rsid w:val="00EC22C8"/>
    <w:rsid w:val="00EC2328"/>
    <w:rsid w:val="00EC2359"/>
    <w:rsid w:val="00EC237D"/>
    <w:rsid w:val="00EC240B"/>
    <w:rsid w:val="00EC24A9"/>
    <w:rsid w:val="00EC25D5"/>
    <w:rsid w:val="00EC25F8"/>
    <w:rsid w:val="00EC2632"/>
    <w:rsid w:val="00EC264F"/>
    <w:rsid w:val="00EC26C3"/>
    <w:rsid w:val="00EC2760"/>
    <w:rsid w:val="00EC280C"/>
    <w:rsid w:val="00EC2911"/>
    <w:rsid w:val="00EC2926"/>
    <w:rsid w:val="00EC294E"/>
    <w:rsid w:val="00EC2960"/>
    <w:rsid w:val="00EC29B4"/>
    <w:rsid w:val="00EC29B7"/>
    <w:rsid w:val="00EC29CD"/>
    <w:rsid w:val="00EC29DD"/>
    <w:rsid w:val="00EC2A15"/>
    <w:rsid w:val="00EC2A1D"/>
    <w:rsid w:val="00EC2A29"/>
    <w:rsid w:val="00EC2A94"/>
    <w:rsid w:val="00EC2AD5"/>
    <w:rsid w:val="00EC2B14"/>
    <w:rsid w:val="00EC2B6D"/>
    <w:rsid w:val="00EC2B86"/>
    <w:rsid w:val="00EC2B8F"/>
    <w:rsid w:val="00EC2BAB"/>
    <w:rsid w:val="00EC2BED"/>
    <w:rsid w:val="00EC2C2B"/>
    <w:rsid w:val="00EC2C6D"/>
    <w:rsid w:val="00EC2CE5"/>
    <w:rsid w:val="00EC2D27"/>
    <w:rsid w:val="00EC2D3C"/>
    <w:rsid w:val="00EC2D4A"/>
    <w:rsid w:val="00EC2D5B"/>
    <w:rsid w:val="00EC2DE0"/>
    <w:rsid w:val="00EC2E06"/>
    <w:rsid w:val="00EC2E3F"/>
    <w:rsid w:val="00EC2E9E"/>
    <w:rsid w:val="00EC2EB7"/>
    <w:rsid w:val="00EC2ECD"/>
    <w:rsid w:val="00EC2ED2"/>
    <w:rsid w:val="00EC2F27"/>
    <w:rsid w:val="00EC2F69"/>
    <w:rsid w:val="00EC2F80"/>
    <w:rsid w:val="00EC300D"/>
    <w:rsid w:val="00EC3055"/>
    <w:rsid w:val="00EC30C7"/>
    <w:rsid w:val="00EC30CD"/>
    <w:rsid w:val="00EC30D2"/>
    <w:rsid w:val="00EC30DB"/>
    <w:rsid w:val="00EC3179"/>
    <w:rsid w:val="00EC3182"/>
    <w:rsid w:val="00EC3184"/>
    <w:rsid w:val="00EC3200"/>
    <w:rsid w:val="00EC32FE"/>
    <w:rsid w:val="00EC3303"/>
    <w:rsid w:val="00EC33C4"/>
    <w:rsid w:val="00EC33CB"/>
    <w:rsid w:val="00EC33D8"/>
    <w:rsid w:val="00EC33EC"/>
    <w:rsid w:val="00EC340A"/>
    <w:rsid w:val="00EC3417"/>
    <w:rsid w:val="00EC3433"/>
    <w:rsid w:val="00EC34AF"/>
    <w:rsid w:val="00EC34CD"/>
    <w:rsid w:val="00EC3572"/>
    <w:rsid w:val="00EC3593"/>
    <w:rsid w:val="00EC35D1"/>
    <w:rsid w:val="00EC3639"/>
    <w:rsid w:val="00EC368D"/>
    <w:rsid w:val="00EC36FC"/>
    <w:rsid w:val="00EC372B"/>
    <w:rsid w:val="00EC37BF"/>
    <w:rsid w:val="00EC37D8"/>
    <w:rsid w:val="00EC37DF"/>
    <w:rsid w:val="00EC37E6"/>
    <w:rsid w:val="00EC37FC"/>
    <w:rsid w:val="00EC381A"/>
    <w:rsid w:val="00EC381F"/>
    <w:rsid w:val="00EC38B7"/>
    <w:rsid w:val="00EC38E9"/>
    <w:rsid w:val="00EC38F0"/>
    <w:rsid w:val="00EC3978"/>
    <w:rsid w:val="00EC3980"/>
    <w:rsid w:val="00EC3A3D"/>
    <w:rsid w:val="00EC3A48"/>
    <w:rsid w:val="00EC3A8C"/>
    <w:rsid w:val="00EC3AB9"/>
    <w:rsid w:val="00EC3AE2"/>
    <w:rsid w:val="00EC3AFA"/>
    <w:rsid w:val="00EC3B25"/>
    <w:rsid w:val="00EC3B47"/>
    <w:rsid w:val="00EC3B90"/>
    <w:rsid w:val="00EC3B93"/>
    <w:rsid w:val="00EC3BA0"/>
    <w:rsid w:val="00EC3BC5"/>
    <w:rsid w:val="00EC3BCE"/>
    <w:rsid w:val="00EC3BE7"/>
    <w:rsid w:val="00EC3BF5"/>
    <w:rsid w:val="00EC3D39"/>
    <w:rsid w:val="00EC3D48"/>
    <w:rsid w:val="00EC3D59"/>
    <w:rsid w:val="00EC3D5B"/>
    <w:rsid w:val="00EC3DA0"/>
    <w:rsid w:val="00EC3DE5"/>
    <w:rsid w:val="00EC3DE9"/>
    <w:rsid w:val="00EC3E1D"/>
    <w:rsid w:val="00EC3E70"/>
    <w:rsid w:val="00EC3ECE"/>
    <w:rsid w:val="00EC3F2E"/>
    <w:rsid w:val="00EC3F7F"/>
    <w:rsid w:val="00EC3F91"/>
    <w:rsid w:val="00EC3FAE"/>
    <w:rsid w:val="00EC3FBD"/>
    <w:rsid w:val="00EC3FC0"/>
    <w:rsid w:val="00EC403E"/>
    <w:rsid w:val="00EC405A"/>
    <w:rsid w:val="00EC410D"/>
    <w:rsid w:val="00EC4193"/>
    <w:rsid w:val="00EC41BA"/>
    <w:rsid w:val="00EC4234"/>
    <w:rsid w:val="00EC4246"/>
    <w:rsid w:val="00EC4392"/>
    <w:rsid w:val="00EC43B4"/>
    <w:rsid w:val="00EC4442"/>
    <w:rsid w:val="00EC448B"/>
    <w:rsid w:val="00EC44AD"/>
    <w:rsid w:val="00EC44C0"/>
    <w:rsid w:val="00EC44CB"/>
    <w:rsid w:val="00EC44DA"/>
    <w:rsid w:val="00EC450E"/>
    <w:rsid w:val="00EC451E"/>
    <w:rsid w:val="00EC4530"/>
    <w:rsid w:val="00EC4571"/>
    <w:rsid w:val="00EC4574"/>
    <w:rsid w:val="00EC4597"/>
    <w:rsid w:val="00EC45A7"/>
    <w:rsid w:val="00EC45AA"/>
    <w:rsid w:val="00EC45D7"/>
    <w:rsid w:val="00EC4603"/>
    <w:rsid w:val="00EC4608"/>
    <w:rsid w:val="00EC461F"/>
    <w:rsid w:val="00EC4697"/>
    <w:rsid w:val="00EC46AA"/>
    <w:rsid w:val="00EC4750"/>
    <w:rsid w:val="00EC47E9"/>
    <w:rsid w:val="00EC47EA"/>
    <w:rsid w:val="00EC47FA"/>
    <w:rsid w:val="00EC4872"/>
    <w:rsid w:val="00EC488F"/>
    <w:rsid w:val="00EC48FC"/>
    <w:rsid w:val="00EC4937"/>
    <w:rsid w:val="00EC4951"/>
    <w:rsid w:val="00EC496F"/>
    <w:rsid w:val="00EC497A"/>
    <w:rsid w:val="00EC4984"/>
    <w:rsid w:val="00EC4A39"/>
    <w:rsid w:val="00EC4A51"/>
    <w:rsid w:val="00EC4A6B"/>
    <w:rsid w:val="00EC4A84"/>
    <w:rsid w:val="00EC4A88"/>
    <w:rsid w:val="00EC4ABE"/>
    <w:rsid w:val="00EC4AC1"/>
    <w:rsid w:val="00EC4B17"/>
    <w:rsid w:val="00EC4B22"/>
    <w:rsid w:val="00EC4B56"/>
    <w:rsid w:val="00EC4C21"/>
    <w:rsid w:val="00EC4C22"/>
    <w:rsid w:val="00EC4C3A"/>
    <w:rsid w:val="00EC4C64"/>
    <w:rsid w:val="00EC4C98"/>
    <w:rsid w:val="00EC4CA7"/>
    <w:rsid w:val="00EC4D53"/>
    <w:rsid w:val="00EC4D6B"/>
    <w:rsid w:val="00EC4D74"/>
    <w:rsid w:val="00EC4E3A"/>
    <w:rsid w:val="00EC4F2B"/>
    <w:rsid w:val="00EC4F2D"/>
    <w:rsid w:val="00EC4F3D"/>
    <w:rsid w:val="00EC4F44"/>
    <w:rsid w:val="00EC4F95"/>
    <w:rsid w:val="00EC5016"/>
    <w:rsid w:val="00EC5046"/>
    <w:rsid w:val="00EC5047"/>
    <w:rsid w:val="00EC50C4"/>
    <w:rsid w:val="00EC50E3"/>
    <w:rsid w:val="00EC5102"/>
    <w:rsid w:val="00EC5112"/>
    <w:rsid w:val="00EC515F"/>
    <w:rsid w:val="00EC5172"/>
    <w:rsid w:val="00EC5194"/>
    <w:rsid w:val="00EC51F0"/>
    <w:rsid w:val="00EC522E"/>
    <w:rsid w:val="00EC5253"/>
    <w:rsid w:val="00EC5262"/>
    <w:rsid w:val="00EC52B1"/>
    <w:rsid w:val="00EC5307"/>
    <w:rsid w:val="00EC5323"/>
    <w:rsid w:val="00EC532B"/>
    <w:rsid w:val="00EC5345"/>
    <w:rsid w:val="00EC5373"/>
    <w:rsid w:val="00EC5387"/>
    <w:rsid w:val="00EC5402"/>
    <w:rsid w:val="00EC5466"/>
    <w:rsid w:val="00EC5484"/>
    <w:rsid w:val="00EC54B5"/>
    <w:rsid w:val="00EC54D0"/>
    <w:rsid w:val="00EC551E"/>
    <w:rsid w:val="00EC5520"/>
    <w:rsid w:val="00EC552A"/>
    <w:rsid w:val="00EC5536"/>
    <w:rsid w:val="00EC5586"/>
    <w:rsid w:val="00EC55D7"/>
    <w:rsid w:val="00EC55E3"/>
    <w:rsid w:val="00EC5603"/>
    <w:rsid w:val="00EC560E"/>
    <w:rsid w:val="00EC5645"/>
    <w:rsid w:val="00EC566A"/>
    <w:rsid w:val="00EC566D"/>
    <w:rsid w:val="00EC566F"/>
    <w:rsid w:val="00EC56C3"/>
    <w:rsid w:val="00EC56F7"/>
    <w:rsid w:val="00EC572A"/>
    <w:rsid w:val="00EC572E"/>
    <w:rsid w:val="00EC5754"/>
    <w:rsid w:val="00EC57C7"/>
    <w:rsid w:val="00EC5897"/>
    <w:rsid w:val="00EC58F6"/>
    <w:rsid w:val="00EC590F"/>
    <w:rsid w:val="00EC592B"/>
    <w:rsid w:val="00EC5985"/>
    <w:rsid w:val="00EC59A8"/>
    <w:rsid w:val="00EC59AC"/>
    <w:rsid w:val="00EC59C7"/>
    <w:rsid w:val="00EC5A0E"/>
    <w:rsid w:val="00EC5AE8"/>
    <w:rsid w:val="00EC5AED"/>
    <w:rsid w:val="00EC5B18"/>
    <w:rsid w:val="00EC5B21"/>
    <w:rsid w:val="00EC5B49"/>
    <w:rsid w:val="00EC5B4D"/>
    <w:rsid w:val="00EC5B7E"/>
    <w:rsid w:val="00EC5BE9"/>
    <w:rsid w:val="00EC5BF5"/>
    <w:rsid w:val="00EC5C19"/>
    <w:rsid w:val="00EC5C1B"/>
    <w:rsid w:val="00EC5C2E"/>
    <w:rsid w:val="00EC5CAD"/>
    <w:rsid w:val="00EC5CB8"/>
    <w:rsid w:val="00EC5CDA"/>
    <w:rsid w:val="00EC5D29"/>
    <w:rsid w:val="00EC5D66"/>
    <w:rsid w:val="00EC5DC4"/>
    <w:rsid w:val="00EC5DF5"/>
    <w:rsid w:val="00EC5E27"/>
    <w:rsid w:val="00EC5E38"/>
    <w:rsid w:val="00EC5E54"/>
    <w:rsid w:val="00EC5F0E"/>
    <w:rsid w:val="00EC5F9C"/>
    <w:rsid w:val="00EC6005"/>
    <w:rsid w:val="00EC603F"/>
    <w:rsid w:val="00EC6086"/>
    <w:rsid w:val="00EC6110"/>
    <w:rsid w:val="00EC6133"/>
    <w:rsid w:val="00EC6136"/>
    <w:rsid w:val="00EC6219"/>
    <w:rsid w:val="00EC6242"/>
    <w:rsid w:val="00EC6275"/>
    <w:rsid w:val="00EC6281"/>
    <w:rsid w:val="00EC62AA"/>
    <w:rsid w:val="00EC62AE"/>
    <w:rsid w:val="00EC62DE"/>
    <w:rsid w:val="00EC635D"/>
    <w:rsid w:val="00EC64A2"/>
    <w:rsid w:val="00EC650B"/>
    <w:rsid w:val="00EC6519"/>
    <w:rsid w:val="00EC6548"/>
    <w:rsid w:val="00EC6591"/>
    <w:rsid w:val="00EC65A3"/>
    <w:rsid w:val="00EC65CE"/>
    <w:rsid w:val="00EC65E9"/>
    <w:rsid w:val="00EC660E"/>
    <w:rsid w:val="00EC6626"/>
    <w:rsid w:val="00EC66B7"/>
    <w:rsid w:val="00EC6743"/>
    <w:rsid w:val="00EC6769"/>
    <w:rsid w:val="00EC681E"/>
    <w:rsid w:val="00EC6879"/>
    <w:rsid w:val="00EC6881"/>
    <w:rsid w:val="00EC68A0"/>
    <w:rsid w:val="00EC6908"/>
    <w:rsid w:val="00EC6920"/>
    <w:rsid w:val="00EC696F"/>
    <w:rsid w:val="00EC6976"/>
    <w:rsid w:val="00EC6A36"/>
    <w:rsid w:val="00EC6AD8"/>
    <w:rsid w:val="00EC6ADB"/>
    <w:rsid w:val="00EC6B0D"/>
    <w:rsid w:val="00EC6B7D"/>
    <w:rsid w:val="00EC6BBB"/>
    <w:rsid w:val="00EC6C16"/>
    <w:rsid w:val="00EC6CDF"/>
    <w:rsid w:val="00EC6D8F"/>
    <w:rsid w:val="00EC6D97"/>
    <w:rsid w:val="00EC6DA2"/>
    <w:rsid w:val="00EC6E74"/>
    <w:rsid w:val="00EC6E81"/>
    <w:rsid w:val="00EC6EA8"/>
    <w:rsid w:val="00EC6F00"/>
    <w:rsid w:val="00EC6F6A"/>
    <w:rsid w:val="00EC6F78"/>
    <w:rsid w:val="00EC6F90"/>
    <w:rsid w:val="00EC700C"/>
    <w:rsid w:val="00EC702E"/>
    <w:rsid w:val="00EC707F"/>
    <w:rsid w:val="00EC708C"/>
    <w:rsid w:val="00EC70D3"/>
    <w:rsid w:val="00EC70D6"/>
    <w:rsid w:val="00EC7116"/>
    <w:rsid w:val="00EC7163"/>
    <w:rsid w:val="00EC71F9"/>
    <w:rsid w:val="00EC7204"/>
    <w:rsid w:val="00EC7215"/>
    <w:rsid w:val="00EC721E"/>
    <w:rsid w:val="00EC7232"/>
    <w:rsid w:val="00EC72C6"/>
    <w:rsid w:val="00EC736E"/>
    <w:rsid w:val="00EC742A"/>
    <w:rsid w:val="00EC742C"/>
    <w:rsid w:val="00EC7438"/>
    <w:rsid w:val="00EC7481"/>
    <w:rsid w:val="00EC7485"/>
    <w:rsid w:val="00EC74A6"/>
    <w:rsid w:val="00EC74BB"/>
    <w:rsid w:val="00EC7556"/>
    <w:rsid w:val="00EC75BB"/>
    <w:rsid w:val="00EC75D8"/>
    <w:rsid w:val="00EC75EC"/>
    <w:rsid w:val="00EC7624"/>
    <w:rsid w:val="00EC766D"/>
    <w:rsid w:val="00EC768E"/>
    <w:rsid w:val="00EC76A5"/>
    <w:rsid w:val="00EC76A9"/>
    <w:rsid w:val="00EC76D1"/>
    <w:rsid w:val="00EC76D5"/>
    <w:rsid w:val="00EC7737"/>
    <w:rsid w:val="00EC7777"/>
    <w:rsid w:val="00EC77C7"/>
    <w:rsid w:val="00EC78FB"/>
    <w:rsid w:val="00EC7996"/>
    <w:rsid w:val="00EC79BC"/>
    <w:rsid w:val="00EC7A7C"/>
    <w:rsid w:val="00EC7ABC"/>
    <w:rsid w:val="00EC7AE5"/>
    <w:rsid w:val="00EC7B05"/>
    <w:rsid w:val="00EC7B09"/>
    <w:rsid w:val="00EC7B0C"/>
    <w:rsid w:val="00EC7B8D"/>
    <w:rsid w:val="00EC7BCD"/>
    <w:rsid w:val="00EC7BE3"/>
    <w:rsid w:val="00EC7C67"/>
    <w:rsid w:val="00EC7CB7"/>
    <w:rsid w:val="00EC7CC5"/>
    <w:rsid w:val="00EC7CD3"/>
    <w:rsid w:val="00EC7CEB"/>
    <w:rsid w:val="00EC7D34"/>
    <w:rsid w:val="00EC7D92"/>
    <w:rsid w:val="00EC7DA0"/>
    <w:rsid w:val="00EC7DDE"/>
    <w:rsid w:val="00EC7E4E"/>
    <w:rsid w:val="00EC7E56"/>
    <w:rsid w:val="00EC7E62"/>
    <w:rsid w:val="00EC7F38"/>
    <w:rsid w:val="00EC7F88"/>
    <w:rsid w:val="00EC7FD5"/>
    <w:rsid w:val="00ECE086"/>
    <w:rsid w:val="00ED0016"/>
    <w:rsid w:val="00ED002E"/>
    <w:rsid w:val="00ED003A"/>
    <w:rsid w:val="00ED01A4"/>
    <w:rsid w:val="00ED01AE"/>
    <w:rsid w:val="00ED01BC"/>
    <w:rsid w:val="00ED01EF"/>
    <w:rsid w:val="00ED01F3"/>
    <w:rsid w:val="00ED021C"/>
    <w:rsid w:val="00ED022A"/>
    <w:rsid w:val="00ED02E7"/>
    <w:rsid w:val="00ED0307"/>
    <w:rsid w:val="00ED0331"/>
    <w:rsid w:val="00ED0364"/>
    <w:rsid w:val="00ED0367"/>
    <w:rsid w:val="00ED049A"/>
    <w:rsid w:val="00ED0539"/>
    <w:rsid w:val="00ED058A"/>
    <w:rsid w:val="00ED05EE"/>
    <w:rsid w:val="00ED0630"/>
    <w:rsid w:val="00ED06C4"/>
    <w:rsid w:val="00ED06D6"/>
    <w:rsid w:val="00ED06ED"/>
    <w:rsid w:val="00ED072A"/>
    <w:rsid w:val="00ED0767"/>
    <w:rsid w:val="00ED0784"/>
    <w:rsid w:val="00ED07D0"/>
    <w:rsid w:val="00ED0839"/>
    <w:rsid w:val="00ED08A1"/>
    <w:rsid w:val="00ED08CA"/>
    <w:rsid w:val="00ED0920"/>
    <w:rsid w:val="00ED0931"/>
    <w:rsid w:val="00ED09D5"/>
    <w:rsid w:val="00ED0A1E"/>
    <w:rsid w:val="00ED0A3B"/>
    <w:rsid w:val="00ED0A9D"/>
    <w:rsid w:val="00ED0B06"/>
    <w:rsid w:val="00ED0B2B"/>
    <w:rsid w:val="00ED0B7E"/>
    <w:rsid w:val="00ED0BC2"/>
    <w:rsid w:val="00ED0BD2"/>
    <w:rsid w:val="00ED0BDD"/>
    <w:rsid w:val="00ED0BEE"/>
    <w:rsid w:val="00ED0C3A"/>
    <w:rsid w:val="00ED0C56"/>
    <w:rsid w:val="00ED0C68"/>
    <w:rsid w:val="00ED0C6E"/>
    <w:rsid w:val="00ED0C9F"/>
    <w:rsid w:val="00ED0CD9"/>
    <w:rsid w:val="00ED0CF5"/>
    <w:rsid w:val="00ED0D2E"/>
    <w:rsid w:val="00ED0D32"/>
    <w:rsid w:val="00ED0D47"/>
    <w:rsid w:val="00ED0D89"/>
    <w:rsid w:val="00ED0D8A"/>
    <w:rsid w:val="00ED0E0B"/>
    <w:rsid w:val="00ED0E12"/>
    <w:rsid w:val="00ED0E5E"/>
    <w:rsid w:val="00ED0E7C"/>
    <w:rsid w:val="00ED0E82"/>
    <w:rsid w:val="00ED0F81"/>
    <w:rsid w:val="00ED109B"/>
    <w:rsid w:val="00ED109D"/>
    <w:rsid w:val="00ED116C"/>
    <w:rsid w:val="00ED1195"/>
    <w:rsid w:val="00ED11C2"/>
    <w:rsid w:val="00ED11DF"/>
    <w:rsid w:val="00ED11FA"/>
    <w:rsid w:val="00ED1225"/>
    <w:rsid w:val="00ED1227"/>
    <w:rsid w:val="00ED1272"/>
    <w:rsid w:val="00ED12AF"/>
    <w:rsid w:val="00ED12B0"/>
    <w:rsid w:val="00ED1394"/>
    <w:rsid w:val="00ED13AD"/>
    <w:rsid w:val="00ED13B3"/>
    <w:rsid w:val="00ED13D6"/>
    <w:rsid w:val="00ED1468"/>
    <w:rsid w:val="00ED1492"/>
    <w:rsid w:val="00ED14D8"/>
    <w:rsid w:val="00ED14DC"/>
    <w:rsid w:val="00ED1517"/>
    <w:rsid w:val="00ED1535"/>
    <w:rsid w:val="00ED1556"/>
    <w:rsid w:val="00ED15A1"/>
    <w:rsid w:val="00ED15E2"/>
    <w:rsid w:val="00ED15E3"/>
    <w:rsid w:val="00ED15FB"/>
    <w:rsid w:val="00ED1649"/>
    <w:rsid w:val="00ED170D"/>
    <w:rsid w:val="00ED172A"/>
    <w:rsid w:val="00ED185A"/>
    <w:rsid w:val="00ED1885"/>
    <w:rsid w:val="00ED18F0"/>
    <w:rsid w:val="00ED18FE"/>
    <w:rsid w:val="00ED1915"/>
    <w:rsid w:val="00ED197A"/>
    <w:rsid w:val="00ED19B2"/>
    <w:rsid w:val="00ED19F4"/>
    <w:rsid w:val="00ED1A00"/>
    <w:rsid w:val="00ED1A3F"/>
    <w:rsid w:val="00ED1A86"/>
    <w:rsid w:val="00ED1AA3"/>
    <w:rsid w:val="00ED1AB8"/>
    <w:rsid w:val="00ED1AC2"/>
    <w:rsid w:val="00ED1BAE"/>
    <w:rsid w:val="00ED1BB7"/>
    <w:rsid w:val="00ED1C26"/>
    <w:rsid w:val="00ED1C47"/>
    <w:rsid w:val="00ED1C4C"/>
    <w:rsid w:val="00ED1C51"/>
    <w:rsid w:val="00ED1C8F"/>
    <w:rsid w:val="00ED1C95"/>
    <w:rsid w:val="00ED1D42"/>
    <w:rsid w:val="00ED1D96"/>
    <w:rsid w:val="00ED1DEE"/>
    <w:rsid w:val="00ED1EA5"/>
    <w:rsid w:val="00ED1EC1"/>
    <w:rsid w:val="00ED1EE6"/>
    <w:rsid w:val="00ED1FB8"/>
    <w:rsid w:val="00ED1FC1"/>
    <w:rsid w:val="00ED203A"/>
    <w:rsid w:val="00ED2059"/>
    <w:rsid w:val="00ED20A7"/>
    <w:rsid w:val="00ED20CB"/>
    <w:rsid w:val="00ED213F"/>
    <w:rsid w:val="00ED2166"/>
    <w:rsid w:val="00ED21B5"/>
    <w:rsid w:val="00ED2212"/>
    <w:rsid w:val="00ED2234"/>
    <w:rsid w:val="00ED2295"/>
    <w:rsid w:val="00ED22B3"/>
    <w:rsid w:val="00ED22D2"/>
    <w:rsid w:val="00ED234D"/>
    <w:rsid w:val="00ED236B"/>
    <w:rsid w:val="00ED2398"/>
    <w:rsid w:val="00ED23A5"/>
    <w:rsid w:val="00ED23A7"/>
    <w:rsid w:val="00ED23EC"/>
    <w:rsid w:val="00ED241D"/>
    <w:rsid w:val="00ED244F"/>
    <w:rsid w:val="00ED24B7"/>
    <w:rsid w:val="00ED250C"/>
    <w:rsid w:val="00ED2561"/>
    <w:rsid w:val="00ED25D8"/>
    <w:rsid w:val="00ED25F6"/>
    <w:rsid w:val="00ED261A"/>
    <w:rsid w:val="00ED261D"/>
    <w:rsid w:val="00ED2674"/>
    <w:rsid w:val="00ED269B"/>
    <w:rsid w:val="00ED26C0"/>
    <w:rsid w:val="00ED26C4"/>
    <w:rsid w:val="00ED26FB"/>
    <w:rsid w:val="00ED2804"/>
    <w:rsid w:val="00ED2858"/>
    <w:rsid w:val="00ED2871"/>
    <w:rsid w:val="00ED2873"/>
    <w:rsid w:val="00ED2923"/>
    <w:rsid w:val="00ED2963"/>
    <w:rsid w:val="00ED29D9"/>
    <w:rsid w:val="00ED2A65"/>
    <w:rsid w:val="00ED2A73"/>
    <w:rsid w:val="00ED2AD1"/>
    <w:rsid w:val="00ED2AD2"/>
    <w:rsid w:val="00ED2ADB"/>
    <w:rsid w:val="00ED2AF4"/>
    <w:rsid w:val="00ED2B28"/>
    <w:rsid w:val="00ED2B5B"/>
    <w:rsid w:val="00ED2B5D"/>
    <w:rsid w:val="00ED2B84"/>
    <w:rsid w:val="00ED2BAD"/>
    <w:rsid w:val="00ED2BB8"/>
    <w:rsid w:val="00ED2BBA"/>
    <w:rsid w:val="00ED2C00"/>
    <w:rsid w:val="00ED2C4A"/>
    <w:rsid w:val="00ED2CA1"/>
    <w:rsid w:val="00ED2CD9"/>
    <w:rsid w:val="00ED2D52"/>
    <w:rsid w:val="00ED2D90"/>
    <w:rsid w:val="00ED2DBF"/>
    <w:rsid w:val="00ED2DF2"/>
    <w:rsid w:val="00ED2E24"/>
    <w:rsid w:val="00ED2E2F"/>
    <w:rsid w:val="00ED2E38"/>
    <w:rsid w:val="00ED2EA8"/>
    <w:rsid w:val="00ED2F09"/>
    <w:rsid w:val="00ED2F60"/>
    <w:rsid w:val="00ED2F8F"/>
    <w:rsid w:val="00ED2FE3"/>
    <w:rsid w:val="00ED3010"/>
    <w:rsid w:val="00ED3034"/>
    <w:rsid w:val="00ED304E"/>
    <w:rsid w:val="00ED30A1"/>
    <w:rsid w:val="00ED30F2"/>
    <w:rsid w:val="00ED31B3"/>
    <w:rsid w:val="00ED3201"/>
    <w:rsid w:val="00ED3208"/>
    <w:rsid w:val="00ED321C"/>
    <w:rsid w:val="00ED322D"/>
    <w:rsid w:val="00ED323F"/>
    <w:rsid w:val="00ED3248"/>
    <w:rsid w:val="00ED32C3"/>
    <w:rsid w:val="00ED32E8"/>
    <w:rsid w:val="00ED32EB"/>
    <w:rsid w:val="00ED3339"/>
    <w:rsid w:val="00ED3378"/>
    <w:rsid w:val="00ED337F"/>
    <w:rsid w:val="00ED33AC"/>
    <w:rsid w:val="00ED33EE"/>
    <w:rsid w:val="00ED3409"/>
    <w:rsid w:val="00ED3419"/>
    <w:rsid w:val="00ED3443"/>
    <w:rsid w:val="00ED3474"/>
    <w:rsid w:val="00ED351E"/>
    <w:rsid w:val="00ED352A"/>
    <w:rsid w:val="00ED3613"/>
    <w:rsid w:val="00ED3634"/>
    <w:rsid w:val="00ED363B"/>
    <w:rsid w:val="00ED3676"/>
    <w:rsid w:val="00ED368C"/>
    <w:rsid w:val="00ED36BD"/>
    <w:rsid w:val="00ED36D1"/>
    <w:rsid w:val="00ED36EE"/>
    <w:rsid w:val="00ED3788"/>
    <w:rsid w:val="00ED3798"/>
    <w:rsid w:val="00ED37D4"/>
    <w:rsid w:val="00ED37D5"/>
    <w:rsid w:val="00ED3810"/>
    <w:rsid w:val="00ED382A"/>
    <w:rsid w:val="00ED3865"/>
    <w:rsid w:val="00ED38B9"/>
    <w:rsid w:val="00ED3916"/>
    <w:rsid w:val="00ED3998"/>
    <w:rsid w:val="00ED39DB"/>
    <w:rsid w:val="00ED3A25"/>
    <w:rsid w:val="00ED3A5C"/>
    <w:rsid w:val="00ED3A77"/>
    <w:rsid w:val="00ED3A7D"/>
    <w:rsid w:val="00ED3A7E"/>
    <w:rsid w:val="00ED3AA7"/>
    <w:rsid w:val="00ED3B20"/>
    <w:rsid w:val="00ED3B50"/>
    <w:rsid w:val="00ED3B7F"/>
    <w:rsid w:val="00ED3B92"/>
    <w:rsid w:val="00ED3C1C"/>
    <w:rsid w:val="00ED3C3F"/>
    <w:rsid w:val="00ED3CE3"/>
    <w:rsid w:val="00ED3D16"/>
    <w:rsid w:val="00ED3D23"/>
    <w:rsid w:val="00ED3D82"/>
    <w:rsid w:val="00ED3D8A"/>
    <w:rsid w:val="00ED3DD0"/>
    <w:rsid w:val="00ED3DD1"/>
    <w:rsid w:val="00ED3E02"/>
    <w:rsid w:val="00ED3E0F"/>
    <w:rsid w:val="00ED3E63"/>
    <w:rsid w:val="00ED3E72"/>
    <w:rsid w:val="00ED3E75"/>
    <w:rsid w:val="00ED3F1E"/>
    <w:rsid w:val="00ED3F41"/>
    <w:rsid w:val="00ED4011"/>
    <w:rsid w:val="00ED4029"/>
    <w:rsid w:val="00ED40BC"/>
    <w:rsid w:val="00ED40DD"/>
    <w:rsid w:val="00ED40F7"/>
    <w:rsid w:val="00ED410F"/>
    <w:rsid w:val="00ED412A"/>
    <w:rsid w:val="00ED412E"/>
    <w:rsid w:val="00ED4219"/>
    <w:rsid w:val="00ED4272"/>
    <w:rsid w:val="00ED436F"/>
    <w:rsid w:val="00ED4397"/>
    <w:rsid w:val="00ED43F9"/>
    <w:rsid w:val="00ED43FD"/>
    <w:rsid w:val="00ED4403"/>
    <w:rsid w:val="00ED4406"/>
    <w:rsid w:val="00ED446D"/>
    <w:rsid w:val="00ED453F"/>
    <w:rsid w:val="00ED4556"/>
    <w:rsid w:val="00ED45D3"/>
    <w:rsid w:val="00ED4613"/>
    <w:rsid w:val="00ED4619"/>
    <w:rsid w:val="00ED4656"/>
    <w:rsid w:val="00ED46A6"/>
    <w:rsid w:val="00ED46BE"/>
    <w:rsid w:val="00ED46C3"/>
    <w:rsid w:val="00ED4727"/>
    <w:rsid w:val="00ED477C"/>
    <w:rsid w:val="00ED47D3"/>
    <w:rsid w:val="00ED47EE"/>
    <w:rsid w:val="00ED47FB"/>
    <w:rsid w:val="00ED4820"/>
    <w:rsid w:val="00ED483A"/>
    <w:rsid w:val="00ED485D"/>
    <w:rsid w:val="00ED4883"/>
    <w:rsid w:val="00ED4898"/>
    <w:rsid w:val="00ED48E1"/>
    <w:rsid w:val="00ED48FE"/>
    <w:rsid w:val="00ED4941"/>
    <w:rsid w:val="00ED495A"/>
    <w:rsid w:val="00ED49E0"/>
    <w:rsid w:val="00ED4A01"/>
    <w:rsid w:val="00ED4A23"/>
    <w:rsid w:val="00ED4A74"/>
    <w:rsid w:val="00ED4ADA"/>
    <w:rsid w:val="00ED4B06"/>
    <w:rsid w:val="00ED4B76"/>
    <w:rsid w:val="00ED4CCA"/>
    <w:rsid w:val="00ED4D1C"/>
    <w:rsid w:val="00ED4D90"/>
    <w:rsid w:val="00ED4D96"/>
    <w:rsid w:val="00ED4E8D"/>
    <w:rsid w:val="00ED4EA6"/>
    <w:rsid w:val="00ED4F27"/>
    <w:rsid w:val="00ED4F48"/>
    <w:rsid w:val="00ED4F66"/>
    <w:rsid w:val="00ED4F91"/>
    <w:rsid w:val="00ED4FC3"/>
    <w:rsid w:val="00ED4FD7"/>
    <w:rsid w:val="00ED4FE2"/>
    <w:rsid w:val="00ED5050"/>
    <w:rsid w:val="00ED505C"/>
    <w:rsid w:val="00ED50B2"/>
    <w:rsid w:val="00ED50C0"/>
    <w:rsid w:val="00ED511E"/>
    <w:rsid w:val="00ED513F"/>
    <w:rsid w:val="00ED5143"/>
    <w:rsid w:val="00ED518A"/>
    <w:rsid w:val="00ED51CC"/>
    <w:rsid w:val="00ED51D7"/>
    <w:rsid w:val="00ED5205"/>
    <w:rsid w:val="00ED522E"/>
    <w:rsid w:val="00ED5251"/>
    <w:rsid w:val="00ED5285"/>
    <w:rsid w:val="00ED53C3"/>
    <w:rsid w:val="00ED53FA"/>
    <w:rsid w:val="00ED5405"/>
    <w:rsid w:val="00ED5467"/>
    <w:rsid w:val="00ED5475"/>
    <w:rsid w:val="00ED548D"/>
    <w:rsid w:val="00ED556B"/>
    <w:rsid w:val="00ED55C1"/>
    <w:rsid w:val="00ED55C9"/>
    <w:rsid w:val="00ED55D7"/>
    <w:rsid w:val="00ED5634"/>
    <w:rsid w:val="00ED5640"/>
    <w:rsid w:val="00ED5658"/>
    <w:rsid w:val="00ED56D6"/>
    <w:rsid w:val="00ED56DB"/>
    <w:rsid w:val="00ED56F1"/>
    <w:rsid w:val="00ED5776"/>
    <w:rsid w:val="00ED57BA"/>
    <w:rsid w:val="00ED5826"/>
    <w:rsid w:val="00ED586B"/>
    <w:rsid w:val="00ED58AE"/>
    <w:rsid w:val="00ED58BA"/>
    <w:rsid w:val="00ED58E5"/>
    <w:rsid w:val="00ED58ED"/>
    <w:rsid w:val="00ED5912"/>
    <w:rsid w:val="00ED597C"/>
    <w:rsid w:val="00ED5990"/>
    <w:rsid w:val="00ED5A05"/>
    <w:rsid w:val="00ED5A57"/>
    <w:rsid w:val="00ED5AC9"/>
    <w:rsid w:val="00ED5B2C"/>
    <w:rsid w:val="00ED5BBF"/>
    <w:rsid w:val="00ED5BDC"/>
    <w:rsid w:val="00ED5C12"/>
    <w:rsid w:val="00ED5C93"/>
    <w:rsid w:val="00ED5CAB"/>
    <w:rsid w:val="00ED5CB6"/>
    <w:rsid w:val="00ED5CDA"/>
    <w:rsid w:val="00ED5D6A"/>
    <w:rsid w:val="00ED5D7C"/>
    <w:rsid w:val="00ED5DA9"/>
    <w:rsid w:val="00ED5DFC"/>
    <w:rsid w:val="00ED5E03"/>
    <w:rsid w:val="00ED5E0A"/>
    <w:rsid w:val="00ED5E3C"/>
    <w:rsid w:val="00ED5E41"/>
    <w:rsid w:val="00ED5E59"/>
    <w:rsid w:val="00ED5E5A"/>
    <w:rsid w:val="00ED5E6C"/>
    <w:rsid w:val="00ED5EA3"/>
    <w:rsid w:val="00ED5F15"/>
    <w:rsid w:val="00ED5F18"/>
    <w:rsid w:val="00ED5FC2"/>
    <w:rsid w:val="00ED5FCD"/>
    <w:rsid w:val="00ED5FFA"/>
    <w:rsid w:val="00ED6039"/>
    <w:rsid w:val="00ED6049"/>
    <w:rsid w:val="00ED604A"/>
    <w:rsid w:val="00ED609A"/>
    <w:rsid w:val="00ED60A5"/>
    <w:rsid w:val="00ED6117"/>
    <w:rsid w:val="00ED6214"/>
    <w:rsid w:val="00ED6219"/>
    <w:rsid w:val="00ED621F"/>
    <w:rsid w:val="00ED6253"/>
    <w:rsid w:val="00ED625A"/>
    <w:rsid w:val="00ED626E"/>
    <w:rsid w:val="00ED6327"/>
    <w:rsid w:val="00ED632A"/>
    <w:rsid w:val="00ED6380"/>
    <w:rsid w:val="00ED6384"/>
    <w:rsid w:val="00ED63F3"/>
    <w:rsid w:val="00ED63FF"/>
    <w:rsid w:val="00ED6481"/>
    <w:rsid w:val="00ED6529"/>
    <w:rsid w:val="00ED6539"/>
    <w:rsid w:val="00ED65A2"/>
    <w:rsid w:val="00ED65B2"/>
    <w:rsid w:val="00ED6612"/>
    <w:rsid w:val="00ED6615"/>
    <w:rsid w:val="00ED664B"/>
    <w:rsid w:val="00ED667E"/>
    <w:rsid w:val="00ED6692"/>
    <w:rsid w:val="00ED66A3"/>
    <w:rsid w:val="00ED66CE"/>
    <w:rsid w:val="00ED6706"/>
    <w:rsid w:val="00ED6747"/>
    <w:rsid w:val="00ED67BB"/>
    <w:rsid w:val="00ED68A4"/>
    <w:rsid w:val="00ED6950"/>
    <w:rsid w:val="00ED696C"/>
    <w:rsid w:val="00ED699F"/>
    <w:rsid w:val="00ED6A15"/>
    <w:rsid w:val="00ED6A1B"/>
    <w:rsid w:val="00ED6A2B"/>
    <w:rsid w:val="00ED6A39"/>
    <w:rsid w:val="00ED6ACA"/>
    <w:rsid w:val="00ED6AEC"/>
    <w:rsid w:val="00ED6B15"/>
    <w:rsid w:val="00ED6B2A"/>
    <w:rsid w:val="00ED6B38"/>
    <w:rsid w:val="00ED6B63"/>
    <w:rsid w:val="00ED6C9A"/>
    <w:rsid w:val="00ED6CAA"/>
    <w:rsid w:val="00ED6CF5"/>
    <w:rsid w:val="00ED6D44"/>
    <w:rsid w:val="00ED6D49"/>
    <w:rsid w:val="00ED6D4F"/>
    <w:rsid w:val="00ED6D5B"/>
    <w:rsid w:val="00ED6D6F"/>
    <w:rsid w:val="00ED6DA1"/>
    <w:rsid w:val="00ED6DAC"/>
    <w:rsid w:val="00ED6DF2"/>
    <w:rsid w:val="00ED6E3E"/>
    <w:rsid w:val="00ED6E55"/>
    <w:rsid w:val="00ED6EA0"/>
    <w:rsid w:val="00ED6EA3"/>
    <w:rsid w:val="00ED6EAF"/>
    <w:rsid w:val="00ED6F0B"/>
    <w:rsid w:val="00ED6F28"/>
    <w:rsid w:val="00ED6F2E"/>
    <w:rsid w:val="00ED6F7A"/>
    <w:rsid w:val="00ED6FEB"/>
    <w:rsid w:val="00ED6FEC"/>
    <w:rsid w:val="00ED6FFB"/>
    <w:rsid w:val="00ED700C"/>
    <w:rsid w:val="00ED7049"/>
    <w:rsid w:val="00ED70AA"/>
    <w:rsid w:val="00ED7159"/>
    <w:rsid w:val="00ED7167"/>
    <w:rsid w:val="00ED7172"/>
    <w:rsid w:val="00ED7189"/>
    <w:rsid w:val="00ED728F"/>
    <w:rsid w:val="00ED7292"/>
    <w:rsid w:val="00ED72CB"/>
    <w:rsid w:val="00ED730B"/>
    <w:rsid w:val="00ED7335"/>
    <w:rsid w:val="00ED733E"/>
    <w:rsid w:val="00ED73BC"/>
    <w:rsid w:val="00ED7463"/>
    <w:rsid w:val="00ED7479"/>
    <w:rsid w:val="00ED7499"/>
    <w:rsid w:val="00ED74B6"/>
    <w:rsid w:val="00ED74FD"/>
    <w:rsid w:val="00ED7540"/>
    <w:rsid w:val="00ED7549"/>
    <w:rsid w:val="00ED758F"/>
    <w:rsid w:val="00ED75B7"/>
    <w:rsid w:val="00ED75BF"/>
    <w:rsid w:val="00ED75FB"/>
    <w:rsid w:val="00ED762E"/>
    <w:rsid w:val="00ED7665"/>
    <w:rsid w:val="00ED7678"/>
    <w:rsid w:val="00ED7690"/>
    <w:rsid w:val="00ED7696"/>
    <w:rsid w:val="00ED76AF"/>
    <w:rsid w:val="00ED7702"/>
    <w:rsid w:val="00ED7736"/>
    <w:rsid w:val="00ED774E"/>
    <w:rsid w:val="00ED774F"/>
    <w:rsid w:val="00ED77F9"/>
    <w:rsid w:val="00ED7859"/>
    <w:rsid w:val="00ED7881"/>
    <w:rsid w:val="00ED78C6"/>
    <w:rsid w:val="00ED78DD"/>
    <w:rsid w:val="00ED7909"/>
    <w:rsid w:val="00ED791E"/>
    <w:rsid w:val="00ED79AE"/>
    <w:rsid w:val="00ED79BE"/>
    <w:rsid w:val="00ED7A6B"/>
    <w:rsid w:val="00ED7AD5"/>
    <w:rsid w:val="00ED7AE5"/>
    <w:rsid w:val="00ED7B26"/>
    <w:rsid w:val="00ED7B62"/>
    <w:rsid w:val="00ED7BA7"/>
    <w:rsid w:val="00ED7BC2"/>
    <w:rsid w:val="00ED7BDB"/>
    <w:rsid w:val="00ED7D2D"/>
    <w:rsid w:val="00ED7D41"/>
    <w:rsid w:val="00ED7D57"/>
    <w:rsid w:val="00ED7D8E"/>
    <w:rsid w:val="00ED7D8F"/>
    <w:rsid w:val="00ED7E0C"/>
    <w:rsid w:val="00ED7E20"/>
    <w:rsid w:val="00ED7E8B"/>
    <w:rsid w:val="00ED7F71"/>
    <w:rsid w:val="00ED7F97"/>
    <w:rsid w:val="00ED7FB1"/>
    <w:rsid w:val="00EE0056"/>
    <w:rsid w:val="00EE0073"/>
    <w:rsid w:val="00EE00B4"/>
    <w:rsid w:val="00EE00B8"/>
    <w:rsid w:val="00EE00ED"/>
    <w:rsid w:val="00EE0107"/>
    <w:rsid w:val="00EE0176"/>
    <w:rsid w:val="00EE01AA"/>
    <w:rsid w:val="00EE0228"/>
    <w:rsid w:val="00EE0253"/>
    <w:rsid w:val="00EE02ED"/>
    <w:rsid w:val="00EE0324"/>
    <w:rsid w:val="00EE0328"/>
    <w:rsid w:val="00EE033A"/>
    <w:rsid w:val="00EE0385"/>
    <w:rsid w:val="00EE03B0"/>
    <w:rsid w:val="00EE0426"/>
    <w:rsid w:val="00EE0453"/>
    <w:rsid w:val="00EE04CB"/>
    <w:rsid w:val="00EE0500"/>
    <w:rsid w:val="00EE051E"/>
    <w:rsid w:val="00EE058B"/>
    <w:rsid w:val="00EE05C9"/>
    <w:rsid w:val="00EE0624"/>
    <w:rsid w:val="00EE0628"/>
    <w:rsid w:val="00EE062D"/>
    <w:rsid w:val="00EE0656"/>
    <w:rsid w:val="00EE069A"/>
    <w:rsid w:val="00EE06C8"/>
    <w:rsid w:val="00EE06FE"/>
    <w:rsid w:val="00EE071E"/>
    <w:rsid w:val="00EE0743"/>
    <w:rsid w:val="00EE0788"/>
    <w:rsid w:val="00EE07B7"/>
    <w:rsid w:val="00EE082B"/>
    <w:rsid w:val="00EE083F"/>
    <w:rsid w:val="00EE084B"/>
    <w:rsid w:val="00EE08F7"/>
    <w:rsid w:val="00EE0900"/>
    <w:rsid w:val="00EE09A7"/>
    <w:rsid w:val="00EE0A4B"/>
    <w:rsid w:val="00EE0A5F"/>
    <w:rsid w:val="00EE0AC9"/>
    <w:rsid w:val="00EE0ACA"/>
    <w:rsid w:val="00EE0AEE"/>
    <w:rsid w:val="00EE0B71"/>
    <w:rsid w:val="00EE0CCA"/>
    <w:rsid w:val="00EE0CE8"/>
    <w:rsid w:val="00EE0D1F"/>
    <w:rsid w:val="00EE0D74"/>
    <w:rsid w:val="00EE0DCA"/>
    <w:rsid w:val="00EE0E68"/>
    <w:rsid w:val="00EE0E8F"/>
    <w:rsid w:val="00EE0EFF"/>
    <w:rsid w:val="00EE0F0A"/>
    <w:rsid w:val="00EE0F4A"/>
    <w:rsid w:val="00EE0FAE"/>
    <w:rsid w:val="00EE0FE0"/>
    <w:rsid w:val="00EE101A"/>
    <w:rsid w:val="00EE1099"/>
    <w:rsid w:val="00EE1189"/>
    <w:rsid w:val="00EE118D"/>
    <w:rsid w:val="00EE11A0"/>
    <w:rsid w:val="00EE11AF"/>
    <w:rsid w:val="00EE120A"/>
    <w:rsid w:val="00EE1268"/>
    <w:rsid w:val="00EE12F7"/>
    <w:rsid w:val="00EE12FE"/>
    <w:rsid w:val="00EE1384"/>
    <w:rsid w:val="00EE13B0"/>
    <w:rsid w:val="00EE14C5"/>
    <w:rsid w:val="00EE151F"/>
    <w:rsid w:val="00EE154A"/>
    <w:rsid w:val="00EE1576"/>
    <w:rsid w:val="00EE15C5"/>
    <w:rsid w:val="00EE15EF"/>
    <w:rsid w:val="00EE1602"/>
    <w:rsid w:val="00EE1640"/>
    <w:rsid w:val="00EE167E"/>
    <w:rsid w:val="00EE1689"/>
    <w:rsid w:val="00EE169D"/>
    <w:rsid w:val="00EE175F"/>
    <w:rsid w:val="00EE1777"/>
    <w:rsid w:val="00EE17B9"/>
    <w:rsid w:val="00EE183D"/>
    <w:rsid w:val="00EE184E"/>
    <w:rsid w:val="00EE186B"/>
    <w:rsid w:val="00EE1872"/>
    <w:rsid w:val="00EE187F"/>
    <w:rsid w:val="00EE188B"/>
    <w:rsid w:val="00EE18ED"/>
    <w:rsid w:val="00EE1955"/>
    <w:rsid w:val="00EE1971"/>
    <w:rsid w:val="00EE19A5"/>
    <w:rsid w:val="00EE19AE"/>
    <w:rsid w:val="00EE1A2E"/>
    <w:rsid w:val="00EE1A7A"/>
    <w:rsid w:val="00EE1A96"/>
    <w:rsid w:val="00EE1AE6"/>
    <w:rsid w:val="00EE1B0C"/>
    <w:rsid w:val="00EE1B1E"/>
    <w:rsid w:val="00EE1B39"/>
    <w:rsid w:val="00EE1B58"/>
    <w:rsid w:val="00EE1B66"/>
    <w:rsid w:val="00EE1C1D"/>
    <w:rsid w:val="00EE1C72"/>
    <w:rsid w:val="00EE1C9D"/>
    <w:rsid w:val="00EE1D30"/>
    <w:rsid w:val="00EE1D67"/>
    <w:rsid w:val="00EE1D69"/>
    <w:rsid w:val="00EE1D76"/>
    <w:rsid w:val="00EE1D87"/>
    <w:rsid w:val="00EE1E19"/>
    <w:rsid w:val="00EE1E71"/>
    <w:rsid w:val="00EE1EAD"/>
    <w:rsid w:val="00EE1EB5"/>
    <w:rsid w:val="00EE1ECB"/>
    <w:rsid w:val="00EE1ED5"/>
    <w:rsid w:val="00EE1EE3"/>
    <w:rsid w:val="00EE1F59"/>
    <w:rsid w:val="00EE1FD3"/>
    <w:rsid w:val="00EE2042"/>
    <w:rsid w:val="00EE209C"/>
    <w:rsid w:val="00EE20AC"/>
    <w:rsid w:val="00EE210A"/>
    <w:rsid w:val="00EE2184"/>
    <w:rsid w:val="00EE21FD"/>
    <w:rsid w:val="00EE22B0"/>
    <w:rsid w:val="00EE22DC"/>
    <w:rsid w:val="00EE2325"/>
    <w:rsid w:val="00EE2331"/>
    <w:rsid w:val="00EE2334"/>
    <w:rsid w:val="00EE2336"/>
    <w:rsid w:val="00EE235A"/>
    <w:rsid w:val="00EE23E7"/>
    <w:rsid w:val="00EE23FB"/>
    <w:rsid w:val="00EE243A"/>
    <w:rsid w:val="00EE2443"/>
    <w:rsid w:val="00EE244A"/>
    <w:rsid w:val="00EE2461"/>
    <w:rsid w:val="00EE249E"/>
    <w:rsid w:val="00EE24A4"/>
    <w:rsid w:val="00EE255A"/>
    <w:rsid w:val="00EE2567"/>
    <w:rsid w:val="00EE256A"/>
    <w:rsid w:val="00EE25CC"/>
    <w:rsid w:val="00EE2681"/>
    <w:rsid w:val="00EE2689"/>
    <w:rsid w:val="00EE2700"/>
    <w:rsid w:val="00EE278E"/>
    <w:rsid w:val="00EE27A2"/>
    <w:rsid w:val="00EE27A5"/>
    <w:rsid w:val="00EE27BE"/>
    <w:rsid w:val="00EE27C5"/>
    <w:rsid w:val="00EE27CF"/>
    <w:rsid w:val="00EE27ED"/>
    <w:rsid w:val="00EE2829"/>
    <w:rsid w:val="00EE284E"/>
    <w:rsid w:val="00EE2860"/>
    <w:rsid w:val="00EE2878"/>
    <w:rsid w:val="00EE28D4"/>
    <w:rsid w:val="00EE2908"/>
    <w:rsid w:val="00EE294F"/>
    <w:rsid w:val="00EE2AB6"/>
    <w:rsid w:val="00EE2ACF"/>
    <w:rsid w:val="00EE2AF4"/>
    <w:rsid w:val="00EE2B07"/>
    <w:rsid w:val="00EE2B64"/>
    <w:rsid w:val="00EE2BED"/>
    <w:rsid w:val="00EE2C45"/>
    <w:rsid w:val="00EE2C94"/>
    <w:rsid w:val="00EE2CB2"/>
    <w:rsid w:val="00EE2CFB"/>
    <w:rsid w:val="00EE2D01"/>
    <w:rsid w:val="00EE2D03"/>
    <w:rsid w:val="00EE2D04"/>
    <w:rsid w:val="00EE2D46"/>
    <w:rsid w:val="00EE2E2A"/>
    <w:rsid w:val="00EE2E92"/>
    <w:rsid w:val="00EE2F31"/>
    <w:rsid w:val="00EE2F3F"/>
    <w:rsid w:val="00EE2F46"/>
    <w:rsid w:val="00EE2F4F"/>
    <w:rsid w:val="00EE2F71"/>
    <w:rsid w:val="00EE2F73"/>
    <w:rsid w:val="00EE2F7B"/>
    <w:rsid w:val="00EE2F8C"/>
    <w:rsid w:val="00EE2FD6"/>
    <w:rsid w:val="00EE2FEA"/>
    <w:rsid w:val="00EE301D"/>
    <w:rsid w:val="00EE303B"/>
    <w:rsid w:val="00EE304F"/>
    <w:rsid w:val="00EE30F2"/>
    <w:rsid w:val="00EE3176"/>
    <w:rsid w:val="00EE31EC"/>
    <w:rsid w:val="00EE31F6"/>
    <w:rsid w:val="00EE32BB"/>
    <w:rsid w:val="00EE33DD"/>
    <w:rsid w:val="00EE342B"/>
    <w:rsid w:val="00EE344A"/>
    <w:rsid w:val="00EE34AE"/>
    <w:rsid w:val="00EE34C1"/>
    <w:rsid w:val="00EE3548"/>
    <w:rsid w:val="00EE355D"/>
    <w:rsid w:val="00EE356C"/>
    <w:rsid w:val="00EE3595"/>
    <w:rsid w:val="00EE35A3"/>
    <w:rsid w:val="00EE35E8"/>
    <w:rsid w:val="00EE3618"/>
    <w:rsid w:val="00EE3630"/>
    <w:rsid w:val="00EE366D"/>
    <w:rsid w:val="00EE36BD"/>
    <w:rsid w:val="00EE36FE"/>
    <w:rsid w:val="00EE3716"/>
    <w:rsid w:val="00EE371E"/>
    <w:rsid w:val="00EE37A5"/>
    <w:rsid w:val="00EE37B2"/>
    <w:rsid w:val="00EE3855"/>
    <w:rsid w:val="00EE3969"/>
    <w:rsid w:val="00EE3970"/>
    <w:rsid w:val="00EE397C"/>
    <w:rsid w:val="00EE39DE"/>
    <w:rsid w:val="00EE39E4"/>
    <w:rsid w:val="00EE3A4C"/>
    <w:rsid w:val="00EE3A71"/>
    <w:rsid w:val="00EE3A97"/>
    <w:rsid w:val="00EE3AAB"/>
    <w:rsid w:val="00EE3AAD"/>
    <w:rsid w:val="00EE3AE3"/>
    <w:rsid w:val="00EE3B07"/>
    <w:rsid w:val="00EE3B3B"/>
    <w:rsid w:val="00EE3B5A"/>
    <w:rsid w:val="00EE3C04"/>
    <w:rsid w:val="00EE3C54"/>
    <w:rsid w:val="00EE3C68"/>
    <w:rsid w:val="00EE3CD8"/>
    <w:rsid w:val="00EE3CE1"/>
    <w:rsid w:val="00EE3CED"/>
    <w:rsid w:val="00EE3D0F"/>
    <w:rsid w:val="00EE3D6B"/>
    <w:rsid w:val="00EE3D94"/>
    <w:rsid w:val="00EE3DDB"/>
    <w:rsid w:val="00EE3E45"/>
    <w:rsid w:val="00EE3E83"/>
    <w:rsid w:val="00EE3E9A"/>
    <w:rsid w:val="00EE3ED4"/>
    <w:rsid w:val="00EE3EDA"/>
    <w:rsid w:val="00EE3F06"/>
    <w:rsid w:val="00EE3F32"/>
    <w:rsid w:val="00EE3F3F"/>
    <w:rsid w:val="00EE3F91"/>
    <w:rsid w:val="00EE3FA6"/>
    <w:rsid w:val="00EE3FB4"/>
    <w:rsid w:val="00EE3FF1"/>
    <w:rsid w:val="00EE406D"/>
    <w:rsid w:val="00EE408B"/>
    <w:rsid w:val="00EE408E"/>
    <w:rsid w:val="00EE4184"/>
    <w:rsid w:val="00EE41A1"/>
    <w:rsid w:val="00EE41D4"/>
    <w:rsid w:val="00EE4238"/>
    <w:rsid w:val="00EE4291"/>
    <w:rsid w:val="00EE4297"/>
    <w:rsid w:val="00EE435C"/>
    <w:rsid w:val="00EE4389"/>
    <w:rsid w:val="00EE43AB"/>
    <w:rsid w:val="00EE444C"/>
    <w:rsid w:val="00EE4497"/>
    <w:rsid w:val="00EE44BC"/>
    <w:rsid w:val="00EE44E6"/>
    <w:rsid w:val="00EE44F2"/>
    <w:rsid w:val="00EE44FE"/>
    <w:rsid w:val="00EE4592"/>
    <w:rsid w:val="00EE4602"/>
    <w:rsid w:val="00EE4637"/>
    <w:rsid w:val="00EE4659"/>
    <w:rsid w:val="00EE466D"/>
    <w:rsid w:val="00EE4739"/>
    <w:rsid w:val="00EE477D"/>
    <w:rsid w:val="00EE47EF"/>
    <w:rsid w:val="00EE4841"/>
    <w:rsid w:val="00EE486A"/>
    <w:rsid w:val="00EE4879"/>
    <w:rsid w:val="00EE4883"/>
    <w:rsid w:val="00EE4894"/>
    <w:rsid w:val="00EE4899"/>
    <w:rsid w:val="00EE489D"/>
    <w:rsid w:val="00EE48A3"/>
    <w:rsid w:val="00EE48EF"/>
    <w:rsid w:val="00EE493B"/>
    <w:rsid w:val="00EE4955"/>
    <w:rsid w:val="00EE4961"/>
    <w:rsid w:val="00EE49A0"/>
    <w:rsid w:val="00EE49DA"/>
    <w:rsid w:val="00EE49FA"/>
    <w:rsid w:val="00EE4A60"/>
    <w:rsid w:val="00EE4AB4"/>
    <w:rsid w:val="00EE4AB9"/>
    <w:rsid w:val="00EE4ACD"/>
    <w:rsid w:val="00EE4B44"/>
    <w:rsid w:val="00EE4B5C"/>
    <w:rsid w:val="00EE4B96"/>
    <w:rsid w:val="00EE4BA2"/>
    <w:rsid w:val="00EE4BD8"/>
    <w:rsid w:val="00EE4C24"/>
    <w:rsid w:val="00EE4C3A"/>
    <w:rsid w:val="00EE4C77"/>
    <w:rsid w:val="00EE4CAE"/>
    <w:rsid w:val="00EE4CCC"/>
    <w:rsid w:val="00EE4CE4"/>
    <w:rsid w:val="00EE4DA7"/>
    <w:rsid w:val="00EE4E16"/>
    <w:rsid w:val="00EE4E2E"/>
    <w:rsid w:val="00EE4E85"/>
    <w:rsid w:val="00EE4E8C"/>
    <w:rsid w:val="00EE4E9C"/>
    <w:rsid w:val="00EE4EE7"/>
    <w:rsid w:val="00EE5010"/>
    <w:rsid w:val="00EE5056"/>
    <w:rsid w:val="00EE5174"/>
    <w:rsid w:val="00EE51E9"/>
    <w:rsid w:val="00EE51F3"/>
    <w:rsid w:val="00EE5225"/>
    <w:rsid w:val="00EE5266"/>
    <w:rsid w:val="00EE52B6"/>
    <w:rsid w:val="00EE52E8"/>
    <w:rsid w:val="00EE52ED"/>
    <w:rsid w:val="00EE5357"/>
    <w:rsid w:val="00EE53BC"/>
    <w:rsid w:val="00EE53DC"/>
    <w:rsid w:val="00EE5405"/>
    <w:rsid w:val="00EE5419"/>
    <w:rsid w:val="00EE543E"/>
    <w:rsid w:val="00EE5450"/>
    <w:rsid w:val="00EE5496"/>
    <w:rsid w:val="00EE54A8"/>
    <w:rsid w:val="00EE557D"/>
    <w:rsid w:val="00EE55D0"/>
    <w:rsid w:val="00EE55DE"/>
    <w:rsid w:val="00EE55E8"/>
    <w:rsid w:val="00EE5631"/>
    <w:rsid w:val="00EE56CA"/>
    <w:rsid w:val="00EE56D1"/>
    <w:rsid w:val="00EE56FB"/>
    <w:rsid w:val="00EE56FD"/>
    <w:rsid w:val="00EE5718"/>
    <w:rsid w:val="00EE571B"/>
    <w:rsid w:val="00EE5775"/>
    <w:rsid w:val="00EE5816"/>
    <w:rsid w:val="00EE5856"/>
    <w:rsid w:val="00EE58B1"/>
    <w:rsid w:val="00EE5913"/>
    <w:rsid w:val="00EE592E"/>
    <w:rsid w:val="00EE5945"/>
    <w:rsid w:val="00EE59C9"/>
    <w:rsid w:val="00EE5A05"/>
    <w:rsid w:val="00EE5A7A"/>
    <w:rsid w:val="00EE5B07"/>
    <w:rsid w:val="00EE5B36"/>
    <w:rsid w:val="00EE5B99"/>
    <w:rsid w:val="00EE5BB8"/>
    <w:rsid w:val="00EE5BC4"/>
    <w:rsid w:val="00EE5BC6"/>
    <w:rsid w:val="00EE5BDA"/>
    <w:rsid w:val="00EE5C28"/>
    <w:rsid w:val="00EE5C3D"/>
    <w:rsid w:val="00EE5C43"/>
    <w:rsid w:val="00EE5C81"/>
    <w:rsid w:val="00EE5CCB"/>
    <w:rsid w:val="00EE5D03"/>
    <w:rsid w:val="00EE5D12"/>
    <w:rsid w:val="00EE5DE7"/>
    <w:rsid w:val="00EE5E4B"/>
    <w:rsid w:val="00EE5ED9"/>
    <w:rsid w:val="00EE5F12"/>
    <w:rsid w:val="00EE5F37"/>
    <w:rsid w:val="00EE5F96"/>
    <w:rsid w:val="00EE5FE3"/>
    <w:rsid w:val="00EE6041"/>
    <w:rsid w:val="00EE606F"/>
    <w:rsid w:val="00EE60F4"/>
    <w:rsid w:val="00EE60FE"/>
    <w:rsid w:val="00EE60FF"/>
    <w:rsid w:val="00EE616F"/>
    <w:rsid w:val="00EE6185"/>
    <w:rsid w:val="00EE61C9"/>
    <w:rsid w:val="00EE6209"/>
    <w:rsid w:val="00EE628A"/>
    <w:rsid w:val="00EE6294"/>
    <w:rsid w:val="00EE62B0"/>
    <w:rsid w:val="00EE62BF"/>
    <w:rsid w:val="00EE62E8"/>
    <w:rsid w:val="00EE630B"/>
    <w:rsid w:val="00EE6337"/>
    <w:rsid w:val="00EE6362"/>
    <w:rsid w:val="00EE6414"/>
    <w:rsid w:val="00EE64D5"/>
    <w:rsid w:val="00EE64EA"/>
    <w:rsid w:val="00EE64F5"/>
    <w:rsid w:val="00EE65DB"/>
    <w:rsid w:val="00EE65E2"/>
    <w:rsid w:val="00EE6618"/>
    <w:rsid w:val="00EE661D"/>
    <w:rsid w:val="00EE66B4"/>
    <w:rsid w:val="00EE66BB"/>
    <w:rsid w:val="00EE6768"/>
    <w:rsid w:val="00EE67C8"/>
    <w:rsid w:val="00EE67D9"/>
    <w:rsid w:val="00EE67F5"/>
    <w:rsid w:val="00EE681D"/>
    <w:rsid w:val="00EE6885"/>
    <w:rsid w:val="00EE6893"/>
    <w:rsid w:val="00EE68B5"/>
    <w:rsid w:val="00EE6909"/>
    <w:rsid w:val="00EE69B7"/>
    <w:rsid w:val="00EE69BD"/>
    <w:rsid w:val="00EE69C1"/>
    <w:rsid w:val="00EE69F9"/>
    <w:rsid w:val="00EE6A08"/>
    <w:rsid w:val="00EE6A0F"/>
    <w:rsid w:val="00EE6A25"/>
    <w:rsid w:val="00EE6A35"/>
    <w:rsid w:val="00EE6B12"/>
    <w:rsid w:val="00EE6B97"/>
    <w:rsid w:val="00EE6BC6"/>
    <w:rsid w:val="00EE6BD0"/>
    <w:rsid w:val="00EE6CD4"/>
    <w:rsid w:val="00EE6CD9"/>
    <w:rsid w:val="00EE6CDA"/>
    <w:rsid w:val="00EE6D0A"/>
    <w:rsid w:val="00EE6D91"/>
    <w:rsid w:val="00EE6D96"/>
    <w:rsid w:val="00EE6DC6"/>
    <w:rsid w:val="00EE6DE1"/>
    <w:rsid w:val="00EE6E0A"/>
    <w:rsid w:val="00EE6E17"/>
    <w:rsid w:val="00EE6E1C"/>
    <w:rsid w:val="00EE6E4A"/>
    <w:rsid w:val="00EE6E76"/>
    <w:rsid w:val="00EE6EB7"/>
    <w:rsid w:val="00EE6EC2"/>
    <w:rsid w:val="00EE6EC3"/>
    <w:rsid w:val="00EE6EC4"/>
    <w:rsid w:val="00EE6F0D"/>
    <w:rsid w:val="00EE6F0F"/>
    <w:rsid w:val="00EE6F22"/>
    <w:rsid w:val="00EE6F6B"/>
    <w:rsid w:val="00EE6FA3"/>
    <w:rsid w:val="00EE6FBA"/>
    <w:rsid w:val="00EE6FC9"/>
    <w:rsid w:val="00EE7022"/>
    <w:rsid w:val="00EE7043"/>
    <w:rsid w:val="00EE7044"/>
    <w:rsid w:val="00EE7054"/>
    <w:rsid w:val="00EE709F"/>
    <w:rsid w:val="00EE70AF"/>
    <w:rsid w:val="00EE70C9"/>
    <w:rsid w:val="00EE70F1"/>
    <w:rsid w:val="00EE71F6"/>
    <w:rsid w:val="00EE7228"/>
    <w:rsid w:val="00EE7260"/>
    <w:rsid w:val="00EE72C1"/>
    <w:rsid w:val="00EE72E1"/>
    <w:rsid w:val="00EE72F3"/>
    <w:rsid w:val="00EE7341"/>
    <w:rsid w:val="00EE7393"/>
    <w:rsid w:val="00EE739C"/>
    <w:rsid w:val="00EE7427"/>
    <w:rsid w:val="00EE749D"/>
    <w:rsid w:val="00EE74E7"/>
    <w:rsid w:val="00EE756E"/>
    <w:rsid w:val="00EE75A0"/>
    <w:rsid w:val="00EE7626"/>
    <w:rsid w:val="00EE7636"/>
    <w:rsid w:val="00EE764C"/>
    <w:rsid w:val="00EE7698"/>
    <w:rsid w:val="00EE76EE"/>
    <w:rsid w:val="00EE7734"/>
    <w:rsid w:val="00EE777A"/>
    <w:rsid w:val="00EE77B4"/>
    <w:rsid w:val="00EE77CF"/>
    <w:rsid w:val="00EE77DA"/>
    <w:rsid w:val="00EE77E2"/>
    <w:rsid w:val="00EE780F"/>
    <w:rsid w:val="00EE7843"/>
    <w:rsid w:val="00EE7848"/>
    <w:rsid w:val="00EE7897"/>
    <w:rsid w:val="00EE78B0"/>
    <w:rsid w:val="00EE790E"/>
    <w:rsid w:val="00EE7912"/>
    <w:rsid w:val="00EE79B3"/>
    <w:rsid w:val="00EE79E5"/>
    <w:rsid w:val="00EE79FA"/>
    <w:rsid w:val="00EE7A84"/>
    <w:rsid w:val="00EE7A87"/>
    <w:rsid w:val="00EE7ABD"/>
    <w:rsid w:val="00EE7AC7"/>
    <w:rsid w:val="00EE7AD5"/>
    <w:rsid w:val="00EE7B2C"/>
    <w:rsid w:val="00EE7B55"/>
    <w:rsid w:val="00EE7BC8"/>
    <w:rsid w:val="00EE7BDE"/>
    <w:rsid w:val="00EE7BEF"/>
    <w:rsid w:val="00EE7BF1"/>
    <w:rsid w:val="00EE7BFF"/>
    <w:rsid w:val="00EE7C0C"/>
    <w:rsid w:val="00EE7C6F"/>
    <w:rsid w:val="00EE7C7F"/>
    <w:rsid w:val="00EE7CC3"/>
    <w:rsid w:val="00EE7CDE"/>
    <w:rsid w:val="00EE7CE3"/>
    <w:rsid w:val="00EE7D34"/>
    <w:rsid w:val="00EE7D5D"/>
    <w:rsid w:val="00EE7D83"/>
    <w:rsid w:val="00EE7DA1"/>
    <w:rsid w:val="00EE7DC7"/>
    <w:rsid w:val="00EE7DF2"/>
    <w:rsid w:val="00EE7E3C"/>
    <w:rsid w:val="00EE7E8B"/>
    <w:rsid w:val="00EE7EA3"/>
    <w:rsid w:val="00EE7F01"/>
    <w:rsid w:val="00EE7FB0"/>
    <w:rsid w:val="00EF00AF"/>
    <w:rsid w:val="00EF0169"/>
    <w:rsid w:val="00EF01A4"/>
    <w:rsid w:val="00EF01A6"/>
    <w:rsid w:val="00EF01AB"/>
    <w:rsid w:val="00EF01DC"/>
    <w:rsid w:val="00EF0274"/>
    <w:rsid w:val="00EF02B7"/>
    <w:rsid w:val="00EF02BE"/>
    <w:rsid w:val="00EF02F5"/>
    <w:rsid w:val="00EF039A"/>
    <w:rsid w:val="00EF03B4"/>
    <w:rsid w:val="00EF041A"/>
    <w:rsid w:val="00EF04A7"/>
    <w:rsid w:val="00EF04AC"/>
    <w:rsid w:val="00EF04C5"/>
    <w:rsid w:val="00EF0507"/>
    <w:rsid w:val="00EF0598"/>
    <w:rsid w:val="00EF063F"/>
    <w:rsid w:val="00EF0695"/>
    <w:rsid w:val="00EF069D"/>
    <w:rsid w:val="00EF06A4"/>
    <w:rsid w:val="00EF0711"/>
    <w:rsid w:val="00EF075E"/>
    <w:rsid w:val="00EF0780"/>
    <w:rsid w:val="00EF0781"/>
    <w:rsid w:val="00EF07D3"/>
    <w:rsid w:val="00EF07E2"/>
    <w:rsid w:val="00EF0922"/>
    <w:rsid w:val="00EF097D"/>
    <w:rsid w:val="00EF09C2"/>
    <w:rsid w:val="00EF0A0A"/>
    <w:rsid w:val="00EF0A16"/>
    <w:rsid w:val="00EF0A2D"/>
    <w:rsid w:val="00EF0A4C"/>
    <w:rsid w:val="00EF0A6D"/>
    <w:rsid w:val="00EF0A81"/>
    <w:rsid w:val="00EF0A98"/>
    <w:rsid w:val="00EF0AE4"/>
    <w:rsid w:val="00EF0B89"/>
    <w:rsid w:val="00EF0B8F"/>
    <w:rsid w:val="00EF0C35"/>
    <w:rsid w:val="00EF0C3A"/>
    <w:rsid w:val="00EF0C7A"/>
    <w:rsid w:val="00EF0C92"/>
    <w:rsid w:val="00EF0C9F"/>
    <w:rsid w:val="00EF0D7E"/>
    <w:rsid w:val="00EF0DAF"/>
    <w:rsid w:val="00EF0DB0"/>
    <w:rsid w:val="00EF0E4F"/>
    <w:rsid w:val="00EF0E72"/>
    <w:rsid w:val="00EF0ECC"/>
    <w:rsid w:val="00EF0F16"/>
    <w:rsid w:val="00EF0F5D"/>
    <w:rsid w:val="00EF0FB8"/>
    <w:rsid w:val="00EF0FF2"/>
    <w:rsid w:val="00EF100D"/>
    <w:rsid w:val="00EF1011"/>
    <w:rsid w:val="00EF1022"/>
    <w:rsid w:val="00EF1050"/>
    <w:rsid w:val="00EF1057"/>
    <w:rsid w:val="00EF109E"/>
    <w:rsid w:val="00EF10EA"/>
    <w:rsid w:val="00EF11A5"/>
    <w:rsid w:val="00EF1217"/>
    <w:rsid w:val="00EF1226"/>
    <w:rsid w:val="00EF1229"/>
    <w:rsid w:val="00EF1275"/>
    <w:rsid w:val="00EF12AD"/>
    <w:rsid w:val="00EF12BC"/>
    <w:rsid w:val="00EF12DB"/>
    <w:rsid w:val="00EF130C"/>
    <w:rsid w:val="00EF13E3"/>
    <w:rsid w:val="00EF13E4"/>
    <w:rsid w:val="00EF13F4"/>
    <w:rsid w:val="00EF1414"/>
    <w:rsid w:val="00EF1515"/>
    <w:rsid w:val="00EF1562"/>
    <w:rsid w:val="00EF158D"/>
    <w:rsid w:val="00EF15C7"/>
    <w:rsid w:val="00EF15CB"/>
    <w:rsid w:val="00EF15FC"/>
    <w:rsid w:val="00EF161A"/>
    <w:rsid w:val="00EF1648"/>
    <w:rsid w:val="00EF16A8"/>
    <w:rsid w:val="00EF16B9"/>
    <w:rsid w:val="00EF16BF"/>
    <w:rsid w:val="00EF16D5"/>
    <w:rsid w:val="00EF1718"/>
    <w:rsid w:val="00EF1751"/>
    <w:rsid w:val="00EF1775"/>
    <w:rsid w:val="00EF17A8"/>
    <w:rsid w:val="00EF18E0"/>
    <w:rsid w:val="00EF18F7"/>
    <w:rsid w:val="00EF1950"/>
    <w:rsid w:val="00EF198F"/>
    <w:rsid w:val="00EF19A4"/>
    <w:rsid w:val="00EF19D6"/>
    <w:rsid w:val="00EF1A28"/>
    <w:rsid w:val="00EF1A43"/>
    <w:rsid w:val="00EF1A99"/>
    <w:rsid w:val="00EF1ABC"/>
    <w:rsid w:val="00EF1BA7"/>
    <w:rsid w:val="00EF1BD3"/>
    <w:rsid w:val="00EF1C07"/>
    <w:rsid w:val="00EF1C22"/>
    <w:rsid w:val="00EF1C2F"/>
    <w:rsid w:val="00EF1C91"/>
    <w:rsid w:val="00EF1CFA"/>
    <w:rsid w:val="00EF1D04"/>
    <w:rsid w:val="00EF1D2E"/>
    <w:rsid w:val="00EF1D83"/>
    <w:rsid w:val="00EF1DB3"/>
    <w:rsid w:val="00EF1DEB"/>
    <w:rsid w:val="00EF1E0D"/>
    <w:rsid w:val="00EF1E1D"/>
    <w:rsid w:val="00EF1E70"/>
    <w:rsid w:val="00EF1EAF"/>
    <w:rsid w:val="00EF1F0E"/>
    <w:rsid w:val="00EF1F2A"/>
    <w:rsid w:val="00EF1F75"/>
    <w:rsid w:val="00EF1F81"/>
    <w:rsid w:val="00EF1F9C"/>
    <w:rsid w:val="00EF1FB3"/>
    <w:rsid w:val="00EF1FD6"/>
    <w:rsid w:val="00EF2092"/>
    <w:rsid w:val="00EF20AB"/>
    <w:rsid w:val="00EF20E5"/>
    <w:rsid w:val="00EF2118"/>
    <w:rsid w:val="00EF2120"/>
    <w:rsid w:val="00EF219A"/>
    <w:rsid w:val="00EF2223"/>
    <w:rsid w:val="00EF2253"/>
    <w:rsid w:val="00EF22C0"/>
    <w:rsid w:val="00EF22D0"/>
    <w:rsid w:val="00EF22E1"/>
    <w:rsid w:val="00EF2328"/>
    <w:rsid w:val="00EF23B5"/>
    <w:rsid w:val="00EF23D8"/>
    <w:rsid w:val="00EF24B4"/>
    <w:rsid w:val="00EF24EB"/>
    <w:rsid w:val="00EF24FA"/>
    <w:rsid w:val="00EF252C"/>
    <w:rsid w:val="00EF25CB"/>
    <w:rsid w:val="00EF2675"/>
    <w:rsid w:val="00EF2690"/>
    <w:rsid w:val="00EF26F6"/>
    <w:rsid w:val="00EF2701"/>
    <w:rsid w:val="00EF271A"/>
    <w:rsid w:val="00EF272C"/>
    <w:rsid w:val="00EF2732"/>
    <w:rsid w:val="00EF2751"/>
    <w:rsid w:val="00EF2787"/>
    <w:rsid w:val="00EF278A"/>
    <w:rsid w:val="00EF27EB"/>
    <w:rsid w:val="00EF284B"/>
    <w:rsid w:val="00EF2855"/>
    <w:rsid w:val="00EF2863"/>
    <w:rsid w:val="00EF2877"/>
    <w:rsid w:val="00EF2973"/>
    <w:rsid w:val="00EF29D3"/>
    <w:rsid w:val="00EF2A1B"/>
    <w:rsid w:val="00EF2A42"/>
    <w:rsid w:val="00EF2A6F"/>
    <w:rsid w:val="00EF2B17"/>
    <w:rsid w:val="00EF2B33"/>
    <w:rsid w:val="00EF2B41"/>
    <w:rsid w:val="00EF2B6D"/>
    <w:rsid w:val="00EF2B7A"/>
    <w:rsid w:val="00EF2B9A"/>
    <w:rsid w:val="00EF2C46"/>
    <w:rsid w:val="00EF2C64"/>
    <w:rsid w:val="00EF2CB3"/>
    <w:rsid w:val="00EF2CC0"/>
    <w:rsid w:val="00EF2CE3"/>
    <w:rsid w:val="00EF2D18"/>
    <w:rsid w:val="00EF2D32"/>
    <w:rsid w:val="00EF2D39"/>
    <w:rsid w:val="00EF2D3F"/>
    <w:rsid w:val="00EF2DDC"/>
    <w:rsid w:val="00EF2DF2"/>
    <w:rsid w:val="00EF2E70"/>
    <w:rsid w:val="00EF2E88"/>
    <w:rsid w:val="00EF2ECE"/>
    <w:rsid w:val="00EF2F09"/>
    <w:rsid w:val="00EF2F2A"/>
    <w:rsid w:val="00EF2F2E"/>
    <w:rsid w:val="00EF2F54"/>
    <w:rsid w:val="00EF2F66"/>
    <w:rsid w:val="00EF300F"/>
    <w:rsid w:val="00EF3035"/>
    <w:rsid w:val="00EF3045"/>
    <w:rsid w:val="00EF3057"/>
    <w:rsid w:val="00EF307E"/>
    <w:rsid w:val="00EF3088"/>
    <w:rsid w:val="00EF30E1"/>
    <w:rsid w:val="00EF30EA"/>
    <w:rsid w:val="00EF3131"/>
    <w:rsid w:val="00EF31E5"/>
    <w:rsid w:val="00EF3217"/>
    <w:rsid w:val="00EF322E"/>
    <w:rsid w:val="00EF3244"/>
    <w:rsid w:val="00EF3247"/>
    <w:rsid w:val="00EF325E"/>
    <w:rsid w:val="00EF32A9"/>
    <w:rsid w:val="00EF3317"/>
    <w:rsid w:val="00EF337F"/>
    <w:rsid w:val="00EF33A1"/>
    <w:rsid w:val="00EF33B8"/>
    <w:rsid w:val="00EF33C0"/>
    <w:rsid w:val="00EF3418"/>
    <w:rsid w:val="00EF3425"/>
    <w:rsid w:val="00EF345D"/>
    <w:rsid w:val="00EF34B9"/>
    <w:rsid w:val="00EF34D6"/>
    <w:rsid w:val="00EF354F"/>
    <w:rsid w:val="00EF35F4"/>
    <w:rsid w:val="00EF3613"/>
    <w:rsid w:val="00EF36B7"/>
    <w:rsid w:val="00EF36ED"/>
    <w:rsid w:val="00EF3774"/>
    <w:rsid w:val="00EF379B"/>
    <w:rsid w:val="00EF379F"/>
    <w:rsid w:val="00EF37A8"/>
    <w:rsid w:val="00EF37C1"/>
    <w:rsid w:val="00EF38C4"/>
    <w:rsid w:val="00EF38E9"/>
    <w:rsid w:val="00EF38F9"/>
    <w:rsid w:val="00EF3935"/>
    <w:rsid w:val="00EF399E"/>
    <w:rsid w:val="00EF3A0C"/>
    <w:rsid w:val="00EF3A80"/>
    <w:rsid w:val="00EF3AA7"/>
    <w:rsid w:val="00EF3B26"/>
    <w:rsid w:val="00EF3B3B"/>
    <w:rsid w:val="00EF3B69"/>
    <w:rsid w:val="00EF3C02"/>
    <w:rsid w:val="00EF3C35"/>
    <w:rsid w:val="00EF3C3F"/>
    <w:rsid w:val="00EF3C7D"/>
    <w:rsid w:val="00EF3CB0"/>
    <w:rsid w:val="00EF3CBD"/>
    <w:rsid w:val="00EF3CD8"/>
    <w:rsid w:val="00EF3CF6"/>
    <w:rsid w:val="00EF3D16"/>
    <w:rsid w:val="00EF3D4B"/>
    <w:rsid w:val="00EF3D62"/>
    <w:rsid w:val="00EF3D66"/>
    <w:rsid w:val="00EF3DB3"/>
    <w:rsid w:val="00EF3DB7"/>
    <w:rsid w:val="00EF3DC8"/>
    <w:rsid w:val="00EF3DE2"/>
    <w:rsid w:val="00EF3DF8"/>
    <w:rsid w:val="00EF3E0F"/>
    <w:rsid w:val="00EF3E16"/>
    <w:rsid w:val="00EF3E29"/>
    <w:rsid w:val="00EF3E2F"/>
    <w:rsid w:val="00EF3E51"/>
    <w:rsid w:val="00EF3E95"/>
    <w:rsid w:val="00EF3E9C"/>
    <w:rsid w:val="00EF3E9E"/>
    <w:rsid w:val="00EF3EA0"/>
    <w:rsid w:val="00EF3F5F"/>
    <w:rsid w:val="00EF3F8B"/>
    <w:rsid w:val="00EF3F99"/>
    <w:rsid w:val="00EF3FAD"/>
    <w:rsid w:val="00EF3FD2"/>
    <w:rsid w:val="00EF3FE7"/>
    <w:rsid w:val="00EF4026"/>
    <w:rsid w:val="00EF4076"/>
    <w:rsid w:val="00EF40AE"/>
    <w:rsid w:val="00EF40D6"/>
    <w:rsid w:val="00EF4120"/>
    <w:rsid w:val="00EF4129"/>
    <w:rsid w:val="00EF416B"/>
    <w:rsid w:val="00EF41B3"/>
    <w:rsid w:val="00EF4284"/>
    <w:rsid w:val="00EF4348"/>
    <w:rsid w:val="00EF434A"/>
    <w:rsid w:val="00EF4377"/>
    <w:rsid w:val="00EF43DD"/>
    <w:rsid w:val="00EF43DE"/>
    <w:rsid w:val="00EF4435"/>
    <w:rsid w:val="00EF444E"/>
    <w:rsid w:val="00EF446D"/>
    <w:rsid w:val="00EF4481"/>
    <w:rsid w:val="00EF44B2"/>
    <w:rsid w:val="00EF44D9"/>
    <w:rsid w:val="00EF44DA"/>
    <w:rsid w:val="00EF44F5"/>
    <w:rsid w:val="00EF456D"/>
    <w:rsid w:val="00EF45F4"/>
    <w:rsid w:val="00EF467A"/>
    <w:rsid w:val="00EF46BE"/>
    <w:rsid w:val="00EF46D7"/>
    <w:rsid w:val="00EF46E9"/>
    <w:rsid w:val="00EF4712"/>
    <w:rsid w:val="00EF4756"/>
    <w:rsid w:val="00EF4782"/>
    <w:rsid w:val="00EF47E4"/>
    <w:rsid w:val="00EF4839"/>
    <w:rsid w:val="00EF4859"/>
    <w:rsid w:val="00EF48AF"/>
    <w:rsid w:val="00EF48BD"/>
    <w:rsid w:val="00EF48D9"/>
    <w:rsid w:val="00EF4950"/>
    <w:rsid w:val="00EF4984"/>
    <w:rsid w:val="00EF49DC"/>
    <w:rsid w:val="00EF4A04"/>
    <w:rsid w:val="00EF4A23"/>
    <w:rsid w:val="00EF4A2B"/>
    <w:rsid w:val="00EF4A37"/>
    <w:rsid w:val="00EF4A48"/>
    <w:rsid w:val="00EF4A51"/>
    <w:rsid w:val="00EF4A7C"/>
    <w:rsid w:val="00EF4A8D"/>
    <w:rsid w:val="00EF4A9C"/>
    <w:rsid w:val="00EF4AFB"/>
    <w:rsid w:val="00EF4B99"/>
    <w:rsid w:val="00EF4B9A"/>
    <w:rsid w:val="00EF4BC6"/>
    <w:rsid w:val="00EF4C5B"/>
    <w:rsid w:val="00EF4CC8"/>
    <w:rsid w:val="00EF4CD2"/>
    <w:rsid w:val="00EF4D70"/>
    <w:rsid w:val="00EF4DD2"/>
    <w:rsid w:val="00EF4E1C"/>
    <w:rsid w:val="00EF4F1C"/>
    <w:rsid w:val="00EF4F24"/>
    <w:rsid w:val="00EF4F32"/>
    <w:rsid w:val="00EF5015"/>
    <w:rsid w:val="00EF5020"/>
    <w:rsid w:val="00EF503A"/>
    <w:rsid w:val="00EF511A"/>
    <w:rsid w:val="00EF5155"/>
    <w:rsid w:val="00EF51F9"/>
    <w:rsid w:val="00EF522B"/>
    <w:rsid w:val="00EF5239"/>
    <w:rsid w:val="00EF5246"/>
    <w:rsid w:val="00EF527C"/>
    <w:rsid w:val="00EF532F"/>
    <w:rsid w:val="00EF5352"/>
    <w:rsid w:val="00EF5358"/>
    <w:rsid w:val="00EF53B6"/>
    <w:rsid w:val="00EF53CC"/>
    <w:rsid w:val="00EF53E8"/>
    <w:rsid w:val="00EF5513"/>
    <w:rsid w:val="00EF553B"/>
    <w:rsid w:val="00EF556B"/>
    <w:rsid w:val="00EF5572"/>
    <w:rsid w:val="00EF5577"/>
    <w:rsid w:val="00EF557E"/>
    <w:rsid w:val="00EF558C"/>
    <w:rsid w:val="00EF55CC"/>
    <w:rsid w:val="00EF561D"/>
    <w:rsid w:val="00EF5630"/>
    <w:rsid w:val="00EF5677"/>
    <w:rsid w:val="00EF56AC"/>
    <w:rsid w:val="00EF56C9"/>
    <w:rsid w:val="00EF5729"/>
    <w:rsid w:val="00EF57BE"/>
    <w:rsid w:val="00EF5819"/>
    <w:rsid w:val="00EF5820"/>
    <w:rsid w:val="00EF58EE"/>
    <w:rsid w:val="00EF5971"/>
    <w:rsid w:val="00EF598B"/>
    <w:rsid w:val="00EF598F"/>
    <w:rsid w:val="00EF59C1"/>
    <w:rsid w:val="00EF59C4"/>
    <w:rsid w:val="00EF5A1C"/>
    <w:rsid w:val="00EF5A2B"/>
    <w:rsid w:val="00EF5A85"/>
    <w:rsid w:val="00EF5AE8"/>
    <w:rsid w:val="00EF5B41"/>
    <w:rsid w:val="00EF5B68"/>
    <w:rsid w:val="00EF5B88"/>
    <w:rsid w:val="00EF5B95"/>
    <w:rsid w:val="00EF5CB7"/>
    <w:rsid w:val="00EF5D27"/>
    <w:rsid w:val="00EF5D38"/>
    <w:rsid w:val="00EF5DB1"/>
    <w:rsid w:val="00EF5DBC"/>
    <w:rsid w:val="00EF5DD5"/>
    <w:rsid w:val="00EF5DF3"/>
    <w:rsid w:val="00EF5DF5"/>
    <w:rsid w:val="00EF5E1F"/>
    <w:rsid w:val="00EF5E3C"/>
    <w:rsid w:val="00EF5E45"/>
    <w:rsid w:val="00EF5EB5"/>
    <w:rsid w:val="00EF5F0E"/>
    <w:rsid w:val="00EF5F3E"/>
    <w:rsid w:val="00EF5F9F"/>
    <w:rsid w:val="00EF5FDD"/>
    <w:rsid w:val="00EF5FEB"/>
    <w:rsid w:val="00EF6050"/>
    <w:rsid w:val="00EF606F"/>
    <w:rsid w:val="00EF60A4"/>
    <w:rsid w:val="00EF60CF"/>
    <w:rsid w:val="00EF6170"/>
    <w:rsid w:val="00EF6176"/>
    <w:rsid w:val="00EF61B0"/>
    <w:rsid w:val="00EF6221"/>
    <w:rsid w:val="00EF6226"/>
    <w:rsid w:val="00EF6232"/>
    <w:rsid w:val="00EF628F"/>
    <w:rsid w:val="00EF634C"/>
    <w:rsid w:val="00EF63A9"/>
    <w:rsid w:val="00EF63B7"/>
    <w:rsid w:val="00EF63F9"/>
    <w:rsid w:val="00EF6434"/>
    <w:rsid w:val="00EF6489"/>
    <w:rsid w:val="00EF6499"/>
    <w:rsid w:val="00EF649A"/>
    <w:rsid w:val="00EF64A3"/>
    <w:rsid w:val="00EF64AE"/>
    <w:rsid w:val="00EF64C8"/>
    <w:rsid w:val="00EF64CB"/>
    <w:rsid w:val="00EF64ED"/>
    <w:rsid w:val="00EF653E"/>
    <w:rsid w:val="00EF6553"/>
    <w:rsid w:val="00EF6562"/>
    <w:rsid w:val="00EF65C8"/>
    <w:rsid w:val="00EF65F0"/>
    <w:rsid w:val="00EF6616"/>
    <w:rsid w:val="00EF6636"/>
    <w:rsid w:val="00EF663D"/>
    <w:rsid w:val="00EF665C"/>
    <w:rsid w:val="00EF665D"/>
    <w:rsid w:val="00EF665F"/>
    <w:rsid w:val="00EF6720"/>
    <w:rsid w:val="00EF67ED"/>
    <w:rsid w:val="00EF67F0"/>
    <w:rsid w:val="00EF6865"/>
    <w:rsid w:val="00EF68A5"/>
    <w:rsid w:val="00EF6901"/>
    <w:rsid w:val="00EF692B"/>
    <w:rsid w:val="00EF693F"/>
    <w:rsid w:val="00EF69C4"/>
    <w:rsid w:val="00EF69D5"/>
    <w:rsid w:val="00EF69E4"/>
    <w:rsid w:val="00EF6A4B"/>
    <w:rsid w:val="00EF6A6D"/>
    <w:rsid w:val="00EF6AA5"/>
    <w:rsid w:val="00EF6AF3"/>
    <w:rsid w:val="00EF6B18"/>
    <w:rsid w:val="00EF6B37"/>
    <w:rsid w:val="00EF6B63"/>
    <w:rsid w:val="00EF6C01"/>
    <w:rsid w:val="00EF6C2B"/>
    <w:rsid w:val="00EF6CA5"/>
    <w:rsid w:val="00EF6D1E"/>
    <w:rsid w:val="00EF6D3E"/>
    <w:rsid w:val="00EF6D51"/>
    <w:rsid w:val="00EF6D5B"/>
    <w:rsid w:val="00EF6D73"/>
    <w:rsid w:val="00EF6DCB"/>
    <w:rsid w:val="00EF6DF1"/>
    <w:rsid w:val="00EF6E22"/>
    <w:rsid w:val="00EF6E4C"/>
    <w:rsid w:val="00EF6EA4"/>
    <w:rsid w:val="00EF6EA9"/>
    <w:rsid w:val="00EF6EDC"/>
    <w:rsid w:val="00EF6F09"/>
    <w:rsid w:val="00EF6F21"/>
    <w:rsid w:val="00EF6F34"/>
    <w:rsid w:val="00EF6F5C"/>
    <w:rsid w:val="00EF6FA4"/>
    <w:rsid w:val="00EF6FFF"/>
    <w:rsid w:val="00EF704B"/>
    <w:rsid w:val="00EF7063"/>
    <w:rsid w:val="00EF70B0"/>
    <w:rsid w:val="00EF70BC"/>
    <w:rsid w:val="00EF70D2"/>
    <w:rsid w:val="00EF7128"/>
    <w:rsid w:val="00EF714E"/>
    <w:rsid w:val="00EF7166"/>
    <w:rsid w:val="00EF7178"/>
    <w:rsid w:val="00EF717C"/>
    <w:rsid w:val="00EF71AE"/>
    <w:rsid w:val="00EF71E0"/>
    <w:rsid w:val="00EF7228"/>
    <w:rsid w:val="00EF722D"/>
    <w:rsid w:val="00EF723E"/>
    <w:rsid w:val="00EF7245"/>
    <w:rsid w:val="00EF7270"/>
    <w:rsid w:val="00EF7281"/>
    <w:rsid w:val="00EF72A1"/>
    <w:rsid w:val="00EF731D"/>
    <w:rsid w:val="00EF7343"/>
    <w:rsid w:val="00EF7371"/>
    <w:rsid w:val="00EF739B"/>
    <w:rsid w:val="00EF7482"/>
    <w:rsid w:val="00EF74BD"/>
    <w:rsid w:val="00EF74C9"/>
    <w:rsid w:val="00EF74E0"/>
    <w:rsid w:val="00EF74F6"/>
    <w:rsid w:val="00EF7505"/>
    <w:rsid w:val="00EF7529"/>
    <w:rsid w:val="00EF7568"/>
    <w:rsid w:val="00EF75AC"/>
    <w:rsid w:val="00EF75B1"/>
    <w:rsid w:val="00EF75C5"/>
    <w:rsid w:val="00EF768F"/>
    <w:rsid w:val="00EF7695"/>
    <w:rsid w:val="00EF76C6"/>
    <w:rsid w:val="00EF7785"/>
    <w:rsid w:val="00EF77B2"/>
    <w:rsid w:val="00EF77E4"/>
    <w:rsid w:val="00EF77FF"/>
    <w:rsid w:val="00EF7921"/>
    <w:rsid w:val="00EF792B"/>
    <w:rsid w:val="00EF79A0"/>
    <w:rsid w:val="00EF79A8"/>
    <w:rsid w:val="00EF79AF"/>
    <w:rsid w:val="00EF79D3"/>
    <w:rsid w:val="00EF79F6"/>
    <w:rsid w:val="00EF7C0B"/>
    <w:rsid w:val="00EF7C3A"/>
    <w:rsid w:val="00EF7C63"/>
    <w:rsid w:val="00EF7CD6"/>
    <w:rsid w:val="00EF7D52"/>
    <w:rsid w:val="00EF7D71"/>
    <w:rsid w:val="00EF7DC3"/>
    <w:rsid w:val="00EF7E24"/>
    <w:rsid w:val="00EF7E25"/>
    <w:rsid w:val="00EF7E2D"/>
    <w:rsid w:val="00EF7E36"/>
    <w:rsid w:val="00EF7E71"/>
    <w:rsid w:val="00EF7F36"/>
    <w:rsid w:val="00EF7F6F"/>
    <w:rsid w:val="00F00016"/>
    <w:rsid w:val="00F0004D"/>
    <w:rsid w:val="00F00185"/>
    <w:rsid w:val="00F00188"/>
    <w:rsid w:val="00F001BA"/>
    <w:rsid w:val="00F0023D"/>
    <w:rsid w:val="00F002AF"/>
    <w:rsid w:val="00F002EB"/>
    <w:rsid w:val="00F00313"/>
    <w:rsid w:val="00F00327"/>
    <w:rsid w:val="00F0034F"/>
    <w:rsid w:val="00F0035F"/>
    <w:rsid w:val="00F00367"/>
    <w:rsid w:val="00F003AF"/>
    <w:rsid w:val="00F003B8"/>
    <w:rsid w:val="00F0050D"/>
    <w:rsid w:val="00F00510"/>
    <w:rsid w:val="00F00532"/>
    <w:rsid w:val="00F0057A"/>
    <w:rsid w:val="00F00595"/>
    <w:rsid w:val="00F005DE"/>
    <w:rsid w:val="00F005E7"/>
    <w:rsid w:val="00F005FE"/>
    <w:rsid w:val="00F00625"/>
    <w:rsid w:val="00F00674"/>
    <w:rsid w:val="00F006D6"/>
    <w:rsid w:val="00F006F4"/>
    <w:rsid w:val="00F00741"/>
    <w:rsid w:val="00F00745"/>
    <w:rsid w:val="00F0077D"/>
    <w:rsid w:val="00F00795"/>
    <w:rsid w:val="00F00797"/>
    <w:rsid w:val="00F007C9"/>
    <w:rsid w:val="00F007E2"/>
    <w:rsid w:val="00F00831"/>
    <w:rsid w:val="00F008BA"/>
    <w:rsid w:val="00F008CE"/>
    <w:rsid w:val="00F0093B"/>
    <w:rsid w:val="00F009BD"/>
    <w:rsid w:val="00F009DC"/>
    <w:rsid w:val="00F00A55"/>
    <w:rsid w:val="00F00B15"/>
    <w:rsid w:val="00F00B42"/>
    <w:rsid w:val="00F00BAC"/>
    <w:rsid w:val="00F00BF4"/>
    <w:rsid w:val="00F00C49"/>
    <w:rsid w:val="00F00C4B"/>
    <w:rsid w:val="00F00C60"/>
    <w:rsid w:val="00F00C8A"/>
    <w:rsid w:val="00F00CA5"/>
    <w:rsid w:val="00F00CE7"/>
    <w:rsid w:val="00F00CE8"/>
    <w:rsid w:val="00F00CF5"/>
    <w:rsid w:val="00F00D83"/>
    <w:rsid w:val="00F00DA1"/>
    <w:rsid w:val="00F00E2E"/>
    <w:rsid w:val="00F00E4A"/>
    <w:rsid w:val="00F00E68"/>
    <w:rsid w:val="00F00E7B"/>
    <w:rsid w:val="00F00E9E"/>
    <w:rsid w:val="00F00EBA"/>
    <w:rsid w:val="00F00EEE"/>
    <w:rsid w:val="00F00EFD"/>
    <w:rsid w:val="00F00F20"/>
    <w:rsid w:val="00F00F5A"/>
    <w:rsid w:val="00F00F5C"/>
    <w:rsid w:val="00F00F5F"/>
    <w:rsid w:val="00F00F77"/>
    <w:rsid w:val="00F00FC0"/>
    <w:rsid w:val="00F01052"/>
    <w:rsid w:val="00F01075"/>
    <w:rsid w:val="00F0107C"/>
    <w:rsid w:val="00F01097"/>
    <w:rsid w:val="00F010C9"/>
    <w:rsid w:val="00F01105"/>
    <w:rsid w:val="00F0111E"/>
    <w:rsid w:val="00F01165"/>
    <w:rsid w:val="00F01173"/>
    <w:rsid w:val="00F011FF"/>
    <w:rsid w:val="00F01205"/>
    <w:rsid w:val="00F01206"/>
    <w:rsid w:val="00F0123E"/>
    <w:rsid w:val="00F012C0"/>
    <w:rsid w:val="00F012CD"/>
    <w:rsid w:val="00F01372"/>
    <w:rsid w:val="00F01391"/>
    <w:rsid w:val="00F013E2"/>
    <w:rsid w:val="00F013E8"/>
    <w:rsid w:val="00F013EA"/>
    <w:rsid w:val="00F01448"/>
    <w:rsid w:val="00F0144E"/>
    <w:rsid w:val="00F0147D"/>
    <w:rsid w:val="00F0148E"/>
    <w:rsid w:val="00F0158E"/>
    <w:rsid w:val="00F0164E"/>
    <w:rsid w:val="00F0168D"/>
    <w:rsid w:val="00F01699"/>
    <w:rsid w:val="00F0169A"/>
    <w:rsid w:val="00F0169E"/>
    <w:rsid w:val="00F016C4"/>
    <w:rsid w:val="00F01707"/>
    <w:rsid w:val="00F017A9"/>
    <w:rsid w:val="00F017EF"/>
    <w:rsid w:val="00F017F6"/>
    <w:rsid w:val="00F01804"/>
    <w:rsid w:val="00F01810"/>
    <w:rsid w:val="00F01811"/>
    <w:rsid w:val="00F018A6"/>
    <w:rsid w:val="00F0191C"/>
    <w:rsid w:val="00F01942"/>
    <w:rsid w:val="00F01952"/>
    <w:rsid w:val="00F01975"/>
    <w:rsid w:val="00F0197E"/>
    <w:rsid w:val="00F019B8"/>
    <w:rsid w:val="00F019CB"/>
    <w:rsid w:val="00F01A04"/>
    <w:rsid w:val="00F01A2F"/>
    <w:rsid w:val="00F01AEE"/>
    <w:rsid w:val="00F01AFD"/>
    <w:rsid w:val="00F01B0E"/>
    <w:rsid w:val="00F01B84"/>
    <w:rsid w:val="00F01BAC"/>
    <w:rsid w:val="00F01BB8"/>
    <w:rsid w:val="00F01BBB"/>
    <w:rsid w:val="00F01C17"/>
    <w:rsid w:val="00F01C45"/>
    <w:rsid w:val="00F01DB4"/>
    <w:rsid w:val="00F01E0D"/>
    <w:rsid w:val="00F01E10"/>
    <w:rsid w:val="00F01E15"/>
    <w:rsid w:val="00F01E2E"/>
    <w:rsid w:val="00F01E4F"/>
    <w:rsid w:val="00F01EED"/>
    <w:rsid w:val="00F01EF0"/>
    <w:rsid w:val="00F01F50"/>
    <w:rsid w:val="00F01F75"/>
    <w:rsid w:val="00F01F7C"/>
    <w:rsid w:val="00F01FEA"/>
    <w:rsid w:val="00F01FF0"/>
    <w:rsid w:val="00F0200F"/>
    <w:rsid w:val="00F0207F"/>
    <w:rsid w:val="00F020B3"/>
    <w:rsid w:val="00F02111"/>
    <w:rsid w:val="00F02114"/>
    <w:rsid w:val="00F0214D"/>
    <w:rsid w:val="00F0217F"/>
    <w:rsid w:val="00F02188"/>
    <w:rsid w:val="00F021E8"/>
    <w:rsid w:val="00F02208"/>
    <w:rsid w:val="00F02218"/>
    <w:rsid w:val="00F02233"/>
    <w:rsid w:val="00F02259"/>
    <w:rsid w:val="00F0237F"/>
    <w:rsid w:val="00F02396"/>
    <w:rsid w:val="00F023F8"/>
    <w:rsid w:val="00F02416"/>
    <w:rsid w:val="00F02487"/>
    <w:rsid w:val="00F0249A"/>
    <w:rsid w:val="00F024B0"/>
    <w:rsid w:val="00F024EE"/>
    <w:rsid w:val="00F024FD"/>
    <w:rsid w:val="00F0252B"/>
    <w:rsid w:val="00F02555"/>
    <w:rsid w:val="00F0256F"/>
    <w:rsid w:val="00F025A5"/>
    <w:rsid w:val="00F0260C"/>
    <w:rsid w:val="00F02654"/>
    <w:rsid w:val="00F0265D"/>
    <w:rsid w:val="00F0265E"/>
    <w:rsid w:val="00F0267C"/>
    <w:rsid w:val="00F026A7"/>
    <w:rsid w:val="00F026F9"/>
    <w:rsid w:val="00F02703"/>
    <w:rsid w:val="00F02723"/>
    <w:rsid w:val="00F02741"/>
    <w:rsid w:val="00F02795"/>
    <w:rsid w:val="00F0279C"/>
    <w:rsid w:val="00F027B6"/>
    <w:rsid w:val="00F027CF"/>
    <w:rsid w:val="00F027ED"/>
    <w:rsid w:val="00F02812"/>
    <w:rsid w:val="00F0288C"/>
    <w:rsid w:val="00F028FA"/>
    <w:rsid w:val="00F02903"/>
    <w:rsid w:val="00F0295E"/>
    <w:rsid w:val="00F02962"/>
    <w:rsid w:val="00F02967"/>
    <w:rsid w:val="00F02979"/>
    <w:rsid w:val="00F0298A"/>
    <w:rsid w:val="00F029B9"/>
    <w:rsid w:val="00F029BB"/>
    <w:rsid w:val="00F029FB"/>
    <w:rsid w:val="00F02A27"/>
    <w:rsid w:val="00F02A3A"/>
    <w:rsid w:val="00F02A8D"/>
    <w:rsid w:val="00F02ACB"/>
    <w:rsid w:val="00F02B13"/>
    <w:rsid w:val="00F02B16"/>
    <w:rsid w:val="00F02B55"/>
    <w:rsid w:val="00F02B98"/>
    <w:rsid w:val="00F02BEC"/>
    <w:rsid w:val="00F02BFF"/>
    <w:rsid w:val="00F02C1A"/>
    <w:rsid w:val="00F02CED"/>
    <w:rsid w:val="00F02CF2"/>
    <w:rsid w:val="00F02D4C"/>
    <w:rsid w:val="00F02DE9"/>
    <w:rsid w:val="00F02E87"/>
    <w:rsid w:val="00F02E89"/>
    <w:rsid w:val="00F02F33"/>
    <w:rsid w:val="00F02FA7"/>
    <w:rsid w:val="00F03028"/>
    <w:rsid w:val="00F03081"/>
    <w:rsid w:val="00F03085"/>
    <w:rsid w:val="00F030B4"/>
    <w:rsid w:val="00F030CA"/>
    <w:rsid w:val="00F030D0"/>
    <w:rsid w:val="00F030D7"/>
    <w:rsid w:val="00F031C4"/>
    <w:rsid w:val="00F0326C"/>
    <w:rsid w:val="00F032F6"/>
    <w:rsid w:val="00F0330C"/>
    <w:rsid w:val="00F03350"/>
    <w:rsid w:val="00F03356"/>
    <w:rsid w:val="00F03373"/>
    <w:rsid w:val="00F033D3"/>
    <w:rsid w:val="00F03406"/>
    <w:rsid w:val="00F03477"/>
    <w:rsid w:val="00F034A0"/>
    <w:rsid w:val="00F034C2"/>
    <w:rsid w:val="00F03536"/>
    <w:rsid w:val="00F03550"/>
    <w:rsid w:val="00F0355A"/>
    <w:rsid w:val="00F03587"/>
    <w:rsid w:val="00F035E2"/>
    <w:rsid w:val="00F036C5"/>
    <w:rsid w:val="00F036DE"/>
    <w:rsid w:val="00F03755"/>
    <w:rsid w:val="00F037DE"/>
    <w:rsid w:val="00F037F5"/>
    <w:rsid w:val="00F03829"/>
    <w:rsid w:val="00F038C6"/>
    <w:rsid w:val="00F038D3"/>
    <w:rsid w:val="00F0391C"/>
    <w:rsid w:val="00F03920"/>
    <w:rsid w:val="00F03942"/>
    <w:rsid w:val="00F0396F"/>
    <w:rsid w:val="00F039B1"/>
    <w:rsid w:val="00F039F2"/>
    <w:rsid w:val="00F03A33"/>
    <w:rsid w:val="00F03ADB"/>
    <w:rsid w:val="00F03C3A"/>
    <w:rsid w:val="00F03C76"/>
    <w:rsid w:val="00F03CE5"/>
    <w:rsid w:val="00F03D1A"/>
    <w:rsid w:val="00F03D2A"/>
    <w:rsid w:val="00F03D6B"/>
    <w:rsid w:val="00F03D73"/>
    <w:rsid w:val="00F03DE6"/>
    <w:rsid w:val="00F03E1D"/>
    <w:rsid w:val="00F03E32"/>
    <w:rsid w:val="00F03E3A"/>
    <w:rsid w:val="00F03EDE"/>
    <w:rsid w:val="00F03F2B"/>
    <w:rsid w:val="00F03F36"/>
    <w:rsid w:val="00F03F9E"/>
    <w:rsid w:val="00F03FAC"/>
    <w:rsid w:val="00F03FCE"/>
    <w:rsid w:val="00F03FF9"/>
    <w:rsid w:val="00F04045"/>
    <w:rsid w:val="00F0407B"/>
    <w:rsid w:val="00F040AE"/>
    <w:rsid w:val="00F0416C"/>
    <w:rsid w:val="00F041DF"/>
    <w:rsid w:val="00F04262"/>
    <w:rsid w:val="00F0427C"/>
    <w:rsid w:val="00F0428D"/>
    <w:rsid w:val="00F042CC"/>
    <w:rsid w:val="00F0433B"/>
    <w:rsid w:val="00F04341"/>
    <w:rsid w:val="00F04351"/>
    <w:rsid w:val="00F04369"/>
    <w:rsid w:val="00F04382"/>
    <w:rsid w:val="00F043AC"/>
    <w:rsid w:val="00F043B4"/>
    <w:rsid w:val="00F043E5"/>
    <w:rsid w:val="00F04414"/>
    <w:rsid w:val="00F04425"/>
    <w:rsid w:val="00F0444B"/>
    <w:rsid w:val="00F0449D"/>
    <w:rsid w:val="00F04500"/>
    <w:rsid w:val="00F045C7"/>
    <w:rsid w:val="00F04628"/>
    <w:rsid w:val="00F0462C"/>
    <w:rsid w:val="00F04630"/>
    <w:rsid w:val="00F04657"/>
    <w:rsid w:val="00F04670"/>
    <w:rsid w:val="00F0468A"/>
    <w:rsid w:val="00F0471E"/>
    <w:rsid w:val="00F047BC"/>
    <w:rsid w:val="00F04889"/>
    <w:rsid w:val="00F048CD"/>
    <w:rsid w:val="00F04936"/>
    <w:rsid w:val="00F04999"/>
    <w:rsid w:val="00F049E1"/>
    <w:rsid w:val="00F04A7E"/>
    <w:rsid w:val="00F04AD3"/>
    <w:rsid w:val="00F04AF0"/>
    <w:rsid w:val="00F04B22"/>
    <w:rsid w:val="00F04B66"/>
    <w:rsid w:val="00F04B82"/>
    <w:rsid w:val="00F04BE2"/>
    <w:rsid w:val="00F04C78"/>
    <w:rsid w:val="00F04D3D"/>
    <w:rsid w:val="00F04D76"/>
    <w:rsid w:val="00F04DBB"/>
    <w:rsid w:val="00F04DF4"/>
    <w:rsid w:val="00F04E54"/>
    <w:rsid w:val="00F04EBE"/>
    <w:rsid w:val="00F04EDC"/>
    <w:rsid w:val="00F04EE2"/>
    <w:rsid w:val="00F04F3A"/>
    <w:rsid w:val="00F04F4C"/>
    <w:rsid w:val="00F04F59"/>
    <w:rsid w:val="00F04F93"/>
    <w:rsid w:val="00F04FAA"/>
    <w:rsid w:val="00F04FD3"/>
    <w:rsid w:val="00F04FE8"/>
    <w:rsid w:val="00F0502E"/>
    <w:rsid w:val="00F0503C"/>
    <w:rsid w:val="00F05097"/>
    <w:rsid w:val="00F0509E"/>
    <w:rsid w:val="00F050E1"/>
    <w:rsid w:val="00F0510D"/>
    <w:rsid w:val="00F0511D"/>
    <w:rsid w:val="00F0512E"/>
    <w:rsid w:val="00F0520D"/>
    <w:rsid w:val="00F05271"/>
    <w:rsid w:val="00F0528E"/>
    <w:rsid w:val="00F0535B"/>
    <w:rsid w:val="00F053BB"/>
    <w:rsid w:val="00F053C8"/>
    <w:rsid w:val="00F054BA"/>
    <w:rsid w:val="00F054CD"/>
    <w:rsid w:val="00F0550D"/>
    <w:rsid w:val="00F05548"/>
    <w:rsid w:val="00F05558"/>
    <w:rsid w:val="00F05569"/>
    <w:rsid w:val="00F05575"/>
    <w:rsid w:val="00F055BF"/>
    <w:rsid w:val="00F055C3"/>
    <w:rsid w:val="00F055F4"/>
    <w:rsid w:val="00F05666"/>
    <w:rsid w:val="00F056EC"/>
    <w:rsid w:val="00F0570E"/>
    <w:rsid w:val="00F05760"/>
    <w:rsid w:val="00F0576C"/>
    <w:rsid w:val="00F05994"/>
    <w:rsid w:val="00F05995"/>
    <w:rsid w:val="00F05A32"/>
    <w:rsid w:val="00F05A4D"/>
    <w:rsid w:val="00F05A83"/>
    <w:rsid w:val="00F05A8D"/>
    <w:rsid w:val="00F05ACE"/>
    <w:rsid w:val="00F05AD2"/>
    <w:rsid w:val="00F05C76"/>
    <w:rsid w:val="00F05CDB"/>
    <w:rsid w:val="00F05D43"/>
    <w:rsid w:val="00F05D94"/>
    <w:rsid w:val="00F05DA7"/>
    <w:rsid w:val="00F05DB1"/>
    <w:rsid w:val="00F05DEE"/>
    <w:rsid w:val="00F05DF2"/>
    <w:rsid w:val="00F05E12"/>
    <w:rsid w:val="00F05E58"/>
    <w:rsid w:val="00F05EFC"/>
    <w:rsid w:val="00F05F3B"/>
    <w:rsid w:val="00F05F7C"/>
    <w:rsid w:val="00F05FDB"/>
    <w:rsid w:val="00F0606D"/>
    <w:rsid w:val="00F0608A"/>
    <w:rsid w:val="00F06136"/>
    <w:rsid w:val="00F0614C"/>
    <w:rsid w:val="00F061A4"/>
    <w:rsid w:val="00F061A9"/>
    <w:rsid w:val="00F061E0"/>
    <w:rsid w:val="00F0623F"/>
    <w:rsid w:val="00F063A1"/>
    <w:rsid w:val="00F063B8"/>
    <w:rsid w:val="00F063EE"/>
    <w:rsid w:val="00F0645F"/>
    <w:rsid w:val="00F0647E"/>
    <w:rsid w:val="00F06488"/>
    <w:rsid w:val="00F064B1"/>
    <w:rsid w:val="00F064D1"/>
    <w:rsid w:val="00F065A5"/>
    <w:rsid w:val="00F06610"/>
    <w:rsid w:val="00F0663B"/>
    <w:rsid w:val="00F0664D"/>
    <w:rsid w:val="00F0666B"/>
    <w:rsid w:val="00F0666C"/>
    <w:rsid w:val="00F066EA"/>
    <w:rsid w:val="00F0670C"/>
    <w:rsid w:val="00F06719"/>
    <w:rsid w:val="00F06761"/>
    <w:rsid w:val="00F067AB"/>
    <w:rsid w:val="00F067FE"/>
    <w:rsid w:val="00F06897"/>
    <w:rsid w:val="00F068D8"/>
    <w:rsid w:val="00F06929"/>
    <w:rsid w:val="00F0695C"/>
    <w:rsid w:val="00F0696F"/>
    <w:rsid w:val="00F06A44"/>
    <w:rsid w:val="00F06A59"/>
    <w:rsid w:val="00F06A5F"/>
    <w:rsid w:val="00F06AE2"/>
    <w:rsid w:val="00F06B2B"/>
    <w:rsid w:val="00F06B3A"/>
    <w:rsid w:val="00F06B56"/>
    <w:rsid w:val="00F06B80"/>
    <w:rsid w:val="00F06BD5"/>
    <w:rsid w:val="00F06BDB"/>
    <w:rsid w:val="00F06BE8"/>
    <w:rsid w:val="00F06C26"/>
    <w:rsid w:val="00F06C67"/>
    <w:rsid w:val="00F06DB4"/>
    <w:rsid w:val="00F06E17"/>
    <w:rsid w:val="00F06E20"/>
    <w:rsid w:val="00F06E38"/>
    <w:rsid w:val="00F06E4F"/>
    <w:rsid w:val="00F06F45"/>
    <w:rsid w:val="00F06F88"/>
    <w:rsid w:val="00F06FA6"/>
    <w:rsid w:val="00F06FDB"/>
    <w:rsid w:val="00F06FE1"/>
    <w:rsid w:val="00F07003"/>
    <w:rsid w:val="00F07009"/>
    <w:rsid w:val="00F0706D"/>
    <w:rsid w:val="00F070F7"/>
    <w:rsid w:val="00F07108"/>
    <w:rsid w:val="00F0710F"/>
    <w:rsid w:val="00F07111"/>
    <w:rsid w:val="00F07125"/>
    <w:rsid w:val="00F0712C"/>
    <w:rsid w:val="00F07133"/>
    <w:rsid w:val="00F071AE"/>
    <w:rsid w:val="00F071C2"/>
    <w:rsid w:val="00F0723A"/>
    <w:rsid w:val="00F07272"/>
    <w:rsid w:val="00F072C6"/>
    <w:rsid w:val="00F072F2"/>
    <w:rsid w:val="00F0734B"/>
    <w:rsid w:val="00F0734C"/>
    <w:rsid w:val="00F07399"/>
    <w:rsid w:val="00F073DC"/>
    <w:rsid w:val="00F073E0"/>
    <w:rsid w:val="00F073FB"/>
    <w:rsid w:val="00F07444"/>
    <w:rsid w:val="00F074F2"/>
    <w:rsid w:val="00F075C8"/>
    <w:rsid w:val="00F07675"/>
    <w:rsid w:val="00F0772C"/>
    <w:rsid w:val="00F077B4"/>
    <w:rsid w:val="00F077C8"/>
    <w:rsid w:val="00F07801"/>
    <w:rsid w:val="00F07816"/>
    <w:rsid w:val="00F07830"/>
    <w:rsid w:val="00F0785B"/>
    <w:rsid w:val="00F078C6"/>
    <w:rsid w:val="00F078F4"/>
    <w:rsid w:val="00F0792F"/>
    <w:rsid w:val="00F07952"/>
    <w:rsid w:val="00F07996"/>
    <w:rsid w:val="00F079A9"/>
    <w:rsid w:val="00F079AE"/>
    <w:rsid w:val="00F079B3"/>
    <w:rsid w:val="00F079B6"/>
    <w:rsid w:val="00F079C0"/>
    <w:rsid w:val="00F079E9"/>
    <w:rsid w:val="00F07AC2"/>
    <w:rsid w:val="00F07BA0"/>
    <w:rsid w:val="00F07BB6"/>
    <w:rsid w:val="00F07BFA"/>
    <w:rsid w:val="00F07C2D"/>
    <w:rsid w:val="00F07CBA"/>
    <w:rsid w:val="00F07D04"/>
    <w:rsid w:val="00F07D24"/>
    <w:rsid w:val="00F07D57"/>
    <w:rsid w:val="00F07D71"/>
    <w:rsid w:val="00F07D7C"/>
    <w:rsid w:val="00F07E2F"/>
    <w:rsid w:val="00F07E9D"/>
    <w:rsid w:val="00F07EA7"/>
    <w:rsid w:val="00F07EB9"/>
    <w:rsid w:val="00F07F28"/>
    <w:rsid w:val="00F07F4C"/>
    <w:rsid w:val="00F07F5A"/>
    <w:rsid w:val="00F07F75"/>
    <w:rsid w:val="00F07F83"/>
    <w:rsid w:val="00F07F9A"/>
    <w:rsid w:val="00F07F9E"/>
    <w:rsid w:val="00F07FB8"/>
    <w:rsid w:val="00F0D966"/>
    <w:rsid w:val="00F1004B"/>
    <w:rsid w:val="00F10081"/>
    <w:rsid w:val="00F1009B"/>
    <w:rsid w:val="00F1015E"/>
    <w:rsid w:val="00F101CF"/>
    <w:rsid w:val="00F10202"/>
    <w:rsid w:val="00F10213"/>
    <w:rsid w:val="00F10249"/>
    <w:rsid w:val="00F10302"/>
    <w:rsid w:val="00F10320"/>
    <w:rsid w:val="00F10341"/>
    <w:rsid w:val="00F1034B"/>
    <w:rsid w:val="00F10358"/>
    <w:rsid w:val="00F10374"/>
    <w:rsid w:val="00F10382"/>
    <w:rsid w:val="00F103D4"/>
    <w:rsid w:val="00F103F5"/>
    <w:rsid w:val="00F1048C"/>
    <w:rsid w:val="00F10498"/>
    <w:rsid w:val="00F104C6"/>
    <w:rsid w:val="00F10535"/>
    <w:rsid w:val="00F10537"/>
    <w:rsid w:val="00F1054E"/>
    <w:rsid w:val="00F1059B"/>
    <w:rsid w:val="00F105D6"/>
    <w:rsid w:val="00F10658"/>
    <w:rsid w:val="00F10683"/>
    <w:rsid w:val="00F106B0"/>
    <w:rsid w:val="00F106B6"/>
    <w:rsid w:val="00F10707"/>
    <w:rsid w:val="00F1071F"/>
    <w:rsid w:val="00F1077F"/>
    <w:rsid w:val="00F10783"/>
    <w:rsid w:val="00F10803"/>
    <w:rsid w:val="00F10859"/>
    <w:rsid w:val="00F10919"/>
    <w:rsid w:val="00F10956"/>
    <w:rsid w:val="00F1095A"/>
    <w:rsid w:val="00F10990"/>
    <w:rsid w:val="00F1099C"/>
    <w:rsid w:val="00F109EB"/>
    <w:rsid w:val="00F109F2"/>
    <w:rsid w:val="00F10A20"/>
    <w:rsid w:val="00F10A62"/>
    <w:rsid w:val="00F10A73"/>
    <w:rsid w:val="00F10A92"/>
    <w:rsid w:val="00F10ABD"/>
    <w:rsid w:val="00F10AC9"/>
    <w:rsid w:val="00F10BC6"/>
    <w:rsid w:val="00F10BD1"/>
    <w:rsid w:val="00F10BE5"/>
    <w:rsid w:val="00F10C23"/>
    <w:rsid w:val="00F10C3B"/>
    <w:rsid w:val="00F10C53"/>
    <w:rsid w:val="00F10C94"/>
    <w:rsid w:val="00F10CC8"/>
    <w:rsid w:val="00F10CD6"/>
    <w:rsid w:val="00F10D95"/>
    <w:rsid w:val="00F10EF5"/>
    <w:rsid w:val="00F11051"/>
    <w:rsid w:val="00F11079"/>
    <w:rsid w:val="00F11089"/>
    <w:rsid w:val="00F110B5"/>
    <w:rsid w:val="00F1114F"/>
    <w:rsid w:val="00F11155"/>
    <w:rsid w:val="00F11178"/>
    <w:rsid w:val="00F1124B"/>
    <w:rsid w:val="00F112F4"/>
    <w:rsid w:val="00F11393"/>
    <w:rsid w:val="00F113C4"/>
    <w:rsid w:val="00F11484"/>
    <w:rsid w:val="00F1152A"/>
    <w:rsid w:val="00F115CA"/>
    <w:rsid w:val="00F11644"/>
    <w:rsid w:val="00F1164A"/>
    <w:rsid w:val="00F11674"/>
    <w:rsid w:val="00F116E1"/>
    <w:rsid w:val="00F11721"/>
    <w:rsid w:val="00F11736"/>
    <w:rsid w:val="00F11788"/>
    <w:rsid w:val="00F117A2"/>
    <w:rsid w:val="00F117FE"/>
    <w:rsid w:val="00F11827"/>
    <w:rsid w:val="00F11834"/>
    <w:rsid w:val="00F1186C"/>
    <w:rsid w:val="00F1189B"/>
    <w:rsid w:val="00F118AA"/>
    <w:rsid w:val="00F118D9"/>
    <w:rsid w:val="00F118DB"/>
    <w:rsid w:val="00F118FD"/>
    <w:rsid w:val="00F1191A"/>
    <w:rsid w:val="00F1192A"/>
    <w:rsid w:val="00F1192F"/>
    <w:rsid w:val="00F11936"/>
    <w:rsid w:val="00F11945"/>
    <w:rsid w:val="00F11955"/>
    <w:rsid w:val="00F11977"/>
    <w:rsid w:val="00F1198E"/>
    <w:rsid w:val="00F119AC"/>
    <w:rsid w:val="00F119AF"/>
    <w:rsid w:val="00F119C5"/>
    <w:rsid w:val="00F119FF"/>
    <w:rsid w:val="00F11A7B"/>
    <w:rsid w:val="00F11AF3"/>
    <w:rsid w:val="00F11AF5"/>
    <w:rsid w:val="00F11B20"/>
    <w:rsid w:val="00F11B94"/>
    <w:rsid w:val="00F11BC8"/>
    <w:rsid w:val="00F11BD0"/>
    <w:rsid w:val="00F11BD7"/>
    <w:rsid w:val="00F11BF9"/>
    <w:rsid w:val="00F11C23"/>
    <w:rsid w:val="00F11C24"/>
    <w:rsid w:val="00F11C55"/>
    <w:rsid w:val="00F11D04"/>
    <w:rsid w:val="00F11DA6"/>
    <w:rsid w:val="00F11E0D"/>
    <w:rsid w:val="00F11E37"/>
    <w:rsid w:val="00F11E3F"/>
    <w:rsid w:val="00F11E67"/>
    <w:rsid w:val="00F11EFA"/>
    <w:rsid w:val="00F11F42"/>
    <w:rsid w:val="00F11FAB"/>
    <w:rsid w:val="00F120CB"/>
    <w:rsid w:val="00F12141"/>
    <w:rsid w:val="00F1214A"/>
    <w:rsid w:val="00F12176"/>
    <w:rsid w:val="00F1217E"/>
    <w:rsid w:val="00F1218C"/>
    <w:rsid w:val="00F121CC"/>
    <w:rsid w:val="00F121DB"/>
    <w:rsid w:val="00F12286"/>
    <w:rsid w:val="00F12312"/>
    <w:rsid w:val="00F1234B"/>
    <w:rsid w:val="00F12479"/>
    <w:rsid w:val="00F12490"/>
    <w:rsid w:val="00F124A0"/>
    <w:rsid w:val="00F124B3"/>
    <w:rsid w:val="00F1251D"/>
    <w:rsid w:val="00F12543"/>
    <w:rsid w:val="00F1254E"/>
    <w:rsid w:val="00F125A0"/>
    <w:rsid w:val="00F125CC"/>
    <w:rsid w:val="00F12625"/>
    <w:rsid w:val="00F1265F"/>
    <w:rsid w:val="00F1268F"/>
    <w:rsid w:val="00F126BA"/>
    <w:rsid w:val="00F126BC"/>
    <w:rsid w:val="00F12719"/>
    <w:rsid w:val="00F1272F"/>
    <w:rsid w:val="00F12771"/>
    <w:rsid w:val="00F127A6"/>
    <w:rsid w:val="00F127DB"/>
    <w:rsid w:val="00F12856"/>
    <w:rsid w:val="00F128A7"/>
    <w:rsid w:val="00F128DD"/>
    <w:rsid w:val="00F128F7"/>
    <w:rsid w:val="00F12928"/>
    <w:rsid w:val="00F1298A"/>
    <w:rsid w:val="00F129BC"/>
    <w:rsid w:val="00F129ED"/>
    <w:rsid w:val="00F12A71"/>
    <w:rsid w:val="00F12ADF"/>
    <w:rsid w:val="00F12B01"/>
    <w:rsid w:val="00F12B6F"/>
    <w:rsid w:val="00F12BDA"/>
    <w:rsid w:val="00F12BF0"/>
    <w:rsid w:val="00F12BFE"/>
    <w:rsid w:val="00F12C4E"/>
    <w:rsid w:val="00F12C6D"/>
    <w:rsid w:val="00F12CBC"/>
    <w:rsid w:val="00F12D2D"/>
    <w:rsid w:val="00F12D42"/>
    <w:rsid w:val="00F12E36"/>
    <w:rsid w:val="00F12E9F"/>
    <w:rsid w:val="00F12F17"/>
    <w:rsid w:val="00F12F21"/>
    <w:rsid w:val="00F12FAC"/>
    <w:rsid w:val="00F1300A"/>
    <w:rsid w:val="00F1308D"/>
    <w:rsid w:val="00F1308F"/>
    <w:rsid w:val="00F130B5"/>
    <w:rsid w:val="00F130BB"/>
    <w:rsid w:val="00F130C3"/>
    <w:rsid w:val="00F130D3"/>
    <w:rsid w:val="00F13122"/>
    <w:rsid w:val="00F13169"/>
    <w:rsid w:val="00F131DA"/>
    <w:rsid w:val="00F131F4"/>
    <w:rsid w:val="00F13215"/>
    <w:rsid w:val="00F1322D"/>
    <w:rsid w:val="00F13271"/>
    <w:rsid w:val="00F132B2"/>
    <w:rsid w:val="00F132B3"/>
    <w:rsid w:val="00F132C5"/>
    <w:rsid w:val="00F132DC"/>
    <w:rsid w:val="00F13330"/>
    <w:rsid w:val="00F13357"/>
    <w:rsid w:val="00F133AF"/>
    <w:rsid w:val="00F1342B"/>
    <w:rsid w:val="00F1347A"/>
    <w:rsid w:val="00F134A4"/>
    <w:rsid w:val="00F1355E"/>
    <w:rsid w:val="00F135A3"/>
    <w:rsid w:val="00F135C4"/>
    <w:rsid w:val="00F135CE"/>
    <w:rsid w:val="00F1364D"/>
    <w:rsid w:val="00F1368B"/>
    <w:rsid w:val="00F1369C"/>
    <w:rsid w:val="00F136C4"/>
    <w:rsid w:val="00F136CF"/>
    <w:rsid w:val="00F136D6"/>
    <w:rsid w:val="00F13780"/>
    <w:rsid w:val="00F13803"/>
    <w:rsid w:val="00F1380A"/>
    <w:rsid w:val="00F138D4"/>
    <w:rsid w:val="00F13940"/>
    <w:rsid w:val="00F1394C"/>
    <w:rsid w:val="00F13992"/>
    <w:rsid w:val="00F139C2"/>
    <w:rsid w:val="00F13A02"/>
    <w:rsid w:val="00F13A5D"/>
    <w:rsid w:val="00F13A92"/>
    <w:rsid w:val="00F13A96"/>
    <w:rsid w:val="00F13AE4"/>
    <w:rsid w:val="00F13B09"/>
    <w:rsid w:val="00F13B0F"/>
    <w:rsid w:val="00F13B1A"/>
    <w:rsid w:val="00F13BA0"/>
    <w:rsid w:val="00F13BCF"/>
    <w:rsid w:val="00F13BDD"/>
    <w:rsid w:val="00F13C20"/>
    <w:rsid w:val="00F13C44"/>
    <w:rsid w:val="00F13C97"/>
    <w:rsid w:val="00F13CB9"/>
    <w:rsid w:val="00F13D2D"/>
    <w:rsid w:val="00F13D94"/>
    <w:rsid w:val="00F13DA4"/>
    <w:rsid w:val="00F13DFF"/>
    <w:rsid w:val="00F13E1C"/>
    <w:rsid w:val="00F13E65"/>
    <w:rsid w:val="00F13E84"/>
    <w:rsid w:val="00F13E8C"/>
    <w:rsid w:val="00F13EA5"/>
    <w:rsid w:val="00F13EC7"/>
    <w:rsid w:val="00F13ECD"/>
    <w:rsid w:val="00F13EFB"/>
    <w:rsid w:val="00F13EFC"/>
    <w:rsid w:val="00F13F1C"/>
    <w:rsid w:val="00F13F31"/>
    <w:rsid w:val="00F13F60"/>
    <w:rsid w:val="00F13F64"/>
    <w:rsid w:val="00F13F7A"/>
    <w:rsid w:val="00F13F95"/>
    <w:rsid w:val="00F14029"/>
    <w:rsid w:val="00F14038"/>
    <w:rsid w:val="00F1408D"/>
    <w:rsid w:val="00F1409B"/>
    <w:rsid w:val="00F140CC"/>
    <w:rsid w:val="00F14110"/>
    <w:rsid w:val="00F14176"/>
    <w:rsid w:val="00F141A4"/>
    <w:rsid w:val="00F141F1"/>
    <w:rsid w:val="00F141F2"/>
    <w:rsid w:val="00F14238"/>
    <w:rsid w:val="00F14240"/>
    <w:rsid w:val="00F142E2"/>
    <w:rsid w:val="00F14353"/>
    <w:rsid w:val="00F14372"/>
    <w:rsid w:val="00F143BE"/>
    <w:rsid w:val="00F143CB"/>
    <w:rsid w:val="00F143F0"/>
    <w:rsid w:val="00F14417"/>
    <w:rsid w:val="00F14501"/>
    <w:rsid w:val="00F14508"/>
    <w:rsid w:val="00F14532"/>
    <w:rsid w:val="00F14540"/>
    <w:rsid w:val="00F14582"/>
    <w:rsid w:val="00F14586"/>
    <w:rsid w:val="00F1464D"/>
    <w:rsid w:val="00F14736"/>
    <w:rsid w:val="00F1473F"/>
    <w:rsid w:val="00F147CF"/>
    <w:rsid w:val="00F147EC"/>
    <w:rsid w:val="00F148AA"/>
    <w:rsid w:val="00F149D8"/>
    <w:rsid w:val="00F149E1"/>
    <w:rsid w:val="00F14A21"/>
    <w:rsid w:val="00F14A42"/>
    <w:rsid w:val="00F14A5B"/>
    <w:rsid w:val="00F14AAA"/>
    <w:rsid w:val="00F14AF8"/>
    <w:rsid w:val="00F14B8B"/>
    <w:rsid w:val="00F14B8C"/>
    <w:rsid w:val="00F14BBB"/>
    <w:rsid w:val="00F14BF4"/>
    <w:rsid w:val="00F14BF7"/>
    <w:rsid w:val="00F14C38"/>
    <w:rsid w:val="00F14C59"/>
    <w:rsid w:val="00F14C60"/>
    <w:rsid w:val="00F14C81"/>
    <w:rsid w:val="00F14CA8"/>
    <w:rsid w:val="00F14D62"/>
    <w:rsid w:val="00F14D6E"/>
    <w:rsid w:val="00F14DA4"/>
    <w:rsid w:val="00F14E20"/>
    <w:rsid w:val="00F14E23"/>
    <w:rsid w:val="00F14E58"/>
    <w:rsid w:val="00F14EBD"/>
    <w:rsid w:val="00F14EEF"/>
    <w:rsid w:val="00F14EF2"/>
    <w:rsid w:val="00F14F53"/>
    <w:rsid w:val="00F14FB5"/>
    <w:rsid w:val="00F1500C"/>
    <w:rsid w:val="00F15168"/>
    <w:rsid w:val="00F15178"/>
    <w:rsid w:val="00F1519E"/>
    <w:rsid w:val="00F151AB"/>
    <w:rsid w:val="00F151AC"/>
    <w:rsid w:val="00F151B2"/>
    <w:rsid w:val="00F151CD"/>
    <w:rsid w:val="00F15217"/>
    <w:rsid w:val="00F152B3"/>
    <w:rsid w:val="00F15362"/>
    <w:rsid w:val="00F153DF"/>
    <w:rsid w:val="00F153F6"/>
    <w:rsid w:val="00F15421"/>
    <w:rsid w:val="00F15453"/>
    <w:rsid w:val="00F15460"/>
    <w:rsid w:val="00F1548A"/>
    <w:rsid w:val="00F1548D"/>
    <w:rsid w:val="00F15499"/>
    <w:rsid w:val="00F154BC"/>
    <w:rsid w:val="00F15513"/>
    <w:rsid w:val="00F15599"/>
    <w:rsid w:val="00F15653"/>
    <w:rsid w:val="00F1569C"/>
    <w:rsid w:val="00F156AC"/>
    <w:rsid w:val="00F156B0"/>
    <w:rsid w:val="00F1571C"/>
    <w:rsid w:val="00F15778"/>
    <w:rsid w:val="00F1588C"/>
    <w:rsid w:val="00F15892"/>
    <w:rsid w:val="00F158DB"/>
    <w:rsid w:val="00F158FB"/>
    <w:rsid w:val="00F15930"/>
    <w:rsid w:val="00F15937"/>
    <w:rsid w:val="00F15980"/>
    <w:rsid w:val="00F159B7"/>
    <w:rsid w:val="00F159D8"/>
    <w:rsid w:val="00F15A1F"/>
    <w:rsid w:val="00F15A89"/>
    <w:rsid w:val="00F15AC8"/>
    <w:rsid w:val="00F15AF4"/>
    <w:rsid w:val="00F15B13"/>
    <w:rsid w:val="00F15B91"/>
    <w:rsid w:val="00F15BB6"/>
    <w:rsid w:val="00F15BBA"/>
    <w:rsid w:val="00F15C68"/>
    <w:rsid w:val="00F15C6E"/>
    <w:rsid w:val="00F15C85"/>
    <w:rsid w:val="00F15CE4"/>
    <w:rsid w:val="00F15CF7"/>
    <w:rsid w:val="00F15D0F"/>
    <w:rsid w:val="00F15D1E"/>
    <w:rsid w:val="00F15D36"/>
    <w:rsid w:val="00F15E10"/>
    <w:rsid w:val="00F15E55"/>
    <w:rsid w:val="00F15E9B"/>
    <w:rsid w:val="00F15EBC"/>
    <w:rsid w:val="00F15EC6"/>
    <w:rsid w:val="00F15F6C"/>
    <w:rsid w:val="00F15FC0"/>
    <w:rsid w:val="00F15FCC"/>
    <w:rsid w:val="00F16016"/>
    <w:rsid w:val="00F1603E"/>
    <w:rsid w:val="00F16070"/>
    <w:rsid w:val="00F16075"/>
    <w:rsid w:val="00F1617F"/>
    <w:rsid w:val="00F161A1"/>
    <w:rsid w:val="00F161F1"/>
    <w:rsid w:val="00F161FF"/>
    <w:rsid w:val="00F16239"/>
    <w:rsid w:val="00F1624A"/>
    <w:rsid w:val="00F1625D"/>
    <w:rsid w:val="00F16294"/>
    <w:rsid w:val="00F162B8"/>
    <w:rsid w:val="00F16334"/>
    <w:rsid w:val="00F1633A"/>
    <w:rsid w:val="00F16382"/>
    <w:rsid w:val="00F16385"/>
    <w:rsid w:val="00F16398"/>
    <w:rsid w:val="00F16401"/>
    <w:rsid w:val="00F16413"/>
    <w:rsid w:val="00F16433"/>
    <w:rsid w:val="00F16485"/>
    <w:rsid w:val="00F1649E"/>
    <w:rsid w:val="00F164D1"/>
    <w:rsid w:val="00F164D2"/>
    <w:rsid w:val="00F164EE"/>
    <w:rsid w:val="00F16512"/>
    <w:rsid w:val="00F16546"/>
    <w:rsid w:val="00F16580"/>
    <w:rsid w:val="00F165B2"/>
    <w:rsid w:val="00F165DD"/>
    <w:rsid w:val="00F16632"/>
    <w:rsid w:val="00F16641"/>
    <w:rsid w:val="00F1669F"/>
    <w:rsid w:val="00F166B6"/>
    <w:rsid w:val="00F166CA"/>
    <w:rsid w:val="00F166F9"/>
    <w:rsid w:val="00F16708"/>
    <w:rsid w:val="00F16717"/>
    <w:rsid w:val="00F16743"/>
    <w:rsid w:val="00F1679F"/>
    <w:rsid w:val="00F168A2"/>
    <w:rsid w:val="00F16951"/>
    <w:rsid w:val="00F16964"/>
    <w:rsid w:val="00F16969"/>
    <w:rsid w:val="00F16A69"/>
    <w:rsid w:val="00F16A6C"/>
    <w:rsid w:val="00F16AAE"/>
    <w:rsid w:val="00F16B52"/>
    <w:rsid w:val="00F16BAF"/>
    <w:rsid w:val="00F16C1B"/>
    <w:rsid w:val="00F16C63"/>
    <w:rsid w:val="00F16CC8"/>
    <w:rsid w:val="00F16D01"/>
    <w:rsid w:val="00F16D78"/>
    <w:rsid w:val="00F16D7B"/>
    <w:rsid w:val="00F16E0B"/>
    <w:rsid w:val="00F16E0C"/>
    <w:rsid w:val="00F16E2A"/>
    <w:rsid w:val="00F16E6C"/>
    <w:rsid w:val="00F16E93"/>
    <w:rsid w:val="00F16EC7"/>
    <w:rsid w:val="00F16EE8"/>
    <w:rsid w:val="00F16F0E"/>
    <w:rsid w:val="00F16F29"/>
    <w:rsid w:val="00F16F38"/>
    <w:rsid w:val="00F16F52"/>
    <w:rsid w:val="00F16F93"/>
    <w:rsid w:val="00F16FB6"/>
    <w:rsid w:val="00F1702A"/>
    <w:rsid w:val="00F17037"/>
    <w:rsid w:val="00F170A5"/>
    <w:rsid w:val="00F170BF"/>
    <w:rsid w:val="00F170E1"/>
    <w:rsid w:val="00F170EA"/>
    <w:rsid w:val="00F170F9"/>
    <w:rsid w:val="00F1710D"/>
    <w:rsid w:val="00F17189"/>
    <w:rsid w:val="00F17218"/>
    <w:rsid w:val="00F17227"/>
    <w:rsid w:val="00F172B7"/>
    <w:rsid w:val="00F172EE"/>
    <w:rsid w:val="00F17383"/>
    <w:rsid w:val="00F173BC"/>
    <w:rsid w:val="00F173C7"/>
    <w:rsid w:val="00F17506"/>
    <w:rsid w:val="00F17547"/>
    <w:rsid w:val="00F17565"/>
    <w:rsid w:val="00F17577"/>
    <w:rsid w:val="00F175A0"/>
    <w:rsid w:val="00F1764D"/>
    <w:rsid w:val="00F176DC"/>
    <w:rsid w:val="00F1770D"/>
    <w:rsid w:val="00F1775A"/>
    <w:rsid w:val="00F17771"/>
    <w:rsid w:val="00F17797"/>
    <w:rsid w:val="00F177BC"/>
    <w:rsid w:val="00F177C4"/>
    <w:rsid w:val="00F177C5"/>
    <w:rsid w:val="00F177CC"/>
    <w:rsid w:val="00F1784F"/>
    <w:rsid w:val="00F17863"/>
    <w:rsid w:val="00F1786E"/>
    <w:rsid w:val="00F178A6"/>
    <w:rsid w:val="00F178B1"/>
    <w:rsid w:val="00F17906"/>
    <w:rsid w:val="00F1793B"/>
    <w:rsid w:val="00F17A5A"/>
    <w:rsid w:val="00F17A7D"/>
    <w:rsid w:val="00F17A9E"/>
    <w:rsid w:val="00F17AA6"/>
    <w:rsid w:val="00F17B1D"/>
    <w:rsid w:val="00F17B72"/>
    <w:rsid w:val="00F17BAB"/>
    <w:rsid w:val="00F17C0D"/>
    <w:rsid w:val="00F17C24"/>
    <w:rsid w:val="00F17C38"/>
    <w:rsid w:val="00F17C5E"/>
    <w:rsid w:val="00F17D4C"/>
    <w:rsid w:val="00F17D91"/>
    <w:rsid w:val="00F17D9B"/>
    <w:rsid w:val="00F17DC9"/>
    <w:rsid w:val="00F17DD4"/>
    <w:rsid w:val="00F17DF3"/>
    <w:rsid w:val="00F17E2E"/>
    <w:rsid w:val="00F17E36"/>
    <w:rsid w:val="00F17E3C"/>
    <w:rsid w:val="00F17E68"/>
    <w:rsid w:val="00F17E6D"/>
    <w:rsid w:val="00F17E7F"/>
    <w:rsid w:val="00F17F59"/>
    <w:rsid w:val="00F17F60"/>
    <w:rsid w:val="00F17F75"/>
    <w:rsid w:val="00F17F7C"/>
    <w:rsid w:val="00F17F92"/>
    <w:rsid w:val="00F17FCD"/>
    <w:rsid w:val="00F20035"/>
    <w:rsid w:val="00F20070"/>
    <w:rsid w:val="00F2008C"/>
    <w:rsid w:val="00F20097"/>
    <w:rsid w:val="00F2009A"/>
    <w:rsid w:val="00F20185"/>
    <w:rsid w:val="00F201A1"/>
    <w:rsid w:val="00F201AE"/>
    <w:rsid w:val="00F20211"/>
    <w:rsid w:val="00F20237"/>
    <w:rsid w:val="00F20242"/>
    <w:rsid w:val="00F2025B"/>
    <w:rsid w:val="00F2025E"/>
    <w:rsid w:val="00F20272"/>
    <w:rsid w:val="00F2028B"/>
    <w:rsid w:val="00F202A6"/>
    <w:rsid w:val="00F20320"/>
    <w:rsid w:val="00F203F6"/>
    <w:rsid w:val="00F203FE"/>
    <w:rsid w:val="00F2042A"/>
    <w:rsid w:val="00F20471"/>
    <w:rsid w:val="00F204B3"/>
    <w:rsid w:val="00F20542"/>
    <w:rsid w:val="00F20683"/>
    <w:rsid w:val="00F20698"/>
    <w:rsid w:val="00F2069D"/>
    <w:rsid w:val="00F20747"/>
    <w:rsid w:val="00F2074D"/>
    <w:rsid w:val="00F20769"/>
    <w:rsid w:val="00F20788"/>
    <w:rsid w:val="00F20944"/>
    <w:rsid w:val="00F20971"/>
    <w:rsid w:val="00F20982"/>
    <w:rsid w:val="00F2098E"/>
    <w:rsid w:val="00F209E5"/>
    <w:rsid w:val="00F20A15"/>
    <w:rsid w:val="00F20A8D"/>
    <w:rsid w:val="00F20B42"/>
    <w:rsid w:val="00F20C0F"/>
    <w:rsid w:val="00F20C42"/>
    <w:rsid w:val="00F20C4B"/>
    <w:rsid w:val="00F20C77"/>
    <w:rsid w:val="00F20CA0"/>
    <w:rsid w:val="00F20D1E"/>
    <w:rsid w:val="00F20D2F"/>
    <w:rsid w:val="00F20D47"/>
    <w:rsid w:val="00F20D4C"/>
    <w:rsid w:val="00F20D63"/>
    <w:rsid w:val="00F20D82"/>
    <w:rsid w:val="00F20D9B"/>
    <w:rsid w:val="00F20E26"/>
    <w:rsid w:val="00F20E8D"/>
    <w:rsid w:val="00F20E9F"/>
    <w:rsid w:val="00F20ED8"/>
    <w:rsid w:val="00F20EF8"/>
    <w:rsid w:val="00F20F02"/>
    <w:rsid w:val="00F20F12"/>
    <w:rsid w:val="00F20F40"/>
    <w:rsid w:val="00F20F8D"/>
    <w:rsid w:val="00F20FAB"/>
    <w:rsid w:val="00F20FF0"/>
    <w:rsid w:val="00F20FFA"/>
    <w:rsid w:val="00F2104F"/>
    <w:rsid w:val="00F210DD"/>
    <w:rsid w:val="00F21107"/>
    <w:rsid w:val="00F211BA"/>
    <w:rsid w:val="00F2122B"/>
    <w:rsid w:val="00F21241"/>
    <w:rsid w:val="00F21282"/>
    <w:rsid w:val="00F21291"/>
    <w:rsid w:val="00F212DA"/>
    <w:rsid w:val="00F212EA"/>
    <w:rsid w:val="00F212EF"/>
    <w:rsid w:val="00F2132E"/>
    <w:rsid w:val="00F21365"/>
    <w:rsid w:val="00F2136A"/>
    <w:rsid w:val="00F213B1"/>
    <w:rsid w:val="00F2147F"/>
    <w:rsid w:val="00F214EB"/>
    <w:rsid w:val="00F21501"/>
    <w:rsid w:val="00F21521"/>
    <w:rsid w:val="00F2156D"/>
    <w:rsid w:val="00F215C9"/>
    <w:rsid w:val="00F215E6"/>
    <w:rsid w:val="00F2166D"/>
    <w:rsid w:val="00F216D9"/>
    <w:rsid w:val="00F21727"/>
    <w:rsid w:val="00F21735"/>
    <w:rsid w:val="00F217B4"/>
    <w:rsid w:val="00F217CF"/>
    <w:rsid w:val="00F21827"/>
    <w:rsid w:val="00F2182F"/>
    <w:rsid w:val="00F2184D"/>
    <w:rsid w:val="00F21885"/>
    <w:rsid w:val="00F2192F"/>
    <w:rsid w:val="00F21967"/>
    <w:rsid w:val="00F21A11"/>
    <w:rsid w:val="00F21AA7"/>
    <w:rsid w:val="00F21AC9"/>
    <w:rsid w:val="00F21B29"/>
    <w:rsid w:val="00F21B2F"/>
    <w:rsid w:val="00F21B8B"/>
    <w:rsid w:val="00F21BDE"/>
    <w:rsid w:val="00F21BEC"/>
    <w:rsid w:val="00F21C0F"/>
    <w:rsid w:val="00F21C10"/>
    <w:rsid w:val="00F21C60"/>
    <w:rsid w:val="00F21C9B"/>
    <w:rsid w:val="00F21CFC"/>
    <w:rsid w:val="00F21CFD"/>
    <w:rsid w:val="00F21D04"/>
    <w:rsid w:val="00F21D6C"/>
    <w:rsid w:val="00F21D6D"/>
    <w:rsid w:val="00F21DA1"/>
    <w:rsid w:val="00F21DAB"/>
    <w:rsid w:val="00F21DD2"/>
    <w:rsid w:val="00F21DD8"/>
    <w:rsid w:val="00F21E06"/>
    <w:rsid w:val="00F21E12"/>
    <w:rsid w:val="00F21E17"/>
    <w:rsid w:val="00F21E4C"/>
    <w:rsid w:val="00F21E74"/>
    <w:rsid w:val="00F21ECE"/>
    <w:rsid w:val="00F21F11"/>
    <w:rsid w:val="00F21F12"/>
    <w:rsid w:val="00F21F54"/>
    <w:rsid w:val="00F21F57"/>
    <w:rsid w:val="00F21F5C"/>
    <w:rsid w:val="00F21F9C"/>
    <w:rsid w:val="00F21FF0"/>
    <w:rsid w:val="00F22089"/>
    <w:rsid w:val="00F2214B"/>
    <w:rsid w:val="00F2215D"/>
    <w:rsid w:val="00F2217E"/>
    <w:rsid w:val="00F2218F"/>
    <w:rsid w:val="00F22196"/>
    <w:rsid w:val="00F221B3"/>
    <w:rsid w:val="00F22210"/>
    <w:rsid w:val="00F2222A"/>
    <w:rsid w:val="00F22233"/>
    <w:rsid w:val="00F22249"/>
    <w:rsid w:val="00F2227B"/>
    <w:rsid w:val="00F222A3"/>
    <w:rsid w:val="00F222A6"/>
    <w:rsid w:val="00F222BF"/>
    <w:rsid w:val="00F222D9"/>
    <w:rsid w:val="00F22335"/>
    <w:rsid w:val="00F2236C"/>
    <w:rsid w:val="00F2237B"/>
    <w:rsid w:val="00F2249E"/>
    <w:rsid w:val="00F224C7"/>
    <w:rsid w:val="00F224E5"/>
    <w:rsid w:val="00F225CC"/>
    <w:rsid w:val="00F22671"/>
    <w:rsid w:val="00F22678"/>
    <w:rsid w:val="00F226BE"/>
    <w:rsid w:val="00F226CC"/>
    <w:rsid w:val="00F226F0"/>
    <w:rsid w:val="00F22722"/>
    <w:rsid w:val="00F22788"/>
    <w:rsid w:val="00F227A4"/>
    <w:rsid w:val="00F227BB"/>
    <w:rsid w:val="00F227BF"/>
    <w:rsid w:val="00F2281C"/>
    <w:rsid w:val="00F22860"/>
    <w:rsid w:val="00F2286C"/>
    <w:rsid w:val="00F228BA"/>
    <w:rsid w:val="00F2291A"/>
    <w:rsid w:val="00F22952"/>
    <w:rsid w:val="00F22971"/>
    <w:rsid w:val="00F2297F"/>
    <w:rsid w:val="00F2298A"/>
    <w:rsid w:val="00F22A2F"/>
    <w:rsid w:val="00F22A7C"/>
    <w:rsid w:val="00F22A9B"/>
    <w:rsid w:val="00F22B5F"/>
    <w:rsid w:val="00F22BE1"/>
    <w:rsid w:val="00F22C44"/>
    <w:rsid w:val="00F22CDF"/>
    <w:rsid w:val="00F22D00"/>
    <w:rsid w:val="00F22D6C"/>
    <w:rsid w:val="00F22D8C"/>
    <w:rsid w:val="00F22D9C"/>
    <w:rsid w:val="00F22DD8"/>
    <w:rsid w:val="00F22DDD"/>
    <w:rsid w:val="00F22E3D"/>
    <w:rsid w:val="00F22E4F"/>
    <w:rsid w:val="00F22F35"/>
    <w:rsid w:val="00F22F61"/>
    <w:rsid w:val="00F22F6C"/>
    <w:rsid w:val="00F22F87"/>
    <w:rsid w:val="00F2300A"/>
    <w:rsid w:val="00F23030"/>
    <w:rsid w:val="00F23071"/>
    <w:rsid w:val="00F2308A"/>
    <w:rsid w:val="00F2311E"/>
    <w:rsid w:val="00F23122"/>
    <w:rsid w:val="00F23128"/>
    <w:rsid w:val="00F2312E"/>
    <w:rsid w:val="00F23141"/>
    <w:rsid w:val="00F23174"/>
    <w:rsid w:val="00F231C9"/>
    <w:rsid w:val="00F231D4"/>
    <w:rsid w:val="00F231D9"/>
    <w:rsid w:val="00F231E5"/>
    <w:rsid w:val="00F23239"/>
    <w:rsid w:val="00F23257"/>
    <w:rsid w:val="00F2325D"/>
    <w:rsid w:val="00F23284"/>
    <w:rsid w:val="00F23299"/>
    <w:rsid w:val="00F233B0"/>
    <w:rsid w:val="00F233DD"/>
    <w:rsid w:val="00F23449"/>
    <w:rsid w:val="00F23479"/>
    <w:rsid w:val="00F234CC"/>
    <w:rsid w:val="00F23596"/>
    <w:rsid w:val="00F23668"/>
    <w:rsid w:val="00F2366B"/>
    <w:rsid w:val="00F236B4"/>
    <w:rsid w:val="00F236DB"/>
    <w:rsid w:val="00F236F3"/>
    <w:rsid w:val="00F237FE"/>
    <w:rsid w:val="00F23889"/>
    <w:rsid w:val="00F238A5"/>
    <w:rsid w:val="00F238A9"/>
    <w:rsid w:val="00F238C6"/>
    <w:rsid w:val="00F238CD"/>
    <w:rsid w:val="00F238D7"/>
    <w:rsid w:val="00F238EE"/>
    <w:rsid w:val="00F23970"/>
    <w:rsid w:val="00F239C8"/>
    <w:rsid w:val="00F23A07"/>
    <w:rsid w:val="00F23A48"/>
    <w:rsid w:val="00F23A4F"/>
    <w:rsid w:val="00F23A7F"/>
    <w:rsid w:val="00F23AE0"/>
    <w:rsid w:val="00F23AEA"/>
    <w:rsid w:val="00F23AFF"/>
    <w:rsid w:val="00F23BE7"/>
    <w:rsid w:val="00F23C59"/>
    <w:rsid w:val="00F23C64"/>
    <w:rsid w:val="00F23CB6"/>
    <w:rsid w:val="00F23CF4"/>
    <w:rsid w:val="00F23D08"/>
    <w:rsid w:val="00F23D09"/>
    <w:rsid w:val="00F23D1A"/>
    <w:rsid w:val="00F23D4E"/>
    <w:rsid w:val="00F23D5F"/>
    <w:rsid w:val="00F23D71"/>
    <w:rsid w:val="00F23D7C"/>
    <w:rsid w:val="00F23E4F"/>
    <w:rsid w:val="00F23E7D"/>
    <w:rsid w:val="00F23F27"/>
    <w:rsid w:val="00F23F38"/>
    <w:rsid w:val="00F23FA1"/>
    <w:rsid w:val="00F23FA9"/>
    <w:rsid w:val="00F23FAB"/>
    <w:rsid w:val="00F23FD8"/>
    <w:rsid w:val="00F2407E"/>
    <w:rsid w:val="00F2408E"/>
    <w:rsid w:val="00F240CA"/>
    <w:rsid w:val="00F240FD"/>
    <w:rsid w:val="00F24137"/>
    <w:rsid w:val="00F24164"/>
    <w:rsid w:val="00F241D7"/>
    <w:rsid w:val="00F24239"/>
    <w:rsid w:val="00F2426F"/>
    <w:rsid w:val="00F242A1"/>
    <w:rsid w:val="00F242B2"/>
    <w:rsid w:val="00F2437D"/>
    <w:rsid w:val="00F2438B"/>
    <w:rsid w:val="00F2441E"/>
    <w:rsid w:val="00F24489"/>
    <w:rsid w:val="00F244B0"/>
    <w:rsid w:val="00F24532"/>
    <w:rsid w:val="00F24546"/>
    <w:rsid w:val="00F24577"/>
    <w:rsid w:val="00F245CE"/>
    <w:rsid w:val="00F245DA"/>
    <w:rsid w:val="00F24650"/>
    <w:rsid w:val="00F246A7"/>
    <w:rsid w:val="00F2474C"/>
    <w:rsid w:val="00F247AD"/>
    <w:rsid w:val="00F247B4"/>
    <w:rsid w:val="00F247C5"/>
    <w:rsid w:val="00F24806"/>
    <w:rsid w:val="00F24835"/>
    <w:rsid w:val="00F24875"/>
    <w:rsid w:val="00F248DE"/>
    <w:rsid w:val="00F24963"/>
    <w:rsid w:val="00F249D7"/>
    <w:rsid w:val="00F24A16"/>
    <w:rsid w:val="00F24A57"/>
    <w:rsid w:val="00F24A5A"/>
    <w:rsid w:val="00F24A5D"/>
    <w:rsid w:val="00F24AB9"/>
    <w:rsid w:val="00F24B3A"/>
    <w:rsid w:val="00F24B91"/>
    <w:rsid w:val="00F24BF1"/>
    <w:rsid w:val="00F24C7C"/>
    <w:rsid w:val="00F24CFD"/>
    <w:rsid w:val="00F24D03"/>
    <w:rsid w:val="00F24D43"/>
    <w:rsid w:val="00F24D9A"/>
    <w:rsid w:val="00F24DB1"/>
    <w:rsid w:val="00F24E27"/>
    <w:rsid w:val="00F24E54"/>
    <w:rsid w:val="00F24E7A"/>
    <w:rsid w:val="00F24E82"/>
    <w:rsid w:val="00F24EBA"/>
    <w:rsid w:val="00F24F25"/>
    <w:rsid w:val="00F24F6E"/>
    <w:rsid w:val="00F24F9F"/>
    <w:rsid w:val="00F24FF8"/>
    <w:rsid w:val="00F25007"/>
    <w:rsid w:val="00F2501D"/>
    <w:rsid w:val="00F2505B"/>
    <w:rsid w:val="00F25067"/>
    <w:rsid w:val="00F25084"/>
    <w:rsid w:val="00F2509C"/>
    <w:rsid w:val="00F250B0"/>
    <w:rsid w:val="00F250CE"/>
    <w:rsid w:val="00F2511C"/>
    <w:rsid w:val="00F251A2"/>
    <w:rsid w:val="00F251DB"/>
    <w:rsid w:val="00F2522A"/>
    <w:rsid w:val="00F25253"/>
    <w:rsid w:val="00F25261"/>
    <w:rsid w:val="00F2529B"/>
    <w:rsid w:val="00F25316"/>
    <w:rsid w:val="00F25403"/>
    <w:rsid w:val="00F25472"/>
    <w:rsid w:val="00F25475"/>
    <w:rsid w:val="00F2547D"/>
    <w:rsid w:val="00F254DB"/>
    <w:rsid w:val="00F25508"/>
    <w:rsid w:val="00F25526"/>
    <w:rsid w:val="00F25533"/>
    <w:rsid w:val="00F255E3"/>
    <w:rsid w:val="00F25602"/>
    <w:rsid w:val="00F2561E"/>
    <w:rsid w:val="00F2562B"/>
    <w:rsid w:val="00F2564E"/>
    <w:rsid w:val="00F2573E"/>
    <w:rsid w:val="00F2574F"/>
    <w:rsid w:val="00F257AD"/>
    <w:rsid w:val="00F25833"/>
    <w:rsid w:val="00F25867"/>
    <w:rsid w:val="00F2588E"/>
    <w:rsid w:val="00F258B5"/>
    <w:rsid w:val="00F2593F"/>
    <w:rsid w:val="00F2594B"/>
    <w:rsid w:val="00F259B3"/>
    <w:rsid w:val="00F259CF"/>
    <w:rsid w:val="00F259E8"/>
    <w:rsid w:val="00F25A07"/>
    <w:rsid w:val="00F25A53"/>
    <w:rsid w:val="00F25A85"/>
    <w:rsid w:val="00F25AA0"/>
    <w:rsid w:val="00F25AC9"/>
    <w:rsid w:val="00F25AD2"/>
    <w:rsid w:val="00F25AFD"/>
    <w:rsid w:val="00F25B22"/>
    <w:rsid w:val="00F25B74"/>
    <w:rsid w:val="00F25BA0"/>
    <w:rsid w:val="00F25BB8"/>
    <w:rsid w:val="00F25C49"/>
    <w:rsid w:val="00F25CA1"/>
    <w:rsid w:val="00F25CDE"/>
    <w:rsid w:val="00F25CEA"/>
    <w:rsid w:val="00F25D14"/>
    <w:rsid w:val="00F25D26"/>
    <w:rsid w:val="00F25D3C"/>
    <w:rsid w:val="00F25D57"/>
    <w:rsid w:val="00F25DC3"/>
    <w:rsid w:val="00F25DD0"/>
    <w:rsid w:val="00F25DE3"/>
    <w:rsid w:val="00F25DF1"/>
    <w:rsid w:val="00F25E5E"/>
    <w:rsid w:val="00F25EBD"/>
    <w:rsid w:val="00F25EEB"/>
    <w:rsid w:val="00F25F21"/>
    <w:rsid w:val="00F25F36"/>
    <w:rsid w:val="00F25FAD"/>
    <w:rsid w:val="00F25FB7"/>
    <w:rsid w:val="00F25FBD"/>
    <w:rsid w:val="00F26003"/>
    <w:rsid w:val="00F2601F"/>
    <w:rsid w:val="00F26041"/>
    <w:rsid w:val="00F26085"/>
    <w:rsid w:val="00F2608B"/>
    <w:rsid w:val="00F26163"/>
    <w:rsid w:val="00F261D6"/>
    <w:rsid w:val="00F2620B"/>
    <w:rsid w:val="00F26347"/>
    <w:rsid w:val="00F2637B"/>
    <w:rsid w:val="00F2638A"/>
    <w:rsid w:val="00F2639B"/>
    <w:rsid w:val="00F2639D"/>
    <w:rsid w:val="00F263A0"/>
    <w:rsid w:val="00F263FB"/>
    <w:rsid w:val="00F2643C"/>
    <w:rsid w:val="00F26489"/>
    <w:rsid w:val="00F264A2"/>
    <w:rsid w:val="00F264B8"/>
    <w:rsid w:val="00F264E3"/>
    <w:rsid w:val="00F26528"/>
    <w:rsid w:val="00F26536"/>
    <w:rsid w:val="00F2658A"/>
    <w:rsid w:val="00F265BD"/>
    <w:rsid w:val="00F265CB"/>
    <w:rsid w:val="00F265EE"/>
    <w:rsid w:val="00F26612"/>
    <w:rsid w:val="00F26639"/>
    <w:rsid w:val="00F26692"/>
    <w:rsid w:val="00F266D1"/>
    <w:rsid w:val="00F266E6"/>
    <w:rsid w:val="00F2678C"/>
    <w:rsid w:val="00F26795"/>
    <w:rsid w:val="00F267F0"/>
    <w:rsid w:val="00F2681F"/>
    <w:rsid w:val="00F26831"/>
    <w:rsid w:val="00F2683C"/>
    <w:rsid w:val="00F268D3"/>
    <w:rsid w:val="00F26927"/>
    <w:rsid w:val="00F26974"/>
    <w:rsid w:val="00F269DF"/>
    <w:rsid w:val="00F26A78"/>
    <w:rsid w:val="00F26AA6"/>
    <w:rsid w:val="00F26B0C"/>
    <w:rsid w:val="00F26B68"/>
    <w:rsid w:val="00F26B7F"/>
    <w:rsid w:val="00F26B97"/>
    <w:rsid w:val="00F26BCE"/>
    <w:rsid w:val="00F26BF2"/>
    <w:rsid w:val="00F26C17"/>
    <w:rsid w:val="00F26C54"/>
    <w:rsid w:val="00F26C91"/>
    <w:rsid w:val="00F26C9B"/>
    <w:rsid w:val="00F26CB0"/>
    <w:rsid w:val="00F26CE8"/>
    <w:rsid w:val="00F26D80"/>
    <w:rsid w:val="00F26E23"/>
    <w:rsid w:val="00F26E55"/>
    <w:rsid w:val="00F26E81"/>
    <w:rsid w:val="00F26EFE"/>
    <w:rsid w:val="00F26F1A"/>
    <w:rsid w:val="00F26F2B"/>
    <w:rsid w:val="00F26F8A"/>
    <w:rsid w:val="00F27006"/>
    <w:rsid w:val="00F27031"/>
    <w:rsid w:val="00F27151"/>
    <w:rsid w:val="00F2716B"/>
    <w:rsid w:val="00F271BF"/>
    <w:rsid w:val="00F2722A"/>
    <w:rsid w:val="00F27233"/>
    <w:rsid w:val="00F2725C"/>
    <w:rsid w:val="00F2725F"/>
    <w:rsid w:val="00F272BC"/>
    <w:rsid w:val="00F27311"/>
    <w:rsid w:val="00F2738C"/>
    <w:rsid w:val="00F273E8"/>
    <w:rsid w:val="00F274B1"/>
    <w:rsid w:val="00F274BE"/>
    <w:rsid w:val="00F2751F"/>
    <w:rsid w:val="00F2756F"/>
    <w:rsid w:val="00F275B1"/>
    <w:rsid w:val="00F275E4"/>
    <w:rsid w:val="00F2761A"/>
    <w:rsid w:val="00F27667"/>
    <w:rsid w:val="00F2773C"/>
    <w:rsid w:val="00F2777C"/>
    <w:rsid w:val="00F277F6"/>
    <w:rsid w:val="00F27821"/>
    <w:rsid w:val="00F27842"/>
    <w:rsid w:val="00F27877"/>
    <w:rsid w:val="00F27887"/>
    <w:rsid w:val="00F278BE"/>
    <w:rsid w:val="00F278C9"/>
    <w:rsid w:val="00F278E7"/>
    <w:rsid w:val="00F278F9"/>
    <w:rsid w:val="00F27908"/>
    <w:rsid w:val="00F2790F"/>
    <w:rsid w:val="00F27932"/>
    <w:rsid w:val="00F27946"/>
    <w:rsid w:val="00F279C2"/>
    <w:rsid w:val="00F279F0"/>
    <w:rsid w:val="00F27A8C"/>
    <w:rsid w:val="00F27A93"/>
    <w:rsid w:val="00F27AFC"/>
    <w:rsid w:val="00F27B71"/>
    <w:rsid w:val="00F27B74"/>
    <w:rsid w:val="00F27BA9"/>
    <w:rsid w:val="00F27BB6"/>
    <w:rsid w:val="00F27C44"/>
    <w:rsid w:val="00F27C7F"/>
    <w:rsid w:val="00F27C8B"/>
    <w:rsid w:val="00F27CAB"/>
    <w:rsid w:val="00F27CBF"/>
    <w:rsid w:val="00F27CED"/>
    <w:rsid w:val="00F27CF7"/>
    <w:rsid w:val="00F27D34"/>
    <w:rsid w:val="00F27D3E"/>
    <w:rsid w:val="00F27DC4"/>
    <w:rsid w:val="00F27DCC"/>
    <w:rsid w:val="00F27DF2"/>
    <w:rsid w:val="00F27EBD"/>
    <w:rsid w:val="00F27ED3"/>
    <w:rsid w:val="00F27EDC"/>
    <w:rsid w:val="00F27F35"/>
    <w:rsid w:val="00F27F93"/>
    <w:rsid w:val="00F27FB0"/>
    <w:rsid w:val="00F30008"/>
    <w:rsid w:val="00F30040"/>
    <w:rsid w:val="00F30054"/>
    <w:rsid w:val="00F300AD"/>
    <w:rsid w:val="00F300B5"/>
    <w:rsid w:val="00F300F1"/>
    <w:rsid w:val="00F30137"/>
    <w:rsid w:val="00F30193"/>
    <w:rsid w:val="00F301D3"/>
    <w:rsid w:val="00F30217"/>
    <w:rsid w:val="00F30219"/>
    <w:rsid w:val="00F30276"/>
    <w:rsid w:val="00F30288"/>
    <w:rsid w:val="00F30334"/>
    <w:rsid w:val="00F30338"/>
    <w:rsid w:val="00F3035F"/>
    <w:rsid w:val="00F3037E"/>
    <w:rsid w:val="00F303A0"/>
    <w:rsid w:val="00F303A5"/>
    <w:rsid w:val="00F303AC"/>
    <w:rsid w:val="00F303D4"/>
    <w:rsid w:val="00F30413"/>
    <w:rsid w:val="00F30500"/>
    <w:rsid w:val="00F3052C"/>
    <w:rsid w:val="00F30535"/>
    <w:rsid w:val="00F30671"/>
    <w:rsid w:val="00F307A6"/>
    <w:rsid w:val="00F307E5"/>
    <w:rsid w:val="00F308FF"/>
    <w:rsid w:val="00F309DE"/>
    <w:rsid w:val="00F30A36"/>
    <w:rsid w:val="00F30A83"/>
    <w:rsid w:val="00F30A8A"/>
    <w:rsid w:val="00F30A8E"/>
    <w:rsid w:val="00F30A9E"/>
    <w:rsid w:val="00F30AB7"/>
    <w:rsid w:val="00F30AD8"/>
    <w:rsid w:val="00F30C94"/>
    <w:rsid w:val="00F30CAF"/>
    <w:rsid w:val="00F30CE4"/>
    <w:rsid w:val="00F30D36"/>
    <w:rsid w:val="00F30D79"/>
    <w:rsid w:val="00F30DD1"/>
    <w:rsid w:val="00F30DE3"/>
    <w:rsid w:val="00F30E2B"/>
    <w:rsid w:val="00F30E37"/>
    <w:rsid w:val="00F30E7F"/>
    <w:rsid w:val="00F30EE2"/>
    <w:rsid w:val="00F30F4B"/>
    <w:rsid w:val="00F30F64"/>
    <w:rsid w:val="00F30FB5"/>
    <w:rsid w:val="00F31011"/>
    <w:rsid w:val="00F3101C"/>
    <w:rsid w:val="00F31034"/>
    <w:rsid w:val="00F310E9"/>
    <w:rsid w:val="00F31139"/>
    <w:rsid w:val="00F31151"/>
    <w:rsid w:val="00F311DC"/>
    <w:rsid w:val="00F31206"/>
    <w:rsid w:val="00F31260"/>
    <w:rsid w:val="00F31302"/>
    <w:rsid w:val="00F31340"/>
    <w:rsid w:val="00F31352"/>
    <w:rsid w:val="00F313BC"/>
    <w:rsid w:val="00F315AD"/>
    <w:rsid w:val="00F315C9"/>
    <w:rsid w:val="00F31612"/>
    <w:rsid w:val="00F3161B"/>
    <w:rsid w:val="00F3165F"/>
    <w:rsid w:val="00F3167D"/>
    <w:rsid w:val="00F31792"/>
    <w:rsid w:val="00F317BD"/>
    <w:rsid w:val="00F31805"/>
    <w:rsid w:val="00F31814"/>
    <w:rsid w:val="00F31826"/>
    <w:rsid w:val="00F318DE"/>
    <w:rsid w:val="00F318E7"/>
    <w:rsid w:val="00F318EC"/>
    <w:rsid w:val="00F318ED"/>
    <w:rsid w:val="00F3190F"/>
    <w:rsid w:val="00F3194E"/>
    <w:rsid w:val="00F31989"/>
    <w:rsid w:val="00F3199D"/>
    <w:rsid w:val="00F319C0"/>
    <w:rsid w:val="00F319E6"/>
    <w:rsid w:val="00F31A38"/>
    <w:rsid w:val="00F31A66"/>
    <w:rsid w:val="00F31AA5"/>
    <w:rsid w:val="00F31B4D"/>
    <w:rsid w:val="00F31BA2"/>
    <w:rsid w:val="00F31BB2"/>
    <w:rsid w:val="00F31BC6"/>
    <w:rsid w:val="00F31BD6"/>
    <w:rsid w:val="00F31C1D"/>
    <w:rsid w:val="00F31C4D"/>
    <w:rsid w:val="00F31C61"/>
    <w:rsid w:val="00F31C7D"/>
    <w:rsid w:val="00F31D1A"/>
    <w:rsid w:val="00F31D53"/>
    <w:rsid w:val="00F31D66"/>
    <w:rsid w:val="00F31D81"/>
    <w:rsid w:val="00F31D86"/>
    <w:rsid w:val="00F31E0C"/>
    <w:rsid w:val="00F31E52"/>
    <w:rsid w:val="00F31EA2"/>
    <w:rsid w:val="00F31F02"/>
    <w:rsid w:val="00F31F13"/>
    <w:rsid w:val="00F31FB1"/>
    <w:rsid w:val="00F31FDE"/>
    <w:rsid w:val="00F3200B"/>
    <w:rsid w:val="00F32016"/>
    <w:rsid w:val="00F32110"/>
    <w:rsid w:val="00F32183"/>
    <w:rsid w:val="00F3219F"/>
    <w:rsid w:val="00F321F4"/>
    <w:rsid w:val="00F32213"/>
    <w:rsid w:val="00F32235"/>
    <w:rsid w:val="00F32323"/>
    <w:rsid w:val="00F32373"/>
    <w:rsid w:val="00F3239E"/>
    <w:rsid w:val="00F32409"/>
    <w:rsid w:val="00F3249E"/>
    <w:rsid w:val="00F324C7"/>
    <w:rsid w:val="00F32592"/>
    <w:rsid w:val="00F32593"/>
    <w:rsid w:val="00F32596"/>
    <w:rsid w:val="00F3263F"/>
    <w:rsid w:val="00F32641"/>
    <w:rsid w:val="00F3268E"/>
    <w:rsid w:val="00F3275D"/>
    <w:rsid w:val="00F327C0"/>
    <w:rsid w:val="00F32818"/>
    <w:rsid w:val="00F3284D"/>
    <w:rsid w:val="00F3286E"/>
    <w:rsid w:val="00F32889"/>
    <w:rsid w:val="00F328F9"/>
    <w:rsid w:val="00F3291F"/>
    <w:rsid w:val="00F32946"/>
    <w:rsid w:val="00F3296A"/>
    <w:rsid w:val="00F32977"/>
    <w:rsid w:val="00F329BA"/>
    <w:rsid w:val="00F329F0"/>
    <w:rsid w:val="00F329FE"/>
    <w:rsid w:val="00F32A05"/>
    <w:rsid w:val="00F32A75"/>
    <w:rsid w:val="00F32AAC"/>
    <w:rsid w:val="00F32AC0"/>
    <w:rsid w:val="00F32AC8"/>
    <w:rsid w:val="00F32ADE"/>
    <w:rsid w:val="00F32B38"/>
    <w:rsid w:val="00F32B3D"/>
    <w:rsid w:val="00F32B49"/>
    <w:rsid w:val="00F32B66"/>
    <w:rsid w:val="00F32B81"/>
    <w:rsid w:val="00F32B90"/>
    <w:rsid w:val="00F32BDB"/>
    <w:rsid w:val="00F32BDC"/>
    <w:rsid w:val="00F32C84"/>
    <w:rsid w:val="00F32CA2"/>
    <w:rsid w:val="00F32CAA"/>
    <w:rsid w:val="00F32D24"/>
    <w:rsid w:val="00F32DC3"/>
    <w:rsid w:val="00F32DE9"/>
    <w:rsid w:val="00F32DF8"/>
    <w:rsid w:val="00F32DFC"/>
    <w:rsid w:val="00F32E5D"/>
    <w:rsid w:val="00F32ED1"/>
    <w:rsid w:val="00F32EF4"/>
    <w:rsid w:val="00F32F00"/>
    <w:rsid w:val="00F32F43"/>
    <w:rsid w:val="00F32FAC"/>
    <w:rsid w:val="00F33093"/>
    <w:rsid w:val="00F3309B"/>
    <w:rsid w:val="00F330BE"/>
    <w:rsid w:val="00F330D1"/>
    <w:rsid w:val="00F330DB"/>
    <w:rsid w:val="00F33152"/>
    <w:rsid w:val="00F33184"/>
    <w:rsid w:val="00F33192"/>
    <w:rsid w:val="00F3326D"/>
    <w:rsid w:val="00F3327B"/>
    <w:rsid w:val="00F33285"/>
    <w:rsid w:val="00F3330B"/>
    <w:rsid w:val="00F33332"/>
    <w:rsid w:val="00F3334B"/>
    <w:rsid w:val="00F33373"/>
    <w:rsid w:val="00F33450"/>
    <w:rsid w:val="00F33470"/>
    <w:rsid w:val="00F33478"/>
    <w:rsid w:val="00F33490"/>
    <w:rsid w:val="00F3349A"/>
    <w:rsid w:val="00F33501"/>
    <w:rsid w:val="00F3353B"/>
    <w:rsid w:val="00F33543"/>
    <w:rsid w:val="00F33555"/>
    <w:rsid w:val="00F3357B"/>
    <w:rsid w:val="00F3358D"/>
    <w:rsid w:val="00F33590"/>
    <w:rsid w:val="00F33592"/>
    <w:rsid w:val="00F335A1"/>
    <w:rsid w:val="00F335ED"/>
    <w:rsid w:val="00F335F5"/>
    <w:rsid w:val="00F335F6"/>
    <w:rsid w:val="00F33628"/>
    <w:rsid w:val="00F33647"/>
    <w:rsid w:val="00F33660"/>
    <w:rsid w:val="00F33669"/>
    <w:rsid w:val="00F33678"/>
    <w:rsid w:val="00F33682"/>
    <w:rsid w:val="00F3368C"/>
    <w:rsid w:val="00F336E2"/>
    <w:rsid w:val="00F33746"/>
    <w:rsid w:val="00F337AB"/>
    <w:rsid w:val="00F337C1"/>
    <w:rsid w:val="00F33894"/>
    <w:rsid w:val="00F33952"/>
    <w:rsid w:val="00F33A14"/>
    <w:rsid w:val="00F33A68"/>
    <w:rsid w:val="00F33A72"/>
    <w:rsid w:val="00F33C3F"/>
    <w:rsid w:val="00F33C43"/>
    <w:rsid w:val="00F33C57"/>
    <w:rsid w:val="00F33C70"/>
    <w:rsid w:val="00F33C8A"/>
    <w:rsid w:val="00F33CDC"/>
    <w:rsid w:val="00F33CF3"/>
    <w:rsid w:val="00F33D6C"/>
    <w:rsid w:val="00F33DE6"/>
    <w:rsid w:val="00F33DF4"/>
    <w:rsid w:val="00F33E67"/>
    <w:rsid w:val="00F33EB0"/>
    <w:rsid w:val="00F33EEB"/>
    <w:rsid w:val="00F33F00"/>
    <w:rsid w:val="00F33F19"/>
    <w:rsid w:val="00F33F1F"/>
    <w:rsid w:val="00F33F77"/>
    <w:rsid w:val="00F33FDA"/>
    <w:rsid w:val="00F33FDB"/>
    <w:rsid w:val="00F33FF0"/>
    <w:rsid w:val="00F3400E"/>
    <w:rsid w:val="00F340A2"/>
    <w:rsid w:val="00F340AD"/>
    <w:rsid w:val="00F340FD"/>
    <w:rsid w:val="00F34114"/>
    <w:rsid w:val="00F3414E"/>
    <w:rsid w:val="00F34150"/>
    <w:rsid w:val="00F34228"/>
    <w:rsid w:val="00F34260"/>
    <w:rsid w:val="00F34275"/>
    <w:rsid w:val="00F34280"/>
    <w:rsid w:val="00F34322"/>
    <w:rsid w:val="00F34332"/>
    <w:rsid w:val="00F343B8"/>
    <w:rsid w:val="00F343F0"/>
    <w:rsid w:val="00F343F4"/>
    <w:rsid w:val="00F34401"/>
    <w:rsid w:val="00F34407"/>
    <w:rsid w:val="00F3442D"/>
    <w:rsid w:val="00F3446B"/>
    <w:rsid w:val="00F34474"/>
    <w:rsid w:val="00F34476"/>
    <w:rsid w:val="00F34480"/>
    <w:rsid w:val="00F34498"/>
    <w:rsid w:val="00F344AB"/>
    <w:rsid w:val="00F344B2"/>
    <w:rsid w:val="00F345B7"/>
    <w:rsid w:val="00F345C2"/>
    <w:rsid w:val="00F345CE"/>
    <w:rsid w:val="00F345D4"/>
    <w:rsid w:val="00F34719"/>
    <w:rsid w:val="00F34724"/>
    <w:rsid w:val="00F3474D"/>
    <w:rsid w:val="00F34871"/>
    <w:rsid w:val="00F348F4"/>
    <w:rsid w:val="00F34908"/>
    <w:rsid w:val="00F34914"/>
    <w:rsid w:val="00F3492C"/>
    <w:rsid w:val="00F34973"/>
    <w:rsid w:val="00F349DA"/>
    <w:rsid w:val="00F349FE"/>
    <w:rsid w:val="00F34A23"/>
    <w:rsid w:val="00F34A4B"/>
    <w:rsid w:val="00F34ACE"/>
    <w:rsid w:val="00F34B18"/>
    <w:rsid w:val="00F34B55"/>
    <w:rsid w:val="00F34BA1"/>
    <w:rsid w:val="00F34BCF"/>
    <w:rsid w:val="00F34E2F"/>
    <w:rsid w:val="00F34EE3"/>
    <w:rsid w:val="00F34F1F"/>
    <w:rsid w:val="00F34F35"/>
    <w:rsid w:val="00F34F60"/>
    <w:rsid w:val="00F34F7A"/>
    <w:rsid w:val="00F3503C"/>
    <w:rsid w:val="00F35043"/>
    <w:rsid w:val="00F350C9"/>
    <w:rsid w:val="00F350E1"/>
    <w:rsid w:val="00F3513A"/>
    <w:rsid w:val="00F35155"/>
    <w:rsid w:val="00F351E5"/>
    <w:rsid w:val="00F35200"/>
    <w:rsid w:val="00F3520A"/>
    <w:rsid w:val="00F3522D"/>
    <w:rsid w:val="00F3526E"/>
    <w:rsid w:val="00F35270"/>
    <w:rsid w:val="00F352BB"/>
    <w:rsid w:val="00F352CA"/>
    <w:rsid w:val="00F35311"/>
    <w:rsid w:val="00F35312"/>
    <w:rsid w:val="00F3532D"/>
    <w:rsid w:val="00F353A7"/>
    <w:rsid w:val="00F353AB"/>
    <w:rsid w:val="00F353BD"/>
    <w:rsid w:val="00F353D6"/>
    <w:rsid w:val="00F3549E"/>
    <w:rsid w:val="00F354EC"/>
    <w:rsid w:val="00F354F8"/>
    <w:rsid w:val="00F354FE"/>
    <w:rsid w:val="00F35507"/>
    <w:rsid w:val="00F3553C"/>
    <w:rsid w:val="00F3558C"/>
    <w:rsid w:val="00F3559D"/>
    <w:rsid w:val="00F3563B"/>
    <w:rsid w:val="00F35670"/>
    <w:rsid w:val="00F3567C"/>
    <w:rsid w:val="00F356E9"/>
    <w:rsid w:val="00F35710"/>
    <w:rsid w:val="00F357B7"/>
    <w:rsid w:val="00F357D6"/>
    <w:rsid w:val="00F357D7"/>
    <w:rsid w:val="00F35844"/>
    <w:rsid w:val="00F3588D"/>
    <w:rsid w:val="00F3589C"/>
    <w:rsid w:val="00F358B2"/>
    <w:rsid w:val="00F358CE"/>
    <w:rsid w:val="00F358D2"/>
    <w:rsid w:val="00F358F0"/>
    <w:rsid w:val="00F3591F"/>
    <w:rsid w:val="00F3595D"/>
    <w:rsid w:val="00F359BE"/>
    <w:rsid w:val="00F35A36"/>
    <w:rsid w:val="00F35A62"/>
    <w:rsid w:val="00F35AE8"/>
    <w:rsid w:val="00F35B35"/>
    <w:rsid w:val="00F35B8E"/>
    <w:rsid w:val="00F35B96"/>
    <w:rsid w:val="00F35BD4"/>
    <w:rsid w:val="00F35C5F"/>
    <w:rsid w:val="00F35CAD"/>
    <w:rsid w:val="00F35CD4"/>
    <w:rsid w:val="00F35CE1"/>
    <w:rsid w:val="00F35CF5"/>
    <w:rsid w:val="00F35D53"/>
    <w:rsid w:val="00F35D8A"/>
    <w:rsid w:val="00F35E03"/>
    <w:rsid w:val="00F35E37"/>
    <w:rsid w:val="00F35EB9"/>
    <w:rsid w:val="00F35F2F"/>
    <w:rsid w:val="00F35F41"/>
    <w:rsid w:val="00F35F43"/>
    <w:rsid w:val="00F35F66"/>
    <w:rsid w:val="00F35F77"/>
    <w:rsid w:val="00F35F8C"/>
    <w:rsid w:val="00F35FD7"/>
    <w:rsid w:val="00F36061"/>
    <w:rsid w:val="00F360B3"/>
    <w:rsid w:val="00F36110"/>
    <w:rsid w:val="00F3613D"/>
    <w:rsid w:val="00F3614F"/>
    <w:rsid w:val="00F36154"/>
    <w:rsid w:val="00F36174"/>
    <w:rsid w:val="00F36193"/>
    <w:rsid w:val="00F361C5"/>
    <w:rsid w:val="00F361CF"/>
    <w:rsid w:val="00F3621F"/>
    <w:rsid w:val="00F362AB"/>
    <w:rsid w:val="00F362DF"/>
    <w:rsid w:val="00F3632E"/>
    <w:rsid w:val="00F36332"/>
    <w:rsid w:val="00F36348"/>
    <w:rsid w:val="00F363A2"/>
    <w:rsid w:val="00F363BF"/>
    <w:rsid w:val="00F36465"/>
    <w:rsid w:val="00F364E2"/>
    <w:rsid w:val="00F364FF"/>
    <w:rsid w:val="00F36592"/>
    <w:rsid w:val="00F36609"/>
    <w:rsid w:val="00F3662F"/>
    <w:rsid w:val="00F366BA"/>
    <w:rsid w:val="00F366FF"/>
    <w:rsid w:val="00F36741"/>
    <w:rsid w:val="00F36762"/>
    <w:rsid w:val="00F3681E"/>
    <w:rsid w:val="00F3683A"/>
    <w:rsid w:val="00F36874"/>
    <w:rsid w:val="00F36879"/>
    <w:rsid w:val="00F368BD"/>
    <w:rsid w:val="00F36914"/>
    <w:rsid w:val="00F36938"/>
    <w:rsid w:val="00F3694A"/>
    <w:rsid w:val="00F36970"/>
    <w:rsid w:val="00F36A87"/>
    <w:rsid w:val="00F36AD1"/>
    <w:rsid w:val="00F36B6E"/>
    <w:rsid w:val="00F36B99"/>
    <w:rsid w:val="00F36BD1"/>
    <w:rsid w:val="00F36BFD"/>
    <w:rsid w:val="00F36C11"/>
    <w:rsid w:val="00F36C1B"/>
    <w:rsid w:val="00F36C87"/>
    <w:rsid w:val="00F36CB3"/>
    <w:rsid w:val="00F36CCA"/>
    <w:rsid w:val="00F36D4A"/>
    <w:rsid w:val="00F36D78"/>
    <w:rsid w:val="00F36D89"/>
    <w:rsid w:val="00F36DD8"/>
    <w:rsid w:val="00F36DF7"/>
    <w:rsid w:val="00F36E18"/>
    <w:rsid w:val="00F36E67"/>
    <w:rsid w:val="00F36E77"/>
    <w:rsid w:val="00F36E94"/>
    <w:rsid w:val="00F36EC8"/>
    <w:rsid w:val="00F36EEF"/>
    <w:rsid w:val="00F36F31"/>
    <w:rsid w:val="00F36F56"/>
    <w:rsid w:val="00F36F69"/>
    <w:rsid w:val="00F36FCA"/>
    <w:rsid w:val="00F3702D"/>
    <w:rsid w:val="00F370A1"/>
    <w:rsid w:val="00F37124"/>
    <w:rsid w:val="00F37177"/>
    <w:rsid w:val="00F37191"/>
    <w:rsid w:val="00F371C8"/>
    <w:rsid w:val="00F37239"/>
    <w:rsid w:val="00F37265"/>
    <w:rsid w:val="00F37272"/>
    <w:rsid w:val="00F37278"/>
    <w:rsid w:val="00F372AD"/>
    <w:rsid w:val="00F372C5"/>
    <w:rsid w:val="00F372E7"/>
    <w:rsid w:val="00F372FD"/>
    <w:rsid w:val="00F37312"/>
    <w:rsid w:val="00F37375"/>
    <w:rsid w:val="00F3738A"/>
    <w:rsid w:val="00F373D9"/>
    <w:rsid w:val="00F37444"/>
    <w:rsid w:val="00F37503"/>
    <w:rsid w:val="00F37509"/>
    <w:rsid w:val="00F37546"/>
    <w:rsid w:val="00F37548"/>
    <w:rsid w:val="00F37562"/>
    <w:rsid w:val="00F37578"/>
    <w:rsid w:val="00F3759B"/>
    <w:rsid w:val="00F37629"/>
    <w:rsid w:val="00F37633"/>
    <w:rsid w:val="00F3763A"/>
    <w:rsid w:val="00F3763F"/>
    <w:rsid w:val="00F37658"/>
    <w:rsid w:val="00F3768C"/>
    <w:rsid w:val="00F37696"/>
    <w:rsid w:val="00F376B9"/>
    <w:rsid w:val="00F37711"/>
    <w:rsid w:val="00F37766"/>
    <w:rsid w:val="00F377F3"/>
    <w:rsid w:val="00F3781D"/>
    <w:rsid w:val="00F37851"/>
    <w:rsid w:val="00F37959"/>
    <w:rsid w:val="00F379B4"/>
    <w:rsid w:val="00F379EA"/>
    <w:rsid w:val="00F37A47"/>
    <w:rsid w:val="00F37A5B"/>
    <w:rsid w:val="00F37A63"/>
    <w:rsid w:val="00F37A73"/>
    <w:rsid w:val="00F37A95"/>
    <w:rsid w:val="00F37AE2"/>
    <w:rsid w:val="00F37AFA"/>
    <w:rsid w:val="00F37B56"/>
    <w:rsid w:val="00F37B6E"/>
    <w:rsid w:val="00F37B7C"/>
    <w:rsid w:val="00F37B80"/>
    <w:rsid w:val="00F37B9E"/>
    <w:rsid w:val="00F37BD5"/>
    <w:rsid w:val="00F37BE3"/>
    <w:rsid w:val="00F37C44"/>
    <w:rsid w:val="00F37C59"/>
    <w:rsid w:val="00F37C5B"/>
    <w:rsid w:val="00F37C86"/>
    <w:rsid w:val="00F37DA6"/>
    <w:rsid w:val="00F37DAC"/>
    <w:rsid w:val="00F37DF1"/>
    <w:rsid w:val="00F37E08"/>
    <w:rsid w:val="00F37E2F"/>
    <w:rsid w:val="00F37E78"/>
    <w:rsid w:val="00F37EFE"/>
    <w:rsid w:val="00F37F0D"/>
    <w:rsid w:val="00F37F39"/>
    <w:rsid w:val="00F37F42"/>
    <w:rsid w:val="00F37F5F"/>
    <w:rsid w:val="00F4002C"/>
    <w:rsid w:val="00F400E9"/>
    <w:rsid w:val="00F40119"/>
    <w:rsid w:val="00F4011A"/>
    <w:rsid w:val="00F40134"/>
    <w:rsid w:val="00F401B6"/>
    <w:rsid w:val="00F401DA"/>
    <w:rsid w:val="00F40217"/>
    <w:rsid w:val="00F40232"/>
    <w:rsid w:val="00F402C5"/>
    <w:rsid w:val="00F402FC"/>
    <w:rsid w:val="00F40375"/>
    <w:rsid w:val="00F403BC"/>
    <w:rsid w:val="00F40401"/>
    <w:rsid w:val="00F40410"/>
    <w:rsid w:val="00F40445"/>
    <w:rsid w:val="00F40451"/>
    <w:rsid w:val="00F4045E"/>
    <w:rsid w:val="00F4046F"/>
    <w:rsid w:val="00F404C1"/>
    <w:rsid w:val="00F404CB"/>
    <w:rsid w:val="00F40518"/>
    <w:rsid w:val="00F40570"/>
    <w:rsid w:val="00F405B8"/>
    <w:rsid w:val="00F405CF"/>
    <w:rsid w:val="00F405FA"/>
    <w:rsid w:val="00F40645"/>
    <w:rsid w:val="00F406EA"/>
    <w:rsid w:val="00F40708"/>
    <w:rsid w:val="00F4078E"/>
    <w:rsid w:val="00F40792"/>
    <w:rsid w:val="00F4082A"/>
    <w:rsid w:val="00F40833"/>
    <w:rsid w:val="00F408D1"/>
    <w:rsid w:val="00F4095C"/>
    <w:rsid w:val="00F40A6F"/>
    <w:rsid w:val="00F40A78"/>
    <w:rsid w:val="00F40A9F"/>
    <w:rsid w:val="00F40ADE"/>
    <w:rsid w:val="00F40B18"/>
    <w:rsid w:val="00F40B9C"/>
    <w:rsid w:val="00F40BA9"/>
    <w:rsid w:val="00F40BAA"/>
    <w:rsid w:val="00F40BDD"/>
    <w:rsid w:val="00F40BEA"/>
    <w:rsid w:val="00F40D33"/>
    <w:rsid w:val="00F40D9C"/>
    <w:rsid w:val="00F40DFF"/>
    <w:rsid w:val="00F40E1F"/>
    <w:rsid w:val="00F40E62"/>
    <w:rsid w:val="00F40ECD"/>
    <w:rsid w:val="00F40EEA"/>
    <w:rsid w:val="00F40F0D"/>
    <w:rsid w:val="00F40FBD"/>
    <w:rsid w:val="00F41003"/>
    <w:rsid w:val="00F4100B"/>
    <w:rsid w:val="00F41184"/>
    <w:rsid w:val="00F411D7"/>
    <w:rsid w:val="00F4120B"/>
    <w:rsid w:val="00F41231"/>
    <w:rsid w:val="00F4129B"/>
    <w:rsid w:val="00F412D8"/>
    <w:rsid w:val="00F4132F"/>
    <w:rsid w:val="00F41333"/>
    <w:rsid w:val="00F41334"/>
    <w:rsid w:val="00F41367"/>
    <w:rsid w:val="00F413A3"/>
    <w:rsid w:val="00F413B7"/>
    <w:rsid w:val="00F413DD"/>
    <w:rsid w:val="00F41430"/>
    <w:rsid w:val="00F41478"/>
    <w:rsid w:val="00F414DB"/>
    <w:rsid w:val="00F41508"/>
    <w:rsid w:val="00F4155E"/>
    <w:rsid w:val="00F41569"/>
    <w:rsid w:val="00F4157F"/>
    <w:rsid w:val="00F41584"/>
    <w:rsid w:val="00F4158B"/>
    <w:rsid w:val="00F41590"/>
    <w:rsid w:val="00F415B7"/>
    <w:rsid w:val="00F41618"/>
    <w:rsid w:val="00F4163D"/>
    <w:rsid w:val="00F416D9"/>
    <w:rsid w:val="00F416E0"/>
    <w:rsid w:val="00F41798"/>
    <w:rsid w:val="00F417D9"/>
    <w:rsid w:val="00F417DC"/>
    <w:rsid w:val="00F417FE"/>
    <w:rsid w:val="00F41850"/>
    <w:rsid w:val="00F41855"/>
    <w:rsid w:val="00F4187E"/>
    <w:rsid w:val="00F418A1"/>
    <w:rsid w:val="00F418AA"/>
    <w:rsid w:val="00F4196C"/>
    <w:rsid w:val="00F4196E"/>
    <w:rsid w:val="00F41998"/>
    <w:rsid w:val="00F4199F"/>
    <w:rsid w:val="00F419A6"/>
    <w:rsid w:val="00F419C7"/>
    <w:rsid w:val="00F41A38"/>
    <w:rsid w:val="00F41AE4"/>
    <w:rsid w:val="00F41B05"/>
    <w:rsid w:val="00F41B24"/>
    <w:rsid w:val="00F41B2D"/>
    <w:rsid w:val="00F41B34"/>
    <w:rsid w:val="00F41B61"/>
    <w:rsid w:val="00F41B75"/>
    <w:rsid w:val="00F41BA8"/>
    <w:rsid w:val="00F41BBE"/>
    <w:rsid w:val="00F41BD8"/>
    <w:rsid w:val="00F41C01"/>
    <w:rsid w:val="00F41C13"/>
    <w:rsid w:val="00F41C35"/>
    <w:rsid w:val="00F41C48"/>
    <w:rsid w:val="00F41C67"/>
    <w:rsid w:val="00F41C9A"/>
    <w:rsid w:val="00F41CAD"/>
    <w:rsid w:val="00F41CD2"/>
    <w:rsid w:val="00F41D97"/>
    <w:rsid w:val="00F41E3A"/>
    <w:rsid w:val="00F41E60"/>
    <w:rsid w:val="00F41E87"/>
    <w:rsid w:val="00F41ED4"/>
    <w:rsid w:val="00F41EED"/>
    <w:rsid w:val="00F41F13"/>
    <w:rsid w:val="00F41F21"/>
    <w:rsid w:val="00F41F2E"/>
    <w:rsid w:val="00F4200D"/>
    <w:rsid w:val="00F42014"/>
    <w:rsid w:val="00F42081"/>
    <w:rsid w:val="00F4208F"/>
    <w:rsid w:val="00F420A8"/>
    <w:rsid w:val="00F420BC"/>
    <w:rsid w:val="00F420BF"/>
    <w:rsid w:val="00F420D7"/>
    <w:rsid w:val="00F420F3"/>
    <w:rsid w:val="00F42115"/>
    <w:rsid w:val="00F42146"/>
    <w:rsid w:val="00F421D5"/>
    <w:rsid w:val="00F42212"/>
    <w:rsid w:val="00F42228"/>
    <w:rsid w:val="00F42249"/>
    <w:rsid w:val="00F422E1"/>
    <w:rsid w:val="00F422EF"/>
    <w:rsid w:val="00F42303"/>
    <w:rsid w:val="00F42375"/>
    <w:rsid w:val="00F4238D"/>
    <w:rsid w:val="00F4247D"/>
    <w:rsid w:val="00F4248C"/>
    <w:rsid w:val="00F42492"/>
    <w:rsid w:val="00F424BB"/>
    <w:rsid w:val="00F424D6"/>
    <w:rsid w:val="00F42511"/>
    <w:rsid w:val="00F42519"/>
    <w:rsid w:val="00F4251C"/>
    <w:rsid w:val="00F42551"/>
    <w:rsid w:val="00F42619"/>
    <w:rsid w:val="00F42681"/>
    <w:rsid w:val="00F426BA"/>
    <w:rsid w:val="00F42758"/>
    <w:rsid w:val="00F42759"/>
    <w:rsid w:val="00F42770"/>
    <w:rsid w:val="00F4279C"/>
    <w:rsid w:val="00F427C7"/>
    <w:rsid w:val="00F427CE"/>
    <w:rsid w:val="00F42806"/>
    <w:rsid w:val="00F428B9"/>
    <w:rsid w:val="00F42910"/>
    <w:rsid w:val="00F42919"/>
    <w:rsid w:val="00F42981"/>
    <w:rsid w:val="00F42983"/>
    <w:rsid w:val="00F4298E"/>
    <w:rsid w:val="00F42B81"/>
    <w:rsid w:val="00F42C01"/>
    <w:rsid w:val="00F42C60"/>
    <w:rsid w:val="00F42C74"/>
    <w:rsid w:val="00F42C89"/>
    <w:rsid w:val="00F42CB8"/>
    <w:rsid w:val="00F42CD4"/>
    <w:rsid w:val="00F42D17"/>
    <w:rsid w:val="00F42D3C"/>
    <w:rsid w:val="00F42D54"/>
    <w:rsid w:val="00F42D6A"/>
    <w:rsid w:val="00F42D8F"/>
    <w:rsid w:val="00F42E9E"/>
    <w:rsid w:val="00F42ECD"/>
    <w:rsid w:val="00F42ED1"/>
    <w:rsid w:val="00F42EED"/>
    <w:rsid w:val="00F42EF9"/>
    <w:rsid w:val="00F42EFA"/>
    <w:rsid w:val="00F42F1E"/>
    <w:rsid w:val="00F42F38"/>
    <w:rsid w:val="00F42F51"/>
    <w:rsid w:val="00F42F65"/>
    <w:rsid w:val="00F42F6B"/>
    <w:rsid w:val="00F42F76"/>
    <w:rsid w:val="00F4305D"/>
    <w:rsid w:val="00F4306D"/>
    <w:rsid w:val="00F430B0"/>
    <w:rsid w:val="00F4314A"/>
    <w:rsid w:val="00F43271"/>
    <w:rsid w:val="00F432D8"/>
    <w:rsid w:val="00F4335E"/>
    <w:rsid w:val="00F43370"/>
    <w:rsid w:val="00F433F3"/>
    <w:rsid w:val="00F434EA"/>
    <w:rsid w:val="00F43560"/>
    <w:rsid w:val="00F4356C"/>
    <w:rsid w:val="00F43575"/>
    <w:rsid w:val="00F43579"/>
    <w:rsid w:val="00F435C6"/>
    <w:rsid w:val="00F4360E"/>
    <w:rsid w:val="00F43731"/>
    <w:rsid w:val="00F437A1"/>
    <w:rsid w:val="00F43824"/>
    <w:rsid w:val="00F43849"/>
    <w:rsid w:val="00F438C6"/>
    <w:rsid w:val="00F438F3"/>
    <w:rsid w:val="00F43955"/>
    <w:rsid w:val="00F439A0"/>
    <w:rsid w:val="00F439CD"/>
    <w:rsid w:val="00F43A0F"/>
    <w:rsid w:val="00F43A26"/>
    <w:rsid w:val="00F43A2E"/>
    <w:rsid w:val="00F43A3B"/>
    <w:rsid w:val="00F43A3D"/>
    <w:rsid w:val="00F43A6A"/>
    <w:rsid w:val="00F43A73"/>
    <w:rsid w:val="00F43A8F"/>
    <w:rsid w:val="00F43AC8"/>
    <w:rsid w:val="00F43AF4"/>
    <w:rsid w:val="00F43AFB"/>
    <w:rsid w:val="00F43AFF"/>
    <w:rsid w:val="00F43B16"/>
    <w:rsid w:val="00F43B35"/>
    <w:rsid w:val="00F43B73"/>
    <w:rsid w:val="00F43BDF"/>
    <w:rsid w:val="00F43C65"/>
    <w:rsid w:val="00F43CAE"/>
    <w:rsid w:val="00F43CB0"/>
    <w:rsid w:val="00F43D15"/>
    <w:rsid w:val="00F43D3A"/>
    <w:rsid w:val="00F43D3D"/>
    <w:rsid w:val="00F43D47"/>
    <w:rsid w:val="00F43D4F"/>
    <w:rsid w:val="00F43D63"/>
    <w:rsid w:val="00F43D71"/>
    <w:rsid w:val="00F43DFD"/>
    <w:rsid w:val="00F43E05"/>
    <w:rsid w:val="00F43ED8"/>
    <w:rsid w:val="00F43EE8"/>
    <w:rsid w:val="00F43F3A"/>
    <w:rsid w:val="00F43F66"/>
    <w:rsid w:val="00F43F73"/>
    <w:rsid w:val="00F43F9C"/>
    <w:rsid w:val="00F44023"/>
    <w:rsid w:val="00F4402C"/>
    <w:rsid w:val="00F44045"/>
    <w:rsid w:val="00F440CE"/>
    <w:rsid w:val="00F440EE"/>
    <w:rsid w:val="00F441C4"/>
    <w:rsid w:val="00F441C9"/>
    <w:rsid w:val="00F4425A"/>
    <w:rsid w:val="00F44279"/>
    <w:rsid w:val="00F4427B"/>
    <w:rsid w:val="00F442C8"/>
    <w:rsid w:val="00F442D4"/>
    <w:rsid w:val="00F442D5"/>
    <w:rsid w:val="00F442D9"/>
    <w:rsid w:val="00F44311"/>
    <w:rsid w:val="00F44313"/>
    <w:rsid w:val="00F44332"/>
    <w:rsid w:val="00F44391"/>
    <w:rsid w:val="00F443B4"/>
    <w:rsid w:val="00F444B1"/>
    <w:rsid w:val="00F444B5"/>
    <w:rsid w:val="00F444D2"/>
    <w:rsid w:val="00F444F9"/>
    <w:rsid w:val="00F44604"/>
    <w:rsid w:val="00F4461B"/>
    <w:rsid w:val="00F446CB"/>
    <w:rsid w:val="00F447A3"/>
    <w:rsid w:val="00F447C0"/>
    <w:rsid w:val="00F447CC"/>
    <w:rsid w:val="00F447EF"/>
    <w:rsid w:val="00F4483E"/>
    <w:rsid w:val="00F4485C"/>
    <w:rsid w:val="00F4491D"/>
    <w:rsid w:val="00F44921"/>
    <w:rsid w:val="00F4493B"/>
    <w:rsid w:val="00F449A3"/>
    <w:rsid w:val="00F449AD"/>
    <w:rsid w:val="00F449C6"/>
    <w:rsid w:val="00F44A1E"/>
    <w:rsid w:val="00F44A2C"/>
    <w:rsid w:val="00F44A4C"/>
    <w:rsid w:val="00F44A76"/>
    <w:rsid w:val="00F44AFD"/>
    <w:rsid w:val="00F44B9D"/>
    <w:rsid w:val="00F44BB6"/>
    <w:rsid w:val="00F44C39"/>
    <w:rsid w:val="00F44C8E"/>
    <w:rsid w:val="00F44CC0"/>
    <w:rsid w:val="00F44CE1"/>
    <w:rsid w:val="00F44CF0"/>
    <w:rsid w:val="00F44D42"/>
    <w:rsid w:val="00F44D83"/>
    <w:rsid w:val="00F44DBB"/>
    <w:rsid w:val="00F44DFA"/>
    <w:rsid w:val="00F44E1C"/>
    <w:rsid w:val="00F44F15"/>
    <w:rsid w:val="00F44F1E"/>
    <w:rsid w:val="00F44F7B"/>
    <w:rsid w:val="00F44F9B"/>
    <w:rsid w:val="00F44FAB"/>
    <w:rsid w:val="00F44FB8"/>
    <w:rsid w:val="00F44FBE"/>
    <w:rsid w:val="00F44FD3"/>
    <w:rsid w:val="00F44FE3"/>
    <w:rsid w:val="00F4505E"/>
    <w:rsid w:val="00F450D1"/>
    <w:rsid w:val="00F45107"/>
    <w:rsid w:val="00F4512C"/>
    <w:rsid w:val="00F45169"/>
    <w:rsid w:val="00F4519E"/>
    <w:rsid w:val="00F451C2"/>
    <w:rsid w:val="00F45219"/>
    <w:rsid w:val="00F45224"/>
    <w:rsid w:val="00F45229"/>
    <w:rsid w:val="00F45236"/>
    <w:rsid w:val="00F452BD"/>
    <w:rsid w:val="00F452C4"/>
    <w:rsid w:val="00F452E5"/>
    <w:rsid w:val="00F45318"/>
    <w:rsid w:val="00F45337"/>
    <w:rsid w:val="00F45410"/>
    <w:rsid w:val="00F45446"/>
    <w:rsid w:val="00F454EB"/>
    <w:rsid w:val="00F45520"/>
    <w:rsid w:val="00F455B3"/>
    <w:rsid w:val="00F455CF"/>
    <w:rsid w:val="00F45614"/>
    <w:rsid w:val="00F45638"/>
    <w:rsid w:val="00F45697"/>
    <w:rsid w:val="00F4571F"/>
    <w:rsid w:val="00F4587E"/>
    <w:rsid w:val="00F458AA"/>
    <w:rsid w:val="00F458B8"/>
    <w:rsid w:val="00F458BA"/>
    <w:rsid w:val="00F45923"/>
    <w:rsid w:val="00F4595E"/>
    <w:rsid w:val="00F4597F"/>
    <w:rsid w:val="00F4599F"/>
    <w:rsid w:val="00F45A03"/>
    <w:rsid w:val="00F45A82"/>
    <w:rsid w:val="00F45AB1"/>
    <w:rsid w:val="00F45B62"/>
    <w:rsid w:val="00F45B98"/>
    <w:rsid w:val="00F45C49"/>
    <w:rsid w:val="00F45C90"/>
    <w:rsid w:val="00F45CAE"/>
    <w:rsid w:val="00F45CF3"/>
    <w:rsid w:val="00F45D4F"/>
    <w:rsid w:val="00F45D52"/>
    <w:rsid w:val="00F45D82"/>
    <w:rsid w:val="00F45DEE"/>
    <w:rsid w:val="00F45E13"/>
    <w:rsid w:val="00F45F2C"/>
    <w:rsid w:val="00F45FBB"/>
    <w:rsid w:val="00F45FD6"/>
    <w:rsid w:val="00F45FDB"/>
    <w:rsid w:val="00F460CA"/>
    <w:rsid w:val="00F460DF"/>
    <w:rsid w:val="00F460F0"/>
    <w:rsid w:val="00F4614D"/>
    <w:rsid w:val="00F461AC"/>
    <w:rsid w:val="00F461DB"/>
    <w:rsid w:val="00F4627F"/>
    <w:rsid w:val="00F462CA"/>
    <w:rsid w:val="00F462D9"/>
    <w:rsid w:val="00F463E0"/>
    <w:rsid w:val="00F4640C"/>
    <w:rsid w:val="00F46412"/>
    <w:rsid w:val="00F464D0"/>
    <w:rsid w:val="00F464ED"/>
    <w:rsid w:val="00F46568"/>
    <w:rsid w:val="00F465C9"/>
    <w:rsid w:val="00F465E1"/>
    <w:rsid w:val="00F46661"/>
    <w:rsid w:val="00F4671D"/>
    <w:rsid w:val="00F46782"/>
    <w:rsid w:val="00F467A7"/>
    <w:rsid w:val="00F467AD"/>
    <w:rsid w:val="00F467E0"/>
    <w:rsid w:val="00F468AB"/>
    <w:rsid w:val="00F468F7"/>
    <w:rsid w:val="00F469C3"/>
    <w:rsid w:val="00F469E5"/>
    <w:rsid w:val="00F46A68"/>
    <w:rsid w:val="00F46A98"/>
    <w:rsid w:val="00F46AB5"/>
    <w:rsid w:val="00F46B5E"/>
    <w:rsid w:val="00F46BAF"/>
    <w:rsid w:val="00F46BB1"/>
    <w:rsid w:val="00F46C57"/>
    <w:rsid w:val="00F46C84"/>
    <w:rsid w:val="00F46C8B"/>
    <w:rsid w:val="00F46C90"/>
    <w:rsid w:val="00F46CF9"/>
    <w:rsid w:val="00F46D17"/>
    <w:rsid w:val="00F46D3E"/>
    <w:rsid w:val="00F46D58"/>
    <w:rsid w:val="00F46DC2"/>
    <w:rsid w:val="00F46E91"/>
    <w:rsid w:val="00F46E9E"/>
    <w:rsid w:val="00F46EB4"/>
    <w:rsid w:val="00F46EBB"/>
    <w:rsid w:val="00F46ECD"/>
    <w:rsid w:val="00F46F77"/>
    <w:rsid w:val="00F46FD0"/>
    <w:rsid w:val="00F46FE1"/>
    <w:rsid w:val="00F47026"/>
    <w:rsid w:val="00F47060"/>
    <w:rsid w:val="00F47071"/>
    <w:rsid w:val="00F4708B"/>
    <w:rsid w:val="00F470B5"/>
    <w:rsid w:val="00F470E3"/>
    <w:rsid w:val="00F4719A"/>
    <w:rsid w:val="00F471CB"/>
    <w:rsid w:val="00F471E9"/>
    <w:rsid w:val="00F4720C"/>
    <w:rsid w:val="00F47216"/>
    <w:rsid w:val="00F47262"/>
    <w:rsid w:val="00F47277"/>
    <w:rsid w:val="00F47282"/>
    <w:rsid w:val="00F47297"/>
    <w:rsid w:val="00F4729F"/>
    <w:rsid w:val="00F472EC"/>
    <w:rsid w:val="00F4730C"/>
    <w:rsid w:val="00F4731E"/>
    <w:rsid w:val="00F4733D"/>
    <w:rsid w:val="00F47379"/>
    <w:rsid w:val="00F4738A"/>
    <w:rsid w:val="00F473C3"/>
    <w:rsid w:val="00F473C7"/>
    <w:rsid w:val="00F473D8"/>
    <w:rsid w:val="00F4748D"/>
    <w:rsid w:val="00F47491"/>
    <w:rsid w:val="00F474AC"/>
    <w:rsid w:val="00F474CD"/>
    <w:rsid w:val="00F474D9"/>
    <w:rsid w:val="00F4758C"/>
    <w:rsid w:val="00F4758D"/>
    <w:rsid w:val="00F475BB"/>
    <w:rsid w:val="00F4764C"/>
    <w:rsid w:val="00F47679"/>
    <w:rsid w:val="00F4767D"/>
    <w:rsid w:val="00F476A0"/>
    <w:rsid w:val="00F476B7"/>
    <w:rsid w:val="00F4770F"/>
    <w:rsid w:val="00F4771B"/>
    <w:rsid w:val="00F47759"/>
    <w:rsid w:val="00F47818"/>
    <w:rsid w:val="00F47897"/>
    <w:rsid w:val="00F478C2"/>
    <w:rsid w:val="00F478D1"/>
    <w:rsid w:val="00F478F1"/>
    <w:rsid w:val="00F47911"/>
    <w:rsid w:val="00F47955"/>
    <w:rsid w:val="00F479AB"/>
    <w:rsid w:val="00F47A13"/>
    <w:rsid w:val="00F47A44"/>
    <w:rsid w:val="00F47A56"/>
    <w:rsid w:val="00F47A92"/>
    <w:rsid w:val="00F47AA1"/>
    <w:rsid w:val="00F47AA3"/>
    <w:rsid w:val="00F47AA5"/>
    <w:rsid w:val="00F47ABD"/>
    <w:rsid w:val="00F47ADE"/>
    <w:rsid w:val="00F47AE1"/>
    <w:rsid w:val="00F47AED"/>
    <w:rsid w:val="00F47AF0"/>
    <w:rsid w:val="00F47BD3"/>
    <w:rsid w:val="00F47BDA"/>
    <w:rsid w:val="00F47C28"/>
    <w:rsid w:val="00F47C96"/>
    <w:rsid w:val="00F47CF9"/>
    <w:rsid w:val="00F47D12"/>
    <w:rsid w:val="00F47D8B"/>
    <w:rsid w:val="00F47D8F"/>
    <w:rsid w:val="00F47DDC"/>
    <w:rsid w:val="00F47DF1"/>
    <w:rsid w:val="00F47E0A"/>
    <w:rsid w:val="00F47E0C"/>
    <w:rsid w:val="00F47E49"/>
    <w:rsid w:val="00F47E82"/>
    <w:rsid w:val="00F47E96"/>
    <w:rsid w:val="00F47E9F"/>
    <w:rsid w:val="00F47ECE"/>
    <w:rsid w:val="00F47F69"/>
    <w:rsid w:val="00F47F83"/>
    <w:rsid w:val="00F47FA6"/>
    <w:rsid w:val="00F47FF4"/>
    <w:rsid w:val="00F5014E"/>
    <w:rsid w:val="00F502C3"/>
    <w:rsid w:val="00F502C8"/>
    <w:rsid w:val="00F502E3"/>
    <w:rsid w:val="00F502F5"/>
    <w:rsid w:val="00F50342"/>
    <w:rsid w:val="00F50377"/>
    <w:rsid w:val="00F50382"/>
    <w:rsid w:val="00F5039E"/>
    <w:rsid w:val="00F503B0"/>
    <w:rsid w:val="00F504B5"/>
    <w:rsid w:val="00F504FC"/>
    <w:rsid w:val="00F504FD"/>
    <w:rsid w:val="00F505E6"/>
    <w:rsid w:val="00F50622"/>
    <w:rsid w:val="00F50647"/>
    <w:rsid w:val="00F506EE"/>
    <w:rsid w:val="00F50767"/>
    <w:rsid w:val="00F50788"/>
    <w:rsid w:val="00F507A2"/>
    <w:rsid w:val="00F507CC"/>
    <w:rsid w:val="00F507CE"/>
    <w:rsid w:val="00F5080A"/>
    <w:rsid w:val="00F5087E"/>
    <w:rsid w:val="00F5088A"/>
    <w:rsid w:val="00F50930"/>
    <w:rsid w:val="00F50947"/>
    <w:rsid w:val="00F50960"/>
    <w:rsid w:val="00F5099F"/>
    <w:rsid w:val="00F509F0"/>
    <w:rsid w:val="00F509F2"/>
    <w:rsid w:val="00F50A70"/>
    <w:rsid w:val="00F50AC9"/>
    <w:rsid w:val="00F50AF8"/>
    <w:rsid w:val="00F50B12"/>
    <w:rsid w:val="00F50B4C"/>
    <w:rsid w:val="00F50BBB"/>
    <w:rsid w:val="00F50C0E"/>
    <w:rsid w:val="00F50C3A"/>
    <w:rsid w:val="00F50C60"/>
    <w:rsid w:val="00F50CDC"/>
    <w:rsid w:val="00F50D44"/>
    <w:rsid w:val="00F50D98"/>
    <w:rsid w:val="00F50E6B"/>
    <w:rsid w:val="00F50F38"/>
    <w:rsid w:val="00F50F5D"/>
    <w:rsid w:val="00F50F80"/>
    <w:rsid w:val="00F50FD7"/>
    <w:rsid w:val="00F510A8"/>
    <w:rsid w:val="00F510BA"/>
    <w:rsid w:val="00F510C0"/>
    <w:rsid w:val="00F51130"/>
    <w:rsid w:val="00F51139"/>
    <w:rsid w:val="00F5119C"/>
    <w:rsid w:val="00F511B1"/>
    <w:rsid w:val="00F511F6"/>
    <w:rsid w:val="00F511FC"/>
    <w:rsid w:val="00F5124D"/>
    <w:rsid w:val="00F51252"/>
    <w:rsid w:val="00F512A8"/>
    <w:rsid w:val="00F512A9"/>
    <w:rsid w:val="00F512AC"/>
    <w:rsid w:val="00F512D5"/>
    <w:rsid w:val="00F51343"/>
    <w:rsid w:val="00F51349"/>
    <w:rsid w:val="00F51384"/>
    <w:rsid w:val="00F51394"/>
    <w:rsid w:val="00F51413"/>
    <w:rsid w:val="00F514A6"/>
    <w:rsid w:val="00F514C8"/>
    <w:rsid w:val="00F514D9"/>
    <w:rsid w:val="00F51506"/>
    <w:rsid w:val="00F51533"/>
    <w:rsid w:val="00F51561"/>
    <w:rsid w:val="00F51585"/>
    <w:rsid w:val="00F51588"/>
    <w:rsid w:val="00F51594"/>
    <w:rsid w:val="00F51612"/>
    <w:rsid w:val="00F51682"/>
    <w:rsid w:val="00F51692"/>
    <w:rsid w:val="00F516A9"/>
    <w:rsid w:val="00F516B7"/>
    <w:rsid w:val="00F516E1"/>
    <w:rsid w:val="00F51716"/>
    <w:rsid w:val="00F518B8"/>
    <w:rsid w:val="00F5191B"/>
    <w:rsid w:val="00F5194A"/>
    <w:rsid w:val="00F5197D"/>
    <w:rsid w:val="00F519AA"/>
    <w:rsid w:val="00F51A36"/>
    <w:rsid w:val="00F51A47"/>
    <w:rsid w:val="00F51A50"/>
    <w:rsid w:val="00F51A93"/>
    <w:rsid w:val="00F51AC5"/>
    <w:rsid w:val="00F51BA8"/>
    <w:rsid w:val="00F51BAF"/>
    <w:rsid w:val="00F51BE3"/>
    <w:rsid w:val="00F51BEB"/>
    <w:rsid w:val="00F51C03"/>
    <w:rsid w:val="00F51C8A"/>
    <w:rsid w:val="00F51D2A"/>
    <w:rsid w:val="00F51D57"/>
    <w:rsid w:val="00F51D9B"/>
    <w:rsid w:val="00F51DC3"/>
    <w:rsid w:val="00F51DD0"/>
    <w:rsid w:val="00F51DD6"/>
    <w:rsid w:val="00F51ECB"/>
    <w:rsid w:val="00F51EE6"/>
    <w:rsid w:val="00F51FF8"/>
    <w:rsid w:val="00F52010"/>
    <w:rsid w:val="00F52090"/>
    <w:rsid w:val="00F520C6"/>
    <w:rsid w:val="00F52120"/>
    <w:rsid w:val="00F521F4"/>
    <w:rsid w:val="00F52203"/>
    <w:rsid w:val="00F52232"/>
    <w:rsid w:val="00F5224B"/>
    <w:rsid w:val="00F52259"/>
    <w:rsid w:val="00F52277"/>
    <w:rsid w:val="00F52278"/>
    <w:rsid w:val="00F5227F"/>
    <w:rsid w:val="00F522E9"/>
    <w:rsid w:val="00F52437"/>
    <w:rsid w:val="00F52454"/>
    <w:rsid w:val="00F52486"/>
    <w:rsid w:val="00F52491"/>
    <w:rsid w:val="00F524C3"/>
    <w:rsid w:val="00F52508"/>
    <w:rsid w:val="00F5256A"/>
    <w:rsid w:val="00F5257E"/>
    <w:rsid w:val="00F525A1"/>
    <w:rsid w:val="00F525C7"/>
    <w:rsid w:val="00F525FF"/>
    <w:rsid w:val="00F52627"/>
    <w:rsid w:val="00F52666"/>
    <w:rsid w:val="00F52687"/>
    <w:rsid w:val="00F526DC"/>
    <w:rsid w:val="00F526DE"/>
    <w:rsid w:val="00F5271B"/>
    <w:rsid w:val="00F52744"/>
    <w:rsid w:val="00F5274C"/>
    <w:rsid w:val="00F5278F"/>
    <w:rsid w:val="00F527A2"/>
    <w:rsid w:val="00F52825"/>
    <w:rsid w:val="00F52852"/>
    <w:rsid w:val="00F52908"/>
    <w:rsid w:val="00F52955"/>
    <w:rsid w:val="00F5296B"/>
    <w:rsid w:val="00F52A2C"/>
    <w:rsid w:val="00F52A3B"/>
    <w:rsid w:val="00F52A66"/>
    <w:rsid w:val="00F52A81"/>
    <w:rsid w:val="00F52A92"/>
    <w:rsid w:val="00F52AA9"/>
    <w:rsid w:val="00F52AB5"/>
    <w:rsid w:val="00F52AEF"/>
    <w:rsid w:val="00F52B75"/>
    <w:rsid w:val="00F52BB8"/>
    <w:rsid w:val="00F52BC0"/>
    <w:rsid w:val="00F52BDA"/>
    <w:rsid w:val="00F52BFC"/>
    <w:rsid w:val="00F52C16"/>
    <w:rsid w:val="00F52C21"/>
    <w:rsid w:val="00F52C62"/>
    <w:rsid w:val="00F52C80"/>
    <w:rsid w:val="00F52C99"/>
    <w:rsid w:val="00F52CD7"/>
    <w:rsid w:val="00F52D15"/>
    <w:rsid w:val="00F52D26"/>
    <w:rsid w:val="00F52D39"/>
    <w:rsid w:val="00F52DF3"/>
    <w:rsid w:val="00F52E00"/>
    <w:rsid w:val="00F52E3B"/>
    <w:rsid w:val="00F52ED5"/>
    <w:rsid w:val="00F52FC8"/>
    <w:rsid w:val="00F5301C"/>
    <w:rsid w:val="00F5301D"/>
    <w:rsid w:val="00F5302A"/>
    <w:rsid w:val="00F5302D"/>
    <w:rsid w:val="00F53048"/>
    <w:rsid w:val="00F53066"/>
    <w:rsid w:val="00F530C1"/>
    <w:rsid w:val="00F530CB"/>
    <w:rsid w:val="00F531D9"/>
    <w:rsid w:val="00F531DD"/>
    <w:rsid w:val="00F53271"/>
    <w:rsid w:val="00F5329C"/>
    <w:rsid w:val="00F532A5"/>
    <w:rsid w:val="00F532E0"/>
    <w:rsid w:val="00F5336B"/>
    <w:rsid w:val="00F533C7"/>
    <w:rsid w:val="00F5340E"/>
    <w:rsid w:val="00F53410"/>
    <w:rsid w:val="00F5348F"/>
    <w:rsid w:val="00F534AD"/>
    <w:rsid w:val="00F534D0"/>
    <w:rsid w:val="00F534E8"/>
    <w:rsid w:val="00F534F9"/>
    <w:rsid w:val="00F53534"/>
    <w:rsid w:val="00F53551"/>
    <w:rsid w:val="00F53570"/>
    <w:rsid w:val="00F5359C"/>
    <w:rsid w:val="00F535D2"/>
    <w:rsid w:val="00F535E6"/>
    <w:rsid w:val="00F536A1"/>
    <w:rsid w:val="00F536A8"/>
    <w:rsid w:val="00F536CB"/>
    <w:rsid w:val="00F536DE"/>
    <w:rsid w:val="00F53707"/>
    <w:rsid w:val="00F53757"/>
    <w:rsid w:val="00F537A9"/>
    <w:rsid w:val="00F537C1"/>
    <w:rsid w:val="00F53813"/>
    <w:rsid w:val="00F5381E"/>
    <w:rsid w:val="00F53898"/>
    <w:rsid w:val="00F538C5"/>
    <w:rsid w:val="00F538DC"/>
    <w:rsid w:val="00F5391E"/>
    <w:rsid w:val="00F5394F"/>
    <w:rsid w:val="00F539AD"/>
    <w:rsid w:val="00F539F1"/>
    <w:rsid w:val="00F53A01"/>
    <w:rsid w:val="00F53A4D"/>
    <w:rsid w:val="00F53A93"/>
    <w:rsid w:val="00F53AB1"/>
    <w:rsid w:val="00F53B48"/>
    <w:rsid w:val="00F53B5C"/>
    <w:rsid w:val="00F53B75"/>
    <w:rsid w:val="00F53B81"/>
    <w:rsid w:val="00F53B96"/>
    <w:rsid w:val="00F53BBF"/>
    <w:rsid w:val="00F53BC6"/>
    <w:rsid w:val="00F53C8E"/>
    <w:rsid w:val="00F53CA7"/>
    <w:rsid w:val="00F53CD7"/>
    <w:rsid w:val="00F53DA6"/>
    <w:rsid w:val="00F53DAE"/>
    <w:rsid w:val="00F53E60"/>
    <w:rsid w:val="00F53F1B"/>
    <w:rsid w:val="00F53F4B"/>
    <w:rsid w:val="00F53F83"/>
    <w:rsid w:val="00F53FB2"/>
    <w:rsid w:val="00F53FD3"/>
    <w:rsid w:val="00F54067"/>
    <w:rsid w:val="00F54078"/>
    <w:rsid w:val="00F54079"/>
    <w:rsid w:val="00F540B2"/>
    <w:rsid w:val="00F54109"/>
    <w:rsid w:val="00F54120"/>
    <w:rsid w:val="00F5412E"/>
    <w:rsid w:val="00F5413B"/>
    <w:rsid w:val="00F5413F"/>
    <w:rsid w:val="00F54181"/>
    <w:rsid w:val="00F5419A"/>
    <w:rsid w:val="00F541C7"/>
    <w:rsid w:val="00F541EA"/>
    <w:rsid w:val="00F54257"/>
    <w:rsid w:val="00F542E2"/>
    <w:rsid w:val="00F542E7"/>
    <w:rsid w:val="00F54325"/>
    <w:rsid w:val="00F5433B"/>
    <w:rsid w:val="00F54356"/>
    <w:rsid w:val="00F5436B"/>
    <w:rsid w:val="00F5438D"/>
    <w:rsid w:val="00F54396"/>
    <w:rsid w:val="00F54398"/>
    <w:rsid w:val="00F5443B"/>
    <w:rsid w:val="00F54466"/>
    <w:rsid w:val="00F5447D"/>
    <w:rsid w:val="00F544AA"/>
    <w:rsid w:val="00F544DF"/>
    <w:rsid w:val="00F54539"/>
    <w:rsid w:val="00F54540"/>
    <w:rsid w:val="00F5457C"/>
    <w:rsid w:val="00F54591"/>
    <w:rsid w:val="00F545F9"/>
    <w:rsid w:val="00F54665"/>
    <w:rsid w:val="00F5466B"/>
    <w:rsid w:val="00F54697"/>
    <w:rsid w:val="00F546A9"/>
    <w:rsid w:val="00F546B8"/>
    <w:rsid w:val="00F54714"/>
    <w:rsid w:val="00F54767"/>
    <w:rsid w:val="00F5478E"/>
    <w:rsid w:val="00F547C1"/>
    <w:rsid w:val="00F547CF"/>
    <w:rsid w:val="00F547E4"/>
    <w:rsid w:val="00F547FD"/>
    <w:rsid w:val="00F54845"/>
    <w:rsid w:val="00F548CA"/>
    <w:rsid w:val="00F548F7"/>
    <w:rsid w:val="00F54947"/>
    <w:rsid w:val="00F5494E"/>
    <w:rsid w:val="00F5497E"/>
    <w:rsid w:val="00F54A34"/>
    <w:rsid w:val="00F54A49"/>
    <w:rsid w:val="00F54A6E"/>
    <w:rsid w:val="00F54AAB"/>
    <w:rsid w:val="00F54B36"/>
    <w:rsid w:val="00F54B5E"/>
    <w:rsid w:val="00F54B70"/>
    <w:rsid w:val="00F54B80"/>
    <w:rsid w:val="00F54B89"/>
    <w:rsid w:val="00F54B8F"/>
    <w:rsid w:val="00F54BF2"/>
    <w:rsid w:val="00F54C51"/>
    <w:rsid w:val="00F54C6A"/>
    <w:rsid w:val="00F54C7E"/>
    <w:rsid w:val="00F54D0B"/>
    <w:rsid w:val="00F54D47"/>
    <w:rsid w:val="00F54D54"/>
    <w:rsid w:val="00F54D77"/>
    <w:rsid w:val="00F54D82"/>
    <w:rsid w:val="00F54DB9"/>
    <w:rsid w:val="00F54DE4"/>
    <w:rsid w:val="00F54E34"/>
    <w:rsid w:val="00F54E3F"/>
    <w:rsid w:val="00F54E45"/>
    <w:rsid w:val="00F54E63"/>
    <w:rsid w:val="00F54E86"/>
    <w:rsid w:val="00F54EF4"/>
    <w:rsid w:val="00F54F24"/>
    <w:rsid w:val="00F54F29"/>
    <w:rsid w:val="00F54FAB"/>
    <w:rsid w:val="00F54FBB"/>
    <w:rsid w:val="00F54FEB"/>
    <w:rsid w:val="00F5500F"/>
    <w:rsid w:val="00F5501D"/>
    <w:rsid w:val="00F55042"/>
    <w:rsid w:val="00F55049"/>
    <w:rsid w:val="00F55168"/>
    <w:rsid w:val="00F55227"/>
    <w:rsid w:val="00F552A5"/>
    <w:rsid w:val="00F552F9"/>
    <w:rsid w:val="00F553B0"/>
    <w:rsid w:val="00F553F2"/>
    <w:rsid w:val="00F553FE"/>
    <w:rsid w:val="00F55420"/>
    <w:rsid w:val="00F55428"/>
    <w:rsid w:val="00F5543E"/>
    <w:rsid w:val="00F5544C"/>
    <w:rsid w:val="00F5544E"/>
    <w:rsid w:val="00F5545A"/>
    <w:rsid w:val="00F5546F"/>
    <w:rsid w:val="00F554AB"/>
    <w:rsid w:val="00F554D5"/>
    <w:rsid w:val="00F5552C"/>
    <w:rsid w:val="00F55531"/>
    <w:rsid w:val="00F5558C"/>
    <w:rsid w:val="00F5559F"/>
    <w:rsid w:val="00F555CE"/>
    <w:rsid w:val="00F555F1"/>
    <w:rsid w:val="00F55639"/>
    <w:rsid w:val="00F5565E"/>
    <w:rsid w:val="00F55680"/>
    <w:rsid w:val="00F55682"/>
    <w:rsid w:val="00F55741"/>
    <w:rsid w:val="00F557B6"/>
    <w:rsid w:val="00F557CD"/>
    <w:rsid w:val="00F557F2"/>
    <w:rsid w:val="00F55819"/>
    <w:rsid w:val="00F55910"/>
    <w:rsid w:val="00F55920"/>
    <w:rsid w:val="00F5592C"/>
    <w:rsid w:val="00F559DA"/>
    <w:rsid w:val="00F55B49"/>
    <w:rsid w:val="00F55B63"/>
    <w:rsid w:val="00F55B9A"/>
    <w:rsid w:val="00F55BEC"/>
    <w:rsid w:val="00F55C17"/>
    <w:rsid w:val="00F55C19"/>
    <w:rsid w:val="00F55C7F"/>
    <w:rsid w:val="00F55C8C"/>
    <w:rsid w:val="00F55D65"/>
    <w:rsid w:val="00F55D91"/>
    <w:rsid w:val="00F55E01"/>
    <w:rsid w:val="00F55E1C"/>
    <w:rsid w:val="00F55E9C"/>
    <w:rsid w:val="00F55F11"/>
    <w:rsid w:val="00F55F13"/>
    <w:rsid w:val="00F55F49"/>
    <w:rsid w:val="00F55F52"/>
    <w:rsid w:val="00F55F88"/>
    <w:rsid w:val="00F55FBB"/>
    <w:rsid w:val="00F55FBD"/>
    <w:rsid w:val="00F55FDB"/>
    <w:rsid w:val="00F5601D"/>
    <w:rsid w:val="00F56026"/>
    <w:rsid w:val="00F56064"/>
    <w:rsid w:val="00F5608A"/>
    <w:rsid w:val="00F56090"/>
    <w:rsid w:val="00F560D0"/>
    <w:rsid w:val="00F560F1"/>
    <w:rsid w:val="00F5610D"/>
    <w:rsid w:val="00F56198"/>
    <w:rsid w:val="00F5619D"/>
    <w:rsid w:val="00F561A0"/>
    <w:rsid w:val="00F561C6"/>
    <w:rsid w:val="00F5620B"/>
    <w:rsid w:val="00F56281"/>
    <w:rsid w:val="00F56284"/>
    <w:rsid w:val="00F56285"/>
    <w:rsid w:val="00F56386"/>
    <w:rsid w:val="00F5640A"/>
    <w:rsid w:val="00F56552"/>
    <w:rsid w:val="00F56555"/>
    <w:rsid w:val="00F5655C"/>
    <w:rsid w:val="00F56609"/>
    <w:rsid w:val="00F56610"/>
    <w:rsid w:val="00F5663D"/>
    <w:rsid w:val="00F56646"/>
    <w:rsid w:val="00F56647"/>
    <w:rsid w:val="00F56688"/>
    <w:rsid w:val="00F566C0"/>
    <w:rsid w:val="00F566D7"/>
    <w:rsid w:val="00F566E7"/>
    <w:rsid w:val="00F56709"/>
    <w:rsid w:val="00F5674C"/>
    <w:rsid w:val="00F56797"/>
    <w:rsid w:val="00F56870"/>
    <w:rsid w:val="00F5687E"/>
    <w:rsid w:val="00F5692B"/>
    <w:rsid w:val="00F5696F"/>
    <w:rsid w:val="00F569ED"/>
    <w:rsid w:val="00F56A28"/>
    <w:rsid w:val="00F56AAB"/>
    <w:rsid w:val="00F56AF6"/>
    <w:rsid w:val="00F56B21"/>
    <w:rsid w:val="00F56B48"/>
    <w:rsid w:val="00F56B4F"/>
    <w:rsid w:val="00F56B8A"/>
    <w:rsid w:val="00F56BD7"/>
    <w:rsid w:val="00F56C16"/>
    <w:rsid w:val="00F56C21"/>
    <w:rsid w:val="00F56C2A"/>
    <w:rsid w:val="00F56C84"/>
    <w:rsid w:val="00F56C91"/>
    <w:rsid w:val="00F56C9B"/>
    <w:rsid w:val="00F56C9C"/>
    <w:rsid w:val="00F56CA7"/>
    <w:rsid w:val="00F56CEC"/>
    <w:rsid w:val="00F56D0C"/>
    <w:rsid w:val="00F56D0F"/>
    <w:rsid w:val="00F56D63"/>
    <w:rsid w:val="00F56D68"/>
    <w:rsid w:val="00F56DB4"/>
    <w:rsid w:val="00F56DB9"/>
    <w:rsid w:val="00F56DFA"/>
    <w:rsid w:val="00F56E43"/>
    <w:rsid w:val="00F56F73"/>
    <w:rsid w:val="00F56F87"/>
    <w:rsid w:val="00F56FAD"/>
    <w:rsid w:val="00F56FD7"/>
    <w:rsid w:val="00F56FF4"/>
    <w:rsid w:val="00F57012"/>
    <w:rsid w:val="00F5703A"/>
    <w:rsid w:val="00F57048"/>
    <w:rsid w:val="00F5706D"/>
    <w:rsid w:val="00F570C7"/>
    <w:rsid w:val="00F5712D"/>
    <w:rsid w:val="00F57132"/>
    <w:rsid w:val="00F571AD"/>
    <w:rsid w:val="00F571C2"/>
    <w:rsid w:val="00F5720D"/>
    <w:rsid w:val="00F57258"/>
    <w:rsid w:val="00F57259"/>
    <w:rsid w:val="00F57262"/>
    <w:rsid w:val="00F5727B"/>
    <w:rsid w:val="00F572A6"/>
    <w:rsid w:val="00F57316"/>
    <w:rsid w:val="00F5737E"/>
    <w:rsid w:val="00F573AE"/>
    <w:rsid w:val="00F573F0"/>
    <w:rsid w:val="00F57438"/>
    <w:rsid w:val="00F57494"/>
    <w:rsid w:val="00F5758D"/>
    <w:rsid w:val="00F575BA"/>
    <w:rsid w:val="00F575CA"/>
    <w:rsid w:val="00F5766D"/>
    <w:rsid w:val="00F57687"/>
    <w:rsid w:val="00F576D3"/>
    <w:rsid w:val="00F576F7"/>
    <w:rsid w:val="00F5778E"/>
    <w:rsid w:val="00F577FF"/>
    <w:rsid w:val="00F57859"/>
    <w:rsid w:val="00F5789E"/>
    <w:rsid w:val="00F578BA"/>
    <w:rsid w:val="00F578BF"/>
    <w:rsid w:val="00F578CC"/>
    <w:rsid w:val="00F578F8"/>
    <w:rsid w:val="00F5792C"/>
    <w:rsid w:val="00F5792F"/>
    <w:rsid w:val="00F5793E"/>
    <w:rsid w:val="00F579B9"/>
    <w:rsid w:val="00F579F8"/>
    <w:rsid w:val="00F57A06"/>
    <w:rsid w:val="00F57A56"/>
    <w:rsid w:val="00F57A77"/>
    <w:rsid w:val="00F57AD9"/>
    <w:rsid w:val="00F57AF3"/>
    <w:rsid w:val="00F57BB9"/>
    <w:rsid w:val="00F57BD4"/>
    <w:rsid w:val="00F57BED"/>
    <w:rsid w:val="00F57C36"/>
    <w:rsid w:val="00F57C52"/>
    <w:rsid w:val="00F57C72"/>
    <w:rsid w:val="00F57C91"/>
    <w:rsid w:val="00F57CA1"/>
    <w:rsid w:val="00F57CBD"/>
    <w:rsid w:val="00F57CD2"/>
    <w:rsid w:val="00F57D3F"/>
    <w:rsid w:val="00F57D4F"/>
    <w:rsid w:val="00F57DA1"/>
    <w:rsid w:val="00F57DA4"/>
    <w:rsid w:val="00F57DEC"/>
    <w:rsid w:val="00F57DF9"/>
    <w:rsid w:val="00F57E0D"/>
    <w:rsid w:val="00F57E1E"/>
    <w:rsid w:val="00F57E25"/>
    <w:rsid w:val="00F57E79"/>
    <w:rsid w:val="00F57F03"/>
    <w:rsid w:val="00F57F04"/>
    <w:rsid w:val="00F57F75"/>
    <w:rsid w:val="00F57F8A"/>
    <w:rsid w:val="00F57FCF"/>
    <w:rsid w:val="00F57FDC"/>
    <w:rsid w:val="00F60042"/>
    <w:rsid w:val="00F6005C"/>
    <w:rsid w:val="00F60077"/>
    <w:rsid w:val="00F6007B"/>
    <w:rsid w:val="00F60085"/>
    <w:rsid w:val="00F600C8"/>
    <w:rsid w:val="00F600E5"/>
    <w:rsid w:val="00F60106"/>
    <w:rsid w:val="00F60127"/>
    <w:rsid w:val="00F60166"/>
    <w:rsid w:val="00F601B1"/>
    <w:rsid w:val="00F601B2"/>
    <w:rsid w:val="00F601CA"/>
    <w:rsid w:val="00F60235"/>
    <w:rsid w:val="00F60291"/>
    <w:rsid w:val="00F602EE"/>
    <w:rsid w:val="00F60325"/>
    <w:rsid w:val="00F60358"/>
    <w:rsid w:val="00F6035E"/>
    <w:rsid w:val="00F6036C"/>
    <w:rsid w:val="00F6038A"/>
    <w:rsid w:val="00F6038F"/>
    <w:rsid w:val="00F60450"/>
    <w:rsid w:val="00F604B6"/>
    <w:rsid w:val="00F60577"/>
    <w:rsid w:val="00F605AA"/>
    <w:rsid w:val="00F605B5"/>
    <w:rsid w:val="00F605F1"/>
    <w:rsid w:val="00F6061D"/>
    <w:rsid w:val="00F6064C"/>
    <w:rsid w:val="00F60688"/>
    <w:rsid w:val="00F606B5"/>
    <w:rsid w:val="00F6074E"/>
    <w:rsid w:val="00F60775"/>
    <w:rsid w:val="00F607A7"/>
    <w:rsid w:val="00F60829"/>
    <w:rsid w:val="00F60831"/>
    <w:rsid w:val="00F60855"/>
    <w:rsid w:val="00F6088B"/>
    <w:rsid w:val="00F60897"/>
    <w:rsid w:val="00F60939"/>
    <w:rsid w:val="00F60942"/>
    <w:rsid w:val="00F609BA"/>
    <w:rsid w:val="00F60A1A"/>
    <w:rsid w:val="00F60AF1"/>
    <w:rsid w:val="00F60B00"/>
    <w:rsid w:val="00F60B0A"/>
    <w:rsid w:val="00F60B29"/>
    <w:rsid w:val="00F60B4C"/>
    <w:rsid w:val="00F60BEC"/>
    <w:rsid w:val="00F60BFB"/>
    <w:rsid w:val="00F60CF4"/>
    <w:rsid w:val="00F60D4F"/>
    <w:rsid w:val="00F60D57"/>
    <w:rsid w:val="00F60D65"/>
    <w:rsid w:val="00F60D82"/>
    <w:rsid w:val="00F60D87"/>
    <w:rsid w:val="00F60DAB"/>
    <w:rsid w:val="00F60DEB"/>
    <w:rsid w:val="00F60E22"/>
    <w:rsid w:val="00F60E3C"/>
    <w:rsid w:val="00F60E3F"/>
    <w:rsid w:val="00F60E44"/>
    <w:rsid w:val="00F60E7A"/>
    <w:rsid w:val="00F60E90"/>
    <w:rsid w:val="00F60F9B"/>
    <w:rsid w:val="00F60FE0"/>
    <w:rsid w:val="00F60FFB"/>
    <w:rsid w:val="00F6100E"/>
    <w:rsid w:val="00F61047"/>
    <w:rsid w:val="00F610DA"/>
    <w:rsid w:val="00F61105"/>
    <w:rsid w:val="00F611C9"/>
    <w:rsid w:val="00F61211"/>
    <w:rsid w:val="00F6122E"/>
    <w:rsid w:val="00F6123F"/>
    <w:rsid w:val="00F61261"/>
    <w:rsid w:val="00F6130E"/>
    <w:rsid w:val="00F6132A"/>
    <w:rsid w:val="00F61350"/>
    <w:rsid w:val="00F6136D"/>
    <w:rsid w:val="00F6138F"/>
    <w:rsid w:val="00F61391"/>
    <w:rsid w:val="00F61394"/>
    <w:rsid w:val="00F613B4"/>
    <w:rsid w:val="00F613BB"/>
    <w:rsid w:val="00F613DA"/>
    <w:rsid w:val="00F61402"/>
    <w:rsid w:val="00F61403"/>
    <w:rsid w:val="00F61458"/>
    <w:rsid w:val="00F61559"/>
    <w:rsid w:val="00F6155E"/>
    <w:rsid w:val="00F615A7"/>
    <w:rsid w:val="00F615E6"/>
    <w:rsid w:val="00F61625"/>
    <w:rsid w:val="00F6166E"/>
    <w:rsid w:val="00F6166F"/>
    <w:rsid w:val="00F616A2"/>
    <w:rsid w:val="00F616FB"/>
    <w:rsid w:val="00F61733"/>
    <w:rsid w:val="00F61782"/>
    <w:rsid w:val="00F617DD"/>
    <w:rsid w:val="00F6187B"/>
    <w:rsid w:val="00F61887"/>
    <w:rsid w:val="00F618BC"/>
    <w:rsid w:val="00F61982"/>
    <w:rsid w:val="00F61A14"/>
    <w:rsid w:val="00F61A5F"/>
    <w:rsid w:val="00F61A87"/>
    <w:rsid w:val="00F61A9C"/>
    <w:rsid w:val="00F61B32"/>
    <w:rsid w:val="00F61B81"/>
    <w:rsid w:val="00F61B91"/>
    <w:rsid w:val="00F61BE9"/>
    <w:rsid w:val="00F61C09"/>
    <w:rsid w:val="00F61C22"/>
    <w:rsid w:val="00F61C25"/>
    <w:rsid w:val="00F61C4C"/>
    <w:rsid w:val="00F61C50"/>
    <w:rsid w:val="00F61C94"/>
    <w:rsid w:val="00F61CEC"/>
    <w:rsid w:val="00F61D12"/>
    <w:rsid w:val="00F61D15"/>
    <w:rsid w:val="00F61D1B"/>
    <w:rsid w:val="00F61D2E"/>
    <w:rsid w:val="00F61DD2"/>
    <w:rsid w:val="00F61DF9"/>
    <w:rsid w:val="00F61E27"/>
    <w:rsid w:val="00F61E4C"/>
    <w:rsid w:val="00F61E68"/>
    <w:rsid w:val="00F61EB2"/>
    <w:rsid w:val="00F61EEC"/>
    <w:rsid w:val="00F61F02"/>
    <w:rsid w:val="00F61F39"/>
    <w:rsid w:val="00F61F41"/>
    <w:rsid w:val="00F61F79"/>
    <w:rsid w:val="00F61F82"/>
    <w:rsid w:val="00F62074"/>
    <w:rsid w:val="00F62098"/>
    <w:rsid w:val="00F62149"/>
    <w:rsid w:val="00F62173"/>
    <w:rsid w:val="00F621A2"/>
    <w:rsid w:val="00F6223A"/>
    <w:rsid w:val="00F6224D"/>
    <w:rsid w:val="00F62268"/>
    <w:rsid w:val="00F6227F"/>
    <w:rsid w:val="00F6229D"/>
    <w:rsid w:val="00F622A7"/>
    <w:rsid w:val="00F622A8"/>
    <w:rsid w:val="00F622D9"/>
    <w:rsid w:val="00F622F0"/>
    <w:rsid w:val="00F62307"/>
    <w:rsid w:val="00F6239B"/>
    <w:rsid w:val="00F623D1"/>
    <w:rsid w:val="00F62476"/>
    <w:rsid w:val="00F62483"/>
    <w:rsid w:val="00F62494"/>
    <w:rsid w:val="00F624C7"/>
    <w:rsid w:val="00F624E9"/>
    <w:rsid w:val="00F624F6"/>
    <w:rsid w:val="00F62509"/>
    <w:rsid w:val="00F6256B"/>
    <w:rsid w:val="00F62597"/>
    <w:rsid w:val="00F625B0"/>
    <w:rsid w:val="00F625EC"/>
    <w:rsid w:val="00F62624"/>
    <w:rsid w:val="00F626B0"/>
    <w:rsid w:val="00F626BE"/>
    <w:rsid w:val="00F627CE"/>
    <w:rsid w:val="00F627E1"/>
    <w:rsid w:val="00F62837"/>
    <w:rsid w:val="00F6285A"/>
    <w:rsid w:val="00F6286A"/>
    <w:rsid w:val="00F62882"/>
    <w:rsid w:val="00F628C6"/>
    <w:rsid w:val="00F628D3"/>
    <w:rsid w:val="00F6296E"/>
    <w:rsid w:val="00F629CF"/>
    <w:rsid w:val="00F629D2"/>
    <w:rsid w:val="00F629E1"/>
    <w:rsid w:val="00F629EB"/>
    <w:rsid w:val="00F62ACE"/>
    <w:rsid w:val="00F62AF4"/>
    <w:rsid w:val="00F62B30"/>
    <w:rsid w:val="00F62B9E"/>
    <w:rsid w:val="00F62BE5"/>
    <w:rsid w:val="00F62BF1"/>
    <w:rsid w:val="00F62C1C"/>
    <w:rsid w:val="00F62C94"/>
    <w:rsid w:val="00F62CAE"/>
    <w:rsid w:val="00F62CBF"/>
    <w:rsid w:val="00F62CDD"/>
    <w:rsid w:val="00F62D0C"/>
    <w:rsid w:val="00F62D5D"/>
    <w:rsid w:val="00F62DCD"/>
    <w:rsid w:val="00F62DE8"/>
    <w:rsid w:val="00F62F03"/>
    <w:rsid w:val="00F62FE6"/>
    <w:rsid w:val="00F62FF3"/>
    <w:rsid w:val="00F6300E"/>
    <w:rsid w:val="00F63013"/>
    <w:rsid w:val="00F6306C"/>
    <w:rsid w:val="00F63078"/>
    <w:rsid w:val="00F6308F"/>
    <w:rsid w:val="00F63099"/>
    <w:rsid w:val="00F630D1"/>
    <w:rsid w:val="00F6311E"/>
    <w:rsid w:val="00F6316A"/>
    <w:rsid w:val="00F63176"/>
    <w:rsid w:val="00F63181"/>
    <w:rsid w:val="00F631A1"/>
    <w:rsid w:val="00F631B1"/>
    <w:rsid w:val="00F63205"/>
    <w:rsid w:val="00F63244"/>
    <w:rsid w:val="00F6324D"/>
    <w:rsid w:val="00F63254"/>
    <w:rsid w:val="00F6328C"/>
    <w:rsid w:val="00F632C3"/>
    <w:rsid w:val="00F632D3"/>
    <w:rsid w:val="00F632E1"/>
    <w:rsid w:val="00F6333B"/>
    <w:rsid w:val="00F63355"/>
    <w:rsid w:val="00F6338C"/>
    <w:rsid w:val="00F63420"/>
    <w:rsid w:val="00F6345C"/>
    <w:rsid w:val="00F63490"/>
    <w:rsid w:val="00F634B6"/>
    <w:rsid w:val="00F634C3"/>
    <w:rsid w:val="00F63525"/>
    <w:rsid w:val="00F63543"/>
    <w:rsid w:val="00F6357C"/>
    <w:rsid w:val="00F635BD"/>
    <w:rsid w:val="00F635EF"/>
    <w:rsid w:val="00F63699"/>
    <w:rsid w:val="00F6369D"/>
    <w:rsid w:val="00F636AB"/>
    <w:rsid w:val="00F636C0"/>
    <w:rsid w:val="00F636C8"/>
    <w:rsid w:val="00F636FC"/>
    <w:rsid w:val="00F63746"/>
    <w:rsid w:val="00F6374F"/>
    <w:rsid w:val="00F637B8"/>
    <w:rsid w:val="00F63815"/>
    <w:rsid w:val="00F63834"/>
    <w:rsid w:val="00F63855"/>
    <w:rsid w:val="00F6386C"/>
    <w:rsid w:val="00F6388B"/>
    <w:rsid w:val="00F6388F"/>
    <w:rsid w:val="00F638B5"/>
    <w:rsid w:val="00F638DB"/>
    <w:rsid w:val="00F638F7"/>
    <w:rsid w:val="00F6391E"/>
    <w:rsid w:val="00F63935"/>
    <w:rsid w:val="00F6396F"/>
    <w:rsid w:val="00F639A6"/>
    <w:rsid w:val="00F63AC6"/>
    <w:rsid w:val="00F63AC7"/>
    <w:rsid w:val="00F63ACD"/>
    <w:rsid w:val="00F63B2B"/>
    <w:rsid w:val="00F63BBC"/>
    <w:rsid w:val="00F63BC7"/>
    <w:rsid w:val="00F63BEF"/>
    <w:rsid w:val="00F63C25"/>
    <w:rsid w:val="00F63C33"/>
    <w:rsid w:val="00F63CF1"/>
    <w:rsid w:val="00F63CFD"/>
    <w:rsid w:val="00F63D00"/>
    <w:rsid w:val="00F63D0A"/>
    <w:rsid w:val="00F63D40"/>
    <w:rsid w:val="00F63D4A"/>
    <w:rsid w:val="00F63D74"/>
    <w:rsid w:val="00F63D83"/>
    <w:rsid w:val="00F63DA8"/>
    <w:rsid w:val="00F63DBC"/>
    <w:rsid w:val="00F63E64"/>
    <w:rsid w:val="00F63EA0"/>
    <w:rsid w:val="00F63F0E"/>
    <w:rsid w:val="00F63F2E"/>
    <w:rsid w:val="00F63F9E"/>
    <w:rsid w:val="00F63FFE"/>
    <w:rsid w:val="00F64020"/>
    <w:rsid w:val="00F64029"/>
    <w:rsid w:val="00F64072"/>
    <w:rsid w:val="00F64097"/>
    <w:rsid w:val="00F640B3"/>
    <w:rsid w:val="00F640E0"/>
    <w:rsid w:val="00F6413C"/>
    <w:rsid w:val="00F6414A"/>
    <w:rsid w:val="00F6416C"/>
    <w:rsid w:val="00F64171"/>
    <w:rsid w:val="00F641B1"/>
    <w:rsid w:val="00F6426B"/>
    <w:rsid w:val="00F64281"/>
    <w:rsid w:val="00F642E4"/>
    <w:rsid w:val="00F642E8"/>
    <w:rsid w:val="00F6430D"/>
    <w:rsid w:val="00F6438D"/>
    <w:rsid w:val="00F64397"/>
    <w:rsid w:val="00F643C2"/>
    <w:rsid w:val="00F64401"/>
    <w:rsid w:val="00F6442E"/>
    <w:rsid w:val="00F644A3"/>
    <w:rsid w:val="00F644BC"/>
    <w:rsid w:val="00F644C9"/>
    <w:rsid w:val="00F644DA"/>
    <w:rsid w:val="00F644FC"/>
    <w:rsid w:val="00F645F6"/>
    <w:rsid w:val="00F64600"/>
    <w:rsid w:val="00F64669"/>
    <w:rsid w:val="00F64674"/>
    <w:rsid w:val="00F6468C"/>
    <w:rsid w:val="00F64735"/>
    <w:rsid w:val="00F6476B"/>
    <w:rsid w:val="00F64842"/>
    <w:rsid w:val="00F64852"/>
    <w:rsid w:val="00F64876"/>
    <w:rsid w:val="00F64884"/>
    <w:rsid w:val="00F648C0"/>
    <w:rsid w:val="00F648C9"/>
    <w:rsid w:val="00F648D7"/>
    <w:rsid w:val="00F6493D"/>
    <w:rsid w:val="00F6496B"/>
    <w:rsid w:val="00F649C5"/>
    <w:rsid w:val="00F649CD"/>
    <w:rsid w:val="00F64A05"/>
    <w:rsid w:val="00F64A3C"/>
    <w:rsid w:val="00F64A4B"/>
    <w:rsid w:val="00F64A4C"/>
    <w:rsid w:val="00F64A58"/>
    <w:rsid w:val="00F64A77"/>
    <w:rsid w:val="00F64A78"/>
    <w:rsid w:val="00F64A9B"/>
    <w:rsid w:val="00F64AA1"/>
    <w:rsid w:val="00F64AB6"/>
    <w:rsid w:val="00F64AB9"/>
    <w:rsid w:val="00F64B1F"/>
    <w:rsid w:val="00F64B24"/>
    <w:rsid w:val="00F64B46"/>
    <w:rsid w:val="00F64BBA"/>
    <w:rsid w:val="00F64BC0"/>
    <w:rsid w:val="00F64C35"/>
    <w:rsid w:val="00F64C9F"/>
    <w:rsid w:val="00F64CE3"/>
    <w:rsid w:val="00F64D07"/>
    <w:rsid w:val="00F64D9F"/>
    <w:rsid w:val="00F64E2F"/>
    <w:rsid w:val="00F64E34"/>
    <w:rsid w:val="00F64E5A"/>
    <w:rsid w:val="00F64F30"/>
    <w:rsid w:val="00F64F52"/>
    <w:rsid w:val="00F64F8F"/>
    <w:rsid w:val="00F64FA0"/>
    <w:rsid w:val="00F64FFB"/>
    <w:rsid w:val="00F65049"/>
    <w:rsid w:val="00F65082"/>
    <w:rsid w:val="00F650AC"/>
    <w:rsid w:val="00F650B1"/>
    <w:rsid w:val="00F6510D"/>
    <w:rsid w:val="00F651BC"/>
    <w:rsid w:val="00F651DB"/>
    <w:rsid w:val="00F651DF"/>
    <w:rsid w:val="00F651E2"/>
    <w:rsid w:val="00F6521A"/>
    <w:rsid w:val="00F652A6"/>
    <w:rsid w:val="00F652E3"/>
    <w:rsid w:val="00F65350"/>
    <w:rsid w:val="00F653A8"/>
    <w:rsid w:val="00F653E3"/>
    <w:rsid w:val="00F653E4"/>
    <w:rsid w:val="00F65481"/>
    <w:rsid w:val="00F65494"/>
    <w:rsid w:val="00F65521"/>
    <w:rsid w:val="00F65589"/>
    <w:rsid w:val="00F655A3"/>
    <w:rsid w:val="00F655DA"/>
    <w:rsid w:val="00F655F7"/>
    <w:rsid w:val="00F655FD"/>
    <w:rsid w:val="00F6561A"/>
    <w:rsid w:val="00F65642"/>
    <w:rsid w:val="00F65652"/>
    <w:rsid w:val="00F6569B"/>
    <w:rsid w:val="00F656B6"/>
    <w:rsid w:val="00F656D6"/>
    <w:rsid w:val="00F656DA"/>
    <w:rsid w:val="00F65713"/>
    <w:rsid w:val="00F65739"/>
    <w:rsid w:val="00F65769"/>
    <w:rsid w:val="00F65793"/>
    <w:rsid w:val="00F65799"/>
    <w:rsid w:val="00F657F9"/>
    <w:rsid w:val="00F65828"/>
    <w:rsid w:val="00F65846"/>
    <w:rsid w:val="00F65993"/>
    <w:rsid w:val="00F659A9"/>
    <w:rsid w:val="00F65A1B"/>
    <w:rsid w:val="00F65A3F"/>
    <w:rsid w:val="00F65A6B"/>
    <w:rsid w:val="00F65A98"/>
    <w:rsid w:val="00F65ADF"/>
    <w:rsid w:val="00F65B7D"/>
    <w:rsid w:val="00F65BCB"/>
    <w:rsid w:val="00F65C7F"/>
    <w:rsid w:val="00F65CA1"/>
    <w:rsid w:val="00F65D07"/>
    <w:rsid w:val="00F65D17"/>
    <w:rsid w:val="00F65D71"/>
    <w:rsid w:val="00F65E1C"/>
    <w:rsid w:val="00F65E6F"/>
    <w:rsid w:val="00F65E85"/>
    <w:rsid w:val="00F65EF5"/>
    <w:rsid w:val="00F65F08"/>
    <w:rsid w:val="00F65F8E"/>
    <w:rsid w:val="00F65FE7"/>
    <w:rsid w:val="00F66035"/>
    <w:rsid w:val="00F660A3"/>
    <w:rsid w:val="00F660CE"/>
    <w:rsid w:val="00F660E6"/>
    <w:rsid w:val="00F66103"/>
    <w:rsid w:val="00F66115"/>
    <w:rsid w:val="00F66179"/>
    <w:rsid w:val="00F66201"/>
    <w:rsid w:val="00F6620C"/>
    <w:rsid w:val="00F6624E"/>
    <w:rsid w:val="00F66278"/>
    <w:rsid w:val="00F6628D"/>
    <w:rsid w:val="00F6628F"/>
    <w:rsid w:val="00F662B1"/>
    <w:rsid w:val="00F662D0"/>
    <w:rsid w:val="00F66300"/>
    <w:rsid w:val="00F66320"/>
    <w:rsid w:val="00F6636B"/>
    <w:rsid w:val="00F66399"/>
    <w:rsid w:val="00F663BC"/>
    <w:rsid w:val="00F664A3"/>
    <w:rsid w:val="00F664D9"/>
    <w:rsid w:val="00F66524"/>
    <w:rsid w:val="00F6662C"/>
    <w:rsid w:val="00F66690"/>
    <w:rsid w:val="00F666C1"/>
    <w:rsid w:val="00F666C6"/>
    <w:rsid w:val="00F66707"/>
    <w:rsid w:val="00F66745"/>
    <w:rsid w:val="00F66772"/>
    <w:rsid w:val="00F667A0"/>
    <w:rsid w:val="00F667F1"/>
    <w:rsid w:val="00F66816"/>
    <w:rsid w:val="00F6681E"/>
    <w:rsid w:val="00F66843"/>
    <w:rsid w:val="00F66846"/>
    <w:rsid w:val="00F6688F"/>
    <w:rsid w:val="00F668F0"/>
    <w:rsid w:val="00F6690C"/>
    <w:rsid w:val="00F66958"/>
    <w:rsid w:val="00F66A1F"/>
    <w:rsid w:val="00F66A3C"/>
    <w:rsid w:val="00F66A49"/>
    <w:rsid w:val="00F66A5E"/>
    <w:rsid w:val="00F66B0C"/>
    <w:rsid w:val="00F66B15"/>
    <w:rsid w:val="00F66BCA"/>
    <w:rsid w:val="00F66BE9"/>
    <w:rsid w:val="00F66BFF"/>
    <w:rsid w:val="00F66C22"/>
    <w:rsid w:val="00F66C72"/>
    <w:rsid w:val="00F66C7C"/>
    <w:rsid w:val="00F66CAB"/>
    <w:rsid w:val="00F66CEA"/>
    <w:rsid w:val="00F66D09"/>
    <w:rsid w:val="00F66D0D"/>
    <w:rsid w:val="00F66D1C"/>
    <w:rsid w:val="00F66D5B"/>
    <w:rsid w:val="00F66DC9"/>
    <w:rsid w:val="00F66E17"/>
    <w:rsid w:val="00F66E40"/>
    <w:rsid w:val="00F66E7E"/>
    <w:rsid w:val="00F66ED7"/>
    <w:rsid w:val="00F66EE8"/>
    <w:rsid w:val="00F66EF0"/>
    <w:rsid w:val="00F66F10"/>
    <w:rsid w:val="00F66F31"/>
    <w:rsid w:val="00F66F6A"/>
    <w:rsid w:val="00F66FFE"/>
    <w:rsid w:val="00F67026"/>
    <w:rsid w:val="00F67043"/>
    <w:rsid w:val="00F6705F"/>
    <w:rsid w:val="00F67094"/>
    <w:rsid w:val="00F670C3"/>
    <w:rsid w:val="00F67115"/>
    <w:rsid w:val="00F67134"/>
    <w:rsid w:val="00F67146"/>
    <w:rsid w:val="00F67155"/>
    <w:rsid w:val="00F67196"/>
    <w:rsid w:val="00F671B7"/>
    <w:rsid w:val="00F671B9"/>
    <w:rsid w:val="00F671C9"/>
    <w:rsid w:val="00F67287"/>
    <w:rsid w:val="00F67333"/>
    <w:rsid w:val="00F67338"/>
    <w:rsid w:val="00F6738E"/>
    <w:rsid w:val="00F673B4"/>
    <w:rsid w:val="00F6741B"/>
    <w:rsid w:val="00F6743A"/>
    <w:rsid w:val="00F674A6"/>
    <w:rsid w:val="00F674D2"/>
    <w:rsid w:val="00F674D8"/>
    <w:rsid w:val="00F67514"/>
    <w:rsid w:val="00F67538"/>
    <w:rsid w:val="00F67572"/>
    <w:rsid w:val="00F675C6"/>
    <w:rsid w:val="00F675E6"/>
    <w:rsid w:val="00F6762F"/>
    <w:rsid w:val="00F67642"/>
    <w:rsid w:val="00F67670"/>
    <w:rsid w:val="00F67688"/>
    <w:rsid w:val="00F677AC"/>
    <w:rsid w:val="00F67826"/>
    <w:rsid w:val="00F67832"/>
    <w:rsid w:val="00F6785F"/>
    <w:rsid w:val="00F67873"/>
    <w:rsid w:val="00F678EC"/>
    <w:rsid w:val="00F6791A"/>
    <w:rsid w:val="00F67932"/>
    <w:rsid w:val="00F67980"/>
    <w:rsid w:val="00F67981"/>
    <w:rsid w:val="00F67A76"/>
    <w:rsid w:val="00F67AC9"/>
    <w:rsid w:val="00F67B0B"/>
    <w:rsid w:val="00F67BBB"/>
    <w:rsid w:val="00F67BC4"/>
    <w:rsid w:val="00F67BDB"/>
    <w:rsid w:val="00F67C8A"/>
    <w:rsid w:val="00F67C99"/>
    <w:rsid w:val="00F67CC7"/>
    <w:rsid w:val="00F67E04"/>
    <w:rsid w:val="00F67E77"/>
    <w:rsid w:val="00F67EDB"/>
    <w:rsid w:val="00F67EF6"/>
    <w:rsid w:val="00F67FC6"/>
    <w:rsid w:val="00F7001A"/>
    <w:rsid w:val="00F700C1"/>
    <w:rsid w:val="00F700F7"/>
    <w:rsid w:val="00F700FD"/>
    <w:rsid w:val="00F70100"/>
    <w:rsid w:val="00F70123"/>
    <w:rsid w:val="00F7012B"/>
    <w:rsid w:val="00F7013A"/>
    <w:rsid w:val="00F701C4"/>
    <w:rsid w:val="00F7022F"/>
    <w:rsid w:val="00F702BE"/>
    <w:rsid w:val="00F7030A"/>
    <w:rsid w:val="00F7033A"/>
    <w:rsid w:val="00F7035C"/>
    <w:rsid w:val="00F703DB"/>
    <w:rsid w:val="00F703EE"/>
    <w:rsid w:val="00F7040E"/>
    <w:rsid w:val="00F70429"/>
    <w:rsid w:val="00F704A3"/>
    <w:rsid w:val="00F704B5"/>
    <w:rsid w:val="00F704D6"/>
    <w:rsid w:val="00F7051D"/>
    <w:rsid w:val="00F7052F"/>
    <w:rsid w:val="00F70553"/>
    <w:rsid w:val="00F70556"/>
    <w:rsid w:val="00F705B6"/>
    <w:rsid w:val="00F706A3"/>
    <w:rsid w:val="00F706B2"/>
    <w:rsid w:val="00F706E8"/>
    <w:rsid w:val="00F70729"/>
    <w:rsid w:val="00F7074C"/>
    <w:rsid w:val="00F70754"/>
    <w:rsid w:val="00F707D4"/>
    <w:rsid w:val="00F707E9"/>
    <w:rsid w:val="00F707F7"/>
    <w:rsid w:val="00F707F8"/>
    <w:rsid w:val="00F7089A"/>
    <w:rsid w:val="00F708AD"/>
    <w:rsid w:val="00F708CC"/>
    <w:rsid w:val="00F7098C"/>
    <w:rsid w:val="00F7099B"/>
    <w:rsid w:val="00F7099D"/>
    <w:rsid w:val="00F709C4"/>
    <w:rsid w:val="00F70A4B"/>
    <w:rsid w:val="00F70BD2"/>
    <w:rsid w:val="00F70C33"/>
    <w:rsid w:val="00F70C6A"/>
    <w:rsid w:val="00F70C6B"/>
    <w:rsid w:val="00F70C73"/>
    <w:rsid w:val="00F70C83"/>
    <w:rsid w:val="00F70CA5"/>
    <w:rsid w:val="00F70CAA"/>
    <w:rsid w:val="00F70CEF"/>
    <w:rsid w:val="00F70D21"/>
    <w:rsid w:val="00F70D53"/>
    <w:rsid w:val="00F70D86"/>
    <w:rsid w:val="00F70DA5"/>
    <w:rsid w:val="00F70DC5"/>
    <w:rsid w:val="00F70E15"/>
    <w:rsid w:val="00F70E22"/>
    <w:rsid w:val="00F70E49"/>
    <w:rsid w:val="00F70E5A"/>
    <w:rsid w:val="00F70EBD"/>
    <w:rsid w:val="00F70ED3"/>
    <w:rsid w:val="00F70EEA"/>
    <w:rsid w:val="00F70F02"/>
    <w:rsid w:val="00F70F50"/>
    <w:rsid w:val="00F70FB1"/>
    <w:rsid w:val="00F70FC0"/>
    <w:rsid w:val="00F70FF4"/>
    <w:rsid w:val="00F71004"/>
    <w:rsid w:val="00F710DC"/>
    <w:rsid w:val="00F71144"/>
    <w:rsid w:val="00F7114D"/>
    <w:rsid w:val="00F71158"/>
    <w:rsid w:val="00F71179"/>
    <w:rsid w:val="00F71196"/>
    <w:rsid w:val="00F7120D"/>
    <w:rsid w:val="00F71235"/>
    <w:rsid w:val="00F712BD"/>
    <w:rsid w:val="00F712F6"/>
    <w:rsid w:val="00F71300"/>
    <w:rsid w:val="00F71308"/>
    <w:rsid w:val="00F7133C"/>
    <w:rsid w:val="00F7134F"/>
    <w:rsid w:val="00F71380"/>
    <w:rsid w:val="00F71383"/>
    <w:rsid w:val="00F71441"/>
    <w:rsid w:val="00F71451"/>
    <w:rsid w:val="00F7149A"/>
    <w:rsid w:val="00F714CB"/>
    <w:rsid w:val="00F714F3"/>
    <w:rsid w:val="00F714FB"/>
    <w:rsid w:val="00F715E3"/>
    <w:rsid w:val="00F715EA"/>
    <w:rsid w:val="00F7164F"/>
    <w:rsid w:val="00F71664"/>
    <w:rsid w:val="00F716CF"/>
    <w:rsid w:val="00F71728"/>
    <w:rsid w:val="00F71746"/>
    <w:rsid w:val="00F71789"/>
    <w:rsid w:val="00F7178C"/>
    <w:rsid w:val="00F717BD"/>
    <w:rsid w:val="00F7180C"/>
    <w:rsid w:val="00F71840"/>
    <w:rsid w:val="00F7186F"/>
    <w:rsid w:val="00F71884"/>
    <w:rsid w:val="00F71922"/>
    <w:rsid w:val="00F71932"/>
    <w:rsid w:val="00F7193F"/>
    <w:rsid w:val="00F7196D"/>
    <w:rsid w:val="00F7198E"/>
    <w:rsid w:val="00F71999"/>
    <w:rsid w:val="00F719C2"/>
    <w:rsid w:val="00F71A11"/>
    <w:rsid w:val="00F71A15"/>
    <w:rsid w:val="00F71A83"/>
    <w:rsid w:val="00F71B36"/>
    <w:rsid w:val="00F71B56"/>
    <w:rsid w:val="00F71BCD"/>
    <w:rsid w:val="00F71BDB"/>
    <w:rsid w:val="00F71C15"/>
    <w:rsid w:val="00F71C38"/>
    <w:rsid w:val="00F71C4D"/>
    <w:rsid w:val="00F71C59"/>
    <w:rsid w:val="00F71C5B"/>
    <w:rsid w:val="00F71CCC"/>
    <w:rsid w:val="00F71DBD"/>
    <w:rsid w:val="00F71DDB"/>
    <w:rsid w:val="00F71EA3"/>
    <w:rsid w:val="00F71F1C"/>
    <w:rsid w:val="00F71F59"/>
    <w:rsid w:val="00F71F9E"/>
    <w:rsid w:val="00F71FCE"/>
    <w:rsid w:val="00F72029"/>
    <w:rsid w:val="00F7204E"/>
    <w:rsid w:val="00F72068"/>
    <w:rsid w:val="00F720B8"/>
    <w:rsid w:val="00F720B9"/>
    <w:rsid w:val="00F721C0"/>
    <w:rsid w:val="00F721E9"/>
    <w:rsid w:val="00F721EB"/>
    <w:rsid w:val="00F7222C"/>
    <w:rsid w:val="00F72249"/>
    <w:rsid w:val="00F72251"/>
    <w:rsid w:val="00F7225A"/>
    <w:rsid w:val="00F7225E"/>
    <w:rsid w:val="00F72279"/>
    <w:rsid w:val="00F72286"/>
    <w:rsid w:val="00F7228C"/>
    <w:rsid w:val="00F722CF"/>
    <w:rsid w:val="00F72300"/>
    <w:rsid w:val="00F72302"/>
    <w:rsid w:val="00F72350"/>
    <w:rsid w:val="00F72383"/>
    <w:rsid w:val="00F723A7"/>
    <w:rsid w:val="00F723F5"/>
    <w:rsid w:val="00F72413"/>
    <w:rsid w:val="00F7244F"/>
    <w:rsid w:val="00F7246D"/>
    <w:rsid w:val="00F7248C"/>
    <w:rsid w:val="00F7249C"/>
    <w:rsid w:val="00F72502"/>
    <w:rsid w:val="00F72539"/>
    <w:rsid w:val="00F725AC"/>
    <w:rsid w:val="00F725CF"/>
    <w:rsid w:val="00F725DB"/>
    <w:rsid w:val="00F725DD"/>
    <w:rsid w:val="00F725F0"/>
    <w:rsid w:val="00F72625"/>
    <w:rsid w:val="00F7265C"/>
    <w:rsid w:val="00F7271C"/>
    <w:rsid w:val="00F72746"/>
    <w:rsid w:val="00F72878"/>
    <w:rsid w:val="00F728CC"/>
    <w:rsid w:val="00F728E5"/>
    <w:rsid w:val="00F728FC"/>
    <w:rsid w:val="00F72915"/>
    <w:rsid w:val="00F72920"/>
    <w:rsid w:val="00F729A2"/>
    <w:rsid w:val="00F729BA"/>
    <w:rsid w:val="00F72A19"/>
    <w:rsid w:val="00F72A3A"/>
    <w:rsid w:val="00F72A59"/>
    <w:rsid w:val="00F72AAE"/>
    <w:rsid w:val="00F72AB5"/>
    <w:rsid w:val="00F72ADC"/>
    <w:rsid w:val="00F72B04"/>
    <w:rsid w:val="00F72B07"/>
    <w:rsid w:val="00F72C0A"/>
    <w:rsid w:val="00F72C5A"/>
    <w:rsid w:val="00F72D1B"/>
    <w:rsid w:val="00F72D61"/>
    <w:rsid w:val="00F72DDE"/>
    <w:rsid w:val="00F72E35"/>
    <w:rsid w:val="00F72E3A"/>
    <w:rsid w:val="00F72E65"/>
    <w:rsid w:val="00F72E97"/>
    <w:rsid w:val="00F72EC0"/>
    <w:rsid w:val="00F72EFE"/>
    <w:rsid w:val="00F72F01"/>
    <w:rsid w:val="00F72F29"/>
    <w:rsid w:val="00F72F48"/>
    <w:rsid w:val="00F72F79"/>
    <w:rsid w:val="00F72F9A"/>
    <w:rsid w:val="00F72FD6"/>
    <w:rsid w:val="00F7304B"/>
    <w:rsid w:val="00F73071"/>
    <w:rsid w:val="00F73090"/>
    <w:rsid w:val="00F730A2"/>
    <w:rsid w:val="00F7314D"/>
    <w:rsid w:val="00F731AD"/>
    <w:rsid w:val="00F731D1"/>
    <w:rsid w:val="00F73203"/>
    <w:rsid w:val="00F73221"/>
    <w:rsid w:val="00F73227"/>
    <w:rsid w:val="00F732B1"/>
    <w:rsid w:val="00F732C4"/>
    <w:rsid w:val="00F7335B"/>
    <w:rsid w:val="00F733FE"/>
    <w:rsid w:val="00F7344F"/>
    <w:rsid w:val="00F7348E"/>
    <w:rsid w:val="00F734B5"/>
    <w:rsid w:val="00F734FC"/>
    <w:rsid w:val="00F73517"/>
    <w:rsid w:val="00F73534"/>
    <w:rsid w:val="00F7355C"/>
    <w:rsid w:val="00F735DC"/>
    <w:rsid w:val="00F73607"/>
    <w:rsid w:val="00F7369D"/>
    <w:rsid w:val="00F7371F"/>
    <w:rsid w:val="00F73761"/>
    <w:rsid w:val="00F73788"/>
    <w:rsid w:val="00F737B9"/>
    <w:rsid w:val="00F737CE"/>
    <w:rsid w:val="00F737FB"/>
    <w:rsid w:val="00F73868"/>
    <w:rsid w:val="00F7387D"/>
    <w:rsid w:val="00F73884"/>
    <w:rsid w:val="00F73A1F"/>
    <w:rsid w:val="00F73A3B"/>
    <w:rsid w:val="00F73A6A"/>
    <w:rsid w:val="00F73AB6"/>
    <w:rsid w:val="00F73ADB"/>
    <w:rsid w:val="00F73B48"/>
    <w:rsid w:val="00F73B82"/>
    <w:rsid w:val="00F73B9B"/>
    <w:rsid w:val="00F73C3A"/>
    <w:rsid w:val="00F73C4D"/>
    <w:rsid w:val="00F73CA8"/>
    <w:rsid w:val="00F73CE9"/>
    <w:rsid w:val="00F73CF9"/>
    <w:rsid w:val="00F73D9E"/>
    <w:rsid w:val="00F73DF5"/>
    <w:rsid w:val="00F73E08"/>
    <w:rsid w:val="00F73E4B"/>
    <w:rsid w:val="00F73EAB"/>
    <w:rsid w:val="00F73F47"/>
    <w:rsid w:val="00F73F5E"/>
    <w:rsid w:val="00F74132"/>
    <w:rsid w:val="00F74136"/>
    <w:rsid w:val="00F7417D"/>
    <w:rsid w:val="00F741E5"/>
    <w:rsid w:val="00F7423E"/>
    <w:rsid w:val="00F74249"/>
    <w:rsid w:val="00F7427B"/>
    <w:rsid w:val="00F742AD"/>
    <w:rsid w:val="00F742D6"/>
    <w:rsid w:val="00F742E2"/>
    <w:rsid w:val="00F7431C"/>
    <w:rsid w:val="00F74376"/>
    <w:rsid w:val="00F74391"/>
    <w:rsid w:val="00F743A0"/>
    <w:rsid w:val="00F743A4"/>
    <w:rsid w:val="00F743ED"/>
    <w:rsid w:val="00F7442F"/>
    <w:rsid w:val="00F74467"/>
    <w:rsid w:val="00F744C5"/>
    <w:rsid w:val="00F744E0"/>
    <w:rsid w:val="00F7453B"/>
    <w:rsid w:val="00F7453E"/>
    <w:rsid w:val="00F7454A"/>
    <w:rsid w:val="00F7456D"/>
    <w:rsid w:val="00F74570"/>
    <w:rsid w:val="00F74594"/>
    <w:rsid w:val="00F7459D"/>
    <w:rsid w:val="00F7467C"/>
    <w:rsid w:val="00F7470F"/>
    <w:rsid w:val="00F7474A"/>
    <w:rsid w:val="00F747C4"/>
    <w:rsid w:val="00F74867"/>
    <w:rsid w:val="00F748BF"/>
    <w:rsid w:val="00F7497A"/>
    <w:rsid w:val="00F74999"/>
    <w:rsid w:val="00F74A0A"/>
    <w:rsid w:val="00F74A64"/>
    <w:rsid w:val="00F74AC5"/>
    <w:rsid w:val="00F74ADA"/>
    <w:rsid w:val="00F74AE2"/>
    <w:rsid w:val="00F74B16"/>
    <w:rsid w:val="00F74B24"/>
    <w:rsid w:val="00F74B46"/>
    <w:rsid w:val="00F74C01"/>
    <w:rsid w:val="00F74C35"/>
    <w:rsid w:val="00F74C83"/>
    <w:rsid w:val="00F74CA4"/>
    <w:rsid w:val="00F74CB3"/>
    <w:rsid w:val="00F74CC4"/>
    <w:rsid w:val="00F74CEA"/>
    <w:rsid w:val="00F74CEE"/>
    <w:rsid w:val="00F74D2C"/>
    <w:rsid w:val="00F74D5E"/>
    <w:rsid w:val="00F74D68"/>
    <w:rsid w:val="00F74D70"/>
    <w:rsid w:val="00F74D9A"/>
    <w:rsid w:val="00F74D9B"/>
    <w:rsid w:val="00F74DE5"/>
    <w:rsid w:val="00F74DEF"/>
    <w:rsid w:val="00F74DF6"/>
    <w:rsid w:val="00F74E3C"/>
    <w:rsid w:val="00F74E6E"/>
    <w:rsid w:val="00F74EDA"/>
    <w:rsid w:val="00F74F39"/>
    <w:rsid w:val="00F74F90"/>
    <w:rsid w:val="00F74FCD"/>
    <w:rsid w:val="00F75019"/>
    <w:rsid w:val="00F75038"/>
    <w:rsid w:val="00F75045"/>
    <w:rsid w:val="00F7509A"/>
    <w:rsid w:val="00F7509D"/>
    <w:rsid w:val="00F750C7"/>
    <w:rsid w:val="00F7513C"/>
    <w:rsid w:val="00F7519D"/>
    <w:rsid w:val="00F751D2"/>
    <w:rsid w:val="00F751D4"/>
    <w:rsid w:val="00F75214"/>
    <w:rsid w:val="00F75216"/>
    <w:rsid w:val="00F75279"/>
    <w:rsid w:val="00F75302"/>
    <w:rsid w:val="00F75365"/>
    <w:rsid w:val="00F7536F"/>
    <w:rsid w:val="00F75413"/>
    <w:rsid w:val="00F7543F"/>
    <w:rsid w:val="00F75449"/>
    <w:rsid w:val="00F75464"/>
    <w:rsid w:val="00F75467"/>
    <w:rsid w:val="00F754BB"/>
    <w:rsid w:val="00F754F2"/>
    <w:rsid w:val="00F75500"/>
    <w:rsid w:val="00F755F6"/>
    <w:rsid w:val="00F75611"/>
    <w:rsid w:val="00F75638"/>
    <w:rsid w:val="00F75647"/>
    <w:rsid w:val="00F7569B"/>
    <w:rsid w:val="00F756A4"/>
    <w:rsid w:val="00F756A8"/>
    <w:rsid w:val="00F756FB"/>
    <w:rsid w:val="00F75751"/>
    <w:rsid w:val="00F75781"/>
    <w:rsid w:val="00F75786"/>
    <w:rsid w:val="00F758B8"/>
    <w:rsid w:val="00F758BD"/>
    <w:rsid w:val="00F758DE"/>
    <w:rsid w:val="00F75920"/>
    <w:rsid w:val="00F7595F"/>
    <w:rsid w:val="00F75967"/>
    <w:rsid w:val="00F75A07"/>
    <w:rsid w:val="00F75A66"/>
    <w:rsid w:val="00F75A80"/>
    <w:rsid w:val="00F75AAF"/>
    <w:rsid w:val="00F75B50"/>
    <w:rsid w:val="00F75B6D"/>
    <w:rsid w:val="00F75BF1"/>
    <w:rsid w:val="00F75C04"/>
    <w:rsid w:val="00F75C07"/>
    <w:rsid w:val="00F75C4E"/>
    <w:rsid w:val="00F75C70"/>
    <w:rsid w:val="00F75C9C"/>
    <w:rsid w:val="00F75C9F"/>
    <w:rsid w:val="00F75D58"/>
    <w:rsid w:val="00F75D7E"/>
    <w:rsid w:val="00F75D85"/>
    <w:rsid w:val="00F75DB1"/>
    <w:rsid w:val="00F75E16"/>
    <w:rsid w:val="00F75E4B"/>
    <w:rsid w:val="00F75E86"/>
    <w:rsid w:val="00F75E8E"/>
    <w:rsid w:val="00F75EBD"/>
    <w:rsid w:val="00F75EFF"/>
    <w:rsid w:val="00F75FB2"/>
    <w:rsid w:val="00F76011"/>
    <w:rsid w:val="00F76016"/>
    <w:rsid w:val="00F7608D"/>
    <w:rsid w:val="00F760B2"/>
    <w:rsid w:val="00F760C1"/>
    <w:rsid w:val="00F760E0"/>
    <w:rsid w:val="00F761A1"/>
    <w:rsid w:val="00F761EC"/>
    <w:rsid w:val="00F76274"/>
    <w:rsid w:val="00F762A6"/>
    <w:rsid w:val="00F762F5"/>
    <w:rsid w:val="00F76395"/>
    <w:rsid w:val="00F763BE"/>
    <w:rsid w:val="00F76468"/>
    <w:rsid w:val="00F76522"/>
    <w:rsid w:val="00F76531"/>
    <w:rsid w:val="00F76550"/>
    <w:rsid w:val="00F76592"/>
    <w:rsid w:val="00F765C0"/>
    <w:rsid w:val="00F76634"/>
    <w:rsid w:val="00F7669B"/>
    <w:rsid w:val="00F766E2"/>
    <w:rsid w:val="00F76711"/>
    <w:rsid w:val="00F76794"/>
    <w:rsid w:val="00F767E7"/>
    <w:rsid w:val="00F767E8"/>
    <w:rsid w:val="00F76839"/>
    <w:rsid w:val="00F76848"/>
    <w:rsid w:val="00F76860"/>
    <w:rsid w:val="00F76866"/>
    <w:rsid w:val="00F7691B"/>
    <w:rsid w:val="00F76956"/>
    <w:rsid w:val="00F76966"/>
    <w:rsid w:val="00F76A08"/>
    <w:rsid w:val="00F76A81"/>
    <w:rsid w:val="00F76AA1"/>
    <w:rsid w:val="00F76AE0"/>
    <w:rsid w:val="00F76B35"/>
    <w:rsid w:val="00F76B3E"/>
    <w:rsid w:val="00F76B70"/>
    <w:rsid w:val="00F76C8F"/>
    <w:rsid w:val="00F76C92"/>
    <w:rsid w:val="00F76CCB"/>
    <w:rsid w:val="00F76CF4"/>
    <w:rsid w:val="00F76D8D"/>
    <w:rsid w:val="00F76D9E"/>
    <w:rsid w:val="00F76DF1"/>
    <w:rsid w:val="00F76E3A"/>
    <w:rsid w:val="00F76EA8"/>
    <w:rsid w:val="00F76ECF"/>
    <w:rsid w:val="00F76F23"/>
    <w:rsid w:val="00F76F71"/>
    <w:rsid w:val="00F76FB2"/>
    <w:rsid w:val="00F76FC1"/>
    <w:rsid w:val="00F76FFA"/>
    <w:rsid w:val="00F77018"/>
    <w:rsid w:val="00F7701A"/>
    <w:rsid w:val="00F7707A"/>
    <w:rsid w:val="00F77099"/>
    <w:rsid w:val="00F770BB"/>
    <w:rsid w:val="00F77172"/>
    <w:rsid w:val="00F772A6"/>
    <w:rsid w:val="00F772F2"/>
    <w:rsid w:val="00F7731C"/>
    <w:rsid w:val="00F7732B"/>
    <w:rsid w:val="00F7736E"/>
    <w:rsid w:val="00F773BA"/>
    <w:rsid w:val="00F773CF"/>
    <w:rsid w:val="00F773D6"/>
    <w:rsid w:val="00F773FA"/>
    <w:rsid w:val="00F77427"/>
    <w:rsid w:val="00F7749C"/>
    <w:rsid w:val="00F774B9"/>
    <w:rsid w:val="00F774C7"/>
    <w:rsid w:val="00F774E1"/>
    <w:rsid w:val="00F77604"/>
    <w:rsid w:val="00F7761C"/>
    <w:rsid w:val="00F776AC"/>
    <w:rsid w:val="00F776CC"/>
    <w:rsid w:val="00F77700"/>
    <w:rsid w:val="00F77709"/>
    <w:rsid w:val="00F77727"/>
    <w:rsid w:val="00F777D9"/>
    <w:rsid w:val="00F77874"/>
    <w:rsid w:val="00F77876"/>
    <w:rsid w:val="00F77887"/>
    <w:rsid w:val="00F7788D"/>
    <w:rsid w:val="00F778C8"/>
    <w:rsid w:val="00F778D1"/>
    <w:rsid w:val="00F77907"/>
    <w:rsid w:val="00F77925"/>
    <w:rsid w:val="00F77936"/>
    <w:rsid w:val="00F7796C"/>
    <w:rsid w:val="00F7796F"/>
    <w:rsid w:val="00F77975"/>
    <w:rsid w:val="00F779B0"/>
    <w:rsid w:val="00F779B4"/>
    <w:rsid w:val="00F779B6"/>
    <w:rsid w:val="00F779CA"/>
    <w:rsid w:val="00F77A65"/>
    <w:rsid w:val="00F77B2D"/>
    <w:rsid w:val="00F77B7A"/>
    <w:rsid w:val="00F77BA6"/>
    <w:rsid w:val="00F77BDE"/>
    <w:rsid w:val="00F77BE7"/>
    <w:rsid w:val="00F77C35"/>
    <w:rsid w:val="00F77C38"/>
    <w:rsid w:val="00F77C4E"/>
    <w:rsid w:val="00F77C5F"/>
    <w:rsid w:val="00F77CA0"/>
    <w:rsid w:val="00F77CBE"/>
    <w:rsid w:val="00F77D12"/>
    <w:rsid w:val="00F77D25"/>
    <w:rsid w:val="00F77D2C"/>
    <w:rsid w:val="00F77D55"/>
    <w:rsid w:val="00F77D82"/>
    <w:rsid w:val="00F77DF7"/>
    <w:rsid w:val="00F77E1F"/>
    <w:rsid w:val="00F77EAB"/>
    <w:rsid w:val="00F77F03"/>
    <w:rsid w:val="00F77F43"/>
    <w:rsid w:val="00F77F64"/>
    <w:rsid w:val="00F77F76"/>
    <w:rsid w:val="00F77F9F"/>
    <w:rsid w:val="00F77FC9"/>
    <w:rsid w:val="00F800DB"/>
    <w:rsid w:val="00F800E9"/>
    <w:rsid w:val="00F80113"/>
    <w:rsid w:val="00F801CC"/>
    <w:rsid w:val="00F80225"/>
    <w:rsid w:val="00F80305"/>
    <w:rsid w:val="00F8032A"/>
    <w:rsid w:val="00F80403"/>
    <w:rsid w:val="00F8045E"/>
    <w:rsid w:val="00F80463"/>
    <w:rsid w:val="00F80467"/>
    <w:rsid w:val="00F804AB"/>
    <w:rsid w:val="00F804D9"/>
    <w:rsid w:val="00F804E0"/>
    <w:rsid w:val="00F8057C"/>
    <w:rsid w:val="00F805A8"/>
    <w:rsid w:val="00F80647"/>
    <w:rsid w:val="00F8067D"/>
    <w:rsid w:val="00F806B8"/>
    <w:rsid w:val="00F806BD"/>
    <w:rsid w:val="00F806D7"/>
    <w:rsid w:val="00F80731"/>
    <w:rsid w:val="00F80742"/>
    <w:rsid w:val="00F8074A"/>
    <w:rsid w:val="00F8074E"/>
    <w:rsid w:val="00F80814"/>
    <w:rsid w:val="00F8086E"/>
    <w:rsid w:val="00F80898"/>
    <w:rsid w:val="00F80901"/>
    <w:rsid w:val="00F80902"/>
    <w:rsid w:val="00F8091E"/>
    <w:rsid w:val="00F80931"/>
    <w:rsid w:val="00F8093C"/>
    <w:rsid w:val="00F80992"/>
    <w:rsid w:val="00F809C1"/>
    <w:rsid w:val="00F80A7A"/>
    <w:rsid w:val="00F80B05"/>
    <w:rsid w:val="00F80B0E"/>
    <w:rsid w:val="00F80B36"/>
    <w:rsid w:val="00F80B9A"/>
    <w:rsid w:val="00F80BFE"/>
    <w:rsid w:val="00F80C33"/>
    <w:rsid w:val="00F80C41"/>
    <w:rsid w:val="00F80CAD"/>
    <w:rsid w:val="00F80D88"/>
    <w:rsid w:val="00F80DC5"/>
    <w:rsid w:val="00F80E36"/>
    <w:rsid w:val="00F80E52"/>
    <w:rsid w:val="00F80F21"/>
    <w:rsid w:val="00F80F66"/>
    <w:rsid w:val="00F80FA8"/>
    <w:rsid w:val="00F80FC3"/>
    <w:rsid w:val="00F80FE0"/>
    <w:rsid w:val="00F80FEF"/>
    <w:rsid w:val="00F80FF1"/>
    <w:rsid w:val="00F8100C"/>
    <w:rsid w:val="00F81010"/>
    <w:rsid w:val="00F8101B"/>
    <w:rsid w:val="00F81052"/>
    <w:rsid w:val="00F81067"/>
    <w:rsid w:val="00F810C5"/>
    <w:rsid w:val="00F81140"/>
    <w:rsid w:val="00F8114D"/>
    <w:rsid w:val="00F81162"/>
    <w:rsid w:val="00F81172"/>
    <w:rsid w:val="00F811A2"/>
    <w:rsid w:val="00F81229"/>
    <w:rsid w:val="00F8132D"/>
    <w:rsid w:val="00F81404"/>
    <w:rsid w:val="00F81489"/>
    <w:rsid w:val="00F81493"/>
    <w:rsid w:val="00F81532"/>
    <w:rsid w:val="00F8153A"/>
    <w:rsid w:val="00F81587"/>
    <w:rsid w:val="00F815D4"/>
    <w:rsid w:val="00F81609"/>
    <w:rsid w:val="00F81620"/>
    <w:rsid w:val="00F8162C"/>
    <w:rsid w:val="00F81631"/>
    <w:rsid w:val="00F8163C"/>
    <w:rsid w:val="00F816D4"/>
    <w:rsid w:val="00F816D5"/>
    <w:rsid w:val="00F816E9"/>
    <w:rsid w:val="00F81724"/>
    <w:rsid w:val="00F817AF"/>
    <w:rsid w:val="00F8180F"/>
    <w:rsid w:val="00F81866"/>
    <w:rsid w:val="00F818BB"/>
    <w:rsid w:val="00F818FA"/>
    <w:rsid w:val="00F8190A"/>
    <w:rsid w:val="00F8190D"/>
    <w:rsid w:val="00F81931"/>
    <w:rsid w:val="00F81949"/>
    <w:rsid w:val="00F819CA"/>
    <w:rsid w:val="00F81ABA"/>
    <w:rsid w:val="00F81B4B"/>
    <w:rsid w:val="00F81BCE"/>
    <w:rsid w:val="00F81BE1"/>
    <w:rsid w:val="00F81C75"/>
    <w:rsid w:val="00F81D5C"/>
    <w:rsid w:val="00F81DB7"/>
    <w:rsid w:val="00F81E19"/>
    <w:rsid w:val="00F81E1E"/>
    <w:rsid w:val="00F81E34"/>
    <w:rsid w:val="00F81E39"/>
    <w:rsid w:val="00F81E3C"/>
    <w:rsid w:val="00F81E63"/>
    <w:rsid w:val="00F81EC1"/>
    <w:rsid w:val="00F81F48"/>
    <w:rsid w:val="00F81F7F"/>
    <w:rsid w:val="00F81FF7"/>
    <w:rsid w:val="00F82008"/>
    <w:rsid w:val="00F82030"/>
    <w:rsid w:val="00F8216A"/>
    <w:rsid w:val="00F82192"/>
    <w:rsid w:val="00F82218"/>
    <w:rsid w:val="00F82232"/>
    <w:rsid w:val="00F822A7"/>
    <w:rsid w:val="00F82318"/>
    <w:rsid w:val="00F8231D"/>
    <w:rsid w:val="00F82323"/>
    <w:rsid w:val="00F82349"/>
    <w:rsid w:val="00F823A7"/>
    <w:rsid w:val="00F82474"/>
    <w:rsid w:val="00F82480"/>
    <w:rsid w:val="00F82481"/>
    <w:rsid w:val="00F82494"/>
    <w:rsid w:val="00F824B7"/>
    <w:rsid w:val="00F824CB"/>
    <w:rsid w:val="00F824F7"/>
    <w:rsid w:val="00F8255E"/>
    <w:rsid w:val="00F82575"/>
    <w:rsid w:val="00F825C0"/>
    <w:rsid w:val="00F82629"/>
    <w:rsid w:val="00F82683"/>
    <w:rsid w:val="00F826C5"/>
    <w:rsid w:val="00F82704"/>
    <w:rsid w:val="00F827A3"/>
    <w:rsid w:val="00F827D8"/>
    <w:rsid w:val="00F8287A"/>
    <w:rsid w:val="00F82889"/>
    <w:rsid w:val="00F8288A"/>
    <w:rsid w:val="00F828C0"/>
    <w:rsid w:val="00F82949"/>
    <w:rsid w:val="00F829B3"/>
    <w:rsid w:val="00F829FF"/>
    <w:rsid w:val="00F82A26"/>
    <w:rsid w:val="00F82A41"/>
    <w:rsid w:val="00F82A6B"/>
    <w:rsid w:val="00F82AB6"/>
    <w:rsid w:val="00F82B18"/>
    <w:rsid w:val="00F82B2D"/>
    <w:rsid w:val="00F82B44"/>
    <w:rsid w:val="00F82B7D"/>
    <w:rsid w:val="00F82BCD"/>
    <w:rsid w:val="00F82C05"/>
    <w:rsid w:val="00F82C0F"/>
    <w:rsid w:val="00F82C12"/>
    <w:rsid w:val="00F82C58"/>
    <w:rsid w:val="00F82CB0"/>
    <w:rsid w:val="00F82CF0"/>
    <w:rsid w:val="00F82E1D"/>
    <w:rsid w:val="00F82E3F"/>
    <w:rsid w:val="00F82E59"/>
    <w:rsid w:val="00F82E74"/>
    <w:rsid w:val="00F82F31"/>
    <w:rsid w:val="00F82F3D"/>
    <w:rsid w:val="00F83009"/>
    <w:rsid w:val="00F8303B"/>
    <w:rsid w:val="00F8304B"/>
    <w:rsid w:val="00F83067"/>
    <w:rsid w:val="00F83082"/>
    <w:rsid w:val="00F830A8"/>
    <w:rsid w:val="00F830D1"/>
    <w:rsid w:val="00F830D9"/>
    <w:rsid w:val="00F830F7"/>
    <w:rsid w:val="00F83106"/>
    <w:rsid w:val="00F83188"/>
    <w:rsid w:val="00F831AD"/>
    <w:rsid w:val="00F831B7"/>
    <w:rsid w:val="00F831C7"/>
    <w:rsid w:val="00F831FD"/>
    <w:rsid w:val="00F8323A"/>
    <w:rsid w:val="00F8324D"/>
    <w:rsid w:val="00F83281"/>
    <w:rsid w:val="00F83285"/>
    <w:rsid w:val="00F8328C"/>
    <w:rsid w:val="00F832C0"/>
    <w:rsid w:val="00F832FC"/>
    <w:rsid w:val="00F83399"/>
    <w:rsid w:val="00F8339B"/>
    <w:rsid w:val="00F8339D"/>
    <w:rsid w:val="00F833C3"/>
    <w:rsid w:val="00F83406"/>
    <w:rsid w:val="00F83477"/>
    <w:rsid w:val="00F834AC"/>
    <w:rsid w:val="00F834C7"/>
    <w:rsid w:val="00F83502"/>
    <w:rsid w:val="00F8352C"/>
    <w:rsid w:val="00F835C8"/>
    <w:rsid w:val="00F8362B"/>
    <w:rsid w:val="00F836C1"/>
    <w:rsid w:val="00F836D2"/>
    <w:rsid w:val="00F836D5"/>
    <w:rsid w:val="00F836E3"/>
    <w:rsid w:val="00F8370D"/>
    <w:rsid w:val="00F8376D"/>
    <w:rsid w:val="00F8376F"/>
    <w:rsid w:val="00F8386B"/>
    <w:rsid w:val="00F83892"/>
    <w:rsid w:val="00F838A7"/>
    <w:rsid w:val="00F838B1"/>
    <w:rsid w:val="00F8399F"/>
    <w:rsid w:val="00F839A9"/>
    <w:rsid w:val="00F839C8"/>
    <w:rsid w:val="00F839D1"/>
    <w:rsid w:val="00F83A1B"/>
    <w:rsid w:val="00F83A44"/>
    <w:rsid w:val="00F83A8A"/>
    <w:rsid w:val="00F83ABB"/>
    <w:rsid w:val="00F83AEF"/>
    <w:rsid w:val="00F83B55"/>
    <w:rsid w:val="00F83D3F"/>
    <w:rsid w:val="00F83DA9"/>
    <w:rsid w:val="00F83DE2"/>
    <w:rsid w:val="00F83DFF"/>
    <w:rsid w:val="00F83E2C"/>
    <w:rsid w:val="00F83E7E"/>
    <w:rsid w:val="00F83E8F"/>
    <w:rsid w:val="00F83ECB"/>
    <w:rsid w:val="00F840BC"/>
    <w:rsid w:val="00F840C0"/>
    <w:rsid w:val="00F840E8"/>
    <w:rsid w:val="00F84118"/>
    <w:rsid w:val="00F843F7"/>
    <w:rsid w:val="00F84439"/>
    <w:rsid w:val="00F844F0"/>
    <w:rsid w:val="00F844F8"/>
    <w:rsid w:val="00F8450C"/>
    <w:rsid w:val="00F8457F"/>
    <w:rsid w:val="00F845C5"/>
    <w:rsid w:val="00F845D3"/>
    <w:rsid w:val="00F845FF"/>
    <w:rsid w:val="00F8461B"/>
    <w:rsid w:val="00F8461C"/>
    <w:rsid w:val="00F84621"/>
    <w:rsid w:val="00F84689"/>
    <w:rsid w:val="00F846B5"/>
    <w:rsid w:val="00F846C7"/>
    <w:rsid w:val="00F846D4"/>
    <w:rsid w:val="00F846D6"/>
    <w:rsid w:val="00F846E1"/>
    <w:rsid w:val="00F84706"/>
    <w:rsid w:val="00F8470B"/>
    <w:rsid w:val="00F8471E"/>
    <w:rsid w:val="00F84724"/>
    <w:rsid w:val="00F84731"/>
    <w:rsid w:val="00F84771"/>
    <w:rsid w:val="00F84779"/>
    <w:rsid w:val="00F8481D"/>
    <w:rsid w:val="00F84893"/>
    <w:rsid w:val="00F84898"/>
    <w:rsid w:val="00F848B1"/>
    <w:rsid w:val="00F848CD"/>
    <w:rsid w:val="00F848FC"/>
    <w:rsid w:val="00F84966"/>
    <w:rsid w:val="00F8496C"/>
    <w:rsid w:val="00F84992"/>
    <w:rsid w:val="00F849CE"/>
    <w:rsid w:val="00F849F8"/>
    <w:rsid w:val="00F849FE"/>
    <w:rsid w:val="00F84B64"/>
    <w:rsid w:val="00F84B77"/>
    <w:rsid w:val="00F84B8D"/>
    <w:rsid w:val="00F84BE9"/>
    <w:rsid w:val="00F84C03"/>
    <w:rsid w:val="00F84C3B"/>
    <w:rsid w:val="00F84C62"/>
    <w:rsid w:val="00F84C6C"/>
    <w:rsid w:val="00F84C8B"/>
    <w:rsid w:val="00F84CB4"/>
    <w:rsid w:val="00F84CE8"/>
    <w:rsid w:val="00F84D42"/>
    <w:rsid w:val="00F84D72"/>
    <w:rsid w:val="00F84D7A"/>
    <w:rsid w:val="00F84DCE"/>
    <w:rsid w:val="00F84E4A"/>
    <w:rsid w:val="00F84E51"/>
    <w:rsid w:val="00F84F2B"/>
    <w:rsid w:val="00F84FF7"/>
    <w:rsid w:val="00F8505D"/>
    <w:rsid w:val="00F8506C"/>
    <w:rsid w:val="00F850D0"/>
    <w:rsid w:val="00F85151"/>
    <w:rsid w:val="00F85156"/>
    <w:rsid w:val="00F85164"/>
    <w:rsid w:val="00F851E4"/>
    <w:rsid w:val="00F851FA"/>
    <w:rsid w:val="00F85231"/>
    <w:rsid w:val="00F85273"/>
    <w:rsid w:val="00F852B8"/>
    <w:rsid w:val="00F852D7"/>
    <w:rsid w:val="00F8532C"/>
    <w:rsid w:val="00F853B9"/>
    <w:rsid w:val="00F853E7"/>
    <w:rsid w:val="00F853F5"/>
    <w:rsid w:val="00F853FA"/>
    <w:rsid w:val="00F8541B"/>
    <w:rsid w:val="00F85449"/>
    <w:rsid w:val="00F85455"/>
    <w:rsid w:val="00F8547F"/>
    <w:rsid w:val="00F85499"/>
    <w:rsid w:val="00F8549E"/>
    <w:rsid w:val="00F854DB"/>
    <w:rsid w:val="00F85546"/>
    <w:rsid w:val="00F85576"/>
    <w:rsid w:val="00F855DB"/>
    <w:rsid w:val="00F85649"/>
    <w:rsid w:val="00F856B9"/>
    <w:rsid w:val="00F8571A"/>
    <w:rsid w:val="00F85740"/>
    <w:rsid w:val="00F857A7"/>
    <w:rsid w:val="00F858C8"/>
    <w:rsid w:val="00F858EC"/>
    <w:rsid w:val="00F85986"/>
    <w:rsid w:val="00F859B8"/>
    <w:rsid w:val="00F859BE"/>
    <w:rsid w:val="00F85A09"/>
    <w:rsid w:val="00F85A0E"/>
    <w:rsid w:val="00F85A16"/>
    <w:rsid w:val="00F85A20"/>
    <w:rsid w:val="00F85A52"/>
    <w:rsid w:val="00F85A77"/>
    <w:rsid w:val="00F85AB9"/>
    <w:rsid w:val="00F85B7E"/>
    <w:rsid w:val="00F85B80"/>
    <w:rsid w:val="00F85BD5"/>
    <w:rsid w:val="00F85C88"/>
    <w:rsid w:val="00F85CD5"/>
    <w:rsid w:val="00F85CE3"/>
    <w:rsid w:val="00F85CFA"/>
    <w:rsid w:val="00F85D41"/>
    <w:rsid w:val="00F85D75"/>
    <w:rsid w:val="00F85D78"/>
    <w:rsid w:val="00F85DA4"/>
    <w:rsid w:val="00F85DE6"/>
    <w:rsid w:val="00F85E1D"/>
    <w:rsid w:val="00F85F10"/>
    <w:rsid w:val="00F85F31"/>
    <w:rsid w:val="00F85F53"/>
    <w:rsid w:val="00F85F73"/>
    <w:rsid w:val="00F85F87"/>
    <w:rsid w:val="00F85F95"/>
    <w:rsid w:val="00F85FD7"/>
    <w:rsid w:val="00F85FFE"/>
    <w:rsid w:val="00F86028"/>
    <w:rsid w:val="00F8603B"/>
    <w:rsid w:val="00F8604B"/>
    <w:rsid w:val="00F86156"/>
    <w:rsid w:val="00F86188"/>
    <w:rsid w:val="00F86198"/>
    <w:rsid w:val="00F861B7"/>
    <w:rsid w:val="00F86230"/>
    <w:rsid w:val="00F8625E"/>
    <w:rsid w:val="00F86263"/>
    <w:rsid w:val="00F862A3"/>
    <w:rsid w:val="00F862A8"/>
    <w:rsid w:val="00F862C3"/>
    <w:rsid w:val="00F862CD"/>
    <w:rsid w:val="00F862DE"/>
    <w:rsid w:val="00F86307"/>
    <w:rsid w:val="00F863AD"/>
    <w:rsid w:val="00F8645E"/>
    <w:rsid w:val="00F86475"/>
    <w:rsid w:val="00F8647D"/>
    <w:rsid w:val="00F864C7"/>
    <w:rsid w:val="00F864D2"/>
    <w:rsid w:val="00F86568"/>
    <w:rsid w:val="00F86582"/>
    <w:rsid w:val="00F8659E"/>
    <w:rsid w:val="00F86638"/>
    <w:rsid w:val="00F86643"/>
    <w:rsid w:val="00F8669A"/>
    <w:rsid w:val="00F866C7"/>
    <w:rsid w:val="00F8670E"/>
    <w:rsid w:val="00F86735"/>
    <w:rsid w:val="00F86743"/>
    <w:rsid w:val="00F86786"/>
    <w:rsid w:val="00F86788"/>
    <w:rsid w:val="00F86811"/>
    <w:rsid w:val="00F86886"/>
    <w:rsid w:val="00F868B9"/>
    <w:rsid w:val="00F8694E"/>
    <w:rsid w:val="00F86977"/>
    <w:rsid w:val="00F86987"/>
    <w:rsid w:val="00F869C2"/>
    <w:rsid w:val="00F86A0E"/>
    <w:rsid w:val="00F86A5C"/>
    <w:rsid w:val="00F86A82"/>
    <w:rsid w:val="00F86AB2"/>
    <w:rsid w:val="00F86AEE"/>
    <w:rsid w:val="00F86B2D"/>
    <w:rsid w:val="00F86B5E"/>
    <w:rsid w:val="00F86BA4"/>
    <w:rsid w:val="00F86BFC"/>
    <w:rsid w:val="00F86C20"/>
    <w:rsid w:val="00F86C2B"/>
    <w:rsid w:val="00F86D9C"/>
    <w:rsid w:val="00F86DB0"/>
    <w:rsid w:val="00F86DF5"/>
    <w:rsid w:val="00F86DF6"/>
    <w:rsid w:val="00F86E0C"/>
    <w:rsid w:val="00F86E58"/>
    <w:rsid w:val="00F86E99"/>
    <w:rsid w:val="00F86E9D"/>
    <w:rsid w:val="00F86EAE"/>
    <w:rsid w:val="00F86EBA"/>
    <w:rsid w:val="00F86EBC"/>
    <w:rsid w:val="00F86ECF"/>
    <w:rsid w:val="00F86F28"/>
    <w:rsid w:val="00F86F3C"/>
    <w:rsid w:val="00F86F9F"/>
    <w:rsid w:val="00F8702F"/>
    <w:rsid w:val="00F87126"/>
    <w:rsid w:val="00F87138"/>
    <w:rsid w:val="00F871A4"/>
    <w:rsid w:val="00F871B3"/>
    <w:rsid w:val="00F871F2"/>
    <w:rsid w:val="00F87216"/>
    <w:rsid w:val="00F872D2"/>
    <w:rsid w:val="00F872DD"/>
    <w:rsid w:val="00F872E9"/>
    <w:rsid w:val="00F8745C"/>
    <w:rsid w:val="00F87543"/>
    <w:rsid w:val="00F87594"/>
    <w:rsid w:val="00F875B4"/>
    <w:rsid w:val="00F875F9"/>
    <w:rsid w:val="00F8764F"/>
    <w:rsid w:val="00F87689"/>
    <w:rsid w:val="00F87698"/>
    <w:rsid w:val="00F876E0"/>
    <w:rsid w:val="00F876ED"/>
    <w:rsid w:val="00F8770D"/>
    <w:rsid w:val="00F87725"/>
    <w:rsid w:val="00F8772A"/>
    <w:rsid w:val="00F87776"/>
    <w:rsid w:val="00F87778"/>
    <w:rsid w:val="00F8789F"/>
    <w:rsid w:val="00F878E0"/>
    <w:rsid w:val="00F878F4"/>
    <w:rsid w:val="00F87936"/>
    <w:rsid w:val="00F879ED"/>
    <w:rsid w:val="00F87A01"/>
    <w:rsid w:val="00F87A4F"/>
    <w:rsid w:val="00F87B26"/>
    <w:rsid w:val="00F87B2E"/>
    <w:rsid w:val="00F87B98"/>
    <w:rsid w:val="00F87BA8"/>
    <w:rsid w:val="00F87C05"/>
    <w:rsid w:val="00F87C24"/>
    <w:rsid w:val="00F87C2F"/>
    <w:rsid w:val="00F87D30"/>
    <w:rsid w:val="00F87D86"/>
    <w:rsid w:val="00F87D90"/>
    <w:rsid w:val="00F87D99"/>
    <w:rsid w:val="00F87DEF"/>
    <w:rsid w:val="00F87E01"/>
    <w:rsid w:val="00F87E6A"/>
    <w:rsid w:val="00F87E94"/>
    <w:rsid w:val="00F87EB4"/>
    <w:rsid w:val="00F87EE0"/>
    <w:rsid w:val="00F87EFF"/>
    <w:rsid w:val="00F87F3D"/>
    <w:rsid w:val="00F87F47"/>
    <w:rsid w:val="00F87FCE"/>
    <w:rsid w:val="00F9001D"/>
    <w:rsid w:val="00F90020"/>
    <w:rsid w:val="00F90039"/>
    <w:rsid w:val="00F9004B"/>
    <w:rsid w:val="00F900B3"/>
    <w:rsid w:val="00F900E0"/>
    <w:rsid w:val="00F90149"/>
    <w:rsid w:val="00F90184"/>
    <w:rsid w:val="00F9019A"/>
    <w:rsid w:val="00F90250"/>
    <w:rsid w:val="00F90264"/>
    <w:rsid w:val="00F903F3"/>
    <w:rsid w:val="00F90419"/>
    <w:rsid w:val="00F904BD"/>
    <w:rsid w:val="00F90544"/>
    <w:rsid w:val="00F905E9"/>
    <w:rsid w:val="00F9068A"/>
    <w:rsid w:val="00F906E8"/>
    <w:rsid w:val="00F9076B"/>
    <w:rsid w:val="00F9077D"/>
    <w:rsid w:val="00F9081C"/>
    <w:rsid w:val="00F908A7"/>
    <w:rsid w:val="00F908AB"/>
    <w:rsid w:val="00F908DD"/>
    <w:rsid w:val="00F908EB"/>
    <w:rsid w:val="00F9092A"/>
    <w:rsid w:val="00F9096A"/>
    <w:rsid w:val="00F909AF"/>
    <w:rsid w:val="00F909B7"/>
    <w:rsid w:val="00F909BB"/>
    <w:rsid w:val="00F90A36"/>
    <w:rsid w:val="00F90A4F"/>
    <w:rsid w:val="00F90A5E"/>
    <w:rsid w:val="00F90B2F"/>
    <w:rsid w:val="00F90B8C"/>
    <w:rsid w:val="00F90BDE"/>
    <w:rsid w:val="00F90BF4"/>
    <w:rsid w:val="00F90BFC"/>
    <w:rsid w:val="00F90C98"/>
    <w:rsid w:val="00F90CBF"/>
    <w:rsid w:val="00F90CD5"/>
    <w:rsid w:val="00F90CD6"/>
    <w:rsid w:val="00F90CFA"/>
    <w:rsid w:val="00F90CFB"/>
    <w:rsid w:val="00F90D0B"/>
    <w:rsid w:val="00F90D55"/>
    <w:rsid w:val="00F90D62"/>
    <w:rsid w:val="00F90D66"/>
    <w:rsid w:val="00F90DC1"/>
    <w:rsid w:val="00F90DD4"/>
    <w:rsid w:val="00F90E4F"/>
    <w:rsid w:val="00F90F24"/>
    <w:rsid w:val="00F90F58"/>
    <w:rsid w:val="00F90FBC"/>
    <w:rsid w:val="00F90FCD"/>
    <w:rsid w:val="00F91013"/>
    <w:rsid w:val="00F9105A"/>
    <w:rsid w:val="00F9108B"/>
    <w:rsid w:val="00F910F2"/>
    <w:rsid w:val="00F91140"/>
    <w:rsid w:val="00F911EE"/>
    <w:rsid w:val="00F911FD"/>
    <w:rsid w:val="00F91229"/>
    <w:rsid w:val="00F91244"/>
    <w:rsid w:val="00F9128F"/>
    <w:rsid w:val="00F912F0"/>
    <w:rsid w:val="00F9136F"/>
    <w:rsid w:val="00F914B1"/>
    <w:rsid w:val="00F914E1"/>
    <w:rsid w:val="00F914F6"/>
    <w:rsid w:val="00F9154C"/>
    <w:rsid w:val="00F9155E"/>
    <w:rsid w:val="00F91595"/>
    <w:rsid w:val="00F9162B"/>
    <w:rsid w:val="00F91638"/>
    <w:rsid w:val="00F916D9"/>
    <w:rsid w:val="00F916FC"/>
    <w:rsid w:val="00F91725"/>
    <w:rsid w:val="00F9172C"/>
    <w:rsid w:val="00F91777"/>
    <w:rsid w:val="00F917D6"/>
    <w:rsid w:val="00F91810"/>
    <w:rsid w:val="00F91811"/>
    <w:rsid w:val="00F9182B"/>
    <w:rsid w:val="00F91951"/>
    <w:rsid w:val="00F91962"/>
    <w:rsid w:val="00F91970"/>
    <w:rsid w:val="00F9197A"/>
    <w:rsid w:val="00F919B7"/>
    <w:rsid w:val="00F919CA"/>
    <w:rsid w:val="00F919D3"/>
    <w:rsid w:val="00F91A13"/>
    <w:rsid w:val="00F91A60"/>
    <w:rsid w:val="00F91A9B"/>
    <w:rsid w:val="00F91AB5"/>
    <w:rsid w:val="00F91AE1"/>
    <w:rsid w:val="00F91AE3"/>
    <w:rsid w:val="00F91AFF"/>
    <w:rsid w:val="00F91B55"/>
    <w:rsid w:val="00F91B80"/>
    <w:rsid w:val="00F91B8E"/>
    <w:rsid w:val="00F91B91"/>
    <w:rsid w:val="00F91BF7"/>
    <w:rsid w:val="00F91C08"/>
    <w:rsid w:val="00F91C3C"/>
    <w:rsid w:val="00F91CE5"/>
    <w:rsid w:val="00F91D2C"/>
    <w:rsid w:val="00F91D3C"/>
    <w:rsid w:val="00F91D89"/>
    <w:rsid w:val="00F91D91"/>
    <w:rsid w:val="00F91D9D"/>
    <w:rsid w:val="00F91E35"/>
    <w:rsid w:val="00F91E40"/>
    <w:rsid w:val="00F91E8C"/>
    <w:rsid w:val="00F91EAA"/>
    <w:rsid w:val="00F91EDD"/>
    <w:rsid w:val="00F91EEE"/>
    <w:rsid w:val="00F91F02"/>
    <w:rsid w:val="00F91F2D"/>
    <w:rsid w:val="00F91F3D"/>
    <w:rsid w:val="00F91F41"/>
    <w:rsid w:val="00F91F43"/>
    <w:rsid w:val="00F91F54"/>
    <w:rsid w:val="00F91F57"/>
    <w:rsid w:val="00F9201F"/>
    <w:rsid w:val="00F92025"/>
    <w:rsid w:val="00F920B3"/>
    <w:rsid w:val="00F920CC"/>
    <w:rsid w:val="00F920DF"/>
    <w:rsid w:val="00F9219F"/>
    <w:rsid w:val="00F921A3"/>
    <w:rsid w:val="00F92235"/>
    <w:rsid w:val="00F922C3"/>
    <w:rsid w:val="00F922E8"/>
    <w:rsid w:val="00F92373"/>
    <w:rsid w:val="00F923D4"/>
    <w:rsid w:val="00F92405"/>
    <w:rsid w:val="00F9242D"/>
    <w:rsid w:val="00F924A5"/>
    <w:rsid w:val="00F924D9"/>
    <w:rsid w:val="00F924EE"/>
    <w:rsid w:val="00F92542"/>
    <w:rsid w:val="00F92565"/>
    <w:rsid w:val="00F925BE"/>
    <w:rsid w:val="00F925E3"/>
    <w:rsid w:val="00F925EF"/>
    <w:rsid w:val="00F92602"/>
    <w:rsid w:val="00F92661"/>
    <w:rsid w:val="00F926C5"/>
    <w:rsid w:val="00F92706"/>
    <w:rsid w:val="00F92720"/>
    <w:rsid w:val="00F92768"/>
    <w:rsid w:val="00F92793"/>
    <w:rsid w:val="00F92803"/>
    <w:rsid w:val="00F9282C"/>
    <w:rsid w:val="00F92831"/>
    <w:rsid w:val="00F92854"/>
    <w:rsid w:val="00F92857"/>
    <w:rsid w:val="00F928F9"/>
    <w:rsid w:val="00F92932"/>
    <w:rsid w:val="00F929F4"/>
    <w:rsid w:val="00F92A28"/>
    <w:rsid w:val="00F92ABF"/>
    <w:rsid w:val="00F92AF5"/>
    <w:rsid w:val="00F92AFA"/>
    <w:rsid w:val="00F92B1E"/>
    <w:rsid w:val="00F92C11"/>
    <w:rsid w:val="00F92C55"/>
    <w:rsid w:val="00F92CA5"/>
    <w:rsid w:val="00F92CBA"/>
    <w:rsid w:val="00F92CD2"/>
    <w:rsid w:val="00F92CD7"/>
    <w:rsid w:val="00F92D22"/>
    <w:rsid w:val="00F92D9E"/>
    <w:rsid w:val="00F92DBF"/>
    <w:rsid w:val="00F92DCD"/>
    <w:rsid w:val="00F92E13"/>
    <w:rsid w:val="00F92E15"/>
    <w:rsid w:val="00F92E28"/>
    <w:rsid w:val="00F92E38"/>
    <w:rsid w:val="00F92E8E"/>
    <w:rsid w:val="00F92E9E"/>
    <w:rsid w:val="00F92EA0"/>
    <w:rsid w:val="00F92EA5"/>
    <w:rsid w:val="00F92EAE"/>
    <w:rsid w:val="00F92F48"/>
    <w:rsid w:val="00F92F7A"/>
    <w:rsid w:val="00F92FFE"/>
    <w:rsid w:val="00F93013"/>
    <w:rsid w:val="00F93052"/>
    <w:rsid w:val="00F930D4"/>
    <w:rsid w:val="00F9316B"/>
    <w:rsid w:val="00F931D0"/>
    <w:rsid w:val="00F931E5"/>
    <w:rsid w:val="00F931F2"/>
    <w:rsid w:val="00F93235"/>
    <w:rsid w:val="00F9329D"/>
    <w:rsid w:val="00F932BC"/>
    <w:rsid w:val="00F9332D"/>
    <w:rsid w:val="00F933B8"/>
    <w:rsid w:val="00F93431"/>
    <w:rsid w:val="00F93454"/>
    <w:rsid w:val="00F93468"/>
    <w:rsid w:val="00F9346F"/>
    <w:rsid w:val="00F93475"/>
    <w:rsid w:val="00F93491"/>
    <w:rsid w:val="00F934A3"/>
    <w:rsid w:val="00F934E9"/>
    <w:rsid w:val="00F93511"/>
    <w:rsid w:val="00F93585"/>
    <w:rsid w:val="00F9359D"/>
    <w:rsid w:val="00F935C8"/>
    <w:rsid w:val="00F935FC"/>
    <w:rsid w:val="00F93608"/>
    <w:rsid w:val="00F936D9"/>
    <w:rsid w:val="00F93701"/>
    <w:rsid w:val="00F9371C"/>
    <w:rsid w:val="00F93777"/>
    <w:rsid w:val="00F937FF"/>
    <w:rsid w:val="00F9386D"/>
    <w:rsid w:val="00F938A0"/>
    <w:rsid w:val="00F938D1"/>
    <w:rsid w:val="00F938D9"/>
    <w:rsid w:val="00F93914"/>
    <w:rsid w:val="00F939C4"/>
    <w:rsid w:val="00F939E1"/>
    <w:rsid w:val="00F939FF"/>
    <w:rsid w:val="00F93A3A"/>
    <w:rsid w:val="00F93A5F"/>
    <w:rsid w:val="00F93A6F"/>
    <w:rsid w:val="00F93A83"/>
    <w:rsid w:val="00F93B4C"/>
    <w:rsid w:val="00F93B55"/>
    <w:rsid w:val="00F93BA2"/>
    <w:rsid w:val="00F93C01"/>
    <w:rsid w:val="00F93D0F"/>
    <w:rsid w:val="00F93D1C"/>
    <w:rsid w:val="00F93D43"/>
    <w:rsid w:val="00F93D85"/>
    <w:rsid w:val="00F93E1C"/>
    <w:rsid w:val="00F93E27"/>
    <w:rsid w:val="00F93EFC"/>
    <w:rsid w:val="00F93F4B"/>
    <w:rsid w:val="00F93F4E"/>
    <w:rsid w:val="00F93FAC"/>
    <w:rsid w:val="00F93FED"/>
    <w:rsid w:val="00F9400C"/>
    <w:rsid w:val="00F94034"/>
    <w:rsid w:val="00F940E3"/>
    <w:rsid w:val="00F940FA"/>
    <w:rsid w:val="00F9417B"/>
    <w:rsid w:val="00F94195"/>
    <w:rsid w:val="00F941AC"/>
    <w:rsid w:val="00F941B4"/>
    <w:rsid w:val="00F941C7"/>
    <w:rsid w:val="00F941C8"/>
    <w:rsid w:val="00F941CF"/>
    <w:rsid w:val="00F941F2"/>
    <w:rsid w:val="00F94222"/>
    <w:rsid w:val="00F94272"/>
    <w:rsid w:val="00F9428A"/>
    <w:rsid w:val="00F942F3"/>
    <w:rsid w:val="00F943A3"/>
    <w:rsid w:val="00F943AB"/>
    <w:rsid w:val="00F943BA"/>
    <w:rsid w:val="00F944BD"/>
    <w:rsid w:val="00F944E9"/>
    <w:rsid w:val="00F944FD"/>
    <w:rsid w:val="00F94513"/>
    <w:rsid w:val="00F94523"/>
    <w:rsid w:val="00F94530"/>
    <w:rsid w:val="00F945CA"/>
    <w:rsid w:val="00F94637"/>
    <w:rsid w:val="00F94640"/>
    <w:rsid w:val="00F946C9"/>
    <w:rsid w:val="00F946F4"/>
    <w:rsid w:val="00F94712"/>
    <w:rsid w:val="00F9471B"/>
    <w:rsid w:val="00F9472B"/>
    <w:rsid w:val="00F94758"/>
    <w:rsid w:val="00F947B5"/>
    <w:rsid w:val="00F947BE"/>
    <w:rsid w:val="00F94830"/>
    <w:rsid w:val="00F948CE"/>
    <w:rsid w:val="00F94907"/>
    <w:rsid w:val="00F9492C"/>
    <w:rsid w:val="00F94993"/>
    <w:rsid w:val="00F949A5"/>
    <w:rsid w:val="00F949B3"/>
    <w:rsid w:val="00F949DD"/>
    <w:rsid w:val="00F949F9"/>
    <w:rsid w:val="00F94A05"/>
    <w:rsid w:val="00F94A35"/>
    <w:rsid w:val="00F94B1D"/>
    <w:rsid w:val="00F94BD1"/>
    <w:rsid w:val="00F94C24"/>
    <w:rsid w:val="00F94C79"/>
    <w:rsid w:val="00F94C94"/>
    <w:rsid w:val="00F94D3C"/>
    <w:rsid w:val="00F94D4D"/>
    <w:rsid w:val="00F94DB1"/>
    <w:rsid w:val="00F94DC4"/>
    <w:rsid w:val="00F94E3A"/>
    <w:rsid w:val="00F94E82"/>
    <w:rsid w:val="00F94EE1"/>
    <w:rsid w:val="00F94EFA"/>
    <w:rsid w:val="00F94F45"/>
    <w:rsid w:val="00F94F9B"/>
    <w:rsid w:val="00F94FCF"/>
    <w:rsid w:val="00F95012"/>
    <w:rsid w:val="00F95038"/>
    <w:rsid w:val="00F9507D"/>
    <w:rsid w:val="00F950C4"/>
    <w:rsid w:val="00F950E6"/>
    <w:rsid w:val="00F950F9"/>
    <w:rsid w:val="00F9514D"/>
    <w:rsid w:val="00F95161"/>
    <w:rsid w:val="00F95172"/>
    <w:rsid w:val="00F95219"/>
    <w:rsid w:val="00F95224"/>
    <w:rsid w:val="00F95238"/>
    <w:rsid w:val="00F9523B"/>
    <w:rsid w:val="00F9526C"/>
    <w:rsid w:val="00F95298"/>
    <w:rsid w:val="00F952D6"/>
    <w:rsid w:val="00F952EC"/>
    <w:rsid w:val="00F95337"/>
    <w:rsid w:val="00F9539B"/>
    <w:rsid w:val="00F953B6"/>
    <w:rsid w:val="00F953C7"/>
    <w:rsid w:val="00F953D5"/>
    <w:rsid w:val="00F9546D"/>
    <w:rsid w:val="00F954AF"/>
    <w:rsid w:val="00F954C6"/>
    <w:rsid w:val="00F95588"/>
    <w:rsid w:val="00F955B1"/>
    <w:rsid w:val="00F955BD"/>
    <w:rsid w:val="00F955C3"/>
    <w:rsid w:val="00F955D9"/>
    <w:rsid w:val="00F95612"/>
    <w:rsid w:val="00F95660"/>
    <w:rsid w:val="00F9573E"/>
    <w:rsid w:val="00F9578D"/>
    <w:rsid w:val="00F957A3"/>
    <w:rsid w:val="00F9580A"/>
    <w:rsid w:val="00F9581D"/>
    <w:rsid w:val="00F958A1"/>
    <w:rsid w:val="00F958C3"/>
    <w:rsid w:val="00F958F0"/>
    <w:rsid w:val="00F958FE"/>
    <w:rsid w:val="00F959D3"/>
    <w:rsid w:val="00F95B38"/>
    <w:rsid w:val="00F95B50"/>
    <w:rsid w:val="00F95B9E"/>
    <w:rsid w:val="00F95BD3"/>
    <w:rsid w:val="00F95BF3"/>
    <w:rsid w:val="00F95C07"/>
    <w:rsid w:val="00F95C09"/>
    <w:rsid w:val="00F95D1C"/>
    <w:rsid w:val="00F95D92"/>
    <w:rsid w:val="00F95EB3"/>
    <w:rsid w:val="00F95F5A"/>
    <w:rsid w:val="00F95FB5"/>
    <w:rsid w:val="00F95FCD"/>
    <w:rsid w:val="00F9600B"/>
    <w:rsid w:val="00F96046"/>
    <w:rsid w:val="00F9604D"/>
    <w:rsid w:val="00F96057"/>
    <w:rsid w:val="00F960A6"/>
    <w:rsid w:val="00F960B9"/>
    <w:rsid w:val="00F960C9"/>
    <w:rsid w:val="00F960D3"/>
    <w:rsid w:val="00F960FF"/>
    <w:rsid w:val="00F96150"/>
    <w:rsid w:val="00F96187"/>
    <w:rsid w:val="00F961B1"/>
    <w:rsid w:val="00F961C5"/>
    <w:rsid w:val="00F96251"/>
    <w:rsid w:val="00F9628C"/>
    <w:rsid w:val="00F962B1"/>
    <w:rsid w:val="00F96341"/>
    <w:rsid w:val="00F9636F"/>
    <w:rsid w:val="00F963DF"/>
    <w:rsid w:val="00F96458"/>
    <w:rsid w:val="00F96469"/>
    <w:rsid w:val="00F96492"/>
    <w:rsid w:val="00F96518"/>
    <w:rsid w:val="00F96555"/>
    <w:rsid w:val="00F96567"/>
    <w:rsid w:val="00F9661A"/>
    <w:rsid w:val="00F96699"/>
    <w:rsid w:val="00F96724"/>
    <w:rsid w:val="00F9675D"/>
    <w:rsid w:val="00F96768"/>
    <w:rsid w:val="00F9677A"/>
    <w:rsid w:val="00F9680E"/>
    <w:rsid w:val="00F96816"/>
    <w:rsid w:val="00F9681C"/>
    <w:rsid w:val="00F9684C"/>
    <w:rsid w:val="00F96861"/>
    <w:rsid w:val="00F968F6"/>
    <w:rsid w:val="00F9694E"/>
    <w:rsid w:val="00F9695D"/>
    <w:rsid w:val="00F9698D"/>
    <w:rsid w:val="00F96A03"/>
    <w:rsid w:val="00F96A1C"/>
    <w:rsid w:val="00F96A36"/>
    <w:rsid w:val="00F96A5C"/>
    <w:rsid w:val="00F96A6C"/>
    <w:rsid w:val="00F96AED"/>
    <w:rsid w:val="00F96B0F"/>
    <w:rsid w:val="00F96B6F"/>
    <w:rsid w:val="00F96B81"/>
    <w:rsid w:val="00F96BB2"/>
    <w:rsid w:val="00F96BD6"/>
    <w:rsid w:val="00F96BF8"/>
    <w:rsid w:val="00F96C00"/>
    <w:rsid w:val="00F96C59"/>
    <w:rsid w:val="00F96CDE"/>
    <w:rsid w:val="00F96CF6"/>
    <w:rsid w:val="00F96D13"/>
    <w:rsid w:val="00F96D4A"/>
    <w:rsid w:val="00F96D61"/>
    <w:rsid w:val="00F96DA5"/>
    <w:rsid w:val="00F96DB3"/>
    <w:rsid w:val="00F96DD3"/>
    <w:rsid w:val="00F96DFC"/>
    <w:rsid w:val="00F96E44"/>
    <w:rsid w:val="00F96E4E"/>
    <w:rsid w:val="00F96E50"/>
    <w:rsid w:val="00F96E72"/>
    <w:rsid w:val="00F96E8F"/>
    <w:rsid w:val="00F96E98"/>
    <w:rsid w:val="00F96EAF"/>
    <w:rsid w:val="00F96EB8"/>
    <w:rsid w:val="00F96EBA"/>
    <w:rsid w:val="00F96EC1"/>
    <w:rsid w:val="00F96F22"/>
    <w:rsid w:val="00F96F49"/>
    <w:rsid w:val="00F96FC0"/>
    <w:rsid w:val="00F9705E"/>
    <w:rsid w:val="00F9707F"/>
    <w:rsid w:val="00F9709B"/>
    <w:rsid w:val="00F970A0"/>
    <w:rsid w:val="00F970D8"/>
    <w:rsid w:val="00F970EE"/>
    <w:rsid w:val="00F97126"/>
    <w:rsid w:val="00F97156"/>
    <w:rsid w:val="00F9715B"/>
    <w:rsid w:val="00F97199"/>
    <w:rsid w:val="00F971C6"/>
    <w:rsid w:val="00F97249"/>
    <w:rsid w:val="00F972AC"/>
    <w:rsid w:val="00F972B5"/>
    <w:rsid w:val="00F9733D"/>
    <w:rsid w:val="00F97344"/>
    <w:rsid w:val="00F9735D"/>
    <w:rsid w:val="00F9739A"/>
    <w:rsid w:val="00F973F3"/>
    <w:rsid w:val="00F97457"/>
    <w:rsid w:val="00F9745D"/>
    <w:rsid w:val="00F974DD"/>
    <w:rsid w:val="00F97595"/>
    <w:rsid w:val="00F975B9"/>
    <w:rsid w:val="00F975FD"/>
    <w:rsid w:val="00F97636"/>
    <w:rsid w:val="00F97655"/>
    <w:rsid w:val="00F9765E"/>
    <w:rsid w:val="00F97662"/>
    <w:rsid w:val="00F976EE"/>
    <w:rsid w:val="00F976F4"/>
    <w:rsid w:val="00F9776A"/>
    <w:rsid w:val="00F9776E"/>
    <w:rsid w:val="00F9777A"/>
    <w:rsid w:val="00F977DB"/>
    <w:rsid w:val="00F97843"/>
    <w:rsid w:val="00F97844"/>
    <w:rsid w:val="00F978C2"/>
    <w:rsid w:val="00F97911"/>
    <w:rsid w:val="00F97934"/>
    <w:rsid w:val="00F9797A"/>
    <w:rsid w:val="00F97A0E"/>
    <w:rsid w:val="00F97A23"/>
    <w:rsid w:val="00F97A32"/>
    <w:rsid w:val="00F97A63"/>
    <w:rsid w:val="00F97AC7"/>
    <w:rsid w:val="00F97AF8"/>
    <w:rsid w:val="00F97B03"/>
    <w:rsid w:val="00F97B16"/>
    <w:rsid w:val="00F97B28"/>
    <w:rsid w:val="00F97B80"/>
    <w:rsid w:val="00F97BC5"/>
    <w:rsid w:val="00F97C43"/>
    <w:rsid w:val="00F97CA0"/>
    <w:rsid w:val="00F97CA4"/>
    <w:rsid w:val="00F97CF3"/>
    <w:rsid w:val="00F97D8E"/>
    <w:rsid w:val="00F97DB4"/>
    <w:rsid w:val="00F97DB9"/>
    <w:rsid w:val="00F97DC9"/>
    <w:rsid w:val="00F97E0C"/>
    <w:rsid w:val="00F97E3D"/>
    <w:rsid w:val="00F97E59"/>
    <w:rsid w:val="00F97F30"/>
    <w:rsid w:val="00F97FD0"/>
    <w:rsid w:val="00F9F164"/>
    <w:rsid w:val="00FA000B"/>
    <w:rsid w:val="00FA001A"/>
    <w:rsid w:val="00FA0037"/>
    <w:rsid w:val="00FA0057"/>
    <w:rsid w:val="00FA0063"/>
    <w:rsid w:val="00FA00ED"/>
    <w:rsid w:val="00FA01D2"/>
    <w:rsid w:val="00FA02E4"/>
    <w:rsid w:val="00FA0320"/>
    <w:rsid w:val="00FA0344"/>
    <w:rsid w:val="00FA03BF"/>
    <w:rsid w:val="00FA03C6"/>
    <w:rsid w:val="00FA0411"/>
    <w:rsid w:val="00FA0462"/>
    <w:rsid w:val="00FA0473"/>
    <w:rsid w:val="00FA047E"/>
    <w:rsid w:val="00FA04AA"/>
    <w:rsid w:val="00FA04C5"/>
    <w:rsid w:val="00FA04FD"/>
    <w:rsid w:val="00FA052F"/>
    <w:rsid w:val="00FA056A"/>
    <w:rsid w:val="00FA056F"/>
    <w:rsid w:val="00FA0581"/>
    <w:rsid w:val="00FA0594"/>
    <w:rsid w:val="00FA05CE"/>
    <w:rsid w:val="00FA05F3"/>
    <w:rsid w:val="00FA062C"/>
    <w:rsid w:val="00FA062F"/>
    <w:rsid w:val="00FA0656"/>
    <w:rsid w:val="00FA069E"/>
    <w:rsid w:val="00FA06BA"/>
    <w:rsid w:val="00FA06CD"/>
    <w:rsid w:val="00FA06FC"/>
    <w:rsid w:val="00FA0739"/>
    <w:rsid w:val="00FA074A"/>
    <w:rsid w:val="00FA0750"/>
    <w:rsid w:val="00FA07FF"/>
    <w:rsid w:val="00FA0871"/>
    <w:rsid w:val="00FA0877"/>
    <w:rsid w:val="00FA08C4"/>
    <w:rsid w:val="00FA08D1"/>
    <w:rsid w:val="00FA08E2"/>
    <w:rsid w:val="00FA08E7"/>
    <w:rsid w:val="00FA0935"/>
    <w:rsid w:val="00FA094F"/>
    <w:rsid w:val="00FA0953"/>
    <w:rsid w:val="00FA0967"/>
    <w:rsid w:val="00FA09B9"/>
    <w:rsid w:val="00FA0A14"/>
    <w:rsid w:val="00FA0A8F"/>
    <w:rsid w:val="00FA0AA7"/>
    <w:rsid w:val="00FA0B17"/>
    <w:rsid w:val="00FA0BF4"/>
    <w:rsid w:val="00FA0C4F"/>
    <w:rsid w:val="00FA0C68"/>
    <w:rsid w:val="00FA0CB1"/>
    <w:rsid w:val="00FA0CC8"/>
    <w:rsid w:val="00FA0D31"/>
    <w:rsid w:val="00FA0D84"/>
    <w:rsid w:val="00FA0E37"/>
    <w:rsid w:val="00FA0E5F"/>
    <w:rsid w:val="00FA0EDD"/>
    <w:rsid w:val="00FA0EEF"/>
    <w:rsid w:val="00FA0F83"/>
    <w:rsid w:val="00FA0F8E"/>
    <w:rsid w:val="00FA0FEC"/>
    <w:rsid w:val="00FA1017"/>
    <w:rsid w:val="00FA1022"/>
    <w:rsid w:val="00FA1051"/>
    <w:rsid w:val="00FA1135"/>
    <w:rsid w:val="00FA115E"/>
    <w:rsid w:val="00FA116A"/>
    <w:rsid w:val="00FA117D"/>
    <w:rsid w:val="00FA1196"/>
    <w:rsid w:val="00FA1249"/>
    <w:rsid w:val="00FA12A6"/>
    <w:rsid w:val="00FA130D"/>
    <w:rsid w:val="00FA1381"/>
    <w:rsid w:val="00FA1412"/>
    <w:rsid w:val="00FA142C"/>
    <w:rsid w:val="00FA1432"/>
    <w:rsid w:val="00FA147B"/>
    <w:rsid w:val="00FA14EA"/>
    <w:rsid w:val="00FA152A"/>
    <w:rsid w:val="00FA152F"/>
    <w:rsid w:val="00FA1608"/>
    <w:rsid w:val="00FA160D"/>
    <w:rsid w:val="00FA166C"/>
    <w:rsid w:val="00FA167F"/>
    <w:rsid w:val="00FA16C3"/>
    <w:rsid w:val="00FA16D9"/>
    <w:rsid w:val="00FA16F1"/>
    <w:rsid w:val="00FA1700"/>
    <w:rsid w:val="00FA175A"/>
    <w:rsid w:val="00FA1783"/>
    <w:rsid w:val="00FA1785"/>
    <w:rsid w:val="00FA17B6"/>
    <w:rsid w:val="00FA17E8"/>
    <w:rsid w:val="00FA1837"/>
    <w:rsid w:val="00FA1862"/>
    <w:rsid w:val="00FA1878"/>
    <w:rsid w:val="00FA187A"/>
    <w:rsid w:val="00FA191C"/>
    <w:rsid w:val="00FA1933"/>
    <w:rsid w:val="00FA196E"/>
    <w:rsid w:val="00FA1979"/>
    <w:rsid w:val="00FA1994"/>
    <w:rsid w:val="00FA1995"/>
    <w:rsid w:val="00FA1A39"/>
    <w:rsid w:val="00FA1A45"/>
    <w:rsid w:val="00FA1A5B"/>
    <w:rsid w:val="00FA1A63"/>
    <w:rsid w:val="00FA1A6C"/>
    <w:rsid w:val="00FA1B6B"/>
    <w:rsid w:val="00FA1B90"/>
    <w:rsid w:val="00FA1BCC"/>
    <w:rsid w:val="00FA1C26"/>
    <w:rsid w:val="00FA1C3C"/>
    <w:rsid w:val="00FA1C69"/>
    <w:rsid w:val="00FA1D03"/>
    <w:rsid w:val="00FA1D22"/>
    <w:rsid w:val="00FA1DA4"/>
    <w:rsid w:val="00FA1DF4"/>
    <w:rsid w:val="00FA1E00"/>
    <w:rsid w:val="00FA1E1C"/>
    <w:rsid w:val="00FA1E38"/>
    <w:rsid w:val="00FA1E93"/>
    <w:rsid w:val="00FA1EAB"/>
    <w:rsid w:val="00FA1F3A"/>
    <w:rsid w:val="00FA1F48"/>
    <w:rsid w:val="00FA1FC5"/>
    <w:rsid w:val="00FA1FE5"/>
    <w:rsid w:val="00FA1FF4"/>
    <w:rsid w:val="00FA2035"/>
    <w:rsid w:val="00FA2060"/>
    <w:rsid w:val="00FA207F"/>
    <w:rsid w:val="00FA2090"/>
    <w:rsid w:val="00FA2109"/>
    <w:rsid w:val="00FA2141"/>
    <w:rsid w:val="00FA217F"/>
    <w:rsid w:val="00FA21CB"/>
    <w:rsid w:val="00FA21E3"/>
    <w:rsid w:val="00FA220C"/>
    <w:rsid w:val="00FA227E"/>
    <w:rsid w:val="00FA227F"/>
    <w:rsid w:val="00FA2281"/>
    <w:rsid w:val="00FA22CD"/>
    <w:rsid w:val="00FA22D4"/>
    <w:rsid w:val="00FA2372"/>
    <w:rsid w:val="00FA23A1"/>
    <w:rsid w:val="00FA242A"/>
    <w:rsid w:val="00FA24C6"/>
    <w:rsid w:val="00FA24D6"/>
    <w:rsid w:val="00FA24F7"/>
    <w:rsid w:val="00FA2514"/>
    <w:rsid w:val="00FA2547"/>
    <w:rsid w:val="00FA256D"/>
    <w:rsid w:val="00FA2574"/>
    <w:rsid w:val="00FA25EE"/>
    <w:rsid w:val="00FA25F6"/>
    <w:rsid w:val="00FA2630"/>
    <w:rsid w:val="00FA266A"/>
    <w:rsid w:val="00FA26A3"/>
    <w:rsid w:val="00FA26EA"/>
    <w:rsid w:val="00FA26EE"/>
    <w:rsid w:val="00FA2750"/>
    <w:rsid w:val="00FA2756"/>
    <w:rsid w:val="00FA2787"/>
    <w:rsid w:val="00FA2799"/>
    <w:rsid w:val="00FA2836"/>
    <w:rsid w:val="00FA287A"/>
    <w:rsid w:val="00FA2897"/>
    <w:rsid w:val="00FA289D"/>
    <w:rsid w:val="00FA2926"/>
    <w:rsid w:val="00FA2954"/>
    <w:rsid w:val="00FA29B3"/>
    <w:rsid w:val="00FA29BE"/>
    <w:rsid w:val="00FA29F4"/>
    <w:rsid w:val="00FA2A1E"/>
    <w:rsid w:val="00FA2A73"/>
    <w:rsid w:val="00FA2A8B"/>
    <w:rsid w:val="00FA2AC6"/>
    <w:rsid w:val="00FA2B43"/>
    <w:rsid w:val="00FA2B6C"/>
    <w:rsid w:val="00FA2B7B"/>
    <w:rsid w:val="00FA2CDA"/>
    <w:rsid w:val="00FA2D41"/>
    <w:rsid w:val="00FA2DE8"/>
    <w:rsid w:val="00FA2DFD"/>
    <w:rsid w:val="00FA2EF1"/>
    <w:rsid w:val="00FA2F7B"/>
    <w:rsid w:val="00FA2F7C"/>
    <w:rsid w:val="00FA2FAD"/>
    <w:rsid w:val="00FA2FE7"/>
    <w:rsid w:val="00FA2FE8"/>
    <w:rsid w:val="00FA303A"/>
    <w:rsid w:val="00FA3060"/>
    <w:rsid w:val="00FA306D"/>
    <w:rsid w:val="00FA3118"/>
    <w:rsid w:val="00FA314B"/>
    <w:rsid w:val="00FA31A6"/>
    <w:rsid w:val="00FA31A7"/>
    <w:rsid w:val="00FA3200"/>
    <w:rsid w:val="00FA3214"/>
    <w:rsid w:val="00FA3260"/>
    <w:rsid w:val="00FA32CF"/>
    <w:rsid w:val="00FA32D0"/>
    <w:rsid w:val="00FA334C"/>
    <w:rsid w:val="00FA33B1"/>
    <w:rsid w:val="00FA3426"/>
    <w:rsid w:val="00FA342B"/>
    <w:rsid w:val="00FA3458"/>
    <w:rsid w:val="00FA3474"/>
    <w:rsid w:val="00FA349B"/>
    <w:rsid w:val="00FA34DC"/>
    <w:rsid w:val="00FA34E8"/>
    <w:rsid w:val="00FA3532"/>
    <w:rsid w:val="00FA3550"/>
    <w:rsid w:val="00FA35DF"/>
    <w:rsid w:val="00FA364B"/>
    <w:rsid w:val="00FA3651"/>
    <w:rsid w:val="00FA36CC"/>
    <w:rsid w:val="00FA371C"/>
    <w:rsid w:val="00FA372B"/>
    <w:rsid w:val="00FA377B"/>
    <w:rsid w:val="00FA3786"/>
    <w:rsid w:val="00FA3794"/>
    <w:rsid w:val="00FA383A"/>
    <w:rsid w:val="00FA3842"/>
    <w:rsid w:val="00FA3898"/>
    <w:rsid w:val="00FA389C"/>
    <w:rsid w:val="00FA39D6"/>
    <w:rsid w:val="00FA39D9"/>
    <w:rsid w:val="00FA3A13"/>
    <w:rsid w:val="00FA3A21"/>
    <w:rsid w:val="00FA3A26"/>
    <w:rsid w:val="00FA3A37"/>
    <w:rsid w:val="00FA3A4D"/>
    <w:rsid w:val="00FA3A68"/>
    <w:rsid w:val="00FA3A9D"/>
    <w:rsid w:val="00FA3AC0"/>
    <w:rsid w:val="00FA3B0A"/>
    <w:rsid w:val="00FA3B1C"/>
    <w:rsid w:val="00FA3B35"/>
    <w:rsid w:val="00FA3B40"/>
    <w:rsid w:val="00FA3BD6"/>
    <w:rsid w:val="00FA3C4F"/>
    <w:rsid w:val="00FA3CEF"/>
    <w:rsid w:val="00FA3D3F"/>
    <w:rsid w:val="00FA3D55"/>
    <w:rsid w:val="00FA3DA9"/>
    <w:rsid w:val="00FA3DDE"/>
    <w:rsid w:val="00FA403A"/>
    <w:rsid w:val="00FA4118"/>
    <w:rsid w:val="00FA4157"/>
    <w:rsid w:val="00FA4173"/>
    <w:rsid w:val="00FA41E5"/>
    <w:rsid w:val="00FA424E"/>
    <w:rsid w:val="00FA4270"/>
    <w:rsid w:val="00FA430C"/>
    <w:rsid w:val="00FA4314"/>
    <w:rsid w:val="00FA4316"/>
    <w:rsid w:val="00FA4386"/>
    <w:rsid w:val="00FA4393"/>
    <w:rsid w:val="00FA4432"/>
    <w:rsid w:val="00FA4462"/>
    <w:rsid w:val="00FA4493"/>
    <w:rsid w:val="00FA44D7"/>
    <w:rsid w:val="00FA44DC"/>
    <w:rsid w:val="00FA44FF"/>
    <w:rsid w:val="00FA4518"/>
    <w:rsid w:val="00FA45C7"/>
    <w:rsid w:val="00FA45E5"/>
    <w:rsid w:val="00FA4661"/>
    <w:rsid w:val="00FA466F"/>
    <w:rsid w:val="00FA4679"/>
    <w:rsid w:val="00FA46D2"/>
    <w:rsid w:val="00FA46E5"/>
    <w:rsid w:val="00FA46F7"/>
    <w:rsid w:val="00FA4716"/>
    <w:rsid w:val="00FA4810"/>
    <w:rsid w:val="00FA4859"/>
    <w:rsid w:val="00FA486D"/>
    <w:rsid w:val="00FA48A3"/>
    <w:rsid w:val="00FA48FC"/>
    <w:rsid w:val="00FA497E"/>
    <w:rsid w:val="00FA49E2"/>
    <w:rsid w:val="00FA49F1"/>
    <w:rsid w:val="00FA4A00"/>
    <w:rsid w:val="00FA4A4E"/>
    <w:rsid w:val="00FA4A61"/>
    <w:rsid w:val="00FA4A94"/>
    <w:rsid w:val="00FA4ACA"/>
    <w:rsid w:val="00FA4AFB"/>
    <w:rsid w:val="00FA4BC4"/>
    <w:rsid w:val="00FA4BC8"/>
    <w:rsid w:val="00FA4BE7"/>
    <w:rsid w:val="00FA4C06"/>
    <w:rsid w:val="00FA4C21"/>
    <w:rsid w:val="00FA4C79"/>
    <w:rsid w:val="00FA4C91"/>
    <w:rsid w:val="00FA4D2C"/>
    <w:rsid w:val="00FA4D84"/>
    <w:rsid w:val="00FA4DF2"/>
    <w:rsid w:val="00FA4E06"/>
    <w:rsid w:val="00FA4E0D"/>
    <w:rsid w:val="00FA4E2F"/>
    <w:rsid w:val="00FA4E40"/>
    <w:rsid w:val="00FA4E94"/>
    <w:rsid w:val="00FA4EFF"/>
    <w:rsid w:val="00FA4FDA"/>
    <w:rsid w:val="00FA4FE7"/>
    <w:rsid w:val="00FA501A"/>
    <w:rsid w:val="00FA501C"/>
    <w:rsid w:val="00FA509E"/>
    <w:rsid w:val="00FA50AE"/>
    <w:rsid w:val="00FA50B5"/>
    <w:rsid w:val="00FA50D1"/>
    <w:rsid w:val="00FA50D7"/>
    <w:rsid w:val="00FA5124"/>
    <w:rsid w:val="00FA514A"/>
    <w:rsid w:val="00FA517A"/>
    <w:rsid w:val="00FA518E"/>
    <w:rsid w:val="00FA5204"/>
    <w:rsid w:val="00FA521A"/>
    <w:rsid w:val="00FA5279"/>
    <w:rsid w:val="00FA529D"/>
    <w:rsid w:val="00FA52B5"/>
    <w:rsid w:val="00FA52D4"/>
    <w:rsid w:val="00FA52DD"/>
    <w:rsid w:val="00FA5328"/>
    <w:rsid w:val="00FA5340"/>
    <w:rsid w:val="00FA5341"/>
    <w:rsid w:val="00FA543A"/>
    <w:rsid w:val="00FA5464"/>
    <w:rsid w:val="00FA5468"/>
    <w:rsid w:val="00FA5487"/>
    <w:rsid w:val="00FA54D4"/>
    <w:rsid w:val="00FA54E5"/>
    <w:rsid w:val="00FA54EB"/>
    <w:rsid w:val="00FA5550"/>
    <w:rsid w:val="00FA5563"/>
    <w:rsid w:val="00FA5571"/>
    <w:rsid w:val="00FA55AF"/>
    <w:rsid w:val="00FA55EC"/>
    <w:rsid w:val="00FA569D"/>
    <w:rsid w:val="00FA56F0"/>
    <w:rsid w:val="00FA570A"/>
    <w:rsid w:val="00FA5775"/>
    <w:rsid w:val="00FA57B8"/>
    <w:rsid w:val="00FA5804"/>
    <w:rsid w:val="00FA5820"/>
    <w:rsid w:val="00FA5865"/>
    <w:rsid w:val="00FA586C"/>
    <w:rsid w:val="00FA5899"/>
    <w:rsid w:val="00FA58ED"/>
    <w:rsid w:val="00FA58F7"/>
    <w:rsid w:val="00FA595E"/>
    <w:rsid w:val="00FA5977"/>
    <w:rsid w:val="00FA59A9"/>
    <w:rsid w:val="00FA5A31"/>
    <w:rsid w:val="00FA5B24"/>
    <w:rsid w:val="00FA5B73"/>
    <w:rsid w:val="00FA5BAE"/>
    <w:rsid w:val="00FA5BB9"/>
    <w:rsid w:val="00FA5BBA"/>
    <w:rsid w:val="00FA5BF7"/>
    <w:rsid w:val="00FA5C10"/>
    <w:rsid w:val="00FA5C3D"/>
    <w:rsid w:val="00FA5C7B"/>
    <w:rsid w:val="00FA5C7D"/>
    <w:rsid w:val="00FA5C89"/>
    <w:rsid w:val="00FA5CCF"/>
    <w:rsid w:val="00FA5DC3"/>
    <w:rsid w:val="00FA5DD1"/>
    <w:rsid w:val="00FA5DF0"/>
    <w:rsid w:val="00FA5DF9"/>
    <w:rsid w:val="00FA5DFD"/>
    <w:rsid w:val="00FA5E3D"/>
    <w:rsid w:val="00FA5E45"/>
    <w:rsid w:val="00FA5E78"/>
    <w:rsid w:val="00FA5E84"/>
    <w:rsid w:val="00FA5E97"/>
    <w:rsid w:val="00FA5F56"/>
    <w:rsid w:val="00FA5F7C"/>
    <w:rsid w:val="00FA604F"/>
    <w:rsid w:val="00FA60E3"/>
    <w:rsid w:val="00FA60F1"/>
    <w:rsid w:val="00FA6110"/>
    <w:rsid w:val="00FA61C1"/>
    <w:rsid w:val="00FA622F"/>
    <w:rsid w:val="00FA62AA"/>
    <w:rsid w:val="00FA62D5"/>
    <w:rsid w:val="00FA62E0"/>
    <w:rsid w:val="00FA62F1"/>
    <w:rsid w:val="00FA63D8"/>
    <w:rsid w:val="00FA642B"/>
    <w:rsid w:val="00FA643F"/>
    <w:rsid w:val="00FA648D"/>
    <w:rsid w:val="00FA649C"/>
    <w:rsid w:val="00FA64E2"/>
    <w:rsid w:val="00FA64F5"/>
    <w:rsid w:val="00FA64F6"/>
    <w:rsid w:val="00FA6537"/>
    <w:rsid w:val="00FA6587"/>
    <w:rsid w:val="00FA65B1"/>
    <w:rsid w:val="00FA6619"/>
    <w:rsid w:val="00FA66BC"/>
    <w:rsid w:val="00FA66DE"/>
    <w:rsid w:val="00FA674D"/>
    <w:rsid w:val="00FA67D8"/>
    <w:rsid w:val="00FA67F8"/>
    <w:rsid w:val="00FA6807"/>
    <w:rsid w:val="00FA6822"/>
    <w:rsid w:val="00FA6847"/>
    <w:rsid w:val="00FA687C"/>
    <w:rsid w:val="00FA69BD"/>
    <w:rsid w:val="00FA69D7"/>
    <w:rsid w:val="00FA69D8"/>
    <w:rsid w:val="00FA69ED"/>
    <w:rsid w:val="00FA69F0"/>
    <w:rsid w:val="00FA6A1B"/>
    <w:rsid w:val="00FA6A4B"/>
    <w:rsid w:val="00FA6AA8"/>
    <w:rsid w:val="00FA6AFD"/>
    <w:rsid w:val="00FA6B13"/>
    <w:rsid w:val="00FA6C1F"/>
    <w:rsid w:val="00FA6CD0"/>
    <w:rsid w:val="00FA6DD2"/>
    <w:rsid w:val="00FA6E10"/>
    <w:rsid w:val="00FA6E1C"/>
    <w:rsid w:val="00FA6E4B"/>
    <w:rsid w:val="00FA6E87"/>
    <w:rsid w:val="00FA6EA6"/>
    <w:rsid w:val="00FA6ECA"/>
    <w:rsid w:val="00FA6EED"/>
    <w:rsid w:val="00FA6F27"/>
    <w:rsid w:val="00FA6F39"/>
    <w:rsid w:val="00FA6FA3"/>
    <w:rsid w:val="00FA7024"/>
    <w:rsid w:val="00FA7030"/>
    <w:rsid w:val="00FA7032"/>
    <w:rsid w:val="00FA703E"/>
    <w:rsid w:val="00FA70C8"/>
    <w:rsid w:val="00FA70E1"/>
    <w:rsid w:val="00FA7106"/>
    <w:rsid w:val="00FA710C"/>
    <w:rsid w:val="00FA7142"/>
    <w:rsid w:val="00FA7187"/>
    <w:rsid w:val="00FA71A3"/>
    <w:rsid w:val="00FA7224"/>
    <w:rsid w:val="00FA7284"/>
    <w:rsid w:val="00FA7370"/>
    <w:rsid w:val="00FA7373"/>
    <w:rsid w:val="00FA7394"/>
    <w:rsid w:val="00FA73AB"/>
    <w:rsid w:val="00FA73EB"/>
    <w:rsid w:val="00FA743D"/>
    <w:rsid w:val="00FA749E"/>
    <w:rsid w:val="00FA74EE"/>
    <w:rsid w:val="00FA751A"/>
    <w:rsid w:val="00FA7539"/>
    <w:rsid w:val="00FA756E"/>
    <w:rsid w:val="00FA75E9"/>
    <w:rsid w:val="00FA75FE"/>
    <w:rsid w:val="00FA76AF"/>
    <w:rsid w:val="00FA76F9"/>
    <w:rsid w:val="00FA7748"/>
    <w:rsid w:val="00FA7811"/>
    <w:rsid w:val="00FA7864"/>
    <w:rsid w:val="00FA78A5"/>
    <w:rsid w:val="00FA78A9"/>
    <w:rsid w:val="00FA78D9"/>
    <w:rsid w:val="00FA7900"/>
    <w:rsid w:val="00FA797B"/>
    <w:rsid w:val="00FA79B6"/>
    <w:rsid w:val="00FA79E2"/>
    <w:rsid w:val="00FA79FE"/>
    <w:rsid w:val="00FA7A03"/>
    <w:rsid w:val="00FA7A1B"/>
    <w:rsid w:val="00FA7A3E"/>
    <w:rsid w:val="00FA7A71"/>
    <w:rsid w:val="00FA7A80"/>
    <w:rsid w:val="00FA7B4F"/>
    <w:rsid w:val="00FA7B8E"/>
    <w:rsid w:val="00FA7CB2"/>
    <w:rsid w:val="00FA7CB5"/>
    <w:rsid w:val="00FA7CBE"/>
    <w:rsid w:val="00FA7D3F"/>
    <w:rsid w:val="00FA7D4F"/>
    <w:rsid w:val="00FA7D53"/>
    <w:rsid w:val="00FA7D6F"/>
    <w:rsid w:val="00FA7D96"/>
    <w:rsid w:val="00FA7E32"/>
    <w:rsid w:val="00FA7E92"/>
    <w:rsid w:val="00FA7ECE"/>
    <w:rsid w:val="00FA7EE8"/>
    <w:rsid w:val="00FA7EFC"/>
    <w:rsid w:val="00FA7F32"/>
    <w:rsid w:val="00FB0038"/>
    <w:rsid w:val="00FB0072"/>
    <w:rsid w:val="00FB00D8"/>
    <w:rsid w:val="00FB0152"/>
    <w:rsid w:val="00FB017F"/>
    <w:rsid w:val="00FB019E"/>
    <w:rsid w:val="00FB01AF"/>
    <w:rsid w:val="00FB01FA"/>
    <w:rsid w:val="00FB0205"/>
    <w:rsid w:val="00FB020C"/>
    <w:rsid w:val="00FB0234"/>
    <w:rsid w:val="00FB026A"/>
    <w:rsid w:val="00FB02B5"/>
    <w:rsid w:val="00FB0344"/>
    <w:rsid w:val="00FB0354"/>
    <w:rsid w:val="00FB037E"/>
    <w:rsid w:val="00FB03BD"/>
    <w:rsid w:val="00FB043C"/>
    <w:rsid w:val="00FB04AE"/>
    <w:rsid w:val="00FB04DA"/>
    <w:rsid w:val="00FB04E1"/>
    <w:rsid w:val="00FB04F1"/>
    <w:rsid w:val="00FB053F"/>
    <w:rsid w:val="00FB05BD"/>
    <w:rsid w:val="00FB05C6"/>
    <w:rsid w:val="00FB05F8"/>
    <w:rsid w:val="00FB0639"/>
    <w:rsid w:val="00FB0656"/>
    <w:rsid w:val="00FB066E"/>
    <w:rsid w:val="00FB0766"/>
    <w:rsid w:val="00FB076F"/>
    <w:rsid w:val="00FB0787"/>
    <w:rsid w:val="00FB0840"/>
    <w:rsid w:val="00FB0868"/>
    <w:rsid w:val="00FB0893"/>
    <w:rsid w:val="00FB08B0"/>
    <w:rsid w:val="00FB090B"/>
    <w:rsid w:val="00FB0998"/>
    <w:rsid w:val="00FB09CB"/>
    <w:rsid w:val="00FB09F1"/>
    <w:rsid w:val="00FB09FF"/>
    <w:rsid w:val="00FB0A7E"/>
    <w:rsid w:val="00FB0A88"/>
    <w:rsid w:val="00FB0AF2"/>
    <w:rsid w:val="00FB0B34"/>
    <w:rsid w:val="00FB0B69"/>
    <w:rsid w:val="00FB0B9B"/>
    <w:rsid w:val="00FB0BA6"/>
    <w:rsid w:val="00FB0D15"/>
    <w:rsid w:val="00FB0D2F"/>
    <w:rsid w:val="00FB0D35"/>
    <w:rsid w:val="00FB0D73"/>
    <w:rsid w:val="00FB0D7A"/>
    <w:rsid w:val="00FB0D8D"/>
    <w:rsid w:val="00FB0DDA"/>
    <w:rsid w:val="00FB0DF4"/>
    <w:rsid w:val="00FB0E89"/>
    <w:rsid w:val="00FB0ED0"/>
    <w:rsid w:val="00FB0EE3"/>
    <w:rsid w:val="00FB0F02"/>
    <w:rsid w:val="00FB0F4F"/>
    <w:rsid w:val="00FB0F6F"/>
    <w:rsid w:val="00FB0FEC"/>
    <w:rsid w:val="00FB100B"/>
    <w:rsid w:val="00FB1021"/>
    <w:rsid w:val="00FB10B6"/>
    <w:rsid w:val="00FB10FB"/>
    <w:rsid w:val="00FB119A"/>
    <w:rsid w:val="00FB11C1"/>
    <w:rsid w:val="00FB1299"/>
    <w:rsid w:val="00FB12A0"/>
    <w:rsid w:val="00FB12A9"/>
    <w:rsid w:val="00FB12B3"/>
    <w:rsid w:val="00FB1308"/>
    <w:rsid w:val="00FB1364"/>
    <w:rsid w:val="00FB13D7"/>
    <w:rsid w:val="00FB13DF"/>
    <w:rsid w:val="00FB141C"/>
    <w:rsid w:val="00FB1431"/>
    <w:rsid w:val="00FB14D7"/>
    <w:rsid w:val="00FB156C"/>
    <w:rsid w:val="00FB15C8"/>
    <w:rsid w:val="00FB15CB"/>
    <w:rsid w:val="00FB15E3"/>
    <w:rsid w:val="00FB1606"/>
    <w:rsid w:val="00FB1622"/>
    <w:rsid w:val="00FB163B"/>
    <w:rsid w:val="00FB16DB"/>
    <w:rsid w:val="00FB16FB"/>
    <w:rsid w:val="00FB16FD"/>
    <w:rsid w:val="00FB1700"/>
    <w:rsid w:val="00FB1703"/>
    <w:rsid w:val="00FB1735"/>
    <w:rsid w:val="00FB179B"/>
    <w:rsid w:val="00FB18F6"/>
    <w:rsid w:val="00FB195F"/>
    <w:rsid w:val="00FB197B"/>
    <w:rsid w:val="00FB199A"/>
    <w:rsid w:val="00FB1A00"/>
    <w:rsid w:val="00FB1A05"/>
    <w:rsid w:val="00FB1A60"/>
    <w:rsid w:val="00FB1ABA"/>
    <w:rsid w:val="00FB1ABF"/>
    <w:rsid w:val="00FB1B5C"/>
    <w:rsid w:val="00FB1B7C"/>
    <w:rsid w:val="00FB1BD8"/>
    <w:rsid w:val="00FB1BE3"/>
    <w:rsid w:val="00FB1C15"/>
    <w:rsid w:val="00FB1C52"/>
    <w:rsid w:val="00FB1C93"/>
    <w:rsid w:val="00FB1DAD"/>
    <w:rsid w:val="00FB1DCF"/>
    <w:rsid w:val="00FB1ED2"/>
    <w:rsid w:val="00FB1F1F"/>
    <w:rsid w:val="00FB1F36"/>
    <w:rsid w:val="00FB1F79"/>
    <w:rsid w:val="00FB2003"/>
    <w:rsid w:val="00FB2028"/>
    <w:rsid w:val="00FB205A"/>
    <w:rsid w:val="00FB20A9"/>
    <w:rsid w:val="00FB20C0"/>
    <w:rsid w:val="00FB20DF"/>
    <w:rsid w:val="00FB2139"/>
    <w:rsid w:val="00FB2160"/>
    <w:rsid w:val="00FB21DA"/>
    <w:rsid w:val="00FB21E3"/>
    <w:rsid w:val="00FB21F4"/>
    <w:rsid w:val="00FB2204"/>
    <w:rsid w:val="00FB221E"/>
    <w:rsid w:val="00FB2228"/>
    <w:rsid w:val="00FB227C"/>
    <w:rsid w:val="00FB2288"/>
    <w:rsid w:val="00FB22DB"/>
    <w:rsid w:val="00FB2308"/>
    <w:rsid w:val="00FB2346"/>
    <w:rsid w:val="00FB23A7"/>
    <w:rsid w:val="00FB2417"/>
    <w:rsid w:val="00FB247E"/>
    <w:rsid w:val="00FB249E"/>
    <w:rsid w:val="00FB2538"/>
    <w:rsid w:val="00FB2573"/>
    <w:rsid w:val="00FB25F5"/>
    <w:rsid w:val="00FB2641"/>
    <w:rsid w:val="00FB26B4"/>
    <w:rsid w:val="00FB26E6"/>
    <w:rsid w:val="00FB279D"/>
    <w:rsid w:val="00FB27B1"/>
    <w:rsid w:val="00FB27C4"/>
    <w:rsid w:val="00FB2835"/>
    <w:rsid w:val="00FB2865"/>
    <w:rsid w:val="00FB28A2"/>
    <w:rsid w:val="00FB28DB"/>
    <w:rsid w:val="00FB297A"/>
    <w:rsid w:val="00FB2A17"/>
    <w:rsid w:val="00FB2A83"/>
    <w:rsid w:val="00FB2AE1"/>
    <w:rsid w:val="00FB2B83"/>
    <w:rsid w:val="00FB2C09"/>
    <w:rsid w:val="00FB2C18"/>
    <w:rsid w:val="00FB2C68"/>
    <w:rsid w:val="00FB2C76"/>
    <w:rsid w:val="00FB2CE3"/>
    <w:rsid w:val="00FB2D06"/>
    <w:rsid w:val="00FB2E56"/>
    <w:rsid w:val="00FB2F96"/>
    <w:rsid w:val="00FB2FCD"/>
    <w:rsid w:val="00FB2FD5"/>
    <w:rsid w:val="00FB3059"/>
    <w:rsid w:val="00FB305D"/>
    <w:rsid w:val="00FB308B"/>
    <w:rsid w:val="00FB30CD"/>
    <w:rsid w:val="00FB30D6"/>
    <w:rsid w:val="00FB311D"/>
    <w:rsid w:val="00FB3150"/>
    <w:rsid w:val="00FB317A"/>
    <w:rsid w:val="00FB3185"/>
    <w:rsid w:val="00FB31A6"/>
    <w:rsid w:val="00FB31CB"/>
    <w:rsid w:val="00FB3256"/>
    <w:rsid w:val="00FB3274"/>
    <w:rsid w:val="00FB329E"/>
    <w:rsid w:val="00FB32E1"/>
    <w:rsid w:val="00FB3355"/>
    <w:rsid w:val="00FB3367"/>
    <w:rsid w:val="00FB33AC"/>
    <w:rsid w:val="00FB33F8"/>
    <w:rsid w:val="00FB340C"/>
    <w:rsid w:val="00FB344C"/>
    <w:rsid w:val="00FB346B"/>
    <w:rsid w:val="00FB34B2"/>
    <w:rsid w:val="00FB34B4"/>
    <w:rsid w:val="00FB351F"/>
    <w:rsid w:val="00FB3520"/>
    <w:rsid w:val="00FB352C"/>
    <w:rsid w:val="00FB3594"/>
    <w:rsid w:val="00FB35A2"/>
    <w:rsid w:val="00FB3617"/>
    <w:rsid w:val="00FB361D"/>
    <w:rsid w:val="00FB3621"/>
    <w:rsid w:val="00FB3653"/>
    <w:rsid w:val="00FB3673"/>
    <w:rsid w:val="00FB36AE"/>
    <w:rsid w:val="00FB3834"/>
    <w:rsid w:val="00FB3861"/>
    <w:rsid w:val="00FB38FA"/>
    <w:rsid w:val="00FB391D"/>
    <w:rsid w:val="00FB3992"/>
    <w:rsid w:val="00FB39B9"/>
    <w:rsid w:val="00FB39EF"/>
    <w:rsid w:val="00FB39F6"/>
    <w:rsid w:val="00FB3A23"/>
    <w:rsid w:val="00FB3A46"/>
    <w:rsid w:val="00FB3A68"/>
    <w:rsid w:val="00FB3A9B"/>
    <w:rsid w:val="00FB3AB5"/>
    <w:rsid w:val="00FB3ABE"/>
    <w:rsid w:val="00FB3B1A"/>
    <w:rsid w:val="00FB3B42"/>
    <w:rsid w:val="00FB3B5A"/>
    <w:rsid w:val="00FB3BF5"/>
    <w:rsid w:val="00FB3D0B"/>
    <w:rsid w:val="00FB3D4F"/>
    <w:rsid w:val="00FB3DA1"/>
    <w:rsid w:val="00FB3DA6"/>
    <w:rsid w:val="00FB3E38"/>
    <w:rsid w:val="00FB3E48"/>
    <w:rsid w:val="00FB3E4F"/>
    <w:rsid w:val="00FB3E52"/>
    <w:rsid w:val="00FB3E9E"/>
    <w:rsid w:val="00FB3F32"/>
    <w:rsid w:val="00FB3F45"/>
    <w:rsid w:val="00FB3FC2"/>
    <w:rsid w:val="00FB3FFF"/>
    <w:rsid w:val="00FB4060"/>
    <w:rsid w:val="00FB4067"/>
    <w:rsid w:val="00FB407D"/>
    <w:rsid w:val="00FB40FC"/>
    <w:rsid w:val="00FB4162"/>
    <w:rsid w:val="00FB41EE"/>
    <w:rsid w:val="00FB42B2"/>
    <w:rsid w:val="00FB42C6"/>
    <w:rsid w:val="00FB42D9"/>
    <w:rsid w:val="00FB4314"/>
    <w:rsid w:val="00FB431F"/>
    <w:rsid w:val="00FB4364"/>
    <w:rsid w:val="00FB439D"/>
    <w:rsid w:val="00FB43B4"/>
    <w:rsid w:val="00FB4482"/>
    <w:rsid w:val="00FB4492"/>
    <w:rsid w:val="00FB44FF"/>
    <w:rsid w:val="00FB4501"/>
    <w:rsid w:val="00FB4672"/>
    <w:rsid w:val="00FB468D"/>
    <w:rsid w:val="00FB478F"/>
    <w:rsid w:val="00FB4846"/>
    <w:rsid w:val="00FB4868"/>
    <w:rsid w:val="00FB48C2"/>
    <w:rsid w:val="00FB4905"/>
    <w:rsid w:val="00FB4A16"/>
    <w:rsid w:val="00FB4A63"/>
    <w:rsid w:val="00FB4A83"/>
    <w:rsid w:val="00FB4A8B"/>
    <w:rsid w:val="00FB4AD2"/>
    <w:rsid w:val="00FB4AD4"/>
    <w:rsid w:val="00FB4B20"/>
    <w:rsid w:val="00FB4B3E"/>
    <w:rsid w:val="00FB4B57"/>
    <w:rsid w:val="00FB4B58"/>
    <w:rsid w:val="00FB4B92"/>
    <w:rsid w:val="00FB4BA7"/>
    <w:rsid w:val="00FB4BCF"/>
    <w:rsid w:val="00FB4C03"/>
    <w:rsid w:val="00FB4C9C"/>
    <w:rsid w:val="00FB4CDC"/>
    <w:rsid w:val="00FB4D07"/>
    <w:rsid w:val="00FB4D0A"/>
    <w:rsid w:val="00FB4D29"/>
    <w:rsid w:val="00FB4DB9"/>
    <w:rsid w:val="00FB4EA0"/>
    <w:rsid w:val="00FB4EAD"/>
    <w:rsid w:val="00FB4EB6"/>
    <w:rsid w:val="00FB4EFE"/>
    <w:rsid w:val="00FB4F4D"/>
    <w:rsid w:val="00FB4F5B"/>
    <w:rsid w:val="00FB4FB9"/>
    <w:rsid w:val="00FB4FC8"/>
    <w:rsid w:val="00FB4FE0"/>
    <w:rsid w:val="00FB5025"/>
    <w:rsid w:val="00FB50A6"/>
    <w:rsid w:val="00FB50D3"/>
    <w:rsid w:val="00FB512E"/>
    <w:rsid w:val="00FB51C5"/>
    <w:rsid w:val="00FB51DB"/>
    <w:rsid w:val="00FB51F3"/>
    <w:rsid w:val="00FB520F"/>
    <w:rsid w:val="00FB5256"/>
    <w:rsid w:val="00FB525B"/>
    <w:rsid w:val="00FB5285"/>
    <w:rsid w:val="00FB529E"/>
    <w:rsid w:val="00FB52E6"/>
    <w:rsid w:val="00FB52ED"/>
    <w:rsid w:val="00FB5328"/>
    <w:rsid w:val="00FB534A"/>
    <w:rsid w:val="00FB53AC"/>
    <w:rsid w:val="00FB53B3"/>
    <w:rsid w:val="00FB53F2"/>
    <w:rsid w:val="00FB5442"/>
    <w:rsid w:val="00FB5487"/>
    <w:rsid w:val="00FB5496"/>
    <w:rsid w:val="00FB5594"/>
    <w:rsid w:val="00FB55FC"/>
    <w:rsid w:val="00FB563C"/>
    <w:rsid w:val="00FB56AD"/>
    <w:rsid w:val="00FB56C9"/>
    <w:rsid w:val="00FB56F9"/>
    <w:rsid w:val="00FB5705"/>
    <w:rsid w:val="00FB572E"/>
    <w:rsid w:val="00FB5746"/>
    <w:rsid w:val="00FB588E"/>
    <w:rsid w:val="00FB5895"/>
    <w:rsid w:val="00FB58A4"/>
    <w:rsid w:val="00FB58B0"/>
    <w:rsid w:val="00FB58D9"/>
    <w:rsid w:val="00FB598D"/>
    <w:rsid w:val="00FB5A84"/>
    <w:rsid w:val="00FB5AA2"/>
    <w:rsid w:val="00FB5AE0"/>
    <w:rsid w:val="00FB5B16"/>
    <w:rsid w:val="00FB5C98"/>
    <w:rsid w:val="00FB5D41"/>
    <w:rsid w:val="00FB5D77"/>
    <w:rsid w:val="00FB5D83"/>
    <w:rsid w:val="00FB5D9B"/>
    <w:rsid w:val="00FB5DD6"/>
    <w:rsid w:val="00FB5DDC"/>
    <w:rsid w:val="00FB5E05"/>
    <w:rsid w:val="00FB5E58"/>
    <w:rsid w:val="00FB5EB4"/>
    <w:rsid w:val="00FB5F06"/>
    <w:rsid w:val="00FB5F26"/>
    <w:rsid w:val="00FB5F35"/>
    <w:rsid w:val="00FB5F56"/>
    <w:rsid w:val="00FB5FAA"/>
    <w:rsid w:val="00FB5FD1"/>
    <w:rsid w:val="00FB5FD6"/>
    <w:rsid w:val="00FB5FEE"/>
    <w:rsid w:val="00FB6003"/>
    <w:rsid w:val="00FB6021"/>
    <w:rsid w:val="00FB603E"/>
    <w:rsid w:val="00FB604F"/>
    <w:rsid w:val="00FB6067"/>
    <w:rsid w:val="00FB60A1"/>
    <w:rsid w:val="00FB60E7"/>
    <w:rsid w:val="00FB60EC"/>
    <w:rsid w:val="00FB610F"/>
    <w:rsid w:val="00FB6158"/>
    <w:rsid w:val="00FB61E4"/>
    <w:rsid w:val="00FB624C"/>
    <w:rsid w:val="00FB6251"/>
    <w:rsid w:val="00FB626F"/>
    <w:rsid w:val="00FB62A2"/>
    <w:rsid w:val="00FB62CB"/>
    <w:rsid w:val="00FB635C"/>
    <w:rsid w:val="00FB63A0"/>
    <w:rsid w:val="00FB6404"/>
    <w:rsid w:val="00FB6406"/>
    <w:rsid w:val="00FB641A"/>
    <w:rsid w:val="00FB641E"/>
    <w:rsid w:val="00FB6457"/>
    <w:rsid w:val="00FB64D1"/>
    <w:rsid w:val="00FB655E"/>
    <w:rsid w:val="00FB65A5"/>
    <w:rsid w:val="00FB65BF"/>
    <w:rsid w:val="00FB65CE"/>
    <w:rsid w:val="00FB6606"/>
    <w:rsid w:val="00FB660D"/>
    <w:rsid w:val="00FB6617"/>
    <w:rsid w:val="00FB6636"/>
    <w:rsid w:val="00FB6645"/>
    <w:rsid w:val="00FB664E"/>
    <w:rsid w:val="00FB66C8"/>
    <w:rsid w:val="00FB66D1"/>
    <w:rsid w:val="00FB6705"/>
    <w:rsid w:val="00FB6713"/>
    <w:rsid w:val="00FB671D"/>
    <w:rsid w:val="00FB6728"/>
    <w:rsid w:val="00FB6732"/>
    <w:rsid w:val="00FB679B"/>
    <w:rsid w:val="00FB67C3"/>
    <w:rsid w:val="00FB67F3"/>
    <w:rsid w:val="00FB6991"/>
    <w:rsid w:val="00FB6A21"/>
    <w:rsid w:val="00FB6A37"/>
    <w:rsid w:val="00FB6A43"/>
    <w:rsid w:val="00FB6AAE"/>
    <w:rsid w:val="00FB6B7A"/>
    <w:rsid w:val="00FB6BA3"/>
    <w:rsid w:val="00FB6BAE"/>
    <w:rsid w:val="00FB6BBC"/>
    <w:rsid w:val="00FB6BF3"/>
    <w:rsid w:val="00FB6C51"/>
    <w:rsid w:val="00FB6C7D"/>
    <w:rsid w:val="00FB6CDF"/>
    <w:rsid w:val="00FB6CF2"/>
    <w:rsid w:val="00FB6D90"/>
    <w:rsid w:val="00FB6DA0"/>
    <w:rsid w:val="00FB6DA9"/>
    <w:rsid w:val="00FB6DF6"/>
    <w:rsid w:val="00FB6E53"/>
    <w:rsid w:val="00FB6E8C"/>
    <w:rsid w:val="00FB6ED5"/>
    <w:rsid w:val="00FB6F2E"/>
    <w:rsid w:val="00FB6F8E"/>
    <w:rsid w:val="00FB6F9C"/>
    <w:rsid w:val="00FB6FBD"/>
    <w:rsid w:val="00FB6FFF"/>
    <w:rsid w:val="00FB7042"/>
    <w:rsid w:val="00FB70E1"/>
    <w:rsid w:val="00FB70E7"/>
    <w:rsid w:val="00FB7122"/>
    <w:rsid w:val="00FB7139"/>
    <w:rsid w:val="00FB7167"/>
    <w:rsid w:val="00FB719E"/>
    <w:rsid w:val="00FB7219"/>
    <w:rsid w:val="00FB723A"/>
    <w:rsid w:val="00FB72A9"/>
    <w:rsid w:val="00FB72EE"/>
    <w:rsid w:val="00FB7344"/>
    <w:rsid w:val="00FB73A0"/>
    <w:rsid w:val="00FB73D2"/>
    <w:rsid w:val="00FB73D8"/>
    <w:rsid w:val="00FB745C"/>
    <w:rsid w:val="00FB7471"/>
    <w:rsid w:val="00FB74A7"/>
    <w:rsid w:val="00FB74DE"/>
    <w:rsid w:val="00FB7595"/>
    <w:rsid w:val="00FB7619"/>
    <w:rsid w:val="00FB7660"/>
    <w:rsid w:val="00FB772F"/>
    <w:rsid w:val="00FB7744"/>
    <w:rsid w:val="00FB7771"/>
    <w:rsid w:val="00FB7796"/>
    <w:rsid w:val="00FB77B0"/>
    <w:rsid w:val="00FB77B5"/>
    <w:rsid w:val="00FB77E3"/>
    <w:rsid w:val="00FB78C2"/>
    <w:rsid w:val="00FB78DB"/>
    <w:rsid w:val="00FB7901"/>
    <w:rsid w:val="00FB799B"/>
    <w:rsid w:val="00FB799E"/>
    <w:rsid w:val="00FB79F2"/>
    <w:rsid w:val="00FB7A2C"/>
    <w:rsid w:val="00FB7A66"/>
    <w:rsid w:val="00FB7ADC"/>
    <w:rsid w:val="00FB7BF1"/>
    <w:rsid w:val="00FB7BF9"/>
    <w:rsid w:val="00FB7C01"/>
    <w:rsid w:val="00FB7C9D"/>
    <w:rsid w:val="00FB7CA3"/>
    <w:rsid w:val="00FB7CDB"/>
    <w:rsid w:val="00FB7D9F"/>
    <w:rsid w:val="00FB7DB0"/>
    <w:rsid w:val="00FB7DB6"/>
    <w:rsid w:val="00FB7DB8"/>
    <w:rsid w:val="00FB7E33"/>
    <w:rsid w:val="00FB7E38"/>
    <w:rsid w:val="00FB7EF4"/>
    <w:rsid w:val="00FC0038"/>
    <w:rsid w:val="00FC0048"/>
    <w:rsid w:val="00FC0079"/>
    <w:rsid w:val="00FC00F8"/>
    <w:rsid w:val="00FC0126"/>
    <w:rsid w:val="00FC017B"/>
    <w:rsid w:val="00FC024C"/>
    <w:rsid w:val="00FC0260"/>
    <w:rsid w:val="00FC0266"/>
    <w:rsid w:val="00FC026F"/>
    <w:rsid w:val="00FC02D0"/>
    <w:rsid w:val="00FC02D8"/>
    <w:rsid w:val="00FC030E"/>
    <w:rsid w:val="00FC03B8"/>
    <w:rsid w:val="00FC03C4"/>
    <w:rsid w:val="00FC03D2"/>
    <w:rsid w:val="00FC03FE"/>
    <w:rsid w:val="00FC0400"/>
    <w:rsid w:val="00FC0415"/>
    <w:rsid w:val="00FC0425"/>
    <w:rsid w:val="00FC0478"/>
    <w:rsid w:val="00FC047D"/>
    <w:rsid w:val="00FC0483"/>
    <w:rsid w:val="00FC0492"/>
    <w:rsid w:val="00FC04AE"/>
    <w:rsid w:val="00FC0659"/>
    <w:rsid w:val="00FC0691"/>
    <w:rsid w:val="00FC06B4"/>
    <w:rsid w:val="00FC0779"/>
    <w:rsid w:val="00FC07B4"/>
    <w:rsid w:val="00FC07BC"/>
    <w:rsid w:val="00FC07DB"/>
    <w:rsid w:val="00FC07FE"/>
    <w:rsid w:val="00FC080C"/>
    <w:rsid w:val="00FC0882"/>
    <w:rsid w:val="00FC08D3"/>
    <w:rsid w:val="00FC092B"/>
    <w:rsid w:val="00FC0937"/>
    <w:rsid w:val="00FC093A"/>
    <w:rsid w:val="00FC093E"/>
    <w:rsid w:val="00FC094D"/>
    <w:rsid w:val="00FC09A5"/>
    <w:rsid w:val="00FC09DA"/>
    <w:rsid w:val="00FC0A2A"/>
    <w:rsid w:val="00FC0A61"/>
    <w:rsid w:val="00FC0A8B"/>
    <w:rsid w:val="00FC0ABC"/>
    <w:rsid w:val="00FC0AE7"/>
    <w:rsid w:val="00FC0B57"/>
    <w:rsid w:val="00FC0B63"/>
    <w:rsid w:val="00FC0BD0"/>
    <w:rsid w:val="00FC0C04"/>
    <w:rsid w:val="00FC0C13"/>
    <w:rsid w:val="00FC0C18"/>
    <w:rsid w:val="00FC0C58"/>
    <w:rsid w:val="00FC0C66"/>
    <w:rsid w:val="00FC0D7C"/>
    <w:rsid w:val="00FC0DA7"/>
    <w:rsid w:val="00FC0DB0"/>
    <w:rsid w:val="00FC0DB1"/>
    <w:rsid w:val="00FC0DBB"/>
    <w:rsid w:val="00FC0E65"/>
    <w:rsid w:val="00FC0E89"/>
    <w:rsid w:val="00FC0EAD"/>
    <w:rsid w:val="00FC0F03"/>
    <w:rsid w:val="00FC0F3B"/>
    <w:rsid w:val="00FC1010"/>
    <w:rsid w:val="00FC10AE"/>
    <w:rsid w:val="00FC10C9"/>
    <w:rsid w:val="00FC10CA"/>
    <w:rsid w:val="00FC10E8"/>
    <w:rsid w:val="00FC112D"/>
    <w:rsid w:val="00FC1152"/>
    <w:rsid w:val="00FC1166"/>
    <w:rsid w:val="00FC116A"/>
    <w:rsid w:val="00FC119F"/>
    <w:rsid w:val="00FC11DA"/>
    <w:rsid w:val="00FC121E"/>
    <w:rsid w:val="00FC125C"/>
    <w:rsid w:val="00FC1271"/>
    <w:rsid w:val="00FC12C8"/>
    <w:rsid w:val="00FC1307"/>
    <w:rsid w:val="00FC1327"/>
    <w:rsid w:val="00FC1352"/>
    <w:rsid w:val="00FC1382"/>
    <w:rsid w:val="00FC13B2"/>
    <w:rsid w:val="00FC13BF"/>
    <w:rsid w:val="00FC13C1"/>
    <w:rsid w:val="00FC1405"/>
    <w:rsid w:val="00FC1461"/>
    <w:rsid w:val="00FC14E0"/>
    <w:rsid w:val="00FC15F8"/>
    <w:rsid w:val="00FC1634"/>
    <w:rsid w:val="00FC169E"/>
    <w:rsid w:val="00FC1778"/>
    <w:rsid w:val="00FC17B2"/>
    <w:rsid w:val="00FC17D3"/>
    <w:rsid w:val="00FC1804"/>
    <w:rsid w:val="00FC180E"/>
    <w:rsid w:val="00FC181B"/>
    <w:rsid w:val="00FC1829"/>
    <w:rsid w:val="00FC188D"/>
    <w:rsid w:val="00FC18F6"/>
    <w:rsid w:val="00FC1993"/>
    <w:rsid w:val="00FC19A7"/>
    <w:rsid w:val="00FC19B4"/>
    <w:rsid w:val="00FC1A79"/>
    <w:rsid w:val="00FC1A7A"/>
    <w:rsid w:val="00FC1A96"/>
    <w:rsid w:val="00FC1A9C"/>
    <w:rsid w:val="00FC1AA7"/>
    <w:rsid w:val="00FC1AB4"/>
    <w:rsid w:val="00FC1ACE"/>
    <w:rsid w:val="00FC1B55"/>
    <w:rsid w:val="00FC1BAA"/>
    <w:rsid w:val="00FC1C10"/>
    <w:rsid w:val="00FC1C5A"/>
    <w:rsid w:val="00FC1C5C"/>
    <w:rsid w:val="00FC1CD3"/>
    <w:rsid w:val="00FC1D06"/>
    <w:rsid w:val="00FC1D08"/>
    <w:rsid w:val="00FC1D25"/>
    <w:rsid w:val="00FC1D52"/>
    <w:rsid w:val="00FC1DB5"/>
    <w:rsid w:val="00FC1DFA"/>
    <w:rsid w:val="00FC1E41"/>
    <w:rsid w:val="00FC1E4A"/>
    <w:rsid w:val="00FC1F02"/>
    <w:rsid w:val="00FC1F06"/>
    <w:rsid w:val="00FC1F12"/>
    <w:rsid w:val="00FC1F38"/>
    <w:rsid w:val="00FC1F5C"/>
    <w:rsid w:val="00FC1F7E"/>
    <w:rsid w:val="00FC1F89"/>
    <w:rsid w:val="00FC1F96"/>
    <w:rsid w:val="00FC1F9D"/>
    <w:rsid w:val="00FC1FA5"/>
    <w:rsid w:val="00FC1FC3"/>
    <w:rsid w:val="00FC1FFC"/>
    <w:rsid w:val="00FC209C"/>
    <w:rsid w:val="00FC20CA"/>
    <w:rsid w:val="00FC20D8"/>
    <w:rsid w:val="00FC2168"/>
    <w:rsid w:val="00FC2278"/>
    <w:rsid w:val="00FC227D"/>
    <w:rsid w:val="00FC22F1"/>
    <w:rsid w:val="00FC2354"/>
    <w:rsid w:val="00FC23FB"/>
    <w:rsid w:val="00FC2410"/>
    <w:rsid w:val="00FC2462"/>
    <w:rsid w:val="00FC253A"/>
    <w:rsid w:val="00FC2557"/>
    <w:rsid w:val="00FC257A"/>
    <w:rsid w:val="00FC25A0"/>
    <w:rsid w:val="00FC25BB"/>
    <w:rsid w:val="00FC25E4"/>
    <w:rsid w:val="00FC261A"/>
    <w:rsid w:val="00FC2657"/>
    <w:rsid w:val="00FC267A"/>
    <w:rsid w:val="00FC2693"/>
    <w:rsid w:val="00FC274A"/>
    <w:rsid w:val="00FC2807"/>
    <w:rsid w:val="00FC2839"/>
    <w:rsid w:val="00FC288D"/>
    <w:rsid w:val="00FC28D4"/>
    <w:rsid w:val="00FC28E1"/>
    <w:rsid w:val="00FC2988"/>
    <w:rsid w:val="00FC29D2"/>
    <w:rsid w:val="00FC2A95"/>
    <w:rsid w:val="00FC2AC9"/>
    <w:rsid w:val="00FC2BE7"/>
    <w:rsid w:val="00FC2BEF"/>
    <w:rsid w:val="00FC2C27"/>
    <w:rsid w:val="00FC2CA2"/>
    <w:rsid w:val="00FC2CB2"/>
    <w:rsid w:val="00FC2CDE"/>
    <w:rsid w:val="00FC2D1B"/>
    <w:rsid w:val="00FC2D61"/>
    <w:rsid w:val="00FC2DA4"/>
    <w:rsid w:val="00FC2DCA"/>
    <w:rsid w:val="00FC2DD8"/>
    <w:rsid w:val="00FC2DE4"/>
    <w:rsid w:val="00FC2DEF"/>
    <w:rsid w:val="00FC2E7E"/>
    <w:rsid w:val="00FC2E92"/>
    <w:rsid w:val="00FC2EB3"/>
    <w:rsid w:val="00FC2EC0"/>
    <w:rsid w:val="00FC2ED9"/>
    <w:rsid w:val="00FC2EE4"/>
    <w:rsid w:val="00FC2F99"/>
    <w:rsid w:val="00FC2FE7"/>
    <w:rsid w:val="00FC304E"/>
    <w:rsid w:val="00FC3093"/>
    <w:rsid w:val="00FC3139"/>
    <w:rsid w:val="00FC318F"/>
    <w:rsid w:val="00FC31AD"/>
    <w:rsid w:val="00FC31C0"/>
    <w:rsid w:val="00FC31F9"/>
    <w:rsid w:val="00FC320D"/>
    <w:rsid w:val="00FC3263"/>
    <w:rsid w:val="00FC32A2"/>
    <w:rsid w:val="00FC32D7"/>
    <w:rsid w:val="00FC3344"/>
    <w:rsid w:val="00FC3414"/>
    <w:rsid w:val="00FC34D1"/>
    <w:rsid w:val="00FC34DF"/>
    <w:rsid w:val="00FC3543"/>
    <w:rsid w:val="00FC355E"/>
    <w:rsid w:val="00FC357D"/>
    <w:rsid w:val="00FC35E7"/>
    <w:rsid w:val="00FC362A"/>
    <w:rsid w:val="00FC362B"/>
    <w:rsid w:val="00FC369B"/>
    <w:rsid w:val="00FC36B0"/>
    <w:rsid w:val="00FC36DB"/>
    <w:rsid w:val="00FC371B"/>
    <w:rsid w:val="00FC372E"/>
    <w:rsid w:val="00FC373A"/>
    <w:rsid w:val="00FC375D"/>
    <w:rsid w:val="00FC37DC"/>
    <w:rsid w:val="00FC3819"/>
    <w:rsid w:val="00FC381B"/>
    <w:rsid w:val="00FC38AB"/>
    <w:rsid w:val="00FC38B5"/>
    <w:rsid w:val="00FC38CB"/>
    <w:rsid w:val="00FC3902"/>
    <w:rsid w:val="00FC390D"/>
    <w:rsid w:val="00FC394E"/>
    <w:rsid w:val="00FC3969"/>
    <w:rsid w:val="00FC3974"/>
    <w:rsid w:val="00FC3991"/>
    <w:rsid w:val="00FC3A54"/>
    <w:rsid w:val="00FC3A9B"/>
    <w:rsid w:val="00FC3AE0"/>
    <w:rsid w:val="00FC3B48"/>
    <w:rsid w:val="00FC3BC1"/>
    <w:rsid w:val="00FC3BDA"/>
    <w:rsid w:val="00FC3BFD"/>
    <w:rsid w:val="00FC3C3B"/>
    <w:rsid w:val="00FC3C52"/>
    <w:rsid w:val="00FC3C6A"/>
    <w:rsid w:val="00FC3C70"/>
    <w:rsid w:val="00FC3C80"/>
    <w:rsid w:val="00FC3C85"/>
    <w:rsid w:val="00FC3C96"/>
    <w:rsid w:val="00FC3CE3"/>
    <w:rsid w:val="00FC3D5F"/>
    <w:rsid w:val="00FC3DA5"/>
    <w:rsid w:val="00FC3DBB"/>
    <w:rsid w:val="00FC3E12"/>
    <w:rsid w:val="00FC3E79"/>
    <w:rsid w:val="00FC3E8A"/>
    <w:rsid w:val="00FC3EF0"/>
    <w:rsid w:val="00FC3F53"/>
    <w:rsid w:val="00FC3FC0"/>
    <w:rsid w:val="00FC4019"/>
    <w:rsid w:val="00FC4076"/>
    <w:rsid w:val="00FC40B9"/>
    <w:rsid w:val="00FC40BE"/>
    <w:rsid w:val="00FC4106"/>
    <w:rsid w:val="00FC410B"/>
    <w:rsid w:val="00FC4137"/>
    <w:rsid w:val="00FC4184"/>
    <w:rsid w:val="00FC42A0"/>
    <w:rsid w:val="00FC42A2"/>
    <w:rsid w:val="00FC42D3"/>
    <w:rsid w:val="00FC4320"/>
    <w:rsid w:val="00FC4343"/>
    <w:rsid w:val="00FC4377"/>
    <w:rsid w:val="00FC4397"/>
    <w:rsid w:val="00FC43A5"/>
    <w:rsid w:val="00FC43C7"/>
    <w:rsid w:val="00FC43CB"/>
    <w:rsid w:val="00FC43D7"/>
    <w:rsid w:val="00FC43FE"/>
    <w:rsid w:val="00FC44B2"/>
    <w:rsid w:val="00FC44B7"/>
    <w:rsid w:val="00FC450E"/>
    <w:rsid w:val="00FC457E"/>
    <w:rsid w:val="00FC458A"/>
    <w:rsid w:val="00FC45CB"/>
    <w:rsid w:val="00FC4625"/>
    <w:rsid w:val="00FC4661"/>
    <w:rsid w:val="00FC4696"/>
    <w:rsid w:val="00FC47AF"/>
    <w:rsid w:val="00FC47BC"/>
    <w:rsid w:val="00FC47F1"/>
    <w:rsid w:val="00FC4823"/>
    <w:rsid w:val="00FC483B"/>
    <w:rsid w:val="00FC4870"/>
    <w:rsid w:val="00FC487C"/>
    <w:rsid w:val="00FC48A7"/>
    <w:rsid w:val="00FC48AF"/>
    <w:rsid w:val="00FC4920"/>
    <w:rsid w:val="00FC495D"/>
    <w:rsid w:val="00FC4A4D"/>
    <w:rsid w:val="00FC4B8C"/>
    <w:rsid w:val="00FC4BAF"/>
    <w:rsid w:val="00FC4BBE"/>
    <w:rsid w:val="00FC4BEC"/>
    <w:rsid w:val="00FC4C03"/>
    <w:rsid w:val="00FC4C3F"/>
    <w:rsid w:val="00FC4C9E"/>
    <w:rsid w:val="00FC4CE2"/>
    <w:rsid w:val="00FC4CF8"/>
    <w:rsid w:val="00FC4D51"/>
    <w:rsid w:val="00FC4D6A"/>
    <w:rsid w:val="00FC4DC7"/>
    <w:rsid w:val="00FC4DD8"/>
    <w:rsid w:val="00FC4DFB"/>
    <w:rsid w:val="00FC4E06"/>
    <w:rsid w:val="00FC4E46"/>
    <w:rsid w:val="00FC4E4A"/>
    <w:rsid w:val="00FC4E9B"/>
    <w:rsid w:val="00FC4F12"/>
    <w:rsid w:val="00FC4F19"/>
    <w:rsid w:val="00FC4F5F"/>
    <w:rsid w:val="00FC4FE0"/>
    <w:rsid w:val="00FC4FF7"/>
    <w:rsid w:val="00FC5059"/>
    <w:rsid w:val="00FC50A6"/>
    <w:rsid w:val="00FC514D"/>
    <w:rsid w:val="00FC5165"/>
    <w:rsid w:val="00FC5194"/>
    <w:rsid w:val="00FC51B0"/>
    <w:rsid w:val="00FC51E8"/>
    <w:rsid w:val="00FC5230"/>
    <w:rsid w:val="00FC523F"/>
    <w:rsid w:val="00FC5244"/>
    <w:rsid w:val="00FC53E0"/>
    <w:rsid w:val="00FC544C"/>
    <w:rsid w:val="00FC5450"/>
    <w:rsid w:val="00FC5458"/>
    <w:rsid w:val="00FC54D6"/>
    <w:rsid w:val="00FC54F4"/>
    <w:rsid w:val="00FC552D"/>
    <w:rsid w:val="00FC553D"/>
    <w:rsid w:val="00FC5575"/>
    <w:rsid w:val="00FC55F7"/>
    <w:rsid w:val="00FC55F8"/>
    <w:rsid w:val="00FC568B"/>
    <w:rsid w:val="00FC5726"/>
    <w:rsid w:val="00FC5766"/>
    <w:rsid w:val="00FC5774"/>
    <w:rsid w:val="00FC578D"/>
    <w:rsid w:val="00FC5799"/>
    <w:rsid w:val="00FC5831"/>
    <w:rsid w:val="00FC5897"/>
    <w:rsid w:val="00FC58B6"/>
    <w:rsid w:val="00FC58BD"/>
    <w:rsid w:val="00FC593E"/>
    <w:rsid w:val="00FC5952"/>
    <w:rsid w:val="00FC59F4"/>
    <w:rsid w:val="00FC5A17"/>
    <w:rsid w:val="00FC5A2A"/>
    <w:rsid w:val="00FC5A95"/>
    <w:rsid w:val="00FC5AB8"/>
    <w:rsid w:val="00FC5AC0"/>
    <w:rsid w:val="00FC5ACF"/>
    <w:rsid w:val="00FC5B43"/>
    <w:rsid w:val="00FC5B54"/>
    <w:rsid w:val="00FC5B87"/>
    <w:rsid w:val="00FC5BEC"/>
    <w:rsid w:val="00FC5C9B"/>
    <w:rsid w:val="00FC5D6E"/>
    <w:rsid w:val="00FC5DBD"/>
    <w:rsid w:val="00FC5DCA"/>
    <w:rsid w:val="00FC5DDA"/>
    <w:rsid w:val="00FC5DEF"/>
    <w:rsid w:val="00FC5E00"/>
    <w:rsid w:val="00FC5E0A"/>
    <w:rsid w:val="00FC5EBE"/>
    <w:rsid w:val="00FC5ED0"/>
    <w:rsid w:val="00FC5F02"/>
    <w:rsid w:val="00FC5F1D"/>
    <w:rsid w:val="00FC5FF2"/>
    <w:rsid w:val="00FC5FF4"/>
    <w:rsid w:val="00FC6059"/>
    <w:rsid w:val="00FC60F4"/>
    <w:rsid w:val="00FC60FB"/>
    <w:rsid w:val="00FC6124"/>
    <w:rsid w:val="00FC6131"/>
    <w:rsid w:val="00FC615B"/>
    <w:rsid w:val="00FC61B9"/>
    <w:rsid w:val="00FC61BC"/>
    <w:rsid w:val="00FC6201"/>
    <w:rsid w:val="00FC6209"/>
    <w:rsid w:val="00FC6229"/>
    <w:rsid w:val="00FC6238"/>
    <w:rsid w:val="00FC624F"/>
    <w:rsid w:val="00FC6280"/>
    <w:rsid w:val="00FC62E2"/>
    <w:rsid w:val="00FC630B"/>
    <w:rsid w:val="00FC6331"/>
    <w:rsid w:val="00FC6338"/>
    <w:rsid w:val="00FC6356"/>
    <w:rsid w:val="00FC6391"/>
    <w:rsid w:val="00FC63C1"/>
    <w:rsid w:val="00FC640E"/>
    <w:rsid w:val="00FC6424"/>
    <w:rsid w:val="00FC6473"/>
    <w:rsid w:val="00FC647D"/>
    <w:rsid w:val="00FC6483"/>
    <w:rsid w:val="00FC64BD"/>
    <w:rsid w:val="00FC64CF"/>
    <w:rsid w:val="00FC653A"/>
    <w:rsid w:val="00FC6549"/>
    <w:rsid w:val="00FC655A"/>
    <w:rsid w:val="00FC6570"/>
    <w:rsid w:val="00FC6575"/>
    <w:rsid w:val="00FC65CA"/>
    <w:rsid w:val="00FC660F"/>
    <w:rsid w:val="00FC6610"/>
    <w:rsid w:val="00FC6611"/>
    <w:rsid w:val="00FC665D"/>
    <w:rsid w:val="00FC6668"/>
    <w:rsid w:val="00FC6747"/>
    <w:rsid w:val="00FC6769"/>
    <w:rsid w:val="00FC67AD"/>
    <w:rsid w:val="00FC67EB"/>
    <w:rsid w:val="00FC685B"/>
    <w:rsid w:val="00FC6867"/>
    <w:rsid w:val="00FC68AC"/>
    <w:rsid w:val="00FC68B9"/>
    <w:rsid w:val="00FC68E3"/>
    <w:rsid w:val="00FC68FC"/>
    <w:rsid w:val="00FC6929"/>
    <w:rsid w:val="00FC692F"/>
    <w:rsid w:val="00FC693F"/>
    <w:rsid w:val="00FC69A8"/>
    <w:rsid w:val="00FC69DE"/>
    <w:rsid w:val="00FC6B14"/>
    <w:rsid w:val="00FC6B9B"/>
    <w:rsid w:val="00FC6BFA"/>
    <w:rsid w:val="00FC6C24"/>
    <w:rsid w:val="00FC6C79"/>
    <w:rsid w:val="00FC6CA8"/>
    <w:rsid w:val="00FC6CD1"/>
    <w:rsid w:val="00FC6CD2"/>
    <w:rsid w:val="00FC6CE4"/>
    <w:rsid w:val="00FC6D05"/>
    <w:rsid w:val="00FC6D2D"/>
    <w:rsid w:val="00FC6DE9"/>
    <w:rsid w:val="00FC6E8A"/>
    <w:rsid w:val="00FC6EA9"/>
    <w:rsid w:val="00FC6EF3"/>
    <w:rsid w:val="00FC6F02"/>
    <w:rsid w:val="00FC6F23"/>
    <w:rsid w:val="00FC6F53"/>
    <w:rsid w:val="00FC6FA9"/>
    <w:rsid w:val="00FC6FDD"/>
    <w:rsid w:val="00FC7039"/>
    <w:rsid w:val="00FC7042"/>
    <w:rsid w:val="00FC7157"/>
    <w:rsid w:val="00FC717A"/>
    <w:rsid w:val="00FC718F"/>
    <w:rsid w:val="00FC719A"/>
    <w:rsid w:val="00FC719B"/>
    <w:rsid w:val="00FC71D5"/>
    <w:rsid w:val="00FC7250"/>
    <w:rsid w:val="00FC726E"/>
    <w:rsid w:val="00FC728D"/>
    <w:rsid w:val="00FC72DF"/>
    <w:rsid w:val="00FC735E"/>
    <w:rsid w:val="00FC73A5"/>
    <w:rsid w:val="00FC73AB"/>
    <w:rsid w:val="00FC73F9"/>
    <w:rsid w:val="00FC7410"/>
    <w:rsid w:val="00FC745F"/>
    <w:rsid w:val="00FC74CB"/>
    <w:rsid w:val="00FC74F4"/>
    <w:rsid w:val="00FC7563"/>
    <w:rsid w:val="00FC75A8"/>
    <w:rsid w:val="00FC75BB"/>
    <w:rsid w:val="00FC75D9"/>
    <w:rsid w:val="00FC75F7"/>
    <w:rsid w:val="00FC75F8"/>
    <w:rsid w:val="00FC75FA"/>
    <w:rsid w:val="00FC7642"/>
    <w:rsid w:val="00FC765E"/>
    <w:rsid w:val="00FC7689"/>
    <w:rsid w:val="00FC76BB"/>
    <w:rsid w:val="00FC76CC"/>
    <w:rsid w:val="00FC7705"/>
    <w:rsid w:val="00FC775F"/>
    <w:rsid w:val="00FC7772"/>
    <w:rsid w:val="00FC7804"/>
    <w:rsid w:val="00FC7820"/>
    <w:rsid w:val="00FC7866"/>
    <w:rsid w:val="00FC7896"/>
    <w:rsid w:val="00FC78A8"/>
    <w:rsid w:val="00FC78BF"/>
    <w:rsid w:val="00FC7914"/>
    <w:rsid w:val="00FC7923"/>
    <w:rsid w:val="00FC79C9"/>
    <w:rsid w:val="00FC7A05"/>
    <w:rsid w:val="00FC7A61"/>
    <w:rsid w:val="00FC7A72"/>
    <w:rsid w:val="00FC7A74"/>
    <w:rsid w:val="00FC7AC9"/>
    <w:rsid w:val="00FC7B1B"/>
    <w:rsid w:val="00FC7B66"/>
    <w:rsid w:val="00FC7B88"/>
    <w:rsid w:val="00FC7BDD"/>
    <w:rsid w:val="00FC7BE7"/>
    <w:rsid w:val="00FC7C17"/>
    <w:rsid w:val="00FC7C32"/>
    <w:rsid w:val="00FC7C3F"/>
    <w:rsid w:val="00FC7C66"/>
    <w:rsid w:val="00FC7C98"/>
    <w:rsid w:val="00FC7CBF"/>
    <w:rsid w:val="00FC7D3F"/>
    <w:rsid w:val="00FC7D48"/>
    <w:rsid w:val="00FC7D7C"/>
    <w:rsid w:val="00FC7D7F"/>
    <w:rsid w:val="00FC7D8D"/>
    <w:rsid w:val="00FC7E08"/>
    <w:rsid w:val="00FC7E2E"/>
    <w:rsid w:val="00FC7E6F"/>
    <w:rsid w:val="00FC7EB8"/>
    <w:rsid w:val="00FC7ECB"/>
    <w:rsid w:val="00FC7ED1"/>
    <w:rsid w:val="00FC7EF3"/>
    <w:rsid w:val="00FC7EF5"/>
    <w:rsid w:val="00FC7F04"/>
    <w:rsid w:val="00FC7F28"/>
    <w:rsid w:val="00FC7FA4"/>
    <w:rsid w:val="00FC7FD7"/>
    <w:rsid w:val="00FC7FFB"/>
    <w:rsid w:val="00FCB064"/>
    <w:rsid w:val="00FCD62D"/>
    <w:rsid w:val="00FD0030"/>
    <w:rsid w:val="00FD0053"/>
    <w:rsid w:val="00FD00B8"/>
    <w:rsid w:val="00FD00EB"/>
    <w:rsid w:val="00FD010F"/>
    <w:rsid w:val="00FD0179"/>
    <w:rsid w:val="00FD0187"/>
    <w:rsid w:val="00FD0188"/>
    <w:rsid w:val="00FD01C1"/>
    <w:rsid w:val="00FD01DC"/>
    <w:rsid w:val="00FD01E8"/>
    <w:rsid w:val="00FD0201"/>
    <w:rsid w:val="00FD023A"/>
    <w:rsid w:val="00FD0258"/>
    <w:rsid w:val="00FD02C6"/>
    <w:rsid w:val="00FD02D1"/>
    <w:rsid w:val="00FD02F0"/>
    <w:rsid w:val="00FD0333"/>
    <w:rsid w:val="00FD03D4"/>
    <w:rsid w:val="00FD0418"/>
    <w:rsid w:val="00FD0426"/>
    <w:rsid w:val="00FD0428"/>
    <w:rsid w:val="00FD0465"/>
    <w:rsid w:val="00FD0480"/>
    <w:rsid w:val="00FD04C5"/>
    <w:rsid w:val="00FD04CF"/>
    <w:rsid w:val="00FD056A"/>
    <w:rsid w:val="00FD0584"/>
    <w:rsid w:val="00FD05B2"/>
    <w:rsid w:val="00FD0681"/>
    <w:rsid w:val="00FD0684"/>
    <w:rsid w:val="00FD06AC"/>
    <w:rsid w:val="00FD06B4"/>
    <w:rsid w:val="00FD06EF"/>
    <w:rsid w:val="00FD06FD"/>
    <w:rsid w:val="00FD0733"/>
    <w:rsid w:val="00FD0738"/>
    <w:rsid w:val="00FD074D"/>
    <w:rsid w:val="00FD077B"/>
    <w:rsid w:val="00FD0833"/>
    <w:rsid w:val="00FD0839"/>
    <w:rsid w:val="00FD0852"/>
    <w:rsid w:val="00FD0875"/>
    <w:rsid w:val="00FD0917"/>
    <w:rsid w:val="00FD092B"/>
    <w:rsid w:val="00FD095C"/>
    <w:rsid w:val="00FD09BE"/>
    <w:rsid w:val="00FD09E8"/>
    <w:rsid w:val="00FD09EB"/>
    <w:rsid w:val="00FD0A3E"/>
    <w:rsid w:val="00FD0B52"/>
    <w:rsid w:val="00FD0B83"/>
    <w:rsid w:val="00FD0B89"/>
    <w:rsid w:val="00FD0BAB"/>
    <w:rsid w:val="00FD0CB7"/>
    <w:rsid w:val="00FD0CBB"/>
    <w:rsid w:val="00FD0D06"/>
    <w:rsid w:val="00FD0D3E"/>
    <w:rsid w:val="00FD0D66"/>
    <w:rsid w:val="00FD0D6B"/>
    <w:rsid w:val="00FD0DBB"/>
    <w:rsid w:val="00FD0DBE"/>
    <w:rsid w:val="00FD0E16"/>
    <w:rsid w:val="00FD0EC3"/>
    <w:rsid w:val="00FD0EE7"/>
    <w:rsid w:val="00FD0EF8"/>
    <w:rsid w:val="00FD0F30"/>
    <w:rsid w:val="00FD0F73"/>
    <w:rsid w:val="00FD0FCC"/>
    <w:rsid w:val="00FD0FD6"/>
    <w:rsid w:val="00FD0FFC"/>
    <w:rsid w:val="00FD1028"/>
    <w:rsid w:val="00FD103D"/>
    <w:rsid w:val="00FD1042"/>
    <w:rsid w:val="00FD108C"/>
    <w:rsid w:val="00FD10BE"/>
    <w:rsid w:val="00FD1120"/>
    <w:rsid w:val="00FD1144"/>
    <w:rsid w:val="00FD1168"/>
    <w:rsid w:val="00FD1170"/>
    <w:rsid w:val="00FD123C"/>
    <w:rsid w:val="00FD1260"/>
    <w:rsid w:val="00FD12F9"/>
    <w:rsid w:val="00FD140E"/>
    <w:rsid w:val="00FD1461"/>
    <w:rsid w:val="00FD147B"/>
    <w:rsid w:val="00FD147E"/>
    <w:rsid w:val="00FD14B4"/>
    <w:rsid w:val="00FD1528"/>
    <w:rsid w:val="00FD1544"/>
    <w:rsid w:val="00FD1585"/>
    <w:rsid w:val="00FD15A9"/>
    <w:rsid w:val="00FD15CA"/>
    <w:rsid w:val="00FD15F0"/>
    <w:rsid w:val="00FD165F"/>
    <w:rsid w:val="00FD1674"/>
    <w:rsid w:val="00FD16B2"/>
    <w:rsid w:val="00FD1731"/>
    <w:rsid w:val="00FD176A"/>
    <w:rsid w:val="00FD17CB"/>
    <w:rsid w:val="00FD189C"/>
    <w:rsid w:val="00FD18F0"/>
    <w:rsid w:val="00FD1900"/>
    <w:rsid w:val="00FD19A8"/>
    <w:rsid w:val="00FD19CB"/>
    <w:rsid w:val="00FD19FE"/>
    <w:rsid w:val="00FD1A26"/>
    <w:rsid w:val="00FD1A49"/>
    <w:rsid w:val="00FD1AC6"/>
    <w:rsid w:val="00FD1AC7"/>
    <w:rsid w:val="00FD1ACB"/>
    <w:rsid w:val="00FD1B01"/>
    <w:rsid w:val="00FD1B0E"/>
    <w:rsid w:val="00FD1B2C"/>
    <w:rsid w:val="00FD1B39"/>
    <w:rsid w:val="00FD1BD8"/>
    <w:rsid w:val="00FD1BF0"/>
    <w:rsid w:val="00FD1C3D"/>
    <w:rsid w:val="00FD1CAF"/>
    <w:rsid w:val="00FD1CD3"/>
    <w:rsid w:val="00FD1D08"/>
    <w:rsid w:val="00FD1D1B"/>
    <w:rsid w:val="00FD1D7F"/>
    <w:rsid w:val="00FD1D82"/>
    <w:rsid w:val="00FD1D8C"/>
    <w:rsid w:val="00FD1DC1"/>
    <w:rsid w:val="00FD1DCF"/>
    <w:rsid w:val="00FD1E72"/>
    <w:rsid w:val="00FD1E7B"/>
    <w:rsid w:val="00FD1E81"/>
    <w:rsid w:val="00FD1E90"/>
    <w:rsid w:val="00FD1E9C"/>
    <w:rsid w:val="00FD1EE2"/>
    <w:rsid w:val="00FD1EF4"/>
    <w:rsid w:val="00FD1F4C"/>
    <w:rsid w:val="00FD1F73"/>
    <w:rsid w:val="00FD1FC0"/>
    <w:rsid w:val="00FD1FD0"/>
    <w:rsid w:val="00FD201C"/>
    <w:rsid w:val="00FD2081"/>
    <w:rsid w:val="00FD20A8"/>
    <w:rsid w:val="00FD20AB"/>
    <w:rsid w:val="00FD20F1"/>
    <w:rsid w:val="00FD217C"/>
    <w:rsid w:val="00FD2188"/>
    <w:rsid w:val="00FD2190"/>
    <w:rsid w:val="00FD22A2"/>
    <w:rsid w:val="00FD22C5"/>
    <w:rsid w:val="00FD22E3"/>
    <w:rsid w:val="00FD22EB"/>
    <w:rsid w:val="00FD2379"/>
    <w:rsid w:val="00FD242E"/>
    <w:rsid w:val="00FD2455"/>
    <w:rsid w:val="00FD245A"/>
    <w:rsid w:val="00FD24E2"/>
    <w:rsid w:val="00FD2554"/>
    <w:rsid w:val="00FD25A2"/>
    <w:rsid w:val="00FD25EF"/>
    <w:rsid w:val="00FD25F6"/>
    <w:rsid w:val="00FD2606"/>
    <w:rsid w:val="00FD2613"/>
    <w:rsid w:val="00FD26E6"/>
    <w:rsid w:val="00FD2767"/>
    <w:rsid w:val="00FD276A"/>
    <w:rsid w:val="00FD2786"/>
    <w:rsid w:val="00FD27A0"/>
    <w:rsid w:val="00FD27FD"/>
    <w:rsid w:val="00FD280F"/>
    <w:rsid w:val="00FD283A"/>
    <w:rsid w:val="00FD28BB"/>
    <w:rsid w:val="00FD2918"/>
    <w:rsid w:val="00FD291B"/>
    <w:rsid w:val="00FD2990"/>
    <w:rsid w:val="00FD29E1"/>
    <w:rsid w:val="00FD2A26"/>
    <w:rsid w:val="00FD2AE7"/>
    <w:rsid w:val="00FD2B0F"/>
    <w:rsid w:val="00FD2BA0"/>
    <w:rsid w:val="00FD2BFF"/>
    <w:rsid w:val="00FD2C8F"/>
    <w:rsid w:val="00FD2C9E"/>
    <w:rsid w:val="00FD2CA8"/>
    <w:rsid w:val="00FD2CB4"/>
    <w:rsid w:val="00FD2CB5"/>
    <w:rsid w:val="00FD2CBE"/>
    <w:rsid w:val="00FD2CC9"/>
    <w:rsid w:val="00FD2CDB"/>
    <w:rsid w:val="00FD2CFF"/>
    <w:rsid w:val="00FD2D27"/>
    <w:rsid w:val="00FD2E92"/>
    <w:rsid w:val="00FD2EC5"/>
    <w:rsid w:val="00FD2F58"/>
    <w:rsid w:val="00FD2F95"/>
    <w:rsid w:val="00FD2FA7"/>
    <w:rsid w:val="00FD2FBD"/>
    <w:rsid w:val="00FD2FE3"/>
    <w:rsid w:val="00FD2FFA"/>
    <w:rsid w:val="00FD3064"/>
    <w:rsid w:val="00FD30CD"/>
    <w:rsid w:val="00FD30D2"/>
    <w:rsid w:val="00FD30D5"/>
    <w:rsid w:val="00FD30FF"/>
    <w:rsid w:val="00FD310C"/>
    <w:rsid w:val="00FD312C"/>
    <w:rsid w:val="00FD3152"/>
    <w:rsid w:val="00FD31C9"/>
    <w:rsid w:val="00FD31D5"/>
    <w:rsid w:val="00FD31E1"/>
    <w:rsid w:val="00FD31E8"/>
    <w:rsid w:val="00FD322B"/>
    <w:rsid w:val="00FD3237"/>
    <w:rsid w:val="00FD32BA"/>
    <w:rsid w:val="00FD3388"/>
    <w:rsid w:val="00FD33DC"/>
    <w:rsid w:val="00FD33EC"/>
    <w:rsid w:val="00FD3431"/>
    <w:rsid w:val="00FD34CD"/>
    <w:rsid w:val="00FD3552"/>
    <w:rsid w:val="00FD359E"/>
    <w:rsid w:val="00FD35A6"/>
    <w:rsid w:val="00FD35B4"/>
    <w:rsid w:val="00FD35E1"/>
    <w:rsid w:val="00FD3620"/>
    <w:rsid w:val="00FD3638"/>
    <w:rsid w:val="00FD3657"/>
    <w:rsid w:val="00FD3664"/>
    <w:rsid w:val="00FD3678"/>
    <w:rsid w:val="00FD36C5"/>
    <w:rsid w:val="00FD36CD"/>
    <w:rsid w:val="00FD3800"/>
    <w:rsid w:val="00FD3802"/>
    <w:rsid w:val="00FD3809"/>
    <w:rsid w:val="00FD382A"/>
    <w:rsid w:val="00FD384B"/>
    <w:rsid w:val="00FD38AE"/>
    <w:rsid w:val="00FD38C8"/>
    <w:rsid w:val="00FD38D6"/>
    <w:rsid w:val="00FD3903"/>
    <w:rsid w:val="00FD39E5"/>
    <w:rsid w:val="00FD39F7"/>
    <w:rsid w:val="00FD3A8C"/>
    <w:rsid w:val="00FD3AA2"/>
    <w:rsid w:val="00FD3AB9"/>
    <w:rsid w:val="00FD3B44"/>
    <w:rsid w:val="00FD3B46"/>
    <w:rsid w:val="00FD3B7C"/>
    <w:rsid w:val="00FD3C90"/>
    <w:rsid w:val="00FD3C95"/>
    <w:rsid w:val="00FD3CDA"/>
    <w:rsid w:val="00FD3D6C"/>
    <w:rsid w:val="00FD3D94"/>
    <w:rsid w:val="00FD3D98"/>
    <w:rsid w:val="00FD3DF1"/>
    <w:rsid w:val="00FD3E8C"/>
    <w:rsid w:val="00FD3F14"/>
    <w:rsid w:val="00FD3F5E"/>
    <w:rsid w:val="00FD3F8B"/>
    <w:rsid w:val="00FD3FD9"/>
    <w:rsid w:val="00FD4001"/>
    <w:rsid w:val="00FD400D"/>
    <w:rsid w:val="00FD4028"/>
    <w:rsid w:val="00FD407B"/>
    <w:rsid w:val="00FD4096"/>
    <w:rsid w:val="00FD409B"/>
    <w:rsid w:val="00FD40C8"/>
    <w:rsid w:val="00FD40DD"/>
    <w:rsid w:val="00FD4108"/>
    <w:rsid w:val="00FD4142"/>
    <w:rsid w:val="00FD4168"/>
    <w:rsid w:val="00FD4189"/>
    <w:rsid w:val="00FD41AA"/>
    <w:rsid w:val="00FD41CD"/>
    <w:rsid w:val="00FD41D2"/>
    <w:rsid w:val="00FD41FA"/>
    <w:rsid w:val="00FD41FD"/>
    <w:rsid w:val="00FD4289"/>
    <w:rsid w:val="00FD4331"/>
    <w:rsid w:val="00FD4342"/>
    <w:rsid w:val="00FD4371"/>
    <w:rsid w:val="00FD4399"/>
    <w:rsid w:val="00FD4434"/>
    <w:rsid w:val="00FD4438"/>
    <w:rsid w:val="00FD4440"/>
    <w:rsid w:val="00FD4503"/>
    <w:rsid w:val="00FD450A"/>
    <w:rsid w:val="00FD4532"/>
    <w:rsid w:val="00FD4585"/>
    <w:rsid w:val="00FD4606"/>
    <w:rsid w:val="00FD462F"/>
    <w:rsid w:val="00FD4652"/>
    <w:rsid w:val="00FD4682"/>
    <w:rsid w:val="00FD46B2"/>
    <w:rsid w:val="00FD4700"/>
    <w:rsid w:val="00FD47A7"/>
    <w:rsid w:val="00FD47DE"/>
    <w:rsid w:val="00FD48D7"/>
    <w:rsid w:val="00FD48DC"/>
    <w:rsid w:val="00FD4926"/>
    <w:rsid w:val="00FD49BA"/>
    <w:rsid w:val="00FD49C9"/>
    <w:rsid w:val="00FD49DD"/>
    <w:rsid w:val="00FD4A05"/>
    <w:rsid w:val="00FD4A46"/>
    <w:rsid w:val="00FD4AA6"/>
    <w:rsid w:val="00FD4ACD"/>
    <w:rsid w:val="00FD4AE4"/>
    <w:rsid w:val="00FD4B2D"/>
    <w:rsid w:val="00FD4B50"/>
    <w:rsid w:val="00FD4BF2"/>
    <w:rsid w:val="00FD4C2B"/>
    <w:rsid w:val="00FD4C4E"/>
    <w:rsid w:val="00FD4C62"/>
    <w:rsid w:val="00FD4C71"/>
    <w:rsid w:val="00FD4C7B"/>
    <w:rsid w:val="00FD4C8E"/>
    <w:rsid w:val="00FD4CAF"/>
    <w:rsid w:val="00FD4D66"/>
    <w:rsid w:val="00FD4DB6"/>
    <w:rsid w:val="00FD4DE4"/>
    <w:rsid w:val="00FD4DF5"/>
    <w:rsid w:val="00FD4EDA"/>
    <w:rsid w:val="00FD4F22"/>
    <w:rsid w:val="00FD4F5B"/>
    <w:rsid w:val="00FD4F7A"/>
    <w:rsid w:val="00FD4FC5"/>
    <w:rsid w:val="00FD501D"/>
    <w:rsid w:val="00FD507F"/>
    <w:rsid w:val="00FD508B"/>
    <w:rsid w:val="00FD5130"/>
    <w:rsid w:val="00FD516F"/>
    <w:rsid w:val="00FD517C"/>
    <w:rsid w:val="00FD51D2"/>
    <w:rsid w:val="00FD51E1"/>
    <w:rsid w:val="00FD51EA"/>
    <w:rsid w:val="00FD529E"/>
    <w:rsid w:val="00FD5318"/>
    <w:rsid w:val="00FD53F7"/>
    <w:rsid w:val="00FD5414"/>
    <w:rsid w:val="00FD5423"/>
    <w:rsid w:val="00FD5442"/>
    <w:rsid w:val="00FD54BD"/>
    <w:rsid w:val="00FD54EC"/>
    <w:rsid w:val="00FD555F"/>
    <w:rsid w:val="00FD5598"/>
    <w:rsid w:val="00FD55BD"/>
    <w:rsid w:val="00FD565F"/>
    <w:rsid w:val="00FD56A3"/>
    <w:rsid w:val="00FD56B9"/>
    <w:rsid w:val="00FD56C7"/>
    <w:rsid w:val="00FD570E"/>
    <w:rsid w:val="00FD577F"/>
    <w:rsid w:val="00FD5794"/>
    <w:rsid w:val="00FD5821"/>
    <w:rsid w:val="00FD58BF"/>
    <w:rsid w:val="00FD58FF"/>
    <w:rsid w:val="00FD592F"/>
    <w:rsid w:val="00FD5988"/>
    <w:rsid w:val="00FD5998"/>
    <w:rsid w:val="00FD59DF"/>
    <w:rsid w:val="00FD5A57"/>
    <w:rsid w:val="00FD5A91"/>
    <w:rsid w:val="00FD5A9D"/>
    <w:rsid w:val="00FD5AD5"/>
    <w:rsid w:val="00FD5AE4"/>
    <w:rsid w:val="00FD5B1E"/>
    <w:rsid w:val="00FD5B3C"/>
    <w:rsid w:val="00FD5B72"/>
    <w:rsid w:val="00FD5B91"/>
    <w:rsid w:val="00FD5BBE"/>
    <w:rsid w:val="00FD5BD4"/>
    <w:rsid w:val="00FD5BE5"/>
    <w:rsid w:val="00FD5BE9"/>
    <w:rsid w:val="00FD5C2B"/>
    <w:rsid w:val="00FD5C86"/>
    <w:rsid w:val="00FD5D39"/>
    <w:rsid w:val="00FD5DB6"/>
    <w:rsid w:val="00FD5DB9"/>
    <w:rsid w:val="00FD5DD1"/>
    <w:rsid w:val="00FD5E11"/>
    <w:rsid w:val="00FD5E13"/>
    <w:rsid w:val="00FD5E2F"/>
    <w:rsid w:val="00FD5E9A"/>
    <w:rsid w:val="00FD5EC1"/>
    <w:rsid w:val="00FD5ED1"/>
    <w:rsid w:val="00FD5EEB"/>
    <w:rsid w:val="00FD5EFB"/>
    <w:rsid w:val="00FD5F5B"/>
    <w:rsid w:val="00FD5F6F"/>
    <w:rsid w:val="00FD5F7F"/>
    <w:rsid w:val="00FD5FDE"/>
    <w:rsid w:val="00FD6000"/>
    <w:rsid w:val="00FD6029"/>
    <w:rsid w:val="00FD6060"/>
    <w:rsid w:val="00FD6091"/>
    <w:rsid w:val="00FD60A9"/>
    <w:rsid w:val="00FD6130"/>
    <w:rsid w:val="00FD6179"/>
    <w:rsid w:val="00FD6186"/>
    <w:rsid w:val="00FD61A3"/>
    <w:rsid w:val="00FD61E8"/>
    <w:rsid w:val="00FD6219"/>
    <w:rsid w:val="00FD62C0"/>
    <w:rsid w:val="00FD630E"/>
    <w:rsid w:val="00FD63CB"/>
    <w:rsid w:val="00FD63FC"/>
    <w:rsid w:val="00FD63FF"/>
    <w:rsid w:val="00FD64B5"/>
    <w:rsid w:val="00FD64E2"/>
    <w:rsid w:val="00FD655D"/>
    <w:rsid w:val="00FD65AE"/>
    <w:rsid w:val="00FD65C0"/>
    <w:rsid w:val="00FD6641"/>
    <w:rsid w:val="00FD666F"/>
    <w:rsid w:val="00FD6697"/>
    <w:rsid w:val="00FD66D6"/>
    <w:rsid w:val="00FD66E7"/>
    <w:rsid w:val="00FD6704"/>
    <w:rsid w:val="00FD676D"/>
    <w:rsid w:val="00FD684C"/>
    <w:rsid w:val="00FD686E"/>
    <w:rsid w:val="00FD68B3"/>
    <w:rsid w:val="00FD698B"/>
    <w:rsid w:val="00FD69C3"/>
    <w:rsid w:val="00FD6AC1"/>
    <w:rsid w:val="00FD6B0C"/>
    <w:rsid w:val="00FD6B28"/>
    <w:rsid w:val="00FD6B4C"/>
    <w:rsid w:val="00FD6B4E"/>
    <w:rsid w:val="00FD6B5F"/>
    <w:rsid w:val="00FD6BC8"/>
    <w:rsid w:val="00FD6BD2"/>
    <w:rsid w:val="00FD6BD7"/>
    <w:rsid w:val="00FD6CAC"/>
    <w:rsid w:val="00FD6CBA"/>
    <w:rsid w:val="00FD6D0B"/>
    <w:rsid w:val="00FD6DA4"/>
    <w:rsid w:val="00FD6DC8"/>
    <w:rsid w:val="00FD6DF7"/>
    <w:rsid w:val="00FD6E11"/>
    <w:rsid w:val="00FD6E3E"/>
    <w:rsid w:val="00FD6E7A"/>
    <w:rsid w:val="00FD6E98"/>
    <w:rsid w:val="00FD6EAF"/>
    <w:rsid w:val="00FD6ECB"/>
    <w:rsid w:val="00FD6F86"/>
    <w:rsid w:val="00FD6F8C"/>
    <w:rsid w:val="00FD6F9B"/>
    <w:rsid w:val="00FD6FA2"/>
    <w:rsid w:val="00FD6FB2"/>
    <w:rsid w:val="00FD6FEA"/>
    <w:rsid w:val="00FD701A"/>
    <w:rsid w:val="00FD7025"/>
    <w:rsid w:val="00FD7074"/>
    <w:rsid w:val="00FD7096"/>
    <w:rsid w:val="00FD70A5"/>
    <w:rsid w:val="00FD7131"/>
    <w:rsid w:val="00FD7162"/>
    <w:rsid w:val="00FD7178"/>
    <w:rsid w:val="00FD71F5"/>
    <w:rsid w:val="00FD7203"/>
    <w:rsid w:val="00FD7212"/>
    <w:rsid w:val="00FD7239"/>
    <w:rsid w:val="00FD724F"/>
    <w:rsid w:val="00FD726C"/>
    <w:rsid w:val="00FD728E"/>
    <w:rsid w:val="00FD72D3"/>
    <w:rsid w:val="00FD73A1"/>
    <w:rsid w:val="00FD73FE"/>
    <w:rsid w:val="00FD7470"/>
    <w:rsid w:val="00FD749B"/>
    <w:rsid w:val="00FD7513"/>
    <w:rsid w:val="00FD755C"/>
    <w:rsid w:val="00FD7571"/>
    <w:rsid w:val="00FD75C4"/>
    <w:rsid w:val="00FD75D2"/>
    <w:rsid w:val="00FD761C"/>
    <w:rsid w:val="00FD761E"/>
    <w:rsid w:val="00FD7631"/>
    <w:rsid w:val="00FD7642"/>
    <w:rsid w:val="00FD7654"/>
    <w:rsid w:val="00FD765F"/>
    <w:rsid w:val="00FD7670"/>
    <w:rsid w:val="00FD76C5"/>
    <w:rsid w:val="00FD76F1"/>
    <w:rsid w:val="00FD76FE"/>
    <w:rsid w:val="00FD770C"/>
    <w:rsid w:val="00FD77BA"/>
    <w:rsid w:val="00FD7837"/>
    <w:rsid w:val="00FD7843"/>
    <w:rsid w:val="00FD7896"/>
    <w:rsid w:val="00FD78B5"/>
    <w:rsid w:val="00FD78C5"/>
    <w:rsid w:val="00FD78D5"/>
    <w:rsid w:val="00FD792D"/>
    <w:rsid w:val="00FD7931"/>
    <w:rsid w:val="00FD7958"/>
    <w:rsid w:val="00FD7A1E"/>
    <w:rsid w:val="00FD7A33"/>
    <w:rsid w:val="00FD7A55"/>
    <w:rsid w:val="00FD7A68"/>
    <w:rsid w:val="00FD7B7D"/>
    <w:rsid w:val="00FD7C33"/>
    <w:rsid w:val="00FD7C44"/>
    <w:rsid w:val="00FD7C45"/>
    <w:rsid w:val="00FD7C4A"/>
    <w:rsid w:val="00FD7CDD"/>
    <w:rsid w:val="00FD7D0B"/>
    <w:rsid w:val="00FD7D36"/>
    <w:rsid w:val="00FD7D51"/>
    <w:rsid w:val="00FD7D64"/>
    <w:rsid w:val="00FD7DD3"/>
    <w:rsid w:val="00FD7DF1"/>
    <w:rsid w:val="00FD7E0A"/>
    <w:rsid w:val="00FD7E16"/>
    <w:rsid w:val="00FD7E37"/>
    <w:rsid w:val="00FD7E94"/>
    <w:rsid w:val="00FD7F26"/>
    <w:rsid w:val="00FD7F51"/>
    <w:rsid w:val="00FD7F6C"/>
    <w:rsid w:val="00FD7F7C"/>
    <w:rsid w:val="00FD7FBD"/>
    <w:rsid w:val="00FE0007"/>
    <w:rsid w:val="00FE002A"/>
    <w:rsid w:val="00FE0037"/>
    <w:rsid w:val="00FE0039"/>
    <w:rsid w:val="00FE0084"/>
    <w:rsid w:val="00FE00AC"/>
    <w:rsid w:val="00FE010F"/>
    <w:rsid w:val="00FE0113"/>
    <w:rsid w:val="00FE01A5"/>
    <w:rsid w:val="00FE01F5"/>
    <w:rsid w:val="00FE020D"/>
    <w:rsid w:val="00FE0230"/>
    <w:rsid w:val="00FE02D2"/>
    <w:rsid w:val="00FE0341"/>
    <w:rsid w:val="00FE0365"/>
    <w:rsid w:val="00FE03CB"/>
    <w:rsid w:val="00FE03FD"/>
    <w:rsid w:val="00FE0406"/>
    <w:rsid w:val="00FE0409"/>
    <w:rsid w:val="00FE0424"/>
    <w:rsid w:val="00FE0495"/>
    <w:rsid w:val="00FE04D6"/>
    <w:rsid w:val="00FE057F"/>
    <w:rsid w:val="00FE0589"/>
    <w:rsid w:val="00FE0640"/>
    <w:rsid w:val="00FE0661"/>
    <w:rsid w:val="00FE06B5"/>
    <w:rsid w:val="00FE06E1"/>
    <w:rsid w:val="00FE06FD"/>
    <w:rsid w:val="00FE070B"/>
    <w:rsid w:val="00FE08D1"/>
    <w:rsid w:val="00FE08FF"/>
    <w:rsid w:val="00FE09A9"/>
    <w:rsid w:val="00FE09E0"/>
    <w:rsid w:val="00FE0A0B"/>
    <w:rsid w:val="00FE0A3D"/>
    <w:rsid w:val="00FE0A60"/>
    <w:rsid w:val="00FE0AA7"/>
    <w:rsid w:val="00FE0AAF"/>
    <w:rsid w:val="00FE0AB6"/>
    <w:rsid w:val="00FE0ABF"/>
    <w:rsid w:val="00FE0B88"/>
    <w:rsid w:val="00FE0BE0"/>
    <w:rsid w:val="00FE0C0A"/>
    <w:rsid w:val="00FE0C23"/>
    <w:rsid w:val="00FE0C4A"/>
    <w:rsid w:val="00FE0C5D"/>
    <w:rsid w:val="00FE0C88"/>
    <w:rsid w:val="00FE0D82"/>
    <w:rsid w:val="00FE0E28"/>
    <w:rsid w:val="00FE0F0E"/>
    <w:rsid w:val="00FE0FEB"/>
    <w:rsid w:val="00FE0FEF"/>
    <w:rsid w:val="00FE105D"/>
    <w:rsid w:val="00FE1098"/>
    <w:rsid w:val="00FE10AC"/>
    <w:rsid w:val="00FE10F4"/>
    <w:rsid w:val="00FE10FD"/>
    <w:rsid w:val="00FE114C"/>
    <w:rsid w:val="00FE11B2"/>
    <w:rsid w:val="00FE1240"/>
    <w:rsid w:val="00FE12DA"/>
    <w:rsid w:val="00FE12EA"/>
    <w:rsid w:val="00FE134D"/>
    <w:rsid w:val="00FE13A4"/>
    <w:rsid w:val="00FE140C"/>
    <w:rsid w:val="00FE140D"/>
    <w:rsid w:val="00FE1480"/>
    <w:rsid w:val="00FE155B"/>
    <w:rsid w:val="00FE1566"/>
    <w:rsid w:val="00FE15BE"/>
    <w:rsid w:val="00FE16C8"/>
    <w:rsid w:val="00FE16D1"/>
    <w:rsid w:val="00FE16E3"/>
    <w:rsid w:val="00FE1797"/>
    <w:rsid w:val="00FE17C9"/>
    <w:rsid w:val="00FE17D5"/>
    <w:rsid w:val="00FE17EC"/>
    <w:rsid w:val="00FE17EE"/>
    <w:rsid w:val="00FE1843"/>
    <w:rsid w:val="00FE1849"/>
    <w:rsid w:val="00FE18A9"/>
    <w:rsid w:val="00FE18D9"/>
    <w:rsid w:val="00FE18DA"/>
    <w:rsid w:val="00FE18EC"/>
    <w:rsid w:val="00FE1945"/>
    <w:rsid w:val="00FE19AB"/>
    <w:rsid w:val="00FE1AE3"/>
    <w:rsid w:val="00FE1B42"/>
    <w:rsid w:val="00FE1B58"/>
    <w:rsid w:val="00FE1B5E"/>
    <w:rsid w:val="00FE1B7F"/>
    <w:rsid w:val="00FE1C19"/>
    <w:rsid w:val="00FE1C70"/>
    <w:rsid w:val="00FE1CD6"/>
    <w:rsid w:val="00FE1D60"/>
    <w:rsid w:val="00FE1D67"/>
    <w:rsid w:val="00FE1DF2"/>
    <w:rsid w:val="00FE1E02"/>
    <w:rsid w:val="00FE1E0E"/>
    <w:rsid w:val="00FE1E33"/>
    <w:rsid w:val="00FE1E76"/>
    <w:rsid w:val="00FE1E93"/>
    <w:rsid w:val="00FE1EFC"/>
    <w:rsid w:val="00FE1F24"/>
    <w:rsid w:val="00FE1FE9"/>
    <w:rsid w:val="00FE1FF1"/>
    <w:rsid w:val="00FE1FF6"/>
    <w:rsid w:val="00FE1FF8"/>
    <w:rsid w:val="00FE200B"/>
    <w:rsid w:val="00FE2033"/>
    <w:rsid w:val="00FE212B"/>
    <w:rsid w:val="00FE215A"/>
    <w:rsid w:val="00FE2165"/>
    <w:rsid w:val="00FE21FC"/>
    <w:rsid w:val="00FE2205"/>
    <w:rsid w:val="00FE220B"/>
    <w:rsid w:val="00FE2232"/>
    <w:rsid w:val="00FE2243"/>
    <w:rsid w:val="00FE2272"/>
    <w:rsid w:val="00FE2284"/>
    <w:rsid w:val="00FE23C0"/>
    <w:rsid w:val="00FE2409"/>
    <w:rsid w:val="00FE2410"/>
    <w:rsid w:val="00FE241D"/>
    <w:rsid w:val="00FE2488"/>
    <w:rsid w:val="00FE24E5"/>
    <w:rsid w:val="00FE2529"/>
    <w:rsid w:val="00FE252D"/>
    <w:rsid w:val="00FE2534"/>
    <w:rsid w:val="00FE257B"/>
    <w:rsid w:val="00FE2622"/>
    <w:rsid w:val="00FE2638"/>
    <w:rsid w:val="00FE26AA"/>
    <w:rsid w:val="00FE273B"/>
    <w:rsid w:val="00FE2797"/>
    <w:rsid w:val="00FE27DA"/>
    <w:rsid w:val="00FE2822"/>
    <w:rsid w:val="00FE2838"/>
    <w:rsid w:val="00FE2919"/>
    <w:rsid w:val="00FE2968"/>
    <w:rsid w:val="00FE2986"/>
    <w:rsid w:val="00FE29AC"/>
    <w:rsid w:val="00FE2AE9"/>
    <w:rsid w:val="00FE2AEE"/>
    <w:rsid w:val="00FE2B07"/>
    <w:rsid w:val="00FE2B5F"/>
    <w:rsid w:val="00FE2C0D"/>
    <w:rsid w:val="00FE2C21"/>
    <w:rsid w:val="00FE2C92"/>
    <w:rsid w:val="00FE2D15"/>
    <w:rsid w:val="00FE2D43"/>
    <w:rsid w:val="00FE2D62"/>
    <w:rsid w:val="00FE2E75"/>
    <w:rsid w:val="00FE2EC6"/>
    <w:rsid w:val="00FE2EF3"/>
    <w:rsid w:val="00FE2F12"/>
    <w:rsid w:val="00FE2F57"/>
    <w:rsid w:val="00FE2FCB"/>
    <w:rsid w:val="00FE312C"/>
    <w:rsid w:val="00FE3135"/>
    <w:rsid w:val="00FE315F"/>
    <w:rsid w:val="00FE3193"/>
    <w:rsid w:val="00FE31FA"/>
    <w:rsid w:val="00FE3269"/>
    <w:rsid w:val="00FE32D3"/>
    <w:rsid w:val="00FE3341"/>
    <w:rsid w:val="00FE3359"/>
    <w:rsid w:val="00FE3366"/>
    <w:rsid w:val="00FE339B"/>
    <w:rsid w:val="00FE340D"/>
    <w:rsid w:val="00FE3414"/>
    <w:rsid w:val="00FE3479"/>
    <w:rsid w:val="00FE34B3"/>
    <w:rsid w:val="00FE34E2"/>
    <w:rsid w:val="00FE3503"/>
    <w:rsid w:val="00FE355C"/>
    <w:rsid w:val="00FE356E"/>
    <w:rsid w:val="00FE358A"/>
    <w:rsid w:val="00FE35B3"/>
    <w:rsid w:val="00FE365C"/>
    <w:rsid w:val="00FE3664"/>
    <w:rsid w:val="00FE368C"/>
    <w:rsid w:val="00FE36E3"/>
    <w:rsid w:val="00FE372B"/>
    <w:rsid w:val="00FE3765"/>
    <w:rsid w:val="00FE379E"/>
    <w:rsid w:val="00FE37DC"/>
    <w:rsid w:val="00FE3816"/>
    <w:rsid w:val="00FE38B8"/>
    <w:rsid w:val="00FE38C3"/>
    <w:rsid w:val="00FE3929"/>
    <w:rsid w:val="00FE392E"/>
    <w:rsid w:val="00FE3933"/>
    <w:rsid w:val="00FE39DD"/>
    <w:rsid w:val="00FE3A2A"/>
    <w:rsid w:val="00FE3A91"/>
    <w:rsid w:val="00FE3AB3"/>
    <w:rsid w:val="00FE3AD5"/>
    <w:rsid w:val="00FE3AEE"/>
    <w:rsid w:val="00FE3AF9"/>
    <w:rsid w:val="00FE3B5B"/>
    <w:rsid w:val="00FE3B60"/>
    <w:rsid w:val="00FE3C24"/>
    <w:rsid w:val="00FE3C53"/>
    <w:rsid w:val="00FE3C9C"/>
    <w:rsid w:val="00FE3CAD"/>
    <w:rsid w:val="00FE3CCF"/>
    <w:rsid w:val="00FE3CE3"/>
    <w:rsid w:val="00FE3D15"/>
    <w:rsid w:val="00FE3D4B"/>
    <w:rsid w:val="00FE3D89"/>
    <w:rsid w:val="00FE3DD6"/>
    <w:rsid w:val="00FE3E67"/>
    <w:rsid w:val="00FE3E6B"/>
    <w:rsid w:val="00FE3E7A"/>
    <w:rsid w:val="00FE3EDB"/>
    <w:rsid w:val="00FE3F21"/>
    <w:rsid w:val="00FE3F34"/>
    <w:rsid w:val="00FE3F42"/>
    <w:rsid w:val="00FE3F8A"/>
    <w:rsid w:val="00FE3FA9"/>
    <w:rsid w:val="00FE3FED"/>
    <w:rsid w:val="00FE4026"/>
    <w:rsid w:val="00FE4045"/>
    <w:rsid w:val="00FE4047"/>
    <w:rsid w:val="00FE416E"/>
    <w:rsid w:val="00FE41F0"/>
    <w:rsid w:val="00FE4228"/>
    <w:rsid w:val="00FE42E7"/>
    <w:rsid w:val="00FE4316"/>
    <w:rsid w:val="00FE432A"/>
    <w:rsid w:val="00FE4331"/>
    <w:rsid w:val="00FE439F"/>
    <w:rsid w:val="00FE4424"/>
    <w:rsid w:val="00FE44F1"/>
    <w:rsid w:val="00FE454B"/>
    <w:rsid w:val="00FE4565"/>
    <w:rsid w:val="00FE460E"/>
    <w:rsid w:val="00FE464B"/>
    <w:rsid w:val="00FE4692"/>
    <w:rsid w:val="00FE46D1"/>
    <w:rsid w:val="00FE46EF"/>
    <w:rsid w:val="00FE471C"/>
    <w:rsid w:val="00FE479B"/>
    <w:rsid w:val="00FE47D0"/>
    <w:rsid w:val="00FE47D7"/>
    <w:rsid w:val="00FE47FC"/>
    <w:rsid w:val="00FE48EB"/>
    <w:rsid w:val="00FE490C"/>
    <w:rsid w:val="00FE4911"/>
    <w:rsid w:val="00FE493A"/>
    <w:rsid w:val="00FE493F"/>
    <w:rsid w:val="00FE494E"/>
    <w:rsid w:val="00FE4991"/>
    <w:rsid w:val="00FE49C2"/>
    <w:rsid w:val="00FE49CD"/>
    <w:rsid w:val="00FE4A14"/>
    <w:rsid w:val="00FE4A20"/>
    <w:rsid w:val="00FE4A5C"/>
    <w:rsid w:val="00FE4ACE"/>
    <w:rsid w:val="00FE4ADE"/>
    <w:rsid w:val="00FE4B06"/>
    <w:rsid w:val="00FE4B29"/>
    <w:rsid w:val="00FE4C60"/>
    <w:rsid w:val="00FE4C95"/>
    <w:rsid w:val="00FE4CAD"/>
    <w:rsid w:val="00FE4CB6"/>
    <w:rsid w:val="00FE4D30"/>
    <w:rsid w:val="00FE4D75"/>
    <w:rsid w:val="00FE4E17"/>
    <w:rsid w:val="00FE4E21"/>
    <w:rsid w:val="00FE4E94"/>
    <w:rsid w:val="00FE4EC1"/>
    <w:rsid w:val="00FE4EF6"/>
    <w:rsid w:val="00FE4F2F"/>
    <w:rsid w:val="00FE4F41"/>
    <w:rsid w:val="00FE4F50"/>
    <w:rsid w:val="00FE4F75"/>
    <w:rsid w:val="00FE4F9D"/>
    <w:rsid w:val="00FE5023"/>
    <w:rsid w:val="00FE5026"/>
    <w:rsid w:val="00FE508D"/>
    <w:rsid w:val="00FE50B5"/>
    <w:rsid w:val="00FE50D9"/>
    <w:rsid w:val="00FE5172"/>
    <w:rsid w:val="00FE51BD"/>
    <w:rsid w:val="00FE5242"/>
    <w:rsid w:val="00FE526C"/>
    <w:rsid w:val="00FE529F"/>
    <w:rsid w:val="00FE52EA"/>
    <w:rsid w:val="00FE536C"/>
    <w:rsid w:val="00FE537B"/>
    <w:rsid w:val="00FE5382"/>
    <w:rsid w:val="00FE53A1"/>
    <w:rsid w:val="00FE53CB"/>
    <w:rsid w:val="00FE5415"/>
    <w:rsid w:val="00FE5424"/>
    <w:rsid w:val="00FE5427"/>
    <w:rsid w:val="00FE5428"/>
    <w:rsid w:val="00FE54D4"/>
    <w:rsid w:val="00FE5524"/>
    <w:rsid w:val="00FE55AE"/>
    <w:rsid w:val="00FE5609"/>
    <w:rsid w:val="00FE5611"/>
    <w:rsid w:val="00FE561A"/>
    <w:rsid w:val="00FE5682"/>
    <w:rsid w:val="00FE56AD"/>
    <w:rsid w:val="00FE56F3"/>
    <w:rsid w:val="00FE570F"/>
    <w:rsid w:val="00FE5743"/>
    <w:rsid w:val="00FE5795"/>
    <w:rsid w:val="00FE57B1"/>
    <w:rsid w:val="00FE5840"/>
    <w:rsid w:val="00FE58F2"/>
    <w:rsid w:val="00FE5939"/>
    <w:rsid w:val="00FE5961"/>
    <w:rsid w:val="00FE5985"/>
    <w:rsid w:val="00FE5987"/>
    <w:rsid w:val="00FE59CB"/>
    <w:rsid w:val="00FE59DC"/>
    <w:rsid w:val="00FE59E2"/>
    <w:rsid w:val="00FE5A41"/>
    <w:rsid w:val="00FE5A73"/>
    <w:rsid w:val="00FE5B32"/>
    <w:rsid w:val="00FE5B74"/>
    <w:rsid w:val="00FE5BCF"/>
    <w:rsid w:val="00FE5BE7"/>
    <w:rsid w:val="00FE5C0A"/>
    <w:rsid w:val="00FE5C10"/>
    <w:rsid w:val="00FE5C2B"/>
    <w:rsid w:val="00FE5C36"/>
    <w:rsid w:val="00FE5CB9"/>
    <w:rsid w:val="00FE5D6F"/>
    <w:rsid w:val="00FE5EF7"/>
    <w:rsid w:val="00FE5F3E"/>
    <w:rsid w:val="00FE5F95"/>
    <w:rsid w:val="00FE5FDB"/>
    <w:rsid w:val="00FE6075"/>
    <w:rsid w:val="00FE60DF"/>
    <w:rsid w:val="00FE6127"/>
    <w:rsid w:val="00FE612F"/>
    <w:rsid w:val="00FE6138"/>
    <w:rsid w:val="00FE613F"/>
    <w:rsid w:val="00FE6148"/>
    <w:rsid w:val="00FE6177"/>
    <w:rsid w:val="00FE61E8"/>
    <w:rsid w:val="00FE61EE"/>
    <w:rsid w:val="00FE61FE"/>
    <w:rsid w:val="00FE6208"/>
    <w:rsid w:val="00FE6293"/>
    <w:rsid w:val="00FE62AB"/>
    <w:rsid w:val="00FE62B6"/>
    <w:rsid w:val="00FE6304"/>
    <w:rsid w:val="00FE6308"/>
    <w:rsid w:val="00FE6340"/>
    <w:rsid w:val="00FE6378"/>
    <w:rsid w:val="00FE63C9"/>
    <w:rsid w:val="00FE63E6"/>
    <w:rsid w:val="00FE6484"/>
    <w:rsid w:val="00FE650B"/>
    <w:rsid w:val="00FE6517"/>
    <w:rsid w:val="00FE6530"/>
    <w:rsid w:val="00FE6598"/>
    <w:rsid w:val="00FE65EE"/>
    <w:rsid w:val="00FE6649"/>
    <w:rsid w:val="00FE664E"/>
    <w:rsid w:val="00FE668F"/>
    <w:rsid w:val="00FE66DD"/>
    <w:rsid w:val="00FE66F3"/>
    <w:rsid w:val="00FE6702"/>
    <w:rsid w:val="00FE6727"/>
    <w:rsid w:val="00FE672B"/>
    <w:rsid w:val="00FE6736"/>
    <w:rsid w:val="00FE6756"/>
    <w:rsid w:val="00FE67BC"/>
    <w:rsid w:val="00FE67CC"/>
    <w:rsid w:val="00FE67D4"/>
    <w:rsid w:val="00FE6803"/>
    <w:rsid w:val="00FE680E"/>
    <w:rsid w:val="00FE6814"/>
    <w:rsid w:val="00FE6819"/>
    <w:rsid w:val="00FE6856"/>
    <w:rsid w:val="00FE688C"/>
    <w:rsid w:val="00FE68D4"/>
    <w:rsid w:val="00FE690B"/>
    <w:rsid w:val="00FE6984"/>
    <w:rsid w:val="00FE69DD"/>
    <w:rsid w:val="00FE6A3F"/>
    <w:rsid w:val="00FE6B7B"/>
    <w:rsid w:val="00FE6C00"/>
    <w:rsid w:val="00FE6C26"/>
    <w:rsid w:val="00FE6C3E"/>
    <w:rsid w:val="00FE6C55"/>
    <w:rsid w:val="00FE6CEA"/>
    <w:rsid w:val="00FE6D0E"/>
    <w:rsid w:val="00FE6D44"/>
    <w:rsid w:val="00FE6D9D"/>
    <w:rsid w:val="00FE6DE8"/>
    <w:rsid w:val="00FE6E11"/>
    <w:rsid w:val="00FE6E3E"/>
    <w:rsid w:val="00FE6E5A"/>
    <w:rsid w:val="00FE6E84"/>
    <w:rsid w:val="00FE6F07"/>
    <w:rsid w:val="00FE6F48"/>
    <w:rsid w:val="00FE6FE5"/>
    <w:rsid w:val="00FE700B"/>
    <w:rsid w:val="00FE701F"/>
    <w:rsid w:val="00FE708C"/>
    <w:rsid w:val="00FE70AF"/>
    <w:rsid w:val="00FE7146"/>
    <w:rsid w:val="00FE71FD"/>
    <w:rsid w:val="00FE7244"/>
    <w:rsid w:val="00FE725B"/>
    <w:rsid w:val="00FE7282"/>
    <w:rsid w:val="00FE72E5"/>
    <w:rsid w:val="00FE734E"/>
    <w:rsid w:val="00FE7370"/>
    <w:rsid w:val="00FE7374"/>
    <w:rsid w:val="00FE738D"/>
    <w:rsid w:val="00FE740D"/>
    <w:rsid w:val="00FE7421"/>
    <w:rsid w:val="00FE74D4"/>
    <w:rsid w:val="00FE7503"/>
    <w:rsid w:val="00FE7505"/>
    <w:rsid w:val="00FE754E"/>
    <w:rsid w:val="00FE7562"/>
    <w:rsid w:val="00FE758E"/>
    <w:rsid w:val="00FE75A4"/>
    <w:rsid w:val="00FE75D0"/>
    <w:rsid w:val="00FE75F4"/>
    <w:rsid w:val="00FE761B"/>
    <w:rsid w:val="00FE769D"/>
    <w:rsid w:val="00FE76B3"/>
    <w:rsid w:val="00FE7721"/>
    <w:rsid w:val="00FE775C"/>
    <w:rsid w:val="00FE7769"/>
    <w:rsid w:val="00FE7795"/>
    <w:rsid w:val="00FE77C0"/>
    <w:rsid w:val="00FE77CB"/>
    <w:rsid w:val="00FE77E2"/>
    <w:rsid w:val="00FE7840"/>
    <w:rsid w:val="00FE78D6"/>
    <w:rsid w:val="00FE7907"/>
    <w:rsid w:val="00FE7921"/>
    <w:rsid w:val="00FE794E"/>
    <w:rsid w:val="00FE7967"/>
    <w:rsid w:val="00FE798E"/>
    <w:rsid w:val="00FE79B4"/>
    <w:rsid w:val="00FE79ED"/>
    <w:rsid w:val="00FE7A1B"/>
    <w:rsid w:val="00FE7AC5"/>
    <w:rsid w:val="00FE7B14"/>
    <w:rsid w:val="00FE7B17"/>
    <w:rsid w:val="00FE7B47"/>
    <w:rsid w:val="00FE7BA7"/>
    <w:rsid w:val="00FE7BB0"/>
    <w:rsid w:val="00FE7BD5"/>
    <w:rsid w:val="00FE7C51"/>
    <w:rsid w:val="00FE7D0E"/>
    <w:rsid w:val="00FE7D56"/>
    <w:rsid w:val="00FE7D5D"/>
    <w:rsid w:val="00FE7D5F"/>
    <w:rsid w:val="00FE7D6D"/>
    <w:rsid w:val="00FE7D6E"/>
    <w:rsid w:val="00FE7D7F"/>
    <w:rsid w:val="00FE7EAA"/>
    <w:rsid w:val="00FE7ECE"/>
    <w:rsid w:val="00FE7EE4"/>
    <w:rsid w:val="00FE7EEF"/>
    <w:rsid w:val="00FE7F0E"/>
    <w:rsid w:val="00FE7F59"/>
    <w:rsid w:val="00FE7FAE"/>
    <w:rsid w:val="00FE7FB3"/>
    <w:rsid w:val="00FEA376"/>
    <w:rsid w:val="00FF0092"/>
    <w:rsid w:val="00FF00CB"/>
    <w:rsid w:val="00FF0158"/>
    <w:rsid w:val="00FF020D"/>
    <w:rsid w:val="00FF0274"/>
    <w:rsid w:val="00FF0328"/>
    <w:rsid w:val="00FF038C"/>
    <w:rsid w:val="00FF03BE"/>
    <w:rsid w:val="00FF0477"/>
    <w:rsid w:val="00FF04B3"/>
    <w:rsid w:val="00FF04B6"/>
    <w:rsid w:val="00FF04DF"/>
    <w:rsid w:val="00FF04F6"/>
    <w:rsid w:val="00FF054A"/>
    <w:rsid w:val="00FF057C"/>
    <w:rsid w:val="00FF05A4"/>
    <w:rsid w:val="00FF05DD"/>
    <w:rsid w:val="00FF0692"/>
    <w:rsid w:val="00FF06CD"/>
    <w:rsid w:val="00FF06EA"/>
    <w:rsid w:val="00FF0714"/>
    <w:rsid w:val="00FF0723"/>
    <w:rsid w:val="00FF074B"/>
    <w:rsid w:val="00FF07EF"/>
    <w:rsid w:val="00FF07FD"/>
    <w:rsid w:val="00FF095B"/>
    <w:rsid w:val="00FF09AA"/>
    <w:rsid w:val="00FF0A19"/>
    <w:rsid w:val="00FF0A24"/>
    <w:rsid w:val="00FF0ABA"/>
    <w:rsid w:val="00FF0B05"/>
    <w:rsid w:val="00FF0B29"/>
    <w:rsid w:val="00FF0B92"/>
    <w:rsid w:val="00FF0B9D"/>
    <w:rsid w:val="00FF0BFD"/>
    <w:rsid w:val="00FF0C00"/>
    <w:rsid w:val="00FF0C08"/>
    <w:rsid w:val="00FF0C4D"/>
    <w:rsid w:val="00FF0CC3"/>
    <w:rsid w:val="00FF0CF5"/>
    <w:rsid w:val="00FF0D53"/>
    <w:rsid w:val="00FF0D5E"/>
    <w:rsid w:val="00FF0D66"/>
    <w:rsid w:val="00FF0DA1"/>
    <w:rsid w:val="00FF0DE3"/>
    <w:rsid w:val="00FF0E1E"/>
    <w:rsid w:val="00FF0E57"/>
    <w:rsid w:val="00FF0E5A"/>
    <w:rsid w:val="00FF0EB7"/>
    <w:rsid w:val="00FF0EB8"/>
    <w:rsid w:val="00FF0F07"/>
    <w:rsid w:val="00FF0F44"/>
    <w:rsid w:val="00FF1002"/>
    <w:rsid w:val="00FF1069"/>
    <w:rsid w:val="00FF10B6"/>
    <w:rsid w:val="00FF10D3"/>
    <w:rsid w:val="00FF10E7"/>
    <w:rsid w:val="00FF1113"/>
    <w:rsid w:val="00FF117F"/>
    <w:rsid w:val="00FF11CF"/>
    <w:rsid w:val="00FF11D2"/>
    <w:rsid w:val="00FF135C"/>
    <w:rsid w:val="00FF13BC"/>
    <w:rsid w:val="00FF13FF"/>
    <w:rsid w:val="00FF143E"/>
    <w:rsid w:val="00FF144A"/>
    <w:rsid w:val="00FF1464"/>
    <w:rsid w:val="00FF148C"/>
    <w:rsid w:val="00FF1596"/>
    <w:rsid w:val="00FF164B"/>
    <w:rsid w:val="00FF167D"/>
    <w:rsid w:val="00FF16A6"/>
    <w:rsid w:val="00FF16C9"/>
    <w:rsid w:val="00FF16CC"/>
    <w:rsid w:val="00FF16F5"/>
    <w:rsid w:val="00FF1736"/>
    <w:rsid w:val="00FF17A7"/>
    <w:rsid w:val="00FF17B9"/>
    <w:rsid w:val="00FF17CA"/>
    <w:rsid w:val="00FF17E1"/>
    <w:rsid w:val="00FF17F0"/>
    <w:rsid w:val="00FF1800"/>
    <w:rsid w:val="00FF180D"/>
    <w:rsid w:val="00FF18BA"/>
    <w:rsid w:val="00FF18BE"/>
    <w:rsid w:val="00FF18CD"/>
    <w:rsid w:val="00FF18E4"/>
    <w:rsid w:val="00FF19DC"/>
    <w:rsid w:val="00FF1A63"/>
    <w:rsid w:val="00FF1B17"/>
    <w:rsid w:val="00FF1C6F"/>
    <w:rsid w:val="00FF1CBC"/>
    <w:rsid w:val="00FF1CC0"/>
    <w:rsid w:val="00FF1CDE"/>
    <w:rsid w:val="00FF1D18"/>
    <w:rsid w:val="00FF1D26"/>
    <w:rsid w:val="00FF1D48"/>
    <w:rsid w:val="00FF1DEA"/>
    <w:rsid w:val="00FF1DEF"/>
    <w:rsid w:val="00FF1DFE"/>
    <w:rsid w:val="00FF1E20"/>
    <w:rsid w:val="00FF1E24"/>
    <w:rsid w:val="00FF1E7D"/>
    <w:rsid w:val="00FF1F42"/>
    <w:rsid w:val="00FF1F62"/>
    <w:rsid w:val="00FF1F78"/>
    <w:rsid w:val="00FF2010"/>
    <w:rsid w:val="00FF201E"/>
    <w:rsid w:val="00FF20E6"/>
    <w:rsid w:val="00FF21FD"/>
    <w:rsid w:val="00FF21FE"/>
    <w:rsid w:val="00FF2215"/>
    <w:rsid w:val="00FF2223"/>
    <w:rsid w:val="00FF2229"/>
    <w:rsid w:val="00FF2273"/>
    <w:rsid w:val="00FF22A2"/>
    <w:rsid w:val="00FF2313"/>
    <w:rsid w:val="00FF23A5"/>
    <w:rsid w:val="00FF241D"/>
    <w:rsid w:val="00FF24CE"/>
    <w:rsid w:val="00FF24EB"/>
    <w:rsid w:val="00FF2546"/>
    <w:rsid w:val="00FF2592"/>
    <w:rsid w:val="00FF25C8"/>
    <w:rsid w:val="00FF2613"/>
    <w:rsid w:val="00FF2669"/>
    <w:rsid w:val="00FF26A9"/>
    <w:rsid w:val="00FF26AB"/>
    <w:rsid w:val="00FF26B8"/>
    <w:rsid w:val="00FF26BE"/>
    <w:rsid w:val="00FF26C0"/>
    <w:rsid w:val="00FF27E7"/>
    <w:rsid w:val="00FF2930"/>
    <w:rsid w:val="00FF2982"/>
    <w:rsid w:val="00FF2990"/>
    <w:rsid w:val="00FF29BB"/>
    <w:rsid w:val="00FF2A57"/>
    <w:rsid w:val="00FF2A92"/>
    <w:rsid w:val="00FF2AAB"/>
    <w:rsid w:val="00FF2AC1"/>
    <w:rsid w:val="00FF2ACF"/>
    <w:rsid w:val="00FF2ADC"/>
    <w:rsid w:val="00FF2BCC"/>
    <w:rsid w:val="00FF2C8E"/>
    <w:rsid w:val="00FF2CE2"/>
    <w:rsid w:val="00FF2D25"/>
    <w:rsid w:val="00FF2D31"/>
    <w:rsid w:val="00FF2D45"/>
    <w:rsid w:val="00FF2D75"/>
    <w:rsid w:val="00FF2D89"/>
    <w:rsid w:val="00FF2D9D"/>
    <w:rsid w:val="00FF2DDB"/>
    <w:rsid w:val="00FF2DE1"/>
    <w:rsid w:val="00FF2DEF"/>
    <w:rsid w:val="00FF2E72"/>
    <w:rsid w:val="00FF2ECA"/>
    <w:rsid w:val="00FF2EF8"/>
    <w:rsid w:val="00FF2F10"/>
    <w:rsid w:val="00FF2F25"/>
    <w:rsid w:val="00FF2F8E"/>
    <w:rsid w:val="00FF2FC5"/>
    <w:rsid w:val="00FF2FDB"/>
    <w:rsid w:val="00FF307D"/>
    <w:rsid w:val="00FF3085"/>
    <w:rsid w:val="00FF3099"/>
    <w:rsid w:val="00FF317C"/>
    <w:rsid w:val="00FF3189"/>
    <w:rsid w:val="00FF319C"/>
    <w:rsid w:val="00FF31FC"/>
    <w:rsid w:val="00FF32F7"/>
    <w:rsid w:val="00FF3302"/>
    <w:rsid w:val="00FF3305"/>
    <w:rsid w:val="00FF334B"/>
    <w:rsid w:val="00FF33F5"/>
    <w:rsid w:val="00FF3409"/>
    <w:rsid w:val="00FF345B"/>
    <w:rsid w:val="00FF34DD"/>
    <w:rsid w:val="00FF34F6"/>
    <w:rsid w:val="00FF34FB"/>
    <w:rsid w:val="00FF3524"/>
    <w:rsid w:val="00FF356F"/>
    <w:rsid w:val="00FF35F7"/>
    <w:rsid w:val="00FF36B2"/>
    <w:rsid w:val="00FF36FC"/>
    <w:rsid w:val="00FF373C"/>
    <w:rsid w:val="00FF3795"/>
    <w:rsid w:val="00FF37B8"/>
    <w:rsid w:val="00FF386C"/>
    <w:rsid w:val="00FF388B"/>
    <w:rsid w:val="00FF38F9"/>
    <w:rsid w:val="00FF393B"/>
    <w:rsid w:val="00FF39A7"/>
    <w:rsid w:val="00FF39BA"/>
    <w:rsid w:val="00FF39D3"/>
    <w:rsid w:val="00FF3AB8"/>
    <w:rsid w:val="00FF3B7F"/>
    <w:rsid w:val="00FF3BB5"/>
    <w:rsid w:val="00FF3BC0"/>
    <w:rsid w:val="00FF3C1D"/>
    <w:rsid w:val="00FF3C62"/>
    <w:rsid w:val="00FF3CF1"/>
    <w:rsid w:val="00FF3D0B"/>
    <w:rsid w:val="00FF3D12"/>
    <w:rsid w:val="00FF3D1D"/>
    <w:rsid w:val="00FF3D26"/>
    <w:rsid w:val="00FF3D2F"/>
    <w:rsid w:val="00FF3D78"/>
    <w:rsid w:val="00FF3DE8"/>
    <w:rsid w:val="00FF3DEB"/>
    <w:rsid w:val="00FF3DF3"/>
    <w:rsid w:val="00FF3E66"/>
    <w:rsid w:val="00FF3E78"/>
    <w:rsid w:val="00FF3E9B"/>
    <w:rsid w:val="00FF3EA5"/>
    <w:rsid w:val="00FF3EEE"/>
    <w:rsid w:val="00FF3F09"/>
    <w:rsid w:val="00FF3F40"/>
    <w:rsid w:val="00FF3F44"/>
    <w:rsid w:val="00FF4009"/>
    <w:rsid w:val="00FF4012"/>
    <w:rsid w:val="00FF40DA"/>
    <w:rsid w:val="00FF40E2"/>
    <w:rsid w:val="00FF412A"/>
    <w:rsid w:val="00FF4156"/>
    <w:rsid w:val="00FF4157"/>
    <w:rsid w:val="00FF418B"/>
    <w:rsid w:val="00FF4191"/>
    <w:rsid w:val="00FF41AE"/>
    <w:rsid w:val="00FF41BF"/>
    <w:rsid w:val="00FF41C5"/>
    <w:rsid w:val="00FF4287"/>
    <w:rsid w:val="00FF4288"/>
    <w:rsid w:val="00FF42B3"/>
    <w:rsid w:val="00FF4311"/>
    <w:rsid w:val="00FF43B7"/>
    <w:rsid w:val="00FF43C9"/>
    <w:rsid w:val="00FF440F"/>
    <w:rsid w:val="00FF441B"/>
    <w:rsid w:val="00FF4461"/>
    <w:rsid w:val="00FF4499"/>
    <w:rsid w:val="00FF44CC"/>
    <w:rsid w:val="00FF44DD"/>
    <w:rsid w:val="00FF44EC"/>
    <w:rsid w:val="00FF44ED"/>
    <w:rsid w:val="00FF4563"/>
    <w:rsid w:val="00FF461E"/>
    <w:rsid w:val="00FF46C9"/>
    <w:rsid w:val="00FF4708"/>
    <w:rsid w:val="00FF471D"/>
    <w:rsid w:val="00FF47B8"/>
    <w:rsid w:val="00FF47F9"/>
    <w:rsid w:val="00FF4802"/>
    <w:rsid w:val="00FF487C"/>
    <w:rsid w:val="00FF489F"/>
    <w:rsid w:val="00FF48D5"/>
    <w:rsid w:val="00FF48EE"/>
    <w:rsid w:val="00FF4916"/>
    <w:rsid w:val="00FF498A"/>
    <w:rsid w:val="00FF49D4"/>
    <w:rsid w:val="00FF4A79"/>
    <w:rsid w:val="00FF4ADF"/>
    <w:rsid w:val="00FF4B48"/>
    <w:rsid w:val="00FF4BA3"/>
    <w:rsid w:val="00FF4C2D"/>
    <w:rsid w:val="00FF4C36"/>
    <w:rsid w:val="00FF4C46"/>
    <w:rsid w:val="00FF4C54"/>
    <w:rsid w:val="00FF4CB4"/>
    <w:rsid w:val="00FF4CD1"/>
    <w:rsid w:val="00FF4CFD"/>
    <w:rsid w:val="00FF4D09"/>
    <w:rsid w:val="00FF4DA7"/>
    <w:rsid w:val="00FF4E51"/>
    <w:rsid w:val="00FF4E65"/>
    <w:rsid w:val="00FF4E7B"/>
    <w:rsid w:val="00FF4E85"/>
    <w:rsid w:val="00FF4FDA"/>
    <w:rsid w:val="00FF4FF4"/>
    <w:rsid w:val="00FF5065"/>
    <w:rsid w:val="00FF508B"/>
    <w:rsid w:val="00FF5101"/>
    <w:rsid w:val="00FF512E"/>
    <w:rsid w:val="00FF516F"/>
    <w:rsid w:val="00FF519E"/>
    <w:rsid w:val="00FF51D0"/>
    <w:rsid w:val="00FF51EB"/>
    <w:rsid w:val="00FF5212"/>
    <w:rsid w:val="00FF522C"/>
    <w:rsid w:val="00FF5283"/>
    <w:rsid w:val="00FF52BD"/>
    <w:rsid w:val="00FF52C3"/>
    <w:rsid w:val="00FF52E7"/>
    <w:rsid w:val="00FF5329"/>
    <w:rsid w:val="00FF53AF"/>
    <w:rsid w:val="00FF53B4"/>
    <w:rsid w:val="00FF54CB"/>
    <w:rsid w:val="00FF54E7"/>
    <w:rsid w:val="00FF550B"/>
    <w:rsid w:val="00FF5571"/>
    <w:rsid w:val="00FF55F5"/>
    <w:rsid w:val="00FF5603"/>
    <w:rsid w:val="00FF5613"/>
    <w:rsid w:val="00FF5662"/>
    <w:rsid w:val="00FF56C2"/>
    <w:rsid w:val="00FF56C4"/>
    <w:rsid w:val="00FF56D5"/>
    <w:rsid w:val="00FF571F"/>
    <w:rsid w:val="00FF5735"/>
    <w:rsid w:val="00FF5745"/>
    <w:rsid w:val="00FF579C"/>
    <w:rsid w:val="00FF57CE"/>
    <w:rsid w:val="00FF5828"/>
    <w:rsid w:val="00FF5875"/>
    <w:rsid w:val="00FF5894"/>
    <w:rsid w:val="00FF5901"/>
    <w:rsid w:val="00FF593D"/>
    <w:rsid w:val="00FF596B"/>
    <w:rsid w:val="00FF59DB"/>
    <w:rsid w:val="00FF5A2C"/>
    <w:rsid w:val="00FF5A46"/>
    <w:rsid w:val="00FF5A53"/>
    <w:rsid w:val="00FF5A71"/>
    <w:rsid w:val="00FF5A74"/>
    <w:rsid w:val="00FF5A9F"/>
    <w:rsid w:val="00FF5AAA"/>
    <w:rsid w:val="00FF5ACD"/>
    <w:rsid w:val="00FF5B01"/>
    <w:rsid w:val="00FF5B22"/>
    <w:rsid w:val="00FF5B3D"/>
    <w:rsid w:val="00FF5B76"/>
    <w:rsid w:val="00FF5C32"/>
    <w:rsid w:val="00FF5C5A"/>
    <w:rsid w:val="00FF5C6C"/>
    <w:rsid w:val="00FF5C72"/>
    <w:rsid w:val="00FF5CA4"/>
    <w:rsid w:val="00FF5CAC"/>
    <w:rsid w:val="00FF5CC7"/>
    <w:rsid w:val="00FF5CDD"/>
    <w:rsid w:val="00FF5CF8"/>
    <w:rsid w:val="00FF5D35"/>
    <w:rsid w:val="00FF5D3A"/>
    <w:rsid w:val="00FF5E4B"/>
    <w:rsid w:val="00FF5E89"/>
    <w:rsid w:val="00FF5E97"/>
    <w:rsid w:val="00FF5EBA"/>
    <w:rsid w:val="00FF5EE7"/>
    <w:rsid w:val="00FF5F39"/>
    <w:rsid w:val="00FF5F50"/>
    <w:rsid w:val="00FF5F94"/>
    <w:rsid w:val="00FF6024"/>
    <w:rsid w:val="00FF613A"/>
    <w:rsid w:val="00FF61BB"/>
    <w:rsid w:val="00FF6258"/>
    <w:rsid w:val="00FF627F"/>
    <w:rsid w:val="00FF6297"/>
    <w:rsid w:val="00FF62AD"/>
    <w:rsid w:val="00FF62AF"/>
    <w:rsid w:val="00FF62D1"/>
    <w:rsid w:val="00FF630C"/>
    <w:rsid w:val="00FF6335"/>
    <w:rsid w:val="00FF6361"/>
    <w:rsid w:val="00FF63D6"/>
    <w:rsid w:val="00FF63E0"/>
    <w:rsid w:val="00FF64A6"/>
    <w:rsid w:val="00FF64BB"/>
    <w:rsid w:val="00FF64CD"/>
    <w:rsid w:val="00FF6542"/>
    <w:rsid w:val="00FF6584"/>
    <w:rsid w:val="00FF658D"/>
    <w:rsid w:val="00FF65CB"/>
    <w:rsid w:val="00FF6681"/>
    <w:rsid w:val="00FF66CA"/>
    <w:rsid w:val="00FF6795"/>
    <w:rsid w:val="00FF67B0"/>
    <w:rsid w:val="00FF67D6"/>
    <w:rsid w:val="00FF6887"/>
    <w:rsid w:val="00FF68AE"/>
    <w:rsid w:val="00FF68EA"/>
    <w:rsid w:val="00FF6919"/>
    <w:rsid w:val="00FF698C"/>
    <w:rsid w:val="00FF69D9"/>
    <w:rsid w:val="00FF69F3"/>
    <w:rsid w:val="00FF6A4C"/>
    <w:rsid w:val="00FF6A74"/>
    <w:rsid w:val="00FF6A7F"/>
    <w:rsid w:val="00FF6AC2"/>
    <w:rsid w:val="00FF6AFC"/>
    <w:rsid w:val="00FF6B03"/>
    <w:rsid w:val="00FF6B18"/>
    <w:rsid w:val="00FF6B29"/>
    <w:rsid w:val="00FF6B87"/>
    <w:rsid w:val="00FF6B89"/>
    <w:rsid w:val="00FF6BB3"/>
    <w:rsid w:val="00FF6BE0"/>
    <w:rsid w:val="00FF6C1D"/>
    <w:rsid w:val="00FF6C58"/>
    <w:rsid w:val="00FF6C68"/>
    <w:rsid w:val="00FF6D0D"/>
    <w:rsid w:val="00FF6D35"/>
    <w:rsid w:val="00FF6D4E"/>
    <w:rsid w:val="00FF6D5B"/>
    <w:rsid w:val="00FF6E10"/>
    <w:rsid w:val="00FF6E89"/>
    <w:rsid w:val="00FF6EA2"/>
    <w:rsid w:val="00FF6EB2"/>
    <w:rsid w:val="00FF6EC7"/>
    <w:rsid w:val="00FF6F68"/>
    <w:rsid w:val="00FF70E2"/>
    <w:rsid w:val="00FF710E"/>
    <w:rsid w:val="00FF7120"/>
    <w:rsid w:val="00FF7157"/>
    <w:rsid w:val="00FF71B5"/>
    <w:rsid w:val="00FF723F"/>
    <w:rsid w:val="00FF725F"/>
    <w:rsid w:val="00FF72B7"/>
    <w:rsid w:val="00FF7321"/>
    <w:rsid w:val="00FF73DB"/>
    <w:rsid w:val="00FF742A"/>
    <w:rsid w:val="00FF742B"/>
    <w:rsid w:val="00FF74BA"/>
    <w:rsid w:val="00FF74C0"/>
    <w:rsid w:val="00FF74EA"/>
    <w:rsid w:val="00FF755C"/>
    <w:rsid w:val="00FF7575"/>
    <w:rsid w:val="00FF7576"/>
    <w:rsid w:val="00FF76DA"/>
    <w:rsid w:val="00FF7703"/>
    <w:rsid w:val="00FF773F"/>
    <w:rsid w:val="00FF7802"/>
    <w:rsid w:val="00FF7804"/>
    <w:rsid w:val="00FF7806"/>
    <w:rsid w:val="00FF7843"/>
    <w:rsid w:val="00FF785F"/>
    <w:rsid w:val="00FF78A8"/>
    <w:rsid w:val="00FF78E7"/>
    <w:rsid w:val="00FF7924"/>
    <w:rsid w:val="00FF7971"/>
    <w:rsid w:val="00FF79C3"/>
    <w:rsid w:val="00FF7A8A"/>
    <w:rsid w:val="00FF7A8B"/>
    <w:rsid w:val="00FF7A8D"/>
    <w:rsid w:val="00FF7AE1"/>
    <w:rsid w:val="00FF7B27"/>
    <w:rsid w:val="00FF7B6F"/>
    <w:rsid w:val="00FF7B85"/>
    <w:rsid w:val="00FF7BA7"/>
    <w:rsid w:val="00FF7BBB"/>
    <w:rsid w:val="00FF7C4C"/>
    <w:rsid w:val="00FF7C6C"/>
    <w:rsid w:val="00FF7C94"/>
    <w:rsid w:val="00FF7C96"/>
    <w:rsid w:val="00FF7CEB"/>
    <w:rsid w:val="00FF7D4C"/>
    <w:rsid w:val="00FF7D5B"/>
    <w:rsid w:val="00FF7D6A"/>
    <w:rsid w:val="00FF7D6B"/>
    <w:rsid w:val="00FF7DA8"/>
    <w:rsid w:val="00FF7DBF"/>
    <w:rsid w:val="00FF7DE4"/>
    <w:rsid w:val="00FF7EAB"/>
    <w:rsid w:val="00FF7EB3"/>
    <w:rsid w:val="00FF7EBA"/>
    <w:rsid w:val="00FF7EBC"/>
    <w:rsid w:val="00FF7EDE"/>
    <w:rsid w:val="00FF7EFC"/>
    <w:rsid w:val="00FF7F2F"/>
    <w:rsid w:val="00FF7F9F"/>
    <w:rsid w:val="00FF7FD8"/>
    <w:rsid w:val="0101CB69"/>
    <w:rsid w:val="0101E457"/>
    <w:rsid w:val="0104206C"/>
    <w:rsid w:val="01059B39"/>
    <w:rsid w:val="010724FF"/>
    <w:rsid w:val="010ADED9"/>
    <w:rsid w:val="010B337C"/>
    <w:rsid w:val="010D0A5E"/>
    <w:rsid w:val="010EA979"/>
    <w:rsid w:val="0110C173"/>
    <w:rsid w:val="0116A290"/>
    <w:rsid w:val="011714E3"/>
    <w:rsid w:val="01188F7B"/>
    <w:rsid w:val="0118AF23"/>
    <w:rsid w:val="0119C8BB"/>
    <w:rsid w:val="011A446D"/>
    <w:rsid w:val="011B0490"/>
    <w:rsid w:val="011B4A93"/>
    <w:rsid w:val="011EBBDA"/>
    <w:rsid w:val="012206AC"/>
    <w:rsid w:val="0124815B"/>
    <w:rsid w:val="01265D41"/>
    <w:rsid w:val="01278598"/>
    <w:rsid w:val="0127B823"/>
    <w:rsid w:val="01290125"/>
    <w:rsid w:val="012ACA52"/>
    <w:rsid w:val="012B13C2"/>
    <w:rsid w:val="012D2341"/>
    <w:rsid w:val="012DEE22"/>
    <w:rsid w:val="012F040E"/>
    <w:rsid w:val="0130DCD4"/>
    <w:rsid w:val="013446E1"/>
    <w:rsid w:val="01345732"/>
    <w:rsid w:val="0134CC1C"/>
    <w:rsid w:val="0138E4E0"/>
    <w:rsid w:val="01396839"/>
    <w:rsid w:val="0139D090"/>
    <w:rsid w:val="013B9DF2"/>
    <w:rsid w:val="013CF102"/>
    <w:rsid w:val="013DB53E"/>
    <w:rsid w:val="013E2EE6"/>
    <w:rsid w:val="013F9825"/>
    <w:rsid w:val="0140502A"/>
    <w:rsid w:val="01410CA8"/>
    <w:rsid w:val="0141F56F"/>
    <w:rsid w:val="01425EEE"/>
    <w:rsid w:val="01430E43"/>
    <w:rsid w:val="0147AF96"/>
    <w:rsid w:val="01496533"/>
    <w:rsid w:val="01497D25"/>
    <w:rsid w:val="014BC861"/>
    <w:rsid w:val="014BD389"/>
    <w:rsid w:val="014C7722"/>
    <w:rsid w:val="01500221"/>
    <w:rsid w:val="01516B92"/>
    <w:rsid w:val="01550EBA"/>
    <w:rsid w:val="015C397F"/>
    <w:rsid w:val="015D782A"/>
    <w:rsid w:val="015DE6D6"/>
    <w:rsid w:val="01601643"/>
    <w:rsid w:val="0161E36E"/>
    <w:rsid w:val="01665733"/>
    <w:rsid w:val="01671377"/>
    <w:rsid w:val="0167607C"/>
    <w:rsid w:val="0167AFAE"/>
    <w:rsid w:val="0168F19F"/>
    <w:rsid w:val="016933D6"/>
    <w:rsid w:val="016988D7"/>
    <w:rsid w:val="0169EA0D"/>
    <w:rsid w:val="016A4CFE"/>
    <w:rsid w:val="016AE99D"/>
    <w:rsid w:val="016B125F"/>
    <w:rsid w:val="016BC918"/>
    <w:rsid w:val="016D9881"/>
    <w:rsid w:val="016DCD64"/>
    <w:rsid w:val="016EB65C"/>
    <w:rsid w:val="016F2909"/>
    <w:rsid w:val="016F50DD"/>
    <w:rsid w:val="016FDD91"/>
    <w:rsid w:val="0170AF60"/>
    <w:rsid w:val="01721300"/>
    <w:rsid w:val="0172BFB1"/>
    <w:rsid w:val="0173A22E"/>
    <w:rsid w:val="01756869"/>
    <w:rsid w:val="01764D13"/>
    <w:rsid w:val="0176AD88"/>
    <w:rsid w:val="01775F13"/>
    <w:rsid w:val="0177AD6D"/>
    <w:rsid w:val="01780992"/>
    <w:rsid w:val="0178F68F"/>
    <w:rsid w:val="0179B60B"/>
    <w:rsid w:val="017F344A"/>
    <w:rsid w:val="018493F3"/>
    <w:rsid w:val="0184CD24"/>
    <w:rsid w:val="0188ABF8"/>
    <w:rsid w:val="0189117E"/>
    <w:rsid w:val="0189A60E"/>
    <w:rsid w:val="01905EB4"/>
    <w:rsid w:val="019156F3"/>
    <w:rsid w:val="01933232"/>
    <w:rsid w:val="01958D67"/>
    <w:rsid w:val="0195E656"/>
    <w:rsid w:val="01984B0D"/>
    <w:rsid w:val="019886AC"/>
    <w:rsid w:val="01998303"/>
    <w:rsid w:val="019A2246"/>
    <w:rsid w:val="019B4408"/>
    <w:rsid w:val="01A093B7"/>
    <w:rsid w:val="01A241D5"/>
    <w:rsid w:val="01A36B7E"/>
    <w:rsid w:val="01A714FB"/>
    <w:rsid w:val="01A7A78F"/>
    <w:rsid w:val="01AAFBF5"/>
    <w:rsid w:val="01AB8320"/>
    <w:rsid w:val="01AC1811"/>
    <w:rsid w:val="01AD221F"/>
    <w:rsid w:val="01B0D30E"/>
    <w:rsid w:val="01B0E0A0"/>
    <w:rsid w:val="01B22CEE"/>
    <w:rsid w:val="01B25B47"/>
    <w:rsid w:val="01B3AAA5"/>
    <w:rsid w:val="01B84757"/>
    <w:rsid w:val="01B9C73B"/>
    <w:rsid w:val="01BB3A0E"/>
    <w:rsid w:val="01BC55A0"/>
    <w:rsid w:val="01BC9CC5"/>
    <w:rsid w:val="01BDD415"/>
    <w:rsid w:val="01BDF3BC"/>
    <w:rsid w:val="01BE214E"/>
    <w:rsid w:val="01BE2FCE"/>
    <w:rsid w:val="01C04F28"/>
    <w:rsid w:val="01C34C1C"/>
    <w:rsid w:val="01C557D6"/>
    <w:rsid w:val="01C6EF09"/>
    <w:rsid w:val="01C99CE6"/>
    <w:rsid w:val="01CAD897"/>
    <w:rsid w:val="01CCCF5C"/>
    <w:rsid w:val="01CD4B73"/>
    <w:rsid w:val="01CE733E"/>
    <w:rsid w:val="01D109F5"/>
    <w:rsid w:val="01D2A07D"/>
    <w:rsid w:val="01D3784E"/>
    <w:rsid w:val="01D42434"/>
    <w:rsid w:val="01D4B2D5"/>
    <w:rsid w:val="01D4DCB5"/>
    <w:rsid w:val="01D4E78C"/>
    <w:rsid w:val="01D88B63"/>
    <w:rsid w:val="01D8C2AE"/>
    <w:rsid w:val="01D9FAE0"/>
    <w:rsid w:val="01DA32EE"/>
    <w:rsid w:val="01DD43D9"/>
    <w:rsid w:val="01DE0700"/>
    <w:rsid w:val="01DFDD5C"/>
    <w:rsid w:val="01E193D2"/>
    <w:rsid w:val="01E3803D"/>
    <w:rsid w:val="01E3C42E"/>
    <w:rsid w:val="01E3C883"/>
    <w:rsid w:val="01E60920"/>
    <w:rsid w:val="01E6ADB7"/>
    <w:rsid w:val="01E8269A"/>
    <w:rsid w:val="01E9B424"/>
    <w:rsid w:val="01EC6B69"/>
    <w:rsid w:val="01EED99C"/>
    <w:rsid w:val="01F0D3CF"/>
    <w:rsid w:val="01F2F818"/>
    <w:rsid w:val="01F33B24"/>
    <w:rsid w:val="01F373FE"/>
    <w:rsid w:val="01F3FB02"/>
    <w:rsid w:val="01F3FD0B"/>
    <w:rsid w:val="01F4AB04"/>
    <w:rsid w:val="01F64107"/>
    <w:rsid w:val="01F6B7EE"/>
    <w:rsid w:val="01F82BC3"/>
    <w:rsid w:val="01F9FD6B"/>
    <w:rsid w:val="01FAC196"/>
    <w:rsid w:val="01FACFF3"/>
    <w:rsid w:val="02002B3B"/>
    <w:rsid w:val="0203252C"/>
    <w:rsid w:val="020872D9"/>
    <w:rsid w:val="020AF909"/>
    <w:rsid w:val="020EE065"/>
    <w:rsid w:val="0211B41C"/>
    <w:rsid w:val="02160800"/>
    <w:rsid w:val="0216CC23"/>
    <w:rsid w:val="02191B18"/>
    <w:rsid w:val="021A8C69"/>
    <w:rsid w:val="021ACB5F"/>
    <w:rsid w:val="022034A1"/>
    <w:rsid w:val="02248C3F"/>
    <w:rsid w:val="0226D15B"/>
    <w:rsid w:val="0226FA27"/>
    <w:rsid w:val="02274A38"/>
    <w:rsid w:val="02279B40"/>
    <w:rsid w:val="022A17AF"/>
    <w:rsid w:val="022A8711"/>
    <w:rsid w:val="022AF6DE"/>
    <w:rsid w:val="022CCE9D"/>
    <w:rsid w:val="022E76C6"/>
    <w:rsid w:val="0230476D"/>
    <w:rsid w:val="02315BF2"/>
    <w:rsid w:val="02329651"/>
    <w:rsid w:val="0232F98E"/>
    <w:rsid w:val="02343310"/>
    <w:rsid w:val="02348E55"/>
    <w:rsid w:val="02349D70"/>
    <w:rsid w:val="0235B56C"/>
    <w:rsid w:val="02387CFF"/>
    <w:rsid w:val="023A1655"/>
    <w:rsid w:val="023B60C8"/>
    <w:rsid w:val="023DF27E"/>
    <w:rsid w:val="023E6A16"/>
    <w:rsid w:val="023EA4ED"/>
    <w:rsid w:val="023EEC3B"/>
    <w:rsid w:val="02455CF8"/>
    <w:rsid w:val="02473F3D"/>
    <w:rsid w:val="02491709"/>
    <w:rsid w:val="0249A222"/>
    <w:rsid w:val="0249F280"/>
    <w:rsid w:val="024A4048"/>
    <w:rsid w:val="024BFEED"/>
    <w:rsid w:val="024C5EB5"/>
    <w:rsid w:val="024D3022"/>
    <w:rsid w:val="024E7FE5"/>
    <w:rsid w:val="025074F6"/>
    <w:rsid w:val="0251AB0B"/>
    <w:rsid w:val="025578E4"/>
    <w:rsid w:val="0255EB6F"/>
    <w:rsid w:val="025717A7"/>
    <w:rsid w:val="025823C2"/>
    <w:rsid w:val="0259AA1B"/>
    <w:rsid w:val="0259E7AF"/>
    <w:rsid w:val="025DE757"/>
    <w:rsid w:val="02633E22"/>
    <w:rsid w:val="02662495"/>
    <w:rsid w:val="02662B78"/>
    <w:rsid w:val="026676D0"/>
    <w:rsid w:val="0266DE69"/>
    <w:rsid w:val="026863A2"/>
    <w:rsid w:val="026904F8"/>
    <w:rsid w:val="026A8881"/>
    <w:rsid w:val="026D35AC"/>
    <w:rsid w:val="026D4178"/>
    <w:rsid w:val="026D8C0F"/>
    <w:rsid w:val="0270C758"/>
    <w:rsid w:val="027505A9"/>
    <w:rsid w:val="02753F47"/>
    <w:rsid w:val="027579C5"/>
    <w:rsid w:val="0275EC64"/>
    <w:rsid w:val="0277DBCA"/>
    <w:rsid w:val="0278A8F9"/>
    <w:rsid w:val="027D7F46"/>
    <w:rsid w:val="027E3952"/>
    <w:rsid w:val="027E55FC"/>
    <w:rsid w:val="027EBED9"/>
    <w:rsid w:val="027F187C"/>
    <w:rsid w:val="02857D01"/>
    <w:rsid w:val="02886441"/>
    <w:rsid w:val="028889D2"/>
    <w:rsid w:val="028D8674"/>
    <w:rsid w:val="028EDB76"/>
    <w:rsid w:val="028F0EEC"/>
    <w:rsid w:val="0290079E"/>
    <w:rsid w:val="0291EB25"/>
    <w:rsid w:val="02936D7F"/>
    <w:rsid w:val="02947E8C"/>
    <w:rsid w:val="0295D748"/>
    <w:rsid w:val="02965DC5"/>
    <w:rsid w:val="02973B68"/>
    <w:rsid w:val="0299161A"/>
    <w:rsid w:val="0299EE11"/>
    <w:rsid w:val="029A2DB5"/>
    <w:rsid w:val="029BE189"/>
    <w:rsid w:val="029C138A"/>
    <w:rsid w:val="029CC31A"/>
    <w:rsid w:val="029F16EF"/>
    <w:rsid w:val="029FC73F"/>
    <w:rsid w:val="02A25FBA"/>
    <w:rsid w:val="02A4CA17"/>
    <w:rsid w:val="02A987FB"/>
    <w:rsid w:val="02A9D595"/>
    <w:rsid w:val="02AB404C"/>
    <w:rsid w:val="02ACE50B"/>
    <w:rsid w:val="02AEE35C"/>
    <w:rsid w:val="02B88361"/>
    <w:rsid w:val="02BAADD4"/>
    <w:rsid w:val="02BC14CF"/>
    <w:rsid w:val="02BCD9ED"/>
    <w:rsid w:val="02C1EA96"/>
    <w:rsid w:val="02C30805"/>
    <w:rsid w:val="02C39568"/>
    <w:rsid w:val="02C528B2"/>
    <w:rsid w:val="02C6D0E5"/>
    <w:rsid w:val="02C952FE"/>
    <w:rsid w:val="02C9DFF4"/>
    <w:rsid w:val="02CA09B2"/>
    <w:rsid w:val="02CBE215"/>
    <w:rsid w:val="02CC1FBC"/>
    <w:rsid w:val="02CCB7BD"/>
    <w:rsid w:val="02CF9AB6"/>
    <w:rsid w:val="02D33C0C"/>
    <w:rsid w:val="02D37318"/>
    <w:rsid w:val="02D498C1"/>
    <w:rsid w:val="02D588FE"/>
    <w:rsid w:val="02D92294"/>
    <w:rsid w:val="02DB3928"/>
    <w:rsid w:val="02DC78B2"/>
    <w:rsid w:val="02DED19B"/>
    <w:rsid w:val="02E0E05B"/>
    <w:rsid w:val="02E20BE1"/>
    <w:rsid w:val="02E37356"/>
    <w:rsid w:val="02E7C46D"/>
    <w:rsid w:val="02E819AB"/>
    <w:rsid w:val="02E89AC6"/>
    <w:rsid w:val="02E9E3AC"/>
    <w:rsid w:val="02F37109"/>
    <w:rsid w:val="02FD5AA3"/>
    <w:rsid w:val="02FE1025"/>
    <w:rsid w:val="02FEDBB8"/>
    <w:rsid w:val="030068F4"/>
    <w:rsid w:val="03047A42"/>
    <w:rsid w:val="03051D2C"/>
    <w:rsid w:val="0308D396"/>
    <w:rsid w:val="030B2F22"/>
    <w:rsid w:val="030BC181"/>
    <w:rsid w:val="030D8887"/>
    <w:rsid w:val="030E8727"/>
    <w:rsid w:val="03105331"/>
    <w:rsid w:val="0311C8A6"/>
    <w:rsid w:val="031555E7"/>
    <w:rsid w:val="0315B946"/>
    <w:rsid w:val="0315DAD8"/>
    <w:rsid w:val="0316A731"/>
    <w:rsid w:val="0318F91C"/>
    <w:rsid w:val="031A6D4A"/>
    <w:rsid w:val="031C66A7"/>
    <w:rsid w:val="031D7A94"/>
    <w:rsid w:val="031E674D"/>
    <w:rsid w:val="031E7933"/>
    <w:rsid w:val="031EBE30"/>
    <w:rsid w:val="031F4C75"/>
    <w:rsid w:val="0320A7B5"/>
    <w:rsid w:val="0324B73F"/>
    <w:rsid w:val="0326A83F"/>
    <w:rsid w:val="03272757"/>
    <w:rsid w:val="03285C6A"/>
    <w:rsid w:val="03289079"/>
    <w:rsid w:val="032C9076"/>
    <w:rsid w:val="032D654F"/>
    <w:rsid w:val="032E5EE3"/>
    <w:rsid w:val="03307C29"/>
    <w:rsid w:val="033190CC"/>
    <w:rsid w:val="03332A05"/>
    <w:rsid w:val="03334549"/>
    <w:rsid w:val="03356C99"/>
    <w:rsid w:val="033623AB"/>
    <w:rsid w:val="03369DB9"/>
    <w:rsid w:val="0338AF63"/>
    <w:rsid w:val="033C9F60"/>
    <w:rsid w:val="033D07C7"/>
    <w:rsid w:val="033F34D0"/>
    <w:rsid w:val="033F9998"/>
    <w:rsid w:val="0341C588"/>
    <w:rsid w:val="03429782"/>
    <w:rsid w:val="0342D6D1"/>
    <w:rsid w:val="0343BCE0"/>
    <w:rsid w:val="0343D6B0"/>
    <w:rsid w:val="034516AE"/>
    <w:rsid w:val="03451DD7"/>
    <w:rsid w:val="0345A5DA"/>
    <w:rsid w:val="0345DAEB"/>
    <w:rsid w:val="0346A431"/>
    <w:rsid w:val="03473F34"/>
    <w:rsid w:val="0348EBD2"/>
    <w:rsid w:val="034B0384"/>
    <w:rsid w:val="034BBF01"/>
    <w:rsid w:val="034EA0B2"/>
    <w:rsid w:val="034EEFF0"/>
    <w:rsid w:val="034F72F1"/>
    <w:rsid w:val="035249A0"/>
    <w:rsid w:val="0352D6A0"/>
    <w:rsid w:val="035339E9"/>
    <w:rsid w:val="0353DBA3"/>
    <w:rsid w:val="0355AC40"/>
    <w:rsid w:val="0356F661"/>
    <w:rsid w:val="035838AA"/>
    <w:rsid w:val="03590015"/>
    <w:rsid w:val="035C3C5D"/>
    <w:rsid w:val="035E6CFF"/>
    <w:rsid w:val="035E7D86"/>
    <w:rsid w:val="0361547B"/>
    <w:rsid w:val="03617225"/>
    <w:rsid w:val="03639DE2"/>
    <w:rsid w:val="0364F7E1"/>
    <w:rsid w:val="03669442"/>
    <w:rsid w:val="036A4F9B"/>
    <w:rsid w:val="036D7E72"/>
    <w:rsid w:val="037084D6"/>
    <w:rsid w:val="03717F15"/>
    <w:rsid w:val="03749A57"/>
    <w:rsid w:val="0374EBB9"/>
    <w:rsid w:val="0375C90F"/>
    <w:rsid w:val="03792806"/>
    <w:rsid w:val="03797AFD"/>
    <w:rsid w:val="03799A36"/>
    <w:rsid w:val="037CE9B6"/>
    <w:rsid w:val="037E1A57"/>
    <w:rsid w:val="037E762B"/>
    <w:rsid w:val="0380165A"/>
    <w:rsid w:val="0382E4A8"/>
    <w:rsid w:val="03848FB6"/>
    <w:rsid w:val="0385A5C9"/>
    <w:rsid w:val="0386C29B"/>
    <w:rsid w:val="0387AD11"/>
    <w:rsid w:val="0387F820"/>
    <w:rsid w:val="038900DF"/>
    <w:rsid w:val="03892507"/>
    <w:rsid w:val="038B1011"/>
    <w:rsid w:val="038BB574"/>
    <w:rsid w:val="038CEEE5"/>
    <w:rsid w:val="038FA122"/>
    <w:rsid w:val="038FB126"/>
    <w:rsid w:val="038FF171"/>
    <w:rsid w:val="0392348B"/>
    <w:rsid w:val="0392E73B"/>
    <w:rsid w:val="03969CE4"/>
    <w:rsid w:val="039B11EA"/>
    <w:rsid w:val="039C8F3D"/>
    <w:rsid w:val="03A098B5"/>
    <w:rsid w:val="03A0CC1A"/>
    <w:rsid w:val="03A0D2DB"/>
    <w:rsid w:val="03A2548B"/>
    <w:rsid w:val="03A2D0DB"/>
    <w:rsid w:val="03A3109B"/>
    <w:rsid w:val="03A33551"/>
    <w:rsid w:val="03A40E69"/>
    <w:rsid w:val="03A41CF2"/>
    <w:rsid w:val="03A505A0"/>
    <w:rsid w:val="03A54FDB"/>
    <w:rsid w:val="03A65AA4"/>
    <w:rsid w:val="03A66A3F"/>
    <w:rsid w:val="03A6CC06"/>
    <w:rsid w:val="03AA670A"/>
    <w:rsid w:val="03AC00C9"/>
    <w:rsid w:val="03ACA2C4"/>
    <w:rsid w:val="03ACDD7B"/>
    <w:rsid w:val="03ADE08F"/>
    <w:rsid w:val="03AE7579"/>
    <w:rsid w:val="03B09CD5"/>
    <w:rsid w:val="03B0F5AA"/>
    <w:rsid w:val="03B12FBD"/>
    <w:rsid w:val="03B166AF"/>
    <w:rsid w:val="03B44C77"/>
    <w:rsid w:val="03B54D17"/>
    <w:rsid w:val="03B5D427"/>
    <w:rsid w:val="03B6AC0B"/>
    <w:rsid w:val="03B99226"/>
    <w:rsid w:val="03B9A5F3"/>
    <w:rsid w:val="03BA6044"/>
    <w:rsid w:val="03BB3654"/>
    <w:rsid w:val="03BC319B"/>
    <w:rsid w:val="03BDB64F"/>
    <w:rsid w:val="03BE0916"/>
    <w:rsid w:val="03BF0FFC"/>
    <w:rsid w:val="03BF35B2"/>
    <w:rsid w:val="03C005DE"/>
    <w:rsid w:val="03C49149"/>
    <w:rsid w:val="03C4DA63"/>
    <w:rsid w:val="03C782F7"/>
    <w:rsid w:val="03CA8899"/>
    <w:rsid w:val="03CAA69D"/>
    <w:rsid w:val="03CC009D"/>
    <w:rsid w:val="03CDC3C6"/>
    <w:rsid w:val="03CE0999"/>
    <w:rsid w:val="03CED375"/>
    <w:rsid w:val="03D091B3"/>
    <w:rsid w:val="03D0E388"/>
    <w:rsid w:val="03D0F3AC"/>
    <w:rsid w:val="03D363BA"/>
    <w:rsid w:val="03D41629"/>
    <w:rsid w:val="03D6DE98"/>
    <w:rsid w:val="03DC07F6"/>
    <w:rsid w:val="03DE508F"/>
    <w:rsid w:val="03DE7857"/>
    <w:rsid w:val="03E09C41"/>
    <w:rsid w:val="03E24226"/>
    <w:rsid w:val="03E5729D"/>
    <w:rsid w:val="03E5FF0D"/>
    <w:rsid w:val="03E87FE8"/>
    <w:rsid w:val="03E89A32"/>
    <w:rsid w:val="03E9B79A"/>
    <w:rsid w:val="03EAC0E6"/>
    <w:rsid w:val="03EBDE72"/>
    <w:rsid w:val="03ED19A0"/>
    <w:rsid w:val="03EE06EC"/>
    <w:rsid w:val="03F0014F"/>
    <w:rsid w:val="03F26778"/>
    <w:rsid w:val="03F397A0"/>
    <w:rsid w:val="03F3CC7A"/>
    <w:rsid w:val="03F3DA4E"/>
    <w:rsid w:val="03F5FB1E"/>
    <w:rsid w:val="03F6E30F"/>
    <w:rsid w:val="03FB99DE"/>
    <w:rsid w:val="03FBB2EE"/>
    <w:rsid w:val="03FC881F"/>
    <w:rsid w:val="03FE6352"/>
    <w:rsid w:val="03FE7256"/>
    <w:rsid w:val="0404EF6B"/>
    <w:rsid w:val="04060968"/>
    <w:rsid w:val="040783C7"/>
    <w:rsid w:val="04086DD0"/>
    <w:rsid w:val="04099732"/>
    <w:rsid w:val="040E9E8C"/>
    <w:rsid w:val="04119C81"/>
    <w:rsid w:val="0412699E"/>
    <w:rsid w:val="041348B0"/>
    <w:rsid w:val="0415B3C3"/>
    <w:rsid w:val="041834F5"/>
    <w:rsid w:val="04185E67"/>
    <w:rsid w:val="04187F8D"/>
    <w:rsid w:val="041983F5"/>
    <w:rsid w:val="041A3142"/>
    <w:rsid w:val="041AB6A1"/>
    <w:rsid w:val="041AD7B1"/>
    <w:rsid w:val="041B2A6E"/>
    <w:rsid w:val="041CCFA1"/>
    <w:rsid w:val="041E0317"/>
    <w:rsid w:val="041F233D"/>
    <w:rsid w:val="04215A54"/>
    <w:rsid w:val="04232561"/>
    <w:rsid w:val="042390EA"/>
    <w:rsid w:val="0423D766"/>
    <w:rsid w:val="0426C026"/>
    <w:rsid w:val="04273BB4"/>
    <w:rsid w:val="042B5826"/>
    <w:rsid w:val="042B96E2"/>
    <w:rsid w:val="042CEACF"/>
    <w:rsid w:val="042D1E46"/>
    <w:rsid w:val="042D20EA"/>
    <w:rsid w:val="042F2C8A"/>
    <w:rsid w:val="04312118"/>
    <w:rsid w:val="0439C748"/>
    <w:rsid w:val="043A3B12"/>
    <w:rsid w:val="043A9AB8"/>
    <w:rsid w:val="043EBE3E"/>
    <w:rsid w:val="043F100F"/>
    <w:rsid w:val="043FD8D4"/>
    <w:rsid w:val="0440D361"/>
    <w:rsid w:val="0440E6FE"/>
    <w:rsid w:val="0441BA39"/>
    <w:rsid w:val="044219DB"/>
    <w:rsid w:val="0444DEC6"/>
    <w:rsid w:val="04461A50"/>
    <w:rsid w:val="044A1AB6"/>
    <w:rsid w:val="044A5AD8"/>
    <w:rsid w:val="044C9823"/>
    <w:rsid w:val="044D81F6"/>
    <w:rsid w:val="044E0DAF"/>
    <w:rsid w:val="0451DD57"/>
    <w:rsid w:val="04548857"/>
    <w:rsid w:val="04555869"/>
    <w:rsid w:val="0456107B"/>
    <w:rsid w:val="045734B9"/>
    <w:rsid w:val="04573820"/>
    <w:rsid w:val="045A7949"/>
    <w:rsid w:val="045B93F0"/>
    <w:rsid w:val="045F02F2"/>
    <w:rsid w:val="04602F8F"/>
    <w:rsid w:val="0463FC94"/>
    <w:rsid w:val="0464CD6B"/>
    <w:rsid w:val="0466C9E6"/>
    <w:rsid w:val="04699A63"/>
    <w:rsid w:val="046ACFC0"/>
    <w:rsid w:val="046BB69D"/>
    <w:rsid w:val="046E6CEA"/>
    <w:rsid w:val="04704203"/>
    <w:rsid w:val="047190F2"/>
    <w:rsid w:val="0471FE19"/>
    <w:rsid w:val="047408CC"/>
    <w:rsid w:val="04762783"/>
    <w:rsid w:val="0476CC90"/>
    <w:rsid w:val="04777337"/>
    <w:rsid w:val="0478C7D5"/>
    <w:rsid w:val="0478CA6A"/>
    <w:rsid w:val="0479E4C3"/>
    <w:rsid w:val="047B916A"/>
    <w:rsid w:val="047D504E"/>
    <w:rsid w:val="047EB3AF"/>
    <w:rsid w:val="047F3624"/>
    <w:rsid w:val="048044E9"/>
    <w:rsid w:val="04820406"/>
    <w:rsid w:val="04839A19"/>
    <w:rsid w:val="04846B39"/>
    <w:rsid w:val="0486E5C4"/>
    <w:rsid w:val="048704DD"/>
    <w:rsid w:val="0487165B"/>
    <w:rsid w:val="0487849D"/>
    <w:rsid w:val="04888517"/>
    <w:rsid w:val="0489D717"/>
    <w:rsid w:val="048F4ECA"/>
    <w:rsid w:val="049193C7"/>
    <w:rsid w:val="04923405"/>
    <w:rsid w:val="04929269"/>
    <w:rsid w:val="04974D6D"/>
    <w:rsid w:val="049D596E"/>
    <w:rsid w:val="049DB764"/>
    <w:rsid w:val="049F8337"/>
    <w:rsid w:val="04A2E6BC"/>
    <w:rsid w:val="04A2F710"/>
    <w:rsid w:val="04A3283A"/>
    <w:rsid w:val="04A32F78"/>
    <w:rsid w:val="04A434CD"/>
    <w:rsid w:val="04A460D8"/>
    <w:rsid w:val="04A47E23"/>
    <w:rsid w:val="04A6708A"/>
    <w:rsid w:val="04A7EF6D"/>
    <w:rsid w:val="04A87D2D"/>
    <w:rsid w:val="04A937C9"/>
    <w:rsid w:val="04A9F18B"/>
    <w:rsid w:val="04ACE9ED"/>
    <w:rsid w:val="04AE2E8D"/>
    <w:rsid w:val="04AEB133"/>
    <w:rsid w:val="04B17F0F"/>
    <w:rsid w:val="04B1B166"/>
    <w:rsid w:val="04B48E6B"/>
    <w:rsid w:val="04B6439B"/>
    <w:rsid w:val="04BA6163"/>
    <w:rsid w:val="04BC201F"/>
    <w:rsid w:val="04BD256E"/>
    <w:rsid w:val="04BE61D0"/>
    <w:rsid w:val="04C053E6"/>
    <w:rsid w:val="04C07177"/>
    <w:rsid w:val="04C5A352"/>
    <w:rsid w:val="04C63292"/>
    <w:rsid w:val="04C81100"/>
    <w:rsid w:val="04C9FB46"/>
    <w:rsid w:val="04CB1A45"/>
    <w:rsid w:val="04CC12A9"/>
    <w:rsid w:val="04D32006"/>
    <w:rsid w:val="04D372DF"/>
    <w:rsid w:val="04D76BC3"/>
    <w:rsid w:val="04D93AC8"/>
    <w:rsid w:val="04DAC824"/>
    <w:rsid w:val="04DADEAB"/>
    <w:rsid w:val="04DD6013"/>
    <w:rsid w:val="04DF242E"/>
    <w:rsid w:val="04E28D38"/>
    <w:rsid w:val="04E2E83E"/>
    <w:rsid w:val="04E31548"/>
    <w:rsid w:val="04E7A9EB"/>
    <w:rsid w:val="04E88DA2"/>
    <w:rsid w:val="04EA0C9A"/>
    <w:rsid w:val="04EA5460"/>
    <w:rsid w:val="04EE3972"/>
    <w:rsid w:val="04EE9FD0"/>
    <w:rsid w:val="04EF0450"/>
    <w:rsid w:val="04F02B48"/>
    <w:rsid w:val="04F067AA"/>
    <w:rsid w:val="04F10DB1"/>
    <w:rsid w:val="04F1CC87"/>
    <w:rsid w:val="04F6CE46"/>
    <w:rsid w:val="04FBFCD1"/>
    <w:rsid w:val="04FC3FFA"/>
    <w:rsid w:val="04FCB534"/>
    <w:rsid w:val="04FDA1E6"/>
    <w:rsid w:val="0500BABF"/>
    <w:rsid w:val="050135B3"/>
    <w:rsid w:val="050681C5"/>
    <w:rsid w:val="05077A6B"/>
    <w:rsid w:val="0507A480"/>
    <w:rsid w:val="0508F8FF"/>
    <w:rsid w:val="050C57EA"/>
    <w:rsid w:val="050DB64B"/>
    <w:rsid w:val="0511CC80"/>
    <w:rsid w:val="05145955"/>
    <w:rsid w:val="0514D7D4"/>
    <w:rsid w:val="05164042"/>
    <w:rsid w:val="05169D3D"/>
    <w:rsid w:val="0517056D"/>
    <w:rsid w:val="0517E032"/>
    <w:rsid w:val="0518AA4D"/>
    <w:rsid w:val="051C3077"/>
    <w:rsid w:val="051C7951"/>
    <w:rsid w:val="051CBF98"/>
    <w:rsid w:val="051DA6C7"/>
    <w:rsid w:val="052036BA"/>
    <w:rsid w:val="0521D1CA"/>
    <w:rsid w:val="052282EA"/>
    <w:rsid w:val="052571E2"/>
    <w:rsid w:val="0526621C"/>
    <w:rsid w:val="0527DD64"/>
    <w:rsid w:val="05288CBF"/>
    <w:rsid w:val="05289BE9"/>
    <w:rsid w:val="052A3442"/>
    <w:rsid w:val="052B0744"/>
    <w:rsid w:val="052B2EB1"/>
    <w:rsid w:val="052C4730"/>
    <w:rsid w:val="052DC5BE"/>
    <w:rsid w:val="052DFEBC"/>
    <w:rsid w:val="052F8D34"/>
    <w:rsid w:val="05328106"/>
    <w:rsid w:val="05332E97"/>
    <w:rsid w:val="0533C125"/>
    <w:rsid w:val="0534E4C0"/>
    <w:rsid w:val="0535EEE1"/>
    <w:rsid w:val="0537258B"/>
    <w:rsid w:val="0537ED29"/>
    <w:rsid w:val="05389925"/>
    <w:rsid w:val="053A3E4E"/>
    <w:rsid w:val="053A8A66"/>
    <w:rsid w:val="053DC2C1"/>
    <w:rsid w:val="053EDB1C"/>
    <w:rsid w:val="054A293C"/>
    <w:rsid w:val="054B173F"/>
    <w:rsid w:val="054D211A"/>
    <w:rsid w:val="054E3C0A"/>
    <w:rsid w:val="054ED132"/>
    <w:rsid w:val="05528D0E"/>
    <w:rsid w:val="05535BF9"/>
    <w:rsid w:val="05541C17"/>
    <w:rsid w:val="0556C326"/>
    <w:rsid w:val="055D7A80"/>
    <w:rsid w:val="05613A71"/>
    <w:rsid w:val="05678840"/>
    <w:rsid w:val="05688994"/>
    <w:rsid w:val="0568BDFA"/>
    <w:rsid w:val="05696773"/>
    <w:rsid w:val="0569AD8A"/>
    <w:rsid w:val="056C50C9"/>
    <w:rsid w:val="056D645A"/>
    <w:rsid w:val="056DE080"/>
    <w:rsid w:val="056EEF68"/>
    <w:rsid w:val="05717080"/>
    <w:rsid w:val="05734E3B"/>
    <w:rsid w:val="057723D5"/>
    <w:rsid w:val="05775D57"/>
    <w:rsid w:val="05782A58"/>
    <w:rsid w:val="05793CEE"/>
    <w:rsid w:val="057A73E3"/>
    <w:rsid w:val="057AB115"/>
    <w:rsid w:val="057FE9EA"/>
    <w:rsid w:val="05810C59"/>
    <w:rsid w:val="05814E41"/>
    <w:rsid w:val="0586362C"/>
    <w:rsid w:val="0587ADA0"/>
    <w:rsid w:val="058850BF"/>
    <w:rsid w:val="058867B4"/>
    <w:rsid w:val="0588E923"/>
    <w:rsid w:val="058D2185"/>
    <w:rsid w:val="05939BEB"/>
    <w:rsid w:val="0593AF16"/>
    <w:rsid w:val="059815FF"/>
    <w:rsid w:val="059A612B"/>
    <w:rsid w:val="059BF7F2"/>
    <w:rsid w:val="059C4696"/>
    <w:rsid w:val="059CF38E"/>
    <w:rsid w:val="059CF49B"/>
    <w:rsid w:val="059E3239"/>
    <w:rsid w:val="05A4A788"/>
    <w:rsid w:val="05A5406F"/>
    <w:rsid w:val="05A5DB81"/>
    <w:rsid w:val="05A5E0F8"/>
    <w:rsid w:val="05A74BD4"/>
    <w:rsid w:val="05A96AD9"/>
    <w:rsid w:val="05ABD79E"/>
    <w:rsid w:val="05AC4951"/>
    <w:rsid w:val="05ACCB3E"/>
    <w:rsid w:val="05AF202B"/>
    <w:rsid w:val="05AFC9D8"/>
    <w:rsid w:val="05B3D122"/>
    <w:rsid w:val="05B661C4"/>
    <w:rsid w:val="05BF7E26"/>
    <w:rsid w:val="05C0C6B5"/>
    <w:rsid w:val="05C3905E"/>
    <w:rsid w:val="05C4B8D5"/>
    <w:rsid w:val="05C7C8F8"/>
    <w:rsid w:val="05CA1C6B"/>
    <w:rsid w:val="05CA3AB9"/>
    <w:rsid w:val="05CAD673"/>
    <w:rsid w:val="05CD3A3C"/>
    <w:rsid w:val="05CE9DE2"/>
    <w:rsid w:val="05CEB068"/>
    <w:rsid w:val="05CF49F4"/>
    <w:rsid w:val="05CFCF84"/>
    <w:rsid w:val="05D026DF"/>
    <w:rsid w:val="05D1184C"/>
    <w:rsid w:val="05D19394"/>
    <w:rsid w:val="05D20353"/>
    <w:rsid w:val="05D269A4"/>
    <w:rsid w:val="05D27BC7"/>
    <w:rsid w:val="05D40FBC"/>
    <w:rsid w:val="05D42E74"/>
    <w:rsid w:val="05D51B4B"/>
    <w:rsid w:val="05D584A1"/>
    <w:rsid w:val="05D60C2A"/>
    <w:rsid w:val="05D78352"/>
    <w:rsid w:val="05DA1E3C"/>
    <w:rsid w:val="05DA5798"/>
    <w:rsid w:val="05DBA7FE"/>
    <w:rsid w:val="05DCCB03"/>
    <w:rsid w:val="05DCED54"/>
    <w:rsid w:val="05DCFA93"/>
    <w:rsid w:val="05DD0158"/>
    <w:rsid w:val="05E3F424"/>
    <w:rsid w:val="05E4A4BC"/>
    <w:rsid w:val="05E83432"/>
    <w:rsid w:val="05E8E2D5"/>
    <w:rsid w:val="05EA7314"/>
    <w:rsid w:val="05EE3D0C"/>
    <w:rsid w:val="05EF0CDB"/>
    <w:rsid w:val="05EF314F"/>
    <w:rsid w:val="05F30741"/>
    <w:rsid w:val="05F3C3A4"/>
    <w:rsid w:val="05FBC442"/>
    <w:rsid w:val="05FF7C4D"/>
    <w:rsid w:val="06028818"/>
    <w:rsid w:val="06032AE6"/>
    <w:rsid w:val="0604BCCD"/>
    <w:rsid w:val="0605B3AF"/>
    <w:rsid w:val="06073D32"/>
    <w:rsid w:val="0607F8CF"/>
    <w:rsid w:val="0608C751"/>
    <w:rsid w:val="060A43AE"/>
    <w:rsid w:val="060A63DD"/>
    <w:rsid w:val="060A7AAE"/>
    <w:rsid w:val="060A909D"/>
    <w:rsid w:val="060C6BE5"/>
    <w:rsid w:val="060DBA24"/>
    <w:rsid w:val="060E46F4"/>
    <w:rsid w:val="060EE6D0"/>
    <w:rsid w:val="061331E0"/>
    <w:rsid w:val="061334C3"/>
    <w:rsid w:val="06149B64"/>
    <w:rsid w:val="0614A3B9"/>
    <w:rsid w:val="06161164"/>
    <w:rsid w:val="06198DFB"/>
    <w:rsid w:val="061BBC7B"/>
    <w:rsid w:val="0621DE38"/>
    <w:rsid w:val="06245D41"/>
    <w:rsid w:val="062467F9"/>
    <w:rsid w:val="0625D855"/>
    <w:rsid w:val="06281B4F"/>
    <w:rsid w:val="0628420C"/>
    <w:rsid w:val="062B4F65"/>
    <w:rsid w:val="062C826D"/>
    <w:rsid w:val="062D84C6"/>
    <w:rsid w:val="062DD161"/>
    <w:rsid w:val="062FA003"/>
    <w:rsid w:val="06312FFE"/>
    <w:rsid w:val="06340BC6"/>
    <w:rsid w:val="0635A642"/>
    <w:rsid w:val="0637F85B"/>
    <w:rsid w:val="0638C943"/>
    <w:rsid w:val="0638FC64"/>
    <w:rsid w:val="063A822A"/>
    <w:rsid w:val="063C966F"/>
    <w:rsid w:val="063DB8A7"/>
    <w:rsid w:val="063EB67A"/>
    <w:rsid w:val="063F5F7D"/>
    <w:rsid w:val="0640FADD"/>
    <w:rsid w:val="06410D33"/>
    <w:rsid w:val="064144CF"/>
    <w:rsid w:val="0642B06C"/>
    <w:rsid w:val="0644BAC4"/>
    <w:rsid w:val="0645B165"/>
    <w:rsid w:val="0647D74D"/>
    <w:rsid w:val="06486265"/>
    <w:rsid w:val="064873C4"/>
    <w:rsid w:val="064A9724"/>
    <w:rsid w:val="064AF1E0"/>
    <w:rsid w:val="064B6C7D"/>
    <w:rsid w:val="064BB658"/>
    <w:rsid w:val="064C17E0"/>
    <w:rsid w:val="064CD221"/>
    <w:rsid w:val="064D00D6"/>
    <w:rsid w:val="064F4B14"/>
    <w:rsid w:val="065270C3"/>
    <w:rsid w:val="06528282"/>
    <w:rsid w:val="06532285"/>
    <w:rsid w:val="06537469"/>
    <w:rsid w:val="06546B74"/>
    <w:rsid w:val="065485F0"/>
    <w:rsid w:val="065588C4"/>
    <w:rsid w:val="065884D8"/>
    <w:rsid w:val="065B46A0"/>
    <w:rsid w:val="065DA970"/>
    <w:rsid w:val="065DE8FA"/>
    <w:rsid w:val="065E3FEF"/>
    <w:rsid w:val="065F8F65"/>
    <w:rsid w:val="06631CBF"/>
    <w:rsid w:val="0663DD60"/>
    <w:rsid w:val="06643505"/>
    <w:rsid w:val="06653B88"/>
    <w:rsid w:val="06660775"/>
    <w:rsid w:val="06670222"/>
    <w:rsid w:val="0667FB35"/>
    <w:rsid w:val="0668403E"/>
    <w:rsid w:val="066912E3"/>
    <w:rsid w:val="066988B1"/>
    <w:rsid w:val="066C4890"/>
    <w:rsid w:val="066C5F3C"/>
    <w:rsid w:val="066E51D7"/>
    <w:rsid w:val="066E776C"/>
    <w:rsid w:val="066EC451"/>
    <w:rsid w:val="0671DAD7"/>
    <w:rsid w:val="06722085"/>
    <w:rsid w:val="0673EE9B"/>
    <w:rsid w:val="06742720"/>
    <w:rsid w:val="06768978"/>
    <w:rsid w:val="0676D3BF"/>
    <w:rsid w:val="0679611B"/>
    <w:rsid w:val="067961B1"/>
    <w:rsid w:val="0679878E"/>
    <w:rsid w:val="0682A3D2"/>
    <w:rsid w:val="0683D6F1"/>
    <w:rsid w:val="0684435C"/>
    <w:rsid w:val="06847530"/>
    <w:rsid w:val="06850F46"/>
    <w:rsid w:val="06860151"/>
    <w:rsid w:val="06866994"/>
    <w:rsid w:val="068AD8E6"/>
    <w:rsid w:val="068B51BB"/>
    <w:rsid w:val="068BF3D9"/>
    <w:rsid w:val="068BFC4B"/>
    <w:rsid w:val="068C1833"/>
    <w:rsid w:val="068E990C"/>
    <w:rsid w:val="068EECF1"/>
    <w:rsid w:val="06903EFF"/>
    <w:rsid w:val="06906A4E"/>
    <w:rsid w:val="0691903A"/>
    <w:rsid w:val="0692C7BA"/>
    <w:rsid w:val="0694851E"/>
    <w:rsid w:val="06974E3B"/>
    <w:rsid w:val="0698AB9F"/>
    <w:rsid w:val="069A1133"/>
    <w:rsid w:val="069C55C4"/>
    <w:rsid w:val="069F0A12"/>
    <w:rsid w:val="06A22147"/>
    <w:rsid w:val="06A30FC9"/>
    <w:rsid w:val="06A6C440"/>
    <w:rsid w:val="06A83B7A"/>
    <w:rsid w:val="06A89869"/>
    <w:rsid w:val="06AAE59E"/>
    <w:rsid w:val="06AE23A7"/>
    <w:rsid w:val="06B06232"/>
    <w:rsid w:val="06B0C55E"/>
    <w:rsid w:val="06B21241"/>
    <w:rsid w:val="06B7E905"/>
    <w:rsid w:val="06BA11BA"/>
    <w:rsid w:val="06BA261E"/>
    <w:rsid w:val="06BA2CDE"/>
    <w:rsid w:val="06BC59CE"/>
    <w:rsid w:val="06BD94F4"/>
    <w:rsid w:val="06BE8362"/>
    <w:rsid w:val="06C17AFB"/>
    <w:rsid w:val="06C46D00"/>
    <w:rsid w:val="06C5F0E0"/>
    <w:rsid w:val="06C6820E"/>
    <w:rsid w:val="06C6F750"/>
    <w:rsid w:val="06C701D4"/>
    <w:rsid w:val="06C784BA"/>
    <w:rsid w:val="06C8C436"/>
    <w:rsid w:val="06C941BD"/>
    <w:rsid w:val="06C97F47"/>
    <w:rsid w:val="06CA4933"/>
    <w:rsid w:val="06CCD295"/>
    <w:rsid w:val="06CD4F88"/>
    <w:rsid w:val="06CFA84A"/>
    <w:rsid w:val="06D09C10"/>
    <w:rsid w:val="06D6ECC6"/>
    <w:rsid w:val="06D80766"/>
    <w:rsid w:val="06D8BE1F"/>
    <w:rsid w:val="06D8C8A9"/>
    <w:rsid w:val="06DA4027"/>
    <w:rsid w:val="06DD5586"/>
    <w:rsid w:val="06DD9366"/>
    <w:rsid w:val="06DEC0D9"/>
    <w:rsid w:val="06DEE084"/>
    <w:rsid w:val="06DFBB53"/>
    <w:rsid w:val="06DFC3EE"/>
    <w:rsid w:val="06E0B2AF"/>
    <w:rsid w:val="06E1D5EF"/>
    <w:rsid w:val="06E1F7D2"/>
    <w:rsid w:val="06E33044"/>
    <w:rsid w:val="06E3BEC8"/>
    <w:rsid w:val="06E462B4"/>
    <w:rsid w:val="06E6714E"/>
    <w:rsid w:val="06E7F2E8"/>
    <w:rsid w:val="06E95ACD"/>
    <w:rsid w:val="06E9D161"/>
    <w:rsid w:val="06EA3D39"/>
    <w:rsid w:val="06EC89EC"/>
    <w:rsid w:val="06F004A9"/>
    <w:rsid w:val="06F0B1B3"/>
    <w:rsid w:val="06F45924"/>
    <w:rsid w:val="06F4E472"/>
    <w:rsid w:val="06F4E5CF"/>
    <w:rsid w:val="06F531DD"/>
    <w:rsid w:val="06F53564"/>
    <w:rsid w:val="06F5AA74"/>
    <w:rsid w:val="06F5B2F2"/>
    <w:rsid w:val="06F9B513"/>
    <w:rsid w:val="06FD9030"/>
    <w:rsid w:val="0700B5F8"/>
    <w:rsid w:val="0703E82A"/>
    <w:rsid w:val="0704AFD1"/>
    <w:rsid w:val="0705074B"/>
    <w:rsid w:val="07069110"/>
    <w:rsid w:val="0706AADF"/>
    <w:rsid w:val="0706CCB6"/>
    <w:rsid w:val="0706D201"/>
    <w:rsid w:val="07086D31"/>
    <w:rsid w:val="07098EBD"/>
    <w:rsid w:val="070AEF4E"/>
    <w:rsid w:val="070CBE73"/>
    <w:rsid w:val="070D5E6C"/>
    <w:rsid w:val="070FFB01"/>
    <w:rsid w:val="071008C6"/>
    <w:rsid w:val="0711DB05"/>
    <w:rsid w:val="071240D3"/>
    <w:rsid w:val="071243F3"/>
    <w:rsid w:val="07134184"/>
    <w:rsid w:val="0714586F"/>
    <w:rsid w:val="071FA625"/>
    <w:rsid w:val="0721C5DA"/>
    <w:rsid w:val="0721FD3A"/>
    <w:rsid w:val="07222775"/>
    <w:rsid w:val="0723ED2A"/>
    <w:rsid w:val="072742D5"/>
    <w:rsid w:val="07282EEF"/>
    <w:rsid w:val="07283BC8"/>
    <w:rsid w:val="0728667D"/>
    <w:rsid w:val="072A17E7"/>
    <w:rsid w:val="072A94E4"/>
    <w:rsid w:val="072B9E4D"/>
    <w:rsid w:val="072C945B"/>
    <w:rsid w:val="07316F42"/>
    <w:rsid w:val="07323173"/>
    <w:rsid w:val="073507F9"/>
    <w:rsid w:val="07359790"/>
    <w:rsid w:val="073A3A89"/>
    <w:rsid w:val="073A4EAF"/>
    <w:rsid w:val="073B9D0F"/>
    <w:rsid w:val="073D6D6A"/>
    <w:rsid w:val="073ED078"/>
    <w:rsid w:val="073F560B"/>
    <w:rsid w:val="073F7D89"/>
    <w:rsid w:val="073FFD19"/>
    <w:rsid w:val="07400184"/>
    <w:rsid w:val="07409A39"/>
    <w:rsid w:val="07423078"/>
    <w:rsid w:val="074379C3"/>
    <w:rsid w:val="07441290"/>
    <w:rsid w:val="07463401"/>
    <w:rsid w:val="0746D3D9"/>
    <w:rsid w:val="07475B13"/>
    <w:rsid w:val="0749E51D"/>
    <w:rsid w:val="074DBD99"/>
    <w:rsid w:val="074E75C1"/>
    <w:rsid w:val="0752A632"/>
    <w:rsid w:val="0753299D"/>
    <w:rsid w:val="075374B0"/>
    <w:rsid w:val="0753C22A"/>
    <w:rsid w:val="0756B4B7"/>
    <w:rsid w:val="07593571"/>
    <w:rsid w:val="075C059A"/>
    <w:rsid w:val="075D5BF1"/>
    <w:rsid w:val="075E449F"/>
    <w:rsid w:val="07601ECB"/>
    <w:rsid w:val="07601F4A"/>
    <w:rsid w:val="0762258A"/>
    <w:rsid w:val="0762D3FD"/>
    <w:rsid w:val="076403A9"/>
    <w:rsid w:val="0764625D"/>
    <w:rsid w:val="07699619"/>
    <w:rsid w:val="076AF79E"/>
    <w:rsid w:val="076C0E4E"/>
    <w:rsid w:val="076DB583"/>
    <w:rsid w:val="077038AE"/>
    <w:rsid w:val="07726B70"/>
    <w:rsid w:val="0773961D"/>
    <w:rsid w:val="0773EB5F"/>
    <w:rsid w:val="07741FE3"/>
    <w:rsid w:val="0774559C"/>
    <w:rsid w:val="07766263"/>
    <w:rsid w:val="07769615"/>
    <w:rsid w:val="07771514"/>
    <w:rsid w:val="077B18D9"/>
    <w:rsid w:val="077BCBAB"/>
    <w:rsid w:val="077CB3F1"/>
    <w:rsid w:val="077CBDE4"/>
    <w:rsid w:val="077CEA6E"/>
    <w:rsid w:val="07825CFF"/>
    <w:rsid w:val="07841DC0"/>
    <w:rsid w:val="0784EB55"/>
    <w:rsid w:val="0785077E"/>
    <w:rsid w:val="0786BF56"/>
    <w:rsid w:val="07882B05"/>
    <w:rsid w:val="0788DCD7"/>
    <w:rsid w:val="078BB3F3"/>
    <w:rsid w:val="078F3C40"/>
    <w:rsid w:val="078F9FC6"/>
    <w:rsid w:val="079241B3"/>
    <w:rsid w:val="0792629F"/>
    <w:rsid w:val="079400B1"/>
    <w:rsid w:val="079476FD"/>
    <w:rsid w:val="079751ED"/>
    <w:rsid w:val="0797DD03"/>
    <w:rsid w:val="07988587"/>
    <w:rsid w:val="079AB0CF"/>
    <w:rsid w:val="079B862A"/>
    <w:rsid w:val="079B94D1"/>
    <w:rsid w:val="079DB1DC"/>
    <w:rsid w:val="079EF20F"/>
    <w:rsid w:val="07A122C6"/>
    <w:rsid w:val="07A1AA37"/>
    <w:rsid w:val="07A25F23"/>
    <w:rsid w:val="07A330E1"/>
    <w:rsid w:val="07A53566"/>
    <w:rsid w:val="07AB9AD2"/>
    <w:rsid w:val="07ABA640"/>
    <w:rsid w:val="07ABCF51"/>
    <w:rsid w:val="07AFB2DC"/>
    <w:rsid w:val="07AFCF2C"/>
    <w:rsid w:val="07B0A3A6"/>
    <w:rsid w:val="07B257C3"/>
    <w:rsid w:val="07B28002"/>
    <w:rsid w:val="07B3CD6E"/>
    <w:rsid w:val="07B4B5C9"/>
    <w:rsid w:val="07B4FE34"/>
    <w:rsid w:val="07B824BC"/>
    <w:rsid w:val="07B969A7"/>
    <w:rsid w:val="07BA50A2"/>
    <w:rsid w:val="07BAD915"/>
    <w:rsid w:val="07BB24FA"/>
    <w:rsid w:val="07BC1AD2"/>
    <w:rsid w:val="07BDB00F"/>
    <w:rsid w:val="07C111E8"/>
    <w:rsid w:val="07C56E34"/>
    <w:rsid w:val="07C751D6"/>
    <w:rsid w:val="07CA5C71"/>
    <w:rsid w:val="07CA9B01"/>
    <w:rsid w:val="07CB306C"/>
    <w:rsid w:val="07CB4BAB"/>
    <w:rsid w:val="07CBD347"/>
    <w:rsid w:val="07CBD9EE"/>
    <w:rsid w:val="07CEAC40"/>
    <w:rsid w:val="07D0B593"/>
    <w:rsid w:val="07D31666"/>
    <w:rsid w:val="07D31CE4"/>
    <w:rsid w:val="07D56F4F"/>
    <w:rsid w:val="07D766E0"/>
    <w:rsid w:val="07D84C63"/>
    <w:rsid w:val="07D95E18"/>
    <w:rsid w:val="07DB001A"/>
    <w:rsid w:val="07DD442D"/>
    <w:rsid w:val="07DE98B6"/>
    <w:rsid w:val="07DEB049"/>
    <w:rsid w:val="07DEE6AF"/>
    <w:rsid w:val="07E6B9E4"/>
    <w:rsid w:val="07E8EF4C"/>
    <w:rsid w:val="07EAF1A3"/>
    <w:rsid w:val="07EB1503"/>
    <w:rsid w:val="07EC568E"/>
    <w:rsid w:val="07ED29FB"/>
    <w:rsid w:val="07ED405C"/>
    <w:rsid w:val="07EFB5C5"/>
    <w:rsid w:val="07F301C5"/>
    <w:rsid w:val="07F508D6"/>
    <w:rsid w:val="07F5D224"/>
    <w:rsid w:val="07F63894"/>
    <w:rsid w:val="07F98616"/>
    <w:rsid w:val="07FA5B84"/>
    <w:rsid w:val="07FAF07F"/>
    <w:rsid w:val="07FE83C7"/>
    <w:rsid w:val="0800E327"/>
    <w:rsid w:val="08035485"/>
    <w:rsid w:val="0803864D"/>
    <w:rsid w:val="0804F3E1"/>
    <w:rsid w:val="08063516"/>
    <w:rsid w:val="0808504C"/>
    <w:rsid w:val="0808DB1B"/>
    <w:rsid w:val="080996EB"/>
    <w:rsid w:val="080A69F9"/>
    <w:rsid w:val="08101DAA"/>
    <w:rsid w:val="0811B00F"/>
    <w:rsid w:val="08149B89"/>
    <w:rsid w:val="0814B29B"/>
    <w:rsid w:val="08167CCE"/>
    <w:rsid w:val="08173A69"/>
    <w:rsid w:val="08173E37"/>
    <w:rsid w:val="081764E9"/>
    <w:rsid w:val="08176EAE"/>
    <w:rsid w:val="0817DD85"/>
    <w:rsid w:val="08180ADD"/>
    <w:rsid w:val="081F707F"/>
    <w:rsid w:val="08201B9C"/>
    <w:rsid w:val="0821139E"/>
    <w:rsid w:val="08222975"/>
    <w:rsid w:val="0822E48E"/>
    <w:rsid w:val="082903EC"/>
    <w:rsid w:val="082C41C1"/>
    <w:rsid w:val="082C7DB2"/>
    <w:rsid w:val="082D76F8"/>
    <w:rsid w:val="082EAE2F"/>
    <w:rsid w:val="0830F225"/>
    <w:rsid w:val="08311205"/>
    <w:rsid w:val="0831693F"/>
    <w:rsid w:val="0832B010"/>
    <w:rsid w:val="083306C9"/>
    <w:rsid w:val="083335AB"/>
    <w:rsid w:val="0833F9BE"/>
    <w:rsid w:val="0836244C"/>
    <w:rsid w:val="0839E511"/>
    <w:rsid w:val="083B26CA"/>
    <w:rsid w:val="083F3C2E"/>
    <w:rsid w:val="083FC915"/>
    <w:rsid w:val="08410350"/>
    <w:rsid w:val="08413C4F"/>
    <w:rsid w:val="0841C102"/>
    <w:rsid w:val="0844B19B"/>
    <w:rsid w:val="08469884"/>
    <w:rsid w:val="0846CFA6"/>
    <w:rsid w:val="0846E943"/>
    <w:rsid w:val="08472227"/>
    <w:rsid w:val="08473762"/>
    <w:rsid w:val="0847A7FF"/>
    <w:rsid w:val="08498473"/>
    <w:rsid w:val="084A7829"/>
    <w:rsid w:val="084CDBC8"/>
    <w:rsid w:val="084E88AE"/>
    <w:rsid w:val="084EBB76"/>
    <w:rsid w:val="084ED8FD"/>
    <w:rsid w:val="085161EE"/>
    <w:rsid w:val="0854FF34"/>
    <w:rsid w:val="08578CBD"/>
    <w:rsid w:val="085830C6"/>
    <w:rsid w:val="085A3C43"/>
    <w:rsid w:val="085ABE37"/>
    <w:rsid w:val="085B6FD0"/>
    <w:rsid w:val="085C79CD"/>
    <w:rsid w:val="085D04A0"/>
    <w:rsid w:val="085DAB85"/>
    <w:rsid w:val="085F7BCA"/>
    <w:rsid w:val="0861419B"/>
    <w:rsid w:val="086D2E8A"/>
    <w:rsid w:val="086EC8B2"/>
    <w:rsid w:val="0873BABA"/>
    <w:rsid w:val="0873D021"/>
    <w:rsid w:val="0874D2CE"/>
    <w:rsid w:val="0875448E"/>
    <w:rsid w:val="0875881D"/>
    <w:rsid w:val="08787A28"/>
    <w:rsid w:val="08788C45"/>
    <w:rsid w:val="0879CB83"/>
    <w:rsid w:val="087B9C1D"/>
    <w:rsid w:val="087CC347"/>
    <w:rsid w:val="087D2BA4"/>
    <w:rsid w:val="088000E2"/>
    <w:rsid w:val="0880B26E"/>
    <w:rsid w:val="08817521"/>
    <w:rsid w:val="088196D3"/>
    <w:rsid w:val="0882199A"/>
    <w:rsid w:val="08826918"/>
    <w:rsid w:val="08848591"/>
    <w:rsid w:val="0884B350"/>
    <w:rsid w:val="08856A89"/>
    <w:rsid w:val="0885FF05"/>
    <w:rsid w:val="08862BDD"/>
    <w:rsid w:val="0888AE52"/>
    <w:rsid w:val="08890060"/>
    <w:rsid w:val="0889BF8E"/>
    <w:rsid w:val="0889E7A3"/>
    <w:rsid w:val="088ACC41"/>
    <w:rsid w:val="088B6C70"/>
    <w:rsid w:val="088C7F17"/>
    <w:rsid w:val="088FF06F"/>
    <w:rsid w:val="08927B0A"/>
    <w:rsid w:val="0892FAB5"/>
    <w:rsid w:val="0894F7F0"/>
    <w:rsid w:val="089763E7"/>
    <w:rsid w:val="089787B3"/>
    <w:rsid w:val="0897AEB3"/>
    <w:rsid w:val="0897DE12"/>
    <w:rsid w:val="0898B41C"/>
    <w:rsid w:val="0899B7DB"/>
    <w:rsid w:val="089A0F1E"/>
    <w:rsid w:val="089B362B"/>
    <w:rsid w:val="089B84BD"/>
    <w:rsid w:val="089D61A5"/>
    <w:rsid w:val="08A20C8A"/>
    <w:rsid w:val="08A7C895"/>
    <w:rsid w:val="08A9817C"/>
    <w:rsid w:val="08B0BB99"/>
    <w:rsid w:val="08B25AC7"/>
    <w:rsid w:val="08B4155E"/>
    <w:rsid w:val="08B7D473"/>
    <w:rsid w:val="08B81528"/>
    <w:rsid w:val="08B96559"/>
    <w:rsid w:val="08BA67CC"/>
    <w:rsid w:val="08BB1F01"/>
    <w:rsid w:val="08BC568D"/>
    <w:rsid w:val="08C2E44A"/>
    <w:rsid w:val="08C43D1B"/>
    <w:rsid w:val="08C65758"/>
    <w:rsid w:val="08C92A01"/>
    <w:rsid w:val="08CBDCB3"/>
    <w:rsid w:val="08CD320F"/>
    <w:rsid w:val="08D3BBBB"/>
    <w:rsid w:val="08D70355"/>
    <w:rsid w:val="08D79331"/>
    <w:rsid w:val="08D91CCD"/>
    <w:rsid w:val="08DC01CD"/>
    <w:rsid w:val="08DC9CB3"/>
    <w:rsid w:val="08DD0E59"/>
    <w:rsid w:val="08DD1B81"/>
    <w:rsid w:val="08DD2B1B"/>
    <w:rsid w:val="08DD49E7"/>
    <w:rsid w:val="08DD4B7B"/>
    <w:rsid w:val="08DE1258"/>
    <w:rsid w:val="08DFACBB"/>
    <w:rsid w:val="08E29F5F"/>
    <w:rsid w:val="08E627C7"/>
    <w:rsid w:val="08E667AA"/>
    <w:rsid w:val="08E7D3D5"/>
    <w:rsid w:val="08E88856"/>
    <w:rsid w:val="08E9A13F"/>
    <w:rsid w:val="08EBEBCE"/>
    <w:rsid w:val="08EBFD8F"/>
    <w:rsid w:val="08EC8D3E"/>
    <w:rsid w:val="08ED3A03"/>
    <w:rsid w:val="08EF5731"/>
    <w:rsid w:val="08F2C28A"/>
    <w:rsid w:val="08F446EB"/>
    <w:rsid w:val="08F44BA5"/>
    <w:rsid w:val="08F53B60"/>
    <w:rsid w:val="08FC065D"/>
    <w:rsid w:val="08FCACA5"/>
    <w:rsid w:val="08FFC380"/>
    <w:rsid w:val="090056CC"/>
    <w:rsid w:val="0902D57C"/>
    <w:rsid w:val="09039823"/>
    <w:rsid w:val="09051F1B"/>
    <w:rsid w:val="09089D99"/>
    <w:rsid w:val="09091EA7"/>
    <w:rsid w:val="090961F1"/>
    <w:rsid w:val="090A14CA"/>
    <w:rsid w:val="090A553B"/>
    <w:rsid w:val="090CAEC5"/>
    <w:rsid w:val="090EF1A6"/>
    <w:rsid w:val="090F225D"/>
    <w:rsid w:val="090FA360"/>
    <w:rsid w:val="090FB741"/>
    <w:rsid w:val="0910427B"/>
    <w:rsid w:val="09111C8A"/>
    <w:rsid w:val="091221AA"/>
    <w:rsid w:val="0912F4A0"/>
    <w:rsid w:val="0917EDA1"/>
    <w:rsid w:val="091830E2"/>
    <w:rsid w:val="091B09E2"/>
    <w:rsid w:val="091BC07E"/>
    <w:rsid w:val="091BE064"/>
    <w:rsid w:val="0920F696"/>
    <w:rsid w:val="092125E9"/>
    <w:rsid w:val="0923DB38"/>
    <w:rsid w:val="0925DC7E"/>
    <w:rsid w:val="092B5E6A"/>
    <w:rsid w:val="092C91EC"/>
    <w:rsid w:val="092CA54C"/>
    <w:rsid w:val="092CCC6C"/>
    <w:rsid w:val="092E8C34"/>
    <w:rsid w:val="092F97CE"/>
    <w:rsid w:val="092FECCC"/>
    <w:rsid w:val="09337979"/>
    <w:rsid w:val="09345E7F"/>
    <w:rsid w:val="09348499"/>
    <w:rsid w:val="093D5033"/>
    <w:rsid w:val="09409D6E"/>
    <w:rsid w:val="0941EB5F"/>
    <w:rsid w:val="0946A725"/>
    <w:rsid w:val="094792D2"/>
    <w:rsid w:val="094A149C"/>
    <w:rsid w:val="094C5C62"/>
    <w:rsid w:val="094D2CB2"/>
    <w:rsid w:val="09512E04"/>
    <w:rsid w:val="09518ADD"/>
    <w:rsid w:val="09530100"/>
    <w:rsid w:val="09554106"/>
    <w:rsid w:val="09554C60"/>
    <w:rsid w:val="09558137"/>
    <w:rsid w:val="095B239C"/>
    <w:rsid w:val="095C1E17"/>
    <w:rsid w:val="095FAE72"/>
    <w:rsid w:val="0960C3A2"/>
    <w:rsid w:val="09610FAD"/>
    <w:rsid w:val="09616188"/>
    <w:rsid w:val="0961C5CB"/>
    <w:rsid w:val="09628085"/>
    <w:rsid w:val="096B1827"/>
    <w:rsid w:val="096B23E8"/>
    <w:rsid w:val="096BFD58"/>
    <w:rsid w:val="096CE69B"/>
    <w:rsid w:val="09711844"/>
    <w:rsid w:val="0971AA3C"/>
    <w:rsid w:val="0972AEA1"/>
    <w:rsid w:val="0974EA4D"/>
    <w:rsid w:val="097597EA"/>
    <w:rsid w:val="0975B634"/>
    <w:rsid w:val="0976B412"/>
    <w:rsid w:val="097A70F0"/>
    <w:rsid w:val="097E6B96"/>
    <w:rsid w:val="09803120"/>
    <w:rsid w:val="0981F5F8"/>
    <w:rsid w:val="0983E3F1"/>
    <w:rsid w:val="09858118"/>
    <w:rsid w:val="098A2B89"/>
    <w:rsid w:val="098E930C"/>
    <w:rsid w:val="09903DB2"/>
    <w:rsid w:val="099495D1"/>
    <w:rsid w:val="0995B944"/>
    <w:rsid w:val="0997EA34"/>
    <w:rsid w:val="0999300C"/>
    <w:rsid w:val="099C88AD"/>
    <w:rsid w:val="099CA407"/>
    <w:rsid w:val="099CB431"/>
    <w:rsid w:val="099DC0E0"/>
    <w:rsid w:val="099ECF97"/>
    <w:rsid w:val="099F28B3"/>
    <w:rsid w:val="09A19274"/>
    <w:rsid w:val="09A36597"/>
    <w:rsid w:val="09A8099F"/>
    <w:rsid w:val="09AA3F78"/>
    <w:rsid w:val="09AA4B3B"/>
    <w:rsid w:val="09AA94F7"/>
    <w:rsid w:val="09AAFB3C"/>
    <w:rsid w:val="09AB0D8B"/>
    <w:rsid w:val="09AF6DAB"/>
    <w:rsid w:val="09B33A16"/>
    <w:rsid w:val="09B35AA0"/>
    <w:rsid w:val="09B3B0D3"/>
    <w:rsid w:val="09B43B36"/>
    <w:rsid w:val="09B66A0F"/>
    <w:rsid w:val="09BA9C18"/>
    <w:rsid w:val="09BAF100"/>
    <w:rsid w:val="09BB7E25"/>
    <w:rsid w:val="09BC7AB9"/>
    <w:rsid w:val="09BCE3B8"/>
    <w:rsid w:val="09C070AC"/>
    <w:rsid w:val="09C72472"/>
    <w:rsid w:val="09C7F284"/>
    <w:rsid w:val="09CE3A20"/>
    <w:rsid w:val="09CE894F"/>
    <w:rsid w:val="09CF7FA7"/>
    <w:rsid w:val="09D0A0B3"/>
    <w:rsid w:val="09D28FEA"/>
    <w:rsid w:val="09D29A47"/>
    <w:rsid w:val="09D2D0BF"/>
    <w:rsid w:val="09D2E0AC"/>
    <w:rsid w:val="09D4AD6F"/>
    <w:rsid w:val="09D4EE29"/>
    <w:rsid w:val="09D7054A"/>
    <w:rsid w:val="09D78B53"/>
    <w:rsid w:val="09D92C6D"/>
    <w:rsid w:val="09DA0A93"/>
    <w:rsid w:val="09DAF965"/>
    <w:rsid w:val="09DDC724"/>
    <w:rsid w:val="09DE6A3A"/>
    <w:rsid w:val="09DED0F7"/>
    <w:rsid w:val="09DF0084"/>
    <w:rsid w:val="09DF93A6"/>
    <w:rsid w:val="09E25890"/>
    <w:rsid w:val="09E28F11"/>
    <w:rsid w:val="09E59BEA"/>
    <w:rsid w:val="09E7AD49"/>
    <w:rsid w:val="09E9CD8B"/>
    <w:rsid w:val="09EAF29E"/>
    <w:rsid w:val="09EAF627"/>
    <w:rsid w:val="09EB1FFF"/>
    <w:rsid w:val="09EBF80A"/>
    <w:rsid w:val="09EC610D"/>
    <w:rsid w:val="09EFEBCA"/>
    <w:rsid w:val="09F00F26"/>
    <w:rsid w:val="09F0548E"/>
    <w:rsid w:val="09F1AE49"/>
    <w:rsid w:val="09F2664B"/>
    <w:rsid w:val="09F26727"/>
    <w:rsid w:val="09F3467C"/>
    <w:rsid w:val="09F3626E"/>
    <w:rsid w:val="09F41CC8"/>
    <w:rsid w:val="09F5FB45"/>
    <w:rsid w:val="09F60DEF"/>
    <w:rsid w:val="09F6C215"/>
    <w:rsid w:val="09F77C86"/>
    <w:rsid w:val="09F84781"/>
    <w:rsid w:val="09FA303A"/>
    <w:rsid w:val="09FB6235"/>
    <w:rsid w:val="09FD324A"/>
    <w:rsid w:val="09FDAC84"/>
    <w:rsid w:val="09FE9694"/>
    <w:rsid w:val="09FF19CD"/>
    <w:rsid w:val="09FF8AAC"/>
    <w:rsid w:val="0A0334AE"/>
    <w:rsid w:val="0A050E9F"/>
    <w:rsid w:val="0A0549CA"/>
    <w:rsid w:val="0A07FC10"/>
    <w:rsid w:val="0A082F45"/>
    <w:rsid w:val="0A0B32E8"/>
    <w:rsid w:val="0A0BA8D1"/>
    <w:rsid w:val="0A0E1A04"/>
    <w:rsid w:val="0A0E3142"/>
    <w:rsid w:val="0A0E9982"/>
    <w:rsid w:val="0A0E9AB6"/>
    <w:rsid w:val="0A103219"/>
    <w:rsid w:val="0A117CC0"/>
    <w:rsid w:val="0A12446C"/>
    <w:rsid w:val="0A15410C"/>
    <w:rsid w:val="0A19F556"/>
    <w:rsid w:val="0A1A1628"/>
    <w:rsid w:val="0A1A6D7B"/>
    <w:rsid w:val="0A1B44A8"/>
    <w:rsid w:val="0A1C146C"/>
    <w:rsid w:val="0A1E9377"/>
    <w:rsid w:val="0A1ED130"/>
    <w:rsid w:val="0A1EE41C"/>
    <w:rsid w:val="0A1FC14E"/>
    <w:rsid w:val="0A204067"/>
    <w:rsid w:val="0A2125A0"/>
    <w:rsid w:val="0A21871C"/>
    <w:rsid w:val="0A219647"/>
    <w:rsid w:val="0A231734"/>
    <w:rsid w:val="0A24E383"/>
    <w:rsid w:val="0A27621C"/>
    <w:rsid w:val="0A2B4D84"/>
    <w:rsid w:val="0A2C42CA"/>
    <w:rsid w:val="0A2EB432"/>
    <w:rsid w:val="0A2EF36D"/>
    <w:rsid w:val="0A2F412F"/>
    <w:rsid w:val="0A32ECB5"/>
    <w:rsid w:val="0A3502DD"/>
    <w:rsid w:val="0A35562A"/>
    <w:rsid w:val="0A365781"/>
    <w:rsid w:val="0A3766FA"/>
    <w:rsid w:val="0A379F5D"/>
    <w:rsid w:val="0A3A788F"/>
    <w:rsid w:val="0A3E0DD5"/>
    <w:rsid w:val="0A3ED66D"/>
    <w:rsid w:val="0A3FDD6F"/>
    <w:rsid w:val="0A42C96D"/>
    <w:rsid w:val="0A462A19"/>
    <w:rsid w:val="0A466C24"/>
    <w:rsid w:val="0A48A484"/>
    <w:rsid w:val="0A4A3CC6"/>
    <w:rsid w:val="0A4B7855"/>
    <w:rsid w:val="0A4CC5B1"/>
    <w:rsid w:val="0A4CC62D"/>
    <w:rsid w:val="0A4DBBF3"/>
    <w:rsid w:val="0A5186E5"/>
    <w:rsid w:val="0A51D778"/>
    <w:rsid w:val="0A53AC44"/>
    <w:rsid w:val="0A5527D0"/>
    <w:rsid w:val="0A565E80"/>
    <w:rsid w:val="0A59410A"/>
    <w:rsid w:val="0A5A52D0"/>
    <w:rsid w:val="0A5E2DC9"/>
    <w:rsid w:val="0A5F2485"/>
    <w:rsid w:val="0A6002FE"/>
    <w:rsid w:val="0A608826"/>
    <w:rsid w:val="0A6219B9"/>
    <w:rsid w:val="0A631D8A"/>
    <w:rsid w:val="0A648851"/>
    <w:rsid w:val="0A64AC3B"/>
    <w:rsid w:val="0A65545A"/>
    <w:rsid w:val="0A65D3F3"/>
    <w:rsid w:val="0A66021A"/>
    <w:rsid w:val="0A6672DB"/>
    <w:rsid w:val="0A6775FA"/>
    <w:rsid w:val="0A679576"/>
    <w:rsid w:val="0A67E592"/>
    <w:rsid w:val="0A6857BC"/>
    <w:rsid w:val="0A6B6B6A"/>
    <w:rsid w:val="0A6CDDEE"/>
    <w:rsid w:val="0A6CF6A0"/>
    <w:rsid w:val="0A705BFE"/>
    <w:rsid w:val="0A7146F8"/>
    <w:rsid w:val="0A747BAD"/>
    <w:rsid w:val="0A75182B"/>
    <w:rsid w:val="0A77081F"/>
    <w:rsid w:val="0A78FEA8"/>
    <w:rsid w:val="0A79ECB8"/>
    <w:rsid w:val="0A7ADD57"/>
    <w:rsid w:val="0A7BD124"/>
    <w:rsid w:val="0A7C898D"/>
    <w:rsid w:val="0A7D30F1"/>
    <w:rsid w:val="0A7E242C"/>
    <w:rsid w:val="0A7E61CD"/>
    <w:rsid w:val="0A7F56A0"/>
    <w:rsid w:val="0A813C6A"/>
    <w:rsid w:val="0A829A7A"/>
    <w:rsid w:val="0A830B22"/>
    <w:rsid w:val="0A873E53"/>
    <w:rsid w:val="0A89EA95"/>
    <w:rsid w:val="0A8C3FA6"/>
    <w:rsid w:val="0A8E51E4"/>
    <w:rsid w:val="0A8F51DC"/>
    <w:rsid w:val="0A905313"/>
    <w:rsid w:val="0A9127A1"/>
    <w:rsid w:val="0A92303F"/>
    <w:rsid w:val="0A93467B"/>
    <w:rsid w:val="0A943435"/>
    <w:rsid w:val="0A954DB9"/>
    <w:rsid w:val="0A955DD8"/>
    <w:rsid w:val="0A95B63B"/>
    <w:rsid w:val="0A98595B"/>
    <w:rsid w:val="0A98EDA4"/>
    <w:rsid w:val="0A99A1C5"/>
    <w:rsid w:val="0A99AC7F"/>
    <w:rsid w:val="0A99F23F"/>
    <w:rsid w:val="0A9DDFF5"/>
    <w:rsid w:val="0AA46812"/>
    <w:rsid w:val="0AA596BD"/>
    <w:rsid w:val="0AA5B266"/>
    <w:rsid w:val="0AA66E98"/>
    <w:rsid w:val="0AA9F4EA"/>
    <w:rsid w:val="0AB18F3D"/>
    <w:rsid w:val="0AB408CD"/>
    <w:rsid w:val="0AB636F3"/>
    <w:rsid w:val="0AB6E1B6"/>
    <w:rsid w:val="0ABE1064"/>
    <w:rsid w:val="0AC5A97E"/>
    <w:rsid w:val="0AC76ADD"/>
    <w:rsid w:val="0AC8263E"/>
    <w:rsid w:val="0AC9109A"/>
    <w:rsid w:val="0AC9EB45"/>
    <w:rsid w:val="0ACA8DD6"/>
    <w:rsid w:val="0ACD9A96"/>
    <w:rsid w:val="0AD04C3F"/>
    <w:rsid w:val="0AD0E7D4"/>
    <w:rsid w:val="0AD243F1"/>
    <w:rsid w:val="0AD2FF8B"/>
    <w:rsid w:val="0AD40119"/>
    <w:rsid w:val="0AD784AD"/>
    <w:rsid w:val="0AD81AEC"/>
    <w:rsid w:val="0ADC4BD2"/>
    <w:rsid w:val="0AE26550"/>
    <w:rsid w:val="0AE28609"/>
    <w:rsid w:val="0AE34A88"/>
    <w:rsid w:val="0AE40314"/>
    <w:rsid w:val="0AE52ADC"/>
    <w:rsid w:val="0AE57A87"/>
    <w:rsid w:val="0AE74EAB"/>
    <w:rsid w:val="0AE8FCE2"/>
    <w:rsid w:val="0AE953E5"/>
    <w:rsid w:val="0AEABE58"/>
    <w:rsid w:val="0AEAD47B"/>
    <w:rsid w:val="0AEB5043"/>
    <w:rsid w:val="0AECB56B"/>
    <w:rsid w:val="0AF0DD12"/>
    <w:rsid w:val="0AF1EA52"/>
    <w:rsid w:val="0AF474FC"/>
    <w:rsid w:val="0AF79892"/>
    <w:rsid w:val="0AF7A0AF"/>
    <w:rsid w:val="0AF885CC"/>
    <w:rsid w:val="0AF99D0F"/>
    <w:rsid w:val="0AFB58B6"/>
    <w:rsid w:val="0AFC067C"/>
    <w:rsid w:val="0B009354"/>
    <w:rsid w:val="0B011CCA"/>
    <w:rsid w:val="0B0155E8"/>
    <w:rsid w:val="0B024D78"/>
    <w:rsid w:val="0B0311BA"/>
    <w:rsid w:val="0B03AF28"/>
    <w:rsid w:val="0B044E93"/>
    <w:rsid w:val="0B06F3BC"/>
    <w:rsid w:val="0B0940E4"/>
    <w:rsid w:val="0B0EC3D0"/>
    <w:rsid w:val="0B107D41"/>
    <w:rsid w:val="0B11B656"/>
    <w:rsid w:val="0B12E9FA"/>
    <w:rsid w:val="0B140E36"/>
    <w:rsid w:val="0B14EADE"/>
    <w:rsid w:val="0B15C19C"/>
    <w:rsid w:val="0B1B12C2"/>
    <w:rsid w:val="0B1C013C"/>
    <w:rsid w:val="0B1CFADC"/>
    <w:rsid w:val="0B1EF478"/>
    <w:rsid w:val="0B22069C"/>
    <w:rsid w:val="0B23DE51"/>
    <w:rsid w:val="0B2614DD"/>
    <w:rsid w:val="0B278688"/>
    <w:rsid w:val="0B2883C9"/>
    <w:rsid w:val="0B29FB3A"/>
    <w:rsid w:val="0B2A4106"/>
    <w:rsid w:val="0B2B4B2C"/>
    <w:rsid w:val="0B2F3C03"/>
    <w:rsid w:val="0B2FBFD4"/>
    <w:rsid w:val="0B2FE29B"/>
    <w:rsid w:val="0B3011FF"/>
    <w:rsid w:val="0B31A8B2"/>
    <w:rsid w:val="0B323173"/>
    <w:rsid w:val="0B353E03"/>
    <w:rsid w:val="0B36FF0D"/>
    <w:rsid w:val="0B37ED9D"/>
    <w:rsid w:val="0B3803E6"/>
    <w:rsid w:val="0B38C3FB"/>
    <w:rsid w:val="0B3C6E77"/>
    <w:rsid w:val="0B3C81AE"/>
    <w:rsid w:val="0B3D3477"/>
    <w:rsid w:val="0B3F59BF"/>
    <w:rsid w:val="0B4511FB"/>
    <w:rsid w:val="0B459034"/>
    <w:rsid w:val="0B45EE3C"/>
    <w:rsid w:val="0B4623C8"/>
    <w:rsid w:val="0B46E8BD"/>
    <w:rsid w:val="0B4A090B"/>
    <w:rsid w:val="0B4C351D"/>
    <w:rsid w:val="0B4CBD41"/>
    <w:rsid w:val="0B4DB677"/>
    <w:rsid w:val="0B5184EF"/>
    <w:rsid w:val="0B51B234"/>
    <w:rsid w:val="0B51C3BF"/>
    <w:rsid w:val="0B51EAA3"/>
    <w:rsid w:val="0B529D39"/>
    <w:rsid w:val="0B55A869"/>
    <w:rsid w:val="0B55B7C1"/>
    <w:rsid w:val="0B56FF67"/>
    <w:rsid w:val="0B575585"/>
    <w:rsid w:val="0B5900EE"/>
    <w:rsid w:val="0B5910E2"/>
    <w:rsid w:val="0B5A7A4B"/>
    <w:rsid w:val="0B5B0B53"/>
    <w:rsid w:val="0B5C2CB8"/>
    <w:rsid w:val="0B5CBAA4"/>
    <w:rsid w:val="0B5E39EC"/>
    <w:rsid w:val="0B6096FA"/>
    <w:rsid w:val="0B60A801"/>
    <w:rsid w:val="0B63BAE1"/>
    <w:rsid w:val="0B6599B2"/>
    <w:rsid w:val="0B66C724"/>
    <w:rsid w:val="0B677A9D"/>
    <w:rsid w:val="0B67AA13"/>
    <w:rsid w:val="0B6C12E9"/>
    <w:rsid w:val="0B6C2403"/>
    <w:rsid w:val="0B6E05E5"/>
    <w:rsid w:val="0B70146D"/>
    <w:rsid w:val="0B7077A7"/>
    <w:rsid w:val="0B74159A"/>
    <w:rsid w:val="0B74B1B5"/>
    <w:rsid w:val="0B76040A"/>
    <w:rsid w:val="0B76ACB0"/>
    <w:rsid w:val="0B777163"/>
    <w:rsid w:val="0B78A069"/>
    <w:rsid w:val="0B7A9B0F"/>
    <w:rsid w:val="0B7BD8D1"/>
    <w:rsid w:val="0B7BD9F5"/>
    <w:rsid w:val="0B7C0A5D"/>
    <w:rsid w:val="0B7C4324"/>
    <w:rsid w:val="0B81C8C0"/>
    <w:rsid w:val="0B8260D1"/>
    <w:rsid w:val="0B83D2BB"/>
    <w:rsid w:val="0B8460F6"/>
    <w:rsid w:val="0B86BF44"/>
    <w:rsid w:val="0B87592C"/>
    <w:rsid w:val="0B87F2F2"/>
    <w:rsid w:val="0B881C3F"/>
    <w:rsid w:val="0B881C44"/>
    <w:rsid w:val="0B89D739"/>
    <w:rsid w:val="0B8B23BA"/>
    <w:rsid w:val="0B8D2697"/>
    <w:rsid w:val="0B8D61D4"/>
    <w:rsid w:val="0B8E599A"/>
    <w:rsid w:val="0B8F5398"/>
    <w:rsid w:val="0B90827A"/>
    <w:rsid w:val="0B976D82"/>
    <w:rsid w:val="0B977508"/>
    <w:rsid w:val="0B984DBC"/>
    <w:rsid w:val="0B9857C0"/>
    <w:rsid w:val="0B9F2798"/>
    <w:rsid w:val="0B9F63BE"/>
    <w:rsid w:val="0BA09863"/>
    <w:rsid w:val="0BA17188"/>
    <w:rsid w:val="0BA49652"/>
    <w:rsid w:val="0BA536B0"/>
    <w:rsid w:val="0BA66A75"/>
    <w:rsid w:val="0BA8FFE7"/>
    <w:rsid w:val="0BA9EE76"/>
    <w:rsid w:val="0BAC4AA7"/>
    <w:rsid w:val="0BADA92F"/>
    <w:rsid w:val="0BAEA931"/>
    <w:rsid w:val="0BAF2008"/>
    <w:rsid w:val="0BB2612C"/>
    <w:rsid w:val="0BB29880"/>
    <w:rsid w:val="0BB3613C"/>
    <w:rsid w:val="0BB47D14"/>
    <w:rsid w:val="0BB56E5C"/>
    <w:rsid w:val="0BB58B61"/>
    <w:rsid w:val="0BB7B950"/>
    <w:rsid w:val="0BB7BCBC"/>
    <w:rsid w:val="0BBB7F6C"/>
    <w:rsid w:val="0BBB8766"/>
    <w:rsid w:val="0BBDCB69"/>
    <w:rsid w:val="0BBE1F27"/>
    <w:rsid w:val="0BBE3467"/>
    <w:rsid w:val="0BC031E6"/>
    <w:rsid w:val="0BC0A1E9"/>
    <w:rsid w:val="0BC0D27B"/>
    <w:rsid w:val="0BC1A9FD"/>
    <w:rsid w:val="0BC1C93B"/>
    <w:rsid w:val="0BC4965E"/>
    <w:rsid w:val="0BC6C39A"/>
    <w:rsid w:val="0BC789C3"/>
    <w:rsid w:val="0BC7C873"/>
    <w:rsid w:val="0BC9E2EA"/>
    <w:rsid w:val="0BCA167B"/>
    <w:rsid w:val="0BCA73AF"/>
    <w:rsid w:val="0BCB5FD9"/>
    <w:rsid w:val="0BCECC0B"/>
    <w:rsid w:val="0BCF1661"/>
    <w:rsid w:val="0BCFAB73"/>
    <w:rsid w:val="0BCFB351"/>
    <w:rsid w:val="0BD1680B"/>
    <w:rsid w:val="0BD460B8"/>
    <w:rsid w:val="0BD50A54"/>
    <w:rsid w:val="0BD68B12"/>
    <w:rsid w:val="0BD6AA01"/>
    <w:rsid w:val="0BDA8D5D"/>
    <w:rsid w:val="0BDB6259"/>
    <w:rsid w:val="0BDE2DE4"/>
    <w:rsid w:val="0BE170F3"/>
    <w:rsid w:val="0BE2F580"/>
    <w:rsid w:val="0BE43977"/>
    <w:rsid w:val="0BE4DB38"/>
    <w:rsid w:val="0BE6B9E1"/>
    <w:rsid w:val="0BE82D39"/>
    <w:rsid w:val="0BE96E1B"/>
    <w:rsid w:val="0BE9D67D"/>
    <w:rsid w:val="0BEAC1C8"/>
    <w:rsid w:val="0BEC5555"/>
    <w:rsid w:val="0BEF3B7E"/>
    <w:rsid w:val="0BEF46A5"/>
    <w:rsid w:val="0BF09FA7"/>
    <w:rsid w:val="0BF158D4"/>
    <w:rsid w:val="0BF15E25"/>
    <w:rsid w:val="0BF1D9EA"/>
    <w:rsid w:val="0BF2B383"/>
    <w:rsid w:val="0BF30EDA"/>
    <w:rsid w:val="0BF4D890"/>
    <w:rsid w:val="0BF8E591"/>
    <w:rsid w:val="0BFA7BC6"/>
    <w:rsid w:val="0BFE0D95"/>
    <w:rsid w:val="0BFE71DD"/>
    <w:rsid w:val="0BFED257"/>
    <w:rsid w:val="0BFF01BA"/>
    <w:rsid w:val="0C01F120"/>
    <w:rsid w:val="0C02EE7D"/>
    <w:rsid w:val="0C032338"/>
    <w:rsid w:val="0C08388E"/>
    <w:rsid w:val="0C09C207"/>
    <w:rsid w:val="0C09CB92"/>
    <w:rsid w:val="0C0C68A1"/>
    <w:rsid w:val="0C0DF639"/>
    <w:rsid w:val="0C0FBE79"/>
    <w:rsid w:val="0C10F262"/>
    <w:rsid w:val="0C12C9B8"/>
    <w:rsid w:val="0C12E074"/>
    <w:rsid w:val="0C13CCD3"/>
    <w:rsid w:val="0C14B448"/>
    <w:rsid w:val="0C150931"/>
    <w:rsid w:val="0C183B71"/>
    <w:rsid w:val="0C1976FB"/>
    <w:rsid w:val="0C1CEA68"/>
    <w:rsid w:val="0C1E3383"/>
    <w:rsid w:val="0C1FBD92"/>
    <w:rsid w:val="0C20BEBE"/>
    <w:rsid w:val="0C216DE2"/>
    <w:rsid w:val="0C236E07"/>
    <w:rsid w:val="0C23E2FB"/>
    <w:rsid w:val="0C242FFF"/>
    <w:rsid w:val="0C2430D7"/>
    <w:rsid w:val="0C246125"/>
    <w:rsid w:val="0C2610B3"/>
    <w:rsid w:val="0C2778CE"/>
    <w:rsid w:val="0C284423"/>
    <w:rsid w:val="0C28F008"/>
    <w:rsid w:val="0C2AA467"/>
    <w:rsid w:val="0C2B3A7E"/>
    <w:rsid w:val="0C2B59FA"/>
    <w:rsid w:val="0C2EE8B9"/>
    <w:rsid w:val="0C325D1F"/>
    <w:rsid w:val="0C33661C"/>
    <w:rsid w:val="0C35F502"/>
    <w:rsid w:val="0C36585E"/>
    <w:rsid w:val="0C378234"/>
    <w:rsid w:val="0C37B32E"/>
    <w:rsid w:val="0C37DBF0"/>
    <w:rsid w:val="0C385C17"/>
    <w:rsid w:val="0C38665E"/>
    <w:rsid w:val="0C3B1FCB"/>
    <w:rsid w:val="0C3B696F"/>
    <w:rsid w:val="0C3C056D"/>
    <w:rsid w:val="0C3D70BE"/>
    <w:rsid w:val="0C3EC441"/>
    <w:rsid w:val="0C409F1C"/>
    <w:rsid w:val="0C41FE50"/>
    <w:rsid w:val="0C42697D"/>
    <w:rsid w:val="0C4316A0"/>
    <w:rsid w:val="0C437F74"/>
    <w:rsid w:val="0C445047"/>
    <w:rsid w:val="0C45DC41"/>
    <w:rsid w:val="0C465F17"/>
    <w:rsid w:val="0C4699F2"/>
    <w:rsid w:val="0C4D53DD"/>
    <w:rsid w:val="0C4E0447"/>
    <w:rsid w:val="0C4E0F24"/>
    <w:rsid w:val="0C4FF845"/>
    <w:rsid w:val="0C52A41A"/>
    <w:rsid w:val="0C52C850"/>
    <w:rsid w:val="0C535FC5"/>
    <w:rsid w:val="0C54AE86"/>
    <w:rsid w:val="0C57B40A"/>
    <w:rsid w:val="0C58250A"/>
    <w:rsid w:val="0C59322E"/>
    <w:rsid w:val="0C5A334D"/>
    <w:rsid w:val="0C5C2847"/>
    <w:rsid w:val="0C5D8645"/>
    <w:rsid w:val="0C6047BF"/>
    <w:rsid w:val="0C604E62"/>
    <w:rsid w:val="0C605123"/>
    <w:rsid w:val="0C61D003"/>
    <w:rsid w:val="0C63D362"/>
    <w:rsid w:val="0C63EA86"/>
    <w:rsid w:val="0C649E6C"/>
    <w:rsid w:val="0C65524E"/>
    <w:rsid w:val="0C665917"/>
    <w:rsid w:val="0C6D2849"/>
    <w:rsid w:val="0C6EBE65"/>
    <w:rsid w:val="0C75DF33"/>
    <w:rsid w:val="0C7674F0"/>
    <w:rsid w:val="0C76FDAD"/>
    <w:rsid w:val="0C78A4B2"/>
    <w:rsid w:val="0C7A13EA"/>
    <w:rsid w:val="0C7AC80A"/>
    <w:rsid w:val="0C7BCDEF"/>
    <w:rsid w:val="0C7BD9CB"/>
    <w:rsid w:val="0C7DDE35"/>
    <w:rsid w:val="0C7E3EEB"/>
    <w:rsid w:val="0C7F2F7F"/>
    <w:rsid w:val="0C7FC6CF"/>
    <w:rsid w:val="0C81B81B"/>
    <w:rsid w:val="0C8441CB"/>
    <w:rsid w:val="0C84656C"/>
    <w:rsid w:val="0C85F6AB"/>
    <w:rsid w:val="0C8785B5"/>
    <w:rsid w:val="0C879262"/>
    <w:rsid w:val="0C89984B"/>
    <w:rsid w:val="0C8A477E"/>
    <w:rsid w:val="0C8CDD08"/>
    <w:rsid w:val="0C8E6EF2"/>
    <w:rsid w:val="0C8FDEA4"/>
    <w:rsid w:val="0C90588A"/>
    <w:rsid w:val="0C931D64"/>
    <w:rsid w:val="0C93AE04"/>
    <w:rsid w:val="0C97270B"/>
    <w:rsid w:val="0C9764AD"/>
    <w:rsid w:val="0C978715"/>
    <w:rsid w:val="0C97C42C"/>
    <w:rsid w:val="0C97D090"/>
    <w:rsid w:val="0C97FA86"/>
    <w:rsid w:val="0C981C9E"/>
    <w:rsid w:val="0C99A190"/>
    <w:rsid w:val="0C9A0F40"/>
    <w:rsid w:val="0C9C0428"/>
    <w:rsid w:val="0C9CDDC8"/>
    <w:rsid w:val="0C9D1BC5"/>
    <w:rsid w:val="0C9E9C9E"/>
    <w:rsid w:val="0C9ED27B"/>
    <w:rsid w:val="0CA107A8"/>
    <w:rsid w:val="0CA11C21"/>
    <w:rsid w:val="0CA175B4"/>
    <w:rsid w:val="0CA17782"/>
    <w:rsid w:val="0CA3335E"/>
    <w:rsid w:val="0CA48900"/>
    <w:rsid w:val="0CA4F0F6"/>
    <w:rsid w:val="0CA6CBAC"/>
    <w:rsid w:val="0CA93A2B"/>
    <w:rsid w:val="0CAB286D"/>
    <w:rsid w:val="0CABB511"/>
    <w:rsid w:val="0CAEBFBE"/>
    <w:rsid w:val="0CAF1B27"/>
    <w:rsid w:val="0CB0771B"/>
    <w:rsid w:val="0CB516DB"/>
    <w:rsid w:val="0CB60404"/>
    <w:rsid w:val="0CB9753B"/>
    <w:rsid w:val="0CB9D95C"/>
    <w:rsid w:val="0CB9FF1D"/>
    <w:rsid w:val="0CBB2BB4"/>
    <w:rsid w:val="0CBCCE57"/>
    <w:rsid w:val="0CBE8BF2"/>
    <w:rsid w:val="0CC073C0"/>
    <w:rsid w:val="0CC10600"/>
    <w:rsid w:val="0CC60D69"/>
    <w:rsid w:val="0CC666AF"/>
    <w:rsid w:val="0CC6EEAE"/>
    <w:rsid w:val="0CC70CFE"/>
    <w:rsid w:val="0CC87B62"/>
    <w:rsid w:val="0CC8DD37"/>
    <w:rsid w:val="0CCCF992"/>
    <w:rsid w:val="0CCE612F"/>
    <w:rsid w:val="0CCF781B"/>
    <w:rsid w:val="0CD04B75"/>
    <w:rsid w:val="0CD13D81"/>
    <w:rsid w:val="0CD43B92"/>
    <w:rsid w:val="0CD557BA"/>
    <w:rsid w:val="0CD70D7F"/>
    <w:rsid w:val="0CDB53C3"/>
    <w:rsid w:val="0CDBE094"/>
    <w:rsid w:val="0CDC1AD8"/>
    <w:rsid w:val="0CDE9E22"/>
    <w:rsid w:val="0CDFF3F0"/>
    <w:rsid w:val="0CE01576"/>
    <w:rsid w:val="0CE04028"/>
    <w:rsid w:val="0CE4014D"/>
    <w:rsid w:val="0CE66771"/>
    <w:rsid w:val="0CE8599C"/>
    <w:rsid w:val="0CE8E6EF"/>
    <w:rsid w:val="0CE9C989"/>
    <w:rsid w:val="0CEDDE29"/>
    <w:rsid w:val="0CF26A78"/>
    <w:rsid w:val="0CF32F33"/>
    <w:rsid w:val="0CF49867"/>
    <w:rsid w:val="0CF5C068"/>
    <w:rsid w:val="0CF63A97"/>
    <w:rsid w:val="0CF7177F"/>
    <w:rsid w:val="0CFFBCAE"/>
    <w:rsid w:val="0D01B9CE"/>
    <w:rsid w:val="0D01EF69"/>
    <w:rsid w:val="0D023A32"/>
    <w:rsid w:val="0D037A97"/>
    <w:rsid w:val="0D0458E0"/>
    <w:rsid w:val="0D055368"/>
    <w:rsid w:val="0D05E3EC"/>
    <w:rsid w:val="0D069642"/>
    <w:rsid w:val="0D073340"/>
    <w:rsid w:val="0D09CF49"/>
    <w:rsid w:val="0D0A9A17"/>
    <w:rsid w:val="0D0BD71D"/>
    <w:rsid w:val="0D0BE315"/>
    <w:rsid w:val="0D0D1154"/>
    <w:rsid w:val="0D0D35A3"/>
    <w:rsid w:val="0D0D4B79"/>
    <w:rsid w:val="0D110295"/>
    <w:rsid w:val="0D128914"/>
    <w:rsid w:val="0D15A9F8"/>
    <w:rsid w:val="0D15E48C"/>
    <w:rsid w:val="0D183482"/>
    <w:rsid w:val="0D185D0A"/>
    <w:rsid w:val="0D19C692"/>
    <w:rsid w:val="0D1B9553"/>
    <w:rsid w:val="0D1E0448"/>
    <w:rsid w:val="0D21F004"/>
    <w:rsid w:val="0D24DAD0"/>
    <w:rsid w:val="0D25BFC2"/>
    <w:rsid w:val="0D263B26"/>
    <w:rsid w:val="0D2706E7"/>
    <w:rsid w:val="0D284962"/>
    <w:rsid w:val="0D2A659B"/>
    <w:rsid w:val="0D2BB75A"/>
    <w:rsid w:val="0D2C730E"/>
    <w:rsid w:val="0D2E2669"/>
    <w:rsid w:val="0D2EFCC5"/>
    <w:rsid w:val="0D2FF4FF"/>
    <w:rsid w:val="0D32FB1C"/>
    <w:rsid w:val="0D3364C0"/>
    <w:rsid w:val="0D34092E"/>
    <w:rsid w:val="0D379306"/>
    <w:rsid w:val="0D38F6EB"/>
    <w:rsid w:val="0D3A9A48"/>
    <w:rsid w:val="0D3B673D"/>
    <w:rsid w:val="0D3DDC26"/>
    <w:rsid w:val="0D401AF0"/>
    <w:rsid w:val="0D42FC27"/>
    <w:rsid w:val="0D43D6B6"/>
    <w:rsid w:val="0D440E35"/>
    <w:rsid w:val="0D44C036"/>
    <w:rsid w:val="0D457272"/>
    <w:rsid w:val="0D465C85"/>
    <w:rsid w:val="0D46C95B"/>
    <w:rsid w:val="0D47F991"/>
    <w:rsid w:val="0D4A2CA3"/>
    <w:rsid w:val="0D4F64AD"/>
    <w:rsid w:val="0D5178AD"/>
    <w:rsid w:val="0D5205B2"/>
    <w:rsid w:val="0D529686"/>
    <w:rsid w:val="0D53A2B1"/>
    <w:rsid w:val="0D53B536"/>
    <w:rsid w:val="0D5602BF"/>
    <w:rsid w:val="0D5672D5"/>
    <w:rsid w:val="0D573F01"/>
    <w:rsid w:val="0D5774B2"/>
    <w:rsid w:val="0D58F047"/>
    <w:rsid w:val="0D5BFA87"/>
    <w:rsid w:val="0D6645D5"/>
    <w:rsid w:val="0D6707AF"/>
    <w:rsid w:val="0D6CAC54"/>
    <w:rsid w:val="0D6E4CD0"/>
    <w:rsid w:val="0D6EBA74"/>
    <w:rsid w:val="0D6F13B4"/>
    <w:rsid w:val="0D714D04"/>
    <w:rsid w:val="0D726369"/>
    <w:rsid w:val="0D72DEC4"/>
    <w:rsid w:val="0D78ACF6"/>
    <w:rsid w:val="0D79ECE7"/>
    <w:rsid w:val="0D7C81EB"/>
    <w:rsid w:val="0D7C9363"/>
    <w:rsid w:val="0D7DA85F"/>
    <w:rsid w:val="0D80A0EE"/>
    <w:rsid w:val="0D80A863"/>
    <w:rsid w:val="0D80E854"/>
    <w:rsid w:val="0D82056A"/>
    <w:rsid w:val="0D82D10F"/>
    <w:rsid w:val="0D834C9B"/>
    <w:rsid w:val="0D85CF29"/>
    <w:rsid w:val="0D861DB2"/>
    <w:rsid w:val="0D866E35"/>
    <w:rsid w:val="0D873365"/>
    <w:rsid w:val="0D888A97"/>
    <w:rsid w:val="0D8AADB2"/>
    <w:rsid w:val="0D8D1999"/>
    <w:rsid w:val="0D8E1E8C"/>
    <w:rsid w:val="0D91BACC"/>
    <w:rsid w:val="0D956548"/>
    <w:rsid w:val="0D99A3C2"/>
    <w:rsid w:val="0D99EA65"/>
    <w:rsid w:val="0D9A0235"/>
    <w:rsid w:val="0D9A0AFD"/>
    <w:rsid w:val="0D9ABB45"/>
    <w:rsid w:val="0D9AF501"/>
    <w:rsid w:val="0D9D5159"/>
    <w:rsid w:val="0D9D7B3F"/>
    <w:rsid w:val="0D9E60ED"/>
    <w:rsid w:val="0D9F0607"/>
    <w:rsid w:val="0DA0FD9D"/>
    <w:rsid w:val="0DA23BF9"/>
    <w:rsid w:val="0DA288AF"/>
    <w:rsid w:val="0DA4BAF2"/>
    <w:rsid w:val="0DA4BFD0"/>
    <w:rsid w:val="0DA6F117"/>
    <w:rsid w:val="0DA8D2AA"/>
    <w:rsid w:val="0DA95A4C"/>
    <w:rsid w:val="0DA9883A"/>
    <w:rsid w:val="0DAE1D5F"/>
    <w:rsid w:val="0DAECC70"/>
    <w:rsid w:val="0DB2FC39"/>
    <w:rsid w:val="0DB40390"/>
    <w:rsid w:val="0DB693D7"/>
    <w:rsid w:val="0DB79A45"/>
    <w:rsid w:val="0DB927B6"/>
    <w:rsid w:val="0DB98623"/>
    <w:rsid w:val="0DBA2964"/>
    <w:rsid w:val="0DBB12B7"/>
    <w:rsid w:val="0DBC8B17"/>
    <w:rsid w:val="0DBC90CF"/>
    <w:rsid w:val="0DBCD519"/>
    <w:rsid w:val="0DBDBD61"/>
    <w:rsid w:val="0DBE588F"/>
    <w:rsid w:val="0DBFDA8F"/>
    <w:rsid w:val="0DC05D17"/>
    <w:rsid w:val="0DC16039"/>
    <w:rsid w:val="0DC186F4"/>
    <w:rsid w:val="0DC249BC"/>
    <w:rsid w:val="0DC33293"/>
    <w:rsid w:val="0DC6008F"/>
    <w:rsid w:val="0DC97C19"/>
    <w:rsid w:val="0DCB236D"/>
    <w:rsid w:val="0DCC887E"/>
    <w:rsid w:val="0DD00C6A"/>
    <w:rsid w:val="0DD02211"/>
    <w:rsid w:val="0DD2CFEC"/>
    <w:rsid w:val="0DD32957"/>
    <w:rsid w:val="0DD4975A"/>
    <w:rsid w:val="0DD4E2DB"/>
    <w:rsid w:val="0DD701E6"/>
    <w:rsid w:val="0DDA3BA9"/>
    <w:rsid w:val="0DDBE471"/>
    <w:rsid w:val="0DE0BA89"/>
    <w:rsid w:val="0DE171D7"/>
    <w:rsid w:val="0DE2831E"/>
    <w:rsid w:val="0DE28E3A"/>
    <w:rsid w:val="0DE32D46"/>
    <w:rsid w:val="0DE5559B"/>
    <w:rsid w:val="0DE74948"/>
    <w:rsid w:val="0DE77A39"/>
    <w:rsid w:val="0DEC6821"/>
    <w:rsid w:val="0DED8E71"/>
    <w:rsid w:val="0DEDEBA7"/>
    <w:rsid w:val="0DF2B615"/>
    <w:rsid w:val="0DF3C46A"/>
    <w:rsid w:val="0DF47AB6"/>
    <w:rsid w:val="0DF50BE5"/>
    <w:rsid w:val="0DF8420C"/>
    <w:rsid w:val="0DF9140B"/>
    <w:rsid w:val="0DF9D21D"/>
    <w:rsid w:val="0DFCEA4F"/>
    <w:rsid w:val="0DFE31FD"/>
    <w:rsid w:val="0E000C7D"/>
    <w:rsid w:val="0E0234C2"/>
    <w:rsid w:val="0E03B066"/>
    <w:rsid w:val="0E043E75"/>
    <w:rsid w:val="0E055A89"/>
    <w:rsid w:val="0E0AA55F"/>
    <w:rsid w:val="0E0BB485"/>
    <w:rsid w:val="0E0C097B"/>
    <w:rsid w:val="0E0C8026"/>
    <w:rsid w:val="0E0D5E3A"/>
    <w:rsid w:val="0E0FF74E"/>
    <w:rsid w:val="0E11290B"/>
    <w:rsid w:val="0E11CCD5"/>
    <w:rsid w:val="0E139863"/>
    <w:rsid w:val="0E165A20"/>
    <w:rsid w:val="0E175E81"/>
    <w:rsid w:val="0E1C3C7D"/>
    <w:rsid w:val="0E1FA010"/>
    <w:rsid w:val="0E2054AF"/>
    <w:rsid w:val="0E22A58D"/>
    <w:rsid w:val="0E239980"/>
    <w:rsid w:val="0E253C75"/>
    <w:rsid w:val="0E257CA5"/>
    <w:rsid w:val="0E268EB2"/>
    <w:rsid w:val="0E272CF5"/>
    <w:rsid w:val="0E2DE9F6"/>
    <w:rsid w:val="0E2E6947"/>
    <w:rsid w:val="0E2F617D"/>
    <w:rsid w:val="0E3146A9"/>
    <w:rsid w:val="0E31D164"/>
    <w:rsid w:val="0E33AFAD"/>
    <w:rsid w:val="0E355E6B"/>
    <w:rsid w:val="0E37515C"/>
    <w:rsid w:val="0E3C0D86"/>
    <w:rsid w:val="0E3D3E25"/>
    <w:rsid w:val="0E3F7C7D"/>
    <w:rsid w:val="0E4103F7"/>
    <w:rsid w:val="0E419368"/>
    <w:rsid w:val="0E42BB36"/>
    <w:rsid w:val="0E4455D8"/>
    <w:rsid w:val="0E44B537"/>
    <w:rsid w:val="0E45AA0E"/>
    <w:rsid w:val="0E4A5544"/>
    <w:rsid w:val="0E4B279B"/>
    <w:rsid w:val="0E4BBC5F"/>
    <w:rsid w:val="0E4FEA43"/>
    <w:rsid w:val="0E503D1E"/>
    <w:rsid w:val="0E511A8A"/>
    <w:rsid w:val="0E512522"/>
    <w:rsid w:val="0E51263F"/>
    <w:rsid w:val="0E54CC3F"/>
    <w:rsid w:val="0E573409"/>
    <w:rsid w:val="0E57D77C"/>
    <w:rsid w:val="0E585DA1"/>
    <w:rsid w:val="0E5AD360"/>
    <w:rsid w:val="0E5B5806"/>
    <w:rsid w:val="0E60E180"/>
    <w:rsid w:val="0E63D3EF"/>
    <w:rsid w:val="0E65C53D"/>
    <w:rsid w:val="0E6729F6"/>
    <w:rsid w:val="0E68DCF2"/>
    <w:rsid w:val="0E6A90A5"/>
    <w:rsid w:val="0E6A9664"/>
    <w:rsid w:val="0E6BB097"/>
    <w:rsid w:val="0E6C296D"/>
    <w:rsid w:val="0E6CB041"/>
    <w:rsid w:val="0E6CDE61"/>
    <w:rsid w:val="0E6CFF2B"/>
    <w:rsid w:val="0E6D0421"/>
    <w:rsid w:val="0E6E68B9"/>
    <w:rsid w:val="0E6E78A1"/>
    <w:rsid w:val="0E70898F"/>
    <w:rsid w:val="0E71A793"/>
    <w:rsid w:val="0E7247CE"/>
    <w:rsid w:val="0E726F65"/>
    <w:rsid w:val="0E76563F"/>
    <w:rsid w:val="0E78C849"/>
    <w:rsid w:val="0E7952FD"/>
    <w:rsid w:val="0E7A57F3"/>
    <w:rsid w:val="0E7C9061"/>
    <w:rsid w:val="0E7CF8AB"/>
    <w:rsid w:val="0E800B28"/>
    <w:rsid w:val="0E818D9C"/>
    <w:rsid w:val="0E86DECA"/>
    <w:rsid w:val="0E87FF21"/>
    <w:rsid w:val="0E8E3013"/>
    <w:rsid w:val="0E8E4E41"/>
    <w:rsid w:val="0E9164FF"/>
    <w:rsid w:val="0E92A709"/>
    <w:rsid w:val="0E93B3D8"/>
    <w:rsid w:val="0E95A705"/>
    <w:rsid w:val="0E980C56"/>
    <w:rsid w:val="0E9998A0"/>
    <w:rsid w:val="0E9AD9A9"/>
    <w:rsid w:val="0E9AFDB5"/>
    <w:rsid w:val="0E9D2542"/>
    <w:rsid w:val="0EA25614"/>
    <w:rsid w:val="0EA6D603"/>
    <w:rsid w:val="0EA73425"/>
    <w:rsid w:val="0EA91594"/>
    <w:rsid w:val="0EA91A3B"/>
    <w:rsid w:val="0EA95099"/>
    <w:rsid w:val="0EA9D204"/>
    <w:rsid w:val="0EAA9989"/>
    <w:rsid w:val="0EAB3882"/>
    <w:rsid w:val="0EADC530"/>
    <w:rsid w:val="0EB553B3"/>
    <w:rsid w:val="0EB6A93F"/>
    <w:rsid w:val="0EB72C79"/>
    <w:rsid w:val="0EB7786A"/>
    <w:rsid w:val="0EB8282C"/>
    <w:rsid w:val="0EB9BF73"/>
    <w:rsid w:val="0EBB371F"/>
    <w:rsid w:val="0EBBBD50"/>
    <w:rsid w:val="0EBC0B80"/>
    <w:rsid w:val="0EBC1C20"/>
    <w:rsid w:val="0EBC589D"/>
    <w:rsid w:val="0EBD61DA"/>
    <w:rsid w:val="0EC139BD"/>
    <w:rsid w:val="0EC1D7CF"/>
    <w:rsid w:val="0EC297D1"/>
    <w:rsid w:val="0EC3B30F"/>
    <w:rsid w:val="0EC6FAED"/>
    <w:rsid w:val="0ECA0994"/>
    <w:rsid w:val="0ECCE6B3"/>
    <w:rsid w:val="0ECD8EF4"/>
    <w:rsid w:val="0ECEB148"/>
    <w:rsid w:val="0ECFEBEC"/>
    <w:rsid w:val="0ED0278B"/>
    <w:rsid w:val="0ED16252"/>
    <w:rsid w:val="0ED33C36"/>
    <w:rsid w:val="0ED3B8D4"/>
    <w:rsid w:val="0ED641F9"/>
    <w:rsid w:val="0ED7F6CF"/>
    <w:rsid w:val="0ED80745"/>
    <w:rsid w:val="0ED86BED"/>
    <w:rsid w:val="0EDB1673"/>
    <w:rsid w:val="0EDF9813"/>
    <w:rsid w:val="0EE0F8E2"/>
    <w:rsid w:val="0EE48929"/>
    <w:rsid w:val="0EE5A64E"/>
    <w:rsid w:val="0EE92104"/>
    <w:rsid w:val="0EEA69E9"/>
    <w:rsid w:val="0EEA95B5"/>
    <w:rsid w:val="0EEB4498"/>
    <w:rsid w:val="0EEC20EE"/>
    <w:rsid w:val="0EECF4AB"/>
    <w:rsid w:val="0EEFDADD"/>
    <w:rsid w:val="0EF1CECD"/>
    <w:rsid w:val="0EF47F34"/>
    <w:rsid w:val="0EF5EF68"/>
    <w:rsid w:val="0EF6C555"/>
    <w:rsid w:val="0EF98573"/>
    <w:rsid w:val="0EFE2417"/>
    <w:rsid w:val="0F003E0C"/>
    <w:rsid w:val="0F00CEFB"/>
    <w:rsid w:val="0F02930A"/>
    <w:rsid w:val="0F0307B4"/>
    <w:rsid w:val="0F040176"/>
    <w:rsid w:val="0F046F62"/>
    <w:rsid w:val="0F05BB9B"/>
    <w:rsid w:val="0F0B7BAC"/>
    <w:rsid w:val="0F0C29BB"/>
    <w:rsid w:val="0F0D3AEC"/>
    <w:rsid w:val="0F0DAF62"/>
    <w:rsid w:val="0F0FF140"/>
    <w:rsid w:val="0F1242E1"/>
    <w:rsid w:val="0F12700B"/>
    <w:rsid w:val="0F13D866"/>
    <w:rsid w:val="0F15A202"/>
    <w:rsid w:val="0F168715"/>
    <w:rsid w:val="0F19F0AF"/>
    <w:rsid w:val="0F1B701D"/>
    <w:rsid w:val="0F1C21CE"/>
    <w:rsid w:val="0F1CCC0F"/>
    <w:rsid w:val="0F1D7345"/>
    <w:rsid w:val="0F200183"/>
    <w:rsid w:val="0F213FB6"/>
    <w:rsid w:val="0F2532B5"/>
    <w:rsid w:val="0F281D65"/>
    <w:rsid w:val="0F292178"/>
    <w:rsid w:val="0F2A5806"/>
    <w:rsid w:val="0F2A738A"/>
    <w:rsid w:val="0F2B9A8F"/>
    <w:rsid w:val="0F2D2AB6"/>
    <w:rsid w:val="0F2F0ECE"/>
    <w:rsid w:val="0F31F1D4"/>
    <w:rsid w:val="0F329302"/>
    <w:rsid w:val="0F3B9546"/>
    <w:rsid w:val="0F40B562"/>
    <w:rsid w:val="0F427FA1"/>
    <w:rsid w:val="0F429FD6"/>
    <w:rsid w:val="0F43FF0C"/>
    <w:rsid w:val="0F446D56"/>
    <w:rsid w:val="0F461650"/>
    <w:rsid w:val="0F469459"/>
    <w:rsid w:val="0F46F0D9"/>
    <w:rsid w:val="0F471F85"/>
    <w:rsid w:val="0F480E76"/>
    <w:rsid w:val="0F48437B"/>
    <w:rsid w:val="0F48921F"/>
    <w:rsid w:val="0F48B57C"/>
    <w:rsid w:val="0F4A30F7"/>
    <w:rsid w:val="0F4AEA7B"/>
    <w:rsid w:val="0F4AFA63"/>
    <w:rsid w:val="0F4C1318"/>
    <w:rsid w:val="0F4E4AF7"/>
    <w:rsid w:val="0F511794"/>
    <w:rsid w:val="0F512CC5"/>
    <w:rsid w:val="0F52263F"/>
    <w:rsid w:val="0F53AFDA"/>
    <w:rsid w:val="0F576C39"/>
    <w:rsid w:val="0F57D2DE"/>
    <w:rsid w:val="0F5B5654"/>
    <w:rsid w:val="0F5FD794"/>
    <w:rsid w:val="0F60CFAC"/>
    <w:rsid w:val="0F61A5D9"/>
    <w:rsid w:val="0F62DE64"/>
    <w:rsid w:val="0F62F923"/>
    <w:rsid w:val="0F66ACD6"/>
    <w:rsid w:val="0F6AC1C2"/>
    <w:rsid w:val="0F6CCEF9"/>
    <w:rsid w:val="0F6CE6EE"/>
    <w:rsid w:val="0F6D6EF8"/>
    <w:rsid w:val="0F6D8944"/>
    <w:rsid w:val="0F6FCBB2"/>
    <w:rsid w:val="0F70C24A"/>
    <w:rsid w:val="0F70F17D"/>
    <w:rsid w:val="0F7109A0"/>
    <w:rsid w:val="0F71E686"/>
    <w:rsid w:val="0F724E06"/>
    <w:rsid w:val="0F73580D"/>
    <w:rsid w:val="0F745DA0"/>
    <w:rsid w:val="0F778164"/>
    <w:rsid w:val="0F7B1E91"/>
    <w:rsid w:val="0F7BAD85"/>
    <w:rsid w:val="0F7CC46B"/>
    <w:rsid w:val="0F7E9262"/>
    <w:rsid w:val="0F7F3305"/>
    <w:rsid w:val="0F845523"/>
    <w:rsid w:val="0F84C1DA"/>
    <w:rsid w:val="0F873746"/>
    <w:rsid w:val="0F87B593"/>
    <w:rsid w:val="0F8991FF"/>
    <w:rsid w:val="0F89D1D3"/>
    <w:rsid w:val="0F8E4C89"/>
    <w:rsid w:val="0F92DB6A"/>
    <w:rsid w:val="0F92FB7A"/>
    <w:rsid w:val="0F9CBEA0"/>
    <w:rsid w:val="0FA1E8BB"/>
    <w:rsid w:val="0FA29FD1"/>
    <w:rsid w:val="0FA36604"/>
    <w:rsid w:val="0FA46221"/>
    <w:rsid w:val="0FA53944"/>
    <w:rsid w:val="0FA581FD"/>
    <w:rsid w:val="0FA5CCEF"/>
    <w:rsid w:val="0FA670ED"/>
    <w:rsid w:val="0FA6CEAF"/>
    <w:rsid w:val="0FAE2219"/>
    <w:rsid w:val="0FB04BB3"/>
    <w:rsid w:val="0FB161D6"/>
    <w:rsid w:val="0FB2AA7D"/>
    <w:rsid w:val="0FB2B236"/>
    <w:rsid w:val="0FB6606F"/>
    <w:rsid w:val="0FBAE117"/>
    <w:rsid w:val="0FBB15EC"/>
    <w:rsid w:val="0FC3AEF1"/>
    <w:rsid w:val="0FC68F51"/>
    <w:rsid w:val="0FC81D06"/>
    <w:rsid w:val="0FC83DF3"/>
    <w:rsid w:val="0FC9D37D"/>
    <w:rsid w:val="0FCAA48E"/>
    <w:rsid w:val="0FCEA46E"/>
    <w:rsid w:val="0FCEE35A"/>
    <w:rsid w:val="0FCFF4EA"/>
    <w:rsid w:val="0FD191DA"/>
    <w:rsid w:val="0FD2D3A5"/>
    <w:rsid w:val="0FD3ACAE"/>
    <w:rsid w:val="0FD442B5"/>
    <w:rsid w:val="0FD75209"/>
    <w:rsid w:val="0FD846FA"/>
    <w:rsid w:val="0FDFDFFF"/>
    <w:rsid w:val="0FE20AAE"/>
    <w:rsid w:val="0FE43506"/>
    <w:rsid w:val="0FE466B1"/>
    <w:rsid w:val="0FE50F2E"/>
    <w:rsid w:val="0FE59F25"/>
    <w:rsid w:val="0FE82AAE"/>
    <w:rsid w:val="0FE986B6"/>
    <w:rsid w:val="0FEA4CF9"/>
    <w:rsid w:val="0FEC2AE6"/>
    <w:rsid w:val="0FEC93F0"/>
    <w:rsid w:val="0FEC94BF"/>
    <w:rsid w:val="0FECB258"/>
    <w:rsid w:val="0FEED7B5"/>
    <w:rsid w:val="0FEF0646"/>
    <w:rsid w:val="0FEF397A"/>
    <w:rsid w:val="0FF1EAC5"/>
    <w:rsid w:val="0FF37523"/>
    <w:rsid w:val="0FF3E493"/>
    <w:rsid w:val="0FF74C0D"/>
    <w:rsid w:val="0FF77924"/>
    <w:rsid w:val="0FFF4801"/>
    <w:rsid w:val="10027850"/>
    <w:rsid w:val="1002F090"/>
    <w:rsid w:val="1006130A"/>
    <w:rsid w:val="10061A8E"/>
    <w:rsid w:val="10074DB6"/>
    <w:rsid w:val="100798DA"/>
    <w:rsid w:val="10089562"/>
    <w:rsid w:val="100AABC1"/>
    <w:rsid w:val="100ADC0E"/>
    <w:rsid w:val="100D3898"/>
    <w:rsid w:val="100D49F1"/>
    <w:rsid w:val="100ECB9A"/>
    <w:rsid w:val="10119F1E"/>
    <w:rsid w:val="1011A130"/>
    <w:rsid w:val="10148CF6"/>
    <w:rsid w:val="1014D991"/>
    <w:rsid w:val="10152AAC"/>
    <w:rsid w:val="101593A7"/>
    <w:rsid w:val="1016782D"/>
    <w:rsid w:val="101872A9"/>
    <w:rsid w:val="101BEB65"/>
    <w:rsid w:val="101C01A5"/>
    <w:rsid w:val="101CFFB2"/>
    <w:rsid w:val="10216756"/>
    <w:rsid w:val="10221179"/>
    <w:rsid w:val="10227F72"/>
    <w:rsid w:val="1024D6BD"/>
    <w:rsid w:val="1025202D"/>
    <w:rsid w:val="102575E8"/>
    <w:rsid w:val="1027A0C2"/>
    <w:rsid w:val="1027E6E0"/>
    <w:rsid w:val="102810FC"/>
    <w:rsid w:val="102AC0DF"/>
    <w:rsid w:val="102B2E70"/>
    <w:rsid w:val="102D173F"/>
    <w:rsid w:val="102FAEA9"/>
    <w:rsid w:val="103225CC"/>
    <w:rsid w:val="1033AFED"/>
    <w:rsid w:val="10359AE7"/>
    <w:rsid w:val="1035E22E"/>
    <w:rsid w:val="1037D6D0"/>
    <w:rsid w:val="1037F919"/>
    <w:rsid w:val="103A0952"/>
    <w:rsid w:val="103FC18D"/>
    <w:rsid w:val="104001C8"/>
    <w:rsid w:val="104019F5"/>
    <w:rsid w:val="1040CBC4"/>
    <w:rsid w:val="1042312A"/>
    <w:rsid w:val="104374EE"/>
    <w:rsid w:val="1043AACD"/>
    <w:rsid w:val="1044FC9D"/>
    <w:rsid w:val="10469073"/>
    <w:rsid w:val="104694E2"/>
    <w:rsid w:val="104A7681"/>
    <w:rsid w:val="104A84EC"/>
    <w:rsid w:val="104BF44F"/>
    <w:rsid w:val="104DB33E"/>
    <w:rsid w:val="104E08B7"/>
    <w:rsid w:val="104EF1A6"/>
    <w:rsid w:val="104F9210"/>
    <w:rsid w:val="104FD185"/>
    <w:rsid w:val="105387BE"/>
    <w:rsid w:val="1054BB64"/>
    <w:rsid w:val="1054C240"/>
    <w:rsid w:val="105515B3"/>
    <w:rsid w:val="1055728C"/>
    <w:rsid w:val="10560100"/>
    <w:rsid w:val="10570080"/>
    <w:rsid w:val="105758F0"/>
    <w:rsid w:val="10575B8C"/>
    <w:rsid w:val="105E8AA0"/>
    <w:rsid w:val="105EAB26"/>
    <w:rsid w:val="1060A522"/>
    <w:rsid w:val="10610288"/>
    <w:rsid w:val="10616071"/>
    <w:rsid w:val="10632139"/>
    <w:rsid w:val="106444A3"/>
    <w:rsid w:val="106778AB"/>
    <w:rsid w:val="10679827"/>
    <w:rsid w:val="10684D27"/>
    <w:rsid w:val="1068D109"/>
    <w:rsid w:val="10692644"/>
    <w:rsid w:val="1069356D"/>
    <w:rsid w:val="10697409"/>
    <w:rsid w:val="106A7AFE"/>
    <w:rsid w:val="106AA59B"/>
    <w:rsid w:val="106FA949"/>
    <w:rsid w:val="10725201"/>
    <w:rsid w:val="10735779"/>
    <w:rsid w:val="10738BED"/>
    <w:rsid w:val="1074C06D"/>
    <w:rsid w:val="1076D52A"/>
    <w:rsid w:val="107945D8"/>
    <w:rsid w:val="107B58EB"/>
    <w:rsid w:val="107BFB34"/>
    <w:rsid w:val="107C4D92"/>
    <w:rsid w:val="107F8189"/>
    <w:rsid w:val="10812B52"/>
    <w:rsid w:val="10816730"/>
    <w:rsid w:val="1082819C"/>
    <w:rsid w:val="1082C993"/>
    <w:rsid w:val="1082F9E3"/>
    <w:rsid w:val="10850E10"/>
    <w:rsid w:val="10853D80"/>
    <w:rsid w:val="1086EBCA"/>
    <w:rsid w:val="10873471"/>
    <w:rsid w:val="10893C87"/>
    <w:rsid w:val="108AC7A3"/>
    <w:rsid w:val="108D1FBB"/>
    <w:rsid w:val="108D4710"/>
    <w:rsid w:val="108D9D18"/>
    <w:rsid w:val="1092FF69"/>
    <w:rsid w:val="109384D8"/>
    <w:rsid w:val="1095B27F"/>
    <w:rsid w:val="10972C02"/>
    <w:rsid w:val="109C427B"/>
    <w:rsid w:val="109D56AD"/>
    <w:rsid w:val="109D8080"/>
    <w:rsid w:val="109E4CB8"/>
    <w:rsid w:val="109E6CC8"/>
    <w:rsid w:val="109FFB70"/>
    <w:rsid w:val="10A23DDB"/>
    <w:rsid w:val="10A5D78E"/>
    <w:rsid w:val="10A5ED97"/>
    <w:rsid w:val="10A72566"/>
    <w:rsid w:val="10A7B0BD"/>
    <w:rsid w:val="10A8156A"/>
    <w:rsid w:val="10A88F16"/>
    <w:rsid w:val="10A956EC"/>
    <w:rsid w:val="10AA2FE4"/>
    <w:rsid w:val="10AAF29C"/>
    <w:rsid w:val="10AE62B0"/>
    <w:rsid w:val="10AF64DF"/>
    <w:rsid w:val="10B06908"/>
    <w:rsid w:val="10B6AC9D"/>
    <w:rsid w:val="10B6BC01"/>
    <w:rsid w:val="10B71A4F"/>
    <w:rsid w:val="10B741CA"/>
    <w:rsid w:val="10B98A0D"/>
    <w:rsid w:val="10BD01A1"/>
    <w:rsid w:val="10BE6BFC"/>
    <w:rsid w:val="10BFACBD"/>
    <w:rsid w:val="10C093CD"/>
    <w:rsid w:val="10C2C59C"/>
    <w:rsid w:val="10C3A27E"/>
    <w:rsid w:val="10C5B0D7"/>
    <w:rsid w:val="10C97ECA"/>
    <w:rsid w:val="10C9A533"/>
    <w:rsid w:val="10CE1EDD"/>
    <w:rsid w:val="10D06ADF"/>
    <w:rsid w:val="10D0FF51"/>
    <w:rsid w:val="10D3CF73"/>
    <w:rsid w:val="10D4D99E"/>
    <w:rsid w:val="10D509E4"/>
    <w:rsid w:val="10D57EA8"/>
    <w:rsid w:val="10D6023C"/>
    <w:rsid w:val="10D73B8B"/>
    <w:rsid w:val="10DC45F6"/>
    <w:rsid w:val="10DE3BA5"/>
    <w:rsid w:val="10DE5E78"/>
    <w:rsid w:val="10DF1054"/>
    <w:rsid w:val="10E47D8F"/>
    <w:rsid w:val="10E9503E"/>
    <w:rsid w:val="10EAD809"/>
    <w:rsid w:val="10EB43B4"/>
    <w:rsid w:val="10EDB298"/>
    <w:rsid w:val="10F01161"/>
    <w:rsid w:val="10F0D127"/>
    <w:rsid w:val="10F17980"/>
    <w:rsid w:val="10F1D5B5"/>
    <w:rsid w:val="10F20D2C"/>
    <w:rsid w:val="10F390E7"/>
    <w:rsid w:val="10F807D6"/>
    <w:rsid w:val="10F87F86"/>
    <w:rsid w:val="10F902CC"/>
    <w:rsid w:val="10F93272"/>
    <w:rsid w:val="10FA97E8"/>
    <w:rsid w:val="10FB3003"/>
    <w:rsid w:val="10FB4F19"/>
    <w:rsid w:val="110162DE"/>
    <w:rsid w:val="11020812"/>
    <w:rsid w:val="1102DB0F"/>
    <w:rsid w:val="11044DDA"/>
    <w:rsid w:val="11049407"/>
    <w:rsid w:val="11080960"/>
    <w:rsid w:val="110835F6"/>
    <w:rsid w:val="11096202"/>
    <w:rsid w:val="110FCF98"/>
    <w:rsid w:val="111002D0"/>
    <w:rsid w:val="11107A8E"/>
    <w:rsid w:val="11124418"/>
    <w:rsid w:val="1112D637"/>
    <w:rsid w:val="11156F33"/>
    <w:rsid w:val="111797B2"/>
    <w:rsid w:val="11188C09"/>
    <w:rsid w:val="1118A4D8"/>
    <w:rsid w:val="111A5165"/>
    <w:rsid w:val="111AB3DD"/>
    <w:rsid w:val="111B75E1"/>
    <w:rsid w:val="111CEB2C"/>
    <w:rsid w:val="111FF757"/>
    <w:rsid w:val="11201DA7"/>
    <w:rsid w:val="11207054"/>
    <w:rsid w:val="1121562A"/>
    <w:rsid w:val="112186BC"/>
    <w:rsid w:val="112334D4"/>
    <w:rsid w:val="11259853"/>
    <w:rsid w:val="112690AA"/>
    <w:rsid w:val="1127303B"/>
    <w:rsid w:val="11273324"/>
    <w:rsid w:val="11279F09"/>
    <w:rsid w:val="1129F647"/>
    <w:rsid w:val="1129F752"/>
    <w:rsid w:val="112AEB74"/>
    <w:rsid w:val="112C40D7"/>
    <w:rsid w:val="112F4488"/>
    <w:rsid w:val="1130415D"/>
    <w:rsid w:val="11312708"/>
    <w:rsid w:val="113132F1"/>
    <w:rsid w:val="113176D7"/>
    <w:rsid w:val="11326537"/>
    <w:rsid w:val="11336B45"/>
    <w:rsid w:val="11347CAE"/>
    <w:rsid w:val="113518AC"/>
    <w:rsid w:val="11351F8F"/>
    <w:rsid w:val="11380630"/>
    <w:rsid w:val="11382195"/>
    <w:rsid w:val="1138D354"/>
    <w:rsid w:val="1139E76A"/>
    <w:rsid w:val="113DAB1A"/>
    <w:rsid w:val="113E19A3"/>
    <w:rsid w:val="11419947"/>
    <w:rsid w:val="114234C5"/>
    <w:rsid w:val="11423B1C"/>
    <w:rsid w:val="114287E1"/>
    <w:rsid w:val="11442E74"/>
    <w:rsid w:val="1144B97E"/>
    <w:rsid w:val="114506A9"/>
    <w:rsid w:val="1145399D"/>
    <w:rsid w:val="11498AD3"/>
    <w:rsid w:val="114CBE57"/>
    <w:rsid w:val="114ECFE7"/>
    <w:rsid w:val="114F724B"/>
    <w:rsid w:val="11516425"/>
    <w:rsid w:val="1151F5BF"/>
    <w:rsid w:val="11521375"/>
    <w:rsid w:val="11532154"/>
    <w:rsid w:val="11537AE2"/>
    <w:rsid w:val="11592CB5"/>
    <w:rsid w:val="11596C76"/>
    <w:rsid w:val="115C996B"/>
    <w:rsid w:val="115D1256"/>
    <w:rsid w:val="115D5682"/>
    <w:rsid w:val="115EEAA8"/>
    <w:rsid w:val="115F12E7"/>
    <w:rsid w:val="115F8624"/>
    <w:rsid w:val="115FAF43"/>
    <w:rsid w:val="11602EE6"/>
    <w:rsid w:val="116148BA"/>
    <w:rsid w:val="1168388D"/>
    <w:rsid w:val="11695BB9"/>
    <w:rsid w:val="116AC946"/>
    <w:rsid w:val="116DCED1"/>
    <w:rsid w:val="116ECFC5"/>
    <w:rsid w:val="1172A6F7"/>
    <w:rsid w:val="11755794"/>
    <w:rsid w:val="1175FC42"/>
    <w:rsid w:val="11767F3C"/>
    <w:rsid w:val="11785573"/>
    <w:rsid w:val="11795F27"/>
    <w:rsid w:val="117D4073"/>
    <w:rsid w:val="117F070F"/>
    <w:rsid w:val="1180E5CE"/>
    <w:rsid w:val="1181A15C"/>
    <w:rsid w:val="1181EB7F"/>
    <w:rsid w:val="1182BC81"/>
    <w:rsid w:val="11832FBF"/>
    <w:rsid w:val="1183324B"/>
    <w:rsid w:val="11846166"/>
    <w:rsid w:val="1184A804"/>
    <w:rsid w:val="1186BB82"/>
    <w:rsid w:val="11877070"/>
    <w:rsid w:val="118AB7F3"/>
    <w:rsid w:val="118E79C5"/>
    <w:rsid w:val="119083ED"/>
    <w:rsid w:val="11933CAA"/>
    <w:rsid w:val="11936348"/>
    <w:rsid w:val="11948D2D"/>
    <w:rsid w:val="11966552"/>
    <w:rsid w:val="11969AFF"/>
    <w:rsid w:val="1196AE8C"/>
    <w:rsid w:val="11970112"/>
    <w:rsid w:val="11996DFC"/>
    <w:rsid w:val="1199C4B5"/>
    <w:rsid w:val="119B6257"/>
    <w:rsid w:val="119BAAC2"/>
    <w:rsid w:val="119C1457"/>
    <w:rsid w:val="119E1636"/>
    <w:rsid w:val="119E26AB"/>
    <w:rsid w:val="119F1247"/>
    <w:rsid w:val="11A030CB"/>
    <w:rsid w:val="11A05369"/>
    <w:rsid w:val="11A06574"/>
    <w:rsid w:val="11A07A40"/>
    <w:rsid w:val="11A0ACA9"/>
    <w:rsid w:val="11A1073B"/>
    <w:rsid w:val="11A246F9"/>
    <w:rsid w:val="11A2C558"/>
    <w:rsid w:val="11A323AD"/>
    <w:rsid w:val="11A369B0"/>
    <w:rsid w:val="11A65454"/>
    <w:rsid w:val="11A69BD2"/>
    <w:rsid w:val="11A75766"/>
    <w:rsid w:val="11A78FD7"/>
    <w:rsid w:val="11A79F2E"/>
    <w:rsid w:val="11A7C093"/>
    <w:rsid w:val="11A9A8AD"/>
    <w:rsid w:val="11AA9F8A"/>
    <w:rsid w:val="11AAF6C7"/>
    <w:rsid w:val="11AC6715"/>
    <w:rsid w:val="11AF1982"/>
    <w:rsid w:val="11AFBF90"/>
    <w:rsid w:val="11B1F602"/>
    <w:rsid w:val="11B2E4D6"/>
    <w:rsid w:val="11B40ADF"/>
    <w:rsid w:val="11B4D00C"/>
    <w:rsid w:val="11B5FCC5"/>
    <w:rsid w:val="11B8158B"/>
    <w:rsid w:val="11BA038A"/>
    <w:rsid w:val="11BB4675"/>
    <w:rsid w:val="11BBFAE0"/>
    <w:rsid w:val="11BC6F81"/>
    <w:rsid w:val="11BD4661"/>
    <w:rsid w:val="11C04463"/>
    <w:rsid w:val="11C6E1A9"/>
    <w:rsid w:val="11CF0FF5"/>
    <w:rsid w:val="11D10117"/>
    <w:rsid w:val="11D138BB"/>
    <w:rsid w:val="11D15202"/>
    <w:rsid w:val="11D185C7"/>
    <w:rsid w:val="11D255F9"/>
    <w:rsid w:val="11D3F421"/>
    <w:rsid w:val="11D42D43"/>
    <w:rsid w:val="11D632DA"/>
    <w:rsid w:val="11D73705"/>
    <w:rsid w:val="11D7EE82"/>
    <w:rsid w:val="11D9AFA5"/>
    <w:rsid w:val="11DB0599"/>
    <w:rsid w:val="11DB59AF"/>
    <w:rsid w:val="11DB8203"/>
    <w:rsid w:val="11DC0748"/>
    <w:rsid w:val="11DCBFC4"/>
    <w:rsid w:val="11DDB3D9"/>
    <w:rsid w:val="11DE6382"/>
    <w:rsid w:val="11DF81A0"/>
    <w:rsid w:val="11E4DFB2"/>
    <w:rsid w:val="11E63D78"/>
    <w:rsid w:val="11E6A922"/>
    <w:rsid w:val="11E6B7FA"/>
    <w:rsid w:val="11E7A43D"/>
    <w:rsid w:val="11E97042"/>
    <w:rsid w:val="11EA3110"/>
    <w:rsid w:val="11EDA30D"/>
    <w:rsid w:val="11EDC06C"/>
    <w:rsid w:val="11EE3535"/>
    <w:rsid w:val="11EEC78E"/>
    <w:rsid w:val="11F2184A"/>
    <w:rsid w:val="11F2893A"/>
    <w:rsid w:val="11F2A090"/>
    <w:rsid w:val="11F3FB64"/>
    <w:rsid w:val="11F57EAC"/>
    <w:rsid w:val="11F70698"/>
    <w:rsid w:val="11F99F8B"/>
    <w:rsid w:val="11FA8A9A"/>
    <w:rsid w:val="11FA9300"/>
    <w:rsid w:val="11FCB290"/>
    <w:rsid w:val="11FDE269"/>
    <w:rsid w:val="1201A1CC"/>
    <w:rsid w:val="12050606"/>
    <w:rsid w:val="1205150E"/>
    <w:rsid w:val="12052BFB"/>
    <w:rsid w:val="12053A71"/>
    <w:rsid w:val="12070A30"/>
    <w:rsid w:val="1207D978"/>
    <w:rsid w:val="120AE67F"/>
    <w:rsid w:val="120E09AE"/>
    <w:rsid w:val="120F8EA5"/>
    <w:rsid w:val="1210D84B"/>
    <w:rsid w:val="1211D96C"/>
    <w:rsid w:val="12120F6F"/>
    <w:rsid w:val="1215AA14"/>
    <w:rsid w:val="12160D49"/>
    <w:rsid w:val="12161183"/>
    <w:rsid w:val="121692D7"/>
    <w:rsid w:val="1217C1F8"/>
    <w:rsid w:val="1219A641"/>
    <w:rsid w:val="121DDF9C"/>
    <w:rsid w:val="121E3156"/>
    <w:rsid w:val="1220A6EC"/>
    <w:rsid w:val="1221C95F"/>
    <w:rsid w:val="1223F5A8"/>
    <w:rsid w:val="12253562"/>
    <w:rsid w:val="1225F13D"/>
    <w:rsid w:val="1227BB11"/>
    <w:rsid w:val="122ABABE"/>
    <w:rsid w:val="122BD3D5"/>
    <w:rsid w:val="122C08E6"/>
    <w:rsid w:val="122CBA03"/>
    <w:rsid w:val="122D66B4"/>
    <w:rsid w:val="122F4F2F"/>
    <w:rsid w:val="122FE13B"/>
    <w:rsid w:val="12305B44"/>
    <w:rsid w:val="1234709B"/>
    <w:rsid w:val="123611C6"/>
    <w:rsid w:val="12370456"/>
    <w:rsid w:val="123717B0"/>
    <w:rsid w:val="12382AE1"/>
    <w:rsid w:val="1238FCF3"/>
    <w:rsid w:val="123DB863"/>
    <w:rsid w:val="123F5B83"/>
    <w:rsid w:val="12405188"/>
    <w:rsid w:val="1240ACF1"/>
    <w:rsid w:val="1240C296"/>
    <w:rsid w:val="12471781"/>
    <w:rsid w:val="124B08C3"/>
    <w:rsid w:val="124C4157"/>
    <w:rsid w:val="124D8DD6"/>
    <w:rsid w:val="124FB213"/>
    <w:rsid w:val="1250D5A7"/>
    <w:rsid w:val="1252BF18"/>
    <w:rsid w:val="12552FBC"/>
    <w:rsid w:val="12557CC2"/>
    <w:rsid w:val="1256576A"/>
    <w:rsid w:val="1257CC12"/>
    <w:rsid w:val="1258B7EC"/>
    <w:rsid w:val="12593B7D"/>
    <w:rsid w:val="125CADBD"/>
    <w:rsid w:val="125ED203"/>
    <w:rsid w:val="125F58EF"/>
    <w:rsid w:val="125F89BD"/>
    <w:rsid w:val="1260DFF5"/>
    <w:rsid w:val="1262279C"/>
    <w:rsid w:val="12648015"/>
    <w:rsid w:val="12665D8D"/>
    <w:rsid w:val="126A1085"/>
    <w:rsid w:val="126A1D89"/>
    <w:rsid w:val="126A294D"/>
    <w:rsid w:val="126A7EB0"/>
    <w:rsid w:val="126BE8B9"/>
    <w:rsid w:val="126D7C0E"/>
    <w:rsid w:val="126E4782"/>
    <w:rsid w:val="1274D0DB"/>
    <w:rsid w:val="12761A65"/>
    <w:rsid w:val="12764F85"/>
    <w:rsid w:val="127862D4"/>
    <w:rsid w:val="12787B0F"/>
    <w:rsid w:val="1278CAFF"/>
    <w:rsid w:val="127A1F98"/>
    <w:rsid w:val="127A7CE6"/>
    <w:rsid w:val="1280E81A"/>
    <w:rsid w:val="1281F19F"/>
    <w:rsid w:val="12836513"/>
    <w:rsid w:val="1287D1AF"/>
    <w:rsid w:val="128A6D33"/>
    <w:rsid w:val="128D9060"/>
    <w:rsid w:val="129024D1"/>
    <w:rsid w:val="1291AB45"/>
    <w:rsid w:val="1293014C"/>
    <w:rsid w:val="12949998"/>
    <w:rsid w:val="129547B3"/>
    <w:rsid w:val="1295C7B6"/>
    <w:rsid w:val="12A0B354"/>
    <w:rsid w:val="12A0B80C"/>
    <w:rsid w:val="12A15CBD"/>
    <w:rsid w:val="12A25CB1"/>
    <w:rsid w:val="12A27961"/>
    <w:rsid w:val="12A35FB0"/>
    <w:rsid w:val="12A39662"/>
    <w:rsid w:val="12A727D3"/>
    <w:rsid w:val="12A93A05"/>
    <w:rsid w:val="12AA35D6"/>
    <w:rsid w:val="12AB3174"/>
    <w:rsid w:val="12ACD4BB"/>
    <w:rsid w:val="12B05520"/>
    <w:rsid w:val="12B0D114"/>
    <w:rsid w:val="12B15142"/>
    <w:rsid w:val="12B18D3E"/>
    <w:rsid w:val="12B1F8EB"/>
    <w:rsid w:val="12B3CDE9"/>
    <w:rsid w:val="12B3EA62"/>
    <w:rsid w:val="12B6EF32"/>
    <w:rsid w:val="12B6FA9E"/>
    <w:rsid w:val="12B80ED5"/>
    <w:rsid w:val="12B8F8FD"/>
    <w:rsid w:val="12B9B32D"/>
    <w:rsid w:val="12B9D50F"/>
    <w:rsid w:val="12BAA385"/>
    <w:rsid w:val="12BAEFC9"/>
    <w:rsid w:val="12BEC963"/>
    <w:rsid w:val="12BEE9DD"/>
    <w:rsid w:val="12C0D2F3"/>
    <w:rsid w:val="12C1E296"/>
    <w:rsid w:val="12C36393"/>
    <w:rsid w:val="12C89D8D"/>
    <w:rsid w:val="12CA4322"/>
    <w:rsid w:val="12CB6B25"/>
    <w:rsid w:val="12CC7E5A"/>
    <w:rsid w:val="12CE372C"/>
    <w:rsid w:val="12D0DCA0"/>
    <w:rsid w:val="12D1F941"/>
    <w:rsid w:val="12D4A074"/>
    <w:rsid w:val="12D4D382"/>
    <w:rsid w:val="12D4F539"/>
    <w:rsid w:val="12D4F6D2"/>
    <w:rsid w:val="12D82439"/>
    <w:rsid w:val="12D91A65"/>
    <w:rsid w:val="12DFFAFC"/>
    <w:rsid w:val="12E1FD54"/>
    <w:rsid w:val="12E23810"/>
    <w:rsid w:val="12E4C2DC"/>
    <w:rsid w:val="12E5319E"/>
    <w:rsid w:val="12E62F20"/>
    <w:rsid w:val="12E678D9"/>
    <w:rsid w:val="12E8359E"/>
    <w:rsid w:val="12E9F694"/>
    <w:rsid w:val="12EAF3A6"/>
    <w:rsid w:val="12ED4EBD"/>
    <w:rsid w:val="12ED6846"/>
    <w:rsid w:val="12ED9EB4"/>
    <w:rsid w:val="12EFFC72"/>
    <w:rsid w:val="12F04C93"/>
    <w:rsid w:val="12F14017"/>
    <w:rsid w:val="12F1994D"/>
    <w:rsid w:val="12F27E86"/>
    <w:rsid w:val="12F3B072"/>
    <w:rsid w:val="12F472F7"/>
    <w:rsid w:val="12F60739"/>
    <w:rsid w:val="12F6BA69"/>
    <w:rsid w:val="12F6C98C"/>
    <w:rsid w:val="12F8D6D4"/>
    <w:rsid w:val="12FCD520"/>
    <w:rsid w:val="12FF9D0F"/>
    <w:rsid w:val="12FFF066"/>
    <w:rsid w:val="130144D9"/>
    <w:rsid w:val="1301F0C7"/>
    <w:rsid w:val="130626FA"/>
    <w:rsid w:val="1307EA30"/>
    <w:rsid w:val="13085004"/>
    <w:rsid w:val="1309C7E8"/>
    <w:rsid w:val="130B0AFB"/>
    <w:rsid w:val="130BAAB9"/>
    <w:rsid w:val="130CDFA8"/>
    <w:rsid w:val="130D54C1"/>
    <w:rsid w:val="130FA2BC"/>
    <w:rsid w:val="130FB6A3"/>
    <w:rsid w:val="131168BA"/>
    <w:rsid w:val="13116EF0"/>
    <w:rsid w:val="1311CABE"/>
    <w:rsid w:val="13153018"/>
    <w:rsid w:val="13194E96"/>
    <w:rsid w:val="131B1113"/>
    <w:rsid w:val="131BCF9C"/>
    <w:rsid w:val="131C3A7A"/>
    <w:rsid w:val="131D176E"/>
    <w:rsid w:val="131D1E65"/>
    <w:rsid w:val="131EB4E7"/>
    <w:rsid w:val="13213979"/>
    <w:rsid w:val="1322896D"/>
    <w:rsid w:val="13234D05"/>
    <w:rsid w:val="13237CF1"/>
    <w:rsid w:val="1324B1CD"/>
    <w:rsid w:val="132505FB"/>
    <w:rsid w:val="132661BE"/>
    <w:rsid w:val="13269954"/>
    <w:rsid w:val="1329EC2B"/>
    <w:rsid w:val="132A89E0"/>
    <w:rsid w:val="132B95EE"/>
    <w:rsid w:val="132B9F20"/>
    <w:rsid w:val="132CD013"/>
    <w:rsid w:val="132DECD8"/>
    <w:rsid w:val="132E8F5B"/>
    <w:rsid w:val="132EE34C"/>
    <w:rsid w:val="132EF7BE"/>
    <w:rsid w:val="132F5941"/>
    <w:rsid w:val="132FED51"/>
    <w:rsid w:val="133003AB"/>
    <w:rsid w:val="1331A409"/>
    <w:rsid w:val="13357C88"/>
    <w:rsid w:val="1335BC7F"/>
    <w:rsid w:val="133631E6"/>
    <w:rsid w:val="13379077"/>
    <w:rsid w:val="1338F74A"/>
    <w:rsid w:val="133B0823"/>
    <w:rsid w:val="133BB7BE"/>
    <w:rsid w:val="133BCE8A"/>
    <w:rsid w:val="133E7CBB"/>
    <w:rsid w:val="133ED1A3"/>
    <w:rsid w:val="133F2301"/>
    <w:rsid w:val="13404E65"/>
    <w:rsid w:val="13407DE7"/>
    <w:rsid w:val="1341494C"/>
    <w:rsid w:val="1341E61C"/>
    <w:rsid w:val="13430F4D"/>
    <w:rsid w:val="134441AA"/>
    <w:rsid w:val="1345F2BF"/>
    <w:rsid w:val="13468D7E"/>
    <w:rsid w:val="13473D26"/>
    <w:rsid w:val="13478C97"/>
    <w:rsid w:val="134B8AEC"/>
    <w:rsid w:val="134C0047"/>
    <w:rsid w:val="134CDAFE"/>
    <w:rsid w:val="134DAC31"/>
    <w:rsid w:val="134E8F1A"/>
    <w:rsid w:val="134F36D6"/>
    <w:rsid w:val="1353C503"/>
    <w:rsid w:val="13553B9B"/>
    <w:rsid w:val="13555739"/>
    <w:rsid w:val="13576B81"/>
    <w:rsid w:val="1358106F"/>
    <w:rsid w:val="135F101D"/>
    <w:rsid w:val="13606121"/>
    <w:rsid w:val="13619B2B"/>
    <w:rsid w:val="1361BEC9"/>
    <w:rsid w:val="13620001"/>
    <w:rsid w:val="1363CA38"/>
    <w:rsid w:val="136484BB"/>
    <w:rsid w:val="1364B200"/>
    <w:rsid w:val="136551CE"/>
    <w:rsid w:val="13658AC4"/>
    <w:rsid w:val="13671C5B"/>
    <w:rsid w:val="1368E593"/>
    <w:rsid w:val="136A80BD"/>
    <w:rsid w:val="136B5691"/>
    <w:rsid w:val="136BB165"/>
    <w:rsid w:val="136D9822"/>
    <w:rsid w:val="136DE726"/>
    <w:rsid w:val="137254E0"/>
    <w:rsid w:val="1372DE66"/>
    <w:rsid w:val="13731C46"/>
    <w:rsid w:val="137502D7"/>
    <w:rsid w:val="13751AA9"/>
    <w:rsid w:val="13773DC7"/>
    <w:rsid w:val="1377F900"/>
    <w:rsid w:val="137A58BB"/>
    <w:rsid w:val="137A766E"/>
    <w:rsid w:val="137B6675"/>
    <w:rsid w:val="137C72A7"/>
    <w:rsid w:val="137FC197"/>
    <w:rsid w:val="138023DF"/>
    <w:rsid w:val="1380C01D"/>
    <w:rsid w:val="13855FB4"/>
    <w:rsid w:val="13871953"/>
    <w:rsid w:val="1387215F"/>
    <w:rsid w:val="1387E642"/>
    <w:rsid w:val="13887CDC"/>
    <w:rsid w:val="138B9F2C"/>
    <w:rsid w:val="138BA14C"/>
    <w:rsid w:val="138C1885"/>
    <w:rsid w:val="138D0083"/>
    <w:rsid w:val="13907898"/>
    <w:rsid w:val="1390F3E6"/>
    <w:rsid w:val="139141BF"/>
    <w:rsid w:val="13923391"/>
    <w:rsid w:val="13945272"/>
    <w:rsid w:val="1394CAE3"/>
    <w:rsid w:val="13950B19"/>
    <w:rsid w:val="1395CF7F"/>
    <w:rsid w:val="13962810"/>
    <w:rsid w:val="1397A07D"/>
    <w:rsid w:val="139B0932"/>
    <w:rsid w:val="139B2AD1"/>
    <w:rsid w:val="139E2174"/>
    <w:rsid w:val="139F1AF0"/>
    <w:rsid w:val="139FC650"/>
    <w:rsid w:val="13A10254"/>
    <w:rsid w:val="13A1EB47"/>
    <w:rsid w:val="13A29816"/>
    <w:rsid w:val="13A2B74A"/>
    <w:rsid w:val="13A3C964"/>
    <w:rsid w:val="13A4DE31"/>
    <w:rsid w:val="13A63DF3"/>
    <w:rsid w:val="13A7594F"/>
    <w:rsid w:val="13A9AF1D"/>
    <w:rsid w:val="13AA948E"/>
    <w:rsid w:val="13ADC47D"/>
    <w:rsid w:val="13AF72AF"/>
    <w:rsid w:val="13B0290A"/>
    <w:rsid w:val="13B36004"/>
    <w:rsid w:val="13B4E330"/>
    <w:rsid w:val="13B4E821"/>
    <w:rsid w:val="13B597E2"/>
    <w:rsid w:val="13B77CDE"/>
    <w:rsid w:val="13BA4CC7"/>
    <w:rsid w:val="13BB39D8"/>
    <w:rsid w:val="13BC2822"/>
    <w:rsid w:val="13BC8116"/>
    <w:rsid w:val="13BF2974"/>
    <w:rsid w:val="13C14B8F"/>
    <w:rsid w:val="13C4856D"/>
    <w:rsid w:val="13C4EED9"/>
    <w:rsid w:val="13CA8160"/>
    <w:rsid w:val="13CA9355"/>
    <w:rsid w:val="13CB0AF2"/>
    <w:rsid w:val="13CB3830"/>
    <w:rsid w:val="13CCC554"/>
    <w:rsid w:val="13D0B001"/>
    <w:rsid w:val="13D18330"/>
    <w:rsid w:val="13D31B2D"/>
    <w:rsid w:val="13D5C298"/>
    <w:rsid w:val="13D694DA"/>
    <w:rsid w:val="13D75EB6"/>
    <w:rsid w:val="13D92AFB"/>
    <w:rsid w:val="13DB49DD"/>
    <w:rsid w:val="13DE279D"/>
    <w:rsid w:val="13DF0BBE"/>
    <w:rsid w:val="13E40330"/>
    <w:rsid w:val="13E51B9D"/>
    <w:rsid w:val="13E8F2B9"/>
    <w:rsid w:val="13E904FE"/>
    <w:rsid w:val="13ECD3BC"/>
    <w:rsid w:val="13EE1188"/>
    <w:rsid w:val="13EEB88D"/>
    <w:rsid w:val="13EF14D0"/>
    <w:rsid w:val="13EF5889"/>
    <w:rsid w:val="13F7E15B"/>
    <w:rsid w:val="13F7FB87"/>
    <w:rsid w:val="13F977D2"/>
    <w:rsid w:val="13FA1598"/>
    <w:rsid w:val="13FBE42F"/>
    <w:rsid w:val="13FC1654"/>
    <w:rsid w:val="13FD6A06"/>
    <w:rsid w:val="13FF3165"/>
    <w:rsid w:val="13FFE7FD"/>
    <w:rsid w:val="14003CA4"/>
    <w:rsid w:val="14005DB3"/>
    <w:rsid w:val="1404AD4A"/>
    <w:rsid w:val="14055AED"/>
    <w:rsid w:val="1408B329"/>
    <w:rsid w:val="14094528"/>
    <w:rsid w:val="140A18EF"/>
    <w:rsid w:val="140A64FD"/>
    <w:rsid w:val="140B8CFC"/>
    <w:rsid w:val="140DD4DE"/>
    <w:rsid w:val="141301E0"/>
    <w:rsid w:val="1413DE02"/>
    <w:rsid w:val="1414AD85"/>
    <w:rsid w:val="14151572"/>
    <w:rsid w:val="141681DC"/>
    <w:rsid w:val="141A0BE7"/>
    <w:rsid w:val="141A89C9"/>
    <w:rsid w:val="141B5897"/>
    <w:rsid w:val="141C183D"/>
    <w:rsid w:val="141D5BA5"/>
    <w:rsid w:val="141D9E3C"/>
    <w:rsid w:val="142127A1"/>
    <w:rsid w:val="14238705"/>
    <w:rsid w:val="1423D196"/>
    <w:rsid w:val="14242B85"/>
    <w:rsid w:val="1424F862"/>
    <w:rsid w:val="1425B97F"/>
    <w:rsid w:val="1427F264"/>
    <w:rsid w:val="1429D56E"/>
    <w:rsid w:val="142AC357"/>
    <w:rsid w:val="142C6B5E"/>
    <w:rsid w:val="142E8DE4"/>
    <w:rsid w:val="142E9BD8"/>
    <w:rsid w:val="142EE436"/>
    <w:rsid w:val="14313E8D"/>
    <w:rsid w:val="14317E36"/>
    <w:rsid w:val="1432512B"/>
    <w:rsid w:val="1432A80D"/>
    <w:rsid w:val="14331608"/>
    <w:rsid w:val="1433F3C6"/>
    <w:rsid w:val="14347A46"/>
    <w:rsid w:val="14364783"/>
    <w:rsid w:val="14365D4D"/>
    <w:rsid w:val="1436E0E2"/>
    <w:rsid w:val="1437BCCD"/>
    <w:rsid w:val="14386A5F"/>
    <w:rsid w:val="14387F38"/>
    <w:rsid w:val="143CC6B3"/>
    <w:rsid w:val="143D3D64"/>
    <w:rsid w:val="143E8328"/>
    <w:rsid w:val="14411F88"/>
    <w:rsid w:val="144837D0"/>
    <w:rsid w:val="14493979"/>
    <w:rsid w:val="1449B2F7"/>
    <w:rsid w:val="144EC132"/>
    <w:rsid w:val="14505D98"/>
    <w:rsid w:val="14510D98"/>
    <w:rsid w:val="1455AA72"/>
    <w:rsid w:val="14561C71"/>
    <w:rsid w:val="14563DD4"/>
    <w:rsid w:val="1457F581"/>
    <w:rsid w:val="145A4DD8"/>
    <w:rsid w:val="145BB272"/>
    <w:rsid w:val="145C85C4"/>
    <w:rsid w:val="14612C53"/>
    <w:rsid w:val="14615E8C"/>
    <w:rsid w:val="14621C24"/>
    <w:rsid w:val="14656543"/>
    <w:rsid w:val="146C9981"/>
    <w:rsid w:val="146EA239"/>
    <w:rsid w:val="146F2948"/>
    <w:rsid w:val="14713038"/>
    <w:rsid w:val="14742055"/>
    <w:rsid w:val="14768EAA"/>
    <w:rsid w:val="14774DFA"/>
    <w:rsid w:val="1477F2DF"/>
    <w:rsid w:val="14787D70"/>
    <w:rsid w:val="147A611E"/>
    <w:rsid w:val="147BB96D"/>
    <w:rsid w:val="147BF66B"/>
    <w:rsid w:val="147C0699"/>
    <w:rsid w:val="147DCF6B"/>
    <w:rsid w:val="147E04D3"/>
    <w:rsid w:val="148026AA"/>
    <w:rsid w:val="1481CD4A"/>
    <w:rsid w:val="1483718E"/>
    <w:rsid w:val="14840888"/>
    <w:rsid w:val="14842AEB"/>
    <w:rsid w:val="148629AA"/>
    <w:rsid w:val="14868CBF"/>
    <w:rsid w:val="1489D1CB"/>
    <w:rsid w:val="148BA84E"/>
    <w:rsid w:val="148F0F88"/>
    <w:rsid w:val="1490D095"/>
    <w:rsid w:val="14928087"/>
    <w:rsid w:val="14949071"/>
    <w:rsid w:val="1496DE3C"/>
    <w:rsid w:val="14975289"/>
    <w:rsid w:val="149874B1"/>
    <w:rsid w:val="1499B9C3"/>
    <w:rsid w:val="149A54B8"/>
    <w:rsid w:val="149A967D"/>
    <w:rsid w:val="149B6333"/>
    <w:rsid w:val="149BFCEC"/>
    <w:rsid w:val="149C6480"/>
    <w:rsid w:val="149DCCA3"/>
    <w:rsid w:val="149ED81F"/>
    <w:rsid w:val="14A572D3"/>
    <w:rsid w:val="14A65FD7"/>
    <w:rsid w:val="14A69DB0"/>
    <w:rsid w:val="14A6B98D"/>
    <w:rsid w:val="14A6E7DC"/>
    <w:rsid w:val="14A7E7E5"/>
    <w:rsid w:val="14A91ED4"/>
    <w:rsid w:val="14AAD703"/>
    <w:rsid w:val="14AB56C5"/>
    <w:rsid w:val="14ABD060"/>
    <w:rsid w:val="14AC1110"/>
    <w:rsid w:val="14AC630F"/>
    <w:rsid w:val="14AC8E1E"/>
    <w:rsid w:val="14AC9592"/>
    <w:rsid w:val="14ADA4F8"/>
    <w:rsid w:val="14AFD1AE"/>
    <w:rsid w:val="14B05FC2"/>
    <w:rsid w:val="14B0AA14"/>
    <w:rsid w:val="14B47E27"/>
    <w:rsid w:val="14B5982F"/>
    <w:rsid w:val="14B5D482"/>
    <w:rsid w:val="14B72704"/>
    <w:rsid w:val="14BA4726"/>
    <w:rsid w:val="14BA5C77"/>
    <w:rsid w:val="14BC57F2"/>
    <w:rsid w:val="14BC7B0C"/>
    <w:rsid w:val="14BDEBEC"/>
    <w:rsid w:val="14C2A01B"/>
    <w:rsid w:val="14C347E2"/>
    <w:rsid w:val="14C38581"/>
    <w:rsid w:val="14C3E495"/>
    <w:rsid w:val="14C441D6"/>
    <w:rsid w:val="14C521D7"/>
    <w:rsid w:val="14C785F4"/>
    <w:rsid w:val="14C82A4F"/>
    <w:rsid w:val="14C9161F"/>
    <w:rsid w:val="14C96CB5"/>
    <w:rsid w:val="14CC2BE4"/>
    <w:rsid w:val="14CCA83C"/>
    <w:rsid w:val="14CD1C99"/>
    <w:rsid w:val="14CE7ACB"/>
    <w:rsid w:val="14CF328F"/>
    <w:rsid w:val="14D0BC1C"/>
    <w:rsid w:val="14D2E3B1"/>
    <w:rsid w:val="14D3F1BA"/>
    <w:rsid w:val="14D51442"/>
    <w:rsid w:val="14D56F08"/>
    <w:rsid w:val="14D719BF"/>
    <w:rsid w:val="14D9739E"/>
    <w:rsid w:val="14D98F19"/>
    <w:rsid w:val="14DB1BD2"/>
    <w:rsid w:val="14DB6D7F"/>
    <w:rsid w:val="14DCCA50"/>
    <w:rsid w:val="14DE301E"/>
    <w:rsid w:val="14DE8D57"/>
    <w:rsid w:val="14E0F453"/>
    <w:rsid w:val="14E1009B"/>
    <w:rsid w:val="14E1ECEF"/>
    <w:rsid w:val="14E5123F"/>
    <w:rsid w:val="14E73D42"/>
    <w:rsid w:val="14EBCAAB"/>
    <w:rsid w:val="14ECF548"/>
    <w:rsid w:val="14EDC3D8"/>
    <w:rsid w:val="14EE80A8"/>
    <w:rsid w:val="14EEAA4C"/>
    <w:rsid w:val="14EECF55"/>
    <w:rsid w:val="14F0B5DA"/>
    <w:rsid w:val="14F5325D"/>
    <w:rsid w:val="14F54F58"/>
    <w:rsid w:val="14F66D3D"/>
    <w:rsid w:val="14F68475"/>
    <w:rsid w:val="14F7DDAD"/>
    <w:rsid w:val="14F89E78"/>
    <w:rsid w:val="14FC849B"/>
    <w:rsid w:val="14FCCBE6"/>
    <w:rsid w:val="14FCCFB9"/>
    <w:rsid w:val="14FE5658"/>
    <w:rsid w:val="14FFC81D"/>
    <w:rsid w:val="150165E0"/>
    <w:rsid w:val="15029D8C"/>
    <w:rsid w:val="15046991"/>
    <w:rsid w:val="15081B28"/>
    <w:rsid w:val="1508EA49"/>
    <w:rsid w:val="150C88EC"/>
    <w:rsid w:val="150E85F6"/>
    <w:rsid w:val="150F32DA"/>
    <w:rsid w:val="150FA534"/>
    <w:rsid w:val="15103F1B"/>
    <w:rsid w:val="15147914"/>
    <w:rsid w:val="1515DC9A"/>
    <w:rsid w:val="15173C8D"/>
    <w:rsid w:val="151C1649"/>
    <w:rsid w:val="151D82A3"/>
    <w:rsid w:val="151F1D57"/>
    <w:rsid w:val="15208EB9"/>
    <w:rsid w:val="1522321D"/>
    <w:rsid w:val="1527034D"/>
    <w:rsid w:val="15275811"/>
    <w:rsid w:val="152774CB"/>
    <w:rsid w:val="152A08B0"/>
    <w:rsid w:val="152A56A7"/>
    <w:rsid w:val="152B325D"/>
    <w:rsid w:val="153111CB"/>
    <w:rsid w:val="1533A440"/>
    <w:rsid w:val="1533FCEC"/>
    <w:rsid w:val="15342A3B"/>
    <w:rsid w:val="15344025"/>
    <w:rsid w:val="15352D8F"/>
    <w:rsid w:val="153612C3"/>
    <w:rsid w:val="153721AA"/>
    <w:rsid w:val="15395739"/>
    <w:rsid w:val="15398FED"/>
    <w:rsid w:val="153A134B"/>
    <w:rsid w:val="153A9BB3"/>
    <w:rsid w:val="153C1E51"/>
    <w:rsid w:val="153C4AB8"/>
    <w:rsid w:val="153E7166"/>
    <w:rsid w:val="153ED025"/>
    <w:rsid w:val="1540E689"/>
    <w:rsid w:val="1542FFEE"/>
    <w:rsid w:val="15481B3E"/>
    <w:rsid w:val="154BD4ED"/>
    <w:rsid w:val="154CCF90"/>
    <w:rsid w:val="154E9B03"/>
    <w:rsid w:val="1550AB90"/>
    <w:rsid w:val="15518FC4"/>
    <w:rsid w:val="1551FD39"/>
    <w:rsid w:val="1552F6EA"/>
    <w:rsid w:val="15534230"/>
    <w:rsid w:val="1553F27B"/>
    <w:rsid w:val="15541AFD"/>
    <w:rsid w:val="15548C54"/>
    <w:rsid w:val="15566F7D"/>
    <w:rsid w:val="1557910B"/>
    <w:rsid w:val="155A56D2"/>
    <w:rsid w:val="155F40D4"/>
    <w:rsid w:val="156501DD"/>
    <w:rsid w:val="15658FBB"/>
    <w:rsid w:val="156611A9"/>
    <w:rsid w:val="1566C53B"/>
    <w:rsid w:val="15685840"/>
    <w:rsid w:val="15690EC3"/>
    <w:rsid w:val="156957E3"/>
    <w:rsid w:val="156B006F"/>
    <w:rsid w:val="156B6190"/>
    <w:rsid w:val="156C0D57"/>
    <w:rsid w:val="156CE334"/>
    <w:rsid w:val="156D406E"/>
    <w:rsid w:val="156D7FAD"/>
    <w:rsid w:val="156D8175"/>
    <w:rsid w:val="156F0D12"/>
    <w:rsid w:val="15719762"/>
    <w:rsid w:val="1573170B"/>
    <w:rsid w:val="157317EE"/>
    <w:rsid w:val="1574FC90"/>
    <w:rsid w:val="1578075A"/>
    <w:rsid w:val="15786426"/>
    <w:rsid w:val="1578907B"/>
    <w:rsid w:val="1578A3F3"/>
    <w:rsid w:val="157A18A1"/>
    <w:rsid w:val="157A5387"/>
    <w:rsid w:val="157C7C79"/>
    <w:rsid w:val="157E9E19"/>
    <w:rsid w:val="1580BAEE"/>
    <w:rsid w:val="1580F33C"/>
    <w:rsid w:val="1581D3D0"/>
    <w:rsid w:val="15838A1E"/>
    <w:rsid w:val="15838DEF"/>
    <w:rsid w:val="1584009A"/>
    <w:rsid w:val="1585E345"/>
    <w:rsid w:val="15862D31"/>
    <w:rsid w:val="1586EF1F"/>
    <w:rsid w:val="1587E9E2"/>
    <w:rsid w:val="158B3368"/>
    <w:rsid w:val="158B55A8"/>
    <w:rsid w:val="158B81AD"/>
    <w:rsid w:val="158BD9F9"/>
    <w:rsid w:val="158C3E5B"/>
    <w:rsid w:val="158F73D4"/>
    <w:rsid w:val="159002A4"/>
    <w:rsid w:val="1591FD14"/>
    <w:rsid w:val="159511E5"/>
    <w:rsid w:val="1596DE78"/>
    <w:rsid w:val="159843BE"/>
    <w:rsid w:val="1598877C"/>
    <w:rsid w:val="1598E000"/>
    <w:rsid w:val="159A459F"/>
    <w:rsid w:val="159D928B"/>
    <w:rsid w:val="159FAE3E"/>
    <w:rsid w:val="159FD2F7"/>
    <w:rsid w:val="15A00718"/>
    <w:rsid w:val="15A264B7"/>
    <w:rsid w:val="15A434F7"/>
    <w:rsid w:val="15A450E7"/>
    <w:rsid w:val="15A5886A"/>
    <w:rsid w:val="15A5D3E0"/>
    <w:rsid w:val="15A6F2C2"/>
    <w:rsid w:val="15AACE9C"/>
    <w:rsid w:val="15AD8E7A"/>
    <w:rsid w:val="15ADC7AB"/>
    <w:rsid w:val="15AF6B9B"/>
    <w:rsid w:val="15AFFA49"/>
    <w:rsid w:val="15B0E037"/>
    <w:rsid w:val="15B2AE6A"/>
    <w:rsid w:val="15B4D238"/>
    <w:rsid w:val="15B50C0E"/>
    <w:rsid w:val="15B6B9C3"/>
    <w:rsid w:val="15B7DD30"/>
    <w:rsid w:val="15B80E44"/>
    <w:rsid w:val="15BE52D6"/>
    <w:rsid w:val="15BF2EB8"/>
    <w:rsid w:val="15C0FB86"/>
    <w:rsid w:val="15C6A95A"/>
    <w:rsid w:val="15C707ED"/>
    <w:rsid w:val="15C73469"/>
    <w:rsid w:val="15C76975"/>
    <w:rsid w:val="15C7BAA1"/>
    <w:rsid w:val="15CA9E1B"/>
    <w:rsid w:val="15D36DBD"/>
    <w:rsid w:val="15D3CBCA"/>
    <w:rsid w:val="15D650F3"/>
    <w:rsid w:val="15D77BBE"/>
    <w:rsid w:val="15D859C7"/>
    <w:rsid w:val="15D94A56"/>
    <w:rsid w:val="15DABF93"/>
    <w:rsid w:val="15DB2200"/>
    <w:rsid w:val="15DBB221"/>
    <w:rsid w:val="15DBD9A4"/>
    <w:rsid w:val="15E0ADC0"/>
    <w:rsid w:val="15E4DE7A"/>
    <w:rsid w:val="15E5CBC1"/>
    <w:rsid w:val="15E6F169"/>
    <w:rsid w:val="15E7FE62"/>
    <w:rsid w:val="15E8645D"/>
    <w:rsid w:val="15EDB16A"/>
    <w:rsid w:val="15F15B1E"/>
    <w:rsid w:val="15F15E73"/>
    <w:rsid w:val="15F2D430"/>
    <w:rsid w:val="15F37033"/>
    <w:rsid w:val="15F37666"/>
    <w:rsid w:val="15F4AF50"/>
    <w:rsid w:val="15F716D9"/>
    <w:rsid w:val="15F898B4"/>
    <w:rsid w:val="15F9C49B"/>
    <w:rsid w:val="15FBE9D6"/>
    <w:rsid w:val="15FC809A"/>
    <w:rsid w:val="15FD7247"/>
    <w:rsid w:val="15FF278E"/>
    <w:rsid w:val="16040C7F"/>
    <w:rsid w:val="1605D9C0"/>
    <w:rsid w:val="1607E247"/>
    <w:rsid w:val="16092537"/>
    <w:rsid w:val="16093DE4"/>
    <w:rsid w:val="160C5AF4"/>
    <w:rsid w:val="160D78C3"/>
    <w:rsid w:val="160DF94B"/>
    <w:rsid w:val="160E2BDF"/>
    <w:rsid w:val="160E5FAA"/>
    <w:rsid w:val="160FEAB9"/>
    <w:rsid w:val="16118816"/>
    <w:rsid w:val="1611C42A"/>
    <w:rsid w:val="1612830E"/>
    <w:rsid w:val="161317FF"/>
    <w:rsid w:val="1614CB85"/>
    <w:rsid w:val="1617DF59"/>
    <w:rsid w:val="16184421"/>
    <w:rsid w:val="16186E75"/>
    <w:rsid w:val="161A592F"/>
    <w:rsid w:val="161ABDBF"/>
    <w:rsid w:val="161C67B6"/>
    <w:rsid w:val="161DD0D7"/>
    <w:rsid w:val="161E4719"/>
    <w:rsid w:val="161E77AD"/>
    <w:rsid w:val="16216721"/>
    <w:rsid w:val="1625E514"/>
    <w:rsid w:val="1628C81E"/>
    <w:rsid w:val="1628FF9F"/>
    <w:rsid w:val="16297DE3"/>
    <w:rsid w:val="162A6E32"/>
    <w:rsid w:val="162BAB3E"/>
    <w:rsid w:val="162CE74B"/>
    <w:rsid w:val="16305FBB"/>
    <w:rsid w:val="16315975"/>
    <w:rsid w:val="1631B701"/>
    <w:rsid w:val="16338C09"/>
    <w:rsid w:val="163533E3"/>
    <w:rsid w:val="163835B6"/>
    <w:rsid w:val="163891C5"/>
    <w:rsid w:val="1638DC35"/>
    <w:rsid w:val="163AC09E"/>
    <w:rsid w:val="163D777D"/>
    <w:rsid w:val="163DCBCA"/>
    <w:rsid w:val="16450F20"/>
    <w:rsid w:val="1645401D"/>
    <w:rsid w:val="164781FB"/>
    <w:rsid w:val="1649F9B1"/>
    <w:rsid w:val="164ADC58"/>
    <w:rsid w:val="164BEC14"/>
    <w:rsid w:val="164CB7B2"/>
    <w:rsid w:val="164EDD41"/>
    <w:rsid w:val="164EDE34"/>
    <w:rsid w:val="164F8C07"/>
    <w:rsid w:val="1651A18B"/>
    <w:rsid w:val="16528C24"/>
    <w:rsid w:val="1655FA7F"/>
    <w:rsid w:val="16560141"/>
    <w:rsid w:val="1659D27D"/>
    <w:rsid w:val="165C478E"/>
    <w:rsid w:val="165CFC20"/>
    <w:rsid w:val="165DD297"/>
    <w:rsid w:val="165DE8C5"/>
    <w:rsid w:val="16602BD2"/>
    <w:rsid w:val="16610C1E"/>
    <w:rsid w:val="166151C9"/>
    <w:rsid w:val="16680BA0"/>
    <w:rsid w:val="16691019"/>
    <w:rsid w:val="1669625D"/>
    <w:rsid w:val="166A8C33"/>
    <w:rsid w:val="166B871B"/>
    <w:rsid w:val="166E2FA1"/>
    <w:rsid w:val="166F74C5"/>
    <w:rsid w:val="16711CF3"/>
    <w:rsid w:val="1672AAC0"/>
    <w:rsid w:val="1672EF65"/>
    <w:rsid w:val="16748B4C"/>
    <w:rsid w:val="1675B410"/>
    <w:rsid w:val="167735A2"/>
    <w:rsid w:val="167803EB"/>
    <w:rsid w:val="16786CE9"/>
    <w:rsid w:val="1679C7AE"/>
    <w:rsid w:val="167AF8A8"/>
    <w:rsid w:val="167D41C7"/>
    <w:rsid w:val="167DD402"/>
    <w:rsid w:val="167E4247"/>
    <w:rsid w:val="1681F5A3"/>
    <w:rsid w:val="1685CD1B"/>
    <w:rsid w:val="168666F6"/>
    <w:rsid w:val="16878683"/>
    <w:rsid w:val="16879BD2"/>
    <w:rsid w:val="1687DC9B"/>
    <w:rsid w:val="16889AB7"/>
    <w:rsid w:val="1689C485"/>
    <w:rsid w:val="168B7A25"/>
    <w:rsid w:val="168D2432"/>
    <w:rsid w:val="1691EA75"/>
    <w:rsid w:val="169347AB"/>
    <w:rsid w:val="169369C4"/>
    <w:rsid w:val="169439E8"/>
    <w:rsid w:val="1696515E"/>
    <w:rsid w:val="1696E8EF"/>
    <w:rsid w:val="169800D1"/>
    <w:rsid w:val="16982AC1"/>
    <w:rsid w:val="169C2086"/>
    <w:rsid w:val="169C80C5"/>
    <w:rsid w:val="169D164D"/>
    <w:rsid w:val="169E8EE2"/>
    <w:rsid w:val="169EC286"/>
    <w:rsid w:val="16A152E5"/>
    <w:rsid w:val="16A314AF"/>
    <w:rsid w:val="16A3403E"/>
    <w:rsid w:val="16A4C9B2"/>
    <w:rsid w:val="16A7D2B6"/>
    <w:rsid w:val="16A9EBBE"/>
    <w:rsid w:val="16AF2FAA"/>
    <w:rsid w:val="16AF375A"/>
    <w:rsid w:val="16B00CDE"/>
    <w:rsid w:val="16B2DC15"/>
    <w:rsid w:val="16B433FB"/>
    <w:rsid w:val="16B552AC"/>
    <w:rsid w:val="16B63E2F"/>
    <w:rsid w:val="16B835D3"/>
    <w:rsid w:val="16BA3F3D"/>
    <w:rsid w:val="16BBB208"/>
    <w:rsid w:val="16BD26EF"/>
    <w:rsid w:val="16BE3C54"/>
    <w:rsid w:val="16C2DF23"/>
    <w:rsid w:val="16C3984C"/>
    <w:rsid w:val="16C4000B"/>
    <w:rsid w:val="16C5A3F9"/>
    <w:rsid w:val="16C77238"/>
    <w:rsid w:val="16C7AA12"/>
    <w:rsid w:val="16CA25E3"/>
    <w:rsid w:val="16CA6A23"/>
    <w:rsid w:val="16CB63C4"/>
    <w:rsid w:val="16CB6D25"/>
    <w:rsid w:val="16CF15ED"/>
    <w:rsid w:val="16CF1745"/>
    <w:rsid w:val="16D431F3"/>
    <w:rsid w:val="16D5786E"/>
    <w:rsid w:val="16D7386B"/>
    <w:rsid w:val="16D772B2"/>
    <w:rsid w:val="16D9EBBA"/>
    <w:rsid w:val="16DAFCF7"/>
    <w:rsid w:val="16DDBDFC"/>
    <w:rsid w:val="16DED48B"/>
    <w:rsid w:val="16DF2449"/>
    <w:rsid w:val="16DF37A7"/>
    <w:rsid w:val="16E2257C"/>
    <w:rsid w:val="16E2B837"/>
    <w:rsid w:val="16E36655"/>
    <w:rsid w:val="16E68A6C"/>
    <w:rsid w:val="16E7E9F2"/>
    <w:rsid w:val="16E8E513"/>
    <w:rsid w:val="16E9EF7D"/>
    <w:rsid w:val="16EA739B"/>
    <w:rsid w:val="16EACAF4"/>
    <w:rsid w:val="16EDCDA4"/>
    <w:rsid w:val="16EE0627"/>
    <w:rsid w:val="16EE324A"/>
    <w:rsid w:val="16EEFB24"/>
    <w:rsid w:val="16EF5445"/>
    <w:rsid w:val="16F01C77"/>
    <w:rsid w:val="16F0BB90"/>
    <w:rsid w:val="16F10112"/>
    <w:rsid w:val="16F17779"/>
    <w:rsid w:val="16F18CF8"/>
    <w:rsid w:val="16F492C0"/>
    <w:rsid w:val="16F61052"/>
    <w:rsid w:val="16F643BE"/>
    <w:rsid w:val="16F6EC63"/>
    <w:rsid w:val="16F8DEF0"/>
    <w:rsid w:val="16FA0236"/>
    <w:rsid w:val="16FA6FD6"/>
    <w:rsid w:val="16FA8E82"/>
    <w:rsid w:val="16FB267A"/>
    <w:rsid w:val="16FD98A5"/>
    <w:rsid w:val="16FE4FBD"/>
    <w:rsid w:val="17015BE2"/>
    <w:rsid w:val="1702AA09"/>
    <w:rsid w:val="17055892"/>
    <w:rsid w:val="17091DF8"/>
    <w:rsid w:val="170A490D"/>
    <w:rsid w:val="170B7623"/>
    <w:rsid w:val="170BBEE9"/>
    <w:rsid w:val="170DF3F4"/>
    <w:rsid w:val="17100B5D"/>
    <w:rsid w:val="1710C8B4"/>
    <w:rsid w:val="171341AD"/>
    <w:rsid w:val="1717C9CA"/>
    <w:rsid w:val="1718FFC5"/>
    <w:rsid w:val="1719AC84"/>
    <w:rsid w:val="171E52FD"/>
    <w:rsid w:val="171F1312"/>
    <w:rsid w:val="172000C1"/>
    <w:rsid w:val="1720E4A2"/>
    <w:rsid w:val="172265C6"/>
    <w:rsid w:val="1724F9C7"/>
    <w:rsid w:val="17266DE3"/>
    <w:rsid w:val="17274E6D"/>
    <w:rsid w:val="172797D6"/>
    <w:rsid w:val="172803B5"/>
    <w:rsid w:val="17286EDB"/>
    <w:rsid w:val="172B19EC"/>
    <w:rsid w:val="172B3093"/>
    <w:rsid w:val="172CBDE0"/>
    <w:rsid w:val="173128AB"/>
    <w:rsid w:val="1733A984"/>
    <w:rsid w:val="1737BE29"/>
    <w:rsid w:val="1738ACA7"/>
    <w:rsid w:val="17397106"/>
    <w:rsid w:val="173B7279"/>
    <w:rsid w:val="173B98F3"/>
    <w:rsid w:val="173EB17D"/>
    <w:rsid w:val="174178B0"/>
    <w:rsid w:val="1745C2F4"/>
    <w:rsid w:val="174650A6"/>
    <w:rsid w:val="1748895E"/>
    <w:rsid w:val="174BE5C1"/>
    <w:rsid w:val="174CC1B6"/>
    <w:rsid w:val="174F381D"/>
    <w:rsid w:val="175187E3"/>
    <w:rsid w:val="17531555"/>
    <w:rsid w:val="1753EEC4"/>
    <w:rsid w:val="1754B085"/>
    <w:rsid w:val="17565811"/>
    <w:rsid w:val="1756F4FF"/>
    <w:rsid w:val="17578A7F"/>
    <w:rsid w:val="175A3B0B"/>
    <w:rsid w:val="175A478D"/>
    <w:rsid w:val="175CE6B2"/>
    <w:rsid w:val="175DC5B9"/>
    <w:rsid w:val="1762381D"/>
    <w:rsid w:val="1762B336"/>
    <w:rsid w:val="1762F10E"/>
    <w:rsid w:val="176378C5"/>
    <w:rsid w:val="17640EC2"/>
    <w:rsid w:val="17656FA4"/>
    <w:rsid w:val="1768DAD8"/>
    <w:rsid w:val="176916D5"/>
    <w:rsid w:val="176A96D4"/>
    <w:rsid w:val="176C1D2C"/>
    <w:rsid w:val="176C9E2C"/>
    <w:rsid w:val="176DD5B3"/>
    <w:rsid w:val="1770F975"/>
    <w:rsid w:val="17754158"/>
    <w:rsid w:val="17765237"/>
    <w:rsid w:val="177A611C"/>
    <w:rsid w:val="177DBA7A"/>
    <w:rsid w:val="177F051C"/>
    <w:rsid w:val="177F4ACB"/>
    <w:rsid w:val="1783157D"/>
    <w:rsid w:val="1783E580"/>
    <w:rsid w:val="17856FA0"/>
    <w:rsid w:val="1785C8E2"/>
    <w:rsid w:val="1786DDF6"/>
    <w:rsid w:val="1787B35F"/>
    <w:rsid w:val="17883EFB"/>
    <w:rsid w:val="17889DF0"/>
    <w:rsid w:val="178BDEA9"/>
    <w:rsid w:val="178DD7B3"/>
    <w:rsid w:val="17914BFF"/>
    <w:rsid w:val="1791C51A"/>
    <w:rsid w:val="17923D63"/>
    <w:rsid w:val="17944EDB"/>
    <w:rsid w:val="1794F443"/>
    <w:rsid w:val="17969310"/>
    <w:rsid w:val="1796C77A"/>
    <w:rsid w:val="1798C96A"/>
    <w:rsid w:val="1799D52F"/>
    <w:rsid w:val="179A70D7"/>
    <w:rsid w:val="179AE5C5"/>
    <w:rsid w:val="179B1D4D"/>
    <w:rsid w:val="179C93B4"/>
    <w:rsid w:val="179D139F"/>
    <w:rsid w:val="179E4974"/>
    <w:rsid w:val="17A2C94B"/>
    <w:rsid w:val="17A468BB"/>
    <w:rsid w:val="17A4DAC6"/>
    <w:rsid w:val="17A7A9DB"/>
    <w:rsid w:val="17A8CF5D"/>
    <w:rsid w:val="17AA6486"/>
    <w:rsid w:val="17AC5D43"/>
    <w:rsid w:val="17ADCBB8"/>
    <w:rsid w:val="17AEFF75"/>
    <w:rsid w:val="17B0B412"/>
    <w:rsid w:val="17B0E677"/>
    <w:rsid w:val="17B40578"/>
    <w:rsid w:val="17B502D2"/>
    <w:rsid w:val="17B60D33"/>
    <w:rsid w:val="17B62578"/>
    <w:rsid w:val="17B66074"/>
    <w:rsid w:val="17B79D10"/>
    <w:rsid w:val="17B79FAF"/>
    <w:rsid w:val="17B82233"/>
    <w:rsid w:val="17B93107"/>
    <w:rsid w:val="17B9EF68"/>
    <w:rsid w:val="17BA0642"/>
    <w:rsid w:val="17BB10CC"/>
    <w:rsid w:val="17BD362B"/>
    <w:rsid w:val="17BF6E04"/>
    <w:rsid w:val="17C2DE3B"/>
    <w:rsid w:val="17C30AA9"/>
    <w:rsid w:val="17C42C88"/>
    <w:rsid w:val="17C69A3F"/>
    <w:rsid w:val="17C69C6D"/>
    <w:rsid w:val="17C6BBF8"/>
    <w:rsid w:val="17C896B2"/>
    <w:rsid w:val="17CC5B90"/>
    <w:rsid w:val="17CD690D"/>
    <w:rsid w:val="17D0B96E"/>
    <w:rsid w:val="17D1F570"/>
    <w:rsid w:val="17D3F569"/>
    <w:rsid w:val="17D5CBEB"/>
    <w:rsid w:val="17D821E0"/>
    <w:rsid w:val="17DB85D2"/>
    <w:rsid w:val="17DBFFF5"/>
    <w:rsid w:val="17DD838B"/>
    <w:rsid w:val="17DE7035"/>
    <w:rsid w:val="17E16198"/>
    <w:rsid w:val="17E317C2"/>
    <w:rsid w:val="17E444E4"/>
    <w:rsid w:val="17E497C3"/>
    <w:rsid w:val="17E79440"/>
    <w:rsid w:val="17E7D976"/>
    <w:rsid w:val="17E97A24"/>
    <w:rsid w:val="17ED6381"/>
    <w:rsid w:val="17EE20B3"/>
    <w:rsid w:val="17EE517B"/>
    <w:rsid w:val="17EFDFA9"/>
    <w:rsid w:val="17F15D3A"/>
    <w:rsid w:val="17F32432"/>
    <w:rsid w:val="17F44A93"/>
    <w:rsid w:val="17F67333"/>
    <w:rsid w:val="17F87EC1"/>
    <w:rsid w:val="17F96BD0"/>
    <w:rsid w:val="17FBB5D8"/>
    <w:rsid w:val="17FBF926"/>
    <w:rsid w:val="17FE43C4"/>
    <w:rsid w:val="17FE53DE"/>
    <w:rsid w:val="18012E77"/>
    <w:rsid w:val="18020816"/>
    <w:rsid w:val="1802FF42"/>
    <w:rsid w:val="1803A79A"/>
    <w:rsid w:val="18052B0D"/>
    <w:rsid w:val="1805E0C8"/>
    <w:rsid w:val="180663A7"/>
    <w:rsid w:val="1806FA8E"/>
    <w:rsid w:val="1808AE22"/>
    <w:rsid w:val="180CB499"/>
    <w:rsid w:val="180E3ACF"/>
    <w:rsid w:val="18100625"/>
    <w:rsid w:val="1810459A"/>
    <w:rsid w:val="181374AD"/>
    <w:rsid w:val="181392A3"/>
    <w:rsid w:val="1814879D"/>
    <w:rsid w:val="181782A6"/>
    <w:rsid w:val="181AC8FA"/>
    <w:rsid w:val="181AFD8D"/>
    <w:rsid w:val="181C5233"/>
    <w:rsid w:val="181D35FE"/>
    <w:rsid w:val="181D7BB3"/>
    <w:rsid w:val="181EFECE"/>
    <w:rsid w:val="181F6A72"/>
    <w:rsid w:val="1820F176"/>
    <w:rsid w:val="1823A9FC"/>
    <w:rsid w:val="18251685"/>
    <w:rsid w:val="1829F6D3"/>
    <w:rsid w:val="182AA027"/>
    <w:rsid w:val="182BB2FF"/>
    <w:rsid w:val="182EE317"/>
    <w:rsid w:val="1830827A"/>
    <w:rsid w:val="18319DD9"/>
    <w:rsid w:val="1832189C"/>
    <w:rsid w:val="1832D1DA"/>
    <w:rsid w:val="18347BFD"/>
    <w:rsid w:val="1834ADB4"/>
    <w:rsid w:val="1835F277"/>
    <w:rsid w:val="183682EA"/>
    <w:rsid w:val="183A5B37"/>
    <w:rsid w:val="183AB7ED"/>
    <w:rsid w:val="184295BA"/>
    <w:rsid w:val="18440751"/>
    <w:rsid w:val="1845024C"/>
    <w:rsid w:val="184518D4"/>
    <w:rsid w:val="18459FDD"/>
    <w:rsid w:val="1848B94B"/>
    <w:rsid w:val="18498F75"/>
    <w:rsid w:val="1849D0B3"/>
    <w:rsid w:val="184A964F"/>
    <w:rsid w:val="184AD5EA"/>
    <w:rsid w:val="184C9852"/>
    <w:rsid w:val="184DB994"/>
    <w:rsid w:val="184DF73C"/>
    <w:rsid w:val="184E1FB4"/>
    <w:rsid w:val="184F69DC"/>
    <w:rsid w:val="18500C26"/>
    <w:rsid w:val="18508E87"/>
    <w:rsid w:val="1850C86B"/>
    <w:rsid w:val="185315E7"/>
    <w:rsid w:val="1854395A"/>
    <w:rsid w:val="1854E2DA"/>
    <w:rsid w:val="18556ECA"/>
    <w:rsid w:val="1855ACA2"/>
    <w:rsid w:val="1858427B"/>
    <w:rsid w:val="18593C38"/>
    <w:rsid w:val="185993B0"/>
    <w:rsid w:val="185A68BA"/>
    <w:rsid w:val="185BD374"/>
    <w:rsid w:val="185CE48D"/>
    <w:rsid w:val="185F1DCB"/>
    <w:rsid w:val="185FA893"/>
    <w:rsid w:val="18647253"/>
    <w:rsid w:val="1864C807"/>
    <w:rsid w:val="18651B6B"/>
    <w:rsid w:val="186715E7"/>
    <w:rsid w:val="18675727"/>
    <w:rsid w:val="18694533"/>
    <w:rsid w:val="18698D09"/>
    <w:rsid w:val="186C87ED"/>
    <w:rsid w:val="186CACAD"/>
    <w:rsid w:val="186D32AB"/>
    <w:rsid w:val="1871A45C"/>
    <w:rsid w:val="1871AC7A"/>
    <w:rsid w:val="1871D9DF"/>
    <w:rsid w:val="18720B85"/>
    <w:rsid w:val="1872B9D7"/>
    <w:rsid w:val="1872C8F1"/>
    <w:rsid w:val="1876D742"/>
    <w:rsid w:val="18799C9A"/>
    <w:rsid w:val="1879C933"/>
    <w:rsid w:val="187AAAC4"/>
    <w:rsid w:val="187CB767"/>
    <w:rsid w:val="187DA730"/>
    <w:rsid w:val="187E61A7"/>
    <w:rsid w:val="187F3727"/>
    <w:rsid w:val="18864199"/>
    <w:rsid w:val="1888A972"/>
    <w:rsid w:val="1888AAAD"/>
    <w:rsid w:val="1888DBF2"/>
    <w:rsid w:val="1888F42A"/>
    <w:rsid w:val="188958BF"/>
    <w:rsid w:val="1889656C"/>
    <w:rsid w:val="1889F7CE"/>
    <w:rsid w:val="188CC041"/>
    <w:rsid w:val="188CC6A0"/>
    <w:rsid w:val="188EE2C6"/>
    <w:rsid w:val="18907BE4"/>
    <w:rsid w:val="1890EA7B"/>
    <w:rsid w:val="18915A2C"/>
    <w:rsid w:val="1892658A"/>
    <w:rsid w:val="18926C36"/>
    <w:rsid w:val="1893A1BD"/>
    <w:rsid w:val="18958028"/>
    <w:rsid w:val="18959838"/>
    <w:rsid w:val="18971A14"/>
    <w:rsid w:val="189A6C17"/>
    <w:rsid w:val="189D9173"/>
    <w:rsid w:val="189E581B"/>
    <w:rsid w:val="189F39D3"/>
    <w:rsid w:val="189FCC46"/>
    <w:rsid w:val="18A31BEE"/>
    <w:rsid w:val="18A363F1"/>
    <w:rsid w:val="18A3CF83"/>
    <w:rsid w:val="18A4B9C5"/>
    <w:rsid w:val="18A77356"/>
    <w:rsid w:val="18A82009"/>
    <w:rsid w:val="18A89FD7"/>
    <w:rsid w:val="18A8F2E6"/>
    <w:rsid w:val="18A9FE33"/>
    <w:rsid w:val="18AEAD45"/>
    <w:rsid w:val="18AFEC15"/>
    <w:rsid w:val="18B2D730"/>
    <w:rsid w:val="18B364AF"/>
    <w:rsid w:val="18B46874"/>
    <w:rsid w:val="18B50B0D"/>
    <w:rsid w:val="18B7E780"/>
    <w:rsid w:val="18B8C1F2"/>
    <w:rsid w:val="18B90200"/>
    <w:rsid w:val="18B95190"/>
    <w:rsid w:val="18BB3877"/>
    <w:rsid w:val="18BD7255"/>
    <w:rsid w:val="18BF54B5"/>
    <w:rsid w:val="18BF7F32"/>
    <w:rsid w:val="18C27678"/>
    <w:rsid w:val="18C2D837"/>
    <w:rsid w:val="18C5CAC3"/>
    <w:rsid w:val="18C9CBD9"/>
    <w:rsid w:val="18CA27A6"/>
    <w:rsid w:val="18CEAE97"/>
    <w:rsid w:val="18D1758E"/>
    <w:rsid w:val="18D7C0B8"/>
    <w:rsid w:val="18D7E64B"/>
    <w:rsid w:val="18DB04E3"/>
    <w:rsid w:val="18DE5BC5"/>
    <w:rsid w:val="18E142DE"/>
    <w:rsid w:val="18E227A3"/>
    <w:rsid w:val="18E35DE1"/>
    <w:rsid w:val="18E52C81"/>
    <w:rsid w:val="18E5F1EF"/>
    <w:rsid w:val="18E62398"/>
    <w:rsid w:val="18E82F2C"/>
    <w:rsid w:val="18E8627F"/>
    <w:rsid w:val="18E8B23D"/>
    <w:rsid w:val="18E9F90F"/>
    <w:rsid w:val="18EA69C2"/>
    <w:rsid w:val="18EBFA35"/>
    <w:rsid w:val="18F052A1"/>
    <w:rsid w:val="18F11717"/>
    <w:rsid w:val="18F68E21"/>
    <w:rsid w:val="18F74357"/>
    <w:rsid w:val="18F74FBC"/>
    <w:rsid w:val="18F8FF58"/>
    <w:rsid w:val="18FC8AA3"/>
    <w:rsid w:val="18FCD622"/>
    <w:rsid w:val="18FF1A72"/>
    <w:rsid w:val="18FFC91F"/>
    <w:rsid w:val="1902FBFE"/>
    <w:rsid w:val="1903047A"/>
    <w:rsid w:val="1904E02B"/>
    <w:rsid w:val="1905961F"/>
    <w:rsid w:val="1907E493"/>
    <w:rsid w:val="1908EFDE"/>
    <w:rsid w:val="1909A67D"/>
    <w:rsid w:val="190BE350"/>
    <w:rsid w:val="190C6A1C"/>
    <w:rsid w:val="190EDC2D"/>
    <w:rsid w:val="190EFB2D"/>
    <w:rsid w:val="191171ED"/>
    <w:rsid w:val="19149EA5"/>
    <w:rsid w:val="19155E1B"/>
    <w:rsid w:val="1917C794"/>
    <w:rsid w:val="191878D8"/>
    <w:rsid w:val="1919239B"/>
    <w:rsid w:val="191B5423"/>
    <w:rsid w:val="191FFFF2"/>
    <w:rsid w:val="1924CA4B"/>
    <w:rsid w:val="1926D656"/>
    <w:rsid w:val="1928835F"/>
    <w:rsid w:val="192AC192"/>
    <w:rsid w:val="192F131C"/>
    <w:rsid w:val="19314EDB"/>
    <w:rsid w:val="19327C89"/>
    <w:rsid w:val="1932C854"/>
    <w:rsid w:val="1933C9A6"/>
    <w:rsid w:val="193475F3"/>
    <w:rsid w:val="19348E6B"/>
    <w:rsid w:val="1935E62E"/>
    <w:rsid w:val="1937B7F1"/>
    <w:rsid w:val="1937CD41"/>
    <w:rsid w:val="1937DAA3"/>
    <w:rsid w:val="193B1691"/>
    <w:rsid w:val="193E8212"/>
    <w:rsid w:val="19416390"/>
    <w:rsid w:val="1946886F"/>
    <w:rsid w:val="1947508E"/>
    <w:rsid w:val="1947CB2A"/>
    <w:rsid w:val="19491583"/>
    <w:rsid w:val="19495EA0"/>
    <w:rsid w:val="194A049A"/>
    <w:rsid w:val="194C653A"/>
    <w:rsid w:val="194C72C8"/>
    <w:rsid w:val="194E2F19"/>
    <w:rsid w:val="195305A9"/>
    <w:rsid w:val="19541747"/>
    <w:rsid w:val="19551D8D"/>
    <w:rsid w:val="19551FB7"/>
    <w:rsid w:val="195751D9"/>
    <w:rsid w:val="195D820C"/>
    <w:rsid w:val="195EE54A"/>
    <w:rsid w:val="195FC973"/>
    <w:rsid w:val="1961FAB2"/>
    <w:rsid w:val="1963EEA7"/>
    <w:rsid w:val="196777CF"/>
    <w:rsid w:val="19699800"/>
    <w:rsid w:val="196A84B6"/>
    <w:rsid w:val="196B1C38"/>
    <w:rsid w:val="196CC209"/>
    <w:rsid w:val="196CC8D8"/>
    <w:rsid w:val="196CFB8C"/>
    <w:rsid w:val="196D0E38"/>
    <w:rsid w:val="196E42B5"/>
    <w:rsid w:val="196F8825"/>
    <w:rsid w:val="196F8833"/>
    <w:rsid w:val="1970655C"/>
    <w:rsid w:val="197092C5"/>
    <w:rsid w:val="1971DCFC"/>
    <w:rsid w:val="19755FD5"/>
    <w:rsid w:val="19759FBE"/>
    <w:rsid w:val="19768BA7"/>
    <w:rsid w:val="197B0B72"/>
    <w:rsid w:val="197BA119"/>
    <w:rsid w:val="197BC04E"/>
    <w:rsid w:val="197F9CE4"/>
    <w:rsid w:val="1980B9F9"/>
    <w:rsid w:val="1983A192"/>
    <w:rsid w:val="19857CB1"/>
    <w:rsid w:val="1985DC09"/>
    <w:rsid w:val="1985ED46"/>
    <w:rsid w:val="19861002"/>
    <w:rsid w:val="19866AB4"/>
    <w:rsid w:val="198B0466"/>
    <w:rsid w:val="198C9916"/>
    <w:rsid w:val="198DFFBF"/>
    <w:rsid w:val="198EAC96"/>
    <w:rsid w:val="198F27C0"/>
    <w:rsid w:val="19917503"/>
    <w:rsid w:val="199440B9"/>
    <w:rsid w:val="19956837"/>
    <w:rsid w:val="1999AC7E"/>
    <w:rsid w:val="199B10E2"/>
    <w:rsid w:val="199B8CE4"/>
    <w:rsid w:val="19A0A5E5"/>
    <w:rsid w:val="19A0CB87"/>
    <w:rsid w:val="19A1841F"/>
    <w:rsid w:val="19A26C54"/>
    <w:rsid w:val="19A37249"/>
    <w:rsid w:val="19A46003"/>
    <w:rsid w:val="19A4E008"/>
    <w:rsid w:val="19A5197B"/>
    <w:rsid w:val="19A6A211"/>
    <w:rsid w:val="19A780F0"/>
    <w:rsid w:val="19A862BD"/>
    <w:rsid w:val="19A99123"/>
    <w:rsid w:val="19AA9FBE"/>
    <w:rsid w:val="19AB4296"/>
    <w:rsid w:val="19AD231E"/>
    <w:rsid w:val="19AD7B49"/>
    <w:rsid w:val="19ADE785"/>
    <w:rsid w:val="19AED0B1"/>
    <w:rsid w:val="19AEF67F"/>
    <w:rsid w:val="19B08457"/>
    <w:rsid w:val="19B26C4C"/>
    <w:rsid w:val="19B2992C"/>
    <w:rsid w:val="19B4693E"/>
    <w:rsid w:val="19B4E2EF"/>
    <w:rsid w:val="19B7209D"/>
    <w:rsid w:val="19B82583"/>
    <w:rsid w:val="19B8BDEF"/>
    <w:rsid w:val="19BCBCDD"/>
    <w:rsid w:val="19C0B8FC"/>
    <w:rsid w:val="19C1B82C"/>
    <w:rsid w:val="19C1EE97"/>
    <w:rsid w:val="19C1F532"/>
    <w:rsid w:val="19C2791C"/>
    <w:rsid w:val="19C5C8F0"/>
    <w:rsid w:val="19C61EEF"/>
    <w:rsid w:val="19C6C80C"/>
    <w:rsid w:val="19CA2B12"/>
    <w:rsid w:val="19CC4CA7"/>
    <w:rsid w:val="19CECF70"/>
    <w:rsid w:val="19CEF6DC"/>
    <w:rsid w:val="19D2E19C"/>
    <w:rsid w:val="19D3D2EB"/>
    <w:rsid w:val="19D43C81"/>
    <w:rsid w:val="19D58D32"/>
    <w:rsid w:val="19D612A4"/>
    <w:rsid w:val="19D69263"/>
    <w:rsid w:val="19D73532"/>
    <w:rsid w:val="19D925C5"/>
    <w:rsid w:val="19DC7578"/>
    <w:rsid w:val="19DCC5D9"/>
    <w:rsid w:val="19DD12F1"/>
    <w:rsid w:val="19DDE59D"/>
    <w:rsid w:val="19DED142"/>
    <w:rsid w:val="19DFB712"/>
    <w:rsid w:val="19E1F14F"/>
    <w:rsid w:val="19E3F514"/>
    <w:rsid w:val="19E428E2"/>
    <w:rsid w:val="19E46695"/>
    <w:rsid w:val="19E4D106"/>
    <w:rsid w:val="19E5B984"/>
    <w:rsid w:val="19E673B6"/>
    <w:rsid w:val="19E6E406"/>
    <w:rsid w:val="19E706E3"/>
    <w:rsid w:val="19E96399"/>
    <w:rsid w:val="19EBE831"/>
    <w:rsid w:val="19F14622"/>
    <w:rsid w:val="19F1BEAD"/>
    <w:rsid w:val="19F1F7AE"/>
    <w:rsid w:val="19F39B91"/>
    <w:rsid w:val="19F54ADF"/>
    <w:rsid w:val="19F60831"/>
    <w:rsid w:val="19F672BB"/>
    <w:rsid w:val="19F6FE9D"/>
    <w:rsid w:val="19F7325E"/>
    <w:rsid w:val="19F7342B"/>
    <w:rsid w:val="19FBC347"/>
    <w:rsid w:val="19FD2E98"/>
    <w:rsid w:val="19FDB11C"/>
    <w:rsid w:val="19FE133A"/>
    <w:rsid w:val="1A011477"/>
    <w:rsid w:val="1A02CAB9"/>
    <w:rsid w:val="1A095023"/>
    <w:rsid w:val="1A099614"/>
    <w:rsid w:val="1A0C71C1"/>
    <w:rsid w:val="1A0D4E2D"/>
    <w:rsid w:val="1A0E78BA"/>
    <w:rsid w:val="1A0F60B7"/>
    <w:rsid w:val="1A122C5B"/>
    <w:rsid w:val="1A1396DC"/>
    <w:rsid w:val="1A149E50"/>
    <w:rsid w:val="1A15E0A5"/>
    <w:rsid w:val="1A16DD52"/>
    <w:rsid w:val="1A174298"/>
    <w:rsid w:val="1A1871C4"/>
    <w:rsid w:val="1A1A9C28"/>
    <w:rsid w:val="1A1C50BE"/>
    <w:rsid w:val="1A1E843B"/>
    <w:rsid w:val="1A1FC290"/>
    <w:rsid w:val="1A24CDFD"/>
    <w:rsid w:val="1A25CBF0"/>
    <w:rsid w:val="1A261A00"/>
    <w:rsid w:val="1A26970A"/>
    <w:rsid w:val="1A2756E2"/>
    <w:rsid w:val="1A287E8C"/>
    <w:rsid w:val="1A295663"/>
    <w:rsid w:val="1A2962DA"/>
    <w:rsid w:val="1A2A6BAF"/>
    <w:rsid w:val="1A2B21A2"/>
    <w:rsid w:val="1A2B602B"/>
    <w:rsid w:val="1A2D658F"/>
    <w:rsid w:val="1A2D96D7"/>
    <w:rsid w:val="1A2E347D"/>
    <w:rsid w:val="1A30125F"/>
    <w:rsid w:val="1A321D27"/>
    <w:rsid w:val="1A3232B1"/>
    <w:rsid w:val="1A32BB13"/>
    <w:rsid w:val="1A340189"/>
    <w:rsid w:val="1A346E63"/>
    <w:rsid w:val="1A353439"/>
    <w:rsid w:val="1A35AED9"/>
    <w:rsid w:val="1A390FDF"/>
    <w:rsid w:val="1A3913E1"/>
    <w:rsid w:val="1A3C0BF2"/>
    <w:rsid w:val="1A3D36D5"/>
    <w:rsid w:val="1A3D4AC9"/>
    <w:rsid w:val="1A40817D"/>
    <w:rsid w:val="1A425B58"/>
    <w:rsid w:val="1A428049"/>
    <w:rsid w:val="1A448108"/>
    <w:rsid w:val="1A4510D6"/>
    <w:rsid w:val="1A46B9C4"/>
    <w:rsid w:val="1A4ADF5E"/>
    <w:rsid w:val="1A4B43F1"/>
    <w:rsid w:val="1A4DDBA3"/>
    <w:rsid w:val="1A4E202F"/>
    <w:rsid w:val="1A4E76D6"/>
    <w:rsid w:val="1A4F035B"/>
    <w:rsid w:val="1A4FCDEA"/>
    <w:rsid w:val="1A5064AA"/>
    <w:rsid w:val="1A53ACDA"/>
    <w:rsid w:val="1A54D819"/>
    <w:rsid w:val="1A555310"/>
    <w:rsid w:val="1A55EC2C"/>
    <w:rsid w:val="1A5B41F7"/>
    <w:rsid w:val="1A5B68A4"/>
    <w:rsid w:val="1A5DD1CC"/>
    <w:rsid w:val="1A5E277A"/>
    <w:rsid w:val="1A60940C"/>
    <w:rsid w:val="1A60E976"/>
    <w:rsid w:val="1A6209CA"/>
    <w:rsid w:val="1A64D8E1"/>
    <w:rsid w:val="1A664D98"/>
    <w:rsid w:val="1A66A01D"/>
    <w:rsid w:val="1A686675"/>
    <w:rsid w:val="1A6CD37E"/>
    <w:rsid w:val="1A6EE158"/>
    <w:rsid w:val="1A6EFA58"/>
    <w:rsid w:val="1A6F83C9"/>
    <w:rsid w:val="1A706C5E"/>
    <w:rsid w:val="1A71331F"/>
    <w:rsid w:val="1A713711"/>
    <w:rsid w:val="1A7141F1"/>
    <w:rsid w:val="1A7177D1"/>
    <w:rsid w:val="1A73081C"/>
    <w:rsid w:val="1A74102B"/>
    <w:rsid w:val="1A747E93"/>
    <w:rsid w:val="1A763C57"/>
    <w:rsid w:val="1A7669B1"/>
    <w:rsid w:val="1A7846C1"/>
    <w:rsid w:val="1A7A8548"/>
    <w:rsid w:val="1A7B3557"/>
    <w:rsid w:val="1A7DBEFA"/>
    <w:rsid w:val="1A7E9CEC"/>
    <w:rsid w:val="1A7F9FE6"/>
    <w:rsid w:val="1A8073BF"/>
    <w:rsid w:val="1A82B806"/>
    <w:rsid w:val="1A85F4B3"/>
    <w:rsid w:val="1A878595"/>
    <w:rsid w:val="1A87E4FE"/>
    <w:rsid w:val="1A89403C"/>
    <w:rsid w:val="1A8C2B5E"/>
    <w:rsid w:val="1A8DDE2D"/>
    <w:rsid w:val="1A8DE586"/>
    <w:rsid w:val="1A8F43AD"/>
    <w:rsid w:val="1A931FE0"/>
    <w:rsid w:val="1A9400BB"/>
    <w:rsid w:val="1A959EDF"/>
    <w:rsid w:val="1A97107D"/>
    <w:rsid w:val="1A9743FE"/>
    <w:rsid w:val="1A991FD0"/>
    <w:rsid w:val="1A9A159A"/>
    <w:rsid w:val="1A9B0D10"/>
    <w:rsid w:val="1A9C9D1E"/>
    <w:rsid w:val="1A9D4312"/>
    <w:rsid w:val="1A9F2F2A"/>
    <w:rsid w:val="1A9FAF20"/>
    <w:rsid w:val="1AA04E25"/>
    <w:rsid w:val="1AA0935C"/>
    <w:rsid w:val="1AA0AA78"/>
    <w:rsid w:val="1AA1D38B"/>
    <w:rsid w:val="1AA297BF"/>
    <w:rsid w:val="1AA489CC"/>
    <w:rsid w:val="1AA495B3"/>
    <w:rsid w:val="1AA538D9"/>
    <w:rsid w:val="1AA57574"/>
    <w:rsid w:val="1AA66C7F"/>
    <w:rsid w:val="1AA8EA44"/>
    <w:rsid w:val="1AAAA236"/>
    <w:rsid w:val="1AAB1829"/>
    <w:rsid w:val="1AAD0648"/>
    <w:rsid w:val="1AADEFAA"/>
    <w:rsid w:val="1AAE292B"/>
    <w:rsid w:val="1AAF22FA"/>
    <w:rsid w:val="1AB01004"/>
    <w:rsid w:val="1AB04113"/>
    <w:rsid w:val="1AB2167D"/>
    <w:rsid w:val="1AB2D116"/>
    <w:rsid w:val="1AB436F3"/>
    <w:rsid w:val="1AB90F35"/>
    <w:rsid w:val="1AC25807"/>
    <w:rsid w:val="1AC2FC09"/>
    <w:rsid w:val="1AC8D94D"/>
    <w:rsid w:val="1ACAEC5C"/>
    <w:rsid w:val="1ACB07DD"/>
    <w:rsid w:val="1ACB5EAF"/>
    <w:rsid w:val="1ACCFDDE"/>
    <w:rsid w:val="1ACEF917"/>
    <w:rsid w:val="1ACF338A"/>
    <w:rsid w:val="1AD00973"/>
    <w:rsid w:val="1AD1A3B2"/>
    <w:rsid w:val="1AD2EC84"/>
    <w:rsid w:val="1AD42EE6"/>
    <w:rsid w:val="1AD4D5D3"/>
    <w:rsid w:val="1AD86D27"/>
    <w:rsid w:val="1AD96BE7"/>
    <w:rsid w:val="1ADAF54E"/>
    <w:rsid w:val="1ADB8A8B"/>
    <w:rsid w:val="1ADC1ED4"/>
    <w:rsid w:val="1ADC28ED"/>
    <w:rsid w:val="1ADD1808"/>
    <w:rsid w:val="1ADD3C63"/>
    <w:rsid w:val="1ADD6197"/>
    <w:rsid w:val="1ADE8E5A"/>
    <w:rsid w:val="1AE09769"/>
    <w:rsid w:val="1AE0DB6C"/>
    <w:rsid w:val="1AE244F6"/>
    <w:rsid w:val="1AE2B070"/>
    <w:rsid w:val="1AE31B07"/>
    <w:rsid w:val="1AE350BB"/>
    <w:rsid w:val="1AE3B73D"/>
    <w:rsid w:val="1AE50746"/>
    <w:rsid w:val="1AE697CA"/>
    <w:rsid w:val="1AE6BDF7"/>
    <w:rsid w:val="1AE7E872"/>
    <w:rsid w:val="1AE80153"/>
    <w:rsid w:val="1AE80AE8"/>
    <w:rsid w:val="1AE89293"/>
    <w:rsid w:val="1AEABF87"/>
    <w:rsid w:val="1AEC59E5"/>
    <w:rsid w:val="1AED0E27"/>
    <w:rsid w:val="1AF30DF1"/>
    <w:rsid w:val="1AF3381D"/>
    <w:rsid w:val="1AF42BEF"/>
    <w:rsid w:val="1AF4EBD9"/>
    <w:rsid w:val="1AF4ED77"/>
    <w:rsid w:val="1AF60C6C"/>
    <w:rsid w:val="1AF61F90"/>
    <w:rsid w:val="1AF9E338"/>
    <w:rsid w:val="1AFAF074"/>
    <w:rsid w:val="1AFBC22E"/>
    <w:rsid w:val="1AFBCF12"/>
    <w:rsid w:val="1AFD3501"/>
    <w:rsid w:val="1AFD9EC6"/>
    <w:rsid w:val="1AFDB85E"/>
    <w:rsid w:val="1AFDD09B"/>
    <w:rsid w:val="1AFE2BC5"/>
    <w:rsid w:val="1AFF0EE8"/>
    <w:rsid w:val="1B006622"/>
    <w:rsid w:val="1B03D1E5"/>
    <w:rsid w:val="1B04E3AF"/>
    <w:rsid w:val="1B054445"/>
    <w:rsid w:val="1B068FA0"/>
    <w:rsid w:val="1B072AAC"/>
    <w:rsid w:val="1B09D7F5"/>
    <w:rsid w:val="1B0BBD32"/>
    <w:rsid w:val="1B0C2514"/>
    <w:rsid w:val="1B12262F"/>
    <w:rsid w:val="1B134CA7"/>
    <w:rsid w:val="1B139CD3"/>
    <w:rsid w:val="1B15F389"/>
    <w:rsid w:val="1B1772C4"/>
    <w:rsid w:val="1B18EB40"/>
    <w:rsid w:val="1B1965D3"/>
    <w:rsid w:val="1B1AF4F8"/>
    <w:rsid w:val="1B1EF2BB"/>
    <w:rsid w:val="1B1F90B6"/>
    <w:rsid w:val="1B21DE52"/>
    <w:rsid w:val="1B240CAF"/>
    <w:rsid w:val="1B244129"/>
    <w:rsid w:val="1B26D6CB"/>
    <w:rsid w:val="1B2889A8"/>
    <w:rsid w:val="1B2C4C36"/>
    <w:rsid w:val="1B2C774B"/>
    <w:rsid w:val="1B2D7738"/>
    <w:rsid w:val="1B2F1B70"/>
    <w:rsid w:val="1B31625D"/>
    <w:rsid w:val="1B3248C8"/>
    <w:rsid w:val="1B382E7F"/>
    <w:rsid w:val="1B394036"/>
    <w:rsid w:val="1B3A9509"/>
    <w:rsid w:val="1B3AF4DF"/>
    <w:rsid w:val="1B3BCA41"/>
    <w:rsid w:val="1B3D43E0"/>
    <w:rsid w:val="1B401C0B"/>
    <w:rsid w:val="1B426229"/>
    <w:rsid w:val="1B43C290"/>
    <w:rsid w:val="1B46CBEE"/>
    <w:rsid w:val="1B46FB76"/>
    <w:rsid w:val="1B472450"/>
    <w:rsid w:val="1B47B440"/>
    <w:rsid w:val="1B4A5D9E"/>
    <w:rsid w:val="1B4C65A7"/>
    <w:rsid w:val="1B4CD482"/>
    <w:rsid w:val="1B4CFDD7"/>
    <w:rsid w:val="1B4D0D3F"/>
    <w:rsid w:val="1B4D6756"/>
    <w:rsid w:val="1B4EE6F5"/>
    <w:rsid w:val="1B4F0F71"/>
    <w:rsid w:val="1B4F32AA"/>
    <w:rsid w:val="1B4FA3E7"/>
    <w:rsid w:val="1B4FF5DA"/>
    <w:rsid w:val="1B50CFE3"/>
    <w:rsid w:val="1B510132"/>
    <w:rsid w:val="1B513FCE"/>
    <w:rsid w:val="1B51830A"/>
    <w:rsid w:val="1B519258"/>
    <w:rsid w:val="1B51C523"/>
    <w:rsid w:val="1B53FACB"/>
    <w:rsid w:val="1B573DAE"/>
    <w:rsid w:val="1B58EFDE"/>
    <w:rsid w:val="1B5A7D58"/>
    <w:rsid w:val="1B5A90AD"/>
    <w:rsid w:val="1B5B2D13"/>
    <w:rsid w:val="1B5D5B3A"/>
    <w:rsid w:val="1B5F9FC1"/>
    <w:rsid w:val="1B6268A0"/>
    <w:rsid w:val="1B639C48"/>
    <w:rsid w:val="1B65AD38"/>
    <w:rsid w:val="1B65C834"/>
    <w:rsid w:val="1B663A37"/>
    <w:rsid w:val="1B69E237"/>
    <w:rsid w:val="1B69EA58"/>
    <w:rsid w:val="1B6BC6DE"/>
    <w:rsid w:val="1B6CA3FB"/>
    <w:rsid w:val="1B6F1632"/>
    <w:rsid w:val="1B7298D5"/>
    <w:rsid w:val="1B737200"/>
    <w:rsid w:val="1B750196"/>
    <w:rsid w:val="1B75141E"/>
    <w:rsid w:val="1B76FA00"/>
    <w:rsid w:val="1B7721F8"/>
    <w:rsid w:val="1B77FAB2"/>
    <w:rsid w:val="1B7848C7"/>
    <w:rsid w:val="1B784EF6"/>
    <w:rsid w:val="1B7A13A2"/>
    <w:rsid w:val="1B7B43E8"/>
    <w:rsid w:val="1B7BE832"/>
    <w:rsid w:val="1B7C3932"/>
    <w:rsid w:val="1B7D6D9A"/>
    <w:rsid w:val="1B7DEE79"/>
    <w:rsid w:val="1B7E43F2"/>
    <w:rsid w:val="1B805DF6"/>
    <w:rsid w:val="1B80AAAF"/>
    <w:rsid w:val="1B829400"/>
    <w:rsid w:val="1B84035E"/>
    <w:rsid w:val="1B854317"/>
    <w:rsid w:val="1B86F733"/>
    <w:rsid w:val="1B895D87"/>
    <w:rsid w:val="1B8B8D54"/>
    <w:rsid w:val="1B8CDCF0"/>
    <w:rsid w:val="1B8DD4B7"/>
    <w:rsid w:val="1B8E94E9"/>
    <w:rsid w:val="1B90D620"/>
    <w:rsid w:val="1B92EE21"/>
    <w:rsid w:val="1B951620"/>
    <w:rsid w:val="1B95A3DE"/>
    <w:rsid w:val="1B96B100"/>
    <w:rsid w:val="1B987E13"/>
    <w:rsid w:val="1B98FF3F"/>
    <w:rsid w:val="1B9A3C68"/>
    <w:rsid w:val="1B9B8627"/>
    <w:rsid w:val="1B9D1449"/>
    <w:rsid w:val="1B9D89E8"/>
    <w:rsid w:val="1B9DAC70"/>
    <w:rsid w:val="1B9DC58D"/>
    <w:rsid w:val="1BA00CDE"/>
    <w:rsid w:val="1BA095FC"/>
    <w:rsid w:val="1BA10412"/>
    <w:rsid w:val="1BA2B7F3"/>
    <w:rsid w:val="1BA3CD96"/>
    <w:rsid w:val="1BA504EE"/>
    <w:rsid w:val="1BA5E769"/>
    <w:rsid w:val="1BA70373"/>
    <w:rsid w:val="1BA9D227"/>
    <w:rsid w:val="1BAB2AC0"/>
    <w:rsid w:val="1BAB5011"/>
    <w:rsid w:val="1BAE421B"/>
    <w:rsid w:val="1BB3F85D"/>
    <w:rsid w:val="1BB6597A"/>
    <w:rsid w:val="1BB69F61"/>
    <w:rsid w:val="1BB969BC"/>
    <w:rsid w:val="1BB9DEA1"/>
    <w:rsid w:val="1BBADBA9"/>
    <w:rsid w:val="1BBC50A9"/>
    <w:rsid w:val="1BBDC6C7"/>
    <w:rsid w:val="1BBF4619"/>
    <w:rsid w:val="1BC25BE3"/>
    <w:rsid w:val="1BC3EBF7"/>
    <w:rsid w:val="1BC4E97E"/>
    <w:rsid w:val="1BC4EB3D"/>
    <w:rsid w:val="1BC54E51"/>
    <w:rsid w:val="1BC6E1CF"/>
    <w:rsid w:val="1BC73AE5"/>
    <w:rsid w:val="1BC91CF6"/>
    <w:rsid w:val="1BCCD19B"/>
    <w:rsid w:val="1BCD536D"/>
    <w:rsid w:val="1BCD5B98"/>
    <w:rsid w:val="1BCDD0BD"/>
    <w:rsid w:val="1BCE1C77"/>
    <w:rsid w:val="1BCE56FB"/>
    <w:rsid w:val="1BD0C6B3"/>
    <w:rsid w:val="1BD13840"/>
    <w:rsid w:val="1BD239B5"/>
    <w:rsid w:val="1BD59CBE"/>
    <w:rsid w:val="1BD867B9"/>
    <w:rsid w:val="1BDAF438"/>
    <w:rsid w:val="1BDBAA27"/>
    <w:rsid w:val="1BDC5BBC"/>
    <w:rsid w:val="1BDC5C77"/>
    <w:rsid w:val="1BDD8C31"/>
    <w:rsid w:val="1BDE632C"/>
    <w:rsid w:val="1BDEE669"/>
    <w:rsid w:val="1BDF0C27"/>
    <w:rsid w:val="1BE39543"/>
    <w:rsid w:val="1BE456D5"/>
    <w:rsid w:val="1BE54C4C"/>
    <w:rsid w:val="1BE8CB95"/>
    <w:rsid w:val="1BE8E33F"/>
    <w:rsid w:val="1BEA238E"/>
    <w:rsid w:val="1BEB1C43"/>
    <w:rsid w:val="1BEB3CB7"/>
    <w:rsid w:val="1BEE325E"/>
    <w:rsid w:val="1BF0B639"/>
    <w:rsid w:val="1BF1C598"/>
    <w:rsid w:val="1BF57E8E"/>
    <w:rsid w:val="1BF7909E"/>
    <w:rsid w:val="1BF7C4BD"/>
    <w:rsid w:val="1BF9D2BF"/>
    <w:rsid w:val="1BFAA490"/>
    <w:rsid w:val="1BFC9325"/>
    <w:rsid w:val="1BFF247E"/>
    <w:rsid w:val="1C0017BC"/>
    <w:rsid w:val="1C02EBA6"/>
    <w:rsid w:val="1C030DCC"/>
    <w:rsid w:val="1C06ED56"/>
    <w:rsid w:val="1C07D578"/>
    <w:rsid w:val="1C0CD087"/>
    <w:rsid w:val="1C0DC0EC"/>
    <w:rsid w:val="1C103357"/>
    <w:rsid w:val="1C120D14"/>
    <w:rsid w:val="1C144BA8"/>
    <w:rsid w:val="1C146BD6"/>
    <w:rsid w:val="1C160196"/>
    <w:rsid w:val="1C16057D"/>
    <w:rsid w:val="1C16A0EA"/>
    <w:rsid w:val="1C16B183"/>
    <w:rsid w:val="1C1BD39A"/>
    <w:rsid w:val="1C1C4E92"/>
    <w:rsid w:val="1C1DFBD2"/>
    <w:rsid w:val="1C20BD2D"/>
    <w:rsid w:val="1C21333E"/>
    <w:rsid w:val="1C218314"/>
    <w:rsid w:val="1C22DEF3"/>
    <w:rsid w:val="1C22EBC3"/>
    <w:rsid w:val="1C25CB13"/>
    <w:rsid w:val="1C28AABE"/>
    <w:rsid w:val="1C2BA073"/>
    <w:rsid w:val="1C2E1043"/>
    <w:rsid w:val="1C2FCE20"/>
    <w:rsid w:val="1C32D242"/>
    <w:rsid w:val="1C3322F3"/>
    <w:rsid w:val="1C341064"/>
    <w:rsid w:val="1C34138D"/>
    <w:rsid w:val="1C346051"/>
    <w:rsid w:val="1C3468C3"/>
    <w:rsid w:val="1C3864F9"/>
    <w:rsid w:val="1C38DF1A"/>
    <w:rsid w:val="1C3990F6"/>
    <w:rsid w:val="1C3C741A"/>
    <w:rsid w:val="1C3ED826"/>
    <w:rsid w:val="1C423015"/>
    <w:rsid w:val="1C476F43"/>
    <w:rsid w:val="1C4A392B"/>
    <w:rsid w:val="1C4CA4B2"/>
    <w:rsid w:val="1C4D19BA"/>
    <w:rsid w:val="1C4D8EBB"/>
    <w:rsid w:val="1C4DF492"/>
    <w:rsid w:val="1C4E2C4F"/>
    <w:rsid w:val="1C4EC742"/>
    <w:rsid w:val="1C4FAF1E"/>
    <w:rsid w:val="1C52B614"/>
    <w:rsid w:val="1C53F5C0"/>
    <w:rsid w:val="1C550997"/>
    <w:rsid w:val="1C5713CA"/>
    <w:rsid w:val="1C5727C3"/>
    <w:rsid w:val="1C594DE6"/>
    <w:rsid w:val="1C59B701"/>
    <w:rsid w:val="1C5CEFC0"/>
    <w:rsid w:val="1C5E7B90"/>
    <w:rsid w:val="1C5F42AA"/>
    <w:rsid w:val="1C613CA9"/>
    <w:rsid w:val="1C6164DB"/>
    <w:rsid w:val="1C62369B"/>
    <w:rsid w:val="1C623D8C"/>
    <w:rsid w:val="1C677E35"/>
    <w:rsid w:val="1C6941AE"/>
    <w:rsid w:val="1C694AF9"/>
    <w:rsid w:val="1C704A74"/>
    <w:rsid w:val="1C70C69A"/>
    <w:rsid w:val="1C7101C5"/>
    <w:rsid w:val="1C7134EF"/>
    <w:rsid w:val="1C72A4C6"/>
    <w:rsid w:val="1C754B16"/>
    <w:rsid w:val="1C7AC903"/>
    <w:rsid w:val="1C7B2BA7"/>
    <w:rsid w:val="1C7BA958"/>
    <w:rsid w:val="1C7D2F3F"/>
    <w:rsid w:val="1C7DD547"/>
    <w:rsid w:val="1C7FBDB7"/>
    <w:rsid w:val="1C80CF12"/>
    <w:rsid w:val="1C82C1BE"/>
    <w:rsid w:val="1C83FDEF"/>
    <w:rsid w:val="1C84DE57"/>
    <w:rsid w:val="1C881BAD"/>
    <w:rsid w:val="1C8838D6"/>
    <w:rsid w:val="1C8A5873"/>
    <w:rsid w:val="1C8B7741"/>
    <w:rsid w:val="1C8E0375"/>
    <w:rsid w:val="1C92953E"/>
    <w:rsid w:val="1C92ADA9"/>
    <w:rsid w:val="1C96684C"/>
    <w:rsid w:val="1C979A89"/>
    <w:rsid w:val="1C97ADDF"/>
    <w:rsid w:val="1C9D20AA"/>
    <w:rsid w:val="1C9F1C79"/>
    <w:rsid w:val="1CA375C7"/>
    <w:rsid w:val="1CA6EBFD"/>
    <w:rsid w:val="1CA8FC6E"/>
    <w:rsid w:val="1CA9E795"/>
    <w:rsid w:val="1CA9EC20"/>
    <w:rsid w:val="1CAAC4F0"/>
    <w:rsid w:val="1CABCD97"/>
    <w:rsid w:val="1CAC3086"/>
    <w:rsid w:val="1CACA53D"/>
    <w:rsid w:val="1CACE155"/>
    <w:rsid w:val="1CB1591F"/>
    <w:rsid w:val="1CB2433A"/>
    <w:rsid w:val="1CB2C387"/>
    <w:rsid w:val="1CB45230"/>
    <w:rsid w:val="1CB50B53"/>
    <w:rsid w:val="1CB51D44"/>
    <w:rsid w:val="1CB5849D"/>
    <w:rsid w:val="1CB68BD2"/>
    <w:rsid w:val="1CB73822"/>
    <w:rsid w:val="1CB88A89"/>
    <w:rsid w:val="1CB8ED42"/>
    <w:rsid w:val="1CB9666A"/>
    <w:rsid w:val="1CBBB888"/>
    <w:rsid w:val="1CBC7CB0"/>
    <w:rsid w:val="1CBDFDDA"/>
    <w:rsid w:val="1CBF325A"/>
    <w:rsid w:val="1CBF8598"/>
    <w:rsid w:val="1CBFD97E"/>
    <w:rsid w:val="1CC0554C"/>
    <w:rsid w:val="1CC4615E"/>
    <w:rsid w:val="1CC68159"/>
    <w:rsid w:val="1CCB1A17"/>
    <w:rsid w:val="1CCBD910"/>
    <w:rsid w:val="1CCFAE8D"/>
    <w:rsid w:val="1CCFB063"/>
    <w:rsid w:val="1CD22F26"/>
    <w:rsid w:val="1CD2F2DE"/>
    <w:rsid w:val="1CD353D7"/>
    <w:rsid w:val="1CD4B225"/>
    <w:rsid w:val="1CD4D7F1"/>
    <w:rsid w:val="1CDA266F"/>
    <w:rsid w:val="1CDA5C81"/>
    <w:rsid w:val="1CDAFD03"/>
    <w:rsid w:val="1CDAFE83"/>
    <w:rsid w:val="1CDCC4C0"/>
    <w:rsid w:val="1CDD2A6C"/>
    <w:rsid w:val="1CDFD4AE"/>
    <w:rsid w:val="1CE42D6D"/>
    <w:rsid w:val="1CE92B2D"/>
    <w:rsid w:val="1CFC1C24"/>
    <w:rsid w:val="1D00F701"/>
    <w:rsid w:val="1D0307C1"/>
    <w:rsid w:val="1D05A0B2"/>
    <w:rsid w:val="1D06D221"/>
    <w:rsid w:val="1D0731FE"/>
    <w:rsid w:val="1D08D8E7"/>
    <w:rsid w:val="1D0909EE"/>
    <w:rsid w:val="1D09358F"/>
    <w:rsid w:val="1D0954E4"/>
    <w:rsid w:val="1D0996BD"/>
    <w:rsid w:val="1D0B5CD4"/>
    <w:rsid w:val="1D0C86DE"/>
    <w:rsid w:val="1D0DA7D3"/>
    <w:rsid w:val="1D0DD2D2"/>
    <w:rsid w:val="1D11C7E8"/>
    <w:rsid w:val="1D11FDF2"/>
    <w:rsid w:val="1D12479B"/>
    <w:rsid w:val="1D127EC6"/>
    <w:rsid w:val="1D138344"/>
    <w:rsid w:val="1D143583"/>
    <w:rsid w:val="1D15C3DA"/>
    <w:rsid w:val="1D16C538"/>
    <w:rsid w:val="1D17398C"/>
    <w:rsid w:val="1D1870C8"/>
    <w:rsid w:val="1D18A7CD"/>
    <w:rsid w:val="1D1D1620"/>
    <w:rsid w:val="1D1F5300"/>
    <w:rsid w:val="1D241CCA"/>
    <w:rsid w:val="1D25C182"/>
    <w:rsid w:val="1D28CF60"/>
    <w:rsid w:val="1D291055"/>
    <w:rsid w:val="1D2ABFC4"/>
    <w:rsid w:val="1D2AFB54"/>
    <w:rsid w:val="1D2C9846"/>
    <w:rsid w:val="1D2D1516"/>
    <w:rsid w:val="1D2D4B2D"/>
    <w:rsid w:val="1D2FE8F9"/>
    <w:rsid w:val="1D31861D"/>
    <w:rsid w:val="1D32A8C8"/>
    <w:rsid w:val="1D330CF1"/>
    <w:rsid w:val="1D33C878"/>
    <w:rsid w:val="1D341539"/>
    <w:rsid w:val="1D351760"/>
    <w:rsid w:val="1D3522E4"/>
    <w:rsid w:val="1D35D401"/>
    <w:rsid w:val="1D39AE4C"/>
    <w:rsid w:val="1D3A5EF0"/>
    <w:rsid w:val="1D3AF283"/>
    <w:rsid w:val="1D3CAA65"/>
    <w:rsid w:val="1D3E2504"/>
    <w:rsid w:val="1D3EDBB6"/>
    <w:rsid w:val="1D40893B"/>
    <w:rsid w:val="1D411B3F"/>
    <w:rsid w:val="1D4478B8"/>
    <w:rsid w:val="1D4546B0"/>
    <w:rsid w:val="1D458F2D"/>
    <w:rsid w:val="1D45B6D1"/>
    <w:rsid w:val="1D4657A8"/>
    <w:rsid w:val="1D46AF37"/>
    <w:rsid w:val="1D479B3F"/>
    <w:rsid w:val="1D499A0A"/>
    <w:rsid w:val="1D4A5D8A"/>
    <w:rsid w:val="1D4A845C"/>
    <w:rsid w:val="1D4B04B5"/>
    <w:rsid w:val="1D4F7CDD"/>
    <w:rsid w:val="1D4FEB9C"/>
    <w:rsid w:val="1D506CEF"/>
    <w:rsid w:val="1D526CF3"/>
    <w:rsid w:val="1D536FB1"/>
    <w:rsid w:val="1D538A32"/>
    <w:rsid w:val="1D54AA1A"/>
    <w:rsid w:val="1D54AEA4"/>
    <w:rsid w:val="1D569C4C"/>
    <w:rsid w:val="1D56AA78"/>
    <w:rsid w:val="1D5A4B60"/>
    <w:rsid w:val="1D5EB2FC"/>
    <w:rsid w:val="1D5F5EF6"/>
    <w:rsid w:val="1D60E8EE"/>
    <w:rsid w:val="1D6474CF"/>
    <w:rsid w:val="1D64C530"/>
    <w:rsid w:val="1D6910EA"/>
    <w:rsid w:val="1D696D19"/>
    <w:rsid w:val="1D69E712"/>
    <w:rsid w:val="1D6ABCA6"/>
    <w:rsid w:val="1D6AD8A5"/>
    <w:rsid w:val="1D6B96D3"/>
    <w:rsid w:val="1D6CD8B0"/>
    <w:rsid w:val="1D6CFF68"/>
    <w:rsid w:val="1D6DB509"/>
    <w:rsid w:val="1D6DFD2E"/>
    <w:rsid w:val="1D6E2ABE"/>
    <w:rsid w:val="1D6E7673"/>
    <w:rsid w:val="1D6F1610"/>
    <w:rsid w:val="1D70F28E"/>
    <w:rsid w:val="1D71E111"/>
    <w:rsid w:val="1D724BC5"/>
    <w:rsid w:val="1D725B15"/>
    <w:rsid w:val="1D73E6A4"/>
    <w:rsid w:val="1D75B194"/>
    <w:rsid w:val="1D7A83AD"/>
    <w:rsid w:val="1D7B2F17"/>
    <w:rsid w:val="1D7B5306"/>
    <w:rsid w:val="1D7B6279"/>
    <w:rsid w:val="1D7CB286"/>
    <w:rsid w:val="1D7F469D"/>
    <w:rsid w:val="1D7F56C9"/>
    <w:rsid w:val="1D83A323"/>
    <w:rsid w:val="1D845106"/>
    <w:rsid w:val="1D84AE0A"/>
    <w:rsid w:val="1D85BBB8"/>
    <w:rsid w:val="1D867E6F"/>
    <w:rsid w:val="1D897B7E"/>
    <w:rsid w:val="1D8A3623"/>
    <w:rsid w:val="1D8A3BDE"/>
    <w:rsid w:val="1D8B4327"/>
    <w:rsid w:val="1D8B447F"/>
    <w:rsid w:val="1D92081E"/>
    <w:rsid w:val="1D925491"/>
    <w:rsid w:val="1D93023A"/>
    <w:rsid w:val="1D93BFF6"/>
    <w:rsid w:val="1D963DAC"/>
    <w:rsid w:val="1D97A454"/>
    <w:rsid w:val="1D97EF6F"/>
    <w:rsid w:val="1D9B451E"/>
    <w:rsid w:val="1D9B7268"/>
    <w:rsid w:val="1D9E0BBC"/>
    <w:rsid w:val="1D9EFFFA"/>
    <w:rsid w:val="1DA5548E"/>
    <w:rsid w:val="1DA771A4"/>
    <w:rsid w:val="1DA7A3B2"/>
    <w:rsid w:val="1DA7FE00"/>
    <w:rsid w:val="1DA8C53B"/>
    <w:rsid w:val="1DACC6C4"/>
    <w:rsid w:val="1DB004D8"/>
    <w:rsid w:val="1DB131F5"/>
    <w:rsid w:val="1DB66B75"/>
    <w:rsid w:val="1DBE4D1E"/>
    <w:rsid w:val="1DBEA1A6"/>
    <w:rsid w:val="1DBEBA6B"/>
    <w:rsid w:val="1DBFBE05"/>
    <w:rsid w:val="1DC21C59"/>
    <w:rsid w:val="1DC29FDE"/>
    <w:rsid w:val="1DC527D4"/>
    <w:rsid w:val="1DC5A271"/>
    <w:rsid w:val="1DC5C072"/>
    <w:rsid w:val="1DC5E8A9"/>
    <w:rsid w:val="1DC73C36"/>
    <w:rsid w:val="1DC90480"/>
    <w:rsid w:val="1DC9113E"/>
    <w:rsid w:val="1DCC9143"/>
    <w:rsid w:val="1DCE8776"/>
    <w:rsid w:val="1DCE9310"/>
    <w:rsid w:val="1DCF2188"/>
    <w:rsid w:val="1DD2A72D"/>
    <w:rsid w:val="1DD62140"/>
    <w:rsid w:val="1DD64542"/>
    <w:rsid w:val="1DD658E8"/>
    <w:rsid w:val="1DD667FB"/>
    <w:rsid w:val="1DD86016"/>
    <w:rsid w:val="1DDA0F85"/>
    <w:rsid w:val="1DDB61F8"/>
    <w:rsid w:val="1DE0C02B"/>
    <w:rsid w:val="1DE19B5E"/>
    <w:rsid w:val="1DE329EA"/>
    <w:rsid w:val="1DE3459B"/>
    <w:rsid w:val="1DE350B1"/>
    <w:rsid w:val="1DE3A6F5"/>
    <w:rsid w:val="1DE5342E"/>
    <w:rsid w:val="1DE5A22B"/>
    <w:rsid w:val="1DE81AEA"/>
    <w:rsid w:val="1DEAA364"/>
    <w:rsid w:val="1DEB5FE8"/>
    <w:rsid w:val="1DEC8279"/>
    <w:rsid w:val="1DEEDDA5"/>
    <w:rsid w:val="1DEF128D"/>
    <w:rsid w:val="1DF39D29"/>
    <w:rsid w:val="1DF4CAB7"/>
    <w:rsid w:val="1DF77407"/>
    <w:rsid w:val="1DFC2C37"/>
    <w:rsid w:val="1DFE2638"/>
    <w:rsid w:val="1E016C51"/>
    <w:rsid w:val="1E01D82D"/>
    <w:rsid w:val="1E01E493"/>
    <w:rsid w:val="1E023121"/>
    <w:rsid w:val="1E040951"/>
    <w:rsid w:val="1E05B459"/>
    <w:rsid w:val="1E069B2F"/>
    <w:rsid w:val="1E06EBEC"/>
    <w:rsid w:val="1E08935E"/>
    <w:rsid w:val="1E0A2009"/>
    <w:rsid w:val="1E0B9E10"/>
    <w:rsid w:val="1E0D70B3"/>
    <w:rsid w:val="1E1374D2"/>
    <w:rsid w:val="1E140696"/>
    <w:rsid w:val="1E14DD02"/>
    <w:rsid w:val="1E168182"/>
    <w:rsid w:val="1E16C817"/>
    <w:rsid w:val="1E16EE80"/>
    <w:rsid w:val="1E17F779"/>
    <w:rsid w:val="1E18AA73"/>
    <w:rsid w:val="1E18D3D9"/>
    <w:rsid w:val="1E192DEE"/>
    <w:rsid w:val="1E1A4FBE"/>
    <w:rsid w:val="1E1BE38B"/>
    <w:rsid w:val="1E1C9513"/>
    <w:rsid w:val="1E1F08ED"/>
    <w:rsid w:val="1E1FC00A"/>
    <w:rsid w:val="1E203453"/>
    <w:rsid w:val="1E240818"/>
    <w:rsid w:val="1E256AF5"/>
    <w:rsid w:val="1E288425"/>
    <w:rsid w:val="1E28DDAA"/>
    <w:rsid w:val="1E294E0B"/>
    <w:rsid w:val="1E2A86DB"/>
    <w:rsid w:val="1E3062FA"/>
    <w:rsid w:val="1E31054C"/>
    <w:rsid w:val="1E358338"/>
    <w:rsid w:val="1E363B69"/>
    <w:rsid w:val="1E36A9BE"/>
    <w:rsid w:val="1E388CDE"/>
    <w:rsid w:val="1E38DD11"/>
    <w:rsid w:val="1E3B6B05"/>
    <w:rsid w:val="1E3E106E"/>
    <w:rsid w:val="1E40E191"/>
    <w:rsid w:val="1E48009E"/>
    <w:rsid w:val="1E4B2051"/>
    <w:rsid w:val="1E4E0883"/>
    <w:rsid w:val="1E4FE31A"/>
    <w:rsid w:val="1E504AD7"/>
    <w:rsid w:val="1E508167"/>
    <w:rsid w:val="1E513453"/>
    <w:rsid w:val="1E5251AA"/>
    <w:rsid w:val="1E529345"/>
    <w:rsid w:val="1E54E4DF"/>
    <w:rsid w:val="1E55401D"/>
    <w:rsid w:val="1E56AD8B"/>
    <w:rsid w:val="1E5763E7"/>
    <w:rsid w:val="1E58953C"/>
    <w:rsid w:val="1E58F220"/>
    <w:rsid w:val="1E592A51"/>
    <w:rsid w:val="1E59947D"/>
    <w:rsid w:val="1E5C3BB0"/>
    <w:rsid w:val="1E5CA2C9"/>
    <w:rsid w:val="1E5D08AB"/>
    <w:rsid w:val="1E5D363C"/>
    <w:rsid w:val="1E5F4369"/>
    <w:rsid w:val="1E6089C4"/>
    <w:rsid w:val="1E60C9D6"/>
    <w:rsid w:val="1E61DCD2"/>
    <w:rsid w:val="1E62CA5C"/>
    <w:rsid w:val="1E63B191"/>
    <w:rsid w:val="1E64FD86"/>
    <w:rsid w:val="1E65D490"/>
    <w:rsid w:val="1E67E671"/>
    <w:rsid w:val="1E698C7B"/>
    <w:rsid w:val="1E6AAA09"/>
    <w:rsid w:val="1E6BEC85"/>
    <w:rsid w:val="1E6CE0B3"/>
    <w:rsid w:val="1E6D0CF2"/>
    <w:rsid w:val="1E6F27CC"/>
    <w:rsid w:val="1E7065DA"/>
    <w:rsid w:val="1E707E7E"/>
    <w:rsid w:val="1E7472CF"/>
    <w:rsid w:val="1E770B5C"/>
    <w:rsid w:val="1E7922A6"/>
    <w:rsid w:val="1E7D0778"/>
    <w:rsid w:val="1E7ECE8D"/>
    <w:rsid w:val="1E833110"/>
    <w:rsid w:val="1E849E6E"/>
    <w:rsid w:val="1E880A11"/>
    <w:rsid w:val="1E88C5DC"/>
    <w:rsid w:val="1E8ACDB2"/>
    <w:rsid w:val="1E8AD0C0"/>
    <w:rsid w:val="1E8B4DD8"/>
    <w:rsid w:val="1E8D7112"/>
    <w:rsid w:val="1E8D8297"/>
    <w:rsid w:val="1E8D82C3"/>
    <w:rsid w:val="1E8D8CDA"/>
    <w:rsid w:val="1E8E840D"/>
    <w:rsid w:val="1E8F787E"/>
    <w:rsid w:val="1E90B47B"/>
    <w:rsid w:val="1E939EC4"/>
    <w:rsid w:val="1E954913"/>
    <w:rsid w:val="1E9612DC"/>
    <w:rsid w:val="1E971E01"/>
    <w:rsid w:val="1E977B65"/>
    <w:rsid w:val="1E9EEB27"/>
    <w:rsid w:val="1E9F6EB8"/>
    <w:rsid w:val="1E9F96AD"/>
    <w:rsid w:val="1EA2A0E5"/>
    <w:rsid w:val="1EA420BE"/>
    <w:rsid w:val="1EA55498"/>
    <w:rsid w:val="1EA5B045"/>
    <w:rsid w:val="1EA642E9"/>
    <w:rsid w:val="1EA6ABA7"/>
    <w:rsid w:val="1EA6F9DF"/>
    <w:rsid w:val="1EA81C6C"/>
    <w:rsid w:val="1EA9E017"/>
    <w:rsid w:val="1EAAE10E"/>
    <w:rsid w:val="1EAE718E"/>
    <w:rsid w:val="1EB06A1C"/>
    <w:rsid w:val="1EB2E704"/>
    <w:rsid w:val="1EB338E4"/>
    <w:rsid w:val="1EB3AB0E"/>
    <w:rsid w:val="1EB58F5A"/>
    <w:rsid w:val="1EB5DCBC"/>
    <w:rsid w:val="1EB6C5BF"/>
    <w:rsid w:val="1EB74B9D"/>
    <w:rsid w:val="1EB8E7D9"/>
    <w:rsid w:val="1EB9DC1D"/>
    <w:rsid w:val="1EBD3206"/>
    <w:rsid w:val="1EC0C3FE"/>
    <w:rsid w:val="1EC0FA59"/>
    <w:rsid w:val="1EC135EA"/>
    <w:rsid w:val="1EC2C4BB"/>
    <w:rsid w:val="1EC73CD9"/>
    <w:rsid w:val="1EC8666A"/>
    <w:rsid w:val="1ECE704F"/>
    <w:rsid w:val="1ECEAE94"/>
    <w:rsid w:val="1ED01A10"/>
    <w:rsid w:val="1ED0B6C9"/>
    <w:rsid w:val="1ED121CB"/>
    <w:rsid w:val="1ED1E373"/>
    <w:rsid w:val="1ED52EC2"/>
    <w:rsid w:val="1ED688CC"/>
    <w:rsid w:val="1ED7DFC5"/>
    <w:rsid w:val="1ED9EDB5"/>
    <w:rsid w:val="1EDB2FF2"/>
    <w:rsid w:val="1EDC3CA2"/>
    <w:rsid w:val="1EDCA9C8"/>
    <w:rsid w:val="1EDDF136"/>
    <w:rsid w:val="1EDF593E"/>
    <w:rsid w:val="1EE02995"/>
    <w:rsid w:val="1EE3D66E"/>
    <w:rsid w:val="1EE6251A"/>
    <w:rsid w:val="1EE96E18"/>
    <w:rsid w:val="1EEA6B03"/>
    <w:rsid w:val="1EEC43C3"/>
    <w:rsid w:val="1EF003B0"/>
    <w:rsid w:val="1EF135DB"/>
    <w:rsid w:val="1EF34B74"/>
    <w:rsid w:val="1EF3E21A"/>
    <w:rsid w:val="1EF425CB"/>
    <w:rsid w:val="1EF7387F"/>
    <w:rsid w:val="1EF7F712"/>
    <w:rsid w:val="1EF83197"/>
    <w:rsid w:val="1EFA3851"/>
    <w:rsid w:val="1EFCA21C"/>
    <w:rsid w:val="1EFD720C"/>
    <w:rsid w:val="1EFEB184"/>
    <w:rsid w:val="1EFF2A30"/>
    <w:rsid w:val="1F00DEB4"/>
    <w:rsid w:val="1F0116BB"/>
    <w:rsid w:val="1F015131"/>
    <w:rsid w:val="1F022FE6"/>
    <w:rsid w:val="1F088F03"/>
    <w:rsid w:val="1F08FC5A"/>
    <w:rsid w:val="1F097CA6"/>
    <w:rsid w:val="1F0AE1F4"/>
    <w:rsid w:val="1F0E0680"/>
    <w:rsid w:val="1F0E164D"/>
    <w:rsid w:val="1F135399"/>
    <w:rsid w:val="1F154EA8"/>
    <w:rsid w:val="1F189C78"/>
    <w:rsid w:val="1F18EE8F"/>
    <w:rsid w:val="1F1B8EB5"/>
    <w:rsid w:val="1F1C1ADB"/>
    <w:rsid w:val="1F1C1CBB"/>
    <w:rsid w:val="1F1D8F13"/>
    <w:rsid w:val="1F1DD96F"/>
    <w:rsid w:val="1F1DE74E"/>
    <w:rsid w:val="1F20AAB7"/>
    <w:rsid w:val="1F2185C8"/>
    <w:rsid w:val="1F231D5D"/>
    <w:rsid w:val="1F24F2C6"/>
    <w:rsid w:val="1F29425A"/>
    <w:rsid w:val="1F2C514F"/>
    <w:rsid w:val="1F2D8280"/>
    <w:rsid w:val="1F2D83A0"/>
    <w:rsid w:val="1F2EEF1F"/>
    <w:rsid w:val="1F31C545"/>
    <w:rsid w:val="1F31F27D"/>
    <w:rsid w:val="1F332F3E"/>
    <w:rsid w:val="1F33AFF9"/>
    <w:rsid w:val="1F35E3E9"/>
    <w:rsid w:val="1F375012"/>
    <w:rsid w:val="1F3D4C65"/>
    <w:rsid w:val="1F3E44D6"/>
    <w:rsid w:val="1F3E461D"/>
    <w:rsid w:val="1F42860A"/>
    <w:rsid w:val="1F431AA6"/>
    <w:rsid w:val="1F44D8FD"/>
    <w:rsid w:val="1F457494"/>
    <w:rsid w:val="1F45CE3D"/>
    <w:rsid w:val="1F475669"/>
    <w:rsid w:val="1F48506B"/>
    <w:rsid w:val="1F4A37B8"/>
    <w:rsid w:val="1F4A3C36"/>
    <w:rsid w:val="1F4A5743"/>
    <w:rsid w:val="1F4B3542"/>
    <w:rsid w:val="1F4B8E5A"/>
    <w:rsid w:val="1F4BE3BC"/>
    <w:rsid w:val="1F4E4DD6"/>
    <w:rsid w:val="1F52CDCF"/>
    <w:rsid w:val="1F533D54"/>
    <w:rsid w:val="1F5496E0"/>
    <w:rsid w:val="1F552936"/>
    <w:rsid w:val="1F559F9E"/>
    <w:rsid w:val="1F56B2C4"/>
    <w:rsid w:val="1F56F795"/>
    <w:rsid w:val="1F594761"/>
    <w:rsid w:val="1F596594"/>
    <w:rsid w:val="1F5B64F9"/>
    <w:rsid w:val="1F5DFEB5"/>
    <w:rsid w:val="1F5F2DC6"/>
    <w:rsid w:val="1F60093E"/>
    <w:rsid w:val="1F6046F7"/>
    <w:rsid w:val="1F60AC38"/>
    <w:rsid w:val="1F60D633"/>
    <w:rsid w:val="1F6145A5"/>
    <w:rsid w:val="1F61D932"/>
    <w:rsid w:val="1F62E10E"/>
    <w:rsid w:val="1F665537"/>
    <w:rsid w:val="1F681D3D"/>
    <w:rsid w:val="1F693248"/>
    <w:rsid w:val="1F696E4A"/>
    <w:rsid w:val="1F69AE51"/>
    <w:rsid w:val="1F6A6B84"/>
    <w:rsid w:val="1F6B238B"/>
    <w:rsid w:val="1F6BC8A6"/>
    <w:rsid w:val="1F6C8D43"/>
    <w:rsid w:val="1F6CB248"/>
    <w:rsid w:val="1F71F0EC"/>
    <w:rsid w:val="1F723596"/>
    <w:rsid w:val="1F72A58C"/>
    <w:rsid w:val="1F72D41D"/>
    <w:rsid w:val="1F732F77"/>
    <w:rsid w:val="1F761912"/>
    <w:rsid w:val="1F77E055"/>
    <w:rsid w:val="1F789C3F"/>
    <w:rsid w:val="1F7918C7"/>
    <w:rsid w:val="1F7B2542"/>
    <w:rsid w:val="1F7B856A"/>
    <w:rsid w:val="1F7C6BFD"/>
    <w:rsid w:val="1F7C99EE"/>
    <w:rsid w:val="1F7F49B1"/>
    <w:rsid w:val="1F812866"/>
    <w:rsid w:val="1F81635D"/>
    <w:rsid w:val="1F82DFE6"/>
    <w:rsid w:val="1F830D53"/>
    <w:rsid w:val="1F83254D"/>
    <w:rsid w:val="1F860F66"/>
    <w:rsid w:val="1F89EB34"/>
    <w:rsid w:val="1F8B181E"/>
    <w:rsid w:val="1F8B5024"/>
    <w:rsid w:val="1F8D7B24"/>
    <w:rsid w:val="1F8E466A"/>
    <w:rsid w:val="1F9018CE"/>
    <w:rsid w:val="1F915D08"/>
    <w:rsid w:val="1F949538"/>
    <w:rsid w:val="1F953AE1"/>
    <w:rsid w:val="1F98237E"/>
    <w:rsid w:val="1F9986D7"/>
    <w:rsid w:val="1F9A62C4"/>
    <w:rsid w:val="1F9D83E3"/>
    <w:rsid w:val="1FA07913"/>
    <w:rsid w:val="1FA1A8A9"/>
    <w:rsid w:val="1FA4B8B1"/>
    <w:rsid w:val="1FAA2195"/>
    <w:rsid w:val="1FAAA130"/>
    <w:rsid w:val="1FAAFD8B"/>
    <w:rsid w:val="1FAC9F78"/>
    <w:rsid w:val="1FAD0B70"/>
    <w:rsid w:val="1FAED3A3"/>
    <w:rsid w:val="1FAF42C8"/>
    <w:rsid w:val="1FB274BF"/>
    <w:rsid w:val="1FB3EA68"/>
    <w:rsid w:val="1FB44889"/>
    <w:rsid w:val="1FB47B67"/>
    <w:rsid w:val="1FB55658"/>
    <w:rsid w:val="1FB67B53"/>
    <w:rsid w:val="1FB9D043"/>
    <w:rsid w:val="1FBC5792"/>
    <w:rsid w:val="1FBF34A6"/>
    <w:rsid w:val="1FC0981F"/>
    <w:rsid w:val="1FC1E9B9"/>
    <w:rsid w:val="1FC2BABD"/>
    <w:rsid w:val="1FC87E02"/>
    <w:rsid w:val="1FC88835"/>
    <w:rsid w:val="1FC8A280"/>
    <w:rsid w:val="1FC93B81"/>
    <w:rsid w:val="1FCBA5ED"/>
    <w:rsid w:val="1FCE3257"/>
    <w:rsid w:val="1FCE77AF"/>
    <w:rsid w:val="1FCEB0EE"/>
    <w:rsid w:val="1FCF84F1"/>
    <w:rsid w:val="1FD10112"/>
    <w:rsid w:val="1FD3F637"/>
    <w:rsid w:val="1FD57B52"/>
    <w:rsid w:val="1FD69F13"/>
    <w:rsid w:val="1FD6E71A"/>
    <w:rsid w:val="1FD93101"/>
    <w:rsid w:val="1FD9FE11"/>
    <w:rsid w:val="1FDAA9FE"/>
    <w:rsid w:val="1FDB6EA4"/>
    <w:rsid w:val="1FDC5D1D"/>
    <w:rsid w:val="1FDD7AD8"/>
    <w:rsid w:val="1FDE9AC5"/>
    <w:rsid w:val="1FDF6C2E"/>
    <w:rsid w:val="1FDF86AD"/>
    <w:rsid w:val="1FE0DF87"/>
    <w:rsid w:val="1FE23D8A"/>
    <w:rsid w:val="1FE24FE1"/>
    <w:rsid w:val="1FE2D578"/>
    <w:rsid w:val="1FE5F1C4"/>
    <w:rsid w:val="1FE71B14"/>
    <w:rsid w:val="1FE7ADA2"/>
    <w:rsid w:val="1FEA1638"/>
    <w:rsid w:val="1FEA3A87"/>
    <w:rsid w:val="1FEA819D"/>
    <w:rsid w:val="1FEAFB9A"/>
    <w:rsid w:val="1FED9382"/>
    <w:rsid w:val="1FEDED2D"/>
    <w:rsid w:val="1FEED888"/>
    <w:rsid w:val="1FEF0FF4"/>
    <w:rsid w:val="1FF292BF"/>
    <w:rsid w:val="1FF39EAA"/>
    <w:rsid w:val="1FF5BADB"/>
    <w:rsid w:val="1FF622FB"/>
    <w:rsid w:val="1FF654F5"/>
    <w:rsid w:val="1FF66909"/>
    <w:rsid w:val="1FF6B3B6"/>
    <w:rsid w:val="1FF8C0CE"/>
    <w:rsid w:val="1FFA05A8"/>
    <w:rsid w:val="1FFA3513"/>
    <w:rsid w:val="1FFBC39E"/>
    <w:rsid w:val="1FFBE345"/>
    <w:rsid w:val="1FFD637B"/>
    <w:rsid w:val="1FFDC5DC"/>
    <w:rsid w:val="1FFE0E44"/>
    <w:rsid w:val="1FFF1640"/>
    <w:rsid w:val="1FFFE1EA"/>
    <w:rsid w:val="20001904"/>
    <w:rsid w:val="2000D17B"/>
    <w:rsid w:val="200212C2"/>
    <w:rsid w:val="2002262D"/>
    <w:rsid w:val="20032F3B"/>
    <w:rsid w:val="200398B3"/>
    <w:rsid w:val="200540B5"/>
    <w:rsid w:val="200B286C"/>
    <w:rsid w:val="200B8DE7"/>
    <w:rsid w:val="200BAD16"/>
    <w:rsid w:val="200C15A4"/>
    <w:rsid w:val="20102231"/>
    <w:rsid w:val="2010A34E"/>
    <w:rsid w:val="2014D59B"/>
    <w:rsid w:val="2016DE6F"/>
    <w:rsid w:val="2018F95B"/>
    <w:rsid w:val="2019A9FF"/>
    <w:rsid w:val="201C0501"/>
    <w:rsid w:val="201DAE0D"/>
    <w:rsid w:val="201DB822"/>
    <w:rsid w:val="201EB4A8"/>
    <w:rsid w:val="2020FC7A"/>
    <w:rsid w:val="20244F92"/>
    <w:rsid w:val="2025FF7B"/>
    <w:rsid w:val="20262AEE"/>
    <w:rsid w:val="2026B793"/>
    <w:rsid w:val="20291561"/>
    <w:rsid w:val="20292A8D"/>
    <w:rsid w:val="202B20CC"/>
    <w:rsid w:val="202C94CA"/>
    <w:rsid w:val="2034431F"/>
    <w:rsid w:val="2036E4CD"/>
    <w:rsid w:val="20372334"/>
    <w:rsid w:val="203B48EC"/>
    <w:rsid w:val="203CFF70"/>
    <w:rsid w:val="203DE2CE"/>
    <w:rsid w:val="204360E3"/>
    <w:rsid w:val="2044AAB9"/>
    <w:rsid w:val="2047653E"/>
    <w:rsid w:val="2048037C"/>
    <w:rsid w:val="2049C107"/>
    <w:rsid w:val="204AA220"/>
    <w:rsid w:val="204C31A2"/>
    <w:rsid w:val="204E61A0"/>
    <w:rsid w:val="204E9C53"/>
    <w:rsid w:val="204FFBE7"/>
    <w:rsid w:val="20514D95"/>
    <w:rsid w:val="20530C04"/>
    <w:rsid w:val="20532CAB"/>
    <w:rsid w:val="20543A90"/>
    <w:rsid w:val="205462E2"/>
    <w:rsid w:val="2055D0B7"/>
    <w:rsid w:val="205A6C94"/>
    <w:rsid w:val="205ADBC0"/>
    <w:rsid w:val="205B9B93"/>
    <w:rsid w:val="205CEA09"/>
    <w:rsid w:val="205DC448"/>
    <w:rsid w:val="205DDEE9"/>
    <w:rsid w:val="205E4103"/>
    <w:rsid w:val="205EF80C"/>
    <w:rsid w:val="205F577B"/>
    <w:rsid w:val="205F598A"/>
    <w:rsid w:val="20633318"/>
    <w:rsid w:val="20637053"/>
    <w:rsid w:val="20639C2C"/>
    <w:rsid w:val="206A0BBC"/>
    <w:rsid w:val="206CED1F"/>
    <w:rsid w:val="206CF7F0"/>
    <w:rsid w:val="2071079D"/>
    <w:rsid w:val="207675BC"/>
    <w:rsid w:val="2077465E"/>
    <w:rsid w:val="2077B233"/>
    <w:rsid w:val="2078CBAB"/>
    <w:rsid w:val="207990F2"/>
    <w:rsid w:val="207D9703"/>
    <w:rsid w:val="2080A12F"/>
    <w:rsid w:val="20837882"/>
    <w:rsid w:val="2086B176"/>
    <w:rsid w:val="20880031"/>
    <w:rsid w:val="2088A160"/>
    <w:rsid w:val="208A5732"/>
    <w:rsid w:val="208AF4EB"/>
    <w:rsid w:val="208CE7CC"/>
    <w:rsid w:val="208E02CF"/>
    <w:rsid w:val="208E479D"/>
    <w:rsid w:val="20972721"/>
    <w:rsid w:val="2098EE2A"/>
    <w:rsid w:val="209A29C9"/>
    <w:rsid w:val="209AF240"/>
    <w:rsid w:val="209BD627"/>
    <w:rsid w:val="209C4142"/>
    <w:rsid w:val="209CEE23"/>
    <w:rsid w:val="20A0FFC9"/>
    <w:rsid w:val="20A218C4"/>
    <w:rsid w:val="20A2510C"/>
    <w:rsid w:val="20A25594"/>
    <w:rsid w:val="20A40816"/>
    <w:rsid w:val="20A427ED"/>
    <w:rsid w:val="20A43A01"/>
    <w:rsid w:val="20A85DE4"/>
    <w:rsid w:val="20A8EA92"/>
    <w:rsid w:val="20AB5424"/>
    <w:rsid w:val="20AC6C65"/>
    <w:rsid w:val="20AD89FE"/>
    <w:rsid w:val="20AF4EEB"/>
    <w:rsid w:val="20B532BD"/>
    <w:rsid w:val="20B7D90F"/>
    <w:rsid w:val="20B8B668"/>
    <w:rsid w:val="20BC7329"/>
    <w:rsid w:val="20BCA601"/>
    <w:rsid w:val="20BCCA63"/>
    <w:rsid w:val="20BD9D3A"/>
    <w:rsid w:val="20BDFAED"/>
    <w:rsid w:val="20C0395D"/>
    <w:rsid w:val="20C22248"/>
    <w:rsid w:val="20C2B941"/>
    <w:rsid w:val="20C68C39"/>
    <w:rsid w:val="20C71F04"/>
    <w:rsid w:val="20CC3EA9"/>
    <w:rsid w:val="20CC8E29"/>
    <w:rsid w:val="20CD2FE6"/>
    <w:rsid w:val="20CE75F2"/>
    <w:rsid w:val="20CF000A"/>
    <w:rsid w:val="20D20F98"/>
    <w:rsid w:val="20D36CB4"/>
    <w:rsid w:val="20D4A036"/>
    <w:rsid w:val="20D4E19E"/>
    <w:rsid w:val="20D5ADDC"/>
    <w:rsid w:val="20D5BB7B"/>
    <w:rsid w:val="20D6226F"/>
    <w:rsid w:val="20D7CAD1"/>
    <w:rsid w:val="20D88A14"/>
    <w:rsid w:val="20DB7846"/>
    <w:rsid w:val="20DC9F9D"/>
    <w:rsid w:val="20DDE264"/>
    <w:rsid w:val="20DE87D1"/>
    <w:rsid w:val="20DED941"/>
    <w:rsid w:val="20E242F3"/>
    <w:rsid w:val="20E43580"/>
    <w:rsid w:val="20E4FE44"/>
    <w:rsid w:val="20E6E7DC"/>
    <w:rsid w:val="20E887C9"/>
    <w:rsid w:val="20E9C14C"/>
    <w:rsid w:val="20EAB29F"/>
    <w:rsid w:val="20F10235"/>
    <w:rsid w:val="20F2108A"/>
    <w:rsid w:val="20F4D65F"/>
    <w:rsid w:val="20F5FF4A"/>
    <w:rsid w:val="20F8B049"/>
    <w:rsid w:val="20F9FECA"/>
    <w:rsid w:val="20FCF606"/>
    <w:rsid w:val="20FF308E"/>
    <w:rsid w:val="20FF98F7"/>
    <w:rsid w:val="20FFAFB1"/>
    <w:rsid w:val="21012B84"/>
    <w:rsid w:val="2103565C"/>
    <w:rsid w:val="21063421"/>
    <w:rsid w:val="2107FBD4"/>
    <w:rsid w:val="210962FF"/>
    <w:rsid w:val="210AA1E4"/>
    <w:rsid w:val="210C796D"/>
    <w:rsid w:val="210D4F4A"/>
    <w:rsid w:val="210E8E22"/>
    <w:rsid w:val="2111121F"/>
    <w:rsid w:val="21128EEB"/>
    <w:rsid w:val="2113289A"/>
    <w:rsid w:val="2113E48E"/>
    <w:rsid w:val="2114CF8C"/>
    <w:rsid w:val="2118337C"/>
    <w:rsid w:val="211AB4FD"/>
    <w:rsid w:val="211AF568"/>
    <w:rsid w:val="211C1573"/>
    <w:rsid w:val="211DDD22"/>
    <w:rsid w:val="211E0E2B"/>
    <w:rsid w:val="211F34DC"/>
    <w:rsid w:val="21218157"/>
    <w:rsid w:val="2128F1F8"/>
    <w:rsid w:val="212935BE"/>
    <w:rsid w:val="2129BC4E"/>
    <w:rsid w:val="212AA33E"/>
    <w:rsid w:val="212B6308"/>
    <w:rsid w:val="212D8793"/>
    <w:rsid w:val="212D960C"/>
    <w:rsid w:val="212E4093"/>
    <w:rsid w:val="212F09EC"/>
    <w:rsid w:val="212F3EB6"/>
    <w:rsid w:val="212F9F2B"/>
    <w:rsid w:val="212FB09F"/>
    <w:rsid w:val="213034E4"/>
    <w:rsid w:val="213111F5"/>
    <w:rsid w:val="21312174"/>
    <w:rsid w:val="2131D2AA"/>
    <w:rsid w:val="21350D33"/>
    <w:rsid w:val="2135D4A2"/>
    <w:rsid w:val="2138BCDF"/>
    <w:rsid w:val="213BF00C"/>
    <w:rsid w:val="213E9356"/>
    <w:rsid w:val="2140D9FA"/>
    <w:rsid w:val="2141A56A"/>
    <w:rsid w:val="21446E2E"/>
    <w:rsid w:val="2146C498"/>
    <w:rsid w:val="214952D7"/>
    <w:rsid w:val="214A5770"/>
    <w:rsid w:val="214AEFE4"/>
    <w:rsid w:val="214BC434"/>
    <w:rsid w:val="21518AA7"/>
    <w:rsid w:val="21526B26"/>
    <w:rsid w:val="215401B9"/>
    <w:rsid w:val="21563DE6"/>
    <w:rsid w:val="215700BB"/>
    <w:rsid w:val="2159F578"/>
    <w:rsid w:val="215A0199"/>
    <w:rsid w:val="215B344E"/>
    <w:rsid w:val="215CBF3A"/>
    <w:rsid w:val="215CE194"/>
    <w:rsid w:val="215D4249"/>
    <w:rsid w:val="215ED1C4"/>
    <w:rsid w:val="215F0B00"/>
    <w:rsid w:val="215F902B"/>
    <w:rsid w:val="2162277A"/>
    <w:rsid w:val="21648A22"/>
    <w:rsid w:val="216A27E2"/>
    <w:rsid w:val="216A44DA"/>
    <w:rsid w:val="216A5846"/>
    <w:rsid w:val="216AE0D5"/>
    <w:rsid w:val="216F01C7"/>
    <w:rsid w:val="216FD18D"/>
    <w:rsid w:val="2171443F"/>
    <w:rsid w:val="2174ED31"/>
    <w:rsid w:val="217737EC"/>
    <w:rsid w:val="2178726D"/>
    <w:rsid w:val="21787420"/>
    <w:rsid w:val="2178F3B5"/>
    <w:rsid w:val="217B0988"/>
    <w:rsid w:val="217D9522"/>
    <w:rsid w:val="217F898C"/>
    <w:rsid w:val="21833295"/>
    <w:rsid w:val="21836226"/>
    <w:rsid w:val="21844A07"/>
    <w:rsid w:val="2186EE20"/>
    <w:rsid w:val="218A1BD8"/>
    <w:rsid w:val="218EDBBF"/>
    <w:rsid w:val="2192C02A"/>
    <w:rsid w:val="21934C77"/>
    <w:rsid w:val="21939F18"/>
    <w:rsid w:val="21942306"/>
    <w:rsid w:val="219506E0"/>
    <w:rsid w:val="21982C4D"/>
    <w:rsid w:val="2198D9A6"/>
    <w:rsid w:val="219BB8C8"/>
    <w:rsid w:val="21A595E6"/>
    <w:rsid w:val="21A5A54F"/>
    <w:rsid w:val="21A60DEA"/>
    <w:rsid w:val="21A9DCA8"/>
    <w:rsid w:val="21ABD190"/>
    <w:rsid w:val="21ACF3FD"/>
    <w:rsid w:val="21AFE87B"/>
    <w:rsid w:val="21B2565F"/>
    <w:rsid w:val="21B29AF7"/>
    <w:rsid w:val="21B2E9EC"/>
    <w:rsid w:val="21B305CB"/>
    <w:rsid w:val="21B37EC9"/>
    <w:rsid w:val="21B47E2C"/>
    <w:rsid w:val="21B4D4E9"/>
    <w:rsid w:val="21B641E4"/>
    <w:rsid w:val="21BA944A"/>
    <w:rsid w:val="21BC30EF"/>
    <w:rsid w:val="21BC7959"/>
    <w:rsid w:val="21BCD32D"/>
    <w:rsid w:val="21BD0DA7"/>
    <w:rsid w:val="21BE31E2"/>
    <w:rsid w:val="21BE3685"/>
    <w:rsid w:val="21BF6162"/>
    <w:rsid w:val="21C24D16"/>
    <w:rsid w:val="21C28D72"/>
    <w:rsid w:val="21C70390"/>
    <w:rsid w:val="21C74B4B"/>
    <w:rsid w:val="21C75956"/>
    <w:rsid w:val="21C78548"/>
    <w:rsid w:val="21C9BFED"/>
    <w:rsid w:val="21C9ECAF"/>
    <w:rsid w:val="21CBE2AA"/>
    <w:rsid w:val="21CBEFDD"/>
    <w:rsid w:val="21CC1867"/>
    <w:rsid w:val="21CE5626"/>
    <w:rsid w:val="21CF4F74"/>
    <w:rsid w:val="21D0A294"/>
    <w:rsid w:val="21D12FDB"/>
    <w:rsid w:val="21D252AB"/>
    <w:rsid w:val="21D38BA7"/>
    <w:rsid w:val="21D5044B"/>
    <w:rsid w:val="21D53C5B"/>
    <w:rsid w:val="21D64248"/>
    <w:rsid w:val="21D67CD1"/>
    <w:rsid w:val="21D6EC1E"/>
    <w:rsid w:val="21DC1E3C"/>
    <w:rsid w:val="21E0B431"/>
    <w:rsid w:val="21E0D001"/>
    <w:rsid w:val="21E2E258"/>
    <w:rsid w:val="21E3F6F5"/>
    <w:rsid w:val="21E8012B"/>
    <w:rsid w:val="21E97083"/>
    <w:rsid w:val="21EA9F4B"/>
    <w:rsid w:val="21EAC849"/>
    <w:rsid w:val="21ECE741"/>
    <w:rsid w:val="21ED5F61"/>
    <w:rsid w:val="21F29BC2"/>
    <w:rsid w:val="21F2D40C"/>
    <w:rsid w:val="21F573A0"/>
    <w:rsid w:val="21F59E4E"/>
    <w:rsid w:val="21F612EE"/>
    <w:rsid w:val="21F73E6C"/>
    <w:rsid w:val="21FA7287"/>
    <w:rsid w:val="21FAFE5C"/>
    <w:rsid w:val="21FB3DBD"/>
    <w:rsid w:val="21FC2C21"/>
    <w:rsid w:val="21FCBDF6"/>
    <w:rsid w:val="21FE597F"/>
    <w:rsid w:val="21FF3584"/>
    <w:rsid w:val="21FF86DD"/>
    <w:rsid w:val="22002433"/>
    <w:rsid w:val="2201CE5A"/>
    <w:rsid w:val="220220A8"/>
    <w:rsid w:val="2204117A"/>
    <w:rsid w:val="22056E14"/>
    <w:rsid w:val="2206EBD7"/>
    <w:rsid w:val="22083128"/>
    <w:rsid w:val="2209ED79"/>
    <w:rsid w:val="220A0029"/>
    <w:rsid w:val="220ABB38"/>
    <w:rsid w:val="220D4324"/>
    <w:rsid w:val="220DCE06"/>
    <w:rsid w:val="220E475B"/>
    <w:rsid w:val="221084AC"/>
    <w:rsid w:val="2210EF3C"/>
    <w:rsid w:val="2212B045"/>
    <w:rsid w:val="2212D448"/>
    <w:rsid w:val="22146D5E"/>
    <w:rsid w:val="2214B34E"/>
    <w:rsid w:val="2215720C"/>
    <w:rsid w:val="2217DFDF"/>
    <w:rsid w:val="221814AD"/>
    <w:rsid w:val="22188F5A"/>
    <w:rsid w:val="2219F6BC"/>
    <w:rsid w:val="221A14EC"/>
    <w:rsid w:val="221A2D5C"/>
    <w:rsid w:val="221BFC09"/>
    <w:rsid w:val="221FE417"/>
    <w:rsid w:val="2221985A"/>
    <w:rsid w:val="2223623D"/>
    <w:rsid w:val="2223A9DF"/>
    <w:rsid w:val="22242662"/>
    <w:rsid w:val="22247FAD"/>
    <w:rsid w:val="222B31A6"/>
    <w:rsid w:val="222CEF6C"/>
    <w:rsid w:val="222CF9EA"/>
    <w:rsid w:val="222F4AD9"/>
    <w:rsid w:val="22310FB1"/>
    <w:rsid w:val="2231D873"/>
    <w:rsid w:val="2232438D"/>
    <w:rsid w:val="2234C7C2"/>
    <w:rsid w:val="2235C433"/>
    <w:rsid w:val="223A0B14"/>
    <w:rsid w:val="223B15C5"/>
    <w:rsid w:val="223B668E"/>
    <w:rsid w:val="223D04AA"/>
    <w:rsid w:val="22403E72"/>
    <w:rsid w:val="22404565"/>
    <w:rsid w:val="2240A6DE"/>
    <w:rsid w:val="22427C74"/>
    <w:rsid w:val="2242B6B6"/>
    <w:rsid w:val="22433ECF"/>
    <w:rsid w:val="22444FCC"/>
    <w:rsid w:val="22461CEA"/>
    <w:rsid w:val="2248EAB0"/>
    <w:rsid w:val="224CE8FE"/>
    <w:rsid w:val="224DA527"/>
    <w:rsid w:val="224F65DE"/>
    <w:rsid w:val="22504540"/>
    <w:rsid w:val="2252E9B0"/>
    <w:rsid w:val="2253155B"/>
    <w:rsid w:val="22560EBD"/>
    <w:rsid w:val="225B7093"/>
    <w:rsid w:val="225C4171"/>
    <w:rsid w:val="225C4ACE"/>
    <w:rsid w:val="225DDF97"/>
    <w:rsid w:val="225EBC7A"/>
    <w:rsid w:val="22624E6C"/>
    <w:rsid w:val="22626E31"/>
    <w:rsid w:val="2266EBD2"/>
    <w:rsid w:val="2267DDE2"/>
    <w:rsid w:val="22680186"/>
    <w:rsid w:val="226B8B72"/>
    <w:rsid w:val="226C9A64"/>
    <w:rsid w:val="226CF6AE"/>
    <w:rsid w:val="226F7ED8"/>
    <w:rsid w:val="2271C95A"/>
    <w:rsid w:val="2275310D"/>
    <w:rsid w:val="2275A8EA"/>
    <w:rsid w:val="2279728B"/>
    <w:rsid w:val="227AEB71"/>
    <w:rsid w:val="227DFDF8"/>
    <w:rsid w:val="227E06D3"/>
    <w:rsid w:val="22818756"/>
    <w:rsid w:val="2282B81C"/>
    <w:rsid w:val="2283189C"/>
    <w:rsid w:val="22837754"/>
    <w:rsid w:val="2284AE9C"/>
    <w:rsid w:val="228626A5"/>
    <w:rsid w:val="228A5541"/>
    <w:rsid w:val="228ABCD2"/>
    <w:rsid w:val="228B8A37"/>
    <w:rsid w:val="228C614A"/>
    <w:rsid w:val="228DA39F"/>
    <w:rsid w:val="228FB349"/>
    <w:rsid w:val="22919740"/>
    <w:rsid w:val="22919DA5"/>
    <w:rsid w:val="22929498"/>
    <w:rsid w:val="2292DB84"/>
    <w:rsid w:val="22953ED0"/>
    <w:rsid w:val="2295C227"/>
    <w:rsid w:val="229A0AAD"/>
    <w:rsid w:val="229C8A8B"/>
    <w:rsid w:val="229D5F8E"/>
    <w:rsid w:val="229EE860"/>
    <w:rsid w:val="22A28EC7"/>
    <w:rsid w:val="22A5DDC3"/>
    <w:rsid w:val="22A5E448"/>
    <w:rsid w:val="22A6FE9E"/>
    <w:rsid w:val="22A8E337"/>
    <w:rsid w:val="22AA8D56"/>
    <w:rsid w:val="22AE136D"/>
    <w:rsid w:val="22B0BBAD"/>
    <w:rsid w:val="22B5347A"/>
    <w:rsid w:val="22B5D0D9"/>
    <w:rsid w:val="22B67853"/>
    <w:rsid w:val="22B7109C"/>
    <w:rsid w:val="22B81412"/>
    <w:rsid w:val="22B9D0DE"/>
    <w:rsid w:val="22BFD286"/>
    <w:rsid w:val="22C03BB5"/>
    <w:rsid w:val="22C0EC49"/>
    <w:rsid w:val="22C2363E"/>
    <w:rsid w:val="22C2D40F"/>
    <w:rsid w:val="22C3B3AB"/>
    <w:rsid w:val="22C62C30"/>
    <w:rsid w:val="22C6F451"/>
    <w:rsid w:val="22C70D5B"/>
    <w:rsid w:val="22C7455B"/>
    <w:rsid w:val="22C76BEC"/>
    <w:rsid w:val="22CAB236"/>
    <w:rsid w:val="22CBBF5A"/>
    <w:rsid w:val="22CBDD73"/>
    <w:rsid w:val="22CCACBF"/>
    <w:rsid w:val="22CF81D2"/>
    <w:rsid w:val="22D09B7D"/>
    <w:rsid w:val="22D4F90F"/>
    <w:rsid w:val="22D65FED"/>
    <w:rsid w:val="22D66D40"/>
    <w:rsid w:val="22D6ACCB"/>
    <w:rsid w:val="22D78545"/>
    <w:rsid w:val="22D8537D"/>
    <w:rsid w:val="22D90728"/>
    <w:rsid w:val="22D957AF"/>
    <w:rsid w:val="22D96EC6"/>
    <w:rsid w:val="22D97B5A"/>
    <w:rsid w:val="22DAE9DB"/>
    <w:rsid w:val="22DD8ECA"/>
    <w:rsid w:val="22DDE3BC"/>
    <w:rsid w:val="22DE455D"/>
    <w:rsid w:val="22E111C9"/>
    <w:rsid w:val="22E1F697"/>
    <w:rsid w:val="22E23A77"/>
    <w:rsid w:val="22E33A1E"/>
    <w:rsid w:val="22E4E9D7"/>
    <w:rsid w:val="22E781AF"/>
    <w:rsid w:val="22E8D221"/>
    <w:rsid w:val="22EC0C25"/>
    <w:rsid w:val="22EE2D7F"/>
    <w:rsid w:val="22F0849F"/>
    <w:rsid w:val="22F08F6F"/>
    <w:rsid w:val="22F2350F"/>
    <w:rsid w:val="22F4AB92"/>
    <w:rsid w:val="22F51D2E"/>
    <w:rsid w:val="22F9874B"/>
    <w:rsid w:val="22FA5894"/>
    <w:rsid w:val="22FA9D89"/>
    <w:rsid w:val="22FAA6A2"/>
    <w:rsid w:val="22FC0C68"/>
    <w:rsid w:val="22FC6DC4"/>
    <w:rsid w:val="22FD209E"/>
    <w:rsid w:val="22FD6EC7"/>
    <w:rsid w:val="22FD725C"/>
    <w:rsid w:val="22FE75B1"/>
    <w:rsid w:val="22FF412C"/>
    <w:rsid w:val="230005A7"/>
    <w:rsid w:val="23013E32"/>
    <w:rsid w:val="2301E816"/>
    <w:rsid w:val="230549DC"/>
    <w:rsid w:val="2305AF6E"/>
    <w:rsid w:val="2306193E"/>
    <w:rsid w:val="23072412"/>
    <w:rsid w:val="23081050"/>
    <w:rsid w:val="23086C66"/>
    <w:rsid w:val="2309A0D4"/>
    <w:rsid w:val="230A93DE"/>
    <w:rsid w:val="230ADA40"/>
    <w:rsid w:val="230CFF32"/>
    <w:rsid w:val="230EE3A8"/>
    <w:rsid w:val="230FA34F"/>
    <w:rsid w:val="23121F6F"/>
    <w:rsid w:val="2314AF70"/>
    <w:rsid w:val="2314DA6F"/>
    <w:rsid w:val="2314F661"/>
    <w:rsid w:val="2316EFB0"/>
    <w:rsid w:val="23180318"/>
    <w:rsid w:val="2319579B"/>
    <w:rsid w:val="23199921"/>
    <w:rsid w:val="2319A977"/>
    <w:rsid w:val="231A1A4D"/>
    <w:rsid w:val="231B080C"/>
    <w:rsid w:val="231E0F6C"/>
    <w:rsid w:val="2321900F"/>
    <w:rsid w:val="23231C31"/>
    <w:rsid w:val="23236FDB"/>
    <w:rsid w:val="2325AF6E"/>
    <w:rsid w:val="2326B241"/>
    <w:rsid w:val="232719A0"/>
    <w:rsid w:val="23274CC6"/>
    <w:rsid w:val="23278376"/>
    <w:rsid w:val="2327CF64"/>
    <w:rsid w:val="2328B98B"/>
    <w:rsid w:val="232AF4E4"/>
    <w:rsid w:val="232E0E7F"/>
    <w:rsid w:val="232F8CCD"/>
    <w:rsid w:val="2331E70D"/>
    <w:rsid w:val="23364157"/>
    <w:rsid w:val="2338C6E6"/>
    <w:rsid w:val="233CE12D"/>
    <w:rsid w:val="233DF9B0"/>
    <w:rsid w:val="234038C0"/>
    <w:rsid w:val="23403FCF"/>
    <w:rsid w:val="2340FAF7"/>
    <w:rsid w:val="23421223"/>
    <w:rsid w:val="234635BF"/>
    <w:rsid w:val="2346BDF4"/>
    <w:rsid w:val="2349298F"/>
    <w:rsid w:val="2349391E"/>
    <w:rsid w:val="234AC0B8"/>
    <w:rsid w:val="234CCE07"/>
    <w:rsid w:val="234D067E"/>
    <w:rsid w:val="234D41E0"/>
    <w:rsid w:val="234D6874"/>
    <w:rsid w:val="234EA9AC"/>
    <w:rsid w:val="234F34A2"/>
    <w:rsid w:val="23503B0D"/>
    <w:rsid w:val="235266E7"/>
    <w:rsid w:val="235295B2"/>
    <w:rsid w:val="2355E287"/>
    <w:rsid w:val="23563718"/>
    <w:rsid w:val="23563DDE"/>
    <w:rsid w:val="2356C155"/>
    <w:rsid w:val="2356D956"/>
    <w:rsid w:val="23573309"/>
    <w:rsid w:val="235A50A3"/>
    <w:rsid w:val="235DBE1A"/>
    <w:rsid w:val="235F98F2"/>
    <w:rsid w:val="2362137E"/>
    <w:rsid w:val="23650A29"/>
    <w:rsid w:val="2367A612"/>
    <w:rsid w:val="23680C05"/>
    <w:rsid w:val="2368758D"/>
    <w:rsid w:val="2369FA3E"/>
    <w:rsid w:val="236BF33C"/>
    <w:rsid w:val="236E5EB8"/>
    <w:rsid w:val="236ED287"/>
    <w:rsid w:val="236F719B"/>
    <w:rsid w:val="23715062"/>
    <w:rsid w:val="2375CAEC"/>
    <w:rsid w:val="23786F4A"/>
    <w:rsid w:val="2379853B"/>
    <w:rsid w:val="237CCA0D"/>
    <w:rsid w:val="237D9D06"/>
    <w:rsid w:val="2384C21C"/>
    <w:rsid w:val="238A4EF7"/>
    <w:rsid w:val="238AA06F"/>
    <w:rsid w:val="2392D1D5"/>
    <w:rsid w:val="2394F635"/>
    <w:rsid w:val="2398E164"/>
    <w:rsid w:val="239B16FF"/>
    <w:rsid w:val="239B8B31"/>
    <w:rsid w:val="239C429A"/>
    <w:rsid w:val="239CEED4"/>
    <w:rsid w:val="239DC039"/>
    <w:rsid w:val="239E79A1"/>
    <w:rsid w:val="239E9659"/>
    <w:rsid w:val="23A01119"/>
    <w:rsid w:val="23A12709"/>
    <w:rsid w:val="23A3FB97"/>
    <w:rsid w:val="23A88592"/>
    <w:rsid w:val="23AA7B21"/>
    <w:rsid w:val="23AD0576"/>
    <w:rsid w:val="23ADA076"/>
    <w:rsid w:val="23AEE809"/>
    <w:rsid w:val="23AF7FB1"/>
    <w:rsid w:val="23B19E25"/>
    <w:rsid w:val="23B2B013"/>
    <w:rsid w:val="23B48DF2"/>
    <w:rsid w:val="23B5CB52"/>
    <w:rsid w:val="23B5DAB9"/>
    <w:rsid w:val="23B733F0"/>
    <w:rsid w:val="23B9C36C"/>
    <w:rsid w:val="23BA38B7"/>
    <w:rsid w:val="23BD89CE"/>
    <w:rsid w:val="23BDA114"/>
    <w:rsid w:val="23BDF344"/>
    <w:rsid w:val="23C00273"/>
    <w:rsid w:val="23C24DDC"/>
    <w:rsid w:val="23C27A6C"/>
    <w:rsid w:val="23C2B33C"/>
    <w:rsid w:val="23C51904"/>
    <w:rsid w:val="23C576A1"/>
    <w:rsid w:val="23C6186D"/>
    <w:rsid w:val="23C6498D"/>
    <w:rsid w:val="23C7111D"/>
    <w:rsid w:val="23C73FA9"/>
    <w:rsid w:val="23C9BF8E"/>
    <w:rsid w:val="23CB54A2"/>
    <w:rsid w:val="23CB94F9"/>
    <w:rsid w:val="23CEFDD3"/>
    <w:rsid w:val="23D32F15"/>
    <w:rsid w:val="23D5620B"/>
    <w:rsid w:val="23D5BD96"/>
    <w:rsid w:val="23D66A5E"/>
    <w:rsid w:val="23D70AFD"/>
    <w:rsid w:val="23D72068"/>
    <w:rsid w:val="23D7743C"/>
    <w:rsid w:val="23D7F386"/>
    <w:rsid w:val="23D91124"/>
    <w:rsid w:val="23D9B16C"/>
    <w:rsid w:val="23D9C1A0"/>
    <w:rsid w:val="23DBB965"/>
    <w:rsid w:val="23DDDF4B"/>
    <w:rsid w:val="23DDEE35"/>
    <w:rsid w:val="23DE1AA6"/>
    <w:rsid w:val="23E228D8"/>
    <w:rsid w:val="23E25B34"/>
    <w:rsid w:val="23E34AFA"/>
    <w:rsid w:val="23E3B35E"/>
    <w:rsid w:val="23E3E915"/>
    <w:rsid w:val="23E48ED8"/>
    <w:rsid w:val="23E5837D"/>
    <w:rsid w:val="23E802AB"/>
    <w:rsid w:val="23E80B57"/>
    <w:rsid w:val="23E92A51"/>
    <w:rsid w:val="23EE7422"/>
    <w:rsid w:val="23EE9E99"/>
    <w:rsid w:val="23F47816"/>
    <w:rsid w:val="23F4B07F"/>
    <w:rsid w:val="23F4B325"/>
    <w:rsid w:val="23F6FEB0"/>
    <w:rsid w:val="23FA1180"/>
    <w:rsid w:val="23FD83EC"/>
    <w:rsid w:val="23FE2236"/>
    <w:rsid w:val="23FEE3F1"/>
    <w:rsid w:val="23FF58EF"/>
    <w:rsid w:val="23FFA646"/>
    <w:rsid w:val="2400E0D9"/>
    <w:rsid w:val="240159CD"/>
    <w:rsid w:val="240252C2"/>
    <w:rsid w:val="240253FF"/>
    <w:rsid w:val="24034948"/>
    <w:rsid w:val="240540CF"/>
    <w:rsid w:val="24062899"/>
    <w:rsid w:val="24066BC1"/>
    <w:rsid w:val="240789B2"/>
    <w:rsid w:val="2407E3B9"/>
    <w:rsid w:val="240A62D0"/>
    <w:rsid w:val="240B6B16"/>
    <w:rsid w:val="240BF224"/>
    <w:rsid w:val="240EB90A"/>
    <w:rsid w:val="240F37CE"/>
    <w:rsid w:val="241069D3"/>
    <w:rsid w:val="2412E21A"/>
    <w:rsid w:val="2413E0F4"/>
    <w:rsid w:val="24140BC4"/>
    <w:rsid w:val="2416027F"/>
    <w:rsid w:val="24160804"/>
    <w:rsid w:val="24169DDC"/>
    <w:rsid w:val="24170426"/>
    <w:rsid w:val="2417A9C2"/>
    <w:rsid w:val="24183353"/>
    <w:rsid w:val="2419592A"/>
    <w:rsid w:val="241B1B4A"/>
    <w:rsid w:val="241C4C9D"/>
    <w:rsid w:val="241D0382"/>
    <w:rsid w:val="241D3620"/>
    <w:rsid w:val="241FA7A5"/>
    <w:rsid w:val="242186CC"/>
    <w:rsid w:val="24246AA2"/>
    <w:rsid w:val="24264E29"/>
    <w:rsid w:val="2427A41C"/>
    <w:rsid w:val="2428D3D8"/>
    <w:rsid w:val="2429CCFF"/>
    <w:rsid w:val="242DE4A4"/>
    <w:rsid w:val="2430212D"/>
    <w:rsid w:val="2432BED9"/>
    <w:rsid w:val="24332814"/>
    <w:rsid w:val="24342945"/>
    <w:rsid w:val="2434607C"/>
    <w:rsid w:val="24352C43"/>
    <w:rsid w:val="2435D5C1"/>
    <w:rsid w:val="2436CF8F"/>
    <w:rsid w:val="24388380"/>
    <w:rsid w:val="243944C1"/>
    <w:rsid w:val="243AE8A2"/>
    <w:rsid w:val="243C0445"/>
    <w:rsid w:val="243C362F"/>
    <w:rsid w:val="243DC34E"/>
    <w:rsid w:val="243F301B"/>
    <w:rsid w:val="24412FD0"/>
    <w:rsid w:val="24417689"/>
    <w:rsid w:val="24422B5D"/>
    <w:rsid w:val="24442C3A"/>
    <w:rsid w:val="24461036"/>
    <w:rsid w:val="244A8700"/>
    <w:rsid w:val="244C454F"/>
    <w:rsid w:val="244F7CAC"/>
    <w:rsid w:val="245170F8"/>
    <w:rsid w:val="2456116E"/>
    <w:rsid w:val="2456C3EF"/>
    <w:rsid w:val="2456FCB9"/>
    <w:rsid w:val="2457649A"/>
    <w:rsid w:val="2457CB7D"/>
    <w:rsid w:val="2459346D"/>
    <w:rsid w:val="245ABFE3"/>
    <w:rsid w:val="245B8840"/>
    <w:rsid w:val="245D029B"/>
    <w:rsid w:val="245D120F"/>
    <w:rsid w:val="245E93AD"/>
    <w:rsid w:val="24612DB1"/>
    <w:rsid w:val="246374DD"/>
    <w:rsid w:val="2463BC1B"/>
    <w:rsid w:val="2464217C"/>
    <w:rsid w:val="2464BA38"/>
    <w:rsid w:val="2465937D"/>
    <w:rsid w:val="24683C48"/>
    <w:rsid w:val="2468429C"/>
    <w:rsid w:val="2469AC00"/>
    <w:rsid w:val="246CE750"/>
    <w:rsid w:val="246DE211"/>
    <w:rsid w:val="246DF172"/>
    <w:rsid w:val="246F4F11"/>
    <w:rsid w:val="246FD9F7"/>
    <w:rsid w:val="24702FCB"/>
    <w:rsid w:val="247095A4"/>
    <w:rsid w:val="2470D63B"/>
    <w:rsid w:val="2470F83C"/>
    <w:rsid w:val="2472824C"/>
    <w:rsid w:val="24730EF2"/>
    <w:rsid w:val="2474884B"/>
    <w:rsid w:val="24767150"/>
    <w:rsid w:val="24773157"/>
    <w:rsid w:val="2478AD1B"/>
    <w:rsid w:val="2478CF0E"/>
    <w:rsid w:val="247C3505"/>
    <w:rsid w:val="2480E58C"/>
    <w:rsid w:val="2483A591"/>
    <w:rsid w:val="2483B9B4"/>
    <w:rsid w:val="24853235"/>
    <w:rsid w:val="2485C097"/>
    <w:rsid w:val="24867DE6"/>
    <w:rsid w:val="2486D51A"/>
    <w:rsid w:val="24894F71"/>
    <w:rsid w:val="2489B5BB"/>
    <w:rsid w:val="2489C73D"/>
    <w:rsid w:val="248AC537"/>
    <w:rsid w:val="248C442A"/>
    <w:rsid w:val="248E6384"/>
    <w:rsid w:val="248F4AE2"/>
    <w:rsid w:val="249036EA"/>
    <w:rsid w:val="2492CE54"/>
    <w:rsid w:val="2492F347"/>
    <w:rsid w:val="24931648"/>
    <w:rsid w:val="2495B796"/>
    <w:rsid w:val="24965C2F"/>
    <w:rsid w:val="2497096E"/>
    <w:rsid w:val="2498ED67"/>
    <w:rsid w:val="2499222E"/>
    <w:rsid w:val="2499C487"/>
    <w:rsid w:val="249BCD54"/>
    <w:rsid w:val="249BDEE6"/>
    <w:rsid w:val="249EBA54"/>
    <w:rsid w:val="249EBBE9"/>
    <w:rsid w:val="24A291C9"/>
    <w:rsid w:val="24A4E941"/>
    <w:rsid w:val="24A5AFA5"/>
    <w:rsid w:val="24A726D8"/>
    <w:rsid w:val="24A81F3C"/>
    <w:rsid w:val="24A8E214"/>
    <w:rsid w:val="24AA2794"/>
    <w:rsid w:val="24AD5BAA"/>
    <w:rsid w:val="24AF7B7D"/>
    <w:rsid w:val="24B00DFB"/>
    <w:rsid w:val="24B9401A"/>
    <w:rsid w:val="24BA8809"/>
    <w:rsid w:val="24BCB93A"/>
    <w:rsid w:val="24BCF4AB"/>
    <w:rsid w:val="24BDDA5B"/>
    <w:rsid w:val="24C218F4"/>
    <w:rsid w:val="24C26A8C"/>
    <w:rsid w:val="24C30937"/>
    <w:rsid w:val="24C55563"/>
    <w:rsid w:val="24C6DF98"/>
    <w:rsid w:val="24C8365E"/>
    <w:rsid w:val="24C88874"/>
    <w:rsid w:val="24C91D65"/>
    <w:rsid w:val="24C991EE"/>
    <w:rsid w:val="24CADE39"/>
    <w:rsid w:val="24CC2FD1"/>
    <w:rsid w:val="24D0CC5D"/>
    <w:rsid w:val="24D0F3ED"/>
    <w:rsid w:val="24D3B4C2"/>
    <w:rsid w:val="24D3D318"/>
    <w:rsid w:val="24D53DF2"/>
    <w:rsid w:val="24D658AA"/>
    <w:rsid w:val="24D78644"/>
    <w:rsid w:val="24D7B769"/>
    <w:rsid w:val="24DCAC89"/>
    <w:rsid w:val="24DCFD72"/>
    <w:rsid w:val="24DD96CD"/>
    <w:rsid w:val="24DD9C24"/>
    <w:rsid w:val="24E057E8"/>
    <w:rsid w:val="24E09CD4"/>
    <w:rsid w:val="24E3C8F9"/>
    <w:rsid w:val="24E44067"/>
    <w:rsid w:val="24E4531A"/>
    <w:rsid w:val="24E455C7"/>
    <w:rsid w:val="24E46B96"/>
    <w:rsid w:val="24E5322A"/>
    <w:rsid w:val="24E61201"/>
    <w:rsid w:val="24E768BB"/>
    <w:rsid w:val="24E94283"/>
    <w:rsid w:val="24E9E7C1"/>
    <w:rsid w:val="24EC9FE6"/>
    <w:rsid w:val="24ECDAB7"/>
    <w:rsid w:val="24ED1765"/>
    <w:rsid w:val="24F11FE4"/>
    <w:rsid w:val="24F15941"/>
    <w:rsid w:val="24F29FAE"/>
    <w:rsid w:val="24F4D5C1"/>
    <w:rsid w:val="24F50E39"/>
    <w:rsid w:val="24F549FE"/>
    <w:rsid w:val="24F62BE6"/>
    <w:rsid w:val="24F67770"/>
    <w:rsid w:val="24F95045"/>
    <w:rsid w:val="24FBE0B9"/>
    <w:rsid w:val="24FD5054"/>
    <w:rsid w:val="24FDD1D5"/>
    <w:rsid w:val="24FDECD4"/>
    <w:rsid w:val="24FF4C03"/>
    <w:rsid w:val="24FFDB64"/>
    <w:rsid w:val="2500915F"/>
    <w:rsid w:val="2501B8AC"/>
    <w:rsid w:val="250349D1"/>
    <w:rsid w:val="2504AFC9"/>
    <w:rsid w:val="2504F867"/>
    <w:rsid w:val="2506B7AC"/>
    <w:rsid w:val="250D23B4"/>
    <w:rsid w:val="25143FE8"/>
    <w:rsid w:val="251553A3"/>
    <w:rsid w:val="25171B34"/>
    <w:rsid w:val="251728CA"/>
    <w:rsid w:val="2518F2B6"/>
    <w:rsid w:val="251B2DF8"/>
    <w:rsid w:val="251EE319"/>
    <w:rsid w:val="251EF1E9"/>
    <w:rsid w:val="2521DA9F"/>
    <w:rsid w:val="2522B85E"/>
    <w:rsid w:val="2522F57E"/>
    <w:rsid w:val="25262A1D"/>
    <w:rsid w:val="25292DDF"/>
    <w:rsid w:val="2529E238"/>
    <w:rsid w:val="252AAC40"/>
    <w:rsid w:val="252B8FEC"/>
    <w:rsid w:val="252EF1B1"/>
    <w:rsid w:val="252EF61B"/>
    <w:rsid w:val="252FBE31"/>
    <w:rsid w:val="253048D9"/>
    <w:rsid w:val="2532021F"/>
    <w:rsid w:val="2532458D"/>
    <w:rsid w:val="25327BA8"/>
    <w:rsid w:val="2536D417"/>
    <w:rsid w:val="2536F10A"/>
    <w:rsid w:val="2538B45F"/>
    <w:rsid w:val="253936F4"/>
    <w:rsid w:val="253A3C13"/>
    <w:rsid w:val="253A4C14"/>
    <w:rsid w:val="253BE0D7"/>
    <w:rsid w:val="253BED23"/>
    <w:rsid w:val="253CE32E"/>
    <w:rsid w:val="253EF5FE"/>
    <w:rsid w:val="2540CCF7"/>
    <w:rsid w:val="2542920D"/>
    <w:rsid w:val="2545BE18"/>
    <w:rsid w:val="254649C4"/>
    <w:rsid w:val="25475397"/>
    <w:rsid w:val="2548AFCC"/>
    <w:rsid w:val="254D6C36"/>
    <w:rsid w:val="254D9C02"/>
    <w:rsid w:val="254F5E9F"/>
    <w:rsid w:val="254F6C36"/>
    <w:rsid w:val="254FB6EE"/>
    <w:rsid w:val="254FDECC"/>
    <w:rsid w:val="2553222B"/>
    <w:rsid w:val="2555F0C6"/>
    <w:rsid w:val="2555F32E"/>
    <w:rsid w:val="2555FF38"/>
    <w:rsid w:val="2557D242"/>
    <w:rsid w:val="2557FDAA"/>
    <w:rsid w:val="2559E4BB"/>
    <w:rsid w:val="255AD183"/>
    <w:rsid w:val="255C1244"/>
    <w:rsid w:val="255C20B3"/>
    <w:rsid w:val="2562AEF0"/>
    <w:rsid w:val="256314ED"/>
    <w:rsid w:val="25655EB4"/>
    <w:rsid w:val="2565BA88"/>
    <w:rsid w:val="2565C444"/>
    <w:rsid w:val="25667FBB"/>
    <w:rsid w:val="256713D2"/>
    <w:rsid w:val="256B4D24"/>
    <w:rsid w:val="256EFEEA"/>
    <w:rsid w:val="257055E9"/>
    <w:rsid w:val="25706F12"/>
    <w:rsid w:val="2570A6DC"/>
    <w:rsid w:val="25731F33"/>
    <w:rsid w:val="25751BD5"/>
    <w:rsid w:val="2579277C"/>
    <w:rsid w:val="257A78EF"/>
    <w:rsid w:val="257D683B"/>
    <w:rsid w:val="257F69A9"/>
    <w:rsid w:val="257F7DCD"/>
    <w:rsid w:val="258193D3"/>
    <w:rsid w:val="2582804E"/>
    <w:rsid w:val="25844764"/>
    <w:rsid w:val="25870496"/>
    <w:rsid w:val="25873540"/>
    <w:rsid w:val="258957C9"/>
    <w:rsid w:val="258A2EAA"/>
    <w:rsid w:val="258BA123"/>
    <w:rsid w:val="258BF279"/>
    <w:rsid w:val="258C2303"/>
    <w:rsid w:val="258F8C6B"/>
    <w:rsid w:val="258FA6A5"/>
    <w:rsid w:val="25921412"/>
    <w:rsid w:val="2593D5BF"/>
    <w:rsid w:val="2596A0D6"/>
    <w:rsid w:val="259741ED"/>
    <w:rsid w:val="2597607B"/>
    <w:rsid w:val="259810F9"/>
    <w:rsid w:val="259A7692"/>
    <w:rsid w:val="259DF54F"/>
    <w:rsid w:val="259EC4EC"/>
    <w:rsid w:val="259F70BE"/>
    <w:rsid w:val="259FC6E7"/>
    <w:rsid w:val="25A110F8"/>
    <w:rsid w:val="25A17CFC"/>
    <w:rsid w:val="25A33403"/>
    <w:rsid w:val="25A45CB4"/>
    <w:rsid w:val="25A50F79"/>
    <w:rsid w:val="25A63CF0"/>
    <w:rsid w:val="25A669B8"/>
    <w:rsid w:val="25A6EABF"/>
    <w:rsid w:val="25AA5B38"/>
    <w:rsid w:val="25AC6C89"/>
    <w:rsid w:val="25ACA77F"/>
    <w:rsid w:val="25AD356C"/>
    <w:rsid w:val="25AF4BEF"/>
    <w:rsid w:val="25AF99C8"/>
    <w:rsid w:val="25B0117F"/>
    <w:rsid w:val="25B0AC32"/>
    <w:rsid w:val="25B0D9E3"/>
    <w:rsid w:val="25B22FA8"/>
    <w:rsid w:val="25B263FE"/>
    <w:rsid w:val="25B7F3A9"/>
    <w:rsid w:val="25BA7D81"/>
    <w:rsid w:val="25BB5BAE"/>
    <w:rsid w:val="25BD03BD"/>
    <w:rsid w:val="25BEA1FD"/>
    <w:rsid w:val="25BEEFB4"/>
    <w:rsid w:val="25C1479B"/>
    <w:rsid w:val="25C294F9"/>
    <w:rsid w:val="25C2D12B"/>
    <w:rsid w:val="25C58283"/>
    <w:rsid w:val="25C6D4A0"/>
    <w:rsid w:val="25C7551F"/>
    <w:rsid w:val="25C7D3C3"/>
    <w:rsid w:val="25C84B6F"/>
    <w:rsid w:val="25C9461B"/>
    <w:rsid w:val="25C9901B"/>
    <w:rsid w:val="25CA40A9"/>
    <w:rsid w:val="25CAC8E0"/>
    <w:rsid w:val="25CADB5F"/>
    <w:rsid w:val="25CE5E3F"/>
    <w:rsid w:val="25CEB251"/>
    <w:rsid w:val="25D58A50"/>
    <w:rsid w:val="25D623FB"/>
    <w:rsid w:val="25D76020"/>
    <w:rsid w:val="25DB7893"/>
    <w:rsid w:val="25DEE960"/>
    <w:rsid w:val="25DF13DD"/>
    <w:rsid w:val="25E07EA3"/>
    <w:rsid w:val="25E0A1D6"/>
    <w:rsid w:val="25E61E84"/>
    <w:rsid w:val="25E67276"/>
    <w:rsid w:val="25E6A303"/>
    <w:rsid w:val="25E929B2"/>
    <w:rsid w:val="25ECB777"/>
    <w:rsid w:val="25EF664A"/>
    <w:rsid w:val="25F0CA8A"/>
    <w:rsid w:val="25F16D1B"/>
    <w:rsid w:val="25F223EA"/>
    <w:rsid w:val="25F29CE5"/>
    <w:rsid w:val="25F8D459"/>
    <w:rsid w:val="25F97D7A"/>
    <w:rsid w:val="25FB9771"/>
    <w:rsid w:val="25FC1D52"/>
    <w:rsid w:val="25FCD803"/>
    <w:rsid w:val="25FE7B71"/>
    <w:rsid w:val="26001268"/>
    <w:rsid w:val="2600FC20"/>
    <w:rsid w:val="2602C2CB"/>
    <w:rsid w:val="2602FCD4"/>
    <w:rsid w:val="260452D4"/>
    <w:rsid w:val="260587DF"/>
    <w:rsid w:val="260712B7"/>
    <w:rsid w:val="26077647"/>
    <w:rsid w:val="2607B87D"/>
    <w:rsid w:val="260E78C1"/>
    <w:rsid w:val="2612419A"/>
    <w:rsid w:val="26157A6A"/>
    <w:rsid w:val="2615B1A8"/>
    <w:rsid w:val="2616402D"/>
    <w:rsid w:val="261743E4"/>
    <w:rsid w:val="26196EB3"/>
    <w:rsid w:val="261A49BC"/>
    <w:rsid w:val="261A74B7"/>
    <w:rsid w:val="261A7BE7"/>
    <w:rsid w:val="261A9B7F"/>
    <w:rsid w:val="261C4723"/>
    <w:rsid w:val="261D88E7"/>
    <w:rsid w:val="261D8F23"/>
    <w:rsid w:val="261DD166"/>
    <w:rsid w:val="261E3E83"/>
    <w:rsid w:val="261E7C7C"/>
    <w:rsid w:val="261E9AB5"/>
    <w:rsid w:val="261F1E51"/>
    <w:rsid w:val="2623E6A2"/>
    <w:rsid w:val="26241B33"/>
    <w:rsid w:val="2624FB61"/>
    <w:rsid w:val="26261BAC"/>
    <w:rsid w:val="26293E81"/>
    <w:rsid w:val="262A705F"/>
    <w:rsid w:val="262AA0E7"/>
    <w:rsid w:val="262BB9D5"/>
    <w:rsid w:val="262CC8AD"/>
    <w:rsid w:val="263317BD"/>
    <w:rsid w:val="2634BBF9"/>
    <w:rsid w:val="263561BF"/>
    <w:rsid w:val="2635A826"/>
    <w:rsid w:val="26368337"/>
    <w:rsid w:val="2636CDE9"/>
    <w:rsid w:val="2639800F"/>
    <w:rsid w:val="2639C99C"/>
    <w:rsid w:val="263A1579"/>
    <w:rsid w:val="263A4055"/>
    <w:rsid w:val="263E429D"/>
    <w:rsid w:val="263ED65B"/>
    <w:rsid w:val="263F2BFB"/>
    <w:rsid w:val="2640BD5D"/>
    <w:rsid w:val="264263AF"/>
    <w:rsid w:val="2644498A"/>
    <w:rsid w:val="264968A8"/>
    <w:rsid w:val="2649A44C"/>
    <w:rsid w:val="264ABD7D"/>
    <w:rsid w:val="264BAC1F"/>
    <w:rsid w:val="264E197F"/>
    <w:rsid w:val="264F837C"/>
    <w:rsid w:val="2650FEE7"/>
    <w:rsid w:val="26510D1E"/>
    <w:rsid w:val="26531977"/>
    <w:rsid w:val="26552AD5"/>
    <w:rsid w:val="2657C2CF"/>
    <w:rsid w:val="2658A358"/>
    <w:rsid w:val="2659F285"/>
    <w:rsid w:val="265A7355"/>
    <w:rsid w:val="265B54A4"/>
    <w:rsid w:val="265C5F53"/>
    <w:rsid w:val="2660C83A"/>
    <w:rsid w:val="2663CE97"/>
    <w:rsid w:val="26645D05"/>
    <w:rsid w:val="26657E0F"/>
    <w:rsid w:val="26681506"/>
    <w:rsid w:val="2668B4F8"/>
    <w:rsid w:val="266A414C"/>
    <w:rsid w:val="266CAEAB"/>
    <w:rsid w:val="266CE43D"/>
    <w:rsid w:val="266DF4A1"/>
    <w:rsid w:val="267030B9"/>
    <w:rsid w:val="26708326"/>
    <w:rsid w:val="267164B4"/>
    <w:rsid w:val="267629CA"/>
    <w:rsid w:val="26774328"/>
    <w:rsid w:val="26779B69"/>
    <w:rsid w:val="267A2469"/>
    <w:rsid w:val="267B8FD0"/>
    <w:rsid w:val="267DC008"/>
    <w:rsid w:val="267ED0B2"/>
    <w:rsid w:val="267F716A"/>
    <w:rsid w:val="26811F87"/>
    <w:rsid w:val="2682DAE5"/>
    <w:rsid w:val="2683F14E"/>
    <w:rsid w:val="2684CA87"/>
    <w:rsid w:val="268638D2"/>
    <w:rsid w:val="268D72B0"/>
    <w:rsid w:val="268E4DC3"/>
    <w:rsid w:val="268EE3B3"/>
    <w:rsid w:val="268F7D4C"/>
    <w:rsid w:val="2690011A"/>
    <w:rsid w:val="269268D3"/>
    <w:rsid w:val="2692F2A8"/>
    <w:rsid w:val="269434A9"/>
    <w:rsid w:val="26948449"/>
    <w:rsid w:val="2698AFA5"/>
    <w:rsid w:val="2699D275"/>
    <w:rsid w:val="269A6C6D"/>
    <w:rsid w:val="26A3E4A4"/>
    <w:rsid w:val="26A485E9"/>
    <w:rsid w:val="26A710AE"/>
    <w:rsid w:val="26A7267F"/>
    <w:rsid w:val="26AB5AB1"/>
    <w:rsid w:val="26AD9B38"/>
    <w:rsid w:val="26AEC12D"/>
    <w:rsid w:val="26AEF8B1"/>
    <w:rsid w:val="26AF37E9"/>
    <w:rsid w:val="26B0EE7B"/>
    <w:rsid w:val="26B225DB"/>
    <w:rsid w:val="26B2AA7D"/>
    <w:rsid w:val="26B36F99"/>
    <w:rsid w:val="26B45BEA"/>
    <w:rsid w:val="26B47F98"/>
    <w:rsid w:val="26B5F438"/>
    <w:rsid w:val="26B6D427"/>
    <w:rsid w:val="26B82FE0"/>
    <w:rsid w:val="26BB9B7D"/>
    <w:rsid w:val="26BC0543"/>
    <w:rsid w:val="26C1A72F"/>
    <w:rsid w:val="26C2690F"/>
    <w:rsid w:val="26C2F400"/>
    <w:rsid w:val="26C681D0"/>
    <w:rsid w:val="26C6F3D2"/>
    <w:rsid w:val="26C7B4B4"/>
    <w:rsid w:val="26C89DAD"/>
    <w:rsid w:val="26C9BFB7"/>
    <w:rsid w:val="26CA24FD"/>
    <w:rsid w:val="26CABAF5"/>
    <w:rsid w:val="26CB60A1"/>
    <w:rsid w:val="26CBC138"/>
    <w:rsid w:val="26CD455A"/>
    <w:rsid w:val="26CD5DA7"/>
    <w:rsid w:val="26CD6401"/>
    <w:rsid w:val="26CE42A6"/>
    <w:rsid w:val="26D2257B"/>
    <w:rsid w:val="26D31D44"/>
    <w:rsid w:val="26D46904"/>
    <w:rsid w:val="26D5F753"/>
    <w:rsid w:val="26D76FA7"/>
    <w:rsid w:val="26D8E76A"/>
    <w:rsid w:val="26D94732"/>
    <w:rsid w:val="26DAA6F6"/>
    <w:rsid w:val="26DAF01C"/>
    <w:rsid w:val="26DBC608"/>
    <w:rsid w:val="26DE65B4"/>
    <w:rsid w:val="26DF2ECF"/>
    <w:rsid w:val="26E02C9C"/>
    <w:rsid w:val="26E10E2F"/>
    <w:rsid w:val="26E23A55"/>
    <w:rsid w:val="26E2464F"/>
    <w:rsid w:val="26E412F7"/>
    <w:rsid w:val="26E45A59"/>
    <w:rsid w:val="26E4FAA9"/>
    <w:rsid w:val="26E6DF74"/>
    <w:rsid w:val="26E8DD40"/>
    <w:rsid w:val="26E93388"/>
    <w:rsid w:val="26EA9520"/>
    <w:rsid w:val="26ED8DF7"/>
    <w:rsid w:val="26EE62E2"/>
    <w:rsid w:val="26EF8D97"/>
    <w:rsid w:val="26F0A066"/>
    <w:rsid w:val="26F0A594"/>
    <w:rsid w:val="26F1007A"/>
    <w:rsid w:val="26F12792"/>
    <w:rsid w:val="26F1531E"/>
    <w:rsid w:val="26F1BB70"/>
    <w:rsid w:val="26F21E17"/>
    <w:rsid w:val="26F3F62C"/>
    <w:rsid w:val="26F4DE37"/>
    <w:rsid w:val="26F60CA5"/>
    <w:rsid w:val="26F6E751"/>
    <w:rsid w:val="26F72157"/>
    <w:rsid w:val="26F7ACAD"/>
    <w:rsid w:val="26FC455B"/>
    <w:rsid w:val="26FD40BF"/>
    <w:rsid w:val="26FDF063"/>
    <w:rsid w:val="270155FF"/>
    <w:rsid w:val="27041743"/>
    <w:rsid w:val="2704CE4A"/>
    <w:rsid w:val="2704ECF0"/>
    <w:rsid w:val="270677B5"/>
    <w:rsid w:val="27074132"/>
    <w:rsid w:val="27097028"/>
    <w:rsid w:val="270C2257"/>
    <w:rsid w:val="270C5646"/>
    <w:rsid w:val="27107A27"/>
    <w:rsid w:val="2710C9EA"/>
    <w:rsid w:val="2711752F"/>
    <w:rsid w:val="271202A2"/>
    <w:rsid w:val="2714292F"/>
    <w:rsid w:val="27162677"/>
    <w:rsid w:val="271647D1"/>
    <w:rsid w:val="2716779C"/>
    <w:rsid w:val="2716B85A"/>
    <w:rsid w:val="2717FC8B"/>
    <w:rsid w:val="271810E2"/>
    <w:rsid w:val="27183BB1"/>
    <w:rsid w:val="2718CB99"/>
    <w:rsid w:val="27193457"/>
    <w:rsid w:val="27194C64"/>
    <w:rsid w:val="271CA3C3"/>
    <w:rsid w:val="271D54B9"/>
    <w:rsid w:val="272050CE"/>
    <w:rsid w:val="27215195"/>
    <w:rsid w:val="2722E2B3"/>
    <w:rsid w:val="27251165"/>
    <w:rsid w:val="27265755"/>
    <w:rsid w:val="2728481D"/>
    <w:rsid w:val="272A0437"/>
    <w:rsid w:val="272A0E29"/>
    <w:rsid w:val="272D1654"/>
    <w:rsid w:val="272F91D4"/>
    <w:rsid w:val="272F9CA2"/>
    <w:rsid w:val="2732F1D9"/>
    <w:rsid w:val="27331893"/>
    <w:rsid w:val="2734ECD2"/>
    <w:rsid w:val="273544ED"/>
    <w:rsid w:val="27387BA5"/>
    <w:rsid w:val="273A31D4"/>
    <w:rsid w:val="273B5FFB"/>
    <w:rsid w:val="273C69EB"/>
    <w:rsid w:val="273D3DA2"/>
    <w:rsid w:val="273DC0CB"/>
    <w:rsid w:val="2741F608"/>
    <w:rsid w:val="27420A82"/>
    <w:rsid w:val="2742D087"/>
    <w:rsid w:val="27431818"/>
    <w:rsid w:val="274574B4"/>
    <w:rsid w:val="2746C1C6"/>
    <w:rsid w:val="2746CD76"/>
    <w:rsid w:val="27497054"/>
    <w:rsid w:val="274A580D"/>
    <w:rsid w:val="274B98EB"/>
    <w:rsid w:val="274C4119"/>
    <w:rsid w:val="274C8730"/>
    <w:rsid w:val="274E731D"/>
    <w:rsid w:val="274F8DC2"/>
    <w:rsid w:val="274F9CBE"/>
    <w:rsid w:val="275057AA"/>
    <w:rsid w:val="27510F60"/>
    <w:rsid w:val="27520C78"/>
    <w:rsid w:val="2752499A"/>
    <w:rsid w:val="27527255"/>
    <w:rsid w:val="2752A4F9"/>
    <w:rsid w:val="275464A3"/>
    <w:rsid w:val="275679EC"/>
    <w:rsid w:val="2758D592"/>
    <w:rsid w:val="275994A2"/>
    <w:rsid w:val="2759C845"/>
    <w:rsid w:val="275C2C50"/>
    <w:rsid w:val="275D38FA"/>
    <w:rsid w:val="275EFC8B"/>
    <w:rsid w:val="275FF535"/>
    <w:rsid w:val="2760B4DA"/>
    <w:rsid w:val="2761E9BC"/>
    <w:rsid w:val="27648511"/>
    <w:rsid w:val="276C7A54"/>
    <w:rsid w:val="27701BDC"/>
    <w:rsid w:val="277020A7"/>
    <w:rsid w:val="27753859"/>
    <w:rsid w:val="277636C8"/>
    <w:rsid w:val="2776A067"/>
    <w:rsid w:val="2777BE21"/>
    <w:rsid w:val="2778E45B"/>
    <w:rsid w:val="277A6BEF"/>
    <w:rsid w:val="277C10C4"/>
    <w:rsid w:val="277F9D98"/>
    <w:rsid w:val="278178CE"/>
    <w:rsid w:val="278386FA"/>
    <w:rsid w:val="2784B00D"/>
    <w:rsid w:val="27873500"/>
    <w:rsid w:val="2787B0EB"/>
    <w:rsid w:val="278AB324"/>
    <w:rsid w:val="278AED61"/>
    <w:rsid w:val="278C5A63"/>
    <w:rsid w:val="278CB010"/>
    <w:rsid w:val="278DBAFD"/>
    <w:rsid w:val="278FC63A"/>
    <w:rsid w:val="2791BF44"/>
    <w:rsid w:val="27955D09"/>
    <w:rsid w:val="2798BFC7"/>
    <w:rsid w:val="279AA4C6"/>
    <w:rsid w:val="279DA65B"/>
    <w:rsid w:val="279FF633"/>
    <w:rsid w:val="27A0A18F"/>
    <w:rsid w:val="27A3A1A4"/>
    <w:rsid w:val="27A50406"/>
    <w:rsid w:val="27A85DA5"/>
    <w:rsid w:val="27A9CAFE"/>
    <w:rsid w:val="27ABC7FB"/>
    <w:rsid w:val="27AC0728"/>
    <w:rsid w:val="27AC0A5E"/>
    <w:rsid w:val="27AE1DB3"/>
    <w:rsid w:val="27B4C7E5"/>
    <w:rsid w:val="27B6E91C"/>
    <w:rsid w:val="27B86348"/>
    <w:rsid w:val="27BD787C"/>
    <w:rsid w:val="27BE5F59"/>
    <w:rsid w:val="27BF6B03"/>
    <w:rsid w:val="27C0560D"/>
    <w:rsid w:val="27C3B9E7"/>
    <w:rsid w:val="27C49F2E"/>
    <w:rsid w:val="27C5AC7D"/>
    <w:rsid w:val="27C8AAD2"/>
    <w:rsid w:val="27C921B7"/>
    <w:rsid w:val="27CCB13B"/>
    <w:rsid w:val="27CCE4A3"/>
    <w:rsid w:val="27CE83AD"/>
    <w:rsid w:val="27D06E76"/>
    <w:rsid w:val="27D1A93F"/>
    <w:rsid w:val="27D1BD8C"/>
    <w:rsid w:val="27D26CC4"/>
    <w:rsid w:val="27D2D105"/>
    <w:rsid w:val="27D5A843"/>
    <w:rsid w:val="27D68F85"/>
    <w:rsid w:val="27D6C8AE"/>
    <w:rsid w:val="27D7AFFF"/>
    <w:rsid w:val="27D86B6E"/>
    <w:rsid w:val="27DAB62E"/>
    <w:rsid w:val="27DBDD63"/>
    <w:rsid w:val="27DDE57B"/>
    <w:rsid w:val="27E24D66"/>
    <w:rsid w:val="27E44234"/>
    <w:rsid w:val="27E709B4"/>
    <w:rsid w:val="27E76EAB"/>
    <w:rsid w:val="27E9BF0B"/>
    <w:rsid w:val="27EBCEFE"/>
    <w:rsid w:val="27EF7806"/>
    <w:rsid w:val="27EFF2FC"/>
    <w:rsid w:val="27F2D971"/>
    <w:rsid w:val="27F3DC1E"/>
    <w:rsid w:val="27F41ADB"/>
    <w:rsid w:val="27F570D1"/>
    <w:rsid w:val="27F608E5"/>
    <w:rsid w:val="27F714C4"/>
    <w:rsid w:val="27F757A1"/>
    <w:rsid w:val="27F7BEB6"/>
    <w:rsid w:val="27F84ADD"/>
    <w:rsid w:val="27F9FC09"/>
    <w:rsid w:val="27FA341F"/>
    <w:rsid w:val="27FBDEC6"/>
    <w:rsid w:val="27FC557A"/>
    <w:rsid w:val="27FCA8ED"/>
    <w:rsid w:val="2800FE51"/>
    <w:rsid w:val="28025E7A"/>
    <w:rsid w:val="280656B9"/>
    <w:rsid w:val="2807BAAE"/>
    <w:rsid w:val="280912C4"/>
    <w:rsid w:val="280FC7D9"/>
    <w:rsid w:val="280FD10F"/>
    <w:rsid w:val="28115B8D"/>
    <w:rsid w:val="28116309"/>
    <w:rsid w:val="2812D55C"/>
    <w:rsid w:val="2814A557"/>
    <w:rsid w:val="2814C06C"/>
    <w:rsid w:val="2816C46E"/>
    <w:rsid w:val="28174239"/>
    <w:rsid w:val="281C9B6A"/>
    <w:rsid w:val="281CD77A"/>
    <w:rsid w:val="281D0A32"/>
    <w:rsid w:val="28206336"/>
    <w:rsid w:val="28275755"/>
    <w:rsid w:val="28283119"/>
    <w:rsid w:val="2829F029"/>
    <w:rsid w:val="282BAA7C"/>
    <w:rsid w:val="282C2325"/>
    <w:rsid w:val="282EE091"/>
    <w:rsid w:val="2836D427"/>
    <w:rsid w:val="283A3FCF"/>
    <w:rsid w:val="283A8B14"/>
    <w:rsid w:val="283D06BE"/>
    <w:rsid w:val="283E02A6"/>
    <w:rsid w:val="283E26BF"/>
    <w:rsid w:val="284255C1"/>
    <w:rsid w:val="28482A8B"/>
    <w:rsid w:val="284C05A1"/>
    <w:rsid w:val="284E444B"/>
    <w:rsid w:val="284EDEAB"/>
    <w:rsid w:val="284EE39C"/>
    <w:rsid w:val="284F20FA"/>
    <w:rsid w:val="28508024"/>
    <w:rsid w:val="28522C8C"/>
    <w:rsid w:val="2854391D"/>
    <w:rsid w:val="2854DFDD"/>
    <w:rsid w:val="28563981"/>
    <w:rsid w:val="285C045E"/>
    <w:rsid w:val="285C8540"/>
    <w:rsid w:val="285DE908"/>
    <w:rsid w:val="285FE254"/>
    <w:rsid w:val="28622BB7"/>
    <w:rsid w:val="28647BF2"/>
    <w:rsid w:val="2865E930"/>
    <w:rsid w:val="28666C12"/>
    <w:rsid w:val="286B65EF"/>
    <w:rsid w:val="286E4C55"/>
    <w:rsid w:val="286F6428"/>
    <w:rsid w:val="287285A0"/>
    <w:rsid w:val="2872E160"/>
    <w:rsid w:val="28753987"/>
    <w:rsid w:val="28764AB9"/>
    <w:rsid w:val="2877FE09"/>
    <w:rsid w:val="2878CA6C"/>
    <w:rsid w:val="2879CC56"/>
    <w:rsid w:val="287AE501"/>
    <w:rsid w:val="287DBDEF"/>
    <w:rsid w:val="287EC7AE"/>
    <w:rsid w:val="287EC7CB"/>
    <w:rsid w:val="287F8D69"/>
    <w:rsid w:val="287FB0F2"/>
    <w:rsid w:val="28802201"/>
    <w:rsid w:val="2881F6AE"/>
    <w:rsid w:val="28854B9E"/>
    <w:rsid w:val="288A4C64"/>
    <w:rsid w:val="288BF09C"/>
    <w:rsid w:val="288DEAA8"/>
    <w:rsid w:val="288ED2C9"/>
    <w:rsid w:val="28913611"/>
    <w:rsid w:val="2892A790"/>
    <w:rsid w:val="2892C943"/>
    <w:rsid w:val="289300D6"/>
    <w:rsid w:val="289463EC"/>
    <w:rsid w:val="28957425"/>
    <w:rsid w:val="28985D2A"/>
    <w:rsid w:val="2898F62D"/>
    <w:rsid w:val="289B1CD8"/>
    <w:rsid w:val="289D0571"/>
    <w:rsid w:val="289D3057"/>
    <w:rsid w:val="28A2C12B"/>
    <w:rsid w:val="28A3D4F4"/>
    <w:rsid w:val="28A442FD"/>
    <w:rsid w:val="28A4C761"/>
    <w:rsid w:val="28A581CB"/>
    <w:rsid w:val="28A62C30"/>
    <w:rsid w:val="28A9362A"/>
    <w:rsid w:val="28A958A1"/>
    <w:rsid w:val="28A98482"/>
    <w:rsid w:val="28AB3B63"/>
    <w:rsid w:val="28ABE04C"/>
    <w:rsid w:val="28AC0007"/>
    <w:rsid w:val="28AFE57E"/>
    <w:rsid w:val="28B09838"/>
    <w:rsid w:val="28B1A961"/>
    <w:rsid w:val="28B25E2A"/>
    <w:rsid w:val="28B3D7F1"/>
    <w:rsid w:val="28B41DF0"/>
    <w:rsid w:val="28B4D20E"/>
    <w:rsid w:val="28B8E256"/>
    <w:rsid w:val="28B92372"/>
    <w:rsid w:val="28BC12D1"/>
    <w:rsid w:val="28BF9813"/>
    <w:rsid w:val="28C00C1C"/>
    <w:rsid w:val="28C01024"/>
    <w:rsid w:val="28C06AB7"/>
    <w:rsid w:val="28C2C2BE"/>
    <w:rsid w:val="28C2DF71"/>
    <w:rsid w:val="28C5B82D"/>
    <w:rsid w:val="28C95F1E"/>
    <w:rsid w:val="28CB1432"/>
    <w:rsid w:val="28D048C8"/>
    <w:rsid w:val="28D16706"/>
    <w:rsid w:val="28D2A120"/>
    <w:rsid w:val="28D40786"/>
    <w:rsid w:val="28DB031E"/>
    <w:rsid w:val="28DD78A9"/>
    <w:rsid w:val="28DE022A"/>
    <w:rsid w:val="28E2AD5C"/>
    <w:rsid w:val="28E4C55B"/>
    <w:rsid w:val="28E6E7BE"/>
    <w:rsid w:val="28EA1102"/>
    <w:rsid w:val="28ED2940"/>
    <w:rsid w:val="28F0812D"/>
    <w:rsid w:val="28F08853"/>
    <w:rsid w:val="28F43E7B"/>
    <w:rsid w:val="28F4CE66"/>
    <w:rsid w:val="28F5D8DA"/>
    <w:rsid w:val="28F5FCB0"/>
    <w:rsid w:val="28FB0709"/>
    <w:rsid w:val="28FB9FF0"/>
    <w:rsid w:val="29003812"/>
    <w:rsid w:val="2903801C"/>
    <w:rsid w:val="2904BF75"/>
    <w:rsid w:val="2904EE52"/>
    <w:rsid w:val="29072B9E"/>
    <w:rsid w:val="290854BB"/>
    <w:rsid w:val="290E50AF"/>
    <w:rsid w:val="29110004"/>
    <w:rsid w:val="2912ADD3"/>
    <w:rsid w:val="2913CA11"/>
    <w:rsid w:val="2914872A"/>
    <w:rsid w:val="2914A2BD"/>
    <w:rsid w:val="29154B27"/>
    <w:rsid w:val="2918395D"/>
    <w:rsid w:val="29191449"/>
    <w:rsid w:val="291B2F9F"/>
    <w:rsid w:val="291D22CD"/>
    <w:rsid w:val="291E7CF5"/>
    <w:rsid w:val="291F9976"/>
    <w:rsid w:val="2922FF5B"/>
    <w:rsid w:val="29244FDF"/>
    <w:rsid w:val="2926D033"/>
    <w:rsid w:val="29282829"/>
    <w:rsid w:val="292A5E04"/>
    <w:rsid w:val="292B8A55"/>
    <w:rsid w:val="292D052D"/>
    <w:rsid w:val="292DC6A7"/>
    <w:rsid w:val="292E9958"/>
    <w:rsid w:val="29300150"/>
    <w:rsid w:val="293036BF"/>
    <w:rsid w:val="293037A0"/>
    <w:rsid w:val="29305872"/>
    <w:rsid w:val="2930A830"/>
    <w:rsid w:val="2931196F"/>
    <w:rsid w:val="29315FA0"/>
    <w:rsid w:val="293314A4"/>
    <w:rsid w:val="2933A236"/>
    <w:rsid w:val="2933A829"/>
    <w:rsid w:val="2933D5E2"/>
    <w:rsid w:val="2935CF45"/>
    <w:rsid w:val="29368714"/>
    <w:rsid w:val="29380656"/>
    <w:rsid w:val="293B951B"/>
    <w:rsid w:val="293CC021"/>
    <w:rsid w:val="293D4091"/>
    <w:rsid w:val="293DB991"/>
    <w:rsid w:val="293F9360"/>
    <w:rsid w:val="293FCEC2"/>
    <w:rsid w:val="29422B61"/>
    <w:rsid w:val="29429FE7"/>
    <w:rsid w:val="294663FF"/>
    <w:rsid w:val="2946CAF9"/>
    <w:rsid w:val="29487039"/>
    <w:rsid w:val="29497348"/>
    <w:rsid w:val="29497AF2"/>
    <w:rsid w:val="294988EF"/>
    <w:rsid w:val="2949A062"/>
    <w:rsid w:val="294BEF9B"/>
    <w:rsid w:val="294F7A03"/>
    <w:rsid w:val="294FA964"/>
    <w:rsid w:val="294FBB65"/>
    <w:rsid w:val="29503421"/>
    <w:rsid w:val="2950CD8C"/>
    <w:rsid w:val="2952309B"/>
    <w:rsid w:val="29550AE6"/>
    <w:rsid w:val="29580C5E"/>
    <w:rsid w:val="295A351F"/>
    <w:rsid w:val="295DB5F3"/>
    <w:rsid w:val="295F8DA4"/>
    <w:rsid w:val="29634ACA"/>
    <w:rsid w:val="29649416"/>
    <w:rsid w:val="296958E9"/>
    <w:rsid w:val="296A00B3"/>
    <w:rsid w:val="296A2C49"/>
    <w:rsid w:val="296A8BF4"/>
    <w:rsid w:val="296BEFE4"/>
    <w:rsid w:val="296DFF3C"/>
    <w:rsid w:val="296E97A4"/>
    <w:rsid w:val="29703CB7"/>
    <w:rsid w:val="29727D83"/>
    <w:rsid w:val="2976E379"/>
    <w:rsid w:val="2977845D"/>
    <w:rsid w:val="29787A86"/>
    <w:rsid w:val="29795494"/>
    <w:rsid w:val="297BBC8B"/>
    <w:rsid w:val="297C71E6"/>
    <w:rsid w:val="297C87A3"/>
    <w:rsid w:val="297D4FE4"/>
    <w:rsid w:val="297E0FCC"/>
    <w:rsid w:val="297E16A9"/>
    <w:rsid w:val="29825415"/>
    <w:rsid w:val="29832CC2"/>
    <w:rsid w:val="29839308"/>
    <w:rsid w:val="2986E7EC"/>
    <w:rsid w:val="2986EEE9"/>
    <w:rsid w:val="29879A20"/>
    <w:rsid w:val="29899EF4"/>
    <w:rsid w:val="2989CA5F"/>
    <w:rsid w:val="298AD1F1"/>
    <w:rsid w:val="298B3FBF"/>
    <w:rsid w:val="298B640D"/>
    <w:rsid w:val="298C7505"/>
    <w:rsid w:val="298C8009"/>
    <w:rsid w:val="298E254C"/>
    <w:rsid w:val="298F33E5"/>
    <w:rsid w:val="298F7AAB"/>
    <w:rsid w:val="2991433F"/>
    <w:rsid w:val="29922685"/>
    <w:rsid w:val="29963A9E"/>
    <w:rsid w:val="29971049"/>
    <w:rsid w:val="299A56ED"/>
    <w:rsid w:val="299BC8C7"/>
    <w:rsid w:val="299E037A"/>
    <w:rsid w:val="299EFCE0"/>
    <w:rsid w:val="299F5972"/>
    <w:rsid w:val="29A26ED3"/>
    <w:rsid w:val="29A407AF"/>
    <w:rsid w:val="29A52EBC"/>
    <w:rsid w:val="29A5EA75"/>
    <w:rsid w:val="29A72652"/>
    <w:rsid w:val="29A79461"/>
    <w:rsid w:val="29A8DD9C"/>
    <w:rsid w:val="29AB016C"/>
    <w:rsid w:val="29ABEE5C"/>
    <w:rsid w:val="29AD4B56"/>
    <w:rsid w:val="29AE911C"/>
    <w:rsid w:val="29B05B82"/>
    <w:rsid w:val="29B2CDD9"/>
    <w:rsid w:val="29B33E1A"/>
    <w:rsid w:val="29B5EEC6"/>
    <w:rsid w:val="29B6B6D6"/>
    <w:rsid w:val="29B8909E"/>
    <w:rsid w:val="29BF1757"/>
    <w:rsid w:val="29BFDE3A"/>
    <w:rsid w:val="29C144D4"/>
    <w:rsid w:val="29C348CA"/>
    <w:rsid w:val="29C62F48"/>
    <w:rsid w:val="29C6F274"/>
    <w:rsid w:val="29C84048"/>
    <w:rsid w:val="29CA49C6"/>
    <w:rsid w:val="29CD50DD"/>
    <w:rsid w:val="29D49383"/>
    <w:rsid w:val="29D5DBCE"/>
    <w:rsid w:val="29D75271"/>
    <w:rsid w:val="29D8F173"/>
    <w:rsid w:val="29D95890"/>
    <w:rsid w:val="29DCDCA7"/>
    <w:rsid w:val="29DE005C"/>
    <w:rsid w:val="29DE9992"/>
    <w:rsid w:val="29DF385E"/>
    <w:rsid w:val="29DFB4A5"/>
    <w:rsid w:val="29DFD10C"/>
    <w:rsid w:val="29E11BF6"/>
    <w:rsid w:val="29E1D46E"/>
    <w:rsid w:val="29E20776"/>
    <w:rsid w:val="29E59582"/>
    <w:rsid w:val="29E6579E"/>
    <w:rsid w:val="29EAF63B"/>
    <w:rsid w:val="29EE4186"/>
    <w:rsid w:val="29EFA8BB"/>
    <w:rsid w:val="29F09E0D"/>
    <w:rsid w:val="29F3ECF4"/>
    <w:rsid w:val="29F479CC"/>
    <w:rsid w:val="29F4A936"/>
    <w:rsid w:val="29F5C970"/>
    <w:rsid w:val="29F5D826"/>
    <w:rsid w:val="29F840BE"/>
    <w:rsid w:val="29F95CD7"/>
    <w:rsid w:val="29FCBCBF"/>
    <w:rsid w:val="29FCC975"/>
    <w:rsid w:val="29FCCB01"/>
    <w:rsid w:val="29FD2CBA"/>
    <w:rsid w:val="2A003303"/>
    <w:rsid w:val="2A02D7D4"/>
    <w:rsid w:val="2A03380B"/>
    <w:rsid w:val="2A04A737"/>
    <w:rsid w:val="2A05D55A"/>
    <w:rsid w:val="2A0A1569"/>
    <w:rsid w:val="2A0B815F"/>
    <w:rsid w:val="2A0BE86D"/>
    <w:rsid w:val="2A0C7987"/>
    <w:rsid w:val="2A0D29F2"/>
    <w:rsid w:val="2A107BC1"/>
    <w:rsid w:val="2A11B4A4"/>
    <w:rsid w:val="2A123526"/>
    <w:rsid w:val="2A147B1C"/>
    <w:rsid w:val="2A14E6DA"/>
    <w:rsid w:val="2A156137"/>
    <w:rsid w:val="2A166F29"/>
    <w:rsid w:val="2A170CD3"/>
    <w:rsid w:val="2A194A2D"/>
    <w:rsid w:val="2A1B58D7"/>
    <w:rsid w:val="2A229E99"/>
    <w:rsid w:val="2A23072A"/>
    <w:rsid w:val="2A250095"/>
    <w:rsid w:val="2A269D31"/>
    <w:rsid w:val="2A2736C1"/>
    <w:rsid w:val="2A274537"/>
    <w:rsid w:val="2A2AD543"/>
    <w:rsid w:val="2A2AF1CA"/>
    <w:rsid w:val="2A2CB706"/>
    <w:rsid w:val="2A3135AC"/>
    <w:rsid w:val="2A3211A2"/>
    <w:rsid w:val="2A3219C8"/>
    <w:rsid w:val="2A338FCF"/>
    <w:rsid w:val="2A38D38D"/>
    <w:rsid w:val="2A39CB06"/>
    <w:rsid w:val="2A3B737D"/>
    <w:rsid w:val="2A3E9034"/>
    <w:rsid w:val="2A3FCDBB"/>
    <w:rsid w:val="2A413434"/>
    <w:rsid w:val="2A4443D8"/>
    <w:rsid w:val="2A451A6F"/>
    <w:rsid w:val="2A455B97"/>
    <w:rsid w:val="2A47A6C4"/>
    <w:rsid w:val="2A48019A"/>
    <w:rsid w:val="2A488159"/>
    <w:rsid w:val="2A48B066"/>
    <w:rsid w:val="2A48B23F"/>
    <w:rsid w:val="2A48BA9E"/>
    <w:rsid w:val="2A49F8C0"/>
    <w:rsid w:val="2A4B91CA"/>
    <w:rsid w:val="2A4B9DA2"/>
    <w:rsid w:val="2A4D14B6"/>
    <w:rsid w:val="2A4E795F"/>
    <w:rsid w:val="2A51534E"/>
    <w:rsid w:val="2A53F3D1"/>
    <w:rsid w:val="2A54292E"/>
    <w:rsid w:val="2A56AEC4"/>
    <w:rsid w:val="2A57EA79"/>
    <w:rsid w:val="2A5883B1"/>
    <w:rsid w:val="2A59A570"/>
    <w:rsid w:val="2A5ACD87"/>
    <w:rsid w:val="2A5BD791"/>
    <w:rsid w:val="2A5EA3F0"/>
    <w:rsid w:val="2A5EE484"/>
    <w:rsid w:val="2A5EF77A"/>
    <w:rsid w:val="2A5F0469"/>
    <w:rsid w:val="2A623EBA"/>
    <w:rsid w:val="2A663F5D"/>
    <w:rsid w:val="2A66A822"/>
    <w:rsid w:val="2A678FE0"/>
    <w:rsid w:val="2A68BD7B"/>
    <w:rsid w:val="2A6B541E"/>
    <w:rsid w:val="2A6C61EF"/>
    <w:rsid w:val="2A6CD691"/>
    <w:rsid w:val="2A6D0842"/>
    <w:rsid w:val="2A6D4B63"/>
    <w:rsid w:val="2A6EA462"/>
    <w:rsid w:val="2A6FF39C"/>
    <w:rsid w:val="2A732D56"/>
    <w:rsid w:val="2A741B99"/>
    <w:rsid w:val="2A7580F4"/>
    <w:rsid w:val="2A76D94F"/>
    <w:rsid w:val="2A775989"/>
    <w:rsid w:val="2A77FBB3"/>
    <w:rsid w:val="2A78C673"/>
    <w:rsid w:val="2A7E9EDD"/>
    <w:rsid w:val="2A7F1440"/>
    <w:rsid w:val="2A80B780"/>
    <w:rsid w:val="2A83CBB3"/>
    <w:rsid w:val="2A849ECA"/>
    <w:rsid w:val="2A86A6CB"/>
    <w:rsid w:val="2A876834"/>
    <w:rsid w:val="2A8A8C95"/>
    <w:rsid w:val="2A8AAA7E"/>
    <w:rsid w:val="2A8BDB88"/>
    <w:rsid w:val="2A8DD6F0"/>
    <w:rsid w:val="2A90964E"/>
    <w:rsid w:val="2A913F25"/>
    <w:rsid w:val="2A91D74D"/>
    <w:rsid w:val="2A927779"/>
    <w:rsid w:val="2A9411DB"/>
    <w:rsid w:val="2A941FB5"/>
    <w:rsid w:val="2A96D23B"/>
    <w:rsid w:val="2A98542F"/>
    <w:rsid w:val="2A9BC756"/>
    <w:rsid w:val="2A9C1A67"/>
    <w:rsid w:val="2A9EF589"/>
    <w:rsid w:val="2AA36630"/>
    <w:rsid w:val="2AA4B16C"/>
    <w:rsid w:val="2AA4F89F"/>
    <w:rsid w:val="2AA72104"/>
    <w:rsid w:val="2AA82BAB"/>
    <w:rsid w:val="2AA976CA"/>
    <w:rsid w:val="2AAA1BBE"/>
    <w:rsid w:val="2AAAF482"/>
    <w:rsid w:val="2AACB60F"/>
    <w:rsid w:val="2AAD3697"/>
    <w:rsid w:val="2AAE03E4"/>
    <w:rsid w:val="2AAE9E6E"/>
    <w:rsid w:val="2AB15060"/>
    <w:rsid w:val="2AB4AA49"/>
    <w:rsid w:val="2AB6BD45"/>
    <w:rsid w:val="2AB7A452"/>
    <w:rsid w:val="2AB854D3"/>
    <w:rsid w:val="2AB95D4A"/>
    <w:rsid w:val="2AB978C0"/>
    <w:rsid w:val="2ABCA04F"/>
    <w:rsid w:val="2ABD7FEF"/>
    <w:rsid w:val="2ABE0E13"/>
    <w:rsid w:val="2ABFC3FC"/>
    <w:rsid w:val="2ABFCDC6"/>
    <w:rsid w:val="2AC02737"/>
    <w:rsid w:val="2AC04C35"/>
    <w:rsid w:val="2AC1D845"/>
    <w:rsid w:val="2AC29C1A"/>
    <w:rsid w:val="2AC95EE9"/>
    <w:rsid w:val="2ACAC331"/>
    <w:rsid w:val="2ACC0BE2"/>
    <w:rsid w:val="2ACDEE41"/>
    <w:rsid w:val="2ACE8F9E"/>
    <w:rsid w:val="2ACF0D0B"/>
    <w:rsid w:val="2AD342B7"/>
    <w:rsid w:val="2AD4B8FD"/>
    <w:rsid w:val="2AD6857B"/>
    <w:rsid w:val="2AD7B90E"/>
    <w:rsid w:val="2AD8472E"/>
    <w:rsid w:val="2ADB571C"/>
    <w:rsid w:val="2ADB7593"/>
    <w:rsid w:val="2ADC5B31"/>
    <w:rsid w:val="2AE0F08C"/>
    <w:rsid w:val="2AE2C205"/>
    <w:rsid w:val="2AE5127A"/>
    <w:rsid w:val="2AE5DA0E"/>
    <w:rsid w:val="2AE60ABF"/>
    <w:rsid w:val="2AE64BFD"/>
    <w:rsid w:val="2AE800E2"/>
    <w:rsid w:val="2AEA7677"/>
    <w:rsid w:val="2AEF2CDE"/>
    <w:rsid w:val="2AF23012"/>
    <w:rsid w:val="2AF2567E"/>
    <w:rsid w:val="2AF266B7"/>
    <w:rsid w:val="2AF646A9"/>
    <w:rsid w:val="2AF71C42"/>
    <w:rsid w:val="2AF99817"/>
    <w:rsid w:val="2AF9F72D"/>
    <w:rsid w:val="2AFA3741"/>
    <w:rsid w:val="2AFC59A4"/>
    <w:rsid w:val="2AFD77B7"/>
    <w:rsid w:val="2AFEAD2E"/>
    <w:rsid w:val="2B03D41E"/>
    <w:rsid w:val="2B0639A1"/>
    <w:rsid w:val="2B072747"/>
    <w:rsid w:val="2B074AAE"/>
    <w:rsid w:val="2B0A454E"/>
    <w:rsid w:val="2B0ACDEA"/>
    <w:rsid w:val="2B0E95B4"/>
    <w:rsid w:val="2B0F96C4"/>
    <w:rsid w:val="2B108D1C"/>
    <w:rsid w:val="2B125ABF"/>
    <w:rsid w:val="2B125E5A"/>
    <w:rsid w:val="2B1347FF"/>
    <w:rsid w:val="2B13F386"/>
    <w:rsid w:val="2B159FF6"/>
    <w:rsid w:val="2B191401"/>
    <w:rsid w:val="2B19AB2D"/>
    <w:rsid w:val="2B1A162C"/>
    <w:rsid w:val="2B1D9C91"/>
    <w:rsid w:val="2B20A6B1"/>
    <w:rsid w:val="2B2115C6"/>
    <w:rsid w:val="2B258FC3"/>
    <w:rsid w:val="2B278F2E"/>
    <w:rsid w:val="2B296953"/>
    <w:rsid w:val="2B2AD99D"/>
    <w:rsid w:val="2B2D2AE0"/>
    <w:rsid w:val="2B2F0875"/>
    <w:rsid w:val="2B307FDD"/>
    <w:rsid w:val="2B324E55"/>
    <w:rsid w:val="2B34A279"/>
    <w:rsid w:val="2B37DF5D"/>
    <w:rsid w:val="2B3887C2"/>
    <w:rsid w:val="2B39200E"/>
    <w:rsid w:val="2B3B98D4"/>
    <w:rsid w:val="2B3EB5AE"/>
    <w:rsid w:val="2B3EBB2E"/>
    <w:rsid w:val="2B3F93F8"/>
    <w:rsid w:val="2B40DA74"/>
    <w:rsid w:val="2B4301B3"/>
    <w:rsid w:val="2B45D137"/>
    <w:rsid w:val="2B46C768"/>
    <w:rsid w:val="2B49011C"/>
    <w:rsid w:val="2B490A15"/>
    <w:rsid w:val="2B49ABD3"/>
    <w:rsid w:val="2B49AE16"/>
    <w:rsid w:val="2B4A0816"/>
    <w:rsid w:val="2B4C5C5E"/>
    <w:rsid w:val="2B4D29C9"/>
    <w:rsid w:val="2B508F20"/>
    <w:rsid w:val="2B50EBFB"/>
    <w:rsid w:val="2B512DDD"/>
    <w:rsid w:val="2B5267A1"/>
    <w:rsid w:val="2B53F53F"/>
    <w:rsid w:val="2B558875"/>
    <w:rsid w:val="2B5889C3"/>
    <w:rsid w:val="2B58B8A0"/>
    <w:rsid w:val="2B5ACBB1"/>
    <w:rsid w:val="2B5BAECB"/>
    <w:rsid w:val="2B5C471F"/>
    <w:rsid w:val="2B5E22B2"/>
    <w:rsid w:val="2B601ADC"/>
    <w:rsid w:val="2B616789"/>
    <w:rsid w:val="2B62604C"/>
    <w:rsid w:val="2B637AAF"/>
    <w:rsid w:val="2B6435C8"/>
    <w:rsid w:val="2B64A2EF"/>
    <w:rsid w:val="2B66F4DF"/>
    <w:rsid w:val="2B685781"/>
    <w:rsid w:val="2B693BF4"/>
    <w:rsid w:val="2B6AD6A1"/>
    <w:rsid w:val="2B6ADCC0"/>
    <w:rsid w:val="2B6B4330"/>
    <w:rsid w:val="2B6D3EE1"/>
    <w:rsid w:val="2B6F8E98"/>
    <w:rsid w:val="2B707B9D"/>
    <w:rsid w:val="2B728CBA"/>
    <w:rsid w:val="2B737809"/>
    <w:rsid w:val="2B7393C7"/>
    <w:rsid w:val="2B73E79E"/>
    <w:rsid w:val="2B748028"/>
    <w:rsid w:val="2B76837E"/>
    <w:rsid w:val="2B76D722"/>
    <w:rsid w:val="2B77CA66"/>
    <w:rsid w:val="2B797CC3"/>
    <w:rsid w:val="2B79A7B3"/>
    <w:rsid w:val="2B7D39F8"/>
    <w:rsid w:val="2B7DEECD"/>
    <w:rsid w:val="2B803BAA"/>
    <w:rsid w:val="2B84DCF9"/>
    <w:rsid w:val="2B85D04A"/>
    <w:rsid w:val="2B86433D"/>
    <w:rsid w:val="2B873CE5"/>
    <w:rsid w:val="2B882FA5"/>
    <w:rsid w:val="2B884F9F"/>
    <w:rsid w:val="2B889835"/>
    <w:rsid w:val="2B8B4DAD"/>
    <w:rsid w:val="2B8C4C5B"/>
    <w:rsid w:val="2B8DBF92"/>
    <w:rsid w:val="2B8E3DCD"/>
    <w:rsid w:val="2B913DE4"/>
    <w:rsid w:val="2B967183"/>
    <w:rsid w:val="2B96C3D2"/>
    <w:rsid w:val="2B975EBF"/>
    <w:rsid w:val="2B989D06"/>
    <w:rsid w:val="2B98DBD4"/>
    <w:rsid w:val="2B9A455D"/>
    <w:rsid w:val="2B9AC5DD"/>
    <w:rsid w:val="2B9BD0E2"/>
    <w:rsid w:val="2B9C83FC"/>
    <w:rsid w:val="2B9D8FAE"/>
    <w:rsid w:val="2B9FFA07"/>
    <w:rsid w:val="2BA05DFB"/>
    <w:rsid w:val="2BA0976A"/>
    <w:rsid w:val="2BA2127D"/>
    <w:rsid w:val="2BA26241"/>
    <w:rsid w:val="2BA48758"/>
    <w:rsid w:val="2BA4C9B4"/>
    <w:rsid w:val="2BA64AE9"/>
    <w:rsid w:val="2BA64BD9"/>
    <w:rsid w:val="2BA67811"/>
    <w:rsid w:val="2BA6C79D"/>
    <w:rsid w:val="2BA88FA2"/>
    <w:rsid w:val="2BA963D4"/>
    <w:rsid w:val="2BAA89F5"/>
    <w:rsid w:val="2BABC93A"/>
    <w:rsid w:val="2BACC119"/>
    <w:rsid w:val="2BAFFC30"/>
    <w:rsid w:val="2BB3E843"/>
    <w:rsid w:val="2BB89C05"/>
    <w:rsid w:val="2BB8CA67"/>
    <w:rsid w:val="2BB93612"/>
    <w:rsid w:val="2BB9FB2B"/>
    <w:rsid w:val="2BBD6B53"/>
    <w:rsid w:val="2BBDEDE2"/>
    <w:rsid w:val="2BC01CC0"/>
    <w:rsid w:val="2BC095CF"/>
    <w:rsid w:val="2BC2D291"/>
    <w:rsid w:val="2BC327ED"/>
    <w:rsid w:val="2BC36432"/>
    <w:rsid w:val="2BC8C897"/>
    <w:rsid w:val="2BC9DA31"/>
    <w:rsid w:val="2BCA1FF9"/>
    <w:rsid w:val="2BCBB1D1"/>
    <w:rsid w:val="2BCBF640"/>
    <w:rsid w:val="2BCE6B71"/>
    <w:rsid w:val="2BD1F914"/>
    <w:rsid w:val="2BD488CC"/>
    <w:rsid w:val="2BD4E56B"/>
    <w:rsid w:val="2BD6EB8F"/>
    <w:rsid w:val="2BD72ACC"/>
    <w:rsid w:val="2BD73FCC"/>
    <w:rsid w:val="2BD847A5"/>
    <w:rsid w:val="2BD972B6"/>
    <w:rsid w:val="2BDAC51E"/>
    <w:rsid w:val="2BDDDB9A"/>
    <w:rsid w:val="2BDEA69A"/>
    <w:rsid w:val="2BDECC20"/>
    <w:rsid w:val="2BDF481A"/>
    <w:rsid w:val="2BE0590D"/>
    <w:rsid w:val="2BE14FE9"/>
    <w:rsid w:val="2BE1E14D"/>
    <w:rsid w:val="2BE24B9C"/>
    <w:rsid w:val="2BE3778D"/>
    <w:rsid w:val="2BE3AEF0"/>
    <w:rsid w:val="2BE3BD5A"/>
    <w:rsid w:val="2BE43019"/>
    <w:rsid w:val="2BE5C267"/>
    <w:rsid w:val="2BE5EFF3"/>
    <w:rsid w:val="2BE67069"/>
    <w:rsid w:val="2BE756B0"/>
    <w:rsid w:val="2BE78A1B"/>
    <w:rsid w:val="2BE80864"/>
    <w:rsid w:val="2BE92CFB"/>
    <w:rsid w:val="2BE95BDD"/>
    <w:rsid w:val="2BE97215"/>
    <w:rsid w:val="2BEA48B2"/>
    <w:rsid w:val="2BEB12A8"/>
    <w:rsid w:val="2BEB8229"/>
    <w:rsid w:val="2BEB97EB"/>
    <w:rsid w:val="2BED7CF3"/>
    <w:rsid w:val="2BF16E5B"/>
    <w:rsid w:val="2BF2E805"/>
    <w:rsid w:val="2BF4198B"/>
    <w:rsid w:val="2BF7118A"/>
    <w:rsid w:val="2BF9DB06"/>
    <w:rsid w:val="2BFEBE8D"/>
    <w:rsid w:val="2C017EC1"/>
    <w:rsid w:val="2C04A864"/>
    <w:rsid w:val="2C060B1F"/>
    <w:rsid w:val="2C06F060"/>
    <w:rsid w:val="2C07AC2D"/>
    <w:rsid w:val="2C07F9D1"/>
    <w:rsid w:val="2C081DC9"/>
    <w:rsid w:val="2C09DE12"/>
    <w:rsid w:val="2C0CE4BA"/>
    <w:rsid w:val="2C0E98AE"/>
    <w:rsid w:val="2C0F5F15"/>
    <w:rsid w:val="2C0FA849"/>
    <w:rsid w:val="2C142F03"/>
    <w:rsid w:val="2C14A8BB"/>
    <w:rsid w:val="2C1533DC"/>
    <w:rsid w:val="2C19201B"/>
    <w:rsid w:val="2C195DA6"/>
    <w:rsid w:val="2C1E41C6"/>
    <w:rsid w:val="2C1E5AD0"/>
    <w:rsid w:val="2C1FD384"/>
    <w:rsid w:val="2C1FE185"/>
    <w:rsid w:val="2C20FB4B"/>
    <w:rsid w:val="2C213832"/>
    <w:rsid w:val="2C23FA8D"/>
    <w:rsid w:val="2C28AE15"/>
    <w:rsid w:val="2C29FDA1"/>
    <w:rsid w:val="2C2BD380"/>
    <w:rsid w:val="2C2C5F57"/>
    <w:rsid w:val="2C2DC638"/>
    <w:rsid w:val="2C2E49F2"/>
    <w:rsid w:val="2C2EF782"/>
    <w:rsid w:val="2C306607"/>
    <w:rsid w:val="2C3101C6"/>
    <w:rsid w:val="2C31B39C"/>
    <w:rsid w:val="2C352C55"/>
    <w:rsid w:val="2C377561"/>
    <w:rsid w:val="2C3BFBD4"/>
    <w:rsid w:val="2C3E0CBC"/>
    <w:rsid w:val="2C3F8E52"/>
    <w:rsid w:val="2C41C25F"/>
    <w:rsid w:val="2C41DF54"/>
    <w:rsid w:val="2C427371"/>
    <w:rsid w:val="2C435EBF"/>
    <w:rsid w:val="2C442CBC"/>
    <w:rsid w:val="2C443048"/>
    <w:rsid w:val="2C44BDBE"/>
    <w:rsid w:val="2C458119"/>
    <w:rsid w:val="2C48146F"/>
    <w:rsid w:val="2C4A520F"/>
    <w:rsid w:val="2C4AF6A1"/>
    <w:rsid w:val="2C4EA19A"/>
    <w:rsid w:val="2C4F9688"/>
    <w:rsid w:val="2C54FA71"/>
    <w:rsid w:val="2C55DAB3"/>
    <w:rsid w:val="2C57D346"/>
    <w:rsid w:val="2C57FC59"/>
    <w:rsid w:val="2C5847F2"/>
    <w:rsid w:val="2C58EBB1"/>
    <w:rsid w:val="2C5B23ED"/>
    <w:rsid w:val="2C5D61C8"/>
    <w:rsid w:val="2C5E6305"/>
    <w:rsid w:val="2C5E6D5C"/>
    <w:rsid w:val="2C5EEA3B"/>
    <w:rsid w:val="2C5F654D"/>
    <w:rsid w:val="2C60DC37"/>
    <w:rsid w:val="2C68D11B"/>
    <w:rsid w:val="2C696AA6"/>
    <w:rsid w:val="2C6977E1"/>
    <w:rsid w:val="2C6AC85E"/>
    <w:rsid w:val="2C6CEE33"/>
    <w:rsid w:val="2C6EC459"/>
    <w:rsid w:val="2C6F8B9C"/>
    <w:rsid w:val="2C700FA7"/>
    <w:rsid w:val="2C7083B0"/>
    <w:rsid w:val="2C729050"/>
    <w:rsid w:val="2C72AE69"/>
    <w:rsid w:val="2C736361"/>
    <w:rsid w:val="2C73CB28"/>
    <w:rsid w:val="2C7655AA"/>
    <w:rsid w:val="2C770CDB"/>
    <w:rsid w:val="2C77ACCF"/>
    <w:rsid w:val="2C7DBC2E"/>
    <w:rsid w:val="2C804516"/>
    <w:rsid w:val="2C82C49B"/>
    <w:rsid w:val="2C84D685"/>
    <w:rsid w:val="2C8760D9"/>
    <w:rsid w:val="2C8934D1"/>
    <w:rsid w:val="2C89865F"/>
    <w:rsid w:val="2C898D1F"/>
    <w:rsid w:val="2C89C126"/>
    <w:rsid w:val="2C8BCD2A"/>
    <w:rsid w:val="2C8E9E44"/>
    <w:rsid w:val="2C8E9F5D"/>
    <w:rsid w:val="2C905C0B"/>
    <w:rsid w:val="2C940E26"/>
    <w:rsid w:val="2C956137"/>
    <w:rsid w:val="2C99BAA5"/>
    <w:rsid w:val="2C9BA20B"/>
    <w:rsid w:val="2C9BF539"/>
    <w:rsid w:val="2C9C94C7"/>
    <w:rsid w:val="2CA7B9D4"/>
    <w:rsid w:val="2CA8534E"/>
    <w:rsid w:val="2CA97DE7"/>
    <w:rsid w:val="2CA9F14A"/>
    <w:rsid w:val="2CAB0E28"/>
    <w:rsid w:val="2CADA301"/>
    <w:rsid w:val="2CB02A13"/>
    <w:rsid w:val="2CB14B0A"/>
    <w:rsid w:val="2CB4C5EC"/>
    <w:rsid w:val="2CB8CD08"/>
    <w:rsid w:val="2CB93E17"/>
    <w:rsid w:val="2CBBC2FD"/>
    <w:rsid w:val="2CBC0326"/>
    <w:rsid w:val="2CBCB398"/>
    <w:rsid w:val="2CBD8E7A"/>
    <w:rsid w:val="2CBDD83E"/>
    <w:rsid w:val="2CBE0ECC"/>
    <w:rsid w:val="2CBE3BB5"/>
    <w:rsid w:val="2CBFF79C"/>
    <w:rsid w:val="2CC0ABDC"/>
    <w:rsid w:val="2CC0BDE7"/>
    <w:rsid w:val="2CC0C456"/>
    <w:rsid w:val="2CC1701C"/>
    <w:rsid w:val="2CC274BB"/>
    <w:rsid w:val="2CC2D735"/>
    <w:rsid w:val="2CC3E431"/>
    <w:rsid w:val="2CC68623"/>
    <w:rsid w:val="2CC75194"/>
    <w:rsid w:val="2CC7CD68"/>
    <w:rsid w:val="2CC8D6B2"/>
    <w:rsid w:val="2CC96162"/>
    <w:rsid w:val="2CCA0069"/>
    <w:rsid w:val="2CCC8029"/>
    <w:rsid w:val="2CD0B6EB"/>
    <w:rsid w:val="2CD2D469"/>
    <w:rsid w:val="2CD3607E"/>
    <w:rsid w:val="2CD5FE40"/>
    <w:rsid w:val="2CD8AA5F"/>
    <w:rsid w:val="2CD9DF11"/>
    <w:rsid w:val="2CDAC6C8"/>
    <w:rsid w:val="2CDBA093"/>
    <w:rsid w:val="2CDF404F"/>
    <w:rsid w:val="2CDF6660"/>
    <w:rsid w:val="2CE17A3E"/>
    <w:rsid w:val="2CE40EDF"/>
    <w:rsid w:val="2CE76D3B"/>
    <w:rsid w:val="2CE8E5C4"/>
    <w:rsid w:val="2CE9CA63"/>
    <w:rsid w:val="2CEC42CC"/>
    <w:rsid w:val="2CEC544D"/>
    <w:rsid w:val="2CED1A6D"/>
    <w:rsid w:val="2CEE050A"/>
    <w:rsid w:val="2CF0623F"/>
    <w:rsid w:val="2CF16CD1"/>
    <w:rsid w:val="2CF27658"/>
    <w:rsid w:val="2CF2A402"/>
    <w:rsid w:val="2CF45371"/>
    <w:rsid w:val="2CF64E16"/>
    <w:rsid w:val="2CF8C050"/>
    <w:rsid w:val="2CFEC4E3"/>
    <w:rsid w:val="2CFEFA37"/>
    <w:rsid w:val="2CFF9C09"/>
    <w:rsid w:val="2CFFE21F"/>
    <w:rsid w:val="2D019E1F"/>
    <w:rsid w:val="2D01B1BF"/>
    <w:rsid w:val="2D034FCE"/>
    <w:rsid w:val="2D067015"/>
    <w:rsid w:val="2D08DC09"/>
    <w:rsid w:val="2D0A2314"/>
    <w:rsid w:val="2D0A5557"/>
    <w:rsid w:val="2D0BEDB5"/>
    <w:rsid w:val="2D0C189E"/>
    <w:rsid w:val="2D0F58C1"/>
    <w:rsid w:val="2D1041B3"/>
    <w:rsid w:val="2D128E4E"/>
    <w:rsid w:val="2D1346E0"/>
    <w:rsid w:val="2D1354E0"/>
    <w:rsid w:val="2D136416"/>
    <w:rsid w:val="2D13BD0E"/>
    <w:rsid w:val="2D14B6B0"/>
    <w:rsid w:val="2D162005"/>
    <w:rsid w:val="2D16D201"/>
    <w:rsid w:val="2D186361"/>
    <w:rsid w:val="2D1965A6"/>
    <w:rsid w:val="2D198C04"/>
    <w:rsid w:val="2D1BCF82"/>
    <w:rsid w:val="2D1BE2C0"/>
    <w:rsid w:val="2D1BFC8F"/>
    <w:rsid w:val="2D1E48AE"/>
    <w:rsid w:val="2D1EE6C1"/>
    <w:rsid w:val="2D1FD92D"/>
    <w:rsid w:val="2D20D180"/>
    <w:rsid w:val="2D24B7FC"/>
    <w:rsid w:val="2D26EDF1"/>
    <w:rsid w:val="2D2A473D"/>
    <w:rsid w:val="2D2A5DA4"/>
    <w:rsid w:val="2D2BD1C1"/>
    <w:rsid w:val="2D2C722E"/>
    <w:rsid w:val="2D2D0FD9"/>
    <w:rsid w:val="2D2D6D81"/>
    <w:rsid w:val="2D30A7B4"/>
    <w:rsid w:val="2D333E93"/>
    <w:rsid w:val="2D341BD7"/>
    <w:rsid w:val="2D3514A7"/>
    <w:rsid w:val="2D3540A6"/>
    <w:rsid w:val="2D366C7F"/>
    <w:rsid w:val="2D37604F"/>
    <w:rsid w:val="2D38BE02"/>
    <w:rsid w:val="2D3945ED"/>
    <w:rsid w:val="2D396F5E"/>
    <w:rsid w:val="2D3BC296"/>
    <w:rsid w:val="2D3C312C"/>
    <w:rsid w:val="2D3CB296"/>
    <w:rsid w:val="2D3DF372"/>
    <w:rsid w:val="2D3F1D68"/>
    <w:rsid w:val="2D3F245E"/>
    <w:rsid w:val="2D40DC22"/>
    <w:rsid w:val="2D410B8A"/>
    <w:rsid w:val="2D43B70D"/>
    <w:rsid w:val="2D457D6B"/>
    <w:rsid w:val="2D46D190"/>
    <w:rsid w:val="2D474059"/>
    <w:rsid w:val="2D4857EA"/>
    <w:rsid w:val="2D49314A"/>
    <w:rsid w:val="2D4B166C"/>
    <w:rsid w:val="2D4B3F80"/>
    <w:rsid w:val="2D4BB9AB"/>
    <w:rsid w:val="2D4DF16C"/>
    <w:rsid w:val="2D4E4EFF"/>
    <w:rsid w:val="2D4F2730"/>
    <w:rsid w:val="2D4FE106"/>
    <w:rsid w:val="2D4FED45"/>
    <w:rsid w:val="2D505038"/>
    <w:rsid w:val="2D50526F"/>
    <w:rsid w:val="2D5266C2"/>
    <w:rsid w:val="2D53224C"/>
    <w:rsid w:val="2D534049"/>
    <w:rsid w:val="2D548019"/>
    <w:rsid w:val="2D57DD25"/>
    <w:rsid w:val="2D58B8D6"/>
    <w:rsid w:val="2D5B8300"/>
    <w:rsid w:val="2D5B9B87"/>
    <w:rsid w:val="2D5CA558"/>
    <w:rsid w:val="2D5CA6FB"/>
    <w:rsid w:val="2D5D46FD"/>
    <w:rsid w:val="2D5E0A63"/>
    <w:rsid w:val="2D5F481B"/>
    <w:rsid w:val="2D6156A5"/>
    <w:rsid w:val="2D616E39"/>
    <w:rsid w:val="2D659AF7"/>
    <w:rsid w:val="2D66406F"/>
    <w:rsid w:val="2D66630C"/>
    <w:rsid w:val="2D681043"/>
    <w:rsid w:val="2D6A0534"/>
    <w:rsid w:val="2D6A7C6B"/>
    <w:rsid w:val="2D6C2331"/>
    <w:rsid w:val="2D6D10BF"/>
    <w:rsid w:val="2D6E8703"/>
    <w:rsid w:val="2D72C818"/>
    <w:rsid w:val="2D73F149"/>
    <w:rsid w:val="2D74FDCE"/>
    <w:rsid w:val="2D78E322"/>
    <w:rsid w:val="2D7904E0"/>
    <w:rsid w:val="2D7950E2"/>
    <w:rsid w:val="2D7AF714"/>
    <w:rsid w:val="2D7CF884"/>
    <w:rsid w:val="2D7E60A9"/>
    <w:rsid w:val="2D8153E8"/>
    <w:rsid w:val="2D8163E6"/>
    <w:rsid w:val="2D830F60"/>
    <w:rsid w:val="2D849F8B"/>
    <w:rsid w:val="2D8566D9"/>
    <w:rsid w:val="2D87B00F"/>
    <w:rsid w:val="2D907808"/>
    <w:rsid w:val="2D90AA49"/>
    <w:rsid w:val="2D91EDF8"/>
    <w:rsid w:val="2D936ED7"/>
    <w:rsid w:val="2D95F8A8"/>
    <w:rsid w:val="2D960F96"/>
    <w:rsid w:val="2D97D46E"/>
    <w:rsid w:val="2D981B35"/>
    <w:rsid w:val="2D98F641"/>
    <w:rsid w:val="2D993319"/>
    <w:rsid w:val="2D9A18E3"/>
    <w:rsid w:val="2D9CCD2E"/>
    <w:rsid w:val="2D9E39B0"/>
    <w:rsid w:val="2D9ED918"/>
    <w:rsid w:val="2DA01466"/>
    <w:rsid w:val="2DA3B511"/>
    <w:rsid w:val="2DA44613"/>
    <w:rsid w:val="2DA69881"/>
    <w:rsid w:val="2DA9956A"/>
    <w:rsid w:val="2DAD9B6F"/>
    <w:rsid w:val="2DAE4D10"/>
    <w:rsid w:val="2DAED866"/>
    <w:rsid w:val="2DAFE28D"/>
    <w:rsid w:val="2DB128AC"/>
    <w:rsid w:val="2DB2C20C"/>
    <w:rsid w:val="2DB30379"/>
    <w:rsid w:val="2DB386F5"/>
    <w:rsid w:val="2DB3AB49"/>
    <w:rsid w:val="2DB4F018"/>
    <w:rsid w:val="2DB64482"/>
    <w:rsid w:val="2DB65D6B"/>
    <w:rsid w:val="2DB81374"/>
    <w:rsid w:val="2DB883F6"/>
    <w:rsid w:val="2DB94BEF"/>
    <w:rsid w:val="2DBAFD0B"/>
    <w:rsid w:val="2DBC0698"/>
    <w:rsid w:val="2DBE6038"/>
    <w:rsid w:val="2DC3CE81"/>
    <w:rsid w:val="2DC52E33"/>
    <w:rsid w:val="2DC64D41"/>
    <w:rsid w:val="2DC6A745"/>
    <w:rsid w:val="2DC6C4ED"/>
    <w:rsid w:val="2DC7031E"/>
    <w:rsid w:val="2DC88828"/>
    <w:rsid w:val="2DCAEEDB"/>
    <w:rsid w:val="2DCB4D10"/>
    <w:rsid w:val="2DCE94D8"/>
    <w:rsid w:val="2DCF5E58"/>
    <w:rsid w:val="2DD0AD33"/>
    <w:rsid w:val="2DD19F2B"/>
    <w:rsid w:val="2DD2B5E6"/>
    <w:rsid w:val="2DD46317"/>
    <w:rsid w:val="2DD4CD70"/>
    <w:rsid w:val="2DD9CA2A"/>
    <w:rsid w:val="2DDA3B6A"/>
    <w:rsid w:val="2DDB8609"/>
    <w:rsid w:val="2DDEBA35"/>
    <w:rsid w:val="2DDF180A"/>
    <w:rsid w:val="2DDFB74A"/>
    <w:rsid w:val="2DE09215"/>
    <w:rsid w:val="2DE0D7AB"/>
    <w:rsid w:val="2DE0FCBE"/>
    <w:rsid w:val="2DE2D8B6"/>
    <w:rsid w:val="2DE47F75"/>
    <w:rsid w:val="2DE502FD"/>
    <w:rsid w:val="2DE6CF6D"/>
    <w:rsid w:val="2DE9A9F8"/>
    <w:rsid w:val="2DEA0334"/>
    <w:rsid w:val="2DED8703"/>
    <w:rsid w:val="2DF035C8"/>
    <w:rsid w:val="2DF16667"/>
    <w:rsid w:val="2DF1B535"/>
    <w:rsid w:val="2DF35E11"/>
    <w:rsid w:val="2DF3BC2C"/>
    <w:rsid w:val="2DF4C405"/>
    <w:rsid w:val="2DF4C67E"/>
    <w:rsid w:val="2DF66144"/>
    <w:rsid w:val="2DF71165"/>
    <w:rsid w:val="2DF917ED"/>
    <w:rsid w:val="2DF9FB83"/>
    <w:rsid w:val="2DFC255C"/>
    <w:rsid w:val="2DFC6640"/>
    <w:rsid w:val="2DFE0FB2"/>
    <w:rsid w:val="2DFE4F4C"/>
    <w:rsid w:val="2E022D75"/>
    <w:rsid w:val="2E023143"/>
    <w:rsid w:val="2E03C655"/>
    <w:rsid w:val="2E04D678"/>
    <w:rsid w:val="2E095186"/>
    <w:rsid w:val="2E0B0511"/>
    <w:rsid w:val="2E0B137B"/>
    <w:rsid w:val="2E0DE662"/>
    <w:rsid w:val="2E0E4018"/>
    <w:rsid w:val="2E0EC0C2"/>
    <w:rsid w:val="2E0F9C89"/>
    <w:rsid w:val="2E0FD732"/>
    <w:rsid w:val="2E123533"/>
    <w:rsid w:val="2E12AA88"/>
    <w:rsid w:val="2E1494D3"/>
    <w:rsid w:val="2E175C7C"/>
    <w:rsid w:val="2E188316"/>
    <w:rsid w:val="2E1A8A3D"/>
    <w:rsid w:val="2E1B4E12"/>
    <w:rsid w:val="2E1D3E19"/>
    <w:rsid w:val="2E1D705D"/>
    <w:rsid w:val="2E1F0715"/>
    <w:rsid w:val="2E1FB954"/>
    <w:rsid w:val="2E1FC99F"/>
    <w:rsid w:val="2E226DEA"/>
    <w:rsid w:val="2E24D8E8"/>
    <w:rsid w:val="2E25486D"/>
    <w:rsid w:val="2E259AA6"/>
    <w:rsid w:val="2E26808B"/>
    <w:rsid w:val="2E283359"/>
    <w:rsid w:val="2E293474"/>
    <w:rsid w:val="2E2949EC"/>
    <w:rsid w:val="2E2A4E7E"/>
    <w:rsid w:val="2E2BE28E"/>
    <w:rsid w:val="2E2BF004"/>
    <w:rsid w:val="2E2C090F"/>
    <w:rsid w:val="2E2C171B"/>
    <w:rsid w:val="2E2C4C5B"/>
    <w:rsid w:val="2E2CE0DE"/>
    <w:rsid w:val="2E2F2391"/>
    <w:rsid w:val="2E2F9623"/>
    <w:rsid w:val="2E2FA2DC"/>
    <w:rsid w:val="2E2FBA4D"/>
    <w:rsid w:val="2E308706"/>
    <w:rsid w:val="2E327623"/>
    <w:rsid w:val="2E33B342"/>
    <w:rsid w:val="2E34EBC6"/>
    <w:rsid w:val="2E350F0B"/>
    <w:rsid w:val="2E356243"/>
    <w:rsid w:val="2E361351"/>
    <w:rsid w:val="2E372A61"/>
    <w:rsid w:val="2E376414"/>
    <w:rsid w:val="2E3A62E9"/>
    <w:rsid w:val="2E3AB04D"/>
    <w:rsid w:val="2E3BC2A5"/>
    <w:rsid w:val="2E3D40C1"/>
    <w:rsid w:val="2E3E80B4"/>
    <w:rsid w:val="2E3E9AA4"/>
    <w:rsid w:val="2E3ECEB3"/>
    <w:rsid w:val="2E3FCD3F"/>
    <w:rsid w:val="2E4139D1"/>
    <w:rsid w:val="2E414683"/>
    <w:rsid w:val="2E441DFF"/>
    <w:rsid w:val="2E466CE4"/>
    <w:rsid w:val="2E469F56"/>
    <w:rsid w:val="2E4A040E"/>
    <w:rsid w:val="2E4A4E18"/>
    <w:rsid w:val="2E4BF190"/>
    <w:rsid w:val="2E4C66A6"/>
    <w:rsid w:val="2E4CAA0C"/>
    <w:rsid w:val="2E4CBC34"/>
    <w:rsid w:val="2E4DBD88"/>
    <w:rsid w:val="2E4F2D5E"/>
    <w:rsid w:val="2E51DAFF"/>
    <w:rsid w:val="2E539B11"/>
    <w:rsid w:val="2E57AB10"/>
    <w:rsid w:val="2E58FA94"/>
    <w:rsid w:val="2E5A19C1"/>
    <w:rsid w:val="2E5C2186"/>
    <w:rsid w:val="2E5D3D4C"/>
    <w:rsid w:val="2E6110C4"/>
    <w:rsid w:val="2E611165"/>
    <w:rsid w:val="2E61C445"/>
    <w:rsid w:val="2E61F495"/>
    <w:rsid w:val="2E62EA23"/>
    <w:rsid w:val="2E64FADE"/>
    <w:rsid w:val="2E650521"/>
    <w:rsid w:val="2E66CBE5"/>
    <w:rsid w:val="2E693638"/>
    <w:rsid w:val="2E6AC4D2"/>
    <w:rsid w:val="2E6BEB5F"/>
    <w:rsid w:val="2E6E65BB"/>
    <w:rsid w:val="2E6EC083"/>
    <w:rsid w:val="2E6F0FD0"/>
    <w:rsid w:val="2E6F8790"/>
    <w:rsid w:val="2E6F8F77"/>
    <w:rsid w:val="2E70339E"/>
    <w:rsid w:val="2E73AA6C"/>
    <w:rsid w:val="2E743953"/>
    <w:rsid w:val="2E7585AA"/>
    <w:rsid w:val="2E7699B7"/>
    <w:rsid w:val="2E783DBD"/>
    <w:rsid w:val="2E793ED4"/>
    <w:rsid w:val="2E794566"/>
    <w:rsid w:val="2E7A0DE7"/>
    <w:rsid w:val="2E7A0DFA"/>
    <w:rsid w:val="2E7B78F0"/>
    <w:rsid w:val="2E7E2913"/>
    <w:rsid w:val="2E7F110C"/>
    <w:rsid w:val="2E7F94DB"/>
    <w:rsid w:val="2E8021B3"/>
    <w:rsid w:val="2E80C822"/>
    <w:rsid w:val="2E815CD9"/>
    <w:rsid w:val="2E81CF55"/>
    <w:rsid w:val="2E85A7F0"/>
    <w:rsid w:val="2E864278"/>
    <w:rsid w:val="2E8681A0"/>
    <w:rsid w:val="2E86CC19"/>
    <w:rsid w:val="2E892199"/>
    <w:rsid w:val="2E8A45E4"/>
    <w:rsid w:val="2E8D92F2"/>
    <w:rsid w:val="2E8DF870"/>
    <w:rsid w:val="2E8ED361"/>
    <w:rsid w:val="2E8F278F"/>
    <w:rsid w:val="2E90B439"/>
    <w:rsid w:val="2E92BC78"/>
    <w:rsid w:val="2E93F15F"/>
    <w:rsid w:val="2E94C8B6"/>
    <w:rsid w:val="2E9A46F2"/>
    <w:rsid w:val="2E9BD8C5"/>
    <w:rsid w:val="2E9CB023"/>
    <w:rsid w:val="2E9CCAFC"/>
    <w:rsid w:val="2E9E7495"/>
    <w:rsid w:val="2E9EEC5A"/>
    <w:rsid w:val="2E9FA4A7"/>
    <w:rsid w:val="2EA2B05B"/>
    <w:rsid w:val="2EA4FDE6"/>
    <w:rsid w:val="2EA7911E"/>
    <w:rsid w:val="2EA931C0"/>
    <w:rsid w:val="2EAA098C"/>
    <w:rsid w:val="2EABA9DD"/>
    <w:rsid w:val="2EAD3807"/>
    <w:rsid w:val="2EADED32"/>
    <w:rsid w:val="2EAF1C75"/>
    <w:rsid w:val="2EB0FC65"/>
    <w:rsid w:val="2EB1BE44"/>
    <w:rsid w:val="2EB2A842"/>
    <w:rsid w:val="2EB43F89"/>
    <w:rsid w:val="2EB585EA"/>
    <w:rsid w:val="2EB6BEDE"/>
    <w:rsid w:val="2EB7484E"/>
    <w:rsid w:val="2EB83E5B"/>
    <w:rsid w:val="2EB86414"/>
    <w:rsid w:val="2EBADC4A"/>
    <w:rsid w:val="2EBB3F59"/>
    <w:rsid w:val="2EBBDF9E"/>
    <w:rsid w:val="2EBC5FBC"/>
    <w:rsid w:val="2EBCC1BA"/>
    <w:rsid w:val="2EBCF892"/>
    <w:rsid w:val="2EBDE2BB"/>
    <w:rsid w:val="2EC35B0B"/>
    <w:rsid w:val="2EC449C8"/>
    <w:rsid w:val="2EC4F5FA"/>
    <w:rsid w:val="2EC62A40"/>
    <w:rsid w:val="2EC81DAD"/>
    <w:rsid w:val="2ECAC443"/>
    <w:rsid w:val="2ECC038A"/>
    <w:rsid w:val="2ECDEE2F"/>
    <w:rsid w:val="2ECE1919"/>
    <w:rsid w:val="2ECEAC84"/>
    <w:rsid w:val="2ED27970"/>
    <w:rsid w:val="2ED48434"/>
    <w:rsid w:val="2ED59DAB"/>
    <w:rsid w:val="2ED5A55D"/>
    <w:rsid w:val="2ED5DC1C"/>
    <w:rsid w:val="2ED67CDA"/>
    <w:rsid w:val="2ED6C049"/>
    <w:rsid w:val="2ED7CC3D"/>
    <w:rsid w:val="2ED971C9"/>
    <w:rsid w:val="2ED99A76"/>
    <w:rsid w:val="2EDB0AFD"/>
    <w:rsid w:val="2EDC35E8"/>
    <w:rsid w:val="2EDFD1C5"/>
    <w:rsid w:val="2EE44FAD"/>
    <w:rsid w:val="2EE47007"/>
    <w:rsid w:val="2EE5A814"/>
    <w:rsid w:val="2EE696D1"/>
    <w:rsid w:val="2EE82868"/>
    <w:rsid w:val="2EE97860"/>
    <w:rsid w:val="2EEA70E2"/>
    <w:rsid w:val="2EEA9645"/>
    <w:rsid w:val="2EEAB969"/>
    <w:rsid w:val="2EEEC728"/>
    <w:rsid w:val="2EEEC952"/>
    <w:rsid w:val="2EF851AF"/>
    <w:rsid w:val="2EF9FE49"/>
    <w:rsid w:val="2EFA63C5"/>
    <w:rsid w:val="2EFAB8AE"/>
    <w:rsid w:val="2EFBCA7A"/>
    <w:rsid w:val="2EFC5EED"/>
    <w:rsid w:val="2EFE08A9"/>
    <w:rsid w:val="2EFE3DD0"/>
    <w:rsid w:val="2EFED230"/>
    <w:rsid w:val="2EFFC93D"/>
    <w:rsid w:val="2EFFD03C"/>
    <w:rsid w:val="2F001528"/>
    <w:rsid w:val="2F02AB19"/>
    <w:rsid w:val="2F0502D0"/>
    <w:rsid w:val="2F05A812"/>
    <w:rsid w:val="2F071C0D"/>
    <w:rsid w:val="2F0814F0"/>
    <w:rsid w:val="2F0A196C"/>
    <w:rsid w:val="2F0BF29D"/>
    <w:rsid w:val="2F0D38D8"/>
    <w:rsid w:val="2F0DCEE4"/>
    <w:rsid w:val="2F0DFD44"/>
    <w:rsid w:val="2F0F5FD4"/>
    <w:rsid w:val="2F1116A9"/>
    <w:rsid w:val="2F117A21"/>
    <w:rsid w:val="2F11EA2E"/>
    <w:rsid w:val="2F131675"/>
    <w:rsid w:val="2F138860"/>
    <w:rsid w:val="2F13F38D"/>
    <w:rsid w:val="2F1657BB"/>
    <w:rsid w:val="2F176D67"/>
    <w:rsid w:val="2F17743E"/>
    <w:rsid w:val="2F17996F"/>
    <w:rsid w:val="2F17C7F5"/>
    <w:rsid w:val="2F18ED92"/>
    <w:rsid w:val="2F1AEBEF"/>
    <w:rsid w:val="2F1D1201"/>
    <w:rsid w:val="2F224269"/>
    <w:rsid w:val="2F224852"/>
    <w:rsid w:val="2F24636E"/>
    <w:rsid w:val="2F27F4C6"/>
    <w:rsid w:val="2F287E6B"/>
    <w:rsid w:val="2F2AD042"/>
    <w:rsid w:val="2F2F4AA0"/>
    <w:rsid w:val="2F342209"/>
    <w:rsid w:val="2F350605"/>
    <w:rsid w:val="2F358E13"/>
    <w:rsid w:val="2F385179"/>
    <w:rsid w:val="2F3A73C5"/>
    <w:rsid w:val="2F3AB60F"/>
    <w:rsid w:val="2F3D13F5"/>
    <w:rsid w:val="2F3D7CB2"/>
    <w:rsid w:val="2F3ED1B5"/>
    <w:rsid w:val="2F3FE40D"/>
    <w:rsid w:val="2F4191F8"/>
    <w:rsid w:val="2F432EE5"/>
    <w:rsid w:val="2F45065E"/>
    <w:rsid w:val="2F452A20"/>
    <w:rsid w:val="2F455229"/>
    <w:rsid w:val="2F4638D7"/>
    <w:rsid w:val="2F465A09"/>
    <w:rsid w:val="2F46F554"/>
    <w:rsid w:val="2F4700B7"/>
    <w:rsid w:val="2F481E9A"/>
    <w:rsid w:val="2F49894E"/>
    <w:rsid w:val="2F51CFA4"/>
    <w:rsid w:val="2F530E20"/>
    <w:rsid w:val="2F5578FF"/>
    <w:rsid w:val="2F55A848"/>
    <w:rsid w:val="2F569AC1"/>
    <w:rsid w:val="2F572052"/>
    <w:rsid w:val="2F5838CD"/>
    <w:rsid w:val="2F589C1B"/>
    <w:rsid w:val="2F58F38C"/>
    <w:rsid w:val="2F594BB5"/>
    <w:rsid w:val="2F59E4E8"/>
    <w:rsid w:val="2F5AFFB4"/>
    <w:rsid w:val="2F5BB437"/>
    <w:rsid w:val="2F5C9042"/>
    <w:rsid w:val="2F5E3061"/>
    <w:rsid w:val="2F5E4A32"/>
    <w:rsid w:val="2F5EAC17"/>
    <w:rsid w:val="2F5F4BD5"/>
    <w:rsid w:val="2F5FA7B7"/>
    <w:rsid w:val="2F601820"/>
    <w:rsid w:val="2F60A1C7"/>
    <w:rsid w:val="2F60AA95"/>
    <w:rsid w:val="2F634846"/>
    <w:rsid w:val="2F6983C3"/>
    <w:rsid w:val="2F6C178F"/>
    <w:rsid w:val="2F6D51B9"/>
    <w:rsid w:val="2F6DCF9C"/>
    <w:rsid w:val="2F7320D4"/>
    <w:rsid w:val="2F736DC8"/>
    <w:rsid w:val="2F77D940"/>
    <w:rsid w:val="2F7B0587"/>
    <w:rsid w:val="2F7D03B7"/>
    <w:rsid w:val="2F804C33"/>
    <w:rsid w:val="2F81538D"/>
    <w:rsid w:val="2F83D5E6"/>
    <w:rsid w:val="2F83EEE2"/>
    <w:rsid w:val="2F859C09"/>
    <w:rsid w:val="2F86E8C7"/>
    <w:rsid w:val="2F87742E"/>
    <w:rsid w:val="2F879AA9"/>
    <w:rsid w:val="2F8A8F67"/>
    <w:rsid w:val="2F8B65DE"/>
    <w:rsid w:val="2F8C018B"/>
    <w:rsid w:val="2F8C40B7"/>
    <w:rsid w:val="2F9143B8"/>
    <w:rsid w:val="2F92670D"/>
    <w:rsid w:val="2F9644B5"/>
    <w:rsid w:val="2F967DDF"/>
    <w:rsid w:val="2F96C82A"/>
    <w:rsid w:val="2F974779"/>
    <w:rsid w:val="2F975EE7"/>
    <w:rsid w:val="2F97A4B3"/>
    <w:rsid w:val="2F97AF0D"/>
    <w:rsid w:val="2F9A7BBE"/>
    <w:rsid w:val="2F9CACD2"/>
    <w:rsid w:val="2F9F393B"/>
    <w:rsid w:val="2FA08F6E"/>
    <w:rsid w:val="2FA116C0"/>
    <w:rsid w:val="2FA1C957"/>
    <w:rsid w:val="2FA5C79B"/>
    <w:rsid w:val="2FA83BA7"/>
    <w:rsid w:val="2FAA3A97"/>
    <w:rsid w:val="2FAAFBFF"/>
    <w:rsid w:val="2FAC1C43"/>
    <w:rsid w:val="2FAD1E37"/>
    <w:rsid w:val="2FAD9636"/>
    <w:rsid w:val="2FADC721"/>
    <w:rsid w:val="2FADEFB5"/>
    <w:rsid w:val="2FAF297C"/>
    <w:rsid w:val="2FB071CA"/>
    <w:rsid w:val="2FB12D2F"/>
    <w:rsid w:val="2FB1A5AF"/>
    <w:rsid w:val="2FB67D4F"/>
    <w:rsid w:val="2FB8579D"/>
    <w:rsid w:val="2FB9336F"/>
    <w:rsid w:val="2FBACD02"/>
    <w:rsid w:val="2FBB05C1"/>
    <w:rsid w:val="2FC03D38"/>
    <w:rsid w:val="2FC09502"/>
    <w:rsid w:val="2FC35137"/>
    <w:rsid w:val="2FC3EC7E"/>
    <w:rsid w:val="2FC6B642"/>
    <w:rsid w:val="2FC8A218"/>
    <w:rsid w:val="2FC8E72F"/>
    <w:rsid w:val="2FCA69BC"/>
    <w:rsid w:val="2FCC0523"/>
    <w:rsid w:val="2FCCA3BB"/>
    <w:rsid w:val="2FCDAAE8"/>
    <w:rsid w:val="2FCDD918"/>
    <w:rsid w:val="2FCDDA6E"/>
    <w:rsid w:val="2FCE953F"/>
    <w:rsid w:val="2FCF1E5E"/>
    <w:rsid w:val="2FD03621"/>
    <w:rsid w:val="2FD7B178"/>
    <w:rsid w:val="2FD7EAC9"/>
    <w:rsid w:val="2FD83BBB"/>
    <w:rsid w:val="2FD87363"/>
    <w:rsid w:val="2FD8C548"/>
    <w:rsid w:val="2FDA2B62"/>
    <w:rsid w:val="2FDAFAD8"/>
    <w:rsid w:val="2FDB4990"/>
    <w:rsid w:val="2FDC7BD8"/>
    <w:rsid w:val="2FE1495D"/>
    <w:rsid w:val="2FE2BEF1"/>
    <w:rsid w:val="2FE346BB"/>
    <w:rsid w:val="2FE492D4"/>
    <w:rsid w:val="2FE4A57E"/>
    <w:rsid w:val="2FE4BD7A"/>
    <w:rsid w:val="2FE826A2"/>
    <w:rsid w:val="2FE88F87"/>
    <w:rsid w:val="2FE9AED4"/>
    <w:rsid w:val="2FEBC3A3"/>
    <w:rsid w:val="2FEDA576"/>
    <w:rsid w:val="2FEDD6B8"/>
    <w:rsid w:val="2FEDEC6E"/>
    <w:rsid w:val="2FF272BB"/>
    <w:rsid w:val="2FF31E3C"/>
    <w:rsid w:val="2FF48AA3"/>
    <w:rsid w:val="2FF54934"/>
    <w:rsid w:val="2FF58E35"/>
    <w:rsid w:val="2FF671CC"/>
    <w:rsid w:val="2FF704BA"/>
    <w:rsid w:val="2FF7C0D2"/>
    <w:rsid w:val="2FF7C5B2"/>
    <w:rsid w:val="2FF7ED85"/>
    <w:rsid w:val="2FFAA750"/>
    <w:rsid w:val="2FFDB925"/>
    <w:rsid w:val="2FFE7566"/>
    <w:rsid w:val="2FFE7847"/>
    <w:rsid w:val="2FFF3A7D"/>
    <w:rsid w:val="2FFFDDDD"/>
    <w:rsid w:val="3002A440"/>
    <w:rsid w:val="3003D22F"/>
    <w:rsid w:val="3007019B"/>
    <w:rsid w:val="300779AB"/>
    <w:rsid w:val="300811FD"/>
    <w:rsid w:val="300B8AC3"/>
    <w:rsid w:val="300D6C40"/>
    <w:rsid w:val="30119330"/>
    <w:rsid w:val="30120993"/>
    <w:rsid w:val="30134186"/>
    <w:rsid w:val="301456E6"/>
    <w:rsid w:val="30177DD5"/>
    <w:rsid w:val="3017C562"/>
    <w:rsid w:val="301AD962"/>
    <w:rsid w:val="301D90A0"/>
    <w:rsid w:val="301DF7C8"/>
    <w:rsid w:val="301FB405"/>
    <w:rsid w:val="3020175A"/>
    <w:rsid w:val="30211BF0"/>
    <w:rsid w:val="302123D8"/>
    <w:rsid w:val="3021577A"/>
    <w:rsid w:val="3023A3E9"/>
    <w:rsid w:val="30284725"/>
    <w:rsid w:val="30285AE3"/>
    <w:rsid w:val="30293338"/>
    <w:rsid w:val="3029797C"/>
    <w:rsid w:val="3029C704"/>
    <w:rsid w:val="3029EA8F"/>
    <w:rsid w:val="302DF6FF"/>
    <w:rsid w:val="30306F6F"/>
    <w:rsid w:val="30336F03"/>
    <w:rsid w:val="303379A8"/>
    <w:rsid w:val="3033C96F"/>
    <w:rsid w:val="30340FBA"/>
    <w:rsid w:val="30364EF7"/>
    <w:rsid w:val="3036CB64"/>
    <w:rsid w:val="3036D20D"/>
    <w:rsid w:val="30375587"/>
    <w:rsid w:val="3038B049"/>
    <w:rsid w:val="3039F478"/>
    <w:rsid w:val="303B9B1C"/>
    <w:rsid w:val="303BFE30"/>
    <w:rsid w:val="303D5746"/>
    <w:rsid w:val="303DC823"/>
    <w:rsid w:val="303FEAB7"/>
    <w:rsid w:val="303FF6FD"/>
    <w:rsid w:val="30407C97"/>
    <w:rsid w:val="304207CE"/>
    <w:rsid w:val="3044DC2E"/>
    <w:rsid w:val="3044F159"/>
    <w:rsid w:val="3045E6DA"/>
    <w:rsid w:val="304A8988"/>
    <w:rsid w:val="304C322C"/>
    <w:rsid w:val="304D3C14"/>
    <w:rsid w:val="304D69D0"/>
    <w:rsid w:val="304EF189"/>
    <w:rsid w:val="304F4847"/>
    <w:rsid w:val="304F91FC"/>
    <w:rsid w:val="305377F5"/>
    <w:rsid w:val="30580A59"/>
    <w:rsid w:val="305A2944"/>
    <w:rsid w:val="305AC81C"/>
    <w:rsid w:val="305F08A0"/>
    <w:rsid w:val="305F7FED"/>
    <w:rsid w:val="306133B2"/>
    <w:rsid w:val="30660779"/>
    <w:rsid w:val="3067FE49"/>
    <w:rsid w:val="30682AE7"/>
    <w:rsid w:val="3068D6AC"/>
    <w:rsid w:val="30690BA2"/>
    <w:rsid w:val="306B20B6"/>
    <w:rsid w:val="306BA012"/>
    <w:rsid w:val="306E6B25"/>
    <w:rsid w:val="306EF2E2"/>
    <w:rsid w:val="306F9D31"/>
    <w:rsid w:val="30704589"/>
    <w:rsid w:val="307114ED"/>
    <w:rsid w:val="307519D5"/>
    <w:rsid w:val="30764493"/>
    <w:rsid w:val="3078B7C4"/>
    <w:rsid w:val="307AF62F"/>
    <w:rsid w:val="307B2263"/>
    <w:rsid w:val="307B334A"/>
    <w:rsid w:val="307BF748"/>
    <w:rsid w:val="307F85E8"/>
    <w:rsid w:val="308283D4"/>
    <w:rsid w:val="30828802"/>
    <w:rsid w:val="30831344"/>
    <w:rsid w:val="3086BA3C"/>
    <w:rsid w:val="30876569"/>
    <w:rsid w:val="30877361"/>
    <w:rsid w:val="30893CEB"/>
    <w:rsid w:val="30894E89"/>
    <w:rsid w:val="308970FF"/>
    <w:rsid w:val="30898163"/>
    <w:rsid w:val="308B5C1D"/>
    <w:rsid w:val="308BA0AE"/>
    <w:rsid w:val="308E620B"/>
    <w:rsid w:val="308F3EFC"/>
    <w:rsid w:val="30937806"/>
    <w:rsid w:val="309645BB"/>
    <w:rsid w:val="30969AD2"/>
    <w:rsid w:val="30984A2B"/>
    <w:rsid w:val="309BD54B"/>
    <w:rsid w:val="309D1A2A"/>
    <w:rsid w:val="309E57EB"/>
    <w:rsid w:val="30A17E27"/>
    <w:rsid w:val="30A30727"/>
    <w:rsid w:val="30A5D2D4"/>
    <w:rsid w:val="30A902C2"/>
    <w:rsid w:val="30A9B0CB"/>
    <w:rsid w:val="30AA5C5E"/>
    <w:rsid w:val="30AAEEDF"/>
    <w:rsid w:val="30AC138E"/>
    <w:rsid w:val="30AC3C7F"/>
    <w:rsid w:val="30AF5ED4"/>
    <w:rsid w:val="30B44077"/>
    <w:rsid w:val="30B4434E"/>
    <w:rsid w:val="30B54B64"/>
    <w:rsid w:val="30B58466"/>
    <w:rsid w:val="30B5B646"/>
    <w:rsid w:val="30B64D9E"/>
    <w:rsid w:val="30B87D18"/>
    <w:rsid w:val="30B9B62C"/>
    <w:rsid w:val="30B9D5EC"/>
    <w:rsid w:val="30BAEE45"/>
    <w:rsid w:val="30BF8DD9"/>
    <w:rsid w:val="30C01F5B"/>
    <w:rsid w:val="30C027DE"/>
    <w:rsid w:val="30C0A022"/>
    <w:rsid w:val="30C57F0B"/>
    <w:rsid w:val="30C58FFD"/>
    <w:rsid w:val="30C66B36"/>
    <w:rsid w:val="30C8D69B"/>
    <w:rsid w:val="30D19BA1"/>
    <w:rsid w:val="30D233F6"/>
    <w:rsid w:val="30D292E3"/>
    <w:rsid w:val="30D71407"/>
    <w:rsid w:val="30D7E490"/>
    <w:rsid w:val="30DBC47B"/>
    <w:rsid w:val="30E10A35"/>
    <w:rsid w:val="30E4D986"/>
    <w:rsid w:val="30E4DF42"/>
    <w:rsid w:val="30EC1857"/>
    <w:rsid w:val="30EC4CD4"/>
    <w:rsid w:val="30EC9615"/>
    <w:rsid w:val="30EE187C"/>
    <w:rsid w:val="30F17B00"/>
    <w:rsid w:val="30F2A6B3"/>
    <w:rsid w:val="30F39A53"/>
    <w:rsid w:val="30F3E14F"/>
    <w:rsid w:val="30F6F965"/>
    <w:rsid w:val="30F72FAB"/>
    <w:rsid w:val="30F7EEB0"/>
    <w:rsid w:val="30F9302B"/>
    <w:rsid w:val="30FAFCB8"/>
    <w:rsid w:val="30FCEDC0"/>
    <w:rsid w:val="30FD82B6"/>
    <w:rsid w:val="30FFA317"/>
    <w:rsid w:val="3103311C"/>
    <w:rsid w:val="31037FDE"/>
    <w:rsid w:val="3106C0C4"/>
    <w:rsid w:val="3106FBF8"/>
    <w:rsid w:val="3107E4C6"/>
    <w:rsid w:val="3108A513"/>
    <w:rsid w:val="310A0865"/>
    <w:rsid w:val="310C0978"/>
    <w:rsid w:val="310C3B43"/>
    <w:rsid w:val="310D042A"/>
    <w:rsid w:val="310F1066"/>
    <w:rsid w:val="310F13A2"/>
    <w:rsid w:val="310F9017"/>
    <w:rsid w:val="3110B238"/>
    <w:rsid w:val="3110FC61"/>
    <w:rsid w:val="3112F7DB"/>
    <w:rsid w:val="31162FDF"/>
    <w:rsid w:val="31167E30"/>
    <w:rsid w:val="311704B2"/>
    <w:rsid w:val="311A7C29"/>
    <w:rsid w:val="311AFFA8"/>
    <w:rsid w:val="311B4928"/>
    <w:rsid w:val="311C36DF"/>
    <w:rsid w:val="311CDB9B"/>
    <w:rsid w:val="311D132A"/>
    <w:rsid w:val="31219D78"/>
    <w:rsid w:val="312270B8"/>
    <w:rsid w:val="3125CB52"/>
    <w:rsid w:val="312721F8"/>
    <w:rsid w:val="31297465"/>
    <w:rsid w:val="3129BF3A"/>
    <w:rsid w:val="312BE8C9"/>
    <w:rsid w:val="312BEB1E"/>
    <w:rsid w:val="312C97C8"/>
    <w:rsid w:val="312E2AE0"/>
    <w:rsid w:val="312ECB1F"/>
    <w:rsid w:val="3130F8B4"/>
    <w:rsid w:val="31313B4C"/>
    <w:rsid w:val="3131C3FB"/>
    <w:rsid w:val="3132900E"/>
    <w:rsid w:val="3132BA0E"/>
    <w:rsid w:val="313318DC"/>
    <w:rsid w:val="31338334"/>
    <w:rsid w:val="31357E54"/>
    <w:rsid w:val="31379BFA"/>
    <w:rsid w:val="3138C0D2"/>
    <w:rsid w:val="3138C243"/>
    <w:rsid w:val="3139EC97"/>
    <w:rsid w:val="313AFD4F"/>
    <w:rsid w:val="313BEE37"/>
    <w:rsid w:val="313D5CE9"/>
    <w:rsid w:val="313D8E6C"/>
    <w:rsid w:val="313E97B5"/>
    <w:rsid w:val="3140A247"/>
    <w:rsid w:val="31411AF1"/>
    <w:rsid w:val="31429931"/>
    <w:rsid w:val="314314A8"/>
    <w:rsid w:val="31433652"/>
    <w:rsid w:val="3146EDF6"/>
    <w:rsid w:val="31474654"/>
    <w:rsid w:val="314AA3DB"/>
    <w:rsid w:val="314E6004"/>
    <w:rsid w:val="314E7C29"/>
    <w:rsid w:val="3150C2E7"/>
    <w:rsid w:val="3152460E"/>
    <w:rsid w:val="315555C2"/>
    <w:rsid w:val="315765E6"/>
    <w:rsid w:val="3158C3F7"/>
    <w:rsid w:val="31594BBB"/>
    <w:rsid w:val="315C33C9"/>
    <w:rsid w:val="315D80E7"/>
    <w:rsid w:val="315E3D5F"/>
    <w:rsid w:val="315FE439"/>
    <w:rsid w:val="316011CC"/>
    <w:rsid w:val="316220D0"/>
    <w:rsid w:val="31631A03"/>
    <w:rsid w:val="3163F4C6"/>
    <w:rsid w:val="31640A31"/>
    <w:rsid w:val="316579D6"/>
    <w:rsid w:val="31684FD7"/>
    <w:rsid w:val="316954FC"/>
    <w:rsid w:val="31699F01"/>
    <w:rsid w:val="3169E2D4"/>
    <w:rsid w:val="316A5629"/>
    <w:rsid w:val="316AC7C4"/>
    <w:rsid w:val="316C9ABF"/>
    <w:rsid w:val="316F0CAC"/>
    <w:rsid w:val="31734DF8"/>
    <w:rsid w:val="3174D28D"/>
    <w:rsid w:val="3176FCBC"/>
    <w:rsid w:val="317714C6"/>
    <w:rsid w:val="31775F47"/>
    <w:rsid w:val="31779AB3"/>
    <w:rsid w:val="3177C58B"/>
    <w:rsid w:val="3178DB36"/>
    <w:rsid w:val="3179D5DC"/>
    <w:rsid w:val="317AFD60"/>
    <w:rsid w:val="317AFFE4"/>
    <w:rsid w:val="317B568C"/>
    <w:rsid w:val="317BC919"/>
    <w:rsid w:val="317C3827"/>
    <w:rsid w:val="3180BF4F"/>
    <w:rsid w:val="3182EDED"/>
    <w:rsid w:val="3184229F"/>
    <w:rsid w:val="318450A2"/>
    <w:rsid w:val="3184E317"/>
    <w:rsid w:val="3187122A"/>
    <w:rsid w:val="31893C34"/>
    <w:rsid w:val="318BBFAC"/>
    <w:rsid w:val="318DE46C"/>
    <w:rsid w:val="318DF7C0"/>
    <w:rsid w:val="31907300"/>
    <w:rsid w:val="31918CA2"/>
    <w:rsid w:val="319449FD"/>
    <w:rsid w:val="3195BD5F"/>
    <w:rsid w:val="31965DC0"/>
    <w:rsid w:val="3196BA29"/>
    <w:rsid w:val="319F0028"/>
    <w:rsid w:val="31A020F5"/>
    <w:rsid w:val="31A18641"/>
    <w:rsid w:val="31A3C381"/>
    <w:rsid w:val="31A52189"/>
    <w:rsid w:val="31A88CB4"/>
    <w:rsid w:val="31A90561"/>
    <w:rsid w:val="31AE5316"/>
    <w:rsid w:val="31AEF0ED"/>
    <w:rsid w:val="31AF06BB"/>
    <w:rsid w:val="31B05084"/>
    <w:rsid w:val="31B09639"/>
    <w:rsid w:val="31B12338"/>
    <w:rsid w:val="31B23120"/>
    <w:rsid w:val="31B27D84"/>
    <w:rsid w:val="31B2F8F1"/>
    <w:rsid w:val="31B35B85"/>
    <w:rsid w:val="31B3DCBC"/>
    <w:rsid w:val="31B4CBBA"/>
    <w:rsid w:val="31B55021"/>
    <w:rsid w:val="31B7647F"/>
    <w:rsid w:val="31B828D3"/>
    <w:rsid w:val="31B8F530"/>
    <w:rsid w:val="31BB6A8D"/>
    <w:rsid w:val="31C07489"/>
    <w:rsid w:val="31C0F505"/>
    <w:rsid w:val="31C1A214"/>
    <w:rsid w:val="31C219C6"/>
    <w:rsid w:val="31C34B29"/>
    <w:rsid w:val="31C4101F"/>
    <w:rsid w:val="31C5609E"/>
    <w:rsid w:val="31C7200E"/>
    <w:rsid w:val="31C74F71"/>
    <w:rsid w:val="31CA4EB5"/>
    <w:rsid w:val="31CACEE1"/>
    <w:rsid w:val="31CFC0D9"/>
    <w:rsid w:val="31D066BD"/>
    <w:rsid w:val="31D0A7C4"/>
    <w:rsid w:val="31D162F6"/>
    <w:rsid w:val="31D4177F"/>
    <w:rsid w:val="31D43539"/>
    <w:rsid w:val="31D4A1EB"/>
    <w:rsid w:val="31D60328"/>
    <w:rsid w:val="31DA775A"/>
    <w:rsid w:val="31DB14B7"/>
    <w:rsid w:val="31DB8361"/>
    <w:rsid w:val="31DD3479"/>
    <w:rsid w:val="31DD6160"/>
    <w:rsid w:val="31DEF21B"/>
    <w:rsid w:val="31E04ECE"/>
    <w:rsid w:val="31E0DF40"/>
    <w:rsid w:val="31E1C419"/>
    <w:rsid w:val="31E503EF"/>
    <w:rsid w:val="31E53058"/>
    <w:rsid w:val="31E589E9"/>
    <w:rsid w:val="31E5CFA1"/>
    <w:rsid w:val="31E6CFDD"/>
    <w:rsid w:val="31E7D7C9"/>
    <w:rsid w:val="31E89A2C"/>
    <w:rsid w:val="31E8F217"/>
    <w:rsid w:val="31E9F479"/>
    <w:rsid w:val="31EDDA2B"/>
    <w:rsid w:val="31EE9798"/>
    <w:rsid w:val="31EF6083"/>
    <w:rsid w:val="31F3196E"/>
    <w:rsid w:val="31F34E75"/>
    <w:rsid w:val="31F4A559"/>
    <w:rsid w:val="31F69552"/>
    <w:rsid w:val="31F75601"/>
    <w:rsid w:val="31FBD8D4"/>
    <w:rsid w:val="31FCE8DC"/>
    <w:rsid w:val="320298DC"/>
    <w:rsid w:val="32032887"/>
    <w:rsid w:val="32038556"/>
    <w:rsid w:val="320701F5"/>
    <w:rsid w:val="32072F21"/>
    <w:rsid w:val="32096D40"/>
    <w:rsid w:val="3209C325"/>
    <w:rsid w:val="3209E80A"/>
    <w:rsid w:val="320AED22"/>
    <w:rsid w:val="320BCFE2"/>
    <w:rsid w:val="320E8E0A"/>
    <w:rsid w:val="320ECF8E"/>
    <w:rsid w:val="32104BF1"/>
    <w:rsid w:val="32106659"/>
    <w:rsid w:val="32114EDE"/>
    <w:rsid w:val="3215A6D9"/>
    <w:rsid w:val="3215D9DF"/>
    <w:rsid w:val="32182AFB"/>
    <w:rsid w:val="321AAD96"/>
    <w:rsid w:val="321CEE48"/>
    <w:rsid w:val="321D3070"/>
    <w:rsid w:val="321F10F0"/>
    <w:rsid w:val="321F8000"/>
    <w:rsid w:val="32229AD4"/>
    <w:rsid w:val="3222FFF1"/>
    <w:rsid w:val="32232BB8"/>
    <w:rsid w:val="3224F5FC"/>
    <w:rsid w:val="322AB11B"/>
    <w:rsid w:val="322B308A"/>
    <w:rsid w:val="322E12BD"/>
    <w:rsid w:val="322E1AE6"/>
    <w:rsid w:val="322ED520"/>
    <w:rsid w:val="323011A1"/>
    <w:rsid w:val="32331634"/>
    <w:rsid w:val="323327E6"/>
    <w:rsid w:val="32393EF4"/>
    <w:rsid w:val="32396876"/>
    <w:rsid w:val="323A667E"/>
    <w:rsid w:val="323C7DDF"/>
    <w:rsid w:val="32412037"/>
    <w:rsid w:val="3241480B"/>
    <w:rsid w:val="3243CFB7"/>
    <w:rsid w:val="32449509"/>
    <w:rsid w:val="3248A2D3"/>
    <w:rsid w:val="324BBB3E"/>
    <w:rsid w:val="324D37E7"/>
    <w:rsid w:val="324DC629"/>
    <w:rsid w:val="324FB333"/>
    <w:rsid w:val="3251CE05"/>
    <w:rsid w:val="32521F7B"/>
    <w:rsid w:val="3252B377"/>
    <w:rsid w:val="3252C358"/>
    <w:rsid w:val="32530B29"/>
    <w:rsid w:val="3253A23A"/>
    <w:rsid w:val="3254058A"/>
    <w:rsid w:val="325506F4"/>
    <w:rsid w:val="32554917"/>
    <w:rsid w:val="32565F31"/>
    <w:rsid w:val="32578644"/>
    <w:rsid w:val="3257BB06"/>
    <w:rsid w:val="3258009C"/>
    <w:rsid w:val="3258B2EB"/>
    <w:rsid w:val="3258B58A"/>
    <w:rsid w:val="325D3173"/>
    <w:rsid w:val="325F22A1"/>
    <w:rsid w:val="3260CCB4"/>
    <w:rsid w:val="32668449"/>
    <w:rsid w:val="32673B37"/>
    <w:rsid w:val="3267A4E9"/>
    <w:rsid w:val="3267AA5A"/>
    <w:rsid w:val="3267CDEC"/>
    <w:rsid w:val="3268ECD3"/>
    <w:rsid w:val="326B126E"/>
    <w:rsid w:val="326D13C2"/>
    <w:rsid w:val="326EFB15"/>
    <w:rsid w:val="32732EB6"/>
    <w:rsid w:val="32738E8B"/>
    <w:rsid w:val="327440DD"/>
    <w:rsid w:val="32748DA3"/>
    <w:rsid w:val="3275CC27"/>
    <w:rsid w:val="32760885"/>
    <w:rsid w:val="32769268"/>
    <w:rsid w:val="3279CD4B"/>
    <w:rsid w:val="327C29B9"/>
    <w:rsid w:val="327C6778"/>
    <w:rsid w:val="327D0F15"/>
    <w:rsid w:val="327DAC36"/>
    <w:rsid w:val="32808EBE"/>
    <w:rsid w:val="3280DE01"/>
    <w:rsid w:val="328181E7"/>
    <w:rsid w:val="3282CAD6"/>
    <w:rsid w:val="3282D1B4"/>
    <w:rsid w:val="3283281D"/>
    <w:rsid w:val="3284F748"/>
    <w:rsid w:val="328A35A1"/>
    <w:rsid w:val="328DEBDC"/>
    <w:rsid w:val="328DECA1"/>
    <w:rsid w:val="328F9E83"/>
    <w:rsid w:val="3292AF59"/>
    <w:rsid w:val="32930A0D"/>
    <w:rsid w:val="32943249"/>
    <w:rsid w:val="329441A6"/>
    <w:rsid w:val="3299D5A6"/>
    <w:rsid w:val="329A9578"/>
    <w:rsid w:val="329B38AB"/>
    <w:rsid w:val="32A0779F"/>
    <w:rsid w:val="32A28EB2"/>
    <w:rsid w:val="32A294DA"/>
    <w:rsid w:val="32A78B41"/>
    <w:rsid w:val="32A81DA2"/>
    <w:rsid w:val="32A8279F"/>
    <w:rsid w:val="32A972DA"/>
    <w:rsid w:val="32AB1674"/>
    <w:rsid w:val="32ABD72D"/>
    <w:rsid w:val="32B0A37B"/>
    <w:rsid w:val="32B5752B"/>
    <w:rsid w:val="32B70FF0"/>
    <w:rsid w:val="32B7D6C4"/>
    <w:rsid w:val="32B88870"/>
    <w:rsid w:val="32B96FAB"/>
    <w:rsid w:val="32B976A9"/>
    <w:rsid w:val="32BA56ED"/>
    <w:rsid w:val="32BA9028"/>
    <w:rsid w:val="32BCAD59"/>
    <w:rsid w:val="32BD6306"/>
    <w:rsid w:val="32BD6983"/>
    <w:rsid w:val="32BE0631"/>
    <w:rsid w:val="32BF75FE"/>
    <w:rsid w:val="32C2AB0D"/>
    <w:rsid w:val="32C30D46"/>
    <w:rsid w:val="32C4BDD9"/>
    <w:rsid w:val="32C6A08A"/>
    <w:rsid w:val="32C6C609"/>
    <w:rsid w:val="32C704EE"/>
    <w:rsid w:val="32C76939"/>
    <w:rsid w:val="32C7C277"/>
    <w:rsid w:val="32C812F9"/>
    <w:rsid w:val="32CBC7D6"/>
    <w:rsid w:val="32CCF594"/>
    <w:rsid w:val="32CD56D0"/>
    <w:rsid w:val="32D0FC08"/>
    <w:rsid w:val="32D3846C"/>
    <w:rsid w:val="32D50181"/>
    <w:rsid w:val="32D5BDB6"/>
    <w:rsid w:val="32D65E9E"/>
    <w:rsid w:val="32D8FE42"/>
    <w:rsid w:val="32DA08AC"/>
    <w:rsid w:val="32DB448A"/>
    <w:rsid w:val="32DBD2E0"/>
    <w:rsid w:val="32DC4D6C"/>
    <w:rsid w:val="32DC50A7"/>
    <w:rsid w:val="32DD400E"/>
    <w:rsid w:val="32E23A50"/>
    <w:rsid w:val="32E45ADD"/>
    <w:rsid w:val="32E485F4"/>
    <w:rsid w:val="32E67060"/>
    <w:rsid w:val="32E6CBE5"/>
    <w:rsid w:val="32E80E36"/>
    <w:rsid w:val="32E8E509"/>
    <w:rsid w:val="32EA7D4C"/>
    <w:rsid w:val="32EC79B1"/>
    <w:rsid w:val="32ECD0B2"/>
    <w:rsid w:val="32EE4A77"/>
    <w:rsid w:val="32F18735"/>
    <w:rsid w:val="32F2F22C"/>
    <w:rsid w:val="32F433BF"/>
    <w:rsid w:val="32F5687A"/>
    <w:rsid w:val="32F7DE82"/>
    <w:rsid w:val="32F85566"/>
    <w:rsid w:val="32FA2C1E"/>
    <w:rsid w:val="32FA9CBA"/>
    <w:rsid w:val="32FC5841"/>
    <w:rsid w:val="3300A0CB"/>
    <w:rsid w:val="3300D6E5"/>
    <w:rsid w:val="330207D0"/>
    <w:rsid w:val="3304173E"/>
    <w:rsid w:val="330436A5"/>
    <w:rsid w:val="33046A7D"/>
    <w:rsid w:val="3305EE51"/>
    <w:rsid w:val="3306CCBB"/>
    <w:rsid w:val="3306EEA9"/>
    <w:rsid w:val="3308AE93"/>
    <w:rsid w:val="330A57E5"/>
    <w:rsid w:val="330A7C8E"/>
    <w:rsid w:val="330D827A"/>
    <w:rsid w:val="330E6201"/>
    <w:rsid w:val="331142A3"/>
    <w:rsid w:val="33116840"/>
    <w:rsid w:val="3311EDED"/>
    <w:rsid w:val="33123C08"/>
    <w:rsid w:val="33144EC2"/>
    <w:rsid w:val="3315E079"/>
    <w:rsid w:val="3316C108"/>
    <w:rsid w:val="331862DA"/>
    <w:rsid w:val="3318B826"/>
    <w:rsid w:val="331A12E2"/>
    <w:rsid w:val="331A7C6A"/>
    <w:rsid w:val="331B413A"/>
    <w:rsid w:val="331F1201"/>
    <w:rsid w:val="331F5329"/>
    <w:rsid w:val="3320D673"/>
    <w:rsid w:val="332291E2"/>
    <w:rsid w:val="33232680"/>
    <w:rsid w:val="33233624"/>
    <w:rsid w:val="3325FAB9"/>
    <w:rsid w:val="3326FEC7"/>
    <w:rsid w:val="33298310"/>
    <w:rsid w:val="332ADB3D"/>
    <w:rsid w:val="332F5E2F"/>
    <w:rsid w:val="3330E0CF"/>
    <w:rsid w:val="333198FB"/>
    <w:rsid w:val="33337956"/>
    <w:rsid w:val="3336D486"/>
    <w:rsid w:val="33393950"/>
    <w:rsid w:val="333A0FA0"/>
    <w:rsid w:val="333AB113"/>
    <w:rsid w:val="333BDECC"/>
    <w:rsid w:val="333D7AE8"/>
    <w:rsid w:val="333E98FE"/>
    <w:rsid w:val="333EFAAF"/>
    <w:rsid w:val="33435DBD"/>
    <w:rsid w:val="3343E711"/>
    <w:rsid w:val="33460206"/>
    <w:rsid w:val="33471E22"/>
    <w:rsid w:val="33471E2B"/>
    <w:rsid w:val="334D620D"/>
    <w:rsid w:val="334E71C7"/>
    <w:rsid w:val="33515BF9"/>
    <w:rsid w:val="33525C7C"/>
    <w:rsid w:val="335298B0"/>
    <w:rsid w:val="3352B779"/>
    <w:rsid w:val="3356033D"/>
    <w:rsid w:val="335699A4"/>
    <w:rsid w:val="3356F9CF"/>
    <w:rsid w:val="33573ECC"/>
    <w:rsid w:val="335912EC"/>
    <w:rsid w:val="335953E3"/>
    <w:rsid w:val="335A7CBA"/>
    <w:rsid w:val="335C3F9B"/>
    <w:rsid w:val="335C4F95"/>
    <w:rsid w:val="335D1123"/>
    <w:rsid w:val="335E4308"/>
    <w:rsid w:val="335E7A87"/>
    <w:rsid w:val="336377F1"/>
    <w:rsid w:val="3363D6F6"/>
    <w:rsid w:val="33648E41"/>
    <w:rsid w:val="336775A6"/>
    <w:rsid w:val="3367D6B7"/>
    <w:rsid w:val="33694D90"/>
    <w:rsid w:val="336B4FA8"/>
    <w:rsid w:val="336BCFAE"/>
    <w:rsid w:val="336CAAF2"/>
    <w:rsid w:val="336EF962"/>
    <w:rsid w:val="33705850"/>
    <w:rsid w:val="3370FADB"/>
    <w:rsid w:val="3371EDBD"/>
    <w:rsid w:val="33741A87"/>
    <w:rsid w:val="33751038"/>
    <w:rsid w:val="3375CA7D"/>
    <w:rsid w:val="337A289D"/>
    <w:rsid w:val="337B02B3"/>
    <w:rsid w:val="337B743B"/>
    <w:rsid w:val="337BC7D2"/>
    <w:rsid w:val="337E53EE"/>
    <w:rsid w:val="338460C1"/>
    <w:rsid w:val="3384C020"/>
    <w:rsid w:val="33867B89"/>
    <w:rsid w:val="338ABD2D"/>
    <w:rsid w:val="338F6BAD"/>
    <w:rsid w:val="338FCD41"/>
    <w:rsid w:val="3395F6A0"/>
    <w:rsid w:val="33969139"/>
    <w:rsid w:val="33978C00"/>
    <w:rsid w:val="3397E28C"/>
    <w:rsid w:val="339AA88A"/>
    <w:rsid w:val="339B92D4"/>
    <w:rsid w:val="339C294D"/>
    <w:rsid w:val="339CC7ED"/>
    <w:rsid w:val="339D0EFD"/>
    <w:rsid w:val="339D33A8"/>
    <w:rsid w:val="339D7CDC"/>
    <w:rsid w:val="339DCFE3"/>
    <w:rsid w:val="339DDC3E"/>
    <w:rsid w:val="339E717A"/>
    <w:rsid w:val="339F720B"/>
    <w:rsid w:val="33A1261D"/>
    <w:rsid w:val="33A41614"/>
    <w:rsid w:val="33A7A949"/>
    <w:rsid w:val="33A8C24C"/>
    <w:rsid w:val="33AE4992"/>
    <w:rsid w:val="33AFE32F"/>
    <w:rsid w:val="33B079CE"/>
    <w:rsid w:val="33B4D6C3"/>
    <w:rsid w:val="33B772BA"/>
    <w:rsid w:val="33BC8BF9"/>
    <w:rsid w:val="33BDEA40"/>
    <w:rsid w:val="33BE6BE4"/>
    <w:rsid w:val="33C29E35"/>
    <w:rsid w:val="33C2A25E"/>
    <w:rsid w:val="33C3DFC8"/>
    <w:rsid w:val="33C3ECC1"/>
    <w:rsid w:val="33C53A4A"/>
    <w:rsid w:val="33C9DD8F"/>
    <w:rsid w:val="33C9E64F"/>
    <w:rsid w:val="33C9FF73"/>
    <w:rsid w:val="33CBFA0E"/>
    <w:rsid w:val="33CE28B2"/>
    <w:rsid w:val="33CF6485"/>
    <w:rsid w:val="33D15165"/>
    <w:rsid w:val="33D1D284"/>
    <w:rsid w:val="33D1DB52"/>
    <w:rsid w:val="33D4710E"/>
    <w:rsid w:val="33D7034A"/>
    <w:rsid w:val="33D88FD8"/>
    <w:rsid w:val="33D8E66D"/>
    <w:rsid w:val="33DAFDAC"/>
    <w:rsid w:val="33DC32F6"/>
    <w:rsid w:val="33DD3A2F"/>
    <w:rsid w:val="33DF0088"/>
    <w:rsid w:val="33DF3C35"/>
    <w:rsid w:val="33E3F16C"/>
    <w:rsid w:val="33E441A5"/>
    <w:rsid w:val="33E4BBB9"/>
    <w:rsid w:val="33E5A0BB"/>
    <w:rsid w:val="33E6F438"/>
    <w:rsid w:val="33EB01CA"/>
    <w:rsid w:val="33EB8136"/>
    <w:rsid w:val="33EBAA13"/>
    <w:rsid w:val="33F1098A"/>
    <w:rsid w:val="33F14807"/>
    <w:rsid w:val="33F18D8B"/>
    <w:rsid w:val="33F35D6A"/>
    <w:rsid w:val="33F57252"/>
    <w:rsid w:val="33F67082"/>
    <w:rsid w:val="33F6C34B"/>
    <w:rsid w:val="33F81A5D"/>
    <w:rsid w:val="33F876F3"/>
    <w:rsid w:val="33F8CE33"/>
    <w:rsid w:val="33FA483E"/>
    <w:rsid w:val="33FA7C54"/>
    <w:rsid w:val="33FB6348"/>
    <w:rsid w:val="3400C769"/>
    <w:rsid w:val="340127CA"/>
    <w:rsid w:val="3401B5C5"/>
    <w:rsid w:val="34027A9A"/>
    <w:rsid w:val="34033EAA"/>
    <w:rsid w:val="3404B06B"/>
    <w:rsid w:val="3405E8E8"/>
    <w:rsid w:val="340715C6"/>
    <w:rsid w:val="3407A410"/>
    <w:rsid w:val="34085139"/>
    <w:rsid w:val="340F381F"/>
    <w:rsid w:val="3410935E"/>
    <w:rsid w:val="3414E7BE"/>
    <w:rsid w:val="34170324"/>
    <w:rsid w:val="341B48B9"/>
    <w:rsid w:val="34204E64"/>
    <w:rsid w:val="3421ED9C"/>
    <w:rsid w:val="342205A9"/>
    <w:rsid w:val="3423EC4D"/>
    <w:rsid w:val="3426F8B8"/>
    <w:rsid w:val="3427EFB3"/>
    <w:rsid w:val="342807E9"/>
    <w:rsid w:val="34298655"/>
    <w:rsid w:val="34299A12"/>
    <w:rsid w:val="342C7998"/>
    <w:rsid w:val="342C99D5"/>
    <w:rsid w:val="342F5604"/>
    <w:rsid w:val="34308EDF"/>
    <w:rsid w:val="3430A798"/>
    <w:rsid w:val="3431D864"/>
    <w:rsid w:val="34330A30"/>
    <w:rsid w:val="343D7E8A"/>
    <w:rsid w:val="343DA267"/>
    <w:rsid w:val="343E2A8D"/>
    <w:rsid w:val="343EB7D9"/>
    <w:rsid w:val="343EEF64"/>
    <w:rsid w:val="34417BF0"/>
    <w:rsid w:val="3441E4E5"/>
    <w:rsid w:val="34426321"/>
    <w:rsid w:val="3442F723"/>
    <w:rsid w:val="3443E0A3"/>
    <w:rsid w:val="34444148"/>
    <w:rsid w:val="3444D2F3"/>
    <w:rsid w:val="3448C276"/>
    <w:rsid w:val="34499EF3"/>
    <w:rsid w:val="344A74CB"/>
    <w:rsid w:val="344C2467"/>
    <w:rsid w:val="344D0CE4"/>
    <w:rsid w:val="34508201"/>
    <w:rsid w:val="345155F6"/>
    <w:rsid w:val="34519AE3"/>
    <w:rsid w:val="3454212B"/>
    <w:rsid w:val="3455AF6C"/>
    <w:rsid w:val="3455BEB8"/>
    <w:rsid w:val="3457492F"/>
    <w:rsid w:val="345D6B39"/>
    <w:rsid w:val="345F354E"/>
    <w:rsid w:val="345FC9B7"/>
    <w:rsid w:val="3460036C"/>
    <w:rsid w:val="34611A43"/>
    <w:rsid w:val="3462A2F5"/>
    <w:rsid w:val="3462F9A2"/>
    <w:rsid w:val="34638386"/>
    <w:rsid w:val="3464C175"/>
    <w:rsid w:val="34665F5C"/>
    <w:rsid w:val="34666460"/>
    <w:rsid w:val="346985A2"/>
    <w:rsid w:val="346BB04D"/>
    <w:rsid w:val="34749BAF"/>
    <w:rsid w:val="3474F2A7"/>
    <w:rsid w:val="3476D560"/>
    <w:rsid w:val="3478D4AB"/>
    <w:rsid w:val="347A0CFE"/>
    <w:rsid w:val="347A1214"/>
    <w:rsid w:val="347CB0FB"/>
    <w:rsid w:val="347E148D"/>
    <w:rsid w:val="347FA4E1"/>
    <w:rsid w:val="3483843D"/>
    <w:rsid w:val="3483B7C1"/>
    <w:rsid w:val="34849E6B"/>
    <w:rsid w:val="3486DF6D"/>
    <w:rsid w:val="34887276"/>
    <w:rsid w:val="348B2EAD"/>
    <w:rsid w:val="348BB991"/>
    <w:rsid w:val="348BE35A"/>
    <w:rsid w:val="348CED91"/>
    <w:rsid w:val="348DEEC4"/>
    <w:rsid w:val="3490D7B6"/>
    <w:rsid w:val="34938C2D"/>
    <w:rsid w:val="3493AA9A"/>
    <w:rsid w:val="3494C60A"/>
    <w:rsid w:val="349702FC"/>
    <w:rsid w:val="349722EB"/>
    <w:rsid w:val="3498F4CA"/>
    <w:rsid w:val="3499A96F"/>
    <w:rsid w:val="3499B3A2"/>
    <w:rsid w:val="349A0ADD"/>
    <w:rsid w:val="349A510A"/>
    <w:rsid w:val="349B201E"/>
    <w:rsid w:val="349B3A23"/>
    <w:rsid w:val="349B3B2A"/>
    <w:rsid w:val="349BD08E"/>
    <w:rsid w:val="34A07435"/>
    <w:rsid w:val="34A09C7A"/>
    <w:rsid w:val="34A48E33"/>
    <w:rsid w:val="34A7237E"/>
    <w:rsid w:val="34A7F0D9"/>
    <w:rsid w:val="34A8D5A9"/>
    <w:rsid w:val="34A9377D"/>
    <w:rsid w:val="34AA21EC"/>
    <w:rsid w:val="34AC6C9E"/>
    <w:rsid w:val="34AD4E62"/>
    <w:rsid w:val="34AD7F44"/>
    <w:rsid w:val="34ADA276"/>
    <w:rsid w:val="34AE0016"/>
    <w:rsid w:val="34B0471F"/>
    <w:rsid w:val="34B05F8F"/>
    <w:rsid w:val="34B1798D"/>
    <w:rsid w:val="34B3E9B8"/>
    <w:rsid w:val="34B5315C"/>
    <w:rsid w:val="34BA81A6"/>
    <w:rsid w:val="34BBCDA3"/>
    <w:rsid w:val="34BE2208"/>
    <w:rsid w:val="34C0F31A"/>
    <w:rsid w:val="34C17808"/>
    <w:rsid w:val="34C2A58C"/>
    <w:rsid w:val="34C38527"/>
    <w:rsid w:val="34C469E0"/>
    <w:rsid w:val="34C7CAEF"/>
    <w:rsid w:val="34C8D31A"/>
    <w:rsid w:val="34CA5824"/>
    <w:rsid w:val="34CE329D"/>
    <w:rsid w:val="34CF5D00"/>
    <w:rsid w:val="34D123F7"/>
    <w:rsid w:val="34D136A2"/>
    <w:rsid w:val="34D28C9B"/>
    <w:rsid w:val="34D329EB"/>
    <w:rsid w:val="34D62F74"/>
    <w:rsid w:val="34D69BEC"/>
    <w:rsid w:val="34DA9AA9"/>
    <w:rsid w:val="34DCDCCB"/>
    <w:rsid w:val="34DE91B3"/>
    <w:rsid w:val="34DEC316"/>
    <w:rsid w:val="34DEFD92"/>
    <w:rsid w:val="34DF4F79"/>
    <w:rsid w:val="34E251EC"/>
    <w:rsid w:val="34E2B8A6"/>
    <w:rsid w:val="34E3ECF4"/>
    <w:rsid w:val="34E44247"/>
    <w:rsid w:val="34E556D1"/>
    <w:rsid w:val="34E5B977"/>
    <w:rsid w:val="34E6C088"/>
    <w:rsid w:val="34E98713"/>
    <w:rsid w:val="34EAD198"/>
    <w:rsid w:val="34EAF664"/>
    <w:rsid w:val="34EB6B1D"/>
    <w:rsid w:val="34EB86D0"/>
    <w:rsid w:val="34ECDB5A"/>
    <w:rsid w:val="34ECE131"/>
    <w:rsid w:val="34F04EBE"/>
    <w:rsid w:val="34F2E7EE"/>
    <w:rsid w:val="34F3915C"/>
    <w:rsid w:val="34F39294"/>
    <w:rsid w:val="34F4E475"/>
    <w:rsid w:val="34F664DA"/>
    <w:rsid w:val="34F80F59"/>
    <w:rsid w:val="34FA76F1"/>
    <w:rsid w:val="34FE61F8"/>
    <w:rsid w:val="34FE8594"/>
    <w:rsid w:val="3501D032"/>
    <w:rsid w:val="3503379E"/>
    <w:rsid w:val="3503A436"/>
    <w:rsid w:val="350630CC"/>
    <w:rsid w:val="350C0568"/>
    <w:rsid w:val="350FB494"/>
    <w:rsid w:val="3511795A"/>
    <w:rsid w:val="3515758A"/>
    <w:rsid w:val="351627BB"/>
    <w:rsid w:val="3517F28C"/>
    <w:rsid w:val="3519AEB6"/>
    <w:rsid w:val="351A2783"/>
    <w:rsid w:val="351E5952"/>
    <w:rsid w:val="3520C0A9"/>
    <w:rsid w:val="352236DE"/>
    <w:rsid w:val="35234A12"/>
    <w:rsid w:val="35235F61"/>
    <w:rsid w:val="35247C36"/>
    <w:rsid w:val="3525558D"/>
    <w:rsid w:val="35256262"/>
    <w:rsid w:val="3526A3EB"/>
    <w:rsid w:val="352745C6"/>
    <w:rsid w:val="352855FA"/>
    <w:rsid w:val="35290EF8"/>
    <w:rsid w:val="352FF9EA"/>
    <w:rsid w:val="353007A9"/>
    <w:rsid w:val="3531423D"/>
    <w:rsid w:val="3533C44E"/>
    <w:rsid w:val="35351644"/>
    <w:rsid w:val="3537516D"/>
    <w:rsid w:val="35399361"/>
    <w:rsid w:val="3539DE21"/>
    <w:rsid w:val="353C931E"/>
    <w:rsid w:val="353CCB05"/>
    <w:rsid w:val="353DC079"/>
    <w:rsid w:val="353EBC03"/>
    <w:rsid w:val="353FE6DB"/>
    <w:rsid w:val="354510C4"/>
    <w:rsid w:val="354866AF"/>
    <w:rsid w:val="35499BB1"/>
    <w:rsid w:val="354B82A2"/>
    <w:rsid w:val="354FBE38"/>
    <w:rsid w:val="3550A561"/>
    <w:rsid w:val="3550F9A9"/>
    <w:rsid w:val="35551124"/>
    <w:rsid w:val="355548F7"/>
    <w:rsid w:val="35562383"/>
    <w:rsid w:val="35564617"/>
    <w:rsid w:val="355B0EBE"/>
    <w:rsid w:val="355D0023"/>
    <w:rsid w:val="355DC842"/>
    <w:rsid w:val="355DF3ED"/>
    <w:rsid w:val="3561BF25"/>
    <w:rsid w:val="35635257"/>
    <w:rsid w:val="35639A1A"/>
    <w:rsid w:val="3567A80A"/>
    <w:rsid w:val="3568667D"/>
    <w:rsid w:val="356BAFF2"/>
    <w:rsid w:val="356BB4EA"/>
    <w:rsid w:val="356BED9B"/>
    <w:rsid w:val="356CD23D"/>
    <w:rsid w:val="356D474C"/>
    <w:rsid w:val="356DE6EA"/>
    <w:rsid w:val="35718AE0"/>
    <w:rsid w:val="3571E8E9"/>
    <w:rsid w:val="35740CC3"/>
    <w:rsid w:val="35750035"/>
    <w:rsid w:val="357B1775"/>
    <w:rsid w:val="357F7686"/>
    <w:rsid w:val="358071A0"/>
    <w:rsid w:val="3580DD36"/>
    <w:rsid w:val="3581C80C"/>
    <w:rsid w:val="35836A02"/>
    <w:rsid w:val="35843048"/>
    <w:rsid w:val="3584B177"/>
    <w:rsid w:val="358503CA"/>
    <w:rsid w:val="35864CA2"/>
    <w:rsid w:val="358948DE"/>
    <w:rsid w:val="3589AB1C"/>
    <w:rsid w:val="358BB799"/>
    <w:rsid w:val="358BF704"/>
    <w:rsid w:val="358CDCD7"/>
    <w:rsid w:val="358F1A16"/>
    <w:rsid w:val="358F334F"/>
    <w:rsid w:val="3590AD00"/>
    <w:rsid w:val="3590E983"/>
    <w:rsid w:val="35913585"/>
    <w:rsid w:val="3596E7A7"/>
    <w:rsid w:val="359725CE"/>
    <w:rsid w:val="35977FEF"/>
    <w:rsid w:val="3597F374"/>
    <w:rsid w:val="3598CCB7"/>
    <w:rsid w:val="359B979C"/>
    <w:rsid w:val="359CF0F7"/>
    <w:rsid w:val="359DAEBD"/>
    <w:rsid w:val="359F4269"/>
    <w:rsid w:val="35A0B007"/>
    <w:rsid w:val="35A1BC36"/>
    <w:rsid w:val="35A78A86"/>
    <w:rsid w:val="35A7B306"/>
    <w:rsid w:val="35A7D278"/>
    <w:rsid w:val="35AC119F"/>
    <w:rsid w:val="35AC90BF"/>
    <w:rsid w:val="35AD1F1C"/>
    <w:rsid w:val="35B01636"/>
    <w:rsid w:val="35B251B8"/>
    <w:rsid w:val="35B2C965"/>
    <w:rsid w:val="35B73B9E"/>
    <w:rsid w:val="35B86D91"/>
    <w:rsid w:val="35B908E5"/>
    <w:rsid w:val="35BB7CE4"/>
    <w:rsid w:val="35C05C7C"/>
    <w:rsid w:val="35C13135"/>
    <w:rsid w:val="35C4EB11"/>
    <w:rsid w:val="35C6A5BD"/>
    <w:rsid w:val="35C6D293"/>
    <w:rsid w:val="35C7C0EE"/>
    <w:rsid w:val="35C85B71"/>
    <w:rsid w:val="35C8A849"/>
    <w:rsid w:val="35CB6BFF"/>
    <w:rsid w:val="35CBEB7A"/>
    <w:rsid w:val="35CCADF0"/>
    <w:rsid w:val="35CCD92E"/>
    <w:rsid w:val="35CCFA8C"/>
    <w:rsid w:val="35CD5ECE"/>
    <w:rsid w:val="35CDEEC7"/>
    <w:rsid w:val="35D03570"/>
    <w:rsid w:val="35D0BD54"/>
    <w:rsid w:val="35D3D3ED"/>
    <w:rsid w:val="35D4CF8A"/>
    <w:rsid w:val="35D53121"/>
    <w:rsid w:val="35D818A4"/>
    <w:rsid w:val="35DA81CA"/>
    <w:rsid w:val="35DC6D41"/>
    <w:rsid w:val="35DE3749"/>
    <w:rsid w:val="35E08AF5"/>
    <w:rsid w:val="35E10ACB"/>
    <w:rsid w:val="35E3184D"/>
    <w:rsid w:val="35E613DB"/>
    <w:rsid w:val="35E64B38"/>
    <w:rsid w:val="35E6AE89"/>
    <w:rsid w:val="35E74A16"/>
    <w:rsid w:val="35E7EFAB"/>
    <w:rsid w:val="35E7F4B7"/>
    <w:rsid w:val="35E866CD"/>
    <w:rsid w:val="35EB9C3D"/>
    <w:rsid w:val="35EC649B"/>
    <w:rsid w:val="35EC6EDE"/>
    <w:rsid w:val="35EC8EB2"/>
    <w:rsid w:val="35F0AC6A"/>
    <w:rsid w:val="35F2FA7B"/>
    <w:rsid w:val="35F57F3B"/>
    <w:rsid w:val="3600E43C"/>
    <w:rsid w:val="3602878F"/>
    <w:rsid w:val="3602C52D"/>
    <w:rsid w:val="36040288"/>
    <w:rsid w:val="36057608"/>
    <w:rsid w:val="3605AE5B"/>
    <w:rsid w:val="360653E6"/>
    <w:rsid w:val="360820BE"/>
    <w:rsid w:val="360A8C79"/>
    <w:rsid w:val="360DCC74"/>
    <w:rsid w:val="360E2BAE"/>
    <w:rsid w:val="360E6605"/>
    <w:rsid w:val="360F5F5B"/>
    <w:rsid w:val="360FAE4A"/>
    <w:rsid w:val="361153C3"/>
    <w:rsid w:val="36124529"/>
    <w:rsid w:val="3612A8C3"/>
    <w:rsid w:val="361358A0"/>
    <w:rsid w:val="36157825"/>
    <w:rsid w:val="3616F78C"/>
    <w:rsid w:val="36178B44"/>
    <w:rsid w:val="36185F8E"/>
    <w:rsid w:val="361A9082"/>
    <w:rsid w:val="361AF9E2"/>
    <w:rsid w:val="361B770C"/>
    <w:rsid w:val="361F402F"/>
    <w:rsid w:val="3621744E"/>
    <w:rsid w:val="3622FBEF"/>
    <w:rsid w:val="36235726"/>
    <w:rsid w:val="3624E8D6"/>
    <w:rsid w:val="3626A48E"/>
    <w:rsid w:val="362AE164"/>
    <w:rsid w:val="362B752C"/>
    <w:rsid w:val="362D918C"/>
    <w:rsid w:val="362F7C2C"/>
    <w:rsid w:val="36314FF6"/>
    <w:rsid w:val="3631E473"/>
    <w:rsid w:val="36392284"/>
    <w:rsid w:val="363937C1"/>
    <w:rsid w:val="363CD9A3"/>
    <w:rsid w:val="363D9FFD"/>
    <w:rsid w:val="363E6F36"/>
    <w:rsid w:val="363F3718"/>
    <w:rsid w:val="363FB7B0"/>
    <w:rsid w:val="3641395F"/>
    <w:rsid w:val="364402A5"/>
    <w:rsid w:val="3645549F"/>
    <w:rsid w:val="36479580"/>
    <w:rsid w:val="3648CC20"/>
    <w:rsid w:val="364A3526"/>
    <w:rsid w:val="364CD6AE"/>
    <w:rsid w:val="364DF533"/>
    <w:rsid w:val="364EAF20"/>
    <w:rsid w:val="364F3213"/>
    <w:rsid w:val="3651650F"/>
    <w:rsid w:val="3654270A"/>
    <w:rsid w:val="36546AB4"/>
    <w:rsid w:val="365470FD"/>
    <w:rsid w:val="3654E35C"/>
    <w:rsid w:val="365624C8"/>
    <w:rsid w:val="365746E0"/>
    <w:rsid w:val="3657C21A"/>
    <w:rsid w:val="3659C7F2"/>
    <w:rsid w:val="365A5B86"/>
    <w:rsid w:val="365A5F45"/>
    <w:rsid w:val="365A7A93"/>
    <w:rsid w:val="365B7EB4"/>
    <w:rsid w:val="365CA5E8"/>
    <w:rsid w:val="365E3E4D"/>
    <w:rsid w:val="365F1BAE"/>
    <w:rsid w:val="366643AB"/>
    <w:rsid w:val="36672E16"/>
    <w:rsid w:val="3668D307"/>
    <w:rsid w:val="366ACE92"/>
    <w:rsid w:val="366BBB1A"/>
    <w:rsid w:val="366D22DF"/>
    <w:rsid w:val="366F71ED"/>
    <w:rsid w:val="366FDFE7"/>
    <w:rsid w:val="36705D34"/>
    <w:rsid w:val="367068A8"/>
    <w:rsid w:val="3670CB79"/>
    <w:rsid w:val="3673A584"/>
    <w:rsid w:val="36751FFF"/>
    <w:rsid w:val="36753638"/>
    <w:rsid w:val="3677FB56"/>
    <w:rsid w:val="36780701"/>
    <w:rsid w:val="367859D7"/>
    <w:rsid w:val="3678F01B"/>
    <w:rsid w:val="3679465F"/>
    <w:rsid w:val="367A60B6"/>
    <w:rsid w:val="367B9471"/>
    <w:rsid w:val="367C77C1"/>
    <w:rsid w:val="367DA13B"/>
    <w:rsid w:val="367DF9D5"/>
    <w:rsid w:val="367ED32A"/>
    <w:rsid w:val="367ED65A"/>
    <w:rsid w:val="368194AA"/>
    <w:rsid w:val="36867ADA"/>
    <w:rsid w:val="36876393"/>
    <w:rsid w:val="36877804"/>
    <w:rsid w:val="3687EE5E"/>
    <w:rsid w:val="368901FD"/>
    <w:rsid w:val="368C1EDD"/>
    <w:rsid w:val="368C24E3"/>
    <w:rsid w:val="368E8AE7"/>
    <w:rsid w:val="368F2FD1"/>
    <w:rsid w:val="368F9CEC"/>
    <w:rsid w:val="3690D6B3"/>
    <w:rsid w:val="36936467"/>
    <w:rsid w:val="36981AC0"/>
    <w:rsid w:val="36999F3C"/>
    <w:rsid w:val="369B9953"/>
    <w:rsid w:val="369C78D3"/>
    <w:rsid w:val="369E34E4"/>
    <w:rsid w:val="369EA314"/>
    <w:rsid w:val="36A1CE37"/>
    <w:rsid w:val="36A2CD7F"/>
    <w:rsid w:val="36A375F3"/>
    <w:rsid w:val="36A4CAA2"/>
    <w:rsid w:val="36A5A595"/>
    <w:rsid w:val="36A8AF35"/>
    <w:rsid w:val="36AC52BA"/>
    <w:rsid w:val="36B23854"/>
    <w:rsid w:val="36B2A314"/>
    <w:rsid w:val="36B403D8"/>
    <w:rsid w:val="36BB70DB"/>
    <w:rsid w:val="36BE2299"/>
    <w:rsid w:val="36BFA31B"/>
    <w:rsid w:val="36C1CFDF"/>
    <w:rsid w:val="36C26231"/>
    <w:rsid w:val="36C334DF"/>
    <w:rsid w:val="36C44F04"/>
    <w:rsid w:val="36C4FC62"/>
    <w:rsid w:val="36C7175B"/>
    <w:rsid w:val="36C854F9"/>
    <w:rsid w:val="36C8B1FE"/>
    <w:rsid w:val="36CCE19D"/>
    <w:rsid w:val="36D19828"/>
    <w:rsid w:val="36D1CCF4"/>
    <w:rsid w:val="36D1F7EA"/>
    <w:rsid w:val="36D42AB4"/>
    <w:rsid w:val="36D5944E"/>
    <w:rsid w:val="36D6CD5C"/>
    <w:rsid w:val="36DAB5E3"/>
    <w:rsid w:val="36DAFD3B"/>
    <w:rsid w:val="36DB5964"/>
    <w:rsid w:val="36DC01D0"/>
    <w:rsid w:val="36DC866B"/>
    <w:rsid w:val="36DD66AA"/>
    <w:rsid w:val="36DE0AB0"/>
    <w:rsid w:val="36E09BBC"/>
    <w:rsid w:val="36E363C4"/>
    <w:rsid w:val="36E3CB9C"/>
    <w:rsid w:val="36E5423F"/>
    <w:rsid w:val="36E7C845"/>
    <w:rsid w:val="36E7FB45"/>
    <w:rsid w:val="36E8D4B9"/>
    <w:rsid w:val="36E8FDFA"/>
    <w:rsid w:val="36E95C7F"/>
    <w:rsid w:val="36EA32A4"/>
    <w:rsid w:val="36EB55F8"/>
    <w:rsid w:val="36EBC597"/>
    <w:rsid w:val="36EDF0F6"/>
    <w:rsid w:val="36EF400F"/>
    <w:rsid w:val="36EF80EC"/>
    <w:rsid w:val="36EFD6F4"/>
    <w:rsid w:val="36F067F8"/>
    <w:rsid w:val="36F0C388"/>
    <w:rsid w:val="36F1D79F"/>
    <w:rsid w:val="36F1DAC7"/>
    <w:rsid w:val="36F30D8D"/>
    <w:rsid w:val="36F4469D"/>
    <w:rsid w:val="36F56CCB"/>
    <w:rsid w:val="36F69A1E"/>
    <w:rsid w:val="36F7D183"/>
    <w:rsid w:val="36F7E89B"/>
    <w:rsid w:val="36F8FBF1"/>
    <w:rsid w:val="36F9AF69"/>
    <w:rsid w:val="36FABF99"/>
    <w:rsid w:val="36FF6B4C"/>
    <w:rsid w:val="370297C2"/>
    <w:rsid w:val="37031F72"/>
    <w:rsid w:val="370549E0"/>
    <w:rsid w:val="37055CD4"/>
    <w:rsid w:val="370778B9"/>
    <w:rsid w:val="37083D71"/>
    <w:rsid w:val="37088AB4"/>
    <w:rsid w:val="370B18B6"/>
    <w:rsid w:val="370B8B60"/>
    <w:rsid w:val="370CF516"/>
    <w:rsid w:val="371299A4"/>
    <w:rsid w:val="3712B9D8"/>
    <w:rsid w:val="371611CA"/>
    <w:rsid w:val="3717B6B7"/>
    <w:rsid w:val="371B09B3"/>
    <w:rsid w:val="371C82AF"/>
    <w:rsid w:val="371D5216"/>
    <w:rsid w:val="3721B717"/>
    <w:rsid w:val="37238660"/>
    <w:rsid w:val="37247542"/>
    <w:rsid w:val="37255C01"/>
    <w:rsid w:val="372947FC"/>
    <w:rsid w:val="372A0635"/>
    <w:rsid w:val="372C1C37"/>
    <w:rsid w:val="372DE725"/>
    <w:rsid w:val="372E2BF4"/>
    <w:rsid w:val="3730B6AE"/>
    <w:rsid w:val="3732D4EF"/>
    <w:rsid w:val="37338FD7"/>
    <w:rsid w:val="37347A23"/>
    <w:rsid w:val="37354020"/>
    <w:rsid w:val="373A9DB1"/>
    <w:rsid w:val="373C4C2E"/>
    <w:rsid w:val="373D1E58"/>
    <w:rsid w:val="373D30D7"/>
    <w:rsid w:val="373D9D8E"/>
    <w:rsid w:val="373F3545"/>
    <w:rsid w:val="373F4F8B"/>
    <w:rsid w:val="3741FB9C"/>
    <w:rsid w:val="37437186"/>
    <w:rsid w:val="37449710"/>
    <w:rsid w:val="3746C354"/>
    <w:rsid w:val="3748CA9A"/>
    <w:rsid w:val="37499440"/>
    <w:rsid w:val="374A4E4E"/>
    <w:rsid w:val="374C2B31"/>
    <w:rsid w:val="374CA695"/>
    <w:rsid w:val="374DA8FC"/>
    <w:rsid w:val="374DD820"/>
    <w:rsid w:val="374E621F"/>
    <w:rsid w:val="374FC0FC"/>
    <w:rsid w:val="37523B13"/>
    <w:rsid w:val="3753A89A"/>
    <w:rsid w:val="375419B4"/>
    <w:rsid w:val="3755CA9F"/>
    <w:rsid w:val="375985C7"/>
    <w:rsid w:val="375AC1CE"/>
    <w:rsid w:val="375E6DC8"/>
    <w:rsid w:val="375EEC95"/>
    <w:rsid w:val="3760D69A"/>
    <w:rsid w:val="376119FC"/>
    <w:rsid w:val="3763743E"/>
    <w:rsid w:val="37645282"/>
    <w:rsid w:val="3764E273"/>
    <w:rsid w:val="37657C87"/>
    <w:rsid w:val="37665C00"/>
    <w:rsid w:val="37683E5D"/>
    <w:rsid w:val="3769704E"/>
    <w:rsid w:val="376A1708"/>
    <w:rsid w:val="376FFE4F"/>
    <w:rsid w:val="37709552"/>
    <w:rsid w:val="3770A77D"/>
    <w:rsid w:val="37739584"/>
    <w:rsid w:val="377A59BC"/>
    <w:rsid w:val="377BCE5B"/>
    <w:rsid w:val="377C4B65"/>
    <w:rsid w:val="377D2F05"/>
    <w:rsid w:val="377EC5B8"/>
    <w:rsid w:val="377F1B1D"/>
    <w:rsid w:val="377F20AC"/>
    <w:rsid w:val="377F6297"/>
    <w:rsid w:val="377FE03A"/>
    <w:rsid w:val="37836D7B"/>
    <w:rsid w:val="3783F730"/>
    <w:rsid w:val="37844893"/>
    <w:rsid w:val="3784D38C"/>
    <w:rsid w:val="378835A9"/>
    <w:rsid w:val="378949D9"/>
    <w:rsid w:val="3789519C"/>
    <w:rsid w:val="378A5303"/>
    <w:rsid w:val="378A64AD"/>
    <w:rsid w:val="3790A117"/>
    <w:rsid w:val="3792218D"/>
    <w:rsid w:val="3793DEC7"/>
    <w:rsid w:val="37984E9C"/>
    <w:rsid w:val="3798BD95"/>
    <w:rsid w:val="379D0AF6"/>
    <w:rsid w:val="379D5BBE"/>
    <w:rsid w:val="379E5C1D"/>
    <w:rsid w:val="37A016A0"/>
    <w:rsid w:val="37A0C988"/>
    <w:rsid w:val="37A17717"/>
    <w:rsid w:val="37A71EC4"/>
    <w:rsid w:val="37AA1649"/>
    <w:rsid w:val="37ABC19F"/>
    <w:rsid w:val="37AC9922"/>
    <w:rsid w:val="37AD8444"/>
    <w:rsid w:val="37AE68A6"/>
    <w:rsid w:val="37B0C327"/>
    <w:rsid w:val="37B15395"/>
    <w:rsid w:val="37B15790"/>
    <w:rsid w:val="37B16B92"/>
    <w:rsid w:val="37B2881B"/>
    <w:rsid w:val="37B4B06E"/>
    <w:rsid w:val="37B56452"/>
    <w:rsid w:val="37B6CEA5"/>
    <w:rsid w:val="37B82E67"/>
    <w:rsid w:val="37B8F35A"/>
    <w:rsid w:val="37BAF90A"/>
    <w:rsid w:val="37BECA6F"/>
    <w:rsid w:val="37C3FB1D"/>
    <w:rsid w:val="37C4EB87"/>
    <w:rsid w:val="37C5FF67"/>
    <w:rsid w:val="37C79A5C"/>
    <w:rsid w:val="37C8779B"/>
    <w:rsid w:val="37CD4597"/>
    <w:rsid w:val="37CE5066"/>
    <w:rsid w:val="37CF0BFF"/>
    <w:rsid w:val="37CF5ACD"/>
    <w:rsid w:val="37D0BDE5"/>
    <w:rsid w:val="37D2E7FA"/>
    <w:rsid w:val="37D569B4"/>
    <w:rsid w:val="37D58DAC"/>
    <w:rsid w:val="37D67769"/>
    <w:rsid w:val="37D793A8"/>
    <w:rsid w:val="37D9ED20"/>
    <w:rsid w:val="37DAD923"/>
    <w:rsid w:val="37DBF606"/>
    <w:rsid w:val="37DE7FB2"/>
    <w:rsid w:val="37DF6B04"/>
    <w:rsid w:val="37DF9B02"/>
    <w:rsid w:val="37DFDB6A"/>
    <w:rsid w:val="37E07D99"/>
    <w:rsid w:val="37E14860"/>
    <w:rsid w:val="37E3970F"/>
    <w:rsid w:val="37E4201B"/>
    <w:rsid w:val="37E68EDE"/>
    <w:rsid w:val="37EA6682"/>
    <w:rsid w:val="37EB0B1D"/>
    <w:rsid w:val="37EB414C"/>
    <w:rsid w:val="37EB5FC3"/>
    <w:rsid w:val="37ED4466"/>
    <w:rsid w:val="37EF49CF"/>
    <w:rsid w:val="37F5CB26"/>
    <w:rsid w:val="37F69D41"/>
    <w:rsid w:val="37F71D27"/>
    <w:rsid w:val="37F927D4"/>
    <w:rsid w:val="37F927FD"/>
    <w:rsid w:val="37FC2860"/>
    <w:rsid w:val="37FE7792"/>
    <w:rsid w:val="37FECFD2"/>
    <w:rsid w:val="37FFCD53"/>
    <w:rsid w:val="3804DC6B"/>
    <w:rsid w:val="3805D443"/>
    <w:rsid w:val="3807939A"/>
    <w:rsid w:val="380955BE"/>
    <w:rsid w:val="380A783E"/>
    <w:rsid w:val="380CF147"/>
    <w:rsid w:val="380ED5C3"/>
    <w:rsid w:val="38127F31"/>
    <w:rsid w:val="38128376"/>
    <w:rsid w:val="3812E44C"/>
    <w:rsid w:val="381327DD"/>
    <w:rsid w:val="3814C251"/>
    <w:rsid w:val="38167483"/>
    <w:rsid w:val="381684C7"/>
    <w:rsid w:val="3816AB2E"/>
    <w:rsid w:val="381B267B"/>
    <w:rsid w:val="381BFC68"/>
    <w:rsid w:val="381C4387"/>
    <w:rsid w:val="381C4FC1"/>
    <w:rsid w:val="381DA1FD"/>
    <w:rsid w:val="381EFCCC"/>
    <w:rsid w:val="381FE1C4"/>
    <w:rsid w:val="38201D00"/>
    <w:rsid w:val="3822F677"/>
    <w:rsid w:val="382463D3"/>
    <w:rsid w:val="3825C0B5"/>
    <w:rsid w:val="3825CB63"/>
    <w:rsid w:val="38263600"/>
    <w:rsid w:val="3828E25D"/>
    <w:rsid w:val="38294278"/>
    <w:rsid w:val="382A028D"/>
    <w:rsid w:val="382A4A9C"/>
    <w:rsid w:val="382B7E6D"/>
    <w:rsid w:val="382B9642"/>
    <w:rsid w:val="382D1E32"/>
    <w:rsid w:val="38314079"/>
    <w:rsid w:val="383151D9"/>
    <w:rsid w:val="38325597"/>
    <w:rsid w:val="383556A8"/>
    <w:rsid w:val="3837C379"/>
    <w:rsid w:val="3838E121"/>
    <w:rsid w:val="3839CBB3"/>
    <w:rsid w:val="383C1353"/>
    <w:rsid w:val="383E90FE"/>
    <w:rsid w:val="383EEAB5"/>
    <w:rsid w:val="38400419"/>
    <w:rsid w:val="38401FD2"/>
    <w:rsid w:val="38481347"/>
    <w:rsid w:val="384A0C02"/>
    <w:rsid w:val="384C3936"/>
    <w:rsid w:val="384DFB98"/>
    <w:rsid w:val="384F3C33"/>
    <w:rsid w:val="38528A65"/>
    <w:rsid w:val="3853D6F5"/>
    <w:rsid w:val="3855103A"/>
    <w:rsid w:val="3858C936"/>
    <w:rsid w:val="38597A77"/>
    <w:rsid w:val="385ABA84"/>
    <w:rsid w:val="385B3B91"/>
    <w:rsid w:val="385C4CA2"/>
    <w:rsid w:val="38606C66"/>
    <w:rsid w:val="38660702"/>
    <w:rsid w:val="38667D2B"/>
    <w:rsid w:val="386703C4"/>
    <w:rsid w:val="386706F7"/>
    <w:rsid w:val="386738B3"/>
    <w:rsid w:val="3868CE8B"/>
    <w:rsid w:val="3869CDB6"/>
    <w:rsid w:val="386E7A29"/>
    <w:rsid w:val="38709B86"/>
    <w:rsid w:val="3871FF55"/>
    <w:rsid w:val="387228D3"/>
    <w:rsid w:val="38735B66"/>
    <w:rsid w:val="3874C8D0"/>
    <w:rsid w:val="3876A1E3"/>
    <w:rsid w:val="38774529"/>
    <w:rsid w:val="3877F993"/>
    <w:rsid w:val="387859F4"/>
    <w:rsid w:val="38792B65"/>
    <w:rsid w:val="387BB7FA"/>
    <w:rsid w:val="387C0930"/>
    <w:rsid w:val="387CBFED"/>
    <w:rsid w:val="387E7A88"/>
    <w:rsid w:val="3880ED25"/>
    <w:rsid w:val="3883768B"/>
    <w:rsid w:val="3885ABBF"/>
    <w:rsid w:val="38869922"/>
    <w:rsid w:val="388889EB"/>
    <w:rsid w:val="3888AFBA"/>
    <w:rsid w:val="388E3F88"/>
    <w:rsid w:val="388EF2FB"/>
    <w:rsid w:val="388F73F2"/>
    <w:rsid w:val="38908211"/>
    <w:rsid w:val="3891C63D"/>
    <w:rsid w:val="38925EDD"/>
    <w:rsid w:val="389281B1"/>
    <w:rsid w:val="3895FF22"/>
    <w:rsid w:val="3897C06C"/>
    <w:rsid w:val="3897ECFB"/>
    <w:rsid w:val="3898EF0B"/>
    <w:rsid w:val="389AFEB1"/>
    <w:rsid w:val="389F4879"/>
    <w:rsid w:val="38A23497"/>
    <w:rsid w:val="38A629B7"/>
    <w:rsid w:val="38A68F27"/>
    <w:rsid w:val="38A7C32F"/>
    <w:rsid w:val="38A8ED4C"/>
    <w:rsid w:val="38A9259D"/>
    <w:rsid w:val="38A9D330"/>
    <w:rsid w:val="38ABF0B3"/>
    <w:rsid w:val="38AD004A"/>
    <w:rsid w:val="38B075A6"/>
    <w:rsid w:val="38B094FC"/>
    <w:rsid w:val="38B13968"/>
    <w:rsid w:val="38B1EA1C"/>
    <w:rsid w:val="38B5C797"/>
    <w:rsid w:val="38B6FBA5"/>
    <w:rsid w:val="38B85581"/>
    <w:rsid w:val="38B868A1"/>
    <w:rsid w:val="38B87196"/>
    <w:rsid w:val="38B93508"/>
    <w:rsid w:val="38BABED7"/>
    <w:rsid w:val="38BADBB1"/>
    <w:rsid w:val="38BBACDC"/>
    <w:rsid w:val="38BC2BF3"/>
    <w:rsid w:val="38BEEE16"/>
    <w:rsid w:val="38C05E96"/>
    <w:rsid w:val="38C1731E"/>
    <w:rsid w:val="38C197B3"/>
    <w:rsid w:val="38C4A20D"/>
    <w:rsid w:val="38C5D0D9"/>
    <w:rsid w:val="38C64352"/>
    <w:rsid w:val="38C6BB05"/>
    <w:rsid w:val="38C71558"/>
    <w:rsid w:val="38C72E36"/>
    <w:rsid w:val="38C8E34A"/>
    <w:rsid w:val="38CAE61A"/>
    <w:rsid w:val="38CB5D89"/>
    <w:rsid w:val="38CCCC6C"/>
    <w:rsid w:val="38CCD503"/>
    <w:rsid w:val="38D182FE"/>
    <w:rsid w:val="38D26939"/>
    <w:rsid w:val="38D304B5"/>
    <w:rsid w:val="38D6CC8E"/>
    <w:rsid w:val="38D6DFA3"/>
    <w:rsid w:val="38D81F69"/>
    <w:rsid w:val="38E21403"/>
    <w:rsid w:val="38E4055D"/>
    <w:rsid w:val="38E5B7E7"/>
    <w:rsid w:val="38EA91AB"/>
    <w:rsid w:val="38F08592"/>
    <w:rsid w:val="38F12043"/>
    <w:rsid w:val="38F12392"/>
    <w:rsid w:val="38F2797C"/>
    <w:rsid w:val="38F2DD26"/>
    <w:rsid w:val="38F315AA"/>
    <w:rsid w:val="38F77D61"/>
    <w:rsid w:val="38F99FD7"/>
    <w:rsid w:val="38FAC5AE"/>
    <w:rsid w:val="38FAED23"/>
    <w:rsid w:val="38FB51D7"/>
    <w:rsid w:val="38FBCF08"/>
    <w:rsid w:val="38FD5741"/>
    <w:rsid w:val="38FFB716"/>
    <w:rsid w:val="3902603F"/>
    <w:rsid w:val="3903CF56"/>
    <w:rsid w:val="3904522C"/>
    <w:rsid w:val="3904821A"/>
    <w:rsid w:val="39048CAD"/>
    <w:rsid w:val="39087861"/>
    <w:rsid w:val="390AF5C2"/>
    <w:rsid w:val="390B10AF"/>
    <w:rsid w:val="390C5D43"/>
    <w:rsid w:val="390D9B7B"/>
    <w:rsid w:val="390DE8BD"/>
    <w:rsid w:val="390FB623"/>
    <w:rsid w:val="391001DB"/>
    <w:rsid w:val="3910EAEF"/>
    <w:rsid w:val="39116286"/>
    <w:rsid w:val="3912135E"/>
    <w:rsid w:val="39163204"/>
    <w:rsid w:val="3917F286"/>
    <w:rsid w:val="3919789A"/>
    <w:rsid w:val="391BFE90"/>
    <w:rsid w:val="391CB37D"/>
    <w:rsid w:val="391E16D5"/>
    <w:rsid w:val="391E8F1E"/>
    <w:rsid w:val="391F2E9B"/>
    <w:rsid w:val="3923202B"/>
    <w:rsid w:val="392325F8"/>
    <w:rsid w:val="3923DB56"/>
    <w:rsid w:val="39246E90"/>
    <w:rsid w:val="3924C967"/>
    <w:rsid w:val="39257B29"/>
    <w:rsid w:val="3927F440"/>
    <w:rsid w:val="3929D11A"/>
    <w:rsid w:val="392CB672"/>
    <w:rsid w:val="392D0B40"/>
    <w:rsid w:val="392D9EBF"/>
    <w:rsid w:val="392EC72A"/>
    <w:rsid w:val="3930222F"/>
    <w:rsid w:val="39303DBF"/>
    <w:rsid w:val="39308108"/>
    <w:rsid w:val="3936055C"/>
    <w:rsid w:val="393A8CBA"/>
    <w:rsid w:val="393A9426"/>
    <w:rsid w:val="393D9448"/>
    <w:rsid w:val="393F0489"/>
    <w:rsid w:val="393F28B4"/>
    <w:rsid w:val="393F6BCB"/>
    <w:rsid w:val="3940D968"/>
    <w:rsid w:val="39414CBE"/>
    <w:rsid w:val="39433090"/>
    <w:rsid w:val="3943C19B"/>
    <w:rsid w:val="3947ECD4"/>
    <w:rsid w:val="39483C17"/>
    <w:rsid w:val="394ADB51"/>
    <w:rsid w:val="394C03DA"/>
    <w:rsid w:val="394E3305"/>
    <w:rsid w:val="394EC56C"/>
    <w:rsid w:val="394F5F8D"/>
    <w:rsid w:val="394FBE53"/>
    <w:rsid w:val="3950F7C4"/>
    <w:rsid w:val="3952DA38"/>
    <w:rsid w:val="39534CFC"/>
    <w:rsid w:val="3955B44E"/>
    <w:rsid w:val="395645B5"/>
    <w:rsid w:val="3956551A"/>
    <w:rsid w:val="39568F09"/>
    <w:rsid w:val="395781E6"/>
    <w:rsid w:val="3958ED3F"/>
    <w:rsid w:val="3959FE1A"/>
    <w:rsid w:val="395AAA46"/>
    <w:rsid w:val="395BD1AE"/>
    <w:rsid w:val="395DC72E"/>
    <w:rsid w:val="395F6B8A"/>
    <w:rsid w:val="39602851"/>
    <w:rsid w:val="3961F6BF"/>
    <w:rsid w:val="39645B62"/>
    <w:rsid w:val="39654AAE"/>
    <w:rsid w:val="396552B0"/>
    <w:rsid w:val="396966E8"/>
    <w:rsid w:val="39698FA2"/>
    <w:rsid w:val="396A43C3"/>
    <w:rsid w:val="396A4A20"/>
    <w:rsid w:val="396AFD39"/>
    <w:rsid w:val="396C1906"/>
    <w:rsid w:val="396C6104"/>
    <w:rsid w:val="396D78BB"/>
    <w:rsid w:val="39739550"/>
    <w:rsid w:val="3973BDDF"/>
    <w:rsid w:val="39747F31"/>
    <w:rsid w:val="39748D73"/>
    <w:rsid w:val="39777941"/>
    <w:rsid w:val="397AE837"/>
    <w:rsid w:val="397E08E4"/>
    <w:rsid w:val="397E2516"/>
    <w:rsid w:val="397E761F"/>
    <w:rsid w:val="39801DCC"/>
    <w:rsid w:val="39802FD4"/>
    <w:rsid w:val="39806F95"/>
    <w:rsid w:val="3980A4D9"/>
    <w:rsid w:val="39822BD1"/>
    <w:rsid w:val="398245A3"/>
    <w:rsid w:val="39834684"/>
    <w:rsid w:val="398432AC"/>
    <w:rsid w:val="3985239E"/>
    <w:rsid w:val="3985F321"/>
    <w:rsid w:val="3987BED9"/>
    <w:rsid w:val="39890240"/>
    <w:rsid w:val="3989C445"/>
    <w:rsid w:val="398CD735"/>
    <w:rsid w:val="39929586"/>
    <w:rsid w:val="3992BD8A"/>
    <w:rsid w:val="39958116"/>
    <w:rsid w:val="39968BDB"/>
    <w:rsid w:val="3996F017"/>
    <w:rsid w:val="39975BEB"/>
    <w:rsid w:val="3997B539"/>
    <w:rsid w:val="399891C7"/>
    <w:rsid w:val="399934E0"/>
    <w:rsid w:val="39996DB5"/>
    <w:rsid w:val="399ABFA4"/>
    <w:rsid w:val="399B4452"/>
    <w:rsid w:val="39A10871"/>
    <w:rsid w:val="39A342ED"/>
    <w:rsid w:val="39A5500F"/>
    <w:rsid w:val="39A55D9C"/>
    <w:rsid w:val="39A6BBE9"/>
    <w:rsid w:val="39A82152"/>
    <w:rsid w:val="39A9126E"/>
    <w:rsid w:val="39A922E0"/>
    <w:rsid w:val="39A92826"/>
    <w:rsid w:val="39A93E83"/>
    <w:rsid w:val="39ACB3FF"/>
    <w:rsid w:val="39ADBB82"/>
    <w:rsid w:val="39AE1C57"/>
    <w:rsid w:val="39B1E528"/>
    <w:rsid w:val="39B2E632"/>
    <w:rsid w:val="39B471A8"/>
    <w:rsid w:val="39B4F20B"/>
    <w:rsid w:val="39B5217A"/>
    <w:rsid w:val="39B763CD"/>
    <w:rsid w:val="39BA9B09"/>
    <w:rsid w:val="39BB78C3"/>
    <w:rsid w:val="39BCB8CA"/>
    <w:rsid w:val="39C1D231"/>
    <w:rsid w:val="39C217D8"/>
    <w:rsid w:val="39C38674"/>
    <w:rsid w:val="39C7BDB0"/>
    <w:rsid w:val="39C85601"/>
    <w:rsid w:val="39C9F4FF"/>
    <w:rsid w:val="39CAD00B"/>
    <w:rsid w:val="39CAF1B7"/>
    <w:rsid w:val="39CB3EED"/>
    <w:rsid w:val="39CB7E3D"/>
    <w:rsid w:val="39CC69BA"/>
    <w:rsid w:val="39CCCE08"/>
    <w:rsid w:val="39CDC830"/>
    <w:rsid w:val="39CDC9A3"/>
    <w:rsid w:val="39CEBC4E"/>
    <w:rsid w:val="39D0C671"/>
    <w:rsid w:val="39D52C68"/>
    <w:rsid w:val="39D6C17B"/>
    <w:rsid w:val="39D73E68"/>
    <w:rsid w:val="39D7C1FD"/>
    <w:rsid w:val="39D9E078"/>
    <w:rsid w:val="39DB0B94"/>
    <w:rsid w:val="39DC6DBE"/>
    <w:rsid w:val="39DCBAD7"/>
    <w:rsid w:val="39DDDD19"/>
    <w:rsid w:val="39DE6A1F"/>
    <w:rsid w:val="39E09E44"/>
    <w:rsid w:val="39E15BEB"/>
    <w:rsid w:val="39E1851F"/>
    <w:rsid w:val="39E191E6"/>
    <w:rsid w:val="39E2CF14"/>
    <w:rsid w:val="39E33192"/>
    <w:rsid w:val="39E69632"/>
    <w:rsid w:val="39E70A84"/>
    <w:rsid w:val="39EA7882"/>
    <w:rsid w:val="39EAD6D2"/>
    <w:rsid w:val="39EB9BDB"/>
    <w:rsid w:val="39EBC8DC"/>
    <w:rsid w:val="39EDFB73"/>
    <w:rsid w:val="39EEA989"/>
    <w:rsid w:val="39EF3A85"/>
    <w:rsid w:val="39F33CFB"/>
    <w:rsid w:val="39F47E30"/>
    <w:rsid w:val="39F9FE88"/>
    <w:rsid w:val="39FA4917"/>
    <w:rsid w:val="3A01A428"/>
    <w:rsid w:val="3A06B52C"/>
    <w:rsid w:val="3A0726C6"/>
    <w:rsid w:val="3A08BBB4"/>
    <w:rsid w:val="3A092AD7"/>
    <w:rsid w:val="3A0A938D"/>
    <w:rsid w:val="3A0D2342"/>
    <w:rsid w:val="3A0EFB13"/>
    <w:rsid w:val="3A0F789E"/>
    <w:rsid w:val="3A1009AB"/>
    <w:rsid w:val="3A10E957"/>
    <w:rsid w:val="3A111C68"/>
    <w:rsid w:val="3A136276"/>
    <w:rsid w:val="3A13EBC6"/>
    <w:rsid w:val="3A154457"/>
    <w:rsid w:val="3A16B380"/>
    <w:rsid w:val="3A16C51D"/>
    <w:rsid w:val="3A190BDE"/>
    <w:rsid w:val="3A1AB3AF"/>
    <w:rsid w:val="3A1AC34B"/>
    <w:rsid w:val="3A1C3AAE"/>
    <w:rsid w:val="3A22068B"/>
    <w:rsid w:val="3A2270E5"/>
    <w:rsid w:val="3A2459C7"/>
    <w:rsid w:val="3A247E41"/>
    <w:rsid w:val="3A2551FF"/>
    <w:rsid w:val="3A2575F4"/>
    <w:rsid w:val="3A25E875"/>
    <w:rsid w:val="3A28390C"/>
    <w:rsid w:val="3A2B0124"/>
    <w:rsid w:val="3A2B802A"/>
    <w:rsid w:val="3A2E6D7C"/>
    <w:rsid w:val="3A2E8601"/>
    <w:rsid w:val="3A2F436A"/>
    <w:rsid w:val="3A304DC2"/>
    <w:rsid w:val="3A30F9F2"/>
    <w:rsid w:val="3A318714"/>
    <w:rsid w:val="3A328CDC"/>
    <w:rsid w:val="3A349923"/>
    <w:rsid w:val="3A3557A8"/>
    <w:rsid w:val="3A37C0D8"/>
    <w:rsid w:val="3A37DD27"/>
    <w:rsid w:val="3A3B3493"/>
    <w:rsid w:val="3A3C5D5E"/>
    <w:rsid w:val="3A3CAA0D"/>
    <w:rsid w:val="3A3DFCC8"/>
    <w:rsid w:val="3A43660A"/>
    <w:rsid w:val="3A43815F"/>
    <w:rsid w:val="3A446394"/>
    <w:rsid w:val="3A45355F"/>
    <w:rsid w:val="3A45B064"/>
    <w:rsid w:val="3A4808AC"/>
    <w:rsid w:val="3A48B65A"/>
    <w:rsid w:val="3A48FF42"/>
    <w:rsid w:val="3A491F0D"/>
    <w:rsid w:val="3A4A3DB0"/>
    <w:rsid w:val="3A4A88B4"/>
    <w:rsid w:val="3A4AD3C8"/>
    <w:rsid w:val="3A4D2162"/>
    <w:rsid w:val="3A4FB92A"/>
    <w:rsid w:val="3A507C03"/>
    <w:rsid w:val="3A50911C"/>
    <w:rsid w:val="3A52C9D9"/>
    <w:rsid w:val="3A580F6E"/>
    <w:rsid w:val="3A596F8E"/>
    <w:rsid w:val="3A5BC7A8"/>
    <w:rsid w:val="3A601858"/>
    <w:rsid w:val="3A603A8C"/>
    <w:rsid w:val="3A6424BD"/>
    <w:rsid w:val="3A6C951F"/>
    <w:rsid w:val="3A71DF29"/>
    <w:rsid w:val="3A739376"/>
    <w:rsid w:val="3A766561"/>
    <w:rsid w:val="3A773BE4"/>
    <w:rsid w:val="3A778034"/>
    <w:rsid w:val="3A77C31B"/>
    <w:rsid w:val="3A7AACAC"/>
    <w:rsid w:val="3A7C3C9F"/>
    <w:rsid w:val="3A7C4647"/>
    <w:rsid w:val="3A7C9AA1"/>
    <w:rsid w:val="3A7D9689"/>
    <w:rsid w:val="3A7E5BE0"/>
    <w:rsid w:val="3A809015"/>
    <w:rsid w:val="3A81AE19"/>
    <w:rsid w:val="3A824DA2"/>
    <w:rsid w:val="3A827E18"/>
    <w:rsid w:val="3A82AF8B"/>
    <w:rsid w:val="3A861183"/>
    <w:rsid w:val="3A8769C1"/>
    <w:rsid w:val="3A89F6A2"/>
    <w:rsid w:val="3A8BBA6F"/>
    <w:rsid w:val="3A8C519B"/>
    <w:rsid w:val="3A8D6DAC"/>
    <w:rsid w:val="3A8DF3A6"/>
    <w:rsid w:val="3A8FCD4C"/>
    <w:rsid w:val="3A90C976"/>
    <w:rsid w:val="3A9272EF"/>
    <w:rsid w:val="3A92DAAC"/>
    <w:rsid w:val="3A92FD81"/>
    <w:rsid w:val="3A9376EB"/>
    <w:rsid w:val="3A956717"/>
    <w:rsid w:val="3A96722B"/>
    <w:rsid w:val="3A971A34"/>
    <w:rsid w:val="3A9A3DAF"/>
    <w:rsid w:val="3A9D5D42"/>
    <w:rsid w:val="3A9E0F71"/>
    <w:rsid w:val="3AA18B7F"/>
    <w:rsid w:val="3AA809D4"/>
    <w:rsid w:val="3AA82537"/>
    <w:rsid w:val="3AA9298B"/>
    <w:rsid w:val="3AA957B4"/>
    <w:rsid w:val="3AA9F4E4"/>
    <w:rsid w:val="3AABC9DC"/>
    <w:rsid w:val="3AADB9D1"/>
    <w:rsid w:val="3AADC057"/>
    <w:rsid w:val="3AAE9103"/>
    <w:rsid w:val="3AAEE729"/>
    <w:rsid w:val="3AAFE137"/>
    <w:rsid w:val="3AB19382"/>
    <w:rsid w:val="3AB2D40E"/>
    <w:rsid w:val="3AB398C5"/>
    <w:rsid w:val="3AB74599"/>
    <w:rsid w:val="3ABC1DD0"/>
    <w:rsid w:val="3ABFB7A2"/>
    <w:rsid w:val="3AC18185"/>
    <w:rsid w:val="3AC340CA"/>
    <w:rsid w:val="3AC6A461"/>
    <w:rsid w:val="3ACD44B6"/>
    <w:rsid w:val="3ACE0C0C"/>
    <w:rsid w:val="3AD05530"/>
    <w:rsid w:val="3AD0B939"/>
    <w:rsid w:val="3AD0E174"/>
    <w:rsid w:val="3AD2C373"/>
    <w:rsid w:val="3AD3340D"/>
    <w:rsid w:val="3AD52684"/>
    <w:rsid w:val="3AD5EA54"/>
    <w:rsid w:val="3AD6F93A"/>
    <w:rsid w:val="3AD7A0E7"/>
    <w:rsid w:val="3ADA18F9"/>
    <w:rsid w:val="3ADE410F"/>
    <w:rsid w:val="3AE249D1"/>
    <w:rsid w:val="3AE3CD0C"/>
    <w:rsid w:val="3AE3D967"/>
    <w:rsid w:val="3AE3F91A"/>
    <w:rsid w:val="3AE402EB"/>
    <w:rsid w:val="3AE49C39"/>
    <w:rsid w:val="3AE5157F"/>
    <w:rsid w:val="3AECB1F9"/>
    <w:rsid w:val="3AEE9D81"/>
    <w:rsid w:val="3AEF037C"/>
    <w:rsid w:val="3AF14F76"/>
    <w:rsid w:val="3AF1E5A8"/>
    <w:rsid w:val="3AF39D24"/>
    <w:rsid w:val="3AF3B024"/>
    <w:rsid w:val="3AF66B79"/>
    <w:rsid w:val="3AF8D929"/>
    <w:rsid w:val="3AFD3EDF"/>
    <w:rsid w:val="3AFE1BC2"/>
    <w:rsid w:val="3AFF1B2A"/>
    <w:rsid w:val="3AFFD6D0"/>
    <w:rsid w:val="3B01C132"/>
    <w:rsid w:val="3B02AC52"/>
    <w:rsid w:val="3B054737"/>
    <w:rsid w:val="3B05D9FC"/>
    <w:rsid w:val="3B05E12B"/>
    <w:rsid w:val="3B06FA9B"/>
    <w:rsid w:val="3B0B542A"/>
    <w:rsid w:val="3B0B5F78"/>
    <w:rsid w:val="3B0BB422"/>
    <w:rsid w:val="3B0BE2F6"/>
    <w:rsid w:val="3B0C0AF4"/>
    <w:rsid w:val="3B0C3618"/>
    <w:rsid w:val="3B0D5BC1"/>
    <w:rsid w:val="3B10CA02"/>
    <w:rsid w:val="3B116C13"/>
    <w:rsid w:val="3B1348BE"/>
    <w:rsid w:val="3B151DF5"/>
    <w:rsid w:val="3B19AD19"/>
    <w:rsid w:val="3B1B78C6"/>
    <w:rsid w:val="3B1BCCBF"/>
    <w:rsid w:val="3B1DACE5"/>
    <w:rsid w:val="3B1E1E11"/>
    <w:rsid w:val="3B2008C2"/>
    <w:rsid w:val="3B214E29"/>
    <w:rsid w:val="3B223A82"/>
    <w:rsid w:val="3B231DEA"/>
    <w:rsid w:val="3B232A0F"/>
    <w:rsid w:val="3B249CB4"/>
    <w:rsid w:val="3B25C7C6"/>
    <w:rsid w:val="3B271339"/>
    <w:rsid w:val="3B287354"/>
    <w:rsid w:val="3B28D78A"/>
    <w:rsid w:val="3B291C67"/>
    <w:rsid w:val="3B2BD8E1"/>
    <w:rsid w:val="3B2ED9D4"/>
    <w:rsid w:val="3B320B48"/>
    <w:rsid w:val="3B3356E1"/>
    <w:rsid w:val="3B363532"/>
    <w:rsid w:val="3B3711C9"/>
    <w:rsid w:val="3B397A8A"/>
    <w:rsid w:val="3B3A6202"/>
    <w:rsid w:val="3B3A9C08"/>
    <w:rsid w:val="3B3ADAC3"/>
    <w:rsid w:val="3B3C1BDC"/>
    <w:rsid w:val="3B3D4904"/>
    <w:rsid w:val="3B3DB789"/>
    <w:rsid w:val="3B3F2FF7"/>
    <w:rsid w:val="3B3F3699"/>
    <w:rsid w:val="3B4434D3"/>
    <w:rsid w:val="3B467F98"/>
    <w:rsid w:val="3B47265B"/>
    <w:rsid w:val="3B4754CB"/>
    <w:rsid w:val="3B4829A6"/>
    <w:rsid w:val="3B48A6CB"/>
    <w:rsid w:val="3B4BCC5B"/>
    <w:rsid w:val="3B4DD032"/>
    <w:rsid w:val="3B514A23"/>
    <w:rsid w:val="3B560655"/>
    <w:rsid w:val="3B571380"/>
    <w:rsid w:val="3B571A9A"/>
    <w:rsid w:val="3B59F2CD"/>
    <w:rsid w:val="3B5DF36E"/>
    <w:rsid w:val="3B5E58C2"/>
    <w:rsid w:val="3B5E6F00"/>
    <w:rsid w:val="3B5F7761"/>
    <w:rsid w:val="3B60C43E"/>
    <w:rsid w:val="3B630D14"/>
    <w:rsid w:val="3B664284"/>
    <w:rsid w:val="3B66C1EA"/>
    <w:rsid w:val="3B67F5FF"/>
    <w:rsid w:val="3B686BE4"/>
    <w:rsid w:val="3B68A4A5"/>
    <w:rsid w:val="3B6A3D0A"/>
    <w:rsid w:val="3B6B215F"/>
    <w:rsid w:val="3B6DF66E"/>
    <w:rsid w:val="3B6EDCAE"/>
    <w:rsid w:val="3B6FC635"/>
    <w:rsid w:val="3B74F18B"/>
    <w:rsid w:val="3B74F963"/>
    <w:rsid w:val="3B7817AC"/>
    <w:rsid w:val="3B78A846"/>
    <w:rsid w:val="3B79010D"/>
    <w:rsid w:val="3B84477F"/>
    <w:rsid w:val="3B881DBA"/>
    <w:rsid w:val="3B88C0AC"/>
    <w:rsid w:val="3B896A1A"/>
    <w:rsid w:val="3B8E0C2C"/>
    <w:rsid w:val="3B8EABAE"/>
    <w:rsid w:val="3B8F6D1C"/>
    <w:rsid w:val="3B8F88CF"/>
    <w:rsid w:val="3B8FBB92"/>
    <w:rsid w:val="3B9032A9"/>
    <w:rsid w:val="3B90D42B"/>
    <w:rsid w:val="3B914193"/>
    <w:rsid w:val="3B925904"/>
    <w:rsid w:val="3B927759"/>
    <w:rsid w:val="3B93E64B"/>
    <w:rsid w:val="3B957F3B"/>
    <w:rsid w:val="3B959CF6"/>
    <w:rsid w:val="3B95B838"/>
    <w:rsid w:val="3B9833A2"/>
    <w:rsid w:val="3B9A5D1F"/>
    <w:rsid w:val="3B9BC241"/>
    <w:rsid w:val="3B9C3454"/>
    <w:rsid w:val="3B9CA9B2"/>
    <w:rsid w:val="3B9E5D7B"/>
    <w:rsid w:val="3BA1A568"/>
    <w:rsid w:val="3BA2485E"/>
    <w:rsid w:val="3BA2527F"/>
    <w:rsid w:val="3BA2B92A"/>
    <w:rsid w:val="3BA7E2F6"/>
    <w:rsid w:val="3BAA4056"/>
    <w:rsid w:val="3BABC11B"/>
    <w:rsid w:val="3BAD4F9E"/>
    <w:rsid w:val="3BB20A28"/>
    <w:rsid w:val="3BB2CC26"/>
    <w:rsid w:val="3BB34E51"/>
    <w:rsid w:val="3BB5299F"/>
    <w:rsid w:val="3BB85C71"/>
    <w:rsid w:val="3BBA3CB9"/>
    <w:rsid w:val="3BBBC93D"/>
    <w:rsid w:val="3BBBEDB3"/>
    <w:rsid w:val="3BBC0EEE"/>
    <w:rsid w:val="3BBDA0E6"/>
    <w:rsid w:val="3BBFFED7"/>
    <w:rsid w:val="3BC39C42"/>
    <w:rsid w:val="3BC542BD"/>
    <w:rsid w:val="3BC69027"/>
    <w:rsid w:val="3BC74558"/>
    <w:rsid w:val="3BC8D8B0"/>
    <w:rsid w:val="3BC93924"/>
    <w:rsid w:val="3BC9FA29"/>
    <w:rsid w:val="3BC9FFDF"/>
    <w:rsid w:val="3BCAE5F0"/>
    <w:rsid w:val="3BCB18F6"/>
    <w:rsid w:val="3BCE5128"/>
    <w:rsid w:val="3BCF5E5A"/>
    <w:rsid w:val="3BD26646"/>
    <w:rsid w:val="3BD2EDF1"/>
    <w:rsid w:val="3BD817CE"/>
    <w:rsid w:val="3BD8A2A4"/>
    <w:rsid w:val="3BD90B9C"/>
    <w:rsid w:val="3BDC3ABD"/>
    <w:rsid w:val="3BDCF726"/>
    <w:rsid w:val="3BDD549F"/>
    <w:rsid w:val="3BDE07EE"/>
    <w:rsid w:val="3BDE2957"/>
    <w:rsid w:val="3BDE4BDD"/>
    <w:rsid w:val="3BDE6C28"/>
    <w:rsid w:val="3BE44A35"/>
    <w:rsid w:val="3BE469DD"/>
    <w:rsid w:val="3BE4FFC4"/>
    <w:rsid w:val="3BE4FFDB"/>
    <w:rsid w:val="3BE5BB6C"/>
    <w:rsid w:val="3BE62BEC"/>
    <w:rsid w:val="3BE79FFA"/>
    <w:rsid w:val="3BE7D29A"/>
    <w:rsid w:val="3BE853A6"/>
    <w:rsid w:val="3BEBE5C7"/>
    <w:rsid w:val="3BEC43FB"/>
    <w:rsid w:val="3BEC96BA"/>
    <w:rsid w:val="3BECB564"/>
    <w:rsid w:val="3BF070EC"/>
    <w:rsid w:val="3BF178E8"/>
    <w:rsid w:val="3BF1A669"/>
    <w:rsid w:val="3BF22292"/>
    <w:rsid w:val="3BF2AAF5"/>
    <w:rsid w:val="3BF305F8"/>
    <w:rsid w:val="3BF44ED3"/>
    <w:rsid w:val="3BF60CC5"/>
    <w:rsid w:val="3BFBDA59"/>
    <w:rsid w:val="3BFCA273"/>
    <w:rsid w:val="3BFD7C05"/>
    <w:rsid w:val="3BFDD4BD"/>
    <w:rsid w:val="3BFFCFA8"/>
    <w:rsid w:val="3C0179B1"/>
    <w:rsid w:val="3C019F88"/>
    <w:rsid w:val="3C029BE2"/>
    <w:rsid w:val="3C03D330"/>
    <w:rsid w:val="3C03FD94"/>
    <w:rsid w:val="3C04FE8B"/>
    <w:rsid w:val="3C05453A"/>
    <w:rsid w:val="3C06885D"/>
    <w:rsid w:val="3C0902AA"/>
    <w:rsid w:val="3C0B71AB"/>
    <w:rsid w:val="3C0B9383"/>
    <w:rsid w:val="3C0F4F1F"/>
    <w:rsid w:val="3C103E22"/>
    <w:rsid w:val="3C11F5A1"/>
    <w:rsid w:val="3C13C7A0"/>
    <w:rsid w:val="3C13F56F"/>
    <w:rsid w:val="3C1539B9"/>
    <w:rsid w:val="3C163FBF"/>
    <w:rsid w:val="3C17C59F"/>
    <w:rsid w:val="3C1832B2"/>
    <w:rsid w:val="3C1857A8"/>
    <w:rsid w:val="3C187C76"/>
    <w:rsid w:val="3C189451"/>
    <w:rsid w:val="3C1A38BD"/>
    <w:rsid w:val="3C1C2156"/>
    <w:rsid w:val="3C225B51"/>
    <w:rsid w:val="3C2274E6"/>
    <w:rsid w:val="3C27122D"/>
    <w:rsid w:val="3C2BE075"/>
    <w:rsid w:val="3C2D0830"/>
    <w:rsid w:val="3C30BAE6"/>
    <w:rsid w:val="3C31BB99"/>
    <w:rsid w:val="3C32F1E8"/>
    <w:rsid w:val="3C376756"/>
    <w:rsid w:val="3C3BF02E"/>
    <w:rsid w:val="3C3F3AA8"/>
    <w:rsid w:val="3C4155E5"/>
    <w:rsid w:val="3C464972"/>
    <w:rsid w:val="3C47C1B7"/>
    <w:rsid w:val="3C4814B5"/>
    <w:rsid w:val="3C48C044"/>
    <w:rsid w:val="3C492B04"/>
    <w:rsid w:val="3C4B2DEC"/>
    <w:rsid w:val="3C4CA501"/>
    <w:rsid w:val="3C4D0842"/>
    <w:rsid w:val="3C4D102A"/>
    <w:rsid w:val="3C4E6346"/>
    <w:rsid w:val="3C4F9B28"/>
    <w:rsid w:val="3C51AFE0"/>
    <w:rsid w:val="3C534894"/>
    <w:rsid w:val="3C53F88B"/>
    <w:rsid w:val="3C586D92"/>
    <w:rsid w:val="3C5A7246"/>
    <w:rsid w:val="3C5BF7AB"/>
    <w:rsid w:val="3C5CA9E9"/>
    <w:rsid w:val="3C5D598E"/>
    <w:rsid w:val="3C5DE63E"/>
    <w:rsid w:val="3C5E53C9"/>
    <w:rsid w:val="3C5EC28A"/>
    <w:rsid w:val="3C60E734"/>
    <w:rsid w:val="3C619159"/>
    <w:rsid w:val="3C6530CC"/>
    <w:rsid w:val="3C65974C"/>
    <w:rsid w:val="3C68C256"/>
    <w:rsid w:val="3C6D8750"/>
    <w:rsid w:val="3C6DEBF0"/>
    <w:rsid w:val="3C70270C"/>
    <w:rsid w:val="3C722754"/>
    <w:rsid w:val="3C72479B"/>
    <w:rsid w:val="3C7265AB"/>
    <w:rsid w:val="3C736AB1"/>
    <w:rsid w:val="3C737D5A"/>
    <w:rsid w:val="3C738AE6"/>
    <w:rsid w:val="3C749AE9"/>
    <w:rsid w:val="3C751651"/>
    <w:rsid w:val="3C7901BA"/>
    <w:rsid w:val="3C7AE8DB"/>
    <w:rsid w:val="3C7BECC6"/>
    <w:rsid w:val="3C7EF15D"/>
    <w:rsid w:val="3C808AE5"/>
    <w:rsid w:val="3C83EBB4"/>
    <w:rsid w:val="3C84E212"/>
    <w:rsid w:val="3C85D767"/>
    <w:rsid w:val="3C86ADF7"/>
    <w:rsid w:val="3C87116D"/>
    <w:rsid w:val="3C883E51"/>
    <w:rsid w:val="3C8B3D4A"/>
    <w:rsid w:val="3C8B5F41"/>
    <w:rsid w:val="3C8C3F0E"/>
    <w:rsid w:val="3C8F65E0"/>
    <w:rsid w:val="3C8F7730"/>
    <w:rsid w:val="3C934784"/>
    <w:rsid w:val="3C949301"/>
    <w:rsid w:val="3C96C089"/>
    <w:rsid w:val="3C97BD1C"/>
    <w:rsid w:val="3C984E2F"/>
    <w:rsid w:val="3C98D887"/>
    <w:rsid w:val="3C9B0536"/>
    <w:rsid w:val="3C9D2661"/>
    <w:rsid w:val="3C9EBFEC"/>
    <w:rsid w:val="3CA171B3"/>
    <w:rsid w:val="3CA24E10"/>
    <w:rsid w:val="3CA6030C"/>
    <w:rsid w:val="3CA652B1"/>
    <w:rsid w:val="3CA6D8AF"/>
    <w:rsid w:val="3CA9B351"/>
    <w:rsid w:val="3CAA2011"/>
    <w:rsid w:val="3CAA310D"/>
    <w:rsid w:val="3CAAE7F2"/>
    <w:rsid w:val="3CAB0BCE"/>
    <w:rsid w:val="3CB14E95"/>
    <w:rsid w:val="3CB27AD4"/>
    <w:rsid w:val="3CB2869D"/>
    <w:rsid w:val="3CB2AFE6"/>
    <w:rsid w:val="3CB4FCE5"/>
    <w:rsid w:val="3CB78C37"/>
    <w:rsid w:val="3CB7CE55"/>
    <w:rsid w:val="3CB92F47"/>
    <w:rsid w:val="3CB99918"/>
    <w:rsid w:val="3CB9DF17"/>
    <w:rsid w:val="3CBBB7E8"/>
    <w:rsid w:val="3CBD3779"/>
    <w:rsid w:val="3CBDDE51"/>
    <w:rsid w:val="3CC023EB"/>
    <w:rsid w:val="3CC0AF6A"/>
    <w:rsid w:val="3CC54091"/>
    <w:rsid w:val="3CC8ECF5"/>
    <w:rsid w:val="3CCB395F"/>
    <w:rsid w:val="3CCC44DA"/>
    <w:rsid w:val="3CCE885A"/>
    <w:rsid w:val="3CCEB113"/>
    <w:rsid w:val="3CD26744"/>
    <w:rsid w:val="3CD37F5D"/>
    <w:rsid w:val="3CD3B679"/>
    <w:rsid w:val="3CD3C6B9"/>
    <w:rsid w:val="3CD4C0EF"/>
    <w:rsid w:val="3CD62A4E"/>
    <w:rsid w:val="3CD62F92"/>
    <w:rsid w:val="3CD66475"/>
    <w:rsid w:val="3CD79FDD"/>
    <w:rsid w:val="3CDA2DC4"/>
    <w:rsid w:val="3CDA7489"/>
    <w:rsid w:val="3CDAEBCF"/>
    <w:rsid w:val="3CDB7705"/>
    <w:rsid w:val="3CDB82CC"/>
    <w:rsid w:val="3CDCB8FE"/>
    <w:rsid w:val="3CDD798B"/>
    <w:rsid w:val="3CDDF958"/>
    <w:rsid w:val="3CDF57E5"/>
    <w:rsid w:val="3CDFCD51"/>
    <w:rsid w:val="3CDFE206"/>
    <w:rsid w:val="3CE394DB"/>
    <w:rsid w:val="3CE40C1B"/>
    <w:rsid w:val="3CE8C18A"/>
    <w:rsid w:val="3CE905C1"/>
    <w:rsid w:val="3CE929C1"/>
    <w:rsid w:val="3CE9E45E"/>
    <w:rsid w:val="3CEAAD04"/>
    <w:rsid w:val="3CEB07B5"/>
    <w:rsid w:val="3CEB1A3C"/>
    <w:rsid w:val="3CF08A7A"/>
    <w:rsid w:val="3CF0EB6B"/>
    <w:rsid w:val="3CF1AC7B"/>
    <w:rsid w:val="3CF1DA7A"/>
    <w:rsid w:val="3CF5DA44"/>
    <w:rsid w:val="3CF65F24"/>
    <w:rsid w:val="3CF8A813"/>
    <w:rsid w:val="3CFA4D1D"/>
    <w:rsid w:val="3CFAC193"/>
    <w:rsid w:val="3CFE5F26"/>
    <w:rsid w:val="3CFEE863"/>
    <w:rsid w:val="3CFF322C"/>
    <w:rsid w:val="3D0187F9"/>
    <w:rsid w:val="3D05B639"/>
    <w:rsid w:val="3D05F37A"/>
    <w:rsid w:val="3D083B6B"/>
    <w:rsid w:val="3D0AE28D"/>
    <w:rsid w:val="3D0BC29F"/>
    <w:rsid w:val="3D0E975D"/>
    <w:rsid w:val="3D106593"/>
    <w:rsid w:val="3D10B49C"/>
    <w:rsid w:val="3D120B15"/>
    <w:rsid w:val="3D134370"/>
    <w:rsid w:val="3D13F5AB"/>
    <w:rsid w:val="3D1492E6"/>
    <w:rsid w:val="3D1583E1"/>
    <w:rsid w:val="3D170E96"/>
    <w:rsid w:val="3D176253"/>
    <w:rsid w:val="3D17FBFF"/>
    <w:rsid w:val="3D18E706"/>
    <w:rsid w:val="3D1BD352"/>
    <w:rsid w:val="3D1CF101"/>
    <w:rsid w:val="3D206E6C"/>
    <w:rsid w:val="3D214495"/>
    <w:rsid w:val="3D221548"/>
    <w:rsid w:val="3D2528B7"/>
    <w:rsid w:val="3D2533E2"/>
    <w:rsid w:val="3D26D2C3"/>
    <w:rsid w:val="3D283BA7"/>
    <w:rsid w:val="3D291684"/>
    <w:rsid w:val="3D293EE2"/>
    <w:rsid w:val="3D2E5830"/>
    <w:rsid w:val="3D328AAD"/>
    <w:rsid w:val="3D3305C9"/>
    <w:rsid w:val="3D388241"/>
    <w:rsid w:val="3D388DB0"/>
    <w:rsid w:val="3D388ECA"/>
    <w:rsid w:val="3D39D862"/>
    <w:rsid w:val="3D39E62D"/>
    <w:rsid w:val="3D3E6870"/>
    <w:rsid w:val="3D3EA079"/>
    <w:rsid w:val="3D3EABC2"/>
    <w:rsid w:val="3D3F8618"/>
    <w:rsid w:val="3D42B8E2"/>
    <w:rsid w:val="3D42E6D0"/>
    <w:rsid w:val="3D45ED8F"/>
    <w:rsid w:val="3D4604C9"/>
    <w:rsid w:val="3D464487"/>
    <w:rsid w:val="3D4684B0"/>
    <w:rsid w:val="3D4AC5F1"/>
    <w:rsid w:val="3D4C9DA0"/>
    <w:rsid w:val="3D4D62F9"/>
    <w:rsid w:val="3D4DC04D"/>
    <w:rsid w:val="3D4E1BED"/>
    <w:rsid w:val="3D4E1E92"/>
    <w:rsid w:val="3D4E8AED"/>
    <w:rsid w:val="3D4FD5D1"/>
    <w:rsid w:val="3D504DA6"/>
    <w:rsid w:val="3D508431"/>
    <w:rsid w:val="3D54422C"/>
    <w:rsid w:val="3D5603AC"/>
    <w:rsid w:val="3D56B850"/>
    <w:rsid w:val="3D5D549F"/>
    <w:rsid w:val="3D5D9F3D"/>
    <w:rsid w:val="3D5E458E"/>
    <w:rsid w:val="3D5FE9A7"/>
    <w:rsid w:val="3D609E96"/>
    <w:rsid w:val="3D6146F0"/>
    <w:rsid w:val="3D617B1E"/>
    <w:rsid w:val="3D61BFA4"/>
    <w:rsid w:val="3D63E4A8"/>
    <w:rsid w:val="3D6429BD"/>
    <w:rsid w:val="3D64AB9E"/>
    <w:rsid w:val="3D67A4EE"/>
    <w:rsid w:val="3D6A7235"/>
    <w:rsid w:val="3D6ACA47"/>
    <w:rsid w:val="3D6C7858"/>
    <w:rsid w:val="3D6EB42E"/>
    <w:rsid w:val="3D713C48"/>
    <w:rsid w:val="3D74B96D"/>
    <w:rsid w:val="3D751C55"/>
    <w:rsid w:val="3D75907E"/>
    <w:rsid w:val="3D76E00D"/>
    <w:rsid w:val="3D7A67C2"/>
    <w:rsid w:val="3D7B6452"/>
    <w:rsid w:val="3D7CFE7E"/>
    <w:rsid w:val="3D7DF5BE"/>
    <w:rsid w:val="3D7DF922"/>
    <w:rsid w:val="3D8159DD"/>
    <w:rsid w:val="3D82B01C"/>
    <w:rsid w:val="3D83C236"/>
    <w:rsid w:val="3D84AE0A"/>
    <w:rsid w:val="3D84CF4A"/>
    <w:rsid w:val="3D88860B"/>
    <w:rsid w:val="3D88ECAE"/>
    <w:rsid w:val="3D8C3064"/>
    <w:rsid w:val="3D8D17CB"/>
    <w:rsid w:val="3D8D2D01"/>
    <w:rsid w:val="3D8DAB06"/>
    <w:rsid w:val="3D8FC5FC"/>
    <w:rsid w:val="3D914B54"/>
    <w:rsid w:val="3D91C61C"/>
    <w:rsid w:val="3D9439E5"/>
    <w:rsid w:val="3D976898"/>
    <w:rsid w:val="3D9777BF"/>
    <w:rsid w:val="3D977AE9"/>
    <w:rsid w:val="3D9845C7"/>
    <w:rsid w:val="3D9B92D0"/>
    <w:rsid w:val="3D9C2642"/>
    <w:rsid w:val="3D9C29E2"/>
    <w:rsid w:val="3D9C3BED"/>
    <w:rsid w:val="3D9D86D5"/>
    <w:rsid w:val="3D9EC850"/>
    <w:rsid w:val="3DA141DA"/>
    <w:rsid w:val="3DA211F4"/>
    <w:rsid w:val="3DA48A08"/>
    <w:rsid w:val="3DA4EB58"/>
    <w:rsid w:val="3DA50D5C"/>
    <w:rsid w:val="3DA571D7"/>
    <w:rsid w:val="3DA58F6A"/>
    <w:rsid w:val="3DA8ED9E"/>
    <w:rsid w:val="3DAA5EA0"/>
    <w:rsid w:val="3DAAC174"/>
    <w:rsid w:val="3DAC82A2"/>
    <w:rsid w:val="3DAFFFD5"/>
    <w:rsid w:val="3DB07863"/>
    <w:rsid w:val="3DB147D2"/>
    <w:rsid w:val="3DB3CB4F"/>
    <w:rsid w:val="3DB5FDB6"/>
    <w:rsid w:val="3DB6EBBC"/>
    <w:rsid w:val="3DB9F7A5"/>
    <w:rsid w:val="3DBAB0C3"/>
    <w:rsid w:val="3DBAC402"/>
    <w:rsid w:val="3DBB0108"/>
    <w:rsid w:val="3DBC572B"/>
    <w:rsid w:val="3DBE0204"/>
    <w:rsid w:val="3DBE602E"/>
    <w:rsid w:val="3DBEBEF7"/>
    <w:rsid w:val="3DC2BC42"/>
    <w:rsid w:val="3DC2E21B"/>
    <w:rsid w:val="3DC3E2A3"/>
    <w:rsid w:val="3DC4345C"/>
    <w:rsid w:val="3DC4BCDA"/>
    <w:rsid w:val="3DC66CFE"/>
    <w:rsid w:val="3DC6D7F1"/>
    <w:rsid w:val="3DC77AC0"/>
    <w:rsid w:val="3DC93465"/>
    <w:rsid w:val="3DCB8AEF"/>
    <w:rsid w:val="3DCEA34C"/>
    <w:rsid w:val="3DCF0942"/>
    <w:rsid w:val="3DD1AADD"/>
    <w:rsid w:val="3DD1E162"/>
    <w:rsid w:val="3DD24D74"/>
    <w:rsid w:val="3DD28366"/>
    <w:rsid w:val="3DD33A02"/>
    <w:rsid w:val="3DD3689D"/>
    <w:rsid w:val="3DD3B82D"/>
    <w:rsid w:val="3DD41188"/>
    <w:rsid w:val="3DD96E64"/>
    <w:rsid w:val="3DDA51BD"/>
    <w:rsid w:val="3DDD5155"/>
    <w:rsid w:val="3DDE57F3"/>
    <w:rsid w:val="3DDFA100"/>
    <w:rsid w:val="3DDFBFFF"/>
    <w:rsid w:val="3DE04923"/>
    <w:rsid w:val="3DE170C4"/>
    <w:rsid w:val="3DE20152"/>
    <w:rsid w:val="3DE22377"/>
    <w:rsid w:val="3DE9A0B9"/>
    <w:rsid w:val="3DE9B8D3"/>
    <w:rsid w:val="3DEAA8D2"/>
    <w:rsid w:val="3DEC4D53"/>
    <w:rsid w:val="3DED4B4C"/>
    <w:rsid w:val="3DED4D65"/>
    <w:rsid w:val="3DF0CB01"/>
    <w:rsid w:val="3DF5C085"/>
    <w:rsid w:val="3DF5EE0F"/>
    <w:rsid w:val="3DF6DB9E"/>
    <w:rsid w:val="3DF8EB6D"/>
    <w:rsid w:val="3DFA151E"/>
    <w:rsid w:val="3DFA8DA5"/>
    <w:rsid w:val="3DFA9AE3"/>
    <w:rsid w:val="3DFB8E31"/>
    <w:rsid w:val="3DFBEDE6"/>
    <w:rsid w:val="3E003876"/>
    <w:rsid w:val="3E01D155"/>
    <w:rsid w:val="3E01F982"/>
    <w:rsid w:val="3E04A050"/>
    <w:rsid w:val="3E083456"/>
    <w:rsid w:val="3E0A2E27"/>
    <w:rsid w:val="3E0A4336"/>
    <w:rsid w:val="3E0C99FC"/>
    <w:rsid w:val="3E0DD848"/>
    <w:rsid w:val="3E11C22A"/>
    <w:rsid w:val="3E127CBB"/>
    <w:rsid w:val="3E136793"/>
    <w:rsid w:val="3E15C3F5"/>
    <w:rsid w:val="3E16F261"/>
    <w:rsid w:val="3E1AB470"/>
    <w:rsid w:val="3E1D1BEF"/>
    <w:rsid w:val="3E1D9470"/>
    <w:rsid w:val="3E1E6FB0"/>
    <w:rsid w:val="3E1F0BFF"/>
    <w:rsid w:val="3E1F3F56"/>
    <w:rsid w:val="3E208CF4"/>
    <w:rsid w:val="3E22B6BB"/>
    <w:rsid w:val="3E246850"/>
    <w:rsid w:val="3E2476E7"/>
    <w:rsid w:val="3E25D644"/>
    <w:rsid w:val="3E26E040"/>
    <w:rsid w:val="3E2CC758"/>
    <w:rsid w:val="3E32ED6B"/>
    <w:rsid w:val="3E331961"/>
    <w:rsid w:val="3E39E30B"/>
    <w:rsid w:val="3E3C3109"/>
    <w:rsid w:val="3E3CD6F3"/>
    <w:rsid w:val="3E439771"/>
    <w:rsid w:val="3E44EE9F"/>
    <w:rsid w:val="3E452665"/>
    <w:rsid w:val="3E45C6FA"/>
    <w:rsid w:val="3E45D4AE"/>
    <w:rsid w:val="3E467295"/>
    <w:rsid w:val="3E473A7D"/>
    <w:rsid w:val="3E491C96"/>
    <w:rsid w:val="3E49B2FC"/>
    <w:rsid w:val="3E4B2C0B"/>
    <w:rsid w:val="3E4C7F8E"/>
    <w:rsid w:val="3E4E02E0"/>
    <w:rsid w:val="3E4F09B1"/>
    <w:rsid w:val="3E4F83CC"/>
    <w:rsid w:val="3E507FC2"/>
    <w:rsid w:val="3E50DC18"/>
    <w:rsid w:val="3E510942"/>
    <w:rsid w:val="3E51A731"/>
    <w:rsid w:val="3E5278FD"/>
    <w:rsid w:val="3E54822D"/>
    <w:rsid w:val="3E57A0AF"/>
    <w:rsid w:val="3E586B1C"/>
    <w:rsid w:val="3E587CE8"/>
    <w:rsid w:val="3E5A4EF5"/>
    <w:rsid w:val="3E5B7099"/>
    <w:rsid w:val="3E5BCE5D"/>
    <w:rsid w:val="3E5C8334"/>
    <w:rsid w:val="3E5CDAFE"/>
    <w:rsid w:val="3E5EC396"/>
    <w:rsid w:val="3E619595"/>
    <w:rsid w:val="3E61D398"/>
    <w:rsid w:val="3E644824"/>
    <w:rsid w:val="3E647EF0"/>
    <w:rsid w:val="3E65E794"/>
    <w:rsid w:val="3E65ECBD"/>
    <w:rsid w:val="3E664B81"/>
    <w:rsid w:val="3E6993FC"/>
    <w:rsid w:val="3E69B17C"/>
    <w:rsid w:val="3E6A0CBF"/>
    <w:rsid w:val="3E6B075B"/>
    <w:rsid w:val="3E6E6E03"/>
    <w:rsid w:val="3E7355A7"/>
    <w:rsid w:val="3E761362"/>
    <w:rsid w:val="3E7668F6"/>
    <w:rsid w:val="3E7902D6"/>
    <w:rsid w:val="3E79C07A"/>
    <w:rsid w:val="3E7D476A"/>
    <w:rsid w:val="3E8167AE"/>
    <w:rsid w:val="3E81E3B8"/>
    <w:rsid w:val="3E852809"/>
    <w:rsid w:val="3E85632F"/>
    <w:rsid w:val="3E887E89"/>
    <w:rsid w:val="3E8B1AAC"/>
    <w:rsid w:val="3E8DD3CF"/>
    <w:rsid w:val="3E8EE32B"/>
    <w:rsid w:val="3E8FC4DC"/>
    <w:rsid w:val="3E91353B"/>
    <w:rsid w:val="3E91404B"/>
    <w:rsid w:val="3E92EB57"/>
    <w:rsid w:val="3E92EFF2"/>
    <w:rsid w:val="3E9356A5"/>
    <w:rsid w:val="3E941147"/>
    <w:rsid w:val="3E94FA97"/>
    <w:rsid w:val="3E955840"/>
    <w:rsid w:val="3E96A748"/>
    <w:rsid w:val="3E978BB3"/>
    <w:rsid w:val="3E98DEDC"/>
    <w:rsid w:val="3E98F9B5"/>
    <w:rsid w:val="3E99049C"/>
    <w:rsid w:val="3E994A83"/>
    <w:rsid w:val="3EA0521E"/>
    <w:rsid w:val="3EA07062"/>
    <w:rsid w:val="3EA1CB50"/>
    <w:rsid w:val="3EA756BD"/>
    <w:rsid w:val="3EA7D1B6"/>
    <w:rsid w:val="3EA7E9E1"/>
    <w:rsid w:val="3EA868E8"/>
    <w:rsid w:val="3EA96888"/>
    <w:rsid w:val="3EAA12BB"/>
    <w:rsid w:val="3EACA84D"/>
    <w:rsid w:val="3EAF6E1D"/>
    <w:rsid w:val="3EB239A2"/>
    <w:rsid w:val="3EB25C1B"/>
    <w:rsid w:val="3EB33EC6"/>
    <w:rsid w:val="3EB43AAC"/>
    <w:rsid w:val="3EB5703D"/>
    <w:rsid w:val="3EB69049"/>
    <w:rsid w:val="3EB7A256"/>
    <w:rsid w:val="3EB8C9E4"/>
    <w:rsid w:val="3EB959FA"/>
    <w:rsid w:val="3EBEA6F9"/>
    <w:rsid w:val="3EC1C24C"/>
    <w:rsid w:val="3EC1F5D7"/>
    <w:rsid w:val="3EC3D6CF"/>
    <w:rsid w:val="3EC40112"/>
    <w:rsid w:val="3EC50891"/>
    <w:rsid w:val="3EC528A5"/>
    <w:rsid w:val="3EC58A49"/>
    <w:rsid w:val="3EC5A96B"/>
    <w:rsid w:val="3EC7C3F7"/>
    <w:rsid w:val="3EC8522C"/>
    <w:rsid w:val="3EC9D293"/>
    <w:rsid w:val="3ECBBFA2"/>
    <w:rsid w:val="3ECD73D2"/>
    <w:rsid w:val="3ECE4258"/>
    <w:rsid w:val="3ECF2CA3"/>
    <w:rsid w:val="3ECF719C"/>
    <w:rsid w:val="3ECFABE2"/>
    <w:rsid w:val="3ECFCB31"/>
    <w:rsid w:val="3ED246F6"/>
    <w:rsid w:val="3ED30A7A"/>
    <w:rsid w:val="3ED32109"/>
    <w:rsid w:val="3ED51732"/>
    <w:rsid w:val="3ED5D8A5"/>
    <w:rsid w:val="3ED698E7"/>
    <w:rsid w:val="3ED8BDBF"/>
    <w:rsid w:val="3ED926B3"/>
    <w:rsid w:val="3ED9AEE0"/>
    <w:rsid w:val="3EDB2520"/>
    <w:rsid w:val="3EDCEA48"/>
    <w:rsid w:val="3EDD43FC"/>
    <w:rsid w:val="3EE2582C"/>
    <w:rsid w:val="3EE4AB27"/>
    <w:rsid w:val="3EE5706A"/>
    <w:rsid w:val="3EE8D254"/>
    <w:rsid w:val="3EE999E2"/>
    <w:rsid w:val="3EE9D152"/>
    <w:rsid w:val="3EE9E6A6"/>
    <w:rsid w:val="3EE9FDE2"/>
    <w:rsid w:val="3EEA005C"/>
    <w:rsid w:val="3EEA418E"/>
    <w:rsid w:val="3EEA973A"/>
    <w:rsid w:val="3EEBF450"/>
    <w:rsid w:val="3EEC4890"/>
    <w:rsid w:val="3EEE468A"/>
    <w:rsid w:val="3EF18D79"/>
    <w:rsid w:val="3EF36420"/>
    <w:rsid w:val="3EF44887"/>
    <w:rsid w:val="3EF5EFC7"/>
    <w:rsid w:val="3EF7D616"/>
    <w:rsid w:val="3EF806F1"/>
    <w:rsid w:val="3EF8A32D"/>
    <w:rsid w:val="3EFC5042"/>
    <w:rsid w:val="3EFD8FC0"/>
    <w:rsid w:val="3EFE685B"/>
    <w:rsid w:val="3EFF53F1"/>
    <w:rsid w:val="3F00775D"/>
    <w:rsid w:val="3F009A85"/>
    <w:rsid w:val="3F02D5DF"/>
    <w:rsid w:val="3F03792C"/>
    <w:rsid w:val="3F04EC14"/>
    <w:rsid w:val="3F0544C8"/>
    <w:rsid w:val="3F060E51"/>
    <w:rsid w:val="3F073822"/>
    <w:rsid w:val="3F089B42"/>
    <w:rsid w:val="3F08B223"/>
    <w:rsid w:val="3F0B1922"/>
    <w:rsid w:val="3F0C4D6A"/>
    <w:rsid w:val="3F111684"/>
    <w:rsid w:val="3F12F0EB"/>
    <w:rsid w:val="3F13A43C"/>
    <w:rsid w:val="3F14E4B0"/>
    <w:rsid w:val="3F152DF5"/>
    <w:rsid w:val="3F161CF9"/>
    <w:rsid w:val="3F173904"/>
    <w:rsid w:val="3F176F15"/>
    <w:rsid w:val="3F18D376"/>
    <w:rsid w:val="3F19029C"/>
    <w:rsid w:val="3F199C66"/>
    <w:rsid w:val="3F1DD664"/>
    <w:rsid w:val="3F1E0BC6"/>
    <w:rsid w:val="3F1E3F09"/>
    <w:rsid w:val="3F1F4EC7"/>
    <w:rsid w:val="3F207C48"/>
    <w:rsid w:val="3F21183E"/>
    <w:rsid w:val="3F212552"/>
    <w:rsid w:val="3F21579C"/>
    <w:rsid w:val="3F22311B"/>
    <w:rsid w:val="3F2271E7"/>
    <w:rsid w:val="3F23E187"/>
    <w:rsid w:val="3F25C94D"/>
    <w:rsid w:val="3F26F446"/>
    <w:rsid w:val="3F27EE33"/>
    <w:rsid w:val="3F283CCE"/>
    <w:rsid w:val="3F28B614"/>
    <w:rsid w:val="3F2C54C9"/>
    <w:rsid w:val="3F2E3127"/>
    <w:rsid w:val="3F2F2D10"/>
    <w:rsid w:val="3F2F85AE"/>
    <w:rsid w:val="3F321F4A"/>
    <w:rsid w:val="3F330E7A"/>
    <w:rsid w:val="3F37795D"/>
    <w:rsid w:val="3F377E9B"/>
    <w:rsid w:val="3F3A3D17"/>
    <w:rsid w:val="3F3A4C25"/>
    <w:rsid w:val="3F40C851"/>
    <w:rsid w:val="3F465663"/>
    <w:rsid w:val="3F49C909"/>
    <w:rsid w:val="3F4A922D"/>
    <w:rsid w:val="3F4AFCE5"/>
    <w:rsid w:val="3F4C4160"/>
    <w:rsid w:val="3F4CD8C4"/>
    <w:rsid w:val="3F4F98E4"/>
    <w:rsid w:val="3F505163"/>
    <w:rsid w:val="3F52EFD2"/>
    <w:rsid w:val="3F537DAE"/>
    <w:rsid w:val="3F53CD07"/>
    <w:rsid w:val="3F53F4FE"/>
    <w:rsid w:val="3F58B51F"/>
    <w:rsid w:val="3F59A218"/>
    <w:rsid w:val="3F59A36F"/>
    <w:rsid w:val="3F5ABB53"/>
    <w:rsid w:val="3F5B585F"/>
    <w:rsid w:val="3F5BAE62"/>
    <w:rsid w:val="3F5C1B26"/>
    <w:rsid w:val="3F5D775C"/>
    <w:rsid w:val="3F5E97C2"/>
    <w:rsid w:val="3F5EAB9C"/>
    <w:rsid w:val="3F5EDADD"/>
    <w:rsid w:val="3F5FE59E"/>
    <w:rsid w:val="3F628F22"/>
    <w:rsid w:val="3F644C99"/>
    <w:rsid w:val="3F65EFE9"/>
    <w:rsid w:val="3F660530"/>
    <w:rsid w:val="3F673B12"/>
    <w:rsid w:val="3F67911F"/>
    <w:rsid w:val="3F67EC4B"/>
    <w:rsid w:val="3F69DB18"/>
    <w:rsid w:val="3F6A9125"/>
    <w:rsid w:val="3F6A94D5"/>
    <w:rsid w:val="3F6BEF88"/>
    <w:rsid w:val="3F6F95E0"/>
    <w:rsid w:val="3F70F09E"/>
    <w:rsid w:val="3F72A140"/>
    <w:rsid w:val="3F73583F"/>
    <w:rsid w:val="3F73A22B"/>
    <w:rsid w:val="3F73F0D0"/>
    <w:rsid w:val="3F75AF2C"/>
    <w:rsid w:val="3F762DF9"/>
    <w:rsid w:val="3F76F299"/>
    <w:rsid w:val="3F78C190"/>
    <w:rsid w:val="3F7C888C"/>
    <w:rsid w:val="3F7D07DC"/>
    <w:rsid w:val="3F7D87B3"/>
    <w:rsid w:val="3F7DBBC1"/>
    <w:rsid w:val="3F7DECBA"/>
    <w:rsid w:val="3F7F448E"/>
    <w:rsid w:val="3F80BC7F"/>
    <w:rsid w:val="3F810C64"/>
    <w:rsid w:val="3F813D20"/>
    <w:rsid w:val="3F837177"/>
    <w:rsid w:val="3F83FF48"/>
    <w:rsid w:val="3F84D9DA"/>
    <w:rsid w:val="3F84DB54"/>
    <w:rsid w:val="3F8502BC"/>
    <w:rsid w:val="3F85E02C"/>
    <w:rsid w:val="3F86C3DC"/>
    <w:rsid w:val="3F8AAB1E"/>
    <w:rsid w:val="3F8B66FF"/>
    <w:rsid w:val="3F8B86CA"/>
    <w:rsid w:val="3F8BB05F"/>
    <w:rsid w:val="3F8EC579"/>
    <w:rsid w:val="3F917493"/>
    <w:rsid w:val="3F92279B"/>
    <w:rsid w:val="3F92F59D"/>
    <w:rsid w:val="3F936B8E"/>
    <w:rsid w:val="3F937F4C"/>
    <w:rsid w:val="3F9605CE"/>
    <w:rsid w:val="3F981C7E"/>
    <w:rsid w:val="3F98D1DE"/>
    <w:rsid w:val="3F98FB1E"/>
    <w:rsid w:val="3F990854"/>
    <w:rsid w:val="3F9F5471"/>
    <w:rsid w:val="3FA02896"/>
    <w:rsid w:val="3FA565A6"/>
    <w:rsid w:val="3FA58265"/>
    <w:rsid w:val="3FA6A63B"/>
    <w:rsid w:val="3FA74B83"/>
    <w:rsid w:val="3FABACBA"/>
    <w:rsid w:val="3FABB986"/>
    <w:rsid w:val="3FABF428"/>
    <w:rsid w:val="3FAC2BBC"/>
    <w:rsid w:val="3FADEF91"/>
    <w:rsid w:val="3FAE8811"/>
    <w:rsid w:val="3FAFC818"/>
    <w:rsid w:val="3FAFDF47"/>
    <w:rsid w:val="3FAFEC40"/>
    <w:rsid w:val="3FB0042D"/>
    <w:rsid w:val="3FB13CFB"/>
    <w:rsid w:val="3FB21AF5"/>
    <w:rsid w:val="3FB27478"/>
    <w:rsid w:val="3FB35BF5"/>
    <w:rsid w:val="3FB36E95"/>
    <w:rsid w:val="3FB41C0B"/>
    <w:rsid w:val="3FB54558"/>
    <w:rsid w:val="3FB66A77"/>
    <w:rsid w:val="3FBA0C70"/>
    <w:rsid w:val="3FBAAACB"/>
    <w:rsid w:val="3FBB6B6D"/>
    <w:rsid w:val="3FBD835F"/>
    <w:rsid w:val="3FC34F14"/>
    <w:rsid w:val="3FC3C79C"/>
    <w:rsid w:val="3FC48C7F"/>
    <w:rsid w:val="3FC92BD3"/>
    <w:rsid w:val="3FCEAD24"/>
    <w:rsid w:val="3FCEF462"/>
    <w:rsid w:val="3FCF0893"/>
    <w:rsid w:val="3FD0599E"/>
    <w:rsid w:val="3FD1E7BB"/>
    <w:rsid w:val="3FD4017E"/>
    <w:rsid w:val="3FD4BED7"/>
    <w:rsid w:val="3FD723E3"/>
    <w:rsid w:val="3FD73E4C"/>
    <w:rsid w:val="3FD8DA17"/>
    <w:rsid w:val="3FD98430"/>
    <w:rsid w:val="3FDD0AD6"/>
    <w:rsid w:val="3FDE6C27"/>
    <w:rsid w:val="3FDF294F"/>
    <w:rsid w:val="3FDF9010"/>
    <w:rsid w:val="3FE4DE8E"/>
    <w:rsid w:val="3FE5C9FC"/>
    <w:rsid w:val="3FE63F2A"/>
    <w:rsid w:val="3FE6DBCD"/>
    <w:rsid w:val="3FE76D4B"/>
    <w:rsid w:val="3FE86D95"/>
    <w:rsid w:val="3FEA769A"/>
    <w:rsid w:val="3FEA879A"/>
    <w:rsid w:val="3FEC187A"/>
    <w:rsid w:val="3FEC5516"/>
    <w:rsid w:val="3FEC696A"/>
    <w:rsid w:val="3FF4C755"/>
    <w:rsid w:val="3FF57ACF"/>
    <w:rsid w:val="3FF6D47C"/>
    <w:rsid w:val="3FF72B49"/>
    <w:rsid w:val="3FF97DB5"/>
    <w:rsid w:val="3FFB3B09"/>
    <w:rsid w:val="3FFC945E"/>
    <w:rsid w:val="3FFCA421"/>
    <w:rsid w:val="3FFED70E"/>
    <w:rsid w:val="3FFF26E2"/>
    <w:rsid w:val="400066F0"/>
    <w:rsid w:val="4002597D"/>
    <w:rsid w:val="4005F56B"/>
    <w:rsid w:val="40062687"/>
    <w:rsid w:val="4006807A"/>
    <w:rsid w:val="4006DD01"/>
    <w:rsid w:val="4008C310"/>
    <w:rsid w:val="40096DF5"/>
    <w:rsid w:val="400DD3D7"/>
    <w:rsid w:val="400FFAAD"/>
    <w:rsid w:val="401042A7"/>
    <w:rsid w:val="40115853"/>
    <w:rsid w:val="40119DAF"/>
    <w:rsid w:val="4011F7C5"/>
    <w:rsid w:val="4012DCDE"/>
    <w:rsid w:val="4015826F"/>
    <w:rsid w:val="4015B3B0"/>
    <w:rsid w:val="401A84CD"/>
    <w:rsid w:val="402098A5"/>
    <w:rsid w:val="40212028"/>
    <w:rsid w:val="40271217"/>
    <w:rsid w:val="4027CED7"/>
    <w:rsid w:val="4028BC37"/>
    <w:rsid w:val="402A1F91"/>
    <w:rsid w:val="402AD5B4"/>
    <w:rsid w:val="402D6F83"/>
    <w:rsid w:val="402E5B87"/>
    <w:rsid w:val="402EC3CC"/>
    <w:rsid w:val="40307BF3"/>
    <w:rsid w:val="40318B36"/>
    <w:rsid w:val="40325D66"/>
    <w:rsid w:val="4033E12B"/>
    <w:rsid w:val="40341305"/>
    <w:rsid w:val="40373CB7"/>
    <w:rsid w:val="4039926C"/>
    <w:rsid w:val="4039F272"/>
    <w:rsid w:val="403B07D3"/>
    <w:rsid w:val="403B415E"/>
    <w:rsid w:val="403D83E1"/>
    <w:rsid w:val="403E52B6"/>
    <w:rsid w:val="403E8F16"/>
    <w:rsid w:val="4040DA23"/>
    <w:rsid w:val="40425FA9"/>
    <w:rsid w:val="4043A010"/>
    <w:rsid w:val="40444476"/>
    <w:rsid w:val="4044CDF1"/>
    <w:rsid w:val="4047B002"/>
    <w:rsid w:val="40487E70"/>
    <w:rsid w:val="404AF2EF"/>
    <w:rsid w:val="404BF09E"/>
    <w:rsid w:val="404CC5CD"/>
    <w:rsid w:val="405198E8"/>
    <w:rsid w:val="4051CD2A"/>
    <w:rsid w:val="4052EA2E"/>
    <w:rsid w:val="40542B55"/>
    <w:rsid w:val="4055A348"/>
    <w:rsid w:val="4055B0F0"/>
    <w:rsid w:val="4055CA05"/>
    <w:rsid w:val="40561CAE"/>
    <w:rsid w:val="4057DA16"/>
    <w:rsid w:val="40580957"/>
    <w:rsid w:val="4058B614"/>
    <w:rsid w:val="4058B617"/>
    <w:rsid w:val="4058D896"/>
    <w:rsid w:val="40618E00"/>
    <w:rsid w:val="4061EFFB"/>
    <w:rsid w:val="4061F49C"/>
    <w:rsid w:val="406604C3"/>
    <w:rsid w:val="4066E985"/>
    <w:rsid w:val="4068F4B4"/>
    <w:rsid w:val="406A1743"/>
    <w:rsid w:val="406E6367"/>
    <w:rsid w:val="406F6902"/>
    <w:rsid w:val="40707B67"/>
    <w:rsid w:val="4072CCF8"/>
    <w:rsid w:val="407355A8"/>
    <w:rsid w:val="4077DCC0"/>
    <w:rsid w:val="4077DEB1"/>
    <w:rsid w:val="4078D99E"/>
    <w:rsid w:val="407A2E83"/>
    <w:rsid w:val="407A3B15"/>
    <w:rsid w:val="407A8D58"/>
    <w:rsid w:val="407A91A3"/>
    <w:rsid w:val="407DC5D5"/>
    <w:rsid w:val="407EF9AF"/>
    <w:rsid w:val="40800D93"/>
    <w:rsid w:val="4081C623"/>
    <w:rsid w:val="40838E8C"/>
    <w:rsid w:val="40850EE2"/>
    <w:rsid w:val="4085C8BE"/>
    <w:rsid w:val="4085EA12"/>
    <w:rsid w:val="4088DCE5"/>
    <w:rsid w:val="408951C6"/>
    <w:rsid w:val="408A0FDB"/>
    <w:rsid w:val="408AC99E"/>
    <w:rsid w:val="408ADA44"/>
    <w:rsid w:val="408C2C27"/>
    <w:rsid w:val="408CE94D"/>
    <w:rsid w:val="408DB069"/>
    <w:rsid w:val="408FD8B1"/>
    <w:rsid w:val="408FFFAD"/>
    <w:rsid w:val="4090DD6F"/>
    <w:rsid w:val="4092C079"/>
    <w:rsid w:val="409442C8"/>
    <w:rsid w:val="40984C23"/>
    <w:rsid w:val="4098E708"/>
    <w:rsid w:val="4099026D"/>
    <w:rsid w:val="40994901"/>
    <w:rsid w:val="4099B3AC"/>
    <w:rsid w:val="409A5FB2"/>
    <w:rsid w:val="409F8372"/>
    <w:rsid w:val="40A221D2"/>
    <w:rsid w:val="40A22FAB"/>
    <w:rsid w:val="40A39D26"/>
    <w:rsid w:val="40A3BEE5"/>
    <w:rsid w:val="40A5EDD2"/>
    <w:rsid w:val="40A6D30D"/>
    <w:rsid w:val="40A8863C"/>
    <w:rsid w:val="40A89061"/>
    <w:rsid w:val="40A91954"/>
    <w:rsid w:val="40AA2025"/>
    <w:rsid w:val="40AB9CD9"/>
    <w:rsid w:val="40ACB5ED"/>
    <w:rsid w:val="40AFA3D7"/>
    <w:rsid w:val="40B22CA6"/>
    <w:rsid w:val="40B4168C"/>
    <w:rsid w:val="40B44F41"/>
    <w:rsid w:val="40B8249F"/>
    <w:rsid w:val="40B8ED11"/>
    <w:rsid w:val="40BB09AD"/>
    <w:rsid w:val="40BB2C38"/>
    <w:rsid w:val="40BC6E46"/>
    <w:rsid w:val="40BD3509"/>
    <w:rsid w:val="40BFAC49"/>
    <w:rsid w:val="40C07055"/>
    <w:rsid w:val="40C177F7"/>
    <w:rsid w:val="40C1B48E"/>
    <w:rsid w:val="40C29313"/>
    <w:rsid w:val="40C3BC4D"/>
    <w:rsid w:val="40C5F347"/>
    <w:rsid w:val="40C9081A"/>
    <w:rsid w:val="40C92D31"/>
    <w:rsid w:val="40C9D662"/>
    <w:rsid w:val="40CB27E8"/>
    <w:rsid w:val="40CD7286"/>
    <w:rsid w:val="40CF1F8A"/>
    <w:rsid w:val="40CFF8A8"/>
    <w:rsid w:val="40D1E838"/>
    <w:rsid w:val="40D514E9"/>
    <w:rsid w:val="40D7E795"/>
    <w:rsid w:val="40D8D566"/>
    <w:rsid w:val="40D8F452"/>
    <w:rsid w:val="40DAFD38"/>
    <w:rsid w:val="40DC3C50"/>
    <w:rsid w:val="40DE89C9"/>
    <w:rsid w:val="40DF3C89"/>
    <w:rsid w:val="40DF54BA"/>
    <w:rsid w:val="40E192D8"/>
    <w:rsid w:val="40E39F3F"/>
    <w:rsid w:val="40E5FB6A"/>
    <w:rsid w:val="40E8A053"/>
    <w:rsid w:val="40E8FBAF"/>
    <w:rsid w:val="40E9AE7F"/>
    <w:rsid w:val="40EC44F2"/>
    <w:rsid w:val="40EDB785"/>
    <w:rsid w:val="40EE7787"/>
    <w:rsid w:val="40EEBE27"/>
    <w:rsid w:val="40EF3E4B"/>
    <w:rsid w:val="40F0CD34"/>
    <w:rsid w:val="40F1CB5C"/>
    <w:rsid w:val="40F1EEE0"/>
    <w:rsid w:val="40F3BFE9"/>
    <w:rsid w:val="40F57545"/>
    <w:rsid w:val="40FAA12C"/>
    <w:rsid w:val="40FBB4CA"/>
    <w:rsid w:val="40FF8128"/>
    <w:rsid w:val="4100F649"/>
    <w:rsid w:val="41014C2F"/>
    <w:rsid w:val="41020038"/>
    <w:rsid w:val="41026D2A"/>
    <w:rsid w:val="4102A0FA"/>
    <w:rsid w:val="41098954"/>
    <w:rsid w:val="410F0F17"/>
    <w:rsid w:val="410FBA4A"/>
    <w:rsid w:val="41102897"/>
    <w:rsid w:val="4112C651"/>
    <w:rsid w:val="41143BFD"/>
    <w:rsid w:val="41145837"/>
    <w:rsid w:val="411737A3"/>
    <w:rsid w:val="41181701"/>
    <w:rsid w:val="411984F5"/>
    <w:rsid w:val="411991D2"/>
    <w:rsid w:val="411A9CAA"/>
    <w:rsid w:val="411B3415"/>
    <w:rsid w:val="411C7E3A"/>
    <w:rsid w:val="411D99CE"/>
    <w:rsid w:val="41211015"/>
    <w:rsid w:val="412178F8"/>
    <w:rsid w:val="41233B71"/>
    <w:rsid w:val="4124EA9C"/>
    <w:rsid w:val="412555D2"/>
    <w:rsid w:val="41256ED0"/>
    <w:rsid w:val="41261A56"/>
    <w:rsid w:val="41268C53"/>
    <w:rsid w:val="4128A8A6"/>
    <w:rsid w:val="412A87BD"/>
    <w:rsid w:val="412AB8B5"/>
    <w:rsid w:val="412C3672"/>
    <w:rsid w:val="412DD3F5"/>
    <w:rsid w:val="412EE42F"/>
    <w:rsid w:val="413258D0"/>
    <w:rsid w:val="4133D83A"/>
    <w:rsid w:val="41346CC8"/>
    <w:rsid w:val="4134CD95"/>
    <w:rsid w:val="413F7D1B"/>
    <w:rsid w:val="41424910"/>
    <w:rsid w:val="41447FF2"/>
    <w:rsid w:val="4144AD9F"/>
    <w:rsid w:val="41467232"/>
    <w:rsid w:val="414725B2"/>
    <w:rsid w:val="41476380"/>
    <w:rsid w:val="4147DAF1"/>
    <w:rsid w:val="41488A57"/>
    <w:rsid w:val="4148B5F6"/>
    <w:rsid w:val="414AFA8E"/>
    <w:rsid w:val="414B682B"/>
    <w:rsid w:val="414B7AE7"/>
    <w:rsid w:val="414BEABA"/>
    <w:rsid w:val="414DDF10"/>
    <w:rsid w:val="415113C2"/>
    <w:rsid w:val="41516D9E"/>
    <w:rsid w:val="41519365"/>
    <w:rsid w:val="415319BA"/>
    <w:rsid w:val="415323E2"/>
    <w:rsid w:val="4153C718"/>
    <w:rsid w:val="415468F7"/>
    <w:rsid w:val="4154890F"/>
    <w:rsid w:val="41574C5D"/>
    <w:rsid w:val="415B3BDC"/>
    <w:rsid w:val="415DAD93"/>
    <w:rsid w:val="4161F934"/>
    <w:rsid w:val="41635D2C"/>
    <w:rsid w:val="41646DD6"/>
    <w:rsid w:val="41670499"/>
    <w:rsid w:val="41689022"/>
    <w:rsid w:val="416C3307"/>
    <w:rsid w:val="416C88BE"/>
    <w:rsid w:val="416D2339"/>
    <w:rsid w:val="416DFD9D"/>
    <w:rsid w:val="417158B5"/>
    <w:rsid w:val="41742846"/>
    <w:rsid w:val="41747F29"/>
    <w:rsid w:val="4174CADD"/>
    <w:rsid w:val="41758E73"/>
    <w:rsid w:val="4175B170"/>
    <w:rsid w:val="417711FC"/>
    <w:rsid w:val="417951F6"/>
    <w:rsid w:val="417A3480"/>
    <w:rsid w:val="417C267C"/>
    <w:rsid w:val="417D7C49"/>
    <w:rsid w:val="41822919"/>
    <w:rsid w:val="418405A2"/>
    <w:rsid w:val="4185B0E1"/>
    <w:rsid w:val="41867A92"/>
    <w:rsid w:val="4187429E"/>
    <w:rsid w:val="418A5E89"/>
    <w:rsid w:val="418AF1C4"/>
    <w:rsid w:val="418B6F84"/>
    <w:rsid w:val="418FDB93"/>
    <w:rsid w:val="41907864"/>
    <w:rsid w:val="41910155"/>
    <w:rsid w:val="4193FB0D"/>
    <w:rsid w:val="419463C2"/>
    <w:rsid w:val="4195ABDA"/>
    <w:rsid w:val="41960CC2"/>
    <w:rsid w:val="4198A010"/>
    <w:rsid w:val="4199860B"/>
    <w:rsid w:val="419B2CA9"/>
    <w:rsid w:val="41A0A521"/>
    <w:rsid w:val="41A0A8C4"/>
    <w:rsid w:val="41A42BE2"/>
    <w:rsid w:val="41A46194"/>
    <w:rsid w:val="41A5BC1F"/>
    <w:rsid w:val="41A5E8E0"/>
    <w:rsid w:val="41A9BF79"/>
    <w:rsid w:val="41AC0AEE"/>
    <w:rsid w:val="41AD1124"/>
    <w:rsid w:val="41AD4051"/>
    <w:rsid w:val="41AF54F2"/>
    <w:rsid w:val="41B18685"/>
    <w:rsid w:val="41B31555"/>
    <w:rsid w:val="41B3A6C6"/>
    <w:rsid w:val="41B9103A"/>
    <w:rsid w:val="41B97F08"/>
    <w:rsid w:val="41BE7FD1"/>
    <w:rsid w:val="41BFB91E"/>
    <w:rsid w:val="41C3D525"/>
    <w:rsid w:val="41C46CFE"/>
    <w:rsid w:val="41C5F71C"/>
    <w:rsid w:val="41C6D983"/>
    <w:rsid w:val="41C79ED4"/>
    <w:rsid w:val="41C8B5DA"/>
    <w:rsid w:val="41C9AED7"/>
    <w:rsid w:val="41CA6752"/>
    <w:rsid w:val="41CF1AC1"/>
    <w:rsid w:val="41D0E482"/>
    <w:rsid w:val="41D11B85"/>
    <w:rsid w:val="41D385E7"/>
    <w:rsid w:val="41D49F02"/>
    <w:rsid w:val="41D59BB0"/>
    <w:rsid w:val="41DA8EE1"/>
    <w:rsid w:val="41DAC97F"/>
    <w:rsid w:val="41DB106C"/>
    <w:rsid w:val="41DCFF27"/>
    <w:rsid w:val="41DD4278"/>
    <w:rsid w:val="41DEBFF4"/>
    <w:rsid w:val="41DFB0DB"/>
    <w:rsid w:val="41E0A3B9"/>
    <w:rsid w:val="41E2D387"/>
    <w:rsid w:val="41E33B21"/>
    <w:rsid w:val="41E43658"/>
    <w:rsid w:val="41E4F5A0"/>
    <w:rsid w:val="41E78DB0"/>
    <w:rsid w:val="41EACDC8"/>
    <w:rsid w:val="41EB3C8B"/>
    <w:rsid w:val="41EDE0E1"/>
    <w:rsid w:val="41EDEF73"/>
    <w:rsid w:val="41F36DF7"/>
    <w:rsid w:val="41F57473"/>
    <w:rsid w:val="41F5947B"/>
    <w:rsid w:val="41F86B68"/>
    <w:rsid w:val="41F9E3D1"/>
    <w:rsid w:val="41FA63C8"/>
    <w:rsid w:val="41FB0E57"/>
    <w:rsid w:val="41FB6330"/>
    <w:rsid w:val="41FC9B14"/>
    <w:rsid w:val="41FD1177"/>
    <w:rsid w:val="41FE7762"/>
    <w:rsid w:val="42029626"/>
    <w:rsid w:val="42064302"/>
    <w:rsid w:val="42070615"/>
    <w:rsid w:val="42084A6A"/>
    <w:rsid w:val="42094869"/>
    <w:rsid w:val="420A342F"/>
    <w:rsid w:val="420A4BDB"/>
    <w:rsid w:val="420C73EB"/>
    <w:rsid w:val="420C7F2F"/>
    <w:rsid w:val="420DAB44"/>
    <w:rsid w:val="420DB4B1"/>
    <w:rsid w:val="420EA013"/>
    <w:rsid w:val="42128AE4"/>
    <w:rsid w:val="4213060E"/>
    <w:rsid w:val="42134A58"/>
    <w:rsid w:val="421355CD"/>
    <w:rsid w:val="42172AED"/>
    <w:rsid w:val="4217F7BF"/>
    <w:rsid w:val="42184AE1"/>
    <w:rsid w:val="4219084A"/>
    <w:rsid w:val="4219B377"/>
    <w:rsid w:val="421C31F1"/>
    <w:rsid w:val="421D0213"/>
    <w:rsid w:val="42247466"/>
    <w:rsid w:val="422713B2"/>
    <w:rsid w:val="42281489"/>
    <w:rsid w:val="42298D02"/>
    <w:rsid w:val="422DA141"/>
    <w:rsid w:val="4231D8D7"/>
    <w:rsid w:val="42329A9F"/>
    <w:rsid w:val="4233D002"/>
    <w:rsid w:val="42342F7E"/>
    <w:rsid w:val="4234809E"/>
    <w:rsid w:val="42351D3A"/>
    <w:rsid w:val="423689C4"/>
    <w:rsid w:val="42371989"/>
    <w:rsid w:val="4237E112"/>
    <w:rsid w:val="4237ECB2"/>
    <w:rsid w:val="4239E60E"/>
    <w:rsid w:val="423C09D1"/>
    <w:rsid w:val="423CA394"/>
    <w:rsid w:val="423D63DB"/>
    <w:rsid w:val="423E5E00"/>
    <w:rsid w:val="423E6E41"/>
    <w:rsid w:val="423ED0F6"/>
    <w:rsid w:val="423F19A7"/>
    <w:rsid w:val="423FE89D"/>
    <w:rsid w:val="42413CD5"/>
    <w:rsid w:val="42435FA3"/>
    <w:rsid w:val="42444943"/>
    <w:rsid w:val="4244793E"/>
    <w:rsid w:val="4245324E"/>
    <w:rsid w:val="424615EB"/>
    <w:rsid w:val="424A02BA"/>
    <w:rsid w:val="424A387E"/>
    <w:rsid w:val="424A56EA"/>
    <w:rsid w:val="424AD77A"/>
    <w:rsid w:val="424CE01D"/>
    <w:rsid w:val="424D2212"/>
    <w:rsid w:val="424FFD24"/>
    <w:rsid w:val="4250D498"/>
    <w:rsid w:val="42524903"/>
    <w:rsid w:val="4253EE51"/>
    <w:rsid w:val="42541228"/>
    <w:rsid w:val="4256529F"/>
    <w:rsid w:val="4258809E"/>
    <w:rsid w:val="425DC787"/>
    <w:rsid w:val="42610F87"/>
    <w:rsid w:val="42630E1B"/>
    <w:rsid w:val="42676273"/>
    <w:rsid w:val="426AB6B7"/>
    <w:rsid w:val="426EC67B"/>
    <w:rsid w:val="426F7E3C"/>
    <w:rsid w:val="42723EC1"/>
    <w:rsid w:val="42724DE6"/>
    <w:rsid w:val="427274B9"/>
    <w:rsid w:val="42751F66"/>
    <w:rsid w:val="42770256"/>
    <w:rsid w:val="42772879"/>
    <w:rsid w:val="42798CD2"/>
    <w:rsid w:val="427B3685"/>
    <w:rsid w:val="427C2295"/>
    <w:rsid w:val="427CBEA9"/>
    <w:rsid w:val="427E461C"/>
    <w:rsid w:val="427F68DE"/>
    <w:rsid w:val="42826D9F"/>
    <w:rsid w:val="4282E790"/>
    <w:rsid w:val="42834FC6"/>
    <w:rsid w:val="4286A9D2"/>
    <w:rsid w:val="42891F72"/>
    <w:rsid w:val="428D5B5E"/>
    <w:rsid w:val="428D8294"/>
    <w:rsid w:val="428E82BF"/>
    <w:rsid w:val="42905C47"/>
    <w:rsid w:val="4290DA29"/>
    <w:rsid w:val="42914902"/>
    <w:rsid w:val="42934146"/>
    <w:rsid w:val="4295F3C4"/>
    <w:rsid w:val="4296BC26"/>
    <w:rsid w:val="4297257F"/>
    <w:rsid w:val="4297779E"/>
    <w:rsid w:val="429812CB"/>
    <w:rsid w:val="4298858D"/>
    <w:rsid w:val="4299255B"/>
    <w:rsid w:val="429C7972"/>
    <w:rsid w:val="429D36DF"/>
    <w:rsid w:val="429D3863"/>
    <w:rsid w:val="429D4A0F"/>
    <w:rsid w:val="429DAE44"/>
    <w:rsid w:val="429E046A"/>
    <w:rsid w:val="42A044A4"/>
    <w:rsid w:val="42A28270"/>
    <w:rsid w:val="42A74EEA"/>
    <w:rsid w:val="42A882AF"/>
    <w:rsid w:val="42A98F44"/>
    <w:rsid w:val="42A9DBDB"/>
    <w:rsid w:val="42B0644B"/>
    <w:rsid w:val="42B17D03"/>
    <w:rsid w:val="42B27DAD"/>
    <w:rsid w:val="42B3272A"/>
    <w:rsid w:val="42B5795E"/>
    <w:rsid w:val="42B7464E"/>
    <w:rsid w:val="42B8B9EF"/>
    <w:rsid w:val="42B902EE"/>
    <w:rsid w:val="42B9FA6F"/>
    <w:rsid w:val="42BA3EC1"/>
    <w:rsid w:val="42BDB362"/>
    <w:rsid w:val="42BE232B"/>
    <w:rsid w:val="42BEB8D6"/>
    <w:rsid w:val="42BF2B3B"/>
    <w:rsid w:val="42BF90D4"/>
    <w:rsid w:val="42BFCBEB"/>
    <w:rsid w:val="42C2AE6C"/>
    <w:rsid w:val="42C61858"/>
    <w:rsid w:val="42C733A8"/>
    <w:rsid w:val="42C7AA63"/>
    <w:rsid w:val="42C87129"/>
    <w:rsid w:val="42CA9514"/>
    <w:rsid w:val="42CAFEB4"/>
    <w:rsid w:val="42CBDE00"/>
    <w:rsid w:val="42CC5326"/>
    <w:rsid w:val="42CC7EA0"/>
    <w:rsid w:val="42CCEE0C"/>
    <w:rsid w:val="42CD2551"/>
    <w:rsid w:val="42CF55BF"/>
    <w:rsid w:val="42D29604"/>
    <w:rsid w:val="42D29CA0"/>
    <w:rsid w:val="42D72F6E"/>
    <w:rsid w:val="42D7F48E"/>
    <w:rsid w:val="42D82F22"/>
    <w:rsid w:val="42DCBFCC"/>
    <w:rsid w:val="42DDB5A8"/>
    <w:rsid w:val="42DDC745"/>
    <w:rsid w:val="42E55A29"/>
    <w:rsid w:val="42E79688"/>
    <w:rsid w:val="42E9572E"/>
    <w:rsid w:val="42EA0CEB"/>
    <w:rsid w:val="42EAB7E2"/>
    <w:rsid w:val="42EB4B6E"/>
    <w:rsid w:val="42EC0250"/>
    <w:rsid w:val="42EC77A4"/>
    <w:rsid w:val="42ED0B28"/>
    <w:rsid w:val="42EF15CD"/>
    <w:rsid w:val="42EF8ACE"/>
    <w:rsid w:val="42F28E14"/>
    <w:rsid w:val="42F56EE7"/>
    <w:rsid w:val="42F8E176"/>
    <w:rsid w:val="42F8F33B"/>
    <w:rsid w:val="42FA2742"/>
    <w:rsid w:val="42FAF62C"/>
    <w:rsid w:val="42FAFA8B"/>
    <w:rsid w:val="42FB951E"/>
    <w:rsid w:val="42FD550B"/>
    <w:rsid w:val="42FD6EA2"/>
    <w:rsid w:val="42FDAB5A"/>
    <w:rsid w:val="42FDC615"/>
    <w:rsid w:val="42FED8AE"/>
    <w:rsid w:val="42FFBF85"/>
    <w:rsid w:val="43010B52"/>
    <w:rsid w:val="430258AA"/>
    <w:rsid w:val="4302E500"/>
    <w:rsid w:val="4304B110"/>
    <w:rsid w:val="4305841D"/>
    <w:rsid w:val="43068C2D"/>
    <w:rsid w:val="4308B8D0"/>
    <w:rsid w:val="4308E1D6"/>
    <w:rsid w:val="4309F6DB"/>
    <w:rsid w:val="430A7105"/>
    <w:rsid w:val="430C29AE"/>
    <w:rsid w:val="430D18F4"/>
    <w:rsid w:val="430DCA77"/>
    <w:rsid w:val="430E29C3"/>
    <w:rsid w:val="430F07A1"/>
    <w:rsid w:val="4310560E"/>
    <w:rsid w:val="4311AB62"/>
    <w:rsid w:val="43122F0B"/>
    <w:rsid w:val="43127645"/>
    <w:rsid w:val="4312E7A3"/>
    <w:rsid w:val="43135353"/>
    <w:rsid w:val="4313CFE1"/>
    <w:rsid w:val="43140AE7"/>
    <w:rsid w:val="431623FB"/>
    <w:rsid w:val="431B3706"/>
    <w:rsid w:val="431CF096"/>
    <w:rsid w:val="431DC7C3"/>
    <w:rsid w:val="431E602C"/>
    <w:rsid w:val="431F029A"/>
    <w:rsid w:val="4320761C"/>
    <w:rsid w:val="4323615E"/>
    <w:rsid w:val="4324CF3B"/>
    <w:rsid w:val="4324EBFB"/>
    <w:rsid w:val="432954AA"/>
    <w:rsid w:val="432A2E2D"/>
    <w:rsid w:val="432A443B"/>
    <w:rsid w:val="432AD538"/>
    <w:rsid w:val="432B64FF"/>
    <w:rsid w:val="432F32B2"/>
    <w:rsid w:val="4332DC28"/>
    <w:rsid w:val="433423B4"/>
    <w:rsid w:val="4335943F"/>
    <w:rsid w:val="4336F1E8"/>
    <w:rsid w:val="433A57E7"/>
    <w:rsid w:val="433CA10B"/>
    <w:rsid w:val="433F483F"/>
    <w:rsid w:val="434016B7"/>
    <w:rsid w:val="4344BD7A"/>
    <w:rsid w:val="4348CEC0"/>
    <w:rsid w:val="434A659C"/>
    <w:rsid w:val="434A7467"/>
    <w:rsid w:val="434AAC87"/>
    <w:rsid w:val="434D25C6"/>
    <w:rsid w:val="43507BF0"/>
    <w:rsid w:val="4351B226"/>
    <w:rsid w:val="43522A34"/>
    <w:rsid w:val="43528163"/>
    <w:rsid w:val="43537F54"/>
    <w:rsid w:val="43562BFD"/>
    <w:rsid w:val="43595A4B"/>
    <w:rsid w:val="43598B81"/>
    <w:rsid w:val="435F3E28"/>
    <w:rsid w:val="4360280D"/>
    <w:rsid w:val="436046D0"/>
    <w:rsid w:val="43613D65"/>
    <w:rsid w:val="4362157C"/>
    <w:rsid w:val="4363E85B"/>
    <w:rsid w:val="4364BFF1"/>
    <w:rsid w:val="436514DF"/>
    <w:rsid w:val="436761B2"/>
    <w:rsid w:val="4368A0C2"/>
    <w:rsid w:val="4368F312"/>
    <w:rsid w:val="43690B21"/>
    <w:rsid w:val="43697D0B"/>
    <w:rsid w:val="436A9FC6"/>
    <w:rsid w:val="436B1299"/>
    <w:rsid w:val="436B182A"/>
    <w:rsid w:val="436BE436"/>
    <w:rsid w:val="436D1853"/>
    <w:rsid w:val="436D2186"/>
    <w:rsid w:val="4376EE49"/>
    <w:rsid w:val="437A1F16"/>
    <w:rsid w:val="437EF6F3"/>
    <w:rsid w:val="43806693"/>
    <w:rsid w:val="43859849"/>
    <w:rsid w:val="438703A0"/>
    <w:rsid w:val="43872CAA"/>
    <w:rsid w:val="43884E5C"/>
    <w:rsid w:val="4388763F"/>
    <w:rsid w:val="43891046"/>
    <w:rsid w:val="438A8885"/>
    <w:rsid w:val="438AEDA2"/>
    <w:rsid w:val="438B4FC4"/>
    <w:rsid w:val="438BB7A9"/>
    <w:rsid w:val="438CE9FB"/>
    <w:rsid w:val="4390B3E1"/>
    <w:rsid w:val="43946E83"/>
    <w:rsid w:val="4394ECEB"/>
    <w:rsid w:val="43960E25"/>
    <w:rsid w:val="4397BDE3"/>
    <w:rsid w:val="4397D111"/>
    <w:rsid w:val="4398F3BB"/>
    <w:rsid w:val="43997A93"/>
    <w:rsid w:val="439B2F56"/>
    <w:rsid w:val="439C082C"/>
    <w:rsid w:val="439CD229"/>
    <w:rsid w:val="439CF559"/>
    <w:rsid w:val="439D0267"/>
    <w:rsid w:val="439DEC45"/>
    <w:rsid w:val="439DEC67"/>
    <w:rsid w:val="439E6139"/>
    <w:rsid w:val="439EC4C6"/>
    <w:rsid w:val="43A09252"/>
    <w:rsid w:val="43A09F97"/>
    <w:rsid w:val="43A22105"/>
    <w:rsid w:val="43A362FA"/>
    <w:rsid w:val="43A370E3"/>
    <w:rsid w:val="43AA672F"/>
    <w:rsid w:val="43AAA11B"/>
    <w:rsid w:val="43AF1D1F"/>
    <w:rsid w:val="43B0C253"/>
    <w:rsid w:val="43B58558"/>
    <w:rsid w:val="43B8501D"/>
    <w:rsid w:val="43BC9CAF"/>
    <w:rsid w:val="43BCCA35"/>
    <w:rsid w:val="43BEA512"/>
    <w:rsid w:val="43BF7CB9"/>
    <w:rsid w:val="43C421A3"/>
    <w:rsid w:val="43C4F4B0"/>
    <w:rsid w:val="43C55790"/>
    <w:rsid w:val="43C6B2C1"/>
    <w:rsid w:val="43CE0DA4"/>
    <w:rsid w:val="43CE170B"/>
    <w:rsid w:val="43D13F9A"/>
    <w:rsid w:val="43D2E3A2"/>
    <w:rsid w:val="43D42671"/>
    <w:rsid w:val="43D5DAC0"/>
    <w:rsid w:val="43D5FA20"/>
    <w:rsid w:val="43D61CD6"/>
    <w:rsid w:val="43DA53C6"/>
    <w:rsid w:val="43DAE5C1"/>
    <w:rsid w:val="43DBC3B4"/>
    <w:rsid w:val="43DBDBC9"/>
    <w:rsid w:val="43DBE361"/>
    <w:rsid w:val="43E09C74"/>
    <w:rsid w:val="43E8F38A"/>
    <w:rsid w:val="43EC1206"/>
    <w:rsid w:val="43EF1BCE"/>
    <w:rsid w:val="43F199BA"/>
    <w:rsid w:val="43F2CB66"/>
    <w:rsid w:val="43F305DC"/>
    <w:rsid w:val="43F479FB"/>
    <w:rsid w:val="43F54C0A"/>
    <w:rsid w:val="43F61A73"/>
    <w:rsid w:val="43F6C02C"/>
    <w:rsid w:val="43F96062"/>
    <w:rsid w:val="43F9ACA2"/>
    <w:rsid w:val="43FD9A16"/>
    <w:rsid w:val="43FEEE4F"/>
    <w:rsid w:val="4401DE0C"/>
    <w:rsid w:val="4403E0B4"/>
    <w:rsid w:val="44046827"/>
    <w:rsid w:val="44064F53"/>
    <w:rsid w:val="4407D07F"/>
    <w:rsid w:val="440A901A"/>
    <w:rsid w:val="440B8B7B"/>
    <w:rsid w:val="440BB83A"/>
    <w:rsid w:val="440BE057"/>
    <w:rsid w:val="440D4B2A"/>
    <w:rsid w:val="440D99DD"/>
    <w:rsid w:val="4412ECDA"/>
    <w:rsid w:val="4418535E"/>
    <w:rsid w:val="441B3BD7"/>
    <w:rsid w:val="441D8544"/>
    <w:rsid w:val="441E2E88"/>
    <w:rsid w:val="44215C93"/>
    <w:rsid w:val="4421F56A"/>
    <w:rsid w:val="44224202"/>
    <w:rsid w:val="4423358C"/>
    <w:rsid w:val="442446C2"/>
    <w:rsid w:val="4424E6BF"/>
    <w:rsid w:val="44263586"/>
    <w:rsid w:val="44273E68"/>
    <w:rsid w:val="442868B7"/>
    <w:rsid w:val="442AF1A2"/>
    <w:rsid w:val="442C7731"/>
    <w:rsid w:val="442CED99"/>
    <w:rsid w:val="442E8168"/>
    <w:rsid w:val="442EE1E4"/>
    <w:rsid w:val="44318660"/>
    <w:rsid w:val="4433674A"/>
    <w:rsid w:val="4433878D"/>
    <w:rsid w:val="4434B4E9"/>
    <w:rsid w:val="4436D3D4"/>
    <w:rsid w:val="4438D17B"/>
    <w:rsid w:val="4439BCFB"/>
    <w:rsid w:val="4440B7CC"/>
    <w:rsid w:val="4441B60E"/>
    <w:rsid w:val="4442D9C6"/>
    <w:rsid w:val="44442326"/>
    <w:rsid w:val="44460F85"/>
    <w:rsid w:val="4446125F"/>
    <w:rsid w:val="44478A58"/>
    <w:rsid w:val="4447EF80"/>
    <w:rsid w:val="4448B554"/>
    <w:rsid w:val="444A40BD"/>
    <w:rsid w:val="444CC336"/>
    <w:rsid w:val="444FB579"/>
    <w:rsid w:val="4451DCA5"/>
    <w:rsid w:val="4452AE28"/>
    <w:rsid w:val="44535C65"/>
    <w:rsid w:val="44544DFB"/>
    <w:rsid w:val="44572216"/>
    <w:rsid w:val="4457C66A"/>
    <w:rsid w:val="4457EB9D"/>
    <w:rsid w:val="4458822C"/>
    <w:rsid w:val="445E33A0"/>
    <w:rsid w:val="445EA0BD"/>
    <w:rsid w:val="445F18E3"/>
    <w:rsid w:val="4461E538"/>
    <w:rsid w:val="44620F6A"/>
    <w:rsid w:val="44658118"/>
    <w:rsid w:val="4465DEDA"/>
    <w:rsid w:val="4466C928"/>
    <w:rsid w:val="446F0737"/>
    <w:rsid w:val="44706011"/>
    <w:rsid w:val="44724BD2"/>
    <w:rsid w:val="44748359"/>
    <w:rsid w:val="447688AC"/>
    <w:rsid w:val="44775956"/>
    <w:rsid w:val="4478BE3B"/>
    <w:rsid w:val="447BFF2B"/>
    <w:rsid w:val="447DEC48"/>
    <w:rsid w:val="448024B9"/>
    <w:rsid w:val="4481797C"/>
    <w:rsid w:val="448270DF"/>
    <w:rsid w:val="448375C8"/>
    <w:rsid w:val="4488537F"/>
    <w:rsid w:val="44889352"/>
    <w:rsid w:val="4488BF0E"/>
    <w:rsid w:val="4488F9BC"/>
    <w:rsid w:val="448B1C89"/>
    <w:rsid w:val="448B240C"/>
    <w:rsid w:val="44918BB1"/>
    <w:rsid w:val="449312C3"/>
    <w:rsid w:val="4494A34F"/>
    <w:rsid w:val="44950A14"/>
    <w:rsid w:val="4495B290"/>
    <w:rsid w:val="449624D4"/>
    <w:rsid w:val="44963514"/>
    <w:rsid w:val="449713B3"/>
    <w:rsid w:val="44974C83"/>
    <w:rsid w:val="4497D8E0"/>
    <w:rsid w:val="44981647"/>
    <w:rsid w:val="449A211A"/>
    <w:rsid w:val="449B5792"/>
    <w:rsid w:val="449B95CC"/>
    <w:rsid w:val="449BFA29"/>
    <w:rsid w:val="449E36B3"/>
    <w:rsid w:val="449F3D3E"/>
    <w:rsid w:val="44A096B3"/>
    <w:rsid w:val="44A0E56C"/>
    <w:rsid w:val="44A1CB60"/>
    <w:rsid w:val="44A1EA4D"/>
    <w:rsid w:val="44A39A70"/>
    <w:rsid w:val="44A5320A"/>
    <w:rsid w:val="44A89C6F"/>
    <w:rsid w:val="44AA36E0"/>
    <w:rsid w:val="44AAEF9E"/>
    <w:rsid w:val="44AC6546"/>
    <w:rsid w:val="44AE0FEE"/>
    <w:rsid w:val="44AEE737"/>
    <w:rsid w:val="44B44AC3"/>
    <w:rsid w:val="44B5E921"/>
    <w:rsid w:val="44B85434"/>
    <w:rsid w:val="44BB031D"/>
    <w:rsid w:val="44BC0425"/>
    <w:rsid w:val="44BD0CEA"/>
    <w:rsid w:val="44BEBD39"/>
    <w:rsid w:val="44BF1B82"/>
    <w:rsid w:val="44BF4D89"/>
    <w:rsid w:val="44C0134E"/>
    <w:rsid w:val="44C0BD29"/>
    <w:rsid w:val="44C0D210"/>
    <w:rsid w:val="44C26528"/>
    <w:rsid w:val="44C2AE28"/>
    <w:rsid w:val="44C49EA9"/>
    <w:rsid w:val="44C5B4F0"/>
    <w:rsid w:val="44C5D059"/>
    <w:rsid w:val="44C66A60"/>
    <w:rsid w:val="44C951CC"/>
    <w:rsid w:val="44CBD02E"/>
    <w:rsid w:val="44D14D08"/>
    <w:rsid w:val="44D27E30"/>
    <w:rsid w:val="44D27E74"/>
    <w:rsid w:val="44D7605F"/>
    <w:rsid w:val="44D7BCDE"/>
    <w:rsid w:val="44D7F091"/>
    <w:rsid w:val="44D83C88"/>
    <w:rsid w:val="44D954FA"/>
    <w:rsid w:val="44D96550"/>
    <w:rsid w:val="44DA4372"/>
    <w:rsid w:val="44DC874B"/>
    <w:rsid w:val="44DF014F"/>
    <w:rsid w:val="44DF2EE9"/>
    <w:rsid w:val="44DF4AE9"/>
    <w:rsid w:val="44E1F61D"/>
    <w:rsid w:val="44E427A4"/>
    <w:rsid w:val="44E50D7E"/>
    <w:rsid w:val="44E51EB0"/>
    <w:rsid w:val="44E5F3D6"/>
    <w:rsid w:val="44E6B2A6"/>
    <w:rsid w:val="44E759A9"/>
    <w:rsid w:val="44EB2C30"/>
    <w:rsid w:val="44EC500B"/>
    <w:rsid w:val="44EF0C8B"/>
    <w:rsid w:val="44EF2E5D"/>
    <w:rsid w:val="44F00339"/>
    <w:rsid w:val="44F07DEE"/>
    <w:rsid w:val="44F0F00C"/>
    <w:rsid w:val="44F9171A"/>
    <w:rsid w:val="44F9855B"/>
    <w:rsid w:val="44F9CC77"/>
    <w:rsid w:val="44FB82DA"/>
    <w:rsid w:val="44FCBE33"/>
    <w:rsid w:val="44FE0FDE"/>
    <w:rsid w:val="44FEB9B5"/>
    <w:rsid w:val="44FF7056"/>
    <w:rsid w:val="44FFF4B7"/>
    <w:rsid w:val="4501582A"/>
    <w:rsid w:val="45021051"/>
    <w:rsid w:val="4502319A"/>
    <w:rsid w:val="4506345F"/>
    <w:rsid w:val="45064D89"/>
    <w:rsid w:val="4506727C"/>
    <w:rsid w:val="4506A8C0"/>
    <w:rsid w:val="450996CE"/>
    <w:rsid w:val="450F084A"/>
    <w:rsid w:val="450F795D"/>
    <w:rsid w:val="451111D5"/>
    <w:rsid w:val="45119079"/>
    <w:rsid w:val="4515093B"/>
    <w:rsid w:val="45166D2F"/>
    <w:rsid w:val="4519A71C"/>
    <w:rsid w:val="451A0462"/>
    <w:rsid w:val="451D8663"/>
    <w:rsid w:val="451DDDBA"/>
    <w:rsid w:val="451F87B6"/>
    <w:rsid w:val="451FEAD3"/>
    <w:rsid w:val="4520CC70"/>
    <w:rsid w:val="45216662"/>
    <w:rsid w:val="45258A10"/>
    <w:rsid w:val="4526BD4E"/>
    <w:rsid w:val="4526DD2D"/>
    <w:rsid w:val="45274E2E"/>
    <w:rsid w:val="45280B57"/>
    <w:rsid w:val="45290216"/>
    <w:rsid w:val="45295D55"/>
    <w:rsid w:val="452B616D"/>
    <w:rsid w:val="452BB15D"/>
    <w:rsid w:val="452CEE8F"/>
    <w:rsid w:val="452DBC13"/>
    <w:rsid w:val="452E828C"/>
    <w:rsid w:val="4534F2BF"/>
    <w:rsid w:val="45379284"/>
    <w:rsid w:val="4538CBA6"/>
    <w:rsid w:val="4539407D"/>
    <w:rsid w:val="4539DE1B"/>
    <w:rsid w:val="4539ED20"/>
    <w:rsid w:val="453C291B"/>
    <w:rsid w:val="453E8F64"/>
    <w:rsid w:val="453F46AD"/>
    <w:rsid w:val="45462543"/>
    <w:rsid w:val="4546A70E"/>
    <w:rsid w:val="45477E68"/>
    <w:rsid w:val="454930FF"/>
    <w:rsid w:val="45493FD9"/>
    <w:rsid w:val="454AEDA0"/>
    <w:rsid w:val="454B407D"/>
    <w:rsid w:val="454B6154"/>
    <w:rsid w:val="454D4A5F"/>
    <w:rsid w:val="454DB92C"/>
    <w:rsid w:val="454DD268"/>
    <w:rsid w:val="454E4A31"/>
    <w:rsid w:val="454F1F90"/>
    <w:rsid w:val="454F529A"/>
    <w:rsid w:val="4553E95A"/>
    <w:rsid w:val="4554E6ED"/>
    <w:rsid w:val="4555AB84"/>
    <w:rsid w:val="455734DB"/>
    <w:rsid w:val="4557B229"/>
    <w:rsid w:val="4558D748"/>
    <w:rsid w:val="455AA0DC"/>
    <w:rsid w:val="455B6DCE"/>
    <w:rsid w:val="455D1F70"/>
    <w:rsid w:val="455FAC88"/>
    <w:rsid w:val="455FAF02"/>
    <w:rsid w:val="4560685F"/>
    <w:rsid w:val="45620273"/>
    <w:rsid w:val="45626082"/>
    <w:rsid w:val="456363F4"/>
    <w:rsid w:val="4564714E"/>
    <w:rsid w:val="45662D1F"/>
    <w:rsid w:val="456828A4"/>
    <w:rsid w:val="4568B02C"/>
    <w:rsid w:val="4569506E"/>
    <w:rsid w:val="456ABFB4"/>
    <w:rsid w:val="456B748F"/>
    <w:rsid w:val="456BC474"/>
    <w:rsid w:val="456E6DF6"/>
    <w:rsid w:val="456EA9EB"/>
    <w:rsid w:val="456F847E"/>
    <w:rsid w:val="4574E33A"/>
    <w:rsid w:val="45761766"/>
    <w:rsid w:val="457636DA"/>
    <w:rsid w:val="457798FC"/>
    <w:rsid w:val="457AC9E4"/>
    <w:rsid w:val="457B6E22"/>
    <w:rsid w:val="457D8C7B"/>
    <w:rsid w:val="457EC1BC"/>
    <w:rsid w:val="45812956"/>
    <w:rsid w:val="4582CCBB"/>
    <w:rsid w:val="4583F6E1"/>
    <w:rsid w:val="45850F62"/>
    <w:rsid w:val="4586059D"/>
    <w:rsid w:val="4587EE63"/>
    <w:rsid w:val="458E7BA9"/>
    <w:rsid w:val="458F5A5D"/>
    <w:rsid w:val="458F9234"/>
    <w:rsid w:val="458FB1ED"/>
    <w:rsid w:val="4590CAA7"/>
    <w:rsid w:val="4595759E"/>
    <w:rsid w:val="4595B84B"/>
    <w:rsid w:val="4595CFC4"/>
    <w:rsid w:val="4598B01A"/>
    <w:rsid w:val="4598FCB9"/>
    <w:rsid w:val="459B3E7F"/>
    <w:rsid w:val="45A0FEAD"/>
    <w:rsid w:val="45A16713"/>
    <w:rsid w:val="45A4B80A"/>
    <w:rsid w:val="45A5C9F9"/>
    <w:rsid w:val="45A639CE"/>
    <w:rsid w:val="45A64241"/>
    <w:rsid w:val="45A6B28C"/>
    <w:rsid w:val="45ABCB72"/>
    <w:rsid w:val="45AEFECD"/>
    <w:rsid w:val="45AFEE65"/>
    <w:rsid w:val="45B167C7"/>
    <w:rsid w:val="45B46D9E"/>
    <w:rsid w:val="45B61864"/>
    <w:rsid w:val="45B6223A"/>
    <w:rsid w:val="45B67D64"/>
    <w:rsid w:val="45BB0224"/>
    <w:rsid w:val="45BBD237"/>
    <w:rsid w:val="45BC7CE7"/>
    <w:rsid w:val="45BF4B59"/>
    <w:rsid w:val="45BFD586"/>
    <w:rsid w:val="45BFF26F"/>
    <w:rsid w:val="45C05D45"/>
    <w:rsid w:val="45C1DF26"/>
    <w:rsid w:val="45C4AA55"/>
    <w:rsid w:val="45C77D6B"/>
    <w:rsid w:val="45C8FFC7"/>
    <w:rsid w:val="45CA6FC5"/>
    <w:rsid w:val="45CB2DDF"/>
    <w:rsid w:val="45CD3354"/>
    <w:rsid w:val="45CD95A1"/>
    <w:rsid w:val="45CF7385"/>
    <w:rsid w:val="45D027E9"/>
    <w:rsid w:val="45D0D80C"/>
    <w:rsid w:val="45D0EE53"/>
    <w:rsid w:val="45D12CB5"/>
    <w:rsid w:val="45D1D883"/>
    <w:rsid w:val="45D1FFD3"/>
    <w:rsid w:val="45D26776"/>
    <w:rsid w:val="45D4E08D"/>
    <w:rsid w:val="45D62536"/>
    <w:rsid w:val="45D67629"/>
    <w:rsid w:val="45D96435"/>
    <w:rsid w:val="45DACB13"/>
    <w:rsid w:val="45DC8282"/>
    <w:rsid w:val="45DCEE11"/>
    <w:rsid w:val="45DD3FED"/>
    <w:rsid w:val="45DD8D45"/>
    <w:rsid w:val="45E10E9D"/>
    <w:rsid w:val="45E44E38"/>
    <w:rsid w:val="45E5754D"/>
    <w:rsid w:val="45E61B44"/>
    <w:rsid w:val="45E6DF33"/>
    <w:rsid w:val="45E75DC1"/>
    <w:rsid w:val="45EC5F6A"/>
    <w:rsid w:val="45EC7DAA"/>
    <w:rsid w:val="45F043B9"/>
    <w:rsid w:val="45FC026B"/>
    <w:rsid w:val="45FD0ADA"/>
    <w:rsid w:val="45FDBB3E"/>
    <w:rsid w:val="460093D6"/>
    <w:rsid w:val="4602822A"/>
    <w:rsid w:val="46041671"/>
    <w:rsid w:val="4609AF6C"/>
    <w:rsid w:val="4609E153"/>
    <w:rsid w:val="4609E386"/>
    <w:rsid w:val="460A1CE6"/>
    <w:rsid w:val="460FAE65"/>
    <w:rsid w:val="46109456"/>
    <w:rsid w:val="4612FDC8"/>
    <w:rsid w:val="46139E2B"/>
    <w:rsid w:val="46147C45"/>
    <w:rsid w:val="4614AC12"/>
    <w:rsid w:val="4614C422"/>
    <w:rsid w:val="4616116D"/>
    <w:rsid w:val="4616A24B"/>
    <w:rsid w:val="461F1549"/>
    <w:rsid w:val="461F44AD"/>
    <w:rsid w:val="46214D37"/>
    <w:rsid w:val="46244D8B"/>
    <w:rsid w:val="46256F4A"/>
    <w:rsid w:val="46257425"/>
    <w:rsid w:val="46259BFD"/>
    <w:rsid w:val="4625A19C"/>
    <w:rsid w:val="462665C6"/>
    <w:rsid w:val="4626AC9B"/>
    <w:rsid w:val="46272F81"/>
    <w:rsid w:val="462851B3"/>
    <w:rsid w:val="46301C76"/>
    <w:rsid w:val="463175FB"/>
    <w:rsid w:val="4632BC5D"/>
    <w:rsid w:val="46356372"/>
    <w:rsid w:val="46369829"/>
    <w:rsid w:val="4637BD39"/>
    <w:rsid w:val="4638701E"/>
    <w:rsid w:val="4638AF8D"/>
    <w:rsid w:val="463BF25A"/>
    <w:rsid w:val="463D6124"/>
    <w:rsid w:val="463E53B5"/>
    <w:rsid w:val="463F3140"/>
    <w:rsid w:val="463F44CB"/>
    <w:rsid w:val="46408CA6"/>
    <w:rsid w:val="4640AE19"/>
    <w:rsid w:val="46427BB9"/>
    <w:rsid w:val="46434985"/>
    <w:rsid w:val="46470D76"/>
    <w:rsid w:val="4647393A"/>
    <w:rsid w:val="4647748E"/>
    <w:rsid w:val="46482B5E"/>
    <w:rsid w:val="464847A0"/>
    <w:rsid w:val="464894CA"/>
    <w:rsid w:val="46489F8B"/>
    <w:rsid w:val="464BC8D5"/>
    <w:rsid w:val="464C5952"/>
    <w:rsid w:val="464CD605"/>
    <w:rsid w:val="464E49CD"/>
    <w:rsid w:val="464EA215"/>
    <w:rsid w:val="464EE995"/>
    <w:rsid w:val="464F8163"/>
    <w:rsid w:val="46528719"/>
    <w:rsid w:val="465366AB"/>
    <w:rsid w:val="46540ED8"/>
    <w:rsid w:val="465560E8"/>
    <w:rsid w:val="46560FD8"/>
    <w:rsid w:val="4658459E"/>
    <w:rsid w:val="4659AAB6"/>
    <w:rsid w:val="465B6DB9"/>
    <w:rsid w:val="465B832B"/>
    <w:rsid w:val="465D0F63"/>
    <w:rsid w:val="465DC26D"/>
    <w:rsid w:val="465EF0D3"/>
    <w:rsid w:val="465F6343"/>
    <w:rsid w:val="46613EAB"/>
    <w:rsid w:val="46615629"/>
    <w:rsid w:val="466491BB"/>
    <w:rsid w:val="4664B948"/>
    <w:rsid w:val="4666D16E"/>
    <w:rsid w:val="466833CB"/>
    <w:rsid w:val="46693DDE"/>
    <w:rsid w:val="466AB4B8"/>
    <w:rsid w:val="466BEF9D"/>
    <w:rsid w:val="466DBAEA"/>
    <w:rsid w:val="466F1506"/>
    <w:rsid w:val="46705D27"/>
    <w:rsid w:val="4670E758"/>
    <w:rsid w:val="4671BD42"/>
    <w:rsid w:val="46724D6C"/>
    <w:rsid w:val="46756F13"/>
    <w:rsid w:val="4676A49E"/>
    <w:rsid w:val="4678AAC8"/>
    <w:rsid w:val="4679A094"/>
    <w:rsid w:val="467B31DF"/>
    <w:rsid w:val="467B71FA"/>
    <w:rsid w:val="467BD971"/>
    <w:rsid w:val="467C01C4"/>
    <w:rsid w:val="467E48C7"/>
    <w:rsid w:val="467F97EF"/>
    <w:rsid w:val="46816119"/>
    <w:rsid w:val="4682047B"/>
    <w:rsid w:val="468244B6"/>
    <w:rsid w:val="46827EE3"/>
    <w:rsid w:val="468359EF"/>
    <w:rsid w:val="468861F3"/>
    <w:rsid w:val="46889479"/>
    <w:rsid w:val="4688F6B1"/>
    <w:rsid w:val="468A1F0C"/>
    <w:rsid w:val="468B985B"/>
    <w:rsid w:val="468DDB09"/>
    <w:rsid w:val="4691E938"/>
    <w:rsid w:val="469386E6"/>
    <w:rsid w:val="46940B0F"/>
    <w:rsid w:val="4694BE47"/>
    <w:rsid w:val="4696F40E"/>
    <w:rsid w:val="469B67A3"/>
    <w:rsid w:val="469D7E8B"/>
    <w:rsid w:val="469EAF77"/>
    <w:rsid w:val="469F19E9"/>
    <w:rsid w:val="46A04F4C"/>
    <w:rsid w:val="46A06C27"/>
    <w:rsid w:val="46A0D47F"/>
    <w:rsid w:val="46A10C3B"/>
    <w:rsid w:val="46A51212"/>
    <w:rsid w:val="46A698BE"/>
    <w:rsid w:val="46AC4C44"/>
    <w:rsid w:val="46AD6D2D"/>
    <w:rsid w:val="46AF7077"/>
    <w:rsid w:val="46B16E55"/>
    <w:rsid w:val="46B24F31"/>
    <w:rsid w:val="46B4EEEC"/>
    <w:rsid w:val="46B66759"/>
    <w:rsid w:val="46B854EA"/>
    <w:rsid w:val="46B9CF29"/>
    <w:rsid w:val="46BAF650"/>
    <w:rsid w:val="46BD7AE2"/>
    <w:rsid w:val="46BE43E5"/>
    <w:rsid w:val="46BF8900"/>
    <w:rsid w:val="46BF9A59"/>
    <w:rsid w:val="46BFFC02"/>
    <w:rsid w:val="46C15384"/>
    <w:rsid w:val="46C24A70"/>
    <w:rsid w:val="46C2D43D"/>
    <w:rsid w:val="46C47627"/>
    <w:rsid w:val="46C67C33"/>
    <w:rsid w:val="46C67CDE"/>
    <w:rsid w:val="46CCD2B5"/>
    <w:rsid w:val="46CE7B5D"/>
    <w:rsid w:val="46D1FFC2"/>
    <w:rsid w:val="46D6020C"/>
    <w:rsid w:val="46D83102"/>
    <w:rsid w:val="46D8F609"/>
    <w:rsid w:val="46D9A665"/>
    <w:rsid w:val="46DA98A8"/>
    <w:rsid w:val="46DB7924"/>
    <w:rsid w:val="46DBB8DA"/>
    <w:rsid w:val="46DC56DF"/>
    <w:rsid w:val="46DF29D3"/>
    <w:rsid w:val="46E0C608"/>
    <w:rsid w:val="46E31D4F"/>
    <w:rsid w:val="46E3DFFF"/>
    <w:rsid w:val="46E77B46"/>
    <w:rsid w:val="46E7D261"/>
    <w:rsid w:val="46E8BC23"/>
    <w:rsid w:val="46EABDED"/>
    <w:rsid w:val="46EB9C90"/>
    <w:rsid w:val="46EFFE9D"/>
    <w:rsid w:val="46F30C67"/>
    <w:rsid w:val="46F54A0C"/>
    <w:rsid w:val="46F6A72E"/>
    <w:rsid w:val="46F90FF2"/>
    <w:rsid w:val="46FBE97B"/>
    <w:rsid w:val="46FE357E"/>
    <w:rsid w:val="46FFAF73"/>
    <w:rsid w:val="470045EB"/>
    <w:rsid w:val="4700AEC7"/>
    <w:rsid w:val="47024627"/>
    <w:rsid w:val="4703C92A"/>
    <w:rsid w:val="4704E41A"/>
    <w:rsid w:val="4705BBE2"/>
    <w:rsid w:val="470865B7"/>
    <w:rsid w:val="47087B3F"/>
    <w:rsid w:val="470AC595"/>
    <w:rsid w:val="470B3C7E"/>
    <w:rsid w:val="470D98E9"/>
    <w:rsid w:val="470DC1BF"/>
    <w:rsid w:val="470E5223"/>
    <w:rsid w:val="470E7EC0"/>
    <w:rsid w:val="470F7D5D"/>
    <w:rsid w:val="4710417A"/>
    <w:rsid w:val="4711A535"/>
    <w:rsid w:val="47121397"/>
    <w:rsid w:val="4713AB9C"/>
    <w:rsid w:val="4713E1AF"/>
    <w:rsid w:val="471424FB"/>
    <w:rsid w:val="4714DA5B"/>
    <w:rsid w:val="4715C86A"/>
    <w:rsid w:val="4715F74C"/>
    <w:rsid w:val="47161956"/>
    <w:rsid w:val="471640B3"/>
    <w:rsid w:val="47183E84"/>
    <w:rsid w:val="471A9802"/>
    <w:rsid w:val="471DC739"/>
    <w:rsid w:val="471DE059"/>
    <w:rsid w:val="471E99CF"/>
    <w:rsid w:val="471FD723"/>
    <w:rsid w:val="4724320C"/>
    <w:rsid w:val="47248EC2"/>
    <w:rsid w:val="47263E3E"/>
    <w:rsid w:val="47265D6F"/>
    <w:rsid w:val="4726A00A"/>
    <w:rsid w:val="472744F3"/>
    <w:rsid w:val="47277CF8"/>
    <w:rsid w:val="4729CE93"/>
    <w:rsid w:val="472B1F34"/>
    <w:rsid w:val="472B2B60"/>
    <w:rsid w:val="472C04F1"/>
    <w:rsid w:val="472F9172"/>
    <w:rsid w:val="473112BF"/>
    <w:rsid w:val="4732A148"/>
    <w:rsid w:val="47352785"/>
    <w:rsid w:val="473978AC"/>
    <w:rsid w:val="473C5DDC"/>
    <w:rsid w:val="473CCCF4"/>
    <w:rsid w:val="47409C21"/>
    <w:rsid w:val="4740E027"/>
    <w:rsid w:val="47413F73"/>
    <w:rsid w:val="4745550F"/>
    <w:rsid w:val="4746129A"/>
    <w:rsid w:val="4746623B"/>
    <w:rsid w:val="474683B3"/>
    <w:rsid w:val="474D290C"/>
    <w:rsid w:val="474DE5FD"/>
    <w:rsid w:val="474F9B60"/>
    <w:rsid w:val="475051A4"/>
    <w:rsid w:val="47509A4B"/>
    <w:rsid w:val="47515EEF"/>
    <w:rsid w:val="475165C8"/>
    <w:rsid w:val="4752D0A0"/>
    <w:rsid w:val="4752E10D"/>
    <w:rsid w:val="47570552"/>
    <w:rsid w:val="47570FE2"/>
    <w:rsid w:val="4757D7CC"/>
    <w:rsid w:val="475BD24B"/>
    <w:rsid w:val="475F2AFC"/>
    <w:rsid w:val="475F7958"/>
    <w:rsid w:val="4760EB7F"/>
    <w:rsid w:val="47637747"/>
    <w:rsid w:val="47639571"/>
    <w:rsid w:val="476477AE"/>
    <w:rsid w:val="476567B7"/>
    <w:rsid w:val="476698C6"/>
    <w:rsid w:val="47684155"/>
    <w:rsid w:val="47689357"/>
    <w:rsid w:val="4769351B"/>
    <w:rsid w:val="47696EEF"/>
    <w:rsid w:val="47698451"/>
    <w:rsid w:val="476A08BD"/>
    <w:rsid w:val="476A76DC"/>
    <w:rsid w:val="476CABFC"/>
    <w:rsid w:val="476D0A41"/>
    <w:rsid w:val="476EE67E"/>
    <w:rsid w:val="476F014A"/>
    <w:rsid w:val="4772F5EA"/>
    <w:rsid w:val="47754645"/>
    <w:rsid w:val="4776F076"/>
    <w:rsid w:val="4777222F"/>
    <w:rsid w:val="477759B0"/>
    <w:rsid w:val="477773E3"/>
    <w:rsid w:val="47795C5C"/>
    <w:rsid w:val="477BDFBD"/>
    <w:rsid w:val="477CD6EF"/>
    <w:rsid w:val="477E665C"/>
    <w:rsid w:val="47806D34"/>
    <w:rsid w:val="47822CB2"/>
    <w:rsid w:val="47829083"/>
    <w:rsid w:val="478352A4"/>
    <w:rsid w:val="4783D6B3"/>
    <w:rsid w:val="47841275"/>
    <w:rsid w:val="4788953F"/>
    <w:rsid w:val="478B9444"/>
    <w:rsid w:val="478D0B81"/>
    <w:rsid w:val="478E07DD"/>
    <w:rsid w:val="478F4458"/>
    <w:rsid w:val="478FE487"/>
    <w:rsid w:val="479229CC"/>
    <w:rsid w:val="47928CB3"/>
    <w:rsid w:val="47939090"/>
    <w:rsid w:val="4794D9EE"/>
    <w:rsid w:val="47961082"/>
    <w:rsid w:val="47970AB6"/>
    <w:rsid w:val="47970FC9"/>
    <w:rsid w:val="479767C4"/>
    <w:rsid w:val="47994D8F"/>
    <w:rsid w:val="479AD7BC"/>
    <w:rsid w:val="479B8425"/>
    <w:rsid w:val="479BF283"/>
    <w:rsid w:val="479C55BF"/>
    <w:rsid w:val="479EF4A6"/>
    <w:rsid w:val="47A1BF8C"/>
    <w:rsid w:val="47A20614"/>
    <w:rsid w:val="47A325D7"/>
    <w:rsid w:val="47A597A8"/>
    <w:rsid w:val="47A5D73E"/>
    <w:rsid w:val="47A613D9"/>
    <w:rsid w:val="47A86068"/>
    <w:rsid w:val="47A937FF"/>
    <w:rsid w:val="47AA2D8C"/>
    <w:rsid w:val="47AB44DF"/>
    <w:rsid w:val="47AF4942"/>
    <w:rsid w:val="47AF8395"/>
    <w:rsid w:val="47B427D2"/>
    <w:rsid w:val="47B4409A"/>
    <w:rsid w:val="47B44609"/>
    <w:rsid w:val="47B5D2A0"/>
    <w:rsid w:val="47B61F8D"/>
    <w:rsid w:val="47B7B91B"/>
    <w:rsid w:val="47B9E46B"/>
    <w:rsid w:val="47BCCA32"/>
    <w:rsid w:val="47BFD771"/>
    <w:rsid w:val="47C027A6"/>
    <w:rsid w:val="47C1E1D3"/>
    <w:rsid w:val="47C278BF"/>
    <w:rsid w:val="47C348CD"/>
    <w:rsid w:val="47C76D34"/>
    <w:rsid w:val="47C8129F"/>
    <w:rsid w:val="47C99815"/>
    <w:rsid w:val="47C9E4CE"/>
    <w:rsid w:val="47CC277F"/>
    <w:rsid w:val="47CD2C45"/>
    <w:rsid w:val="47CD78C0"/>
    <w:rsid w:val="47CF56DB"/>
    <w:rsid w:val="47CFBD55"/>
    <w:rsid w:val="47CFDBAB"/>
    <w:rsid w:val="47D008F9"/>
    <w:rsid w:val="47D38F57"/>
    <w:rsid w:val="47D4D027"/>
    <w:rsid w:val="47D59171"/>
    <w:rsid w:val="47D9923D"/>
    <w:rsid w:val="47DDEDC2"/>
    <w:rsid w:val="47DDF5C4"/>
    <w:rsid w:val="47DF24C3"/>
    <w:rsid w:val="47DFE26B"/>
    <w:rsid w:val="47E0B9D0"/>
    <w:rsid w:val="47E22498"/>
    <w:rsid w:val="47E28438"/>
    <w:rsid w:val="47E2ABFB"/>
    <w:rsid w:val="47E71CA0"/>
    <w:rsid w:val="47E77085"/>
    <w:rsid w:val="47E7B61E"/>
    <w:rsid w:val="47E7E163"/>
    <w:rsid w:val="47E926E0"/>
    <w:rsid w:val="47E9FA7E"/>
    <w:rsid w:val="47EA373E"/>
    <w:rsid w:val="47EA62E5"/>
    <w:rsid w:val="47EB2C12"/>
    <w:rsid w:val="47EB9237"/>
    <w:rsid w:val="47ED54F5"/>
    <w:rsid w:val="47EDC3A5"/>
    <w:rsid w:val="47EF57EF"/>
    <w:rsid w:val="47F12B52"/>
    <w:rsid w:val="47F4509C"/>
    <w:rsid w:val="47F517D1"/>
    <w:rsid w:val="47F85D6C"/>
    <w:rsid w:val="47F888DB"/>
    <w:rsid w:val="47F9BA52"/>
    <w:rsid w:val="47FA3E5B"/>
    <w:rsid w:val="47FA5FCC"/>
    <w:rsid w:val="47FD28FE"/>
    <w:rsid w:val="47FDF8C1"/>
    <w:rsid w:val="4800E807"/>
    <w:rsid w:val="48017C2E"/>
    <w:rsid w:val="4802367D"/>
    <w:rsid w:val="4802EB53"/>
    <w:rsid w:val="4804E2C6"/>
    <w:rsid w:val="4806737E"/>
    <w:rsid w:val="48089EE9"/>
    <w:rsid w:val="4809159A"/>
    <w:rsid w:val="480A31D0"/>
    <w:rsid w:val="480D31F2"/>
    <w:rsid w:val="480D5FEF"/>
    <w:rsid w:val="480DFDE0"/>
    <w:rsid w:val="480EBD07"/>
    <w:rsid w:val="4812A6C0"/>
    <w:rsid w:val="4812FB93"/>
    <w:rsid w:val="4816AE02"/>
    <w:rsid w:val="4816CC48"/>
    <w:rsid w:val="4816DF79"/>
    <w:rsid w:val="4818A3F7"/>
    <w:rsid w:val="481AF441"/>
    <w:rsid w:val="481C08C9"/>
    <w:rsid w:val="481C3AC0"/>
    <w:rsid w:val="481C8A61"/>
    <w:rsid w:val="481D278D"/>
    <w:rsid w:val="481FFF96"/>
    <w:rsid w:val="48233ECB"/>
    <w:rsid w:val="48266D45"/>
    <w:rsid w:val="48270DBA"/>
    <w:rsid w:val="48281111"/>
    <w:rsid w:val="482845D5"/>
    <w:rsid w:val="482B6023"/>
    <w:rsid w:val="482B7A9A"/>
    <w:rsid w:val="482E181C"/>
    <w:rsid w:val="482FB518"/>
    <w:rsid w:val="48307EF4"/>
    <w:rsid w:val="4833AE44"/>
    <w:rsid w:val="4833D4D1"/>
    <w:rsid w:val="48340B15"/>
    <w:rsid w:val="483478BF"/>
    <w:rsid w:val="483891BA"/>
    <w:rsid w:val="48389F4B"/>
    <w:rsid w:val="4838DC32"/>
    <w:rsid w:val="483A814A"/>
    <w:rsid w:val="483ACAED"/>
    <w:rsid w:val="483D3B37"/>
    <w:rsid w:val="483E28EE"/>
    <w:rsid w:val="48416C58"/>
    <w:rsid w:val="4841CC85"/>
    <w:rsid w:val="4841E753"/>
    <w:rsid w:val="4841ED3C"/>
    <w:rsid w:val="48439A49"/>
    <w:rsid w:val="48441BD6"/>
    <w:rsid w:val="4845660D"/>
    <w:rsid w:val="4845F36E"/>
    <w:rsid w:val="4846AF28"/>
    <w:rsid w:val="4849E09A"/>
    <w:rsid w:val="484A5282"/>
    <w:rsid w:val="484B246E"/>
    <w:rsid w:val="484DC548"/>
    <w:rsid w:val="484E35D9"/>
    <w:rsid w:val="48525A19"/>
    <w:rsid w:val="48545044"/>
    <w:rsid w:val="48556611"/>
    <w:rsid w:val="4856ED55"/>
    <w:rsid w:val="485960D9"/>
    <w:rsid w:val="4859A67D"/>
    <w:rsid w:val="485A5E3F"/>
    <w:rsid w:val="485BFDB8"/>
    <w:rsid w:val="4860064F"/>
    <w:rsid w:val="48602453"/>
    <w:rsid w:val="4860BCD8"/>
    <w:rsid w:val="4860D6B6"/>
    <w:rsid w:val="4865729E"/>
    <w:rsid w:val="48686E9E"/>
    <w:rsid w:val="48697BD4"/>
    <w:rsid w:val="486A0F7F"/>
    <w:rsid w:val="486A1987"/>
    <w:rsid w:val="486A9338"/>
    <w:rsid w:val="486FED18"/>
    <w:rsid w:val="487003AD"/>
    <w:rsid w:val="4872986D"/>
    <w:rsid w:val="4872F3F4"/>
    <w:rsid w:val="4873486A"/>
    <w:rsid w:val="4874705A"/>
    <w:rsid w:val="48774543"/>
    <w:rsid w:val="4877DCBE"/>
    <w:rsid w:val="487A607E"/>
    <w:rsid w:val="487A7B31"/>
    <w:rsid w:val="487CCCD1"/>
    <w:rsid w:val="48854319"/>
    <w:rsid w:val="4886ED9C"/>
    <w:rsid w:val="4888CF9D"/>
    <w:rsid w:val="488C15EE"/>
    <w:rsid w:val="488D3905"/>
    <w:rsid w:val="488D8B55"/>
    <w:rsid w:val="488F2F3F"/>
    <w:rsid w:val="488FACCC"/>
    <w:rsid w:val="48912791"/>
    <w:rsid w:val="4891C6FA"/>
    <w:rsid w:val="4893683F"/>
    <w:rsid w:val="4893770F"/>
    <w:rsid w:val="4897370C"/>
    <w:rsid w:val="48999506"/>
    <w:rsid w:val="4899F98E"/>
    <w:rsid w:val="489A1C45"/>
    <w:rsid w:val="489A7955"/>
    <w:rsid w:val="489C40A4"/>
    <w:rsid w:val="489CD0BE"/>
    <w:rsid w:val="48A23308"/>
    <w:rsid w:val="48A23416"/>
    <w:rsid w:val="48A26B2A"/>
    <w:rsid w:val="48A31C9C"/>
    <w:rsid w:val="48A361FF"/>
    <w:rsid w:val="48A61B1D"/>
    <w:rsid w:val="48A9CA28"/>
    <w:rsid w:val="48AB66AE"/>
    <w:rsid w:val="48ABA76D"/>
    <w:rsid w:val="48AC8B49"/>
    <w:rsid w:val="48ACE00A"/>
    <w:rsid w:val="48ADACF4"/>
    <w:rsid w:val="48B1AA0D"/>
    <w:rsid w:val="48B28E01"/>
    <w:rsid w:val="48B5E4E9"/>
    <w:rsid w:val="48B6801F"/>
    <w:rsid w:val="48B6F79B"/>
    <w:rsid w:val="48B837D1"/>
    <w:rsid w:val="48BCED79"/>
    <w:rsid w:val="48BCF659"/>
    <w:rsid w:val="48BD1F37"/>
    <w:rsid w:val="48BDFE92"/>
    <w:rsid w:val="48BE03BB"/>
    <w:rsid w:val="48BE9A18"/>
    <w:rsid w:val="48C3648F"/>
    <w:rsid w:val="48C46C43"/>
    <w:rsid w:val="48C55E4D"/>
    <w:rsid w:val="48C76FAB"/>
    <w:rsid w:val="48C839C3"/>
    <w:rsid w:val="48C8C92B"/>
    <w:rsid w:val="48CAB3BD"/>
    <w:rsid w:val="48CEA599"/>
    <w:rsid w:val="48D3B17D"/>
    <w:rsid w:val="48D412FC"/>
    <w:rsid w:val="48D41697"/>
    <w:rsid w:val="48D43B0F"/>
    <w:rsid w:val="48D46904"/>
    <w:rsid w:val="48D4CBC5"/>
    <w:rsid w:val="48D50410"/>
    <w:rsid w:val="48D61F13"/>
    <w:rsid w:val="48D68035"/>
    <w:rsid w:val="48D76C90"/>
    <w:rsid w:val="48D9A850"/>
    <w:rsid w:val="48D9E63E"/>
    <w:rsid w:val="48DBFE80"/>
    <w:rsid w:val="48DD9C88"/>
    <w:rsid w:val="48DF7145"/>
    <w:rsid w:val="48DFB759"/>
    <w:rsid w:val="48E007C4"/>
    <w:rsid w:val="48E34883"/>
    <w:rsid w:val="48E3B3E7"/>
    <w:rsid w:val="48E3BF1C"/>
    <w:rsid w:val="48E614D5"/>
    <w:rsid w:val="48E66573"/>
    <w:rsid w:val="48E66D9F"/>
    <w:rsid w:val="48E7E50A"/>
    <w:rsid w:val="48E7F67C"/>
    <w:rsid w:val="48E893FB"/>
    <w:rsid w:val="48EBB96E"/>
    <w:rsid w:val="48EBE492"/>
    <w:rsid w:val="48ECDAAE"/>
    <w:rsid w:val="48F05E0F"/>
    <w:rsid w:val="48F13DB3"/>
    <w:rsid w:val="48F145E0"/>
    <w:rsid w:val="48F31C6C"/>
    <w:rsid w:val="48F3B6EF"/>
    <w:rsid w:val="48F5EF50"/>
    <w:rsid w:val="48FB22FA"/>
    <w:rsid w:val="48FBAAB6"/>
    <w:rsid w:val="48FD7ED5"/>
    <w:rsid w:val="48FDDCF7"/>
    <w:rsid w:val="48FE63AE"/>
    <w:rsid w:val="48FE74DB"/>
    <w:rsid w:val="48FEBA4E"/>
    <w:rsid w:val="48FF0CBD"/>
    <w:rsid w:val="48FF294E"/>
    <w:rsid w:val="49057E26"/>
    <w:rsid w:val="4907C9D6"/>
    <w:rsid w:val="49089558"/>
    <w:rsid w:val="49090027"/>
    <w:rsid w:val="49094891"/>
    <w:rsid w:val="490BD67D"/>
    <w:rsid w:val="490E912E"/>
    <w:rsid w:val="490F522C"/>
    <w:rsid w:val="491011FD"/>
    <w:rsid w:val="491040FE"/>
    <w:rsid w:val="4910CA05"/>
    <w:rsid w:val="49121500"/>
    <w:rsid w:val="49146402"/>
    <w:rsid w:val="491AB29A"/>
    <w:rsid w:val="491ABDE9"/>
    <w:rsid w:val="491ADF12"/>
    <w:rsid w:val="491B81C7"/>
    <w:rsid w:val="491B9310"/>
    <w:rsid w:val="491C1609"/>
    <w:rsid w:val="491C4B28"/>
    <w:rsid w:val="491DE419"/>
    <w:rsid w:val="491E24DE"/>
    <w:rsid w:val="491EA1FB"/>
    <w:rsid w:val="49259F30"/>
    <w:rsid w:val="4927E7E9"/>
    <w:rsid w:val="492C64C0"/>
    <w:rsid w:val="492F1899"/>
    <w:rsid w:val="49310B53"/>
    <w:rsid w:val="49313563"/>
    <w:rsid w:val="49337E18"/>
    <w:rsid w:val="4933DFB6"/>
    <w:rsid w:val="49342939"/>
    <w:rsid w:val="493468C1"/>
    <w:rsid w:val="49353138"/>
    <w:rsid w:val="493746DA"/>
    <w:rsid w:val="4937DF5D"/>
    <w:rsid w:val="4938C1EC"/>
    <w:rsid w:val="4938DE0B"/>
    <w:rsid w:val="493977D3"/>
    <w:rsid w:val="493CDAAC"/>
    <w:rsid w:val="493F81A3"/>
    <w:rsid w:val="49400AF8"/>
    <w:rsid w:val="4940BF68"/>
    <w:rsid w:val="49416A4B"/>
    <w:rsid w:val="49426D4A"/>
    <w:rsid w:val="4947A940"/>
    <w:rsid w:val="494B645B"/>
    <w:rsid w:val="494BC939"/>
    <w:rsid w:val="494C148F"/>
    <w:rsid w:val="494C46B1"/>
    <w:rsid w:val="494DC095"/>
    <w:rsid w:val="494DD843"/>
    <w:rsid w:val="49538238"/>
    <w:rsid w:val="4953B83F"/>
    <w:rsid w:val="49546069"/>
    <w:rsid w:val="4954E6F3"/>
    <w:rsid w:val="49571381"/>
    <w:rsid w:val="4958B2E0"/>
    <w:rsid w:val="4958FC65"/>
    <w:rsid w:val="4959888F"/>
    <w:rsid w:val="495B23EE"/>
    <w:rsid w:val="495C6671"/>
    <w:rsid w:val="495E5AF0"/>
    <w:rsid w:val="495F00D3"/>
    <w:rsid w:val="495FA409"/>
    <w:rsid w:val="4962275F"/>
    <w:rsid w:val="4962DCA1"/>
    <w:rsid w:val="496320FE"/>
    <w:rsid w:val="49656732"/>
    <w:rsid w:val="4965DD06"/>
    <w:rsid w:val="4969F186"/>
    <w:rsid w:val="496A85EE"/>
    <w:rsid w:val="496BBAE9"/>
    <w:rsid w:val="496C97FD"/>
    <w:rsid w:val="496CEA7C"/>
    <w:rsid w:val="496DF9F1"/>
    <w:rsid w:val="496E3A08"/>
    <w:rsid w:val="496EA568"/>
    <w:rsid w:val="4970FD6B"/>
    <w:rsid w:val="497148CF"/>
    <w:rsid w:val="49723C27"/>
    <w:rsid w:val="497287D8"/>
    <w:rsid w:val="497589A3"/>
    <w:rsid w:val="49763C80"/>
    <w:rsid w:val="4976CFE2"/>
    <w:rsid w:val="49779C6C"/>
    <w:rsid w:val="497D2CA9"/>
    <w:rsid w:val="497E07EB"/>
    <w:rsid w:val="497E3247"/>
    <w:rsid w:val="49804651"/>
    <w:rsid w:val="4980B6F4"/>
    <w:rsid w:val="4981B3DF"/>
    <w:rsid w:val="4984334A"/>
    <w:rsid w:val="49853C50"/>
    <w:rsid w:val="4988152E"/>
    <w:rsid w:val="4989BE2C"/>
    <w:rsid w:val="498A7932"/>
    <w:rsid w:val="498B5110"/>
    <w:rsid w:val="498CB9DB"/>
    <w:rsid w:val="498CCAEB"/>
    <w:rsid w:val="498F5587"/>
    <w:rsid w:val="498F55DA"/>
    <w:rsid w:val="498F97DA"/>
    <w:rsid w:val="49902809"/>
    <w:rsid w:val="49909F1D"/>
    <w:rsid w:val="4990BA93"/>
    <w:rsid w:val="4991BAA0"/>
    <w:rsid w:val="49939C5F"/>
    <w:rsid w:val="49951070"/>
    <w:rsid w:val="49964A23"/>
    <w:rsid w:val="4998104E"/>
    <w:rsid w:val="4999AB3A"/>
    <w:rsid w:val="499A05ED"/>
    <w:rsid w:val="499B189C"/>
    <w:rsid w:val="499D075A"/>
    <w:rsid w:val="499DCA96"/>
    <w:rsid w:val="499EA84F"/>
    <w:rsid w:val="49A3931B"/>
    <w:rsid w:val="49A3D3F0"/>
    <w:rsid w:val="49A3EB3A"/>
    <w:rsid w:val="49A4A7AF"/>
    <w:rsid w:val="49A78A21"/>
    <w:rsid w:val="49A7E46F"/>
    <w:rsid w:val="49ABDBD5"/>
    <w:rsid w:val="49B0C582"/>
    <w:rsid w:val="49B280B3"/>
    <w:rsid w:val="49B280D1"/>
    <w:rsid w:val="49B2ABB3"/>
    <w:rsid w:val="49B33627"/>
    <w:rsid w:val="49B354D3"/>
    <w:rsid w:val="49B42AC0"/>
    <w:rsid w:val="49B4CCD9"/>
    <w:rsid w:val="49B5F996"/>
    <w:rsid w:val="49B72F23"/>
    <w:rsid w:val="49B770F1"/>
    <w:rsid w:val="49B902F0"/>
    <w:rsid w:val="49BB0B9A"/>
    <w:rsid w:val="49BED927"/>
    <w:rsid w:val="49BF51B1"/>
    <w:rsid w:val="49C0C6F0"/>
    <w:rsid w:val="49C1720F"/>
    <w:rsid w:val="49C1E0AE"/>
    <w:rsid w:val="49C2C84B"/>
    <w:rsid w:val="49C3B211"/>
    <w:rsid w:val="49C3DFF4"/>
    <w:rsid w:val="49C4B484"/>
    <w:rsid w:val="49C71649"/>
    <w:rsid w:val="49C9AE52"/>
    <w:rsid w:val="49C9C7F9"/>
    <w:rsid w:val="49CA66A1"/>
    <w:rsid w:val="49CAF8F1"/>
    <w:rsid w:val="49CD5C76"/>
    <w:rsid w:val="49CE0A0E"/>
    <w:rsid w:val="49CE5FF4"/>
    <w:rsid w:val="49CE6568"/>
    <w:rsid w:val="49CF109E"/>
    <w:rsid w:val="49CFAC0B"/>
    <w:rsid w:val="49D0AD11"/>
    <w:rsid w:val="49D19B0C"/>
    <w:rsid w:val="49D3C7AD"/>
    <w:rsid w:val="49D42DCD"/>
    <w:rsid w:val="49D4A09D"/>
    <w:rsid w:val="49D6B90D"/>
    <w:rsid w:val="49D6BF91"/>
    <w:rsid w:val="49DCA17F"/>
    <w:rsid w:val="49DD4406"/>
    <w:rsid w:val="49DDD528"/>
    <w:rsid w:val="49E0CC71"/>
    <w:rsid w:val="49E141D6"/>
    <w:rsid w:val="49E2CBC3"/>
    <w:rsid w:val="49E2E637"/>
    <w:rsid w:val="49E4C89A"/>
    <w:rsid w:val="49E66836"/>
    <w:rsid w:val="49E83A37"/>
    <w:rsid w:val="49E973D4"/>
    <w:rsid w:val="49ECC2F1"/>
    <w:rsid w:val="49EF5CF6"/>
    <w:rsid w:val="49F217FA"/>
    <w:rsid w:val="49F24949"/>
    <w:rsid w:val="49F579D0"/>
    <w:rsid w:val="49F92CA9"/>
    <w:rsid w:val="49FA2710"/>
    <w:rsid w:val="49FB27ED"/>
    <w:rsid w:val="49FC2895"/>
    <w:rsid w:val="49FC90EC"/>
    <w:rsid w:val="49FCD985"/>
    <w:rsid w:val="49FD1929"/>
    <w:rsid w:val="49FD4F62"/>
    <w:rsid w:val="49FE3323"/>
    <w:rsid w:val="49FE5296"/>
    <w:rsid w:val="4A013A62"/>
    <w:rsid w:val="4A0232E3"/>
    <w:rsid w:val="4A0245A9"/>
    <w:rsid w:val="4A039EC6"/>
    <w:rsid w:val="4A054306"/>
    <w:rsid w:val="4A05E962"/>
    <w:rsid w:val="4A07CA59"/>
    <w:rsid w:val="4A088BB9"/>
    <w:rsid w:val="4A0A6738"/>
    <w:rsid w:val="4A0D0C70"/>
    <w:rsid w:val="4A0D7103"/>
    <w:rsid w:val="4A0DDF44"/>
    <w:rsid w:val="4A0E8E7A"/>
    <w:rsid w:val="4A0F3E13"/>
    <w:rsid w:val="4A106392"/>
    <w:rsid w:val="4A10BE87"/>
    <w:rsid w:val="4A114B84"/>
    <w:rsid w:val="4A168928"/>
    <w:rsid w:val="4A17A57B"/>
    <w:rsid w:val="4A19DDA5"/>
    <w:rsid w:val="4A1A4635"/>
    <w:rsid w:val="4A1C14C7"/>
    <w:rsid w:val="4A1E0AAF"/>
    <w:rsid w:val="4A1EC634"/>
    <w:rsid w:val="4A233959"/>
    <w:rsid w:val="4A23799B"/>
    <w:rsid w:val="4A28BC32"/>
    <w:rsid w:val="4A2DFDDE"/>
    <w:rsid w:val="4A2FD9BB"/>
    <w:rsid w:val="4A325FE5"/>
    <w:rsid w:val="4A3337E6"/>
    <w:rsid w:val="4A339745"/>
    <w:rsid w:val="4A342EE0"/>
    <w:rsid w:val="4A35AEB1"/>
    <w:rsid w:val="4A37013A"/>
    <w:rsid w:val="4A3D5724"/>
    <w:rsid w:val="4A3E32EF"/>
    <w:rsid w:val="4A3E76C7"/>
    <w:rsid w:val="4A439FC4"/>
    <w:rsid w:val="4A450F82"/>
    <w:rsid w:val="4A468285"/>
    <w:rsid w:val="4A470506"/>
    <w:rsid w:val="4A4AFF0A"/>
    <w:rsid w:val="4A4C0188"/>
    <w:rsid w:val="4A4E3D79"/>
    <w:rsid w:val="4A4EB134"/>
    <w:rsid w:val="4A5304A0"/>
    <w:rsid w:val="4A53C6A6"/>
    <w:rsid w:val="4A589EA9"/>
    <w:rsid w:val="4A592803"/>
    <w:rsid w:val="4A594DB9"/>
    <w:rsid w:val="4A5ABD66"/>
    <w:rsid w:val="4A5CA5A8"/>
    <w:rsid w:val="4A5E29DB"/>
    <w:rsid w:val="4A5FF4BC"/>
    <w:rsid w:val="4A6010BA"/>
    <w:rsid w:val="4A627993"/>
    <w:rsid w:val="4A658438"/>
    <w:rsid w:val="4A6627F3"/>
    <w:rsid w:val="4A68879B"/>
    <w:rsid w:val="4A6C3464"/>
    <w:rsid w:val="4A6D2031"/>
    <w:rsid w:val="4A6D9F39"/>
    <w:rsid w:val="4A6DC3E2"/>
    <w:rsid w:val="4A6DEB7A"/>
    <w:rsid w:val="4A6E7BED"/>
    <w:rsid w:val="4A714717"/>
    <w:rsid w:val="4A72081C"/>
    <w:rsid w:val="4A734D57"/>
    <w:rsid w:val="4A73CC98"/>
    <w:rsid w:val="4A7557E2"/>
    <w:rsid w:val="4A7AC019"/>
    <w:rsid w:val="4A7D0946"/>
    <w:rsid w:val="4A7D70E7"/>
    <w:rsid w:val="4A7E7F43"/>
    <w:rsid w:val="4A7F347D"/>
    <w:rsid w:val="4A7FDCDF"/>
    <w:rsid w:val="4A8736A9"/>
    <w:rsid w:val="4A89DCCD"/>
    <w:rsid w:val="4A8B50FB"/>
    <w:rsid w:val="4A90EBD0"/>
    <w:rsid w:val="4A926D0E"/>
    <w:rsid w:val="4A93F866"/>
    <w:rsid w:val="4A950562"/>
    <w:rsid w:val="4A974653"/>
    <w:rsid w:val="4AA011A1"/>
    <w:rsid w:val="4AA01F45"/>
    <w:rsid w:val="4AA25BE2"/>
    <w:rsid w:val="4AA31A27"/>
    <w:rsid w:val="4AA5F1A5"/>
    <w:rsid w:val="4AA6105E"/>
    <w:rsid w:val="4AA8C605"/>
    <w:rsid w:val="4AAA9DCF"/>
    <w:rsid w:val="4AAC0477"/>
    <w:rsid w:val="4AAD64F4"/>
    <w:rsid w:val="4AAE249A"/>
    <w:rsid w:val="4AAE9854"/>
    <w:rsid w:val="4AB55F1E"/>
    <w:rsid w:val="4AB64BCF"/>
    <w:rsid w:val="4AB775AC"/>
    <w:rsid w:val="4AB91004"/>
    <w:rsid w:val="4AB9F2A9"/>
    <w:rsid w:val="4ABBA311"/>
    <w:rsid w:val="4AC58600"/>
    <w:rsid w:val="4AC833AD"/>
    <w:rsid w:val="4AC8767B"/>
    <w:rsid w:val="4ACB6345"/>
    <w:rsid w:val="4ACD3672"/>
    <w:rsid w:val="4ACDF949"/>
    <w:rsid w:val="4ACE4A4C"/>
    <w:rsid w:val="4AD09C49"/>
    <w:rsid w:val="4AD1962F"/>
    <w:rsid w:val="4AD2DA80"/>
    <w:rsid w:val="4AD34532"/>
    <w:rsid w:val="4AD435EB"/>
    <w:rsid w:val="4AD5CC71"/>
    <w:rsid w:val="4AD724C6"/>
    <w:rsid w:val="4ADA86CF"/>
    <w:rsid w:val="4ADBFB1B"/>
    <w:rsid w:val="4ADCB435"/>
    <w:rsid w:val="4AE00E89"/>
    <w:rsid w:val="4AE23223"/>
    <w:rsid w:val="4AE2520E"/>
    <w:rsid w:val="4AE68CA9"/>
    <w:rsid w:val="4AEB9000"/>
    <w:rsid w:val="4AEBFD23"/>
    <w:rsid w:val="4AECD7DC"/>
    <w:rsid w:val="4AED73FA"/>
    <w:rsid w:val="4AEDF1ED"/>
    <w:rsid w:val="4AEF4887"/>
    <w:rsid w:val="4AF18EC2"/>
    <w:rsid w:val="4AF19458"/>
    <w:rsid w:val="4AF29EA3"/>
    <w:rsid w:val="4AF37A4E"/>
    <w:rsid w:val="4AF56747"/>
    <w:rsid w:val="4AF7975E"/>
    <w:rsid w:val="4AF7E643"/>
    <w:rsid w:val="4AF7EE13"/>
    <w:rsid w:val="4AF8F0CD"/>
    <w:rsid w:val="4AF9A4DA"/>
    <w:rsid w:val="4AFBD7EC"/>
    <w:rsid w:val="4AFC0DB5"/>
    <w:rsid w:val="4AFC4F47"/>
    <w:rsid w:val="4AFD163E"/>
    <w:rsid w:val="4AFFC682"/>
    <w:rsid w:val="4B00FB52"/>
    <w:rsid w:val="4B032EEB"/>
    <w:rsid w:val="4B085EFF"/>
    <w:rsid w:val="4B08736D"/>
    <w:rsid w:val="4B09A61F"/>
    <w:rsid w:val="4B0CD61E"/>
    <w:rsid w:val="4B0DDABC"/>
    <w:rsid w:val="4B0E85C7"/>
    <w:rsid w:val="4B0FAA84"/>
    <w:rsid w:val="4B0FDBD5"/>
    <w:rsid w:val="4B12766C"/>
    <w:rsid w:val="4B13494E"/>
    <w:rsid w:val="4B18169E"/>
    <w:rsid w:val="4B1B9BC9"/>
    <w:rsid w:val="4B1EEF8A"/>
    <w:rsid w:val="4B200124"/>
    <w:rsid w:val="4B210191"/>
    <w:rsid w:val="4B236F66"/>
    <w:rsid w:val="4B26215E"/>
    <w:rsid w:val="4B277CF0"/>
    <w:rsid w:val="4B295EFD"/>
    <w:rsid w:val="4B29E100"/>
    <w:rsid w:val="4B2A66E5"/>
    <w:rsid w:val="4B2AA473"/>
    <w:rsid w:val="4B2FF99C"/>
    <w:rsid w:val="4B30030F"/>
    <w:rsid w:val="4B3060AA"/>
    <w:rsid w:val="4B368FA0"/>
    <w:rsid w:val="4B388BF9"/>
    <w:rsid w:val="4B3A7B44"/>
    <w:rsid w:val="4B3C6C77"/>
    <w:rsid w:val="4B3CC839"/>
    <w:rsid w:val="4B3D7203"/>
    <w:rsid w:val="4B3F37F2"/>
    <w:rsid w:val="4B3F4F32"/>
    <w:rsid w:val="4B401DED"/>
    <w:rsid w:val="4B41865E"/>
    <w:rsid w:val="4B452E5D"/>
    <w:rsid w:val="4B45FAB8"/>
    <w:rsid w:val="4B4893FB"/>
    <w:rsid w:val="4B49A9B5"/>
    <w:rsid w:val="4B4F7767"/>
    <w:rsid w:val="4B517431"/>
    <w:rsid w:val="4B5212D7"/>
    <w:rsid w:val="4B523272"/>
    <w:rsid w:val="4B562A57"/>
    <w:rsid w:val="4B56A87B"/>
    <w:rsid w:val="4B56D10E"/>
    <w:rsid w:val="4B573B69"/>
    <w:rsid w:val="4B5AB5B4"/>
    <w:rsid w:val="4B5AD602"/>
    <w:rsid w:val="4B5B18C6"/>
    <w:rsid w:val="4B5C1BA6"/>
    <w:rsid w:val="4B618BD1"/>
    <w:rsid w:val="4B61CC4B"/>
    <w:rsid w:val="4B631699"/>
    <w:rsid w:val="4B64C521"/>
    <w:rsid w:val="4B66622D"/>
    <w:rsid w:val="4B6698F5"/>
    <w:rsid w:val="4B672105"/>
    <w:rsid w:val="4B67E059"/>
    <w:rsid w:val="4B680176"/>
    <w:rsid w:val="4B68E1C9"/>
    <w:rsid w:val="4B6B23B5"/>
    <w:rsid w:val="4B6BCD58"/>
    <w:rsid w:val="4B6D564C"/>
    <w:rsid w:val="4B6DC874"/>
    <w:rsid w:val="4B6F6830"/>
    <w:rsid w:val="4B72105B"/>
    <w:rsid w:val="4B72DB43"/>
    <w:rsid w:val="4B73D3B7"/>
    <w:rsid w:val="4B73D86A"/>
    <w:rsid w:val="4B770258"/>
    <w:rsid w:val="4B7860BD"/>
    <w:rsid w:val="4B7948AD"/>
    <w:rsid w:val="4B7977A3"/>
    <w:rsid w:val="4B79AF53"/>
    <w:rsid w:val="4B7BD62B"/>
    <w:rsid w:val="4B7E2CEB"/>
    <w:rsid w:val="4B7EE7AB"/>
    <w:rsid w:val="4B80C17C"/>
    <w:rsid w:val="4B83AB83"/>
    <w:rsid w:val="4B83CC10"/>
    <w:rsid w:val="4B84EB00"/>
    <w:rsid w:val="4B84F6AE"/>
    <w:rsid w:val="4B88CFC1"/>
    <w:rsid w:val="4B89202C"/>
    <w:rsid w:val="4B8AB0A2"/>
    <w:rsid w:val="4B8BCC10"/>
    <w:rsid w:val="4B8D56B0"/>
    <w:rsid w:val="4B8E95EA"/>
    <w:rsid w:val="4B9101AA"/>
    <w:rsid w:val="4B91B7E4"/>
    <w:rsid w:val="4B94F95B"/>
    <w:rsid w:val="4B95482E"/>
    <w:rsid w:val="4B966C9D"/>
    <w:rsid w:val="4B96C677"/>
    <w:rsid w:val="4B96D3E6"/>
    <w:rsid w:val="4B98DC57"/>
    <w:rsid w:val="4B9E0826"/>
    <w:rsid w:val="4BA0EC87"/>
    <w:rsid w:val="4BAD134A"/>
    <w:rsid w:val="4BAD666B"/>
    <w:rsid w:val="4BB171E6"/>
    <w:rsid w:val="4BB3CBF5"/>
    <w:rsid w:val="4BB49175"/>
    <w:rsid w:val="4BB4BFA8"/>
    <w:rsid w:val="4BB4E43E"/>
    <w:rsid w:val="4BB7124D"/>
    <w:rsid w:val="4BB8FDB5"/>
    <w:rsid w:val="4BB90835"/>
    <w:rsid w:val="4BBB01D1"/>
    <w:rsid w:val="4BBB5BE3"/>
    <w:rsid w:val="4BBDA9AB"/>
    <w:rsid w:val="4BC02BD4"/>
    <w:rsid w:val="4BC06405"/>
    <w:rsid w:val="4BC46BBC"/>
    <w:rsid w:val="4BC521FC"/>
    <w:rsid w:val="4BC5B1FD"/>
    <w:rsid w:val="4BC5DD94"/>
    <w:rsid w:val="4BC6D347"/>
    <w:rsid w:val="4BC855C1"/>
    <w:rsid w:val="4BC9E944"/>
    <w:rsid w:val="4BCA8974"/>
    <w:rsid w:val="4BCBE14E"/>
    <w:rsid w:val="4BCF27F7"/>
    <w:rsid w:val="4BCFFB94"/>
    <w:rsid w:val="4BD25C58"/>
    <w:rsid w:val="4BD4CA4D"/>
    <w:rsid w:val="4BD6E7C3"/>
    <w:rsid w:val="4BD7D475"/>
    <w:rsid w:val="4BD8CAC5"/>
    <w:rsid w:val="4BD9958D"/>
    <w:rsid w:val="4BDC9A14"/>
    <w:rsid w:val="4BDDE9C1"/>
    <w:rsid w:val="4BDE7F28"/>
    <w:rsid w:val="4BE184C4"/>
    <w:rsid w:val="4BE359F4"/>
    <w:rsid w:val="4BE5E400"/>
    <w:rsid w:val="4BE74514"/>
    <w:rsid w:val="4BE78001"/>
    <w:rsid w:val="4BE9BA0F"/>
    <w:rsid w:val="4BE9CBDD"/>
    <w:rsid w:val="4BEA012E"/>
    <w:rsid w:val="4BEA2B44"/>
    <w:rsid w:val="4BEF7CF5"/>
    <w:rsid w:val="4BF1B55D"/>
    <w:rsid w:val="4BF232A5"/>
    <w:rsid w:val="4BF3937B"/>
    <w:rsid w:val="4BF605B9"/>
    <w:rsid w:val="4BF60AA2"/>
    <w:rsid w:val="4BFA2791"/>
    <w:rsid w:val="4BFCB3A5"/>
    <w:rsid w:val="4BFCC534"/>
    <w:rsid w:val="4BFD3181"/>
    <w:rsid w:val="4BFF64A7"/>
    <w:rsid w:val="4C0174C7"/>
    <w:rsid w:val="4C019807"/>
    <w:rsid w:val="4C027A95"/>
    <w:rsid w:val="4C0309A1"/>
    <w:rsid w:val="4C051F3E"/>
    <w:rsid w:val="4C0562D2"/>
    <w:rsid w:val="4C085AEB"/>
    <w:rsid w:val="4C090FA2"/>
    <w:rsid w:val="4C0AC860"/>
    <w:rsid w:val="4C0CA572"/>
    <w:rsid w:val="4C0CA880"/>
    <w:rsid w:val="4C0D7ECA"/>
    <w:rsid w:val="4C0FA51A"/>
    <w:rsid w:val="4C12F9EE"/>
    <w:rsid w:val="4C13027C"/>
    <w:rsid w:val="4C16BE15"/>
    <w:rsid w:val="4C16C52A"/>
    <w:rsid w:val="4C171676"/>
    <w:rsid w:val="4C17E0D7"/>
    <w:rsid w:val="4C187F9D"/>
    <w:rsid w:val="4C1FD305"/>
    <w:rsid w:val="4C20B372"/>
    <w:rsid w:val="4C217913"/>
    <w:rsid w:val="4C249F46"/>
    <w:rsid w:val="4C26607E"/>
    <w:rsid w:val="4C2A9048"/>
    <w:rsid w:val="4C2AD3C4"/>
    <w:rsid w:val="4C2B61FC"/>
    <w:rsid w:val="4C2B6ED7"/>
    <w:rsid w:val="4C3290FB"/>
    <w:rsid w:val="4C3D7F37"/>
    <w:rsid w:val="4C41F442"/>
    <w:rsid w:val="4C422995"/>
    <w:rsid w:val="4C42FE06"/>
    <w:rsid w:val="4C43FE71"/>
    <w:rsid w:val="4C45433E"/>
    <w:rsid w:val="4C461596"/>
    <w:rsid w:val="4C477526"/>
    <w:rsid w:val="4C4970D4"/>
    <w:rsid w:val="4C4C9FCC"/>
    <w:rsid w:val="4C50EB98"/>
    <w:rsid w:val="4C52A890"/>
    <w:rsid w:val="4C52B9A2"/>
    <w:rsid w:val="4C5302BD"/>
    <w:rsid w:val="4C565941"/>
    <w:rsid w:val="4C58CC4D"/>
    <w:rsid w:val="4C592F02"/>
    <w:rsid w:val="4C5AD178"/>
    <w:rsid w:val="4C5B2634"/>
    <w:rsid w:val="4C5BF707"/>
    <w:rsid w:val="4C5E3747"/>
    <w:rsid w:val="4C5F6B38"/>
    <w:rsid w:val="4C5FA25B"/>
    <w:rsid w:val="4C6047E7"/>
    <w:rsid w:val="4C60A3A1"/>
    <w:rsid w:val="4C618ABA"/>
    <w:rsid w:val="4C6426B8"/>
    <w:rsid w:val="4C6688E9"/>
    <w:rsid w:val="4C66A63D"/>
    <w:rsid w:val="4C690AD5"/>
    <w:rsid w:val="4C6937E4"/>
    <w:rsid w:val="4C6996AF"/>
    <w:rsid w:val="4C6BE655"/>
    <w:rsid w:val="4C6C3C2C"/>
    <w:rsid w:val="4C6CADC7"/>
    <w:rsid w:val="4C761A1B"/>
    <w:rsid w:val="4C77FDEF"/>
    <w:rsid w:val="4C7899A9"/>
    <w:rsid w:val="4C78B241"/>
    <w:rsid w:val="4C7AA777"/>
    <w:rsid w:val="4C7B3EAA"/>
    <w:rsid w:val="4C7EEB1C"/>
    <w:rsid w:val="4C7F4D2F"/>
    <w:rsid w:val="4C821D1B"/>
    <w:rsid w:val="4C8467E2"/>
    <w:rsid w:val="4C86F590"/>
    <w:rsid w:val="4C8777F8"/>
    <w:rsid w:val="4C8842E9"/>
    <w:rsid w:val="4C88AF33"/>
    <w:rsid w:val="4C892102"/>
    <w:rsid w:val="4C89F30E"/>
    <w:rsid w:val="4C8AF1E4"/>
    <w:rsid w:val="4C8AF8A6"/>
    <w:rsid w:val="4C8D31A6"/>
    <w:rsid w:val="4C8DAFFF"/>
    <w:rsid w:val="4C9086B4"/>
    <w:rsid w:val="4C90FF9E"/>
    <w:rsid w:val="4C9167DB"/>
    <w:rsid w:val="4C916DDD"/>
    <w:rsid w:val="4C91FFD9"/>
    <w:rsid w:val="4C92EF3F"/>
    <w:rsid w:val="4C9491DC"/>
    <w:rsid w:val="4C95FE80"/>
    <w:rsid w:val="4C96F984"/>
    <w:rsid w:val="4C978AE3"/>
    <w:rsid w:val="4C9812C8"/>
    <w:rsid w:val="4C988B27"/>
    <w:rsid w:val="4C989A19"/>
    <w:rsid w:val="4C9B7443"/>
    <w:rsid w:val="4C9BCBF9"/>
    <w:rsid w:val="4C9C3FCF"/>
    <w:rsid w:val="4C9C5622"/>
    <w:rsid w:val="4C9F4336"/>
    <w:rsid w:val="4CA5B0D7"/>
    <w:rsid w:val="4CA5E0B3"/>
    <w:rsid w:val="4CA76816"/>
    <w:rsid w:val="4CA904A0"/>
    <w:rsid w:val="4CA94EA4"/>
    <w:rsid w:val="4CA9CAB8"/>
    <w:rsid w:val="4CA9D1D4"/>
    <w:rsid w:val="4CAA4920"/>
    <w:rsid w:val="4CB00E89"/>
    <w:rsid w:val="4CB21830"/>
    <w:rsid w:val="4CB35602"/>
    <w:rsid w:val="4CB44087"/>
    <w:rsid w:val="4CB51DA1"/>
    <w:rsid w:val="4CB6D3F3"/>
    <w:rsid w:val="4CB87BA4"/>
    <w:rsid w:val="4CBAADA5"/>
    <w:rsid w:val="4CBAC77A"/>
    <w:rsid w:val="4CC43DFF"/>
    <w:rsid w:val="4CC47FF2"/>
    <w:rsid w:val="4CC82731"/>
    <w:rsid w:val="4CCA98B9"/>
    <w:rsid w:val="4CCBE983"/>
    <w:rsid w:val="4CCDC2D1"/>
    <w:rsid w:val="4CD0C694"/>
    <w:rsid w:val="4CD30D5B"/>
    <w:rsid w:val="4CD42D49"/>
    <w:rsid w:val="4CD57EFB"/>
    <w:rsid w:val="4CD81988"/>
    <w:rsid w:val="4CDB75C7"/>
    <w:rsid w:val="4CDE37B8"/>
    <w:rsid w:val="4CDF366E"/>
    <w:rsid w:val="4CDF3B97"/>
    <w:rsid w:val="4CE1B9A0"/>
    <w:rsid w:val="4CE254BD"/>
    <w:rsid w:val="4CE2797C"/>
    <w:rsid w:val="4CE29689"/>
    <w:rsid w:val="4CE2EE34"/>
    <w:rsid w:val="4CE44A04"/>
    <w:rsid w:val="4CE53C4A"/>
    <w:rsid w:val="4CE73BE8"/>
    <w:rsid w:val="4CE9D9C3"/>
    <w:rsid w:val="4CEA7D3F"/>
    <w:rsid w:val="4CEA7EA9"/>
    <w:rsid w:val="4CEA8E1C"/>
    <w:rsid w:val="4CEAD7CF"/>
    <w:rsid w:val="4CF02DC5"/>
    <w:rsid w:val="4CF0A40F"/>
    <w:rsid w:val="4CF10F42"/>
    <w:rsid w:val="4CF3C934"/>
    <w:rsid w:val="4CF69820"/>
    <w:rsid w:val="4CF8020F"/>
    <w:rsid w:val="4CFA08C3"/>
    <w:rsid w:val="4CFA9DF4"/>
    <w:rsid w:val="4CFC13B2"/>
    <w:rsid w:val="4CFCF872"/>
    <w:rsid w:val="4CFE0E11"/>
    <w:rsid w:val="4CFE245E"/>
    <w:rsid w:val="4D02DBCB"/>
    <w:rsid w:val="4D03044D"/>
    <w:rsid w:val="4D036DA0"/>
    <w:rsid w:val="4D059AA1"/>
    <w:rsid w:val="4D06A173"/>
    <w:rsid w:val="4D08C196"/>
    <w:rsid w:val="4D09AB20"/>
    <w:rsid w:val="4D0BC1B0"/>
    <w:rsid w:val="4D0EE859"/>
    <w:rsid w:val="4D10EAB3"/>
    <w:rsid w:val="4D128847"/>
    <w:rsid w:val="4D143208"/>
    <w:rsid w:val="4D153C75"/>
    <w:rsid w:val="4D16B768"/>
    <w:rsid w:val="4D19175A"/>
    <w:rsid w:val="4D197CC8"/>
    <w:rsid w:val="4D1B1C23"/>
    <w:rsid w:val="4D253D15"/>
    <w:rsid w:val="4D25C46F"/>
    <w:rsid w:val="4D274C12"/>
    <w:rsid w:val="4D27552F"/>
    <w:rsid w:val="4D28D533"/>
    <w:rsid w:val="4D2ADA2B"/>
    <w:rsid w:val="4D2B39E0"/>
    <w:rsid w:val="4D2B8E09"/>
    <w:rsid w:val="4D2C27B1"/>
    <w:rsid w:val="4D2DD38F"/>
    <w:rsid w:val="4D2EF4FB"/>
    <w:rsid w:val="4D30E672"/>
    <w:rsid w:val="4D30E9A3"/>
    <w:rsid w:val="4D327D86"/>
    <w:rsid w:val="4D329CA9"/>
    <w:rsid w:val="4D32DA9D"/>
    <w:rsid w:val="4D332E8E"/>
    <w:rsid w:val="4D36AB79"/>
    <w:rsid w:val="4D381435"/>
    <w:rsid w:val="4D3D43C8"/>
    <w:rsid w:val="4D404A92"/>
    <w:rsid w:val="4D43DAAB"/>
    <w:rsid w:val="4D45A6CE"/>
    <w:rsid w:val="4D480DA6"/>
    <w:rsid w:val="4D49326F"/>
    <w:rsid w:val="4D4AD7E9"/>
    <w:rsid w:val="4D4BFD69"/>
    <w:rsid w:val="4D4C8162"/>
    <w:rsid w:val="4D4FC11E"/>
    <w:rsid w:val="4D503A49"/>
    <w:rsid w:val="4D51CD72"/>
    <w:rsid w:val="4D5216EE"/>
    <w:rsid w:val="4D52BBC4"/>
    <w:rsid w:val="4D532B9D"/>
    <w:rsid w:val="4D53EF85"/>
    <w:rsid w:val="4D546D7F"/>
    <w:rsid w:val="4D554BCC"/>
    <w:rsid w:val="4D56E39A"/>
    <w:rsid w:val="4D5782AC"/>
    <w:rsid w:val="4D588F35"/>
    <w:rsid w:val="4D58D4CF"/>
    <w:rsid w:val="4D593229"/>
    <w:rsid w:val="4D5A597E"/>
    <w:rsid w:val="4D5B133B"/>
    <w:rsid w:val="4D5EA8E9"/>
    <w:rsid w:val="4D5ECF33"/>
    <w:rsid w:val="4D613B1A"/>
    <w:rsid w:val="4D6177A8"/>
    <w:rsid w:val="4D62098E"/>
    <w:rsid w:val="4D649B26"/>
    <w:rsid w:val="4D64B054"/>
    <w:rsid w:val="4D65D349"/>
    <w:rsid w:val="4D67155A"/>
    <w:rsid w:val="4D689D40"/>
    <w:rsid w:val="4D6C2624"/>
    <w:rsid w:val="4D70D979"/>
    <w:rsid w:val="4D7260CF"/>
    <w:rsid w:val="4D74B424"/>
    <w:rsid w:val="4D760341"/>
    <w:rsid w:val="4D79D6A6"/>
    <w:rsid w:val="4D7E9E40"/>
    <w:rsid w:val="4D804CC2"/>
    <w:rsid w:val="4D808E43"/>
    <w:rsid w:val="4D812AB9"/>
    <w:rsid w:val="4D819EEF"/>
    <w:rsid w:val="4D82C467"/>
    <w:rsid w:val="4D85C7D5"/>
    <w:rsid w:val="4D8793EA"/>
    <w:rsid w:val="4D8805B4"/>
    <w:rsid w:val="4D8AC05E"/>
    <w:rsid w:val="4D8C222B"/>
    <w:rsid w:val="4D8C61BE"/>
    <w:rsid w:val="4D8D3707"/>
    <w:rsid w:val="4D8DC2D8"/>
    <w:rsid w:val="4D9185F0"/>
    <w:rsid w:val="4D929FA5"/>
    <w:rsid w:val="4D937125"/>
    <w:rsid w:val="4D94ED6D"/>
    <w:rsid w:val="4D97369A"/>
    <w:rsid w:val="4D97B223"/>
    <w:rsid w:val="4D98CF75"/>
    <w:rsid w:val="4D996087"/>
    <w:rsid w:val="4D99DC12"/>
    <w:rsid w:val="4D9A9268"/>
    <w:rsid w:val="4D9F787D"/>
    <w:rsid w:val="4D9FE15A"/>
    <w:rsid w:val="4DA35735"/>
    <w:rsid w:val="4DA6C62A"/>
    <w:rsid w:val="4DA72819"/>
    <w:rsid w:val="4DA82B1B"/>
    <w:rsid w:val="4DA86C00"/>
    <w:rsid w:val="4DA9F619"/>
    <w:rsid w:val="4DAA0CCB"/>
    <w:rsid w:val="4DAA9132"/>
    <w:rsid w:val="4DAABBBE"/>
    <w:rsid w:val="4DAB2014"/>
    <w:rsid w:val="4DAB2C12"/>
    <w:rsid w:val="4DAB7000"/>
    <w:rsid w:val="4DAD5F39"/>
    <w:rsid w:val="4DADFE91"/>
    <w:rsid w:val="4DAEFCE4"/>
    <w:rsid w:val="4DAFCD86"/>
    <w:rsid w:val="4DB02414"/>
    <w:rsid w:val="4DB05A34"/>
    <w:rsid w:val="4DB0A19C"/>
    <w:rsid w:val="4DB0EE85"/>
    <w:rsid w:val="4DB11884"/>
    <w:rsid w:val="4DB320DC"/>
    <w:rsid w:val="4DB3554B"/>
    <w:rsid w:val="4DB9B33D"/>
    <w:rsid w:val="4DBA7000"/>
    <w:rsid w:val="4DBECB8D"/>
    <w:rsid w:val="4DC024EF"/>
    <w:rsid w:val="4DC15226"/>
    <w:rsid w:val="4DC1EE5A"/>
    <w:rsid w:val="4DC3E52D"/>
    <w:rsid w:val="4DC43F69"/>
    <w:rsid w:val="4DC54FD0"/>
    <w:rsid w:val="4DC55D14"/>
    <w:rsid w:val="4DC61486"/>
    <w:rsid w:val="4DC945D1"/>
    <w:rsid w:val="4DC97FDB"/>
    <w:rsid w:val="4DCA875A"/>
    <w:rsid w:val="4DCC9984"/>
    <w:rsid w:val="4DCD18FB"/>
    <w:rsid w:val="4DCEB13E"/>
    <w:rsid w:val="4DCF9813"/>
    <w:rsid w:val="4DD00298"/>
    <w:rsid w:val="4DD17A0B"/>
    <w:rsid w:val="4DD393A1"/>
    <w:rsid w:val="4DD46411"/>
    <w:rsid w:val="4DD4ACEB"/>
    <w:rsid w:val="4DD4B875"/>
    <w:rsid w:val="4DD62649"/>
    <w:rsid w:val="4DD8C7B1"/>
    <w:rsid w:val="4DD9C7AC"/>
    <w:rsid w:val="4DDA5AC5"/>
    <w:rsid w:val="4DDC4EFF"/>
    <w:rsid w:val="4DDDCC62"/>
    <w:rsid w:val="4DDE956A"/>
    <w:rsid w:val="4DE13417"/>
    <w:rsid w:val="4DE1B999"/>
    <w:rsid w:val="4DE2F848"/>
    <w:rsid w:val="4DE4B906"/>
    <w:rsid w:val="4DE56DF7"/>
    <w:rsid w:val="4DE818E5"/>
    <w:rsid w:val="4DEBBAAA"/>
    <w:rsid w:val="4DEC96C6"/>
    <w:rsid w:val="4DF067EE"/>
    <w:rsid w:val="4DF117F9"/>
    <w:rsid w:val="4DF28107"/>
    <w:rsid w:val="4DF45474"/>
    <w:rsid w:val="4DF83FAE"/>
    <w:rsid w:val="4DFAE6F5"/>
    <w:rsid w:val="4DFB944D"/>
    <w:rsid w:val="4DFB9CAB"/>
    <w:rsid w:val="4DFC587B"/>
    <w:rsid w:val="4DFD712E"/>
    <w:rsid w:val="4DFFB598"/>
    <w:rsid w:val="4DFFE1CE"/>
    <w:rsid w:val="4E0051B7"/>
    <w:rsid w:val="4E0074A3"/>
    <w:rsid w:val="4E033D32"/>
    <w:rsid w:val="4E03F0E9"/>
    <w:rsid w:val="4E04EC08"/>
    <w:rsid w:val="4E06AE58"/>
    <w:rsid w:val="4E08F81C"/>
    <w:rsid w:val="4E0B35DC"/>
    <w:rsid w:val="4E0D0CD2"/>
    <w:rsid w:val="4E0D5621"/>
    <w:rsid w:val="4E0FC61A"/>
    <w:rsid w:val="4E102058"/>
    <w:rsid w:val="4E102884"/>
    <w:rsid w:val="4E12F948"/>
    <w:rsid w:val="4E167E13"/>
    <w:rsid w:val="4E186CB9"/>
    <w:rsid w:val="4E1899DA"/>
    <w:rsid w:val="4E190E1D"/>
    <w:rsid w:val="4E1A0851"/>
    <w:rsid w:val="4E1B2E7F"/>
    <w:rsid w:val="4E1DFC97"/>
    <w:rsid w:val="4E1E19EC"/>
    <w:rsid w:val="4E1FE148"/>
    <w:rsid w:val="4E22BFA3"/>
    <w:rsid w:val="4E233DC8"/>
    <w:rsid w:val="4E235EFC"/>
    <w:rsid w:val="4E240ED8"/>
    <w:rsid w:val="4E251D6E"/>
    <w:rsid w:val="4E26DE64"/>
    <w:rsid w:val="4E27CDE3"/>
    <w:rsid w:val="4E282466"/>
    <w:rsid w:val="4E2A5102"/>
    <w:rsid w:val="4E2AB344"/>
    <w:rsid w:val="4E2C03D5"/>
    <w:rsid w:val="4E2C73E6"/>
    <w:rsid w:val="4E2C8246"/>
    <w:rsid w:val="4E2D95CD"/>
    <w:rsid w:val="4E2E3676"/>
    <w:rsid w:val="4E30ED22"/>
    <w:rsid w:val="4E3B5FA7"/>
    <w:rsid w:val="4E3C6DA4"/>
    <w:rsid w:val="4E435A06"/>
    <w:rsid w:val="4E437414"/>
    <w:rsid w:val="4E445364"/>
    <w:rsid w:val="4E446B85"/>
    <w:rsid w:val="4E46016A"/>
    <w:rsid w:val="4E467CFA"/>
    <w:rsid w:val="4E46A4FD"/>
    <w:rsid w:val="4E4A51B7"/>
    <w:rsid w:val="4E4BDB23"/>
    <w:rsid w:val="4E4F3469"/>
    <w:rsid w:val="4E5035CF"/>
    <w:rsid w:val="4E524B1A"/>
    <w:rsid w:val="4E526764"/>
    <w:rsid w:val="4E533778"/>
    <w:rsid w:val="4E546D23"/>
    <w:rsid w:val="4E54E2FC"/>
    <w:rsid w:val="4E57D8E7"/>
    <w:rsid w:val="4E594138"/>
    <w:rsid w:val="4E5BAA00"/>
    <w:rsid w:val="4E5C6FEE"/>
    <w:rsid w:val="4E5DAB91"/>
    <w:rsid w:val="4E6342CE"/>
    <w:rsid w:val="4E640D9F"/>
    <w:rsid w:val="4E64B4F2"/>
    <w:rsid w:val="4E64DBB4"/>
    <w:rsid w:val="4E68E2FF"/>
    <w:rsid w:val="4E68F4A0"/>
    <w:rsid w:val="4E690029"/>
    <w:rsid w:val="4E69AD4F"/>
    <w:rsid w:val="4E6A1FD0"/>
    <w:rsid w:val="4E6BC97C"/>
    <w:rsid w:val="4E6DB6B0"/>
    <w:rsid w:val="4E6DF7B7"/>
    <w:rsid w:val="4E6E98FD"/>
    <w:rsid w:val="4E6F71E3"/>
    <w:rsid w:val="4E71CE8E"/>
    <w:rsid w:val="4E736D6A"/>
    <w:rsid w:val="4E778F29"/>
    <w:rsid w:val="4E77EE80"/>
    <w:rsid w:val="4E79F131"/>
    <w:rsid w:val="4E7ABCFA"/>
    <w:rsid w:val="4E7AE86F"/>
    <w:rsid w:val="4E7B83A4"/>
    <w:rsid w:val="4E7C5986"/>
    <w:rsid w:val="4E7E764D"/>
    <w:rsid w:val="4E819001"/>
    <w:rsid w:val="4E822C4D"/>
    <w:rsid w:val="4E82D007"/>
    <w:rsid w:val="4E833EE5"/>
    <w:rsid w:val="4E838500"/>
    <w:rsid w:val="4E86A09B"/>
    <w:rsid w:val="4E8825F0"/>
    <w:rsid w:val="4E8882B1"/>
    <w:rsid w:val="4E898D88"/>
    <w:rsid w:val="4E8A5EF7"/>
    <w:rsid w:val="4E8EE277"/>
    <w:rsid w:val="4E8FB484"/>
    <w:rsid w:val="4E92F162"/>
    <w:rsid w:val="4E9521B2"/>
    <w:rsid w:val="4E99F6A1"/>
    <w:rsid w:val="4E99FAA9"/>
    <w:rsid w:val="4E9B973E"/>
    <w:rsid w:val="4E9C6298"/>
    <w:rsid w:val="4E9E12F1"/>
    <w:rsid w:val="4E9EAB45"/>
    <w:rsid w:val="4EA0FC7B"/>
    <w:rsid w:val="4EA2C7FB"/>
    <w:rsid w:val="4EA3345B"/>
    <w:rsid w:val="4EA3F84C"/>
    <w:rsid w:val="4EA56CD3"/>
    <w:rsid w:val="4EA5C4B2"/>
    <w:rsid w:val="4EA618BD"/>
    <w:rsid w:val="4EA89ECB"/>
    <w:rsid w:val="4EA9904E"/>
    <w:rsid w:val="4EA9ECA4"/>
    <w:rsid w:val="4EACD1B1"/>
    <w:rsid w:val="4EAD86CB"/>
    <w:rsid w:val="4EAD938A"/>
    <w:rsid w:val="4EAF3248"/>
    <w:rsid w:val="4EAF3C7A"/>
    <w:rsid w:val="4EB0F3CA"/>
    <w:rsid w:val="4EB281E9"/>
    <w:rsid w:val="4EB2B7BB"/>
    <w:rsid w:val="4EB43846"/>
    <w:rsid w:val="4EB669CA"/>
    <w:rsid w:val="4EB9E743"/>
    <w:rsid w:val="4EBC1DA2"/>
    <w:rsid w:val="4EBE9058"/>
    <w:rsid w:val="4EC05742"/>
    <w:rsid w:val="4EC15118"/>
    <w:rsid w:val="4EC5922B"/>
    <w:rsid w:val="4EC869F7"/>
    <w:rsid w:val="4ECF850B"/>
    <w:rsid w:val="4ECFC216"/>
    <w:rsid w:val="4ECFD0A1"/>
    <w:rsid w:val="4ED10880"/>
    <w:rsid w:val="4ED117A6"/>
    <w:rsid w:val="4ED2871E"/>
    <w:rsid w:val="4ED34271"/>
    <w:rsid w:val="4ED6DE26"/>
    <w:rsid w:val="4ED8025F"/>
    <w:rsid w:val="4EDBD3A9"/>
    <w:rsid w:val="4EDC7ADE"/>
    <w:rsid w:val="4EDC8EA6"/>
    <w:rsid w:val="4EDD0F7A"/>
    <w:rsid w:val="4EE24397"/>
    <w:rsid w:val="4EE2D10E"/>
    <w:rsid w:val="4EE3814D"/>
    <w:rsid w:val="4EE73D01"/>
    <w:rsid w:val="4EE80EC1"/>
    <w:rsid w:val="4EED2EA6"/>
    <w:rsid w:val="4EEE8CED"/>
    <w:rsid w:val="4EF103A3"/>
    <w:rsid w:val="4EF146FE"/>
    <w:rsid w:val="4EF2DA47"/>
    <w:rsid w:val="4EF37F46"/>
    <w:rsid w:val="4EF3B2CA"/>
    <w:rsid w:val="4EF456F7"/>
    <w:rsid w:val="4EF5FBD1"/>
    <w:rsid w:val="4EF6BB41"/>
    <w:rsid w:val="4EF7C5EE"/>
    <w:rsid w:val="4EFABEF6"/>
    <w:rsid w:val="4EFB9E06"/>
    <w:rsid w:val="4EFBF499"/>
    <w:rsid w:val="4EFDCF61"/>
    <w:rsid w:val="4F01117B"/>
    <w:rsid w:val="4F03AC44"/>
    <w:rsid w:val="4F067FDC"/>
    <w:rsid w:val="4F06D129"/>
    <w:rsid w:val="4F06EB2F"/>
    <w:rsid w:val="4F0768C2"/>
    <w:rsid w:val="4F0A0FF4"/>
    <w:rsid w:val="4F0B4D88"/>
    <w:rsid w:val="4F0B7E96"/>
    <w:rsid w:val="4F0C1342"/>
    <w:rsid w:val="4F10206E"/>
    <w:rsid w:val="4F1138EE"/>
    <w:rsid w:val="4F140CA2"/>
    <w:rsid w:val="4F193836"/>
    <w:rsid w:val="4F1B5544"/>
    <w:rsid w:val="4F1F0FA2"/>
    <w:rsid w:val="4F1F7418"/>
    <w:rsid w:val="4F1FC597"/>
    <w:rsid w:val="4F2089CC"/>
    <w:rsid w:val="4F240603"/>
    <w:rsid w:val="4F24BA68"/>
    <w:rsid w:val="4F250A20"/>
    <w:rsid w:val="4F251A61"/>
    <w:rsid w:val="4F254309"/>
    <w:rsid w:val="4F26295B"/>
    <w:rsid w:val="4F26E570"/>
    <w:rsid w:val="4F276B73"/>
    <w:rsid w:val="4F2922B6"/>
    <w:rsid w:val="4F2C27BE"/>
    <w:rsid w:val="4F2DB159"/>
    <w:rsid w:val="4F2EA414"/>
    <w:rsid w:val="4F2F039B"/>
    <w:rsid w:val="4F2F1C01"/>
    <w:rsid w:val="4F3004F9"/>
    <w:rsid w:val="4F309D86"/>
    <w:rsid w:val="4F30A1FA"/>
    <w:rsid w:val="4F32F6E5"/>
    <w:rsid w:val="4F332413"/>
    <w:rsid w:val="4F3339B7"/>
    <w:rsid w:val="4F34B3C8"/>
    <w:rsid w:val="4F3525B1"/>
    <w:rsid w:val="4F36EA0C"/>
    <w:rsid w:val="4F390E1B"/>
    <w:rsid w:val="4F398D80"/>
    <w:rsid w:val="4F3A46F6"/>
    <w:rsid w:val="4F3FB8F9"/>
    <w:rsid w:val="4F408595"/>
    <w:rsid w:val="4F44E9B8"/>
    <w:rsid w:val="4F4705D3"/>
    <w:rsid w:val="4F473821"/>
    <w:rsid w:val="4F4AFB1A"/>
    <w:rsid w:val="4F4B4545"/>
    <w:rsid w:val="4F4BD8B6"/>
    <w:rsid w:val="4F4CBC68"/>
    <w:rsid w:val="4F4DE6E5"/>
    <w:rsid w:val="4F4E19D1"/>
    <w:rsid w:val="4F4FE521"/>
    <w:rsid w:val="4F5038C6"/>
    <w:rsid w:val="4F507C5C"/>
    <w:rsid w:val="4F51EB4B"/>
    <w:rsid w:val="4F53514F"/>
    <w:rsid w:val="4F5426B4"/>
    <w:rsid w:val="4F5461E9"/>
    <w:rsid w:val="4F5882D7"/>
    <w:rsid w:val="4F5E180A"/>
    <w:rsid w:val="4F5F2D23"/>
    <w:rsid w:val="4F611CB3"/>
    <w:rsid w:val="4F62B891"/>
    <w:rsid w:val="4F6476D3"/>
    <w:rsid w:val="4F657E1D"/>
    <w:rsid w:val="4F679750"/>
    <w:rsid w:val="4F693723"/>
    <w:rsid w:val="4F6AEFDA"/>
    <w:rsid w:val="4F6E423E"/>
    <w:rsid w:val="4F6E49CD"/>
    <w:rsid w:val="4F7164C7"/>
    <w:rsid w:val="4F72864B"/>
    <w:rsid w:val="4F73714B"/>
    <w:rsid w:val="4F73BE65"/>
    <w:rsid w:val="4F7BBCE9"/>
    <w:rsid w:val="4F7EA4B6"/>
    <w:rsid w:val="4F7F1943"/>
    <w:rsid w:val="4F7FCF00"/>
    <w:rsid w:val="4F80B504"/>
    <w:rsid w:val="4F81D22F"/>
    <w:rsid w:val="4F823337"/>
    <w:rsid w:val="4F862A94"/>
    <w:rsid w:val="4F86DAB0"/>
    <w:rsid w:val="4F87DAAB"/>
    <w:rsid w:val="4F87E1D3"/>
    <w:rsid w:val="4F88A9B7"/>
    <w:rsid w:val="4F8AAD7F"/>
    <w:rsid w:val="4F8CE41B"/>
    <w:rsid w:val="4F8EC65D"/>
    <w:rsid w:val="4F90F38D"/>
    <w:rsid w:val="4F913FFE"/>
    <w:rsid w:val="4F91FA8F"/>
    <w:rsid w:val="4F968847"/>
    <w:rsid w:val="4F96D471"/>
    <w:rsid w:val="4F97CB61"/>
    <w:rsid w:val="4F98C95F"/>
    <w:rsid w:val="4F9CC416"/>
    <w:rsid w:val="4F9F576B"/>
    <w:rsid w:val="4FA05FB9"/>
    <w:rsid w:val="4FA09F4B"/>
    <w:rsid w:val="4FA552AE"/>
    <w:rsid w:val="4FA6F2C5"/>
    <w:rsid w:val="4FA817D4"/>
    <w:rsid w:val="4FA8E2F8"/>
    <w:rsid w:val="4FA9D847"/>
    <w:rsid w:val="4FAA173C"/>
    <w:rsid w:val="4FAAD0F4"/>
    <w:rsid w:val="4FAC1EEF"/>
    <w:rsid w:val="4FAE1AE7"/>
    <w:rsid w:val="4FAF9F67"/>
    <w:rsid w:val="4FAFD0BC"/>
    <w:rsid w:val="4FB00E7C"/>
    <w:rsid w:val="4FB081A7"/>
    <w:rsid w:val="4FB08798"/>
    <w:rsid w:val="4FB146AF"/>
    <w:rsid w:val="4FB1DB19"/>
    <w:rsid w:val="4FB46F75"/>
    <w:rsid w:val="4FB7BAC1"/>
    <w:rsid w:val="4FB94B5B"/>
    <w:rsid w:val="4FBA8E47"/>
    <w:rsid w:val="4FBBB660"/>
    <w:rsid w:val="4FBF27DD"/>
    <w:rsid w:val="4FBF3FDE"/>
    <w:rsid w:val="4FC3FB33"/>
    <w:rsid w:val="4FC68F2A"/>
    <w:rsid w:val="4FC9B575"/>
    <w:rsid w:val="4FCA616B"/>
    <w:rsid w:val="4FD20CD4"/>
    <w:rsid w:val="4FD2152F"/>
    <w:rsid w:val="4FD35FF6"/>
    <w:rsid w:val="4FD4B23D"/>
    <w:rsid w:val="4FD6C447"/>
    <w:rsid w:val="4FD6FD91"/>
    <w:rsid w:val="4FD8A5DC"/>
    <w:rsid w:val="4FDC8144"/>
    <w:rsid w:val="4FDD8D6C"/>
    <w:rsid w:val="4FDE938F"/>
    <w:rsid w:val="4FE0DED3"/>
    <w:rsid w:val="4FE1F8FF"/>
    <w:rsid w:val="4FE24DA2"/>
    <w:rsid w:val="4FE26ED4"/>
    <w:rsid w:val="4FE5F7B8"/>
    <w:rsid w:val="4FE7546F"/>
    <w:rsid w:val="4FE76B98"/>
    <w:rsid w:val="4FE7A532"/>
    <w:rsid w:val="4FE7B71E"/>
    <w:rsid w:val="4FE95C3D"/>
    <w:rsid w:val="4FE98EE5"/>
    <w:rsid w:val="4FED1975"/>
    <w:rsid w:val="4FED1BF4"/>
    <w:rsid w:val="4FED92DB"/>
    <w:rsid w:val="4FEDB01B"/>
    <w:rsid w:val="4FEDB3FA"/>
    <w:rsid w:val="4FF2925F"/>
    <w:rsid w:val="4FF2E4C4"/>
    <w:rsid w:val="4FF34CF6"/>
    <w:rsid w:val="4FF5F129"/>
    <w:rsid w:val="4FF865E7"/>
    <w:rsid w:val="4FF956A8"/>
    <w:rsid w:val="4FF97BE5"/>
    <w:rsid w:val="4FF99796"/>
    <w:rsid w:val="4FFA2428"/>
    <w:rsid w:val="4FFABD09"/>
    <w:rsid w:val="4FFB299C"/>
    <w:rsid w:val="4FFB925A"/>
    <w:rsid w:val="4FFC090F"/>
    <w:rsid w:val="4FFEA64F"/>
    <w:rsid w:val="4FFEA776"/>
    <w:rsid w:val="4FFF3DE0"/>
    <w:rsid w:val="4FFFBA27"/>
    <w:rsid w:val="50009A62"/>
    <w:rsid w:val="50015C67"/>
    <w:rsid w:val="50030A2A"/>
    <w:rsid w:val="50056043"/>
    <w:rsid w:val="50056877"/>
    <w:rsid w:val="5005C45B"/>
    <w:rsid w:val="5009E7CF"/>
    <w:rsid w:val="500A9FE8"/>
    <w:rsid w:val="500ADF06"/>
    <w:rsid w:val="500C5037"/>
    <w:rsid w:val="500D00D8"/>
    <w:rsid w:val="500D9C4E"/>
    <w:rsid w:val="500EF2CE"/>
    <w:rsid w:val="500EFEC0"/>
    <w:rsid w:val="5010A05A"/>
    <w:rsid w:val="50110B8B"/>
    <w:rsid w:val="5011936A"/>
    <w:rsid w:val="5012B899"/>
    <w:rsid w:val="5014BC57"/>
    <w:rsid w:val="50168922"/>
    <w:rsid w:val="5017EA95"/>
    <w:rsid w:val="501A5967"/>
    <w:rsid w:val="501A8A46"/>
    <w:rsid w:val="501AEEB7"/>
    <w:rsid w:val="501B153B"/>
    <w:rsid w:val="5020DE74"/>
    <w:rsid w:val="5022E992"/>
    <w:rsid w:val="50230113"/>
    <w:rsid w:val="5023D8F0"/>
    <w:rsid w:val="50248038"/>
    <w:rsid w:val="50250D91"/>
    <w:rsid w:val="50267616"/>
    <w:rsid w:val="50294C02"/>
    <w:rsid w:val="50295452"/>
    <w:rsid w:val="502D3097"/>
    <w:rsid w:val="5031818D"/>
    <w:rsid w:val="50327AFC"/>
    <w:rsid w:val="5033AF19"/>
    <w:rsid w:val="50348F85"/>
    <w:rsid w:val="503626B2"/>
    <w:rsid w:val="503A9EBF"/>
    <w:rsid w:val="503ABACD"/>
    <w:rsid w:val="503C76F1"/>
    <w:rsid w:val="503ECC04"/>
    <w:rsid w:val="5040193C"/>
    <w:rsid w:val="50424EB2"/>
    <w:rsid w:val="504ABB54"/>
    <w:rsid w:val="504B20EA"/>
    <w:rsid w:val="504B97A3"/>
    <w:rsid w:val="504E20E0"/>
    <w:rsid w:val="504F587D"/>
    <w:rsid w:val="5051084D"/>
    <w:rsid w:val="50546006"/>
    <w:rsid w:val="50564A3A"/>
    <w:rsid w:val="50580ED6"/>
    <w:rsid w:val="5059C146"/>
    <w:rsid w:val="505A6A7A"/>
    <w:rsid w:val="505D20CB"/>
    <w:rsid w:val="505EAE4E"/>
    <w:rsid w:val="505FC821"/>
    <w:rsid w:val="5061BF88"/>
    <w:rsid w:val="50628BA8"/>
    <w:rsid w:val="5066AA8D"/>
    <w:rsid w:val="50682EBE"/>
    <w:rsid w:val="506952AA"/>
    <w:rsid w:val="50695A81"/>
    <w:rsid w:val="506A1218"/>
    <w:rsid w:val="506CC0C0"/>
    <w:rsid w:val="506D840B"/>
    <w:rsid w:val="506FAE00"/>
    <w:rsid w:val="5070D5DD"/>
    <w:rsid w:val="5072D60C"/>
    <w:rsid w:val="507454CD"/>
    <w:rsid w:val="50749331"/>
    <w:rsid w:val="50765014"/>
    <w:rsid w:val="50777CBF"/>
    <w:rsid w:val="5077DBEA"/>
    <w:rsid w:val="507920DD"/>
    <w:rsid w:val="507ED57A"/>
    <w:rsid w:val="50812A1C"/>
    <w:rsid w:val="5081F00C"/>
    <w:rsid w:val="50826E63"/>
    <w:rsid w:val="5082724F"/>
    <w:rsid w:val="50849958"/>
    <w:rsid w:val="5084C57A"/>
    <w:rsid w:val="5085558C"/>
    <w:rsid w:val="5085A03E"/>
    <w:rsid w:val="5087749A"/>
    <w:rsid w:val="5087F68F"/>
    <w:rsid w:val="5088CC1C"/>
    <w:rsid w:val="5089076B"/>
    <w:rsid w:val="508ABBC2"/>
    <w:rsid w:val="508C284C"/>
    <w:rsid w:val="508C5FD9"/>
    <w:rsid w:val="508D75FC"/>
    <w:rsid w:val="508DAE7E"/>
    <w:rsid w:val="509028C7"/>
    <w:rsid w:val="5090A449"/>
    <w:rsid w:val="5091B26D"/>
    <w:rsid w:val="5091F932"/>
    <w:rsid w:val="5092440B"/>
    <w:rsid w:val="50930FFD"/>
    <w:rsid w:val="5096CA37"/>
    <w:rsid w:val="509A1848"/>
    <w:rsid w:val="509AF814"/>
    <w:rsid w:val="509C4E15"/>
    <w:rsid w:val="509EE5C2"/>
    <w:rsid w:val="50A0BCD7"/>
    <w:rsid w:val="50A25C98"/>
    <w:rsid w:val="50A25CF5"/>
    <w:rsid w:val="50A4AD4A"/>
    <w:rsid w:val="50A4DA40"/>
    <w:rsid w:val="50A52E9C"/>
    <w:rsid w:val="50A59714"/>
    <w:rsid w:val="50A7228A"/>
    <w:rsid w:val="50A741D1"/>
    <w:rsid w:val="50A928C9"/>
    <w:rsid w:val="50AB5768"/>
    <w:rsid w:val="50AF1AFB"/>
    <w:rsid w:val="50B073C7"/>
    <w:rsid w:val="50B2AD8A"/>
    <w:rsid w:val="50B2DDE9"/>
    <w:rsid w:val="50B39619"/>
    <w:rsid w:val="50B69C86"/>
    <w:rsid w:val="50B74F43"/>
    <w:rsid w:val="50B770D9"/>
    <w:rsid w:val="50B85774"/>
    <w:rsid w:val="50B8A1A5"/>
    <w:rsid w:val="50BAC892"/>
    <w:rsid w:val="50BC0525"/>
    <w:rsid w:val="50BCF2B9"/>
    <w:rsid w:val="50BE4E67"/>
    <w:rsid w:val="50BEFC4C"/>
    <w:rsid w:val="50C03144"/>
    <w:rsid w:val="50C48051"/>
    <w:rsid w:val="50C90FD8"/>
    <w:rsid w:val="50CCB45A"/>
    <w:rsid w:val="50CDAE8B"/>
    <w:rsid w:val="50D0F56E"/>
    <w:rsid w:val="50D44596"/>
    <w:rsid w:val="50D6E037"/>
    <w:rsid w:val="50D6F040"/>
    <w:rsid w:val="50D85DBE"/>
    <w:rsid w:val="50DCBDB9"/>
    <w:rsid w:val="50DD9CAA"/>
    <w:rsid w:val="50DF0986"/>
    <w:rsid w:val="50E05DDE"/>
    <w:rsid w:val="50E0885C"/>
    <w:rsid w:val="50E0F1DB"/>
    <w:rsid w:val="50E396FA"/>
    <w:rsid w:val="50E39D83"/>
    <w:rsid w:val="50E4E57E"/>
    <w:rsid w:val="50E4ED1A"/>
    <w:rsid w:val="50E5EFFD"/>
    <w:rsid w:val="50E8D335"/>
    <w:rsid w:val="50EB0AE0"/>
    <w:rsid w:val="50EB1703"/>
    <w:rsid w:val="50ED7727"/>
    <w:rsid w:val="50F024F3"/>
    <w:rsid w:val="50F1E71C"/>
    <w:rsid w:val="50F2D6E8"/>
    <w:rsid w:val="50F3AEC2"/>
    <w:rsid w:val="50F5E9AA"/>
    <w:rsid w:val="50F7AD68"/>
    <w:rsid w:val="50F94B11"/>
    <w:rsid w:val="50FB951C"/>
    <w:rsid w:val="50FDDF69"/>
    <w:rsid w:val="50FE616D"/>
    <w:rsid w:val="51000860"/>
    <w:rsid w:val="51012391"/>
    <w:rsid w:val="5102E9AD"/>
    <w:rsid w:val="51030C04"/>
    <w:rsid w:val="5104788E"/>
    <w:rsid w:val="5106AC31"/>
    <w:rsid w:val="5108F141"/>
    <w:rsid w:val="510A0EA3"/>
    <w:rsid w:val="510BD630"/>
    <w:rsid w:val="510EDF3A"/>
    <w:rsid w:val="5112427A"/>
    <w:rsid w:val="51145A0D"/>
    <w:rsid w:val="5118E2FD"/>
    <w:rsid w:val="51192D6A"/>
    <w:rsid w:val="511A699E"/>
    <w:rsid w:val="511C6E7D"/>
    <w:rsid w:val="511D6389"/>
    <w:rsid w:val="511DEDC4"/>
    <w:rsid w:val="511E6F30"/>
    <w:rsid w:val="511F8E54"/>
    <w:rsid w:val="511FFCDA"/>
    <w:rsid w:val="5120F77F"/>
    <w:rsid w:val="512167F0"/>
    <w:rsid w:val="512333B5"/>
    <w:rsid w:val="5126ED55"/>
    <w:rsid w:val="512ABE55"/>
    <w:rsid w:val="512BE914"/>
    <w:rsid w:val="512CA4D2"/>
    <w:rsid w:val="512DADD2"/>
    <w:rsid w:val="5132EB79"/>
    <w:rsid w:val="51346A9C"/>
    <w:rsid w:val="5136F12C"/>
    <w:rsid w:val="5138BA6E"/>
    <w:rsid w:val="513C2C3E"/>
    <w:rsid w:val="513C79F0"/>
    <w:rsid w:val="513CD315"/>
    <w:rsid w:val="514505CA"/>
    <w:rsid w:val="5145BF98"/>
    <w:rsid w:val="5148508B"/>
    <w:rsid w:val="514915F0"/>
    <w:rsid w:val="514AB3E7"/>
    <w:rsid w:val="514B3789"/>
    <w:rsid w:val="514B8EE0"/>
    <w:rsid w:val="514BF98A"/>
    <w:rsid w:val="514FC7D1"/>
    <w:rsid w:val="515099A9"/>
    <w:rsid w:val="5150BD2A"/>
    <w:rsid w:val="5151173D"/>
    <w:rsid w:val="51531457"/>
    <w:rsid w:val="515464FB"/>
    <w:rsid w:val="5154CD0E"/>
    <w:rsid w:val="5157A90F"/>
    <w:rsid w:val="51598E8B"/>
    <w:rsid w:val="515C30B8"/>
    <w:rsid w:val="515CFCED"/>
    <w:rsid w:val="515D32C8"/>
    <w:rsid w:val="515EEA44"/>
    <w:rsid w:val="5162673E"/>
    <w:rsid w:val="5162A943"/>
    <w:rsid w:val="51631D35"/>
    <w:rsid w:val="516454BF"/>
    <w:rsid w:val="5164E286"/>
    <w:rsid w:val="51692777"/>
    <w:rsid w:val="5169703A"/>
    <w:rsid w:val="516A5DFF"/>
    <w:rsid w:val="516B50E4"/>
    <w:rsid w:val="516DB50E"/>
    <w:rsid w:val="5171DEF1"/>
    <w:rsid w:val="51741680"/>
    <w:rsid w:val="51744438"/>
    <w:rsid w:val="517657D4"/>
    <w:rsid w:val="5176841C"/>
    <w:rsid w:val="517A3EC1"/>
    <w:rsid w:val="517ABB81"/>
    <w:rsid w:val="517C6677"/>
    <w:rsid w:val="517ECD63"/>
    <w:rsid w:val="517F4FCB"/>
    <w:rsid w:val="518078A6"/>
    <w:rsid w:val="51821E3C"/>
    <w:rsid w:val="51827709"/>
    <w:rsid w:val="5183DF8E"/>
    <w:rsid w:val="5183F4BC"/>
    <w:rsid w:val="5184CB40"/>
    <w:rsid w:val="5185324C"/>
    <w:rsid w:val="5187E96C"/>
    <w:rsid w:val="5187FA31"/>
    <w:rsid w:val="518B1B23"/>
    <w:rsid w:val="518DA8F2"/>
    <w:rsid w:val="518E761A"/>
    <w:rsid w:val="519203CE"/>
    <w:rsid w:val="5192CF23"/>
    <w:rsid w:val="51947620"/>
    <w:rsid w:val="519673D2"/>
    <w:rsid w:val="519712B4"/>
    <w:rsid w:val="51994135"/>
    <w:rsid w:val="5199827C"/>
    <w:rsid w:val="5199D2C4"/>
    <w:rsid w:val="519A2719"/>
    <w:rsid w:val="519A86EA"/>
    <w:rsid w:val="519BE7F9"/>
    <w:rsid w:val="519BF605"/>
    <w:rsid w:val="519CE361"/>
    <w:rsid w:val="51A1B949"/>
    <w:rsid w:val="51A296BB"/>
    <w:rsid w:val="51A34262"/>
    <w:rsid w:val="51A49744"/>
    <w:rsid w:val="51AA0139"/>
    <w:rsid w:val="51AABAFF"/>
    <w:rsid w:val="51AC6A46"/>
    <w:rsid w:val="51ACEC55"/>
    <w:rsid w:val="51B00C20"/>
    <w:rsid w:val="51B1D12F"/>
    <w:rsid w:val="51B6B1D0"/>
    <w:rsid w:val="51B704D1"/>
    <w:rsid w:val="51B745E6"/>
    <w:rsid w:val="51B7EA0E"/>
    <w:rsid w:val="51B84AE8"/>
    <w:rsid w:val="51B94A02"/>
    <w:rsid w:val="51BAB306"/>
    <w:rsid w:val="51BB8D43"/>
    <w:rsid w:val="51BB9B08"/>
    <w:rsid w:val="51BBA154"/>
    <w:rsid w:val="51C0C8FB"/>
    <w:rsid w:val="51C159E1"/>
    <w:rsid w:val="51C4990F"/>
    <w:rsid w:val="51C563CB"/>
    <w:rsid w:val="51C897F5"/>
    <w:rsid w:val="51C8EBA9"/>
    <w:rsid w:val="51C9C265"/>
    <w:rsid w:val="51CC34C6"/>
    <w:rsid w:val="51CD6CB2"/>
    <w:rsid w:val="51CDBB16"/>
    <w:rsid w:val="51CE71D3"/>
    <w:rsid w:val="51D06773"/>
    <w:rsid w:val="51D40DC3"/>
    <w:rsid w:val="51D9FB35"/>
    <w:rsid w:val="51DAFD23"/>
    <w:rsid w:val="51DE9CAE"/>
    <w:rsid w:val="51DEF65F"/>
    <w:rsid w:val="51DF1B3D"/>
    <w:rsid w:val="51E03B1B"/>
    <w:rsid w:val="51E041AC"/>
    <w:rsid w:val="51E1FFBB"/>
    <w:rsid w:val="51E24535"/>
    <w:rsid w:val="51E6405A"/>
    <w:rsid w:val="51E682D8"/>
    <w:rsid w:val="51E91105"/>
    <w:rsid w:val="51EA9BC6"/>
    <w:rsid w:val="51EAEDE0"/>
    <w:rsid w:val="51EB2317"/>
    <w:rsid w:val="51EC3FB2"/>
    <w:rsid w:val="51EE6137"/>
    <w:rsid w:val="51EE94F3"/>
    <w:rsid w:val="51F15A38"/>
    <w:rsid w:val="51F15DC5"/>
    <w:rsid w:val="51F27761"/>
    <w:rsid w:val="51F53EEF"/>
    <w:rsid w:val="51F576EF"/>
    <w:rsid w:val="51F5CCD8"/>
    <w:rsid w:val="51F6C4D2"/>
    <w:rsid w:val="51F87865"/>
    <w:rsid w:val="51F9AC96"/>
    <w:rsid w:val="51FA1E9C"/>
    <w:rsid w:val="51FA499A"/>
    <w:rsid w:val="51FA705F"/>
    <w:rsid w:val="5200AB05"/>
    <w:rsid w:val="5200E899"/>
    <w:rsid w:val="52011454"/>
    <w:rsid w:val="5201E0BE"/>
    <w:rsid w:val="52037569"/>
    <w:rsid w:val="52062B11"/>
    <w:rsid w:val="520863FB"/>
    <w:rsid w:val="52093505"/>
    <w:rsid w:val="520A3BD6"/>
    <w:rsid w:val="520AF6F2"/>
    <w:rsid w:val="5211BA8A"/>
    <w:rsid w:val="5212332D"/>
    <w:rsid w:val="5212C9DD"/>
    <w:rsid w:val="5213A375"/>
    <w:rsid w:val="52150A89"/>
    <w:rsid w:val="52167F0F"/>
    <w:rsid w:val="5216B002"/>
    <w:rsid w:val="5217A306"/>
    <w:rsid w:val="521876FD"/>
    <w:rsid w:val="5218B592"/>
    <w:rsid w:val="521AEC5F"/>
    <w:rsid w:val="521C2592"/>
    <w:rsid w:val="521C70D8"/>
    <w:rsid w:val="521D3A83"/>
    <w:rsid w:val="521F0FE0"/>
    <w:rsid w:val="521F3CB7"/>
    <w:rsid w:val="5220809A"/>
    <w:rsid w:val="5220D681"/>
    <w:rsid w:val="522157A3"/>
    <w:rsid w:val="52281DF0"/>
    <w:rsid w:val="5228490E"/>
    <w:rsid w:val="5228D32C"/>
    <w:rsid w:val="522A4BF3"/>
    <w:rsid w:val="522B39C7"/>
    <w:rsid w:val="522FC021"/>
    <w:rsid w:val="522FD10B"/>
    <w:rsid w:val="52305B8B"/>
    <w:rsid w:val="523311E8"/>
    <w:rsid w:val="523472D0"/>
    <w:rsid w:val="5235BAE6"/>
    <w:rsid w:val="52367FC2"/>
    <w:rsid w:val="5236C318"/>
    <w:rsid w:val="52385645"/>
    <w:rsid w:val="523A0E19"/>
    <w:rsid w:val="523B5C1A"/>
    <w:rsid w:val="52412D36"/>
    <w:rsid w:val="5242777F"/>
    <w:rsid w:val="524284F0"/>
    <w:rsid w:val="5242BE8D"/>
    <w:rsid w:val="52433ACA"/>
    <w:rsid w:val="52443A71"/>
    <w:rsid w:val="5244FF89"/>
    <w:rsid w:val="52475F61"/>
    <w:rsid w:val="52478FBC"/>
    <w:rsid w:val="52479DC5"/>
    <w:rsid w:val="5249D041"/>
    <w:rsid w:val="524B0EA6"/>
    <w:rsid w:val="524D65EE"/>
    <w:rsid w:val="524E4EFC"/>
    <w:rsid w:val="524F4848"/>
    <w:rsid w:val="524F889C"/>
    <w:rsid w:val="524FD701"/>
    <w:rsid w:val="5252F7FE"/>
    <w:rsid w:val="5253714D"/>
    <w:rsid w:val="5255E9FC"/>
    <w:rsid w:val="5255ECB2"/>
    <w:rsid w:val="525744E9"/>
    <w:rsid w:val="5257DB1E"/>
    <w:rsid w:val="52583F2F"/>
    <w:rsid w:val="5260F4F1"/>
    <w:rsid w:val="52622DCC"/>
    <w:rsid w:val="5264F387"/>
    <w:rsid w:val="52650392"/>
    <w:rsid w:val="5265AA25"/>
    <w:rsid w:val="5265F74B"/>
    <w:rsid w:val="52675159"/>
    <w:rsid w:val="526D940E"/>
    <w:rsid w:val="52709DD1"/>
    <w:rsid w:val="52718B53"/>
    <w:rsid w:val="5271CFD9"/>
    <w:rsid w:val="5273446C"/>
    <w:rsid w:val="5273F406"/>
    <w:rsid w:val="52748593"/>
    <w:rsid w:val="5274CB80"/>
    <w:rsid w:val="5277A473"/>
    <w:rsid w:val="52781AEB"/>
    <w:rsid w:val="52789D2F"/>
    <w:rsid w:val="527957C8"/>
    <w:rsid w:val="5279A377"/>
    <w:rsid w:val="527AF52B"/>
    <w:rsid w:val="527B7ADF"/>
    <w:rsid w:val="527D6F6B"/>
    <w:rsid w:val="527D973A"/>
    <w:rsid w:val="527EE530"/>
    <w:rsid w:val="527F5F1E"/>
    <w:rsid w:val="52802A34"/>
    <w:rsid w:val="5281FD4D"/>
    <w:rsid w:val="52837654"/>
    <w:rsid w:val="5285F93B"/>
    <w:rsid w:val="52875DA9"/>
    <w:rsid w:val="52877C7F"/>
    <w:rsid w:val="52883D2A"/>
    <w:rsid w:val="528B2B17"/>
    <w:rsid w:val="528B70A8"/>
    <w:rsid w:val="528E1104"/>
    <w:rsid w:val="528E5D91"/>
    <w:rsid w:val="529028F7"/>
    <w:rsid w:val="529085F1"/>
    <w:rsid w:val="5290C8D5"/>
    <w:rsid w:val="5290E669"/>
    <w:rsid w:val="5295953E"/>
    <w:rsid w:val="52986363"/>
    <w:rsid w:val="5299B0E3"/>
    <w:rsid w:val="529A75A3"/>
    <w:rsid w:val="529CF232"/>
    <w:rsid w:val="529E678A"/>
    <w:rsid w:val="529EDF9E"/>
    <w:rsid w:val="52A00591"/>
    <w:rsid w:val="52A05602"/>
    <w:rsid w:val="52A05DFD"/>
    <w:rsid w:val="52A0C10F"/>
    <w:rsid w:val="52A0E892"/>
    <w:rsid w:val="52A0FE21"/>
    <w:rsid w:val="52A3B3FA"/>
    <w:rsid w:val="52A5163B"/>
    <w:rsid w:val="52A52E8B"/>
    <w:rsid w:val="52A7E9A6"/>
    <w:rsid w:val="52A81F93"/>
    <w:rsid w:val="52A919BF"/>
    <w:rsid w:val="52A9E40F"/>
    <w:rsid w:val="52A9EA06"/>
    <w:rsid w:val="52AAADED"/>
    <w:rsid w:val="52ADB48F"/>
    <w:rsid w:val="52B0B19E"/>
    <w:rsid w:val="52B0DB6C"/>
    <w:rsid w:val="52B22837"/>
    <w:rsid w:val="52B2FDC7"/>
    <w:rsid w:val="52B4334C"/>
    <w:rsid w:val="52B454AC"/>
    <w:rsid w:val="52B470F5"/>
    <w:rsid w:val="52B4CCB1"/>
    <w:rsid w:val="52B4D586"/>
    <w:rsid w:val="52B5CE01"/>
    <w:rsid w:val="52B5DE55"/>
    <w:rsid w:val="52B6F00B"/>
    <w:rsid w:val="52B758E9"/>
    <w:rsid w:val="52B7F8D6"/>
    <w:rsid w:val="52B896A6"/>
    <w:rsid w:val="52B9D857"/>
    <w:rsid w:val="52BB11CA"/>
    <w:rsid w:val="52BB9364"/>
    <w:rsid w:val="52BC494B"/>
    <w:rsid w:val="52BFB0A4"/>
    <w:rsid w:val="52C1D78E"/>
    <w:rsid w:val="52C2465F"/>
    <w:rsid w:val="52C31978"/>
    <w:rsid w:val="52C7B408"/>
    <w:rsid w:val="52C7EFB6"/>
    <w:rsid w:val="52CE1A4E"/>
    <w:rsid w:val="52CE2429"/>
    <w:rsid w:val="52D01982"/>
    <w:rsid w:val="52D06FFB"/>
    <w:rsid w:val="52D08432"/>
    <w:rsid w:val="52D0BEC3"/>
    <w:rsid w:val="52D0DFD8"/>
    <w:rsid w:val="52D1A5EB"/>
    <w:rsid w:val="52D253D1"/>
    <w:rsid w:val="52D2A789"/>
    <w:rsid w:val="52D2A9DD"/>
    <w:rsid w:val="52D3D7D4"/>
    <w:rsid w:val="52D702F0"/>
    <w:rsid w:val="52D75439"/>
    <w:rsid w:val="52D7BFF7"/>
    <w:rsid w:val="52D9F20A"/>
    <w:rsid w:val="52DE4ABE"/>
    <w:rsid w:val="52DF7A93"/>
    <w:rsid w:val="52E02B9E"/>
    <w:rsid w:val="52E10709"/>
    <w:rsid w:val="52E2DDC3"/>
    <w:rsid w:val="52E318A7"/>
    <w:rsid w:val="52E354E1"/>
    <w:rsid w:val="52E59761"/>
    <w:rsid w:val="52E64674"/>
    <w:rsid w:val="52E6C8A1"/>
    <w:rsid w:val="52E914D2"/>
    <w:rsid w:val="52EA1D96"/>
    <w:rsid w:val="52ECDC97"/>
    <w:rsid w:val="52EE0C37"/>
    <w:rsid w:val="52EE46E5"/>
    <w:rsid w:val="52EF6B71"/>
    <w:rsid w:val="52EFD48E"/>
    <w:rsid w:val="52F026E6"/>
    <w:rsid w:val="52F13907"/>
    <w:rsid w:val="52F2DDAE"/>
    <w:rsid w:val="52F7623D"/>
    <w:rsid w:val="52FA016F"/>
    <w:rsid w:val="52FA059C"/>
    <w:rsid w:val="52FA1DCF"/>
    <w:rsid w:val="52FA4803"/>
    <w:rsid w:val="52FB768B"/>
    <w:rsid w:val="52FC28B1"/>
    <w:rsid w:val="52FF8515"/>
    <w:rsid w:val="5300163B"/>
    <w:rsid w:val="53039EF6"/>
    <w:rsid w:val="53043DEE"/>
    <w:rsid w:val="5304D553"/>
    <w:rsid w:val="53064745"/>
    <w:rsid w:val="530A0916"/>
    <w:rsid w:val="530B9789"/>
    <w:rsid w:val="530BC9FB"/>
    <w:rsid w:val="530EC01D"/>
    <w:rsid w:val="53116A56"/>
    <w:rsid w:val="5312AB2F"/>
    <w:rsid w:val="531361C7"/>
    <w:rsid w:val="5315D3FA"/>
    <w:rsid w:val="53169943"/>
    <w:rsid w:val="53189B2B"/>
    <w:rsid w:val="531AF5E8"/>
    <w:rsid w:val="531C9439"/>
    <w:rsid w:val="5322B9DF"/>
    <w:rsid w:val="5324411C"/>
    <w:rsid w:val="532576EB"/>
    <w:rsid w:val="5326C34D"/>
    <w:rsid w:val="53272F0B"/>
    <w:rsid w:val="5327DF8C"/>
    <w:rsid w:val="53286989"/>
    <w:rsid w:val="5329780B"/>
    <w:rsid w:val="53299FA5"/>
    <w:rsid w:val="532CC85A"/>
    <w:rsid w:val="532D08D5"/>
    <w:rsid w:val="532FD591"/>
    <w:rsid w:val="5333105C"/>
    <w:rsid w:val="5334186D"/>
    <w:rsid w:val="5335B98E"/>
    <w:rsid w:val="53367174"/>
    <w:rsid w:val="53378F3B"/>
    <w:rsid w:val="533A2C50"/>
    <w:rsid w:val="533CBF53"/>
    <w:rsid w:val="533CC4CA"/>
    <w:rsid w:val="53402B64"/>
    <w:rsid w:val="5341038E"/>
    <w:rsid w:val="53410396"/>
    <w:rsid w:val="5345BAB1"/>
    <w:rsid w:val="5347F90A"/>
    <w:rsid w:val="534B69A5"/>
    <w:rsid w:val="534DA38D"/>
    <w:rsid w:val="534DBE1E"/>
    <w:rsid w:val="534EAB09"/>
    <w:rsid w:val="534FCBA7"/>
    <w:rsid w:val="5351412E"/>
    <w:rsid w:val="53538EDF"/>
    <w:rsid w:val="53554E0D"/>
    <w:rsid w:val="5357BBB5"/>
    <w:rsid w:val="5357ED8A"/>
    <w:rsid w:val="53599BEC"/>
    <w:rsid w:val="535CA9AB"/>
    <w:rsid w:val="535F5A2E"/>
    <w:rsid w:val="535FDC65"/>
    <w:rsid w:val="5361FA9E"/>
    <w:rsid w:val="5362E8A7"/>
    <w:rsid w:val="53631663"/>
    <w:rsid w:val="5363C32D"/>
    <w:rsid w:val="5364688A"/>
    <w:rsid w:val="53665239"/>
    <w:rsid w:val="5366DD2F"/>
    <w:rsid w:val="53674A53"/>
    <w:rsid w:val="5369D657"/>
    <w:rsid w:val="536BF116"/>
    <w:rsid w:val="536ED363"/>
    <w:rsid w:val="53731261"/>
    <w:rsid w:val="5373E1F0"/>
    <w:rsid w:val="53743026"/>
    <w:rsid w:val="5375AB49"/>
    <w:rsid w:val="537626A7"/>
    <w:rsid w:val="53766150"/>
    <w:rsid w:val="53790912"/>
    <w:rsid w:val="5379465D"/>
    <w:rsid w:val="537E727F"/>
    <w:rsid w:val="538062CD"/>
    <w:rsid w:val="5381518F"/>
    <w:rsid w:val="5383CB22"/>
    <w:rsid w:val="538686F3"/>
    <w:rsid w:val="53870B24"/>
    <w:rsid w:val="53878545"/>
    <w:rsid w:val="53882D4E"/>
    <w:rsid w:val="5388E008"/>
    <w:rsid w:val="538A396E"/>
    <w:rsid w:val="538C20F8"/>
    <w:rsid w:val="538CB2E5"/>
    <w:rsid w:val="538CC5B3"/>
    <w:rsid w:val="538D29E8"/>
    <w:rsid w:val="538E2A41"/>
    <w:rsid w:val="53917841"/>
    <w:rsid w:val="53939FDD"/>
    <w:rsid w:val="5395596E"/>
    <w:rsid w:val="539633BF"/>
    <w:rsid w:val="539CB850"/>
    <w:rsid w:val="539E923A"/>
    <w:rsid w:val="539F26BC"/>
    <w:rsid w:val="539F4360"/>
    <w:rsid w:val="53A2D609"/>
    <w:rsid w:val="53A2E36D"/>
    <w:rsid w:val="53A339BA"/>
    <w:rsid w:val="53A56F87"/>
    <w:rsid w:val="53A73E92"/>
    <w:rsid w:val="53A79D78"/>
    <w:rsid w:val="53AA5B7F"/>
    <w:rsid w:val="53AA877F"/>
    <w:rsid w:val="53ABF8EC"/>
    <w:rsid w:val="53ACB199"/>
    <w:rsid w:val="53AE8478"/>
    <w:rsid w:val="53AE9770"/>
    <w:rsid w:val="53B07F9D"/>
    <w:rsid w:val="53B135EA"/>
    <w:rsid w:val="53B1F811"/>
    <w:rsid w:val="53B27155"/>
    <w:rsid w:val="53B37205"/>
    <w:rsid w:val="53B65FD6"/>
    <w:rsid w:val="53B6F36E"/>
    <w:rsid w:val="53B9A6BB"/>
    <w:rsid w:val="53BBB097"/>
    <w:rsid w:val="53BC7314"/>
    <w:rsid w:val="53BC9242"/>
    <w:rsid w:val="53BCCBAE"/>
    <w:rsid w:val="53BE2069"/>
    <w:rsid w:val="53BE4F07"/>
    <w:rsid w:val="53BFA5BA"/>
    <w:rsid w:val="53C0A5B7"/>
    <w:rsid w:val="53C13CBB"/>
    <w:rsid w:val="53C15AF2"/>
    <w:rsid w:val="53C29EA9"/>
    <w:rsid w:val="53C40AA2"/>
    <w:rsid w:val="53C6A932"/>
    <w:rsid w:val="53C9BAC2"/>
    <w:rsid w:val="53CAA226"/>
    <w:rsid w:val="53CFB8AA"/>
    <w:rsid w:val="53D08160"/>
    <w:rsid w:val="53D09EC3"/>
    <w:rsid w:val="53D38C79"/>
    <w:rsid w:val="53D3D147"/>
    <w:rsid w:val="53D70939"/>
    <w:rsid w:val="53D845D2"/>
    <w:rsid w:val="53D87771"/>
    <w:rsid w:val="53D8F38E"/>
    <w:rsid w:val="53DAA95B"/>
    <w:rsid w:val="53DD5DAF"/>
    <w:rsid w:val="53DDA678"/>
    <w:rsid w:val="53E08088"/>
    <w:rsid w:val="53E087A3"/>
    <w:rsid w:val="53E2CC8F"/>
    <w:rsid w:val="53E525BA"/>
    <w:rsid w:val="53E6BD62"/>
    <w:rsid w:val="53E85D3D"/>
    <w:rsid w:val="53EA1B15"/>
    <w:rsid w:val="53EB0561"/>
    <w:rsid w:val="53EC59D9"/>
    <w:rsid w:val="53EC88CA"/>
    <w:rsid w:val="53ED016B"/>
    <w:rsid w:val="53EE9837"/>
    <w:rsid w:val="53EF44EB"/>
    <w:rsid w:val="53F018C9"/>
    <w:rsid w:val="53F468BF"/>
    <w:rsid w:val="53F8222D"/>
    <w:rsid w:val="53FAC215"/>
    <w:rsid w:val="53FC14D3"/>
    <w:rsid w:val="53FD9A90"/>
    <w:rsid w:val="53FDCBAA"/>
    <w:rsid w:val="540345E2"/>
    <w:rsid w:val="540459C6"/>
    <w:rsid w:val="5406547C"/>
    <w:rsid w:val="540ABF04"/>
    <w:rsid w:val="540BB390"/>
    <w:rsid w:val="540DB040"/>
    <w:rsid w:val="540ECBDD"/>
    <w:rsid w:val="540F3D64"/>
    <w:rsid w:val="540FF011"/>
    <w:rsid w:val="54106F39"/>
    <w:rsid w:val="5411F6FC"/>
    <w:rsid w:val="5414A022"/>
    <w:rsid w:val="5417D890"/>
    <w:rsid w:val="5418F69A"/>
    <w:rsid w:val="5419438D"/>
    <w:rsid w:val="54199C09"/>
    <w:rsid w:val="5419EA59"/>
    <w:rsid w:val="541A1D9E"/>
    <w:rsid w:val="541C1D00"/>
    <w:rsid w:val="541F08C6"/>
    <w:rsid w:val="541F1D47"/>
    <w:rsid w:val="542345EC"/>
    <w:rsid w:val="54266088"/>
    <w:rsid w:val="542857F5"/>
    <w:rsid w:val="542A88D5"/>
    <w:rsid w:val="542CC04D"/>
    <w:rsid w:val="54307D02"/>
    <w:rsid w:val="543118E0"/>
    <w:rsid w:val="5432EE0A"/>
    <w:rsid w:val="54341C13"/>
    <w:rsid w:val="5435AD41"/>
    <w:rsid w:val="5436A237"/>
    <w:rsid w:val="5437E0CB"/>
    <w:rsid w:val="54386D07"/>
    <w:rsid w:val="54394C3F"/>
    <w:rsid w:val="543EECC1"/>
    <w:rsid w:val="543F1CAF"/>
    <w:rsid w:val="543F9C3A"/>
    <w:rsid w:val="54414C5D"/>
    <w:rsid w:val="54415CA4"/>
    <w:rsid w:val="544298C1"/>
    <w:rsid w:val="54445BE8"/>
    <w:rsid w:val="5444D88C"/>
    <w:rsid w:val="5446BB81"/>
    <w:rsid w:val="54476E07"/>
    <w:rsid w:val="5447B4BF"/>
    <w:rsid w:val="5448F2E7"/>
    <w:rsid w:val="544ACE9E"/>
    <w:rsid w:val="544D54C8"/>
    <w:rsid w:val="544E149B"/>
    <w:rsid w:val="544E46A9"/>
    <w:rsid w:val="5450E939"/>
    <w:rsid w:val="545121EF"/>
    <w:rsid w:val="54577676"/>
    <w:rsid w:val="5458248D"/>
    <w:rsid w:val="54583696"/>
    <w:rsid w:val="5458BAE3"/>
    <w:rsid w:val="545A3810"/>
    <w:rsid w:val="545DE714"/>
    <w:rsid w:val="545EE432"/>
    <w:rsid w:val="5460E372"/>
    <w:rsid w:val="54647456"/>
    <w:rsid w:val="54667B82"/>
    <w:rsid w:val="546A0BA1"/>
    <w:rsid w:val="546B7212"/>
    <w:rsid w:val="546C37C4"/>
    <w:rsid w:val="546DAB1E"/>
    <w:rsid w:val="546DFA0E"/>
    <w:rsid w:val="547373B6"/>
    <w:rsid w:val="5476E9AA"/>
    <w:rsid w:val="547BBF54"/>
    <w:rsid w:val="547CCEBC"/>
    <w:rsid w:val="547DFAE0"/>
    <w:rsid w:val="547E4F67"/>
    <w:rsid w:val="547F9BC8"/>
    <w:rsid w:val="5483105F"/>
    <w:rsid w:val="5483AB82"/>
    <w:rsid w:val="548409FB"/>
    <w:rsid w:val="5485768B"/>
    <w:rsid w:val="54858E73"/>
    <w:rsid w:val="5486CC71"/>
    <w:rsid w:val="548A1120"/>
    <w:rsid w:val="548BC131"/>
    <w:rsid w:val="548C3BDA"/>
    <w:rsid w:val="548C9279"/>
    <w:rsid w:val="548D44F4"/>
    <w:rsid w:val="548F0482"/>
    <w:rsid w:val="5496BC7B"/>
    <w:rsid w:val="5496D3CE"/>
    <w:rsid w:val="5497AC61"/>
    <w:rsid w:val="549AF43C"/>
    <w:rsid w:val="549B6AA9"/>
    <w:rsid w:val="549BC232"/>
    <w:rsid w:val="549D06E9"/>
    <w:rsid w:val="549FA933"/>
    <w:rsid w:val="549FB081"/>
    <w:rsid w:val="54A0E68D"/>
    <w:rsid w:val="54A1456B"/>
    <w:rsid w:val="54A493B8"/>
    <w:rsid w:val="54A596F5"/>
    <w:rsid w:val="54A67223"/>
    <w:rsid w:val="54A86EC8"/>
    <w:rsid w:val="54A90597"/>
    <w:rsid w:val="54A99DC7"/>
    <w:rsid w:val="54AB2F10"/>
    <w:rsid w:val="54AB6118"/>
    <w:rsid w:val="54ABF946"/>
    <w:rsid w:val="54ABFD4F"/>
    <w:rsid w:val="54AC139E"/>
    <w:rsid w:val="54AE04A8"/>
    <w:rsid w:val="54B0CDAA"/>
    <w:rsid w:val="54B1E9F4"/>
    <w:rsid w:val="54B43DEC"/>
    <w:rsid w:val="54B8203A"/>
    <w:rsid w:val="54B82BEE"/>
    <w:rsid w:val="54BE11C4"/>
    <w:rsid w:val="54BEAEF4"/>
    <w:rsid w:val="54BFFFED"/>
    <w:rsid w:val="54C1AE77"/>
    <w:rsid w:val="54C1C79B"/>
    <w:rsid w:val="54C27D60"/>
    <w:rsid w:val="54CA8E40"/>
    <w:rsid w:val="54CFB15F"/>
    <w:rsid w:val="54D153FD"/>
    <w:rsid w:val="54D27B4C"/>
    <w:rsid w:val="54D5485E"/>
    <w:rsid w:val="54D60E5F"/>
    <w:rsid w:val="54D6C159"/>
    <w:rsid w:val="54D8F756"/>
    <w:rsid w:val="54DE30BF"/>
    <w:rsid w:val="54DE482D"/>
    <w:rsid w:val="54DEBF59"/>
    <w:rsid w:val="54DF52D9"/>
    <w:rsid w:val="54E0E58D"/>
    <w:rsid w:val="54E132B0"/>
    <w:rsid w:val="54E36BB4"/>
    <w:rsid w:val="54E643CA"/>
    <w:rsid w:val="54EE059C"/>
    <w:rsid w:val="54F36597"/>
    <w:rsid w:val="54F50F64"/>
    <w:rsid w:val="54F7AC51"/>
    <w:rsid w:val="54FB2091"/>
    <w:rsid w:val="54FC84F0"/>
    <w:rsid w:val="54FCAE20"/>
    <w:rsid w:val="55066221"/>
    <w:rsid w:val="5507ABA1"/>
    <w:rsid w:val="55087361"/>
    <w:rsid w:val="5509C261"/>
    <w:rsid w:val="550AFD53"/>
    <w:rsid w:val="550B2D7C"/>
    <w:rsid w:val="550DBB7B"/>
    <w:rsid w:val="550DDD35"/>
    <w:rsid w:val="550DF206"/>
    <w:rsid w:val="550E7108"/>
    <w:rsid w:val="55122E2A"/>
    <w:rsid w:val="55156021"/>
    <w:rsid w:val="551687C0"/>
    <w:rsid w:val="5517E10C"/>
    <w:rsid w:val="5517E632"/>
    <w:rsid w:val="55197ADB"/>
    <w:rsid w:val="551A2C25"/>
    <w:rsid w:val="551DF9C7"/>
    <w:rsid w:val="551EE4C6"/>
    <w:rsid w:val="5520D788"/>
    <w:rsid w:val="55210073"/>
    <w:rsid w:val="5521A2B0"/>
    <w:rsid w:val="552201D3"/>
    <w:rsid w:val="552799F5"/>
    <w:rsid w:val="5528B717"/>
    <w:rsid w:val="552ADF96"/>
    <w:rsid w:val="552B01E5"/>
    <w:rsid w:val="552D45D7"/>
    <w:rsid w:val="552DB9DC"/>
    <w:rsid w:val="552F6D63"/>
    <w:rsid w:val="5530FAD0"/>
    <w:rsid w:val="5531D12C"/>
    <w:rsid w:val="5532572A"/>
    <w:rsid w:val="5535CA4D"/>
    <w:rsid w:val="5537CB09"/>
    <w:rsid w:val="55397DF8"/>
    <w:rsid w:val="553CFD3A"/>
    <w:rsid w:val="553E9654"/>
    <w:rsid w:val="553EEAC7"/>
    <w:rsid w:val="553FF5AB"/>
    <w:rsid w:val="5540A2F6"/>
    <w:rsid w:val="55410903"/>
    <w:rsid w:val="55419B14"/>
    <w:rsid w:val="5543DEF7"/>
    <w:rsid w:val="5546449B"/>
    <w:rsid w:val="55491C67"/>
    <w:rsid w:val="55495722"/>
    <w:rsid w:val="5549A960"/>
    <w:rsid w:val="5549DD89"/>
    <w:rsid w:val="5552ED93"/>
    <w:rsid w:val="5556D528"/>
    <w:rsid w:val="555C57C6"/>
    <w:rsid w:val="555CCE7C"/>
    <w:rsid w:val="555CEC6D"/>
    <w:rsid w:val="555EBE78"/>
    <w:rsid w:val="555F7E99"/>
    <w:rsid w:val="55623664"/>
    <w:rsid w:val="5562CEFB"/>
    <w:rsid w:val="55658FA4"/>
    <w:rsid w:val="5565F369"/>
    <w:rsid w:val="5565F556"/>
    <w:rsid w:val="55674EE1"/>
    <w:rsid w:val="55676C5B"/>
    <w:rsid w:val="556BCCC9"/>
    <w:rsid w:val="556D1C20"/>
    <w:rsid w:val="556F0995"/>
    <w:rsid w:val="556F5F7A"/>
    <w:rsid w:val="55701DB5"/>
    <w:rsid w:val="55709906"/>
    <w:rsid w:val="5570AA60"/>
    <w:rsid w:val="5571DBAB"/>
    <w:rsid w:val="55728E35"/>
    <w:rsid w:val="5575DF7F"/>
    <w:rsid w:val="557C342E"/>
    <w:rsid w:val="557CEC58"/>
    <w:rsid w:val="557F6620"/>
    <w:rsid w:val="557F94C6"/>
    <w:rsid w:val="557FEB5A"/>
    <w:rsid w:val="55817383"/>
    <w:rsid w:val="55817B07"/>
    <w:rsid w:val="5581806B"/>
    <w:rsid w:val="5583CF6E"/>
    <w:rsid w:val="5588F45E"/>
    <w:rsid w:val="558A7E50"/>
    <w:rsid w:val="558C5FA4"/>
    <w:rsid w:val="558F6826"/>
    <w:rsid w:val="55916120"/>
    <w:rsid w:val="559170A0"/>
    <w:rsid w:val="5592CA5E"/>
    <w:rsid w:val="55936F4B"/>
    <w:rsid w:val="559454B8"/>
    <w:rsid w:val="5594F6B2"/>
    <w:rsid w:val="55953FCF"/>
    <w:rsid w:val="55955724"/>
    <w:rsid w:val="5596C985"/>
    <w:rsid w:val="559A34FA"/>
    <w:rsid w:val="559AE15B"/>
    <w:rsid w:val="559CBB08"/>
    <w:rsid w:val="559D609B"/>
    <w:rsid w:val="559DE024"/>
    <w:rsid w:val="55A0FE04"/>
    <w:rsid w:val="55A6688D"/>
    <w:rsid w:val="55A6A81E"/>
    <w:rsid w:val="55A8930E"/>
    <w:rsid w:val="55A96D1D"/>
    <w:rsid w:val="55AA556C"/>
    <w:rsid w:val="55AB05E5"/>
    <w:rsid w:val="55AB9BB1"/>
    <w:rsid w:val="55AC602C"/>
    <w:rsid w:val="55AE03F8"/>
    <w:rsid w:val="55AEA265"/>
    <w:rsid w:val="55AF26C4"/>
    <w:rsid w:val="55B1AD64"/>
    <w:rsid w:val="55B6B9ED"/>
    <w:rsid w:val="55B6F732"/>
    <w:rsid w:val="55B77EFB"/>
    <w:rsid w:val="55BB79CD"/>
    <w:rsid w:val="55BB854A"/>
    <w:rsid w:val="55BBB6EA"/>
    <w:rsid w:val="55BBC95C"/>
    <w:rsid w:val="55BBE3E1"/>
    <w:rsid w:val="55BC28CE"/>
    <w:rsid w:val="55BC776E"/>
    <w:rsid w:val="55BD2695"/>
    <w:rsid w:val="55BD3E59"/>
    <w:rsid w:val="55BE7DCC"/>
    <w:rsid w:val="55BF5982"/>
    <w:rsid w:val="55C2A7D5"/>
    <w:rsid w:val="55C6D9AD"/>
    <w:rsid w:val="55C7C6C0"/>
    <w:rsid w:val="55CB58EA"/>
    <w:rsid w:val="55CCDACE"/>
    <w:rsid w:val="55D024EB"/>
    <w:rsid w:val="55D15532"/>
    <w:rsid w:val="55D29281"/>
    <w:rsid w:val="55D415DC"/>
    <w:rsid w:val="55D4B34E"/>
    <w:rsid w:val="55D6261A"/>
    <w:rsid w:val="55D82FD0"/>
    <w:rsid w:val="55D9E912"/>
    <w:rsid w:val="55D9FB10"/>
    <w:rsid w:val="55DB1C70"/>
    <w:rsid w:val="55DD1579"/>
    <w:rsid w:val="55DE7A99"/>
    <w:rsid w:val="55DEA5ED"/>
    <w:rsid w:val="55E02B35"/>
    <w:rsid w:val="55E0E584"/>
    <w:rsid w:val="55E17EDE"/>
    <w:rsid w:val="55E319B4"/>
    <w:rsid w:val="55E34F21"/>
    <w:rsid w:val="55E5E2C8"/>
    <w:rsid w:val="55E8BFE2"/>
    <w:rsid w:val="55ED594C"/>
    <w:rsid w:val="55EDAA4C"/>
    <w:rsid w:val="55EDEF0A"/>
    <w:rsid w:val="55EDF164"/>
    <w:rsid w:val="55EDF513"/>
    <w:rsid w:val="55EEDBBE"/>
    <w:rsid w:val="55EF8B3E"/>
    <w:rsid w:val="55F040E6"/>
    <w:rsid w:val="55F1F7C3"/>
    <w:rsid w:val="55F6A77F"/>
    <w:rsid w:val="55F9EF57"/>
    <w:rsid w:val="55FAE18F"/>
    <w:rsid w:val="55FD008A"/>
    <w:rsid w:val="55FDB027"/>
    <w:rsid w:val="5600369D"/>
    <w:rsid w:val="5600671B"/>
    <w:rsid w:val="5601A596"/>
    <w:rsid w:val="56046A5B"/>
    <w:rsid w:val="5604D948"/>
    <w:rsid w:val="5609A0FC"/>
    <w:rsid w:val="5609E192"/>
    <w:rsid w:val="560B4E50"/>
    <w:rsid w:val="560BAA65"/>
    <w:rsid w:val="56118C52"/>
    <w:rsid w:val="56119AB7"/>
    <w:rsid w:val="5612583A"/>
    <w:rsid w:val="56132704"/>
    <w:rsid w:val="56138912"/>
    <w:rsid w:val="56143CE3"/>
    <w:rsid w:val="561623B7"/>
    <w:rsid w:val="56163936"/>
    <w:rsid w:val="561BBBE7"/>
    <w:rsid w:val="561CD44A"/>
    <w:rsid w:val="561EA491"/>
    <w:rsid w:val="561F34A2"/>
    <w:rsid w:val="5620D3C7"/>
    <w:rsid w:val="5621673A"/>
    <w:rsid w:val="5621DD4D"/>
    <w:rsid w:val="5622B69B"/>
    <w:rsid w:val="5622DF72"/>
    <w:rsid w:val="5626EDFD"/>
    <w:rsid w:val="5627A5EF"/>
    <w:rsid w:val="562807BD"/>
    <w:rsid w:val="562ADA0B"/>
    <w:rsid w:val="562CD4B4"/>
    <w:rsid w:val="562CDB94"/>
    <w:rsid w:val="563119D9"/>
    <w:rsid w:val="5631A746"/>
    <w:rsid w:val="56355F84"/>
    <w:rsid w:val="5636336A"/>
    <w:rsid w:val="56382A46"/>
    <w:rsid w:val="56389128"/>
    <w:rsid w:val="563A4D77"/>
    <w:rsid w:val="563ED930"/>
    <w:rsid w:val="56409FD1"/>
    <w:rsid w:val="564425EB"/>
    <w:rsid w:val="564ADA8F"/>
    <w:rsid w:val="564BAADF"/>
    <w:rsid w:val="564C04F5"/>
    <w:rsid w:val="564C845B"/>
    <w:rsid w:val="564D21E0"/>
    <w:rsid w:val="564D4629"/>
    <w:rsid w:val="564E7043"/>
    <w:rsid w:val="565215DF"/>
    <w:rsid w:val="5652FF44"/>
    <w:rsid w:val="565412F9"/>
    <w:rsid w:val="56550F00"/>
    <w:rsid w:val="5655B159"/>
    <w:rsid w:val="5656BD35"/>
    <w:rsid w:val="5658B020"/>
    <w:rsid w:val="565BB70E"/>
    <w:rsid w:val="565D7E19"/>
    <w:rsid w:val="565F32BC"/>
    <w:rsid w:val="56609038"/>
    <w:rsid w:val="566121E5"/>
    <w:rsid w:val="56619C5C"/>
    <w:rsid w:val="5663B99B"/>
    <w:rsid w:val="5668F4CC"/>
    <w:rsid w:val="56692CAD"/>
    <w:rsid w:val="566BFCEC"/>
    <w:rsid w:val="566D4C4B"/>
    <w:rsid w:val="566D6327"/>
    <w:rsid w:val="566F2229"/>
    <w:rsid w:val="56711685"/>
    <w:rsid w:val="5675BA8C"/>
    <w:rsid w:val="56761DE1"/>
    <w:rsid w:val="56766B09"/>
    <w:rsid w:val="5678F1B5"/>
    <w:rsid w:val="567C71CE"/>
    <w:rsid w:val="567CCEB7"/>
    <w:rsid w:val="567D10BE"/>
    <w:rsid w:val="567DF5A1"/>
    <w:rsid w:val="56847DC9"/>
    <w:rsid w:val="56858E00"/>
    <w:rsid w:val="5685C90D"/>
    <w:rsid w:val="5685F121"/>
    <w:rsid w:val="568714AA"/>
    <w:rsid w:val="5688CA53"/>
    <w:rsid w:val="568C9361"/>
    <w:rsid w:val="568F5C03"/>
    <w:rsid w:val="5690575D"/>
    <w:rsid w:val="56918F04"/>
    <w:rsid w:val="5691B0A4"/>
    <w:rsid w:val="56922FAD"/>
    <w:rsid w:val="5692C577"/>
    <w:rsid w:val="5692EB87"/>
    <w:rsid w:val="56930B0A"/>
    <w:rsid w:val="56953BCD"/>
    <w:rsid w:val="56962BBE"/>
    <w:rsid w:val="5698B05A"/>
    <w:rsid w:val="5698F201"/>
    <w:rsid w:val="5699C406"/>
    <w:rsid w:val="569CBA55"/>
    <w:rsid w:val="569CD8D1"/>
    <w:rsid w:val="569D3E81"/>
    <w:rsid w:val="569E1139"/>
    <w:rsid w:val="569E7F86"/>
    <w:rsid w:val="569FC6D3"/>
    <w:rsid w:val="56A126D2"/>
    <w:rsid w:val="56A2161F"/>
    <w:rsid w:val="56A3BFA4"/>
    <w:rsid w:val="56A4A1B8"/>
    <w:rsid w:val="56A76637"/>
    <w:rsid w:val="56AAB810"/>
    <w:rsid w:val="56AD066D"/>
    <w:rsid w:val="56AD6EC8"/>
    <w:rsid w:val="56AE5697"/>
    <w:rsid w:val="56BA7542"/>
    <w:rsid w:val="56BC91CF"/>
    <w:rsid w:val="56BCA740"/>
    <w:rsid w:val="56BD1926"/>
    <w:rsid w:val="56BD8D41"/>
    <w:rsid w:val="56BD9E53"/>
    <w:rsid w:val="56BF5E9B"/>
    <w:rsid w:val="56C0A262"/>
    <w:rsid w:val="56C2480B"/>
    <w:rsid w:val="56C2901C"/>
    <w:rsid w:val="56C511B8"/>
    <w:rsid w:val="56C5D32B"/>
    <w:rsid w:val="56C6D004"/>
    <w:rsid w:val="56C73239"/>
    <w:rsid w:val="56C91F07"/>
    <w:rsid w:val="56C94C11"/>
    <w:rsid w:val="56CB5482"/>
    <w:rsid w:val="56CB9053"/>
    <w:rsid w:val="56CBFD4F"/>
    <w:rsid w:val="56CC5025"/>
    <w:rsid w:val="56CD436A"/>
    <w:rsid w:val="56CDF95A"/>
    <w:rsid w:val="56CFF24F"/>
    <w:rsid w:val="56D23329"/>
    <w:rsid w:val="56D32F54"/>
    <w:rsid w:val="56D4DA82"/>
    <w:rsid w:val="56D9C55E"/>
    <w:rsid w:val="56DA1D78"/>
    <w:rsid w:val="56E008C6"/>
    <w:rsid w:val="56E0BA7E"/>
    <w:rsid w:val="56E386BF"/>
    <w:rsid w:val="56E3AB85"/>
    <w:rsid w:val="56E4256C"/>
    <w:rsid w:val="56E54B03"/>
    <w:rsid w:val="56E724F3"/>
    <w:rsid w:val="56E79A17"/>
    <w:rsid w:val="56E7EB9F"/>
    <w:rsid w:val="56E8B070"/>
    <w:rsid w:val="56EB2331"/>
    <w:rsid w:val="56EC6741"/>
    <w:rsid w:val="56EC8DAB"/>
    <w:rsid w:val="56EE7680"/>
    <w:rsid w:val="56F3F099"/>
    <w:rsid w:val="56F74135"/>
    <w:rsid w:val="56F8D009"/>
    <w:rsid w:val="56F988D7"/>
    <w:rsid w:val="56FB3FD6"/>
    <w:rsid w:val="56FC49FB"/>
    <w:rsid w:val="56FE75EC"/>
    <w:rsid w:val="56FFF957"/>
    <w:rsid w:val="57009723"/>
    <w:rsid w:val="57013708"/>
    <w:rsid w:val="5701DBF3"/>
    <w:rsid w:val="5702CF6A"/>
    <w:rsid w:val="57048293"/>
    <w:rsid w:val="5705710A"/>
    <w:rsid w:val="5705DBCD"/>
    <w:rsid w:val="57070886"/>
    <w:rsid w:val="57082707"/>
    <w:rsid w:val="5708AE41"/>
    <w:rsid w:val="5708F032"/>
    <w:rsid w:val="5709599F"/>
    <w:rsid w:val="570A1B5B"/>
    <w:rsid w:val="570B8BE8"/>
    <w:rsid w:val="570BD740"/>
    <w:rsid w:val="570D4C77"/>
    <w:rsid w:val="570DD5E4"/>
    <w:rsid w:val="57102D68"/>
    <w:rsid w:val="571168CA"/>
    <w:rsid w:val="57116D28"/>
    <w:rsid w:val="5711E5FC"/>
    <w:rsid w:val="5715B2BA"/>
    <w:rsid w:val="57161C66"/>
    <w:rsid w:val="5717B1F9"/>
    <w:rsid w:val="5719C747"/>
    <w:rsid w:val="571A498E"/>
    <w:rsid w:val="571C46E6"/>
    <w:rsid w:val="571C9167"/>
    <w:rsid w:val="571D532C"/>
    <w:rsid w:val="571EE61E"/>
    <w:rsid w:val="571FFBCA"/>
    <w:rsid w:val="57211C07"/>
    <w:rsid w:val="572388B6"/>
    <w:rsid w:val="5724A069"/>
    <w:rsid w:val="5724DA5B"/>
    <w:rsid w:val="5725C07D"/>
    <w:rsid w:val="5728EE7D"/>
    <w:rsid w:val="5728FDDB"/>
    <w:rsid w:val="572B4E95"/>
    <w:rsid w:val="572BD1DD"/>
    <w:rsid w:val="572C5920"/>
    <w:rsid w:val="572D2B41"/>
    <w:rsid w:val="572DCBD2"/>
    <w:rsid w:val="572DE314"/>
    <w:rsid w:val="572E3AC8"/>
    <w:rsid w:val="573184D3"/>
    <w:rsid w:val="5731A300"/>
    <w:rsid w:val="57329191"/>
    <w:rsid w:val="5732FA3F"/>
    <w:rsid w:val="5734BF00"/>
    <w:rsid w:val="5734E558"/>
    <w:rsid w:val="57362DC1"/>
    <w:rsid w:val="5738D1C5"/>
    <w:rsid w:val="573A1D2A"/>
    <w:rsid w:val="573DC9C2"/>
    <w:rsid w:val="573FFB0A"/>
    <w:rsid w:val="574052EF"/>
    <w:rsid w:val="57406F79"/>
    <w:rsid w:val="57424B8D"/>
    <w:rsid w:val="5742788E"/>
    <w:rsid w:val="5743CAA2"/>
    <w:rsid w:val="57443255"/>
    <w:rsid w:val="57461A9C"/>
    <w:rsid w:val="57473354"/>
    <w:rsid w:val="57483803"/>
    <w:rsid w:val="574842D3"/>
    <w:rsid w:val="5749AD55"/>
    <w:rsid w:val="574A9291"/>
    <w:rsid w:val="574AC169"/>
    <w:rsid w:val="574BAD96"/>
    <w:rsid w:val="574BDFD7"/>
    <w:rsid w:val="574CD7BA"/>
    <w:rsid w:val="574ED2FB"/>
    <w:rsid w:val="5750173A"/>
    <w:rsid w:val="57518A9D"/>
    <w:rsid w:val="5752A909"/>
    <w:rsid w:val="5753238B"/>
    <w:rsid w:val="575365B8"/>
    <w:rsid w:val="575CD488"/>
    <w:rsid w:val="575DDE00"/>
    <w:rsid w:val="575EEB6A"/>
    <w:rsid w:val="57656B3E"/>
    <w:rsid w:val="576673A2"/>
    <w:rsid w:val="5769568A"/>
    <w:rsid w:val="576972A8"/>
    <w:rsid w:val="576EF0CF"/>
    <w:rsid w:val="57700C1E"/>
    <w:rsid w:val="57721523"/>
    <w:rsid w:val="5772DD3A"/>
    <w:rsid w:val="5773059E"/>
    <w:rsid w:val="5773F1E9"/>
    <w:rsid w:val="577BA764"/>
    <w:rsid w:val="577CFD46"/>
    <w:rsid w:val="577FAEA0"/>
    <w:rsid w:val="57803A91"/>
    <w:rsid w:val="578198AE"/>
    <w:rsid w:val="57826DF7"/>
    <w:rsid w:val="5787248A"/>
    <w:rsid w:val="57874DEF"/>
    <w:rsid w:val="5787F253"/>
    <w:rsid w:val="57888526"/>
    <w:rsid w:val="57888F49"/>
    <w:rsid w:val="5789035D"/>
    <w:rsid w:val="5789EE10"/>
    <w:rsid w:val="5789FD07"/>
    <w:rsid w:val="578BDF88"/>
    <w:rsid w:val="578D9946"/>
    <w:rsid w:val="578DD6D7"/>
    <w:rsid w:val="5790078B"/>
    <w:rsid w:val="57913BF5"/>
    <w:rsid w:val="5794D280"/>
    <w:rsid w:val="57964B99"/>
    <w:rsid w:val="5796AA68"/>
    <w:rsid w:val="579A8F9D"/>
    <w:rsid w:val="579AAF19"/>
    <w:rsid w:val="579BF759"/>
    <w:rsid w:val="579D9181"/>
    <w:rsid w:val="57A019C8"/>
    <w:rsid w:val="57A0CABB"/>
    <w:rsid w:val="57A194CA"/>
    <w:rsid w:val="57A28F20"/>
    <w:rsid w:val="57A2E1B5"/>
    <w:rsid w:val="57A390C7"/>
    <w:rsid w:val="57A49854"/>
    <w:rsid w:val="57A59600"/>
    <w:rsid w:val="57A598A2"/>
    <w:rsid w:val="57A5A4E1"/>
    <w:rsid w:val="57A5B1A2"/>
    <w:rsid w:val="57A69BE3"/>
    <w:rsid w:val="57A7B356"/>
    <w:rsid w:val="57A8EAC3"/>
    <w:rsid w:val="57AA978E"/>
    <w:rsid w:val="57AB6591"/>
    <w:rsid w:val="57AB8EFC"/>
    <w:rsid w:val="57AC495A"/>
    <w:rsid w:val="57ADD9FF"/>
    <w:rsid w:val="57AF470B"/>
    <w:rsid w:val="57B19555"/>
    <w:rsid w:val="57B5B9C9"/>
    <w:rsid w:val="57B635F5"/>
    <w:rsid w:val="57B67D1E"/>
    <w:rsid w:val="57B6B401"/>
    <w:rsid w:val="57B8310D"/>
    <w:rsid w:val="57B936C6"/>
    <w:rsid w:val="57BCCD8C"/>
    <w:rsid w:val="57BF091F"/>
    <w:rsid w:val="57C10809"/>
    <w:rsid w:val="57C1D609"/>
    <w:rsid w:val="57C212FE"/>
    <w:rsid w:val="57C240EA"/>
    <w:rsid w:val="57C5B339"/>
    <w:rsid w:val="57C5ED20"/>
    <w:rsid w:val="57C6ACD2"/>
    <w:rsid w:val="57C8254B"/>
    <w:rsid w:val="57CA40CE"/>
    <w:rsid w:val="57D194BC"/>
    <w:rsid w:val="57D23DF7"/>
    <w:rsid w:val="57D298AA"/>
    <w:rsid w:val="57D2D35A"/>
    <w:rsid w:val="57D4E836"/>
    <w:rsid w:val="57D4F7B5"/>
    <w:rsid w:val="57D7D938"/>
    <w:rsid w:val="57D95DB2"/>
    <w:rsid w:val="57D9D96E"/>
    <w:rsid w:val="57DAF782"/>
    <w:rsid w:val="57DC2523"/>
    <w:rsid w:val="57DF80F7"/>
    <w:rsid w:val="57E03308"/>
    <w:rsid w:val="57E0C501"/>
    <w:rsid w:val="57E1BFCD"/>
    <w:rsid w:val="57E48390"/>
    <w:rsid w:val="57E4F44F"/>
    <w:rsid w:val="57E96931"/>
    <w:rsid w:val="57EAEF2F"/>
    <w:rsid w:val="57EBFA4E"/>
    <w:rsid w:val="57EC0325"/>
    <w:rsid w:val="57ECF562"/>
    <w:rsid w:val="57ED509F"/>
    <w:rsid w:val="57EF367A"/>
    <w:rsid w:val="57EFAE3C"/>
    <w:rsid w:val="57F3E4FB"/>
    <w:rsid w:val="57F538D2"/>
    <w:rsid w:val="57F7FAAB"/>
    <w:rsid w:val="57F8BE9B"/>
    <w:rsid w:val="57F8FF06"/>
    <w:rsid w:val="57FAFE4A"/>
    <w:rsid w:val="57FCD87C"/>
    <w:rsid w:val="57FECD63"/>
    <w:rsid w:val="57FFFF2B"/>
    <w:rsid w:val="5800CE1A"/>
    <w:rsid w:val="580125CE"/>
    <w:rsid w:val="58020AB8"/>
    <w:rsid w:val="58035336"/>
    <w:rsid w:val="5803D605"/>
    <w:rsid w:val="5806B9E5"/>
    <w:rsid w:val="5806CB6B"/>
    <w:rsid w:val="58076301"/>
    <w:rsid w:val="5808EA55"/>
    <w:rsid w:val="58094509"/>
    <w:rsid w:val="580C8330"/>
    <w:rsid w:val="580CC922"/>
    <w:rsid w:val="580DE55C"/>
    <w:rsid w:val="58121B90"/>
    <w:rsid w:val="58150C3E"/>
    <w:rsid w:val="5815400A"/>
    <w:rsid w:val="58191794"/>
    <w:rsid w:val="581A12E1"/>
    <w:rsid w:val="581A9A79"/>
    <w:rsid w:val="581B7502"/>
    <w:rsid w:val="581C02CA"/>
    <w:rsid w:val="581D80AE"/>
    <w:rsid w:val="5820B7CC"/>
    <w:rsid w:val="58229D0D"/>
    <w:rsid w:val="58258106"/>
    <w:rsid w:val="58258C48"/>
    <w:rsid w:val="5827E24F"/>
    <w:rsid w:val="5828E8AF"/>
    <w:rsid w:val="582BC571"/>
    <w:rsid w:val="582C9B44"/>
    <w:rsid w:val="582DF4BF"/>
    <w:rsid w:val="582E4024"/>
    <w:rsid w:val="5831D933"/>
    <w:rsid w:val="583231F3"/>
    <w:rsid w:val="58346AED"/>
    <w:rsid w:val="583678CF"/>
    <w:rsid w:val="583AE541"/>
    <w:rsid w:val="583CA5D7"/>
    <w:rsid w:val="583F40FB"/>
    <w:rsid w:val="583F9F04"/>
    <w:rsid w:val="58407C45"/>
    <w:rsid w:val="584147BE"/>
    <w:rsid w:val="5842F78D"/>
    <w:rsid w:val="584305C9"/>
    <w:rsid w:val="5844143D"/>
    <w:rsid w:val="5844298E"/>
    <w:rsid w:val="5847D2B5"/>
    <w:rsid w:val="58485A85"/>
    <w:rsid w:val="584FFCDA"/>
    <w:rsid w:val="58544FC9"/>
    <w:rsid w:val="58545EAE"/>
    <w:rsid w:val="5855127C"/>
    <w:rsid w:val="5855B365"/>
    <w:rsid w:val="585842ED"/>
    <w:rsid w:val="5859ED2C"/>
    <w:rsid w:val="585A27DF"/>
    <w:rsid w:val="585A823A"/>
    <w:rsid w:val="585A848A"/>
    <w:rsid w:val="585B6361"/>
    <w:rsid w:val="585C2B6F"/>
    <w:rsid w:val="585C669B"/>
    <w:rsid w:val="585CB807"/>
    <w:rsid w:val="585CCAE0"/>
    <w:rsid w:val="585E65EE"/>
    <w:rsid w:val="58602EE4"/>
    <w:rsid w:val="5861FAEA"/>
    <w:rsid w:val="58620471"/>
    <w:rsid w:val="586793AE"/>
    <w:rsid w:val="5867C5BC"/>
    <w:rsid w:val="58680F99"/>
    <w:rsid w:val="5869CE8A"/>
    <w:rsid w:val="5869F0C5"/>
    <w:rsid w:val="586A2715"/>
    <w:rsid w:val="586AEAA6"/>
    <w:rsid w:val="586BAE17"/>
    <w:rsid w:val="586DF930"/>
    <w:rsid w:val="586F03BA"/>
    <w:rsid w:val="586F4156"/>
    <w:rsid w:val="586F4F3D"/>
    <w:rsid w:val="586FE3F4"/>
    <w:rsid w:val="587006E8"/>
    <w:rsid w:val="5874AD5C"/>
    <w:rsid w:val="58751254"/>
    <w:rsid w:val="5875AA5C"/>
    <w:rsid w:val="58764B77"/>
    <w:rsid w:val="58766F57"/>
    <w:rsid w:val="5879A469"/>
    <w:rsid w:val="587C8B1C"/>
    <w:rsid w:val="587EFE44"/>
    <w:rsid w:val="587F332E"/>
    <w:rsid w:val="587FF746"/>
    <w:rsid w:val="5883CA70"/>
    <w:rsid w:val="58841E3F"/>
    <w:rsid w:val="5885C025"/>
    <w:rsid w:val="588C67E3"/>
    <w:rsid w:val="588D2137"/>
    <w:rsid w:val="589102B9"/>
    <w:rsid w:val="58910DF5"/>
    <w:rsid w:val="58925C06"/>
    <w:rsid w:val="5893DBD0"/>
    <w:rsid w:val="5893FBA7"/>
    <w:rsid w:val="589430FD"/>
    <w:rsid w:val="58967792"/>
    <w:rsid w:val="5897C7AE"/>
    <w:rsid w:val="589A66DC"/>
    <w:rsid w:val="589B7747"/>
    <w:rsid w:val="589B7E70"/>
    <w:rsid w:val="589C591C"/>
    <w:rsid w:val="589D77F1"/>
    <w:rsid w:val="58A0CB13"/>
    <w:rsid w:val="58A11072"/>
    <w:rsid w:val="58A15D0E"/>
    <w:rsid w:val="58A187A5"/>
    <w:rsid w:val="58A2029D"/>
    <w:rsid w:val="58A58DF7"/>
    <w:rsid w:val="58A63AE2"/>
    <w:rsid w:val="58A88A16"/>
    <w:rsid w:val="58ABF8B5"/>
    <w:rsid w:val="58ABFBA5"/>
    <w:rsid w:val="58AC4569"/>
    <w:rsid w:val="58ACBD80"/>
    <w:rsid w:val="58AE5FE3"/>
    <w:rsid w:val="58AFABA2"/>
    <w:rsid w:val="58B0CE2D"/>
    <w:rsid w:val="58B11F6B"/>
    <w:rsid w:val="58B647D7"/>
    <w:rsid w:val="58B8DE85"/>
    <w:rsid w:val="58BA32AA"/>
    <w:rsid w:val="58BE3268"/>
    <w:rsid w:val="58BE7E37"/>
    <w:rsid w:val="58BEA35A"/>
    <w:rsid w:val="58C06FB4"/>
    <w:rsid w:val="58C0F76C"/>
    <w:rsid w:val="58C1B721"/>
    <w:rsid w:val="58C1BC9A"/>
    <w:rsid w:val="58C834DF"/>
    <w:rsid w:val="58CA05BA"/>
    <w:rsid w:val="58CA9C35"/>
    <w:rsid w:val="58CBEB37"/>
    <w:rsid w:val="58CC4C5D"/>
    <w:rsid w:val="58CC74E1"/>
    <w:rsid w:val="58CCF98B"/>
    <w:rsid w:val="58CD1C31"/>
    <w:rsid w:val="58CD3530"/>
    <w:rsid w:val="58CD5B65"/>
    <w:rsid w:val="58CF215F"/>
    <w:rsid w:val="58CF8691"/>
    <w:rsid w:val="58D05D5B"/>
    <w:rsid w:val="58D0893C"/>
    <w:rsid w:val="58D0AC03"/>
    <w:rsid w:val="58D24389"/>
    <w:rsid w:val="58D59326"/>
    <w:rsid w:val="58D62AD0"/>
    <w:rsid w:val="58D6C518"/>
    <w:rsid w:val="58D87223"/>
    <w:rsid w:val="58D8D222"/>
    <w:rsid w:val="58D8EDC8"/>
    <w:rsid w:val="58DB0432"/>
    <w:rsid w:val="58DC9018"/>
    <w:rsid w:val="58DCD33A"/>
    <w:rsid w:val="58DFBFD2"/>
    <w:rsid w:val="58E6D58C"/>
    <w:rsid w:val="58E7FCB3"/>
    <w:rsid w:val="58EB39DA"/>
    <w:rsid w:val="58ECA826"/>
    <w:rsid w:val="58EDC8BE"/>
    <w:rsid w:val="58EF71DE"/>
    <w:rsid w:val="58F1704D"/>
    <w:rsid w:val="58F18E40"/>
    <w:rsid w:val="58F1AA19"/>
    <w:rsid w:val="58F268A5"/>
    <w:rsid w:val="58F32C1E"/>
    <w:rsid w:val="58F388C3"/>
    <w:rsid w:val="58F46586"/>
    <w:rsid w:val="58F5D19E"/>
    <w:rsid w:val="58F6112C"/>
    <w:rsid w:val="58F680F2"/>
    <w:rsid w:val="58F69C60"/>
    <w:rsid w:val="58F6C72A"/>
    <w:rsid w:val="58F8BB14"/>
    <w:rsid w:val="58F9DA5C"/>
    <w:rsid w:val="58FA98BD"/>
    <w:rsid w:val="58FB53D9"/>
    <w:rsid w:val="58FC52FD"/>
    <w:rsid w:val="5902DB18"/>
    <w:rsid w:val="59034D67"/>
    <w:rsid w:val="5903A01C"/>
    <w:rsid w:val="59057069"/>
    <w:rsid w:val="5906654D"/>
    <w:rsid w:val="5906B98E"/>
    <w:rsid w:val="590982A0"/>
    <w:rsid w:val="5909ADB3"/>
    <w:rsid w:val="5909B984"/>
    <w:rsid w:val="590B5ABB"/>
    <w:rsid w:val="590B9CDF"/>
    <w:rsid w:val="590BDA9C"/>
    <w:rsid w:val="590BE0D4"/>
    <w:rsid w:val="590C876C"/>
    <w:rsid w:val="590D117D"/>
    <w:rsid w:val="590DC2A2"/>
    <w:rsid w:val="590F3F54"/>
    <w:rsid w:val="59118B72"/>
    <w:rsid w:val="5916EC52"/>
    <w:rsid w:val="591AF542"/>
    <w:rsid w:val="591BCE42"/>
    <w:rsid w:val="591DA54B"/>
    <w:rsid w:val="591E9010"/>
    <w:rsid w:val="59219521"/>
    <w:rsid w:val="59221068"/>
    <w:rsid w:val="592311DA"/>
    <w:rsid w:val="59237BE9"/>
    <w:rsid w:val="5924E9C0"/>
    <w:rsid w:val="5924F702"/>
    <w:rsid w:val="5928038B"/>
    <w:rsid w:val="592911E9"/>
    <w:rsid w:val="5929ADD9"/>
    <w:rsid w:val="592B600C"/>
    <w:rsid w:val="592B9A28"/>
    <w:rsid w:val="592EA3FD"/>
    <w:rsid w:val="59301A4B"/>
    <w:rsid w:val="59321315"/>
    <w:rsid w:val="59361FB0"/>
    <w:rsid w:val="5938AB34"/>
    <w:rsid w:val="5938ACB2"/>
    <w:rsid w:val="5938EC41"/>
    <w:rsid w:val="593B21C6"/>
    <w:rsid w:val="593CEF3A"/>
    <w:rsid w:val="593D2396"/>
    <w:rsid w:val="593E37F8"/>
    <w:rsid w:val="59405B11"/>
    <w:rsid w:val="59410483"/>
    <w:rsid w:val="59426313"/>
    <w:rsid w:val="5942DB75"/>
    <w:rsid w:val="5943F317"/>
    <w:rsid w:val="5944FCE4"/>
    <w:rsid w:val="594574A4"/>
    <w:rsid w:val="59468127"/>
    <w:rsid w:val="59474845"/>
    <w:rsid w:val="59493A02"/>
    <w:rsid w:val="59498DF5"/>
    <w:rsid w:val="594AF33D"/>
    <w:rsid w:val="594AF95B"/>
    <w:rsid w:val="594B1CFF"/>
    <w:rsid w:val="594C0B91"/>
    <w:rsid w:val="594F1584"/>
    <w:rsid w:val="594F7448"/>
    <w:rsid w:val="594FC573"/>
    <w:rsid w:val="595056B9"/>
    <w:rsid w:val="59510291"/>
    <w:rsid w:val="5951C485"/>
    <w:rsid w:val="595444E8"/>
    <w:rsid w:val="5954760D"/>
    <w:rsid w:val="5955C9A9"/>
    <w:rsid w:val="595673FB"/>
    <w:rsid w:val="59574C6A"/>
    <w:rsid w:val="5959EF51"/>
    <w:rsid w:val="595E797D"/>
    <w:rsid w:val="59608E61"/>
    <w:rsid w:val="5962AC02"/>
    <w:rsid w:val="5965034E"/>
    <w:rsid w:val="5966E959"/>
    <w:rsid w:val="5967BC71"/>
    <w:rsid w:val="5969CFC4"/>
    <w:rsid w:val="596A51EE"/>
    <w:rsid w:val="596B4908"/>
    <w:rsid w:val="596CB711"/>
    <w:rsid w:val="596E1B41"/>
    <w:rsid w:val="596FB6FB"/>
    <w:rsid w:val="5972331A"/>
    <w:rsid w:val="5975D128"/>
    <w:rsid w:val="59761329"/>
    <w:rsid w:val="597707F1"/>
    <w:rsid w:val="597A03EA"/>
    <w:rsid w:val="597A9BF5"/>
    <w:rsid w:val="597CA3B3"/>
    <w:rsid w:val="597F1DEC"/>
    <w:rsid w:val="597FCA94"/>
    <w:rsid w:val="5980368C"/>
    <w:rsid w:val="5980D69C"/>
    <w:rsid w:val="5983FEDB"/>
    <w:rsid w:val="5985AE9F"/>
    <w:rsid w:val="5985C1E8"/>
    <w:rsid w:val="59875B31"/>
    <w:rsid w:val="59878058"/>
    <w:rsid w:val="5989366A"/>
    <w:rsid w:val="598EC683"/>
    <w:rsid w:val="598F7521"/>
    <w:rsid w:val="59905925"/>
    <w:rsid w:val="59905F91"/>
    <w:rsid w:val="59911290"/>
    <w:rsid w:val="5991CE6E"/>
    <w:rsid w:val="59938A19"/>
    <w:rsid w:val="59940400"/>
    <w:rsid w:val="5997E2D8"/>
    <w:rsid w:val="599C48A1"/>
    <w:rsid w:val="599F22E0"/>
    <w:rsid w:val="599F576D"/>
    <w:rsid w:val="59A15402"/>
    <w:rsid w:val="59A410B0"/>
    <w:rsid w:val="59A43C48"/>
    <w:rsid w:val="59A6C904"/>
    <w:rsid w:val="59A79C28"/>
    <w:rsid w:val="59A93F9E"/>
    <w:rsid w:val="59A96A17"/>
    <w:rsid w:val="59AAAEFF"/>
    <w:rsid w:val="59AC29A4"/>
    <w:rsid w:val="59ACB4A8"/>
    <w:rsid w:val="59AD5614"/>
    <w:rsid w:val="59ADEA34"/>
    <w:rsid w:val="59B05F8E"/>
    <w:rsid w:val="59B06383"/>
    <w:rsid w:val="59B42B97"/>
    <w:rsid w:val="59B5B03C"/>
    <w:rsid w:val="59B6E90C"/>
    <w:rsid w:val="59B73A04"/>
    <w:rsid w:val="59BC4681"/>
    <w:rsid w:val="59C301C7"/>
    <w:rsid w:val="59C54766"/>
    <w:rsid w:val="59C557D1"/>
    <w:rsid w:val="59C62136"/>
    <w:rsid w:val="59C63BEC"/>
    <w:rsid w:val="59C68E76"/>
    <w:rsid w:val="59C9B1E6"/>
    <w:rsid w:val="59C9B9A4"/>
    <w:rsid w:val="59CA7085"/>
    <w:rsid w:val="59CB2D14"/>
    <w:rsid w:val="59CB8B47"/>
    <w:rsid w:val="59CCA400"/>
    <w:rsid w:val="59CD8ED9"/>
    <w:rsid w:val="59D18DF0"/>
    <w:rsid w:val="59D2FDAC"/>
    <w:rsid w:val="59D4AD78"/>
    <w:rsid w:val="59D4FB60"/>
    <w:rsid w:val="59D785A7"/>
    <w:rsid w:val="59D798BD"/>
    <w:rsid w:val="59D80ED2"/>
    <w:rsid w:val="59DB598F"/>
    <w:rsid w:val="59DBF3AB"/>
    <w:rsid w:val="59DE8EA7"/>
    <w:rsid w:val="59E13391"/>
    <w:rsid w:val="59E50E17"/>
    <w:rsid w:val="59E75BA0"/>
    <w:rsid w:val="59EBA9F1"/>
    <w:rsid w:val="59ECAC05"/>
    <w:rsid w:val="59ED7BD7"/>
    <w:rsid w:val="59EF4BCD"/>
    <w:rsid w:val="59F14338"/>
    <w:rsid w:val="59F20B15"/>
    <w:rsid w:val="59F98875"/>
    <w:rsid w:val="59FAC5B8"/>
    <w:rsid w:val="59FCBA62"/>
    <w:rsid w:val="59FDEBBD"/>
    <w:rsid w:val="5A00C627"/>
    <w:rsid w:val="5A025B17"/>
    <w:rsid w:val="5A039D75"/>
    <w:rsid w:val="5A06B5AE"/>
    <w:rsid w:val="5A084C89"/>
    <w:rsid w:val="5A0B99BE"/>
    <w:rsid w:val="5A0C6E52"/>
    <w:rsid w:val="5A0D857D"/>
    <w:rsid w:val="5A0F2AA5"/>
    <w:rsid w:val="5A0FEA03"/>
    <w:rsid w:val="5A107E92"/>
    <w:rsid w:val="5A1292A2"/>
    <w:rsid w:val="5A16BF98"/>
    <w:rsid w:val="5A1881F9"/>
    <w:rsid w:val="5A19795E"/>
    <w:rsid w:val="5A1A281E"/>
    <w:rsid w:val="5A1BA3F3"/>
    <w:rsid w:val="5A1DC021"/>
    <w:rsid w:val="5A1EC1A6"/>
    <w:rsid w:val="5A1ECB00"/>
    <w:rsid w:val="5A1F1B50"/>
    <w:rsid w:val="5A1F4671"/>
    <w:rsid w:val="5A220691"/>
    <w:rsid w:val="5A22A617"/>
    <w:rsid w:val="5A23348B"/>
    <w:rsid w:val="5A24BE1F"/>
    <w:rsid w:val="5A262FCD"/>
    <w:rsid w:val="5A28688F"/>
    <w:rsid w:val="5A28F8BB"/>
    <w:rsid w:val="5A2BF650"/>
    <w:rsid w:val="5A2C6340"/>
    <w:rsid w:val="5A2ED997"/>
    <w:rsid w:val="5A2F8824"/>
    <w:rsid w:val="5A308C2C"/>
    <w:rsid w:val="5A313373"/>
    <w:rsid w:val="5A31AC2D"/>
    <w:rsid w:val="5A320D58"/>
    <w:rsid w:val="5A368E2A"/>
    <w:rsid w:val="5A38EC7A"/>
    <w:rsid w:val="5A392CBA"/>
    <w:rsid w:val="5A3B8B7E"/>
    <w:rsid w:val="5A3C58D9"/>
    <w:rsid w:val="5A3C977C"/>
    <w:rsid w:val="5A3D1983"/>
    <w:rsid w:val="5A3D1E77"/>
    <w:rsid w:val="5A3DDC30"/>
    <w:rsid w:val="5A3F8A38"/>
    <w:rsid w:val="5A40791C"/>
    <w:rsid w:val="5A446F9E"/>
    <w:rsid w:val="5A45749F"/>
    <w:rsid w:val="5A464EDF"/>
    <w:rsid w:val="5A468D31"/>
    <w:rsid w:val="5A48746B"/>
    <w:rsid w:val="5A493E71"/>
    <w:rsid w:val="5A4ABEA3"/>
    <w:rsid w:val="5A4AC254"/>
    <w:rsid w:val="5A4BB670"/>
    <w:rsid w:val="5A4C7E05"/>
    <w:rsid w:val="5A4CAB9E"/>
    <w:rsid w:val="5A4DDD00"/>
    <w:rsid w:val="5A4E23B4"/>
    <w:rsid w:val="5A536024"/>
    <w:rsid w:val="5A539478"/>
    <w:rsid w:val="5A5416B8"/>
    <w:rsid w:val="5A5551A4"/>
    <w:rsid w:val="5A55BEB8"/>
    <w:rsid w:val="5A56C62F"/>
    <w:rsid w:val="5A56E64F"/>
    <w:rsid w:val="5A5B1903"/>
    <w:rsid w:val="5A5F06E6"/>
    <w:rsid w:val="5A5FC9AB"/>
    <w:rsid w:val="5A5FF10C"/>
    <w:rsid w:val="5A601716"/>
    <w:rsid w:val="5A621A19"/>
    <w:rsid w:val="5A6345D4"/>
    <w:rsid w:val="5A641CBC"/>
    <w:rsid w:val="5A66591B"/>
    <w:rsid w:val="5A6AA9EE"/>
    <w:rsid w:val="5A6AE0D3"/>
    <w:rsid w:val="5A6C8014"/>
    <w:rsid w:val="5A6ED4F5"/>
    <w:rsid w:val="5A6F2625"/>
    <w:rsid w:val="5A716CC6"/>
    <w:rsid w:val="5A71A661"/>
    <w:rsid w:val="5A72948A"/>
    <w:rsid w:val="5A72BFDA"/>
    <w:rsid w:val="5A7390D6"/>
    <w:rsid w:val="5A73F375"/>
    <w:rsid w:val="5A752DE4"/>
    <w:rsid w:val="5A7553E2"/>
    <w:rsid w:val="5A778183"/>
    <w:rsid w:val="5A790304"/>
    <w:rsid w:val="5A7B54A4"/>
    <w:rsid w:val="5A7BA224"/>
    <w:rsid w:val="5A7EE55B"/>
    <w:rsid w:val="5A7F20F7"/>
    <w:rsid w:val="5A7FEC9F"/>
    <w:rsid w:val="5A818E53"/>
    <w:rsid w:val="5A837426"/>
    <w:rsid w:val="5A8523DD"/>
    <w:rsid w:val="5A8AB9F4"/>
    <w:rsid w:val="5A8BBDE0"/>
    <w:rsid w:val="5A8BBFE3"/>
    <w:rsid w:val="5A8BD5BD"/>
    <w:rsid w:val="5A91EA7F"/>
    <w:rsid w:val="5A943696"/>
    <w:rsid w:val="5A954C42"/>
    <w:rsid w:val="5A9BDD42"/>
    <w:rsid w:val="5A9BEF61"/>
    <w:rsid w:val="5A9C2B55"/>
    <w:rsid w:val="5A9CE5AF"/>
    <w:rsid w:val="5AA866FF"/>
    <w:rsid w:val="5AAB6823"/>
    <w:rsid w:val="5AAE4AE9"/>
    <w:rsid w:val="5AAE6B92"/>
    <w:rsid w:val="5AB08F43"/>
    <w:rsid w:val="5AB09ED7"/>
    <w:rsid w:val="5AB325CA"/>
    <w:rsid w:val="5AB58FC8"/>
    <w:rsid w:val="5AB597D3"/>
    <w:rsid w:val="5AB72CDD"/>
    <w:rsid w:val="5ABA0E22"/>
    <w:rsid w:val="5ABCCE82"/>
    <w:rsid w:val="5AC0404A"/>
    <w:rsid w:val="5AC10228"/>
    <w:rsid w:val="5AC2FAE4"/>
    <w:rsid w:val="5AC5B4F0"/>
    <w:rsid w:val="5AC7C2D3"/>
    <w:rsid w:val="5AC86D49"/>
    <w:rsid w:val="5AC8B0A4"/>
    <w:rsid w:val="5AC92C25"/>
    <w:rsid w:val="5ACD5068"/>
    <w:rsid w:val="5ACEBAE7"/>
    <w:rsid w:val="5AD00B6D"/>
    <w:rsid w:val="5AD13F30"/>
    <w:rsid w:val="5AD3D815"/>
    <w:rsid w:val="5AD47F9A"/>
    <w:rsid w:val="5AD9E7D3"/>
    <w:rsid w:val="5ADC656C"/>
    <w:rsid w:val="5AE0543A"/>
    <w:rsid w:val="5AE0B376"/>
    <w:rsid w:val="5AE0D60C"/>
    <w:rsid w:val="5AE43208"/>
    <w:rsid w:val="5AE5C254"/>
    <w:rsid w:val="5AE5DF38"/>
    <w:rsid w:val="5AE615CB"/>
    <w:rsid w:val="5AE732C3"/>
    <w:rsid w:val="5AE94291"/>
    <w:rsid w:val="5AEA9655"/>
    <w:rsid w:val="5AEAEC42"/>
    <w:rsid w:val="5AEB3FE5"/>
    <w:rsid w:val="5AED7F7E"/>
    <w:rsid w:val="5AEDA993"/>
    <w:rsid w:val="5AEDDF12"/>
    <w:rsid w:val="5AEE434B"/>
    <w:rsid w:val="5AEE46ED"/>
    <w:rsid w:val="5AF1D71A"/>
    <w:rsid w:val="5AF359F8"/>
    <w:rsid w:val="5AF4753B"/>
    <w:rsid w:val="5AF82A53"/>
    <w:rsid w:val="5AF93702"/>
    <w:rsid w:val="5AFC8B7C"/>
    <w:rsid w:val="5AFE4686"/>
    <w:rsid w:val="5AFFC23F"/>
    <w:rsid w:val="5B00ECAF"/>
    <w:rsid w:val="5B02E5ED"/>
    <w:rsid w:val="5B02FDC6"/>
    <w:rsid w:val="5B030AE4"/>
    <w:rsid w:val="5B0316BE"/>
    <w:rsid w:val="5B083057"/>
    <w:rsid w:val="5B0919B6"/>
    <w:rsid w:val="5B0B8376"/>
    <w:rsid w:val="5B0EC01C"/>
    <w:rsid w:val="5B0FC7B2"/>
    <w:rsid w:val="5B12110B"/>
    <w:rsid w:val="5B14C184"/>
    <w:rsid w:val="5B160D49"/>
    <w:rsid w:val="5B16C3DC"/>
    <w:rsid w:val="5B179A60"/>
    <w:rsid w:val="5B18FAA3"/>
    <w:rsid w:val="5B19422C"/>
    <w:rsid w:val="5B195244"/>
    <w:rsid w:val="5B1B74A8"/>
    <w:rsid w:val="5B1F4989"/>
    <w:rsid w:val="5B1FD4D3"/>
    <w:rsid w:val="5B2195A5"/>
    <w:rsid w:val="5B2351FE"/>
    <w:rsid w:val="5B2A3740"/>
    <w:rsid w:val="5B2C8422"/>
    <w:rsid w:val="5B2CC72C"/>
    <w:rsid w:val="5B2DC533"/>
    <w:rsid w:val="5B2E5B77"/>
    <w:rsid w:val="5B2E6FBF"/>
    <w:rsid w:val="5B2F676E"/>
    <w:rsid w:val="5B3099B7"/>
    <w:rsid w:val="5B317533"/>
    <w:rsid w:val="5B3266E8"/>
    <w:rsid w:val="5B35474B"/>
    <w:rsid w:val="5B35A146"/>
    <w:rsid w:val="5B35BAB7"/>
    <w:rsid w:val="5B3A426C"/>
    <w:rsid w:val="5B3B4846"/>
    <w:rsid w:val="5B3ED757"/>
    <w:rsid w:val="5B3FDDDC"/>
    <w:rsid w:val="5B4510B7"/>
    <w:rsid w:val="5B452813"/>
    <w:rsid w:val="5B458688"/>
    <w:rsid w:val="5B45D787"/>
    <w:rsid w:val="5B489A2E"/>
    <w:rsid w:val="5B49C96A"/>
    <w:rsid w:val="5B4C404E"/>
    <w:rsid w:val="5B4CFD19"/>
    <w:rsid w:val="5B4E6C29"/>
    <w:rsid w:val="5B5280D0"/>
    <w:rsid w:val="5B56A29C"/>
    <w:rsid w:val="5B575243"/>
    <w:rsid w:val="5B581B1B"/>
    <w:rsid w:val="5B5A96B8"/>
    <w:rsid w:val="5B5AD5D2"/>
    <w:rsid w:val="5B5E38E8"/>
    <w:rsid w:val="5B601B4C"/>
    <w:rsid w:val="5B62C5D8"/>
    <w:rsid w:val="5B6510C8"/>
    <w:rsid w:val="5B65F4B1"/>
    <w:rsid w:val="5B6799BF"/>
    <w:rsid w:val="5B69060C"/>
    <w:rsid w:val="5B69406D"/>
    <w:rsid w:val="5B69B6A2"/>
    <w:rsid w:val="5B6A19E2"/>
    <w:rsid w:val="5B6B0D56"/>
    <w:rsid w:val="5B72556D"/>
    <w:rsid w:val="5B7414F6"/>
    <w:rsid w:val="5B74381D"/>
    <w:rsid w:val="5B7459A1"/>
    <w:rsid w:val="5B74E4ED"/>
    <w:rsid w:val="5B7701A1"/>
    <w:rsid w:val="5B777D24"/>
    <w:rsid w:val="5B78403B"/>
    <w:rsid w:val="5B78A3AC"/>
    <w:rsid w:val="5B79A4A5"/>
    <w:rsid w:val="5B7A109E"/>
    <w:rsid w:val="5B7D0023"/>
    <w:rsid w:val="5B7DB943"/>
    <w:rsid w:val="5B8079E4"/>
    <w:rsid w:val="5B818455"/>
    <w:rsid w:val="5B8340EF"/>
    <w:rsid w:val="5B8371D8"/>
    <w:rsid w:val="5B882074"/>
    <w:rsid w:val="5B8B45AE"/>
    <w:rsid w:val="5B8C95D6"/>
    <w:rsid w:val="5B8CEE30"/>
    <w:rsid w:val="5B8D27CE"/>
    <w:rsid w:val="5B900C3E"/>
    <w:rsid w:val="5B905CC8"/>
    <w:rsid w:val="5B9166C9"/>
    <w:rsid w:val="5B949D2F"/>
    <w:rsid w:val="5B9586B7"/>
    <w:rsid w:val="5B973099"/>
    <w:rsid w:val="5B977E1C"/>
    <w:rsid w:val="5B98E0C1"/>
    <w:rsid w:val="5B9C201B"/>
    <w:rsid w:val="5BA0609E"/>
    <w:rsid w:val="5BA38F8C"/>
    <w:rsid w:val="5BA4D192"/>
    <w:rsid w:val="5BA6C49A"/>
    <w:rsid w:val="5BA7E87B"/>
    <w:rsid w:val="5BA8A890"/>
    <w:rsid w:val="5BA90DB6"/>
    <w:rsid w:val="5BAB4A92"/>
    <w:rsid w:val="5BB1C725"/>
    <w:rsid w:val="5BB22C07"/>
    <w:rsid w:val="5BB3F2B0"/>
    <w:rsid w:val="5BB40EF1"/>
    <w:rsid w:val="5BB42F8B"/>
    <w:rsid w:val="5BB4E0F2"/>
    <w:rsid w:val="5BB785E8"/>
    <w:rsid w:val="5BB83F98"/>
    <w:rsid w:val="5BB9F1D4"/>
    <w:rsid w:val="5BBA437B"/>
    <w:rsid w:val="5BC15CC3"/>
    <w:rsid w:val="5BC1A1A7"/>
    <w:rsid w:val="5BC2681E"/>
    <w:rsid w:val="5BC3A16E"/>
    <w:rsid w:val="5BC5AF0D"/>
    <w:rsid w:val="5BC78894"/>
    <w:rsid w:val="5BC7FD7A"/>
    <w:rsid w:val="5BC9BC02"/>
    <w:rsid w:val="5BCFFE09"/>
    <w:rsid w:val="5BD568B5"/>
    <w:rsid w:val="5BD63129"/>
    <w:rsid w:val="5BD682A8"/>
    <w:rsid w:val="5BD7F90A"/>
    <w:rsid w:val="5BDC097E"/>
    <w:rsid w:val="5BDDE6C6"/>
    <w:rsid w:val="5BE0C333"/>
    <w:rsid w:val="5BE380DD"/>
    <w:rsid w:val="5BE42B9F"/>
    <w:rsid w:val="5BE4CD4C"/>
    <w:rsid w:val="5BEB1074"/>
    <w:rsid w:val="5BEC119C"/>
    <w:rsid w:val="5BEC4601"/>
    <w:rsid w:val="5BEC6BB9"/>
    <w:rsid w:val="5BED418E"/>
    <w:rsid w:val="5BEDEC7C"/>
    <w:rsid w:val="5BEE7797"/>
    <w:rsid w:val="5BEFC29B"/>
    <w:rsid w:val="5BF03DAC"/>
    <w:rsid w:val="5BF18D7E"/>
    <w:rsid w:val="5BF4BCB9"/>
    <w:rsid w:val="5BF68E58"/>
    <w:rsid w:val="5BF988ED"/>
    <w:rsid w:val="5BFA6A6A"/>
    <w:rsid w:val="5BFA77FD"/>
    <w:rsid w:val="5BFAEEF8"/>
    <w:rsid w:val="5BFE2077"/>
    <w:rsid w:val="5BFE633F"/>
    <w:rsid w:val="5BFF07E5"/>
    <w:rsid w:val="5BFF706F"/>
    <w:rsid w:val="5C0023B9"/>
    <w:rsid w:val="5C00D2A2"/>
    <w:rsid w:val="5C0214F1"/>
    <w:rsid w:val="5C06D650"/>
    <w:rsid w:val="5C079982"/>
    <w:rsid w:val="5C08AE8F"/>
    <w:rsid w:val="5C0AAAFE"/>
    <w:rsid w:val="5C0F0C6A"/>
    <w:rsid w:val="5C120EAB"/>
    <w:rsid w:val="5C1385BE"/>
    <w:rsid w:val="5C1721A9"/>
    <w:rsid w:val="5C17E450"/>
    <w:rsid w:val="5C194D0D"/>
    <w:rsid w:val="5C197EAE"/>
    <w:rsid w:val="5C1A35E9"/>
    <w:rsid w:val="5C1B1161"/>
    <w:rsid w:val="5C1B2D7B"/>
    <w:rsid w:val="5C1C7C2D"/>
    <w:rsid w:val="5C1EFBE9"/>
    <w:rsid w:val="5C22A027"/>
    <w:rsid w:val="5C2478EC"/>
    <w:rsid w:val="5C2A56A5"/>
    <w:rsid w:val="5C2B6B31"/>
    <w:rsid w:val="5C2C5FE6"/>
    <w:rsid w:val="5C2C6D62"/>
    <w:rsid w:val="5C2CD33E"/>
    <w:rsid w:val="5C2D2BDA"/>
    <w:rsid w:val="5C2E1142"/>
    <w:rsid w:val="5C2F07B9"/>
    <w:rsid w:val="5C2F3DF5"/>
    <w:rsid w:val="5C34A8E2"/>
    <w:rsid w:val="5C3574ED"/>
    <w:rsid w:val="5C373743"/>
    <w:rsid w:val="5C3C3D51"/>
    <w:rsid w:val="5C416860"/>
    <w:rsid w:val="5C41F8D5"/>
    <w:rsid w:val="5C426F90"/>
    <w:rsid w:val="5C48D5A8"/>
    <w:rsid w:val="5C49A03C"/>
    <w:rsid w:val="5C4AECCD"/>
    <w:rsid w:val="5C4BDB4D"/>
    <w:rsid w:val="5C4FC8CC"/>
    <w:rsid w:val="5C50802B"/>
    <w:rsid w:val="5C52043B"/>
    <w:rsid w:val="5C566081"/>
    <w:rsid w:val="5C58385D"/>
    <w:rsid w:val="5C5A50BE"/>
    <w:rsid w:val="5C5C1625"/>
    <w:rsid w:val="5C5C2B0F"/>
    <w:rsid w:val="5C5E8DBF"/>
    <w:rsid w:val="5C62A27C"/>
    <w:rsid w:val="5C63545B"/>
    <w:rsid w:val="5C63A0A4"/>
    <w:rsid w:val="5C65D2F7"/>
    <w:rsid w:val="5C6699B8"/>
    <w:rsid w:val="5C66AA93"/>
    <w:rsid w:val="5C671076"/>
    <w:rsid w:val="5C68B83B"/>
    <w:rsid w:val="5C68E22E"/>
    <w:rsid w:val="5C6A63E9"/>
    <w:rsid w:val="5C6DDB48"/>
    <w:rsid w:val="5C6DDD8E"/>
    <w:rsid w:val="5C6F0B13"/>
    <w:rsid w:val="5C7044DF"/>
    <w:rsid w:val="5C74A79F"/>
    <w:rsid w:val="5C76D28E"/>
    <w:rsid w:val="5C76E3EE"/>
    <w:rsid w:val="5C7897FE"/>
    <w:rsid w:val="5C78B0D7"/>
    <w:rsid w:val="5C79E18D"/>
    <w:rsid w:val="5C7A5551"/>
    <w:rsid w:val="5C7AA256"/>
    <w:rsid w:val="5C7B586E"/>
    <w:rsid w:val="5C7C2FD2"/>
    <w:rsid w:val="5C7E666A"/>
    <w:rsid w:val="5C7EDB07"/>
    <w:rsid w:val="5C7F0CAD"/>
    <w:rsid w:val="5C7F8291"/>
    <w:rsid w:val="5C800B06"/>
    <w:rsid w:val="5C826AC5"/>
    <w:rsid w:val="5C82EF2A"/>
    <w:rsid w:val="5C85031E"/>
    <w:rsid w:val="5C853717"/>
    <w:rsid w:val="5C8655CC"/>
    <w:rsid w:val="5C8694FE"/>
    <w:rsid w:val="5C88D8A4"/>
    <w:rsid w:val="5C890AEF"/>
    <w:rsid w:val="5C891C92"/>
    <w:rsid w:val="5C891F33"/>
    <w:rsid w:val="5C8B6458"/>
    <w:rsid w:val="5C8C4BFC"/>
    <w:rsid w:val="5C8D1975"/>
    <w:rsid w:val="5C8D4ABF"/>
    <w:rsid w:val="5C8D64DE"/>
    <w:rsid w:val="5C8D99D3"/>
    <w:rsid w:val="5C91899B"/>
    <w:rsid w:val="5C9339C7"/>
    <w:rsid w:val="5C937F5E"/>
    <w:rsid w:val="5C95501E"/>
    <w:rsid w:val="5C96AF97"/>
    <w:rsid w:val="5C9AFE99"/>
    <w:rsid w:val="5C9C7989"/>
    <w:rsid w:val="5C9E7D3E"/>
    <w:rsid w:val="5C9F2A48"/>
    <w:rsid w:val="5C9FC284"/>
    <w:rsid w:val="5CA1EED6"/>
    <w:rsid w:val="5CA3052D"/>
    <w:rsid w:val="5CA36477"/>
    <w:rsid w:val="5CA3B3D6"/>
    <w:rsid w:val="5CA3C53A"/>
    <w:rsid w:val="5CA656B7"/>
    <w:rsid w:val="5CA7DD70"/>
    <w:rsid w:val="5CA7E527"/>
    <w:rsid w:val="5CA838CD"/>
    <w:rsid w:val="5CA88DB7"/>
    <w:rsid w:val="5CA9730D"/>
    <w:rsid w:val="5CAA2909"/>
    <w:rsid w:val="5CAB5AFC"/>
    <w:rsid w:val="5CAD1360"/>
    <w:rsid w:val="5CADA9C9"/>
    <w:rsid w:val="5CAEA84B"/>
    <w:rsid w:val="5CAFD772"/>
    <w:rsid w:val="5CB0B889"/>
    <w:rsid w:val="5CB0DC32"/>
    <w:rsid w:val="5CB460CE"/>
    <w:rsid w:val="5CB5FB58"/>
    <w:rsid w:val="5CB7E5B5"/>
    <w:rsid w:val="5CBEA2F7"/>
    <w:rsid w:val="5CC05051"/>
    <w:rsid w:val="5CC12326"/>
    <w:rsid w:val="5CC3D0EE"/>
    <w:rsid w:val="5CC64B65"/>
    <w:rsid w:val="5CC7A492"/>
    <w:rsid w:val="5CCAD542"/>
    <w:rsid w:val="5CCB6C3B"/>
    <w:rsid w:val="5CCBF2E4"/>
    <w:rsid w:val="5CCD145A"/>
    <w:rsid w:val="5CCD1CD1"/>
    <w:rsid w:val="5CCD8FB0"/>
    <w:rsid w:val="5CCFC957"/>
    <w:rsid w:val="5CD056B6"/>
    <w:rsid w:val="5CD05B69"/>
    <w:rsid w:val="5CD06BA7"/>
    <w:rsid w:val="5CD17439"/>
    <w:rsid w:val="5CD37EA1"/>
    <w:rsid w:val="5CD3F119"/>
    <w:rsid w:val="5CD47DB5"/>
    <w:rsid w:val="5CD655E6"/>
    <w:rsid w:val="5CD73B01"/>
    <w:rsid w:val="5CD7BDF4"/>
    <w:rsid w:val="5CD9A6BF"/>
    <w:rsid w:val="5CDB908F"/>
    <w:rsid w:val="5CDD64E3"/>
    <w:rsid w:val="5CDE7123"/>
    <w:rsid w:val="5CDF43C5"/>
    <w:rsid w:val="5CE41421"/>
    <w:rsid w:val="5CE69C9F"/>
    <w:rsid w:val="5CE6D991"/>
    <w:rsid w:val="5CE7D466"/>
    <w:rsid w:val="5CE8506B"/>
    <w:rsid w:val="5CE99708"/>
    <w:rsid w:val="5CE99CD8"/>
    <w:rsid w:val="5CEA269F"/>
    <w:rsid w:val="5CEA557D"/>
    <w:rsid w:val="5CEA8439"/>
    <w:rsid w:val="5CEAF23A"/>
    <w:rsid w:val="5CEC11EA"/>
    <w:rsid w:val="5CEEDF23"/>
    <w:rsid w:val="5CF22F0E"/>
    <w:rsid w:val="5CF253CD"/>
    <w:rsid w:val="5CF2F2C6"/>
    <w:rsid w:val="5CF6B916"/>
    <w:rsid w:val="5CF8775E"/>
    <w:rsid w:val="5CFB3B16"/>
    <w:rsid w:val="5CFBE8E2"/>
    <w:rsid w:val="5CFD3041"/>
    <w:rsid w:val="5CFF7199"/>
    <w:rsid w:val="5D0139A4"/>
    <w:rsid w:val="5D019067"/>
    <w:rsid w:val="5D02D51D"/>
    <w:rsid w:val="5D05EA22"/>
    <w:rsid w:val="5D07459F"/>
    <w:rsid w:val="5D07CD9E"/>
    <w:rsid w:val="5D07D4EA"/>
    <w:rsid w:val="5D08F13B"/>
    <w:rsid w:val="5D0A2899"/>
    <w:rsid w:val="5D0AA466"/>
    <w:rsid w:val="5D0BECA9"/>
    <w:rsid w:val="5D0D0084"/>
    <w:rsid w:val="5D0D3BD2"/>
    <w:rsid w:val="5D0E116B"/>
    <w:rsid w:val="5D0F0671"/>
    <w:rsid w:val="5D0F7248"/>
    <w:rsid w:val="5D0FA5A7"/>
    <w:rsid w:val="5D116362"/>
    <w:rsid w:val="5D123196"/>
    <w:rsid w:val="5D12854F"/>
    <w:rsid w:val="5D1593C4"/>
    <w:rsid w:val="5D15D42A"/>
    <w:rsid w:val="5D162AE3"/>
    <w:rsid w:val="5D1693C9"/>
    <w:rsid w:val="5D18F9E7"/>
    <w:rsid w:val="5D1B3399"/>
    <w:rsid w:val="5D1B92B8"/>
    <w:rsid w:val="5D1C1D5C"/>
    <w:rsid w:val="5D1E54D7"/>
    <w:rsid w:val="5D1F3535"/>
    <w:rsid w:val="5D1F5FCF"/>
    <w:rsid w:val="5D230506"/>
    <w:rsid w:val="5D28AF4F"/>
    <w:rsid w:val="5D296EBC"/>
    <w:rsid w:val="5D2AD5DA"/>
    <w:rsid w:val="5D308CD1"/>
    <w:rsid w:val="5D321768"/>
    <w:rsid w:val="5D329B51"/>
    <w:rsid w:val="5D32BC4B"/>
    <w:rsid w:val="5D3728A8"/>
    <w:rsid w:val="5D3865AB"/>
    <w:rsid w:val="5D38914D"/>
    <w:rsid w:val="5D399F48"/>
    <w:rsid w:val="5D3A3220"/>
    <w:rsid w:val="5D3B79CB"/>
    <w:rsid w:val="5D3DA0ED"/>
    <w:rsid w:val="5D3E5881"/>
    <w:rsid w:val="5D3E7EF9"/>
    <w:rsid w:val="5D3F073D"/>
    <w:rsid w:val="5D40F067"/>
    <w:rsid w:val="5D422CF7"/>
    <w:rsid w:val="5D4245FE"/>
    <w:rsid w:val="5D43E78C"/>
    <w:rsid w:val="5D44FA93"/>
    <w:rsid w:val="5D45E397"/>
    <w:rsid w:val="5D48BADC"/>
    <w:rsid w:val="5D497C8D"/>
    <w:rsid w:val="5D4A19EE"/>
    <w:rsid w:val="5D4D4A73"/>
    <w:rsid w:val="5D4E201A"/>
    <w:rsid w:val="5D512C06"/>
    <w:rsid w:val="5D516851"/>
    <w:rsid w:val="5D5219D2"/>
    <w:rsid w:val="5D52CABA"/>
    <w:rsid w:val="5D54EE09"/>
    <w:rsid w:val="5D55074B"/>
    <w:rsid w:val="5D559579"/>
    <w:rsid w:val="5D55E18B"/>
    <w:rsid w:val="5D57A343"/>
    <w:rsid w:val="5D5A2AD4"/>
    <w:rsid w:val="5D5BA2BA"/>
    <w:rsid w:val="5D5D428A"/>
    <w:rsid w:val="5D5D4874"/>
    <w:rsid w:val="5D5E1908"/>
    <w:rsid w:val="5D5E697D"/>
    <w:rsid w:val="5D5FC25D"/>
    <w:rsid w:val="5D61F3DA"/>
    <w:rsid w:val="5D6353F7"/>
    <w:rsid w:val="5D63DF86"/>
    <w:rsid w:val="5D673B53"/>
    <w:rsid w:val="5D67ACB6"/>
    <w:rsid w:val="5D68FC07"/>
    <w:rsid w:val="5D69EF20"/>
    <w:rsid w:val="5D6CD1C1"/>
    <w:rsid w:val="5D6E0A84"/>
    <w:rsid w:val="5D6E9137"/>
    <w:rsid w:val="5D72149C"/>
    <w:rsid w:val="5D72FF9F"/>
    <w:rsid w:val="5D732928"/>
    <w:rsid w:val="5D74AF8E"/>
    <w:rsid w:val="5D751C17"/>
    <w:rsid w:val="5D765C92"/>
    <w:rsid w:val="5D78A962"/>
    <w:rsid w:val="5D796F0B"/>
    <w:rsid w:val="5D7B7F86"/>
    <w:rsid w:val="5D7C0F59"/>
    <w:rsid w:val="5D7E3EE7"/>
    <w:rsid w:val="5D7E7893"/>
    <w:rsid w:val="5D80C3AD"/>
    <w:rsid w:val="5D811391"/>
    <w:rsid w:val="5D81EE50"/>
    <w:rsid w:val="5D81EEB4"/>
    <w:rsid w:val="5D82DB45"/>
    <w:rsid w:val="5D8551CD"/>
    <w:rsid w:val="5D87FCB9"/>
    <w:rsid w:val="5D888259"/>
    <w:rsid w:val="5D897EE9"/>
    <w:rsid w:val="5D8DB2DB"/>
    <w:rsid w:val="5D8EC362"/>
    <w:rsid w:val="5D8F9CD4"/>
    <w:rsid w:val="5D8FB316"/>
    <w:rsid w:val="5D8FED94"/>
    <w:rsid w:val="5D90A8DC"/>
    <w:rsid w:val="5D940C12"/>
    <w:rsid w:val="5D96B6BE"/>
    <w:rsid w:val="5D98004F"/>
    <w:rsid w:val="5D983485"/>
    <w:rsid w:val="5DA357E1"/>
    <w:rsid w:val="5DA55D7C"/>
    <w:rsid w:val="5DA716AD"/>
    <w:rsid w:val="5DA9DFCD"/>
    <w:rsid w:val="5DAB9B59"/>
    <w:rsid w:val="5DAE4B23"/>
    <w:rsid w:val="5DB0E8AC"/>
    <w:rsid w:val="5DB190B3"/>
    <w:rsid w:val="5DB2273D"/>
    <w:rsid w:val="5DB2B84B"/>
    <w:rsid w:val="5DB37F16"/>
    <w:rsid w:val="5DB49147"/>
    <w:rsid w:val="5DB60196"/>
    <w:rsid w:val="5DB75B8C"/>
    <w:rsid w:val="5DB79003"/>
    <w:rsid w:val="5DB9A8D8"/>
    <w:rsid w:val="5DBAEA50"/>
    <w:rsid w:val="5DBB1E54"/>
    <w:rsid w:val="5DBCB659"/>
    <w:rsid w:val="5DBD3CBA"/>
    <w:rsid w:val="5DC1D51D"/>
    <w:rsid w:val="5DC5CFC5"/>
    <w:rsid w:val="5DC8818C"/>
    <w:rsid w:val="5DC8C8D9"/>
    <w:rsid w:val="5DC9F6C5"/>
    <w:rsid w:val="5DCB4B25"/>
    <w:rsid w:val="5DCB8FB9"/>
    <w:rsid w:val="5DCEEDFD"/>
    <w:rsid w:val="5DD2E429"/>
    <w:rsid w:val="5DD54382"/>
    <w:rsid w:val="5DD68CD2"/>
    <w:rsid w:val="5DD6AD85"/>
    <w:rsid w:val="5DD7347D"/>
    <w:rsid w:val="5DD8C396"/>
    <w:rsid w:val="5DD9E559"/>
    <w:rsid w:val="5DE078A1"/>
    <w:rsid w:val="5DE2DB25"/>
    <w:rsid w:val="5DE3A2F7"/>
    <w:rsid w:val="5DE6BD17"/>
    <w:rsid w:val="5DE76D3B"/>
    <w:rsid w:val="5DE86AFA"/>
    <w:rsid w:val="5DEA8C20"/>
    <w:rsid w:val="5DEAF0E6"/>
    <w:rsid w:val="5DEAFC81"/>
    <w:rsid w:val="5DEB19D4"/>
    <w:rsid w:val="5DEBF581"/>
    <w:rsid w:val="5DEDB3D6"/>
    <w:rsid w:val="5DEF62E7"/>
    <w:rsid w:val="5DF4FD5D"/>
    <w:rsid w:val="5DF6399D"/>
    <w:rsid w:val="5DF8B74E"/>
    <w:rsid w:val="5DFE4C9E"/>
    <w:rsid w:val="5DFFAC58"/>
    <w:rsid w:val="5E02AC46"/>
    <w:rsid w:val="5E03480C"/>
    <w:rsid w:val="5E041275"/>
    <w:rsid w:val="5E094F40"/>
    <w:rsid w:val="5E0A4FDF"/>
    <w:rsid w:val="5E0B0CDF"/>
    <w:rsid w:val="5E0F80EF"/>
    <w:rsid w:val="5E129B17"/>
    <w:rsid w:val="5E1378DC"/>
    <w:rsid w:val="5E13BF27"/>
    <w:rsid w:val="5E141261"/>
    <w:rsid w:val="5E186FF8"/>
    <w:rsid w:val="5E19C95F"/>
    <w:rsid w:val="5E19CB15"/>
    <w:rsid w:val="5E1A7F23"/>
    <w:rsid w:val="5E1E58F6"/>
    <w:rsid w:val="5E1EB3AA"/>
    <w:rsid w:val="5E1EF533"/>
    <w:rsid w:val="5E1F5487"/>
    <w:rsid w:val="5E237342"/>
    <w:rsid w:val="5E2BA48C"/>
    <w:rsid w:val="5E2CA321"/>
    <w:rsid w:val="5E2D2AC7"/>
    <w:rsid w:val="5E2E41A4"/>
    <w:rsid w:val="5E30809F"/>
    <w:rsid w:val="5E30ACC9"/>
    <w:rsid w:val="5E3259DE"/>
    <w:rsid w:val="5E369174"/>
    <w:rsid w:val="5E395A86"/>
    <w:rsid w:val="5E3C5783"/>
    <w:rsid w:val="5E4529B0"/>
    <w:rsid w:val="5E46B0D9"/>
    <w:rsid w:val="5E46D70B"/>
    <w:rsid w:val="5E476CAF"/>
    <w:rsid w:val="5E48F402"/>
    <w:rsid w:val="5E49B708"/>
    <w:rsid w:val="5E4C31E5"/>
    <w:rsid w:val="5E4FDF4E"/>
    <w:rsid w:val="5E504BEE"/>
    <w:rsid w:val="5E5050CD"/>
    <w:rsid w:val="5E512BCD"/>
    <w:rsid w:val="5E51FE45"/>
    <w:rsid w:val="5E5236A4"/>
    <w:rsid w:val="5E541DA3"/>
    <w:rsid w:val="5E55EC66"/>
    <w:rsid w:val="5E57349C"/>
    <w:rsid w:val="5E58CB29"/>
    <w:rsid w:val="5E598550"/>
    <w:rsid w:val="5E5A3400"/>
    <w:rsid w:val="5E5BC76F"/>
    <w:rsid w:val="5E5C9746"/>
    <w:rsid w:val="5E5D3298"/>
    <w:rsid w:val="5E60EF0C"/>
    <w:rsid w:val="5E6154D0"/>
    <w:rsid w:val="5E6168A0"/>
    <w:rsid w:val="5E61D91F"/>
    <w:rsid w:val="5E6422CD"/>
    <w:rsid w:val="5E672620"/>
    <w:rsid w:val="5E699F4A"/>
    <w:rsid w:val="5E6BF9C3"/>
    <w:rsid w:val="5E6CD8E2"/>
    <w:rsid w:val="5E6E36CC"/>
    <w:rsid w:val="5E6FCA08"/>
    <w:rsid w:val="5E71063D"/>
    <w:rsid w:val="5E72CCB7"/>
    <w:rsid w:val="5E7343F4"/>
    <w:rsid w:val="5E73FEE0"/>
    <w:rsid w:val="5E741956"/>
    <w:rsid w:val="5E76413B"/>
    <w:rsid w:val="5E77D14C"/>
    <w:rsid w:val="5E797B73"/>
    <w:rsid w:val="5E7A7798"/>
    <w:rsid w:val="5E7D1005"/>
    <w:rsid w:val="5E7EC773"/>
    <w:rsid w:val="5E7FD611"/>
    <w:rsid w:val="5E81EED8"/>
    <w:rsid w:val="5E8380B4"/>
    <w:rsid w:val="5E83D127"/>
    <w:rsid w:val="5E86829F"/>
    <w:rsid w:val="5E87456D"/>
    <w:rsid w:val="5E87C019"/>
    <w:rsid w:val="5E880095"/>
    <w:rsid w:val="5E881152"/>
    <w:rsid w:val="5E8A138D"/>
    <w:rsid w:val="5E8AD562"/>
    <w:rsid w:val="5E8BD08C"/>
    <w:rsid w:val="5E8BFE92"/>
    <w:rsid w:val="5E8CE58C"/>
    <w:rsid w:val="5E8EA473"/>
    <w:rsid w:val="5E91EDF7"/>
    <w:rsid w:val="5E941906"/>
    <w:rsid w:val="5E967C09"/>
    <w:rsid w:val="5E978854"/>
    <w:rsid w:val="5E99901E"/>
    <w:rsid w:val="5E9A2C26"/>
    <w:rsid w:val="5E9C32F7"/>
    <w:rsid w:val="5E9D116D"/>
    <w:rsid w:val="5E9E3711"/>
    <w:rsid w:val="5E9E7BB5"/>
    <w:rsid w:val="5E9F8847"/>
    <w:rsid w:val="5EA12992"/>
    <w:rsid w:val="5EA22B28"/>
    <w:rsid w:val="5EA28B56"/>
    <w:rsid w:val="5EA32934"/>
    <w:rsid w:val="5EA5AD54"/>
    <w:rsid w:val="5EA65423"/>
    <w:rsid w:val="5EA70D5F"/>
    <w:rsid w:val="5EA7356E"/>
    <w:rsid w:val="5EA7C1A3"/>
    <w:rsid w:val="5EA81BF1"/>
    <w:rsid w:val="5EA84442"/>
    <w:rsid w:val="5EA8835C"/>
    <w:rsid w:val="5EA8C6E5"/>
    <w:rsid w:val="5EABA143"/>
    <w:rsid w:val="5EAC6F22"/>
    <w:rsid w:val="5EAD4A40"/>
    <w:rsid w:val="5EAE1969"/>
    <w:rsid w:val="5EAE9E80"/>
    <w:rsid w:val="5EAFCB6E"/>
    <w:rsid w:val="5EB968AA"/>
    <w:rsid w:val="5EBA4C16"/>
    <w:rsid w:val="5EBECF05"/>
    <w:rsid w:val="5EBF8F5D"/>
    <w:rsid w:val="5EC207BE"/>
    <w:rsid w:val="5EC3B322"/>
    <w:rsid w:val="5EC3CF0F"/>
    <w:rsid w:val="5EC3E18A"/>
    <w:rsid w:val="5EC3F49B"/>
    <w:rsid w:val="5EC53F9F"/>
    <w:rsid w:val="5EC784BF"/>
    <w:rsid w:val="5EC940ED"/>
    <w:rsid w:val="5ECA39ED"/>
    <w:rsid w:val="5ECA6FE9"/>
    <w:rsid w:val="5ECDCBF1"/>
    <w:rsid w:val="5ECE96C7"/>
    <w:rsid w:val="5ED04356"/>
    <w:rsid w:val="5ED1370B"/>
    <w:rsid w:val="5ED2C078"/>
    <w:rsid w:val="5ED47993"/>
    <w:rsid w:val="5ED6EEF4"/>
    <w:rsid w:val="5ED7489C"/>
    <w:rsid w:val="5ED7D3FA"/>
    <w:rsid w:val="5ED9F551"/>
    <w:rsid w:val="5EDA48AE"/>
    <w:rsid w:val="5EDD61C6"/>
    <w:rsid w:val="5EE041E9"/>
    <w:rsid w:val="5EE50E29"/>
    <w:rsid w:val="5EE604DB"/>
    <w:rsid w:val="5EE7E10C"/>
    <w:rsid w:val="5EE896AA"/>
    <w:rsid w:val="5EE919E0"/>
    <w:rsid w:val="5EE9F540"/>
    <w:rsid w:val="5EEE966A"/>
    <w:rsid w:val="5EEF9E43"/>
    <w:rsid w:val="5EEFD37D"/>
    <w:rsid w:val="5EF09ACF"/>
    <w:rsid w:val="5EF334F0"/>
    <w:rsid w:val="5EF49A49"/>
    <w:rsid w:val="5EF57A0C"/>
    <w:rsid w:val="5EFE8375"/>
    <w:rsid w:val="5EFEA2C5"/>
    <w:rsid w:val="5F026102"/>
    <w:rsid w:val="5F02BEEB"/>
    <w:rsid w:val="5F05D058"/>
    <w:rsid w:val="5F082443"/>
    <w:rsid w:val="5F085408"/>
    <w:rsid w:val="5F0AD65F"/>
    <w:rsid w:val="5F0B7981"/>
    <w:rsid w:val="5F0BBC0D"/>
    <w:rsid w:val="5F0BC0A8"/>
    <w:rsid w:val="5F0C8980"/>
    <w:rsid w:val="5F0DB3AC"/>
    <w:rsid w:val="5F14CDA9"/>
    <w:rsid w:val="5F18623A"/>
    <w:rsid w:val="5F1A2850"/>
    <w:rsid w:val="5F1E1DB0"/>
    <w:rsid w:val="5F1ED783"/>
    <w:rsid w:val="5F20ED80"/>
    <w:rsid w:val="5F262320"/>
    <w:rsid w:val="5F277E2C"/>
    <w:rsid w:val="5F2868BC"/>
    <w:rsid w:val="5F2ABED0"/>
    <w:rsid w:val="5F2B6F74"/>
    <w:rsid w:val="5F2E19E4"/>
    <w:rsid w:val="5F2EA7D2"/>
    <w:rsid w:val="5F2EDED7"/>
    <w:rsid w:val="5F2F4D68"/>
    <w:rsid w:val="5F3297D6"/>
    <w:rsid w:val="5F344EF0"/>
    <w:rsid w:val="5F3459F7"/>
    <w:rsid w:val="5F34EAC8"/>
    <w:rsid w:val="5F3543FD"/>
    <w:rsid w:val="5F355D2B"/>
    <w:rsid w:val="5F365FF6"/>
    <w:rsid w:val="5F38B2D3"/>
    <w:rsid w:val="5F3C8754"/>
    <w:rsid w:val="5F3CDA12"/>
    <w:rsid w:val="5F3E6505"/>
    <w:rsid w:val="5F3F6A6E"/>
    <w:rsid w:val="5F406052"/>
    <w:rsid w:val="5F406CEC"/>
    <w:rsid w:val="5F40ACA7"/>
    <w:rsid w:val="5F40E7D2"/>
    <w:rsid w:val="5F42339A"/>
    <w:rsid w:val="5F43D6D1"/>
    <w:rsid w:val="5F440F5E"/>
    <w:rsid w:val="5F45D0CE"/>
    <w:rsid w:val="5F460A71"/>
    <w:rsid w:val="5F4640DC"/>
    <w:rsid w:val="5F4FCE21"/>
    <w:rsid w:val="5F5105E6"/>
    <w:rsid w:val="5F513110"/>
    <w:rsid w:val="5F51AEC8"/>
    <w:rsid w:val="5F536385"/>
    <w:rsid w:val="5F57C558"/>
    <w:rsid w:val="5F58965D"/>
    <w:rsid w:val="5F59127E"/>
    <w:rsid w:val="5F5B3025"/>
    <w:rsid w:val="5F5BFDBD"/>
    <w:rsid w:val="5F5D80AA"/>
    <w:rsid w:val="5F61043D"/>
    <w:rsid w:val="5F6109ED"/>
    <w:rsid w:val="5F614EBD"/>
    <w:rsid w:val="5F635113"/>
    <w:rsid w:val="5F68BCBF"/>
    <w:rsid w:val="5F69E73F"/>
    <w:rsid w:val="5F6AF62E"/>
    <w:rsid w:val="5F6C226B"/>
    <w:rsid w:val="5F6CB361"/>
    <w:rsid w:val="5F6D3ED9"/>
    <w:rsid w:val="5F6D5342"/>
    <w:rsid w:val="5F6EE25F"/>
    <w:rsid w:val="5F7058EB"/>
    <w:rsid w:val="5F7167A4"/>
    <w:rsid w:val="5F73ED17"/>
    <w:rsid w:val="5F76A17E"/>
    <w:rsid w:val="5F785E77"/>
    <w:rsid w:val="5F7AF4A8"/>
    <w:rsid w:val="5F7C205A"/>
    <w:rsid w:val="5F804D08"/>
    <w:rsid w:val="5F81A04D"/>
    <w:rsid w:val="5F81BE41"/>
    <w:rsid w:val="5F851435"/>
    <w:rsid w:val="5F86F13F"/>
    <w:rsid w:val="5F8727A5"/>
    <w:rsid w:val="5F87B672"/>
    <w:rsid w:val="5F8BD92D"/>
    <w:rsid w:val="5F8DB844"/>
    <w:rsid w:val="5F8DE44D"/>
    <w:rsid w:val="5F8DEA46"/>
    <w:rsid w:val="5F8DEC1F"/>
    <w:rsid w:val="5F8E77B3"/>
    <w:rsid w:val="5F8FF3E5"/>
    <w:rsid w:val="5F908344"/>
    <w:rsid w:val="5F917C09"/>
    <w:rsid w:val="5F925E9E"/>
    <w:rsid w:val="5F942AD4"/>
    <w:rsid w:val="5F948115"/>
    <w:rsid w:val="5F9501BE"/>
    <w:rsid w:val="5F9663AB"/>
    <w:rsid w:val="5F96CC44"/>
    <w:rsid w:val="5F96E33F"/>
    <w:rsid w:val="5F977436"/>
    <w:rsid w:val="5F989BB7"/>
    <w:rsid w:val="5F9AC185"/>
    <w:rsid w:val="5F9BF05B"/>
    <w:rsid w:val="5FA0F827"/>
    <w:rsid w:val="5FA13756"/>
    <w:rsid w:val="5FA1E128"/>
    <w:rsid w:val="5FA40E8D"/>
    <w:rsid w:val="5FA7039C"/>
    <w:rsid w:val="5FA8EA7B"/>
    <w:rsid w:val="5FA95808"/>
    <w:rsid w:val="5FA9C890"/>
    <w:rsid w:val="5FAB4720"/>
    <w:rsid w:val="5FABE331"/>
    <w:rsid w:val="5FAC303F"/>
    <w:rsid w:val="5FAC6E0F"/>
    <w:rsid w:val="5FAE2CB6"/>
    <w:rsid w:val="5FAF63B0"/>
    <w:rsid w:val="5FAFDF54"/>
    <w:rsid w:val="5FB05055"/>
    <w:rsid w:val="5FB2BF57"/>
    <w:rsid w:val="5FB3F3A3"/>
    <w:rsid w:val="5FB6A803"/>
    <w:rsid w:val="5FB85EF3"/>
    <w:rsid w:val="5FB9822F"/>
    <w:rsid w:val="5FBEDAD0"/>
    <w:rsid w:val="5FBF7E6F"/>
    <w:rsid w:val="5FC05CD5"/>
    <w:rsid w:val="5FC20AAC"/>
    <w:rsid w:val="5FC389AF"/>
    <w:rsid w:val="5FC45A15"/>
    <w:rsid w:val="5FC45DDE"/>
    <w:rsid w:val="5FC99C98"/>
    <w:rsid w:val="5FC9BA24"/>
    <w:rsid w:val="5FCC385B"/>
    <w:rsid w:val="5FCE0AC2"/>
    <w:rsid w:val="5FCEC548"/>
    <w:rsid w:val="5FCEDA41"/>
    <w:rsid w:val="5FD0F809"/>
    <w:rsid w:val="5FD188E1"/>
    <w:rsid w:val="5FD24027"/>
    <w:rsid w:val="5FD40392"/>
    <w:rsid w:val="5FD59780"/>
    <w:rsid w:val="5FD713C9"/>
    <w:rsid w:val="5FD76B21"/>
    <w:rsid w:val="5FD8B8BE"/>
    <w:rsid w:val="5FDC0655"/>
    <w:rsid w:val="5FDD422B"/>
    <w:rsid w:val="5FDD5B9A"/>
    <w:rsid w:val="5FDDDEEE"/>
    <w:rsid w:val="5FDE55FE"/>
    <w:rsid w:val="5FDEE12B"/>
    <w:rsid w:val="5FDF1033"/>
    <w:rsid w:val="5FE1B10B"/>
    <w:rsid w:val="5FE33069"/>
    <w:rsid w:val="5FE3B8EB"/>
    <w:rsid w:val="5FE57B5E"/>
    <w:rsid w:val="5FE7F9C7"/>
    <w:rsid w:val="5FEB0F07"/>
    <w:rsid w:val="5FEB55A1"/>
    <w:rsid w:val="5FEB98BC"/>
    <w:rsid w:val="5FEE20A6"/>
    <w:rsid w:val="5FEE97A4"/>
    <w:rsid w:val="5FF1E29C"/>
    <w:rsid w:val="5FF259EF"/>
    <w:rsid w:val="5FF58669"/>
    <w:rsid w:val="5FFB90B4"/>
    <w:rsid w:val="60021CFF"/>
    <w:rsid w:val="60029DF2"/>
    <w:rsid w:val="6003BA20"/>
    <w:rsid w:val="6005DB5C"/>
    <w:rsid w:val="60075DC5"/>
    <w:rsid w:val="6007E6FA"/>
    <w:rsid w:val="600925CE"/>
    <w:rsid w:val="600B59FF"/>
    <w:rsid w:val="600C00B6"/>
    <w:rsid w:val="600CBF90"/>
    <w:rsid w:val="600CC374"/>
    <w:rsid w:val="600F45B1"/>
    <w:rsid w:val="60101F08"/>
    <w:rsid w:val="601189C7"/>
    <w:rsid w:val="6012A730"/>
    <w:rsid w:val="60133FF7"/>
    <w:rsid w:val="6014F061"/>
    <w:rsid w:val="60156C50"/>
    <w:rsid w:val="6015C2FA"/>
    <w:rsid w:val="60160853"/>
    <w:rsid w:val="60162E2B"/>
    <w:rsid w:val="6019B752"/>
    <w:rsid w:val="601A125A"/>
    <w:rsid w:val="601AC30D"/>
    <w:rsid w:val="601C3D92"/>
    <w:rsid w:val="601DD4ED"/>
    <w:rsid w:val="601E1DE3"/>
    <w:rsid w:val="601F9464"/>
    <w:rsid w:val="60207BBD"/>
    <w:rsid w:val="60225011"/>
    <w:rsid w:val="6022DF01"/>
    <w:rsid w:val="6026AAD5"/>
    <w:rsid w:val="602730F1"/>
    <w:rsid w:val="60277C53"/>
    <w:rsid w:val="60278A24"/>
    <w:rsid w:val="6027B5FA"/>
    <w:rsid w:val="602B4837"/>
    <w:rsid w:val="602B6B35"/>
    <w:rsid w:val="602BE08C"/>
    <w:rsid w:val="60315123"/>
    <w:rsid w:val="6031DAB8"/>
    <w:rsid w:val="60330195"/>
    <w:rsid w:val="6036BB00"/>
    <w:rsid w:val="60386D51"/>
    <w:rsid w:val="603C10F9"/>
    <w:rsid w:val="60416102"/>
    <w:rsid w:val="604374AC"/>
    <w:rsid w:val="6043A2E5"/>
    <w:rsid w:val="60446780"/>
    <w:rsid w:val="6046553B"/>
    <w:rsid w:val="60472988"/>
    <w:rsid w:val="604987A0"/>
    <w:rsid w:val="604B65C3"/>
    <w:rsid w:val="604EBAF6"/>
    <w:rsid w:val="604FC0B0"/>
    <w:rsid w:val="60509B2E"/>
    <w:rsid w:val="60518C94"/>
    <w:rsid w:val="60519456"/>
    <w:rsid w:val="6053AA4A"/>
    <w:rsid w:val="60557319"/>
    <w:rsid w:val="6056EFC0"/>
    <w:rsid w:val="6058015B"/>
    <w:rsid w:val="605839EC"/>
    <w:rsid w:val="605B8C35"/>
    <w:rsid w:val="605BE08B"/>
    <w:rsid w:val="605C6748"/>
    <w:rsid w:val="605F7C7A"/>
    <w:rsid w:val="60618939"/>
    <w:rsid w:val="6061E36A"/>
    <w:rsid w:val="60641F9B"/>
    <w:rsid w:val="6064BB74"/>
    <w:rsid w:val="6068767D"/>
    <w:rsid w:val="606AB5D5"/>
    <w:rsid w:val="606B0CBB"/>
    <w:rsid w:val="606BD9DC"/>
    <w:rsid w:val="606DA2F6"/>
    <w:rsid w:val="606FAA52"/>
    <w:rsid w:val="607285C3"/>
    <w:rsid w:val="60739748"/>
    <w:rsid w:val="60747A18"/>
    <w:rsid w:val="6074C9C4"/>
    <w:rsid w:val="60752A7C"/>
    <w:rsid w:val="6076569F"/>
    <w:rsid w:val="6077A8BA"/>
    <w:rsid w:val="607B7C6A"/>
    <w:rsid w:val="607C5B9C"/>
    <w:rsid w:val="60815C2C"/>
    <w:rsid w:val="60842610"/>
    <w:rsid w:val="6085D763"/>
    <w:rsid w:val="60876C7E"/>
    <w:rsid w:val="60876CDB"/>
    <w:rsid w:val="6089DE58"/>
    <w:rsid w:val="608A191F"/>
    <w:rsid w:val="608AD949"/>
    <w:rsid w:val="608B77DC"/>
    <w:rsid w:val="608C41FE"/>
    <w:rsid w:val="608DFD8D"/>
    <w:rsid w:val="608E0658"/>
    <w:rsid w:val="608F7C6C"/>
    <w:rsid w:val="6091146A"/>
    <w:rsid w:val="6091D04C"/>
    <w:rsid w:val="6091D35B"/>
    <w:rsid w:val="60924EAE"/>
    <w:rsid w:val="60941ADC"/>
    <w:rsid w:val="609504B9"/>
    <w:rsid w:val="609745E2"/>
    <w:rsid w:val="6099C362"/>
    <w:rsid w:val="609C0232"/>
    <w:rsid w:val="609ED327"/>
    <w:rsid w:val="60A0094C"/>
    <w:rsid w:val="60A02FBA"/>
    <w:rsid w:val="60A112C7"/>
    <w:rsid w:val="60A18750"/>
    <w:rsid w:val="60A26DA7"/>
    <w:rsid w:val="60A37360"/>
    <w:rsid w:val="60A495F8"/>
    <w:rsid w:val="60A4B492"/>
    <w:rsid w:val="60A5CD53"/>
    <w:rsid w:val="60A63B6C"/>
    <w:rsid w:val="60A6F76C"/>
    <w:rsid w:val="60A928E3"/>
    <w:rsid w:val="60A94FA6"/>
    <w:rsid w:val="60A9A22E"/>
    <w:rsid w:val="60AACAC7"/>
    <w:rsid w:val="60AE4DC1"/>
    <w:rsid w:val="60AE698A"/>
    <w:rsid w:val="60AFCB3F"/>
    <w:rsid w:val="60B0EFE5"/>
    <w:rsid w:val="60B27615"/>
    <w:rsid w:val="60B3A4B5"/>
    <w:rsid w:val="60B42405"/>
    <w:rsid w:val="60B435FF"/>
    <w:rsid w:val="60B4935D"/>
    <w:rsid w:val="60B5517B"/>
    <w:rsid w:val="60B699D3"/>
    <w:rsid w:val="60BB0F6C"/>
    <w:rsid w:val="60BCD9BB"/>
    <w:rsid w:val="60BFD9A5"/>
    <w:rsid w:val="60C10330"/>
    <w:rsid w:val="60C2617A"/>
    <w:rsid w:val="60C57FAF"/>
    <w:rsid w:val="60C73D26"/>
    <w:rsid w:val="60C7A6F4"/>
    <w:rsid w:val="60CBD3C0"/>
    <w:rsid w:val="60D1033B"/>
    <w:rsid w:val="60D1EFE0"/>
    <w:rsid w:val="60D24E3B"/>
    <w:rsid w:val="60D271D3"/>
    <w:rsid w:val="60D30F46"/>
    <w:rsid w:val="60D41F50"/>
    <w:rsid w:val="60D481E7"/>
    <w:rsid w:val="60D4E60A"/>
    <w:rsid w:val="60D5587A"/>
    <w:rsid w:val="60D580C9"/>
    <w:rsid w:val="60D7F761"/>
    <w:rsid w:val="60D807F5"/>
    <w:rsid w:val="60D9A03F"/>
    <w:rsid w:val="60D9E683"/>
    <w:rsid w:val="60DB9B29"/>
    <w:rsid w:val="60DB9F9E"/>
    <w:rsid w:val="60DBED26"/>
    <w:rsid w:val="60DCA11F"/>
    <w:rsid w:val="60DCC33C"/>
    <w:rsid w:val="60DCC471"/>
    <w:rsid w:val="60DD1C4E"/>
    <w:rsid w:val="60DD5F5E"/>
    <w:rsid w:val="60DDD725"/>
    <w:rsid w:val="60DE9F62"/>
    <w:rsid w:val="60DF3F16"/>
    <w:rsid w:val="60E0BC84"/>
    <w:rsid w:val="60E3D3B6"/>
    <w:rsid w:val="60E5F9E1"/>
    <w:rsid w:val="60E67D9C"/>
    <w:rsid w:val="60E89A5A"/>
    <w:rsid w:val="60E9008E"/>
    <w:rsid w:val="60EB1334"/>
    <w:rsid w:val="60ED8672"/>
    <w:rsid w:val="60EDC40B"/>
    <w:rsid w:val="60F031EE"/>
    <w:rsid w:val="60F0375E"/>
    <w:rsid w:val="60F0F88C"/>
    <w:rsid w:val="60F11A1A"/>
    <w:rsid w:val="60F56D6F"/>
    <w:rsid w:val="60F636F9"/>
    <w:rsid w:val="60F88687"/>
    <w:rsid w:val="60F99AD2"/>
    <w:rsid w:val="60FAAE4C"/>
    <w:rsid w:val="60FF3E19"/>
    <w:rsid w:val="61004857"/>
    <w:rsid w:val="6100D332"/>
    <w:rsid w:val="61029EDF"/>
    <w:rsid w:val="61048C43"/>
    <w:rsid w:val="6107A554"/>
    <w:rsid w:val="6107A75F"/>
    <w:rsid w:val="610865A5"/>
    <w:rsid w:val="610A0BA8"/>
    <w:rsid w:val="610AF947"/>
    <w:rsid w:val="610B22C5"/>
    <w:rsid w:val="610CAD17"/>
    <w:rsid w:val="610CB334"/>
    <w:rsid w:val="610FFBA6"/>
    <w:rsid w:val="61100238"/>
    <w:rsid w:val="6110BAA9"/>
    <w:rsid w:val="61124974"/>
    <w:rsid w:val="6112745F"/>
    <w:rsid w:val="611341E3"/>
    <w:rsid w:val="6118A8BF"/>
    <w:rsid w:val="611A53C3"/>
    <w:rsid w:val="611DEA24"/>
    <w:rsid w:val="611E4858"/>
    <w:rsid w:val="611EF7A3"/>
    <w:rsid w:val="611FC6D6"/>
    <w:rsid w:val="611FFA3C"/>
    <w:rsid w:val="6120C7DF"/>
    <w:rsid w:val="61213CCC"/>
    <w:rsid w:val="61232321"/>
    <w:rsid w:val="61247329"/>
    <w:rsid w:val="6124F5E5"/>
    <w:rsid w:val="6128742F"/>
    <w:rsid w:val="6129FDDC"/>
    <w:rsid w:val="612FAC42"/>
    <w:rsid w:val="613104EF"/>
    <w:rsid w:val="6131C9AF"/>
    <w:rsid w:val="61339832"/>
    <w:rsid w:val="61356C7B"/>
    <w:rsid w:val="61396C80"/>
    <w:rsid w:val="613A1620"/>
    <w:rsid w:val="613A64A6"/>
    <w:rsid w:val="613B1489"/>
    <w:rsid w:val="613D3C59"/>
    <w:rsid w:val="613D7CCB"/>
    <w:rsid w:val="613DC91C"/>
    <w:rsid w:val="613EAF70"/>
    <w:rsid w:val="613ED8DD"/>
    <w:rsid w:val="61404388"/>
    <w:rsid w:val="6141AD7D"/>
    <w:rsid w:val="61437BC4"/>
    <w:rsid w:val="61438105"/>
    <w:rsid w:val="614B1D4B"/>
    <w:rsid w:val="614C5F77"/>
    <w:rsid w:val="614CC43F"/>
    <w:rsid w:val="614F19EF"/>
    <w:rsid w:val="61501FDC"/>
    <w:rsid w:val="6150A7BF"/>
    <w:rsid w:val="61575947"/>
    <w:rsid w:val="61578A00"/>
    <w:rsid w:val="615CA8B6"/>
    <w:rsid w:val="615F00D3"/>
    <w:rsid w:val="615F2D96"/>
    <w:rsid w:val="61608394"/>
    <w:rsid w:val="61656255"/>
    <w:rsid w:val="6165E146"/>
    <w:rsid w:val="616765B0"/>
    <w:rsid w:val="61695A30"/>
    <w:rsid w:val="616AF717"/>
    <w:rsid w:val="616B9402"/>
    <w:rsid w:val="616BBE6D"/>
    <w:rsid w:val="616C8AD3"/>
    <w:rsid w:val="616D62DA"/>
    <w:rsid w:val="616DF459"/>
    <w:rsid w:val="6170AD46"/>
    <w:rsid w:val="6170AD9E"/>
    <w:rsid w:val="617389E7"/>
    <w:rsid w:val="6175B81D"/>
    <w:rsid w:val="61765CDD"/>
    <w:rsid w:val="6177BF4E"/>
    <w:rsid w:val="6178C952"/>
    <w:rsid w:val="6178D1AD"/>
    <w:rsid w:val="617DDB83"/>
    <w:rsid w:val="617ECB38"/>
    <w:rsid w:val="617FF561"/>
    <w:rsid w:val="61816A32"/>
    <w:rsid w:val="61827142"/>
    <w:rsid w:val="61840703"/>
    <w:rsid w:val="6184D3EC"/>
    <w:rsid w:val="6185AADF"/>
    <w:rsid w:val="6185C2ED"/>
    <w:rsid w:val="6187109F"/>
    <w:rsid w:val="6189CA44"/>
    <w:rsid w:val="618B268D"/>
    <w:rsid w:val="618E7E5D"/>
    <w:rsid w:val="6191425B"/>
    <w:rsid w:val="619151E1"/>
    <w:rsid w:val="6191D39F"/>
    <w:rsid w:val="6191EF66"/>
    <w:rsid w:val="61947AFA"/>
    <w:rsid w:val="61966649"/>
    <w:rsid w:val="6196E7B6"/>
    <w:rsid w:val="61988A9B"/>
    <w:rsid w:val="6199E85E"/>
    <w:rsid w:val="61A0CB3C"/>
    <w:rsid w:val="61A355BA"/>
    <w:rsid w:val="61A41A0C"/>
    <w:rsid w:val="61A5D62A"/>
    <w:rsid w:val="61A880C7"/>
    <w:rsid w:val="61AA821D"/>
    <w:rsid w:val="61ABCC04"/>
    <w:rsid w:val="61AC3B87"/>
    <w:rsid w:val="61AD59AB"/>
    <w:rsid w:val="61AE1B27"/>
    <w:rsid w:val="61AE9065"/>
    <w:rsid w:val="61AEBA69"/>
    <w:rsid w:val="61AFC6A6"/>
    <w:rsid w:val="61B1435B"/>
    <w:rsid w:val="61B15236"/>
    <w:rsid w:val="61B551F5"/>
    <w:rsid w:val="61B78F0D"/>
    <w:rsid w:val="61B7D7AD"/>
    <w:rsid w:val="61B8C97C"/>
    <w:rsid w:val="61B9A24D"/>
    <w:rsid w:val="61BA627E"/>
    <w:rsid w:val="61BAC238"/>
    <w:rsid w:val="61C023A9"/>
    <w:rsid w:val="61C15C23"/>
    <w:rsid w:val="61C1D221"/>
    <w:rsid w:val="61C1F979"/>
    <w:rsid w:val="61C5A52E"/>
    <w:rsid w:val="61C7950F"/>
    <w:rsid w:val="61C8CD07"/>
    <w:rsid w:val="61CD9874"/>
    <w:rsid w:val="61CF0E2D"/>
    <w:rsid w:val="61D01841"/>
    <w:rsid w:val="61D09CE1"/>
    <w:rsid w:val="61D0B6AB"/>
    <w:rsid w:val="61D15339"/>
    <w:rsid w:val="61D26090"/>
    <w:rsid w:val="61D31DFB"/>
    <w:rsid w:val="61D43222"/>
    <w:rsid w:val="61D48377"/>
    <w:rsid w:val="61D56818"/>
    <w:rsid w:val="61D61D67"/>
    <w:rsid w:val="61D68684"/>
    <w:rsid w:val="61D836EB"/>
    <w:rsid w:val="61DA7D0B"/>
    <w:rsid w:val="61DA8023"/>
    <w:rsid w:val="61DC8B46"/>
    <w:rsid w:val="61DFB411"/>
    <w:rsid w:val="61E196CF"/>
    <w:rsid w:val="61E51813"/>
    <w:rsid w:val="61E924F4"/>
    <w:rsid w:val="61EAFD91"/>
    <w:rsid w:val="61EB012E"/>
    <w:rsid w:val="61EB758E"/>
    <w:rsid w:val="61EB80D5"/>
    <w:rsid w:val="61EBD0FB"/>
    <w:rsid w:val="61ECB0B8"/>
    <w:rsid w:val="61ED7F2C"/>
    <w:rsid w:val="61EECFE5"/>
    <w:rsid w:val="61EFA046"/>
    <w:rsid w:val="61F0939C"/>
    <w:rsid w:val="61F3BAD7"/>
    <w:rsid w:val="61F4DCB4"/>
    <w:rsid w:val="61F62CEF"/>
    <w:rsid w:val="61F9201D"/>
    <w:rsid w:val="61FBD9BD"/>
    <w:rsid w:val="61FBEFA1"/>
    <w:rsid w:val="61FCBA48"/>
    <w:rsid w:val="61FD7DA0"/>
    <w:rsid w:val="61FE17D3"/>
    <w:rsid w:val="61FF997A"/>
    <w:rsid w:val="620442D2"/>
    <w:rsid w:val="62047F95"/>
    <w:rsid w:val="6205C29A"/>
    <w:rsid w:val="6209F563"/>
    <w:rsid w:val="620B74B1"/>
    <w:rsid w:val="620BD561"/>
    <w:rsid w:val="620DF95A"/>
    <w:rsid w:val="62100432"/>
    <w:rsid w:val="62103ADA"/>
    <w:rsid w:val="6210735D"/>
    <w:rsid w:val="6214B0B2"/>
    <w:rsid w:val="62183221"/>
    <w:rsid w:val="62184C34"/>
    <w:rsid w:val="621B72F5"/>
    <w:rsid w:val="621BAACE"/>
    <w:rsid w:val="621C06AB"/>
    <w:rsid w:val="621FF17D"/>
    <w:rsid w:val="6220BAEA"/>
    <w:rsid w:val="6221BFD7"/>
    <w:rsid w:val="622418AB"/>
    <w:rsid w:val="62249EEA"/>
    <w:rsid w:val="622566AF"/>
    <w:rsid w:val="6225A31C"/>
    <w:rsid w:val="622A28E9"/>
    <w:rsid w:val="622A552A"/>
    <w:rsid w:val="622A6D75"/>
    <w:rsid w:val="622BB4B2"/>
    <w:rsid w:val="622C390D"/>
    <w:rsid w:val="622E931B"/>
    <w:rsid w:val="62356D22"/>
    <w:rsid w:val="623784E1"/>
    <w:rsid w:val="62378D03"/>
    <w:rsid w:val="623B8C85"/>
    <w:rsid w:val="623D8FF4"/>
    <w:rsid w:val="623DCA4D"/>
    <w:rsid w:val="6240575C"/>
    <w:rsid w:val="6241492A"/>
    <w:rsid w:val="6241E295"/>
    <w:rsid w:val="62420969"/>
    <w:rsid w:val="6243C0CF"/>
    <w:rsid w:val="624520AA"/>
    <w:rsid w:val="624661D5"/>
    <w:rsid w:val="624780C5"/>
    <w:rsid w:val="6248C9CC"/>
    <w:rsid w:val="6248EA98"/>
    <w:rsid w:val="624DC972"/>
    <w:rsid w:val="624EF0B0"/>
    <w:rsid w:val="6250E182"/>
    <w:rsid w:val="62517917"/>
    <w:rsid w:val="6253BBA9"/>
    <w:rsid w:val="6253CEC9"/>
    <w:rsid w:val="6255A6B3"/>
    <w:rsid w:val="62561D72"/>
    <w:rsid w:val="62577CC3"/>
    <w:rsid w:val="625A02A0"/>
    <w:rsid w:val="625A8D8E"/>
    <w:rsid w:val="625B6446"/>
    <w:rsid w:val="625E07E3"/>
    <w:rsid w:val="625E4FA5"/>
    <w:rsid w:val="62623546"/>
    <w:rsid w:val="62629F09"/>
    <w:rsid w:val="62629F56"/>
    <w:rsid w:val="62662D43"/>
    <w:rsid w:val="6266ACC6"/>
    <w:rsid w:val="6268CFDD"/>
    <w:rsid w:val="62698D25"/>
    <w:rsid w:val="62699724"/>
    <w:rsid w:val="626E1645"/>
    <w:rsid w:val="626EEFC5"/>
    <w:rsid w:val="627321EB"/>
    <w:rsid w:val="62763BFC"/>
    <w:rsid w:val="627661B5"/>
    <w:rsid w:val="62766C09"/>
    <w:rsid w:val="6277A24D"/>
    <w:rsid w:val="6278935A"/>
    <w:rsid w:val="62793ECE"/>
    <w:rsid w:val="627FE80D"/>
    <w:rsid w:val="6282BCF2"/>
    <w:rsid w:val="6286848C"/>
    <w:rsid w:val="628BB8A6"/>
    <w:rsid w:val="628BFE7B"/>
    <w:rsid w:val="628D834F"/>
    <w:rsid w:val="628F6593"/>
    <w:rsid w:val="628F9EEA"/>
    <w:rsid w:val="628FCE8F"/>
    <w:rsid w:val="628FF258"/>
    <w:rsid w:val="62907564"/>
    <w:rsid w:val="6291F569"/>
    <w:rsid w:val="6295139E"/>
    <w:rsid w:val="629612F3"/>
    <w:rsid w:val="6296E6FE"/>
    <w:rsid w:val="6297450D"/>
    <w:rsid w:val="62994FA1"/>
    <w:rsid w:val="629A36B9"/>
    <w:rsid w:val="629B0CD6"/>
    <w:rsid w:val="629B51ED"/>
    <w:rsid w:val="629BDE61"/>
    <w:rsid w:val="629C5783"/>
    <w:rsid w:val="629E3174"/>
    <w:rsid w:val="629FE8E6"/>
    <w:rsid w:val="62A4F553"/>
    <w:rsid w:val="62A60443"/>
    <w:rsid w:val="62A95B36"/>
    <w:rsid w:val="62AA5861"/>
    <w:rsid w:val="62AC1333"/>
    <w:rsid w:val="62ADA826"/>
    <w:rsid w:val="62AE70EE"/>
    <w:rsid w:val="62B0875F"/>
    <w:rsid w:val="62B3D17F"/>
    <w:rsid w:val="62B52B42"/>
    <w:rsid w:val="62B6B6C7"/>
    <w:rsid w:val="62BAEF0C"/>
    <w:rsid w:val="62BBE552"/>
    <w:rsid w:val="62BD4B2B"/>
    <w:rsid w:val="62BE8D29"/>
    <w:rsid w:val="62C26DEC"/>
    <w:rsid w:val="62C50333"/>
    <w:rsid w:val="62C56E7F"/>
    <w:rsid w:val="62C7A93B"/>
    <w:rsid w:val="62C7CB92"/>
    <w:rsid w:val="62C7E86E"/>
    <w:rsid w:val="62CA0069"/>
    <w:rsid w:val="62CA5AFD"/>
    <w:rsid w:val="62CB281B"/>
    <w:rsid w:val="62CBEE08"/>
    <w:rsid w:val="62CDA634"/>
    <w:rsid w:val="62CE4F9D"/>
    <w:rsid w:val="62CF83B6"/>
    <w:rsid w:val="62D025C5"/>
    <w:rsid w:val="62D088D9"/>
    <w:rsid w:val="62D4B8BF"/>
    <w:rsid w:val="62D6D060"/>
    <w:rsid w:val="62D9ACE0"/>
    <w:rsid w:val="62DB2FC8"/>
    <w:rsid w:val="62DC3901"/>
    <w:rsid w:val="62DC4378"/>
    <w:rsid w:val="62DC589F"/>
    <w:rsid w:val="62DDE9D5"/>
    <w:rsid w:val="62DEFD32"/>
    <w:rsid w:val="62DF2E1B"/>
    <w:rsid w:val="62E1CC2A"/>
    <w:rsid w:val="62E419E6"/>
    <w:rsid w:val="62E451C2"/>
    <w:rsid w:val="62E6672C"/>
    <w:rsid w:val="62E73F14"/>
    <w:rsid w:val="62E7C78C"/>
    <w:rsid w:val="62E96480"/>
    <w:rsid w:val="62EC0439"/>
    <w:rsid w:val="62EDE748"/>
    <w:rsid w:val="62F140BD"/>
    <w:rsid w:val="62F2CD6B"/>
    <w:rsid w:val="62F2E113"/>
    <w:rsid w:val="62F632EC"/>
    <w:rsid w:val="62F67477"/>
    <w:rsid w:val="62F70296"/>
    <w:rsid w:val="62F95E20"/>
    <w:rsid w:val="62FA01AB"/>
    <w:rsid w:val="62FB7020"/>
    <w:rsid w:val="62FC570C"/>
    <w:rsid w:val="62FE171F"/>
    <w:rsid w:val="62FE7B14"/>
    <w:rsid w:val="63026790"/>
    <w:rsid w:val="6303DAAE"/>
    <w:rsid w:val="630501AA"/>
    <w:rsid w:val="6305A1EF"/>
    <w:rsid w:val="6305C131"/>
    <w:rsid w:val="630944A3"/>
    <w:rsid w:val="6309FD45"/>
    <w:rsid w:val="630A2AD5"/>
    <w:rsid w:val="630A5D5C"/>
    <w:rsid w:val="630D3321"/>
    <w:rsid w:val="630EC0A5"/>
    <w:rsid w:val="63110CEC"/>
    <w:rsid w:val="63125C09"/>
    <w:rsid w:val="631294B4"/>
    <w:rsid w:val="6312CBD2"/>
    <w:rsid w:val="631B231F"/>
    <w:rsid w:val="631CFD14"/>
    <w:rsid w:val="631D157D"/>
    <w:rsid w:val="631F625F"/>
    <w:rsid w:val="63206401"/>
    <w:rsid w:val="6322B307"/>
    <w:rsid w:val="6322D0CB"/>
    <w:rsid w:val="6327554A"/>
    <w:rsid w:val="63287AAA"/>
    <w:rsid w:val="632A2606"/>
    <w:rsid w:val="632B90D8"/>
    <w:rsid w:val="632D7C23"/>
    <w:rsid w:val="632EF75D"/>
    <w:rsid w:val="632F05D6"/>
    <w:rsid w:val="632F0E39"/>
    <w:rsid w:val="632FCB46"/>
    <w:rsid w:val="633258C7"/>
    <w:rsid w:val="63343E4D"/>
    <w:rsid w:val="63376875"/>
    <w:rsid w:val="633A3FF7"/>
    <w:rsid w:val="633A6DAA"/>
    <w:rsid w:val="633DA43C"/>
    <w:rsid w:val="633F7025"/>
    <w:rsid w:val="633F809C"/>
    <w:rsid w:val="63429772"/>
    <w:rsid w:val="63438720"/>
    <w:rsid w:val="63452744"/>
    <w:rsid w:val="6345D306"/>
    <w:rsid w:val="63462B09"/>
    <w:rsid w:val="6346D125"/>
    <w:rsid w:val="6349FAE9"/>
    <w:rsid w:val="634AE4F0"/>
    <w:rsid w:val="634B1B25"/>
    <w:rsid w:val="634CF121"/>
    <w:rsid w:val="635138C9"/>
    <w:rsid w:val="635591F3"/>
    <w:rsid w:val="635852B9"/>
    <w:rsid w:val="635C5CE2"/>
    <w:rsid w:val="635D182D"/>
    <w:rsid w:val="635F74DE"/>
    <w:rsid w:val="635F9B6B"/>
    <w:rsid w:val="63608FD8"/>
    <w:rsid w:val="6362419C"/>
    <w:rsid w:val="6362DB38"/>
    <w:rsid w:val="6362E8F6"/>
    <w:rsid w:val="63642946"/>
    <w:rsid w:val="6369C4F5"/>
    <w:rsid w:val="636A7358"/>
    <w:rsid w:val="636CF42E"/>
    <w:rsid w:val="636D6535"/>
    <w:rsid w:val="636E3A79"/>
    <w:rsid w:val="636F1680"/>
    <w:rsid w:val="636FD397"/>
    <w:rsid w:val="6370CEC8"/>
    <w:rsid w:val="6373EB19"/>
    <w:rsid w:val="63744EEF"/>
    <w:rsid w:val="63758CA9"/>
    <w:rsid w:val="6375ADAF"/>
    <w:rsid w:val="637773A6"/>
    <w:rsid w:val="6378C1D5"/>
    <w:rsid w:val="63790974"/>
    <w:rsid w:val="63794769"/>
    <w:rsid w:val="6379DB8F"/>
    <w:rsid w:val="637A52FE"/>
    <w:rsid w:val="637A7A60"/>
    <w:rsid w:val="637AC653"/>
    <w:rsid w:val="637BDA61"/>
    <w:rsid w:val="637BEB65"/>
    <w:rsid w:val="637E3B32"/>
    <w:rsid w:val="63802419"/>
    <w:rsid w:val="6380E2E2"/>
    <w:rsid w:val="6381B0AA"/>
    <w:rsid w:val="6382DD76"/>
    <w:rsid w:val="6382F306"/>
    <w:rsid w:val="6383F7FD"/>
    <w:rsid w:val="63840BEC"/>
    <w:rsid w:val="6384DEFC"/>
    <w:rsid w:val="63865D41"/>
    <w:rsid w:val="6387E4B5"/>
    <w:rsid w:val="638B5D0D"/>
    <w:rsid w:val="638B685D"/>
    <w:rsid w:val="638C6CB7"/>
    <w:rsid w:val="638DB582"/>
    <w:rsid w:val="6391E47A"/>
    <w:rsid w:val="63952B37"/>
    <w:rsid w:val="639532B0"/>
    <w:rsid w:val="639B02D6"/>
    <w:rsid w:val="639BAD2F"/>
    <w:rsid w:val="639D6148"/>
    <w:rsid w:val="639E191E"/>
    <w:rsid w:val="63A0899E"/>
    <w:rsid w:val="63A22623"/>
    <w:rsid w:val="63A2584E"/>
    <w:rsid w:val="63A4C820"/>
    <w:rsid w:val="63A51EF9"/>
    <w:rsid w:val="63A5BEC3"/>
    <w:rsid w:val="63A704A4"/>
    <w:rsid w:val="63A7A603"/>
    <w:rsid w:val="63A7D924"/>
    <w:rsid w:val="63A7E043"/>
    <w:rsid w:val="63A98E9A"/>
    <w:rsid w:val="63AA6FAA"/>
    <w:rsid w:val="63AD4CE6"/>
    <w:rsid w:val="63AF9115"/>
    <w:rsid w:val="63AFD8F8"/>
    <w:rsid w:val="63AFE954"/>
    <w:rsid w:val="63B16E4C"/>
    <w:rsid w:val="63B50395"/>
    <w:rsid w:val="63B56ACF"/>
    <w:rsid w:val="63B60744"/>
    <w:rsid w:val="63B635FE"/>
    <w:rsid w:val="63B7B7CB"/>
    <w:rsid w:val="63B9C5DA"/>
    <w:rsid w:val="63BCEF60"/>
    <w:rsid w:val="63C24660"/>
    <w:rsid w:val="63C45EBD"/>
    <w:rsid w:val="63C4D11D"/>
    <w:rsid w:val="63C5468B"/>
    <w:rsid w:val="63C5CC50"/>
    <w:rsid w:val="63C8ACEF"/>
    <w:rsid w:val="63C9B6A8"/>
    <w:rsid w:val="63CAD9BF"/>
    <w:rsid w:val="63CDFA47"/>
    <w:rsid w:val="63CE4BE8"/>
    <w:rsid w:val="63D0882D"/>
    <w:rsid w:val="63D2349F"/>
    <w:rsid w:val="63D264A7"/>
    <w:rsid w:val="63D44A5E"/>
    <w:rsid w:val="63D46E1B"/>
    <w:rsid w:val="63D4F9FD"/>
    <w:rsid w:val="63D55A4A"/>
    <w:rsid w:val="63D67B65"/>
    <w:rsid w:val="63D8F7B2"/>
    <w:rsid w:val="63DA3093"/>
    <w:rsid w:val="63DC4850"/>
    <w:rsid w:val="63DF2376"/>
    <w:rsid w:val="63E073B6"/>
    <w:rsid w:val="63E09427"/>
    <w:rsid w:val="63E171C4"/>
    <w:rsid w:val="63E2C2A6"/>
    <w:rsid w:val="63E493F5"/>
    <w:rsid w:val="63E5D7D4"/>
    <w:rsid w:val="63E74D1B"/>
    <w:rsid w:val="63E819BD"/>
    <w:rsid w:val="63E8892C"/>
    <w:rsid w:val="63E8AF64"/>
    <w:rsid w:val="63EA5978"/>
    <w:rsid w:val="63EAC3DB"/>
    <w:rsid w:val="63EB2D1D"/>
    <w:rsid w:val="63EC9615"/>
    <w:rsid w:val="63F0A538"/>
    <w:rsid w:val="63F30B26"/>
    <w:rsid w:val="63F38FA0"/>
    <w:rsid w:val="63F5246B"/>
    <w:rsid w:val="63F5587E"/>
    <w:rsid w:val="63F6074D"/>
    <w:rsid w:val="63F9463F"/>
    <w:rsid w:val="63FA4D3C"/>
    <w:rsid w:val="63FAD644"/>
    <w:rsid w:val="63FAF9B3"/>
    <w:rsid w:val="63FD1F83"/>
    <w:rsid w:val="63FD1FAE"/>
    <w:rsid w:val="63FEE9FC"/>
    <w:rsid w:val="6400F793"/>
    <w:rsid w:val="6406AD1F"/>
    <w:rsid w:val="64076BB2"/>
    <w:rsid w:val="6407C9C5"/>
    <w:rsid w:val="640B8308"/>
    <w:rsid w:val="640F74F3"/>
    <w:rsid w:val="640FC4C8"/>
    <w:rsid w:val="64123A42"/>
    <w:rsid w:val="64124098"/>
    <w:rsid w:val="6416BEA7"/>
    <w:rsid w:val="6416FE5C"/>
    <w:rsid w:val="64170606"/>
    <w:rsid w:val="64194805"/>
    <w:rsid w:val="64195B24"/>
    <w:rsid w:val="641BC6D7"/>
    <w:rsid w:val="641C4C37"/>
    <w:rsid w:val="641FB31E"/>
    <w:rsid w:val="6422E71C"/>
    <w:rsid w:val="6426A895"/>
    <w:rsid w:val="642AB442"/>
    <w:rsid w:val="642B4181"/>
    <w:rsid w:val="642D10FD"/>
    <w:rsid w:val="64307247"/>
    <w:rsid w:val="643514FB"/>
    <w:rsid w:val="64390426"/>
    <w:rsid w:val="6439253F"/>
    <w:rsid w:val="643C993E"/>
    <w:rsid w:val="643D2572"/>
    <w:rsid w:val="643DEEB6"/>
    <w:rsid w:val="643EF98B"/>
    <w:rsid w:val="6440E932"/>
    <w:rsid w:val="644165EE"/>
    <w:rsid w:val="644295D6"/>
    <w:rsid w:val="6443E368"/>
    <w:rsid w:val="64463177"/>
    <w:rsid w:val="6446A7F3"/>
    <w:rsid w:val="6446E3BA"/>
    <w:rsid w:val="6447CA55"/>
    <w:rsid w:val="64484106"/>
    <w:rsid w:val="64485E98"/>
    <w:rsid w:val="644B1EE7"/>
    <w:rsid w:val="644C4FD3"/>
    <w:rsid w:val="644D94DF"/>
    <w:rsid w:val="644E8653"/>
    <w:rsid w:val="6453CFC0"/>
    <w:rsid w:val="645426F7"/>
    <w:rsid w:val="6454E6B1"/>
    <w:rsid w:val="6456B3C4"/>
    <w:rsid w:val="64575858"/>
    <w:rsid w:val="64584101"/>
    <w:rsid w:val="6458C7A6"/>
    <w:rsid w:val="64597D89"/>
    <w:rsid w:val="645D80C5"/>
    <w:rsid w:val="645F23BF"/>
    <w:rsid w:val="6460A795"/>
    <w:rsid w:val="6461B9CB"/>
    <w:rsid w:val="6463DFF4"/>
    <w:rsid w:val="64640584"/>
    <w:rsid w:val="6464D6E8"/>
    <w:rsid w:val="64660D70"/>
    <w:rsid w:val="64664920"/>
    <w:rsid w:val="64681077"/>
    <w:rsid w:val="646936E0"/>
    <w:rsid w:val="64694618"/>
    <w:rsid w:val="6469C7F6"/>
    <w:rsid w:val="646A73CC"/>
    <w:rsid w:val="646DE1E4"/>
    <w:rsid w:val="646E8AB6"/>
    <w:rsid w:val="6473B521"/>
    <w:rsid w:val="64745B60"/>
    <w:rsid w:val="64752A1E"/>
    <w:rsid w:val="6475D883"/>
    <w:rsid w:val="647B4518"/>
    <w:rsid w:val="647D624B"/>
    <w:rsid w:val="647D84CC"/>
    <w:rsid w:val="647F3D17"/>
    <w:rsid w:val="6484CAFE"/>
    <w:rsid w:val="6484CE10"/>
    <w:rsid w:val="64850BF6"/>
    <w:rsid w:val="6486823B"/>
    <w:rsid w:val="6486B3DE"/>
    <w:rsid w:val="64889AB4"/>
    <w:rsid w:val="6489061F"/>
    <w:rsid w:val="648FB8F2"/>
    <w:rsid w:val="6490403E"/>
    <w:rsid w:val="6490C31C"/>
    <w:rsid w:val="6495B50E"/>
    <w:rsid w:val="64986F88"/>
    <w:rsid w:val="649A9F72"/>
    <w:rsid w:val="649BBCDD"/>
    <w:rsid w:val="649C6210"/>
    <w:rsid w:val="649C93FA"/>
    <w:rsid w:val="649F917F"/>
    <w:rsid w:val="64A15139"/>
    <w:rsid w:val="64A1A7E9"/>
    <w:rsid w:val="64AB210A"/>
    <w:rsid w:val="64AB87E9"/>
    <w:rsid w:val="64AC644A"/>
    <w:rsid w:val="64AE4E10"/>
    <w:rsid w:val="64B01345"/>
    <w:rsid w:val="64B09A9F"/>
    <w:rsid w:val="64B81F22"/>
    <w:rsid w:val="64B97600"/>
    <w:rsid w:val="64BAFDA0"/>
    <w:rsid w:val="64BC1085"/>
    <w:rsid w:val="64BD94F3"/>
    <w:rsid w:val="64BF712D"/>
    <w:rsid w:val="64C24A25"/>
    <w:rsid w:val="64C389AB"/>
    <w:rsid w:val="64C3C13A"/>
    <w:rsid w:val="64C61A0A"/>
    <w:rsid w:val="64C6AC47"/>
    <w:rsid w:val="64C6E2A8"/>
    <w:rsid w:val="64C7FAD2"/>
    <w:rsid w:val="64CAF872"/>
    <w:rsid w:val="64CB52C2"/>
    <w:rsid w:val="64CBBC27"/>
    <w:rsid w:val="64CE3B62"/>
    <w:rsid w:val="64CEA865"/>
    <w:rsid w:val="64D01B22"/>
    <w:rsid w:val="64D1F7E8"/>
    <w:rsid w:val="64D2974E"/>
    <w:rsid w:val="64D35BC0"/>
    <w:rsid w:val="64D3A69F"/>
    <w:rsid w:val="64D5DF7D"/>
    <w:rsid w:val="64D6D96C"/>
    <w:rsid w:val="64D937F5"/>
    <w:rsid w:val="64DB0C68"/>
    <w:rsid w:val="64DB1183"/>
    <w:rsid w:val="64DF48B8"/>
    <w:rsid w:val="64E4910C"/>
    <w:rsid w:val="64E81803"/>
    <w:rsid w:val="64E903EA"/>
    <w:rsid w:val="64EB224A"/>
    <w:rsid w:val="64EBE9A3"/>
    <w:rsid w:val="64F07AC3"/>
    <w:rsid w:val="64F19E79"/>
    <w:rsid w:val="64F5F926"/>
    <w:rsid w:val="64F8A1C8"/>
    <w:rsid w:val="64FC3E1C"/>
    <w:rsid w:val="64FCC227"/>
    <w:rsid w:val="64FE6A5C"/>
    <w:rsid w:val="64FF5268"/>
    <w:rsid w:val="650272DA"/>
    <w:rsid w:val="6505C387"/>
    <w:rsid w:val="65076FAC"/>
    <w:rsid w:val="65080B7B"/>
    <w:rsid w:val="65082B9B"/>
    <w:rsid w:val="650A52BE"/>
    <w:rsid w:val="650BE8E3"/>
    <w:rsid w:val="650E6425"/>
    <w:rsid w:val="650EBEC7"/>
    <w:rsid w:val="6510B68E"/>
    <w:rsid w:val="65162B7E"/>
    <w:rsid w:val="65163292"/>
    <w:rsid w:val="651665F3"/>
    <w:rsid w:val="6517CD5F"/>
    <w:rsid w:val="651AE653"/>
    <w:rsid w:val="651C41F3"/>
    <w:rsid w:val="651D18F6"/>
    <w:rsid w:val="652376BF"/>
    <w:rsid w:val="6524D02B"/>
    <w:rsid w:val="65260352"/>
    <w:rsid w:val="652872BE"/>
    <w:rsid w:val="652A4047"/>
    <w:rsid w:val="652B915B"/>
    <w:rsid w:val="652DD389"/>
    <w:rsid w:val="652E9B2C"/>
    <w:rsid w:val="6530D7C2"/>
    <w:rsid w:val="6530F1F7"/>
    <w:rsid w:val="6532C1A7"/>
    <w:rsid w:val="65376790"/>
    <w:rsid w:val="65384817"/>
    <w:rsid w:val="653957B3"/>
    <w:rsid w:val="653B291F"/>
    <w:rsid w:val="653E2946"/>
    <w:rsid w:val="653F6A5A"/>
    <w:rsid w:val="653F81BB"/>
    <w:rsid w:val="653FC9EF"/>
    <w:rsid w:val="65429D5B"/>
    <w:rsid w:val="6545CF4A"/>
    <w:rsid w:val="6545D4DF"/>
    <w:rsid w:val="6545FB58"/>
    <w:rsid w:val="6549B66F"/>
    <w:rsid w:val="654BC6B5"/>
    <w:rsid w:val="654C2DE5"/>
    <w:rsid w:val="6550FDC4"/>
    <w:rsid w:val="65531C3B"/>
    <w:rsid w:val="6554BFEF"/>
    <w:rsid w:val="65571995"/>
    <w:rsid w:val="65571FF6"/>
    <w:rsid w:val="6557C515"/>
    <w:rsid w:val="6558A2D5"/>
    <w:rsid w:val="655A7CC3"/>
    <w:rsid w:val="655A8E69"/>
    <w:rsid w:val="655A9ACF"/>
    <w:rsid w:val="655B1484"/>
    <w:rsid w:val="655B1B5E"/>
    <w:rsid w:val="655C9E09"/>
    <w:rsid w:val="655D08E8"/>
    <w:rsid w:val="655E541B"/>
    <w:rsid w:val="655EB40E"/>
    <w:rsid w:val="655F58F2"/>
    <w:rsid w:val="6560DB09"/>
    <w:rsid w:val="6561D4FD"/>
    <w:rsid w:val="6562C6F1"/>
    <w:rsid w:val="65634BA0"/>
    <w:rsid w:val="65648911"/>
    <w:rsid w:val="6566A4E0"/>
    <w:rsid w:val="65680D13"/>
    <w:rsid w:val="656D123F"/>
    <w:rsid w:val="656EB6C1"/>
    <w:rsid w:val="656EC77F"/>
    <w:rsid w:val="65719712"/>
    <w:rsid w:val="65737D22"/>
    <w:rsid w:val="6574B861"/>
    <w:rsid w:val="657504C0"/>
    <w:rsid w:val="65783EF8"/>
    <w:rsid w:val="657E762E"/>
    <w:rsid w:val="657EDD2E"/>
    <w:rsid w:val="657F0AD5"/>
    <w:rsid w:val="657F0D82"/>
    <w:rsid w:val="6580B5EC"/>
    <w:rsid w:val="658675AE"/>
    <w:rsid w:val="6587631C"/>
    <w:rsid w:val="658BB014"/>
    <w:rsid w:val="658C3828"/>
    <w:rsid w:val="658C4423"/>
    <w:rsid w:val="658C495C"/>
    <w:rsid w:val="658C908D"/>
    <w:rsid w:val="658CF30A"/>
    <w:rsid w:val="6590470F"/>
    <w:rsid w:val="65905687"/>
    <w:rsid w:val="6591E567"/>
    <w:rsid w:val="6592A9E7"/>
    <w:rsid w:val="65944377"/>
    <w:rsid w:val="659460AE"/>
    <w:rsid w:val="659623C9"/>
    <w:rsid w:val="6597EEAA"/>
    <w:rsid w:val="65992BF0"/>
    <w:rsid w:val="659A4AF6"/>
    <w:rsid w:val="659BC57A"/>
    <w:rsid w:val="659C906E"/>
    <w:rsid w:val="659D8477"/>
    <w:rsid w:val="65A184CE"/>
    <w:rsid w:val="65A44494"/>
    <w:rsid w:val="65A49825"/>
    <w:rsid w:val="65A6CA99"/>
    <w:rsid w:val="65A9C1FF"/>
    <w:rsid w:val="65AA1E7A"/>
    <w:rsid w:val="65AB0CD5"/>
    <w:rsid w:val="65ABFC7D"/>
    <w:rsid w:val="65AC4AEF"/>
    <w:rsid w:val="65ADB7C5"/>
    <w:rsid w:val="65AE1B3A"/>
    <w:rsid w:val="65AF62B2"/>
    <w:rsid w:val="65AFFCA2"/>
    <w:rsid w:val="65B0931A"/>
    <w:rsid w:val="65B0A3BB"/>
    <w:rsid w:val="65B10776"/>
    <w:rsid w:val="65B2BB71"/>
    <w:rsid w:val="65B2C4F9"/>
    <w:rsid w:val="65B3E900"/>
    <w:rsid w:val="65B40558"/>
    <w:rsid w:val="65B4396C"/>
    <w:rsid w:val="65B450C5"/>
    <w:rsid w:val="65B4DAD5"/>
    <w:rsid w:val="65B83A28"/>
    <w:rsid w:val="65B8E5C1"/>
    <w:rsid w:val="65BA8BC5"/>
    <w:rsid w:val="65BAFE88"/>
    <w:rsid w:val="65BB3A37"/>
    <w:rsid w:val="65BB6C91"/>
    <w:rsid w:val="65BD6085"/>
    <w:rsid w:val="65BF8D2E"/>
    <w:rsid w:val="65C5C793"/>
    <w:rsid w:val="65C8AB7E"/>
    <w:rsid w:val="65C8D64A"/>
    <w:rsid w:val="65C95DBC"/>
    <w:rsid w:val="65CBB0FC"/>
    <w:rsid w:val="65CD33A5"/>
    <w:rsid w:val="65D1C9D5"/>
    <w:rsid w:val="65D5281F"/>
    <w:rsid w:val="65D7465C"/>
    <w:rsid w:val="65D81F60"/>
    <w:rsid w:val="65DC3739"/>
    <w:rsid w:val="65DF2D45"/>
    <w:rsid w:val="65DF8D7E"/>
    <w:rsid w:val="65E34143"/>
    <w:rsid w:val="65E55D40"/>
    <w:rsid w:val="65E7D766"/>
    <w:rsid w:val="65EE8EF3"/>
    <w:rsid w:val="65EFB293"/>
    <w:rsid w:val="65F18926"/>
    <w:rsid w:val="65F34F33"/>
    <w:rsid w:val="65F3A1DA"/>
    <w:rsid w:val="65F475CC"/>
    <w:rsid w:val="65F895A2"/>
    <w:rsid w:val="65F98207"/>
    <w:rsid w:val="65FAC9DC"/>
    <w:rsid w:val="65FAEBF1"/>
    <w:rsid w:val="65FD56E6"/>
    <w:rsid w:val="65FD5711"/>
    <w:rsid w:val="65FEB17A"/>
    <w:rsid w:val="65FEE21A"/>
    <w:rsid w:val="65FF8250"/>
    <w:rsid w:val="66000E91"/>
    <w:rsid w:val="6602C904"/>
    <w:rsid w:val="66030624"/>
    <w:rsid w:val="6603A5BF"/>
    <w:rsid w:val="6603A825"/>
    <w:rsid w:val="6604303B"/>
    <w:rsid w:val="66056777"/>
    <w:rsid w:val="660765AB"/>
    <w:rsid w:val="6607A51B"/>
    <w:rsid w:val="6608298E"/>
    <w:rsid w:val="660851CF"/>
    <w:rsid w:val="660A54FA"/>
    <w:rsid w:val="660A55F0"/>
    <w:rsid w:val="660D4A86"/>
    <w:rsid w:val="660DE933"/>
    <w:rsid w:val="660E04AA"/>
    <w:rsid w:val="660E4612"/>
    <w:rsid w:val="660EC418"/>
    <w:rsid w:val="660EC6E3"/>
    <w:rsid w:val="6610CA0F"/>
    <w:rsid w:val="661474EA"/>
    <w:rsid w:val="6614CB00"/>
    <w:rsid w:val="6614F8F1"/>
    <w:rsid w:val="66165F6F"/>
    <w:rsid w:val="66171453"/>
    <w:rsid w:val="661B8B93"/>
    <w:rsid w:val="661FF8CD"/>
    <w:rsid w:val="66204F3A"/>
    <w:rsid w:val="662124A9"/>
    <w:rsid w:val="6623E966"/>
    <w:rsid w:val="6626D755"/>
    <w:rsid w:val="662801BD"/>
    <w:rsid w:val="6628C80F"/>
    <w:rsid w:val="6629CC39"/>
    <w:rsid w:val="6629E07F"/>
    <w:rsid w:val="662A4079"/>
    <w:rsid w:val="662DE757"/>
    <w:rsid w:val="662EEDEB"/>
    <w:rsid w:val="662FEEA8"/>
    <w:rsid w:val="66309F84"/>
    <w:rsid w:val="6630DC7D"/>
    <w:rsid w:val="66335F37"/>
    <w:rsid w:val="663373CF"/>
    <w:rsid w:val="6634A360"/>
    <w:rsid w:val="66366B40"/>
    <w:rsid w:val="6636FC53"/>
    <w:rsid w:val="663990F6"/>
    <w:rsid w:val="663A4C69"/>
    <w:rsid w:val="663A5D4A"/>
    <w:rsid w:val="663D548A"/>
    <w:rsid w:val="663EE3D8"/>
    <w:rsid w:val="663EFB11"/>
    <w:rsid w:val="663F177D"/>
    <w:rsid w:val="6640E8A9"/>
    <w:rsid w:val="66413C9A"/>
    <w:rsid w:val="6643D998"/>
    <w:rsid w:val="6644611F"/>
    <w:rsid w:val="6645114C"/>
    <w:rsid w:val="6645691C"/>
    <w:rsid w:val="664701B1"/>
    <w:rsid w:val="6647745B"/>
    <w:rsid w:val="6647E1D4"/>
    <w:rsid w:val="664AA4C0"/>
    <w:rsid w:val="664DCEF1"/>
    <w:rsid w:val="664E04E3"/>
    <w:rsid w:val="664E63D0"/>
    <w:rsid w:val="664EADF3"/>
    <w:rsid w:val="664EDE4F"/>
    <w:rsid w:val="664F4BCC"/>
    <w:rsid w:val="6651B268"/>
    <w:rsid w:val="66555BCF"/>
    <w:rsid w:val="66560ED9"/>
    <w:rsid w:val="66568331"/>
    <w:rsid w:val="6656F980"/>
    <w:rsid w:val="6658C5DB"/>
    <w:rsid w:val="665A2D87"/>
    <w:rsid w:val="665B336E"/>
    <w:rsid w:val="665BD060"/>
    <w:rsid w:val="665D0F8A"/>
    <w:rsid w:val="665D4DF2"/>
    <w:rsid w:val="665D69A9"/>
    <w:rsid w:val="665E9D84"/>
    <w:rsid w:val="665FB479"/>
    <w:rsid w:val="6663C1F3"/>
    <w:rsid w:val="666478FF"/>
    <w:rsid w:val="666512D3"/>
    <w:rsid w:val="66662E3C"/>
    <w:rsid w:val="6666AC93"/>
    <w:rsid w:val="6667E1F6"/>
    <w:rsid w:val="6668AAA0"/>
    <w:rsid w:val="66696CE2"/>
    <w:rsid w:val="6669AD8D"/>
    <w:rsid w:val="6669BFD5"/>
    <w:rsid w:val="666C8B33"/>
    <w:rsid w:val="666D4FF6"/>
    <w:rsid w:val="667485B2"/>
    <w:rsid w:val="66750DA1"/>
    <w:rsid w:val="6675B4BD"/>
    <w:rsid w:val="667C18FA"/>
    <w:rsid w:val="667CDD3E"/>
    <w:rsid w:val="667DD450"/>
    <w:rsid w:val="667DDB59"/>
    <w:rsid w:val="66816552"/>
    <w:rsid w:val="6681C45D"/>
    <w:rsid w:val="668235CF"/>
    <w:rsid w:val="6684251D"/>
    <w:rsid w:val="6685E4D8"/>
    <w:rsid w:val="66864FF3"/>
    <w:rsid w:val="66872306"/>
    <w:rsid w:val="66878758"/>
    <w:rsid w:val="66887D89"/>
    <w:rsid w:val="6689F791"/>
    <w:rsid w:val="668CAD1F"/>
    <w:rsid w:val="668D2192"/>
    <w:rsid w:val="668E5D0A"/>
    <w:rsid w:val="668EE68E"/>
    <w:rsid w:val="6690CF65"/>
    <w:rsid w:val="669147BB"/>
    <w:rsid w:val="6691C8E4"/>
    <w:rsid w:val="66920DD8"/>
    <w:rsid w:val="66985DE2"/>
    <w:rsid w:val="66988E53"/>
    <w:rsid w:val="6698FB54"/>
    <w:rsid w:val="669B426B"/>
    <w:rsid w:val="669B4F94"/>
    <w:rsid w:val="669CA6CC"/>
    <w:rsid w:val="669CB18D"/>
    <w:rsid w:val="669D04E4"/>
    <w:rsid w:val="669E4F18"/>
    <w:rsid w:val="66A10128"/>
    <w:rsid w:val="66A3BA2B"/>
    <w:rsid w:val="66A450FE"/>
    <w:rsid w:val="66A93412"/>
    <w:rsid w:val="66A9A32A"/>
    <w:rsid w:val="66A9B029"/>
    <w:rsid w:val="66AF4E63"/>
    <w:rsid w:val="66B59D1A"/>
    <w:rsid w:val="66B72ACE"/>
    <w:rsid w:val="66B7B312"/>
    <w:rsid w:val="66B88C58"/>
    <w:rsid w:val="66B89E1D"/>
    <w:rsid w:val="66B8C1A7"/>
    <w:rsid w:val="66BBD21F"/>
    <w:rsid w:val="66BD04AA"/>
    <w:rsid w:val="66BD6F69"/>
    <w:rsid w:val="66BF58BE"/>
    <w:rsid w:val="66C2018B"/>
    <w:rsid w:val="66C34AB2"/>
    <w:rsid w:val="66C39C19"/>
    <w:rsid w:val="66C46599"/>
    <w:rsid w:val="66C64488"/>
    <w:rsid w:val="66C8746F"/>
    <w:rsid w:val="66C8C57C"/>
    <w:rsid w:val="66CB9AC7"/>
    <w:rsid w:val="66CBEB2A"/>
    <w:rsid w:val="66CC8277"/>
    <w:rsid w:val="66CCCD17"/>
    <w:rsid w:val="66CD0340"/>
    <w:rsid w:val="66CE4D15"/>
    <w:rsid w:val="66CEE6A4"/>
    <w:rsid w:val="66CF7F88"/>
    <w:rsid w:val="66D0BADD"/>
    <w:rsid w:val="66D2E1E2"/>
    <w:rsid w:val="66D56F29"/>
    <w:rsid w:val="66D8B083"/>
    <w:rsid w:val="66D8BE8A"/>
    <w:rsid w:val="66D960A2"/>
    <w:rsid w:val="66DCA7BC"/>
    <w:rsid w:val="66DEE056"/>
    <w:rsid w:val="66DFBD29"/>
    <w:rsid w:val="66DFC3B0"/>
    <w:rsid w:val="66E45CE2"/>
    <w:rsid w:val="66E4622F"/>
    <w:rsid w:val="66E5B9E1"/>
    <w:rsid w:val="66E6FBF5"/>
    <w:rsid w:val="66E7BE89"/>
    <w:rsid w:val="66E8F1A2"/>
    <w:rsid w:val="66E985D9"/>
    <w:rsid w:val="66E9C5BC"/>
    <w:rsid w:val="66EE23EF"/>
    <w:rsid w:val="66EEFBF2"/>
    <w:rsid w:val="66EF420C"/>
    <w:rsid w:val="66F05BD6"/>
    <w:rsid w:val="66F0D58F"/>
    <w:rsid w:val="66F4DE5B"/>
    <w:rsid w:val="66F515DB"/>
    <w:rsid w:val="66F60C37"/>
    <w:rsid w:val="66F63401"/>
    <w:rsid w:val="66F74F37"/>
    <w:rsid w:val="66F99368"/>
    <w:rsid w:val="66FA4E4E"/>
    <w:rsid w:val="66FAB4C4"/>
    <w:rsid w:val="66FBAB4C"/>
    <w:rsid w:val="66FC6E62"/>
    <w:rsid w:val="66FCCBC6"/>
    <w:rsid w:val="66FD9BDD"/>
    <w:rsid w:val="66FE4EA8"/>
    <w:rsid w:val="67010DB2"/>
    <w:rsid w:val="67030756"/>
    <w:rsid w:val="67061E8F"/>
    <w:rsid w:val="6708242A"/>
    <w:rsid w:val="67103E7B"/>
    <w:rsid w:val="67108271"/>
    <w:rsid w:val="67125116"/>
    <w:rsid w:val="6716EA3E"/>
    <w:rsid w:val="6717623F"/>
    <w:rsid w:val="6717B2CB"/>
    <w:rsid w:val="671BEA06"/>
    <w:rsid w:val="671D6A4D"/>
    <w:rsid w:val="671DED31"/>
    <w:rsid w:val="671E02C1"/>
    <w:rsid w:val="671F4286"/>
    <w:rsid w:val="67208A34"/>
    <w:rsid w:val="67220DC8"/>
    <w:rsid w:val="67249C34"/>
    <w:rsid w:val="67273C7A"/>
    <w:rsid w:val="672AE092"/>
    <w:rsid w:val="672BDDEA"/>
    <w:rsid w:val="672CA30A"/>
    <w:rsid w:val="672D0C8F"/>
    <w:rsid w:val="672D2F0F"/>
    <w:rsid w:val="672E8860"/>
    <w:rsid w:val="672F3C84"/>
    <w:rsid w:val="672F7AB7"/>
    <w:rsid w:val="67301698"/>
    <w:rsid w:val="6732CAAE"/>
    <w:rsid w:val="673323AE"/>
    <w:rsid w:val="67337B24"/>
    <w:rsid w:val="6733AB1A"/>
    <w:rsid w:val="6734942C"/>
    <w:rsid w:val="67358B32"/>
    <w:rsid w:val="6736039F"/>
    <w:rsid w:val="673768D1"/>
    <w:rsid w:val="6737C07D"/>
    <w:rsid w:val="6738C999"/>
    <w:rsid w:val="673983FE"/>
    <w:rsid w:val="673E47DD"/>
    <w:rsid w:val="674052D5"/>
    <w:rsid w:val="67420744"/>
    <w:rsid w:val="674307AF"/>
    <w:rsid w:val="67440378"/>
    <w:rsid w:val="6744EC71"/>
    <w:rsid w:val="67514DBA"/>
    <w:rsid w:val="67526CE0"/>
    <w:rsid w:val="67527703"/>
    <w:rsid w:val="67529F32"/>
    <w:rsid w:val="67540419"/>
    <w:rsid w:val="675558E1"/>
    <w:rsid w:val="6755E339"/>
    <w:rsid w:val="67569FA4"/>
    <w:rsid w:val="67581A88"/>
    <w:rsid w:val="6759221A"/>
    <w:rsid w:val="6759DE37"/>
    <w:rsid w:val="675AC271"/>
    <w:rsid w:val="675D96EF"/>
    <w:rsid w:val="675DCB14"/>
    <w:rsid w:val="675DDEF1"/>
    <w:rsid w:val="676129E9"/>
    <w:rsid w:val="676155A0"/>
    <w:rsid w:val="6763E219"/>
    <w:rsid w:val="6764990E"/>
    <w:rsid w:val="6764F243"/>
    <w:rsid w:val="676527F6"/>
    <w:rsid w:val="676549EF"/>
    <w:rsid w:val="6765EE63"/>
    <w:rsid w:val="67681D7C"/>
    <w:rsid w:val="676BC803"/>
    <w:rsid w:val="676E0483"/>
    <w:rsid w:val="676EE170"/>
    <w:rsid w:val="676F2F27"/>
    <w:rsid w:val="676F414F"/>
    <w:rsid w:val="6770F99B"/>
    <w:rsid w:val="67726EDD"/>
    <w:rsid w:val="6778398C"/>
    <w:rsid w:val="6778BC2E"/>
    <w:rsid w:val="677AA795"/>
    <w:rsid w:val="677BFD67"/>
    <w:rsid w:val="677C7F86"/>
    <w:rsid w:val="677E6523"/>
    <w:rsid w:val="677F6DBE"/>
    <w:rsid w:val="6780EECA"/>
    <w:rsid w:val="67821C26"/>
    <w:rsid w:val="678258A3"/>
    <w:rsid w:val="67851B27"/>
    <w:rsid w:val="67865332"/>
    <w:rsid w:val="678685DD"/>
    <w:rsid w:val="678813A7"/>
    <w:rsid w:val="67886575"/>
    <w:rsid w:val="678A3707"/>
    <w:rsid w:val="678A6D66"/>
    <w:rsid w:val="678B640F"/>
    <w:rsid w:val="678BADB9"/>
    <w:rsid w:val="678C1036"/>
    <w:rsid w:val="678CD40C"/>
    <w:rsid w:val="678EA888"/>
    <w:rsid w:val="678EBE9B"/>
    <w:rsid w:val="6792E797"/>
    <w:rsid w:val="67940EF0"/>
    <w:rsid w:val="67947D2F"/>
    <w:rsid w:val="67949524"/>
    <w:rsid w:val="6795305E"/>
    <w:rsid w:val="67972FB3"/>
    <w:rsid w:val="67985E6E"/>
    <w:rsid w:val="6798943F"/>
    <w:rsid w:val="6798E295"/>
    <w:rsid w:val="6799F930"/>
    <w:rsid w:val="679C6BC1"/>
    <w:rsid w:val="679E062D"/>
    <w:rsid w:val="679E665E"/>
    <w:rsid w:val="679EF96B"/>
    <w:rsid w:val="679F0695"/>
    <w:rsid w:val="679F2715"/>
    <w:rsid w:val="679FCECF"/>
    <w:rsid w:val="67A0F0B7"/>
    <w:rsid w:val="67A14FC8"/>
    <w:rsid w:val="67A15555"/>
    <w:rsid w:val="67A3791B"/>
    <w:rsid w:val="67A3F107"/>
    <w:rsid w:val="67A541B1"/>
    <w:rsid w:val="67A96E3D"/>
    <w:rsid w:val="67ABAD85"/>
    <w:rsid w:val="67ABB67D"/>
    <w:rsid w:val="67ABCBC3"/>
    <w:rsid w:val="67ABD33A"/>
    <w:rsid w:val="67AC66EF"/>
    <w:rsid w:val="67AC6F91"/>
    <w:rsid w:val="67AC9C24"/>
    <w:rsid w:val="67AEDF97"/>
    <w:rsid w:val="67B21169"/>
    <w:rsid w:val="67B4915C"/>
    <w:rsid w:val="67B56DC4"/>
    <w:rsid w:val="67B8E2D1"/>
    <w:rsid w:val="67BC4FF5"/>
    <w:rsid w:val="67BDDD02"/>
    <w:rsid w:val="67BE82B5"/>
    <w:rsid w:val="67BE8B05"/>
    <w:rsid w:val="67C1356D"/>
    <w:rsid w:val="67C2D5F5"/>
    <w:rsid w:val="67C31A87"/>
    <w:rsid w:val="67C36279"/>
    <w:rsid w:val="67C7CBB2"/>
    <w:rsid w:val="67CA9F4A"/>
    <w:rsid w:val="67CB2B81"/>
    <w:rsid w:val="67CBEFCF"/>
    <w:rsid w:val="67CC80BB"/>
    <w:rsid w:val="67CC9CF4"/>
    <w:rsid w:val="67CD5E91"/>
    <w:rsid w:val="67CE28BB"/>
    <w:rsid w:val="67CF6F0E"/>
    <w:rsid w:val="67CF83C1"/>
    <w:rsid w:val="67CF926C"/>
    <w:rsid w:val="67D2E1B0"/>
    <w:rsid w:val="67D425D0"/>
    <w:rsid w:val="67D55AE9"/>
    <w:rsid w:val="67D72335"/>
    <w:rsid w:val="67D8F6E0"/>
    <w:rsid w:val="67D8F9FF"/>
    <w:rsid w:val="67DDB481"/>
    <w:rsid w:val="67DE8D5E"/>
    <w:rsid w:val="67DEF496"/>
    <w:rsid w:val="67DF7245"/>
    <w:rsid w:val="67DF86D5"/>
    <w:rsid w:val="67E04836"/>
    <w:rsid w:val="67E2CB31"/>
    <w:rsid w:val="67E31D64"/>
    <w:rsid w:val="67E3DE87"/>
    <w:rsid w:val="67E53658"/>
    <w:rsid w:val="67E59974"/>
    <w:rsid w:val="67E61752"/>
    <w:rsid w:val="67E6ED80"/>
    <w:rsid w:val="67E6FF95"/>
    <w:rsid w:val="67E86C05"/>
    <w:rsid w:val="67E919DC"/>
    <w:rsid w:val="67EBB6AB"/>
    <w:rsid w:val="67ECB789"/>
    <w:rsid w:val="67ED66C2"/>
    <w:rsid w:val="67ED6F3B"/>
    <w:rsid w:val="67F3A206"/>
    <w:rsid w:val="67F509F4"/>
    <w:rsid w:val="67F5798C"/>
    <w:rsid w:val="67F621A4"/>
    <w:rsid w:val="67F65C5F"/>
    <w:rsid w:val="67F9B607"/>
    <w:rsid w:val="67F9CC6B"/>
    <w:rsid w:val="67FE9044"/>
    <w:rsid w:val="67FF8B06"/>
    <w:rsid w:val="67FFF692"/>
    <w:rsid w:val="68015FF5"/>
    <w:rsid w:val="68041585"/>
    <w:rsid w:val="6804188C"/>
    <w:rsid w:val="68047C62"/>
    <w:rsid w:val="6805E126"/>
    <w:rsid w:val="6805FABD"/>
    <w:rsid w:val="6806A4D3"/>
    <w:rsid w:val="68072604"/>
    <w:rsid w:val="6807D48B"/>
    <w:rsid w:val="68085A0A"/>
    <w:rsid w:val="6809167A"/>
    <w:rsid w:val="6809883B"/>
    <w:rsid w:val="680A203E"/>
    <w:rsid w:val="680A3E49"/>
    <w:rsid w:val="680A8B45"/>
    <w:rsid w:val="680BB334"/>
    <w:rsid w:val="680C037B"/>
    <w:rsid w:val="680D3A45"/>
    <w:rsid w:val="6810DBE2"/>
    <w:rsid w:val="6810F085"/>
    <w:rsid w:val="68127EA7"/>
    <w:rsid w:val="6812C831"/>
    <w:rsid w:val="6815420E"/>
    <w:rsid w:val="681617A6"/>
    <w:rsid w:val="6816643F"/>
    <w:rsid w:val="6818BBBA"/>
    <w:rsid w:val="681A7D97"/>
    <w:rsid w:val="681D06C7"/>
    <w:rsid w:val="681D184A"/>
    <w:rsid w:val="681FFA8F"/>
    <w:rsid w:val="6821EFCF"/>
    <w:rsid w:val="682279E4"/>
    <w:rsid w:val="68233CAF"/>
    <w:rsid w:val="6823EFFB"/>
    <w:rsid w:val="68240180"/>
    <w:rsid w:val="6828890A"/>
    <w:rsid w:val="682CAA03"/>
    <w:rsid w:val="682D6F4D"/>
    <w:rsid w:val="682DBDE9"/>
    <w:rsid w:val="682FD877"/>
    <w:rsid w:val="683298C2"/>
    <w:rsid w:val="6835A2B1"/>
    <w:rsid w:val="68375C3A"/>
    <w:rsid w:val="68388062"/>
    <w:rsid w:val="683A4556"/>
    <w:rsid w:val="683A5F5C"/>
    <w:rsid w:val="683A86A8"/>
    <w:rsid w:val="683B455E"/>
    <w:rsid w:val="683B677C"/>
    <w:rsid w:val="683B908E"/>
    <w:rsid w:val="683CCDE5"/>
    <w:rsid w:val="683E1018"/>
    <w:rsid w:val="683E5174"/>
    <w:rsid w:val="683E5905"/>
    <w:rsid w:val="683EC344"/>
    <w:rsid w:val="683F5CEA"/>
    <w:rsid w:val="684144C4"/>
    <w:rsid w:val="68417C2E"/>
    <w:rsid w:val="6842BA2B"/>
    <w:rsid w:val="6842C306"/>
    <w:rsid w:val="684350F9"/>
    <w:rsid w:val="68451E19"/>
    <w:rsid w:val="684530A8"/>
    <w:rsid w:val="6845CB7C"/>
    <w:rsid w:val="6846C492"/>
    <w:rsid w:val="68484E64"/>
    <w:rsid w:val="684AA323"/>
    <w:rsid w:val="684B4504"/>
    <w:rsid w:val="68508AB9"/>
    <w:rsid w:val="68544BED"/>
    <w:rsid w:val="68548AD9"/>
    <w:rsid w:val="685533EC"/>
    <w:rsid w:val="6855DDD6"/>
    <w:rsid w:val="68574461"/>
    <w:rsid w:val="6858C630"/>
    <w:rsid w:val="68590753"/>
    <w:rsid w:val="685B6770"/>
    <w:rsid w:val="685BFF9C"/>
    <w:rsid w:val="685D014D"/>
    <w:rsid w:val="68613834"/>
    <w:rsid w:val="686164B5"/>
    <w:rsid w:val="68638D04"/>
    <w:rsid w:val="6864B51C"/>
    <w:rsid w:val="68650E76"/>
    <w:rsid w:val="6865AE58"/>
    <w:rsid w:val="6866F2AA"/>
    <w:rsid w:val="68677632"/>
    <w:rsid w:val="6867AFDE"/>
    <w:rsid w:val="68682EBB"/>
    <w:rsid w:val="68686A54"/>
    <w:rsid w:val="6868BAD1"/>
    <w:rsid w:val="68692647"/>
    <w:rsid w:val="6869D2B0"/>
    <w:rsid w:val="686B1FE8"/>
    <w:rsid w:val="686BE358"/>
    <w:rsid w:val="686BE3B4"/>
    <w:rsid w:val="686E18B1"/>
    <w:rsid w:val="686E5E15"/>
    <w:rsid w:val="6871A9FE"/>
    <w:rsid w:val="6871AD3E"/>
    <w:rsid w:val="6874DFD4"/>
    <w:rsid w:val="687989CD"/>
    <w:rsid w:val="68798C23"/>
    <w:rsid w:val="687A2A99"/>
    <w:rsid w:val="687A8C7D"/>
    <w:rsid w:val="687AD33B"/>
    <w:rsid w:val="687C9376"/>
    <w:rsid w:val="687D0275"/>
    <w:rsid w:val="687D1FF5"/>
    <w:rsid w:val="687D20AA"/>
    <w:rsid w:val="687D3284"/>
    <w:rsid w:val="687D32FC"/>
    <w:rsid w:val="687E12F7"/>
    <w:rsid w:val="687EE7B9"/>
    <w:rsid w:val="687F36F7"/>
    <w:rsid w:val="687FC9A6"/>
    <w:rsid w:val="6881A3F4"/>
    <w:rsid w:val="68821DF5"/>
    <w:rsid w:val="68843F8C"/>
    <w:rsid w:val="6886531F"/>
    <w:rsid w:val="6889FE61"/>
    <w:rsid w:val="688A1167"/>
    <w:rsid w:val="688A65B0"/>
    <w:rsid w:val="688A6EE8"/>
    <w:rsid w:val="688BC90B"/>
    <w:rsid w:val="688D5287"/>
    <w:rsid w:val="6890798E"/>
    <w:rsid w:val="689183B9"/>
    <w:rsid w:val="68923778"/>
    <w:rsid w:val="68933F95"/>
    <w:rsid w:val="6893CD42"/>
    <w:rsid w:val="689544BD"/>
    <w:rsid w:val="68974FCD"/>
    <w:rsid w:val="689979E1"/>
    <w:rsid w:val="6899A20C"/>
    <w:rsid w:val="689B8DC0"/>
    <w:rsid w:val="689D225B"/>
    <w:rsid w:val="689EB56D"/>
    <w:rsid w:val="689F4335"/>
    <w:rsid w:val="68A0EC13"/>
    <w:rsid w:val="68A3B462"/>
    <w:rsid w:val="68A45F39"/>
    <w:rsid w:val="68A46A07"/>
    <w:rsid w:val="68A5EAA2"/>
    <w:rsid w:val="68AD9A63"/>
    <w:rsid w:val="68AEAEA2"/>
    <w:rsid w:val="68B1A86B"/>
    <w:rsid w:val="68B2E351"/>
    <w:rsid w:val="68B51253"/>
    <w:rsid w:val="68B7E3BA"/>
    <w:rsid w:val="68B7F96A"/>
    <w:rsid w:val="68B89A73"/>
    <w:rsid w:val="68B98CD2"/>
    <w:rsid w:val="68BABC67"/>
    <w:rsid w:val="68BB0318"/>
    <w:rsid w:val="68BBE3B9"/>
    <w:rsid w:val="68BE4290"/>
    <w:rsid w:val="68BF1FCD"/>
    <w:rsid w:val="68BF7C56"/>
    <w:rsid w:val="68C0BEF9"/>
    <w:rsid w:val="68C199E6"/>
    <w:rsid w:val="68C44E69"/>
    <w:rsid w:val="68C6E62A"/>
    <w:rsid w:val="68C725FF"/>
    <w:rsid w:val="68C72EC4"/>
    <w:rsid w:val="68C7D1A0"/>
    <w:rsid w:val="68C86E9E"/>
    <w:rsid w:val="68C92D2F"/>
    <w:rsid w:val="68C9B591"/>
    <w:rsid w:val="68CA840A"/>
    <w:rsid w:val="68CB1793"/>
    <w:rsid w:val="68CB2A26"/>
    <w:rsid w:val="68CC003D"/>
    <w:rsid w:val="68D1A878"/>
    <w:rsid w:val="68D343EE"/>
    <w:rsid w:val="68D50DE1"/>
    <w:rsid w:val="68D716D0"/>
    <w:rsid w:val="68D92BC6"/>
    <w:rsid w:val="68DA1517"/>
    <w:rsid w:val="68DA45AA"/>
    <w:rsid w:val="68DB717B"/>
    <w:rsid w:val="68DC410A"/>
    <w:rsid w:val="68DF0C2E"/>
    <w:rsid w:val="68E17993"/>
    <w:rsid w:val="68E2B5EF"/>
    <w:rsid w:val="68E51284"/>
    <w:rsid w:val="68E7CBF7"/>
    <w:rsid w:val="68E7D8C4"/>
    <w:rsid w:val="68E9FD71"/>
    <w:rsid w:val="68EC61D5"/>
    <w:rsid w:val="68ECE5E4"/>
    <w:rsid w:val="68EE5A62"/>
    <w:rsid w:val="68EE6086"/>
    <w:rsid w:val="68F005C4"/>
    <w:rsid w:val="68F01772"/>
    <w:rsid w:val="68F108C6"/>
    <w:rsid w:val="68F2D454"/>
    <w:rsid w:val="68F3BE26"/>
    <w:rsid w:val="68F3F674"/>
    <w:rsid w:val="68F549CC"/>
    <w:rsid w:val="68F54F6F"/>
    <w:rsid w:val="68F5BC87"/>
    <w:rsid w:val="68F7C1AE"/>
    <w:rsid w:val="68F906CF"/>
    <w:rsid w:val="68FC1FA3"/>
    <w:rsid w:val="68FC5F1A"/>
    <w:rsid w:val="68FC6518"/>
    <w:rsid w:val="68FDC015"/>
    <w:rsid w:val="6900E38E"/>
    <w:rsid w:val="6902FCA0"/>
    <w:rsid w:val="69034A77"/>
    <w:rsid w:val="690410C6"/>
    <w:rsid w:val="690497BA"/>
    <w:rsid w:val="6905DA49"/>
    <w:rsid w:val="6906BEF6"/>
    <w:rsid w:val="690811BF"/>
    <w:rsid w:val="6908B31B"/>
    <w:rsid w:val="6908D2ED"/>
    <w:rsid w:val="6909BD79"/>
    <w:rsid w:val="690B42B6"/>
    <w:rsid w:val="690CD886"/>
    <w:rsid w:val="690EC4E1"/>
    <w:rsid w:val="69114E65"/>
    <w:rsid w:val="6912B154"/>
    <w:rsid w:val="69132224"/>
    <w:rsid w:val="69179F34"/>
    <w:rsid w:val="6917CDB5"/>
    <w:rsid w:val="6918DCFC"/>
    <w:rsid w:val="6919BC03"/>
    <w:rsid w:val="691B2FCF"/>
    <w:rsid w:val="691C5AF6"/>
    <w:rsid w:val="691D574B"/>
    <w:rsid w:val="691E8E56"/>
    <w:rsid w:val="691F18FA"/>
    <w:rsid w:val="691FAAD8"/>
    <w:rsid w:val="692027A8"/>
    <w:rsid w:val="69203083"/>
    <w:rsid w:val="6922180E"/>
    <w:rsid w:val="69275B72"/>
    <w:rsid w:val="6927B6E4"/>
    <w:rsid w:val="6928E181"/>
    <w:rsid w:val="692A7DF9"/>
    <w:rsid w:val="692C0BD0"/>
    <w:rsid w:val="692C1B6D"/>
    <w:rsid w:val="692C3618"/>
    <w:rsid w:val="692CBFE2"/>
    <w:rsid w:val="692CCF0C"/>
    <w:rsid w:val="692DD348"/>
    <w:rsid w:val="6931CE86"/>
    <w:rsid w:val="69337AE4"/>
    <w:rsid w:val="69342C17"/>
    <w:rsid w:val="693720EF"/>
    <w:rsid w:val="693972CD"/>
    <w:rsid w:val="693BDD27"/>
    <w:rsid w:val="693BF95E"/>
    <w:rsid w:val="693C2139"/>
    <w:rsid w:val="693D0A1D"/>
    <w:rsid w:val="693E4109"/>
    <w:rsid w:val="693FEB01"/>
    <w:rsid w:val="69403A3E"/>
    <w:rsid w:val="69424794"/>
    <w:rsid w:val="6942B475"/>
    <w:rsid w:val="694364A9"/>
    <w:rsid w:val="6948D682"/>
    <w:rsid w:val="6948E3E3"/>
    <w:rsid w:val="694983EB"/>
    <w:rsid w:val="694BF929"/>
    <w:rsid w:val="694C9BC2"/>
    <w:rsid w:val="69504A25"/>
    <w:rsid w:val="695146CE"/>
    <w:rsid w:val="695363A6"/>
    <w:rsid w:val="6954E602"/>
    <w:rsid w:val="6956681F"/>
    <w:rsid w:val="695670B5"/>
    <w:rsid w:val="69579037"/>
    <w:rsid w:val="6957D43C"/>
    <w:rsid w:val="695AA9C5"/>
    <w:rsid w:val="695B69CD"/>
    <w:rsid w:val="6960A191"/>
    <w:rsid w:val="6962F62E"/>
    <w:rsid w:val="69633C6E"/>
    <w:rsid w:val="6963FCE3"/>
    <w:rsid w:val="696408E9"/>
    <w:rsid w:val="69657B6A"/>
    <w:rsid w:val="6967264C"/>
    <w:rsid w:val="6967EED6"/>
    <w:rsid w:val="6967FA93"/>
    <w:rsid w:val="696A43C8"/>
    <w:rsid w:val="696B3BD6"/>
    <w:rsid w:val="696CCB31"/>
    <w:rsid w:val="696EAE9A"/>
    <w:rsid w:val="696F0120"/>
    <w:rsid w:val="69756F2B"/>
    <w:rsid w:val="697B0901"/>
    <w:rsid w:val="697BADF2"/>
    <w:rsid w:val="6981596D"/>
    <w:rsid w:val="6982E8F5"/>
    <w:rsid w:val="6983E817"/>
    <w:rsid w:val="6984BD8B"/>
    <w:rsid w:val="6985CFE8"/>
    <w:rsid w:val="69894C5C"/>
    <w:rsid w:val="69896729"/>
    <w:rsid w:val="698A4351"/>
    <w:rsid w:val="698FA957"/>
    <w:rsid w:val="6992843D"/>
    <w:rsid w:val="69959A13"/>
    <w:rsid w:val="699835EB"/>
    <w:rsid w:val="69986063"/>
    <w:rsid w:val="699938C5"/>
    <w:rsid w:val="699CC728"/>
    <w:rsid w:val="699CF011"/>
    <w:rsid w:val="699D624E"/>
    <w:rsid w:val="699D95A3"/>
    <w:rsid w:val="69A3C6E0"/>
    <w:rsid w:val="69A424E5"/>
    <w:rsid w:val="69A56B24"/>
    <w:rsid w:val="69A61D4A"/>
    <w:rsid w:val="69A7BE4C"/>
    <w:rsid w:val="69A7CBEC"/>
    <w:rsid w:val="69A911C2"/>
    <w:rsid w:val="69AA304B"/>
    <w:rsid w:val="69AA9545"/>
    <w:rsid w:val="69AB19E6"/>
    <w:rsid w:val="69AB1F07"/>
    <w:rsid w:val="69AC9814"/>
    <w:rsid w:val="69ACAC4C"/>
    <w:rsid w:val="69AD4CE6"/>
    <w:rsid w:val="69AF3EAA"/>
    <w:rsid w:val="69B28048"/>
    <w:rsid w:val="69B32CAC"/>
    <w:rsid w:val="69B37A8D"/>
    <w:rsid w:val="69B754FA"/>
    <w:rsid w:val="69B7681B"/>
    <w:rsid w:val="69B8CE93"/>
    <w:rsid w:val="69B93EEC"/>
    <w:rsid w:val="69BA91AE"/>
    <w:rsid w:val="69BB8290"/>
    <w:rsid w:val="69BB88CA"/>
    <w:rsid w:val="69BF1BA5"/>
    <w:rsid w:val="69C3DCDF"/>
    <w:rsid w:val="69C42D97"/>
    <w:rsid w:val="69C7FC85"/>
    <w:rsid w:val="69CA408D"/>
    <w:rsid w:val="69CB3088"/>
    <w:rsid w:val="69CB7E9C"/>
    <w:rsid w:val="69D04F00"/>
    <w:rsid w:val="69D072B2"/>
    <w:rsid w:val="69D2B62E"/>
    <w:rsid w:val="69D437E5"/>
    <w:rsid w:val="69D54329"/>
    <w:rsid w:val="69D5FA50"/>
    <w:rsid w:val="69D64322"/>
    <w:rsid w:val="69D76F5B"/>
    <w:rsid w:val="69D8AD9D"/>
    <w:rsid w:val="69D95361"/>
    <w:rsid w:val="69DDF9FC"/>
    <w:rsid w:val="69DF21BE"/>
    <w:rsid w:val="69DF47E4"/>
    <w:rsid w:val="69DFB955"/>
    <w:rsid w:val="69E070BD"/>
    <w:rsid w:val="69E16A4B"/>
    <w:rsid w:val="69E17F19"/>
    <w:rsid w:val="69E3C478"/>
    <w:rsid w:val="69E6FD83"/>
    <w:rsid w:val="69E719B6"/>
    <w:rsid w:val="69E7C7CD"/>
    <w:rsid w:val="69E9F5AA"/>
    <w:rsid w:val="69E9FF35"/>
    <w:rsid w:val="69EAFA34"/>
    <w:rsid w:val="69EBE30D"/>
    <w:rsid w:val="69ED87A8"/>
    <w:rsid w:val="69EEFED0"/>
    <w:rsid w:val="69EF660D"/>
    <w:rsid w:val="69F3887F"/>
    <w:rsid w:val="69F9071A"/>
    <w:rsid w:val="69FAFF84"/>
    <w:rsid w:val="69FFAB5C"/>
    <w:rsid w:val="6A019283"/>
    <w:rsid w:val="6A0295B5"/>
    <w:rsid w:val="6A02F0BF"/>
    <w:rsid w:val="6A0324F0"/>
    <w:rsid w:val="6A04E453"/>
    <w:rsid w:val="6A054ED4"/>
    <w:rsid w:val="6A0838F3"/>
    <w:rsid w:val="6A09817C"/>
    <w:rsid w:val="6A0BADB9"/>
    <w:rsid w:val="6A0C4C1E"/>
    <w:rsid w:val="6A0DDCE9"/>
    <w:rsid w:val="6A0E4F2F"/>
    <w:rsid w:val="6A103A21"/>
    <w:rsid w:val="6A14AD45"/>
    <w:rsid w:val="6A14C611"/>
    <w:rsid w:val="6A1696D0"/>
    <w:rsid w:val="6A19153A"/>
    <w:rsid w:val="6A19B993"/>
    <w:rsid w:val="6A1B980B"/>
    <w:rsid w:val="6A1D543B"/>
    <w:rsid w:val="6A1D640C"/>
    <w:rsid w:val="6A1F7A06"/>
    <w:rsid w:val="6A1FE61F"/>
    <w:rsid w:val="6A1FE74F"/>
    <w:rsid w:val="6A203AE8"/>
    <w:rsid w:val="6A20A555"/>
    <w:rsid w:val="6A232620"/>
    <w:rsid w:val="6A23A33F"/>
    <w:rsid w:val="6A249DFE"/>
    <w:rsid w:val="6A26876B"/>
    <w:rsid w:val="6A2800AC"/>
    <w:rsid w:val="6A2994AB"/>
    <w:rsid w:val="6A29E755"/>
    <w:rsid w:val="6A2B3447"/>
    <w:rsid w:val="6A2C8649"/>
    <w:rsid w:val="6A2CB574"/>
    <w:rsid w:val="6A2F09D4"/>
    <w:rsid w:val="6A2F7242"/>
    <w:rsid w:val="6A30A57E"/>
    <w:rsid w:val="6A331387"/>
    <w:rsid w:val="6A33EBE0"/>
    <w:rsid w:val="6A34B115"/>
    <w:rsid w:val="6A35DFAB"/>
    <w:rsid w:val="6A369499"/>
    <w:rsid w:val="6A3B4D2C"/>
    <w:rsid w:val="6A3B5279"/>
    <w:rsid w:val="6A3D3FF1"/>
    <w:rsid w:val="6A3D4B52"/>
    <w:rsid w:val="6A4069C7"/>
    <w:rsid w:val="6A41CA13"/>
    <w:rsid w:val="6A4249D0"/>
    <w:rsid w:val="6A4532EF"/>
    <w:rsid w:val="6A457EEA"/>
    <w:rsid w:val="6A459A36"/>
    <w:rsid w:val="6A460F88"/>
    <w:rsid w:val="6A46BDED"/>
    <w:rsid w:val="6A49B1B2"/>
    <w:rsid w:val="6A4B619F"/>
    <w:rsid w:val="6A4F69E6"/>
    <w:rsid w:val="6A5221B2"/>
    <w:rsid w:val="6A5226F8"/>
    <w:rsid w:val="6A53B21B"/>
    <w:rsid w:val="6A546EBD"/>
    <w:rsid w:val="6A55887E"/>
    <w:rsid w:val="6A55AA5C"/>
    <w:rsid w:val="6A5671A0"/>
    <w:rsid w:val="6A5B3D72"/>
    <w:rsid w:val="6A5CAAB6"/>
    <w:rsid w:val="6A5D11BE"/>
    <w:rsid w:val="6A5F48C9"/>
    <w:rsid w:val="6A607DD3"/>
    <w:rsid w:val="6A625B05"/>
    <w:rsid w:val="6A63D006"/>
    <w:rsid w:val="6A64493C"/>
    <w:rsid w:val="6A646BE8"/>
    <w:rsid w:val="6A64C623"/>
    <w:rsid w:val="6A65018E"/>
    <w:rsid w:val="6A6B2B0D"/>
    <w:rsid w:val="6A701A6D"/>
    <w:rsid w:val="6A71E0D8"/>
    <w:rsid w:val="6A735185"/>
    <w:rsid w:val="6A7849DA"/>
    <w:rsid w:val="6A78B9D4"/>
    <w:rsid w:val="6A792230"/>
    <w:rsid w:val="6A7C2666"/>
    <w:rsid w:val="6A7C6143"/>
    <w:rsid w:val="6A7EB9E9"/>
    <w:rsid w:val="6A7EEE41"/>
    <w:rsid w:val="6A7FE223"/>
    <w:rsid w:val="6A80B778"/>
    <w:rsid w:val="6A81F4E5"/>
    <w:rsid w:val="6A82205F"/>
    <w:rsid w:val="6A8352F8"/>
    <w:rsid w:val="6A85CDA3"/>
    <w:rsid w:val="6A85FF3A"/>
    <w:rsid w:val="6A86807C"/>
    <w:rsid w:val="6A87F3C4"/>
    <w:rsid w:val="6A8A3E13"/>
    <w:rsid w:val="6A8B34C5"/>
    <w:rsid w:val="6A8CF178"/>
    <w:rsid w:val="6A8E6AFF"/>
    <w:rsid w:val="6A9181EE"/>
    <w:rsid w:val="6A9560CB"/>
    <w:rsid w:val="6A9AEE49"/>
    <w:rsid w:val="6A9C4BB7"/>
    <w:rsid w:val="6A9DF9B8"/>
    <w:rsid w:val="6A9F8779"/>
    <w:rsid w:val="6A9FF85B"/>
    <w:rsid w:val="6AA0ABCE"/>
    <w:rsid w:val="6AA1BC31"/>
    <w:rsid w:val="6AA22ECB"/>
    <w:rsid w:val="6AA341C1"/>
    <w:rsid w:val="6AA3ABA0"/>
    <w:rsid w:val="6AA478CA"/>
    <w:rsid w:val="6AA4D902"/>
    <w:rsid w:val="6AA7B72A"/>
    <w:rsid w:val="6AAE65EE"/>
    <w:rsid w:val="6AB0075C"/>
    <w:rsid w:val="6AB01748"/>
    <w:rsid w:val="6AB02837"/>
    <w:rsid w:val="6AB13E98"/>
    <w:rsid w:val="6AB1F521"/>
    <w:rsid w:val="6AB33419"/>
    <w:rsid w:val="6AB3AE89"/>
    <w:rsid w:val="6AB62292"/>
    <w:rsid w:val="6AB65D36"/>
    <w:rsid w:val="6AB7F45E"/>
    <w:rsid w:val="6AB93543"/>
    <w:rsid w:val="6ABC3E7A"/>
    <w:rsid w:val="6ABC71CE"/>
    <w:rsid w:val="6ABC7E32"/>
    <w:rsid w:val="6ABC8BE7"/>
    <w:rsid w:val="6ABD7154"/>
    <w:rsid w:val="6ABDFDE7"/>
    <w:rsid w:val="6AC10AA9"/>
    <w:rsid w:val="6AC476C3"/>
    <w:rsid w:val="6AC52CCF"/>
    <w:rsid w:val="6AC833EF"/>
    <w:rsid w:val="6ACA26D7"/>
    <w:rsid w:val="6ACACB83"/>
    <w:rsid w:val="6ACB29F1"/>
    <w:rsid w:val="6ACD36ED"/>
    <w:rsid w:val="6ACDD711"/>
    <w:rsid w:val="6ACE6FAC"/>
    <w:rsid w:val="6AD0A5CA"/>
    <w:rsid w:val="6AD213BF"/>
    <w:rsid w:val="6AD57EAD"/>
    <w:rsid w:val="6AD63CAA"/>
    <w:rsid w:val="6AD697C7"/>
    <w:rsid w:val="6AD70CC6"/>
    <w:rsid w:val="6AD71683"/>
    <w:rsid w:val="6AD7408F"/>
    <w:rsid w:val="6AD74B3D"/>
    <w:rsid w:val="6AD7FC04"/>
    <w:rsid w:val="6AD8251B"/>
    <w:rsid w:val="6ADA0440"/>
    <w:rsid w:val="6ADA62FE"/>
    <w:rsid w:val="6ADDFCF1"/>
    <w:rsid w:val="6ADE538F"/>
    <w:rsid w:val="6ADF81A2"/>
    <w:rsid w:val="6AE02CC7"/>
    <w:rsid w:val="6AE0BCF5"/>
    <w:rsid w:val="6AE10A90"/>
    <w:rsid w:val="6AE2B976"/>
    <w:rsid w:val="6AE3C2D3"/>
    <w:rsid w:val="6AE53FE9"/>
    <w:rsid w:val="6AE5EA69"/>
    <w:rsid w:val="6AE63B70"/>
    <w:rsid w:val="6AE6E7B0"/>
    <w:rsid w:val="6AE768B0"/>
    <w:rsid w:val="6AE789C1"/>
    <w:rsid w:val="6AE8518A"/>
    <w:rsid w:val="6AEADA87"/>
    <w:rsid w:val="6AECCE55"/>
    <w:rsid w:val="6AEE078D"/>
    <w:rsid w:val="6AEF5F5D"/>
    <w:rsid w:val="6AF11CF1"/>
    <w:rsid w:val="6AF4B890"/>
    <w:rsid w:val="6AF50217"/>
    <w:rsid w:val="6AF84EFC"/>
    <w:rsid w:val="6AFA3A70"/>
    <w:rsid w:val="6AFB2900"/>
    <w:rsid w:val="6AFCFC6D"/>
    <w:rsid w:val="6AFE7BAE"/>
    <w:rsid w:val="6AFEFC2D"/>
    <w:rsid w:val="6AFF557F"/>
    <w:rsid w:val="6AFF720C"/>
    <w:rsid w:val="6B011316"/>
    <w:rsid w:val="6B01C51F"/>
    <w:rsid w:val="6B04ED02"/>
    <w:rsid w:val="6B05E6EE"/>
    <w:rsid w:val="6B075318"/>
    <w:rsid w:val="6B088B6D"/>
    <w:rsid w:val="6B0B0EDE"/>
    <w:rsid w:val="6B0B9370"/>
    <w:rsid w:val="6B0BEF13"/>
    <w:rsid w:val="6B0CC406"/>
    <w:rsid w:val="6B0D2B08"/>
    <w:rsid w:val="6B0D5E5D"/>
    <w:rsid w:val="6B0E5170"/>
    <w:rsid w:val="6B0F52E8"/>
    <w:rsid w:val="6B12AB07"/>
    <w:rsid w:val="6B12CFD2"/>
    <w:rsid w:val="6B155779"/>
    <w:rsid w:val="6B167403"/>
    <w:rsid w:val="6B16A965"/>
    <w:rsid w:val="6B18632D"/>
    <w:rsid w:val="6B1A4987"/>
    <w:rsid w:val="6B1B68B2"/>
    <w:rsid w:val="6B1B8F63"/>
    <w:rsid w:val="6B1C9AB9"/>
    <w:rsid w:val="6B1DFF0D"/>
    <w:rsid w:val="6B1E1F46"/>
    <w:rsid w:val="6B1FE4D3"/>
    <w:rsid w:val="6B24A48F"/>
    <w:rsid w:val="6B2544DE"/>
    <w:rsid w:val="6B277E7D"/>
    <w:rsid w:val="6B29A1D5"/>
    <w:rsid w:val="6B2D87D9"/>
    <w:rsid w:val="6B2EE514"/>
    <w:rsid w:val="6B327C42"/>
    <w:rsid w:val="6B33EAA6"/>
    <w:rsid w:val="6B34EB5E"/>
    <w:rsid w:val="6B37B66B"/>
    <w:rsid w:val="6B387644"/>
    <w:rsid w:val="6B389921"/>
    <w:rsid w:val="6B3A3162"/>
    <w:rsid w:val="6B3BBA00"/>
    <w:rsid w:val="6B3D68E9"/>
    <w:rsid w:val="6B3DF5E5"/>
    <w:rsid w:val="6B3EC6ED"/>
    <w:rsid w:val="6B41226F"/>
    <w:rsid w:val="6B4391B3"/>
    <w:rsid w:val="6B444808"/>
    <w:rsid w:val="6B452DAC"/>
    <w:rsid w:val="6B469CAF"/>
    <w:rsid w:val="6B4B0076"/>
    <w:rsid w:val="6B4BDCCB"/>
    <w:rsid w:val="6B4D5DA7"/>
    <w:rsid w:val="6B4EE630"/>
    <w:rsid w:val="6B508C8E"/>
    <w:rsid w:val="6B537075"/>
    <w:rsid w:val="6B573042"/>
    <w:rsid w:val="6B5CB6D5"/>
    <w:rsid w:val="6B5EAB95"/>
    <w:rsid w:val="6B5F4FAE"/>
    <w:rsid w:val="6B61DEFB"/>
    <w:rsid w:val="6B66BA6D"/>
    <w:rsid w:val="6B682555"/>
    <w:rsid w:val="6B682795"/>
    <w:rsid w:val="6B68A5CC"/>
    <w:rsid w:val="6B6996C2"/>
    <w:rsid w:val="6B710A6F"/>
    <w:rsid w:val="6B72006A"/>
    <w:rsid w:val="6B750977"/>
    <w:rsid w:val="6B769790"/>
    <w:rsid w:val="6B76D906"/>
    <w:rsid w:val="6B7728A6"/>
    <w:rsid w:val="6B822FDC"/>
    <w:rsid w:val="6B8247A5"/>
    <w:rsid w:val="6B82B165"/>
    <w:rsid w:val="6B82C42E"/>
    <w:rsid w:val="6B82E92F"/>
    <w:rsid w:val="6B83377D"/>
    <w:rsid w:val="6B836108"/>
    <w:rsid w:val="6B8B1554"/>
    <w:rsid w:val="6B8C8FB5"/>
    <w:rsid w:val="6B8DD983"/>
    <w:rsid w:val="6B8E36D3"/>
    <w:rsid w:val="6B907FB7"/>
    <w:rsid w:val="6B943C2A"/>
    <w:rsid w:val="6B9454A0"/>
    <w:rsid w:val="6B95A3DE"/>
    <w:rsid w:val="6B97EDEA"/>
    <w:rsid w:val="6B981FFC"/>
    <w:rsid w:val="6B986AC8"/>
    <w:rsid w:val="6B9A7411"/>
    <w:rsid w:val="6B9D8F95"/>
    <w:rsid w:val="6B9E7294"/>
    <w:rsid w:val="6B9F335B"/>
    <w:rsid w:val="6B9F3750"/>
    <w:rsid w:val="6B9F441B"/>
    <w:rsid w:val="6BA35294"/>
    <w:rsid w:val="6BA48E52"/>
    <w:rsid w:val="6BA693BF"/>
    <w:rsid w:val="6BA7DEE2"/>
    <w:rsid w:val="6BA7EFDF"/>
    <w:rsid w:val="6BA849DB"/>
    <w:rsid w:val="6BAB2DBE"/>
    <w:rsid w:val="6BAD025E"/>
    <w:rsid w:val="6BB086BF"/>
    <w:rsid w:val="6BB2956F"/>
    <w:rsid w:val="6BB6D085"/>
    <w:rsid w:val="6BB7CCC5"/>
    <w:rsid w:val="6BB8D187"/>
    <w:rsid w:val="6BBCA2AE"/>
    <w:rsid w:val="6BC0363C"/>
    <w:rsid w:val="6BC03B4C"/>
    <w:rsid w:val="6BC045C5"/>
    <w:rsid w:val="6BC1D77C"/>
    <w:rsid w:val="6BC22A27"/>
    <w:rsid w:val="6BC31A54"/>
    <w:rsid w:val="6BC5682F"/>
    <w:rsid w:val="6BC91D37"/>
    <w:rsid w:val="6BD02C13"/>
    <w:rsid w:val="6BD14A91"/>
    <w:rsid w:val="6BD48699"/>
    <w:rsid w:val="6BD4FEF3"/>
    <w:rsid w:val="6BD680F1"/>
    <w:rsid w:val="6BD68AB2"/>
    <w:rsid w:val="6BDA31CA"/>
    <w:rsid w:val="6BDC79F5"/>
    <w:rsid w:val="6BDDD570"/>
    <w:rsid w:val="6BE06BC0"/>
    <w:rsid w:val="6BE1CBAB"/>
    <w:rsid w:val="6BE317F6"/>
    <w:rsid w:val="6BE476C4"/>
    <w:rsid w:val="6BE5DC71"/>
    <w:rsid w:val="6BE6437F"/>
    <w:rsid w:val="6BE8A90B"/>
    <w:rsid w:val="6BE8C56B"/>
    <w:rsid w:val="6BEA26D2"/>
    <w:rsid w:val="6BEA3B61"/>
    <w:rsid w:val="6BECCD04"/>
    <w:rsid w:val="6BED50E1"/>
    <w:rsid w:val="6BEE64A8"/>
    <w:rsid w:val="6BEF19DA"/>
    <w:rsid w:val="6BF0119F"/>
    <w:rsid w:val="6BF16CDA"/>
    <w:rsid w:val="6BF399F6"/>
    <w:rsid w:val="6BF3C6F6"/>
    <w:rsid w:val="6BF7B7AF"/>
    <w:rsid w:val="6BF980F7"/>
    <w:rsid w:val="6BF99C4F"/>
    <w:rsid w:val="6BFA5344"/>
    <w:rsid w:val="6C01391D"/>
    <w:rsid w:val="6C013A76"/>
    <w:rsid w:val="6C019562"/>
    <w:rsid w:val="6C0422D2"/>
    <w:rsid w:val="6C050727"/>
    <w:rsid w:val="6C0703F1"/>
    <w:rsid w:val="6C07144B"/>
    <w:rsid w:val="6C0A0D1F"/>
    <w:rsid w:val="6C0DF45A"/>
    <w:rsid w:val="6C0EEAAD"/>
    <w:rsid w:val="6C0FF373"/>
    <w:rsid w:val="6C0FF8B6"/>
    <w:rsid w:val="6C104721"/>
    <w:rsid w:val="6C111C76"/>
    <w:rsid w:val="6C14ECCA"/>
    <w:rsid w:val="6C154B7E"/>
    <w:rsid w:val="6C18A58E"/>
    <w:rsid w:val="6C1AF793"/>
    <w:rsid w:val="6C1BC9E4"/>
    <w:rsid w:val="6C1DB68F"/>
    <w:rsid w:val="6C1E5F95"/>
    <w:rsid w:val="6C222D36"/>
    <w:rsid w:val="6C224061"/>
    <w:rsid w:val="6C2294DF"/>
    <w:rsid w:val="6C22BF25"/>
    <w:rsid w:val="6C24BAA7"/>
    <w:rsid w:val="6C24CBF9"/>
    <w:rsid w:val="6C295957"/>
    <w:rsid w:val="6C2EDD0C"/>
    <w:rsid w:val="6C2FA79D"/>
    <w:rsid w:val="6C301421"/>
    <w:rsid w:val="6C325A0C"/>
    <w:rsid w:val="6C32A101"/>
    <w:rsid w:val="6C336D6E"/>
    <w:rsid w:val="6C37123E"/>
    <w:rsid w:val="6C3895AE"/>
    <w:rsid w:val="6C3A0458"/>
    <w:rsid w:val="6C3D45B3"/>
    <w:rsid w:val="6C3F9A3B"/>
    <w:rsid w:val="6C4193AF"/>
    <w:rsid w:val="6C45D6BC"/>
    <w:rsid w:val="6C492EEB"/>
    <w:rsid w:val="6C4B19DE"/>
    <w:rsid w:val="6C4B6D32"/>
    <w:rsid w:val="6C4C6F7B"/>
    <w:rsid w:val="6C504F49"/>
    <w:rsid w:val="6C51DC3E"/>
    <w:rsid w:val="6C534E00"/>
    <w:rsid w:val="6C538B16"/>
    <w:rsid w:val="6C5390B9"/>
    <w:rsid w:val="6C572700"/>
    <w:rsid w:val="6C595D6B"/>
    <w:rsid w:val="6C5A432C"/>
    <w:rsid w:val="6C5A908F"/>
    <w:rsid w:val="6C5ED81B"/>
    <w:rsid w:val="6C5FBF78"/>
    <w:rsid w:val="6C6005CD"/>
    <w:rsid w:val="6C6045D1"/>
    <w:rsid w:val="6C623ECC"/>
    <w:rsid w:val="6C62707D"/>
    <w:rsid w:val="6C63B872"/>
    <w:rsid w:val="6C63D4E2"/>
    <w:rsid w:val="6C6444AF"/>
    <w:rsid w:val="6C65B588"/>
    <w:rsid w:val="6C6C92D1"/>
    <w:rsid w:val="6C6CB05B"/>
    <w:rsid w:val="6C7049B6"/>
    <w:rsid w:val="6C74B2B3"/>
    <w:rsid w:val="6C75491C"/>
    <w:rsid w:val="6C79BBF6"/>
    <w:rsid w:val="6C7C5CC3"/>
    <w:rsid w:val="6C7D0DA1"/>
    <w:rsid w:val="6C7D2B68"/>
    <w:rsid w:val="6C7D36A9"/>
    <w:rsid w:val="6C7E5AB6"/>
    <w:rsid w:val="6C824405"/>
    <w:rsid w:val="6C82B8C3"/>
    <w:rsid w:val="6C83DA03"/>
    <w:rsid w:val="6C855926"/>
    <w:rsid w:val="6C85E187"/>
    <w:rsid w:val="6C867AA1"/>
    <w:rsid w:val="6C88B3CA"/>
    <w:rsid w:val="6C89227D"/>
    <w:rsid w:val="6C8A2741"/>
    <w:rsid w:val="6C8A67D8"/>
    <w:rsid w:val="6C8A97C7"/>
    <w:rsid w:val="6C8B8EDC"/>
    <w:rsid w:val="6C8BCE9E"/>
    <w:rsid w:val="6C8C6FD2"/>
    <w:rsid w:val="6C8E357D"/>
    <w:rsid w:val="6C8FAACB"/>
    <w:rsid w:val="6C922AE1"/>
    <w:rsid w:val="6C936677"/>
    <w:rsid w:val="6C939F95"/>
    <w:rsid w:val="6C943641"/>
    <w:rsid w:val="6C955B9D"/>
    <w:rsid w:val="6C99B015"/>
    <w:rsid w:val="6C9AB6D7"/>
    <w:rsid w:val="6C9E3E0D"/>
    <w:rsid w:val="6C9EFF42"/>
    <w:rsid w:val="6CA38A46"/>
    <w:rsid w:val="6CA4AE8B"/>
    <w:rsid w:val="6CA4E94D"/>
    <w:rsid w:val="6CA4ECBC"/>
    <w:rsid w:val="6CA6DE13"/>
    <w:rsid w:val="6CA858C1"/>
    <w:rsid w:val="6CA9D3B3"/>
    <w:rsid w:val="6CABD5C5"/>
    <w:rsid w:val="6CAC8A70"/>
    <w:rsid w:val="6CAD1C92"/>
    <w:rsid w:val="6CAE62ED"/>
    <w:rsid w:val="6CAEAB75"/>
    <w:rsid w:val="6CAFA7D9"/>
    <w:rsid w:val="6CB0DD08"/>
    <w:rsid w:val="6CB0EC95"/>
    <w:rsid w:val="6CB10E4B"/>
    <w:rsid w:val="6CB66BBA"/>
    <w:rsid w:val="6CB77C0E"/>
    <w:rsid w:val="6CB81224"/>
    <w:rsid w:val="6CB86011"/>
    <w:rsid w:val="6CBA2B0D"/>
    <w:rsid w:val="6CBCA318"/>
    <w:rsid w:val="6CBD5C64"/>
    <w:rsid w:val="6CBD7171"/>
    <w:rsid w:val="6CBDC9BB"/>
    <w:rsid w:val="6CBF53B2"/>
    <w:rsid w:val="6CC2DF67"/>
    <w:rsid w:val="6CC46C82"/>
    <w:rsid w:val="6CC598BA"/>
    <w:rsid w:val="6CC5F224"/>
    <w:rsid w:val="6CC64914"/>
    <w:rsid w:val="6CC841B3"/>
    <w:rsid w:val="6CC891E3"/>
    <w:rsid w:val="6CC9332F"/>
    <w:rsid w:val="6CCA80C4"/>
    <w:rsid w:val="6CCB3BFB"/>
    <w:rsid w:val="6CCD7DEF"/>
    <w:rsid w:val="6CCDB872"/>
    <w:rsid w:val="6CCE0239"/>
    <w:rsid w:val="6CCF0B76"/>
    <w:rsid w:val="6CD09F1F"/>
    <w:rsid w:val="6CD3E732"/>
    <w:rsid w:val="6CD43AEB"/>
    <w:rsid w:val="6CD688E0"/>
    <w:rsid w:val="6CD74988"/>
    <w:rsid w:val="6CD94DE8"/>
    <w:rsid w:val="6CD9A203"/>
    <w:rsid w:val="6CDA50E1"/>
    <w:rsid w:val="6CDEC47F"/>
    <w:rsid w:val="6CDF30F2"/>
    <w:rsid w:val="6CE03A5B"/>
    <w:rsid w:val="6CE1E98D"/>
    <w:rsid w:val="6CE1ECE5"/>
    <w:rsid w:val="6CE3002B"/>
    <w:rsid w:val="6CE532A7"/>
    <w:rsid w:val="6CE59117"/>
    <w:rsid w:val="6CE6B6D4"/>
    <w:rsid w:val="6CE92FB1"/>
    <w:rsid w:val="6CE9A704"/>
    <w:rsid w:val="6CED9553"/>
    <w:rsid w:val="6CEF5FDA"/>
    <w:rsid w:val="6CF38045"/>
    <w:rsid w:val="6CF38395"/>
    <w:rsid w:val="6CF3CB2D"/>
    <w:rsid w:val="6CF4B2BF"/>
    <w:rsid w:val="6CF4E657"/>
    <w:rsid w:val="6CF5329C"/>
    <w:rsid w:val="6CF56F43"/>
    <w:rsid w:val="6CF57581"/>
    <w:rsid w:val="6CF70EF2"/>
    <w:rsid w:val="6CF7351B"/>
    <w:rsid w:val="6CF7839C"/>
    <w:rsid w:val="6CF822B7"/>
    <w:rsid w:val="6CF83871"/>
    <w:rsid w:val="6CFFE335"/>
    <w:rsid w:val="6D008324"/>
    <w:rsid w:val="6D00CC6B"/>
    <w:rsid w:val="6D00D3C3"/>
    <w:rsid w:val="6D029DD5"/>
    <w:rsid w:val="6D02F68E"/>
    <w:rsid w:val="6D050F4A"/>
    <w:rsid w:val="6D05151C"/>
    <w:rsid w:val="6D0805D1"/>
    <w:rsid w:val="6D08413A"/>
    <w:rsid w:val="6D0B2F2B"/>
    <w:rsid w:val="6D0BD1DF"/>
    <w:rsid w:val="6D0CB97D"/>
    <w:rsid w:val="6D0CBF7D"/>
    <w:rsid w:val="6D0D28FF"/>
    <w:rsid w:val="6D0F8BD3"/>
    <w:rsid w:val="6D11731E"/>
    <w:rsid w:val="6D11A1AB"/>
    <w:rsid w:val="6D11CE46"/>
    <w:rsid w:val="6D14ACA4"/>
    <w:rsid w:val="6D14B915"/>
    <w:rsid w:val="6D1509C8"/>
    <w:rsid w:val="6D1510CB"/>
    <w:rsid w:val="6D1930FC"/>
    <w:rsid w:val="6D1AE8C5"/>
    <w:rsid w:val="6D1D7DF6"/>
    <w:rsid w:val="6D1F4184"/>
    <w:rsid w:val="6D20AE2F"/>
    <w:rsid w:val="6D28431C"/>
    <w:rsid w:val="6D292A83"/>
    <w:rsid w:val="6D2ACACC"/>
    <w:rsid w:val="6D2C6033"/>
    <w:rsid w:val="6D2CF461"/>
    <w:rsid w:val="6D2DECAC"/>
    <w:rsid w:val="6D31A674"/>
    <w:rsid w:val="6D36A7EA"/>
    <w:rsid w:val="6D36B9F1"/>
    <w:rsid w:val="6D385E2B"/>
    <w:rsid w:val="6D39906E"/>
    <w:rsid w:val="6D3BC1B4"/>
    <w:rsid w:val="6D3EB5D0"/>
    <w:rsid w:val="6D4014FD"/>
    <w:rsid w:val="6D427E9B"/>
    <w:rsid w:val="6D42F751"/>
    <w:rsid w:val="6D45599D"/>
    <w:rsid w:val="6D467FFF"/>
    <w:rsid w:val="6D49C3CB"/>
    <w:rsid w:val="6D4CCB2C"/>
    <w:rsid w:val="6D4CD936"/>
    <w:rsid w:val="6D4D5C64"/>
    <w:rsid w:val="6D4DBDEC"/>
    <w:rsid w:val="6D4E7CC7"/>
    <w:rsid w:val="6D4F27D1"/>
    <w:rsid w:val="6D4FF054"/>
    <w:rsid w:val="6D5010CD"/>
    <w:rsid w:val="6D539797"/>
    <w:rsid w:val="6D53C1B7"/>
    <w:rsid w:val="6D548001"/>
    <w:rsid w:val="6D549CB8"/>
    <w:rsid w:val="6D57779F"/>
    <w:rsid w:val="6D57AD8A"/>
    <w:rsid w:val="6D592F6A"/>
    <w:rsid w:val="6D5EBCB2"/>
    <w:rsid w:val="6D617817"/>
    <w:rsid w:val="6D623E07"/>
    <w:rsid w:val="6D623FC6"/>
    <w:rsid w:val="6D62A5E2"/>
    <w:rsid w:val="6D63C517"/>
    <w:rsid w:val="6D65B0E1"/>
    <w:rsid w:val="6D681069"/>
    <w:rsid w:val="6D682BB4"/>
    <w:rsid w:val="6D6AA0DD"/>
    <w:rsid w:val="6D6B8814"/>
    <w:rsid w:val="6D6BE79E"/>
    <w:rsid w:val="6D74B09C"/>
    <w:rsid w:val="6D759315"/>
    <w:rsid w:val="6D796F02"/>
    <w:rsid w:val="6D7979F4"/>
    <w:rsid w:val="6D7AF0BF"/>
    <w:rsid w:val="6D7AFBBD"/>
    <w:rsid w:val="6D7B44FC"/>
    <w:rsid w:val="6D7B8F91"/>
    <w:rsid w:val="6D7ECEB3"/>
    <w:rsid w:val="6D8249F1"/>
    <w:rsid w:val="6D83BEC3"/>
    <w:rsid w:val="6D85686F"/>
    <w:rsid w:val="6D889234"/>
    <w:rsid w:val="6D893405"/>
    <w:rsid w:val="6D898D4E"/>
    <w:rsid w:val="6D89EF5A"/>
    <w:rsid w:val="6D8A395F"/>
    <w:rsid w:val="6D8EBFBF"/>
    <w:rsid w:val="6D8FF292"/>
    <w:rsid w:val="6D952FB1"/>
    <w:rsid w:val="6D9804C9"/>
    <w:rsid w:val="6D9852D0"/>
    <w:rsid w:val="6D993989"/>
    <w:rsid w:val="6D9C3657"/>
    <w:rsid w:val="6D9D8636"/>
    <w:rsid w:val="6DA56FF7"/>
    <w:rsid w:val="6DA87D2E"/>
    <w:rsid w:val="6DA88068"/>
    <w:rsid w:val="6DA89AA7"/>
    <w:rsid w:val="6DA92978"/>
    <w:rsid w:val="6DA933B4"/>
    <w:rsid w:val="6DAA2D81"/>
    <w:rsid w:val="6DAB5B70"/>
    <w:rsid w:val="6DAE5464"/>
    <w:rsid w:val="6DAEBE47"/>
    <w:rsid w:val="6DB05DA9"/>
    <w:rsid w:val="6DB2DA62"/>
    <w:rsid w:val="6DB9E7DF"/>
    <w:rsid w:val="6DBA0193"/>
    <w:rsid w:val="6DBBF3B2"/>
    <w:rsid w:val="6DBCC1CC"/>
    <w:rsid w:val="6DBDA110"/>
    <w:rsid w:val="6DBE187C"/>
    <w:rsid w:val="6DBF6F4B"/>
    <w:rsid w:val="6DBF7AB9"/>
    <w:rsid w:val="6DC04D49"/>
    <w:rsid w:val="6DC1DDB6"/>
    <w:rsid w:val="6DC321B5"/>
    <w:rsid w:val="6DC39D08"/>
    <w:rsid w:val="6DC994A5"/>
    <w:rsid w:val="6DCA031C"/>
    <w:rsid w:val="6DCA050E"/>
    <w:rsid w:val="6DCFCA91"/>
    <w:rsid w:val="6DD0B0A6"/>
    <w:rsid w:val="6DD1008D"/>
    <w:rsid w:val="6DD1A5AF"/>
    <w:rsid w:val="6DD1CAD4"/>
    <w:rsid w:val="6DD2C034"/>
    <w:rsid w:val="6DD30AC6"/>
    <w:rsid w:val="6DD409C2"/>
    <w:rsid w:val="6DD7F653"/>
    <w:rsid w:val="6DD8667C"/>
    <w:rsid w:val="6DD952C5"/>
    <w:rsid w:val="6DDA61ED"/>
    <w:rsid w:val="6DDA94A0"/>
    <w:rsid w:val="6DDB3409"/>
    <w:rsid w:val="6DDCD864"/>
    <w:rsid w:val="6DE01079"/>
    <w:rsid w:val="6DE0FF6E"/>
    <w:rsid w:val="6DE37652"/>
    <w:rsid w:val="6DE3D104"/>
    <w:rsid w:val="6DE3FAA3"/>
    <w:rsid w:val="6DE7534A"/>
    <w:rsid w:val="6DE7A0A1"/>
    <w:rsid w:val="6DEC6FB4"/>
    <w:rsid w:val="6DEDA533"/>
    <w:rsid w:val="6DEDB0E3"/>
    <w:rsid w:val="6DEDC664"/>
    <w:rsid w:val="6DEDE32C"/>
    <w:rsid w:val="6DEE723D"/>
    <w:rsid w:val="6DEEF3F5"/>
    <w:rsid w:val="6DEF3841"/>
    <w:rsid w:val="6DF03765"/>
    <w:rsid w:val="6DF102A8"/>
    <w:rsid w:val="6DF2DC00"/>
    <w:rsid w:val="6DF49AB3"/>
    <w:rsid w:val="6DF4A6C9"/>
    <w:rsid w:val="6DF4D35A"/>
    <w:rsid w:val="6DF4F16A"/>
    <w:rsid w:val="6DF53971"/>
    <w:rsid w:val="6DF6B555"/>
    <w:rsid w:val="6DF74165"/>
    <w:rsid w:val="6DF76DB7"/>
    <w:rsid w:val="6DF8C865"/>
    <w:rsid w:val="6DFC17B7"/>
    <w:rsid w:val="6DFC2B47"/>
    <w:rsid w:val="6DFC2E32"/>
    <w:rsid w:val="6DFEC744"/>
    <w:rsid w:val="6E0024CA"/>
    <w:rsid w:val="6E0291AD"/>
    <w:rsid w:val="6E063116"/>
    <w:rsid w:val="6E0AE92D"/>
    <w:rsid w:val="6E0CCAA9"/>
    <w:rsid w:val="6E0E3E40"/>
    <w:rsid w:val="6E0E8E79"/>
    <w:rsid w:val="6E0EE3BC"/>
    <w:rsid w:val="6E119DE0"/>
    <w:rsid w:val="6E12A73E"/>
    <w:rsid w:val="6E13C203"/>
    <w:rsid w:val="6E14B491"/>
    <w:rsid w:val="6E15329C"/>
    <w:rsid w:val="6E15C7FB"/>
    <w:rsid w:val="6E15CD44"/>
    <w:rsid w:val="6E15E9E9"/>
    <w:rsid w:val="6E17A303"/>
    <w:rsid w:val="6E18B3D4"/>
    <w:rsid w:val="6E197072"/>
    <w:rsid w:val="6E1BC0B2"/>
    <w:rsid w:val="6E1DB7C3"/>
    <w:rsid w:val="6E1EBAAB"/>
    <w:rsid w:val="6E1ED9C6"/>
    <w:rsid w:val="6E1F2F38"/>
    <w:rsid w:val="6E217B4B"/>
    <w:rsid w:val="6E21F634"/>
    <w:rsid w:val="6E256EDB"/>
    <w:rsid w:val="6E26299F"/>
    <w:rsid w:val="6E26E842"/>
    <w:rsid w:val="6E26F026"/>
    <w:rsid w:val="6E291FE5"/>
    <w:rsid w:val="6E29EEA9"/>
    <w:rsid w:val="6E2D0E93"/>
    <w:rsid w:val="6E2D275A"/>
    <w:rsid w:val="6E2D341E"/>
    <w:rsid w:val="6E321998"/>
    <w:rsid w:val="6E334F67"/>
    <w:rsid w:val="6E3431FF"/>
    <w:rsid w:val="6E358AC3"/>
    <w:rsid w:val="6E35EF0B"/>
    <w:rsid w:val="6E388E1F"/>
    <w:rsid w:val="6E38D163"/>
    <w:rsid w:val="6E38FD29"/>
    <w:rsid w:val="6E3C5F5E"/>
    <w:rsid w:val="6E3D5623"/>
    <w:rsid w:val="6E4073F1"/>
    <w:rsid w:val="6E40C3A5"/>
    <w:rsid w:val="6E42833D"/>
    <w:rsid w:val="6E444DAE"/>
    <w:rsid w:val="6E44C7A0"/>
    <w:rsid w:val="6E4517FA"/>
    <w:rsid w:val="6E45A8A1"/>
    <w:rsid w:val="6E469F88"/>
    <w:rsid w:val="6E47B3DD"/>
    <w:rsid w:val="6E47B927"/>
    <w:rsid w:val="6E49D4C7"/>
    <w:rsid w:val="6E49E00F"/>
    <w:rsid w:val="6E500C47"/>
    <w:rsid w:val="6E50ABC7"/>
    <w:rsid w:val="6E50BD36"/>
    <w:rsid w:val="6E5140D8"/>
    <w:rsid w:val="6E535E32"/>
    <w:rsid w:val="6E53950C"/>
    <w:rsid w:val="6E54354A"/>
    <w:rsid w:val="6E548690"/>
    <w:rsid w:val="6E571157"/>
    <w:rsid w:val="6E574AE4"/>
    <w:rsid w:val="6E584748"/>
    <w:rsid w:val="6E5A8383"/>
    <w:rsid w:val="6E5C1D72"/>
    <w:rsid w:val="6E5E0A6D"/>
    <w:rsid w:val="6E65587F"/>
    <w:rsid w:val="6E65D482"/>
    <w:rsid w:val="6E685EEA"/>
    <w:rsid w:val="6E6897FC"/>
    <w:rsid w:val="6E68A896"/>
    <w:rsid w:val="6E693C38"/>
    <w:rsid w:val="6E6A06E6"/>
    <w:rsid w:val="6E6CB830"/>
    <w:rsid w:val="6E712D17"/>
    <w:rsid w:val="6E722144"/>
    <w:rsid w:val="6E72D14B"/>
    <w:rsid w:val="6E74D338"/>
    <w:rsid w:val="6E74E139"/>
    <w:rsid w:val="6E768A15"/>
    <w:rsid w:val="6E77C2D5"/>
    <w:rsid w:val="6E780644"/>
    <w:rsid w:val="6E789BF4"/>
    <w:rsid w:val="6E78CCFC"/>
    <w:rsid w:val="6E792C97"/>
    <w:rsid w:val="6E7A76FC"/>
    <w:rsid w:val="6E7B498B"/>
    <w:rsid w:val="6E7C6401"/>
    <w:rsid w:val="6E7D9ADC"/>
    <w:rsid w:val="6E7E6A04"/>
    <w:rsid w:val="6E80321C"/>
    <w:rsid w:val="6E809657"/>
    <w:rsid w:val="6E80D9EC"/>
    <w:rsid w:val="6E8206B6"/>
    <w:rsid w:val="6E852705"/>
    <w:rsid w:val="6E87023E"/>
    <w:rsid w:val="6E8B99A5"/>
    <w:rsid w:val="6E8D237F"/>
    <w:rsid w:val="6E8E4B3B"/>
    <w:rsid w:val="6E8EC79D"/>
    <w:rsid w:val="6E8F6B44"/>
    <w:rsid w:val="6E904897"/>
    <w:rsid w:val="6E904E3E"/>
    <w:rsid w:val="6E9055CB"/>
    <w:rsid w:val="6E90F988"/>
    <w:rsid w:val="6E930EF1"/>
    <w:rsid w:val="6E93AD5F"/>
    <w:rsid w:val="6E93CB6D"/>
    <w:rsid w:val="6E9496FF"/>
    <w:rsid w:val="6E94F015"/>
    <w:rsid w:val="6E961079"/>
    <w:rsid w:val="6E9A32BB"/>
    <w:rsid w:val="6E9AE352"/>
    <w:rsid w:val="6E9B7393"/>
    <w:rsid w:val="6E9CF3FD"/>
    <w:rsid w:val="6E9DD155"/>
    <w:rsid w:val="6E9EE49C"/>
    <w:rsid w:val="6E9F193F"/>
    <w:rsid w:val="6E9F4C4E"/>
    <w:rsid w:val="6EA03199"/>
    <w:rsid w:val="6EA0399A"/>
    <w:rsid w:val="6EA27B0D"/>
    <w:rsid w:val="6EA2A3A3"/>
    <w:rsid w:val="6EA317EA"/>
    <w:rsid w:val="6EA5613C"/>
    <w:rsid w:val="6EA5DFA6"/>
    <w:rsid w:val="6EA675A9"/>
    <w:rsid w:val="6EA9BF8A"/>
    <w:rsid w:val="6EAD2942"/>
    <w:rsid w:val="6EAF7EF6"/>
    <w:rsid w:val="6EB35301"/>
    <w:rsid w:val="6EB75250"/>
    <w:rsid w:val="6EB779B7"/>
    <w:rsid w:val="6EB82E07"/>
    <w:rsid w:val="6EB844A3"/>
    <w:rsid w:val="6EBD6933"/>
    <w:rsid w:val="6EBE1785"/>
    <w:rsid w:val="6EBF2CEB"/>
    <w:rsid w:val="6EBF4217"/>
    <w:rsid w:val="6EBF66C6"/>
    <w:rsid w:val="6EC1B5CD"/>
    <w:rsid w:val="6EC251D2"/>
    <w:rsid w:val="6EC2EB69"/>
    <w:rsid w:val="6EC43F9A"/>
    <w:rsid w:val="6EC49258"/>
    <w:rsid w:val="6EC6476D"/>
    <w:rsid w:val="6EC6F6C2"/>
    <w:rsid w:val="6EC8BA31"/>
    <w:rsid w:val="6EC8F926"/>
    <w:rsid w:val="6ECAC343"/>
    <w:rsid w:val="6ECB15EE"/>
    <w:rsid w:val="6ECD4587"/>
    <w:rsid w:val="6ECD95E1"/>
    <w:rsid w:val="6ECE33E0"/>
    <w:rsid w:val="6ECE79C6"/>
    <w:rsid w:val="6ED081C7"/>
    <w:rsid w:val="6ED17F13"/>
    <w:rsid w:val="6ED231F9"/>
    <w:rsid w:val="6ED2BB74"/>
    <w:rsid w:val="6ED5AAF5"/>
    <w:rsid w:val="6ED5C6DE"/>
    <w:rsid w:val="6ED71F34"/>
    <w:rsid w:val="6ED81B22"/>
    <w:rsid w:val="6ED851E5"/>
    <w:rsid w:val="6ED87A3F"/>
    <w:rsid w:val="6EDA35DB"/>
    <w:rsid w:val="6EDE21A9"/>
    <w:rsid w:val="6EE1BE6B"/>
    <w:rsid w:val="6EE246ED"/>
    <w:rsid w:val="6EE2AD52"/>
    <w:rsid w:val="6EE2D191"/>
    <w:rsid w:val="6EE816B6"/>
    <w:rsid w:val="6EE90DAB"/>
    <w:rsid w:val="6EEB4560"/>
    <w:rsid w:val="6EEC4765"/>
    <w:rsid w:val="6EED2837"/>
    <w:rsid w:val="6EF13369"/>
    <w:rsid w:val="6EF18EFE"/>
    <w:rsid w:val="6EF1C0B7"/>
    <w:rsid w:val="6EF2ED9E"/>
    <w:rsid w:val="6EF7CA95"/>
    <w:rsid w:val="6EF89CB0"/>
    <w:rsid w:val="6EF921B3"/>
    <w:rsid w:val="6EFB5B73"/>
    <w:rsid w:val="6EFB9DE5"/>
    <w:rsid w:val="6EFBDDE1"/>
    <w:rsid w:val="6F0034EA"/>
    <w:rsid w:val="6F065E95"/>
    <w:rsid w:val="6F06AE21"/>
    <w:rsid w:val="6F0707A6"/>
    <w:rsid w:val="6F085F6B"/>
    <w:rsid w:val="6F0D9244"/>
    <w:rsid w:val="6F0EB816"/>
    <w:rsid w:val="6F117FE9"/>
    <w:rsid w:val="6F12E5E4"/>
    <w:rsid w:val="6F13A5E9"/>
    <w:rsid w:val="6F1474B2"/>
    <w:rsid w:val="6F154B4F"/>
    <w:rsid w:val="6F156890"/>
    <w:rsid w:val="6F1C40C4"/>
    <w:rsid w:val="6F1CB1EA"/>
    <w:rsid w:val="6F1F653C"/>
    <w:rsid w:val="6F1FBDDF"/>
    <w:rsid w:val="6F202025"/>
    <w:rsid w:val="6F231FD3"/>
    <w:rsid w:val="6F23DBDA"/>
    <w:rsid w:val="6F25362E"/>
    <w:rsid w:val="6F2903B7"/>
    <w:rsid w:val="6F2B452A"/>
    <w:rsid w:val="6F2C5CD2"/>
    <w:rsid w:val="6F2FADDF"/>
    <w:rsid w:val="6F324D4C"/>
    <w:rsid w:val="6F32E5B3"/>
    <w:rsid w:val="6F34ED91"/>
    <w:rsid w:val="6F3566DA"/>
    <w:rsid w:val="6F35CBF1"/>
    <w:rsid w:val="6F3A6DD4"/>
    <w:rsid w:val="6F3ACAE4"/>
    <w:rsid w:val="6F3FBB57"/>
    <w:rsid w:val="6F4238B7"/>
    <w:rsid w:val="6F427478"/>
    <w:rsid w:val="6F4303F4"/>
    <w:rsid w:val="6F480152"/>
    <w:rsid w:val="6F482331"/>
    <w:rsid w:val="6F48D62D"/>
    <w:rsid w:val="6F48E9D5"/>
    <w:rsid w:val="6F49504B"/>
    <w:rsid w:val="6F49A24E"/>
    <w:rsid w:val="6F49EAB3"/>
    <w:rsid w:val="6F4BDBF8"/>
    <w:rsid w:val="6F4CAA30"/>
    <w:rsid w:val="6F4D48B6"/>
    <w:rsid w:val="6F50C5BD"/>
    <w:rsid w:val="6F516339"/>
    <w:rsid w:val="6F53379E"/>
    <w:rsid w:val="6F53F59C"/>
    <w:rsid w:val="6F540ADA"/>
    <w:rsid w:val="6F547763"/>
    <w:rsid w:val="6F553B4B"/>
    <w:rsid w:val="6F5595A7"/>
    <w:rsid w:val="6F56DA8A"/>
    <w:rsid w:val="6F5810ED"/>
    <w:rsid w:val="6F58D31E"/>
    <w:rsid w:val="6F59C9BB"/>
    <w:rsid w:val="6F59E52C"/>
    <w:rsid w:val="6F5D947C"/>
    <w:rsid w:val="6F5E8238"/>
    <w:rsid w:val="6F5FBD7B"/>
    <w:rsid w:val="6F6020C1"/>
    <w:rsid w:val="6F6231E6"/>
    <w:rsid w:val="6F666EDC"/>
    <w:rsid w:val="6F667015"/>
    <w:rsid w:val="6F67648E"/>
    <w:rsid w:val="6F6AE586"/>
    <w:rsid w:val="6F6BD56F"/>
    <w:rsid w:val="6F6D680D"/>
    <w:rsid w:val="6F6DD8FF"/>
    <w:rsid w:val="6F6E291F"/>
    <w:rsid w:val="6F701C18"/>
    <w:rsid w:val="6F7113E6"/>
    <w:rsid w:val="6F71B4C7"/>
    <w:rsid w:val="6F71EFBB"/>
    <w:rsid w:val="6F722392"/>
    <w:rsid w:val="6F72BE6B"/>
    <w:rsid w:val="6F72F65E"/>
    <w:rsid w:val="6F73239A"/>
    <w:rsid w:val="6F7346E5"/>
    <w:rsid w:val="6F741D72"/>
    <w:rsid w:val="6F77D4C8"/>
    <w:rsid w:val="6F781F63"/>
    <w:rsid w:val="6F78B554"/>
    <w:rsid w:val="6F78D35A"/>
    <w:rsid w:val="6F79459C"/>
    <w:rsid w:val="6F7A451D"/>
    <w:rsid w:val="6F7ADFEF"/>
    <w:rsid w:val="6F7C627B"/>
    <w:rsid w:val="6F7DFE39"/>
    <w:rsid w:val="6F801027"/>
    <w:rsid w:val="6F801D43"/>
    <w:rsid w:val="6F80515E"/>
    <w:rsid w:val="6F813D2E"/>
    <w:rsid w:val="6F83E72F"/>
    <w:rsid w:val="6F87962F"/>
    <w:rsid w:val="6F887AA9"/>
    <w:rsid w:val="6F8ABF79"/>
    <w:rsid w:val="6F8B1F25"/>
    <w:rsid w:val="6F900182"/>
    <w:rsid w:val="6F925D82"/>
    <w:rsid w:val="6F9311FE"/>
    <w:rsid w:val="6F952EC3"/>
    <w:rsid w:val="6F95BFC9"/>
    <w:rsid w:val="6F966AFB"/>
    <w:rsid w:val="6F99C185"/>
    <w:rsid w:val="6F9A41FD"/>
    <w:rsid w:val="6F9AAD43"/>
    <w:rsid w:val="6F9D1FE5"/>
    <w:rsid w:val="6FA03DF5"/>
    <w:rsid w:val="6FA0AB3C"/>
    <w:rsid w:val="6FA19972"/>
    <w:rsid w:val="6FA48285"/>
    <w:rsid w:val="6FA49903"/>
    <w:rsid w:val="6FA9FD51"/>
    <w:rsid w:val="6FAAEFF3"/>
    <w:rsid w:val="6FAB180D"/>
    <w:rsid w:val="6FAC6E9D"/>
    <w:rsid w:val="6FAE409B"/>
    <w:rsid w:val="6FAF9683"/>
    <w:rsid w:val="6FB17245"/>
    <w:rsid w:val="6FB21CCF"/>
    <w:rsid w:val="6FB2F40E"/>
    <w:rsid w:val="6FB5E1CA"/>
    <w:rsid w:val="6FB83185"/>
    <w:rsid w:val="6FB902BE"/>
    <w:rsid w:val="6FB919D7"/>
    <w:rsid w:val="6FBB7BF5"/>
    <w:rsid w:val="6FBCAE70"/>
    <w:rsid w:val="6FBD9A5B"/>
    <w:rsid w:val="6FBDEE9F"/>
    <w:rsid w:val="6FBE8DC3"/>
    <w:rsid w:val="6FBECE61"/>
    <w:rsid w:val="6FC026A1"/>
    <w:rsid w:val="6FC11998"/>
    <w:rsid w:val="6FC47E71"/>
    <w:rsid w:val="6FC6FF8F"/>
    <w:rsid w:val="6FC892FF"/>
    <w:rsid w:val="6FC8B4D1"/>
    <w:rsid w:val="6FC94C22"/>
    <w:rsid w:val="6FC9DDF0"/>
    <w:rsid w:val="6FC9E8A5"/>
    <w:rsid w:val="6FCE84FE"/>
    <w:rsid w:val="6FD064F3"/>
    <w:rsid w:val="6FD155F2"/>
    <w:rsid w:val="6FD2193D"/>
    <w:rsid w:val="6FD2F6FD"/>
    <w:rsid w:val="6FD39F87"/>
    <w:rsid w:val="6FD48FB1"/>
    <w:rsid w:val="6FD55F11"/>
    <w:rsid w:val="6FD5AB7A"/>
    <w:rsid w:val="6FD7F5DE"/>
    <w:rsid w:val="6FDBE982"/>
    <w:rsid w:val="6FDBFA37"/>
    <w:rsid w:val="6FDC70F2"/>
    <w:rsid w:val="6FDCDCE9"/>
    <w:rsid w:val="6FDCF12D"/>
    <w:rsid w:val="6FE11229"/>
    <w:rsid w:val="6FE25AEC"/>
    <w:rsid w:val="6FE4CE20"/>
    <w:rsid w:val="6FE5DD1F"/>
    <w:rsid w:val="6FE68CB8"/>
    <w:rsid w:val="6FE6BABD"/>
    <w:rsid w:val="6FE8E354"/>
    <w:rsid w:val="6FE972F4"/>
    <w:rsid w:val="6FEBD4BC"/>
    <w:rsid w:val="6FEC8954"/>
    <w:rsid w:val="6FF1D750"/>
    <w:rsid w:val="6FF4F8C8"/>
    <w:rsid w:val="6FF50833"/>
    <w:rsid w:val="6FF55D71"/>
    <w:rsid w:val="6FF567A5"/>
    <w:rsid w:val="6FF6ABB5"/>
    <w:rsid w:val="6FF7C86F"/>
    <w:rsid w:val="6FF7D595"/>
    <w:rsid w:val="6FF86074"/>
    <w:rsid w:val="6FFAC9AF"/>
    <w:rsid w:val="6FFC6377"/>
    <w:rsid w:val="6FFC7A7A"/>
    <w:rsid w:val="6FFC8CEF"/>
    <w:rsid w:val="6FFCAD63"/>
    <w:rsid w:val="6FFFE502"/>
    <w:rsid w:val="6FFFF87E"/>
    <w:rsid w:val="70016244"/>
    <w:rsid w:val="70019848"/>
    <w:rsid w:val="7002A05E"/>
    <w:rsid w:val="7002B55B"/>
    <w:rsid w:val="7002DF93"/>
    <w:rsid w:val="7003C210"/>
    <w:rsid w:val="7004E90F"/>
    <w:rsid w:val="7006E840"/>
    <w:rsid w:val="700887F3"/>
    <w:rsid w:val="700AA42E"/>
    <w:rsid w:val="700B3E06"/>
    <w:rsid w:val="700C7D61"/>
    <w:rsid w:val="70100A15"/>
    <w:rsid w:val="701065CA"/>
    <w:rsid w:val="7010900E"/>
    <w:rsid w:val="70111BA0"/>
    <w:rsid w:val="7013CB10"/>
    <w:rsid w:val="70153848"/>
    <w:rsid w:val="7015519F"/>
    <w:rsid w:val="7015525F"/>
    <w:rsid w:val="7015642A"/>
    <w:rsid w:val="70167E9C"/>
    <w:rsid w:val="7018ABAF"/>
    <w:rsid w:val="701B3CA9"/>
    <w:rsid w:val="701B42F5"/>
    <w:rsid w:val="701DB793"/>
    <w:rsid w:val="701EF2DE"/>
    <w:rsid w:val="701F01A9"/>
    <w:rsid w:val="701F2DB3"/>
    <w:rsid w:val="701FFB5A"/>
    <w:rsid w:val="7020CE37"/>
    <w:rsid w:val="7027377B"/>
    <w:rsid w:val="702820D5"/>
    <w:rsid w:val="70285A8B"/>
    <w:rsid w:val="7028AEEB"/>
    <w:rsid w:val="7029A078"/>
    <w:rsid w:val="7029BBA8"/>
    <w:rsid w:val="7029FA68"/>
    <w:rsid w:val="702A096F"/>
    <w:rsid w:val="702B1F1E"/>
    <w:rsid w:val="702B9434"/>
    <w:rsid w:val="702B9B95"/>
    <w:rsid w:val="702BB661"/>
    <w:rsid w:val="7031177C"/>
    <w:rsid w:val="70329E00"/>
    <w:rsid w:val="70356745"/>
    <w:rsid w:val="70360960"/>
    <w:rsid w:val="7037B071"/>
    <w:rsid w:val="7038DF77"/>
    <w:rsid w:val="703A68F3"/>
    <w:rsid w:val="703BD068"/>
    <w:rsid w:val="703E7B9E"/>
    <w:rsid w:val="703EB667"/>
    <w:rsid w:val="703EEBFE"/>
    <w:rsid w:val="703F4AF0"/>
    <w:rsid w:val="703FDD91"/>
    <w:rsid w:val="7043310B"/>
    <w:rsid w:val="70438D21"/>
    <w:rsid w:val="70441976"/>
    <w:rsid w:val="70465A3E"/>
    <w:rsid w:val="704685C5"/>
    <w:rsid w:val="7047663E"/>
    <w:rsid w:val="7047859A"/>
    <w:rsid w:val="70499E63"/>
    <w:rsid w:val="7049E31B"/>
    <w:rsid w:val="70510C2A"/>
    <w:rsid w:val="705123F1"/>
    <w:rsid w:val="705274CD"/>
    <w:rsid w:val="70527B20"/>
    <w:rsid w:val="7053126C"/>
    <w:rsid w:val="705725C3"/>
    <w:rsid w:val="70573176"/>
    <w:rsid w:val="7058AFCB"/>
    <w:rsid w:val="7059147D"/>
    <w:rsid w:val="705A8EBD"/>
    <w:rsid w:val="705CBEFF"/>
    <w:rsid w:val="705D4A2C"/>
    <w:rsid w:val="7061D0C6"/>
    <w:rsid w:val="70638F23"/>
    <w:rsid w:val="706556C6"/>
    <w:rsid w:val="7068900C"/>
    <w:rsid w:val="7068F643"/>
    <w:rsid w:val="7068FA65"/>
    <w:rsid w:val="706902B0"/>
    <w:rsid w:val="706CD149"/>
    <w:rsid w:val="706D2E23"/>
    <w:rsid w:val="7071D839"/>
    <w:rsid w:val="707215D9"/>
    <w:rsid w:val="7074CAD3"/>
    <w:rsid w:val="7076F66C"/>
    <w:rsid w:val="70786DD9"/>
    <w:rsid w:val="707D6AC9"/>
    <w:rsid w:val="707E7099"/>
    <w:rsid w:val="7080B01E"/>
    <w:rsid w:val="70831DBC"/>
    <w:rsid w:val="708353B8"/>
    <w:rsid w:val="7083F802"/>
    <w:rsid w:val="70864F57"/>
    <w:rsid w:val="7089AE6A"/>
    <w:rsid w:val="708A1D68"/>
    <w:rsid w:val="708E3150"/>
    <w:rsid w:val="708E5372"/>
    <w:rsid w:val="708FEE30"/>
    <w:rsid w:val="70928313"/>
    <w:rsid w:val="709437D3"/>
    <w:rsid w:val="70960DB4"/>
    <w:rsid w:val="70966DB5"/>
    <w:rsid w:val="709A3CFE"/>
    <w:rsid w:val="709A63E5"/>
    <w:rsid w:val="709C0711"/>
    <w:rsid w:val="709E6ECA"/>
    <w:rsid w:val="70A04699"/>
    <w:rsid w:val="70A3343A"/>
    <w:rsid w:val="70A35418"/>
    <w:rsid w:val="70A45E09"/>
    <w:rsid w:val="70A52357"/>
    <w:rsid w:val="70A769CB"/>
    <w:rsid w:val="70A7A22F"/>
    <w:rsid w:val="70A7C54B"/>
    <w:rsid w:val="70A8CCCB"/>
    <w:rsid w:val="70A8E3EE"/>
    <w:rsid w:val="70AD4B45"/>
    <w:rsid w:val="70AED222"/>
    <w:rsid w:val="70AF7C2C"/>
    <w:rsid w:val="70B03060"/>
    <w:rsid w:val="70B3E40C"/>
    <w:rsid w:val="70B42648"/>
    <w:rsid w:val="70B4F1D6"/>
    <w:rsid w:val="70B5CE09"/>
    <w:rsid w:val="70B671B1"/>
    <w:rsid w:val="70B6F651"/>
    <w:rsid w:val="70B949BE"/>
    <w:rsid w:val="70BA164E"/>
    <w:rsid w:val="70BB0ADC"/>
    <w:rsid w:val="70BC319F"/>
    <w:rsid w:val="70BC3CED"/>
    <w:rsid w:val="70BC9F02"/>
    <w:rsid w:val="70BDCC2B"/>
    <w:rsid w:val="70BE9B16"/>
    <w:rsid w:val="70BF3938"/>
    <w:rsid w:val="70C06639"/>
    <w:rsid w:val="70C120B3"/>
    <w:rsid w:val="70C176D4"/>
    <w:rsid w:val="70C21C44"/>
    <w:rsid w:val="70C5A575"/>
    <w:rsid w:val="70C7B497"/>
    <w:rsid w:val="70C89D04"/>
    <w:rsid w:val="70C95AF1"/>
    <w:rsid w:val="70CA6194"/>
    <w:rsid w:val="70CFB690"/>
    <w:rsid w:val="70D797F0"/>
    <w:rsid w:val="70DB4B09"/>
    <w:rsid w:val="70DF4BA4"/>
    <w:rsid w:val="70E26427"/>
    <w:rsid w:val="70E3E155"/>
    <w:rsid w:val="70E542F2"/>
    <w:rsid w:val="70E9CB6E"/>
    <w:rsid w:val="70EA699E"/>
    <w:rsid w:val="70EBAB79"/>
    <w:rsid w:val="70F251F9"/>
    <w:rsid w:val="70F2F614"/>
    <w:rsid w:val="70F3F1E0"/>
    <w:rsid w:val="70F74256"/>
    <w:rsid w:val="70F7A028"/>
    <w:rsid w:val="70F806B9"/>
    <w:rsid w:val="70F9166E"/>
    <w:rsid w:val="70F95046"/>
    <w:rsid w:val="70F9EF55"/>
    <w:rsid w:val="7100BAA9"/>
    <w:rsid w:val="7101943D"/>
    <w:rsid w:val="71053ACD"/>
    <w:rsid w:val="71065344"/>
    <w:rsid w:val="7106DC07"/>
    <w:rsid w:val="7107F001"/>
    <w:rsid w:val="710830B5"/>
    <w:rsid w:val="7112704C"/>
    <w:rsid w:val="71136A49"/>
    <w:rsid w:val="711489C6"/>
    <w:rsid w:val="71179EA0"/>
    <w:rsid w:val="71186BA6"/>
    <w:rsid w:val="7118C3B6"/>
    <w:rsid w:val="711DD01E"/>
    <w:rsid w:val="711FC52C"/>
    <w:rsid w:val="71207B05"/>
    <w:rsid w:val="7120C247"/>
    <w:rsid w:val="7120EA4E"/>
    <w:rsid w:val="7121058C"/>
    <w:rsid w:val="7125A8CA"/>
    <w:rsid w:val="712774AE"/>
    <w:rsid w:val="712850E0"/>
    <w:rsid w:val="7128CD55"/>
    <w:rsid w:val="712A685A"/>
    <w:rsid w:val="712D4F38"/>
    <w:rsid w:val="712F10AB"/>
    <w:rsid w:val="712F6AD3"/>
    <w:rsid w:val="712FF045"/>
    <w:rsid w:val="713307CA"/>
    <w:rsid w:val="71340EC7"/>
    <w:rsid w:val="7135F871"/>
    <w:rsid w:val="713CD05E"/>
    <w:rsid w:val="713D4D9A"/>
    <w:rsid w:val="713E9280"/>
    <w:rsid w:val="7140F345"/>
    <w:rsid w:val="7143BC43"/>
    <w:rsid w:val="7146BF85"/>
    <w:rsid w:val="7148F8DA"/>
    <w:rsid w:val="714DD097"/>
    <w:rsid w:val="714E2B0F"/>
    <w:rsid w:val="714F35F5"/>
    <w:rsid w:val="714FD047"/>
    <w:rsid w:val="71509F2C"/>
    <w:rsid w:val="7150C7B2"/>
    <w:rsid w:val="71525277"/>
    <w:rsid w:val="715301E5"/>
    <w:rsid w:val="71538442"/>
    <w:rsid w:val="715558DA"/>
    <w:rsid w:val="7155B2A0"/>
    <w:rsid w:val="71560C65"/>
    <w:rsid w:val="7157848E"/>
    <w:rsid w:val="71582B0D"/>
    <w:rsid w:val="7158D637"/>
    <w:rsid w:val="7159A084"/>
    <w:rsid w:val="715A1D1A"/>
    <w:rsid w:val="715AD9B4"/>
    <w:rsid w:val="715C60A8"/>
    <w:rsid w:val="715E0B5E"/>
    <w:rsid w:val="7160C122"/>
    <w:rsid w:val="7160F43A"/>
    <w:rsid w:val="7162BE9E"/>
    <w:rsid w:val="71640B1A"/>
    <w:rsid w:val="71658D52"/>
    <w:rsid w:val="7165EAF9"/>
    <w:rsid w:val="71663071"/>
    <w:rsid w:val="7167FB80"/>
    <w:rsid w:val="716CDEF5"/>
    <w:rsid w:val="716EE7BF"/>
    <w:rsid w:val="716FB726"/>
    <w:rsid w:val="7170A93D"/>
    <w:rsid w:val="71717ED3"/>
    <w:rsid w:val="7172004A"/>
    <w:rsid w:val="71738BB4"/>
    <w:rsid w:val="7174C030"/>
    <w:rsid w:val="717672DA"/>
    <w:rsid w:val="71768C44"/>
    <w:rsid w:val="7177A706"/>
    <w:rsid w:val="717AAD40"/>
    <w:rsid w:val="717AC729"/>
    <w:rsid w:val="717CB47D"/>
    <w:rsid w:val="717CCAC2"/>
    <w:rsid w:val="717E6E01"/>
    <w:rsid w:val="7180732C"/>
    <w:rsid w:val="7181662D"/>
    <w:rsid w:val="718381C7"/>
    <w:rsid w:val="7183EB78"/>
    <w:rsid w:val="71865CFB"/>
    <w:rsid w:val="7188461D"/>
    <w:rsid w:val="718DD507"/>
    <w:rsid w:val="718E1BD5"/>
    <w:rsid w:val="71906C22"/>
    <w:rsid w:val="7190CAF7"/>
    <w:rsid w:val="7191C351"/>
    <w:rsid w:val="7192B4AF"/>
    <w:rsid w:val="719377F7"/>
    <w:rsid w:val="71938274"/>
    <w:rsid w:val="71950781"/>
    <w:rsid w:val="7195A0FD"/>
    <w:rsid w:val="719622E5"/>
    <w:rsid w:val="7197FC73"/>
    <w:rsid w:val="719A3B9D"/>
    <w:rsid w:val="719B510E"/>
    <w:rsid w:val="719E0823"/>
    <w:rsid w:val="719E24BB"/>
    <w:rsid w:val="719F8A16"/>
    <w:rsid w:val="719FE230"/>
    <w:rsid w:val="71A2B43C"/>
    <w:rsid w:val="71A2CC54"/>
    <w:rsid w:val="71A3E91F"/>
    <w:rsid w:val="71A8B434"/>
    <w:rsid w:val="71ADE18D"/>
    <w:rsid w:val="71AE0277"/>
    <w:rsid w:val="71AEC6AD"/>
    <w:rsid w:val="71B049EB"/>
    <w:rsid w:val="71B33808"/>
    <w:rsid w:val="71B3F768"/>
    <w:rsid w:val="71B3F98B"/>
    <w:rsid w:val="71B4A398"/>
    <w:rsid w:val="71B581E8"/>
    <w:rsid w:val="71B617D6"/>
    <w:rsid w:val="71B80FE8"/>
    <w:rsid w:val="71B89907"/>
    <w:rsid w:val="71B9490A"/>
    <w:rsid w:val="71BE55F5"/>
    <w:rsid w:val="71BEE652"/>
    <w:rsid w:val="71BFEADE"/>
    <w:rsid w:val="71C39FAC"/>
    <w:rsid w:val="71C65E02"/>
    <w:rsid w:val="71C6C928"/>
    <w:rsid w:val="71CA5036"/>
    <w:rsid w:val="71CE6D42"/>
    <w:rsid w:val="71CF9886"/>
    <w:rsid w:val="71D1788E"/>
    <w:rsid w:val="71D3B945"/>
    <w:rsid w:val="71D4DB76"/>
    <w:rsid w:val="71D544FA"/>
    <w:rsid w:val="71D74D9C"/>
    <w:rsid w:val="71D771C1"/>
    <w:rsid w:val="71D9B5DA"/>
    <w:rsid w:val="71D9BE60"/>
    <w:rsid w:val="71DEBAC1"/>
    <w:rsid w:val="71E01B65"/>
    <w:rsid w:val="71E0C313"/>
    <w:rsid w:val="71E356C9"/>
    <w:rsid w:val="71E6EBB7"/>
    <w:rsid w:val="71E7248C"/>
    <w:rsid w:val="71EA0D64"/>
    <w:rsid w:val="71EA4EFB"/>
    <w:rsid w:val="71EA90C2"/>
    <w:rsid w:val="71EC1C96"/>
    <w:rsid w:val="71F1EE64"/>
    <w:rsid w:val="71F29407"/>
    <w:rsid w:val="71F4C0C9"/>
    <w:rsid w:val="71F60564"/>
    <w:rsid w:val="71F6B175"/>
    <w:rsid w:val="71F84CE2"/>
    <w:rsid w:val="71FB2761"/>
    <w:rsid w:val="71FC35F5"/>
    <w:rsid w:val="71FD36EB"/>
    <w:rsid w:val="71FE4BAB"/>
    <w:rsid w:val="71FE59E9"/>
    <w:rsid w:val="71FF4431"/>
    <w:rsid w:val="72002725"/>
    <w:rsid w:val="72007E0B"/>
    <w:rsid w:val="7201106E"/>
    <w:rsid w:val="7201D89B"/>
    <w:rsid w:val="7202D3B4"/>
    <w:rsid w:val="72033304"/>
    <w:rsid w:val="7204149D"/>
    <w:rsid w:val="72078D72"/>
    <w:rsid w:val="72099654"/>
    <w:rsid w:val="7209C467"/>
    <w:rsid w:val="7209CAB0"/>
    <w:rsid w:val="7209DD2A"/>
    <w:rsid w:val="720CD609"/>
    <w:rsid w:val="720CEC76"/>
    <w:rsid w:val="72101A0E"/>
    <w:rsid w:val="72119AE0"/>
    <w:rsid w:val="72121685"/>
    <w:rsid w:val="72128C5C"/>
    <w:rsid w:val="721405DA"/>
    <w:rsid w:val="72152AEC"/>
    <w:rsid w:val="72152CB9"/>
    <w:rsid w:val="72154A84"/>
    <w:rsid w:val="7218A8CB"/>
    <w:rsid w:val="721E6477"/>
    <w:rsid w:val="7221FE8A"/>
    <w:rsid w:val="7225FE11"/>
    <w:rsid w:val="722634D0"/>
    <w:rsid w:val="72277952"/>
    <w:rsid w:val="72280DF1"/>
    <w:rsid w:val="72296BBA"/>
    <w:rsid w:val="722A1B78"/>
    <w:rsid w:val="722CE60A"/>
    <w:rsid w:val="72355794"/>
    <w:rsid w:val="7239E2F6"/>
    <w:rsid w:val="723A7768"/>
    <w:rsid w:val="723AC838"/>
    <w:rsid w:val="723CF7B9"/>
    <w:rsid w:val="723EF1A3"/>
    <w:rsid w:val="723EF61A"/>
    <w:rsid w:val="724055A4"/>
    <w:rsid w:val="724062EF"/>
    <w:rsid w:val="72416509"/>
    <w:rsid w:val="72426575"/>
    <w:rsid w:val="7242930D"/>
    <w:rsid w:val="7247CF4C"/>
    <w:rsid w:val="724966DE"/>
    <w:rsid w:val="724BCC55"/>
    <w:rsid w:val="724E1CAD"/>
    <w:rsid w:val="724EA7A5"/>
    <w:rsid w:val="724EE880"/>
    <w:rsid w:val="724F6ED9"/>
    <w:rsid w:val="724FF30C"/>
    <w:rsid w:val="7250EEF2"/>
    <w:rsid w:val="725352AD"/>
    <w:rsid w:val="7254982A"/>
    <w:rsid w:val="725608BC"/>
    <w:rsid w:val="7256340B"/>
    <w:rsid w:val="72564D87"/>
    <w:rsid w:val="7258753A"/>
    <w:rsid w:val="725A211E"/>
    <w:rsid w:val="725AFC17"/>
    <w:rsid w:val="725B1B20"/>
    <w:rsid w:val="725C38C0"/>
    <w:rsid w:val="725CC55A"/>
    <w:rsid w:val="7262673C"/>
    <w:rsid w:val="72627E23"/>
    <w:rsid w:val="7262D474"/>
    <w:rsid w:val="7262FE91"/>
    <w:rsid w:val="7265B5D0"/>
    <w:rsid w:val="72660EDE"/>
    <w:rsid w:val="72663878"/>
    <w:rsid w:val="7266C435"/>
    <w:rsid w:val="72681068"/>
    <w:rsid w:val="726A0BE7"/>
    <w:rsid w:val="726D69F4"/>
    <w:rsid w:val="726E2967"/>
    <w:rsid w:val="726E306A"/>
    <w:rsid w:val="72721B14"/>
    <w:rsid w:val="72726958"/>
    <w:rsid w:val="72737082"/>
    <w:rsid w:val="7274D0F8"/>
    <w:rsid w:val="727632D3"/>
    <w:rsid w:val="72785393"/>
    <w:rsid w:val="7279B374"/>
    <w:rsid w:val="727A764D"/>
    <w:rsid w:val="727BC558"/>
    <w:rsid w:val="727E1647"/>
    <w:rsid w:val="728310B4"/>
    <w:rsid w:val="7283789E"/>
    <w:rsid w:val="728443F6"/>
    <w:rsid w:val="7284BDF0"/>
    <w:rsid w:val="7284E728"/>
    <w:rsid w:val="72854CF2"/>
    <w:rsid w:val="72863D9F"/>
    <w:rsid w:val="728B0E03"/>
    <w:rsid w:val="728B5FC8"/>
    <w:rsid w:val="728C4BE5"/>
    <w:rsid w:val="728D06D2"/>
    <w:rsid w:val="72910A70"/>
    <w:rsid w:val="7291BC8E"/>
    <w:rsid w:val="7293427E"/>
    <w:rsid w:val="72936705"/>
    <w:rsid w:val="72949D9B"/>
    <w:rsid w:val="72950A1E"/>
    <w:rsid w:val="7296370E"/>
    <w:rsid w:val="729A4C5D"/>
    <w:rsid w:val="729B5B35"/>
    <w:rsid w:val="729BFAC0"/>
    <w:rsid w:val="729CB1E8"/>
    <w:rsid w:val="729CC9EA"/>
    <w:rsid w:val="729EA8C8"/>
    <w:rsid w:val="729F4A22"/>
    <w:rsid w:val="729FA815"/>
    <w:rsid w:val="72A018B5"/>
    <w:rsid w:val="72A0ECD5"/>
    <w:rsid w:val="72A15BA4"/>
    <w:rsid w:val="72A19DA4"/>
    <w:rsid w:val="72A32C0E"/>
    <w:rsid w:val="72A34893"/>
    <w:rsid w:val="72A47A1A"/>
    <w:rsid w:val="72A51CC3"/>
    <w:rsid w:val="72ABCFC1"/>
    <w:rsid w:val="72ACE48B"/>
    <w:rsid w:val="72AD1638"/>
    <w:rsid w:val="72ADD2AA"/>
    <w:rsid w:val="72AF19DD"/>
    <w:rsid w:val="72AF43FD"/>
    <w:rsid w:val="72B5AECD"/>
    <w:rsid w:val="72B607DE"/>
    <w:rsid w:val="72B66232"/>
    <w:rsid w:val="72B72D39"/>
    <w:rsid w:val="72B86566"/>
    <w:rsid w:val="72B89140"/>
    <w:rsid w:val="72B8AFBA"/>
    <w:rsid w:val="72B9011C"/>
    <w:rsid w:val="72BABE0C"/>
    <w:rsid w:val="72BB2D54"/>
    <w:rsid w:val="72BD4342"/>
    <w:rsid w:val="72BE86D6"/>
    <w:rsid w:val="72BF8C6B"/>
    <w:rsid w:val="72C2ABBE"/>
    <w:rsid w:val="72C35A76"/>
    <w:rsid w:val="72C50A1C"/>
    <w:rsid w:val="72C69247"/>
    <w:rsid w:val="72C71B0D"/>
    <w:rsid w:val="72C72580"/>
    <w:rsid w:val="72CB52B5"/>
    <w:rsid w:val="72CC0B31"/>
    <w:rsid w:val="72CC5DAD"/>
    <w:rsid w:val="72CD8BA1"/>
    <w:rsid w:val="72D39132"/>
    <w:rsid w:val="72D3BB6B"/>
    <w:rsid w:val="72D3BE1C"/>
    <w:rsid w:val="72D3C6BA"/>
    <w:rsid w:val="72D465E1"/>
    <w:rsid w:val="72D5E3BA"/>
    <w:rsid w:val="72D9AA86"/>
    <w:rsid w:val="72DCDCCC"/>
    <w:rsid w:val="72DF754A"/>
    <w:rsid w:val="72E053B8"/>
    <w:rsid w:val="72E1E1FC"/>
    <w:rsid w:val="72E1F20B"/>
    <w:rsid w:val="72E3CA77"/>
    <w:rsid w:val="72E764AB"/>
    <w:rsid w:val="72E966A5"/>
    <w:rsid w:val="72EA40AC"/>
    <w:rsid w:val="72EBB83D"/>
    <w:rsid w:val="72EDD83F"/>
    <w:rsid w:val="72EEFDB7"/>
    <w:rsid w:val="72F344D3"/>
    <w:rsid w:val="72F37618"/>
    <w:rsid w:val="72F4E78F"/>
    <w:rsid w:val="72F718A6"/>
    <w:rsid w:val="72F7E8F7"/>
    <w:rsid w:val="72F8B820"/>
    <w:rsid w:val="72F93046"/>
    <w:rsid w:val="72FC17C2"/>
    <w:rsid w:val="72FC62A2"/>
    <w:rsid w:val="72FC91BD"/>
    <w:rsid w:val="72FCA5F4"/>
    <w:rsid w:val="72FFE28E"/>
    <w:rsid w:val="73031F19"/>
    <w:rsid w:val="7303BE1E"/>
    <w:rsid w:val="7303D1C1"/>
    <w:rsid w:val="73066069"/>
    <w:rsid w:val="7307BFE8"/>
    <w:rsid w:val="73081329"/>
    <w:rsid w:val="730A5B7D"/>
    <w:rsid w:val="730B6D55"/>
    <w:rsid w:val="730D2B1E"/>
    <w:rsid w:val="730E0E3B"/>
    <w:rsid w:val="73104682"/>
    <w:rsid w:val="73128901"/>
    <w:rsid w:val="731316E2"/>
    <w:rsid w:val="7315A28B"/>
    <w:rsid w:val="7315DC6F"/>
    <w:rsid w:val="7317CE86"/>
    <w:rsid w:val="7317E322"/>
    <w:rsid w:val="7318B374"/>
    <w:rsid w:val="731A4E20"/>
    <w:rsid w:val="731AC751"/>
    <w:rsid w:val="731AE6D9"/>
    <w:rsid w:val="731BA545"/>
    <w:rsid w:val="731BFB1C"/>
    <w:rsid w:val="731C86D2"/>
    <w:rsid w:val="731D9383"/>
    <w:rsid w:val="731EFF2D"/>
    <w:rsid w:val="731F11D4"/>
    <w:rsid w:val="7320E811"/>
    <w:rsid w:val="7321132C"/>
    <w:rsid w:val="73215498"/>
    <w:rsid w:val="73270F6C"/>
    <w:rsid w:val="73280DA3"/>
    <w:rsid w:val="732866E3"/>
    <w:rsid w:val="732C20F5"/>
    <w:rsid w:val="732C70AC"/>
    <w:rsid w:val="732D1177"/>
    <w:rsid w:val="732D3351"/>
    <w:rsid w:val="732D864E"/>
    <w:rsid w:val="732EAFFF"/>
    <w:rsid w:val="73313CB1"/>
    <w:rsid w:val="73327EC0"/>
    <w:rsid w:val="7334790A"/>
    <w:rsid w:val="733503FB"/>
    <w:rsid w:val="7337CFD9"/>
    <w:rsid w:val="7339478A"/>
    <w:rsid w:val="734130BF"/>
    <w:rsid w:val="7341879F"/>
    <w:rsid w:val="7343DE2D"/>
    <w:rsid w:val="7344A2C1"/>
    <w:rsid w:val="73455CB3"/>
    <w:rsid w:val="73469A81"/>
    <w:rsid w:val="7346BD8A"/>
    <w:rsid w:val="7346D3A9"/>
    <w:rsid w:val="73489366"/>
    <w:rsid w:val="734E7E70"/>
    <w:rsid w:val="73529909"/>
    <w:rsid w:val="73586D2C"/>
    <w:rsid w:val="73589D75"/>
    <w:rsid w:val="735A1B61"/>
    <w:rsid w:val="735C20CC"/>
    <w:rsid w:val="735C9230"/>
    <w:rsid w:val="736284A8"/>
    <w:rsid w:val="73629EA6"/>
    <w:rsid w:val="736373C6"/>
    <w:rsid w:val="736394A0"/>
    <w:rsid w:val="73639F2D"/>
    <w:rsid w:val="73667E8F"/>
    <w:rsid w:val="73668B47"/>
    <w:rsid w:val="736733A6"/>
    <w:rsid w:val="7368B698"/>
    <w:rsid w:val="7368BC2D"/>
    <w:rsid w:val="736C1F86"/>
    <w:rsid w:val="736E5592"/>
    <w:rsid w:val="736F75DB"/>
    <w:rsid w:val="7370E560"/>
    <w:rsid w:val="737470C3"/>
    <w:rsid w:val="7375CD59"/>
    <w:rsid w:val="73765FF3"/>
    <w:rsid w:val="73774E6D"/>
    <w:rsid w:val="73783D6F"/>
    <w:rsid w:val="73786C2A"/>
    <w:rsid w:val="7379FDDE"/>
    <w:rsid w:val="737A7489"/>
    <w:rsid w:val="737AAF6D"/>
    <w:rsid w:val="737AB530"/>
    <w:rsid w:val="737B2DE6"/>
    <w:rsid w:val="737BFB4A"/>
    <w:rsid w:val="737D4D98"/>
    <w:rsid w:val="737E4250"/>
    <w:rsid w:val="737E85E8"/>
    <w:rsid w:val="737EE4B4"/>
    <w:rsid w:val="737F69ED"/>
    <w:rsid w:val="738078CA"/>
    <w:rsid w:val="7380FADF"/>
    <w:rsid w:val="7382C3A4"/>
    <w:rsid w:val="73840EC4"/>
    <w:rsid w:val="7385E3B3"/>
    <w:rsid w:val="7386DE18"/>
    <w:rsid w:val="738B0B3E"/>
    <w:rsid w:val="738D1135"/>
    <w:rsid w:val="738ECD72"/>
    <w:rsid w:val="73926AE0"/>
    <w:rsid w:val="7393681C"/>
    <w:rsid w:val="7394D8AE"/>
    <w:rsid w:val="7395A3A0"/>
    <w:rsid w:val="73971AFB"/>
    <w:rsid w:val="7398283F"/>
    <w:rsid w:val="73988A8F"/>
    <w:rsid w:val="7398989F"/>
    <w:rsid w:val="73995828"/>
    <w:rsid w:val="739C6E4C"/>
    <w:rsid w:val="73A077A8"/>
    <w:rsid w:val="73A148A9"/>
    <w:rsid w:val="73A17722"/>
    <w:rsid w:val="73A17CE6"/>
    <w:rsid w:val="73A2291D"/>
    <w:rsid w:val="73A24983"/>
    <w:rsid w:val="73A3B64D"/>
    <w:rsid w:val="73A3F14B"/>
    <w:rsid w:val="73A41DF4"/>
    <w:rsid w:val="73A6B6F8"/>
    <w:rsid w:val="73A75314"/>
    <w:rsid w:val="73A776BC"/>
    <w:rsid w:val="73A7E6A9"/>
    <w:rsid w:val="73A85CE8"/>
    <w:rsid w:val="73A9BC99"/>
    <w:rsid w:val="73AA45A7"/>
    <w:rsid w:val="73AA6537"/>
    <w:rsid w:val="73ABF6B6"/>
    <w:rsid w:val="73AD0C41"/>
    <w:rsid w:val="73AE3CD6"/>
    <w:rsid w:val="73AF0534"/>
    <w:rsid w:val="73AF186F"/>
    <w:rsid w:val="73B092B9"/>
    <w:rsid w:val="73B0A69F"/>
    <w:rsid w:val="73B0F6E7"/>
    <w:rsid w:val="73B1EE7D"/>
    <w:rsid w:val="73B24329"/>
    <w:rsid w:val="73B27C5C"/>
    <w:rsid w:val="73B49673"/>
    <w:rsid w:val="73B5A380"/>
    <w:rsid w:val="73B9C94E"/>
    <w:rsid w:val="73BB7D6D"/>
    <w:rsid w:val="73BC4EE8"/>
    <w:rsid w:val="73BEC8A2"/>
    <w:rsid w:val="73C19B60"/>
    <w:rsid w:val="73C3E475"/>
    <w:rsid w:val="73C413AA"/>
    <w:rsid w:val="73C50A52"/>
    <w:rsid w:val="73C7FA6B"/>
    <w:rsid w:val="73C87CC1"/>
    <w:rsid w:val="73C87F75"/>
    <w:rsid w:val="73CA314B"/>
    <w:rsid w:val="73CBA136"/>
    <w:rsid w:val="73CE04D8"/>
    <w:rsid w:val="73CF3FC8"/>
    <w:rsid w:val="73CF5F93"/>
    <w:rsid w:val="73D11855"/>
    <w:rsid w:val="73D13309"/>
    <w:rsid w:val="73D1E97F"/>
    <w:rsid w:val="73D76265"/>
    <w:rsid w:val="73D9071A"/>
    <w:rsid w:val="73D9EDB4"/>
    <w:rsid w:val="73DBAB60"/>
    <w:rsid w:val="73DBDBDA"/>
    <w:rsid w:val="73E15956"/>
    <w:rsid w:val="73E28121"/>
    <w:rsid w:val="73E50833"/>
    <w:rsid w:val="73E6B023"/>
    <w:rsid w:val="73EE9001"/>
    <w:rsid w:val="73EF8A15"/>
    <w:rsid w:val="73F02A58"/>
    <w:rsid w:val="73F0A8EA"/>
    <w:rsid w:val="73F248C7"/>
    <w:rsid w:val="73F3EE51"/>
    <w:rsid w:val="73F4506F"/>
    <w:rsid w:val="73F86139"/>
    <w:rsid w:val="73F9346E"/>
    <w:rsid w:val="73F9AB4A"/>
    <w:rsid w:val="73FBA03C"/>
    <w:rsid w:val="73FC1001"/>
    <w:rsid w:val="73FE0B30"/>
    <w:rsid w:val="73FE7291"/>
    <w:rsid w:val="73FEEDD7"/>
    <w:rsid w:val="7401950C"/>
    <w:rsid w:val="74019B41"/>
    <w:rsid w:val="7402F501"/>
    <w:rsid w:val="74090AFA"/>
    <w:rsid w:val="740DFDAB"/>
    <w:rsid w:val="741107B0"/>
    <w:rsid w:val="74111DD8"/>
    <w:rsid w:val="74127ECA"/>
    <w:rsid w:val="7417A2F3"/>
    <w:rsid w:val="741871FF"/>
    <w:rsid w:val="741A5C8C"/>
    <w:rsid w:val="741AA0AD"/>
    <w:rsid w:val="741B9E94"/>
    <w:rsid w:val="741D3014"/>
    <w:rsid w:val="741D954B"/>
    <w:rsid w:val="741D9F22"/>
    <w:rsid w:val="741DEC55"/>
    <w:rsid w:val="741F2F6D"/>
    <w:rsid w:val="741FE7CF"/>
    <w:rsid w:val="74210742"/>
    <w:rsid w:val="742177F6"/>
    <w:rsid w:val="74230048"/>
    <w:rsid w:val="7425648A"/>
    <w:rsid w:val="7427AD89"/>
    <w:rsid w:val="7428508D"/>
    <w:rsid w:val="74294E71"/>
    <w:rsid w:val="7429B0BA"/>
    <w:rsid w:val="742A1E9A"/>
    <w:rsid w:val="742AE3CA"/>
    <w:rsid w:val="742D4233"/>
    <w:rsid w:val="742DFE5A"/>
    <w:rsid w:val="742FDFC0"/>
    <w:rsid w:val="742FE610"/>
    <w:rsid w:val="74302BE2"/>
    <w:rsid w:val="7434C276"/>
    <w:rsid w:val="7437BC8F"/>
    <w:rsid w:val="7439E0BE"/>
    <w:rsid w:val="7440BD73"/>
    <w:rsid w:val="74410568"/>
    <w:rsid w:val="7441336B"/>
    <w:rsid w:val="744220F3"/>
    <w:rsid w:val="7442C92A"/>
    <w:rsid w:val="74436644"/>
    <w:rsid w:val="74450C0D"/>
    <w:rsid w:val="74476AE7"/>
    <w:rsid w:val="74479FC1"/>
    <w:rsid w:val="7448ABF9"/>
    <w:rsid w:val="74494FF8"/>
    <w:rsid w:val="7449F850"/>
    <w:rsid w:val="744BF9A9"/>
    <w:rsid w:val="744CB53D"/>
    <w:rsid w:val="744FE4D0"/>
    <w:rsid w:val="745027B0"/>
    <w:rsid w:val="7452B594"/>
    <w:rsid w:val="7452CB4C"/>
    <w:rsid w:val="7452FD0B"/>
    <w:rsid w:val="74531139"/>
    <w:rsid w:val="7454B99C"/>
    <w:rsid w:val="745794C1"/>
    <w:rsid w:val="745C5EB4"/>
    <w:rsid w:val="745F4738"/>
    <w:rsid w:val="74609D90"/>
    <w:rsid w:val="7460DD5A"/>
    <w:rsid w:val="746133C4"/>
    <w:rsid w:val="74615612"/>
    <w:rsid w:val="74625414"/>
    <w:rsid w:val="746264BF"/>
    <w:rsid w:val="746274A1"/>
    <w:rsid w:val="746442B5"/>
    <w:rsid w:val="74652630"/>
    <w:rsid w:val="7465745A"/>
    <w:rsid w:val="7465A6F8"/>
    <w:rsid w:val="74672274"/>
    <w:rsid w:val="7468D0A4"/>
    <w:rsid w:val="74695238"/>
    <w:rsid w:val="746C9C87"/>
    <w:rsid w:val="746CEEF6"/>
    <w:rsid w:val="746D4180"/>
    <w:rsid w:val="746FE3E7"/>
    <w:rsid w:val="74717487"/>
    <w:rsid w:val="74728CDA"/>
    <w:rsid w:val="74739B8A"/>
    <w:rsid w:val="74757D62"/>
    <w:rsid w:val="74780C37"/>
    <w:rsid w:val="74785DD2"/>
    <w:rsid w:val="74796F6A"/>
    <w:rsid w:val="747DDD1E"/>
    <w:rsid w:val="747DF6B0"/>
    <w:rsid w:val="74809819"/>
    <w:rsid w:val="7481780E"/>
    <w:rsid w:val="7485A83D"/>
    <w:rsid w:val="74888F7A"/>
    <w:rsid w:val="7489485B"/>
    <w:rsid w:val="748AD997"/>
    <w:rsid w:val="748B01EF"/>
    <w:rsid w:val="748FD61E"/>
    <w:rsid w:val="74901115"/>
    <w:rsid w:val="74915086"/>
    <w:rsid w:val="7491B850"/>
    <w:rsid w:val="7495061A"/>
    <w:rsid w:val="74958C8A"/>
    <w:rsid w:val="749B1776"/>
    <w:rsid w:val="749D1940"/>
    <w:rsid w:val="749DA33F"/>
    <w:rsid w:val="749ECFCE"/>
    <w:rsid w:val="74A0B2D1"/>
    <w:rsid w:val="74A18FA4"/>
    <w:rsid w:val="74A2D628"/>
    <w:rsid w:val="74A2F6D4"/>
    <w:rsid w:val="74A4C72F"/>
    <w:rsid w:val="74A69739"/>
    <w:rsid w:val="74A90191"/>
    <w:rsid w:val="74A93E9F"/>
    <w:rsid w:val="74AE772A"/>
    <w:rsid w:val="74B0F1BD"/>
    <w:rsid w:val="74B2C77E"/>
    <w:rsid w:val="74B3C9A9"/>
    <w:rsid w:val="74B4A456"/>
    <w:rsid w:val="74B4BFE6"/>
    <w:rsid w:val="74B5EEDD"/>
    <w:rsid w:val="74B8343E"/>
    <w:rsid w:val="74B9E11A"/>
    <w:rsid w:val="74B9FBE1"/>
    <w:rsid w:val="74BC946F"/>
    <w:rsid w:val="74BDDC03"/>
    <w:rsid w:val="74BF4A0F"/>
    <w:rsid w:val="74BFB741"/>
    <w:rsid w:val="74C4D556"/>
    <w:rsid w:val="74C4D9C7"/>
    <w:rsid w:val="74C71510"/>
    <w:rsid w:val="74C78373"/>
    <w:rsid w:val="74C85444"/>
    <w:rsid w:val="74C9F2B5"/>
    <w:rsid w:val="74CAB0B5"/>
    <w:rsid w:val="74CC3EC6"/>
    <w:rsid w:val="74D144E0"/>
    <w:rsid w:val="74D1D296"/>
    <w:rsid w:val="74D32ECE"/>
    <w:rsid w:val="74D41996"/>
    <w:rsid w:val="74D58F4A"/>
    <w:rsid w:val="74D6BDAE"/>
    <w:rsid w:val="74D77932"/>
    <w:rsid w:val="74D7CDE9"/>
    <w:rsid w:val="74D7FC0F"/>
    <w:rsid w:val="74D8DD2D"/>
    <w:rsid w:val="74DA1EBB"/>
    <w:rsid w:val="74DAA4A3"/>
    <w:rsid w:val="74DAEE2E"/>
    <w:rsid w:val="74DB6D01"/>
    <w:rsid w:val="74DD5354"/>
    <w:rsid w:val="74DF6F83"/>
    <w:rsid w:val="74DFC23F"/>
    <w:rsid w:val="74E135EB"/>
    <w:rsid w:val="74E29DCC"/>
    <w:rsid w:val="74E2D7D0"/>
    <w:rsid w:val="74E2EAD3"/>
    <w:rsid w:val="74E46FC7"/>
    <w:rsid w:val="74E5E96F"/>
    <w:rsid w:val="74E6618A"/>
    <w:rsid w:val="74E72F54"/>
    <w:rsid w:val="74E79BCA"/>
    <w:rsid w:val="74E83A6A"/>
    <w:rsid w:val="74EC3EBC"/>
    <w:rsid w:val="74EEACFF"/>
    <w:rsid w:val="74F1CDFD"/>
    <w:rsid w:val="74F2C0BF"/>
    <w:rsid w:val="74F30021"/>
    <w:rsid w:val="74F310F3"/>
    <w:rsid w:val="74F32006"/>
    <w:rsid w:val="74F52E9F"/>
    <w:rsid w:val="74FBA02D"/>
    <w:rsid w:val="74FE81BF"/>
    <w:rsid w:val="75017751"/>
    <w:rsid w:val="75068644"/>
    <w:rsid w:val="750A6E07"/>
    <w:rsid w:val="750BEDAC"/>
    <w:rsid w:val="750CF934"/>
    <w:rsid w:val="750D50EC"/>
    <w:rsid w:val="750D8C5A"/>
    <w:rsid w:val="751232FA"/>
    <w:rsid w:val="7513C67F"/>
    <w:rsid w:val="7515FFDD"/>
    <w:rsid w:val="75179B44"/>
    <w:rsid w:val="7518BB99"/>
    <w:rsid w:val="751AB0F3"/>
    <w:rsid w:val="751C33A5"/>
    <w:rsid w:val="751CB7B1"/>
    <w:rsid w:val="751E4586"/>
    <w:rsid w:val="751F0DE5"/>
    <w:rsid w:val="751F7987"/>
    <w:rsid w:val="7520B5C6"/>
    <w:rsid w:val="75221C79"/>
    <w:rsid w:val="75222815"/>
    <w:rsid w:val="75246AE3"/>
    <w:rsid w:val="7525597C"/>
    <w:rsid w:val="752A27FD"/>
    <w:rsid w:val="752A32BD"/>
    <w:rsid w:val="752A8033"/>
    <w:rsid w:val="752AECEA"/>
    <w:rsid w:val="752B2E71"/>
    <w:rsid w:val="752BA453"/>
    <w:rsid w:val="752EDFB0"/>
    <w:rsid w:val="75329350"/>
    <w:rsid w:val="753338E2"/>
    <w:rsid w:val="75359BAA"/>
    <w:rsid w:val="7537EC85"/>
    <w:rsid w:val="753DB164"/>
    <w:rsid w:val="753E53E0"/>
    <w:rsid w:val="75403F13"/>
    <w:rsid w:val="7540BEA4"/>
    <w:rsid w:val="7541E080"/>
    <w:rsid w:val="75421F4F"/>
    <w:rsid w:val="75433D7B"/>
    <w:rsid w:val="75457EF2"/>
    <w:rsid w:val="7548192D"/>
    <w:rsid w:val="754C2A04"/>
    <w:rsid w:val="754D7AB9"/>
    <w:rsid w:val="754FB999"/>
    <w:rsid w:val="7550DC2F"/>
    <w:rsid w:val="75531701"/>
    <w:rsid w:val="7553863C"/>
    <w:rsid w:val="75541026"/>
    <w:rsid w:val="75569757"/>
    <w:rsid w:val="755C0E01"/>
    <w:rsid w:val="755EB84E"/>
    <w:rsid w:val="755EC79A"/>
    <w:rsid w:val="756021F2"/>
    <w:rsid w:val="7563A0E3"/>
    <w:rsid w:val="7565ACB2"/>
    <w:rsid w:val="75662831"/>
    <w:rsid w:val="75671B84"/>
    <w:rsid w:val="75677ED8"/>
    <w:rsid w:val="7568CABC"/>
    <w:rsid w:val="756BECAE"/>
    <w:rsid w:val="756C7F63"/>
    <w:rsid w:val="756F33AE"/>
    <w:rsid w:val="756F35AF"/>
    <w:rsid w:val="75715182"/>
    <w:rsid w:val="7576BA49"/>
    <w:rsid w:val="7577BC91"/>
    <w:rsid w:val="7578F8D2"/>
    <w:rsid w:val="7579778B"/>
    <w:rsid w:val="757986EB"/>
    <w:rsid w:val="757B0915"/>
    <w:rsid w:val="757E68E0"/>
    <w:rsid w:val="757EE761"/>
    <w:rsid w:val="75800E25"/>
    <w:rsid w:val="7582FF7A"/>
    <w:rsid w:val="75834211"/>
    <w:rsid w:val="7583EED3"/>
    <w:rsid w:val="7584B47E"/>
    <w:rsid w:val="75877FBB"/>
    <w:rsid w:val="7588CB2B"/>
    <w:rsid w:val="75899CEA"/>
    <w:rsid w:val="758A560C"/>
    <w:rsid w:val="758CA8D4"/>
    <w:rsid w:val="7590AC95"/>
    <w:rsid w:val="7591DA66"/>
    <w:rsid w:val="75940D77"/>
    <w:rsid w:val="75959C80"/>
    <w:rsid w:val="75962D73"/>
    <w:rsid w:val="75970E9B"/>
    <w:rsid w:val="7598FC91"/>
    <w:rsid w:val="7599E06E"/>
    <w:rsid w:val="759AAA09"/>
    <w:rsid w:val="759DB0AF"/>
    <w:rsid w:val="75A03022"/>
    <w:rsid w:val="75A11C17"/>
    <w:rsid w:val="75A153C0"/>
    <w:rsid w:val="75A19940"/>
    <w:rsid w:val="75A3EF24"/>
    <w:rsid w:val="75A5DC0E"/>
    <w:rsid w:val="75A8A4AA"/>
    <w:rsid w:val="75A9F77D"/>
    <w:rsid w:val="75AA1EC2"/>
    <w:rsid w:val="75AA6618"/>
    <w:rsid w:val="75AC2FB0"/>
    <w:rsid w:val="75AD2F1A"/>
    <w:rsid w:val="75ADEBAD"/>
    <w:rsid w:val="75AF2808"/>
    <w:rsid w:val="75B088A0"/>
    <w:rsid w:val="75B2B997"/>
    <w:rsid w:val="75B37520"/>
    <w:rsid w:val="75B6DFAC"/>
    <w:rsid w:val="75B8DB0F"/>
    <w:rsid w:val="75BA8040"/>
    <w:rsid w:val="75BB11D8"/>
    <w:rsid w:val="75BBD71C"/>
    <w:rsid w:val="75BC9FF5"/>
    <w:rsid w:val="75BCAA5D"/>
    <w:rsid w:val="75C1C640"/>
    <w:rsid w:val="75C6643C"/>
    <w:rsid w:val="75C850DB"/>
    <w:rsid w:val="75C8CC81"/>
    <w:rsid w:val="75C8F57A"/>
    <w:rsid w:val="75D1469A"/>
    <w:rsid w:val="75D15ED6"/>
    <w:rsid w:val="75D24C98"/>
    <w:rsid w:val="75D4B7FD"/>
    <w:rsid w:val="75D96C8A"/>
    <w:rsid w:val="75D9C468"/>
    <w:rsid w:val="75DD0CC1"/>
    <w:rsid w:val="75DD1CF6"/>
    <w:rsid w:val="75DE31E7"/>
    <w:rsid w:val="75DE86D5"/>
    <w:rsid w:val="75DFE1E7"/>
    <w:rsid w:val="75E36D49"/>
    <w:rsid w:val="75E512AC"/>
    <w:rsid w:val="75E53B12"/>
    <w:rsid w:val="75E623B8"/>
    <w:rsid w:val="75E9B906"/>
    <w:rsid w:val="75EA3BF5"/>
    <w:rsid w:val="75EABFA7"/>
    <w:rsid w:val="75EBC88A"/>
    <w:rsid w:val="75EC7825"/>
    <w:rsid w:val="75EF6019"/>
    <w:rsid w:val="75EF626E"/>
    <w:rsid w:val="75EF6FD4"/>
    <w:rsid w:val="75EFAB50"/>
    <w:rsid w:val="75EFCF1B"/>
    <w:rsid w:val="75F1A051"/>
    <w:rsid w:val="75F1B968"/>
    <w:rsid w:val="75F27115"/>
    <w:rsid w:val="75F2FE16"/>
    <w:rsid w:val="75F338BA"/>
    <w:rsid w:val="75F7603C"/>
    <w:rsid w:val="75F8A132"/>
    <w:rsid w:val="75FA91E4"/>
    <w:rsid w:val="75FABD9C"/>
    <w:rsid w:val="75FBD006"/>
    <w:rsid w:val="75FC10D7"/>
    <w:rsid w:val="75FEAB75"/>
    <w:rsid w:val="75FF0554"/>
    <w:rsid w:val="76004E85"/>
    <w:rsid w:val="76008339"/>
    <w:rsid w:val="76013069"/>
    <w:rsid w:val="76026FCF"/>
    <w:rsid w:val="7602AF0E"/>
    <w:rsid w:val="76033F62"/>
    <w:rsid w:val="7606003A"/>
    <w:rsid w:val="7607438F"/>
    <w:rsid w:val="7607546C"/>
    <w:rsid w:val="760987C5"/>
    <w:rsid w:val="7609A8A1"/>
    <w:rsid w:val="760BDFD0"/>
    <w:rsid w:val="760E4341"/>
    <w:rsid w:val="76112CF8"/>
    <w:rsid w:val="761459B5"/>
    <w:rsid w:val="7614ECD0"/>
    <w:rsid w:val="761659DE"/>
    <w:rsid w:val="76166B56"/>
    <w:rsid w:val="7618E210"/>
    <w:rsid w:val="761A6D40"/>
    <w:rsid w:val="761A7143"/>
    <w:rsid w:val="761AB5B6"/>
    <w:rsid w:val="761C1ED6"/>
    <w:rsid w:val="761E289F"/>
    <w:rsid w:val="761F308F"/>
    <w:rsid w:val="76234C4A"/>
    <w:rsid w:val="7623E6C7"/>
    <w:rsid w:val="7625B804"/>
    <w:rsid w:val="7626B574"/>
    <w:rsid w:val="762A4C19"/>
    <w:rsid w:val="762C55E3"/>
    <w:rsid w:val="762D3BB8"/>
    <w:rsid w:val="762DFC7A"/>
    <w:rsid w:val="762F91D9"/>
    <w:rsid w:val="762FAC45"/>
    <w:rsid w:val="7630EBE1"/>
    <w:rsid w:val="76319C8C"/>
    <w:rsid w:val="76341302"/>
    <w:rsid w:val="763AFB9A"/>
    <w:rsid w:val="763BFDFF"/>
    <w:rsid w:val="763C8DE6"/>
    <w:rsid w:val="763C9409"/>
    <w:rsid w:val="763E7E29"/>
    <w:rsid w:val="763EF517"/>
    <w:rsid w:val="76405D75"/>
    <w:rsid w:val="7640C9BF"/>
    <w:rsid w:val="7641B968"/>
    <w:rsid w:val="7642565C"/>
    <w:rsid w:val="76438FA9"/>
    <w:rsid w:val="7645CC81"/>
    <w:rsid w:val="7647C82D"/>
    <w:rsid w:val="7647D871"/>
    <w:rsid w:val="7648870F"/>
    <w:rsid w:val="7648A2BC"/>
    <w:rsid w:val="764A86CE"/>
    <w:rsid w:val="7651365A"/>
    <w:rsid w:val="76558055"/>
    <w:rsid w:val="7656FDC6"/>
    <w:rsid w:val="7657F5F1"/>
    <w:rsid w:val="76585571"/>
    <w:rsid w:val="7658ACDF"/>
    <w:rsid w:val="7658D392"/>
    <w:rsid w:val="765A5CFD"/>
    <w:rsid w:val="765AC91B"/>
    <w:rsid w:val="765BC6EF"/>
    <w:rsid w:val="765C2F2B"/>
    <w:rsid w:val="765D4750"/>
    <w:rsid w:val="765E3E3F"/>
    <w:rsid w:val="765F4976"/>
    <w:rsid w:val="76602E33"/>
    <w:rsid w:val="7660FD33"/>
    <w:rsid w:val="76612F1E"/>
    <w:rsid w:val="76623CB5"/>
    <w:rsid w:val="76648AAD"/>
    <w:rsid w:val="76651B12"/>
    <w:rsid w:val="76664D42"/>
    <w:rsid w:val="76694878"/>
    <w:rsid w:val="76696EB9"/>
    <w:rsid w:val="7669FFBD"/>
    <w:rsid w:val="766D5E57"/>
    <w:rsid w:val="766DB6E1"/>
    <w:rsid w:val="766EA991"/>
    <w:rsid w:val="766F5221"/>
    <w:rsid w:val="7671097E"/>
    <w:rsid w:val="76726F9B"/>
    <w:rsid w:val="767738A5"/>
    <w:rsid w:val="7677E0DB"/>
    <w:rsid w:val="767AE9C0"/>
    <w:rsid w:val="767B27A9"/>
    <w:rsid w:val="767B3FBF"/>
    <w:rsid w:val="767BB8AF"/>
    <w:rsid w:val="767C8F40"/>
    <w:rsid w:val="767E784F"/>
    <w:rsid w:val="76801997"/>
    <w:rsid w:val="76809280"/>
    <w:rsid w:val="7680BB7B"/>
    <w:rsid w:val="76834748"/>
    <w:rsid w:val="768544F6"/>
    <w:rsid w:val="7686D394"/>
    <w:rsid w:val="76881164"/>
    <w:rsid w:val="7688AA5B"/>
    <w:rsid w:val="7689AFB4"/>
    <w:rsid w:val="768D7586"/>
    <w:rsid w:val="768FE5D2"/>
    <w:rsid w:val="7690AB90"/>
    <w:rsid w:val="76941245"/>
    <w:rsid w:val="7694FCAD"/>
    <w:rsid w:val="7696B6CD"/>
    <w:rsid w:val="769C0D12"/>
    <w:rsid w:val="769CBDD8"/>
    <w:rsid w:val="76A053CC"/>
    <w:rsid w:val="76A16EA0"/>
    <w:rsid w:val="76A1BD03"/>
    <w:rsid w:val="76A5965F"/>
    <w:rsid w:val="76A65308"/>
    <w:rsid w:val="76A8FC49"/>
    <w:rsid w:val="76A9609E"/>
    <w:rsid w:val="76AB1748"/>
    <w:rsid w:val="76AB7094"/>
    <w:rsid w:val="76ABEEAE"/>
    <w:rsid w:val="76AC577E"/>
    <w:rsid w:val="76AD3192"/>
    <w:rsid w:val="76AEEF9C"/>
    <w:rsid w:val="76AF5F3B"/>
    <w:rsid w:val="76B1560B"/>
    <w:rsid w:val="76B2952F"/>
    <w:rsid w:val="76B448EE"/>
    <w:rsid w:val="76B65BF1"/>
    <w:rsid w:val="76B76E6C"/>
    <w:rsid w:val="76B8BFCE"/>
    <w:rsid w:val="76BE9B3D"/>
    <w:rsid w:val="76BFED07"/>
    <w:rsid w:val="76BFF34B"/>
    <w:rsid w:val="76C01DD8"/>
    <w:rsid w:val="76C13963"/>
    <w:rsid w:val="76CCDF52"/>
    <w:rsid w:val="76CDDF88"/>
    <w:rsid w:val="76D0E32F"/>
    <w:rsid w:val="76D29878"/>
    <w:rsid w:val="76D2DF3F"/>
    <w:rsid w:val="76D31F6D"/>
    <w:rsid w:val="76D451BC"/>
    <w:rsid w:val="76D47343"/>
    <w:rsid w:val="76D4B6E3"/>
    <w:rsid w:val="76D59EAF"/>
    <w:rsid w:val="76D5D509"/>
    <w:rsid w:val="76D62A51"/>
    <w:rsid w:val="76D6941F"/>
    <w:rsid w:val="76D6C905"/>
    <w:rsid w:val="76D95F3D"/>
    <w:rsid w:val="76DAD056"/>
    <w:rsid w:val="76DCC594"/>
    <w:rsid w:val="76DD6F0B"/>
    <w:rsid w:val="76DDA04D"/>
    <w:rsid w:val="76DEF69C"/>
    <w:rsid w:val="76E00ECF"/>
    <w:rsid w:val="76E0D1C8"/>
    <w:rsid w:val="76E0DE7D"/>
    <w:rsid w:val="76E36A05"/>
    <w:rsid w:val="76E5866A"/>
    <w:rsid w:val="76E6AB08"/>
    <w:rsid w:val="76E97B3F"/>
    <w:rsid w:val="76EB0FD5"/>
    <w:rsid w:val="76EB4D3C"/>
    <w:rsid w:val="76ECEDDB"/>
    <w:rsid w:val="76ED574E"/>
    <w:rsid w:val="76EE0C86"/>
    <w:rsid w:val="76EF1005"/>
    <w:rsid w:val="76EFECC2"/>
    <w:rsid w:val="76F36461"/>
    <w:rsid w:val="76F37A32"/>
    <w:rsid w:val="76F6C25C"/>
    <w:rsid w:val="76F7F985"/>
    <w:rsid w:val="76FA0C8D"/>
    <w:rsid w:val="76FCDB10"/>
    <w:rsid w:val="76FE0CFA"/>
    <w:rsid w:val="76FECF76"/>
    <w:rsid w:val="77015C6F"/>
    <w:rsid w:val="77055A9B"/>
    <w:rsid w:val="770586D4"/>
    <w:rsid w:val="7705C0EE"/>
    <w:rsid w:val="77068A16"/>
    <w:rsid w:val="7707E1E3"/>
    <w:rsid w:val="7709C290"/>
    <w:rsid w:val="770B194E"/>
    <w:rsid w:val="770B8ED3"/>
    <w:rsid w:val="770BF01E"/>
    <w:rsid w:val="770F6C15"/>
    <w:rsid w:val="77109D52"/>
    <w:rsid w:val="7711781C"/>
    <w:rsid w:val="77119511"/>
    <w:rsid w:val="7711A446"/>
    <w:rsid w:val="7713DD34"/>
    <w:rsid w:val="7713F2ED"/>
    <w:rsid w:val="77142FD4"/>
    <w:rsid w:val="77145767"/>
    <w:rsid w:val="7716A5AB"/>
    <w:rsid w:val="7716E7EE"/>
    <w:rsid w:val="771AC2EB"/>
    <w:rsid w:val="771BC7DF"/>
    <w:rsid w:val="771C43E1"/>
    <w:rsid w:val="771D279C"/>
    <w:rsid w:val="771DFAE1"/>
    <w:rsid w:val="771E173B"/>
    <w:rsid w:val="771E1EE7"/>
    <w:rsid w:val="771E6A98"/>
    <w:rsid w:val="771EBC65"/>
    <w:rsid w:val="771F038E"/>
    <w:rsid w:val="7723A202"/>
    <w:rsid w:val="7724C6E5"/>
    <w:rsid w:val="77269C92"/>
    <w:rsid w:val="772B4015"/>
    <w:rsid w:val="772DD02F"/>
    <w:rsid w:val="772DF674"/>
    <w:rsid w:val="77301DF5"/>
    <w:rsid w:val="77301E2F"/>
    <w:rsid w:val="77326F2E"/>
    <w:rsid w:val="7732B768"/>
    <w:rsid w:val="7733ECD1"/>
    <w:rsid w:val="7734BA70"/>
    <w:rsid w:val="7734BC37"/>
    <w:rsid w:val="77357F3C"/>
    <w:rsid w:val="773A9C02"/>
    <w:rsid w:val="773E1892"/>
    <w:rsid w:val="7741727D"/>
    <w:rsid w:val="7746C904"/>
    <w:rsid w:val="774876FD"/>
    <w:rsid w:val="7748A707"/>
    <w:rsid w:val="774D653E"/>
    <w:rsid w:val="774DB3AD"/>
    <w:rsid w:val="774FF020"/>
    <w:rsid w:val="7750254D"/>
    <w:rsid w:val="7750D42D"/>
    <w:rsid w:val="775123CD"/>
    <w:rsid w:val="77515E11"/>
    <w:rsid w:val="77523D24"/>
    <w:rsid w:val="7753490A"/>
    <w:rsid w:val="77542B24"/>
    <w:rsid w:val="775572AF"/>
    <w:rsid w:val="775638D8"/>
    <w:rsid w:val="7756A3EA"/>
    <w:rsid w:val="7756D520"/>
    <w:rsid w:val="7757FF43"/>
    <w:rsid w:val="77594B3B"/>
    <w:rsid w:val="775AEBDB"/>
    <w:rsid w:val="775C12A3"/>
    <w:rsid w:val="775CCB34"/>
    <w:rsid w:val="775D3184"/>
    <w:rsid w:val="775E89F4"/>
    <w:rsid w:val="775E994B"/>
    <w:rsid w:val="775EF14A"/>
    <w:rsid w:val="775FFF7E"/>
    <w:rsid w:val="7760D563"/>
    <w:rsid w:val="77640450"/>
    <w:rsid w:val="77641038"/>
    <w:rsid w:val="776691F8"/>
    <w:rsid w:val="776693E1"/>
    <w:rsid w:val="776D1949"/>
    <w:rsid w:val="77776735"/>
    <w:rsid w:val="7778809A"/>
    <w:rsid w:val="77793853"/>
    <w:rsid w:val="777A0163"/>
    <w:rsid w:val="777AFC74"/>
    <w:rsid w:val="777E985A"/>
    <w:rsid w:val="777EC361"/>
    <w:rsid w:val="777F12D1"/>
    <w:rsid w:val="777F4FE8"/>
    <w:rsid w:val="777FEFA6"/>
    <w:rsid w:val="77805AC7"/>
    <w:rsid w:val="7780F1C2"/>
    <w:rsid w:val="778420AC"/>
    <w:rsid w:val="778A344B"/>
    <w:rsid w:val="778B7D11"/>
    <w:rsid w:val="778DFDC2"/>
    <w:rsid w:val="778E33C4"/>
    <w:rsid w:val="778EA433"/>
    <w:rsid w:val="7790647C"/>
    <w:rsid w:val="7790EEBD"/>
    <w:rsid w:val="7793D398"/>
    <w:rsid w:val="7794DAC1"/>
    <w:rsid w:val="77968568"/>
    <w:rsid w:val="77971516"/>
    <w:rsid w:val="779800A4"/>
    <w:rsid w:val="77981CA1"/>
    <w:rsid w:val="779892ED"/>
    <w:rsid w:val="779AAA7E"/>
    <w:rsid w:val="779EE686"/>
    <w:rsid w:val="77A00B92"/>
    <w:rsid w:val="77A0D0D5"/>
    <w:rsid w:val="77A28FB7"/>
    <w:rsid w:val="77A3B817"/>
    <w:rsid w:val="77A831A2"/>
    <w:rsid w:val="77A86784"/>
    <w:rsid w:val="77A86FEB"/>
    <w:rsid w:val="77A9652D"/>
    <w:rsid w:val="77A9D519"/>
    <w:rsid w:val="77AAABC0"/>
    <w:rsid w:val="77AC4B51"/>
    <w:rsid w:val="77AD28A6"/>
    <w:rsid w:val="77AECB7E"/>
    <w:rsid w:val="77AF4B16"/>
    <w:rsid w:val="77AFEFB3"/>
    <w:rsid w:val="77B14D90"/>
    <w:rsid w:val="77B25BF4"/>
    <w:rsid w:val="77B275EF"/>
    <w:rsid w:val="77B37602"/>
    <w:rsid w:val="77B560B4"/>
    <w:rsid w:val="77B70A7B"/>
    <w:rsid w:val="77B925B1"/>
    <w:rsid w:val="77B92F34"/>
    <w:rsid w:val="77B9D11A"/>
    <w:rsid w:val="77B9DC58"/>
    <w:rsid w:val="77BB131B"/>
    <w:rsid w:val="77BCBD4D"/>
    <w:rsid w:val="77C0492A"/>
    <w:rsid w:val="77C2A4E0"/>
    <w:rsid w:val="77C472F9"/>
    <w:rsid w:val="77C56BA3"/>
    <w:rsid w:val="77CA0DF9"/>
    <w:rsid w:val="77CB83CE"/>
    <w:rsid w:val="77CBF04D"/>
    <w:rsid w:val="77CCF46F"/>
    <w:rsid w:val="77CD7DD3"/>
    <w:rsid w:val="77CE1BEA"/>
    <w:rsid w:val="77CEB610"/>
    <w:rsid w:val="77D0E8AF"/>
    <w:rsid w:val="77D36C0E"/>
    <w:rsid w:val="77D3CADE"/>
    <w:rsid w:val="77D555B9"/>
    <w:rsid w:val="77D5E819"/>
    <w:rsid w:val="77D90A33"/>
    <w:rsid w:val="77DCE13F"/>
    <w:rsid w:val="77DE23AC"/>
    <w:rsid w:val="77E01CF7"/>
    <w:rsid w:val="77E13DB8"/>
    <w:rsid w:val="77E2C0C9"/>
    <w:rsid w:val="77E5653A"/>
    <w:rsid w:val="77EB8962"/>
    <w:rsid w:val="77F05DC0"/>
    <w:rsid w:val="77F10054"/>
    <w:rsid w:val="77F293E9"/>
    <w:rsid w:val="77F37EA8"/>
    <w:rsid w:val="77F3AE59"/>
    <w:rsid w:val="77F7FB93"/>
    <w:rsid w:val="77FDEF28"/>
    <w:rsid w:val="77FE5749"/>
    <w:rsid w:val="77FFD821"/>
    <w:rsid w:val="780392EC"/>
    <w:rsid w:val="78056F43"/>
    <w:rsid w:val="7806B265"/>
    <w:rsid w:val="7807B235"/>
    <w:rsid w:val="780D0E31"/>
    <w:rsid w:val="780EE1E3"/>
    <w:rsid w:val="7812B60E"/>
    <w:rsid w:val="7812C44D"/>
    <w:rsid w:val="7813AB44"/>
    <w:rsid w:val="781658E3"/>
    <w:rsid w:val="78182814"/>
    <w:rsid w:val="78197255"/>
    <w:rsid w:val="781BB912"/>
    <w:rsid w:val="781BE71A"/>
    <w:rsid w:val="781DBB4F"/>
    <w:rsid w:val="781E6C94"/>
    <w:rsid w:val="781ED8C4"/>
    <w:rsid w:val="78220D58"/>
    <w:rsid w:val="782475F1"/>
    <w:rsid w:val="78247F2D"/>
    <w:rsid w:val="78249229"/>
    <w:rsid w:val="7824E5D0"/>
    <w:rsid w:val="78254981"/>
    <w:rsid w:val="7825BC09"/>
    <w:rsid w:val="78271180"/>
    <w:rsid w:val="7828B9CB"/>
    <w:rsid w:val="78299F8E"/>
    <w:rsid w:val="782B4626"/>
    <w:rsid w:val="782D2C31"/>
    <w:rsid w:val="782E402B"/>
    <w:rsid w:val="782E96F6"/>
    <w:rsid w:val="782EE3D3"/>
    <w:rsid w:val="783079DE"/>
    <w:rsid w:val="783193E4"/>
    <w:rsid w:val="78319D1C"/>
    <w:rsid w:val="78320F46"/>
    <w:rsid w:val="7832812A"/>
    <w:rsid w:val="78388C23"/>
    <w:rsid w:val="783ADA8B"/>
    <w:rsid w:val="783B65D6"/>
    <w:rsid w:val="783BB057"/>
    <w:rsid w:val="783C9D93"/>
    <w:rsid w:val="78411EB3"/>
    <w:rsid w:val="78415FA0"/>
    <w:rsid w:val="78423BD2"/>
    <w:rsid w:val="78434FB6"/>
    <w:rsid w:val="7843E283"/>
    <w:rsid w:val="7847D50B"/>
    <w:rsid w:val="784FE94D"/>
    <w:rsid w:val="7850CBE4"/>
    <w:rsid w:val="7850DEF3"/>
    <w:rsid w:val="78533078"/>
    <w:rsid w:val="78533CAC"/>
    <w:rsid w:val="7854037E"/>
    <w:rsid w:val="78541788"/>
    <w:rsid w:val="7855DD90"/>
    <w:rsid w:val="7855F276"/>
    <w:rsid w:val="78562DD6"/>
    <w:rsid w:val="78568F99"/>
    <w:rsid w:val="785698DC"/>
    <w:rsid w:val="78585EDB"/>
    <w:rsid w:val="7859C27A"/>
    <w:rsid w:val="785C644E"/>
    <w:rsid w:val="785CF5C4"/>
    <w:rsid w:val="785DB0E9"/>
    <w:rsid w:val="785EA254"/>
    <w:rsid w:val="785F9A37"/>
    <w:rsid w:val="7863F274"/>
    <w:rsid w:val="7865A6B3"/>
    <w:rsid w:val="78662726"/>
    <w:rsid w:val="7868F6B2"/>
    <w:rsid w:val="786A0764"/>
    <w:rsid w:val="786A1D69"/>
    <w:rsid w:val="786A95B8"/>
    <w:rsid w:val="786C195C"/>
    <w:rsid w:val="786D27AC"/>
    <w:rsid w:val="786FACC9"/>
    <w:rsid w:val="7872D0D9"/>
    <w:rsid w:val="7873309C"/>
    <w:rsid w:val="787A434C"/>
    <w:rsid w:val="787D87FD"/>
    <w:rsid w:val="787DCACA"/>
    <w:rsid w:val="78818949"/>
    <w:rsid w:val="78818F1F"/>
    <w:rsid w:val="7882E00F"/>
    <w:rsid w:val="78838BA2"/>
    <w:rsid w:val="788477E1"/>
    <w:rsid w:val="788667F2"/>
    <w:rsid w:val="7886B956"/>
    <w:rsid w:val="788793D9"/>
    <w:rsid w:val="788808DF"/>
    <w:rsid w:val="788CA8C2"/>
    <w:rsid w:val="788D34B0"/>
    <w:rsid w:val="788DE5F8"/>
    <w:rsid w:val="788EE281"/>
    <w:rsid w:val="788EE51E"/>
    <w:rsid w:val="788F3C10"/>
    <w:rsid w:val="789046E5"/>
    <w:rsid w:val="7891B2DD"/>
    <w:rsid w:val="78923B5E"/>
    <w:rsid w:val="7892A1BC"/>
    <w:rsid w:val="789376DA"/>
    <w:rsid w:val="789406F6"/>
    <w:rsid w:val="78958374"/>
    <w:rsid w:val="7896AE39"/>
    <w:rsid w:val="789AF978"/>
    <w:rsid w:val="789B5714"/>
    <w:rsid w:val="789E4CE1"/>
    <w:rsid w:val="789E7CA0"/>
    <w:rsid w:val="78A311DF"/>
    <w:rsid w:val="78A311FA"/>
    <w:rsid w:val="78A41856"/>
    <w:rsid w:val="78A41E88"/>
    <w:rsid w:val="78A42528"/>
    <w:rsid w:val="78A45BCE"/>
    <w:rsid w:val="78A78800"/>
    <w:rsid w:val="78A848AC"/>
    <w:rsid w:val="78A88BBC"/>
    <w:rsid w:val="78A8D238"/>
    <w:rsid w:val="78A96120"/>
    <w:rsid w:val="78AACBC6"/>
    <w:rsid w:val="78AC2499"/>
    <w:rsid w:val="78AFD68A"/>
    <w:rsid w:val="78B1304F"/>
    <w:rsid w:val="78B1F6B1"/>
    <w:rsid w:val="78B21EA4"/>
    <w:rsid w:val="78B3A7B3"/>
    <w:rsid w:val="78B441FA"/>
    <w:rsid w:val="78B792CD"/>
    <w:rsid w:val="78B9FE90"/>
    <w:rsid w:val="78BC630D"/>
    <w:rsid w:val="78BDDC49"/>
    <w:rsid w:val="78BF796E"/>
    <w:rsid w:val="78C0C3F4"/>
    <w:rsid w:val="78C0E859"/>
    <w:rsid w:val="78C14E5A"/>
    <w:rsid w:val="78C34EBF"/>
    <w:rsid w:val="78C402DC"/>
    <w:rsid w:val="78C45FE1"/>
    <w:rsid w:val="78C4ED57"/>
    <w:rsid w:val="78C5671E"/>
    <w:rsid w:val="78C5776F"/>
    <w:rsid w:val="78C5C503"/>
    <w:rsid w:val="78C9133F"/>
    <w:rsid w:val="78CA0A73"/>
    <w:rsid w:val="78CA4055"/>
    <w:rsid w:val="78CB6D02"/>
    <w:rsid w:val="78CC35A3"/>
    <w:rsid w:val="78CD7D5D"/>
    <w:rsid w:val="78CDD6CF"/>
    <w:rsid w:val="78CFEEB8"/>
    <w:rsid w:val="78D07F0A"/>
    <w:rsid w:val="78D4782C"/>
    <w:rsid w:val="78D5FFC4"/>
    <w:rsid w:val="78D604AC"/>
    <w:rsid w:val="78D78099"/>
    <w:rsid w:val="78D8BF3C"/>
    <w:rsid w:val="78DA02CE"/>
    <w:rsid w:val="78DAAC46"/>
    <w:rsid w:val="78DB403E"/>
    <w:rsid w:val="78DC3204"/>
    <w:rsid w:val="78DE26CA"/>
    <w:rsid w:val="78E35DD7"/>
    <w:rsid w:val="78E45B21"/>
    <w:rsid w:val="78E49264"/>
    <w:rsid w:val="78E60F64"/>
    <w:rsid w:val="78E7307D"/>
    <w:rsid w:val="78E8EE4D"/>
    <w:rsid w:val="78E903FE"/>
    <w:rsid w:val="78ED0ED3"/>
    <w:rsid w:val="78EF2737"/>
    <w:rsid w:val="78F0415C"/>
    <w:rsid w:val="78F0BDEC"/>
    <w:rsid w:val="78F13947"/>
    <w:rsid w:val="78F2A703"/>
    <w:rsid w:val="78F32A2C"/>
    <w:rsid w:val="78F32B4C"/>
    <w:rsid w:val="78F55B59"/>
    <w:rsid w:val="78F755ED"/>
    <w:rsid w:val="78F8BA71"/>
    <w:rsid w:val="78F92FCB"/>
    <w:rsid w:val="78FB3428"/>
    <w:rsid w:val="78FB9E71"/>
    <w:rsid w:val="78FB9F29"/>
    <w:rsid w:val="78FCE5FB"/>
    <w:rsid w:val="78FDB963"/>
    <w:rsid w:val="78FE7B6E"/>
    <w:rsid w:val="7902580F"/>
    <w:rsid w:val="790291ED"/>
    <w:rsid w:val="7903BCB4"/>
    <w:rsid w:val="7904CAC5"/>
    <w:rsid w:val="7905AD73"/>
    <w:rsid w:val="79074DB9"/>
    <w:rsid w:val="7908080A"/>
    <w:rsid w:val="7908463D"/>
    <w:rsid w:val="7908F162"/>
    <w:rsid w:val="790C43A4"/>
    <w:rsid w:val="790DD438"/>
    <w:rsid w:val="790DF2EB"/>
    <w:rsid w:val="790EA16C"/>
    <w:rsid w:val="790EEC05"/>
    <w:rsid w:val="790FF4F2"/>
    <w:rsid w:val="7911C227"/>
    <w:rsid w:val="79122991"/>
    <w:rsid w:val="7912E8C7"/>
    <w:rsid w:val="7913CEA4"/>
    <w:rsid w:val="7914915D"/>
    <w:rsid w:val="79184698"/>
    <w:rsid w:val="79193CA4"/>
    <w:rsid w:val="7919C3F1"/>
    <w:rsid w:val="791A79A0"/>
    <w:rsid w:val="791EDDA2"/>
    <w:rsid w:val="791EFC82"/>
    <w:rsid w:val="792074EF"/>
    <w:rsid w:val="7920A3B2"/>
    <w:rsid w:val="79216C8A"/>
    <w:rsid w:val="79241414"/>
    <w:rsid w:val="7929900C"/>
    <w:rsid w:val="792E7414"/>
    <w:rsid w:val="792FC1B5"/>
    <w:rsid w:val="79305375"/>
    <w:rsid w:val="79336183"/>
    <w:rsid w:val="7933DBD8"/>
    <w:rsid w:val="793402B9"/>
    <w:rsid w:val="7934312A"/>
    <w:rsid w:val="79351324"/>
    <w:rsid w:val="793C9A6D"/>
    <w:rsid w:val="793D272B"/>
    <w:rsid w:val="793FBBD3"/>
    <w:rsid w:val="794024F6"/>
    <w:rsid w:val="79405DDA"/>
    <w:rsid w:val="7942500B"/>
    <w:rsid w:val="7942B008"/>
    <w:rsid w:val="7942DBE4"/>
    <w:rsid w:val="79456FBC"/>
    <w:rsid w:val="7947063C"/>
    <w:rsid w:val="79476DFD"/>
    <w:rsid w:val="7949BD89"/>
    <w:rsid w:val="794AAD4B"/>
    <w:rsid w:val="794B908F"/>
    <w:rsid w:val="794C1432"/>
    <w:rsid w:val="794D94DA"/>
    <w:rsid w:val="794DB9A0"/>
    <w:rsid w:val="794E7767"/>
    <w:rsid w:val="794FDCBC"/>
    <w:rsid w:val="79510644"/>
    <w:rsid w:val="79532095"/>
    <w:rsid w:val="7954ADF0"/>
    <w:rsid w:val="795641B1"/>
    <w:rsid w:val="7957B9B3"/>
    <w:rsid w:val="7958C91A"/>
    <w:rsid w:val="795C05C8"/>
    <w:rsid w:val="795D8A0E"/>
    <w:rsid w:val="795DA210"/>
    <w:rsid w:val="795DC24D"/>
    <w:rsid w:val="795E7BFE"/>
    <w:rsid w:val="7961B2C8"/>
    <w:rsid w:val="7963D5D3"/>
    <w:rsid w:val="79650AE9"/>
    <w:rsid w:val="7966C0C0"/>
    <w:rsid w:val="796A16EF"/>
    <w:rsid w:val="796C9E22"/>
    <w:rsid w:val="796CC0B8"/>
    <w:rsid w:val="796F2B2C"/>
    <w:rsid w:val="7971D6CC"/>
    <w:rsid w:val="79729408"/>
    <w:rsid w:val="797583B0"/>
    <w:rsid w:val="7976BB17"/>
    <w:rsid w:val="7977FAC2"/>
    <w:rsid w:val="79780A46"/>
    <w:rsid w:val="79782C81"/>
    <w:rsid w:val="797AAB6E"/>
    <w:rsid w:val="797D70A2"/>
    <w:rsid w:val="797DDCDE"/>
    <w:rsid w:val="797E0D57"/>
    <w:rsid w:val="797FFBB6"/>
    <w:rsid w:val="79813608"/>
    <w:rsid w:val="798151F8"/>
    <w:rsid w:val="79816B6B"/>
    <w:rsid w:val="79816DAF"/>
    <w:rsid w:val="7985551D"/>
    <w:rsid w:val="79859CA0"/>
    <w:rsid w:val="7987C858"/>
    <w:rsid w:val="798A6EF7"/>
    <w:rsid w:val="798E089C"/>
    <w:rsid w:val="798ED8D1"/>
    <w:rsid w:val="79901054"/>
    <w:rsid w:val="79940301"/>
    <w:rsid w:val="7994A591"/>
    <w:rsid w:val="7996E89B"/>
    <w:rsid w:val="7996F76E"/>
    <w:rsid w:val="799709E3"/>
    <w:rsid w:val="7997793B"/>
    <w:rsid w:val="79977E84"/>
    <w:rsid w:val="799A353D"/>
    <w:rsid w:val="799ACA53"/>
    <w:rsid w:val="799EE794"/>
    <w:rsid w:val="799FBAE5"/>
    <w:rsid w:val="799FBCDC"/>
    <w:rsid w:val="79A040C8"/>
    <w:rsid w:val="79A388C8"/>
    <w:rsid w:val="79A86A37"/>
    <w:rsid w:val="79AF62A1"/>
    <w:rsid w:val="79B06093"/>
    <w:rsid w:val="79B2F20A"/>
    <w:rsid w:val="79B349D6"/>
    <w:rsid w:val="79B41995"/>
    <w:rsid w:val="79B99172"/>
    <w:rsid w:val="79BAA9A4"/>
    <w:rsid w:val="79BDCE97"/>
    <w:rsid w:val="79C012BF"/>
    <w:rsid w:val="79C0CADE"/>
    <w:rsid w:val="79C2BB6F"/>
    <w:rsid w:val="79C510FE"/>
    <w:rsid w:val="79C6A9DB"/>
    <w:rsid w:val="79C84D7D"/>
    <w:rsid w:val="79C8A90F"/>
    <w:rsid w:val="79C95F15"/>
    <w:rsid w:val="79C96393"/>
    <w:rsid w:val="79CB9495"/>
    <w:rsid w:val="79CC0E93"/>
    <w:rsid w:val="79CC1BFF"/>
    <w:rsid w:val="79CCDA0D"/>
    <w:rsid w:val="79CDE7F9"/>
    <w:rsid w:val="79D4C68F"/>
    <w:rsid w:val="79D653CA"/>
    <w:rsid w:val="79D7176A"/>
    <w:rsid w:val="79DB3923"/>
    <w:rsid w:val="79DD5F45"/>
    <w:rsid w:val="79DE15DC"/>
    <w:rsid w:val="79DED8E4"/>
    <w:rsid w:val="79DF3CA7"/>
    <w:rsid w:val="79DF66E1"/>
    <w:rsid w:val="79DF749F"/>
    <w:rsid w:val="79E1516E"/>
    <w:rsid w:val="79E15B26"/>
    <w:rsid w:val="79E2588C"/>
    <w:rsid w:val="79E310B5"/>
    <w:rsid w:val="79E623FF"/>
    <w:rsid w:val="79E640E6"/>
    <w:rsid w:val="79E6726D"/>
    <w:rsid w:val="79E734AF"/>
    <w:rsid w:val="79E81C83"/>
    <w:rsid w:val="79E85144"/>
    <w:rsid w:val="79E914C5"/>
    <w:rsid w:val="79E96F8A"/>
    <w:rsid w:val="79E9BA49"/>
    <w:rsid w:val="79E9E8AD"/>
    <w:rsid w:val="79EA60BD"/>
    <w:rsid w:val="79EA69EE"/>
    <w:rsid w:val="79EBF326"/>
    <w:rsid w:val="79EEDF98"/>
    <w:rsid w:val="79EF3C90"/>
    <w:rsid w:val="79F2607F"/>
    <w:rsid w:val="79F2EE8D"/>
    <w:rsid w:val="79F2FEF7"/>
    <w:rsid w:val="79F31BC7"/>
    <w:rsid w:val="79F35FEF"/>
    <w:rsid w:val="79F3ED99"/>
    <w:rsid w:val="79F592AE"/>
    <w:rsid w:val="79F9504C"/>
    <w:rsid w:val="79F9D3D3"/>
    <w:rsid w:val="79FB16F0"/>
    <w:rsid w:val="79FC7FD4"/>
    <w:rsid w:val="79FDB07F"/>
    <w:rsid w:val="79FEC7C7"/>
    <w:rsid w:val="79FFF14A"/>
    <w:rsid w:val="7A00C6B9"/>
    <w:rsid w:val="7A024B31"/>
    <w:rsid w:val="7A027A99"/>
    <w:rsid w:val="7A0280F3"/>
    <w:rsid w:val="7A061DD4"/>
    <w:rsid w:val="7A074E71"/>
    <w:rsid w:val="7A07EE0D"/>
    <w:rsid w:val="7A09FEA2"/>
    <w:rsid w:val="7A0A24B0"/>
    <w:rsid w:val="7A0B94BE"/>
    <w:rsid w:val="7A0BC6BD"/>
    <w:rsid w:val="7A0C1F21"/>
    <w:rsid w:val="7A0C8272"/>
    <w:rsid w:val="7A107724"/>
    <w:rsid w:val="7A1237B4"/>
    <w:rsid w:val="7A12CEC6"/>
    <w:rsid w:val="7A13A892"/>
    <w:rsid w:val="7A1460FA"/>
    <w:rsid w:val="7A17B734"/>
    <w:rsid w:val="7A17FD72"/>
    <w:rsid w:val="7A19273E"/>
    <w:rsid w:val="7A199AD9"/>
    <w:rsid w:val="7A1A0121"/>
    <w:rsid w:val="7A1C85AE"/>
    <w:rsid w:val="7A1D6A62"/>
    <w:rsid w:val="7A1EEC92"/>
    <w:rsid w:val="7A1F04D3"/>
    <w:rsid w:val="7A2318F0"/>
    <w:rsid w:val="7A24ACEF"/>
    <w:rsid w:val="7A25566F"/>
    <w:rsid w:val="7A294A98"/>
    <w:rsid w:val="7A29D2E5"/>
    <w:rsid w:val="7A2AC5C5"/>
    <w:rsid w:val="7A2C219F"/>
    <w:rsid w:val="7A2D1973"/>
    <w:rsid w:val="7A2FEE92"/>
    <w:rsid w:val="7A320A14"/>
    <w:rsid w:val="7A3344A0"/>
    <w:rsid w:val="7A3390F5"/>
    <w:rsid w:val="7A339B1F"/>
    <w:rsid w:val="7A342000"/>
    <w:rsid w:val="7A346DAC"/>
    <w:rsid w:val="7A3731D8"/>
    <w:rsid w:val="7A376244"/>
    <w:rsid w:val="7A388857"/>
    <w:rsid w:val="7A38B3D6"/>
    <w:rsid w:val="7A39A135"/>
    <w:rsid w:val="7A3C29B5"/>
    <w:rsid w:val="7A3CC9BA"/>
    <w:rsid w:val="7A3D5AFE"/>
    <w:rsid w:val="7A3DA635"/>
    <w:rsid w:val="7A3E621B"/>
    <w:rsid w:val="7A42C442"/>
    <w:rsid w:val="7A42D13E"/>
    <w:rsid w:val="7A4332E9"/>
    <w:rsid w:val="7A4385E5"/>
    <w:rsid w:val="7A454624"/>
    <w:rsid w:val="7A460C60"/>
    <w:rsid w:val="7A46C059"/>
    <w:rsid w:val="7A47136A"/>
    <w:rsid w:val="7A480E82"/>
    <w:rsid w:val="7A486EDD"/>
    <w:rsid w:val="7A488B4E"/>
    <w:rsid w:val="7A4A4436"/>
    <w:rsid w:val="7A4D071F"/>
    <w:rsid w:val="7A4E9F7B"/>
    <w:rsid w:val="7A4FA224"/>
    <w:rsid w:val="7A514C03"/>
    <w:rsid w:val="7A51CDC9"/>
    <w:rsid w:val="7A5257DE"/>
    <w:rsid w:val="7A52DFC8"/>
    <w:rsid w:val="7A53B1B0"/>
    <w:rsid w:val="7A53D5C0"/>
    <w:rsid w:val="7A58DE0E"/>
    <w:rsid w:val="7A59174C"/>
    <w:rsid w:val="7A5A6D13"/>
    <w:rsid w:val="7A5DF88D"/>
    <w:rsid w:val="7A6300EE"/>
    <w:rsid w:val="7A6307D5"/>
    <w:rsid w:val="7A63C8B8"/>
    <w:rsid w:val="7A64253E"/>
    <w:rsid w:val="7A64F1D8"/>
    <w:rsid w:val="7A67646C"/>
    <w:rsid w:val="7A67B14B"/>
    <w:rsid w:val="7A686C32"/>
    <w:rsid w:val="7A68F2CF"/>
    <w:rsid w:val="7A693543"/>
    <w:rsid w:val="7A6B4EBC"/>
    <w:rsid w:val="7A6BF73A"/>
    <w:rsid w:val="7A6CBBE1"/>
    <w:rsid w:val="7A6DEC18"/>
    <w:rsid w:val="7A6E9100"/>
    <w:rsid w:val="7A6F8A45"/>
    <w:rsid w:val="7A6FEBF4"/>
    <w:rsid w:val="7A74E215"/>
    <w:rsid w:val="7A759044"/>
    <w:rsid w:val="7A7B303A"/>
    <w:rsid w:val="7A7BA393"/>
    <w:rsid w:val="7A7D7748"/>
    <w:rsid w:val="7A7F5A9D"/>
    <w:rsid w:val="7A809649"/>
    <w:rsid w:val="7A80A7DB"/>
    <w:rsid w:val="7A82AFCB"/>
    <w:rsid w:val="7A84FF60"/>
    <w:rsid w:val="7A863120"/>
    <w:rsid w:val="7A864926"/>
    <w:rsid w:val="7A873A69"/>
    <w:rsid w:val="7A87CCF9"/>
    <w:rsid w:val="7A885D37"/>
    <w:rsid w:val="7A892B40"/>
    <w:rsid w:val="7A898BFF"/>
    <w:rsid w:val="7A8A3329"/>
    <w:rsid w:val="7A8A4C87"/>
    <w:rsid w:val="7A8AD36B"/>
    <w:rsid w:val="7A8D1D2A"/>
    <w:rsid w:val="7A8D9EDB"/>
    <w:rsid w:val="7A913C26"/>
    <w:rsid w:val="7A94066D"/>
    <w:rsid w:val="7A94A97D"/>
    <w:rsid w:val="7A9531C4"/>
    <w:rsid w:val="7A96EA2A"/>
    <w:rsid w:val="7A993587"/>
    <w:rsid w:val="7A9AE00C"/>
    <w:rsid w:val="7A9B14BF"/>
    <w:rsid w:val="7A9DC9CC"/>
    <w:rsid w:val="7A9E5DB3"/>
    <w:rsid w:val="7A9E7301"/>
    <w:rsid w:val="7A9F4EF6"/>
    <w:rsid w:val="7A9FF503"/>
    <w:rsid w:val="7AA09F43"/>
    <w:rsid w:val="7AA0CFAD"/>
    <w:rsid w:val="7AA1C06C"/>
    <w:rsid w:val="7AA2B182"/>
    <w:rsid w:val="7AA6EE28"/>
    <w:rsid w:val="7AA8F275"/>
    <w:rsid w:val="7AAC5F69"/>
    <w:rsid w:val="7AAF2EDA"/>
    <w:rsid w:val="7AAF7885"/>
    <w:rsid w:val="7AAFC852"/>
    <w:rsid w:val="7AB0D495"/>
    <w:rsid w:val="7AB38CD9"/>
    <w:rsid w:val="7AB64608"/>
    <w:rsid w:val="7AB9A62B"/>
    <w:rsid w:val="7ABA2D47"/>
    <w:rsid w:val="7ABA373D"/>
    <w:rsid w:val="7ABA388F"/>
    <w:rsid w:val="7ABF7C2B"/>
    <w:rsid w:val="7AC026C2"/>
    <w:rsid w:val="7AC21E89"/>
    <w:rsid w:val="7AC2530D"/>
    <w:rsid w:val="7AC27388"/>
    <w:rsid w:val="7AC2E97F"/>
    <w:rsid w:val="7AC32FD4"/>
    <w:rsid w:val="7AC35D7F"/>
    <w:rsid w:val="7AC51201"/>
    <w:rsid w:val="7AC618A3"/>
    <w:rsid w:val="7AC71608"/>
    <w:rsid w:val="7AC73495"/>
    <w:rsid w:val="7AC99E91"/>
    <w:rsid w:val="7ACB0CA3"/>
    <w:rsid w:val="7ACCE73F"/>
    <w:rsid w:val="7ACD98AD"/>
    <w:rsid w:val="7ACDFDC6"/>
    <w:rsid w:val="7ACEE180"/>
    <w:rsid w:val="7AD35CB7"/>
    <w:rsid w:val="7AD47561"/>
    <w:rsid w:val="7AD7A1F6"/>
    <w:rsid w:val="7AD7A7D6"/>
    <w:rsid w:val="7AD8CD2E"/>
    <w:rsid w:val="7AD9A6A5"/>
    <w:rsid w:val="7ADA4EBC"/>
    <w:rsid w:val="7ADAD213"/>
    <w:rsid w:val="7ADC0EF3"/>
    <w:rsid w:val="7ADCA0F2"/>
    <w:rsid w:val="7ADD5EFD"/>
    <w:rsid w:val="7ADFC051"/>
    <w:rsid w:val="7AE2E6F8"/>
    <w:rsid w:val="7AE32952"/>
    <w:rsid w:val="7AE864B2"/>
    <w:rsid w:val="7AEB37EF"/>
    <w:rsid w:val="7AEBFA58"/>
    <w:rsid w:val="7AEC4FAD"/>
    <w:rsid w:val="7AED0687"/>
    <w:rsid w:val="7AED3642"/>
    <w:rsid w:val="7AEF7849"/>
    <w:rsid w:val="7AEFA18D"/>
    <w:rsid w:val="7AF06D9D"/>
    <w:rsid w:val="7AF1269E"/>
    <w:rsid w:val="7AF276EC"/>
    <w:rsid w:val="7AF33B30"/>
    <w:rsid w:val="7AF5FB0F"/>
    <w:rsid w:val="7AF7513F"/>
    <w:rsid w:val="7AF7F433"/>
    <w:rsid w:val="7AF92352"/>
    <w:rsid w:val="7AFA2CE3"/>
    <w:rsid w:val="7AFAA7BA"/>
    <w:rsid w:val="7AFEA8C6"/>
    <w:rsid w:val="7AFEA9E2"/>
    <w:rsid w:val="7AFEDF80"/>
    <w:rsid w:val="7AFF9B67"/>
    <w:rsid w:val="7B040D0D"/>
    <w:rsid w:val="7B0495B9"/>
    <w:rsid w:val="7B050588"/>
    <w:rsid w:val="7B057454"/>
    <w:rsid w:val="7B079CD3"/>
    <w:rsid w:val="7B07B17C"/>
    <w:rsid w:val="7B087B62"/>
    <w:rsid w:val="7B089D24"/>
    <w:rsid w:val="7B0D6B67"/>
    <w:rsid w:val="7B0D9401"/>
    <w:rsid w:val="7B10373D"/>
    <w:rsid w:val="7B1268A8"/>
    <w:rsid w:val="7B13DC85"/>
    <w:rsid w:val="7B143110"/>
    <w:rsid w:val="7B16889B"/>
    <w:rsid w:val="7B1710E4"/>
    <w:rsid w:val="7B173C84"/>
    <w:rsid w:val="7B1804BA"/>
    <w:rsid w:val="7B18523B"/>
    <w:rsid w:val="7B1B2730"/>
    <w:rsid w:val="7B1D04C7"/>
    <w:rsid w:val="7B1D3787"/>
    <w:rsid w:val="7B1D7DEB"/>
    <w:rsid w:val="7B202CA8"/>
    <w:rsid w:val="7B2038C6"/>
    <w:rsid w:val="7B222004"/>
    <w:rsid w:val="7B225C65"/>
    <w:rsid w:val="7B22BBC3"/>
    <w:rsid w:val="7B232301"/>
    <w:rsid w:val="7B2340B8"/>
    <w:rsid w:val="7B246097"/>
    <w:rsid w:val="7B254183"/>
    <w:rsid w:val="7B254EA0"/>
    <w:rsid w:val="7B2726A1"/>
    <w:rsid w:val="7B2744D3"/>
    <w:rsid w:val="7B28C30C"/>
    <w:rsid w:val="7B29AEA7"/>
    <w:rsid w:val="7B2D257F"/>
    <w:rsid w:val="7B2D3325"/>
    <w:rsid w:val="7B2DA7CB"/>
    <w:rsid w:val="7B2DE400"/>
    <w:rsid w:val="7B3010FA"/>
    <w:rsid w:val="7B321CDE"/>
    <w:rsid w:val="7B323266"/>
    <w:rsid w:val="7B32A565"/>
    <w:rsid w:val="7B341C39"/>
    <w:rsid w:val="7B367087"/>
    <w:rsid w:val="7B38D649"/>
    <w:rsid w:val="7B3A87B6"/>
    <w:rsid w:val="7B3CF0DB"/>
    <w:rsid w:val="7B3D854C"/>
    <w:rsid w:val="7B3DE8AA"/>
    <w:rsid w:val="7B3F8CAC"/>
    <w:rsid w:val="7B420A59"/>
    <w:rsid w:val="7B42A8AE"/>
    <w:rsid w:val="7B452FA0"/>
    <w:rsid w:val="7B4560FA"/>
    <w:rsid w:val="7B460FBE"/>
    <w:rsid w:val="7B48797D"/>
    <w:rsid w:val="7B4944D8"/>
    <w:rsid w:val="7B4BFA99"/>
    <w:rsid w:val="7B4C9281"/>
    <w:rsid w:val="7B4D301A"/>
    <w:rsid w:val="7B4D41E9"/>
    <w:rsid w:val="7B4FC428"/>
    <w:rsid w:val="7B4FF792"/>
    <w:rsid w:val="7B520840"/>
    <w:rsid w:val="7B523AB2"/>
    <w:rsid w:val="7B53E28E"/>
    <w:rsid w:val="7B54E05A"/>
    <w:rsid w:val="7B5822A7"/>
    <w:rsid w:val="7B58587D"/>
    <w:rsid w:val="7B588DFF"/>
    <w:rsid w:val="7B5AAD81"/>
    <w:rsid w:val="7B684D4E"/>
    <w:rsid w:val="7B69FB6A"/>
    <w:rsid w:val="7B6A1B32"/>
    <w:rsid w:val="7B6A3E85"/>
    <w:rsid w:val="7B6D1BEE"/>
    <w:rsid w:val="7B6D7D4D"/>
    <w:rsid w:val="7B705CE8"/>
    <w:rsid w:val="7B7073C0"/>
    <w:rsid w:val="7B71A879"/>
    <w:rsid w:val="7B743C62"/>
    <w:rsid w:val="7B75C250"/>
    <w:rsid w:val="7B762EF9"/>
    <w:rsid w:val="7B77A0C4"/>
    <w:rsid w:val="7B7912F1"/>
    <w:rsid w:val="7B79FF7F"/>
    <w:rsid w:val="7B7D18EA"/>
    <w:rsid w:val="7B80DC61"/>
    <w:rsid w:val="7B80DE87"/>
    <w:rsid w:val="7B80F29D"/>
    <w:rsid w:val="7B845181"/>
    <w:rsid w:val="7B8533C5"/>
    <w:rsid w:val="7B87D657"/>
    <w:rsid w:val="7B88A6FA"/>
    <w:rsid w:val="7B890F45"/>
    <w:rsid w:val="7B8A004F"/>
    <w:rsid w:val="7B8F26D9"/>
    <w:rsid w:val="7B905790"/>
    <w:rsid w:val="7B9271C9"/>
    <w:rsid w:val="7B9513FB"/>
    <w:rsid w:val="7B95D5DE"/>
    <w:rsid w:val="7B96FB2E"/>
    <w:rsid w:val="7B9C0FED"/>
    <w:rsid w:val="7B9F8F2F"/>
    <w:rsid w:val="7BA02E57"/>
    <w:rsid w:val="7BA289D7"/>
    <w:rsid w:val="7BA34162"/>
    <w:rsid w:val="7BA646BD"/>
    <w:rsid w:val="7BA7370B"/>
    <w:rsid w:val="7BAA051D"/>
    <w:rsid w:val="7BAA6B56"/>
    <w:rsid w:val="7BAA7CE7"/>
    <w:rsid w:val="7BB044F6"/>
    <w:rsid w:val="7BB498B1"/>
    <w:rsid w:val="7BB49C37"/>
    <w:rsid w:val="7BB5F31B"/>
    <w:rsid w:val="7BB5FC0C"/>
    <w:rsid w:val="7BB7AC2B"/>
    <w:rsid w:val="7BB7CCF3"/>
    <w:rsid w:val="7BB84063"/>
    <w:rsid w:val="7BB8C281"/>
    <w:rsid w:val="7BB9BA81"/>
    <w:rsid w:val="7BBA7F62"/>
    <w:rsid w:val="7BBC3C07"/>
    <w:rsid w:val="7BBDFC11"/>
    <w:rsid w:val="7BBF2DC6"/>
    <w:rsid w:val="7BBF5DEF"/>
    <w:rsid w:val="7BC1B112"/>
    <w:rsid w:val="7BC1DDD7"/>
    <w:rsid w:val="7BC21A31"/>
    <w:rsid w:val="7BC46CEE"/>
    <w:rsid w:val="7BC5C265"/>
    <w:rsid w:val="7BC61ED1"/>
    <w:rsid w:val="7BC7520E"/>
    <w:rsid w:val="7BC902D3"/>
    <w:rsid w:val="7BC94E1D"/>
    <w:rsid w:val="7BCC21B5"/>
    <w:rsid w:val="7BCE55F0"/>
    <w:rsid w:val="7BD16651"/>
    <w:rsid w:val="7BD185BD"/>
    <w:rsid w:val="7BD486B6"/>
    <w:rsid w:val="7BD62CF0"/>
    <w:rsid w:val="7BDBC953"/>
    <w:rsid w:val="7BDBE58D"/>
    <w:rsid w:val="7BDC47B2"/>
    <w:rsid w:val="7BDE54D8"/>
    <w:rsid w:val="7BDF86D2"/>
    <w:rsid w:val="7BE0D8D0"/>
    <w:rsid w:val="7BE6FC78"/>
    <w:rsid w:val="7BE7DFEF"/>
    <w:rsid w:val="7BEE440D"/>
    <w:rsid w:val="7BEE53B3"/>
    <w:rsid w:val="7BEF5BCB"/>
    <w:rsid w:val="7BF2C1DE"/>
    <w:rsid w:val="7BF4CEEE"/>
    <w:rsid w:val="7BF4E374"/>
    <w:rsid w:val="7BFB4483"/>
    <w:rsid w:val="7BFBE0EA"/>
    <w:rsid w:val="7BFD2560"/>
    <w:rsid w:val="7BFEACB4"/>
    <w:rsid w:val="7BFF055C"/>
    <w:rsid w:val="7C00B270"/>
    <w:rsid w:val="7C00C1FF"/>
    <w:rsid w:val="7C010D0C"/>
    <w:rsid w:val="7C02D807"/>
    <w:rsid w:val="7C04675D"/>
    <w:rsid w:val="7C055C4E"/>
    <w:rsid w:val="7C070247"/>
    <w:rsid w:val="7C077FC5"/>
    <w:rsid w:val="7C078235"/>
    <w:rsid w:val="7C07C0B8"/>
    <w:rsid w:val="7C0A4E4C"/>
    <w:rsid w:val="7C0A7379"/>
    <w:rsid w:val="7C0B326D"/>
    <w:rsid w:val="7C0C8617"/>
    <w:rsid w:val="7C0E3FE8"/>
    <w:rsid w:val="7C0E7DDE"/>
    <w:rsid w:val="7C0F0DC5"/>
    <w:rsid w:val="7C0F5FB4"/>
    <w:rsid w:val="7C0FD937"/>
    <w:rsid w:val="7C10587A"/>
    <w:rsid w:val="7C118A13"/>
    <w:rsid w:val="7C11A9B4"/>
    <w:rsid w:val="7C1263B2"/>
    <w:rsid w:val="7C19C8BA"/>
    <w:rsid w:val="7C1A0D92"/>
    <w:rsid w:val="7C1ABC42"/>
    <w:rsid w:val="7C1B56CE"/>
    <w:rsid w:val="7C1BB406"/>
    <w:rsid w:val="7C1BD552"/>
    <w:rsid w:val="7C1E67B1"/>
    <w:rsid w:val="7C203C05"/>
    <w:rsid w:val="7C223AF1"/>
    <w:rsid w:val="7C2379F7"/>
    <w:rsid w:val="7C252919"/>
    <w:rsid w:val="7C2AA8E9"/>
    <w:rsid w:val="7C2CE480"/>
    <w:rsid w:val="7C2E31F9"/>
    <w:rsid w:val="7C2EC167"/>
    <w:rsid w:val="7C2F7855"/>
    <w:rsid w:val="7C2FEFAF"/>
    <w:rsid w:val="7C2FF296"/>
    <w:rsid w:val="7C351449"/>
    <w:rsid w:val="7C377685"/>
    <w:rsid w:val="7C377D50"/>
    <w:rsid w:val="7C39B3BC"/>
    <w:rsid w:val="7C3EC945"/>
    <w:rsid w:val="7C4210FD"/>
    <w:rsid w:val="7C439DB5"/>
    <w:rsid w:val="7C4412B1"/>
    <w:rsid w:val="7C46547D"/>
    <w:rsid w:val="7C46E360"/>
    <w:rsid w:val="7C471EDA"/>
    <w:rsid w:val="7C47558E"/>
    <w:rsid w:val="7C475C03"/>
    <w:rsid w:val="7C48587E"/>
    <w:rsid w:val="7C4A1C58"/>
    <w:rsid w:val="7C4AD220"/>
    <w:rsid w:val="7C4E7A11"/>
    <w:rsid w:val="7C503586"/>
    <w:rsid w:val="7C50D79D"/>
    <w:rsid w:val="7C53198C"/>
    <w:rsid w:val="7C532C6F"/>
    <w:rsid w:val="7C571310"/>
    <w:rsid w:val="7C587E90"/>
    <w:rsid w:val="7C58E9D7"/>
    <w:rsid w:val="7C5B5256"/>
    <w:rsid w:val="7C5CA259"/>
    <w:rsid w:val="7C5F83C8"/>
    <w:rsid w:val="7C5FE1A4"/>
    <w:rsid w:val="7C6005CB"/>
    <w:rsid w:val="7C605D5C"/>
    <w:rsid w:val="7C60F9E3"/>
    <w:rsid w:val="7C65A198"/>
    <w:rsid w:val="7C677B33"/>
    <w:rsid w:val="7C6A397D"/>
    <w:rsid w:val="7C6AA930"/>
    <w:rsid w:val="7C6ADAA5"/>
    <w:rsid w:val="7C70084D"/>
    <w:rsid w:val="7C70346E"/>
    <w:rsid w:val="7C7258A7"/>
    <w:rsid w:val="7C72FC5B"/>
    <w:rsid w:val="7C739F36"/>
    <w:rsid w:val="7C73EDA7"/>
    <w:rsid w:val="7C73F9C5"/>
    <w:rsid w:val="7C742C2E"/>
    <w:rsid w:val="7C77C6FE"/>
    <w:rsid w:val="7C78330C"/>
    <w:rsid w:val="7C78E7D4"/>
    <w:rsid w:val="7C79786C"/>
    <w:rsid w:val="7C7C691D"/>
    <w:rsid w:val="7C7F2EF0"/>
    <w:rsid w:val="7C817A45"/>
    <w:rsid w:val="7C82A36A"/>
    <w:rsid w:val="7C83C90C"/>
    <w:rsid w:val="7C84787D"/>
    <w:rsid w:val="7C86CA6D"/>
    <w:rsid w:val="7C87DFBE"/>
    <w:rsid w:val="7C888E7A"/>
    <w:rsid w:val="7C89AE9F"/>
    <w:rsid w:val="7C8CB16D"/>
    <w:rsid w:val="7C8F3B24"/>
    <w:rsid w:val="7C926390"/>
    <w:rsid w:val="7C92D6E7"/>
    <w:rsid w:val="7C94DF35"/>
    <w:rsid w:val="7C95B241"/>
    <w:rsid w:val="7C963AA4"/>
    <w:rsid w:val="7C978174"/>
    <w:rsid w:val="7C9943BC"/>
    <w:rsid w:val="7C9B3191"/>
    <w:rsid w:val="7C9C235F"/>
    <w:rsid w:val="7C9D3DD3"/>
    <w:rsid w:val="7C9D7E94"/>
    <w:rsid w:val="7C9FA9AE"/>
    <w:rsid w:val="7C9FB4CF"/>
    <w:rsid w:val="7CA137BB"/>
    <w:rsid w:val="7CA2C4C9"/>
    <w:rsid w:val="7CA4980D"/>
    <w:rsid w:val="7CA5C449"/>
    <w:rsid w:val="7CA7F516"/>
    <w:rsid w:val="7CAA33C0"/>
    <w:rsid w:val="7CAAEF55"/>
    <w:rsid w:val="7CAAF6BA"/>
    <w:rsid w:val="7CAB4725"/>
    <w:rsid w:val="7CAFF3D1"/>
    <w:rsid w:val="7CB0C28B"/>
    <w:rsid w:val="7CB11DC0"/>
    <w:rsid w:val="7CB31670"/>
    <w:rsid w:val="7CB44516"/>
    <w:rsid w:val="7CB4AE68"/>
    <w:rsid w:val="7CB50BE7"/>
    <w:rsid w:val="7CB63802"/>
    <w:rsid w:val="7CB65CA7"/>
    <w:rsid w:val="7CB7A889"/>
    <w:rsid w:val="7CB9D814"/>
    <w:rsid w:val="7CBCEEBF"/>
    <w:rsid w:val="7CBD13D3"/>
    <w:rsid w:val="7CC228EA"/>
    <w:rsid w:val="7CC36FF7"/>
    <w:rsid w:val="7CC3CBB9"/>
    <w:rsid w:val="7CC62CCC"/>
    <w:rsid w:val="7CC7E6B6"/>
    <w:rsid w:val="7CC88984"/>
    <w:rsid w:val="7CCC94AE"/>
    <w:rsid w:val="7CCD5533"/>
    <w:rsid w:val="7CD04042"/>
    <w:rsid w:val="7CD45FE8"/>
    <w:rsid w:val="7CD4C8DF"/>
    <w:rsid w:val="7CD742A4"/>
    <w:rsid w:val="7CD7C364"/>
    <w:rsid w:val="7CD92016"/>
    <w:rsid w:val="7CDA2296"/>
    <w:rsid w:val="7CDC9D93"/>
    <w:rsid w:val="7CE1D69C"/>
    <w:rsid w:val="7CE6A1D8"/>
    <w:rsid w:val="7CE6C9C3"/>
    <w:rsid w:val="7CE7AFDC"/>
    <w:rsid w:val="7CEB5449"/>
    <w:rsid w:val="7CEB8152"/>
    <w:rsid w:val="7CED176C"/>
    <w:rsid w:val="7CEE9055"/>
    <w:rsid w:val="7CEEDF70"/>
    <w:rsid w:val="7CEF85D8"/>
    <w:rsid w:val="7CF29E87"/>
    <w:rsid w:val="7CF2D2A4"/>
    <w:rsid w:val="7CF3C81F"/>
    <w:rsid w:val="7CF48DEF"/>
    <w:rsid w:val="7CF5712B"/>
    <w:rsid w:val="7CF91C7E"/>
    <w:rsid w:val="7CFAEBE0"/>
    <w:rsid w:val="7CFC325D"/>
    <w:rsid w:val="7CFC9617"/>
    <w:rsid w:val="7CFD2C3E"/>
    <w:rsid w:val="7D00E54F"/>
    <w:rsid w:val="7D01F18B"/>
    <w:rsid w:val="7D044F27"/>
    <w:rsid w:val="7D049DEA"/>
    <w:rsid w:val="7D0889CD"/>
    <w:rsid w:val="7D095BD9"/>
    <w:rsid w:val="7D0A703F"/>
    <w:rsid w:val="7D0D451E"/>
    <w:rsid w:val="7D0DADD1"/>
    <w:rsid w:val="7D0E78BC"/>
    <w:rsid w:val="7D0F47C7"/>
    <w:rsid w:val="7D0F5BDD"/>
    <w:rsid w:val="7D1286EF"/>
    <w:rsid w:val="7D14F815"/>
    <w:rsid w:val="7D16AD20"/>
    <w:rsid w:val="7D172D4D"/>
    <w:rsid w:val="7D198E07"/>
    <w:rsid w:val="7D1A49A7"/>
    <w:rsid w:val="7D1A6177"/>
    <w:rsid w:val="7D1CA4D7"/>
    <w:rsid w:val="7D1D6905"/>
    <w:rsid w:val="7D1E9851"/>
    <w:rsid w:val="7D1ED35E"/>
    <w:rsid w:val="7D20FC3F"/>
    <w:rsid w:val="7D21B07D"/>
    <w:rsid w:val="7D22C7B1"/>
    <w:rsid w:val="7D244D35"/>
    <w:rsid w:val="7D26DC4C"/>
    <w:rsid w:val="7D282330"/>
    <w:rsid w:val="7D29679C"/>
    <w:rsid w:val="7D2ADC4E"/>
    <w:rsid w:val="7D2AE496"/>
    <w:rsid w:val="7D2C6AE8"/>
    <w:rsid w:val="7D2EAD73"/>
    <w:rsid w:val="7D30D5F7"/>
    <w:rsid w:val="7D338194"/>
    <w:rsid w:val="7D338461"/>
    <w:rsid w:val="7D338FBF"/>
    <w:rsid w:val="7D3A2276"/>
    <w:rsid w:val="7D3B0206"/>
    <w:rsid w:val="7D3D1D4F"/>
    <w:rsid w:val="7D3D7F4E"/>
    <w:rsid w:val="7D42DD96"/>
    <w:rsid w:val="7D463121"/>
    <w:rsid w:val="7D475FC3"/>
    <w:rsid w:val="7D4965FF"/>
    <w:rsid w:val="7D49F8D0"/>
    <w:rsid w:val="7D4AACEB"/>
    <w:rsid w:val="7D4D190E"/>
    <w:rsid w:val="7D4D4510"/>
    <w:rsid w:val="7D4F022D"/>
    <w:rsid w:val="7D4FBA58"/>
    <w:rsid w:val="7D55EDE4"/>
    <w:rsid w:val="7D568C4C"/>
    <w:rsid w:val="7D5A7A10"/>
    <w:rsid w:val="7D5BFDBF"/>
    <w:rsid w:val="7D5DA294"/>
    <w:rsid w:val="7D5E8790"/>
    <w:rsid w:val="7D623630"/>
    <w:rsid w:val="7D64F04D"/>
    <w:rsid w:val="7D6797A7"/>
    <w:rsid w:val="7D67F669"/>
    <w:rsid w:val="7D68003D"/>
    <w:rsid w:val="7D69E037"/>
    <w:rsid w:val="7D6B21BC"/>
    <w:rsid w:val="7D6F7933"/>
    <w:rsid w:val="7D71AD4A"/>
    <w:rsid w:val="7D71F61D"/>
    <w:rsid w:val="7D74D9CD"/>
    <w:rsid w:val="7D772033"/>
    <w:rsid w:val="7D7A6540"/>
    <w:rsid w:val="7D7B2A66"/>
    <w:rsid w:val="7D7B625A"/>
    <w:rsid w:val="7D7EE49B"/>
    <w:rsid w:val="7D7FDDD3"/>
    <w:rsid w:val="7D808627"/>
    <w:rsid w:val="7D84E322"/>
    <w:rsid w:val="7D873B32"/>
    <w:rsid w:val="7D8893F7"/>
    <w:rsid w:val="7D88ECFB"/>
    <w:rsid w:val="7D8987F8"/>
    <w:rsid w:val="7D8E5024"/>
    <w:rsid w:val="7D8F737F"/>
    <w:rsid w:val="7D959891"/>
    <w:rsid w:val="7D965A86"/>
    <w:rsid w:val="7D96F2D5"/>
    <w:rsid w:val="7D976566"/>
    <w:rsid w:val="7D9857AE"/>
    <w:rsid w:val="7D986AA7"/>
    <w:rsid w:val="7D99E374"/>
    <w:rsid w:val="7D9CEB3B"/>
    <w:rsid w:val="7D9E4B9A"/>
    <w:rsid w:val="7D9FFCD8"/>
    <w:rsid w:val="7DA2EA9A"/>
    <w:rsid w:val="7DA4133E"/>
    <w:rsid w:val="7DA47814"/>
    <w:rsid w:val="7DA47C2A"/>
    <w:rsid w:val="7DA4C70C"/>
    <w:rsid w:val="7DA57409"/>
    <w:rsid w:val="7DA67324"/>
    <w:rsid w:val="7DA6AD91"/>
    <w:rsid w:val="7DA6EEFA"/>
    <w:rsid w:val="7DAAD932"/>
    <w:rsid w:val="7DAAF7D6"/>
    <w:rsid w:val="7DAB41D9"/>
    <w:rsid w:val="7DABBF34"/>
    <w:rsid w:val="7DAD247E"/>
    <w:rsid w:val="7DAF4644"/>
    <w:rsid w:val="7DAFB181"/>
    <w:rsid w:val="7DB07A50"/>
    <w:rsid w:val="7DB24575"/>
    <w:rsid w:val="7DB2853A"/>
    <w:rsid w:val="7DB4D986"/>
    <w:rsid w:val="7DB66CD0"/>
    <w:rsid w:val="7DB78617"/>
    <w:rsid w:val="7DB7A942"/>
    <w:rsid w:val="7DB89CDC"/>
    <w:rsid w:val="7DBC80D0"/>
    <w:rsid w:val="7DBDC240"/>
    <w:rsid w:val="7DC0237B"/>
    <w:rsid w:val="7DC05212"/>
    <w:rsid w:val="7DC1AE5C"/>
    <w:rsid w:val="7DC43235"/>
    <w:rsid w:val="7DC57A69"/>
    <w:rsid w:val="7DC6BAF6"/>
    <w:rsid w:val="7DC86C32"/>
    <w:rsid w:val="7DCA2B92"/>
    <w:rsid w:val="7DCB4B0E"/>
    <w:rsid w:val="7DCB7840"/>
    <w:rsid w:val="7DCC78A1"/>
    <w:rsid w:val="7DCDD5C4"/>
    <w:rsid w:val="7DCF7C99"/>
    <w:rsid w:val="7DD39ABD"/>
    <w:rsid w:val="7DD3F481"/>
    <w:rsid w:val="7DD4FB0D"/>
    <w:rsid w:val="7DD5791D"/>
    <w:rsid w:val="7DDA30A7"/>
    <w:rsid w:val="7DDDCC97"/>
    <w:rsid w:val="7DDE1A4B"/>
    <w:rsid w:val="7DDE60A1"/>
    <w:rsid w:val="7DDF5C97"/>
    <w:rsid w:val="7DDF8ACC"/>
    <w:rsid w:val="7DE1B7BA"/>
    <w:rsid w:val="7DE34C12"/>
    <w:rsid w:val="7DE3D0B3"/>
    <w:rsid w:val="7DE498D7"/>
    <w:rsid w:val="7DE642F6"/>
    <w:rsid w:val="7DE693AE"/>
    <w:rsid w:val="7DE7EEFE"/>
    <w:rsid w:val="7DE8D10B"/>
    <w:rsid w:val="7DE932BA"/>
    <w:rsid w:val="7DEC1BC1"/>
    <w:rsid w:val="7DED71DE"/>
    <w:rsid w:val="7DEEF763"/>
    <w:rsid w:val="7DEFB46B"/>
    <w:rsid w:val="7DF3F141"/>
    <w:rsid w:val="7DF83339"/>
    <w:rsid w:val="7DF843BE"/>
    <w:rsid w:val="7DF86E93"/>
    <w:rsid w:val="7DF87A1F"/>
    <w:rsid w:val="7DF9C955"/>
    <w:rsid w:val="7DFAB1F7"/>
    <w:rsid w:val="7DFF358C"/>
    <w:rsid w:val="7E03EEA3"/>
    <w:rsid w:val="7E04DE54"/>
    <w:rsid w:val="7E0B5D67"/>
    <w:rsid w:val="7E0BD774"/>
    <w:rsid w:val="7E0E2F4C"/>
    <w:rsid w:val="7E0EBD21"/>
    <w:rsid w:val="7E0F16D3"/>
    <w:rsid w:val="7E10DD94"/>
    <w:rsid w:val="7E11E25D"/>
    <w:rsid w:val="7E153E4D"/>
    <w:rsid w:val="7E163038"/>
    <w:rsid w:val="7E16FA06"/>
    <w:rsid w:val="7E1E726E"/>
    <w:rsid w:val="7E209789"/>
    <w:rsid w:val="7E20C1CC"/>
    <w:rsid w:val="7E215CB0"/>
    <w:rsid w:val="7E21E93B"/>
    <w:rsid w:val="7E24C7CA"/>
    <w:rsid w:val="7E24D5C7"/>
    <w:rsid w:val="7E269E5C"/>
    <w:rsid w:val="7E281BB4"/>
    <w:rsid w:val="7E293241"/>
    <w:rsid w:val="7E293CCD"/>
    <w:rsid w:val="7E2EF893"/>
    <w:rsid w:val="7E2FB1CF"/>
    <w:rsid w:val="7E328882"/>
    <w:rsid w:val="7E33331D"/>
    <w:rsid w:val="7E33DDD3"/>
    <w:rsid w:val="7E342959"/>
    <w:rsid w:val="7E358FF7"/>
    <w:rsid w:val="7E366D07"/>
    <w:rsid w:val="7E3EF511"/>
    <w:rsid w:val="7E4173B2"/>
    <w:rsid w:val="7E45641F"/>
    <w:rsid w:val="7E45F260"/>
    <w:rsid w:val="7E47580D"/>
    <w:rsid w:val="7E47A1AA"/>
    <w:rsid w:val="7E486715"/>
    <w:rsid w:val="7E4BC4A6"/>
    <w:rsid w:val="7E4C12EF"/>
    <w:rsid w:val="7E4C5EE8"/>
    <w:rsid w:val="7E4CE520"/>
    <w:rsid w:val="7E4E0A91"/>
    <w:rsid w:val="7E50704F"/>
    <w:rsid w:val="7E507946"/>
    <w:rsid w:val="7E50832B"/>
    <w:rsid w:val="7E50A067"/>
    <w:rsid w:val="7E533FB5"/>
    <w:rsid w:val="7E53F048"/>
    <w:rsid w:val="7E55F355"/>
    <w:rsid w:val="7E58432B"/>
    <w:rsid w:val="7E58D201"/>
    <w:rsid w:val="7E5C0481"/>
    <w:rsid w:val="7E5EC5B9"/>
    <w:rsid w:val="7E5EDDF8"/>
    <w:rsid w:val="7E60C84B"/>
    <w:rsid w:val="7E612A0E"/>
    <w:rsid w:val="7E631695"/>
    <w:rsid w:val="7E653C81"/>
    <w:rsid w:val="7E6573E4"/>
    <w:rsid w:val="7E671F8D"/>
    <w:rsid w:val="7E681BB9"/>
    <w:rsid w:val="7E69036E"/>
    <w:rsid w:val="7E69885E"/>
    <w:rsid w:val="7E69A750"/>
    <w:rsid w:val="7E6A1E1F"/>
    <w:rsid w:val="7E6A5F04"/>
    <w:rsid w:val="7E6AD172"/>
    <w:rsid w:val="7E6B55E7"/>
    <w:rsid w:val="7E6C3724"/>
    <w:rsid w:val="7E6C51F6"/>
    <w:rsid w:val="7E6CAD87"/>
    <w:rsid w:val="7E6CECB1"/>
    <w:rsid w:val="7E71F070"/>
    <w:rsid w:val="7E77D089"/>
    <w:rsid w:val="7E78A5AC"/>
    <w:rsid w:val="7E798FAA"/>
    <w:rsid w:val="7E7B93EA"/>
    <w:rsid w:val="7E81C12E"/>
    <w:rsid w:val="7E824614"/>
    <w:rsid w:val="7E830B63"/>
    <w:rsid w:val="7E835A59"/>
    <w:rsid w:val="7E8541C3"/>
    <w:rsid w:val="7E860B03"/>
    <w:rsid w:val="7E864339"/>
    <w:rsid w:val="7E866E08"/>
    <w:rsid w:val="7E88EE38"/>
    <w:rsid w:val="7E8AE229"/>
    <w:rsid w:val="7E8D1441"/>
    <w:rsid w:val="7E8E033B"/>
    <w:rsid w:val="7E8EEE5C"/>
    <w:rsid w:val="7E93414C"/>
    <w:rsid w:val="7E955BA9"/>
    <w:rsid w:val="7E9626D5"/>
    <w:rsid w:val="7E96BDB2"/>
    <w:rsid w:val="7E96CCF6"/>
    <w:rsid w:val="7E976326"/>
    <w:rsid w:val="7E9939C4"/>
    <w:rsid w:val="7E9B9ACB"/>
    <w:rsid w:val="7E9CB9C3"/>
    <w:rsid w:val="7E9F0C58"/>
    <w:rsid w:val="7EA07E27"/>
    <w:rsid w:val="7EA0D6E9"/>
    <w:rsid w:val="7EA11993"/>
    <w:rsid w:val="7EA549C3"/>
    <w:rsid w:val="7EA82FBA"/>
    <w:rsid w:val="7EAA2089"/>
    <w:rsid w:val="7EAABBCB"/>
    <w:rsid w:val="7EAB02D1"/>
    <w:rsid w:val="7EAB45B8"/>
    <w:rsid w:val="7EADFE08"/>
    <w:rsid w:val="7EB06A15"/>
    <w:rsid w:val="7EB0734D"/>
    <w:rsid w:val="7EB09226"/>
    <w:rsid w:val="7EB359AD"/>
    <w:rsid w:val="7EB3D8C4"/>
    <w:rsid w:val="7EB4E289"/>
    <w:rsid w:val="7EB66AD3"/>
    <w:rsid w:val="7EB69FA3"/>
    <w:rsid w:val="7EBAA920"/>
    <w:rsid w:val="7EBB20E6"/>
    <w:rsid w:val="7EBF24F9"/>
    <w:rsid w:val="7EBF3EB2"/>
    <w:rsid w:val="7EBF4338"/>
    <w:rsid w:val="7EBF8132"/>
    <w:rsid w:val="7EC054A4"/>
    <w:rsid w:val="7EC149DC"/>
    <w:rsid w:val="7EC2AB3C"/>
    <w:rsid w:val="7EC63C7B"/>
    <w:rsid w:val="7ECB3DA5"/>
    <w:rsid w:val="7ECC91A1"/>
    <w:rsid w:val="7ECDF9BE"/>
    <w:rsid w:val="7ECDFF43"/>
    <w:rsid w:val="7ECE733A"/>
    <w:rsid w:val="7ED0E411"/>
    <w:rsid w:val="7ED2375A"/>
    <w:rsid w:val="7ED38666"/>
    <w:rsid w:val="7ED43EB7"/>
    <w:rsid w:val="7ED474AD"/>
    <w:rsid w:val="7ED89737"/>
    <w:rsid w:val="7ED8B540"/>
    <w:rsid w:val="7EDB063F"/>
    <w:rsid w:val="7EDDE540"/>
    <w:rsid w:val="7EDE8362"/>
    <w:rsid w:val="7EDFC94C"/>
    <w:rsid w:val="7EE1A907"/>
    <w:rsid w:val="7EE4F14E"/>
    <w:rsid w:val="7EE6AEBD"/>
    <w:rsid w:val="7EE86659"/>
    <w:rsid w:val="7EEA36DE"/>
    <w:rsid w:val="7EEB6E2E"/>
    <w:rsid w:val="7EEE3D25"/>
    <w:rsid w:val="7EEF0D26"/>
    <w:rsid w:val="7EEFFB26"/>
    <w:rsid w:val="7EF2655E"/>
    <w:rsid w:val="7EF2CA16"/>
    <w:rsid w:val="7EF2CFF2"/>
    <w:rsid w:val="7EF5371B"/>
    <w:rsid w:val="7EF5C779"/>
    <w:rsid w:val="7EF7146A"/>
    <w:rsid w:val="7EF88392"/>
    <w:rsid w:val="7EF99D4A"/>
    <w:rsid w:val="7EFA2204"/>
    <w:rsid w:val="7EFB4D9F"/>
    <w:rsid w:val="7EFB73B1"/>
    <w:rsid w:val="7EFE1726"/>
    <w:rsid w:val="7F0091F0"/>
    <w:rsid w:val="7F00D657"/>
    <w:rsid w:val="7F017A7D"/>
    <w:rsid w:val="7F028D08"/>
    <w:rsid w:val="7F03134E"/>
    <w:rsid w:val="7F0363EA"/>
    <w:rsid w:val="7F05D5B8"/>
    <w:rsid w:val="7F06E7D3"/>
    <w:rsid w:val="7F0D9955"/>
    <w:rsid w:val="7F0DE9F0"/>
    <w:rsid w:val="7F0F2F82"/>
    <w:rsid w:val="7F0F6F9C"/>
    <w:rsid w:val="7F0FB0C6"/>
    <w:rsid w:val="7F0FDC76"/>
    <w:rsid w:val="7F0FF02A"/>
    <w:rsid w:val="7F131AB2"/>
    <w:rsid w:val="7F133192"/>
    <w:rsid w:val="7F14313C"/>
    <w:rsid w:val="7F1593C4"/>
    <w:rsid w:val="7F16A04E"/>
    <w:rsid w:val="7F17B0C6"/>
    <w:rsid w:val="7F19D6D6"/>
    <w:rsid w:val="7F1DFC08"/>
    <w:rsid w:val="7F1F8D89"/>
    <w:rsid w:val="7F1FB514"/>
    <w:rsid w:val="7F20A730"/>
    <w:rsid w:val="7F24067A"/>
    <w:rsid w:val="7F25D0EF"/>
    <w:rsid w:val="7F29199F"/>
    <w:rsid w:val="7F29502A"/>
    <w:rsid w:val="7F2B1459"/>
    <w:rsid w:val="7F2C5713"/>
    <w:rsid w:val="7F301A42"/>
    <w:rsid w:val="7F30FA19"/>
    <w:rsid w:val="7F3728F7"/>
    <w:rsid w:val="7F381F47"/>
    <w:rsid w:val="7F38B73D"/>
    <w:rsid w:val="7F39F0D7"/>
    <w:rsid w:val="7F3A06AB"/>
    <w:rsid w:val="7F3AE84C"/>
    <w:rsid w:val="7F3DDF15"/>
    <w:rsid w:val="7F3E4E2D"/>
    <w:rsid w:val="7F3F3F8A"/>
    <w:rsid w:val="7F403CB8"/>
    <w:rsid w:val="7F413768"/>
    <w:rsid w:val="7F41E25D"/>
    <w:rsid w:val="7F42839C"/>
    <w:rsid w:val="7F4387C5"/>
    <w:rsid w:val="7F4408DB"/>
    <w:rsid w:val="7F44E52C"/>
    <w:rsid w:val="7F44F23F"/>
    <w:rsid w:val="7F466E06"/>
    <w:rsid w:val="7F46D607"/>
    <w:rsid w:val="7F488D82"/>
    <w:rsid w:val="7F49DD8F"/>
    <w:rsid w:val="7F49EEC9"/>
    <w:rsid w:val="7F4AAFB5"/>
    <w:rsid w:val="7F4BE42F"/>
    <w:rsid w:val="7F4C91FB"/>
    <w:rsid w:val="7F4D5ABE"/>
    <w:rsid w:val="7F4D66D9"/>
    <w:rsid w:val="7F4E6FA0"/>
    <w:rsid w:val="7F4FBFE1"/>
    <w:rsid w:val="7F52689C"/>
    <w:rsid w:val="7F528595"/>
    <w:rsid w:val="7F54C9B0"/>
    <w:rsid w:val="7F55D15A"/>
    <w:rsid w:val="7F57B096"/>
    <w:rsid w:val="7F586535"/>
    <w:rsid w:val="7F5981A3"/>
    <w:rsid w:val="7F5B1520"/>
    <w:rsid w:val="7F5F8F69"/>
    <w:rsid w:val="7F60BAD4"/>
    <w:rsid w:val="7F621855"/>
    <w:rsid w:val="7F63B1E9"/>
    <w:rsid w:val="7F6665E6"/>
    <w:rsid w:val="7F668C5C"/>
    <w:rsid w:val="7F673131"/>
    <w:rsid w:val="7F6C02F0"/>
    <w:rsid w:val="7F6C7CCE"/>
    <w:rsid w:val="7F7090A1"/>
    <w:rsid w:val="7F72D29B"/>
    <w:rsid w:val="7F743E66"/>
    <w:rsid w:val="7F75A7F6"/>
    <w:rsid w:val="7F75DEFE"/>
    <w:rsid w:val="7F7722ED"/>
    <w:rsid w:val="7F795D06"/>
    <w:rsid w:val="7F7C3B43"/>
    <w:rsid w:val="7F7DBF92"/>
    <w:rsid w:val="7F80918A"/>
    <w:rsid w:val="7F82FDED"/>
    <w:rsid w:val="7F83EF63"/>
    <w:rsid w:val="7F84D9C5"/>
    <w:rsid w:val="7F8552AB"/>
    <w:rsid w:val="7F8B0C65"/>
    <w:rsid w:val="7F8DAA39"/>
    <w:rsid w:val="7F8DDF5C"/>
    <w:rsid w:val="7F907FC2"/>
    <w:rsid w:val="7F90DA87"/>
    <w:rsid w:val="7F920AC9"/>
    <w:rsid w:val="7F92B448"/>
    <w:rsid w:val="7F944A13"/>
    <w:rsid w:val="7F990C1B"/>
    <w:rsid w:val="7F9A0745"/>
    <w:rsid w:val="7F9A5A3F"/>
    <w:rsid w:val="7F9A9EC1"/>
    <w:rsid w:val="7F9B4DDC"/>
    <w:rsid w:val="7F9D51BA"/>
    <w:rsid w:val="7FA0FC82"/>
    <w:rsid w:val="7FA30C50"/>
    <w:rsid w:val="7FA4C52B"/>
    <w:rsid w:val="7FA5527C"/>
    <w:rsid w:val="7FA775EA"/>
    <w:rsid w:val="7FA8443B"/>
    <w:rsid w:val="7FA87778"/>
    <w:rsid w:val="7FADAB93"/>
    <w:rsid w:val="7FAF4BE5"/>
    <w:rsid w:val="7FB0ACD7"/>
    <w:rsid w:val="7FB12EF9"/>
    <w:rsid w:val="7FB22908"/>
    <w:rsid w:val="7FB29D55"/>
    <w:rsid w:val="7FB3DCD8"/>
    <w:rsid w:val="7FB49DCC"/>
    <w:rsid w:val="7FB9040E"/>
    <w:rsid w:val="7FB91C25"/>
    <w:rsid w:val="7FB93FC1"/>
    <w:rsid w:val="7FB9EAE4"/>
    <w:rsid w:val="7FBA0C49"/>
    <w:rsid w:val="7FBB8A53"/>
    <w:rsid w:val="7FBCA81C"/>
    <w:rsid w:val="7FBCF8B3"/>
    <w:rsid w:val="7FBD5B51"/>
    <w:rsid w:val="7FBE7403"/>
    <w:rsid w:val="7FC143D8"/>
    <w:rsid w:val="7FC35160"/>
    <w:rsid w:val="7FC463E5"/>
    <w:rsid w:val="7FC5E96E"/>
    <w:rsid w:val="7FC5FE08"/>
    <w:rsid w:val="7FC6DD44"/>
    <w:rsid w:val="7FC8B708"/>
    <w:rsid w:val="7FC918AB"/>
    <w:rsid w:val="7FC9AD73"/>
    <w:rsid w:val="7FC9D152"/>
    <w:rsid w:val="7FCE992B"/>
    <w:rsid w:val="7FCFE40E"/>
    <w:rsid w:val="7FCFF18E"/>
    <w:rsid w:val="7FD04365"/>
    <w:rsid w:val="7FD06056"/>
    <w:rsid w:val="7FD208D3"/>
    <w:rsid w:val="7FD32BF8"/>
    <w:rsid w:val="7FD40493"/>
    <w:rsid w:val="7FD5859E"/>
    <w:rsid w:val="7FD6508E"/>
    <w:rsid w:val="7FD76CAF"/>
    <w:rsid w:val="7FD899BC"/>
    <w:rsid w:val="7FD9628F"/>
    <w:rsid w:val="7FE01963"/>
    <w:rsid w:val="7FE0E304"/>
    <w:rsid w:val="7FE2594D"/>
    <w:rsid w:val="7FE8A2E1"/>
    <w:rsid w:val="7FEA158E"/>
    <w:rsid w:val="7FEA27EF"/>
    <w:rsid w:val="7FEBF3FF"/>
    <w:rsid w:val="7FF0BBD2"/>
    <w:rsid w:val="7FF0CB12"/>
    <w:rsid w:val="7FF1E233"/>
    <w:rsid w:val="7FF20FFC"/>
    <w:rsid w:val="7FF3DB5C"/>
    <w:rsid w:val="7FF3E8E5"/>
    <w:rsid w:val="7FF48D56"/>
    <w:rsid w:val="7FF52B97"/>
    <w:rsid w:val="7FF58206"/>
    <w:rsid w:val="7FF6760C"/>
    <w:rsid w:val="7FF7E0A9"/>
    <w:rsid w:val="7FFA4899"/>
    <w:rsid w:val="7FFE4D1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ACC1B"/>
  <w15:docId w15:val="{ABB693E8-B2ED-403D-B6F5-7A6A525B2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18864199"/>
    <w:pPr>
      <w:spacing w:after="240"/>
      <w:jc w:val="both"/>
    </w:pPr>
    <w:rPr>
      <w:rFonts w:ascii="Times New Roman" w:hAnsi="Times New Roman" w:cs="Times New Roman"/>
      <w:sz w:val="24"/>
      <w:szCs w:val="24"/>
    </w:rPr>
  </w:style>
  <w:style w:type="paragraph" w:styleId="Heading1">
    <w:name w:val="heading 1"/>
    <w:basedOn w:val="Normal"/>
    <w:next w:val="Text1"/>
    <w:link w:val="Heading1Char"/>
    <w:uiPriority w:val="9"/>
    <w:qFormat/>
    <w:rsid w:val="18864199"/>
    <w:pPr>
      <w:keepNext/>
      <w:numPr>
        <w:numId w:val="124"/>
      </w:numPr>
      <w:spacing w:before="240"/>
      <w:outlineLvl w:val="0"/>
    </w:pPr>
    <w:rPr>
      <w:rFonts w:eastAsia="Times New Roman"/>
      <w:b/>
      <w:bCs/>
      <w:smallCaps/>
      <w:lang w:val="en-IE"/>
    </w:rPr>
  </w:style>
  <w:style w:type="paragraph" w:styleId="Heading2">
    <w:name w:val="heading 2"/>
    <w:basedOn w:val="Normal"/>
    <w:next w:val="Text2"/>
    <w:link w:val="Heading2Char"/>
    <w:uiPriority w:val="9"/>
    <w:qFormat/>
    <w:rsid w:val="18864199"/>
    <w:pPr>
      <w:keepNext/>
      <w:keepLines/>
      <w:numPr>
        <w:ilvl w:val="1"/>
        <w:numId w:val="184"/>
      </w:numPr>
      <w:spacing w:before="160" w:after="80"/>
      <w:jc w:val="left"/>
      <w:outlineLvl w:val="1"/>
    </w:pPr>
    <w:rPr>
      <w:rFonts w:eastAsia="Times New Roman"/>
      <w:b/>
      <w:bCs/>
    </w:rPr>
  </w:style>
  <w:style w:type="paragraph" w:styleId="Heading3">
    <w:name w:val="heading 3"/>
    <w:basedOn w:val="Normal"/>
    <w:next w:val="Normal"/>
    <w:link w:val="Heading3Char"/>
    <w:uiPriority w:val="9"/>
    <w:qFormat/>
    <w:rsid w:val="18864199"/>
    <w:pPr>
      <w:keepNext/>
      <w:numPr>
        <w:ilvl w:val="2"/>
        <w:numId w:val="184"/>
      </w:numPr>
      <w:outlineLvl w:val="2"/>
    </w:pPr>
    <w:rPr>
      <w:rFonts w:eastAsia="Times New Roman"/>
      <w:i/>
      <w:iCs/>
    </w:rPr>
  </w:style>
  <w:style w:type="paragraph" w:styleId="Heading4">
    <w:name w:val="heading 4"/>
    <w:basedOn w:val="Normal"/>
    <w:next w:val="Normal"/>
    <w:link w:val="Heading4Char"/>
    <w:uiPriority w:val="9"/>
    <w:qFormat/>
    <w:rsid w:val="18864199"/>
    <w:pPr>
      <w:keepNext/>
      <w:numPr>
        <w:ilvl w:val="3"/>
        <w:numId w:val="77"/>
      </w:numPr>
      <w:outlineLvl w:val="3"/>
    </w:pPr>
    <w:rPr>
      <w:rFonts w:eastAsia="Times New Roman"/>
    </w:rPr>
  </w:style>
  <w:style w:type="paragraph" w:styleId="Heading5">
    <w:name w:val="heading 5"/>
    <w:basedOn w:val="Normal"/>
    <w:next w:val="Normal"/>
    <w:link w:val="Heading5Char"/>
    <w:uiPriority w:val="9"/>
    <w:unhideWhenUsed/>
    <w:qFormat/>
    <w:rsid w:val="0053316B"/>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18864199"/>
    <w:pPr>
      <w:keepNext/>
      <w:keepLines/>
      <w:spacing w:before="40" w:after="0"/>
      <w:ind w:left="284"/>
      <w:outlineLvl w:val="5"/>
    </w:pPr>
    <w:rPr>
      <w:rFonts w:asciiTheme="majorHAnsi" w:eastAsiaTheme="majorEastAsia" w:hAnsiTheme="majorHAnsi" w:cstheme="majorBidi"/>
      <w:color w:val="243F60"/>
      <w:sz w:val="22"/>
      <w:szCs w:val="22"/>
      <w:lang w:val="en-IE"/>
    </w:rPr>
  </w:style>
  <w:style w:type="paragraph" w:styleId="Heading8">
    <w:name w:val="heading 8"/>
    <w:basedOn w:val="Normal"/>
    <w:next w:val="Normal"/>
    <w:link w:val="Heading8Char"/>
    <w:uiPriority w:val="9"/>
    <w:unhideWhenUsed/>
    <w:qFormat/>
    <w:rsid w:val="18864199"/>
    <w:pPr>
      <w:keepNext/>
      <w:keepLines/>
      <w:spacing w:before="40" w:after="0"/>
      <w:ind w:left="284"/>
      <w:outlineLvl w:val="7"/>
    </w:pPr>
    <w:rPr>
      <w:rFonts w:asciiTheme="majorHAnsi" w:eastAsiaTheme="majorEastAsia" w:hAnsiTheme="majorHAnsi" w:cstheme="majorBidi"/>
      <w:color w:val="272727"/>
      <w:sz w:val="21"/>
      <w:szCs w:val="21"/>
      <w:lang w:val="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87E"/>
    <w:rPr>
      <w:rFonts w:ascii="Times New Roman" w:eastAsia="Times New Roman" w:hAnsi="Times New Roman" w:cs="Times New Roman"/>
      <w:b/>
      <w:bCs/>
      <w:smallCaps/>
      <w:sz w:val="24"/>
      <w:szCs w:val="24"/>
      <w:lang w:val="en-IE"/>
    </w:rPr>
  </w:style>
  <w:style w:type="character" w:customStyle="1" w:styleId="Heading2Char">
    <w:name w:val="Heading 2 Char"/>
    <w:basedOn w:val="DefaultParagraphFont"/>
    <w:link w:val="Heading2"/>
    <w:uiPriority w:val="9"/>
    <w:rsid w:val="006B087E"/>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D36F29"/>
    <w:rPr>
      <w:rFonts w:ascii="Times New Roman" w:eastAsia="Times New Roman" w:hAnsi="Times New Roman" w:cs="Times New Roman"/>
      <w:i/>
      <w:iCs/>
      <w:sz w:val="24"/>
      <w:szCs w:val="24"/>
    </w:rPr>
  </w:style>
  <w:style w:type="character" w:customStyle="1" w:styleId="Heading4Char">
    <w:name w:val="Heading 4 Char"/>
    <w:basedOn w:val="DefaultParagraphFont"/>
    <w:link w:val="Heading4"/>
    <w:uiPriority w:val="9"/>
    <w:rsid w:val="006B087E"/>
    <w:rPr>
      <w:rFonts w:ascii="Times New Roman" w:eastAsia="Times New Roman" w:hAnsi="Times New Roman" w:cs="Times New Roman"/>
      <w:sz w:val="24"/>
      <w:szCs w:val="24"/>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uiPriority w:val="1"/>
    <w:rsid w:val="006B087E"/>
    <w:pPr>
      <w:spacing w:after="0"/>
    </w:pPr>
  </w:style>
  <w:style w:type="paragraph" w:styleId="Header">
    <w:name w:val="header"/>
    <w:basedOn w:val="Normal"/>
    <w:link w:val="HeaderChar"/>
    <w:uiPriority w:val="99"/>
    <w:unhideWhenUsed/>
    <w:rsid w:val="006B087E"/>
    <w:pPr>
      <w:tabs>
        <w:tab w:val="center" w:pos="4535"/>
        <w:tab w:val="right" w:pos="9071"/>
      </w:tabs>
      <w:spacing w:after="120"/>
    </w:pPr>
  </w:style>
  <w:style w:type="character" w:customStyle="1" w:styleId="HeaderChar">
    <w:name w:val="Header Char"/>
    <w:basedOn w:val="DefaultParagraphFont"/>
    <w:link w:val="Header"/>
    <w:uiPriority w:val="99"/>
    <w:rsid w:val="006B087E"/>
    <w:rPr>
      <w:rFonts w:ascii="Times New Roman" w:hAnsi="Times New Roman" w:cs="Times New Roman"/>
      <w:sz w:val="24"/>
    </w:rPr>
  </w:style>
  <w:style w:type="paragraph" w:styleId="Footer">
    <w:name w:val="footer"/>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uiPriority w:val="1"/>
    <w:rsid w:val="18864199"/>
    <w:pPr>
      <w:ind w:left="482"/>
    </w:pPr>
    <w:rPr>
      <w:rFonts w:eastAsia="Times New Roman"/>
    </w:rPr>
  </w:style>
  <w:style w:type="paragraph" w:customStyle="1" w:styleId="Text2">
    <w:name w:val="Text 2"/>
    <w:basedOn w:val="Normal"/>
    <w:uiPriority w:val="1"/>
    <w:rsid w:val="18864199"/>
    <w:pPr>
      <w:tabs>
        <w:tab w:val="left" w:pos="2302"/>
      </w:tabs>
      <w:ind w:left="1202"/>
    </w:pPr>
    <w:rPr>
      <w:rFonts w:eastAsia="Times New Roman"/>
    </w:rPr>
  </w:style>
  <w:style w:type="paragraph" w:styleId="ListBullet">
    <w:name w:val="List Bullet"/>
    <w:basedOn w:val="Normal"/>
    <w:uiPriority w:val="1"/>
    <w:rsid w:val="18864199"/>
    <w:pPr>
      <w:numPr>
        <w:numId w:val="1"/>
      </w:numPr>
    </w:pPr>
    <w:rPr>
      <w:rFonts w:eastAsia="Times New Roman"/>
      <w:lang w:val="en-IE"/>
    </w:rPr>
  </w:style>
  <w:style w:type="paragraph" w:customStyle="1" w:styleId="ListDash1">
    <w:name w:val="List Dash 1"/>
    <w:basedOn w:val="Text1"/>
    <w:rsid w:val="006B087E"/>
    <w:pPr>
      <w:numPr>
        <w:numId w:val="2"/>
      </w:numPr>
    </w:pPr>
    <w:rPr>
      <w:lang w:val="en-IE"/>
    </w:rPr>
  </w:style>
  <w:style w:type="table" w:styleId="TableGrid">
    <w:name w:val="Table Grid"/>
    <w:aliases w:val="Document Table,CV1,Table_1,Deloitte,Table Format 1,HTG,TabelEcorys,Tabela Renova,Table Grid IDEA,Standard table format,TabelrasterTNO,Simple table,CV table,simple table,NEAbijlage Char,NEA4 Char,12u Char2,ADVICE 4 Char2,Kop 4 Char Char"/>
    <w:basedOn w:val="TableNormal"/>
    <w:uiPriority w:val="39"/>
    <w:rsid w:val="006B087E"/>
    <w:pPr>
      <w:spacing w:after="0" w:line="240" w:lineRule="auto"/>
    </w:pPr>
    <w:rPr>
      <w:rFonts w:ascii="Times New Roman" w:eastAsia="Times New Roman" w:hAnsi="Times New Roman" w:cs="Times New Roman"/>
      <w:sz w:val="20"/>
      <w:szCs w:val="20"/>
      <w:lang w:eastAsia="en-GB"/>
    </w:rPr>
    <w:tblPr>
      <w:tblInd w:w="0" w:type="nil"/>
      <w:tblCellMar>
        <w:left w:w="0" w:type="dxa"/>
        <w:right w:w="0" w:type="dxa"/>
      </w:tblCellMar>
    </w:tblPr>
  </w:style>
  <w:style w:type="paragraph" w:customStyle="1" w:styleId="AnnexTitle">
    <w:name w:val="Annex Title"/>
    <w:basedOn w:val="Heading1"/>
    <w:next w:val="Normal"/>
    <w:link w:val="AnnexTitleChar"/>
    <w:autoRedefine/>
    <w:qFormat/>
    <w:rsid w:val="00C22AB4"/>
    <w:pPr>
      <w:numPr>
        <w:numId w:val="0"/>
      </w:numPr>
      <w:spacing w:after="480"/>
      <w:jc w:val="center"/>
    </w:pPr>
    <w:rPr>
      <w:sz w:val="32"/>
    </w:rPr>
  </w:style>
  <w:style w:type="character" w:customStyle="1" w:styleId="AnnexTitleChar">
    <w:name w:val="Annex Title Char"/>
    <w:basedOn w:val="DefaultParagraphFont"/>
    <w:link w:val="AnnexTitle"/>
    <w:rsid w:val="00C22AB4"/>
    <w:rPr>
      <w:rFonts w:ascii="Times New Roman" w:eastAsia="Times New Roman" w:hAnsi="Times New Roman" w:cs="Times New Roman"/>
      <w:b/>
      <w:smallCaps/>
      <w:sz w:val="32"/>
      <w:szCs w:val="20"/>
    </w:rPr>
  </w:style>
  <w:style w:type="table" w:customStyle="1" w:styleId="CV11">
    <w:name w:val="CV11"/>
    <w:basedOn w:val="TableNormal"/>
    <w:next w:val="TableGrid"/>
    <w:uiPriority w:val="59"/>
    <w:rsid w:val="006B087E"/>
    <w:pPr>
      <w:spacing w:after="0" w:line="240" w:lineRule="auto"/>
    </w:pPr>
    <w:rPr>
      <w:rFonts w:ascii="Times New Roman" w:eastAsia="Times New Roman" w:hAnsi="Times New Roman" w:cs="Times New Roman"/>
      <w:sz w:val="20"/>
      <w:szCs w:val="20"/>
      <w:lang w:eastAsia="en-GB"/>
    </w:rPr>
    <w:tblPr>
      <w:tblInd w:w="0" w:type="nil"/>
      <w:tblCellMar>
        <w:left w:w="0" w:type="dxa"/>
        <w:right w:w="0" w:type="dxa"/>
      </w:tblCellMar>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Ind w:w="0" w:type="nil"/>
      <w:tblCellMar>
        <w:left w:w="0" w:type="dxa"/>
        <w:right w:w="0" w:type="dxa"/>
      </w:tblCellMar>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Ind w:w="0" w:type="nil"/>
      <w:tblCellMar>
        <w:left w:w="0" w:type="dxa"/>
        <w:right w:w="0" w:type="dxa"/>
      </w:tblCellMar>
    </w:tblPr>
  </w:style>
  <w:style w:type="paragraph" w:styleId="TOC1">
    <w:name w:val="toc 1"/>
    <w:basedOn w:val="Normal"/>
    <w:next w:val="Normal"/>
    <w:uiPriority w:val="39"/>
    <w:rsid w:val="006B087E"/>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rsid w:val="18864199"/>
    <w:pPr>
      <w:tabs>
        <w:tab w:val="right" w:leader="dot" w:pos="8640"/>
      </w:tabs>
      <w:spacing w:before="60" w:after="60"/>
      <w:ind w:left="1077" w:right="720" w:hanging="595"/>
    </w:pPr>
    <w:rPr>
      <w:rFonts w:eastAsia="Times New Roman"/>
    </w:rPr>
  </w:style>
  <w:style w:type="paragraph" w:styleId="TOCHeading">
    <w:name w:val="TOC Heading"/>
    <w:basedOn w:val="Normal"/>
    <w:next w:val="Normal"/>
    <w:uiPriority w:val="39"/>
    <w:qFormat/>
    <w:rsid w:val="18864199"/>
    <w:pPr>
      <w:keepNext/>
      <w:spacing w:before="240"/>
      <w:jc w:val="center"/>
    </w:pPr>
    <w:rPr>
      <w:rFonts w:eastAsia="Times New Roman"/>
      <w:b/>
      <w:bCs/>
    </w:rPr>
  </w:style>
  <w:style w:type="character" w:styleId="Hyperlink">
    <w:name w:val="Hyperlink"/>
    <w:basedOn w:val="DefaultParagraphFont"/>
    <w:uiPriority w:val="99"/>
    <w:unhideWhenUsed/>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uiPriority w:val="1"/>
    <w:rsid w:val="006B087E"/>
    <w:pPr>
      <w:spacing w:after="0"/>
    </w:pPr>
  </w:style>
  <w:style w:type="paragraph" w:customStyle="1" w:styleId="HeaderLandscape">
    <w:name w:val="HeaderLandscape"/>
    <w:basedOn w:val="Normal"/>
    <w:uiPriority w:val="1"/>
    <w:rsid w:val="006B087E"/>
    <w:pPr>
      <w:tabs>
        <w:tab w:val="center" w:pos="7285"/>
        <w:tab w:val="right" w:pos="14003"/>
      </w:tabs>
      <w:spacing w:after="120"/>
    </w:pPr>
  </w:style>
  <w:style w:type="paragraph" w:customStyle="1" w:styleId="HeaderSensitivity">
    <w:name w:val="Header Sensitivity"/>
    <w:basedOn w:val="Normal"/>
    <w:uiPriority w:val="1"/>
    <w:rsid w:val="006B087E"/>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paragraph" w:customStyle="1" w:styleId="FooterLandscape">
    <w:name w:val="FooterLandscape"/>
    <w:basedOn w:val="Normal"/>
    <w:uiPriority w:val="1"/>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uiPriority w:val="1"/>
    <w:rsid w:val="006B087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paragraph" w:customStyle="1" w:styleId="HeaderSensitivityRight">
    <w:name w:val="Header Sensitivity Right"/>
    <w:basedOn w:val="Normal"/>
    <w:link w:val="HeaderSensitivityRightChar"/>
    <w:rsid w:val="006B087E"/>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basedOn w:val="DefaultParagraphFont"/>
    <w:link w:val="Heading5"/>
    <w:uiPriority w:val="9"/>
    <w:rsid w:val="0053316B"/>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rsid w:val="18864199"/>
    <w:pPr>
      <w:spacing w:after="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53316B"/>
    <w:rPr>
      <w:rFonts w:asciiTheme="majorHAnsi" w:eastAsiaTheme="majorEastAsia" w:hAnsiTheme="majorHAnsi" w:cstheme="majorBidi"/>
      <w:sz w:val="56"/>
      <w:szCs w:val="56"/>
    </w:rPr>
  </w:style>
  <w:style w:type="paragraph" w:styleId="NoSpacing">
    <w:name w:val="No Spacing"/>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T,f"/>
    <w:basedOn w:val="Normal"/>
    <w:link w:val="FootnoteTextChar"/>
    <w:uiPriority w:val="99"/>
    <w:unhideWhenUsed/>
    <w:qFormat/>
    <w:rsid w:val="00FB0D7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B0D73"/>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fr,o"/>
    <w:basedOn w:val="DefaultParagraphFont"/>
    <w:link w:val="CharCharChar1"/>
    <w:uiPriority w:val="99"/>
    <w:unhideWhenUsed/>
    <w:qFormat/>
    <w:rsid w:val="00FB0D73"/>
    <w:rPr>
      <w:rFonts w:ascii="Times New Roman" w:hAnsi="Times New Roman" w:cs="Times New Roman"/>
      <w:sz w:val="24"/>
      <w:szCs w:val="24"/>
      <w:vertAlign w:val="superscript"/>
    </w:rPr>
  </w:style>
  <w:style w:type="paragraph" w:customStyle="1" w:styleId="CharCharChar1">
    <w:name w:val="Char Char Char1"/>
    <w:basedOn w:val="Normal"/>
    <w:link w:val="FootnoteReference"/>
    <w:uiPriority w:val="99"/>
    <w:rsid w:val="18864199"/>
    <w:pPr>
      <w:spacing w:after="160"/>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N"/>
    <w:basedOn w:val="Normal"/>
    <w:link w:val="ListParagraphChar"/>
    <w:uiPriority w:val="34"/>
    <w:qFormat/>
    <w:rsid w:val="00281573"/>
    <w:pPr>
      <w:ind w:left="720"/>
      <w:contextualSpacing/>
    </w:pPr>
  </w:style>
  <w:style w:type="character" w:styleId="CommentReference">
    <w:name w:val="annotation reference"/>
    <w:basedOn w:val="DefaultParagraphFont"/>
    <w:uiPriority w:val="99"/>
    <w:unhideWhenUsed/>
    <w:rsid w:val="002252CF"/>
    <w:rPr>
      <w:sz w:val="16"/>
      <w:szCs w:val="16"/>
    </w:rPr>
  </w:style>
  <w:style w:type="paragraph" w:styleId="CommentText">
    <w:name w:val="annotation text"/>
    <w:basedOn w:val="Normal"/>
    <w:link w:val="CommentTextChar"/>
    <w:uiPriority w:val="1"/>
    <w:unhideWhenUsed/>
    <w:rsid w:val="002252CF"/>
    <w:rPr>
      <w:sz w:val="20"/>
      <w:szCs w:val="20"/>
    </w:rPr>
  </w:style>
  <w:style w:type="character" w:customStyle="1" w:styleId="CommentTextChar">
    <w:name w:val="Comment Text Char"/>
    <w:basedOn w:val="DefaultParagraphFont"/>
    <w:link w:val="CommentText"/>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52CF"/>
    <w:rPr>
      <w:b/>
      <w:bCs/>
    </w:rPr>
  </w:style>
  <w:style w:type="character" w:customStyle="1" w:styleId="CommentSubjectChar">
    <w:name w:val="Comment Subject Char"/>
    <w:basedOn w:val="CommentText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303B8A"/>
    <w:rPr>
      <w:color w:val="605E5C"/>
      <w:shd w:val="clear" w:color="auto" w:fill="E1DFDD"/>
    </w:rPr>
  </w:style>
  <w:style w:type="character" w:styleId="FollowedHyperlink">
    <w:name w:val="FollowedHyperlink"/>
    <w:basedOn w:val="DefaultParagraphFont"/>
    <w:uiPriority w:val="99"/>
    <w:semiHidden/>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N Char"/>
    <w:basedOn w:val="DefaultParagraphFont"/>
    <w:link w:val="ListParagraph"/>
    <w:uiPriority w:val="34"/>
    <w:qFormat/>
    <w:locked/>
    <w:rsid w:val="00995F32"/>
    <w:rPr>
      <w:rFonts w:ascii="Times New Roman" w:hAnsi="Times New Roman" w:cs="Times New Roman"/>
      <w:sz w:val="24"/>
      <w:szCs w:val="24"/>
    </w:rPr>
  </w:style>
  <w:style w:type="table" w:styleId="TableGridLight">
    <w:name w:val="Grid Table Light"/>
    <w:basedOn w:val="TableNormal"/>
    <w:uiPriority w:val="40"/>
    <w:rsid w:val="001A529D"/>
    <w:pPr>
      <w:spacing w:after="0" w:line="240" w:lineRule="auto"/>
    </w:pPr>
    <w:tblPr/>
  </w:style>
  <w:style w:type="character" w:customStyle="1" w:styleId="Mention">
    <w:name w:val="Mention"/>
    <w:basedOn w:val="DefaultParagraphFont"/>
    <w:uiPriority w:val="99"/>
    <w:unhideWhenUsed/>
    <w:rsid w:val="00090520"/>
    <w:rPr>
      <w:color w:val="2B579A"/>
      <w:shd w:val="clear" w:color="auto" w:fill="E1DFDD"/>
    </w:rPr>
  </w:style>
  <w:style w:type="paragraph" w:customStyle="1" w:styleId="paragraph">
    <w:name w:val="paragraph"/>
    <w:basedOn w:val="Normal"/>
    <w:uiPriority w:val="1"/>
    <w:rsid w:val="18864199"/>
    <w:pPr>
      <w:spacing w:beforeAutospacing="1" w:afterAutospacing="1"/>
      <w:jc w:val="left"/>
    </w:pPr>
    <w:rPr>
      <w:rFonts w:eastAsia="Times New Roman"/>
      <w:lang w:val="en-IE" w:eastAsia="en-IE"/>
    </w:rPr>
  </w:style>
  <w:style w:type="character" w:customStyle="1" w:styleId="eop">
    <w:name w:val="eop"/>
    <w:basedOn w:val="DefaultParagraphFont"/>
    <w:rsid w:val="00E2232B"/>
  </w:style>
  <w:style w:type="character" w:customStyle="1" w:styleId="normaltextrun">
    <w:name w:val="normaltextrun"/>
    <w:basedOn w:val="DefaultParagraphFont"/>
    <w:rsid w:val="00E2232B"/>
  </w:style>
  <w:style w:type="character" w:customStyle="1" w:styleId="superscript">
    <w:name w:val="superscript"/>
    <w:basedOn w:val="DefaultParagraphFont"/>
    <w:uiPriority w:val="1"/>
    <w:rsid w:val="00A91210"/>
    <w:rPr>
      <w:rFonts w:asciiTheme="minorHAnsi" w:eastAsiaTheme="minorEastAsia" w:hAnsiTheme="minorHAnsi" w:cstheme="minorBidi"/>
      <w:sz w:val="22"/>
      <w:szCs w:val="22"/>
    </w:rPr>
  </w:style>
  <w:style w:type="paragraph" w:customStyle="1" w:styleId="EYBodytextwithparaspace">
    <w:name w:val="EY Body text (with para space)"/>
    <w:basedOn w:val="Normal"/>
    <w:link w:val="EYBodytextwithparaspaceChar"/>
    <w:qFormat/>
    <w:rsid w:val="00A91210"/>
    <w:pPr>
      <w:tabs>
        <w:tab w:val="num" w:pos="0"/>
      </w:tabs>
      <w:spacing w:before="120" w:after="120"/>
    </w:pPr>
    <w:rPr>
      <w:rFonts w:asciiTheme="minorHAnsi" w:eastAsia="Times New Roman" w:hAnsiTheme="minorHAnsi"/>
    </w:rPr>
  </w:style>
  <w:style w:type="character" w:customStyle="1" w:styleId="EYBodytextwithparaspaceChar">
    <w:name w:val="EY Body text (with para space) Char"/>
    <w:basedOn w:val="DefaultParagraphFont"/>
    <w:link w:val="EYBodytextwithparaspace"/>
    <w:rsid w:val="00A91210"/>
    <w:rPr>
      <w:rFonts w:eastAsia="Times New Roman" w:cs="Times New Roman"/>
      <w:sz w:val="24"/>
      <w:szCs w:val="24"/>
    </w:rPr>
  </w:style>
  <w:style w:type="paragraph" w:customStyle="1" w:styleId="EYBulletedList1">
    <w:name w:val="EY Bulleted List 1"/>
    <w:basedOn w:val="Normal"/>
    <w:uiPriority w:val="1"/>
    <w:qFormat/>
    <w:rsid w:val="00A91210"/>
    <w:pPr>
      <w:tabs>
        <w:tab w:val="num" w:pos="480"/>
      </w:tabs>
      <w:ind w:left="288" w:hanging="288"/>
    </w:pPr>
    <w:rPr>
      <w:rFonts w:asciiTheme="minorHAnsi" w:eastAsia="Times New Roman" w:hAnsiTheme="minorHAnsi"/>
    </w:rPr>
  </w:style>
  <w:style w:type="paragraph" w:customStyle="1" w:styleId="FootnoteTextEP-LC1">
    <w:name w:val="Footnote Text_EP-LC1"/>
    <w:basedOn w:val="Normal"/>
    <w:next w:val="FootnoteText"/>
    <w:uiPriority w:val="99"/>
    <w:unhideWhenUsed/>
    <w:qFormat/>
    <w:rsid w:val="00BC1195"/>
    <w:pPr>
      <w:spacing w:after="0"/>
    </w:pPr>
    <w:rPr>
      <w:rFonts w:eastAsia="MS Mincho"/>
      <w:sz w:val="20"/>
      <w:szCs w:val="20"/>
      <w:lang w:val="en-IE"/>
    </w:rPr>
  </w:style>
  <w:style w:type="character" w:customStyle="1" w:styleId="CommentTextChar1">
    <w:name w:val="Comment Text Char1"/>
    <w:basedOn w:val="DefaultParagraphFont"/>
    <w:uiPriority w:val="99"/>
    <w:rsid w:val="00BC1195"/>
    <w:rPr>
      <w:kern w:val="0"/>
      <w:sz w:val="20"/>
      <w:szCs w:val="20"/>
      <w:lang w:val="en-IE"/>
    </w:rPr>
  </w:style>
  <w:style w:type="paragraph" w:customStyle="1" w:styleId="SUPERSTegn">
    <w:name w:val="SUPERS Tegn"/>
    <w:basedOn w:val="Normal"/>
    <w:uiPriority w:val="99"/>
    <w:qFormat/>
    <w:rsid w:val="18864199"/>
    <w:pPr>
      <w:spacing w:after="160"/>
      <w:jc w:val="left"/>
    </w:pPr>
    <w:rPr>
      <w:rFonts w:ascii="EYInterstate Light" w:eastAsia="Times New Roman" w:hAnsi="EYInterstate Light"/>
      <w:vertAlign w:val="superscript"/>
      <w:lang w:val="en-US"/>
    </w:rPr>
  </w:style>
  <w:style w:type="paragraph" w:styleId="NormalWeb">
    <w:name w:val="Normal (Web)"/>
    <w:basedOn w:val="Normal"/>
    <w:uiPriority w:val="99"/>
    <w:unhideWhenUsed/>
    <w:rsid w:val="18864199"/>
    <w:pPr>
      <w:spacing w:beforeAutospacing="1" w:afterAutospacing="1"/>
      <w:jc w:val="left"/>
    </w:pPr>
    <w:rPr>
      <w:rFonts w:eastAsia="Times New Roman"/>
      <w:lang w:val="en-IE" w:eastAsia="en-IE"/>
    </w:rPr>
  </w:style>
  <w:style w:type="paragraph" w:styleId="Caption">
    <w:name w:val="caption"/>
    <w:aliases w:val="Figures and Table caption,Caption (ALL),Caption - Centre Graphic,Caption (all),Inscription,Beschriftung Char Char Char,Beschriftung Char,Caption2,figura,figura1,figura2,ITT d,cp + Justified,Left:  2,5 cm,First ...,cp,ref,Fig &amp; Table Title,Ca,TF"/>
    <w:basedOn w:val="Normal"/>
    <w:next w:val="Normal"/>
    <w:link w:val="CaptionChar"/>
    <w:uiPriority w:val="1"/>
    <w:unhideWhenUsed/>
    <w:qFormat/>
    <w:rsid w:val="009D73CE"/>
    <w:pPr>
      <w:spacing w:after="200"/>
    </w:pPr>
    <w:rPr>
      <w:i/>
      <w:iCs/>
      <w:color w:val="1F497D" w:themeColor="text2"/>
      <w:sz w:val="18"/>
      <w:szCs w:val="18"/>
    </w:rPr>
  </w:style>
  <w:style w:type="character" w:customStyle="1" w:styleId="CaptionChar">
    <w:name w:val="Caption Char"/>
    <w:aliases w:val="Figures and Table caption Char,Caption (ALL) Char,Caption - Centre Graphic Char,Caption (all) Char,Inscription Char,Beschriftung Char Char Char Char,Beschriftung Char Char,Caption2 Char,figura Char,figura1 Char,figura2 Char,ITT d Char"/>
    <w:basedOn w:val="DefaultParagraphFont"/>
    <w:link w:val="Caption"/>
    <w:uiPriority w:val="35"/>
    <w:qFormat/>
    <w:rsid w:val="009D73CE"/>
    <w:rPr>
      <w:rFonts w:ascii="Times New Roman" w:hAnsi="Times New Roman" w:cs="Times New Roman"/>
      <w:i/>
      <w:iCs/>
      <w:color w:val="1F497D" w:themeColor="text2"/>
      <w:sz w:val="18"/>
      <w:szCs w:val="18"/>
    </w:rPr>
  </w:style>
  <w:style w:type="character" w:styleId="EndnoteReference">
    <w:name w:val="endnote reference"/>
    <w:basedOn w:val="DefaultParagraphFont"/>
    <w:uiPriority w:val="99"/>
    <w:semiHidden/>
    <w:unhideWhenUsed/>
    <w:rsid w:val="00B813D7"/>
    <w:rPr>
      <w:vertAlign w:val="superscript"/>
    </w:rPr>
  </w:style>
  <w:style w:type="paragraph" w:styleId="EndnoteText">
    <w:name w:val="endnote text"/>
    <w:basedOn w:val="Normal"/>
    <w:link w:val="EndnoteTextChar"/>
    <w:uiPriority w:val="99"/>
    <w:semiHidden/>
    <w:unhideWhenUsed/>
    <w:rsid w:val="18864199"/>
    <w:pPr>
      <w:spacing w:after="0"/>
      <w:ind w:left="284"/>
      <w:jc w:val="left"/>
    </w:pPr>
    <w:rPr>
      <w:rFonts w:asciiTheme="minorHAnsi" w:hAnsiTheme="minorHAnsi" w:cstheme="minorBidi"/>
      <w:sz w:val="20"/>
      <w:szCs w:val="20"/>
      <w:lang w:val="en-IE"/>
    </w:rPr>
  </w:style>
  <w:style w:type="character" w:customStyle="1" w:styleId="EndnoteTextChar">
    <w:name w:val="Endnote Text Char"/>
    <w:basedOn w:val="DefaultParagraphFont"/>
    <w:link w:val="EndnoteText"/>
    <w:uiPriority w:val="99"/>
    <w:semiHidden/>
    <w:rsid w:val="00B813D7"/>
    <w:rPr>
      <w:sz w:val="20"/>
      <w:szCs w:val="20"/>
      <w:lang w:val="en-IE"/>
    </w:rPr>
  </w:style>
  <w:style w:type="character" w:customStyle="1" w:styleId="BoldItalic">
    <w:name w:val="BoldItalic"/>
    <w:uiPriority w:val="1"/>
    <w:qFormat/>
    <w:rsid w:val="009C21E2"/>
    <w:rPr>
      <w:rFonts w:ascii="Times New Roman" w:hAnsi="Times New Roman"/>
      <w:b/>
      <w:i/>
    </w:rPr>
  </w:style>
  <w:style w:type="paragraph" w:customStyle="1" w:styleId="FootnoteReferenceNumber">
    <w:name w:val="Footnote Reference Number"/>
    <w:basedOn w:val="Normal"/>
    <w:uiPriority w:val="1"/>
    <w:rsid w:val="18864199"/>
    <w:pPr>
      <w:spacing w:after="160"/>
      <w:ind w:left="284"/>
      <w:jc w:val="left"/>
    </w:pPr>
    <w:rPr>
      <w:rFonts w:asciiTheme="minorHAnsi" w:hAnsiTheme="minorHAnsi" w:cstheme="minorBidi"/>
      <w:sz w:val="22"/>
      <w:szCs w:val="22"/>
      <w:vertAlign w:val="superscript"/>
    </w:rPr>
  </w:style>
  <w:style w:type="character" w:styleId="Strong">
    <w:name w:val="Strong"/>
    <w:basedOn w:val="DefaultParagraphFont"/>
    <w:uiPriority w:val="22"/>
    <w:qFormat/>
    <w:rsid w:val="00082677"/>
    <w:rPr>
      <w:b/>
      <w:bCs/>
    </w:rPr>
  </w:style>
  <w:style w:type="paragraph" w:customStyle="1" w:styleId="EYBulletedList2">
    <w:name w:val="EY Bulleted List 2"/>
    <w:qFormat/>
    <w:rsid w:val="004C0DAA"/>
    <w:pPr>
      <w:spacing w:after="0" w:line="240" w:lineRule="auto"/>
      <w:ind w:left="648" w:hanging="360"/>
      <w:jc w:val="both"/>
    </w:pPr>
    <w:rPr>
      <w:rFonts w:eastAsia="Times New Roman" w:cs="Times New Roman"/>
      <w:kern w:val="12"/>
      <w:sz w:val="20"/>
      <w:szCs w:val="24"/>
      <w:lang w:val="en-US"/>
    </w:rPr>
  </w:style>
  <w:style w:type="paragraph" w:customStyle="1" w:styleId="EYBulletedList3">
    <w:name w:val="EY Bulleted List 3"/>
    <w:qFormat/>
    <w:rsid w:val="004C0DAA"/>
    <w:pPr>
      <w:spacing w:after="0" w:line="240" w:lineRule="auto"/>
      <w:ind w:left="936" w:hanging="360"/>
    </w:pPr>
    <w:rPr>
      <w:rFonts w:eastAsia="Times New Roman" w:cs="Times New Roman"/>
      <w:kern w:val="12"/>
      <w:sz w:val="20"/>
      <w:szCs w:val="24"/>
      <w:lang w:val="en-US"/>
    </w:rPr>
  </w:style>
  <w:style w:type="table" w:customStyle="1" w:styleId="Table-standardEY">
    <w:name w:val="Table - standard EY"/>
    <w:basedOn w:val="TableNormal"/>
    <w:rsid w:val="00DD204D"/>
    <w:pPr>
      <w:spacing w:before="60" w:after="60" w:line="240" w:lineRule="auto"/>
    </w:pPr>
    <w:rPr>
      <w:rFonts w:ascii="EYInterstate Light" w:eastAsia="Times New Roman" w:hAnsi="EYInterstate Light" w:cs="Times New Roman"/>
      <w:sz w:val="18"/>
      <w:szCs w:val="20"/>
      <w:lang w:val="fr-FR" w:eastAsia="fr-FR"/>
    </w:rPr>
    <w:tblPr/>
    <w:tblStylePr w:type="firstRow">
      <w:rPr>
        <w:rFonts w:ascii="Times New Roman_MSFontService" w:hAnsi="Times New Roman_MSFontService"/>
        <w:sz w:val="18"/>
      </w:rPr>
    </w:tblStylePr>
    <w:tblStylePr w:type="lastRow">
      <w:rPr>
        <w:rFonts w:ascii="Times New Roman_MSFontService" w:hAnsi="Times New Roman_MSFontService"/>
      </w:rPr>
    </w:tblStylePr>
  </w:style>
  <w:style w:type="paragraph" w:styleId="BodyText">
    <w:name w:val="Body Text"/>
    <w:basedOn w:val="Normal"/>
    <w:link w:val="BodyTextChar"/>
    <w:uiPriority w:val="99"/>
    <w:semiHidden/>
    <w:unhideWhenUsed/>
    <w:rsid w:val="00BE5D0F"/>
    <w:pPr>
      <w:spacing w:after="120"/>
    </w:pPr>
  </w:style>
  <w:style w:type="character" w:customStyle="1" w:styleId="BodyTextChar">
    <w:name w:val="Body Text Char"/>
    <w:basedOn w:val="DefaultParagraphFont"/>
    <w:link w:val="BodyText"/>
    <w:uiPriority w:val="99"/>
    <w:semiHidden/>
    <w:rsid w:val="00BE5D0F"/>
    <w:rPr>
      <w:rFonts w:ascii="Times New Roman" w:hAnsi="Times New Roman" w:cs="Times New Roman"/>
      <w:sz w:val="24"/>
      <w:szCs w:val="24"/>
    </w:rPr>
  </w:style>
  <w:style w:type="table" w:customStyle="1" w:styleId="Table-standard">
    <w:name w:val="Table - standard"/>
    <w:basedOn w:val="TableNormal"/>
    <w:rsid w:val="00EC25D5"/>
    <w:pPr>
      <w:spacing w:before="60" w:after="60" w:line="240" w:lineRule="auto"/>
    </w:pPr>
    <w:rPr>
      <w:rFonts w:ascii="EYInterstate Light" w:eastAsia="Times New Roman" w:hAnsi="EYInterstate Light" w:cs="Times New Roman"/>
      <w:sz w:val="18"/>
      <w:szCs w:val="20"/>
      <w:lang w:val="fr-FR" w:eastAsia="fr-FR"/>
    </w:rPr>
    <w:tblPr/>
    <w:tblStylePr w:type="firstRow">
      <w:rPr>
        <w:rFonts w:ascii="Times New Roman_MSFontService" w:hAnsi="Times New Roman_MSFontService"/>
        <w:sz w:val="18"/>
      </w:rPr>
    </w:tblStylePr>
    <w:tblStylePr w:type="lastRow">
      <w:rPr>
        <w:rFonts w:ascii="Times New Roman_MSFontService" w:hAnsi="Times New Roman_MSFontService"/>
      </w:rPr>
    </w:tblStylePr>
  </w:style>
  <w:style w:type="paragraph" w:styleId="TOC5">
    <w:name w:val="toc 5"/>
    <w:basedOn w:val="Normal"/>
    <w:next w:val="Normal"/>
    <w:uiPriority w:val="39"/>
    <w:unhideWhenUsed/>
    <w:rsid w:val="18864199"/>
    <w:pPr>
      <w:spacing w:after="100"/>
      <w:ind w:left="960"/>
    </w:pPr>
  </w:style>
  <w:style w:type="paragraph" w:customStyle="1" w:styleId="Abbberschrift">
    <w:name w:val="Abb_Überschrift"/>
    <w:basedOn w:val="Normal"/>
    <w:next w:val="Normal"/>
    <w:link w:val="AbbberschriftChar"/>
    <w:uiPriority w:val="1"/>
    <w:rsid w:val="18864199"/>
    <w:pPr>
      <w:keepNext/>
      <w:spacing w:before="120" w:after="120" w:line="312" w:lineRule="atLeast"/>
      <w:ind w:left="1418" w:hanging="1418"/>
      <w:jc w:val="left"/>
    </w:pPr>
    <w:rPr>
      <w:rFonts w:ascii="Arial" w:eastAsia="Times New Roman" w:hAnsi="Arial"/>
      <w:sz w:val="22"/>
      <w:szCs w:val="22"/>
      <w:lang w:eastAsia="de-DE"/>
    </w:rPr>
  </w:style>
  <w:style w:type="character" w:customStyle="1" w:styleId="AbbberschriftChar">
    <w:name w:val="Abb_Überschrift Char"/>
    <w:basedOn w:val="DefaultParagraphFont"/>
    <w:link w:val="Abbberschrift"/>
    <w:uiPriority w:val="1"/>
    <w:rsid w:val="00D03E5C"/>
    <w:rPr>
      <w:rFonts w:ascii="Arial" w:eastAsia="Times New Roman" w:hAnsi="Arial" w:cs="Times New Roman"/>
      <w:lang w:eastAsia="de-DE"/>
    </w:rPr>
  </w:style>
  <w:style w:type="paragraph" w:customStyle="1" w:styleId="Quelle">
    <w:name w:val="Quelle"/>
    <w:basedOn w:val="Normal"/>
    <w:link w:val="QuelleChar"/>
    <w:uiPriority w:val="1"/>
    <w:qFormat/>
    <w:rsid w:val="18864199"/>
    <w:pPr>
      <w:spacing w:before="120" w:after="360"/>
      <w:ind w:left="709" w:hanging="709"/>
    </w:pPr>
    <w:rPr>
      <w:rFonts w:ascii="Arial" w:eastAsia="Times New Roman" w:hAnsi="Arial"/>
      <w:sz w:val="18"/>
      <w:szCs w:val="18"/>
      <w:lang w:eastAsia="de-DE"/>
    </w:rPr>
  </w:style>
  <w:style w:type="character" w:customStyle="1" w:styleId="QuelleChar">
    <w:name w:val="Quelle Char"/>
    <w:link w:val="Quelle"/>
    <w:uiPriority w:val="1"/>
    <w:rsid w:val="00D03E5C"/>
    <w:rPr>
      <w:rFonts w:ascii="Arial" w:eastAsia="Times New Roman" w:hAnsi="Arial" w:cs="Times New Roman"/>
      <w:sz w:val="18"/>
      <w:szCs w:val="18"/>
      <w:lang w:eastAsia="de-DE"/>
    </w:rPr>
  </w:style>
  <w:style w:type="paragraph" w:customStyle="1" w:styleId="Tabberschrift">
    <w:name w:val="Tab_Überschrift"/>
    <w:basedOn w:val="Normal"/>
    <w:next w:val="Normal"/>
    <w:rsid w:val="18864199"/>
    <w:pPr>
      <w:keepNext/>
      <w:spacing w:before="120" w:after="120"/>
      <w:ind w:left="1418" w:hanging="1418"/>
      <w:jc w:val="left"/>
    </w:pPr>
    <w:rPr>
      <w:rFonts w:ascii="Arial" w:eastAsia="Times New Roman" w:hAnsi="Arial"/>
      <w:sz w:val="22"/>
      <w:szCs w:val="22"/>
      <w:lang w:eastAsia="de-DE"/>
    </w:rPr>
  </w:style>
  <w:style w:type="paragraph" w:customStyle="1" w:styleId="bullettext">
    <w:name w:val="bullet text"/>
    <w:basedOn w:val="Normal"/>
    <w:link w:val="bullettextChar"/>
    <w:uiPriority w:val="1"/>
    <w:qFormat/>
    <w:rsid w:val="008010BB"/>
    <w:pPr>
      <w:numPr>
        <w:numId w:val="11"/>
      </w:numPr>
      <w:spacing w:before="120" w:after="120"/>
    </w:pPr>
    <w:rPr>
      <w:rFonts w:ascii="Arial" w:eastAsia="Times New Roman" w:hAnsi="Arial"/>
      <w:noProof/>
      <w:sz w:val="22"/>
    </w:rPr>
  </w:style>
  <w:style w:type="character" w:customStyle="1" w:styleId="bullettextChar">
    <w:name w:val="bullet text Char"/>
    <w:basedOn w:val="DefaultParagraphFont"/>
    <w:link w:val="bullettext"/>
    <w:rsid w:val="00D03E5C"/>
    <w:rPr>
      <w:rFonts w:ascii="Arial" w:eastAsia="Times New Roman" w:hAnsi="Arial" w:cs="Times New Roman"/>
      <w:noProof/>
      <w:szCs w:val="24"/>
    </w:rPr>
  </w:style>
  <w:style w:type="table" w:customStyle="1" w:styleId="6615newlarge">
    <w:name w:val="6615_new_large"/>
    <w:basedOn w:val="TableNormal"/>
    <w:uiPriority w:val="99"/>
    <w:rsid w:val="00D03E5C"/>
    <w:pPr>
      <w:spacing w:after="0" w:line="200" w:lineRule="atLeast"/>
    </w:pPr>
    <w:rPr>
      <w:rFonts w:ascii="Arial" w:hAnsi="Arial"/>
      <w:sz w:val="18"/>
      <w:lang w:val="de-DE"/>
    </w:rPr>
    <w:tblPr/>
    <w:tblStylePr w:type="firstRow">
      <w:pPr>
        <w:keepNext/>
        <w:widowControl/>
        <w:wordWrap/>
        <w:spacing w:beforeLines="0" w:before="0" w:beforeAutospacing="0" w:afterLines="0" w:after="0" w:afterAutospacing="0" w:line="240" w:lineRule="atLeast"/>
        <w:contextualSpacing w:val="0"/>
      </w:pPr>
      <w:rPr>
        <w:b/>
        <w:color w:val="FFFFFF" w:themeColor="background1"/>
      </w:rPr>
    </w:tblStylePr>
    <w:tblStylePr w:type="firstCol">
      <w:rPr>
        <w:b/>
        <w:color w:val="FFFFFF" w:themeColor="background1"/>
      </w:rPr>
    </w:tblStylePr>
    <w:tblStylePr w:type="band1Horz">
      <w:pPr>
        <w:keepNext/>
        <w:wordWrap/>
        <w:spacing w:beforeLines="0" w:before="0" w:beforeAutospacing="0" w:afterLines="0" w:after="0" w:afterAutospacing="0" w:line="240" w:lineRule="atLeast"/>
        <w:contextualSpacing w:val="0"/>
      </w:pPr>
    </w:tblStylePr>
    <w:tblStylePr w:type="band2Horz">
      <w:pPr>
        <w:keepNext/>
        <w:wordWrap/>
        <w:spacing w:beforeLines="0" w:before="0" w:beforeAutospacing="0" w:afterLines="0" w:after="0" w:afterAutospacing="0" w:line="240" w:lineRule="atLeast"/>
        <w:contextualSpacing w:val="0"/>
      </w:pPr>
    </w:tblStylePr>
  </w:style>
  <w:style w:type="paragraph" w:customStyle="1" w:styleId="Tabletext">
    <w:name w:val="Table text"/>
    <w:basedOn w:val="Normal"/>
    <w:uiPriority w:val="9"/>
    <w:qFormat/>
    <w:rsid w:val="00D03E5C"/>
    <w:pPr>
      <w:widowControl w:val="0"/>
      <w:spacing w:after="120"/>
      <w:jc w:val="left"/>
    </w:pPr>
    <w:rPr>
      <w:rFonts w:ascii="Arial" w:eastAsia="Times New Roman" w:hAnsi="Arial"/>
      <w:sz w:val="20"/>
      <w:szCs w:val="20"/>
      <w:lang w:eastAsia="de-DE"/>
    </w:rPr>
  </w:style>
  <w:style w:type="character" w:customStyle="1" w:styleId="CharChar1">
    <w:name w:val="Char Char1"/>
    <w:aliases w:val="Fußnote Char1,Carattere Char1,fn Char2,Footnotes Char2,Footnote ak Char1,Footnote Text Char Char Char1,fn Char Char Char1,footnote text Char Char Char1,Footnotes Char Char Char1,Footnote ak Char Char Char1,fn Char1 Char"/>
    <w:basedOn w:val="DefaultParagraphFont"/>
    <w:uiPriority w:val="99"/>
    <w:rsid w:val="00B01C66"/>
    <w:rPr>
      <w:sz w:val="20"/>
      <w:szCs w:val="20"/>
    </w:rPr>
  </w:style>
  <w:style w:type="table" w:customStyle="1" w:styleId="TableGrid1">
    <w:name w:val="Table Grid1"/>
    <w:basedOn w:val="TableNormal"/>
    <w:next w:val="TableGrid"/>
    <w:uiPriority w:val="39"/>
    <w:rsid w:val="00FE1843"/>
    <w:pPr>
      <w:spacing w:after="0" w:line="240" w:lineRule="auto"/>
    </w:pPr>
    <w:rPr>
      <w:kern w:val="2"/>
    </w:rPr>
    <w:tblPr/>
  </w:style>
  <w:style w:type="character" w:customStyle="1" w:styleId="Heading6Char">
    <w:name w:val="Heading 6 Char"/>
    <w:basedOn w:val="DefaultParagraphFont"/>
    <w:link w:val="Heading6"/>
    <w:uiPriority w:val="9"/>
    <w:rsid w:val="00FD5F7F"/>
    <w:rPr>
      <w:rFonts w:asciiTheme="majorHAnsi" w:eastAsiaTheme="majorEastAsia" w:hAnsiTheme="majorHAnsi" w:cstheme="majorBidi"/>
      <w:color w:val="243F60"/>
      <w:lang w:val="en-IE"/>
    </w:rPr>
  </w:style>
  <w:style w:type="character" w:customStyle="1" w:styleId="Heading8Char">
    <w:name w:val="Heading 8 Char"/>
    <w:basedOn w:val="DefaultParagraphFont"/>
    <w:link w:val="Heading8"/>
    <w:uiPriority w:val="9"/>
    <w:rsid w:val="00FD5F7F"/>
    <w:rPr>
      <w:rFonts w:asciiTheme="majorHAnsi" w:eastAsiaTheme="majorEastAsia" w:hAnsiTheme="majorHAnsi" w:cstheme="majorBidi"/>
      <w:color w:val="272727"/>
      <w:sz w:val="21"/>
      <w:szCs w:val="21"/>
      <w:lang w:val="en-IE"/>
    </w:rPr>
  </w:style>
  <w:style w:type="table" w:customStyle="1" w:styleId="Table-standard2">
    <w:name w:val="Table - standard2"/>
    <w:basedOn w:val="TableNormal"/>
    <w:rsid w:val="00FD5F7F"/>
    <w:pPr>
      <w:spacing w:before="60" w:after="60" w:line="240" w:lineRule="auto"/>
    </w:pPr>
    <w:rPr>
      <w:rFonts w:ascii="EYInterstate Light" w:eastAsia="Times New Roman" w:hAnsi="EYInterstate Light" w:cs="Times New Roman"/>
      <w:sz w:val="18"/>
      <w:szCs w:val="20"/>
      <w:lang w:val="fr-FR" w:eastAsia="fr-FR"/>
    </w:rPr>
    <w:tblPr/>
    <w:tblStylePr w:type="firstRow">
      <w:rPr>
        <w:rFonts w:ascii="Times New Roman_MSFontService" w:hAnsi="Times New Roman_MSFontService"/>
        <w:sz w:val="18"/>
      </w:rPr>
    </w:tblStylePr>
    <w:tblStylePr w:type="lastRow">
      <w:rPr>
        <w:rFonts w:ascii="Times New Roman_MSFontService" w:hAnsi="Times New Roman_MSFontService"/>
      </w:rPr>
    </w:tblStylePr>
  </w:style>
  <w:style w:type="table" w:customStyle="1" w:styleId="6615newlarge1">
    <w:name w:val="6615_new_large1"/>
    <w:basedOn w:val="TableNormal"/>
    <w:uiPriority w:val="99"/>
    <w:rsid w:val="00965E85"/>
    <w:pPr>
      <w:spacing w:after="0" w:line="200" w:lineRule="atLeast"/>
    </w:pPr>
    <w:rPr>
      <w:rFonts w:ascii="Arial" w:hAnsi="Arial"/>
      <w:sz w:val="18"/>
      <w:lang w:val="de-DE"/>
    </w:rPr>
    <w:tblPr/>
    <w:tblStylePr w:type="firstRow">
      <w:pPr>
        <w:keepNext/>
        <w:widowControl/>
        <w:wordWrap/>
        <w:spacing w:beforeLines="0" w:before="0" w:beforeAutospacing="0" w:afterLines="0" w:after="0" w:afterAutospacing="0" w:line="240" w:lineRule="atLeast"/>
        <w:contextualSpacing w:val="0"/>
      </w:pPr>
      <w:rPr>
        <w:b/>
        <w:color w:val="FFFFFF"/>
      </w:rPr>
    </w:tblStylePr>
    <w:tblStylePr w:type="firstCol">
      <w:rPr>
        <w:b/>
        <w:color w:val="FFFFFF"/>
      </w:rPr>
    </w:tblStylePr>
    <w:tblStylePr w:type="band1Horz">
      <w:pPr>
        <w:keepNext/>
        <w:wordWrap/>
        <w:spacing w:beforeLines="0" w:before="0" w:beforeAutospacing="0" w:afterLines="0" w:after="0" w:afterAutospacing="0" w:line="240" w:lineRule="atLeast"/>
        <w:contextualSpacing w:val="0"/>
      </w:pPr>
    </w:tblStylePr>
    <w:tblStylePr w:type="band2Horz">
      <w:pPr>
        <w:keepNext/>
        <w:wordWrap/>
        <w:spacing w:beforeLines="0" w:before="0" w:beforeAutospacing="0" w:afterLines="0" w:after="0" w:afterAutospacing="0" w:line="240" w:lineRule="atLeast"/>
        <w:contextualSpacing w:val="0"/>
      </w:pPr>
    </w:tblStylePr>
  </w:style>
  <w:style w:type="character" w:styleId="PlaceholderText">
    <w:name w:val="Placeholder Text"/>
    <w:basedOn w:val="DefaultParagraphFont"/>
    <w:uiPriority w:val="99"/>
    <w:semiHidden/>
    <w:rsid w:val="007B3B88"/>
    <w:rPr>
      <w:color w:val="666666"/>
    </w:rPr>
  </w:style>
  <w:style w:type="paragraph" w:customStyle="1" w:styleId="ecl-u-type-paragraph">
    <w:name w:val="ecl-u-type-paragraph"/>
    <w:basedOn w:val="Normal"/>
    <w:uiPriority w:val="1"/>
    <w:rsid w:val="18864199"/>
    <w:pPr>
      <w:spacing w:beforeAutospacing="1" w:afterAutospacing="1"/>
      <w:jc w:val="left"/>
    </w:pPr>
    <w:rPr>
      <w:rFonts w:eastAsia="Times New Roman"/>
      <w:lang w:val="en-IE" w:eastAsia="en-IE"/>
    </w:rPr>
  </w:style>
  <w:style w:type="paragraph" w:styleId="TOC3">
    <w:name w:val="toc 3"/>
    <w:basedOn w:val="Normal"/>
    <w:next w:val="Normal"/>
    <w:uiPriority w:val="39"/>
    <w:unhideWhenUsed/>
    <w:rsid w:val="0071775D"/>
    <w:pPr>
      <w:tabs>
        <w:tab w:val="right" w:leader="dot" w:pos="8641"/>
      </w:tabs>
      <w:spacing w:after="100"/>
      <w:ind w:left="482" w:right="720"/>
    </w:pPr>
  </w:style>
  <w:style w:type="paragraph" w:styleId="TOC4">
    <w:name w:val="toc 4"/>
    <w:basedOn w:val="Normal"/>
    <w:next w:val="Normal"/>
    <w:uiPriority w:val="39"/>
    <w:unhideWhenUsed/>
    <w:rsid w:val="18864199"/>
    <w:pPr>
      <w:spacing w:after="100"/>
      <w:ind w:left="720"/>
      <w:jc w:val="left"/>
    </w:pPr>
    <w:rPr>
      <w:rFonts w:asciiTheme="minorHAnsi" w:eastAsiaTheme="minorEastAsia" w:hAnsiTheme="minorHAnsi" w:cstheme="minorBidi"/>
      <w:lang w:val="en-IE" w:eastAsia="en-IE"/>
    </w:rPr>
  </w:style>
  <w:style w:type="paragraph" w:styleId="TOC6">
    <w:name w:val="toc 6"/>
    <w:basedOn w:val="Normal"/>
    <w:next w:val="Normal"/>
    <w:uiPriority w:val="39"/>
    <w:unhideWhenUsed/>
    <w:rsid w:val="18864199"/>
    <w:pPr>
      <w:spacing w:after="100"/>
      <w:ind w:left="1200"/>
      <w:jc w:val="left"/>
    </w:pPr>
    <w:rPr>
      <w:rFonts w:asciiTheme="minorHAnsi" w:eastAsiaTheme="minorEastAsia" w:hAnsiTheme="minorHAnsi" w:cstheme="minorBidi"/>
      <w:lang w:val="en-IE" w:eastAsia="en-IE"/>
    </w:rPr>
  </w:style>
  <w:style w:type="paragraph" w:styleId="TOC7">
    <w:name w:val="toc 7"/>
    <w:basedOn w:val="Normal"/>
    <w:next w:val="Normal"/>
    <w:uiPriority w:val="39"/>
    <w:unhideWhenUsed/>
    <w:rsid w:val="18864199"/>
    <w:pPr>
      <w:spacing w:after="100"/>
      <w:ind w:left="1440"/>
      <w:jc w:val="left"/>
    </w:pPr>
    <w:rPr>
      <w:rFonts w:asciiTheme="minorHAnsi" w:eastAsiaTheme="minorEastAsia" w:hAnsiTheme="minorHAnsi" w:cstheme="minorBidi"/>
      <w:lang w:val="en-IE" w:eastAsia="en-IE"/>
    </w:rPr>
  </w:style>
  <w:style w:type="paragraph" w:styleId="TOC8">
    <w:name w:val="toc 8"/>
    <w:basedOn w:val="Normal"/>
    <w:next w:val="Normal"/>
    <w:uiPriority w:val="39"/>
    <w:unhideWhenUsed/>
    <w:rsid w:val="18864199"/>
    <w:pPr>
      <w:spacing w:after="100"/>
      <w:ind w:left="1680"/>
      <w:jc w:val="left"/>
    </w:pPr>
    <w:rPr>
      <w:rFonts w:asciiTheme="minorHAnsi" w:eastAsiaTheme="minorEastAsia" w:hAnsiTheme="minorHAnsi" w:cstheme="minorBidi"/>
      <w:lang w:val="en-IE" w:eastAsia="en-IE"/>
    </w:rPr>
  </w:style>
  <w:style w:type="paragraph" w:styleId="TOC9">
    <w:name w:val="toc 9"/>
    <w:basedOn w:val="Normal"/>
    <w:next w:val="Normal"/>
    <w:uiPriority w:val="39"/>
    <w:unhideWhenUsed/>
    <w:rsid w:val="18864199"/>
    <w:pPr>
      <w:spacing w:after="100"/>
      <w:ind w:left="1920"/>
      <w:jc w:val="left"/>
    </w:pPr>
    <w:rPr>
      <w:rFonts w:asciiTheme="minorHAnsi" w:eastAsiaTheme="minorEastAsia" w:hAnsiTheme="minorHAnsi" w:cstheme="minorBidi"/>
      <w:lang w:val="en-IE" w:eastAsia="en-IE"/>
    </w:rPr>
  </w:style>
  <w:style w:type="table" w:customStyle="1" w:styleId="Table-standardEY1">
    <w:name w:val="Table - standard EY1"/>
    <w:basedOn w:val="TableNormal"/>
    <w:rsid w:val="00FA5328"/>
    <w:pPr>
      <w:spacing w:before="60" w:after="60" w:line="240" w:lineRule="auto"/>
    </w:pPr>
    <w:rPr>
      <w:rFonts w:ascii="EYInterstate Light" w:eastAsia="Times New Roman" w:hAnsi="EYInterstate Light" w:cs="Times New Roman"/>
      <w:sz w:val="18"/>
      <w:szCs w:val="20"/>
      <w:lang w:val="fr-FR" w:eastAsia="fr-FR"/>
    </w:rPr>
    <w:tblPr/>
    <w:tblStylePr w:type="firstRow">
      <w:rPr>
        <w:rFonts w:ascii="Times New Roman_MSFontService" w:hAnsi="Times New Roman_MSFontService"/>
        <w:sz w:val="18"/>
      </w:rPr>
    </w:tblStylePr>
    <w:tblStylePr w:type="lastRow">
      <w:rPr>
        <w:rFonts w:ascii="Times New Roman_MSFontService" w:hAnsi="Times New Roman_MSFontService"/>
      </w:rPr>
    </w:tblStylePr>
  </w:style>
  <w:style w:type="table" w:customStyle="1" w:styleId="Table-standardEY2">
    <w:name w:val="Table - standard EY2"/>
    <w:basedOn w:val="TableNormal"/>
    <w:rsid w:val="000A430E"/>
    <w:pPr>
      <w:spacing w:before="60" w:after="60" w:line="240" w:lineRule="auto"/>
    </w:pPr>
    <w:rPr>
      <w:rFonts w:ascii="EYInterstate Light" w:eastAsia="Times New Roman" w:hAnsi="EYInterstate Light" w:cs="Times New Roman"/>
      <w:sz w:val="18"/>
      <w:szCs w:val="20"/>
      <w:lang w:val="fr-FR" w:eastAsia="fr-FR"/>
    </w:rPr>
    <w:tblPr/>
    <w:tblStylePr w:type="firstRow">
      <w:rPr>
        <w:rFonts w:ascii="Times New Roman_MSFontService" w:hAnsi="Times New Roman_MSFontService"/>
        <w:sz w:val="18"/>
      </w:rPr>
    </w:tblStylePr>
    <w:tblStylePr w:type="lastRow">
      <w:rPr>
        <w:rFonts w:ascii="Times New Roman_MSFontService" w:hAnsi="Times New Roman_MSFontService"/>
      </w:rPr>
    </w:tblStylePr>
  </w:style>
  <w:style w:type="table" w:customStyle="1" w:styleId="Table-standardEY3">
    <w:name w:val="Table - standard EY3"/>
    <w:basedOn w:val="TableNormal"/>
    <w:rsid w:val="00C77594"/>
    <w:pPr>
      <w:spacing w:before="60" w:after="60" w:line="240" w:lineRule="auto"/>
    </w:pPr>
    <w:rPr>
      <w:rFonts w:ascii="EYInterstate Light" w:eastAsia="Times New Roman" w:hAnsi="EYInterstate Light" w:cs="Times New Roman"/>
      <w:sz w:val="18"/>
      <w:szCs w:val="20"/>
      <w:lang w:val="fr-FR" w:eastAsia="fr-FR"/>
    </w:rPr>
    <w:tblPr/>
    <w:tblStylePr w:type="firstRow">
      <w:rPr>
        <w:rFonts w:ascii="Times New Roman_MSFontService" w:hAnsi="Times New Roman_MSFontService"/>
        <w:sz w:val="18"/>
      </w:rPr>
    </w:tblStylePr>
    <w:tblStylePr w:type="lastRow">
      <w:rPr>
        <w:rFonts w:ascii="Times New Roman_MSFontService" w:hAnsi="Times New Roman_MSFontService"/>
      </w:rPr>
    </w:tblStylePr>
  </w:style>
  <w:style w:type="paragraph" w:styleId="TableofFigures">
    <w:name w:val="table of figures"/>
    <w:basedOn w:val="Normal"/>
    <w:next w:val="Normal"/>
    <w:uiPriority w:val="99"/>
    <w:unhideWhenUsed/>
    <w:rsid w:val="00FE5609"/>
    <w:pPr>
      <w:spacing w:after="0"/>
    </w:pPr>
  </w:style>
  <w:style w:type="paragraph" w:customStyle="1" w:styleId="Languesfaisantfoi">
    <w:name w:val="Langues faisant foi"/>
    <w:basedOn w:val="Normal"/>
    <w:next w:val="Normal"/>
    <w:uiPriority w:val="1"/>
    <w:rsid w:val="18864199"/>
    <w:pPr>
      <w:spacing w:before="360"/>
      <w:jc w:val="center"/>
    </w:pPr>
  </w:style>
  <w:style w:type="paragraph" w:customStyle="1" w:styleId="LanguesfaisantfoiPagedecouverture">
    <w:name w:val="Langues faisant foi (Page de couverture)"/>
    <w:basedOn w:val="Normal"/>
    <w:next w:val="Normal"/>
    <w:uiPriority w:val="1"/>
    <w:rsid w:val="18864199"/>
    <w:pPr>
      <w:spacing w:before="360"/>
      <w:jc w:val="center"/>
    </w:pPr>
  </w:style>
  <w:style w:type="paragraph" w:customStyle="1" w:styleId="IntrtEEE">
    <w:name w:val="Intérêt EEE"/>
    <w:basedOn w:val="Languesfaisantfoi"/>
    <w:next w:val="Normal"/>
    <w:rsid w:val="00D37607"/>
    <w:pPr>
      <w:spacing w:after="0"/>
    </w:pPr>
  </w:style>
  <w:style w:type="paragraph" w:customStyle="1" w:styleId="IntrtEEEPagedecouverture">
    <w:name w:val="Intérêt EEE (Page de couverture)"/>
    <w:basedOn w:val="IntrtEEE"/>
    <w:next w:val="Normal"/>
    <w:rsid w:val="00D37607"/>
  </w:style>
  <w:style w:type="paragraph" w:customStyle="1" w:styleId="EYSource">
    <w:name w:val="EY Source"/>
    <w:basedOn w:val="Normal"/>
    <w:uiPriority w:val="1"/>
    <w:rsid w:val="18864199"/>
    <w:pPr>
      <w:keepNext/>
      <w:spacing w:before="60" w:after="60"/>
      <w:jc w:val="left"/>
    </w:pPr>
    <w:rPr>
      <w:rFonts w:asciiTheme="minorHAnsi" w:eastAsia="Times New Roman" w:hAnsiTheme="minorHAnsi"/>
      <w:i/>
      <w:iCs/>
      <w:sz w:val="16"/>
      <w:szCs w:val="16"/>
      <w:lang w:val="en-US"/>
    </w:rPr>
  </w:style>
  <w:style w:type="paragraph" w:customStyle="1" w:styleId="Default">
    <w:name w:val="Default"/>
    <w:rsid w:val="00417951"/>
    <w:pPr>
      <w:autoSpaceDE w:val="0"/>
      <w:autoSpaceDN w:val="0"/>
      <w:adjustRightInd w:val="0"/>
      <w:spacing w:after="0" w:line="240" w:lineRule="auto"/>
    </w:pPr>
    <w:rPr>
      <w:rFonts w:ascii="Times New Roman" w:hAnsi="Times New Roman" w:cs="Times New Roman"/>
      <w:color w:val="000000"/>
      <w:sz w:val="24"/>
      <w:szCs w:val="24"/>
      <w:lang w:val="en-IE"/>
    </w:rPr>
  </w:style>
  <w:style w:type="character" w:customStyle="1" w:styleId="CommentTextChar6">
    <w:name w:val="Comment Text Char6"/>
    <w:basedOn w:val="DefaultParagraphFont"/>
    <w:uiPriority w:val="99"/>
    <w:rsid w:val="00BB4425"/>
    <w:rPr>
      <w:rFonts w:ascii="Arial" w:hAnsi="Arial"/>
      <w:lang w:val="en-GB"/>
    </w:rPr>
  </w:style>
  <w:style w:type="table" w:customStyle="1" w:styleId="TableGridLight1">
    <w:name w:val="Table Grid Light1"/>
    <w:basedOn w:val="TableNormal"/>
    <w:next w:val="TableGridLight"/>
    <w:uiPriority w:val="40"/>
    <w:rsid w:val="00032125"/>
    <w:pPr>
      <w:spacing w:after="0" w:line="240" w:lineRule="auto"/>
    </w:pPr>
    <w:rPr>
      <w:kern w:val="2"/>
      <w14:ligatures w14:val="standardContextual"/>
    </w:rPr>
    <w:tblPr/>
  </w:style>
  <w:style w:type="table" w:styleId="PlainTable1">
    <w:name w:val="Plain Table 1"/>
    <w:basedOn w:val="TableNormal"/>
    <w:uiPriority w:val="41"/>
    <w:rsid w:val="00D43134"/>
    <w:pPr>
      <w:spacing w:after="0" w:line="240" w:lineRule="auto"/>
    </w:pPr>
    <w:rPr>
      <w:kern w:val="2"/>
      <w:lang w:val="en-IE"/>
      <w14:ligatures w14:val="standardContextual"/>
    </w:r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table" w:styleId="PlainTable2">
    <w:name w:val="Plain Table 2"/>
    <w:basedOn w:val="TableNormal"/>
    <w:uiPriority w:val="42"/>
    <w:rsid w:val="000D67F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12A8C"/>
    <w:pPr>
      <w:spacing w:after="0" w:line="240" w:lineRule="auto"/>
    </w:pPr>
    <w:tblPr/>
    <w:tblStylePr w:type="firstRow">
      <w:rPr>
        <w:b/>
        <w:bCs/>
        <w:caps/>
      </w:rPr>
    </w:tblStylePr>
    <w:tblStylePr w:type="lastRow">
      <w:rPr>
        <w:b/>
        <w:bCs/>
        <w:caps/>
      </w:rPr>
    </w:tblStylePr>
    <w:tblStylePr w:type="firstCol">
      <w:rPr>
        <w:b/>
        <w:bCs/>
        <w:caps/>
      </w:rPr>
    </w:tblStylePr>
    <w:tblStylePr w:type="lastCol">
      <w:rPr>
        <w:b/>
        <w:bCs/>
        <w:caps/>
      </w:rPr>
    </w:tblStylePr>
  </w:style>
  <w:style w:type="table" w:styleId="PlainTable5">
    <w:name w:val="Plain Table 5"/>
    <w:basedOn w:val="TableNormal"/>
    <w:uiPriority w:val="45"/>
    <w:rsid w:val="00C7496F"/>
    <w:pPr>
      <w:spacing w:after="0" w:line="240" w:lineRule="auto"/>
    </w:pPr>
    <w:tblPr>
      <w:tblStyleRowBandSize w:val="1"/>
      <w:tblStyleColBandSize w:val="1"/>
    </w:tblPr>
    <w:tcPr>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0D67F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2">
    <w:name w:val="Table Grid2"/>
    <w:basedOn w:val="TableNormal"/>
    <w:next w:val="TableGrid"/>
    <w:uiPriority w:val="59"/>
    <w:rsid w:val="00B32DA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2">
    <w:name w:val="Table_12"/>
    <w:next w:val="TableGrid"/>
    <w:uiPriority w:val="39"/>
    <w:rsid w:val="00EA7264"/>
    <w:pPr>
      <w:spacing w:after="0" w:line="240" w:lineRule="auto"/>
    </w:pPr>
    <w:rPr>
      <w:rFonts w:ascii="Times New Roman" w:eastAsia="Times New Roman" w:hAnsi="Times New Roman" w:cs="Times New Roman"/>
      <w:sz w:val="24"/>
      <w:szCs w:val="20"/>
      <w:lang w:eastAsia="en-I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68577">
      <w:bodyDiv w:val="1"/>
      <w:marLeft w:val="0"/>
      <w:marRight w:val="0"/>
      <w:marTop w:val="0"/>
      <w:marBottom w:val="0"/>
      <w:divBdr>
        <w:top w:val="none" w:sz="0" w:space="0" w:color="auto"/>
        <w:left w:val="none" w:sz="0" w:space="0" w:color="auto"/>
        <w:bottom w:val="none" w:sz="0" w:space="0" w:color="auto"/>
        <w:right w:val="none" w:sz="0" w:space="0" w:color="auto"/>
      </w:divBdr>
    </w:div>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44918390">
      <w:bodyDiv w:val="1"/>
      <w:marLeft w:val="0"/>
      <w:marRight w:val="0"/>
      <w:marTop w:val="0"/>
      <w:marBottom w:val="0"/>
      <w:divBdr>
        <w:top w:val="none" w:sz="0" w:space="0" w:color="auto"/>
        <w:left w:val="none" w:sz="0" w:space="0" w:color="auto"/>
        <w:bottom w:val="none" w:sz="0" w:space="0" w:color="auto"/>
        <w:right w:val="none" w:sz="0" w:space="0" w:color="auto"/>
      </w:divBdr>
    </w:div>
    <w:div w:id="79495520">
      <w:bodyDiv w:val="1"/>
      <w:marLeft w:val="0"/>
      <w:marRight w:val="0"/>
      <w:marTop w:val="0"/>
      <w:marBottom w:val="0"/>
      <w:divBdr>
        <w:top w:val="none" w:sz="0" w:space="0" w:color="auto"/>
        <w:left w:val="none" w:sz="0" w:space="0" w:color="auto"/>
        <w:bottom w:val="none" w:sz="0" w:space="0" w:color="auto"/>
        <w:right w:val="none" w:sz="0" w:space="0" w:color="auto"/>
      </w:divBdr>
    </w:div>
    <w:div w:id="88814416">
      <w:bodyDiv w:val="1"/>
      <w:marLeft w:val="0"/>
      <w:marRight w:val="0"/>
      <w:marTop w:val="0"/>
      <w:marBottom w:val="0"/>
      <w:divBdr>
        <w:top w:val="none" w:sz="0" w:space="0" w:color="auto"/>
        <w:left w:val="none" w:sz="0" w:space="0" w:color="auto"/>
        <w:bottom w:val="none" w:sz="0" w:space="0" w:color="auto"/>
        <w:right w:val="none" w:sz="0" w:space="0" w:color="auto"/>
      </w:divBdr>
    </w:div>
    <w:div w:id="89010379">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09016390">
      <w:bodyDiv w:val="1"/>
      <w:marLeft w:val="0"/>
      <w:marRight w:val="0"/>
      <w:marTop w:val="0"/>
      <w:marBottom w:val="0"/>
      <w:divBdr>
        <w:top w:val="none" w:sz="0" w:space="0" w:color="auto"/>
        <w:left w:val="none" w:sz="0" w:space="0" w:color="auto"/>
        <w:bottom w:val="none" w:sz="0" w:space="0" w:color="auto"/>
        <w:right w:val="none" w:sz="0" w:space="0" w:color="auto"/>
      </w:divBdr>
    </w:div>
    <w:div w:id="116990807">
      <w:bodyDiv w:val="1"/>
      <w:marLeft w:val="0"/>
      <w:marRight w:val="0"/>
      <w:marTop w:val="0"/>
      <w:marBottom w:val="0"/>
      <w:divBdr>
        <w:top w:val="none" w:sz="0" w:space="0" w:color="auto"/>
        <w:left w:val="none" w:sz="0" w:space="0" w:color="auto"/>
        <w:bottom w:val="none" w:sz="0" w:space="0" w:color="auto"/>
        <w:right w:val="none" w:sz="0" w:space="0" w:color="auto"/>
      </w:divBdr>
    </w:div>
    <w:div w:id="120196303">
      <w:bodyDiv w:val="1"/>
      <w:marLeft w:val="0"/>
      <w:marRight w:val="0"/>
      <w:marTop w:val="0"/>
      <w:marBottom w:val="0"/>
      <w:divBdr>
        <w:top w:val="none" w:sz="0" w:space="0" w:color="auto"/>
        <w:left w:val="none" w:sz="0" w:space="0" w:color="auto"/>
        <w:bottom w:val="none" w:sz="0" w:space="0" w:color="auto"/>
        <w:right w:val="none" w:sz="0" w:space="0" w:color="auto"/>
      </w:divBdr>
    </w:div>
    <w:div w:id="123082719">
      <w:bodyDiv w:val="1"/>
      <w:marLeft w:val="0"/>
      <w:marRight w:val="0"/>
      <w:marTop w:val="0"/>
      <w:marBottom w:val="0"/>
      <w:divBdr>
        <w:top w:val="none" w:sz="0" w:space="0" w:color="auto"/>
        <w:left w:val="none" w:sz="0" w:space="0" w:color="auto"/>
        <w:bottom w:val="none" w:sz="0" w:space="0" w:color="auto"/>
        <w:right w:val="none" w:sz="0" w:space="0" w:color="auto"/>
      </w:divBdr>
    </w:div>
    <w:div w:id="128790559">
      <w:bodyDiv w:val="1"/>
      <w:marLeft w:val="0"/>
      <w:marRight w:val="0"/>
      <w:marTop w:val="0"/>
      <w:marBottom w:val="0"/>
      <w:divBdr>
        <w:top w:val="none" w:sz="0" w:space="0" w:color="auto"/>
        <w:left w:val="none" w:sz="0" w:space="0" w:color="auto"/>
        <w:bottom w:val="none" w:sz="0" w:space="0" w:color="auto"/>
        <w:right w:val="none" w:sz="0" w:space="0" w:color="auto"/>
      </w:divBdr>
    </w:div>
    <w:div w:id="200363978">
      <w:bodyDiv w:val="1"/>
      <w:marLeft w:val="0"/>
      <w:marRight w:val="0"/>
      <w:marTop w:val="0"/>
      <w:marBottom w:val="0"/>
      <w:divBdr>
        <w:top w:val="none" w:sz="0" w:space="0" w:color="auto"/>
        <w:left w:val="none" w:sz="0" w:space="0" w:color="auto"/>
        <w:bottom w:val="none" w:sz="0" w:space="0" w:color="auto"/>
        <w:right w:val="none" w:sz="0" w:space="0" w:color="auto"/>
      </w:divBdr>
    </w:div>
    <w:div w:id="205260980">
      <w:bodyDiv w:val="1"/>
      <w:marLeft w:val="0"/>
      <w:marRight w:val="0"/>
      <w:marTop w:val="0"/>
      <w:marBottom w:val="0"/>
      <w:divBdr>
        <w:top w:val="none" w:sz="0" w:space="0" w:color="auto"/>
        <w:left w:val="none" w:sz="0" w:space="0" w:color="auto"/>
        <w:bottom w:val="none" w:sz="0" w:space="0" w:color="auto"/>
        <w:right w:val="none" w:sz="0" w:space="0" w:color="auto"/>
      </w:divBdr>
    </w:div>
    <w:div w:id="209420003">
      <w:bodyDiv w:val="1"/>
      <w:marLeft w:val="0"/>
      <w:marRight w:val="0"/>
      <w:marTop w:val="0"/>
      <w:marBottom w:val="0"/>
      <w:divBdr>
        <w:top w:val="none" w:sz="0" w:space="0" w:color="auto"/>
        <w:left w:val="none" w:sz="0" w:space="0" w:color="auto"/>
        <w:bottom w:val="none" w:sz="0" w:space="0" w:color="auto"/>
        <w:right w:val="none" w:sz="0" w:space="0" w:color="auto"/>
      </w:divBdr>
    </w:div>
    <w:div w:id="212545157">
      <w:bodyDiv w:val="1"/>
      <w:marLeft w:val="0"/>
      <w:marRight w:val="0"/>
      <w:marTop w:val="0"/>
      <w:marBottom w:val="0"/>
      <w:divBdr>
        <w:top w:val="none" w:sz="0" w:space="0" w:color="auto"/>
        <w:left w:val="none" w:sz="0" w:space="0" w:color="auto"/>
        <w:bottom w:val="none" w:sz="0" w:space="0" w:color="auto"/>
        <w:right w:val="none" w:sz="0" w:space="0" w:color="auto"/>
      </w:divBdr>
    </w:div>
    <w:div w:id="217205725">
      <w:bodyDiv w:val="1"/>
      <w:marLeft w:val="0"/>
      <w:marRight w:val="0"/>
      <w:marTop w:val="0"/>
      <w:marBottom w:val="0"/>
      <w:divBdr>
        <w:top w:val="none" w:sz="0" w:space="0" w:color="auto"/>
        <w:left w:val="none" w:sz="0" w:space="0" w:color="auto"/>
        <w:bottom w:val="none" w:sz="0" w:space="0" w:color="auto"/>
        <w:right w:val="none" w:sz="0" w:space="0" w:color="auto"/>
      </w:divBdr>
    </w:div>
    <w:div w:id="224607690">
      <w:bodyDiv w:val="1"/>
      <w:marLeft w:val="0"/>
      <w:marRight w:val="0"/>
      <w:marTop w:val="0"/>
      <w:marBottom w:val="0"/>
      <w:divBdr>
        <w:top w:val="none" w:sz="0" w:space="0" w:color="auto"/>
        <w:left w:val="none" w:sz="0" w:space="0" w:color="auto"/>
        <w:bottom w:val="none" w:sz="0" w:space="0" w:color="auto"/>
        <w:right w:val="none" w:sz="0" w:space="0" w:color="auto"/>
      </w:divBdr>
    </w:div>
    <w:div w:id="253823095">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290987064">
      <w:bodyDiv w:val="1"/>
      <w:marLeft w:val="0"/>
      <w:marRight w:val="0"/>
      <w:marTop w:val="0"/>
      <w:marBottom w:val="0"/>
      <w:divBdr>
        <w:top w:val="none" w:sz="0" w:space="0" w:color="auto"/>
        <w:left w:val="none" w:sz="0" w:space="0" w:color="auto"/>
        <w:bottom w:val="none" w:sz="0" w:space="0" w:color="auto"/>
        <w:right w:val="none" w:sz="0" w:space="0" w:color="auto"/>
      </w:divBdr>
    </w:div>
    <w:div w:id="294064818">
      <w:bodyDiv w:val="1"/>
      <w:marLeft w:val="0"/>
      <w:marRight w:val="0"/>
      <w:marTop w:val="0"/>
      <w:marBottom w:val="0"/>
      <w:divBdr>
        <w:top w:val="none" w:sz="0" w:space="0" w:color="auto"/>
        <w:left w:val="none" w:sz="0" w:space="0" w:color="auto"/>
        <w:bottom w:val="none" w:sz="0" w:space="0" w:color="auto"/>
        <w:right w:val="none" w:sz="0" w:space="0" w:color="auto"/>
      </w:divBdr>
    </w:div>
    <w:div w:id="302783300">
      <w:bodyDiv w:val="1"/>
      <w:marLeft w:val="0"/>
      <w:marRight w:val="0"/>
      <w:marTop w:val="0"/>
      <w:marBottom w:val="0"/>
      <w:divBdr>
        <w:top w:val="none" w:sz="0" w:space="0" w:color="auto"/>
        <w:left w:val="none" w:sz="0" w:space="0" w:color="auto"/>
        <w:bottom w:val="none" w:sz="0" w:space="0" w:color="auto"/>
        <w:right w:val="none" w:sz="0" w:space="0" w:color="auto"/>
      </w:divBdr>
    </w:div>
    <w:div w:id="320698034">
      <w:bodyDiv w:val="1"/>
      <w:marLeft w:val="0"/>
      <w:marRight w:val="0"/>
      <w:marTop w:val="0"/>
      <w:marBottom w:val="0"/>
      <w:divBdr>
        <w:top w:val="none" w:sz="0" w:space="0" w:color="auto"/>
        <w:left w:val="none" w:sz="0" w:space="0" w:color="auto"/>
        <w:bottom w:val="none" w:sz="0" w:space="0" w:color="auto"/>
        <w:right w:val="none" w:sz="0" w:space="0" w:color="auto"/>
      </w:divBdr>
    </w:div>
    <w:div w:id="327178957">
      <w:bodyDiv w:val="1"/>
      <w:marLeft w:val="0"/>
      <w:marRight w:val="0"/>
      <w:marTop w:val="0"/>
      <w:marBottom w:val="0"/>
      <w:divBdr>
        <w:top w:val="none" w:sz="0" w:space="0" w:color="auto"/>
        <w:left w:val="none" w:sz="0" w:space="0" w:color="auto"/>
        <w:bottom w:val="none" w:sz="0" w:space="0" w:color="auto"/>
        <w:right w:val="none" w:sz="0" w:space="0" w:color="auto"/>
      </w:divBdr>
    </w:div>
    <w:div w:id="331563689">
      <w:bodyDiv w:val="1"/>
      <w:marLeft w:val="0"/>
      <w:marRight w:val="0"/>
      <w:marTop w:val="0"/>
      <w:marBottom w:val="0"/>
      <w:divBdr>
        <w:top w:val="none" w:sz="0" w:space="0" w:color="auto"/>
        <w:left w:val="none" w:sz="0" w:space="0" w:color="auto"/>
        <w:bottom w:val="none" w:sz="0" w:space="0" w:color="auto"/>
        <w:right w:val="none" w:sz="0" w:space="0" w:color="auto"/>
      </w:divBdr>
      <w:divsChild>
        <w:div w:id="149061013">
          <w:marLeft w:val="0"/>
          <w:marRight w:val="0"/>
          <w:marTop w:val="0"/>
          <w:marBottom w:val="0"/>
          <w:divBdr>
            <w:top w:val="none" w:sz="0" w:space="0" w:color="auto"/>
            <w:left w:val="none" w:sz="0" w:space="0" w:color="auto"/>
            <w:bottom w:val="none" w:sz="0" w:space="0" w:color="auto"/>
            <w:right w:val="none" w:sz="0" w:space="0" w:color="auto"/>
          </w:divBdr>
        </w:div>
        <w:div w:id="534079519">
          <w:marLeft w:val="0"/>
          <w:marRight w:val="0"/>
          <w:marTop w:val="0"/>
          <w:marBottom w:val="0"/>
          <w:divBdr>
            <w:top w:val="none" w:sz="0" w:space="0" w:color="auto"/>
            <w:left w:val="none" w:sz="0" w:space="0" w:color="auto"/>
            <w:bottom w:val="none" w:sz="0" w:space="0" w:color="auto"/>
            <w:right w:val="none" w:sz="0" w:space="0" w:color="auto"/>
          </w:divBdr>
        </w:div>
        <w:div w:id="593897168">
          <w:marLeft w:val="0"/>
          <w:marRight w:val="0"/>
          <w:marTop w:val="0"/>
          <w:marBottom w:val="0"/>
          <w:divBdr>
            <w:top w:val="none" w:sz="0" w:space="0" w:color="auto"/>
            <w:left w:val="none" w:sz="0" w:space="0" w:color="auto"/>
            <w:bottom w:val="none" w:sz="0" w:space="0" w:color="auto"/>
            <w:right w:val="none" w:sz="0" w:space="0" w:color="auto"/>
          </w:divBdr>
        </w:div>
        <w:div w:id="688335022">
          <w:marLeft w:val="0"/>
          <w:marRight w:val="0"/>
          <w:marTop w:val="0"/>
          <w:marBottom w:val="0"/>
          <w:divBdr>
            <w:top w:val="none" w:sz="0" w:space="0" w:color="auto"/>
            <w:left w:val="none" w:sz="0" w:space="0" w:color="auto"/>
            <w:bottom w:val="none" w:sz="0" w:space="0" w:color="auto"/>
            <w:right w:val="none" w:sz="0" w:space="0" w:color="auto"/>
          </w:divBdr>
        </w:div>
        <w:div w:id="1619021257">
          <w:marLeft w:val="0"/>
          <w:marRight w:val="0"/>
          <w:marTop w:val="0"/>
          <w:marBottom w:val="0"/>
          <w:divBdr>
            <w:top w:val="none" w:sz="0" w:space="0" w:color="auto"/>
            <w:left w:val="none" w:sz="0" w:space="0" w:color="auto"/>
            <w:bottom w:val="none" w:sz="0" w:space="0" w:color="auto"/>
            <w:right w:val="none" w:sz="0" w:space="0" w:color="auto"/>
          </w:divBdr>
        </w:div>
        <w:div w:id="1647589352">
          <w:marLeft w:val="0"/>
          <w:marRight w:val="0"/>
          <w:marTop w:val="0"/>
          <w:marBottom w:val="0"/>
          <w:divBdr>
            <w:top w:val="none" w:sz="0" w:space="0" w:color="auto"/>
            <w:left w:val="none" w:sz="0" w:space="0" w:color="auto"/>
            <w:bottom w:val="none" w:sz="0" w:space="0" w:color="auto"/>
            <w:right w:val="none" w:sz="0" w:space="0" w:color="auto"/>
          </w:divBdr>
        </w:div>
        <w:div w:id="1756827159">
          <w:marLeft w:val="0"/>
          <w:marRight w:val="0"/>
          <w:marTop w:val="0"/>
          <w:marBottom w:val="0"/>
          <w:divBdr>
            <w:top w:val="none" w:sz="0" w:space="0" w:color="auto"/>
            <w:left w:val="none" w:sz="0" w:space="0" w:color="auto"/>
            <w:bottom w:val="none" w:sz="0" w:space="0" w:color="auto"/>
            <w:right w:val="none" w:sz="0" w:space="0" w:color="auto"/>
          </w:divBdr>
        </w:div>
      </w:divsChild>
    </w:div>
    <w:div w:id="366032400">
      <w:bodyDiv w:val="1"/>
      <w:marLeft w:val="0"/>
      <w:marRight w:val="0"/>
      <w:marTop w:val="0"/>
      <w:marBottom w:val="0"/>
      <w:divBdr>
        <w:top w:val="none" w:sz="0" w:space="0" w:color="auto"/>
        <w:left w:val="none" w:sz="0" w:space="0" w:color="auto"/>
        <w:bottom w:val="none" w:sz="0" w:space="0" w:color="auto"/>
        <w:right w:val="none" w:sz="0" w:space="0" w:color="auto"/>
      </w:divBdr>
    </w:div>
    <w:div w:id="379399421">
      <w:bodyDiv w:val="1"/>
      <w:marLeft w:val="0"/>
      <w:marRight w:val="0"/>
      <w:marTop w:val="0"/>
      <w:marBottom w:val="0"/>
      <w:divBdr>
        <w:top w:val="none" w:sz="0" w:space="0" w:color="auto"/>
        <w:left w:val="none" w:sz="0" w:space="0" w:color="auto"/>
        <w:bottom w:val="none" w:sz="0" w:space="0" w:color="auto"/>
        <w:right w:val="none" w:sz="0" w:space="0" w:color="auto"/>
      </w:divBdr>
    </w:div>
    <w:div w:id="395248173">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03769150">
      <w:bodyDiv w:val="1"/>
      <w:marLeft w:val="0"/>
      <w:marRight w:val="0"/>
      <w:marTop w:val="0"/>
      <w:marBottom w:val="0"/>
      <w:divBdr>
        <w:top w:val="none" w:sz="0" w:space="0" w:color="auto"/>
        <w:left w:val="none" w:sz="0" w:space="0" w:color="auto"/>
        <w:bottom w:val="none" w:sz="0" w:space="0" w:color="auto"/>
        <w:right w:val="none" w:sz="0" w:space="0" w:color="auto"/>
      </w:divBdr>
    </w:div>
    <w:div w:id="417751365">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27892455">
      <w:bodyDiv w:val="1"/>
      <w:marLeft w:val="0"/>
      <w:marRight w:val="0"/>
      <w:marTop w:val="0"/>
      <w:marBottom w:val="0"/>
      <w:divBdr>
        <w:top w:val="none" w:sz="0" w:space="0" w:color="auto"/>
        <w:left w:val="none" w:sz="0" w:space="0" w:color="auto"/>
        <w:bottom w:val="none" w:sz="0" w:space="0" w:color="auto"/>
        <w:right w:val="none" w:sz="0" w:space="0" w:color="auto"/>
      </w:divBdr>
    </w:div>
    <w:div w:id="430515490">
      <w:bodyDiv w:val="1"/>
      <w:marLeft w:val="0"/>
      <w:marRight w:val="0"/>
      <w:marTop w:val="0"/>
      <w:marBottom w:val="0"/>
      <w:divBdr>
        <w:top w:val="none" w:sz="0" w:space="0" w:color="auto"/>
        <w:left w:val="none" w:sz="0" w:space="0" w:color="auto"/>
        <w:bottom w:val="none" w:sz="0" w:space="0" w:color="auto"/>
        <w:right w:val="none" w:sz="0" w:space="0" w:color="auto"/>
      </w:divBdr>
      <w:divsChild>
        <w:div w:id="92014029">
          <w:marLeft w:val="0"/>
          <w:marRight w:val="0"/>
          <w:marTop w:val="0"/>
          <w:marBottom w:val="0"/>
          <w:divBdr>
            <w:top w:val="none" w:sz="0" w:space="0" w:color="auto"/>
            <w:left w:val="none" w:sz="0" w:space="0" w:color="auto"/>
            <w:bottom w:val="none" w:sz="0" w:space="0" w:color="auto"/>
            <w:right w:val="none" w:sz="0" w:space="0" w:color="auto"/>
          </w:divBdr>
        </w:div>
        <w:div w:id="193036073">
          <w:marLeft w:val="0"/>
          <w:marRight w:val="0"/>
          <w:marTop w:val="0"/>
          <w:marBottom w:val="0"/>
          <w:divBdr>
            <w:top w:val="none" w:sz="0" w:space="0" w:color="auto"/>
            <w:left w:val="none" w:sz="0" w:space="0" w:color="auto"/>
            <w:bottom w:val="none" w:sz="0" w:space="0" w:color="auto"/>
            <w:right w:val="none" w:sz="0" w:space="0" w:color="auto"/>
          </w:divBdr>
        </w:div>
        <w:div w:id="498547022">
          <w:marLeft w:val="0"/>
          <w:marRight w:val="0"/>
          <w:marTop w:val="0"/>
          <w:marBottom w:val="0"/>
          <w:divBdr>
            <w:top w:val="none" w:sz="0" w:space="0" w:color="auto"/>
            <w:left w:val="none" w:sz="0" w:space="0" w:color="auto"/>
            <w:bottom w:val="none" w:sz="0" w:space="0" w:color="auto"/>
            <w:right w:val="none" w:sz="0" w:space="0" w:color="auto"/>
          </w:divBdr>
        </w:div>
        <w:div w:id="541016536">
          <w:marLeft w:val="0"/>
          <w:marRight w:val="0"/>
          <w:marTop w:val="0"/>
          <w:marBottom w:val="0"/>
          <w:divBdr>
            <w:top w:val="none" w:sz="0" w:space="0" w:color="auto"/>
            <w:left w:val="none" w:sz="0" w:space="0" w:color="auto"/>
            <w:bottom w:val="none" w:sz="0" w:space="0" w:color="auto"/>
            <w:right w:val="none" w:sz="0" w:space="0" w:color="auto"/>
          </w:divBdr>
        </w:div>
        <w:div w:id="1065564852">
          <w:marLeft w:val="0"/>
          <w:marRight w:val="0"/>
          <w:marTop w:val="0"/>
          <w:marBottom w:val="0"/>
          <w:divBdr>
            <w:top w:val="none" w:sz="0" w:space="0" w:color="auto"/>
            <w:left w:val="none" w:sz="0" w:space="0" w:color="auto"/>
            <w:bottom w:val="none" w:sz="0" w:space="0" w:color="auto"/>
            <w:right w:val="none" w:sz="0" w:space="0" w:color="auto"/>
          </w:divBdr>
        </w:div>
        <w:div w:id="1218857387">
          <w:marLeft w:val="0"/>
          <w:marRight w:val="0"/>
          <w:marTop w:val="0"/>
          <w:marBottom w:val="0"/>
          <w:divBdr>
            <w:top w:val="none" w:sz="0" w:space="0" w:color="auto"/>
            <w:left w:val="none" w:sz="0" w:space="0" w:color="auto"/>
            <w:bottom w:val="none" w:sz="0" w:space="0" w:color="auto"/>
            <w:right w:val="none" w:sz="0" w:space="0" w:color="auto"/>
          </w:divBdr>
        </w:div>
        <w:div w:id="2029521782">
          <w:marLeft w:val="0"/>
          <w:marRight w:val="0"/>
          <w:marTop w:val="0"/>
          <w:marBottom w:val="0"/>
          <w:divBdr>
            <w:top w:val="none" w:sz="0" w:space="0" w:color="auto"/>
            <w:left w:val="none" w:sz="0" w:space="0" w:color="auto"/>
            <w:bottom w:val="none" w:sz="0" w:space="0" w:color="auto"/>
            <w:right w:val="none" w:sz="0" w:space="0" w:color="auto"/>
          </w:divBdr>
        </w:div>
      </w:divsChild>
    </w:div>
    <w:div w:id="439254791">
      <w:bodyDiv w:val="1"/>
      <w:marLeft w:val="0"/>
      <w:marRight w:val="0"/>
      <w:marTop w:val="0"/>
      <w:marBottom w:val="0"/>
      <w:divBdr>
        <w:top w:val="none" w:sz="0" w:space="0" w:color="auto"/>
        <w:left w:val="none" w:sz="0" w:space="0" w:color="auto"/>
        <w:bottom w:val="none" w:sz="0" w:space="0" w:color="auto"/>
        <w:right w:val="none" w:sz="0" w:space="0" w:color="auto"/>
      </w:divBdr>
    </w:div>
    <w:div w:id="447160752">
      <w:bodyDiv w:val="1"/>
      <w:marLeft w:val="0"/>
      <w:marRight w:val="0"/>
      <w:marTop w:val="0"/>
      <w:marBottom w:val="0"/>
      <w:divBdr>
        <w:top w:val="none" w:sz="0" w:space="0" w:color="auto"/>
        <w:left w:val="none" w:sz="0" w:space="0" w:color="auto"/>
        <w:bottom w:val="none" w:sz="0" w:space="0" w:color="auto"/>
        <w:right w:val="none" w:sz="0" w:space="0" w:color="auto"/>
      </w:divBdr>
    </w:div>
    <w:div w:id="457525692">
      <w:bodyDiv w:val="1"/>
      <w:marLeft w:val="0"/>
      <w:marRight w:val="0"/>
      <w:marTop w:val="0"/>
      <w:marBottom w:val="0"/>
      <w:divBdr>
        <w:top w:val="none" w:sz="0" w:space="0" w:color="auto"/>
        <w:left w:val="none" w:sz="0" w:space="0" w:color="auto"/>
        <w:bottom w:val="none" w:sz="0" w:space="0" w:color="auto"/>
        <w:right w:val="none" w:sz="0" w:space="0" w:color="auto"/>
      </w:divBdr>
    </w:div>
    <w:div w:id="471872334">
      <w:bodyDiv w:val="1"/>
      <w:marLeft w:val="0"/>
      <w:marRight w:val="0"/>
      <w:marTop w:val="0"/>
      <w:marBottom w:val="0"/>
      <w:divBdr>
        <w:top w:val="none" w:sz="0" w:space="0" w:color="auto"/>
        <w:left w:val="none" w:sz="0" w:space="0" w:color="auto"/>
        <w:bottom w:val="none" w:sz="0" w:space="0" w:color="auto"/>
        <w:right w:val="none" w:sz="0" w:space="0" w:color="auto"/>
      </w:divBdr>
    </w:div>
    <w:div w:id="476150371">
      <w:bodyDiv w:val="1"/>
      <w:marLeft w:val="0"/>
      <w:marRight w:val="0"/>
      <w:marTop w:val="0"/>
      <w:marBottom w:val="0"/>
      <w:divBdr>
        <w:top w:val="none" w:sz="0" w:space="0" w:color="auto"/>
        <w:left w:val="none" w:sz="0" w:space="0" w:color="auto"/>
        <w:bottom w:val="none" w:sz="0" w:space="0" w:color="auto"/>
        <w:right w:val="none" w:sz="0" w:space="0" w:color="auto"/>
      </w:divBdr>
      <w:divsChild>
        <w:div w:id="649989822">
          <w:marLeft w:val="0"/>
          <w:marRight w:val="0"/>
          <w:marTop w:val="0"/>
          <w:marBottom w:val="0"/>
          <w:divBdr>
            <w:top w:val="none" w:sz="0" w:space="0" w:color="auto"/>
            <w:left w:val="none" w:sz="0" w:space="0" w:color="auto"/>
            <w:bottom w:val="none" w:sz="0" w:space="0" w:color="auto"/>
            <w:right w:val="none" w:sz="0" w:space="0" w:color="auto"/>
          </w:divBdr>
        </w:div>
        <w:div w:id="1835220063">
          <w:marLeft w:val="0"/>
          <w:marRight w:val="0"/>
          <w:marTop w:val="0"/>
          <w:marBottom w:val="0"/>
          <w:divBdr>
            <w:top w:val="none" w:sz="0" w:space="0" w:color="auto"/>
            <w:left w:val="none" w:sz="0" w:space="0" w:color="auto"/>
            <w:bottom w:val="none" w:sz="0" w:space="0" w:color="auto"/>
            <w:right w:val="none" w:sz="0" w:space="0" w:color="auto"/>
          </w:divBdr>
        </w:div>
      </w:divsChild>
    </w:div>
    <w:div w:id="480463842">
      <w:bodyDiv w:val="1"/>
      <w:marLeft w:val="0"/>
      <w:marRight w:val="0"/>
      <w:marTop w:val="0"/>
      <w:marBottom w:val="0"/>
      <w:divBdr>
        <w:top w:val="none" w:sz="0" w:space="0" w:color="auto"/>
        <w:left w:val="none" w:sz="0" w:space="0" w:color="auto"/>
        <w:bottom w:val="none" w:sz="0" w:space="0" w:color="auto"/>
        <w:right w:val="none" w:sz="0" w:space="0" w:color="auto"/>
      </w:divBdr>
    </w:div>
    <w:div w:id="480580171">
      <w:bodyDiv w:val="1"/>
      <w:marLeft w:val="0"/>
      <w:marRight w:val="0"/>
      <w:marTop w:val="0"/>
      <w:marBottom w:val="0"/>
      <w:divBdr>
        <w:top w:val="none" w:sz="0" w:space="0" w:color="auto"/>
        <w:left w:val="none" w:sz="0" w:space="0" w:color="auto"/>
        <w:bottom w:val="none" w:sz="0" w:space="0" w:color="auto"/>
        <w:right w:val="none" w:sz="0" w:space="0" w:color="auto"/>
      </w:divBdr>
    </w:div>
    <w:div w:id="488982957">
      <w:bodyDiv w:val="1"/>
      <w:marLeft w:val="0"/>
      <w:marRight w:val="0"/>
      <w:marTop w:val="0"/>
      <w:marBottom w:val="0"/>
      <w:divBdr>
        <w:top w:val="none" w:sz="0" w:space="0" w:color="auto"/>
        <w:left w:val="none" w:sz="0" w:space="0" w:color="auto"/>
        <w:bottom w:val="none" w:sz="0" w:space="0" w:color="auto"/>
        <w:right w:val="none" w:sz="0" w:space="0" w:color="auto"/>
      </w:divBdr>
    </w:div>
    <w:div w:id="499927299">
      <w:bodyDiv w:val="1"/>
      <w:marLeft w:val="0"/>
      <w:marRight w:val="0"/>
      <w:marTop w:val="0"/>
      <w:marBottom w:val="0"/>
      <w:divBdr>
        <w:top w:val="none" w:sz="0" w:space="0" w:color="auto"/>
        <w:left w:val="none" w:sz="0" w:space="0" w:color="auto"/>
        <w:bottom w:val="none" w:sz="0" w:space="0" w:color="auto"/>
        <w:right w:val="none" w:sz="0" w:space="0" w:color="auto"/>
      </w:divBdr>
    </w:div>
    <w:div w:id="508525779">
      <w:bodyDiv w:val="1"/>
      <w:marLeft w:val="0"/>
      <w:marRight w:val="0"/>
      <w:marTop w:val="0"/>
      <w:marBottom w:val="0"/>
      <w:divBdr>
        <w:top w:val="none" w:sz="0" w:space="0" w:color="auto"/>
        <w:left w:val="none" w:sz="0" w:space="0" w:color="auto"/>
        <w:bottom w:val="none" w:sz="0" w:space="0" w:color="auto"/>
        <w:right w:val="none" w:sz="0" w:space="0" w:color="auto"/>
      </w:divBdr>
    </w:div>
    <w:div w:id="515458721">
      <w:bodyDiv w:val="1"/>
      <w:marLeft w:val="0"/>
      <w:marRight w:val="0"/>
      <w:marTop w:val="0"/>
      <w:marBottom w:val="0"/>
      <w:divBdr>
        <w:top w:val="none" w:sz="0" w:space="0" w:color="auto"/>
        <w:left w:val="none" w:sz="0" w:space="0" w:color="auto"/>
        <w:bottom w:val="none" w:sz="0" w:space="0" w:color="auto"/>
        <w:right w:val="none" w:sz="0" w:space="0" w:color="auto"/>
      </w:divBdr>
    </w:div>
    <w:div w:id="544873669">
      <w:bodyDiv w:val="1"/>
      <w:marLeft w:val="0"/>
      <w:marRight w:val="0"/>
      <w:marTop w:val="0"/>
      <w:marBottom w:val="0"/>
      <w:divBdr>
        <w:top w:val="none" w:sz="0" w:space="0" w:color="auto"/>
        <w:left w:val="none" w:sz="0" w:space="0" w:color="auto"/>
        <w:bottom w:val="none" w:sz="0" w:space="0" w:color="auto"/>
        <w:right w:val="none" w:sz="0" w:space="0" w:color="auto"/>
      </w:divBdr>
    </w:div>
    <w:div w:id="568000550">
      <w:bodyDiv w:val="1"/>
      <w:marLeft w:val="0"/>
      <w:marRight w:val="0"/>
      <w:marTop w:val="0"/>
      <w:marBottom w:val="0"/>
      <w:divBdr>
        <w:top w:val="none" w:sz="0" w:space="0" w:color="auto"/>
        <w:left w:val="none" w:sz="0" w:space="0" w:color="auto"/>
        <w:bottom w:val="none" w:sz="0" w:space="0" w:color="auto"/>
        <w:right w:val="none" w:sz="0" w:space="0" w:color="auto"/>
      </w:divBdr>
    </w:div>
    <w:div w:id="568229104">
      <w:bodyDiv w:val="1"/>
      <w:marLeft w:val="0"/>
      <w:marRight w:val="0"/>
      <w:marTop w:val="0"/>
      <w:marBottom w:val="0"/>
      <w:divBdr>
        <w:top w:val="none" w:sz="0" w:space="0" w:color="auto"/>
        <w:left w:val="none" w:sz="0" w:space="0" w:color="auto"/>
        <w:bottom w:val="none" w:sz="0" w:space="0" w:color="auto"/>
        <w:right w:val="none" w:sz="0" w:space="0" w:color="auto"/>
      </w:divBdr>
    </w:div>
    <w:div w:id="573125143">
      <w:bodyDiv w:val="1"/>
      <w:marLeft w:val="0"/>
      <w:marRight w:val="0"/>
      <w:marTop w:val="0"/>
      <w:marBottom w:val="0"/>
      <w:divBdr>
        <w:top w:val="none" w:sz="0" w:space="0" w:color="auto"/>
        <w:left w:val="none" w:sz="0" w:space="0" w:color="auto"/>
        <w:bottom w:val="none" w:sz="0" w:space="0" w:color="auto"/>
        <w:right w:val="none" w:sz="0" w:space="0" w:color="auto"/>
      </w:divBdr>
    </w:div>
    <w:div w:id="576749095">
      <w:bodyDiv w:val="1"/>
      <w:marLeft w:val="0"/>
      <w:marRight w:val="0"/>
      <w:marTop w:val="0"/>
      <w:marBottom w:val="0"/>
      <w:divBdr>
        <w:top w:val="none" w:sz="0" w:space="0" w:color="auto"/>
        <w:left w:val="none" w:sz="0" w:space="0" w:color="auto"/>
        <w:bottom w:val="none" w:sz="0" w:space="0" w:color="auto"/>
        <w:right w:val="none" w:sz="0" w:space="0" w:color="auto"/>
      </w:divBdr>
    </w:div>
    <w:div w:id="600643409">
      <w:bodyDiv w:val="1"/>
      <w:marLeft w:val="0"/>
      <w:marRight w:val="0"/>
      <w:marTop w:val="0"/>
      <w:marBottom w:val="0"/>
      <w:divBdr>
        <w:top w:val="none" w:sz="0" w:space="0" w:color="auto"/>
        <w:left w:val="none" w:sz="0" w:space="0" w:color="auto"/>
        <w:bottom w:val="none" w:sz="0" w:space="0" w:color="auto"/>
        <w:right w:val="none" w:sz="0" w:space="0" w:color="auto"/>
      </w:divBdr>
      <w:divsChild>
        <w:div w:id="14965165">
          <w:marLeft w:val="0"/>
          <w:marRight w:val="0"/>
          <w:marTop w:val="0"/>
          <w:marBottom w:val="0"/>
          <w:divBdr>
            <w:top w:val="none" w:sz="0" w:space="0" w:color="auto"/>
            <w:left w:val="none" w:sz="0" w:space="0" w:color="auto"/>
            <w:bottom w:val="none" w:sz="0" w:space="0" w:color="auto"/>
            <w:right w:val="none" w:sz="0" w:space="0" w:color="auto"/>
          </w:divBdr>
        </w:div>
        <w:div w:id="771706132">
          <w:marLeft w:val="0"/>
          <w:marRight w:val="0"/>
          <w:marTop w:val="0"/>
          <w:marBottom w:val="0"/>
          <w:divBdr>
            <w:top w:val="none" w:sz="0" w:space="0" w:color="auto"/>
            <w:left w:val="none" w:sz="0" w:space="0" w:color="auto"/>
            <w:bottom w:val="none" w:sz="0" w:space="0" w:color="auto"/>
            <w:right w:val="none" w:sz="0" w:space="0" w:color="auto"/>
          </w:divBdr>
        </w:div>
        <w:div w:id="1075316541">
          <w:marLeft w:val="0"/>
          <w:marRight w:val="0"/>
          <w:marTop w:val="0"/>
          <w:marBottom w:val="0"/>
          <w:divBdr>
            <w:top w:val="none" w:sz="0" w:space="0" w:color="auto"/>
            <w:left w:val="none" w:sz="0" w:space="0" w:color="auto"/>
            <w:bottom w:val="none" w:sz="0" w:space="0" w:color="auto"/>
            <w:right w:val="none" w:sz="0" w:space="0" w:color="auto"/>
          </w:divBdr>
        </w:div>
        <w:div w:id="1471558905">
          <w:marLeft w:val="0"/>
          <w:marRight w:val="0"/>
          <w:marTop w:val="0"/>
          <w:marBottom w:val="0"/>
          <w:divBdr>
            <w:top w:val="none" w:sz="0" w:space="0" w:color="auto"/>
            <w:left w:val="none" w:sz="0" w:space="0" w:color="auto"/>
            <w:bottom w:val="none" w:sz="0" w:space="0" w:color="auto"/>
            <w:right w:val="none" w:sz="0" w:space="0" w:color="auto"/>
          </w:divBdr>
        </w:div>
        <w:div w:id="1546791193">
          <w:marLeft w:val="0"/>
          <w:marRight w:val="0"/>
          <w:marTop w:val="0"/>
          <w:marBottom w:val="0"/>
          <w:divBdr>
            <w:top w:val="none" w:sz="0" w:space="0" w:color="auto"/>
            <w:left w:val="none" w:sz="0" w:space="0" w:color="auto"/>
            <w:bottom w:val="none" w:sz="0" w:space="0" w:color="auto"/>
            <w:right w:val="none" w:sz="0" w:space="0" w:color="auto"/>
          </w:divBdr>
        </w:div>
      </w:divsChild>
    </w:div>
    <w:div w:id="601030770">
      <w:bodyDiv w:val="1"/>
      <w:marLeft w:val="0"/>
      <w:marRight w:val="0"/>
      <w:marTop w:val="0"/>
      <w:marBottom w:val="0"/>
      <w:divBdr>
        <w:top w:val="none" w:sz="0" w:space="0" w:color="auto"/>
        <w:left w:val="none" w:sz="0" w:space="0" w:color="auto"/>
        <w:bottom w:val="none" w:sz="0" w:space="0" w:color="auto"/>
        <w:right w:val="none" w:sz="0" w:space="0" w:color="auto"/>
      </w:divBdr>
    </w:div>
    <w:div w:id="623733235">
      <w:bodyDiv w:val="1"/>
      <w:marLeft w:val="0"/>
      <w:marRight w:val="0"/>
      <w:marTop w:val="0"/>
      <w:marBottom w:val="0"/>
      <w:divBdr>
        <w:top w:val="none" w:sz="0" w:space="0" w:color="auto"/>
        <w:left w:val="none" w:sz="0" w:space="0" w:color="auto"/>
        <w:bottom w:val="none" w:sz="0" w:space="0" w:color="auto"/>
        <w:right w:val="none" w:sz="0" w:space="0" w:color="auto"/>
      </w:divBdr>
    </w:div>
    <w:div w:id="624505963">
      <w:bodyDiv w:val="1"/>
      <w:marLeft w:val="0"/>
      <w:marRight w:val="0"/>
      <w:marTop w:val="0"/>
      <w:marBottom w:val="0"/>
      <w:divBdr>
        <w:top w:val="none" w:sz="0" w:space="0" w:color="auto"/>
        <w:left w:val="none" w:sz="0" w:space="0" w:color="auto"/>
        <w:bottom w:val="none" w:sz="0" w:space="0" w:color="auto"/>
        <w:right w:val="none" w:sz="0" w:space="0" w:color="auto"/>
      </w:divBdr>
    </w:div>
    <w:div w:id="625501369">
      <w:bodyDiv w:val="1"/>
      <w:marLeft w:val="0"/>
      <w:marRight w:val="0"/>
      <w:marTop w:val="0"/>
      <w:marBottom w:val="0"/>
      <w:divBdr>
        <w:top w:val="none" w:sz="0" w:space="0" w:color="auto"/>
        <w:left w:val="none" w:sz="0" w:space="0" w:color="auto"/>
        <w:bottom w:val="none" w:sz="0" w:space="0" w:color="auto"/>
        <w:right w:val="none" w:sz="0" w:space="0" w:color="auto"/>
      </w:divBdr>
    </w:div>
    <w:div w:id="626740965">
      <w:bodyDiv w:val="1"/>
      <w:marLeft w:val="0"/>
      <w:marRight w:val="0"/>
      <w:marTop w:val="0"/>
      <w:marBottom w:val="0"/>
      <w:divBdr>
        <w:top w:val="none" w:sz="0" w:space="0" w:color="auto"/>
        <w:left w:val="none" w:sz="0" w:space="0" w:color="auto"/>
        <w:bottom w:val="none" w:sz="0" w:space="0" w:color="auto"/>
        <w:right w:val="none" w:sz="0" w:space="0" w:color="auto"/>
      </w:divBdr>
    </w:div>
    <w:div w:id="643318424">
      <w:bodyDiv w:val="1"/>
      <w:marLeft w:val="0"/>
      <w:marRight w:val="0"/>
      <w:marTop w:val="0"/>
      <w:marBottom w:val="0"/>
      <w:divBdr>
        <w:top w:val="none" w:sz="0" w:space="0" w:color="auto"/>
        <w:left w:val="none" w:sz="0" w:space="0" w:color="auto"/>
        <w:bottom w:val="none" w:sz="0" w:space="0" w:color="auto"/>
        <w:right w:val="none" w:sz="0" w:space="0" w:color="auto"/>
      </w:divBdr>
    </w:div>
    <w:div w:id="648218049">
      <w:bodyDiv w:val="1"/>
      <w:marLeft w:val="0"/>
      <w:marRight w:val="0"/>
      <w:marTop w:val="0"/>
      <w:marBottom w:val="0"/>
      <w:divBdr>
        <w:top w:val="none" w:sz="0" w:space="0" w:color="auto"/>
        <w:left w:val="none" w:sz="0" w:space="0" w:color="auto"/>
        <w:bottom w:val="none" w:sz="0" w:space="0" w:color="auto"/>
        <w:right w:val="none" w:sz="0" w:space="0" w:color="auto"/>
      </w:divBdr>
    </w:div>
    <w:div w:id="650911106">
      <w:bodyDiv w:val="1"/>
      <w:marLeft w:val="0"/>
      <w:marRight w:val="0"/>
      <w:marTop w:val="0"/>
      <w:marBottom w:val="0"/>
      <w:divBdr>
        <w:top w:val="none" w:sz="0" w:space="0" w:color="auto"/>
        <w:left w:val="none" w:sz="0" w:space="0" w:color="auto"/>
        <w:bottom w:val="none" w:sz="0" w:space="0" w:color="auto"/>
        <w:right w:val="none" w:sz="0" w:space="0" w:color="auto"/>
      </w:divBdr>
    </w:div>
    <w:div w:id="672024635">
      <w:bodyDiv w:val="1"/>
      <w:marLeft w:val="0"/>
      <w:marRight w:val="0"/>
      <w:marTop w:val="0"/>
      <w:marBottom w:val="0"/>
      <w:divBdr>
        <w:top w:val="none" w:sz="0" w:space="0" w:color="auto"/>
        <w:left w:val="none" w:sz="0" w:space="0" w:color="auto"/>
        <w:bottom w:val="none" w:sz="0" w:space="0" w:color="auto"/>
        <w:right w:val="none" w:sz="0" w:space="0" w:color="auto"/>
      </w:divBdr>
    </w:div>
    <w:div w:id="686056274">
      <w:bodyDiv w:val="1"/>
      <w:marLeft w:val="0"/>
      <w:marRight w:val="0"/>
      <w:marTop w:val="0"/>
      <w:marBottom w:val="0"/>
      <w:divBdr>
        <w:top w:val="none" w:sz="0" w:space="0" w:color="auto"/>
        <w:left w:val="none" w:sz="0" w:space="0" w:color="auto"/>
        <w:bottom w:val="none" w:sz="0" w:space="0" w:color="auto"/>
        <w:right w:val="none" w:sz="0" w:space="0" w:color="auto"/>
      </w:divBdr>
    </w:div>
    <w:div w:id="688071323">
      <w:bodyDiv w:val="1"/>
      <w:marLeft w:val="0"/>
      <w:marRight w:val="0"/>
      <w:marTop w:val="0"/>
      <w:marBottom w:val="0"/>
      <w:divBdr>
        <w:top w:val="none" w:sz="0" w:space="0" w:color="auto"/>
        <w:left w:val="none" w:sz="0" w:space="0" w:color="auto"/>
        <w:bottom w:val="none" w:sz="0" w:space="0" w:color="auto"/>
        <w:right w:val="none" w:sz="0" w:space="0" w:color="auto"/>
      </w:divBdr>
      <w:divsChild>
        <w:div w:id="11037849">
          <w:marLeft w:val="0"/>
          <w:marRight w:val="0"/>
          <w:marTop w:val="0"/>
          <w:marBottom w:val="0"/>
          <w:divBdr>
            <w:top w:val="none" w:sz="0" w:space="0" w:color="auto"/>
            <w:left w:val="none" w:sz="0" w:space="0" w:color="auto"/>
            <w:bottom w:val="none" w:sz="0" w:space="0" w:color="auto"/>
            <w:right w:val="none" w:sz="0" w:space="0" w:color="auto"/>
          </w:divBdr>
        </w:div>
        <w:div w:id="456534086">
          <w:marLeft w:val="0"/>
          <w:marRight w:val="0"/>
          <w:marTop w:val="0"/>
          <w:marBottom w:val="0"/>
          <w:divBdr>
            <w:top w:val="none" w:sz="0" w:space="0" w:color="auto"/>
            <w:left w:val="none" w:sz="0" w:space="0" w:color="auto"/>
            <w:bottom w:val="none" w:sz="0" w:space="0" w:color="auto"/>
            <w:right w:val="none" w:sz="0" w:space="0" w:color="auto"/>
          </w:divBdr>
        </w:div>
        <w:div w:id="562522200">
          <w:marLeft w:val="0"/>
          <w:marRight w:val="0"/>
          <w:marTop w:val="0"/>
          <w:marBottom w:val="0"/>
          <w:divBdr>
            <w:top w:val="none" w:sz="0" w:space="0" w:color="auto"/>
            <w:left w:val="none" w:sz="0" w:space="0" w:color="auto"/>
            <w:bottom w:val="none" w:sz="0" w:space="0" w:color="auto"/>
            <w:right w:val="none" w:sz="0" w:space="0" w:color="auto"/>
          </w:divBdr>
        </w:div>
        <w:div w:id="779223519">
          <w:marLeft w:val="0"/>
          <w:marRight w:val="0"/>
          <w:marTop w:val="0"/>
          <w:marBottom w:val="0"/>
          <w:divBdr>
            <w:top w:val="none" w:sz="0" w:space="0" w:color="auto"/>
            <w:left w:val="none" w:sz="0" w:space="0" w:color="auto"/>
            <w:bottom w:val="none" w:sz="0" w:space="0" w:color="auto"/>
            <w:right w:val="none" w:sz="0" w:space="0" w:color="auto"/>
          </w:divBdr>
        </w:div>
        <w:div w:id="1270969278">
          <w:marLeft w:val="0"/>
          <w:marRight w:val="0"/>
          <w:marTop w:val="0"/>
          <w:marBottom w:val="0"/>
          <w:divBdr>
            <w:top w:val="none" w:sz="0" w:space="0" w:color="auto"/>
            <w:left w:val="none" w:sz="0" w:space="0" w:color="auto"/>
            <w:bottom w:val="none" w:sz="0" w:space="0" w:color="auto"/>
            <w:right w:val="none" w:sz="0" w:space="0" w:color="auto"/>
          </w:divBdr>
        </w:div>
        <w:div w:id="1367026021">
          <w:marLeft w:val="0"/>
          <w:marRight w:val="0"/>
          <w:marTop w:val="0"/>
          <w:marBottom w:val="0"/>
          <w:divBdr>
            <w:top w:val="none" w:sz="0" w:space="0" w:color="auto"/>
            <w:left w:val="none" w:sz="0" w:space="0" w:color="auto"/>
            <w:bottom w:val="none" w:sz="0" w:space="0" w:color="auto"/>
            <w:right w:val="none" w:sz="0" w:space="0" w:color="auto"/>
          </w:divBdr>
        </w:div>
        <w:div w:id="1684239906">
          <w:marLeft w:val="0"/>
          <w:marRight w:val="0"/>
          <w:marTop w:val="0"/>
          <w:marBottom w:val="0"/>
          <w:divBdr>
            <w:top w:val="none" w:sz="0" w:space="0" w:color="auto"/>
            <w:left w:val="none" w:sz="0" w:space="0" w:color="auto"/>
            <w:bottom w:val="none" w:sz="0" w:space="0" w:color="auto"/>
            <w:right w:val="none" w:sz="0" w:space="0" w:color="auto"/>
          </w:divBdr>
        </w:div>
      </w:divsChild>
    </w:div>
    <w:div w:id="696858110">
      <w:bodyDiv w:val="1"/>
      <w:marLeft w:val="0"/>
      <w:marRight w:val="0"/>
      <w:marTop w:val="0"/>
      <w:marBottom w:val="0"/>
      <w:divBdr>
        <w:top w:val="none" w:sz="0" w:space="0" w:color="auto"/>
        <w:left w:val="none" w:sz="0" w:space="0" w:color="auto"/>
        <w:bottom w:val="none" w:sz="0" w:space="0" w:color="auto"/>
        <w:right w:val="none" w:sz="0" w:space="0" w:color="auto"/>
      </w:divBdr>
    </w:div>
    <w:div w:id="709957235">
      <w:bodyDiv w:val="1"/>
      <w:marLeft w:val="0"/>
      <w:marRight w:val="0"/>
      <w:marTop w:val="0"/>
      <w:marBottom w:val="0"/>
      <w:divBdr>
        <w:top w:val="none" w:sz="0" w:space="0" w:color="auto"/>
        <w:left w:val="none" w:sz="0" w:space="0" w:color="auto"/>
        <w:bottom w:val="none" w:sz="0" w:space="0" w:color="auto"/>
        <w:right w:val="none" w:sz="0" w:space="0" w:color="auto"/>
      </w:divBdr>
    </w:div>
    <w:div w:id="714693034">
      <w:bodyDiv w:val="1"/>
      <w:marLeft w:val="0"/>
      <w:marRight w:val="0"/>
      <w:marTop w:val="0"/>
      <w:marBottom w:val="0"/>
      <w:divBdr>
        <w:top w:val="none" w:sz="0" w:space="0" w:color="auto"/>
        <w:left w:val="none" w:sz="0" w:space="0" w:color="auto"/>
        <w:bottom w:val="none" w:sz="0" w:space="0" w:color="auto"/>
        <w:right w:val="none" w:sz="0" w:space="0" w:color="auto"/>
      </w:divBdr>
      <w:divsChild>
        <w:div w:id="721830551">
          <w:marLeft w:val="0"/>
          <w:marRight w:val="0"/>
          <w:marTop w:val="0"/>
          <w:marBottom w:val="0"/>
          <w:divBdr>
            <w:top w:val="none" w:sz="0" w:space="0" w:color="auto"/>
            <w:left w:val="none" w:sz="0" w:space="0" w:color="auto"/>
            <w:bottom w:val="none" w:sz="0" w:space="0" w:color="auto"/>
            <w:right w:val="none" w:sz="0" w:space="0" w:color="auto"/>
          </w:divBdr>
        </w:div>
      </w:divsChild>
    </w:div>
    <w:div w:id="720981651">
      <w:bodyDiv w:val="1"/>
      <w:marLeft w:val="0"/>
      <w:marRight w:val="0"/>
      <w:marTop w:val="0"/>
      <w:marBottom w:val="0"/>
      <w:divBdr>
        <w:top w:val="none" w:sz="0" w:space="0" w:color="auto"/>
        <w:left w:val="none" w:sz="0" w:space="0" w:color="auto"/>
        <w:bottom w:val="none" w:sz="0" w:space="0" w:color="auto"/>
        <w:right w:val="none" w:sz="0" w:space="0" w:color="auto"/>
      </w:divBdr>
    </w:div>
    <w:div w:id="726994561">
      <w:bodyDiv w:val="1"/>
      <w:marLeft w:val="0"/>
      <w:marRight w:val="0"/>
      <w:marTop w:val="0"/>
      <w:marBottom w:val="0"/>
      <w:divBdr>
        <w:top w:val="none" w:sz="0" w:space="0" w:color="auto"/>
        <w:left w:val="none" w:sz="0" w:space="0" w:color="auto"/>
        <w:bottom w:val="none" w:sz="0" w:space="0" w:color="auto"/>
        <w:right w:val="none" w:sz="0" w:space="0" w:color="auto"/>
      </w:divBdr>
    </w:div>
    <w:div w:id="738089964">
      <w:bodyDiv w:val="1"/>
      <w:marLeft w:val="0"/>
      <w:marRight w:val="0"/>
      <w:marTop w:val="0"/>
      <w:marBottom w:val="0"/>
      <w:divBdr>
        <w:top w:val="none" w:sz="0" w:space="0" w:color="auto"/>
        <w:left w:val="none" w:sz="0" w:space="0" w:color="auto"/>
        <w:bottom w:val="none" w:sz="0" w:space="0" w:color="auto"/>
        <w:right w:val="none" w:sz="0" w:space="0" w:color="auto"/>
      </w:divBdr>
    </w:div>
    <w:div w:id="739139992">
      <w:bodyDiv w:val="1"/>
      <w:marLeft w:val="0"/>
      <w:marRight w:val="0"/>
      <w:marTop w:val="0"/>
      <w:marBottom w:val="0"/>
      <w:divBdr>
        <w:top w:val="none" w:sz="0" w:space="0" w:color="auto"/>
        <w:left w:val="none" w:sz="0" w:space="0" w:color="auto"/>
        <w:bottom w:val="none" w:sz="0" w:space="0" w:color="auto"/>
        <w:right w:val="none" w:sz="0" w:space="0" w:color="auto"/>
      </w:divBdr>
      <w:divsChild>
        <w:div w:id="440224247">
          <w:marLeft w:val="0"/>
          <w:marRight w:val="0"/>
          <w:marTop w:val="0"/>
          <w:marBottom w:val="0"/>
          <w:divBdr>
            <w:top w:val="none" w:sz="0" w:space="0" w:color="auto"/>
            <w:left w:val="none" w:sz="0" w:space="0" w:color="auto"/>
            <w:bottom w:val="none" w:sz="0" w:space="0" w:color="auto"/>
            <w:right w:val="none" w:sz="0" w:space="0" w:color="auto"/>
          </w:divBdr>
          <w:divsChild>
            <w:div w:id="2069692483">
              <w:marLeft w:val="0"/>
              <w:marRight w:val="0"/>
              <w:marTop w:val="0"/>
              <w:marBottom w:val="0"/>
              <w:divBdr>
                <w:top w:val="none" w:sz="0" w:space="0" w:color="auto"/>
                <w:left w:val="none" w:sz="0" w:space="0" w:color="auto"/>
                <w:bottom w:val="none" w:sz="0" w:space="0" w:color="auto"/>
                <w:right w:val="none" w:sz="0" w:space="0" w:color="auto"/>
              </w:divBdr>
            </w:div>
          </w:divsChild>
        </w:div>
        <w:div w:id="612060829">
          <w:marLeft w:val="0"/>
          <w:marRight w:val="0"/>
          <w:marTop w:val="0"/>
          <w:marBottom w:val="0"/>
          <w:divBdr>
            <w:top w:val="none" w:sz="0" w:space="0" w:color="auto"/>
            <w:left w:val="none" w:sz="0" w:space="0" w:color="auto"/>
            <w:bottom w:val="none" w:sz="0" w:space="0" w:color="auto"/>
            <w:right w:val="none" w:sz="0" w:space="0" w:color="auto"/>
          </w:divBdr>
          <w:divsChild>
            <w:div w:id="105454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692419">
      <w:bodyDiv w:val="1"/>
      <w:marLeft w:val="0"/>
      <w:marRight w:val="0"/>
      <w:marTop w:val="0"/>
      <w:marBottom w:val="0"/>
      <w:divBdr>
        <w:top w:val="none" w:sz="0" w:space="0" w:color="auto"/>
        <w:left w:val="none" w:sz="0" w:space="0" w:color="auto"/>
        <w:bottom w:val="none" w:sz="0" w:space="0" w:color="auto"/>
        <w:right w:val="none" w:sz="0" w:space="0" w:color="auto"/>
      </w:divBdr>
      <w:divsChild>
        <w:div w:id="19160121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7870557">
      <w:bodyDiv w:val="1"/>
      <w:marLeft w:val="0"/>
      <w:marRight w:val="0"/>
      <w:marTop w:val="0"/>
      <w:marBottom w:val="0"/>
      <w:divBdr>
        <w:top w:val="none" w:sz="0" w:space="0" w:color="auto"/>
        <w:left w:val="none" w:sz="0" w:space="0" w:color="auto"/>
        <w:bottom w:val="none" w:sz="0" w:space="0" w:color="auto"/>
        <w:right w:val="none" w:sz="0" w:space="0" w:color="auto"/>
      </w:divBdr>
      <w:divsChild>
        <w:div w:id="1221939911">
          <w:marLeft w:val="0"/>
          <w:marRight w:val="0"/>
          <w:marTop w:val="0"/>
          <w:marBottom w:val="0"/>
          <w:divBdr>
            <w:top w:val="none" w:sz="0" w:space="0" w:color="auto"/>
            <w:left w:val="none" w:sz="0" w:space="0" w:color="auto"/>
            <w:bottom w:val="none" w:sz="0" w:space="0" w:color="auto"/>
            <w:right w:val="none" w:sz="0" w:space="0" w:color="auto"/>
          </w:divBdr>
        </w:div>
      </w:divsChild>
    </w:div>
    <w:div w:id="760488902">
      <w:bodyDiv w:val="1"/>
      <w:marLeft w:val="0"/>
      <w:marRight w:val="0"/>
      <w:marTop w:val="0"/>
      <w:marBottom w:val="0"/>
      <w:divBdr>
        <w:top w:val="none" w:sz="0" w:space="0" w:color="auto"/>
        <w:left w:val="none" w:sz="0" w:space="0" w:color="auto"/>
        <w:bottom w:val="none" w:sz="0" w:space="0" w:color="auto"/>
        <w:right w:val="none" w:sz="0" w:space="0" w:color="auto"/>
      </w:divBdr>
    </w:div>
    <w:div w:id="771166686">
      <w:bodyDiv w:val="1"/>
      <w:marLeft w:val="0"/>
      <w:marRight w:val="0"/>
      <w:marTop w:val="0"/>
      <w:marBottom w:val="0"/>
      <w:divBdr>
        <w:top w:val="none" w:sz="0" w:space="0" w:color="auto"/>
        <w:left w:val="none" w:sz="0" w:space="0" w:color="auto"/>
        <w:bottom w:val="none" w:sz="0" w:space="0" w:color="auto"/>
        <w:right w:val="none" w:sz="0" w:space="0" w:color="auto"/>
      </w:divBdr>
    </w:div>
    <w:div w:id="772866457">
      <w:bodyDiv w:val="1"/>
      <w:marLeft w:val="0"/>
      <w:marRight w:val="0"/>
      <w:marTop w:val="0"/>
      <w:marBottom w:val="0"/>
      <w:divBdr>
        <w:top w:val="none" w:sz="0" w:space="0" w:color="auto"/>
        <w:left w:val="none" w:sz="0" w:space="0" w:color="auto"/>
        <w:bottom w:val="none" w:sz="0" w:space="0" w:color="auto"/>
        <w:right w:val="none" w:sz="0" w:space="0" w:color="auto"/>
      </w:divBdr>
    </w:div>
    <w:div w:id="780534859">
      <w:bodyDiv w:val="1"/>
      <w:marLeft w:val="0"/>
      <w:marRight w:val="0"/>
      <w:marTop w:val="0"/>
      <w:marBottom w:val="0"/>
      <w:divBdr>
        <w:top w:val="none" w:sz="0" w:space="0" w:color="auto"/>
        <w:left w:val="none" w:sz="0" w:space="0" w:color="auto"/>
        <w:bottom w:val="none" w:sz="0" w:space="0" w:color="auto"/>
        <w:right w:val="none" w:sz="0" w:space="0" w:color="auto"/>
      </w:divBdr>
    </w:div>
    <w:div w:id="783840479">
      <w:bodyDiv w:val="1"/>
      <w:marLeft w:val="0"/>
      <w:marRight w:val="0"/>
      <w:marTop w:val="0"/>
      <w:marBottom w:val="0"/>
      <w:divBdr>
        <w:top w:val="none" w:sz="0" w:space="0" w:color="auto"/>
        <w:left w:val="none" w:sz="0" w:space="0" w:color="auto"/>
        <w:bottom w:val="none" w:sz="0" w:space="0" w:color="auto"/>
        <w:right w:val="none" w:sz="0" w:space="0" w:color="auto"/>
      </w:divBdr>
    </w:div>
    <w:div w:id="784227983">
      <w:bodyDiv w:val="1"/>
      <w:marLeft w:val="0"/>
      <w:marRight w:val="0"/>
      <w:marTop w:val="0"/>
      <w:marBottom w:val="0"/>
      <w:divBdr>
        <w:top w:val="none" w:sz="0" w:space="0" w:color="auto"/>
        <w:left w:val="none" w:sz="0" w:space="0" w:color="auto"/>
        <w:bottom w:val="none" w:sz="0" w:space="0" w:color="auto"/>
        <w:right w:val="none" w:sz="0" w:space="0" w:color="auto"/>
      </w:divBdr>
    </w:div>
    <w:div w:id="785852092">
      <w:bodyDiv w:val="1"/>
      <w:marLeft w:val="0"/>
      <w:marRight w:val="0"/>
      <w:marTop w:val="0"/>
      <w:marBottom w:val="0"/>
      <w:divBdr>
        <w:top w:val="none" w:sz="0" w:space="0" w:color="auto"/>
        <w:left w:val="none" w:sz="0" w:space="0" w:color="auto"/>
        <w:bottom w:val="none" w:sz="0" w:space="0" w:color="auto"/>
        <w:right w:val="none" w:sz="0" w:space="0" w:color="auto"/>
      </w:divBdr>
    </w:div>
    <w:div w:id="789515416">
      <w:bodyDiv w:val="1"/>
      <w:marLeft w:val="0"/>
      <w:marRight w:val="0"/>
      <w:marTop w:val="0"/>
      <w:marBottom w:val="0"/>
      <w:divBdr>
        <w:top w:val="none" w:sz="0" w:space="0" w:color="auto"/>
        <w:left w:val="none" w:sz="0" w:space="0" w:color="auto"/>
        <w:bottom w:val="none" w:sz="0" w:space="0" w:color="auto"/>
        <w:right w:val="none" w:sz="0" w:space="0" w:color="auto"/>
      </w:divBdr>
    </w:div>
    <w:div w:id="816343905">
      <w:bodyDiv w:val="1"/>
      <w:marLeft w:val="0"/>
      <w:marRight w:val="0"/>
      <w:marTop w:val="0"/>
      <w:marBottom w:val="0"/>
      <w:divBdr>
        <w:top w:val="none" w:sz="0" w:space="0" w:color="auto"/>
        <w:left w:val="none" w:sz="0" w:space="0" w:color="auto"/>
        <w:bottom w:val="none" w:sz="0" w:space="0" w:color="auto"/>
        <w:right w:val="none" w:sz="0" w:space="0" w:color="auto"/>
      </w:divBdr>
    </w:div>
    <w:div w:id="816728074">
      <w:bodyDiv w:val="1"/>
      <w:marLeft w:val="0"/>
      <w:marRight w:val="0"/>
      <w:marTop w:val="0"/>
      <w:marBottom w:val="0"/>
      <w:divBdr>
        <w:top w:val="none" w:sz="0" w:space="0" w:color="auto"/>
        <w:left w:val="none" w:sz="0" w:space="0" w:color="auto"/>
        <w:bottom w:val="none" w:sz="0" w:space="0" w:color="auto"/>
        <w:right w:val="none" w:sz="0" w:space="0" w:color="auto"/>
      </w:divBdr>
    </w:div>
    <w:div w:id="831065643">
      <w:bodyDiv w:val="1"/>
      <w:marLeft w:val="0"/>
      <w:marRight w:val="0"/>
      <w:marTop w:val="0"/>
      <w:marBottom w:val="0"/>
      <w:divBdr>
        <w:top w:val="none" w:sz="0" w:space="0" w:color="auto"/>
        <w:left w:val="none" w:sz="0" w:space="0" w:color="auto"/>
        <w:bottom w:val="none" w:sz="0" w:space="0" w:color="auto"/>
        <w:right w:val="none" w:sz="0" w:space="0" w:color="auto"/>
      </w:divBdr>
    </w:div>
    <w:div w:id="833184307">
      <w:bodyDiv w:val="1"/>
      <w:marLeft w:val="0"/>
      <w:marRight w:val="0"/>
      <w:marTop w:val="0"/>
      <w:marBottom w:val="0"/>
      <w:divBdr>
        <w:top w:val="none" w:sz="0" w:space="0" w:color="auto"/>
        <w:left w:val="none" w:sz="0" w:space="0" w:color="auto"/>
        <w:bottom w:val="none" w:sz="0" w:space="0" w:color="auto"/>
        <w:right w:val="none" w:sz="0" w:space="0" w:color="auto"/>
      </w:divBdr>
    </w:div>
    <w:div w:id="838424952">
      <w:bodyDiv w:val="1"/>
      <w:marLeft w:val="0"/>
      <w:marRight w:val="0"/>
      <w:marTop w:val="0"/>
      <w:marBottom w:val="0"/>
      <w:divBdr>
        <w:top w:val="none" w:sz="0" w:space="0" w:color="auto"/>
        <w:left w:val="none" w:sz="0" w:space="0" w:color="auto"/>
        <w:bottom w:val="none" w:sz="0" w:space="0" w:color="auto"/>
        <w:right w:val="none" w:sz="0" w:space="0" w:color="auto"/>
      </w:divBdr>
    </w:div>
    <w:div w:id="853614526">
      <w:bodyDiv w:val="1"/>
      <w:marLeft w:val="0"/>
      <w:marRight w:val="0"/>
      <w:marTop w:val="0"/>
      <w:marBottom w:val="0"/>
      <w:divBdr>
        <w:top w:val="none" w:sz="0" w:space="0" w:color="auto"/>
        <w:left w:val="none" w:sz="0" w:space="0" w:color="auto"/>
        <w:bottom w:val="none" w:sz="0" w:space="0" w:color="auto"/>
        <w:right w:val="none" w:sz="0" w:space="0" w:color="auto"/>
      </w:divBdr>
    </w:div>
    <w:div w:id="869995408">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896630509">
      <w:bodyDiv w:val="1"/>
      <w:marLeft w:val="0"/>
      <w:marRight w:val="0"/>
      <w:marTop w:val="0"/>
      <w:marBottom w:val="0"/>
      <w:divBdr>
        <w:top w:val="none" w:sz="0" w:space="0" w:color="auto"/>
        <w:left w:val="none" w:sz="0" w:space="0" w:color="auto"/>
        <w:bottom w:val="none" w:sz="0" w:space="0" w:color="auto"/>
        <w:right w:val="none" w:sz="0" w:space="0" w:color="auto"/>
      </w:divBdr>
    </w:div>
    <w:div w:id="904219928">
      <w:bodyDiv w:val="1"/>
      <w:marLeft w:val="0"/>
      <w:marRight w:val="0"/>
      <w:marTop w:val="0"/>
      <w:marBottom w:val="0"/>
      <w:divBdr>
        <w:top w:val="none" w:sz="0" w:space="0" w:color="auto"/>
        <w:left w:val="none" w:sz="0" w:space="0" w:color="auto"/>
        <w:bottom w:val="none" w:sz="0" w:space="0" w:color="auto"/>
        <w:right w:val="none" w:sz="0" w:space="0" w:color="auto"/>
      </w:divBdr>
    </w:div>
    <w:div w:id="914046181">
      <w:bodyDiv w:val="1"/>
      <w:marLeft w:val="0"/>
      <w:marRight w:val="0"/>
      <w:marTop w:val="0"/>
      <w:marBottom w:val="0"/>
      <w:divBdr>
        <w:top w:val="none" w:sz="0" w:space="0" w:color="auto"/>
        <w:left w:val="none" w:sz="0" w:space="0" w:color="auto"/>
        <w:bottom w:val="none" w:sz="0" w:space="0" w:color="auto"/>
        <w:right w:val="none" w:sz="0" w:space="0" w:color="auto"/>
      </w:divBdr>
      <w:divsChild>
        <w:div w:id="357125227">
          <w:marLeft w:val="0"/>
          <w:marRight w:val="0"/>
          <w:marTop w:val="0"/>
          <w:marBottom w:val="0"/>
          <w:divBdr>
            <w:top w:val="none" w:sz="0" w:space="0" w:color="auto"/>
            <w:left w:val="none" w:sz="0" w:space="0" w:color="auto"/>
            <w:bottom w:val="none" w:sz="0" w:space="0" w:color="auto"/>
            <w:right w:val="none" w:sz="0" w:space="0" w:color="auto"/>
          </w:divBdr>
        </w:div>
        <w:div w:id="1392458727">
          <w:marLeft w:val="0"/>
          <w:marRight w:val="0"/>
          <w:marTop w:val="0"/>
          <w:marBottom w:val="0"/>
          <w:divBdr>
            <w:top w:val="none" w:sz="0" w:space="0" w:color="auto"/>
            <w:left w:val="none" w:sz="0" w:space="0" w:color="auto"/>
            <w:bottom w:val="none" w:sz="0" w:space="0" w:color="auto"/>
            <w:right w:val="none" w:sz="0" w:space="0" w:color="auto"/>
          </w:divBdr>
        </w:div>
      </w:divsChild>
    </w:div>
    <w:div w:id="928083802">
      <w:bodyDiv w:val="1"/>
      <w:marLeft w:val="0"/>
      <w:marRight w:val="0"/>
      <w:marTop w:val="0"/>
      <w:marBottom w:val="0"/>
      <w:divBdr>
        <w:top w:val="none" w:sz="0" w:space="0" w:color="auto"/>
        <w:left w:val="none" w:sz="0" w:space="0" w:color="auto"/>
        <w:bottom w:val="none" w:sz="0" w:space="0" w:color="auto"/>
        <w:right w:val="none" w:sz="0" w:space="0" w:color="auto"/>
      </w:divBdr>
    </w:div>
    <w:div w:id="968365294">
      <w:bodyDiv w:val="1"/>
      <w:marLeft w:val="0"/>
      <w:marRight w:val="0"/>
      <w:marTop w:val="0"/>
      <w:marBottom w:val="0"/>
      <w:divBdr>
        <w:top w:val="none" w:sz="0" w:space="0" w:color="auto"/>
        <w:left w:val="none" w:sz="0" w:space="0" w:color="auto"/>
        <w:bottom w:val="none" w:sz="0" w:space="0" w:color="auto"/>
        <w:right w:val="none" w:sz="0" w:space="0" w:color="auto"/>
      </w:divBdr>
    </w:div>
    <w:div w:id="993140464">
      <w:bodyDiv w:val="1"/>
      <w:marLeft w:val="0"/>
      <w:marRight w:val="0"/>
      <w:marTop w:val="0"/>
      <w:marBottom w:val="0"/>
      <w:divBdr>
        <w:top w:val="none" w:sz="0" w:space="0" w:color="auto"/>
        <w:left w:val="none" w:sz="0" w:space="0" w:color="auto"/>
        <w:bottom w:val="none" w:sz="0" w:space="0" w:color="auto"/>
        <w:right w:val="none" w:sz="0" w:space="0" w:color="auto"/>
      </w:divBdr>
    </w:div>
    <w:div w:id="1011102062">
      <w:bodyDiv w:val="1"/>
      <w:marLeft w:val="0"/>
      <w:marRight w:val="0"/>
      <w:marTop w:val="0"/>
      <w:marBottom w:val="0"/>
      <w:divBdr>
        <w:top w:val="none" w:sz="0" w:space="0" w:color="auto"/>
        <w:left w:val="none" w:sz="0" w:space="0" w:color="auto"/>
        <w:bottom w:val="none" w:sz="0" w:space="0" w:color="auto"/>
        <w:right w:val="none" w:sz="0" w:space="0" w:color="auto"/>
      </w:divBdr>
    </w:div>
    <w:div w:id="1013190047">
      <w:bodyDiv w:val="1"/>
      <w:marLeft w:val="0"/>
      <w:marRight w:val="0"/>
      <w:marTop w:val="0"/>
      <w:marBottom w:val="0"/>
      <w:divBdr>
        <w:top w:val="none" w:sz="0" w:space="0" w:color="auto"/>
        <w:left w:val="none" w:sz="0" w:space="0" w:color="auto"/>
        <w:bottom w:val="none" w:sz="0" w:space="0" w:color="auto"/>
        <w:right w:val="none" w:sz="0" w:space="0" w:color="auto"/>
      </w:divBdr>
    </w:div>
    <w:div w:id="1021737267">
      <w:bodyDiv w:val="1"/>
      <w:marLeft w:val="0"/>
      <w:marRight w:val="0"/>
      <w:marTop w:val="0"/>
      <w:marBottom w:val="0"/>
      <w:divBdr>
        <w:top w:val="none" w:sz="0" w:space="0" w:color="auto"/>
        <w:left w:val="none" w:sz="0" w:space="0" w:color="auto"/>
        <w:bottom w:val="none" w:sz="0" w:space="0" w:color="auto"/>
        <w:right w:val="none" w:sz="0" w:space="0" w:color="auto"/>
      </w:divBdr>
    </w:div>
    <w:div w:id="1025399065">
      <w:bodyDiv w:val="1"/>
      <w:marLeft w:val="0"/>
      <w:marRight w:val="0"/>
      <w:marTop w:val="0"/>
      <w:marBottom w:val="0"/>
      <w:divBdr>
        <w:top w:val="none" w:sz="0" w:space="0" w:color="auto"/>
        <w:left w:val="none" w:sz="0" w:space="0" w:color="auto"/>
        <w:bottom w:val="none" w:sz="0" w:space="0" w:color="auto"/>
        <w:right w:val="none" w:sz="0" w:space="0" w:color="auto"/>
      </w:divBdr>
    </w:div>
    <w:div w:id="1029069536">
      <w:bodyDiv w:val="1"/>
      <w:marLeft w:val="0"/>
      <w:marRight w:val="0"/>
      <w:marTop w:val="0"/>
      <w:marBottom w:val="0"/>
      <w:divBdr>
        <w:top w:val="none" w:sz="0" w:space="0" w:color="auto"/>
        <w:left w:val="none" w:sz="0" w:space="0" w:color="auto"/>
        <w:bottom w:val="none" w:sz="0" w:space="0" w:color="auto"/>
        <w:right w:val="none" w:sz="0" w:space="0" w:color="auto"/>
      </w:divBdr>
    </w:div>
    <w:div w:id="1029143036">
      <w:bodyDiv w:val="1"/>
      <w:marLeft w:val="0"/>
      <w:marRight w:val="0"/>
      <w:marTop w:val="0"/>
      <w:marBottom w:val="0"/>
      <w:divBdr>
        <w:top w:val="none" w:sz="0" w:space="0" w:color="auto"/>
        <w:left w:val="none" w:sz="0" w:space="0" w:color="auto"/>
        <w:bottom w:val="none" w:sz="0" w:space="0" w:color="auto"/>
        <w:right w:val="none" w:sz="0" w:space="0" w:color="auto"/>
      </w:divBdr>
      <w:divsChild>
        <w:div w:id="145708974">
          <w:marLeft w:val="0"/>
          <w:marRight w:val="0"/>
          <w:marTop w:val="0"/>
          <w:marBottom w:val="0"/>
          <w:divBdr>
            <w:top w:val="none" w:sz="0" w:space="0" w:color="auto"/>
            <w:left w:val="none" w:sz="0" w:space="0" w:color="auto"/>
            <w:bottom w:val="none" w:sz="0" w:space="0" w:color="auto"/>
            <w:right w:val="none" w:sz="0" w:space="0" w:color="auto"/>
          </w:divBdr>
        </w:div>
        <w:div w:id="515927037">
          <w:marLeft w:val="0"/>
          <w:marRight w:val="0"/>
          <w:marTop w:val="0"/>
          <w:marBottom w:val="0"/>
          <w:divBdr>
            <w:top w:val="none" w:sz="0" w:space="0" w:color="auto"/>
            <w:left w:val="none" w:sz="0" w:space="0" w:color="auto"/>
            <w:bottom w:val="none" w:sz="0" w:space="0" w:color="auto"/>
            <w:right w:val="none" w:sz="0" w:space="0" w:color="auto"/>
          </w:divBdr>
        </w:div>
        <w:div w:id="786854727">
          <w:marLeft w:val="0"/>
          <w:marRight w:val="0"/>
          <w:marTop w:val="0"/>
          <w:marBottom w:val="0"/>
          <w:divBdr>
            <w:top w:val="none" w:sz="0" w:space="0" w:color="auto"/>
            <w:left w:val="none" w:sz="0" w:space="0" w:color="auto"/>
            <w:bottom w:val="none" w:sz="0" w:space="0" w:color="auto"/>
            <w:right w:val="none" w:sz="0" w:space="0" w:color="auto"/>
          </w:divBdr>
        </w:div>
        <w:div w:id="908922458">
          <w:marLeft w:val="0"/>
          <w:marRight w:val="0"/>
          <w:marTop w:val="0"/>
          <w:marBottom w:val="0"/>
          <w:divBdr>
            <w:top w:val="none" w:sz="0" w:space="0" w:color="auto"/>
            <w:left w:val="none" w:sz="0" w:space="0" w:color="auto"/>
            <w:bottom w:val="none" w:sz="0" w:space="0" w:color="auto"/>
            <w:right w:val="none" w:sz="0" w:space="0" w:color="auto"/>
          </w:divBdr>
        </w:div>
        <w:div w:id="1169321953">
          <w:marLeft w:val="0"/>
          <w:marRight w:val="0"/>
          <w:marTop w:val="0"/>
          <w:marBottom w:val="0"/>
          <w:divBdr>
            <w:top w:val="none" w:sz="0" w:space="0" w:color="auto"/>
            <w:left w:val="none" w:sz="0" w:space="0" w:color="auto"/>
            <w:bottom w:val="none" w:sz="0" w:space="0" w:color="auto"/>
            <w:right w:val="none" w:sz="0" w:space="0" w:color="auto"/>
          </w:divBdr>
        </w:div>
        <w:div w:id="1509246492">
          <w:marLeft w:val="0"/>
          <w:marRight w:val="0"/>
          <w:marTop w:val="0"/>
          <w:marBottom w:val="0"/>
          <w:divBdr>
            <w:top w:val="none" w:sz="0" w:space="0" w:color="auto"/>
            <w:left w:val="none" w:sz="0" w:space="0" w:color="auto"/>
            <w:bottom w:val="none" w:sz="0" w:space="0" w:color="auto"/>
            <w:right w:val="none" w:sz="0" w:space="0" w:color="auto"/>
          </w:divBdr>
        </w:div>
        <w:div w:id="1592470721">
          <w:marLeft w:val="0"/>
          <w:marRight w:val="0"/>
          <w:marTop w:val="0"/>
          <w:marBottom w:val="0"/>
          <w:divBdr>
            <w:top w:val="none" w:sz="0" w:space="0" w:color="auto"/>
            <w:left w:val="none" w:sz="0" w:space="0" w:color="auto"/>
            <w:bottom w:val="none" w:sz="0" w:space="0" w:color="auto"/>
            <w:right w:val="none" w:sz="0" w:space="0" w:color="auto"/>
          </w:divBdr>
        </w:div>
      </w:divsChild>
    </w:div>
    <w:div w:id="1033844338">
      <w:bodyDiv w:val="1"/>
      <w:marLeft w:val="0"/>
      <w:marRight w:val="0"/>
      <w:marTop w:val="0"/>
      <w:marBottom w:val="0"/>
      <w:divBdr>
        <w:top w:val="none" w:sz="0" w:space="0" w:color="auto"/>
        <w:left w:val="none" w:sz="0" w:space="0" w:color="auto"/>
        <w:bottom w:val="none" w:sz="0" w:space="0" w:color="auto"/>
        <w:right w:val="none" w:sz="0" w:space="0" w:color="auto"/>
      </w:divBdr>
    </w:div>
    <w:div w:id="1038973604">
      <w:bodyDiv w:val="1"/>
      <w:marLeft w:val="0"/>
      <w:marRight w:val="0"/>
      <w:marTop w:val="0"/>
      <w:marBottom w:val="0"/>
      <w:divBdr>
        <w:top w:val="none" w:sz="0" w:space="0" w:color="auto"/>
        <w:left w:val="none" w:sz="0" w:space="0" w:color="auto"/>
        <w:bottom w:val="none" w:sz="0" w:space="0" w:color="auto"/>
        <w:right w:val="none" w:sz="0" w:space="0" w:color="auto"/>
      </w:divBdr>
    </w:div>
    <w:div w:id="1044208700">
      <w:bodyDiv w:val="1"/>
      <w:marLeft w:val="0"/>
      <w:marRight w:val="0"/>
      <w:marTop w:val="0"/>
      <w:marBottom w:val="0"/>
      <w:divBdr>
        <w:top w:val="none" w:sz="0" w:space="0" w:color="auto"/>
        <w:left w:val="none" w:sz="0" w:space="0" w:color="auto"/>
        <w:bottom w:val="none" w:sz="0" w:space="0" w:color="auto"/>
        <w:right w:val="none" w:sz="0" w:space="0" w:color="auto"/>
      </w:divBdr>
    </w:div>
    <w:div w:id="1045982664">
      <w:bodyDiv w:val="1"/>
      <w:marLeft w:val="0"/>
      <w:marRight w:val="0"/>
      <w:marTop w:val="0"/>
      <w:marBottom w:val="0"/>
      <w:divBdr>
        <w:top w:val="none" w:sz="0" w:space="0" w:color="auto"/>
        <w:left w:val="none" w:sz="0" w:space="0" w:color="auto"/>
        <w:bottom w:val="none" w:sz="0" w:space="0" w:color="auto"/>
        <w:right w:val="none" w:sz="0" w:space="0" w:color="auto"/>
      </w:divBdr>
    </w:div>
    <w:div w:id="1049961096">
      <w:bodyDiv w:val="1"/>
      <w:marLeft w:val="0"/>
      <w:marRight w:val="0"/>
      <w:marTop w:val="0"/>
      <w:marBottom w:val="0"/>
      <w:divBdr>
        <w:top w:val="none" w:sz="0" w:space="0" w:color="auto"/>
        <w:left w:val="none" w:sz="0" w:space="0" w:color="auto"/>
        <w:bottom w:val="none" w:sz="0" w:space="0" w:color="auto"/>
        <w:right w:val="none" w:sz="0" w:space="0" w:color="auto"/>
      </w:divBdr>
    </w:div>
    <w:div w:id="1088883938">
      <w:bodyDiv w:val="1"/>
      <w:marLeft w:val="0"/>
      <w:marRight w:val="0"/>
      <w:marTop w:val="0"/>
      <w:marBottom w:val="0"/>
      <w:divBdr>
        <w:top w:val="none" w:sz="0" w:space="0" w:color="auto"/>
        <w:left w:val="none" w:sz="0" w:space="0" w:color="auto"/>
        <w:bottom w:val="none" w:sz="0" w:space="0" w:color="auto"/>
        <w:right w:val="none" w:sz="0" w:space="0" w:color="auto"/>
      </w:divBdr>
    </w:div>
    <w:div w:id="1096443392">
      <w:bodyDiv w:val="1"/>
      <w:marLeft w:val="0"/>
      <w:marRight w:val="0"/>
      <w:marTop w:val="0"/>
      <w:marBottom w:val="0"/>
      <w:divBdr>
        <w:top w:val="none" w:sz="0" w:space="0" w:color="auto"/>
        <w:left w:val="none" w:sz="0" w:space="0" w:color="auto"/>
        <w:bottom w:val="none" w:sz="0" w:space="0" w:color="auto"/>
        <w:right w:val="none" w:sz="0" w:space="0" w:color="auto"/>
      </w:divBdr>
    </w:div>
    <w:div w:id="1101531777">
      <w:bodyDiv w:val="1"/>
      <w:marLeft w:val="0"/>
      <w:marRight w:val="0"/>
      <w:marTop w:val="0"/>
      <w:marBottom w:val="0"/>
      <w:divBdr>
        <w:top w:val="none" w:sz="0" w:space="0" w:color="auto"/>
        <w:left w:val="none" w:sz="0" w:space="0" w:color="auto"/>
        <w:bottom w:val="none" w:sz="0" w:space="0" w:color="auto"/>
        <w:right w:val="none" w:sz="0" w:space="0" w:color="auto"/>
      </w:divBdr>
    </w:div>
    <w:div w:id="1109353642">
      <w:bodyDiv w:val="1"/>
      <w:marLeft w:val="0"/>
      <w:marRight w:val="0"/>
      <w:marTop w:val="0"/>
      <w:marBottom w:val="0"/>
      <w:divBdr>
        <w:top w:val="none" w:sz="0" w:space="0" w:color="auto"/>
        <w:left w:val="none" w:sz="0" w:space="0" w:color="auto"/>
        <w:bottom w:val="none" w:sz="0" w:space="0" w:color="auto"/>
        <w:right w:val="none" w:sz="0" w:space="0" w:color="auto"/>
      </w:divBdr>
    </w:div>
    <w:div w:id="1120342453">
      <w:bodyDiv w:val="1"/>
      <w:marLeft w:val="0"/>
      <w:marRight w:val="0"/>
      <w:marTop w:val="0"/>
      <w:marBottom w:val="0"/>
      <w:divBdr>
        <w:top w:val="none" w:sz="0" w:space="0" w:color="auto"/>
        <w:left w:val="none" w:sz="0" w:space="0" w:color="auto"/>
        <w:bottom w:val="none" w:sz="0" w:space="0" w:color="auto"/>
        <w:right w:val="none" w:sz="0" w:space="0" w:color="auto"/>
      </w:divBdr>
    </w:div>
    <w:div w:id="1125389116">
      <w:bodyDiv w:val="1"/>
      <w:marLeft w:val="0"/>
      <w:marRight w:val="0"/>
      <w:marTop w:val="0"/>
      <w:marBottom w:val="0"/>
      <w:divBdr>
        <w:top w:val="none" w:sz="0" w:space="0" w:color="auto"/>
        <w:left w:val="none" w:sz="0" w:space="0" w:color="auto"/>
        <w:bottom w:val="none" w:sz="0" w:space="0" w:color="auto"/>
        <w:right w:val="none" w:sz="0" w:space="0" w:color="auto"/>
      </w:divBdr>
    </w:div>
    <w:div w:id="1129473792">
      <w:bodyDiv w:val="1"/>
      <w:marLeft w:val="0"/>
      <w:marRight w:val="0"/>
      <w:marTop w:val="0"/>
      <w:marBottom w:val="0"/>
      <w:divBdr>
        <w:top w:val="none" w:sz="0" w:space="0" w:color="auto"/>
        <w:left w:val="none" w:sz="0" w:space="0" w:color="auto"/>
        <w:bottom w:val="none" w:sz="0" w:space="0" w:color="auto"/>
        <w:right w:val="none" w:sz="0" w:space="0" w:color="auto"/>
      </w:divBdr>
    </w:div>
    <w:div w:id="1131292059">
      <w:bodyDiv w:val="1"/>
      <w:marLeft w:val="0"/>
      <w:marRight w:val="0"/>
      <w:marTop w:val="0"/>
      <w:marBottom w:val="0"/>
      <w:divBdr>
        <w:top w:val="none" w:sz="0" w:space="0" w:color="auto"/>
        <w:left w:val="none" w:sz="0" w:space="0" w:color="auto"/>
        <w:bottom w:val="none" w:sz="0" w:space="0" w:color="auto"/>
        <w:right w:val="none" w:sz="0" w:space="0" w:color="auto"/>
      </w:divBdr>
    </w:div>
    <w:div w:id="1139956630">
      <w:bodyDiv w:val="1"/>
      <w:marLeft w:val="0"/>
      <w:marRight w:val="0"/>
      <w:marTop w:val="0"/>
      <w:marBottom w:val="0"/>
      <w:divBdr>
        <w:top w:val="none" w:sz="0" w:space="0" w:color="auto"/>
        <w:left w:val="none" w:sz="0" w:space="0" w:color="auto"/>
        <w:bottom w:val="none" w:sz="0" w:space="0" w:color="auto"/>
        <w:right w:val="none" w:sz="0" w:space="0" w:color="auto"/>
      </w:divBdr>
    </w:div>
    <w:div w:id="1141775488">
      <w:bodyDiv w:val="1"/>
      <w:marLeft w:val="0"/>
      <w:marRight w:val="0"/>
      <w:marTop w:val="0"/>
      <w:marBottom w:val="0"/>
      <w:divBdr>
        <w:top w:val="none" w:sz="0" w:space="0" w:color="auto"/>
        <w:left w:val="none" w:sz="0" w:space="0" w:color="auto"/>
        <w:bottom w:val="none" w:sz="0" w:space="0" w:color="auto"/>
        <w:right w:val="none" w:sz="0" w:space="0" w:color="auto"/>
      </w:divBdr>
    </w:div>
    <w:div w:id="1147933922">
      <w:bodyDiv w:val="1"/>
      <w:marLeft w:val="0"/>
      <w:marRight w:val="0"/>
      <w:marTop w:val="0"/>
      <w:marBottom w:val="0"/>
      <w:divBdr>
        <w:top w:val="none" w:sz="0" w:space="0" w:color="auto"/>
        <w:left w:val="none" w:sz="0" w:space="0" w:color="auto"/>
        <w:bottom w:val="none" w:sz="0" w:space="0" w:color="auto"/>
        <w:right w:val="none" w:sz="0" w:space="0" w:color="auto"/>
      </w:divBdr>
      <w:divsChild>
        <w:div w:id="1622567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3370209">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179345844">
      <w:bodyDiv w:val="1"/>
      <w:marLeft w:val="0"/>
      <w:marRight w:val="0"/>
      <w:marTop w:val="0"/>
      <w:marBottom w:val="0"/>
      <w:divBdr>
        <w:top w:val="none" w:sz="0" w:space="0" w:color="auto"/>
        <w:left w:val="none" w:sz="0" w:space="0" w:color="auto"/>
        <w:bottom w:val="none" w:sz="0" w:space="0" w:color="auto"/>
        <w:right w:val="none" w:sz="0" w:space="0" w:color="auto"/>
      </w:divBdr>
    </w:div>
    <w:div w:id="1201165206">
      <w:bodyDiv w:val="1"/>
      <w:marLeft w:val="0"/>
      <w:marRight w:val="0"/>
      <w:marTop w:val="0"/>
      <w:marBottom w:val="0"/>
      <w:divBdr>
        <w:top w:val="none" w:sz="0" w:space="0" w:color="auto"/>
        <w:left w:val="none" w:sz="0" w:space="0" w:color="auto"/>
        <w:bottom w:val="none" w:sz="0" w:space="0" w:color="auto"/>
        <w:right w:val="none" w:sz="0" w:space="0" w:color="auto"/>
      </w:divBdr>
    </w:div>
    <w:div w:id="1204096834">
      <w:bodyDiv w:val="1"/>
      <w:marLeft w:val="0"/>
      <w:marRight w:val="0"/>
      <w:marTop w:val="0"/>
      <w:marBottom w:val="0"/>
      <w:divBdr>
        <w:top w:val="none" w:sz="0" w:space="0" w:color="auto"/>
        <w:left w:val="none" w:sz="0" w:space="0" w:color="auto"/>
        <w:bottom w:val="none" w:sz="0" w:space="0" w:color="auto"/>
        <w:right w:val="none" w:sz="0" w:space="0" w:color="auto"/>
      </w:divBdr>
    </w:div>
    <w:div w:id="1226260655">
      <w:bodyDiv w:val="1"/>
      <w:marLeft w:val="0"/>
      <w:marRight w:val="0"/>
      <w:marTop w:val="0"/>
      <w:marBottom w:val="0"/>
      <w:divBdr>
        <w:top w:val="none" w:sz="0" w:space="0" w:color="auto"/>
        <w:left w:val="none" w:sz="0" w:space="0" w:color="auto"/>
        <w:bottom w:val="none" w:sz="0" w:space="0" w:color="auto"/>
        <w:right w:val="none" w:sz="0" w:space="0" w:color="auto"/>
      </w:divBdr>
    </w:div>
    <w:div w:id="1256550163">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976072">
      <w:bodyDiv w:val="1"/>
      <w:marLeft w:val="0"/>
      <w:marRight w:val="0"/>
      <w:marTop w:val="0"/>
      <w:marBottom w:val="0"/>
      <w:divBdr>
        <w:top w:val="none" w:sz="0" w:space="0" w:color="auto"/>
        <w:left w:val="none" w:sz="0" w:space="0" w:color="auto"/>
        <w:bottom w:val="none" w:sz="0" w:space="0" w:color="auto"/>
        <w:right w:val="none" w:sz="0" w:space="0" w:color="auto"/>
      </w:divBdr>
    </w:div>
    <w:div w:id="1280604254">
      <w:bodyDiv w:val="1"/>
      <w:marLeft w:val="0"/>
      <w:marRight w:val="0"/>
      <w:marTop w:val="0"/>
      <w:marBottom w:val="0"/>
      <w:divBdr>
        <w:top w:val="none" w:sz="0" w:space="0" w:color="auto"/>
        <w:left w:val="none" w:sz="0" w:space="0" w:color="auto"/>
        <w:bottom w:val="none" w:sz="0" w:space="0" w:color="auto"/>
        <w:right w:val="none" w:sz="0" w:space="0" w:color="auto"/>
      </w:divBdr>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87201">
      <w:bodyDiv w:val="1"/>
      <w:marLeft w:val="0"/>
      <w:marRight w:val="0"/>
      <w:marTop w:val="0"/>
      <w:marBottom w:val="0"/>
      <w:divBdr>
        <w:top w:val="none" w:sz="0" w:space="0" w:color="auto"/>
        <w:left w:val="none" w:sz="0" w:space="0" w:color="auto"/>
        <w:bottom w:val="none" w:sz="0" w:space="0" w:color="auto"/>
        <w:right w:val="none" w:sz="0" w:space="0" w:color="auto"/>
      </w:divBdr>
      <w:divsChild>
        <w:div w:id="280233286">
          <w:marLeft w:val="0"/>
          <w:marRight w:val="0"/>
          <w:marTop w:val="0"/>
          <w:marBottom w:val="0"/>
          <w:divBdr>
            <w:top w:val="none" w:sz="0" w:space="0" w:color="auto"/>
            <w:left w:val="none" w:sz="0" w:space="0" w:color="auto"/>
            <w:bottom w:val="none" w:sz="0" w:space="0" w:color="auto"/>
            <w:right w:val="none" w:sz="0" w:space="0" w:color="auto"/>
          </w:divBdr>
          <w:divsChild>
            <w:div w:id="48767122">
              <w:marLeft w:val="0"/>
              <w:marRight w:val="0"/>
              <w:marTop w:val="0"/>
              <w:marBottom w:val="0"/>
              <w:divBdr>
                <w:top w:val="none" w:sz="0" w:space="0" w:color="auto"/>
                <w:left w:val="none" w:sz="0" w:space="0" w:color="auto"/>
                <w:bottom w:val="none" w:sz="0" w:space="0" w:color="auto"/>
                <w:right w:val="none" w:sz="0" w:space="0" w:color="auto"/>
              </w:divBdr>
            </w:div>
            <w:div w:id="476461480">
              <w:marLeft w:val="0"/>
              <w:marRight w:val="0"/>
              <w:marTop w:val="0"/>
              <w:marBottom w:val="0"/>
              <w:divBdr>
                <w:top w:val="none" w:sz="0" w:space="0" w:color="auto"/>
                <w:left w:val="none" w:sz="0" w:space="0" w:color="auto"/>
                <w:bottom w:val="none" w:sz="0" w:space="0" w:color="auto"/>
                <w:right w:val="none" w:sz="0" w:space="0" w:color="auto"/>
              </w:divBdr>
            </w:div>
          </w:divsChild>
        </w:div>
        <w:div w:id="281502301">
          <w:marLeft w:val="0"/>
          <w:marRight w:val="0"/>
          <w:marTop w:val="0"/>
          <w:marBottom w:val="0"/>
          <w:divBdr>
            <w:top w:val="none" w:sz="0" w:space="0" w:color="auto"/>
            <w:left w:val="none" w:sz="0" w:space="0" w:color="auto"/>
            <w:bottom w:val="none" w:sz="0" w:space="0" w:color="auto"/>
            <w:right w:val="none" w:sz="0" w:space="0" w:color="auto"/>
          </w:divBdr>
          <w:divsChild>
            <w:div w:id="1055852495">
              <w:marLeft w:val="0"/>
              <w:marRight w:val="0"/>
              <w:marTop w:val="0"/>
              <w:marBottom w:val="0"/>
              <w:divBdr>
                <w:top w:val="none" w:sz="0" w:space="0" w:color="auto"/>
                <w:left w:val="none" w:sz="0" w:space="0" w:color="auto"/>
                <w:bottom w:val="none" w:sz="0" w:space="0" w:color="auto"/>
                <w:right w:val="none" w:sz="0" w:space="0" w:color="auto"/>
              </w:divBdr>
            </w:div>
          </w:divsChild>
        </w:div>
        <w:div w:id="461656828">
          <w:marLeft w:val="0"/>
          <w:marRight w:val="0"/>
          <w:marTop w:val="0"/>
          <w:marBottom w:val="0"/>
          <w:divBdr>
            <w:top w:val="none" w:sz="0" w:space="0" w:color="auto"/>
            <w:left w:val="none" w:sz="0" w:space="0" w:color="auto"/>
            <w:bottom w:val="none" w:sz="0" w:space="0" w:color="auto"/>
            <w:right w:val="none" w:sz="0" w:space="0" w:color="auto"/>
          </w:divBdr>
          <w:divsChild>
            <w:div w:id="540872475">
              <w:marLeft w:val="0"/>
              <w:marRight w:val="0"/>
              <w:marTop w:val="0"/>
              <w:marBottom w:val="0"/>
              <w:divBdr>
                <w:top w:val="none" w:sz="0" w:space="0" w:color="auto"/>
                <w:left w:val="none" w:sz="0" w:space="0" w:color="auto"/>
                <w:bottom w:val="none" w:sz="0" w:space="0" w:color="auto"/>
                <w:right w:val="none" w:sz="0" w:space="0" w:color="auto"/>
              </w:divBdr>
            </w:div>
          </w:divsChild>
        </w:div>
        <w:div w:id="669720164">
          <w:marLeft w:val="0"/>
          <w:marRight w:val="0"/>
          <w:marTop w:val="0"/>
          <w:marBottom w:val="0"/>
          <w:divBdr>
            <w:top w:val="none" w:sz="0" w:space="0" w:color="auto"/>
            <w:left w:val="none" w:sz="0" w:space="0" w:color="auto"/>
            <w:bottom w:val="none" w:sz="0" w:space="0" w:color="auto"/>
            <w:right w:val="none" w:sz="0" w:space="0" w:color="auto"/>
          </w:divBdr>
          <w:divsChild>
            <w:div w:id="2091610718">
              <w:marLeft w:val="0"/>
              <w:marRight w:val="0"/>
              <w:marTop w:val="0"/>
              <w:marBottom w:val="0"/>
              <w:divBdr>
                <w:top w:val="none" w:sz="0" w:space="0" w:color="auto"/>
                <w:left w:val="none" w:sz="0" w:space="0" w:color="auto"/>
                <w:bottom w:val="none" w:sz="0" w:space="0" w:color="auto"/>
                <w:right w:val="none" w:sz="0" w:space="0" w:color="auto"/>
              </w:divBdr>
            </w:div>
          </w:divsChild>
        </w:div>
        <w:div w:id="727266255">
          <w:marLeft w:val="0"/>
          <w:marRight w:val="0"/>
          <w:marTop w:val="0"/>
          <w:marBottom w:val="0"/>
          <w:divBdr>
            <w:top w:val="none" w:sz="0" w:space="0" w:color="auto"/>
            <w:left w:val="none" w:sz="0" w:space="0" w:color="auto"/>
            <w:bottom w:val="none" w:sz="0" w:space="0" w:color="auto"/>
            <w:right w:val="none" w:sz="0" w:space="0" w:color="auto"/>
          </w:divBdr>
          <w:divsChild>
            <w:div w:id="1029650700">
              <w:marLeft w:val="0"/>
              <w:marRight w:val="0"/>
              <w:marTop w:val="0"/>
              <w:marBottom w:val="0"/>
              <w:divBdr>
                <w:top w:val="none" w:sz="0" w:space="0" w:color="auto"/>
                <w:left w:val="none" w:sz="0" w:space="0" w:color="auto"/>
                <w:bottom w:val="none" w:sz="0" w:space="0" w:color="auto"/>
                <w:right w:val="none" w:sz="0" w:space="0" w:color="auto"/>
              </w:divBdr>
            </w:div>
          </w:divsChild>
        </w:div>
        <w:div w:id="733356705">
          <w:marLeft w:val="0"/>
          <w:marRight w:val="0"/>
          <w:marTop w:val="0"/>
          <w:marBottom w:val="0"/>
          <w:divBdr>
            <w:top w:val="none" w:sz="0" w:space="0" w:color="auto"/>
            <w:left w:val="none" w:sz="0" w:space="0" w:color="auto"/>
            <w:bottom w:val="none" w:sz="0" w:space="0" w:color="auto"/>
            <w:right w:val="none" w:sz="0" w:space="0" w:color="auto"/>
          </w:divBdr>
          <w:divsChild>
            <w:div w:id="1927961220">
              <w:marLeft w:val="0"/>
              <w:marRight w:val="0"/>
              <w:marTop w:val="0"/>
              <w:marBottom w:val="0"/>
              <w:divBdr>
                <w:top w:val="none" w:sz="0" w:space="0" w:color="auto"/>
                <w:left w:val="none" w:sz="0" w:space="0" w:color="auto"/>
                <w:bottom w:val="none" w:sz="0" w:space="0" w:color="auto"/>
                <w:right w:val="none" w:sz="0" w:space="0" w:color="auto"/>
              </w:divBdr>
            </w:div>
          </w:divsChild>
        </w:div>
        <w:div w:id="780101695">
          <w:marLeft w:val="0"/>
          <w:marRight w:val="0"/>
          <w:marTop w:val="0"/>
          <w:marBottom w:val="0"/>
          <w:divBdr>
            <w:top w:val="none" w:sz="0" w:space="0" w:color="auto"/>
            <w:left w:val="none" w:sz="0" w:space="0" w:color="auto"/>
            <w:bottom w:val="none" w:sz="0" w:space="0" w:color="auto"/>
            <w:right w:val="none" w:sz="0" w:space="0" w:color="auto"/>
          </w:divBdr>
          <w:divsChild>
            <w:div w:id="20522325">
              <w:marLeft w:val="0"/>
              <w:marRight w:val="0"/>
              <w:marTop w:val="0"/>
              <w:marBottom w:val="0"/>
              <w:divBdr>
                <w:top w:val="none" w:sz="0" w:space="0" w:color="auto"/>
                <w:left w:val="none" w:sz="0" w:space="0" w:color="auto"/>
                <w:bottom w:val="none" w:sz="0" w:space="0" w:color="auto"/>
                <w:right w:val="none" w:sz="0" w:space="0" w:color="auto"/>
              </w:divBdr>
            </w:div>
            <w:div w:id="1042437072">
              <w:marLeft w:val="0"/>
              <w:marRight w:val="0"/>
              <w:marTop w:val="0"/>
              <w:marBottom w:val="0"/>
              <w:divBdr>
                <w:top w:val="none" w:sz="0" w:space="0" w:color="auto"/>
                <w:left w:val="none" w:sz="0" w:space="0" w:color="auto"/>
                <w:bottom w:val="none" w:sz="0" w:space="0" w:color="auto"/>
                <w:right w:val="none" w:sz="0" w:space="0" w:color="auto"/>
              </w:divBdr>
            </w:div>
          </w:divsChild>
        </w:div>
        <w:div w:id="962468928">
          <w:marLeft w:val="0"/>
          <w:marRight w:val="0"/>
          <w:marTop w:val="0"/>
          <w:marBottom w:val="0"/>
          <w:divBdr>
            <w:top w:val="none" w:sz="0" w:space="0" w:color="auto"/>
            <w:left w:val="none" w:sz="0" w:space="0" w:color="auto"/>
            <w:bottom w:val="none" w:sz="0" w:space="0" w:color="auto"/>
            <w:right w:val="none" w:sz="0" w:space="0" w:color="auto"/>
          </w:divBdr>
          <w:divsChild>
            <w:div w:id="1595237321">
              <w:marLeft w:val="0"/>
              <w:marRight w:val="0"/>
              <w:marTop w:val="0"/>
              <w:marBottom w:val="0"/>
              <w:divBdr>
                <w:top w:val="none" w:sz="0" w:space="0" w:color="auto"/>
                <w:left w:val="none" w:sz="0" w:space="0" w:color="auto"/>
                <w:bottom w:val="none" w:sz="0" w:space="0" w:color="auto"/>
                <w:right w:val="none" w:sz="0" w:space="0" w:color="auto"/>
              </w:divBdr>
            </w:div>
          </w:divsChild>
        </w:div>
        <w:div w:id="1013914837">
          <w:marLeft w:val="0"/>
          <w:marRight w:val="0"/>
          <w:marTop w:val="0"/>
          <w:marBottom w:val="0"/>
          <w:divBdr>
            <w:top w:val="none" w:sz="0" w:space="0" w:color="auto"/>
            <w:left w:val="none" w:sz="0" w:space="0" w:color="auto"/>
            <w:bottom w:val="none" w:sz="0" w:space="0" w:color="auto"/>
            <w:right w:val="none" w:sz="0" w:space="0" w:color="auto"/>
          </w:divBdr>
          <w:divsChild>
            <w:div w:id="1646005057">
              <w:marLeft w:val="0"/>
              <w:marRight w:val="0"/>
              <w:marTop w:val="0"/>
              <w:marBottom w:val="0"/>
              <w:divBdr>
                <w:top w:val="none" w:sz="0" w:space="0" w:color="auto"/>
                <w:left w:val="none" w:sz="0" w:space="0" w:color="auto"/>
                <w:bottom w:val="none" w:sz="0" w:space="0" w:color="auto"/>
                <w:right w:val="none" w:sz="0" w:space="0" w:color="auto"/>
              </w:divBdr>
            </w:div>
          </w:divsChild>
        </w:div>
        <w:div w:id="1223907079">
          <w:marLeft w:val="0"/>
          <w:marRight w:val="0"/>
          <w:marTop w:val="0"/>
          <w:marBottom w:val="0"/>
          <w:divBdr>
            <w:top w:val="none" w:sz="0" w:space="0" w:color="auto"/>
            <w:left w:val="none" w:sz="0" w:space="0" w:color="auto"/>
            <w:bottom w:val="none" w:sz="0" w:space="0" w:color="auto"/>
            <w:right w:val="none" w:sz="0" w:space="0" w:color="auto"/>
          </w:divBdr>
          <w:divsChild>
            <w:div w:id="1111902312">
              <w:marLeft w:val="0"/>
              <w:marRight w:val="0"/>
              <w:marTop w:val="0"/>
              <w:marBottom w:val="0"/>
              <w:divBdr>
                <w:top w:val="none" w:sz="0" w:space="0" w:color="auto"/>
                <w:left w:val="none" w:sz="0" w:space="0" w:color="auto"/>
                <w:bottom w:val="none" w:sz="0" w:space="0" w:color="auto"/>
                <w:right w:val="none" w:sz="0" w:space="0" w:color="auto"/>
              </w:divBdr>
            </w:div>
          </w:divsChild>
        </w:div>
        <w:div w:id="1293944919">
          <w:marLeft w:val="0"/>
          <w:marRight w:val="0"/>
          <w:marTop w:val="0"/>
          <w:marBottom w:val="0"/>
          <w:divBdr>
            <w:top w:val="none" w:sz="0" w:space="0" w:color="auto"/>
            <w:left w:val="none" w:sz="0" w:space="0" w:color="auto"/>
            <w:bottom w:val="none" w:sz="0" w:space="0" w:color="auto"/>
            <w:right w:val="none" w:sz="0" w:space="0" w:color="auto"/>
          </w:divBdr>
          <w:divsChild>
            <w:div w:id="763650594">
              <w:marLeft w:val="0"/>
              <w:marRight w:val="0"/>
              <w:marTop w:val="0"/>
              <w:marBottom w:val="0"/>
              <w:divBdr>
                <w:top w:val="none" w:sz="0" w:space="0" w:color="auto"/>
                <w:left w:val="none" w:sz="0" w:space="0" w:color="auto"/>
                <w:bottom w:val="none" w:sz="0" w:space="0" w:color="auto"/>
                <w:right w:val="none" w:sz="0" w:space="0" w:color="auto"/>
              </w:divBdr>
            </w:div>
          </w:divsChild>
        </w:div>
        <w:div w:id="1493906067">
          <w:marLeft w:val="0"/>
          <w:marRight w:val="0"/>
          <w:marTop w:val="0"/>
          <w:marBottom w:val="0"/>
          <w:divBdr>
            <w:top w:val="none" w:sz="0" w:space="0" w:color="auto"/>
            <w:left w:val="none" w:sz="0" w:space="0" w:color="auto"/>
            <w:bottom w:val="none" w:sz="0" w:space="0" w:color="auto"/>
            <w:right w:val="none" w:sz="0" w:space="0" w:color="auto"/>
          </w:divBdr>
          <w:divsChild>
            <w:div w:id="1973512105">
              <w:marLeft w:val="0"/>
              <w:marRight w:val="0"/>
              <w:marTop w:val="0"/>
              <w:marBottom w:val="0"/>
              <w:divBdr>
                <w:top w:val="none" w:sz="0" w:space="0" w:color="auto"/>
                <w:left w:val="none" w:sz="0" w:space="0" w:color="auto"/>
                <w:bottom w:val="none" w:sz="0" w:space="0" w:color="auto"/>
                <w:right w:val="none" w:sz="0" w:space="0" w:color="auto"/>
              </w:divBdr>
            </w:div>
          </w:divsChild>
        </w:div>
        <w:div w:id="1567296856">
          <w:marLeft w:val="0"/>
          <w:marRight w:val="0"/>
          <w:marTop w:val="0"/>
          <w:marBottom w:val="0"/>
          <w:divBdr>
            <w:top w:val="none" w:sz="0" w:space="0" w:color="auto"/>
            <w:left w:val="none" w:sz="0" w:space="0" w:color="auto"/>
            <w:bottom w:val="none" w:sz="0" w:space="0" w:color="auto"/>
            <w:right w:val="none" w:sz="0" w:space="0" w:color="auto"/>
          </w:divBdr>
          <w:divsChild>
            <w:div w:id="725834978">
              <w:marLeft w:val="0"/>
              <w:marRight w:val="0"/>
              <w:marTop w:val="0"/>
              <w:marBottom w:val="0"/>
              <w:divBdr>
                <w:top w:val="none" w:sz="0" w:space="0" w:color="auto"/>
                <w:left w:val="none" w:sz="0" w:space="0" w:color="auto"/>
                <w:bottom w:val="none" w:sz="0" w:space="0" w:color="auto"/>
                <w:right w:val="none" w:sz="0" w:space="0" w:color="auto"/>
              </w:divBdr>
            </w:div>
          </w:divsChild>
        </w:div>
        <w:div w:id="1616860481">
          <w:marLeft w:val="0"/>
          <w:marRight w:val="0"/>
          <w:marTop w:val="0"/>
          <w:marBottom w:val="0"/>
          <w:divBdr>
            <w:top w:val="none" w:sz="0" w:space="0" w:color="auto"/>
            <w:left w:val="none" w:sz="0" w:space="0" w:color="auto"/>
            <w:bottom w:val="none" w:sz="0" w:space="0" w:color="auto"/>
            <w:right w:val="none" w:sz="0" w:space="0" w:color="auto"/>
          </w:divBdr>
          <w:divsChild>
            <w:div w:id="538126204">
              <w:marLeft w:val="0"/>
              <w:marRight w:val="0"/>
              <w:marTop w:val="0"/>
              <w:marBottom w:val="0"/>
              <w:divBdr>
                <w:top w:val="none" w:sz="0" w:space="0" w:color="auto"/>
                <w:left w:val="none" w:sz="0" w:space="0" w:color="auto"/>
                <w:bottom w:val="none" w:sz="0" w:space="0" w:color="auto"/>
                <w:right w:val="none" w:sz="0" w:space="0" w:color="auto"/>
              </w:divBdr>
            </w:div>
          </w:divsChild>
        </w:div>
        <w:div w:id="1629892199">
          <w:marLeft w:val="0"/>
          <w:marRight w:val="0"/>
          <w:marTop w:val="0"/>
          <w:marBottom w:val="0"/>
          <w:divBdr>
            <w:top w:val="none" w:sz="0" w:space="0" w:color="auto"/>
            <w:left w:val="none" w:sz="0" w:space="0" w:color="auto"/>
            <w:bottom w:val="none" w:sz="0" w:space="0" w:color="auto"/>
            <w:right w:val="none" w:sz="0" w:space="0" w:color="auto"/>
          </w:divBdr>
          <w:divsChild>
            <w:div w:id="975767982">
              <w:marLeft w:val="0"/>
              <w:marRight w:val="0"/>
              <w:marTop w:val="0"/>
              <w:marBottom w:val="0"/>
              <w:divBdr>
                <w:top w:val="none" w:sz="0" w:space="0" w:color="auto"/>
                <w:left w:val="none" w:sz="0" w:space="0" w:color="auto"/>
                <w:bottom w:val="none" w:sz="0" w:space="0" w:color="auto"/>
                <w:right w:val="none" w:sz="0" w:space="0" w:color="auto"/>
              </w:divBdr>
            </w:div>
            <w:div w:id="1206943651">
              <w:marLeft w:val="0"/>
              <w:marRight w:val="0"/>
              <w:marTop w:val="0"/>
              <w:marBottom w:val="0"/>
              <w:divBdr>
                <w:top w:val="none" w:sz="0" w:space="0" w:color="auto"/>
                <w:left w:val="none" w:sz="0" w:space="0" w:color="auto"/>
                <w:bottom w:val="none" w:sz="0" w:space="0" w:color="auto"/>
                <w:right w:val="none" w:sz="0" w:space="0" w:color="auto"/>
              </w:divBdr>
            </w:div>
            <w:div w:id="1699157466">
              <w:marLeft w:val="0"/>
              <w:marRight w:val="0"/>
              <w:marTop w:val="0"/>
              <w:marBottom w:val="0"/>
              <w:divBdr>
                <w:top w:val="none" w:sz="0" w:space="0" w:color="auto"/>
                <w:left w:val="none" w:sz="0" w:space="0" w:color="auto"/>
                <w:bottom w:val="none" w:sz="0" w:space="0" w:color="auto"/>
                <w:right w:val="none" w:sz="0" w:space="0" w:color="auto"/>
              </w:divBdr>
            </w:div>
          </w:divsChild>
        </w:div>
        <w:div w:id="1852717502">
          <w:marLeft w:val="0"/>
          <w:marRight w:val="0"/>
          <w:marTop w:val="0"/>
          <w:marBottom w:val="0"/>
          <w:divBdr>
            <w:top w:val="none" w:sz="0" w:space="0" w:color="auto"/>
            <w:left w:val="none" w:sz="0" w:space="0" w:color="auto"/>
            <w:bottom w:val="none" w:sz="0" w:space="0" w:color="auto"/>
            <w:right w:val="none" w:sz="0" w:space="0" w:color="auto"/>
          </w:divBdr>
          <w:divsChild>
            <w:div w:id="1207765416">
              <w:marLeft w:val="0"/>
              <w:marRight w:val="0"/>
              <w:marTop w:val="0"/>
              <w:marBottom w:val="0"/>
              <w:divBdr>
                <w:top w:val="none" w:sz="0" w:space="0" w:color="auto"/>
                <w:left w:val="none" w:sz="0" w:space="0" w:color="auto"/>
                <w:bottom w:val="none" w:sz="0" w:space="0" w:color="auto"/>
                <w:right w:val="none" w:sz="0" w:space="0" w:color="auto"/>
              </w:divBdr>
            </w:div>
          </w:divsChild>
        </w:div>
        <w:div w:id="2046560801">
          <w:marLeft w:val="0"/>
          <w:marRight w:val="0"/>
          <w:marTop w:val="0"/>
          <w:marBottom w:val="0"/>
          <w:divBdr>
            <w:top w:val="none" w:sz="0" w:space="0" w:color="auto"/>
            <w:left w:val="none" w:sz="0" w:space="0" w:color="auto"/>
            <w:bottom w:val="none" w:sz="0" w:space="0" w:color="auto"/>
            <w:right w:val="none" w:sz="0" w:space="0" w:color="auto"/>
          </w:divBdr>
          <w:divsChild>
            <w:div w:id="127378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491163">
      <w:bodyDiv w:val="1"/>
      <w:marLeft w:val="0"/>
      <w:marRight w:val="0"/>
      <w:marTop w:val="0"/>
      <w:marBottom w:val="0"/>
      <w:divBdr>
        <w:top w:val="none" w:sz="0" w:space="0" w:color="auto"/>
        <w:left w:val="none" w:sz="0" w:space="0" w:color="auto"/>
        <w:bottom w:val="none" w:sz="0" w:space="0" w:color="auto"/>
        <w:right w:val="none" w:sz="0" w:space="0" w:color="auto"/>
      </w:divBdr>
    </w:div>
    <w:div w:id="1338076097">
      <w:bodyDiv w:val="1"/>
      <w:marLeft w:val="0"/>
      <w:marRight w:val="0"/>
      <w:marTop w:val="0"/>
      <w:marBottom w:val="0"/>
      <w:divBdr>
        <w:top w:val="none" w:sz="0" w:space="0" w:color="auto"/>
        <w:left w:val="none" w:sz="0" w:space="0" w:color="auto"/>
        <w:bottom w:val="none" w:sz="0" w:space="0" w:color="auto"/>
        <w:right w:val="none" w:sz="0" w:space="0" w:color="auto"/>
      </w:divBdr>
      <w:divsChild>
        <w:div w:id="43061619">
          <w:marLeft w:val="0"/>
          <w:marRight w:val="0"/>
          <w:marTop w:val="0"/>
          <w:marBottom w:val="0"/>
          <w:divBdr>
            <w:top w:val="none" w:sz="0" w:space="0" w:color="auto"/>
            <w:left w:val="none" w:sz="0" w:space="0" w:color="auto"/>
            <w:bottom w:val="none" w:sz="0" w:space="0" w:color="auto"/>
            <w:right w:val="none" w:sz="0" w:space="0" w:color="auto"/>
          </w:divBdr>
        </w:div>
        <w:div w:id="909728920">
          <w:marLeft w:val="0"/>
          <w:marRight w:val="0"/>
          <w:marTop w:val="0"/>
          <w:marBottom w:val="0"/>
          <w:divBdr>
            <w:top w:val="none" w:sz="0" w:space="0" w:color="auto"/>
            <w:left w:val="none" w:sz="0" w:space="0" w:color="auto"/>
            <w:bottom w:val="none" w:sz="0" w:space="0" w:color="auto"/>
            <w:right w:val="none" w:sz="0" w:space="0" w:color="auto"/>
          </w:divBdr>
        </w:div>
        <w:div w:id="2000423216">
          <w:marLeft w:val="0"/>
          <w:marRight w:val="0"/>
          <w:marTop w:val="0"/>
          <w:marBottom w:val="0"/>
          <w:divBdr>
            <w:top w:val="none" w:sz="0" w:space="0" w:color="auto"/>
            <w:left w:val="none" w:sz="0" w:space="0" w:color="auto"/>
            <w:bottom w:val="none" w:sz="0" w:space="0" w:color="auto"/>
            <w:right w:val="none" w:sz="0" w:space="0" w:color="auto"/>
          </w:divBdr>
        </w:div>
        <w:div w:id="2062292004">
          <w:marLeft w:val="0"/>
          <w:marRight w:val="0"/>
          <w:marTop w:val="0"/>
          <w:marBottom w:val="0"/>
          <w:divBdr>
            <w:top w:val="none" w:sz="0" w:space="0" w:color="auto"/>
            <w:left w:val="none" w:sz="0" w:space="0" w:color="auto"/>
            <w:bottom w:val="none" w:sz="0" w:space="0" w:color="auto"/>
            <w:right w:val="none" w:sz="0" w:space="0" w:color="auto"/>
          </w:divBdr>
        </w:div>
      </w:divsChild>
    </w:div>
    <w:div w:id="1339190399">
      <w:bodyDiv w:val="1"/>
      <w:marLeft w:val="0"/>
      <w:marRight w:val="0"/>
      <w:marTop w:val="0"/>
      <w:marBottom w:val="0"/>
      <w:divBdr>
        <w:top w:val="none" w:sz="0" w:space="0" w:color="auto"/>
        <w:left w:val="none" w:sz="0" w:space="0" w:color="auto"/>
        <w:bottom w:val="none" w:sz="0" w:space="0" w:color="auto"/>
        <w:right w:val="none" w:sz="0" w:space="0" w:color="auto"/>
      </w:divBdr>
    </w:div>
    <w:div w:id="1361778424">
      <w:bodyDiv w:val="1"/>
      <w:marLeft w:val="0"/>
      <w:marRight w:val="0"/>
      <w:marTop w:val="0"/>
      <w:marBottom w:val="0"/>
      <w:divBdr>
        <w:top w:val="none" w:sz="0" w:space="0" w:color="auto"/>
        <w:left w:val="none" w:sz="0" w:space="0" w:color="auto"/>
        <w:bottom w:val="none" w:sz="0" w:space="0" w:color="auto"/>
        <w:right w:val="none" w:sz="0" w:space="0" w:color="auto"/>
      </w:divBdr>
    </w:div>
    <w:div w:id="1377312402">
      <w:bodyDiv w:val="1"/>
      <w:marLeft w:val="0"/>
      <w:marRight w:val="0"/>
      <w:marTop w:val="0"/>
      <w:marBottom w:val="0"/>
      <w:divBdr>
        <w:top w:val="none" w:sz="0" w:space="0" w:color="auto"/>
        <w:left w:val="none" w:sz="0" w:space="0" w:color="auto"/>
        <w:bottom w:val="none" w:sz="0" w:space="0" w:color="auto"/>
        <w:right w:val="none" w:sz="0" w:space="0" w:color="auto"/>
      </w:divBdr>
    </w:div>
    <w:div w:id="1381132934">
      <w:bodyDiv w:val="1"/>
      <w:marLeft w:val="0"/>
      <w:marRight w:val="0"/>
      <w:marTop w:val="0"/>
      <w:marBottom w:val="0"/>
      <w:divBdr>
        <w:top w:val="none" w:sz="0" w:space="0" w:color="auto"/>
        <w:left w:val="none" w:sz="0" w:space="0" w:color="auto"/>
        <w:bottom w:val="none" w:sz="0" w:space="0" w:color="auto"/>
        <w:right w:val="none" w:sz="0" w:space="0" w:color="auto"/>
      </w:divBdr>
    </w:div>
    <w:div w:id="1381826703">
      <w:bodyDiv w:val="1"/>
      <w:marLeft w:val="0"/>
      <w:marRight w:val="0"/>
      <w:marTop w:val="0"/>
      <w:marBottom w:val="0"/>
      <w:divBdr>
        <w:top w:val="none" w:sz="0" w:space="0" w:color="auto"/>
        <w:left w:val="none" w:sz="0" w:space="0" w:color="auto"/>
        <w:bottom w:val="none" w:sz="0" w:space="0" w:color="auto"/>
        <w:right w:val="none" w:sz="0" w:space="0" w:color="auto"/>
      </w:divBdr>
    </w:div>
    <w:div w:id="1422222362">
      <w:bodyDiv w:val="1"/>
      <w:marLeft w:val="0"/>
      <w:marRight w:val="0"/>
      <w:marTop w:val="0"/>
      <w:marBottom w:val="0"/>
      <w:divBdr>
        <w:top w:val="none" w:sz="0" w:space="0" w:color="auto"/>
        <w:left w:val="none" w:sz="0" w:space="0" w:color="auto"/>
        <w:bottom w:val="none" w:sz="0" w:space="0" w:color="auto"/>
        <w:right w:val="none" w:sz="0" w:space="0" w:color="auto"/>
      </w:divBdr>
      <w:divsChild>
        <w:div w:id="379787791">
          <w:marLeft w:val="0"/>
          <w:marRight w:val="0"/>
          <w:marTop w:val="0"/>
          <w:marBottom w:val="0"/>
          <w:divBdr>
            <w:top w:val="none" w:sz="0" w:space="0" w:color="auto"/>
            <w:left w:val="none" w:sz="0" w:space="0" w:color="auto"/>
            <w:bottom w:val="none" w:sz="0" w:space="0" w:color="auto"/>
            <w:right w:val="none" w:sz="0" w:space="0" w:color="auto"/>
          </w:divBdr>
        </w:div>
        <w:div w:id="665327969">
          <w:marLeft w:val="0"/>
          <w:marRight w:val="0"/>
          <w:marTop w:val="0"/>
          <w:marBottom w:val="0"/>
          <w:divBdr>
            <w:top w:val="none" w:sz="0" w:space="0" w:color="auto"/>
            <w:left w:val="none" w:sz="0" w:space="0" w:color="auto"/>
            <w:bottom w:val="none" w:sz="0" w:space="0" w:color="auto"/>
            <w:right w:val="none" w:sz="0" w:space="0" w:color="auto"/>
          </w:divBdr>
        </w:div>
        <w:div w:id="895970975">
          <w:marLeft w:val="0"/>
          <w:marRight w:val="0"/>
          <w:marTop w:val="0"/>
          <w:marBottom w:val="0"/>
          <w:divBdr>
            <w:top w:val="none" w:sz="0" w:space="0" w:color="auto"/>
            <w:left w:val="none" w:sz="0" w:space="0" w:color="auto"/>
            <w:bottom w:val="none" w:sz="0" w:space="0" w:color="auto"/>
            <w:right w:val="none" w:sz="0" w:space="0" w:color="auto"/>
          </w:divBdr>
        </w:div>
        <w:div w:id="1005326709">
          <w:marLeft w:val="0"/>
          <w:marRight w:val="0"/>
          <w:marTop w:val="0"/>
          <w:marBottom w:val="0"/>
          <w:divBdr>
            <w:top w:val="none" w:sz="0" w:space="0" w:color="auto"/>
            <w:left w:val="none" w:sz="0" w:space="0" w:color="auto"/>
            <w:bottom w:val="none" w:sz="0" w:space="0" w:color="auto"/>
            <w:right w:val="none" w:sz="0" w:space="0" w:color="auto"/>
          </w:divBdr>
        </w:div>
        <w:div w:id="1402948721">
          <w:marLeft w:val="0"/>
          <w:marRight w:val="0"/>
          <w:marTop w:val="0"/>
          <w:marBottom w:val="0"/>
          <w:divBdr>
            <w:top w:val="none" w:sz="0" w:space="0" w:color="auto"/>
            <w:left w:val="none" w:sz="0" w:space="0" w:color="auto"/>
            <w:bottom w:val="none" w:sz="0" w:space="0" w:color="auto"/>
            <w:right w:val="none" w:sz="0" w:space="0" w:color="auto"/>
          </w:divBdr>
        </w:div>
        <w:div w:id="1723360253">
          <w:marLeft w:val="0"/>
          <w:marRight w:val="0"/>
          <w:marTop w:val="0"/>
          <w:marBottom w:val="0"/>
          <w:divBdr>
            <w:top w:val="none" w:sz="0" w:space="0" w:color="auto"/>
            <w:left w:val="none" w:sz="0" w:space="0" w:color="auto"/>
            <w:bottom w:val="none" w:sz="0" w:space="0" w:color="auto"/>
            <w:right w:val="none" w:sz="0" w:space="0" w:color="auto"/>
          </w:divBdr>
        </w:div>
        <w:div w:id="2014186572">
          <w:marLeft w:val="0"/>
          <w:marRight w:val="0"/>
          <w:marTop w:val="0"/>
          <w:marBottom w:val="0"/>
          <w:divBdr>
            <w:top w:val="none" w:sz="0" w:space="0" w:color="auto"/>
            <w:left w:val="none" w:sz="0" w:space="0" w:color="auto"/>
            <w:bottom w:val="none" w:sz="0" w:space="0" w:color="auto"/>
            <w:right w:val="none" w:sz="0" w:space="0" w:color="auto"/>
          </w:divBdr>
        </w:div>
      </w:divsChild>
    </w:div>
    <w:div w:id="1422682326">
      <w:bodyDiv w:val="1"/>
      <w:marLeft w:val="0"/>
      <w:marRight w:val="0"/>
      <w:marTop w:val="0"/>
      <w:marBottom w:val="0"/>
      <w:divBdr>
        <w:top w:val="none" w:sz="0" w:space="0" w:color="auto"/>
        <w:left w:val="none" w:sz="0" w:space="0" w:color="auto"/>
        <w:bottom w:val="none" w:sz="0" w:space="0" w:color="auto"/>
        <w:right w:val="none" w:sz="0" w:space="0" w:color="auto"/>
      </w:divBdr>
    </w:div>
    <w:div w:id="1424303728">
      <w:bodyDiv w:val="1"/>
      <w:marLeft w:val="0"/>
      <w:marRight w:val="0"/>
      <w:marTop w:val="0"/>
      <w:marBottom w:val="0"/>
      <w:divBdr>
        <w:top w:val="none" w:sz="0" w:space="0" w:color="auto"/>
        <w:left w:val="none" w:sz="0" w:space="0" w:color="auto"/>
        <w:bottom w:val="none" w:sz="0" w:space="0" w:color="auto"/>
        <w:right w:val="none" w:sz="0" w:space="0" w:color="auto"/>
      </w:divBdr>
    </w:div>
    <w:div w:id="1427457101">
      <w:bodyDiv w:val="1"/>
      <w:marLeft w:val="0"/>
      <w:marRight w:val="0"/>
      <w:marTop w:val="0"/>
      <w:marBottom w:val="0"/>
      <w:divBdr>
        <w:top w:val="none" w:sz="0" w:space="0" w:color="auto"/>
        <w:left w:val="none" w:sz="0" w:space="0" w:color="auto"/>
        <w:bottom w:val="none" w:sz="0" w:space="0" w:color="auto"/>
        <w:right w:val="none" w:sz="0" w:space="0" w:color="auto"/>
      </w:divBdr>
    </w:div>
    <w:div w:id="1450663351">
      <w:bodyDiv w:val="1"/>
      <w:marLeft w:val="0"/>
      <w:marRight w:val="0"/>
      <w:marTop w:val="0"/>
      <w:marBottom w:val="0"/>
      <w:divBdr>
        <w:top w:val="none" w:sz="0" w:space="0" w:color="auto"/>
        <w:left w:val="none" w:sz="0" w:space="0" w:color="auto"/>
        <w:bottom w:val="none" w:sz="0" w:space="0" w:color="auto"/>
        <w:right w:val="none" w:sz="0" w:space="0" w:color="auto"/>
      </w:divBdr>
    </w:div>
    <w:div w:id="1453398991">
      <w:bodyDiv w:val="1"/>
      <w:marLeft w:val="0"/>
      <w:marRight w:val="0"/>
      <w:marTop w:val="0"/>
      <w:marBottom w:val="0"/>
      <w:divBdr>
        <w:top w:val="none" w:sz="0" w:space="0" w:color="auto"/>
        <w:left w:val="none" w:sz="0" w:space="0" w:color="auto"/>
        <w:bottom w:val="none" w:sz="0" w:space="0" w:color="auto"/>
        <w:right w:val="none" w:sz="0" w:space="0" w:color="auto"/>
      </w:divBdr>
    </w:div>
    <w:div w:id="1458600805">
      <w:bodyDiv w:val="1"/>
      <w:marLeft w:val="0"/>
      <w:marRight w:val="0"/>
      <w:marTop w:val="0"/>
      <w:marBottom w:val="0"/>
      <w:divBdr>
        <w:top w:val="none" w:sz="0" w:space="0" w:color="auto"/>
        <w:left w:val="none" w:sz="0" w:space="0" w:color="auto"/>
        <w:bottom w:val="none" w:sz="0" w:space="0" w:color="auto"/>
        <w:right w:val="none" w:sz="0" w:space="0" w:color="auto"/>
      </w:divBdr>
    </w:div>
    <w:div w:id="1464694381">
      <w:bodyDiv w:val="1"/>
      <w:marLeft w:val="0"/>
      <w:marRight w:val="0"/>
      <w:marTop w:val="0"/>
      <w:marBottom w:val="0"/>
      <w:divBdr>
        <w:top w:val="none" w:sz="0" w:space="0" w:color="auto"/>
        <w:left w:val="none" w:sz="0" w:space="0" w:color="auto"/>
        <w:bottom w:val="none" w:sz="0" w:space="0" w:color="auto"/>
        <w:right w:val="none" w:sz="0" w:space="0" w:color="auto"/>
      </w:divBdr>
    </w:div>
    <w:div w:id="1469859390">
      <w:bodyDiv w:val="1"/>
      <w:marLeft w:val="0"/>
      <w:marRight w:val="0"/>
      <w:marTop w:val="0"/>
      <w:marBottom w:val="0"/>
      <w:divBdr>
        <w:top w:val="none" w:sz="0" w:space="0" w:color="auto"/>
        <w:left w:val="none" w:sz="0" w:space="0" w:color="auto"/>
        <w:bottom w:val="none" w:sz="0" w:space="0" w:color="auto"/>
        <w:right w:val="none" w:sz="0" w:space="0" w:color="auto"/>
      </w:divBdr>
      <w:divsChild>
        <w:div w:id="29427464">
          <w:marLeft w:val="0"/>
          <w:marRight w:val="0"/>
          <w:marTop w:val="0"/>
          <w:marBottom w:val="0"/>
          <w:divBdr>
            <w:top w:val="none" w:sz="0" w:space="0" w:color="auto"/>
            <w:left w:val="none" w:sz="0" w:space="0" w:color="auto"/>
            <w:bottom w:val="none" w:sz="0" w:space="0" w:color="auto"/>
            <w:right w:val="none" w:sz="0" w:space="0" w:color="auto"/>
          </w:divBdr>
        </w:div>
        <w:div w:id="155152741">
          <w:marLeft w:val="0"/>
          <w:marRight w:val="0"/>
          <w:marTop w:val="0"/>
          <w:marBottom w:val="0"/>
          <w:divBdr>
            <w:top w:val="none" w:sz="0" w:space="0" w:color="auto"/>
            <w:left w:val="none" w:sz="0" w:space="0" w:color="auto"/>
            <w:bottom w:val="none" w:sz="0" w:space="0" w:color="auto"/>
            <w:right w:val="none" w:sz="0" w:space="0" w:color="auto"/>
          </w:divBdr>
        </w:div>
        <w:div w:id="532767246">
          <w:marLeft w:val="0"/>
          <w:marRight w:val="0"/>
          <w:marTop w:val="0"/>
          <w:marBottom w:val="0"/>
          <w:divBdr>
            <w:top w:val="none" w:sz="0" w:space="0" w:color="auto"/>
            <w:left w:val="none" w:sz="0" w:space="0" w:color="auto"/>
            <w:bottom w:val="none" w:sz="0" w:space="0" w:color="auto"/>
            <w:right w:val="none" w:sz="0" w:space="0" w:color="auto"/>
          </w:divBdr>
        </w:div>
        <w:div w:id="1030715711">
          <w:marLeft w:val="0"/>
          <w:marRight w:val="0"/>
          <w:marTop w:val="0"/>
          <w:marBottom w:val="0"/>
          <w:divBdr>
            <w:top w:val="none" w:sz="0" w:space="0" w:color="auto"/>
            <w:left w:val="none" w:sz="0" w:space="0" w:color="auto"/>
            <w:bottom w:val="none" w:sz="0" w:space="0" w:color="auto"/>
            <w:right w:val="none" w:sz="0" w:space="0" w:color="auto"/>
          </w:divBdr>
        </w:div>
        <w:div w:id="1485662045">
          <w:marLeft w:val="0"/>
          <w:marRight w:val="0"/>
          <w:marTop w:val="0"/>
          <w:marBottom w:val="0"/>
          <w:divBdr>
            <w:top w:val="none" w:sz="0" w:space="0" w:color="auto"/>
            <w:left w:val="none" w:sz="0" w:space="0" w:color="auto"/>
            <w:bottom w:val="none" w:sz="0" w:space="0" w:color="auto"/>
            <w:right w:val="none" w:sz="0" w:space="0" w:color="auto"/>
          </w:divBdr>
        </w:div>
        <w:div w:id="1728260086">
          <w:marLeft w:val="0"/>
          <w:marRight w:val="0"/>
          <w:marTop w:val="0"/>
          <w:marBottom w:val="0"/>
          <w:divBdr>
            <w:top w:val="none" w:sz="0" w:space="0" w:color="auto"/>
            <w:left w:val="none" w:sz="0" w:space="0" w:color="auto"/>
            <w:bottom w:val="none" w:sz="0" w:space="0" w:color="auto"/>
            <w:right w:val="none" w:sz="0" w:space="0" w:color="auto"/>
          </w:divBdr>
        </w:div>
        <w:div w:id="1963538505">
          <w:marLeft w:val="0"/>
          <w:marRight w:val="0"/>
          <w:marTop w:val="0"/>
          <w:marBottom w:val="0"/>
          <w:divBdr>
            <w:top w:val="none" w:sz="0" w:space="0" w:color="auto"/>
            <w:left w:val="none" w:sz="0" w:space="0" w:color="auto"/>
            <w:bottom w:val="none" w:sz="0" w:space="0" w:color="auto"/>
            <w:right w:val="none" w:sz="0" w:space="0" w:color="auto"/>
          </w:divBdr>
        </w:div>
        <w:div w:id="2081323790">
          <w:marLeft w:val="0"/>
          <w:marRight w:val="0"/>
          <w:marTop w:val="0"/>
          <w:marBottom w:val="0"/>
          <w:divBdr>
            <w:top w:val="none" w:sz="0" w:space="0" w:color="auto"/>
            <w:left w:val="none" w:sz="0" w:space="0" w:color="auto"/>
            <w:bottom w:val="none" w:sz="0" w:space="0" w:color="auto"/>
            <w:right w:val="none" w:sz="0" w:space="0" w:color="auto"/>
          </w:divBdr>
        </w:div>
        <w:div w:id="2128893154">
          <w:marLeft w:val="0"/>
          <w:marRight w:val="0"/>
          <w:marTop w:val="0"/>
          <w:marBottom w:val="0"/>
          <w:divBdr>
            <w:top w:val="none" w:sz="0" w:space="0" w:color="auto"/>
            <w:left w:val="none" w:sz="0" w:space="0" w:color="auto"/>
            <w:bottom w:val="none" w:sz="0" w:space="0" w:color="auto"/>
            <w:right w:val="none" w:sz="0" w:space="0" w:color="auto"/>
          </w:divBdr>
        </w:div>
      </w:divsChild>
    </w:div>
    <w:div w:id="1500392642">
      <w:bodyDiv w:val="1"/>
      <w:marLeft w:val="0"/>
      <w:marRight w:val="0"/>
      <w:marTop w:val="0"/>
      <w:marBottom w:val="0"/>
      <w:divBdr>
        <w:top w:val="none" w:sz="0" w:space="0" w:color="auto"/>
        <w:left w:val="none" w:sz="0" w:space="0" w:color="auto"/>
        <w:bottom w:val="none" w:sz="0" w:space="0" w:color="auto"/>
        <w:right w:val="none" w:sz="0" w:space="0" w:color="auto"/>
      </w:divBdr>
    </w:div>
    <w:div w:id="1512177889">
      <w:bodyDiv w:val="1"/>
      <w:marLeft w:val="0"/>
      <w:marRight w:val="0"/>
      <w:marTop w:val="0"/>
      <w:marBottom w:val="0"/>
      <w:divBdr>
        <w:top w:val="none" w:sz="0" w:space="0" w:color="auto"/>
        <w:left w:val="none" w:sz="0" w:space="0" w:color="auto"/>
        <w:bottom w:val="none" w:sz="0" w:space="0" w:color="auto"/>
        <w:right w:val="none" w:sz="0" w:space="0" w:color="auto"/>
      </w:divBdr>
    </w:div>
    <w:div w:id="1514101876">
      <w:bodyDiv w:val="1"/>
      <w:marLeft w:val="0"/>
      <w:marRight w:val="0"/>
      <w:marTop w:val="0"/>
      <w:marBottom w:val="0"/>
      <w:divBdr>
        <w:top w:val="none" w:sz="0" w:space="0" w:color="auto"/>
        <w:left w:val="none" w:sz="0" w:space="0" w:color="auto"/>
        <w:bottom w:val="none" w:sz="0" w:space="0" w:color="auto"/>
        <w:right w:val="none" w:sz="0" w:space="0" w:color="auto"/>
      </w:divBdr>
      <w:divsChild>
        <w:div w:id="407196213">
          <w:marLeft w:val="0"/>
          <w:marRight w:val="0"/>
          <w:marTop w:val="0"/>
          <w:marBottom w:val="0"/>
          <w:divBdr>
            <w:top w:val="none" w:sz="0" w:space="0" w:color="auto"/>
            <w:left w:val="none" w:sz="0" w:space="0" w:color="auto"/>
            <w:bottom w:val="none" w:sz="0" w:space="0" w:color="auto"/>
            <w:right w:val="none" w:sz="0" w:space="0" w:color="auto"/>
          </w:divBdr>
        </w:div>
        <w:div w:id="722026956">
          <w:marLeft w:val="0"/>
          <w:marRight w:val="0"/>
          <w:marTop w:val="0"/>
          <w:marBottom w:val="0"/>
          <w:divBdr>
            <w:top w:val="none" w:sz="0" w:space="0" w:color="auto"/>
            <w:left w:val="none" w:sz="0" w:space="0" w:color="auto"/>
            <w:bottom w:val="none" w:sz="0" w:space="0" w:color="auto"/>
            <w:right w:val="none" w:sz="0" w:space="0" w:color="auto"/>
          </w:divBdr>
        </w:div>
        <w:div w:id="739523652">
          <w:marLeft w:val="0"/>
          <w:marRight w:val="0"/>
          <w:marTop w:val="0"/>
          <w:marBottom w:val="0"/>
          <w:divBdr>
            <w:top w:val="none" w:sz="0" w:space="0" w:color="auto"/>
            <w:left w:val="none" w:sz="0" w:space="0" w:color="auto"/>
            <w:bottom w:val="none" w:sz="0" w:space="0" w:color="auto"/>
            <w:right w:val="none" w:sz="0" w:space="0" w:color="auto"/>
          </w:divBdr>
        </w:div>
        <w:div w:id="1146511763">
          <w:marLeft w:val="0"/>
          <w:marRight w:val="0"/>
          <w:marTop w:val="0"/>
          <w:marBottom w:val="0"/>
          <w:divBdr>
            <w:top w:val="none" w:sz="0" w:space="0" w:color="auto"/>
            <w:left w:val="none" w:sz="0" w:space="0" w:color="auto"/>
            <w:bottom w:val="none" w:sz="0" w:space="0" w:color="auto"/>
            <w:right w:val="none" w:sz="0" w:space="0" w:color="auto"/>
          </w:divBdr>
        </w:div>
        <w:div w:id="1230730714">
          <w:marLeft w:val="0"/>
          <w:marRight w:val="0"/>
          <w:marTop w:val="0"/>
          <w:marBottom w:val="0"/>
          <w:divBdr>
            <w:top w:val="none" w:sz="0" w:space="0" w:color="auto"/>
            <w:left w:val="none" w:sz="0" w:space="0" w:color="auto"/>
            <w:bottom w:val="none" w:sz="0" w:space="0" w:color="auto"/>
            <w:right w:val="none" w:sz="0" w:space="0" w:color="auto"/>
          </w:divBdr>
        </w:div>
        <w:div w:id="1277441919">
          <w:marLeft w:val="0"/>
          <w:marRight w:val="0"/>
          <w:marTop w:val="0"/>
          <w:marBottom w:val="0"/>
          <w:divBdr>
            <w:top w:val="none" w:sz="0" w:space="0" w:color="auto"/>
            <w:left w:val="none" w:sz="0" w:space="0" w:color="auto"/>
            <w:bottom w:val="none" w:sz="0" w:space="0" w:color="auto"/>
            <w:right w:val="none" w:sz="0" w:space="0" w:color="auto"/>
          </w:divBdr>
        </w:div>
        <w:div w:id="1485319452">
          <w:marLeft w:val="0"/>
          <w:marRight w:val="0"/>
          <w:marTop w:val="0"/>
          <w:marBottom w:val="0"/>
          <w:divBdr>
            <w:top w:val="none" w:sz="0" w:space="0" w:color="auto"/>
            <w:left w:val="none" w:sz="0" w:space="0" w:color="auto"/>
            <w:bottom w:val="none" w:sz="0" w:space="0" w:color="auto"/>
            <w:right w:val="none" w:sz="0" w:space="0" w:color="auto"/>
          </w:divBdr>
        </w:div>
      </w:divsChild>
    </w:div>
    <w:div w:id="1520196794">
      <w:bodyDiv w:val="1"/>
      <w:marLeft w:val="0"/>
      <w:marRight w:val="0"/>
      <w:marTop w:val="0"/>
      <w:marBottom w:val="0"/>
      <w:divBdr>
        <w:top w:val="none" w:sz="0" w:space="0" w:color="auto"/>
        <w:left w:val="none" w:sz="0" w:space="0" w:color="auto"/>
        <w:bottom w:val="none" w:sz="0" w:space="0" w:color="auto"/>
        <w:right w:val="none" w:sz="0" w:space="0" w:color="auto"/>
      </w:divBdr>
    </w:div>
    <w:div w:id="1524856210">
      <w:bodyDiv w:val="1"/>
      <w:marLeft w:val="0"/>
      <w:marRight w:val="0"/>
      <w:marTop w:val="0"/>
      <w:marBottom w:val="0"/>
      <w:divBdr>
        <w:top w:val="none" w:sz="0" w:space="0" w:color="auto"/>
        <w:left w:val="none" w:sz="0" w:space="0" w:color="auto"/>
        <w:bottom w:val="none" w:sz="0" w:space="0" w:color="auto"/>
        <w:right w:val="none" w:sz="0" w:space="0" w:color="auto"/>
      </w:divBdr>
    </w:div>
    <w:div w:id="1532185105">
      <w:bodyDiv w:val="1"/>
      <w:marLeft w:val="0"/>
      <w:marRight w:val="0"/>
      <w:marTop w:val="0"/>
      <w:marBottom w:val="0"/>
      <w:divBdr>
        <w:top w:val="none" w:sz="0" w:space="0" w:color="auto"/>
        <w:left w:val="none" w:sz="0" w:space="0" w:color="auto"/>
        <w:bottom w:val="none" w:sz="0" w:space="0" w:color="auto"/>
        <w:right w:val="none" w:sz="0" w:space="0" w:color="auto"/>
      </w:divBdr>
      <w:divsChild>
        <w:div w:id="2092193617">
          <w:marLeft w:val="274"/>
          <w:marRight w:val="0"/>
          <w:marTop w:val="0"/>
          <w:marBottom w:val="0"/>
          <w:divBdr>
            <w:top w:val="none" w:sz="0" w:space="0" w:color="auto"/>
            <w:left w:val="none" w:sz="0" w:space="0" w:color="auto"/>
            <w:bottom w:val="none" w:sz="0" w:space="0" w:color="auto"/>
            <w:right w:val="none" w:sz="0" w:space="0" w:color="auto"/>
          </w:divBdr>
        </w:div>
      </w:divsChild>
    </w:div>
    <w:div w:id="1533373194">
      <w:bodyDiv w:val="1"/>
      <w:marLeft w:val="0"/>
      <w:marRight w:val="0"/>
      <w:marTop w:val="0"/>
      <w:marBottom w:val="0"/>
      <w:divBdr>
        <w:top w:val="none" w:sz="0" w:space="0" w:color="auto"/>
        <w:left w:val="none" w:sz="0" w:space="0" w:color="auto"/>
        <w:bottom w:val="none" w:sz="0" w:space="0" w:color="auto"/>
        <w:right w:val="none" w:sz="0" w:space="0" w:color="auto"/>
      </w:divBdr>
    </w:div>
    <w:div w:id="1534919073">
      <w:bodyDiv w:val="1"/>
      <w:marLeft w:val="0"/>
      <w:marRight w:val="0"/>
      <w:marTop w:val="0"/>
      <w:marBottom w:val="0"/>
      <w:divBdr>
        <w:top w:val="none" w:sz="0" w:space="0" w:color="auto"/>
        <w:left w:val="none" w:sz="0" w:space="0" w:color="auto"/>
        <w:bottom w:val="none" w:sz="0" w:space="0" w:color="auto"/>
        <w:right w:val="none" w:sz="0" w:space="0" w:color="auto"/>
      </w:divBdr>
      <w:divsChild>
        <w:div w:id="1669943824">
          <w:marLeft w:val="0"/>
          <w:marRight w:val="0"/>
          <w:marTop w:val="0"/>
          <w:marBottom w:val="0"/>
          <w:divBdr>
            <w:top w:val="none" w:sz="0" w:space="0" w:color="auto"/>
            <w:left w:val="none" w:sz="0" w:space="0" w:color="auto"/>
            <w:bottom w:val="none" w:sz="0" w:space="0" w:color="auto"/>
            <w:right w:val="none" w:sz="0" w:space="0" w:color="auto"/>
          </w:divBdr>
        </w:div>
      </w:divsChild>
    </w:div>
    <w:div w:id="1535461494">
      <w:bodyDiv w:val="1"/>
      <w:marLeft w:val="0"/>
      <w:marRight w:val="0"/>
      <w:marTop w:val="0"/>
      <w:marBottom w:val="0"/>
      <w:divBdr>
        <w:top w:val="none" w:sz="0" w:space="0" w:color="auto"/>
        <w:left w:val="none" w:sz="0" w:space="0" w:color="auto"/>
        <w:bottom w:val="none" w:sz="0" w:space="0" w:color="auto"/>
        <w:right w:val="none" w:sz="0" w:space="0" w:color="auto"/>
      </w:divBdr>
    </w:div>
    <w:div w:id="1540899418">
      <w:bodyDiv w:val="1"/>
      <w:marLeft w:val="0"/>
      <w:marRight w:val="0"/>
      <w:marTop w:val="0"/>
      <w:marBottom w:val="0"/>
      <w:divBdr>
        <w:top w:val="none" w:sz="0" w:space="0" w:color="auto"/>
        <w:left w:val="none" w:sz="0" w:space="0" w:color="auto"/>
        <w:bottom w:val="none" w:sz="0" w:space="0" w:color="auto"/>
        <w:right w:val="none" w:sz="0" w:space="0" w:color="auto"/>
      </w:divBdr>
    </w:div>
    <w:div w:id="1558202282">
      <w:bodyDiv w:val="1"/>
      <w:marLeft w:val="0"/>
      <w:marRight w:val="0"/>
      <w:marTop w:val="0"/>
      <w:marBottom w:val="0"/>
      <w:divBdr>
        <w:top w:val="none" w:sz="0" w:space="0" w:color="auto"/>
        <w:left w:val="none" w:sz="0" w:space="0" w:color="auto"/>
        <w:bottom w:val="none" w:sz="0" w:space="0" w:color="auto"/>
        <w:right w:val="none" w:sz="0" w:space="0" w:color="auto"/>
      </w:divBdr>
    </w:div>
    <w:div w:id="1562447223">
      <w:bodyDiv w:val="1"/>
      <w:marLeft w:val="0"/>
      <w:marRight w:val="0"/>
      <w:marTop w:val="0"/>
      <w:marBottom w:val="0"/>
      <w:divBdr>
        <w:top w:val="none" w:sz="0" w:space="0" w:color="auto"/>
        <w:left w:val="none" w:sz="0" w:space="0" w:color="auto"/>
        <w:bottom w:val="none" w:sz="0" w:space="0" w:color="auto"/>
        <w:right w:val="none" w:sz="0" w:space="0" w:color="auto"/>
      </w:divBdr>
    </w:div>
    <w:div w:id="1564482437">
      <w:bodyDiv w:val="1"/>
      <w:marLeft w:val="0"/>
      <w:marRight w:val="0"/>
      <w:marTop w:val="0"/>
      <w:marBottom w:val="0"/>
      <w:divBdr>
        <w:top w:val="none" w:sz="0" w:space="0" w:color="auto"/>
        <w:left w:val="none" w:sz="0" w:space="0" w:color="auto"/>
        <w:bottom w:val="none" w:sz="0" w:space="0" w:color="auto"/>
        <w:right w:val="none" w:sz="0" w:space="0" w:color="auto"/>
      </w:divBdr>
    </w:div>
    <w:div w:id="1582106282">
      <w:bodyDiv w:val="1"/>
      <w:marLeft w:val="0"/>
      <w:marRight w:val="0"/>
      <w:marTop w:val="0"/>
      <w:marBottom w:val="0"/>
      <w:divBdr>
        <w:top w:val="none" w:sz="0" w:space="0" w:color="auto"/>
        <w:left w:val="none" w:sz="0" w:space="0" w:color="auto"/>
        <w:bottom w:val="none" w:sz="0" w:space="0" w:color="auto"/>
        <w:right w:val="none" w:sz="0" w:space="0" w:color="auto"/>
      </w:divBdr>
    </w:div>
    <w:div w:id="1583639004">
      <w:bodyDiv w:val="1"/>
      <w:marLeft w:val="0"/>
      <w:marRight w:val="0"/>
      <w:marTop w:val="0"/>
      <w:marBottom w:val="0"/>
      <w:divBdr>
        <w:top w:val="none" w:sz="0" w:space="0" w:color="auto"/>
        <w:left w:val="none" w:sz="0" w:space="0" w:color="auto"/>
        <w:bottom w:val="none" w:sz="0" w:space="0" w:color="auto"/>
        <w:right w:val="none" w:sz="0" w:space="0" w:color="auto"/>
      </w:divBdr>
    </w:div>
    <w:div w:id="1586067922">
      <w:bodyDiv w:val="1"/>
      <w:marLeft w:val="0"/>
      <w:marRight w:val="0"/>
      <w:marTop w:val="0"/>
      <w:marBottom w:val="0"/>
      <w:divBdr>
        <w:top w:val="none" w:sz="0" w:space="0" w:color="auto"/>
        <w:left w:val="none" w:sz="0" w:space="0" w:color="auto"/>
        <w:bottom w:val="none" w:sz="0" w:space="0" w:color="auto"/>
        <w:right w:val="none" w:sz="0" w:space="0" w:color="auto"/>
      </w:divBdr>
    </w:div>
    <w:div w:id="1599292283">
      <w:bodyDiv w:val="1"/>
      <w:marLeft w:val="0"/>
      <w:marRight w:val="0"/>
      <w:marTop w:val="0"/>
      <w:marBottom w:val="0"/>
      <w:divBdr>
        <w:top w:val="none" w:sz="0" w:space="0" w:color="auto"/>
        <w:left w:val="none" w:sz="0" w:space="0" w:color="auto"/>
        <w:bottom w:val="none" w:sz="0" w:space="0" w:color="auto"/>
        <w:right w:val="none" w:sz="0" w:space="0" w:color="auto"/>
      </w:divBdr>
    </w:div>
    <w:div w:id="1604918998">
      <w:bodyDiv w:val="1"/>
      <w:marLeft w:val="0"/>
      <w:marRight w:val="0"/>
      <w:marTop w:val="0"/>
      <w:marBottom w:val="0"/>
      <w:divBdr>
        <w:top w:val="none" w:sz="0" w:space="0" w:color="auto"/>
        <w:left w:val="none" w:sz="0" w:space="0" w:color="auto"/>
        <w:bottom w:val="none" w:sz="0" w:space="0" w:color="auto"/>
        <w:right w:val="none" w:sz="0" w:space="0" w:color="auto"/>
      </w:divBdr>
    </w:div>
    <w:div w:id="1617100876">
      <w:bodyDiv w:val="1"/>
      <w:marLeft w:val="0"/>
      <w:marRight w:val="0"/>
      <w:marTop w:val="0"/>
      <w:marBottom w:val="0"/>
      <w:divBdr>
        <w:top w:val="none" w:sz="0" w:space="0" w:color="auto"/>
        <w:left w:val="none" w:sz="0" w:space="0" w:color="auto"/>
        <w:bottom w:val="none" w:sz="0" w:space="0" w:color="auto"/>
        <w:right w:val="none" w:sz="0" w:space="0" w:color="auto"/>
      </w:divBdr>
    </w:div>
    <w:div w:id="1624652221">
      <w:bodyDiv w:val="1"/>
      <w:marLeft w:val="0"/>
      <w:marRight w:val="0"/>
      <w:marTop w:val="0"/>
      <w:marBottom w:val="0"/>
      <w:divBdr>
        <w:top w:val="none" w:sz="0" w:space="0" w:color="auto"/>
        <w:left w:val="none" w:sz="0" w:space="0" w:color="auto"/>
        <w:bottom w:val="none" w:sz="0" w:space="0" w:color="auto"/>
        <w:right w:val="none" w:sz="0" w:space="0" w:color="auto"/>
      </w:divBdr>
    </w:div>
    <w:div w:id="1626694758">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872458">
      <w:bodyDiv w:val="1"/>
      <w:marLeft w:val="0"/>
      <w:marRight w:val="0"/>
      <w:marTop w:val="0"/>
      <w:marBottom w:val="0"/>
      <w:divBdr>
        <w:top w:val="none" w:sz="0" w:space="0" w:color="auto"/>
        <w:left w:val="none" w:sz="0" w:space="0" w:color="auto"/>
        <w:bottom w:val="none" w:sz="0" w:space="0" w:color="auto"/>
        <w:right w:val="none" w:sz="0" w:space="0" w:color="auto"/>
      </w:divBdr>
    </w:div>
    <w:div w:id="1636328919">
      <w:bodyDiv w:val="1"/>
      <w:marLeft w:val="0"/>
      <w:marRight w:val="0"/>
      <w:marTop w:val="0"/>
      <w:marBottom w:val="0"/>
      <w:divBdr>
        <w:top w:val="none" w:sz="0" w:space="0" w:color="auto"/>
        <w:left w:val="none" w:sz="0" w:space="0" w:color="auto"/>
        <w:bottom w:val="none" w:sz="0" w:space="0" w:color="auto"/>
        <w:right w:val="none" w:sz="0" w:space="0" w:color="auto"/>
      </w:divBdr>
    </w:div>
    <w:div w:id="1642467146">
      <w:bodyDiv w:val="1"/>
      <w:marLeft w:val="0"/>
      <w:marRight w:val="0"/>
      <w:marTop w:val="0"/>
      <w:marBottom w:val="0"/>
      <w:divBdr>
        <w:top w:val="none" w:sz="0" w:space="0" w:color="auto"/>
        <w:left w:val="none" w:sz="0" w:space="0" w:color="auto"/>
        <w:bottom w:val="none" w:sz="0" w:space="0" w:color="auto"/>
        <w:right w:val="none" w:sz="0" w:space="0" w:color="auto"/>
      </w:divBdr>
    </w:div>
    <w:div w:id="1653947312">
      <w:bodyDiv w:val="1"/>
      <w:marLeft w:val="0"/>
      <w:marRight w:val="0"/>
      <w:marTop w:val="0"/>
      <w:marBottom w:val="0"/>
      <w:divBdr>
        <w:top w:val="none" w:sz="0" w:space="0" w:color="auto"/>
        <w:left w:val="none" w:sz="0" w:space="0" w:color="auto"/>
        <w:bottom w:val="none" w:sz="0" w:space="0" w:color="auto"/>
        <w:right w:val="none" w:sz="0" w:space="0" w:color="auto"/>
      </w:divBdr>
    </w:div>
    <w:div w:id="1658992219">
      <w:bodyDiv w:val="1"/>
      <w:marLeft w:val="0"/>
      <w:marRight w:val="0"/>
      <w:marTop w:val="0"/>
      <w:marBottom w:val="0"/>
      <w:divBdr>
        <w:top w:val="none" w:sz="0" w:space="0" w:color="auto"/>
        <w:left w:val="none" w:sz="0" w:space="0" w:color="auto"/>
        <w:bottom w:val="none" w:sz="0" w:space="0" w:color="auto"/>
        <w:right w:val="none" w:sz="0" w:space="0" w:color="auto"/>
      </w:divBdr>
    </w:div>
    <w:div w:id="1663662063">
      <w:bodyDiv w:val="1"/>
      <w:marLeft w:val="0"/>
      <w:marRight w:val="0"/>
      <w:marTop w:val="0"/>
      <w:marBottom w:val="0"/>
      <w:divBdr>
        <w:top w:val="none" w:sz="0" w:space="0" w:color="auto"/>
        <w:left w:val="none" w:sz="0" w:space="0" w:color="auto"/>
        <w:bottom w:val="none" w:sz="0" w:space="0" w:color="auto"/>
        <w:right w:val="none" w:sz="0" w:space="0" w:color="auto"/>
      </w:divBdr>
    </w:div>
    <w:div w:id="1670324814">
      <w:bodyDiv w:val="1"/>
      <w:marLeft w:val="0"/>
      <w:marRight w:val="0"/>
      <w:marTop w:val="0"/>
      <w:marBottom w:val="0"/>
      <w:divBdr>
        <w:top w:val="none" w:sz="0" w:space="0" w:color="auto"/>
        <w:left w:val="none" w:sz="0" w:space="0" w:color="auto"/>
        <w:bottom w:val="none" w:sz="0" w:space="0" w:color="auto"/>
        <w:right w:val="none" w:sz="0" w:space="0" w:color="auto"/>
      </w:divBdr>
    </w:div>
    <w:div w:id="1695494090">
      <w:bodyDiv w:val="1"/>
      <w:marLeft w:val="0"/>
      <w:marRight w:val="0"/>
      <w:marTop w:val="0"/>
      <w:marBottom w:val="0"/>
      <w:divBdr>
        <w:top w:val="none" w:sz="0" w:space="0" w:color="auto"/>
        <w:left w:val="none" w:sz="0" w:space="0" w:color="auto"/>
        <w:bottom w:val="none" w:sz="0" w:space="0" w:color="auto"/>
        <w:right w:val="none" w:sz="0" w:space="0" w:color="auto"/>
      </w:divBdr>
      <w:divsChild>
        <w:div w:id="571741642">
          <w:marLeft w:val="0"/>
          <w:marRight w:val="0"/>
          <w:marTop w:val="0"/>
          <w:marBottom w:val="0"/>
          <w:divBdr>
            <w:top w:val="none" w:sz="0" w:space="0" w:color="auto"/>
            <w:left w:val="none" w:sz="0" w:space="0" w:color="auto"/>
            <w:bottom w:val="none" w:sz="0" w:space="0" w:color="auto"/>
            <w:right w:val="none" w:sz="0" w:space="0" w:color="auto"/>
          </w:divBdr>
        </w:div>
        <w:div w:id="987317489">
          <w:marLeft w:val="0"/>
          <w:marRight w:val="0"/>
          <w:marTop w:val="0"/>
          <w:marBottom w:val="0"/>
          <w:divBdr>
            <w:top w:val="none" w:sz="0" w:space="0" w:color="auto"/>
            <w:left w:val="none" w:sz="0" w:space="0" w:color="auto"/>
            <w:bottom w:val="none" w:sz="0" w:space="0" w:color="auto"/>
            <w:right w:val="none" w:sz="0" w:space="0" w:color="auto"/>
          </w:divBdr>
        </w:div>
        <w:div w:id="1380013416">
          <w:marLeft w:val="0"/>
          <w:marRight w:val="0"/>
          <w:marTop w:val="0"/>
          <w:marBottom w:val="0"/>
          <w:divBdr>
            <w:top w:val="none" w:sz="0" w:space="0" w:color="auto"/>
            <w:left w:val="none" w:sz="0" w:space="0" w:color="auto"/>
            <w:bottom w:val="none" w:sz="0" w:space="0" w:color="auto"/>
            <w:right w:val="none" w:sz="0" w:space="0" w:color="auto"/>
          </w:divBdr>
        </w:div>
        <w:div w:id="1580097856">
          <w:marLeft w:val="0"/>
          <w:marRight w:val="0"/>
          <w:marTop w:val="0"/>
          <w:marBottom w:val="0"/>
          <w:divBdr>
            <w:top w:val="none" w:sz="0" w:space="0" w:color="auto"/>
            <w:left w:val="none" w:sz="0" w:space="0" w:color="auto"/>
            <w:bottom w:val="none" w:sz="0" w:space="0" w:color="auto"/>
            <w:right w:val="none" w:sz="0" w:space="0" w:color="auto"/>
          </w:divBdr>
        </w:div>
        <w:div w:id="1732194300">
          <w:marLeft w:val="0"/>
          <w:marRight w:val="0"/>
          <w:marTop w:val="0"/>
          <w:marBottom w:val="0"/>
          <w:divBdr>
            <w:top w:val="none" w:sz="0" w:space="0" w:color="auto"/>
            <w:left w:val="none" w:sz="0" w:space="0" w:color="auto"/>
            <w:bottom w:val="none" w:sz="0" w:space="0" w:color="auto"/>
            <w:right w:val="none" w:sz="0" w:space="0" w:color="auto"/>
          </w:divBdr>
        </w:div>
        <w:div w:id="1857041023">
          <w:marLeft w:val="0"/>
          <w:marRight w:val="0"/>
          <w:marTop w:val="0"/>
          <w:marBottom w:val="0"/>
          <w:divBdr>
            <w:top w:val="none" w:sz="0" w:space="0" w:color="auto"/>
            <w:left w:val="none" w:sz="0" w:space="0" w:color="auto"/>
            <w:bottom w:val="none" w:sz="0" w:space="0" w:color="auto"/>
            <w:right w:val="none" w:sz="0" w:space="0" w:color="auto"/>
          </w:divBdr>
        </w:div>
        <w:div w:id="2143158444">
          <w:marLeft w:val="0"/>
          <w:marRight w:val="0"/>
          <w:marTop w:val="0"/>
          <w:marBottom w:val="0"/>
          <w:divBdr>
            <w:top w:val="none" w:sz="0" w:space="0" w:color="auto"/>
            <w:left w:val="none" w:sz="0" w:space="0" w:color="auto"/>
            <w:bottom w:val="none" w:sz="0" w:space="0" w:color="auto"/>
            <w:right w:val="none" w:sz="0" w:space="0" w:color="auto"/>
          </w:divBdr>
        </w:div>
      </w:divsChild>
    </w:div>
    <w:div w:id="1699506049">
      <w:bodyDiv w:val="1"/>
      <w:marLeft w:val="0"/>
      <w:marRight w:val="0"/>
      <w:marTop w:val="0"/>
      <w:marBottom w:val="0"/>
      <w:divBdr>
        <w:top w:val="none" w:sz="0" w:space="0" w:color="auto"/>
        <w:left w:val="none" w:sz="0" w:space="0" w:color="auto"/>
        <w:bottom w:val="none" w:sz="0" w:space="0" w:color="auto"/>
        <w:right w:val="none" w:sz="0" w:space="0" w:color="auto"/>
      </w:divBdr>
    </w:div>
    <w:div w:id="1702125543">
      <w:bodyDiv w:val="1"/>
      <w:marLeft w:val="0"/>
      <w:marRight w:val="0"/>
      <w:marTop w:val="0"/>
      <w:marBottom w:val="0"/>
      <w:divBdr>
        <w:top w:val="none" w:sz="0" w:space="0" w:color="auto"/>
        <w:left w:val="none" w:sz="0" w:space="0" w:color="auto"/>
        <w:bottom w:val="none" w:sz="0" w:space="0" w:color="auto"/>
        <w:right w:val="none" w:sz="0" w:space="0" w:color="auto"/>
      </w:divBdr>
    </w:div>
    <w:div w:id="1709792332">
      <w:bodyDiv w:val="1"/>
      <w:marLeft w:val="0"/>
      <w:marRight w:val="0"/>
      <w:marTop w:val="0"/>
      <w:marBottom w:val="0"/>
      <w:divBdr>
        <w:top w:val="none" w:sz="0" w:space="0" w:color="auto"/>
        <w:left w:val="none" w:sz="0" w:space="0" w:color="auto"/>
        <w:bottom w:val="none" w:sz="0" w:space="0" w:color="auto"/>
        <w:right w:val="none" w:sz="0" w:space="0" w:color="auto"/>
      </w:divBdr>
    </w:div>
    <w:div w:id="1711295266">
      <w:bodyDiv w:val="1"/>
      <w:marLeft w:val="0"/>
      <w:marRight w:val="0"/>
      <w:marTop w:val="0"/>
      <w:marBottom w:val="0"/>
      <w:divBdr>
        <w:top w:val="none" w:sz="0" w:space="0" w:color="auto"/>
        <w:left w:val="none" w:sz="0" w:space="0" w:color="auto"/>
        <w:bottom w:val="none" w:sz="0" w:space="0" w:color="auto"/>
        <w:right w:val="none" w:sz="0" w:space="0" w:color="auto"/>
      </w:divBdr>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54663062">
      <w:bodyDiv w:val="1"/>
      <w:marLeft w:val="0"/>
      <w:marRight w:val="0"/>
      <w:marTop w:val="0"/>
      <w:marBottom w:val="0"/>
      <w:divBdr>
        <w:top w:val="none" w:sz="0" w:space="0" w:color="auto"/>
        <w:left w:val="none" w:sz="0" w:space="0" w:color="auto"/>
        <w:bottom w:val="none" w:sz="0" w:space="0" w:color="auto"/>
        <w:right w:val="none" w:sz="0" w:space="0" w:color="auto"/>
      </w:divBdr>
    </w:div>
    <w:div w:id="1768698911">
      <w:bodyDiv w:val="1"/>
      <w:marLeft w:val="0"/>
      <w:marRight w:val="0"/>
      <w:marTop w:val="0"/>
      <w:marBottom w:val="0"/>
      <w:divBdr>
        <w:top w:val="none" w:sz="0" w:space="0" w:color="auto"/>
        <w:left w:val="none" w:sz="0" w:space="0" w:color="auto"/>
        <w:bottom w:val="none" w:sz="0" w:space="0" w:color="auto"/>
        <w:right w:val="none" w:sz="0" w:space="0" w:color="auto"/>
      </w:divBdr>
    </w:div>
    <w:div w:id="1793328605">
      <w:bodyDiv w:val="1"/>
      <w:marLeft w:val="0"/>
      <w:marRight w:val="0"/>
      <w:marTop w:val="0"/>
      <w:marBottom w:val="0"/>
      <w:divBdr>
        <w:top w:val="none" w:sz="0" w:space="0" w:color="auto"/>
        <w:left w:val="none" w:sz="0" w:space="0" w:color="auto"/>
        <w:bottom w:val="none" w:sz="0" w:space="0" w:color="auto"/>
        <w:right w:val="none" w:sz="0" w:space="0" w:color="auto"/>
      </w:divBdr>
    </w:div>
    <w:div w:id="1799101544">
      <w:bodyDiv w:val="1"/>
      <w:marLeft w:val="0"/>
      <w:marRight w:val="0"/>
      <w:marTop w:val="0"/>
      <w:marBottom w:val="0"/>
      <w:divBdr>
        <w:top w:val="none" w:sz="0" w:space="0" w:color="auto"/>
        <w:left w:val="none" w:sz="0" w:space="0" w:color="auto"/>
        <w:bottom w:val="none" w:sz="0" w:space="0" w:color="auto"/>
        <w:right w:val="none" w:sz="0" w:space="0" w:color="auto"/>
      </w:divBdr>
    </w:div>
    <w:div w:id="1854952589">
      <w:bodyDiv w:val="1"/>
      <w:marLeft w:val="0"/>
      <w:marRight w:val="0"/>
      <w:marTop w:val="0"/>
      <w:marBottom w:val="0"/>
      <w:divBdr>
        <w:top w:val="none" w:sz="0" w:space="0" w:color="auto"/>
        <w:left w:val="none" w:sz="0" w:space="0" w:color="auto"/>
        <w:bottom w:val="none" w:sz="0" w:space="0" w:color="auto"/>
        <w:right w:val="none" w:sz="0" w:space="0" w:color="auto"/>
      </w:divBdr>
    </w:div>
    <w:div w:id="1860969110">
      <w:bodyDiv w:val="1"/>
      <w:marLeft w:val="0"/>
      <w:marRight w:val="0"/>
      <w:marTop w:val="0"/>
      <w:marBottom w:val="0"/>
      <w:divBdr>
        <w:top w:val="none" w:sz="0" w:space="0" w:color="auto"/>
        <w:left w:val="none" w:sz="0" w:space="0" w:color="auto"/>
        <w:bottom w:val="none" w:sz="0" w:space="0" w:color="auto"/>
        <w:right w:val="none" w:sz="0" w:space="0" w:color="auto"/>
      </w:divBdr>
    </w:div>
    <w:div w:id="1863082733">
      <w:bodyDiv w:val="1"/>
      <w:marLeft w:val="0"/>
      <w:marRight w:val="0"/>
      <w:marTop w:val="0"/>
      <w:marBottom w:val="0"/>
      <w:divBdr>
        <w:top w:val="none" w:sz="0" w:space="0" w:color="auto"/>
        <w:left w:val="none" w:sz="0" w:space="0" w:color="auto"/>
        <w:bottom w:val="none" w:sz="0" w:space="0" w:color="auto"/>
        <w:right w:val="none" w:sz="0" w:space="0" w:color="auto"/>
      </w:divBdr>
    </w:div>
    <w:div w:id="1917862887">
      <w:bodyDiv w:val="1"/>
      <w:marLeft w:val="0"/>
      <w:marRight w:val="0"/>
      <w:marTop w:val="0"/>
      <w:marBottom w:val="0"/>
      <w:divBdr>
        <w:top w:val="none" w:sz="0" w:space="0" w:color="auto"/>
        <w:left w:val="none" w:sz="0" w:space="0" w:color="auto"/>
        <w:bottom w:val="none" w:sz="0" w:space="0" w:color="auto"/>
        <w:right w:val="none" w:sz="0" w:space="0" w:color="auto"/>
      </w:divBdr>
    </w:div>
    <w:div w:id="1936358695">
      <w:bodyDiv w:val="1"/>
      <w:marLeft w:val="0"/>
      <w:marRight w:val="0"/>
      <w:marTop w:val="0"/>
      <w:marBottom w:val="0"/>
      <w:divBdr>
        <w:top w:val="none" w:sz="0" w:space="0" w:color="auto"/>
        <w:left w:val="none" w:sz="0" w:space="0" w:color="auto"/>
        <w:bottom w:val="none" w:sz="0" w:space="0" w:color="auto"/>
        <w:right w:val="none" w:sz="0" w:space="0" w:color="auto"/>
      </w:divBdr>
    </w:div>
    <w:div w:id="1939823529">
      <w:bodyDiv w:val="1"/>
      <w:marLeft w:val="0"/>
      <w:marRight w:val="0"/>
      <w:marTop w:val="0"/>
      <w:marBottom w:val="0"/>
      <w:divBdr>
        <w:top w:val="none" w:sz="0" w:space="0" w:color="auto"/>
        <w:left w:val="none" w:sz="0" w:space="0" w:color="auto"/>
        <w:bottom w:val="none" w:sz="0" w:space="0" w:color="auto"/>
        <w:right w:val="none" w:sz="0" w:space="0" w:color="auto"/>
      </w:divBdr>
    </w:div>
    <w:div w:id="1952742079">
      <w:bodyDiv w:val="1"/>
      <w:marLeft w:val="0"/>
      <w:marRight w:val="0"/>
      <w:marTop w:val="0"/>
      <w:marBottom w:val="0"/>
      <w:divBdr>
        <w:top w:val="none" w:sz="0" w:space="0" w:color="auto"/>
        <w:left w:val="none" w:sz="0" w:space="0" w:color="auto"/>
        <w:bottom w:val="none" w:sz="0" w:space="0" w:color="auto"/>
        <w:right w:val="none" w:sz="0" w:space="0" w:color="auto"/>
      </w:divBdr>
    </w:div>
    <w:div w:id="1964649796">
      <w:bodyDiv w:val="1"/>
      <w:marLeft w:val="0"/>
      <w:marRight w:val="0"/>
      <w:marTop w:val="0"/>
      <w:marBottom w:val="0"/>
      <w:divBdr>
        <w:top w:val="none" w:sz="0" w:space="0" w:color="auto"/>
        <w:left w:val="none" w:sz="0" w:space="0" w:color="auto"/>
        <w:bottom w:val="none" w:sz="0" w:space="0" w:color="auto"/>
        <w:right w:val="none" w:sz="0" w:space="0" w:color="auto"/>
      </w:divBdr>
    </w:div>
    <w:div w:id="1974632356">
      <w:bodyDiv w:val="1"/>
      <w:marLeft w:val="0"/>
      <w:marRight w:val="0"/>
      <w:marTop w:val="0"/>
      <w:marBottom w:val="0"/>
      <w:divBdr>
        <w:top w:val="none" w:sz="0" w:space="0" w:color="auto"/>
        <w:left w:val="none" w:sz="0" w:space="0" w:color="auto"/>
        <w:bottom w:val="none" w:sz="0" w:space="0" w:color="auto"/>
        <w:right w:val="none" w:sz="0" w:space="0" w:color="auto"/>
      </w:divBdr>
    </w:div>
    <w:div w:id="2004045172">
      <w:bodyDiv w:val="1"/>
      <w:marLeft w:val="0"/>
      <w:marRight w:val="0"/>
      <w:marTop w:val="0"/>
      <w:marBottom w:val="0"/>
      <w:divBdr>
        <w:top w:val="none" w:sz="0" w:space="0" w:color="auto"/>
        <w:left w:val="none" w:sz="0" w:space="0" w:color="auto"/>
        <w:bottom w:val="none" w:sz="0" w:space="0" w:color="auto"/>
        <w:right w:val="none" w:sz="0" w:space="0" w:color="auto"/>
      </w:divBdr>
    </w:div>
    <w:div w:id="2009484034">
      <w:bodyDiv w:val="1"/>
      <w:marLeft w:val="0"/>
      <w:marRight w:val="0"/>
      <w:marTop w:val="0"/>
      <w:marBottom w:val="0"/>
      <w:divBdr>
        <w:top w:val="none" w:sz="0" w:space="0" w:color="auto"/>
        <w:left w:val="none" w:sz="0" w:space="0" w:color="auto"/>
        <w:bottom w:val="none" w:sz="0" w:space="0" w:color="auto"/>
        <w:right w:val="none" w:sz="0" w:space="0" w:color="auto"/>
      </w:divBdr>
    </w:div>
    <w:div w:id="2024629941">
      <w:bodyDiv w:val="1"/>
      <w:marLeft w:val="0"/>
      <w:marRight w:val="0"/>
      <w:marTop w:val="0"/>
      <w:marBottom w:val="0"/>
      <w:divBdr>
        <w:top w:val="none" w:sz="0" w:space="0" w:color="auto"/>
        <w:left w:val="none" w:sz="0" w:space="0" w:color="auto"/>
        <w:bottom w:val="none" w:sz="0" w:space="0" w:color="auto"/>
        <w:right w:val="none" w:sz="0" w:space="0" w:color="auto"/>
      </w:divBdr>
    </w:div>
    <w:div w:id="2033801303">
      <w:bodyDiv w:val="1"/>
      <w:marLeft w:val="0"/>
      <w:marRight w:val="0"/>
      <w:marTop w:val="0"/>
      <w:marBottom w:val="0"/>
      <w:divBdr>
        <w:top w:val="none" w:sz="0" w:space="0" w:color="auto"/>
        <w:left w:val="none" w:sz="0" w:space="0" w:color="auto"/>
        <w:bottom w:val="none" w:sz="0" w:space="0" w:color="auto"/>
        <w:right w:val="none" w:sz="0" w:space="0" w:color="auto"/>
      </w:divBdr>
    </w:div>
    <w:div w:id="2035614358">
      <w:bodyDiv w:val="1"/>
      <w:marLeft w:val="0"/>
      <w:marRight w:val="0"/>
      <w:marTop w:val="0"/>
      <w:marBottom w:val="0"/>
      <w:divBdr>
        <w:top w:val="none" w:sz="0" w:space="0" w:color="auto"/>
        <w:left w:val="none" w:sz="0" w:space="0" w:color="auto"/>
        <w:bottom w:val="none" w:sz="0" w:space="0" w:color="auto"/>
        <w:right w:val="none" w:sz="0" w:space="0" w:color="auto"/>
      </w:divBdr>
    </w:div>
    <w:div w:id="2037267939">
      <w:bodyDiv w:val="1"/>
      <w:marLeft w:val="0"/>
      <w:marRight w:val="0"/>
      <w:marTop w:val="0"/>
      <w:marBottom w:val="0"/>
      <w:divBdr>
        <w:top w:val="none" w:sz="0" w:space="0" w:color="auto"/>
        <w:left w:val="none" w:sz="0" w:space="0" w:color="auto"/>
        <w:bottom w:val="none" w:sz="0" w:space="0" w:color="auto"/>
        <w:right w:val="none" w:sz="0" w:space="0" w:color="auto"/>
      </w:divBdr>
    </w:div>
    <w:div w:id="2037463917">
      <w:bodyDiv w:val="1"/>
      <w:marLeft w:val="0"/>
      <w:marRight w:val="0"/>
      <w:marTop w:val="0"/>
      <w:marBottom w:val="0"/>
      <w:divBdr>
        <w:top w:val="none" w:sz="0" w:space="0" w:color="auto"/>
        <w:left w:val="none" w:sz="0" w:space="0" w:color="auto"/>
        <w:bottom w:val="none" w:sz="0" w:space="0" w:color="auto"/>
        <w:right w:val="none" w:sz="0" w:space="0" w:color="auto"/>
      </w:divBdr>
      <w:divsChild>
        <w:div w:id="417099835">
          <w:marLeft w:val="0"/>
          <w:marRight w:val="0"/>
          <w:marTop w:val="0"/>
          <w:marBottom w:val="0"/>
          <w:divBdr>
            <w:top w:val="none" w:sz="0" w:space="0" w:color="auto"/>
            <w:left w:val="none" w:sz="0" w:space="0" w:color="auto"/>
            <w:bottom w:val="none" w:sz="0" w:space="0" w:color="auto"/>
            <w:right w:val="none" w:sz="0" w:space="0" w:color="auto"/>
          </w:divBdr>
        </w:div>
        <w:div w:id="605308783">
          <w:marLeft w:val="0"/>
          <w:marRight w:val="0"/>
          <w:marTop w:val="0"/>
          <w:marBottom w:val="0"/>
          <w:divBdr>
            <w:top w:val="none" w:sz="0" w:space="0" w:color="auto"/>
            <w:left w:val="none" w:sz="0" w:space="0" w:color="auto"/>
            <w:bottom w:val="none" w:sz="0" w:space="0" w:color="auto"/>
            <w:right w:val="none" w:sz="0" w:space="0" w:color="auto"/>
          </w:divBdr>
        </w:div>
        <w:div w:id="650213074">
          <w:marLeft w:val="0"/>
          <w:marRight w:val="0"/>
          <w:marTop w:val="0"/>
          <w:marBottom w:val="0"/>
          <w:divBdr>
            <w:top w:val="none" w:sz="0" w:space="0" w:color="auto"/>
            <w:left w:val="none" w:sz="0" w:space="0" w:color="auto"/>
            <w:bottom w:val="none" w:sz="0" w:space="0" w:color="auto"/>
            <w:right w:val="none" w:sz="0" w:space="0" w:color="auto"/>
          </w:divBdr>
        </w:div>
        <w:div w:id="723875123">
          <w:marLeft w:val="0"/>
          <w:marRight w:val="0"/>
          <w:marTop w:val="0"/>
          <w:marBottom w:val="0"/>
          <w:divBdr>
            <w:top w:val="none" w:sz="0" w:space="0" w:color="auto"/>
            <w:left w:val="none" w:sz="0" w:space="0" w:color="auto"/>
            <w:bottom w:val="none" w:sz="0" w:space="0" w:color="auto"/>
            <w:right w:val="none" w:sz="0" w:space="0" w:color="auto"/>
          </w:divBdr>
        </w:div>
        <w:div w:id="1222137756">
          <w:marLeft w:val="0"/>
          <w:marRight w:val="0"/>
          <w:marTop w:val="0"/>
          <w:marBottom w:val="0"/>
          <w:divBdr>
            <w:top w:val="none" w:sz="0" w:space="0" w:color="auto"/>
            <w:left w:val="none" w:sz="0" w:space="0" w:color="auto"/>
            <w:bottom w:val="none" w:sz="0" w:space="0" w:color="auto"/>
            <w:right w:val="none" w:sz="0" w:space="0" w:color="auto"/>
          </w:divBdr>
        </w:div>
      </w:divsChild>
    </w:div>
    <w:div w:id="2052340271">
      <w:bodyDiv w:val="1"/>
      <w:marLeft w:val="0"/>
      <w:marRight w:val="0"/>
      <w:marTop w:val="0"/>
      <w:marBottom w:val="0"/>
      <w:divBdr>
        <w:top w:val="none" w:sz="0" w:space="0" w:color="auto"/>
        <w:left w:val="none" w:sz="0" w:space="0" w:color="auto"/>
        <w:bottom w:val="none" w:sz="0" w:space="0" w:color="auto"/>
        <w:right w:val="none" w:sz="0" w:space="0" w:color="auto"/>
      </w:divBdr>
    </w:div>
    <w:div w:id="2068918922">
      <w:bodyDiv w:val="1"/>
      <w:marLeft w:val="0"/>
      <w:marRight w:val="0"/>
      <w:marTop w:val="0"/>
      <w:marBottom w:val="0"/>
      <w:divBdr>
        <w:top w:val="none" w:sz="0" w:space="0" w:color="auto"/>
        <w:left w:val="none" w:sz="0" w:space="0" w:color="auto"/>
        <w:bottom w:val="none" w:sz="0" w:space="0" w:color="auto"/>
        <w:right w:val="none" w:sz="0" w:space="0" w:color="auto"/>
      </w:divBdr>
    </w:div>
    <w:div w:id="2078628444">
      <w:bodyDiv w:val="1"/>
      <w:marLeft w:val="0"/>
      <w:marRight w:val="0"/>
      <w:marTop w:val="0"/>
      <w:marBottom w:val="0"/>
      <w:divBdr>
        <w:top w:val="none" w:sz="0" w:space="0" w:color="auto"/>
        <w:left w:val="none" w:sz="0" w:space="0" w:color="auto"/>
        <w:bottom w:val="none" w:sz="0" w:space="0" w:color="auto"/>
        <w:right w:val="none" w:sz="0" w:space="0" w:color="auto"/>
      </w:divBdr>
    </w:div>
    <w:div w:id="2126121261">
      <w:bodyDiv w:val="1"/>
      <w:marLeft w:val="0"/>
      <w:marRight w:val="0"/>
      <w:marTop w:val="0"/>
      <w:marBottom w:val="0"/>
      <w:divBdr>
        <w:top w:val="none" w:sz="0" w:space="0" w:color="auto"/>
        <w:left w:val="none" w:sz="0" w:space="0" w:color="auto"/>
        <w:bottom w:val="none" w:sz="0" w:space="0" w:color="auto"/>
        <w:right w:val="none" w:sz="0" w:space="0" w:color="auto"/>
      </w:divBdr>
    </w:div>
    <w:div w:id="2132162754">
      <w:bodyDiv w:val="1"/>
      <w:marLeft w:val="0"/>
      <w:marRight w:val="0"/>
      <w:marTop w:val="0"/>
      <w:marBottom w:val="0"/>
      <w:divBdr>
        <w:top w:val="none" w:sz="0" w:space="0" w:color="auto"/>
        <w:left w:val="none" w:sz="0" w:space="0" w:color="auto"/>
        <w:bottom w:val="none" w:sz="0" w:space="0" w:color="auto"/>
        <w:right w:val="none" w:sz="0" w:space="0" w:color="auto"/>
      </w:divBdr>
    </w:div>
    <w:div w:id="2134059146">
      <w:bodyDiv w:val="1"/>
      <w:marLeft w:val="0"/>
      <w:marRight w:val="0"/>
      <w:marTop w:val="0"/>
      <w:marBottom w:val="0"/>
      <w:divBdr>
        <w:top w:val="none" w:sz="0" w:space="0" w:color="auto"/>
        <w:left w:val="none" w:sz="0" w:space="0" w:color="auto"/>
        <w:bottom w:val="none" w:sz="0" w:space="0" w:color="auto"/>
        <w:right w:val="none" w:sz="0" w:space="0" w:color="auto"/>
      </w:divBdr>
    </w:div>
    <w:div w:id="21457279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berec.europa.eu/system/files/2025-03/BoR%20%2825%29%2033%20BEREC%20Report%20on%20the%20Evolution%20of%20Private%205G%20Networks%20and%20interrelation%20with%20public%20networks%20in%20Europe_0.pdf" TargetMode="External"/><Relationship Id="rId39" Type="http://schemas.openxmlformats.org/officeDocument/2006/relationships/header" Target="header5.xml"/><Relationship Id="rId21" Type="http://schemas.openxmlformats.org/officeDocument/2006/relationships/image" Target="media/image4.png"/><Relationship Id="rId34" Type="http://schemas.openxmlformats.org/officeDocument/2006/relationships/image" Target="media/image16.jpeg"/><Relationship Id="rId42" Type="http://schemas.openxmlformats.org/officeDocument/2006/relationships/header" Target="header6.xml"/><Relationship Id="rId47" Type="http://schemas.openxmlformats.org/officeDocument/2006/relationships/footer" Target="footer8.xml"/><Relationship Id="rId50" Type="http://schemas.openxmlformats.org/officeDocument/2006/relationships/header" Target="header10.xml"/><Relationship Id="rId55" Type="http://schemas.openxmlformats.org/officeDocument/2006/relationships/footer" Target="footer12.xml"/><Relationship Id="rId63" Type="http://schemas.openxmlformats.org/officeDocument/2006/relationships/image" Target="media/image21.emf"/><Relationship Id="rId68" Type="http://schemas.openxmlformats.org/officeDocument/2006/relationships/footer" Target="footer13.xml"/><Relationship Id="rId76" Type="http://schemas.microsoft.com/office/2018/08/relationships/commentsExtensible" Target="commentsExtensible.xml"/><Relationship Id="rId7" Type="http://schemas.openxmlformats.org/officeDocument/2006/relationships/styles" Target="style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image" Target="media/image14.png"/><Relationship Id="rId37" Type="http://schemas.openxmlformats.org/officeDocument/2006/relationships/image" Target="media/image18.png"/><Relationship Id="rId40" Type="http://schemas.openxmlformats.org/officeDocument/2006/relationships/footer" Target="footer4.xml"/><Relationship Id="rId45" Type="http://schemas.openxmlformats.org/officeDocument/2006/relationships/footer" Target="footer7.xml"/><Relationship Id="rId53" Type="http://schemas.openxmlformats.org/officeDocument/2006/relationships/footer" Target="footer11.xml"/><Relationship Id="rId66" Type="http://schemas.openxmlformats.org/officeDocument/2006/relationships/image" Target="media/image24.png"/><Relationship Id="rId74"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image" Target="media/image10.png"/><Relationship Id="rId36" Type="http://schemas.openxmlformats.org/officeDocument/2006/relationships/chart" Target="charts/chart1.xml"/><Relationship Id="rId49" Type="http://schemas.openxmlformats.org/officeDocument/2006/relationships/footer" Target="footer9.xml"/><Relationship Id="rId61" Type="http://schemas.openxmlformats.org/officeDocument/2006/relationships/image" Target="media/image20.svg"/><Relationship Id="rId10" Type="http://schemas.openxmlformats.org/officeDocument/2006/relationships/footnotes" Target="footnotes.xml"/><Relationship Id="rId19" Type="http://schemas.openxmlformats.org/officeDocument/2006/relationships/image" Target="media/image2.jpeg"/><Relationship Id="rId31" Type="http://schemas.openxmlformats.org/officeDocument/2006/relationships/image" Target="media/image13.png"/><Relationship Id="rId44" Type="http://schemas.openxmlformats.org/officeDocument/2006/relationships/header" Target="header7.xml"/><Relationship Id="rId52" Type="http://schemas.openxmlformats.org/officeDocument/2006/relationships/header" Target="header11.xml"/><Relationship Id="rId65" Type="http://schemas.openxmlformats.org/officeDocument/2006/relationships/image" Target="media/image2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footer" Target="footer6.xml"/><Relationship Id="rId48" Type="http://schemas.openxmlformats.org/officeDocument/2006/relationships/header" Target="header9.xml"/><Relationship Id="rId56" Type="http://schemas.openxmlformats.org/officeDocument/2006/relationships/image" Target="media/image19.png"/><Relationship Id="rId64" Type="http://schemas.openxmlformats.org/officeDocument/2006/relationships/image" Target="media/image22.emf"/><Relationship Id="rId69" Type="http://schemas.openxmlformats.org/officeDocument/2006/relationships/header" Target="header14.xml"/><Relationship Id="rId8" Type="http://schemas.openxmlformats.org/officeDocument/2006/relationships/settings" Target="settings.xml"/><Relationship Id="rId51" Type="http://schemas.openxmlformats.org/officeDocument/2006/relationships/footer" Target="footer10.xm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8.png"/><Relationship Id="rId33" Type="http://schemas.openxmlformats.org/officeDocument/2006/relationships/image" Target="media/image15.png"/><Relationship Id="rId38" Type="http://schemas.openxmlformats.org/officeDocument/2006/relationships/header" Target="header4.xml"/><Relationship Id="rId46" Type="http://schemas.openxmlformats.org/officeDocument/2006/relationships/header" Target="header8.xml"/><Relationship Id="rId67" Type="http://schemas.openxmlformats.org/officeDocument/2006/relationships/header" Target="header13.xml"/><Relationship Id="rId20" Type="http://schemas.openxmlformats.org/officeDocument/2006/relationships/image" Target="media/image3.jpeg"/><Relationship Id="rId41" Type="http://schemas.openxmlformats.org/officeDocument/2006/relationships/footer" Target="footer5.xml"/><Relationship Id="rId54" Type="http://schemas.openxmlformats.org/officeDocument/2006/relationships/header" Target="header12.xml"/><Relationship Id="rId62" Type="http://schemas.openxmlformats.org/officeDocument/2006/relationships/image" Target="media/image20.emf"/><Relationship Id="rId70" Type="http://schemas.openxmlformats.org/officeDocument/2006/relationships/footer" Target="footer14.xml"/><Relationship Id="rId75"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13" Type="http://schemas.openxmlformats.org/officeDocument/2006/relationships/hyperlink" Target="https://www.itu.int/itu-d/reports/statistics/2024/11/10/ff24-internet-traffic/" TargetMode="External"/><Relationship Id="rId18" Type="http://schemas.openxmlformats.org/officeDocument/2006/relationships/hyperlink" Target="https://www.ookla.com/articles/europe-5gsa-2025" TargetMode="External"/><Relationship Id="rId26" Type="http://schemas.openxmlformats.org/officeDocument/2006/relationships/hyperlink" Target="https://thingsdata.com/information/the-european-iot-market-an-in-depth-analysis/" TargetMode="External"/><Relationship Id="rId39" Type="http://schemas.openxmlformats.org/officeDocument/2006/relationships/hyperlink" Target="http://data.europa.eu/eli/reg/2022/612/oj" TargetMode="External"/><Relationship Id="rId21" Type="http://schemas.openxmlformats.org/officeDocument/2006/relationships/hyperlink" Target="https://www.berec.europa.eu/system/files/2022-10/BEREC%20BoR%20%2822%29%20144%20Report%20on%20the%205G%20Ecosystem.pdf" TargetMode="External"/><Relationship Id="rId34" Type="http://schemas.openxmlformats.org/officeDocument/2006/relationships/hyperlink" Target="https://op.europa.eu/en/publication-detail/-/publication/4c769094-41b5-11f0-b9f2-01aa75ed71a1/language-en" TargetMode="External"/><Relationship Id="rId42" Type="http://schemas.openxmlformats.org/officeDocument/2006/relationships/hyperlink" Target="http://data.europa.eu/eli/dir/2014/61/oj" TargetMode="External"/><Relationship Id="rId47" Type="http://schemas.openxmlformats.org/officeDocument/2006/relationships/hyperlink" Target="https://wifinowglobal.com/news-and-blog/germany-wi-fi-carries-87-of-smartphone-traffic" TargetMode="External"/><Relationship Id="rId50" Type="http://schemas.openxmlformats.org/officeDocument/2006/relationships/hyperlink" Target="https://radio-spectrum-policy-group.ec.europa.eu/document/download/0e3df317-dbc6-49ee-9d15-ef47ccd9db0d_en?filename=RSPG21-022final_RSPG_Opinion_Spectrum_Sharing.pdf" TargetMode="External"/><Relationship Id="rId55" Type="http://schemas.openxmlformats.org/officeDocument/2006/relationships/hyperlink" Target="https://data.europa.eu/doi/10.2759/974409" TargetMode="External"/><Relationship Id="rId63" Type="http://schemas.openxmlformats.org/officeDocument/2006/relationships/hyperlink" Target="https://www.berec.europa.eu/en/document-categories/berec/regulatory-best-practices/guidelines/berec-guidelines-for-the-notification-template-pursuant-to-article-12-paragraph-4-of-directive-20181972-of-the-european-parliament-and-of-the-council" TargetMode="External"/><Relationship Id="rId68" Type="http://schemas.openxmlformats.org/officeDocument/2006/relationships/hyperlink" Target="https://www.acma.gov.au/publications/2024-12/report/policy-tracker-report-international-benchmarking-study-spectrum-utilisation-requirements-wireless-broadband-licences" TargetMode="External"/><Relationship Id="rId76" Type="http://schemas.openxmlformats.org/officeDocument/2006/relationships/hyperlink" Target="https://www.etsi.org/technologies/6g" TargetMode="External"/><Relationship Id="rId84" Type="http://schemas.openxmlformats.org/officeDocument/2006/relationships/hyperlink" Target="https://www.econstor.eu/bitstream/10419/277981/1/Johnson-et-al.pdf" TargetMode="External"/><Relationship Id="rId7"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 Id="rId71" Type="http://schemas.openxmlformats.org/officeDocument/2006/relationships/hyperlink" Target="https://www.eea.europa.eu/en/datahub/datahubitem-view/3b7fe76c-524a-439a-bfd2-a6e4046302a2?activeAccordion=1091606" TargetMode="External"/><Relationship Id="rId2" Type="http://schemas.openxmlformats.org/officeDocument/2006/relationships/hyperlink" Target="https://www.consilium.europa.eu/media/ny3j24sm/much-more-than-a-market-report-by-enrico-letta.pdf" TargetMode="External"/><Relationship Id="rId16" Type="http://schemas.openxmlformats.org/officeDocument/2006/relationships/hyperlink" Target="https://digital-strategy.ec.europa.eu/en/policies/5g-observatory-2025" TargetMode="External"/><Relationship Id="rId29" Type="http://schemas.openxmlformats.org/officeDocument/2006/relationships/hyperlink" Target="https://www.splunk.com/en_us/newsroom/press-releases/2024/conf24-splunk-report-shows-downtime-costs-global-2000-companies-400-billion-annually.html" TargetMode="External"/><Relationship Id="rId11" Type="http://schemas.openxmlformats.org/officeDocument/2006/relationships/hyperlink" Target="http://data.europa.eu/eli/dir/2022/2557/oj" TargetMode="External"/><Relationship Id="rId24" Type="http://schemas.openxmlformats.org/officeDocument/2006/relationships/hyperlink" Target="https://www.fortunebusinessinsights.com/network-as-a-service-market-106700" TargetMode="External"/><Relationship Id="rId32" Type="http://schemas.openxmlformats.org/officeDocument/2006/relationships/hyperlink" Target="https://eur-lex.europa.eu/legal-content/EN/TXT/?uri=CELEX:52025SC0335." TargetMode="External"/><Relationship Id="rId37" Type="http://schemas.openxmlformats.org/officeDocument/2006/relationships/hyperlink" Target="https://data.europa.eu/doi/10.2759/974409" TargetMode="External"/><Relationship Id="rId40" Type="http://schemas.openxmlformats.org/officeDocument/2006/relationships/hyperlink" Target="http://data.europa.eu/eli/reg/2024/1309/oj" TargetMode="External"/><Relationship Id="rId45" Type="http://schemas.openxmlformats.org/officeDocument/2006/relationships/hyperlink" Target="https://www.gsma.com/%20connectivity-for-good/spectrum/wp-content/uploads/2025/05/Global-Spectrum-Pricing-v2.pdf" TargetMode="External"/><Relationship Id="rId53" Type="http://schemas.openxmlformats.org/officeDocument/2006/relationships/hyperlink" Target="https://digst.dk/media/anppemw3/final_mobile_report_denmark_clean_non-confidential.pdf" TargetMode="External"/><Relationship Id="rId58" Type="http://schemas.openxmlformats.org/officeDocument/2006/relationships/hyperlink" Target="https://cps.iau.org/documents/42/Draft_IAU_CPS_position_statement_9Z8xEO1.pdf" TargetMode="External"/><Relationship Id="rId66" Type="http://schemas.openxmlformats.org/officeDocument/2006/relationships/hyperlink" Target="https://op.europa.eu/en/publication-detail/-/publication/5c28e25b-41b3-11f0-b9f2-01aa75ed71a1/language-en" TargetMode="External"/><Relationship Id="rId74" Type="http://schemas.openxmlformats.org/officeDocument/2006/relationships/hyperlink" Target="https://www.umweltbundesamt.de/daten/umwelt-wirtschaft/gesellschaftliche-kosten-von-umweltbelastungen" TargetMode="External"/><Relationship Id="rId79" Type="http://schemas.openxmlformats.org/officeDocument/2006/relationships/hyperlink" Target="https://www.robert-schuman.eu/en/european-issues/585-the-union-s-external-borders-a-european-debate-revisited" TargetMode="External"/><Relationship Id="rId5" Type="http://schemas.openxmlformats.org/officeDocument/2006/relationships/hyperlink" Target="https://data.consilium.europa.eu/doc/document/ST-9953-2025-INIT/en/pdf" TargetMode="External"/><Relationship Id="rId61" Type="http://schemas.openxmlformats.org/officeDocument/2006/relationships/hyperlink" Target="https://digital-strategy.ec.europa.eu/en/library/investment-and-funding-needs-digital-decade-connectivity-targets" TargetMode="External"/><Relationship Id="rId82" Type="http://schemas.openxmlformats.org/officeDocument/2006/relationships/hyperlink" Target="https://op.europa.eu/en/publication-detail/-/publication/036d50f1-a1e2-11ed-b508-01aa75ed71a1" TargetMode="External"/><Relationship Id="rId19" Type="http://schemas.openxmlformats.org/officeDocument/2006/relationships/hyperlink" Target="https://digital-strategy.ec.europa.eu/en/library/investment-and-funding-needs-digital-decade-connectivity-targets" TargetMode="External"/><Relationship Id="rId4" Type="http://schemas.openxmlformats.org/officeDocument/2006/relationships/hyperlink" Target="https://commission.europa.eu/topics/defence/safer-together-path-towards-fully-prepared-union_en" TargetMode="External"/><Relationship Id="rId9" Type="http://schemas.openxmlformats.org/officeDocument/2006/relationships/hyperlink" Target="https://www.mckinsey.com/capabilities/quantumblack/our-insights/the-state-of-ai" TargetMode="External"/><Relationship Id="rId14" Type="http://schemas.openxmlformats.org/officeDocument/2006/relationships/hyperlink" Target="https://digital-strategy.ec.europa.eu/en/library/investment-and-funding-needs-digital-decade-connectivity-targets" TargetMode="External"/><Relationship Id="rId22" Type="http://schemas.openxmlformats.org/officeDocument/2006/relationships/hyperlink" Target="https://www.ericsson.com/en/blog/2020/11/5g-use-cases-economic-benefits-europe" TargetMode="External"/><Relationship Id="rId27" Type="http://schemas.openxmlformats.org/officeDocument/2006/relationships/hyperlink" Target="https://competition-policy.ec.europa.eu/system/files/2022-01/internet-of-things_final_report_2022_en.pdf" TargetMode="External"/><Relationship Id="rId30" Type="http://schemas.openxmlformats.org/officeDocument/2006/relationships/hyperlink" Target="https://www.connexionfrance.com/news/emergency-numbers-disrupted-in-france-inquiry-opened-into-4-deaths/436843" TargetMode="External"/><Relationship Id="rId35" Type="http://schemas.openxmlformats.org/officeDocument/2006/relationships/hyperlink" Target="https://www.analysysmason.com/research/content/articles/satellite-d2d-phases-nsi039/?utm_source=chatgpt.com" TargetMode="External"/><Relationship Id="rId43" Type="http://schemas.openxmlformats.org/officeDocument/2006/relationships/hyperlink" Target="https://data.europa.eu/doi/10.2759/9441597" TargetMode="External"/><Relationship Id="rId48" Type="http://schemas.openxmlformats.org/officeDocument/2006/relationships/hyperlink" Target="https://www.opensignal.com/2024/10/31/wi-fi-drives-smartphone-data-consumption-in-the-us-but-trends-vary-across-operators" TargetMode="External"/><Relationship Id="rId56" Type="http://schemas.openxmlformats.org/officeDocument/2006/relationships/hyperlink" Target="https://www.gsma.com/connectivity-for-good/spectrum/wp-content/uploads/2025/05/Global-Spectrum-Pricing-v2.pdf" TargetMode="External"/><Relationship Id="rId64" Type="http://schemas.openxmlformats.org/officeDocument/2006/relationships/hyperlink" Target="https://www.berec.europa.eu/en/tools/general-authorization-database" TargetMode="External"/><Relationship Id="rId69" Type="http://schemas.openxmlformats.org/officeDocument/2006/relationships/hyperlink" Target="https://smartcity.go.kr/en/2019/12/05" TargetMode="External"/><Relationship Id="rId77" Type="http://schemas.openxmlformats.org/officeDocument/2006/relationships/hyperlink" Target="https://www.iis.fraunhofer.de/de/ff/kom/mobile-kom/6g-mobilfunk.html" TargetMode="External"/><Relationship Id="rId8" Type="http://schemas.openxmlformats.org/officeDocument/2006/relationships/hyperlink" Target="https://eur-lex.europa.eu/legal-content/EN/TXT/?uri=CELEX:52025DC0723" TargetMode="External"/><Relationship Id="rId51" Type="http://schemas.openxmlformats.org/officeDocument/2006/relationships/hyperlink" Target="https://radio-spectrum-policy-group.ec.europa.eu/document/download/aee201a0-06e3-494f-b7f7-36ec3b723291_en?filename=RSPG21-016final_RSPG_Report_on_Spectrum_Sharing.pdf" TargetMode="External"/><Relationship Id="rId72" Type="http://schemas.openxmlformats.org/officeDocument/2006/relationships/hyperlink" Target="https://www.umweltbundesamt.de/daten/umwelt-wirtschaft/gesellschaftliche-kosten-von-umweltbelastungen" TargetMode="External"/><Relationship Id="rId80" Type="http://schemas.openxmlformats.org/officeDocument/2006/relationships/hyperlink" Target="https://op.europa.eu/en/publication-detail/-/publication/036d50f1-a1e2-11ed-b508-01aa75ed71a1" TargetMode="External"/><Relationship Id="rId85" Type="http://schemas.openxmlformats.org/officeDocument/2006/relationships/hyperlink" Target="https://www.eib.org/en/projects/pipelines/all/20230498" TargetMode="External"/><Relationship Id="rId3" Type="http://schemas.openxmlformats.org/officeDocument/2006/relationships/hyperlink" Target="https://commission.europa.eu/topics/eu-competitiveness/draghi-report_en" TargetMode="External"/><Relationship Id="rId12" Type="http://schemas.openxmlformats.org/officeDocument/2006/relationships/hyperlink" Target="https://digital-decade-desi.digital-strategy.ec.europa.eu/s/2j80Egm25Oa1b/" TargetMode="External"/><Relationship Id="rId17" Type="http://schemas.openxmlformats.org/officeDocument/2006/relationships/hyperlink" Target="https://digital-strategy.ec.europa.eu/en/library/digital-decade-2025-progress-and-outlook" TargetMode="External"/><Relationship Id="rId25" Type="http://schemas.openxmlformats.org/officeDocument/2006/relationships/hyperlink" Target="https://www.analysysmason.com/research/content/regional-forecasts-/network-api-forecast-rdmm0-rma21/" TargetMode="External"/><Relationship Id="rId33" Type="http://schemas.openxmlformats.org/officeDocument/2006/relationships/hyperlink" Target="https://data.europa.eu/doi/10.2759/5764760" TargetMode="External"/><Relationship Id="rId38" Type="http://schemas.openxmlformats.org/officeDocument/2006/relationships/hyperlink" Target="https://data.europa.eu/doi/10.2759/4700547" TargetMode="External"/><Relationship Id="rId46" Type="http://schemas.openxmlformats.org/officeDocument/2006/relationships/hyperlink" Target="https://www.gsma.com/solutions-and-impact/connectivity-for-good/mobile-economy/wp-content/uploads/2025/01/0125-Mobile-Economy-Europe-2025-web.pdf" TargetMode="External"/><Relationship Id="rId59" Type="http://schemas.openxmlformats.org/officeDocument/2006/relationships/hyperlink" Target="https://eur-lex.europa.eu/legal-content/EN/TXT/?uri=celex%3A12016ME%2FTXT" TargetMode="External"/><Relationship Id="rId67" Type="http://schemas.openxmlformats.org/officeDocument/2006/relationships/hyperlink" Target="https://pie.net.pl/wp-content/uploads/2025/01/PEI_Report_European_telecommunicatios_market.pdf" TargetMode="External"/><Relationship Id="rId20" Type="http://schemas.openxmlformats.org/officeDocument/2006/relationships/hyperlink" Target="https://www.korewireless.com/blog/what-is-5g-standalone/" TargetMode="External"/><Relationship Id="rId41" Type="http://schemas.openxmlformats.org/officeDocument/2006/relationships/hyperlink" Target="https://radio-spectrum-policy-group.ec.europa.eu/document/download/72e52901-fa1a-474a-9480-a222c5b36545_en?filename=RSPG25-020final-RSPG_Opinion_on_D2D_and_Single_Market_Issues.pdf" TargetMode="External"/><Relationship Id="rId54" Type="http://schemas.openxmlformats.org/officeDocument/2006/relationships/hyperlink" Target="https://op.europa.eu/en/publication-detail/-/publication/4c769094-41b5-11f0-b9f2-01aa75ed71a1/language-en" TargetMode="External"/><Relationship Id="rId62" Type="http://schemas.openxmlformats.org/officeDocument/2006/relationships/hyperlink" Target="https://www.smallcellforum.org/docs/scf-market-forecast-report/" TargetMode="External"/><Relationship Id="rId70" Type="http://schemas.openxmlformats.org/officeDocument/2006/relationships/hyperlink" Target="https://hdl.handle.net/10419/279416" TargetMode="External"/><Relationship Id="rId75" Type="http://schemas.openxmlformats.org/officeDocument/2006/relationships/hyperlink" Target="https://www.gsma.com/connectivity-for-good/spectrum/wp-content/uploads/2025/05/Global-Spectrum-Pricing-v2.pdf" TargetMode="External"/><Relationship Id="rId83" Type="http://schemas.openxmlformats.org/officeDocument/2006/relationships/hyperlink" Target="https://op.europa.eu/en/publication-detail/-/publication/4c769094-41b5-11f0-b9f2-01aa75ed71a1/language-en" TargetMode="External"/><Relationship Id="rId1" Type="http://schemas.openxmlformats.org/officeDocument/2006/relationships/hyperlink" Target="http://data.europa.eu/eli/dec/2022/2481/oj" TargetMode="External"/><Relationship Id="rId6" Type="http://schemas.openxmlformats.org/officeDocument/2006/relationships/hyperlink" Target="https://digital-strategy.ec.europa.eu/en/news/overwhelming-response-76-respondents-express-interest-european-ai-gigafactories-initiative" TargetMode="External"/><Relationship Id="rId15" Type="http://schemas.openxmlformats.org/officeDocument/2006/relationships/hyperlink" Target="https://mpo.gov.cz/assets/cz/e-komunikace-a-posta/studie-k-narodnimu-planu-obnovy/2024/11/Studie-25.pdf" TargetMode="External"/><Relationship Id="rId23" Type="http://schemas.openxmlformats.org/officeDocument/2006/relationships/hyperlink" Target="https://www.mordorintelligence.com/industry-reports/network-slicing-market" TargetMode="External"/><Relationship Id="rId28" Type="http://schemas.openxmlformats.org/officeDocument/2006/relationships/hyperlink" Target="https://www.vodafone.com/news/public-policy-news/why-a-european-policy-framework-for-the-internet-of-things-matters" TargetMode="External"/><Relationship Id="rId36" Type="http://schemas.openxmlformats.org/officeDocument/2006/relationships/hyperlink" Target="https://www.analysysmason.com/contentassets/7c01d1d7d2614309a3f2db8b64adbce7/analysys_mason_satellite_d2d_phases_mar2024_nsi039.pdf" TargetMode="External"/><Relationship Id="rId49" Type="http://schemas.openxmlformats.org/officeDocument/2006/relationships/hyperlink" Target="https://assets.publishing.service.gov.uk/media/6426a1f43d885d000cdadff3/realising_the_benefits_of_5G.pdf" TargetMode="External"/><Relationship Id="rId57" Type="http://schemas.openxmlformats.org/officeDocument/2006/relationships/hyperlink" Target="https://www.aanda.org/component/article?access=doi&amp;doi=10.1051/0004-6361/202346374" TargetMode="External"/><Relationship Id="rId10" Type="http://schemas.openxmlformats.org/officeDocument/2006/relationships/hyperlink" Target="http://data.europa.eu/eli/dir/2022/2555/oj" TargetMode="External"/><Relationship Id="rId31" Type="http://schemas.openxmlformats.org/officeDocument/2006/relationships/hyperlink" Target="https://onlinelibrary.wiley.com/doi/book/10.1002/9781119891185" TargetMode="External"/><Relationship Id="rId44" Type="http://schemas.openxmlformats.org/officeDocument/2006/relationships/hyperlink" Target="https://www.fcc.gov/document/fcc-reforms-license-renewal-rules-wireless-spectrum" TargetMode="External"/><Relationship Id="rId52" Type="http://schemas.openxmlformats.org/officeDocument/2006/relationships/hyperlink" Target="https://digital-strategy.ec.europa.eu/en/library/investment-and-funding-needs-digital-decade-connectivity-targets" TargetMode="External"/><Relationship Id="rId60" Type="http://schemas.openxmlformats.org/officeDocument/2006/relationships/hyperlink" Target="https://eur-lex.europa.eu/EN/legal-content/summary/2030-digital-decade-policy-programme.html" TargetMode="External"/><Relationship Id="rId65" Type="http://schemas.openxmlformats.org/officeDocument/2006/relationships/hyperlink" Target="https://radio-spectrum-policy-group.ec.europa.eu/document/download/b1f597f2-d6b5-44e5-878d-ea09bdd8a1d7_en?filename=RSPG24-007final-RSPG-Opinion-MSS-public_version.pdf" TargetMode="External"/><Relationship Id="rId73" Type="http://schemas.openxmlformats.org/officeDocument/2006/relationships/hyperlink" Target="https://www.oxfordeconomics.com/wp-content/uploads/2023/03/GlobalEconomicPotential5G_290323.pdf" TargetMode="External"/><Relationship Id="rId78" Type="http://schemas.openxmlformats.org/officeDocument/2006/relationships/hyperlink" Target="https://www.wik.org/veroeffentlichungen/veroeffentlichung/nr-451-entwicklung-der-funkbasierten-digitalisierung-in-der-industrie-energiewirtschaft-und-landwirtschaft-und-spezifische-frequenzbedarfe" TargetMode="External"/><Relationship Id="rId81" Type="http://schemas.openxmlformats.org/officeDocument/2006/relationships/hyperlink" Target="https://rspg-spectrum.eu" TargetMode="External"/><Relationship Id="rId86" Type="http://schemas.openxmlformats.org/officeDocument/2006/relationships/hyperlink" Target="https://arxiv.org/abs/2309.02338"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1"/>
          <c:order val="0"/>
          <c:tx>
            <c:strRef>
              <c:f>Tabelle2!$A$21</c:f>
              <c:strCache>
                <c:ptCount val="1"/>
                <c:pt idx="0">
                  <c:v>Austria</c:v>
                </c:pt>
              </c:strCache>
            </c:strRef>
          </c:tx>
          <c:spPr>
            <a:ln w="34925" cap="rnd">
              <a:solidFill>
                <a:schemeClr val="accent2"/>
              </a:solidFill>
              <a:round/>
            </a:ln>
            <a:effectLst/>
          </c:spPr>
          <c:marker>
            <c:symbol val="none"/>
          </c:marker>
          <c:cat>
            <c:numRef>
              <c:f>Tabelle2!$B$20:$L$20</c:f>
              <c:numCache>
                <c:formatCode>General</c:formatCode>
                <c:ptCount val="11"/>
                <c:pt idx="0">
                  <c:v>2025</c:v>
                </c:pt>
                <c:pt idx="1">
                  <c:v>2026</c:v>
                </c:pt>
                <c:pt idx="2">
                  <c:v>2027</c:v>
                </c:pt>
                <c:pt idx="3">
                  <c:v>2028</c:v>
                </c:pt>
                <c:pt idx="4">
                  <c:v>2029</c:v>
                </c:pt>
                <c:pt idx="5">
                  <c:v>2030</c:v>
                </c:pt>
                <c:pt idx="6">
                  <c:v>2031</c:v>
                </c:pt>
                <c:pt idx="7">
                  <c:v>2032</c:v>
                </c:pt>
                <c:pt idx="8">
                  <c:v>2033</c:v>
                </c:pt>
                <c:pt idx="9">
                  <c:v>2034</c:v>
                </c:pt>
                <c:pt idx="10">
                  <c:v>2035</c:v>
                </c:pt>
              </c:numCache>
            </c:numRef>
          </c:cat>
          <c:val>
            <c:numRef>
              <c:f>Tabelle2!$B$21:$L$21</c:f>
              <c:numCache>
                <c:formatCode>0%</c:formatCode>
                <c:ptCount val="11"/>
                <c:pt idx="0">
                  <c:v>0.44336917120552011</c:v>
                </c:pt>
                <c:pt idx="1">
                  <c:v>0.48637536484215621</c:v>
                </c:pt>
                <c:pt idx="2">
                  <c:v>0.53331807281782118</c:v>
                </c:pt>
                <c:pt idx="3">
                  <c:v>0.58455298340780026</c:v>
                </c:pt>
                <c:pt idx="4">
                  <c:v>0.64046782663284119</c:v>
                </c:pt>
                <c:pt idx="5">
                  <c:v>0.70322403805455935</c:v>
                </c:pt>
                <c:pt idx="6">
                  <c:v>0.74159067157023351</c:v>
                </c:pt>
                <c:pt idx="7">
                  <c:v>0.78182364076186484</c:v>
                </c:pt>
                <c:pt idx="8">
                  <c:v>0.82401710585161581</c:v>
                </c:pt>
                <c:pt idx="9">
                  <c:v>0.86826992139116099</c:v>
                </c:pt>
                <c:pt idx="10">
                  <c:v>0.9146858712000947</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0-07D2-488F-962E-BA761AABDD31}"/>
            </c:ext>
          </c:extLst>
        </c:ser>
        <c:ser>
          <c:idx val="2"/>
          <c:order val="1"/>
          <c:tx>
            <c:strRef>
              <c:f>Tabelle2!$A$22</c:f>
              <c:strCache>
                <c:ptCount val="1"/>
                <c:pt idx="0">
                  <c:v>Belgium</c:v>
                </c:pt>
              </c:strCache>
            </c:strRef>
          </c:tx>
          <c:spPr>
            <a:ln w="34925" cap="rnd">
              <a:solidFill>
                <a:schemeClr val="accent3"/>
              </a:solidFill>
              <a:round/>
            </a:ln>
            <a:effectLst/>
          </c:spPr>
          <c:marker>
            <c:symbol val="none"/>
          </c:marker>
          <c:cat>
            <c:numRef>
              <c:f>Tabelle2!$B$20:$L$20</c:f>
              <c:numCache>
                <c:formatCode>General</c:formatCode>
                <c:ptCount val="11"/>
                <c:pt idx="0">
                  <c:v>2025</c:v>
                </c:pt>
                <c:pt idx="1">
                  <c:v>2026</c:v>
                </c:pt>
                <c:pt idx="2">
                  <c:v>2027</c:v>
                </c:pt>
                <c:pt idx="3">
                  <c:v>2028</c:v>
                </c:pt>
                <c:pt idx="4">
                  <c:v>2029</c:v>
                </c:pt>
                <c:pt idx="5">
                  <c:v>2030</c:v>
                </c:pt>
                <c:pt idx="6">
                  <c:v>2031</c:v>
                </c:pt>
                <c:pt idx="7">
                  <c:v>2032</c:v>
                </c:pt>
                <c:pt idx="8">
                  <c:v>2033</c:v>
                </c:pt>
                <c:pt idx="9">
                  <c:v>2034</c:v>
                </c:pt>
                <c:pt idx="10">
                  <c:v>2035</c:v>
                </c:pt>
              </c:numCache>
            </c:numRef>
          </c:cat>
          <c:val>
            <c:numRef>
              <c:f>Tabelle2!$B$22:$L$22</c:f>
              <c:numCache>
                <c:formatCode>0%</c:formatCode>
                <c:ptCount val="11"/>
                <c:pt idx="0">
                  <c:v>0.33770238699999999</c:v>
                </c:pt>
                <c:pt idx="1">
                  <c:v>0.3714726257</c:v>
                </c:pt>
                <c:pt idx="2">
                  <c:v>0.40861988827000006</c:v>
                </c:pt>
                <c:pt idx="3">
                  <c:v>0.4494818770970001</c:v>
                </c:pt>
                <c:pt idx="4">
                  <c:v>0.4944300648067001</c:v>
                </c:pt>
                <c:pt idx="5">
                  <c:v>0.54387307128737017</c:v>
                </c:pt>
                <c:pt idx="6">
                  <c:v>0.58738291699035994</c:v>
                </c:pt>
                <c:pt idx="7">
                  <c:v>0.63437355034958864</c:v>
                </c:pt>
                <c:pt idx="8">
                  <c:v>0.68512343437755585</c:v>
                </c:pt>
                <c:pt idx="9">
                  <c:v>0.73993330912776034</c:v>
                </c:pt>
                <c:pt idx="10">
                  <c:v>0.79912797385798107</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07D2-488F-962E-BA761AABDD31}"/>
            </c:ext>
          </c:extLst>
        </c:ser>
        <c:ser>
          <c:idx val="3"/>
          <c:order val="2"/>
          <c:tx>
            <c:strRef>
              <c:f>Tabelle2!$A$23</c:f>
              <c:strCache>
                <c:ptCount val="1"/>
                <c:pt idx="0">
                  <c:v>Czechia</c:v>
                </c:pt>
              </c:strCache>
            </c:strRef>
          </c:tx>
          <c:spPr>
            <a:ln w="34925" cap="rnd">
              <a:solidFill>
                <a:schemeClr val="accent4"/>
              </a:solidFill>
              <a:round/>
            </a:ln>
            <a:effectLst/>
          </c:spPr>
          <c:marker>
            <c:symbol val="none"/>
          </c:marker>
          <c:cat>
            <c:numRef>
              <c:f>Tabelle2!$B$20:$L$20</c:f>
              <c:numCache>
                <c:formatCode>General</c:formatCode>
                <c:ptCount val="11"/>
                <c:pt idx="0">
                  <c:v>2025</c:v>
                </c:pt>
                <c:pt idx="1">
                  <c:v>2026</c:v>
                </c:pt>
                <c:pt idx="2">
                  <c:v>2027</c:v>
                </c:pt>
                <c:pt idx="3">
                  <c:v>2028</c:v>
                </c:pt>
                <c:pt idx="4">
                  <c:v>2029</c:v>
                </c:pt>
                <c:pt idx="5">
                  <c:v>2030</c:v>
                </c:pt>
                <c:pt idx="6">
                  <c:v>2031</c:v>
                </c:pt>
                <c:pt idx="7">
                  <c:v>2032</c:v>
                </c:pt>
                <c:pt idx="8">
                  <c:v>2033</c:v>
                </c:pt>
                <c:pt idx="9">
                  <c:v>2034</c:v>
                </c:pt>
                <c:pt idx="10">
                  <c:v>2035</c:v>
                </c:pt>
              </c:numCache>
            </c:numRef>
          </c:cat>
          <c:val>
            <c:numRef>
              <c:f>Tabelle2!$B$23:$L$23</c:f>
              <c:numCache>
                <c:formatCode>0%</c:formatCode>
                <c:ptCount val="11"/>
                <c:pt idx="0">
                  <c:v>0.39774637132415996</c:v>
                </c:pt>
                <c:pt idx="1">
                  <c:v>0.43232421476721844</c:v>
                </c:pt>
                <c:pt idx="2">
                  <c:v>0.46970107092875746</c:v>
                </c:pt>
                <c:pt idx="3">
                  <c:v>0.5101012505362057</c:v>
                </c:pt>
                <c:pt idx="4">
                  <c:v>0.55376701380756999</c:v>
                </c:pt>
                <c:pt idx="5">
                  <c:v>0.60244961279675191</c:v>
                </c:pt>
                <c:pt idx="6">
                  <c:v>0.64741947424992596</c:v>
                </c:pt>
                <c:pt idx="7">
                  <c:v>0.69554427074402481</c:v>
                </c:pt>
                <c:pt idx="8">
                  <c:v>0.74704486546653071</c:v>
                </c:pt>
                <c:pt idx="9">
                  <c:v>0.80215758207269494</c:v>
                </c:pt>
                <c:pt idx="10">
                  <c:v>0.86113528691839503</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07D2-488F-962E-BA761AABDD31}"/>
            </c:ext>
          </c:extLst>
        </c:ser>
        <c:ser>
          <c:idx val="4"/>
          <c:order val="3"/>
          <c:tx>
            <c:strRef>
              <c:f>Tabelle2!$A$24</c:f>
              <c:strCache>
                <c:ptCount val="1"/>
                <c:pt idx="0">
                  <c:v>Germany</c:v>
                </c:pt>
              </c:strCache>
            </c:strRef>
          </c:tx>
          <c:spPr>
            <a:ln w="34925" cap="rnd">
              <a:solidFill>
                <a:schemeClr val="accent5"/>
              </a:solidFill>
              <a:round/>
            </a:ln>
            <a:effectLst/>
          </c:spPr>
          <c:marker>
            <c:symbol val="none"/>
          </c:marker>
          <c:cat>
            <c:numRef>
              <c:f>Tabelle2!$B$20:$L$20</c:f>
              <c:numCache>
                <c:formatCode>General</c:formatCode>
                <c:ptCount val="11"/>
                <c:pt idx="0">
                  <c:v>2025</c:v>
                </c:pt>
                <c:pt idx="1">
                  <c:v>2026</c:v>
                </c:pt>
                <c:pt idx="2">
                  <c:v>2027</c:v>
                </c:pt>
                <c:pt idx="3">
                  <c:v>2028</c:v>
                </c:pt>
                <c:pt idx="4">
                  <c:v>2029</c:v>
                </c:pt>
                <c:pt idx="5">
                  <c:v>2030</c:v>
                </c:pt>
                <c:pt idx="6">
                  <c:v>2031</c:v>
                </c:pt>
                <c:pt idx="7">
                  <c:v>2032</c:v>
                </c:pt>
                <c:pt idx="8">
                  <c:v>2033</c:v>
                </c:pt>
                <c:pt idx="9">
                  <c:v>2034</c:v>
                </c:pt>
                <c:pt idx="10">
                  <c:v>2035</c:v>
                </c:pt>
              </c:numCache>
            </c:numRef>
          </c:cat>
          <c:val>
            <c:numRef>
              <c:f>Tabelle2!$B$24:$L$24</c:f>
              <c:numCache>
                <c:formatCode>0%</c:formatCode>
                <c:ptCount val="11"/>
                <c:pt idx="0">
                  <c:v>0.38391201639079997</c:v>
                </c:pt>
                <c:pt idx="1">
                  <c:v>0.44433356963851772</c:v>
                </c:pt>
                <c:pt idx="2">
                  <c:v>0.51403796968962556</c:v>
                </c:pt>
                <c:pt idx="3">
                  <c:v>0.5944346574864432</c:v>
                </c:pt>
                <c:pt idx="4">
                  <c:v>0.68714580821520777</c:v>
                </c:pt>
                <c:pt idx="5">
                  <c:v>0.79600653533669308</c:v>
                </c:pt>
                <c:pt idx="6">
                  <c:v>0.82344597216385806</c:v>
                </c:pt>
                <c:pt idx="7">
                  <c:v>0.85158416153730576</c:v>
                </c:pt>
                <c:pt idx="8">
                  <c:v>0.88044641610831653</c:v>
                </c:pt>
                <c:pt idx="9">
                  <c:v>0.91005865582970169</c:v>
                </c:pt>
                <c:pt idx="10">
                  <c:v>0.94044743149147225</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07D2-488F-962E-BA761AABDD31}"/>
            </c:ext>
          </c:extLst>
        </c:ser>
        <c:ser>
          <c:idx val="5"/>
          <c:order val="4"/>
          <c:tx>
            <c:strRef>
              <c:f>Tabelle2!$A$25</c:f>
              <c:strCache>
                <c:ptCount val="1"/>
                <c:pt idx="0">
                  <c:v>Greece</c:v>
                </c:pt>
              </c:strCache>
            </c:strRef>
          </c:tx>
          <c:spPr>
            <a:ln w="34925" cap="rnd">
              <a:solidFill>
                <a:schemeClr val="accent6"/>
              </a:solidFill>
              <a:round/>
            </a:ln>
            <a:effectLst/>
          </c:spPr>
          <c:marker>
            <c:symbol val="none"/>
          </c:marker>
          <c:cat>
            <c:numRef>
              <c:f>Tabelle2!$B$20:$L$20</c:f>
              <c:numCache>
                <c:formatCode>General</c:formatCode>
                <c:ptCount val="11"/>
                <c:pt idx="0">
                  <c:v>2025</c:v>
                </c:pt>
                <c:pt idx="1">
                  <c:v>2026</c:v>
                </c:pt>
                <c:pt idx="2">
                  <c:v>2027</c:v>
                </c:pt>
                <c:pt idx="3">
                  <c:v>2028</c:v>
                </c:pt>
                <c:pt idx="4">
                  <c:v>2029</c:v>
                </c:pt>
                <c:pt idx="5">
                  <c:v>2030</c:v>
                </c:pt>
                <c:pt idx="6">
                  <c:v>2031</c:v>
                </c:pt>
                <c:pt idx="7">
                  <c:v>2032</c:v>
                </c:pt>
                <c:pt idx="8">
                  <c:v>2033</c:v>
                </c:pt>
                <c:pt idx="9">
                  <c:v>2034</c:v>
                </c:pt>
                <c:pt idx="10">
                  <c:v>2035</c:v>
                </c:pt>
              </c:numCache>
            </c:numRef>
          </c:cat>
          <c:val>
            <c:numRef>
              <c:f>Tabelle2!$B$25:$L$25</c:f>
              <c:numCache>
                <c:formatCode>0%</c:formatCode>
                <c:ptCount val="11"/>
                <c:pt idx="0">
                  <c:v>0.44313947361927997</c:v>
                </c:pt>
                <c:pt idx="1">
                  <c:v>0.47274384415020049</c:v>
                </c:pt>
                <c:pt idx="2">
                  <c:v>0.50410381158424544</c:v>
                </c:pt>
                <c:pt idx="3">
                  <c:v>0.53732485333225766</c:v>
                </c:pt>
                <c:pt idx="4">
                  <c:v>0.57251877447952515</c:v>
                </c:pt>
                <c:pt idx="5">
                  <c:v>0.61131561570697135</c:v>
                </c:pt>
                <c:pt idx="6">
                  <c:v>0.64466789168309269</c:v>
                </c:pt>
                <c:pt idx="7">
                  <c:v>0.6796425811165524</c:v>
                </c:pt>
                <c:pt idx="8">
                  <c:v>0.71632153788473751</c:v>
                </c:pt>
                <c:pt idx="9">
                  <c:v>0.75479069666543508</c:v>
                </c:pt>
                <c:pt idx="10">
                  <c:v>0.79514027716977886</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07D2-488F-962E-BA761AABDD31}"/>
            </c:ext>
          </c:extLst>
        </c:ser>
        <c:dLbls>
          <c:showLegendKey val="0"/>
          <c:showVal val="0"/>
          <c:showCatName val="0"/>
          <c:showSerName val="0"/>
          <c:showPercent val="0"/>
          <c:showBubbleSize val="0"/>
        </c:dLbls>
        <c:smooth val="0"/>
        <c:axId val="1272140480"/>
        <c:axId val="1272149120"/>
      </c:lineChart>
      <c:catAx>
        <c:axId val="1272140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272149120"/>
        <c:crosses val="autoZero"/>
        <c:auto val="1"/>
        <c:lblAlgn val="ctr"/>
        <c:lblOffset val="100"/>
        <c:noMultiLvlLbl val="0"/>
      </c:catAx>
      <c:valAx>
        <c:axId val="127214912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272140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D9B514F9-34D3-44C0-A66E-9ADECB220D1A}">
    <t:Anchor>
      <t:Comment id="1499127681"/>
    </t:Anchor>
    <t:History>
      <t:Event time="2025-11-15T23:22:57.303Z" id="{CAB586B1-8C56-4F46-9F03-9DD598EAE06F}">
        <t:Attribution userId="S::Erika.BUSECHIAN@ec.europa.eu::3a9c5f4c-091c-4436-945f-134babba5aea" userName="BUSECHIAN Erika (CNECT)" userProvider="AD"/>
        <t:Anchor>
          <t:Comment id="1499127681"/>
        </t:Anchor>
        <t:Create/>
      </t:Event>
      <t:Event time="2025-11-15T23:22:57.303Z" id="{E7ABD974-AA04-438D-8CBE-7AE186E5B0AD}">
        <t:Attribution userId="S::Erika.BUSECHIAN@ec.europa.eu::3a9c5f4c-091c-4436-945f-134babba5aea" userName="BUSECHIAN Erika (CNECT)" userProvider="AD"/>
        <t:Anchor>
          <t:Comment id="1499127681"/>
        </t:Anchor>
        <t:Assign userId="S::Anamarija.JESENKO@ext.ec.europa.eu::35b83f87-5b1e-4e58-9775-6caf46b448b2" userName="JESENKO Anamarija (CNECT-EXT)" userProvider="AD"/>
      </t:Event>
      <t:Event time="2025-11-15T23:22:57.303Z" id="{868EB32D-5B5B-4CFD-9456-FA2F9C83D529}">
        <t:Attribution userId="S::Erika.BUSECHIAN@ec.europa.eu::3a9c5f4c-091c-4436-945f-134babba5aea" userName="BUSECHIAN Erika (CNECT)" userProvider="AD"/>
        <t:Anchor>
          <t:Comment id="1499127681"/>
        </t:Anchor>
        <t:SetTitle title="@JESENKO Anamarija (CNECT-EXT) I am not convinced that Germany is a SA leader, at least Medux data do not confirm this while they have spain as first - however this is take-up….I prefer to delete"/>
      </t:Event>
    </t:History>
  </t:Task>
  <t:Task id="{E2F9B3E0-A81E-4E88-9217-24DB6F749B60}">
    <t:Anchor>
      <t:Comment id="1603473941"/>
    </t:Anchor>
    <t:History>
      <t:Event time="2025-09-18T13:39:21.665Z" id="{B86E3E93-EF89-4C7E-84B9-C165B6543B3A}">
        <t:Attribution userId="S::maria.boka@ec.europa.eu::061df199-6ed9-495a-a407-f7b2013124f4" userName="BOKA Maria (CNECT)" userProvider="AD"/>
        <t:Anchor>
          <t:Comment id="1603473941"/>
        </t:Anchor>
        <t:Create/>
      </t:Event>
      <t:Event time="2025-09-18T13:39:21.665Z" id="{E44A7852-FEC8-4B24-A890-06D2FFECA0F8}">
        <t:Attribution userId="S::maria.boka@ec.europa.eu::061df199-6ed9-495a-a407-f7b2013124f4" userName="BOKA Maria (CNECT)" userProvider="AD"/>
        <t:Anchor>
          <t:Comment id="1603473941"/>
        </t:Anchor>
        <t:Assign userId="S::Justyna.ROMANOWSKA@ec.europa.eu::65d4e002-43ed-4839-aa2a-09bca10ad35a" userName="ROMANOWSKA Justyna (CNECT)" userProvider="AD"/>
      </t:Event>
      <t:Event time="2025-09-18T13:39:21.665Z" id="{39764D77-9555-46BC-81DB-BE04E8202685}">
        <t:Attribution userId="S::maria.boka@ec.europa.eu::061df199-6ed9-495a-a407-f7b2013124f4" userName="BOKA Maria (CNECT)" userProvider="AD"/>
        <t:Anchor>
          <t:Comment id="1603473941"/>
        </t:Anchor>
        <t:SetTitle title="@ROMANOWSKA Justyna (CNECT) should we not rather put here the 'problem' as in section 2.1.3? (Lack of Single Market and limited development of innovative services) This should not refere to the problem driver but rathre the problem, or?"/>
      </t:Event>
    </t:History>
  </t:Task>
  <t:Task id="{8CF5AA0B-4529-4FEC-AE45-F6DAD4477218}">
    <t:Anchor>
      <t:Comment id="326259821"/>
    </t:Anchor>
    <t:History>
      <t:Event time="2025-09-18T13:37:04Z" id="{220AEED4-9FB1-4856-B75B-F46FFA8EEDDE}">
        <t:Attribution userId="S::Erika.BUSECHIAN@ec.europa.eu::3a9c5f4c-091c-4436-945f-134babba5aea" userName="BUSECHIAN Erika (CNECT)" userProvider="AD"/>
        <t:Anchor>
          <t:Comment id="326259821"/>
        </t:Anchor>
        <t:Create/>
      </t:Event>
      <t:Event time="2025-09-18T13:37:04Z" id="{4C52D6B5-2BB3-4F8B-962D-C47349D2D884}">
        <t:Attribution userId="S::Erika.BUSECHIAN@ec.europa.eu::3a9c5f4c-091c-4436-945f-134babba5aea" userName="BUSECHIAN Erika (CNECT)" userProvider="AD"/>
        <t:Anchor>
          <t:Comment id="326259821"/>
        </t:Anchor>
        <t:Assign userId="S::Cristina.CULLELL-MARCH@ec.europa.eu::f5037aae-65e9-4329-98f5-6b5ad5e9e064" userName="CULLELL MARCH Cristina (CNECT)" userProvider="AD"/>
      </t:Event>
      <t:Event time="2025-09-18T13:37:04Z" id="{EA65ED25-B465-42A1-9E2F-4057042CF8B1}">
        <t:Attribution userId="S::Erika.BUSECHIAN@ec.europa.eu::3a9c5f4c-091c-4436-945f-134babba5aea" userName="BUSECHIAN Erika (CNECT)" userProvider="AD"/>
        <t:Anchor>
          <t:Comment id="326259821"/>
        </t:Anchor>
        <t:SetTitle title="@CULLELL MARCH Cristina (CNECT) see if you can add something more to the note since SG commented -Please explain all that is important to explain. Annex 9 has nearly 30 pages and it is not on to refer to this broad analysis without pointing to specific…"/>
      </t:Event>
    </t:History>
  </t:Task>
  <t:Task id="{6E76A067-F63A-4B79-88D3-713E537C9B12}">
    <t:Anchor>
      <t:Comment id="2127634267"/>
    </t:Anchor>
    <t:History>
      <t:Event time="2025-11-23T20:59:21.088Z" id="{14014D90-8769-4A07-A9A4-AB9ECE41C718}">
        <t:Attribution userId="S::lucrezia.busa@ec.europa.eu::9684c144-eba6-432e-bbbe-fdbf216146eb" userName="BUSA Lucrezia (CNECT)" userProvider="AD"/>
        <t:Anchor>
          <t:Comment id="2127634267"/>
        </t:Anchor>
        <t:Create/>
      </t:Event>
      <t:Event time="2025-11-23T20:59:21.088Z" id="{9115714D-A569-4B17-9351-471E73021492}">
        <t:Attribution userId="S::lucrezia.busa@ec.europa.eu::9684c144-eba6-432e-bbbe-fdbf216146eb" userName="BUSA Lucrezia (CNECT)" userProvider="AD"/>
        <t:Anchor>
          <t:Comment id="2127634267"/>
        </t:Anchor>
        <t:Assign userId="S::Mattias.JOHANSSON@ec.europa.eu::4561f488-5647-4c60-a1d2-005944fb2a64" userName="JOHANSSON Mattias (CNECT)" userProvider="AD"/>
      </t:Event>
      <t:Event time="2025-11-23T20:59:21.088Z" id="{CE20751C-3081-4B72-86BA-BEED7F5F5BE6}">
        <t:Attribution userId="S::lucrezia.busa@ec.europa.eu::9684c144-eba6-432e-bbbe-fdbf216146eb" userName="BUSA Lucrezia (CNECT)" userProvider="AD"/>
        <t:Anchor>
          <t:Comment id="2127634267"/>
        </t:Anchor>
        <t:SetTitle title="@JOHANSSON Mattias (CNECT) and @DIMITROVA Stanislava (CNECT) - given that we know clearly say that we will be reaching 95% of coverage, does it make sense to continue speaking about 100% target? Shouldn't we rather say leaving a lot of areas without …"/>
      </t:Event>
    </t:History>
  </t:Task>
  <t:Task id="{FA8CE4A5-C867-4038-9265-D38E04254331}">
    <t:Anchor>
      <t:Comment id="503090846"/>
    </t:Anchor>
    <t:History>
      <t:Event time="2025-09-18T15:41:51.705Z" id="{85B4053F-388E-47A7-989F-5803D9A4356B}">
        <t:Attribution userId="S::maria.boka@ec.europa.eu::061df199-6ed9-495a-a407-f7b2013124f4" userName="BOKA Maria (CNECT)" userProvider="AD"/>
        <t:Anchor>
          <t:Comment id="503090846"/>
        </t:Anchor>
        <t:Create/>
      </t:Event>
      <t:Event time="2025-09-18T15:41:51.705Z" id="{DFCE085D-A996-4589-99F6-28C918F0A4E5}">
        <t:Attribution userId="S::maria.boka@ec.europa.eu::061df199-6ed9-495a-a407-f7b2013124f4" userName="BOKA Maria (CNECT)" userProvider="AD"/>
        <t:Anchor>
          <t:Comment id="503090846"/>
        </t:Anchor>
        <t:Assign userId="S::Peter.STUCKMANN@ec.europa.eu::f93dc3b3-adb4-41b8-ae39-976f45b10c73" userName="STUCKMANN Peter (CNECT)" userProvider="AD"/>
      </t:Event>
      <t:Event time="2025-09-18T15:41:51.705Z" id="{856130D5-786D-4178-AE04-3EE04A72095C}">
        <t:Attribution userId="S::maria.boka@ec.europa.eu::061df199-6ed9-495a-a407-f7b2013124f4" userName="BOKA Maria (CNECT)" userProvider="AD"/>
        <t:Anchor>
          <t:Comment id="503090846"/>
        </t:Anchor>
        <t:SetTitle title="I added this as I think we should substantiate here more why this option would not lead to better outcomes/more cooperation etc. @STUCKMANN Peter (CNECT) your opinion?"/>
      </t:Event>
    </t:History>
  </t:Task>
  <t:Task id="{452931A2-3B03-4F61-99DD-5238C21BF665}">
    <t:Anchor>
      <t:Comment id="2111619026"/>
    </t:Anchor>
    <t:History>
      <t:Event time="2025-11-23T21:36:41.972Z" id="{35F5AB67-EE18-4DD1-8A2A-D751CAE53177}">
        <t:Attribution userId="S::Erika.BUSECHIAN@ec.europa.eu::3a9c5f4c-091c-4436-945f-134babba5aea" userName="BUSECHIAN Erika (CNECT)" userProvider="AD"/>
        <t:Anchor>
          <t:Comment id="2111619026"/>
        </t:Anchor>
        <t:Create/>
      </t:Event>
      <t:Event time="2025-11-23T21:36:41.972Z" id="{1919A26D-F6D1-46EC-957C-4A114312F9F4}">
        <t:Attribution userId="S::Erika.BUSECHIAN@ec.europa.eu::3a9c5f4c-091c-4436-945f-134babba5aea" userName="BUSECHIAN Erika (CNECT)" userProvider="AD"/>
        <t:Anchor>
          <t:Comment id="2111619026"/>
        </t:Anchor>
        <t:Assign userId="S::Gabor.SOMOS@ec.europa.eu::1b1de407-8c34-4a40-9897-2c771a28c6a9" userName="SOMOS Gabor (CNECT)" userProvider="AD"/>
      </t:Event>
      <t:Event time="2025-11-23T21:36:41.972Z" id="{CDBC1DC5-E2D8-4B88-897B-DD25AC95149B}">
        <t:Attribution userId="S::Erika.BUSECHIAN@ec.europa.eu::3a9c5f4c-091c-4436-945f-134babba5aea" userName="BUSECHIAN Erika (CNECT)" userProvider="AD"/>
        <t:Anchor>
          <t:Comment id="2111619026"/>
        </t:Anchor>
        <t:SetTitle title="@SOMOS Gabor (CNECT) homogeneous wording asked by SG implications on problem tree"/>
      </t:Event>
    </t:History>
  </t:Task>
  <t:Task id="{F8B82D60-775F-4DCF-9C57-206E6A571EBA}">
    <t:Anchor>
      <t:Comment id="186547284"/>
    </t:Anchor>
    <t:History>
      <t:Event time="2026-01-16T09:44:27.122Z" id="{0A0B3AE3-8B0F-457B-954A-E84DDD5A193E}">
        <t:Attribution userId="S::Erik.KOVALIK@ec.europa.eu::7b39fa27-a29b-4f22-a27e-15cb7aeb3635" userName="KOVALIK Erik (CNECT)" userProvider="AD"/>
        <t:Anchor>
          <t:Comment id="186547284"/>
        </t:Anchor>
        <t:Create/>
      </t:Event>
      <t:Event time="2026-01-16T09:44:27.122Z" id="{478C154C-326D-48EB-803F-B6CC6F66FE68}">
        <t:Attribution userId="S::Erik.KOVALIK@ec.europa.eu::7b39fa27-a29b-4f22-a27e-15cb7aeb3635" userName="KOVALIK Erik (CNECT)" userProvider="AD"/>
        <t:Anchor>
          <t:Comment id="186547284"/>
        </t:Anchor>
        <t:Assign userId="S::Vito-Lorenzo.Nardelli@ec.europa.eu::bdbae66f-7455-4199-b9f4-ed42cf7f6cc9" userName="NARDELLI Vito (CNECT)" userProvider="AD"/>
      </t:Event>
      <t:Event time="2026-01-16T09:44:27.122Z" id="{9836B8C7-CD1D-4BC7-97A5-CB5AB412CAB5}">
        <t:Attribution userId="S::Erik.KOVALIK@ec.europa.eu::7b39fa27-a29b-4f22-a27e-15cb7aeb3635" userName="KOVALIK Erik (CNECT)" userProvider="AD"/>
        <t:Anchor>
          <t:Comment id="186547284"/>
        </t:Anchor>
        <t:SetTitle title="@NARDELLI Vito (CNECT) @JOHANSSON Mattias (CNECT) This figure has the same number as the previous figure, even though both have captions and are included in the automatic cross-referencing. In addition, figure titles are not consistently formatted, with…"/>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36f037375f1ea1ca1dfa679ae9420172">
  <xsd:schema xmlns:xsd="http://www.w3.org/2001/XMLSchema" xmlns:xs="http://www.w3.org/2001/XMLSchema" xmlns:p="http://schemas.microsoft.com/office/2006/metadata/properties" xmlns:ns2="5e3b0e23-edc7-4d68-902a-f7eeae56b19b" targetNamespace="http://schemas.microsoft.com/office/2006/metadata/properties" ma:root="true" ma:fieldsID="672049701e3345b8720478c9a840d27b"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b:Source>
    <b:Tag>And15</b:Tag>
    <b:SourceType>JournalArticle</b:SourceType>
    <b:Guid>{876BB7BF-7466-40B9-BB05-B7816C883311}</b:Guid>
    <b:Author>
      <b:Author>
        <b:NameList>
          <b:Person>
            <b:Last>Andrae</b:Last>
            <b:First>Anders</b:First>
            <b:Middle>S. G.</b:Middle>
          </b:Person>
          <b:Person>
            <b:Last>Edler</b:Last>
            <b:First>Tomas</b:First>
          </b:Person>
        </b:NameList>
      </b:Author>
    </b:Author>
    <b:Title>On Global Electricity Usage of Communication Technology: Trends to 2030</b:Title>
    <b:JournalName>Challenges</b:JournalName>
    <b:Year>2015</b:Year>
    <b:Pages>117-157</b:Pages>
    <b:Volume>6</b:Volume>
    <b:RefOrder>1</b:RefOrder>
  </b:Source>
</b:Sources>
</file>

<file path=customXml/itemProps1.xml><?xml version="1.0" encoding="utf-8"?>
<ds:datastoreItem xmlns:ds="http://schemas.openxmlformats.org/officeDocument/2006/customXml" ds:itemID="{4DB19F37-FEC9-41A8-A047-3078B9EF9479}">
  <ds:schemaRefs>
    <ds:schemaRef ds:uri="http://schemas.microsoft.com/sharepoint/v3/contenttype/forms"/>
  </ds:schemaRefs>
</ds:datastoreItem>
</file>

<file path=customXml/itemProps2.xml><?xml version="1.0" encoding="utf-8"?>
<ds:datastoreItem xmlns:ds="http://schemas.openxmlformats.org/officeDocument/2006/customXml" ds:itemID="{718EAA12-1D8E-4637-9F36-2301B6BCCF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87FE5E-2CB7-4420-8D5F-F1ADBA3F7D6F}">
  <ds:schemaRefs>
    <ds:schemaRef ds:uri="http://schemas.microsoft.com/sharepoint/v3/contenttype/forms"/>
  </ds:schemaRefs>
</ds:datastoreItem>
</file>

<file path=customXml/itemProps4.xml><?xml version="1.0" encoding="utf-8"?>
<ds:datastoreItem xmlns:ds="http://schemas.openxmlformats.org/officeDocument/2006/customXml" ds:itemID="{4633AB5D-634E-404D-A512-ED3D425893BE}">
  <ds:schemaRefs>
    <ds:schemaRef ds:uri="http://schemas.microsoft.com/office/2006/metadata/properties"/>
    <ds:schemaRef ds:uri="http://schemas.microsoft.com/office/infopath/2007/PartnerControls"/>
    <ds:schemaRef ds:uri="5e3b0e23-edc7-4d68-902a-f7eeae56b19b"/>
  </ds:schemaRefs>
</ds:datastoreItem>
</file>

<file path=customXml/itemProps5.xml><?xml version="1.0" encoding="utf-8"?>
<ds:datastoreItem xmlns:ds="http://schemas.openxmlformats.org/officeDocument/2006/customXml" ds:itemID="{24141E6D-0521-47CC-9531-F7307D6D852B}">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17</Pages>
  <Words>64756</Words>
  <Characters>369115</Characters>
  <Application>Microsoft Office Word</Application>
  <DocSecurity>0</DocSecurity>
  <Lines>3075</Lines>
  <Paragraphs>866</Paragraphs>
  <ScaleCrop>false</ScaleCrop>
  <Manager/>
  <Company/>
  <LinksUpToDate>false</LinksUpToDate>
  <CharactersWithSpaces>433005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cp:lastPrinted>2026-01-15T15:51:00Z</cp:lastPrinted>
  <dcterms:created xsi:type="dcterms:W3CDTF">2026-01-18T17:03:00Z</dcterms:created>
  <dcterms:modified xsi:type="dcterms:W3CDTF">2026-01-21T09:27:00Z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3</vt:lpwstr>
  </property>
  <property fmtid="{D5CDD505-2E9C-101B-9397-08002B2CF9AE}" pid="5" name="CPTemplateID">
    <vt:lpwstr>CP-026</vt:lpwstr>
  </property>
  <property fmtid="{D5CDD505-2E9C-101B-9397-08002B2CF9AE}" pid="6" name="Created using">
    <vt:lpwstr>LW 7.0.1, Build 20190916</vt:lpwstr>
  </property>
  <property fmtid="{D5CDD505-2E9C-101B-9397-08002B2CF9AE}" pid="7" name="MSIP_Label_6bd9ddd1-4d20-43f6-abfa-fc3c07406f94_Enabled">
    <vt:lpwstr>true</vt:lpwstr>
  </property>
  <property fmtid="{D5CDD505-2E9C-101B-9397-08002B2CF9AE}" pid="8" name="MSIP_Label_6bd9ddd1-4d20-43f6-abfa-fc3c07406f94_SetDate">
    <vt:lpwstr>2023-01-13T16:09:08Z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7e673b8e-6dd8-49f6-a98b-2979beb59a23</vt:lpwstr>
  </property>
  <property fmtid="{D5CDD505-2E9C-101B-9397-08002B2CF9AE}" pid="13" name="MSIP_Label_6bd9ddd1-4d20-43f6-abfa-fc3c07406f94_ContentBits">
    <vt:lpwstr>0</vt:lpwstr>
  </property>
  <property fmtid="{D5CDD505-2E9C-101B-9397-08002B2CF9AE}" pid="14" name="TaxKeyword">
    <vt:lpwstr/>
  </property>
  <property fmtid="{D5CDD505-2E9C-101B-9397-08002B2CF9AE}" pid="15" name="MediaServiceImageTags">
    <vt:lpwstr/>
  </property>
  <property fmtid="{D5CDD505-2E9C-101B-9397-08002B2CF9AE}" pid="16" name="Responsible_x0020_unit_x0020_">
    <vt:lpwstr/>
  </property>
  <property fmtid="{D5CDD505-2E9C-101B-9397-08002B2CF9AE}" pid="17" name="Responsible unit ">
    <vt:lpwstr/>
  </property>
  <property fmtid="{D5CDD505-2E9C-101B-9397-08002B2CF9AE}" pid="18" name="Responsible unit">
    <vt:lpwstr/>
  </property>
  <property fmtid="{D5CDD505-2E9C-101B-9397-08002B2CF9AE}" pid="19" name="MSIP_Label_6bd9ddd1-4d20-43f6-abfa-fc3c07406f94_Tag">
    <vt:lpwstr>10, 3, 0, 1</vt:lpwstr>
  </property>
  <property fmtid="{D5CDD505-2E9C-101B-9397-08002B2CF9AE}" pid="20" name="ContentTypeId">
    <vt:lpwstr>0x010100FAEF338F37A4A9419D40C896D14C7EF5</vt:lpwstr>
  </property>
  <property fmtid="{D5CDD505-2E9C-101B-9397-08002B2CF9AE}" pid="21" name="Last edited using">
    <vt:lpwstr>LW 9.2, Build 20250828</vt:lpwstr>
  </property>
  <property fmtid="{D5CDD505-2E9C-101B-9397-08002B2CF9AE}" pid="22" name="Order">
    <vt:r8>4300</vt:r8>
  </property>
  <property fmtid="{D5CDD505-2E9C-101B-9397-08002B2CF9AE}" pid="23" name="xd_Signature">
    <vt:bool>false</vt:bool>
  </property>
  <property fmtid="{D5CDD505-2E9C-101B-9397-08002B2CF9AE}" pid="24" name="xd_ProgID">
    <vt:lpwstr/>
  </property>
  <property fmtid="{D5CDD505-2E9C-101B-9397-08002B2CF9AE}" pid="25" name="ComplianceAssetId">
    <vt:lpwstr/>
  </property>
  <property fmtid="{D5CDD505-2E9C-101B-9397-08002B2CF9AE}" pid="26" name="TemplateUrl">
    <vt:lpwstr/>
  </property>
  <property fmtid="{D5CDD505-2E9C-101B-9397-08002B2CF9AE}" pid="27" name="_ExtendedDescription">
    <vt:lpwstr/>
  </property>
  <property fmtid="{D5CDD505-2E9C-101B-9397-08002B2CF9AE}" pid="28" name="TriggerFlowInfo">
    <vt:lpwstr/>
  </property>
  <property fmtid="{D5CDD505-2E9C-101B-9397-08002B2CF9AE}" pid="29" name="DocStatus">
    <vt:lpwstr>Green</vt:lpwstr>
  </property>
</Properties>
</file>